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BE33DB" w14:textId="6A5AA1E6" w:rsidR="005A2F10" w:rsidRPr="009461F2" w:rsidRDefault="005A2F10" w:rsidP="005A2F10">
      <w:pPr>
        <w:rPr>
          <w:rFonts w:ascii="Times New Roman" w:hAnsi="Times New Roman" w:cs="Times New Roman"/>
          <w:sz w:val="40"/>
          <w:szCs w:val="40"/>
        </w:rPr>
      </w:pPr>
      <w:bookmarkStart w:id="0" w:name="_Hlk133337776"/>
      <w:r w:rsidRPr="009461F2">
        <w:rPr>
          <w:rFonts w:ascii="Times New Roman" w:hAnsi="Times New Roman" w:cs="Times New Roman"/>
          <w:sz w:val="40"/>
          <w:szCs w:val="40"/>
        </w:rPr>
        <w:t xml:space="preserve">Supplement </w:t>
      </w:r>
      <w:r w:rsidR="001C1A0B">
        <w:rPr>
          <w:rFonts w:ascii="Times New Roman" w:hAnsi="Times New Roman" w:cs="Times New Roman"/>
          <w:sz w:val="40"/>
          <w:szCs w:val="40"/>
        </w:rPr>
        <w:t>1</w:t>
      </w:r>
    </w:p>
    <w:p w14:paraId="43132E8A" w14:textId="3201F369" w:rsidR="002D7080" w:rsidRPr="005A2F10" w:rsidRDefault="001C1A0B" w:rsidP="002D7080">
      <w:pPr>
        <w:pStyle w:val="Heading2"/>
        <w:rPr>
          <w:rFonts w:ascii="Times New Roman" w:hAnsi="Times New Roman" w:cs="Times New Roman"/>
          <w:iCs/>
          <w:sz w:val="36"/>
          <w:szCs w:val="28"/>
        </w:rPr>
      </w:pPr>
      <w:r>
        <w:rPr>
          <w:rStyle w:val="Heading2Char"/>
          <w:rFonts w:ascii="Times New Roman" w:hAnsi="Times New Roman" w:cs="Times New Roman"/>
          <w:color w:val="auto"/>
          <w:sz w:val="28"/>
          <w:szCs w:val="28"/>
        </w:rPr>
        <w:t>1</w:t>
      </w:r>
      <w:r w:rsidR="002D7080" w:rsidRPr="005A2F10">
        <w:rPr>
          <w:rStyle w:val="Heading2Char"/>
          <w:rFonts w:ascii="Times New Roman" w:hAnsi="Times New Roman" w:cs="Times New Roman"/>
          <w:color w:val="auto"/>
          <w:sz w:val="28"/>
          <w:szCs w:val="28"/>
        </w:rPr>
        <w:t xml:space="preserve">.1 Risk analysis report for smooth marron </w:t>
      </w:r>
      <w:bookmarkEnd w:id="0"/>
      <w:r w:rsidR="002D7080" w:rsidRPr="005A2F10">
        <w:rPr>
          <w:rStyle w:val="Heading2Char"/>
          <w:rFonts w:ascii="Times New Roman" w:hAnsi="Times New Roman" w:cs="Times New Roman"/>
          <w:color w:val="auto"/>
          <w:sz w:val="28"/>
          <w:szCs w:val="28"/>
        </w:rPr>
        <w:t>(</w:t>
      </w:r>
      <w:r w:rsidR="002D7080" w:rsidRPr="005A2F10">
        <w:rPr>
          <w:rStyle w:val="Heading2Char"/>
          <w:rFonts w:ascii="Times New Roman" w:hAnsi="Times New Roman" w:cs="Times New Roman"/>
          <w:i/>
          <w:iCs/>
          <w:color w:val="auto"/>
          <w:sz w:val="28"/>
          <w:szCs w:val="28"/>
        </w:rPr>
        <w:t>Cherax cainii</w:t>
      </w:r>
      <w:r w:rsidR="002D7080" w:rsidRPr="005A2F10">
        <w:rPr>
          <w:rStyle w:val="Heading2Char"/>
          <w:rFonts w:ascii="Times New Roman" w:hAnsi="Times New Roman" w:cs="Times New Roman"/>
          <w:color w:val="auto"/>
          <w:sz w:val="28"/>
          <w:szCs w:val="28"/>
        </w:rPr>
        <w:t>)</w:t>
      </w:r>
    </w:p>
    <w:p w14:paraId="51ED4B02" w14:textId="77777777" w:rsidR="002D7080" w:rsidRPr="004D1E6F" w:rsidRDefault="002D7080" w:rsidP="002D7080">
      <w:pPr>
        <w:spacing w:after="0" w:line="240" w:lineRule="auto"/>
        <w:rPr>
          <w:rFonts w:ascii="Times New Roman" w:hAnsi="Times New Roman" w:cs="Times New Roman"/>
          <w:b/>
          <w:i/>
          <w:sz w:val="24"/>
          <w:szCs w:val="24"/>
        </w:rPr>
      </w:pPr>
    </w:p>
    <w:tbl>
      <w:tblPr>
        <w:tblStyle w:val="TableGrid"/>
        <w:tblW w:w="0" w:type="auto"/>
        <w:tblInd w:w="108" w:type="dxa"/>
        <w:tblLayout w:type="fixed"/>
        <w:tblLook w:val="04A0" w:firstRow="1" w:lastRow="0" w:firstColumn="1" w:lastColumn="0" w:noHBand="0" w:noVBand="1"/>
      </w:tblPr>
      <w:tblGrid>
        <w:gridCol w:w="4395"/>
        <w:gridCol w:w="2268"/>
        <w:gridCol w:w="2126"/>
      </w:tblGrid>
      <w:tr w:rsidR="002D7080" w:rsidRPr="004D1E6F" w14:paraId="46537CBF" w14:textId="77777777" w:rsidTr="002E2C37">
        <w:trPr>
          <w:trHeight w:val="140"/>
        </w:trPr>
        <w:tc>
          <w:tcPr>
            <w:tcW w:w="4395" w:type="dxa"/>
          </w:tcPr>
          <w:p w14:paraId="176374A1"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Taxon:</w:t>
            </w:r>
            <w:r w:rsidRPr="004D1E6F">
              <w:rPr>
                <w:rFonts w:ascii="Times New Roman" w:hAnsi="Times New Roman" w:cs="Times New Roman"/>
                <w:b/>
                <w:i/>
                <w:sz w:val="20"/>
                <w:szCs w:val="20"/>
              </w:rPr>
              <w:t xml:space="preserve"> </w:t>
            </w:r>
            <w:r w:rsidRPr="004D1E6F">
              <w:rPr>
                <w:rFonts w:ascii="Times New Roman" w:hAnsi="Times New Roman" w:cs="Times New Roman"/>
                <w:i/>
                <w:sz w:val="20"/>
                <w:szCs w:val="20"/>
              </w:rPr>
              <w:t xml:space="preserve">Cherax cainii </w:t>
            </w:r>
            <w:r w:rsidRPr="004D1E6F">
              <w:rPr>
                <w:rFonts w:ascii="Times New Roman" w:hAnsi="Times New Roman" w:cs="Times New Roman"/>
                <w:sz w:val="20"/>
                <w:szCs w:val="20"/>
              </w:rPr>
              <w:t>Austin and Ryan, 2002</w:t>
            </w:r>
          </w:p>
        </w:tc>
        <w:tc>
          <w:tcPr>
            <w:tcW w:w="4394" w:type="dxa"/>
            <w:gridSpan w:val="2"/>
          </w:tcPr>
          <w:p w14:paraId="5D7E035A"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Area</w:t>
            </w:r>
            <w:r w:rsidRPr="004D1E6F">
              <w:rPr>
                <w:rFonts w:ascii="Times New Roman" w:hAnsi="Times New Roman" w:cs="Times New Roman"/>
                <w:b/>
                <w:i/>
                <w:sz w:val="20"/>
                <w:szCs w:val="20"/>
              </w:rPr>
              <w:t xml:space="preserve">: </w:t>
            </w:r>
            <w:r w:rsidRPr="004D1E6F">
              <w:rPr>
                <w:rFonts w:ascii="Times New Roman" w:hAnsi="Times New Roman" w:cs="Times New Roman"/>
                <w:sz w:val="20"/>
                <w:szCs w:val="20"/>
              </w:rPr>
              <w:t>South Africa</w:t>
            </w:r>
          </w:p>
        </w:tc>
      </w:tr>
      <w:tr w:rsidR="002D7080" w:rsidRPr="004D1E6F" w14:paraId="22388FFD" w14:textId="77777777" w:rsidTr="002E2C37">
        <w:trPr>
          <w:trHeight w:val="2198"/>
        </w:trPr>
        <w:tc>
          <w:tcPr>
            <w:tcW w:w="4395" w:type="dxa"/>
          </w:tcPr>
          <w:p w14:paraId="0BE57831"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 xml:space="preserve">Picture of </w:t>
            </w:r>
            <w:r w:rsidRPr="004D1E6F">
              <w:rPr>
                <w:rFonts w:ascii="Times New Roman" w:hAnsi="Times New Roman" w:cs="Times New Roman"/>
                <w:b/>
                <w:i/>
                <w:sz w:val="20"/>
                <w:szCs w:val="20"/>
              </w:rPr>
              <w:t>Taxon</w:t>
            </w:r>
          </w:p>
          <w:p w14:paraId="7D40AA3E" w14:textId="77777777" w:rsidR="002D7080" w:rsidRPr="004D1E6F" w:rsidRDefault="002D7080" w:rsidP="002E2C37">
            <w:pPr>
              <w:jc w:val="center"/>
              <w:rPr>
                <w:rFonts w:ascii="Times New Roman" w:hAnsi="Times New Roman" w:cs="Times New Roman"/>
                <w:sz w:val="20"/>
                <w:szCs w:val="20"/>
              </w:rPr>
            </w:pPr>
            <w:r>
              <w:rPr>
                <w:rFonts w:ascii="Times New Roman" w:hAnsi="Times New Roman" w:cs="Times New Roman"/>
                <w:noProof/>
                <w:sz w:val="20"/>
                <w:szCs w:val="20"/>
                <w:lang w:eastAsia="en-ZA"/>
              </w:rPr>
              <w:drawing>
                <wp:inline distT="0" distB="0" distL="0" distR="0" wp14:anchorId="2F438E72" wp14:editId="75853CEE">
                  <wp:extent cx="1871345" cy="1213485"/>
                  <wp:effectExtent l="0" t="0" r="0" b="5715"/>
                  <wp:docPr id="1930625187" name="Picture 1" descr="A close-up of a lob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625187" name="Picture 1" descr="A close-up of a lobster&#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71345" cy="1213485"/>
                          </a:xfrm>
                          <a:prstGeom prst="rect">
                            <a:avLst/>
                          </a:prstGeom>
                          <a:noFill/>
                        </pic:spPr>
                      </pic:pic>
                    </a:graphicData>
                  </a:graphic>
                </wp:inline>
              </w:drawing>
            </w:r>
          </w:p>
          <w:p w14:paraId="34D00070" w14:textId="77777777" w:rsidR="002D7080" w:rsidRPr="00654623" w:rsidRDefault="002D7080" w:rsidP="002E2C37">
            <w:pPr>
              <w:rPr>
                <w:rFonts w:ascii="Times New Roman" w:hAnsi="Times New Roman" w:cs="Times New Roman"/>
                <w:sz w:val="20"/>
                <w:szCs w:val="20"/>
                <w:lang w:val="fr-FR"/>
              </w:rPr>
            </w:pPr>
            <w:r w:rsidRPr="00654623">
              <w:rPr>
                <w:rFonts w:ascii="Times New Roman" w:hAnsi="Times New Roman" w:cs="Times New Roman"/>
                <w:sz w:val="20"/>
                <w:szCs w:val="20"/>
                <w:lang w:val="fr-FR"/>
              </w:rPr>
              <w:t>Photo: http://www.fish.wa.gov.au/Species/</w:t>
            </w:r>
          </w:p>
          <w:p w14:paraId="2AADA287"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t xml:space="preserve">Marron/Pages/default.aspx </w:t>
            </w:r>
          </w:p>
        </w:tc>
        <w:tc>
          <w:tcPr>
            <w:tcW w:w="4394" w:type="dxa"/>
            <w:gridSpan w:val="2"/>
          </w:tcPr>
          <w:p w14:paraId="6240E6B7" w14:textId="77777777" w:rsidR="002D7080"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Alien distribution map</w:t>
            </w:r>
          </w:p>
          <w:p w14:paraId="6EDFD3DE" w14:textId="77777777" w:rsidR="002D7080" w:rsidRPr="004D1E6F" w:rsidRDefault="002D7080" w:rsidP="002E2C37">
            <w:pPr>
              <w:jc w:val="center"/>
              <w:rPr>
                <w:rFonts w:ascii="Times New Roman" w:hAnsi="Times New Roman" w:cs="Times New Roman"/>
                <w:b/>
                <w:sz w:val="20"/>
                <w:szCs w:val="20"/>
              </w:rPr>
            </w:pPr>
            <w:r>
              <w:rPr>
                <w:rFonts w:ascii="Times New Roman" w:hAnsi="Times New Roman" w:cs="Times New Roman"/>
                <w:b/>
                <w:noProof/>
                <w:sz w:val="20"/>
                <w:szCs w:val="20"/>
                <w:lang w:eastAsia="en-ZA"/>
              </w:rPr>
              <w:drawing>
                <wp:inline distT="0" distB="0" distL="0" distR="0" wp14:anchorId="52FACFAD" wp14:editId="7AFDF0EB">
                  <wp:extent cx="2341245" cy="1207135"/>
                  <wp:effectExtent l="0" t="0" r="1905" b="0"/>
                  <wp:docPr id="17434636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41245" cy="1207135"/>
                          </a:xfrm>
                          <a:prstGeom prst="rect">
                            <a:avLst/>
                          </a:prstGeom>
                          <a:noFill/>
                        </pic:spPr>
                      </pic:pic>
                    </a:graphicData>
                  </a:graphic>
                </wp:inline>
              </w:drawing>
            </w:r>
          </w:p>
          <w:p w14:paraId="1BCFE03D" w14:textId="77777777" w:rsidR="002D7080" w:rsidRDefault="002D7080" w:rsidP="002E2C37">
            <w:pPr>
              <w:rPr>
                <w:rFonts w:ascii="Times New Roman" w:hAnsi="Times New Roman" w:cs="Times New Roman"/>
                <w:sz w:val="20"/>
                <w:szCs w:val="20"/>
              </w:rPr>
            </w:pPr>
          </w:p>
          <w:p w14:paraId="10DA4FEA"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t xml:space="preserve">Reference: CABI, 2021. </w:t>
            </w:r>
            <w:r w:rsidRPr="004D1E6F">
              <w:rPr>
                <w:rFonts w:ascii="Times New Roman" w:hAnsi="Times New Roman" w:cs="Times New Roman"/>
                <w:i/>
                <w:sz w:val="20"/>
                <w:szCs w:val="20"/>
              </w:rPr>
              <w:t>Cherax cainii</w:t>
            </w:r>
            <w:r w:rsidRPr="004D1E6F">
              <w:rPr>
                <w:rFonts w:ascii="Times New Roman" w:hAnsi="Times New Roman" w:cs="Times New Roman"/>
                <w:sz w:val="20"/>
                <w:szCs w:val="20"/>
              </w:rPr>
              <w:t xml:space="preserve">  </w:t>
            </w:r>
            <w:hyperlink w:history="1">
              <w:r w:rsidRPr="004D1E6F">
                <w:rPr>
                  <w:rStyle w:val="Hyperlink"/>
                  <w:rFonts w:ascii="Times New Roman" w:hAnsi="Times New Roman" w:cs="Times New Roman"/>
                  <w:sz w:val="20"/>
                  <w:szCs w:val="20"/>
                </w:rPr>
                <w:t>www.cabi.org/isc</w:t>
              </w:r>
            </w:hyperlink>
            <w:r w:rsidRPr="004D1E6F">
              <w:rPr>
                <w:rFonts w:ascii="Times New Roman" w:hAnsi="Times New Roman" w:cs="Times New Roman"/>
                <w:sz w:val="20"/>
                <w:szCs w:val="20"/>
              </w:rPr>
              <w:t>.</w:t>
            </w:r>
          </w:p>
        </w:tc>
      </w:tr>
      <w:tr w:rsidR="002D7080" w:rsidRPr="004D1E6F" w14:paraId="30491935" w14:textId="77777777" w:rsidTr="002E2C37">
        <w:trPr>
          <w:trHeight w:val="746"/>
        </w:trPr>
        <w:tc>
          <w:tcPr>
            <w:tcW w:w="6663" w:type="dxa"/>
            <w:gridSpan w:val="2"/>
          </w:tcPr>
          <w:p w14:paraId="6EF8976D"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Risk Assessment summary:</w:t>
            </w:r>
          </w:p>
          <w:p w14:paraId="51D62B7B" w14:textId="77777777" w:rsidR="002D7080" w:rsidRPr="004D1E6F" w:rsidRDefault="002D7080" w:rsidP="002E2C37">
            <w:pPr>
              <w:jc w:val="both"/>
              <w:rPr>
                <w:rFonts w:ascii="Times New Roman" w:hAnsi="Times New Roman" w:cs="Times New Roman"/>
                <w:b/>
                <w:sz w:val="20"/>
                <w:szCs w:val="20"/>
              </w:rPr>
            </w:pPr>
            <w:r w:rsidRPr="004D1E6F">
              <w:rPr>
                <w:rFonts w:ascii="Times New Roman" w:eastAsia="Calibri" w:hAnsi="Times New Roman" w:cs="Times New Roman"/>
                <w:i/>
                <w:iCs/>
                <w:sz w:val="20"/>
                <w:szCs w:val="20"/>
              </w:rPr>
              <w:t xml:space="preserve">Cherax cainii </w:t>
            </w:r>
            <w:r w:rsidRPr="004D1E6F">
              <w:rPr>
                <w:rFonts w:ascii="Times New Roman" w:eastAsia="Calibri" w:hAnsi="Times New Roman" w:cs="Times New Roman"/>
                <w:sz w:val="20"/>
                <w:szCs w:val="20"/>
              </w:rPr>
              <w:t xml:space="preserve">was described in 2002 after it was distinguished genetically from </w:t>
            </w:r>
            <w:r w:rsidRPr="004D1E6F">
              <w:rPr>
                <w:rFonts w:ascii="Times New Roman" w:eastAsia="Calibri" w:hAnsi="Times New Roman" w:cs="Times New Roman"/>
                <w:i/>
                <w:iCs/>
                <w:sz w:val="20"/>
                <w:szCs w:val="20"/>
              </w:rPr>
              <w:t>C</w:t>
            </w:r>
            <w:r w:rsidRPr="004D1E6F">
              <w:rPr>
                <w:rFonts w:ascii="Times New Roman" w:eastAsia="Calibri" w:hAnsi="Times New Roman" w:cs="Times New Roman"/>
                <w:sz w:val="20"/>
                <w:szCs w:val="20"/>
              </w:rPr>
              <w:t>.</w:t>
            </w:r>
            <w:r w:rsidRPr="004D1E6F">
              <w:rPr>
                <w:rFonts w:ascii="Times New Roman" w:eastAsia="Calibri" w:hAnsi="Times New Roman" w:cs="Times New Roman"/>
                <w:i/>
                <w:iCs/>
                <w:sz w:val="20"/>
                <w:szCs w:val="20"/>
              </w:rPr>
              <w:t xml:space="preserve"> tenuimanus</w:t>
            </w:r>
            <w:r w:rsidRPr="004D1E6F">
              <w:rPr>
                <w:rFonts w:ascii="Times New Roman" w:eastAsia="Calibri" w:hAnsi="Times New Roman" w:cs="Times New Roman"/>
                <w:sz w:val="20"/>
                <w:szCs w:val="20"/>
              </w:rPr>
              <w:t xml:space="preserve">. Records of introductions to South Africa prior to 2002 therefore only refer to </w:t>
            </w:r>
            <w:r w:rsidRPr="004D1E6F">
              <w:rPr>
                <w:rFonts w:ascii="Times New Roman" w:eastAsia="Calibri" w:hAnsi="Times New Roman" w:cs="Times New Roman"/>
                <w:i/>
                <w:iCs/>
                <w:sz w:val="20"/>
                <w:szCs w:val="20"/>
              </w:rPr>
              <w:t>C. tenuimanus</w:t>
            </w:r>
            <w:r w:rsidRPr="004D1E6F">
              <w:rPr>
                <w:rFonts w:ascii="Times New Roman" w:eastAsia="Calibri" w:hAnsi="Times New Roman" w:cs="Times New Roman"/>
                <w:sz w:val="20"/>
                <w:szCs w:val="20"/>
              </w:rPr>
              <w:t xml:space="preserve">. However, </w:t>
            </w:r>
            <w:r w:rsidRPr="004D1E6F">
              <w:rPr>
                <w:rFonts w:ascii="Times New Roman" w:eastAsia="Arial" w:hAnsi="Times New Roman" w:cs="Times New Roman"/>
                <w:sz w:val="20"/>
                <w:szCs w:val="20"/>
              </w:rPr>
              <w:t xml:space="preserve">given that </w:t>
            </w:r>
            <w:r w:rsidRPr="004D1E6F">
              <w:rPr>
                <w:rFonts w:ascii="Times New Roman" w:eastAsia="Calibri" w:hAnsi="Times New Roman" w:cs="Times New Roman"/>
                <w:i/>
                <w:iCs/>
                <w:sz w:val="20"/>
                <w:szCs w:val="20"/>
              </w:rPr>
              <w:t>C. cainii</w:t>
            </w:r>
            <w:r w:rsidRPr="004D1E6F">
              <w:rPr>
                <w:rFonts w:ascii="Times New Roman" w:eastAsia="Arial" w:hAnsi="Times New Roman" w:cs="Times New Roman"/>
                <w:sz w:val="20"/>
                <w:szCs w:val="20"/>
              </w:rPr>
              <w:t xml:space="preserve"> is more widespread globally and is more commonly used in aquaculture, it is widely assumed that all imports were of </w:t>
            </w:r>
            <w:r w:rsidRPr="004D1E6F">
              <w:rPr>
                <w:rFonts w:ascii="Times New Roman" w:eastAsia="Calibri" w:hAnsi="Times New Roman" w:cs="Times New Roman"/>
                <w:i/>
                <w:iCs/>
                <w:sz w:val="20"/>
                <w:szCs w:val="20"/>
              </w:rPr>
              <w:t>C. cainii</w:t>
            </w:r>
            <w:r w:rsidRPr="004D1E6F">
              <w:rPr>
                <w:rFonts w:ascii="Times New Roman" w:eastAsia="Calibri" w:hAnsi="Times New Roman" w:cs="Times New Roman"/>
                <w:sz w:val="20"/>
                <w:szCs w:val="20"/>
              </w:rPr>
              <w:t xml:space="preserve">. There are no known naturalised populations of </w:t>
            </w:r>
            <w:r w:rsidRPr="004D1E6F">
              <w:rPr>
                <w:rFonts w:ascii="Times New Roman" w:eastAsia="Calibri" w:hAnsi="Times New Roman" w:cs="Times New Roman"/>
                <w:i/>
                <w:iCs/>
                <w:sz w:val="20"/>
                <w:szCs w:val="20"/>
              </w:rPr>
              <w:t xml:space="preserve">Cherax </w:t>
            </w:r>
            <w:r w:rsidRPr="004D1E6F">
              <w:rPr>
                <w:rFonts w:ascii="Times New Roman" w:eastAsia="Calibri" w:hAnsi="Times New Roman" w:cs="Times New Roman"/>
                <w:sz w:val="20"/>
                <w:szCs w:val="20"/>
              </w:rPr>
              <w:t xml:space="preserve">in South Africa though there are historical reports of </w:t>
            </w:r>
            <w:r w:rsidRPr="004D1E6F">
              <w:rPr>
                <w:rFonts w:ascii="Times New Roman" w:eastAsia="Calibri" w:hAnsi="Times New Roman" w:cs="Times New Roman"/>
                <w:i/>
                <w:iCs/>
                <w:sz w:val="20"/>
                <w:szCs w:val="20"/>
              </w:rPr>
              <w:t>Cherax</w:t>
            </w:r>
            <w:r w:rsidRPr="004D1E6F">
              <w:rPr>
                <w:rFonts w:ascii="Times New Roman" w:eastAsia="Calibri" w:hAnsi="Times New Roman" w:cs="Times New Roman"/>
                <w:sz w:val="20"/>
                <w:szCs w:val="20"/>
              </w:rPr>
              <w:t xml:space="preserve"> outside of captivity. In the absence of evidence of impact by invasions of </w:t>
            </w:r>
            <w:r w:rsidRPr="004D1E6F">
              <w:rPr>
                <w:rFonts w:ascii="Times New Roman" w:eastAsia="Calibri" w:hAnsi="Times New Roman" w:cs="Times New Roman"/>
                <w:i/>
                <w:iCs/>
                <w:sz w:val="20"/>
                <w:szCs w:val="20"/>
              </w:rPr>
              <w:t xml:space="preserve">Cherax </w:t>
            </w:r>
            <w:r w:rsidRPr="004D1E6F">
              <w:rPr>
                <w:rFonts w:ascii="Times New Roman" w:eastAsia="Calibri" w:hAnsi="Times New Roman" w:cs="Times New Roman"/>
                <w:sz w:val="20"/>
                <w:szCs w:val="20"/>
              </w:rPr>
              <w:t xml:space="preserve">species, potential impacts of </w:t>
            </w:r>
            <w:r w:rsidRPr="004D1E6F">
              <w:rPr>
                <w:rFonts w:ascii="Times New Roman" w:eastAsia="Calibri" w:hAnsi="Times New Roman" w:cs="Times New Roman"/>
                <w:i/>
                <w:iCs/>
                <w:sz w:val="20"/>
                <w:szCs w:val="20"/>
              </w:rPr>
              <w:t>C. cainii</w:t>
            </w:r>
            <w:r w:rsidRPr="004D1E6F">
              <w:rPr>
                <w:rFonts w:ascii="Times New Roman" w:eastAsia="Calibri" w:hAnsi="Times New Roman" w:cs="Times New Roman"/>
                <w:sz w:val="20"/>
                <w:szCs w:val="20"/>
              </w:rPr>
              <w:t xml:space="preserve"> were inferred from </w:t>
            </w:r>
            <w:r w:rsidRPr="004D1E6F">
              <w:rPr>
                <w:rFonts w:ascii="Times New Roman" w:eastAsia="Calibri" w:hAnsi="Times New Roman" w:cs="Times New Roman"/>
                <w:i/>
                <w:iCs/>
                <w:sz w:val="20"/>
                <w:szCs w:val="20"/>
              </w:rPr>
              <w:t>Procambarus clarki</w:t>
            </w:r>
            <w:r>
              <w:rPr>
                <w:rFonts w:ascii="Times New Roman" w:eastAsia="Calibri" w:hAnsi="Times New Roman" w:cs="Times New Roman"/>
                <w:i/>
                <w:iCs/>
                <w:sz w:val="20"/>
                <w:szCs w:val="20"/>
              </w:rPr>
              <w:t>i</w:t>
            </w:r>
            <w:r w:rsidRPr="004D1E6F">
              <w:rPr>
                <w:rFonts w:ascii="Times New Roman" w:eastAsia="Calibri" w:hAnsi="Times New Roman" w:cs="Times New Roman"/>
                <w:sz w:val="20"/>
                <w:szCs w:val="20"/>
              </w:rPr>
              <w:t xml:space="preserve">—a crayfish with similar traits.  Invasions of </w:t>
            </w:r>
            <w:r w:rsidRPr="004D1E6F">
              <w:rPr>
                <w:rFonts w:ascii="Times New Roman" w:eastAsia="Arial" w:hAnsi="Times New Roman" w:cs="Times New Roman"/>
                <w:i/>
                <w:color w:val="000000"/>
                <w:sz w:val="20"/>
                <w:szCs w:val="20"/>
              </w:rPr>
              <w:t>P. clarkii</w:t>
            </w:r>
            <w:r w:rsidRPr="004D1E6F">
              <w:rPr>
                <w:rFonts w:ascii="Times New Roman" w:eastAsia="Arial" w:hAnsi="Times New Roman" w:cs="Times New Roman"/>
                <w:color w:val="000000"/>
                <w:sz w:val="20"/>
                <w:szCs w:val="20"/>
              </w:rPr>
              <w:t xml:space="preserve"> have caused major impacts on native communities through competition and predation leading to decreased abundance and local extirpation of native species. </w:t>
            </w:r>
            <w:r w:rsidRPr="004D1E6F">
              <w:rPr>
                <w:rFonts w:ascii="Times New Roman" w:eastAsia="Calibri" w:hAnsi="Times New Roman" w:cs="Times New Roman"/>
                <w:i/>
                <w:iCs/>
                <w:sz w:val="20"/>
                <w:szCs w:val="20"/>
              </w:rPr>
              <w:t>Procambarus clarkii</w:t>
            </w:r>
            <w:r w:rsidRPr="004D1E6F">
              <w:rPr>
                <w:rFonts w:ascii="Times New Roman" w:eastAsia="Calibri" w:hAnsi="Times New Roman" w:cs="Times New Roman"/>
                <w:sz w:val="20"/>
                <w:szCs w:val="20"/>
              </w:rPr>
              <w:t xml:space="preserve"> has also </w:t>
            </w:r>
            <w:r w:rsidRPr="004D1E6F">
              <w:rPr>
                <w:rFonts w:ascii="Times New Roman" w:eastAsia="Arial" w:hAnsi="Times New Roman" w:cs="Times New Roman"/>
                <w:color w:val="000000"/>
                <w:sz w:val="20"/>
                <w:szCs w:val="20"/>
              </w:rPr>
              <w:t xml:space="preserve">caused habitat loss and modification through </w:t>
            </w:r>
            <w:r w:rsidRPr="004D1E6F">
              <w:rPr>
                <w:rFonts w:ascii="Times New Roman" w:eastAsia="Arial" w:hAnsi="Times New Roman" w:cs="Times New Roman"/>
                <w:sz w:val="20"/>
                <w:szCs w:val="20"/>
              </w:rPr>
              <w:t>intensive grazing and stalk cutting of aquatic macrophytes that provide food, refuge and spawning sites for fish and other aquatic fauna.</w:t>
            </w:r>
          </w:p>
        </w:tc>
        <w:tc>
          <w:tcPr>
            <w:tcW w:w="2126" w:type="dxa"/>
          </w:tcPr>
          <w:p w14:paraId="204EE354"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b/>
                <w:sz w:val="20"/>
                <w:szCs w:val="20"/>
              </w:rPr>
              <w:t>Risk score:</w:t>
            </w:r>
            <w:r w:rsidRPr="004D1E6F">
              <w:rPr>
                <w:rFonts w:ascii="Times New Roman" w:hAnsi="Times New Roman" w:cs="Times New Roman"/>
                <w:b/>
                <w:sz w:val="20"/>
                <w:szCs w:val="20"/>
              </w:rPr>
              <w:br/>
            </w:r>
          </w:p>
          <w:p w14:paraId="0D73D899"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t>High</w:t>
            </w:r>
          </w:p>
        </w:tc>
      </w:tr>
      <w:tr w:rsidR="002D7080" w:rsidRPr="004D1E6F" w14:paraId="39937B39" w14:textId="77777777" w:rsidTr="002E2C37">
        <w:trPr>
          <w:trHeight w:val="852"/>
        </w:trPr>
        <w:tc>
          <w:tcPr>
            <w:tcW w:w="6663" w:type="dxa"/>
            <w:gridSpan w:val="2"/>
          </w:tcPr>
          <w:p w14:paraId="7F58E5DC"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Management options summary:</w:t>
            </w:r>
          </w:p>
          <w:p w14:paraId="10772070" w14:textId="77777777" w:rsidR="002D7080" w:rsidRPr="004D1E6F" w:rsidRDefault="002D7080" w:rsidP="002E2C37">
            <w:pPr>
              <w:jc w:val="both"/>
              <w:rPr>
                <w:rFonts w:ascii="Times New Roman" w:hAnsi="Times New Roman" w:cs="Times New Roman"/>
                <w:b/>
                <w:iCs/>
                <w:sz w:val="20"/>
                <w:szCs w:val="20"/>
              </w:rPr>
            </w:pPr>
            <w:r w:rsidRPr="004D1E6F">
              <w:rPr>
                <w:rFonts w:ascii="Times New Roman" w:eastAsia="Calibri" w:hAnsi="Times New Roman" w:cs="Times New Roman"/>
                <w:i/>
                <w:sz w:val="20"/>
                <w:szCs w:val="20"/>
              </w:rPr>
              <w:t>Cherax</w:t>
            </w:r>
            <w:r w:rsidRPr="004D1E6F">
              <w:rPr>
                <w:rFonts w:ascii="Times New Roman" w:eastAsia="Calibri" w:hAnsi="Times New Roman" w:cs="Times New Roman"/>
                <w:sz w:val="20"/>
                <w:szCs w:val="20"/>
              </w:rPr>
              <w:t xml:space="preserve"> are farmed in South Africa, although only a few tonnes of ‘smooth marron’ are produced each year (data from FAO). It is assumed here that the ‘smooth marron’ used for farming is </w:t>
            </w:r>
            <w:r w:rsidRPr="004D1E6F">
              <w:rPr>
                <w:rFonts w:ascii="Times New Roman" w:eastAsia="Calibri" w:hAnsi="Times New Roman" w:cs="Times New Roman"/>
                <w:i/>
                <w:sz w:val="20"/>
                <w:szCs w:val="20"/>
              </w:rPr>
              <w:t>C. cainii</w:t>
            </w:r>
            <w:r w:rsidRPr="004D1E6F">
              <w:rPr>
                <w:rFonts w:ascii="Times New Roman" w:eastAsia="Calibri" w:hAnsi="Times New Roman" w:cs="Times New Roman"/>
                <w:iCs/>
                <w:sz w:val="20"/>
                <w:szCs w:val="20"/>
              </w:rPr>
              <w:t xml:space="preserve">. However, up until the end of 2020, non-research permits have only been issued for </w:t>
            </w:r>
            <w:r w:rsidRPr="004D1E6F">
              <w:rPr>
                <w:rFonts w:ascii="Times New Roman" w:eastAsia="Calibri" w:hAnsi="Times New Roman" w:cs="Times New Roman"/>
                <w:i/>
                <w:iCs/>
                <w:sz w:val="20"/>
                <w:szCs w:val="20"/>
              </w:rPr>
              <w:t>C</w:t>
            </w:r>
            <w:r w:rsidRPr="004D1E6F">
              <w:rPr>
                <w:rFonts w:ascii="Times New Roman" w:eastAsia="Calibri" w:hAnsi="Times New Roman" w:cs="Times New Roman"/>
                <w:sz w:val="20"/>
                <w:szCs w:val="20"/>
              </w:rPr>
              <w:t>.</w:t>
            </w:r>
            <w:r w:rsidRPr="004D1E6F">
              <w:rPr>
                <w:rFonts w:ascii="Times New Roman" w:eastAsia="Calibri" w:hAnsi="Times New Roman" w:cs="Times New Roman"/>
                <w:i/>
                <w:iCs/>
                <w:sz w:val="20"/>
                <w:szCs w:val="20"/>
              </w:rPr>
              <w:t xml:space="preserve"> tenuimanus</w:t>
            </w:r>
            <w:r w:rsidRPr="004D1E6F">
              <w:rPr>
                <w:rFonts w:ascii="Times New Roman" w:eastAsia="Calibri" w:hAnsi="Times New Roman" w:cs="Times New Roman"/>
                <w:iCs/>
                <w:sz w:val="20"/>
                <w:szCs w:val="20"/>
              </w:rPr>
              <w:t xml:space="preserve"> (research permits have been issued for both taxa). Crayfish invasions can be controlled using biocides, though, as for all aquatic systems, the use of chemical control would need to be carefully considered given the potential for non-target impacts. </w:t>
            </w:r>
          </w:p>
        </w:tc>
        <w:tc>
          <w:tcPr>
            <w:tcW w:w="2126" w:type="dxa"/>
          </w:tcPr>
          <w:p w14:paraId="45241160"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Ease of management:</w:t>
            </w:r>
          </w:p>
          <w:p w14:paraId="13BB5B8E" w14:textId="77777777" w:rsidR="002D7080" w:rsidRPr="004D1E6F" w:rsidRDefault="002D7080" w:rsidP="002E2C37">
            <w:pPr>
              <w:rPr>
                <w:rFonts w:ascii="Times New Roman" w:hAnsi="Times New Roman" w:cs="Times New Roman"/>
                <w:sz w:val="20"/>
                <w:szCs w:val="20"/>
              </w:rPr>
            </w:pPr>
          </w:p>
          <w:p w14:paraId="15B41B99"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t>Medium</w:t>
            </w:r>
          </w:p>
        </w:tc>
      </w:tr>
      <w:tr w:rsidR="002D7080" w:rsidRPr="004D1E6F" w14:paraId="0DDF87D3" w14:textId="77777777" w:rsidTr="002E2C37">
        <w:trPr>
          <w:trHeight w:val="690"/>
        </w:trPr>
        <w:tc>
          <w:tcPr>
            <w:tcW w:w="6663" w:type="dxa"/>
            <w:gridSpan w:val="2"/>
            <w:vMerge w:val="restart"/>
          </w:tcPr>
          <w:p w14:paraId="69EB0DD9"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Recommendations:</w:t>
            </w:r>
          </w:p>
          <w:p w14:paraId="797F3D5B" w14:textId="77777777" w:rsidR="002D7080" w:rsidRPr="004D1E6F" w:rsidRDefault="002D7080" w:rsidP="002E2C37">
            <w:pPr>
              <w:jc w:val="both"/>
              <w:rPr>
                <w:rFonts w:ascii="Times New Roman" w:hAnsi="Times New Roman" w:cs="Times New Roman"/>
                <w:b/>
                <w:sz w:val="20"/>
                <w:szCs w:val="20"/>
              </w:rPr>
            </w:pPr>
            <w:r w:rsidRPr="004D1E6F">
              <w:rPr>
                <w:rFonts w:ascii="Times New Roman" w:eastAsia="Arial" w:hAnsi="Times New Roman" w:cs="Times New Roman"/>
                <w:sz w:val="20"/>
                <w:szCs w:val="20"/>
              </w:rPr>
              <w:t xml:space="preserve">First, there is a need to genetically verify that </w:t>
            </w:r>
            <w:r w:rsidRPr="004D1E6F">
              <w:rPr>
                <w:rFonts w:ascii="Times New Roman" w:eastAsia="Arial" w:hAnsi="Times New Roman" w:cs="Times New Roman"/>
                <w:i/>
                <w:sz w:val="20"/>
                <w:szCs w:val="20"/>
              </w:rPr>
              <w:t xml:space="preserve">C. </w:t>
            </w:r>
            <w:r w:rsidRPr="004D1E6F">
              <w:rPr>
                <w:rFonts w:ascii="Times New Roman" w:eastAsia="Calibri" w:hAnsi="Times New Roman" w:cs="Times New Roman"/>
                <w:i/>
                <w:sz w:val="20"/>
                <w:szCs w:val="20"/>
              </w:rPr>
              <w:t>cainii</w:t>
            </w:r>
            <w:r w:rsidRPr="004D1E6F">
              <w:rPr>
                <w:rFonts w:ascii="Times New Roman" w:eastAsia="Arial" w:hAnsi="Times New Roman" w:cs="Times New Roman"/>
                <w:sz w:val="20"/>
                <w:szCs w:val="20"/>
              </w:rPr>
              <w:t xml:space="preserve"> is indeed present in the country. If </w:t>
            </w:r>
            <w:r w:rsidRPr="004D1E6F">
              <w:rPr>
                <w:rFonts w:ascii="Times New Roman" w:eastAsia="Arial" w:hAnsi="Times New Roman" w:cs="Times New Roman"/>
                <w:i/>
                <w:sz w:val="20"/>
                <w:szCs w:val="20"/>
              </w:rPr>
              <w:t xml:space="preserve">C. </w:t>
            </w:r>
            <w:r w:rsidRPr="004D1E6F">
              <w:rPr>
                <w:rFonts w:ascii="Times New Roman" w:eastAsia="Calibri" w:hAnsi="Times New Roman" w:cs="Times New Roman"/>
                <w:i/>
                <w:sz w:val="20"/>
                <w:szCs w:val="20"/>
              </w:rPr>
              <w:t>cainii</w:t>
            </w:r>
            <w:r w:rsidRPr="004D1E6F">
              <w:rPr>
                <w:rFonts w:ascii="Times New Roman" w:eastAsia="Arial" w:hAnsi="Times New Roman" w:cs="Times New Roman"/>
                <w:sz w:val="20"/>
                <w:szCs w:val="20"/>
              </w:rPr>
              <w:t xml:space="preserve"> is not present, it should be delisted and any future imports </w:t>
            </w:r>
            <w:r w:rsidRPr="004D1E6F">
              <w:rPr>
                <w:rFonts w:ascii="Times New Roman" w:eastAsia="Arial" w:hAnsi="Times New Roman" w:cs="Times New Roman"/>
                <w:sz w:val="20"/>
                <w:szCs w:val="20"/>
              </w:rPr>
              <w:lastRenderedPageBreak/>
              <w:t>subject to an import application and an accompanying risk analysis.</w:t>
            </w:r>
            <w:r w:rsidRPr="004D1E6F">
              <w:rPr>
                <w:rFonts w:ascii="Times New Roman" w:eastAsia="Calibri" w:hAnsi="Times New Roman" w:cs="Times New Roman"/>
                <w:sz w:val="20"/>
                <w:szCs w:val="20"/>
              </w:rPr>
              <w:t xml:space="preserve"> If </w:t>
            </w:r>
            <w:r w:rsidRPr="004D1E6F">
              <w:rPr>
                <w:rFonts w:ascii="Times New Roman" w:eastAsia="Arial" w:hAnsi="Times New Roman" w:cs="Times New Roman"/>
                <w:i/>
                <w:sz w:val="20"/>
                <w:szCs w:val="20"/>
              </w:rPr>
              <w:t xml:space="preserve">C. </w:t>
            </w:r>
            <w:r w:rsidRPr="004D1E6F">
              <w:rPr>
                <w:rFonts w:ascii="Times New Roman" w:eastAsia="Calibri" w:hAnsi="Times New Roman" w:cs="Times New Roman"/>
                <w:i/>
                <w:sz w:val="20"/>
                <w:szCs w:val="20"/>
              </w:rPr>
              <w:t>cainii</w:t>
            </w:r>
            <w:r w:rsidRPr="004D1E6F">
              <w:rPr>
                <w:rFonts w:ascii="Times New Roman" w:eastAsia="Arial" w:hAnsi="Times New Roman" w:cs="Times New Roman"/>
                <w:sz w:val="20"/>
                <w:szCs w:val="20"/>
              </w:rPr>
              <w:t xml:space="preserve"> </w:t>
            </w:r>
            <w:r w:rsidRPr="004D1E6F">
              <w:rPr>
                <w:rFonts w:ascii="Times New Roman" w:eastAsia="Calibri" w:hAnsi="Times New Roman" w:cs="Times New Roman"/>
                <w:sz w:val="20"/>
                <w:szCs w:val="20"/>
              </w:rPr>
              <w:t>is present, g</w:t>
            </w:r>
            <w:r w:rsidRPr="004D1E6F">
              <w:rPr>
                <w:rFonts w:ascii="Times New Roman" w:eastAsia="Calibri" w:hAnsi="Times New Roman" w:cs="Times New Roman"/>
                <w:iCs/>
                <w:sz w:val="20"/>
                <w:szCs w:val="20"/>
              </w:rPr>
              <w:t xml:space="preserve">iven the apparent on-going farming of crayfish and the lack of invasive populations, there does not seem to be a strong case to change the listing from category 2. However, it will be important to evaluate whether the benefits of farming </w:t>
            </w:r>
            <w:r w:rsidRPr="004D1E6F">
              <w:rPr>
                <w:rFonts w:ascii="Times New Roman" w:eastAsia="Calibri" w:hAnsi="Times New Roman" w:cs="Times New Roman"/>
                <w:i/>
                <w:sz w:val="20"/>
                <w:szCs w:val="20"/>
              </w:rPr>
              <w:t>C. cainii</w:t>
            </w:r>
            <w:r w:rsidRPr="004D1E6F">
              <w:rPr>
                <w:rFonts w:ascii="Times New Roman" w:eastAsia="Calibri" w:hAnsi="Times New Roman" w:cs="Times New Roman"/>
                <w:iCs/>
                <w:sz w:val="20"/>
                <w:szCs w:val="20"/>
              </w:rPr>
              <w:t xml:space="preserve"> justify the additional the risk of invasion. Wherever permits are issued, </w:t>
            </w:r>
            <w:r w:rsidRPr="004D1E6F">
              <w:rPr>
                <w:rFonts w:ascii="Times New Roman" w:eastAsia="Calibri" w:hAnsi="Times New Roman" w:cs="Times New Roman"/>
                <w:sz w:val="20"/>
                <w:szCs w:val="20"/>
              </w:rPr>
              <w:t>it is important that strong biosecurity protocols are in place, and provision is included to deal with any escapes with the carefully regulated use of biocides as a potential method to extirpate localised populations. The current prohibition on catch and release seems appropriate.</w:t>
            </w:r>
          </w:p>
        </w:tc>
        <w:tc>
          <w:tcPr>
            <w:tcW w:w="2126" w:type="dxa"/>
          </w:tcPr>
          <w:p w14:paraId="2161D21C"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lastRenderedPageBreak/>
              <w:t>Listing under NEM:BA A&amp;IS Lists of 2020:</w:t>
            </w:r>
          </w:p>
          <w:p w14:paraId="40C62E00"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lastRenderedPageBreak/>
              <w:t xml:space="preserve">2 as </w:t>
            </w:r>
            <w:r w:rsidRPr="004D1E6F">
              <w:rPr>
                <w:rFonts w:ascii="Times New Roman" w:hAnsi="Times New Roman" w:cs="Times New Roman"/>
                <w:i/>
                <w:iCs/>
                <w:sz w:val="20"/>
                <w:szCs w:val="20"/>
              </w:rPr>
              <w:t xml:space="preserve">Cherax cainii </w:t>
            </w:r>
            <w:r w:rsidRPr="004D1E6F">
              <w:rPr>
                <w:rFonts w:ascii="Times New Roman" w:hAnsi="Times New Roman" w:cs="Times New Roman"/>
                <w:sz w:val="20"/>
                <w:szCs w:val="20"/>
              </w:rPr>
              <w:t>(Austin &amp; Ryan, 2002), with catch and release prohibited</w:t>
            </w:r>
          </w:p>
        </w:tc>
      </w:tr>
      <w:tr w:rsidR="002D7080" w:rsidRPr="004D1E6F" w14:paraId="2FDE39BE" w14:textId="77777777" w:rsidTr="002E2C37">
        <w:trPr>
          <w:trHeight w:val="132"/>
        </w:trPr>
        <w:tc>
          <w:tcPr>
            <w:tcW w:w="6663" w:type="dxa"/>
            <w:gridSpan w:val="2"/>
            <w:vMerge/>
          </w:tcPr>
          <w:p w14:paraId="536A6A9D" w14:textId="77777777" w:rsidR="002D7080" w:rsidRPr="004D1E6F" w:rsidRDefault="002D7080" w:rsidP="002E2C37">
            <w:pPr>
              <w:rPr>
                <w:rFonts w:ascii="Times New Roman" w:hAnsi="Times New Roman" w:cs="Times New Roman"/>
                <w:b/>
                <w:sz w:val="20"/>
                <w:szCs w:val="20"/>
              </w:rPr>
            </w:pPr>
          </w:p>
        </w:tc>
        <w:tc>
          <w:tcPr>
            <w:tcW w:w="2126" w:type="dxa"/>
          </w:tcPr>
          <w:p w14:paraId="3488F562"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b/>
                <w:sz w:val="20"/>
                <w:szCs w:val="20"/>
              </w:rPr>
              <w:t xml:space="preserve">Recommended listing category: </w:t>
            </w:r>
          </w:p>
          <w:p w14:paraId="053A7D1B"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t xml:space="preserve">2 as </w:t>
            </w:r>
            <w:r w:rsidRPr="004D1E6F">
              <w:rPr>
                <w:rFonts w:ascii="Times New Roman" w:hAnsi="Times New Roman" w:cs="Times New Roman"/>
                <w:i/>
                <w:iCs/>
                <w:sz w:val="20"/>
                <w:szCs w:val="20"/>
              </w:rPr>
              <w:t xml:space="preserve">Cherax cainii </w:t>
            </w:r>
            <w:r w:rsidRPr="004D1E6F">
              <w:rPr>
                <w:rFonts w:ascii="Times New Roman" w:hAnsi="Times New Roman" w:cs="Times New Roman"/>
                <w:sz w:val="20"/>
                <w:szCs w:val="20"/>
              </w:rPr>
              <w:t>Austin &amp; Ryan, 2002, with catch and release prohibited</w:t>
            </w:r>
          </w:p>
        </w:tc>
      </w:tr>
    </w:tbl>
    <w:p w14:paraId="7B5A0C0E"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br w:type="page"/>
      </w:r>
    </w:p>
    <w:p w14:paraId="488D73B7"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1. Background</w:t>
      </w:r>
    </w:p>
    <w:p w14:paraId="759D0C6B"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W w:w="8790" w:type="dxa"/>
        <w:tblInd w:w="108" w:type="dxa"/>
        <w:tblLook w:val="04A0" w:firstRow="1" w:lastRow="0" w:firstColumn="1" w:lastColumn="0" w:noHBand="0" w:noVBand="1"/>
      </w:tblPr>
      <w:tblGrid>
        <w:gridCol w:w="2160"/>
        <w:gridCol w:w="1696"/>
        <w:gridCol w:w="1094"/>
        <w:gridCol w:w="3840"/>
      </w:tblGrid>
      <w:tr w:rsidR="002D7080" w:rsidRPr="004D1E6F" w14:paraId="7FDA95B7" w14:textId="77777777" w:rsidTr="002E2C37">
        <w:trPr>
          <w:cantSplit/>
          <w:trHeight w:val="358"/>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24F25604" w14:textId="77777777" w:rsidR="002D7080" w:rsidRPr="004D1E6F" w:rsidRDefault="002D7080" w:rsidP="001C1A0B">
            <w:pPr>
              <w:spacing w:after="0"/>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BAC1 Name of assessor(s)</w:t>
            </w:r>
          </w:p>
        </w:tc>
      </w:tr>
      <w:tr w:rsidR="002D7080" w:rsidRPr="004D1E6F" w14:paraId="1718BF44" w14:textId="77777777" w:rsidTr="002E2C37">
        <w:trPr>
          <w:cantSplit/>
          <w:trHeight w:val="251"/>
        </w:trPr>
        <w:tc>
          <w:tcPr>
            <w:tcW w:w="2160" w:type="dxa"/>
            <w:tcBorders>
              <w:top w:val="nil"/>
              <w:left w:val="single" w:sz="4" w:space="0" w:color="auto"/>
              <w:bottom w:val="single" w:sz="4" w:space="0" w:color="auto"/>
              <w:right w:val="single" w:sz="4" w:space="0" w:color="auto"/>
            </w:tcBorders>
            <w:shd w:val="clear" w:color="auto" w:fill="F2F2F2" w:themeFill="background1" w:themeFillShade="F2"/>
            <w:noWrap/>
          </w:tcPr>
          <w:p w14:paraId="7FAE8B82" w14:textId="77777777" w:rsidR="002D7080" w:rsidRPr="004D1E6F" w:rsidRDefault="002D7080" w:rsidP="001C1A0B">
            <w:pPr>
              <w:spacing w:after="0"/>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Name of lead assessor</w:t>
            </w:r>
          </w:p>
        </w:tc>
        <w:tc>
          <w:tcPr>
            <w:tcW w:w="6630" w:type="dxa"/>
            <w:gridSpan w:val="3"/>
            <w:tcBorders>
              <w:top w:val="nil"/>
              <w:left w:val="single" w:sz="4" w:space="0" w:color="auto"/>
              <w:bottom w:val="single" w:sz="4" w:space="0" w:color="auto"/>
              <w:right w:val="single" w:sz="4" w:space="0" w:color="auto"/>
            </w:tcBorders>
          </w:tcPr>
          <w:p w14:paraId="662AE825"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Lee-Anne Botha</w:t>
            </w:r>
          </w:p>
        </w:tc>
      </w:tr>
      <w:tr w:rsidR="002D7080" w:rsidRPr="004D1E6F" w14:paraId="5AEC0EAB" w14:textId="77777777" w:rsidTr="002E2C37">
        <w:trPr>
          <w:cantSplit/>
          <w:trHeight w:val="251"/>
        </w:trPr>
        <w:tc>
          <w:tcPr>
            <w:tcW w:w="2160" w:type="dxa"/>
            <w:tcBorders>
              <w:top w:val="nil"/>
              <w:left w:val="single" w:sz="4" w:space="0" w:color="auto"/>
              <w:bottom w:val="single" w:sz="4" w:space="0" w:color="auto"/>
              <w:right w:val="single" w:sz="4" w:space="0" w:color="auto"/>
            </w:tcBorders>
            <w:shd w:val="clear" w:color="auto" w:fill="F2F2F2" w:themeFill="background1" w:themeFillShade="F2"/>
            <w:noWrap/>
          </w:tcPr>
          <w:p w14:paraId="2B6E55CB"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Additional assessor (</w:t>
            </w:r>
            <w:r>
              <w:rPr>
                <w:rFonts w:ascii="Times New Roman" w:hAnsi="Times New Roman" w:cs="Times New Roman"/>
                <w:bCs/>
                <w:iCs/>
                <w:sz w:val="20"/>
                <w:szCs w:val="24"/>
              </w:rPr>
              <w:t>1)</w:t>
            </w:r>
          </w:p>
        </w:tc>
        <w:tc>
          <w:tcPr>
            <w:tcW w:w="6630" w:type="dxa"/>
            <w:gridSpan w:val="3"/>
            <w:tcBorders>
              <w:top w:val="nil"/>
              <w:left w:val="single" w:sz="4" w:space="0" w:color="auto"/>
              <w:bottom w:val="single" w:sz="4" w:space="0" w:color="auto"/>
              <w:right w:val="single" w:sz="4" w:space="0" w:color="auto"/>
            </w:tcBorders>
          </w:tcPr>
          <w:p w14:paraId="42DE082A" w14:textId="77777777" w:rsidR="002D7080" w:rsidRPr="004D1E6F" w:rsidRDefault="002D7080" w:rsidP="001C1A0B">
            <w:pPr>
              <w:spacing w:after="0"/>
              <w:rPr>
                <w:rFonts w:ascii="Times New Roman" w:eastAsia="Times New Roman" w:hAnsi="Times New Roman" w:cs="Times New Roman"/>
                <w:color w:val="000000"/>
                <w:sz w:val="20"/>
                <w:szCs w:val="20"/>
                <w:lang w:eastAsia="en-ZA"/>
              </w:rPr>
            </w:pPr>
            <w:r w:rsidRPr="00A7470F">
              <w:rPr>
                <w:rFonts w:ascii="Times New Roman" w:eastAsia="Times New Roman" w:hAnsi="Times New Roman" w:cs="Times New Roman"/>
                <w:color w:val="000000"/>
                <w:sz w:val="20"/>
                <w:szCs w:val="20"/>
                <w:lang w:eastAsia="en-ZA"/>
              </w:rPr>
              <w:t>Tsungai Zengeya</w:t>
            </w:r>
          </w:p>
        </w:tc>
      </w:tr>
      <w:tr w:rsidR="002D7080" w:rsidRPr="004D1E6F" w14:paraId="43E29959" w14:textId="77777777" w:rsidTr="002E2C37">
        <w:trPr>
          <w:cantSplit/>
          <w:trHeight w:val="251"/>
        </w:trPr>
        <w:tc>
          <w:tcPr>
            <w:tcW w:w="2160" w:type="dxa"/>
            <w:tcBorders>
              <w:left w:val="single" w:sz="4" w:space="0" w:color="auto"/>
              <w:bottom w:val="single" w:sz="4" w:space="0" w:color="auto"/>
              <w:right w:val="single" w:sz="4" w:space="0" w:color="auto"/>
            </w:tcBorders>
            <w:shd w:val="clear" w:color="auto" w:fill="F2F2F2" w:themeFill="background1" w:themeFillShade="F2"/>
            <w:noWrap/>
          </w:tcPr>
          <w:p w14:paraId="2CFBA70A"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Additional assessor (2)</w:t>
            </w:r>
          </w:p>
        </w:tc>
        <w:tc>
          <w:tcPr>
            <w:tcW w:w="6630" w:type="dxa"/>
            <w:gridSpan w:val="3"/>
            <w:tcBorders>
              <w:top w:val="nil"/>
              <w:left w:val="single" w:sz="4" w:space="0" w:color="auto"/>
              <w:bottom w:val="single" w:sz="4" w:space="0" w:color="auto"/>
              <w:right w:val="single" w:sz="4" w:space="0" w:color="auto"/>
            </w:tcBorders>
          </w:tcPr>
          <w:p w14:paraId="4D43FA35" w14:textId="3FF05C43" w:rsidR="002D7080" w:rsidRPr="004D1E6F" w:rsidRDefault="002D7080" w:rsidP="001C1A0B">
            <w:pPr>
              <w:spacing w:after="0"/>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C</w:t>
            </w:r>
            <w:r w:rsidR="00821209">
              <w:rPr>
                <w:rFonts w:ascii="Times New Roman" w:eastAsia="Times New Roman" w:hAnsi="Times New Roman" w:cs="Times New Roman"/>
                <w:color w:val="000000"/>
                <w:sz w:val="20"/>
                <w:szCs w:val="20"/>
                <w:lang w:eastAsia="en-ZA"/>
              </w:rPr>
              <w:t>h</w:t>
            </w:r>
            <w:r>
              <w:rPr>
                <w:rFonts w:ascii="Times New Roman" w:eastAsia="Times New Roman" w:hAnsi="Times New Roman" w:cs="Times New Roman"/>
                <w:color w:val="000000"/>
                <w:sz w:val="20"/>
                <w:szCs w:val="20"/>
                <w:lang w:eastAsia="en-ZA"/>
              </w:rPr>
              <w:t>ris</w:t>
            </w:r>
            <w:r w:rsidR="00821209">
              <w:rPr>
                <w:rFonts w:ascii="Times New Roman" w:eastAsia="Times New Roman" w:hAnsi="Times New Roman" w:cs="Times New Roman"/>
                <w:color w:val="000000"/>
                <w:sz w:val="20"/>
                <w:szCs w:val="20"/>
                <w:lang w:eastAsia="en-ZA"/>
              </w:rPr>
              <w:t>tian</w:t>
            </w:r>
            <w:r>
              <w:rPr>
                <w:rFonts w:ascii="Times New Roman" w:eastAsia="Times New Roman" w:hAnsi="Times New Roman" w:cs="Times New Roman"/>
                <w:color w:val="000000"/>
                <w:sz w:val="20"/>
                <w:szCs w:val="20"/>
                <w:lang w:eastAsia="en-ZA"/>
              </w:rPr>
              <w:t xml:space="preserve"> Chimimba </w:t>
            </w:r>
          </w:p>
        </w:tc>
      </w:tr>
      <w:tr w:rsidR="002D7080" w:rsidRPr="004D1E6F" w14:paraId="2A3562EF" w14:textId="77777777" w:rsidTr="002E2C37">
        <w:trPr>
          <w:cantSplit/>
          <w:trHeight w:val="70"/>
        </w:trPr>
        <w:tc>
          <w:tcPr>
            <w:tcW w:w="2160" w:type="dxa"/>
            <w:vMerge w:val="restart"/>
            <w:tcBorders>
              <w:top w:val="nil"/>
              <w:left w:val="single" w:sz="4" w:space="0" w:color="auto"/>
              <w:right w:val="single" w:sz="4" w:space="0" w:color="auto"/>
            </w:tcBorders>
            <w:shd w:val="clear" w:color="auto" w:fill="F2F2F2" w:themeFill="background1" w:themeFillShade="F2"/>
            <w:noWrap/>
            <w:hideMark/>
          </w:tcPr>
          <w:p w14:paraId="6721B9DB"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Lead assessor</w:t>
            </w:r>
          </w:p>
        </w:tc>
        <w:tc>
          <w:tcPr>
            <w:tcW w:w="6630" w:type="dxa"/>
            <w:gridSpan w:val="3"/>
            <w:tcBorders>
              <w:top w:val="nil"/>
              <w:left w:val="nil"/>
              <w:bottom w:val="single" w:sz="4" w:space="0" w:color="auto"/>
              <w:right w:val="single" w:sz="4" w:space="0" w:color="auto"/>
            </w:tcBorders>
          </w:tcPr>
          <w:p w14:paraId="13E3EE30"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Organisational affiliation: </w:t>
            </w:r>
            <w:r w:rsidRPr="004D1E6F">
              <w:rPr>
                <w:rFonts w:ascii="Times New Roman" w:eastAsia="Times New Roman" w:hAnsi="Times New Roman" w:cs="Times New Roman"/>
                <w:color w:val="000000"/>
                <w:sz w:val="20"/>
                <w:szCs w:val="20"/>
                <w:lang w:eastAsia="en-ZA"/>
              </w:rPr>
              <w:t>Department of Zoology and Entomology, University of Pretoria and The South African National Biodiversity Institute (SANBI).</w:t>
            </w:r>
          </w:p>
        </w:tc>
      </w:tr>
      <w:tr w:rsidR="002D7080" w:rsidRPr="004D1E6F" w14:paraId="200257DE" w14:textId="77777777" w:rsidTr="002E2C37">
        <w:trPr>
          <w:cantSplit/>
          <w:trHeight w:val="70"/>
        </w:trPr>
        <w:tc>
          <w:tcPr>
            <w:tcW w:w="2160" w:type="dxa"/>
            <w:vMerge/>
            <w:tcBorders>
              <w:left w:val="single" w:sz="4" w:space="0" w:color="auto"/>
              <w:bottom w:val="single" w:sz="4" w:space="0" w:color="auto"/>
              <w:right w:val="single" w:sz="4" w:space="0" w:color="auto"/>
            </w:tcBorders>
            <w:shd w:val="clear" w:color="auto" w:fill="F2F2F2" w:themeFill="background1" w:themeFillShade="F2"/>
            <w:noWrap/>
          </w:tcPr>
          <w:p w14:paraId="5D2126D7" w14:textId="77777777" w:rsidR="002D7080" w:rsidRPr="004D1E6F" w:rsidRDefault="002D7080" w:rsidP="001C1A0B">
            <w:pPr>
              <w:spacing w:after="0"/>
              <w:rPr>
                <w:rFonts w:ascii="Times New Roman" w:eastAsia="Times New Roman" w:hAnsi="Times New Roman" w:cs="Times New Roman"/>
                <w:sz w:val="20"/>
                <w:szCs w:val="20"/>
                <w:lang w:eastAsia="en-ZA"/>
              </w:rPr>
            </w:pPr>
          </w:p>
        </w:tc>
        <w:tc>
          <w:tcPr>
            <w:tcW w:w="6630" w:type="dxa"/>
            <w:gridSpan w:val="3"/>
            <w:tcBorders>
              <w:top w:val="nil"/>
              <w:left w:val="nil"/>
              <w:bottom w:val="single" w:sz="4" w:space="0" w:color="auto"/>
              <w:right w:val="single" w:sz="4" w:space="0" w:color="auto"/>
            </w:tcBorders>
          </w:tcPr>
          <w:p w14:paraId="5BDBF2E6"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email: </w:t>
            </w:r>
            <w:r w:rsidRPr="004D1E6F">
              <w:rPr>
                <w:rFonts w:ascii="Times New Roman" w:eastAsia="Times New Roman" w:hAnsi="Times New Roman" w:cs="Times New Roman"/>
                <w:color w:val="000000"/>
                <w:sz w:val="20"/>
                <w:szCs w:val="20"/>
                <w:lang w:eastAsia="en-ZA"/>
              </w:rPr>
              <w:t>leeannebth782@gmail.com</w:t>
            </w:r>
          </w:p>
        </w:tc>
      </w:tr>
      <w:tr w:rsidR="002D7080" w:rsidRPr="004D1E6F" w14:paraId="4A2559A0" w14:textId="77777777" w:rsidTr="002E2C37">
        <w:trPr>
          <w:cantSplit/>
          <w:trHeight w:val="70"/>
        </w:trPr>
        <w:tc>
          <w:tcPr>
            <w:tcW w:w="216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4F1B239"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Additional assessor (</w:t>
            </w:r>
            <w:r>
              <w:rPr>
                <w:rFonts w:ascii="Times New Roman" w:hAnsi="Times New Roman" w:cs="Times New Roman"/>
                <w:bCs/>
                <w:iCs/>
                <w:sz w:val="20"/>
                <w:szCs w:val="24"/>
              </w:rPr>
              <w:t>1)</w:t>
            </w:r>
          </w:p>
        </w:tc>
        <w:tc>
          <w:tcPr>
            <w:tcW w:w="6630" w:type="dxa"/>
            <w:gridSpan w:val="3"/>
            <w:tcBorders>
              <w:top w:val="nil"/>
              <w:left w:val="nil"/>
              <w:bottom w:val="single" w:sz="4" w:space="0" w:color="auto"/>
              <w:right w:val="single" w:sz="4" w:space="0" w:color="auto"/>
            </w:tcBorders>
          </w:tcPr>
          <w:p w14:paraId="174EEEA1"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Organisational affiliation:</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South African National Biodiversity Institute (SANBI)</w:t>
            </w:r>
          </w:p>
        </w:tc>
      </w:tr>
      <w:tr w:rsidR="002D7080" w:rsidRPr="004D1E6F" w14:paraId="26931FCE" w14:textId="77777777" w:rsidTr="002E2C37">
        <w:trPr>
          <w:cantSplit/>
          <w:trHeight w:val="70"/>
        </w:trPr>
        <w:tc>
          <w:tcPr>
            <w:tcW w:w="216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5EC1F60" w14:textId="77777777" w:rsidR="002D7080" w:rsidRPr="004D1E6F" w:rsidRDefault="002D7080" w:rsidP="001C1A0B">
            <w:pPr>
              <w:spacing w:after="0"/>
              <w:rPr>
                <w:rFonts w:ascii="Times New Roman" w:eastAsia="Times New Roman" w:hAnsi="Times New Roman" w:cs="Times New Roman"/>
                <w:sz w:val="20"/>
                <w:szCs w:val="20"/>
                <w:lang w:eastAsia="en-ZA"/>
              </w:rPr>
            </w:pPr>
          </w:p>
        </w:tc>
        <w:tc>
          <w:tcPr>
            <w:tcW w:w="6630" w:type="dxa"/>
            <w:gridSpan w:val="3"/>
            <w:tcBorders>
              <w:top w:val="nil"/>
              <w:left w:val="nil"/>
              <w:bottom w:val="single" w:sz="4" w:space="0" w:color="auto"/>
              <w:right w:val="single" w:sz="4" w:space="0" w:color="auto"/>
            </w:tcBorders>
          </w:tcPr>
          <w:p w14:paraId="1E7C6DF5"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email:</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T.Zengeya@sanbi.org.za</w:t>
            </w:r>
          </w:p>
        </w:tc>
      </w:tr>
      <w:tr w:rsidR="002D7080" w:rsidRPr="004D1E6F" w14:paraId="72D3D1B8" w14:textId="77777777" w:rsidTr="002E2C37">
        <w:trPr>
          <w:cantSplit/>
          <w:trHeight w:val="70"/>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537E678"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Additional assessor (2)</w:t>
            </w:r>
          </w:p>
        </w:tc>
        <w:tc>
          <w:tcPr>
            <w:tcW w:w="6630" w:type="dxa"/>
            <w:gridSpan w:val="3"/>
            <w:tcBorders>
              <w:top w:val="nil"/>
              <w:left w:val="nil"/>
              <w:bottom w:val="single" w:sz="4" w:space="0" w:color="auto"/>
              <w:right w:val="single" w:sz="4" w:space="0" w:color="auto"/>
            </w:tcBorders>
          </w:tcPr>
          <w:p w14:paraId="7C91721E"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Organisational affiliation: Department of Zoology and Entomology, University of Pretoria and The South African National Biodiversity Institute (SANBI).</w:t>
            </w:r>
          </w:p>
        </w:tc>
      </w:tr>
      <w:tr w:rsidR="002D7080" w:rsidRPr="004D1E6F" w14:paraId="6422A39B" w14:textId="77777777" w:rsidTr="002E2C37">
        <w:trPr>
          <w:cantSplit/>
          <w:trHeight w:val="70"/>
        </w:trPr>
        <w:tc>
          <w:tcPr>
            <w:tcW w:w="2160" w:type="dxa"/>
            <w:tcBorders>
              <w:left w:val="single" w:sz="4" w:space="0" w:color="auto"/>
              <w:bottom w:val="single" w:sz="4" w:space="0" w:color="auto"/>
              <w:right w:val="single" w:sz="4" w:space="0" w:color="auto"/>
            </w:tcBorders>
            <w:shd w:val="clear" w:color="auto" w:fill="F2F2F2" w:themeFill="background1" w:themeFillShade="F2"/>
            <w:noWrap/>
          </w:tcPr>
          <w:p w14:paraId="4321848B" w14:textId="77777777" w:rsidR="002D7080" w:rsidRPr="004D1E6F" w:rsidRDefault="002D7080" w:rsidP="001C1A0B">
            <w:pPr>
              <w:spacing w:after="0"/>
              <w:rPr>
                <w:rFonts w:ascii="Times New Roman" w:eastAsia="Times New Roman" w:hAnsi="Times New Roman" w:cs="Times New Roman"/>
                <w:sz w:val="20"/>
                <w:szCs w:val="20"/>
                <w:lang w:eastAsia="en-ZA"/>
              </w:rPr>
            </w:pPr>
          </w:p>
        </w:tc>
        <w:tc>
          <w:tcPr>
            <w:tcW w:w="6630" w:type="dxa"/>
            <w:gridSpan w:val="3"/>
            <w:tcBorders>
              <w:top w:val="nil"/>
              <w:left w:val="nil"/>
              <w:bottom w:val="single" w:sz="4" w:space="0" w:color="auto"/>
              <w:right w:val="single" w:sz="4" w:space="0" w:color="auto"/>
            </w:tcBorders>
          </w:tcPr>
          <w:p w14:paraId="77E69658"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email: ctchimimba@up.ac.za</w:t>
            </w:r>
          </w:p>
        </w:tc>
      </w:tr>
      <w:tr w:rsidR="002D7080" w:rsidRPr="004D1E6F" w14:paraId="21B73695" w14:textId="77777777" w:rsidTr="002E2C37">
        <w:trPr>
          <w:cantSplit/>
          <w:trHeight w:val="70"/>
        </w:trPr>
        <w:tc>
          <w:tcPr>
            <w:tcW w:w="8790" w:type="dxa"/>
            <w:gridSpan w:val="4"/>
            <w:tcBorders>
              <w:top w:val="nil"/>
              <w:left w:val="single" w:sz="4" w:space="0" w:color="auto"/>
              <w:bottom w:val="single" w:sz="4" w:space="0" w:color="auto"/>
              <w:right w:val="single" w:sz="4" w:space="0" w:color="auto"/>
            </w:tcBorders>
            <w:noWrap/>
          </w:tcPr>
          <w:p w14:paraId="1FEB520B"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Pr>
                <w:rFonts w:ascii="Times New Roman" w:eastAsia="Times New Roman" w:hAnsi="Times New Roman" w:cs="Times New Roman"/>
                <w:sz w:val="20"/>
                <w:szCs w:val="20"/>
                <w:lang w:eastAsia="en-ZA"/>
              </w:rPr>
              <w:t xml:space="preserve">none </w:t>
            </w:r>
          </w:p>
        </w:tc>
      </w:tr>
      <w:tr w:rsidR="002D7080" w:rsidRPr="004D1E6F" w14:paraId="303A3600" w14:textId="77777777" w:rsidTr="002E2C37">
        <w:trPr>
          <w:cantSplit/>
          <w:trHeight w:val="365"/>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0CB5A9A7"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BAC4 Scientific name of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under assessment</w:t>
            </w:r>
          </w:p>
        </w:tc>
      </w:tr>
      <w:tr w:rsidR="002D7080" w:rsidRPr="004D1E6F" w14:paraId="050F4D2C" w14:textId="77777777" w:rsidTr="002E2C37">
        <w:trPr>
          <w:cantSplit/>
          <w:trHeight w:val="70"/>
        </w:trPr>
        <w:tc>
          <w:tcPr>
            <w:tcW w:w="4950" w:type="dxa"/>
            <w:gridSpan w:val="3"/>
            <w:tcBorders>
              <w:top w:val="nil"/>
              <w:left w:val="single" w:sz="4" w:space="0" w:color="auto"/>
              <w:bottom w:val="single" w:sz="4" w:space="0" w:color="auto"/>
              <w:right w:val="single" w:sz="4" w:space="0" w:color="auto"/>
            </w:tcBorders>
            <w:noWrap/>
          </w:tcPr>
          <w:p w14:paraId="443658AB"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Taxon name: </w:t>
            </w:r>
            <w:r w:rsidRPr="004D1E6F">
              <w:rPr>
                <w:rFonts w:ascii="Times New Roman" w:eastAsia="Times New Roman" w:hAnsi="Times New Roman" w:cs="Times New Roman"/>
                <w:i/>
                <w:color w:val="000000"/>
                <w:sz w:val="20"/>
                <w:szCs w:val="20"/>
                <w:lang w:eastAsia="en-ZA"/>
              </w:rPr>
              <w:t>Cherax cainii</w:t>
            </w:r>
          </w:p>
        </w:tc>
        <w:tc>
          <w:tcPr>
            <w:tcW w:w="3840" w:type="dxa"/>
            <w:tcBorders>
              <w:top w:val="nil"/>
              <w:left w:val="nil"/>
              <w:bottom w:val="single" w:sz="4" w:space="0" w:color="auto"/>
              <w:right w:val="single" w:sz="4" w:space="0" w:color="auto"/>
            </w:tcBorders>
            <w:hideMark/>
          </w:tcPr>
          <w:p w14:paraId="73F47A93"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Authority: </w:t>
            </w:r>
            <w:r w:rsidRPr="004D1E6F">
              <w:rPr>
                <w:rFonts w:ascii="Times New Roman" w:eastAsia="Times New Roman" w:hAnsi="Times New Roman" w:cs="Times New Roman"/>
                <w:color w:val="000000"/>
                <w:sz w:val="20"/>
                <w:szCs w:val="20"/>
                <w:lang w:eastAsia="en-ZA"/>
              </w:rPr>
              <w:t>Austin and Ryan, 2002</w:t>
            </w:r>
          </w:p>
        </w:tc>
      </w:tr>
      <w:tr w:rsidR="002D7080" w:rsidRPr="004D1E6F" w14:paraId="04088C99" w14:textId="77777777" w:rsidTr="002E2C37">
        <w:trPr>
          <w:cantSplit/>
          <w:trHeight w:val="70"/>
        </w:trPr>
        <w:tc>
          <w:tcPr>
            <w:tcW w:w="8790" w:type="dxa"/>
            <w:gridSpan w:val="4"/>
            <w:tcBorders>
              <w:top w:val="nil"/>
              <w:left w:val="single" w:sz="4" w:space="0" w:color="auto"/>
              <w:bottom w:val="single" w:sz="4" w:space="0" w:color="auto"/>
              <w:right w:val="single" w:sz="4" w:space="0" w:color="auto"/>
            </w:tcBorders>
            <w:noWrap/>
          </w:tcPr>
          <w:p w14:paraId="37103686"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hAnsi="Times New Roman" w:cs="Times New Roman"/>
                <w:i/>
                <w:sz w:val="20"/>
                <w:szCs w:val="20"/>
              </w:rPr>
              <w:t>Cherax cainii</w:t>
            </w:r>
            <w:r w:rsidRPr="004D1E6F" w:rsidDel="00270003">
              <w:rPr>
                <w:rFonts w:ascii="Times New Roman" w:hAnsi="Times New Roman" w:cs="Times New Roman"/>
                <w:sz w:val="20"/>
                <w:szCs w:val="20"/>
              </w:rPr>
              <w:t xml:space="preserve"> </w:t>
            </w:r>
            <w:r w:rsidRPr="004D1E6F">
              <w:rPr>
                <w:rFonts w:ascii="Times New Roman" w:hAnsi="Times New Roman" w:cs="Times New Roman"/>
                <w:sz w:val="20"/>
                <w:szCs w:val="20"/>
              </w:rPr>
              <w:t xml:space="preserve">was originally described as </w:t>
            </w:r>
            <w:r w:rsidRPr="004D1E6F">
              <w:rPr>
                <w:rFonts w:ascii="Times New Roman" w:hAnsi="Times New Roman" w:cs="Times New Roman"/>
                <w:i/>
                <w:sz w:val="20"/>
                <w:szCs w:val="20"/>
              </w:rPr>
              <w:t>Cherax tenuimanus</w:t>
            </w:r>
            <w:r w:rsidRPr="004D1E6F">
              <w:rPr>
                <w:rFonts w:ascii="Times New Roman" w:hAnsi="Times New Roman" w:cs="Times New Roman"/>
                <w:sz w:val="20"/>
                <w:szCs w:val="20"/>
              </w:rPr>
              <w:t xml:space="preserve"> by Smith in 1912, from populations in the Margaret River in Western Australia (Austin &amp; Ryan 2002). Examination of marron populations from different river systems in Australia, however, revealed two genetically distinct marron species, </w:t>
            </w:r>
            <w:r w:rsidRPr="004D1E6F">
              <w:rPr>
                <w:rFonts w:ascii="Times New Roman" w:hAnsi="Times New Roman" w:cs="Times New Roman"/>
                <w:i/>
                <w:sz w:val="20"/>
                <w:szCs w:val="20"/>
              </w:rPr>
              <w:t>C. tenuimanus</w:t>
            </w:r>
            <w:r w:rsidRPr="004D1E6F">
              <w:rPr>
                <w:rFonts w:ascii="Times New Roman" w:hAnsi="Times New Roman" w:cs="Times New Roman"/>
                <w:sz w:val="20"/>
                <w:szCs w:val="20"/>
              </w:rPr>
              <w:t xml:space="preserve"> that is restricted to the Margaret River, Western Australia, and </w:t>
            </w:r>
            <w:r w:rsidRPr="004D1E6F">
              <w:rPr>
                <w:rFonts w:ascii="Times New Roman" w:hAnsi="Times New Roman" w:cs="Times New Roman"/>
                <w:i/>
                <w:sz w:val="20"/>
                <w:szCs w:val="20"/>
              </w:rPr>
              <w:t>C. cainii</w:t>
            </w:r>
            <w:r w:rsidRPr="004D1E6F">
              <w:rPr>
                <w:rFonts w:ascii="Times New Roman" w:hAnsi="Times New Roman" w:cs="Times New Roman"/>
                <w:sz w:val="20"/>
                <w:szCs w:val="20"/>
              </w:rPr>
              <w:t xml:space="preserve"> which is widespread within south-west of Western Australia (Austin &amp; Ryan 2002).  Notably, </w:t>
            </w:r>
            <w:r w:rsidRPr="004D1E6F">
              <w:rPr>
                <w:rFonts w:ascii="Times New Roman" w:hAnsi="Times New Roman" w:cs="Times New Roman"/>
                <w:i/>
                <w:sz w:val="20"/>
                <w:szCs w:val="20"/>
              </w:rPr>
              <w:t>C. cainii</w:t>
            </w:r>
            <w:r w:rsidRPr="004D1E6F">
              <w:rPr>
                <w:rFonts w:ascii="Times New Roman" w:hAnsi="Times New Roman" w:cs="Times New Roman"/>
                <w:sz w:val="20"/>
                <w:szCs w:val="20"/>
              </w:rPr>
              <w:t xml:space="preserve"> has been extensively introduced outside of its native range within Australia for aquaculture in South Australia and Victoria (Morrissy 1976; Austin &amp; Ryan 2002).</w:t>
            </w:r>
          </w:p>
        </w:tc>
      </w:tr>
      <w:tr w:rsidR="002D7080" w:rsidRPr="004D1E6F" w14:paraId="290B3267" w14:textId="77777777" w:rsidTr="002E2C37">
        <w:trPr>
          <w:cantSplit/>
          <w:trHeight w:val="70"/>
        </w:trPr>
        <w:tc>
          <w:tcPr>
            <w:tcW w:w="8790" w:type="dxa"/>
            <w:gridSpan w:val="4"/>
            <w:tcBorders>
              <w:top w:val="nil"/>
              <w:left w:val="single" w:sz="4" w:space="0" w:color="auto"/>
              <w:bottom w:val="single" w:sz="4" w:space="0" w:color="auto"/>
              <w:right w:val="single" w:sz="4" w:space="0" w:color="auto"/>
            </w:tcBorders>
            <w:noWrap/>
          </w:tcPr>
          <w:p w14:paraId="57067BDC" w14:textId="77777777" w:rsidR="002D7080" w:rsidRPr="004D1E6F" w:rsidRDefault="002D7080" w:rsidP="00663569">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2ECA7C31" w14:textId="58C71096" w:rsidR="002D7080" w:rsidRPr="004D1E6F" w:rsidRDefault="002D7080" w:rsidP="00663569">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Austin, C.M. &amp; Ryan, S.G., 2002, ‘Allozyme evidence for a new species of freshwater crayfish of genus </w:t>
            </w:r>
            <w:r w:rsidRPr="004D1E6F">
              <w:rPr>
                <w:rFonts w:ascii="Times New Roman" w:eastAsia="Times New Roman" w:hAnsi="Times New Roman" w:cs="Times New Roman"/>
                <w:i/>
                <w:sz w:val="20"/>
                <w:szCs w:val="20"/>
                <w:lang w:eastAsia="en-ZA"/>
              </w:rPr>
              <w:t xml:space="preserve">Cherax </w:t>
            </w:r>
            <w:r w:rsidRPr="004D1E6F">
              <w:rPr>
                <w:rFonts w:ascii="Times New Roman" w:eastAsia="Times New Roman" w:hAnsi="Times New Roman" w:cs="Times New Roman"/>
                <w:sz w:val="20"/>
                <w:szCs w:val="20"/>
                <w:lang w:eastAsia="en-ZA"/>
              </w:rPr>
              <w:t xml:space="preserve">Erichson (Decapoda: Parastacidae) form the south-west of Western Australia’, </w:t>
            </w:r>
            <w:r w:rsidRPr="004D1E6F">
              <w:rPr>
                <w:rFonts w:ascii="Times New Roman" w:eastAsia="Times New Roman" w:hAnsi="Times New Roman" w:cs="Times New Roman"/>
                <w:i/>
                <w:sz w:val="20"/>
                <w:szCs w:val="20"/>
                <w:lang w:eastAsia="en-ZA"/>
              </w:rPr>
              <w:t>Invertebrate Systematics</w:t>
            </w:r>
            <w:r w:rsidRPr="004D1E6F">
              <w:rPr>
                <w:rFonts w:ascii="Times New Roman" w:eastAsia="Times New Roman" w:hAnsi="Times New Roman" w:cs="Times New Roman"/>
                <w:sz w:val="20"/>
                <w:szCs w:val="20"/>
                <w:lang w:eastAsia="en-ZA"/>
              </w:rPr>
              <w:t xml:space="preserve"> 16, 357–367, </w:t>
            </w:r>
            <w:hyperlink r:id="rId10" w:history="1">
              <w:r w:rsidR="00C35336" w:rsidRPr="00762D39">
                <w:rPr>
                  <w:rStyle w:val="Hyperlink"/>
                  <w:rFonts w:ascii="Times New Roman" w:eastAsia="Times New Roman" w:hAnsi="Times New Roman" w:cs="Times New Roman"/>
                  <w:sz w:val="20"/>
                  <w:szCs w:val="20"/>
                  <w:lang w:eastAsia="en-ZA"/>
                </w:rPr>
                <w:t>https://doi.org/10.1071/IT01010</w:t>
              </w:r>
            </w:hyperlink>
            <w:r w:rsidRPr="004D1E6F">
              <w:rPr>
                <w:rFonts w:ascii="Times New Roman" w:eastAsia="Times New Roman" w:hAnsi="Times New Roman" w:cs="Times New Roman"/>
                <w:sz w:val="20"/>
                <w:szCs w:val="20"/>
                <w:lang w:eastAsia="en-ZA"/>
              </w:rPr>
              <w:t>.</w:t>
            </w:r>
            <w:r w:rsidR="00C35336">
              <w:rPr>
                <w:rFonts w:ascii="Times New Roman" w:eastAsia="Times New Roman" w:hAnsi="Times New Roman" w:cs="Times New Roman"/>
                <w:sz w:val="20"/>
                <w:szCs w:val="20"/>
                <w:lang w:eastAsia="en-ZA"/>
              </w:rPr>
              <w:t xml:space="preserve"> </w:t>
            </w:r>
          </w:p>
        </w:tc>
      </w:tr>
      <w:tr w:rsidR="002D7080" w:rsidRPr="004D1E6F" w14:paraId="7043FB0A"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D9961A6" w14:textId="77777777" w:rsidR="002D7080" w:rsidRPr="004D1E6F" w:rsidRDefault="002D7080" w:rsidP="0066356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BAC5 Synonym(s) considered</w:t>
            </w:r>
          </w:p>
        </w:tc>
      </w:tr>
      <w:tr w:rsidR="002D7080" w:rsidRPr="004D1E6F" w14:paraId="2C906C64"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7B029163" w14:textId="77777777" w:rsidR="002D7080" w:rsidRPr="004D1E6F" w:rsidRDefault="002D7080" w:rsidP="001C1A0B">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Synonyms: None</w:t>
            </w:r>
          </w:p>
        </w:tc>
      </w:tr>
      <w:tr w:rsidR="002D7080" w:rsidRPr="004D1E6F" w14:paraId="449C69BF"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3B9B01AF"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Times New Roman" w:hAnsi="Times New Roman" w:cs="Times New Roman"/>
                <w:i/>
                <w:color w:val="000000"/>
                <w:sz w:val="20"/>
                <w:szCs w:val="20"/>
                <w:lang w:eastAsia="en-ZA"/>
              </w:rPr>
              <w:t>Cherax cainii</w:t>
            </w:r>
            <w:r w:rsidRPr="004D1E6F">
              <w:rPr>
                <w:rFonts w:ascii="Times New Roman" w:eastAsia="Times New Roman" w:hAnsi="Times New Roman" w:cs="Times New Roman"/>
                <w:color w:val="000000"/>
                <w:sz w:val="20"/>
                <w:szCs w:val="20"/>
                <w:lang w:eastAsia="en-ZA"/>
              </w:rPr>
              <w:t xml:space="preserve"> and </w:t>
            </w:r>
            <w:r w:rsidRPr="004D1E6F">
              <w:rPr>
                <w:rFonts w:ascii="Times New Roman" w:eastAsia="Times New Roman" w:hAnsi="Times New Roman" w:cs="Times New Roman"/>
                <w:i/>
                <w:color w:val="000000"/>
                <w:sz w:val="20"/>
                <w:szCs w:val="20"/>
                <w:lang w:eastAsia="en-ZA"/>
              </w:rPr>
              <w:t>C. tenuimanus</w:t>
            </w:r>
            <w:r w:rsidRPr="004D1E6F">
              <w:rPr>
                <w:rFonts w:ascii="Times New Roman" w:eastAsia="Times New Roman" w:hAnsi="Times New Roman" w:cs="Times New Roman"/>
                <w:color w:val="000000"/>
                <w:sz w:val="20"/>
                <w:szCs w:val="20"/>
                <w:lang w:eastAsia="en-ZA"/>
              </w:rPr>
              <w:t xml:space="preserve"> were initially classified as one species, thus literature records prior to 2002 could be referring to either one of the two species (Austin &amp; Ryan 2002). For this risk analysis, information on both species was used.</w:t>
            </w:r>
          </w:p>
        </w:tc>
      </w:tr>
      <w:tr w:rsidR="002D7080" w:rsidRPr="004D1E6F" w14:paraId="5EE45B9F"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3F918FB1"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4E4241D5" w14:textId="0AC68DEB" w:rsidR="002D7080" w:rsidRPr="004D1E6F" w:rsidRDefault="002D7080" w:rsidP="00663569">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Austin. C.M. &amp; Ryan, S.G., 2002, ‘Allozyme evidence for a new species of freshwater crayfish of genus </w:t>
            </w:r>
            <w:r w:rsidRPr="004D1E6F">
              <w:rPr>
                <w:rFonts w:ascii="Times New Roman" w:eastAsia="Times New Roman" w:hAnsi="Times New Roman" w:cs="Times New Roman"/>
                <w:i/>
                <w:color w:val="000000"/>
                <w:sz w:val="20"/>
                <w:szCs w:val="20"/>
                <w:lang w:eastAsia="en-ZA"/>
              </w:rPr>
              <w:t>Cherax</w:t>
            </w:r>
            <w:r w:rsidRPr="004D1E6F">
              <w:rPr>
                <w:rFonts w:ascii="Times New Roman" w:eastAsia="Times New Roman" w:hAnsi="Times New Roman" w:cs="Times New Roman"/>
                <w:color w:val="000000"/>
                <w:sz w:val="20"/>
                <w:szCs w:val="20"/>
                <w:lang w:eastAsia="en-ZA"/>
              </w:rPr>
              <w:t xml:space="preserve"> Erichson (Decapoda: Parastacidae) form the south-west of Western Australia’, </w:t>
            </w:r>
            <w:r w:rsidRPr="004D1E6F">
              <w:rPr>
                <w:rFonts w:ascii="Times New Roman" w:eastAsia="Times New Roman" w:hAnsi="Times New Roman" w:cs="Times New Roman"/>
                <w:i/>
                <w:color w:val="000000"/>
                <w:sz w:val="20"/>
                <w:szCs w:val="20"/>
                <w:lang w:eastAsia="en-ZA"/>
              </w:rPr>
              <w:t>Invertebrate Systematics</w:t>
            </w:r>
            <w:r w:rsidRPr="004D1E6F">
              <w:rPr>
                <w:rFonts w:ascii="Times New Roman" w:eastAsia="Times New Roman" w:hAnsi="Times New Roman" w:cs="Times New Roman"/>
                <w:color w:val="000000"/>
                <w:sz w:val="20"/>
                <w:szCs w:val="20"/>
                <w:lang w:eastAsia="en-ZA"/>
              </w:rPr>
              <w:t xml:space="preserve"> 16, 357–367, </w:t>
            </w:r>
            <w:hyperlink r:id="rId11" w:history="1">
              <w:r w:rsidR="00C35336" w:rsidRPr="00762D39">
                <w:rPr>
                  <w:rStyle w:val="Hyperlink"/>
                  <w:rFonts w:ascii="Times New Roman" w:eastAsia="Times New Roman" w:hAnsi="Times New Roman" w:cs="Times New Roman"/>
                  <w:sz w:val="20"/>
                  <w:szCs w:val="20"/>
                  <w:lang w:eastAsia="en-ZA"/>
                </w:rPr>
                <w:t>https://doi.org/10.1071/IT01010</w:t>
              </w:r>
            </w:hyperlink>
            <w:r w:rsidR="00C35336">
              <w:rPr>
                <w:rFonts w:ascii="Times New Roman" w:eastAsia="Times New Roman" w:hAnsi="Times New Roman" w:cs="Times New Roman"/>
                <w:color w:val="000000"/>
                <w:sz w:val="20"/>
                <w:szCs w:val="20"/>
                <w:lang w:eastAsia="en-ZA"/>
              </w:rPr>
              <w:t xml:space="preserve">. </w:t>
            </w:r>
          </w:p>
        </w:tc>
      </w:tr>
      <w:tr w:rsidR="002D7080" w:rsidRPr="004D1E6F" w14:paraId="6B3C9C76"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99BDB65"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BAC6 Common name(s) considered</w:t>
            </w:r>
          </w:p>
        </w:tc>
      </w:tr>
      <w:tr w:rsidR="002D7080" w:rsidRPr="004D1E6F" w14:paraId="5805DDE4"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F4B54EE" w14:textId="77777777" w:rsidR="002D7080" w:rsidRPr="004D1E6F" w:rsidRDefault="002D7080" w:rsidP="001C1A0B">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Common names: s</w:t>
            </w:r>
            <w:r w:rsidRPr="004D1E6F">
              <w:rPr>
                <w:rFonts w:ascii="Times New Roman" w:eastAsia="Times New Roman" w:hAnsi="Times New Roman" w:cs="Times New Roman"/>
                <w:color w:val="000000"/>
                <w:sz w:val="20"/>
                <w:szCs w:val="20"/>
                <w:lang w:eastAsia="en-ZA"/>
              </w:rPr>
              <w:t>mooth marron/marron</w:t>
            </w:r>
          </w:p>
        </w:tc>
      </w:tr>
      <w:tr w:rsidR="002D7080" w:rsidRPr="004D1E6F" w14:paraId="4976CC37"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741E4CD7"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sidRPr="004D1E6F">
              <w:rPr>
                <w:rFonts w:ascii="Times New Roman" w:eastAsia="Times New Roman" w:hAnsi="Times New Roman" w:cs="Times New Roman"/>
                <w:i/>
                <w:sz w:val="20"/>
                <w:szCs w:val="20"/>
                <w:lang w:eastAsia="en-ZA"/>
              </w:rPr>
              <w:t xml:space="preserve"> Cherax cainii</w:t>
            </w:r>
            <w:r w:rsidRPr="004D1E6F">
              <w:rPr>
                <w:rFonts w:ascii="Times New Roman" w:eastAsia="Times New Roman" w:hAnsi="Times New Roman" w:cs="Times New Roman"/>
                <w:sz w:val="20"/>
                <w:szCs w:val="20"/>
                <w:lang w:eastAsia="en-ZA"/>
              </w:rPr>
              <w:t xml:space="preserve"> has two common names: smooth marron and marron (Austin &amp; Ryan 2002; Beatty et al. 2004). </w:t>
            </w:r>
          </w:p>
        </w:tc>
      </w:tr>
      <w:tr w:rsidR="002D7080" w:rsidRPr="004D1E6F" w14:paraId="3A9AA04A"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6D853A69"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2B1EC595" w14:textId="490D85F8" w:rsidR="002D7080" w:rsidRPr="004D1E6F" w:rsidRDefault="002D7080" w:rsidP="00663569">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Austin, C.M. &amp; Ryan, S.G., 2002, ‘Allozyme evidence for a new species of freshwater crayfish of genus </w:t>
            </w:r>
            <w:r w:rsidRPr="004D1E6F">
              <w:rPr>
                <w:rFonts w:ascii="Times New Roman" w:eastAsia="Times New Roman" w:hAnsi="Times New Roman" w:cs="Times New Roman"/>
                <w:i/>
                <w:color w:val="000000"/>
                <w:sz w:val="20"/>
                <w:szCs w:val="20"/>
                <w:lang w:eastAsia="en-ZA"/>
              </w:rPr>
              <w:t>Cherax</w:t>
            </w:r>
            <w:r w:rsidRPr="004D1E6F">
              <w:rPr>
                <w:rFonts w:ascii="Times New Roman" w:eastAsia="Times New Roman" w:hAnsi="Times New Roman" w:cs="Times New Roman"/>
                <w:color w:val="000000"/>
                <w:sz w:val="20"/>
                <w:szCs w:val="20"/>
                <w:lang w:eastAsia="en-ZA"/>
              </w:rPr>
              <w:t xml:space="preserve"> Erichson (Decapoda: Parastacidae) form the south-west of Western Australia’, </w:t>
            </w:r>
            <w:r w:rsidRPr="004D1E6F">
              <w:rPr>
                <w:rFonts w:ascii="Times New Roman" w:eastAsia="Times New Roman" w:hAnsi="Times New Roman" w:cs="Times New Roman"/>
                <w:i/>
                <w:color w:val="000000"/>
                <w:sz w:val="20"/>
                <w:szCs w:val="20"/>
                <w:lang w:eastAsia="en-ZA"/>
              </w:rPr>
              <w:t>Invertebrate Systematics</w:t>
            </w:r>
            <w:r w:rsidRPr="004D1E6F">
              <w:rPr>
                <w:rFonts w:ascii="Times New Roman" w:eastAsia="Times New Roman" w:hAnsi="Times New Roman" w:cs="Times New Roman"/>
                <w:color w:val="000000"/>
                <w:sz w:val="20"/>
                <w:szCs w:val="20"/>
                <w:lang w:eastAsia="en-ZA"/>
              </w:rPr>
              <w:t xml:space="preserve"> 16, 357–367, </w:t>
            </w:r>
            <w:r w:rsidR="00821209" w:rsidRPr="00821209">
              <w:rPr>
                <w:rFonts w:ascii="Times New Roman" w:eastAsia="Times New Roman" w:hAnsi="Times New Roman" w:cs="Times New Roman"/>
                <w:color w:val="000000"/>
                <w:sz w:val="20"/>
                <w:szCs w:val="20"/>
                <w:lang w:eastAsia="en-ZA"/>
              </w:rPr>
              <w:t>https://doi.org/10.1071/IT01010</w:t>
            </w:r>
            <w:r w:rsidRPr="000D7175">
              <w:rPr>
                <w:rFonts w:ascii="Times New Roman" w:eastAsia="Times New Roman" w:hAnsi="Times New Roman" w:cs="Times New Roman"/>
                <w:color w:val="000000"/>
                <w:sz w:val="20"/>
                <w:szCs w:val="20"/>
                <w:lang w:eastAsia="en-ZA"/>
              </w:rPr>
              <w:t>.</w:t>
            </w:r>
          </w:p>
          <w:p w14:paraId="568EAD49" w14:textId="564116C4" w:rsidR="002D7080" w:rsidRPr="004D1E6F" w:rsidRDefault="002D7080" w:rsidP="00663569">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Beatty, S.J., Morgan, D.L. &amp; Gill, H.S., 2004, ‘Biology of a translocated population of the large freshwater crayfish, </w:t>
            </w:r>
            <w:r w:rsidRPr="004D1E6F">
              <w:rPr>
                <w:rFonts w:ascii="Times New Roman" w:eastAsia="Times New Roman" w:hAnsi="Times New Roman" w:cs="Times New Roman"/>
                <w:i/>
                <w:color w:val="000000"/>
                <w:sz w:val="20"/>
                <w:szCs w:val="20"/>
                <w:lang w:eastAsia="en-ZA"/>
              </w:rPr>
              <w:t>Cherax cainii</w:t>
            </w:r>
            <w:r w:rsidRPr="004D1E6F">
              <w:rPr>
                <w:rFonts w:ascii="Times New Roman" w:eastAsia="Times New Roman" w:hAnsi="Times New Roman" w:cs="Times New Roman"/>
                <w:color w:val="000000"/>
                <w:sz w:val="20"/>
                <w:szCs w:val="20"/>
                <w:lang w:eastAsia="en-ZA"/>
              </w:rPr>
              <w:t xml:space="preserve"> Austin &amp; Ryan, 2002 in a Western Australian River’, </w:t>
            </w:r>
            <w:r w:rsidRPr="004D1E6F">
              <w:rPr>
                <w:rFonts w:ascii="Times New Roman" w:eastAsia="Times New Roman" w:hAnsi="Times New Roman" w:cs="Times New Roman"/>
                <w:i/>
                <w:iCs/>
                <w:color w:val="000000"/>
                <w:sz w:val="20"/>
                <w:szCs w:val="20"/>
                <w:lang w:eastAsia="en-ZA"/>
              </w:rPr>
              <w:t>Crustaceana</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77</w:t>
            </w:r>
            <w:r w:rsidRPr="004D1E6F">
              <w:rPr>
                <w:rFonts w:ascii="Times New Roman" w:eastAsia="Times New Roman" w:hAnsi="Times New Roman" w:cs="Times New Roman"/>
                <w:color w:val="000000"/>
                <w:sz w:val="20"/>
                <w:szCs w:val="20"/>
                <w:lang w:eastAsia="en-ZA"/>
              </w:rPr>
              <w:t>,1329–1351</w:t>
            </w:r>
            <w:r w:rsidR="00C35336">
              <w:rPr>
                <w:rFonts w:ascii="Times New Roman" w:eastAsia="Times New Roman" w:hAnsi="Times New Roman" w:cs="Times New Roman"/>
                <w:color w:val="000000"/>
                <w:sz w:val="20"/>
                <w:szCs w:val="20"/>
                <w:lang w:eastAsia="en-ZA"/>
              </w:rPr>
              <w:t xml:space="preserve">, </w:t>
            </w:r>
            <w:hyperlink r:id="rId12" w:history="1">
              <w:r w:rsidR="00C35336" w:rsidRPr="00762D39">
                <w:rPr>
                  <w:rStyle w:val="Hyperlink"/>
                  <w:rFonts w:ascii="Times New Roman" w:eastAsia="Times New Roman" w:hAnsi="Times New Roman" w:cs="Times New Roman"/>
                  <w:sz w:val="20"/>
                  <w:szCs w:val="20"/>
                  <w:lang w:eastAsia="en-ZA"/>
                </w:rPr>
                <w:t>http://www.jstor.org/stable/20107445</w:t>
              </w:r>
            </w:hyperlink>
            <w:r w:rsidRPr="004D1E6F">
              <w:rPr>
                <w:rFonts w:ascii="Times New Roman" w:eastAsia="Times New Roman" w:hAnsi="Times New Roman" w:cs="Times New Roman"/>
                <w:color w:val="000000"/>
                <w:sz w:val="20"/>
                <w:szCs w:val="20"/>
                <w:lang w:eastAsia="en-ZA"/>
              </w:rPr>
              <w:t>.</w:t>
            </w:r>
          </w:p>
        </w:tc>
      </w:tr>
      <w:tr w:rsidR="002D7080" w:rsidRPr="004D1E6F" w14:paraId="0836C698"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903F765"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lastRenderedPageBreak/>
              <w:t xml:space="preserve">BAC7 What is the native range of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w:t>
            </w:r>
          </w:p>
        </w:tc>
      </w:tr>
      <w:tr w:rsidR="002D7080" w:rsidRPr="004D1E6F" w14:paraId="7AA40A02" w14:textId="77777777" w:rsidTr="002E2C37">
        <w:trPr>
          <w:cantSplit/>
          <w:trHeight w:val="70"/>
        </w:trPr>
        <w:tc>
          <w:tcPr>
            <w:tcW w:w="4950" w:type="dxa"/>
            <w:gridSpan w:val="3"/>
            <w:tcBorders>
              <w:top w:val="single" w:sz="4" w:space="0" w:color="auto"/>
              <w:left w:val="single" w:sz="4" w:space="0" w:color="auto"/>
              <w:bottom w:val="single" w:sz="4" w:space="0" w:color="auto"/>
              <w:right w:val="single" w:sz="4" w:space="0" w:color="auto"/>
            </w:tcBorders>
            <w:noWrap/>
          </w:tcPr>
          <w:p w14:paraId="386D7416" w14:textId="77777777" w:rsidR="002D7080" w:rsidRPr="004D1E6F" w:rsidRDefault="002D7080" w:rsidP="001C1A0B">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w:t>
            </w:r>
            <w:r w:rsidRPr="004D1E6F">
              <w:rPr>
                <w:rFonts w:ascii="Times New Roman" w:eastAsia="Times New Roman" w:hAnsi="Times New Roman" w:cs="Times New Roman"/>
                <w:color w:val="000000"/>
                <w:sz w:val="20"/>
                <w:szCs w:val="20"/>
                <w:lang w:eastAsia="en-ZA"/>
              </w:rPr>
              <w:t xml:space="preserve"> South-west </w:t>
            </w:r>
            <w:r w:rsidRPr="004D1E6F">
              <w:rPr>
                <w:rFonts w:ascii="Times New Roman" w:eastAsia="Times New Roman" w:hAnsi="Times New Roman" w:cs="Times New Roman"/>
                <w:sz w:val="20"/>
                <w:szCs w:val="20"/>
                <w:lang w:eastAsia="en-ZA"/>
              </w:rPr>
              <w:t xml:space="preserve">of Western </w:t>
            </w:r>
            <w:r w:rsidRPr="004D1E6F">
              <w:rPr>
                <w:rFonts w:ascii="Times New Roman" w:eastAsia="Times New Roman" w:hAnsi="Times New Roman" w:cs="Times New Roman"/>
                <w:color w:val="000000"/>
                <w:sz w:val="20"/>
                <w:szCs w:val="20"/>
                <w:lang w:eastAsia="en-ZA"/>
              </w:rPr>
              <w:t>Australia</w:t>
            </w:r>
          </w:p>
        </w:tc>
        <w:tc>
          <w:tcPr>
            <w:tcW w:w="3840" w:type="dxa"/>
            <w:tcBorders>
              <w:top w:val="single" w:sz="4" w:space="0" w:color="auto"/>
              <w:left w:val="single" w:sz="4" w:space="0" w:color="auto"/>
              <w:bottom w:val="single" w:sz="4" w:space="0" w:color="auto"/>
              <w:right w:val="single" w:sz="4" w:space="0" w:color="auto"/>
            </w:tcBorders>
          </w:tcPr>
          <w:p w14:paraId="5A0B32AD" w14:textId="77777777" w:rsidR="002D7080" w:rsidRPr="004D1E6F" w:rsidRDefault="002D7080" w:rsidP="001C1A0B">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 xml:space="preserve">Confidence: </w:t>
            </w:r>
            <w:r w:rsidRPr="004D1E6F">
              <w:rPr>
                <w:rFonts w:ascii="Times New Roman" w:eastAsia="Times New Roman" w:hAnsi="Times New Roman" w:cs="Times New Roman"/>
                <w:color w:val="000000"/>
                <w:sz w:val="20"/>
                <w:szCs w:val="20"/>
                <w:lang w:eastAsia="en-ZA"/>
              </w:rPr>
              <w:t>High</w:t>
            </w:r>
          </w:p>
        </w:tc>
      </w:tr>
      <w:tr w:rsidR="002D7080" w:rsidRPr="004D1E6F" w14:paraId="4586461B"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220F5E7"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sidRPr="004D1E6F">
              <w:rPr>
                <w:rFonts w:ascii="Times New Roman" w:eastAsia="Times New Roman" w:hAnsi="Times New Roman" w:cs="Times New Roman"/>
                <w:i/>
                <w:sz w:val="20"/>
                <w:szCs w:val="20"/>
                <w:lang w:eastAsia="en-ZA"/>
              </w:rPr>
              <w:t xml:space="preserve"> Cherax cainii</w:t>
            </w:r>
            <w:r w:rsidRPr="004D1E6F">
              <w:rPr>
                <w:rFonts w:ascii="Times New Roman" w:eastAsia="Times New Roman" w:hAnsi="Times New Roman" w:cs="Times New Roman"/>
                <w:sz w:val="20"/>
                <w:szCs w:val="20"/>
                <w:lang w:eastAsia="en-ZA"/>
              </w:rPr>
              <w:t xml:space="preserve"> is native to the South-west of Western Australia (Austin &amp; Ryan 2002; Beatty et al. 2004).</w:t>
            </w:r>
          </w:p>
        </w:tc>
      </w:tr>
      <w:tr w:rsidR="002D7080" w:rsidRPr="004D1E6F" w14:paraId="64AB3A12"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4B3C5393"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645F101B" w14:textId="565C741A" w:rsidR="002D7080" w:rsidRPr="004D1E6F" w:rsidRDefault="002D7080" w:rsidP="004D419F">
            <w:pPr>
              <w:spacing w:after="0"/>
              <w:ind w:left="772" w:hanging="772"/>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Austin, C.M. &amp; Ryan, S.G., 2002, ‘Allozyme evidence for a new species of freshwater crayfish of genus </w:t>
            </w:r>
            <w:r w:rsidRPr="004D1E6F">
              <w:rPr>
                <w:rFonts w:ascii="Times New Roman" w:eastAsia="Times New Roman" w:hAnsi="Times New Roman" w:cs="Times New Roman"/>
                <w:i/>
                <w:color w:val="000000"/>
                <w:sz w:val="20"/>
                <w:szCs w:val="20"/>
                <w:lang w:eastAsia="en-ZA"/>
              </w:rPr>
              <w:t>Cherax</w:t>
            </w:r>
            <w:r w:rsidRPr="004D1E6F">
              <w:rPr>
                <w:rFonts w:ascii="Times New Roman" w:eastAsia="Times New Roman" w:hAnsi="Times New Roman" w:cs="Times New Roman"/>
                <w:color w:val="000000"/>
                <w:sz w:val="20"/>
                <w:szCs w:val="20"/>
                <w:lang w:eastAsia="en-ZA"/>
              </w:rPr>
              <w:t xml:space="preserve"> Erichson (Decapoda: Parastacidae) form the south-west of Western Australia’, </w:t>
            </w:r>
            <w:r w:rsidRPr="004D1E6F">
              <w:rPr>
                <w:rFonts w:ascii="Times New Roman" w:eastAsia="Times New Roman" w:hAnsi="Times New Roman" w:cs="Times New Roman"/>
                <w:i/>
                <w:color w:val="000000"/>
                <w:sz w:val="20"/>
                <w:szCs w:val="20"/>
                <w:lang w:eastAsia="en-ZA"/>
              </w:rPr>
              <w:t>Invertebrate Systematics</w:t>
            </w:r>
            <w:r w:rsidRPr="004D1E6F">
              <w:rPr>
                <w:rFonts w:ascii="Times New Roman" w:eastAsia="Times New Roman" w:hAnsi="Times New Roman" w:cs="Times New Roman"/>
                <w:color w:val="000000"/>
                <w:sz w:val="20"/>
                <w:szCs w:val="20"/>
                <w:lang w:eastAsia="en-ZA"/>
              </w:rPr>
              <w:t xml:space="preserve"> 16, 357–367, </w:t>
            </w:r>
            <w:hyperlink r:id="rId13" w:history="1">
              <w:r w:rsidR="00C35336" w:rsidRPr="00762D39">
                <w:rPr>
                  <w:rStyle w:val="Hyperlink"/>
                  <w:rFonts w:ascii="Times New Roman" w:eastAsia="Times New Roman" w:hAnsi="Times New Roman" w:cs="Times New Roman"/>
                  <w:sz w:val="20"/>
                  <w:szCs w:val="20"/>
                  <w:lang w:eastAsia="en-ZA"/>
                </w:rPr>
                <w:t>https://doi.org/10.1071/IT01010</w:t>
              </w:r>
            </w:hyperlink>
            <w:r w:rsidRPr="004D1E6F">
              <w:rPr>
                <w:rFonts w:ascii="Times New Roman" w:eastAsia="Times New Roman" w:hAnsi="Times New Roman" w:cs="Times New Roman"/>
                <w:color w:val="000000"/>
                <w:sz w:val="20"/>
                <w:szCs w:val="20"/>
                <w:lang w:eastAsia="en-ZA"/>
              </w:rPr>
              <w:t>.</w:t>
            </w:r>
            <w:r w:rsidR="00C35336">
              <w:rPr>
                <w:rFonts w:ascii="Times New Roman" w:eastAsia="Times New Roman" w:hAnsi="Times New Roman" w:cs="Times New Roman"/>
                <w:color w:val="000000"/>
                <w:sz w:val="20"/>
                <w:szCs w:val="20"/>
                <w:lang w:eastAsia="en-ZA"/>
              </w:rPr>
              <w:t xml:space="preserve"> </w:t>
            </w:r>
          </w:p>
          <w:p w14:paraId="2DF9D69E" w14:textId="3FEB982F" w:rsidR="002D7080" w:rsidRPr="004D1E6F" w:rsidRDefault="002D7080" w:rsidP="004D419F">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Calibri" w:hAnsi="Times New Roman" w:cs="Times New Roman"/>
                <w:sz w:val="20"/>
                <w:szCs w:val="20"/>
                <w:shd w:val="clear" w:color="auto" w:fill="FFFFFF"/>
              </w:rPr>
              <w:t xml:space="preserve">Beatty, S.J., Morgan, D. L. &amp; Gill, H. S., 2004, ‘Biology of a translocated population of the large freshwater crayfish, </w:t>
            </w:r>
            <w:r w:rsidRPr="004D1E6F">
              <w:rPr>
                <w:rFonts w:ascii="Times New Roman" w:eastAsia="Calibri" w:hAnsi="Times New Roman" w:cs="Times New Roman"/>
                <w:i/>
                <w:sz w:val="20"/>
                <w:szCs w:val="20"/>
                <w:shd w:val="clear" w:color="auto" w:fill="FFFFFF"/>
              </w:rPr>
              <w:t>Cherax cainii</w:t>
            </w:r>
            <w:r w:rsidRPr="004D1E6F">
              <w:rPr>
                <w:rFonts w:ascii="Times New Roman" w:eastAsia="Calibri" w:hAnsi="Times New Roman" w:cs="Times New Roman"/>
                <w:sz w:val="20"/>
                <w:szCs w:val="20"/>
                <w:shd w:val="clear" w:color="auto" w:fill="FFFFFF"/>
              </w:rPr>
              <w:t xml:space="preserve"> Austin &amp; Ryan, 2002 in a Western Australian River’, </w:t>
            </w:r>
            <w:r w:rsidRPr="004D1E6F">
              <w:rPr>
                <w:rFonts w:ascii="Times New Roman" w:eastAsia="Calibri" w:hAnsi="Times New Roman" w:cs="Times New Roman"/>
                <w:i/>
                <w:iCs/>
                <w:sz w:val="20"/>
                <w:szCs w:val="20"/>
                <w:shd w:val="clear" w:color="auto" w:fill="FFFFFF"/>
              </w:rPr>
              <w:t>Crustaceana</w:t>
            </w:r>
            <w:r w:rsidRPr="004D1E6F">
              <w:rPr>
                <w:rFonts w:ascii="Times New Roman" w:eastAsia="Calibri" w:hAnsi="Times New Roman" w:cs="Times New Roman"/>
                <w:sz w:val="20"/>
                <w:szCs w:val="20"/>
                <w:shd w:val="clear" w:color="auto" w:fill="FFFFFF"/>
              </w:rPr>
              <w:t xml:space="preserve"> </w:t>
            </w:r>
            <w:r w:rsidRPr="004D1E6F">
              <w:rPr>
                <w:rFonts w:ascii="Times New Roman" w:eastAsia="Calibri" w:hAnsi="Times New Roman" w:cs="Times New Roman"/>
                <w:iCs/>
                <w:sz w:val="20"/>
                <w:szCs w:val="20"/>
                <w:shd w:val="clear" w:color="auto" w:fill="FFFFFF"/>
              </w:rPr>
              <w:t>77</w:t>
            </w:r>
            <w:r w:rsidRPr="004D1E6F">
              <w:rPr>
                <w:rFonts w:ascii="Times New Roman" w:eastAsia="Calibri" w:hAnsi="Times New Roman" w:cs="Times New Roman"/>
                <w:sz w:val="20"/>
                <w:szCs w:val="20"/>
                <w:shd w:val="clear" w:color="auto" w:fill="FFFFFF"/>
              </w:rPr>
              <w:t>, 1329</w:t>
            </w:r>
            <w:r w:rsidRPr="004D1E6F">
              <w:rPr>
                <w:rFonts w:ascii="Times New Roman" w:eastAsia="Times New Roman" w:hAnsi="Times New Roman" w:cs="Times New Roman"/>
                <w:sz w:val="20"/>
                <w:szCs w:val="20"/>
                <w:lang w:eastAsia="en-ZA"/>
              </w:rPr>
              <w:t>–</w:t>
            </w:r>
            <w:r w:rsidRPr="004D1E6F">
              <w:rPr>
                <w:rFonts w:ascii="Times New Roman" w:eastAsia="Calibri" w:hAnsi="Times New Roman" w:cs="Times New Roman"/>
                <w:sz w:val="20"/>
                <w:szCs w:val="20"/>
                <w:shd w:val="clear" w:color="auto" w:fill="FFFFFF"/>
              </w:rPr>
              <w:t xml:space="preserve">1351, </w:t>
            </w:r>
            <w:hyperlink r:id="rId14" w:history="1">
              <w:r w:rsidR="00C35336" w:rsidRPr="00C35336">
                <w:rPr>
                  <w:rStyle w:val="Hyperlink"/>
                  <w:rFonts w:ascii="Times New Roman" w:eastAsia="Times New Roman" w:hAnsi="Times New Roman" w:cs="Times New Roman"/>
                  <w:sz w:val="20"/>
                  <w:szCs w:val="20"/>
                  <w:lang w:eastAsia="en-ZA"/>
                </w:rPr>
                <w:t>http://www.jstor.org/stable/20107445</w:t>
              </w:r>
            </w:hyperlink>
            <w:r w:rsidRPr="004D1E6F">
              <w:rPr>
                <w:rFonts w:ascii="Times New Roman" w:eastAsia="Calibri" w:hAnsi="Times New Roman" w:cs="Times New Roman"/>
                <w:sz w:val="20"/>
                <w:szCs w:val="20"/>
                <w:shd w:val="clear" w:color="auto" w:fill="FFFFFF"/>
              </w:rPr>
              <w:t>.</w:t>
            </w:r>
          </w:p>
        </w:tc>
      </w:tr>
      <w:tr w:rsidR="002D7080" w:rsidRPr="004D1E6F" w14:paraId="7CF3510E"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7DFBA1B"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BAC8 What is the global alien range of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w:t>
            </w:r>
          </w:p>
        </w:tc>
      </w:tr>
      <w:tr w:rsidR="002D7080" w:rsidRPr="004D1E6F" w14:paraId="3FB7C94A" w14:textId="77777777" w:rsidTr="002E2C37">
        <w:trPr>
          <w:cantSplit/>
          <w:trHeight w:val="70"/>
        </w:trPr>
        <w:tc>
          <w:tcPr>
            <w:tcW w:w="4950" w:type="dxa"/>
            <w:gridSpan w:val="3"/>
            <w:tcBorders>
              <w:top w:val="single" w:sz="4" w:space="0" w:color="auto"/>
              <w:left w:val="single" w:sz="4" w:space="0" w:color="auto"/>
              <w:bottom w:val="single" w:sz="4" w:space="0" w:color="auto"/>
              <w:right w:val="single" w:sz="4" w:space="0" w:color="auto"/>
            </w:tcBorders>
            <w:noWrap/>
          </w:tcPr>
          <w:p w14:paraId="1D798F95" w14:textId="77777777" w:rsidR="002D7080" w:rsidRPr="004D1E6F" w:rsidRDefault="002D7080" w:rsidP="001C1A0B">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 xml:space="preserve">Response: Australia, </w:t>
            </w:r>
            <w:r w:rsidRPr="004D1E6F">
              <w:rPr>
                <w:rFonts w:ascii="Times New Roman" w:eastAsia="Times New Roman" w:hAnsi="Times New Roman" w:cs="Times New Roman"/>
                <w:color w:val="000000"/>
                <w:sz w:val="20"/>
                <w:szCs w:val="20"/>
                <w:lang w:eastAsia="en-ZA"/>
              </w:rPr>
              <w:t>Chile, China, Japan, New Zealand, South Africa, the U.K., the U.S.A, Zambia, and Zimbabwe (Nunes et al. 2017), see Appendix BAC8a, b.</w:t>
            </w:r>
          </w:p>
        </w:tc>
        <w:tc>
          <w:tcPr>
            <w:tcW w:w="3840" w:type="dxa"/>
            <w:tcBorders>
              <w:top w:val="single" w:sz="4" w:space="0" w:color="auto"/>
              <w:left w:val="single" w:sz="4" w:space="0" w:color="auto"/>
              <w:bottom w:val="single" w:sz="4" w:space="0" w:color="auto"/>
              <w:right w:val="single" w:sz="4" w:space="0" w:color="auto"/>
            </w:tcBorders>
          </w:tcPr>
          <w:p w14:paraId="5B860698" w14:textId="77777777" w:rsidR="002D7080" w:rsidRPr="004D1E6F" w:rsidRDefault="002D7080" w:rsidP="001C1A0B">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 xml:space="preserve">Confidence: </w:t>
            </w:r>
            <w:r w:rsidRPr="004D1E6F">
              <w:rPr>
                <w:rFonts w:ascii="Times New Roman" w:eastAsia="Times New Roman" w:hAnsi="Times New Roman" w:cs="Times New Roman"/>
                <w:color w:val="000000"/>
                <w:sz w:val="20"/>
                <w:szCs w:val="20"/>
                <w:lang w:eastAsia="en-ZA"/>
              </w:rPr>
              <w:t>Medium</w:t>
            </w:r>
          </w:p>
        </w:tc>
      </w:tr>
      <w:tr w:rsidR="002D7080" w:rsidRPr="004D1E6F" w14:paraId="2D075912"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8B1EE15"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Times New Roman" w:hAnsi="Times New Roman" w:cs="Times New Roman"/>
                <w:iCs/>
                <w:color w:val="000000"/>
                <w:sz w:val="20"/>
                <w:szCs w:val="20"/>
                <w:lang w:eastAsia="en-ZA"/>
              </w:rPr>
              <w:t xml:space="preserve">Mostly due to commercial aquaculture and recreational fishing industries, </w:t>
            </w:r>
            <w:r w:rsidRPr="004D1E6F">
              <w:rPr>
                <w:rFonts w:ascii="Times New Roman" w:eastAsia="Times New Roman" w:hAnsi="Times New Roman" w:cs="Times New Roman"/>
                <w:i/>
                <w:iCs/>
                <w:color w:val="000000"/>
                <w:sz w:val="20"/>
                <w:szCs w:val="20"/>
                <w:lang w:eastAsia="en-ZA"/>
              </w:rPr>
              <w:t>C. cainii</w:t>
            </w:r>
            <w:r w:rsidRPr="004D1E6F">
              <w:rPr>
                <w:rFonts w:ascii="Times New Roman" w:eastAsia="Times New Roman" w:hAnsi="Times New Roman" w:cs="Times New Roman"/>
                <w:iCs/>
                <w:color w:val="000000"/>
                <w:sz w:val="20"/>
                <w:szCs w:val="20"/>
                <w:lang w:eastAsia="en-ZA"/>
              </w:rPr>
              <w:t xml:space="preserve"> has been translocated to different parts of Australia (Western Australia, South Australia, Queensland, Victoria and New South Wales (Bryant &amp; Papas 2007)). Globally,</w:t>
            </w:r>
            <w:r w:rsidRPr="004D1E6F">
              <w:rPr>
                <w:rFonts w:ascii="Times New Roman" w:eastAsia="Times New Roman" w:hAnsi="Times New Roman" w:cs="Times New Roman"/>
                <w:i/>
                <w:color w:val="000000"/>
                <w:sz w:val="20"/>
                <w:szCs w:val="20"/>
                <w:lang w:eastAsia="en-ZA"/>
              </w:rPr>
              <w:t xml:space="preserve"> C. cainii</w:t>
            </w:r>
            <w:r w:rsidRPr="004D1E6F">
              <w:rPr>
                <w:rFonts w:ascii="Times New Roman" w:eastAsia="Times New Roman" w:hAnsi="Times New Roman" w:cs="Times New Roman"/>
                <w:color w:val="000000"/>
                <w:sz w:val="20"/>
                <w:szCs w:val="20"/>
                <w:lang w:eastAsia="en-ZA"/>
              </w:rPr>
              <w:t xml:space="preserve"> has been introduced for aquaculture in several countries, but there is no evidence of naturalised populations in any of the areas of introduction (Lawrence &amp; Jones 2002; Beatty et al. 2004; CABI 2019).</w:t>
            </w:r>
          </w:p>
        </w:tc>
      </w:tr>
      <w:tr w:rsidR="002D7080" w:rsidRPr="004D1E6F" w14:paraId="7EE4F050"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DF0DF49"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6CB29B87" w14:textId="52B09A64" w:rsidR="002D7080" w:rsidRPr="004D1E6F" w:rsidRDefault="002D7080" w:rsidP="001C1A0B">
            <w:pPr>
              <w:spacing w:after="0"/>
              <w:ind w:left="720" w:hanging="720"/>
              <w:jc w:val="both"/>
              <w:rPr>
                <w:rFonts w:ascii="Times New Roman" w:eastAsia="Calibri" w:hAnsi="Times New Roman" w:cs="Times New Roman"/>
                <w:sz w:val="20"/>
                <w:szCs w:val="20"/>
                <w:shd w:val="clear" w:color="auto" w:fill="FFFFFF"/>
              </w:rPr>
            </w:pPr>
            <w:r w:rsidRPr="004D1E6F">
              <w:rPr>
                <w:rFonts w:ascii="Times New Roman" w:eastAsia="Calibri" w:hAnsi="Times New Roman" w:cs="Times New Roman"/>
                <w:sz w:val="20"/>
                <w:szCs w:val="20"/>
                <w:shd w:val="clear" w:color="auto" w:fill="FFFFFF"/>
              </w:rPr>
              <w:t xml:space="preserve">Beatty, S.J., Morgan, D.L. &amp; Gill, H.S., 2004, ‘Biology of a translocated population of the large freshwater crayfish, </w:t>
            </w:r>
            <w:r w:rsidRPr="004D1E6F">
              <w:rPr>
                <w:rFonts w:ascii="Times New Roman" w:eastAsia="Calibri" w:hAnsi="Times New Roman" w:cs="Times New Roman"/>
                <w:i/>
                <w:sz w:val="20"/>
                <w:szCs w:val="20"/>
                <w:shd w:val="clear" w:color="auto" w:fill="FFFFFF"/>
              </w:rPr>
              <w:t>Cherax cainii</w:t>
            </w:r>
            <w:r w:rsidRPr="004D1E6F">
              <w:rPr>
                <w:rFonts w:ascii="Times New Roman" w:eastAsia="Calibri" w:hAnsi="Times New Roman" w:cs="Times New Roman"/>
                <w:sz w:val="20"/>
                <w:szCs w:val="20"/>
                <w:shd w:val="clear" w:color="auto" w:fill="FFFFFF"/>
              </w:rPr>
              <w:t xml:space="preserve"> Austin &amp; Ryan, 2002 in a Western Australian River’, </w:t>
            </w:r>
            <w:r w:rsidRPr="004D1E6F">
              <w:rPr>
                <w:rFonts w:ascii="Times New Roman" w:eastAsia="Calibri" w:hAnsi="Times New Roman" w:cs="Times New Roman"/>
                <w:i/>
                <w:iCs/>
                <w:sz w:val="20"/>
                <w:szCs w:val="20"/>
                <w:shd w:val="clear" w:color="auto" w:fill="FFFFFF"/>
              </w:rPr>
              <w:t>Crustaceana</w:t>
            </w:r>
            <w:r w:rsidRPr="004D1E6F">
              <w:rPr>
                <w:rFonts w:ascii="Times New Roman" w:eastAsia="Calibri" w:hAnsi="Times New Roman" w:cs="Times New Roman"/>
                <w:sz w:val="20"/>
                <w:szCs w:val="20"/>
                <w:shd w:val="clear" w:color="auto" w:fill="FFFFFF"/>
              </w:rPr>
              <w:t xml:space="preserve"> </w:t>
            </w:r>
            <w:r w:rsidRPr="004D1E6F">
              <w:rPr>
                <w:rFonts w:ascii="Times New Roman" w:eastAsia="Calibri" w:hAnsi="Times New Roman" w:cs="Times New Roman"/>
                <w:iCs/>
                <w:sz w:val="20"/>
                <w:szCs w:val="20"/>
                <w:shd w:val="clear" w:color="auto" w:fill="FFFFFF"/>
              </w:rPr>
              <w:t>77</w:t>
            </w:r>
            <w:r w:rsidRPr="004D1E6F">
              <w:rPr>
                <w:rFonts w:ascii="Times New Roman" w:eastAsia="Calibri" w:hAnsi="Times New Roman" w:cs="Times New Roman"/>
                <w:sz w:val="20"/>
                <w:szCs w:val="20"/>
                <w:shd w:val="clear" w:color="auto" w:fill="FFFFFF"/>
              </w:rPr>
              <w:t>: 1329</w:t>
            </w:r>
            <w:r w:rsidRPr="004D1E6F">
              <w:rPr>
                <w:rFonts w:ascii="Times New Roman" w:eastAsia="Times New Roman" w:hAnsi="Times New Roman" w:cs="Times New Roman"/>
                <w:sz w:val="20"/>
                <w:szCs w:val="20"/>
                <w:lang w:eastAsia="en-ZA"/>
              </w:rPr>
              <w:t>–</w:t>
            </w:r>
            <w:r w:rsidRPr="004D1E6F">
              <w:rPr>
                <w:rFonts w:ascii="Times New Roman" w:eastAsia="Calibri" w:hAnsi="Times New Roman" w:cs="Times New Roman"/>
                <w:sz w:val="20"/>
                <w:szCs w:val="20"/>
                <w:shd w:val="clear" w:color="auto" w:fill="FFFFFF"/>
              </w:rPr>
              <w:t>1351</w:t>
            </w:r>
            <w:r w:rsidR="00C35336">
              <w:rPr>
                <w:rFonts w:ascii="Times New Roman" w:eastAsia="Calibri" w:hAnsi="Times New Roman" w:cs="Times New Roman"/>
                <w:sz w:val="20"/>
                <w:szCs w:val="20"/>
                <w:shd w:val="clear" w:color="auto" w:fill="FFFFFF"/>
              </w:rPr>
              <w:t xml:space="preserve">, </w:t>
            </w:r>
            <w:hyperlink r:id="rId15" w:history="1">
              <w:r w:rsidR="00C35336" w:rsidRPr="00762D39">
                <w:rPr>
                  <w:rStyle w:val="Hyperlink"/>
                  <w:rFonts w:ascii="Times New Roman" w:eastAsia="Calibri" w:hAnsi="Times New Roman" w:cs="Times New Roman"/>
                  <w:sz w:val="20"/>
                  <w:szCs w:val="20"/>
                  <w:shd w:val="clear" w:color="auto" w:fill="FFFFFF"/>
                </w:rPr>
                <w:t>http://www.jstor.org/stable/20107445</w:t>
              </w:r>
            </w:hyperlink>
            <w:r w:rsidRPr="004D1E6F">
              <w:rPr>
                <w:rFonts w:ascii="Times New Roman" w:eastAsia="Calibri" w:hAnsi="Times New Roman" w:cs="Times New Roman"/>
                <w:sz w:val="20"/>
                <w:szCs w:val="20"/>
                <w:shd w:val="clear" w:color="auto" w:fill="FFFFFF"/>
              </w:rPr>
              <w:t>.</w:t>
            </w:r>
          </w:p>
          <w:p w14:paraId="1B058A19" w14:textId="77777777" w:rsidR="002D7080" w:rsidRPr="004D1E6F" w:rsidRDefault="002D7080" w:rsidP="001C1A0B">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Lawrence, C &amp; Jones, C., 2002, ‘</w:t>
            </w:r>
            <w:r w:rsidRPr="004D1E6F">
              <w:rPr>
                <w:rFonts w:ascii="Times New Roman" w:eastAsia="Times New Roman" w:hAnsi="Times New Roman" w:cs="Times New Roman"/>
                <w:i/>
                <w:iCs/>
                <w:color w:val="000000"/>
                <w:sz w:val="20"/>
                <w:szCs w:val="20"/>
                <w:lang w:eastAsia="en-ZA"/>
              </w:rPr>
              <w:t>Cherax</w:t>
            </w:r>
            <w:r w:rsidRPr="004D1E6F">
              <w:rPr>
                <w:rFonts w:ascii="Times New Roman" w:eastAsia="Times New Roman" w:hAnsi="Times New Roman" w:cs="Times New Roman"/>
                <w:color w:val="000000"/>
                <w:sz w:val="20"/>
                <w:szCs w:val="20"/>
                <w:lang w:eastAsia="en-ZA"/>
              </w:rPr>
              <w:t xml:space="preserve">’, in D.M. Holdich (ed.), </w:t>
            </w:r>
            <w:r w:rsidRPr="004D1E6F">
              <w:rPr>
                <w:rFonts w:ascii="Times New Roman" w:eastAsia="Times New Roman" w:hAnsi="Times New Roman" w:cs="Times New Roman"/>
                <w:i/>
                <w:color w:val="000000"/>
                <w:sz w:val="20"/>
                <w:szCs w:val="20"/>
                <w:lang w:eastAsia="en-ZA"/>
              </w:rPr>
              <w:t>Biology of freshwater crayfish</w:t>
            </w:r>
            <w:r w:rsidRPr="004D1E6F">
              <w:rPr>
                <w:rFonts w:ascii="Times New Roman" w:eastAsia="Times New Roman" w:hAnsi="Times New Roman" w:cs="Times New Roman"/>
                <w:color w:val="000000"/>
                <w:sz w:val="20"/>
                <w:szCs w:val="20"/>
                <w:lang w:eastAsia="en-ZA"/>
              </w:rPr>
              <w:t>, Blackwell Science, U.K</w:t>
            </w:r>
          </w:p>
          <w:p w14:paraId="3E8FA4E4" w14:textId="77777777" w:rsidR="002D7080" w:rsidRPr="004D1E6F" w:rsidRDefault="002D7080" w:rsidP="001C1A0B">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Bryant, D. &amp; Papas, P., 2007, ‘Marron </w:t>
            </w:r>
            <w:r w:rsidRPr="004D1E6F">
              <w:rPr>
                <w:rFonts w:ascii="Times New Roman" w:eastAsia="Times New Roman" w:hAnsi="Times New Roman" w:cs="Times New Roman"/>
                <w:i/>
                <w:color w:val="000000"/>
                <w:sz w:val="20"/>
                <w:szCs w:val="20"/>
                <w:lang w:eastAsia="en-ZA"/>
              </w:rPr>
              <w:t>Cherax cainii</w:t>
            </w:r>
            <w:r w:rsidRPr="004D1E6F">
              <w:rPr>
                <w:rFonts w:ascii="Times New Roman" w:eastAsia="Times New Roman" w:hAnsi="Times New Roman" w:cs="Times New Roman"/>
                <w:color w:val="000000"/>
                <w:sz w:val="20"/>
                <w:szCs w:val="20"/>
                <w:lang w:eastAsia="en-ZA"/>
              </w:rPr>
              <w:t xml:space="preserve"> (Austin) in Victoria – a literature review’, Arthur Rylah Institute for Environmental Research Technical Report Series No. 167, Department of Sustainability and Environment, Heidelberg.</w:t>
            </w:r>
          </w:p>
          <w:p w14:paraId="27B5A76E" w14:textId="77777777" w:rsidR="002D7080" w:rsidRPr="004D1E6F" w:rsidRDefault="002D7080" w:rsidP="001C1A0B">
            <w:pPr>
              <w:spacing w:after="0"/>
              <w:ind w:left="720" w:hanging="720"/>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CABI, 2019, ‘Invasive species compendium’, from https://www.cabi.org/isc/datasheet/89136.</w:t>
            </w:r>
          </w:p>
        </w:tc>
      </w:tr>
      <w:tr w:rsidR="002D7080" w:rsidRPr="004D1E6F" w14:paraId="5EA98709" w14:textId="77777777" w:rsidTr="002E2C37">
        <w:trPr>
          <w:cantSplit/>
          <w:trHeight w:val="143"/>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FE42699"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BAC9 Geographic scope =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 xml:space="preserve"> under consideration</w:t>
            </w:r>
          </w:p>
        </w:tc>
      </w:tr>
      <w:tr w:rsidR="002D7080" w:rsidRPr="004D1E6F" w14:paraId="3F102FAA"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28AE3ABD"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 xml:space="preserve"> of assessment: South Africa</w:t>
            </w:r>
          </w:p>
        </w:tc>
      </w:tr>
      <w:tr w:rsidR="002D7080" w:rsidRPr="004D1E6F" w14:paraId="2EC43906"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6B015FC7"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 Geographic scope of assessment is limited to South Africa.</w:t>
            </w:r>
          </w:p>
        </w:tc>
      </w:tr>
      <w:tr w:rsidR="002D7080" w:rsidRPr="004D1E6F" w14:paraId="15592203" w14:textId="77777777" w:rsidTr="002E2C37">
        <w:trPr>
          <w:trHeight w:val="242"/>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8CC6C07" w14:textId="77777777" w:rsidR="002D7080" w:rsidRPr="004D1E6F" w:rsidRDefault="002D7080" w:rsidP="001C1A0B">
            <w:pPr>
              <w:spacing w:after="0"/>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BAC10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present in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420FE680" w14:textId="77777777" w:rsidTr="002E2C37">
        <w:trPr>
          <w:trHeight w:val="70"/>
        </w:trPr>
        <w:tc>
          <w:tcPr>
            <w:tcW w:w="4950" w:type="dxa"/>
            <w:gridSpan w:val="3"/>
            <w:tcBorders>
              <w:top w:val="single" w:sz="4" w:space="0" w:color="auto"/>
              <w:left w:val="single" w:sz="4" w:space="0" w:color="auto"/>
              <w:bottom w:val="single" w:sz="4" w:space="0" w:color="auto"/>
              <w:right w:val="single" w:sz="4" w:space="0" w:color="auto"/>
            </w:tcBorders>
            <w:noWrap/>
          </w:tcPr>
          <w:p w14:paraId="177A7BEC" w14:textId="77777777" w:rsidR="002D7080" w:rsidRPr="004D1E6F" w:rsidRDefault="002D7080" w:rsidP="001C1A0B">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 xml:space="preserve">Response: </w:t>
            </w:r>
            <w:r w:rsidRPr="004D1E6F">
              <w:rPr>
                <w:rFonts w:ascii="Times New Roman" w:eastAsia="Times New Roman" w:hAnsi="Times New Roman" w:cs="Times New Roman"/>
                <w:color w:val="000000"/>
                <w:sz w:val="20"/>
                <w:szCs w:val="20"/>
                <w:lang w:eastAsia="en-ZA"/>
              </w:rPr>
              <w:t>Yes</w:t>
            </w:r>
          </w:p>
        </w:tc>
        <w:tc>
          <w:tcPr>
            <w:tcW w:w="3840" w:type="dxa"/>
            <w:tcBorders>
              <w:top w:val="single" w:sz="4" w:space="0" w:color="auto"/>
              <w:left w:val="single" w:sz="4" w:space="0" w:color="auto"/>
              <w:bottom w:val="single" w:sz="4" w:space="0" w:color="auto"/>
              <w:right w:val="single" w:sz="4" w:space="0" w:color="auto"/>
            </w:tcBorders>
          </w:tcPr>
          <w:p w14:paraId="50F0D45D" w14:textId="77777777" w:rsidR="002D7080" w:rsidRPr="004D1E6F" w:rsidRDefault="002D7080" w:rsidP="001C1A0B">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6CBD7332"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770A99DC" w14:textId="6396A47E"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Calibri" w:hAnsi="Times New Roman" w:cs="Times New Roman"/>
                <w:i/>
                <w:iCs/>
                <w:sz w:val="20"/>
                <w:szCs w:val="20"/>
              </w:rPr>
              <w:t xml:space="preserve">Cherax cainii </w:t>
            </w:r>
            <w:r w:rsidRPr="004D1E6F">
              <w:rPr>
                <w:rFonts w:ascii="Times New Roman" w:eastAsia="Arial" w:hAnsi="Times New Roman" w:cs="Times New Roman"/>
                <w:sz w:val="20"/>
                <w:szCs w:val="20"/>
              </w:rPr>
              <w:t xml:space="preserve">is likely to be present in South Africa, because i) </w:t>
            </w:r>
            <w:r w:rsidRPr="004D1E6F">
              <w:rPr>
                <w:rFonts w:ascii="Times New Roman" w:eastAsia="Calibri" w:hAnsi="Times New Roman" w:cs="Times New Roman"/>
                <w:sz w:val="20"/>
                <w:szCs w:val="20"/>
              </w:rPr>
              <w:t xml:space="preserve">this species is widely utilised for aquaculture and more widespread globally, whereas </w:t>
            </w:r>
            <w:r w:rsidRPr="004D1E6F">
              <w:rPr>
                <w:rFonts w:ascii="Times New Roman" w:eastAsia="Calibri" w:hAnsi="Times New Roman" w:cs="Times New Roman"/>
                <w:i/>
                <w:sz w:val="20"/>
                <w:szCs w:val="20"/>
              </w:rPr>
              <w:t>C. tenuimanus</w:t>
            </w:r>
            <w:r w:rsidRPr="004D1E6F">
              <w:rPr>
                <w:rFonts w:ascii="Times New Roman" w:eastAsia="Calibri" w:hAnsi="Times New Roman" w:cs="Times New Roman"/>
                <w:sz w:val="20"/>
                <w:szCs w:val="20"/>
              </w:rPr>
              <w:t xml:space="preserve"> seems to be largely restricted to the Margaret River, Australia (Austin &amp; Ryan 2002); and ii) </w:t>
            </w:r>
            <w:r w:rsidRPr="004D1E6F">
              <w:rPr>
                <w:rFonts w:ascii="Times New Roman" w:eastAsia="Arial" w:hAnsi="Times New Roman" w:cs="Times New Roman"/>
                <w:sz w:val="20"/>
                <w:szCs w:val="20"/>
              </w:rPr>
              <w:t xml:space="preserve">there are import permits records that indicate that marron was introduced for aquaculture in the country starting in the 1970s (Nunes et al. 2017). Over the years it has been introduced to aquaculture farms in KwaZulu Natal, Free State, North West Province and the Eastern and Western Cape (Nunes et al, 2017; Madzivanzira et al, 2020) although more recently it has been reported that the only active facilities are now restricted to the Eastern Cape (Hinrichsen, 2019). However, there is still uncertainty as to whether the species being farmed are </w:t>
            </w:r>
            <w:r w:rsidRPr="004D1E6F">
              <w:rPr>
                <w:rFonts w:ascii="Times New Roman" w:eastAsia="Calibri" w:hAnsi="Times New Roman" w:cs="Times New Roman"/>
                <w:i/>
                <w:sz w:val="20"/>
                <w:szCs w:val="20"/>
              </w:rPr>
              <w:t>C.</w:t>
            </w:r>
            <w:r w:rsidRPr="004D1E6F">
              <w:rPr>
                <w:rFonts w:ascii="Times New Roman" w:eastAsia="Calibri" w:hAnsi="Times New Roman" w:cs="Times New Roman"/>
                <w:sz w:val="20"/>
                <w:szCs w:val="20"/>
              </w:rPr>
              <w:t xml:space="preserve"> </w:t>
            </w:r>
            <w:r w:rsidRPr="004D1E6F">
              <w:rPr>
                <w:rFonts w:ascii="Times New Roman" w:eastAsia="Calibri" w:hAnsi="Times New Roman" w:cs="Times New Roman"/>
                <w:i/>
                <w:iCs/>
                <w:sz w:val="20"/>
                <w:szCs w:val="20"/>
              </w:rPr>
              <w:t>cainii</w:t>
            </w:r>
            <w:r w:rsidRPr="004D1E6F">
              <w:rPr>
                <w:rFonts w:ascii="Times New Roman" w:eastAsia="Calibri" w:hAnsi="Times New Roman" w:cs="Times New Roman"/>
                <w:sz w:val="20"/>
                <w:szCs w:val="20"/>
              </w:rPr>
              <w:t xml:space="preserve"> or </w:t>
            </w:r>
            <w:r w:rsidRPr="004D1E6F">
              <w:rPr>
                <w:rFonts w:ascii="Times New Roman" w:eastAsia="Calibri" w:hAnsi="Times New Roman" w:cs="Times New Roman"/>
                <w:i/>
                <w:iCs/>
                <w:sz w:val="20"/>
                <w:szCs w:val="20"/>
              </w:rPr>
              <w:t>C. tenuimanus</w:t>
            </w:r>
            <w:r w:rsidRPr="004D1E6F">
              <w:rPr>
                <w:rFonts w:ascii="Times New Roman" w:eastAsia="Calibri" w:hAnsi="Times New Roman" w:cs="Times New Roman"/>
                <w:iCs/>
                <w:sz w:val="20"/>
                <w:szCs w:val="20"/>
              </w:rPr>
              <w:t xml:space="preserve">. </w:t>
            </w:r>
            <w:r w:rsidRPr="004D1E6F">
              <w:rPr>
                <w:rFonts w:ascii="Times New Roman" w:eastAsia="Calibri" w:hAnsi="Times New Roman" w:cs="Times New Roman"/>
                <w:sz w:val="20"/>
                <w:szCs w:val="20"/>
              </w:rPr>
              <w:t xml:space="preserve">This needs to be genetically verified (Austin &amp; Ryan 2002; </w:t>
            </w:r>
            <w:r w:rsidR="008A0BC6">
              <w:rPr>
                <w:rFonts w:ascii="Times New Roman" w:eastAsia="Calibri" w:hAnsi="Times New Roman" w:cs="Times New Roman"/>
                <w:sz w:val="20"/>
                <w:szCs w:val="20"/>
              </w:rPr>
              <w:t>D</w:t>
            </w:r>
            <w:r w:rsidRPr="004D1E6F">
              <w:rPr>
                <w:rFonts w:ascii="Times New Roman" w:eastAsia="Calibri" w:hAnsi="Times New Roman" w:cs="Times New Roman"/>
                <w:sz w:val="20"/>
                <w:szCs w:val="20"/>
              </w:rPr>
              <w:t xml:space="preserve">e Moor 2002; Nunes et al. 2017). </w:t>
            </w:r>
            <w:r w:rsidRPr="004D1E6F">
              <w:rPr>
                <w:rFonts w:ascii="Times New Roman" w:eastAsia="Calibri" w:hAnsi="Times New Roman" w:cs="Times New Roman"/>
                <w:iCs/>
                <w:sz w:val="20"/>
                <w:szCs w:val="20"/>
              </w:rPr>
              <w:t xml:space="preserve">Specimens of </w:t>
            </w:r>
            <w:r w:rsidRPr="004D1E6F">
              <w:rPr>
                <w:rFonts w:ascii="Times New Roman" w:eastAsia="Calibri" w:hAnsi="Times New Roman" w:cs="Times New Roman"/>
                <w:i/>
                <w:iCs/>
                <w:sz w:val="20"/>
                <w:szCs w:val="20"/>
              </w:rPr>
              <w:t>Cherax</w:t>
            </w:r>
            <w:r w:rsidRPr="004D1E6F">
              <w:rPr>
                <w:rFonts w:ascii="Times New Roman" w:eastAsia="Calibri" w:hAnsi="Times New Roman" w:cs="Times New Roman"/>
                <w:iCs/>
                <w:sz w:val="20"/>
                <w:szCs w:val="20"/>
              </w:rPr>
              <w:t xml:space="preserve"> have previously been found outside of captivity in South Africa, </w:t>
            </w:r>
            <w:r w:rsidRPr="004D1E6F">
              <w:rPr>
                <w:rFonts w:ascii="Times New Roman" w:eastAsia="Arial" w:hAnsi="Times New Roman" w:cs="Times New Roman"/>
                <w:sz w:val="20"/>
                <w:szCs w:val="20"/>
              </w:rPr>
              <w:t xml:space="preserve">but currently </w:t>
            </w:r>
            <w:r w:rsidRPr="004D1E6F">
              <w:rPr>
                <w:rFonts w:ascii="Times New Roman" w:eastAsia="Arial" w:hAnsi="Times New Roman" w:cs="Times New Roman"/>
                <w:color w:val="000000"/>
                <w:sz w:val="20"/>
                <w:szCs w:val="20"/>
              </w:rPr>
              <w:t xml:space="preserve">there are no known naturalised populations </w:t>
            </w:r>
            <w:r w:rsidRPr="004D1E6F">
              <w:rPr>
                <w:rFonts w:ascii="Times New Roman" w:eastAsia="Arial" w:hAnsi="Times New Roman" w:cs="Times New Roman"/>
                <w:sz w:val="20"/>
                <w:szCs w:val="20"/>
              </w:rPr>
              <w:t>(Nunes et al. 2017; Zengeya &amp; Wilson 2020).</w:t>
            </w:r>
          </w:p>
        </w:tc>
      </w:tr>
      <w:tr w:rsidR="002D7080" w:rsidRPr="004D1E6F" w14:paraId="090C3C74"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3AF9431F"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0790BCC7" w14:textId="2B11C34E" w:rsidR="002D7080" w:rsidRPr="004D1E6F" w:rsidRDefault="002D7080" w:rsidP="00663569">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Austin, C.M. &amp; Ryan, S.G., 2002, ‘Allozyme evidence for a new species of freshwater crayfish of genus </w:t>
            </w:r>
            <w:r w:rsidRPr="004D1E6F">
              <w:rPr>
                <w:rFonts w:ascii="Times New Roman" w:eastAsia="Times New Roman" w:hAnsi="Times New Roman" w:cs="Times New Roman"/>
                <w:i/>
                <w:color w:val="000000"/>
                <w:sz w:val="20"/>
                <w:szCs w:val="20"/>
                <w:lang w:eastAsia="en-ZA"/>
              </w:rPr>
              <w:t>Cherax</w:t>
            </w:r>
            <w:r w:rsidRPr="004D1E6F">
              <w:rPr>
                <w:rFonts w:ascii="Times New Roman" w:eastAsia="Times New Roman" w:hAnsi="Times New Roman" w:cs="Times New Roman"/>
                <w:color w:val="000000"/>
                <w:sz w:val="20"/>
                <w:szCs w:val="20"/>
                <w:lang w:eastAsia="en-ZA"/>
              </w:rPr>
              <w:t xml:space="preserve"> Erichson (Decapoda: Parastacidae) form the south-west of Western Australia’, </w:t>
            </w:r>
            <w:r w:rsidRPr="004D1E6F">
              <w:rPr>
                <w:rFonts w:ascii="Times New Roman" w:eastAsia="Times New Roman" w:hAnsi="Times New Roman" w:cs="Times New Roman"/>
                <w:i/>
                <w:color w:val="000000"/>
                <w:sz w:val="20"/>
                <w:szCs w:val="20"/>
                <w:lang w:eastAsia="en-ZA"/>
              </w:rPr>
              <w:t>Invertebrate Systematics</w:t>
            </w:r>
            <w:r w:rsidRPr="004D1E6F">
              <w:rPr>
                <w:rFonts w:ascii="Times New Roman" w:eastAsia="Times New Roman" w:hAnsi="Times New Roman" w:cs="Times New Roman"/>
                <w:color w:val="000000"/>
                <w:sz w:val="20"/>
                <w:szCs w:val="20"/>
                <w:lang w:eastAsia="en-ZA"/>
              </w:rPr>
              <w:t xml:space="preserve"> 16, 357–367, </w:t>
            </w:r>
            <w:r w:rsidR="00821209" w:rsidRPr="00821209">
              <w:rPr>
                <w:rFonts w:ascii="Times New Roman" w:eastAsia="Times New Roman" w:hAnsi="Times New Roman" w:cs="Times New Roman"/>
                <w:sz w:val="20"/>
                <w:szCs w:val="20"/>
                <w:lang w:eastAsia="en-ZA"/>
              </w:rPr>
              <w:t>https://doi.org/10.1071/IT01010</w:t>
            </w:r>
            <w:r w:rsidRPr="004D1E6F">
              <w:rPr>
                <w:rFonts w:ascii="Times New Roman" w:eastAsia="Times New Roman" w:hAnsi="Times New Roman" w:cs="Times New Roman"/>
                <w:color w:val="000000"/>
                <w:sz w:val="20"/>
                <w:szCs w:val="20"/>
                <w:lang w:eastAsia="en-ZA"/>
              </w:rPr>
              <w:t>.</w:t>
            </w:r>
          </w:p>
          <w:p w14:paraId="56A6E0D4" w14:textId="74F80FF5" w:rsidR="002D7080" w:rsidRPr="004D1E6F" w:rsidRDefault="008A0BC6" w:rsidP="00663569">
            <w:pPr>
              <w:spacing w:after="0"/>
              <w:ind w:left="720" w:hanging="720"/>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lastRenderedPageBreak/>
              <w:t>D</w:t>
            </w:r>
            <w:r w:rsidR="002D7080" w:rsidRPr="004D1E6F">
              <w:rPr>
                <w:rFonts w:ascii="Times New Roman" w:eastAsia="Times New Roman" w:hAnsi="Times New Roman" w:cs="Times New Roman"/>
                <w:color w:val="000000"/>
                <w:sz w:val="20"/>
                <w:szCs w:val="20"/>
                <w:lang w:eastAsia="en-ZA"/>
              </w:rPr>
              <w:t xml:space="preserve">e Moor,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 </w:t>
            </w:r>
            <w:hyperlink r:id="rId16" w:history="1">
              <w:r w:rsidR="00821209" w:rsidRPr="00821209">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color w:val="000000"/>
                <w:sz w:val="20"/>
                <w:szCs w:val="20"/>
                <w:lang w:eastAsia="en-ZA"/>
              </w:rPr>
              <w:t>.</w:t>
            </w:r>
          </w:p>
          <w:p w14:paraId="5B0C0A3E" w14:textId="77777777" w:rsidR="002D7080" w:rsidRPr="004D1E6F" w:rsidRDefault="002D7080" w:rsidP="00663569">
            <w:pPr>
              <w:ind w:left="720" w:hanging="720"/>
              <w:contextualSpacing/>
              <w:jc w:val="both"/>
              <w:rPr>
                <w:rFonts w:ascii="Times New Roman" w:eastAsia="Calibri" w:hAnsi="Times New Roman" w:cs="Times New Roman"/>
                <w:sz w:val="20"/>
                <w:szCs w:val="20"/>
              </w:rPr>
            </w:pPr>
            <w:r w:rsidRPr="004D1E6F">
              <w:rPr>
                <w:rFonts w:ascii="Times New Roman" w:eastAsia="Times New Roman" w:hAnsi="Times New Roman" w:cs="Times New Roman"/>
                <w:sz w:val="20"/>
                <w:szCs w:val="20"/>
                <w:lang w:eastAsia="en-ZA"/>
              </w:rPr>
              <w:t>Hinrichsen, E. 2019. Biodiversity risk and benefit assessment for Smooth Marron (</w:t>
            </w:r>
            <w:r w:rsidRPr="004D1E6F">
              <w:rPr>
                <w:rFonts w:ascii="Times New Roman" w:eastAsia="Times New Roman" w:hAnsi="Times New Roman" w:cs="Times New Roman"/>
                <w:i/>
                <w:sz w:val="20"/>
                <w:szCs w:val="20"/>
                <w:lang w:eastAsia="en-ZA"/>
              </w:rPr>
              <w:t>Cherax cainii</w:t>
            </w:r>
            <w:r w:rsidRPr="004D1E6F">
              <w:rPr>
                <w:rFonts w:ascii="Times New Roman" w:eastAsia="Times New Roman" w:hAnsi="Times New Roman" w:cs="Times New Roman"/>
                <w:sz w:val="20"/>
                <w:szCs w:val="20"/>
                <w:lang w:eastAsia="en-ZA"/>
              </w:rPr>
              <w:t>) and Hairy Marron (</w:t>
            </w:r>
            <w:r w:rsidRPr="004D1E6F">
              <w:rPr>
                <w:rFonts w:ascii="Times New Roman" w:eastAsia="Times New Roman" w:hAnsi="Times New Roman" w:cs="Times New Roman"/>
                <w:i/>
                <w:sz w:val="20"/>
                <w:szCs w:val="20"/>
                <w:lang w:eastAsia="en-ZA"/>
              </w:rPr>
              <w:t>Cherax tenuimanus</w:t>
            </w:r>
            <w:r w:rsidRPr="004D1E6F">
              <w:rPr>
                <w:rFonts w:ascii="Times New Roman" w:eastAsia="Times New Roman" w:hAnsi="Times New Roman" w:cs="Times New Roman"/>
                <w:sz w:val="20"/>
                <w:szCs w:val="20"/>
                <w:lang w:eastAsia="en-ZA"/>
              </w:rPr>
              <w:t>) in South Africa. Report prepared for the Department of Environment, Forestry and Fisheries. Appendix C – 1.5 BRBA. 79pp.</w:t>
            </w:r>
          </w:p>
          <w:p w14:paraId="461BA877" w14:textId="485611B1" w:rsidR="00821209"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Madzivanzira, T.C., South, J., Wood, L.E., Nunes, A.L.</w:t>
            </w:r>
            <w:r w:rsidRPr="004D1E6F">
              <w:rPr>
                <w:rFonts w:ascii="Times New Roman" w:eastAsia="Times New Roman" w:hAnsi="Times New Roman" w:cs="Times New Roman"/>
                <w:color w:val="000000"/>
                <w:sz w:val="20"/>
                <w:szCs w:val="20"/>
                <w:lang w:eastAsia="en-ZA"/>
              </w:rPr>
              <w:t xml:space="preserve"> &amp; </w:t>
            </w:r>
            <w:r w:rsidRPr="004D1E6F">
              <w:rPr>
                <w:rFonts w:ascii="Times New Roman" w:eastAsia="Calibri" w:hAnsi="Times New Roman" w:cs="Times New Roman"/>
                <w:sz w:val="20"/>
                <w:szCs w:val="20"/>
              </w:rPr>
              <w:t xml:space="preserve">Weyl, O.L.F., 2020, ‘A review of freshwater crayfish introductions in Africa’, </w:t>
            </w:r>
            <w:r w:rsidRPr="004D1E6F">
              <w:rPr>
                <w:rFonts w:ascii="Times New Roman" w:eastAsia="Calibri" w:hAnsi="Times New Roman" w:cs="Times New Roman"/>
                <w:i/>
                <w:sz w:val="20"/>
                <w:szCs w:val="20"/>
              </w:rPr>
              <w:t>Reviews in</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Calibri" w:hAnsi="Times New Roman" w:cs="Times New Roman"/>
                <w:i/>
                <w:sz w:val="20"/>
                <w:szCs w:val="20"/>
              </w:rPr>
              <w:t>Fisheries Science &amp; Aquaculture</w:t>
            </w:r>
            <w:r w:rsidRPr="004D1E6F">
              <w:rPr>
                <w:rFonts w:ascii="Times New Roman" w:eastAsia="Calibri" w:hAnsi="Times New Roman" w:cs="Times New Roman"/>
                <w:sz w:val="20"/>
                <w:szCs w:val="20"/>
              </w:rPr>
              <w:t>,</w:t>
            </w:r>
            <w:r w:rsidRPr="004D1E6F">
              <w:rPr>
                <w:rFonts w:ascii="Times New Roman" w:eastAsia="Calibri" w:hAnsi="Times New Roman" w:cs="Times New Roman"/>
                <w:i/>
                <w:sz w:val="20"/>
                <w:szCs w:val="20"/>
              </w:rPr>
              <w:t xml:space="preserve"> </w:t>
            </w:r>
            <w:r w:rsidRPr="004D1E6F">
              <w:rPr>
                <w:rFonts w:ascii="Times New Roman" w:eastAsia="Calibri" w:hAnsi="Times New Roman" w:cs="Times New Roman"/>
                <w:sz w:val="20"/>
                <w:szCs w:val="20"/>
              </w:rPr>
              <w:t>1-21</w:t>
            </w:r>
            <w:r w:rsidR="00821209" w:rsidRPr="00821209">
              <w:rPr>
                <w:rFonts w:ascii="Times New Roman" w:eastAsia="Times New Roman" w:hAnsi="Times New Roman" w:cs="Times New Roman"/>
                <w:color w:val="000000"/>
                <w:sz w:val="20"/>
                <w:szCs w:val="20"/>
                <w:lang w:eastAsia="en-ZA"/>
              </w:rPr>
              <w:t xml:space="preserve"> </w:t>
            </w:r>
            <w:hyperlink r:id="rId17" w:history="1">
              <w:r w:rsidR="00821209" w:rsidRPr="00762D39">
                <w:rPr>
                  <w:rStyle w:val="Hyperlink"/>
                  <w:rFonts w:ascii="Times New Roman" w:eastAsia="Calibri" w:hAnsi="Times New Roman" w:cs="Times New Roman"/>
                  <w:sz w:val="20"/>
                  <w:szCs w:val="20"/>
                </w:rPr>
                <w:t>https://doi.org/10.1080/23308249.2020.1802405</w:t>
              </w:r>
            </w:hyperlink>
            <w:r w:rsidR="00821209">
              <w:rPr>
                <w:rFonts w:ascii="Times New Roman" w:eastAsia="Calibri" w:hAnsi="Times New Roman" w:cs="Times New Roman"/>
                <w:sz w:val="20"/>
                <w:szCs w:val="20"/>
              </w:rPr>
              <w:t>.</w:t>
            </w:r>
          </w:p>
          <w:p w14:paraId="2F59EF50" w14:textId="77777777" w:rsidR="00821209" w:rsidRDefault="002D7080" w:rsidP="00663569">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18" w:history="1">
              <w:r w:rsidR="00821209" w:rsidRPr="00821209">
                <w:rPr>
                  <w:rStyle w:val="Hyperlink"/>
                  <w:rFonts w:ascii="Times New Roman" w:eastAsia="Times New Roman" w:hAnsi="Times New Roman" w:cs="Times New Roman"/>
                  <w:sz w:val="20"/>
                  <w:szCs w:val="20"/>
                  <w:lang w:eastAsia="en-ZA"/>
                </w:rPr>
                <w:t>https://doi.org/10.2989/16085914.2017.1405788</w:t>
              </w:r>
            </w:hyperlink>
            <w:r w:rsidR="00821209">
              <w:rPr>
                <w:rFonts w:ascii="Times New Roman" w:eastAsia="Times New Roman" w:hAnsi="Times New Roman" w:cs="Times New Roman"/>
                <w:color w:val="000000"/>
                <w:sz w:val="20"/>
                <w:szCs w:val="20"/>
                <w:lang w:eastAsia="en-ZA"/>
              </w:rPr>
              <w:t>.</w:t>
            </w:r>
          </w:p>
          <w:p w14:paraId="4454ECC6" w14:textId="6F231141" w:rsidR="002D7080" w:rsidRPr="004D1E6F" w:rsidRDefault="002D7080" w:rsidP="00663569">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Calibri" w:hAnsi="Times New Roman" w:cs="Times New Roman"/>
                <w:sz w:val="20"/>
                <w:szCs w:val="20"/>
              </w:rPr>
              <w:t>Zengeya, T.A. &amp; Wilson, J.R., 2020, ‘The status of biological invasions and their management in South Africa in 2019’, South African National Biodiversity Institute, Kirstenbosch and DSI-NRF Centre of Excellence for Invasion Biology, Stellenbosch.</w:t>
            </w:r>
          </w:p>
        </w:tc>
      </w:tr>
      <w:tr w:rsidR="002D7080" w:rsidRPr="004D1E6F" w14:paraId="52764350" w14:textId="77777777" w:rsidTr="002E2C37">
        <w:trPr>
          <w:cantSplit/>
          <w:trHeight w:val="215"/>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577DD6C"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lastRenderedPageBreak/>
              <w:t>BAC11 Availability of physical specimen</w:t>
            </w:r>
          </w:p>
        </w:tc>
      </w:tr>
      <w:tr w:rsidR="002D7080" w:rsidRPr="004D1E6F" w14:paraId="628AF606" w14:textId="77777777" w:rsidTr="002E2C37">
        <w:trPr>
          <w:cantSplit/>
          <w:trHeight w:val="70"/>
        </w:trPr>
        <w:tc>
          <w:tcPr>
            <w:tcW w:w="4950" w:type="dxa"/>
            <w:gridSpan w:val="3"/>
            <w:tcBorders>
              <w:top w:val="single" w:sz="4" w:space="0" w:color="auto"/>
              <w:left w:val="single" w:sz="4" w:space="0" w:color="auto"/>
              <w:bottom w:val="single" w:sz="4" w:space="0" w:color="auto"/>
              <w:right w:val="single" w:sz="4" w:space="0" w:color="auto"/>
            </w:tcBorders>
            <w:noWrap/>
          </w:tcPr>
          <w:p w14:paraId="1E012E0E" w14:textId="77777777" w:rsidR="002D7080" w:rsidRPr="004D1E6F" w:rsidRDefault="002D7080" w:rsidP="001C1A0B">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 No</w:t>
            </w:r>
          </w:p>
        </w:tc>
        <w:tc>
          <w:tcPr>
            <w:tcW w:w="3840" w:type="dxa"/>
            <w:tcBorders>
              <w:top w:val="single" w:sz="4" w:space="0" w:color="auto"/>
              <w:left w:val="single" w:sz="4" w:space="0" w:color="auto"/>
              <w:bottom w:val="single" w:sz="4" w:space="0" w:color="auto"/>
              <w:right w:val="single" w:sz="4" w:space="0" w:color="auto"/>
            </w:tcBorders>
          </w:tcPr>
          <w:p w14:paraId="2E508855" w14:textId="77777777" w:rsidR="002D7080" w:rsidRPr="004D1E6F" w:rsidRDefault="002D7080" w:rsidP="001C1A0B">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in ID:</w:t>
            </w:r>
          </w:p>
        </w:tc>
      </w:tr>
      <w:tr w:rsidR="002D7080" w:rsidRPr="004D1E6F" w14:paraId="7E646806" w14:textId="77777777" w:rsidTr="002E2C37">
        <w:trPr>
          <w:cantSplit/>
          <w:trHeight w:val="148"/>
        </w:trPr>
        <w:tc>
          <w:tcPr>
            <w:tcW w:w="8790" w:type="dxa"/>
            <w:gridSpan w:val="4"/>
            <w:tcBorders>
              <w:top w:val="single" w:sz="4" w:space="0" w:color="auto"/>
              <w:left w:val="single" w:sz="4" w:space="0" w:color="auto"/>
              <w:bottom w:val="single" w:sz="4" w:space="0" w:color="auto"/>
              <w:right w:val="single" w:sz="4" w:space="0" w:color="auto"/>
            </w:tcBorders>
            <w:noWrap/>
          </w:tcPr>
          <w:p w14:paraId="080D3985"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Herbarium or museum accession number:</w:t>
            </w:r>
          </w:p>
        </w:tc>
      </w:tr>
      <w:tr w:rsidR="002D7080" w:rsidRPr="004D1E6F" w14:paraId="7268B41C"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6CF79DAC" w14:textId="77777777" w:rsidR="002D7080" w:rsidRPr="004D1E6F" w:rsidRDefault="002D7080" w:rsidP="001C1A0B">
            <w:pPr>
              <w:spacing w:after="0"/>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A8F363E"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5D29447" w14:textId="77777777" w:rsidR="002D7080" w:rsidRPr="004D1E6F" w:rsidRDefault="002D7080" w:rsidP="001C1A0B">
            <w:pPr>
              <w:spacing w:after="0"/>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BAC12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native to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 xml:space="preserve"> or part of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087131DF" w14:textId="77777777" w:rsidTr="002E2C37">
        <w:trPr>
          <w:cantSplit/>
          <w:trHeight w:val="7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320C92F"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native to (part of) the </w:t>
            </w: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w:t>
            </w:r>
          </w:p>
        </w:tc>
        <w:tc>
          <w:tcPr>
            <w:tcW w:w="1094" w:type="dxa"/>
            <w:tcBorders>
              <w:top w:val="single" w:sz="4" w:space="0" w:color="auto"/>
              <w:left w:val="nil"/>
              <w:bottom w:val="single" w:sz="4" w:space="0" w:color="auto"/>
              <w:right w:val="single" w:sz="4" w:space="0" w:color="auto"/>
            </w:tcBorders>
          </w:tcPr>
          <w:p w14:paraId="6BD2CFB0"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No </w:t>
            </w:r>
          </w:p>
        </w:tc>
        <w:tc>
          <w:tcPr>
            <w:tcW w:w="3840" w:type="dxa"/>
            <w:tcBorders>
              <w:top w:val="single" w:sz="4" w:space="0" w:color="auto"/>
              <w:left w:val="nil"/>
              <w:bottom w:val="single" w:sz="4" w:space="0" w:color="auto"/>
              <w:right w:val="single" w:sz="4" w:space="0" w:color="auto"/>
            </w:tcBorders>
          </w:tcPr>
          <w:p w14:paraId="117674F2"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49B029E8" w14:textId="77777777" w:rsidTr="002E2C37">
        <w:trPr>
          <w:cantSplit/>
          <w:trHeight w:val="7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992F633"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alien in (part of) the </w:t>
            </w: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w:t>
            </w:r>
          </w:p>
        </w:tc>
        <w:tc>
          <w:tcPr>
            <w:tcW w:w="1094" w:type="dxa"/>
            <w:tcBorders>
              <w:top w:val="single" w:sz="4" w:space="0" w:color="auto"/>
              <w:left w:val="nil"/>
              <w:bottom w:val="single" w:sz="4" w:space="0" w:color="auto"/>
              <w:right w:val="single" w:sz="4" w:space="0" w:color="auto"/>
            </w:tcBorders>
          </w:tcPr>
          <w:p w14:paraId="15FBF997"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Yes</w:t>
            </w:r>
          </w:p>
        </w:tc>
        <w:tc>
          <w:tcPr>
            <w:tcW w:w="3840" w:type="dxa"/>
            <w:tcBorders>
              <w:top w:val="single" w:sz="4" w:space="0" w:color="auto"/>
              <w:left w:val="nil"/>
              <w:bottom w:val="single" w:sz="4" w:space="0" w:color="auto"/>
              <w:right w:val="single" w:sz="4" w:space="0" w:color="auto"/>
            </w:tcBorders>
          </w:tcPr>
          <w:p w14:paraId="7EA2E174"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0FB1738E"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6449269" w14:textId="04762F6C"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Times New Roman" w:hAnsi="Times New Roman" w:cs="Times New Roman"/>
                <w:i/>
                <w:color w:val="000000"/>
                <w:sz w:val="20"/>
                <w:szCs w:val="20"/>
                <w:lang w:eastAsia="en-ZA"/>
              </w:rPr>
              <w:t>Cherax cainii</w:t>
            </w:r>
            <w:r w:rsidRPr="004D1E6F">
              <w:rPr>
                <w:rFonts w:ascii="Times New Roman" w:eastAsia="Times New Roman" w:hAnsi="Times New Roman" w:cs="Times New Roman"/>
                <w:color w:val="000000"/>
                <w:sz w:val="20"/>
                <w:szCs w:val="20"/>
                <w:lang w:eastAsia="en-ZA"/>
              </w:rPr>
              <w:t xml:space="preserve"> is native to Australia and there are no freshwater crayfish species native to South Africa (</w:t>
            </w:r>
            <w:r w:rsidR="008A0BC6">
              <w:rPr>
                <w:rFonts w:ascii="Times New Roman" w:eastAsia="Times New Roman" w:hAnsi="Times New Roman" w:cs="Times New Roman"/>
                <w:color w:val="000000"/>
                <w:sz w:val="20"/>
                <w:szCs w:val="20"/>
                <w:lang w:eastAsia="en-ZA"/>
              </w:rPr>
              <w:t>D</w:t>
            </w:r>
            <w:r w:rsidRPr="004D1E6F">
              <w:rPr>
                <w:rFonts w:ascii="Times New Roman" w:eastAsia="Times New Roman" w:hAnsi="Times New Roman" w:cs="Times New Roman"/>
                <w:color w:val="000000"/>
                <w:sz w:val="20"/>
                <w:szCs w:val="20"/>
                <w:lang w:eastAsia="en-ZA"/>
              </w:rPr>
              <w:t xml:space="preserve">e Moor 2002; Nunes et al. 2017). </w:t>
            </w:r>
          </w:p>
        </w:tc>
      </w:tr>
      <w:tr w:rsidR="002D7080" w:rsidRPr="004D1E6F" w14:paraId="2AA36D9F"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25AAC4E9"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2350EC92" w14:textId="1305FDE4" w:rsidR="002D7080" w:rsidRPr="004D1E6F" w:rsidRDefault="008A0BC6" w:rsidP="001C1A0B">
            <w:pPr>
              <w:spacing w:after="0"/>
              <w:ind w:left="720" w:hanging="720"/>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w:t>
            </w:r>
            <w:r w:rsidR="002D7080" w:rsidRPr="004D1E6F">
              <w:rPr>
                <w:rFonts w:ascii="Times New Roman" w:eastAsia="Times New Roman" w:hAnsi="Times New Roman" w:cs="Times New Roman"/>
                <w:color w:val="000000"/>
                <w:sz w:val="20"/>
                <w:szCs w:val="20"/>
                <w:lang w:eastAsia="en-ZA"/>
              </w:rPr>
              <w:t xml:space="preserve">e Moor,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 </w:t>
            </w:r>
            <w:r w:rsidR="00821209" w:rsidRPr="00821209">
              <w:rPr>
                <w:rFonts w:ascii="Times New Roman" w:eastAsia="Times New Roman" w:hAnsi="Times New Roman" w:cs="Times New Roman"/>
                <w:sz w:val="20"/>
                <w:szCs w:val="20"/>
                <w:lang w:eastAsia="en-ZA"/>
              </w:rPr>
              <w:t xml:space="preserve">, </w:t>
            </w:r>
            <w:hyperlink r:id="rId19" w:history="1">
              <w:r w:rsidR="00821209" w:rsidRPr="00821209">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color w:val="000000"/>
                <w:sz w:val="20"/>
                <w:szCs w:val="20"/>
                <w:lang w:eastAsia="en-ZA"/>
              </w:rPr>
              <w:t>.</w:t>
            </w:r>
          </w:p>
          <w:p w14:paraId="72907347" w14:textId="58E45A16" w:rsidR="002D7080" w:rsidRPr="004D1E6F" w:rsidRDefault="002D7080" w:rsidP="001C1A0B">
            <w:pPr>
              <w:spacing w:after="0"/>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20" w:history="1">
              <w:r w:rsidR="00821209" w:rsidRPr="00821209">
                <w:rPr>
                  <w:rStyle w:val="Hyperlink"/>
                  <w:rFonts w:ascii="Times New Roman" w:eastAsia="Times New Roman" w:hAnsi="Times New Roman" w:cs="Times New Roman"/>
                  <w:sz w:val="20"/>
                  <w:szCs w:val="20"/>
                  <w:lang w:eastAsia="en-ZA"/>
                </w:rPr>
                <w:t>https://doi.org/10.2989/16085914.2017.1405788</w:t>
              </w:r>
            </w:hyperlink>
            <w:r w:rsidR="00821209">
              <w:rPr>
                <w:rFonts w:ascii="Times New Roman" w:eastAsia="Times New Roman" w:hAnsi="Times New Roman" w:cs="Times New Roman"/>
                <w:color w:val="000000"/>
                <w:sz w:val="20"/>
                <w:szCs w:val="20"/>
                <w:lang w:eastAsia="en-ZA"/>
              </w:rPr>
              <w:t>.</w:t>
            </w:r>
          </w:p>
        </w:tc>
      </w:tr>
      <w:tr w:rsidR="002D7080" w:rsidRPr="004D1E6F" w14:paraId="59090C01"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AB125EE" w14:textId="77777777" w:rsidR="002D7080" w:rsidRPr="004D1E6F" w:rsidRDefault="002D7080" w:rsidP="001C1A0B">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BAC13 What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’s introduction status in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4BD5765E" w14:textId="77777777" w:rsidTr="002E2C37">
        <w:trPr>
          <w:cantSplit/>
          <w:trHeight w:val="9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B1E5575"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in cultivation/containment.</w:t>
            </w:r>
          </w:p>
        </w:tc>
        <w:tc>
          <w:tcPr>
            <w:tcW w:w="1094" w:type="dxa"/>
            <w:tcBorders>
              <w:top w:val="single" w:sz="4" w:space="0" w:color="auto"/>
              <w:left w:val="single" w:sz="4" w:space="0" w:color="auto"/>
              <w:bottom w:val="single" w:sz="4" w:space="0" w:color="auto"/>
              <w:right w:val="single" w:sz="4" w:space="0" w:color="auto"/>
            </w:tcBorders>
          </w:tcPr>
          <w:p w14:paraId="65C15433"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 Yes </w:t>
            </w:r>
          </w:p>
        </w:tc>
        <w:tc>
          <w:tcPr>
            <w:tcW w:w="3840" w:type="dxa"/>
            <w:tcBorders>
              <w:top w:val="single" w:sz="4" w:space="0" w:color="auto"/>
              <w:left w:val="single" w:sz="4" w:space="0" w:color="auto"/>
              <w:bottom w:val="single" w:sz="4" w:space="0" w:color="auto"/>
              <w:right w:val="single" w:sz="4" w:space="0" w:color="auto"/>
            </w:tcBorders>
          </w:tcPr>
          <w:p w14:paraId="44C81B8B"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Confidence: </w:t>
            </w:r>
            <w:r w:rsidRPr="004D1E6F">
              <w:rPr>
                <w:rFonts w:ascii="Times New Roman" w:eastAsia="Times New Roman" w:hAnsi="Times New Roman" w:cs="Times New Roman"/>
                <w:color w:val="000000"/>
                <w:sz w:val="20"/>
                <w:szCs w:val="20"/>
                <w:lang w:eastAsia="en-ZA"/>
              </w:rPr>
              <w:t>Medium</w:t>
            </w:r>
          </w:p>
        </w:tc>
      </w:tr>
      <w:tr w:rsidR="002D7080" w:rsidRPr="004D1E6F" w14:paraId="6C5EFE97" w14:textId="77777777" w:rsidTr="002E2C37">
        <w:trPr>
          <w:cantSplit/>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72AC9F1"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present outside of cultivation/containment.</w:t>
            </w:r>
          </w:p>
        </w:tc>
        <w:tc>
          <w:tcPr>
            <w:tcW w:w="1094" w:type="dxa"/>
            <w:tcBorders>
              <w:top w:val="single" w:sz="4" w:space="0" w:color="auto"/>
              <w:left w:val="single" w:sz="4" w:space="0" w:color="auto"/>
              <w:bottom w:val="single" w:sz="4" w:space="0" w:color="auto"/>
              <w:right w:val="single" w:sz="4" w:space="0" w:color="auto"/>
            </w:tcBorders>
          </w:tcPr>
          <w:p w14:paraId="1F91FB91"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c>
          <w:tcPr>
            <w:tcW w:w="3840" w:type="dxa"/>
            <w:tcBorders>
              <w:top w:val="single" w:sz="4" w:space="0" w:color="auto"/>
              <w:left w:val="single" w:sz="4" w:space="0" w:color="auto"/>
              <w:bottom w:val="single" w:sz="4" w:space="0" w:color="auto"/>
              <w:right w:val="single" w:sz="4" w:space="0" w:color="auto"/>
            </w:tcBorders>
          </w:tcPr>
          <w:p w14:paraId="3E6CBB6C"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527C1634" w14:textId="77777777" w:rsidTr="002E2C37">
        <w:trPr>
          <w:cantSplit/>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359D753"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has established/naturalised.</w:t>
            </w:r>
          </w:p>
        </w:tc>
        <w:tc>
          <w:tcPr>
            <w:tcW w:w="1094" w:type="dxa"/>
            <w:tcBorders>
              <w:top w:val="single" w:sz="4" w:space="0" w:color="auto"/>
              <w:left w:val="single" w:sz="4" w:space="0" w:color="auto"/>
              <w:bottom w:val="single" w:sz="4" w:space="0" w:color="auto"/>
              <w:right w:val="single" w:sz="4" w:space="0" w:color="auto"/>
            </w:tcBorders>
          </w:tcPr>
          <w:p w14:paraId="78A6575A"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c>
          <w:tcPr>
            <w:tcW w:w="3840" w:type="dxa"/>
            <w:tcBorders>
              <w:top w:val="single" w:sz="4" w:space="0" w:color="auto"/>
              <w:left w:val="single" w:sz="4" w:space="0" w:color="auto"/>
              <w:bottom w:val="single" w:sz="4" w:space="0" w:color="auto"/>
              <w:right w:val="single" w:sz="4" w:space="0" w:color="auto"/>
            </w:tcBorders>
          </w:tcPr>
          <w:p w14:paraId="20720D7C"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055988D0" w14:textId="77777777" w:rsidTr="002E2C37">
        <w:trPr>
          <w:cantSplit/>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D6C9FA7"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invasive.</w:t>
            </w:r>
          </w:p>
        </w:tc>
        <w:tc>
          <w:tcPr>
            <w:tcW w:w="1094" w:type="dxa"/>
            <w:tcBorders>
              <w:top w:val="single" w:sz="4" w:space="0" w:color="auto"/>
              <w:left w:val="single" w:sz="4" w:space="0" w:color="auto"/>
              <w:bottom w:val="single" w:sz="4" w:space="0" w:color="auto"/>
              <w:right w:val="single" w:sz="4" w:space="0" w:color="auto"/>
            </w:tcBorders>
          </w:tcPr>
          <w:p w14:paraId="4B35D6E8"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c>
          <w:tcPr>
            <w:tcW w:w="3840" w:type="dxa"/>
            <w:tcBorders>
              <w:top w:val="single" w:sz="4" w:space="0" w:color="auto"/>
              <w:left w:val="single" w:sz="4" w:space="0" w:color="auto"/>
              <w:bottom w:val="single" w:sz="4" w:space="0" w:color="auto"/>
              <w:right w:val="single" w:sz="4" w:space="0" w:color="auto"/>
            </w:tcBorders>
          </w:tcPr>
          <w:p w14:paraId="6B826B41"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Confidence: </w:t>
            </w:r>
          </w:p>
        </w:tc>
      </w:tr>
      <w:tr w:rsidR="002D7080" w:rsidRPr="004D1E6F" w14:paraId="4375892A"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6E25220" w14:textId="12446255"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Times New Roman" w:hAnsi="Times New Roman" w:cs="Times New Roman"/>
                <w:i/>
                <w:color w:val="000000"/>
                <w:sz w:val="20"/>
                <w:szCs w:val="20"/>
                <w:lang w:eastAsia="en-ZA"/>
              </w:rPr>
              <w:t xml:space="preserve">Cherax cainii </w:t>
            </w:r>
            <w:r w:rsidRPr="004D1E6F">
              <w:rPr>
                <w:rFonts w:ascii="Times New Roman" w:eastAsia="Times New Roman" w:hAnsi="Times New Roman" w:cs="Times New Roman"/>
                <w:iCs/>
                <w:color w:val="000000"/>
                <w:sz w:val="20"/>
                <w:szCs w:val="20"/>
                <w:lang w:eastAsia="en-ZA"/>
              </w:rPr>
              <w:t>is</w:t>
            </w:r>
            <w:r w:rsidRPr="004D1E6F">
              <w:rPr>
                <w:rFonts w:ascii="Times New Roman" w:eastAsia="Times New Roman" w:hAnsi="Times New Roman" w:cs="Times New Roman"/>
                <w:color w:val="000000"/>
                <w:sz w:val="20"/>
                <w:szCs w:val="20"/>
                <w:lang w:eastAsia="en-ZA"/>
              </w:rPr>
              <w:t xml:space="preserve"> likely present in the country in a </w:t>
            </w:r>
            <w:r w:rsidRPr="004D1E6F">
              <w:rPr>
                <w:rFonts w:ascii="Times New Roman" w:eastAsia="Calibri" w:hAnsi="Times New Roman" w:cs="Times New Roman"/>
                <w:sz w:val="20"/>
                <w:szCs w:val="20"/>
              </w:rPr>
              <w:t xml:space="preserve">few aquaculture farms in the </w:t>
            </w:r>
            <w:r w:rsidRPr="004D1E6F">
              <w:rPr>
                <w:rFonts w:ascii="Times New Roman" w:eastAsia="Times New Roman" w:hAnsi="Times New Roman" w:cs="Times New Roman"/>
                <w:color w:val="000000"/>
                <w:sz w:val="20"/>
                <w:szCs w:val="20"/>
                <w:lang w:eastAsia="en-ZA"/>
              </w:rPr>
              <w:t xml:space="preserve">Eastern and Western Cape </w:t>
            </w:r>
            <w:r w:rsidRPr="004D1E6F">
              <w:rPr>
                <w:rFonts w:ascii="Times New Roman" w:eastAsia="Arial" w:hAnsi="Times New Roman" w:cs="Times New Roman"/>
                <w:sz w:val="20"/>
                <w:szCs w:val="20"/>
              </w:rPr>
              <w:t>(Nunes et al. 2017).</w:t>
            </w:r>
            <w:r w:rsidRPr="004D1E6F">
              <w:rPr>
                <w:rFonts w:ascii="Times New Roman" w:eastAsia="Times New Roman" w:hAnsi="Times New Roman" w:cs="Times New Roman"/>
                <w:color w:val="000000"/>
                <w:sz w:val="20"/>
                <w:szCs w:val="20"/>
                <w:lang w:eastAsia="en-ZA"/>
              </w:rPr>
              <w:t xml:space="preserve"> S</w:t>
            </w:r>
            <w:r w:rsidRPr="004D1E6F">
              <w:rPr>
                <w:rFonts w:ascii="Times New Roman" w:eastAsia="Calibri" w:hAnsi="Times New Roman" w:cs="Times New Roman"/>
                <w:iCs/>
                <w:sz w:val="20"/>
                <w:szCs w:val="20"/>
              </w:rPr>
              <w:t xml:space="preserve">pecimens of </w:t>
            </w:r>
            <w:r w:rsidRPr="004D1E6F">
              <w:rPr>
                <w:rFonts w:ascii="Times New Roman" w:eastAsia="Calibri" w:hAnsi="Times New Roman" w:cs="Times New Roman"/>
                <w:i/>
                <w:iCs/>
                <w:sz w:val="20"/>
                <w:szCs w:val="20"/>
              </w:rPr>
              <w:t xml:space="preserve">Cherax </w:t>
            </w:r>
            <w:r w:rsidRPr="004D1E6F">
              <w:rPr>
                <w:rFonts w:ascii="Times New Roman" w:eastAsia="Calibri" w:hAnsi="Times New Roman" w:cs="Times New Roman"/>
                <w:sz w:val="20"/>
                <w:szCs w:val="20"/>
              </w:rPr>
              <w:t>spp.</w:t>
            </w:r>
            <w:r w:rsidRPr="004D1E6F">
              <w:rPr>
                <w:rFonts w:ascii="Times New Roman" w:eastAsia="Calibri" w:hAnsi="Times New Roman" w:cs="Times New Roman"/>
                <w:iCs/>
                <w:sz w:val="20"/>
                <w:szCs w:val="20"/>
              </w:rPr>
              <w:t xml:space="preserve"> have previously been found outside of captivity in South Africa; </w:t>
            </w:r>
            <w:r w:rsidRPr="004D1E6F">
              <w:rPr>
                <w:rFonts w:ascii="Times New Roman" w:eastAsia="Times New Roman" w:hAnsi="Times New Roman" w:cs="Times New Roman"/>
                <w:color w:val="000000"/>
                <w:sz w:val="20"/>
                <w:szCs w:val="20"/>
                <w:lang w:eastAsia="en-ZA"/>
              </w:rPr>
              <w:t xml:space="preserve">however, there are </w:t>
            </w:r>
            <w:r w:rsidRPr="004D1E6F">
              <w:rPr>
                <w:rFonts w:ascii="Times New Roman" w:eastAsia="Arial" w:hAnsi="Times New Roman" w:cs="Times New Roman"/>
                <w:sz w:val="20"/>
                <w:szCs w:val="20"/>
              </w:rPr>
              <w:t xml:space="preserve">currently </w:t>
            </w:r>
            <w:r w:rsidRPr="004D1E6F">
              <w:rPr>
                <w:rFonts w:ascii="Times New Roman" w:eastAsia="Times New Roman" w:hAnsi="Times New Roman" w:cs="Times New Roman"/>
                <w:color w:val="000000"/>
                <w:sz w:val="20"/>
                <w:szCs w:val="20"/>
                <w:lang w:eastAsia="en-ZA"/>
              </w:rPr>
              <w:t>no known naturalised populations (</w:t>
            </w:r>
            <w:r w:rsidR="008A0BC6">
              <w:rPr>
                <w:rFonts w:ascii="Times New Roman" w:eastAsia="Times New Roman" w:hAnsi="Times New Roman" w:cs="Times New Roman"/>
                <w:color w:val="000000"/>
                <w:sz w:val="20"/>
                <w:szCs w:val="20"/>
                <w:lang w:eastAsia="en-ZA"/>
              </w:rPr>
              <w:t>D</w:t>
            </w:r>
            <w:r w:rsidRPr="004D1E6F">
              <w:rPr>
                <w:rFonts w:ascii="Times New Roman" w:eastAsia="Times New Roman" w:hAnsi="Times New Roman" w:cs="Times New Roman"/>
                <w:color w:val="000000"/>
                <w:sz w:val="20"/>
                <w:szCs w:val="20"/>
                <w:lang w:eastAsia="en-ZA"/>
              </w:rPr>
              <w:t>e Moor 2002; Nunes et al. 2017; Zengeya &amp; Wilson 2020).</w:t>
            </w:r>
          </w:p>
        </w:tc>
      </w:tr>
      <w:tr w:rsidR="002D7080" w:rsidRPr="004D1E6F" w14:paraId="09D52F16"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F1BED8C" w14:textId="77777777" w:rsidR="002D7080" w:rsidRPr="004D1E6F" w:rsidRDefault="002D7080" w:rsidP="001C1A0B">
            <w:pPr>
              <w:spacing w:after="0"/>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307056C1" w14:textId="2F1C730A" w:rsidR="00821209" w:rsidRPr="00821209" w:rsidRDefault="008A0BC6" w:rsidP="00663569">
            <w:pPr>
              <w:spacing w:after="0"/>
              <w:ind w:left="720" w:hanging="720"/>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w:t>
            </w:r>
            <w:r w:rsidR="00821209" w:rsidRPr="00821209">
              <w:rPr>
                <w:rFonts w:ascii="Times New Roman" w:eastAsia="Times New Roman" w:hAnsi="Times New Roman" w:cs="Times New Roman"/>
                <w:sz w:val="20"/>
                <w:szCs w:val="20"/>
                <w:lang w:eastAsia="en-ZA"/>
              </w:rPr>
              <w:t xml:space="preserve">e Moor, I., 2002, ‘Potential impacts of alien freshwater crayfish in South Africa’, </w:t>
            </w:r>
            <w:r w:rsidR="00821209" w:rsidRPr="00821209">
              <w:rPr>
                <w:rFonts w:ascii="Times New Roman" w:eastAsia="Times New Roman" w:hAnsi="Times New Roman" w:cs="Times New Roman"/>
                <w:i/>
                <w:sz w:val="20"/>
                <w:szCs w:val="20"/>
                <w:lang w:eastAsia="en-ZA"/>
              </w:rPr>
              <w:t>African Journal of Aquatic Science</w:t>
            </w:r>
            <w:r w:rsidR="00821209" w:rsidRPr="00821209">
              <w:rPr>
                <w:rFonts w:ascii="Times New Roman" w:eastAsia="Times New Roman" w:hAnsi="Times New Roman" w:cs="Times New Roman"/>
                <w:sz w:val="20"/>
                <w:szCs w:val="20"/>
                <w:lang w:eastAsia="en-ZA"/>
              </w:rPr>
              <w:t xml:space="preserve"> 27, 125–139, , </w:t>
            </w:r>
            <w:hyperlink r:id="rId21" w:history="1">
              <w:r w:rsidR="00821209" w:rsidRPr="00821209">
                <w:rPr>
                  <w:rStyle w:val="Hyperlink"/>
                  <w:rFonts w:ascii="Times New Roman" w:eastAsia="Times New Roman" w:hAnsi="Times New Roman" w:cs="Times New Roman"/>
                  <w:sz w:val="20"/>
                  <w:szCs w:val="20"/>
                  <w:lang w:eastAsia="en-ZA"/>
                </w:rPr>
                <w:t>https://doi.org/10.2989/16085914.2002.9626584</w:t>
              </w:r>
            </w:hyperlink>
            <w:r w:rsidR="00821209" w:rsidRPr="00821209">
              <w:rPr>
                <w:rFonts w:ascii="Times New Roman" w:eastAsia="Times New Roman" w:hAnsi="Times New Roman" w:cs="Times New Roman"/>
                <w:sz w:val="20"/>
                <w:szCs w:val="20"/>
                <w:lang w:eastAsia="en-ZA"/>
              </w:rPr>
              <w:t>.</w:t>
            </w:r>
          </w:p>
          <w:p w14:paraId="44E1D679" w14:textId="60BCEE85" w:rsidR="002D7080" w:rsidRPr="004D1E6F" w:rsidRDefault="00821209" w:rsidP="00663569">
            <w:pPr>
              <w:spacing w:after="0"/>
              <w:ind w:left="720" w:hanging="720"/>
              <w:jc w:val="both"/>
              <w:rPr>
                <w:rFonts w:ascii="Times New Roman" w:eastAsia="Times New Roman" w:hAnsi="Times New Roman" w:cs="Times New Roman"/>
                <w:sz w:val="20"/>
                <w:szCs w:val="20"/>
                <w:lang w:eastAsia="en-ZA"/>
              </w:rPr>
            </w:pPr>
            <w:r w:rsidRPr="00821209">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821209">
              <w:rPr>
                <w:rFonts w:ascii="Times New Roman" w:eastAsia="Times New Roman" w:hAnsi="Times New Roman" w:cs="Times New Roman"/>
                <w:i/>
                <w:sz w:val="20"/>
                <w:szCs w:val="20"/>
                <w:lang w:eastAsia="en-ZA"/>
              </w:rPr>
              <w:t>African Journal of Aquatic Science</w:t>
            </w:r>
            <w:r w:rsidRPr="00821209">
              <w:rPr>
                <w:rFonts w:ascii="Times New Roman" w:eastAsia="Times New Roman" w:hAnsi="Times New Roman" w:cs="Times New Roman"/>
                <w:sz w:val="20"/>
                <w:szCs w:val="20"/>
                <w:lang w:eastAsia="en-ZA"/>
              </w:rPr>
              <w:t xml:space="preserve"> 42, 309–323, </w:t>
            </w:r>
            <w:hyperlink r:id="rId22" w:history="1">
              <w:r w:rsidRPr="00821209">
                <w:rPr>
                  <w:rStyle w:val="Hyperlink"/>
                  <w:rFonts w:ascii="Times New Roman" w:eastAsia="Times New Roman" w:hAnsi="Times New Roman" w:cs="Times New Roman"/>
                  <w:sz w:val="20"/>
                  <w:szCs w:val="20"/>
                  <w:lang w:eastAsia="en-ZA"/>
                </w:rPr>
                <w:t>https://doi.org/10.2989/16085914.2017.1405788</w:t>
              </w:r>
            </w:hyperlink>
            <w:r w:rsidR="002D7080" w:rsidRPr="004D1E6F">
              <w:rPr>
                <w:rFonts w:ascii="Times New Roman" w:eastAsia="Times New Roman" w:hAnsi="Times New Roman" w:cs="Times New Roman"/>
                <w:sz w:val="20"/>
                <w:szCs w:val="20"/>
                <w:lang w:eastAsia="en-ZA"/>
              </w:rPr>
              <w:t>.</w:t>
            </w:r>
          </w:p>
          <w:p w14:paraId="26EDBF6B" w14:textId="77777777" w:rsidR="002D7080" w:rsidRPr="004D1E6F" w:rsidRDefault="002D7080" w:rsidP="00663569">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Zengeya, T.A. &amp; Wilson, J.R., 2020, ‘The status of biological invasions and their management in South Africa in 2019’, South African National Biodiversity Institute, Kirstenbosch and DSI-NRF Centre of Excellence for Invasion Biology, Stellenbosch.</w:t>
            </w:r>
          </w:p>
        </w:tc>
      </w:tr>
      <w:tr w:rsidR="002D7080" w:rsidRPr="004D1E6F" w14:paraId="7C78BBCA"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27C0FD8" w14:textId="77777777" w:rsidR="002D7080" w:rsidRPr="004D1E6F" w:rsidRDefault="002D7080" w:rsidP="001C1A0B">
            <w:pPr>
              <w:spacing w:after="0"/>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BAC14 Primary (introduction) pathways</w:t>
            </w:r>
          </w:p>
        </w:tc>
      </w:tr>
      <w:tr w:rsidR="002D7080" w:rsidRPr="004D1E6F" w14:paraId="53EADC27" w14:textId="77777777" w:rsidTr="002E2C37">
        <w:trPr>
          <w:cantSplit/>
          <w:trHeight w:val="61"/>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EC92AEB"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Release</w:t>
            </w:r>
          </w:p>
        </w:tc>
        <w:tc>
          <w:tcPr>
            <w:tcW w:w="2790" w:type="dxa"/>
            <w:gridSpan w:val="2"/>
            <w:tcBorders>
              <w:top w:val="single" w:sz="4" w:space="0" w:color="auto"/>
              <w:left w:val="single" w:sz="4" w:space="0" w:color="auto"/>
              <w:bottom w:val="single" w:sz="4" w:space="0" w:color="auto"/>
              <w:right w:val="single" w:sz="4" w:space="0" w:color="auto"/>
            </w:tcBorders>
          </w:tcPr>
          <w:p w14:paraId="468060FF"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None</w:t>
            </w:r>
          </w:p>
        </w:tc>
        <w:tc>
          <w:tcPr>
            <w:tcW w:w="3840" w:type="dxa"/>
            <w:tcBorders>
              <w:top w:val="single" w:sz="4" w:space="0" w:color="auto"/>
              <w:left w:val="single" w:sz="4" w:space="0" w:color="auto"/>
              <w:bottom w:val="single" w:sz="4" w:space="0" w:color="auto"/>
              <w:right w:val="single" w:sz="4" w:space="0" w:color="auto"/>
            </w:tcBorders>
          </w:tcPr>
          <w:p w14:paraId="4615F87E"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0BF204D0" w14:textId="77777777" w:rsidTr="002E2C37">
        <w:trPr>
          <w:cantSplit/>
          <w:trHeight w:val="58"/>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40CB0F6"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Escape</w:t>
            </w:r>
          </w:p>
        </w:tc>
        <w:tc>
          <w:tcPr>
            <w:tcW w:w="2790" w:type="dxa"/>
            <w:gridSpan w:val="2"/>
            <w:tcBorders>
              <w:top w:val="single" w:sz="4" w:space="0" w:color="auto"/>
              <w:left w:val="single" w:sz="4" w:space="0" w:color="auto"/>
              <w:bottom w:val="single" w:sz="4" w:space="0" w:color="auto"/>
              <w:right w:val="single" w:sz="4" w:space="0" w:color="auto"/>
            </w:tcBorders>
          </w:tcPr>
          <w:p w14:paraId="25EDC3AE"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aquaculture</w:t>
            </w:r>
          </w:p>
        </w:tc>
        <w:tc>
          <w:tcPr>
            <w:tcW w:w="3840" w:type="dxa"/>
            <w:tcBorders>
              <w:top w:val="single" w:sz="4" w:space="0" w:color="auto"/>
              <w:left w:val="single" w:sz="4" w:space="0" w:color="auto"/>
              <w:bottom w:val="single" w:sz="4" w:space="0" w:color="auto"/>
              <w:right w:val="single" w:sz="4" w:space="0" w:color="auto"/>
            </w:tcBorders>
          </w:tcPr>
          <w:p w14:paraId="2D78BCDC"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0D9FEA06" w14:textId="77777777" w:rsidTr="002E2C37">
        <w:trPr>
          <w:cantSplit/>
          <w:trHeight w:val="58"/>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EAF5E93"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Contaminant</w:t>
            </w:r>
          </w:p>
        </w:tc>
        <w:tc>
          <w:tcPr>
            <w:tcW w:w="2790" w:type="dxa"/>
            <w:gridSpan w:val="2"/>
            <w:tcBorders>
              <w:top w:val="single" w:sz="4" w:space="0" w:color="auto"/>
              <w:left w:val="single" w:sz="4" w:space="0" w:color="auto"/>
              <w:bottom w:val="single" w:sz="4" w:space="0" w:color="auto"/>
              <w:right w:val="single" w:sz="4" w:space="0" w:color="auto"/>
            </w:tcBorders>
          </w:tcPr>
          <w:p w14:paraId="08CC2464"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None</w:t>
            </w:r>
          </w:p>
        </w:tc>
        <w:tc>
          <w:tcPr>
            <w:tcW w:w="3840" w:type="dxa"/>
            <w:tcBorders>
              <w:top w:val="single" w:sz="4" w:space="0" w:color="auto"/>
              <w:left w:val="single" w:sz="4" w:space="0" w:color="auto"/>
              <w:bottom w:val="single" w:sz="4" w:space="0" w:color="auto"/>
              <w:right w:val="single" w:sz="4" w:space="0" w:color="auto"/>
            </w:tcBorders>
          </w:tcPr>
          <w:p w14:paraId="1A9CD4E4"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7F601961" w14:textId="77777777" w:rsidTr="002E2C37">
        <w:trPr>
          <w:cantSplit/>
          <w:trHeight w:val="58"/>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AE1AEB0"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Stowaway</w:t>
            </w:r>
          </w:p>
        </w:tc>
        <w:tc>
          <w:tcPr>
            <w:tcW w:w="2790" w:type="dxa"/>
            <w:gridSpan w:val="2"/>
            <w:tcBorders>
              <w:top w:val="single" w:sz="4" w:space="0" w:color="auto"/>
              <w:left w:val="single" w:sz="4" w:space="0" w:color="auto"/>
              <w:bottom w:val="single" w:sz="4" w:space="0" w:color="auto"/>
              <w:right w:val="single" w:sz="4" w:space="0" w:color="auto"/>
            </w:tcBorders>
          </w:tcPr>
          <w:p w14:paraId="4EF76CDB"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None</w:t>
            </w:r>
          </w:p>
        </w:tc>
        <w:tc>
          <w:tcPr>
            <w:tcW w:w="3840" w:type="dxa"/>
            <w:tcBorders>
              <w:top w:val="single" w:sz="4" w:space="0" w:color="auto"/>
              <w:left w:val="single" w:sz="4" w:space="0" w:color="auto"/>
              <w:bottom w:val="single" w:sz="4" w:space="0" w:color="auto"/>
              <w:right w:val="single" w:sz="4" w:space="0" w:color="auto"/>
            </w:tcBorders>
          </w:tcPr>
          <w:p w14:paraId="0517DC03"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414EC68C" w14:textId="77777777" w:rsidTr="002E2C37">
        <w:trPr>
          <w:cantSplit/>
          <w:trHeight w:val="58"/>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4BAAA95"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Corridor</w:t>
            </w:r>
          </w:p>
        </w:tc>
        <w:tc>
          <w:tcPr>
            <w:tcW w:w="2790" w:type="dxa"/>
            <w:gridSpan w:val="2"/>
            <w:tcBorders>
              <w:top w:val="single" w:sz="4" w:space="0" w:color="auto"/>
              <w:left w:val="single" w:sz="4" w:space="0" w:color="auto"/>
              <w:bottom w:val="single" w:sz="4" w:space="0" w:color="auto"/>
              <w:right w:val="single" w:sz="4" w:space="0" w:color="auto"/>
            </w:tcBorders>
          </w:tcPr>
          <w:p w14:paraId="282ED1D9"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None</w:t>
            </w:r>
          </w:p>
        </w:tc>
        <w:tc>
          <w:tcPr>
            <w:tcW w:w="3840" w:type="dxa"/>
            <w:tcBorders>
              <w:top w:val="single" w:sz="4" w:space="0" w:color="auto"/>
              <w:left w:val="single" w:sz="4" w:space="0" w:color="auto"/>
              <w:bottom w:val="single" w:sz="4" w:space="0" w:color="auto"/>
              <w:right w:val="single" w:sz="4" w:space="0" w:color="auto"/>
            </w:tcBorders>
          </w:tcPr>
          <w:p w14:paraId="273542C2"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40A4395F" w14:textId="77777777" w:rsidTr="002E2C37">
        <w:trPr>
          <w:cantSplit/>
          <w:trHeight w:val="58"/>
        </w:trPr>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623B9F0"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Unaided</w:t>
            </w:r>
          </w:p>
        </w:tc>
        <w:tc>
          <w:tcPr>
            <w:tcW w:w="2790" w:type="dxa"/>
            <w:gridSpan w:val="2"/>
            <w:tcBorders>
              <w:top w:val="single" w:sz="4" w:space="0" w:color="auto"/>
              <w:left w:val="single" w:sz="4" w:space="0" w:color="auto"/>
              <w:bottom w:val="single" w:sz="4" w:space="0" w:color="auto"/>
              <w:right w:val="single" w:sz="4" w:space="0" w:color="auto"/>
            </w:tcBorders>
          </w:tcPr>
          <w:p w14:paraId="23A0CDD5"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None</w:t>
            </w:r>
          </w:p>
        </w:tc>
        <w:tc>
          <w:tcPr>
            <w:tcW w:w="3840" w:type="dxa"/>
            <w:tcBorders>
              <w:top w:val="single" w:sz="4" w:space="0" w:color="auto"/>
              <w:left w:val="single" w:sz="4" w:space="0" w:color="auto"/>
              <w:bottom w:val="single" w:sz="4" w:space="0" w:color="auto"/>
              <w:right w:val="single" w:sz="4" w:space="0" w:color="auto"/>
            </w:tcBorders>
          </w:tcPr>
          <w:p w14:paraId="6B052D35"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0162F48A"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7739D9BC" w14:textId="77777777" w:rsidR="002D7080" w:rsidRPr="004D1E6F" w:rsidRDefault="002D7080" w:rsidP="001C1A0B">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Calibri" w:hAnsi="Times New Roman" w:cs="Times New Roman"/>
                <w:sz w:val="20"/>
                <w:szCs w:val="20"/>
              </w:rPr>
              <w:t xml:space="preserve">A permit was issued to import marron in 2017 (most likely </w:t>
            </w:r>
            <w:r w:rsidRPr="004D1E6F">
              <w:rPr>
                <w:rFonts w:ascii="Times New Roman" w:eastAsia="Calibri" w:hAnsi="Times New Roman" w:cs="Times New Roman"/>
                <w:i/>
                <w:iCs/>
                <w:sz w:val="20"/>
                <w:szCs w:val="20"/>
              </w:rPr>
              <w:t xml:space="preserve">C. cainii </w:t>
            </w:r>
            <w:r w:rsidRPr="004D1E6F">
              <w:rPr>
                <w:rFonts w:ascii="Times New Roman" w:eastAsia="Calibri" w:hAnsi="Times New Roman" w:cs="Times New Roman"/>
                <w:sz w:val="20"/>
                <w:szCs w:val="20"/>
              </w:rPr>
              <w:t xml:space="preserve">though listed as </w:t>
            </w:r>
            <w:r w:rsidRPr="004D1E6F">
              <w:rPr>
                <w:rFonts w:ascii="Times New Roman" w:eastAsia="Calibri" w:hAnsi="Times New Roman" w:cs="Times New Roman"/>
                <w:i/>
                <w:iCs/>
                <w:sz w:val="20"/>
                <w:szCs w:val="20"/>
              </w:rPr>
              <w:t>C. tenuimanus</w:t>
            </w:r>
            <w:r w:rsidRPr="004D1E6F">
              <w:rPr>
                <w:rFonts w:ascii="Times New Roman" w:eastAsia="Calibri" w:hAnsi="Times New Roman" w:cs="Times New Roman"/>
                <w:iCs/>
                <w:sz w:val="20"/>
                <w:szCs w:val="20"/>
              </w:rPr>
              <w:t>)</w:t>
            </w:r>
            <w:r w:rsidRPr="004D1E6F">
              <w:rPr>
                <w:rFonts w:ascii="Times New Roman" w:eastAsia="Calibri" w:hAnsi="Times New Roman" w:cs="Times New Roman"/>
                <w:i/>
                <w:iCs/>
                <w:sz w:val="20"/>
                <w:szCs w:val="20"/>
              </w:rPr>
              <w:t xml:space="preserve"> </w:t>
            </w:r>
            <w:r w:rsidRPr="004D1E6F">
              <w:rPr>
                <w:rFonts w:ascii="Times New Roman" w:eastAsia="Calibri" w:hAnsi="Times New Roman" w:cs="Times New Roman"/>
                <w:sz w:val="20"/>
                <w:szCs w:val="20"/>
              </w:rPr>
              <w:t>presumably for aquaculture in South Africa (Zengeya and Wilson 2020).</w:t>
            </w:r>
            <w:r w:rsidRPr="004D1E6F">
              <w:rPr>
                <w:rFonts w:ascii="Times New Roman" w:eastAsia="Arial" w:hAnsi="Times New Roman" w:cs="Times New Roman"/>
                <w:i/>
                <w:sz w:val="20"/>
                <w:szCs w:val="20"/>
              </w:rPr>
              <w:t xml:space="preserve"> </w:t>
            </w:r>
            <w:r w:rsidRPr="004D1E6F">
              <w:rPr>
                <w:rFonts w:ascii="Times New Roman" w:eastAsia="Calibri" w:hAnsi="Times New Roman" w:cs="Times New Roman"/>
                <w:i/>
                <w:sz w:val="20"/>
                <w:szCs w:val="20"/>
              </w:rPr>
              <w:t>Cherax cainii</w:t>
            </w:r>
            <w:r w:rsidRPr="004D1E6F">
              <w:rPr>
                <w:rFonts w:ascii="Times New Roman" w:eastAsia="Calibri" w:hAnsi="Times New Roman" w:cs="Times New Roman"/>
                <w:sz w:val="20"/>
                <w:szCs w:val="20"/>
              </w:rPr>
              <w:t xml:space="preserve"> appears not to be popular in the pet trade industry </w:t>
            </w:r>
            <w:r w:rsidRPr="004D1E6F">
              <w:rPr>
                <w:rFonts w:ascii="Times New Roman" w:eastAsia="Calibri" w:hAnsi="Times New Roman" w:cs="Times New Roman"/>
                <w:sz w:val="20"/>
                <w:szCs w:val="20"/>
              </w:rPr>
              <w:fldChar w:fldCharType="begin" w:fldLock="1"/>
            </w:r>
            <w:r w:rsidRPr="004D1E6F">
              <w:rPr>
                <w:rFonts w:ascii="Times New Roman" w:eastAsia="Calibri" w:hAnsi="Times New Roman" w:cs="Times New Roman"/>
                <w:sz w:val="20"/>
                <w:szCs w:val="20"/>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4D1E6F">
              <w:rPr>
                <w:rFonts w:ascii="Times New Roman" w:eastAsia="Calibri" w:hAnsi="Times New Roman" w:cs="Times New Roman"/>
                <w:sz w:val="20"/>
                <w:szCs w:val="20"/>
              </w:rPr>
              <w:fldChar w:fldCharType="separate"/>
            </w:r>
            <w:r w:rsidRPr="004D1E6F">
              <w:rPr>
                <w:rFonts w:ascii="Times New Roman" w:eastAsia="Calibri" w:hAnsi="Times New Roman" w:cs="Times New Roman"/>
                <w:sz w:val="20"/>
                <w:szCs w:val="20"/>
              </w:rPr>
              <w:t>(Faulkes 2015)</w:t>
            </w:r>
            <w:r w:rsidRPr="004D1E6F">
              <w:rPr>
                <w:rFonts w:ascii="Times New Roman" w:eastAsia="Calibri" w:hAnsi="Times New Roman" w:cs="Times New Roman"/>
                <w:sz w:val="20"/>
                <w:szCs w:val="20"/>
              </w:rPr>
              <w:fldChar w:fldCharType="end"/>
            </w:r>
            <w:r w:rsidRPr="004D1E6F">
              <w:rPr>
                <w:rFonts w:ascii="Times New Roman" w:eastAsia="Calibri" w:hAnsi="Times New Roman" w:cs="Times New Roman"/>
                <w:sz w:val="20"/>
                <w:szCs w:val="20"/>
              </w:rPr>
              <w:t>.</w:t>
            </w:r>
          </w:p>
        </w:tc>
      </w:tr>
      <w:tr w:rsidR="002D7080" w:rsidRPr="004D1E6F" w14:paraId="6398C7DC"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4C4C13B2" w14:textId="77777777" w:rsidR="002D7080" w:rsidRPr="004D1E6F" w:rsidRDefault="002D7080" w:rsidP="001C1A0B">
            <w:pPr>
              <w:spacing w:after="0"/>
              <w:ind w:left="346" w:hanging="346"/>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1D9C6B09" w14:textId="57FCFF57" w:rsidR="002D7080" w:rsidRPr="004D1E6F" w:rsidRDefault="008A0BC6" w:rsidP="00663569">
            <w:pPr>
              <w:spacing w:after="0"/>
              <w:ind w:left="720" w:hanging="720"/>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w:t>
            </w:r>
            <w:r w:rsidR="002D7080" w:rsidRPr="004D1E6F">
              <w:rPr>
                <w:rFonts w:ascii="Times New Roman" w:eastAsia="Times New Roman" w:hAnsi="Times New Roman" w:cs="Times New Roman"/>
                <w:color w:val="000000"/>
                <w:sz w:val="20"/>
                <w:szCs w:val="20"/>
                <w:lang w:eastAsia="en-ZA"/>
              </w:rPr>
              <w:t xml:space="preserve">e Moor,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 </w:t>
            </w:r>
            <w:hyperlink r:id="rId23" w:history="1">
              <w:r w:rsidR="00821209" w:rsidRPr="00821209">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color w:val="000000"/>
                <w:sz w:val="20"/>
                <w:szCs w:val="20"/>
                <w:lang w:eastAsia="en-ZA"/>
              </w:rPr>
              <w:t>.</w:t>
            </w:r>
          </w:p>
          <w:p w14:paraId="14C2EF45" w14:textId="77777777" w:rsidR="002D7080" w:rsidRPr="004D1E6F"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bCs/>
                <w:sz w:val="20"/>
                <w:szCs w:val="20"/>
              </w:rPr>
              <w:t xml:space="preserve">Faulkes, Z., 2015, ‘The global trade in crayfish as pets’, </w:t>
            </w:r>
            <w:r w:rsidRPr="004D1E6F">
              <w:rPr>
                <w:rFonts w:ascii="Times New Roman" w:eastAsia="Calibri" w:hAnsi="Times New Roman" w:cs="Times New Roman"/>
                <w:bCs/>
                <w:i/>
                <w:sz w:val="20"/>
                <w:szCs w:val="20"/>
              </w:rPr>
              <w:t>Crustacean Research</w:t>
            </w:r>
            <w:r w:rsidRPr="004D1E6F">
              <w:rPr>
                <w:rFonts w:ascii="Times New Roman" w:eastAsia="Calibri" w:hAnsi="Times New Roman" w:cs="Times New Roman"/>
                <w:bCs/>
                <w:sz w:val="20"/>
                <w:szCs w:val="20"/>
              </w:rPr>
              <w:t xml:space="preserve"> 44, 75–92.</w:t>
            </w:r>
          </w:p>
          <w:p w14:paraId="7C8A5DE0" w14:textId="77777777" w:rsidR="00821209" w:rsidRDefault="002D7080" w:rsidP="00663569">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24" w:history="1">
              <w:r w:rsidR="00821209" w:rsidRPr="00821209">
                <w:rPr>
                  <w:rStyle w:val="Hyperlink"/>
                  <w:rFonts w:ascii="Times New Roman" w:eastAsia="Times New Roman" w:hAnsi="Times New Roman" w:cs="Times New Roman"/>
                  <w:sz w:val="20"/>
                  <w:szCs w:val="20"/>
                  <w:lang w:eastAsia="en-ZA"/>
                </w:rPr>
                <w:t>https://doi.org/10.2989/16085914.2017.1405788</w:t>
              </w:r>
            </w:hyperlink>
            <w:r w:rsidR="00821209">
              <w:rPr>
                <w:rFonts w:ascii="Times New Roman" w:eastAsia="Times New Roman" w:hAnsi="Times New Roman" w:cs="Times New Roman"/>
                <w:color w:val="000000"/>
                <w:sz w:val="20"/>
                <w:szCs w:val="20"/>
                <w:lang w:eastAsia="en-ZA"/>
              </w:rPr>
              <w:t>.</w:t>
            </w:r>
          </w:p>
          <w:p w14:paraId="685A19B3" w14:textId="36552C1E" w:rsidR="002D7080" w:rsidRPr="004D1E6F" w:rsidRDefault="002D7080" w:rsidP="00663569">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Calibri" w:hAnsi="Times New Roman" w:cs="Times New Roman"/>
                <w:sz w:val="20"/>
                <w:szCs w:val="20"/>
              </w:rPr>
              <w:t>Zengeya, T.A. &amp; Wilson, J.R., 2020, ‘The status of biological invasions and their management in South Africa in 2019’, South African National Biodiversity Institute, Kirstenbosch and DSI-NRF Centre of Excellence for Invasion Biology, Stellenbosch.</w:t>
            </w:r>
          </w:p>
        </w:tc>
      </w:tr>
    </w:tbl>
    <w:p w14:paraId="773828F9"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4088C16F"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2. Likelihood</w:t>
      </w:r>
    </w:p>
    <w:p w14:paraId="5971853B"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7145C9EE" w14:textId="77777777" w:rsidTr="002E2C37">
        <w:tc>
          <w:tcPr>
            <w:tcW w:w="9016" w:type="dxa"/>
            <w:gridSpan w:val="2"/>
            <w:shd w:val="clear" w:color="auto" w:fill="F2F2F2" w:themeFill="background1" w:themeFillShade="F2"/>
          </w:tcPr>
          <w:p w14:paraId="73111454"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LIK1 Likelihood of entry via unaided primary pathways</w:t>
            </w:r>
          </w:p>
        </w:tc>
      </w:tr>
      <w:tr w:rsidR="002D7080" w:rsidRPr="004D1E6F" w14:paraId="10955D8A" w14:textId="77777777" w:rsidTr="002E2C37">
        <w:tc>
          <w:tcPr>
            <w:tcW w:w="5524" w:type="dxa"/>
          </w:tcPr>
          <w:p w14:paraId="1D60B39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Present in the country (p=1)</w:t>
            </w:r>
          </w:p>
        </w:tc>
        <w:tc>
          <w:tcPr>
            <w:tcW w:w="3492" w:type="dxa"/>
          </w:tcPr>
          <w:p w14:paraId="21D557C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19292DE1" w14:textId="77777777" w:rsidTr="002E2C37">
        <w:trPr>
          <w:trHeight w:val="70"/>
        </w:trPr>
        <w:tc>
          <w:tcPr>
            <w:tcW w:w="9016" w:type="dxa"/>
            <w:gridSpan w:val="2"/>
          </w:tcPr>
          <w:p w14:paraId="4D322E5B" w14:textId="6BD3816D"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color w:val="000000"/>
                <w:sz w:val="20"/>
                <w:szCs w:val="20"/>
                <w:lang w:eastAsia="en-ZA"/>
              </w:rPr>
              <w:t>Cherax cainii</w:t>
            </w:r>
            <w:r w:rsidRPr="004D1E6F">
              <w:rPr>
                <w:rFonts w:ascii="Times New Roman" w:eastAsia="Times New Roman" w:hAnsi="Times New Roman" w:cs="Times New Roman"/>
                <w:iCs/>
                <w:color w:val="000000"/>
                <w:sz w:val="20"/>
                <w:szCs w:val="20"/>
                <w:lang w:eastAsia="en-ZA"/>
              </w:rPr>
              <w:t xml:space="preserve"> is believed to be </w:t>
            </w:r>
            <w:r w:rsidRPr="004D1E6F">
              <w:rPr>
                <w:rFonts w:ascii="Times New Roman" w:hAnsi="Times New Roman" w:cs="Times New Roman"/>
                <w:sz w:val="20"/>
                <w:szCs w:val="20"/>
              </w:rPr>
              <w:t xml:space="preserve">currently present in the country </w:t>
            </w:r>
            <w:r w:rsidRPr="004D1E6F">
              <w:rPr>
                <w:rFonts w:ascii="Times New Roman" w:eastAsia="Times New Roman" w:hAnsi="Times New Roman" w:cs="Times New Roman"/>
                <w:color w:val="000000"/>
                <w:sz w:val="20"/>
                <w:szCs w:val="20"/>
                <w:lang w:eastAsia="en-ZA"/>
              </w:rPr>
              <w:t>(</w:t>
            </w:r>
            <w:r w:rsidR="008A0BC6">
              <w:rPr>
                <w:rFonts w:ascii="Times New Roman" w:eastAsia="Times New Roman" w:hAnsi="Times New Roman" w:cs="Times New Roman"/>
                <w:color w:val="000000"/>
                <w:sz w:val="20"/>
                <w:szCs w:val="20"/>
                <w:lang w:eastAsia="en-ZA"/>
              </w:rPr>
              <w:t>D</w:t>
            </w:r>
            <w:r w:rsidRPr="004D1E6F">
              <w:rPr>
                <w:rFonts w:ascii="Times New Roman" w:eastAsia="Times New Roman" w:hAnsi="Times New Roman" w:cs="Times New Roman"/>
                <w:color w:val="000000"/>
                <w:sz w:val="20"/>
                <w:szCs w:val="20"/>
                <w:lang w:eastAsia="en-ZA"/>
              </w:rPr>
              <w:t xml:space="preserve">e Moor 2002; Nunes et al. 2017). In terms of the likelihood of future introductions, </w:t>
            </w:r>
            <w:r w:rsidRPr="004D1E6F">
              <w:rPr>
                <w:rFonts w:ascii="Times New Roman" w:eastAsia="Times New Roman" w:hAnsi="Times New Roman" w:cs="Times New Roman"/>
                <w:i/>
                <w:iCs/>
                <w:color w:val="000000"/>
                <w:sz w:val="20"/>
                <w:szCs w:val="20"/>
                <w:lang w:eastAsia="en-ZA"/>
              </w:rPr>
              <w:t>C. cainii</w:t>
            </w:r>
            <w:r w:rsidRPr="004D1E6F">
              <w:rPr>
                <w:rFonts w:ascii="Times New Roman" w:eastAsia="Times New Roman" w:hAnsi="Times New Roman" w:cs="Times New Roman"/>
                <w:color w:val="000000"/>
                <w:sz w:val="20"/>
                <w:szCs w:val="20"/>
                <w:lang w:eastAsia="en-ZA"/>
              </w:rPr>
              <w:t xml:space="preserve"> is not known to be present in neighbouring countries, but as an aquatic species capable of dispersal overland, if </w:t>
            </w:r>
            <w:r w:rsidRPr="004D1E6F">
              <w:rPr>
                <w:rFonts w:ascii="Times New Roman" w:eastAsia="Times New Roman" w:hAnsi="Times New Roman" w:cs="Times New Roman"/>
                <w:i/>
                <w:iCs/>
                <w:color w:val="000000"/>
                <w:sz w:val="20"/>
                <w:szCs w:val="20"/>
                <w:lang w:eastAsia="en-ZA"/>
              </w:rPr>
              <w:t>C. cainii</w:t>
            </w:r>
            <w:r w:rsidRPr="004D1E6F">
              <w:rPr>
                <w:rFonts w:ascii="Times New Roman" w:eastAsia="Times New Roman" w:hAnsi="Times New Roman" w:cs="Times New Roman"/>
                <w:color w:val="000000"/>
                <w:sz w:val="20"/>
                <w:szCs w:val="20"/>
                <w:lang w:eastAsia="en-ZA"/>
              </w:rPr>
              <w:t xml:space="preserve"> were present, it would be difficult to stop natural dispersal (Nunes et al. 2017).</w:t>
            </w:r>
          </w:p>
        </w:tc>
      </w:tr>
      <w:tr w:rsidR="002D7080" w:rsidRPr="004D1E6F" w14:paraId="621908BF" w14:textId="77777777" w:rsidTr="002E2C37">
        <w:tc>
          <w:tcPr>
            <w:tcW w:w="9016" w:type="dxa"/>
            <w:gridSpan w:val="2"/>
          </w:tcPr>
          <w:p w14:paraId="5BD1DBE4"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1CED9ACA" w14:textId="5BCA8AB9" w:rsidR="002D7080" w:rsidRPr="004D1E6F" w:rsidRDefault="008A0BC6" w:rsidP="002E2C37">
            <w:pPr>
              <w:ind w:left="720" w:hanging="720"/>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w:t>
            </w:r>
            <w:r w:rsidR="002D7080" w:rsidRPr="004D1E6F">
              <w:rPr>
                <w:rFonts w:ascii="Times New Roman" w:eastAsia="Times New Roman" w:hAnsi="Times New Roman" w:cs="Times New Roman"/>
                <w:color w:val="000000"/>
                <w:sz w:val="20"/>
                <w:szCs w:val="20"/>
                <w:lang w:eastAsia="en-ZA"/>
              </w:rPr>
              <w:t xml:space="preserve">e Moor,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w:t>
            </w:r>
            <w:r w:rsidR="001C1A0B">
              <w:rPr>
                <w:rFonts w:ascii="Times New Roman" w:eastAsia="Times New Roman" w:hAnsi="Times New Roman" w:cs="Times New Roman"/>
                <w:color w:val="000000"/>
                <w:sz w:val="20"/>
                <w:szCs w:val="20"/>
                <w:lang w:eastAsia="en-ZA"/>
              </w:rPr>
              <w:t xml:space="preserve"> </w:t>
            </w:r>
            <w:hyperlink r:id="rId25" w:history="1">
              <w:r w:rsidR="001C1A0B" w:rsidRPr="00F215B9">
                <w:rPr>
                  <w:rStyle w:val="Hyperlink"/>
                  <w:rFonts w:ascii="Times New Roman" w:eastAsia="Times New Roman" w:hAnsi="Times New Roman" w:cs="Times New Roman"/>
                  <w:sz w:val="20"/>
                  <w:szCs w:val="20"/>
                  <w:lang w:eastAsia="en-ZA"/>
                </w:rPr>
                <w:t>https://doi.org/10.2989/16085914.2002.9626584</w:t>
              </w:r>
            </w:hyperlink>
            <w:r w:rsidR="001C1A0B">
              <w:rPr>
                <w:rFonts w:ascii="Times New Roman" w:eastAsia="Times New Roman" w:hAnsi="Times New Roman" w:cs="Times New Roman"/>
                <w:color w:val="000000"/>
                <w:sz w:val="20"/>
                <w:szCs w:val="20"/>
                <w:lang w:eastAsia="en-ZA"/>
              </w:rPr>
              <w:t xml:space="preserve">. </w:t>
            </w:r>
          </w:p>
          <w:p w14:paraId="6257EC81" w14:textId="7003170B"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bookmarkStart w:id="1" w:name="_Hlk213585155"/>
            <w:r w:rsidR="001C1A0B">
              <w:rPr>
                <w:rFonts w:ascii="Times New Roman" w:eastAsia="Times New Roman" w:hAnsi="Times New Roman" w:cs="Times New Roman"/>
                <w:color w:val="000000"/>
                <w:sz w:val="20"/>
                <w:szCs w:val="20"/>
                <w:lang w:eastAsia="en-ZA"/>
              </w:rPr>
              <w:fldChar w:fldCharType="begin"/>
            </w:r>
            <w:r w:rsidR="001C1A0B">
              <w:rPr>
                <w:rFonts w:ascii="Times New Roman" w:eastAsia="Times New Roman" w:hAnsi="Times New Roman" w:cs="Times New Roman"/>
                <w:color w:val="000000"/>
                <w:sz w:val="20"/>
                <w:szCs w:val="20"/>
                <w:lang w:eastAsia="en-ZA"/>
              </w:rPr>
              <w:instrText>HYPERLINK "</w:instrText>
            </w:r>
            <w:r w:rsidR="001C1A0B" w:rsidRPr="001C1A0B">
              <w:rPr>
                <w:rFonts w:ascii="Times New Roman" w:eastAsia="Times New Roman" w:hAnsi="Times New Roman" w:cs="Times New Roman"/>
                <w:color w:val="000000"/>
                <w:sz w:val="20"/>
                <w:szCs w:val="20"/>
                <w:lang w:eastAsia="en-ZA"/>
              </w:rPr>
              <w:instrText>https://doi.org/10.2989/16085914.2017.1405788</w:instrText>
            </w:r>
            <w:r w:rsidR="001C1A0B">
              <w:rPr>
                <w:rFonts w:ascii="Times New Roman" w:eastAsia="Times New Roman" w:hAnsi="Times New Roman" w:cs="Times New Roman"/>
                <w:color w:val="000000"/>
                <w:sz w:val="20"/>
                <w:szCs w:val="20"/>
                <w:lang w:eastAsia="en-ZA"/>
              </w:rPr>
              <w:instrText>"</w:instrText>
            </w:r>
            <w:r w:rsidR="001C1A0B">
              <w:rPr>
                <w:rFonts w:ascii="Times New Roman" w:eastAsia="Times New Roman" w:hAnsi="Times New Roman" w:cs="Times New Roman"/>
                <w:color w:val="000000"/>
                <w:sz w:val="20"/>
                <w:szCs w:val="20"/>
                <w:lang w:eastAsia="en-ZA"/>
              </w:rPr>
            </w:r>
            <w:r w:rsidR="001C1A0B">
              <w:rPr>
                <w:rFonts w:ascii="Times New Roman" w:eastAsia="Times New Roman" w:hAnsi="Times New Roman" w:cs="Times New Roman"/>
                <w:color w:val="000000"/>
                <w:sz w:val="20"/>
                <w:szCs w:val="20"/>
                <w:lang w:eastAsia="en-ZA"/>
              </w:rPr>
              <w:fldChar w:fldCharType="separate"/>
            </w:r>
            <w:r w:rsidR="001C1A0B" w:rsidRPr="00F215B9">
              <w:rPr>
                <w:rStyle w:val="Hyperlink"/>
                <w:rFonts w:ascii="Times New Roman" w:eastAsia="Times New Roman" w:hAnsi="Times New Roman" w:cs="Times New Roman"/>
                <w:sz w:val="20"/>
                <w:szCs w:val="20"/>
                <w:lang w:eastAsia="en-ZA"/>
              </w:rPr>
              <w:t>https://doi.org/10.2989/16085914.2017.1405788</w:t>
            </w:r>
            <w:r w:rsidR="001C1A0B">
              <w:rPr>
                <w:rFonts w:ascii="Times New Roman" w:eastAsia="Times New Roman" w:hAnsi="Times New Roman" w:cs="Times New Roman"/>
                <w:color w:val="000000"/>
                <w:sz w:val="20"/>
                <w:szCs w:val="20"/>
                <w:lang w:eastAsia="en-ZA"/>
              </w:rPr>
              <w:fldChar w:fldCharType="end"/>
            </w:r>
            <w:bookmarkEnd w:id="1"/>
            <w:r w:rsidR="001C1A0B">
              <w:rPr>
                <w:rFonts w:ascii="Times New Roman" w:eastAsia="Times New Roman" w:hAnsi="Times New Roman" w:cs="Times New Roman"/>
                <w:color w:val="000000"/>
                <w:sz w:val="20"/>
                <w:szCs w:val="20"/>
                <w:lang w:eastAsia="en-ZA"/>
              </w:rPr>
              <w:t xml:space="preserve">. </w:t>
            </w:r>
          </w:p>
        </w:tc>
      </w:tr>
    </w:tbl>
    <w:p w14:paraId="75717933"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44EC1293" w14:textId="77777777" w:rsidTr="002E2C37">
        <w:tc>
          <w:tcPr>
            <w:tcW w:w="9016" w:type="dxa"/>
            <w:gridSpan w:val="2"/>
            <w:shd w:val="clear" w:color="auto" w:fill="F2F2F2" w:themeFill="background1" w:themeFillShade="F2"/>
          </w:tcPr>
          <w:p w14:paraId="1D43965C"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LIK2 Likelihood of entry via human aided primary pathways</w:t>
            </w:r>
          </w:p>
        </w:tc>
      </w:tr>
      <w:tr w:rsidR="002D7080" w:rsidRPr="004D1E6F" w14:paraId="3091D22B" w14:textId="77777777" w:rsidTr="002E2C37">
        <w:tc>
          <w:tcPr>
            <w:tcW w:w="5524" w:type="dxa"/>
          </w:tcPr>
          <w:p w14:paraId="2F91725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Present in the country (p=1)</w:t>
            </w:r>
          </w:p>
        </w:tc>
        <w:tc>
          <w:tcPr>
            <w:tcW w:w="3492" w:type="dxa"/>
          </w:tcPr>
          <w:p w14:paraId="79DD0EE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44A2BA5F" w14:textId="77777777" w:rsidTr="002E2C37">
        <w:tc>
          <w:tcPr>
            <w:tcW w:w="9016" w:type="dxa"/>
            <w:gridSpan w:val="2"/>
          </w:tcPr>
          <w:p w14:paraId="65388712" w14:textId="531CC600"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color w:val="000000"/>
                <w:sz w:val="20"/>
                <w:szCs w:val="20"/>
                <w:lang w:eastAsia="en-ZA"/>
              </w:rPr>
              <w:t>Cherax cainii</w:t>
            </w:r>
            <w:r w:rsidRPr="004D1E6F">
              <w:rPr>
                <w:rFonts w:ascii="Times New Roman" w:eastAsia="Times New Roman" w:hAnsi="Times New Roman" w:cs="Times New Roman"/>
                <w:iCs/>
                <w:color w:val="000000"/>
                <w:sz w:val="20"/>
                <w:szCs w:val="20"/>
                <w:lang w:eastAsia="en-ZA"/>
              </w:rPr>
              <w:t xml:space="preserve"> is believed to be </w:t>
            </w:r>
            <w:r w:rsidRPr="004D1E6F">
              <w:rPr>
                <w:rFonts w:ascii="Times New Roman" w:hAnsi="Times New Roman" w:cs="Times New Roman"/>
                <w:sz w:val="20"/>
                <w:szCs w:val="20"/>
              </w:rPr>
              <w:t xml:space="preserve">currently present in the country </w:t>
            </w:r>
            <w:r w:rsidRPr="004D1E6F">
              <w:rPr>
                <w:rFonts w:ascii="Times New Roman" w:eastAsia="Times New Roman" w:hAnsi="Times New Roman" w:cs="Times New Roman"/>
                <w:color w:val="000000"/>
                <w:sz w:val="20"/>
                <w:szCs w:val="20"/>
                <w:lang w:eastAsia="en-ZA"/>
              </w:rPr>
              <w:t>(</w:t>
            </w:r>
            <w:r w:rsidR="008A0BC6">
              <w:rPr>
                <w:rFonts w:ascii="Times New Roman" w:eastAsia="Times New Roman" w:hAnsi="Times New Roman" w:cs="Times New Roman"/>
                <w:color w:val="000000"/>
                <w:sz w:val="20"/>
                <w:szCs w:val="20"/>
                <w:lang w:eastAsia="en-ZA"/>
              </w:rPr>
              <w:t>D</w:t>
            </w:r>
            <w:r w:rsidRPr="004D1E6F">
              <w:rPr>
                <w:rFonts w:ascii="Times New Roman" w:eastAsia="Times New Roman" w:hAnsi="Times New Roman" w:cs="Times New Roman"/>
                <w:color w:val="000000"/>
                <w:sz w:val="20"/>
                <w:szCs w:val="20"/>
                <w:lang w:eastAsia="en-ZA"/>
              </w:rPr>
              <w:t xml:space="preserve">e Moor 2002; Nunes et al. 2017). In terms of the likelihood of future introductions, </w:t>
            </w:r>
            <w:r w:rsidRPr="004D1E6F">
              <w:rPr>
                <w:rFonts w:ascii="Times New Roman" w:eastAsia="Times New Roman" w:hAnsi="Times New Roman" w:cs="Times New Roman"/>
                <w:i/>
                <w:iCs/>
                <w:color w:val="000000"/>
                <w:sz w:val="20"/>
                <w:szCs w:val="20"/>
                <w:lang w:eastAsia="en-ZA"/>
              </w:rPr>
              <w:t>C. cainii</w:t>
            </w:r>
            <w:r w:rsidRPr="004D1E6F">
              <w:rPr>
                <w:rFonts w:ascii="Times New Roman" w:eastAsia="Times New Roman" w:hAnsi="Times New Roman" w:cs="Times New Roman"/>
                <w:color w:val="000000"/>
                <w:sz w:val="20"/>
                <w:szCs w:val="20"/>
                <w:lang w:eastAsia="en-ZA"/>
              </w:rPr>
              <w:t xml:space="preserve"> has been introduced primarily for aquaculture purposes (</w:t>
            </w:r>
            <w:r w:rsidR="008A0BC6">
              <w:rPr>
                <w:rFonts w:ascii="Times New Roman" w:eastAsia="Times New Roman" w:hAnsi="Times New Roman" w:cs="Times New Roman"/>
                <w:color w:val="000000"/>
                <w:sz w:val="20"/>
                <w:szCs w:val="20"/>
                <w:lang w:eastAsia="en-ZA"/>
              </w:rPr>
              <w:t>D</w:t>
            </w:r>
            <w:r w:rsidRPr="004D1E6F">
              <w:rPr>
                <w:rFonts w:ascii="Times New Roman" w:eastAsia="Times New Roman" w:hAnsi="Times New Roman" w:cs="Times New Roman"/>
                <w:color w:val="000000"/>
                <w:sz w:val="20"/>
                <w:szCs w:val="20"/>
                <w:lang w:eastAsia="en-ZA"/>
              </w:rPr>
              <w:t>e Moor 2002; Nunes et al. 2017) and there might be demand for future introductions. These would be subject to regulation, though illegal introductions are possible.</w:t>
            </w:r>
          </w:p>
        </w:tc>
      </w:tr>
      <w:tr w:rsidR="002D7080" w:rsidRPr="004D1E6F" w14:paraId="6002CD35" w14:textId="77777777" w:rsidTr="002E2C37">
        <w:tc>
          <w:tcPr>
            <w:tcW w:w="9016" w:type="dxa"/>
            <w:gridSpan w:val="2"/>
          </w:tcPr>
          <w:p w14:paraId="31D49984"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44122FF9" w14:textId="0DBA4837" w:rsidR="002D7080" w:rsidRPr="004D1E6F" w:rsidRDefault="008A0BC6" w:rsidP="002E2C37">
            <w:pPr>
              <w:ind w:left="720" w:hanging="720"/>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w:t>
            </w:r>
            <w:r w:rsidR="001C1A0B" w:rsidRPr="004D1E6F">
              <w:rPr>
                <w:rFonts w:ascii="Times New Roman" w:eastAsia="Times New Roman" w:hAnsi="Times New Roman" w:cs="Times New Roman"/>
                <w:color w:val="000000"/>
                <w:sz w:val="20"/>
                <w:szCs w:val="20"/>
                <w:lang w:eastAsia="en-ZA"/>
              </w:rPr>
              <w:t xml:space="preserve">e Moor, I., 2002, ‘Potential impacts of alien freshwater crayfish in South Africa’, </w:t>
            </w:r>
            <w:r w:rsidR="001C1A0B" w:rsidRPr="004D1E6F">
              <w:rPr>
                <w:rFonts w:ascii="Times New Roman" w:eastAsia="Times New Roman" w:hAnsi="Times New Roman" w:cs="Times New Roman"/>
                <w:i/>
                <w:color w:val="000000"/>
                <w:sz w:val="20"/>
                <w:szCs w:val="20"/>
                <w:lang w:eastAsia="en-ZA"/>
              </w:rPr>
              <w:t>African Journal of Aquatic Science</w:t>
            </w:r>
            <w:r w:rsidR="001C1A0B" w:rsidRPr="004D1E6F">
              <w:rPr>
                <w:rFonts w:ascii="Times New Roman" w:eastAsia="Times New Roman" w:hAnsi="Times New Roman" w:cs="Times New Roman"/>
                <w:color w:val="000000"/>
                <w:sz w:val="20"/>
                <w:szCs w:val="20"/>
                <w:lang w:eastAsia="en-ZA"/>
              </w:rPr>
              <w:t xml:space="preserve"> 27, 125–139,</w:t>
            </w:r>
            <w:r w:rsidR="001C1A0B">
              <w:rPr>
                <w:rFonts w:ascii="Times New Roman" w:eastAsia="Times New Roman" w:hAnsi="Times New Roman" w:cs="Times New Roman"/>
                <w:color w:val="000000"/>
                <w:sz w:val="20"/>
                <w:szCs w:val="20"/>
                <w:lang w:eastAsia="en-ZA"/>
              </w:rPr>
              <w:t xml:space="preserve"> </w:t>
            </w:r>
            <w:hyperlink r:id="rId26" w:history="1">
              <w:r w:rsidR="001C1A0B" w:rsidRPr="00F215B9">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color w:val="000000"/>
                <w:sz w:val="20"/>
                <w:szCs w:val="20"/>
                <w:lang w:eastAsia="en-ZA"/>
              </w:rPr>
              <w:t>.</w:t>
            </w:r>
          </w:p>
          <w:p w14:paraId="08C74731" w14:textId="685155F3" w:rsidR="002D7080" w:rsidRPr="004D1E6F" w:rsidRDefault="001C1A0B"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27" w:history="1">
              <w:r w:rsidRPr="00F215B9">
                <w:rPr>
                  <w:rStyle w:val="Hyperlink"/>
                  <w:rFonts w:ascii="Times New Roman" w:eastAsia="Times New Roman" w:hAnsi="Times New Roman" w:cs="Times New Roman"/>
                  <w:sz w:val="20"/>
                  <w:szCs w:val="20"/>
                  <w:lang w:eastAsia="en-ZA"/>
                </w:rPr>
                <w:t>https://doi.org/10.2989/16085914.2017.1405788</w:t>
              </w:r>
            </w:hyperlink>
            <w:r w:rsidR="002D7080" w:rsidRPr="004D1E6F">
              <w:rPr>
                <w:rFonts w:ascii="Times New Roman" w:eastAsia="Times New Roman" w:hAnsi="Times New Roman" w:cs="Times New Roman"/>
                <w:color w:val="000000"/>
                <w:sz w:val="20"/>
                <w:szCs w:val="20"/>
                <w:lang w:eastAsia="en-ZA"/>
              </w:rPr>
              <w:t>.</w:t>
            </w:r>
          </w:p>
        </w:tc>
      </w:tr>
    </w:tbl>
    <w:p w14:paraId="6687631C"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4F15FA74" w14:textId="77777777" w:rsidTr="002E2C37">
        <w:tc>
          <w:tcPr>
            <w:tcW w:w="9016" w:type="dxa"/>
            <w:gridSpan w:val="2"/>
            <w:shd w:val="clear" w:color="auto" w:fill="F2F2F2" w:themeFill="background1" w:themeFillShade="F2"/>
          </w:tcPr>
          <w:p w14:paraId="72F228D9"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LIK3 Habitat suitability</w:t>
            </w:r>
          </w:p>
        </w:tc>
      </w:tr>
      <w:tr w:rsidR="002D7080" w:rsidRPr="004D1E6F" w14:paraId="028E3C62" w14:textId="77777777" w:rsidTr="002E2C37">
        <w:tc>
          <w:tcPr>
            <w:tcW w:w="5524" w:type="dxa"/>
          </w:tcPr>
          <w:p w14:paraId="1936041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Fairly probable (p = 0.5)</w:t>
            </w:r>
          </w:p>
        </w:tc>
        <w:tc>
          <w:tcPr>
            <w:tcW w:w="3492" w:type="dxa"/>
          </w:tcPr>
          <w:p w14:paraId="4847B8E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4F06A8E9" w14:textId="77777777" w:rsidTr="002E2C37">
        <w:tc>
          <w:tcPr>
            <w:tcW w:w="9016" w:type="dxa"/>
            <w:gridSpan w:val="2"/>
          </w:tcPr>
          <w:p w14:paraId="25AF3EBD" w14:textId="1068F991"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 xml:space="preserve">Cherax cainii </w:t>
            </w:r>
            <w:r w:rsidRPr="004D1E6F">
              <w:rPr>
                <w:rFonts w:ascii="Times New Roman" w:eastAsia="Times New Roman" w:hAnsi="Times New Roman" w:cs="Times New Roman"/>
                <w:sz w:val="20"/>
                <w:szCs w:val="20"/>
                <w:lang w:eastAsia="en-ZA"/>
              </w:rPr>
              <w:t xml:space="preserve">occurs in deep perennial rivers and prefers sandy areas in rivers, particularly where organic matter accumulates (Beatty et al. 2004). Areas susceptible to </w:t>
            </w:r>
            <w:r w:rsidRPr="004D1E6F">
              <w:rPr>
                <w:rFonts w:ascii="Times New Roman" w:eastAsia="Times New Roman" w:hAnsi="Times New Roman" w:cs="Times New Roman"/>
                <w:i/>
                <w:sz w:val="20"/>
                <w:szCs w:val="20"/>
                <w:lang w:eastAsia="en-ZA"/>
              </w:rPr>
              <w:t>C. cainii</w:t>
            </w:r>
            <w:r w:rsidRPr="004D1E6F">
              <w:rPr>
                <w:rFonts w:ascii="Times New Roman" w:eastAsia="Times New Roman" w:hAnsi="Times New Roman" w:cs="Times New Roman"/>
                <w:sz w:val="20"/>
                <w:szCs w:val="20"/>
                <w:lang w:eastAsia="en-ZA"/>
              </w:rPr>
              <w:t xml:space="preserve"> in South Africa are cool permanent streams in the Highveld and in the southern and south-western Cape (</w:t>
            </w:r>
            <w:r w:rsidR="008A0BC6">
              <w:rPr>
                <w:rFonts w:ascii="Times New Roman" w:eastAsia="Times New Roman" w:hAnsi="Times New Roman" w:cs="Times New Roman"/>
                <w:sz w:val="20"/>
                <w:szCs w:val="20"/>
                <w:lang w:eastAsia="en-ZA"/>
              </w:rPr>
              <w:t>D</w:t>
            </w:r>
            <w:r w:rsidRPr="004D1E6F">
              <w:rPr>
                <w:rFonts w:ascii="Times New Roman" w:eastAsia="Times New Roman" w:hAnsi="Times New Roman" w:cs="Times New Roman"/>
                <w:sz w:val="20"/>
                <w:szCs w:val="20"/>
                <w:lang w:eastAsia="en-ZA"/>
              </w:rPr>
              <w:t>e Moor 2002; Nunes et al. 2017)</w:t>
            </w:r>
            <w:r w:rsidRPr="004D1E6F">
              <w:rPr>
                <w:rFonts w:ascii="Times New Roman" w:eastAsia="Times New Roman" w:hAnsi="Times New Roman" w:cs="Times New Roman"/>
                <w:color w:val="000000"/>
                <w:sz w:val="20"/>
                <w:szCs w:val="20"/>
                <w:lang w:eastAsia="en-ZA"/>
              </w:rPr>
              <w:t xml:space="preserve">. </w:t>
            </w:r>
          </w:p>
        </w:tc>
      </w:tr>
      <w:tr w:rsidR="002D7080" w:rsidRPr="004D1E6F" w14:paraId="046607C4" w14:textId="77777777" w:rsidTr="002E2C37">
        <w:tc>
          <w:tcPr>
            <w:tcW w:w="9016" w:type="dxa"/>
            <w:gridSpan w:val="2"/>
          </w:tcPr>
          <w:p w14:paraId="4D8AD1BA" w14:textId="77777777" w:rsidR="002D7080" w:rsidRPr="004D1E6F" w:rsidRDefault="002D7080" w:rsidP="00663569">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619CB9AA" w14:textId="44F39340" w:rsidR="002D7080" w:rsidRPr="00314CD4" w:rsidRDefault="002D7080"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Beatty, S.J., Morgan, D.L. &amp; Gill, H.S., 2004, ‘Biology of a translocated population of the large freshwater crayfish, </w:t>
            </w:r>
            <w:r w:rsidRPr="004D1E6F">
              <w:rPr>
                <w:rFonts w:ascii="Times New Roman" w:eastAsia="Times New Roman" w:hAnsi="Times New Roman" w:cs="Times New Roman"/>
                <w:i/>
                <w:color w:val="000000"/>
                <w:sz w:val="20"/>
                <w:szCs w:val="20"/>
                <w:lang w:eastAsia="en-ZA"/>
              </w:rPr>
              <w:t>Cherax cainii</w:t>
            </w:r>
            <w:r w:rsidRPr="004D1E6F">
              <w:rPr>
                <w:rFonts w:ascii="Times New Roman" w:eastAsia="Times New Roman" w:hAnsi="Times New Roman" w:cs="Times New Roman"/>
                <w:color w:val="000000"/>
                <w:sz w:val="20"/>
                <w:szCs w:val="20"/>
                <w:lang w:eastAsia="en-ZA"/>
              </w:rPr>
              <w:t xml:space="preserve"> Austin &amp; Ryan, 2002 in a Western Australian River’, </w:t>
            </w:r>
            <w:r w:rsidRPr="004D1E6F">
              <w:rPr>
                <w:rFonts w:ascii="Times New Roman" w:eastAsia="Times New Roman" w:hAnsi="Times New Roman" w:cs="Times New Roman"/>
                <w:i/>
                <w:iCs/>
                <w:color w:val="000000"/>
                <w:sz w:val="20"/>
                <w:szCs w:val="20"/>
                <w:lang w:eastAsia="en-ZA"/>
              </w:rPr>
              <w:t>Crustaceana</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77</w:t>
            </w:r>
            <w:r w:rsidRPr="004D1E6F">
              <w:rPr>
                <w:rFonts w:ascii="Times New Roman" w:eastAsia="Times New Roman" w:hAnsi="Times New Roman" w:cs="Times New Roman"/>
                <w:color w:val="000000"/>
                <w:sz w:val="20"/>
                <w:szCs w:val="20"/>
                <w:lang w:eastAsia="en-ZA"/>
              </w:rPr>
              <w:t>, 1329–1351,</w:t>
            </w:r>
            <w:r w:rsidR="00314CD4" w:rsidRPr="00314CD4">
              <w:rPr>
                <w:kern w:val="2"/>
                <w14:ligatures w14:val="standardContextual"/>
              </w:rPr>
              <w:t xml:space="preserve"> </w:t>
            </w:r>
            <w:hyperlink r:id="rId28" w:history="1">
              <w:r w:rsidR="00314CD4" w:rsidRPr="00F215B9">
                <w:rPr>
                  <w:rStyle w:val="Hyperlink"/>
                  <w:rFonts w:ascii="Times New Roman" w:eastAsia="Times New Roman" w:hAnsi="Times New Roman" w:cs="Times New Roman"/>
                  <w:sz w:val="20"/>
                  <w:szCs w:val="20"/>
                  <w:lang w:eastAsia="en-ZA"/>
                </w:rPr>
                <w:t>http://www.jstor.org/stable/20107445</w:t>
              </w:r>
            </w:hyperlink>
            <w:r w:rsidRPr="004D1E6F">
              <w:rPr>
                <w:rFonts w:ascii="Times New Roman" w:eastAsia="Times New Roman" w:hAnsi="Times New Roman" w:cs="Times New Roman"/>
                <w:color w:val="000000"/>
                <w:sz w:val="20"/>
                <w:szCs w:val="20"/>
                <w:lang w:eastAsia="en-ZA"/>
              </w:rPr>
              <w:t>.</w:t>
            </w:r>
            <w:r w:rsidR="00314CD4">
              <w:rPr>
                <w:rFonts w:ascii="Times New Roman" w:eastAsia="Times New Roman" w:hAnsi="Times New Roman" w:cs="Times New Roman"/>
                <w:color w:val="000000"/>
                <w:sz w:val="20"/>
                <w:szCs w:val="20"/>
                <w:lang w:eastAsia="en-ZA"/>
              </w:rPr>
              <w:t xml:space="preserve"> </w:t>
            </w:r>
          </w:p>
          <w:p w14:paraId="23EF1C5E" w14:textId="3BF2834C" w:rsidR="001C1A0B" w:rsidRPr="004D1E6F" w:rsidRDefault="008A0BC6" w:rsidP="00663569">
            <w:pPr>
              <w:ind w:left="720" w:hanging="720"/>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w:t>
            </w:r>
            <w:r w:rsidR="001C1A0B" w:rsidRPr="004D1E6F">
              <w:rPr>
                <w:rFonts w:ascii="Times New Roman" w:eastAsia="Times New Roman" w:hAnsi="Times New Roman" w:cs="Times New Roman"/>
                <w:color w:val="000000"/>
                <w:sz w:val="20"/>
                <w:szCs w:val="20"/>
                <w:lang w:eastAsia="en-ZA"/>
              </w:rPr>
              <w:t xml:space="preserve">e Moor, I., 2002, ‘Potential impacts of alien freshwater crayfish in South Africa’, </w:t>
            </w:r>
            <w:r w:rsidR="001C1A0B" w:rsidRPr="004D1E6F">
              <w:rPr>
                <w:rFonts w:ascii="Times New Roman" w:eastAsia="Times New Roman" w:hAnsi="Times New Roman" w:cs="Times New Roman"/>
                <w:i/>
                <w:color w:val="000000"/>
                <w:sz w:val="20"/>
                <w:szCs w:val="20"/>
                <w:lang w:eastAsia="en-ZA"/>
              </w:rPr>
              <w:t>African Journal of Aquatic Science</w:t>
            </w:r>
            <w:r w:rsidR="001C1A0B" w:rsidRPr="004D1E6F">
              <w:rPr>
                <w:rFonts w:ascii="Times New Roman" w:eastAsia="Times New Roman" w:hAnsi="Times New Roman" w:cs="Times New Roman"/>
                <w:color w:val="000000"/>
                <w:sz w:val="20"/>
                <w:szCs w:val="20"/>
                <w:lang w:eastAsia="en-ZA"/>
              </w:rPr>
              <w:t xml:space="preserve"> 27, 125–139,</w:t>
            </w:r>
            <w:r w:rsidR="001C1A0B">
              <w:rPr>
                <w:rFonts w:ascii="Times New Roman" w:eastAsia="Times New Roman" w:hAnsi="Times New Roman" w:cs="Times New Roman"/>
                <w:color w:val="000000"/>
                <w:sz w:val="20"/>
                <w:szCs w:val="20"/>
                <w:lang w:eastAsia="en-ZA"/>
              </w:rPr>
              <w:t xml:space="preserve"> </w:t>
            </w:r>
            <w:hyperlink r:id="rId29" w:history="1">
              <w:r w:rsidR="001C1A0B" w:rsidRPr="00F215B9">
                <w:rPr>
                  <w:rStyle w:val="Hyperlink"/>
                  <w:rFonts w:ascii="Times New Roman" w:eastAsia="Times New Roman" w:hAnsi="Times New Roman" w:cs="Times New Roman"/>
                  <w:sz w:val="20"/>
                  <w:szCs w:val="20"/>
                  <w:lang w:eastAsia="en-ZA"/>
                </w:rPr>
                <w:t>https://doi.org/10.2989/16085914.2002.9626584</w:t>
              </w:r>
            </w:hyperlink>
            <w:r w:rsidR="001C1A0B" w:rsidRPr="004D1E6F">
              <w:rPr>
                <w:rFonts w:ascii="Times New Roman" w:eastAsia="Times New Roman" w:hAnsi="Times New Roman" w:cs="Times New Roman"/>
                <w:color w:val="000000"/>
                <w:sz w:val="20"/>
                <w:szCs w:val="20"/>
                <w:lang w:eastAsia="en-ZA"/>
              </w:rPr>
              <w:t>.</w:t>
            </w:r>
          </w:p>
          <w:p w14:paraId="0AB60838" w14:textId="28D04078" w:rsidR="002D7080" w:rsidRPr="004D1E6F" w:rsidRDefault="001C1A0B"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30" w:history="1">
              <w:r w:rsidRPr="00F215B9">
                <w:rPr>
                  <w:rStyle w:val="Hyperlink"/>
                  <w:rFonts w:ascii="Times New Roman" w:eastAsia="Times New Roman" w:hAnsi="Times New Roman" w:cs="Times New Roman"/>
                  <w:sz w:val="20"/>
                  <w:szCs w:val="20"/>
                  <w:lang w:eastAsia="en-ZA"/>
                </w:rPr>
                <w:t>https://doi.org/10.2989/16085914.2017.1405788</w:t>
              </w:r>
            </w:hyperlink>
            <w:r w:rsidR="002D7080" w:rsidRPr="004D1E6F">
              <w:rPr>
                <w:rFonts w:ascii="Times New Roman" w:eastAsia="Times New Roman" w:hAnsi="Times New Roman" w:cs="Times New Roman"/>
                <w:color w:val="000000"/>
                <w:sz w:val="20"/>
                <w:szCs w:val="20"/>
                <w:lang w:eastAsia="en-ZA"/>
              </w:rPr>
              <w:t>.</w:t>
            </w:r>
          </w:p>
        </w:tc>
      </w:tr>
    </w:tbl>
    <w:p w14:paraId="59449F40" w14:textId="77777777" w:rsidR="002D7080" w:rsidRPr="004D1E6F" w:rsidRDefault="002D7080" w:rsidP="00663569">
      <w:pPr>
        <w:spacing w:after="0" w:line="240" w:lineRule="auto"/>
        <w:jc w:val="both"/>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2BB68032" w14:textId="77777777" w:rsidTr="002E2C37">
        <w:tc>
          <w:tcPr>
            <w:tcW w:w="9016" w:type="dxa"/>
            <w:gridSpan w:val="2"/>
            <w:shd w:val="clear" w:color="auto" w:fill="F2F2F2" w:themeFill="background1" w:themeFillShade="F2"/>
          </w:tcPr>
          <w:p w14:paraId="389E4B2B"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LIK4 Climate suitability</w:t>
            </w:r>
          </w:p>
        </w:tc>
      </w:tr>
      <w:tr w:rsidR="002D7080" w:rsidRPr="004D1E6F" w14:paraId="30553421" w14:textId="77777777" w:rsidTr="002E2C37">
        <w:tc>
          <w:tcPr>
            <w:tcW w:w="5524" w:type="dxa"/>
          </w:tcPr>
          <w:p w14:paraId="1360D44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Fairly probable (p = 0.5)</w:t>
            </w:r>
          </w:p>
        </w:tc>
        <w:tc>
          <w:tcPr>
            <w:tcW w:w="3492" w:type="dxa"/>
          </w:tcPr>
          <w:p w14:paraId="04BBB68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3682FE11" w14:textId="77777777" w:rsidTr="002E2C37">
        <w:trPr>
          <w:trHeight w:val="70"/>
        </w:trPr>
        <w:tc>
          <w:tcPr>
            <w:tcW w:w="9016" w:type="dxa"/>
            <w:gridSpan w:val="2"/>
          </w:tcPr>
          <w:p w14:paraId="4FBD917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 xml:space="preserve">In aquaculture conditions, </w:t>
            </w:r>
            <w:r w:rsidRPr="004D1E6F">
              <w:rPr>
                <w:rFonts w:ascii="Times New Roman" w:eastAsia="Times New Roman" w:hAnsi="Times New Roman" w:cs="Times New Roman"/>
                <w:i/>
                <w:color w:val="000000"/>
                <w:sz w:val="20"/>
                <w:szCs w:val="20"/>
                <w:lang w:eastAsia="en-ZA"/>
              </w:rPr>
              <w:t>Cherax cainii</w:t>
            </w:r>
            <w:r w:rsidRPr="004D1E6F">
              <w:rPr>
                <w:rFonts w:ascii="Times New Roman" w:eastAsia="Times New Roman" w:hAnsi="Times New Roman" w:cs="Times New Roman"/>
                <w:color w:val="000000"/>
                <w:sz w:val="20"/>
                <w:szCs w:val="20"/>
                <w:lang w:eastAsia="en-ZA"/>
              </w:rPr>
              <w:t xml:space="preserve"> has a thermal tolerance range of 8-29°C, with an optimal range of 17-25°C (Bryant &amp; Papas 2007). Growth ceases when temperature is &lt;12.5 °C (Bryant &amp; Papas 2007). The projected areas that are climatically suitable for </w:t>
            </w:r>
            <w:r w:rsidRPr="004D1E6F">
              <w:rPr>
                <w:rFonts w:ascii="Times New Roman" w:eastAsia="Times New Roman" w:hAnsi="Times New Roman" w:cs="Times New Roman"/>
                <w:i/>
                <w:color w:val="000000"/>
                <w:sz w:val="20"/>
                <w:szCs w:val="20"/>
                <w:lang w:eastAsia="en-ZA"/>
              </w:rPr>
              <w:t xml:space="preserve">C. cainii </w:t>
            </w:r>
            <w:r w:rsidRPr="004D1E6F">
              <w:rPr>
                <w:rFonts w:ascii="Times New Roman" w:eastAsia="Times New Roman" w:hAnsi="Times New Roman" w:cs="Times New Roman"/>
                <w:color w:val="000000"/>
                <w:sz w:val="20"/>
                <w:szCs w:val="20"/>
                <w:lang w:eastAsia="en-ZA"/>
              </w:rPr>
              <w:t xml:space="preserve">in South Africa are </w:t>
            </w:r>
            <w:r w:rsidRPr="004D1E6F">
              <w:rPr>
                <w:rFonts w:ascii="Times New Roman" w:eastAsia="Calibri" w:hAnsi="Times New Roman" w:cs="Times New Roman"/>
                <w:sz w:val="20"/>
                <w:szCs w:val="20"/>
              </w:rPr>
              <w:t>located mainly in the eastern part of the country and a few areas in the Western Cape (Nunes et al. 2017). The suitable areas were mainly restricted to upland areas of the Greater Berg, Kromme, Great Kei, Mzimvubu, uMngeni, Phongolo, Crocodile and Limpopo catchment areas (Nunes et al. 2017).</w:t>
            </w:r>
          </w:p>
        </w:tc>
      </w:tr>
      <w:tr w:rsidR="002D7080" w:rsidRPr="004D1E6F" w14:paraId="25857565" w14:textId="77777777" w:rsidTr="002E2C37">
        <w:tc>
          <w:tcPr>
            <w:tcW w:w="9016" w:type="dxa"/>
            <w:gridSpan w:val="2"/>
          </w:tcPr>
          <w:p w14:paraId="5A59989B"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3A40689F" w14:textId="77777777" w:rsidR="002D7080" w:rsidRPr="004D1E6F" w:rsidRDefault="002D7080" w:rsidP="00663569">
            <w:pPr>
              <w:ind w:left="720" w:hanging="720"/>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Bryant, D. &amp; Papas, P., 2007, ‘Marron </w:t>
            </w:r>
            <w:r w:rsidRPr="004D1E6F">
              <w:rPr>
                <w:rFonts w:ascii="Times New Roman" w:hAnsi="Times New Roman" w:cs="Times New Roman"/>
                <w:i/>
                <w:sz w:val="20"/>
                <w:szCs w:val="20"/>
              </w:rPr>
              <w:t>Cherax cainii</w:t>
            </w:r>
            <w:r w:rsidRPr="004D1E6F">
              <w:rPr>
                <w:rFonts w:ascii="Times New Roman" w:hAnsi="Times New Roman" w:cs="Times New Roman"/>
                <w:sz w:val="20"/>
                <w:szCs w:val="20"/>
              </w:rPr>
              <w:t xml:space="preserve"> (Austin) in Victoria - a Literature review’, Arthur Rylah Institute for Environmental Research, Technical Report Series 167.</w:t>
            </w:r>
          </w:p>
          <w:p w14:paraId="53FA6E55" w14:textId="495FAC92" w:rsidR="002D7080" w:rsidRPr="004D1E6F" w:rsidRDefault="001E5964" w:rsidP="00663569">
            <w:pPr>
              <w:widowControl w:val="0"/>
              <w:autoSpaceDE w:val="0"/>
              <w:autoSpaceDN w:val="0"/>
              <w:adjustRightInd w:val="0"/>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31" w:history="1">
              <w:r w:rsidRPr="00F215B9">
                <w:rPr>
                  <w:rStyle w:val="Hyperlink"/>
                  <w:rFonts w:ascii="Times New Roman" w:eastAsia="Times New Roman" w:hAnsi="Times New Roman" w:cs="Times New Roman"/>
                  <w:sz w:val="20"/>
                  <w:szCs w:val="20"/>
                  <w:lang w:eastAsia="en-ZA"/>
                </w:rPr>
                <w:t>https://doi.org/10.2989/16085914.2017.1405788</w:t>
              </w:r>
            </w:hyperlink>
            <w:r w:rsidR="002D7080" w:rsidRPr="004D1E6F">
              <w:rPr>
                <w:rFonts w:ascii="Times New Roman" w:eastAsia="Times New Roman" w:hAnsi="Times New Roman" w:cs="Times New Roman"/>
                <w:color w:val="000000"/>
                <w:sz w:val="20"/>
                <w:szCs w:val="20"/>
                <w:lang w:eastAsia="en-ZA"/>
              </w:rPr>
              <w:t>.</w:t>
            </w:r>
          </w:p>
          <w:p w14:paraId="49679329" w14:textId="77777777" w:rsidR="002D7080" w:rsidRPr="004D1E6F" w:rsidRDefault="002D7080"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Zengeya, T.A., ‘Risk assessment of </w:t>
            </w:r>
            <w:r w:rsidRPr="004D1E6F">
              <w:rPr>
                <w:rFonts w:ascii="Times New Roman" w:eastAsia="Times New Roman" w:hAnsi="Times New Roman" w:cs="Times New Roman"/>
                <w:i/>
                <w:sz w:val="20"/>
                <w:szCs w:val="20"/>
                <w:lang w:eastAsia="en-ZA"/>
              </w:rPr>
              <w:t xml:space="preserve">Cherax </w:t>
            </w:r>
            <w:r w:rsidRPr="004D1E6F">
              <w:rPr>
                <w:rFonts w:ascii="Times New Roman" w:eastAsia="Times New Roman" w:hAnsi="Times New Roman" w:cs="Times New Roman"/>
                <w:sz w:val="20"/>
                <w:szCs w:val="20"/>
                <w:lang w:eastAsia="en-ZA"/>
              </w:rPr>
              <w:t>sp in South Africa (Unpublished data)’.</w:t>
            </w:r>
          </w:p>
        </w:tc>
      </w:tr>
    </w:tbl>
    <w:p w14:paraId="0BF573F1" w14:textId="77777777" w:rsidR="002D7080" w:rsidRPr="004D1E6F" w:rsidRDefault="002D7080" w:rsidP="002D7080">
      <w:pPr>
        <w:spacing w:after="0" w:line="240" w:lineRule="auto"/>
        <w:contextualSpacing/>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248492A7" w14:textId="77777777" w:rsidTr="002E2C37">
        <w:tc>
          <w:tcPr>
            <w:tcW w:w="9016" w:type="dxa"/>
            <w:gridSpan w:val="2"/>
            <w:shd w:val="clear" w:color="auto" w:fill="F2F2F2" w:themeFill="background1" w:themeFillShade="F2"/>
          </w:tcPr>
          <w:p w14:paraId="626DACA1"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LIK5 Unaided secondary (dispersal) pathways</w:t>
            </w:r>
          </w:p>
        </w:tc>
      </w:tr>
      <w:tr w:rsidR="002D7080" w:rsidRPr="004D1E6F" w14:paraId="5F1F97E3" w14:textId="77777777" w:rsidTr="002E2C37">
        <w:tc>
          <w:tcPr>
            <w:tcW w:w="5524" w:type="dxa"/>
          </w:tcPr>
          <w:p w14:paraId="0CFAD54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Unlikely (p = 0.027)</w:t>
            </w:r>
          </w:p>
        </w:tc>
        <w:tc>
          <w:tcPr>
            <w:tcW w:w="3492" w:type="dxa"/>
          </w:tcPr>
          <w:p w14:paraId="0DD5D38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1AF9FB68" w14:textId="77777777" w:rsidTr="002E2C37">
        <w:trPr>
          <w:trHeight w:val="70"/>
        </w:trPr>
        <w:tc>
          <w:tcPr>
            <w:tcW w:w="9016" w:type="dxa"/>
            <w:gridSpan w:val="2"/>
          </w:tcPr>
          <w:p w14:paraId="5A12B6C1" w14:textId="65452F82"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Arial" w:hAnsi="Times New Roman" w:cs="Times New Roman"/>
                <w:sz w:val="20"/>
                <w:szCs w:val="20"/>
              </w:rPr>
              <w:t xml:space="preserve">There are no naturalised populations of the species in South Africa, or in neighbouring countries, that could act as sources for secondary dispersal </w:t>
            </w:r>
            <w:r w:rsidRPr="004D1E6F">
              <w:rPr>
                <w:rFonts w:ascii="Times New Roman" w:eastAsia="Arial" w:hAnsi="Times New Roman" w:cs="Times New Roman"/>
                <w:sz w:val="20"/>
                <w:szCs w:val="20"/>
              </w:rPr>
              <w:fldChar w:fldCharType="begin" w:fldLock="1"/>
            </w:r>
            <w:r w:rsidRPr="004D1E6F">
              <w:rPr>
                <w:rFonts w:ascii="Times New Roman" w:eastAsia="Arial" w:hAnsi="Times New Roman" w:cs="Times New Roman"/>
                <w:sz w:val="20"/>
                <w:szCs w:val="20"/>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"ITEM-2", "issue" : "2", "issued" : { "date-parts" : [ [ "2002" ] ] }, "page" : "125-139", "title" : "Potential impacts of alien freshwater crayfish in south africa", "type" : "article-journal", "volume" : "27" }, "uris" : [ "http://www.mendeley.com/documents/?uuid=c5c2a256-5d98-4f2f-9b7a-d62d27b07fc1"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4D1E6F">
              <w:rPr>
                <w:rFonts w:ascii="Times New Roman" w:eastAsia="Arial" w:hAnsi="Times New Roman" w:cs="Times New Roman"/>
                <w:sz w:val="20"/>
                <w:szCs w:val="20"/>
              </w:rPr>
              <w:fldChar w:fldCharType="separate"/>
            </w:r>
            <w:r w:rsidRPr="004D1E6F">
              <w:rPr>
                <w:rFonts w:ascii="Times New Roman" w:eastAsia="Arial" w:hAnsi="Times New Roman" w:cs="Times New Roman"/>
                <w:sz w:val="20"/>
                <w:szCs w:val="20"/>
              </w:rPr>
              <w:t>(</w:t>
            </w:r>
            <w:r w:rsidR="008A0BC6">
              <w:rPr>
                <w:rFonts w:ascii="Times New Roman" w:eastAsia="Arial" w:hAnsi="Times New Roman" w:cs="Times New Roman"/>
                <w:sz w:val="20"/>
                <w:szCs w:val="20"/>
              </w:rPr>
              <w:t>D</w:t>
            </w:r>
            <w:r w:rsidRPr="004D1E6F">
              <w:rPr>
                <w:rFonts w:ascii="Times New Roman" w:eastAsia="Arial" w:hAnsi="Times New Roman" w:cs="Times New Roman"/>
                <w:sz w:val="20"/>
                <w:szCs w:val="20"/>
              </w:rPr>
              <w:t>e Moor 2002; Nunes et al. 2017)</w:t>
            </w:r>
            <w:r w:rsidRPr="004D1E6F">
              <w:rPr>
                <w:rFonts w:ascii="Times New Roman" w:eastAsia="Arial" w:hAnsi="Times New Roman" w:cs="Times New Roman"/>
                <w:sz w:val="20"/>
                <w:szCs w:val="20"/>
              </w:rPr>
              <w:fldChar w:fldCharType="end"/>
            </w:r>
            <w:r w:rsidRPr="004D1E6F">
              <w:rPr>
                <w:rFonts w:ascii="Times New Roman" w:eastAsia="Arial" w:hAnsi="Times New Roman" w:cs="Times New Roman"/>
                <w:sz w:val="20"/>
                <w:szCs w:val="20"/>
              </w:rPr>
              <w:t xml:space="preserve">. </w:t>
            </w:r>
          </w:p>
        </w:tc>
      </w:tr>
      <w:tr w:rsidR="002D7080" w:rsidRPr="004D1E6F" w14:paraId="2435FE67" w14:textId="77777777" w:rsidTr="002E2C37">
        <w:tc>
          <w:tcPr>
            <w:tcW w:w="9016" w:type="dxa"/>
            <w:gridSpan w:val="2"/>
          </w:tcPr>
          <w:p w14:paraId="032E90D6"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17B7D665" w14:textId="6C9BECE3" w:rsidR="001E5964" w:rsidRPr="004D1E6F" w:rsidRDefault="008A0BC6" w:rsidP="00663569">
            <w:pPr>
              <w:ind w:left="720" w:hanging="720"/>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w:t>
            </w:r>
            <w:r w:rsidR="001E5964" w:rsidRPr="004D1E6F">
              <w:rPr>
                <w:rFonts w:ascii="Times New Roman" w:eastAsia="Times New Roman" w:hAnsi="Times New Roman" w:cs="Times New Roman"/>
                <w:color w:val="000000"/>
                <w:sz w:val="20"/>
                <w:szCs w:val="20"/>
                <w:lang w:eastAsia="en-ZA"/>
              </w:rPr>
              <w:t xml:space="preserve">e Moor, I., 2002, ‘Potential impacts of alien freshwater crayfish in South Africa’, </w:t>
            </w:r>
            <w:r w:rsidR="001E5964" w:rsidRPr="004D1E6F">
              <w:rPr>
                <w:rFonts w:ascii="Times New Roman" w:eastAsia="Times New Roman" w:hAnsi="Times New Roman" w:cs="Times New Roman"/>
                <w:i/>
                <w:color w:val="000000"/>
                <w:sz w:val="20"/>
                <w:szCs w:val="20"/>
                <w:lang w:eastAsia="en-ZA"/>
              </w:rPr>
              <w:t>African Journal of Aquatic Science</w:t>
            </w:r>
            <w:r w:rsidR="001E5964" w:rsidRPr="004D1E6F">
              <w:rPr>
                <w:rFonts w:ascii="Times New Roman" w:eastAsia="Times New Roman" w:hAnsi="Times New Roman" w:cs="Times New Roman"/>
                <w:color w:val="000000"/>
                <w:sz w:val="20"/>
                <w:szCs w:val="20"/>
                <w:lang w:eastAsia="en-ZA"/>
              </w:rPr>
              <w:t xml:space="preserve"> 27, 125–139,</w:t>
            </w:r>
            <w:r w:rsidR="001E5964">
              <w:rPr>
                <w:rFonts w:ascii="Times New Roman" w:eastAsia="Times New Roman" w:hAnsi="Times New Roman" w:cs="Times New Roman"/>
                <w:color w:val="000000"/>
                <w:sz w:val="20"/>
                <w:szCs w:val="20"/>
                <w:lang w:eastAsia="en-ZA"/>
              </w:rPr>
              <w:t xml:space="preserve"> </w:t>
            </w:r>
            <w:hyperlink r:id="rId32" w:history="1">
              <w:r w:rsidR="001E5964" w:rsidRPr="00F215B9">
                <w:rPr>
                  <w:rStyle w:val="Hyperlink"/>
                  <w:rFonts w:ascii="Times New Roman" w:eastAsia="Times New Roman" w:hAnsi="Times New Roman" w:cs="Times New Roman"/>
                  <w:sz w:val="20"/>
                  <w:szCs w:val="20"/>
                  <w:lang w:eastAsia="en-ZA"/>
                </w:rPr>
                <w:t>https://doi.org/10.2989/16085914.2002.9626584</w:t>
              </w:r>
            </w:hyperlink>
            <w:r w:rsidR="001E5964" w:rsidRPr="004D1E6F">
              <w:rPr>
                <w:rFonts w:ascii="Times New Roman" w:eastAsia="Times New Roman" w:hAnsi="Times New Roman" w:cs="Times New Roman"/>
                <w:color w:val="000000"/>
                <w:sz w:val="20"/>
                <w:szCs w:val="20"/>
                <w:lang w:eastAsia="en-ZA"/>
              </w:rPr>
              <w:t>.</w:t>
            </w:r>
          </w:p>
          <w:p w14:paraId="718F5ED5" w14:textId="1FD6F0D5" w:rsidR="002D7080" w:rsidRPr="004D1E6F" w:rsidRDefault="001E5964"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33" w:history="1">
              <w:r w:rsidRPr="00F215B9">
                <w:rPr>
                  <w:rStyle w:val="Hyperlink"/>
                  <w:rFonts w:ascii="Times New Roman" w:eastAsia="Times New Roman" w:hAnsi="Times New Roman" w:cs="Times New Roman"/>
                  <w:sz w:val="20"/>
                  <w:szCs w:val="20"/>
                  <w:lang w:eastAsia="en-ZA"/>
                </w:rPr>
                <w:t>https://doi.org/10.2989/16085914.2017.1405788</w:t>
              </w:r>
            </w:hyperlink>
            <w:r w:rsidR="002D7080" w:rsidRPr="004D1E6F">
              <w:rPr>
                <w:rFonts w:ascii="Times New Roman" w:eastAsia="Times New Roman" w:hAnsi="Times New Roman" w:cs="Times New Roman"/>
                <w:color w:val="000000"/>
                <w:sz w:val="20"/>
                <w:szCs w:val="20"/>
                <w:lang w:eastAsia="en-ZA"/>
              </w:rPr>
              <w:t>.</w:t>
            </w:r>
          </w:p>
        </w:tc>
      </w:tr>
    </w:tbl>
    <w:p w14:paraId="466D73FC"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64BD317E" w14:textId="77777777" w:rsidTr="002E2C37">
        <w:tc>
          <w:tcPr>
            <w:tcW w:w="9016" w:type="dxa"/>
            <w:gridSpan w:val="2"/>
            <w:shd w:val="clear" w:color="auto" w:fill="F2F2F2" w:themeFill="background1" w:themeFillShade="F2"/>
          </w:tcPr>
          <w:p w14:paraId="700757B8"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LIK6 Human aided secondary (dispersal) pathways</w:t>
            </w:r>
          </w:p>
        </w:tc>
      </w:tr>
      <w:tr w:rsidR="002D7080" w:rsidRPr="004D1E6F" w14:paraId="23B9550E" w14:textId="77777777" w:rsidTr="002E2C37">
        <w:tc>
          <w:tcPr>
            <w:tcW w:w="5524" w:type="dxa"/>
          </w:tcPr>
          <w:p w14:paraId="49208E2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Response: Probable (p = 1)</w:t>
            </w:r>
          </w:p>
        </w:tc>
        <w:tc>
          <w:tcPr>
            <w:tcW w:w="3492" w:type="dxa"/>
          </w:tcPr>
          <w:p w14:paraId="00FA772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6F794EAE" w14:textId="77777777" w:rsidTr="002E2C37">
        <w:tc>
          <w:tcPr>
            <w:tcW w:w="9016" w:type="dxa"/>
            <w:gridSpan w:val="2"/>
          </w:tcPr>
          <w:p w14:paraId="1800BDAD" w14:textId="6934033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bookmarkStart w:id="2" w:name="_Hlk55311672"/>
            <w:r w:rsidRPr="004D1E6F">
              <w:rPr>
                <w:rFonts w:ascii="Times New Roman" w:eastAsia="Times New Roman" w:hAnsi="Times New Roman" w:cs="Times New Roman"/>
                <w:i/>
                <w:color w:val="000000"/>
                <w:sz w:val="20"/>
                <w:szCs w:val="20"/>
                <w:lang w:eastAsia="en-ZA"/>
              </w:rPr>
              <w:t xml:space="preserve"> Cherax cainii </w:t>
            </w:r>
            <w:r w:rsidRPr="004D1E6F">
              <w:rPr>
                <w:rFonts w:ascii="Times New Roman" w:eastAsia="Times New Roman" w:hAnsi="Times New Roman" w:cs="Times New Roman"/>
                <w:color w:val="000000"/>
                <w:sz w:val="20"/>
                <w:szCs w:val="20"/>
                <w:lang w:eastAsia="en-ZA"/>
              </w:rPr>
              <w:t>is used for aquaculture and the potential for intentional releases, or unintentional escapes, is high (</w:t>
            </w:r>
            <w:r w:rsidR="008A0BC6">
              <w:rPr>
                <w:rFonts w:ascii="Times New Roman" w:eastAsia="Times New Roman" w:hAnsi="Times New Roman" w:cs="Times New Roman"/>
                <w:color w:val="000000"/>
                <w:sz w:val="20"/>
                <w:szCs w:val="20"/>
                <w:lang w:eastAsia="en-ZA"/>
              </w:rPr>
              <w:t>D</w:t>
            </w:r>
            <w:r w:rsidRPr="004D1E6F">
              <w:rPr>
                <w:rFonts w:ascii="Times New Roman" w:eastAsia="Times New Roman" w:hAnsi="Times New Roman" w:cs="Times New Roman"/>
                <w:color w:val="000000"/>
                <w:sz w:val="20"/>
                <w:szCs w:val="20"/>
                <w:lang w:eastAsia="en-ZA"/>
              </w:rPr>
              <w:t>e Moor 2002; Bryant &amp; Papas 2007; Nunes et al. 2017).</w:t>
            </w:r>
            <w:bookmarkEnd w:id="2"/>
          </w:p>
        </w:tc>
      </w:tr>
      <w:tr w:rsidR="002D7080" w:rsidRPr="004D1E6F" w14:paraId="061DA2C3" w14:textId="77777777" w:rsidTr="002E2C37">
        <w:tc>
          <w:tcPr>
            <w:tcW w:w="9016" w:type="dxa"/>
            <w:gridSpan w:val="2"/>
          </w:tcPr>
          <w:p w14:paraId="1BCC4D94"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07C8F944" w14:textId="77777777" w:rsidR="002D7080" w:rsidRPr="004D1E6F" w:rsidRDefault="002D7080" w:rsidP="00663569">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Bryant, D., Papas, P., 2007, ‘Marron </w:t>
            </w:r>
            <w:r w:rsidRPr="004D1E6F">
              <w:rPr>
                <w:rFonts w:ascii="Times New Roman" w:eastAsia="Times New Roman" w:hAnsi="Times New Roman" w:cs="Times New Roman"/>
                <w:i/>
                <w:iCs/>
                <w:color w:val="000000"/>
                <w:sz w:val="20"/>
                <w:szCs w:val="20"/>
                <w:lang w:eastAsia="en-ZA"/>
              </w:rPr>
              <w:t xml:space="preserve">Cherax cainii </w:t>
            </w:r>
            <w:r w:rsidRPr="004D1E6F">
              <w:rPr>
                <w:rFonts w:ascii="Times New Roman" w:eastAsia="Times New Roman" w:hAnsi="Times New Roman" w:cs="Times New Roman"/>
                <w:color w:val="000000"/>
                <w:sz w:val="20"/>
                <w:szCs w:val="20"/>
                <w:lang w:eastAsia="en-ZA"/>
              </w:rPr>
              <w:t>(Austin) in Victoria – a literature review’, Arthur Rylah Institute for Environmental Research Technical Report Series No. 167, Department of Sustainability and Environment, Heidelberg.</w:t>
            </w:r>
          </w:p>
          <w:p w14:paraId="687968B1" w14:textId="51E80D77" w:rsidR="001E5964" w:rsidRPr="004D1E6F" w:rsidRDefault="008A0BC6" w:rsidP="00663569">
            <w:pPr>
              <w:ind w:left="720" w:hanging="720"/>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w:t>
            </w:r>
            <w:r w:rsidR="001E5964" w:rsidRPr="004D1E6F">
              <w:rPr>
                <w:rFonts w:ascii="Times New Roman" w:eastAsia="Times New Roman" w:hAnsi="Times New Roman" w:cs="Times New Roman"/>
                <w:color w:val="000000"/>
                <w:sz w:val="20"/>
                <w:szCs w:val="20"/>
                <w:lang w:eastAsia="en-ZA"/>
              </w:rPr>
              <w:t xml:space="preserve">e Moor, I., 2002, ‘Potential impacts of alien freshwater crayfish in South Africa’, </w:t>
            </w:r>
            <w:r w:rsidR="001E5964" w:rsidRPr="004D1E6F">
              <w:rPr>
                <w:rFonts w:ascii="Times New Roman" w:eastAsia="Times New Roman" w:hAnsi="Times New Roman" w:cs="Times New Roman"/>
                <w:i/>
                <w:color w:val="000000"/>
                <w:sz w:val="20"/>
                <w:szCs w:val="20"/>
                <w:lang w:eastAsia="en-ZA"/>
              </w:rPr>
              <w:t>African Journal of Aquatic Science</w:t>
            </w:r>
            <w:r w:rsidR="001E5964" w:rsidRPr="004D1E6F">
              <w:rPr>
                <w:rFonts w:ascii="Times New Roman" w:eastAsia="Times New Roman" w:hAnsi="Times New Roman" w:cs="Times New Roman"/>
                <w:color w:val="000000"/>
                <w:sz w:val="20"/>
                <w:szCs w:val="20"/>
                <w:lang w:eastAsia="en-ZA"/>
              </w:rPr>
              <w:t xml:space="preserve"> 27, 125–139,</w:t>
            </w:r>
            <w:r w:rsidR="001E5964">
              <w:rPr>
                <w:rFonts w:ascii="Times New Roman" w:eastAsia="Times New Roman" w:hAnsi="Times New Roman" w:cs="Times New Roman"/>
                <w:color w:val="000000"/>
                <w:sz w:val="20"/>
                <w:szCs w:val="20"/>
                <w:lang w:eastAsia="en-ZA"/>
              </w:rPr>
              <w:t xml:space="preserve"> </w:t>
            </w:r>
            <w:hyperlink r:id="rId34" w:history="1">
              <w:r w:rsidR="001E5964" w:rsidRPr="00F215B9">
                <w:rPr>
                  <w:rStyle w:val="Hyperlink"/>
                  <w:rFonts w:ascii="Times New Roman" w:eastAsia="Times New Roman" w:hAnsi="Times New Roman" w:cs="Times New Roman"/>
                  <w:sz w:val="20"/>
                  <w:szCs w:val="20"/>
                  <w:lang w:eastAsia="en-ZA"/>
                </w:rPr>
                <w:t>https://doi.org/10.2989/16085914.2002.9626584</w:t>
              </w:r>
            </w:hyperlink>
            <w:r w:rsidR="001E5964" w:rsidRPr="004D1E6F">
              <w:rPr>
                <w:rFonts w:ascii="Times New Roman" w:eastAsia="Times New Roman" w:hAnsi="Times New Roman" w:cs="Times New Roman"/>
                <w:color w:val="000000"/>
                <w:sz w:val="20"/>
                <w:szCs w:val="20"/>
                <w:lang w:eastAsia="en-ZA"/>
              </w:rPr>
              <w:t>.</w:t>
            </w:r>
          </w:p>
          <w:p w14:paraId="1BC8EC4A" w14:textId="67C1ED31" w:rsidR="002D7080" w:rsidRPr="004D1E6F" w:rsidRDefault="001E5964"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35" w:history="1">
              <w:r w:rsidRPr="00F215B9">
                <w:rPr>
                  <w:rStyle w:val="Hyperlink"/>
                  <w:rFonts w:ascii="Times New Roman" w:eastAsia="Times New Roman" w:hAnsi="Times New Roman" w:cs="Times New Roman"/>
                  <w:sz w:val="20"/>
                  <w:szCs w:val="20"/>
                  <w:lang w:eastAsia="en-ZA"/>
                </w:rPr>
                <w:t>https://doi.org/10.2989/16085914.2017.1405788</w:t>
              </w:r>
            </w:hyperlink>
            <w:r w:rsidR="002D7080" w:rsidRPr="004D1E6F">
              <w:rPr>
                <w:rFonts w:ascii="Times New Roman" w:eastAsia="Times New Roman" w:hAnsi="Times New Roman" w:cs="Times New Roman"/>
                <w:color w:val="000000"/>
                <w:sz w:val="20"/>
                <w:szCs w:val="20"/>
                <w:lang w:eastAsia="en-ZA"/>
              </w:rPr>
              <w:t>.</w:t>
            </w:r>
          </w:p>
        </w:tc>
      </w:tr>
    </w:tbl>
    <w:p w14:paraId="39F9B814"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3C17BBAC"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3. Consequences</w:t>
      </w:r>
    </w:p>
    <w:p w14:paraId="7587783E"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1349F5DF" w14:textId="77777777" w:rsidTr="002E2C37">
        <w:trPr>
          <w:trHeight w:val="343"/>
        </w:trPr>
        <w:tc>
          <w:tcPr>
            <w:tcW w:w="9016" w:type="dxa"/>
            <w:gridSpan w:val="2"/>
            <w:shd w:val="clear" w:color="auto" w:fill="F2F2F2" w:themeFill="background1" w:themeFillShade="F2"/>
          </w:tcPr>
          <w:p w14:paraId="691CDCA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 Environmental impact</w:t>
            </w:r>
          </w:p>
        </w:tc>
      </w:tr>
      <w:tr w:rsidR="002D7080" w:rsidRPr="004D1E6F" w14:paraId="5D946C97" w14:textId="77777777" w:rsidTr="002E2C37">
        <w:tc>
          <w:tcPr>
            <w:tcW w:w="9016" w:type="dxa"/>
            <w:gridSpan w:val="2"/>
            <w:shd w:val="clear" w:color="auto" w:fill="F2F2F2" w:themeFill="background1" w:themeFillShade="F2"/>
          </w:tcPr>
          <w:p w14:paraId="176A2183"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CON1a: Competition</w:t>
            </w:r>
          </w:p>
        </w:tc>
      </w:tr>
      <w:tr w:rsidR="002D7080" w:rsidRPr="004D1E6F" w14:paraId="09BA05B7" w14:textId="77777777" w:rsidTr="002E2C37">
        <w:tc>
          <w:tcPr>
            <w:tcW w:w="5949" w:type="dxa"/>
          </w:tcPr>
          <w:p w14:paraId="2216BA1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5CECF68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21E6EFA0" w14:textId="77777777" w:rsidTr="002E2C37">
        <w:trPr>
          <w:trHeight w:val="70"/>
        </w:trPr>
        <w:tc>
          <w:tcPr>
            <w:tcW w:w="9016" w:type="dxa"/>
            <w:gridSpan w:val="2"/>
          </w:tcPr>
          <w:p w14:paraId="4079F63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599B4694" w14:textId="77777777" w:rsidTr="002E2C37">
        <w:trPr>
          <w:trHeight w:val="70"/>
        </w:trPr>
        <w:tc>
          <w:tcPr>
            <w:tcW w:w="9016" w:type="dxa"/>
            <w:gridSpan w:val="2"/>
          </w:tcPr>
          <w:p w14:paraId="33839296"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2B03F45" w14:textId="77777777" w:rsidTr="002E2C37">
        <w:tc>
          <w:tcPr>
            <w:tcW w:w="9016" w:type="dxa"/>
            <w:gridSpan w:val="2"/>
            <w:shd w:val="clear" w:color="auto" w:fill="F2F2F2" w:themeFill="background1" w:themeFillShade="F2"/>
          </w:tcPr>
          <w:p w14:paraId="34EF7D8C"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CON1b: Predation</w:t>
            </w:r>
          </w:p>
        </w:tc>
      </w:tr>
      <w:tr w:rsidR="002D7080" w:rsidRPr="004D1E6F" w14:paraId="779DDC5A" w14:textId="77777777" w:rsidTr="002E2C37">
        <w:tc>
          <w:tcPr>
            <w:tcW w:w="5949" w:type="dxa"/>
          </w:tcPr>
          <w:p w14:paraId="1E782AF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315D52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7AE21BD4" w14:textId="77777777" w:rsidTr="002E2C37">
        <w:trPr>
          <w:trHeight w:val="70"/>
        </w:trPr>
        <w:tc>
          <w:tcPr>
            <w:tcW w:w="9016" w:type="dxa"/>
            <w:gridSpan w:val="2"/>
          </w:tcPr>
          <w:p w14:paraId="7E1B5D9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2EF2EFBF" w14:textId="77777777" w:rsidTr="002E2C37">
        <w:trPr>
          <w:trHeight w:val="70"/>
        </w:trPr>
        <w:tc>
          <w:tcPr>
            <w:tcW w:w="9016" w:type="dxa"/>
            <w:gridSpan w:val="2"/>
          </w:tcPr>
          <w:p w14:paraId="4F529A36"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26DD5ACF" w14:textId="77777777" w:rsidTr="002E2C37">
        <w:tc>
          <w:tcPr>
            <w:tcW w:w="9016" w:type="dxa"/>
            <w:gridSpan w:val="2"/>
            <w:shd w:val="clear" w:color="auto" w:fill="F2F2F2" w:themeFill="background1" w:themeFillShade="F2"/>
          </w:tcPr>
          <w:p w14:paraId="38E43BF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CON1c: Hybridisation</w:t>
            </w:r>
          </w:p>
        </w:tc>
      </w:tr>
      <w:tr w:rsidR="002D7080" w:rsidRPr="004D1E6F" w14:paraId="634B50FA" w14:textId="77777777" w:rsidTr="002E2C37">
        <w:tc>
          <w:tcPr>
            <w:tcW w:w="5949" w:type="dxa"/>
          </w:tcPr>
          <w:p w14:paraId="14F1762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E4E0CB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3598B865" w14:textId="77777777" w:rsidTr="002E2C37">
        <w:trPr>
          <w:trHeight w:val="70"/>
        </w:trPr>
        <w:tc>
          <w:tcPr>
            <w:tcW w:w="9016" w:type="dxa"/>
            <w:gridSpan w:val="2"/>
          </w:tcPr>
          <w:p w14:paraId="5B6E680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 xml:space="preserve">There are no native </w:t>
            </w:r>
            <w:r w:rsidRPr="004D1E6F">
              <w:rPr>
                <w:rFonts w:ascii="Times New Roman" w:eastAsia="Times New Roman" w:hAnsi="Times New Roman" w:cs="Times New Roman"/>
                <w:i/>
                <w:iCs/>
                <w:color w:val="000000"/>
                <w:sz w:val="20"/>
                <w:szCs w:val="20"/>
                <w:lang w:eastAsia="en-ZA"/>
              </w:rPr>
              <w:t>Cherax</w:t>
            </w:r>
            <w:r w:rsidRPr="004D1E6F">
              <w:rPr>
                <w:rFonts w:ascii="Times New Roman" w:eastAsia="Times New Roman" w:hAnsi="Times New Roman" w:cs="Times New Roman"/>
                <w:color w:val="000000"/>
                <w:sz w:val="20"/>
                <w:szCs w:val="20"/>
                <w:lang w:eastAsia="en-ZA"/>
              </w:rPr>
              <w:t xml:space="preserve"> species in South Africa. </w:t>
            </w:r>
          </w:p>
        </w:tc>
      </w:tr>
      <w:tr w:rsidR="002D7080" w:rsidRPr="004D1E6F" w14:paraId="355ADAC6" w14:textId="77777777" w:rsidTr="002E2C37">
        <w:trPr>
          <w:trHeight w:val="70"/>
        </w:trPr>
        <w:tc>
          <w:tcPr>
            <w:tcW w:w="9016" w:type="dxa"/>
            <w:gridSpan w:val="2"/>
          </w:tcPr>
          <w:p w14:paraId="3EE6BFD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48B2A4A" w14:textId="77777777" w:rsidTr="002E2C37">
        <w:tc>
          <w:tcPr>
            <w:tcW w:w="9016" w:type="dxa"/>
            <w:gridSpan w:val="2"/>
            <w:shd w:val="clear" w:color="auto" w:fill="F2F2F2" w:themeFill="background1" w:themeFillShade="F2"/>
          </w:tcPr>
          <w:p w14:paraId="7987A9D4"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CON1d: Transmission of disease</w:t>
            </w:r>
          </w:p>
        </w:tc>
      </w:tr>
      <w:tr w:rsidR="002D7080" w:rsidRPr="004D1E6F" w14:paraId="75551EE5" w14:textId="77777777" w:rsidTr="002E2C37">
        <w:tc>
          <w:tcPr>
            <w:tcW w:w="5949" w:type="dxa"/>
          </w:tcPr>
          <w:p w14:paraId="49E257E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B5274B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57A96DC1" w14:textId="77777777" w:rsidTr="002E2C37">
        <w:trPr>
          <w:trHeight w:val="70"/>
        </w:trPr>
        <w:tc>
          <w:tcPr>
            <w:tcW w:w="9016" w:type="dxa"/>
            <w:gridSpan w:val="2"/>
          </w:tcPr>
          <w:p w14:paraId="5D8F25C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6A7198EC" w14:textId="77777777" w:rsidTr="002E2C37">
        <w:trPr>
          <w:trHeight w:val="70"/>
        </w:trPr>
        <w:tc>
          <w:tcPr>
            <w:tcW w:w="9016" w:type="dxa"/>
            <w:gridSpan w:val="2"/>
          </w:tcPr>
          <w:p w14:paraId="19E467DF"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7D66FE7E" w14:textId="77777777" w:rsidTr="002E2C37">
        <w:tc>
          <w:tcPr>
            <w:tcW w:w="9016" w:type="dxa"/>
            <w:gridSpan w:val="2"/>
            <w:shd w:val="clear" w:color="auto" w:fill="F2F2F2" w:themeFill="background1" w:themeFillShade="F2"/>
          </w:tcPr>
          <w:p w14:paraId="23047771"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CON1e: Parasitism</w:t>
            </w:r>
          </w:p>
        </w:tc>
      </w:tr>
      <w:tr w:rsidR="002D7080" w:rsidRPr="004D1E6F" w14:paraId="3BB5A045" w14:textId="77777777" w:rsidTr="002E2C37">
        <w:tc>
          <w:tcPr>
            <w:tcW w:w="5949" w:type="dxa"/>
          </w:tcPr>
          <w:p w14:paraId="733E1CC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30E426E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3DAA381E" w14:textId="77777777" w:rsidTr="002E2C37">
        <w:trPr>
          <w:trHeight w:val="70"/>
        </w:trPr>
        <w:tc>
          <w:tcPr>
            <w:tcW w:w="9016" w:type="dxa"/>
            <w:gridSpan w:val="2"/>
          </w:tcPr>
          <w:p w14:paraId="41D258E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5E9B95D3" w14:textId="77777777" w:rsidTr="002E2C37">
        <w:trPr>
          <w:trHeight w:val="70"/>
        </w:trPr>
        <w:tc>
          <w:tcPr>
            <w:tcW w:w="9016" w:type="dxa"/>
            <w:gridSpan w:val="2"/>
          </w:tcPr>
          <w:p w14:paraId="46379D55"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8E932C6" w14:textId="77777777" w:rsidTr="002E2C37">
        <w:tc>
          <w:tcPr>
            <w:tcW w:w="9016" w:type="dxa"/>
            <w:gridSpan w:val="2"/>
            <w:shd w:val="clear" w:color="auto" w:fill="F2F2F2" w:themeFill="background1" w:themeFillShade="F2"/>
          </w:tcPr>
          <w:p w14:paraId="11CFB897"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CON1f: Poisoning/toxicity</w:t>
            </w:r>
          </w:p>
        </w:tc>
      </w:tr>
      <w:tr w:rsidR="002D7080" w:rsidRPr="004D1E6F" w14:paraId="2F0F72B3" w14:textId="77777777" w:rsidTr="002E2C37">
        <w:tc>
          <w:tcPr>
            <w:tcW w:w="5949" w:type="dxa"/>
          </w:tcPr>
          <w:p w14:paraId="554DBF6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22B5AF3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42E8E5A6" w14:textId="77777777" w:rsidTr="002E2C37">
        <w:trPr>
          <w:trHeight w:val="70"/>
        </w:trPr>
        <w:tc>
          <w:tcPr>
            <w:tcW w:w="9016" w:type="dxa"/>
            <w:gridSpan w:val="2"/>
          </w:tcPr>
          <w:p w14:paraId="7EB00CD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688322C3" w14:textId="77777777" w:rsidTr="002E2C37">
        <w:trPr>
          <w:trHeight w:val="70"/>
        </w:trPr>
        <w:tc>
          <w:tcPr>
            <w:tcW w:w="9016" w:type="dxa"/>
            <w:gridSpan w:val="2"/>
          </w:tcPr>
          <w:p w14:paraId="7BBEF9D4"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7A8EE2CE" w14:textId="77777777" w:rsidTr="002E2C37">
        <w:tc>
          <w:tcPr>
            <w:tcW w:w="9016" w:type="dxa"/>
            <w:gridSpan w:val="2"/>
            <w:shd w:val="clear" w:color="auto" w:fill="F2F2F2" w:themeFill="background1" w:themeFillShade="F2"/>
          </w:tcPr>
          <w:p w14:paraId="09D990A6"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CON1g: Bio-fouling or other direct physical disturbance</w:t>
            </w:r>
          </w:p>
        </w:tc>
      </w:tr>
      <w:tr w:rsidR="002D7080" w:rsidRPr="004D1E6F" w14:paraId="4FE6BBBE" w14:textId="77777777" w:rsidTr="002E2C37">
        <w:tc>
          <w:tcPr>
            <w:tcW w:w="5949" w:type="dxa"/>
          </w:tcPr>
          <w:p w14:paraId="569FE30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4ED4AC6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32F69F95" w14:textId="77777777" w:rsidTr="002E2C37">
        <w:trPr>
          <w:trHeight w:val="70"/>
        </w:trPr>
        <w:tc>
          <w:tcPr>
            <w:tcW w:w="9016" w:type="dxa"/>
            <w:gridSpan w:val="2"/>
          </w:tcPr>
          <w:p w14:paraId="61BD371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648E0FB7" w14:textId="77777777" w:rsidTr="002E2C37">
        <w:trPr>
          <w:trHeight w:val="70"/>
        </w:trPr>
        <w:tc>
          <w:tcPr>
            <w:tcW w:w="9016" w:type="dxa"/>
            <w:gridSpan w:val="2"/>
          </w:tcPr>
          <w:p w14:paraId="3A54DC23"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7DA09812" w14:textId="77777777" w:rsidTr="002E2C37">
        <w:tc>
          <w:tcPr>
            <w:tcW w:w="9016" w:type="dxa"/>
            <w:gridSpan w:val="2"/>
            <w:shd w:val="clear" w:color="auto" w:fill="F2F2F2" w:themeFill="background1" w:themeFillShade="F2"/>
          </w:tcPr>
          <w:p w14:paraId="38FDD9F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CON1h: Grazing/herbivory/browsing</w:t>
            </w:r>
          </w:p>
        </w:tc>
      </w:tr>
      <w:tr w:rsidR="002D7080" w:rsidRPr="004D1E6F" w14:paraId="0A3A4566" w14:textId="77777777" w:rsidTr="002E2C37">
        <w:tc>
          <w:tcPr>
            <w:tcW w:w="5949" w:type="dxa"/>
          </w:tcPr>
          <w:p w14:paraId="14F6F09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607882A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256A54CD" w14:textId="77777777" w:rsidTr="002E2C37">
        <w:trPr>
          <w:trHeight w:val="70"/>
        </w:trPr>
        <w:tc>
          <w:tcPr>
            <w:tcW w:w="9016" w:type="dxa"/>
            <w:gridSpan w:val="2"/>
          </w:tcPr>
          <w:p w14:paraId="78851B0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7C1EE37E" w14:textId="77777777" w:rsidTr="002E2C37">
        <w:trPr>
          <w:trHeight w:val="70"/>
        </w:trPr>
        <w:tc>
          <w:tcPr>
            <w:tcW w:w="9016" w:type="dxa"/>
            <w:gridSpan w:val="2"/>
          </w:tcPr>
          <w:p w14:paraId="7B44091F"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F6EC74B" w14:textId="77777777" w:rsidTr="002E2C37">
        <w:tc>
          <w:tcPr>
            <w:tcW w:w="9016" w:type="dxa"/>
            <w:gridSpan w:val="2"/>
            <w:shd w:val="clear" w:color="auto" w:fill="F2F2F2" w:themeFill="background1" w:themeFillShade="F2"/>
          </w:tcPr>
          <w:p w14:paraId="480A5514"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CON1i: Chemical, physical or structural impact on ecosystem</w:t>
            </w:r>
          </w:p>
        </w:tc>
      </w:tr>
      <w:tr w:rsidR="002D7080" w:rsidRPr="004D1E6F" w14:paraId="517419D0" w14:textId="77777777" w:rsidTr="002E2C37">
        <w:tc>
          <w:tcPr>
            <w:tcW w:w="5949" w:type="dxa"/>
          </w:tcPr>
          <w:p w14:paraId="67E058B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24B867D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57321389" w14:textId="77777777" w:rsidTr="002E2C37">
        <w:trPr>
          <w:trHeight w:val="70"/>
        </w:trPr>
        <w:tc>
          <w:tcPr>
            <w:tcW w:w="9016" w:type="dxa"/>
            <w:gridSpan w:val="2"/>
          </w:tcPr>
          <w:p w14:paraId="6E0F2CA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04C068D5" w14:textId="77777777" w:rsidTr="002E2C37">
        <w:trPr>
          <w:trHeight w:val="70"/>
        </w:trPr>
        <w:tc>
          <w:tcPr>
            <w:tcW w:w="9016" w:type="dxa"/>
            <w:gridSpan w:val="2"/>
          </w:tcPr>
          <w:p w14:paraId="3724403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79CD6FEF" w14:textId="77777777" w:rsidTr="002E2C37">
        <w:tc>
          <w:tcPr>
            <w:tcW w:w="9016" w:type="dxa"/>
            <w:gridSpan w:val="2"/>
            <w:shd w:val="clear" w:color="auto" w:fill="F2F2F2" w:themeFill="background1" w:themeFillShade="F2"/>
          </w:tcPr>
          <w:p w14:paraId="6482679A"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CON1k: Indirect impacts through interactions with other species</w:t>
            </w:r>
          </w:p>
        </w:tc>
      </w:tr>
      <w:tr w:rsidR="002D7080" w:rsidRPr="004D1E6F" w14:paraId="3957AE0D" w14:textId="77777777" w:rsidTr="002E2C37">
        <w:tc>
          <w:tcPr>
            <w:tcW w:w="5949" w:type="dxa"/>
          </w:tcPr>
          <w:p w14:paraId="594C20B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589077F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3603D561" w14:textId="77777777" w:rsidTr="002E2C37">
        <w:trPr>
          <w:trHeight w:val="70"/>
        </w:trPr>
        <w:tc>
          <w:tcPr>
            <w:tcW w:w="9016" w:type="dxa"/>
            <w:gridSpan w:val="2"/>
          </w:tcPr>
          <w:p w14:paraId="73BD08B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2E00790A" w14:textId="77777777" w:rsidTr="002E2C37">
        <w:trPr>
          <w:trHeight w:val="70"/>
        </w:trPr>
        <w:tc>
          <w:tcPr>
            <w:tcW w:w="9016" w:type="dxa"/>
            <w:gridSpan w:val="2"/>
          </w:tcPr>
          <w:p w14:paraId="4C1DCAF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FDA82A5" w14:textId="77777777" w:rsidTr="002E2C37">
        <w:trPr>
          <w:trHeight w:val="343"/>
        </w:trPr>
        <w:tc>
          <w:tcPr>
            <w:tcW w:w="9016" w:type="dxa"/>
            <w:gridSpan w:val="2"/>
            <w:shd w:val="clear" w:color="auto" w:fill="F2F2F2" w:themeFill="background1" w:themeFillShade="F2"/>
          </w:tcPr>
          <w:p w14:paraId="63305284"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CON1 Maximum environmental impact </w:t>
            </w:r>
          </w:p>
        </w:tc>
      </w:tr>
      <w:tr w:rsidR="002D7080" w:rsidRPr="004D1E6F" w14:paraId="53E47C68" w14:textId="77777777" w:rsidTr="002E2C37">
        <w:trPr>
          <w:trHeight w:val="172"/>
        </w:trPr>
        <w:tc>
          <w:tcPr>
            <w:tcW w:w="5949" w:type="dxa"/>
          </w:tcPr>
          <w:p w14:paraId="0CD2D4F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F4136E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428A8A67" w14:textId="77777777" w:rsidTr="002E2C37">
        <w:trPr>
          <w:trHeight w:val="70"/>
        </w:trPr>
        <w:tc>
          <w:tcPr>
            <w:tcW w:w="9016" w:type="dxa"/>
            <w:gridSpan w:val="2"/>
          </w:tcPr>
          <w:p w14:paraId="7F8593F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244E8F7A" w14:textId="77777777" w:rsidTr="002E2C37">
        <w:trPr>
          <w:trHeight w:val="70"/>
        </w:trPr>
        <w:tc>
          <w:tcPr>
            <w:tcW w:w="9016" w:type="dxa"/>
            <w:gridSpan w:val="2"/>
          </w:tcPr>
          <w:p w14:paraId="57EC6E41"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74E30951" w14:textId="77777777" w:rsidR="002D7080" w:rsidRPr="004D1E6F" w:rsidRDefault="002D7080" w:rsidP="002D7080">
      <w:pPr>
        <w:spacing w:after="0" w:line="240" w:lineRule="auto"/>
        <w:rPr>
          <w:rFonts w:ascii="Times New Roman" w:hAnsi="Times New Roman" w:cs="Times New Roman"/>
          <w:sz w:val="20"/>
          <w:szCs w:val="20"/>
        </w:rPr>
      </w:pPr>
    </w:p>
    <w:tbl>
      <w:tblPr>
        <w:tblStyle w:val="TableGrid"/>
        <w:tblW w:w="0" w:type="auto"/>
        <w:tblLook w:val="04A0" w:firstRow="1" w:lastRow="0" w:firstColumn="1" w:lastColumn="0" w:noHBand="0" w:noVBand="1"/>
      </w:tblPr>
      <w:tblGrid>
        <w:gridCol w:w="5949"/>
        <w:gridCol w:w="3067"/>
      </w:tblGrid>
      <w:tr w:rsidR="002D7080" w:rsidRPr="004D1E6F" w14:paraId="49E11457" w14:textId="77777777" w:rsidTr="002E2C37">
        <w:trPr>
          <w:trHeight w:val="343"/>
        </w:trPr>
        <w:tc>
          <w:tcPr>
            <w:tcW w:w="9016" w:type="dxa"/>
            <w:gridSpan w:val="2"/>
            <w:shd w:val="clear" w:color="auto" w:fill="F2F2F2" w:themeFill="background1" w:themeFillShade="F2"/>
          </w:tcPr>
          <w:p w14:paraId="44E96C0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 Socio-economic impact</w:t>
            </w:r>
          </w:p>
        </w:tc>
      </w:tr>
      <w:tr w:rsidR="002D7080" w:rsidRPr="004D1E6F" w14:paraId="659727DE" w14:textId="77777777" w:rsidTr="002E2C37">
        <w:tc>
          <w:tcPr>
            <w:tcW w:w="9016" w:type="dxa"/>
            <w:gridSpan w:val="2"/>
            <w:shd w:val="clear" w:color="auto" w:fill="F2F2F2" w:themeFill="background1" w:themeFillShade="F2"/>
          </w:tcPr>
          <w:p w14:paraId="5AD62D5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CON2a: Safety</w:t>
            </w:r>
          </w:p>
        </w:tc>
      </w:tr>
      <w:tr w:rsidR="002D7080" w:rsidRPr="004D1E6F" w14:paraId="55EBD6FE" w14:textId="77777777" w:rsidTr="002E2C37">
        <w:tc>
          <w:tcPr>
            <w:tcW w:w="5949" w:type="dxa"/>
          </w:tcPr>
          <w:p w14:paraId="72E15CB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Response: Data Deficient (DD)</w:t>
            </w:r>
          </w:p>
        </w:tc>
        <w:tc>
          <w:tcPr>
            <w:tcW w:w="3067" w:type="dxa"/>
          </w:tcPr>
          <w:p w14:paraId="4AAFD0D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4AB13879" w14:textId="77777777" w:rsidTr="002E2C37">
        <w:trPr>
          <w:trHeight w:val="70"/>
        </w:trPr>
        <w:tc>
          <w:tcPr>
            <w:tcW w:w="9016" w:type="dxa"/>
            <w:gridSpan w:val="2"/>
          </w:tcPr>
          <w:p w14:paraId="53A3B70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4FEF8484" w14:textId="77777777" w:rsidTr="002E2C37">
        <w:trPr>
          <w:trHeight w:val="70"/>
        </w:trPr>
        <w:tc>
          <w:tcPr>
            <w:tcW w:w="9016" w:type="dxa"/>
            <w:gridSpan w:val="2"/>
          </w:tcPr>
          <w:p w14:paraId="0BD044E4"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387E63B" w14:textId="77777777" w:rsidTr="002E2C37">
        <w:tc>
          <w:tcPr>
            <w:tcW w:w="9016" w:type="dxa"/>
            <w:gridSpan w:val="2"/>
            <w:shd w:val="clear" w:color="auto" w:fill="F2F2F2" w:themeFill="background1" w:themeFillShade="F2"/>
          </w:tcPr>
          <w:p w14:paraId="32BBA3CE"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CON2b: Material and immaterial assets</w:t>
            </w:r>
          </w:p>
        </w:tc>
      </w:tr>
      <w:tr w:rsidR="002D7080" w:rsidRPr="004D1E6F" w14:paraId="031B9882" w14:textId="77777777" w:rsidTr="002E2C37">
        <w:tc>
          <w:tcPr>
            <w:tcW w:w="5949" w:type="dxa"/>
          </w:tcPr>
          <w:p w14:paraId="6F9861D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43ED567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76BF5FD8" w14:textId="77777777" w:rsidTr="002E2C37">
        <w:trPr>
          <w:trHeight w:val="128"/>
        </w:trPr>
        <w:tc>
          <w:tcPr>
            <w:tcW w:w="9016" w:type="dxa"/>
            <w:gridSpan w:val="2"/>
          </w:tcPr>
          <w:p w14:paraId="54B67550" w14:textId="77777777" w:rsidR="002D7080" w:rsidRPr="004D1E6F" w:rsidRDefault="002D7080" w:rsidP="002E2C37">
            <w:pPr>
              <w:tabs>
                <w:tab w:val="left" w:pos="1515"/>
              </w:tabs>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1AE96D08" w14:textId="77777777" w:rsidTr="002E2C37">
        <w:trPr>
          <w:trHeight w:val="70"/>
        </w:trPr>
        <w:tc>
          <w:tcPr>
            <w:tcW w:w="9016" w:type="dxa"/>
            <w:gridSpan w:val="2"/>
          </w:tcPr>
          <w:p w14:paraId="26CCD3E3"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8ACC88A" w14:textId="77777777" w:rsidTr="002E2C37">
        <w:tc>
          <w:tcPr>
            <w:tcW w:w="9016" w:type="dxa"/>
            <w:gridSpan w:val="2"/>
            <w:shd w:val="clear" w:color="auto" w:fill="F2F2F2" w:themeFill="background1" w:themeFillShade="F2"/>
          </w:tcPr>
          <w:p w14:paraId="08087CEA"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CON2c: Health</w:t>
            </w:r>
          </w:p>
        </w:tc>
      </w:tr>
      <w:tr w:rsidR="002D7080" w:rsidRPr="004D1E6F" w14:paraId="0D08F888" w14:textId="77777777" w:rsidTr="002E2C37">
        <w:tc>
          <w:tcPr>
            <w:tcW w:w="5949" w:type="dxa"/>
          </w:tcPr>
          <w:p w14:paraId="2796446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4ACBF1D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446453B8" w14:textId="77777777" w:rsidTr="002E2C37">
        <w:trPr>
          <w:trHeight w:val="70"/>
        </w:trPr>
        <w:tc>
          <w:tcPr>
            <w:tcW w:w="9016" w:type="dxa"/>
            <w:gridSpan w:val="2"/>
          </w:tcPr>
          <w:p w14:paraId="2C333AD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29F5F1BB" w14:textId="77777777" w:rsidTr="002E2C37">
        <w:trPr>
          <w:trHeight w:val="70"/>
        </w:trPr>
        <w:tc>
          <w:tcPr>
            <w:tcW w:w="9016" w:type="dxa"/>
            <w:gridSpan w:val="2"/>
          </w:tcPr>
          <w:p w14:paraId="57EC93FB"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5B9B16D4" w14:textId="77777777" w:rsidTr="002E2C37">
        <w:tc>
          <w:tcPr>
            <w:tcW w:w="9016" w:type="dxa"/>
            <w:gridSpan w:val="2"/>
            <w:shd w:val="clear" w:color="auto" w:fill="F2F2F2" w:themeFill="background1" w:themeFillShade="F2"/>
          </w:tcPr>
          <w:p w14:paraId="5B475BD6"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CON2d: Social, spiritual and cultural relations </w:t>
            </w:r>
          </w:p>
        </w:tc>
      </w:tr>
      <w:tr w:rsidR="002D7080" w:rsidRPr="004D1E6F" w14:paraId="1429A4F5" w14:textId="77777777" w:rsidTr="002E2C37">
        <w:tc>
          <w:tcPr>
            <w:tcW w:w="5949" w:type="dxa"/>
          </w:tcPr>
          <w:p w14:paraId="67C7A70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1603DA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40BCC48C" w14:textId="77777777" w:rsidTr="002E2C37">
        <w:trPr>
          <w:trHeight w:val="70"/>
        </w:trPr>
        <w:tc>
          <w:tcPr>
            <w:tcW w:w="9016" w:type="dxa"/>
            <w:gridSpan w:val="2"/>
          </w:tcPr>
          <w:p w14:paraId="1CA9FF8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65DCAED7" w14:textId="77777777" w:rsidTr="002E2C37">
        <w:trPr>
          <w:trHeight w:val="70"/>
        </w:trPr>
        <w:tc>
          <w:tcPr>
            <w:tcW w:w="9016" w:type="dxa"/>
            <w:gridSpan w:val="2"/>
          </w:tcPr>
          <w:p w14:paraId="24CCF4EB"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5D08990" w14:textId="77777777" w:rsidTr="002E2C37">
        <w:trPr>
          <w:trHeight w:val="343"/>
        </w:trPr>
        <w:tc>
          <w:tcPr>
            <w:tcW w:w="9016" w:type="dxa"/>
            <w:gridSpan w:val="2"/>
            <w:shd w:val="clear" w:color="auto" w:fill="F2F2F2" w:themeFill="background1" w:themeFillShade="F2"/>
          </w:tcPr>
          <w:p w14:paraId="5E2C554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CON2 Maximum socio-economic impact </w:t>
            </w:r>
          </w:p>
        </w:tc>
      </w:tr>
      <w:tr w:rsidR="002D7080" w:rsidRPr="004D1E6F" w14:paraId="168328F4" w14:textId="77777777" w:rsidTr="002E2C37">
        <w:trPr>
          <w:trHeight w:val="208"/>
        </w:trPr>
        <w:tc>
          <w:tcPr>
            <w:tcW w:w="5949" w:type="dxa"/>
          </w:tcPr>
          <w:p w14:paraId="0C3A546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34C5776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25C24A60" w14:textId="77777777" w:rsidTr="002E2C37">
        <w:trPr>
          <w:trHeight w:val="70"/>
        </w:trPr>
        <w:tc>
          <w:tcPr>
            <w:tcW w:w="9016" w:type="dxa"/>
            <w:gridSpan w:val="2"/>
          </w:tcPr>
          <w:p w14:paraId="40C6CD6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No documented information available to assess the level of impact.</w:t>
            </w:r>
          </w:p>
        </w:tc>
      </w:tr>
      <w:tr w:rsidR="002D7080" w:rsidRPr="004D1E6F" w14:paraId="4651FBA2" w14:textId="77777777" w:rsidTr="002E2C37">
        <w:trPr>
          <w:trHeight w:val="70"/>
        </w:trPr>
        <w:tc>
          <w:tcPr>
            <w:tcW w:w="9016" w:type="dxa"/>
            <w:gridSpan w:val="2"/>
          </w:tcPr>
          <w:p w14:paraId="29ABFE9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522F5276" w14:textId="77777777" w:rsidR="002D7080" w:rsidRPr="004D1E6F" w:rsidRDefault="002D7080" w:rsidP="002D7080">
      <w:pPr>
        <w:spacing w:after="0" w:line="240" w:lineRule="auto"/>
        <w:rPr>
          <w:rFonts w:ascii="Times New Roman" w:hAnsi="Times New Roman" w:cs="Times New Roman"/>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3067"/>
      </w:tblGrid>
      <w:tr w:rsidR="002D7080" w:rsidRPr="004D1E6F" w14:paraId="250C19CE" w14:textId="77777777" w:rsidTr="002E2C37">
        <w:trPr>
          <w:trHeight w:val="346"/>
        </w:trPr>
        <w:tc>
          <w:tcPr>
            <w:tcW w:w="9016" w:type="dxa"/>
            <w:gridSpan w:val="2"/>
            <w:shd w:val="clear" w:color="auto" w:fill="F2F2F2" w:themeFill="background1" w:themeFillShade="F2"/>
          </w:tcPr>
          <w:p w14:paraId="7C7B662F"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CON3 Closely related species’ environmental impact</w:t>
            </w:r>
          </w:p>
        </w:tc>
      </w:tr>
      <w:tr w:rsidR="002D7080" w:rsidRPr="004D1E6F" w14:paraId="20513731" w14:textId="77777777" w:rsidTr="002E2C37">
        <w:trPr>
          <w:trHeight w:val="172"/>
        </w:trPr>
        <w:tc>
          <w:tcPr>
            <w:tcW w:w="5949" w:type="dxa"/>
          </w:tcPr>
          <w:p w14:paraId="5C46A9B5"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Major (MR)</w:t>
            </w:r>
          </w:p>
        </w:tc>
        <w:tc>
          <w:tcPr>
            <w:tcW w:w="3067" w:type="dxa"/>
          </w:tcPr>
          <w:p w14:paraId="1DE97599"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19B3A079" w14:textId="77777777" w:rsidTr="002E2C37">
        <w:trPr>
          <w:trHeight w:val="70"/>
        </w:trPr>
        <w:tc>
          <w:tcPr>
            <w:tcW w:w="9016" w:type="dxa"/>
            <w:gridSpan w:val="2"/>
          </w:tcPr>
          <w:p w14:paraId="66BF06A6" w14:textId="77777777" w:rsidR="002D7080" w:rsidRDefault="002D7080" w:rsidP="00C35336">
            <w:pPr>
              <w:spacing w:after="0"/>
              <w:jc w:val="both"/>
              <w:rPr>
                <w:rFonts w:ascii="Times New Roman" w:eastAsia="Calibri" w:hAnsi="Times New Roman" w:cs="Times New Roman"/>
                <w:sz w:val="20"/>
                <w:szCs w:val="20"/>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Calibri" w:hAnsi="Times New Roman" w:cs="Times New Roman"/>
                <w:sz w:val="20"/>
                <w:szCs w:val="20"/>
              </w:rPr>
              <w:t xml:space="preserve">In the absence of evidence of impact of </w:t>
            </w:r>
            <w:r w:rsidRPr="004D1E6F">
              <w:rPr>
                <w:rFonts w:ascii="Times New Roman" w:eastAsia="Calibri" w:hAnsi="Times New Roman" w:cs="Times New Roman"/>
                <w:i/>
                <w:iCs/>
                <w:sz w:val="20"/>
                <w:szCs w:val="20"/>
              </w:rPr>
              <w:t xml:space="preserve">Cherax </w:t>
            </w:r>
            <w:r w:rsidRPr="004D1E6F">
              <w:rPr>
                <w:rFonts w:ascii="Times New Roman" w:eastAsia="Calibri" w:hAnsi="Times New Roman" w:cs="Times New Roman"/>
                <w:sz w:val="20"/>
                <w:szCs w:val="20"/>
              </w:rPr>
              <w:t xml:space="preserve">species in its global introduced range, potential impacts of </w:t>
            </w:r>
            <w:r w:rsidRPr="004D1E6F">
              <w:rPr>
                <w:rFonts w:ascii="Times New Roman" w:eastAsia="Calibri" w:hAnsi="Times New Roman" w:cs="Times New Roman"/>
                <w:i/>
                <w:iCs/>
                <w:sz w:val="20"/>
                <w:szCs w:val="20"/>
              </w:rPr>
              <w:t xml:space="preserve">C. </w:t>
            </w:r>
            <w:r w:rsidRPr="004D1E6F">
              <w:rPr>
                <w:rFonts w:ascii="Times New Roman" w:eastAsia="Arial" w:hAnsi="Times New Roman" w:cs="Times New Roman"/>
                <w:i/>
                <w:sz w:val="20"/>
                <w:szCs w:val="20"/>
              </w:rPr>
              <w:t>cainii</w:t>
            </w:r>
            <w:r w:rsidRPr="004D1E6F">
              <w:rPr>
                <w:rFonts w:ascii="Times New Roman" w:eastAsia="Calibri" w:hAnsi="Times New Roman" w:cs="Times New Roman"/>
                <w:sz w:val="20"/>
                <w:szCs w:val="20"/>
              </w:rPr>
              <w:t xml:space="preserve"> were inferred from </w:t>
            </w:r>
            <w:r w:rsidRPr="004D1E6F">
              <w:rPr>
                <w:rFonts w:ascii="Times New Roman" w:eastAsia="Calibri" w:hAnsi="Times New Roman" w:cs="Times New Roman"/>
                <w:i/>
                <w:iCs/>
                <w:sz w:val="20"/>
                <w:szCs w:val="20"/>
              </w:rPr>
              <w:t xml:space="preserve">Procambarus clarkii </w:t>
            </w:r>
            <w:r w:rsidRPr="004D1E6F">
              <w:rPr>
                <w:rFonts w:ascii="Times New Roman" w:eastAsia="Calibri" w:hAnsi="Times New Roman" w:cs="Times New Roman"/>
                <w:sz w:val="20"/>
                <w:szCs w:val="20"/>
              </w:rPr>
              <w:t>(a crayfish with similar traits and with documented evidence of impact in its introduction range).</w:t>
            </w:r>
          </w:p>
          <w:p w14:paraId="3D4711E5" w14:textId="77777777" w:rsidR="00C35336" w:rsidRPr="004D1E6F" w:rsidRDefault="00C35336" w:rsidP="00C35336">
            <w:pPr>
              <w:spacing w:after="0"/>
              <w:jc w:val="both"/>
              <w:rPr>
                <w:rFonts w:ascii="Times New Roman" w:eastAsia="Calibri" w:hAnsi="Times New Roman" w:cs="Times New Roman"/>
                <w:sz w:val="20"/>
                <w:szCs w:val="20"/>
              </w:rPr>
            </w:pPr>
          </w:p>
          <w:p w14:paraId="496F02D1" w14:textId="77777777" w:rsidR="002D7080" w:rsidRDefault="002D7080" w:rsidP="00C35336">
            <w:pPr>
              <w:spacing w:after="0"/>
              <w:jc w:val="both"/>
              <w:rPr>
                <w:rFonts w:ascii="Times New Roman" w:eastAsia="Calibri" w:hAnsi="Times New Roman" w:cs="Times New Roman"/>
                <w:sz w:val="20"/>
                <w:szCs w:val="20"/>
              </w:rPr>
            </w:pPr>
            <w:r w:rsidRPr="004D1E6F">
              <w:rPr>
                <w:rFonts w:ascii="Times New Roman" w:eastAsia="Times New Roman" w:hAnsi="Times New Roman" w:cs="Times New Roman"/>
                <w:color w:val="000000"/>
                <w:sz w:val="20"/>
                <w:szCs w:val="20"/>
                <w:lang w:eastAsia="en-ZA"/>
              </w:rPr>
              <w:t xml:space="preserve">Direct predation and competition for food, shelter, and spawning sites have led to local extinctions and a decrease in the abundance of native amphibians and crayfish species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"ITEM-1",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"id" : "ITEM-2", "itemData" : { "DOI" : "10.1111/j.1365-2427.2007.01760.x", "author" : [ { "dropping-particle" : "", "family" : "Gherardi", "given" : "Francesca", "non-dropping-particle" : "", "parse-names" : false, "suffix" : "" }, { "dropping-particle" : "", "family" : "Acquistapace", "given" : "Patrizia", "non-dropping-particle" : "", "parse-names" : false, "suffix" : "" } ], "id" : "ITEM-2", "issued" : { "date-parts" : [ [ "2007" ] ] }, "page" : "1249-1259", "title" : "Invasive crayfish in Europe : the impact of Procambarus clarkii on the littoral community of a Mediterranean lake", "type" : "article-journal" }, "uris" : [ "http://www.mendeley.com/documents/?uuid=0b4d7cf8-95f9-4670-a6e7-f070af42f591" ] } ], "mendeley" : { "formattedCitation" : "(Cruz et al. 2006, Gherardi &amp; Acquistapace 2007)", "plainTextFormattedCitation" : "(Cruz et al. 2006, Gherardi &amp; Acquistapace 2007)", "previouslyFormattedCitation" : "(Cruz et al. 2006, Gherardi &amp; Acquistapace 2007)"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(Cruz et al. 2006; Gherardi &amp; Acquistapace 2007; Jackson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Impacts have been recorded in the Iberian Peninsula, Sweden, Italy</w:t>
            </w:r>
            <w:r w:rsidRPr="004D1E6F">
              <w:rPr>
                <w:rFonts w:ascii="Times New Roman" w:eastAsia="Calibri" w:hAnsi="Times New Roman" w:cs="Times New Roman"/>
                <w:sz w:val="20"/>
                <w:szCs w:val="20"/>
              </w:rPr>
              <w:t xml:space="preserve"> (Gherardi &amp; Acquistapace 2007)</w:t>
            </w:r>
            <w:r w:rsidRPr="004D1E6F">
              <w:rPr>
                <w:rFonts w:ascii="Times New Roman" w:eastAsia="Times New Roman" w:hAnsi="Times New Roman" w:cs="Times New Roman"/>
                <w:color w:val="000000"/>
                <w:sz w:val="20"/>
                <w:szCs w:val="20"/>
                <w:lang w:eastAsia="en-ZA"/>
              </w:rPr>
              <w:t xml:space="preserve">, Japan, and U.S.A. (California)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"(Holdich et al. 2009, Lodge et al. 2012)", "plainTextFormattedCitation" : "(Holdich et al. 2009, Lodge et al. 2012)", "previouslyFormattedCitation" : "(Holdich et al. 2009,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(Holdich et al. 2009;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The most significant impacts caused by </w:t>
            </w:r>
            <w:r w:rsidRPr="004D1E6F">
              <w:rPr>
                <w:rFonts w:ascii="Times New Roman" w:eastAsia="Calibri" w:hAnsi="Times New Roman" w:cs="Times New Roman"/>
                <w:i/>
                <w:iCs/>
                <w:sz w:val="20"/>
                <w:szCs w:val="20"/>
              </w:rPr>
              <w:t>P. clarkii</w:t>
            </w:r>
            <w:r w:rsidRPr="004D1E6F">
              <w:rPr>
                <w:rFonts w:ascii="Times New Roman" w:eastAsia="Calibri" w:hAnsi="Times New Roman" w:cs="Times New Roman"/>
                <w:sz w:val="20"/>
                <w:szCs w:val="20"/>
              </w:rPr>
              <w:t xml:space="preserve"> are highlighted below.</w:t>
            </w:r>
          </w:p>
          <w:p w14:paraId="0F5F6BE2" w14:textId="77777777" w:rsidR="00C35336" w:rsidRPr="004D1E6F" w:rsidRDefault="00C35336" w:rsidP="00C35336">
            <w:pPr>
              <w:spacing w:after="0"/>
              <w:jc w:val="both"/>
              <w:rPr>
                <w:rFonts w:ascii="Times New Roman" w:eastAsia="Times New Roman" w:hAnsi="Times New Roman" w:cs="Times New Roman"/>
                <w:color w:val="000000"/>
                <w:sz w:val="20"/>
                <w:szCs w:val="20"/>
                <w:lang w:eastAsia="en-ZA"/>
              </w:rPr>
            </w:pPr>
          </w:p>
          <w:p w14:paraId="42CBF713" w14:textId="77777777" w:rsidR="002D7080" w:rsidRPr="004D1E6F" w:rsidRDefault="002D7080" w:rsidP="00C35336">
            <w:pPr>
              <w:spacing w:after="0"/>
              <w:jc w:val="both"/>
              <w:rPr>
                <w:rFonts w:ascii="Times New Roman" w:eastAsia="Times New Roman" w:hAnsi="Times New Roman" w:cs="Times New Roman"/>
                <w:color w:val="000000"/>
                <w:sz w:val="20"/>
                <w:szCs w:val="20"/>
                <w:u w:val="single"/>
                <w:lang w:eastAsia="en-ZA"/>
              </w:rPr>
            </w:pPr>
            <w:r w:rsidRPr="004D1E6F">
              <w:rPr>
                <w:rFonts w:ascii="Times New Roman" w:eastAsia="Times New Roman" w:hAnsi="Times New Roman" w:cs="Times New Roman"/>
                <w:color w:val="000000"/>
                <w:sz w:val="20"/>
                <w:szCs w:val="20"/>
                <w:u w:val="single"/>
                <w:lang w:eastAsia="en-ZA"/>
              </w:rPr>
              <w:t>Competition; Major (MR); Confidence: High</w:t>
            </w:r>
          </w:p>
          <w:p w14:paraId="25D26401" w14:textId="77777777" w:rsidR="002D7080" w:rsidRDefault="002D7080" w:rsidP="00C35336">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is very aggressive and usually out-competes native species for shelter and spawning sites, and these often lead to reproductive interference (Cruz et al. 2006; Lodge et al. 2012). For example, in areas were </w:t>
            </w:r>
            <w:r w:rsidRPr="004D1E6F">
              <w:rPr>
                <w:rFonts w:ascii="Times New Roman" w:eastAsia="Times New Roman" w:hAnsi="Times New Roman" w:cs="Times New Roman"/>
                <w:i/>
                <w:color w:val="000000"/>
                <w:sz w:val="20"/>
                <w:szCs w:val="20"/>
                <w:lang w:eastAsia="en-ZA"/>
              </w:rPr>
              <w:t xml:space="preserve">P. clarkii </w:t>
            </w:r>
            <w:r w:rsidRPr="004D1E6F">
              <w:rPr>
                <w:rFonts w:ascii="Times New Roman" w:eastAsia="Times New Roman" w:hAnsi="Times New Roman" w:cs="Times New Roman"/>
                <w:iCs/>
                <w:color w:val="000000"/>
                <w:sz w:val="20"/>
                <w:szCs w:val="20"/>
                <w:lang w:eastAsia="en-ZA"/>
              </w:rPr>
              <w:t>has been</w:t>
            </w:r>
            <w:r w:rsidRPr="004D1E6F">
              <w:rPr>
                <w:rFonts w:ascii="Times New Roman" w:eastAsia="Times New Roman" w:hAnsi="Times New Roman" w:cs="Times New Roman"/>
                <w:color w:val="000000"/>
                <w:sz w:val="20"/>
                <w:szCs w:val="20"/>
                <w:lang w:eastAsia="en-ZA"/>
              </w:rPr>
              <w:t xml:space="preserve"> introduced , some amphibian species (e.g., </w:t>
            </w:r>
            <w:r w:rsidRPr="004D1E6F">
              <w:rPr>
                <w:rFonts w:ascii="Times New Roman" w:eastAsia="Times New Roman" w:hAnsi="Times New Roman" w:cs="Times New Roman"/>
                <w:i/>
                <w:color w:val="000000"/>
                <w:sz w:val="20"/>
                <w:szCs w:val="20"/>
                <w:lang w:eastAsia="en-ZA"/>
              </w:rPr>
              <w:t>Bufo bufo</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B. calamita</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Rana</w:t>
            </w:r>
            <w:r w:rsidRPr="004D1E6F">
              <w:rPr>
                <w:rFonts w:ascii="Times New Roman" w:eastAsia="Times New Roman" w:hAnsi="Times New Roman" w:cs="Times New Roman"/>
                <w:color w:val="000000"/>
                <w:sz w:val="20"/>
                <w:szCs w:val="20"/>
                <w:lang w:eastAsia="en-ZA"/>
              </w:rPr>
              <w:t xml:space="preserve"> sp., </w:t>
            </w:r>
            <w:r w:rsidRPr="004D1E6F">
              <w:rPr>
                <w:rFonts w:ascii="Times New Roman" w:eastAsia="Times New Roman" w:hAnsi="Times New Roman" w:cs="Times New Roman"/>
                <w:i/>
                <w:color w:val="000000"/>
                <w:sz w:val="20"/>
                <w:szCs w:val="20"/>
                <w:lang w:eastAsia="en-ZA"/>
              </w:rPr>
              <w:t xml:space="preserve">Taricha torosa </w:t>
            </w:r>
            <w:r w:rsidRPr="004D1E6F">
              <w:rPr>
                <w:rFonts w:ascii="Times New Roman" w:eastAsia="Times New Roman" w:hAnsi="Times New Roman" w:cs="Times New Roman"/>
                <w:color w:val="000000"/>
                <w:sz w:val="20"/>
                <w:szCs w:val="20"/>
                <w:lang w:eastAsia="en-ZA"/>
              </w:rPr>
              <w:t xml:space="preserve">and </w:t>
            </w:r>
            <w:r w:rsidRPr="004D1E6F">
              <w:rPr>
                <w:rFonts w:ascii="Times New Roman" w:eastAsia="Times New Roman" w:hAnsi="Times New Roman" w:cs="Times New Roman"/>
                <w:i/>
                <w:color w:val="000000"/>
                <w:sz w:val="20"/>
                <w:szCs w:val="20"/>
                <w:lang w:eastAsia="en-ZA"/>
              </w:rPr>
              <w:t>Triturus vulgaris</w:t>
            </w:r>
            <w:r w:rsidRPr="004D1E6F">
              <w:rPr>
                <w:rFonts w:ascii="Times New Roman" w:eastAsia="Times New Roman" w:hAnsi="Times New Roman" w:cs="Times New Roman"/>
                <w:color w:val="000000"/>
                <w:sz w:val="20"/>
                <w:szCs w:val="20"/>
                <w:lang w:eastAsia="en-ZA"/>
              </w:rPr>
              <w:t xml:space="preserve">) have been excluded or displaced from their natural habitats, resulting in local </w:t>
            </w:r>
            <w:r w:rsidRPr="004D1E6F">
              <w:rPr>
                <w:rFonts w:ascii="Times New Roman" w:eastAsia="Times New Roman" w:hAnsi="Times New Roman" w:cs="Times New Roman"/>
                <w:color w:val="000000"/>
                <w:sz w:val="20"/>
                <w:szCs w:val="20"/>
                <w:lang w:eastAsia="en-ZA"/>
              </w:rPr>
              <w:lastRenderedPageBreak/>
              <w:t xml:space="preserve">extinctions through reproductive failure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"ITEM-1",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"(Cruz et al. 2006, Lodge et al. 2012)", "plainTextFormattedCitation" : "(Cruz et al. 2006, Lodge et al. 2012)", "previouslyFormattedCitation" : "(Cruz et al. 2006,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(Cruz et al. 2006;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Furthermore, direct competition for food has caused dietary niche constriction and declines in populations of native crabs in some areas invaded by </w:t>
            </w:r>
            <w:r w:rsidRPr="004D1E6F">
              <w:rPr>
                <w:rFonts w:ascii="Times New Roman" w:eastAsia="Times New Roman" w:hAnsi="Times New Roman" w:cs="Times New Roman"/>
                <w:i/>
                <w:color w:val="000000"/>
                <w:sz w:val="20"/>
                <w:szCs w:val="20"/>
                <w:lang w:eastAsia="en-ZA"/>
              </w:rPr>
              <w:t xml:space="preserve">P. clarkii </w:t>
            </w:r>
            <w:r w:rsidRPr="004D1E6F">
              <w:rPr>
                <w:rFonts w:ascii="Times New Roman" w:eastAsia="Times New Roman" w:hAnsi="Times New Roman" w:cs="Times New Roman"/>
                <w:i/>
                <w:color w:val="000000"/>
                <w:sz w:val="20"/>
                <w:szCs w:val="20"/>
                <w:lang w:eastAsia="en-ZA"/>
              </w:rPr>
              <w:fldChar w:fldCharType="begin" w:fldLock="1"/>
            </w:r>
            <w:r w:rsidRPr="004D1E6F">
              <w:rPr>
                <w:rFonts w:ascii="Times New Roman" w:eastAsia="Times New Roman" w:hAnsi="Times New Roman" w:cs="Times New Roman"/>
                <w:i/>
                <w:color w:val="000000"/>
                <w:sz w:val="20"/>
                <w:szCs w:val="20"/>
                <w:lang w:eastAsia="en-ZA"/>
              </w:rPr>
              <w:instrText>ADDIN CSL_CITATION { "citationItems" : [ { "id" : "ITEM-1", "itemData" : { "DOI" : "10.1111/1365-2656.12533", "ISBN" : "1365-2656 (Electronic)\\r0021-8790 (Linking)", "ISSN" : "13652656", "PMID" : "27084460", "abstract" : "1. Invasive species are a key driver of global environmental change, with frequently strong negative consequences for native biodiversity and ecosystem processes. Understanding com- petitive interactions between invaders and functionally similar native species provides an important benchmark for predicting the consequences of invasion. However, even though having a broad dietary niche is widely considered a key factor determining invasion success, little is known about the effects of competition with functionally similar native competitors on the dietary niche breadths of invasive species. 2. We used a combination of field experiments and field surveys to examine the impacts of competition with a functionally similar native crab species on the population densities, growth rates and diet of the globally widespread invasive red swamp crayfish in an African river ecosystem. 3. The presence of native crabs triggered significant dietary niche constriction within the inva- sive crayfish population. Further, growth rates of both species were reduced significantly, and by a similar extent, in the presence of one another. In spite of this, crayfish maintained posi- tive growth rates in the presence of crabs, whereas crabs lost mass in the presence of crayfish. Consequently, over the 3-year duration of the study, crab abundance declined at those sites invaded by the crayfish, becoming locally extinct at one. 4. The invasive crayfish had a dramatic effect on ecosystem structure and functioning, halv- ing benthic invertebrate densities and increasing decomposition rates fourfold compared to the crabs. This indicates that replacement of native crabs by invasive crayfish likely alters the structure and functioning of African river ecosystems significantly. 5. This study provides a novel example of the constriction of the dietary niche of a successful invasive population in the presence of competition from a functionally similar native species. This finding highlights the importance of considering both environmental and ecological contexts in order to predict and manage the impacts of invasive species on ecosystems.", "author" : [ { "dropping-particle" : "", "family" : "Jackson", "given" : "Michelle C.", "non-dropping-particle" : "", "parse-names" : false, "suffix" : "" }, { "dropping-particle" : "", "family" : "Grey", "given" : "Jonathan", "non-dropping-particle" : "", "parse-names" : false, "suffix" : "" }, { "dropping-particle" : "", "family" : "Miller", "given" : "Katie", "non-dropping-particle" : "", "parse-names" : false, "suffix" : "" }, { "dropping-particle" : "", "family" : "Britton", "given" : "J. Robert", "non-dropping-particle" : "", "parse-names" : false, "suffix" : "" }, { "dropping-particle" : "", "family" : "Donohue", "given" : "Ian", "non-dropping-particle" : "", "parse-names" : false, "suffix" : "" } ], "container-title" : "Journal of Animal Ecology", "id" : "ITEM-1", "issued" : { "date-parts" : [ [ "2016" ] ] }, "page" : "1098-1107", "title" : "Dietary niche constriction when invaders meet natives: Evidence from freshwater decapods", "type" : "article-journal" }, "uris" : [ "http://www.mendeley.com/documents/?uuid=4d1dad2a-af96-4ee7-a254-3fb10d7453b1" ] } ], "mendeley" : { "formattedCitation" : "(Jackson et al. 2016)", "plainTextFormattedCitation" : "(Jackson et al. 2016)", "previouslyFormattedCitation" : "(Jackson et al. 2016)" }, "properties" : { "noteIndex" : 0 }, "schema" : "https://github.com/citation-style-language/schema/raw/master/csl-citation.json" }</w:instrText>
            </w:r>
            <w:r w:rsidRPr="004D1E6F">
              <w:rPr>
                <w:rFonts w:ascii="Times New Roman" w:eastAsia="Times New Roman" w:hAnsi="Times New Roman" w:cs="Times New Roman"/>
                <w:i/>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(Jackson et al. 2016)</w:t>
            </w:r>
            <w:r w:rsidRPr="004D1E6F">
              <w:rPr>
                <w:rFonts w:ascii="Times New Roman" w:eastAsia="Times New Roman" w:hAnsi="Times New Roman" w:cs="Times New Roman"/>
                <w:i/>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p w14:paraId="4D6698AD" w14:textId="77777777" w:rsidR="00C35336" w:rsidRPr="004D1E6F" w:rsidRDefault="00C35336" w:rsidP="00C35336">
            <w:pPr>
              <w:spacing w:after="0"/>
              <w:jc w:val="both"/>
              <w:rPr>
                <w:rFonts w:ascii="Times New Roman" w:eastAsia="Times New Roman" w:hAnsi="Times New Roman" w:cs="Times New Roman"/>
                <w:color w:val="000000"/>
                <w:sz w:val="20"/>
                <w:szCs w:val="20"/>
                <w:lang w:eastAsia="en-ZA"/>
              </w:rPr>
            </w:pPr>
          </w:p>
          <w:p w14:paraId="13533483" w14:textId="77777777" w:rsidR="002D7080" w:rsidRPr="004D1E6F" w:rsidRDefault="002D7080" w:rsidP="00C35336">
            <w:pPr>
              <w:spacing w:after="0"/>
              <w:jc w:val="both"/>
              <w:rPr>
                <w:rFonts w:ascii="Times New Roman" w:eastAsia="Times New Roman" w:hAnsi="Times New Roman" w:cs="Times New Roman"/>
                <w:color w:val="000000"/>
                <w:sz w:val="20"/>
                <w:szCs w:val="20"/>
                <w:u w:val="single"/>
                <w:lang w:eastAsia="en-ZA"/>
              </w:rPr>
            </w:pPr>
            <w:r w:rsidRPr="004D1E6F">
              <w:rPr>
                <w:rFonts w:ascii="Times New Roman" w:eastAsia="Times New Roman" w:hAnsi="Times New Roman" w:cs="Times New Roman"/>
                <w:color w:val="000000"/>
                <w:sz w:val="20"/>
                <w:szCs w:val="20"/>
                <w:u w:val="single"/>
                <w:lang w:eastAsia="en-ZA"/>
              </w:rPr>
              <w:t>Predation; Major (MR); Confidence: High</w:t>
            </w:r>
          </w:p>
          <w:p w14:paraId="7A123744" w14:textId="77777777" w:rsidR="002D7080" w:rsidRDefault="002D7080" w:rsidP="00C35336">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In its invasive range, there is evidence that predation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can result in the local or population extinctions of at least one native species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Souty-grosset et al. 2016)", "plainTextFormattedCitation" : "(Lodge et al. 2012, Souty-grosset et al. 2016)", "previouslyFormattedCitation" : "(Lodge et al. 2012,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(Lodge et al. 2012; 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For example,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has been implicated in causing population declines of several species of fish and amphibians by reducing their breeding success through predation on eggs and larval amphibians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"ITEM-1",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"id" : "ITEM-2", "itemData" : { "DOI" : "10.1007/s10531-012-0323-1", "author" : [ { "dropping-particle" : "", "family" : "Francesco", "given" : "Gentile", "non-dropping-particle" : "", "parse-names" : false, "suffix" : "" }, { "dropping-particle" : "", "family" : "Matteo", "given" : "Ficetola", "non-dropping-particle" : "", "parse-names" : false, "suffix" : "" }, { "dropping-particle" : "", "family" : "Siesa", "given" : "Elio", "non-dropping-particle" : "", "parse-names" : false, "suffix" : "" }, { "dropping-particle" : "De", "family" : "Bernardi", "given" : "Fiorenza", "non-dropping-particle" : "", "parse-names" : false, "suffix" : "" }, { "dropping-particle" : "", "family" : "Padoa-schioppa", "given" : "Emilio", "non-dropping-particle" : "", "parse-names" : false, "suffix" : "" } ], "id" : "ITEM-2", "issued" : { "date-parts" : [ [ "2012" ] ] }, "page" : "2641-2651", "title" : "Complex impact of an invasive crayfish on freshwater food webs", "type" : "article-journal" }, "uris" : [ "http://www.mendeley.com/documents/?uuid=4e9ca91f-7982-4098-b712-ffad4211fd37" ] } ], "mendeley" : { "formattedCitation" : "(Cruz et al. 2006, Francesco et al. 2012)", "manualFormatting" : "(Cruz et al. 2006, Francesco et al. 2011)", "plainTextFormattedCitation" : "(Cruz et al. 2006, Francesco et al. 2012)", "previouslyFormattedCitation" : "(Cruz et al. 2006, Francesco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(Cruz et al. 2006; Ficetola</w:t>
            </w:r>
            <w:r w:rsidRPr="004D1E6F" w:rsidDel="00C361D8">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et al. 2011)</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Indirect effects of predation can also cause trophic cascades that can lead to changes in ecosystem structure and function. For example, predation on invertebrates can release algae from grazing pressure and lead to changes in the abundance and dominance of species in algal communities (Gherardi &amp; Barbaresi 2008).</w:t>
            </w:r>
          </w:p>
          <w:p w14:paraId="284C163F" w14:textId="77777777" w:rsidR="00C35336" w:rsidRPr="004D1E6F" w:rsidRDefault="00C35336" w:rsidP="00C35336">
            <w:pPr>
              <w:spacing w:after="0"/>
              <w:jc w:val="both"/>
              <w:rPr>
                <w:rFonts w:ascii="Times New Roman" w:eastAsia="Times New Roman" w:hAnsi="Times New Roman" w:cs="Times New Roman"/>
                <w:color w:val="000000"/>
                <w:sz w:val="20"/>
                <w:szCs w:val="20"/>
                <w:lang w:eastAsia="en-ZA"/>
              </w:rPr>
            </w:pPr>
          </w:p>
          <w:p w14:paraId="27DF15F4" w14:textId="77777777" w:rsidR="002D7080" w:rsidRPr="004D1E6F" w:rsidRDefault="002D7080" w:rsidP="00C35336">
            <w:pPr>
              <w:spacing w:after="0"/>
              <w:jc w:val="both"/>
              <w:rPr>
                <w:rFonts w:ascii="Times New Roman" w:eastAsia="Times New Roman" w:hAnsi="Times New Roman" w:cs="Times New Roman"/>
                <w:color w:val="000000"/>
                <w:sz w:val="20"/>
                <w:szCs w:val="20"/>
                <w:u w:val="single"/>
                <w:lang w:eastAsia="en-ZA"/>
              </w:rPr>
            </w:pPr>
            <w:r w:rsidRPr="004D1E6F">
              <w:rPr>
                <w:rFonts w:ascii="Times New Roman" w:eastAsia="Times New Roman" w:hAnsi="Times New Roman" w:cs="Times New Roman"/>
                <w:color w:val="000000"/>
                <w:sz w:val="20"/>
                <w:szCs w:val="20"/>
                <w:u w:val="single"/>
                <w:lang w:eastAsia="en-ZA"/>
              </w:rPr>
              <w:t>Transmission of disease; Major (MR); Confidence: High</w:t>
            </w:r>
          </w:p>
          <w:p w14:paraId="3459FAFF" w14:textId="77777777" w:rsidR="002D7080" w:rsidRDefault="002D7080" w:rsidP="00C35336">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can harbour many pathogens, parasites, and diseases that can be transmitted to other congeneric species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"ITEM-1", "issue" : "1", "issued" : { "date-parts" : [ [ "2011" ] ] }, "page" : "54-70", "publisher" : "Elsevier Inc.", "title" : "Diseases of crayfish: A review", "type" : "article-journal", "volume" : "106" }, "uris" : [ "http://www.mendeley.com/documents/?uuid=be7c0509-8466-4d72-b84f-489b1cb24dc4"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"(Longshaw 2011, Lodge et al. 2012)", "plainTextFormattedCitation" : "(Longshaw 2011, Lodge et al. 2012)", "previouslyFormattedCitation" : "(Longshaw 2011,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(Longshaw 2011;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There is evidence that transmission of diseases and parasites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to native species has caused local or population extinctions of at least one native species, leading to changes in community composition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"(Lodge et al. 2012)", "plainTextFormattedCitation" : "(Lodge et al. 2012)", "previouslyFormattedCitation" :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For example,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is a vector of crayfish plague, a disease caused by the parasitic oomycete, </w:t>
            </w:r>
            <w:r w:rsidRPr="004D1E6F">
              <w:rPr>
                <w:rFonts w:ascii="Times New Roman" w:eastAsia="Times New Roman" w:hAnsi="Times New Roman" w:cs="Times New Roman"/>
                <w:i/>
                <w:color w:val="000000"/>
                <w:sz w:val="20"/>
                <w:szCs w:val="20"/>
                <w:lang w:eastAsia="en-ZA"/>
              </w:rPr>
              <w:t xml:space="preserve">Aphanomyces astaci </w:t>
            </w:r>
            <w:r w:rsidRPr="004D1E6F">
              <w:rPr>
                <w:rFonts w:ascii="Times New Roman" w:eastAsia="Times New Roman" w:hAnsi="Times New Roman" w:cs="Times New Roman"/>
                <w:color w:val="000000"/>
                <w:sz w:val="20"/>
                <w:szCs w:val="20"/>
                <w:lang w:eastAsia="en-ZA"/>
              </w:rPr>
              <w:t>has proven to be fatal when transferred to other crayfish species</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"(Lodge et al. 2012)", "plainTextFormattedCitation" : "(Lodge et al. 2012)", "previouslyFormattedCitation" :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However, in South Africa, there are no native crayfish species and it is not known if transmission will occur to native decapods such as shrimps and crabs. </w:t>
            </w: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can also harbour white spot syndrome disease – a viral infections of crustaceans, and fungal pathogens such as </w:t>
            </w:r>
            <w:r w:rsidRPr="004D1E6F">
              <w:rPr>
                <w:rFonts w:ascii="Times New Roman" w:eastAsia="Times New Roman" w:hAnsi="Times New Roman" w:cs="Times New Roman"/>
                <w:i/>
                <w:color w:val="000000"/>
                <w:sz w:val="20"/>
                <w:szCs w:val="20"/>
                <w:lang w:eastAsia="en-ZA"/>
              </w:rPr>
              <w:t>Batrachochytrium dendrobatids</w:t>
            </w:r>
            <w:r w:rsidRPr="004D1E6F">
              <w:rPr>
                <w:rFonts w:ascii="Times New Roman" w:eastAsia="Times New Roman" w:hAnsi="Times New Roman" w:cs="Times New Roman"/>
                <w:color w:val="000000"/>
                <w:sz w:val="20"/>
                <w:szCs w:val="20"/>
                <w:lang w:eastAsia="en-ZA"/>
              </w:rPr>
              <w:t xml:space="preserve"> that causes chytridiomycosis – a lethal skin infection in amphibians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"ITEM-1", "issue" : "1", "issued" : { "date-parts" : [ [ "2011" ] ] }, "page" : "54-70", "publisher" : "Elsevier Inc.", "title" : "Diseases of crayfish: A review", "type" : "article-journal", "volume" : "106" }, "uris" : [ "http://www.mendeley.com/documents/?uuid=be7c0509-8466-4d72-b84f-489b1cb24dc4" ] } ], "mendeley" : { "formattedCitation" : "(Longshaw 2011)", "manualFormatting" : "(Longshaw 2011, McMahon et al. 2013)", "plainTextFormattedCitation" : "(Longshaw 2011)", "previouslyFormattedCitation" : "(Longshaw 2011)"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(Longshaw 2011; McMahon et al. 2013)</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p w14:paraId="770B8959" w14:textId="77777777" w:rsidR="00C35336" w:rsidRPr="004D1E6F" w:rsidRDefault="00C35336" w:rsidP="00C35336">
            <w:pPr>
              <w:spacing w:after="0"/>
              <w:jc w:val="both"/>
              <w:rPr>
                <w:rFonts w:ascii="Times New Roman" w:eastAsia="Times New Roman" w:hAnsi="Times New Roman" w:cs="Times New Roman"/>
                <w:color w:val="000000"/>
                <w:sz w:val="20"/>
                <w:szCs w:val="20"/>
                <w:lang w:eastAsia="en-ZA"/>
              </w:rPr>
            </w:pPr>
          </w:p>
          <w:p w14:paraId="7AFEDBCE" w14:textId="77777777" w:rsidR="002D7080" w:rsidRPr="004D1E6F" w:rsidRDefault="002D7080" w:rsidP="00C35336">
            <w:pPr>
              <w:spacing w:after="0"/>
              <w:jc w:val="both"/>
              <w:rPr>
                <w:rFonts w:ascii="Times New Roman" w:eastAsia="Times New Roman" w:hAnsi="Times New Roman" w:cs="Times New Roman"/>
                <w:color w:val="000000"/>
                <w:sz w:val="20"/>
                <w:szCs w:val="20"/>
                <w:u w:val="single"/>
                <w:lang w:eastAsia="en-ZA"/>
              </w:rPr>
            </w:pPr>
            <w:r w:rsidRPr="004D1E6F">
              <w:rPr>
                <w:rFonts w:ascii="Times New Roman" w:eastAsia="Times New Roman" w:hAnsi="Times New Roman" w:cs="Times New Roman"/>
                <w:color w:val="000000"/>
                <w:sz w:val="20"/>
                <w:szCs w:val="20"/>
                <w:u w:val="single"/>
                <w:lang w:eastAsia="en-ZA"/>
              </w:rPr>
              <w:t>Grazing/herbivory/browsing; Moderate (MO); Confidence: Medium</w:t>
            </w:r>
          </w:p>
          <w:p w14:paraId="1E435F81" w14:textId="77777777" w:rsidR="002D7080" w:rsidRPr="004D1E6F" w:rsidRDefault="002D7080" w:rsidP="00C35336">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Grazing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can lead to habitat loss and modification through the removal of macrophytes. Habitat loss can lead to a decline in populations of species that utilise the macrophyte stands as a food source, nesting sites, and as refugia from predation (Rosenthal et al. 2005). </w:t>
            </w:r>
            <w:r w:rsidRPr="004D1E6F">
              <w:rPr>
                <w:rFonts w:ascii="Times New Roman" w:eastAsia="Times New Roman" w:hAnsi="Times New Roman" w:cs="Times New Roman"/>
                <w:i/>
                <w:color w:val="000000"/>
                <w:sz w:val="20"/>
                <w:szCs w:val="20"/>
                <w:lang w:eastAsia="en-ZA"/>
              </w:rPr>
              <w:t xml:space="preserve">Procambarus clarkii </w:t>
            </w:r>
            <w:r w:rsidRPr="004D1E6F">
              <w:rPr>
                <w:rFonts w:ascii="Times New Roman" w:eastAsia="Times New Roman" w:hAnsi="Times New Roman" w:cs="Times New Roman"/>
                <w:color w:val="000000"/>
                <w:sz w:val="20"/>
                <w:szCs w:val="20"/>
                <w:lang w:eastAsia="en-ZA"/>
              </w:rPr>
              <w:t xml:space="preserve">can also cause changes to community composition through trophic cascades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"id" : "ITEM-2", "itemData" : { "DOI" : "10.1007/978-1-4020-6029-8_28", "ISBN" : "978-1-4020-6029-8", "author" : [ { "dropping-particle" : "", "family" : "Gherardi", "given" : "Francesca", "non-dropping-particle" : "", "parse-names" : false, "suffix" : "" } ], "container-title" : "Biological invaders in inland waters: Profiles, \u2026", "id" : "ITEM-2", "issued" : { "date-parts" : [ [ "2007" ] ] }, "page" : "507-542", "title" : "Understanding the impact of invasive crayfish", "type" : "article-journal" }, "uris" : [ "http://www.mendeley.com/documents/?uuid=879a3355-c9ec-4aa2-a111-dbd6064fa273" ] } ], "mendeley" : { "formattedCitation" : "(Gherardi 2007, Souty-grosset et al. 2016)", "manualFormatting" : "(Gherardi and Aquistapace 2007, Souty-grosset et al. 2016)", "plainTextFormattedCitation" : "(Gherardi 2007, Souty-grosset et al. 2016)", "previouslyFormattedCitation" : "(Gherardi 2007,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(Gherardi &amp; Aquistapace 2007; 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For example, in Lake Chozas (northwest Spain), grazing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caused a reduction in macrophyte communities and this impact cascaded up the food chain with declines in invertebrates, amphibians, and waterfowl (Rodriguez et al 2003). Grazing can also cause changes to community composition and structure, such as changing ecosystems from macrophyte-dominated areas with clear water, to turbid phytoplankton-dominated areas (Matsizaki et al. 2009). Excessive grazing can also lead to accelerated rates of </w:t>
            </w:r>
            <w:r w:rsidRPr="004D1E6F">
              <w:rPr>
                <w:rFonts w:ascii="Times New Roman" w:eastAsia="Calibri" w:hAnsi="Times New Roman" w:cs="Times New Roman"/>
                <w:sz w:val="20"/>
                <w:szCs w:val="20"/>
              </w:rPr>
              <w:t>important processes</w:t>
            </w:r>
            <w:r w:rsidRPr="004D1E6F">
              <w:rPr>
                <w:rFonts w:ascii="Times New Roman" w:eastAsia="Times New Roman" w:hAnsi="Times New Roman" w:cs="Times New Roman"/>
                <w:color w:val="000000"/>
                <w:sz w:val="20"/>
                <w:szCs w:val="20"/>
                <w:lang w:eastAsia="en-ZA"/>
              </w:rPr>
              <w:t xml:space="preserve"> such as litter breakdown and decomposition (Gherardi &amp; Aquistapace 2007; Souty-Grosset et al. 2016).</w:t>
            </w:r>
          </w:p>
        </w:tc>
      </w:tr>
      <w:tr w:rsidR="002D7080" w:rsidRPr="004D1E6F" w14:paraId="04C1D5EF" w14:textId="77777777" w:rsidTr="002E2C37">
        <w:trPr>
          <w:trHeight w:val="70"/>
        </w:trPr>
        <w:tc>
          <w:tcPr>
            <w:tcW w:w="9016" w:type="dxa"/>
            <w:gridSpan w:val="2"/>
          </w:tcPr>
          <w:p w14:paraId="1B1FF5CF" w14:textId="77777777" w:rsidR="002D7080" w:rsidRPr="004D1E6F" w:rsidRDefault="002D7080" w:rsidP="00C35336">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3425D45A" w14:textId="15B55C53" w:rsidR="002D7080" w:rsidRPr="004D1E6F" w:rsidRDefault="002D7080" w:rsidP="00663569">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Cruz, M.J., Rebelo, R. &amp; Crespo, E.G., 2006, ‘Effects of an introduced crayfish, </w:t>
            </w: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on the distribution of south-western Iberian amphibians in their breeding habitats’, </w:t>
            </w:r>
            <w:r w:rsidRPr="004D1E6F">
              <w:rPr>
                <w:rFonts w:ascii="Times New Roman" w:eastAsia="Times New Roman" w:hAnsi="Times New Roman" w:cs="Times New Roman"/>
                <w:i/>
                <w:color w:val="000000"/>
                <w:sz w:val="20"/>
                <w:szCs w:val="20"/>
                <w:lang w:eastAsia="en-ZA"/>
              </w:rPr>
              <w:t>Ecography</w:t>
            </w:r>
            <w:r w:rsidRPr="004D1E6F">
              <w:rPr>
                <w:rFonts w:ascii="Times New Roman" w:eastAsia="Times New Roman" w:hAnsi="Times New Roman" w:cs="Times New Roman"/>
                <w:color w:val="000000"/>
                <w:sz w:val="20"/>
                <w:szCs w:val="20"/>
                <w:lang w:eastAsia="en-ZA"/>
              </w:rPr>
              <w:t xml:space="preserve"> 29, 329-338, </w:t>
            </w:r>
            <w:hyperlink r:id="rId36" w:history="1">
              <w:r w:rsidR="001E5964" w:rsidRPr="001E5964">
                <w:rPr>
                  <w:rStyle w:val="Hyperlink"/>
                  <w:rFonts w:ascii="Times New Roman" w:eastAsia="Times New Roman" w:hAnsi="Times New Roman" w:cs="Times New Roman"/>
                  <w:sz w:val="20"/>
                  <w:szCs w:val="20"/>
                  <w:lang w:eastAsia="en-ZA"/>
                </w:rPr>
                <w:t>https://doi.org/10.1111/j.2006.0906-7590.04333.x</w:t>
              </w:r>
            </w:hyperlink>
            <w:r w:rsidRPr="004D1E6F">
              <w:rPr>
                <w:rFonts w:ascii="Times New Roman" w:eastAsia="Times New Roman" w:hAnsi="Times New Roman" w:cs="Times New Roman"/>
                <w:color w:val="000000"/>
                <w:sz w:val="20"/>
                <w:szCs w:val="20"/>
                <w:lang w:eastAsia="en-ZA"/>
              </w:rPr>
              <w:t>.</w:t>
            </w:r>
          </w:p>
          <w:p w14:paraId="2A928050" w14:textId="248DC0A8" w:rsidR="001E5964"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Ficetola, G.F., Siesa, M.E., Manenti, R., Bottoni, L., De Bernardi, F. &amp; Padoa-Schioppa, E., 2011, ‘Early assessment of the impact of alien species: Differential consequences of an invasive crayfish on adult and larval amphibians’, </w:t>
            </w:r>
            <w:r w:rsidRPr="004D1E6F">
              <w:rPr>
                <w:rFonts w:ascii="Times New Roman" w:eastAsia="Calibri" w:hAnsi="Times New Roman" w:cs="Times New Roman"/>
                <w:i/>
                <w:iCs/>
                <w:sz w:val="20"/>
                <w:szCs w:val="20"/>
              </w:rPr>
              <w:t xml:space="preserve">Diversity and Distributions </w:t>
            </w:r>
            <w:r w:rsidRPr="004D1E6F">
              <w:rPr>
                <w:rFonts w:ascii="Times New Roman" w:eastAsia="Calibri" w:hAnsi="Times New Roman" w:cs="Times New Roman"/>
                <w:sz w:val="20"/>
                <w:szCs w:val="20"/>
              </w:rPr>
              <w:t xml:space="preserve">17,1141–1151, </w:t>
            </w:r>
            <w:hyperlink r:id="rId37" w:history="1">
              <w:r w:rsidR="001E5964" w:rsidRPr="001E5964">
                <w:rPr>
                  <w:rStyle w:val="Hyperlink"/>
                  <w:rFonts w:ascii="Times New Roman" w:eastAsia="Times New Roman" w:hAnsi="Times New Roman" w:cs="Times New Roman"/>
                  <w:sz w:val="20"/>
                  <w:szCs w:val="20"/>
                  <w:lang w:eastAsia="en-ZA"/>
                </w:rPr>
                <w:t>https://doi.org/10.1111/j.1472-4642.2011.00797.x</w:t>
              </w:r>
            </w:hyperlink>
          </w:p>
          <w:p w14:paraId="64864FC8" w14:textId="6D24C5AB" w:rsidR="002D7080" w:rsidRPr="004D1E6F"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Gherardi. F. &amp; Acquistapace, P., 2007, ‘Invasive crayfish in Europe: The impact of </w:t>
            </w:r>
            <w:r w:rsidRPr="004D1E6F">
              <w:rPr>
                <w:rFonts w:ascii="Times New Roman" w:eastAsia="Calibri" w:hAnsi="Times New Roman" w:cs="Times New Roman"/>
                <w:i/>
                <w:iCs/>
                <w:sz w:val="20"/>
                <w:szCs w:val="20"/>
              </w:rPr>
              <w:t xml:space="preserve">Procambarus clarkii </w:t>
            </w:r>
            <w:r w:rsidRPr="004D1E6F">
              <w:rPr>
                <w:rFonts w:ascii="Times New Roman" w:eastAsia="Calibri" w:hAnsi="Times New Roman" w:cs="Times New Roman"/>
                <w:sz w:val="20"/>
                <w:szCs w:val="20"/>
              </w:rPr>
              <w:t xml:space="preserve">on the littoral community of a Mediterranean lake’, </w:t>
            </w:r>
            <w:r w:rsidRPr="004D1E6F">
              <w:rPr>
                <w:rFonts w:ascii="Times New Roman" w:eastAsia="Calibri" w:hAnsi="Times New Roman" w:cs="Times New Roman"/>
                <w:i/>
                <w:iCs/>
                <w:sz w:val="20"/>
                <w:szCs w:val="20"/>
              </w:rPr>
              <w:t xml:space="preserve">Freshwater Biology </w:t>
            </w:r>
            <w:r w:rsidRPr="004D1E6F">
              <w:rPr>
                <w:rFonts w:ascii="Times New Roman" w:eastAsia="Calibri" w:hAnsi="Times New Roman" w:cs="Times New Roman"/>
                <w:sz w:val="20"/>
                <w:szCs w:val="20"/>
              </w:rPr>
              <w:t>52, 1249-59,</w:t>
            </w:r>
            <w:r w:rsidR="001E5964" w:rsidRPr="001E5964">
              <w:rPr>
                <w:rFonts w:ascii="Times New Roman" w:eastAsia="Times New Roman" w:hAnsi="Times New Roman" w:cs="Times New Roman"/>
                <w:color w:val="000000" w:themeColor="text1"/>
                <w:sz w:val="24"/>
                <w:szCs w:val="24"/>
                <w:lang w:eastAsia="en-ZA"/>
                <w14:ligatures w14:val="standardContextual"/>
              </w:rPr>
              <w:t xml:space="preserve"> </w:t>
            </w:r>
            <w:hyperlink r:id="rId38" w:history="1">
              <w:r w:rsidR="001E5964" w:rsidRPr="001E5964">
                <w:rPr>
                  <w:rStyle w:val="Hyperlink"/>
                  <w:rFonts w:ascii="Times New Roman" w:eastAsia="Calibri" w:hAnsi="Times New Roman" w:cs="Times New Roman"/>
                  <w:sz w:val="20"/>
                  <w:szCs w:val="20"/>
                </w:rPr>
                <w:t>https://doi.org/10.1111/j.1365-2427.2007.01760.x</w:t>
              </w:r>
            </w:hyperlink>
            <w:r w:rsidR="001E5964" w:rsidRPr="001E5964">
              <w:rPr>
                <w:rFonts w:ascii="Times New Roman" w:eastAsia="Calibri" w:hAnsi="Times New Roman" w:cs="Times New Roman"/>
                <w:sz w:val="20"/>
                <w:szCs w:val="20"/>
              </w:rPr>
              <w:t>.</w:t>
            </w:r>
          </w:p>
          <w:p w14:paraId="0FAF8C2B" w14:textId="67B31436" w:rsidR="002D7080" w:rsidRPr="004D1E6F"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bCs/>
                <w:sz w:val="20"/>
                <w:szCs w:val="20"/>
              </w:rPr>
              <w:t>Holdich, D.M., Reynolds, J.D., Sibley, P.J., 2009, ‘A review of the ever increasing threat to European crayfish from non-indigenous crayfish species’,</w:t>
            </w:r>
            <w:r w:rsidRPr="004D1E6F">
              <w:rPr>
                <w:rFonts w:ascii="Times New Roman" w:eastAsia="Calibri" w:hAnsi="Times New Roman" w:cs="Times New Roman"/>
                <w:sz w:val="20"/>
                <w:szCs w:val="20"/>
              </w:rPr>
              <w:t xml:space="preserve"> </w:t>
            </w:r>
            <w:r w:rsidRPr="004D1E6F">
              <w:rPr>
                <w:rFonts w:ascii="Times New Roman" w:eastAsia="Calibri" w:hAnsi="Times New Roman" w:cs="Times New Roman"/>
                <w:bCs/>
                <w:i/>
                <w:sz w:val="20"/>
                <w:szCs w:val="20"/>
              </w:rPr>
              <w:t>Knowledge and Management of Aquatic Ecosystems</w:t>
            </w:r>
            <w:r w:rsidRPr="004D1E6F">
              <w:rPr>
                <w:rFonts w:ascii="Times New Roman" w:eastAsia="Calibri" w:hAnsi="Times New Roman" w:cs="Times New Roman"/>
                <w:bCs/>
                <w:sz w:val="20"/>
                <w:szCs w:val="20"/>
              </w:rPr>
              <w:t xml:space="preserve"> 11, 394–395</w:t>
            </w:r>
            <w:r w:rsidR="001E5964">
              <w:rPr>
                <w:rFonts w:ascii="Times New Roman" w:eastAsia="Calibri" w:hAnsi="Times New Roman" w:cs="Times New Roman"/>
                <w:bCs/>
                <w:sz w:val="20"/>
                <w:szCs w:val="20"/>
              </w:rPr>
              <w:t xml:space="preserve">, </w:t>
            </w:r>
            <w:bookmarkStart w:id="3" w:name="_Hlk213566592"/>
            <w:r w:rsidR="001E5964" w:rsidRPr="001E5964">
              <w:rPr>
                <w:rFonts w:ascii="Times New Roman" w:eastAsia="Calibri" w:hAnsi="Times New Roman" w:cs="Times New Roman"/>
                <w:bCs/>
                <w:sz w:val="20"/>
                <w:szCs w:val="20"/>
              </w:rPr>
              <w:fldChar w:fldCharType="begin"/>
            </w:r>
            <w:r w:rsidR="001E5964" w:rsidRPr="001E5964">
              <w:rPr>
                <w:rFonts w:ascii="Times New Roman" w:eastAsia="Calibri" w:hAnsi="Times New Roman" w:cs="Times New Roman"/>
                <w:bCs/>
                <w:sz w:val="20"/>
                <w:szCs w:val="20"/>
              </w:rPr>
              <w:instrText>HYPERLINK "https://doi.org/10.1051/kmae/2009025"</w:instrText>
            </w:r>
            <w:r w:rsidR="001E5964" w:rsidRPr="001E5964">
              <w:rPr>
                <w:rFonts w:ascii="Times New Roman" w:eastAsia="Calibri" w:hAnsi="Times New Roman" w:cs="Times New Roman"/>
                <w:bCs/>
                <w:sz w:val="20"/>
                <w:szCs w:val="20"/>
              </w:rPr>
            </w:r>
            <w:r w:rsidR="001E5964" w:rsidRPr="001E5964">
              <w:rPr>
                <w:rFonts w:ascii="Times New Roman" w:eastAsia="Calibri" w:hAnsi="Times New Roman" w:cs="Times New Roman"/>
                <w:bCs/>
                <w:sz w:val="20"/>
                <w:szCs w:val="20"/>
              </w:rPr>
              <w:fldChar w:fldCharType="separate"/>
            </w:r>
            <w:r w:rsidR="001E5964" w:rsidRPr="001E5964">
              <w:rPr>
                <w:rStyle w:val="Hyperlink"/>
                <w:rFonts w:ascii="Times New Roman" w:eastAsia="Calibri" w:hAnsi="Times New Roman" w:cs="Times New Roman"/>
                <w:bCs/>
                <w:sz w:val="20"/>
                <w:szCs w:val="20"/>
              </w:rPr>
              <w:t>https://doi.org/10.1051/kmae/2009025</w:t>
            </w:r>
            <w:r w:rsidR="001E5964" w:rsidRPr="001E5964">
              <w:rPr>
                <w:rFonts w:ascii="Times New Roman" w:eastAsia="Calibri" w:hAnsi="Times New Roman" w:cs="Times New Roman"/>
                <w:bCs/>
                <w:sz w:val="20"/>
                <w:szCs w:val="20"/>
              </w:rPr>
              <w:fldChar w:fldCharType="end"/>
            </w:r>
            <w:r w:rsidR="001E5964" w:rsidRPr="001E5964">
              <w:rPr>
                <w:rFonts w:ascii="Times New Roman" w:eastAsia="Calibri" w:hAnsi="Times New Roman" w:cs="Times New Roman"/>
                <w:bCs/>
                <w:sz w:val="20"/>
                <w:szCs w:val="20"/>
              </w:rPr>
              <w:t>.</w:t>
            </w:r>
            <w:bookmarkEnd w:id="3"/>
            <w:r w:rsidR="001E5964" w:rsidRPr="001E5964">
              <w:rPr>
                <w:rFonts w:ascii="Times New Roman" w:eastAsia="Calibri" w:hAnsi="Times New Roman" w:cs="Times New Roman"/>
                <w:bCs/>
                <w:sz w:val="20"/>
                <w:szCs w:val="20"/>
              </w:rPr>
              <w:t xml:space="preserve">  </w:t>
            </w:r>
          </w:p>
          <w:p w14:paraId="5CA0FF4C" w14:textId="2DA505BE" w:rsidR="002D7080" w:rsidRPr="004D1E6F" w:rsidRDefault="002D7080" w:rsidP="00663569">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 xml:space="preserve">Jackson, M.C., Grey, J., Miller, K., Britton, J.R. &amp; Donohue, I., 2016, ‘Dietary niche constriction when invaders meet natives: Evidence from freshwater decapods’, </w:t>
            </w:r>
            <w:r w:rsidRPr="004D1E6F">
              <w:rPr>
                <w:rFonts w:ascii="Times New Roman" w:eastAsia="Times New Roman" w:hAnsi="Times New Roman" w:cs="Times New Roman"/>
                <w:i/>
                <w:color w:val="000000"/>
                <w:sz w:val="20"/>
                <w:szCs w:val="20"/>
                <w:lang w:eastAsia="en-ZA"/>
              </w:rPr>
              <w:t>Journal of Animal Ecology</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b/>
                <w:color w:val="000000"/>
                <w:sz w:val="20"/>
                <w:szCs w:val="20"/>
                <w:lang w:eastAsia="en-ZA"/>
              </w:rPr>
              <w:t>85</w:t>
            </w:r>
            <w:r w:rsidRPr="004D1E6F">
              <w:rPr>
                <w:rFonts w:ascii="Times New Roman" w:eastAsia="Times New Roman" w:hAnsi="Times New Roman" w:cs="Times New Roman"/>
                <w:color w:val="000000"/>
                <w:sz w:val="20"/>
                <w:szCs w:val="20"/>
                <w:lang w:eastAsia="en-ZA"/>
              </w:rPr>
              <w:t xml:space="preserve">, 1098–1107, </w:t>
            </w:r>
            <w:hyperlink r:id="rId39" w:history="1">
              <w:r w:rsidR="001E5964" w:rsidRPr="001E5964">
                <w:rPr>
                  <w:rStyle w:val="Hyperlink"/>
                  <w:rFonts w:ascii="Times New Roman" w:eastAsia="Times New Roman" w:hAnsi="Times New Roman" w:cs="Times New Roman"/>
                  <w:sz w:val="20"/>
                  <w:szCs w:val="20"/>
                  <w:lang w:eastAsia="en-ZA"/>
                </w:rPr>
                <w:t>https://doi.org/10.1051/kmae:2005031</w:t>
              </w:r>
            </w:hyperlink>
            <w:r w:rsidR="001E5964" w:rsidRPr="001E5964">
              <w:rPr>
                <w:rFonts w:ascii="Times New Roman" w:eastAsia="Times New Roman" w:hAnsi="Times New Roman" w:cs="Times New Roman"/>
                <w:color w:val="000000"/>
                <w:sz w:val="20"/>
                <w:szCs w:val="20"/>
                <w:lang w:eastAsia="en-ZA"/>
              </w:rPr>
              <w:t>.</w:t>
            </w:r>
          </w:p>
          <w:p w14:paraId="276EF0DC" w14:textId="2EDA2237" w:rsidR="002D7080" w:rsidRPr="004D1E6F"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Lodge, D.M., Deines, A., Gherardi, F., Yeo, D.C.J., Arcella, T., Baldridge, A.K., Branes, M.A., Chadderton, W.L., Feder, J.L., Grantz, C.A., Howard, G.W., Jerdde, C.L., Peters, J.A., Sargent, L.W., Turner, C.R., Wittmann, M.E. &amp; Zeng, Y., 2012, ‘Global introductions of crayfishes: Evaluating the impact of species invasions on ecosystem services’, </w:t>
            </w:r>
            <w:r w:rsidRPr="004D1E6F">
              <w:rPr>
                <w:rFonts w:ascii="Times New Roman" w:eastAsia="Calibri" w:hAnsi="Times New Roman" w:cs="Times New Roman"/>
                <w:i/>
                <w:sz w:val="20"/>
                <w:szCs w:val="20"/>
              </w:rPr>
              <w:t>Annual Review of Ecology, Evolution and Systematics</w:t>
            </w:r>
            <w:r w:rsidRPr="004D1E6F">
              <w:rPr>
                <w:rFonts w:ascii="Times New Roman" w:eastAsia="Calibri" w:hAnsi="Times New Roman" w:cs="Times New Roman"/>
                <w:sz w:val="20"/>
                <w:szCs w:val="20"/>
              </w:rPr>
              <w:t xml:space="preserve"> 43, 449 –472, </w:t>
            </w:r>
            <w:r w:rsidR="008375CD" w:rsidRPr="008375CD">
              <w:rPr>
                <w:rFonts w:ascii="Times New Roman" w:eastAsia="Times New Roman" w:hAnsi="Times New Roman" w:cs="Times New Roman"/>
                <w:color w:val="000000"/>
                <w:sz w:val="20"/>
                <w:szCs w:val="20"/>
                <w:lang w:eastAsia="en-ZA"/>
              </w:rPr>
              <w:t>https://doi.org/10.1146/annurev-ecolsys-111511-103919</w:t>
            </w:r>
            <w:r w:rsidRPr="004D1E6F">
              <w:rPr>
                <w:rFonts w:ascii="Times New Roman" w:eastAsia="Calibri" w:hAnsi="Times New Roman" w:cs="Times New Roman"/>
                <w:sz w:val="20"/>
                <w:szCs w:val="20"/>
              </w:rPr>
              <w:t>.</w:t>
            </w:r>
          </w:p>
          <w:p w14:paraId="5DD2487A" w14:textId="446AC4CC" w:rsidR="008375CD"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Longshaw, M., 2011, ‘Diseases of crayfish: A review’, </w:t>
            </w:r>
            <w:r w:rsidRPr="004D1E6F">
              <w:rPr>
                <w:rFonts w:ascii="Times New Roman" w:eastAsia="Calibri" w:hAnsi="Times New Roman" w:cs="Times New Roman"/>
                <w:i/>
                <w:sz w:val="20"/>
                <w:szCs w:val="20"/>
              </w:rPr>
              <w:t>Journal of Invertebrate Pathology</w:t>
            </w:r>
            <w:r w:rsidRPr="004D1E6F">
              <w:rPr>
                <w:rFonts w:ascii="Times New Roman" w:eastAsia="Calibri" w:hAnsi="Times New Roman" w:cs="Times New Roman"/>
                <w:sz w:val="20"/>
                <w:szCs w:val="20"/>
              </w:rPr>
              <w:t xml:space="preserve"> 106, 54</w:t>
            </w:r>
            <w:r w:rsidRPr="004D1E6F">
              <w:rPr>
                <w:rFonts w:ascii="Times New Roman" w:eastAsia="Times New Roman" w:hAnsi="Times New Roman" w:cs="Times New Roman"/>
                <w:color w:val="000000"/>
                <w:sz w:val="20"/>
                <w:szCs w:val="20"/>
                <w:lang w:eastAsia="en-ZA"/>
              </w:rPr>
              <w:t>–</w:t>
            </w:r>
            <w:r w:rsidRPr="004D1E6F">
              <w:rPr>
                <w:rFonts w:ascii="Times New Roman" w:eastAsia="Calibri" w:hAnsi="Times New Roman" w:cs="Times New Roman"/>
                <w:sz w:val="20"/>
                <w:szCs w:val="20"/>
              </w:rPr>
              <w:t xml:space="preserve">70, </w:t>
            </w:r>
            <w:r w:rsidR="008375CD" w:rsidRPr="008375CD">
              <w:rPr>
                <w:rFonts w:ascii="Times New Roman" w:eastAsia="Calibri" w:hAnsi="Times New Roman" w:cs="Times New Roman"/>
                <w:sz w:val="20"/>
                <w:szCs w:val="20"/>
              </w:rPr>
              <w:t>https://doi.org/10.1016/j.jip.2010.09.013</w:t>
            </w:r>
            <w:r w:rsidR="008375CD">
              <w:rPr>
                <w:rFonts w:ascii="Times New Roman" w:eastAsia="Calibri" w:hAnsi="Times New Roman" w:cs="Times New Roman"/>
                <w:sz w:val="20"/>
                <w:szCs w:val="20"/>
              </w:rPr>
              <w:t>.</w:t>
            </w:r>
          </w:p>
          <w:p w14:paraId="63F7A484" w14:textId="35270A79" w:rsidR="008375CD"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Matsuzaki, S.S., Usio, N., Takamura, N. &amp; Washitani, I., 2009, ‘Contrasting impacts of invasive engineers on freshwater ecosystems: An experiment and meta-analysis’, </w:t>
            </w:r>
            <w:r w:rsidRPr="004D1E6F">
              <w:rPr>
                <w:rFonts w:ascii="Times New Roman" w:eastAsia="Calibri" w:hAnsi="Times New Roman" w:cs="Times New Roman"/>
                <w:i/>
                <w:sz w:val="20"/>
                <w:szCs w:val="20"/>
              </w:rPr>
              <w:t>Oecologia</w:t>
            </w:r>
            <w:r w:rsidRPr="004D1E6F">
              <w:rPr>
                <w:rFonts w:ascii="Times New Roman" w:eastAsia="Calibri" w:hAnsi="Times New Roman" w:cs="Times New Roman"/>
                <w:sz w:val="20"/>
                <w:szCs w:val="20"/>
              </w:rPr>
              <w:t xml:space="preserve"> 158, 673</w:t>
            </w:r>
            <w:r w:rsidRPr="004D1E6F">
              <w:rPr>
                <w:rFonts w:ascii="Times New Roman" w:eastAsia="Times New Roman" w:hAnsi="Times New Roman" w:cs="Times New Roman"/>
                <w:color w:val="000000"/>
                <w:sz w:val="20"/>
                <w:szCs w:val="20"/>
                <w:lang w:eastAsia="en-ZA"/>
              </w:rPr>
              <w:t>–</w:t>
            </w:r>
            <w:r w:rsidRPr="004D1E6F">
              <w:rPr>
                <w:rFonts w:ascii="Times New Roman" w:eastAsia="Calibri" w:hAnsi="Times New Roman" w:cs="Times New Roman"/>
                <w:sz w:val="20"/>
                <w:szCs w:val="20"/>
              </w:rPr>
              <w:t xml:space="preserve">686, </w:t>
            </w:r>
            <w:r w:rsidR="008375CD" w:rsidRPr="008375CD">
              <w:rPr>
                <w:rFonts w:ascii="Times New Roman" w:eastAsia="Calibri" w:hAnsi="Times New Roman" w:cs="Times New Roman"/>
                <w:sz w:val="20"/>
                <w:szCs w:val="20"/>
              </w:rPr>
              <w:t>https://doi.org/10.1007/s00442-008-1180-1</w:t>
            </w:r>
            <w:r w:rsidR="008375CD">
              <w:rPr>
                <w:rFonts w:ascii="Times New Roman" w:eastAsia="Calibri" w:hAnsi="Times New Roman" w:cs="Times New Roman"/>
                <w:sz w:val="20"/>
                <w:szCs w:val="20"/>
              </w:rPr>
              <w:t>.</w:t>
            </w:r>
          </w:p>
          <w:p w14:paraId="6FC31240" w14:textId="35C980E0" w:rsidR="002D7080" w:rsidRPr="004D1E6F"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McMahon, T.A., Brannelly, L.A., Chatfield, M.W., Johnson, P.T., Joseph, M.B., McKenzie, V.J., Richards-Zawacki, C.L., Venesky, M.D. &amp; Rohr, J.R., 2013, ‘Chytrid fungus </w:t>
            </w:r>
            <w:r w:rsidRPr="004D1E6F">
              <w:rPr>
                <w:rFonts w:ascii="Times New Roman" w:eastAsia="Calibri" w:hAnsi="Times New Roman" w:cs="Times New Roman"/>
                <w:i/>
                <w:sz w:val="20"/>
                <w:szCs w:val="20"/>
              </w:rPr>
              <w:t>Batrachochytrium dendrobatidis</w:t>
            </w:r>
            <w:r w:rsidRPr="004D1E6F">
              <w:rPr>
                <w:rFonts w:ascii="Times New Roman" w:eastAsia="Calibri" w:hAnsi="Times New Roman" w:cs="Times New Roman"/>
                <w:sz w:val="20"/>
                <w:szCs w:val="20"/>
              </w:rPr>
              <w:t xml:space="preserve"> has non-amphibian hosts and releases chemicals that cause pathology in the absence of infection’, </w:t>
            </w:r>
            <w:r w:rsidRPr="004D1E6F">
              <w:rPr>
                <w:rFonts w:ascii="Times New Roman" w:eastAsia="Calibri" w:hAnsi="Times New Roman" w:cs="Times New Roman"/>
                <w:i/>
                <w:sz w:val="20"/>
                <w:szCs w:val="20"/>
              </w:rPr>
              <w:t>Proceedings of the National Academy of Sciences of the United States of America</w:t>
            </w:r>
            <w:r w:rsidRPr="004D1E6F">
              <w:rPr>
                <w:rFonts w:ascii="Times New Roman" w:eastAsia="Calibri" w:hAnsi="Times New Roman" w:cs="Times New Roman"/>
                <w:sz w:val="20"/>
                <w:szCs w:val="20"/>
              </w:rPr>
              <w:t xml:space="preserve"> 110,</w:t>
            </w:r>
            <w:r w:rsidRPr="004D1E6F">
              <w:rPr>
                <w:rFonts w:ascii="Times New Roman" w:eastAsia="Calibri" w:hAnsi="Times New Roman" w:cs="Times New Roman"/>
                <w:b/>
                <w:sz w:val="20"/>
                <w:szCs w:val="20"/>
              </w:rPr>
              <w:t xml:space="preserve"> </w:t>
            </w:r>
            <w:r w:rsidRPr="004D1E6F">
              <w:rPr>
                <w:rFonts w:ascii="Times New Roman" w:eastAsia="Calibri" w:hAnsi="Times New Roman" w:cs="Times New Roman"/>
                <w:sz w:val="20"/>
                <w:szCs w:val="20"/>
              </w:rPr>
              <w:t>210</w:t>
            </w:r>
            <w:r w:rsidRPr="004D1E6F">
              <w:rPr>
                <w:rFonts w:ascii="Times New Roman" w:eastAsia="Times New Roman" w:hAnsi="Times New Roman" w:cs="Times New Roman"/>
                <w:color w:val="000000"/>
                <w:sz w:val="20"/>
                <w:szCs w:val="20"/>
                <w:lang w:eastAsia="en-ZA"/>
              </w:rPr>
              <w:t>–</w:t>
            </w:r>
            <w:r w:rsidRPr="004D1E6F">
              <w:rPr>
                <w:rFonts w:ascii="Times New Roman" w:eastAsia="Calibri" w:hAnsi="Times New Roman" w:cs="Times New Roman"/>
                <w:sz w:val="20"/>
                <w:szCs w:val="20"/>
              </w:rPr>
              <w:t>215</w:t>
            </w:r>
            <w:r w:rsidR="008375CD">
              <w:rPr>
                <w:rFonts w:ascii="Times New Roman" w:eastAsia="Calibri" w:hAnsi="Times New Roman" w:cs="Times New Roman"/>
                <w:sz w:val="20"/>
                <w:szCs w:val="20"/>
              </w:rPr>
              <w:t xml:space="preserve">, </w:t>
            </w:r>
            <w:hyperlink r:id="rId40" w:history="1">
              <w:r w:rsidR="008375CD" w:rsidRPr="00F215B9">
                <w:rPr>
                  <w:rStyle w:val="Hyperlink"/>
                  <w:rFonts w:ascii="Times New Roman" w:eastAsia="Calibri" w:hAnsi="Times New Roman" w:cs="Times New Roman"/>
                  <w:sz w:val="20"/>
                  <w:szCs w:val="20"/>
                </w:rPr>
                <w:t>https://doi.org/10.1073/pnas.1200592110</w:t>
              </w:r>
            </w:hyperlink>
            <w:r w:rsidR="008375CD">
              <w:rPr>
                <w:rFonts w:ascii="Times New Roman" w:eastAsia="Calibri" w:hAnsi="Times New Roman" w:cs="Times New Roman"/>
                <w:sz w:val="20"/>
                <w:szCs w:val="20"/>
              </w:rPr>
              <w:t xml:space="preserve">. </w:t>
            </w:r>
          </w:p>
          <w:p w14:paraId="29A00F65" w14:textId="0E61DEB4" w:rsidR="002D7080" w:rsidRPr="004D1E6F"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Rodríguez, C.F., Bécares, E. &amp; Fernández-Aláez, M., 2003, ‘Shift from clear to turbid phase in Lake Chozas (NW Spain) due to the introduction of American red swamp crayfish (</w:t>
            </w:r>
            <w:r w:rsidRPr="004D1E6F">
              <w:rPr>
                <w:rFonts w:ascii="Times New Roman" w:eastAsia="Calibri" w:hAnsi="Times New Roman" w:cs="Times New Roman"/>
                <w:i/>
                <w:iCs/>
                <w:sz w:val="20"/>
                <w:szCs w:val="20"/>
              </w:rPr>
              <w:t>Procambarus clarkii</w:t>
            </w:r>
            <w:r w:rsidRPr="004D1E6F">
              <w:rPr>
                <w:rFonts w:ascii="Times New Roman" w:eastAsia="Calibri" w:hAnsi="Times New Roman" w:cs="Times New Roman"/>
                <w:sz w:val="20"/>
                <w:szCs w:val="20"/>
              </w:rPr>
              <w:t xml:space="preserve">)’, </w:t>
            </w:r>
            <w:r w:rsidRPr="004D1E6F">
              <w:rPr>
                <w:rFonts w:ascii="Times New Roman" w:eastAsia="Calibri" w:hAnsi="Times New Roman" w:cs="Times New Roman"/>
                <w:i/>
                <w:iCs/>
                <w:sz w:val="20"/>
                <w:szCs w:val="20"/>
              </w:rPr>
              <w:t xml:space="preserve">Hydrobiologia </w:t>
            </w:r>
            <w:r w:rsidRPr="004D1E6F">
              <w:rPr>
                <w:rFonts w:ascii="Times New Roman" w:eastAsia="Calibri" w:hAnsi="Times New Roman" w:cs="Times New Roman"/>
                <w:sz w:val="20"/>
                <w:szCs w:val="20"/>
              </w:rPr>
              <w:t>506, 421</w:t>
            </w:r>
            <w:r w:rsidRPr="004D1E6F">
              <w:rPr>
                <w:rFonts w:ascii="Times New Roman" w:eastAsia="Times New Roman" w:hAnsi="Times New Roman" w:cs="Times New Roman"/>
                <w:color w:val="000000"/>
                <w:sz w:val="20"/>
                <w:szCs w:val="20"/>
                <w:lang w:eastAsia="en-ZA"/>
              </w:rPr>
              <w:t>–</w:t>
            </w:r>
            <w:r w:rsidRPr="004D1E6F">
              <w:rPr>
                <w:rFonts w:ascii="Times New Roman" w:eastAsia="Calibri" w:hAnsi="Times New Roman" w:cs="Times New Roman"/>
                <w:sz w:val="20"/>
                <w:szCs w:val="20"/>
              </w:rPr>
              <w:t xml:space="preserve">26, </w:t>
            </w:r>
            <w:hyperlink r:id="rId41" w:history="1">
              <w:r w:rsidR="000D45AC" w:rsidRPr="000D45AC">
                <w:rPr>
                  <w:rStyle w:val="Hyperlink"/>
                  <w:rFonts w:ascii="Times New Roman" w:eastAsia="Calibri" w:hAnsi="Times New Roman" w:cs="Times New Roman"/>
                  <w:sz w:val="20"/>
                  <w:szCs w:val="20"/>
                </w:rPr>
                <w:t>https://doi.org/10.1023/B:HYDR.0000008626.07042.87</w:t>
              </w:r>
            </w:hyperlink>
          </w:p>
          <w:p w14:paraId="7C7B7020" w14:textId="02BDD4AE" w:rsidR="002D7080" w:rsidRPr="004D1E6F"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Rosenthal, S.K., Lodge, D.M., Mavuti, K.M., Muohi, W., Ochieng, P., Mungai, B.N. &amp; Mkoji, G.M., 2005, ‘Comparing macrophyte herbivory by introduced Louisiana crayfish (</w:t>
            </w:r>
            <w:r w:rsidRPr="004D1E6F">
              <w:rPr>
                <w:rFonts w:ascii="Times New Roman" w:eastAsia="Calibri" w:hAnsi="Times New Roman" w:cs="Times New Roman"/>
                <w:i/>
                <w:iCs/>
                <w:sz w:val="20"/>
                <w:szCs w:val="20"/>
              </w:rPr>
              <w:t>Procambarus clarkii</w:t>
            </w:r>
            <w:r w:rsidRPr="004D1E6F">
              <w:rPr>
                <w:rFonts w:ascii="Times New Roman" w:eastAsia="Calibri" w:hAnsi="Times New Roman" w:cs="Times New Roman"/>
                <w:sz w:val="20"/>
                <w:szCs w:val="20"/>
              </w:rPr>
              <w:t>) (Crustacea: Cambaridea) and native Dytiscid beetles (</w:t>
            </w:r>
            <w:r w:rsidRPr="004D1E6F">
              <w:rPr>
                <w:rFonts w:ascii="Times New Roman" w:eastAsia="Calibri" w:hAnsi="Times New Roman" w:cs="Times New Roman"/>
                <w:i/>
                <w:iCs/>
                <w:sz w:val="20"/>
                <w:szCs w:val="20"/>
              </w:rPr>
              <w:t>Cybister tripunctatus</w:t>
            </w:r>
            <w:r w:rsidRPr="004D1E6F">
              <w:rPr>
                <w:rFonts w:ascii="Times New Roman" w:eastAsia="Calibri" w:hAnsi="Times New Roman" w:cs="Times New Roman"/>
                <w:sz w:val="20"/>
                <w:szCs w:val="20"/>
              </w:rPr>
              <w:t>)</w:t>
            </w:r>
            <w:r w:rsidR="000D45AC">
              <w:rPr>
                <w:rFonts w:ascii="Times New Roman" w:eastAsia="Calibri" w:hAnsi="Times New Roman" w:cs="Times New Roman"/>
                <w:sz w:val="20"/>
                <w:szCs w:val="20"/>
              </w:rPr>
              <w:t xml:space="preserve"> in Kenya, </w:t>
            </w:r>
            <w:r w:rsidR="000D45AC" w:rsidRPr="008375CD">
              <w:rPr>
                <w:rFonts w:ascii="Times New Roman" w:eastAsia="Calibri" w:hAnsi="Times New Roman" w:cs="Times New Roman"/>
                <w:i/>
                <w:iCs/>
                <w:sz w:val="20"/>
                <w:szCs w:val="20"/>
              </w:rPr>
              <w:t>African Journal of Aquatic Science</w:t>
            </w:r>
            <w:r w:rsidR="000D45AC">
              <w:rPr>
                <w:rFonts w:ascii="Times New Roman" w:eastAsia="Calibri" w:hAnsi="Times New Roman" w:cs="Times New Roman"/>
                <w:sz w:val="20"/>
                <w:szCs w:val="20"/>
              </w:rPr>
              <w:t>,</w:t>
            </w:r>
            <w:r w:rsidR="008375CD">
              <w:rPr>
                <w:rFonts w:ascii="Times New Roman" w:eastAsia="Calibri" w:hAnsi="Times New Roman" w:cs="Times New Roman"/>
                <w:sz w:val="20"/>
                <w:szCs w:val="20"/>
              </w:rPr>
              <w:t xml:space="preserve"> 30, 157–162,</w:t>
            </w:r>
            <w:r w:rsidR="000D45AC">
              <w:rPr>
                <w:rFonts w:ascii="Times New Roman" w:eastAsia="Calibri" w:hAnsi="Times New Roman" w:cs="Times New Roman"/>
                <w:sz w:val="20"/>
                <w:szCs w:val="20"/>
              </w:rPr>
              <w:t xml:space="preserve"> </w:t>
            </w:r>
            <w:r w:rsidRPr="004D1E6F">
              <w:rPr>
                <w:rFonts w:ascii="Times New Roman" w:eastAsia="Calibri" w:hAnsi="Times New Roman" w:cs="Times New Roman"/>
                <w:sz w:val="20"/>
                <w:szCs w:val="20"/>
              </w:rPr>
              <w:t xml:space="preserve"> </w:t>
            </w:r>
            <w:r w:rsidR="000D45AC" w:rsidRPr="000D45AC">
              <w:rPr>
                <w:rFonts w:ascii="Times New Roman" w:eastAsia="Calibri" w:hAnsi="Times New Roman" w:cs="Times New Roman"/>
                <w:sz w:val="20"/>
                <w:szCs w:val="20"/>
              </w:rPr>
              <w:t>https://doi.org/10.2989/16085910509503850</w:t>
            </w:r>
          </w:p>
          <w:p w14:paraId="2689850C" w14:textId="5BA96440" w:rsidR="002D7080" w:rsidRPr="004D1E6F"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Souty-Grosset, C., Anastácio, P.M., Aquiloni, L., Banha, F., Choquer, J., Chucholl, C. &amp; Tricarico, E., 2016, ‘The red swamp crayfish </w:t>
            </w:r>
            <w:r w:rsidRPr="004D1E6F">
              <w:rPr>
                <w:rFonts w:ascii="Times New Roman" w:eastAsia="Calibri" w:hAnsi="Times New Roman" w:cs="Times New Roman"/>
                <w:i/>
                <w:sz w:val="20"/>
                <w:szCs w:val="20"/>
              </w:rPr>
              <w:t>Procambarus clarkii</w:t>
            </w:r>
            <w:r w:rsidRPr="004D1E6F">
              <w:rPr>
                <w:rFonts w:ascii="Times New Roman" w:eastAsia="Calibri" w:hAnsi="Times New Roman" w:cs="Times New Roman"/>
                <w:sz w:val="20"/>
                <w:szCs w:val="20"/>
              </w:rPr>
              <w:t xml:space="preserve"> in Europe: Impacts on aquatic ecosystems and human well-being’</w:t>
            </w:r>
            <w:r w:rsidRPr="004D1E6F">
              <w:rPr>
                <w:rFonts w:ascii="Times New Roman" w:eastAsia="Calibri" w:hAnsi="Times New Roman" w:cs="Times New Roman"/>
                <w:i/>
                <w:sz w:val="20"/>
                <w:szCs w:val="20"/>
              </w:rPr>
              <w:t>, Limnologica</w:t>
            </w:r>
            <w:r w:rsidRPr="004D1E6F">
              <w:rPr>
                <w:rFonts w:ascii="Times New Roman" w:eastAsia="Calibri" w:hAnsi="Times New Roman" w:cs="Times New Roman"/>
                <w:sz w:val="20"/>
                <w:szCs w:val="20"/>
              </w:rPr>
              <w:t xml:space="preserve"> 58, 78</w:t>
            </w:r>
            <w:r w:rsidRPr="004D1E6F">
              <w:rPr>
                <w:rFonts w:ascii="Times New Roman" w:eastAsia="Times New Roman" w:hAnsi="Times New Roman" w:cs="Times New Roman"/>
                <w:color w:val="000000"/>
                <w:sz w:val="20"/>
                <w:szCs w:val="20"/>
                <w:lang w:eastAsia="en-ZA"/>
              </w:rPr>
              <w:t>–</w:t>
            </w:r>
            <w:r w:rsidRPr="004D1E6F">
              <w:rPr>
                <w:rFonts w:ascii="Times New Roman" w:eastAsia="Calibri" w:hAnsi="Times New Roman" w:cs="Times New Roman"/>
                <w:sz w:val="20"/>
                <w:szCs w:val="20"/>
              </w:rPr>
              <w:t xml:space="preserve">93, </w:t>
            </w:r>
            <w:hyperlink r:id="rId42" w:history="1">
              <w:r w:rsidR="000D45AC" w:rsidRPr="000D45AC">
                <w:rPr>
                  <w:rStyle w:val="Hyperlink"/>
                  <w:rFonts w:ascii="Times New Roman" w:eastAsia="Calibri" w:hAnsi="Times New Roman" w:cs="Times New Roman"/>
                  <w:sz w:val="20"/>
                  <w:szCs w:val="20"/>
                </w:rPr>
                <w:t>https://doi.org/10.1016/j.limno.2016.03.003</w:t>
              </w:r>
            </w:hyperlink>
            <w:r w:rsidR="000D45AC" w:rsidRPr="000D45AC">
              <w:rPr>
                <w:rFonts w:ascii="Times New Roman" w:eastAsia="Calibri" w:hAnsi="Times New Roman" w:cs="Times New Roman"/>
                <w:sz w:val="20"/>
                <w:szCs w:val="20"/>
              </w:rPr>
              <w:t>.</w:t>
            </w:r>
          </w:p>
        </w:tc>
      </w:tr>
    </w:tbl>
    <w:p w14:paraId="1B38EA9F" w14:textId="77777777" w:rsidR="002D7080" w:rsidRPr="004D1E6F" w:rsidRDefault="002D7080" w:rsidP="002D7080">
      <w:pPr>
        <w:spacing w:after="0" w:line="240" w:lineRule="auto"/>
        <w:rPr>
          <w:rFonts w:ascii="Times New Roman" w:hAnsi="Times New Roman" w:cs="Times New Roman"/>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3"/>
        <w:gridCol w:w="3065"/>
      </w:tblGrid>
      <w:tr w:rsidR="002D7080" w:rsidRPr="004D1E6F" w14:paraId="61C4CD91" w14:textId="77777777" w:rsidTr="002E2C37">
        <w:trPr>
          <w:trHeight w:val="346"/>
        </w:trPr>
        <w:tc>
          <w:tcPr>
            <w:tcW w:w="9008" w:type="dxa"/>
            <w:gridSpan w:val="2"/>
            <w:shd w:val="clear" w:color="auto" w:fill="F2F2F2" w:themeFill="background1" w:themeFillShade="F2"/>
          </w:tcPr>
          <w:p w14:paraId="718DA376"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CON4 Closely related species’ socio-economic impact</w:t>
            </w:r>
          </w:p>
        </w:tc>
      </w:tr>
      <w:tr w:rsidR="002D7080" w:rsidRPr="004D1E6F" w14:paraId="551F57A5" w14:textId="77777777" w:rsidTr="002E2C37">
        <w:trPr>
          <w:trHeight w:val="70"/>
        </w:trPr>
        <w:tc>
          <w:tcPr>
            <w:tcW w:w="5943" w:type="dxa"/>
          </w:tcPr>
          <w:p w14:paraId="560F1C80"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Moderate (MO)</w:t>
            </w:r>
          </w:p>
        </w:tc>
        <w:tc>
          <w:tcPr>
            <w:tcW w:w="3065" w:type="dxa"/>
          </w:tcPr>
          <w:p w14:paraId="1CC538C3"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1E8A8AC4" w14:textId="77777777" w:rsidTr="002E2C37">
        <w:trPr>
          <w:trHeight w:val="70"/>
        </w:trPr>
        <w:tc>
          <w:tcPr>
            <w:tcW w:w="9008" w:type="dxa"/>
            <w:gridSpan w:val="2"/>
          </w:tcPr>
          <w:p w14:paraId="2E7247BC" w14:textId="77777777" w:rsidR="002D7080" w:rsidRDefault="002D7080" w:rsidP="00C35336">
            <w:pPr>
              <w:spacing w:after="0"/>
              <w:jc w:val="both"/>
              <w:rPr>
                <w:rFonts w:ascii="Times New Roman" w:eastAsia="Calibri" w:hAnsi="Times New Roman" w:cs="Times New Roman"/>
                <w:sz w:val="20"/>
                <w:szCs w:val="20"/>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Calibri" w:hAnsi="Times New Roman" w:cs="Times New Roman"/>
                <w:sz w:val="20"/>
                <w:szCs w:val="20"/>
              </w:rPr>
              <w:t xml:space="preserve">In the absence of evidence of impact of </w:t>
            </w:r>
            <w:r w:rsidRPr="004D1E6F">
              <w:rPr>
                <w:rFonts w:ascii="Times New Roman" w:eastAsia="Calibri" w:hAnsi="Times New Roman" w:cs="Times New Roman"/>
                <w:i/>
                <w:iCs/>
                <w:sz w:val="20"/>
                <w:szCs w:val="20"/>
              </w:rPr>
              <w:t xml:space="preserve">Cherax </w:t>
            </w:r>
            <w:r w:rsidRPr="004D1E6F">
              <w:rPr>
                <w:rFonts w:ascii="Times New Roman" w:eastAsia="Calibri" w:hAnsi="Times New Roman" w:cs="Times New Roman"/>
                <w:sz w:val="20"/>
                <w:szCs w:val="20"/>
              </w:rPr>
              <w:t xml:space="preserve">species in its global introduced range, potential impacts of </w:t>
            </w:r>
            <w:r w:rsidRPr="004D1E6F">
              <w:rPr>
                <w:rFonts w:ascii="Times New Roman" w:eastAsia="Calibri" w:hAnsi="Times New Roman" w:cs="Times New Roman"/>
                <w:i/>
                <w:iCs/>
                <w:sz w:val="20"/>
                <w:szCs w:val="20"/>
              </w:rPr>
              <w:t xml:space="preserve">C. cainii </w:t>
            </w:r>
            <w:r w:rsidRPr="004D1E6F">
              <w:rPr>
                <w:rFonts w:ascii="Times New Roman" w:eastAsia="Calibri" w:hAnsi="Times New Roman" w:cs="Times New Roman"/>
                <w:sz w:val="20"/>
                <w:szCs w:val="20"/>
              </w:rPr>
              <w:t xml:space="preserve">were inferred from </w:t>
            </w:r>
            <w:r w:rsidRPr="004D1E6F">
              <w:rPr>
                <w:rFonts w:ascii="Times New Roman" w:eastAsia="Calibri" w:hAnsi="Times New Roman" w:cs="Times New Roman"/>
                <w:i/>
                <w:iCs/>
                <w:sz w:val="20"/>
                <w:szCs w:val="20"/>
              </w:rPr>
              <w:t xml:space="preserve">Procambarus clarkii </w:t>
            </w:r>
            <w:r w:rsidRPr="004D1E6F">
              <w:rPr>
                <w:rFonts w:ascii="Times New Roman" w:eastAsia="Calibri" w:hAnsi="Times New Roman" w:cs="Times New Roman"/>
                <w:sz w:val="20"/>
                <w:szCs w:val="20"/>
              </w:rPr>
              <w:t>(a crayfish with similar traits and with documented evidence of impact in its introduction range).</w:t>
            </w:r>
          </w:p>
          <w:p w14:paraId="753AFD5C" w14:textId="77777777" w:rsidR="00C35336" w:rsidRPr="004D1E6F" w:rsidRDefault="00C35336" w:rsidP="00C35336">
            <w:pPr>
              <w:spacing w:after="0"/>
              <w:jc w:val="both"/>
              <w:rPr>
                <w:rFonts w:ascii="Times New Roman" w:eastAsia="Calibri" w:hAnsi="Times New Roman" w:cs="Times New Roman"/>
                <w:sz w:val="20"/>
                <w:szCs w:val="20"/>
              </w:rPr>
            </w:pPr>
          </w:p>
          <w:p w14:paraId="7136B543" w14:textId="77777777" w:rsidR="002D7080" w:rsidRDefault="002D7080" w:rsidP="00C35336">
            <w:pPr>
              <w:spacing w:after="0"/>
              <w:jc w:val="both"/>
              <w:rPr>
                <w:rFonts w:ascii="Times New Roman" w:eastAsia="Calibri" w:hAnsi="Times New Roman" w:cs="Times New Roman"/>
                <w:sz w:val="20"/>
                <w:szCs w:val="20"/>
              </w:rPr>
            </w:pPr>
            <w:r w:rsidRPr="004D1E6F">
              <w:rPr>
                <w:rFonts w:ascii="Times New Roman" w:eastAsia="Times New Roman" w:hAnsi="Times New Roman" w:cs="Times New Roman"/>
                <w:sz w:val="20"/>
                <w:szCs w:val="20"/>
                <w:lang w:eastAsia="en-ZA"/>
              </w:rPr>
              <w:t xml:space="preserve">In its invaded range </w:t>
            </w:r>
            <w:r w:rsidRPr="004D1E6F">
              <w:rPr>
                <w:rFonts w:ascii="Times New Roman" w:eastAsia="Times New Roman" w:hAnsi="Times New Roman" w:cs="Times New Roman"/>
                <w:i/>
                <w:sz w:val="20"/>
                <w:szCs w:val="20"/>
                <w:lang w:eastAsia="en-ZA"/>
              </w:rPr>
              <w:t>P.clarkii</w:t>
            </w:r>
            <w:r w:rsidRPr="004D1E6F">
              <w:rPr>
                <w:rFonts w:ascii="Times New Roman" w:eastAsia="Times New Roman" w:hAnsi="Times New Roman" w:cs="Times New Roman"/>
                <w:sz w:val="20"/>
                <w:szCs w:val="20"/>
                <w:lang w:eastAsia="en-ZA"/>
              </w:rPr>
              <w:t xml:space="preserve"> had caused harmful impacts in agricultural fields (Anastácio et al. 2005) and has disrupted some recreational activities leading to economic loss (Gherardi et al. 2011).</w:t>
            </w:r>
            <w:r w:rsidRPr="004D1E6F">
              <w:rPr>
                <w:rFonts w:ascii="Times New Roman" w:eastAsia="Times New Roman" w:hAnsi="Times New Roman" w:cs="Times New Roman"/>
                <w:color w:val="000000"/>
                <w:sz w:val="20"/>
                <w:szCs w:val="20"/>
                <w:lang w:eastAsia="en-ZA"/>
              </w:rPr>
              <w:t xml:space="preserve"> The most significant impacts caused by </w:t>
            </w:r>
            <w:r w:rsidRPr="004D1E6F">
              <w:rPr>
                <w:rFonts w:ascii="Times New Roman" w:eastAsia="Calibri" w:hAnsi="Times New Roman" w:cs="Times New Roman"/>
                <w:i/>
                <w:iCs/>
                <w:sz w:val="20"/>
                <w:szCs w:val="20"/>
              </w:rPr>
              <w:t>P. clarkii</w:t>
            </w:r>
            <w:r w:rsidRPr="004D1E6F">
              <w:rPr>
                <w:rFonts w:ascii="Times New Roman" w:eastAsia="Calibri" w:hAnsi="Times New Roman" w:cs="Times New Roman"/>
                <w:sz w:val="20"/>
                <w:szCs w:val="20"/>
              </w:rPr>
              <w:t xml:space="preserve"> are highlighted below.</w:t>
            </w:r>
          </w:p>
          <w:p w14:paraId="49483071" w14:textId="77777777" w:rsidR="00C35336" w:rsidRPr="004D1E6F" w:rsidRDefault="00C35336" w:rsidP="00C35336">
            <w:pPr>
              <w:spacing w:after="0"/>
              <w:jc w:val="both"/>
              <w:rPr>
                <w:rFonts w:ascii="Times New Roman" w:eastAsia="Times New Roman" w:hAnsi="Times New Roman" w:cs="Times New Roman"/>
                <w:sz w:val="20"/>
                <w:szCs w:val="20"/>
                <w:lang w:eastAsia="en-ZA"/>
              </w:rPr>
            </w:pPr>
          </w:p>
          <w:p w14:paraId="5AD4AD7F" w14:textId="77777777" w:rsidR="002D7080" w:rsidRPr="004D1E6F" w:rsidRDefault="002D7080" w:rsidP="00C35336">
            <w:pPr>
              <w:spacing w:after="0"/>
              <w:jc w:val="both"/>
              <w:rPr>
                <w:rFonts w:ascii="Times New Roman" w:eastAsia="Times New Roman" w:hAnsi="Times New Roman" w:cs="Times New Roman"/>
                <w:sz w:val="20"/>
                <w:szCs w:val="20"/>
                <w:u w:val="single"/>
                <w:lang w:eastAsia="en-ZA"/>
              </w:rPr>
            </w:pPr>
            <w:r w:rsidRPr="004D1E6F">
              <w:rPr>
                <w:rFonts w:ascii="Times New Roman" w:eastAsia="Times New Roman" w:hAnsi="Times New Roman" w:cs="Times New Roman"/>
                <w:sz w:val="20"/>
                <w:szCs w:val="20"/>
                <w:u w:val="single"/>
                <w:lang w:eastAsia="en-ZA"/>
              </w:rPr>
              <w:t>Material and immaterial assets; Moderate (MO); Confidence: Medium</w:t>
            </w:r>
          </w:p>
          <w:p w14:paraId="2C10B92E" w14:textId="77777777" w:rsidR="002D7080" w:rsidRDefault="002D7080" w:rsidP="00C35336">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often inhabits agricultural fields and their burrowing activities can cause damage to infrastructure such as irrigation canals and dam walls (Lodge et al. 2012; </w:t>
            </w:r>
            <w:r w:rsidRPr="004D1E6F">
              <w:rPr>
                <w:rFonts w:ascii="Times New Roman" w:eastAsia="Calibri" w:hAnsi="Times New Roman" w:cs="Times New Roman"/>
                <w:sz w:val="20"/>
                <w:szCs w:val="20"/>
              </w:rPr>
              <w:t>Arce &amp; Diéguez-Uribeondo 2015)</w:t>
            </w:r>
            <w:r w:rsidRPr="004D1E6F">
              <w:rPr>
                <w:rFonts w:ascii="Times New Roman" w:eastAsia="Times New Roman" w:hAnsi="Times New Roman" w:cs="Times New Roman"/>
                <w:color w:val="000000"/>
                <w:sz w:val="20"/>
                <w:szCs w:val="20"/>
                <w:lang w:eastAsia="en-ZA"/>
              </w:rPr>
              <w:t xml:space="preserve">. Burrowing activities can also alter soil hydrology leading to water loss. Grazing causes crop damage and reduces yield (Anastácio et al. 2005; Arce &amp; Diéguez-Uribeondo 2015). In Europe for example,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affects rice production through field water loss, damage to rice field banks and ditches, direct consumption of rice seed and plants, and clogging of pipes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"(Souty-grosset et al. 2016)", "plainTextFormattedCitation" : "(Souty-grosset et al. 2016)", "previouslyFormattedCitation" :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 Anastácio et al. 2005; 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p w14:paraId="03DA2B02" w14:textId="77777777" w:rsidR="00C35336" w:rsidRPr="004D1E6F" w:rsidRDefault="00C35336" w:rsidP="00C35336">
            <w:pPr>
              <w:spacing w:after="0"/>
              <w:jc w:val="both"/>
              <w:rPr>
                <w:rFonts w:ascii="Times New Roman" w:eastAsia="Times New Roman" w:hAnsi="Times New Roman" w:cs="Times New Roman"/>
                <w:sz w:val="20"/>
                <w:szCs w:val="20"/>
                <w:lang w:eastAsia="en-ZA"/>
              </w:rPr>
            </w:pPr>
          </w:p>
          <w:p w14:paraId="189CDD99" w14:textId="77777777" w:rsidR="002D7080" w:rsidRPr="004D1E6F" w:rsidRDefault="002D7080" w:rsidP="00C35336">
            <w:pPr>
              <w:spacing w:after="0"/>
              <w:jc w:val="both"/>
              <w:rPr>
                <w:rFonts w:ascii="Times New Roman" w:eastAsia="Times New Roman" w:hAnsi="Times New Roman" w:cs="Times New Roman"/>
                <w:sz w:val="20"/>
                <w:szCs w:val="20"/>
                <w:u w:val="single"/>
                <w:lang w:eastAsia="en-ZA"/>
              </w:rPr>
            </w:pPr>
            <w:r w:rsidRPr="004D1E6F">
              <w:rPr>
                <w:rFonts w:ascii="Times New Roman" w:eastAsia="Times New Roman" w:hAnsi="Times New Roman" w:cs="Times New Roman"/>
                <w:sz w:val="20"/>
                <w:szCs w:val="20"/>
                <w:u w:val="single"/>
                <w:lang w:eastAsia="en-ZA"/>
              </w:rPr>
              <w:t>Health; Minor (MN); Confidence: Medium</w:t>
            </w:r>
          </w:p>
          <w:p w14:paraId="54EDFFC9" w14:textId="77777777" w:rsidR="002D7080" w:rsidRPr="004D1E6F" w:rsidRDefault="002D7080" w:rsidP="00C35336">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can bio-accumulate toxins and metals from the environment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"10.1016/j.biocon.2011.07.020", "author" : [ { "dropping-particle" : "", "family" : "Gherardi", "given" : "Francesca", "non-dropping-particle" : "", "parse-names" : false, "suffix" : "" }, { "dropping-particle" : "", "family" : "Britton", "given" : "J Robert", "non-dropping-particle" : "", "parse-names" : false, "suffix" : "" }, { "dropping-particle" : "", "family" : "Mavuti", "given" : "Kenneth M", "non-dropping-particle" : "", "parse-names" : false, "suffix" : "" }, { "dropping-particle" : "", "family" : "Pacini", "given" : "Nic", "non-dropping-particle" : "", "parse-names" : false, "suffix" : "" }, { "dropping-particle" : "", "family" : "Grey", "given" : "Jonathan", "non-dropping-particle" : "", "parse-names" : false, "suffix" : "" }, { "dropping-particle" : "", "family" : "Tricarico", "given" : "Elena", "non-dropping-particle" : "", "parse-names" : false, "suffix" : "" }, { "dropping-particle" : "", "family" : "Harper", "given" : "David M", "non-dropping-particle" : "", "parse-names" : false, "suffix" : "" } ], "id" : "ITEM-1", "issued" : { "date-parts" : [ [ "2011" ] ] }, "page" : "2585-2596", "publisher" : "Elsevier Ltd", "title" : "A review of allodiversity in Lake Naivasha , Kenya : Developing conservation actions to protect East African lakes from the negative impacts of alien species", "type" : "article-journal", "volume" : "144" }, "uris" : [ "http://www.mendeley.com/documents/?uuid=05c95c37-42e0-4b2c-a818-0f1c7fd1a239" ] }, { "id" : "ITEM-2", "itemData" : { "author" : [ { "dropping-particle" : "", "family" : "Souty-grosset", "given" : "Catherine", "non-dropping-particle" : "", "parse-names" : false, "suffix" : "" }, { "dropping-particle" : "", "family" : "Manuel", "given" : "Pedro", "non-dropping-particle" : "", "parse-names" : false, "s</w:instrText>
            </w:r>
            <w:r w:rsidRPr="00654623">
              <w:rPr>
                <w:rFonts w:ascii="Times New Roman" w:eastAsia="Times New Roman" w:hAnsi="Times New Roman" w:cs="Times New Roman"/>
                <w:color w:val="000000"/>
                <w:sz w:val="20"/>
                <w:szCs w:val="20"/>
                <w:lang w:val="fr-FR" w:eastAsia="en-ZA"/>
              </w:rPr>
              <w:instrText>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"(Gherardi et al. 2011, Souty-grosset et al. 2016)", "plainTextFormattedCitation" : "(Gherardi et al. 2011, Souty-grosset et al. 2016)", "previouslyFormattedCitation" : "(Gherardi et al. 2011,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654623">
              <w:rPr>
                <w:rFonts w:ascii="Times New Roman" w:eastAsia="Times New Roman" w:hAnsi="Times New Roman" w:cs="Times New Roman"/>
                <w:color w:val="000000"/>
                <w:sz w:val="20"/>
                <w:szCs w:val="20"/>
                <w:lang w:val="fr-FR" w:eastAsia="en-ZA"/>
              </w:rPr>
              <w:t>(Gherardi et al. 2011; Alcorlo et al. 2016; Souty-Grosset et al. 2016)</w:t>
            </w:r>
            <w:r w:rsidRPr="004D1E6F">
              <w:rPr>
                <w:rFonts w:ascii="Times New Roman" w:eastAsia="Times New Roman" w:hAnsi="Times New Roman" w:cs="Times New Roman"/>
                <w:color w:val="000000"/>
                <w:sz w:val="20"/>
                <w:szCs w:val="20"/>
                <w:lang w:eastAsia="en-ZA"/>
              </w:rPr>
              <w:fldChar w:fldCharType="end"/>
            </w:r>
            <w:r w:rsidRPr="00654623">
              <w:rPr>
                <w:rFonts w:ascii="Times New Roman" w:eastAsia="Times New Roman" w:hAnsi="Times New Roman" w:cs="Times New Roman"/>
                <w:color w:val="000000"/>
                <w:sz w:val="20"/>
                <w:szCs w:val="20"/>
                <w:lang w:val="fr-FR" w:eastAsia="en-ZA"/>
              </w:rPr>
              <w:t xml:space="preserve">. </w:t>
            </w:r>
            <w:r w:rsidRPr="004D1E6F">
              <w:rPr>
                <w:rFonts w:ascii="Times New Roman" w:eastAsia="Times New Roman" w:hAnsi="Times New Roman" w:cs="Times New Roman"/>
                <w:color w:val="000000"/>
                <w:sz w:val="20"/>
                <w:szCs w:val="20"/>
                <w:lang w:eastAsia="en-ZA"/>
              </w:rPr>
              <w:t xml:space="preserve">These pollutants are often harmful and can be transferred to higher food web levels through the consumption of affected crayfish by humans and predators such as otters, birds, and fish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"http://www.mendeley.com/documents/?uuid=9c72c438-e7a8-4248-b05a-2e8f1c12e544" ] }, { "id" : "ITEM-2", "itemData" : { "DOI" : "10.1016/j.biocon.2011.07.020", "author" : [ { "dropping-particle" : "", "family" : "Gherardi", "given" : "Francesca", "non-dropping-particle" : "", "parse-names" : false, "suffix" : "" }, { "dropping-particle" : "", "family" : "Britton", "given" : "J Robert", "non-dropping-particle" : "", "parse-names" : false, "suffix" : "" }, { "dropping-particle" : "", "family" : "Mavuti", "given" : "Kenneth M", "non-dropping-particle" : "", "parse-names" : false, "suffix" : "" }, { "dropping-particle" : "", "family" : "Pacini", "given" : "Nic", "non-dropping-particle" : "", "parse-names" : false, "suffix" : "" }, { "dropping-particle" : "", "family" : "Grey", "given" : "Jonathan", "non-dropping-particle" : "", "parse-names" : false, "suffix" : "" }, { "dropping-particle" : "", "family" : "Tricarico", "given" : "Elena", "non-dropping-particle" : "", "parse-names" : false, "suffix" : "" }, { "dropping-particle" : "", "family" : "Harper", "given" : "David M", "non-dropping-particle" : "", "parse-names" : false, "suffix" : "" } ], "id" : "ITEM-2", "issued" : { "date-parts" : [ [ "2011" ] ] }, "page" : "2585-2596", "publisher" : "Elsevier Ltd", "title" : "A review of allodiversity in Lake Naivasha , Kenya : Developing conservation actions to protect East African lakes from the negative impacts of alien species", "type" : "article-journal", "volume" : "144" }, "uris" : [ "http://www.mendeley.com/documents/?uuid=05c95c37-42e0-4b2c-a818-0f1c7fd1a239" ] } ], "mendeley" : { "formattedCitation" : "(Gherardi et al. 2011, Lodge et al. 2012)", "plainTextFormattedCitation" : "(Gherardi et al. 2011, Lodge et al. 2012)", "previouslyFormattedCitation" : "(Gherardi et al. 2011,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(Anda et al. 2001; Gherardi et al. 2011;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w:t>
            </w:r>
          </w:p>
          <w:p w14:paraId="497AAD9E" w14:textId="77777777" w:rsidR="002D7080" w:rsidRDefault="002D7080" w:rsidP="00C35336">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lastRenderedPageBreak/>
              <w:t>Procambarus clarkii</w:t>
            </w:r>
            <w:r w:rsidRPr="004D1E6F">
              <w:rPr>
                <w:rFonts w:ascii="Times New Roman" w:eastAsia="Times New Roman" w:hAnsi="Times New Roman" w:cs="Times New Roman"/>
                <w:color w:val="000000"/>
                <w:sz w:val="20"/>
                <w:szCs w:val="20"/>
                <w:lang w:eastAsia="en-ZA"/>
              </w:rPr>
              <w:t xml:space="preserve"> serves </w:t>
            </w:r>
            <w:r w:rsidRPr="004D1E6F">
              <w:rPr>
                <w:rFonts w:ascii="Times New Roman" w:eastAsia="Calibri" w:hAnsi="Times New Roman" w:cs="Times New Roman"/>
                <w:sz w:val="20"/>
                <w:szCs w:val="20"/>
              </w:rPr>
              <w:t>as vector for several parasites and diseases some of which are zoonotic, for example the parasitic fluke flatworms (</w:t>
            </w:r>
            <w:r w:rsidRPr="004D1E6F">
              <w:rPr>
                <w:rFonts w:ascii="Times New Roman" w:eastAsia="Calibri" w:hAnsi="Times New Roman" w:cs="Times New Roman"/>
                <w:i/>
                <w:sz w:val="20"/>
                <w:szCs w:val="20"/>
              </w:rPr>
              <w:t>Paragonimus</w:t>
            </w:r>
            <w:r w:rsidRPr="004D1E6F">
              <w:rPr>
                <w:rFonts w:ascii="Times New Roman" w:eastAsia="Calibri" w:hAnsi="Times New Roman" w:cs="Times New Roman"/>
                <w:sz w:val="20"/>
                <w:szCs w:val="20"/>
              </w:rPr>
              <w:t xml:space="preserve"> spp.) that causes lung fluke disease in humans, tularemia-causing bacterium </w:t>
            </w:r>
            <w:r w:rsidRPr="004D1E6F">
              <w:rPr>
                <w:rFonts w:ascii="Times New Roman" w:eastAsia="Calibri" w:hAnsi="Times New Roman" w:cs="Times New Roman"/>
                <w:i/>
                <w:sz w:val="20"/>
                <w:szCs w:val="20"/>
              </w:rPr>
              <w:t>Francisella tularensis</w:t>
            </w:r>
            <w:r w:rsidRPr="004D1E6F">
              <w:rPr>
                <w:rFonts w:ascii="Times New Roman" w:eastAsia="Calibri" w:hAnsi="Times New Roman" w:cs="Times New Roman"/>
                <w:sz w:val="20"/>
                <w:szCs w:val="20"/>
              </w:rPr>
              <w:t xml:space="preserve">, rat lungworm </w:t>
            </w:r>
            <w:r w:rsidRPr="004D1E6F">
              <w:rPr>
                <w:rFonts w:ascii="Times New Roman" w:eastAsia="Calibri" w:hAnsi="Times New Roman" w:cs="Times New Roman"/>
                <w:i/>
                <w:sz w:val="20"/>
                <w:szCs w:val="20"/>
              </w:rPr>
              <w:t>Angiostrongylus cantonensis</w:t>
            </w:r>
            <w:r w:rsidRPr="004D1E6F">
              <w:rPr>
                <w:rFonts w:ascii="Times New Roman" w:eastAsia="Calibri" w:hAnsi="Times New Roman" w:cs="Times New Roman"/>
                <w:sz w:val="20"/>
                <w:szCs w:val="20"/>
              </w:rPr>
              <w:t xml:space="preserve"> that causes meningitis, and the nematode </w:t>
            </w:r>
            <w:r w:rsidRPr="004D1E6F">
              <w:rPr>
                <w:rFonts w:ascii="Times New Roman" w:eastAsia="Calibri" w:hAnsi="Times New Roman" w:cs="Times New Roman"/>
                <w:i/>
                <w:sz w:val="20"/>
                <w:szCs w:val="20"/>
              </w:rPr>
              <w:t>Gnathostoma spinigerum</w:t>
            </w:r>
            <w:r w:rsidRPr="004D1E6F">
              <w:rPr>
                <w:rFonts w:ascii="Times New Roman" w:eastAsia="Calibri" w:hAnsi="Times New Roman" w:cs="Times New Roman"/>
                <w:sz w:val="20"/>
                <w:szCs w:val="20"/>
              </w:rPr>
              <w:t xml:space="preserve"> that causes human gnathostomiasis </w:t>
            </w:r>
            <w:r w:rsidRPr="004D1E6F">
              <w:rPr>
                <w:rFonts w:ascii="Times New Roman" w:eastAsia="Calibri" w:hAnsi="Times New Roman" w:cs="Times New Roman"/>
                <w:sz w:val="20"/>
                <w:szCs w:val="20"/>
              </w:rPr>
              <w:fldChar w:fldCharType="begin" w:fldLock="1"/>
            </w:r>
            <w:r w:rsidRPr="004D1E6F">
              <w:rPr>
                <w:rFonts w:ascii="Times New Roman" w:eastAsia="Calibri" w:hAnsi="Times New Roman" w:cs="Times New Roman"/>
                <w:sz w:val="20"/>
                <w:szCs w:val="20"/>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"author" : [ { "dropping-particle" : "", "family" : "Souty-grosset", "given" : "Catherine", "non-dropping-particle" : "", "parse-names" : false, "suffix" : "" }, { "dropping-particle" : "", "family" : "Manuel", "given" : "Pedro", "non-dropping-particle" : "", "parse-names" : false, "suffix" : "" }, { "dropping-particle" : "", "family" : "Aquilo</w:instrText>
            </w:r>
            <w:r w:rsidRPr="00654623">
              <w:rPr>
                <w:rFonts w:ascii="Times New Roman" w:eastAsia="Calibri" w:hAnsi="Times New Roman" w:cs="Times New Roman"/>
                <w:sz w:val="20"/>
                <w:szCs w:val="20"/>
                <w:lang w:val="fr-FR"/>
              </w:rPr>
              <w:instrText>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"(de Moor 2002, Souty-grosset et al. 2016)", "manualFormatting" : "(de Moor 2002, Souty-grosset et al. 2016, Putra et al. 2017)", "plainTextFormattedCitation" : "(de Moor 2002, Souty-grosset et al. 2016)", "previouslyFormattedCitation" : "(de Moor 2002, Souty-grosset et al. 2016)" }, "properties" : { "noteIndex" : 0 }, "schema" : "https://github.com/citation-style-language/schema/raw/master/csl-citation.json" }</w:instrText>
            </w:r>
            <w:r w:rsidRPr="004D1E6F">
              <w:rPr>
                <w:rFonts w:ascii="Times New Roman" w:eastAsia="Calibri" w:hAnsi="Times New Roman" w:cs="Times New Roman"/>
                <w:sz w:val="20"/>
                <w:szCs w:val="20"/>
              </w:rPr>
              <w:fldChar w:fldCharType="separate"/>
            </w:r>
            <w:r w:rsidRPr="00654623">
              <w:rPr>
                <w:rFonts w:ascii="Times New Roman" w:eastAsia="Calibri" w:hAnsi="Times New Roman" w:cs="Times New Roman"/>
                <w:sz w:val="20"/>
                <w:szCs w:val="20"/>
                <w:lang w:val="fr-FR"/>
              </w:rPr>
              <w:t>(Edgerton et al. 2002; Lane et al 2009; Souty-Grosset et al. 2016)</w:t>
            </w:r>
            <w:r w:rsidRPr="004D1E6F">
              <w:rPr>
                <w:rFonts w:ascii="Times New Roman" w:eastAsia="Calibri" w:hAnsi="Times New Roman" w:cs="Times New Roman"/>
                <w:sz w:val="20"/>
                <w:szCs w:val="20"/>
              </w:rPr>
              <w:fldChar w:fldCharType="end"/>
            </w:r>
            <w:r w:rsidRPr="004D1E6F">
              <w:rPr>
                <w:rFonts w:ascii="Times New Roman" w:eastAsia="Calibri" w:hAnsi="Times New Roman" w:cs="Times New Roman"/>
                <w:sz w:val="20"/>
                <w:szCs w:val="20"/>
              </w:rPr>
              <w:fldChar w:fldCharType="begin" w:fldLock="1"/>
            </w:r>
            <w:r w:rsidRPr="00654623">
              <w:rPr>
                <w:rFonts w:ascii="Times New Roman" w:eastAsia="Calibri" w:hAnsi="Times New Roman" w:cs="Times New Roman"/>
                <w:sz w:val="20"/>
                <w:szCs w:val="20"/>
                <w:lang w:val="fr-FR"/>
              </w:rPr>
              <w:instrText xml:space="preserve">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"author" : [ { "dropping-particle" : "", "family" : "Souty-grosset", "given" : "Catherine", "non-dropping-particle" : "", </w:instrText>
            </w:r>
            <w:r w:rsidRPr="004D1E6F">
              <w:rPr>
                <w:rFonts w:ascii="Times New Roman" w:eastAsia="Calibri" w:hAnsi="Times New Roman" w:cs="Times New Roman"/>
                <w:sz w:val="20"/>
                <w:szCs w:val="20"/>
              </w:rPr>
              <w:instrText>"parse-names"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"(de Moor 2002, Souty-grosset et al. 2016)", "manualFormatting" : "(de Moor 2002, Souty-grosset et al. 2016, Putra et al. 2017)", "plainTextFormattedCitation" : "(de Moor 2002, Souty-grosset et al. 2016)", "previouslyFormattedCitation" : "(de Moor 2002, Souty-grosset et al. 2016)" }, "properties" : { "noteIndex" : 0 }, "schema" : "https://github.com/citation-style-language/schema/raw/master/csl-citation.json" }</w:instrText>
            </w:r>
            <w:r w:rsidRPr="004D1E6F">
              <w:rPr>
                <w:rFonts w:ascii="Times New Roman" w:eastAsia="Calibri" w:hAnsi="Times New Roman" w:cs="Times New Roman"/>
                <w:sz w:val="20"/>
                <w:szCs w:val="20"/>
              </w:rPr>
              <w:fldChar w:fldCharType="end"/>
            </w:r>
            <w:r w:rsidRPr="004D1E6F">
              <w:rPr>
                <w:rFonts w:ascii="Times New Roman" w:eastAsia="Times New Roman" w:hAnsi="Times New Roman" w:cs="Times New Roman"/>
                <w:color w:val="000000"/>
                <w:sz w:val="20"/>
                <w:szCs w:val="20"/>
                <w:lang w:eastAsia="en-ZA"/>
              </w:rPr>
              <w:t>.</w:t>
            </w:r>
          </w:p>
          <w:p w14:paraId="0800F4C7" w14:textId="77777777" w:rsidR="00C35336" w:rsidRPr="004D1E6F" w:rsidRDefault="00C35336" w:rsidP="00C35336">
            <w:pPr>
              <w:spacing w:after="0"/>
              <w:jc w:val="both"/>
              <w:rPr>
                <w:rFonts w:ascii="Times New Roman" w:eastAsia="Times New Roman" w:hAnsi="Times New Roman" w:cs="Times New Roman"/>
                <w:sz w:val="20"/>
                <w:szCs w:val="20"/>
                <w:lang w:eastAsia="en-ZA"/>
              </w:rPr>
            </w:pPr>
          </w:p>
          <w:p w14:paraId="026359F3" w14:textId="77777777" w:rsidR="002D7080" w:rsidRPr="004D1E6F" w:rsidRDefault="002D7080" w:rsidP="00C35336">
            <w:pPr>
              <w:spacing w:after="0"/>
              <w:jc w:val="both"/>
              <w:rPr>
                <w:rFonts w:ascii="Times New Roman" w:eastAsia="Times New Roman" w:hAnsi="Times New Roman" w:cs="Times New Roman"/>
                <w:sz w:val="20"/>
                <w:szCs w:val="20"/>
                <w:u w:val="single"/>
                <w:lang w:eastAsia="en-ZA"/>
              </w:rPr>
            </w:pPr>
            <w:r w:rsidRPr="004D1E6F">
              <w:rPr>
                <w:rFonts w:ascii="Times New Roman" w:eastAsia="Times New Roman" w:hAnsi="Times New Roman" w:cs="Times New Roman"/>
                <w:sz w:val="20"/>
                <w:szCs w:val="20"/>
                <w:u w:val="single"/>
                <w:lang w:eastAsia="en-ZA"/>
              </w:rPr>
              <w:t>Social, spiritual and cultural relations; Moderate (MO); Confidence: Medium</w:t>
            </w:r>
          </w:p>
          <w:p w14:paraId="387E60B2" w14:textId="77777777" w:rsidR="002D7080" w:rsidRPr="004D1E6F" w:rsidRDefault="002D7080" w:rsidP="00C35336">
            <w:pPr>
              <w:spacing w:after="0"/>
              <w:jc w:val="both"/>
              <w:rPr>
                <w:rFonts w:ascii="Times New Roman" w:eastAsia="Calibri" w:hAnsi="Times New Roman" w:cs="Times New Roman"/>
                <w:sz w:val="20"/>
                <w:szCs w:val="20"/>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Calibri" w:hAnsi="Times New Roman" w:cs="Times New Roman"/>
                <w:sz w:val="20"/>
                <w:szCs w:val="20"/>
              </w:rPr>
              <w:t xml:space="preserve">In the absence of evidence of impact of </w:t>
            </w:r>
            <w:r w:rsidRPr="004D1E6F">
              <w:rPr>
                <w:rFonts w:ascii="Times New Roman" w:eastAsia="Calibri" w:hAnsi="Times New Roman" w:cs="Times New Roman"/>
                <w:i/>
                <w:iCs/>
                <w:sz w:val="20"/>
                <w:szCs w:val="20"/>
              </w:rPr>
              <w:t xml:space="preserve">Cherax </w:t>
            </w:r>
            <w:r w:rsidRPr="004D1E6F">
              <w:rPr>
                <w:rFonts w:ascii="Times New Roman" w:eastAsia="Calibri" w:hAnsi="Times New Roman" w:cs="Times New Roman"/>
                <w:sz w:val="20"/>
                <w:szCs w:val="20"/>
              </w:rPr>
              <w:t xml:space="preserve">species in its global introduced range, potential impacts of </w:t>
            </w:r>
            <w:r w:rsidRPr="004D1E6F">
              <w:rPr>
                <w:rFonts w:ascii="Times New Roman" w:eastAsia="Calibri" w:hAnsi="Times New Roman" w:cs="Times New Roman"/>
                <w:i/>
                <w:iCs/>
                <w:sz w:val="20"/>
                <w:szCs w:val="20"/>
              </w:rPr>
              <w:t xml:space="preserve">C. </w:t>
            </w:r>
            <w:r w:rsidRPr="004D1E6F">
              <w:rPr>
                <w:rFonts w:ascii="Times New Roman" w:eastAsia="Arial" w:hAnsi="Times New Roman" w:cs="Times New Roman"/>
                <w:i/>
                <w:sz w:val="20"/>
                <w:szCs w:val="20"/>
              </w:rPr>
              <w:t>tenuimanus</w:t>
            </w:r>
            <w:r w:rsidRPr="004D1E6F">
              <w:rPr>
                <w:rFonts w:ascii="Times New Roman" w:eastAsia="Calibri" w:hAnsi="Times New Roman" w:cs="Times New Roman"/>
                <w:sz w:val="20"/>
                <w:szCs w:val="20"/>
              </w:rPr>
              <w:t xml:space="preserve"> were inferred from </w:t>
            </w:r>
            <w:r w:rsidRPr="004D1E6F">
              <w:rPr>
                <w:rFonts w:ascii="Times New Roman" w:eastAsia="Calibri" w:hAnsi="Times New Roman" w:cs="Times New Roman"/>
                <w:i/>
                <w:iCs/>
                <w:sz w:val="20"/>
                <w:szCs w:val="20"/>
              </w:rPr>
              <w:t xml:space="preserve">Procambarus clarkii </w:t>
            </w:r>
            <w:r w:rsidRPr="004D1E6F">
              <w:rPr>
                <w:rFonts w:ascii="Times New Roman" w:eastAsia="Calibri" w:hAnsi="Times New Roman" w:cs="Times New Roman"/>
                <w:sz w:val="20"/>
                <w:szCs w:val="20"/>
              </w:rPr>
              <w:t>(a crayfish with similar traits and with documented evidence of impact in its introduction range).</w:t>
            </w:r>
          </w:p>
          <w:p w14:paraId="635066F4" w14:textId="77777777" w:rsidR="002D7080" w:rsidRPr="004D1E6F" w:rsidRDefault="002D7080" w:rsidP="00C35336">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In its invaded range </w:t>
            </w:r>
            <w:r w:rsidRPr="004D1E6F">
              <w:rPr>
                <w:rFonts w:ascii="Times New Roman" w:eastAsia="Times New Roman" w:hAnsi="Times New Roman" w:cs="Times New Roman"/>
                <w:i/>
                <w:sz w:val="20"/>
                <w:szCs w:val="20"/>
                <w:lang w:eastAsia="en-ZA"/>
              </w:rPr>
              <w:t>P.clarkii</w:t>
            </w:r>
            <w:r w:rsidRPr="004D1E6F">
              <w:rPr>
                <w:rFonts w:ascii="Times New Roman" w:eastAsia="Times New Roman" w:hAnsi="Times New Roman" w:cs="Times New Roman"/>
                <w:sz w:val="20"/>
                <w:szCs w:val="20"/>
                <w:lang w:eastAsia="en-ZA"/>
              </w:rPr>
              <w:t xml:space="preserve"> had caused harmful impacts in agricultural fields (Anastácio et al. 2005) and has disrupted some recreational activities leading to economic loss (Gherardi et al. 2011).</w:t>
            </w:r>
          </w:p>
        </w:tc>
      </w:tr>
      <w:tr w:rsidR="002D7080" w:rsidRPr="004D1E6F" w14:paraId="6B098CB9" w14:textId="77777777" w:rsidTr="002E2C37">
        <w:trPr>
          <w:trHeight w:val="70"/>
        </w:trPr>
        <w:tc>
          <w:tcPr>
            <w:tcW w:w="9008" w:type="dxa"/>
            <w:gridSpan w:val="2"/>
          </w:tcPr>
          <w:p w14:paraId="43FA38CD" w14:textId="77777777" w:rsidR="002D7080" w:rsidRPr="004D1E6F" w:rsidRDefault="002D7080" w:rsidP="002E2C37">
            <w:pPr>
              <w:spacing w:after="0" w:line="240" w:lineRule="auto"/>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7161E1C4" w14:textId="696679CF" w:rsidR="002D7080" w:rsidRPr="004D1E6F" w:rsidRDefault="002D7080" w:rsidP="00663569">
            <w:pPr>
              <w:autoSpaceDE w:val="0"/>
              <w:autoSpaceDN w:val="0"/>
              <w:adjustRightInd w:val="0"/>
              <w:spacing w:after="0"/>
              <w:ind w:left="720" w:hanging="720"/>
              <w:jc w:val="both"/>
              <w:rPr>
                <w:rFonts w:ascii="Times New Roman" w:eastAsia="Calibri" w:hAnsi="Times New Roman" w:cs="Times New Roman"/>
                <w:sz w:val="20"/>
                <w:szCs w:val="20"/>
              </w:rPr>
            </w:pPr>
            <w:bookmarkStart w:id="4" w:name="_Hlk213588834"/>
            <w:r w:rsidRPr="004D1E6F">
              <w:rPr>
                <w:rFonts w:ascii="Times New Roman" w:eastAsia="Calibri" w:hAnsi="Times New Roman" w:cs="Times New Roman"/>
                <w:sz w:val="20"/>
                <w:szCs w:val="20"/>
              </w:rPr>
              <w:t>Alcorlo, P., Otero, M., Crehuet, M., Baltanás, A. &amp; Montes, C., 2006, ‘The use of the red swamp crayfish (</w:t>
            </w:r>
            <w:r w:rsidRPr="004D1E6F">
              <w:rPr>
                <w:rFonts w:ascii="Times New Roman" w:eastAsia="Calibri" w:hAnsi="Times New Roman" w:cs="Times New Roman"/>
                <w:i/>
                <w:iCs/>
                <w:sz w:val="20"/>
                <w:szCs w:val="20"/>
              </w:rPr>
              <w:t xml:space="preserve">Procambarus clarkii </w:t>
            </w:r>
            <w:r w:rsidRPr="004D1E6F">
              <w:rPr>
                <w:rFonts w:ascii="Times New Roman" w:eastAsia="Calibri" w:hAnsi="Times New Roman" w:cs="Times New Roman"/>
                <w:sz w:val="20"/>
                <w:szCs w:val="20"/>
              </w:rPr>
              <w:t xml:space="preserve">Girard) as indicator of the bioavailability of heavy metals in environmental monitoring in the River Guadiamar (SW Spain)’, </w:t>
            </w:r>
            <w:r w:rsidRPr="004D1E6F">
              <w:rPr>
                <w:rFonts w:ascii="Times New Roman" w:eastAsia="Calibri" w:hAnsi="Times New Roman" w:cs="Times New Roman"/>
                <w:i/>
                <w:iCs/>
                <w:sz w:val="20"/>
                <w:szCs w:val="20"/>
              </w:rPr>
              <w:t xml:space="preserve">Science of the Total Environment </w:t>
            </w:r>
            <w:r w:rsidRPr="004D1E6F">
              <w:rPr>
                <w:rFonts w:ascii="Times New Roman" w:eastAsia="Calibri" w:hAnsi="Times New Roman" w:cs="Times New Roman"/>
                <w:sz w:val="20"/>
                <w:szCs w:val="20"/>
              </w:rPr>
              <w:t>366, 380</w:t>
            </w:r>
            <w:r w:rsidR="00E975C4">
              <w:rPr>
                <w:rFonts w:ascii="Times New Roman" w:eastAsia="Calibri" w:hAnsi="Times New Roman" w:cs="Times New Roman"/>
                <w:sz w:val="20"/>
                <w:szCs w:val="20"/>
              </w:rPr>
              <w:t>–</w:t>
            </w:r>
            <w:r w:rsidRPr="004D1E6F">
              <w:rPr>
                <w:rFonts w:ascii="Times New Roman" w:eastAsia="Calibri" w:hAnsi="Times New Roman" w:cs="Times New Roman"/>
                <w:sz w:val="20"/>
                <w:szCs w:val="20"/>
              </w:rPr>
              <w:t>390</w:t>
            </w:r>
            <w:r w:rsidR="00E975C4">
              <w:rPr>
                <w:rFonts w:ascii="Times New Roman" w:eastAsia="Calibri" w:hAnsi="Times New Roman" w:cs="Times New Roman"/>
                <w:sz w:val="20"/>
                <w:szCs w:val="20"/>
              </w:rPr>
              <w:t>,</w:t>
            </w:r>
            <w:r w:rsidR="00E975C4" w:rsidRPr="00E975C4">
              <w:rPr>
                <w:kern w:val="2"/>
                <w14:ligatures w14:val="standardContextual"/>
              </w:rPr>
              <w:t xml:space="preserve"> </w:t>
            </w:r>
            <w:hyperlink r:id="rId43" w:history="1">
              <w:r w:rsidR="00E975C4" w:rsidRPr="00F215B9">
                <w:rPr>
                  <w:rStyle w:val="Hyperlink"/>
                  <w:rFonts w:ascii="Times New Roman" w:eastAsia="Calibri" w:hAnsi="Times New Roman" w:cs="Times New Roman"/>
                  <w:sz w:val="20"/>
                  <w:szCs w:val="20"/>
                </w:rPr>
                <w:t>https://doi.org/10.1016/j.scitotenv.2006.02.023</w:t>
              </w:r>
            </w:hyperlink>
            <w:r w:rsidR="00E975C4">
              <w:rPr>
                <w:rFonts w:ascii="Times New Roman" w:eastAsia="Calibri" w:hAnsi="Times New Roman" w:cs="Times New Roman"/>
                <w:sz w:val="20"/>
                <w:szCs w:val="20"/>
              </w:rPr>
              <w:t xml:space="preserve">. </w:t>
            </w:r>
          </w:p>
          <w:p w14:paraId="531F1F7A" w14:textId="326B758C" w:rsidR="002D7080" w:rsidRPr="004D1E6F"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Anastácio, P.M., Correia, A.M. &amp; Menino, J.P., 2005, ‘Processes and patterns of plant destruction by crayfish: effects of crayfish size and developmental stages of rice’, </w:t>
            </w:r>
            <w:r w:rsidRPr="004D1E6F">
              <w:rPr>
                <w:rFonts w:ascii="Times New Roman" w:eastAsia="Calibri" w:hAnsi="Times New Roman" w:cs="Times New Roman"/>
                <w:i/>
                <w:sz w:val="20"/>
                <w:szCs w:val="20"/>
              </w:rPr>
              <w:t xml:space="preserve">Archiv für Hydrobiologie </w:t>
            </w:r>
            <w:r w:rsidRPr="004D1E6F">
              <w:rPr>
                <w:rFonts w:ascii="Times New Roman" w:eastAsia="Calibri" w:hAnsi="Times New Roman" w:cs="Times New Roman"/>
                <w:sz w:val="20"/>
                <w:szCs w:val="20"/>
              </w:rPr>
              <w:t>162, 37-51</w:t>
            </w:r>
            <w:r w:rsidR="00E975C4">
              <w:rPr>
                <w:rFonts w:ascii="Times New Roman" w:eastAsia="Calibri" w:hAnsi="Times New Roman" w:cs="Times New Roman"/>
                <w:sz w:val="20"/>
                <w:szCs w:val="20"/>
              </w:rPr>
              <w:t>,</w:t>
            </w:r>
            <w:r w:rsidR="00E975C4" w:rsidRPr="00E975C4">
              <w:rPr>
                <w:rFonts w:ascii="Times New Roman" w:hAnsi="Times New Roman" w:cs="Times New Roman"/>
                <w:sz w:val="24"/>
                <w:szCs w:val="24"/>
                <w14:ligatures w14:val="standardContextual"/>
              </w:rPr>
              <w:t xml:space="preserve"> </w:t>
            </w:r>
            <w:r w:rsidR="00E975C4" w:rsidRPr="00E975C4">
              <w:rPr>
                <w:rFonts w:ascii="Times New Roman" w:eastAsia="Calibri" w:hAnsi="Times New Roman" w:cs="Times New Roman"/>
                <w:sz w:val="20"/>
                <w:szCs w:val="20"/>
              </w:rPr>
              <w:t>https://doi.org/10.1127/0003-9136/2005/0162-0037</w:t>
            </w:r>
            <w:r w:rsidRPr="004D1E6F">
              <w:rPr>
                <w:rFonts w:ascii="Times New Roman" w:eastAsia="Calibri" w:hAnsi="Times New Roman" w:cs="Times New Roman"/>
                <w:sz w:val="20"/>
                <w:szCs w:val="20"/>
              </w:rPr>
              <w:t xml:space="preserve">. </w:t>
            </w:r>
          </w:p>
          <w:p w14:paraId="5853BFFC" w14:textId="32D4A3C3" w:rsidR="00E975C4"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Anda, P., Segura del Pozo, J., Díaz García, J.M., Escudero, R.,Garcia Pena, F.J.,Lopez Velasco, M.C., Sellek, R.E., Jimenez Chillaron, M.R., Sanchez Serrano, L.P. &amp; Martinez Navarro, J.F., 2001, ‘Waterborne outbreak of tularemia associated with crayfish fishing. </w:t>
            </w:r>
            <w:r w:rsidRPr="004D1E6F">
              <w:rPr>
                <w:rFonts w:ascii="Times New Roman" w:eastAsia="Calibri" w:hAnsi="Times New Roman" w:cs="Times New Roman"/>
                <w:i/>
                <w:iCs/>
                <w:sz w:val="20"/>
                <w:szCs w:val="20"/>
              </w:rPr>
              <w:t xml:space="preserve">Emerging Infectious Diseases </w:t>
            </w:r>
            <w:r w:rsidRPr="004D1E6F">
              <w:rPr>
                <w:rFonts w:ascii="Times New Roman" w:eastAsia="Calibri" w:hAnsi="Times New Roman" w:cs="Times New Roman"/>
                <w:b/>
                <w:sz w:val="20"/>
                <w:szCs w:val="20"/>
              </w:rPr>
              <w:t>7</w:t>
            </w:r>
            <w:r w:rsidRPr="004D1E6F">
              <w:rPr>
                <w:rFonts w:ascii="Times New Roman" w:eastAsia="Calibri" w:hAnsi="Times New Roman" w:cs="Times New Roman"/>
                <w:sz w:val="20"/>
                <w:szCs w:val="20"/>
              </w:rPr>
              <w:t>, 575</w:t>
            </w:r>
            <w:r w:rsidRPr="004D1E6F">
              <w:rPr>
                <w:rFonts w:ascii="Times New Roman" w:eastAsia="Times New Roman" w:hAnsi="Times New Roman" w:cs="Times New Roman"/>
                <w:color w:val="000000"/>
                <w:sz w:val="20"/>
                <w:szCs w:val="20"/>
                <w:lang w:eastAsia="en-ZA"/>
              </w:rPr>
              <w:t>–</w:t>
            </w:r>
            <w:r w:rsidRPr="004D1E6F">
              <w:rPr>
                <w:rFonts w:ascii="Times New Roman" w:eastAsia="Calibri" w:hAnsi="Times New Roman" w:cs="Times New Roman"/>
                <w:sz w:val="20"/>
                <w:szCs w:val="20"/>
              </w:rPr>
              <w:t xml:space="preserve">82¸ </w:t>
            </w:r>
            <w:hyperlink r:id="rId44" w:history="1">
              <w:r w:rsidR="00E975C4" w:rsidRPr="00E975C4">
                <w:rPr>
                  <w:rStyle w:val="Hyperlink"/>
                  <w:rFonts w:ascii="Times New Roman" w:eastAsia="Calibri" w:hAnsi="Times New Roman" w:cs="Times New Roman"/>
                  <w:sz w:val="20"/>
                  <w:szCs w:val="20"/>
                </w:rPr>
                <w:t>https://doi.org/10.3201/eid0707.010740</w:t>
              </w:r>
            </w:hyperlink>
            <w:r w:rsidR="00E975C4" w:rsidRPr="00E975C4">
              <w:rPr>
                <w:rFonts w:ascii="Times New Roman" w:eastAsia="Calibri" w:hAnsi="Times New Roman" w:cs="Times New Roman"/>
                <w:sz w:val="20"/>
                <w:szCs w:val="20"/>
              </w:rPr>
              <w:t xml:space="preserve">. </w:t>
            </w:r>
          </w:p>
          <w:p w14:paraId="7419980B" w14:textId="229B31C7" w:rsidR="002D7080" w:rsidRPr="004D1E6F"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Arce, J.A. &amp; Diéguez-Uribeondo, J., 2015, ‘Structural damage caused by the invasive crayfish </w:t>
            </w:r>
            <w:r w:rsidRPr="004D1E6F">
              <w:rPr>
                <w:rFonts w:ascii="Times New Roman" w:eastAsia="Calibri" w:hAnsi="Times New Roman" w:cs="Times New Roman"/>
                <w:i/>
                <w:sz w:val="20"/>
                <w:szCs w:val="20"/>
              </w:rPr>
              <w:t>Procambarus clarkii</w:t>
            </w:r>
            <w:r w:rsidRPr="004D1E6F">
              <w:rPr>
                <w:rFonts w:ascii="Times New Roman" w:eastAsia="Calibri" w:hAnsi="Times New Roman" w:cs="Times New Roman"/>
                <w:sz w:val="20"/>
                <w:szCs w:val="20"/>
              </w:rPr>
              <w:t xml:space="preserve"> (Girard, 1852) in rice fields of the Iberian Peninsula: A study case’, </w:t>
            </w:r>
            <w:r w:rsidRPr="004D1E6F">
              <w:rPr>
                <w:rFonts w:ascii="Times New Roman" w:eastAsia="Calibri" w:hAnsi="Times New Roman" w:cs="Times New Roman"/>
                <w:i/>
                <w:sz w:val="20"/>
                <w:szCs w:val="20"/>
              </w:rPr>
              <w:t>Fundamental and Applied Limnology</w:t>
            </w:r>
            <w:r w:rsidRPr="004D1E6F">
              <w:rPr>
                <w:rFonts w:ascii="Times New Roman" w:eastAsia="Calibri" w:hAnsi="Times New Roman" w:cs="Times New Roman"/>
                <w:sz w:val="20"/>
                <w:szCs w:val="20"/>
              </w:rPr>
              <w:t xml:space="preserve"> 186, 259-269, </w:t>
            </w:r>
            <w:hyperlink r:id="rId45" w:history="1">
              <w:r w:rsidR="00E975C4" w:rsidRPr="00E975C4">
                <w:rPr>
                  <w:rStyle w:val="Hyperlink"/>
                  <w:rFonts w:ascii="Times New Roman" w:eastAsia="Times New Roman" w:hAnsi="Times New Roman" w:cs="Times New Roman"/>
                  <w:sz w:val="20"/>
                  <w:szCs w:val="20"/>
                  <w:lang w:eastAsia="en-ZA"/>
                </w:rPr>
                <w:t>https://doi.org/10.1127/fal/2015/0715</w:t>
              </w:r>
            </w:hyperlink>
            <w:r w:rsidRPr="004D1E6F">
              <w:rPr>
                <w:rFonts w:ascii="Times New Roman" w:eastAsia="Calibri" w:hAnsi="Times New Roman" w:cs="Times New Roman"/>
                <w:sz w:val="20"/>
                <w:szCs w:val="20"/>
              </w:rPr>
              <w:t>.</w:t>
            </w:r>
          </w:p>
          <w:p w14:paraId="2C471073" w14:textId="1C3AE95F" w:rsidR="002C7FBD" w:rsidRDefault="002D7080" w:rsidP="008A0BC6">
            <w:pPr>
              <w:autoSpaceDE w:val="0"/>
              <w:autoSpaceDN w:val="0"/>
              <w:adjustRightInd w:val="0"/>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Edgerton, B.F., Evans, L.H., Stephens, F.J. &amp; Overstreet, R.M., 2002, ‘Synopsis of freshwater crayfish diseases and commensal organisms’, </w:t>
            </w:r>
            <w:r w:rsidRPr="004D1E6F">
              <w:rPr>
                <w:rFonts w:ascii="Times New Roman" w:eastAsia="Calibri" w:hAnsi="Times New Roman" w:cs="Times New Roman"/>
                <w:i/>
                <w:iCs/>
                <w:sz w:val="20"/>
                <w:szCs w:val="20"/>
              </w:rPr>
              <w:t xml:space="preserve">Aquaculture </w:t>
            </w:r>
            <w:r w:rsidRPr="004D1E6F">
              <w:rPr>
                <w:rFonts w:ascii="Times New Roman" w:eastAsia="Calibri" w:hAnsi="Times New Roman" w:cs="Times New Roman"/>
                <w:sz w:val="20"/>
                <w:szCs w:val="20"/>
              </w:rPr>
              <w:t>206, 57</w:t>
            </w:r>
            <w:r w:rsidRPr="004D1E6F">
              <w:rPr>
                <w:rFonts w:ascii="Times New Roman" w:eastAsia="Times New Roman" w:hAnsi="Times New Roman" w:cs="Times New Roman"/>
                <w:color w:val="000000"/>
                <w:sz w:val="20"/>
                <w:szCs w:val="20"/>
                <w:lang w:eastAsia="en-ZA"/>
              </w:rPr>
              <w:t>–</w:t>
            </w:r>
            <w:r w:rsidRPr="004D1E6F">
              <w:rPr>
                <w:rFonts w:ascii="Times New Roman" w:eastAsia="Calibri" w:hAnsi="Times New Roman" w:cs="Times New Roman"/>
                <w:sz w:val="20"/>
                <w:szCs w:val="20"/>
              </w:rPr>
              <w:t xml:space="preserve">135, </w:t>
            </w:r>
            <w:r w:rsidR="002C7FBD" w:rsidRPr="002C7FBD">
              <w:rPr>
                <w:rFonts w:ascii="Times New Roman" w:eastAsia="Calibri" w:hAnsi="Times New Roman" w:cs="Times New Roman"/>
                <w:sz w:val="20"/>
                <w:szCs w:val="20"/>
              </w:rPr>
              <w:t>https://doi.org/10.1016/S0044-8486(01)00865-1</w:t>
            </w:r>
            <w:r w:rsidR="002C7FBD" w:rsidRPr="002C7FBD" w:rsidDel="002C7FBD">
              <w:rPr>
                <w:rFonts w:ascii="Times New Roman" w:eastAsia="Calibri" w:hAnsi="Times New Roman" w:cs="Times New Roman"/>
                <w:sz w:val="20"/>
                <w:szCs w:val="20"/>
              </w:rPr>
              <w:t xml:space="preserve"> </w:t>
            </w:r>
          </w:p>
          <w:p w14:paraId="11F0958D" w14:textId="1B17AB52" w:rsidR="002D7080" w:rsidRPr="004D1E6F" w:rsidRDefault="002D7080" w:rsidP="00663569">
            <w:pPr>
              <w:autoSpaceDE w:val="0"/>
              <w:autoSpaceDN w:val="0"/>
              <w:adjustRightInd w:val="0"/>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Gherardi, F., Barbaresi, S., Vaselli, O. &amp; Bencini, A., 2002, ‘A comparison of trace metal accumulation in indigenous and alien freshwater macro-decapods’, </w:t>
            </w:r>
            <w:r w:rsidRPr="004D1E6F">
              <w:rPr>
                <w:rFonts w:ascii="Times New Roman" w:eastAsia="Calibri" w:hAnsi="Times New Roman" w:cs="Times New Roman"/>
                <w:i/>
                <w:iCs/>
                <w:sz w:val="20"/>
                <w:szCs w:val="20"/>
              </w:rPr>
              <w:t xml:space="preserve">Marine and Freshwater Behaviour and Physiology </w:t>
            </w:r>
            <w:r w:rsidRPr="004D1E6F">
              <w:rPr>
                <w:rFonts w:ascii="Times New Roman" w:eastAsia="Calibri" w:hAnsi="Times New Roman" w:cs="Times New Roman"/>
                <w:sz w:val="20"/>
                <w:szCs w:val="20"/>
              </w:rPr>
              <w:t>35, 179</w:t>
            </w:r>
            <w:r w:rsidRPr="004D1E6F">
              <w:rPr>
                <w:rFonts w:ascii="Times New Roman" w:eastAsia="Times New Roman" w:hAnsi="Times New Roman" w:cs="Times New Roman"/>
                <w:color w:val="000000"/>
                <w:sz w:val="20"/>
                <w:szCs w:val="20"/>
                <w:lang w:eastAsia="en-ZA"/>
              </w:rPr>
              <w:t>–</w:t>
            </w:r>
            <w:r w:rsidRPr="004D1E6F">
              <w:rPr>
                <w:rFonts w:ascii="Times New Roman" w:eastAsia="Calibri" w:hAnsi="Times New Roman" w:cs="Times New Roman"/>
                <w:sz w:val="20"/>
                <w:szCs w:val="20"/>
              </w:rPr>
              <w:t xml:space="preserve">88, </w:t>
            </w:r>
            <w:r w:rsidR="002C7FBD" w:rsidRPr="002C7FBD">
              <w:rPr>
                <w:rFonts w:ascii="Times New Roman" w:eastAsia="Calibri" w:hAnsi="Times New Roman" w:cs="Times New Roman"/>
                <w:sz w:val="20"/>
                <w:szCs w:val="20"/>
              </w:rPr>
              <w:t>https://doi.org/10.1080/1023624021000014761</w:t>
            </w:r>
            <w:r w:rsidRPr="004D1E6F">
              <w:rPr>
                <w:rFonts w:ascii="Times New Roman" w:eastAsia="Calibri" w:hAnsi="Times New Roman" w:cs="Times New Roman"/>
                <w:sz w:val="20"/>
                <w:szCs w:val="20"/>
              </w:rPr>
              <w:t>.</w:t>
            </w:r>
          </w:p>
          <w:p w14:paraId="55A60C1A" w14:textId="7614190A" w:rsidR="002D7080" w:rsidRPr="004D1E6F" w:rsidRDefault="002D7080" w:rsidP="00663569">
            <w:pPr>
              <w:autoSpaceDE w:val="0"/>
              <w:autoSpaceDN w:val="0"/>
              <w:adjustRightInd w:val="0"/>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Lane, M.A., Barsanti, M.C., Santos, C.A., Yeung, M., Lubner, S.J. &amp; Weil, G.J., 2009, ‘Human paragonimiasis in North America following ingestion of raw crayfish’, </w:t>
            </w:r>
            <w:r w:rsidRPr="004D1E6F">
              <w:rPr>
                <w:rFonts w:ascii="Times New Roman" w:eastAsia="Calibri" w:hAnsi="Times New Roman" w:cs="Times New Roman"/>
                <w:i/>
                <w:iCs/>
                <w:sz w:val="20"/>
                <w:szCs w:val="20"/>
              </w:rPr>
              <w:t xml:space="preserve">Clinical and Infectious Diseases </w:t>
            </w:r>
            <w:r w:rsidRPr="004D1E6F">
              <w:rPr>
                <w:rFonts w:ascii="Times New Roman" w:eastAsia="Calibri" w:hAnsi="Times New Roman" w:cs="Times New Roman"/>
                <w:sz w:val="20"/>
                <w:szCs w:val="20"/>
              </w:rPr>
              <w:t>49, 55–61</w:t>
            </w:r>
            <w:r w:rsidR="002C7FBD">
              <w:rPr>
                <w:rFonts w:ascii="Times New Roman" w:eastAsia="Calibri" w:hAnsi="Times New Roman" w:cs="Times New Roman"/>
                <w:sz w:val="20"/>
                <w:szCs w:val="20"/>
              </w:rPr>
              <w:t>,</w:t>
            </w:r>
            <w:r w:rsidR="002C7FBD">
              <w:t xml:space="preserve"> </w:t>
            </w:r>
            <w:r w:rsidR="002C7FBD" w:rsidRPr="002C7FBD">
              <w:rPr>
                <w:rFonts w:ascii="Times New Roman" w:eastAsia="Calibri" w:hAnsi="Times New Roman" w:cs="Times New Roman"/>
                <w:sz w:val="20"/>
                <w:szCs w:val="20"/>
              </w:rPr>
              <w:t>https://doi.org/10.1086/605534</w:t>
            </w:r>
            <w:r w:rsidRPr="004D1E6F">
              <w:rPr>
                <w:rFonts w:ascii="Times New Roman" w:eastAsia="Calibri" w:hAnsi="Times New Roman" w:cs="Times New Roman"/>
                <w:sz w:val="20"/>
                <w:szCs w:val="20"/>
              </w:rPr>
              <w:t>.</w:t>
            </w:r>
          </w:p>
          <w:p w14:paraId="5E2B1F07" w14:textId="4965290A" w:rsidR="002D7080" w:rsidRPr="004D1E6F" w:rsidRDefault="002D7080" w:rsidP="00663569">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Lodge, D.M., Deines, A., Gherardi, F., Yeo, D.C.J., Arcella, T., Baldridge, A.K., Branes, M.A., Chadderton, W.L., Feder, J.L., Grantz, C.A., Howard, G.W., Jerdde, C.L., Peters, J.A., Sargent, L.W., Turner, C.R., Wittmann, M.E. &amp; Zeng, Y., 2012, ‘Global introductions of crayfishes: Evaluating the impact of species invasions on ecosystem services’. </w:t>
            </w:r>
            <w:r w:rsidRPr="004D1E6F">
              <w:rPr>
                <w:rFonts w:ascii="Times New Roman" w:eastAsia="Calibri" w:hAnsi="Times New Roman" w:cs="Times New Roman"/>
                <w:i/>
                <w:sz w:val="20"/>
                <w:szCs w:val="20"/>
              </w:rPr>
              <w:t>Annual Review of Ecology, Evolution and Systematics</w:t>
            </w:r>
            <w:r w:rsidRPr="004D1E6F">
              <w:rPr>
                <w:rFonts w:ascii="Times New Roman" w:eastAsia="Calibri" w:hAnsi="Times New Roman" w:cs="Times New Roman"/>
                <w:sz w:val="20"/>
                <w:szCs w:val="20"/>
              </w:rPr>
              <w:t xml:space="preserve"> 43, 449-472, </w:t>
            </w:r>
            <w:r w:rsidR="002C7FBD" w:rsidRPr="002C7FBD">
              <w:rPr>
                <w:rFonts w:ascii="Times New Roman" w:eastAsia="Times New Roman" w:hAnsi="Times New Roman" w:cs="Times New Roman"/>
                <w:color w:val="000000"/>
                <w:sz w:val="20"/>
                <w:szCs w:val="20"/>
                <w:lang w:eastAsia="en-ZA"/>
              </w:rPr>
              <w:t>https://doi.org/10.1146/annurev-ecolsys-111511-103919</w:t>
            </w:r>
            <w:r w:rsidRPr="004D1E6F">
              <w:rPr>
                <w:rFonts w:ascii="Times New Roman" w:eastAsia="Calibri" w:hAnsi="Times New Roman" w:cs="Times New Roman"/>
                <w:sz w:val="20"/>
                <w:szCs w:val="20"/>
              </w:rPr>
              <w:t>.</w:t>
            </w:r>
          </w:p>
          <w:p w14:paraId="37524ABA" w14:textId="1829E6CB" w:rsidR="002D7080" w:rsidRPr="004D1E6F" w:rsidRDefault="002D7080" w:rsidP="00663569">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Calibri" w:hAnsi="Times New Roman" w:cs="Times New Roman"/>
                <w:sz w:val="20"/>
                <w:szCs w:val="20"/>
              </w:rPr>
              <w:t xml:space="preserve">Souty-Grosset, C., Anastácio, P.M., Aquiloni, L., Banha, F., Choquer, J., Chucholl, C. &amp; Tricarico, E., 2016, ‘The red swamp crayfish </w:t>
            </w:r>
            <w:r w:rsidRPr="004D1E6F">
              <w:rPr>
                <w:rFonts w:ascii="Times New Roman" w:eastAsia="Calibri" w:hAnsi="Times New Roman" w:cs="Times New Roman"/>
                <w:i/>
                <w:sz w:val="20"/>
                <w:szCs w:val="20"/>
              </w:rPr>
              <w:t>Procambarus clarkii</w:t>
            </w:r>
            <w:r w:rsidRPr="004D1E6F">
              <w:rPr>
                <w:rFonts w:ascii="Times New Roman" w:eastAsia="Calibri" w:hAnsi="Times New Roman" w:cs="Times New Roman"/>
                <w:sz w:val="20"/>
                <w:szCs w:val="20"/>
              </w:rPr>
              <w:t xml:space="preserve"> in Europe: Impacts on aquatic ecosystems and human well-being’</w:t>
            </w:r>
            <w:r w:rsidRPr="004D1E6F">
              <w:rPr>
                <w:rFonts w:ascii="Times New Roman" w:eastAsia="Calibri" w:hAnsi="Times New Roman" w:cs="Times New Roman"/>
                <w:i/>
                <w:sz w:val="20"/>
                <w:szCs w:val="20"/>
              </w:rPr>
              <w:t>, Limnologica</w:t>
            </w:r>
            <w:r w:rsidRPr="004D1E6F">
              <w:rPr>
                <w:rFonts w:ascii="Times New Roman" w:eastAsia="Calibri" w:hAnsi="Times New Roman" w:cs="Times New Roman"/>
                <w:sz w:val="20"/>
                <w:szCs w:val="20"/>
              </w:rPr>
              <w:t xml:space="preserve"> 58, 78-93, </w:t>
            </w:r>
            <w:hyperlink r:id="rId46" w:history="1">
              <w:r w:rsidR="002C7FBD" w:rsidRPr="002C7FBD">
                <w:rPr>
                  <w:rStyle w:val="Hyperlink"/>
                  <w:rFonts w:ascii="Times New Roman" w:eastAsia="Calibri" w:hAnsi="Times New Roman" w:cs="Times New Roman"/>
                  <w:sz w:val="20"/>
                  <w:szCs w:val="20"/>
                </w:rPr>
                <w:t>https://doi.org/10.1016/j.limno.2016.03.003</w:t>
              </w:r>
            </w:hyperlink>
            <w:bookmarkEnd w:id="4"/>
            <w:r w:rsidRPr="004D1E6F">
              <w:rPr>
                <w:rFonts w:ascii="Times New Roman" w:eastAsia="Calibri" w:hAnsi="Times New Roman" w:cs="Times New Roman"/>
                <w:sz w:val="20"/>
                <w:szCs w:val="20"/>
              </w:rPr>
              <w:t>.</w:t>
            </w:r>
          </w:p>
        </w:tc>
      </w:tr>
    </w:tbl>
    <w:p w14:paraId="6868762A" w14:textId="77777777" w:rsidR="002D7080" w:rsidRPr="004D1E6F" w:rsidRDefault="002D7080" w:rsidP="002D7080">
      <w:pPr>
        <w:spacing w:after="0" w:line="240" w:lineRule="auto"/>
        <w:rPr>
          <w:rFonts w:ascii="Times New Roman" w:hAnsi="Times New Roman" w:cs="Times New Roman"/>
          <w:b/>
          <w:sz w:val="20"/>
          <w:szCs w:val="20"/>
        </w:rPr>
      </w:pPr>
    </w:p>
    <w:tbl>
      <w:tblPr>
        <w:tblStyle w:val="TableGrid"/>
        <w:tblW w:w="0" w:type="auto"/>
        <w:tblLook w:val="04A0" w:firstRow="1" w:lastRow="0" w:firstColumn="1" w:lastColumn="0" w:noHBand="0" w:noVBand="1"/>
      </w:tblPr>
      <w:tblGrid>
        <w:gridCol w:w="5949"/>
        <w:gridCol w:w="3067"/>
      </w:tblGrid>
      <w:tr w:rsidR="002D7080" w:rsidRPr="004D1E6F" w14:paraId="6BEAA4A6" w14:textId="77777777" w:rsidTr="002E2C37">
        <w:trPr>
          <w:trHeight w:val="343"/>
        </w:trPr>
        <w:tc>
          <w:tcPr>
            <w:tcW w:w="9016" w:type="dxa"/>
            <w:gridSpan w:val="2"/>
            <w:shd w:val="clear" w:color="auto" w:fill="F2F2F2" w:themeFill="background1" w:themeFillShade="F2"/>
          </w:tcPr>
          <w:p w14:paraId="0A8A04E6"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CON5 Potential impact</w:t>
            </w:r>
          </w:p>
        </w:tc>
      </w:tr>
      <w:tr w:rsidR="002D7080" w:rsidRPr="004D1E6F" w14:paraId="28F6F5D6" w14:textId="77777777" w:rsidTr="002E2C37">
        <w:trPr>
          <w:trHeight w:val="172"/>
        </w:trPr>
        <w:tc>
          <w:tcPr>
            <w:tcW w:w="5949" w:type="dxa"/>
          </w:tcPr>
          <w:p w14:paraId="23BB5DE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Moderate (MO)</w:t>
            </w:r>
          </w:p>
        </w:tc>
        <w:tc>
          <w:tcPr>
            <w:tcW w:w="3067" w:type="dxa"/>
          </w:tcPr>
          <w:p w14:paraId="660D580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6B0CF998" w14:textId="77777777" w:rsidTr="002E2C37">
        <w:trPr>
          <w:trHeight w:val="70"/>
        </w:trPr>
        <w:tc>
          <w:tcPr>
            <w:tcW w:w="9016" w:type="dxa"/>
            <w:gridSpan w:val="2"/>
          </w:tcPr>
          <w:p w14:paraId="2541DECC" w14:textId="25046AA3" w:rsidR="002D7080" w:rsidRPr="004D1E6F" w:rsidRDefault="002D7080" w:rsidP="002E2C37">
            <w:pPr>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Arial" w:hAnsi="Times New Roman" w:cs="Times New Roman"/>
                <w:sz w:val="20"/>
                <w:szCs w:val="20"/>
              </w:rPr>
              <w:t xml:space="preserve">In South Africa, there are no native freshwater crayfish species, but other closely related decapods such as crabs are likely to have broad habitat and trophic overlaps </w:t>
            </w:r>
            <w:r w:rsidRPr="004D1E6F">
              <w:rPr>
                <w:rFonts w:ascii="Times New Roman" w:eastAsia="Arial" w:hAnsi="Times New Roman" w:cs="Times New Roman"/>
                <w:sz w:val="20"/>
                <w:szCs w:val="20"/>
              </w:rPr>
              <w:fldChar w:fldCharType="begin" w:fldLock="1"/>
            </w:r>
            <w:r w:rsidRPr="004D1E6F">
              <w:rPr>
                <w:rFonts w:ascii="Times New Roman" w:eastAsia="Arial" w:hAnsi="Times New Roman" w:cs="Times New Roman"/>
                <w:sz w:val="20"/>
                <w:szCs w:val="20"/>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"10.1111/1365-2656.12533", "ISBN" : "1365-2656 (Electronic)\\r0021-8790 (Linking)", "ISSN" : "13652656", "PMID" : "27084460", "abstract" : "1. Invasive species are a key driver of global environmental change, with frequently strong negative consequences for native biodiversity and ecosystem processes. Understanding com- petitive interactions between invaders and functionally similar native species provides an important benchmark for predicting the consequences of invasion. However, even though having a broad dietary niche is widely considered a key factor determining invasion success, little is known about the effects of competition with functionally similar native competitors on the dietary niche breadths of invasive species. 2. We used a combination of field experiments and field surveys to examine the impacts of competition with a functionally similar native crab species on the population densities, growth rates and diet of the globally widespread invasive red swamp crayfish in an African river ecosystem. 3. The presence of native crabs triggered significant dietary niche constriction within the inva- sive crayfish population. Further, growth rates of both species were reduced significantly, and by a similar extent, in the presence of one another. In spite of this, crayfish maintained posi- tive growth rates in the presence of crabs, whereas crabs lost mass in the presence of crayfish. Consequently, over the 3-year duration of the study, crab abundance declined at those sites invaded by the crayfish, becoming locally extinct at one. 4. The invasive crayfish had a dramatic effect on ecosystem structure and functioning, halv- ing benthic invertebrate densities and increasing decomposition rates fourfold compared to the crabs. This indicates that replacement of native crabs by invasive crayfish likely alters the structure and functioning of African river ecosystems significantly. 5. This study provides a novel example of the constriction of the dietary niche of a successful invasive population in the presence of competition from a functionally similar native species. This finding highlights the importance of considering both environmental and ecological contexts in order to predict and manage the impacts of invasive species on ecosystems.", "author" : [ { "dropping-particle" : "", "family" : "Jackson", "given" : "Michelle C.", "non-dropping-particle" : "", "parse-names" : false, "suffix" : "" }, { "dropping-particle" : "", "family" : "Grey", "given" : "Jonathan", "non-dropping-particle" : "", "parse-names" : false, "suffix" : "" }, { "dropping-particle" : "", "family" : "Miller", "given" : "Katie", "non-dropping-particle" : "", "parse-names" : false, "suffix" : "" }, { "dropping-particle" : "", "family" : "Britton", "given" : "J. Robert", "non-dropping-particle" : "", "parse-names" : false, "suffix" : "" }, { "dropping-particle" : "", "family" : "Donohue", "given" : "Ian", "non-dropping-particle" : "", "parse-names" : false, "suffix" : "" } ], "container-title" : "Journal of Animal Ecology", "id" : "ITEM-2", "issued" : { "date-parts" : [ [ "2016" ] ] }, "page" : "1098-1107", "title" : "Dietary niche constriction when invaders meet natives: Evidence from freshwater decapods", "type" : "article-journal" }, "uris" : [ "http://www.mendeley.com/documents/?uuid=4d1dad2a-af96-4ee7-a254-3fb10d7453b1" ] } ], "mendeley" : { "formattedCitation" : "(de Moor 2002, Jackson et al. 2016)", "plainTextFormattedCitation" : "(de Moor 2002, Jackson et al. 2016)", "previouslyFormattedCitation" : "(de Moor 2002, Jackson et al. 2016)" }, "properties" : { "noteIndex" : 0 }, "schema" : "https://github.com/citation-style-language/schema/raw/master/csl-citation.json" }</w:instrText>
            </w:r>
            <w:r w:rsidRPr="004D1E6F">
              <w:rPr>
                <w:rFonts w:ascii="Times New Roman" w:eastAsia="Arial" w:hAnsi="Times New Roman" w:cs="Times New Roman"/>
                <w:sz w:val="20"/>
                <w:szCs w:val="20"/>
              </w:rPr>
              <w:fldChar w:fldCharType="separate"/>
            </w:r>
            <w:r w:rsidRPr="004D1E6F">
              <w:rPr>
                <w:rFonts w:ascii="Times New Roman" w:eastAsia="Arial" w:hAnsi="Times New Roman" w:cs="Times New Roman"/>
                <w:sz w:val="20"/>
                <w:szCs w:val="20"/>
              </w:rPr>
              <w:t>(</w:t>
            </w:r>
            <w:r w:rsidR="008A0BC6">
              <w:rPr>
                <w:rFonts w:ascii="Times New Roman" w:eastAsia="Arial" w:hAnsi="Times New Roman" w:cs="Times New Roman"/>
                <w:sz w:val="20"/>
                <w:szCs w:val="20"/>
              </w:rPr>
              <w:t>D</w:t>
            </w:r>
            <w:r w:rsidRPr="004D1E6F">
              <w:rPr>
                <w:rFonts w:ascii="Times New Roman" w:eastAsia="Arial" w:hAnsi="Times New Roman" w:cs="Times New Roman"/>
                <w:sz w:val="20"/>
                <w:szCs w:val="20"/>
              </w:rPr>
              <w:t>e Moor 2002; Jackson et al. 2016)</w:t>
            </w:r>
            <w:r w:rsidRPr="004D1E6F">
              <w:rPr>
                <w:rFonts w:ascii="Times New Roman" w:eastAsia="Arial" w:hAnsi="Times New Roman" w:cs="Times New Roman"/>
                <w:sz w:val="20"/>
                <w:szCs w:val="20"/>
              </w:rPr>
              <w:fldChar w:fldCharType="end"/>
            </w:r>
            <w:r w:rsidRPr="004D1E6F">
              <w:rPr>
                <w:rFonts w:ascii="Times New Roman" w:eastAsia="Arial" w:hAnsi="Times New Roman" w:cs="Times New Roman"/>
                <w:sz w:val="20"/>
                <w:szCs w:val="20"/>
              </w:rPr>
              <w:t xml:space="preserve">. The outcome of such resource overlap between </w:t>
            </w:r>
            <w:r w:rsidRPr="004D1E6F">
              <w:rPr>
                <w:rFonts w:ascii="Times New Roman" w:eastAsia="Arial" w:hAnsi="Times New Roman" w:cs="Times New Roman"/>
                <w:i/>
                <w:sz w:val="20"/>
                <w:szCs w:val="20"/>
              </w:rPr>
              <w:t>C. cainii</w:t>
            </w:r>
            <w:r w:rsidRPr="004D1E6F">
              <w:rPr>
                <w:rFonts w:ascii="Times New Roman" w:eastAsia="Arial" w:hAnsi="Times New Roman" w:cs="Times New Roman"/>
                <w:sz w:val="20"/>
                <w:szCs w:val="20"/>
              </w:rPr>
              <w:t xml:space="preserve"> and indigenous fauna is unknown, but given that </w:t>
            </w:r>
            <w:r w:rsidRPr="004D1E6F">
              <w:rPr>
                <w:rFonts w:ascii="Times New Roman" w:eastAsia="Arial" w:hAnsi="Times New Roman" w:cs="Times New Roman"/>
                <w:i/>
                <w:sz w:val="20"/>
                <w:szCs w:val="20"/>
              </w:rPr>
              <w:t>P. clarkii</w:t>
            </w:r>
            <w:r w:rsidRPr="004D1E6F">
              <w:rPr>
                <w:rFonts w:ascii="Times New Roman" w:eastAsia="Arial" w:hAnsi="Times New Roman" w:cs="Times New Roman"/>
                <w:sz w:val="20"/>
                <w:szCs w:val="20"/>
              </w:rPr>
              <w:t xml:space="preserve"> has caused adverse impact in other areas of introduction there is a cause of concern for possible impacts of </w:t>
            </w:r>
            <w:r w:rsidRPr="004D1E6F">
              <w:rPr>
                <w:rFonts w:ascii="Times New Roman" w:eastAsia="Arial" w:hAnsi="Times New Roman" w:cs="Times New Roman"/>
                <w:i/>
                <w:sz w:val="20"/>
                <w:szCs w:val="20"/>
              </w:rPr>
              <w:t xml:space="preserve">C. </w:t>
            </w:r>
            <w:r w:rsidRPr="004D1E6F">
              <w:rPr>
                <w:rFonts w:ascii="Times New Roman" w:eastAsia="Arial" w:hAnsi="Times New Roman" w:cs="Times New Roman"/>
                <w:i/>
                <w:sz w:val="20"/>
                <w:szCs w:val="20"/>
              </w:rPr>
              <w:lastRenderedPageBreak/>
              <w:t xml:space="preserve">cainii </w:t>
            </w:r>
            <w:r w:rsidRPr="004D1E6F">
              <w:rPr>
                <w:rFonts w:ascii="Times New Roman" w:eastAsia="Arial" w:hAnsi="Times New Roman" w:cs="Times New Roman"/>
                <w:sz w:val="20"/>
                <w:szCs w:val="20"/>
              </w:rPr>
              <w:t xml:space="preserve">in South African river systems </w:t>
            </w:r>
            <w:r w:rsidRPr="004D1E6F">
              <w:rPr>
                <w:rFonts w:ascii="Times New Roman" w:eastAsia="Arial" w:hAnsi="Times New Roman" w:cs="Times New Roman"/>
                <w:sz w:val="20"/>
                <w:szCs w:val="20"/>
              </w:rPr>
              <w:fldChar w:fldCharType="begin" w:fldLock="1"/>
            </w:r>
            <w:r w:rsidRPr="004D1E6F">
              <w:rPr>
                <w:rFonts w:ascii="Times New Roman" w:eastAsia="Arial" w:hAnsi="Times New Roman" w:cs="Times New Roman"/>
                <w:sz w:val="20"/>
                <w:szCs w:val="20"/>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"http://www.mendeley.com/documents/?uuid=cd4857bf-069f-4f33-b74d-fafe03179ce4" ] }, { "id" : "ITEM-2",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"ITEM-2", "issue" : "2", "issued" : { "date-parts" : [ [ "2002" ] ] }, "page" : "125-139", "title" : "Potential impacts of alien freshwater crayfish in south africa", "type" : "article-journal", "volume" : "27" }, "uris" : [ "http://www.mendeley.com/documents/?uuid=c5c2a256-5d98-4f2f-9b7a-d62d27b07fc1" ] } ], "mendeley" : { "formattedCitation" : "(de Moor 2002, Lodge et al. 2012)", "plainTextFormattedCitation" : "(de Moor 2002, Lodge et al. 2012)", "previouslyFormattedCitation" : "(de Moor 2002, Lodge et al. 2012)" }, "properties" : { "noteIndex" : 0 }, "schema" : "https://github.com/citation-style-language/schema/raw/master/csl-citation.json" }</w:instrText>
            </w:r>
            <w:r w:rsidRPr="004D1E6F">
              <w:rPr>
                <w:rFonts w:ascii="Times New Roman" w:eastAsia="Arial" w:hAnsi="Times New Roman" w:cs="Times New Roman"/>
                <w:sz w:val="20"/>
                <w:szCs w:val="20"/>
              </w:rPr>
              <w:fldChar w:fldCharType="separate"/>
            </w:r>
            <w:r w:rsidRPr="004D1E6F">
              <w:rPr>
                <w:rFonts w:ascii="Times New Roman" w:eastAsia="Arial" w:hAnsi="Times New Roman" w:cs="Times New Roman"/>
                <w:sz w:val="20"/>
                <w:szCs w:val="20"/>
              </w:rPr>
              <w:t>(</w:t>
            </w:r>
            <w:r w:rsidR="008A0BC6">
              <w:rPr>
                <w:rFonts w:ascii="Times New Roman" w:eastAsia="Arial" w:hAnsi="Times New Roman" w:cs="Times New Roman"/>
                <w:sz w:val="20"/>
                <w:szCs w:val="20"/>
              </w:rPr>
              <w:t>D</w:t>
            </w:r>
            <w:r w:rsidRPr="004D1E6F">
              <w:rPr>
                <w:rFonts w:ascii="Times New Roman" w:eastAsia="Arial" w:hAnsi="Times New Roman" w:cs="Times New Roman"/>
                <w:sz w:val="20"/>
                <w:szCs w:val="20"/>
              </w:rPr>
              <w:t>e Moor 2002; Lodge et al. 2012)</w:t>
            </w:r>
            <w:r w:rsidRPr="004D1E6F">
              <w:rPr>
                <w:rFonts w:ascii="Times New Roman" w:eastAsia="Arial" w:hAnsi="Times New Roman" w:cs="Times New Roman"/>
                <w:sz w:val="20"/>
                <w:szCs w:val="20"/>
              </w:rPr>
              <w:fldChar w:fldCharType="end"/>
            </w:r>
            <w:r w:rsidRPr="004D1E6F">
              <w:rPr>
                <w:rFonts w:ascii="Times New Roman" w:eastAsia="Arial" w:hAnsi="Times New Roman" w:cs="Times New Roman"/>
                <w:sz w:val="20"/>
                <w:szCs w:val="20"/>
              </w:rPr>
              <w:t xml:space="preserve">. </w:t>
            </w:r>
            <w:r w:rsidRPr="004D1E6F">
              <w:rPr>
                <w:rFonts w:ascii="Times New Roman" w:eastAsia="Arial" w:hAnsi="Times New Roman" w:cs="Times New Roman"/>
                <w:i/>
                <w:sz w:val="20"/>
                <w:szCs w:val="20"/>
              </w:rPr>
              <w:t>Cherax cainii</w:t>
            </w:r>
            <w:r w:rsidRPr="004D1E6F">
              <w:rPr>
                <w:rFonts w:ascii="Times New Roman" w:eastAsia="Arial" w:hAnsi="Times New Roman" w:cs="Times New Roman"/>
                <w:iCs/>
                <w:sz w:val="20"/>
                <w:szCs w:val="20"/>
              </w:rPr>
              <w:t xml:space="preserve"> is</w:t>
            </w:r>
            <w:r w:rsidRPr="004D1E6F">
              <w:rPr>
                <w:rFonts w:ascii="Times New Roman" w:eastAsia="Arial" w:hAnsi="Times New Roman" w:cs="Times New Roman"/>
                <w:sz w:val="20"/>
                <w:szCs w:val="20"/>
              </w:rPr>
              <w:t xml:space="preserve"> a functional omnivore and may have an impact on macroinvertebrates and macrophytes communities </w:t>
            </w:r>
            <w:r w:rsidRPr="004D1E6F">
              <w:rPr>
                <w:rFonts w:ascii="Times New Roman" w:eastAsia="Arial" w:hAnsi="Times New Roman" w:cs="Times New Roman"/>
                <w:sz w:val="20"/>
                <w:szCs w:val="20"/>
              </w:rPr>
              <w:fldChar w:fldCharType="begin" w:fldLock="1"/>
            </w:r>
            <w:r w:rsidRPr="004D1E6F">
              <w:rPr>
                <w:rFonts w:ascii="Times New Roman" w:eastAsia="Arial" w:hAnsi="Times New Roman" w:cs="Times New Roman"/>
                <w:sz w:val="20"/>
                <w:szCs w:val="20"/>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"mendeley" : { "formattedCitation" : "(de Moor 2002)", "plainTextFormattedCitation" : "(de Moor 2002)", "previouslyFormattedCitation" : "(de Moor 2002)" }, "properties" : { "noteIndex" : 0 }, "schema" : "https://github.com/citation-style-language/schema/raw/master/csl-citation.json" }</w:instrText>
            </w:r>
            <w:r w:rsidRPr="004D1E6F">
              <w:rPr>
                <w:rFonts w:ascii="Times New Roman" w:eastAsia="Arial" w:hAnsi="Times New Roman" w:cs="Times New Roman"/>
                <w:sz w:val="20"/>
                <w:szCs w:val="20"/>
              </w:rPr>
              <w:fldChar w:fldCharType="separate"/>
            </w:r>
            <w:r w:rsidRPr="004D1E6F">
              <w:rPr>
                <w:rFonts w:ascii="Times New Roman" w:eastAsia="Arial" w:hAnsi="Times New Roman" w:cs="Times New Roman"/>
                <w:sz w:val="20"/>
                <w:szCs w:val="20"/>
              </w:rPr>
              <w:t>(</w:t>
            </w:r>
            <w:r w:rsidR="008A0BC6">
              <w:rPr>
                <w:rFonts w:ascii="Times New Roman" w:eastAsia="Arial" w:hAnsi="Times New Roman" w:cs="Times New Roman"/>
                <w:sz w:val="20"/>
                <w:szCs w:val="20"/>
              </w:rPr>
              <w:t>D</w:t>
            </w:r>
            <w:r w:rsidRPr="004D1E6F">
              <w:rPr>
                <w:rFonts w:ascii="Times New Roman" w:eastAsia="Arial" w:hAnsi="Times New Roman" w:cs="Times New Roman"/>
                <w:sz w:val="20"/>
                <w:szCs w:val="20"/>
              </w:rPr>
              <w:t>e Moor 2002)</w:t>
            </w:r>
            <w:r w:rsidRPr="004D1E6F">
              <w:rPr>
                <w:rFonts w:ascii="Times New Roman" w:eastAsia="Arial" w:hAnsi="Times New Roman" w:cs="Times New Roman"/>
                <w:sz w:val="20"/>
                <w:szCs w:val="20"/>
              </w:rPr>
              <w:fldChar w:fldCharType="end"/>
            </w:r>
            <w:r w:rsidRPr="004D1E6F">
              <w:rPr>
                <w:rFonts w:ascii="Times New Roman" w:eastAsia="Arial" w:hAnsi="Times New Roman" w:cs="Times New Roman"/>
                <w:sz w:val="20"/>
                <w:szCs w:val="20"/>
              </w:rPr>
              <w:t xml:space="preserve">. Another major concern is the transmission of parasites to native decapods and other freshwater fauna because species in the </w:t>
            </w:r>
            <w:r w:rsidRPr="004D1E6F">
              <w:rPr>
                <w:rFonts w:ascii="Times New Roman" w:eastAsia="Arial" w:hAnsi="Times New Roman" w:cs="Times New Roman"/>
                <w:i/>
                <w:sz w:val="20"/>
                <w:szCs w:val="20"/>
              </w:rPr>
              <w:t>Cherax</w:t>
            </w:r>
            <w:r w:rsidRPr="004D1E6F">
              <w:rPr>
                <w:rFonts w:ascii="Times New Roman" w:eastAsia="Arial" w:hAnsi="Times New Roman" w:cs="Times New Roman"/>
                <w:sz w:val="20"/>
                <w:szCs w:val="20"/>
              </w:rPr>
              <w:t xml:space="preserve"> genus are known to harbour temnocephelan worms that can be transferred to other decapods, however impacts still need to be recorded </w:t>
            </w:r>
            <w:r w:rsidRPr="004D1E6F">
              <w:rPr>
                <w:rFonts w:ascii="Times New Roman" w:eastAsia="Arial" w:hAnsi="Times New Roman" w:cs="Times New Roman"/>
                <w:sz w:val="20"/>
                <w:szCs w:val="20"/>
              </w:rPr>
              <w:fldChar w:fldCharType="begin" w:fldLock="1"/>
            </w:r>
            <w:r w:rsidRPr="004D1E6F">
              <w:rPr>
                <w:rFonts w:ascii="Times New Roman" w:eastAsia="Arial" w:hAnsi="Times New Roman" w:cs="Times New Roman"/>
                <w:sz w:val="20"/>
                <w:szCs w:val="20"/>
              </w:rPr>
              <w:instrText>ADDIN CSL_CITATION { "citationItems" : [ { "id" : "ITEM-1", "itemData" : { "DOI" : "10.1645/15-936", "ISBN" : "00223395 (ISSN)", "ISSN" : "0022-3395", "abstract" : "The redclaw crayfish, Cherax quadricarinatus (Decapoda: Parastacidae), is native to Australia but has been introduced to South Africa as a warm-water aquaculture species. In a South African natural waterbody, examined crayfish had high-intensity infections of 3 temnocephalan species on their body surfaces and within the branchial chambers. Temnocephalans were characterized using light and scanning electron microscopy and identified as Craspedella pedum, Diceratocephala boschmai, and Didymorchis sp. This is the first report of the introduction of Australian temnocephalans, C. pedum and Didymorchis sp., to Africa and expands the known distribution of these species beyond their presumptive native range. The present study also documents a naturalized population of C. quadricarinatus from a natural water body in South Africa, comprising a new geographical locality record. \u00a9 American Society of Parasitologists 2016.", "author" : [ { "dropping-particle" : "", "family" : "Tavakol", "given" : "Sareh", "non-dropping-particle" : "", "parse-names" : false, "suffix" : "" }, { "dropping-particle" : "", "family" : "Luus-Powell", "given" : "Wilmien J.", "non-dropping-particle" : "", "parse-names" : false, "suffix" : "" }, { "dropping-particle" : "", "family" : "Smit", "given" : "Willem J.", "non-dropping-particle" : "", "parse-names" : false, "suffix" : "" }, { "dropping-particle" : "", "family" : "Baker", "given" : "Chant\u00e9lle", "non-dropping-particle" : "", "parse-names" : false, "suffix" : "" }, { "dropping-particle" : "", "family" : "Hoffman", "given" : "Andre", "non-dropping-particle" : "", "parse-names" : false, "suffix" : "" }, { "dropping-particle" : "", "family" : "Halajian", "given" : "Ali", "non-dropping-particle" : "", "parse-names" : false, "suffix" : "" } ], "container-title" : "Journal of Parasitology", "id" : "ITEM-1", "issue" : "6", "issued" : { "date-parts" : [ [ "2016" ] ] }, "page" : "653-658", "title" : "First Introduction of Two Australian Temnocephalan Species into Africa with an Alien Host: Double Trouble", "type" : "article-journal", "volume" : "102" }, "uris" : [ "http://www.mendeley.com/documents/?uuid=f110117e-585b-4846-8ea0-a143fcf70d22" ] } ], "mendeley" : { "formattedCitation" : "(Tavakol et al. 2016)", "plainTextFormattedCitation" : "(Tavakol et al. 2016)", "previouslyFormattedCitation" : "(Tavakol et al. 2016)" }, "properties" : { "noteIndex" : 0 }, "schema" : "https://github.com/citation-style-language/schema/raw/master/csl-citation.json" }</w:instrText>
            </w:r>
            <w:r w:rsidRPr="004D1E6F">
              <w:rPr>
                <w:rFonts w:ascii="Times New Roman" w:eastAsia="Arial" w:hAnsi="Times New Roman" w:cs="Times New Roman"/>
                <w:sz w:val="20"/>
                <w:szCs w:val="20"/>
              </w:rPr>
              <w:fldChar w:fldCharType="separate"/>
            </w:r>
            <w:r w:rsidRPr="004D1E6F">
              <w:rPr>
                <w:rFonts w:ascii="Times New Roman" w:eastAsia="Arial" w:hAnsi="Times New Roman" w:cs="Times New Roman"/>
                <w:sz w:val="20"/>
                <w:szCs w:val="20"/>
              </w:rPr>
              <w:t>(Avenant-Oldewage 2013; Tavakol et al. 2016)</w:t>
            </w:r>
            <w:r w:rsidRPr="004D1E6F">
              <w:rPr>
                <w:rFonts w:ascii="Times New Roman" w:eastAsia="Arial" w:hAnsi="Times New Roman" w:cs="Times New Roman"/>
                <w:sz w:val="20"/>
                <w:szCs w:val="20"/>
              </w:rPr>
              <w:fldChar w:fldCharType="end"/>
            </w:r>
            <w:r w:rsidRPr="004D1E6F">
              <w:rPr>
                <w:rFonts w:ascii="Times New Roman" w:eastAsia="Arial" w:hAnsi="Times New Roman" w:cs="Times New Roman"/>
                <w:sz w:val="20"/>
                <w:szCs w:val="20"/>
              </w:rPr>
              <w:t xml:space="preserve">. Known populations of </w:t>
            </w:r>
            <w:r w:rsidRPr="004D1E6F">
              <w:rPr>
                <w:rFonts w:ascii="Times New Roman" w:eastAsia="Calibri" w:hAnsi="Times New Roman" w:cs="Times New Roman"/>
                <w:i/>
                <w:sz w:val="20"/>
                <w:szCs w:val="20"/>
              </w:rPr>
              <w:t>C. cainii</w:t>
            </w:r>
            <w:r w:rsidRPr="004D1E6F">
              <w:rPr>
                <w:rFonts w:ascii="Times New Roman" w:eastAsia="Calibri" w:hAnsi="Times New Roman" w:cs="Times New Roman"/>
                <w:sz w:val="20"/>
                <w:szCs w:val="20"/>
              </w:rPr>
              <w:t xml:space="preserve"> in South Africa are restricted to aquaculture facilities and there are no known naturalised populations. In the event that </w:t>
            </w:r>
            <w:r w:rsidRPr="004D1E6F">
              <w:rPr>
                <w:rFonts w:ascii="Times New Roman" w:eastAsia="Calibri" w:hAnsi="Times New Roman" w:cs="Times New Roman"/>
                <w:i/>
                <w:sz w:val="20"/>
                <w:szCs w:val="20"/>
              </w:rPr>
              <w:t>C. cainii</w:t>
            </w:r>
            <w:r w:rsidRPr="004D1E6F">
              <w:rPr>
                <w:rFonts w:ascii="Times New Roman" w:eastAsia="Calibri" w:hAnsi="Times New Roman" w:cs="Times New Roman"/>
                <w:sz w:val="20"/>
                <w:szCs w:val="20"/>
              </w:rPr>
              <w:t xml:space="preserve"> manages to escape from such facilities, it is very unlikely that it will spread rapidly due to its low tolerance to a wide range of environmental conditions (Byrant &amp; Pappas; Nunes et al. 2017).</w:t>
            </w:r>
          </w:p>
        </w:tc>
      </w:tr>
      <w:tr w:rsidR="002D7080" w:rsidRPr="004D1E6F" w14:paraId="2982EA8D" w14:textId="77777777" w:rsidTr="002E2C37">
        <w:trPr>
          <w:trHeight w:val="70"/>
        </w:trPr>
        <w:tc>
          <w:tcPr>
            <w:tcW w:w="9016" w:type="dxa"/>
            <w:gridSpan w:val="2"/>
          </w:tcPr>
          <w:p w14:paraId="6BD032FA"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References: </w:t>
            </w:r>
          </w:p>
          <w:p w14:paraId="2D409D47" w14:textId="77777777" w:rsidR="002D7080" w:rsidRPr="004D1E6F" w:rsidRDefault="002D7080"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Avenant-Oldewage, A., 1993, ‘Occurrence of </w:t>
            </w:r>
            <w:r w:rsidRPr="004D1E6F">
              <w:rPr>
                <w:rFonts w:ascii="Times New Roman" w:eastAsia="Times New Roman" w:hAnsi="Times New Roman" w:cs="Times New Roman"/>
                <w:i/>
                <w:sz w:val="20"/>
                <w:szCs w:val="20"/>
                <w:lang w:eastAsia="en-ZA"/>
              </w:rPr>
              <w:t>Temnocephala chaeropsis</w:t>
            </w:r>
            <w:r w:rsidRPr="004D1E6F">
              <w:rPr>
                <w:rFonts w:ascii="Times New Roman" w:eastAsia="Times New Roman" w:hAnsi="Times New Roman" w:cs="Times New Roman"/>
                <w:sz w:val="20"/>
                <w:szCs w:val="20"/>
                <w:lang w:eastAsia="en-ZA"/>
              </w:rPr>
              <w:t xml:space="preserve"> on </w:t>
            </w:r>
            <w:r w:rsidRPr="004D1E6F">
              <w:rPr>
                <w:rFonts w:ascii="Times New Roman" w:eastAsia="Times New Roman" w:hAnsi="Times New Roman" w:cs="Times New Roman"/>
                <w:i/>
                <w:sz w:val="20"/>
                <w:szCs w:val="20"/>
                <w:lang w:eastAsia="en-ZA"/>
              </w:rPr>
              <w:t>Cherax tenuimanus</w:t>
            </w:r>
            <w:r w:rsidRPr="004D1E6F">
              <w:rPr>
                <w:rFonts w:ascii="Times New Roman" w:eastAsia="Times New Roman" w:hAnsi="Times New Roman" w:cs="Times New Roman"/>
                <w:sz w:val="20"/>
                <w:szCs w:val="20"/>
                <w:lang w:eastAsia="en-ZA"/>
              </w:rPr>
              <w:t xml:space="preserve"> imported into South Africa, and notes on its infestation of an indigenous crab’, </w:t>
            </w:r>
            <w:r w:rsidRPr="004D1E6F">
              <w:rPr>
                <w:rFonts w:ascii="Times New Roman" w:eastAsia="Times New Roman" w:hAnsi="Times New Roman" w:cs="Times New Roman"/>
                <w:i/>
                <w:sz w:val="20"/>
                <w:szCs w:val="20"/>
                <w:lang w:eastAsia="en-ZA"/>
              </w:rPr>
              <w:t>South African Journal of Science</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bCs/>
                <w:sz w:val="20"/>
                <w:szCs w:val="20"/>
                <w:lang w:eastAsia="en-ZA"/>
              </w:rPr>
              <w:t>89</w:t>
            </w:r>
            <w:r w:rsidRPr="004D1E6F">
              <w:rPr>
                <w:rFonts w:ascii="Times New Roman" w:eastAsia="Times New Roman" w:hAnsi="Times New Roman" w:cs="Times New Roman"/>
                <w:sz w:val="20"/>
                <w:szCs w:val="20"/>
                <w:lang w:eastAsia="en-ZA"/>
              </w:rPr>
              <w:t>, 427–428.</w:t>
            </w:r>
          </w:p>
          <w:p w14:paraId="22DE7B65" w14:textId="77777777" w:rsidR="002D7080" w:rsidRPr="004D1E6F" w:rsidRDefault="002D7080" w:rsidP="00663569">
            <w:pPr>
              <w:widowControl w:val="0"/>
              <w:autoSpaceDE w:val="0"/>
              <w:autoSpaceDN w:val="0"/>
              <w:adjustRightInd w:val="0"/>
              <w:ind w:left="567" w:hanging="567"/>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Bryant, D. &amp; Papas, P., 2007, ‘Marron </w:t>
            </w:r>
            <w:r w:rsidRPr="004D1E6F">
              <w:rPr>
                <w:rFonts w:ascii="Times New Roman" w:eastAsia="Times New Roman" w:hAnsi="Times New Roman" w:cs="Times New Roman"/>
                <w:i/>
                <w:iCs/>
                <w:color w:val="000000"/>
                <w:sz w:val="20"/>
                <w:szCs w:val="20"/>
                <w:lang w:eastAsia="en-ZA"/>
              </w:rPr>
              <w:t xml:space="preserve">Cherax cainii </w:t>
            </w:r>
            <w:r w:rsidRPr="004D1E6F">
              <w:rPr>
                <w:rFonts w:ascii="Times New Roman" w:eastAsia="Times New Roman" w:hAnsi="Times New Roman" w:cs="Times New Roman"/>
                <w:color w:val="000000"/>
                <w:sz w:val="20"/>
                <w:szCs w:val="20"/>
                <w:lang w:eastAsia="en-ZA"/>
              </w:rPr>
              <w:t>(Austin) in Victoria – a literature review’, Arthur Rylah Institute for Environmental Research Technical Report Series No. 167, Department of Sustainability and Environment, Heidelberg.</w:t>
            </w:r>
          </w:p>
          <w:p w14:paraId="4C3099EC" w14:textId="1A87C56D" w:rsidR="002D7080" w:rsidRPr="004D1E6F" w:rsidRDefault="008A0BC6" w:rsidP="00663569">
            <w:pPr>
              <w:widowControl w:val="0"/>
              <w:autoSpaceDE w:val="0"/>
              <w:autoSpaceDN w:val="0"/>
              <w:adjustRightInd w:val="0"/>
              <w:ind w:left="567" w:hanging="567"/>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w:t>
            </w:r>
            <w:r w:rsidR="002D7080" w:rsidRPr="004D1E6F">
              <w:rPr>
                <w:rFonts w:ascii="Times New Roman" w:eastAsia="Times New Roman" w:hAnsi="Times New Roman" w:cs="Times New Roman"/>
                <w:color w:val="000000"/>
                <w:sz w:val="20"/>
                <w:szCs w:val="20"/>
                <w:lang w:eastAsia="en-ZA"/>
              </w:rPr>
              <w:t xml:space="preserve">e Moor, I., 2002, ‘Potential impacts of alien freshwater crayfish in South Africa’, </w:t>
            </w:r>
            <w:r w:rsidR="002D7080" w:rsidRPr="004D1E6F">
              <w:rPr>
                <w:rFonts w:ascii="Times New Roman" w:eastAsia="Times New Roman" w:hAnsi="Times New Roman" w:cs="Times New Roman"/>
                <w:i/>
                <w:iCs/>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 </w:t>
            </w:r>
            <w:hyperlink r:id="rId47" w:history="1">
              <w:r w:rsidR="00E047ED" w:rsidRPr="00E047ED">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color w:val="000000"/>
                <w:sz w:val="20"/>
                <w:szCs w:val="20"/>
                <w:lang w:eastAsia="en-ZA"/>
              </w:rPr>
              <w:t>.</w:t>
            </w:r>
          </w:p>
          <w:p w14:paraId="7F8DD077" w14:textId="65ADAB9B" w:rsidR="002D7080" w:rsidRPr="004D1E6F" w:rsidRDefault="002D7080" w:rsidP="00663569">
            <w:pPr>
              <w:ind w:left="567" w:hanging="567"/>
              <w:contextualSpacing/>
              <w:jc w:val="both"/>
              <w:rPr>
                <w:rFonts w:ascii="Times New Roman" w:eastAsia="Times New Roman" w:hAnsi="Times New Roman" w:cs="Times New Roman"/>
                <w:color w:val="000000"/>
                <w:sz w:val="20"/>
                <w:szCs w:val="20"/>
                <w:lang w:eastAsia="en-ZA"/>
              </w:rPr>
            </w:pPr>
            <w:bookmarkStart w:id="5" w:name="_Hlk213588792"/>
            <w:r w:rsidRPr="004D1E6F">
              <w:rPr>
                <w:rFonts w:ascii="Times New Roman" w:eastAsia="Times New Roman" w:hAnsi="Times New Roman" w:cs="Times New Roman"/>
                <w:color w:val="000000"/>
                <w:sz w:val="20"/>
                <w:szCs w:val="20"/>
                <w:lang w:eastAsia="en-ZA"/>
              </w:rPr>
              <w:t xml:space="preserve">Jackson, M.C., Grey, J., Miller. K., Britton, J.R. &amp; Donohue, I., 2016, ‘Dietary niche constriction when invaders meet natives: Evidence from freshwater decapods’, </w:t>
            </w:r>
            <w:r w:rsidRPr="004D1E6F">
              <w:rPr>
                <w:rFonts w:ascii="Times New Roman" w:eastAsia="Times New Roman" w:hAnsi="Times New Roman" w:cs="Times New Roman"/>
                <w:i/>
                <w:color w:val="000000"/>
                <w:sz w:val="20"/>
                <w:szCs w:val="20"/>
                <w:lang w:eastAsia="en-ZA"/>
              </w:rPr>
              <w:t>Journal of Animal Ecology</w:t>
            </w:r>
            <w:r w:rsidRPr="004D1E6F">
              <w:rPr>
                <w:rFonts w:ascii="Times New Roman" w:eastAsia="Times New Roman" w:hAnsi="Times New Roman" w:cs="Times New Roman"/>
                <w:color w:val="000000"/>
                <w:sz w:val="20"/>
                <w:szCs w:val="20"/>
                <w:lang w:eastAsia="en-ZA"/>
              </w:rPr>
              <w:t xml:space="preserve"> 85, 1098–1107, </w:t>
            </w:r>
            <w:hyperlink r:id="rId48" w:history="1">
              <w:r w:rsidR="00E047ED" w:rsidRPr="00E047ED">
                <w:rPr>
                  <w:rStyle w:val="Hyperlink"/>
                  <w:rFonts w:ascii="Times New Roman" w:eastAsia="Times New Roman" w:hAnsi="Times New Roman" w:cs="Times New Roman"/>
                  <w:sz w:val="20"/>
                  <w:szCs w:val="20"/>
                  <w:lang w:eastAsia="en-ZA"/>
                </w:rPr>
                <w:t>https://doi.org/10.1051/kmae:2005031</w:t>
              </w:r>
            </w:hyperlink>
            <w:r w:rsidR="00E047ED" w:rsidRPr="00E047ED">
              <w:rPr>
                <w:rFonts w:ascii="Times New Roman" w:eastAsia="Times New Roman" w:hAnsi="Times New Roman" w:cs="Times New Roman"/>
                <w:color w:val="000000"/>
                <w:sz w:val="20"/>
                <w:szCs w:val="20"/>
                <w:lang w:eastAsia="en-ZA"/>
              </w:rPr>
              <w:t>.</w:t>
            </w:r>
          </w:p>
          <w:p w14:paraId="20257641" w14:textId="585A656B" w:rsidR="00E047ED" w:rsidRDefault="002D7080" w:rsidP="00663569">
            <w:pPr>
              <w:ind w:left="567" w:hanging="567"/>
              <w:contextualSpacing/>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Lodge, D.M., Deines, A., Gherardi, F., Yeo, D.C.J., Arcella, T., Baldridge, A.K., Branes, M.A., Chadderton, W.L., Feder, J.L., Grantz, C.A., Howard, G.W., Jerdde, C.L., Peters, J.A., Sargent, L.W., Turner, C.R., Wittmann, M.E. &amp; Zeng, Y., 2012, ‘Global introductions of crayfishes: evaluating the impact of species invasions on ecosystem services’, </w:t>
            </w:r>
            <w:r w:rsidRPr="004D1E6F">
              <w:rPr>
                <w:rFonts w:ascii="Times New Roman" w:eastAsia="Calibri" w:hAnsi="Times New Roman" w:cs="Times New Roman"/>
                <w:i/>
                <w:sz w:val="20"/>
                <w:szCs w:val="20"/>
              </w:rPr>
              <w:t>Annual Review of Ecology Evolution Systematics</w:t>
            </w:r>
            <w:r w:rsidRPr="004D1E6F">
              <w:rPr>
                <w:rFonts w:ascii="Times New Roman" w:eastAsia="Calibri" w:hAnsi="Times New Roman" w:cs="Times New Roman"/>
                <w:sz w:val="20"/>
                <w:szCs w:val="20"/>
              </w:rPr>
              <w:t xml:space="preserve"> 43, 449</w:t>
            </w:r>
            <w:r w:rsidRPr="004D1E6F">
              <w:rPr>
                <w:rFonts w:ascii="Times New Roman" w:eastAsia="Times New Roman" w:hAnsi="Times New Roman" w:cs="Times New Roman"/>
                <w:color w:val="000000"/>
                <w:sz w:val="20"/>
                <w:szCs w:val="20"/>
                <w:lang w:eastAsia="en-ZA"/>
              </w:rPr>
              <w:t>–4</w:t>
            </w:r>
            <w:r w:rsidRPr="004D1E6F">
              <w:rPr>
                <w:rFonts w:ascii="Times New Roman" w:eastAsia="Calibri" w:hAnsi="Times New Roman" w:cs="Times New Roman"/>
                <w:sz w:val="20"/>
                <w:szCs w:val="20"/>
              </w:rPr>
              <w:t xml:space="preserve">72, </w:t>
            </w:r>
            <w:r w:rsidR="00E047ED" w:rsidRPr="00E047ED">
              <w:rPr>
                <w:rFonts w:ascii="Times New Roman" w:eastAsia="Times New Roman" w:hAnsi="Times New Roman" w:cs="Times New Roman"/>
                <w:color w:val="000000"/>
                <w:sz w:val="20"/>
                <w:szCs w:val="20"/>
                <w:lang w:eastAsia="en-ZA"/>
              </w:rPr>
              <w:t>, https://doi.org/10.1146/annurev-ecolsys-111511-103919</w:t>
            </w:r>
          </w:p>
          <w:bookmarkEnd w:id="5"/>
          <w:p w14:paraId="75E2892D" w14:textId="3D3459EA" w:rsidR="00E047ED" w:rsidRDefault="002D7080"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Calibri" w:hAnsi="Times New Roman" w:cs="Times New Roman"/>
                <w:sz w:val="20"/>
                <w:szCs w:val="20"/>
              </w:rPr>
              <w:t xml:space="preserve">Nunes, A.L., Zengeya, T.A., Measey, G.J., Weyl, O.L.F., 2017, ‘Freshwater crayfish invasions in South Africa: past, present and potential future’, </w:t>
            </w:r>
            <w:r w:rsidRPr="004D1E6F">
              <w:rPr>
                <w:rFonts w:ascii="Times New Roman" w:eastAsia="Calibri" w:hAnsi="Times New Roman" w:cs="Times New Roman"/>
                <w:i/>
                <w:sz w:val="20"/>
                <w:szCs w:val="20"/>
              </w:rPr>
              <w:t>African Journal of Aquatic Science</w:t>
            </w:r>
            <w:r w:rsidRPr="004D1E6F">
              <w:rPr>
                <w:rFonts w:ascii="Times New Roman" w:eastAsia="Calibri" w:hAnsi="Times New Roman" w:cs="Times New Roman"/>
                <w:sz w:val="20"/>
                <w:szCs w:val="20"/>
              </w:rPr>
              <w:t xml:space="preserve"> 42, 309–323, </w:t>
            </w:r>
            <w:hyperlink r:id="rId49" w:history="1">
              <w:r w:rsidR="00E047ED" w:rsidRPr="00E047ED">
                <w:rPr>
                  <w:rStyle w:val="Hyperlink"/>
                  <w:rFonts w:ascii="Times New Roman" w:eastAsia="Times New Roman" w:hAnsi="Times New Roman" w:cs="Times New Roman"/>
                  <w:sz w:val="20"/>
                  <w:szCs w:val="20"/>
                  <w:lang w:eastAsia="en-ZA"/>
                </w:rPr>
                <w:t>https://doi.org/10.2989/16085914.2017.1405788</w:t>
              </w:r>
            </w:hyperlink>
          </w:p>
          <w:p w14:paraId="48741CD5" w14:textId="5B924B0D" w:rsidR="002D7080" w:rsidRPr="004D1E6F" w:rsidRDefault="002D7080" w:rsidP="00663569">
            <w:pPr>
              <w:ind w:left="720" w:hanging="720"/>
              <w:contextualSpacing/>
              <w:jc w:val="both"/>
              <w:rPr>
                <w:rFonts w:ascii="Times New Roman" w:eastAsia="Times New Roman" w:hAnsi="Times New Roman" w:cs="Times New Roman"/>
                <w:sz w:val="20"/>
                <w:szCs w:val="20"/>
                <w:lang w:eastAsia="en-ZA"/>
              </w:rPr>
            </w:pPr>
            <w:bookmarkStart w:id="6" w:name="_Hlk213588811"/>
            <w:r w:rsidRPr="004D1E6F">
              <w:rPr>
                <w:rFonts w:ascii="Times New Roman" w:eastAsia="Times New Roman" w:hAnsi="Times New Roman" w:cs="Times New Roman"/>
                <w:sz w:val="20"/>
                <w:szCs w:val="20"/>
                <w:lang w:eastAsia="en-ZA"/>
              </w:rPr>
              <w:t xml:space="preserve">Tavakol, S., Luus-Powell, W.J., Smit, W.J., Baker, C., Hoffman, A. &amp; AlHalajian, A., 2016, ‘First introduction of two Australian Temnocephalan species into Africa with an alien host: Double Trouble’, </w:t>
            </w:r>
            <w:r w:rsidRPr="004D1E6F">
              <w:rPr>
                <w:rFonts w:ascii="Times New Roman" w:eastAsia="Times New Roman" w:hAnsi="Times New Roman" w:cs="Times New Roman"/>
                <w:i/>
                <w:sz w:val="20"/>
                <w:szCs w:val="20"/>
                <w:lang w:eastAsia="en-ZA"/>
              </w:rPr>
              <w:t>Journal of Parasitology</w:t>
            </w:r>
            <w:r w:rsidRPr="004D1E6F">
              <w:rPr>
                <w:rFonts w:ascii="Times New Roman" w:eastAsia="Times New Roman" w:hAnsi="Times New Roman" w:cs="Times New Roman"/>
                <w:sz w:val="20"/>
                <w:szCs w:val="20"/>
                <w:lang w:eastAsia="en-ZA"/>
              </w:rPr>
              <w:t xml:space="preserve"> 102, 653–658</w:t>
            </w:r>
            <w:bookmarkEnd w:id="6"/>
            <w:r w:rsidRPr="004D1E6F">
              <w:rPr>
                <w:rFonts w:ascii="Times New Roman" w:eastAsia="Times New Roman" w:hAnsi="Times New Roman" w:cs="Times New Roman"/>
                <w:sz w:val="20"/>
                <w:szCs w:val="20"/>
                <w:lang w:eastAsia="en-ZA"/>
              </w:rPr>
              <w:t>.</w:t>
            </w:r>
          </w:p>
        </w:tc>
      </w:tr>
    </w:tbl>
    <w:p w14:paraId="1E6CEE87" w14:textId="77777777" w:rsidR="002D7080" w:rsidRPr="004D1E6F" w:rsidRDefault="002D7080" w:rsidP="002D7080">
      <w:pPr>
        <w:spacing w:after="0" w:line="240" w:lineRule="auto"/>
        <w:rPr>
          <w:rFonts w:ascii="Times New Roman" w:hAnsi="Times New Roman" w:cs="Times New Roman"/>
          <w:b/>
          <w:sz w:val="20"/>
          <w:szCs w:val="20"/>
        </w:rPr>
      </w:pPr>
    </w:p>
    <w:p w14:paraId="54077993" w14:textId="77777777" w:rsidR="002D7080" w:rsidRPr="004D1E6F" w:rsidRDefault="002D7080" w:rsidP="002D7080">
      <w:pPr>
        <w:spacing w:after="0" w:line="240" w:lineRule="auto"/>
        <w:rPr>
          <w:rFonts w:ascii="Times New Roman" w:hAnsi="Times New Roman" w:cs="Times New Roman"/>
          <w:b/>
          <w:sz w:val="20"/>
          <w:szCs w:val="20"/>
        </w:rPr>
      </w:pPr>
      <w:r w:rsidRPr="004D1E6F">
        <w:rPr>
          <w:rFonts w:ascii="Times New Roman" w:hAnsi="Times New Roman" w:cs="Times New Roman"/>
          <w:b/>
          <w:sz w:val="20"/>
          <w:szCs w:val="20"/>
        </w:rPr>
        <w:br w:type="page"/>
      </w:r>
    </w:p>
    <w:p w14:paraId="3DCFCFA6"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4. Management</w:t>
      </w:r>
    </w:p>
    <w:p w14:paraId="685DE593"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457B48F8" w14:textId="77777777" w:rsidTr="002E2C37">
        <w:trPr>
          <w:trHeight w:val="343"/>
        </w:trPr>
        <w:tc>
          <w:tcPr>
            <w:tcW w:w="9067" w:type="dxa"/>
            <w:gridSpan w:val="2"/>
            <w:shd w:val="clear" w:color="auto" w:fill="F2F2F2" w:themeFill="background1" w:themeFillShade="F2"/>
          </w:tcPr>
          <w:p w14:paraId="753D232C"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MAN1 What is the feasibility to stop future immigration?</w:t>
            </w:r>
          </w:p>
        </w:tc>
      </w:tr>
      <w:tr w:rsidR="002D7080" w:rsidRPr="004D1E6F" w14:paraId="7A4546B4" w14:textId="77777777" w:rsidTr="002E2C37">
        <w:trPr>
          <w:trHeight w:val="172"/>
        </w:trPr>
        <w:tc>
          <w:tcPr>
            <w:tcW w:w="5240" w:type="dxa"/>
          </w:tcPr>
          <w:p w14:paraId="25AB20D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Response: High</w:t>
            </w:r>
          </w:p>
        </w:tc>
        <w:tc>
          <w:tcPr>
            <w:tcW w:w="3827" w:type="dxa"/>
          </w:tcPr>
          <w:p w14:paraId="3117D4A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4823D335" w14:textId="77777777" w:rsidTr="002E2C37">
        <w:trPr>
          <w:trHeight w:val="70"/>
        </w:trPr>
        <w:tc>
          <w:tcPr>
            <w:tcW w:w="9067" w:type="dxa"/>
            <w:gridSpan w:val="2"/>
          </w:tcPr>
          <w:p w14:paraId="4EB67142" w14:textId="04723A13"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 xml:space="preserve">Rationale: </w:t>
            </w:r>
            <w:r w:rsidRPr="004D1E6F">
              <w:rPr>
                <w:rFonts w:ascii="Times New Roman" w:hAnsi="Times New Roman" w:cs="Times New Roman"/>
                <w:i/>
                <w:sz w:val="20"/>
                <w:szCs w:val="20"/>
              </w:rPr>
              <w:t>Cherax cainii</w:t>
            </w:r>
            <w:r w:rsidRPr="004D1E6F">
              <w:rPr>
                <w:rFonts w:ascii="Times New Roman" w:hAnsi="Times New Roman" w:cs="Times New Roman"/>
                <w:sz w:val="20"/>
                <w:szCs w:val="20"/>
              </w:rPr>
              <w:t xml:space="preserve"> is mainly used for aquaculture and there are no known populations in neighbouring countries (</w:t>
            </w:r>
            <w:r w:rsidR="008A0BC6">
              <w:rPr>
                <w:rFonts w:ascii="Times New Roman" w:hAnsi="Times New Roman" w:cs="Times New Roman"/>
                <w:sz w:val="20"/>
                <w:szCs w:val="20"/>
              </w:rPr>
              <w:t>D</w:t>
            </w:r>
            <w:r w:rsidRPr="004D1E6F">
              <w:rPr>
                <w:rFonts w:ascii="Times New Roman" w:hAnsi="Times New Roman" w:cs="Times New Roman"/>
                <w:sz w:val="20"/>
                <w:szCs w:val="20"/>
              </w:rPr>
              <w:t>e Moor 2002; Nunes et al. 2017). However, if it were in neighbouring countries, it would be difficult to stop natural dispersal (Nunes et al. 2017).</w:t>
            </w:r>
          </w:p>
        </w:tc>
      </w:tr>
      <w:tr w:rsidR="002D7080" w:rsidRPr="004D1E6F" w14:paraId="2D2533A8" w14:textId="77777777" w:rsidTr="002E2C37">
        <w:trPr>
          <w:trHeight w:val="108"/>
        </w:trPr>
        <w:tc>
          <w:tcPr>
            <w:tcW w:w="9067" w:type="dxa"/>
            <w:gridSpan w:val="2"/>
          </w:tcPr>
          <w:p w14:paraId="216A771E" w14:textId="77777777" w:rsidR="002D7080" w:rsidRPr="004D1E6F" w:rsidRDefault="002D7080" w:rsidP="002E2C37">
            <w:pPr>
              <w:ind w:left="709" w:hanging="709"/>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0D8DFE28" w14:textId="58F64ACB" w:rsidR="00843B94" w:rsidRPr="00843B94" w:rsidRDefault="008A0BC6" w:rsidP="00663569">
            <w:pPr>
              <w:widowControl w:val="0"/>
              <w:autoSpaceDE w:val="0"/>
              <w:autoSpaceDN w:val="0"/>
              <w:adjustRightInd w:val="0"/>
              <w:ind w:left="720" w:hanging="720"/>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w:t>
            </w:r>
            <w:r w:rsidR="00843B94" w:rsidRPr="00843B94">
              <w:rPr>
                <w:rFonts w:ascii="Times New Roman" w:eastAsia="Times New Roman" w:hAnsi="Times New Roman" w:cs="Times New Roman"/>
                <w:color w:val="000000"/>
                <w:sz w:val="20"/>
                <w:szCs w:val="20"/>
                <w:lang w:eastAsia="en-ZA"/>
              </w:rPr>
              <w:t xml:space="preserve">e Moor, I., 2002, ‘Potential impacts of alien freshwater crayfish in South Africa’, </w:t>
            </w:r>
            <w:r w:rsidR="00843B94" w:rsidRPr="00843B94">
              <w:rPr>
                <w:rFonts w:ascii="Times New Roman" w:eastAsia="Times New Roman" w:hAnsi="Times New Roman" w:cs="Times New Roman"/>
                <w:i/>
                <w:color w:val="000000"/>
                <w:sz w:val="20"/>
                <w:szCs w:val="20"/>
                <w:lang w:eastAsia="en-ZA"/>
              </w:rPr>
              <w:t>African Journal of Aquatic Science</w:t>
            </w:r>
            <w:r w:rsidR="00843B94" w:rsidRPr="00843B94">
              <w:rPr>
                <w:rFonts w:ascii="Times New Roman" w:eastAsia="Times New Roman" w:hAnsi="Times New Roman" w:cs="Times New Roman"/>
                <w:color w:val="000000"/>
                <w:sz w:val="20"/>
                <w:szCs w:val="20"/>
                <w:lang w:eastAsia="en-ZA"/>
              </w:rPr>
              <w:t xml:space="preserve"> 27, 125–139, </w:t>
            </w:r>
            <w:hyperlink r:id="rId50" w:history="1">
              <w:r w:rsidR="00843B94" w:rsidRPr="00843B94">
                <w:rPr>
                  <w:rStyle w:val="Hyperlink"/>
                  <w:rFonts w:ascii="Times New Roman" w:eastAsia="Times New Roman" w:hAnsi="Times New Roman" w:cs="Times New Roman"/>
                  <w:sz w:val="20"/>
                  <w:szCs w:val="20"/>
                  <w:lang w:eastAsia="en-ZA"/>
                </w:rPr>
                <w:t>https://doi.org/10.2989/16085914.2002.9626584</w:t>
              </w:r>
            </w:hyperlink>
            <w:r w:rsidR="00843B94" w:rsidRPr="00843B94">
              <w:rPr>
                <w:rFonts w:ascii="Times New Roman" w:eastAsia="Times New Roman" w:hAnsi="Times New Roman" w:cs="Times New Roman"/>
                <w:color w:val="000000"/>
                <w:sz w:val="20"/>
                <w:szCs w:val="20"/>
                <w:lang w:eastAsia="en-ZA"/>
              </w:rPr>
              <w:t>.</w:t>
            </w:r>
          </w:p>
          <w:p w14:paraId="1CF99065" w14:textId="4B51CA30" w:rsidR="002D7080" w:rsidRPr="004D1E6F" w:rsidRDefault="00843B94" w:rsidP="00663569">
            <w:pPr>
              <w:ind w:left="720" w:hanging="720"/>
              <w:jc w:val="both"/>
              <w:rPr>
                <w:rFonts w:ascii="Times New Roman" w:eastAsia="Times New Roman" w:hAnsi="Times New Roman" w:cs="Times New Roman"/>
                <w:sz w:val="20"/>
                <w:szCs w:val="20"/>
                <w:lang w:eastAsia="en-ZA"/>
              </w:rPr>
            </w:pPr>
            <w:r w:rsidRPr="00843B94">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843B94">
              <w:rPr>
                <w:rFonts w:ascii="Times New Roman" w:eastAsia="Times New Roman" w:hAnsi="Times New Roman" w:cs="Times New Roman"/>
                <w:i/>
                <w:color w:val="000000"/>
                <w:sz w:val="20"/>
                <w:szCs w:val="20"/>
                <w:lang w:eastAsia="en-ZA"/>
              </w:rPr>
              <w:t>African Journal of Aquatic Science</w:t>
            </w:r>
            <w:r w:rsidRPr="00843B94">
              <w:rPr>
                <w:rFonts w:ascii="Times New Roman" w:eastAsia="Times New Roman" w:hAnsi="Times New Roman" w:cs="Times New Roman"/>
                <w:color w:val="000000"/>
                <w:sz w:val="20"/>
                <w:szCs w:val="20"/>
                <w:lang w:eastAsia="en-ZA"/>
              </w:rPr>
              <w:t xml:space="preserve"> 42, 309–323, </w:t>
            </w:r>
            <w:hyperlink r:id="rId51" w:history="1">
              <w:r w:rsidRPr="00843B94">
                <w:rPr>
                  <w:rStyle w:val="Hyperlink"/>
                  <w:rFonts w:ascii="Times New Roman" w:eastAsia="Times New Roman" w:hAnsi="Times New Roman" w:cs="Times New Roman"/>
                  <w:sz w:val="20"/>
                  <w:szCs w:val="20"/>
                  <w:lang w:eastAsia="en-ZA"/>
                </w:rPr>
                <w:t>https://doi.org/10.2989/16085914.2017.1405788</w:t>
              </w:r>
            </w:hyperlink>
            <w:r w:rsidR="002D7080" w:rsidRPr="004D1E6F">
              <w:rPr>
                <w:rFonts w:ascii="Times New Roman" w:eastAsia="Times New Roman" w:hAnsi="Times New Roman" w:cs="Times New Roman"/>
                <w:color w:val="000000"/>
                <w:sz w:val="20"/>
                <w:szCs w:val="20"/>
                <w:lang w:eastAsia="en-ZA"/>
              </w:rPr>
              <w:t>.</w:t>
            </w:r>
          </w:p>
        </w:tc>
      </w:tr>
    </w:tbl>
    <w:p w14:paraId="073B7A05"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08D1F6F1" w14:textId="77777777" w:rsidTr="002E2C37">
        <w:trPr>
          <w:trHeight w:val="343"/>
        </w:trPr>
        <w:tc>
          <w:tcPr>
            <w:tcW w:w="9067" w:type="dxa"/>
            <w:gridSpan w:val="2"/>
            <w:shd w:val="clear" w:color="auto" w:fill="F2F2F2" w:themeFill="background1" w:themeFillShade="F2"/>
          </w:tcPr>
          <w:p w14:paraId="0FC4B7F5"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MAN2 Benefits of the Taxon</w:t>
            </w:r>
          </w:p>
        </w:tc>
      </w:tr>
      <w:tr w:rsidR="002D7080" w:rsidRPr="004D1E6F" w14:paraId="34E8E9F9" w14:textId="77777777" w:rsidTr="002E2C37">
        <w:trPr>
          <w:trHeight w:val="343"/>
        </w:trPr>
        <w:tc>
          <w:tcPr>
            <w:tcW w:w="9067" w:type="dxa"/>
            <w:gridSpan w:val="2"/>
            <w:shd w:val="clear" w:color="auto" w:fill="F2F2F2" w:themeFill="background1" w:themeFillShade="F2"/>
          </w:tcPr>
          <w:p w14:paraId="79FB333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MAN2a Socio-economic benefits of the </w:t>
            </w:r>
            <w:r w:rsidRPr="004D1E6F">
              <w:rPr>
                <w:rFonts w:ascii="Times New Roman" w:eastAsia="Times New Roman" w:hAnsi="Times New Roman" w:cs="Times New Roman"/>
                <w:b/>
                <w:i/>
                <w:sz w:val="20"/>
                <w:szCs w:val="20"/>
                <w:lang w:eastAsia="en-ZA"/>
              </w:rPr>
              <w:t>Taxon</w:t>
            </w:r>
          </w:p>
        </w:tc>
      </w:tr>
      <w:tr w:rsidR="002D7080" w:rsidRPr="004D1E6F" w14:paraId="226D74DC" w14:textId="77777777" w:rsidTr="002E2C37">
        <w:trPr>
          <w:trHeight w:val="172"/>
        </w:trPr>
        <w:tc>
          <w:tcPr>
            <w:tcW w:w="5240" w:type="dxa"/>
          </w:tcPr>
          <w:p w14:paraId="6664CE6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High</w:t>
            </w:r>
          </w:p>
        </w:tc>
        <w:tc>
          <w:tcPr>
            <w:tcW w:w="3827" w:type="dxa"/>
          </w:tcPr>
          <w:p w14:paraId="444EE9D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27FF0752" w14:textId="77777777" w:rsidTr="002E2C37">
        <w:trPr>
          <w:trHeight w:val="70"/>
        </w:trPr>
        <w:tc>
          <w:tcPr>
            <w:tcW w:w="9067" w:type="dxa"/>
            <w:gridSpan w:val="2"/>
          </w:tcPr>
          <w:p w14:paraId="5C28E5A6" w14:textId="77777777" w:rsidR="002D7080" w:rsidRPr="004D1E6F" w:rsidRDefault="002D7080" w:rsidP="002E2C37">
            <w:pPr>
              <w:contextualSpacing/>
              <w:jc w:val="both"/>
              <w:rPr>
                <w:rFonts w:ascii="Times New Roman" w:eastAsia="Times New Roman" w:hAnsi="Times New Roman" w:cs="Times New Roman"/>
                <w:iCs/>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 xml:space="preserve">Production of crayfish in South Africa has had mixed success because of several challenges that have been encountered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"mendeley" : { "formattedCitation" : "(Nunes et al. 2017)", "plainTextFormattedCitation" : "(Nunes et al. 2017)", "previouslyFormattedCitation" : "(Nunes et al. 2017)"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(Nunes et al. 2017)</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As a result, marron aquaculture is now restricted to a few small scale aquaculture farms in the Eastern Cape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"mendeley" : { "formattedCitation" : "(Madzivanzira et al. 2020)", "plainTextFormattedCitation" : "(Madzivanzira et al. 2020)", "previouslyFormattedCitation" : "(Madzivanzira et al. 2020)"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(Hinrichsen, 2019)</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Levels of production are small. Tonnes live weight produced of ‘smooth marron’ (presumably </w:t>
            </w:r>
            <w:r w:rsidRPr="004D1E6F">
              <w:rPr>
                <w:rFonts w:ascii="Times New Roman" w:eastAsia="Times New Roman" w:hAnsi="Times New Roman" w:cs="Times New Roman"/>
                <w:i/>
                <w:iCs/>
                <w:color w:val="000000"/>
                <w:sz w:val="20"/>
                <w:szCs w:val="20"/>
                <w:lang w:eastAsia="en-ZA"/>
              </w:rPr>
              <w:t>C. cainii</w:t>
            </w:r>
            <w:r w:rsidRPr="004D1E6F">
              <w:rPr>
                <w:rFonts w:ascii="Times New Roman" w:eastAsia="Times New Roman" w:hAnsi="Times New Roman" w:cs="Times New Roman"/>
                <w:color w:val="000000"/>
                <w:sz w:val="20"/>
                <w:szCs w:val="20"/>
                <w:lang w:eastAsia="en-ZA"/>
              </w:rPr>
              <w:t xml:space="preserve">): 4 in 2018; 7 in 2017; 4 in 2016; and 4 in 2015 (FAO, 2022). Nine research permits have been issued for work on </w:t>
            </w:r>
            <w:r w:rsidRPr="004D1E6F">
              <w:rPr>
                <w:rFonts w:ascii="Times New Roman" w:hAnsi="Times New Roman" w:cs="Times New Roman"/>
                <w:i/>
                <w:sz w:val="20"/>
                <w:szCs w:val="20"/>
              </w:rPr>
              <w:t>C. cainii</w:t>
            </w:r>
            <w:r w:rsidRPr="004D1E6F">
              <w:rPr>
                <w:rFonts w:ascii="Times New Roman" w:hAnsi="Times New Roman" w:cs="Times New Roman"/>
                <w:iCs/>
                <w:sz w:val="20"/>
                <w:szCs w:val="20"/>
              </w:rPr>
              <w:t xml:space="preserve"> in South Africa as of December 2020, and two research and twenty other permits </w:t>
            </w:r>
            <w:r w:rsidRPr="004D1E6F">
              <w:rPr>
                <w:rFonts w:ascii="Times New Roman" w:eastAsia="Times New Roman" w:hAnsi="Times New Roman" w:cs="Times New Roman"/>
                <w:color w:val="000000"/>
                <w:sz w:val="20"/>
                <w:szCs w:val="20"/>
                <w:lang w:eastAsia="en-ZA"/>
              </w:rPr>
              <w:t xml:space="preserve">have been issued for </w:t>
            </w:r>
            <w:r w:rsidRPr="004D1E6F">
              <w:rPr>
                <w:rFonts w:ascii="Times New Roman" w:eastAsia="Times New Roman" w:hAnsi="Times New Roman" w:cs="Times New Roman"/>
                <w:i/>
                <w:iCs/>
                <w:color w:val="000000"/>
                <w:sz w:val="20"/>
                <w:szCs w:val="20"/>
                <w:lang w:eastAsia="en-ZA"/>
              </w:rPr>
              <w:t>C. tenuimanus</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(SANBI, unpublished).</w:t>
            </w:r>
          </w:p>
        </w:tc>
      </w:tr>
      <w:tr w:rsidR="002D7080" w:rsidRPr="004D1E6F" w14:paraId="1190B4E6" w14:textId="77777777" w:rsidTr="002E2C37">
        <w:trPr>
          <w:trHeight w:val="70"/>
        </w:trPr>
        <w:tc>
          <w:tcPr>
            <w:tcW w:w="9067" w:type="dxa"/>
            <w:gridSpan w:val="2"/>
          </w:tcPr>
          <w:p w14:paraId="7DC88B7C" w14:textId="77777777"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119C04D1" w14:textId="77777777" w:rsidR="002D7080" w:rsidRPr="004D1E6F" w:rsidRDefault="002D7080"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FAO, 2022, ‘Global Aquaculture Production Quantity (1950–2019)’. Fisheries and Aquaculture Division [online]. Rome. [Cited Tuesday, March 22nd 2022]. </w:t>
            </w:r>
            <w:hyperlink w:history="1">
              <w:r w:rsidRPr="004D1E6F">
                <w:rPr>
                  <w:rStyle w:val="Hyperlink"/>
                  <w:rFonts w:ascii="Times New Roman" w:eastAsia="Times New Roman" w:hAnsi="Times New Roman" w:cs="Times New Roman"/>
                  <w:sz w:val="20"/>
                  <w:szCs w:val="20"/>
                  <w:lang w:eastAsia="en-ZA"/>
                </w:rPr>
                <w:t>https://www.fao.org/fishery/en/collection/aquaculture?lang=en</w:t>
              </w:r>
            </w:hyperlink>
          </w:p>
          <w:p w14:paraId="297187A4" w14:textId="77777777" w:rsidR="002D7080" w:rsidRPr="004D1E6F" w:rsidRDefault="002D7080"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Hinrichsen, E. 2019. Biodiversity risk and benefit assessment for Smooth Marron (</w:t>
            </w:r>
            <w:r w:rsidRPr="004D1E6F">
              <w:rPr>
                <w:rFonts w:ascii="Times New Roman" w:eastAsia="Times New Roman" w:hAnsi="Times New Roman" w:cs="Times New Roman"/>
                <w:i/>
                <w:sz w:val="20"/>
                <w:szCs w:val="20"/>
                <w:lang w:eastAsia="en-ZA"/>
              </w:rPr>
              <w:t>Cherax cainii</w:t>
            </w:r>
            <w:r w:rsidRPr="004D1E6F">
              <w:rPr>
                <w:rFonts w:ascii="Times New Roman" w:eastAsia="Times New Roman" w:hAnsi="Times New Roman" w:cs="Times New Roman"/>
                <w:sz w:val="20"/>
                <w:szCs w:val="20"/>
                <w:lang w:eastAsia="en-ZA"/>
              </w:rPr>
              <w:t>) and Hairy Marron (</w:t>
            </w:r>
            <w:r w:rsidRPr="004D1E6F">
              <w:rPr>
                <w:rFonts w:ascii="Times New Roman" w:eastAsia="Times New Roman" w:hAnsi="Times New Roman" w:cs="Times New Roman"/>
                <w:i/>
                <w:sz w:val="20"/>
                <w:szCs w:val="20"/>
                <w:lang w:eastAsia="en-ZA"/>
              </w:rPr>
              <w:t>Cherax tenuimanus</w:t>
            </w:r>
            <w:r w:rsidRPr="004D1E6F">
              <w:rPr>
                <w:rFonts w:ascii="Times New Roman" w:eastAsia="Times New Roman" w:hAnsi="Times New Roman" w:cs="Times New Roman"/>
                <w:sz w:val="20"/>
                <w:szCs w:val="20"/>
                <w:lang w:eastAsia="en-ZA"/>
              </w:rPr>
              <w:t xml:space="preserve">) in South Africa. Report prepared for the Department of Environment, Forestry and Fisheries. Appendix C – 1.5 BRBA. 79pp. </w:t>
            </w:r>
          </w:p>
          <w:p w14:paraId="2CF75F21" w14:textId="04C4504E" w:rsidR="00843B94" w:rsidRDefault="002D7080"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Calibri" w:hAnsi="Times New Roman" w:cs="Times New Roman"/>
                <w:sz w:val="20"/>
                <w:szCs w:val="20"/>
              </w:rPr>
              <w:t>Madzivanzira, T.C., South, J., Wood, L.E., Nunes, A.L.</w:t>
            </w:r>
            <w:r w:rsidRPr="004D1E6F">
              <w:rPr>
                <w:rFonts w:ascii="Times New Roman" w:eastAsia="Times New Roman" w:hAnsi="Times New Roman" w:cs="Times New Roman"/>
                <w:color w:val="000000"/>
                <w:sz w:val="20"/>
                <w:szCs w:val="20"/>
                <w:lang w:eastAsia="en-ZA"/>
              </w:rPr>
              <w:t xml:space="preserve"> &amp; </w:t>
            </w:r>
            <w:r w:rsidRPr="004D1E6F">
              <w:rPr>
                <w:rFonts w:ascii="Times New Roman" w:eastAsia="Calibri" w:hAnsi="Times New Roman" w:cs="Times New Roman"/>
                <w:sz w:val="20"/>
                <w:szCs w:val="20"/>
              </w:rPr>
              <w:t xml:space="preserve">Weyl, O.L.F., 2020, ‘A review of freshwater crayfish introductions in Africa’, </w:t>
            </w:r>
            <w:r w:rsidRPr="004D1E6F">
              <w:rPr>
                <w:rFonts w:ascii="Times New Roman" w:eastAsia="Calibri" w:hAnsi="Times New Roman" w:cs="Times New Roman"/>
                <w:i/>
                <w:sz w:val="20"/>
                <w:szCs w:val="20"/>
              </w:rPr>
              <w:t>Reviews in</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Calibri" w:hAnsi="Times New Roman" w:cs="Times New Roman"/>
                <w:i/>
                <w:sz w:val="20"/>
                <w:szCs w:val="20"/>
              </w:rPr>
              <w:t>Fisheries Science &amp; Aquaculture</w:t>
            </w:r>
            <w:r w:rsidRPr="004D1E6F">
              <w:rPr>
                <w:rFonts w:ascii="Times New Roman" w:eastAsia="Calibri" w:hAnsi="Times New Roman" w:cs="Times New Roman"/>
                <w:sz w:val="20"/>
                <w:szCs w:val="20"/>
              </w:rPr>
              <w:t>,</w:t>
            </w:r>
            <w:r w:rsidRPr="004D1E6F">
              <w:rPr>
                <w:rFonts w:ascii="Times New Roman" w:eastAsia="Calibri" w:hAnsi="Times New Roman" w:cs="Times New Roman"/>
                <w:i/>
                <w:sz w:val="20"/>
                <w:szCs w:val="20"/>
              </w:rPr>
              <w:t xml:space="preserve"> </w:t>
            </w:r>
            <w:r w:rsidRPr="004D1E6F">
              <w:rPr>
                <w:rFonts w:ascii="Times New Roman" w:eastAsia="Calibri" w:hAnsi="Times New Roman" w:cs="Times New Roman"/>
                <w:sz w:val="20"/>
                <w:szCs w:val="20"/>
              </w:rPr>
              <w:t xml:space="preserve">1-21, </w:t>
            </w:r>
            <w:r w:rsidR="00843B94" w:rsidRPr="00843B94">
              <w:rPr>
                <w:rFonts w:ascii="Times New Roman" w:eastAsia="Times New Roman" w:hAnsi="Times New Roman" w:cs="Times New Roman"/>
                <w:color w:val="000000"/>
                <w:sz w:val="20"/>
                <w:szCs w:val="20"/>
                <w:lang w:eastAsia="en-ZA"/>
              </w:rPr>
              <w:t>https://doi.org/10.1080/23308249.2020.1802405</w:t>
            </w:r>
          </w:p>
          <w:p w14:paraId="2CCB91F9" w14:textId="6A1E718F" w:rsidR="00843B94" w:rsidRDefault="002D7080"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w:t>
            </w:r>
            <w:hyperlink r:id="rId52" w:history="1">
              <w:r w:rsidR="00843B94" w:rsidRPr="00843B94">
                <w:rPr>
                  <w:rStyle w:val="Hyperlink"/>
                  <w:rFonts w:ascii="Times New Roman" w:hAnsi="Times New Roman" w:cs="Times New Roman"/>
                  <w:sz w:val="20"/>
                  <w:szCs w:val="20"/>
                </w:rPr>
                <w:t>https://doi.org/10.2989/16085914.2017.1405788</w:t>
              </w:r>
            </w:hyperlink>
          </w:p>
          <w:p w14:paraId="22C59924" w14:textId="18A92A61" w:rsidR="002D7080" w:rsidRPr="004D1E6F" w:rsidRDefault="002D7080"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SANBI (unpublished) Permits issued in respect of South Africa's National Environmental Management: Biodiversity Act's Alien and Invasive Species Regulations over the period October 2014 – December 2020. doi: 10.5281/zenodo.5101758</w:t>
            </w:r>
          </w:p>
        </w:tc>
      </w:tr>
      <w:tr w:rsidR="002D7080" w:rsidRPr="004D1E6F" w14:paraId="6A7530A6" w14:textId="77777777" w:rsidTr="002E2C37">
        <w:trPr>
          <w:trHeight w:val="343"/>
        </w:trPr>
        <w:tc>
          <w:tcPr>
            <w:tcW w:w="9067" w:type="dxa"/>
            <w:gridSpan w:val="2"/>
            <w:shd w:val="clear" w:color="auto" w:fill="F2F2F2" w:themeFill="background1" w:themeFillShade="F2"/>
          </w:tcPr>
          <w:p w14:paraId="7778A595"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MAN2b Environmental benefits of the </w:t>
            </w:r>
            <w:r w:rsidRPr="004D1E6F">
              <w:rPr>
                <w:rFonts w:ascii="Times New Roman" w:eastAsia="Times New Roman" w:hAnsi="Times New Roman" w:cs="Times New Roman"/>
                <w:b/>
                <w:i/>
                <w:sz w:val="20"/>
                <w:szCs w:val="20"/>
                <w:lang w:eastAsia="en-ZA"/>
              </w:rPr>
              <w:t>Taxon</w:t>
            </w:r>
          </w:p>
        </w:tc>
      </w:tr>
      <w:tr w:rsidR="002D7080" w:rsidRPr="004D1E6F" w14:paraId="09B0F031" w14:textId="77777777" w:rsidTr="002E2C37">
        <w:trPr>
          <w:trHeight w:val="259"/>
        </w:trPr>
        <w:tc>
          <w:tcPr>
            <w:tcW w:w="5240" w:type="dxa"/>
          </w:tcPr>
          <w:p w14:paraId="2CD8435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None</w:t>
            </w:r>
          </w:p>
        </w:tc>
        <w:tc>
          <w:tcPr>
            <w:tcW w:w="3827" w:type="dxa"/>
          </w:tcPr>
          <w:p w14:paraId="7F9B73A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380125C2" w14:textId="77777777" w:rsidTr="002E2C37">
        <w:trPr>
          <w:trHeight w:val="70"/>
        </w:trPr>
        <w:tc>
          <w:tcPr>
            <w:tcW w:w="9067" w:type="dxa"/>
            <w:gridSpan w:val="2"/>
          </w:tcPr>
          <w:p w14:paraId="63FB3A86" w14:textId="77777777" w:rsidR="002D7080" w:rsidRPr="004D1E6F" w:rsidRDefault="002D7080" w:rsidP="002E2C37">
            <w:pPr>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No documented information available. </w:t>
            </w:r>
          </w:p>
        </w:tc>
      </w:tr>
      <w:tr w:rsidR="002D7080" w:rsidRPr="004D1E6F" w14:paraId="1EEEB9F6" w14:textId="77777777" w:rsidTr="002E2C37">
        <w:trPr>
          <w:trHeight w:val="70"/>
        </w:trPr>
        <w:tc>
          <w:tcPr>
            <w:tcW w:w="9067" w:type="dxa"/>
            <w:gridSpan w:val="2"/>
          </w:tcPr>
          <w:p w14:paraId="1F125FB7"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4760DAF9"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209900A3" w14:textId="77777777" w:rsidTr="002E2C37">
        <w:trPr>
          <w:trHeight w:val="343"/>
        </w:trPr>
        <w:tc>
          <w:tcPr>
            <w:tcW w:w="9067" w:type="dxa"/>
            <w:gridSpan w:val="2"/>
            <w:shd w:val="clear" w:color="auto" w:fill="F2F2F2" w:themeFill="background1" w:themeFillShade="F2"/>
          </w:tcPr>
          <w:p w14:paraId="69BD5CAB"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MAN3 Ease of management</w:t>
            </w:r>
          </w:p>
        </w:tc>
      </w:tr>
      <w:tr w:rsidR="002D7080" w:rsidRPr="004D1E6F" w14:paraId="0A1CFA1A" w14:textId="77777777" w:rsidTr="002E2C37">
        <w:trPr>
          <w:trHeight w:val="343"/>
        </w:trPr>
        <w:tc>
          <w:tcPr>
            <w:tcW w:w="9067" w:type="dxa"/>
            <w:gridSpan w:val="2"/>
            <w:shd w:val="clear" w:color="auto" w:fill="F2F2F2" w:themeFill="background1" w:themeFillShade="F2"/>
          </w:tcPr>
          <w:p w14:paraId="28BA320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MAN3a How accessible are populations?</w:t>
            </w:r>
          </w:p>
        </w:tc>
      </w:tr>
      <w:tr w:rsidR="002D7080" w:rsidRPr="004D1E6F" w14:paraId="45328C71" w14:textId="77777777" w:rsidTr="002E2C37">
        <w:trPr>
          <w:trHeight w:val="183"/>
        </w:trPr>
        <w:tc>
          <w:tcPr>
            <w:tcW w:w="5240" w:type="dxa"/>
          </w:tcPr>
          <w:p w14:paraId="14B3719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Easy Access (0)</w:t>
            </w:r>
          </w:p>
        </w:tc>
        <w:tc>
          <w:tcPr>
            <w:tcW w:w="3827" w:type="dxa"/>
          </w:tcPr>
          <w:p w14:paraId="431985E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783E6D35" w14:textId="77777777" w:rsidTr="002E2C37">
        <w:trPr>
          <w:trHeight w:val="163"/>
        </w:trPr>
        <w:tc>
          <w:tcPr>
            <w:tcW w:w="9067" w:type="dxa"/>
            <w:gridSpan w:val="2"/>
          </w:tcPr>
          <w:p w14:paraId="3F429442" w14:textId="77777777" w:rsidR="002D7080" w:rsidRPr="004D1E6F" w:rsidRDefault="002D7080" w:rsidP="002E2C37">
            <w:pPr>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Although there are records of permit applications at CapeNature to import </w:t>
            </w:r>
            <w:r w:rsidRPr="004D1E6F">
              <w:rPr>
                <w:rFonts w:ascii="Times New Roman" w:eastAsia="Times New Roman" w:hAnsi="Times New Roman" w:cs="Times New Roman"/>
                <w:i/>
                <w:iCs/>
                <w:sz w:val="20"/>
                <w:szCs w:val="20"/>
                <w:lang w:eastAsia="en-ZA"/>
              </w:rPr>
              <w:t>C. cainii</w:t>
            </w:r>
            <w:r w:rsidRPr="004D1E6F">
              <w:rPr>
                <w:rFonts w:ascii="Times New Roman" w:eastAsia="Times New Roman" w:hAnsi="Times New Roman" w:cs="Times New Roman"/>
                <w:sz w:val="20"/>
                <w:szCs w:val="20"/>
                <w:lang w:eastAsia="en-ZA"/>
              </w:rPr>
              <w:t xml:space="preserve"> for aquaculture in the Western Cape (Nunes et al. 2017) marron aquaculture is apparently now restricted to a few small-scale aquaculture farms in the Eastern Cape (Hinrichsen, 2019).</w:t>
            </w:r>
            <w:r w:rsidRPr="004D1E6F">
              <w:rPr>
                <w:rFonts w:ascii="Times New Roman" w:eastAsia="Times New Roman" w:hAnsi="Times New Roman" w:cs="Times New Roman"/>
                <w:color w:val="000000"/>
                <w:sz w:val="20"/>
                <w:szCs w:val="20"/>
                <w:lang w:eastAsia="en-ZA"/>
              </w:rPr>
              <w:t xml:space="preserve"> As such current known populations are easy to access, though if there were naturalised populations, accessibility might become more difficult.</w:t>
            </w:r>
          </w:p>
        </w:tc>
      </w:tr>
      <w:tr w:rsidR="002D7080" w:rsidRPr="004D1E6F" w14:paraId="7BB670BE" w14:textId="77777777" w:rsidTr="002E2C37">
        <w:trPr>
          <w:trHeight w:val="70"/>
        </w:trPr>
        <w:tc>
          <w:tcPr>
            <w:tcW w:w="9067" w:type="dxa"/>
            <w:gridSpan w:val="2"/>
          </w:tcPr>
          <w:p w14:paraId="0DF0842A" w14:textId="77777777" w:rsidR="002D7080" w:rsidRPr="004D1E6F" w:rsidRDefault="002D7080"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F0B071D" w14:textId="77777777" w:rsidR="002D7080" w:rsidRPr="004D1E6F" w:rsidRDefault="002D7080"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Hinrichsen, E. 2019. Biodiversity risk and benefit assessment for Smooth Marron (</w:t>
            </w:r>
            <w:r w:rsidRPr="004D1E6F">
              <w:rPr>
                <w:rFonts w:ascii="Times New Roman" w:eastAsia="Times New Roman" w:hAnsi="Times New Roman" w:cs="Times New Roman"/>
                <w:i/>
                <w:sz w:val="20"/>
                <w:szCs w:val="20"/>
                <w:lang w:eastAsia="en-ZA"/>
              </w:rPr>
              <w:t>Cherax cainii</w:t>
            </w:r>
            <w:r w:rsidRPr="004D1E6F">
              <w:rPr>
                <w:rFonts w:ascii="Times New Roman" w:eastAsia="Times New Roman" w:hAnsi="Times New Roman" w:cs="Times New Roman"/>
                <w:sz w:val="20"/>
                <w:szCs w:val="20"/>
                <w:lang w:eastAsia="en-ZA"/>
              </w:rPr>
              <w:t>) and Hairy Marron (</w:t>
            </w:r>
            <w:r w:rsidRPr="004D1E6F">
              <w:rPr>
                <w:rFonts w:ascii="Times New Roman" w:eastAsia="Times New Roman" w:hAnsi="Times New Roman" w:cs="Times New Roman"/>
                <w:i/>
                <w:sz w:val="20"/>
                <w:szCs w:val="20"/>
                <w:lang w:eastAsia="en-ZA"/>
              </w:rPr>
              <w:t>Cherax tenuimanus</w:t>
            </w:r>
            <w:r w:rsidRPr="004D1E6F">
              <w:rPr>
                <w:rFonts w:ascii="Times New Roman" w:eastAsia="Times New Roman" w:hAnsi="Times New Roman" w:cs="Times New Roman"/>
                <w:sz w:val="20"/>
                <w:szCs w:val="20"/>
                <w:lang w:eastAsia="en-ZA"/>
              </w:rPr>
              <w:t xml:space="preserve">) in South Africa. Report prepared for the Department of Environment, Forestry and Fisheries. Appendix C – 1.5 BRBA. 79pp. </w:t>
            </w:r>
          </w:p>
          <w:p w14:paraId="451CC4CB" w14:textId="7A49717C" w:rsidR="002D7080" w:rsidRPr="004D1E6F" w:rsidRDefault="002D7080"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53" w:history="1">
              <w:r w:rsidR="00843B94" w:rsidRPr="00843B94">
                <w:rPr>
                  <w:rStyle w:val="Hyperlink"/>
                  <w:rFonts w:ascii="Times New Roman" w:eastAsia="Times New Roman" w:hAnsi="Times New Roman" w:cs="Times New Roman"/>
                  <w:sz w:val="20"/>
                  <w:szCs w:val="20"/>
                  <w:lang w:eastAsia="en-ZA"/>
                </w:rPr>
                <w:t>https://doi.org/10.2989/16085914.2017.1405788</w:t>
              </w:r>
            </w:hyperlink>
          </w:p>
        </w:tc>
      </w:tr>
      <w:tr w:rsidR="002D7080" w:rsidRPr="004D1E6F" w14:paraId="0052F28E" w14:textId="77777777" w:rsidTr="002E2C37">
        <w:trPr>
          <w:trHeight w:val="343"/>
        </w:trPr>
        <w:tc>
          <w:tcPr>
            <w:tcW w:w="9067" w:type="dxa"/>
            <w:gridSpan w:val="2"/>
            <w:shd w:val="clear" w:color="auto" w:fill="F2F2F2" w:themeFill="background1" w:themeFillShade="F2"/>
          </w:tcPr>
          <w:p w14:paraId="2110106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MAN3b Is detectability critically time-dependent?</w:t>
            </w:r>
          </w:p>
        </w:tc>
      </w:tr>
      <w:tr w:rsidR="002D7080" w:rsidRPr="004D1E6F" w14:paraId="4165E44A" w14:textId="77777777" w:rsidTr="002E2C37">
        <w:trPr>
          <w:trHeight w:val="183"/>
        </w:trPr>
        <w:tc>
          <w:tcPr>
            <w:tcW w:w="5240" w:type="dxa"/>
          </w:tcPr>
          <w:p w14:paraId="092FD39B" w14:textId="77777777" w:rsidR="002D7080" w:rsidRPr="004D1E6F" w:rsidRDefault="002D7080" w:rsidP="002E2C37">
            <w:pPr>
              <w:tabs>
                <w:tab w:val="left" w:pos="1481"/>
              </w:tabs>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Yes (2)</w:t>
            </w:r>
          </w:p>
        </w:tc>
        <w:tc>
          <w:tcPr>
            <w:tcW w:w="3827" w:type="dxa"/>
          </w:tcPr>
          <w:p w14:paraId="0AD5A69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2E3A5991" w14:textId="77777777" w:rsidTr="002E2C37">
        <w:trPr>
          <w:trHeight w:val="70"/>
        </w:trPr>
        <w:tc>
          <w:tcPr>
            <w:tcW w:w="9067" w:type="dxa"/>
            <w:gridSpan w:val="2"/>
          </w:tcPr>
          <w:p w14:paraId="7CF3C0DA" w14:textId="77777777" w:rsidR="002D7080" w:rsidRPr="004D1E6F" w:rsidRDefault="002D7080" w:rsidP="002E2C37">
            <w:pPr>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color w:val="000000"/>
                <w:sz w:val="20"/>
                <w:szCs w:val="20"/>
                <w:lang w:eastAsia="en-ZA"/>
              </w:rPr>
              <w:t>Cherax cainii</w:t>
            </w:r>
            <w:r w:rsidRPr="004D1E6F">
              <w:rPr>
                <w:rFonts w:ascii="Times New Roman" w:eastAsia="Times New Roman" w:hAnsi="Times New Roman" w:cs="Times New Roman"/>
                <w:iCs/>
                <w:color w:val="000000"/>
                <w:sz w:val="20"/>
                <w:szCs w:val="20"/>
                <w:lang w:eastAsia="en-ZA"/>
              </w:rPr>
              <w:t xml:space="preserve">, as a freshwater species, is </w:t>
            </w:r>
            <w:r w:rsidRPr="004D1E6F">
              <w:rPr>
                <w:rFonts w:ascii="Times New Roman" w:eastAsia="Times New Roman" w:hAnsi="Times New Roman" w:cs="Times New Roman"/>
                <w:color w:val="000000"/>
                <w:sz w:val="20"/>
                <w:szCs w:val="20"/>
                <w:lang w:eastAsia="en-ZA"/>
              </w:rPr>
              <w:t>generally difficult to detect, particularly given the species seem to be more active at night (Bryrant &amp; Papas 2007).</w:t>
            </w:r>
          </w:p>
        </w:tc>
      </w:tr>
      <w:tr w:rsidR="002D7080" w:rsidRPr="004D1E6F" w14:paraId="0B9EDE3A" w14:textId="77777777" w:rsidTr="002E2C37">
        <w:trPr>
          <w:trHeight w:val="70"/>
        </w:trPr>
        <w:tc>
          <w:tcPr>
            <w:tcW w:w="9067" w:type="dxa"/>
            <w:gridSpan w:val="2"/>
          </w:tcPr>
          <w:p w14:paraId="0F8AD896"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CA39BDA"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Bryant, D. &amp; Papas, P., 2007, ‘Marron </w:t>
            </w:r>
            <w:r w:rsidRPr="004D1E6F">
              <w:rPr>
                <w:rFonts w:ascii="Times New Roman" w:eastAsia="Times New Roman" w:hAnsi="Times New Roman" w:cs="Times New Roman"/>
                <w:i/>
                <w:iCs/>
                <w:color w:val="000000"/>
                <w:sz w:val="20"/>
                <w:szCs w:val="20"/>
                <w:lang w:eastAsia="en-ZA"/>
              </w:rPr>
              <w:t xml:space="preserve">Cherax cainii </w:t>
            </w:r>
            <w:r w:rsidRPr="004D1E6F">
              <w:rPr>
                <w:rFonts w:ascii="Times New Roman" w:eastAsia="Times New Roman" w:hAnsi="Times New Roman" w:cs="Times New Roman"/>
                <w:color w:val="000000"/>
                <w:sz w:val="20"/>
                <w:szCs w:val="20"/>
                <w:lang w:eastAsia="en-ZA"/>
              </w:rPr>
              <w:t>(Austin) in Victoria – a literature review’, Arthur Rylah Institute for Environmental Research Technical Report Series No. 167, Department of Sustainability and Environment, Heidelberg.</w:t>
            </w:r>
          </w:p>
        </w:tc>
      </w:tr>
      <w:tr w:rsidR="002D7080" w:rsidRPr="004D1E6F" w14:paraId="2D32EE12" w14:textId="77777777" w:rsidTr="002E2C37">
        <w:trPr>
          <w:trHeight w:val="343"/>
        </w:trPr>
        <w:tc>
          <w:tcPr>
            <w:tcW w:w="9067" w:type="dxa"/>
            <w:gridSpan w:val="2"/>
            <w:shd w:val="clear" w:color="auto" w:fill="F2F2F2" w:themeFill="background1" w:themeFillShade="F2"/>
          </w:tcPr>
          <w:p w14:paraId="68C01D5A"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MAN3c Time to reproduction</w:t>
            </w:r>
          </w:p>
        </w:tc>
      </w:tr>
      <w:tr w:rsidR="002D7080" w:rsidRPr="004D1E6F" w14:paraId="208E689D" w14:textId="77777777" w:rsidTr="002E2C37">
        <w:trPr>
          <w:trHeight w:val="183"/>
        </w:trPr>
        <w:tc>
          <w:tcPr>
            <w:tcW w:w="5240" w:type="dxa"/>
          </w:tcPr>
          <w:p w14:paraId="15E4035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1-3 years (1)</w:t>
            </w:r>
          </w:p>
        </w:tc>
        <w:tc>
          <w:tcPr>
            <w:tcW w:w="3827" w:type="dxa"/>
          </w:tcPr>
          <w:p w14:paraId="6761733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273A36B0" w14:textId="77777777" w:rsidTr="002E2C37">
        <w:trPr>
          <w:trHeight w:val="70"/>
        </w:trPr>
        <w:tc>
          <w:tcPr>
            <w:tcW w:w="9067" w:type="dxa"/>
            <w:gridSpan w:val="2"/>
          </w:tcPr>
          <w:p w14:paraId="12502222" w14:textId="77777777" w:rsidR="002D7080" w:rsidRPr="004D1E6F" w:rsidRDefault="002D7080" w:rsidP="002E2C37">
            <w:pPr>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color w:val="000000"/>
                <w:sz w:val="20"/>
                <w:szCs w:val="20"/>
                <w:lang w:eastAsia="en-ZA"/>
              </w:rPr>
              <w:t>Cherax cainii</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reaches sexual maturity</w:t>
            </w:r>
            <w:r w:rsidRPr="004D1E6F">
              <w:rPr>
                <w:rFonts w:ascii="Times New Roman" w:eastAsia="Calibri" w:hAnsi="Times New Roman" w:cs="Times New Roman"/>
                <w:sz w:val="20"/>
                <w:szCs w:val="20"/>
              </w:rPr>
              <w:t xml:space="preserve"> when two to three years (Beatty et al. 2004)</w:t>
            </w:r>
            <w:r w:rsidRPr="004D1E6F">
              <w:rPr>
                <w:rFonts w:ascii="Times New Roman" w:eastAsia="Times New Roman" w:hAnsi="Times New Roman" w:cs="Times New Roman"/>
                <w:color w:val="000000"/>
                <w:sz w:val="20"/>
                <w:szCs w:val="20"/>
                <w:lang w:eastAsia="en-ZA"/>
              </w:rPr>
              <w:t>.</w:t>
            </w:r>
          </w:p>
        </w:tc>
      </w:tr>
      <w:tr w:rsidR="002D7080" w:rsidRPr="004D1E6F" w14:paraId="0BAC1684" w14:textId="77777777" w:rsidTr="002E2C37">
        <w:trPr>
          <w:trHeight w:val="70"/>
        </w:trPr>
        <w:tc>
          <w:tcPr>
            <w:tcW w:w="9067" w:type="dxa"/>
            <w:gridSpan w:val="2"/>
          </w:tcPr>
          <w:p w14:paraId="7F50CA96"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978D5BA" w14:textId="6E93A83E" w:rsidR="002D7080" w:rsidRPr="004D1E6F" w:rsidRDefault="002D7080" w:rsidP="002E2C37">
            <w:pPr>
              <w:ind w:left="720" w:hanging="720"/>
              <w:jc w:val="both"/>
              <w:rPr>
                <w:rFonts w:ascii="Times New Roman" w:eastAsia="Times New Roman" w:hAnsi="Times New Roman" w:cs="Times New Roman"/>
                <w:sz w:val="20"/>
                <w:szCs w:val="20"/>
                <w:lang w:eastAsia="en-ZA"/>
              </w:rPr>
            </w:pPr>
            <w:bookmarkStart w:id="7" w:name="_Hlk213588742"/>
            <w:r w:rsidRPr="004D1E6F">
              <w:rPr>
                <w:rFonts w:ascii="Times New Roman" w:eastAsia="Times New Roman" w:hAnsi="Times New Roman" w:cs="Times New Roman"/>
                <w:color w:val="000000"/>
                <w:sz w:val="20"/>
                <w:szCs w:val="20"/>
                <w:lang w:eastAsia="en-ZA"/>
              </w:rPr>
              <w:t xml:space="preserve">Beatty, S.J., Morgan, D.L. &amp; Gill, H.S., 2004, ‘Biology of a translocated population of the large freshwater crayfish, </w:t>
            </w:r>
            <w:r w:rsidRPr="004D1E6F">
              <w:rPr>
                <w:rFonts w:ascii="Times New Roman" w:eastAsia="Times New Roman" w:hAnsi="Times New Roman" w:cs="Times New Roman"/>
                <w:i/>
                <w:color w:val="000000"/>
                <w:sz w:val="20"/>
                <w:szCs w:val="20"/>
                <w:lang w:eastAsia="en-ZA"/>
              </w:rPr>
              <w:t>Cherax cainii</w:t>
            </w:r>
            <w:r w:rsidRPr="004D1E6F">
              <w:rPr>
                <w:rFonts w:ascii="Times New Roman" w:eastAsia="Times New Roman" w:hAnsi="Times New Roman" w:cs="Times New Roman"/>
                <w:color w:val="000000"/>
                <w:sz w:val="20"/>
                <w:szCs w:val="20"/>
                <w:lang w:eastAsia="en-ZA"/>
              </w:rPr>
              <w:t xml:space="preserve"> Austin &amp; Ryan, 2002 in a Western Australian River’, </w:t>
            </w:r>
            <w:r w:rsidRPr="004D1E6F">
              <w:rPr>
                <w:rFonts w:ascii="Times New Roman" w:eastAsia="Times New Roman" w:hAnsi="Times New Roman" w:cs="Times New Roman"/>
                <w:i/>
                <w:iCs/>
                <w:color w:val="000000"/>
                <w:sz w:val="20"/>
                <w:szCs w:val="20"/>
                <w:lang w:eastAsia="en-ZA"/>
              </w:rPr>
              <w:t>Crustaceana</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77</w:t>
            </w:r>
            <w:r w:rsidRPr="004D1E6F">
              <w:rPr>
                <w:rFonts w:ascii="Times New Roman" w:eastAsia="Times New Roman" w:hAnsi="Times New Roman" w:cs="Times New Roman"/>
                <w:color w:val="000000"/>
                <w:sz w:val="20"/>
                <w:szCs w:val="20"/>
                <w:lang w:eastAsia="en-ZA"/>
              </w:rPr>
              <w:t xml:space="preserve">, 1329–1351, </w:t>
            </w:r>
            <w:r w:rsidR="00843B94" w:rsidRPr="00843B94">
              <w:rPr>
                <w:rFonts w:ascii="Times New Roman" w:eastAsia="Times New Roman" w:hAnsi="Times New Roman" w:cs="Times New Roman"/>
                <w:sz w:val="20"/>
                <w:szCs w:val="20"/>
                <w:lang w:eastAsia="en-ZA"/>
              </w:rPr>
              <w:t>https://www.jstor.org/stable/20107445</w:t>
            </w:r>
            <w:r w:rsidRPr="004D1E6F">
              <w:rPr>
                <w:rFonts w:ascii="Times New Roman" w:eastAsia="Times New Roman" w:hAnsi="Times New Roman" w:cs="Times New Roman"/>
                <w:color w:val="000000"/>
                <w:sz w:val="20"/>
                <w:szCs w:val="20"/>
                <w:lang w:eastAsia="en-ZA"/>
              </w:rPr>
              <w:t>.</w:t>
            </w:r>
            <w:bookmarkEnd w:id="7"/>
          </w:p>
        </w:tc>
      </w:tr>
      <w:tr w:rsidR="002D7080" w:rsidRPr="004D1E6F" w14:paraId="6A7E4C00" w14:textId="77777777" w:rsidTr="002E2C37">
        <w:trPr>
          <w:trHeight w:val="343"/>
        </w:trPr>
        <w:tc>
          <w:tcPr>
            <w:tcW w:w="9067" w:type="dxa"/>
            <w:gridSpan w:val="2"/>
            <w:shd w:val="clear" w:color="auto" w:fill="F2F2F2" w:themeFill="background1" w:themeFillShade="F2"/>
          </w:tcPr>
          <w:p w14:paraId="63E8868A"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MAN3d Propagule persistence</w:t>
            </w:r>
          </w:p>
        </w:tc>
      </w:tr>
      <w:tr w:rsidR="002D7080" w:rsidRPr="004D1E6F" w14:paraId="76ADED13" w14:textId="77777777" w:rsidTr="002E2C37">
        <w:trPr>
          <w:trHeight w:val="183"/>
        </w:trPr>
        <w:tc>
          <w:tcPr>
            <w:tcW w:w="5240" w:type="dxa"/>
          </w:tcPr>
          <w:p w14:paraId="0A367D1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0</w:t>
            </w:r>
          </w:p>
        </w:tc>
        <w:tc>
          <w:tcPr>
            <w:tcW w:w="3827" w:type="dxa"/>
          </w:tcPr>
          <w:p w14:paraId="676A5E3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31859F18" w14:textId="77777777" w:rsidTr="002E2C37">
        <w:trPr>
          <w:trHeight w:val="195"/>
        </w:trPr>
        <w:tc>
          <w:tcPr>
            <w:tcW w:w="9067" w:type="dxa"/>
            <w:gridSpan w:val="2"/>
          </w:tcPr>
          <w:p w14:paraId="096CE479" w14:textId="77777777" w:rsidR="002D7080" w:rsidRPr="004D1E6F" w:rsidRDefault="002D7080" w:rsidP="002E2C37">
            <w:pPr>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Marron crayfish usually spawns in spring and can produce between 200-400 eggs per spawning event. The eggs can take up to half a year to develop inside the females. Once the eggs have been fertilised, the female carries the eggs until they hatch. Hatchlings hang under the female's tale for many weeks until they can feed on their own.</w:t>
            </w:r>
          </w:p>
        </w:tc>
      </w:tr>
      <w:tr w:rsidR="002D7080" w:rsidRPr="004D1E6F" w14:paraId="4D8206DC" w14:textId="77777777" w:rsidTr="002E2C37">
        <w:trPr>
          <w:trHeight w:val="99"/>
        </w:trPr>
        <w:tc>
          <w:tcPr>
            <w:tcW w:w="9067" w:type="dxa"/>
            <w:gridSpan w:val="2"/>
          </w:tcPr>
          <w:p w14:paraId="6E352AD7"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08B9731E"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Department of Fisheries, Government of Australia. 2011. </w:t>
            </w:r>
            <w:r w:rsidRPr="004D1E6F">
              <w:rPr>
                <w:rFonts w:ascii="Times New Roman" w:eastAsia="Times New Roman" w:hAnsi="Times New Roman" w:cs="Times New Roman"/>
                <w:i/>
                <w:iCs/>
                <w:sz w:val="20"/>
                <w:szCs w:val="20"/>
                <w:lang w:eastAsia="en-ZA"/>
              </w:rPr>
              <w:t>Fisheries Factsheet Marron</w:t>
            </w:r>
            <w:r w:rsidRPr="004D1E6F">
              <w:rPr>
                <w:rFonts w:ascii="Times New Roman" w:eastAsia="Times New Roman" w:hAnsi="Times New Roman" w:cs="Times New Roman"/>
                <w:sz w:val="20"/>
                <w:szCs w:val="20"/>
                <w:lang w:eastAsia="en-ZA"/>
              </w:rPr>
              <w:t xml:space="preserve"> https://www.fish.wa.gov.au/Documents/recreational_fishing/fact_sheets/fact_sheet_marron.pdf</w:t>
            </w:r>
          </w:p>
        </w:tc>
      </w:tr>
      <w:tr w:rsidR="002D7080" w:rsidRPr="004D1E6F" w14:paraId="1E1FAD92" w14:textId="77777777" w:rsidTr="002E2C37">
        <w:trPr>
          <w:trHeight w:val="343"/>
        </w:trPr>
        <w:tc>
          <w:tcPr>
            <w:tcW w:w="9067" w:type="dxa"/>
            <w:gridSpan w:val="2"/>
            <w:shd w:val="clear" w:color="auto" w:fill="F2F2F2" w:themeFill="background1" w:themeFillShade="F2"/>
          </w:tcPr>
          <w:p w14:paraId="104E1245"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MAN3 Ease of management </w:t>
            </w:r>
          </w:p>
        </w:tc>
      </w:tr>
      <w:tr w:rsidR="002D7080" w:rsidRPr="004D1E6F" w14:paraId="58F95E0A" w14:textId="77777777" w:rsidTr="002E2C37">
        <w:trPr>
          <w:trHeight w:val="172"/>
        </w:trPr>
        <w:tc>
          <w:tcPr>
            <w:tcW w:w="5240" w:type="dxa"/>
          </w:tcPr>
          <w:p w14:paraId="40527EF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Medium</w:t>
            </w:r>
          </w:p>
        </w:tc>
        <w:tc>
          <w:tcPr>
            <w:tcW w:w="3827" w:type="dxa"/>
          </w:tcPr>
          <w:p w14:paraId="37DDF47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2893D871" w14:textId="77777777" w:rsidTr="002E2C37">
        <w:trPr>
          <w:trHeight w:val="70"/>
        </w:trPr>
        <w:tc>
          <w:tcPr>
            <w:tcW w:w="9067" w:type="dxa"/>
            <w:gridSpan w:val="2"/>
          </w:tcPr>
          <w:p w14:paraId="71997E6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Rationale: As a fairly small, largely nocturnal, freshwater species, </w:t>
            </w:r>
            <w:r w:rsidRPr="004D1E6F">
              <w:rPr>
                <w:rFonts w:ascii="Times New Roman" w:eastAsia="Times New Roman" w:hAnsi="Times New Roman" w:cs="Times New Roman"/>
                <w:i/>
                <w:color w:val="000000"/>
                <w:sz w:val="20"/>
                <w:szCs w:val="20"/>
                <w:lang w:eastAsia="en-ZA"/>
              </w:rPr>
              <w:t>C. cainii</w:t>
            </w:r>
            <w:r w:rsidRPr="004D1E6F">
              <w:rPr>
                <w:rFonts w:ascii="Times New Roman" w:eastAsia="Times New Roman" w:hAnsi="Times New Roman" w:cs="Times New Roman"/>
                <w:iCs/>
                <w:color w:val="000000"/>
                <w:sz w:val="20"/>
                <w:szCs w:val="20"/>
                <w:lang w:eastAsia="en-ZA"/>
              </w:rPr>
              <w:t xml:space="preserve"> are difficult to detect.  However current populations in the Area are under permit and so finding and accessing populations is not currently difficult.</w:t>
            </w:r>
          </w:p>
        </w:tc>
      </w:tr>
      <w:tr w:rsidR="002D7080" w:rsidRPr="004D1E6F" w14:paraId="661D48E6" w14:textId="77777777" w:rsidTr="002E2C37">
        <w:trPr>
          <w:trHeight w:val="70"/>
        </w:trPr>
        <w:tc>
          <w:tcPr>
            <w:tcW w:w="9067" w:type="dxa"/>
            <w:gridSpan w:val="2"/>
          </w:tcPr>
          <w:p w14:paraId="4AE32D68" w14:textId="77777777" w:rsidR="002D7080" w:rsidRPr="004D1E6F" w:rsidRDefault="002D7080" w:rsidP="002E2C37">
            <w:pPr>
              <w:ind w:left="567" w:hanging="567"/>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0851DE21" w14:textId="15360BBB" w:rsidR="002D7080" w:rsidRPr="008A0BC6" w:rsidRDefault="008A0BC6" w:rsidP="00843B94">
            <w:pPr>
              <w:ind w:left="720" w:hanging="720"/>
              <w:contextualSpacing/>
              <w:jc w:val="both"/>
              <w:rPr>
                <w:rFonts w:ascii="Times New Roman" w:eastAsia="Times New Roman" w:hAnsi="Times New Roman" w:cs="Times New Roman"/>
                <w:sz w:val="20"/>
                <w:szCs w:val="20"/>
                <w:lang w:eastAsia="en-ZA"/>
              </w:rPr>
            </w:pPr>
            <w:bookmarkStart w:id="8" w:name="_Hlk213588722"/>
            <w:r>
              <w:rPr>
                <w:rFonts w:ascii="Times New Roman" w:eastAsia="Times New Roman" w:hAnsi="Times New Roman" w:cs="Times New Roman"/>
                <w:color w:val="000000"/>
                <w:sz w:val="20"/>
                <w:szCs w:val="20"/>
                <w:lang w:eastAsia="en-ZA"/>
              </w:rPr>
              <w:t>D</w:t>
            </w:r>
            <w:r w:rsidR="002D7080" w:rsidRPr="004D1E6F">
              <w:rPr>
                <w:rFonts w:ascii="Times New Roman" w:eastAsia="Times New Roman" w:hAnsi="Times New Roman" w:cs="Times New Roman"/>
                <w:color w:val="000000"/>
                <w:sz w:val="20"/>
                <w:szCs w:val="20"/>
                <w:lang w:eastAsia="en-ZA"/>
              </w:rPr>
              <w:t xml:space="preserve">e Moor,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 </w:t>
            </w:r>
            <w:hyperlink r:id="rId54" w:history="1">
              <w:r w:rsidR="00843B94" w:rsidRPr="00843B94">
                <w:rPr>
                  <w:rStyle w:val="Hyperlink"/>
                  <w:rFonts w:ascii="Times New Roman" w:eastAsia="Times New Roman" w:hAnsi="Times New Roman" w:cs="Times New Roman"/>
                  <w:sz w:val="20"/>
                  <w:szCs w:val="20"/>
                  <w:lang w:eastAsia="en-ZA"/>
                </w:rPr>
                <w:t>https://doi.org/10.2989/16085914.2002.9626584</w:t>
              </w:r>
            </w:hyperlink>
            <w:r w:rsidR="00843B94" w:rsidRPr="00843B94">
              <w:rPr>
                <w:rFonts w:ascii="Times New Roman" w:eastAsia="Times New Roman" w:hAnsi="Times New Roman" w:cs="Times New Roman"/>
                <w:sz w:val="20"/>
                <w:szCs w:val="20"/>
                <w:lang w:eastAsia="en-ZA"/>
              </w:rPr>
              <w:t>.</w:t>
            </w:r>
          </w:p>
          <w:p w14:paraId="06AA6A59" w14:textId="5D1D35DE" w:rsidR="00843B94"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Calibri" w:hAnsi="Times New Roman" w:cs="Times New Roman"/>
                <w:sz w:val="20"/>
                <w:szCs w:val="20"/>
              </w:rPr>
              <w:t>Madzivanzira, T.C., South, J., Wood, L.E., Nunes, A.L.</w:t>
            </w:r>
            <w:r w:rsidRPr="004D1E6F">
              <w:rPr>
                <w:rFonts w:ascii="Times New Roman" w:eastAsia="Times New Roman" w:hAnsi="Times New Roman" w:cs="Times New Roman"/>
                <w:color w:val="000000"/>
                <w:sz w:val="20"/>
                <w:szCs w:val="20"/>
                <w:lang w:eastAsia="en-ZA"/>
              </w:rPr>
              <w:t xml:space="preserve"> &amp; </w:t>
            </w:r>
            <w:r w:rsidRPr="004D1E6F">
              <w:rPr>
                <w:rFonts w:ascii="Times New Roman" w:eastAsia="Calibri" w:hAnsi="Times New Roman" w:cs="Times New Roman"/>
                <w:sz w:val="20"/>
                <w:szCs w:val="20"/>
              </w:rPr>
              <w:t xml:space="preserve">Weyl, O.L.F., 2020, ‘A review of freshwater crayfish introductions in Africa’, </w:t>
            </w:r>
            <w:r w:rsidRPr="004D1E6F">
              <w:rPr>
                <w:rFonts w:ascii="Times New Roman" w:eastAsia="Calibri" w:hAnsi="Times New Roman" w:cs="Times New Roman"/>
                <w:i/>
                <w:sz w:val="20"/>
                <w:szCs w:val="20"/>
              </w:rPr>
              <w:t>Reviews in</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Calibri" w:hAnsi="Times New Roman" w:cs="Times New Roman"/>
                <w:i/>
                <w:sz w:val="20"/>
                <w:szCs w:val="20"/>
              </w:rPr>
              <w:t>Fisheries Science &amp; Aquaculture</w:t>
            </w:r>
            <w:r w:rsidRPr="004D1E6F">
              <w:rPr>
                <w:rFonts w:ascii="Times New Roman" w:eastAsia="Calibri" w:hAnsi="Times New Roman" w:cs="Times New Roman"/>
                <w:sz w:val="20"/>
                <w:szCs w:val="20"/>
              </w:rPr>
              <w:t xml:space="preserve">, 1-21, </w:t>
            </w:r>
            <w:r w:rsidR="00843B94" w:rsidRPr="00843B94">
              <w:rPr>
                <w:rFonts w:ascii="Times New Roman" w:eastAsia="Times New Roman" w:hAnsi="Times New Roman" w:cs="Times New Roman"/>
                <w:color w:val="000000"/>
                <w:sz w:val="20"/>
                <w:szCs w:val="20"/>
                <w:lang w:eastAsia="en-ZA"/>
              </w:rPr>
              <w:t>https://doi.org/10.1080/23308249.2020.1802405</w:t>
            </w:r>
          </w:p>
          <w:p w14:paraId="29BA2B56" w14:textId="3F8414D9"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55" w:history="1">
              <w:r w:rsidR="00843B94" w:rsidRPr="00843B94">
                <w:rPr>
                  <w:rStyle w:val="Hyperlink"/>
                  <w:rFonts w:ascii="Times New Roman" w:eastAsia="Times New Roman" w:hAnsi="Times New Roman" w:cs="Times New Roman"/>
                  <w:sz w:val="20"/>
                  <w:szCs w:val="20"/>
                  <w:lang w:eastAsia="en-ZA"/>
                </w:rPr>
                <w:t>https://doi.org/10.2989/16085914.2017.1405788</w:t>
              </w:r>
            </w:hyperlink>
            <w:bookmarkEnd w:id="8"/>
          </w:p>
        </w:tc>
      </w:tr>
    </w:tbl>
    <w:p w14:paraId="0C828469"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59AF3C1A" w14:textId="77777777" w:rsidTr="002E2C37">
        <w:trPr>
          <w:trHeight w:val="343"/>
        </w:trPr>
        <w:tc>
          <w:tcPr>
            <w:tcW w:w="9067" w:type="dxa"/>
            <w:gridSpan w:val="2"/>
            <w:shd w:val="clear" w:color="auto" w:fill="F2F2F2" w:themeFill="background1" w:themeFillShade="F2"/>
          </w:tcPr>
          <w:p w14:paraId="061E765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MAN4 Has the feasibility of eradication been evaluated?</w:t>
            </w:r>
          </w:p>
        </w:tc>
      </w:tr>
      <w:tr w:rsidR="002D7080" w:rsidRPr="004D1E6F" w14:paraId="7DAAEEC0" w14:textId="77777777" w:rsidTr="002E2C37">
        <w:trPr>
          <w:trHeight w:val="172"/>
        </w:trPr>
        <w:tc>
          <w:tcPr>
            <w:tcW w:w="5240" w:type="dxa"/>
          </w:tcPr>
          <w:p w14:paraId="32A19061" w14:textId="77777777" w:rsidR="002D7080" w:rsidRPr="004D1E6F" w:rsidRDefault="002D7080" w:rsidP="002E2C37">
            <w:pPr>
              <w:tabs>
                <w:tab w:val="left" w:pos="1589"/>
              </w:tabs>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No</w:t>
            </w:r>
          </w:p>
        </w:tc>
        <w:tc>
          <w:tcPr>
            <w:tcW w:w="3827" w:type="dxa"/>
          </w:tcPr>
          <w:p w14:paraId="7B2CB86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1D9D7956" w14:textId="77777777" w:rsidTr="002E2C37">
        <w:trPr>
          <w:trHeight w:val="70"/>
        </w:trPr>
        <w:tc>
          <w:tcPr>
            <w:tcW w:w="9067" w:type="dxa"/>
            <w:gridSpan w:val="2"/>
          </w:tcPr>
          <w:p w14:paraId="219649E4" w14:textId="326E951F" w:rsidR="002D7080" w:rsidRPr="004D1E6F" w:rsidRDefault="002D7080" w:rsidP="002E2C37">
            <w:pPr>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Currently there are no known populations outside of captivity in the country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"ITEM-2", "issue" : "2", "issued" : { "date-parts" : [ [ "2002" ] ] }, "page" : "125-139", "title" : "Potential impacts of alien freshwater crayfish in south africa", "type" : "article-journal", "volume" : "27" }, "uris" : [ "http://www.mendeley.com/documents/?uuid=c5c2a256-5d98-4f2f-9b7a-d62d27b07fc1"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w:t>
            </w:r>
            <w:r w:rsidR="008A0BC6">
              <w:rPr>
                <w:rFonts w:ascii="Times New Roman" w:eastAsia="Times New Roman" w:hAnsi="Times New Roman" w:cs="Times New Roman"/>
                <w:color w:val="000000"/>
                <w:sz w:val="20"/>
                <w:szCs w:val="20"/>
                <w:lang w:eastAsia="en-ZA"/>
              </w:rPr>
              <w:t>De Moor</w:t>
            </w:r>
            <w:r w:rsidRPr="004D1E6F">
              <w:rPr>
                <w:rFonts w:ascii="Times New Roman" w:eastAsia="Times New Roman" w:hAnsi="Times New Roman" w:cs="Times New Roman"/>
                <w:color w:val="000000"/>
                <w:sz w:val="20"/>
                <w:szCs w:val="20"/>
                <w:lang w:eastAsia="en-ZA"/>
              </w:rPr>
              <w:t xml:space="preserve"> 2002; Nunes et al. 2017)</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and so there has been no need to look at eradication to date.</w:t>
            </w:r>
          </w:p>
        </w:tc>
      </w:tr>
      <w:tr w:rsidR="002D7080" w:rsidRPr="004D1E6F" w14:paraId="1E3E19DD" w14:textId="77777777" w:rsidTr="002E2C37">
        <w:trPr>
          <w:trHeight w:val="203"/>
        </w:trPr>
        <w:tc>
          <w:tcPr>
            <w:tcW w:w="9067" w:type="dxa"/>
            <w:gridSpan w:val="2"/>
          </w:tcPr>
          <w:p w14:paraId="3D4492FD"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A2F043D" w14:textId="1593EC6B" w:rsidR="00843B94" w:rsidRPr="00843B94" w:rsidRDefault="008A0BC6" w:rsidP="00843B94">
            <w:pPr>
              <w:ind w:left="720" w:hanging="720"/>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w:t>
            </w:r>
            <w:r w:rsidR="00843B94" w:rsidRPr="00843B94">
              <w:rPr>
                <w:rFonts w:ascii="Times New Roman" w:eastAsia="Times New Roman" w:hAnsi="Times New Roman" w:cs="Times New Roman"/>
                <w:color w:val="000000"/>
                <w:sz w:val="20"/>
                <w:szCs w:val="20"/>
                <w:lang w:eastAsia="en-ZA"/>
              </w:rPr>
              <w:t xml:space="preserve">e Moor, I., 2002, ‘Potential impacts of alien freshwater crayfish in South Africa’, </w:t>
            </w:r>
            <w:r w:rsidR="00843B94" w:rsidRPr="00843B94">
              <w:rPr>
                <w:rFonts w:ascii="Times New Roman" w:eastAsia="Times New Roman" w:hAnsi="Times New Roman" w:cs="Times New Roman"/>
                <w:i/>
                <w:color w:val="000000"/>
                <w:sz w:val="20"/>
                <w:szCs w:val="20"/>
                <w:lang w:eastAsia="en-ZA"/>
              </w:rPr>
              <w:t>African Journal of Aquatic Science</w:t>
            </w:r>
            <w:r w:rsidR="00843B94" w:rsidRPr="00843B94">
              <w:rPr>
                <w:rFonts w:ascii="Times New Roman" w:eastAsia="Times New Roman" w:hAnsi="Times New Roman" w:cs="Times New Roman"/>
                <w:color w:val="000000"/>
                <w:sz w:val="20"/>
                <w:szCs w:val="20"/>
                <w:lang w:eastAsia="en-ZA"/>
              </w:rPr>
              <w:t xml:space="preserve"> 27, 125-139, </w:t>
            </w:r>
            <w:hyperlink r:id="rId56" w:history="1">
              <w:r w:rsidR="00843B94" w:rsidRPr="00843B94">
                <w:rPr>
                  <w:rStyle w:val="Hyperlink"/>
                  <w:rFonts w:ascii="Times New Roman" w:eastAsia="Times New Roman" w:hAnsi="Times New Roman" w:cs="Times New Roman"/>
                  <w:sz w:val="20"/>
                  <w:szCs w:val="20"/>
                  <w:lang w:eastAsia="en-ZA"/>
                </w:rPr>
                <w:t>https://doi.org/10.2989/16085914.2002.9626584</w:t>
              </w:r>
            </w:hyperlink>
            <w:r w:rsidR="00843B94" w:rsidRPr="00843B94">
              <w:rPr>
                <w:rFonts w:ascii="Times New Roman" w:eastAsia="Times New Roman" w:hAnsi="Times New Roman" w:cs="Times New Roman"/>
                <w:color w:val="000000"/>
                <w:sz w:val="20"/>
                <w:szCs w:val="20"/>
                <w:lang w:eastAsia="en-ZA"/>
              </w:rPr>
              <w:t>.</w:t>
            </w:r>
          </w:p>
          <w:p w14:paraId="2AC337BD" w14:textId="2A15856F" w:rsidR="002D7080" w:rsidRPr="004D1E6F" w:rsidRDefault="00061715" w:rsidP="002E2C37">
            <w:pPr>
              <w:ind w:left="720" w:hanging="720"/>
              <w:jc w:val="both"/>
              <w:rPr>
                <w:rFonts w:ascii="Times New Roman" w:eastAsia="Times New Roman" w:hAnsi="Times New Roman" w:cs="Times New Roman"/>
                <w:sz w:val="20"/>
                <w:szCs w:val="20"/>
                <w:lang w:eastAsia="en-ZA"/>
              </w:rPr>
            </w:pPr>
            <w:r w:rsidRPr="00061715">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061715">
              <w:rPr>
                <w:rFonts w:ascii="Times New Roman" w:eastAsia="Times New Roman" w:hAnsi="Times New Roman" w:cs="Times New Roman"/>
                <w:i/>
                <w:color w:val="000000"/>
                <w:sz w:val="20"/>
                <w:szCs w:val="20"/>
                <w:lang w:eastAsia="en-ZA"/>
              </w:rPr>
              <w:t>African Journal of Aquatic Science</w:t>
            </w:r>
            <w:r w:rsidRPr="00061715">
              <w:rPr>
                <w:rFonts w:ascii="Times New Roman" w:eastAsia="Times New Roman" w:hAnsi="Times New Roman" w:cs="Times New Roman"/>
                <w:color w:val="000000"/>
                <w:sz w:val="20"/>
                <w:szCs w:val="20"/>
                <w:lang w:eastAsia="en-ZA"/>
              </w:rPr>
              <w:t xml:space="preserve"> 42, 309-323, </w:t>
            </w:r>
            <w:hyperlink r:id="rId57" w:history="1">
              <w:r w:rsidRPr="00061715">
                <w:rPr>
                  <w:rStyle w:val="Hyperlink"/>
                  <w:rFonts w:ascii="Times New Roman" w:eastAsia="Times New Roman" w:hAnsi="Times New Roman" w:cs="Times New Roman"/>
                  <w:sz w:val="20"/>
                  <w:szCs w:val="20"/>
                  <w:lang w:eastAsia="en-ZA"/>
                </w:rPr>
                <w:t>https://doi.org/10.2989/16085914.2017.1405788</w:t>
              </w:r>
            </w:hyperlink>
            <w:r w:rsidR="002D7080" w:rsidRPr="004D1E6F">
              <w:rPr>
                <w:rFonts w:ascii="Times New Roman" w:eastAsia="Times New Roman" w:hAnsi="Times New Roman" w:cs="Times New Roman"/>
                <w:color w:val="000000"/>
                <w:sz w:val="20"/>
                <w:szCs w:val="20"/>
                <w:lang w:eastAsia="en-ZA"/>
              </w:rPr>
              <w:t>.</w:t>
            </w:r>
          </w:p>
        </w:tc>
      </w:tr>
    </w:tbl>
    <w:p w14:paraId="4F7302B5"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0A3BC847" w14:textId="77777777" w:rsidR="002D7080" w:rsidRDefault="002D7080" w:rsidP="002D7080">
      <w:pPr>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br w:type="page"/>
      </w:r>
    </w:p>
    <w:p w14:paraId="327EFC33"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4C9DF10A"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9067"/>
      </w:tblGrid>
      <w:tr w:rsidR="002D7080" w:rsidRPr="004D1E6F" w14:paraId="24BC47A3" w14:textId="77777777" w:rsidTr="002E2C37">
        <w:trPr>
          <w:trHeight w:val="343"/>
        </w:trPr>
        <w:tc>
          <w:tcPr>
            <w:tcW w:w="9067" w:type="dxa"/>
            <w:shd w:val="clear" w:color="auto" w:fill="F2F2F2" w:themeFill="background1" w:themeFillShade="F2"/>
          </w:tcPr>
          <w:p w14:paraId="6234F58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MAN5 Control options and monitoring approaches available for the </w:t>
            </w:r>
            <w:r w:rsidRPr="004D1E6F">
              <w:rPr>
                <w:rFonts w:ascii="Times New Roman" w:eastAsia="Times New Roman" w:hAnsi="Times New Roman" w:cs="Times New Roman"/>
                <w:b/>
                <w:i/>
                <w:sz w:val="20"/>
                <w:szCs w:val="20"/>
                <w:lang w:eastAsia="en-ZA"/>
              </w:rPr>
              <w:t>Taxon</w:t>
            </w:r>
          </w:p>
        </w:tc>
      </w:tr>
      <w:tr w:rsidR="002D7080" w:rsidRPr="004D1E6F" w14:paraId="4DEA3CB8" w14:textId="77777777" w:rsidTr="002E2C37">
        <w:trPr>
          <w:trHeight w:val="70"/>
        </w:trPr>
        <w:tc>
          <w:tcPr>
            <w:tcW w:w="9067" w:type="dxa"/>
          </w:tcPr>
          <w:p w14:paraId="6614FAE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sidRPr="004D1E6F">
              <w:rPr>
                <w:rFonts w:ascii="Times New Roman" w:eastAsia="Times New Roman" w:hAnsi="Times New Roman" w:cs="Times New Roman"/>
                <w:color w:val="000000"/>
                <w:sz w:val="20"/>
                <w:szCs w:val="20"/>
                <w:lang w:eastAsia="en-ZA"/>
              </w:rPr>
              <w:t xml:space="preserve">In New Zealand biocides have been used to control and eradicate closely related </w:t>
            </w:r>
            <w:r w:rsidRPr="004D1E6F">
              <w:rPr>
                <w:rFonts w:ascii="Times New Roman" w:eastAsia="Times New Roman" w:hAnsi="Times New Roman" w:cs="Times New Roman"/>
                <w:i/>
                <w:iCs/>
                <w:color w:val="000000"/>
                <w:sz w:val="20"/>
                <w:szCs w:val="20"/>
                <w:lang w:eastAsia="en-ZA"/>
              </w:rPr>
              <w:t>Cherax tenuimanus</w:t>
            </w:r>
            <w:r w:rsidRPr="004D1E6F">
              <w:rPr>
                <w:rFonts w:ascii="Times New Roman" w:eastAsia="Times New Roman" w:hAnsi="Times New Roman" w:cs="Times New Roman"/>
                <w:color w:val="000000"/>
                <w:sz w:val="20"/>
                <w:szCs w:val="20"/>
                <w:lang w:eastAsia="en-ZA"/>
              </w:rPr>
              <w:t xml:space="preserve"> hairy marron crayfish (Gould 2005), noting that such an approach would need to be carefully regulated given the potential for non-target impacts.</w:t>
            </w:r>
          </w:p>
        </w:tc>
      </w:tr>
      <w:tr w:rsidR="002D7080" w:rsidRPr="004D1E6F" w14:paraId="0A67B91D" w14:textId="77777777" w:rsidTr="002E2C37">
        <w:trPr>
          <w:trHeight w:val="203"/>
        </w:trPr>
        <w:tc>
          <w:tcPr>
            <w:tcW w:w="9067" w:type="dxa"/>
          </w:tcPr>
          <w:p w14:paraId="2E283FA7"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591EB73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Gould B, 2005, ‘Marron Interagency collaboration follows surprise catch’. </w:t>
            </w:r>
            <w:r w:rsidRPr="004D1E6F">
              <w:rPr>
                <w:rFonts w:ascii="Times New Roman" w:eastAsia="Times New Roman" w:hAnsi="Times New Roman" w:cs="Times New Roman"/>
                <w:i/>
                <w:sz w:val="20"/>
                <w:szCs w:val="20"/>
                <w:lang w:eastAsia="en-ZA"/>
              </w:rPr>
              <w:t>Biosecurity</w:t>
            </w:r>
            <w:r w:rsidRPr="004D1E6F">
              <w:rPr>
                <w:rFonts w:ascii="Times New Roman" w:eastAsia="Times New Roman" w:hAnsi="Times New Roman" w:cs="Times New Roman"/>
                <w:sz w:val="20"/>
                <w:szCs w:val="20"/>
                <w:lang w:eastAsia="en-ZA"/>
              </w:rPr>
              <w:t xml:space="preserve"> 60: 10-11</w:t>
            </w:r>
          </w:p>
        </w:tc>
      </w:tr>
    </w:tbl>
    <w:p w14:paraId="483531E0" w14:textId="77777777" w:rsidR="002D7080" w:rsidRPr="004D1E6F" w:rsidRDefault="002D7080" w:rsidP="002D7080">
      <w:pPr>
        <w:spacing w:after="0" w:line="240" w:lineRule="auto"/>
        <w:rPr>
          <w:rFonts w:ascii="Times New Roman" w:hAnsi="Times New Roman" w:cs="Times New Roman"/>
          <w:b/>
          <w:sz w:val="20"/>
          <w:szCs w:val="20"/>
        </w:rPr>
      </w:pPr>
    </w:p>
    <w:tbl>
      <w:tblPr>
        <w:tblStyle w:val="TableGrid"/>
        <w:tblW w:w="9067" w:type="dxa"/>
        <w:tblLook w:val="04A0" w:firstRow="1" w:lastRow="0" w:firstColumn="1" w:lastColumn="0" w:noHBand="0" w:noVBand="1"/>
      </w:tblPr>
      <w:tblGrid>
        <w:gridCol w:w="1696"/>
        <w:gridCol w:w="7371"/>
      </w:tblGrid>
      <w:tr w:rsidR="002D7080" w:rsidRPr="004D1E6F" w14:paraId="65514150" w14:textId="77777777" w:rsidTr="002E2C37">
        <w:trPr>
          <w:trHeight w:val="343"/>
        </w:trPr>
        <w:tc>
          <w:tcPr>
            <w:tcW w:w="9067" w:type="dxa"/>
            <w:gridSpan w:val="2"/>
            <w:shd w:val="clear" w:color="auto" w:fill="F2F2F2" w:themeFill="background1" w:themeFillShade="F2"/>
          </w:tcPr>
          <w:p w14:paraId="3BC73BE3"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MAN6 Any other management considerations to highlight? </w:t>
            </w:r>
          </w:p>
        </w:tc>
      </w:tr>
      <w:tr w:rsidR="002D7080" w:rsidRPr="004D1E6F" w14:paraId="24C08DC2" w14:textId="77777777" w:rsidTr="002E2C37">
        <w:trPr>
          <w:trHeight w:val="70"/>
        </w:trPr>
        <w:tc>
          <w:tcPr>
            <w:tcW w:w="1696" w:type="dxa"/>
          </w:tcPr>
          <w:p w14:paraId="79438FB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w:t>
            </w:r>
          </w:p>
        </w:tc>
        <w:tc>
          <w:tcPr>
            <w:tcW w:w="7371" w:type="dxa"/>
          </w:tcPr>
          <w:p w14:paraId="2FECA69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r>
    </w:tbl>
    <w:p w14:paraId="0A0B1236"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65C66713"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5. Calculations</w:t>
      </w:r>
    </w:p>
    <w:p w14:paraId="076D2C5B"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024B5A7B"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Likelihood = Fairly probable</w:t>
      </w:r>
    </w:p>
    <w:p w14:paraId="1FDAD5BC"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1195"/>
        <w:gridCol w:w="2628"/>
        <w:gridCol w:w="2939"/>
        <w:gridCol w:w="2254"/>
      </w:tblGrid>
      <w:tr w:rsidR="002D7080" w:rsidRPr="004D1E6F" w14:paraId="10862653" w14:textId="77777777" w:rsidTr="002E2C37">
        <w:tc>
          <w:tcPr>
            <w:tcW w:w="1195" w:type="dxa"/>
            <w:shd w:val="clear" w:color="auto" w:fill="D9D9D9" w:themeFill="background1" w:themeFillShade="D9"/>
            <w:vAlign w:val="center"/>
          </w:tcPr>
          <w:p w14:paraId="294657DB"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Parameter</w:t>
            </w:r>
          </w:p>
        </w:tc>
        <w:tc>
          <w:tcPr>
            <w:tcW w:w="2628" w:type="dxa"/>
            <w:shd w:val="clear" w:color="auto" w:fill="D9D9D9" w:themeFill="background1" w:themeFillShade="D9"/>
            <w:vAlign w:val="center"/>
          </w:tcPr>
          <w:p w14:paraId="0AA52CC7"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Likelihood</w:t>
            </w:r>
          </w:p>
        </w:tc>
        <w:tc>
          <w:tcPr>
            <w:tcW w:w="2939" w:type="dxa"/>
            <w:shd w:val="clear" w:color="auto" w:fill="D9D9D9" w:themeFill="background1" w:themeFillShade="D9"/>
            <w:vAlign w:val="center"/>
          </w:tcPr>
          <w:p w14:paraId="7DB374F4"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Stages</w:t>
            </w:r>
          </w:p>
        </w:tc>
        <w:tc>
          <w:tcPr>
            <w:tcW w:w="2254" w:type="dxa"/>
            <w:shd w:val="clear" w:color="auto" w:fill="D9D9D9" w:themeFill="background1" w:themeFillShade="D9"/>
            <w:vAlign w:val="center"/>
          </w:tcPr>
          <w:p w14:paraId="689AAA5A"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Final assessment</w:t>
            </w:r>
          </w:p>
        </w:tc>
      </w:tr>
      <w:tr w:rsidR="002D7080" w:rsidRPr="004D1E6F" w14:paraId="23235EB3" w14:textId="77777777" w:rsidTr="002E2C37">
        <w:tc>
          <w:tcPr>
            <w:tcW w:w="1195" w:type="dxa"/>
            <w:shd w:val="clear" w:color="auto" w:fill="D9D9D9" w:themeFill="background1" w:themeFillShade="D9"/>
            <w:vAlign w:val="center"/>
          </w:tcPr>
          <w:p w14:paraId="0578F9A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LIK1</w:t>
            </w:r>
          </w:p>
        </w:tc>
        <w:tc>
          <w:tcPr>
            <w:tcW w:w="2628" w:type="dxa"/>
            <w:vAlign w:val="center"/>
          </w:tcPr>
          <w:p w14:paraId="0D0E115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1</w:t>
            </w:r>
          </w:p>
        </w:tc>
        <w:tc>
          <w:tcPr>
            <w:tcW w:w="2939" w:type="dxa"/>
            <w:vMerge w:val="restart"/>
            <w:vAlign w:val="center"/>
          </w:tcPr>
          <w:p w14:paraId="6FBB6395"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P(entry) = 1</w:t>
            </w:r>
          </w:p>
        </w:tc>
        <w:tc>
          <w:tcPr>
            <w:tcW w:w="2254" w:type="dxa"/>
            <w:vMerge w:val="restart"/>
            <w:vAlign w:val="center"/>
          </w:tcPr>
          <w:p w14:paraId="02E8417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 (invasion) = 0.5</w:t>
            </w:r>
          </w:p>
        </w:tc>
      </w:tr>
      <w:tr w:rsidR="002D7080" w:rsidRPr="004D1E6F" w14:paraId="5717D050" w14:textId="77777777" w:rsidTr="002E2C37">
        <w:tc>
          <w:tcPr>
            <w:tcW w:w="1195" w:type="dxa"/>
            <w:shd w:val="clear" w:color="auto" w:fill="D9D9D9" w:themeFill="background1" w:themeFillShade="D9"/>
            <w:vAlign w:val="center"/>
          </w:tcPr>
          <w:p w14:paraId="1EF4B9E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LIK2</w:t>
            </w:r>
          </w:p>
        </w:tc>
        <w:tc>
          <w:tcPr>
            <w:tcW w:w="2628" w:type="dxa"/>
            <w:vAlign w:val="center"/>
          </w:tcPr>
          <w:p w14:paraId="2D8D426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1</w:t>
            </w:r>
          </w:p>
        </w:tc>
        <w:tc>
          <w:tcPr>
            <w:tcW w:w="2939" w:type="dxa"/>
            <w:vMerge/>
            <w:vAlign w:val="center"/>
          </w:tcPr>
          <w:p w14:paraId="1F38BDE3"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5ED972D9"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5F65B4B2" w14:textId="77777777" w:rsidTr="002E2C37">
        <w:tc>
          <w:tcPr>
            <w:tcW w:w="1195" w:type="dxa"/>
            <w:shd w:val="clear" w:color="auto" w:fill="D9D9D9" w:themeFill="background1" w:themeFillShade="D9"/>
            <w:vAlign w:val="center"/>
          </w:tcPr>
          <w:p w14:paraId="479F72F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LIK3</w:t>
            </w:r>
          </w:p>
        </w:tc>
        <w:tc>
          <w:tcPr>
            <w:tcW w:w="2628" w:type="dxa"/>
            <w:vAlign w:val="center"/>
          </w:tcPr>
          <w:p w14:paraId="4B0A48C5"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0.5</w:t>
            </w:r>
          </w:p>
        </w:tc>
        <w:tc>
          <w:tcPr>
            <w:tcW w:w="2939" w:type="dxa"/>
            <w:vMerge w:val="restart"/>
            <w:vAlign w:val="center"/>
          </w:tcPr>
          <w:p w14:paraId="64967BA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P(establishment) = 0.5</w:t>
            </w:r>
          </w:p>
        </w:tc>
        <w:tc>
          <w:tcPr>
            <w:tcW w:w="2254" w:type="dxa"/>
            <w:vMerge/>
            <w:vAlign w:val="center"/>
          </w:tcPr>
          <w:p w14:paraId="7C1226C1"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61755402" w14:textId="77777777" w:rsidTr="002E2C37">
        <w:tc>
          <w:tcPr>
            <w:tcW w:w="1195" w:type="dxa"/>
            <w:shd w:val="clear" w:color="auto" w:fill="D9D9D9" w:themeFill="background1" w:themeFillShade="D9"/>
            <w:vAlign w:val="center"/>
          </w:tcPr>
          <w:p w14:paraId="5BD1F0C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LIK4</w:t>
            </w:r>
          </w:p>
        </w:tc>
        <w:tc>
          <w:tcPr>
            <w:tcW w:w="2628" w:type="dxa"/>
            <w:vAlign w:val="center"/>
          </w:tcPr>
          <w:p w14:paraId="200F9DA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0.5</w:t>
            </w:r>
          </w:p>
        </w:tc>
        <w:tc>
          <w:tcPr>
            <w:tcW w:w="2939" w:type="dxa"/>
            <w:vMerge/>
            <w:vAlign w:val="center"/>
          </w:tcPr>
          <w:p w14:paraId="1220A7FA"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09D8E928"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068AEF7E" w14:textId="77777777" w:rsidTr="002E2C37">
        <w:tc>
          <w:tcPr>
            <w:tcW w:w="1195" w:type="dxa"/>
            <w:shd w:val="clear" w:color="auto" w:fill="D9D9D9" w:themeFill="background1" w:themeFillShade="D9"/>
            <w:vAlign w:val="center"/>
          </w:tcPr>
          <w:p w14:paraId="6D24BE9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LIK5</w:t>
            </w:r>
          </w:p>
        </w:tc>
        <w:tc>
          <w:tcPr>
            <w:tcW w:w="2628" w:type="dxa"/>
            <w:vAlign w:val="center"/>
          </w:tcPr>
          <w:p w14:paraId="35AFCBD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0.027</w:t>
            </w:r>
          </w:p>
        </w:tc>
        <w:tc>
          <w:tcPr>
            <w:tcW w:w="2939" w:type="dxa"/>
            <w:vMerge w:val="restart"/>
            <w:vAlign w:val="center"/>
          </w:tcPr>
          <w:p w14:paraId="342AF69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 (spread) = 1</w:t>
            </w:r>
          </w:p>
        </w:tc>
        <w:tc>
          <w:tcPr>
            <w:tcW w:w="2254" w:type="dxa"/>
            <w:vMerge/>
            <w:vAlign w:val="center"/>
          </w:tcPr>
          <w:p w14:paraId="6F435E70"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00357CB5" w14:textId="77777777" w:rsidTr="002E2C37">
        <w:tc>
          <w:tcPr>
            <w:tcW w:w="1195" w:type="dxa"/>
            <w:shd w:val="clear" w:color="auto" w:fill="D9D9D9" w:themeFill="background1" w:themeFillShade="D9"/>
            <w:vAlign w:val="center"/>
          </w:tcPr>
          <w:p w14:paraId="1B12718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LIK6</w:t>
            </w:r>
          </w:p>
        </w:tc>
        <w:tc>
          <w:tcPr>
            <w:tcW w:w="2628" w:type="dxa"/>
            <w:vAlign w:val="center"/>
          </w:tcPr>
          <w:p w14:paraId="2D9AA0E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1</w:t>
            </w:r>
          </w:p>
        </w:tc>
        <w:tc>
          <w:tcPr>
            <w:tcW w:w="2939" w:type="dxa"/>
            <w:vMerge/>
            <w:vAlign w:val="center"/>
          </w:tcPr>
          <w:p w14:paraId="201AF191"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44B21DFE" w14:textId="77777777" w:rsidR="002D7080" w:rsidRPr="004D1E6F" w:rsidRDefault="002D7080" w:rsidP="002E2C37">
            <w:pPr>
              <w:rPr>
                <w:rFonts w:ascii="Times New Roman" w:eastAsia="Times New Roman" w:hAnsi="Times New Roman" w:cs="Times New Roman"/>
                <w:sz w:val="20"/>
                <w:szCs w:val="20"/>
                <w:lang w:eastAsia="en-ZA"/>
              </w:rPr>
            </w:pPr>
          </w:p>
        </w:tc>
      </w:tr>
    </w:tbl>
    <w:p w14:paraId="1EFDE0A8"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0CA049A7"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Consequence = MR</w:t>
      </w:r>
    </w:p>
    <w:p w14:paraId="7C364B81" w14:textId="77777777" w:rsidR="002D7080" w:rsidRPr="004D1E6F" w:rsidRDefault="002D7080" w:rsidP="002D7080">
      <w:pPr>
        <w:spacing w:after="0" w:line="240" w:lineRule="auto"/>
        <w:rPr>
          <w:rFonts w:ascii="Times New Roman" w:eastAsia="Times New Roman" w:hAnsi="Times New Roman" w:cs="Times New Roman"/>
          <w:bCs/>
          <w:sz w:val="20"/>
          <w:szCs w:val="20"/>
          <w:lang w:eastAsia="en-ZA"/>
        </w:rPr>
      </w:pPr>
    </w:p>
    <w:tbl>
      <w:tblPr>
        <w:tblStyle w:val="TableGrid"/>
        <w:tblW w:w="0" w:type="auto"/>
        <w:tblLook w:val="04A0" w:firstRow="1" w:lastRow="0" w:firstColumn="1" w:lastColumn="0" w:noHBand="0" w:noVBand="1"/>
      </w:tblPr>
      <w:tblGrid>
        <w:gridCol w:w="1555"/>
        <w:gridCol w:w="5953"/>
        <w:gridCol w:w="1508"/>
      </w:tblGrid>
      <w:tr w:rsidR="002D7080" w:rsidRPr="004D1E6F" w14:paraId="7F16F8AD" w14:textId="77777777" w:rsidTr="002E2C37">
        <w:tc>
          <w:tcPr>
            <w:tcW w:w="1555" w:type="dxa"/>
            <w:shd w:val="clear" w:color="auto" w:fill="D9D9D9" w:themeFill="background1" w:themeFillShade="D9"/>
          </w:tcPr>
          <w:p w14:paraId="49FB8AC6"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Parameter</w:t>
            </w:r>
          </w:p>
        </w:tc>
        <w:tc>
          <w:tcPr>
            <w:tcW w:w="5953" w:type="dxa"/>
            <w:shd w:val="clear" w:color="auto" w:fill="D9D9D9" w:themeFill="background1" w:themeFillShade="D9"/>
          </w:tcPr>
          <w:p w14:paraId="5207B1F5"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Mechanism/sector</w:t>
            </w:r>
          </w:p>
        </w:tc>
        <w:tc>
          <w:tcPr>
            <w:tcW w:w="1508" w:type="dxa"/>
            <w:shd w:val="clear" w:color="auto" w:fill="D9D9D9" w:themeFill="background1" w:themeFillShade="D9"/>
          </w:tcPr>
          <w:p w14:paraId="0C42F0A7"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Response</w:t>
            </w:r>
          </w:p>
        </w:tc>
      </w:tr>
      <w:tr w:rsidR="002D7080" w:rsidRPr="004D1E6F" w14:paraId="6F418F7D" w14:textId="77777777" w:rsidTr="002E2C37">
        <w:tc>
          <w:tcPr>
            <w:tcW w:w="1555" w:type="dxa"/>
            <w:shd w:val="clear" w:color="auto" w:fill="D9D9D9" w:themeFill="background1" w:themeFillShade="D9"/>
          </w:tcPr>
          <w:p w14:paraId="2F4F060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CON1a</w:t>
            </w:r>
          </w:p>
        </w:tc>
        <w:tc>
          <w:tcPr>
            <w:tcW w:w="5953" w:type="dxa"/>
            <w:shd w:val="clear" w:color="auto" w:fill="F2F2F2" w:themeFill="background1" w:themeFillShade="F2"/>
          </w:tcPr>
          <w:p w14:paraId="05A6F3B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Competition</w:t>
            </w:r>
          </w:p>
        </w:tc>
        <w:tc>
          <w:tcPr>
            <w:tcW w:w="1508" w:type="dxa"/>
          </w:tcPr>
          <w:p w14:paraId="70E07DA8" w14:textId="77777777" w:rsidR="002D7080" w:rsidRPr="004D1E6F" w:rsidRDefault="002D7080" w:rsidP="002E2C37">
            <w:pPr>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7AD91C90" w14:textId="77777777" w:rsidTr="002E2C37">
        <w:tc>
          <w:tcPr>
            <w:tcW w:w="1555" w:type="dxa"/>
            <w:shd w:val="clear" w:color="auto" w:fill="D9D9D9" w:themeFill="background1" w:themeFillShade="D9"/>
          </w:tcPr>
          <w:p w14:paraId="412A992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CON1b</w:t>
            </w:r>
          </w:p>
        </w:tc>
        <w:tc>
          <w:tcPr>
            <w:tcW w:w="5953" w:type="dxa"/>
            <w:shd w:val="clear" w:color="auto" w:fill="F2F2F2" w:themeFill="background1" w:themeFillShade="F2"/>
          </w:tcPr>
          <w:p w14:paraId="1A4373C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Predation</w:t>
            </w:r>
          </w:p>
        </w:tc>
        <w:tc>
          <w:tcPr>
            <w:tcW w:w="1508" w:type="dxa"/>
          </w:tcPr>
          <w:p w14:paraId="28BD2249"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4DF43715" w14:textId="77777777" w:rsidTr="002E2C37">
        <w:tc>
          <w:tcPr>
            <w:tcW w:w="1555" w:type="dxa"/>
            <w:shd w:val="clear" w:color="auto" w:fill="D9D9D9" w:themeFill="background1" w:themeFillShade="D9"/>
          </w:tcPr>
          <w:p w14:paraId="7629BC8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CON1c</w:t>
            </w:r>
          </w:p>
        </w:tc>
        <w:tc>
          <w:tcPr>
            <w:tcW w:w="5953" w:type="dxa"/>
            <w:shd w:val="clear" w:color="auto" w:fill="F2F2F2" w:themeFill="background1" w:themeFillShade="F2"/>
          </w:tcPr>
          <w:p w14:paraId="3A3300A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Hybridisation</w:t>
            </w:r>
          </w:p>
        </w:tc>
        <w:tc>
          <w:tcPr>
            <w:tcW w:w="1508" w:type="dxa"/>
          </w:tcPr>
          <w:p w14:paraId="51ABFC20"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0816AA87" w14:textId="77777777" w:rsidTr="002E2C37">
        <w:tc>
          <w:tcPr>
            <w:tcW w:w="1555" w:type="dxa"/>
            <w:shd w:val="clear" w:color="auto" w:fill="D9D9D9" w:themeFill="background1" w:themeFillShade="D9"/>
          </w:tcPr>
          <w:p w14:paraId="2CF20A3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CON1d</w:t>
            </w:r>
          </w:p>
        </w:tc>
        <w:tc>
          <w:tcPr>
            <w:tcW w:w="5953" w:type="dxa"/>
            <w:shd w:val="clear" w:color="auto" w:fill="F2F2F2" w:themeFill="background1" w:themeFillShade="F2"/>
          </w:tcPr>
          <w:p w14:paraId="5C7E441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Disease transmission</w:t>
            </w:r>
          </w:p>
        </w:tc>
        <w:tc>
          <w:tcPr>
            <w:tcW w:w="1508" w:type="dxa"/>
          </w:tcPr>
          <w:p w14:paraId="7307AA21"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43893B82" w14:textId="77777777" w:rsidTr="002E2C37">
        <w:tc>
          <w:tcPr>
            <w:tcW w:w="1555" w:type="dxa"/>
            <w:shd w:val="clear" w:color="auto" w:fill="D9D9D9" w:themeFill="background1" w:themeFillShade="D9"/>
          </w:tcPr>
          <w:p w14:paraId="6898BE4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CON1e</w:t>
            </w:r>
          </w:p>
        </w:tc>
        <w:tc>
          <w:tcPr>
            <w:tcW w:w="5953" w:type="dxa"/>
            <w:shd w:val="clear" w:color="auto" w:fill="F2F2F2" w:themeFill="background1" w:themeFillShade="F2"/>
          </w:tcPr>
          <w:p w14:paraId="46C9983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Parasitism</w:t>
            </w:r>
          </w:p>
        </w:tc>
        <w:tc>
          <w:tcPr>
            <w:tcW w:w="1508" w:type="dxa"/>
          </w:tcPr>
          <w:p w14:paraId="3EE0722F"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0FB4142C" w14:textId="77777777" w:rsidTr="002E2C37">
        <w:tc>
          <w:tcPr>
            <w:tcW w:w="1555" w:type="dxa"/>
            <w:shd w:val="clear" w:color="auto" w:fill="D9D9D9" w:themeFill="background1" w:themeFillShade="D9"/>
          </w:tcPr>
          <w:p w14:paraId="02BCBA2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CON1f</w:t>
            </w:r>
          </w:p>
        </w:tc>
        <w:tc>
          <w:tcPr>
            <w:tcW w:w="5953" w:type="dxa"/>
            <w:shd w:val="clear" w:color="auto" w:fill="F2F2F2" w:themeFill="background1" w:themeFillShade="F2"/>
          </w:tcPr>
          <w:p w14:paraId="1D3F22E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Poisoning/toxicity</w:t>
            </w:r>
          </w:p>
        </w:tc>
        <w:tc>
          <w:tcPr>
            <w:tcW w:w="1508" w:type="dxa"/>
          </w:tcPr>
          <w:p w14:paraId="1A2B71A9"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543A9E3B" w14:textId="77777777" w:rsidTr="002E2C37">
        <w:tc>
          <w:tcPr>
            <w:tcW w:w="1555" w:type="dxa"/>
            <w:shd w:val="clear" w:color="auto" w:fill="D9D9D9" w:themeFill="background1" w:themeFillShade="D9"/>
          </w:tcPr>
          <w:p w14:paraId="0A76A32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CON1g</w:t>
            </w:r>
          </w:p>
        </w:tc>
        <w:tc>
          <w:tcPr>
            <w:tcW w:w="5953" w:type="dxa"/>
            <w:shd w:val="clear" w:color="auto" w:fill="F2F2F2" w:themeFill="background1" w:themeFillShade="F2"/>
          </w:tcPr>
          <w:p w14:paraId="045E718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Bio-fouling or other direct physical disturbance</w:t>
            </w:r>
          </w:p>
        </w:tc>
        <w:tc>
          <w:tcPr>
            <w:tcW w:w="1508" w:type="dxa"/>
          </w:tcPr>
          <w:p w14:paraId="363617C5"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0A0A02DE" w14:textId="77777777" w:rsidTr="002E2C37">
        <w:tc>
          <w:tcPr>
            <w:tcW w:w="1555" w:type="dxa"/>
            <w:shd w:val="clear" w:color="auto" w:fill="D9D9D9" w:themeFill="background1" w:themeFillShade="D9"/>
          </w:tcPr>
          <w:p w14:paraId="67D52A1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CON1h</w:t>
            </w:r>
          </w:p>
        </w:tc>
        <w:tc>
          <w:tcPr>
            <w:tcW w:w="5953" w:type="dxa"/>
            <w:shd w:val="clear" w:color="auto" w:fill="F2F2F2" w:themeFill="background1" w:themeFillShade="F2"/>
          </w:tcPr>
          <w:p w14:paraId="77BC29A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Grazing/herbivory/browsing</w:t>
            </w:r>
          </w:p>
        </w:tc>
        <w:tc>
          <w:tcPr>
            <w:tcW w:w="1508" w:type="dxa"/>
          </w:tcPr>
          <w:p w14:paraId="08965365"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11F83BDA" w14:textId="77777777" w:rsidTr="002E2C37">
        <w:tc>
          <w:tcPr>
            <w:tcW w:w="1555" w:type="dxa"/>
            <w:shd w:val="clear" w:color="auto" w:fill="D9D9D9" w:themeFill="background1" w:themeFillShade="D9"/>
          </w:tcPr>
          <w:p w14:paraId="3D1CA27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CON1i</w:t>
            </w:r>
          </w:p>
        </w:tc>
        <w:tc>
          <w:tcPr>
            <w:tcW w:w="5953" w:type="dxa"/>
            <w:shd w:val="clear" w:color="auto" w:fill="F2F2F2" w:themeFill="background1" w:themeFillShade="F2"/>
          </w:tcPr>
          <w:p w14:paraId="0E91825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Chemical, physical, structural impact</w:t>
            </w:r>
          </w:p>
        </w:tc>
        <w:tc>
          <w:tcPr>
            <w:tcW w:w="1508" w:type="dxa"/>
          </w:tcPr>
          <w:p w14:paraId="7F4194D9"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23C88D0C" w14:textId="77777777" w:rsidTr="002E2C37">
        <w:tc>
          <w:tcPr>
            <w:tcW w:w="1555" w:type="dxa"/>
            <w:shd w:val="clear" w:color="auto" w:fill="D9D9D9" w:themeFill="background1" w:themeFillShade="D9"/>
          </w:tcPr>
          <w:p w14:paraId="7B1CC6C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CON1k</w:t>
            </w:r>
          </w:p>
        </w:tc>
        <w:tc>
          <w:tcPr>
            <w:tcW w:w="5953" w:type="dxa"/>
            <w:shd w:val="clear" w:color="auto" w:fill="F2F2F2" w:themeFill="background1" w:themeFillShade="F2"/>
          </w:tcPr>
          <w:p w14:paraId="1A029D0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Indirect impacts through interactions with other species</w:t>
            </w:r>
          </w:p>
        </w:tc>
        <w:tc>
          <w:tcPr>
            <w:tcW w:w="1508" w:type="dxa"/>
          </w:tcPr>
          <w:p w14:paraId="714FF720"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568821E2" w14:textId="77777777" w:rsidTr="002E2C37">
        <w:tc>
          <w:tcPr>
            <w:tcW w:w="1555" w:type="dxa"/>
            <w:shd w:val="clear" w:color="auto" w:fill="D9D9D9" w:themeFill="background1" w:themeFillShade="D9"/>
          </w:tcPr>
          <w:p w14:paraId="5FD7DA1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w:t>
            </w:r>
          </w:p>
        </w:tc>
        <w:tc>
          <w:tcPr>
            <w:tcW w:w="5953" w:type="dxa"/>
            <w:shd w:val="clear" w:color="auto" w:fill="F2F2F2" w:themeFill="background1" w:themeFillShade="F2"/>
          </w:tcPr>
          <w:p w14:paraId="76D701F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Maximum environmental impact</w:t>
            </w:r>
          </w:p>
        </w:tc>
        <w:tc>
          <w:tcPr>
            <w:tcW w:w="1508" w:type="dxa"/>
          </w:tcPr>
          <w:p w14:paraId="3174525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2F7D2257" w14:textId="77777777" w:rsidTr="002E2C37">
        <w:tc>
          <w:tcPr>
            <w:tcW w:w="1555" w:type="dxa"/>
            <w:shd w:val="clear" w:color="auto" w:fill="D9D9D9" w:themeFill="background1" w:themeFillShade="D9"/>
          </w:tcPr>
          <w:p w14:paraId="3F88B71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CON2a</w:t>
            </w:r>
          </w:p>
        </w:tc>
        <w:tc>
          <w:tcPr>
            <w:tcW w:w="5953" w:type="dxa"/>
            <w:shd w:val="clear" w:color="auto" w:fill="F2F2F2" w:themeFill="background1" w:themeFillShade="F2"/>
          </w:tcPr>
          <w:p w14:paraId="7AE5AF7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Safety</w:t>
            </w:r>
          </w:p>
        </w:tc>
        <w:tc>
          <w:tcPr>
            <w:tcW w:w="1508" w:type="dxa"/>
          </w:tcPr>
          <w:p w14:paraId="588989ED"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5F88898D" w14:textId="77777777" w:rsidTr="002E2C37">
        <w:tc>
          <w:tcPr>
            <w:tcW w:w="1555" w:type="dxa"/>
            <w:shd w:val="clear" w:color="auto" w:fill="D9D9D9" w:themeFill="background1" w:themeFillShade="D9"/>
          </w:tcPr>
          <w:p w14:paraId="6E9B23E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CON2b</w:t>
            </w:r>
          </w:p>
        </w:tc>
        <w:tc>
          <w:tcPr>
            <w:tcW w:w="5953" w:type="dxa"/>
            <w:shd w:val="clear" w:color="auto" w:fill="F2F2F2" w:themeFill="background1" w:themeFillShade="F2"/>
          </w:tcPr>
          <w:p w14:paraId="50BCDC2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Material and immaterial assets</w:t>
            </w:r>
          </w:p>
        </w:tc>
        <w:tc>
          <w:tcPr>
            <w:tcW w:w="1508" w:type="dxa"/>
          </w:tcPr>
          <w:p w14:paraId="7857E8BD"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1C2751E3" w14:textId="77777777" w:rsidTr="002E2C37">
        <w:tc>
          <w:tcPr>
            <w:tcW w:w="1555" w:type="dxa"/>
            <w:shd w:val="clear" w:color="auto" w:fill="D9D9D9" w:themeFill="background1" w:themeFillShade="D9"/>
          </w:tcPr>
          <w:p w14:paraId="1411DFD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CON2c</w:t>
            </w:r>
          </w:p>
        </w:tc>
        <w:tc>
          <w:tcPr>
            <w:tcW w:w="5953" w:type="dxa"/>
            <w:shd w:val="clear" w:color="auto" w:fill="F2F2F2" w:themeFill="background1" w:themeFillShade="F2"/>
          </w:tcPr>
          <w:p w14:paraId="0CC4C0A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Health</w:t>
            </w:r>
          </w:p>
        </w:tc>
        <w:tc>
          <w:tcPr>
            <w:tcW w:w="1508" w:type="dxa"/>
          </w:tcPr>
          <w:p w14:paraId="731F8B13"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63A04630" w14:textId="77777777" w:rsidTr="002E2C37">
        <w:tc>
          <w:tcPr>
            <w:tcW w:w="1555" w:type="dxa"/>
            <w:shd w:val="clear" w:color="auto" w:fill="D9D9D9" w:themeFill="background1" w:themeFillShade="D9"/>
          </w:tcPr>
          <w:p w14:paraId="2B7D403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CON2d</w:t>
            </w:r>
          </w:p>
        </w:tc>
        <w:tc>
          <w:tcPr>
            <w:tcW w:w="5953" w:type="dxa"/>
            <w:shd w:val="clear" w:color="auto" w:fill="F2F2F2" w:themeFill="background1" w:themeFillShade="F2"/>
          </w:tcPr>
          <w:p w14:paraId="7F155425"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Social, spiritual and cultural relations</w:t>
            </w:r>
          </w:p>
        </w:tc>
        <w:tc>
          <w:tcPr>
            <w:tcW w:w="1508" w:type="dxa"/>
          </w:tcPr>
          <w:p w14:paraId="704A0B4C"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5F519BC1" w14:textId="77777777" w:rsidTr="002E2C37">
        <w:tc>
          <w:tcPr>
            <w:tcW w:w="1555" w:type="dxa"/>
            <w:shd w:val="clear" w:color="auto" w:fill="D9D9D9" w:themeFill="background1" w:themeFillShade="D9"/>
          </w:tcPr>
          <w:p w14:paraId="16B188B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w:t>
            </w:r>
          </w:p>
        </w:tc>
        <w:tc>
          <w:tcPr>
            <w:tcW w:w="5953" w:type="dxa"/>
            <w:shd w:val="clear" w:color="auto" w:fill="F2F2F2" w:themeFill="background1" w:themeFillShade="F2"/>
          </w:tcPr>
          <w:p w14:paraId="33D68FD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Maximum socio-economic impact</w:t>
            </w:r>
          </w:p>
        </w:tc>
        <w:tc>
          <w:tcPr>
            <w:tcW w:w="1508" w:type="dxa"/>
          </w:tcPr>
          <w:p w14:paraId="4958661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DD</w:t>
            </w:r>
          </w:p>
        </w:tc>
      </w:tr>
      <w:tr w:rsidR="002D7080" w:rsidRPr="004D1E6F" w14:paraId="64092F76" w14:textId="77777777" w:rsidTr="002E2C37">
        <w:trPr>
          <w:trHeight w:val="100"/>
        </w:trPr>
        <w:tc>
          <w:tcPr>
            <w:tcW w:w="1555" w:type="dxa"/>
            <w:shd w:val="clear" w:color="auto" w:fill="D9D9D9" w:themeFill="background1" w:themeFillShade="D9"/>
          </w:tcPr>
          <w:p w14:paraId="58D130A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w:t>
            </w:r>
          </w:p>
        </w:tc>
        <w:tc>
          <w:tcPr>
            <w:tcW w:w="5953" w:type="dxa"/>
            <w:shd w:val="clear" w:color="auto" w:fill="F2F2F2" w:themeFill="background1" w:themeFillShade="F2"/>
          </w:tcPr>
          <w:p w14:paraId="6C45367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Environmental impact of closely related taxa</w:t>
            </w:r>
          </w:p>
        </w:tc>
        <w:tc>
          <w:tcPr>
            <w:tcW w:w="1508" w:type="dxa"/>
          </w:tcPr>
          <w:p w14:paraId="36473000" w14:textId="77777777" w:rsidR="002D7080" w:rsidRPr="004D1E6F" w:rsidRDefault="002D7080" w:rsidP="002E2C37">
            <w:pPr>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MR</w:t>
            </w:r>
          </w:p>
        </w:tc>
      </w:tr>
      <w:tr w:rsidR="002D7080" w:rsidRPr="004D1E6F" w14:paraId="39D6F657" w14:textId="77777777" w:rsidTr="002E2C37">
        <w:tc>
          <w:tcPr>
            <w:tcW w:w="1555" w:type="dxa"/>
            <w:shd w:val="clear" w:color="auto" w:fill="D9D9D9" w:themeFill="background1" w:themeFillShade="D9"/>
          </w:tcPr>
          <w:p w14:paraId="4F6EBC4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CON4</w:t>
            </w:r>
          </w:p>
        </w:tc>
        <w:tc>
          <w:tcPr>
            <w:tcW w:w="5953" w:type="dxa"/>
            <w:shd w:val="clear" w:color="auto" w:fill="F2F2F2" w:themeFill="background1" w:themeFillShade="F2"/>
          </w:tcPr>
          <w:p w14:paraId="663AA82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Socio-economic impact of closely related taxa</w:t>
            </w:r>
          </w:p>
        </w:tc>
        <w:tc>
          <w:tcPr>
            <w:tcW w:w="1508" w:type="dxa"/>
          </w:tcPr>
          <w:p w14:paraId="73525D6C" w14:textId="77777777" w:rsidR="002D7080" w:rsidRPr="004D1E6F" w:rsidRDefault="002D7080" w:rsidP="002E2C37">
            <w:pPr>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MO</w:t>
            </w:r>
          </w:p>
        </w:tc>
      </w:tr>
      <w:tr w:rsidR="002D7080" w:rsidRPr="004D1E6F" w14:paraId="667EF414" w14:textId="77777777" w:rsidTr="002E2C37">
        <w:tc>
          <w:tcPr>
            <w:tcW w:w="1555" w:type="dxa"/>
            <w:shd w:val="clear" w:color="auto" w:fill="D9D9D9" w:themeFill="background1" w:themeFillShade="D9"/>
          </w:tcPr>
          <w:p w14:paraId="06B5360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CON5</w:t>
            </w:r>
          </w:p>
        </w:tc>
        <w:tc>
          <w:tcPr>
            <w:tcW w:w="5953" w:type="dxa"/>
            <w:shd w:val="clear" w:color="auto" w:fill="F2F2F2" w:themeFill="background1" w:themeFillShade="F2"/>
          </w:tcPr>
          <w:p w14:paraId="70E797B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Potential impact based on traits, experiments, or models</w:t>
            </w:r>
          </w:p>
        </w:tc>
        <w:tc>
          <w:tcPr>
            <w:tcW w:w="1508" w:type="dxa"/>
          </w:tcPr>
          <w:p w14:paraId="7FB539FF" w14:textId="77777777" w:rsidR="002D7080" w:rsidRPr="004D1E6F" w:rsidRDefault="002D7080" w:rsidP="002E2C37">
            <w:pPr>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MO</w:t>
            </w:r>
          </w:p>
        </w:tc>
      </w:tr>
    </w:tbl>
    <w:p w14:paraId="2F669AA1"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0E46D388"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Risk score = High</w:t>
      </w:r>
    </w:p>
    <w:p w14:paraId="4E2DAEFE" w14:textId="77777777" w:rsidR="002D7080" w:rsidRPr="004D1E6F" w:rsidRDefault="002D7080" w:rsidP="002D7080">
      <w:pPr>
        <w:spacing w:after="0" w:line="240" w:lineRule="auto"/>
        <w:rPr>
          <w:rFonts w:ascii="Times New Roman" w:hAnsi="Times New Roman" w:cs="Times New Roman"/>
          <w:sz w:val="20"/>
          <w:szCs w:val="20"/>
        </w:rPr>
      </w:pPr>
    </w:p>
    <w:tbl>
      <w:tblPr>
        <w:tblW w:w="7700" w:type="dxa"/>
        <w:jc w:val="center"/>
        <w:tblCellMar>
          <w:left w:w="70" w:type="dxa"/>
          <w:right w:w="70" w:type="dxa"/>
        </w:tblCellMar>
        <w:tblLook w:val="04A0" w:firstRow="1" w:lastRow="0" w:firstColumn="1" w:lastColumn="0" w:noHBand="0" w:noVBand="1"/>
      </w:tblPr>
      <w:tblGrid>
        <w:gridCol w:w="440"/>
        <w:gridCol w:w="2060"/>
        <w:gridCol w:w="1004"/>
        <w:gridCol w:w="953"/>
        <w:gridCol w:w="1223"/>
        <w:gridCol w:w="953"/>
        <w:gridCol w:w="1067"/>
      </w:tblGrid>
      <w:tr w:rsidR="002D7080" w:rsidRPr="004D1E6F" w14:paraId="0371ECBE" w14:textId="77777777" w:rsidTr="002E2C37">
        <w:trPr>
          <w:trHeight w:val="231"/>
          <w:jc w:val="center"/>
        </w:trPr>
        <w:tc>
          <w:tcPr>
            <w:tcW w:w="440" w:type="dxa"/>
            <w:vMerge w:val="restart"/>
            <w:tcBorders>
              <w:top w:val="nil"/>
              <w:left w:val="nil"/>
              <w:bottom w:val="single" w:sz="4" w:space="0" w:color="000000"/>
              <w:right w:val="nil"/>
            </w:tcBorders>
            <w:noWrap/>
            <w:vAlign w:val="bottom"/>
            <w:hideMark/>
          </w:tcPr>
          <w:p w14:paraId="499F3504"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 </w:t>
            </w:r>
          </w:p>
        </w:tc>
        <w:tc>
          <w:tcPr>
            <w:tcW w:w="2060" w:type="dxa"/>
            <w:vMerge w:val="restart"/>
            <w:tcBorders>
              <w:top w:val="nil"/>
              <w:left w:val="nil"/>
              <w:bottom w:val="single" w:sz="4" w:space="0" w:color="000000"/>
              <w:right w:val="single" w:sz="4" w:space="0" w:color="auto"/>
            </w:tcBorders>
            <w:noWrap/>
            <w:vAlign w:val="bottom"/>
            <w:hideMark/>
          </w:tcPr>
          <w:p w14:paraId="7BC1C61F"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 </w:t>
            </w:r>
          </w:p>
        </w:tc>
        <w:tc>
          <w:tcPr>
            <w:tcW w:w="5200" w:type="dxa"/>
            <w:gridSpan w:val="5"/>
            <w:tcBorders>
              <w:top w:val="single" w:sz="4" w:space="0" w:color="auto"/>
              <w:left w:val="nil"/>
              <w:bottom w:val="single" w:sz="4" w:space="0" w:color="auto"/>
              <w:right w:val="nil"/>
            </w:tcBorders>
            <w:shd w:val="clear" w:color="000000" w:fill="F2F2F2"/>
            <w:noWrap/>
            <w:vAlign w:val="bottom"/>
            <w:hideMark/>
          </w:tcPr>
          <w:p w14:paraId="53DA9423"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Consequences</w:t>
            </w:r>
          </w:p>
        </w:tc>
      </w:tr>
      <w:tr w:rsidR="002D7080" w:rsidRPr="004D1E6F" w14:paraId="1A35FA47" w14:textId="77777777" w:rsidTr="002E2C37">
        <w:trPr>
          <w:trHeight w:val="281"/>
          <w:jc w:val="center"/>
        </w:trPr>
        <w:tc>
          <w:tcPr>
            <w:tcW w:w="440" w:type="dxa"/>
            <w:vMerge/>
            <w:tcBorders>
              <w:top w:val="nil"/>
              <w:left w:val="nil"/>
              <w:bottom w:val="single" w:sz="4" w:space="0" w:color="000000"/>
              <w:right w:val="nil"/>
            </w:tcBorders>
            <w:vAlign w:val="center"/>
            <w:hideMark/>
          </w:tcPr>
          <w:p w14:paraId="4493E953"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vMerge/>
            <w:tcBorders>
              <w:top w:val="nil"/>
              <w:left w:val="nil"/>
              <w:bottom w:val="single" w:sz="4" w:space="0" w:color="auto"/>
              <w:right w:val="single" w:sz="4" w:space="0" w:color="auto"/>
            </w:tcBorders>
            <w:vAlign w:val="center"/>
            <w:hideMark/>
          </w:tcPr>
          <w:p w14:paraId="796AE6BF"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1004" w:type="dxa"/>
            <w:tcBorders>
              <w:top w:val="single" w:sz="4" w:space="0" w:color="auto"/>
              <w:left w:val="nil"/>
              <w:bottom w:val="single" w:sz="4" w:space="0" w:color="auto"/>
              <w:right w:val="single" w:sz="4" w:space="0" w:color="auto"/>
            </w:tcBorders>
            <w:shd w:val="clear" w:color="000000" w:fill="F2F2F2"/>
            <w:noWrap/>
            <w:vAlign w:val="bottom"/>
            <w:hideMark/>
          </w:tcPr>
          <w:p w14:paraId="1523262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MC</w:t>
            </w:r>
          </w:p>
        </w:tc>
        <w:tc>
          <w:tcPr>
            <w:tcW w:w="953"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007C3856"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MN</w:t>
            </w:r>
          </w:p>
        </w:tc>
        <w:tc>
          <w:tcPr>
            <w:tcW w:w="1223"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3889E042"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MO</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1C6D137B"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MR</w:t>
            </w:r>
          </w:p>
        </w:tc>
        <w:tc>
          <w:tcPr>
            <w:tcW w:w="10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1F9109E9"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MV</w:t>
            </w:r>
          </w:p>
        </w:tc>
      </w:tr>
      <w:tr w:rsidR="002D7080" w:rsidRPr="004D1E6F" w14:paraId="00792274" w14:textId="77777777" w:rsidTr="002E2C37">
        <w:trPr>
          <w:trHeight w:val="271"/>
          <w:jc w:val="center"/>
        </w:trPr>
        <w:tc>
          <w:tcPr>
            <w:tcW w:w="440" w:type="dxa"/>
            <w:vMerge w:val="restart"/>
            <w:tcBorders>
              <w:top w:val="single" w:sz="4" w:space="0" w:color="000000"/>
              <w:left w:val="single" w:sz="4" w:space="0" w:color="auto"/>
              <w:bottom w:val="single" w:sz="4" w:space="0" w:color="auto"/>
              <w:right w:val="single" w:sz="4" w:space="0" w:color="auto"/>
            </w:tcBorders>
            <w:shd w:val="clear" w:color="000000" w:fill="F2F2F2"/>
            <w:noWrap/>
            <w:textDirection w:val="btLr"/>
            <w:vAlign w:val="center"/>
            <w:hideMark/>
          </w:tcPr>
          <w:p w14:paraId="23CF25F9"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Likelihood</w:t>
            </w:r>
          </w:p>
        </w:tc>
        <w:tc>
          <w:tcPr>
            <w:tcW w:w="2060" w:type="dxa"/>
            <w:tcBorders>
              <w:top w:val="single" w:sz="4" w:space="0" w:color="auto"/>
              <w:left w:val="nil"/>
              <w:bottom w:val="single" w:sz="4" w:space="0" w:color="auto"/>
              <w:right w:val="single" w:sz="4" w:space="0" w:color="auto"/>
            </w:tcBorders>
            <w:shd w:val="clear" w:color="000000" w:fill="F2F2F2"/>
            <w:noWrap/>
            <w:vAlign w:val="center"/>
            <w:hideMark/>
          </w:tcPr>
          <w:p w14:paraId="5CF0936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Extremely unlikely</w:t>
            </w:r>
          </w:p>
        </w:tc>
        <w:tc>
          <w:tcPr>
            <w:tcW w:w="1004" w:type="dxa"/>
            <w:tcBorders>
              <w:top w:val="single" w:sz="4" w:space="0" w:color="auto"/>
              <w:left w:val="nil"/>
              <w:bottom w:val="single" w:sz="4" w:space="0" w:color="auto"/>
              <w:right w:val="single" w:sz="4" w:space="0" w:color="auto"/>
            </w:tcBorders>
            <w:noWrap/>
            <w:vAlign w:val="center"/>
            <w:hideMark/>
          </w:tcPr>
          <w:p w14:paraId="1454B1D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10382908"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558ABECB"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6C65600"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1DE1930"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r>
      <w:tr w:rsidR="002D7080" w:rsidRPr="004D1E6F" w14:paraId="46C6FDE6" w14:textId="77777777" w:rsidTr="002E2C37">
        <w:trPr>
          <w:trHeight w:val="275"/>
          <w:jc w:val="center"/>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422B71B7"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000000" w:fill="F2F2F2"/>
            <w:noWrap/>
            <w:vAlign w:val="center"/>
            <w:hideMark/>
          </w:tcPr>
          <w:p w14:paraId="17B64E74"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Very unlikely</w:t>
            </w:r>
          </w:p>
        </w:tc>
        <w:tc>
          <w:tcPr>
            <w:tcW w:w="1004" w:type="dxa"/>
            <w:tcBorders>
              <w:top w:val="single" w:sz="4" w:space="0" w:color="auto"/>
              <w:left w:val="nil"/>
              <w:bottom w:val="single" w:sz="4" w:space="0" w:color="auto"/>
              <w:right w:val="single" w:sz="4" w:space="0" w:color="auto"/>
            </w:tcBorders>
            <w:noWrap/>
            <w:vAlign w:val="center"/>
            <w:hideMark/>
          </w:tcPr>
          <w:p w14:paraId="47EC7655"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5846B9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541FD84B"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4B992AE"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E3D0A75"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58418D27" w14:textId="77777777" w:rsidTr="002E2C37">
        <w:trPr>
          <w:trHeight w:val="265"/>
          <w:jc w:val="center"/>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5B0740C3"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000000" w:fill="F2F2F2"/>
            <w:noWrap/>
            <w:vAlign w:val="center"/>
            <w:hideMark/>
          </w:tcPr>
          <w:p w14:paraId="404C5B5F"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Unlikely</w:t>
            </w:r>
          </w:p>
        </w:tc>
        <w:tc>
          <w:tcPr>
            <w:tcW w:w="1004" w:type="dxa"/>
            <w:tcBorders>
              <w:top w:val="single" w:sz="4" w:space="0" w:color="auto"/>
              <w:left w:val="nil"/>
              <w:bottom w:val="single" w:sz="4" w:space="0" w:color="auto"/>
              <w:right w:val="single" w:sz="4" w:space="0" w:color="auto"/>
            </w:tcBorders>
            <w:noWrap/>
            <w:vAlign w:val="center"/>
            <w:hideMark/>
          </w:tcPr>
          <w:p w14:paraId="4C5A1FE1"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885E8CF"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04412086"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189678E"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1F56993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6394ED49" w14:textId="77777777" w:rsidTr="002E2C37">
        <w:trPr>
          <w:trHeight w:val="283"/>
          <w:jc w:val="center"/>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65D102C2"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FFFF00"/>
            <w:noWrap/>
            <w:vAlign w:val="center"/>
            <w:hideMark/>
          </w:tcPr>
          <w:p w14:paraId="1E63B468"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Fairly probable</w:t>
            </w:r>
          </w:p>
        </w:tc>
        <w:tc>
          <w:tcPr>
            <w:tcW w:w="1004" w:type="dxa"/>
            <w:tcBorders>
              <w:top w:val="single" w:sz="4" w:space="0" w:color="auto"/>
              <w:left w:val="nil"/>
              <w:bottom w:val="single" w:sz="4" w:space="0" w:color="auto"/>
              <w:right w:val="single" w:sz="4" w:space="0" w:color="auto"/>
            </w:tcBorders>
            <w:noWrap/>
            <w:vAlign w:val="center"/>
            <w:hideMark/>
          </w:tcPr>
          <w:p w14:paraId="720CAAC8"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B00B2EA"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14DCA961"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05AB724"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330D62A"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1A55C3A7" w14:textId="77777777" w:rsidTr="002E2C37">
        <w:trPr>
          <w:trHeight w:val="273"/>
          <w:jc w:val="center"/>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635FF62A"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000000" w:fill="F2F2F2"/>
            <w:noWrap/>
            <w:vAlign w:val="center"/>
            <w:hideMark/>
          </w:tcPr>
          <w:p w14:paraId="737391A1"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Probable</w:t>
            </w:r>
          </w:p>
        </w:tc>
        <w:tc>
          <w:tcPr>
            <w:tcW w:w="1004" w:type="dxa"/>
            <w:tcBorders>
              <w:top w:val="single" w:sz="4" w:space="0" w:color="auto"/>
              <w:left w:val="nil"/>
              <w:bottom w:val="single" w:sz="4" w:space="0" w:color="auto"/>
              <w:right w:val="single" w:sz="4" w:space="0" w:color="auto"/>
            </w:tcBorders>
            <w:noWrap/>
            <w:vAlign w:val="center"/>
            <w:hideMark/>
          </w:tcPr>
          <w:p w14:paraId="33A6CEAA"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1532F4B"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0F4A1A6E"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8E49AB2"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50F62FF"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bl>
    <w:p w14:paraId="673FB089" w14:textId="77777777" w:rsidR="002D7080" w:rsidRPr="004D1E6F" w:rsidRDefault="002D7080" w:rsidP="002D7080">
      <w:pPr>
        <w:spacing w:after="0" w:line="240" w:lineRule="auto"/>
        <w:rPr>
          <w:rFonts w:ascii="Times New Roman" w:hAnsi="Times New Roman" w:cs="Times New Roman"/>
          <w:sz w:val="20"/>
          <w:szCs w:val="20"/>
        </w:rPr>
      </w:pPr>
    </w:p>
    <w:p w14:paraId="116473EE"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Ease of management = Medium</w:t>
      </w:r>
    </w:p>
    <w:p w14:paraId="55C0241D"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pPr w:leftFromText="180" w:rightFromText="180" w:vertAnchor="text" w:tblpXSpec="center" w:tblpY="1"/>
        <w:tblOverlap w:val="never"/>
        <w:tblW w:w="8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4667"/>
        <w:gridCol w:w="2013"/>
      </w:tblGrid>
      <w:tr w:rsidR="002D7080" w:rsidRPr="004D1E6F" w14:paraId="3E25C594" w14:textId="77777777" w:rsidTr="002E2C37">
        <w:trPr>
          <w:trHeight w:val="272"/>
        </w:trPr>
        <w:tc>
          <w:tcPr>
            <w:tcW w:w="1678" w:type="dxa"/>
            <w:shd w:val="clear" w:color="auto" w:fill="F2F2F2" w:themeFill="background1" w:themeFillShade="F2"/>
            <w:vAlign w:val="center"/>
          </w:tcPr>
          <w:p w14:paraId="47363E48"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Parameter</w:t>
            </w:r>
          </w:p>
        </w:tc>
        <w:tc>
          <w:tcPr>
            <w:tcW w:w="4667" w:type="dxa"/>
            <w:shd w:val="clear" w:color="auto" w:fill="F2F2F2" w:themeFill="background1" w:themeFillShade="F2"/>
            <w:vAlign w:val="center"/>
          </w:tcPr>
          <w:p w14:paraId="07003085"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Question</w:t>
            </w:r>
          </w:p>
        </w:tc>
        <w:tc>
          <w:tcPr>
            <w:tcW w:w="2013" w:type="dxa"/>
            <w:shd w:val="clear" w:color="auto" w:fill="F2F2F2" w:themeFill="background1" w:themeFillShade="F2"/>
            <w:vAlign w:val="center"/>
          </w:tcPr>
          <w:p w14:paraId="2D52020F"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Response</w:t>
            </w:r>
          </w:p>
        </w:tc>
      </w:tr>
      <w:tr w:rsidR="002D7080" w:rsidRPr="004D1E6F" w14:paraId="567E9F96" w14:textId="77777777" w:rsidTr="002E2C37">
        <w:trPr>
          <w:trHeight w:val="305"/>
        </w:trPr>
        <w:tc>
          <w:tcPr>
            <w:tcW w:w="1678" w:type="dxa"/>
            <w:shd w:val="clear" w:color="auto" w:fill="F2F2F2" w:themeFill="background1" w:themeFillShade="F2"/>
            <w:vAlign w:val="center"/>
          </w:tcPr>
          <w:p w14:paraId="4A198739"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MAN3a</w:t>
            </w:r>
          </w:p>
        </w:tc>
        <w:tc>
          <w:tcPr>
            <w:tcW w:w="4667" w:type="dxa"/>
            <w:shd w:val="clear" w:color="auto" w:fill="F2F2F2" w:themeFill="background1" w:themeFillShade="F2"/>
            <w:vAlign w:val="center"/>
          </w:tcPr>
          <w:p w14:paraId="506561FC" w14:textId="77777777" w:rsidR="002D7080" w:rsidRPr="004D1E6F" w:rsidRDefault="002D7080" w:rsidP="002E2C37">
            <w:pPr>
              <w:tabs>
                <w:tab w:val="left" w:pos="1223"/>
              </w:tabs>
              <w:spacing w:after="0" w:line="240" w:lineRule="auto"/>
              <w:rPr>
                <w:rFonts w:ascii="Times New Roman" w:hAnsi="Times New Roman" w:cs="Times New Roman"/>
                <w:sz w:val="20"/>
                <w:szCs w:val="20"/>
              </w:rPr>
            </w:pPr>
            <w:r w:rsidRPr="004D1E6F">
              <w:rPr>
                <w:rFonts w:ascii="Times New Roman" w:hAnsi="Times New Roman" w:cs="Times New Roman"/>
                <w:sz w:val="20"/>
                <w:szCs w:val="20"/>
              </w:rPr>
              <w:t xml:space="preserve">How accessible are populations? </w:t>
            </w:r>
          </w:p>
        </w:tc>
        <w:tc>
          <w:tcPr>
            <w:tcW w:w="2013" w:type="dxa"/>
            <w:vAlign w:val="center"/>
          </w:tcPr>
          <w:p w14:paraId="5C6CD6F0" w14:textId="77777777" w:rsidR="002D7080" w:rsidRPr="004D1E6F" w:rsidRDefault="002D7080" w:rsidP="002E2C37">
            <w:pPr>
              <w:tabs>
                <w:tab w:val="left" w:pos="1250"/>
              </w:tabs>
              <w:spacing w:after="0" w:line="240" w:lineRule="auto"/>
              <w:rPr>
                <w:rFonts w:ascii="Times New Roman" w:hAnsi="Times New Roman" w:cs="Times New Roman"/>
                <w:sz w:val="20"/>
                <w:szCs w:val="20"/>
              </w:rPr>
            </w:pPr>
            <w:r w:rsidRPr="004D1E6F">
              <w:rPr>
                <w:rFonts w:ascii="Times New Roman" w:hAnsi="Times New Roman" w:cs="Times New Roman"/>
                <w:sz w:val="20"/>
                <w:szCs w:val="20"/>
              </w:rPr>
              <w:t>0</w:t>
            </w:r>
          </w:p>
        </w:tc>
      </w:tr>
      <w:tr w:rsidR="002D7080" w:rsidRPr="004D1E6F" w14:paraId="6E6CD0F5" w14:textId="77777777" w:rsidTr="002E2C37">
        <w:trPr>
          <w:trHeight w:val="274"/>
        </w:trPr>
        <w:tc>
          <w:tcPr>
            <w:tcW w:w="1678" w:type="dxa"/>
            <w:shd w:val="clear" w:color="auto" w:fill="F2F2F2" w:themeFill="background1" w:themeFillShade="F2"/>
            <w:vAlign w:val="center"/>
          </w:tcPr>
          <w:p w14:paraId="52BD14A2"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MAN3b</w:t>
            </w:r>
          </w:p>
        </w:tc>
        <w:tc>
          <w:tcPr>
            <w:tcW w:w="4667" w:type="dxa"/>
            <w:shd w:val="clear" w:color="auto" w:fill="F2F2F2" w:themeFill="background1" w:themeFillShade="F2"/>
            <w:vAlign w:val="center"/>
          </w:tcPr>
          <w:p w14:paraId="3ACD6E35"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Is detectability critically time-dependent?</w:t>
            </w:r>
          </w:p>
        </w:tc>
        <w:tc>
          <w:tcPr>
            <w:tcW w:w="2013" w:type="dxa"/>
            <w:vAlign w:val="center"/>
          </w:tcPr>
          <w:p w14:paraId="7609BB8C"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2</w:t>
            </w:r>
          </w:p>
        </w:tc>
      </w:tr>
      <w:tr w:rsidR="002D7080" w:rsidRPr="004D1E6F" w14:paraId="25386B0A" w14:textId="77777777" w:rsidTr="002E2C37">
        <w:trPr>
          <w:trHeight w:val="274"/>
        </w:trPr>
        <w:tc>
          <w:tcPr>
            <w:tcW w:w="1678" w:type="dxa"/>
            <w:shd w:val="clear" w:color="auto" w:fill="F2F2F2" w:themeFill="background1" w:themeFillShade="F2"/>
            <w:vAlign w:val="center"/>
          </w:tcPr>
          <w:p w14:paraId="5F9944CF"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MAN3c</w:t>
            </w:r>
          </w:p>
        </w:tc>
        <w:tc>
          <w:tcPr>
            <w:tcW w:w="4667" w:type="dxa"/>
            <w:shd w:val="clear" w:color="auto" w:fill="F2F2F2" w:themeFill="background1" w:themeFillShade="F2"/>
            <w:vAlign w:val="center"/>
          </w:tcPr>
          <w:p w14:paraId="15F19224"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Time to reproduction</w:t>
            </w:r>
          </w:p>
        </w:tc>
        <w:tc>
          <w:tcPr>
            <w:tcW w:w="2013" w:type="dxa"/>
            <w:vAlign w:val="center"/>
          </w:tcPr>
          <w:p w14:paraId="6F8039DB"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1</w:t>
            </w:r>
          </w:p>
        </w:tc>
      </w:tr>
      <w:tr w:rsidR="002D7080" w:rsidRPr="004D1E6F" w14:paraId="3267DE09" w14:textId="77777777" w:rsidTr="002E2C37">
        <w:trPr>
          <w:trHeight w:val="280"/>
        </w:trPr>
        <w:tc>
          <w:tcPr>
            <w:tcW w:w="1678" w:type="dxa"/>
            <w:shd w:val="clear" w:color="auto" w:fill="F2F2F2" w:themeFill="background1" w:themeFillShade="F2"/>
            <w:vAlign w:val="center"/>
          </w:tcPr>
          <w:p w14:paraId="006F2871"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MAN3d</w:t>
            </w:r>
          </w:p>
        </w:tc>
        <w:tc>
          <w:tcPr>
            <w:tcW w:w="4667" w:type="dxa"/>
            <w:shd w:val="clear" w:color="auto" w:fill="F2F2F2" w:themeFill="background1" w:themeFillShade="F2"/>
            <w:vAlign w:val="center"/>
          </w:tcPr>
          <w:p w14:paraId="436F274E"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Propagule persistence</w:t>
            </w:r>
          </w:p>
        </w:tc>
        <w:tc>
          <w:tcPr>
            <w:tcW w:w="2013" w:type="dxa"/>
            <w:vAlign w:val="center"/>
          </w:tcPr>
          <w:p w14:paraId="1A43B448"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0</w:t>
            </w:r>
          </w:p>
        </w:tc>
      </w:tr>
      <w:tr w:rsidR="002D7080" w:rsidRPr="004D1E6F" w14:paraId="0A03503F" w14:textId="77777777" w:rsidTr="002E2C37">
        <w:trPr>
          <w:trHeight w:val="248"/>
        </w:trPr>
        <w:tc>
          <w:tcPr>
            <w:tcW w:w="1678" w:type="dxa"/>
            <w:tcBorders>
              <w:top w:val="double" w:sz="4" w:space="0" w:color="auto"/>
            </w:tcBorders>
            <w:shd w:val="clear" w:color="auto" w:fill="F2F2F2" w:themeFill="background1" w:themeFillShade="F2"/>
            <w:vAlign w:val="center"/>
          </w:tcPr>
          <w:p w14:paraId="55BDDBBB"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MAN3</w:t>
            </w:r>
          </w:p>
        </w:tc>
        <w:tc>
          <w:tcPr>
            <w:tcW w:w="4667" w:type="dxa"/>
            <w:tcBorders>
              <w:top w:val="double" w:sz="4" w:space="0" w:color="auto"/>
            </w:tcBorders>
            <w:shd w:val="clear" w:color="auto" w:fill="F2F2F2" w:themeFill="background1" w:themeFillShade="F2"/>
            <w:vAlign w:val="center"/>
          </w:tcPr>
          <w:p w14:paraId="6FA37451" w14:textId="77777777" w:rsidR="002D7080" w:rsidRPr="004D1E6F" w:rsidRDefault="002D7080" w:rsidP="002E2C37">
            <w:pPr>
              <w:spacing w:after="0" w:line="240" w:lineRule="auto"/>
              <w:rPr>
                <w:rFonts w:ascii="Times New Roman" w:hAnsi="Times New Roman" w:cs="Times New Roman"/>
                <w:b/>
                <w:sz w:val="20"/>
                <w:szCs w:val="20"/>
              </w:rPr>
            </w:pPr>
            <w:r w:rsidRPr="004D1E6F">
              <w:rPr>
                <w:rFonts w:ascii="Times New Roman" w:hAnsi="Times New Roman" w:cs="Times New Roman"/>
                <w:b/>
                <w:sz w:val="20"/>
                <w:szCs w:val="20"/>
              </w:rPr>
              <w:t>SUM</w:t>
            </w:r>
          </w:p>
        </w:tc>
        <w:tc>
          <w:tcPr>
            <w:tcW w:w="2013" w:type="dxa"/>
            <w:tcBorders>
              <w:top w:val="double" w:sz="4" w:space="0" w:color="auto"/>
            </w:tcBorders>
            <w:vAlign w:val="center"/>
          </w:tcPr>
          <w:p w14:paraId="6CB22A07"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3</w:t>
            </w:r>
          </w:p>
        </w:tc>
      </w:tr>
    </w:tbl>
    <w:p w14:paraId="3C2A448C" w14:textId="77777777" w:rsidR="002D7080" w:rsidRPr="004D1E6F" w:rsidRDefault="002D7080" w:rsidP="002D7080">
      <w:pPr>
        <w:spacing w:after="0" w:line="240" w:lineRule="auto"/>
        <w:rPr>
          <w:rFonts w:ascii="Times New Roman" w:hAnsi="Times New Roman" w:cs="Times New Roman"/>
          <w:sz w:val="20"/>
          <w:szCs w:val="20"/>
        </w:rPr>
      </w:pPr>
    </w:p>
    <w:p w14:paraId="3C948986" w14:textId="77777777" w:rsidR="002D7080" w:rsidRPr="004D1E6F" w:rsidRDefault="002D7080" w:rsidP="002D7080">
      <w:pPr>
        <w:spacing w:after="0" w:line="240" w:lineRule="auto"/>
        <w:rPr>
          <w:rFonts w:ascii="Times New Roman" w:hAnsi="Times New Roman" w:cs="Times New Roman"/>
          <w:b/>
          <w:sz w:val="20"/>
          <w:szCs w:val="20"/>
        </w:rPr>
      </w:pPr>
    </w:p>
    <w:p w14:paraId="296CAB47" w14:textId="77777777" w:rsidR="002D7080" w:rsidRPr="004D1E6F" w:rsidRDefault="002D7080" w:rsidP="00663569">
      <w:pPr>
        <w:spacing w:after="0"/>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Appendix BAC7:</w:t>
      </w:r>
      <w:r w:rsidRPr="004D1E6F">
        <w:rPr>
          <w:rFonts w:ascii="Times New Roman" w:eastAsia="Times New Roman" w:hAnsi="Times New Roman" w:cs="Times New Roman"/>
          <w:bCs/>
          <w:sz w:val="20"/>
          <w:szCs w:val="20"/>
          <w:lang w:eastAsia="en-ZA"/>
        </w:rPr>
        <w:t xml:space="preserve"> Map of the records of </w:t>
      </w:r>
      <w:r w:rsidRPr="004D1E6F">
        <w:rPr>
          <w:rFonts w:ascii="Times New Roman" w:eastAsia="Times New Roman" w:hAnsi="Times New Roman" w:cs="Times New Roman"/>
          <w:i/>
          <w:sz w:val="20"/>
          <w:szCs w:val="20"/>
          <w:lang w:eastAsia="en-ZA"/>
        </w:rPr>
        <w:t>Cherax cainii</w:t>
      </w:r>
      <w:r w:rsidRPr="004D1E6F">
        <w:rPr>
          <w:rFonts w:ascii="Times New Roman" w:eastAsia="Times New Roman" w:hAnsi="Times New Roman" w:cs="Times New Roman"/>
          <w:iCs/>
          <w:sz w:val="20"/>
          <w:szCs w:val="20"/>
          <w:lang w:eastAsia="en-ZA"/>
        </w:rPr>
        <w:t xml:space="preserve"> from Western Australia (taken here to be the native range)</w:t>
      </w:r>
      <w:r w:rsidRPr="004D1E6F">
        <w:rPr>
          <w:rFonts w:ascii="Times New Roman" w:eastAsia="Times New Roman" w:hAnsi="Times New Roman" w:cs="Times New Roman"/>
          <w:i/>
          <w:sz w:val="20"/>
          <w:szCs w:val="20"/>
          <w:lang w:eastAsia="en-ZA"/>
        </w:rPr>
        <w:t xml:space="preserve">. </w:t>
      </w:r>
      <w:r w:rsidRPr="004D1E6F">
        <w:rPr>
          <w:rFonts w:ascii="Times New Roman" w:eastAsia="Times New Roman" w:hAnsi="Times New Roman" w:cs="Times New Roman"/>
          <w:iCs/>
          <w:sz w:val="20"/>
          <w:szCs w:val="20"/>
          <w:lang w:eastAsia="en-ZA"/>
        </w:rPr>
        <w:t>From GBIF (2021)—</w:t>
      </w:r>
      <w:r w:rsidRPr="004D1E6F">
        <w:rPr>
          <w:rStyle w:val="ng-binding"/>
          <w:rFonts w:ascii="Times New Roman" w:hAnsi="Times New Roman" w:cs="Times New Roman"/>
          <w:i/>
          <w:iCs/>
          <w:sz w:val="20"/>
          <w:szCs w:val="20"/>
        </w:rPr>
        <w:t xml:space="preserve">Cherax cainii </w:t>
      </w:r>
      <w:r w:rsidRPr="004D1E6F">
        <w:rPr>
          <w:rStyle w:val="ng-binding"/>
          <w:rFonts w:ascii="Times New Roman" w:hAnsi="Times New Roman" w:cs="Times New Roman"/>
          <w:sz w:val="20"/>
          <w:szCs w:val="20"/>
        </w:rPr>
        <w:t>Austin &amp; Ryan, 2002</w:t>
      </w:r>
      <w:r w:rsidRPr="004D1E6F">
        <w:rPr>
          <w:rFonts w:ascii="Times New Roman" w:hAnsi="Times New Roman" w:cs="Times New Roman"/>
          <w:sz w:val="20"/>
          <w:szCs w:val="20"/>
        </w:rPr>
        <w:t xml:space="preserve"> in </w:t>
      </w:r>
      <w:r w:rsidRPr="004D1E6F">
        <w:rPr>
          <w:rStyle w:val="ng-binding"/>
          <w:rFonts w:ascii="Times New Roman" w:hAnsi="Times New Roman" w:cs="Times New Roman"/>
          <w:sz w:val="20"/>
          <w:szCs w:val="20"/>
        </w:rPr>
        <w:t xml:space="preserve">GBIF Secretariat (2021). GBIF Backbone Taxonomy. Checklist dataset </w:t>
      </w:r>
      <w:hyperlink w:tgtFrame="_blank" w:history="1">
        <w:r w:rsidRPr="004D1E6F">
          <w:rPr>
            <w:rStyle w:val="Hyperlink"/>
            <w:rFonts w:ascii="Times New Roman" w:hAnsi="Times New Roman" w:cs="Times New Roman"/>
            <w:sz w:val="20"/>
            <w:szCs w:val="20"/>
          </w:rPr>
          <w:t>https://doi.org/10.15468/39omei</w:t>
        </w:r>
      </w:hyperlink>
      <w:r w:rsidRPr="004D1E6F">
        <w:rPr>
          <w:rStyle w:val="ng-binding"/>
          <w:rFonts w:ascii="Times New Roman" w:hAnsi="Times New Roman" w:cs="Times New Roman"/>
          <w:sz w:val="20"/>
          <w:szCs w:val="20"/>
        </w:rPr>
        <w:t xml:space="preserve"> accessed via GBIF.org on 2022-03-18.</w:t>
      </w:r>
      <w:r w:rsidRPr="004D1E6F">
        <w:rPr>
          <w:rFonts w:ascii="Times New Roman" w:hAnsi="Times New Roman" w:cs="Times New Roman"/>
          <w:sz w:val="20"/>
          <w:szCs w:val="20"/>
        </w:rPr>
        <w:t xml:space="preserve"> </w:t>
      </w:r>
    </w:p>
    <w:p w14:paraId="48F39537" w14:textId="77777777" w:rsidR="002D7080" w:rsidRPr="004D1E6F" w:rsidRDefault="002D7080" w:rsidP="002D7080">
      <w:pPr>
        <w:spacing w:after="0" w:line="240" w:lineRule="auto"/>
        <w:rPr>
          <w:rFonts w:ascii="Times New Roman" w:eastAsia="Times New Roman" w:hAnsi="Times New Roman" w:cs="Times New Roman"/>
          <w:i/>
          <w:sz w:val="20"/>
          <w:szCs w:val="20"/>
          <w:lang w:eastAsia="en-ZA"/>
        </w:rPr>
      </w:pPr>
    </w:p>
    <w:p w14:paraId="43B03154" w14:textId="77777777" w:rsidR="002D7080" w:rsidRPr="004D1E6F" w:rsidRDefault="002D7080" w:rsidP="002D7080">
      <w:pPr>
        <w:spacing w:after="0" w:line="240" w:lineRule="auto"/>
        <w:rPr>
          <w:rFonts w:ascii="Times New Roman" w:eastAsia="Times New Roman" w:hAnsi="Times New Roman" w:cs="Times New Roman"/>
          <w:i/>
          <w:sz w:val="20"/>
          <w:szCs w:val="20"/>
          <w:lang w:eastAsia="en-ZA"/>
        </w:rPr>
      </w:pPr>
    </w:p>
    <w:p w14:paraId="59612EE4" w14:textId="77777777" w:rsidR="002D7080" w:rsidRPr="004D1E6F" w:rsidRDefault="002D7080" w:rsidP="002D7080">
      <w:pPr>
        <w:spacing w:after="0" w:line="240" w:lineRule="auto"/>
        <w:rPr>
          <w:rFonts w:ascii="Times New Roman" w:eastAsia="Times New Roman" w:hAnsi="Times New Roman" w:cs="Times New Roman"/>
          <w:i/>
          <w:sz w:val="20"/>
          <w:szCs w:val="20"/>
          <w:lang w:eastAsia="en-ZA"/>
        </w:rPr>
      </w:pPr>
      <w:r>
        <w:rPr>
          <w:rFonts w:ascii="Times New Roman" w:eastAsia="Times New Roman" w:hAnsi="Times New Roman" w:cs="Times New Roman"/>
          <w:i/>
          <w:noProof/>
          <w:sz w:val="20"/>
          <w:szCs w:val="20"/>
          <w:lang w:eastAsia="en-ZA"/>
        </w:rPr>
        <w:lastRenderedPageBreak/>
        <w:drawing>
          <wp:inline distT="0" distB="0" distL="0" distR="0" wp14:anchorId="7B1055BD" wp14:editId="137F6FC6">
            <wp:extent cx="5730875" cy="2292350"/>
            <wp:effectExtent l="0" t="0" r="3175" b="0"/>
            <wp:docPr id="470126784" name="Picture 3" descr="A map of the is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26784" name="Picture 3" descr="A map of the island&#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0875" cy="2292350"/>
                    </a:xfrm>
                    <a:prstGeom prst="rect">
                      <a:avLst/>
                    </a:prstGeom>
                    <a:noFill/>
                  </pic:spPr>
                </pic:pic>
              </a:graphicData>
            </a:graphic>
          </wp:inline>
        </w:drawing>
      </w:r>
    </w:p>
    <w:p w14:paraId="0050D6B2"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3849136D"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667B0F3E" w14:textId="77777777" w:rsidR="002D7080" w:rsidRPr="004D1E6F" w:rsidRDefault="002D7080" w:rsidP="00663569">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Appendix BAC8(a)</w:t>
      </w:r>
      <w:r w:rsidRPr="004D1E6F">
        <w:rPr>
          <w:rFonts w:ascii="Times New Roman" w:eastAsia="Times New Roman" w:hAnsi="Times New Roman" w:cs="Times New Roman"/>
          <w:sz w:val="20"/>
          <w:szCs w:val="20"/>
          <w:lang w:eastAsia="en-ZA"/>
        </w:rPr>
        <w:t xml:space="preserve">: Map of the global alien range of </w:t>
      </w:r>
      <w:r w:rsidRPr="004D1E6F">
        <w:rPr>
          <w:rFonts w:ascii="Times New Roman" w:eastAsia="Times New Roman" w:hAnsi="Times New Roman" w:cs="Times New Roman"/>
          <w:i/>
          <w:sz w:val="20"/>
          <w:szCs w:val="20"/>
          <w:lang w:eastAsia="en-ZA"/>
        </w:rPr>
        <w:t xml:space="preserve">Cherax cainii </w:t>
      </w:r>
      <w:r w:rsidRPr="004D1E6F">
        <w:rPr>
          <w:rFonts w:ascii="Times New Roman" w:eastAsia="Times New Roman" w:hAnsi="Times New Roman" w:cs="Times New Roman"/>
          <w:iCs/>
          <w:sz w:val="20"/>
          <w:szCs w:val="20"/>
          <w:lang w:eastAsia="en-ZA"/>
        </w:rPr>
        <w:t>at a state level for Australia and a country level for elsewhere</w:t>
      </w:r>
      <w:r w:rsidRPr="004D1E6F">
        <w:rPr>
          <w:rFonts w:ascii="Times New Roman" w:eastAsia="Times New Roman" w:hAnsi="Times New Roman" w:cs="Times New Roman"/>
          <w:sz w:val="20"/>
          <w:szCs w:val="20"/>
          <w:lang w:eastAsia="en-ZA"/>
        </w:rPr>
        <w:t>.</w:t>
      </w:r>
      <w:r w:rsidRPr="004D1E6F">
        <w:rPr>
          <w:rFonts w:ascii="Times New Roman" w:hAnsi="Times New Roman" w:cs="Times New Roman"/>
          <w:sz w:val="20"/>
          <w:szCs w:val="20"/>
        </w:rPr>
        <w:t xml:space="preserve"> Source: </w:t>
      </w:r>
      <w:r w:rsidRPr="004D1E6F">
        <w:rPr>
          <w:rFonts w:ascii="Times New Roman" w:eastAsia="Times New Roman" w:hAnsi="Times New Roman" w:cs="Times New Roman"/>
          <w:sz w:val="20"/>
          <w:szCs w:val="20"/>
          <w:lang w:eastAsia="en-ZA"/>
        </w:rPr>
        <w:t xml:space="preserve">CABI, 2021. </w:t>
      </w:r>
      <w:r w:rsidRPr="004D1E6F">
        <w:rPr>
          <w:rFonts w:ascii="Times New Roman" w:eastAsia="Times New Roman" w:hAnsi="Times New Roman" w:cs="Times New Roman"/>
          <w:i/>
          <w:sz w:val="20"/>
          <w:szCs w:val="20"/>
          <w:lang w:eastAsia="en-ZA"/>
        </w:rPr>
        <w:t>Cherax cainii</w:t>
      </w:r>
      <w:r w:rsidRPr="004D1E6F">
        <w:rPr>
          <w:rFonts w:ascii="Times New Roman" w:eastAsia="Times New Roman" w:hAnsi="Times New Roman" w:cs="Times New Roman"/>
          <w:sz w:val="20"/>
          <w:szCs w:val="20"/>
          <w:lang w:eastAsia="en-ZA"/>
        </w:rPr>
        <w:t xml:space="preserve"> [original text by Uma Sabapathy Allen]. In: Invasive Species Compendium. Wallingford, UK: CAB International. </w:t>
      </w:r>
      <w:hyperlink w:history="1">
        <w:r w:rsidRPr="004D1E6F">
          <w:rPr>
            <w:rStyle w:val="Hyperlink"/>
            <w:rFonts w:ascii="Times New Roman" w:eastAsia="Times New Roman" w:hAnsi="Times New Roman" w:cs="Times New Roman"/>
            <w:sz w:val="20"/>
            <w:szCs w:val="20"/>
            <w:lang w:eastAsia="en-ZA"/>
          </w:rPr>
          <w:t>www.cabi.org/isc</w:t>
        </w:r>
      </w:hyperlink>
      <w:r w:rsidRPr="004D1E6F">
        <w:rPr>
          <w:rFonts w:ascii="Times New Roman" w:eastAsia="Times New Roman" w:hAnsi="Times New Roman" w:cs="Times New Roman"/>
          <w:sz w:val="20"/>
          <w:szCs w:val="20"/>
          <w:lang w:eastAsia="en-ZA"/>
        </w:rPr>
        <w:t>.</w:t>
      </w:r>
    </w:p>
    <w:p w14:paraId="1A04B32A" w14:textId="77777777" w:rsidR="002D7080" w:rsidRPr="004D1E6F" w:rsidRDefault="002D7080" w:rsidP="002D7080">
      <w:pPr>
        <w:spacing w:after="0" w:line="240" w:lineRule="auto"/>
        <w:rPr>
          <w:rFonts w:ascii="Times New Roman" w:hAnsi="Times New Roman" w:cs="Times New Roman"/>
          <w:sz w:val="20"/>
          <w:szCs w:val="20"/>
        </w:rPr>
      </w:pPr>
      <w:r w:rsidRPr="004D1E6F">
        <w:rPr>
          <w:rFonts w:ascii="Times New Roman" w:eastAsia="Times New Roman" w:hAnsi="Times New Roman" w:cs="Times New Roman"/>
          <w:sz w:val="20"/>
          <w:szCs w:val="20"/>
          <w:lang w:eastAsia="en-ZA"/>
        </w:rPr>
        <w:t xml:space="preserve"> </w:t>
      </w:r>
    </w:p>
    <w:p w14:paraId="415A0C7A" w14:textId="77777777" w:rsidR="002D7080" w:rsidRDefault="002D7080" w:rsidP="002D7080">
      <w:pPr>
        <w:spacing w:after="0" w:line="240" w:lineRule="auto"/>
        <w:rPr>
          <w:rFonts w:ascii="Times New Roman" w:hAnsi="Times New Roman" w:cs="Times New Roman"/>
          <w:b/>
          <w:bCs/>
          <w:sz w:val="20"/>
          <w:szCs w:val="20"/>
        </w:rPr>
      </w:pPr>
      <w:r>
        <w:rPr>
          <w:rFonts w:ascii="Times New Roman" w:hAnsi="Times New Roman" w:cs="Times New Roman"/>
          <w:b/>
          <w:bCs/>
          <w:noProof/>
          <w:sz w:val="20"/>
          <w:szCs w:val="20"/>
          <w:lang w:eastAsia="en-ZA"/>
        </w:rPr>
        <w:drawing>
          <wp:inline distT="0" distB="0" distL="0" distR="0" wp14:anchorId="3266D443" wp14:editId="2DE9D2FA">
            <wp:extent cx="5756456" cy="3020702"/>
            <wp:effectExtent l="0" t="0" r="0" b="8255"/>
            <wp:docPr id="21139814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6818" cy="3020892"/>
                    </a:xfrm>
                    <a:prstGeom prst="rect">
                      <a:avLst/>
                    </a:prstGeom>
                    <a:noFill/>
                  </pic:spPr>
                </pic:pic>
              </a:graphicData>
            </a:graphic>
          </wp:inline>
        </w:drawing>
      </w:r>
    </w:p>
    <w:p w14:paraId="3EA0A29F" w14:textId="20E8A1F3" w:rsidR="00061715" w:rsidRPr="004D1E6F" w:rsidRDefault="00061715" w:rsidP="008A0BC6">
      <w:pPr>
        <w:spacing w:after="160" w:line="259" w:lineRule="auto"/>
        <w:rPr>
          <w:rFonts w:ascii="Times New Roman" w:hAnsi="Times New Roman" w:cs="Times New Roman"/>
          <w:b/>
          <w:bCs/>
          <w:sz w:val="20"/>
          <w:szCs w:val="20"/>
        </w:rPr>
      </w:pPr>
      <w:r>
        <w:rPr>
          <w:rFonts w:ascii="Times New Roman" w:hAnsi="Times New Roman" w:cs="Times New Roman"/>
          <w:b/>
          <w:bCs/>
          <w:sz w:val="20"/>
          <w:szCs w:val="20"/>
        </w:rPr>
        <w:br w:type="page"/>
      </w:r>
    </w:p>
    <w:p w14:paraId="369D8355" w14:textId="16ACCB38" w:rsidR="002D7080" w:rsidRPr="005A2F10" w:rsidRDefault="00061715" w:rsidP="002D7080">
      <w:pPr>
        <w:pStyle w:val="Heading2"/>
        <w:rPr>
          <w:rStyle w:val="Heading2Char"/>
          <w:rFonts w:ascii="Times New Roman" w:hAnsi="Times New Roman" w:cs="Times New Roman"/>
          <w:color w:val="auto"/>
          <w:sz w:val="28"/>
          <w:szCs w:val="28"/>
        </w:rPr>
      </w:pPr>
      <w:r>
        <w:rPr>
          <w:rStyle w:val="Heading2Char"/>
          <w:rFonts w:ascii="Times New Roman" w:hAnsi="Times New Roman" w:cs="Times New Roman"/>
          <w:color w:val="auto"/>
          <w:sz w:val="28"/>
          <w:szCs w:val="28"/>
        </w:rPr>
        <w:lastRenderedPageBreak/>
        <w:t>1</w:t>
      </w:r>
      <w:r w:rsidR="002D7080" w:rsidRPr="005A2F10">
        <w:rPr>
          <w:rStyle w:val="Heading2Char"/>
          <w:rFonts w:ascii="Times New Roman" w:hAnsi="Times New Roman" w:cs="Times New Roman"/>
          <w:color w:val="auto"/>
          <w:sz w:val="28"/>
          <w:szCs w:val="28"/>
        </w:rPr>
        <w:t>.2 Risk analysis report for hairy marron (</w:t>
      </w:r>
      <w:r w:rsidR="002D7080" w:rsidRPr="005A2F10">
        <w:rPr>
          <w:rStyle w:val="Heading2Char"/>
          <w:rFonts w:ascii="Times New Roman" w:hAnsi="Times New Roman" w:cs="Times New Roman"/>
          <w:i/>
          <w:iCs/>
          <w:color w:val="auto"/>
          <w:sz w:val="28"/>
          <w:szCs w:val="28"/>
        </w:rPr>
        <w:t>Cherax tenuimanus</w:t>
      </w:r>
      <w:r w:rsidR="002D7080" w:rsidRPr="005A2F10">
        <w:rPr>
          <w:rStyle w:val="Heading2Char"/>
          <w:rFonts w:ascii="Times New Roman" w:hAnsi="Times New Roman" w:cs="Times New Roman"/>
          <w:color w:val="auto"/>
          <w:sz w:val="28"/>
          <w:szCs w:val="28"/>
        </w:rPr>
        <w:t>)</w:t>
      </w:r>
    </w:p>
    <w:p w14:paraId="53C413A4" w14:textId="77777777" w:rsidR="002D7080" w:rsidRPr="004D1E6F" w:rsidRDefault="002D7080" w:rsidP="002D7080">
      <w:pPr>
        <w:spacing w:after="0" w:line="240" w:lineRule="auto"/>
        <w:rPr>
          <w:rFonts w:ascii="Times New Roman" w:hAnsi="Times New Roman" w:cs="Times New Roman"/>
          <w:b/>
          <w:i/>
          <w:sz w:val="24"/>
          <w:szCs w:val="24"/>
        </w:rPr>
      </w:pPr>
    </w:p>
    <w:tbl>
      <w:tblPr>
        <w:tblStyle w:val="TableGrid"/>
        <w:tblW w:w="0" w:type="auto"/>
        <w:tblInd w:w="108" w:type="dxa"/>
        <w:tblLook w:val="04A0" w:firstRow="1" w:lastRow="0" w:firstColumn="1" w:lastColumn="0" w:noHBand="0" w:noVBand="1"/>
      </w:tblPr>
      <w:tblGrid>
        <w:gridCol w:w="4253"/>
        <w:gridCol w:w="2410"/>
        <w:gridCol w:w="2245"/>
      </w:tblGrid>
      <w:tr w:rsidR="002D7080" w:rsidRPr="004D1E6F" w14:paraId="0FA4D9A2" w14:textId="77777777" w:rsidTr="002E2C37">
        <w:trPr>
          <w:trHeight w:val="140"/>
        </w:trPr>
        <w:tc>
          <w:tcPr>
            <w:tcW w:w="4253" w:type="dxa"/>
          </w:tcPr>
          <w:p w14:paraId="24326A86"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Taxon:</w:t>
            </w:r>
            <w:r w:rsidRPr="004D1E6F">
              <w:rPr>
                <w:rFonts w:ascii="Times New Roman" w:hAnsi="Times New Roman" w:cs="Times New Roman"/>
                <w:b/>
                <w:i/>
                <w:sz w:val="20"/>
                <w:szCs w:val="20"/>
              </w:rPr>
              <w:t xml:space="preserve"> </w:t>
            </w:r>
            <w:r w:rsidRPr="004D1E6F">
              <w:rPr>
                <w:rFonts w:ascii="Times New Roman" w:eastAsia="Arial" w:hAnsi="Times New Roman" w:cs="Times New Roman"/>
                <w:i/>
                <w:sz w:val="20"/>
                <w:szCs w:val="20"/>
              </w:rPr>
              <w:t>Cherax tenuimanus</w:t>
            </w:r>
            <w:r w:rsidRPr="004D1E6F">
              <w:rPr>
                <w:rFonts w:ascii="Times New Roman" w:eastAsia="Arial" w:hAnsi="Times New Roman" w:cs="Times New Roman"/>
                <w:sz w:val="20"/>
                <w:szCs w:val="20"/>
              </w:rPr>
              <w:t xml:space="preserve"> Smith, 1912</w:t>
            </w:r>
          </w:p>
        </w:tc>
        <w:tc>
          <w:tcPr>
            <w:tcW w:w="4655" w:type="dxa"/>
            <w:gridSpan w:val="2"/>
          </w:tcPr>
          <w:p w14:paraId="3D2D5864"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Area:</w:t>
            </w:r>
            <w:r w:rsidRPr="004D1E6F">
              <w:rPr>
                <w:rFonts w:ascii="Times New Roman" w:hAnsi="Times New Roman" w:cs="Times New Roman"/>
                <w:b/>
                <w:i/>
                <w:sz w:val="20"/>
                <w:szCs w:val="20"/>
              </w:rPr>
              <w:t xml:space="preserve"> </w:t>
            </w:r>
            <w:r w:rsidRPr="004D1E6F">
              <w:rPr>
                <w:rFonts w:ascii="Times New Roman" w:hAnsi="Times New Roman" w:cs="Times New Roman"/>
                <w:bCs/>
                <w:sz w:val="20"/>
                <w:szCs w:val="20"/>
              </w:rPr>
              <w:t>South Africa</w:t>
            </w:r>
          </w:p>
        </w:tc>
      </w:tr>
      <w:tr w:rsidR="002D7080" w:rsidRPr="004D1E6F" w14:paraId="4F83C976" w14:textId="77777777" w:rsidTr="002E2C37">
        <w:trPr>
          <w:trHeight w:val="232"/>
        </w:trPr>
        <w:tc>
          <w:tcPr>
            <w:tcW w:w="4253" w:type="dxa"/>
          </w:tcPr>
          <w:p w14:paraId="423DE582" w14:textId="77777777" w:rsidR="002D7080" w:rsidRPr="004D1E6F" w:rsidRDefault="002D7080" w:rsidP="002E2C37">
            <w:pPr>
              <w:rPr>
                <w:rFonts w:ascii="Times New Roman" w:hAnsi="Times New Roman" w:cs="Times New Roman"/>
                <w:b/>
                <w:sz w:val="20"/>
                <w:szCs w:val="20"/>
              </w:rPr>
            </w:pPr>
            <w:r w:rsidRPr="004D1E6F">
              <w:rPr>
                <w:rFonts w:ascii="Times New Roman" w:eastAsia="Arial" w:hAnsi="Times New Roman" w:cs="Times New Roman"/>
                <w:b/>
                <w:sz w:val="20"/>
                <w:szCs w:val="20"/>
              </w:rPr>
              <w:t xml:space="preserve">Compiled by: </w:t>
            </w:r>
            <w:r w:rsidRPr="004D1E6F">
              <w:rPr>
                <w:rFonts w:ascii="Times New Roman" w:eastAsia="Arial" w:hAnsi="Times New Roman" w:cs="Times New Roman"/>
                <w:sz w:val="20"/>
                <w:szCs w:val="20"/>
              </w:rPr>
              <w:t>Lee-Anne Botha</w:t>
            </w:r>
          </w:p>
        </w:tc>
        <w:tc>
          <w:tcPr>
            <w:tcW w:w="4655" w:type="dxa"/>
            <w:gridSpan w:val="2"/>
          </w:tcPr>
          <w:p w14:paraId="5B9A74E8"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 xml:space="preserve">Conditionally Approved by: </w:t>
            </w:r>
            <w:r w:rsidRPr="004D1E6F">
              <w:rPr>
                <w:rStyle w:val="FootnoteReference"/>
                <w:rFonts w:ascii="Times New Roman" w:hAnsi="Times New Roman" w:cs="Times New Roman"/>
              </w:rPr>
              <w:footnoteReference w:id="1"/>
            </w:r>
          </w:p>
        </w:tc>
      </w:tr>
      <w:tr w:rsidR="002D7080" w:rsidRPr="004D1E6F" w14:paraId="4B26DD6A" w14:textId="77777777" w:rsidTr="002E2C37">
        <w:trPr>
          <w:trHeight w:val="2217"/>
        </w:trPr>
        <w:tc>
          <w:tcPr>
            <w:tcW w:w="4253" w:type="dxa"/>
          </w:tcPr>
          <w:p w14:paraId="0DD4A443" w14:textId="77777777" w:rsidR="002D7080" w:rsidRPr="004D1E6F" w:rsidRDefault="002D7080" w:rsidP="002E2C37">
            <w:pPr>
              <w:rPr>
                <w:rFonts w:ascii="Times New Roman" w:hAnsi="Times New Roman" w:cs="Times New Roman"/>
                <w:b/>
                <w:i/>
                <w:sz w:val="20"/>
                <w:szCs w:val="20"/>
              </w:rPr>
            </w:pPr>
            <w:r w:rsidRPr="004D1E6F">
              <w:rPr>
                <w:rFonts w:ascii="Times New Roman" w:hAnsi="Times New Roman" w:cs="Times New Roman"/>
                <w:b/>
                <w:sz w:val="20"/>
                <w:szCs w:val="20"/>
              </w:rPr>
              <w:t xml:space="preserve">Picture of </w:t>
            </w:r>
            <w:r w:rsidRPr="004D1E6F">
              <w:rPr>
                <w:rFonts w:ascii="Times New Roman" w:hAnsi="Times New Roman" w:cs="Times New Roman"/>
                <w:b/>
                <w:i/>
                <w:sz w:val="20"/>
                <w:szCs w:val="20"/>
              </w:rPr>
              <w:t>Taxon</w:t>
            </w:r>
          </w:p>
          <w:p w14:paraId="31AE6380" w14:textId="77777777" w:rsidR="002D7080" w:rsidRPr="004D1E6F" w:rsidRDefault="002D7080" w:rsidP="002E2C37">
            <w:pPr>
              <w:jc w:val="center"/>
              <w:rPr>
                <w:rFonts w:ascii="Times New Roman" w:hAnsi="Times New Roman" w:cs="Times New Roman"/>
                <w:b/>
                <w:sz w:val="20"/>
                <w:szCs w:val="20"/>
              </w:rPr>
            </w:pPr>
            <w:r>
              <w:rPr>
                <w:rFonts w:ascii="Times New Roman" w:hAnsi="Times New Roman" w:cs="Times New Roman"/>
                <w:b/>
                <w:noProof/>
                <w:sz w:val="20"/>
                <w:szCs w:val="20"/>
                <w:lang w:eastAsia="en-ZA"/>
              </w:rPr>
              <w:drawing>
                <wp:inline distT="0" distB="0" distL="0" distR="0" wp14:anchorId="7E4F82FB" wp14:editId="1AEFB568">
                  <wp:extent cx="1950720" cy="1134110"/>
                  <wp:effectExtent l="0" t="0" r="0" b="8890"/>
                  <wp:docPr id="1978479814" name="Picture 5" descr="A close-up of a lob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479814" name="Picture 5" descr="A close-up of a lobster&#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50720" cy="1134110"/>
                          </a:xfrm>
                          <a:prstGeom prst="rect">
                            <a:avLst/>
                          </a:prstGeom>
                          <a:noFill/>
                        </pic:spPr>
                      </pic:pic>
                    </a:graphicData>
                  </a:graphic>
                </wp:inline>
              </w:drawing>
            </w:r>
          </w:p>
          <w:p w14:paraId="0A2BF215" w14:textId="77777777" w:rsidR="002D7080" w:rsidRPr="00654623" w:rsidRDefault="002D7080" w:rsidP="002E2C37">
            <w:pPr>
              <w:rPr>
                <w:rFonts w:ascii="Times New Roman" w:hAnsi="Times New Roman" w:cs="Times New Roman"/>
                <w:sz w:val="20"/>
                <w:szCs w:val="20"/>
                <w:lang w:val="fr-FR"/>
              </w:rPr>
            </w:pPr>
            <w:r w:rsidRPr="00654623">
              <w:rPr>
                <w:rFonts w:ascii="Times New Roman" w:hAnsi="Times New Roman" w:cs="Times New Roman"/>
                <w:bCs/>
                <w:sz w:val="20"/>
                <w:szCs w:val="20"/>
                <w:lang w:val="fr-FR"/>
              </w:rPr>
              <w:t>Photo: https://phys.org/news/2014-01-captive-hairy-marron-populace-bolstered.html</w:t>
            </w:r>
          </w:p>
        </w:tc>
        <w:tc>
          <w:tcPr>
            <w:tcW w:w="4655" w:type="dxa"/>
            <w:gridSpan w:val="2"/>
          </w:tcPr>
          <w:p w14:paraId="52F2B52B" w14:textId="77777777" w:rsidR="002D7080" w:rsidRDefault="002D7080" w:rsidP="002E2C37">
            <w:pPr>
              <w:rPr>
                <w:rFonts w:ascii="Times New Roman" w:hAnsi="Times New Roman" w:cs="Times New Roman"/>
                <w:noProof/>
                <w:sz w:val="20"/>
                <w:szCs w:val="20"/>
                <w:lang w:eastAsia="en-ZA"/>
              </w:rPr>
            </w:pPr>
            <w:r w:rsidRPr="004D1E6F">
              <w:rPr>
                <w:rFonts w:ascii="Times New Roman" w:eastAsia="Arial" w:hAnsi="Times New Roman" w:cs="Times New Roman"/>
                <w:b/>
                <w:sz w:val="20"/>
                <w:szCs w:val="20"/>
              </w:rPr>
              <w:t>Global distribution map</w:t>
            </w:r>
          </w:p>
          <w:p w14:paraId="441D0C89" w14:textId="77777777" w:rsidR="002D7080" w:rsidRPr="004D1E6F" w:rsidRDefault="002D7080" w:rsidP="002E2C37">
            <w:pPr>
              <w:rPr>
                <w:rFonts w:ascii="Times New Roman" w:eastAsia="Arial" w:hAnsi="Times New Roman" w:cs="Times New Roman"/>
                <w:b/>
                <w:sz w:val="20"/>
                <w:szCs w:val="20"/>
              </w:rPr>
            </w:pPr>
            <w:r>
              <w:rPr>
                <w:rFonts w:ascii="Times New Roman" w:eastAsia="Arial" w:hAnsi="Times New Roman" w:cs="Times New Roman"/>
                <w:b/>
                <w:noProof/>
                <w:sz w:val="20"/>
                <w:szCs w:val="20"/>
                <w:lang w:eastAsia="en-ZA"/>
              </w:rPr>
              <w:drawing>
                <wp:inline distT="0" distB="0" distL="0" distR="0" wp14:anchorId="59B00B44" wp14:editId="790F0C47">
                  <wp:extent cx="2804160" cy="1134110"/>
                  <wp:effectExtent l="0" t="0" r="0" b="8890"/>
                  <wp:docPr id="50816545" name="Picture 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16545" name="Picture 6" descr="A map of the world&#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04160" cy="1134110"/>
                          </a:xfrm>
                          <a:prstGeom prst="rect">
                            <a:avLst/>
                          </a:prstGeom>
                          <a:noFill/>
                        </pic:spPr>
                      </pic:pic>
                    </a:graphicData>
                  </a:graphic>
                </wp:inline>
              </w:drawing>
            </w:r>
          </w:p>
          <w:p w14:paraId="2976BC69" w14:textId="77777777" w:rsidR="002D7080" w:rsidRPr="004D1E6F" w:rsidRDefault="002D7080" w:rsidP="002E2C37">
            <w:pPr>
              <w:rPr>
                <w:rFonts w:ascii="Times New Roman" w:hAnsi="Times New Roman" w:cs="Times New Roman"/>
                <w:sz w:val="20"/>
                <w:szCs w:val="20"/>
              </w:rPr>
            </w:pPr>
            <w:r w:rsidRPr="004D1E6F">
              <w:rPr>
                <w:rFonts w:ascii="Times New Roman" w:eastAsia="Arial" w:hAnsi="Times New Roman" w:cs="Times New Roman"/>
                <w:sz w:val="20"/>
                <w:szCs w:val="20"/>
              </w:rPr>
              <w:t xml:space="preserve">Reference GBIF.org (06 August 2019) </w:t>
            </w:r>
            <w:hyperlink w:history="1">
              <w:r w:rsidRPr="004D1E6F">
                <w:rPr>
                  <w:rStyle w:val="Hyperlink"/>
                  <w:rFonts w:ascii="Times New Roman" w:eastAsia="Arial" w:hAnsi="Times New Roman" w:cs="Times New Roman"/>
                  <w:sz w:val="20"/>
                  <w:szCs w:val="20"/>
                </w:rPr>
                <w:t>https://doi.org/10.15468/dl.tvqoxp</w:t>
              </w:r>
            </w:hyperlink>
            <w:r w:rsidRPr="004D1E6F">
              <w:rPr>
                <w:rFonts w:ascii="Times New Roman" w:eastAsia="Arial" w:hAnsi="Times New Roman" w:cs="Times New Roman"/>
                <w:sz w:val="20"/>
                <w:szCs w:val="20"/>
              </w:rPr>
              <w:t xml:space="preserve"> </w:t>
            </w:r>
          </w:p>
        </w:tc>
      </w:tr>
      <w:tr w:rsidR="002D7080" w:rsidRPr="004D1E6F" w14:paraId="533A4A28" w14:textId="77777777" w:rsidTr="002E2C37">
        <w:trPr>
          <w:trHeight w:val="746"/>
        </w:trPr>
        <w:tc>
          <w:tcPr>
            <w:tcW w:w="6663" w:type="dxa"/>
            <w:gridSpan w:val="2"/>
          </w:tcPr>
          <w:p w14:paraId="2D08FA1C"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b/>
                <w:sz w:val="20"/>
                <w:szCs w:val="20"/>
              </w:rPr>
              <w:t>Risk Assessment summary:</w:t>
            </w:r>
            <w:r w:rsidRPr="004D1E6F">
              <w:rPr>
                <w:rFonts w:ascii="Times New Roman" w:hAnsi="Times New Roman" w:cs="Times New Roman"/>
                <w:sz w:val="20"/>
                <w:szCs w:val="20"/>
              </w:rPr>
              <w:t xml:space="preserve"> </w:t>
            </w:r>
          </w:p>
          <w:p w14:paraId="4C6FCC67" w14:textId="77777777" w:rsidR="002D7080" w:rsidRPr="004D1E6F" w:rsidRDefault="002D7080" w:rsidP="002E2C37">
            <w:pPr>
              <w:jc w:val="both"/>
              <w:rPr>
                <w:rFonts w:ascii="Times New Roman" w:hAnsi="Times New Roman" w:cs="Times New Roman"/>
                <w:b/>
                <w:sz w:val="20"/>
                <w:szCs w:val="20"/>
              </w:rPr>
            </w:pPr>
            <w:r w:rsidRPr="004D1E6F">
              <w:rPr>
                <w:rFonts w:ascii="Times New Roman" w:eastAsia="Calibri" w:hAnsi="Times New Roman" w:cs="Times New Roman"/>
                <w:i/>
                <w:iCs/>
                <w:sz w:val="20"/>
                <w:szCs w:val="20"/>
              </w:rPr>
              <w:t>Cherax tenuimanus</w:t>
            </w:r>
            <w:r w:rsidRPr="004D1E6F">
              <w:rPr>
                <w:rFonts w:ascii="Times New Roman" w:eastAsia="Calibri" w:hAnsi="Times New Roman" w:cs="Times New Roman"/>
                <w:sz w:val="20"/>
                <w:szCs w:val="20"/>
              </w:rPr>
              <w:t xml:space="preserve"> was originally described in 1912, but in 2002 the taxon was, based on a genetic analysis, split into two species: </w:t>
            </w:r>
            <w:r w:rsidRPr="004D1E6F">
              <w:rPr>
                <w:rFonts w:ascii="Times New Roman" w:eastAsia="Calibri" w:hAnsi="Times New Roman" w:cs="Times New Roman"/>
                <w:i/>
                <w:iCs/>
                <w:sz w:val="20"/>
                <w:szCs w:val="20"/>
              </w:rPr>
              <w:t>C. tenuimanus</w:t>
            </w:r>
            <w:r w:rsidRPr="004D1E6F">
              <w:rPr>
                <w:rFonts w:ascii="Times New Roman" w:eastAsia="Calibri" w:hAnsi="Times New Roman" w:cs="Times New Roman"/>
                <w:sz w:val="20"/>
                <w:szCs w:val="20"/>
              </w:rPr>
              <w:t xml:space="preserve"> (that is restricted to the Margaret River in Western Australia) and </w:t>
            </w:r>
            <w:r w:rsidRPr="004D1E6F">
              <w:rPr>
                <w:rFonts w:ascii="Times New Roman" w:eastAsia="Calibri" w:hAnsi="Times New Roman" w:cs="Times New Roman"/>
                <w:i/>
                <w:iCs/>
                <w:sz w:val="20"/>
                <w:szCs w:val="20"/>
              </w:rPr>
              <w:t>C. cainii</w:t>
            </w:r>
            <w:r w:rsidRPr="004D1E6F">
              <w:rPr>
                <w:rFonts w:ascii="Times New Roman" w:eastAsia="Calibri" w:hAnsi="Times New Roman" w:cs="Times New Roman"/>
                <w:sz w:val="20"/>
                <w:szCs w:val="20"/>
              </w:rPr>
              <w:t xml:space="preserve"> (that is more widespread in SW Australia). It is widely assumed that all imports to South Africa were of </w:t>
            </w:r>
            <w:r w:rsidRPr="004D1E6F">
              <w:rPr>
                <w:rFonts w:ascii="Times New Roman" w:eastAsia="Calibri" w:hAnsi="Times New Roman" w:cs="Times New Roman"/>
                <w:i/>
                <w:iCs/>
                <w:sz w:val="20"/>
                <w:szCs w:val="20"/>
              </w:rPr>
              <w:t>C. cainii</w:t>
            </w:r>
            <w:r w:rsidRPr="004D1E6F">
              <w:rPr>
                <w:rFonts w:ascii="Times New Roman" w:eastAsia="Calibri" w:hAnsi="Times New Roman" w:cs="Times New Roman"/>
                <w:sz w:val="20"/>
                <w:szCs w:val="20"/>
              </w:rPr>
              <w:t xml:space="preserve"> as this species is more common around the world (including in aquaculture). There are no known naturalised populations of </w:t>
            </w:r>
            <w:r w:rsidRPr="004D1E6F">
              <w:rPr>
                <w:rFonts w:ascii="Times New Roman" w:eastAsia="Calibri" w:hAnsi="Times New Roman" w:cs="Times New Roman"/>
                <w:i/>
                <w:iCs/>
                <w:sz w:val="20"/>
                <w:szCs w:val="20"/>
              </w:rPr>
              <w:t>Cherax</w:t>
            </w:r>
            <w:r w:rsidRPr="004D1E6F">
              <w:rPr>
                <w:rFonts w:ascii="Times New Roman" w:eastAsia="Calibri" w:hAnsi="Times New Roman" w:cs="Times New Roman"/>
                <w:sz w:val="20"/>
                <w:szCs w:val="20"/>
              </w:rPr>
              <w:t xml:space="preserve"> spp. in South Africa though there are historical reports of </w:t>
            </w:r>
            <w:r w:rsidRPr="004D1E6F">
              <w:rPr>
                <w:rFonts w:ascii="Times New Roman" w:eastAsia="Calibri" w:hAnsi="Times New Roman" w:cs="Times New Roman"/>
                <w:i/>
                <w:iCs/>
                <w:sz w:val="20"/>
                <w:szCs w:val="20"/>
              </w:rPr>
              <w:t>Cherax</w:t>
            </w:r>
            <w:r w:rsidRPr="004D1E6F">
              <w:rPr>
                <w:rFonts w:ascii="Times New Roman" w:eastAsia="Calibri" w:hAnsi="Times New Roman" w:cs="Times New Roman"/>
                <w:sz w:val="20"/>
                <w:szCs w:val="20"/>
              </w:rPr>
              <w:t xml:space="preserve"> spp. outside of captivity. In the absence of evidence of impact by invasions of </w:t>
            </w:r>
            <w:r w:rsidRPr="004D1E6F">
              <w:rPr>
                <w:rFonts w:ascii="Times New Roman" w:eastAsia="Calibri" w:hAnsi="Times New Roman" w:cs="Times New Roman"/>
                <w:i/>
                <w:iCs/>
                <w:sz w:val="20"/>
                <w:szCs w:val="20"/>
              </w:rPr>
              <w:t xml:space="preserve">Cherax </w:t>
            </w:r>
            <w:r w:rsidRPr="004D1E6F">
              <w:rPr>
                <w:rFonts w:ascii="Times New Roman" w:eastAsia="Calibri" w:hAnsi="Times New Roman" w:cs="Times New Roman"/>
                <w:sz w:val="20"/>
                <w:szCs w:val="20"/>
              </w:rPr>
              <w:t>species, potential impacts of</w:t>
            </w:r>
            <w:r w:rsidRPr="004D1E6F">
              <w:rPr>
                <w:rFonts w:ascii="Times New Roman" w:eastAsia="Calibri" w:hAnsi="Times New Roman" w:cs="Times New Roman"/>
                <w:i/>
                <w:iCs/>
                <w:sz w:val="20"/>
                <w:szCs w:val="20"/>
              </w:rPr>
              <w:t xml:space="preserve"> C. tenuimanus</w:t>
            </w:r>
            <w:r w:rsidRPr="004D1E6F">
              <w:rPr>
                <w:rFonts w:ascii="Times New Roman" w:eastAsia="Calibri" w:hAnsi="Times New Roman" w:cs="Times New Roman"/>
                <w:sz w:val="20"/>
                <w:szCs w:val="20"/>
              </w:rPr>
              <w:t xml:space="preserve"> were inferred from </w:t>
            </w:r>
            <w:r w:rsidRPr="004D1E6F">
              <w:rPr>
                <w:rFonts w:ascii="Times New Roman" w:eastAsia="Calibri" w:hAnsi="Times New Roman" w:cs="Times New Roman"/>
                <w:i/>
                <w:iCs/>
                <w:sz w:val="20"/>
                <w:szCs w:val="20"/>
              </w:rPr>
              <w:t>Procambarus clarkii</w:t>
            </w:r>
            <w:r w:rsidRPr="004D1E6F">
              <w:rPr>
                <w:rFonts w:ascii="Times New Roman" w:eastAsia="Calibri" w:hAnsi="Times New Roman" w:cs="Times New Roman"/>
                <w:sz w:val="20"/>
                <w:szCs w:val="20"/>
              </w:rPr>
              <w:t xml:space="preserve">—a crayfish with similar traits. Invasions of </w:t>
            </w:r>
            <w:r w:rsidRPr="004D1E6F">
              <w:rPr>
                <w:rFonts w:ascii="Times New Roman" w:eastAsia="Arial" w:hAnsi="Times New Roman" w:cs="Times New Roman"/>
                <w:i/>
                <w:color w:val="000000"/>
                <w:sz w:val="20"/>
                <w:szCs w:val="20"/>
              </w:rPr>
              <w:t>P. clarkii</w:t>
            </w:r>
            <w:r w:rsidRPr="004D1E6F">
              <w:rPr>
                <w:rFonts w:ascii="Times New Roman" w:eastAsia="Arial" w:hAnsi="Times New Roman" w:cs="Times New Roman"/>
                <w:color w:val="000000"/>
                <w:sz w:val="20"/>
                <w:szCs w:val="20"/>
              </w:rPr>
              <w:t xml:space="preserve"> have caused major impacts on native communities through competition and predation leading to decreased abundance and local extirpation of native species. </w:t>
            </w:r>
            <w:r w:rsidRPr="004D1E6F">
              <w:rPr>
                <w:rFonts w:ascii="Times New Roman" w:eastAsia="Calibri" w:hAnsi="Times New Roman" w:cs="Times New Roman"/>
                <w:i/>
                <w:iCs/>
                <w:sz w:val="20"/>
                <w:szCs w:val="20"/>
              </w:rPr>
              <w:t>Procambarus clarkii</w:t>
            </w:r>
            <w:r w:rsidRPr="004D1E6F">
              <w:rPr>
                <w:rFonts w:ascii="Times New Roman" w:eastAsia="Calibri" w:hAnsi="Times New Roman" w:cs="Times New Roman"/>
                <w:sz w:val="20"/>
                <w:szCs w:val="20"/>
              </w:rPr>
              <w:t xml:space="preserve"> has also </w:t>
            </w:r>
            <w:r w:rsidRPr="004D1E6F">
              <w:rPr>
                <w:rFonts w:ascii="Times New Roman" w:eastAsia="Arial" w:hAnsi="Times New Roman" w:cs="Times New Roman"/>
                <w:color w:val="000000"/>
                <w:sz w:val="20"/>
                <w:szCs w:val="20"/>
              </w:rPr>
              <w:t xml:space="preserve">caused habitat loss and modification through </w:t>
            </w:r>
            <w:r w:rsidRPr="004D1E6F">
              <w:rPr>
                <w:rFonts w:ascii="Times New Roman" w:eastAsia="Arial" w:hAnsi="Times New Roman" w:cs="Times New Roman"/>
                <w:sz w:val="20"/>
                <w:szCs w:val="20"/>
              </w:rPr>
              <w:t>intensive grazing and stalk cutting of aquatic macrophytes that provide food, refuge and spawning sites for fish and other aquatic fauna.</w:t>
            </w:r>
          </w:p>
        </w:tc>
        <w:tc>
          <w:tcPr>
            <w:tcW w:w="2245" w:type="dxa"/>
          </w:tcPr>
          <w:p w14:paraId="78016926"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b/>
                <w:sz w:val="20"/>
                <w:szCs w:val="20"/>
              </w:rPr>
              <w:t>Risk score:</w:t>
            </w:r>
            <w:r w:rsidRPr="004D1E6F">
              <w:rPr>
                <w:rFonts w:ascii="Times New Roman" w:hAnsi="Times New Roman" w:cs="Times New Roman"/>
                <w:b/>
                <w:sz w:val="20"/>
                <w:szCs w:val="20"/>
              </w:rPr>
              <w:br/>
            </w:r>
          </w:p>
          <w:p w14:paraId="692BDFEC"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t>High</w:t>
            </w:r>
          </w:p>
        </w:tc>
      </w:tr>
      <w:tr w:rsidR="002D7080" w:rsidRPr="004D1E6F" w14:paraId="32A1A0EF" w14:textId="77777777" w:rsidTr="002E2C37">
        <w:trPr>
          <w:trHeight w:val="852"/>
        </w:trPr>
        <w:tc>
          <w:tcPr>
            <w:tcW w:w="6663" w:type="dxa"/>
            <w:gridSpan w:val="2"/>
          </w:tcPr>
          <w:p w14:paraId="7E3BD02C"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 xml:space="preserve">Management options summary: </w:t>
            </w:r>
          </w:p>
          <w:p w14:paraId="57AE1A8C" w14:textId="77777777" w:rsidR="002D7080" w:rsidRPr="004D1E6F" w:rsidRDefault="002D7080" w:rsidP="002E2C37">
            <w:pPr>
              <w:jc w:val="both"/>
              <w:rPr>
                <w:rFonts w:ascii="Times New Roman" w:hAnsi="Times New Roman" w:cs="Times New Roman"/>
                <w:b/>
                <w:sz w:val="20"/>
                <w:szCs w:val="20"/>
              </w:rPr>
            </w:pPr>
            <w:r w:rsidRPr="004D1E6F">
              <w:rPr>
                <w:rFonts w:ascii="Times New Roman" w:eastAsia="Calibri" w:hAnsi="Times New Roman" w:cs="Times New Roman"/>
                <w:i/>
                <w:sz w:val="20"/>
                <w:szCs w:val="20"/>
              </w:rPr>
              <w:t>Cherax</w:t>
            </w:r>
            <w:r w:rsidRPr="004D1E6F">
              <w:rPr>
                <w:rFonts w:ascii="Times New Roman" w:eastAsia="Calibri" w:hAnsi="Times New Roman" w:cs="Times New Roman"/>
                <w:sz w:val="20"/>
                <w:szCs w:val="20"/>
              </w:rPr>
              <w:t xml:space="preserve"> are farmed in South Africa, although only a few tonnes of ‘smooth marron’ are produced each year (data from FAO). It is assumed here that the ‘smooth marron’ used for farming is </w:t>
            </w:r>
            <w:r w:rsidRPr="004D1E6F">
              <w:rPr>
                <w:rFonts w:ascii="Times New Roman" w:eastAsia="Calibri" w:hAnsi="Times New Roman" w:cs="Times New Roman"/>
                <w:i/>
                <w:sz w:val="20"/>
                <w:szCs w:val="20"/>
              </w:rPr>
              <w:t>C. cainii</w:t>
            </w:r>
            <w:r w:rsidRPr="004D1E6F">
              <w:rPr>
                <w:rFonts w:ascii="Times New Roman" w:eastAsia="Calibri" w:hAnsi="Times New Roman" w:cs="Times New Roman"/>
                <w:iCs/>
                <w:sz w:val="20"/>
                <w:szCs w:val="20"/>
              </w:rPr>
              <w:t xml:space="preserve">. However, up until the end of 2020, non-research permits have only been issued for </w:t>
            </w:r>
            <w:r w:rsidRPr="004D1E6F">
              <w:rPr>
                <w:rFonts w:ascii="Times New Roman" w:eastAsia="Calibri" w:hAnsi="Times New Roman" w:cs="Times New Roman"/>
                <w:i/>
                <w:iCs/>
                <w:sz w:val="20"/>
                <w:szCs w:val="20"/>
              </w:rPr>
              <w:t>C</w:t>
            </w:r>
            <w:r w:rsidRPr="004D1E6F">
              <w:rPr>
                <w:rFonts w:ascii="Times New Roman" w:eastAsia="Calibri" w:hAnsi="Times New Roman" w:cs="Times New Roman"/>
                <w:sz w:val="20"/>
                <w:szCs w:val="20"/>
              </w:rPr>
              <w:t>.</w:t>
            </w:r>
            <w:r w:rsidRPr="004D1E6F">
              <w:rPr>
                <w:rFonts w:ascii="Times New Roman" w:eastAsia="Calibri" w:hAnsi="Times New Roman" w:cs="Times New Roman"/>
                <w:i/>
                <w:iCs/>
                <w:sz w:val="20"/>
                <w:szCs w:val="20"/>
              </w:rPr>
              <w:t xml:space="preserve"> tenuimanus</w:t>
            </w:r>
            <w:r w:rsidRPr="004D1E6F">
              <w:rPr>
                <w:rFonts w:ascii="Times New Roman" w:eastAsia="Calibri" w:hAnsi="Times New Roman" w:cs="Times New Roman"/>
                <w:iCs/>
                <w:sz w:val="20"/>
                <w:szCs w:val="20"/>
              </w:rPr>
              <w:t xml:space="preserve"> (although research permits have been issued for both taxa). Crayfish invasions can be controlled using biocides, though, as for all aquatic systems, the use of chemical control would need to be carefully considered given the potential for non-target impacts.</w:t>
            </w:r>
            <w:r w:rsidRPr="004D1E6F">
              <w:rPr>
                <w:rFonts w:ascii="Times New Roman" w:eastAsia="Calibri" w:hAnsi="Times New Roman" w:cs="Times New Roman"/>
                <w:sz w:val="20"/>
                <w:szCs w:val="20"/>
              </w:rPr>
              <w:t xml:space="preserve"> </w:t>
            </w:r>
          </w:p>
        </w:tc>
        <w:tc>
          <w:tcPr>
            <w:tcW w:w="2245" w:type="dxa"/>
          </w:tcPr>
          <w:p w14:paraId="4D3D62B9"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Ease of management:</w:t>
            </w:r>
          </w:p>
          <w:p w14:paraId="47012255" w14:textId="77777777" w:rsidR="002D7080" w:rsidRPr="004D1E6F" w:rsidRDefault="002D7080" w:rsidP="002E2C37">
            <w:pPr>
              <w:rPr>
                <w:rFonts w:ascii="Times New Roman" w:hAnsi="Times New Roman" w:cs="Times New Roman"/>
                <w:sz w:val="20"/>
                <w:szCs w:val="20"/>
              </w:rPr>
            </w:pPr>
          </w:p>
          <w:p w14:paraId="118EE987"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t>Medium</w:t>
            </w:r>
          </w:p>
        </w:tc>
      </w:tr>
      <w:tr w:rsidR="002D7080" w:rsidRPr="004D1E6F" w14:paraId="0E2DFB64" w14:textId="77777777" w:rsidTr="002E2C37">
        <w:trPr>
          <w:trHeight w:val="690"/>
        </w:trPr>
        <w:tc>
          <w:tcPr>
            <w:tcW w:w="6663" w:type="dxa"/>
            <w:gridSpan w:val="2"/>
            <w:vMerge w:val="restart"/>
          </w:tcPr>
          <w:p w14:paraId="7DA7AFD6" w14:textId="77777777" w:rsidR="002D7080" w:rsidRPr="004D1E6F" w:rsidRDefault="002D7080" w:rsidP="002E2C37">
            <w:pPr>
              <w:jc w:val="both"/>
              <w:rPr>
                <w:rFonts w:ascii="Times New Roman" w:hAnsi="Times New Roman" w:cs="Times New Roman"/>
                <w:sz w:val="20"/>
                <w:szCs w:val="20"/>
              </w:rPr>
            </w:pPr>
            <w:r w:rsidRPr="004D1E6F">
              <w:rPr>
                <w:rFonts w:ascii="Times New Roman" w:hAnsi="Times New Roman" w:cs="Times New Roman"/>
                <w:b/>
                <w:sz w:val="20"/>
                <w:szCs w:val="20"/>
              </w:rPr>
              <w:t>Recommendations:</w:t>
            </w:r>
            <w:r w:rsidRPr="004D1E6F">
              <w:rPr>
                <w:rFonts w:ascii="Times New Roman" w:hAnsi="Times New Roman" w:cs="Times New Roman"/>
                <w:sz w:val="20"/>
                <w:szCs w:val="20"/>
              </w:rPr>
              <w:t xml:space="preserve"> </w:t>
            </w:r>
          </w:p>
          <w:p w14:paraId="25119BBB" w14:textId="77777777" w:rsidR="002D7080" w:rsidRPr="004D1E6F" w:rsidRDefault="002D7080" w:rsidP="002E2C37">
            <w:pPr>
              <w:jc w:val="both"/>
              <w:rPr>
                <w:rFonts w:ascii="Times New Roman" w:hAnsi="Times New Roman" w:cs="Times New Roman"/>
                <w:b/>
                <w:sz w:val="20"/>
                <w:szCs w:val="20"/>
              </w:rPr>
            </w:pPr>
            <w:r w:rsidRPr="004D1E6F">
              <w:rPr>
                <w:rFonts w:ascii="Times New Roman" w:eastAsia="Arial" w:hAnsi="Times New Roman" w:cs="Times New Roman"/>
                <w:sz w:val="20"/>
                <w:szCs w:val="20"/>
              </w:rPr>
              <w:t xml:space="preserve">First, there is a need to verify that </w:t>
            </w:r>
            <w:r w:rsidRPr="004D1E6F">
              <w:rPr>
                <w:rFonts w:ascii="Times New Roman" w:eastAsia="Arial" w:hAnsi="Times New Roman" w:cs="Times New Roman"/>
                <w:i/>
                <w:sz w:val="20"/>
                <w:szCs w:val="20"/>
              </w:rPr>
              <w:t xml:space="preserve">C. </w:t>
            </w:r>
            <w:r w:rsidRPr="004D1E6F">
              <w:rPr>
                <w:rFonts w:ascii="Times New Roman" w:eastAsia="Calibri" w:hAnsi="Times New Roman" w:cs="Times New Roman"/>
                <w:i/>
                <w:iCs/>
                <w:sz w:val="20"/>
                <w:szCs w:val="20"/>
              </w:rPr>
              <w:t>tenuimanus</w:t>
            </w:r>
            <w:r w:rsidRPr="004D1E6F">
              <w:rPr>
                <w:rFonts w:ascii="Times New Roman" w:eastAsia="Arial" w:hAnsi="Times New Roman" w:cs="Times New Roman"/>
                <w:sz w:val="20"/>
                <w:szCs w:val="20"/>
              </w:rPr>
              <w:t xml:space="preserve"> is present in the country. If </w:t>
            </w:r>
            <w:r w:rsidRPr="004D1E6F">
              <w:rPr>
                <w:rFonts w:ascii="Times New Roman" w:eastAsia="Arial" w:hAnsi="Times New Roman" w:cs="Times New Roman"/>
                <w:i/>
                <w:sz w:val="20"/>
                <w:szCs w:val="20"/>
              </w:rPr>
              <w:t xml:space="preserve">C. </w:t>
            </w:r>
            <w:r w:rsidRPr="004D1E6F">
              <w:rPr>
                <w:rFonts w:ascii="Times New Roman" w:eastAsia="Calibri" w:hAnsi="Times New Roman" w:cs="Times New Roman"/>
                <w:i/>
                <w:iCs/>
                <w:sz w:val="20"/>
                <w:szCs w:val="20"/>
              </w:rPr>
              <w:t>tenuimanus</w:t>
            </w:r>
            <w:r w:rsidRPr="004D1E6F">
              <w:rPr>
                <w:rFonts w:ascii="Times New Roman" w:eastAsia="Arial" w:hAnsi="Times New Roman" w:cs="Times New Roman"/>
                <w:sz w:val="20"/>
                <w:szCs w:val="20"/>
              </w:rPr>
              <w:t xml:space="preserve"> is not present, it should be delisted, and future import permit requests accompanied by a risk analysis.</w:t>
            </w:r>
            <w:r w:rsidRPr="004D1E6F">
              <w:rPr>
                <w:rFonts w:ascii="Times New Roman" w:eastAsia="Calibri" w:hAnsi="Times New Roman" w:cs="Times New Roman"/>
                <w:sz w:val="20"/>
                <w:szCs w:val="20"/>
              </w:rPr>
              <w:t xml:space="preserve"> If </w:t>
            </w:r>
            <w:r w:rsidRPr="004D1E6F">
              <w:rPr>
                <w:rFonts w:ascii="Times New Roman" w:eastAsia="Arial" w:hAnsi="Times New Roman" w:cs="Times New Roman"/>
                <w:i/>
                <w:sz w:val="20"/>
                <w:szCs w:val="20"/>
              </w:rPr>
              <w:t xml:space="preserve">C. </w:t>
            </w:r>
            <w:r w:rsidRPr="004D1E6F">
              <w:rPr>
                <w:rFonts w:ascii="Times New Roman" w:eastAsia="Calibri" w:hAnsi="Times New Roman" w:cs="Times New Roman"/>
                <w:i/>
                <w:iCs/>
                <w:sz w:val="20"/>
                <w:szCs w:val="20"/>
              </w:rPr>
              <w:t>tenuimanus</w:t>
            </w:r>
            <w:r w:rsidRPr="004D1E6F">
              <w:rPr>
                <w:rFonts w:ascii="Times New Roman" w:eastAsia="Arial" w:hAnsi="Times New Roman" w:cs="Times New Roman"/>
                <w:sz w:val="20"/>
                <w:szCs w:val="20"/>
              </w:rPr>
              <w:t xml:space="preserve"> </w:t>
            </w:r>
            <w:r w:rsidRPr="004D1E6F">
              <w:rPr>
                <w:rFonts w:ascii="Times New Roman" w:eastAsia="Calibri" w:hAnsi="Times New Roman" w:cs="Times New Roman"/>
                <w:sz w:val="20"/>
                <w:szCs w:val="20"/>
              </w:rPr>
              <w:t>is present, g</w:t>
            </w:r>
            <w:r w:rsidRPr="004D1E6F">
              <w:rPr>
                <w:rFonts w:ascii="Times New Roman" w:eastAsia="Calibri" w:hAnsi="Times New Roman" w:cs="Times New Roman"/>
                <w:iCs/>
                <w:sz w:val="20"/>
                <w:szCs w:val="20"/>
              </w:rPr>
              <w:t xml:space="preserve">iven the apparent </w:t>
            </w:r>
            <w:r w:rsidRPr="004D1E6F">
              <w:rPr>
                <w:rFonts w:ascii="Times New Roman" w:eastAsia="Calibri" w:hAnsi="Times New Roman" w:cs="Times New Roman"/>
                <w:iCs/>
                <w:sz w:val="20"/>
                <w:szCs w:val="20"/>
              </w:rPr>
              <w:lastRenderedPageBreak/>
              <w:t xml:space="preserve">on-going farming of crayfish and the lack of invasive populations, there does not seem to be a strong case to change the listing from category 2. However, it will be important to evaluate whether the benefits of farming </w:t>
            </w:r>
            <w:r w:rsidRPr="004D1E6F">
              <w:rPr>
                <w:rFonts w:ascii="Times New Roman" w:eastAsia="Calibri" w:hAnsi="Times New Roman" w:cs="Times New Roman"/>
                <w:i/>
                <w:sz w:val="20"/>
                <w:szCs w:val="20"/>
              </w:rPr>
              <w:t xml:space="preserve">C. </w:t>
            </w:r>
            <w:r w:rsidRPr="004D1E6F">
              <w:rPr>
                <w:rFonts w:ascii="Times New Roman" w:eastAsia="Calibri" w:hAnsi="Times New Roman" w:cs="Times New Roman"/>
                <w:i/>
                <w:iCs/>
                <w:sz w:val="20"/>
                <w:szCs w:val="20"/>
              </w:rPr>
              <w:t>tenuimanus</w:t>
            </w:r>
            <w:r w:rsidRPr="004D1E6F">
              <w:rPr>
                <w:rFonts w:ascii="Times New Roman" w:eastAsia="Calibri" w:hAnsi="Times New Roman" w:cs="Times New Roman"/>
                <w:iCs/>
                <w:sz w:val="20"/>
                <w:szCs w:val="20"/>
              </w:rPr>
              <w:t xml:space="preserve"> justify the additional the risk of invasion. Wherever permits are issued, </w:t>
            </w:r>
            <w:r w:rsidRPr="004D1E6F">
              <w:rPr>
                <w:rFonts w:ascii="Times New Roman" w:eastAsia="Calibri" w:hAnsi="Times New Roman" w:cs="Times New Roman"/>
                <w:sz w:val="20"/>
                <w:szCs w:val="20"/>
              </w:rPr>
              <w:t>it is important that strong biosecurity protocols are in place, and provision is included to deal with any escapes with the carefully regulated use of biocides as a potential method to extirpate localised populations. The current prohibition on catch and release seems appropriate.</w:t>
            </w:r>
          </w:p>
        </w:tc>
        <w:tc>
          <w:tcPr>
            <w:tcW w:w="2245" w:type="dxa"/>
          </w:tcPr>
          <w:p w14:paraId="2F90197F"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lastRenderedPageBreak/>
              <w:t>Listing under NEM:BA A&amp;IS lists of 2021:</w:t>
            </w:r>
          </w:p>
          <w:p w14:paraId="462ED854"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t xml:space="preserve">2 as </w:t>
            </w:r>
            <w:r w:rsidRPr="004D1E6F">
              <w:rPr>
                <w:rFonts w:ascii="Times New Roman" w:eastAsia="Arial" w:hAnsi="Times New Roman" w:cs="Times New Roman"/>
                <w:i/>
                <w:sz w:val="20"/>
                <w:szCs w:val="20"/>
              </w:rPr>
              <w:t>Cherax tenuimanus</w:t>
            </w:r>
            <w:r w:rsidRPr="004D1E6F">
              <w:rPr>
                <w:rFonts w:ascii="Times New Roman" w:eastAsia="Arial" w:hAnsi="Times New Roman" w:cs="Times New Roman"/>
                <w:sz w:val="20"/>
                <w:szCs w:val="20"/>
              </w:rPr>
              <w:t xml:space="preserve"> (Smith, 1912)</w:t>
            </w:r>
            <w:r w:rsidRPr="004D1E6F">
              <w:rPr>
                <w:rFonts w:ascii="Times New Roman" w:hAnsi="Times New Roman" w:cs="Times New Roman"/>
                <w:sz w:val="20"/>
                <w:szCs w:val="20"/>
              </w:rPr>
              <w:t xml:space="preserve">, with </w:t>
            </w:r>
            <w:r w:rsidRPr="004D1E6F">
              <w:rPr>
                <w:rFonts w:ascii="Times New Roman" w:hAnsi="Times New Roman" w:cs="Times New Roman"/>
                <w:sz w:val="20"/>
                <w:szCs w:val="20"/>
              </w:rPr>
              <w:lastRenderedPageBreak/>
              <w:t>catch and release prohibited</w:t>
            </w:r>
          </w:p>
        </w:tc>
      </w:tr>
      <w:tr w:rsidR="002D7080" w:rsidRPr="004D1E6F" w14:paraId="00C14DB8" w14:textId="77777777" w:rsidTr="002E2C37">
        <w:trPr>
          <w:trHeight w:val="690"/>
        </w:trPr>
        <w:tc>
          <w:tcPr>
            <w:tcW w:w="6663" w:type="dxa"/>
            <w:gridSpan w:val="2"/>
            <w:vMerge/>
          </w:tcPr>
          <w:p w14:paraId="1511DBE2" w14:textId="77777777" w:rsidR="002D7080" w:rsidRPr="004D1E6F" w:rsidRDefault="002D7080" w:rsidP="002E2C37">
            <w:pPr>
              <w:rPr>
                <w:rFonts w:ascii="Times New Roman" w:hAnsi="Times New Roman" w:cs="Times New Roman"/>
                <w:b/>
                <w:sz w:val="20"/>
                <w:szCs w:val="20"/>
              </w:rPr>
            </w:pPr>
          </w:p>
        </w:tc>
        <w:tc>
          <w:tcPr>
            <w:tcW w:w="2245" w:type="dxa"/>
          </w:tcPr>
          <w:p w14:paraId="692D3B8D"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 xml:space="preserve">Recommended listing category: </w:t>
            </w:r>
          </w:p>
          <w:p w14:paraId="075270E2"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sz w:val="20"/>
                <w:szCs w:val="20"/>
              </w:rPr>
              <w:t xml:space="preserve">2 </w:t>
            </w:r>
            <w:r w:rsidRPr="004D1E6F">
              <w:rPr>
                <w:rFonts w:ascii="Times New Roman" w:eastAsia="Arial" w:hAnsi="Times New Roman" w:cs="Times New Roman"/>
                <w:i/>
                <w:sz w:val="20"/>
                <w:szCs w:val="20"/>
              </w:rPr>
              <w:t>Cherax tenuimanus</w:t>
            </w:r>
            <w:r w:rsidRPr="004D1E6F">
              <w:rPr>
                <w:rFonts w:ascii="Times New Roman" w:eastAsia="Arial" w:hAnsi="Times New Roman" w:cs="Times New Roman"/>
                <w:sz w:val="20"/>
                <w:szCs w:val="20"/>
              </w:rPr>
              <w:t xml:space="preserve"> Smith, 1912</w:t>
            </w:r>
            <w:r w:rsidRPr="004D1E6F">
              <w:rPr>
                <w:rFonts w:ascii="Times New Roman" w:hAnsi="Times New Roman" w:cs="Times New Roman"/>
                <w:sz w:val="20"/>
                <w:szCs w:val="20"/>
              </w:rPr>
              <w:t>, with catch and release prohibited</w:t>
            </w:r>
          </w:p>
        </w:tc>
      </w:tr>
    </w:tbl>
    <w:p w14:paraId="12CF477D"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br w:type="page"/>
      </w:r>
    </w:p>
    <w:p w14:paraId="34F6505E"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1. Background</w:t>
      </w:r>
    </w:p>
    <w:p w14:paraId="6875EFD7"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W w:w="8790" w:type="dxa"/>
        <w:tblInd w:w="108" w:type="dxa"/>
        <w:tblLook w:val="04A0" w:firstRow="1" w:lastRow="0" w:firstColumn="1" w:lastColumn="0" w:noHBand="0" w:noVBand="1"/>
      </w:tblPr>
      <w:tblGrid>
        <w:gridCol w:w="2250"/>
        <w:gridCol w:w="1606"/>
        <w:gridCol w:w="2268"/>
        <w:gridCol w:w="2666"/>
      </w:tblGrid>
      <w:tr w:rsidR="002D7080" w:rsidRPr="004D1E6F" w14:paraId="12F5301F" w14:textId="77777777" w:rsidTr="002E2C37">
        <w:trPr>
          <w:cantSplit/>
          <w:trHeight w:val="358"/>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0F7EEA74" w14:textId="77777777" w:rsidR="002D7080" w:rsidRPr="004D1E6F" w:rsidRDefault="002D7080" w:rsidP="002E2C37">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BAC1 Name of assessor(s)</w:t>
            </w:r>
          </w:p>
        </w:tc>
      </w:tr>
      <w:tr w:rsidR="002D7080" w:rsidRPr="004D1E6F" w14:paraId="451E93FE" w14:textId="77777777" w:rsidTr="002E2C37">
        <w:trPr>
          <w:cantSplit/>
          <w:trHeight w:val="251"/>
        </w:trPr>
        <w:tc>
          <w:tcPr>
            <w:tcW w:w="2250" w:type="dxa"/>
            <w:tcBorders>
              <w:top w:val="nil"/>
              <w:left w:val="single" w:sz="4" w:space="0" w:color="auto"/>
              <w:bottom w:val="single" w:sz="4" w:space="0" w:color="auto"/>
              <w:right w:val="single" w:sz="4" w:space="0" w:color="auto"/>
            </w:tcBorders>
            <w:shd w:val="clear" w:color="auto" w:fill="F2F2F2" w:themeFill="background1" w:themeFillShade="F2"/>
            <w:noWrap/>
          </w:tcPr>
          <w:p w14:paraId="6343CFC7"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Name of lead assessor</w:t>
            </w:r>
          </w:p>
        </w:tc>
        <w:tc>
          <w:tcPr>
            <w:tcW w:w="6540" w:type="dxa"/>
            <w:gridSpan w:val="3"/>
            <w:tcBorders>
              <w:top w:val="nil"/>
              <w:left w:val="single" w:sz="4" w:space="0" w:color="auto"/>
              <w:bottom w:val="single" w:sz="4" w:space="0" w:color="auto"/>
              <w:right w:val="single" w:sz="4" w:space="0" w:color="auto"/>
            </w:tcBorders>
          </w:tcPr>
          <w:p w14:paraId="3B87002D" w14:textId="77777777" w:rsidR="002D7080" w:rsidRPr="004D1E6F" w:rsidRDefault="002D7080" w:rsidP="002E2C37">
            <w:pPr>
              <w:spacing w:after="0" w:line="240" w:lineRule="auto"/>
              <w:rPr>
                <w:rFonts w:ascii="Times New Roman" w:eastAsia="Arial" w:hAnsi="Times New Roman" w:cs="Times New Roman"/>
                <w:color w:val="000000"/>
                <w:sz w:val="20"/>
                <w:szCs w:val="20"/>
              </w:rPr>
            </w:pPr>
            <w:r w:rsidRPr="004D1E6F">
              <w:rPr>
                <w:rFonts w:ascii="Times New Roman" w:eastAsia="Arial" w:hAnsi="Times New Roman" w:cs="Times New Roman"/>
                <w:color w:val="000000"/>
                <w:sz w:val="20"/>
                <w:szCs w:val="20"/>
              </w:rPr>
              <w:t>Lee-Anne Botha</w:t>
            </w:r>
          </w:p>
        </w:tc>
      </w:tr>
      <w:tr w:rsidR="002D7080" w:rsidRPr="004D1E6F" w14:paraId="0D8A2930" w14:textId="77777777" w:rsidTr="002E2C37">
        <w:trPr>
          <w:cantSplit/>
          <w:trHeight w:val="197"/>
        </w:trPr>
        <w:tc>
          <w:tcPr>
            <w:tcW w:w="2250" w:type="dxa"/>
            <w:tcBorders>
              <w:top w:val="nil"/>
              <w:left w:val="single" w:sz="4" w:space="0" w:color="auto"/>
              <w:bottom w:val="single" w:sz="4" w:space="0" w:color="auto"/>
              <w:right w:val="single" w:sz="4" w:space="0" w:color="auto"/>
            </w:tcBorders>
            <w:shd w:val="clear" w:color="auto" w:fill="F2F2F2" w:themeFill="background1" w:themeFillShade="F2"/>
            <w:noWrap/>
          </w:tcPr>
          <w:p w14:paraId="4120425A"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Additional assessor (</w:t>
            </w:r>
            <w:r>
              <w:rPr>
                <w:rFonts w:ascii="Times New Roman" w:hAnsi="Times New Roman" w:cs="Times New Roman"/>
                <w:bCs/>
                <w:iCs/>
                <w:sz w:val="20"/>
                <w:szCs w:val="24"/>
              </w:rPr>
              <w:t>1)</w:t>
            </w:r>
          </w:p>
        </w:tc>
        <w:tc>
          <w:tcPr>
            <w:tcW w:w="6540" w:type="dxa"/>
            <w:gridSpan w:val="3"/>
            <w:tcBorders>
              <w:top w:val="nil"/>
              <w:left w:val="single" w:sz="4" w:space="0" w:color="auto"/>
              <w:bottom w:val="single" w:sz="4" w:space="0" w:color="auto"/>
              <w:right w:val="single" w:sz="4" w:space="0" w:color="auto"/>
            </w:tcBorders>
          </w:tcPr>
          <w:p w14:paraId="0D9E50B0" w14:textId="77777777" w:rsidR="002D7080" w:rsidRPr="004D1E6F" w:rsidRDefault="002D7080" w:rsidP="002E2C37">
            <w:pPr>
              <w:spacing w:after="0" w:line="240" w:lineRule="auto"/>
              <w:rPr>
                <w:rFonts w:ascii="Times New Roman" w:eastAsia="Arial" w:hAnsi="Times New Roman" w:cs="Times New Roman"/>
                <w:color w:val="000000"/>
                <w:sz w:val="20"/>
                <w:szCs w:val="20"/>
              </w:rPr>
            </w:pPr>
            <w:r w:rsidRPr="00A7470F">
              <w:rPr>
                <w:rFonts w:ascii="Times New Roman" w:eastAsia="Times New Roman" w:hAnsi="Times New Roman" w:cs="Times New Roman"/>
                <w:color w:val="000000"/>
                <w:sz w:val="20"/>
                <w:szCs w:val="20"/>
                <w:lang w:eastAsia="en-ZA"/>
              </w:rPr>
              <w:t>Tsungai Zengeya</w:t>
            </w:r>
          </w:p>
        </w:tc>
      </w:tr>
      <w:tr w:rsidR="002D7080" w:rsidRPr="004D1E6F" w14:paraId="2BDCDC49" w14:textId="77777777" w:rsidTr="002E2C37">
        <w:trPr>
          <w:cantSplit/>
          <w:trHeight w:val="287"/>
        </w:trPr>
        <w:tc>
          <w:tcPr>
            <w:tcW w:w="2250" w:type="dxa"/>
            <w:tcBorders>
              <w:left w:val="single" w:sz="4" w:space="0" w:color="auto"/>
              <w:bottom w:val="single" w:sz="4" w:space="0" w:color="auto"/>
              <w:right w:val="single" w:sz="4" w:space="0" w:color="auto"/>
            </w:tcBorders>
            <w:shd w:val="clear" w:color="auto" w:fill="F2F2F2" w:themeFill="background1" w:themeFillShade="F2"/>
            <w:noWrap/>
          </w:tcPr>
          <w:p w14:paraId="085AC13A" w14:textId="77777777" w:rsidR="002D7080" w:rsidRPr="004D1E6F" w:rsidRDefault="002D7080" w:rsidP="002E2C37">
            <w:pPr>
              <w:spacing w:after="0" w:line="240" w:lineRule="auto"/>
              <w:rPr>
                <w:rFonts w:ascii="Times New Roman" w:eastAsia="Times New Roman" w:hAnsi="Times New Roman" w:cs="Times New Roman"/>
                <w:b/>
                <w:sz w:val="20"/>
                <w:szCs w:val="20"/>
                <w:lang w:eastAsia="en-ZA"/>
              </w:rPr>
            </w:pPr>
            <w:r w:rsidRPr="004D1E6F">
              <w:rPr>
                <w:rFonts w:ascii="Times New Roman" w:hAnsi="Times New Roman" w:cs="Times New Roman"/>
                <w:bCs/>
                <w:iCs/>
                <w:sz w:val="20"/>
                <w:szCs w:val="24"/>
              </w:rPr>
              <w:t>Additional assessor (2)</w:t>
            </w:r>
          </w:p>
        </w:tc>
        <w:tc>
          <w:tcPr>
            <w:tcW w:w="6540" w:type="dxa"/>
            <w:gridSpan w:val="3"/>
            <w:tcBorders>
              <w:top w:val="nil"/>
              <w:left w:val="single" w:sz="4" w:space="0" w:color="auto"/>
              <w:bottom w:val="single" w:sz="4" w:space="0" w:color="auto"/>
              <w:right w:val="single" w:sz="4" w:space="0" w:color="auto"/>
            </w:tcBorders>
          </w:tcPr>
          <w:p w14:paraId="1CB376AF" w14:textId="367A6C55" w:rsidR="002D7080" w:rsidRPr="004D1E6F" w:rsidRDefault="002D7080" w:rsidP="002E2C37">
            <w:pPr>
              <w:spacing w:after="0" w:line="240" w:lineRule="auto"/>
              <w:rPr>
                <w:rFonts w:ascii="Times New Roman" w:eastAsia="Times New Roman" w:hAnsi="Times New Roman" w:cs="Times New Roman"/>
                <w:sz w:val="20"/>
                <w:szCs w:val="20"/>
                <w:lang w:eastAsia="en-ZA"/>
              </w:rPr>
            </w:pPr>
            <w:r>
              <w:rPr>
                <w:rFonts w:ascii="Times New Roman" w:eastAsia="Times New Roman" w:hAnsi="Times New Roman" w:cs="Times New Roman"/>
                <w:color w:val="000000"/>
                <w:sz w:val="20"/>
                <w:szCs w:val="20"/>
                <w:lang w:eastAsia="en-ZA"/>
              </w:rPr>
              <w:t>C</w:t>
            </w:r>
            <w:r w:rsidR="00061715">
              <w:rPr>
                <w:rFonts w:ascii="Times New Roman" w:eastAsia="Times New Roman" w:hAnsi="Times New Roman" w:cs="Times New Roman"/>
                <w:color w:val="000000"/>
                <w:sz w:val="20"/>
                <w:szCs w:val="20"/>
                <w:lang w:eastAsia="en-ZA"/>
              </w:rPr>
              <w:t>h</w:t>
            </w:r>
            <w:r>
              <w:rPr>
                <w:rFonts w:ascii="Times New Roman" w:eastAsia="Times New Roman" w:hAnsi="Times New Roman" w:cs="Times New Roman"/>
                <w:color w:val="000000"/>
                <w:sz w:val="20"/>
                <w:szCs w:val="20"/>
                <w:lang w:eastAsia="en-ZA"/>
              </w:rPr>
              <w:t>ris</w:t>
            </w:r>
            <w:r w:rsidR="007F105A">
              <w:rPr>
                <w:rFonts w:ascii="Times New Roman" w:eastAsia="Times New Roman" w:hAnsi="Times New Roman" w:cs="Times New Roman"/>
                <w:color w:val="000000"/>
                <w:sz w:val="20"/>
                <w:szCs w:val="20"/>
                <w:lang w:eastAsia="en-ZA"/>
              </w:rPr>
              <w:t>tian</w:t>
            </w:r>
            <w:r>
              <w:rPr>
                <w:rFonts w:ascii="Times New Roman" w:eastAsia="Times New Roman" w:hAnsi="Times New Roman" w:cs="Times New Roman"/>
                <w:color w:val="000000"/>
                <w:sz w:val="20"/>
                <w:szCs w:val="20"/>
                <w:lang w:eastAsia="en-ZA"/>
              </w:rPr>
              <w:t xml:space="preserve"> Chimimba </w:t>
            </w:r>
          </w:p>
        </w:tc>
      </w:tr>
      <w:tr w:rsidR="002D7080" w:rsidRPr="004D1E6F" w14:paraId="1B0EB5F0" w14:textId="77777777" w:rsidTr="002E2C37">
        <w:trPr>
          <w:cantSplit/>
          <w:trHeight w:val="260"/>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52FBA5A6"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BAC2 Contact details of assessor (s)</w:t>
            </w:r>
          </w:p>
        </w:tc>
      </w:tr>
      <w:tr w:rsidR="002D7080" w:rsidRPr="004D1E6F" w14:paraId="79979885" w14:textId="77777777" w:rsidTr="002E2C37">
        <w:trPr>
          <w:cantSplit/>
          <w:trHeight w:val="70"/>
        </w:trPr>
        <w:tc>
          <w:tcPr>
            <w:tcW w:w="2250" w:type="dxa"/>
            <w:vMerge w:val="restart"/>
            <w:tcBorders>
              <w:top w:val="nil"/>
              <w:left w:val="single" w:sz="4" w:space="0" w:color="auto"/>
              <w:bottom w:val="single" w:sz="4" w:space="0" w:color="auto"/>
              <w:right w:val="single" w:sz="4" w:space="0" w:color="auto"/>
            </w:tcBorders>
            <w:shd w:val="clear" w:color="auto" w:fill="F2F2F2" w:themeFill="background1" w:themeFillShade="F2"/>
            <w:noWrap/>
            <w:hideMark/>
          </w:tcPr>
          <w:p w14:paraId="1E66697E"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Lead assessor</w:t>
            </w:r>
          </w:p>
        </w:tc>
        <w:tc>
          <w:tcPr>
            <w:tcW w:w="6540" w:type="dxa"/>
            <w:gridSpan w:val="3"/>
            <w:tcBorders>
              <w:top w:val="nil"/>
              <w:left w:val="nil"/>
              <w:bottom w:val="single" w:sz="4" w:space="0" w:color="auto"/>
              <w:right w:val="single" w:sz="4" w:space="0" w:color="auto"/>
            </w:tcBorders>
          </w:tcPr>
          <w:p w14:paraId="59E9CE2E"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 xml:space="preserve">Organisational affiliation: </w:t>
            </w:r>
            <w:r w:rsidRPr="004D1E6F">
              <w:rPr>
                <w:rFonts w:ascii="Times New Roman" w:eastAsia="Times New Roman" w:hAnsi="Times New Roman" w:cs="Times New Roman"/>
                <w:color w:val="000000"/>
                <w:sz w:val="20"/>
                <w:szCs w:val="20"/>
                <w:lang w:eastAsia="en-ZA"/>
              </w:rPr>
              <w:t>Department of Zoology and Entomology, University of Pretoria and The South African National Biodiversity Institute (SANBI).</w:t>
            </w:r>
          </w:p>
        </w:tc>
      </w:tr>
      <w:tr w:rsidR="002D7080" w:rsidRPr="004D1E6F" w14:paraId="5D37C4F8" w14:textId="77777777" w:rsidTr="002E2C37">
        <w:trPr>
          <w:cantSplit/>
          <w:trHeight w:val="70"/>
        </w:trPr>
        <w:tc>
          <w:tcPr>
            <w:tcW w:w="2250" w:type="dxa"/>
            <w:vMerge/>
            <w:tcBorders>
              <w:left w:val="single" w:sz="4" w:space="0" w:color="auto"/>
              <w:bottom w:val="single" w:sz="4" w:space="0" w:color="auto"/>
              <w:right w:val="single" w:sz="4" w:space="0" w:color="auto"/>
            </w:tcBorders>
            <w:shd w:val="clear" w:color="auto" w:fill="F2F2F2" w:themeFill="background1" w:themeFillShade="F2"/>
            <w:noWrap/>
          </w:tcPr>
          <w:p w14:paraId="47C3100A"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540" w:type="dxa"/>
            <w:gridSpan w:val="3"/>
            <w:tcBorders>
              <w:top w:val="nil"/>
              <w:left w:val="nil"/>
              <w:bottom w:val="single" w:sz="4" w:space="0" w:color="auto"/>
              <w:right w:val="single" w:sz="4" w:space="0" w:color="auto"/>
            </w:tcBorders>
          </w:tcPr>
          <w:p w14:paraId="214B34DD"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 xml:space="preserve">email: </w:t>
            </w:r>
            <w:r w:rsidRPr="004D1E6F">
              <w:rPr>
                <w:rFonts w:ascii="Times New Roman" w:eastAsia="Times New Roman" w:hAnsi="Times New Roman" w:cs="Times New Roman"/>
                <w:color w:val="000000"/>
                <w:sz w:val="20"/>
                <w:szCs w:val="20"/>
                <w:lang w:eastAsia="en-ZA"/>
              </w:rPr>
              <w:t>leeannebth782@gmail.com</w:t>
            </w:r>
          </w:p>
        </w:tc>
      </w:tr>
      <w:tr w:rsidR="002D7080" w:rsidRPr="004D1E6F" w14:paraId="3F80B992" w14:textId="77777777" w:rsidTr="002E2C37">
        <w:trPr>
          <w:cantSplit/>
          <w:trHeight w:val="70"/>
        </w:trPr>
        <w:tc>
          <w:tcPr>
            <w:tcW w:w="22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F8C5142"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Additional assessor (</w:t>
            </w:r>
            <w:r>
              <w:rPr>
                <w:rFonts w:ascii="Times New Roman" w:hAnsi="Times New Roman" w:cs="Times New Roman"/>
                <w:bCs/>
                <w:iCs/>
                <w:sz w:val="20"/>
                <w:szCs w:val="24"/>
              </w:rPr>
              <w:t>1)</w:t>
            </w:r>
          </w:p>
        </w:tc>
        <w:tc>
          <w:tcPr>
            <w:tcW w:w="6540" w:type="dxa"/>
            <w:gridSpan w:val="3"/>
            <w:tcBorders>
              <w:top w:val="nil"/>
              <w:left w:val="nil"/>
              <w:bottom w:val="single" w:sz="4" w:space="0" w:color="auto"/>
              <w:right w:val="single" w:sz="4" w:space="0" w:color="auto"/>
            </w:tcBorders>
          </w:tcPr>
          <w:p w14:paraId="051631CA" w14:textId="77777777" w:rsidR="002D7080" w:rsidRPr="004D1E6F" w:rsidRDefault="002D7080" w:rsidP="002E2C37">
            <w:pPr>
              <w:spacing w:after="0" w:line="240" w:lineRule="auto"/>
              <w:rPr>
                <w:rFonts w:ascii="Times New Roman" w:eastAsia="Arial" w:hAnsi="Times New Roman" w:cs="Times New Roman"/>
                <w:color w:val="000000"/>
                <w:sz w:val="20"/>
                <w:szCs w:val="20"/>
              </w:rPr>
            </w:pPr>
            <w:r w:rsidRPr="004D1E6F">
              <w:rPr>
                <w:rFonts w:ascii="Times New Roman" w:eastAsia="Times New Roman" w:hAnsi="Times New Roman" w:cs="Times New Roman"/>
                <w:sz w:val="20"/>
                <w:szCs w:val="20"/>
                <w:lang w:eastAsia="en-ZA"/>
              </w:rPr>
              <w:t>Organisational affiliation:</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South African National Biodiversity Institute (SANBI)</w:t>
            </w:r>
          </w:p>
        </w:tc>
      </w:tr>
      <w:tr w:rsidR="002D7080" w:rsidRPr="004D1E6F" w14:paraId="75B597A4" w14:textId="77777777" w:rsidTr="002E2C37">
        <w:trPr>
          <w:cantSplit/>
          <w:trHeight w:val="70"/>
        </w:trPr>
        <w:tc>
          <w:tcPr>
            <w:tcW w:w="22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85BEFCE"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540" w:type="dxa"/>
            <w:gridSpan w:val="3"/>
            <w:tcBorders>
              <w:top w:val="nil"/>
              <w:left w:val="nil"/>
              <w:bottom w:val="single" w:sz="4" w:space="0" w:color="auto"/>
              <w:right w:val="single" w:sz="4" w:space="0" w:color="auto"/>
            </w:tcBorders>
          </w:tcPr>
          <w:p w14:paraId="0A0B7C8B" w14:textId="77777777" w:rsidR="002D7080" w:rsidRPr="004D1E6F" w:rsidRDefault="002D7080" w:rsidP="002E2C37">
            <w:pPr>
              <w:spacing w:after="0" w:line="240" w:lineRule="auto"/>
              <w:rPr>
                <w:rFonts w:ascii="Times New Roman" w:eastAsia="Arial" w:hAnsi="Times New Roman" w:cs="Times New Roman"/>
                <w:color w:val="000000"/>
                <w:sz w:val="20"/>
                <w:szCs w:val="20"/>
              </w:rPr>
            </w:pPr>
            <w:r w:rsidRPr="004D1E6F">
              <w:rPr>
                <w:rFonts w:ascii="Times New Roman" w:eastAsia="Times New Roman" w:hAnsi="Times New Roman" w:cs="Times New Roman"/>
                <w:sz w:val="20"/>
                <w:szCs w:val="20"/>
                <w:lang w:eastAsia="en-ZA"/>
              </w:rPr>
              <w:t>email:</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T.Zengeya@sanbi.org.za</w:t>
            </w:r>
          </w:p>
        </w:tc>
      </w:tr>
      <w:tr w:rsidR="002D7080" w:rsidRPr="004D1E6F" w14:paraId="422CE145" w14:textId="77777777" w:rsidTr="002E2C37">
        <w:trPr>
          <w:cantSplit/>
          <w:trHeight w:val="70"/>
        </w:trPr>
        <w:tc>
          <w:tcPr>
            <w:tcW w:w="22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28762CB"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Additional assessor (2)</w:t>
            </w:r>
          </w:p>
        </w:tc>
        <w:tc>
          <w:tcPr>
            <w:tcW w:w="6540" w:type="dxa"/>
            <w:gridSpan w:val="3"/>
            <w:tcBorders>
              <w:top w:val="nil"/>
              <w:left w:val="nil"/>
              <w:bottom w:val="single" w:sz="4" w:space="0" w:color="auto"/>
              <w:right w:val="single" w:sz="4" w:space="0" w:color="auto"/>
            </w:tcBorders>
          </w:tcPr>
          <w:p w14:paraId="2EE5D519" w14:textId="77777777" w:rsidR="002D7080" w:rsidRPr="004D1E6F" w:rsidRDefault="002D7080" w:rsidP="002E2C37">
            <w:pPr>
              <w:spacing w:after="0" w:line="240" w:lineRule="auto"/>
              <w:rPr>
                <w:rFonts w:ascii="Times New Roman" w:eastAsia="Arial" w:hAnsi="Times New Roman" w:cs="Times New Roman"/>
                <w:color w:val="000000"/>
                <w:sz w:val="20"/>
                <w:szCs w:val="20"/>
              </w:rPr>
            </w:pPr>
            <w:r w:rsidRPr="004D1E6F">
              <w:rPr>
                <w:rFonts w:ascii="Times New Roman" w:hAnsi="Times New Roman" w:cs="Times New Roman"/>
                <w:bCs/>
                <w:iCs/>
                <w:sz w:val="20"/>
                <w:szCs w:val="24"/>
              </w:rPr>
              <w:t>Organisational affiliation: Department of Zoology and Entomology, University of Pretoria and The South African National Biodiversity Institute (SANBI).</w:t>
            </w:r>
          </w:p>
        </w:tc>
      </w:tr>
      <w:tr w:rsidR="002D7080" w:rsidRPr="004D1E6F" w14:paraId="14BF6A81" w14:textId="77777777" w:rsidTr="002E2C37">
        <w:trPr>
          <w:cantSplit/>
          <w:trHeight w:val="70"/>
        </w:trPr>
        <w:tc>
          <w:tcPr>
            <w:tcW w:w="2250" w:type="dxa"/>
            <w:tcBorders>
              <w:left w:val="single" w:sz="4" w:space="0" w:color="auto"/>
              <w:bottom w:val="single" w:sz="4" w:space="0" w:color="auto"/>
              <w:right w:val="single" w:sz="4" w:space="0" w:color="auto"/>
            </w:tcBorders>
            <w:shd w:val="clear" w:color="auto" w:fill="F2F2F2" w:themeFill="background1" w:themeFillShade="F2"/>
            <w:noWrap/>
          </w:tcPr>
          <w:p w14:paraId="4ECAEEF4"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540" w:type="dxa"/>
            <w:gridSpan w:val="3"/>
            <w:tcBorders>
              <w:top w:val="nil"/>
              <w:left w:val="nil"/>
              <w:bottom w:val="single" w:sz="4" w:space="0" w:color="auto"/>
              <w:right w:val="single" w:sz="4" w:space="0" w:color="auto"/>
            </w:tcBorders>
          </w:tcPr>
          <w:p w14:paraId="5A3DED24" w14:textId="77777777" w:rsidR="002D7080" w:rsidRPr="004D1E6F" w:rsidRDefault="002D7080" w:rsidP="002E2C37">
            <w:pPr>
              <w:spacing w:after="0" w:line="240" w:lineRule="auto"/>
              <w:rPr>
                <w:rFonts w:ascii="Times New Roman" w:eastAsia="Arial" w:hAnsi="Times New Roman" w:cs="Times New Roman"/>
                <w:color w:val="000000"/>
                <w:sz w:val="20"/>
                <w:szCs w:val="20"/>
              </w:rPr>
            </w:pPr>
            <w:r w:rsidRPr="004D1E6F">
              <w:rPr>
                <w:rFonts w:ascii="Times New Roman" w:hAnsi="Times New Roman" w:cs="Times New Roman"/>
                <w:bCs/>
                <w:iCs/>
                <w:sz w:val="20"/>
                <w:szCs w:val="24"/>
              </w:rPr>
              <w:t>email: ctchimimba@up.ac.za</w:t>
            </w:r>
          </w:p>
        </w:tc>
      </w:tr>
      <w:tr w:rsidR="002D7080" w:rsidRPr="004D1E6F" w14:paraId="6784A845" w14:textId="77777777" w:rsidTr="002E2C37">
        <w:trPr>
          <w:cantSplit/>
          <w:trHeight w:val="70"/>
        </w:trPr>
        <w:tc>
          <w:tcPr>
            <w:tcW w:w="8790" w:type="dxa"/>
            <w:gridSpan w:val="4"/>
            <w:tcBorders>
              <w:top w:val="nil"/>
              <w:left w:val="single" w:sz="4" w:space="0" w:color="auto"/>
              <w:bottom w:val="single" w:sz="4" w:space="0" w:color="auto"/>
              <w:right w:val="single" w:sz="4" w:space="0" w:color="auto"/>
            </w:tcBorders>
            <w:noWrap/>
          </w:tcPr>
          <w:p w14:paraId="0E6583F9"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 xml:space="preserve">Comments: </w:t>
            </w:r>
            <w:r>
              <w:rPr>
                <w:rFonts w:ascii="Times New Roman" w:eastAsia="Arial" w:hAnsi="Times New Roman" w:cs="Times New Roman"/>
                <w:color w:val="000000"/>
                <w:sz w:val="20"/>
                <w:szCs w:val="20"/>
              </w:rPr>
              <w:t xml:space="preserve">none </w:t>
            </w:r>
          </w:p>
        </w:tc>
      </w:tr>
      <w:tr w:rsidR="002D7080" w:rsidRPr="004D1E6F" w14:paraId="739B4610" w14:textId="77777777" w:rsidTr="002E2C37">
        <w:trPr>
          <w:cantSplit/>
          <w:trHeight w:val="365"/>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67383D79"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BAC4 Scientific name of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under assessment</w:t>
            </w:r>
          </w:p>
        </w:tc>
      </w:tr>
      <w:tr w:rsidR="002D7080" w:rsidRPr="004D1E6F" w14:paraId="69792D5A" w14:textId="77777777" w:rsidTr="002E2C37">
        <w:trPr>
          <w:cantSplit/>
          <w:trHeight w:val="70"/>
        </w:trPr>
        <w:tc>
          <w:tcPr>
            <w:tcW w:w="6124" w:type="dxa"/>
            <w:gridSpan w:val="3"/>
            <w:tcBorders>
              <w:top w:val="nil"/>
              <w:left w:val="single" w:sz="4" w:space="0" w:color="auto"/>
              <w:bottom w:val="single" w:sz="4" w:space="0" w:color="auto"/>
              <w:right w:val="single" w:sz="4" w:space="0" w:color="auto"/>
            </w:tcBorders>
            <w:noWrap/>
          </w:tcPr>
          <w:p w14:paraId="26DBBE5D"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name:</w:t>
            </w:r>
            <w:r w:rsidRPr="004D1E6F">
              <w:rPr>
                <w:rFonts w:ascii="Times New Roman" w:eastAsia="Arial" w:hAnsi="Times New Roman" w:cs="Times New Roman"/>
                <w:i/>
                <w:color w:val="000000"/>
                <w:sz w:val="20"/>
                <w:szCs w:val="20"/>
              </w:rPr>
              <w:t xml:space="preserve"> Cherax tenuimanus</w:t>
            </w:r>
          </w:p>
        </w:tc>
        <w:tc>
          <w:tcPr>
            <w:tcW w:w="2666" w:type="dxa"/>
            <w:tcBorders>
              <w:top w:val="nil"/>
              <w:left w:val="nil"/>
              <w:bottom w:val="single" w:sz="4" w:space="0" w:color="auto"/>
              <w:right w:val="single" w:sz="4" w:space="0" w:color="auto"/>
            </w:tcBorders>
            <w:hideMark/>
          </w:tcPr>
          <w:p w14:paraId="5722B4A6"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Authority: </w:t>
            </w:r>
            <w:r w:rsidRPr="004D1E6F">
              <w:rPr>
                <w:rFonts w:ascii="Times New Roman" w:eastAsia="Arial" w:hAnsi="Times New Roman" w:cs="Times New Roman"/>
                <w:color w:val="000000"/>
                <w:sz w:val="20"/>
                <w:szCs w:val="20"/>
              </w:rPr>
              <w:t>Smith, 1912</w:t>
            </w:r>
          </w:p>
        </w:tc>
      </w:tr>
      <w:tr w:rsidR="002D7080" w:rsidRPr="004D1E6F" w14:paraId="399F80BB" w14:textId="77777777" w:rsidTr="002E2C37">
        <w:trPr>
          <w:cantSplit/>
          <w:trHeight w:val="70"/>
        </w:trPr>
        <w:tc>
          <w:tcPr>
            <w:tcW w:w="8790" w:type="dxa"/>
            <w:gridSpan w:val="4"/>
            <w:tcBorders>
              <w:top w:val="nil"/>
              <w:left w:val="single" w:sz="4" w:space="0" w:color="auto"/>
              <w:bottom w:val="single" w:sz="4" w:space="0" w:color="auto"/>
              <w:right w:val="single" w:sz="4" w:space="0" w:color="auto"/>
            </w:tcBorders>
            <w:noWrap/>
          </w:tcPr>
          <w:p w14:paraId="68CDC8DC"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hAnsi="Times New Roman" w:cs="Times New Roman"/>
                <w:i/>
                <w:sz w:val="20"/>
                <w:szCs w:val="20"/>
              </w:rPr>
              <w:t>Cherax tenuimanus</w:t>
            </w:r>
            <w:r w:rsidRPr="004D1E6F">
              <w:rPr>
                <w:rFonts w:ascii="Times New Roman" w:hAnsi="Times New Roman" w:cs="Times New Roman"/>
                <w:sz w:val="20"/>
                <w:szCs w:val="20"/>
              </w:rPr>
              <w:t xml:space="preserve"> was originally described by Smith in 1912 from the Margaret River in Western Australia (Austin &amp; Ryan 2002). Examination of marron populations from different river systems in Australia, however, revealed two genetically distinct marron species, </w:t>
            </w:r>
            <w:r w:rsidRPr="004D1E6F">
              <w:rPr>
                <w:rFonts w:ascii="Times New Roman" w:hAnsi="Times New Roman" w:cs="Times New Roman"/>
                <w:i/>
                <w:sz w:val="20"/>
                <w:szCs w:val="20"/>
              </w:rPr>
              <w:t>C. tenuimanus</w:t>
            </w:r>
            <w:r w:rsidRPr="004D1E6F">
              <w:rPr>
                <w:rFonts w:ascii="Times New Roman" w:hAnsi="Times New Roman" w:cs="Times New Roman"/>
                <w:sz w:val="20"/>
                <w:szCs w:val="20"/>
              </w:rPr>
              <w:t xml:space="preserve"> that is restricted to the Margaret River, Western Australia, and </w:t>
            </w:r>
            <w:r w:rsidRPr="004D1E6F">
              <w:rPr>
                <w:rFonts w:ascii="Times New Roman" w:hAnsi="Times New Roman" w:cs="Times New Roman"/>
                <w:i/>
                <w:sz w:val="20"/>
                <w:szCs w:val="20"/>
              </w:rPr>
              <w:t>C. cainii</w:t>
            </w:r>
            <w:r w:rsidRPr="004D1E6F">
              <w:rPr>
                <w:rFonts w:ascii="Times New Roman" w:hAnsi="Times New Roman" w:cs="Times New Roman"/>
                <w:sz w:val="20"/>
                <w:szCs w:val="20"/>
              </w:rPr>
              <w:t xml:space="preserve"> which is widespread within south-west of Western Australia (Austin &amp; Ryan 2002).  Notably, </w:t>
            </w:r>
            <w:r w:rsidRPr="004D1E6F">
              <w:rPr>
                <w:rFonts w:ascii="Times New Roman" w:hAnsi="Times New Roman" w:cs="Times New Roman"/>
                <w:i/>
                <w:sz w:val="20"/>
                <w:szCs w:val="20"/>
              </w:rPr>
              <w:t>C. cainii</w:t>
            </w:r>
            <w:r w:rsidRPr="004D1E6F">
              <w:rPr>
                <w:rFonts w:ascii="Times New Roman" w:hAnsi="Times New Roman" w:cs="Times New Roman"/>
                <w:sz w:val="20"/>
                <w:szCs w:val="20"/>
              </w:rPr>
              <w:t xml:space="preserve"> has been extensively introduced outside of its native range within Australia for aquaculture in South Australia and Victoria (Morrissy 1976; Austin &amp; Ryan 2002).</w:t>
            </w:r>
          </w:p>
        </w:tc>
      </w:tr>
      <w:tr w:rsidR="002D7080" w:rsidRPr="004D1E6F" w14:paraId="1FD26937" w14:textId="77777777" w:rsidTr="002E2C37">
        <w:trPr>
          <w:cantSplit/>
          <w:trHeight w:val="70"/>
        </w:trPr>
        <w:tc>
          <w:tcPr>
            <w:tcW w:w="8790" w:type="dxa"/>
            <w:gridSpan w:val="4"/>
            <w:tcBorders>
              <w:top w:val="nil"/>
              <w:left w:val="single" w:sz="4" w:space="0" w:color="auto"/>
              <w:bottom w:val="single" w:sz="4" w:space="0" w:color="auto"/>
              <w:right w:val="single" w:sz="4" w:space="0" w:color="auto"/>
            </w:tcBorders>
            <w:noWrap/>
          </w:tcPr>
          <w:p w14:paraId="371A537C" w14:textId="77777777" w:rsidR="002D7080" w:rsidRPr="004D1E6F" w:rsidRDefault="002D7080" w:rsidP="007F105A">
            <w:pPr>
              <w:spacing w:after="0"/>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080195D1" w14:textId="6828E3B1" w:rsidR="002D7080" w:rsidRPr="004D1E6F" w:rsidRDefault="002D7080" w:rsidP="007F105A">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Arial" w:hAnsi="Times New Roman" w:cs="Times New Roman"/>
                <w:color w:val="000000"/>
                <w:sz w:val="20"/>
                <w:szCs w:val="20"/>
              </w:rPr>
              <w:t xml:space="preserve">Austin, C.M. &amp; Ryan, S.G., 2002, ‘Allozyme evidence for a new species of freshwater crayfish of genus </w:t>
            </w:r>
            <w:r w:rsidRPr="004D1E6F">
              <w:rPr>
                <w:rFonts w:ascii="Times New Roman" w:eastAsia="Arial" w:hAnsi="Times New Roman" w:cs="Times New Roman"/>
                <w:i/>
                <w:color w:val="000000"/>
                <w:sz w:val="20"/>
                <w:szCs w:val="20"/>
              </w:rPr>
              <w:t>Cherax</w:t>
            </w:r>
            <w:r w:rsidRPr="004D1E6F">
              <w:rPr>
                <w:rFonts w:ascii="Times New Roman" w:eastAsia="Arial" w:hAnsi="Times New Roman" w:cs="Times New Roman"/>
                <w:color w:val="000000"/>
                <w:sz w:val="20"/>
                <w:szCs w:val="20"/>
              </w:rPr>
              <w:t xml:space="preserve"> Erichson (Decapoda: Parastacidae) from the south-west of Western Australia’, </w:t>
            </w:r>
            <w:r w:rsidRPr="004D1E6F">
              <w:rPr>
                <w:rFonts w:ascii="Times New Roman" w:eastAsia="Arial" w:hAnsi="Times New Roman" w:cs="Times New Roman"/>
                <w:i/>
                <w:color w:val="000000"/>
                <w:sz w:val="20"/>
                <w:szCs w:val="20"/>
              </w:rPr>
              <w:t>Invertebrate Systematics</w:t>
            </w:r>
            <w:r w:rsidRPr="004D1E6F">
              <w:rPr>
                <w:rFonts w:ascii="Times New Roman" w:eastAsia="Arial" w:hAnsi="Times New Roman" w:cs="Times New Roman"/>
                <w:color w:val="000000"/>
                <w:sz w:val="20"/>
                <w:szCs w:val="20"/>
              </w:rPr>
              <w:t xml:space="preserve"> 16, 357-367</w:t>
            </w:r>
            <w:r w:rsidR="00061715" w:rsidRPr="00061715">
              <w:rPr>
                <w:rFonts w:ascii="Times New Roman" w:eastAsia="Arial" w:hAnsi="Times New Roman" w:cs="Times New Roman"/>
                <w:color w:val="000000"/>
                <w:sz w:val="20"/>
                <w:szCs w:val="20"/>
              </w:rPr>
              <w:t>, https://doi.org/10.1071/IT01010</w:t>
            </w:r>
            <w:r w:rsidRPr="004D1E6F">
              <w:rPr>
                <w:rFonts w:ascii="Times New Roman" w:eastAsia="Times New Roman" w:hAnsi="Times New Roman" w:cs="Times New Roman"/>
                <w:color w:val="000000"/>
                <w:sz w:val="20"/>
                <w:szCs w:val="20"/>
                <w:lang w:eastAsia="en-ZA"/>
              </w:rPr>
              <w:t>.</w:t>
            </w:r>
          </w:p>
          <w:p w14:paraId="3FDD1744" w14:textId="77777777" w:rsidR="002D7080" w:rsidRPr="004D1E6F" w:rsidRDefault="002D7080" w:rsidP="007F105A">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 xml:space="preserve">Morrissy, N.M., 1976, ‘Aquaculture of Marron, </w:t>
            </w:r>
            <w:r w:rsidRPr="004D1E6F">
              <w:rPr>
                <w:rFonts w:ascii="Times New Roman" w:eastAsia="Arial" w:hAnsi="Times New Roman" w:cs="Times New Roman"/>
                <w:i/>
                <w:iCs/>
                <w:color w:val="000000"/>
                <w:sz w:val="20"/>
                <w:szCs w:val="20"/>
              </w:rPr>
              <w:t>Cherax tenuimanus</w:t>
            </w:r>
            <w:r w:rsidRPr="004D1E6F">
              <w:rPr>
                <w:rFonts w:ascii="Times New Roman" w:eastAsia="Arial" w:hAnsi="Times New Roman" w:cs="Times New Roman"/>
                <w:color w:val="000000"/>
                <w:sz w:val="20"/>
                <w:szCs w:val="20"/>
              </w:rPr>
              <w:t xml:space="preserve"> (Smith) Part 2: Breeding and Early Rearing’, </w:t>
            </w:r>
            <w:r w:rsidRPr="004D1E6F">
              <w:rPr>
                <w:rFonts w:ascii="Times New Roman" w:eastAsia="Arial" w:hAnsi="Times New Roman" w:cs="Times New Roman"/>
                <w:i/>
                <w:iCs/>
                <w:color w:val="000000"/>
                <w:sz w:val="20"/>
                <w:szCs w:val="20"/>
              </w:rPr>
              <w:t>Fisheries Research Bulletin of Western Australia</w:t>
            </w:r>
            <w:r w:rsidRPr="004D1E6F">
              <w:rPr>
                <w:rFonts w:ascii="Times New Roman" w:eastAsia="Arial" w:hAnsi="Times New Roman" w:cs="Times New Roman"/>
                <w:color w:val="000000"/>
                <w:sz w:val="20"/>
                <w:szCs w:val="20"/>
              </w:rPr>
              <w:t xml:space="preserve"> </w:t>
            </w:r>
            <w:r w:rsidRPr="004D1E6F">
              <w:rPr>
                <w:rFonts w:ascii="Times New Roman" w:eastAsia="Arial" w:hAnsi="Times New Roman" w:cs="Times New Roman"/>
                <w:bCs/>
                <w:color w:val="000000"/>
                <w:sz w:val="20"/>
                <w:szCs w:val="20"/>
              </w:rPr>
              <w:t>17</w:t>
            </w:r>
            <w:r w:rsidRPr="004D1E6F">
              <w:rPr>
                <w:rFonts w:ascii="Times New Roman" w:eastAsia="Arial" w:hAnsi="Times New Roman" w:cs="Times New Roman"/>
                <w:color w:val="000000"/>
                <w:sz w:val="20"/>
                <w:szCs w:val="20"/>
              </w:rPr>
              <w:t>, 1-32.</w:t>
            </w:r>
          </w:p>
        </w:tc>
      </w:tr>
      <w:tr w:rsidR="002D7080" w:rsidRPr="004D1E6F" w14:paraId="3C2D2AA7"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61B30D4"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BAC5 Synonym(s) considered</w:t>
            </w:r>
          </w:p>
        </w:tc>
      </w:tr>
      <w:tr w:rsidR="002D7080" w:rsidRPr="004D1E6F" w14:paraId="059D5B43"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2BCA2941" w14:textId="77777777" w:rsidR="002D7080" w:rsidRPr="004D1E6F" w:rsidRDefault="002D7080" w:rsidP="002E2C37">
            <w:pPr>
              <w:spacing w:after="0" w:line="240" w:lineRule="auto"/>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Synonyms: None</w:t>
            </w:r>
          </w:p>
        </w:tc>
      </w:tr>
      <w:tr w:rsidR="002D7080" w:rsidRPr="004D1E6F" w14:paraId="4E0FAA63"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0C2D91C"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Times New Roman" w:hAnsi="Times New Roman" w:cs="Times New Roman"/>
                <w:i/>
                <w:color w:val="000000"/>
                <w:sz w:val="20"/>
                <w:szCs w:val="20"/>
                <w:lang w:eastAsia="en-ZA"/>
              </w:rPr>
              <w:t>Cherax cainii</w:t>
            </w:r>
            <w:r w:rsidRPr="004D1E6F">
              <w:rPr>
                <w:rFonts w:ascii="Times New Roman" w:eastAsia="Times New Roman" w:hAnsi="Times New Roman" w:cs="Times New Roman"/>
                <w:color w:val="000000"/>
                <w:sz w:val="20"/>
                <w:szCs w:val="20"/>
                <w:lang w:eastAsia="en-ZA"/>
              </w:rPr>
              <w:t xml:space="preserve"> and </w:t>
            </w:r>
            <w:r w:rsidRPr="004D1E6F">
              <w:rPr>
                <w:rFonts w:ascii="Times New Roman" w:eastAsia="Times New Roman" w:hAnsi="Times New Roman" w:cs="Times New Roman"/>
                <w:i/>
                <w:color w:val="000000"/>
                <w:sz w:val="20"/>
                <w:szCs w:val="20"/>
                <w:lang w:eastAsia="en-ZA"/>
              </w:rPr>
              <w:t>C. tenuimanus</w:t>
            </w:r>
            <w:r w:rsidRPr="004D1E6F">
              <w:rPr>
                <w:rFonts w:ascii="Times New Roman" w:eastAsia="Times New Roman" w:hAnsi="Times New Roman" w:cs="Times New Roman"/>
                <w:color w:val="000000"/>
                <w:sz w:val="20"/>
                <w:szCs w:val="20"/>
                <w:lang w:eastAsia="en-ZA"/>
              </w:rPr>
              <w:t xml:space="preserve"> were initially classified as one species, thus literature records prior to 2002 could be referring to either one of the two species (Austin &amp; Ryan 2002). For this risk analysis, information on both species was used.</w:t>
            </w:r>
          </w:p>
        </w:tc>
      </w:tr>
      <w:tr w:rsidR="002D7080" w:rsidRPr="004D1E6F" w14:paraId="7B27610D"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4A08800B" w14:textId="77777777" w:rsidR="002D7080" w:rsidRPr="004D1E6F" w:rsidRDefault="002D7080" w:rsidP="007F105A">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4324F066" w14:textId="03B3E83A" w:rsidR="002D7080" w:rsidRPr="004D1E6F" w:rsidRDefault="002D7080" w:rsidP="007F105A">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 xml:space="preserve">Austin, C.M. &amp; Ryan, S.G., 2002, ‘Allozyme evidence for a new species of freshwater crayfish of genus </w:t>
            </w:r>
            <w:r w:rsidRPr="004D1E6F">
              <w:rPr>
                <w:rFonts w:ascii="Times New Roman" w:eastAsia="Arial" w:hAnsi="Times New Roman" w:cs="Times New Roman"/>
                <w:i/>
                <w:color w:val="000000"/>
                <w:sz w:val="20"/>
                <w:szCs w:val="20"/>
              </w:rPr>
              <w:t xml:space="preserve">Cherax </w:t>
            </w:r>
            <w:r w:rsidRPr="004D1E6F">
              <w:rPr>
                <w:rFonts w:ascii="Times New Roman" w:eastAsia="Arial" w:hAnsi="Times New Roman" w:cs="Times New Roman"/>
                <w:color w:val="000000"/>
                <w:sz w:val="20"/>
                <w:szCs w:val="20"/>
              </w:rPr>
              <w:t xml:space="preserve">Erichson (Decapoda: Parastacidae) from the south-west of Western Australia’, </w:t>
            </w:r>
            <w:r w:rsidRPr="004D1E6F">
              <w:rPr>
                <w:rFonts w:ascii="Times New Roman" w:eastAsia="Arial" w:hAnsi="Times New Roman" w:cs="Times New Roman"/>
                <w:i/>
                <w:color w:val="000000"/>
                <w:sz w:val="20"/>
                <w:szCs w:val="20"/>
              </w:rPr>
              <w:t>Invertebrate Systematics</w:t>
            </w:r>
            <w:r w:rsidRPr="004D1E6F">
              <w:rPr>
                <w:rFonts w:ascii="Times New Roman" w:eastAsia="Arial" w:hAnsi="Times New Roman" w:cs="Times New Roman"/>
                <w:color w:val="000000"/>
                <w:sz w:val="20"/>
                <w:szCs w:val="20"/>
              </w:rPr>
              <w:t xml:space="preserve"> 16, 357-367, </w:t>
            </w:r>
            <w:r w:rsidR="00061715" w:rsidRPr="00061715">
              <w:rPr>
                <w:rFonts w:ascii="Times New Roman" w:eastAsia="Times New Roman" w:hAnsi="Times New Roman" w:cs="Times New Roman"/>
                <w:sz w:val="20"/>
                <w:szCs w:val="20"/>
                <w:lang w:eastAsia="en-ZA"/>
              </w:rPr>
              <w:t>https://doi.org/10.1071/IT01010</w:t>
            </w:r>
            <w:r w:rsidRPr="004D1E6F">
              <w:rPr>
                <w:rFonts w:ascii="Times New Roman" w:eastAsia="Arial" w:hAnsi="Times New Roman" w:cs="Times New Roman"/>
                <w:color w:val="000000"/>
                <w:sz w:val="20"/>
                <w:szCs w:val="20"/>
              </w:rPr>
              <w:t>.</w:t>
            </w:r>
          </w:p>
        </w:tc>
      </w:tr>
      <w:tr w:rsidR="002D7080" w:rsidRPr="004D1E6F" w14:paraId="4BBEE116"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0C3346C"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BAC6 Common name(s) considered</w:t>
            </w:r>
          </w:p>
        </w:tc>
      </w:tr>
      <w:tr w:rsidR="002D7080" w:rsidRPr="004D1E6F" w14:paraId="17EE894A"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74CDD843" w14:textId="77777777" w:rsidR="002D7080" w:rsidRPr="004D1E6F" w:rsidRDefault="002D7080" w:rsidP="002E2C37">
            <w:pPr>
              <w:spacing w:after="0" w:line="240" w:lineRule="auto"/>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 xml:space="preserve">Common names: </w:t>
            </w:r>
            <w:r w:rsidRPr="004D1E6F">
              <w:rPr>
                <w:rFonts w:ascii="Times New Roman" w:eastAsia="Times New Roman" w:hAnsi="Times New Roman" w:cs="Times New Roman"/>
                <w:color w:val="000000"/>
                <w:sz w:val="20"/>
                <w:szCs w:val="20"/>
                <w:lang w:eastAsia="en-ZA"/>
              </w:rPr>
              <w:t>h</w:t>
            </w:r>
            <w:r w:rsidRPr="004D1E6F">
              <w:rPr>
                <w:rFonts w:ascii="Times New Roman" w:eastAsia="Arial" w:hAnsi="Times New Roman" w:cs="Times New Roman"/>
                <w:color w:val="000000"/>
                <w:sz w:val="20"/>
                <w:szCs w:val="20"/>
              </w:rPr>
              <w:t>airy marron/ marron</w:t>
            </w:r>
          </w:p>
        </w:tc>
      </w:tr>
      <w:tr w:rsidR="002D7080" w:rsidRPr="004D1E6F" w14:paraId="17F2C50B"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3515949B"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Times New Roman" w:hAnsi="Times New Roman" w:cs="Times New Roman"/>
                <w:i/>
                <w:color w:val="000000"/>
                <w:sz w:val="20"/>
                <w:szCs w:val="20"/>
                <w:lang w:eastAsia="en-ZA"/>
              </w:rPr>
              <w:t>Cherax tenuimanus</w:t>
            </w:r>
            <w:r w:rsidRPr="004D1E6F">
              <w:rPr>
                <w:rFonts w:ascii="Times New Roman" w:eastAsia="Times New Roman" w:hAnsi="Times New Roman" w:cs="Times New Roman"/>
                <w:color w:val="000000"/>
                <w:sz w:val="20"/>
                <w:szCs w:val="20"/>
                <w:lang w:eastAsia="en-ZA"/>
              </w:rPr>
              <w:t xml:space="preserve"> has two common names: hairy marron and marron (Austin &amp; Ryan 2002; Beatty et al. 2004).</w:t>
            </w:r>
          </w:p>
        </w:tc>
      </w:tr>
      <w:tr w:rsidR="002D7080" w:rsidRPr="004D1E6F" w14:paraId="701788A0"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77DFC74" w14:textId="77777777" w:rsidR="002D7080" w:rsidRPr="004D1E6F" w:rsidRDefault="002D7080" w:rsidP="007F105A">
            <w:pPr>
              <w:spacing w:after="0"/>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174AD698" w14:textId="27E0B444" w:rsidR="002D7080" w:rsidRPr="004D1E6F" w:rsidRDefault="002D7080" w:rsidP="007F105A">
            <w:pPr>
              <w:spacing w:after="0"/>
              <w:ind w:left="720" w:hanging="720"/>
              <w:jc w:val="both"/>
              <w:rPr>
                <w:rFonts w:ascii="Times New Roman" w:eastAsia="Arial" w:hAnsi="Times New Roman" w:cs="Times New Roman"/>
                <w:color w:val="000000"/>
                <w:sz w:val="20"/>
                <w:szCs w:val="20"/>
              </w:rPr>
            </w:pPr>
            <w:r w:rsidRPr="004D1E6F">
              <w:rPr>
                <w:rFonts w:ascii="Times New Roman" w:eastAsia="Arial" w:hAnsi="Times New Roman" w:cs="Times New Roman"/>
                <w:color w:val="000000"/>
                <w:sz w:val="20"/>
                <w:szCs w:val="20"/>
              </w:rPr>
              <w:t xml:space="preserve">Austin, C.M. &amp; Ryan, S.G., 2002, ‘Allozyme evidence for a new species of freshwater crayfish of genus </w:t>
            </w:r>
            <w:r w:rsidRPr="004D1E6F">
              <w:rPr>
                <w:rFonts w:ascii="Times New Roman" w:eastAsia="Arial" w:hAnsi="Times New Roman" w:cs="Times New Roman"/>
                <w:i/>
                <w:color w:val="000000"/>
                <w:sz w:val="20"/>
                <w:szCs w:val="20"/>
              </w:rPr>
              <w:t xml:space="preserve">Cherax </w:t>
            </w:r>
            <w:r w:rsidRPr="004D1E6F">
              <w:rPr>
                <w:rFonts w:ascii="Times New Roman" w:eastAsia="Arial" w:hAnsi="Times New Roman" w:cs="Times New Roman"/>
                <w:color w:val="000000"/>
                <w:sz w:val="20"/>
                <w:szCs w:val="20"/>
              </w:rPr>
              <w:t xml:space="preserve">Erichson (Decapoda: Parastacidae) from the south-west of Western Australia’, </w:t>
            </w:r>
            <w:r w:rsidRPr="004D1E6F">
              <w:rPr>
                <w:rFonts w:ascii="Times New Roman" w:eastAsia="Arial" w:hAnsi="Times New Roman" w:cs="Times New Roman"/>
                <w:i/>
                <w:color w:val="000000"/>
                <w:sz w:val="20"/>
                <w:szCs w:val="20"/>
              </w:rPr>
              <w:t>Invertebrate Systematics</w:t>
            </w:r>
            <w:r w:rsidRPr="004D1E6F">
              <w:rPr>
                <w:rFonts w:ascii="Times New Roman" w:eastAsia="Arial" w:hAnsi="Times New Roman" w:cs="Times New Roman"/>
                <w:color w:val="000000"/>
                <w:sz w:val="20"/>
                <w:szCs w:val="20"/>
              </w:rPr>
              <w:t xml:space="preserve"> 16, 357-367, </w:t>
            </w:r>
            <w:r w:rsidR="00061715" w:rsidRPr="00061715">
              <w:rPr>
                <w:rFonts w:ascii="Times New Roman" w:eastAsia="Times New Roman" w:hAnsi="Times New Roman" w:cs="Times New Roman"/>
                <w:sz w:val="20"/>
                <w:szCs w:val="20"/>
                <w:lang w:eastAsia="en-ZA"/>
              </w:rPr>
              <w:t>https://doi.org/10.1071/IT01010</w:t>
            </w:r>
            <w:r w:rsidRPr="004D1E6F">
              <w:rPr>
                <w:rFonts w:ascii="Times New Roman" w:eastAsia="Arial" w:hAnsi="Times New Roman" w:cs="Times New Roman"/>
                <w:color w:val="000000"/>
                <w:sz w:val="20"/>
                <w:szCs w:val="20"/>
              </w:rPr>
              <w:t>.</w:t>
            </w:r>
          </w:p>
          <w:p w14:paraId="2D1740A3" w14:textId="72705B35" w:rsidR="002D7080" w:rsidRPr="004D1E6F" w:rsidRDefault="002D7080" w:rsidP="007F105A">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 xml:space="preserve">Beatty, S.J., Morgan, D.L. &amp; Gill, H.S., 2004, ‘Biology of a translocated population of the large freshwater crayfish, </w:t>
            </w:r>
            <w:r w:rsidRPr="004D1E6F">
              <w:rPr>
                <w:rFonts w:ascii="Times New Roman" w:eastAsia="Arial" w:hAnsi="Times New Roman" w:cs="Times New Roman"/>
                <w:i/>
                <w:iCs/>
                <w:color w:val="000000"/>
                <w:sz w:val="20"/>
                <w:szCs w:val="20"/>
              </w:rPr>
              <w:t>Cherax cainii</w:t>
            </w:r>
            <w:r w:rsidRPr="004D1E6F">
              <w:rPr>
                <w:rFonts w:ascii="Times New Roman" w:eastAsia="Arial" w:hAnsi="Times New Roman" w:cs="Times New Roman"/>
                <w:color w:val="000000"/>
                <w:sz w:val="20"/>
                <w:szCs w:val="20"/>
              </w:rPr>
              <w:t xml:space="preserve"> Austin &amp; Ryan, 2002 in a Western Australian River’, </w:t>
            </w:r>
            <w:r w:rsidRPr="004D1E6F">
              <w:rPr>
                <w:rFonts w:ascii="Times New Roman" w:eastAsia="Arial" w:hAnsi="Times New Roman" w:cs="Times New Roman"/>
                <w:i/>
                <w:color w:val="000000"/>
                <w:sz w:val="20"/>
                <w:szCs w:val="20"/>
              </w:rPr>
              <w:t>Crustaceana</w:t>
            </w:r>
            <w:r w:rsidRPr="004D1E6F">
              <w:rPr>
                <w:rFonts w:ascii="Times New Roman" w:eastAsia="Arial" w:hAnsi="Times New Roman" w:cs="Times New Roman"/>
                <w:color w:val="000000"/>
                <w:sz w:val="20"/>
                <w:szCs w:val="20"/>
              </w:rPr>
              <w:t xml:space="preserve"> 77,1329-1351, </w:t>
            </w:r>
            <w:hyperlink r:id="rId62" w:history="1">
              <w:r w:rsidR="00061715" w:rsidRPr="00061715">
                <w:rPr>
                  <w:rStyle w:val="Hyperlink"/>
                  <w:rFonts w:ascii="Times New Roman" w:eastAsia="Times New Roman" w:hAnsi="Times New Roman" w:cs="Times New Roman"/>
                  <w:sz w:val="20"/>
                  <w:szCs w:val="20"/>
                  <w:lang w:eastAsia="en-ZA"/>
                </w:rPr>
                <w:t>https://www.jstor.org/stable/20107445</w:t>
              </w:r>
            </w:hyperlink>
            <w:r w:rsidRPr="004D1E6F">
              <w:rPr>
                <w:rFonts w:ascii="Times New Roman" w:eastAsia="Arial" w:hAnsi="Times New Roman" w:cs="Times New Roman"/>
                <w:color w:val="000000"/>
                <w:sz w:val="20"/>
                <w:szCs w:val="20"/>
              </w:rPr>
              <w:t>.</w:t>
            </w:r>
          </w:p>
        </w:tc>
      </w:tr>
      <w:tr w:rsidR="002D7080" w:rsidRPr="004D1E6F" w14:paraId="4C3B9CA5"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1E1530B" w14:textId="77777777" w:rsidR="002D7080" w:rsidRPr="004D1E6F" w:rsidRDefault="002D7080" w:rsidP="007F105A">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BAC7 What is the native range of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w:t>
            </w:r>
          </w:p>
        </w:tc>
      </w:tr>
      <w:tr w:rsidR="002D7080" w:rsidRPr="004D1E6F" w14:paraId="37861234" w14:textId="77777777" w:rsidTr="002E2C37">
        <w:trPr>
          <w:cantSplit/>
          <w:trHeight w:val="70"/>
        </w:trPr>
        <w:tc>
          <w:tcPr>
            <w:tcW w:w="6124" w:type="dxa"/>
            <w:gridSpan w:val="3"/>
            <w:tcBorders>
              <w:top w:val="single" w:sz="4" w:space="0" w:color="auto"/>
              <w:left w:val="single" w:sz="4" w:space="0" w:color="auto"/>
              <w:bottom w:val="single" w:sz="4" w:space="0" w:color="auto"/>
              <w:right w:val="single" w:sz="4" w:space="0" w:color="auto"/>
            </w:tcBorders>
            <w:noWrap/>
          </w:tcPr>
          <w:p w14:paraId="25F54301" w14:textId="77777777" w:rsidR="002D7080" w:rsidRPr="004D1E6F" w:rsidRDefault="002D7080" w:rsidP="007F105A">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 xml:space="preserve">Response: </w:t>
            </w:r>
            <w:r w:rsidRPr="004D1E6F">
              <w:rPr>
                <w:rFonts w:ascii="Times New Roman" w:eastAsia="Arial" w:hAnsi="Times New Roman" w:cs="Times New Roman"/>
                <w:color w:val="000000"/>
                <w:sz w:val="20"/>
                <w:szCs w:val="20"/>
              </w:rPr>
              <w:t>South-west of Western Australia (the Margaret River)</w:t>
            </w:r>
          </w:p>
        </w:tc>
        <w:tc>
          <w:tcPr>
            <w:tcW w:w="2666" w:type="dxa"/>
            <w:tcBorders>
              <w:top w:val="single" w:sz="4" w:space="0" w:color="auto"/>
              <w:left w:val="single" w:sz="4" w:space="0" w:color="auto"/>
              <w:bottom w:val="single" w:sz="4" w:space="0" w:color="auto"/>
              <w:right w:val="single" w:sz="4" w:space="0" w:color="auto"/>
            </w:tcBorders>
          </w:tcPr>
          <w:p w14:paraId="4D1847C4" w14:textId="77777777" w:rsidR="002D7080" w:rsidRPr="004D1E6F" w:rsidRDefault="002D7080" w:rsidP="007F105A">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043B05DA"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2D75333A"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Arial" w:hAnsi="Times New Roman" w:cs="Times New Roman"/>
                <w:i/>
                <w:color w:val="000000"/>
                <w:sz w:val="20"/>
                <w:szCs w:val="20"/>
              </w:rPr>
              <w:t>Cherax tenuimanus</w:t>
            </w:r>
            <w:r w:rsidRPr="004D1E6F">
              <w:rPr>
                <w:rFonts w:ascii="Times New Roman" w:eastAsia="Arial" w:hAnsi="Times New Roman" w:cs="Times New Roman"/>
                <w:color w:val="000000"/>
                <w:sz w:val="20"/>
                <w:szCs w:val="20"/>
              </w:rPr>
              <w:t xml:space="preserve"> is native to the Margaret River that is located in South-west of Western Australia (Austin &amp; Ryan 2002; Beatty et al. 2004).</w:t>
            </w:r>
          </w:p>
        </w:tc>
      </w:tr>
      <w:tr w:rsidR="002D7080" w:rsidRPr="004D1E6F" w14:paraId="764091C6"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675C1E23" w14:textId="77777777" w:rsidR="002D7080" w:rsidRPr="004D1E6F" w:rsidRDefault="002D7080" w:rsidP="007F105A">
            <w:pPr>
              <w:tabs>
                <w:tab w:val="left" w:pos="2057"/>
              </w:tabs>
              <w:spacing w:after="0"/>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3FD096B" w14:textId="5B67FD88" w:rsidR="002D7080" w:rsidRPr="004D1E6F" w:rsidRDefault="002D7080" w:rsidP="007F105A">
            <w:pPr>
              <w:spacing w:after="0"/>
              <w:ind w:left="604" w:hanging="604"/>
              <w:jc w:val="both"/>
              <w:rPr>
                <w:rFonts w:ascii="Times New Roman" w:eastAsia="Arial" w:hAnsi="Times New Roman" w:cs="Times New Roman"/>
                <w:color w:val="000000"/>
                <w:sz w:val="20"/>
                <w:szCs w:val="20"/>
              </w:rPr>
            </w:pPr>
            <w:r w:rsidRPr="004D1E6F">
              <w:rPr>
                <w:rFonts w:ascii="Times New Roman" w:eastAsia="Arial" w:hAnsi="Times New Roman" w:cs="Times New Roman"/>
                <w:color w:val="000000"/>
                <w:sz w:val="20"/>
                <w:szCs w:val="20"/>
              </w:rPr>
              <w:t xml:space="preserve">Austin, C.M. &amp; Ryan, S.G., 2002, ‘Allozyme evidence for a new species of freshwater crayfish of genus </w:t>
            </w:r>
            <w:r w:rsidRPr="004D1E6F">
              <w:rPr>
                <w:rFonts w:ascii="Times New Roman" w:eastAsia="Arial" w:hAnsi="Times New Roman" w:cs="Times New Roman"/>
                <w:i/>
                <w:color w:val="000000"/>
                <w:sz w:val="20"/>
                <w:szCs w:val="20"/>
              </w:rPr>
              <w:t>Cherax</w:t>
            </w:r>
            <w:r w:rsidRPr="004D1E6F">
              <w:rPr>
                <w:rFonts w:ascii="Times New Roman" w:eastAsia="Arial" w:hAnsi="Times New Roman" w:cs="Times New Roman"/>
                <w:color w:val="000000"/>
                <w:sz w:val="20"/>
                <w:szCs w:val="20"/>
              </w:rPr>
              <w:t xml:space="preserve"> Erichson (Decapoda: Parastacidae) form the south-west of Western Australia’, </w:t>
            </w:r>
            <w:r w:rsidRPr="004D1E6F">
              <w:rPr>
                <w:rFonts w:ascii="Times New Roman" w:eastAsia="Arial" w:hAnsi="Times New Roman" w:cs="Times New Roman"/>
                <w:i/>
                <w:color w:val="000000"/>
                <w:sz w:val="20"/>
                <w:szCs w:val="20"/>
              </w:rPr>
              <w:t>Invertebrate Systematics</w:t>
            </w:r>
            <w:r w:rsidRPr="004D1E6F">
              <w:rPr>
                <w:rFonts w:ascii="Times New Roman" w:eastAsia="Arial" w:hAnsi="Times New Roman" w:cs="Times New Roman"/>
                <w:color w:val="000000"/>
                <w:sz w:val="20"/>
                <w:szCs w:val="20"/>
              </w:rPr>
              <w:t xml:space="preserve"> 16, 357-367, </w:t>
            </w:r>
            <w:r w:rsidR="00061715" w:rsidRPr="00061715">
              <w:rPr>
                <w:rFonts w:ascii="Times New Roman" w:eastAsia="Times New Roman" w:hAnsi="Times New Roman" w:cs="Times New Roman"/>
                <w:sz w:val="20"/>
                <w:szCs w:val="20"/>
                <w:lang w:eastAsia="en-ZA"/>
              </w:rPr>
              <w:t>https://doi.org/10.1071/IT01010</w:t>
            </w:r>
            <w:r w:rsidRPr="004D1E6F">
              <w:rPr>
                <w:rFonts w:ascii="Times New Roman" w:eastAsia="Arial" w:hAnsi="Times New Roman" w:cs="Times New Roman"/>
                <w:color w:val="000000"/>
                <w:sz w:val="20"/>
                <w:szCs w:val="20"/>
              </w:rPr>
              <w:t>.</w:t>
            </w:r>
          </w:p>
          <w:p w14:paraId="2D5F2C82" w14:textId="3F763F38" w:rsidR="002D7080" w:rsidRPr="004D1E6F" w:rsidRDefault="002D7080" w:rsidP="007F105A">
            <w:pPr>
              <w:spacing w:after="0"/>
              <w:ind w:left="604" w:hanging="604"/>
              <w:jc w:val="both"/>
              <w:rPr>
                <w:rFonts w:ascii="Times New Roman" w:eastAsia="Arial" w:hAnsi="Times New Roman" w:cs="Times New Roman"/>
                <w:color w:val="222222"/>
                <w:sz w:val="20"/>
                <w:szCs w:val="20"/>
                <w:highlight w:val="white"/>
              </w:rPr>
            </w:pPr>
            <w:r w:rsidRPr="004D1E6F">
              <w:rPr>
                <w:rFonts w:ascii="Times New Roman" w:eastAsia="Arial" w:hAnsi="Times New Roman" w:cs="Times New Roman"/>
                <w:color w:val="222222"/>
                <w:sz w:val="20"/>
                <w:szCs w:val="20"/>
                <w:highlight w:val="white"/>
              </w:rPr>
              <w:t xml:space="preserve">Beatty, S.J., Morgan, D.L. &amp; Gill, H.S., 2004, ‘Biology of a translocated population of the large freshwater crayfish, </w:t>
            </w:r>
            <w:r w:rsidRPr="004D1E6F">
              <w:rPr>
                <w:rFonts w:ascii="Times New Roman" w:eastAsia="Arial" w:hAnsi="Times New Roman" w:cs="Times New Roman"/>
                <w:i/>
                <w:color w:val="222222"/>
                <w:sz w:val="20"/>
                <w:szCs w:val="20"/>
                <w:highlight w:val="white"/>
              </w:rPr>
              <w:t>Cherax cainii</w:t>
            </w:r>
            <w:r w:rsidRPr="004D1E6F">
              <w:rPr>
                <w:rFonts w:ascii="Times New Roman" w:eastAsia="Arial" w:hAnsi="Times New Roman" w:cs="Times New Roman"/>
                <w:color w:val="222222"/>
                <w:sz w:val="20"/>
                <w:szCs w:val="20"/>
                <w:highlight w:val="white"/>
              </w:rPr>
              <w:t xml:space="preserve"> Austin &amp; Ryan, 2002 in a Western Australian River’, </w:t>
            </w:r>
            <w:r w:rsidRPr="004D1E6F">
              <w:rPr>
                <w:rFonts w:ascii="Times New Roman" w:eastAsia="Arial" w:hAnsi="Times New Roman" w:cs="Times New Roman"/>
                <w:i/>
                <w:color w:val="222222"/>
                <w:sz w:val="20"/>
                <w:szCs w:val="20"/>
                <w:highlight w:val="white"/>
              </w:rPr>
              <w:t>Crustaceana</w:t>
            </w:r>
            <w:r w:rsidRPr="004D1E6F">
              <w:rPr>
                <w:rFonts w:ascii="Times New Roman" w:eastAsia="Arial" w:hAnsi="Times New Roman" w:cs="Times New Roman"/>
                <w:color w:val="222222"/>
                <w:sz w:val="20"/>
                <w:szCs w:val="20"/>
                <w:highlight w:val="white"/>
              </w:rPr>
              <w:t xml:space="preserve"> 77, 1329-1351, </w:t>
            </w:r>
            <w:hyperlink r:id="rId63" w:history="1">
              <w:r w:rsidR="00061715" w:rsidRPr="00061715">
                <w:rPr>
                  <w:rStyle w:val="Hyperlink"/>
                  <w:rFonts w:ascii="Times New Roman" w:eastAsia="Times New Roman" w:hAnsi="Times New Roman" w:cs="Times New Roman"/>
                  <w:sz w:val="20"/>
                  <w:szCs w:val="20"/>
                  <w:lang w:eastAsia="en-ZA"/>
                </w:rPr>
                <w:t>https://www.jstor.org/stable/20107445</w:t>
              </w:r>
            </w:hyperlink>
            <w:r w:rsidRPr="004D1E6F">
              <w:rPr>
                <w:rFonts w:ascii="Times New Roman" w:eastAsia="Arial" w:hAnsi="Times New Roman" w:cs="Times New Roman"/>
                <w:color w:val="222222"/>
                <w:sz w:val="20"/>
                <w:szCs w:val="20"/>
                <w:highlight w:val="white"/>
              </w:rPr>
              <w:t>.</w:t>
            </w:r>
          </w:p>
          <w:p w14:paraId="373B3A83" w14:textId="77777777" w:rsidR="002D7080" w:rsidRPr="004D1E6F" w:rsidRDefault="002D7080" w:rsidP="007F105A">
            <w:pPr>
              <w:tabs>
                <w:tab w:val="left" w:pos="2057"/>
              </w:tabs>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CABI n.d., from https://www.cabi.org/isc/datasheet/89136</w:t>
            </w:r>
          </w:p>
        </w:tc>
      </w:tr>
      <w:tr w:rsidR="002D7080" w:rsidRPr="004D1E6F" w14:paraId="7DF3CBE5"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6253F22"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BAC8 What is the global alien range of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w:t>
            </w:r>
          </w:p>
        </w:tc>
      </w:tr>
      <w:tr w:rsidR="002D7080" w:rsidRPr="004D1E6F" w14:paraId="34F09428" w14:textId="77777777" w:rsidTr="002E2C37">
        <w:trPr>
          <w:cantSplit/>
          <w:trHeight w:val="70"/>
        </w:trPr>
        <w:tc>
          <w:tcPr>
            <w:tcW w:w="6124" w:type="dxa"/>
            <w:gridSpan w:val="3"/>
            <w:tcBorders>
              <w:top w:val="single" w:sz="4" w:space="0" w:color="auto"/>
              <w:left w:val="single" w:sz="4" w:space="0" w:color="auto"/>
              <w:bottom w:val="single" w:sz="4" w:space="0" w:color="auto"/>
              <w:right w:val="single" w:sz="4" w:space="0" w:color="auto"/>
            </w:tcBorders>
            <w:noWrap/>
          </w:tcPr>
          <w:p w14:paraId="0CE21A83" w14:textId="77777777" w:rsidR="002D7080" w:rsidRPr="004D1E6F" w:rsidRDefault="002D7080" w:rsidP="002E2C37">
            <w:pPr>
              <w:spacing w:after="0" w:line="240" w:lineRule="auto"/>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color w:val="000000"/>
                <w:sz w:val="20"/>
                <w:szCs w:val="20"/>
                <w:lang w:eastAsia="en-ZA"/>
              </w:rPr>
              <w:t>Response: Australia</w:t>
            </w:r>
          </w:p>
        </w:tc>
        <w:tc>
          <w:tcPr>
            <w:tcW w:w="2666" w:type="dxa"/>
            <w:tcBorders>
              <w:top w:val="single" w:sz="4" w:space="0" w:color="auto"/>
              <w:left w:val="single" w:sz="4" w:space="0" w:color="auto"/>
              <w:bottom w:val="single" w:sz="4" w:space="0" w:color="auto"/>
              <w:right w:val="single" w:sz="4" w:space="0" w:color="auto"/>
            </w:tcBorders>
          </w:tcPr>
          <w:p w14:paraId="591FD30E" w14:textId="77777777" w:rsidR="002D7080" w:rsidRPr="004D1E6F" w:rsidRDefault="002D7080" w:rsidP="002E2C37">
            <w:pPr>
              <w:spacing w:after="0" w:line="240" w:lineRule="auto"/>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color w:val="000000"/>
                <w:sz w:val="20"/>
                <w:szCs w:val="20"/>
                <w:lang w:eastAsia="en-ZA"/>
              </w:rPr>
              <w:t xml:space="preserve">Confidence: Medium  </w:t>
            </w:r>
          </w:p>
        </w:tc>
      </w:tr>
      <w:tr w:rsidR="002D7080" w:rsidRPr="004D1E6F" w14:paraId="56068760"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C7094BB" w14:textId="151C87ED"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Arial" w:hAnsi="Times New Roman" w:cs="Times New Roman"/>
                <w:i/>
                <w:color w:val="000000"/>
                <w:sz w:val="20"/>
                <w:szCs w:val="20"/>
              </w:rPr>
              <w:t>Cherax tenuimanus</w:t>
            </w:r>
            <w:r w:rsidRPr="004D1E6F">
              <w:rPr>
                <w:rFonts w:ascii="Times New Roman" w:eastAsia="Arial" w:hAnsi="Times New Roman" w:cs="Times New Roman"/>
                <w:color w:val="000000"/>
                <w:sz w:val="20"/>
                <w:szCs w:val="20"/>
              </w:rPr>
              <w:t xml:space="preserve"> is largely restricted to the upper reaches of the Margaret River, but it has been translocated to river systems within this region and other states in Australia (Austin &amp; Ryan 2002; Lawrence &amp; Jones 2002; Beatty et al. 2004). Prior to 2002, introduction records of marron to South Africa and several other countries outside Australia refer to </w:t>
            </w:r>
            <w:r w:rsidRPr="004D1E6F">
              <w:rPr>
                <w:rFonts w:ascii="Times New Roman" w:eastAsia="Arial" w:hAnsi="Times New Roman" w:cs="Times New Roman"/>
                <w:i/>
                <w:iCs/>
                <w:color w:val="000000"/>
                <w:sz w:val="20"/>
                <w:szCs w:val="20"/>
              </w:rPr>
              <w:t>C. tenuimanus</w:t>
            </w:r>
            <w:r w:rsidRPr="004D1E6F">
              <w:rPr>
                <w:rFonts w:ascii="Times New Roman" w:eastAsia="Arial" w:hAnsi="Times New Roman" w:cs="Times New Roman"/>
                <w:color w:val="000000"/>
                <w:sz w:val="20"/>
                <w:szCs w:val="20"/>
              </w:rPr>
              <w:t xml:space="preserve">, but these introductions need to be genetically verified as they might </w:t>
            </w:r>
            <w:r w:rsidR="00663569" w:rsidRPr="004D1E6F">
              <w:rPr>
                <w:rFonts w:ascii="Times New Roman" w:eastAsia="Arial" w:hAnsi="Times New Roman" w:cs="Times New Roman"/>
                <w:color w:val="000000"/>
                <w:sz w:val="20"/>
                <w:szCs w:val="20"/>
              </w:rPr>
              <w:t>actually</w:t>
            </w:r>
            <w:r w:rsidRPr="004D1E6F">
              <w:rPr>
                <w:rFonts w:ascii="Times New Roman" w:eastAsia="Arial" w:hAnsi="Times New Roman" w:cs="Times New Roman"/>
                <w:color w:val="000000"/>
                <w:sz w:val="20"/>
                <w:szCs w:val="20"/>
              </w:rPr>
              <w:t xml:space="preserve"> refer to </w:t>
            </w:r>
            <w:r w:rsidRPr="004D1E6F">
              <w:rPr>
                <w:rFonts w:ascii="Times New Roman" w:eastAsia="Arial" w:hAnsi="Times New Roman" w:cs="Times New Roman"/>
                <w:i/>
                <w:iCs/>
                <w:color w:val="000000"/>
                <w:sz w:val="20"/>
                <w:szCs w:val="20"/>
              </w:rPr>
              <w:t xml:space="preserve">C. cainii </w:t>
            </w:r>
            <w:r w:rsidRPr="004D1E6F">
              <w:rPr>
                <w:rFonts w:ascii="Times New Roman" w:eastAsia="Arial" w:hAnsi="Times New Roman" w:cs="Times New Roman"/>
                <w:color w:val="000000"/>
                <w:sz w:val="20"/>
                <w:szCs w:val="20"/>
              </w:rPr>
              <w:t>(Zengeya &amp; Wilson 2020; US and Wildlife Services, 2017).</w:t>
            </w:r>
          </w:p>
        </w:tc>
      </w:tr>
      <w:tr w:rsidR="002D7080" w:rsidRPr="004D1E6F" w14:paraId="7AB49E91"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384459D" w14:textId="77777777" w:rsidR="002D7080" w:rsidRPr="004D1E6F" w:rsidRDefault="002D7080" w:rsidP="007F105A">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7E95EC6F" w14:textId="77777777" w:rsidR="00061715" w:rsidRPr="00061715" w:rsidRDefault="00061715" w:rsidP="00663569">
            <w:pPr>
              <w:spacing w:after="0"/>
              <w:ind w:left="720" w:hanging="720"/>
              <w:jc w:val="both"/>
              <w:rPr>
                <w:rFonts w:ascii="Times New Roman" w:eastAsia="Arial" w:hAnsi="Times New Roman" w:cs="Times New Roman"/>
                <w:color w:val="000000"/>
                <w:sz w:val="20"/>
                <w:szCs w:val="20"/>
              </w:rPr>
            </w:pPr>
            <w:r w:rsidRPr="00061715">
              <w:rPr>
                <w:rFonts w:ascii="Times New Roman" w:eastAsia="Arial" w:hAnsi="Times New Roman" w:cs="Times New Roman"/>
                <w:color w:val="000000"/>
                <w:sz w:val="20"/>
                <w:szCs w:val="20"/>
              </w:rPr>
              <w:t xml:space="preserve">Austin, C.M. &amp; Ryan, S.G., 2002, ‘Allozyme evidence for a new species of freshwater crayfish of genus </w:t>
            </w:r>
            <w:r w:rsidRPr="00061715">
              <w:rPr>
                <w:rFonts w:ascii="Times New Roman" w:eastAsia="Arial" w:hAnsi="Times New Roman" w:cs="Times New Roman"/>
                <w:i/>
                <w:color w:val="000000"/>
                <w:sz w:val="20"/>
                <w:szCs w:val="20"/>
              </w:rPr>
              <w:t>Cherax</w:t>
            </w:r>
            <w:r w:rsidRPr="00061715">
              <w:rPr>
                <w:rFonts w:ascii="Times New Roman" w:eastAsia="Arial" w:hAnsi="Times New Roman" w:cs="Times New Roman"/>
                <w:color w:val="000000"/>
                <w:sz w:val="20"/>
                <w:szCs w:val="20"/>
              </w:rPr>
              <w:t xml:space="preserve"> Erichson (Decapoda: Parastacidae) form the south-west of Western Australia’, </w:t>
            </w:r>
            <w:r w:rsidRPr="00061715">
              <w:rPr>
                <w:rFonts w:ascii="Times New Roman" w:eastAsia="Arial" w:hAnsi="Times New Roman" w:cs="Times New Roman"/>
                <w:i/>
                <w:color w:val="000000"/>
                <w:sz w:val="20"/>
                <w:szCs w:val="20"/>
              </w:rPr>
              <w:t>Invertebrate Systematics</w:t>
            </w:r>
            <w:r w:rsidRPr="00061715">
              <w:rPr>
                <w:rFonts w:ascii="Times New Roman" w:eastAsia="Arial" w:hAnsi="Times New Roman" w:cs="Times New Roman"/>
                <w:color w:val="000000"/>
                <w:sz w:val="20"/>
                <w:szCs w:val="20"/>
              </w:rPr>
              <w:t xml:space="preserve"> 16, 357-367, https://doi.org/10.1071/IT01010.</w:t>
            </w:r>
          </w:p>
          <w:p w14:paraId="1678619F" w14:textId="6CFB65C5" w:rsidR="002D7080" w:rsidRPr="004D1E6F" w:rsidRDefault="00061715" w:rsidP="00663569">
            <w:pPr>
              <w:spacing w:after="0"/>
              <w:ind w:left="720" w:hanging="720"/>
              <w:jc w:val="both"/>
              <w:rPr>
                <w:rFonts w:ascii="Times New Roman" w:eastAsia="Arial" w:hAnsi="Times New Roman" w:cs="Times New Roman"/>
                <w:color w:val="222222"/>
                <w:sz w:val="20"/>
                <w:szCs w:val="20"/>
                <w:highlight w:val="white"/>
              </w:rPr>
            </w:pPr>
            <w:r w:rsidRPr="00061715">
              <w:rPr>
                <w:rFonts w:ascii="Times New Roman" w:eastAsia="Arial" w:hAnsi="Times New Roman" w:cs="Times New Roman"/>
                <w:color w:val="000000"/>
                <w:sz w:val="20"/>
                <w:szCs w:val="20"/>
              </w:rPr>
              <w:t xml:space="preserve">Beatty, S.J., Morgan, D.L. &amp; Gill, H.S., 2004, ‘Biology of a translocated population of the large freshwater crayfish, </w:t>
            </w:r>
            <w:r w:rsidRPr="00061715">
              <w:rPr>
                <w:rFonts w:ascii="Times New Roman" w:eastAsia="Arial" w:hAnsi="Times New Roman" w:cs="Times New Roman"/>
                <w:i/>
                <w:color w:val="000000"/>
                <w:sz w:val="20"/>
                <w:szCs w:val="20"/>
              </w:rPr>
              <w:t>Cherax cainii</w:t>
            </w:r>
            <w:r w:rsidRPr="00061715">
              <w:rPr>
                <w:rFonts w:ascii="Times New Roman" w:eastAsia="Arial" w:hAnsi="Times New Roman" w:cs="Times New Roman"/>
                <w:color w:val="000000"/>
                <w:sz w:val="20"/>
                <w:szCs w:val="20"/>
              </w:rPr>
              <w:t xml:space="preserve"> Austin &amp; Ryan, 2002 in a Western Australian River’, </w:t>
            </w:r>
            <w:r w:rsidRPr="00061715">
              <w:rPr>
                <w:rFonts w:ascii="Times New Roman" w:eastAsia="Arial" w:hAnsi="Times New Roman" w:cs="Times New Roman"/>
                <w:i/>
                <w:color w:val="000000"/>
                <w:sz w:val="20"/>
                <w:szCs w:val="20"/>
              </w:rPr>
              <w:t>Crustaceana</w:t>
            </w:r>
            <w:r w:rsidRPr="00061715">
              <w:rPr>
                <w:rFonts w:ascii="Times New Roman" w:eastAsia="Arial" w:hAnsi="Times New Roman" w:cs="Times New Roman"/>
                <w:color w:val="000000"/>
                <w:sz w:val="20"/>
                <w:szCs w:val="20"/>
              </w:rPr>
              <w:t xml:space="preserve"> 77, 1329-1351, </w:t>
            </w:r>
            <w:hyperlink r:id="rId64" w:history="1">
              <w:r w:rsidRPr="00061715">
                <w:rPr>
                  <w:rStyle w:val="Hyperlink"/>
                  <w:rFonts w:ascii="Times New Roman" w:eastAsia="Arial" w:hAnsi="Times New Roman" w:cs="Times New Roman"/>
                  <w:sz w:val="20"/>
                  <w:szCs w:val="20"/>
                </w:rPr>
                <w:t>https://www.jstor.org/stable/20107445</w:t>
              </w:r>
            </w:hyperlink>
            <w:r w:rsidRPr="00061715">
              <w:rPr>
                <w:rFonts w:ascii="Times New Roman" w:eastAsia="Arial" w:hAnsi="Times New Roman" w:cs="Times New Roman"/>
                <w:color w:val="000000"/>
                <w:sz w:val="20"/>
                <w:szCs w:val="20"/>
              </w:rPr>
              <w:t>.</w:t>
            </w:r>
          </w:p>
          <w:p w14:paraId="2345D480" w14:textId="77777777" w:rsidR="002D7080" w:rsidRPr="004D1E6F" w:rsidRDefault="002D7080" w:rsidP="00663569">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CABI n.d., from https://www.cabi.org/isc/datasheet/89136</w:t>
            </w:r>
          </w:p>
          <w:p w14:paraId="48F5EDC5" w14:textId="0AA72903" w:rsidR="002D7080" w:rsidRPr="004D1E6F" w:rsidRDefault="002D7080" w:rsidP="00663569">
            <w:pPr>
              <w:spacing w:after="0"/>
              <w:ind w:left="720" w:hanging="720"/>
              <w:jc w:val="both"/>
              <w:rPr>
                <w:rFonts w:ascii="Times New Roman" w:eastAsia="Arial" w:hAnsi="Times New Roman" w:cs="Times New Roman"/>
                <w:color w:val="000000"/>
                <w:sz w:val="20"/>
                <w:szCs w:val="20"/>
              </w:rPr>
            </w:pPr>
            <w:r w:rsidRPr="004D1E6F">
              <w:rPr>
                <w:rFonts w:ascii="Times New Roman" w:eastAsia="Arial" w:hAnsi="Times New Roman" w:cs="Times New Roman"/>
                <w:color w:val="000000"/>
                <w:sz w:val="20"/>
                <w:szCs w:val="20"/>
              </w:rPr>
              <w:t>Lawrence, C. &amp; Jones, C.</w:t>
            </w:r>
            <w:r w:rsidR="0096133C">
              <w:rPr>
                <w:rFonts w:ascii="Times New Roman" w:eastAsia="Arial" w:hAnsi="Times New Roman" w:cs="Times New Roman"/>
                <w:color w:val="000000"/>
                <w:sz w:val="20"/>
                <w:szCs w:val="20"/>
              </w:rPr>
              <w:t>,</w:t>
            </w:r>
            <w:r w:rsidRPr="004D1E6F">
              <w:rPr>
                <w:rFonts w:ascii="Times New Roman" w:eastAsia="Arial" w:hAnsi="Times New Roman" w:cs="Times New Roman"/>
                <w:color w:val="000000"/>
                <w:sz w:val="20"/>
                <w:szCs w:val="20"/>
              </w:rPr>
              <w:t xml:space="preserve"> 2002, ‘</w:t>
            </w:r>
            <w:r w:rsidRPr="004D1E6F">
              <w:rPr>
                <w:rFonts w:ascii="Times New Roman" w:eastAsia="Arial" w:hAnsi="Times New Roman" w:cs="Times New Roman"/>
                <w:i/>
                <w:color w:val="000000"/>
                <w:sz w:val="20"/>
                <w:szCs w:val="20"/>
              </w:rPr>
              <w:t>Cherax</w:t>
            </w:r>
            <w:r w:rsidRPr="004D1E6F">
              <w:rPr>
                <w:rFonts w:ascii="Times New Roman" w:eastAsia="Arial" w:hAnsi="Times New Roman" w:cs="Times New Roman"/>
                <w:color w:val="000000"/>
                <w:sz w:val="20"/>
                <w:szCs w:val="20"/>
              </w:rPr>
              <w:t xml:space="preserve">’, in D.M. Holdich (ed.), </w:t>
            </w:r>
            <w:r w:rsidRPr="004D1E6F">
              <w:rPr>
                <w:rFonts w:ascii="Times New Roman" w:eastAsia="Arial" w:hAnsi="Times New Roman" w:cs="Times New Roman"/>
                <w:i/>
                <w:color w:val="000000"/>
                <w:sz w:val="20"/>
                <w:szCs w:val="20"/>
              </w:rPr>
              <w:t>Biology of freshwater crayfish. Blackwell Science</w:t>
            </w:r>
            <w:r w:rsidRPr="004D1E6F">
              <w:rPr>
                <w:rFonts w:ascii="Times New Roman" w:eastAsia="Arial" w:hAnsi="Times New Roman" w:cs="Times New Roman"/>
                <w:color w:val="000000"/>
                <w:sz w:val="20"/>
                <w:szCs w:val="20"/>
              </w:rPr>
              <w:t>, U.K.</w:t>
            </w:r>
          </w:p>
          <w:p w14:paraId="1DAF6C0B" w14:textId="77777777" w:rsidR="002D7080" w:rsidRPr="004D1E6F" w:rsidRDefault="002D7080" w:rsidP="00663569">
            <w:pPr>
              <w:spacing w:after="0"/>
              <w:ind w:left="720" w:hanging="720"/>
              <w:jc w:val="both"/>
              <w:rPr>
                <w:rFonts w:ascii="Times New Roman" w:eastAsia="Arial" w:hAnsi="Times New Roman" w:cs="Times New Roman"/>
                <w:color w:val="000000"/>
                <w:sz w:val="20"/>
                <w:szCs w:val="20"/>
              </w:rPr>
            </w:pPr>
            <w:r w:rsidRPr="004D1E6F">
              <w:rPr>
                <w:rFonts w:ascii="Times New Roman" w:eastAsia="Arial" w:hAnsi="Times New Roman" w:cs="Times New Roman"/>
                <w:color w:val="000000"/>
                <w:sz w:val="20"/>
                <w:szCs w:val="20"/>
              </w:rPr>
              <w:t xml:space="preserve">US and Wildlife Services, 2017, ‘Ecological Risk Screening Summary’, from </w:t>
            </w:r>
            <w:r w:rsidRPr="004D1E6F">
              <w:rPr>
                <w:rFonts w:ascii="Times New Roman" w:hAnsi="Times New Roman" w:cs="Times New Roman"/>
                <w:sz w:val="20"/>
                <w:szCs w:val="20"/>
              </w:rPr>
              <w:t>https://www.fws.gov/fisheries/ans/erss/uncertainrisk/ERSS-Cherax-tenuimanus_Final.pdf</w:t>
            </w:r>
            <w:r w:rsidRPr="004D1E6F">
              <w:rPr>
                <w:rFonts w:ascii="Times New Roman" w:eastAsia="Arial" w:hAnsi="Times New Roman" w:cs="Times New Roman"/>
                <w:color w:val="000000"/>
                <w:sz w:val="20"/>
                <w:szCs w:val="20"/>
              </w:rPr>
              <w:t xml:space="preserve">. </w:t>
            </w:r>
          </w:p>
          <w:p w14:paraId="6DD0B4CA" w14:textId="77777777" w:rsidR="002D7080" w:rsidRPr="004D1E6F" w:rsidRDefault="002D7080" w:rsidP="00663569">
            <w:pPr>
              <w:spacing w:after="0"/>
              <w:ind w:left="720" w:hanging="720"/>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Zengeya, T.A, &amp; Wilson, J.R., 2020, ‘The status of biological invasions and their management in South Africa in 2019’, South African National Biodiversity Institute, Kirstenbosch and DSI-NRF Centre of Excellence for Invasion Biology, Stellenbosch</w:t>
            </w:r>
          </w:p>
        </w:tc>
      </w:tr>
      <w:tr w:rsidR="002D7080" w:rsidRPr="004D1E6F" w14:paraId="315CA3CC"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E34242C"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BAC9 Geographic scope =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 xml:space="preserve"> under consideration</w:t>
            </w:r>
          </w:p>
        </w:tc>
      </w:tr>
      <w:tr w:rsidR="002D7080" w:rsidRPr="004D1E6F" w14:paraId="2BBBBAAE"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4A048DAB"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color w:val="000000"/>
                <w:sz w:val="20"/>
                <w:szCs w:val="20"/>
                <w:lang w:eastAsia="en-ZA"/>
              </w:rPr>
              <w:t>Area</w:t>
            </w:r>
            <w:r w:rsidRPr="004D1E6F">
              <w:rPr>
                <w:rFonts w:ascii="Times New Roman" w:eastAsia="Times New Roman" w:hAnsi="Times New Roman" w:cs="Times New Roman"/>
                <w:color w:val="000000"/>
                <w:sz w:val="20"/>
                <w:szCs w:val="20"/>
                <w:lang w:eastAsia="en-ZA"/>
              </w:rPr>
              <w:t xml:space="preserve"> of assessment: South Africa</w:t>
            </w:r>
          </w:p>
        </w:tc>
      </w:tr>
      <w:tr w:rsidR="002D7080" w:rsidRPr="004D1E6F" w14:paraId="713248C2"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BF56BB8"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Comments: Geographic scope of assessment is limited to South Africa.</w:t>
            </w:r>
          </w:p>
        </w:tc>
      </w:tr>
      <w:tr w:rsidR="002D7080" w:rsidRPr="004D1E6F" w14:paraId="6E090A9D"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11E2F4A" w14:textId="77777777" w:rsidR="002D7080" w:rsidRPr="004D1E6F" w:rsidRDefault="002D7080" w:rsidP="002E2C37">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BAC10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present in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743068AE" w14:textId="77777777" w:rsidTr="002E2C37">
        <w:trPr>
          <w:cantSplit/>
          <w:trHeight w:val="70"/>
        </w:trPr>
        <w:tc>
          <w:tcPr>
            <w:tcW w:w="6124" w:type="dxa"/>
            <w:gridSpan w:val="3"/>
            <w:tcBorders>
              <w:top w:val="single" w:sz="4" w:space="0" w:color="auto"/>
              <w:left w:val="single" w:sz="4" w:space="0" w:color="auto"/>
              <w:bottom w:val="single" w:sz="4" w:space="0" w:color="auto"/>
              <w:right w:val="single" w:sz="4" w:space="0" w:color="auto"/>
            </w:tcBorders>
            <w:noWrap/>
          </w:tcPr>
          <w:p w14:paraId="6BE915FB" w14:textId="77777777" w:rsidR="002D7080" w:rsidRPr="004D1E6F" w:rsidRDefault="002D7080" w:rsidP="002E2C37">
            <w:pPr>
              <w:spacing w:after="0" w:line="240" w:lineRule="auto"/>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color w:val="000000"/>
                <w:sz w:val="20"/>
                <w:szCs w:val="20"/>
                <w:lang w:eastAsia="en-ZA"/>
              </w:rPr>
              <w:t>Response: Yes</w:t>
            </w:r>
          </w:p>
        </w:tc>
        <w:tc>
          <w:tcPr>
            <w:tcW w:w="2666" w:type="dxa"/>
            <w:tcBorders>
              <w:top w:val="single" w:sz="4" w:space="0" w:color="auto"/>
              <w:left w:val="single" w:sz="4" w:space="0" w:color="auto"/>
              <w:bottom w:val="single" w:sz="4" w:space="0" w:color="auto"/>
              <w:right w:val="single" w:sz="4" w:space="0" w:color="auto"/>
            </w:tcBorders>
          </w:tcPr>
          <w:p w14:paraId="67FD1C37" w14:textId="77777777" w:rsidR="002D7080" w:rsidRPr="004D1E6F" w:rsidRDefault="002D7080" w:rsidP="002E2C37">
            <w:pPr>
              <w:spacing w:after="0" w:line="240" w:lineRule="auto"/>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54CD591D"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02CE156" w14:textId="6DF4FB53"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Comments:</w:t>
            </w:r>
            <w:r w:rsidRPr="004D1E6F">
              <w:rPr>
                <w:rFonts w:ascii="Times New Roman" w:eastAsia="Arial" w:hAnsi="Times New Roman" w:cs="Times New Roman"/>
                <w:i/>
                <w:iCs/>
                <w:sz w:val="20"/>
                <w:szCs w:val="20"/>
              </w:rPr>
              <w:t xml:space="preserve"> Cherax tenuimanus </w:t>
            </w:r>
            <w:r w:rsidRPr="004D1E6F">
              <w:rPr>
                <w:rFonts w:ascii="Times New Roman" w:eastAsia="Arial" w:hAnsi="Times New Roman" w:cs="Times New Roman"/>
                <w:sz w:val="20"/>
                <w:szCs w:val="20"/>
              </w:rPr>
              <w:t xml:space="preserve">is likely to be present in South Africa, because there are import permits records that indicate that marron was introduced for aquaculture in the country starting in the 1970s (Nunes et a. 2017). However, there is uncertainty whether the introduced species was </w:t>
            </w:r>
            <w:r w:rsidRPr="004D1E6F">
              <w:rPr>
                <w:rFonts w:ascii="Times New Roman" w:eastAsia="Arial" w:hAnsi="Times New Roman" w:cs="Times New Roman"/>
                <w:i/>
                <w:sz w:val="20"/>
                <w:szCs w:val="20"/>
              </w:rPr>
              <w:t>C.</w:t>
            </w:r>
            <w:r w:rsidRPr="004D1E6F">
              <w:rPr>
                <w:rFonts w:ascii="Times New Roman" w:eastAsia="Arial" w:hAnsi="Times New Roman" w:cs="Times New Roman"/>
                <w:sz w:val="20"/>
                <w:szCs w:val="20"/>
              </w:rPr>
              <w:t xml:space="preserve"> </w:t>
            </w:r>
            <w:r w:rsidRPr="004D1E6F">
              <w:rPr>
                <w:rFonts w:ascii="Times New Roman" w:eastAsia="Arial" w:hAnsi="Times New Roman" w:cs="Times New Roman"/>
                <w:i/>
                <w:iCs/>
                <w:sz w:val="20"/>
                <w:szCs w:val="20"/>
              </w:rPr>
              <w:t>cainii</w:t>
            </w:r>
            <w:r w:rsidRPr="004D1E6F">
              <w:rPr>
                <w:rFonts w:ascii="Times New Roman" w:eastAsia="Arial" w:hAnsi="Times New Roman" w:cs="Times New Roman"/>
                <w:sz w:val="20"/>
                <w:szCs w:val="20"/>
              </w:rPr>
              <w:t xml:space="preserve"> or </w:t>
            </w:r>
            <w:r w:rsidRPr="004D1E6F">
              <w:rPr>
                <w:rFonts w:ascii="Times New Roman" w:eastAsia="Arial" w:hAnsi="Times New Roman" w:cs="Times New Roman"/>
                <w:i/>
                <w:iCs/>
                <w:sz w:val="20"/>
                <w:szCs w:val="20"/>
              </w:rPr>
              <w:t>C. tenuimanus</w:t>
            </w:r>
            <w:r w:rsidRPr="004D1E6F">
              <w:rPr>
                <w:rFonts w:ascii="Times New Roman" w:eastAsia="Arial" w:hAnsi="Times New Roman" w:cs="Times New Roman"/>
                <w:iCs/>
                <w:sz w:val="20"/>
                <w:szCs w:val="20"/>
              </w:rPr>
              <w:t xml:space="preserve">. </w:t>
            </w:r>
            <w:r w:rsidRPr="004D1E6F">
              <w:rPr>
                <w:rFonts w:ascii="Times New Roman" w:eastAsia="Arial" w:hAnsi="Times New Roman" w:cs="Times New Roman"/>
                <w:iCs/>
                <w:sz w:val="20"/>
                <w:szCs w:val="20"/>
              </w:rPr>
              <w:lastRenderedPageBreak/>
              <w:t xml:space="preserve">Specimens of marron have previously been found outside of captivity in South Africa, </w:t>
            </w:r>
            <w:r w:rsidRPr="004D1E6F">
              <w:rPr>
                <w:rFonts w:ascii="Times New Roman" w:eastAsia="Arial" w:hAnsi="Times New Roman" w:cs="Times New Roman"/>
                <w:sz w:val="20"/>
                <w:szCs w:val="20"/>
              </w:rPr>
              <w:t xml:space="preserve">but currently there are no known naturalised populations of </w:t>
            </w:r>
            <w:r w:rsidRPr="004D1E6F">
              <w:rPr>
                <w:rFonts w:ascii="Times New Roman" w:eastAsia="Arial" w:hAnsi="Times New Roman" w:cs="Times New Roman"/>
                <w:i/>
                <w:iCs/>
                <w:sz w:val="20"/>
                <w:szCs w:val="20"/>
              </w:rPr>
              <w:t xml:space="preserve">C. tenuimanus </w:t>
            </w:r>
            <w:r w:rsidRPr="004D1E6F">
              <w:rPr>
                <w:rFonts w:ascii="Times New Roman" w:eastAsia="Arial" w:hAnsi="Times New Roman" w:cs="Times New Roman"/>
                <w:sz w:val="20"/>
                <w:szCs w:val="20"/>
              </w:rPr>
              <w:t xml:space="preserve">(Nunes et al. 2017; Zengeya &amp; Wilson 2020). A few aquaculture farms in the Eastern and Western Cape are reportedly rearing marron but the identity </w:t>
            </w:r>
            <w:r w:rsidRPr="004D1E6F">
              <w:rPr>
                <w:rFonts w:ascii="Times New Roman" w:eastAsia="Calibri" w:hAnsi="Times New Roman" w:cs="Times New Roman"/>
                <w:sz w:val="20"/>
                <w:szCs w:val="20"/>
              </w:rPr>
              <w:t xml:space="preserve">of the farmed species needs to be genetically verified to ascertain if it is </w:t>
            </w:r>
            <w:r w:rsidRPr="004D1E6F">
              <w:rPr>
                <w:rFonts w:ascii="Times New Roman" w:eastAsia="Calibri" w:hAnsi="Times New Roman" w:cs="Times New Roman"/>
                <w:i/>
                <w:sz w:val="20"/>
                <w:szCs w:val="20"/>
              </w:rPr>
              <w:t>C.</w:t>
            </w:r>
            <w:r w:rsidRPr="004D1E6F">
              <w:rPr>
                <w:rFonts w:ascii="Times New Roman" w:eastAsia="Calibri" w:hAnsi="Times New Roman" w:cs="Times New Roman"/>
                <w:sz w:val="20"/>
                <w:szCs w:val="20"/>
              </w:rPr>
              <w:t xml:space="preserve"> </w:t>
            </w:r>
            <w:r w:rsidRPr="004D1E6F">
              <w:rPr>
                <w:rFonts w:ascii="Times New Roman" w:eastAsia="Calibri" w:hAnsi="Times New Roman" w:cs="Times New Roman"/>
                <w:i/>
                <w:iCs/>
                <w:sz w:val="20"/>
                <w:szCs w:val="20"/>
              </w:rPr>
              <w:t>cainii</w:t>
            </w:r>
            <w:r w:rsidRPr="004D1E6F">
              <w:rPr>
                <w:rFonts w:ascii="Times New Roman" w:eastAsia="Calibri" w:hAnsi="Times New Roman" w:cs="Times New Roman"/>
                <w:sz w:val="20"/>
                <w:szCs w:val="20"/>
              </w:rPr>
              <w:t xml:space="preserve"> and/or </w:t>
            </w:r>
            <w:r w:rsidRPr="004D1E6F">
              <w:rPr>
                <w:rFonts w:ascii="Times New Roman" w:eastAsia="Calibri" w:hAnsi="Times New Roman" w:cs="Times New Roman"/>
                <w:i/>
                <w:iCs/>
                <w:sz w:val="20"/>
                <w:szCs w:val="20"/>
              </w:rPr>
              <w:t>C. tenuimanus</w:t>
            </w:r>
            <w:r w:rsidRPr="004D1E6F">
              <w:rPr>
                <w:rFonts w:ascii="Times New Roman" w:eastAsia="Calibri" w:hAnsi="Times New Roman" w:cs="Times New Roman"/>
                <w:sz w:val="20"/>
                <w:szCs w:val="20"/>
              </w:rPr>
              <w:t xml:space="preserve"> (Austin &amp; Ryan 2002; </w:t>
            </w:r>
            <w:r w:rsidR="008A0BC6">
              <w:rPr>
                <w:rFonts w:ascii="Times New Roman" w:eastAsia="Calibri" w:hAnsi="Times New Roman" w:cs="Times New Roman"/>
                <w:sz w:val="20"/>
                <w:szCs w:val="20"/>
              </w:rPr>
              <w:t>De Moor</w:t>
            </w:r>
            <w:r w:rsidRPr="004D1E6F">
              <w:rPr>
                <w:rFonts w:ascii="Times New Roman" w:eastAsia="Calibri" w:hAnsi="Times New Roman" w:cs="Times New Roman"/>
                <w:sz w:val="20"/>
                <w:szCs w:val="20"/>
              </w:rPr>
              <w:t xml:space="preserve"> 2002; Nunes et al. 2017). It is assumed to be </w:t>
            </w:r>
            <w:r w:rsidRPr="004D1E6F">
              <w:rPr>
                <w:rFonts w:ascii="Times New Roman" w:eastAsia="Calibri" w:hAnsi="Times New Roman" w:cs="Times New Roman"/>
                <w:i/>
                <w:sz w:val="20"/>
                <w:szCs w:val="20"/>
              </w:rPr>
              <w:t>C. cainii</w:t>
            </w:r>
            <w:r w:rsidRPr="004D1E6F">
              <w:rPr>
                <w:rFonts w:ascii="Times New Roman" w:eastAsia="Calibri" w:hAnsi="Times New Roman" w:cs="Times New Roman"/>
                <w:sz w:val="20"/>
                <w:szCs w:val="20"/>
              </w:rPr>
              <w:t xml:space="preserve"> because this species is widely utilised for aquaculture and more widespread globally, whereas </w:t>
            </w:r>
            <w:r w:rsidRPr="004D1E6F">
              <w:rPr>
                <w:rFonts w:ascii="Times New Roman" w:eastAsia="Calibri" w:hAnsi="Times New Roman" w:cs="Times New Roman"/>
                <w:i/>
                <w:sz w:val="20"/>
                <w:szCs w:val="20"/>
              </w:rPr>
              <w:t>C. tenuimanus</w:t>
            </w:r>
            <w:r w:rsidRPr="004D1E6F">
              <w:rPr>
                <w:rFonts w:ascii="Times New Roman" w:eastAsia="Calibri" w:hAnsi="Times New Roman" w:cs="Times New Roman"/>
                <w:sz w:val="20"/>
                <w:szCs w:val="20"/>
              </w:rPr>
              <w:t xml:space="preserve"> seems to be largely restricted to the Margaret River, Australia (Austin &amp; Ryan 2002).</w:t>
            </w:r>
          </w:p>
        </w:tc>
      </w:tr>
      <w:tr w:rsidR="002D7080" w:rsidRPr="004D1E6F" w14:paraId="56FF0DE4"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64E08234" w14:textId="77777777" w:rsidR="002D7080" w:rsidRPr="004D1E6F" w:rsidRDefault="002D7080" w:rsidP="007F105A">
            <w:pPr>
              <w:spacing w:after="0"/>
              <w:ind w:left="626" w:hanging="626"/>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 xml:space="preserve">References: </w:t>
            </w:r>
          </w:p>
          <w:p w14:paraId="190E5796" w14:textId="77777777" w:rsidR="00061715" w:rsidRPr="00061715" w:rsidRDefault="00061715" w:rsidP="007F105A">
            <w:pPr>
              <w:spacing w:after="0"/>
              <w:ind w:left="626" w:hanging="626"/>
              <w:jc w:val="both"/>
              <w:rPr>
                <w:rFonts w:ascii="Times New Roman" w:eastAsia="Times New Roman" w:hAnsi="Times New Roman" w:cs="Times New Roman"/>
                <w:color w:val="000000"/>
                <w:sz w:val="20"/>
                <w:szCs w:val="20"/>
                <w:lang w:eastAsia="en-ZA"/>
              </w:rPr>
            </w:pPr>
            <w:r w:rsidRPr="00061715">
              <w:rPr>
                <w:rFonts w:ascii="Times New Roman" w:eastAsia="Times New Roman" w:hAnsi="Times New Roman" w:cs="Times New Roman"/>
                <w:color w:val="000000"/>
                <w:sz w:val="20"/>
                <w:szCs w:val="20"/>
                <w:lang w:eastAsia="en-ZA"/>
              </w:rPr>
              <w:t xml:space="preserve">Austin, C.M. &amp; Ryan, S.G., 2002, ‘Allozyme evidence for a new species of freshwater crayfish of genus </w:t>
            </w:r>
            <w:r w:rsidRPr="00061715">
              <w:rPr>
                <w:rFonts w:ascii="Times New Roman" w:eastAsia="Times New Roman" w:hAnsi="Times New Roman" w:cs="Times New Roman"/>
                <w:i/>
                <w:color w:val="000000"/>
                <w:sz w:val="20"/>
                <w:szCs w:val="20"/>
                <w:lang w:eastAsia="en-ZA"/>
              </w:rPr>
              <w:t>Cherax</w:t>
            </w:r>
            <w:r w:rsidRPr="00061715">
              <w:rPr>
                <w:rFonts w:ascii="Times New Roman" w:eastAsia="Times New Roman" w:hAnsi="Times New Roman" w:cs="Times New Roman"/>
                <w:color w:val="000000"/>
                <w:sz w:val="20"/>
                <w:szCs w:val="20"/>
                <w:lang w:eastAsia="en-ZA"/>
              </w:rPr>
              <w:t xml:space="preserve"> Erichson (Decapoda: Parastacidae) form the south-west of Western Australia’, </w:t>
            </w:r>
            <w:r w:rsidRPr="00061715">
              <w:rPr>
                <w:rFonts w:ascii="Times New Roman" w:eastAsia="Times New Roman" w:hAnsi="Times New Roman" w:cs="Times New Roman"/>
                <w:i/>
                <w:color w:val="000000"/>
                <w:sz w:val="20"/>
                <w:szCs w:val="20"/>
                <w:lang w:eastAsia="en-ZA"/>
              </w:rPr>
              <w:t>Invertebrate Systematics</w:t>
            </w:r>
            <w:r w:rsidRPr="00061715">
              <w:rPr>
                <w:rFonts w:ascii="Times New Roman" w:eastAsia="Times New Roman" w:hAnsi="Times New Roman" w:cs="Times New Roman"/>
                <w:color w:val="000000"/>
                <w:sz w:val="20"/>
                <w:szCs w:val="20"/>
                <w:lang w:eastAsia="en-ZA"/>
              </w:rPr>
              <w:t xml:space="preserve"> 16, 357-367, https://doi.org/10.1071/IT01010.</w:t>
            </w:r>
          </w:p>
          <w:p w14:paraId="77DE13F6" w14:textId="34473BEA" w:rsidR="002D7080" w:rsidRPr="004D1E6F" w:rsidRDefault="00061715" w:rsidP="007F105A">
            <w:pPr>
              <w:spacing w:after="0"/>
              <w:ind w:left="626" w:hanging="626"/>
              <w:jc w:val="both"/>
              <w:rPr>
                <w:rFonts w:ascii="Times New Roman" w:eastAsia="Arial" w:hAnsi="Times New Roman" w:cs="Times New Roman"/>
                <w:color w:val="222222"/>
                <w:sz w:val="20"/>
                <w:szCs w:val="20"/>
              </w:rPr>
            </w:pPr>
            <w:r w:rsidRPr="00061715">
              <w:rPr>
                <w:rFonts w:ascii="Times New Roman" w:eastAsia="Times New Roman" w:hAnsi="Times New Roman" w:cs="Times New Roman"/>
                <w:color w:val="000000"/>
                <w:sz w:val="20"/>
                <w:szCs w:val="20"/>
                <w:lang w:eastAsia="en-ZA"/>
              </w:rPr>
              <w:t xml:space="preserve">Beatty, S.J., Morgan, D.L. &amp; Gill, H.S., 2004, ‘Biology of a translocated population of the large freshwater crayfish, </w:t>
            </w:r>
            <w:r w:rsidRPr="00061715">
              <w:rPr>
                <w:rFonts w:ascii="Times New Roman" w:eastAsia="Times New Roman" w:hAnsi="Times New Roman" w:cs="Times New Roman"/>
                <w:i/>
                <w:color w:val="000000"/>
                <w:sz w:val="20"/>
                <w:szCs w:val="20"/>
                <w:lang w:eastAsia="en-ZA"/>
              </w:rPr>
              <w:t>Cherax cainii</w:t>
            </w:r>
            <w:r w:rsidRPr="00061715">
              <w:rPr>
                <w:rFonts w:ascii="Times New Roman" w:eastAsia="Times New Roman" w:hAnsi="Times New Roman" w:cs="Times New Roman"/>
                <w:color w:val="000000"/>
                <w:sz w:val="20"/>
                <w:szCs w:val="20"/>
                <w:lang w:eastAsia="en-ZA"/>
              </w:rPr>
              <w:t xml:space="preserve"> Austin &amp; Ryan, 2002 in a Western Australian River’, </w:t>
            </w:r>
            <w:r w:rsidRPr="00061715">
              <w:rPr>
                <w:rFonts w:ascii="Times New Roman" w:eastAsia="Times New Roman" w:hAnsi="Times New Roman" w:cs="Times New Roman"/>
                <w:i/>
                <w:color w:val="000000"/>
                <w:sz w:val="20"/>
                <w:szCs w:val="20"/>
                <w:lang w:eastAsia="en-ZA"/>
              </w:rPr>
              <w:t>Crustaceana</w:t>
            </w:r>
            <w:r w:rsidRPr="00061715">
              <w:rPr>
                <w:rFonts w:ascii="Times New Roman" w:eastAsia="Times New Roman" w:hAnsi="Times New Roman" w:cs="Times New Roman"/>
                <w:color w:val="000000"/>
                <w:sz w:val="20"/>
                <w:szCs w:val="20"/>
                <w:lang w:eastAsia="en-ZA"/>
              </w:rPr>
              <w:t xml:space="preserve"> 77, 1329-1351, </w:t>
            </w:r>
            <w:hyperlink r:id="rId65" w:history="1">
              <w:r w:rsidRPr="00061715">
                <w:rPr>
                  <w:rStyle w:val="Hyperlink"/>
                  <w:rFonts w:ascii="Times New Roman" w:eastAsia="Times New Roman" w:hAnsi="Times New Roman" w:cs="Times New Roman"/>
                  <w:sz w:val="20"/>
                  <w:szCs w:val="20"/>
                  <w:lang w:eastAsia="en-ZA"/>
                </w:rPr>
                <w:t>https://www.jstor.org/stable/20107445</w:t>
              </w:r>
            </w:hyperlink>
            <w:r w:rsidRPr="00061715">
              <w:rPr>
                <w:rFonts w:ascii="Times New Roman" w:eastAsia="Times New Roman" w:hAnsi="Times New Roman" w:cs="Times New Roman"/>
                <w:color w:val="000000"/>
                <w:sz w:val="20"/>
                <w:szCs w:val="20"/>
                <w:lang w:eastAsia="en-ZA"/>
              </w:rPr>
              <w:t>.</w:t>
            </w:r>
          </w:p>
          <w:p w14:paraId="1DB0AD7E" w14:textId="761A1A3D" w:rsidR="002D7080" w:rsidRPr="004D1E6F" w:rsidRDefault="008A0BC6" w:rsidP="007F105A">
            <w:pPr>
              <w:spacing w:after="0"/>
              <w:ind w:left="346" w:hanging="346"/>
              <w:jc w:val="both"/>
              <w:rPr>
                <w:rFonts w:ascii="Times New Roman" w:eastAsia="Arial" w:hAnsi="Times New Roman" w:cs="Times New Roman"/>
                <w:color w:val="000000"/>
                <w:sz w:val="20"/>
                <w:szCs w:val="20"/>
              </w:rPr>
            </w:pPr>
            <w:r>
              <w:rPr>
                <w:rFonts w:ascii="Times New Roman" w:eastAsia="Arial" w:hAnsi="Times New Roman" w:cs="Times New Roman"/>
                <w:color w:val="000000"/>
                <w:sz w:val="20"/>
                <w:szCs w:val="20"/>
              </w:rPr>
              <w:t>De Moor</w:t>
            </w:r>
            <w:r w:rsidR="002D7080" w:rsidRPr="004D1E6F">
              <w:rPr>
                <w:rFonts w:ascii="Times New Roman" w:eastAsia="Arial" w:hAnsi="Times New Roman" w:cs="Times New Roman"/>
                <w:color w:val="000000"/>
                <w:sz w:val="20"/>
                <w:szCs w:val="20"/>
              </w:rPr>
              <w:t xml:space="preserve">, I., 2002, ‘Potential impacts of alien freshwater crayfish in South Africa’, </w:t>
            </w:r>
            <w:r w:rsidR="002D7080" w:rsidRPr="004D1E6F">
              <w:rPr>
                <w:rFonts w:ascii="Times New Roman" w:eastAsia="Arial" w:hAnsi="Times New Roman" w:cs="Times New Roman"/>
                <w:i/>
                <w:color w:val="000000"/>
                <w:sz w:val="20"/>
                <w:szCs w:val="20"/>
              </w:rPr>
              <w:t>African Journal of Aquatic Science</w:t>
            </w:r>
            <w:r w:rsidR="002D7080" w:rsidRPr="004D1E6F">
              <w:rPr>
                <w:rFonts w:ascii="Times New Roman" w:eastAsia="Arial" w:hAnsi="Times New Roman" w:cs="Times New Roman"/>
                <w:color w:val="000000"/>
                <w:sz w:val="20"/>
                <w:szCs w:val="20"/>
              </w:rPr>
              <w:t xml:space="preserve"> 27, 125-139, </w:t>
            </w:r>
            <w:hyperlink r:id="rId66" w:history="1">
              <w:r w:rsidR="00663569" w:rsidRPr="00663569">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Arial" w:hAnsi="Times New Roman" w:cs="Times New Roman"/>
                <w:color w:val="000000"/>
                <w:sz w:val="20"/>
                <w:szCs w:val="20"/>
              </w:rPr>
              <w:t>.</w:t>
            </w:r>
          </w:p>
          <w:p w14:paraId="190D9435" w14:textId="77777777" w:rsidR="00663569" w:rsidRDefault="002D7080" w:rsidP="007F105A">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Arial" w:hAnsi="Times New Roman" w:cs="Times New Roman"/>
                <w:color w:val="000000"/>
                <w:sz w:val="20"/>
                <w:szCs w:val="20"/>
              </w:rPr>
              <w:t xml:space="preserve">Nunes, A.L., Zengeya, T.A., Measey, G.J. &amp; Weyl, O.L.F., 2017, ‘Freshwater crayfish invasions in South Africa: past, present and potential future’, </w:t>
            </w:r>
            <w:r w:rsidRPr="004D1E6F">
              <w:rPr>
                <w:rFonts w:ascii="Times New Roman" w:eastAsia="Arial" w:hAnsi="Times New Roman" w:cs="Times New Roman"/>
                <w:i/>
                <w:color w:val="000000"/>
                <w:sz w:val="20"/>
                <w:szCs w:val="20"/>
              </w:rPr>
              <w:t>African Journal of Aquatic Science</w:t>
            </w:r>
            <w:r w:rsidRPr="004D1E6F">
              <w:rPr>
                <w:rFonts w:ascii="Times New Roman" w:eastAsia="Arial" w:hAnsi="Times New Roman" w:cs="Times New Roman"/>
                <w:color w:val="000000"/>
                <w:sz w:val="20"/>
                <w:szCs w:val="20"/>
              </w:rPr>
              <w:t xml:space="preserve"> 42, 309-323, </w:t>
            </w:r>
            <w:hyperlink r:id="rId67" w:history="1">
              <w:r w:rsidR="00663569" w:rsidRPr="00663569">
                <w:rPr>
                  <w:rStyle w:val="Hyperlink"/>
                  <w:rFonts w:ascii="Times New Roman" w:eastAsia="Times New Roman" w:hAnsi="Times New Roman" w:cs="Times New Roman"/>
                  <w:sz w:val="20"/>
                  <w:szCs w:val="20"/>
                  <w:lang w:eastAsia="en-ZA"/>
                </w:rPr>
                <w:t>https://doi.org/10.2989/16085914.2017.1405788</w:t>
              </w:r>
            </w:hyperlink>
            <w:r w:rsidR="00663569">
              <w:rPr>
                <w:rFonts w:ascii="Times New Roman" w:eastAsia="Times New Roman" w:hAnsi="Times New Roman" w:cs="Times New Roman"/>
                <w:color w:val="000000"/>
                <w:sz w:val="20"/>
                <w:szCs w:val="20"/>
                <w:lang w:eastAsia="en-ZA"/>
              </w:rPr>
              <w:t>.</w:t>
            </w:r>
          </w:p>
          <w:p w14:paraId="7CF8270D" w14:textId="06F8FCF9" w:rsidR="002D7080" w:rsidRPr="004D1E6F" w:rsidRDefault="002D7080" w:rsidP="007F105A">
            <w:pPr>
              <w:spacing w:after="0"/>
              <w:ind w:left="720" w:hanging="720"/>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Zengeya, T.A., Wilson, J.R., 2020, ‘The status of biological invasions and their management in South Africa in 2019’, South African National Biodiversity Institute, Kirstenbosch and DSI-NRF Centre of Excellence for Invasion Biology, Stellenbosch.</w:t>
            </w:r>
          </w:p>
        </w:tc>
      </w:tr>
      <w:tr w:rsidR="002D7080" w:rsidRPr="004D1E6F" w14:paraId="4334603A"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1C4BA86"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BAC11 Availability of physical specimen</w:t>
            </w:r>
          </w:p>
        </w:tc>
      </w:tr>
      <w:tr w:rsidR="002D7080" w:rsidRPr="004D1E6F" w14:paraId="46BF9ECE" w14:textId="77777777" w:rsidTr="002E2C37">
        <w:trPr>
          <w:cantSplit/>
          <w:trHeight w:val="70"/>
        </w:trPr>
        <w:tc>
          <w:tcPr>
            <w:tcW w:w="6124" w:type="dxa"/>
            <w:gridSpan w:val="3"/>
            <w:tcBorders>
              <w:top w:val="single" w:sz="4" w:space="0" w:color="auto"/>
              <w:left w:val="single" w:sz="4" w:space="0" w:color="auto"/>
              <w:bottom w:val="single" w:sz="4" w:space="0" w:color="auto"/>
              <w:right w:val="single" w:sz="4" w:space="0" w:color="auto"/>
            </w:tcBorders>
            <w:noWrap/>
          </w:tcPr>
          <w:p w14:paraId="4B5C57BA" w14:textId="77777777" w:rsidR="002D7080" w:rsidRPr="004D1E6F" w:rsidRDefault="002D7080" w:rsidP="007F105A">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 xml:space="preserve">Response: </w:t>
            </w:r>
            <w:r w:rsidRPr="004D1E6F">
              <w:rPr>
                <w:rFonts w:ascii="Times New Roman" w:eastAsia="Times New Roman" w:hAnsi="Times New Roman" w:cs="Times New Roman"/>
                <w:color w:val="000000"/>
                <w:sz w:val="20"/>
                <w:szCs w:val="20"/>
                <w:lang w:eastAsia="en-ZA"/>
              </w:rPr>
              <w:t>Yes</w:t>
            </w:r>
          </w:p>
        </w:tc>
        <w:tc>
          <w:tcPr>
            <w:tcW w:w="2666" w:type="dxa"/>
            <w:tcBorders>
              <w:top w:val="single" w:sz="4" w:space="0" w:color="auto"/>
              <w:left w:val="single" w:sz="4" w:space="0" w:color="auto"/>
              <w:bottom w:val="single" w:sz="4" w:space="0" w:color="auto"/>
              <w:right w:val="single" w:sz="4" w:space="0" w:color="auto"/>
            </w:tcBorders>
          </w:tcPr>
          <w:p w14:paraId="309E5F6D" w14:textId="77777777" w:rsidR="002D7080" w:rsidRPr="004D1E6F" w:rsidRDefault="002D7080" w:rsidP="007F105A">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 xml:space="preserve">Confidence in ID: </w:t>
            </w:r>
            <w:r w:rsidRPr="004D1E6F">
              <w:rPr>
                <w:rFonts w:ascii="Times New Roman" w:eastAsia="Times New Roman" w:hAnsi="Times New Roman" w:cs="Times New Roman"/>
                <w:color w:val="000000"/>
                <w:sz w:val="20"/>
                <w:szCs w:val="20"/>
                <w:lang w:eastAsia="en-ZA"/>
              </w:rPr>
              <w:t>Low</w:t>
            </w:r>
          </w:p>
        </w:tc>
      </w:tr>
      <w:tr w:rsidR="002D7080" w:rsidRPr="004D1E6F" w14:paraId="5E93F775" w14:textId="77777777" w:rsidTr="002E2C37">
        <w:trPr>
          <w:cantSplit/>
          <w:trHeight w:val="148"/>
        </w:trPr>
        <w:tc>
          <w:tcPr>
            <w:tcW w:w="8790" w:type="dxa"/>
            <w:gridSpan w:val="4"/>
            <w:tcBorders>
              <w:top w:val="single" w:sz="4" w:space="0" w:color="auto"/>
              <w:left w:val="single" w:sz="4" w:space="0" w:color="auto"/>
              <w:bottom w:val="single" w:sz="4" w:space="0" w:color="auto"/>
              <w:right w:val="single" w:sz="4" w:space="0" w:color="auto"/>
            </w:tcBorders>
            <w:noWrap/>
          </w:tcPr>
          <w:p w14:paraId="403C263E"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Herbarium or museum accession number: </w:t>
            </w:r>
            <w:r w:rsidRPr="004D1E6F">
              <w:rPr>
                <w:rFonts w:ascii="Times New Roman" w:eastAsia="Arial" w:hAnsi="Times New Roman" w:cs="Times New Roman"/>
                <w:color w:val="000000"/>
                <w:sz w:val="20"/>
                <w:szCs w:val="20"/>
              </w:rPr>
              <w:t xml:space="preserve">GEN 833A. Species was collected in South Africa, Arigata Fish Farm near Marina Beach (-30.9300000000, 30.27000000) and recorded as </w:t>
            </w:r>
            <w:r w:rsidRPr="004D1E6F">
              <w:rPr>
                <w:rFonts w:ascii="Times New Roman" w:eastAsia="Arial" w:hAnsi="Times New Roman" w:cs="Times New Roman"/>
                <w:i/>
                <w:color w:val="000000"/>
                <w:sz w:val="20"/>
                <w:szCs w:val="20"/>
              </w:rPr>
              <w:t>Cherax tenuimanus.</w:t>
            </w:r>
          </w:p>
        </w:tc>
      </w:tr>
      <w:tr w:rsidR="002D7080" w:rsidRPr="004D1E6F" w14:paraId="527CAC96"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6D8922A9" w14:textId="77777777" w:rsidR="002D7080" w:rsidRPr="004D1E6F" w:rsidRDefault="002D7080" w:rsidP="007F105A">
            <w:pPr>
              <w:spacing w:after="0"/>
              <w:ind w:left="626" w:hanging="626"/>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4103A175" w14:textId="77777777" w:rsidR="002D7080" w:rsidRPr="004D1E6F" w:rsidRDefault="002D7080" w:rsidP="007F105A">
            <w:pPr>
              <w:spacing w:after="0"/>
              <w:ind w:left="626" w:hanging="626"/>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Albany Museum Grahamstown, South Africa</w:t>
            </w:r>
          </w:p>
          <w:p w14:paraId="4355ED48" w14:textId="77777777" w:rsidR="002D7080" w:rsidRPr="004D1E6F" w:rsidRDefault="002D7080" w:rsidP="007F105A">
            <w:pPr>
              <w:spacing w:after="0"/>
              <w:ind w:left="720" w:hanging="720"/>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GBIF n.d., from https://www.gbif.org/occurrence/1299981578</w:t>
            </w:r>
          </w:p>
        </w:tc>
      </w:tr>
      <w:tr w:rsidR="002D7080" w:rsidRPr="004D1E6F" w14:paraId="58519E08"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3F5D0A2" w14:textId="77777777" w:rsidR="002D7080" w:rsidRPr="004D1E6F" w:rsidRDefault="002D7080" w:rsidP="007F105A">
            <w:pPr>
              <w:spacing w:after="0"/>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BAC12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native to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 xml:space="preserve"> or part of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2D4B4B53" w14:textId="77777777" w:rsidTr="002E2C37">
        <w:trPr>
          <w:cantSplit/>
          <w:trHeight w:val="7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E28882D"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native to (part of) the </w:t>
            </w: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w:t>
            </w:r>
          </w:p>
        </w:tc>
        <w:tc>
          <w:tcPr>
            <w:tcW w:w="2268" w:type="dxa"/>
            <w:tcBorders>
              <w:top w:val="single" w:sz="4" w:space="0" w:color="auto"/>
              <w:left w:val="nil"/>
              <w:bottom w:val="single" w:sz="4" w:space="0" w:color="auto"/>
              <w:right w:val="single" w:sz="4" w:space="0" w:color="auto"/>
            </w:tcBorders>
          </w:tcPr>
          <w:p w14:paraId="03FCF613"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w:t>
            </w:r>
          </w:p>
        </w:tc>
        <w:tc>
          <w:tcPr>
            <w:tcW w:w="2666" w:type="dxa"/>
            <w:tcBorders>
              <w:top w:val="single" w:sz="4" w:space="0" w:color="auto"/>
              <w:left w:val="nil"/>
              <w:bottom w:val="single" w:sz="4" w:space="0" w:color="auto"/>
              <w:right w:val="single" w:sz="4" w:space="0" w:color="auto"/>
            </w:tcBorders>
          </w:tcPr>
          <w:p w14:paraId="1A78F492"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Confidence: High </w:t>
            </w:r>
          </w:p>
        </w:tc>
      </w:tr>
      <w:tr w:rsidR="002D7080" w:rsidRPr="004D1E6F" w14:paraId="10ADB816" w14:textId="77777777" w:rsidTr="002E2C37">
        <w:trPr>
          <w:cantSplit/>
          <w:trHeight w:val="7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C95712A"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alien in (part of) the </w:t>
            </w: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w:t>
            </w:r>
          </w:p>
        </w:tc>
        <w:tc>
          <w:tcPr>
            <w:tcW w:w="2268" w:type="dxa"/>
            <w:tcBorders>
              <w:top w:val="single" w:sz="4" w:space="0" w:color="auto"/>
              <w:left w:val="nil"/>
              <w:bottom w:val="single" w:sz="4" w:space="0" w:color="auto"/>
              <w:right w:val="single" w:sz="4" w:space="0" w:color="auto"/>
            </w:tcBorders>
          </w:tcPr>
          <w:p w14:paraId="4C233312"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Yes </w:t>
            </w:r>
          </w:p>
        </w:tc>
        <w:tc>
          <w:tcPr>
            <w:tcW w:w="2666" w:type="dxa"/>
            <w:tcBorders>
              <w:top w:val="single" w:sz="4" w:space="0" w:color="auto"/>
              <w:left w:val="nil"/>
              <w:bottom w:val="single" w:sz="4" w:space="0" w:color="auto"/>
              <w:right w:val="single" w:sz="4" w:space="0" w:color="auto"/>
            </w:tcBorders>
          </w:tcPr>
          <w:p w14:paraId="7D6B1912"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Confidence: High </w:t>
            </w:r>
          </w:p>
        </w:tc>
      </w:tr>
      <w:tr w:rsidR="002D7080" w:rsidRPr="004D1E6F" w14:paraId="7008F3A5"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737BD0DF" w14:textId="1F0098A0"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Comments: </w:t>
            </w:r>
            <w:r w:rsidRPr="004D1E6F">
              <w:rPr>
                <w:rFonts w:ascii="Times New Roman" w:eastAsia="Arial" w:hAnsi="Times New Roman" w:cs="Times New Roman"/>
                <w:i/>
                <w:color w:val="000000"/>
                <w:sz w:val="20"/>
                <w:szCs w:val="20"/>
              </w:rPr>
              <w:t>Cherax tenuimanus</w:t>
            </w:r>
            <w:r w:rsidRPr="004D1E6F">
              <w:rPr>
                <w:rFonts w:ascii="Times New Roman" w:eastAsia="Arial" w:hAnsi="Times New Roman" w:cs="Times New Roman"/>
                <w:color w:val="000000"/>
                <w:sz w:val="20"/>
                <w:szCs w:val="20"/>
              </w:rPr>
              <w:t xml:space="preserve"> is native to Australia and there are no freshwater crayfish native to South Africa </w:t>
            </w:r>
            <w:r w:rsidRPr="004D1E6F">
              <w:rPr>
                <w:rFonts w:ascii="Times New Roman" w:eastAsia="Arial" w:hAnsi="Times New Roman" w:cs="Times New Roman"/>
                <w:color w:val="000000"/>
                <w:sz w:val="20"/>
                <w:szCs w:val="20"/>
              </w:rPr>
              <w:fldChar w:fldCharType="begin" w:fldLock="1"/>
            </w:r>
            <w:r w:rsidRPr="004D1E6F">
              <w:rPr>
                <w:rFonts w:ascii="Times New Roman" w:eastAsia="Arial" w:hAnsi="Times New Roman" w:cs="Times New Roman"/>
                <w:color w:val="000000"/>
                <w:sz w:val="20"/>
                <w:szCs w:val="20"/>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4D1E6F">
              <w:rPr>
                <w:rFonts w:ascii="Times New Roman" w:eastAsia="Arial" w:hAnsi="Times New Roman" w:cs="Times New Roman"/>
                <w:color w:val="000000"/>
                <w:sz w:val="20"/>
                <w:szCs w:val="20"/>
              </w:rPr>
              <w:fldChar w:fldCharType="separate"/>
            </w:r>
            <w:r w:rsidRPr="004D1E6F">
              <w:rPr>
                <w:rFonts w:ascii="Times New Roman" w:eastAsia="Arial" w:hAnsi="Times New Roman" w:cs="Times New Roman"/>
                <w:color w:val="000000"/>
                <w:sz w:val="20"/>
                <w:szCs w:val="20"/>
              </w:rPr>
              <w:t xml:space="preserve">(Austin &amp; Ryan 2002, </w:t>
            </w:r>
            <w:r w:rsidR="008A0BC6">
              <w:rPr>
                <w:rFonts w:ascii="Times New Roman" w:eastAsia="Arial" w:hAnsi="Times New Roman" w:cs="Times New Roman"/>
                <w:color w:val="000000"/>
                <w:sz w:val="20"/>
                <w:szCs w:val="20"/>
              </w:rPr>
              <w:t>De Moor</w:t>
            </w:r>
            <w:r w:rsidRPr="004D1E6F">
              <w:rPr>
                <w:rFonts w:ascii="Times New Roman" w:eastAsia="Arial" w:hAnsi="Times New Roman" w:cs="Times New Roman"/>
                <w:color w:val="000000"/>
                <w:sz w:val="20"/>
                <w:szCs w:val="20"/>
              </w:rPr>
              <w:t xml:space="preserve"> 2002, Nunes et al. 2017)</w:t>
            </w:r>
            <w:r w:rsidRPr="004D1E6F">
              <w:rPr>
                <w:rFonts w:ascii="Times New Roman" w:eastAsia="Arial" w:hAnsi="Times New Roman" w:cs="Times New Roman"/>
                <w:color w:val="000000"/>
                <w:sz w:val="20"/>
                <w:szCs w:val="20"/>
              </w:rPr>
              <w:fldChar w:fldCharType="end"/>
            </w:r>
            <w:r w:rsidRPr="004D1E6F">
              <w:rPr>
                <w:rFonts w:ascii="Times New Roman" w:eastAsia="Arial" w:hAnsi="Times New Roman" w:cs="Times New Roman"/>
                <w:color w:val="000000"/>
                <w:sz w:val="20"/>
                <w:szCs w:val="20"/>
              </w:rPr>
              <w:t>.</w:t>
            </w:r>
          </w:p>
        </w:tc>
      </w:tr>
      <w:tr w:rsidR="002D7080" w:rsidRPr="004D1E6F" w14:paraId="64C6440D"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2277EBDE" w14:textId="77777777" w:rsidR="002D7080" w:rsidRPr="004D1E6F" w:rsidRDefault="002D7080" w:rsidP="007F105A">
            <w:pPr>
              <w:spacing w:after="0"/>
              <w:ind w:left="346" w:hanging="346"/>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6DA05EEA" w14:textId="2BD24A30" w:rsidR="002D7080" w:rsidRPr="004D1E6F" w:rsidRDefault="002D7080" w:rsidP="007F105A">
            <w:pPr>
              <w:spacing w:after="0"/>
              <w:ind w:left="522" w:hanging="522"/>
              <w:jc w:val="both"/>
              <w:rPr>
                <w:rFonts w:ascii="Times New Roman" w:hAnsi="Times New Roman" w:cs="Times New Roman"/>
                <w:sz w:val="20"/>
                <w:szCs w:val="20"/>
              </w:rPr>
            </w:pPr>
            <w:r w:rsidRPr="004D1E6F">
              <w:rPr>
                <w:rFonts w:ascii="Times New Roman" w:hAnsi="Times New Roman" w:cs="Times New Roman"/>
                <w:sz w:val="20"/>
                <w:szCs w:val="20"/>
              </w:rPr>
              <w:t xml:space="preserve">Austin, C.M. &amp; Ryan, S.G., 2002, ‘Allozyme evidence for a new species of freshwater crayfish of genus </w:t>
            </w:r>
            <w:r w:rsidRPr="004D1E6F">
              <w:rPr>
                <w:rFonts w:ascii="Times New Roman" w:hAnsi="Times New Roman" w:cs="Times New Roman"/>
                <w:i/>
                <w:iCs/>
                <w:sz w:val="20"/>
                <w:szCs w:val="20"/>
              </w:rPr>
              <w:t>Cherax</w:t>
            </w:r>
            <w:r w:rsidRPr="004D1E6F">
              <w:rPr>
                <w:rFonts w:ascii="Times New Roman" w:hAnsi="Times New Roman" w:cs="Times New Roman"/>
                <w:sz w:val="20"/>
                <w:szCs w:val="20"/>
              </w:rPr>
              <w:t xml:space="preserve"> Erichson (Decapoda: Parastacidae) form the south-west of Western Australia’, </w:t>
            </w:r>
            <w:r w:rsidRPr="004D1E6F">
              <w:rPr>
                <w:rFonts w:ascii="Times New Roman" w:hAnsi="Times New Roman" w:cs="Times New Roman"/>
                <w:i/>
                <w:iCs/>
                <w:sz w:val="20"/>
                <w:szCs w:val="20"/>
              </w:rPr>
              <w:t>Invertebrate Systematics</w:t>
            </w:r>
            <w:r w:rsidRPr="004D1E6F">
              <w:rPr>
                <w:rFonts w:ascii="Times New Roman" w:hAnsi="Times New Roman" w:cs="Times New Roman"/>
                <w:sz w:val="20"/>
                <w:szCs w:val="20"/>
              </w:rPr>
              <w:t xml:space="preserve"> </w:t>
            </w:r>
            <w:r w:rsidRPr="004D1E6F">
              <w:rPr>
                <w:rFonts w:ascii="Times New Roman" w:hAnsi="Times New Roman" w:cs="Times New Roman"/>
                <w:bCs/>
                <w:sz w:val="20"/>
                <w:szCs w:val="20"/>
              </w:rPr>
              <w:t>16</w:t>
            </w:r>
            <w:r w:rsidRPr="004D1E6F">
              <w:rPr>
                <w:rFonts w:ascii="Times New Roman" w:hAnsi="Times New Roman" w:cs="Times New Roman"/>
                <w:sz w:val="20"/>
                <w:szCs w:val="20"/>
              </w:rPr>
              <w:t xml:space="preserve">, 357-367, </w:t>
            </w:r>
            <w:r w:rsidR="00061715" w:rsidRPr="00061715">
              <w:rPr>
                <w:rFonts w:ascii="Times New Roman" w:eastAsia="Times New Roman" w:hAnsi="Times New Roman" w:cs="Times New Roman"/>
                <w:sz w:val="20"/>
                <w:szCs w:val="20"/>
                <w:lang w:eastAsia="en-ZA"/>
              </w:rPr>
              <w:t>https://doi.org/10.1071/IT01010</w:t>
            </w:r>
            <w:r w:rsidRPr="004D1E6F">
              <w:rPr>
                <w:rFonts w:ascii="Times New Roman" w:hAnsi="Times New Roman" w:cs="Times New Roman"/>
                <w:sz w:val="20"/>
                <w:szCs w:val="20"/>
              </w:rPr>
              <w:t>.</w:t>
            </w:r>
          </w:p>
          <w:p w14:paraId="3C662AD9" w14:textId="3D74E689" w:rsidR="002D7080" w:rsidRPr="004D1E6F" w:rsidRDefault="008A0BC6" w:rsidP="007F105A">
            <w:pPr>
              <w:spacing w:after="0"/>
              <w:ind w:left="522" w:hanging="522"/>
              <w:jc w:val="both"/>
              <w:rPr>
                <w:rFonts w:ascii="Times New Roman" w:hAnsi="Times New Roman" w:cs="Times New Roman"/>
                <w:sz w:val="20"/>
                <w:szCs w:val="20"/>
              </w:rPr>
            </w:pPr>
            <w:r>
              <w:rPr>
                <w:rFonts w:ascii="Times New Roman" w:hAnsi="Times New Roman" w:cs="Times New Roman"/>
                <w:sz w:val="20"/>
                <w:szCs w:val="20"/>
              </w:rPr>
              <w:t>De Moor</w:t>
            </w:r>
            <w:r w:rsidR="002D7080" w:rsidRPr="004D1E6F">
              <w:rPr>
                <w:rFonts w:ascii="Times New Roman" w:hAnsi="Times New Roman" w:cs="Times New Roman"/>
                <w:sz w:val="20"/>
                <w:szCs w:val="20"/>
              </w:rPr>
              <w:t xml:space="preserve">, I., 2002, ‘Potential impacts of alien freshwater crayfish in South Africa’, </w:t>
            </w:r>
            <w:r w:rsidR="002D7080" w:rsidRPr="004D1E6F">
              <w:rPr>
                <w:rFonts w:ascii="Times New Roman" w:hAnsi="Times New Roman" w:cs="Times New Roman"/>
                <w:i/>
                <w:iCs/>
                <w:sz w:val="20"/>
                <w:szCs w:val="20"/>
              </w:rPr>
              <w:t>African Journal of Aquatic Science</w:t>
            </w:r>
            <w:r w:rsidR="002D7080" w:rsidRPr="004D1E6F">
              <w:rPr>
                <w:rFonts w:ascii="Times New Roman" w:hAnsi="Times New Roman" w:cs="Times New Roman"/>
                <w:sz w:val="20"/>
                <w:szCs w:val="20"/>
              </w:rPr>
              <w:t xml:space="preserve"> </w:t>
            </w:r>
            <w:r w:rsidR="002D7080" w:rsidRPr="004D1E6F">
              <w:rPr>
                <w:rFonts w:ascii="Times New Roman" w:hAnsi="Times New Roman" w:cs="Times New Roman"/>
                <w:bCs/>
                <w:sz w:val="20"/>
                <w:szCs w:val="20"/>
              </w:rPr>
              <w:t>27</w:t>
            </w:r>
            <w:r w:rsidR="002D7080" w:rsidRPr="004D1E6F">
              <w:rPr>
                <w:rFonts w:ascii="Times New Roman" w:hAnsi="Times New Roman" w:cs="Times New Roman"/>
                <w:sz w:val="20"/>
                <w:szCs w:val="20"/>
              </w:rPr>
              <w:t xml:space="preserve">, 125-139, </w:t>
            </w:r>
            <w:r w:rsidR="00061715" w:rsidRPr="00D66918">
              <w:rPr>
                <w:rFonts w:ascii="Times New Roman" w:eastAsia="Times New Roman" w:hAnsi="Times New Roman" w:cs="Times New Roman"/>
                <w:sz w:val="20"/>
                <w:szCs w:val="20"/>
                <w:lang w:eastAsia="en-ZA"/>
              </w:rPr>
              <w:t>https://doi.org/10.2989/16085914.2002.962658</w:t>
            </w:r>
            <w:r w:rsidR="002D7080" w:rsidRPr="004D1E6F">
              <w:rPr>
                <w:rFonts w:ascii="Times New Roman" w:hAnsi="Times New Roman" w:cs="Times New Roman"/>
                <w:sz w:val="20"/>
                <w:szCs w:val="20"/>
              </w:rPr>
              <w:t>.</w:t>
            </w:r>
          </w:p>
          <w:p w14:paraId="368699C7" w14:textId="10080A77" w:rsidR="002D7080" w:rsidRPr="004D1E6F" w:rsidRDefault="002D7080" w:rsidP="007F105A">
            <w:pPr>
              <w:spacing w:after="0"/>
              <w:ind w:left="720" w:hanging="720"/>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 xml:space="preserve">Nunes, A.L., Zengeya, T.A., Measey, G.J. &amp; Weyl, O.L.F., 2017, ‘Freshwater crayfish invasions in South Africa: past, present and potential future’, </w:t>
            </w:r>
            <w:r w:rsidRPr="004D1E6F">
              <w:rPr>
                <w:rFonts w:ascii="Times New Roman" w:hAnsi="Times New Roman" w:cs="Times New Roman"/>
                <w:i/>
                <w:iCs/>
                <w:sz w:val="20"/>
                <w:szCs w:val="20"/>
              </w:rPr>
              <w:t>African Journal of Aquatic Science</w:t>
            </w:r>
            <w:r w:rsidRPr="004D1E6F">
              <w:rPr>
                <w:rFonts w:ascii="Times New Roman" w:hAnsi="Times New Roman" w:cs="Times New Roman"/>
                <w:sz w:val="20"/>
                <w:szCs w:val="20"/>
              </w:rPr>
              <w:t xml:space="preserve"> </w:t>
            </w:r>
            <w:r w:rsidRPr="004D1E6F">
              <w:rPr>
                <w:rFonts w:ascii="Times New Roman" w:hAnsi="Times New Roman" w:cs="Times New Roman"/>
                <w:bCs/>
                <w:sz w:val="20"/>
                <w:szCs w:val="20"/>
              </w:rPr>
              <w:t>42</w:t>
            </w:r>
            <w:r w:rsidRPr="004D1E6F">
              <w:rPr>
                <w:rFonts w:ascii="Times New Roman" w:hAnsi="Times New Roman" w:cs="Times New Roman"/>
                <w:sz w:val="20"/>
                <w:szCs w:val="20"/>
              </w:rPr>
              <w:t xml:space="preserve">, 309-323, </w:t>
            </w:r>
            <w:hyperlink r:id="rId68" w:history="1">
              <w:r w:rsidR="00061715" w:rsidRPr="00061715">
                <w:rPr>
                  <w:rStyle w:val="Hyperlink"/>
                  <w:rFonts w:ascii="Times New Roman" w:eastAsia="Times New Roman" w:hAnsi="Times New Roman" w:cs="Times New Roman"/>
                  <w:sz w:val="20"/>
                  <w:szCs w:val="20"/>
                  <w:lang w:eastAsia="en-ZA"/>
                </w:rPr>
                <w:t>https://doi.org/10.2989/16085914.2017.1405788</w:t>
              </w:r>
            </w:hyperlink>
          </w:p>
        </w:tc>
      </w:tr>
      <w:tr w:rsidR="002D7080" w:rsidRPr="004D1E6F" w14:paraId="62ABEC4E"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52DA1FB" w14:textId="77777777" w:rsidR="002D7080" w:rsidRPr="004D1E6F" w:rsidRDefault="002D7080" w:rsidP="007F105A">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BAC13 What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’s introduction status in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46F40A55" w14:textId="77777777" w:rsidTr="002E2C37">
        <w:trPr>
          <w:cantSplit/>
          <w:trHeight w:val="9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895492B"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in cultivation/containment.</w:t>
            </w:r>
          </w:p>
        </w:tc>
        <w:tc>
          <w:tcPr>
            <w:tcW w:w="2268" w:type="dxa"/>
            <w:tcBorders>
              <w:top w:val="single" w:sz="4" w:space="0" w:color="auto"/>
              <w:left w:val="single" w:sz="4" w:space="0" w:color="auto"/>
              <w:bottom w:val="single" w:sz="4" w:space="0" w:color="auto"/>
              <w:right w:val="single" w:sz="4" w:space="0" w:color="auto"/>
            </w:tcBorders>
          </w:tcPr>
          <w:p w14:paraId="1224F8D9"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Yes </w:t>
            </w:r>
          </w:p>
        </w:tc>
        <w:tc>
          <w:tcPr>
            <w:tcW w:w="2666" w:type="dxa"/>
            <w:tcBorders>
              <w:top w:val="single" w:sz="4" w:space="0" w:color="auto"/>
              <w:left w:val="single" w:sz="4" w:space="0" w:color="auto"/>
              <w:bottom w:val="single" w:sz="4" w:space="0" w:color="auto"/>
              <w:right w:val="single" w:sz="4" w:space="0" w:color="auto"/>
            </w:tcBorders>
          </w:tcPr>
          <w:p w14:paraId="2F6B6AFC"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65965CD5" w14:textId="77777777" w:rsidTr="002E2C37">
        <w:trPr>
          <w:cantSplit/>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B3D2EFB"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present outside of cultivation/containment.</w:t>
            </w:r>
          </w:p>
        </w:tc>
        <w:tc>
          <w:tcPr>
            <w:tcW w:w="2268" w:type="dxa"/>
            <w:tcBorders>
              <w:top w:val="single" w:sz="4" w:space="0" w:color="auto"/>
              <w:left w:val="single" w:sz="4" w:space="0" w:color="auto"/>
              <w:bottom w:val="single" w:sz="4" w:space="0" w:color="auto"/>
              <w:right w:val="single" w:sz="4" w:space="0" w:color="auto"/>
            </w:tcBorders>
          </w:tcPr>
          <w:p w14:paraId="15400D55"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w:t>
            </w:r>
          </w:p>
        </w:tc>
        <w:tc>
          <w:tcPr>
            <w:tcW w:w="2666" w:type="dxa"/>
            <w:tcBorders>
              <w:top w:val="single" w:sz="4" w:space="0" w:color="auto"/>
              <w:left w:val="single" w:sz="4" w:space="0" w:color="auto"/>
              <w:bottom w:val="single" w:sz="4" w:space="0" w:color="auto"/>
              <w:right w:val="single" w:sz="4" w:space="0" w:color="auto"/>
            </w:tcBorders>
          </w:tcPr>
          <w:p w14:paraId="554C278E"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3080CC7F" w14:textId="77777777" w:rsidTr="002E2C37">
        <w:trPr>
          <w:cantSplit/>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47446F2"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has established/naturalised.</w:t>
            </w:r>
          </w:p>
        </w:tc>
        <w:tc>
          <w:tcPr>
            <w:tcW w:w="2268" w:type="dxa"/>
            <w:tcBorders>
              <w:top w:val="single" w:sz="4" w:space="0" w:color="auto"/>
              <w:left w:val="single" w:sz="4" w:space="0" w:color="auto"/>
              <w:bottom w:val="single" w:sz="4" w:space="0" w:color="auto"/>
              <w:right w:val="single" w:sz="4" w:space="0" w:color="auto"/>
            </w:tcBorders>
          </w:tcPr>
          <w:p w14:paraId="0BD29D84"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w:t>
            </w:r>
          </w:p>
        </w:tc>
        <w:tc>
          <w:tcPr>
            <w:tcW w:w="2666" w:type="dxa"/>
            <w:tcBorders>
              <w:top w:val="single" w:sz="4" w:space="0" w:color="auto"/>
              <w:left w:val="single" w:sz="4" w:space="0" w:color="auto"/>
              <w:bottom w:val="single" w:sz="4" w:space="0" w:color="auto"/>
              <w:right w:val="single" w:sz="4" w:space="0" w:color="auto"/>
            </w:tcBorders>
          </w:tcPr>
          <w:p w14:paraId="29F17E23"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3E6A62B3" w14:textId="77777777" w:rsidTr="002E2C37">
        <w:trPr>
          <w:cantSplit/>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831FE6D"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invasive.</w:t>
            </w:r>
          </w:p>
        </w:tc>
        <w:tc>
          <w:tcPr>
            <w:tcW w:w="2268" w:type="dxa"/>
            <w:tcBorders>
              <w:top w:val="single" w:sz="4" w:space="0" w:color="auto"/>
              <w:left w:val="single" w:sz="4" w:space="0" w:color="auto"/>
              <w:bottom w:val="single" w:sz="4" w:space="0" w:color="auto"/>
              <w:right w:val="single" w:sz="4" w:space="0" w:color="auto"/>
            </w:tcBorders>
          </w:tcPr>
          <w:p w14:paraId="10FA70B8"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w:t>
            </w:r>
          </w:p>
        </w:tc>
        <w:tc>
          <w:tcPr>
            <w:tcW w:w="2666" w:type="dxa"/>
            <w:tcBorders>
              <w:top w:val="single" w:sz="4" w:space="0" w:color="auto"/>
              <w:left w:val="single" w:sz="4" w:space="0" w:color="auto"/>
              <w:bottom w:val="single" w:sz="4" w:space="0" w:color="auto"/>
              <w:right w:val="single" w:sz="4" w:space="0" w:color="auto"/>
            </w:tcBorders>
          </w:tcPr>
          <w:p w14:paraId="72C30381"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067EFEA2"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2594A2B" w14:textId="7097787D"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Comments: The presence of </w:t>
            </w:r>
            <w:r w:rsidRPr="004D1E6F">
              <w:rPr>
                <w:rFonts w:ascii="Times New Roman" w:eastAsia="Times New Roman" w:hAnsi="Times New Roman" w:cs="Times New Roman"/>
                <w:i/>
                <w:color w:val="000000"/>
                <w:sz w:val="20"/>
                <w:szCs w:val="20"/>
                <w:lang w:eastAsia="en-ZA"/>
              </w:rPr>
              <w:t>C. tenuimanus</w:t>
            </w:r>
            <w:r w:rsidRPr="004D1E6F">
              <w:rPr>
                <w:rFonts w:ascii="Times New Roman" w:eastAsia="Times New Roman" w:hAnsi="Times New Roman" w:cs="Times New Roman"/>
                <w:color w:val="000000"/>
                <w:sz w:val="20"/>
                <w:szCs w:val="20"/>
                <w:lang w:eastAsia="en-ZA"/>
              </w:rPr>
              <w:t xml:space="preserve"> in the country needs to be verified.  While there are import permit records for the introduction of </w:t>
            </w:r>
            <w:r w:rsidRPr="004D1E6F">
              <w:rPr>
                <w:rFonts w:ascii="Times New Roman" w:eastAsia="Times New Roman" w:hAnsi="Times New Roman" w:cs="Times New Roman"/>
                <w:i/>
                <w:color w:val="000000"/>
                <w:sz w:val="20"/>
                <w:szCs w:val="20"/>
                <w:lang w:eastAsia="en-ZA"/>
              </w:rPr>
              <w:t>C. tenuimanus</w:t>
            </w:r>
            <w:r w:rsidRPr="004D1E6F">
              <w:rPr>
                <w:rFonts w:ascii="Times New Roman" w:eastAsia="Times New Roman" w:hAnsi="Times New Roman" w:cs="Times New Roman"/>
                <w:color w:val="000000"/>
                <w:sz w:val="20"/>
                <w:szCs w:val="20"/>
                <w:lang w:eastAsia="en-ZA"/>
              </w:rPr>
              <w:t xml:space="preserve"> for aquaculture purposes and crayfish are in cultivation, it is likely these are largely </w:t>
            </w:r>
            <w:r w:rsidRPr="004D1E6F">
              <w:rPr>
                <w:rFonts w:ascii="Times New Roman" w:eastAsia="Calibri" w:hAnsi="Times New Roman" w:cs="Times New Roman"/>
                <w:i/>
                <w:iCs/>
                <w:sz w:val="20"/>
                <w:szCs w:val="20"/>
              </w:rPr>
              <w:t>C. cainii</w:t>
            </w:r>
            <w:r w:rsidRPr="004D1E6F">
              <w:rPr>
                <w:rFonts w:ascii="Times New Roman" w:eastAsia="Calibri" w:hAnsi="Times New Roman" w:cs="Times New Roman"/>
                <w:sz w:val="20"/>
                <w:szCs w:val="20"/>
              </w:rPr>
              <w:t>.</w:t>
            </w:r>
            <w:r w:rsidRPr="004D1E6F">
              <w:rPr>
                <w:rFonts w:ascii="Times New Roman" w:eastAsia="Times New Roman" w:hAnsi="Times New Roman" w:cs="Times New Roman"/>
                <w:color w:val="000000"/>
                <w:sz w:val="20"/>
                <w:szCs w:val="20"/>
                <w:lang w:eastAsia="en-ZA"/>
              </w:rPr>
              <w:t xml:space="preserve"> S</w:t>
            </w:r>
            <w:r w:rsidRPr="004D1E6F">
              <w:rPr>
                <w:rFonts w:ascii="Times New Roman" w:eastAsia="Calibri" w:hAnsi="Times New Roman" w:cs="Times New Roman"/>
                <w:iCs/>
                <w:sz w:val="20"/>
                <w:szCs w:val="20"/>
              </w:rPr>
              <w:t xml:space="preserve">pecimens of </w:t>
            </w:r>
            <w:r w:rsidRPr="004D1E6F">
              <w:rPr>
                <w:rFonts w:ascii="Times New Roman" w:eastAsia="Calibri" w:hAnsi="Times New Roman" w:cs="Times New Roman"/>
                <w:i/>
                <w:iCs/>
                <w:sz w:val="20"/>
                <w:szCs w:val="20"/>
              </w:rPr>
              <w:t xml:space="preserve">Cherax </w:t>
            </w:r>
            <w:r w:rsidRPr="004D1E6F">
              <w:rPr>
                <w:rFonts w:ascii="Times New Roman" w:eastAsia="Calibri" w:hAnsi="Times New Roman" w:cs="Times New Roman"/>
                <w:sz w:val="20"/>
                <w:szCs w:val="20"/>
              </w:rPr>
              <w:t>spp.</w:t>
            </w:r>
            <w:r w:rsidRPr="004D1E6F">
              <w:rPr>
                <w:rFonts w:ascii="Times New Roman" w:eastAsia="Calibri" w:hAnsi="Times New Roman" w:cs="Times New Roman"/>
                <w:iCs/>
                <w:sz w:val="20"/>
                <w:szCs w:val="20"/>
              </w:rPr>
              <w:t xml:space="preserve"> have previously been found outside of captivity in South Africa; </w:t>
            </w:r>
            <w:r w:rsidRPr="004D1E6F">
              <w:rPr>
                <w:rFonts w:ascii="Times New Roman" w:eastAsia="Times New Roman" w:hAnsi="Times New Roman" w:cs="Times New Roman"/>
                <w:color w:val="000000"/>
                <w:sz w:val="20"/>
                <w:szCs w:val="20"/>
                <w:lang w:eastAsia="en-ZA"/>
              </w:rPr>
              <w:t xml:space="preserve">however, there are </w:t>
            </w:r>
            <w:r w:rsidRPr="004D1E6F">
              <w:rPr>
                <w:rFonts w:ascii="Times New Roman" w:eastAsia="Arial" w:hAnsi="Times New Roman" w:cs="Times New Roman"/>
                <w:sz w:val="20"/>
                <w:szCs w:val="20"/>
              </w:rPr>
              <w:t xml:space="preserve">currently </w:t>
            </w:r>
            <w:r w:rsidRPr="004D1E6F">
              <w:rPr>
                <w:rFonts w:ascii="Times New Roman" w:eastAsia="Times New Roman" w:hAnsi="Times New Roman" w:cs="Times New Roman"/>
                <w:color w:val="000000"/>
                <w:sz w:val="20"/>
                <w:szCs w:val="20"/>
                <w:lang w:eastAsia="en-ZA"/>
              </w:rPr>
              <w:t>no known naturalised populations (</w:t>
            </w:r>
            <w:r w:rsidR="008A0BC6">
              <w:rPr>
                <w:rFonts w:ascii="Times New Roman" w:eastAsia="Times New Roman" w:hAnsi="Times New Roman" w:cs="Times New Roman"/>
                <w:color w:val="000000"/>
                <w:sz w:val="20"/>
                <w:szCs w:val="20"/>
                <w:lang w:eastAsia="en-ZA"/>
              </w:rPr>
              <w:t>De Moor</w:t>
            </w:r>
            <w:r w:rsidRPr="004D1E6F">
              <w:rPr>
                <w:rFonts w:ascii="Times New Roman" w:eastAsia="Times New Roman" w:hAnsi="Times New Roman" w:cs="Times New Roman"/>
                <w:color w:val="000000"/>
                <w:sz w:val="20"/>
                <w:szCs w:val="20"/>
                <w:lang w:eastAsia="en-ZA"/>
              </w:rPr>
              <w:t xml:space="preserve"> 2002; Nunes et al. 2017; Zengeya &amp; Wilson 2020). </w:t>
            </w:r>
          </w:p>
        </w:tc>
      </w:tr>
      <w:tr w:rsidR="002D7080" w:rsidRPr="004D1E6F" w14:paraId="61065AB8"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0FB4A5E" w14:textId="77777777" w:rsidR="002D7080" w:rsidRPr="004D1E6F" w:rsidRDefault="002D7080" w:rsidP="007F105A">
            <w:pPr>
              <w:spacing w:after="0"/>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087C4136" w14:textId="6E543B62" w:rsidR="00217643" w:rsidRPr="00217643" w:rsidRDefault="008A0BC6" w:rsidP="007F105A">
            <w:pPr>
              <w:spacing w:after="0"/>
              <w:ind w:left="720" w:hanging="720"/>
              <w:jc w:val="both"/>
              <w:rPr>
                <w:rFonts w:ascii="Times New Roman" w:hAnsi="Times New Roman" w:cs="Times New Roman"/>
                <w:sz w:val="20"/>
                <w:szCs w:val="20"/>
              </w:rPr>
            </w:pPr>
            <w:r>
              <w:rPr>
                <w:rFonts w:ascii="Times New Roman" w:hAnsi="Times New Roman" w:cs="Times New Roman"/>
                <w:sz w:val="20"/>
                <w:szCs w:val="20"/>
              </w:rPr>
              <w:t>De Moor</w:t>
            </w:r>
            <w:r w:rsidR="00217643" w:rsidRPr="00217643">
              <w:rPr>
                <w:rFonts w:ascii="Times New Roman" w:hAnsi="Times New Roman" w:cs="Times New Roman"/>
                <w:sz w:val="20"/>
                <w:szCs w:val="20"/>
              </w:rPr>
              <w:t xml:space="preserve">, I., 2002, ‘Potential impacts of alien freshwater crayfish in South Africa’, </w:t>
            </w:r>
            <w:r w:rsidR="00217643" w:rsidRPr="00217643">
              <w:rPr>
                <w:rFonts w:ascii="Times New Roman" w:hAnsi="Times New Roman" w:cs="Times New Roman"/>
                <w:i/>
                <w:iCs/>
                <w:sz w:val="20"/>
                <w:szCs w:val="20"/>
              </w:rPr>
              <w:t>African Journal of Aquatic Science</w:t>
            </w:r>
            <w:r w:rsidR="00217643" w:rsidRPr="00217643">
              <w:rPr>
                <w:rFonts w:ascii="Times New Roman" w:hAnsi="Times New Roman" w:cs="Times New Roman"/>
                <w:sz w:val="20"/>
                <w:szCs w:val="20"/>
              </w:rPr>
              <w:t xml:space="preserve"> </w:t>
            </w:r>
            <w:r w:rsidR="00217643" w:rsidRPr="00217643">
              <w:rPr>
                <w:rFonts w:ascii="Times New Roman" w:hAnsi="Times New Roman" w:cs="Times New Roman"/>
                <w:bCs/>
                <w:sz w:val="20"/>
                <w:szCs w:val="20"/>
              </w:rPr>
              <w:t>27</w:t>
            </w:r>
            <w:r w:rsidR="00217643" w:rsidRPr="00217643">
              <w:rPr>
                <w:rFonts w:ascii="Times New Roman" w:hAnsi="Times New Roman" w:cs="Times New Roman"/>
                <w:sz w:val="20"/>
                <w:szCs w:val="20"/>
              </w:rPr>
              <w:t>, 125-139, https://doi.org/10.2989/16085914.2002.962658.</w:t>
            </w:r>
          </w:p>
          <w:p w14:paraId="451F802D" w14:textId="1FD043FC" w:rsidR="002D7080" w:rsidRPr="004D1E6F" w:rsidRDefault="00217643" w:rsidP="007F105A">
            <w:pPr>
              <w:spacing w:after="0"/>
              <w:ind w:left="720" w:hanging="720"/>
              <w:jc w:val="both"/>
              <w:rPr>
                <w:rFonts w:ascii="Times New Roman" w:hAnsi="Times New Roman" w:cs="Times New Roman"/>
                <w:sz w:val="20"/>
                <w:szCs w:val="20"/>
              </w:rPr>
            </w:pPr>
            <w:r w:rsidRPr="00217643">
              <w:rPr>
                <w:rFonts w:ascii="Times New Roman" w:hAnsi="Times New Roman" w:cs="Times New Roman"/>
                <w:sz w:val="20"/>
                <w:szCs w:val="20"/>
              </w:rPr>
              <w:t xml:space="preserve">Nunes, A.L., Zengeya, T.A., Measey, G.J. &amp; Weyl, O.L.F., 2017, ‘Freshwater crayfish invasions in South Africa: past, present and potential future’, </w:t>
            </w:r>
            <w:r w:rsidRPr="00217643">
              <w:rPr>
                <w:rFonts w:ascii="Times New Roman" w:hAnsi="Times New Roman" w:cs="Times New Roman"/>
                <w:i/>
                <w:iCs/>
                <w:sz w:val="20"/>
                <w:szCs w:val="20"/>
              </w:rPr>
              <w:t>African Journal of Aquatic Science</w:t>
            </w:r>
            <w:r w:rsidRPr="00217643">
              <w:rPr>
                <w:rFonts w:ascii="Times New Roman" w:hAnsi="Times New Roman" w:cs="Times New Roman"/>
                <w:sz w:val="20"/>
                <w:szCs w:val="20"/>
              </w:rPr>
              <w:t xml:space="preserve"> </w:t>
            </w:r>
            <w:r w:rsidRPr="00217643">
              <w:rPr>
                <w:rFonts w:ascii="Times New Roman" w:hAnsi="Times New Roman" w:cs="Times New Roman"/>
                <w:bCs/>
                <w:sz w:val="20"/>
                <w:szCs w:val="20"/>
              </w:rPr>
              <w:t>42</w:t>
            </w:r>
            <w:r w:rsidRPr="00217643">
              <w:rPr>
                <w:rFonts w:ascii="Times New Roman" w:hAnsi="Times New Roman" w:cs="Times New Roman"/>
                <w:sz w:val="20"/>
                <w:szCs w:val="20"/>
              </w:rPr>
              <w:t xml:space="preserve">, 309-323, </w:t>
            </w:r>
            <w:hyperlink r:id="rId69" w:history="1">
              <w:r w:rsidRPr="00217643">
                <w:rPr>
                  <w:rStyle w:val="Hyperlink"/>
                  <w:rFonts w:ascii="Times New Roman" w:hAnsi="Times New Roman" w:cs="Times New Roman"/>
                  <w:sz w:val="20"/>
                  <w:szCs w:val="20"/>
                </w:rPr>
                <w:t>https://doi.org/10.2989/16085914.2017.1405788</w:t>
              </w:r>
            </w:hyperlink>
            <w:r w:rsidR="002D7080" w:rsidRPr="004D1E6F">
              <w:rPr>
                <w:rFonts w:ascii="Times New Roman" w:hAnsi="Times New Roman" w:cs="Times New Roman"/>
                <w:sz w:val="20"/>
                <w:szCs w:val="20"/>
              </w:rPr>
              <w:t>.</w:t>
            </w:r>
          </w:p>
          <w:p w14:paraId="64851869" w14:textId="77777777" w:rsidR="002D7080" w:rsidRPr="004D1E6F" w:rsidRDefault="002D7080" w:rsidP="007F105A">
            <w:pPr>
              <w:spacing w:after="0"/>
              <w:ind w:left="720" w:hanging="720"/>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Zengeya, T.A. &amp; Wilson, J.R., 2020, ‘The status of biological invasions and their management in South Africa in 2019’, South African National Biodiversity Institute, Kirstenbosch and DSI-NRF Centre of Excellence for Invasion Biology, Stellenbosch.</w:t>
            </w:r>
          </w:p>
        </w:tc>
      </w:tr>
      <w:tr w:rsidR="002D7080" w:rsidRPr="004D1E6F" w14:paraId="01212526"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BD3383C" w14:textId="77777777" w:rsidR="002D7080" w:rsidRPr="004D1E6F" w:rsidRDefault="002D7080" w:rsidP="002E2C37">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BAC14 Primary (introduction) pathways</w:t>
            </w:r>
          </w:p>
        </w:tc>
      </w:tr>
      <w:tr w:rsidR="002D7080" w:rsidRPr="004D1E6F" w14:paraId="563E8C11" w14:textId="77777777" w:rsidTr="002E2C37">
        <w:trPr>
          <w:cantSplit/>
          <w:trHeight w:val="61"/>
        </w:trPr>
        <w:tc>
          <w:tcPr>
            <w:tcW w:w="22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F9AE3FD"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Release</w:t>
            </w:r>
          </w:p>
        </w:tc>
        <w:tc>
          <w:tcPr>
            <w:tcW w:w="3874" w:type="dxa"/>
            <w:gridSpan w:val="2"/>
            <w:tcBorders>
              <w:top w:val="single" w:sz="4" w:space="0" w:color="auto"/>
              <w:left w:val="single" w:sz="4" w:space="0" w:color="auto"/>
              <w:bottom w:val="single" w:sz="4" w:space="0" w:color="auto"/>
              <w:right w:val="single" w:sz="4" w:space="0" w:color="auto"/>
            </w:tcBorders>
          </w:tcPr>
          <w:p w14:paraId="2429622A" w14:textId="77777777" w:rsidR="002D7080" w:rsidRPr="004D1E6F" w:rsidRDefault="002D7080" w:rsidP="002E2C37">
            <w:pPr>
              <w:tabs>
                <w:tab w:val="left" w:pos="1627"/>
              </w:tabs>
              <w:spacing w:after="0" w:line="240" w:lineRule="auto"/>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None</w:t>
            </w:r>
          </w:p>
        </w:tc>
        <w:tc>
          <w:tcPr>
            <w:tcW w:w="2666" w:type="dxa"/>
            <w:tcBorders>
              <w:top w:val="single" w:sz="4" w:space="0" w:color="auto"/>
              <w:left w:val="single" w:sz="4" w:space="0" w:color="auto"/>
              <w:bottom w:val="single" w:sz="4" w:space="0" w:color="auto"/>
              <w:right w:val="single" w:sz="4" w:space="0" w:color="auto"/>
            </w:tcBorders>
          </w:tcPr>
          <w:p w14:paraId="62A7B102"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Confidence:</w:t>
            </w:r>
          </w:p>
        </w:tc>
      </w:tr>
      <w:tr w:rsidR="002D7080" w:rsidRPr="004D1E6F" w14:paraId="73E318BC" w14:textId="77777777" w:rsidTr="002E2C37">
        <w:trPr>
          <w:cantSplit/>
          <w:trHeight w:val="58"/>
        </w:trPr>
        <w:tc>
          <w:tcPr>
            <w:tcW w:w="22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890490F"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Escape</w:t>
            </w:r>
          </w:p>
        </w:tc>
        <w:tc>
          <w:tcPr>
            <w:tcW w:w="3874" w:type="dxa"/>
            <w:gridSpan w:val="2"/>
            <w:tcBorders>
              <w:top w:val="single" w:sz="4" w:space="0" w:color="auto"/>
              <w:left w:val="single" w:sz="4" w:space="0" w:color="auto"/>
              <w:bottom w:val="single" w:sz="4" w:space="0" w:color="auto"/>
              <w:right w:val="single" w:sz="4" w:space="0" w:color="auto"/>
            </w:tcBorders>
          </w:tcPr>
          <w:p w14:paraId="124F98F9"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aquaculture</w:t>
            </w:r>
          </w:p>
        </w:tc>
        <w:tc>
          <w:tcPr>
            <w:tcW w:w="2666" w:type="dxa"/>
            <w:tcBorders>
              <w:top w:val="single" w:sz="4" w:space="0" w:color="auto"/>
              <w:left w:val="single" w:sz="4" w:space="0" w:color="auto"/>
              <w:bottom w:val="single" w:sz="4" w:space="0" w:color="auto"/>
              <w:right w:val="single" w:sz="4" w:space="0" w:color="auto"/>
            </w:tcBorders>
          </w:tcPr>
          <w:p w14:paraId="12AC37BD"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Confidence: High</w:t>
            </w:r>
          </w:p>
        </w:tc>
      </w:tr>
      <w:tr w:rsidR="002D7080" w:rsidRPr="004D1E6F" w14:paraId="262CBC66" w14:textId="77777777" w:rsidTr="002E2C37">
        <w:trPr>
          <w:cantSplit/>
          <w:trHeight w:val="58"/>
        </w:trPr>
        <w:tc>
          <w:tcPr>
            <w:tcW w:w="22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A38E4A6"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Contaminant</w:t>
            </w:r>
          </w:p>
        </w:tc>
        <w:tc>
          <w:tcPr>
            <w:tcW w:w="3874" w:type="dxa"/>
            <w:gridSpan w:val="2"/>
            <w:tcBorders>
              <w:top w:val="single" w:sz="4" w:space="0" w:color="auto"/>
              <w:left w:val="single" w:sz="4" w:space="0" w:color="auto"/>
              <w:bottom w:val="single" w:sz="4" w:space="0" w:color="auto"/>
              <w:right w:val="single" w:sz="4" w:space="0" w:color="auto"/>
            </w:tcBorders>
          </w:tcPr>
          <w:p w14:paraId="23A893FD"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None</w:t>
            </w:r>
          </w:p>
        </w:tc>
        <w:tc>
          <w:tcPr>
            <w:tcW w:w="2666" w:type="dxa"/>
            <w:tcBorders>
              <w:top w:val="single" w:sz="4" w:space="0" w:color="auto"/>
              <w:left w:val="single" w:sz="4" w:space="0" w:color="auto"/>
              <w:bottom w:val="single" w:sz="4" w:space="0" w:color="auto"/>
              <w:right w:val="single" w:sz="4" w:space="0" w:color="auto"/>
            </w:tcBorders>
          </w:tcPr>
          <w:p w14:paraId="15422907"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Confidence:</w:t>
            </w:r>
          </w:p>
        </w:tc>
      </w:tr>
      <w:tr w:rsidR="002D7080" w:rsidRPr="004D1E6F" w14:paraId="705285E7" w14:textId="77777777" w:rsidTr="002E2C37">
        <w:trPr>
          <w:cantSplit/>
          <w:trHeight w:val="58"/>
        </w:trPr>
        <w:tc>
          <w:tcPr>
            <w:tcW w:w="22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D445A24"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Stowaway</w:t>
            </w:r>
          </w:p>
        </w:tc>
        <w:tc>
          <w:tcPr>
            <w:tcW w:w="3874" w:type="dxa"/>
            <w:gridSpan w:val="2"/>
            <w:tcBorders>
              <w:top w:val="single" w:sz="4" w:space="0" w:color="auto"/>
              <w:left w:val="single" w:sz="4" w:space="0" w:color="auto"/>
              <w:bottom w:val="single" w:sz="4" w:space="0" w:color="auto"/>
              <w:right w:val="single" w:sz="4" w:space="0" w:color="auto"/>
            </w:tcBorders>
          </w:tcPr>
          <w:p w14:paraId="6242DCAF"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None</w:t>
            </w:r>
          </w:p>
        </w:tc>
        <w:tc>
          <w:tcPr>
            <w:tcW w:w="2666" w:type="dxa"/>
            <w:tcBorders>
              <w:top w:val="single" w:sz="4" w:space="0" w:color="auto"/>
              <w:left w:val="single" w:sz="4" w:space="0" w:color="auto"/>
              <w:bottom w:val="single" w:sz="4" w:space="0" w:color="auto"/>
              <w:right w:val="single" w:sz="4" w:space="0" w:color="auto"/>
            </w:tcBorders>
          </w:tcPr>
          <w:p w14:paraId="3A191BF6"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Confidence:</w:t>
            </w:r>
          </w:p>
        </w:tc>
      </w:tr>
      <w:tr w:rsidR="002D7080" w:rsidRPr="004D1E6F" w14:paraId="22DCA946" w14:textId="77777777" w:rsidTr="002E2C37">
        <w:trPr>
          <w:cantSplit/>
          <w:trHeight w:val="58"/>
        </w:trPr>
        <w:tc>
          <w:tcPr>
            <w:tcW w:w="22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8E7F172"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Corridor</w:t>
            </w:r>
          </w:p>
        </w:tc>
        <w:tc>
          <w:tcPr>
            <w:tcW w:w="3874" w:type="dxa"/>
            <w:gridSpan w:val="2"/>
            <w:tcBorders>
              <w:top w:val="single" w:sz="4" w:space="0" w:color="auto"/>
              <w:left w:val="single" w:sz="4" w:space="0" w:color="auto"/>
              <w:bottom w:val="single" w:sz="4" w:space="0" w:color="auto"/>
              <w:right w:val="single" w:sz="4" w:space="0" w:color="auto"/>
            </w:tcBorders>
          </w:tcPr>
          <w:p w14:paraId="65266613"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None</w:t>
            </w:r>
          </w:p>
        </w:tc>
        <w:tc>
          <w:tcPr>
            <w:tcW w:w="2666" w:type="dxa"/>
            <w:tcBorders>
              <w:top w:val="single" w:sz="4" w:space="0" w:color="auto"/>
              <w:left w:val="single" w:sz="4" w:space="0" w:color="auto"/>
              <w:bottom w:val="single" w:sz="4" w:space="0" w:color="auto"/>
              <w:right w:val="single" w:sz="4" w:space="0" w:color="auto"/>
            </w:tcBorders>
          </w:tcPr>
          <w:p w14:paraId="0D26C192"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Confidence:</w:t>
            </w:r>
          </w:p>
        </w:tc>
      </w:tr>
      <w:tr w:rsidR="002D7080" w:rsidRPr="004D1E6F" w14:paraId="5B50CCDF" w14:textId="77777777" w:rsidTr="002E2C37">
        <w:trPr>
          <w:cantSplit/>
          <w:trHeight w:val="58"/>
        </w:trPr>
        <w:tc>
          <w:tcPr>
            <w:tcW w:w="225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656B4DB"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Unaided</w:t>
            </w:r>
          </w:p>
        </w:tc>
        <w:tc>
          <w:tcPr>
            <w:tcW w:w="3874" w:type="dxa"/>
            <w:gridSpan w:val="2"/>
            <w:tcBorders>
              <w:top w:val="single" w:sz="4" w:space="0" w:color="auto"/>
              <w:left w:val="single" w:sz="4" w:space="0" w:color="auto"/>
              <w:bottom w:val="single" w:sz="4" w:space="0" w:color="auto"/>
              <w:right w:val="single" w:sz="4" w:space="0" w:color="auto"/>
            </w:tcBorders>
          </w:tcPr>
          <w:p w14:paraId="4764E18B"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None</w:t>
            </w:r>
          </w:p>
        </w:tc>
        <w:tc>
          <w:tcPr>
            <w:tcW w:w="2666" w:type="dxa"/>
            <w:tcBorders>
              <w:top w:val="single" w:sz="4" w:space="0" w:color="auto"/>
              <w:left w:val="single" w:sz="4" w:space="0" w:color="auto"/>
              <w:bottom w:val="single" w:sz="4" w:space="0" w:color="auto"/>
              <w:right w:val="single" w:sz="4" w:space="0" w:color="auto"/>
            </w:tcBorders>
          </w:tcPr>
          <w:p w14:paraId="042D5CE1"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color w:val="000000"/>
                <w:sz w:val="20"/>
                <w:szCs w:val="20"/>
              </w:rPr>
              <w:t>Confidence:</w:t>
            </w:r>
          </w:p>
        </w:tc>
      </w:tr>
      <w:tr w:rsidR="002D7080" w:rsidRPr="004D1E6F" w14:paraId="6A450D25"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45D07C80"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Comments: </w:t>
            </w:r>
            <w:r w:rsidRPr="004D1E6F">
              <w:rPr>
                <w:rFonts w:ascii="Times New Roman" w:eastAsia="Calibri" w:hAnsi="Times New Roman" w:cs="Times New Roman"/>
                <w:sz w:val="20"/>
                <w:szCs w:val="20"/>
              </w:rPr>
              <w:t xml:space="preserve">A permit was issued to import marron in 2017 (most likely </w:t>
            </w:r>
            <w:r w:rsidRPr="004D1E6F">
              <w:rPr>
                <w:rFonts w:ascii="Times New Roman" w:eastAsia="Calibri" w:hAnsi="Times New Roman" w:cs="Times New Roman"/>
                <w:i/>
                <w:iCs/>
                <w:sz w:val="20"/>
                <w:szCs w:val="20"/>
              </w:rPr>
              <w:t xml:space="preserve">C. cainii </w:t>
            </w:r>
            <w:r w:rsidRPr="004D1E6F">
              <w:rPr>
                <w:rFonts w:ascii="Times New Roman" w:eastAsia="Calibri" w:hAnsi="Times New Roman" w:cs="Times New Roman"/>
                <w:sz w:val="20"/>
                <w:szCs w:val="20"/>
              </w:rPr>
              <w:t xml:space="preserve">though listed as </w:t>
            </w:r>
            <w:r w:rsidRPr="004D1E6F">
              <w:rPr>
                <w:rFonts w:ascii="Times New Roman" w:eastAsia="Calibri" w:hAnsi="Times New Roman" w:cs="Times New Roman"/>
                <w:i/>
                <w:iCs/>
                <w:sz w:val="20"/>
                <w:szCs w:val="20"/>
              </w:rPr>
              <w:t>C. tenuimanus</w:t>
            </w:r>
            <w:r w:rsidRPr="004D1E6F">
              <w:rPr>
                <w:rFonts w:ascii="Times New Roman" w:eastAsia="Calibri" w:hAnsi="Times New Roman" w:cs="Times New Roman"/>
                <w:iCs/>
                <w:sz w:val="20"/>
                <w:szCs w:val="20"/>
              </w:rPr>
              <w:t>)</w:t>
            </w:r>
            <w:r w:rsidRPr="004D1E6F">
              <w:rPr>
                <w:rFonts w:ascii="Times New Roman" w:eastAsia="Calibri" w:hAnsi="Times New Roman" w:cs="Times New Roman"/>
                <w:i/>
                <w:iCs/>
                <w:sz w:val="20"/>
                <w:szCs w:val="20"/>
              </w:rPr>
              <w:t xml:space="preserve"> </w:t>
            </w:r>
            <w:r w:rsidRPr="004D1E6F">
              <w:rPr>
                <w:rFonts w:ascii="Times New Roman" w:eastAsia="Calibri" w:hAnsi="Times New Roman" w:cs="Times New Roman"/>
                <w:sz w:val="20"/>
                <w:szCs w:val="20"/>
              </w:rPr>
              <w:t>presumably for aquaculture in South Africa (Zengeya and Wilson 2020).</w:t>
            </w:r>
            <w:r w:rsidRPr="004D1E6F">
              <w:rPr>
                <w:rFonts w:ascii="Times New Roman" w:eastAsia="Arial" w:hAnsi="Times New Roman" w:cs="Times New Roman"/>
                <w:i/>
                <w:sz w:val="20"/>
                <w:szCs w:val="20"/>
              </w:rPr>
              <w:t xml:space="preserve"> </w:t>
            </w:r>
            <w:r w:rsidRPr="004D1E6F">
              <w:rPr>
                <w:rFonts w:ascii="Times New Roman" w:eastAsia="Calibri" w:hAnsi="Times New Roman" w:cs="Times New Roman"/>
                <w:i/>
                <w:sz w:val="20"/>
                <w:szCs w:val="20"/>
              </w:rPr>
              <w:t>Cherax cainii</w:t>
            </w:r>
            <w:r w:rsidRPr="004D1E6F">
              <w:rPr>
                <w:rFonts w:ascii="Times New Roman" w:eastAsia="Calibri" w:hAnsi="Times New Roman" w:cs="Times New Roman"/>
                <w:sz w:val="20"/>
                <w:szCs w:val="20"/>
              </w:rPr>
              <w:t xml:space="preserve"> appears not to be popular in the pet trade industry </w:t>
            </w:r>
            <w:r w:rsidRPr="004D1E6F">
              <w:rPr>
                <w:rFonts w:ascii="Times New Roman" w:eastAsia="Calibri" w:hAnsi="Times New Roman" w:cs="Times New Roman"/>
                <w:sz w:val="20"/>
                <w:szCs w:val="20"/>
              </w:rPr>
              <w:fldChar w:fldCharType="begin" w:fldLock="1"/>
            </w:r>
            <w:r w:rsidRPr="004D1E6F">
              <w:rPr>
                <w:rFonts w:ascii="Times New Roman" w:eastAsia="Calibri" w:hAnsi="Times New Roman" w:cs="Times New Roman"/>
                <w:sz w:val="20"/>
                <w:szCs w:val="20"/>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4D1E6F">
              <w:rPr>
                <w:rFonts w:ascii="Times New Roman" w:eastAsia="Calibri" w:hAnsi="Times New Roman" w:cs="Times New Roman"/>
                <w:sz w:val="20"/>
                <w:szCs w:val="20"/>
              </w:rPr>
              <w:fldChar w:fldCharType="separate"/>
            </w:r>
            <w:r w:rsidRPr="004D1E6F">
              <w:rPr>
                <w:rFonts w:ascii="Times New Roman" w:eastAsia="Calibri" w:hAnsi="Times New Roman" w:cs="Times New Roman"/>
                <w:sz w:val="20"/>
                <w:szCs w:val="20"/>
              </w:rPr>
              <w:t>(Faulkes 2015)</w:t>
            </w:r>
            <w:r w:rsidRPr="004D1E6F">
              <w:rPr>
                <w:rFonts w:ascii="Times New Roman" w:eastAsia="Calibri" w:hAnsi="Times New Roman" w:cs="Times New Roman"/>
                <w:sz w:val="20"/>
                <w:szCs w:val="20"/>
              </w:rPr>
              <w:fldChar w:fldCharType="end"/>
            </w:r>
            <w:r w:rsidRPr="004D1E6F">
              <w:rPr>
                <w:rFonts w:ascii="Times New Roman" w:eastAsia="Calibri" w:hAnsi="Times New Roman" w:cs="Times New Roman"/>
                <w:sz w:val="20"/>
                <w:szCs w:val="20"/>
              </w:rPr>
              <w:t>.</w:t>
            </w:r>
          </w:p>
        </w:tc>
      </w:tr>
      <w:tr w:rsidR="002D7080" w:rsidRPr="004D1E6F" w14:paraId="6DCFF61D"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76162BB1" w14:textId="77777777" w:rsidR="002D7080" w:rsidRPr="004D1E6F" w:rsidRDefault="002D7080" w:rsidP="007F105A">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4B970AAE" w14:textId="348D86D5" w:rsidR="002D7080" w:rsidRPr="004D1E6F" w:rsidRDefault="008A0BC6" w:rsidP="007F105A">
            <w:pPr>
              <w:spacing w:after="0"/>
              <w:ind w:left="720" w:hanging="720"/>
              <w:jc w:val="both"/>
              <w:rPr>
                <w:rFonts w:ascii="Times New Roman" w:hAnsi="Times New Roman" w:cs="Times New Roman"/>
                <w:sz w:val="20"/>
                <w:szCs w:val="20"/>
              </w:rPr>
            </w:pPr>
            <w:r>
              <w:rPr>
                <w:rFonts w:ascii="Times New Roman" w:hAnsi="Times New Roman" w:cs="Times New Roman"/>
                <w:sz w:val="20"/>
                <w:szCs w:val="20"/>
              </w:rPr>
              <w:t>De Moor</w:t>
            </w:r>
            <w:r w:rsidR="002D7080" w:rsidRPr="004D1E6F">
              <w:rPr>
                <w:rFonts w:ascii="Times New Roman" w:hAnsi="Times New Roman" w:cs="Times New Roman"/>
                <w:sz w:val="20"/>
                <w:szCs w:val="20"/>
              </w:rPr>
              <w:t xml:space="preserve">, I., 2002, ‘Potential impacts of alien freshwater crayfish in South Africa’, </w:t>
            </w:r>
            <w:r w:rsidR="002D7080" w:rsidRPr="004D1E6F">
              <w:rPr>
                <w:rFonts w:ascii="Times New Roman" w:hAnsi="Times New Roman" w:cs="Times New Roman"/>
                <w:i/>
                <w:iCs/>
                <w:sz w:val="20"/>
                <w:szCs w:val="20"/>
              </w:rPr>
              <w:t>African Journal of Aquatic Science</w:t>
            </w:r>
            <w:r w:rsidR="002D7080" w:rsidRPr="004D1E6F">
              <w:rPr>
                <w:rFonts w:ascii="Times New Roman" w:hAnsi="Times New Roman" w:cs="Times New Roman"/>
                <w:sz w:val="20"/>
                <w:szCs w:val="20"/>
              </w:rPr>
              <w:t xml:space="preserve"> </w:t>
            </w:r>
            <w:r w:rsidR="002D7080" w:rsidRPr="004D1E6F">
              <w:rPr>
                <w:rFonts w:ascii="Times New Roman" w:hAnsi="Times New Roman" w:cs="Times New Roman"/>
                <w:bCs/>
                <w:sz w:val="20"/>
                <w:szCs w:val="20"/>
              </w:rPr>
              <w:t>27</w:t>
            </w:r>
            <w:r w:rsidR="002D7080" w:rsidRPr="004D1E6F">
              <w:rPr>
                <w:rFonts w:ascii="Times New Roman" w:hAnsi="Times New Roman" w:cs="Times New Roman"/>
                <w:sz w:val="20"/>
                <w:szCs w:val="20"/>
              </w:rPr>
              <w:t>, 125-139</w:t>
            </w:r>
            <w:r w:rsidR="00217643">
              <w:rPr>
                <w:rFonts w:ascii="Times New Roman" w:hAnsi="Times New Roman" w:cs="Times New Roman"/>
                <w:sz w:val="20"/>
                <w:szCs w:val="20"/>
              </w:rPr>
              <w:t>,</w:t>
            </w:r>
            <w:r w:rsidR="00217643" w:rsidRPr="00217643">
              <w:rPr>
                <w:rFonts w:ascii="Times New Roman" w:hAnsi="Times New Roman" w:cs="Times New Roman"/>
                <w:sz w:val="20"/>
                <w:szCs w:val="20"/>
              </w:rPr>
              <w:t xml:space="preserve"> https://doi.org/10.2989/16085914.2002.962658.</w:t>
            </w:r>
          </w:p>
          <w:p w14:paraId="7C8185E8" w14:textId="5A1F8632" w:rsidR="002D7080" w:rsidRPr="004D1E6F" w:rsidRDefault="002D7080" w:rsidP="007F105A">
            <w:pPr>
              <w:spacing w:after="0"/>
              <w:ind w:left="720" w:hanging="720"/>
              <w:jc w:val="both"/>
              <w:rPr>
                <w:rFonts w:ascii="Times New Roman" w:hAnsi="Times New Roman" w:cs="Times New Roman"/>
                <w:sz w:val="20"/>
                <w:szCs w:val="20"/>
              </w:rPr>
            </w:pPr>
            <w:r w:rsidRPr="004D1E6F">
              <w:rPr>
                <w:rFonts w:ascii="Times New Roman" w:hAnsi="Times New Roman" w:cs="Times New Roman"/>
                <w:bCs/>
                <w:sz w:val="20"/>
                <w:szCs w:val="20"/>
              </w:rPr>
              <w:t xml:space="preserve">Faulkes, Z., 2015, ‘The global trade in crayfish as pets’, </w:t>
            </w:r>
            <w:r w:rsidRPr="004D1E6F">
              <w:rPr>
                <w:rFonts w:ascii="Times New Roman" w:hAnsi="Times New Roman" w:cs="Times New Roman"/>
                <w:bCs/>
                <w:i/>
                <w:sz w:val="20"/>
                <w:szCs w:val="20"/>
              </w:rPr>
              <w:t>Crustacean Research</w:t>
            </w:r>
            <w:r w:rsidRPr="004D1E6F">
              <w:rPr>
                <w:rFonts w:ascii="Times New Roman" w:hAnsi="Times New Roman" w:cs="Times New Roman"/>
                <w:bCs/>
                <w:sz w:val="20"/>
                <w:szCs w:val="20"/>
              </w:rPr>
              <w:t xml:space="preserve"> 44, 75–92.</w:t>
            </w:r>
            <w:r w:rsidR="00217643">
              <w:t xml:space="preserve"> </w:t>
            </w:r>
            <w:r w:rsidR="00217643" w:rsidRPr="00217643">
              <w:rPr>
                <w:rFonts w:ascii="Times New Roman" w:hAnsi="Times New Roman" w:cs="Times New Roman"/>
                <w:bCs/>
                <w:sz w:val="20"/>
                <w:szCs w:val="20"/>
              </w:rPr>
              <w:t>https://doi.org/10.18353/crustacea.44.0_75</w:t>
            </w:r>
          </w:p>
          <w:p w14:paraId="5D0372A2" w14:textId="0865D4F5" w:rsidR="00217643" w:rsidRDefault="002D7080" w:rsidP="007F105A">
            <w:pPr>
              <w:spacing w:after="0"/>
              <w:ind w:left="720" w:hanging="720"/>
              <w:jc w:val="both"/>
              <w:rPr>
                <w:rFonts w:ascii="Times New Roman" w:hAnsi="Times New Roman" w:cs="Times New Roman"/>
                <w:sz w:val="20"/>
                <w:szCs w:val="20"/>
              </w:rPr>
            </w:pPr>
            <w:r w:rsidRPr="004D1E6F">
              <w:rPr>
                <w:rFonts w:ascii="Times New Roman" w:hAnsi="Times New Roman" w:cs="Times New Roman"/>
                <w:sz w:val="20"/>
                <w:szCs w:val="20"/>
              </w:rPr>
              <w:t xml:space="preserve">Nunes, A.L., Zengeya, T.A., Measey, G.J. &amp; Weyl, O.L.F., 2017, ‘Freshwater crayfish invasions in South Africa: past, present and potential future’, </w:t>
            </w:r>
            <w:r w:rsidRPr="004D1E6F">
              <w:rPr>
                <w:rFonts w:ascii="Times New Roman" w:hAnsi="Times New Roman" w:cs="Times New Roman"/>
                <w:i/>
                <w:iCs/>
                <w:sz w:val="20"/>
                <w:szCs w:val="20"/>
              </w:rPr>
              <w:t>African Journal of Aquatic Science</w:t>
            </w:r>
            <w:r w:rsidRPr="004D1E6F">
              <w:rPr>
                <w:rFonts w:ascii="Times New Roman" w:hAnsi="Times New Roman" w:cs="Times New Roman"/>
                <w:sz w:val="20"/>
                <w:szCs w:val="20"/>
              </w:rPr>
              <w:t xml:space="preserve"> </w:t>
            </w:r>
            <w:r w:rsidRPr="004D1E6F">
              <w:rPr>
                <w:rFonts w:ascii="Times New Roman" w:hAnsi="Times New Roman" w:cs="Times New Roman"/>
                <w:bCs/>
                <w:sz w:val="20"/>
                <w:szCs w:val="20"/>
              </w:rPr>
              <w:t>42</w:t>
            </w:r>
            <w:r w:rsidRPr="004D1E6F">
              <w:rPr>
                <w:rFonts w:ascii="Times New Roman" w:hAnsi="Times New Roman" w:cs="Times New Roman"/>
                <w:sz w:val="20"/>
                <w:szCs w:val="20"/>
              </w:rPr>
              <w:t xml:space="preserve">, 309-323, </w:t>
            </w:r>
            <w:hyperlink r:id="rId70" w:history="1">
              <w:r w:rsidR="00217643" w:rsidRPr="00217643">
                <w:rPr>
                  <w:rStyle w:val="Hyperlink"/>
                  <w:rFonts w:ascii="Times New Roman" w:eastAsia="Times New Roman" w:hAnsi="Times New Roman" w:cs="Times New Roman"/>
                  <w:sz w:val="20"/>
                  <w:szCs w:val="20"/>
                  <w:lang w:eastAsia="en-ZA"/>
                </w:rPr>
                <w:t>https://doi.org/10.2989/16085914.2017.1405788</w:t>
              </w:r>
            </w:hyperlink>
          </w:p>
          <w:p w14:paraId="2C4F006C" w14:textId="42D769D2" w:rsidR="002D7080" w:rsidRPr="004D1E6F" w:rsidRDefault="002D7080" w:rsidP="007F105A">
            <w:pPr>
              <w:spacing w:after="0"/>
              <w:ind w:left="720" w:hanging="720"/>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Zengeya, T.A. &amp; Wilson, J.R., 2020, ‘The status of biological invasions and their management in South Africa in 2019’, South African National Biodiversity Institute, Kirstenbosch and DSI-NRF Centre of Excellence for Invasion Biology, Stellenbosch.</w:t>
            </w:r>
          </w:p>
        </w:tc>
      </w:tr>
    </w:tbl>
    <w:p w14:paraId="5E21B04B"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4D750D87"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2. Likelihood</w:t>
      </w:r>
    </w:p>
    <w:p w14:paraId="1E94DD8B"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41C48078" w14:textId="77777777" w:rsidTr="002E2C37">
        <w:tc>
          <w:tcPr>
            <w:tcW w:w="9016" w:type="dxa"/>
            <w:gridSpan w:val="2"/>
            <w:shd w:val="clear" w:color="auto" w:fill="F2F2F2" w:themeFill="background1" w:themeFillShade="F2"/>
          </w:tcPr>
          <w:p w14:paraId="5003EDBE"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LIK1 Likelihood of entry via unaided primary pathways</w:t>
            </w:r>
          </w:p>
        </w:tc>
      </w:tr>
      <w:tr w:rsidR="002D7080" w:rsidRPr="004D1E6F" w14:paraId="616926AD" w14:textId="77777777" w:rsidTr="002E2C37">
        <w:tc>
          <w:tcPr>
            <w:tcW w:w="5524" w:type="dxa"/>
          </w:tcPr>
          <w:p w14:paraId="2A814B6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 xml:space="preserve">Response: </w:t>
            </w:r>
            <w:r w:rsidRPr="004D1E6F">
              <w:rPr>
                <w:rFonts w:ascii="Times New Roman" w:eastAsia="Times New Roman" w:hAnsi="Times New Roman" w:cs="Times New Roman"/>
                <w:sz w:val="20"/>
                <w:szCs w:val="20"/>
                <w:lang w:eastAsia="en-ZA"/>
              </w:rPr>
              <w:t>Present in the country (p=1)</w:t>
            </w:r>
          </w:p>
        </w:tc>
        <w:tc>
          <w:tcPr>
            <w:tcW w:w="3492" w:type="dxa"/>
          </w:tcPr>
          <w:p w14:paraId="3D36265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 xml:space="preserve">Confidence: </w:t>
            </w:r>
            <w:r w:rsidRPr="004D1E6F">
              <w:rPr>
                <w:rFonts w:ascii="Times New Roman" w:eastAsia="Times New Roman" w:hAnsi="Times New Roman" w:cs="Times New Roman"/>
                <w:sz w:val="20"/>
                <w:szCs w:val="20"/>
                <w:lang w:eastAsia="en-ZA"/>
              </w:rPr>
              <w:t>Medium</w:t>
            </w:r>
          </w:p>
        </w:tc>
      </w:tr>
      <w:tr w:rsidR="002D7080" w:rsidRPr="004D1E6F" w14:paraId="3279FBE0" w14:textId="77777777" w:rsidTr="002E2C37">
        <w:trPr>
          <w:trHeight w:val="70"/>
        </w:trPr>
        <w:tc>
          <w:tcPr>
            <w:tcW w:w="9016" w:type="dxa"/>
            <w:gridSpan w:val="2"/>
          </w:tcPr>
          <w:p w14:paraId="19FDA39A" w14:textId="274D1DA3"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 xml:space="preserve">Rationale: </w:t>
            </w:r>
            <w:r w:rsidRPr="004D1E6F">
              <w:rPr>
                <w:rFonts w:ascii="Times New Roman" w:eastAsia="Times New Roman" w:hAnsi="Times New Roman" w:cs="Times New Roman"/>
                <w:i/>
                <w:color w:val="000000"/>
                <w:sz w:val="20"/>
                <w:szCs w:val="20"/>
                <w:lang w:eastAsia="en-ZA"/>
              </w:rPr>
              <w:t xml:space="preserve">Cherax </w:t>
            </w:r>
            <w:r w:rsidRPr="004D1E6F">
              <w:rPr>
                <w:rFonts w:ascii="Times New Roman" w:eastAsia="Arial" w:hAnsi="Times New Roman" w:cs="Times New Roman"/>
                <w:i/>
                <w:sz w:val="20"/>
                <w:szCs w:val="20"/>
              </w:rPr>
              <w:t>tenuimanus</w:t>
            </w:r>
            <w:r w:rsidRPr="004D1E6F">
              <w:rPr>
                <w:rFonts w:ascii="Times New Roman" w:eastAsia="Times New Roman" w:hAnsi="Times New Roman" w:cs="Times New Roman"/>
                <w:iCs/>
                <w:color w:val="000000"/>
                <w:sz w:val="20"/>
                <w:szCs w:val="20"/>
                <w:lang w:eastAsia="en-ZA"/>
              </w:rPr>
              <w:t xml:space="preserve"> is probably </w:t>
            </w:r>
            <w:r w:rsidRPr="004D1E6F">
              <w:rPr>
                <w:rFonts w:ascii="Times New Roman" w:hAnsi="Times New Roman" w:cs="Times New Roman"/>
                <w:sz w:val="20"/>
                <w:szCs w:val="20"/>
              </w:rPr>
              <w:t xml:space="preserve">currently present in the country </w:t>
            </w:r>
            <w:r w:rsidRPr="004D1E6F">
              <w:rPr>
                <w:rFonts w:ascii="Times New Roman" w:eastAsia="Times New Roman" w:hAnsi="Times New Roman" w:cs="Times New Roman"/>
                <w:color w:val="000000"/>
                <w:sz w:val="20"/>
                <w:szCs w:val="20"/>
                <w:lang w:eastAsia="en-ZA"/>
              </w:rPr>
              <w:t>(</w:t>
            </w:r>
            <w:r w:rsidR="008A0BC6">
              <w:rPr>
                <w:rFonts w:ascii="Times New Roman" w:eastAsia="Times New Roman" w:hAnsi="Times New Roman" w:cs="Times New Roman"/>
                <w:color w:val="000000"/>
                <w:sz w:val="20"/>
                <w:szCs w:val="20"/>
                <w:lang w:eastAsia="en-ZA"/>
              </w:rPr>
              <w:t>De Moor</w:t>
            </w:r>
            <w:r w:rsidRPr="004D1E6F">
              <w:rPr>
                <w:rFonts w:ascii="Times New Roman" w:eastAsia="Times New Roman" w:hAnsi="Times New Roman" w:cs="Times New Roman"/>
                <w:color w:val="000000"/>
                <w:sz w:val="20"/>
                <w:szCs w:val="20"/>
                <w:lang w:eastAsia="en-ZA"/>
              </w:rPr>
              <w:t xml:space="preserve"> 2002; Nunes et al. 2017), but this needs to be verified. In terms of the likelihood of future introductions, </w:t>
            </w:r>
            <w:r w:rsidRPr="004D1E6F">
              <w:rPr>
                <w:rFonts w:ascii="Times New Roman" w:eastAsia="Times New Roman" w:hAnsi="Times New Roman" w:cs="Times New Roman"/>
                <w:i/>
                <w:color w:val="000000"/>
                <w:sz w:val="20"/>
                <w:szCs w:val="20"/>
                <w:lang w:eastAsia="en-ZA"/>
              </w:rPr>
              <w:t xml:space="preserve">C. </w:t>
            </w:r>
            <w:r w:rsidRPr="004D1E6F">
              <w:rPr>
                <w:rFonts w:ascii="Times New Roman" w:eastAsia="Arial" w:hAnsi="Times New Roman" w:cs="Times New Roman"/>
                <w:i/>
                <w:sz w:val="20"/>
                <w:szCs w:val="20"/>
              </w:rPr>
              <w:t>tenuimanus</w:t>
            </w:r>
            <w:r w:rsidRPr="004D1E6F">
              <w:rPr>
                <w:rFonts w:ascii="Times New Roman" w:eastAsia="Times New Roman" w:hAnsi="Times New Roman" w:cs="Times New Roman"/>
                <w:color w:val="000000"/>
                <w:sz w:val="20"/>
                <w:szCs w:val="20"/>
                <w:lang w:eastAsia="en-ZA"/>
              </w:rPr>
              <w:t xml:space="preserve"> is not known to be present in neighbouring countries, but as an aquatic species capable of dispersal overland, if </w:t>
            </w:r>
            <w:r w:rsidRPr="004D1E6F">
              <w:rPr>
                <w:rFonts w:ascii="Times New Roman" w:eastAsia="Times New Roman" w:hAnsi="Times New Roman" w:cs="Times New Roman"/>
                <w:i/>
                <w:color w:val="000000"/>
                <w:sz w:val="20"/>
                <w:szCs w:val="20"/>
                <w:lang w:eastAsia="en-ZA"/>
              </w:rPr>
              <w:t xml:space="preserve">C. </w:t>
            </w:r>
            <w:r w:rsidRPr="004D1E6F">
              <w:rPr>
                <w:rFonts w:ascii="Times New Roman" w:eastAsia="Arial" w:hAnsi="Times New Roman" w:cs="Times New Roman"/>
                <w:i/>
                <w:sz w:val="20"/>
                <w:szCs w:val="20"/>
              </w:rPr>
              <w:t>tenuimanus</w:t>
            </w:r>
            <w:r w:rsidRPr="004D1E6F">
              <w:rPr>
                <w:rFonts w:ascii="Times New Roman" w:eastAsia="Times New Roman" w:hAnsi="Times New Roman" w:cs="Times New Roman"/>
                <w:color w:val="000000"/>
                <w:sz w:val="20"/>
                <w:szCs w:val="20"/>
                <w:lang w:eastAsia="en-ZA"/>
              </w:rPr>
              <w:t xml:space="preserve"> were present, it would be difficult to stop natural dispersal (Nunes et al. 2017).</w:t>
            </w:r>
          </w:p>
        </w:tc>
      </w:tr>
      <w:tr w:rsidR="002D7080" w:rsidRPr="004D1E6F" w14:paraId="6AF6EC3E" w14:textId="77777777" w:rsidTr="002E2C37">
        <w:tc>
          <w:tcPr>
            <w:tcW w:w="9016" w:type="dxa"/>
            <w:gridSpan w:val="2"/>
          </w:tcPr>
          <w:p w14:paraId="0CC08B4F" w14:textId="77777777" w:rsidR="002D7080" w:rsidRPr="004D1E6F" w:rsidRDefault="002D7080" w:rsidP="002E2C37">
            <w:pPr>
              <w:rPr>
                <w:rFonts w:ascii="Times New Roman" w:eastAsia="Arial" w:hAnsi="Times New Roman" w:cs="Times New Roman"/>
                <w:sz w:val="20"/>
                <w:szCs w:val="20"/>
              </w:rPr>
            </w:pPr>
            <w:r w:rsidRPr="004D1E6F">
              <w:rPr>
                <w:rFonts w:ascii="Times New Roman" w:eastAsia="Arial" w:hAnsi="Times New Roman" w:cs="Times New Roman"/>
                <w:sz w:val="20"/>
                <w:szCs w:val="20"/>
              </w:rPr>
              <w:t xml:space="preserve">References: </w:t>
            </w:r>
          </w:p>
          <w:p w14:paraId="51ACFB63" w14:textId="77777777" w:rsidR="002D7080" w:rsidRPr="004D1E6F" w:rsidRDefault="002D7080" w:rsidP="007F105A">
            <w:pPr>
              <w:contextualSpacing/>
              <w:jc w:val="both"/>
              <w:rPr>
                <w:rFonts w:ascii="Times New Roman" w:eastAsia="Arial" w:hAnsi="Times New Roman" w:cs="Times New Roman"/>
                <w:sz w:val="20"/>
                <w:szCs w:val="20"/>
              </w:rPr>
            </w:pPr>
            <w:r w:rsidRPr="004D1E6F">
              <w:rPr>
                <w:rFonts w:ascii="Times New Roman" w:eastAsia="Arial" w:hAnsi="Times New Roman" w:cs="Times New Roman"/>
                <w:sz w:val="20"/>
                <w:szCs w:val="20"/>
              </w:rPr>
              <w:t>CABI n.d., from https://www.cabi.org/isc/datasheet/89136.</w:t>
            </w:r>
          </w:p>
          <w:p w14:paraId="7434ECD0" w14:textId="436B94AD" w:rsidR="002D7080" w:rsidRPr="008A0BC6" w:rsidRDefault="008A0BC6" w:rsidP="007F105A">
            <w:pPr>
              <w:ind w:left="567" w:hanging="567"/>
              <w:contextualSpacing/>
              <w:jc w:val="both"/>
              <w:rPr>
                <w:rFonts w:ascii="Times New Roman" w:eastAsia="Times New Roman" w:hAnsi="Times New Roman" w:cs="Times New Roman"/>
                <w:sz w:val="20"/>
                <w:szCs w:val="20"/>
                <w:lang w:eastAsia="en-ZA"/>
              </w:rPr>
            </w:pPr>
            <w:r>
              <w:rPr>
                <w:rFonts w:ascii="Times New Roman" w:hAnsi="Times New Roman" w:cs="Times New Roman"/>
                <w:sz w:val="20"/>
                <w:szCs w:val="20"/>
                <w:highlight w:val="white"/>
              </w:rPr>
              <w:t>De Moor</w:t>
            </w:r>
            <w:r w:rsidR="002D7080" w:rsidRPr="004D1E6F">
              <w:rPr>
                <w:rFonts w:ascii="Times New Roman" w:hAnsi="Times New Roman" w:cs="Times New Roman"/>
                <w:sz w:val="20"/>
                <w:szCs w:val="20"/>
                <w:highlight w:val="white"/>
              </w:rPr>
              <w:t xml:space="preserve">, I., 2002, ‘Potential impacts of alien freshwater crayfish in South Africa’, </w:t>
            </w:r>
            <w:r w:rsidR="002D7080" w:rsidRPr="004D1E6F">
              <w:rPr>
                <w:rFonts w:ascii="Times New Roman" w:hAnsi="Times New Roman" w:cs="Times New Roman"/>
                <w:i/>
                <w:iCs/>
                <w:sz w:val="20"/>
                <w:szCs w:val="20"/>
                <w:highlight w:val="white"/>
              </w:rPr>
              <w:t xml:space="preserve">African Journal of Aquatic Science </w:t>
            </w:r>
            <w:r w:rsidR="002D7080" w:rsidRPr="004D1E6F">
              <w:rPr>
                <w:rFonts w:ascii="Times New Roman" w:hAnsi="Times New Roman" w:cs="Times New Roman"/>
                <w:sz w:val="20"/>
                <w:szCs w:val="20"/>
                <w:highlight w:val="white"/>
              </w:rPr>
              <w:t xml:space="preserve">27, 125-139, </w:t>
            </w:r>
            <w:r w:rsidR="00217643" w:rsidRPr="00217643">
              <w:rPr>
                <w:rFonts w:ascii="Times New Roman" w:eastAsia="Times New Roman" w:hAnsi="Times New Roman" w:cs="Times New Roman"/>
                <w:sz w:val="20"/>
                <w:szCs w:val="20"/>
                <w:lang w:eastAsia="en-ZA"/>
              </w:rPr>
              <w:t xml:space="preserve"> </w:t>
            </w:r>
            <w:hyperlink r:id="rId71" w:history="1">
              <w:r w:rsidR="00217643" w:rsidRPr="00217643">
                <w:rPr>
                  <w:rStyle w:val="Hyperlink"/>
                  <w:rFonts w:ascii="Times New Roman" w:eastAsia="Times New Roman" w:hAnsi="Times New Roman" w:cs="Times New Roman"/>
                  <w:sz w:val="20"/>
                  <w:szCs w:val="20"/>
                  <w:lang w:eastAsia="en-ZA"/>
                </w:rPr>
                <w:t>https://doi.org/10.2989/16085914.2002.962658</w:t>
              </w:r>
            </w:hyperlink>
            <w:r w:rsidR="00217643" w:rsidRPr="00217643">
              <w:rPr>
                <w:rFonts w:ascii="Times New Roman" w:eastAsia="Times New Roman" w:hAnsi="Times New Roman" w:cs="Times New Roman"/>
                <w:sz w:val="20"/>
                <w:szCs w:val="20"/>
                <w:lang w:eastAsia="en-ZA"/>
              </w:rPr>
              <w:t>.</w:t>
            </w:r>
            <w:r w:rsidR="00217643">
              <w:rPr>
                <w:rFonts w:ascii="Times New Roman" w:eastAsia="Times New Roman" w:hAnsi="Times New Roman" w:cs="Times New Roman"/>
                <w:sz w:val="20"/>
                <w:szCs w:val="20"/>
                <w:lang w:eastAsia="en-ZA"/>
              </w:rPr>
              <w:t xml:space="preserve"> </w:t>
            </w:r>
          </w:p>
          <w:p w14:paraId="2D6DDE53" w14:textId="77777777" w:rsidR="002D7080" w:rsidRPr="004D1E6F" w:rsidRDefault="002D7080" w:rsidP="007F105A">
            <w:pPr>
              <w:ind w:left="567" w:hanging="567"/>
              <w:contextualSpacing/>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lastRenderedPageBreak/>
              <w:t>Zengeya, T.A. &amp; Wilson, J.R., 2020, ‘The status of biological invasions and their management in South Africa in 2019’, South African National Biodiversity Institute, Kirstenbosch and DSI-NRF Centre of Excellence for Invasion Biology, Stellenbosch.</w:t>
            </w:r>
          </w:p>
        </w:tc>
      </w:tr>
    </w:tbl>
    <w:p w14:paraId="1DD1FB6A"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69F0B16C" w14:textId="77777777" w:rsidTr="002E2C37">
        <w:tc>
          <w:tcPr>
            <w:tcW w:w="9016" w:type="dxa"/>
            <w:gridSpan w:val="2"/>
            <w:shd w:val="clear" w:color="auto" w:fill="F2F2F2" w:themeFill="background1" w:themeFillShade="F2"/>
          </w:tcPr>
          <w:p w14:paraId="1BA6D2C6"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LIK2 Likelihood of entry via human aided primary pathways</w:t>
            </w:r>
          </w:p>
        </w:tc>
      </w:tr>
      <w:tr w:rsidR="002D7080" w:rsidRPr="004D1E6F" w14:paraId="4DD75054" w14:textId="77777777" w:rsidTr="002E2C37">
        <w:tc>
          <w:tcPr>
            <w:tcW w:w="5524" w:type="dxa"/>
          </w:tcPr>
          <w:p w14:paraId="51D35E9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 xml:space="preserve">Response: </w:t>
            </w:r>
            <w:r w:rsidRPr="004D1E6F">
              <w:rPr>
                <w:rFonts w:ascii="Times New Roman" w:eastAsia="Times New Roman" w:hAnsi="Times New Roman" w:cs="Times New Roman"/>
                <w:sz w:val="20"/>
                <w:szCs w:val="20"/>
                <w:lang w:eastAsia="en-ZA"/>
              </w:rPr>
              <w:t>Present in the country (p=1)</w:t>
            </w:r>
          </w:p>
        </w:tc>
        <w:tc>
          <w:tcPr>
            <w:tcW w:w="3492" w:type="dxa"/>
          </w:tcPr>
          <w:p w14:paraId="34E199D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Confidence: Medium</w:t>
            </w:r>
          </w:p>
        </w:tc>
      </w:tr>
      <w:tr w:rsidR="002D7080" w:rsidRPr="004D1E6F" w14:paraId="7CFF2146" w14:textId="77777777" w:rsidTr="002E2C37">
        <w:tc>
          <w:tcPr>
            <w:tcW w:w="9016" w:type="dxa"/>
            <w:gridSpan w:val="2"/>
          </w:tcPr>
          <w:p w14:paraId="58317916" w14:textId="0113181D"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 xml:space="preserve">Rationale: </w:t>
            </w:r>
            <w:r w:rsidRPr="004D1E6F">
              <w:rPr>
                <w:rFonts w:ascii="Times New Roman" w:eastAsia="Times New Roman" w:hAnsi="Times New Roman" w:cs="Times New Roman"/>
                <w:i/>
                <w:color w:val="000000"/>
                <w:sz w:val="20"/>
                <w:szCs w:val="20"/>
                <w:lang w:eastAsia="en-ZA"/>
              </w:rPr>
              <w:t xml:space="preserve">Cherax </w:t>
            </w:r>
            <w:r w:rsidRPr="004D1E6F">
              <w:rPr>
                <w:rFonts w:ascii="Times New Roman" w:eastAsia="Arial" w:hAnsi="Times New Roman" w:cs="Times New Roman"/>
                <w:i/>
                <w:sz w:val="20"/>
                <w:szCs w:val="20"/>
              </w:rPr>
              <w:t>tenuimanus</w:t>
            </w:r>
            <w:r w:rsidRPr="004D1E6F">
              <w:rPr>
                <w:rFonts w:ascii="Times New Roman" w:eastAsia="Times New Roman" w:hAnsi="Times New Roman" w:cs="Times New Roman"/>
                <w:iCs/>
                <w:color w:val="000000"/>
                <w:sz w:val="20"/>
                <w:szCs w:val="20"/>
                <w:lang w:eastAsia="en-ZA"/>
              </w:rPr>
              <w:t xml:space="preserve"> is probably </w:t>
            </w:r>
            <w:r w:rsidRPr="004D1E6F">
              <w:rPr>
                <w:rFonts w:ascii="Times New Roman" w:hAnsi="Times New Roman" w:cs="Times New Roman"/>
                <w:sz w:val="20"/>
                <w:szCs w:val="20"/>
              </w:rPr>
              <w:t xml:space="preserve">currently present in the country </w:t>
            </w:r>
            <w:r w:rsidRPr="004D1E6F">
              <w:rPr>
                <w:rFonts w:ascii="Times New Roman" w:eastAsia="Times New Roman" w:hAnsi="Times New Roman" w:cs="Times New Roman"/>
                <w:color w:val="000000"/>
                <w:sz w:val="20"/>
                <w:szCs w:val="20"/>
                <w:lang w:eastAsia="en-ZA"/>
              </w:rPr>
              <w:t>(</w:t>
            </w:r>
            <w:r w:rsidR="008A0BC6">
              <w:rPr>
                <w:rFonts w:ascii="Times New Roman" w:eastAsia="Times New Roman" w:hAnsi="Times New Roman" w:cs="Times New Roman"/>
                <w:color w:val="000000"/>
                <w:sz w:val="20"/>
                <w:szCs w:val="20"/>
                <w:lang w:eastAsia="en-ZA"/>
              </w:rPr>
              <w:t>De Moor</w:t>
            </w:r>
            <w:r w:rsidRPr="004D1E6F">
              <w:rPr>
                <w:rFonts w:ascii="Times New Roman" w:eastAsia="Times New Roman" w:hAnsi="Times New Roman" w:cs="Times New Roman"/>
                <w:color w:val="000000"/>
                <w:sz w:val="20"/>
                <w:szCs w:val="20"/>
                <w:lang w:eastAsia="en-ZA"/>
              </w:rPr>
              <w:t xml:space="preserve"> 2002; Nunes et al. 2017), but this needs to be verified. In terms of the likelihood of future introductions, </w:t>
            </w:r>
            <w:r w:rsidRPr="004D1E6F">
              <w:rPr>
                <w:rFonts w:ascii="Times New Roman" w:eastAsia="Times New Roman" w:hAnsi="Times New Roman" w:cs="Times New Roman"/>
                <w:i/>
                <w:iCs/>
                <w:color w:val="000000"/>
                <w:sz w:val="20"/>
                <w:szCs w:val="20"/>
                <w:lang w:eastAsia="en-ZA"/>
              </w:rPr>
              <w:t xml:space="preserve">C. </w:t>
            </w:r>
            <w:r w:rsidRPr="004D1E6F">
              <w:rPr>
                <w:rFonts w:ascii="Times New Roman" w:eastAsia="Arial" w:hAnsi="Times New Roman" w:cs="Times New Roman"/>
                <w:i/>
                <w:sz w:val="20"/>
                <w:szCs w:val="20"/>
              </w:rPr>
              <w:t>tenuimanus</w:t>
            </w:r>
            <w:r w:rsidRPr="004D1E6F">
              <w:rPr>
                <w:rFonts w:ascii="Times New Roman" w:eastAsia="Times New Roman" w:hAnsi="Times New Roman" w:cs="Times New Roman"/>
                <w:color w:val="000000"/>
                <w:sz w:val="20"/>
                <w:szCs w:val="20"/>
                <w:lang w:eastAsia="en-ZA"/>
              </w:rPr>
              <w:t xml:space="preserve"> has been introduced primarily for aquaculture purposes (</w:t>
            </w:r>
            <w:r w:rsidR="008A0BC6">
              <w:rPr>
                <w:rFonts w:ascii="Times New Roman" w:eastAsia="Times New Roman" w:hAnsi="Times New Roman" w:cs="Times New Roman"/>
                <w:color w:val="000000"/>
                <w:sz w:val="20"/>
                <w:szCs w:val="20"/>
                <w:lang w:eastAsia="en-ZA"/>
              </w:rPr>
              <w:t>De Moor</w:t>
            </w:r>
            <w:r w:rsidRPr="004D1E6F">
              <w:rPr>
                <w:rFonts w:ascii="Times New Roman" w:eastAsia="Times New Roman" w:hAnsi="Times New Roman" w:cs="Times New Roman"/>
                <w:color w:val="000000"/>
                <w:sz w:val="20"/>
                <w:szCs w:val="20"/>
                <w:lang w:eastAsia="en-ZA"/>
              </w:rPr>
              <w:t xml:space="preserve"> 2002; Nunes et al. 2017) and there might be demand for future introductions. These would be subject to regulation, though illegal introductions are possible.</w:t>
            </w:r>
            <w:r w:rsidRPr="004D1E6F">
              <w:rPr>
                <w:rFonts w:ascii="Times New Roman" w:eastAsia="Arial" w:hAnsi="Times New Roman" w:cs="Times New Roman"/>
                <w:sz w:val="20"/>
                <w:szCs w:val="20"/>
              </w:rPr>
              <w:t xml:space="preserve"> </w:t>
            </w:r>
          </w:p>
        </w:tc>
      </w:tr>
      <w:tr w:rsidR="002D7080" w:rsidRPr="004D1E6F" w14:paraId="115CB227" w14:textId="77777777" w:rsidTr="002E2C37">
        <w:tc>
          <w:tcPr>
            <w:tcW w:w="9016" w:type="dxa"/>
            <w:gridSpan w:val="2"/>
          </w:tcPr>
          <w:p w14:paraId="62AC63ED" w14:textId="77777777" w:rsidR="002D7080" w:rsidRPr="004D1E6F" w:rsidRDefault="002D7080" w:rsidP="002E2C37">
            <w:pPr>
              <w:jc w:val="both"/>
              <w:rPr>
                <w:rFonts w:ascii="Times New Roman" w:eastAsia="Arial" w:hAnsi="Times New Roman" w:cs="Times New Roman"/>
                <w:sz w:val="20"/>
                <w:szCs w:val="20"/>
              </w:rPr>
            </w:pPr>
            <w:r w:rsidRPr="004D1E6F">
              <w:rPr>
                <w:rFonts w:ascii="Times New Roman" w:eastAsia="Arial" w:hAnsi="Times New Roman" w:cs="Times New Roman"/>
                <w:sz w:val="20"/>
                <w:szCs w:val="20"/>
              </w:rPr>
              <w:t xml:space="preserve">References: </w:t>
            </w:r>
          </w:p>
          <w:p w14:paraId="0A8271B6" w14:textId="11337B08" w:rsidR="002D7080" w:rsidRPr="004D1E6F" w:rsidRDefault="008A0BC6" w:rsidP="007F105A">
            <w:pPr>
              <w:ind w:left="567" w:hanging="567"/>
              <w:contextualSpacing/>
              <w:jc w:val="both"/>
              <w:rPr>
                <w:rFonts w:ascii="Times New Roman" w:hAnsi="Times New Roman" w:cs="Times New Roman"/>
                <w:sz w:val="20"/>
                <w:szCs w:val="20"/>
              </w:rPr>
            </w:pPr>
            <w:r>
              <w:rPr>
                <w:rFonts w:ascii="Times New Roman" w:hAnsi="Times New Roman" w:cs="Times New Roman"/>
                <w:sz w:val="20"/>
                <w:szCs w:val="20"/>
              </w:rPr>
              <w:t>De Moor</w:t>
            </w:r>
            <w:r w:rsidR="002D7080" w:rsidRPr="004D1E6F">
              <w:rPr>
                <w:rFonts w:ascii="Times New Roman" w:hAnsi="Times New Roman" w:cs="Times New Roman"/>
                <w:sz w:val="20"/>
                <w:szCs w:val="20"/>
              </w:rPr>
              <w:t xml:space="preserve">, I., 2002, ‘Potential impacts of alien freshwater crayfish in South Africa’, </w:t>
            </w:r>
            <w:r w:rsidR="002D7080" w:rsidRPr="004D1E6F">
              <w:rPr>
                <w:rFonts w:ascii="Times New Roman" w:hAnsi="Times New Roman" w:cs="Times New Roman"/>
                <w:i/>
                <w:iCs/>
                <w:sz w:val="20"/>
                <w:szCs w:val="20"/>
              </w:rPr>
              <w:t xml:space="preserve">African Journal of Aquatic Science </w:t>
            </w:r>
            <w:r w:rsidR="002D7080" w:rsidRPr="004D1E6F">
              <w:rPr>
                <w:rFonts w:ascii="Times New Roman" w:hAnsi="Times New Roman" w:cs="Times New Roman"/>
                <w:sz w:val="20"/>
                <w:szCs w:val="20"/>
              </w:rPr>
              <w:t xml:space="preserve">27, 125-139, </w:t>
            </w:r>
            <w:hyperlink r:id="rId72" w:history="1">
              <w:r w:rsidR="00217643" w:rsidRPr="00217643">
                <w:rPr>
                  <w:rStyle w:val="Hyperlink"/>
                  <w:rFonts w:ascii="Times New Roman" w:eastAsia="Times New Roman" w:hAnsi="Times New Roman" w:cs="Times New Roman"/>
                  <w:sz w:val="20"/>
                  <w:szCs w:val="20"/>
                  <w:lang w:eastAsia="en-ZA"/>
                </w:rPr>
                <w:t>https://doi.org/10.2989/16085914.2002.962658</w:t>
              </w:r>
            </w:hyperlink>
            <w:r w:rsidR="00217643" w:rsidRPr="00217643">
              <w:rPr>
                <w:rFonts w:ascii="Times New Roman" w:eastAsia="Times New Roman" w:hAnsi="Times New Roman" w:cs="Times New Roman"/>
                <w:sz w:val="20"/>
                <w:szCs w:val="20"/>
                <w:lang w:eastAsia="en-ZA"/>
              </w:rPr>
              <w:t>.</w:t>
            </w:r>
          </w:p>
          <w:p w14:paraId="2D4FD941" w14:textId="2CE58444" w:rsidR="00217643" w:rsidRDefault="002D7080" w:rsidP="007F105A">
            <w:pPr>
              <w:ind w:left="720" w:hanging="720"/>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Nunes, A.L., Zengeya, T.A., Measey, G.J. &amp; Weyl, O.L.F., 2017, ‘Freshwater crayfish invasions in South Africa: past, present and potential future’, </w:t>
            </w:r>
            <w:r w:rsidRPr="004D1E6F">
              <w:rPr>
                <w:rFonts w:ascii="Times New Roman" w:hAnsi="Times New Roman" w:cs="Times New Roman"/>
                <w:i/>
                <w:iCs/>
                <w:sz w:val="20"/>
                <w:szCs w:val="20"/>
              </w:rPr>
              <w:t>African Journal of Aquatic Science</w:t>
            </w:r>
            <w:r w:rsidRPr="004D1E6F">
              <w:rPr>
                <w:rFonts w:ascii="Times New Roman" w:hAnsi="Times New Roman" w:cs="Times New Roman"/>
                <w:sz w:val="20"/>
                <w:szCs w:val="20"/>
              </w:rPr>
              <w:t xml:space="preserve"> 42, 309-323</w:t>
            </w:r>
            <w:r w:rsidR="00217643">
              <w:rPr>
                <w:rFonts w:ascii="Times New Roman" w:hAnsi="Times New Roman" w:cs="Times New Roman"/>
                <w:sz w:val="20"/>
                <w:szCs w:val="20"/>
              </w:rPr>
              <w:t xml:space="preserve">, </w:t>
            </w:r>
            <w:hyperlink r:id="rId73" w:history="1">
              <w:r w:rsidR="00217643" w:rsidRPr="00217643">
                <w:rPr>
                  <w:rStyle w:val="Hyperlink"/>
                  <w:rFonts w:ascii="Times New Roman" w:hAnsi="Times New Roman" w:cs="Times New Roman"/>
                  <w:sz w:val="20"/>
                  <w:szCs w:val="20"/>
                </w:rPr>
                <w:t>https://doi.org/10.2989/16085914.2017.1405788</w:t>
              </w:r>
            </w:hyperlink>
          </w:p>
          <w:p w14:paraId="478D4353" w14:textId="50BE3DA6" w:rsidR="002D7080" w:rsidRPr="004D1E6F" w:rsidRDefault="002D7080" w:rsidP="007F105A">
            <w:pPr>
              <w:ind w:left="720" w:hanging="720"/>
              <w:contextualSpacing/>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Zengeya, T.A. &amp; Wilson, J.R., 2020, ‘The status of biological invasions and their management in South Africa in 2019’, South African National Biodiversity Institute, Kirstenbosch and DSI-NRF Centre of Excellence for Invasion Biology, Stellenbosch.</w:t>
            </w:r>
          </w:p>
        </w:tc>
      </w:tr>
    </w:tbl>
    <w:p w14:paraId="2C2B4455"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17608EFF" w14:textId="77777777" w:rsidTr="002E2C37">
        <w:tc>
          <w:tcPr>
            <w:tcW w:w="9016" w:type="dxa"/>
            <w:gridSpan w:val="2"/>
            <w:shd w:val="clear" w:color="auto" w:fill="F2F2F2" w:themeFill="background1" w:themeFillShade="F2"/>
          </w:tcPr>
          <w:p w14:paraId="12E93345"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LIK3 Habitat suitability</w:t>
            </w:r>
          </w:p>
        </w:tc>
      </w:tr>
      <w:tr w:rsidR="002D7080" w:rsidRPr="004D1E6F" w14:paraId="4633047F" w14:textId="77777777" w:rsidTr="002E2C37">
        <w:tc>
          <w:tcPr>
            <w:tcW w:w="5524" w:type="dxa"/>
          </w:tcPr>
          <w:p w14:paraId="6E5A979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Response: Fairly probable (p = 0.5)</w:t>
            </w:r>
          </w:p>
        </w:tc>
        <w:tc>
          <w:tcPr>
            <w:tcW w:w="3492" w:type="dxa"/>
          </w:tcPr>
          <w:p w14:paraId="247561B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Confidence: Low</w:t>
            </w:r>
          </w:p>
        </w:tc>
      </w:tr>
      <w:tr w:rsidR="002D7080" w:rsidRPr="004D1E6F" w14:paraId="74D04DC2" w14:textId="77777777" w:rsidTr="002E2C37">
        <w:tc>
          <w:tcPr>
            <w:tcW w:w="9016" w:type="dxa"/>
            <w:gridSpan w:val="2"/>
          </w:tcPr>
          <w:p w14:paraId="2E405381" w14:textId="79EC3F30"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Rationale: Little is known of how the ecology and habitat requirements differ between the hairy and smooth marron species (Department of the Environment 2013).</w:t>
            </w:r>
            <w:r w:rsidRPr="004D1E6F">
              <w:rPr>
                <w:rFonts w:ascii="Times New Roman" w:eastAsia="Arial" w:hAnsi="Times New Roman" w:cs="Times New Roman"/>
                <w:i/>
                <w:sz w:val="20"/>
                <w:szCs w:val="20"/>
              </w:rPr>
              <w:t xml:space="preserve"> </w:t>
            </w:r>
            <w:r w:rsidRPr="004D1E6F">
              <w:rPr>
                <w:rFonts w:ascii="Times New Roman" w:eastAsia="Arial" w:hAnsi="Times New Roman" w:cs="Times New Roman"/>
                <w:sz w:val="20"/>
                <w:szCs w:val="20"/>
              </w:rPr>
              <w:t xml:space="preserve">Marron occurs in deep perennial rivers and prefers sandy areas in rivers particularly where organic matter accumulates (Beatty et al. 2004). </w:t>
            </w:r>
            <w:r w:rsidRPr="004D1E6F">
              <w:rPr>
                <w:rFonts w:ascii="Times New Roman" w:eastAsia="Arial" w:hAnsi="Times New Roman" w:cs="Times New Roman"/>
                <w:i/>
                <w:sz w:val="20"/>
                <w:szCs w:val="20"/>
              </w:rPr>
              <w:t xml:space="preserve">Cherax tenuimanus </w:t>
            </w:r>
            <w:r w:rsidRPr="004D1E6F">
              <w:rPr>
                <w:rFonts w:ascii="Times New Roman" w:eastAsia="Arial" w:hAnsi="Times New Roman" w:cs="Times New Roman"/>
                <w:sz w:val="20"/>
                <w:szCs w:val="20"/>
              </w:rPr>
              <w:t xml:space="preserve">requires structural diversity for shelter and refuge </w:t>
            </w:r>
            <w:r w:rsidRPr="004D1E6F">
              <w:rPr>
                <w:rFonts w:ascii="Times New Roman" w:eastAsia="Arial" w:hAnsi="Times New Roman" w:cs="Times New Roman"/>
                <w:sz w:val="20"/>
                <w:szCs w:val="20"/>
              </w:rPr>
              <w:fldChar w:fldCharType="begin" w:fldLock="1"/>
            </w:r>
            <w:r w:rsidRPr="004D1E6F">
              <w:rPr>
                <w:rFonts w:ascii="Times New Roman" w:eastAsia="Arial" w:hAnsi="Times New Roman" w:cs="Times New Roman"/>
                <w:sz w:val="20"/>
                <w:szCs w:val="20"/>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"mendeley" : { "formattedCitation" : "(de Moor 2002)", "plainTextFormattedCitation" : "(de Moor 2002)", "previouslyFormattedCitation" : "(de Moor 2002)" }, "properties" : { "noteIndex" : 0 }, "schema" : "https://github.com/citation-style-language/schema/raw/master/csl-citation.json" }</w:instrText>
            </w:r>
            <w:r w:rsidRPr="004D1E6F">
              <w:rPr>
                <w:rFonts w:ascii="Times New Roman" w:eastAsia="Arial" w:hAnsi="Times New Roman" w:cs="Times New Roman"/>
                <w:sz w:val="20"/>
                <w:szCs w:val="20"/>
              </w:rPr>
              <w:fldChar w:fldCharType="separate"/>
            </w:r>
            <w:r w:rsidRPr="004D1E6F">
              <w:rPr>
                <w:rFonts w:ascii="Times New Roman" w:eastAsia="Arial" w:hAnsi="Times New Roman" w:cs="Times New Roman"/>
                <w:sz w:val="20"/>
                <w:szCs w:val="20"/>
              </w:rPr>
              <w:t>(</w:t>
            </w:r>
            <w:r w:rsidR="008A0BC6">
              <w:rPr>
                <w:rFonts w:ascii="Times New Roman" w:eastAsia="Arial" w:hAnsi="Times New Roman" w:cs="Times New Roman"/>
                <w:sz w:val="20"/>
                <w:szCs w:val="20"/>
              </w:rPr>
              <w:t>De Moor</w:t>
            </w:r>
            <w:r w:rsidRPr="004D1E6F">
              <w:rPr>
                <w:rFonts w:ascii="Times New Roman" w:eastAsia="Arial" w:hAnsi="Times New Roman" w:cs="Times New Roman"/>
                <w:sz w:val="20"/>
                <w:szCs w:val="20"/>
              </w:rPr>
              <w:t xml:space="preserve"> 2002)</w:t>
            </w:r>
            <w:r w:rsidRPr="004D1E6F">
              <w:rPr>
                <w:rFonts w:ascii="Times New Roman" w:eastAsia="Arial" w:hAnsi="Times New Roman" w:cs="Times New Roman"/>
                <w:sz w:val="20"/>
                <w:szCs w:val="20"/>
              </w:rPr>
              <w:fldChar w:fldCharType="end"/>
            </w:r>
            <w:r w:rsidRPr="004D1E6F">
              <w:rPr>
                <w:rFonts w:ascii="Times New Roman" w:eastAsia="Arial" w:hAnsi="Times New Roman" w:cs="Times New Roman"/>
                <w:sz w:val="20"/>
                <w:szCs w:val="20"/>
              </w:rPr>
              <w:t xml:space="preserve"> and relatively good water quality, and may struggle to persist in disturbed habitats (Department of  the Environment 2013). Areas in South Africa susceptible to </w:t>
            </w:r>
            <w:r w:rsidRPr="004D1E6F">
              <w:rPr>
                <w:rFonts w:ascii="Times New Roman" w:eastAsia="Arial" w:hAnsi="Times New Roman" w:cs="Times New Roman"/>
                <w:i/>
                <w:sz w:val="20"/>
                <w:szCs w:val="20"/>
              </w:rPr>
              <w:t>C. cainii</w:t>
            </w:r>
            <w:r w:rsidRPr="004D1E6F">
              <w:rPr>
                <w:rFonts w:ascii="Times New Roman" w:eastAsia="Arial" w:hAnsi="Times New Roman" w:cs="Times New Roman"/>
                <w:sz w:val="20"/>
                <w:szCs w:val="20"/>
              </w:rPr>
              <w:t xml:space="preserve"> are cool permanent streams in the Highveld and in the southern and south-western Cape </w:t>
            </w:r>
            <w:r w:rsidRPr="004D1E6F">
              <w:rPr>
                <w:rFonts w:ascii="Times New Roman" w:eastAsia="Arial" w:hAnsi="Times New Roman" w:cs="Times New Roman"/>
                <w:sz w:val="20"/>
                <w:szCs w:val="20"/>
              </w:rPr>
              <w:fldChar w:fldCharType="begin" w:fldLock="1"/>
            </w:r>
            <w:r w:rsidRPr="004D1E6F">
              <w:rPr>
                <w:rFonts w:ascii="Times New Roman" w:eastAsia="Arial" w:hAnsi="Times New Roman" w:cs="Times New Roman"/>
                <w:sz w:val="20"/>
                <w:szCs w:val="20"/>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"mendeley" : { "formattedCitation" : "(Nunes et al. 2017)", "plainTextFormattedCitation" : "(Nunes et al. 2017)", "previouslyFormattedCitation" : "(Nunes et al. 2017)" }, "properties" : { "noteIndex" : 0 }, "schema" : "https://github.com/citation-style-language/schema/raw/master/csl-citation.json" }</w:instrText>
            </w:r>
            <w:r w:rsidRPr="004D1E6F">
              <w:rPr>
                <w:rFonts w:ascii="Times New Roman" w:eastAsia="Arial" w:hAnsi="Times New Roman" w:cs="Times New Roman"/>
                <w:sz w:val="20"/>
                <w:szCs w:val="20"/>
              </w:rPr>
              <w:fldChar w:fldCharType="separate"/>
            </w:r>
            <w:r w:rsidRPr="004D1E6F">
              <w:rPr>
                <w:rFonts w:ascii="Times New Roman" w:eastAsia="Arial" w:hAnsi="Times New Roman" w:cs="Times New Roman"/>
                <w:sz w:val="20"/>
                <w:szCs w:val="20"/>
              </w:rPr>
              <w:t>(Nunes et al. 2017)</w:t>
            </w:r>
            <w:r w:rsidRPr="004D1E6F">
              <w:rPr>
                <w:rFonts w:ascii="Times New Roman" w:eastAsia="Arial" w:hAnsi="Times New Roman" w:cs="Times New Roman"/>
                <w:sz w:val="20"/>
                <w:szCs w:val="20"/>
              </w:rPr>
              <w:fldChar w:fldCharType="end"/>
            </w:r>
            <w:r w:rsidRPr="004D1E6F">
              <w:rPr>
                <w:rFonts w:ascii="Times New Roman" w:eastAsia="Arial" w:hAnsi="Times New Roman" w:cs="Times New Roman"/>
                <w:sz w:val="20"/>
                <w:szCs w:val="20"/>
              </w:rPr>
              <w:t xml:space="preserve">. It is assumed here that </w:t>
            </w:r>
            <w:r w:rsidRPr="004D1E6F">
              <w:rPr>
                <w:rFonts w:ascii="Times New Roman" w:eastAsia="Arial" w:hAnsi="Times New Roman" w:cs="Times New Roman"/>
                <w:i/>
                <w:sz w:val="20"/>
                <w:szCs w:val="20"/>
              </w:rPr>
              <w:t xml:space="preserve">C. tenuimanus </w:t>
            </w:r>
            <w:r w:rsidRPr="004D1E6F">
              <w:rPr>
                <w:rFonts w:ascii="Times New Roman" w:eastAsia="Arial" w:hAnsi="Times New Roman" w:cs="Times New Roman"/>
                <w:sz w:val="20"/>
                <w:szCs w:val="20"/>
              </w:rPr>
              <w:t xml:space="preserve">would have similar habitat requirements, but the confidence is placed at low. </w:t>
            </w:r>
          </w:p>
        </w:tc>
      </w:tr>
      <w:tr w:rsidR="002D7080" w:rsidRPr="004D1E6F" w14:paraId="5D0666A8" w14:textId="77777777" w:rsidTr="002E2C37">
        <w:tc>
          <w:tcPr>
            <w:tcW w:w="9016" w:type="dxa"/>
            <w:gridSpan w:val="2"/>
          </w:tcPr>
          <w:p w14:paraId="7643F9C5" w14:textId="77777777" w:rsidR="002D7080" w:rsidRPr="004D1E6F" w:rsidRDefault="002D7080" w:rsidP="002E2C37">
            <w:pPr>
              <w:jc w:val="both"/>
              <w:rPr>
                <w:rFonts w:ascii="Times New Roman" w:eastAsia="Arial" w:hAnsi="Times New Roman" w:cs="Times New Roman"/>
                <w:sz w:val="20"/>
                <w:szCs w:val="20"/>
              </w:rPr>
            </w:pPr>
            <w:r w:rsidRPr="004D1E6F">
              <w:rPr>
                <w:rFonts w:ascii="Times New Roman" w:eastAsia="Arial" w:hAnsi="Times New Roman" w:cs="Times New Roman"/>
                <w:sz w:val="20"/>
                <w:szCs w:val="20"/>
              </w:rPr>
              <w:t>References:</w:t>
            </w:r>
          </w:p>
          <w:p w14:paraId="28D1E2CB" w14:textId="77777777" w:rsidR="002D7080" w:rsidRPr="004D1E6F" w:rsidRDefault="002D7080" w:rsidP="007F105A">
            <w:pPr>
              <w:ind w:left="567" w:hanging="567"/>
              <w:contextualSpacing/>
              <w:jc w:val="both"/>
              <w:rPr>
                <w:rFonts w:ascii="Times New Roman" w:eastAsia="Arial" w:hAnsi="Times New Roman" w:cs="Times New Roman"/>
                <w:sz w:val="20"/>
                <w:szCs w:val="20"/>
              </w:rPr>
            </w:pPr>
            <w:r w:rsidRPr="004D1E6F">
              <w:rPr>
                <w:rFonts w:ascii="Times New Roman" w:eastAsia="Arial" w:hAnsi="Times New Roman" w:cs="Times New Roman"/>
                <w:sz w:val="20"/>
                <w:szCs w:val="20"/>
              </w:rPr>
              <w:t xml:space="preserve">Department of the Environment, 2013, </w:t>
            </w:r>
            <w:r w:rsidRPr="004D1E6F">
              <w:rPr>
                <w:rFonts w:ascii="Times New Roman" w:eastAsia="Arial" w:hAnsi="Times New Roman" w:cs="Times New Roman"/>
                <w:i/>
                <w:iCs/>
                <w:sz w:val="20"/>
                <w:szCs w:val="20"/>
              </w:rPr>
              <w:t>Approved Conservation Advice for Cherax tenuimanus (hairy marron)</w:t>
            </w:r>
            <w:r w:rsidRPr="004D1E6F">
              <w:rPr>
                <w:rFonts w:ascii="Times New Roman" w:eastAsia="Arial" w:hAnsi="Times New Roman" w:cs="Times New Roman"/>
                <w:sz w:val="20"/>
                <w:szCs w:val="20"/>
              </w:rPr>
              <w:t xml:space="preserve">, Canberra, Department of the Environment, from </w:t>
            </w:r>
            <w:hyperlink w:history="1">
              <w:r w:rsidRPr="004D1E6F">
                <w:rPr>
                  <w:rStyle w:val="Hyperlink"/>
                  <w:rFonts w:ascii="Times New Roman" w:eastAsia="Arial" w:hAnsi="Times New Roman" w:cs="Times New Roman"/>
                  <w:sz w:val="20"/>
                  <w:szCs w:val="20"/>
                </w:rPr>
                <w:t>http://www.environment.gov.au/biodiversity/threatened/species/pubs/78931-conservation-advice.pdf</w:t>
              </w:r>
            </w:hyperlink>
          </w:p>
          <w:p w14:paraId="16F652B3" w14:textId="7C0FFA7E" w:rsidR="002D7080" w:rsidRPr="004D1E6F" w:rsidRDefault="002D7080" w:rsidP="007F105A">
            <w:pPr>
              <w:ind w:left="567" w:hanging="567"/>
              <w:contextualSpacing/>
              <w:jc w:val="both"/>
              <w:rPr>
                <w:rFonts w:ascii="Times New Roman" w:hAnsi="Times New Roman" w:cs="Times New Roman"/>
                <w:sz w:val="20"/>
                <w:szCs w:val="20"/>
                <w:highlight w:val="white"/>
              </w:rPr>
            </w:pPr>
            <w:r w:rsidRPr="004D1E6F">
              <w:rPr>
                <w:rFonts w:ascii="Times New Roman" w:hAnsi="Times New Roman" w:cs="Times New Roman"/>
                <w:sz w:val="20"/>
                <w:szCs w:val="20"/>
                <w:highlight w:val="white"/>
              </w:rPr>
              <w:t xml:space="preserve">Beatty, S.J., Morgan, D.L. &amp; Gill, H.S., 2004, ‘Biology of a translocated population of the large freshwater crayfish, </w:t>
            </w:r>
            <w:r w:rsidRPr="004D1E6F">
              <w:rPr>
                <w:rFonts w:ascii="Times New Roman" w:hAnsi="Times New Roman" w:cs="Times New Roman"/>
                <w:i/>
                <w:iCs/>
                <w:sz w:val="20"/>
                <w:szCs w:val="20"/>
                <w:highlight w:val="white"/>
              </w:rPr>
              <w:t>Cherax cainii</w:t>
            </w:r>
            <w:r w:rsidRPr="004D1E6F">
              <w:rPr>
                <w:rFonts w:ascii="Times New Roman" w:hAnsi="Times New Roman" w:cs="Times New Roman"/>
                <w:sz w:val="20"/>
                <w:szCs w:val="20"/>
                <w:highlight w:val="white"/>
              </w:rPr>
              <w:t xml:space="preserve"> Austin &amp; Ryan, 2002 in a Western Australian River’, </w:t>
            </w:r>
            <w:r w:rsidRPr="004D1E6F">
              <w:rPr>
                <w:rFonts w:ascii="Times New Roman" w:hAnsi="Times New Roman" w:cs="Times New Roman"/>
                <w:i/>
                <w:iCs/>
                <w:sz w:val="20"/>
                <w:szCs w:val="20"/>
                <w:highlight w:val="white"/>
              </w:rPr>
              <w:t>Crustaceana</w:t>
            </w:r>
            <w:r w:rsidRPr="004D1E6F">
              <w:rPr>
                <w:rFonts w:ascii="Times New Roman" w:hAnsi="Times New Roman" w:cs="Times New Roman"/>
                <w:sz w:val="20"/>
                <w:szCs w:val="20"/>
                <w:highlight w:val="white"/>
              </w:rPr>
              <w:t xml:space="preserve"> </w:t>
            </w:r>
            <w:r w:rsidRPr="004D1E6F">
              <w:rPr>
                <w:rFonts w:ascii="Times New Roman" w:hAnsi="Times New Roman" w:cs="Times New Roman"/>
                <w:bCs/>
                <w:sz w:val="20"/>
                <w:szCs w:val="20"/>
                <w:highlight w:val="white"/>
              </w:rPr>
              <w:t>77</w:t>
            </w:r>
            <w:r w:rsidRPr="004D1E6F">
              <w:rPr>
                <w:rFonts w:ascii="Times New Roman" w:hAnsi="Times New Roman" w:cs="Times New Roman"/>
                <w:sz w:val="20"/>
                <w:szCs w:val="20"/>
                <w:highlight w:val="white"/>
              </w:rPr>
              <w:t xml:space="preserve">, 1329-1351, </w:t>
            </w:r>
            <w:hyperlink r:id="rId74" w:history="1">
              <w:r w:rsidR="00217643" w:rsidRPr="00217643">
                <w:rPr>
                  <w:rStyle w:val="Hyperlink"/>
                  <w:rFonts w:ascii="Times New Roman" w:eastAsia="Times New Roman" w:hAnsi="Times New Roman" w:cs="Times New Roman"/>
                  <w:sz w:val="20"/>
                  <w:szCs w:val="20"/>
                  <w:lang w:eastAsia="en-ZA"/>
                </w:rPr>
                <w:t>https://www.jstor.org/stable/20107445</w:t>
              </w:r>
            </w:hyperlink>
            <w:r w:rsidR="00217643" w:rsidRPr="00217643">
              <w:rPr>
                <w:rFonts w:ascii="Times New Roman" w:eastAsia="Times New Roman" w:hAnsi="Times New Roman" w:cs="Times New Roman"/>
                <w:sz w:val="20"/>
                <w:szCs w:val="20"/>
                <w:lang w:eastAsia="en-ZA"/>
              </w:rPr>
              <w:t>.</w:t>
            </w:r>
          </w:p>
          <w:p w14:paraId="02CF656A" w14:textId="0C09B328" w:rsidR="002D7080" w:rsidRPr="004D1E6F" w:rsidRDefault="008A0BC6" w:rsidP="007F105A">
            <w:pPr>
              <w:ind w:left="567" w:hanging="567"/>
              <w:contextualSpacing/>
              <w:jc w:val="both"/>
              <w:rPr>
                <w:rFonts w:ascii="Times New Roman" w:hAnsi="Times New Roman" w:cs="Times New Roman"/>
                <w:sz w:val="20"/>
                <w:szCs w:val="20"/>
              </w:rPr>
            </w:pPr>
            <w:r>
              <w:rPr>
                <w:rFonts w:ascii="Times New Roman" w:hAnsi="Times New Roman" w:cs="Times New Roman"/>
                <w:sz w:val="20"/>
                <w:szCs w:val="20"/>
              </w:rPr>
              <w:t>De Moor</w:t>
            </w:r>
            <w:r w:rsidR="002D7080" w:rsidRPr="004D1E6F">
              <w:rPr>
                <w:rFonts w:ascii="Times New Roman" w:hAnsi="Times New Roman" w:cs="Times New Roman"/>
                <w:sz w:val="20"/>
                <w:szCs w:val="20"/>
              </w:rPr>
              <w:t xml:space="preserve">, I., 2002, ‘Potential impacts of alien freshwater crayfish in South Africa’, </w:t>
            </w:r>
            <w:r w:rsidR="002D7080" w:rsidRPr="004D1E6F">
              <w:rPr>
                <w:rFonts w:ascii="Times New Roman" w:hAnsi="Times New Roman" w:cs="Times New Roman"/>
                <w:i/>
                <w:iCs/>
                <w:sz w:val="20"/>
                <w:szCs w:val="20"/>
              </w:rPr>
              <w:t>African Journal of Aquatic Science</w:t>
            </w:r>
            <w:r w:rsidR="002D7080" w:rsidRPr="004D1E6F">
              <w:rPr>
                <w:rFonts w:ascii="Times New Roman" w:hAnsi="Times New Roman" w:cs="Times New Roman"/>
                <w:sz w:val="20"/>
                <w:szCs w:val="20"/>
              </w:rPr>
              <w:t xml:space="preserve"> </w:t>
            </w:r>
            <w:r w:rsidR="002D7080" w:rsidRPr="004D1E6F">
              <w:rPr>
                <w:rFonts w:ascii="Times New Roman" w:hAnsi="Times New Roman" w:cs="Times New Roman"/>
                <w:bCs/>
                <w:sz w:val="20"/>
                <w:szCs w:val="20"/>
              </w:rPr>
              <w:t>27</w:t>
            </w:r>
            <w:r w:rsidR="002D7080" w:rsidRPr="004D1E6F">
              <w:rPr>
                <w:rFonts w:ascii="Times New Roman" w:hAnsi="Times New Roman" w:cs="Times New Roman"/>
                <w:sz w:val="20"/>
                <w:szCs w:val="20"/>
              </w:rPr>
              <w:t xml:space="preserve">, 125-139, </w:t>
            </w:r>
            <w:hyperlink r:id="rId75" w:history="1">
              <w:r w:rsidR="00217643" w:rsidRPr="00D66918">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hAnsi="Times New Roman" w:cs="Times New Roman"/>
                <w:sz w:val="20"/>
                <w:szCs w:val="20"/>
              </w:rPr>
              <w:t>.</w:t>
            </w:r>
          </w:p>
          <w:p w14:paraId="69723273" w14:textId="5FD1E15D" w:rsidR="002D7080" w:rsidRPr="004D1E6F" w:rsidRDefault="002D7080" w:rsidP="007F105A">
            <w:pPr>
              <w:ind w:left="720" w:hanging="720"/>
              <w:contextualSpacing/>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 xml:space="preserve">Nunes, A.L., Zengeya, T.A. &amp; Measey, G.J. &amp; Weyl, O.L.F., 2017, ‘Freshwater crayfish invasions in South Africa: past, present and potential future’, </w:t>
            </w:r>
            <w:r w:rsidRPr="004D1E6F">
              <w:rPr>
                <w:rFonts w:ascii="Times New Roman" w:hAnsi="Times New Roman" w:cs="Times New Roman"/>
                <w:i/>
                <w:iCs/>
                <w:sz w:val="20"/>
                <w:szCs w:val="20"/>
              </w:rPr>
              <w:t>African Journal of Aquatic Science</w:t>
            </w:r>
            <w:r w:rsidRPr="004D1E6F">
              <w:rPr>
                <w:rFonts w:ascii="Times New Roman" w:hAnsi="Times New Roman" w:cs="Times New Roman"/>
                <w:sz w:val="20"/>
                <w:szCs w:val="20"/>
              </w:rPr>
              <w:t xml:space="preserve"> </w:t>
            </w:r>
            <w:r w:rsidRPr="004D1E6F">
              <w:rPr>
                <w:rFonts w:ascii="Times New Roman" w:hAnsi="Times New Roman" w:cs="Times New Roman"/>
                <w:bCs/>
                <w:sz w:val="20"/>
                <w:szCs w:val="20"/>
              </w:rPr>
              <w:t>42</w:t>
            </w:r>
            <w:r w:rsidRPr="004D1E6F">
              <w:rPr>
                <w:rFonts w:ascii="Times New Roman" w:hAnsi="Times New Roman" w:cs="Times New Roman"/>
                <w:sz w:val="20"/>
                <w:szCs w:val="20"/>
              </w:rPr>
              <w:t xml:space="preserve">, 309-323, </w:t>
            </w:r>
            <w:hyperlink r:id="rId76" w:history="1">
              <w:r w:rsidR="00217643" w:rsidRPr="00217643">
                <w:rPr>
                  <w:rStyle w:val="Hyperlink"/>
                  <w:rFonts w:ascii="Times New Roman" w:eastAsia="Times New Roman" w:hAnsi="Times New Roman" w:cs="Times New Roman"/>
                  <w:sz w:val="20"/>
                  <w:szCs w:val="20"/>
                  <w:lang w:eastAsia="en-ZA"/>
                </w:rPr>
                <w:t>https://doi.org/10.2989/16085914.2017.1405788</w:t>
              </w:r>
            </w:hyperlink>
            <w:r w:rsidR="00217643">
              <w:rPr>
                <w:rFonts w:ascii="Times New Roman" w:eastAsia="Times New Roman" w:hAnsi="Times New Roman" w:cs="Times New Roman"/>
                <w:color w:val="000000"/>
                <w:sz w:val="20"/>
                <w:szCs w:val="20"/>
                <w:lang w:eastAsia="en-ZA"/>
              </w:rPr>
              <w:t xml:space="preserve">. </w:t>
            </w:r>
          </w:p>
        </w:tc>
      </w:tr>
    </w:tbl>
    <w:p w14:paraId="599D15B1"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54FA1FC3" w14:textId="77777777" w:rsidTr="002E2C37">
        <w:tc>
          <w:tcPr>
            <w:tcW w:w="9016" w:type="dxa"/>
            <w:gridSpan w:val="2"/>
            <w:shd w:val="clear" w:color="auto" w:fill="F2F2F2" w:themeFill="background1" w:themeFillShade="F2"/>
          </w:tcPr>
          <w:p w14:paraId="7A561F42"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LIK4 Climate suitability</w:t>
            </w:r>
          </w:p>
        </w:tc>
      </w:tr>
      <w:tr w:rsidR="002D7080" w:rsidRPr="004D1E6F" w14:paraId="1A12EB6D" w14:textId="77777777" w:rsidTr="002E2C37">
        <w:tc>
          <w:tcPr>
            <w:tcW w:w="5524" w:type="dxa"/>
          </w:tcPr>
          <w:p w14:paraId="1AA14E3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Response: Fairly probable (p = 0.5)</w:t>
            </w:r>
          </w:p>
        </w:tc>
        <w:tc>
          <w:tcPr>
            <w:tcW w:w="3492" w:type="dxa"/>
          </w:tcPr>
          <w:p w14:paraId="394152D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Confidence: Medium</w:t>
            </w:r>
          </w:p>
        </w:tc>
      </w:tr>
      <w:tr w:rsidR="002D7080" w:rsidRPr="004D1E6F" w14:paraId="0D7022DB" w14:textId="77777777" w:rsidTr="002E2C37">
        <w:tc>
          <w:tcPr>
            <w:tcW w:w="9016" w:type="dxa"/>
            <w:gridSpan w:val="2"/>
          </w:tcPr>
          <w:p w14:paraId="62DE83B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lastRenderedPageBreak/>
              <w:t xml:space="preserve">Rationale: </w:t>
            </w:r>
            <w:r w:rsidRPr="004D1E6F">
              <w:rPr>
                <w:rFonts w:ascii="Times New Roman" w:eastAsia="Times New Roman" w:hAnsi="Times New Roman" w:cs="Times New Roman"/>
                <w:color w:val="000000"/>
                <w:sz w:val="20"/>
                <w:szCs w:val="20"/>
                <w:lang w:eastAsia="en-ZA"/>
              </w:rPr>
              <w:t xml:space="preserve">In aquaculture conditions, </w:t>
            </w:r>
            <w:r w:rsidRPr="004D1E6F">
              <w:rPr>
                <w:rFonts w:ascii="Times New Roman" w:eastAsia="Arial" w:hAnsi="Times New Roman" w:cs="Times New Roman"/>
                <w:i/>
                <w:sz w:val="20"/>
                <w:szCs w:val="20"/>
              </w:rPr>
              <w:t>Cherax tenuimanus</w:t>
            </w:r>
            <w:r w:rsidRPr="004D1E6F">
              <w:rPr>
                <w:rFonts w:ascii="Times New Roman" w:eastAsia="Arial" w:hAnsi="Times New Roman" w:cs="Times New Roman"/>
                <w:sz w:val="20"/>
                <w:szCs w:val="20"/>
              </w:rPr>
              <w:t xml:space="preserve"> has a thermal tolerance range of 8-29°C with an optimal range of 17-25°C (Department of Agriculture, Landform and Rural Development, 2018). Growth ceases when temperature is &lt;12.5 °C (Department of Agriculture, Landform and Rural Development, 2018). The projected areas that are climatically suitable for marron in South Africa (predicted using </w:t>
            </w:r>
            <w:r w:rsidRPr="004D1E6F">
              <w:rPr>
                <w:rFonts w:ascii="Times New Roman" w:eastAsia="Arial" w:hAnsi="Times New Roman" w:cs="Times New Roman"/>
                <w:i/>
                <w:sz w:val="20"/>
                <w:szCs w:val="20"/>
              </w:rPr>
              <w:t>C. cainii</w:t>
            </w:r>
            <w:r w:rsidRPr="004D1E6F">
              <w:rPr>
                <w:rFonts w:ascii="Times New Roman" w:eastAsia="Arial" w:hAnsi="Times New Roman" w:cs="Times New Roman"/>
                <w:sz w:val="20"/>
                <w:szCs w:val="20"/>
              </w:rPr>
              <w:t xml:space="preserve">) are </w:t>
            </w:r>
            <w:r w:rsidRPr="004D1E6F">
              <w:rPr>
                <w:rFonts w:ascii="Times New Roman" w:eastAsia="Arimo" w:hAnsi="Times New Roman" w:cs="Times New Roman"/>
                <w:sz w:val="20"/>
                <w:szCs w:val="20"/>
              </w:rPr>
              <w:t xml:space="preserve">located mainly in the eastern part of the country and a few areas in the Western Cape </w:t>
            </w:r>
            <w:r w:rsidRPr="004D1E6F">
              <w:rPr>
                <w:rFonts w:ascii="Times New Roman" w:eastAsia="Arimo" w:hAnsi="Times New Roman" w:cs="Times New Roman"/>
                <w:sz w:val="20"/>
                <w:szCs w:val="20"/>
              </w:rPr>
              <w:fldChar w:fldCharType="begin" w:fldLock="1"/>
            </w:r>
            <w:r w:rsidRPr="004D1E6F">
              <w:rPr>
                <w:rFonts w:ascii="Times New Roman" w:eastAsia="Arimo" w:hAnsi="Times New Roman" w:cs="Times New Roman"/>
                <w:sz w:val="20"/>
                <w:szCs w:val="20"/>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"mendeley" : { "formattedCitation" : "(Nunes et al. 2017)", "plainTextFormattedCitation" : "(Nunes et al. 2017)", "previouslyFormattedCitation" : "(Nunes et al. 2017)" }, "properties" : { "noteIndex" : 0 }, "schema" : "https://github.com/citation-style-language/schema/raw/master/csl-citation.json" }</w:instrText>
            </w:r>
            <w:r w:rsidRPr="004D1E6F">
              <w:rPr>
                <w:rFonts w:ascii="Times New Roman" w:eastAsia="Arimo" w:hAnsi="Times New Roman" w:cs="Times New Roman"/>
                <w:sz w:val="20"/>
                <w:szCs w:val="20"/>
              </w:rPr>
              <w:fldChar w:fldCharType="separate"/>
            </w:r>
            <w:r w:rsidRPr="004D1E6F">
              <w:rPr>
                <w:rFonts w:ascii="Times New Roman" w:eastAsia="Arimo" w:hAnsi="Times New Roman" w:cs="Times New Roman"/>
                <w:sz w:val="20"/>
                <w:szCs w:val="20"/>
              </w:rPr>
              <w:t>(Nunes et al. 2017)</w:t>
            </w:r>
            <w:r w:rsidRPr="004D1E6F">
              <w:rPr>
                <w:rFonts w:ascii="Times New Roman" w:eastAsia="Arimo" w:hAnsi="Times New Roman" w:cs="Times New Roman"/>
                <w:sz w:val="20"/>
                <w:szCs w:val="20"/>
              </w:rPr>
              <w:fldChar w:fldCharType="end"/>
            </w:r>
            <w:r w:rsidRPr="004D1E6F">
              <w:rPr>
                <w:rFonts w:ascii="Times New Roman" w:eastAsia="Arimo" w:hAnsi="Times New Roman" w:cs="Times New Roman"/>
                <w:sz w:val="20"/>
                <w:szCs w:val="20"/>
              </w:rPr>
              <w:t xml:space="preserve">. The suitable areas were mainly restricted to upland areas of the Greater Berg, Kromme, Great Kei, Mzimvubu, uMngeni, Phongolo, Crocodile and Limpopo catchment areas </w:t>
            </w:r>
            <w:r w:rsidRPr="004D1E6F">
              <w:rPr>
                <w:rFonts w:ascii="Times New Roman" w:eastAsia="Arimo" w:hAnsi="Times New Roman" w:cs="Times New Roman"/>
                <w:sz w:val="20"/>
                <w:szCs w:val="20"/>
              </w:rPr>
              <w:fldChar w:fldCharType="begin" w:fldLock="1"/>
            </w:r>
            <w:r w:rsidRPr="004D1E6F">
              <w:rPr>
                <w:rFonts w:ascii="Times New Roman" w:eastAsia="Arimo" w:hAnsi="Times New Roman" w:cs="Times New Roman"/>
                <w:sz w:val="20"/>
                <w:szCs w:val="20"/>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"mendeley" : { "formattedCitation" : "(Nunes et al. 2017)", "plainTextFormattedCitation" : "(Nunes et al. 2017)", "previouslyFormattedCitation" : "(Nunes et al. 2017)" }, "properties" : { "noteIndex" : 0 }, "schema" : "https://github.com/citation-style-language/schema/raw/master/csl-citation.json" }</w:instrText>
            </w:r>
            <w:r w:rsidRPr="004D1E6F">
              <w:rPr>
                <w:rFonts w:ascii="Times New Roman" w:eastAsia="Arimo" w:hAnsi="Times New Roman" w:cs="Times New Roman"/>
                <w:sz w:val="20"/>
                <w:szCs w:val="20"/>
              </w:rPr>
              <w:fldChar w:fldCharType="separate"/>
            </w:r>
            <w:r w:rsidRPr="004D1E6F">
              <w:rPr>
                <w:rFonts w:ascii="Times New Roman" w:eastAsia="Arimo" w:hAnsi="Times New Roman" w:cs="Times New Roman"/>
                <w:sz w:val="20"/>
                <w:szCs w:val="20"/>
              </w:rPr>
              <w:t>(Nunes et al. 2017)</w:t>
            </w:r>
            <w:r w:rsidRPr="004D1E6F">
              <w:rPr>
                <w:rFonts w:ascii="Times New Roman" w:eastAsia="Arimo" w:hAnsi="Times New Roman" w:cs="Times New Roman"/>
                <w:sz w:val="20"/>
                <w:szCs w:val="20"/>
              </w:rPr>
              <w:fldChar w:fldCharType="end"/>
            </w:r>
            <w:r w:rsidRPr="004D1E6F">
              <w:rPr>
                <w:rFonts w:ascii="Times New Roman" w:eastAsia="Arimo" w:hAnsi="Times New Roman" w:cs="Times New Roman"/>
                <w:sz w:val="20"/>
                <w:szCs w:val="20"/>
              </w:rPr>
              <w:t>.</w:t>
            </w:r>
          </w:p>
        </w:tc>
      </w:tr>
      <w:tr w:rsidR="002D7080" w:rsidRPr="004D1E6F" w14:paraId="2500B313" w14:textId="77777777" w:rsidTr="002E2C37">
        <w:tc>
          <w:tcPr>
            <w:tcW w:w="9016" w:type="dxa"/>
            <w:gridSpan w:val="2"/>
          </w:tcPr>
          <w:p w14:paraId="21F5EC73" w14:textId="77777777" w:rsidR="002D7080" w:rsidRPr="004D1E6F" w:rsidRDefault="002D7080" w:rsidP="00663569">
            <w:pPr>
              <w:contextualSpacing/>
              <w:jc w:val="both"/>
              <w:rPr>
                <w:rFonts w:ascii="Times New Roman" w:eastAsia="Arial" w:hAnsi="Times New Roman" w:cs="Times New Roman"/>
                <w:sz w:val="20"/>
                <w:szCs w:val="20"/>
              </w:rPr>
            </w:pPr>
            <w:r w:rsidRPr="004D1E6F">
              <w:rPr>
                <w:rFonts w:ascii="Times New Roman" w:eastAsia="Arial" w:hAnsi="Times New Roman" w:cs="Times New Roman"/>
                <w:sz w:val="20"/>
                <w:szCs w:val="20"/>
              </w:rPr>
              <w:t>References:</w:t>
            </w:r>
          </w:p>
          <w:p w14:paraId="727CB6CA" w14:textId="77777777" w:rsidR="002D7080" w:rsidRPr="004D1E6F" w:rsidRDefault="002D7080" w:rsidP="00663569">
            <w:pPr>
              <w:ind w:left="720" w:hanging="720"/>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Department of Agriculture, Landform and Rural Development, viewed 10 August 2018, from </w:t>
            </w:r>
            <w:r w:rsidRPr="004D1E6F">
              <w:rPr>
                <w:rFonts w:ascii="Times New Roman" w:eastAsia="Arial" w:hAnsi="Times New Roman" w:cs="Times New Roman"/>
                <w:sz w:val="20"/>
                <w:szCs w:val="20"/>
              </w:rPr>
              <w:t>https://www.nda.agric.za/doadev/sidemenu/fisheries/03_areasofwork/Aquaculture/ BIODIVERSITY/C%20%20tenuimanus%20final%20BRBA.pdf</w:t>
            </w:r>
          </w:p>
          <w:p w14:paraId="357D5A5F" w14:textId="7F06527A" w:rsidR="002D7080" w:rsidRPr="004D1E6F" w:rsidRDefault="002D7080" w:rsidP="00663569">
            <w:pPr>
              <w:ind w:left="720" w:hanging="720"/>
              <w:contextualSpacing/>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 xml:space="preserve">Nunes, A.L., Zengeya, T.A. &amp; Measey, G.J. &amp; Weyl, O.L.F., 2017, ‘Freshwater crayfish invasions in South Africa: past, present and potential future’, </w:t>
            </w:r>
            <w:r w:rsidRPr="004D1E6F">
              <w:rPr>
                <w:rFonts w:ascii="Times New Roman" w:hAnsi="Times New Roman" w:cs="Times New Roman"/>
                <w:i/>
                <w:iCs/>
                <w:sz w:val="20"/>
                <w:szCs w:val="20"/>
              </w:rPr>
              <w:t>African Journal of Aquatic Science</w:t>
            </w:r>
            <w:r w:rsidRPr="004D1E6F">
              <w:rPr>
                <w:rFonts w:ascii="Times New Roman" w:hAnsi="Times New Roman" w:cs="Times New Roman"/>
                <w:sz w:val="20"/>
                <w:szCs w:val="20"/>
              </w:rPr>
              <w:t xml:space="preserve"> </w:t>
            </w:r>
            <w:r w:rsidRPr="004D1E6F">
              <w:rPr>
                <w:rFonts w:ascii="Times New Roman" w:hAnsi="Times New Roman" w:cs="Times New Roman"/>
                <w:bCs/>
                <w:sz w:val="20"/>
                <w:szCs w:val="20"/>
              </w:rPr>
              <w:t>42</w:t>
            </w:r>
            <w:r w:rsidRPr="004D1E6F">
              <w:rPr>
                <w:rFonts w:ascii="Times New Roman" w:hAnsi="Times New Roman" w:cs="Times New Roman"/>
                <w:sz w:val="20"/>
                <w:szCs w:val="20"/>
              </w:rPr>
              <w:t xml:space="preserve">, 309-323, </w:t>
            </w:r>
            <w:hyperlink r:id="rId77" w:history="1">
              <w:r w:rsidR="00217643" w:rsidRPr="00217643">
                <w:rPr>
                  <w:rStyle w:val="Hyperlink"/>
                  <w:rFonts w:ascii="Times New Roman" w:eastAsia="Times New Roman" w:hAnsi="Times New Roman" w:cs="Times New Roman"/>
                  <w:sz w:val="20"/>
                  <w:szCs w:val="20"/>
                  <w:lang w:eastAsia="en-ZA"/>
                </w:rPr>
                <w:t>https://doi.org/10.2989/16085914.2017.1405788</w:t>
              </w:r>
            </w:hyperlink>
            <w:r w:rsidR="00217643" w:rsidRPr="00217643">
              <w:rPr>
                <w:rFonts w:ascii="Times New Roman" w:eastAsia="Times New Roman" w:hAnsi="Times New Roman" w:cs="Times New Roman"/>
                <w:color w:val="000000"/>
                <w:sz w:val="20"/>
                <w:szCs w:val="20"/>
                <w:lang w:eastAsia="en-ZA"/>
              </w:rPr>
              <w:t>.</w:t>
            </w:r>
          </w:p>
        </w:tc>
      </w:tr>
    </w:tbl>
    <w:p w14:paraId="26E29B19" w14:textId="77777777" w:rsidR="002D7080" w:rsidRPr="004D1E6F" w:rsidRDefault="002D7080" w:rsidP="00663569">
      <w:pPr>
        <w:spacing w:after="0" w:line="240" w:lineRule="auto"/>
        <w:contextualSpacing/>
        <w:jc w:val="both"/>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5D3C7BC5" w14:textId="77777777" w:rsidTr="002E2C37">
        <w:tc>
          <w:tcPr>
            <w:tcW w:w="9016" w:type="dxa"/>
            <w:gridSpan w:val="2"/>
            <w:shd w:val="clear" w:color="auto" w:fill="F2F2F2" w:themeFill="background1" w:themeFillShade="F2"/>
          </w:tcPr>
          <w:p w14:paraId="5E64D497"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LIK5 Unaided secondary (dispersal) pathways</w:t>
            </w:r>
          </w:p>
        </w:tc>
      </w:tr>
      <w:tr w:rsidR="002D7080" w:rsidRPr="004D1E6F" w14:paraId="2F6C8D52" w14:textId="77777777" w:rsidTr="002E2C37">
        <w:tc>
          <w:tcPr>
            <w:tcW w:w="5524" w:type="dxa"/>
          </w:tcPr>
          <w:p w14:paraId="7465296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Response: Unlikely (p = 0.027)</w:t>
            </w:r>
          </w:p>
        </w:tc>
        <w:tc>
          <w:tcPr>
            <w:tcW w:w="3492" w:type="dxa"/>
          </w:tcPr>
          <w:p w14:paraId="67F14EE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Confidence: Medium</w:t>
            </w:r>
          </w:p>
        </w:tc>
      </w:tr>
      <w:tr w:rsidR="002D7080" w:rsidRPr="004D1E6F" w14:paraId="3F5C9A39" w14:textId="77777777" w:rsidTr="002E2C37">
        <w:trPr>
          <w:trHeight w:val="70"/>
        </w:trPr>
        <w:tc>
          <w:tcPr>
            <w:tcW w:w="9016" w:type="dxa"/>
            <w:gridSpan w:val="2"/>
          </w:tcPr>
          <w:p w14:paraId="72764C5E" w14:textId="4141DF25"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 xml:space="preserve">Rationale: There are no naturalised populations in South Africa or neighbouring countries that could act as sources for secondary dispersal </w:t>
            </w:r>
            <w:r w:rsidRPr="004D1E6F">
              <w:rPr>
                <w:rFonts w:ascii="Times New Roman" w:eastAsia="Arial" w:hAnsi="Times New Roman" w:cs="Times New Roman"/>
                <w:sz w:val="20"/>
                <w:szCs w:val="20"/>
              </w:rPr>
              <w:fldChar w:fldCharType="begin" w:fldLock="1"/>
            </w:r>
            <w:r w:rsidRPr="004D1E6F">
              <w:rPr>
                <w:rFonts w:ascii="Times New Roman" w:eastAsia="Arial" w:hAnsi="Times New Roman" w:cs="Times New Roman"/>
                <w:sz w:val="20"/>
                <w:szCs w:val="20"/>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"ITEM-2", "issue" : "2", "issued" : { "date-parts" : [ [ "2002" ] ] }, "page" : "125-139", "title" : "Potential impacts of alien freshwater crayfish in south africa", "type" : "article-journal", "volume" : "27" }, "uris" : [ "http://www.mendeley.com/documents/?uuid=c5c2a256-5d98-4f2f-9b7a-d62d27b07fc1"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4D1E6F">
              <w:rPr>
                <w:rFonts w:ascii="Times New Roman" w:eastAsia="Arial" w:hAnsi="Times New Roman" w:cs="Times New Roman"/>
                <w:sz w:val="20"/>
                <w:szCs w:val="20"/>
              </w:rPr>
              <w:fldChar w:fldCharType="separate"/>
            </w:r>
            <w:r w:rsidRPr="004D1E6F">
              <w:rPr>
                <w:rFonts w:ascii="Times New Roman" w:eastAsia="Arial" w:hAnsi="Times New Roman" w:cs="Times New Roman"/>
                <w:sz w:val="20"/>
                <w:szCs w:val="20"/>
              </w:rPr>
              <w:t>(</w:t>
            </w:r>
            <w:r w:rsidR="008A0BC6">
              <w:rPr>
                <w:rFonts w:ascii="Times New Roman" w:eastAsia="Arial" w:hAnsi="Times New Roman" w:cs="Times New Roman"/>
                <w:sz w:val="20"/>
                <w:szCs w:val="20"/>
              </w:rPr>
              <w:t>De Moor</w:t>
            </w:r>
            <w:r w:rsidRPr="004D1E6F">
              <w:rPr>
                <w:rFonts w:ascii="Times New Roman" w:eastAsia="Arial" w:hAnsi="Times New Roman" w:cs="Times New Roman"/>
                <w:sz w:val="20"/>
                <w:szCs w:val="20"/>
              </w:rPr>
              <w:t xml:space="preserve"> 2002; Nunes et al. 2017)</w:t>
            </w:r>
            <w:r w:rsidRPr="004D1E6F">
              <w:rPr>
                <w:rFonts w:ascii="Times New Roman" w:eastAsia="Arial" w:hAnsi="Times New Roman" w:cs="Times New Roman"/>
                <w:sz w:val="20"/>
                <w:szCs w:val="20"/>
              </w:rPr>
              <w:fldChar w:fldCharType="end"/>
            </w:r>
            <w:r w:rsidRPr="004D1E6F">
              <w:rPr>
                <w:rFonts w:ascii="Times New Roman" w:eastAsia="Arial" w:hAnsi="Times New Roman" w:cs="Times New Roman"/>
                <w:sz w:val="20"/>
                <w:szCs w:val="20"/>
              </w:rPr>
              <w:t>.</w:t>
            </w:r>
          </w:p>
        </w:tc>
      </w:tr>
      <w:tr w:rsidR="002D7080" w:rsidRPr="004D1E6F" w14:paraId="3C018B90" w14:textId="77777777" w:rsidTr="002E2C37">
        <w:tc>
          <w:tcPr>
            <w:tcW w:w="9016" w:type="dxa"/>
            <w:gridSpan w:val="2"/>
          </w:tcPr>
          <w:p w14:paraId="5E956215" w14:textId="77777777" w:rsidR="002D7080" w:rsidRPr="004D1E6F" w:rsidRDefault="002D7080" w:rsidP="007F105A">
            <w:pPr>
              <w:widowControl w:val="0"/>
              <w:ind w:left="480" w:hanging="480"/>
              <w:contextualSpacing/>
              <w:jc w:val="both"/>
              <w:rPr>
                <w:rFonts w:ascii="Times New Roman" w:eastAsia="Arial" w:hAnsi="Times New Roman" w:cs="Times New Roman"/>
                <w:sz w:val="20"/>
                <w:szCs w:val="20"/>
              </w:rPr>
            </w:pPr>
            <w:r w:rsidRPr="004D1E6F">
              <w:rPr>
                <w:rFonts w:ascii="Times New Roman" w:eastAsia="Arial" w:hAnsi="Times New Roman" w:cs="Times New Roman"/>
                <w:sz w:val="20"/>
                <w:szCs w:val="20"/>
              </w:rPr>
              <w:t xml:space="preserve">References: </w:t>
            </w:r>
          </w:p>
          <w:p w14:paraId="4310487E" w14:textId="6BAF1D5C" w:rsidR="00217643" w:rsidRPr="00217643" w:rsidRDefault="008A0BC6" w:rsidP="007F105A">
            <w:pPr>
              <w:ind w:left="720" w:hanging="720"/>
              <w:contextualSpacing/>
              <w:jc w:val="both"/>
              <w:rPr>
                <w:rFonts w:ascii="Times New Roman" w:hAnsi="Times New Roman" w:cs="Times New Roman"/>
                <w:sz w:val="20"/>
                <w:szCs w:val="20"/>
              </w:rPr>
            </w:pPr>
            <w:r>
              <w:rPr>
                <w:rFonts w:ascii="Times New Roman" w:hAnsi="Times New Roman" w:cs="Times New Roman"/>
                <w:sz w:val="20"/>
                <w:szCs w:val="20"/>
              </w:rPr>
              <w:t>De Moor</w:t>
            </w:r>
            <w:r w:rsidR="00217643" w:rsidRPr="00217643">
              <w:rPr>
                <w:rFonts w:ascii="Times New Roman" w:hAnsi="Times New Roman" w:cs="Times New Roman"/>
                <w:sz w:val="20"/>
                <w:szCs w:val="20"/>
              </w:rPr>
              <w:t xml:space="preserve">, I., 2002, ‘Potential impacts of alien freshwater crayfish in South Africa’, </w:t>
            </w:r>
            <w:r w:rsidR="00217643" w:rsidRPr="00217643">
              <w:rPr>
                <w:rFonts w:ascii="Times New Roman" w:hAnsi="Times New Roman" w:cs="Times New Roman"/>
                <w:i/>
                <w:iCs/>
                <w:sz w:val="20"/>
                <w:szCs w:val="20"/>
              </w:rPr>
              <w:t>African Journal of Aquatic Science</w:t>
            </w:r>
            <w:r w:rsidR="00217643" w:rsidRPr="00217643">
              <w:rPr>
                <w:rFonts w:ascii="Times New Roman" w:hAnsi="Times New Roman" w:cs="Times New Roman"/>
                <w:sz w:val="20"/>
                <w:szCs w:val="20"/>
              </w:rPr>
              <w:t xml:space="preserve"> </w:t>
            </w:r>
            <w:r w:rsidR="00217643" w:rsidRPr="00217643">
              <w:rPr>
                <w:rFonts w:ascii="Times New Roman" w:hAnsi="Times New Roman" w:cs="Times New Roman"/>
                <w:bCs/>
                <w:sz w:val="20"/>
                <w:szCs w:val="20"/>
              </w:rPr>
              <w:t>27</w:t>
            </w:r>
            <w:r w:rsidR="00217643" w:rsidRPr="00217643">
              <w:rPr>
                <w:rFonts w:ascii="Times New Roman" w:hAnsi="Times New Roman" w:cs="Times New Roman"/>
                <w:sz w:val="20"/>
                <w:szCs w:val="20"/>
              </w:rPr>
              <w:t xml:space="preserve">, 125-139, </w:t>
            </w:r>
            <w:hyperlink r:id="rId78" w:history="1">
              <w:r w:rsidR="00217643" w:rsidRPr="00217643">
                <w:rPr>
                  <w:rStyle w:val="Hyperlink"/>
                  <w:rFonts w:ascii="Times New Roman" w:hAnsi="Times New Roman" w:cs="Times New Roman"/>
                  <w:sz w:val="20"/>
                  <w:szCs w:val="20"/>
                </w:rPr>
                <w:t>https://doi.org/10.2989/16085914.2002.9626584</w:t>
              </w:r>
            </w:hyperlink>
            <w:r w:rsidR="00217643" w:rsidRPr="00217643">
              <w:rPr>
                <w:rFonts w:ascii="Times New Roman" w:hAnsi="Times New Roman" w:cs="Times New Roman"/>
                <w:sz w:val="20"/>
                <w:szCs w:val="20"/>
              </w:rPr>
              <w:t>.</w:t>
            </w:r>
          </w:p>
          <w:p w14:paraId="7ECA8FF4" w14:textId="456071E6" w:rsidR="002D7080" w:rsidRPr="004D1E6F" w:rsidRDefault="00217643" w:rsidP="007F105A">
            <w:pPr>
              <w:ind w:left="720" w:hanging="720"/>
              <w:contextualSpacing/>
              <w:jc w:val="both"/>
              <w:rPr>
                <w:rFonts w:ascii="Times New Roman" w:eastAsia="Times New Roman" w:hAnsi="Times New Roman" w:cs="Times New Roman"/>
                <w:sz w:val="20"/>
                <w:szCs w:val="20"/>
                <w:lang w:eastAsia="en-ZA"/>
              </w:rPr>
            </w:pPr>
            <w:r w:rsidRPr="00217643">
              <w:rPr>
                <w:rFonts w:ascii="Times New Roman" w:hAnsi="Times New Roman" w:cs="Times New Roman"/>
                <w:sz w:val="20"/>
                <w:szCs w:val="20"/>
              </w:rPr>
              <w:t xml:space="preserve">Nunes, A.L., Zengeya, T.A. &amp; Measey, G.J. &amp; Weyl, O.L.F., 2017, ‘Freshwater crayfish invasions in South Africa: past, present and potential future’, </w:t>
            </w:r>
            <w:r w:rsidRPr="00217643">
              <w:rPr>
                <w:rFonts w:ascii="Times New Roman" w:hAnsi="Times New Roman" w:cs="Times New Roman"/>
                <w:i/>
                <w:iCs/>
                <w:sz w:val="20"/>
                <w:szCs w:val="20"/>
              </w:rPr>
              <w:t>African Journal of Aquatic Science</w:t>
            </w:r>
            <w:r w:rsidRPr="00217643">
              <w:rPr>
                <w:rFonts w:ascii="Times New Roman" w:hAnsi="Times New Roman" w:cs="Times New Roman"/>
                <w:sz w:val="20"/>
                <w:szCs w:val="20"/>
              </w:rPr>
              <w:t xml:space="preserve"> </w:t>
            </w:r>
            <w:r w:rsidRPr="00217643">
              <w:rPr>
                <w:rFonts w:ascii="Times New Roman" w:hAnsi="Times New Roman" w:cs="Times New Roman"/>
                <w:bCs/>
                <w:sz w:val="20"/>
                <w:szCs w:val="20"/>
              </w:rPr>
              <w:t>42</w:t>
            </w:r>
            <w:r w:rsidRPr="00217643">
              <w:rPr>
                <w:rFonts w:ascii="Times New Roman" w:hAnsi="Times New Roman" w:cs="Times New Roman"/>
                <w:sz w:val="20"/>
                <w:szCs w:val="20"/>
              </w:rPr>
              <w:t xml:space="preserve">, 309-323, </w:t>
            </w:r>
            <w:hyperlink r:id="rId79" w:history="1">
              <w:r w:rsidRPr="00217643">
                <w:rPr>
                  <w:rStyle w:val="Hyperlink"/>
                  <w:rFonts w:ascii="Times New Roman" w:hAnsi="Times New Roman" w:cs="Times New Roman"/>
                  <w:sz w:val="20"/>
                  <w:szCs w:val="20"/>
                </w:rPr>
                <w:t>https://doi.org/10.2989/16085914.2017.1405788</w:t>
              </w:r>
            </w:hyperlink>
            <w:r w:rsidRPr="00217643">
              <w:rPr>
                <w:rFonts w:ascii="Times New Roman" w:hAnsi="Times New Roman" w:cs="Times New Roman"/>
                <w:sz w:val="20"/>
                <w:szCs w:val="20"/>
              </w:rPr>
              <w:t>.</w:t>
            </w:r>
          </w:p>
        </w:tc>
      </w:tr>
    </w:tbl>
    <w:p w14:paraId="2253D9F9" w14:textId="77777777" w:rsidR="002D7080" w:rsidRPr="004D1E6F" w:rsidRDefault="002D7080" w:rsidP="002D7080">
      <w:pPr>
        <w:spacing w:after="0" w:line="240" w:lineRule="auto"/>
        <w:contextualSpacing/>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2C7EA77D" w14:textId="77777777" w:rsidTr="002E2C37">
        <w:tc>
          <w:tcPr>
            <w:tcW w:w="9016" w:type="dxa"/>
            <w:gridSpan w:val="2"/>
            <w:shd w:val="clear" w:color="auto" w:fill="F2F2F2" w:themeFill="background1" w:themeFillShade="F2"/>
          </w:tcPr>
          <w:p w14:paraId="05DDE3F3"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LIK6 Human aided secondary (dispersal) pathways</w:t>
            </w:r>
          </w:p>
        </w:tc>
      </w:tr>
      <w:tr w:rsidR="002D7080" w:rsidRPr="004D1E6F" w14:paraId="78763E0F" w14:textId="77777777" w:rsidTr="002E2C37">
        <w:tc>
          <w:tcPr>
            <w:tcW w:w="5524" w:type="dxa"/>
          </w:tcPr>
          <w:p w14:paraId="11EC217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Response: Probable (p = 1)</w:t>
            </w:r>
          </w:p>
        </w:tc>
        <w:tc>
          <w:tcPr>
            <w:tcW w:w="3492" w:type="dxa"/>
          </w:tcPr>
          <w:p w14:paraId="2ACC3E1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Confidence: Medium</w:t>
            </w:r>
          </w:p>
        </w:tc>
      </w:tr>
      <w:tr w:rsidR="002D7080" w:rsidRPr="004D1E6F" w14:paraId="53D4BE5D" w14:textId="77777777" w:rsidTr="002E2C37">
        <w:tc>
          <w:tcPr>
            <w:tcW w:w="9016" w:type="dxa"/>
            <w:gridSpan w:val="2"/>
          </w:tcPr>
          <w:p w14:paraId="6B37B983" w14:textId="63692F38"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Rationale:</w:t>
            </w:r>
            <w:r w:rsidRPr="004D1E6F">
              <w:rPr>
                <w:rFonts w:ascii="Times New Roman" w:eastAsia="Arial" w:hAnsi="Times New Roman" w:cs="Times New Roman"/>
                <w:i/>
                <w:sz w:val="20"/>
                <w:szCs w:val="20"/>
              </w:rPr>
              <w:t xml:space="preserve"> Cherax tenuimanus </w:t>
            </w:r>
            <w:r w:rsidRPr="004D1E6F">
              <w:rPr>
                <w:rFonts w:ascii="Times New Roman" w:eastAsia="Arial" w:hAnsi="Times New Roman" w:cs="Times New Roman"/>
                <w:sz w:val="20"/>
                <w:szCs w:val="20"/>
              </w:rPr>
              <w:t>is only used for aquaculture in South Africa and the potential for intentional release</w:t>
            </w:r>
            <w:r w:rsidRPr="004D1E6F">
              <w:rPr>
                <w:rFonts w:ascii="Times New Roman" w:eastAsia="Times New Roman" w:hAnsi="Times New Roman" w:cs="Times New Roman"/>
                <w:color w:val="000000"/>
                <w:sz w:val="20"/>
                <w:szCs w:val="20"/>
                <w:lang w:eastAsia="en-ZA"/>
              </w:rPr>
              <w:t>, or unintentional escape,</w:t>
            </w:r>
            <w:r w:rsidRPr="004D1E6F">
              <w:rPr>
                <w:rFonts w:ascii="Times New Roman" w:eastAsia="Arial" w:hAnsi="Times New Roman" w:cs="Times New Roman"/>
                <w:sz w:val="20"/>
                <w:szCs w:val="20"/>
              </w:rPr>
              <w:t xml:space="preserve"> is high (</w:t>
            </w:r>
            <w:r w:rsidR="008A0BC6">
              <w:rPr>
                <w:rFonts w:ascii="Times New Roman" w:eastAsia="Arial" w:hAnsi="Times New Roman" w:cs="Times New Roman"/>
                <w:sz w:val="20"/>
                <w:szCs w:val="20"/>
              </w:rPr>
              <w:t>De Moor</w:t>
            </w:r>
            <w:r w:rsidRPr="004D1E6F">
              <w:rPr>
                <w:rFonts w:ascii="Times New Roman" w:eastAsia="Arial" w:hAnsi="Times New Roman" w:cs="Times New Roman"/>
                <w:sz w:val="20"/>
                <w:szCs w:val="20"/>
              </w:rPr>
              <w:t xml:space="preserve"> 2002; Nunes et al. 2017).</w:t>
            </w:r>
          </w:p>
        </w:tc>
      </w:tr>
      <w:tr w:rsidR="002D7080" w:rsidRPr="004D1E6F" w14:paraId="248586CF" w14:textId="77777777" w:rsidTr="002E2C37">
        <w:tc>
          <w:tcPr>
            <w:tcW w:w="9016" w:type="dxa"/>
            <w:gridSpan w:val="2"/>
          </w:tcPr>
          <w:p w14:paraId="2397E5A8" w14:textId="77777777" w:rsidR="002D7080" w:rsidRPr="004D1E6F" w:rsidRDefault="002D7080" w:rsidP="007F105A">
            <w:pPr>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References: </w:t>
            </w:r>
          </w:p>
          <w:p w14:paraId="155218C7" w14:textId="77777777" w:rsidR="002D7080" w:rsidRPr="004D1E6F" w:rsidRDefault="002D7080" w:rsidP="007F105A">
            <w:pPr>
              <w:ind w:left="567" w:hanging="567"/>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Bryant, D. &amp; Papas, P., 2007, ‘Marron </w:t>
            </w:r>
            <w:r w:rsidRPr="004D1E6F">
              <w:rPr>
                <w:rFonts w:ascii="Times New Roman" w:hAnsi="Times New Roman" w:cs="Times New Roman"/>
                <w:i/>
                <w:iCs/>
                <w:sz w:val="20"/>
                <w:szCs w:val="20"/>
              </w:rPr>
              <w:t>Cherax cainii</w:t>
            </w:r>
            <w:r w:rsidRPr="004D1E6F">
              <w:rPr>
                <w:rFonts w:ascii="Times New Roman" w:hAnsi="Times New Roman" w:cs="Times New Roman"/>
                <w:sz w:val="20"/>
                <w:szCs w:val="20"/>
              </w:rPr>
              <w:t xml:space="preserve"> (Austin) in Victoria – a literature review’, Arthur Rylah Institute for Environmental Research Technical Report Series No. 167, Department of Sustainability and Environment, Heidelberg.</w:t>
            </w:r>
          </w:p>
          <w:p w14:paraId="3B6C77E4" w14:textId="6092DADF" w:rsidR="00217643" w:rsidRPr="00217643" w:rsidRDefault="008A0BC6" w:rsidP="007F105A">
            <w:pPr>
              <w:ind w:left="567" w:hanging="567"/>
              <w:contextualSpacing/>
              <w:jc w:val="both"/>
              <w:rPr>
                <w:rFonts w:ascii="Times New Roman" w:hAnsi="Times New Roman" w:cs="Times New Roman"/>
                <w:sz w:val="20"/>
                <w:szCs w:val="20"/>
              </w:rPr>
            </w:pPr>
            <w:r>
              <w:rPr>
                <w:rFonts w:ascii="Times New Roman" w:hAnsi="Times New Roman" w:cs="Times New Roman"/>
                <w:sz w:val="20"/>
                <w:szCs w:val="20"/>
              </w:rPr>
              <w:t>De Moor</w:t>
            </w:r>
            <w:r w:rsidR="00217643" w:rsidRPr="00217643">
              <w:rPr>
                <w:rFonts w:ascii="Times New Roman" w:hAnsi="Times New Roman" w:cs="Times New Roman"/>
                <w:sz w:val="20"/>
                <w:szCs w:val="20"/>
              </w:rPr>
              <w:t xml:space="preserve">, I., 2002, ‘Potential impacts of alien freshwater crayfish in South Africa’, </w:t>
            </w:r>
            <w:r w:rsidR="00217643" w:rsidRPr="00217643">
              <w:rPr>
                <w:rFonts w:ascii="Times New Roman" w:hAnsi="Times New Roman" w:cs="Times New Roman"/>
                <w:i/>
                <w:iCs/>
                <w:sz w:val="20"/>
                <w:szCs w:val="20"/>
              </w:rPr>
              <w:t>African Journal of Aquatic Science</w:t>
            </w:r>
            <w:r w:rsidR="00217643" w:rsidRPr="00217643">
              <w:rPr>
                <w:rFonts w:ascii="Times New Roman" w:hAnsi="Times New Roman" w:cs="Times New Roman"/>
                <w:sz w:val="20"/>
                <w:szCs w:val="20"/>
              </w:rPr>
              <w:t xml:space="preserve"> </w:t>
            </w:r>
            <w:r w:rsidR="00217643" w:rsidRPr="00217643">
              <w:rPr>
                <w:rFonts w:ascii="Times New Roman" w:hAnsi="Times New Roman" w:cs="Times New Roman"/>
                <w:bCs/>
                <w:sz w:val="20"/>
                <w:szCs w:val="20"/>
              </w:rPr>
              <w:t>27</w:t>
            </w:r>
            <w:r w:rsidR="00217643" w:rsidRPr="00217643">
              <w:rPr>
                <w:rFonts w:ascii="Times New Roman" w:hAnsi="Times New Roman" w:cs="Times New Roman"/>
                <w:sz w:val="20"/>
                <w:szCs w:val="20"/>
              </w:rPr>
              <w:t xml:space="preserve">, 125-139, </w:t>
            </w:r>
            <w:hyperlink r:id="rId80" w:history="1">
              <w:r w:rsidR="00217643" w:rsidRPr="00217643">
                <w:rPr>
                  <w:rStyle w:val="Hyperlink"/>
                  <w:rFonts w:ascii="Times New Roman" w:hAnsi="Times New Roman" w:cs="Times New Roman"/>
                  <w:sz w:val="20"/>
                  <w:szCs w:val="20"/>
                </w:rPr>
                <w:t>https://doi.org/10.2989/16085914.2002.9626584</w:t>
              </w:r>
            </w:hyperlink>
            <w:r w:rsidR="00217643" w:rsidRPr="00217643">
              <w:rPr>
                <w:rFonts w:ascii="Times New Roman" w:hAnsi="Times New Roman" w:cs="Times New Roman"/>
                <w:sz w:val="20"/>
                <w:szCs w:val="20"/>
              </w:rPr>
              <w:t>.</w:t>
            </w:r>
          </w:p>
          <w:p w14:paraId="0CDD6558" w14:textId="6228B6FD" w:rsidR="002D7080" w:rsidRPr="004D1E6F" w:rsidRDefault="00217643" w:rsidP="007F105A">
            <w:pPr>
              <w:ind w:left="720" w:hanging="720"/>
              <w:contextualSpacing/>
              <w:jc w:val="both"/>
              <w:rPr>
                <w:rFonts w:ascii="Times New Roman" w:eastAsia="Times New Roman" w:hAnsi="Times New Roman" w:cs="Times New Roman"/>
                <w:sz w:val="20"/>
                <w:szCs w:val="20"/>
                <w:lang w:eastAsia="en-ZA"/>
              </w:rPr>
            </w:pPr>
            <w:r w:rsidRPr="00217643">
              <w:rPr>
                <w:rFonts w:ascii="Times New Roman" w:hAnsi="Times New Roman" w:cs="Times New Roman"/>
                <w:sz w:val="20"/>
                <w:szCs w:val="20"/>
              </w:rPr>
              <w:t xml:space="preserve">Nunes, A.L., Zengeya, T.A. &amp; Measey, G.J. &amp; Weyl, O.L.F., 2017, ‘Freshwater crayfish invasions in South Africa: past, present and potential future’, </w:t>
            </w:r>
            <w:r w:rsidRPr="00217643">
              <w:rPr>
                <w:rFonts w:ascii="Times New Roman" w:hAnsi="Times New Roman" w:cs="Times New Roman"/>
                <w:i/>
                <w:iCs/>
                <w:sz w:val="20"/>
                <w:szCs w:val="20"/>
              </w:rPr>
              <w:t>African Journal of Aquatic Science</w:t>
            </w:r>
            <w:r w:rsidRPr="00217643">
              <w:rPr>
                <w:rFonts w:ascii="Times New Roman" w:hAnsi="Times New Roman" w:cs="Times New Roman"/>
                <w:sz w:val="20"/>
                <w:szCs w:val="20"/>
              </w:rPr>
              <w:t xml:space="preserve"> </w:t>
            </w:r>
            <w:r w:rsidRPr="00217643">
              <w:rPr>
                <w:rFonts w:ascii="Times New Roman" w:hAnsi="Times New Roman" w:cs="Times New Roman"/>
                <w:bCs/>
                <w:sz w:val="20"/>
                <w:szCs w:val="20"/>
              </w:rPr>
              <w:t>42</w:t>
            </w:r>
            <w:r w:rsidRPr="00217643">
              <w:rPr>
                <w:rFonts w:ascii="Times New Roman" w:hAnsi="Times New Roman" w:cs="Times New Roman"/>
                <w:sz w:val="20"/>
                <w:szCs w:val="20"/>
              </w:rPr>
              <w:t xml:space="preserve">, 309-323, </w:t>
            </w:r>
            <w:hyperlink r:id="rId81" w:history="1">
              <w:r w:rsidRPr="00217643">
                <w:rPr>
                  <w:rStyle w:val="Hyperlink"/>
                  <w:rFonts w:ascii="Times New Roman" w:hAnsi="Times New Roman" w:cs="Times New Roman"/>
                  <w:sz w:val="20"/>
                  <w:szCs w:val="20"/>
                </w:rPr>
                <w:t>https://doi.org/10.2989/16085914.2017.1405788</w:t>
              </w:r>
            </w:hyperlink>
            <w:r w:rsidRPr="00217643">
              <w:rPr>
                <w:rFonts w:ascii="Times New Roman" w:hAnsi="Times New Roman" w:cs="Times New Roman"/>
                <w:sz w:val="20"/>
                <w:szCs w:val="20"/>
              </w:rPr>
              <w:t>.</w:t>
            </w:r>
          </w:p>
        </w:tc>
      </w:tr>
    </w:tbl>
    <w:p w14:paraId="319182A0" w14:textId="77777777" w:rsidR="002D7080" w:rsidRPr="004D1E6F" w:rsidRDefault="002D7080" w:rsidP="002D7080">
      <w:pPr>
        <w:spacing w:after="0" w:line="240" w:lineRule="auto"/>
        <w:contextualSpacing/>
        <w:rPr>
          <w:rFonts w:ascii="Times New Roman" w:eastAsia="Times New Roman" w:hAnsi="Times New Roman" w:cs="Times New Roman"/>
          <w:sz w:val="20"/>
          <w:szCs w:val="20"/>
          <w:lang w:eastAsia="en-ZA"/>
        </w:rPr>
      </w:pPr>
    </w:p>
    <w:p w14:paraId="364CFC48" w14:textId="77777777" w:rsidR="002D7080" w:rsidRPr="004D1E6F" w:rsidRDefault="002D7080" w:rsidP="002D7080">
      <w:pPr>
        <w:spacing w:after="0" w:line="240" w:lineRule="auto"/>
        <w:contextualSpacing/>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br w:type="page"/>
      </w:r>
    </w:p>
    <w:p w14:paraId="42772CEC"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3. Consequences</w:t>
      </w:r>
    </w:p>
    <w:p w14:paraId="7103409C"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3BF48B45" w14:textId="77777777" w:rsidTr="002E2C37">
        <w:trPr>
          <w:trHeight w:val="343"/>
        </w:trPr>
        <w:tc>
          <w:tcPr>
            <w:tcW w:w="9016" w:type="dxa"/>
            <w:gridSpan w:val="2"/>
            <w:shd w:val="clear" w:color="auto" w:fill="F2F2F2" w:themeFill="background1" w:themeFillShade="F2"/>
          </w:tcPr>
          <w:p w14:paraId="24D28993"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 Environmental impact</w:t>
            </w:r>
          </w:p>
        </w:tc>
      </w:tr>
      <w:tr w:rsidR="002D7080" w:rsidRPr="004D1E6F" w14:paraId="32E3F0EA" w14:textId="77777777" w:rsidTr="002E2C37">
        <w:tc>
          <w:tcPr>
            <w:tcW w:w="9016" w:type="dxa"/>
            <w:gridSpan w:val="2"/>
            <w:shd w:val="clear" w:color="auto" w:fill="F2F2F2" w:themeFill="background1" w:themeFillShade="F2"/>
          </w:tcPr>
          <w:p w14:paraId="2F8F98C1"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CON1a: Competition</w:t>
            </w:r>
          </w:p>
        </w:tc>
      </w:tr>
      <w:tr w:rsidR="002D7080" w:rsidRPr="004D1E6F" w14:paraId="75454E28" w14:textId="77777777" w:rsidTr="002E2C37">
        <w:tc>
          <w:tcPr>
            <w:tcW w:w="5949" w:type="dxa"/>
          </w:tcPr>
          <w:p w14:paraId="6D9E21D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66841C7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318A3037" w14:textId="77777777" w:rsidTr="002E2C37">
        <w:trPr>
          <w:trHeight w:val="70"/>
        </w:trPr>
        <w:tc>
          <w:tcPr>
            <w:tcW w:w="9016" w:type="dxa"/>
            <w:gridSpan w:val="2"/>
          </w:tcPr>
          <w:p w14:paraId="7ED44C9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4E8B50D2" w14:textId="77777777" w:rsidTr="002E2C37">
        <w:trPr>
          <w:trHeight w:val="70"/>
        </w:trPr>
        <w:tc>
          <w:tcPr>
            <w:tcW w:w="9016" w:type="dxa"/>
            <w:gridSpan w:val="2"/>
          </w:tcPr>
          <w:p w14:paraId="1D688A3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46F3F931" w14:textId="77777777" w:rsidTr="002E2C37">
        <w:tc>
          <w:tcPr>
            <w:tcW w:w="9016" w:type="dxa"/>
            <w:gridSpan w:val="2"/>
            <w:shd w:val="clear" w:color="auto" w:fill="F2F2F2" w:themeFill="background1" w:themeFillShade="F2"/>
          </w:tcPr>
          <w:p w14:paraId="51A87742"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CON1b: Predation</w:t>
            </w:r>
          </w:p>
        </w:tc>
      </w:tr>
      <w:tr w:rsidR="002D7080" w:rsidRPr="004D1E6F" w14:paraId="4414F0B2" w14:textId="77777777" w:rsidTr="002E2C37">
        <w:tc>
          <w:tcPr>
            <w:tcW w:w="5949" w:type="dxa"/>
          </w:tcPr>
          <w:p w14:paraId="18AB9AF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A64476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51001906" w14:textId="77777777" w:rsidTr="002E2C37">
        <w:trPr>
          <w:trHeight w:val="70"/>
        </w:trPr>
        <w:tc>
          <w:tcPr>
            <w:tcW w:w="9016" w:type="dxa"/>
            <w:gridSpan w:val="2"/>
          </w:tcPr>
          <w:p w14:paraId="7262BD2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4E8D5609" w14:textId="77777777" w:rsidTr="002E2C37">
        <w:trPr>
          <w:trHeight w:val="70"/>
        </w:trPr>
        <w:tc>
          <w:tcPr>
            <w:tcW w:w="9016" w:type="dxa"/>
            <w:gridSpan w:val="2"/>
          </w:tcPr>
          <w:p w14:paraId="0BCCE58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3C4D394F" w14:textId="77777777" w:rsidTr="002E2C37">
        <w:tc>
          <w:tcPr>
            <w:tcW w:w="9016" w:type="dxa"/>
            <w:gridSpan w:val="2"/>
            <w:shd w:val="clear" w:color="auto" w:fill="F2F2F2" w:themeFill="background1" w:themeFillShade="F2"/>
          </w:tcPr>
          <w:p w14:paraId="1F2A7EBF"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CON1c: Hybridisation</w:t>
            </w:r>
          </w:p>
        </w:tc>
      </w:tr>
      <w:tr w:rsidR="002D7080" w:rsidRPr="004D1E6F" w14:paraId="2D5607DE" w14:textId="77777777" w:rsidTr="002E2C37">
        <w:tc>
          <w:tcPr>
            <w:tcW w:w="5949" w:type="dxa"/>
          </w:tcPr>
          <w:p w14:paraId="799C4FF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CB4560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23BB23BF" w14:textId="77777777" w:rsidTr="002E2C37">
        <w:trPr>
          <w:trHeight w:val="70"/>
        </w:trPr>
        <w:tc>
          <w:tcPr>
            <w:tcW w:w="9016" w:type="dxa"/>
            <w:gridSpan w:val="2"/>
          </w:tcPr>
          <w:p w14:paraId="58788CB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 xml:space="preserve">There are no native </w:t>
            </w:r>
            <w:r w:rsidRPr="004D1E6F">
              <w:rPr>
                <w:rFonts w:ascii="Times New Roman" w:eastAsia="Times New Roman" w:hAnsi="Times New Roman" w:cs="Times New Roman"/>
                <w:i/>
                <w:iCs/>
                <w:color w:val="000000"/>
                <w:sz w:val="20"/>
                <w:szCs w:val="20"/>
                <w:lang w:eastAsia="en-ZA"/>
              </w:rPr>
              <w:t>Cherax</w:t>
            </w:r>
            <w:r w:rsidRPr="004D1E6F">
              <w:rPr>
                <w:rFonts w:ascii="Times New Roman" w:eastAsia="Times New Roman" w:hAnsi="Times New Roman" w:cs="Times New Roman"/>
                <w:color w:val="000000"/>
                <w:sz w:val="20"/>
                <w:szCs w:val="20"/>
                <w:lang w:eastAsia="en-ZA"/>
              </w:rPr>
              <w:t xml:space="preserve"> species in South Africa. </w:t>
            </w:r>
          </w:p>
        </w:tc>
      </w:tr>
      <w:tr w:rsidR="002D7080" w:rsidRPr="004D1E6F" w14:paraId="7080E52D" w14:textId="77777777" w:rsidTr="002E2C37">
        <w:trPr>
          <w:trHeight w:val="70"/>
        </w:trPr>
        <w:tc>
          <w:tcPr>
            <w:tcW w:w="9016" w:type="dxa"/>
            <w:gridSpan w:val="2"/>
          </w:tcPr>
          <w:p w14:paraId="5D571301"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381A4DBB" w14:textId="77777777" w:rsidTr="002E2C37">
        <w:tc>
          <w:tcPr>
            <w:tcW w:w="9016" w:type="dxa"/>
            <w:gridSpan w:val="2"/>
            <w:shd w:val="clear" w:color="auto" w:fill="F2F2F2" w:themeFill="background1" w:themeFillShade="F2"/>
          </w:tcPr>
          <w:p w14:paraId="1BE4EB0F"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CON1d: Transmission of disease</w:t>
            </w:r>
          </w:p>
        </w:tc>
      </w:tr>
      <w:tr w:rsidR="002D7080" w:rsidRPr="004D1E6F" w14:paraId="685771DF" w14:textId="77777777" w:rsidTr="002E2C37">
        <w:tc>
          <w:tcPr>
            <w:tcW w:w="5949" w:type="dxa"/>
          </w:tcPr>
          <w:p w14:paraId="6424CA0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266AF1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279B36A8" w14:textId="77777777" w:rsidTr="002E2C37">
        <w:trPr>
          <w:trHeight w:val="70"/>
        </w:trPr>
        <w:tc>
          <w:tcPr>
            <w:tcW w:w="9016" w:type="dxa"/>
            <w:gridSpan w:val="2"/>
          </w:tcPr>
          <w:p w14:paraId="7DB86F8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1378F4E6" w14:textId="77777777" w:rsidTr="002E2C37">
        <w:trPr>
          <w:trHeight w:val="70"/>
        </w:trPr>
        <w:tc>
          <w:tcPr>
            <w:tcW w:w="9016" w:type="dxa"/>
            <w:gridSpan w:val="2"/>
          </w:tcPr>
          <w:p w14:paraId="088C8FE5"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1E0FF32F" w14:textId="77777777" w:rsidTr="002E2C37">
        <w:tc>
          <w:tcPr>
            <w:tcW w:w="9016" w:type="dxa"/>
            <w:gridSpan w:val="2"/>
            <w:shd w:val="clear" w:color="auto" w:fill="F2F2F2" w:themeFill="background1" w:themeFillShade="F2"/>
          </w:tcPr>
          <w:p w14:paraId="2257D195"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CON1e: Parasitism</w:t>
            </w:r>
          </w:p>
        </w:tc>
      </w:tr>
      <w:tr w:rsidR="002D7080" w:rsidRPr="004D1E6F" w14:paraId="04AD26C7" w14:textId="77777777" w:rsidTr="002E2C37">
        <w:tc>
          <w:tcPr>
            <w:tcW w:w="5949" w:type="dxa"/>
          </w:tcPr>
          <w:p w14:paraId="64F1127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F5D2DA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26864548" w14:textId="77777777" w:rsidTr="002E2C37">
        <w:trPr>
          <w:trHeight w:val="70"/>
        </w:trPr>
        <w:tc>
          <w:tcPr>
            <w:tcW w:w="9016" w:type="dxa"/>
            <w:gridSpan w:val="2"/>
          </w:tcPr>
          <w:p w14:paraId="01B5623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4C115496" w14:textId="77777777" w:rsidTr="002E2C37">
        <w:trPr>
          <w:trHeight w:val="70"/>
        </w:trPr>
        <w:tc>
          <w:tcPr>
            <w:tcW w:w="9016" w:type="dxa"/>
            <w:gridSpan w:val="2"/>
          </w:tcPr>
          <w:p w14:paraId="081C9874"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642E9BC2" w14:textId="77777777" w:rsidTr="002E2C37">
        <w:tc>
          <w:tcPr>
            <w:tcW w:w="9016" w:type="dxa"/>
            <w:gridSpan w:val="2"/>
            <w:shd w:val="clear" w:color="auto" w:fill="F2F2F2" w:themeFill="background1" w:themeFillShade="F2"/>
          </w:tcPr>
          <w:p w14:paraId="4FE6CC0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CON1f: Poisoning/toxicity</w:t>
            </w:r>
          </w:p>
        </w:tc>
      </w:tr>
      <w:tr w:rsidR="002D7080" w:rsidRPr="004D1E6F" w14:paraId="2AEB2694" w14:textId="77777777" w:rsidTr="002E2C37">
        <w:tc>
          <w:tcPr>
            <w:tcW w:w="5949" w:type="dxa"/>
          </w:tcPr>
          <w:p w14:paraId="6B1A528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6BDD7C0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5003FF16" w14:textId="77777777" w:rsidTr="002E2C37">
        <w:trPr>
          <w:trHeight w:val="70"/>
        </w:trPr>
        <w:tc>
          <w:tcPr>
            <w:tcW w:w="9016" w:type="dxa"/>
            <w:gridSpan w:val="2"/>
          </w:tcPr>
          <w:p w14:paraId="1A33CB1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5D16A33D" w14:textId="77777777" w:rsidTr="002E2C37">
        <w:trPr>
          <w:trHeight w:val="70"/>
        </w:trPr>
        <w:tc>
          <w:tcPr>
            <w:tcW w:w="9016" w:type="dxa"/>
            <w:gridSpan w:val="2"/>
          </w:tcPr>
          <w:p w14:paraId="445DC9E1"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22A3F29A" w14:textId="77777777" w:rsidTr="002E2C37">
        <w:tc>
          <w:tcPr>
            <w:tcW w:w="9016" w:type="dxa"/>
            <w:gridSpan w:val="2"/>
            <w:shd w:val="clear" w:color="auto" w:fill="F2F2F2" w:themeFill="background1" w:themeFillShade="F2"/>
          </w:tcPr>
          <w:p w14:paraId="48814795"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CON1g: Bio-fouling or other direct physical disturbance</w:t>
            </w:r>
          </w:p>
        </w:tc>
      </w:tr>
      <w:tr w:rsidR="002D7080" w:rsidRPr="004D1E6F" w14:paraId="59F43735" w14:textId="77777777" w:rsidTr="002E2C37">
        <w:tc>
          <w:tcPr>
            <w:tcW w:w="5949" w:type="dxa"/>
          </w:tcPr>
          <w:p w14:paraId="069EBEC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308F6E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009B5B8E" w14:textId="77777777" w:rsidTr="002E2C37">
        <w:trPr>
          <w:trHeight w:val="70"/>
        </w:trPr>
        <w:tc>
          <w:tcPr>
            <w:tcW w:w="9016" w:type="dxa"/>
            <w:gridSpan w:val="2"/>
          </w:tcPr>
          <w:p w14:paraId="08F6D6C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1303B74A" w14:textId="77777777" w:rsidTr="002E2C37">
        <w:trPr>
          <w:trHeight w:val="70"/>
        </w:trPr>
        <w:tc>
          <w:tcPr>
            <w:tcW w:w="9016" w:type="dxa"/>
            <w:gridSpan w:val="2"/>
          </w:tcPr>
          <w:p w14:paraId="63140B55"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References: </w:t>
            </w:r>
          </w:p>
        </w:tc>
      </w:tr>
      <w:tr w:rsidR="002D7080" w:rsidRPr="004D1E6F" w14:paraId="32670D93" w14:textId="77777777" w:rsidTr="002E2C37">
        <w:tc>
          <w:tcPr>
            <w:tcW w:w="9016" w:type="dxa"/>
            <w:gridSpan w:val="2"/>
            <w:shd w:val="clear" w:color="auto" w:fill="F2F2F2" w:themeFill="background1" w:themeFillShade="F2"/>
          </w:tcPr>
          <w:p w14:paraId="109B570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CON1h: Grazing/herbivory/browsing</w:t>
            </w:r>
          </w:p>
        </w:tc>
      </w:tr>
      <w:tr w:rsidR="002D7080" w:rsidRPr="004D1E6F" w14:paraId="3DC67DE4" w14:textId="77777777" w:rsidTr="002E2C37">
        <w:tc>
          <w:tcPr>
            <w:tcW w:w="5949" w:type="dxa"/>
          </w:tcPr>
          <w:p w14:paraId="36808C4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C93663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4347928D" w14:textId="77777777" w:rsidTr="002E2C37">
        <w:trPr>
          <w:trHeight w:val="70"/>
        </w:trPr>
        <w:tc>
          <w:tcPr>
            <w:tcW w:w="9016" w:type="dxa"/>
            <w:gridSpan w:val="2"/>
          </w:tcPr>
          <w:p w14:paraId="02D8692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1C2342C8" w14:textId="77777777" w:rsidTr="002E2C37">
        <w:trPr>
          <w:trHeight w:val="70"/>
        </w:trPr>
        <w:tc>
          <w:tcPr>
            <w:tcW w:w="9016" w:type="dxa"/>
            <w:gridSpan w:val="2"/>
          </w:tcPr>
          <w:p w14:paraId="2BCE15B3"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2BF65E5D" w14:textId="77777777" w:rsidTr="002E2C37">
        <w:tc>
          <w:tcPr>
            <w:tcW w:w="9016" w:type="dxa"/>
            <w:gridSpan w:val="2"/>
            <w:shd w:val="clear" w:color="auto" w:fill="F2F2F2" w:themeFill="background1" w:themeFillShade="F2"/>
          </w:tcPr>
          <w:p w14:paraId="0FC5A277"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CON1i: Chemical, physical or structural impact on ecosystem</w:t>
            </w:r>
          </w:p>
        </w:tc>
      </w:tr>
      <w:tr w:rsidR="002D7080" w:rsidRPr="004D1E6F" w14:paraId="46FF6560" w14:textId="77777777" w:rsidTr="002E2C37">
        <w:tc>
          <w:tcPr>
            <w:tcW w:w="5949" w:type="dxa"/>
          </w:tcPr>
          <w:p w14:paraId="258ED2E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33EB05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25D2D9BE" w14:textId="77777777" w:rsidTr="002E2C37">
        <w:trPr>
          <w:trHeight w:val="70"/>
        </w:trPr>
        <w:tc>
          <w:tcPr>
            <w:tcW w:w="9016" w:type="dxa"/>
            <w:gridSpan w:val="2"/>
          </w:tcPr>
          <w:p w14:paraId="4EE0EC3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5A27941E" w14:textId="77777777" w:rsidTr="002E2C37">
        <w:trPr>
          <w:trHeight w:val="70"/>
        </w:trPr>
        <w:tc>
          <w:tcPr>
            <w:tcW w:w="9016" w:type="dxa"/>
            <w:gridSpan w:val="2"/>
          </w:tcPr>
          <w:p w14:paraId="24F806BF"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738F314A" w14:textId="77777777" w:rsidTr="002E2C37">
        <w:tc>
          <w:tcPr>
            <w:tcW w:w="9016" w:type="dxa"/>
            <w:gridSpan w:val="2"/>
            <w:shd w:val="clear" w:color="auto" w:fill="F2F2F2" w:themeFill="background1" w:themeFillShade="F2"/>
          </w:tcPr>
          <w:p w14:paraId="3B6A2EB9"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CON1k: Indirect impacts through interactions with other species</w:t>
            </w:r>
          </w:p>
        </w:tc>
      </w:tr>
      <w:tr w:rsidR="002D7080" w:rsidRPr="004D1E6F" w14:paraId="3872986E" w14:textId="77777777" w:rsidTr="002E2C37">
        <w:tc>
          <w:tcPr>
            <w:tcW w:w="5949" w:type="dxa"/>
          </w:tcPr>
          <w:p w14:paraId="5762EC0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905A40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217ADBFA" w14:textId="77777777" w:rsidTr="002E2C37">
        <w:trPr>
          <w:trHeight w:val="70"/>
        </w:trPr>
        <w:tc>
          <w:tcPr>
            <w:tcW w:w="9016" w:type="dxa"/>
            <w:gridSpan w:val="2"/>
          </w:tcPr>
          <w:p w14:paraId="1F4E7F6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543901AC" w14:textId="77777777" w:rsidTr="002E2C37">
        <w:trPr>
          <w:trHeight w:val="70"/>
        </w:trPr>
        <w:tc>
          <w:tcPr>
            <w:tcW w:w="9016" w:type="dxa"/>
            <w:gridSpan w:val="2"/>
          </w:tcPr>
          <w:p w14:paraId="0155D0D4"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2ADBA538" w14:textId="77777777" w:rsidTr="002E2C37">
        <w:trPr>
          <w:trHeight w:val="343"/>
        </w:trPr>
        <w:tc>
          <w:tcPr>
            <w:tcW w:w="9016" w:type="dxa"/>
            <w:gridSpan w:val="2"/>
            <w:shd w:val="clear" w:color="auto" w:fill="F2F2F2" w:themeFill="background1" w:themeFillShade="F2"/>
          </w:tcPr>
          <w:p w14:paraId="2A020737"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CON1 Maximum environmental impact </w:t>
            </w:r>
          </w:p>
        </w:tc>
      </w:tr>
      <w:tr w:rsidR="002D7080" w:rsidRPr="004D1E6F" w14:paraId="384B8031" w14:textId="77777777" w:rsidTr="002E2C37">
        <w:trPr>
          <w:trHeight w:val="172"/>
        </w:trPr>
        <w:tc>
          <w:tcPr>
            <w:tcW w:w="5949" w:type="dxa"/>
          </w:tcPr>
          <w:p w14:paraId="475E1FD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0F7AA4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5FC851E3" w14:textId="77777777" w:rsidTr="002E2C37">
        <w:trPr>
          <w:trHeight w:val="70"/>
        </w:trPr>
        <w:tc>
          <w:tcPr>
            <w:tcW w:w="9016" w:type="dxa"/>
            <w:gridSpan w:val="2"/>
          </w:tcPr>
          <w:p w14:paraId="4381A5F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7A3E3D71" w14:textId="77777777" w:rsidTr="002E2C37">
        <w:trPr>
          <w:trHeight w:val="70"/>
        </w:trPr>
        <w:tc>
          <w:tcPr>
            <w:tcW w:w="9016" w:type="dxa"/>
            <w:gridSpan w:val="2"/>
          </w:tcPr>
          <w:p w14:paraId="22FA5FE9"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bl>
    <w:p w14:paraId="40C8030C" w14:textId="77777777" w:rsidR="002D7080" w:rsidRPr="004D1E6F" w:rsidRDefault="002D7080" w:rsidP="002D7080">
      <w:pPr>
        <w:spacing w:after="0" w:line="240" w:lineRule="auto"/>
        <w:rPr>
          <w:rFonts w:ascii="Times New Roman" w:hAnsi="Times New Roman" w:cs="Times New Roman"/>
          <w:sz w:val="20"/>
          <w:szCs w:val="20"/>
        </w:rPr>
      </w:pPr>
    </w:p>
    <w:tbl>
      <w:tblPr>
        <w:tblStyle w:val="TableGrid"/>
        <w:tblW w:w="0" w:type="auto"/>
        <w:tblLook w:val="04A0" w:firstRow="1" w:lastRow="0" w:firstColumn="1" w:lastColumn="0" w:noHBand="0" w:noVBand="1"/>
      </w:tblPr>
      <w:tblGrid>
        <w:gridCol w:w="5949"/>
        <w:gridCol w:w="3067"/>
      </w:tblGrid>
      <w:tr w:rsidR="002D7080" w:rsidRPr="004D1E6F" w14:paraId="627F85D9" w14:textId="77777777" w:rsidTr="002E2C37">
        <w:trPr>
          <w:trHeight w:val="343"/>
        </w:trPr>
        <w:tc>
          <w:tcPr>
            <w:tcW w:w="9016" w:type="dxa"/>
            <w:gridSpan w:val="2"/>
            <w:shd w:val="clear" w:color="auto" w:fill="F2F2F2" w:themeFill="background1" w:themeFillShade="F2"/>
          </w:tcPr>
          <w:p w14:paraId="5429CBE2"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 Socio-economic impact</w:t>
            </w:r>
          </w:p>
        </w:tc>
      </w:tr>
      <w:tr w:rsidR="002D7080" w:rsidRPr="004D1E6F" w14:paraId="72442D56" w14:textId="77777777" w:rsidTr="002E2C37">
        <w:tc>
          <w:tcPr>
            <w:tcW w:w="9016" w:type="dxa"/>
            <w:gridSpan w:val="2"/>
            <w:shd w:val="clear" w:color="auto" w:fill="F2F2F2" w:themeFill="background1" w:themeFillShade="F2"/>
          </w:tcPr>
          <w:p w14:paraId="513ED37C"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CON2a: Safety</w:t>
            </w:r>
          </w:p>
        </w:tc>
      </w:tr>
      <w:tr w:rsidR="002D7080" w:rsidRPr="004D1E6F" w14:paraId="7904F05E" w14:textId="77777777" w:rsidTr="002E2C37">
        <w:tc>
          <w:tcPr>
            <w:tcW w:w="5949" w:type="dxa"/>
          </w:tcPr>
          <w:p w14:paraId="3C8C2EA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68E6CAF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32150A27" w14:textId="77777777" w:rsidTr="002E2C37">
        <w:trPr>
          <w:trHeight w:val="70"/>
        </w:trPr>
        <w:tc>
          <w:tcPr>
            <w:tcW w:w="9016" w:type="dxa"/>
            <w:gridSpan w:val="2"/>
          </w:tcPr>
          <w:p w14:paraId="4D863E6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059E1FC2" w14:textId="77777777" w:rsidTr="002E2C37">
        <w:trPr>
          <w:trHeight w:val="70"/>
        </w:trPr>
        <w:tc>
          <w:tcPr>
            <w:tcW w:w="9016" w:type="dxa"/>
            <w:gridSpan w:val="2"/>
          </w:tcPr>
          <w:p w14:paraId="6C3342FF"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75CD317B" w14:textId="77777777" w:rsidTr="002E2C37">
        <w:tc>
          <w:tcPr>
            <w:tcW w:w="9016" w:type="dxa"/>
            <w:gridSpan w:val="2"/>
            <w:shd w:val="clear" w:color="auto" w:fill="F2F2F2" w:themeFill="background1" w:themeFillShade="F2"/>
          </w:tcPr>
          <w:p w14:paraId="1E351757"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CON2b: Material and immaterial assets</w:t>
            </w:r>
          </w:p>
        </w:tc>
      </w:tr>
      <w:tr w:rsidR="002D7080" w:rsidRPr="004D1E6F" w14:paraId="115F309F" w14:textId="77777777" w:rsidTr="002E2C37">
        <w:tc>
          <w:tcPr>
            <w:tcW w:w="5949" w:type="dxa"/>
          </w:tcPr>
          <w:p w14:paraId="5BF0237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268D2F6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1FE795EF" w14:textId="77777777" w:rsidTr="002E2C37">
        <w:trPr>
          <w:trHeight w:val="128"/>
        </w:trPr>
        <w:tc>
          <w:tcPr>
            <w:tcW w:w="9016" w:type="dxa"/>
            <w:gridSpan w:val="2"/>
          </w:tcPr>
          <w:p w14:paraId="0BD906D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63D9E1F7" w14:textId="77777777" w:rsidTr="002E2C37">
        <w:trPr>
          <w:trHeight w:val="70"/>
        </w:trPr>
        <w:tc>
          <w:tcPr>
            <w:tcW w:w="9016" w:type="dxa"/>
            <w:gridSpan w:val="2"/>
          </w:tcPr>
          <w:p w14:paraId="126FBE0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06560105" w14:textId="77777777" w:rsidTr="002E2C37">
        <w:tc>
          <w:tcPr>
            <w:tcW w:w="9016" w:type="dxa"/>
            <w:gridSpan w:val="2"/>
            <w:shd w:val="clear" w:color="auto" w:fill="F2F2F2" w:themeFill="background1" w:themeFillShade="F2"/>
          </w:tcPr>
          <w:p w14:paraId="38BEAF4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CON2c: Health</w:t>
            </w:r>
          </w:p>
        </w:tc>
      </w:tr>
      <w:tr w:rsidR="002D7080" w:rsidRPr="004D1E6F" w14:paraId="14C96FBD" w14:textId="77777777" w:rsidTr="002E2C37">
        <w:tc>
          <w:tcPr>
            <w:tcW w:w="5949" w:type="dxa"/>
          </w:tcPr>
          <w:p w14:paraId="2C71DD5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2744C86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6C3FEB22" w14:textId="77777777" w:rsidTr="002E2C37">
        <w:trPr>
          <w:trHeight w:val="70"/>
        </w:trPr>
        <w:tc>
          <w:tcPr>
            <w:tcW w:w="9016" w:type="dxa"/>
            <w:gridSpan w:val="2"/>
          </w:tcPr>
          <w:p w14:paraId="0ED0685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r w:rsidRPr="004D1E6F" w:rsidDel="00300459">
              <w:rPr>
                <w:rFonts w:ascii="Times New Roman" w:eastAsia="Times New Roman" w:hAnsi="Times New Roman" w:cs="Times New Roman"/>
                <w:i/>
                <w:color w:val="000000"/>
                <w:sz w:val="20"/>
                <w:szCs w:val="20"/>
                <w:lang w:eastAsia="en-ZA"/>
              </w:rPr>
              <w:t xml:space="preserve"> </w:t>
            </w:r>
          </w:p>
        </w:tc>
      </w:tr>
      <w:tr w:rsidR="002D7080" w:rsidRPr="004D1E6F" w14:paraId="1F3EEA73" w14:textId="77777777" w:rsidTr="002E2C37">
        <w:trPr>
          <w:trHeight w:val="70"/>
        </w:trPr>
        <w:tc>
          <w:tcPr>
            <w:tcW w:w="9016" w:type="dxa"/>
            <w:gridSpan w:val="2"/>
          </w:tcPr>
          <w:p w14:paraId="6B2C582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77981C48" w14:textId="77777777" w:rsidTr="002E2C37">
        <w:tc>
          <w:tcPr>
            <w:tcW w:w="9016" w:type="dxa"/>
            <w:gridSpan w:val="2"/>
            <w:shd w:val="clear" w:color="auto" w:fill="F2F2F2" w:themeFill="background1" w:themeFillShade="F2"/>
          </w:tcPr>
          <w:p w14:paraId="4BB4F141"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CON2d: Social, spiritual and cultural relations </w:t>
            </w:r>
          </w:p>
        </w:tc>
      </w:tr>
      <w:tr w:rsidR="002D7080" w:rsidRPr="004D1E6F" w14:paraId="1CC14BA3" w14:textId="77777777" w:rsidTr="002E2C37">
        <w:tc>
          <w:tcPr>
            <w:tcW w:w="5949" w:type="dxa"/>
          </w:tcPr>
          <w:p w14:paraId="2181F5E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1C3B9F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3A94B7CC" w14:textId="77777777" w:rsidTr="002E2C37">
        <w:trPr>
          <w:trHeight w:val="70"/>
        </w:trPr>
        <w:tc>
          <w:tcPr>
            <w:tcW w:w="9016" w:type="dxa"/>
            <w:gridSpan w:val="2"/>
          </w:tcPr>
          <w:p w14:paraId="3E7F741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p>
        </w:tc>
      </w:tr>
      <w:tr w:rsidR="002D7080" w:rsidRPr="004D1E6F" w14:paraId="3D649936" w14:textId="77777777" w:rsidTr="002E2C37">
        <w:trPr>
          <w:trHeight w:val="70"/>
        </w:trPr>
        <w:tc>
          <w:tcPr>
            <w:tcW w:w="9016" w:type="dxa"/>
            <w:gridSpan w:val="2"/>
          </w:tcPr>
          <w:p w14:paraId="765BDE1B"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2B829E6C" w14:textId="77777777" w:rsidTr="002E2C37">
        <w:trPr>
          <w:trHeight w:val="343"/>
        </w:trPr>
        <w:tc>
          <w:tcPr>
            <w:tcW w:w="9016" w:type="dxa"/>
            <w:gridSpan w:val="2"/>
            <w:shd w:val="clear" w:color="auto" w:fill="F2F2F2" w:themeFill="background1" w:themeFillShade="F2"/>
          </w:tcPr>
          <w:p w14:paraId="57567991"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 Maximum socio-economic impact</w:t>
            </w:r>
          </w:p>
        </w:tc>
      </w:tr>
      <w:tr w:rsidR="002D7080" w:rsidRPr="004D1E6F" w14:paraId="4B2073C0" w14:textId="77777777" w:rsidTr="002E2C37">
        <w:trPr>
          <w:trHeight w:val="208"/>
        </w:trPr>
        <w:tc>
          <w:tcPr>
            <w:tcW w:w="5949" w:type="dxa"/>
          </w:tcPr>
          <w:p w14:paraId="4D045A8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3B12610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655D1F1A" w14:textId="77777777" w:rsidTr="002E2C37">
        <w:trPr>
          <w:trHeight w:val="70"/>
        </w:trPr>
        <w:tc>
          <w:tcPr>
            <w:tcW w:w="9016" w:type="dxa"/>
            <w:gridSpan w:val="2"/>
          </w:tcPr>
          <w:p w14:paraId="3705676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No documented information available to assess the level of impact.</w:t>
            </w:r>
            <w:r w:rsidRPr="004D1E6F" w:rsidDel="00300459">
              <w:rPr>
                <w:rFonts w:ascii="Times New Roman" w:eastAsia="Times New Roman" w:hAnsi="Times New Roman" w:cs="Times New Roman"/>
                <w:i/>
                <w:sz w:val="20"/>
                <w:szCs w:val="20"/>
                <w:lang w:eastAsia="en-ZA"/>
              </w:rPr>
              <w:t xml:space="preserve"> </w:t>
            </w:r>
          </w:p>
        </w:tc>
      </w:tr>
      <w:tr w:rsidR="002D7080" w:rsidRPr="004D1E6F" w14:paraId="682AA6C7" w14:textId="77777777" w:rsidTr="002E2C37">
        <w:trPr>
          <w:trHeight w:val="70"/>
        </w:trPr>
        <w:tc>
          <w:tcPr>
            <w:tcW w:w="9016" w:type="dxa"/>
            <w:gridSpan w:val="2"/>
          </w:tcPr>
          <w:p w14:paraId="407F213B"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bl>
    <w:p w14:paraId="474D1209" w14:textId="77777777" w:rsidR="002D7080" w:rsidRPr="004D1E6F" w:rsidRDefault="002D7080" w:rsidP="002D7080">
      <w:pPr>
        <w:spacing w:after="0" w:line="240" w:lineRule="auto"/>
        <w:rPr>
          <w:rFonts w:ascii="Times New Roman" w:hAnsi="Times New Roman" w:cs="Times New Roman"/>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3067"/>
      </w:tblGrid>
      <w:tr w:rsidR="002D7080" w:rsidRPr="004D1E6F" w14:paraId="590BFEB1" w14:textId="77777777" w:rsidTr="002E2C37">
        <w:trPr>
          <w:trHeight w:val="346"/>
        </w:trPr>
        <w:tc>
          <w:tcPr>
            <w:tcW w:w="9016" w:type="dxa"/>
            <w:gridSpan w:val="2"/>
            <w:shd w:val="clear" w:color="auto" w:fill="F2F2F2" w:themeFill="background1" w:themeFillShade="F2"/>
          </w:tcPr>
          <w:p w14:paraId="72B9B2C4"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bookmarkStart w:id="10" w:name="_Hlk86851948"/>
            <w:r w:rsidRPr="004D1E6F">
              <w:rPr>
                <w:rFonts w:ascii="Times New Roman" w:eastAsia="Times New Roman" w:hAnsi="Times New Roman" w:cs="Times New Roman"/>
                <w:b/>
                <w:sz w:val="20"/>
                <w:szCs w:val="20"/>
                <w:lang w:eastAsia="en-ZA"/>
              </w:rPr>
              <w:t>CON3 Closely related species’ environmental impact</w:t>
            </w:r>
          </w:p>
        </w:tc>
      </w:tr>
      <w:tr w:rsidR="002D7080" w:rsidRPr="004D1E6F" w14:paraId="43D9DDA3" w14:textId="77777777" w:rsidTr="002E2C37">
        <w:trPr>
          <w:trHeight w:val="172"/>
        </w:trPr>
        <w:tc>
          <w:tcPr>
            <w:tcW w:w="5949" w:type="dxa"/>
          </w:tcPr>
          <w:p w14:paraId="3C369EF2"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Major (MR)</w:t>
            </w:r>
          </w:p>
        </w:tc>
        <w:tc>
          <w:tcPr>
            <w:tcW w:w="3067" w:type="dxa"/>
          </w:tcPr>
          <w:p w14:paraId="167C912B"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5A3740BE" w14:textId="77777777" w:rsidTr="002E2C37">
        <w:trPr>
          <w:trHeight w:val="70"/>
        </w:trPr>
        <w:tc>
          <w:tcPr>
            <w:tcW w:w="9016" w:type="dxa"/>
            <w:gridSpan w:val="2"/>
          </w:tcPr>
          <w:p w14:paraId="181886D7" w14:textId="77777777" w:rsidR="002D7080" w:rsidRDefault="002D7080" w:rsidP="007F105A">
            <w:pPr>
              <w:spacing w:after="0"/>
              <w:jc w:val="both"/>
              <w:rPr>
                <w:rFonts w:ascii="Times New Roman" w:eastAsia="Calibri" w:hAnsi="Times New Roman" w:cs="Times New Roman"/>
                <w:sz w:val="20"/>
                <w:szCs w:val="20"/>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Calibri" w:hAnsi="Times New Roman" w:cs="Times New Roman"/>
                <w:sz w:val="20"/>
                <w:szCs w:val="20"/>
              </w:rPr>
              <w:t xml:space="preserve">In the absence of evidence of impact of </w:t>
            </w:r>
            <w:r w:rsidRPr="004D1E6F">
              <w:rPr>
                <w:rFonts w:ascii="Times New Roman" w:eastAsia="Calibri" w:hAnsi="Times New Roman" w:cs="Times New Roman"/>
                <w:i/>
                <w:iCs/>
                <w:sz w:val="20"/>
                <w:szCs w:val="20"/>
              </w:rPr>
              <w:t xml:space="preserve">Cherax </w:t>
            </w:r>
            <w:r w:rsidRPr="004D1E6F">
              <w:rPr>
                <w:rFonts w:ascii="Times New Roman" w:eastAsia="Calibri" w:hAnsi="Times New Roman" w:cs="Times New Roman"/>
                <w:sz w:val="20"/>
                <w:szCs w:val="20"/>
              </w:rPr>
              <w:t xml:space="preserve">species in its global introduced range, potential impacts of </w:t>
            </w:r>
            <w:r w:rsidRPr="004D1E6F">
              <w:rPr>
                <w:rFonts w:ascii="Times New Roman" w:eastAsia="Calibri" w:hAnsi="Times New Roman" w:cs="Times New Roman"/>
                <w:i/>
                <w:iCs/>
                <w:sz w:val="20"/>
                <w:szCs w:val="20"/>
              </w:rPr>
              <w:t xml:space="preserve">C. </w:t>
            </w:r>
            <w:r w:rsidRPr="004D1E6F">
              <w:rPr>
                <w:rFonts w:ascii="Times New Roman" w:eastAsia="Arial" w:hAnsi="Times New Roman" w:cs="Times New Roman"/>
                <w:i/>
                <w:sz w:val="20"/>
                <w:szCs w:val="20"/>
              </w:rPr>
              <w:t>tenuimanus</w:t>
            </w:r>
            <w:r w:rsidRPr="004D1E6F">
              <w:rPr>
                <w:rFonts w:ascii="Times New Roman" w:eastAsia="Calibri" w:hAnsi="Times New Roman" w:cs="Times New Roman"/>
                <w:sz w:val="20"/>
                <w:szCs w:val="20"/>
              </w:rPr>
              <w:t xml:space="preserve"> were inferred from </w:t>
            </w:r>
            <w:r w:rsidRPr="004D1E6F">
              <w:rPr>
                <w:rFonts w:ascii="Times New Roman" w:eastAsia="Calibri" w:hAnsi="Times New Roman" w:cs="Times New Roman"/>
                <w:i/>
                <w:iCs/>
                <w:sz w:val="20"/>
                <w:szCs w:val="20"/>
              </w:rPr>
              <w:t xml:space="preserve">Procambarus clarkii </w:t>
            </w:r>
            <w:r w:rsidRPr="004D1E6F">
              <w:rPr>
                <w:rFonts w:ascii="Times New Roman" w:eastAsia="Calibri" w:hAnsi="Times New Roman" w:cs="Times New Roman"/>
                <w:sz w:val="20"/>
                <w:szCs w:val="20"/>
              </w:rPr>
              <w:t>(a crayfish with similar traits and with documented evidence of impact in its introduction range).</w:t>
            </w:r>
          </w:p>
          <w:p w14:paraId="0975FEB7" w14:textId="77777777" w:rsidR="007F105A" w:rsidRPr="004D1E6F" w:rsidRDefault="007F105A" w:rsidP="007F105A">
            <w:pPr>
              <w:spacing w:after="0"/>
              <w:jc w:val="both"/>
              <w:rPr>
                <w:rFonts w:ascii="Times New Roman" w:eastAsia="Calibri" w:hAnsi="Times New Roman" w:cs="Times New Roman"/>
                <w:sz w:val="20"/>
                <w:szCs w:val="20"/>
              </w:rPr>
            </w:pPr>
          </w:p>
          <w:p w14:paraId="7FF9AAA9" w14:textId="77777777" w:rsidR="002D7080" w:rsidRDefault="002D7080" w:rsidP="007F105A">
            <w:pPr>
              <w:spacing w:after="0"/>
              <w:jc w:val="both"/>
              <w:rPr>
                <w:rFonts w:ascii="Times New Roman" w:eastAsia="Calibri" w:hAnsi="Times New Roman" w:cs="Times New Roman"/>
                <w:sz w:val="20"/>
                <w:szCs w:val="20"/>
              </w:rPr>
            </w:pPr>
            <w:r w:rsidRPr="004D1E6F">
              <w:rPr>
                <w:rFonts w:ascii="Times New Roman" w:eastAsia="Times New Roman" w:hAnsi="Times New Roman" w:cs="Times New Roman"/>
                <w:color w:val="000000"/>
                <w:sz w:val="20"/>
                <w:szCs w:val="20"/>
                <w:lang w:eastAsia="en-ZA"/>
              </w:rPr>
              <w:t xml:space="preserve">Direct predation and competition for food, shelter, and spawning sites have led to local extinctions and a decrease in the abundance of native amphibians and crayfish species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"ITEM-1",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"id" : "ITEM-2", "itemData" : { "DOI" : "10.1111/j.1365-2427.2007.01760.x", "author" : [ { "dropping-particle" : "", "family" : "Gherardi", "given" : "Francesca", "non-dropping-particle" : "", "parse-names" : false, "suffix" : "" }, { "dropping-particle" : "", "family" : "Acquistapace", "given" : "Patrizia", "non-dropping-particle" : "", "parse-names" : false, "suffix" : "" } ], "id" : "ITEM-2", "issued" : { "date-parts" : [ [ "2007" ] ] }, "page" : "1249-1259", "title" : "Invasive crayfish in Europe : the impact of Procambarus clarkii on the littoral community of a Mediterranean lake", "type" : "article-journal" }, "uris" : [ "http://www.mendeley.com/documents/?uuid=0b4d7cf8-95f9-4670-a6e7-f070af42f591" ] } ], "mendeley" : { "formattedCitation" : "(Cruz et al. 2006, Gherardi &amp; Acquistapace 2007)", "plainTextFormattedCitation" : "(Cruz et al. 2006, Gherardi &amp; Acquistapace 2007)", "previouslyFormattedCitation" : "(Cruz et al. 2006, Gherardi &amp; Acquistapace 2007)"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(Cruz et al. 2006; Gherardi &amp; Acquistapace 2007; Jackson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Impacts have been recorded in the Iberian Peninsula, Sweden, Italy</w:t>
            </w:r>
            <w:r w:rsidRPr="004D1E6F">
              <w:rPr>
                <w:rFonts w:ascii="Times New Roman" w:eastAsia="Calibri" w:hAnsi="Times New Roman" w:cs="Times New Roman"/>
                <w:sz w:val="20"/>
                <w:szCs w:val="20"/>
              </w:rPr>
              <w:t xml:space="preserve"> (Gherardi &amp; Acquistapace 2007)</w:t>
            </w:r>
            <w:r w:rsidRPr="004D1E6F">
              <w:rPr>
                <w:rFonts w:ascii="Times New Roman" w:eastAsia="Times New Roman" w:hAnsi="Times New Roman" w:cs="Times New Roman"/>
                <w:color w:val="000000"/>
                <w:sz w:val="20"/>
                <w:szCs w:val="20"/>
                <w:lang w:eastAsia="en-ZA"/>
              </w:rPr>
              <w:t xml:space="preserve">, Japan, and U.S.A. (California)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"(Holdich et al. 2009, Lodge et al. 2012)", "plainTextFormattedCitation" : "(Holdich et al. 2009, Lodge et al. 2012)", "previouslyFormattedCitation" : "(Holdich et al. 2009,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(Holdich et al. 2009;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The most significant impacts caused by </w:t>
            </w:r>
            <w:r w:rsidRPr="004D1E6F">
              <w:rPr>
                <w:rFonts w:ascii="Times New Roman" w:eastAsia="Calibri" w:hAnsi="Times New Roman" w:cs="Times New Roman"/>
                <w:i/>
                <w:iCs/>
                <w:sz w:val="20"/>
                <w:szCs w:val="20"/>
              </w:rPr>
              <w:t>P. clarkii</w:t>
            </w:r>
            <w:r w:rsidRPr="004D1E6F">
              <w:rPr>
                <w:rFonts w:ascii="Times New Roman" w:eastAsia="Calibri" w:hAnsi="Times New Roman" w:cs="Times New Roman"/>
                <w:sz w:val="20"/>
                <w:szCs w:val="20"/>
              </w:rPr>
              <w:t xml:space="preserve"> are highlighted below.</w:t>
            </w:r>
          </w:p>
          <w:p w14:paraId="7824C9B6" w14:textId="77777777" w:rsidR="007F105A" w:rsidRPr="004D1E6F" w:rsidRDefault="007F105A" w:rsidP="007F105A">
            <w:pPr>
              <w:spacing w:after="0"/>
              <w:jc w:val="both"/>
              <w:rPr>
                <w:rFonts w:ascii="Times New Roman" w:eastAsia="Times New Roman" w:hAnsi="Times New Roman" w:cs="Times New Roman"/>
                <w:color w:val="000000"/>
                <w:sz w:val="20"/>
                <w:szCs w:val="20"/>
                <w:lang w:eastAsia="en-ZA"/>
              </w:rPr>
            </w:pPr>
          </w:p>
          <w:p w14:paraId="28151D51" w14:textId="77777777" w:rsidR="002D7080" w:rsidRPr="004D1E6F" w:rsidRDefault="002D7080" w:rsidP="007F105A">
            <w:pPr>
              <w:spacing w:after="0"/>
              <w:jc w:val="both"/>
              <w:rPr>
                <w:rFonts w:ascii="Times New Roman" w:eastAsia="Times New Roman" w:hAnsi="Times New Roman" w:cs="Times New Roman"/>
                <w:color w:val="000000"/>
                <w:sz w:val="20"/>
                <w:szCs w:val="20"/>
                <w:u w:val="single"/>
                <w:lang w:eastAsia="en-ZA"/>
              </w:rPr>
            </w:pPr>
            <w:r w:rsidRPr="004D1E6F">
              <w:rPr>
                <w:rFonts w:ascii="Times New Roman" w:eastAsia="Times New Roman" w:hAnsi="Times New Roman" w:cs="Times New Roman"/>
                <w:color w:val="000000"/>
                <w:sz w:val="20"/>
                <w:szCs w:val="20"/>
                <w:u w:val="single"/>
                <w:lang w:eastAsia="en-ZA"/>
              </w:rPr>
              <w:t>Competition; Major (MR); Confidence: High</w:t>
            </w:r>
          </w:p>
          <w:p w14:paraId="4D127315" w14:textId="77777777" w:rsidR="002D7080" w:rsidRDefault="002D7080" w:rsidP="007F105A">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is very aggressive and usually out-competes native species for shelter and spawning sites, and these often lead to reproductive interference (Cruz et al. 2006; Lodge et al. 2012). For example, in areas were </w:t>
            </w:r>
            <w:r w:rsidRPr="004D1E6F">
              <w:rPr>
                <w:rFonts w:ascii="Times New Roman" w:eastAsia="Times New Roman" w:hAnsi="Times New Roman" w:cs="Times New Roman"/>
                <w:i/>
                <w:color w:val="000000"/>
                <w:sz w:val="20"/>
                <w:szCs w:val="20"/>
                <w:lang w:eastAsia="en-ZA"/>
              </w:rPr>
              <w:t xml:space="preserve">P. clarkii </w:t>
            </w:r>
            <w:r w:rsidRPr="004D1E6F">
              <w:rPr>
                <w:rFonts w:ascii="Times New Roman" w:eastAsia="Times New Roman" w:hAnsi="Times New Roman" w:cs="Times New Roman"/>
                <w:iCs/>
                <w:color w:val="000000"/>
                <w:sz w:val="20"/>
                <w:szCs w:val="20"/>
                <w:lang w:eastAsia="en-ZA"/>
              </w:rPr>
              <w:t>has been</w:t>
            </w:r>
            <w:r w:rsidRPr="004D1E6F">
              <w:rPr>
                <w:rFonts w:ascii="Times New Roman" w:eastAsia="Times New Roman" w:hAnsi="Times New Roman" w:cs="Times New Roman"/>
                <w:color w:val="000000"/>
                <w:sz w:val="20"/>
                <w:szCs w:val="20"/>
                <w:lang w:eastAsia="en-ZA"/>
              </w:rPr>
              <w:t xml:space="preserve"> introduced , some amphibian species (e.g., </w:t>
            </w:r>
            <w:r w:rsidRPr="004D1E6F">
              <w:rPr>
                <w:rFonts w:ascii="Times New Roman" w:eastAsia="Times New Roman" w:hAnsi="Times New Roman" w:cs="Times New Roman"/>
                <w:i/>
                <w:color w:val="000000"/>
                <w:sz w:val="20"/>
                <w:szCs w:val="20"/>
                <w:lang w:eastAsia="en-ZA"/>
              </w:rPr>
              <w:t>Bufo bufo</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B. calamita</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Rana</w:t>
            </w:r>
            <w:r w:rsidRPr="004D1E6F">
              <w:rPr>
                <w:rFonts w:ascii="Times New Roman" w:eastAsia="Times New Roman" w:hAnsi="Times New Roman" w:cs="Times New Roman"/>
                <w:color w:val="000000"/>
                <w:sz w:val="20"/>
                <w:szCs w:val="20"/>
                <w:lang w:eastAsia="en-ZA"/>
              </w:rPr>
              <w:t xml:space="preserve"> sp., </w:t>
            </w:r>
            <w:r w:rsidRPr="004D1E6F">
              <w:rPr>
                <w:rFonts w:ascii="Times New Roman" w:eastAsia="Times New Roman" w:hAnsi="Times New Roman" w:cs="Times New Roman"/>
                <w:i/>
                <w:color w:val="000000"/>
                <w:sz w:val="20"/>
                <w:szCs w:val="20"/>
                <w:lang w:eastAsia="en-ZA"/>
              </w:rPr>
              <w:t xml:space="preserve">Taricha torosa </w:t>
            </w:r>
            <w:r w:rsidRPr="004D1E6F">
              <w:rPr>
                <w:rFonts w:ascii="Times New Roman" w:eastAsia="Times New Roman" w:hAnsi="Times New Roman" w:cs="Times New Roman"/>
                <w:color w:val="000000"/>
                <w:sz w:val="20"/>
                <w:szCs w:val="20"/>
                <w:lang w:eastAsia="en-ZA"/>
              </w:rPr>
              <w:t xml:space="preserve">and </w:t>
            </w:r>
            <w:r w:rsidRPr="004D1E6F">
              <w:rPr>
                <w:rFonts w:ascii="Times New Roman" w:eastAsia="Times New Roman" w:hAnsi="Times New Roman" w:cs="Times New Roman"/>
                <w:i/>
                <w:color w:val="000000"/>
                <w:sz w:val="20"/>
                <w:szCs w:val="20"/>
                <w:lang w:eastAsia="en-ZA"/>
              </w:rPr>
              <w:t>Triturus vulgaris</w:t>
            </w:r>
            <w:r w:rsidRPr="004D1E6F">
              <w:rPr>
                <w:rFonts w:ascii="Times New Roman" w:eastAsia="Times New Roman" w:hAnsi="Times New Roman" w:cs="Times New Roman"/>
                <w:color w:val="000000"/>
                <w:sz w:val="20"/>
                <w:szCs w:val="20"/>
                <w:lang w:eastAsia="en-ZA"/>
              </w:rPr>
              <w:t xml:space="preserve">) have been excluded or displaced from their natural habitats, resulting in local extinctions through reproductive failure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"ITEM-1",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"(Cruz et al. 2006, Lodge et al. 2012)", "plainTextFormattedCitation" : "(Cruz et al. 2006, Lodge et al. 2012)", "previouslyFormattedCitation" : "(Cruz et al. 2006,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(Cruz et al. 2006;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Furthermore, direct competition for food has caused dietary niche constriction and declines in populations of native crabs in some areas invaded by </w:t>
            </w:r>
            <w:r w:rsidRPr="004D1E6F">
              <w:rPr>
                <w:rFonts w:ascii="Times New Roman" w:eastAsia="Times New Roman" w:hAnsi="Times New Roman" w:cs="Times New Roman"/>
                <w:i/>
                <w:color w:val="000000"/>
                <w:sz w:val="20"/>
                <w:szCs w:val="20"/>
                <w:lang w:eastAsia="en-ZA"/>
              </w:rPr>
              <w:t xml:space="preserve">P. clarkii </w:t>
            </w:r>
            <w:r w:rsidRPr="004D1E6F">
              <w:rPr>
                <w:rFonts w:ascii="Times New Roman" w:eastAsia="Times New Roman" w:hAnsi="Times New Roman" w:cs="Times New Roman"/>
                <w:i/>
                <w:color w:val="000000"/>
                <w:sz w:val="20"/>
                <w:szCs w:val="20"/>
                <w:lang w:eastAsia="en-ZA"/>
              </w:rPr>
              <w:fldChar w:fldCharType="begin" w:fldLock="1"/>
            </w:r>
            <w:r w:rsidRPr="004D1E6F">
              <w:rPr>
                <w:rFonts w:ascii="Times New Roman" w:eastAsia="Times New Roman" w:hAnsi="Times New Roman" w:cs="Times New Roman"/>
                <w:i/>
                <w:color w:val="000000"/>
                <w:sz w:val="20"/>
                <w:szCs w:val="20"/>
                <w:lang w:eastAsia="en-ZA"/>
              </w:rPr>
              <w:instrText>ADDIN CSL_CITATION { "citationItems" : [ { "id" : "ITEM-1", "itemData" : { "DOI" : "10.1111/1365-2656.12533", "ISBN" : "1365-2656 (Electronic)\\r0021-8790 (Linking)", "ISSN" : "13652656", "PMID" : "27084460", "abstract" : "1. Invasive species are a key driver of global environmental change, with frequently strong negative consequences for native biodiversity and ecosystem processes. Understanding com- petitive interactions between invaders and functionally similar native species provides an important benchmark for predicting the consequences of invasion. However, even though having a broad dietary niche is widely considered a key factor determining invasion success, little is known about the effects of competition with functionally similar native competitors on the dietary niche breadths of invasive species. 2. We used a combination of field experiments and field surveys to examine the impacts of competition with a functionally similar native crab species on the population densities, growth rates and diet of the globally widespread invasive red swamp crayfish in an African river ecosystem. 3. The presence of native crabs triggered significant dietary niche constriction within the inva- sive crayfish population. Further, growth rates of both species were reduced significantly, and by a similar extent, in the presence of one another. In spite of this, crayfish maintained posi- tive growth rates in the presence of crabs, whereas crabs lost mass in the presence of crayfish. Consequently, over the 3-year duration of the study, crab abundance declined at those sites invaded by the crayfish, becoming locally extinct at one. 4. The invasive crayfish had a dramatic effect on ecosystem structure and functioning, halv- ing benthic invertebrate densities and increasing decomposition rates fourfold compared to the crabs. This indicates that replacement of native crabs by invasive crayfish likely alters the structure and functioning of African river ecosystems significantly. 5. This study provides a novel example of the constriction of the dietary niche of a successful invasive population in the presence of competition from a functionally similar native species. This finding highlights the importance of considering both environmental and ecological contexts in order to predict and manage the impacts of invasive species on ecosystems.", "author" : [ { "dropping-particle" : "", "family" : "Jackson", "given" : "Michelle C.", "non-dropping-particle" : "", "parse-names" : false, "suffix" : "" }, { "dropping-particle" : "", "family" : "Grey", "given" : "Jonathan", "non-dropping-particle" : "", "parse-names" : false, "suffix" : "" }, { "dropping-particle" : "", "family" : "Miller", "given" : "Katie", "non-dropping-particle" : "", "parse-names" : false, "suffix" : "" }, { "dropping-particle" : "", "family" : "Britton", "given" : "J. Robert", "non-dropping-particle" : "", "parse-names" : false, "suffix" : "" }, { "dropping-particle" : "", "family" : "Donohue", "given" : "Ian", "non-dropping-particle" : "", "parse-names" : false, "suffix" : "" } ], "container-title" : "Journal of Animal Ecology", "id" : "ITEM-1", "issued" : { "date-parts" : [ [ "2016" ] ] }, "page" : "1098-1107", "title" : "Dietary niche constriction when invaders meet natives: Evidence from freshwater decapods", "type" : "article-journal" }, "uris" : [ "http://www.mendeley.com/documents/?uuid=4d1dad2a-af96-4ee7-a254-3fb10d7453b1" ] } ], "mendeley" : { "formattedCitation" : "(Jackson et al. 2016)", "plainTextFormattedCitation" : "(Jackson et al. 2016)", "previouslyFormattedCitation" : "(Jackson et al. 2016)" }, "properties" : { "noteIndex" : 0 }, "schema" : "https://github.com/citation-style-language/schema/raw/master/csl-citation.json" }</w:instrText>
            </w:r>
            <w:r w:rsidRPr="004D1E6F">
              <w:rPr>
                <w:rFonts w:ascii="Times New Roman" w:eastAsia="Times New Roman" w:hAnsi="Times New Roman" w:cs="Times New Roman"/>
                <w:i/>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(Jackson et al. 2016)</w:t>
            </w:r>
            <w:r w:rsidRPr="004D1E6F">
              <w:rPr>
                <w:rFonts w:ascii="Times New Roman" w:eastAsia="Times New Roman" w:hAnsi="Times New Roman" w:cs="Times New Roman"/>
                <w:i/>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p w14:paraId="636BC851" w14:textId="77777777" w:rsidR="007F105A" w:rsidRPr="004D1E6F" w:rsidRDefault="007F105A" w:rsidP="007F105A">
            <w:pPr>
              <w:spacing w:after="0"/>
              <w:jc w:val="both"/>
              <w:rPr>
                <w:rFonts w:ascii="Times New Roman" w:eastAsia="Times New Roman" w:hAnsi="Times New Roman" w:cs="Times New Roman"/>
                <w:color w:val="000000"/>
                <w:sz w:val="20"/>
                <w:szCs w:val="20"/>
                <w:lang w:eastAsia="en-ZA"/>
              </w:rPr>
            </w:pPr>
          </w:p>
          <w:p w14:paraId="57D5D17B" w14:textId="77777777" w:rsidR="002D7080" w:rsidRPr="004D1E6F" w:rsidRDefault="002D7080" w:rsidP="007F105A">
            <w:pPr>
              <w:spacing w:after="0"/>
              <w:jc w:val="both"/>
              <w:rPr>
                <w:rFonts w:ascii="Times New Roman" w:eastAsia="Times New Roman" w:hAnsi="Times New Roman" w:cs="Times New Roman"/>
                <w:color w:val="000000"/>
                <w:sz w:val="20"/>
                <w:szCs w:val="20"/>
                <w:u w:val="single"/>
                <w:lang w:eastAsia="en-ZA"/>
              </w:rPr>
            </w:pPr>
            <w:r w:rsidRPr="004D1E6F">
              <w:rPr>
                <w:rFonts w:ascii="Times New Roman" w:eastAsia="Times New Roman" w:hAnsi="Times New Roman" w:cs="Times New Roman"/>
                <w:color w:val="000000"/>
                <w:sz w:val="20"/>
                <w:szCs w:val="20"/>
                <w:u w:val="single"/>
                <w:lang w:eastAsia="en-ZA"/>
              </w:rPr>
              <w:t>Predation; Major (MR); Confidence: High</w:t>
            </w:r>
          </w:p>
          <w:p w14:paraId="40D24841" w14:textId="77777777" w:rsidR="002D7080" w:rsidRDefault="002D7080" w:rsidP="007F105A">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In its invasive range, there is evidence that predation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can result in the local or population extinctions of at least one native species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Souty-grosset et al. 2016)", "plainTextFormattedCitation" : "(Lodge et al. 2012, Souty-grosset et al. 2016)", "previouslyFormattedCitation" : "(Lodge et al. 2012,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(Lodge et al. 2012; 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For example,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has been implicated in causing population declines of several species of fish and amphibians by reducing their breeding success through predation on eggs and larval amphibians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"ITEM-1",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"id" : "ITEM-2", "itemData" : { "DOI" : "10.1007/s10531-012-0323-1", "author" : [ { "dropping-particle" : "", "family" : "Francesco", "given" : "Gentile", "non-dropping-particle" : "", "parse-names" : false, "suffix" : "" }, { "dropping-particle" : "", "family" : "Matteo", "given" : "Ficetola", "non-dropping-particle" : "", "parse-names" : false, "suffix" : "" }, { "dropping-particle" : "", "family" : "Siesa", "given" : "Elio", "non-dropping-particle" : "", "parse-names" : false, "suffix" : "" }, { "dropping-particle" : "De", "family" : "Bernardi", "given" : "Fiorenza", "non-dropping-particle" : "", "parse-names" : false, "suffix" : "" }, { "dropping-particle" : "", "family" : "Padoa-schioppa", "given" : "Emilio", "non-dropping-particle" : "", "parse-names" : false, "suffix" : "" } ], "id" : "ITEM-2", "issued" : { "date-parts" : [ [ "2012" ] ] }, "page" : "2641-2651", "title" : "Complex impact of an invasive crayfish on freshwater food webs", "type" : "article-journal" }, "uris" : [ "http://www.mendeley.com/documents/?uuid=4e9ca91f-7982-4098-b712-ffad4211fd37" ] } ], "mendeley" : { "formattedCitation" : "(Cruz et al. 2006, Francesco et al. 2012)", "manualFormatting" : "(Cruz et al. 2006, Francesco et al. 2011)", "plainTextFormattedCitation" : "(Cruz et al. 2006, Francesco et al. 2012)", "previouslyFormattedCitation" : "(Cruz et al. 2006, Francesco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(Cruz et al. 2006; Ficetola</w:t>
            </w:r>
            <w:r w:rsidRPr="004D1E6F" w:rsidDel="00C361D8">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et al. 2011)</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Indirect effects of predation can also cause trophic cascades that can lead to changes in ecosystem structure and function. For example, predation on invertebrates can release algae from grazing pressure and lead to changes in the abundance and dominance of species in algal communities (Gherardi &amp; Barbaresi 2008).</w:t>
            </w:r>
          </w:p>
          <w:p w14:paraId="04234651" w14:textId="77777777" w:rsidR="007F105A" w:rsidRPr="004D1E6F" w:rsidRDefault="007F105A" w:rsidP="007F105A">
            <w:pPr>
              <w:spacing w:after="0"/>
              <w:jc w:val="both"/>
              <w:rPr>
                <w:rFonts w:ascii="Times New Roman" w:eastAsia="Times New Roman" w:hAnsi="Times New Roman" w:cs="Times New Roman"/>
                <w:color w:val="000000"/>
                <w:sz w:val="20"/>
                <w:szCs w:val="20"/>
                <w:lang w:eastAsia="en-ZA"/>
              </w:rPr>
            </w:pPr>
          </w:p>
          <w:p w14:paraId="5E2AC705" w14:textId="77777777" w:rsidR="002D7080" w:rsidRPr="004D1E6F" w:rsidRDefault="002D7080" w:rsidP="007F105A">
            <w:pPr>
              <w:spacing w:after="0"/>
              <w:jc w:val="both"/>
              <w:rPr>
                <w:rFonts w:ascii="Times New Roman" w:eastAsia="Times New Roman" w:hAnsi="Times New Roman" w:cs="Times New Roman"/>
                <w:color w:val="000000"/>
                <w:sz w:val="20"/>
                <w:szCs w:val="20"/>
                <w:u w:val="single"/>
                <w:lang w:eastAsia="en-ZA"/>
              </w:rPr>
            </w:pPr>
            <w:r w:rsidRPr="004D1E6F">
              <w:rPr>
                <w:rFonts w:ascii="Times New Roman" w:eastAsia="Times New Roman" w:hAnsi="Times New Roman" w:cs="Times New Roman"/>
                <w:color w:val="000000"/>
                <w:sz w:val="20"/>
                <w:szCs w:val="20"/>
                <w:u w:val="single"/>
                <w:lang w:eastAsia="en-ZA"/>
              </w:rPr>
              <w:t>Transmission of disease; Major (MR); Confidence: High</w:t>
            </w:r>
          </w:p>
          <w:p w14:paraId="2A21E9C1" w14:textId="77777777" w:rsidR="002D7080" w:rsidRDefault="002D7080" w:rsidP="007F105A">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can harbour many pathogens, parasites, and diseases that can be transmitted to other congeneric species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"ITEM-1", "issue" : "1", "issued" : { "date-parts" : [ [ "2011" ] ] }, "page" : "54-70", "publisher" : "Elsevier Inc.", "title" : "Diseases of crayfish: A review", "type" : "article-journal", "volume" : "106" }, "uris" : [ "http://www.mendeley.com/documents/?uuid=be7c0509-8466-4d72-b84f-489b1cb24dc4"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"(Longshaw 2011, Lodge et al. 2012)", "plainTextFormattedCitation" : "(Longshaw 2011, Lodge et al. 2012)", "previouslyFormattedCitation" : "(Longshaw 2011,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(Longshaw 2011;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There is evidence that transmission of diseases and </w:t>
            </w:r>
            <w:r w:rsidRPr="004D1E6F">
              <w:rPr>
                <w:rFonts w:ascii="Times New Roman" w:eastAsia="Times New Roman" w:hAnsi="Times New Roman" w:cs="Times New Roman"/>
                <w:color w:val="000000"/>
                <w:sz w:val="20"/>
                <w:szCs w:val="20"/>
                <w:lang w:eastAsia="en-ZA"/>
              </w:rPr>
              <w:lastRenderedPageBreak/>
              <w:t xml:space="preserve">parasites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to native species has caused local or population extinctions of at least one native species, leading to changes in community composition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"(Lodge et al. 2012)", "plainTextFormattedCitation" : "(Lodge et al. 2012)", "previouslyFormattedCitation" :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For example,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is a vector of crayfish plague, a disease caused by the parasitic oomycete, </w:t>
            </w:r>
            <w:r w:rsidRPr="004D1E6F">
              <w:rPr>
                <w:rFonts w:ascii="Times New Roman" w:eastAsia="Times New Roman" w:hAnsi="Times New Roman" w:cs="Times New Roman"/>
                <w:i/>
                <w:color w:val="000000"/>
                <w:sz w:val="20"/>
                <w:szCs w:val="20"/>
                <w:lang w:eastAsia="en-ZA"/>
              </w:rPr>
              <w:t xml:space="preserve">Aphanomyces astaci </w:t>
            </w:r>
            <w:r w:rsidRPr="004D1E6F">
              <w:rPr>
                <w:rFonts w:ascii="Times New Roman" w:eastAsia="Times New Roman" w:hAnsi="Times New Roman" w:cs="Times New Roman"/>
                <w:color w:val="000000"/>
                <w:sz w:val="20"/>
                <w:szCs w:val="20"/>
                <w:lang w:eastAsia="en-ZA"/>
              </w:rPr>
              <w:t>has proven to be fatal when transferred to other crayfish species</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"(Lodge et al. 2012)", "plainTextFormattedCitation" : "(Lodge et al. 2012)", "previouslyFormattedCitation" :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However, in South Africa, there are no native crayfish species and it is not known if transmission will occur to native decapods such as shrimps and crabs. </w:t>
            </w: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can also harbour white spot syndrome disease – a viral infections of crustaceans, and fungal pathogens such as </w:t>
            </w:r>
            <w:r w:rsidRPr="004D1E6F">
              <w:rPr>
                <w:rFonts w:ascii="Times New Roman" w:eastAsia="Times New Roman" w:hAnsi="Times New Roman" w:cs="Times New Roman"/>
                <w:i/>
                <w:color w:val="000000"/>
                <w:sz w:val="20"/>
                <w:szCs w:val="20"/>
                <w:lang w:eastAsia="en-ZA"/>
              </w:rPr>
              <w:t>Batrachochytrium dendrobatids</w:t>
            </w:r>
            <w:r w:rsidRPr="004D1E6F">
              <w:rPr>
                <w:rFonts w:ascii="Times New Roman" w:eastAsia="Times New Roman" w:hAnsi="Times New Roman" w:cs="Times New Roman"/>
                <w:color w:val="000000"/>
                <w:sz w:val="20"/>
                <w:szCs w:val="20"/>
                <w:lang w:eastAsia="en-ZA"/>
              </w:rPr>
              <w:t xml:space="preserve"> that causes chytridiomycosis – a lethal skin infection in amphibians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"ITEM-1", "issue" : "1", "issued" : { "date-parts" : [ [ "2011" ] ] }, "page" : "54-70", "publisher" : "Elsevier Inc.", "title" : "Diseases of crayfish: A review", "type" : "article-journal", "volume" : "106" }, "uris" : [ "http://www.mendeley.com/documents/?uuid=be7c0509-8466-4d72-b84f-489b1cb24dc4" ] } ], "mendeley" : { "formattedCitation" : "(Longshaw 2011)", "manualFormatting" : "(Longshaw 2011, McMahon et al. 2013)", "plainTextFormattedCitation" : "(Longshaw 2011)", "previouslyFormattedCitation" : "(Longshaw 2011)"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(Longshaw 2011; McMahon et al. 2013)</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p w14:paraId="28253A69" w14:textId="77777777" w:rsidR="007F105A" w:rsidRPr="004D1E6F" w:rsidRDefault="007F105A" w:rsidP="007F105A">
            <w:pPr>
              <w:spacing w:after="0"/>
              <w:jc w:val="both"/>
              <w:rPr>
                <w:rFonts w:ascii="Times New Roman" w:eastAsia="Times New Roman" w:hAnsi="Times New Roman" w:cs="Times New Roman"/>
                <w:color w:val="000000"/>
                <w:sz w:val="20"/>
                <w:szCs w:val="20"/>
                <w:lang w:eastAsia="en-ZA"/>
              </w:rPr>
            </w:pPr>
          </w:p>
          <w:p w14:paraId="721149E8" w14:textId="77777777" w:rsidR="002D7080" w:rsidRPr="004D1E6F" w:rsidRDefault="002D7080" w:rsidP="007F105A">
            <w:pPr>
              <w:spacing w:after="0"/>
              <w:jc w:val="both"/>
              <w:rPr>
                <w:rFonts w:ascii="Times New Roman" w:eastAsia="Times New Roman" w:hAnsi="Times New Roman" w:cs="Times New Roman"/>
                <w:color w:val="000000"/>
                <w:sz w:val="20"/>
                <w:szCs w:val="20"/>
                <w:u w:val="single"/>
                <w:lang w:eastAsia="en-ZA"/>
              </w:rPr>
            </w:pPr>
            <w:r w:rsidRPr="004D1E6F">
              <w:rPr>
                <w:rFonts w:ascii="Times New Roman" w:eastAsia="Times New Roman" w:hAnsi="Times New Roman" w:cs="Times New Roman"/>
                <w:color w:val="000000"/>
                <w:sz w:val="20"/>
                <w:szCs w:val="20"/>
                <w:u w:val="single"/>
                <w:lang w:eastAsia="en-ZA"/>
              </w:rPr>
              <w:t>Grazing/herbivory/browsing; Moderate (MO); Confidence: Medium</w:t>
            </w:r>
          </w:p>
          <w:p w14:paraId="1C4D3D59" w14:textId="77777777" w:rsidR="002D7080" w:rsidRPr="004D1E6F" w:rsidRDefault="002D7080" w:rsidP="007F105A">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Grazing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can lead to habitat loss and modification through the removal of macrophytes. Habitat loss can lead to a decline in populations of species that utilise the macrophyte stands as a food source, nesting sites, and as refugia from predation (Rosenthal et al. 2005). </w:t>
            </w:r>
            <w:r w:rsidRPr="004D1E6F">
              <w:rPr>
                <w:rFonts w:ascii="Times New Roman" w:eastAsia="Times New Roman" w:hAnsi="Times New Roman" w:cs="Times New Roman"/>
                <w:i/>
                <w:color w:val="000000"/>
                <w:sz w:val="20"/>
                <w:szCs w:val="20"/>
                <w:lang w:eastAsia="en-ZA"/>
              </w:rPr>
              <w:t xml:space="preserve">Procambarus clarkii </w:t>
            </w:r>
            <w:r w:rsidRPr="004D1E6F">
              <w:rPr>
                <w:rFonts w:ascii="Times New Roman" w:eastAsia="Times New Roman" w:hAnsi="Times New Roman" w:cs="Times New Roman"/>
                <w:color w:val="000000"/>
                <w:sz w:val="20"/>
                <w:szCs w:val="20"/>
                <w:lang w:eastAsia="en-ZA"/>
              </w:rPr>
              <w:t xml:space="preserve">can also cause changes to community composition through trophic cascades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"id" : "ITEM-2", "itemData" : { "DOI" : "10.1007/978-1-4020-6029-8_28", "ISBN" : "978-1-4020-6029-8", "author" : [ { "dropping-particle" : "", "family" : "Gherardi", "given" : "Francesca", "non-dropping-particle" : "", "parse-names" : false, "suffix" : "" } ], "container-title" : "Biological invaders in inland waters: Profiles, \u2026", "id" : "ITEM-2", "issued" : { "date-parts" : [ [ "2007" ] ] }, "page" : "507-542", "title" : "Understanding the impact of invasive crayfish", "type" : "article-journal" }, "uris" : [ "http://www.mendeley.com/documents/?uuid=879a3355-c9ec-4aa2-a111-dbd6064fa273" ] } ], "mendeley" : { "formattedCitation" : "(Gherardi 2007, Souty-grosset et al. 2016)", "manualFormatting" : "(Gherardi and Aquistapace 2007, Souty-grosset et al. 2016)", "plainTextFormattedCitation" : "(Gherardi 2007, Souty-grosset et al. 2016)", "previouslyFormattedCitation" : "(Gherardi 2007,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(Gherardi &amp; Aquistapace 2007; 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For example, in Lake Chozas (northwest Spain), grazing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caused a reduction in macrophyte communities and this impact cascaded up the food chain with declines in invertebrates, amphibians, and waterfowl (Rodriguez et al 2003). Grazing can also cause changes to community composition and structure, such as changing ecosystems from macrophyte-dominated areas with clear water, to turbid phytoplankton-dominated areas (Matsizaki et al. 2009). Excessive grazing can also lead to accelerated rates of </w:t>
            </w:r>
            <w:r w:rsidRPr="004D1E6F">
              <w:rPr>
                <w:rFonts w:ascii="Times New Roman" w:eastAsia="Calibri" w:hAnsi="Times New Roman" w:cs="Times New Roman"/>
                <w:sz w:val="20"/>
                <w:szCs w:val="20"/>
              </w:rPr>
              <w:t>important processes</w:t>
            </w:r>
            <w:r w:rsidRPr="004D1E6F">
              <w:rPr>
                <w:rFonts w:ascii="Times New Roman" w:eastAsia="Times New Roman" w:hAnsi="Times New Roman" w:cs="Times New Roman"/>
                <w:color w:val="000000"/>
                <w:sz w:val="20"/>
                <w:szCs w:val="20"/>
                <w:lang w:eastAsia="en-ZA"/>
              </w:rPr>
              <w:t xml:space="preserve"> such as litter breakdown and decomposition (Gherardi &amp; Aquistapace 2007; Souty-Grosset et al. 2016).</w:t>
            </w:r>
          </w:p>
        </w:tc>
      </w:tr>
      <w:tr w:rsidR="002D7080" w:rsidRPr="004D1E6F" w14:paraId="163D37D9" w14:textId="77777777" w:rsidTr="002E2C37">
        <w:trPr>
          <w:trHeight w:val="70"/>
        </w:trPr>
        <w:tc>
          <w:tcPr>
            <w:tcW w:w="9016" w:type="dxa"/>
            <w:gridSpan w:val="2"/>
          </w:tcPr>
          <w:p w14:paraId="14BBA8D2" w14:textId="77777777" w:rsidR="002D7080" w:rsidRPr="004D1E6F" w:rsidRDefault="002D7080" w:rsidP="002E2C37">
            <w:pPr>
              <w:spacing w:after="0" w:line="240" w:lineRule="auto"/>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7E483410" w14:textId="4F00E1C0" w:rsidR="002D7080" w:rsidRPr="004D1E6F" w:rsidRDefault="002D7080" w:rsidP="007F105A">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Cruz, M.J., Rebelo, R. &amp; Crespo, E.G., 2006, ‘Effects of an introduced crayfish, </w:t>
            </w: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on the distribution of south-western Iberian amphibians in their breeding habitats’, </w:t>
            </w:r>
            <w:r w:rsidRPr="004D1E6F">
              <w:rPr>
                <w:rFonts w:ascii="Times New Roman" w:eastAsia="Times New Roman" w:hAnsi="Times New Roman" w:cs="Times New Roman"/>
                <w:i/>
                <w:color w:val="000000"/>
                <w:sz w:val="20"/>
                <w:szCs w:val="20"/>
                <w:lang w:eastAsia="en-ZA"/>
              </w:rPr>
              <w:t>Ecography</w:t>
            </w:r>
            <w:r w:rsidRPr="004D1E6F">
              <w:rPr>
                <w:rFonts w:ascii="Times New Roman" w:eastAsia="Times New Roman" w:hAnsi="Times New Roman" w:cs="Times New Roman"/>
                <w:color w:val="000000"/>
                <w:sz w:val="20"/>
                <w:szCs w:val="20"/>
                <w:lang w:eastAsia="en-ZA"/>
              </w:rPr>
              <w:t xml:space="preserve"> 29, 329-338, </w:t>
            </w:r>
            <w:hyperlink r:id="rId82" w:history="1">
              <w:r w:rsidR="00217643" w:rsidRPr="00217643">
                <w:rPr>
                  <w:rStyle w:val="Hyperlink"/>
                  <w:rFonts w:ascii="Times New Roman" w:eastAsia="Times New Roman" w:hAnsi="Times New Roman" w:cs="Times New Roman"/>
                  <w:sz w:val="20"/>
                  <w:szCs w:val="20"/>
                  <w:lang w:eastAsia="en-ZA"/>
                </w:rPr>
                <w:t>https://doi.org/10.1111/j.2006.0906-7590.04333.x</w:t>
              </w:r>
            </w:hyperlink>
          </w:p>
          <w:p w14:paraId="1BEFCC9F" w14:textId="22CFA46D" w:rsidR="00217643" w:rsidRDefault="002D7080" w:rsidP="007F105A">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Ficetola, G.F., Siesa, M.E., Manenti, R., Bottoni, L., De Bernardi, F. &amp; Padoa-Schioppa, E., 2011, ‘Early assessment of the impact of alien species: Differential consequences of an invasive crayfish on adult and larval amphibians’, </w:t>
            </w:r>
            <w:r w:rsidRPr="004D1E6F">
              <w:rPr>
                <w:rFonts w:ascii="Times New Roman" w:eastAsia="Calibri" w:hAnsi="Times New Roman" w:cs="Times New Roman"/>
                <w:i/>
                <w:iCs/>
                <w:sz w:val="20"/>
                <w:szCs w:val="20"/>
              </w:rPr>
              <w:t xml:space="preserve">Diversity and Distributions </w:t>
            </w:r>
            <w:r w:rsidRPr="004D1E6F">
              <w:rPr>
                <w:rFonts w:ascii="Times New Roman" w:eastAsia="Calibri" w:hAnsi="Times New Roman" w:cs="Times New Roman"/>
                <w:sz w:val="20"/>
                <w:szCs w:val="20"/>
              </w:rPr>
              <w:t xml:space="preserve">17,1141–1151, </w:t>
            </w:r>
            <w:hyperlink r:id="rId83" w:history="1">
              <w:r w:rsidR="00217643" w:rsidRPr="00217643">
                <w:rPr>
                  <w:rStyle w:val="Hyperlink"/>
                  <w:rFonts w:ascii="Times New Roman" w:eastAsia="Times New Roman" w:hAnsi="Times New Roman" w:cs="Times New Roman"/>
                  <w:sz w:val="20"/>
                  <w:szCs w:val="20"/>
                  <w:lang w:eastAsia="en-ZA"/>
                </w:rPr>
                <w:t>https://doi.org/10.1111/j.1472-4642.2011.00797.x</w:t>
              </w:r>
            </w:hyperlink>
          </w:p>
          <w:p w14:paraId="20A03FB3" w14:textId="45BC5DA5" w:rsidR="00217643" w:rsidRDefault="002D7080" w:rsidP="007F105A">
            <w:pPr>
              <w:spacing w:after="0"/>
              <w:ind w:left="720" w:hanging="720"/>
              <w:jc w:val="both"/>
              <w:rPr>
                <w:rFonts w:ascii="Times New Roman" w:eastAsia="Calibri" w:hAnsi="Times New Roman" w:cs="Times New Roman"/>
                <w:bCs/>
                <w:sz w:val="20"/>
                <w:szCs w:val="20"/>
              </w:rPr>
            </w:pPr>
            <w:r w:rsidRPr="004D1E6F">
              <w:rPr>
                <w:rFonts w:ascii="Times New Roman" w:eastAsia="Calibri" w:hAnsi="Times New Roman" w:cs="Times New Roman"/>
                <w:sz w:val="20"/>
                <w:szCs w:val="20"/>
              </w:rPr>
              <w:t xml:space="preserve">Gherardi. F. &amp; Acquistapace, P., 2007, ‘Invasive crayfish in Europe: The impact of </w:t>
            </w:r>
            <w:r w:rsidRPr="004D1E6F">
              <w:rPr>
                <w:rFonts w:ascii="Times New Roman" w:eastAsia="Calibri" w:hAnsi="Times New Roman" w:cs="Times New Roman"/>
                <w:i/>
                <w:iCs/>
                <w:sz w:val="20"/>
                <w:szCs w:val="20"/>
              </w:rPr>
              <w:t xml:space="preserve">Procambarus clarkii </w:t>
            </w:r>
            <w:r w:rsidRPr="004D1E6F">
              <w:rPr>
                <w:rFonts w:ascii="Times New Roman" w:eastAsia="Calibri" w:hAnsi="Times New Roman" w:cs="Times New Roman"/>
                <w:sz w:val="20"/>
                <w:szCs w:val="20"/>
              </w:rPr>
              <w:t xml:space="preserve">on the littoral community of a Mediterranean lake’, </w:t>
            </w:r>
            <w:r w:rsidRPr="004D1E6F">
              <w:rPr>
                <w:rFonts w:ascii="Times New Roman" w:eastAsia="Calibri" w:hAnsi="Times New Roman" w:cs="Times New Roman"/>
                <w:i/>
                <w:iCs/>
                <w:sz w:val="20"/>
                <w:szCs w:val="20"/>
              </w:rPr>
              <w:t xml:space="preserve">Freshwater Biology </w:t>
            </w:r>
            <w:r w:rsidRPr="004D1E6F">
              <w:rPr>
                <w:rFonts w:ascii="Times New Roman" w:eastAsia="Calibri" w:hAnsi="Times New Roman" w:cs="Times New Roman"/>
                <w:sz w:val="20"/>
                <w:szCs w:val="20"/>
              </w:rPr>
              <w:t xml:space="preserve">52, 1249-59, </w:t>
            </w:r>
            <w:hyperlink r:id="rId84" w:history="1">
              <w:r w:rsidR="00217643" w:rsidRPr="00217643">
                <w:rPr>
                  <w:rStyle w:val="Hyperlink"/>
                  <w:rFonts w:ascii="Times New Roman" w:eastAsia="Calibri" w:hAnsi="Times New Roman" w:cs="Times New Roman"/>
                  <w:sz w:val="20"/>
                  <w:szCs w:val="20"/>
                </w:rPr>
                <w:t>https://doi.org/10.1111/j.1365-2427.2007.01760.x</w:t>
              </w:r>
            </w:hyperlink>
            <w:r w:rsidR="00217643" w:rsidRPr="00217643">
              <w:rPr>
                <w:rFonts w:ascii="Times New Roman" w:eastAsia="Calibri" w:hAnsi="Times New Roman" w:cs="Times New Roman"/>
                <w:sz w:val="20"/>
                <w:szCs w:val="20"/>
              </w:rPr>
              <w:t xml:space="preserve">. </w:t>
            </w:r>
          </w:p>
          <w:p w14:paraId="1DCA5EFC" w14:textId="79603DC9" w:rsidR="002D7080" w:rsidRPr="004D1E6F" w:rsidRDefault="002D7080" w:rsidP="007F105A">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bCs/>
                <w:sz w:val="20"/>
                <w:szCs w:val="20"/>
              </w:rPr>
              <w:t>Holdich, D.M., Reynolds, J.D., Sibley, P.J., 2009, ‘A review of the ever increasing threat to European crayfish from non-indigenous crayfish species’,</w:t>
            </w:r>
            <w:r w:rsidRPr="004D1E6F">
              <w:rPr>
                <w:rFonts w:ascii="Times New Roman" w:eastAsia="Calibri" w:hAnsi="Times New Roman" w:cs="Times New Roman"/>
                <w:sz w:val="20"/>
                <w:szCs w:val="20"/>
              </w:rPr>
              <w:t xml:space="preserve"> </w:t>
            </w:r>
            <w:r w:rsidRPr="004D1E6F">
              <w:rPr>
                <w:rFonts w:ascii="Times New Roman" w:eastAsia="Calibri" w:hAnsi="Times New Roman" w:cs="Times New Roman"/>
                <w:bCs/>
                <w:i/>
                <w:sz w:val="20"/>
                <w:szCs w:val="20"/>
              </w:rPr>
              <w:t>Knowledge and Management of Aquatic Ecosystems</w:t>
            </w:r>
            <w:r w:rsidRPr="004D1E6F">
              <w:rPr>
                <w:rFonts w:ascii="Times New Roman" w:eastAsia="Calibri" w:hAnsi="Times New Roman" w:cs="Times New Roman"/>
                <w:bCs/>
                <w:sz w:val="20"/>
                <w:szCs w:val="20"/>
              </w:rPr>
              <w:t xml:space="preserve"> 11, 394–395</w:t>
            </w:r>
            <w:r w:rsidR="00217643">
              <w:rPr>
                <w:rFonts w:ascii="Times New Roman" w:eastAsia="Calibri" w:hAnsi="Times New Roman" w:cs="Times New Roman"/>
                <w:bCs/>
                <w:sz w:val="20"/>
                <w:szCs w:val="20"/>
              </w:rPr>
              <w:t xml:space="preserve">, </w:t>
            </w:r>
            <w:hyperlink r:id="rId85" w:history="1">
              <w:r w:rsidR="00217643" w:rsidRPr="00217643">
                <w:rPr>
                  <w:rStyle w:val="Hyperlink"/>
                  <w:rFonts w:ascii="Times New Roman" w:eastAsia="Calibri" w:hAnsi="Times New Roman" w:cs="Times New Roman"/>
                  <w:bCs/>
                  <w:sz w:val="20"/>
                  <w:szCs w:val="20"/>
                </w:rPr>
                <w:t>https://doi.org/10.1051/kmae/2009025</w:t>
              </w:r>
            </w:hyperlink>
            <w:r w:rsidR="00217643" w:rsidRPr="00217643">
              <w:rPr>
                <w:rFonts w:ascii="Times New Roman" w:eastAsia="Calibri" w:hAnsi="Times New Roman" w:cs="Times New Roman"/>
                <w:bCs/>
                <w:sz w:val="20"/>
                <w:szCs w:val="20"/>
              </w:rPr>
              <w:t xml:space="preserve">.  </w:t>
            </w:r>
          </w:p>
          <w:p w14:paraId="31AE83F8" w14:textId="414DC986" w:rsidR="00217643" w:rsidRDefault="002D7080" w:rsidP="007F105A">
            <w:pPr>
              <w:spacing w:after="0"/>
              <w:ind w:left="720" w:hanging="720"/>
              <w:jc w:val="both"/>
              <w:rPr>
                <w:rFonts w:ascii="Times New Roman" w:eastAsia="Calibri" w:hAnsi="Times New Roman" w:cs="Times New Roman"/>
                <w:sz w:val="20"/>
                <w:szCs w:val="20"/>
              </w:rPr>
            </w:pPr>
            <w:r w:rsidRPr="004D1E6F">
              <w:rPr>
                <w:rFonts w:ascii="Times New Roman" w:eastAsia="Times New Roman" w:hAnsi="Times New Roman" w:cs="Times New Roman"/>
                <w:color w:val="000000"/>
                <w:sz w:val="20"/>
                <w:szCs w:val="20"/>
                <w:lang w:eastAsia="en-ZA"/>
              </w:rPr>
              <w:t xml:space="preserve">Jackson, M.C., Grey, J., Miller, K., Britton, J.R. &amp; Donohue, I., 2016, ‘Dietary niche constriction when invaders meet natives: Evidence from freshwater decapods’, </w:t>
            </w:r>
            <w:r w:rsidRPr="004D1E6F">
              <w:rPr>
                <w:rFonts w:ascii="Times New Roman" w:eastAsia="Times New Roman" w:hAnsi="Times New Roman" w:cs="Times New Roman"/>
                <w:i/>
                <w:color w:val="000000"/>
                <w:sz w:val="20"/>
                <w:szCs w:val="20"/>
                <w:lang w:eastAsia="en-ZA"/>
              </w:rPr>
              <w:t>Journal of Animal Ecology</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b/>
                <w:color w:val="000000"/>
                <w:sz w:val="20"/>
                <w:szCs w:val="20"/>
                <w:lang w:eastAsia="en-ZA"/>
              </w:rPr>
              <w:t>85</w:t>
            </w:r>
            <w:r w:rsidRPr="004D1E6F">
              <w:rPr>
                <w:rFonts w:ascii="Times New Roman" w:eastAsia="Times New Roman" w:hAnsi="Times New Roman" w:cs="Times New Roman"/>
                <w:color w:val="000000"/>
                <w:sz w:val="20"/>
                <w:szCs w:val="20"/>
                <w:lang w:eastAsia="en-ZA"/>
              </w:rPr>
              <w:t xml:space="preserve">, 1098–1107, </w:t>
            </w:r>
            <w:hyperlink r:id="rId86" w:history="1">
              <w:r w:rsidR="00217643" w:rsidRPr="00D66918">
                <w:rPr>
                  <w:rStyle w:val="Hyperlink"/>
                  <w:rFonts w:ascii="Times New Roman" w:eastAsia="Times New Roman" w:hAnsi="Times New Roman" w:cs="Times New Roman"/>
                  <w:sz w:val="20"/>
                  <w:szCs w:val="20"/>
                  <w:lang w:eastAsia="en-ZA"/>
                </w:rPr>
                <w:t>https://doi.org/10.1051/kmae:2005031</w:t>
              </w:r>
            </w:hyperlink>
            <w:r w:rsidR="00217643">
              <w:rPr>
                <w:rFonts w:ascii="Times New Roman" w:eastAsia="Calibri" w:hAnsi="Times New Roman" w:cs="Times New Roman"/>
                <w:sz w:val="20"/>
                <w:szCs w:val="20"/>
              </w:rPr>
              <w:t>.</w:t>
            </w:r>
          </w:p>
          <w:p w14:paraId="67A73D3A" w14:textId="60390114" w:rsidR="002D7080" w:rsidRPr="004D1E6F" w:rsidRDefault="002D7080" w:rsidP="007F105A">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Lodge, D.M., Deines, A., Gherardi, F., Yeo, D.C.J., Arcella, T., Baldridge, A.K., Branes, M.A., Chadderton, W.L., Feder, J.L., Grantz, C.A., Howard, G.W., Jerdde, C.L., Peters, J.A., Sargent, L.W., Turner, C.R., Wittmann, M.E. &amp; Zeng, Y., 2012, ‘Global introductions of crayfishes: Evaluating the impact of species invasions on ecosystem services’, </w:t>
            </w:r>
            <w:r w:rsidRPr="004D1E6F">
              <w:rPr>
                <w:rFonts w:ascii="Times New Roman" w:eastAsia="Calibri" w:hAnsi="Times New Roman" w:cs="Times New Roman"/>
                <w:i/>
                <w:sz w:val="20"/>
                <w:szCs w:val="20"/>
              </w:rPr>
              <w:t>Annual Review of Ecology, Evolution and Systematics</w:t>
            </w:r>
            <w:r w:rsidRPr="004D1E6F">
              <w:rPr>
                <w:rFonts w:ascii="Times New Roman" w:eastAsia="Calibri" w:hAnsi="Times New Roman" w:cs="Times New Roman"/>
                <w:sz w:val="20"/>
                <w:szCs w:val="20"/>
              </w:rPr>
              <w:t xml:space="preserve"> 43, 449 –472, </w:t>
            </w:r>
            <w:r w:rsidR="00217643" w:rsidRPr="00D66918">
              <w:rPr>
                <w:rFonts w:ascii="Times New Roman" w:eastAsia="Times New Roman" w:hAnsi="Times New Roman" w:cs="Times New Roman"/>
                <w:color w:val="000000"/>
                <w:sz w:val="20"/>
                <w:szCs w:val="20"/>
                <w:lang w:eastAsia="en-ZA"/>
              </w:rPr>
              <w:t>https://doi.org/10.1146/annurev-ecolsys-111511-103919</w:t>
            </w:r>
            <w:r w:rsidRPr="004D1E6F">
              <w:rPr>
                <w:rFonts w:ascii="Times New Roman" w:eastAsia="Calibri" w:hAnsi="Times New Roman" w:cs="Times New Roman"/>
                <w:sz w:val="20"/>
                <w:szCs w:val="20"/>
              </w:rPr>
              <w:t>.</w:t>
            </w:r>
          </w:p>
          <w:p w14:paraId="55788CBF" w14:textId="2F58CF83" w:rsidR="00217643" w:rsidRDefault="002D7080" w:rsidP="007F105A">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Longshaw, M., 2011, ‘Diseases of crayfish: A review’, </w:t>
            </w:r>
            <w:r w:rsidRPr="004D1E6F">
              <w:rPr>
                <w:rFonts w:ascii="Times New Roman" w:eastAsia="Calibri" w:hAnsi="Times New Roman" w:cs="Times New Roman"/>
                <w:i/>
                <w:sz w:val="20"/>
                <w:szCs w:val="20"/>
              </w:rPr>
              <w:t>Journal of Invertebrate Pathology</w:t>
            </w:r>
            <w:r w:rsidRPr="004D1E6F">
              <w:rPr>
                <w:rFonts w:ascii="Times New Roman" w:eastAsia="Calibri" w:hAnsi="Times New Roman" w:cs="Times New Roman"/>
                <w:sz w:val="20"/>
                <w:szCs w:val="20"/>
              </w:rPr>
              <w:t xml:space="preserve"> 106, 54</w:t>
            </w:r>
            <w:r w:rsidRPr="004D1E6F">
              <w:rPr>
                <w:rFonts w:ascii="Times New Roman" w:eastAsia="Times New Roman" w:hAnsi="Times New Roman" w:cs="Times New Roman"/>
                <w:color w:val="000000"/>
                <w:sz w:val="20"/>
                <w:szCs w:val="20"/>
                <w:lang w:eastAsia="en-ZA"/>
              </w:rPr>
              <w:t>–</w:t>
            </w:r>
            <w:r w:rsidRPr="004D1E6F">
              <w:rPr>
                <w:rFonts w:ascii="Times New Roman" w:eastAsia="Calibri" w:hAnsi="Times New Roman" w:cs="Times New Roman"/>
                <w:sz w:val="20"/>
                <w:szCs w:val="20"/>
              </w:rPr>
              <w:t xml:space="preserve">70, </w:t>
            </w:r>
            <w:hyperlink r:id="rId87" w:history="1">
              <w:r w:rsidR="00217643" w:rsidRPr="00217643">
                <w:rPr>
                  <w:rStyle w:val="Hyperlink"/>
                  <w:rFonts w:ascii="Times New Roman" w:eastAsia="Calibri" w:hAnsi="Times New Roman" w:cs="Times New Roman"/>
                  <w:sz w:val="20"/>
                  <w:szCs w:val="20"/>
                </w:rPr>
                <w:t>https://doi.org/10.1016/j.jip.2010.09.013</w:t>
              </w:r>
            </w:hyperlink>
            <w:r w:rsidR="00217643">
              <w:rPr>
                <w:rFonts w:ascii="Times New Roman" w:eastAsia="Calibri" w:hAnsi="Times New Roman" w:cs="Times New Roman"/>
                <w:sz w:val="20"/>
                <w:szCs w:val="20"/>
              </w:rPr>
              <w:t>.</w:t>
            </w:r>
          </w:p>
          <w:p w14:paraId="2BF8F95B" w14:textId="73A5E711" w:rsidR="008F5B51" w:rsidRDefault="002D7080" w:rsidP="007F105A">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Matsuzaki, S.S., Usio, N., Takamura, N. &amp; Washitani, I., 2009, ‘Contrasting impacts of invasive engineers on freshwater ecosystems: An experiment and meta-analysis’, </w:t>
            </w:r>
            <w:r w:rsidRPr="004D1E6F">
              <w:rPr>
                <w:rFonts w:ascii="Times New Roman" w:eastAsia="Calibri" w:hAnsi="Times New Roman" w:cs="Times New Roman"/>
                <w:i/>
                <w:sz w:val="20"/>
                <w:szCs w:val="20"/>
              </w:rPr>
              <w:t>Oecologia</w:t>
            </w:r>
            <w:r w:rsidRPr="004D1E6F">
              <w:rPr>
                <w:rFonts w:ascii="Times New Roman" w:eastAsia="Calibri" w:hAnsi="Times New Roman" w:cs="Times New Roman"/>
                <w:sz w:val="20"/>
                <w:szCs w:val="20"/>
              </w:rPr>
              <w:t xml:space="preserve"> 158, 673</w:t>
            </w:r>
            <w:r w:rsidRPr="004D1E6F">
              <w:rPr>
                <w:rFonts w:ascii="Times New Roman" w:eastAsia="Times New Roman" w:hAnsi="Times New Roman" w:cs="Times New Roman"/>
                <w:color w:val="000000"/>
                <w:sz w:val="20"/>
                <w:szCs w:val="20"/>
                <w:lang w:eastAsia="en-ZA"/>
              </w:rPr>
              <w:t>–</w:t>
            </w:r>
            <w:r w:rsidRPr="004D1E6F">
              <w:rPr>
                <w:rFonts w:ascii="Times New Roman" w:eastAsia="Calibri" w:hAnsi="Times New Roman" w:cs="Times New Roman"/>
                <w:sz w:val="20"/>
                <w:szCs w:val="20"/>
              </w:rPr>
              <w:t xml:space="preserve">686, </w:t>
            </w:r>
            <w:r w:rsidR="008F5B51" w:rsidRPr="008F5B51">
              <w:rPr>
                <w:rFonts w:ascii="Times New Roman" w:eastAsia="Calibri" w:hAnsi="Times New Roman" w:cs="Times New Roman"/>
                <w:sz w:val="20"/>
                <w:szCs w:val="20"/>
              </w:rPr>
              <w:t>https://doi.org/10.1007/s00442-008-1180-1</w:t>
            </w:r>
          </w:p>
          <w:p w14:paraId="41B04CB6" w14:textId="3E9E6133" w:rsidR="002D7080" w:rsidRPr="004D1E6F" w:rsidRDefault="002D7080" w:rsidP="007F105A">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McMahon, T.A., Brannelly, L.A., Chatfield, M.W., Johnson, P.T., Joseph, M.B., McKenzie, V.J., Richards-Zawacki, C.L., Venesky, M.D. &amp; Rohr, J.R., 2013, ‘Chytrid fungus </w:t>
            </w:r>
            <w:r w:rsidRPr="004D1E6F">
              <w:rPr>
                <w:rFonts w:ascii="Times New Roman" w:eastAsia="Calibri" w:hAnsi="Times New Roman" w:cs="Times New Roman"/>
                <w:i/>
                <w:sz w:val="20"/>
                <w:szCs w:val="20"/>
              </w:rPr>
              <w:t>Batrachochytrium dendrobatidis</w:t>
            </w:r>
            <w:r w:rsidRPr="004D1E6F">
              <w:rPr>
                <w:rFonts w:ascii="Times New Roman" w:eastAsia="Calibri" w:hAnsi="Times New Roman" w:cs="Times New Roman"/>
                <w:sz w:val="20"/>
                <w:szCs w:val="20"/>
              </w:rPr>
              <w:t xml:space="preserve"> has non-amphibian hosts and releases chemicals that cause pathology in the absence of infection’, </w:t>
            </w:r>
            <w:r w:rsidRPr="004D1E6F">
              <w:rPr>
                <w:rFonts w:ascii="Times New Roman" w:eastAsia="Calibri" w:hAnsi="Times New Roman" w:cs="Times New Roman"/>
                <w:i/>
                <w:sz w:val="20"/>
                <w:szCs w:val="20"/>
              </w:rPr>
              <w:lastRenderedPageBreak/>
              <w:t>Proceedings of the National Academy of Sciences of the United States of America</w:t>
            </w:r>
            <w:r w:rsidRPr="004D1E6F">
              <w:rPr>
                <w:rFonts w:ascii="Times New Roman" w:eastAsia="Calibri" w:hAnsi="Times New Roman" w:cs="Times New Roman"/>
                <w:sz w:val="20"/>
                <w:szCs w:val="20"/>
              </w:rPr>
              <w:t xml:space="preserve"> 110,</w:t>
            </w:r>
            <w:r w:rsidRPr="004D1E6F">
              <w:rPr>
                <w:rFonts w:ascii="Times New Roman" w:eastAsia="Calibri" w:hAnsi="Times New Roman" w:cs="Times New Roman"/>
                <w:b/>
                <w:sz w:val="20"/>
                <w:szCs w:val="20"/>
              </w:rPr>
              <w:t xml:space="preserve"> </w:t>
            </w:r>
            <w:r w:rsidRPr="004D1E6F">
              <w:rPr>
                <w:rFonts w:ascii="Times New Roman" w:eastAsia="Calibri" w:hAnsi="Times New Roman" w:cs="Times New Roman"/>
                <w:sz w:val="20"/>
                <w:szCs w:val="20"/>
              </w:rPr>
              <w:t>210</w:t>
            </w:r>
            <w:r w:rsidRPr="004D1E6F">
              <w:rPr>
                <w:rFonts w:ascii="Times New Roman" w:eastAsia="Times New Roman" w:hAnsi="Times New Roman" w:cs="Times New Roman"/>
                <w:color w:val="000000"/>
                <w:sz w:val="20"/>
                <w:szCs w:val="20"/>
                <w:lang w:eastAsia="en-ZA"/>
              </w:rPr>
              <w:t>–</w:t>
            </w:r>
            <w:r w:rsidRPr="004D1E6F">
              <w:rPr>
                <w:rFonts w:ascii="Times New Roman" w:eastAsia="Calibri" w:hAnsi="Times New Roman" w:cs="Times New Roman"/>
                <w:sz w:val="20"/>
                <w:szCs w:val="20"/>
              </w:rPr>
              <w:t>215</w:t>
            </w:r>
            <w:r w:rsidR="008F5B51">
              <w:rPr>
                <w:rFonts w:ascii="Times New Roman" w:eastAsia="Calibri" w:hAnsi="Times New Roman" w:cs="Times New Roman"/>
                <w:sz w:val="20"/>
                <w:szCs w:val="20"/>
              </w:rPr>
              <w:t xml:space="preserve">, </w:t>
            </w:r>
            <w:r w:rsidR="008F5B51" w:rsidRPr="008F5B51">
              <w:rPr>
                <w:rFonts w:ascii="Times New Roman" w:eastAsia="Calibri" w:hAnsi="Times New Roman" w:cs="Times New Roman"/>
                <w:sz w:val="20"/>
                <w:szCs w:val="20"/>
              </w:rPr>
              <w:t>https://doi.org/10.1073/pnas.1200592110</w:t>
            </w:r>
          </w:p>
          <w:p w14:paraId="237BAD59" w14:textId="5D03BC44" w:rsidR="002D7080" w:rsidRPr="004D1E6F" w:rsidRDefault="002D7080" w:rsidP="007F105A">
            <w:pPr>
              <w:spacing w:after="0"/>
              <w:ind w:left="720" w:hanging="720"/>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Rodríguez, C.F., Bécares, E. &amp; Fernández-Aláez, M., 2003, ‘Shift from clear to turbid phase in Lake Chozas (NW Spain) due to the introduction of American red swamp crayfish (</w:t>
            </w:r>
            <w:r w:rsidRPr="004D1E6F">
              <w:rPr>
                <w:rFonts w:ascii="Times New Roman" w:eastAsia="Calibri" w:hAnsi="Times New Roman" w:cs="Times New Roman"/>
                <w:i/>
                <w:iCs/>
                <w:sz w:val="20"/>
                <w:szCs w:val="20"/>
              </w:rPr>
              <w:t>Procambarus clarkii</w:t>
            </w:r>
            <w:r w:rsidRPr="004D1E6F">
              <w:rPr>
                <w:rFonts w:ascii="Times New Roman" w:eastAsia="Calibri" w:hAnsi="Times New Roman" w:cs="Times New Roman"/>
                <w:sz w:val="20"/>
                <w:szCs w:val="20"/>
              </w:rPr>
              <w:t xml:space="preserve">)’, </w:t>
            </w:r>
            <w:r w:rsidRPr="004D1E6F">
              <w:rPr>
                <w:rFonts w:ascii="Times New Roman" w:eastAsia="Calibri" w:hAnsi="Times New Roman" w:cs="Times New Roman"/>
                <w:i/>
                <w:iCs/>
                <w:sz w:val="20"/>
                <w:szCs w:val="20"/>
              </w:rPr>
              <w:t xml:space="preserve">Hydrobiologia </w:t>
            </w:r>
            <w:r w:rsidRPr="004D1E6F">
              <w:rPr>
                <w:rFonts w:ascii="Times New Roman" w:eastAsia="Calibri" w:hAnsi="Times New Roman" w:cs="Times New Roman"/>
                <w:sz w:val="20"/>
                <w:szCs w:val="20"/>
              </w:rPr>
              <w:t>506, 421</w:t>
            </w:r>
            <w:r w:rsidRPr="004D1E6F">
              <w:rPr>
                <w:rFonts w:ascii="Times New Roman" w:eastAsia="Times New Roman" w:hAnsi="Times New Roman" w:cs="Times New Roman"/>
                <w:color w:val="000000"/>
                <w:sz w:val="20"/>
                <w:szCs w:val="20"/>
                <w:lang w:eastAsia="en-ZA"/>
              </w:rPr>
              <w:t>–</w:t>
            </w:r>
            <w:r w:rsidRPr="004D1E6F">
              <w:rPr>
                <w:rFonts w:ascii="Times New Roman" w:eastAsia="Calibri" w:hAnsi="Times New Roman" w:cs="Times New Roman"/>
                <w:sz w:val="20"/>
                <w:szCs w:val="20"/>
              </w:rPr>
              <w:t xml:space="preserve">26, </w:t>
            </w:r>
            <w:hyperlink r:id="rId88" w:history="1">
              <w:r w:rsidR="008F5B51" w:rsidRPr="008F5B51">
                <w:rPr>
                  <w:rStyle w:val="Hyperlink"/>
                  <w:rFonts w:ascii="Times New Roman" w:eastAsia="Calibri" w:hAnsi="Times New Roman" w:cs="Times New Roman"/>
                  <w:sz w:val="20"/>
                  <w:szCs w:val="20"/>
                </w:rPr>
                <w:t>https://doi.org/10.1023/B:HYDR.0000008626.07042.87</w:t>
              </w:r>
            </w:hyperlink>
            <w:r w:rsidR="008F5B51" w:rsidRPr="008F5B51">
              <w:rPr>
                <w:rFonts w:ascii="Times New Roman" w:eastAsia="Calibri" w:hAnsi="Times New Roman" w:cs="Times New Roman"/>
                <w:sz w:val="20"/>
                <w:szCs w:val="20"/>
              </w:rPr>
              <w:t>.</w:t>
            </w:r>
            <w:r w:rsidRPr="004D1E6F">
              <w:rPr>
                <w:rFonts w:ascii="Times New Roman" w:eastAsia="Calibri" w:hAnsi="Times New Roman" w:cs="Times New Roman"/>
                <w:sz w:val="20"/>
                <w:szCs w:val="20"/>
              </w:rPr>
              <w:t xml:space="preserve"> </w:t>
            </w:r>
          </w:p>
          <w:p w14:paraId="7EA24874" w14:textId="4B051242" w:rsidR="008F5B51" w:rsidRPr="008F5B51" w:rsidRDefault="008F5B51" w:rsidP="007F105A">
            <w:pPr>
              <w:spacing w:after="0"/>
              <w:ind w:left="720" w:hanging="720"/>
              <w:jc w:val="both"/>
              <w:rPr>
                <w:rFonts w:ascii="Times New Roman" w:eastAsia="Calibri" w:hAnsi="Times New Roman" w:cs="Times New Roman"/>
                <w:sz w:val="20"/>
                <w:szCs w:val="20"/>
              </w:rPr>
            </w:pPr>
            <w:r w:rsidRPr="008F5B51">
              <w:rPr>
                <w:rFonts w:ascii="Times New Roman" w:eastAsia="Calibri" w:hAnsi="Times New Roman" w:cs="Times New Roman"/>
                <w:sz w:val="20"/>
                <w:szCs w:val="20"/>
              </w:rPr>
              <w:t>Rosenthal, S.K., Lodge, D.M., Mavuti, K.M., Muohi, W., Ochieng, P., Mungai, B.N. &amp; Mkoji, G.M., 2005, ‘Comparing macrophyte herbivory by introduced Louisiana crayfish (</w:t>
            </w:r>
            <w:r w:rsidRPr="008F5B51">
              <w:rPr>
                <w:rFonts w:ascii="Times New Roman" w:eastAsia="Calibri" w:hAnsi="Times New Roman" w:cs="Times New Roman"/>
                <w:i/>
                <w:iCs/>
                <w:sz w:val="20"/>
                <w:szCs w:val="20"/>
              </w:rPr>
              <w:t>Procambarus clarkii</w:t>
            </w:r>
            <w:r w:rsidRPr="008F5B51">
              <w:rPr>
                <w:rFonts w:ascii="Times New Roman" w:eastAsia="Calibri" w:hAnsi="Times New Roman" w:cs="Times New Roman"/>
                <w:sz w:val="20"/>
                <w:szCs w:val="20"/>
              </w:rPr>
              <w:t>) (Crustacea: Cambaridea) and native Dytiscid beetles (</w:t>
            </w:r>
            <w:r w:rsidRPr="008F5B51">
              <w:rPr>
                <w:rFonts w:ascii="Times New Roman" w:eastAsia="Calibri" w:hAnsi="Times New Roman" w:cs="Times New Roman"/>
                <w:i/>
                <w:iCs/>
                <w:sz w:val="20"/>
                <w:szCs w:val="20"/>
              </w:rPr>
              <w:t>Cybister tripunctatus</w:t>
            </w:r>
            <w:r w:rsidRPr="008F5B51">
              <w:rPr>
                <w:rFonts w:ascii="Times New Roman" w:eastAsia="Calibri" w:hAnsi="Times New Roman" w:cs="Times New Roman"/>
                <w:sz w:val="20"/>
                <w:szCs w:val="20"/>
              </w:rPr>
              <w:t xml:space="preserve">) in Kenya, </w:t>
            </w:r>
            <w:r w:rsidRPr="008F5B51">
              <w:rPr>
                <w:rFonts w:ascii="Times New Roman" w:eastAsia="Calibri" w:hAnsi="Times New Roman" w:cs="Times New Roman"/>
                <w:i/>
                <w:iCs/>
                <w:sz w:val="20"/>
                <w:szCs w:val="20"/>
              </w:rPr>
              <w:t>African Journal of Aquatic Science</w:t>
            </w:r>
            <w:r w:rsidRPr="008F5B51">
              <w:rPr>
                <w:rFonts w:ascii="Times New Roman" w:eastAsia="Calibri" w:hAnsi="Times New Roman" w:cs="Times New Roman"/>
                <w:sz w:val="20"/>
                <w:szCs w:val="20"/>
              </w:rPr>
              <w:t>, 30, 157–162,  https://doi.org/10.2989/16085910509503850</w:t>
            </w:r>
            <w:r w:rsidR="007F105A">
              <w:rPr>
                <w:rFonts w:ascii="Times New Roman" w:eastAsia="Calibri" w:hAnsi="Times New Roman" w:cs="Times New Roman"/>
                <w:sz w:val="20"/>
                <w:szCs w:val="20"/>
              </w:rPr>
              <w:t>.</w:t>
            </w:r>
          </w:p>
          <w:p w14:paraId="10E75890" w14:textId="73C7B3DF" w:rsidR="002D7080" w:rsidRPr="004D1E6F" w:rsidRDefault="008F5B51" w:rsidP="007F105A">
            <w:pPr>
              <w:spacing w:after="0"/>
              <w:ind w:left="720" w:hanging="720"/>
              <w:jc w:val="both"/>
              <w:rPr>
                <w:rFonts w:ascii="Times New Roman" w:eastAsia="Calibri" w:hAnsi="Times New Roman" w:cs="Times New Roman"/>
                <w:sz w:val="20"/>
                <w:szCs w:val="20"/>
              </w:rPr>
            </w:pPr>
            <w:r w:rsidRPr="008F5B51">
              <w:rPr>
                <w:rFonts w:ascii="Times New Roman" w:eastAsia="Calibri" w:hAnsi="Times New Roman" w:cs="Times New Roman"/>
                <w:sz w:val="20"/>
                <w:szCs w:val="20"/>
              </w:rPr>
              <w:t xml:space="preserve">Souty-Grosset, C., Anastácio, P.M., Aquiloni, L., Banha, F., Choquer, J., Chucholl, C. &amp; Tricarico, E., 2016, ‘The red swamp crayfish </w:t>
            </w:r>
            <w:r w:rsidRPr="008F5B51">
              <w:rPr>
                <w:rFonts w:ascii="Times New Roman" w:eastAsia="Calibri" w:hAnsi="Times New Roman" w:cs="Times New Roman"/>
                <w:i/>
                <w:sz w:val="20"/>
                <w:szCs w:val="20"/>
              </w:rPr>
              <w:t>Procambarus clarkii</w:t>
            </w:r>
            <w:r w:rsidRPr="008F5B51">
              <w:rPr>
                <w:rFonts w:ascii="Times New Roman" w:eastAsia="Calibri" w:hAnsi="Times New Roman" w:cs="Times New Roman"/>
                <w:sz w:val="20"/>
                <w:szCs w:val="20"/>
              </w:rPr>
              <w:t xml:space="preserve"> in Europe: Impacts on aquatic ecosystems and human well-being’</w:t>
            </w:r>
            <w:r w:rsidRPr="008F5B51">
              <w:rPr>
                <w:rFonts w:ascii="Times New Roman" w:eastAsia="Calibri" w:hAnsi="Times New Roman" w:cs="Times New Roman"/>
                <w:i/>
                <w:sz w:val="20"/>
                <w:szCs w:val="20"/>
              </w:rPr>
              <w:t>, Limnologica</w:t>
            </w:r>
            <w:r w:rsidRPr="008F5B51">
              <w:rPr>
                <w:rFonts w:ascii="Times New Roman" w:eastAsia="Calibri" w:hAnsi="Times New Roman" w:cs="Times New Roman"/>
                <w:sz w:val="20"/>
                <w:szCs w:val="20"/>
              </w:rPr>
              <w:t xml:space="preserve"> 58, 78–93, </w:t>
            </w:r>
            <w:hyperlink r:id="rId89" w:history="1">
              <w:r w:rsidRPr="008F5B51">
                <w:rPr>
                  <w:rStyle w:val="Hyperlink"/>
                  <w:rFonts w:ascii="Times New Roman" w:eastAsia="Calibri" w:hAnsi="Times New Roman" w:cs="Times New Roman"/>
                  <w:sz w:val="20"/>
                  <w:szCs w:val="20"/>
                </w:rPr>
                <w:t>https://doi.org/10.1016/j.limno.2016.03.003</w:t>
              </w:r>
            </w:hyperlink>
            <w:r w:rsidR="002D7080" w:rsidRPr="004D1E6F">
              <w:rPr>
                <w:rFonts w:ascii="Times New Roman" w:eastAsia="Calibri" w:hAnsi="Times New Roman" w:cs="Times New Roman"/>
                <w:sz w:val="20"/>
                <w:szCs w:val="20"/>
              </w:rPr>
              <w:t>.</w:t>
            </w:r>
          </w:p>
        </w:tc>
      </w:tr>
      <w:bookmarkEnd w:id="10"/>
    </w:tbl>
    <w:p w14:paraId="459447C3" w14:textId="77777777" w:rsidR="002D7080" w:rsidRPr="004D1E6F" w:rsidRDefault="002D7080" w:rsidP="002D7080">
      <w:pPr>
        <w:spacing w:after="0" w:line="240" w:lineRule="auto"/>
        <w:rPr>
          <w:rFonts w:ascii="Times New Roman" w:hAnsi="Times New Roman" w:cs="Times New Roman"/>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3"/>
        <w:gridCol w:w="3065"/>
      </w:tblGrid>
      <w:tr w:rsidR="002D7080" w:rsidRPr="004D1E6F" w14:paraId="4D1A150D" w14:textId="77777777" w:rsidTr="002E2C37">
        <w:trPr>
          <w:trHeight w:val="346"/>
        </w:trPr>
        <w:tc>
          <w:tcPr>
            <w:tcW w:w="9008" w:type="dxa"/>
            <w:gridSpan w:val="2"/>
            <w:shd w:val="clear" w:color="auto" w:fill="F2F2F2" w:themeFill="background1" w:themeFillShade="F2"/>
          </w:tcPr>
          <w:p w14:paraId="6491EC10"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CON4 Closely related species’ socio-economic impact</w:t>
            </w:r>
          </w:p>
        </w:tc>
      </w:tr>
      <w:tr w:rsidR="002D7080" w:rsidRPr="004D1E6F" w14:paraId="40FCD29A" w14:textId="77777777" w:rsidTr="002E2C37">
        <w:trPr>
          <w:trHeight w:val="70"/>
        </w:trPr>
        <w:tc>
          <w:tcPr>
            <w:tcW w:w="5943" w:type="dxa"/>
          </w:tcPr>
          <w:p w14:paraId="7CA67B7F"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Moderate (MO)</w:t>
            </w:r>
          </w:p>
        </w:tc>
        <w:tc>
          <w:tcPr>
            <w:tcW w:w="3065" w:type="dxa"/>
          </w:tcPr>
          <w:p w14:paraId="19DCA6EF"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057A0799" w14:textId="77777777" w:rsidTr="002E2C37">
        <w:trPr>
          <w:trHeight w:val="70"/>
        </w:trPr>
        <w:tc>
          <w:tcPr>
            <w:tcW w:w="9008" w:type="dxa"/>
            <w:gridSpan w:val="2"/>
          </w:tcPr>
          <w:p w14:paraId="3E282521" w14:textId="77777777" w:rsidR="002D7080" w:rsidRDefault="002D7080" w:rsidP="007F105A">
            <w:pPr>
              <w:spacing w:after="0"/>
              <w:jc w:val="both"/>
              <w:rPr>
                <w:rFonts w:ascii="Times New Roman" w:eastAsia="Calibri" w:hAnsi="Times New Roman" w:cs="Times New Roman"/>
                <w:sz w:val="20"/>
                <w:szCs w:val="20"/>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Calibri" w:hAnsi="Times New Roman" w:cs="Times New Roman"/>
                <w:sz w:val="20"/>
                <w:szCs w:val="20"/>
              </w:rPr>
              <w:t xml:space="preserve">In the absence of evidence of impact of </w:t>
            </w:r>
            <w:r w:rsidRPr="004D1E6F">
              <w:rPr>
                <w:rFonts w:ascii="Times New Roman" w:eastAsia="Calibri" w:hAnsi="Times New Roman" w:cs="Times New Roman"/>
                <w:i/>
                <w:iCs/>
                <w:sz w:val="20"/>
                <w:szCs w:val="20"/>
              </w:rPr>
              <w:t xml:space="preserve">Cherax </w:t>
            </w:r>
            <w:r w:rsidRPr="004D1E6F">
              <w:rPr>
                <w:rFonts w:ascii="Times New Roman" w:eastAsia="Calibri" w:hAnsi="Times New Roman" w:cs="Times New Roman"/>
                <w:sz w:val="20"/>
                <w:szCs w:val="20"/>
              </w:rPr>
              <w:t xml:space="preserve">species in its global introduced range, potential impacts of </w:t>
            </w:r>
            <w:r w:rsidRPr="004D1E6F">
              <w:rPr>
                <w:rFonts w:ascii="Times New Roman" w:eastAsia="Calibri" w:hAnsi="Times New Roman" w:cs="Times New Roman"/>
                <w:i/>
                <w:iCs/>
                <w:sz w:val="20"/>
                <w:szCs w:val="20"/>
              </w:rPr>
              <w:t xml:space="preserve">C. </w:t>
            </w:r>
            <w:r w:rsidRPr="004D1E6F">
              <w:rPr>
                <w:rFonts w:ascii="Times New Roman" w:eastAsia="Arial" w:hAnsi="Times New Roman" w:cs="Times New Roman"/>
                <w:i/>
                <w:sz w:val="20"/>
                <w:szCs w:val="20"/>
              </w:rPr>
              <w:t>tenuimanus</w:t>
            </w:r>
            <w:r w:rsidRPr="004D1E6F">
              <w:rPr>
                <w:rFonts w:ascii="Times New Roman" w:eastAsia="Calibri" w:hAnsi="Times New Roman" w:cs="Times New Roman"/>
                <w:sz w:val="20"/>
                <w:szCs w:val="20"/>
              </w:rPr>
              <w:t xml:space="preserve"> were inferred from </w:t>
            </w:r>
            <w:r w:rsidRPr="004D1E6F">
              <w:rPr>
                <w:rFonts w:ascii="Times New Roman" w:eastAsia="Calibri" w:hAnsi="Times New Roman" w:cs="Times New Roman"/>
                <w:i/>
                <w:iCs/>
                <w:sz w:val="20"/>
                <w:szCs w:val="20"/>
              </w:rPr>
              <w:t xml:space="preserve">Procambarus clarkii </w:t>
            </w:r>
            <w:r w:rsidRPr="004D1E6F">
              <w:rPr>
                <w:rFonts w:ascii="Times New Roman" w:eastAsia="Calibri" w:hAnsi="Times New Roman" w:cs="Times New Roman"/>
                <w:sz w:val="20"/>
                <w:szCs w:val="20"/>
              </w:rPr>
              <w:t>(a crayfish with similar traits and with documented evidence of impact in its introduction range).</w:t>
            </w:r>
            <w:r>
              <w:rPr>
                <w:rFonts w:ascii="Times New Roman" w:eastAsia="Calibri" w:hAnsi="Times New Roman" w:cs="Times New Roman"/>
                <w:sz w:val="20"/>
                <w:szCs w:val="20"/>
              </w:rPr>
              <w:t xml:space="preserve"> </w:t>
            </w:r>
            <w:r w:rsidRPr="004D1E6F">
              <w:rPr>
                <w:rFonts w:ascii="Times New Roman" w:eastAsia="Times New Roman" w:hAnsi="Times New Roman" w:cs="Times New Roman"/>
                <w:sz w:val="20"/>
                <w:szCs w:val="20"/>
                <w:lang w:eastAsia="en-ZA"/>
              </w:rPr>
              <w:t xml:space="preserve">In its invaded range </w:t>
            </w:r>
            <w:r w:rsidRPr="004D1E6F">
              <w:rPr>
                <w:rFonts w:ascii="Times New Roman" w:eastAsia="Times New Roman" w:hAnsi="Times New Roman" w:cs="Times New Roman"/>
                <w:i/>
                <w:sz w:val="20"/>
                <w:szCs w:val="20"/>
                <w:lang w:eastAsia="en-ZA"/>
              </w:rPr>
              <w:t>P.clarkii</w:t>
            </w:r>
            <w:r w:rsidRPr="004D1E6F">
              <w:rPr>
                <w:rFonts w:ascii="Times New Roman" w:eastAsia="Times New Roman" w:hAnsi="Times New Roman" w:cs="Times New Roman"/>
                <w:sz w:val="20"/>
                <w:szCs w:val="20"/>
                <w:lang w:eastAsia="en-ZA"/>
              </w:rPr>
              <w:t xml:space="preserve"> had caused harmful impacts in agricultural fields (Anastácio et al. 2005) and has disrupted some recreational activities leading to economic loss (Gherardi et al. 2011).</w:t>
            </w:r>
            <w:r w:rsidRPr="004D1E6F">
              <w:rPr>
                <w:rFonts w:ascii="Times New Roman" w:eastAsia="Times New Roman" w:hAnsi="Times New Roman" w:cs="Times New Roman"/>
                <w:color w:val="000000"/>
                <w:sz w:val="20"/>
                <w:szCs w:val="20"/>
                <w:lang w:eastAsia="en-ZA"/>
              </w:rPr>
              <w:t xml:space="preserve"> The most significant impacts caused by </w:t>
            </w:r>
            <w:r w:rsidRPr="004D1E6F">
              <w:rPr>
                <w:rFonts w:ascii="Times New Roman" w:eastAsia="Calibri" w:hAnsi="Times New Roman" w:cs="Times New Roman"/>
                <w:i/>
                <w:iCs/>
                <w:sz w:val="20"/>
                <w:szCs w:val="20"/>
              </w:rPr>
              <w:t>P. clarkii</w:t>
            </w:r>
            <w:r w:rsidRPr="004D1E6F">
              <w:rPr>
                <w:rFonts w:ascii="Times New Roman" w:eastAsia="Calibri" w:hAnsi="Times New Roman" w:cs="Times New Roman"/>
                <w:sz w:val="20"/>
                <w:szCs w:val="20"/>
              </w:rPr>
              <w:t xml:space="preserve"> are highlighted below.</w:t>
            </w:r>
          </w:p>
          <w:p w14:paraId="02A7C7D7" w14:textId="77777777" w:rsidR="007F105A" w:rsidRPr="004D1E6F" w:rsidRDefault="007F105A" w:rsidP="007F105A">
            <w:pPr>
              <w:spacing w:after="0"/>
              <w:jc w:val="both"/>
              <w:rPr>
                <w:rFonts w:ascii="Times New Roman" w:eastAsia="Times New Roman" w:hAnsi="Times New Roman" w:cs="Times New Roman"/>
                <w:sz w:val="20"/>
                <w:szCs w:val="20"/>
                <w:lang w:eastAsia="en-ZA"/>
              </w:rPr>
            </w:pPr>
          </w:p>
          <w:p w14:paraId="25252BE5" w14:textId="77777777" w:rsidR="002D7080" w:rsidRPr="004D1E6F" w:rsidRDefault="002D7080" w:rsidP="007F105A">
            <w:pPr>
              <w:spacing w:after="0"/>
              <w:jc w:val="both"/>
              <w:rPr>
                <w:rFonts w:ascii="Times New Roman" w:eastAsia="Times New Roman" w:hAnsi="Times New Roman" w:cs="Times New Roman"/>
                <w:sz w:val="20"/>
                <w:szCs w:val="20"/>
                <w:u w:val="single"/>
                <w:lang w:eastAsia="en-ZA"/>
              </w:rPr>
            </w:pPr>
            <w:r w:rsidRPr="004D1E6F">
              <w:rPr>
                <w:rFonts w:ascii="Times New Roman" w:eastAsia="Times New Roman" w:hAnsi="Times New Roman" w:cs="Times New Roman"/>
                <w:sz w:val="20"/>
                <w:szCs w:val="20"/>
                <w:u w:val="single"/>
                <w:lang w:eastAsia="en-ZA"/>
              </w:rPr>
              <w:t>Material and immaterial assets; Moderate (MO); Confidence: Medium</w:t>
            </w:r>
          </w:p>
          <w:p w14:paraId="1E11BFEB" w14:textId="77777777" w:rsidR="002D7080" w:rsidRDefault="002D7080" w:rsidP="007F105A">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often inhabits agricultural fields and their burrowing activities can cause damage to infrastructure such as irrigation canals and dam walls (Lodge et al. 2012; </w:t>
            </w:r>
            <w:r w:rsidRPr="004D1E6F">
              <w:rPr>
                <w:rFonts w:ascii="Times New Roman" w:eastAsia="Calibri" w:hAnsi="Times New Roman" w:cs="Times New Roman"/>
                <w:sz w:val="20"/>
                <w:szCs w:val="20"/>
              </w:rPr>
              <w:t>Arce &amp; Diéguez-Uribeondo 2015)</w:t>
            </w:r>
            <w:r w:rsidRPr="004D1E6F">
              <w:rPr>
                <w:rFonts w:ascii="Times New Roman" w:eastAsia="Times New Roman" w:hAnsi="Times New Roman" w:cs="Times New Roman"/>
                <w:color w:val="000000"/>
                <w:sz w:val="20"/>
                <w:szCs w:val="20"/>
                <w:lang w:eastAsia="en-ZA"/>
              </w:rPr>
              <w:t xml:space="preserve">. Burrowing activities can also alter soil hydrology leading to water loss. Grazing causes crop damage and reduces yield (Anastácio et al. 2005; Arce &amp; Diéguez-Uribeondo 2015). In Europe for example,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affects rice production through field water loss, damage to rice field banks and ditches, direct consumption of rice seed and plants, and clogging of pipes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"(Souty-grosset et al. 2016)", "plainTextFormattedCitation" : "(Souty-grosset et al. 2016)", "previouslyFormattedCitation" :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 Anastácio et al. 2005; 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p w14:paraId="13D70E78" w14:textId="77777777" w:rsidR="007F105A" w:rsidRPr="004D1E6F" w:rsidRDefault="007F105A" w:rsidP="007F105A">
            <w:pPr>
              <w:spacing w:after="0"/>
              <w:jc w:val="both"/>
              <w:rPr>
                <w:rFonts w:ascii="Times New Roman" w:eastAsia="Times New Roman" w:hAnsi="Times New Roman" w:cs="Times New Roman"/>
                <w:sz w:val="20"/>
                <w:szCs w:val="20"/>
                <w:lang w:eastAsia="en-ZA"/>
              </w:rPr>
            </w:pPr>
          </w:p>
          <w:p w14:paraId="29FC580A" w14:textId="77777777" w:rsidR="002D7080" w:rsidRPr="004D1E6F" w:rsidRDefault="002D7080" w:rsidP="007F105A">
            <w:pPr>
              <w:spacing w:after="0"/>
              <w:jc w:val="both"/>
              <w:rPr>
                <w:rFonts w:ascii="Times New Roman" w:eastAsia="Times New Roman" w:hAnsi="Times New Roman" w:cs="Times New Roman"/>
                <w:sz w:val="20"/>
                <w:szCs w:val="20"/>
                <w:u w:val="single"/>
                <w:lang w:eastAsia="en-ZA"/>
              </w:rPr>
            </w:pPr>
            <w:r w:rsidRPr="004D1E6F">
              <w:rPr>
                <w:rFonts w:ascii="Times New Roman" w:eastAsia="Times New Roman" w:hAnsi="Times New Roman" w:cs="Times New Roman"/>
                <w:sz w:val="20"/>
                <w:szCs w:val="20"/>
                <w:u w:val="single"/>
                <w:lang w:eastAsia="en-ZA"/>
              </w:rPr>
              <w:t>Health; Minor (MN); Confidence: Medium</w:t>
            </w:r>
          </w:p>
          <w:p w14:paraId="50CA3DEA" w14:textId="77777777" w:rsidR="002D7080" w:rsidRDefault="002D7080" w:rsidP="007F105A">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can bio-accumulate toxins and metals from the environment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"10.1016/j.biocon.2011.07.020", "author" : [ { "dropping-particle" : "", "family" : "Gherardi", "given" : "Francesca", "non-dropping-particle" : "", "parse-names" : false, "suffix" : "" }, { "dropping-particle" : "", "family" : "Britton", "given" : "J Robert", "non-dropping-particle" : "", "parse-names" : false, "suffix" : "" }, { "dropping-particle" : "", "family" : "Mavuti", "given" : "Kenneth M", "non-dropping-particle" : "", "parse-names" : false, "suffix" : "" }, { "dropping-particle" : "", "family" : "Pacini", "given" : "Nic", "non-dropping-particle" : "", "parse-names" : false, "suffix" : "" }, { "dropping-particle" : "", "family" : "Grey", "given" : "Jonathan", "non-dropping-particle" : "", "parse-names" : false, "suffix" : "" }, { "dropping-particle" : "", "family" : "Tricarico", "given" : "Elena", "non-dropping-particle" : "", "parse-names" : false, "suffix" : "" }, { "dropping-particle" : "", "family" : "Harper", "given" : "David M", "non-dropping-particle" : "", "parse-names" : false, "suffix" : "" } ], "id" : "ITEM-1", "issued" : { "date-parts" : [ [ "2011" ] ] }, "page" : "2585-2596", "publisher" : "Elsevier Ltd", "title" : "A review of allodiversity in Lake Naivasha , Kenya : Developing conservation actions to protect East African lakes from the negative impacts of alien species", "type" : "article-journal", "volume" : "144" }, "uris" : [ "http://www.mendeley.com/documents/?uuid=05c95c37-42e0-4b2c-a818-0f1c7fd1a239" ] }, { "id" : "ITEM-2", "itemData" : { "author" : [ { "dropping-particle" : "", "family" : "Souty-grosset", "given" : "Catherine", "non-dropping-particle" : "", "parse-names" : false, "suffix" : "" }, { "dropping-particle" : "", "family" : "Manuel", "given" : "Pedro", "non-dropping-particle" : "", "parse-names" : false, "s</w:instrText>
            </w:r>
            <w:r w:rsidRPr="000F3EE6">
              <w:rPr>
                <w:rFonts w:ascii="Times New Roman" w:eastAsia="Times New Roman" w:hAnsi="Times New Roman" w:cs="Times New Roman"/>
                <w:color w:val="000000"/>
                <w:sz w:val="20"/>
                <w:szCs w:val="20"/>
                <w:lang w:val="fr-FR" w:eastAsia="en-ZA"/>
              </w:rPr>
              <w:instrText>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"(Gherardi et al. 2011, Souty-grosset et al. 2016)", "plainTextFormattedCitation" : "(Gherardi et al. 2011, Souty-grosset et al. 2016)", "previouslyFormattedCitation" : "(Gherardi et al. 2011,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0F3EE6">
              <w:rPr>
                <w:rFonts w:ascii="Times New Roman" w:eastAsia="Times New Roman" w:hAnsi="Times New Roman" w:cs="Times New Roman"/>
                <w:color w:val="000000"/>
                <w:sz w:val="20"/>
                <w:szCs w:val="20"/>
                <w:lang w:val="fr-FR" w:eastAsia="en-ZA"/>
              </w:rPr>
              <w:t>(Gherardi et al. 2011; Alcorlo et al. 2016; Souty-Grosset et al. 2016)</w:t>
            </w:r>
            <w:r w:rsidRPr="004D1E6F">
              <w:rPr>
                <w:rFonts w:ascii="Times New Roman" w:eastAsia="Times New Roman" w:hAnsi="Times New Roman" w:cs="Times New Roman"/>
                <w:color w:val="000000"/>
                <w:sz w:val="20"/>
                <w:szCs w:val="20"/>
                <w:lang w:eastAsia="en-ZA"/>
              </w:rPr>
              <w:fldChar w:fldCharType="end"/>
            </w:r>
            <w:r w:rsidRPr="000F3EE6">
              <w:rPr>
                <w:rFonts w:ascii="Times New Roman" w:eastAsia="Times New Roman" w:hAnsi="Times New Roman" w:cs="Times New Roman"/>
                <w:color w:val="000000"/>
                <w:sz w:val="20"/>
                <w:szCs w:val="20"/>
                <w:lang w:val="fr-FR" w:eastAsia="en-ZA"/>
              </w:rPr>
              <w:t xml:space="preserve">. </w:t>
            </w:r>
            <w:r w:rsidRPr="004D1E6F">
              <w:rPr>
                <w:rFonts w:ascii="Times New Roman" w:eastAsia="Times New Roman" w:hAnsi="Times New Roman" w:cs="Times New Roman"/>
                <w:color w:val="000000"/>
                <w:sz w:val="20"/>
                <w:szCs w:val="20"/>
                <w:lang w:eastAsia="en-ZA"/>
              </w:rPr>
              <w:t xml:space="preserve">These pollutants are often harmful and can be transferred to higher food web levels through the consumption of affected crayfish by humans and predators such as otters, birds, and fish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"http://www.mendeley.com/documents/?uuid=9c72c438-e7a8-4248-b05a-2e8f1c12e544" ] }, { "id" : "ITEM-2", "itemData" : { "DOI" : "10.1016/j.biocon.2011.07.020", "author" : [ { "dropping-particle" : "", "family" : "Gherardi", "given" : "Francesca", "non-dropping-particle" : "", "parse-names" : false, "suffix" : "" }, { "dropping-particle" : "", "family" : "Britton", "given" : "J Robert", "non-dropping-particle" : "", "parse-names" : false, "suffix" : "" }, { "dropping-particle" : "", "family" : "Mavuti", "given" : "Kenneth M", "non-dropping-particle" : "", "parse-names" : false, "suffix" : "" }, { "dropping-particle" : "", "family" : "Pacini", "given" : "Nic", "non-dropping-particle" : "", "parse-names" : false, "suffix" : "" }, { "dropping-particle" : "", "family" : "Grey", "given" : "Jonathan", "non-dropping-particle" : "", "parse-names" : false, "suffix" : "" }, { "dropping-particle" : "", "family" : "Tricarico", "given" : "Elena", "non-dropping-particle" : "", "parse-names" : false, "suffix" : "" }, { "dropping-particle" : "", "family" : "Harper", "given" : "David M", "non-dropping-particle" : "", "parse-names" : false, "suffix" : "" } ], "id" : "ITEM-2", "issued" : { "date-parts" : [ [ "2011" ] ] }, "page" : "2585-2596", "publisher" : "Elsevier Ltd", "title" : "A review of allodiversity in Lake Naivasha , Kenya : Developing conservation actions to protect East African lakes from the negative impacts of alien species", "type" : "article-journal", "volume" : "144" }, "uris" : [ "http://www.mendeley.com/documents/?uuid=05c95c37-42e0-4b2c-a818-0f1c7fd1a239" ] } ], "mendeley" : { "formattedCitation" : "(Gherardi et al. 2011, Lodge et al. 2012)", "plainTextFormattedCitation" : "(Gherardi et al. 2011, Lodge et al. 2012)", "previouslyFormattedCitation" : "(Gherardi et al. 2011,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(Anda et al. 2001; Gherardi et al. 2011;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w:t>
            </w:r>
          </w:p>
          <w:p w14:paraId="4D95DE43" w14:textId="77777777" w:rsidR="007F105A" w:rsidRPr="004D1E6F" w:rsidRDefault="007F105A" w:rsidP="007F105A">
            <w:pPr>
              <w:spacing w:after="0"/>
              <w:jc w:val="both"/>
              <w:rPr>
                <w:rFonts w:ascii="Times New Roman" w:eastAsia="Times New Roman" w:hAnsi="Times New Roman" w:cs="Times New Roman"/>
                <w:color w:val="000000"/>
                <w:sz w:val="20"/>
                <w:szCs w:val="20"/>
                <w:lang w:eastAsia="en-ZA"/>
              </w:rPr>
            </w:pPr>
          </w:p>
          <w:p w14:paraId="79B62261" w14:textId="77777777" w:rsidR="002D7080" w:rsidRDefault="002D7080" w:rsidP="007F105A">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serves </w:t>
            </w:r>
            <w:r w:rsidRPr="004D1E6F">
              <w:rPr>
                <w:rFonts w:ascii="Times New Roman" w:eastAsia="Calibri" w:hAnsi="Times New Roman" w:cs="Times New Roman"/>
                <w:sz w:val="20"/>
                <w:szCs w:val="20"/>
              </w:rPr>
              <w:t>as vector for several parasites and diseases some of which are zoonotic, for example the parasitic fluke flatworms (</w:t>
            </w:r>
            <w:r w:rsidRPr="004D1E6F">
              <w:rPr>
                <w:rFonts w:ascii="Times New Roman" w:eastAsia="Calibri" w:hAnsi="Times New Roman" w:cs="Times New Roman"/>
                <w:i/>
                <w:sz w:val="20"/>
                <w:szCs w:val="20"/>
              </w:rPr>
              <w:t>Paragonimus</w:t>
            </w:r>
            <w:r w:rsidRPr="004D1E6F">
              <w:rPr>
                <w:rFonts w:ascii="Times New Roman" w:eastAsia="Calibri" w:hAnsi="Times New Roman" w:cs="Times New Roman"/>
                <w:sz w:val="20"/>
                <w:szCs w:val="20"/>
              </w:rPr>
              <w:t xml:space="preserve"> spp.) that causes lung fluke disease in humans, tularemia-causing bacterium </w:t>
            </w:r>
            <w:r w:rsidRPr="004D1E6F">
              <w:rPr>
                <w:rFonts w:ascii="Times New Roman" w:eastAsia="Calibri" w:hAnsi="Times New Roman" w:cs="Times New Roman"/>
                <w:i/>
                <w:sz w:val="20"/>
                <w:szCs w:val="20"/>
              </w:rPr>
              <w:t>Francisella tularensis</w:t>
            </w:r>
            <w:r w:rsidRPr="004D1E6F">
              <w:rPr>
                <w:rFonts w:ascii="Times New Roman" w:eastAsia="Calibri" w:hAnsi="Times New Roman" w:cs="Times New Roman"/>
                <w:sz w:val="20"/>
                <w:szCs w:val="20"/>
              </w:rPr>
              <w:t xml:space="preserve">, rat lungworm </w:t>
            </w:r>
            <w:r w:rsidRPr="004D1E6F">
              <w:rPr>
                <w:rFonts w:ascii="Times New Roman" w:eastAsia="Calibri" w:hAnsi="Times New Roman" w:cs="Times New Roman"/>
                <w:i/>
                <w:sz w:val="20"/>
                <w:szCs w:val="20"/>
              </w:rPr>
              <w:t>Angiostrongylus cantonensis</w:t>
            </w:r>
            <w:r w:rsidRPr="004D1E6F">
              <w:rPr>
                <w:rFonts w:ascii="Times New Roman" w:eastAsia="Calibri" w:hAnsi="Times New Roman" w:cs="Times New Roman"/>
                <w:sz w:val="20"/>
                <w:szCs w:val="20"/>
              </w:rPr>
              <w:t xml:space="preserve"> that causes meningitis, and the nematode </w:t>
            </w:r>
            <w:r w:rsidRPr="004D1E6F">
              <w:rPr>
                <w:rFonts w:ascii="Times New Roman" w:eastAsia="Calibri" w:hAnsi="Times New Roman" w:cs="Times New Roman"/>
                <w:i/>
                <w:sz w:val="20"/>
                <w:szCs w:val="20"/>
              </w:rPr>
              <w:t>Gnathostoma spinigerum</w:t>
            </w:r>
            <w:r w:rsidRPr="004D1E6F">
              <w:rPr>
                <w:rFonts w:ascii="Times New Roman" w:eastAsia="Calibri" w:hAnsi="Times New Roman" w:cs="Times New Roman"/>
                <w:sz w:val="20"/>
                <w:szCs w:val="20"/>
              </w:rPr>
              <w:t xml:space="preserve"> that causes human gnathostomiasis </w:t>
            </w:r>
            <w:r w:rsidRPr="004D1E6F">
              <w:rPr>
                <w:rFonts w:ascii="Times New Roman" w:eastAsia="Calibri" w:hAnsi="Times New Roman" w:cs="Times New Roman"/>
                <w:sz w:val="20"/>
                <w:szCs w:val="20"/>
              </w:rPr>
              <w:fldChar w:fldCharType="begin" w:fldLock="1"/>
            </w:r>
            <w:r w:rsidRPr="004D1E6F">
              <w:rPr>
                <w:rFonts w:ascii="Times New Roman" w:eastAsia="Calibri" w:hAnsi="Times New Roman" w:cs="Times New Roman"/>
                <w:sz w:val="20"/>
                <w:szCs w:val="20"/>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"author" : [ { "dropping-particle" : "", "family" : "Souty-grosset", "given" : "Catherine", "non-dropping-particle" : "", "parse-names" : false, "suffix" : "" }, { "dropping-particle" : "", "family" : "Manuel", "given" : "Pedro", "non-dropping-particle" : "", "parse-names" : false, "suffix" : "" }, { "dropping-particle" : "", "family" : "Aquilo</w:instrText>
            </w:r>
            <w:r w:rsidRPr="000F3EE6">
              <w:rPr>
                <w:rFonts w:ascii="Times New Roman" w:eastAsia="Calibri" w:hAnsi="Times New Roman" w:cs="Times New Roman"/>
                <w:sz w:val="20"/>
                <w:szCs w:val="20"/>
                <w:lang w:val="fr-FR"/>
              </w:rPr>
              <w:instrText>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"(de Moor 2002, Souty-grosset et al. 2016)", "manualFormatting" : "(de Moor 2002, Souty-grosset et al. 2016, Putra et al. 2017)", "plainTextFormattedCitation" : "(de Moor 2002, Souty-grosset et al. 2016)", "previouslyFormattedCitation" : "(de Moor 2002, Souty-grosset et al. 2016)" }, "properties" : { "noteIndex" : 0 }, "schema" : "https://github.com/citation-style-language/schema/raw/master/csl-citation.json" }</w:instrText>
            </w:r>
            <w:r w:rsidRPr="004D1E6F">
              <w:rPr>
                <w:rFonts w:ascii="Times New Roman" w:eastAsia="Calibri" w:hAnsi="Times New Roman" w:cs="Times New Roman"/>
                <w:sz w:val="20"/>
                <w:szCs w:val="20"/>
              </w:rPr>
              <w:fldChar w:fldCharType="separate"/>
            </w:r>
            <w:r w:rsidRPr="000F3EE6">
              <w:rPr>
                <w:rFonts w:ascii="Times New Roman" w:eastAsia="Calibri" w:hAnsi="Times New Roman" w:cs="Times New Roman"/>
                <w:sz w:val="20"/>
                <w:szCs w:val="20"/>
                <w:lang w:val="fr-FR"/>
              </w:rPr>
              <w:t>(Edgerton et al. 2002; Lane et al 2009; Souty-Grosset et al. 2016)</w:t>
            </w:r>
            <w:r w:rsidRPr="004D1E6F">
              <w:rPr>
                <w:rFonts w:ascii="Times New Roman" w:eastAsia="Calibri" w:hAnsi="Times New Roman" w:cs="Times New Roman"/>
                <w:sz w:val="20"/>
                <w:szCs w:val="20"/>
              </w:rPr>
              <w:fldChar w:fldCharType="end"/>
            </w:r>
            <w:r w:rsidRPr="004D1E6F">
              <w:rPr>
                <w:rFonts w:ascii="Times New Roman" w:eastAsia="Calibri" w:hAnsi="Times New Roman" w:cs="Times New Roman"/>
                <w:sz w:val="20"/>
                <w:szCs w:val="20"/>
              </w:rPr>
              <w:fldChar w:fldCharType="begin" w:fldLock="1"/>
            </w:r>
            <w:r w:rsidRPr="000F3EE6">
              <w:rPr>
                <w:rFonts w:ascii="Times New Roman" w:eastAsia="Calibri" w:hAnsi="Times New Roman" w:cs="Times New Roman"/>
                <w:sz w:val="20"/>
                <w:szCs w:val="20"/>
                <w:lang w:val="fr-FR"/>
              </w:rPr>
              <w:instrText xml:space="preserve">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"author" : [ { "dropping-particle" : "", "family" : "Souty-grosset", "given" : "Catherine", "non-dropping-particle" : "", </w:instrText>
            </w:r>
            <w:r w:rsidRPr="004D1E6F">
              <w:rPr>
                <w:rFonts w:ascii="Times New Roman" w:eastAsia="Calibri" w:hAnsi="Times New Roman" w:cs="Times New Roman"/>
                <w:sz w:val="20"/>
                <w:szCs w:val="20"/>
              </w:rPr>
              <w:instrText>"parse-names"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"(de Moor 2002, Souty-grosset et al. 2016)", "manualFormatting" : "(de Moor 2002, Souty-grosset et al. 2016, Putra et al. 2017)", "plainTextFormattedCitation" : "(de Moor 2002, Souty-grosset et al. 2016)", "previouslyFormattedCitation" : "(de Moor 2002, Souty-grosset et al. 2016)" }, "properties" : { "noteIndex" : 0 }, "schema" : "https://github.com/citation-style-language/schema/raw/master/csl-citation.json" }</w:instrText>
            </w:r>
            <w:r w:rsidRPr="004D1E6F">
              <w:rPr>
                <w:rFonts w:ascii="Times New Roman" w:eastAsia="Calibri" w:hAnsi="Times New Roman" w:cs="Times New Roman"/>
                <w:sz w:val="20"/>
                <w:szCs w:val="20"/>
              </w:rPr>
              <w:fldChar w:fldCharType="end"/>
            </w:r>
            <w:r w:rsidRPr="004D1E6F">
              <w:rPr>
                <w:rFonts w:ascii="Times New Roman" w:eastAsia="Times New Roman" w:hAnsi="Times New Roman" w:cs="Times New Roman"/>
                <w:color w:val="000000"/>
                <w:sz w:val="20"/>
                <w:szCs w:val="20"/>
                <w:lang w:eastAsia="en-ZA"/>
              </w:rPr>
              <w:t>.</w:t>
            </w:r>
          </w:p>
          <w:p w14:paraId="0CB936C3" w14:textId="77777777" w:rsidR="007F105A" w:rsidRPr="004D1E6F" w:rsidRDefault="007F105A" w:rsidP="007F105A">
            <w:pPr>
              <w:spacing w:after="0"/>
              <w:jc w:val="both"/>
              <w:rPr>
                <w:rFonts w:ascii="Times New Roman" w:eastAsia="Times New Roman" w:hAnsi="Times New Roman" w:cs="Times New Roman"/>
                <w:sz w:val="20"/>
                <w:szCs w:val="20"/>
                <w:lang w:eastAsia="en-ZA"/>
              </w:rPr>
            </w:pPr>
          </w:p>
          <w:p w14:paraId="5B51E46A" w14:textId="77777777" w:rsidR="002D7080" w:rsidRPr="004D1E6F" w:rsidRDefault="002D7080" w:rsidP="007F105A">
            <w:pPr>
              <w:spacing w:after="0"/>
              <w:jc w:val="both"/>
              <w:rPr>
                <w:rFonts w:ascii="Times New Roman" w:eastAsia="Times New Roman" w:hAnsi="Times New Roman" w:cs="Times New Roman"/>
                <w:sz w:val="20"/>
                <w:szCs w:val="20"/>
                <w:u w:val="single"/>
                <w:lang w:eastAsia="en-ZA"/>
              </w:rPr>
            </w:pPr>
            <w:r w:rsidRPr="004D1E6F">
              <w:rPr>
                <w:rFonts w:ascii="Times New Roman" w:eastAsia="Times New Roman" w:hAnsi="Times New Roman" w:cs="Times New Roman"/>
                <w:sz w:val="20"/>
                <w:szCs w:val="20"/>
                <w:u w:val="single"/>
                <w:lang w:eastAsia="en-ZA"/>
              </w:rPr>
              <w:t>Social, spiritual and cultural relations; Moderate (MO); Confidence: Medium</w:t>
            </w:r>
          </w:p>
          <w:p w14:paraId="6FB4960A" w14:textId="77777777" w:rsidR="002D7080" w:rsidRPr="004D1E6F" w:rsidRDefault="002D7080" w:rsidP="007F105A">
            <w:pPr>
              <w:spacing w:after="0"/>
              <w:jc w:val="both"/>
              <w:rPr>
                <w:rFonts w:ascii="Times New Roman" w:eastAsia="Calibri" w:hAnsi="Times New Roman" w:cs="Times New Roman"/>
                <w:sz w:val="20"/>
                <w:szCs w:val="20"/>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Calibri" w:hAnsi="Times New Roman" w:cs="Times New Roman"/>
                <w:sz w:val="20"/>
                <w:szCs w:val="20"/>
              </w:rPr>
              <w:t xml:space="preserve">In the absence of evidence of impact of </w:t>
            </w:r>
            <w:r w:rsidRPr="004D1E6F">
              <w:rPr>
                <w:rFonts w:ascii="Times New Roman" w:eastAsia="Calibri" w:hAnsi="Times New Roman" w:cs="Times New Roman"/>
                <w:i/>
                <w:iCs/>
                <w:sz w:val="20"/>
                <w:szCs w:val="20"/>
              </w:rPr>
              <w:t xml:space="preserve">Cherax </w:t>
            </w:r>
            <w:r w:rsidRPr="004D1E6F">
              <w:rPr>
                <w:rFonts w:ascii="Times New Roman" w:eastAsia="Calibri" w:hAnsi="Times New Roman" w:cs="Times New Roman"/>
                <w:sz w:val="20"/>
                <w:szCs w:val="20"/>
              </w:rPr>
              <w:t xml:space="preserve">species in its global introduced range, potential impacts of </w:t>
            </w:r>
            <w:r w:rsidRPr="004D1E6F">
              <w:rPr>
                <w:rFonts w:ascii="Times New Roman" w:eastAsia="Calibri" w:hAnsi="Times New Roman" w:cs="Times New Roman"/>
                <w:i/>
                <w:iCs/>
                <w:sz w:val="20"/>
                <w:szCs w:val="20"/>
              </w:rPr>
              <w:t xml:space="preserve">C. </w:t>
            </w:r>
            <w:r w:rsidRPr="004D1E6F">
              <w:rPr>
                <w:rFonts w:ascii="Times New Roman" w:eastAsia="Arial" w:hAnsi="Times New Roman" w:cs="Times New Roman"/>
                <w:i/>
                <w:sz w:val="20"/>
                <w:szCs w:val="20"/>
              </w:rPr>
              <w:t>tenuimanus</w:t>
            </w:r>
            <w:r w:rsidRPr="004D1E6F">
              <w:rPr>
                <w:rFonts w:ascii="Times New Roman" w:eastAsia="Calibri" w:hAnsi="Times New Roman" w:cs="Times New Roman"/>
                <w:sz w:val="20"/>
                <w:szCs w:val="20"/>
              </w:rPr>
              <w:t xml:space="preserve"> were inferred from </w:t>
            </w:r>
            <w:r w:rsidRPr="004D1E6F">
              <w:rPr>
                <w:rFonts w:ascii="Times New Roman" w:eastAsia="Calibri" w:hAnsi="Times New Roman" w:cs="Times New Roman"/>
                <w:i/>
                <w:iCs/>
                <w:sz w:val="20"/>
                <w:szCs w:val="20"/>
              </w:rPr>
              <w:t xml:space="preserve">Procambarus clarkii </w:t>
            </w:r>
            <w:r w:rsidRPr="004D1E6F">
              <w:rPr>
                <w:rFonts w:ascii="Times New Roman" w:eastAsia="Calibri" w:hAnsi="Times New Roman" w:cs="Times New Roman"/>
                <w:sz w:val="20"/>
                <w:szCs w:val="20"/>
              </w:rPr>
              <w:t>(a crayfish with similar traits and with documented evidence of impact in its introduction range).</w:t>
            </w:r>
          </w:p>
          <w:p w14:paraId="7DECEE2C" w14:textId="77777777" w:rsidR="002D7080" w:rsidRPr="004D1E6F" w:rsidRDefault="002D7080" w:rsidP="007F105A">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In its invaded range </w:t>
            </w:r>
            <w:r w:rsidRPr="004D1E6F">
              <w:rPr>
                <w:rFonts w:ascii="Times New Roman" w:eastAsia="Times New Roman" w:hAnsi="Times New Roman" w:cs="Times New Roman"/>
                <w:i/>
                <w:sz w:val="20"/>
                <w:szCs w:val="20"/>
                <w:lang w:eastAsia="en-ZA"/>
              </w:rPr>
              <w:t>P.clarkii</w:t>
            </w:r>
            <w:r w:rsidRPr="004D1E6F">
              <w:rPr>
                <w:rFonts w:ascii="Times New Roman" w:eastAsia="Times New Roman" w:hAnsi="Times New Roman" w:cs="Times New Roman"/>
                <w:sz w:val="20"/>
                <w:szCs w:val="20"/>
                <w:lang w:eastAsia="en-ZA"/>
              </w:rPr>
              <w:t xml:space="preserve"> had caused harmful impacts in agricultural fields (Anastácio et al. 2005) and has disrupted some recreational activities leading to economic loss (Gherardi et al. 2011).</w:t>
            </w:r>
          </w:p>
        </w:tc>
      </w:tr>
      <w:tr w:rsidR="002D7080" w:rsidRPr="004D1E6F" w14:paraId="62458F77" w14:textId="77777777" w:rsidTr="002E2C37">
        <w:trPr>
          <w:trHeight w:val="70"/>
        </w:trPr>
        <w:tc>
          <w:tcPr>
            <w:tcW w:w="9008" w:type="dxa"/>
            <w:gridSpan w:val="2"/>
          </w:tcPr>
          <w:p w14:paraId="35822491" w14:textId="77777777" w:rsidR="002D7080" w:rsidRPr="004D1E6F" w:rsidRDefault="002D7080" w:rsidP="002E2C37">
            <w:pPr>
              <w:spacing w:after="0" w:line="240" w:lineRule="auto"/>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66064BFE" w14:textId="77777777" w:rsidR="006A623B" w:rsidRPr="006A623B" w:rsidRDefault="006A623B" w:rsidP="007F105A">
            <w:pPr>
              <w:autoSpaceDE w:val="0"/>
              <w:autoSpaceDN w:val="0"/>
              <w:adjustRightInd w:val="0"/>
              <w:spacing w:after="0"/>
              <w:ind w:left="720" w:hanging="720"/>
              <w:rPr>
                <w:rFonts w:ascii="Times New Roman" w:eastAsia="Calibri" w:hAnsi="Times New Roman" w:cs="Times New Roman"/>
                <w:sz w:val="20"/>
                <w:szCs w:val="20"/>
              </w:rPr>
            </w:pPr>
            <w:r w:rsidRPr="006A623B">
              <w:rPr>
                <w:rFonts w:ascii="Times New Roman" w:eastAsia="Calibri" w:hAnsi="Times New Roman" w:cs="Times New Roman"/>
                <w:sz w:val="20"/>
                <w:szCs w:val="20"/>
              </w:rPr>
              <w:t>Alcorlo, P., Otero, M., Crehuet, M., Baltanás, A. &amp; Montes, C., 2006, ‘The use of the red swamp crayfish (</w:t>
            </w:r>
            <w:r w:rsidRPr="006A623B">
              <w:rPr>
                <w:rFonts w:ascii="Times New Roman" w:eastAsia="Calibri" w:hAnsi="Times New Roman" w:cs="Times New Roman"/>
                <w:i/>
                <w:iCs/>
                <w:sz w:val="20"/>
                <w:szCs w:val="20"/>
              </w:rPr>
              <w:t xml:space="preserve">Procambarus clarkii </w:t>
            </w:r>
            <w:r w:rsidRPr="006A623B">
              <w:rPr>
                <w:rFonts w:ascii="Times New Roman" w:eastAsia="Calibri" w:hAnsi="Times New Roman" w:cs="Times New Roman"/>
                <w:sz w:val="20"/>
                <w:szCs w:val="20"/>
              </w:rPr>
              <w:t xml:space="preserve">Girard) as indicator of the bioavailability of heavy metals in environmental monitoring in the River Guadiamar (SW Spain)’, </w:t>
            </w:r>
            <w:r w:rsidRPr="006A623B">
              <w:rPr>
                <w:rFonts w:ascii="Times New Roman" w:eastAsia="Calibri" w:hAnsi="Times New Roman" w:cs="Times New Roman"/>
                <w:i/>
                <w:iCs/>
                <w:sz w:val="20"/>
                <w:szCs w:val="20"/>
              </w:rPr>
              <w:t xml:space="preserve">Science of the Total Environment </w:t>
            </w:r>
            <w:r w:rsidRPr="006A623B">
              <w:rPr>
                <w:rFonts w:ascii="Times New Roman" w:eastAsia="Calibri" w:hAnsi="Times New Roman" w:cs="Times New Roman"/>
                <w:sz w:val="20"/>
                <w:szCs w:val="20"/>
              </w:rPr>
              <w:t xml:space="preserve">366, 380–390, </w:t>
            </w:r>
            <w:hyperlink r:id="rId90" w:history="1">
              <w:r w:rsidRPr="006A623B">
                <w:rPr>
                  <w:rStyle w:val="Hyperlink"/>
                  <w:rFonts w:ascii="Times New Roman" w:eastAsia="Calibri" w:hAnsi="Times New Roman" w:cs="Times New Roman"/>
                  <w:sz w:val="20"/>
                  <w:szCs w:val="20"/>
                </w:rPr>
                <w:t>https://doi.org/10.1016/j.scitotenv.2006.02.023</w:t>
              </w:r>
            </w:hyperlink>
            <w:r w:rsidRPr="006A623B">
              <w:rPr>
                <w:rFonts w:ascii="Times New Roman" w:eastAsia="Calibri" w:hAnsi="Times New Roman" w:cs="Times New Roman"/>
                <w:sz w:val="20"/>
                <w:szCs w:val="20"/>
              </w:rPr>
              <w:t xml:space="preserve">. </w:t>
            </w:r>
          </w:p>
          <w:p w14:paraId="1A9E43A4" w14:textId="77777777" w:rsidR="006A623B" w:rsidRPr="006A623B" w:rsidRDefault="006A623B" w:rsidP="007F105A">
            <w:pPr>
              <w:autoSpaceDE w:val="0"/>
              <w:autoSpaceDN w:val="0"/>
              <w:adjustRightInd w:val="0"/>
              <w:spacing w:after="0"/>
              <w:ind w:left="720" w:hanging="720"/>
              <w:jc w:val="both"/>
              <w:rPr>
                <w:rFonts w:ascii="Times New Roman" w:eastAsia="Calibri" w:hAnsi="Times New Roman" w:cs="Times New Roman"/>
                <w:sz w:val="20"/>
                <w:szCs w:val="20"/>
              </w:rPr>
            </w:pPr>
            <w:r w:rsidRPr="006A623B">
              <w:rPr>
                <w:rFonts w:ascii="Times New Roman" w:eastAsia="Calibri" w:hAnsi="Times New Roman" w:cs="Times New Roman"/>
                <w:sz w:val="20"/>
                <w:szCs w:val="20"/>
              </w:rPr>
              <w:lastRenderedPageBreak/>
              <w:t xml:space="preserve">Anastácio, P.M., Correia, A.M. &amp; Menino, J.P., 2005, ‘Processes and patterns of plant destruction by crayfish: effects of crayfish size and developmental stages of rice’, </w:t>
            </w:r>
            <w:r w:rsidRPr="006A623B">
              <w:rPr>
                <w:rFonts w:ascii="Times New Roman" w:eastAsia="Calibri" w:hAnsi="Times New Roman" w:cs="Times New Roman"/>
                <w:i/>
                <w:sz w:val="20"/>
                <w:szCs w:val="20"/>
              </w:rPr>
              <w:t xml:space="preserve">Archiv für Hydrobiologie </w:t>
            </w:r>
            <w:r w:rsidRPr="006A623B">
              <w:rPr>
                <w:rFonts w:ascii="Times New Roman" w:eastAsia="Calibri" w:hAnsi="Times New Roman" w:cs="Times New Roman"/>
                <w:sz w:val="20"/>
                <w:szCs w:val="20"/>
              </w:rPr>
              <w:t xml:space="preserve">162, 37-51, https://doi.org/10.1127/0003-9136/2005/0162-0037. </w:t>
            </w:r>
          </w:p>
          <w:p w14:paraId="4495A16D" w14:textId="77777777" w:rsidR="006A623B" w:rsidRPr="006A623B" w:rsidRDefault="006A623B" w:rsidP="007F105A">
            <w:pPr>
              <w:autoSpaceDE w:val="0"/>
              <w:autoSpaceDN w:val="0"/>
              <w:adjustRightInd w:val="0"/>
              <w:spacing w:after="0"/>
              <w:ind w:left="720" w:hanging="720"/>
              <w:jc w:val="both"/>
              <w:rPr>
                <w:rFonts w:ascii="Times New Roman" w:eastAsia="Calibri" w:hAnsi="Times New Roman" w:cs="Times New Roman"/>
                <w:sz w:val="20"/>
                <w:szCs w:val="20"/>
              </w:rPr>
            </w:pPr>
            <w:r w:rsidRPr="006A623B">
              <w:rPr>
                <w:rFonts w:ascii="Times New Roman" w:eastAsia="Calibri" w:hAnsi="Times New Roman" w:cs="Times New Roman"/>
                <w:sz w:val="20"/>
                <w:szCs w:val="20"/>
              </w:rPr>
              <w:t xml:space="preserve">Anda, P., Segura del Pozo, J., Díaz García, J.M., Escudero, R.,Garcia Pena, F.J.,Lopez Velasco, M.C., Sellek, R.E., Jimenez Chillaron, M.R., Sanchez Serrano, L.P. &amp; Martinez Navarro, J.F., 2001, ‘Waterborne outbreak of tularemia associated with crayfish fishing. </w:t>
            </w:r>
            <w:r w:rsidRPr="006A623B">
              <w:rPr>
                <w:rFonts w:ascii="Times New Roman" w:eastAsia="Calibri" w:hAnsi="Times New Roman" w:cs="Times New Roman"/>
                <w:i/>
                <w:iCs/>
                <w:sz w:val="20"/>
                <w:szCs w:val="20"/>
              </w:rPr>
              <w:t xml:space="preserve">Emerging Infectious Diseases </w:t>
            </w:r>
            <w:r w:rsidRPr="006A623B">
              <w:rPr>
                <w:rFonts w:ascii="Times New Roman" w:eastAsia="Calibri" w:hAnsi="Times New Roman" w:cs="Times New Roman"/>
                <w:b/>
                <w:sz w:val="20"/>
                <w:szCs w:val="20"/>
              </w:rPr>
              <w:t>7</w:t>
            </w:r>
            <w:r w:rsidRPr="006A623B">
              <w:rPr>
                <w:rFonts w:ascii="Times New Roman" w:eastAsia="Calibri" w:hAnsi="Times New Roman" w:cs="Times New Roman"/>
                <w:sz w:val="20"/>
                <w:szCs w:val="20"/>
              </w:rPr>
              <w:t xml:space="preserve">, 575–82¸ </w:t>
            </w:r>
            <w:hyperlink r:id="rId91" w:history="1">
              <w:r w:rsidRPr="006A623B">
                <w:rPr>
                  <w:rStyle w:val="Hyperlink"/>
                  <w:rFonts w:ascii="Times New Roman" w:eastAsia="Calibri" w:hAnsi="Times New Roman" w:cs="Times New Roman"/>
                  <w:sz w:val="20"/>
                  <w:szCs w:val="20"/>
                </w:rPr>
                <w:t>https://doi.org/10.3201/eid0707.010740</w:t>
              </w:r>
            </w:hyperlink>
            <w:r w:rsidRPr="006A623B">
              <w:rPr>
                <w:rFonts w:ascii="Times New Roman" w:eastAsia="Calibri" w:hAnsi="Times New Roman" w:cs="Times New Roman"/>
                <w:sz w:val="20"/>
                <w:szCs w:val="20"/>
              </w:rPr>
              <w:t xml:space="preserve">. </w:t>
            </w:r>
          </w:p>
          <w:p w14:paraId="3B5EAAF0" w14:textId="77777777" w:rsidR="006A623B" w:rsidRPr="006A623B" w:rsidRDefault="006A623B" w:rsidP="007F105A">
            <w:pPr>
              <w:autoSpaceDE w:val="0"/>
              <w:autoSpaceDN w:val="0"/>
              <w:adjustRightInd w:val="0"/>
              <w:spacing w:after="0"/>
              <w:ind w:left="720" w:hanging="720"/>
              <w:jc w:val="both"/>
              <w:rPr>
                <w:rFonts w:ascii="Times New Roman" w:eastAsia="Calibri" w:hAnsi="Times New Roman" w:cs="Times New Roman"/>
                <w:sz w:val="20"/>
                <w:szCs w:val="20"/>
              </w:rPr>
            </w:pPr>
            <w:r w:rsidRPr="006A623B">
              <w:rPr>
                <w:rFonts w:ascii="Times New Roman" w:eastAsia="Calibri" w:hAnsi="Times New Roman" w:cs="Times New Roman"/>
                <w:sz w:val="20"/>
                <w:szCs w:val="20"/>
              </w:rPr>
              <w:t xml:space="preserve">Arce, J.A. &amp; Diéguez-Uribeondo, J., 2015, ‘Structural damage caused by the invasive crayfish </w:t>
            </w:r>
            <w:r w:rsidRPr="006A623B">
              <w:rPr>
                <w:rFonts w:ascii="Times New Roman" w:eastAsia="Calibri" w:hAnsi="Times New Roman" w:cs="Times New Roman"/>
                <w:i/>
                <w:sz w:val="20"/>
                <w:szCs w:val="20"/>
              </w:rPr>
              <w:t>Procambarus clarkii</w:t>
            </w:r>
            <w:r w:rsidRPr="006A623B">
              <w:rPr>
                <w:rFonts w:ascii="Times New Roman" w:eastAsia="Calibri" w:hAnsi="Times New Roman" w:cs="Times New Roman"/>
                <w:sz w:val="20"/>
                <w:szCs w:val="20"/>
              </w:rPr>
              <w:t xml:space="preserve"> (Girard, 1852) in rice fields of the Iberian Peninsula: A study case’, </w:t>
            </w:r>
            <w:r w:rsidRPr="006A623B">
              <w:rPr>
                <w:rFonts w:ascii="Times New Roman" w:eastAsia="Calibri" w:hAnsi="Times New Roman" w:cs="Times New Roman"/>
                <w:i/>
                <w:sz w:val="20"/>
                <w:szCs w:val="20"/>
              </w:rPr>
              <w:t>Fundamental and Applied Limnology</w:t>
            </w:r>
            <w:r w:rsidRPr="006A623B">
              <w:rPr>
                <w:rFonts w:ascii="Times New Roman" w:eastAsia="Calibri" w:hAnsi="Times New Roman" w:cs="Times New Roman"/>
                <w:sz w:val="20"/>
                <w:szCs w:val="20"/>
              </w:rPr>
              <w:t xml:space="preserve"> 186, 259-269, </w:t>
            </w:r>
            <w:hyperlink r:id="rId92" w:history="1">
              <w:r w:rsidRPr="006A623B">
                <w:rPr>
                  <w:rStyle w:val="Hyperlink"/>
                  <w:rFonts w:ascii="Times New Roman" w:eastAsia="Calibri" w:hAnsi="Times New Roman" w:cs="Times New Roman"/>
                  <w:sz w:val="20"/>
                  <w:szCs w:val="20"/>
                </w:rPr>
                <w:t>https://doi.org/10.1127/fal/2015/0715</w:t>
              </w:r>
            </w:hyperlink>
            <w:r w:rsidRPr="006A623B">
              <w:rPr>
                <w:rFonts w:ascii="Times New Roman" w:eastAsia="Calibri" w:hAnsi="Times New Roman" w:cs="Times New Roman"/>
                <w:sz w:val="20"/>
                <w:szCs w:val="20"/>
              </w:rPr>
              <w:t>.</w:t>
            </w:r>
          </w:p>
          <w:p w14:paraId="39D098F2" w14:textId="7EC77CFA" w:rsidR="006A623B" w:rsidRPr="006A623B" w:rsidRDefault="006A623B" w:rsidP="007F105A">
            <w:pPr>
              <w:autoSpaceDE w:val="0"/>
              <w:autoSpaceDN w:val="0"/>
              <w:adjustRightInd w:val="0"/>
              <w:spacing w:after="0"/>
              <w:ind w:left="720" w:hanging="720"/>
              <w:jc w:val="both"/>
              <w:rPr>
                <w:rFonts w:ascii="Times New Roman" w:eastAsia="Calibri" w:hAnsi="Times New Roman" w:cs="Times New Roman"/>
                <w:sz w:val="20"/>
                <w:szCs w:val="20"/>
              </w:rPr>
            </w:pPr>
            <w:r w:rsidRPr="006A623B">
              <w:rPr>
                <w:rFonts w:ascii="Times New Roman" w:eastAsia="Calibri" w:hAnsi="Times New Roman" w:cs="Times New Roman"/>
                <w:sz w:val="20"/>
                <w:szCs w:val="20"/>
              </w:rPr>
              <w:t xml:space="preserve">Edgerton, B.F., Evans, L.H., Stephens, F.J. &amp; Overstreet, R.M., 2002, ‘Synopsis of freshwater crayfish diseases and commensal organisms’, </w:t>
            </w:r>
            <w:r w:rsidRPr="006A623B">
              <w:rPr>
                <w:rFonts w:ascii="Times New Roman" w:eastAsia="Calibri" w:hAnsi="Times New Roman" w:cs="Times New Roman"/>
                <w:i/>
                <w:iCs/>
                <w:sz w:val="20"/>
                <w:szCs w:val="20"/>
              </w:rPr>
              <w:t xml:space="preserve">Aquaculture </w:t>
            </w:r>
            <w:r w:rsidRPr="006A623B">
              <w:rPr>
                <w:rFonts w:ascii="Times New Roman" w:eastAsia="Calibri" w:hAnsi="Times New Roman" w:cs="Times New Roman"/>
                <w:sz w:val="20"/>
                <w:szCs w:val="20"/>
              </w:rPr>
              <w:t xml:space="preserve">206, 57–135, </w:t>
            </w:r>
            <w:hyperlink r:id="rId93" w:history="1">
              <w:r w:rsidRPr="00F215B9">
                <w:rPr>
                  <w:rStyle w:val="Hyperlink"/>
                  <w:rFonts w:ascii="Times New Roman" w:eastAsia="Calibri" w:hAnsi="Times New Roman" w:cs="Times New Roman"/>
                  <w:sz w:val="20"/>
                  <w:szCs w:val="20"/>
                </w:rPr>
                <w:t>https://doi.org/10.1016/S0044-8486(01)00865-1</w:t>
              </w:r>
            </w:hyperlink>
            <w:r>
              <w:rPr>
                <w:rFonts w:ascii="Times New Roman" w:eastAsia="Calibri" w:hAnsi="Times New Roman" w:cs="Times New Roman"/>
                <w:sz w:val="20"/>
                <w:szCs w:val="20"/>
              </w:rPr>
              <w:t xml:space="preserve">. </w:t>
            </w:r>
            <w:r w:rsidRPr="006A623B" w:rsidDel="002C7FBD">
              <w:rPr>
                <w:rFonts w:ascii="Times New Roman" w:eastAsia="Calibri" w:hAnsi="Times New Roman" w:cs="Times New Roman"/>
                <w:sz w:val="20"/>
                <w:szCs w:val="20"/>
              </w:rPr>
              <w:t xml:space="preserve"> </w:t>
            </w:r>
          </w:p>
          <w:p w14:paraId="12885B00" w14:textId="1F290289" w:rsidR="006A623B" w:rsidRPr="006A623B" w:rsidRDefault="006A623B" w:rsidP="007F105A">
            <w:pPr>
              <w:autoSpaceDE w:val="0"/>
              <w:autoSpaceDN w:val="0"/>
              <w:adjustRightInd w:val="0"/>
              <w:spacing w:after="0"/>
              <w:ind w:left="720" w:hanging="720"/>
              <w:jc w:val="both"/>
              <w:rPr>
                <w:rFonts w:ascii="Times New Roman" w:eastAsia="Calibri" w:hAnsi="Times New Roman" w:cs="Times New Roman"/>
                <w:sz w:val="20"/>
                <w:szCs w:val="20"/>
              </w:rPr>
            </w:pPr>
            <w:r w:rsidRPr="006A623B">
              <w:rPr>
                <w:rFonts w:ascii="Times New Roman" w:eastAsia="Calibri" w:hAnsi="Times New Roman" w:cs="Times New Roman"/>
                <w:sz w:val="20"/>
                <w:szCs w:val="20"/>
              </w:rPr>
              <w:t xml:space="preserve">Gherardi, F., Barbaresi, S., Vaselli, O. &amp; Bencini, A., 2002, ‘A comparison of trace metal accumulation in indigenous and alien freshwater macro-decapods’, </w:t>
            </w:r>
            <w:r w:rsidRPr="006A623B">
              <w:rPr>
                <w:rFonts w:ascii="Times New Roman" w:eastAsia="Calibri" w:hAnsi="Times New Roman" w:cs="Times New Roman"/>
                <w:i/>
                <w:iCs/>
                <w:sz w:val="20"/>
                <w:szCs w:val="20"/>
              </w:rPr>
              <w:t xml:space="preserve">Marine and Freshwater Behaviour and Physiology </w:t>
            </w:r>
            <w:r w:rsidRPr="006A623B">
              <w:rPr>
                <w:rFonts w:ascii="Times New Roman" w:eastAsia="Calibri" w:hAnsi="Times New Roman" w:cs="Times New Roman"/>
                <w:sz w:val="20"/>
                <w:szCs w:val="20"/>
              </w:rPr>
              <w:t xml:space="preserve">35, 179–88, </w:t>
            </w:r>
            <w:hyperlink r:id="rId94" w:history="1">
              <w:r w:rsidRPr="00F215B9">
                <w:rPr>
                  <w:rStyle w:val="Hyperlink"/>
                  <w:rFonts w:ascii="Times New Roman" w:eastAsia="Calibri" w:hAnsi="Times New Roman" w:cs="Times New Roman"/>
                  <w:sz w:val="20"/>
                  <w:szCs w:val="20"/>
                </w:rPr>
                <w:t>https://doi.org/10.1080/1023624021000014761</w:t>
              </w:r>
            </w:hyperlink>
            <w:r w:rsidRPr="006A623B">
              <w:rPr>
                <w:rFonts w:ascii="Times New Roman" w:eastAsia="Calibri" w:hAnsi="Times New Roman" w:cs="Times New Roman"/>
                <w:sz w:val="20"/>
                <w:szCs w:val="20"/>
              </w:rPr>
              <w:t>.</w:t>
            </w:r>
            <w:r>
              <w:rPr>
                <w:rFonts w:ascii="Times New Roman" w:eastAsia="Calibri" w:hAnsi="Times New Roman" w:cs="Times New Roman"/>
                <w:sz w:val="20"/>
                <w:szCs w:val="20"/>
              </w:rPr>
              <w:t xml:space="preserve"> </w:t>
            </w:r>
          </w:p>
          <w:p w14:paraId="1417D5BC" w14:textId="56DA0D2E" w:rsidR="006A623B" w:rsidRPr="006A623B" w:rsidRDefault="006A623B" w:rsidP="007F105A">
            <w:pPr>
              <w:autoSpaceDE w:val="0"/>
              <w:autoSpaceDN w:val="0"/>
              <w:adjustRightInd w:val="0"/>
              <w:spacing w:after="0"/>
              <w:ind w:left="720" w:hanging="720"/>
              <w:jc w:val="both"/>
              <w:rPr>
                <w:rFonts w:ascii="Times New Roman" w:eastAsia="Calibri" w:hAnsi="Times New Roman" w:cs="Times New Roman"/>
                <w:sz w:val="20"/>
                <w:szCs w:val="20"/>
              </w:rPr>
            </w:pPr>
            <w:r w:rsidRPr="006A623B">
              <w:rPr>
                <w:rFonts w:ascii="Times New Roman" w:eastAsia="Calibri" w:hAnsi="Times New Roman" w:cs="Times New Roman"/>
                <w:sz w:val="20"/>
                <w:szCs w:val="20"/>
              </w:rPr>
              <w:t xml:space="preserve">Lane, M.A., Barsanti, M.C., Santos, C.A., Yeung, M., Lubner, S.J. &amp; Weil, G.J., 2009, ‘Human paragonimiasis in North America following ingestion of raw crayfish’, </w:t>
            </w:r>
            <w:r w:rsidRPr="006A623B">
              <w:rPr>
                <w:rFonts w:ascii="Times New Roman" w:eastAsia="Calibri" w:hAnsi="Times New Roman" w:cs="Times New Roman"/>
                <w:i/>
                <w:iCs/>
                <w:sz w:val="20"/>
                <w:szCs w:val="20"/>
              </w:rPr>
              <w:t xml:space="preserve">Clinical and Infectious Diseases </w:t>
            </w:r>
            <w:r w:rsidRPr="006A623B">
              <w:rPr>
                <w:rFonts w:ascii="Times New Roman" w:eastAsia="Calibri" w:hAnsi="Times New Roman" w:cs="Times New Roman"/>
                <w:sz w:val="20"/>
                <w:szCs w:val="20"/>
              </w:rPr>
              <w:t xml:space="preserve">49, 55–61, </w:t>
            </w:r>
            <w:hyperlink r:id="rId95" w:history="1">
              <w:r w:rsidRPr="00F215B9">
                <w:rPr>
                  <w:rStyle w:val="Hyperlink"/>
                  <w:rFonts w:ascii="Times New Roman" w:eastAsia="Calibri" w:hAnsi="Times New Roman" w:cs="Times New Roman"/>
                  <w:sz w:val="20"/>
                  <w:szCs w:val="20"/>
                </w:rPr>
                <w:t>https://doi.org/10.1086/605534</w:t>
              </w:r>
            </w:hyperlink>
            <w:r w:rsidRPr="006A623B">
              <w:rPr>
                <w:rFonts w:ascii="Times New Roman" w:eastAsia="Calibri" w:hAnsi="Times New Roman" w:cs="Times New Roman"/>
                <w:sz w:val="20"/>
                <w:szCs w:val="20"/>
              </w:rPr>
              <w:t>.</w:t>
            </w:r>
            <w:r>
              <w:rPr>
                <w:rFonts w:ascii="Times New Roman" w:eastAsia="Calibri" w:hAnsi="Times New Roman" w:cs="Times New Roman"/>
                <w:sz w:val="20"/>
                <w:szCs w:val="20"/>
              </w:rPr>
              <w:t xml:space="preserve"> </w:t>
            </w:r>
          </w:p>
          <w:p w14:paraId="716F52C1" w14:textId="6B8F2093" w:rsidR="006A623B" w:rsidRPr="006A623B" w:rsidRDefault="006A623B" w:rsidP="007F105A">
            <w:pPr>
              <w:autoSpaceDE w:val="0"/>
              <w:autoSpaceDN w:val="0"/>
              <w:adjustRightInd w:val="0"/>
              <w:spacing w:after="0"/>
              <w:ind w:left="720" w:hanging="720"/>
              <w:jc w:val="both"/>
              <w:rPr>
                <w:rFonts w:ascii="Times New Roman" w:eastAsia="Calibri" w:hAnsi="Times New Roman" w:cs="Times New Roman"/>
                <w:sz w:val="20"/>
                <w:szCs w:val="20"/>
              </w:rPr>
            </w:pPr>
            <w:r w:rsidRPr="006A623B">
              <w:rPr>
                <w:rFonts w:ascii="Times New Roman" w:eastAsia="Calibri" w:hAnsi="Times New Roman" w:cs="Times New Roman"/>
                <w:sz w:val="20"/>
                <w:szCs w:val="20"/>
              </w:rPr>
              <w:t xml:space="preserve">Lodge, D.M., Deines, A., Gherardi, F., Yeo, D.C.J., Arcella, T., Baldridge, A.K., Branes, M.A., Chadderton, W.L., Feder, J.L., Grantz, C.A., Howard, G.W., Jerdde, C.L., Peters, J.A., Sargent, L.W., Turner, C.R., Wittmann, M.E. &amp; Zeng, Y., 2012, ‘Global introductions of crayfishes: Evaluating the impact of species invasions on ecosystem services’. </w:t>
            </w:r>
            <w:r w:rsidRPr="006A623B">
              <w:rPr>
                <w:rFonts w:ascii="Times New Roman" w:eastAsia="Calibri" w:hAnsi="Times New Roman" w:cs="Times New Roman"/>
                <w:i/>
                <w:sz w:val="20"/>
                <w:szCs w:val="20"/>
              </w:rPr>
              <w:t>Annual Review of Ecology, Evolution and Systematics</w:t>
            </w:r>
            <w:r w:rsidRPr="006A623B">
              <w:rPr>
                <w:rFonts w:ascii="Times New Roman" w:eastAsia="Calibri" w:hAnsi="Times New Roman" w:cs="Times New Roman"/>
                <w:sz w:val="20"/>
                <w:szCs w:val="20"/>
              </w:rPr>
              <w:t xml:space="preserve"> 43, 449-472, </w:t>
            </w:r>
            <w:hyperlink r:id="rId96" w:history="1">
              <w:r w:rsidRPr="00F215B9">
                <w:rPr>
                  <w:rStyle w:val="Hyperlink"/>
                  <w:rFonts w:ascii="Times New Roman" w:eastAsia="Calibri" w:hAnsi="Times New Roman" w:cs="Times New Roman"/>
                  <w:sz w:val="20"/>
                  <w:szCs w:val="20"/>
                </w:rPr>
                <w:t>https://doi.org/10.1146/annurev-ecolsys-111511-103919</w:t>
              </w:r>
            </w:hyperlink>
            <w:r w:rsidRPr="006A623B">
              <w:rPr>
                <w:rFonts w:ascii="Times New Roman" w:eastAsia="Calibri" w:hAnsi="Times New Roman" w:cs="Times New Roman"/>
                <w:sz w:val="20"/>
                <w:szCs w:val="20"/>
              </w:rPr>
              <w:t>.</w:t>
            </w:r>
            <w:r>
              <w:rPr>
                <w:rFonts w:ascii="Times New Roman" w:eastAsia="Calibri" w:hAnsi="Times New Roman" w:cs="Times New Roman"/>
                <w:sz w:val="20"/>
                <w:szCs w:val="20"/>
              </w:rPr>
              <w:t xml:space="preserve"> </w:t>
            </w:r>
          </w:p>
          <w:p w14:paraId="56C69E90" w14:textId="77777777" w:rsidR="006A623B" w:rsidRPr="006A623B" w:rsidRDefault="006A623B" w:rsidP="007F105A">
            <w:pPr>
              <w:autoSpaceDE w:val="0"/>
              <w:autoSpaceDN w:val="0"/>
              <w:adjustRightInd w:val="0"/>
              <w:spacing w:after="0"/>
              <w:ind w:left="720" w:hanging="720"/>
              <w:jc w:val="both"/>
              <w:rPr>
                <w:rFonts w:ascii="Times New Roman" w:eastAsia="Calibri" w:hAnsi="Times New Roman" w:cs="Times New Roman"/>
                <w:sz w:val="20"/>
                <w:szCs w:val="20"/>
              </w:rPr>
            </w:pPr>
            <w:r w:rsidRPr="006A623B">
              <w:rPr>
                <w:rFonts w:ascii="Times New Roman" w:eastAsia="Calibri" w:hAnsi="Times New Roman" w:cs="Times New Roman"/>
                <w:sz w:val="20"/>
                <w:szCs w:val="20"/>
              </w:rPr>
              <w:t xml:space="preserve">Souty-Grosset, C., Anastácio, P.M., Aquiloni, L., Banha, F., Choquer, J., Chucholl, C. &amp; Tricarico, E., 2016, ‘The red swamp crayfish </w:t>
            </w:r>
            <w:r w:rsidRPr="006A623B">
              <w:rPr>
                <w:rFonts w:ascii="Times New Roman" w:eastAsia="Calibri" w:hAnsi="Times New Roman" w:cs="Times New Roman"/>
                <w:i/>
                <w:sz w:val="20"/>
                <w:szCs w:val="20"/>
              </w:rPr>
              <w:t>Procambarus clarkii</w:t>
            </w:r>
            <w:r w:rsidRPr="006A623B">
              <w:rPr>
                <w:rFonts w:ascii="Times New Roman" w:eastAsia="Calibri" w:hAnsi="Times New Roman" w:cs="Times New Roman"/>
                <w:sz w:val="20"/>
                <w:szCs w:val="20"/>
              </w:rPr>
              <w:t xml:space="preserve"> in Europe: Impacts on aquatic ecosystems and human well-being’</w:t>
            </w:r>
            <w:r w:rsidRPr="006A623B">
              <w:rPr>
                <w:rFonts w:ascii="Times New Roman" w:eastAsia="Calibri" w:hAnsi="Times New Roman" w:cs="Times New Roman"/>
                <w:i/>
                <w:sz w:val="20"/>
                <w:szCs w:val="20"/>
              </w:rPr>
              <w:t>, Limnologica</w:t>
            </w:r>
            <w:r w:rsidRPr="006A623B">
              <w:rPr>
                <w:rFonts w:ascii="Times New Roman" w:eastAsia="Calibri" w:hAnsi="Times New Roman" w:cs="Times New Roman"/>
                <w:sz w:val="20"/>
                <w:szCs w:val="20"/>
              </w:rPr>
              <w:t xml:space="preserve"> 58, 78-93, </w:t>
            </w:r>
            <w:hyperlink r:id="rId97" w:history="1">
              <w:r w:rsidRPr="006A623B">
                <w:rPr>
                  <w:rStyle w:val="Hyperlink"/>
                  <w:rFonts w:ascii="Times New Roman" w:eastAsia="Calibri" w:hAnsi="Times New Roman" w:cs="Times New Roman"/>
                  <w:sz w:val="20"/>
                  <w:szCs w:val="20"/>
                </w:rPr>
                <w:t>https://doi.org/10.1016/j.limno.2016.03.003</w:t>
              </w:r>
            </w:hyperlink>
          </w:p>
          <w:p w14:paraId="4C292A38" w14:textId="3FEEE4AB" w:rsidR="002D7080" w:rsidRPr="004D1E6F" w:rsidRDefault="002D7080" w:rsidP="002E2C37">
            <w:pPr>
              <w:spacing w:after="0" w:line="240" w:lineRule="auto"/>
              <w:ind w:left="720" w:hanging="720"/>
              <w:jc w:val="both"/>
              <w:rPr>
                <w:rFonts w:ascii="Times New Roman" w:eastAsia="Times New Roman" w:hAnsi="Times New Roman" w:cs="Times New Roman"/>
                <w:sz w:val="20"/>
                <w:szCs w:val="20"/>
                <w:lang w:eastAsia="en-ZA"/>
              </w:rPr>
            </w:pPr>
          </w:p>
        </w:tc>
      </w:tr>
    </w:tbl>
    <w:p w14:paraId="219DC25E" w14:textId="77777777" w:rsidR="002D7080" w:rsidRPr="004D1E6F" w:rsidRDefault="002D7080" w:rsidP="002D7080">
      <w:pPr>
        <w:spacing w:after="0" w:line="240" w:lineRule="auto"/>
        <w:rPr>
          <w:rFonts w:ascii="Times New Roman" w:hAnsi="Times New Roman" w:cs="Times New Roman"/>
          <w:b/>
          <w:sz w:val="20"/>
          <w:szCs w:val="20"/>
        </w:rPr>
      </w:pPr>
    </w:p>
    <w:tbl>
      <w:tblPr>
        <w:tblStyle w:val="TableGrid"/>
        <w:tblW w:w="0" w:type="auto"/>
        <w:tblLook w:val="04A0" w:firstRow="1" w:lastRow="0" w:firstColumn="1" w:lastColumn="0" w:noHBand="0" w:noVBand="1"/>
      </w:tblPr>
      <w:tblGrid>
        <w:gridCol w:w="5949"/>
        <w:gridCol w:w="3067"/>
      </w:tblGrid>
      <w:tr w:rsidR="002D7080" w:rsidRPr="004D1E6F" w14:paraId="093A5DE3" w14:textId="77777777" w:rsidTr="002E2C37">
        <w:trPr>
          <w:trHeight w:val="343"/>
        </w:trPr>
        <w:tc>
          <w:tcPr>
            <w:tcW w:w="9016" w:type="dxa"/>
            <w:gridSpan w:val="2"/>
            <w:shd w:val="clear" w:color="auto" w:fill="F2F2F2" w:themeFill="background1" w:themeFillShade="F2"/>
          </w:tcPr>
          <w:p w14:paraId="3C364679"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CON5 Potential impact</w:t>
            </w:r>
          </w:p>
        </w:tc>
      </w:tr>
      <w:tr w:rsidR="002D7080" w:rsidRPr="004D1E6F" w14:paraId="5DB6DC58" w14:textId="77777777" w:rsidTr="002E2C37">
        <w:trPr>
          <w:trHeight w:val="172"/>
        </w:trPr>
        <w:tc>
          <w:tcPr>
            <w:tcW w:w="5949" w:type="dxa"/>
          </w:tcPr>
          <w:p w14:paraId="1F307D5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Response: Moderate (MO)</w:t>
            </w:r>
          </w:p>
        </w:tc>
        <w:tc>
          <w:tcPr>
            <w:tcW w:w="3067" w:type="dxa"/>
          </w:tcPr>
          <w:p w14:paraId="2245756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Confidence: Low</w:t>
            </w:r>
          </w:p>
        </w:tc>
      </w:tr>
      <w:tr w:rsidR="002D7080" w:rsidRPr="004D1E6F" w14:paraId="0B4628BE" w14:textId="77777777" w:rsidTr="002E2C37">
        <w:trPr>
          <w:trHeight w:val="70"/>
        </w:trPr>
        <w:tc>
          <w:tcPr>
            <w:tcW w:w="9016" w:type="dxa"/>
            <w:gridSpan w:val="2"/>
          </w:tcPr>
          <w:p w14:paraId="4B2FFE93" w14:textId="40F990D6"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 xml:space="preserve">Rationale: In South Africa, there are no freshwater crayfish species but other closely related decapods such as crabs are likely to have broad habitat and trophic overlaps </w:t>
            </w:r>
            <w:r w:rsidRPr="004D1E6F">
              <w:rPr>
                <w:rFonts w:ascii="Times New Roman" w:eastAsia="Arial" w:hAnsi="Times New Roman" w:cs="Times New Roman"/>
                <w:sz w:val="20"/>
                <w:szCs w:val="20"/>
              </w:rPr>
              <w:fldChar w:fldCharType="begin" w:fldLock="1"/>
            </w:r>
            <w:r w:rsidRPr="004D1E6F">
              <w:rPr>
                <w:rFonts w:ascii="Times New Roman" w:eastAsia="Arial" w:hAnsi="Times New Roman" w:cs="Times New Roman"/>
                <w:sz w:val="20"/>
                <w:szCs w:val="20"/>
              </w:rPr>
              <w:instrText>ADDIN CSL_CITATION { "citationItems" : [ { "id" : "ITEM-1", "itemData" : { "DOI" : "10.1111/1365-2656.12533", "ISBN" : "1365-2656 (Electronic)\\r0021-8790 (Linking)", "ISSN" : "13652656", "PMID" : "27084460", "abstract" : "1. Invasive species are a key driver of global environmental change, with frequently strong negative consequences for native biodiversity and ecosystem processes. Understanding com- petitive interactions between invaders and functionally similar native species provides an important benchmark for predicting the consequences of invasion. However, even though having a broad dietary niche is widely considered a key factor determining invasion success, little is known about the effects of competition with functionally similar native competitors on the dietary niche breadths of invasive species. 2. We used a combination of field experiments and field surveys to examine the impacts of competition with a functionally similar native crab species on the population densities, growth rates and diet of the globally widespread invasive red swamp crayfish in an African river ecosystem. 3. The presence of native crabs triggered significant dietary niche constriction within the inva- sive crayfish population. Further, growth rates of both species were reduced significantly, and by a similar extent, in the presence of one another. In spite of this, crayfish maintained posi- tive growth rates in the presence of crabs, whereas crabs lost mass in the presence of crayfish. Consequently, over the 3-year duration of the study, crab abundance declined at those sites invaded by the crayfish, becoming locally extinct at one. 4. The invasive crayfish had a dramatic effect on ecosystem structure and functioning, halv- ing benthic invertebrate densities and increasing decomposition rates fourfold compared to the crabs. This indicates that replacement of native crabs by invasive crayfish likely alters the structure and functioning of African river ecosystems significantly. 5. This study provides a novel example of the constriction of the dietary niche of a successful invasive population in the presence of competition from a functionally similar native species. This finding highlights the importance of considering both environmental and ecological contexts in order to predict and manage the impacts of invasive species on ecosystems.", "author" : [ { "dropping-particle" : "", "family" : "Jackson", "given" : "Michelle C.", "non-dropping-particle" : "", "parse-names" : false, "suffix" : "" }, { "dropping-particle" : "", "family" : "Grey", "given" : "Jonathan", "non-dropping-particle" : "", "parse-names" : false, "suffix" : "" }, { "dropping-particle" : "", "family" : "Miller", "given" : "Katie", "non-dropping-particle" : "", "parse-names" : false, "suffix" : "" }, { "dropping-particle" : "", "family" : "Britton", "given" : "J. Robert", "non-dropping-particle" : "", "parse-names" : false, "suffix" : "" }, { "dropping-particle" : "", "family" : "Donohue", "given" : "Ian", "non-dropping-particle" : "", "parse-names" : false, "suffix" : "" } ], "container-title" : "Journal of Animal Ecology", "id" : "ITEM-1", "issued" : { "date-parts" : [ [ "2016" ] ] }, "page" : "1098-1107", "title" : "Dietary niche constriction when invaders meet natives: Evidence from freshwater decapods", "type" : "article-journal" }, "uris" : [ "http://www.mendeley.com/documents/?uuid=4d1dad2a-af96-4ee7-a254-3fb10d7453b1" ] } ], "mendeley" : { "formattedCitation" : "(Jackson et al. 2016)", "plainTextFormattedCitation" : "(Jackson et al. 2016)", "previouslyFormattedCitation" : "(Jackson et al. 2016)" }, "properties" : { "noteIndex" : 0 }, "schema" : "https://github.com/citation-style-language/schema/raw/master/csl-citation.json" }</w:instrText>
            </w:r>
            <w:r w:rsidRPr="004D1E6F">
              <w:rPr>
                <w:rFonts w:ascii="Times New Roman" w:eastAsia="Arial" w:hAnsi="Times New Roman" w:cs="Times New Roman"/>
                <w:sz w:val="20"/>
                <w:szCs w:val="20"/>
              </w:rPr>
              <w:fldChar w:fldCharType="separate"/>
            </w:r>
            <w:r w:rsidRPr="004D1E6F">
              <w:rPr>
                <w:rFonts w:ascii="Times New Roman" w:eastAsia="Arial" w:hAnsi="Times New Roman" w:cs="Times New Roman"/>
                <w:sz w:val="20"/>
                <w:szCs w:val="20"/>
              </w:rPr>
              <w:t>(Jackson et al. 2016)</w:t>
            </w:r>
            <w:r w:rsidRPr="004D1E6F">
              <w:rPr>
                <w:rFonts w:ascii="Times New Roman" w:eastAsia="Arial" w:hAnsi="Times New Roman" w:cs="Times New Roman"/>
                <w:sz w:val="20"/>
                <w:szCs w:val="20"/>
              </w:rPr>
              <w:fldChar w:fldCharType="end"/>
            </w:r>
            <w:r w:rsidRPr="004D1E6F">
              <w:rPr>
                <w:rFonts w:ascii="Times New Roman" w:eastAsia="Arial" w:hAnsi="Times New Roman" w:cs="Times New Roman"/>
                <w:sz w:val="20"/>
                <w:szCs w:val="20"/>
              </w:rPr>
              <w:t xml:space="preserve">. The outcome of such resource overlap between </w:t>
            </w:r>
            <w:r w:rsidRPr="004D1E6F">
              <w:rPr>
                <w:rFonts w:ascii="Times New Roman" w:eastAsia="Arial" w:hAnsi="Times New Roman" w:cs="Times New Roman"/>
                <w:i/>
                <w:sz w:val="20"/>
                <w:szCs w:val="20"/>
              </w:rPr>
              <w:t>C. tenuimanus</w:t>
            </w:r>
            <w:r w:rsidRPr="004D1E6F">
              <w:rPr>
                <w:rFonts w:ascii="Times New Roman" w:eastAsia="Arial" w:hAnsi="Times New Roman" w:cs="Times New Roman"/>
                <w:sz w:val="20"/>
                <w:szCs w:val="20"/>
              </w:rPr>
              <w:t xml:space="preserve"> and indigenous fauna is unknown, but given that </w:t>
            </w:r>
            <w:r w:rsidRPr="004D1E6F">
              <w:rPr>
                <w:rFonts w:ascii="Times New Roman" w:eastAsia="Arial" w:hAnsi="Times New Roman" w:cs="Times New Roman"/>
                <w:i/>
                <w:sz w:val="20"/>
                <w:szCs w:val="20"/>
              </w:rPr>
              <w:t>P. clarkii</w:t>
            </w:r>
            <w:r w:rsidRPr="004D1E6F">
              <w:rPr>
                <w:rFonts w:ascii="Times New Roman" w:eastAsia="Arial" w:hAnsi="Times New Roman" w:cs="Times New Roman"/>
                <w:sz w:val="20"/>
                <w:szCs w:val="20"/>
              </w:rPr>
              <w:t xml:space="preserve"> has caused adverse impact in other areas of introduction there is a cause of concern for possible impacts of </w:t>
            </w:r>
            <w:r w:rsidRPr="004D1E6F">
              <w:rPr>
                <w:rFonts w:ascii="Times New Roman" w:eastAsia="Arial" w:hAnsi="Times New Roman" w:cs="Times New Roman"/>
                <w:i/>
                <w:sz w:val="20"/>
                <w:szCs w:val="20"/>
              </w:rPr>
              <w:t>C. tenuimanus</w:t>
            </w:r>
            <w:r w:rsidRPr="004D1E6F">
              <w:rPr>
                <w:rFonts w:ascii="Times New Roman" w:eastAsia="Arial" w:hAnsi="Times New Roman" w:cs="Times New Roman"/>
                <w:sz w:val="20"/>
                <w:szCs w:val="20"/>
              </w:rPr>
              <w:t xml:space="preserve"> in South African river systems </w:t>
            </w:r>
            <w:r w:rsidRPr="004D1E6F">
              <w:rPr>
                <w:rFonts w:ascii="Times New Roman" w:eastAsia="Arial" w:hAnsi="Times New Roman" w:cs="Times New Roman"/>
                <w:sz w:val="20"/>
                <w:szCs w:val="20"/>
              </w:rPr>
              <w:fldChar w:fldCharType="begin" w:fldLock="1"/>
            </w:r>
            <w:r w:rsidRPr="004D1E6F">
              <w:rPr>
                <w:rFonts w:ascii="Times New Roman" w:eastAsia="Arial" w:hAnsi="Times New Roman" w:cs="Times New Roman"/>
                <w:sz w:val="20"/>
                <w:szCs w:val="20"/>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"(Lodge et al. 2012)", "plainTextFormattedCitation" : "(Lodge et al. 2012)", "previouslyFormattedCitation" : "(Lodge et al. 2012)" }, "properties" : { "noteIndex" : 0 }, "schema" : "https://github.com/citation-style-language/schema/raw/master/csl-citation.json" }</w:instrText>
            </w:r>
            <w:r w:rsidRPr="004D1E6F">
              <w:rPr>
                <w:rFonts w:ascii="Times New Roman" w:eastAsia="Arial" w:hAnsi="Times New Roman" w:cs="Times New Roman"/>
                <w:sz w:val="20"/>
                <w:szCs w:val="20"/>
              </w:rPr>
              <w:fldChar w:fldCharType="separate"/>
            </w:r>
            <w:r w:rsidRPr="004D1E6F">
              <w:rPr>
                <w:rFonts w:ascii="Times New Roman" w:eastAsia="Arial" w:hAnsi="Times New Roman" w:cs="Times New Roman"/>
                <w:sz w:val="20"/>
                <w:szCs w:val="20"/>
              </w:rPr>
              <w:t>(Lodge et al. 2012)</w:t>
            </w:r>
            <w:r w:rsidRPr="004D1E6F">
              <w:rPr>
                <w:rFonts w:ascii="Times New Roman" w:eastAsia="Arial" w:hAnsi="Times New Roman" w:cs="Times New Roman"/>
                <w:sz w:val="20"/>
                <w:szCs w:val="20"/>
              </w:rPr>
              <w:fldChar w:fldCharType="end"/>
            </w:r>
            <w:r w:rsidRPr="004D1E6F">
              <w:rPr>
                <w:rFonts w:ascii="Times New Roman" w:eastAsia="Arial" w:hAnsi="Times New Roman" w:cs="Times New Roman"/>
                <w:sz w:val="20"/>
                <w:szCs w:val="20"/>
              </w:rPr>
              <w:t xml:space="preserve">. Another major concern is the transmission of parasites for example, temnocephala worms to native decapods and other freshwater fauna </w:t>
            </w:r>
            <w:r w:rsidRPr="004D1E6F">
              <w:rPr>
                <w:rFonts w:ascii="Times New Roman" w:eastAsia="Arial" w:hAnsi="Times New Roman" w:cs="Times New Roman"/>
                <w:sz w:val="20"/>
                <w:szCs w:val="20"/>
              </w:rPr>
              <w:fldChar w:fldCharType="begin" w:fldLock="1"/>
            </w:r>
            <w:r w:rsidRPr="004D1E6F">
              <w:rPr>
                <w:rFonts w:ascii="Times New Roman" w:eastAsia="Arial" w:hAnsi="Times New Roman" w:cs="Times New Roman"/>
                <w:sz w:val="20"/>
                <w:szCs w:val="20"/>
              </w:rPr>
              <w:instrText>ADDIN CSL_CITATION { "citationItems" : [ { "id" : "ITEM-1", "itemData" : { "DOI" : "10.1645/15-936", "ISBN" : "00223395 (ISSN)", "ISSN" : "0022-3395", "abstract" : "The redclaw crayfish, Cherax quadricarinatus (Decapoda: Parastacidae), is native to Australia but has been introduced to South Africa as a warm-water aquaculture species. In a South African natural waterbody, examined crayfish had high-intensity infections of 3 temnocephalan species on their body surfaces and within the branchial chambers. Temnocephalans were characterized using light and scanning electron microscopy and identified as Craspedella pedum, Diceratocephala boschmai, and Didymorchis sp. This is the first report of the introduction of Australian temnocephalans, C. pedum and Didymorchis sp., to Africa and expands the known distribution of these species beyond their presumptive native range. The present study also documents a naturalized population of C. quadricarinatus from a natural water body in South Africa, comprising a new geographical locality record. \u00a9 American Society of Parasitologists 2016.", "author" : [ { "dropping-particle" : "", "family" : "Tavakol", "given" : "Sareh", "non-dropping-particle" : "", "parse-names" : false, "suffix" : "" }, { "dropping-particle" : "", "family" : "Luus-Powell", "given" : "Wilmien J.", "non-dropping-particle" : "", "parse-names" : false, "suffix" : "" }, { "dropping-particle" : "", "family" : "Smit", "given" : "Willem J.", "non-dropping-particle" : "", "parse-names" : false, "suffix" : "" }, { "dropping-particle" : "", "family" : "Baker", "given" : "Chant\u00e9lle", "non-dropping-particle" : "", "parse-names" : false, "suffix" : "" }, { "dropping-particle" : "", "family" : "Hoffman", "given" : "Andre", "non-dropping-particle" : "", "parse-names" : false, "suffix" : "" }, { "dropping-particle" : "", "family" : "Halajian", "given" : "Ali", "non-dropping-particle" : "", "parse-names" : false, "suffix" : "" } ], "container-title" : "Journal of Parasitology", "id" : "ITEM-1", "issue" : "6", "issued" : { "date-parts" : [ [ "2016" ] ] }, "page" : "653-658", "title" : "First Introduction of Two Australian Temnocephalan Species into Africa with an Alien Host: Double Trouble", "type" : "article-journal", "volume" : "102" }, "uris" : [ "http://www.mendeley.com/documents/?uuid=f110117e-585b-4846-8ea0-a143fcf70d22" ] } ], "mendeley" : { "formattedCitation" : "(Tavakol et al. 2016)", "plainTextFormattedCitation" : "(Tavakol et al. 2016)", "previouslyFormattedCitation" : "(Tavakol et al. 2016)" }, "properties" : { "noteIndex" : 0 }, "schema" : "https://github.com/citation-style-language/schema/raw/master/csl-citation.json" }</w:instrText>
            </w:r>
            <w:r w:rsidRPr="004D1E6F">
              <w:rPr>
                <w:rFonts w:ascii="Times New Roman" w:eastAsia="Arial" w:hAnsi="Times New Roman" w:cs="Times New Roman"/>
                <w:sz w:val="20"/>
                <w:szCs w:val="20"/>
              </w:rPr>
              <w:fldChar w:fldCharType="separate"/>
            </w:r>
            <w:r w:rsidRPr="004D1E6F">
              <w:rPr>
                <w:rFonts w:ascii="Times New Roman" w:eastAsia="Arial" w:hAnsi="Times New Roman" w:cs="Times New Roman"/>
                <w:sz w:val="20"/>
                <w:szCs w:val="20"/>
              </w:rPr>
              <w:t>(Avenant-Oldewage 1993, Tavakol et al. 2016)</w:t>
            </w:r>
            <w:r w:rsidRPr="004D1E6F">
              <w:rPr>
                <w:rFonts w:ascii="Times New Roman" w:eastAsia="Arial" w:hAnsi="Times New Roman" w:cs="Times New Roman"/>
                <w:sz w:val="20"/>
                <w:szCs w:val="20"/>
              </w:rPr>
              <w:fldChar w:fldCharType="end"/>
            </w:r>
            <w:r w:rsidRPr="004D1E6F">
              <w:rPr>
                <w:rFonts w:ascii="Times New Roman" w:eastAsia="Arial" w:hAnsi="Times New Roman" w:cs="Times New Roman"/>
                <w:sz w:val="20"/>
                <w:szCs w:val="20"/>
              </w:rPr>
              <w:t xml:space="preserve">. The potential for hybridisation in South Africa is very unlikely as there are no native freshwater crayfish </w:t>
            </w:r>
            <w:r w:rsidRPr="004D1E6F">
              <w:rPr>
                <w:rFonts w:ascii="Times New Roman" w:eastAsia="Arial" w:hAnsi="Times New Roman" w:cs="Times New Roman"/>
                <w:sz w:val="20"/>
                <w:szCs w:val="20"/>
              </w:rPr>
              <w:fldChar w:fldCharType="begin" w:fldLock="1"/>
            </w:r>
            <w:r w:rsidRPr="004D1E6F">
              <w:rPr>
                <w:rFonts w:ascii="Times New Roman" w:eastAsia="Arial" w:hAnsi="Times New Roman" w:cs="Times New Roman"/>
                <w:sz w:val="20"/>
                <w:szCs w:val="20"/>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"mendeley" : { "formattedCitation" : "(de Moor 2002)", "plainTextFormattedCitation" : "(de Moor 2002)", "previouslyFormattedCitation" : "(de Moor 2002)" }, "properties" : { "noteIndex" : 0 }, "schema" : "https://github.com/citation-style-language/schema/raw/master/csl-citation.json" }</w:instrText>
            </w:r>
            <w:r w:rsidRPr="004D1E6F">
              <w:rPr>
                <w:rFonts w:ascii="Times New Roman" w:eastAsia="Arial" w:hAnsi="Times New Roman" w:cs="Times New Roman"/>
                <w:sz w:val="20"/>
                <w:szCs w:val="20"/>
              </w:rPr>
              <w:fldChar w:fldCharType="separate"/>
            </w:r>
            <w:r w:rsidRPr="004D1E6F">
              <w:rPr>
                <w:rFonts w:ascii="Times New Roman" w:eastAsia="Arial" w:hAnsi="Times New Roman" w:cs="Times New Roman"/>
                <w:sz w:val="20"/>
                <w:szCs w:val="20"/>
              </w:rPr>
              <w:t>(</w:t>
            </w:r>
            <w:r w:rsidR="008A0BC6">
              <w:rPr>
                <w:rFonts w:ascii="Times New Roman" w:eastAsia="Arial" w:hAnsi="Times New Roman" w:cs="Times New Roman"/>
                <w:sz w:val="20"/>
                <w:szCs w:val="20"/>
              </w:rPr>
              <w:t>De Moor</w:t>
            </w:r>
            <w:r w:rsidRPr="004D1E6F">
              <w:rPr>
                <w:rFonts w:ascii="Times New Roman" w:eastAsia="Arial" w:hAnsi="Times New Roman" w:cs="Times New Roman"/>
                <w:sz w:val="20"/>
                <w:szCs w:val="20"/>
              </w:rPr>
              <w:t xml:space="preserve"> 2002)</w:t>
            </w:r>
            <w:r w:rsidRPr="004D1E6F">
              <w:rPr>
                <w:rFonts w:ascii="Times New Roman" w:eastAsia="Arial" w:hAnsi="Times New Roman" w:cs="Times New Roman"/>
                <w:sz w:val="20"/>
                <w:szCs w:val="20"/>
              </w:rPr>
              <w:fldChar w:fldCharType="end"/>
            </w:r>
            <w:r w:rsidRPr="004D1E6F">
              <w:rPr>
                <w:rFonts w:ascii="Times New Roman" w:eastAsia="Arial" w:hAnsi="Times New Roman" w:cs="Times New Roman"/>
                <w:sz w:val="20"/>
                <w:szCs w:val="20"/>
              </w:rPr>
              <w:t>.</w:t>
            </w:r>
            <w:r w:rsidRPr="004D1E6F">
              <w:rPr>
                <w:rFonts w:ascii="Times New Roman" w:eastAsia="Calibri" w:hAnsi="Times New Roman" w:cs="Times New Roman"/>
                <w:sz w:val="20"/>
                <w:szCs w:val="20"/>
              </w:rPr>
              <w:t xml:space="preserve"> </w:t>
            </w:r>
            <w:r w:rsidRPr="004D1E6F">
              <w:rPr>
                <w:rFonts w:ascii="Times New Roman" w:eastAsia="Arial" w:hAnsi="Times New Roman" w:cs="Times New Roman"/>
                <w:sz w:val="20"/>
                <w:szCs w:val="20"/>
              </w:rPr>
              <w:t xml:space="preserve">There are no known naturalised populations, although, should </w:t>
            </w:r>
            <w:r w:rsidRPr="004D1E6F">
              <w:rPr>
                <w:rFonts w:ascii="Times New Roman" w:eastAsia="Arial" w:hAnsi="Times New Roman" w:cs="Times New Roman"/>
                <w:i/>
                <w:sz w:val="20"/>
                <w:szCs w:val="20"/>
              </w:rPr>
              <w:t>C. tenuimanus</w:t>
            </w:r>
            <w:r w:rsidRPr="004D1E6F">
              <w:rPr>
                <w:rFonts w:ascii="Times New Roman" w:eastAsia="Arial" w:hAnsi="Times New Roman" w:cs="Times New Roman"/>
                <w:sz w:val="20"/>
                <w:szCs w:val="20"/>
              </w:rPr>
              <w:t xml:space="preserve"> be present in South Africa, it is most likely confined to aquaculture facilities (Zengeya &amp; Wilson 2019).</w:t>
            </w:r>
            <w:r w:rsidRPr="004D1E6F">
              <w:rPr>
                <w:rFonts w:ascii="Times New Roman" w:eastAsia="Calibri" w:hAnsi="Times New Roman" w:cs="Times New Roman"/>
                <w:sz w:val="20"/>
                <w:szCs w:val="20"/>
              </w:rPr>
              <w:t xml:space="preserve"> In the event that </w:t>
            </w:r>
            <w:r w:rsidRPr="004D1E6F">
              <w:rPr>
                <w:rFonts w:ascii="Times New Roman" w:eastAsia="Arial" w:hAnsi="Times New Roman" w:cs="Times New Roman"/>
                <w:i/>
                <w:sz w:val="20"/>
                <w:szCs w:val="20"/>
              </w:rPr>
              <w:t>C. tenuimanus</w:t>
            </w:r>
            <w:r w:rsidRPr="004D1E6F">
              <w:rPr>
                <w:rFonts w:ascii="Times New Roman" w:eastAsia="Arial" w:hAnsi="Times New Roman" w:cs="Times New Roman"/>
                <w:sz w:val="20"/>
                <w:szCs w:val="20"/>
              </w:rPr>
              <w:t xml:space="preserve"> </w:t>
            </w:r>
            <w:r w:rsidRPr="004D1E6F">
              <w:rPr>
                <w:rFonts w:ascii="Times New Roman" w:eastAsia="Calibri" w:hAnsi="Times New Roman" w:cs="Times New Roman"/>
                <w:sz w:val="20"/>
                <w:szCs w:val="20"/>
              </w:rPr>
              <w:t>manages to escape from such facilities, it’s very unlikely that it will spread rapidly due to its low tolerance to a wide range of environmental conditions (Bryant &amp; Pappas 2007).</w:t>
            </w:r>
          </w:p>
        </w:tc>
      </w:tr>
      <w:tr w:rsidR="002D7080" w:rsidRPr="004D1E6F" w14:paraId="10024776" w14:textId="77777777" w:rsidTr="002E2C37">
        <w:trPr>
          <w:trHeight w:val="70"/>
        </w:trPr>
        <w:tc>
          <w:tcPr>
            <w:tcW w:w="9016" w:type="dxa"/>
            <w:gridSpan w:val="2"/>
          </w:tcPr>
          <w:p w14:paraId="1D95C49C" w14:textId="77777777" w:rsidR="002D7080" w:rsidRPr="004D1E6F" w:rsidRDefault="002D7080" w:rsidP="002E2C37">
            <w:pPr>
              <w:ind w:left="720" w:hanging="720"/>
              <w:rPr>
                <w:rFonts w:ascii="Times New Roman" w:eastAsia="Arial" w:hAnsi="Times New Roman" w:cs="Times New Roman"/>
                <w:sz w:val="20"/>
                <w:szCs w:val="20"/>
              </w:rPr>
            </w:pPr>
            <w:r w:rsidRPr="004D1E6F">
              <w:rPr>
                <w:rFonts w:ascii="Times New Roman" w:eastAsia="Arial" w:hAnsi="Times New Roman" w:cs="Times New Roman"/>
                <w:sz w:val="20"/>
                <w:szCs w:val="20"/>
              </w:rPr>
              <w:t>References:</w:t>
            </w:r>
          </w:p>
          <w:p w14:paraId="15A4685F" w14:textId="77777777" w:rsidR="002D7080" w:rsidRPr="004D1E6F" w:rsidRDefault="002D7080" w:rsidP="007F105A">
            <w:pPr>
              <w:ind w:left="720" w:hanging="720"/>
              <w:contextualSpacing/>
              <w:jc w:val="both"/>
              <w:rPr>
                <w:rFonts w:ascii="Times New Roman" w:eastAsia="Arial" w:hAnsi="Times New Roman" w:cs="Times New Roman"/>
                <w:sz w:val="20"/>
                <w:szCs w:val="20"/>
              </w:rPr>
            </w:pPr>
            <w:r w:rsidRPr="004D1E6F">
              <w:rPr>
                <w:rFonts w:ascii="Times New Roman" w:eastAsia="Arial" w:hAnsi="Times New Roman" w:cs="Times New Roman"/>
                <w:sz w:val="20"/>
                <w:szCs w:val="20"/>
              </w:rPr>
              <w:t xml:space="preserve">Avenant-Oldewage, A., 1993, ‘Occurrence of </w:t>
            </w:r>
            <w:r w:rsidRPr="004D1E6F">
              <w:rPr>
                <w:rFonts w:ascii="Times New Roman" w:eastAsia="Arial" w:hAnsi="Times New Roman" w:cs="Times New Roman"/>
                <w:i/>
                <w:sz w:val="20"/>
                <w:szCs w:val="20"/>
              </w:rPr>
              <w:t>Temnocephala chaeropsis</w:t>
            </w:r>
            <w:r w:rsidRPr="004D1E6F">
              <w:rPr>
                <w:rFonts w:ascii="Times New Roman" w:eastAsia="Arial" w:hAnsi="Times New Roman" w:cs="Times New Roman"/>
                <w:sz w:val="20"/>
                <w:szCs w:val="20"/>
              </w:rPr>
              <w:t xml:space="preserve"> on </w:t>
            </w:r>
            <w:r w:rsidRPr="004D1E6F">
              <w:rPr>
                <w:rFonts w:ascii="Times New Roman" w:eastAsia="Arial" w:hAnsi="Times New Roman" w:cs="Times New Roman"/>
                <w:i/>
                <w:sz w:val="20"/>
                <w:szCs w:val="20"/>
              </w:rPr>
              <w:t>Cherax tenuimanus</w:t>
            </w:r>
            <w:r w:rsidRPr="004D1E6F">
              <w:rPr>
                <w:rFonts w:ascii="Times New Roman" w:eastAsia="Arial" w:hAnsi="Times New Roman" w:cs="Times New Roman"/>
                <w:sz w:val="20"/>
                <w:szCs w:val="20"/>
              </w:rPr>
              <w:t xml:space="preserve"> imported into South Africa, and notes on its infestation of an indigenous crab’, </w:t>
            </w:r>
            <w:r w:rsidRPr="004D1E6F">
              <w:rPr>
                <w:rFonts w:ascii="Times New Roman" w:eastAsia="Arial" w:hAnsi="Times New Roman" w:cs="Times New Roman"/>
                <w:i/>
                <w:sz w:val="20"/>
                <w:szCs w:val="20"/>
              </w:rPr>
              <w:t>South African Journal of Science</w:t>
            </w:r>
            <w:r w:rsidRPr="004D1E6F">
              <w:rPr>
                <w:rFonts w:ascii="Times New Roman" w:eastAsia="Arial" w:hAnsi="Times New Roman" w:cs="Times New Roman"/>
                <w:sz w:val="20"/>
                <w:szCs w:val="20"/>
              </w:rPr>
              <w:t xml:space="preserve"> </w:t>
            </w:r>
            <w:r w:rsidRPr="004D1E6F">
              <w:rPr>
                <w:rFonts w:ascii="Times New Roman" w:eastAsia="Arial" w:hAnsi="Times New Roman" w:cs="Times New Roman"/>
                <w:bCs/>
                <w:sz w:val="20"/>
                <w:szCs w:val="20"/>
              </w:rPr>
              <w:t>89</w:t>
            </w:r>
            <w:r w:rsidRPr="004D1E6F">
              <w:rPr>
                <w:rFonts w:ascii="Times New Roman" w:eastAsia="Arial" w:hAnsi="Times New Roman" w:cs="Times New Roman"/>
                <w:sz w:val="20"/>
                <w:szCs w:val="20"/>
              </w:rPr>
              <w:t>, 427–428.</w:t>
            </w:r>
          </w:p>
          <w:p w14:paraId="5F44B3DD" w14:textId="77777777" w:rsidR="002D7080" w:rsidRPr="004D1E6F" w:rsidRDefault="002D7080" w:rsidP="007F105A">
            <w:pPr>
              <w:ind w:left="720" w:hanging="720"/>
              <w:contextualSpacing/>
              <w:jc w:val="both"/>
              <w:rPr>
                <w:rFonts w:ascii="Times New Roman" w:eastAsia="Arial" w:hAnsi="Times New Roman" w:cs="Times New Roman"/>
                <w:sz w:val="20"/>
                <w:szCs w:val="20"/>
              </w:rPr>
            </w:pPr>
            <w:r w:rsidRPr="004D1E6F">
              <w:rPr>
                <w:rFonts w:ascii="Times New Roman" w:eastAsia="Arial" w:hAnsi="Times New Roman" w:cs="Times New Roman"/>
                <w:sz w:val="20"/>
                <w:szCs w:val="20"/>
              </w:rPr>
              <w:t xml:space="preserve">Bryant, D. &amp; Papas, P., 2007, ‘Marron </w:t>
            </w:r>
            <w:r w:rsidRPr="004D1E6F">
              <w:rPr>
                <w:rFonts w:ascii="Times New Roman" w:eastAsia="Arial" w:hAnsi="Times New Roman" w:cs="Times New Roman"/>
                <w:i/>
                <w:iCs/>
                <w:sz w:val="20"/>
                <w:szCs w:val="20"/>
              </w:rPr>
              <w:t>Cherax cainii</w:t>
            </w:r>
            <w:r w:rsidRPr="004D1E6F">
              <w:rPr>
                <w:rFonts w:ascii="Times New Roman" w:eastAsia="Arial" w:hAnsi="Times New Roman" w:cs="Times New Roman"/>
                <w:sz w:val="20"/>
                <w:szCs w:val="20"/>
              </w:rPr>
              <w:t xml:space="preserve"> (Austin) in Victoria – a literature review’, Arthur Rylah Institute for Environmental Research Technical Report Series No. 167, Department of Sustainability and Environment, Heidelberg.</w:t>
            </w:r>
          </w:p>
          <w:p w14:paraId="69B51DB1" w14:textId="590B8FA0" w:rsidR="002D7080" w:rsidRPr="004D1E6F" w:rsidRDefault="008A0BC6" w:rsidP="007F105A">
            <w:pPr>
              <w:widowControl w:val="0"/>
              <w:ind w:left="720" w:hanging="720"/>
              <w:contextualSpacing/>
              <w:jc w:val="both"/>
              <w:rPr>
                <w:rFonts w:ascii="Times New Roman" w:eastAsia="Arial" w:hAnsi="Times New Roman" w:cs="Times New Roman"/>
                <w:sz w:val="20"/>
                <w:szCs w:val="20"/>
              </w:rPr>
            </w:pPr>
            <w:r>
              <w:rPr>
                <w:rFonts w:ascii="Times New Roman" w:eastAsia="Arial" w:hAnsi="Times New Roman" w:cs="Times New Roman"/>
                <w:sz w:val="20"/>
                <w:szCs w:val="20"/>
              </w:rPr>
              <w:lastRenderedPageBreak/>
              <w:t>De Moor</w:t>
            </w:r>
            <w:r w:rsidR="002D7080" w:rsidRPr="004D1E6F">
              <w:rPr>
                <w:rFonts w:ascii="Times New Roman" w:eastAsia="Arial" w:hAnsi="Times New Roman" w:cs="Times New Roman"/>
                <w:sz w:val="20"/>
                <w:szCs w:val="20"/>
              </w:rPr>
              <w:t xml:space="preserve">, I., 2002, ‘Potential impacts of alien freshwater crayfish in South Africa’, African Journal of Aquatic Science 27, 125-139, </w:t>
            </w:r>
            <w:hyperlink r:id="rId98" w:history="1">
              <w:r w:rsidR="00DD50DE" w:rsidRPr="00DD50DE">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Arial" w:hAnsi="Times New Roman" w:cs="Times New Roman"/>
                <w:sz w:val="20"/>
                <w:szCs w:val="20"/>
              </w:rPr>
              <w:t>.</w:t>
            </w:r>
          </w:p>
          <w:p w14:paraId="64410B88" w14:textId="09D0BAD2" w:rsidR="002D7080" w:rsidRPr="004D1E6F" w:rsidRDefault="002D7080" w:rsidP="007F105A">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Jackson, M.C., Grey, J., Miller, K., Britton,</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J.R. &amp; Donohue, I., 2016, ‘Dietary niche constriction when invaders meet natives: Evidence from freshwater decapods’, </w:t>
            </w:r>
            <w:r w:rsidRPr="004D1E6F">
              <w:rPr>
                <w:rFonts w:ascii="Times New Roman" w:eastAsia="Times New Roman" w:hAnsi="Times New Roman" w:cs="Times New Roman"/>
                <w:i/>
                <w:color w:val="000000"/>
                <w:sz w:val="20"/>
                <w:szCs w:val="20"/>
                <w:lang w:eastAsia="en-ZA"/>
              </w:rPr>
              <w:t>Journal of Animal Ecology</w:t>
            </w:r>
            <w:r w:rsidRPr="004D1E6F">
              <w:rPr>
                <w:rFonts w:ascii="Times New Roman" w:eastAsia="Times New Roman" w:hAnsi="Times New Roman" w:cs="Times New Roman"/>
                <w:color w:val="000000"/>
                <w:sz w:val="20"/>
                <w:szCs w:val="20"/>
                <w:lang w:eastAsia="en-ZA"/>
              </w:rPr>
              <w:t xml:space="preserve"> 85, 1098–1107, </w:t>
            </w:r>
            <w:hyperlink r:id="rId99" w:history="1">
              <w:r w:rsidR="006A623B" w:rsidRPr="00D66918">
                <w:rPr>
                  <w:rStyle w:val="Hyperlink"/>
                  <w:rFonts w:ascii="Times New Roman" w:eastAsia="Times New Roman" w:hAnsi="Times New Roman" w:cs="Times New Roman"/>
                  <w:sz w:val="20"/>
                  <w:szCs w:val="20"/>
                  <w:lang w:eastAsia="en-ZA"/>
                </w:rPr>
                <w:t>https://doi.org/10.1051/kmae:2005031</w:t>
              </w:r>
            </w:hyperlink>
            <w:r w:rsidR="006A623B" w:rsidRPr="006A623B">
              <w:rPr>
                <w:rFonts w:ascii="Times New Roman" w:eastAsia="Times New Roman" w:hAnsi="Times New Roman" w:cs="Times New Roman"/>
                <w:color w:val="000000"/>
                <w:sz w:val="20"/>
                <w:szCs w:val="20"/>
                <w:lang w:eastAsia="en-ZA"/>
              </w:rPr>
              <w:t>.</w:t>
            </w:r>
          </w:p>
          <w:p w14:paraId="2E644064" w14:textId="0E34912E" w:rsidR="002D7080" w:rsidRPr="004D1E6F" w:rsidRDefault="002D7080" w:rsidP="007F105A">
            <w:pPr>
              <w:ind w:left="720" w:hanging="720"/>
              <w:contextualSpacing/>
              <w:jc w:val="both"/>
              <w:rPr>
                <w:rFonts w:ascii="Times New Roman" w:eastAsia="Arial" w:hAnsi="Times New Roman" w:cs="Times New Roman"/>
                <w:sz w:val="20"/>
                <w:szCs w:val="20"/>
              </w:rPr>
            </w:pPr>
            <w:r w:rsidRPr="004D1E6F">
              <w:rPr>
                <w:rFonts w:ascii="Times New Roman" w:eastAsia="Arial" w:hAnsi="Times New Roman" w:cs="Times New Roman"/>
                <w:sz w:val="20"/>
                <w:szCs w:val="20"/>
              </w:rPr>
              <w:t xml:space="preserve">Lodge, D.M., Deines, A., Gherardi, F., Yeo, D.C.J., Arcella, T., Baldridge, A.K., Branes, M.A., Chadderton, W.L., Feder, J.L., Grantz, C.A., Howard, G.W., Jerdde, C.L., Peters, J.A., Sargent, L.W., Turner, C.R., Wittmann, M.E. &amp; Zeng, Y., 2012, ‘Global introductions of crayfishes: evaluating the impact of species invasions on ecosystem services’, </w:t>
            </w:r>
            <w:r w:rsidRPr="004D1E6F">
              <w:rPr>
                <w:rFonts w:ascii="Times New Roman" w:eastAsia="Arial" w:hAnsi="Times New Roman" w:cs="Times New Roman"/>
                <w:i/>
                <w:sz w:val="20"/>
                <w:szCs w:val="20"/>
              </w:rPr>
              <w:t>Annual Review of Ecology Evolution Systematics</w:t>
            </w:r>
            <w:r w:rsidRPr="004D1E6F">
              <w:rPr>
                <w:rFonts w:ascii="Times New Roman" w:eastAsia="Arial" w:hAnsi="Times New Roman" w:cs="Times New Roman"/>
                <w:sz w:val="20"/>
                <w:szCs w:val="20"/>
              </w:rPr>
              <w:t xml:space="preserve"> 43, 449-72, </w:t>
            </w:r>
            <w:r w:rsidR="006A623B" w:rsidRPr="000E56EC">
              <w:rPr>
                <w:rFonts w:ascii="Times New Roman" w:eastAsia="Times New Roman" w:hAnsi="Times New Roman" w:cs="Times New Roman"/>
                <w:color w:val="000000"/>
                <w:sz w:val="20"/>
                <w:szCs w:val="20"/>
                <w:lang w:eastAsia="en-ZA"/>
              </w:rPr>
              <w:t>, https://doi.org/10.1146/annurev-ecolsys-111511-103919</w:t>
            </w:r>
          </w:p>
          <w:p w14:paraId="570709F4" w14:textId="3B07018E" w:rsidR="002D7080" w:rsidRPr="004D1E6F" w:rsidRDefault="002D7080" w:rsidP="007F105A">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Tavakol, S., Luus-Powell, W.J., Smit, W.J., Baker, C., Hoffman, A. &amp; AlHalajian, A., 2016, ‘First introduction of two Australian Temnocephalan species into Africa with an alien host: Double Trouble’, </w:t>
            </w:r>
            <w:r w:rsidRPr="004D1E6F">
              <w:rPr>
                <w:rFonts w:ascii="Times New Roman" w:eastAsia="Times New Roman" w:hAnsi="Times New Roman" w:cs="Times New Roman"/>
                <w:i/>
                <w:sz w:val="20"/>
                <w:szCs w:val="20"/>
                <w:lang w:eastAsia="en-ZA"/>
              </w:rPr>
              <w:t>Journal of Parasitology</w:t>
            </w:r>
            <w:r w:rsidRPr="004D1E6F">
              <w:rPr>
                <w:rFonts w:ascii="Times New Roman" w:eastAsia="Times New Roman" w:hAnsi="Times New Roman" w:cs="Times New Roman"/>
                <w:sz w:val="20"/>
                <w:szCs w:val="20"/>
                <w:lang w:eastAsia="en-ZA"/>
              </w:rPr>
              <w:t xml:space="preserve"> 102, 653–658</w:t>
            </w:r>
            <w:r w:rsidR="006A623B">
              <w:rPr>
                <w:rFonts w:ascii="Times New Roman" w:eastAsia="Times New Roman" w:hAnsi="Times New Roman" w:cs="Times New Roman"/>
                <w:sz w:val="20"/>
                <w:szCs w:val="20"/>
                <w:lang w:eastAsia="en-ZA"/>
              </w:rPr>
              <w:t xml:space="preserve">. </w:t>
            </w:r>
          </w:p>
          <w:p w14:paraId="4415B660" w14:textId="77777777" w:rsidR="002D7080" w:rsidRPr="004D1E6F" w:rsidRDefault="002D7080" w:rsidP="007F105A">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Zengeya, T.A. &amp; Wilson, J.R., 2020, ‘The status of biological invasions and their management in South Africa in 2019’, South African National Biodiversity Institute, Kirstenbosch and DSI-NRF Centre of Excellence for Invasion Biology, Stellenbosch.</w:t>
            </w:r>
          </w:p>
        </w:tc>
      </w:tr>
    </w:tbl>
    <w:p w14:paraId="427C3164" w14:textId="77777777" w:rsidR="002D7080" w:rsidRPr="004D1E6F" w:rsidRDefault="002D7080" w:rsidP="002D7080">
      <w:pPr>
        <w:spacing w:after="0" w:line="240" w:lineRule="auto"/>
        <w:rPr>
          <w:rFonts w:ascii="Times New Roman" w:hAnsi="Times New Roman" w:cs="Times New Roman"/>
          <w:b/>
          <w:sz w:val="20"/>
          <w:szCs w:val="20"/>
        </w:rPr>
      </w:pPr>
    </w:p>
    <w:p w14:paraId="317F93A9"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4. Management</w:t>
      </w:r>
    </w:p>
    <w:p w14:paraId="06507511"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5AE12977" w14:textId="77777777" w:rsidTr="002E2C37">
        <w:trPr>
          <w:trHeight w:val="343"/>
        </w:trPr>
        <w:tc>
          <w:tcPr>
            <w:tcW w:w="9067" w:type="dxa"/>
            <w:gridSpan w:val="2"/>
            <w:shd w:val="clear" w:color="auto" w:fill="F2F2F2" w:themeFill="background1" w:themeFillShade="F2"/>
          </w:tcPr>
          <w:p w14:paraId="57A7C944"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MAN1 What is the feasibility to stop future immigration?</w:t>
            </w:r>
          </w:p>
        </w:tc>
      </w:tr>
      <w:tr w:rsidR="002D7080" w:rsidRPr="004D1E6F" w14:paraId="396C8779" w14:textId="77777777" w:rsidTr="002E2C37">
        <w:trPr>
          <w:trHeight w:val="172"/>
        </w:trPr>
        <w:tc>
          <w:tcPr>
            <w:tcW w:w="5240" w:type="dxa"/>
          </w:tcPr>
          <w:p w14:paraId="0B00AC6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Response: High </w:t>
            </w:r>
          </w:p>
        </w:tc>
        <w:tc>
          <w:tcPr>
            <w:tcW w:w="3827" w:type="dxa"/>
          </w:tcPr>
          <w:p w14:paraId="33E37E2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7CD1DA50" w14:textId="77777777" w:rsidTr="002E2C37">
        <w:trPr>
          <w:trHeight w:val="70"/>
        </w:trPr>
        <w:tc>
          <w:tcPr>
            <w:tcW w:w="9067" w:type="dxa"/>
            <w:gridSpan w:val="2"/>
          </w:tcPr>
          <w:p w14:paraId="139601DB" w14:textId="168455A0"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Arial" w:hAnsi="Times New Roman" w:cs="Times New Roman"/>
                <w:i/>
                <w:sz w:val="20"/>
                <w:szCs w:val="20"/>
              </w:rPr>
              <w:t>Cherax tenuimanus</w:t>
            </w:r>
            <w:r w:rsidRPr="004D1E6F">
              <w:rPr>
                <w:rFonts w:ascii="Times New Roman" w:eastAsia="Arial" w:hAnsi="Times New Roman" w:cs="Times New Roman"/>
                <w:sz w:val="20"/>
                <w:szCs w:val="20"/>
              </w:rPr>
              <w:t xml:space="preserve"> was purportedly introduced for aquaculture in South Africa but the identity of the introduced populations still needs to be verified. There are no known populations in neighbouring countries </w:t>
            </w:r>
            <w:r w:rsidRPr="004D1E6F">
              <w:rPr>
                <w:rFonts w:ascii="Times New Roman" w:eastAsia="Arial" w:hAnsi="Times New Roman" w:cs="Times New Roman"/>
                <w:sz w:val="20"/>
                <w:szCs w:val="20"/>
              </w:rPr>
              <w:fldChar w:fldCharType="begin" w:fldLock="1"/>
            </w:r>
            <w:r w:rsidRPr="004D1E6F">
              <w:rPr>
                <w:rFonts w:ascii="Times New Roman" w:eastAsia="Arial" w:hAnsi="Times New Roman" w:cs="Times New Roman"/>
                <w:sz w:val="20"/>
                <w:szCs w:val="20"/>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"plainTextFormattedCitation" : "(de Moor 2002, Nunes et al. 2017)" }, "properties" : { "noteIndex" : 0 }, "schema" : "https://github.com/citation-style-language/schema/raw/master/csl-citation.json" }</w:instrText>
            </w:r>
            <w:r w:rsidRPr="004D1E6F">
              <w:rPr>
                <w:rFonts w:ascii="Times New Roman" w:eastAsia="Arial" w:hAnsi="Times New Roman" w:cs="Times New Roman"/>
                <w:sz w:val="20"/>
                <w:szCs w:val="20"/>
              </w:rPr>
              <w:fldChar w:fldCharType="separate"/>
            </w:r>
            <w:r w:rsidRPr="004D1E6F">
              <w:rPr>
                <w:rFonts w:ascii="Times New Roman" w:eastAsia="Arial" w:hAnsi="Times New Roman" w:cs="Times New Roman"/>
                <w:sz w:val="20"/>
                <w:szCs w:val="20"/>
              </w:rPr>
              <w:t xml:space="preserve">(Burgess 2007; </w:t>
            </w:r>
            <w:r w:rsidR="008A0BC6">
              <w:rPr>
                <w:rFonts w:ascii="Times New Roman" w:eastAsia="Arial" w:hAnsi="Times New Roman" w:cs="Times New Roman"/>
                <w:sz w:val="20"/>
                <w:szCs w:val="20"/>
              </w:rPr>
              <w:t>De Moor</w:t>
            </w:r>
            <w:r w:rsidRPr="004D1E6F">
              <w:rPr>
                <w:rFonts w:ascii="Times New Roman" w:eastAsia="Arial" w:hAnsi="Times New Roman" w:cs="Times New Roman"/>
                <w:sz w:val="20"/>
                <w:szCs w:val="20"/>
              </w:rPr>
              <w:t xml:space="preserve"> 2002; Nunes et al. 2017)</w:t>
            </w:r>
            <w:r w:rsidRPr="004D1E6F">
              <w:rPr>
                <w:rFonts w:ascii="Times New Roman" w:eastAsia="Arial" w:hAnsi="Times New Roman" w:cs="Times New Roman"/>
                <w:sz w:val="20"/>
                <w:szCs w:val="20"/>
              </w:rPr>
              <w:fldChar w:fldCharType="end"/>
            </w:r>
            <w:r w:rsidRPr="004D1E6F">
              <w:rPr>
                <w:rFonts w:ascii="Times New Roman" w:eastAsia="Arial" w:hAnsi="Times New Roman" w:cs="Times New Roman"/>
                <w:sz w:val="20"/>
                <w:szCs w:val="20"/>
              </w:rPr>
              <w:t xml:space="preserve">. However, if </w:t>
            </w:r>
            <w:r w:rsidRPr="004D1E6F">
              <w:rPr>
                <w:rFonts w:ascii="Times New Roman" w:eastAsia="Arial" w:hAnsi="Times New Roman" w:cs="Times New Roman"/>
                <w:i/>
                <w:sz w:val="20"/>
                <w:szCs w:val="20"/>
              </w:rPr>
              <w:t>C. tenuimanus</w:t>
            </w:r>
            <w:r w:rsidRPr="004D1E6F">
              <w:rPr>
                <w:rFonts w:ascii="Times New Roman" w:eastAsia="Arial" w:hAnsi="Times New Roman" w:cs="Times New Roman"/>
                <w:sz w:val="20"/>
                <w:szCs w:val="20"/>
              </w:rPr>
              <w:t xml:space="preserve"> were in neighbouring countries it would be difficult to stop natural dispersal </w:t>
            </w:r>
            <w:r w:rsidRPr="004D1E6F">
              <w:rPr>
                <w:rFonts w:ascii="Times New Roman" w:eastAsia="Arial" w:hAnsi="Times New Roman" w:cs="Times New Roman"/>
                <w:sz w:val="20"/>
                <w:szCs w:val="20"/>
              </w:rPr>
              <w:fldChar w:fldCharType="begin" w:fldLock="1"/>
            </w:r>
            <w:r w:rsidRPr="004D1E6F">
              <w:rPr>
                <w:rFonts w:ascii="Times New Roman" w:eastAsia="Arial" w:hAnsi="Times New Roman" w:cs="Times New Roman"/>
                <w:sz w:val="20"/>
                <w:szCs w:val="20"/>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"mendeley" : { "formattedCitation" : "(Nunes et al. 2017)", "plainTextFormattedCitation" : "(Nunes et al. 2017)", "previouslyFormattedCitation" : "(Nunes et al. 2017)" }, "properties" : { "noteIndex" : 0 }, "schema" : "https://github.com/citation-style-language/schema/raw/master/csl-citation.json" }</w:instrText>
            </w:r>
            <w:r w:rsidRPr="004D1E6F">
              <w:rPr>
                <w:rFonts w:ascii="Times New Roman" w:eastAsia="Arial" w:hAnsi="Times New Roman" w:cs="Times New Roman"/>
                <w:sz w:val="20"/>
                <w:szCs w:val="20"/>
              </w:rPr>
              <w:fldChar w:fldCharType="separate"/>
            </w:r>
            <w:r w:rsidRPr="004D1E6F">
              <w:rPr>
                <w:rFonts w:ascii="Times New Roman" w:eastAsia="Arial" w:hAnsi="Times New Roman" w:cs="Times New Roman"/>
                <w:sz w:val="20"/>
                <w:szCs w:val="20"/>
              </w:rPr>
              <w:t>(Nunes et al. 2017)</w:t>
            </w:r>
            <w:r w:rsidRPr="004D1E6F">
              <w:rPr>
                <w:rFonts w:ascii="Times New Roman" w:eastAsia="Arial" w:hAnsi="Times New Roman" w:cs="Times New Roman"/>
                <w:sz w:val="20"/>
                <w:szCs w:val="20"/>
              </w:rPr>
              <w:fldChar w:fldCharType="end"/>
            </w:r>
            <w:r w:rsidRPr="004D1E6F">
              <w:rPr>
                <w:rFonts w:ascii="Times New Roman" w:eastAsia="Arial" w:hAnsi="Times New Roman" w:cs="Times New Roman"/>
                <w:sz w:val="20"/>
                <w:szCs w:val="20"/>
              </w:rPr>
              <w:t>.</w:t>
            </w:r>
          </w:p>
        </w:tc>
      </w:tr>
      <w:tr w:rsidR="002D7080" w:rsidRPr="004D1E6F" w14:paraId="5AEE382D" w14:textId="77777777" w:rsidTr="002E2C37">
        <w:trPr>
          <w:trHeight w:val="108"/>
        </w:trPr>
        <w:tc>
          <w:tcPr>
            <w:tcW w:w="9067" w:type="dxa"/>
            <w:gridSpan w:val="2"/>
          </w:tcPr>
          <w:p w14:paraId="19B13244" w14:textId="77777777" w:rsidR="002D7080" w:rsidRPr="004D1E6F" w:rsidRDefault="002D7080" w:rsidP="002E2C37">
            <w:pPr>
              <w:ind w:left="720" w:hanging="72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3DE21047" w14:textId="77777777" w:rsidR="002D7080" w:rsidRPr="004D1E6F" w:rsidRDefault="002D7080" w:rsidP="007F105A">
            <w:pPr>
              <w:ind w:left="720" w:hanging="720"/>
              <w:contextualSpacing/>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Burgess, M., 2007, ‘Pioneers of SA marron production’, Farmer's Weekly Magazine, from http://www.farmersweekly.co.za/article.aspx?id=520&amp;h=Pioneers-of-SA-marron-production</w:t>
            </w:r>
          </w:p>
          <w:p w14:paraId="249748C3" w14:textId="16D36AA6" w:rsidR="002D7080" w:rsidRPr="004D1E6F" w:rsidRDefault="008A0BC6" w:rsidP="007F105A">
            <w:pPr>
              <w:widowControl w:val="0"/>
              <w:ind w:left="720" w:hanging="720"/>
              <w:contextualSpacing/>
              <w:jc w:val="both"/>
              <w:rPr>
                <w:rFonts w:ascii="Times New Roman" w:eastAsia="Arial" w:hAnsi="Times New Roman" w:cs="Times New Roman"/>
                <w:sz w:val="20"/>
                <w:szCs w:val="20"/>
              </w:rPr>
            </w:pPr>
            <w:r>
              <w:rPr>
                <w:rFonts w:ascii="Times New Roman" w:eastAsia="Arial" w:hAnsi="Times New Roman" w:cs="Times New Roman"/>
                <w:sz w:val="20"/>
                <w:szCs w:val="20"/>
              </w:rPr>
              <w:t>De Moor</w:t>
            </w:r>
            <w:r w:rsidR="002D7080" w:rsidRPr="004D1E6F">
              <w:rPr>
                <w:rFonts w:ascii="Times New Roman" w:eastAsia="Arial" w:hAnsi="Times New Roman" w:cs="Times New Roman"/>
                <w:sz w:val="20"/>
                <w:szCs w:val="20"/>
              </w:rPr>
              <w:t xml:space="preserve">, I., 2002, ‘Potential impacts of alien freshwater crayfish in South Africa’, </w:t>
            </w:r>
            <w:r w:rsidR="002D7080" w:rsidRPr="004D1E6F">
              <w:rPr>
                <w:rFonts w:ascii="Times New Roman" w:eastAsia="Arial" w:hAnsi="Times New Roman" w:cs="Times New Roman"/>
                <w:i/>
                <w:sz w:val="20"/>
                <w:szCs w:val="20"/>
              </w:rPr>
              <w:t>African Journal of Aquatic Science</w:t>
            </w:r>
            <w:r w:rsidR="002D7080" w:rsidRPr="004D1E6F">
              <w:rPr>
                <w:rFonts w:ascii="Times New Roman" w:eastAsia="Arial" w:hAnsi="Times New Roman" w:cs="Times New Roman"/>
                <w:sz w:val="20"/>
                <w:szCs w:val="20"/>
              </w:rPr>
              <w:t xml:space="preserve"> 27, 125-139, </w:t>
            </w:r>
            <w:r w:rsidR="006A623B" w:rsidRPr="00D66918">
              <w:rPr>
                <w:rFonts w:ascii="Times New Roman" w:eastAsia="Times New Roman" w:hAnsi="Times New Roman" w:cs="Times New Roman"/>
                <w:sz w:val="20"/>
                <w:szCs w:val="20"/>
                <w:lang w:eastAsia="en-ZA"/>
              </w:rPr>
              <w:t xml:space="preserve">, </w:t>
            </w:r>
            <w:hyperlink r:id="rId100" w:history="1">
              <w:r w:rsidR="006A623B" w:rsidRPr="00D66918">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Arial" w:hAnsi="Times New Roman" w:cs="Times New Roman"/>
                <w:sz w:val="20"/>
                <w:szCs w:val="20"/>
              </w:rPr>
              <w:t>.</w:t>
            </w:r>
          </w:p>
          <w:p w14:paraId="5ACF39EE" w14:textId="23A6E289" w:rsidR="002D7080" w:rsidRPr="004D1E6F" w:rsidRDefault="002D7080" w:rsidP="007F105A">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 xml:space="preserve">Nunes, A.L., Zengeya, T.A., Measey, G.J. &amp; Weyl, O.L.F., 2017, ‘Freshwater crayfish invasions in South Africa: past, present and potential future’, </w:t>
            </w:r>
            <w:r w:rsidRPr="004D1E6F">
              <w:rPr>
                <w:rFonts w:ascii="Times New Roman" w:eastAsia="Arial" w:hAnsi="Times New Roman" w:cs="Times New Roman"/>
                <w:i/>
                <w:sz w:val="20"/>
                <w:szCs w:val="20"/>
              </w:rPr>
              <w:t>African Journal of Aquatic Science</w:t>
            </w:r>
            <w:r w:rsidRPr="004D1E6F">
              <w:rPr>
                <w:rFonts w:ascii="Times New Roman" w:eastAsia="Arial" w:hAnsi="Times New Roman" w:cs="Times New Roman"/>
                <w:sz w:val="20"/>
                <w:szCs w:val="20"/>
              </w:rPr>
              <w:t xml:space="preserve"> 42, 309-323, </w:t>
            </w:r>
            <w:hyperlink r:id="rId101" w:history="1">
              <w:r w:rsidR="006A623B" w:rsidRPr="006A623B">
                <w:rPr>
                  <w:rStyle w:val="Hyperlink"/>
                  <w:rFonts w:ascii="Times New Roman" w:eastAsia="Times New Roman" w:hAnsi="Times New Roman" w:cs="Times New Roman"/>
                  <w:sz w:val="20"/>
                  <w:szCs w:val="20"/>
                  <w:lang w:eastAsia="en-ZA"/>
                </w:rPr>
                <w:t>https://doi.org/10.2989/16085914.2017.1405788</w:t>
              </w:r>
            </w:hyperlink>
          </w:p>
        </w:tc>
      </w:tr>
    </w:tbl>
    <w:p w14:paraId="7FEDF295"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5E96CF36" w14:textId="77777777" w:rsidTr="002E2C37">
        <w:trPr>
          <w:trHeight w:val="343"/>
        </w:trPr>
        <w:tc>
          <w:tcPr>
            <w:tcW w:w="9067" w:type="dxa"/>
            <w:gridSpan w:val="2"/>
            <w:shd w:val="clear" w:color="auto" w:fill="F2F2F2" w:themeFill="background1" w:themeFillShade="F2"/>
          </w:tcPr>
          <w:p w14:paraId="66802EF8"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MAN2 Benefits of the Taxon</w:t>
            </w:r>
          </w:p>
        </w:tc>
      </w:tr>
      <w:tr w:rsidR="002D7080" w:rsidRPr="004D1E6F" w14:paraId="1BE0757A" w14:textId="77777777" w:rsidTr="002E2C37">
        <w:trPr>
          <w:trHeight w:val="343"/>
        </w:trPr>
        <w:tc>
          <w:tcPr>
            <w:tcW w:w="9067" w:type="dxa"/>
            <w:gridSpan w:val="2"/>
            <w:shd w:val="clear" w:color="auto" w:fill="F2F2F2" w:themeFill="background1" w:themeFillShade="F2"/>
          </w:tcPr>
          <w:p w14:paraId="5A9832C4"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MAN2a Socio-economic benefits of the </w:t>
            </w:r>
            <w:r w:rsidRPr="004D1E6F">
              <w:rPr>
                <w:rFonts w:ascii="Times New Roman" w:eastAsia="Times New Roman" w:hAnsi="Times New Roman" w:cs="Times New Roman"/>
                <w:b/>
                <w:i/>
                <w:sz w:val="20"/>
                <w:szCs w:val="20"/>
                <w:lang w:eastAsia="en-ZA"/>
              </w:rPr>
              <w:t>Taxon</w:t>
            </w:r>
          </w:p>
        </w:tc>
      </w:tr>
      <w:tr w:rsidR="002D7080" w:rsidRPr="004D1E6F" w14:paraId="0055D4B3" w14:textId="77777777" w:rsidTr="002E2C37">
        <w:trPr>
          <w:trHeight w:val="172"/>
        </w:trPr>
        <w:tc>
          <w:tcPr>
            <w:tcW w:w="5240" w:type="dxa"/>
          </w:tcPr>
          <w:p w14:paraId="0D078ED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Response: High</w:t>
            </w:r>
          </w:p>
        </w:tc>
        <w:tc>
          <w:tcPr>
            <w:tcW w:w="3827" w:type="dxa"/>
          </w:tcPr>
          <w:p w14:paraId="7600309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Confidence: Low</w:t>
            </w:r>
          </w:p>
        </w:tc>
      </w:tr>
      <w:tr w:rsidR="002D7080" w:rsidRPr="004D1E6F" w14:paraId="2397C4EB" w14:textId="77777777" w:rsidTr="002E2C37">
        <w:trPr>
          <w:trHeight w:val="70"/>
        </w:trPr>
        <w:tc>
          <w:tcPr>
            <w:tcW w:w="9067" w:type="dxa"/>
            <w:gridSpan w:val="2"/>
          </w:tcPr>
          <w:p w14:paraId="77CD8C9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Rationale:</w:t>
            </w:r>
            <w:r w:rsidRPr="004D1E6F">
              <w:rPr>
                <w:rFonts w:ascii="Times New Roman" w:eastAsia="Times New Roman" w:hAnsi="Times New Roman" w:cs="Times New Roman"/>
                <w:color w:val="000000"/>
                <w:sz w:val="20"/>
                <w:szCs w:val="20"/>
                <w:lang w:eastAsia="en-ZA"/>
              </w:rPr>
              <w:t xml:space="preserve"> Production of crayfish in South Africa has had mixed success because of several challenges that have been encountered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"mendeley" : { "formattedCitation" : "(Nunes et al. 2017)", "plainTextFormattedCitation" : "(Nunes et al. 2017)", "previouslyFormattedCitation" : "(Nunes et al. 2017)"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(Nunes et al. 2017)</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As a result, marron aquaculture is now restricted to a few small scale aquaculture farms in the Eastern Cape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"mendeley" : { "formattedCitation" : "(Madzivanzira et al. 2020)", "plainTextFormattedCitation" : "(Madzivanzira et al. 2020)", "previouslyFormattedCitation" : "(Madzivanzira et al. 2020)"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(Hinrichsen, 2019)</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Levels of production are small. Tonnes live weight produced of ‘smooth marron’ (presumably </w:t>
            </w:r>
            <w:r w:rsidRPr="004D1E6F">
              <w:rPr>
                <w:rFonts w:ascii="Times New Roman" w:eastAsia="Times New Roman" w:hAnsi="Times New Roman" w:cs="Times New Roman"/>
                <w:i/>
                <w:iCs/>
                <w:color w:val="000000"/>
                <w:sz w:val="20"/>
                <w:szCs w:val="20"/>
                <w:lang w:eastAsia="en-ZA"/>
              </w:rPr>
              <w:t>C. cainii</w:t>
            </w:r>
            <w:r w:rsidRPr="004D1E6F">
              <w:rPr>
                <w:rFonts w:ascii="Times New Roman" w:eastAsia="Times New Roman" w:hAnsi="Times New Roman" w:cs="Times New Roman"/>
                <w:color w:val="000000"/>
                <w:sz w:val="20"/>
                <w:szCs w:val="20"/>
                <w:lang w:eastAsia="en-ZA"/>
              </w:rPr>
              <w:t xml:space="preserve">): 4 in 2018; 7 in 2017; 4 in 2016; and 4 in 2015 (FAO, 2022). Nine research permits have been issued for work on </w:t>
            </w:r>
            <w:r w:rsidRPr="004D1E6F">
              <w:rPr>
                <w:rFonts w:ascii="Times New Roman" w:hAnsi="Times New Roman" w:cs="Times New Roman"/>
                <w:i/>
                <w:sz w:val="20"/>
                <w:szCs w:val="20"/>
              </w:rPr>
              <w:t>C. cainii</w:t>
            </w:r>
            <w:r w:rsidRPr="004D1E6F">
              <w:rPr>
                <w:rFonts w:ascii="Times New Roman" w:hAnsi="Times New Roman" w:cs="Times New Roman"/>
                <w:iCs/>
                <w:sz w:val="20"/>
                <w:szCs w:val="20"/>
              </w:rPr>
              <w:t xml:space="preserve"> in South Africa as of December 2020, and two research and twenty other permits </w:t>
            </w:r>
            <w:r w:rsidRPr="004D1E6F">
              <w:rPr>
                <w:rFonts w:ascii="Times New Roman" w:eastAsia="Times New Roman" w:hAnsi="Times New Roman" w:cs="Times New Roman"/>
                <w:color w:val="000000"/>
                <w:sz w:val="20"/>
                <w:szCs w:val="20"/>
                <w:lang w:eastAsia="en-ZA"/>
              </w:rPr>
              <w:t xml:space="preserve">have been issued for </w:t>
            </w:r>
            <w:r w:rsidRPr="004D1E6F">
              <w:rPr>
                <w:rFonts w:ascii="Times New Roman" w:eastAsia="Times New Roman" w:hAnsi="Times New Roman" w:cs="Times New Roman"/>
                <w:i/>
                <w:iCs/>
                <w:color w:val="000000"/>
                <w:sz w:val="20"/>
                <w:szCs w:val="20"/>
                <w:lang w:eastAsia="en-ZA"/>
              </w:rPr>
              <w:t>C. tenuimanus</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(SANBI, unpublished).</w:t>
            </w:r>
          </w:p>
        </w:tc>
      </w:tr>
      <w:tr w:rsidR="002D7080" w:rsidRPr="004D1E6F" w14:paraId="72BE030C" w14:textId="77777777" w:rsidTr="002E2C37">
        <w:trPr>
          <w:trHeight w:val="70"/>
        </w:trPr>
        <w:tc>
          <w:tcPr>
            <w:tcW w:w="9067" w:type="dxa"/>
            <w:gridSpan w:val="2"/>
          </w:tcPr>
          <w:p w14:paraId="106A2C7D" w14:textId="77777777" w:rsidR="002D7080" w:rsidRPr="004D1E6F" w:rsidRDefault="002D7080" w:rsidP="007F105A">
            <w:pPr>
              <w:ind w:left="720" w:hanging="720"/>
              <w:contextualSpacing/>
              <w:jc w:val="both"/>
              <w:rPr>
                <w:rFonts w:ascii="Times New Roman" w:eastAsia="Arial" w:hAnsi="Times New Roman" w:cs="Times New Roman"/>
                <w:sz w:val="20"/>
                <w:szCs w:val="20"/>
              </w:rPr>
            </w:pPr>
            <w:r w:rsidRPr="004D1E6F">
              <w:rPr>
                <w:rFonts w:ascii="Times New Roman" w:eastAsia="Arial" w:hAnsi="Times New Roman" w:cs="Times New Roman"/>
                <w:sz w:val="20"/>
                <w:szCs w:val="20"/>
              </w:rPr>
              <w:t>References:</w:t>
            </w:r>
          </w:p>
          <w:p w14:paraId="543964F7" w14:textId="77777777" w:rsidR="002D7080" w:rsidRPr="004D1E6F" w:rsidRDefault="002D7080" w:rsidP="007F105A">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FAO, 2022, ‘Global Aquaculture Production Quantity (1950–2019)’. Fisheries and Aquaculture Division [online]. Rome. [Cited Tuesday, March 22nd 2022]. </w:t>
            </w:r>
            <w:hyperlink w:history="1">
              <w:r w:rsidRPr="004D1E6F">
                <w:rPr>
                  <w:rStyle w:val="Hyperlink"/>
                  <w:rFonts w:ascii="Times New Roman" w:eastAsia="Times New Roman" w:hAnsi="Times New Roman" w:cs="Times New Roman"/>
                  <w:sz w:val="20"/>
                  <w:szCs w:val="20"/>
                  <w:lang w:eastAsia="en-ZA"/>
                </w:rPr>
                <w:t>https://www.fao.org/fishery/en/collection/aquaculture?lang=en</w:t>
              </w:r>
            </w:hyperlink>
          </w:p>
          <w:p w14:paraId="38E3425B" w14:textId="77777777" w:rsidR="002D7080" w:rsidRPr="004D1E6F" w:rsidRDefault="002D7080" w:rsidP="007F105A">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Hinrichsen, E. 2019. Biodiversity risk and benefit assessment for Smooth Marron (</w:t>
            </w:r>
            <w:r w:rsidRPr="004D1E6F">
              <w:rPr>
                <w:rFonts w:ascii="Times New Roman" w:eastAsia="Times New Roman" w:hAnsi="Times New Roman" w:cs="Times New Roman"/>
                <w:i/>
                <w:sz w:val="20"/>
                <w:szCs w:val="20"/>
                <w:lang w:eastAsia="en-ZA"/>
              </w:rPr>
              <w:t>Cherax cainii</w:t>
            </w:r>
            <w:r w:rsidRPr="004D1E6F">
              <w:rPr>
                <w:rFonts w:ascii="Times New Roman" w:eastAsia="Times New Roman" w:hAnsi="Times New Roman" w:cs="Times New Roman"/>
                <w:sz w:val="20"/>
                <w:szCs w:val="20"/>
                <w:lang w:eastAsia="en-ZA"/>
              </w:rPr>
              <w:t>) and Hairy Marron (</w:t>
            </w:r>
            <w:r w:rsidRPr="004D1E6F">
              <w:rPr>
                <w:rFonts w:ascii="Times New Roman" w:eastAsia="Times New Roman" w:hAnsi="Times New Roman" w:cs="Times New Roman"/>
                <w:i/>
                <w:sz w:val="20"/>
                <w:szCs w:val="20"/>
                <w:lang w:eastAsia="en-ZA"/>
              </w:rPr>
              <w:t>Cherax tenuimanus</w:t>
            </w:r>
            <w:r w:rsidRPr="004D1E6F">
              <w:rPr>
                <w:rFonts w:ascii="Times New Roman" w:eastAsia="Times New Roman" w:hAnsi="Times New Roman" w:cs="Times New Roman"/>
                <w:sz w:val="20"/>
                <w:szCs w:val="20"/>
                <w:lang w:eastAsia="en-ZA"/>
              </w:rPr>
              <w:t xml:space="preserve">) in South Africa. Report prepared for the Department of Environment, Forestry and Fisheries. Appendix C – 1.5 BRBA. 79pp. </w:t>
            </w:r>
          </w:p>
          <w:p w14:paraId="14DC8E9B" w14:textId="1F8BC4CD" w:rsidR="006A623B" w:rsidRDefault="002D7080" w:rsidP="007F105A">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Calibri" w:hAnsi="Times New Roman" w:cs="Times New Roman"/>
                <w:sz w:val="20"/>
                <w:szCs w:val="20"/>
              </w:rPr>
              <w:t>Madzivanzira, T.C., South, J., Wood, L.E., Nunes, A.L.</w:t>
            </w:r>
            <w:r w:rsidRPr="004D1E6F">
              <w:rPr>
                <w:rFonts w:ascii="Times New Roman" w:eastAsia="Times New Roman" w:hAnsi="Times New Roman" w:cs="Times New Roman"/>
                <w:color w:val="000000"/>
                <w:sz w:val="20"/>
                <w:szCs w:val="20"/>
                <w:lang w:eastAsia="en-ZA"/>
              </w:rPr>
              <w:t xml:space="preserve"> &amp; </w:t>
            </w:r>
            <w:r w:rsidRPr="004D1E6F">
              <w:rPr>
                <w:rFonts w:ascii="Times New Roman" w:eastAsia="Calibri" w:hAnsi="Times New Roman" w:cs="Times New Roman"/>
                <w:sz w:val="20"/>
                <w:szCs w:val="20"/>
              </w:rPr>
              <w:t xml:space="preserve">Weyl, O.L.F., 2020, ‘A review of freshwater crayfish introductions in Africa’, </w:t>
            </w:r>
            <w:r w:rsidRPr="004D1E6F">
              <w:rPr>
                <w:rFonts w:ascii="Times New Roman" w:eastAsia="Calibri" w:hAnsi="Times New Roman" w:cs="Times New Roman"/>
                <w:i/>
                <w:sz w:val="20"/>
                <w:szCs w:val="20"/>
              </w:rPr>
              <w:t>Reviews in</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Calibri" w:hAnsi="Times New Roman" w:cs="Times New Roman"/>
                <w:i/>
                <w:sz w:val="20"/>
                <w:szCs w:val="20"/>
              </w:rPr>
              <w:t>Fisheries Science &amp; Aquaculture</w:t>
            </w:r>
            <w:r w:rsidRPr="004D1E6F">
              <w:rPr>
                <w:rFonts w:ascii="Times New Roman" w:eastAsia="Calibri" w:hAnsi="Times New Roman" w:cs="Times New Roman"/>
                <w:sz w:val="20"/>
                <w:szCs w:val="20"/>
              </w:rPr>
              <w:t>,</w:t>
            </w:r>
            <w:r w:rsidRPr="004D1E6F">
              <w:rPr>
                <w:rFonts w:ascii="Times New Roman" w:eastAsia="Calibri" w:hAnsi="Times New Roman" w:cs="Times New Roman"/>
                <w:i/>
                <w:sz w:val="20"/>
                <w:szCs w:val="20"/>
              </w:rPr>
              <w:t xml:space="preserve"> </w:t>
            </w:r>
            <w:r w:rsidRPr="004D1E6F">
              <w:rPr>
                <w:rFonts w:ascii="Times New Roman" w:eastAsia="Calibri" w:hAnsi="Times New Roman" w:cs="Times New Roman"/>
                <w:sz w:val="20"/>
                <w:szCs w:val="20"/>
              </w:rPr>
              <w:t>1-21</w:t>
            </w:r>
            <w:r w:rsidR="006A623B" w:rsidRPr="00D66918">
              <w:rPr>
                <w:rFonts w:ascii="Times New Roman" w:eastAsia="Times New Roman" w:hAnsi="Times New Roman" w:cs="Times New Roman"/>
                <w:color w:val="000000"/>
                <w:sz w:val="20"/>
                <w:szCs w:val="20"/>
                <w:lang w:eastAsia="en-ZA"/>
              </w:rPr>
              <w:t xml:space="preserve"> </w:t>
            </w:r>
            <w:r w:rsidR="006A623B" w:rsidRPr="00D66918">
              <w:rPr>
                <w:rFonts w:ascii="Times New Roman" w:eastAsia="Calibri" w:hAnsi="Times New Roman" w:cs="Times New Roman"/>
                <w:sz w:val="20"/>
                <w:szCs w:val="20"/>
              </w:rPr>
              <w:t>https://doi.org/10.1080/23308249.2020.1802405</w:t>
            </w:r>
          </w:p>
          <w:p w14:paraId="3E3DD34F" w14:textId="778507A8" w:rsidR="006A623B" w:rsidRDefault="002D7080" w:rsidP="007F105A">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w:t>
            </w:r>
            <w:r w:rsidR="006A623B">
              <w:rPr>
                <w:rFonts w:ascii="Times New Roman" w:eastAsia="Times New Roman" w:hAnsi="Times New Roman" w:cs="Times New Roman"/>
                <w:sz w:val="20"/>
                <w:szCs w:val="20"/>
                <w:lang w:eastAsia="en-ZA"/>
              </w:rPr>
              <w:t xml:space="preserve">, </w:t>
            </w:r>
            <w:hyperlink r:id="rId102" w:history="1">
              <w:r w:rsidR="006A623B" w:rsidRPr="006A623B">
                <w:rPr>
                  <w:rStyle w:val="Hyperlink"/>
                  <w:rFonts w:ascii="Times New Roman" w:eastAsia="Times New Roman" w:hAnsi="Times New Roman" w:cs="Times New Roman"/>
                  <w:sz w:val="20"/>
                  <w:szCs w:val="20"/>
                  <w:lang w:eastAsia="en-ZA"/>
                </w:rPr>
                <w:t>https://doi.org/10.2989/16085914.2017.1405788</w:t>
              </w:r>
            </w:hyperlink>
          </w:p>
          <w:p w14:paraId="077370E0" w14:textId="01DE0A4D" w:rsidR="002D7080" w:rsidRPr="004D1E6F" w:rsidRDefault="002D7080" w:rsidP="007F105A">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SANBI (unpublished) Permits issued in respect of South Africa's National Environmental Management: Biodiversity Act's Alien and Invasive Species Regulations over the period October 2014 – December 2020. doi: 10.5281/zenodo.5101758</w:t>
            </w:r>
          </w:p>
        </w:tc>
      </w:tr>
      <w:tr w:rsidR="002D7080" w:rsidRPr="004D1E6F" w14:paraId="3C84205B" w14:textId="77777777" w:rsidTr="002E2C37">
        <w:trPr>
          <w:trHeight w:val="343"/>
        </w:trPr>
        <w:tc>
          <w:tcPr>
            <w:tcW w:w="9067" w:type="dxa"/>
            <w:gridSpan w:val="2"/>
            <w:shd w:val="clear" w:color="auto" w:fill="F2F2F2" w:themeFill="background1" w:themeFillShade="F2"/>
          </w:tcPr>
          <w:p w14:paraId="7E87D85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lastRenderedPageBreak/>
              <w:t xml:space="preserve">MAN2b Environmental benefits of the </w:t>
            </w:r>
            <w:r w:rsidRPr="004D1E6F">
              <w:rPr>
                <w:rFonts w:ascii="Times New Roman" w:eastAsia="Times New Roman" w:hAnsi="Times New Roman" w:cs="Times New Roman"/>
                <w:b/>
                <w:i/>
                <w:sz w:val="20"/>
                <w:szCs w:val="20"/>
                <w:lang w:eastAsia="en-ZA"/>
              </w:rPr>
              <w:t>Taxon</w:t>
            </w:r>
          </w:p>
        </w:tc>
      </w:tr>
      <w:tr w:rsidR="002D7080" w:rsidRPr="004D1E6F" w14:paraId="24D2D397" w14:textId="77777777" w:rsidTr="002E2C37">
        <w:trPr>
          <w:trHeight w:val="259"/>
        </w:trPr>
        <w:tc>
          <w:tcPr>
            <w:tcW w:w="5240" w:type="dxa"/>
          </w:tcPr>
          <w:p w14:paraId="33DA224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Response: None</w:t>
            </w:r>
          </w:p>
        </w:tc>
        <w:tc>
          <w:tcPr>
            <w:tcW w:w="3827" w:type="dxa"/>
          </w:tcPr>
          <w:p w14:paraId="52626BE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Confidence: Medium</w:t>
            </w:r>
          </w:p>
        </w:tc>
      </w:tr>
      <w:tr w:rsidR="002D7080" w:rsidRPr="004D1E6F" w14:paraId="3403030A" w14:textId="77777777" w:rsidTr="002E2C37">
        <w:trPr>
          <w:trHeight w:val="70"/>
        </w:trPr>
        <w:tc>
          <w:tcPr>
            <w:tcW w:w="9067" w:type="dxa"/>
            <w:gridSpan w:val="2"/>
          </w:tcPr>
          <w:p w14:paraId="470C0AB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 xml:space="preserve">Rationale: No documented information available. </w:t>
            </w:r>
          </w:p>
        </w:tc>
      </w:tr>
      <w:tr w:rsidR="002D7080" w:rsidRPr="004D1E6F" w14:paraId="5CEEC5D3" w14:textId="77777777" w:rsidTr="002E2C37">
        <w:trPr>
          <w:trHeight w:val="70"/>
        </w:trPr>
        <w:tc>
          <w:tcPr>
            <w:tcW w:w="9067" w:type="dxa"/>
            <w:gridSpan w:val="2"/>
          </w:tcPr>
          <w:p w14:paraId="72986F3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4F2828D0"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2540ED1A" w14:textId="77777777" w:rsidTr="002E2C37">
        <w:trPr>
          <w:trHeight w:val="343"/>
        </w:trPr>
        <w:tc>
          <w:tcPr>
            <w:tcW w:w="9067" w:type="dxa"/>
            <w:gridSpan w:val="2"/>
            <w:shd w:val="clear" w:color="auto" w:fill="F2F2F2" w:themeFill="background1" w:themeFillShade="F2"/>
          </w:tcPr>
          <w:p w14:paraId="52B28263"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MAN3 Ease of management</w:t>
            </w:r>
          </w:p>
        </w:tc>
      </w:tr>
      <w:tr w:rsidR="002D7080" w:rsidRPr="004D1E6F" w14:paraId="6D3568CE" w14:textId="77777777" w:rsidTr="002E2C37">
        <w:trPr>
          <w:trHeight w:val="343"/>
        </w:trPr>
        <w:tc>
          <w:tcPr>
            <w:tcW w:w="9067" w:type="dxa"/>
            <w:gridSpan w:val="2"/>
            <w:shd w:val="clear" w:color="auto" w:fill="F2F2F2" w:themeFill="background1" w:themeFillShade="F2"/>
          </w:tcPr>
          <w:p w14:paraId="46D4CFD1"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MAN3a How accessible are populations?</w:t>
            </w:r>
          </w:p>
        </w:tc>
      </w:tr>
      <w:tr w:rsidR="002D7080" w:rsidRPr="004D1E6F" w14:paraId="2FBF309A" w14:textId="77777777" w:rsidTr="002E2C37">
        <w:trPr>
          <w:trHeight w:val="183"/>
        </w:trPr>
        <w:tc>
          <w:tcPr>
            <w:tcW w:w="5240" w:type="dxa"/>
          </w:tcPr>
          <w:p w14:paraId="3502858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Easy Access (0)</w:t>
            </w:r>
          </w:p>
        </w:tc>
        <w:tc>
          <w:tcPr>
            <w:tcW w:w="3827" w:type="dxa"/>
          </w:tcPr>
          <w:p w14:paraId="3CCA161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3C1BA5EC" w14:textId="77777777" w:rsidTr="002E2C37">
        <w:trPr>
          <w:trHeight w:val="163"/>
        </w:trPr>
        <w:tc>
          <w:tcPr>
            <w:tcW w:w="9067" w:type="dxa"/>
            <w:gridSpan w:val="2"/>
          </w:tcPr>
          <w:p w14:paraId="54B84428" w14:textId="51BED04B"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There are records of permit applications at CapeNature to import </w:t>
            </w:r>
            <w:r w:rsidRPr="004D1E6F">
              <w:rPr>
                <w:rFonts w:ascii="Times New Roman" w:eastAsia="Times New Roman" w:hAnsi="Times New Roman" w:cs="Times New Roman"/>
                <w:i/>
                <w:color w:val="000000"/>
                <w:sz w:val="20"/>
                <w:szCs w:val="20"/>
                <w:lang w:eastAsia="en-ZA"/>
              </w:rPr>
              <w:t>C. cainii</w:t>
            </w:r>
            <w:r w:rsidRPr="004D1E6F">
              <w:rPr>
                <w:rFonts w:ascii="Times New Roman" w:eastAsia="Times New Roman" w:hAnsi="Times New Roman" w:cs="Times New Roman"/>
                <w:color w:val="000000"/>
                <w:sz w:val="20"/>
                <w:szCs w:val="20"/>
                <w:lang w:eastAsia="en-ZA"/>
              </w:rPr>
              <w:t xml:space="preserve"> for aquaculture in the Western Cape (Nunes et al. 2017). A follow up study needs to be undertaken to check if farms are still in production and to ascertain the identity of the species utilised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"manualFormatting" : "(de Moor 2002; Burgess 2007; Nunes et al. 2017)", "plainTextFormattedCitation" : "(de Moor 2002, Nunes et al. 2017)", "previouslyFormattedCitation" : "(de Moor 2002, Nunes et al. 2017)"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w:t>
            </w:r>
            <w:r w:rsidR="008A0BC6">
              <w:rPr>
                <w:rFonts w:ascii="Times New Roman" w:eastAsia="Times New Roman" w:hAnsi="Times New Roman" w:cs="Times New Roman"/>
                <w:color w:val="000000"/>
                <w:sz w:val="20"/>
                <w:szCs w:val="20"/>
                <w:lang w:eastAsia="en-ZA"/>
              </w:rPr>
              <w:t>De Moor</w:t>
            </w:r>
            <w:r w:rsidRPr="004D1E6F">
              <w:rPr>
                <w:rFonts w:ascii="Times New Roman" w:eastAsia="Times New Roman" w:hAnsi="Times New Roman" w:cs="Times New Roman"/>
                <w:color w:val="000000"/>
                <w:sz w:val="20"/>
                <w:szCs w:val="20"/>
                <w:lang w:eastAsia="en-ZA"/>
              </w:rPr>
              <w:t xml:space="preserve"> 2002; Burgess 2007; Nunes et al. 2017)</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As such current known populations are easy to access, though if there were naturalised populations, accessibility might become more difficult.</w:t>
            </w:r>
          </w:p>
        </w:tc>
      </w:tr>
      <w:tr w:rsidR="002D7080" w:rsidRPr="004D1E6F" w14:paraId="35BBCC0D" w14:textId="77777777" w:rsidTr="002E2C37">
        <w:trPr>
          <w:trHeight w:val="70"/>
        </w:trPr>
        <w:tc>
          <w:tcPr>
            <w:tcW w:w="9067" w:type="dxa"/>
            <w:gridSpan w:val="2"/>
          </w:tcPr>
          <w:p w14:paraId="0BB91E16" w14:textId="77777777" w:rsidR="002D7080" w:rsidRPr="004D1E6F" w:rsidRDefault="002D7080" w:rsidP="007F105A">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7C3F32E" w14:textId="4583B649" w:rsidR="002D7080" w:rsidRPr="004D1E6F" w:rsidRDefault="002D7080" w:rsidP="007F105A">
            <w:pPr>
              <w:ind w:left="720" w:hanging="720"/>
              <w:contextualSpacing/>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Burgess, M., 2007, ‘Pioneers of SA marron production’, Farmer's Weekly Magazine, from </w:t>
            </w:r>
            <w:r w:rsidR="008B6638" w:rsidRPr="008B6638">
              <w:rPr>
                <w:rFonts w:ascii="Times New Roman" w:eastAsia="Calibri" w:hAnsi="Times New Roman" w:cs="Times New Roman"/>
                <w:sz w:val="20"/>
                <w:szCs w:val="20"/>
              </w:rPr>
              <w:t>https://www.farmersweekly.co.za/animals/aquaculture/pioneers-of-sa-marron-production/</w:t>
            </w:r>
          </w:p>
          <w:p w14:paraId="5213B026" w14:textId="461177DA" w:rsidR="006A623B" w:rsidRPr="006A623B" w:rsidRDefault="008A0BC6" w:rsidP="007F105A">
            <w:pPr>
              <w:ind w:left="720" w:hanging="720"/>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De Moor</w:t>
            </w:r>
            <w:r w:rsidR="006A623B" w:rsidRPr="006A623B">
              <w:rPr>
                <w:rFonts w:ascii="Times New Roman" w:eastAsia="Times New Roman" w:hAnsi="Times New Roman" w:cs="Times New Roman"/>
                <w:color w:val="000000"/>
                <w:sz w:val="20"/>
                <w:szCs w:val="20"/>
                <w:lang w:eastAsia="en-ZA"/>
              </w:rPr>
              <w:t xml:space="preserve">, I., 2002, ‘Potential impacts of alien freshwater crayfish in South Africa’, </w:t>
            </w:r>
            <w:r w:rsidR="006A623B" w:rsidRPr="006A623B">
              <w:rPr>
                <w:rFonts w:ascii="Times New Roman" w:eastAsia="Times New Roman" w:hAnsi="Times New Roman" w:cs="Times New Roman"/>
                <w:i/>
                <w:color w:val="000000"/>
                <w:sz w:val="20"/>
                <w:szCs w:val="20"/>
                <w:lang w:eastAsia="en-ZA"/>
              </w:rPr>
              <w:t>African Journal of Aquatic Science</w:t>
            </w:r>
            <w:r w:rsidR="006A623B" w:rsidRPr="006A623B">
              <w:rPr>
                <w:rFonts w:ascii="Times New Roman" w:eastAsia="Times New Roman" w:hAnsi="Times New Roman" w:cs="Times New Roman"/>
                <w:color w:val="000000"/>
                <w:sz w:val="20"/>
                <w:szCs w:val="20"/>
                <w:lang w:eastAsia="en-ZA"/>
              </w:rPr>
              <w:t xml:space="preserve"> 27, 125-139, , </w:t>
            </w:r>
            <w:hyperlink r:id="rId103" w:history="1">
              <w:r w:rsidR="006A623B" w:rsidRPr="006A623B">
                <w:rPr>
                  <w:rStyle w:val="Hyperlink"/>
                  <w:rFonts w:ascii="Times New Roman" w:eastAsia="Times New Roman" w:hAnsi="Times New Roman" w:cs="Times New Roman"/>
                  <w:sz w:val="20"/>
                  <w:szCs w:val="20"/>
                  <w:lang w:eastAsia="en-ZA"/>
                </w:rPr>
                <w:t>https://doi.org/10.2989/16085914.2002.9626584</w:t>
              </w:r>
            </w:hyperlink>
            <w:r w:rsidR="006A623B" w:rsidRPr="006A623B">
              <w:rPr>
                <w:rFonts w:ascii="Times New Roman" w:eastAsia="Times New Roman" w:hAnsi="Times New Roman" w:cs="Times New Roman"/>
                <w:color w:val="000000"/>
                <w:sz w:val="20"/>
                <w:szCs w:val="20"/>
                <w:lang w:eastAsia="en-ZA"/>
              </w:rPr>
              <w:t>.</w:t>
            </w:r>
          </w:p>
          <w:p w14:paraId="3FEB0216" w14:textId="679F987A" w:rsidR="002D7080" w:rsidRPr="004D1E6F" w:rsidRDefault="006A623B" w:rsidP="007F105A">
            <w:pPr>
              <w:ind w:left="720" w:hanging="720"/>
              <w:contextualSpacing/>
              <w:jc w:val="both"/>
              <w:rPr>
                <w:rFonts w:ascii="Times New Roman" w:eastAsia="Times New Roman" w:hAnsi="Times New Roman" w:cs="Times New Roman"/>
                <w:sz w:val="20"/>
                <w:szCs w:val="20"/>
                <w:lang w:eastAsia="en-ZA"/>
              </w:rPr>
            </w:pPr>
            <w:r w:rsidRPr="006A623B">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6A623B">
              <w:rPr>
                <w:rFonts w:ascii="Times New Roman" w:eastAsia="Times New Roman" w:hAnsi="Times New Roman" w:cs="Times New Roman"/>
                <w:i/>
                <w:color w:val="000000"/>
                <w:sz w:val="20"/>
                <w:szCs w:val="20"/>
                <w:lang w:eastAsia="en-ZA"/>
              </w:rPr>
              <w:t>African Journal of Aquatic Science</w:t>
            </w:r>
            <w:r w:rsidRPr="006A623B">
              <w:rPr>
                <w:rFonts w:ascii="Times New Roman" w:eastAsia="Times New Roman" w:hAnsi="Times New Roman" w:cs="Times New Roman"/>
                <w:color w:val="000000"/>
                <w:sz w:val="20"/>
                <w:szCs w:val="20"/>
                <w:lang w:eastAsia="en-ZA"/>
              </w:rPr>
              <w:t xml:space="preserve"> 42, 309-323, </w:t>
            </w:r>
            <w:hyperlink r:id="rId104" w:history="1">
              <w:r w:rsidRPr="006A623B">
                <w:rPr>
                  <w:rStyle w:val="Hyperlink"/>
                  <w:rFonts w:ascii="Times New Roman" w:eastAsia="Times New Roman" w:hAnsi="Times New Roman" w:cs="Times New Roman"/>
                  <w:sz w:val="20"/>
                  <w:szCs w:val="20"/>
                  <w:lang w:eastAsia="en-ZA"/>
                </w:rPr>
                <w:t>https://doi.org/10.2989/16085914.2017.1405788</w:t>
              </w:r>
            </w:hyperlink>
            <w:r w:rsidR="002D7080" w:rsidRPr="004D1E6F">
              <w:rPr>
                <w:rFonts w:ascii="Times New Roman" w:eastAsia="Times New Roman" w:hAnsi="Times New Roman" w:cs="Times New Roman"/>
                <w:color w:val="000000"/>
                <w:sz w:val="20"/>
                <w:szCs w:val="20"/>
                <w:lang w:eastAsia="en-ZA"/>
              </w:rPr>
              <w:t>.</w:t>
            </w:r>
          </w:p>
        </w:tc>
      </w:tr>
      <w:tr w:rsidR="002D7080" w:rsidRPr="004D1E6F" w14:paraId="2AE558FB" w14:textId="77777777" w:rsidTr="002E2C37">
        <w:trPr>
          <w:trHeight w:val="343"/>
        </w:trPr>
        <w:tc>
          <w:tcPr>
            <w:tcW w:w="9067" w:type="dxa"/>
            <w:gridSpan w:val="2"/>
            <w:shd w:val="clear" w:color="auto" w:fill="F2F2F2" w:themeFill="background1" w:themeFillShade="F2"/>
          </w:tcPr>
          <w:p w14:paraId="008FE232" w14:textId="77777777" w:rsidR="002D7080" w:rsidRPr="004D1E6F" w:rsidRDefault="002D7080" w:rsidP="007F105A">
            <w:pPr>
              <w:contextualSpacing/>
              <w:jc w:val="both"/>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MAN3b Is detectability critically time-dependent?</w:t>
            </w:r>
          </w:p>
        </w:tc>
      </w:tr>
      <w:tr w:rsidR="002D7080" w:rsidRPr="004D1E6F" w14:paraId="24B4D615" w14:textId="77777777" w:rsidTr="002E2C37">
        <w:trPr>
          <w:trHeight w:val="183"/>
        </w:trPr>
        <w:tc>
          <w:tcPr>
            <w:tcW w:w="5240" w:type="dxa"/>
          </w:tcPr>
          <w:p w14:paraId="3B934D3B" w14:textId="77777777" w:rsidR="002D7080" w:rsidRPr="004D1E6F" w:rsidRDefault="002D7080" w:rsidP="002E2C37">
            <w:pPr>
              <w:tabs>
                <w:tab w:val="left" w:pos="1481"/>
              </w:tabs>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Yes (2)</w:t>
            </w:r>
          </w:p>
        </w:tc>
        <w:tc>
          <w:tcPr>
            <w:tcW w:w="3827" w:type="dxa"/>
          </w:tcPr>
          <w:p w14:paraId="1D06B0A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4D273D40" w14:textId="77777777" w:rsidTr="002E2C37">
        <w:trPr>
          <w:trHeight w:val="70"/>
        </w:trPr>
        <w:tc>
          <w:tcPr>
            <w:tcW w:w="9067" w:type="dxa"/>
            <w:gridSpan w:val="2"/>
          </w:tcPr>
          <w:p w14:paraId="4885B96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iCs/>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Cherax cainii</w:t>
            </w:r>
            <w:r w:rsidRPr="004D1E6F">
              <w:rPr>
                <w:rFonts w:ascii="Times New Roman" w:eastAsia="Times New Roman" w:hAnsi="Times New Roman" w:cs="Times New Roman"/>
                <w:iCs/>
                <w:color w:val="000000"/>
                <w:sz w:val="20"/>
                <w:szCs w:val="20"/>
                <w:lang w:eastAsia="en-ZA"/>
              </w:rPr>
              <w:t xml:space="preserve">, as a freshwater species, is </w:t>
            </w:r>
            <w:r w:rsidRPr="004D1E6F">
              <w:rPr>
                <w:rFonts w:ascii="Times New Roman" w:eastAsia="Times New Roman" w:hAnsi="Times New Roman" w:cs="Times New Roman"/>
                <w:color w:val="000000"/>
                <w:sz w:val="20"/>
                <w:szCs w:val="20"/>
                <w:lang w:eastAsia="en-ZA"/>
              </w:rPr>
              <w:t xml:space="preserve">generally difficult to detect, particularly given the species seem to be more active at night (Bryrant &amp; Papas 2007), the same would be expected for </w:t>
            </w:r>
            <w:r w:rsidRPr="004D1E6F">
              <w:rPr>
                <w:rFonts w:ascii="Times New Roman" w:eastAsia="Times New Roman" w:hAnsi="Times New Roman" w:cs="Times New Roman"/>
                <w:i/>
                <w:iCs/>
                <w:color w:val="000000"/>
                <w:sz w:val="20"/>
                <w:szCs w:val="20"/>
                <w:lang w:eastAsia="en-ZA"/>
              </w:rPr>
              <w:t>C. tenuimanus</w:t>
            </w:r>
            <w:r w:rsidRPr="004D1E6F">
              <w:rPr>
                <w:rFonts w:ascii="Times New Roman" w:eastAsia="Times New Roman" w:hAnsi="Times New Roman" w:cs="Times New Roman"/>
                <w:color w:val="000000"/>
                <w:sz w:val="20"/>
                <w:szCs w:val="20"/>
                <w:lang w:eastAsia="en-ZA"/>
              </w:rPr>
              <w:t>.</w:t>
            </w:r>
          </w:p>
        </w:tc>
      </w:tr>
      <w:tr w:rsidR="002D7080" w:rsidRPr="004D1E6F" w14:paraId="69D1D7E3" w14:textId="77777777" w:rsidTr="002E2C37">
        <w:trPr>
          <w:trHeight w:val="70"/>
        </w:trPr>
        <w:tc>
          <w:tcPr>
            <w:tcW w:w="9067" w:type="dxa"/>
            <w:gridSpan w:val="2"/>
          </w:tcPr>
          <w:p w14:paraId="756591FE"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49EC3FE"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lastRenderedPageBreak/>
              <w:t xml:space="preserve">Bryant, D. &amp; Papas, P., 2007, ‘Marron </w:t>
            </w:r>
            <w:r w:rsidRPr="004D1E6F">
              <w:rPr>
                <w:rFonts w:ascii="Times New Roman" w:hAnsi="Times New Roman" w:cs="Times New Roman"/>
                <w:i/>
                <w:iCs/>
                <w:sz w:val="20"/>
                <w:szCs w:val="20"/>
              </w:rPr>
              <w:t>Cherax cainii</w:t>
            </w:r>
            <w:r w:rsidRPr="004D1E6F">
              <w:rPr>
                <w:rFonts w:ascii="Times New Roman" w:hAnsi="Times New Roman" w:cs="Times New Roman"/>
                <w:sz w:val="20"/>
                <w:szCs w:val="20"/>
              </w:rPr>
              <w:t xml:space="preserve"> (Austin) in Victoria – a literature review’, Arthur Rylah Institute for Environmental Research Technical Report Series No. 167, Department of Sustainability and Environment, Heidelberg.</w:t>
            </w:r>
          </w:p>
        </w:tc>
      </w:tr>
      <w:tr w:rsidR="002D7080" w:rsidRPr="004D1E6F" w14:paraId="60585467" w14:textId="77777777" w:rsidTr="002E2C37">
        <w:trPr>
          <w:trHeight w:val="343"/>
        </w:trPr>
        <w:tc>
          <w:tcPr>
            <w:tcW w:w="9067" w:type="dxa"/>
            <w:gridSpan w:val="2"/>
            <w:shd w:val="clear" w:color="auto" w:fill="F2F2F2" w:themeFill="background1" w:themeFillShade="F2"/>
          </w:tcPr>
          <w:p w14:paraId="32541FE5"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lastRenderedPageBreak/>
              <w:t>MAN3c Time to reproduction</w:t>
            </w:r>
          </w:p>
        </w:tc>
      </w:tr>
      <w:tr w:rsidR="002D7080" w:rsidRPr="004D1E6F" w14:paraId="76827C68" w14:textId="77777777" w:rsidTr="002E2C37">
        <w:trPr>
          <w:trHeight w:val="183"/>
        </w:trPr>
        <w:tc>
          <w:tcPr>
            <w:tcW w:w="5240" w:type="dxa"/>
          </w:tcPr>
          <w:p w14:paraId="37AAE6C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1-3 years (1)</w:t>
            </w:r>
          </w:p>
        </w:tc>
        <w:tc>
          <w:tcPr>
            <w:tcW w:w="3827" w:type="dxa"/>
          </w:tcPr>
          <w:p w14:paraId="3265628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18DA507C" w14:textId="77777777" w:rsidTr="002E2C37">
        <w:trPr>
          <w:trHeight w:val="70"/>
        </w:trPr>
        <w:tc>
          <w:tcPr>
            <w:tcW w:w="9067" w:type="dxa"/>
            <w:gridSpan w:val="2"/>
          </w:tcPr>
          <w:p w14:paraId="06EBA30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iCs/>
                <w:color w:val="000000"/>
                <w:sz w:val="20"/>
                <w:szCs w:val="20"/>
                <w:lang w:eastAsia="en-ZA"/>
              </w:rPr>
              <w:t xml:space="preserve"> Marron crayfish</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reaches sexual maturity</w:t>
            </w:r>
            <w:r w:rsidRPr="004D1E6F">
              <w:rPr>
                <w:rFonts w:ascii="Times New Roman" w:eastAsia="Calibri" w:hAnsi="Times New Roman" w:cs="Times New Roman"/>
                <w:sz w:val="20"/>
                <w:szCs w:val="20"/>
              </w:rPr>
              <w:t xml:space="preserve"> when two to three years (Beatty et al. 2004)</w:t>
            </w:r>
            <w:r w:rsidRPr="004D1E6F">
              <w:rPr>
                <w:rFonts w:ascii="Times New Roman" w:eastAsia="Times New Roman" w:hAnsi="Times New Roman" w:cs="Times New Roman"/>
                <w:color w:val="000000"/>
                <w:sz w:val="20"/>
                <w:szCs w:val="20"/>
                <w:lang w:eastAsia="en-ZA"/>
              </w:rPr>
              <w:t>.</w:t>
            </w:r>
          </w:p>
        </w:tc>
      </w:tr>
      <w:tr w:rsidR="002D7080" w:rsidRPr="004D1E6F" w14:paraId="527808CD" w14:textId="77777777" w:rsidTr="002E2C37">
        <w:trPr>
          <w:trHeight w:val="70"/>
        </w:trPr>
        <w:tc>
          <w:tcPr>
            <w:tcW w:w="9067" w:type="dxa"/>
            <w:gridSpan w:val="2"/>
          </w:tcPr>
          <w:p w14:paraId="0A4E7214" w14:textId="77777777" w:rsidR="002D7080" w:rsidRPr="004D1E6F" w:rsidRDefault="002D7080" w:rsidP="007F105A">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7E7B123F" w14:textId="2E619819" w:rsidR="002D7080" w:rsidRPr="004D1E6F" w:rsidRDefault="002D7080" w:rsidP="007F105A">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Beatty, S.J., Morgan, D.L. &amp; Gill, H.S., 2004, ‘Biology of a translocated population of the large freshwater crayfish, </w:t>
            </w:r>
            <w:r w:rsidRPr="004D1E6F">
              <w:rPr>
                <w:rFonts w:ascii="Times New Roman" w:eastAsia="Times New Roman" w:hAnsi="Times New Roman" w:cs="Times New Roman"/>
                <w:i/>
                <w:color w:val="000000"/>
                <w:sz w:val="20"/>
                <w:szCs w:val="20"/>
                <w:lang w:eastAsia="en-ZA"/>
              </w:rPr>
              <w:t>Cherax cainii</w:t>
            </w:r>
            <w:r w:rsidRPr="004D1E6F">
              <w:rPr>
                <w:rFonts w:ascii="Times New Roman" w:eastAsia="Times New Roman" w:hAnsi="Times New Roman" w:cs="Times New Roman"/>
                <w:color w:val="000000"/>
                <w:sz w:val="20"/>
                <w:szCs w:val="20"/>
                <w:lang w:eastAsia="en-ZA"/>
              </w:rPr>
              <w:t xml:space="preserve"> Austin &amp; Ryan, 2002 in a Western Australian River’, </w:t>
            </w:r>
            <w:r w:rsidRPr="004D1E6F">
              <w:rPr>
                <w:rFonts w:ascii="Times New Roman" w:eastAsia="Times New Roman" w:hAnsi="Times New Roman" w:cs="Times New Roman"/>
                <w:i/>
                <w:iCs/>
                <w:color w:val="000000"/>
                <w:sz w:val="20"/>
                <w:szCs w:val="20"/>
                <w:lang w:eastAsia="en-ZA"/>
              </w:rPr>
              <w:t>Crustaceana</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77</w:t>
            </w:r>
            <w:r w:rsidRPr="004D1E6F">
              <w:rPr>
                <w:rFonts w:ascii="Times New Roman" w:eastAsia="Times New Roman" w:hAnsi="Times New Roman" w:cs="Times New Roman"/>
                <w:color w:val="000000"/>
                <w:sz w:val="20"/>
                <w:szCs w:val="20"/>
                <w:lang w:eastAsia="en-ZA"/>
              </w:rPr>
              <w:t>, 1329–1351</w:t>
            </w:r>
            <w:r w:rsidR="008B6638" w:rsidRPr="008B6638">
              <w:rPr>
                <w:rFonts w:ascii="Times New Roman" w:eastAsia="Times New Roman" w:hAnsi="Times New Roman" w:cs="Times New Roman"/>
                <w:color w:val="000000"/>
                <w:sz w:val="20"/>
                <w:szCs w:val="20"/>
                <w:lang w:eastAsia="en-ZA"/>
              </w:rPr>
              <w:t xml:space="preserve"> </w:t>
            </w:r>
            <w:hyperlink r:id="rId105" w:history="1">
              <w:r w:rsidR="008B6638" w:rsidRPr="008B6638">
                <w:rPr>
                  <w:rStyle w:val="Hyperlink"/>
                  <w:rFonts w:ascii="Times New Roman" w:eastAsia="Times New Roman" w:hAnsi="Times New Roman" w:cs="Times New Roman"/>
                  <w:sz w:val="20"/>
                  <w:szCs w:val="20"/>
                  <w:lang w:eastAsia="en-ZA"/>
                </w:rPr>
                <w:t>https://www.jstor.org/stable/20107445</w:t>
              </w:r>
            </w:hyperlink>
            <w:r w:rsidRPr="004D1E6F">
              <w:rPr>
                <w:rFonts w:ascii="Times New Roman" w:eastAsia="Times New Roman" w:hAnsi="Times New Roman" w:cs="Times New Roman"/>
                <w:color w:val="000000"/>
                <w:sz w:val="20"/>
                <w:szCs w:val="20"/>
                <w:lang w:eastAsia="en-ZA"/>
              </w:rPr>
              <w:t>.</w:t>
            </w:r>
          </w:p>
        </w:tc>
      </w:tr>
      <w:tr w:rsidR="002D7080" w:rsidRPr="004D1E6F" w14:paraId="47ED1EAA" w14:textId="77777777" w:rsidTr="002E2C37">
        <w:trPr>
          <w:trHeight w:val="343"/>
        </w:trPr>
        <w:tc>
          <w:tcPr>
            <w:tcW w:w="9067" w:type="dxa"/>
            <w:gridSpan w:val="2"/>
            <w:shd w:val="clear" w:color="auto" w:fill="F2F2F2" w:themeFill="background1" w:themeFillShade="F2"/>
          </w:tcPr>
          <w:p w14:paraId="61F67B82"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MAN3d Propagule persistence</w:t>
            </w:r>
          </w:p>
        </w:tc>
      </w:tr>
      <w:tr w:rsidR="002D7080" w:rsidRPr="004D1E6F" w14:paraId="21D1CFEB" w14:textId="77777777" w:rsidTr="002E2C37">
        <w:trPr>
          <w:trHeight w:val="183"/>
        </w:trPr>
        <w:tc>
          <w:tcPr>
            <w:tcW w:w="5240" w:type="dxa"/>
          </w:tcPr>
          <w:p w14:paraId="6EBE43E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0</w:t>
            </w:r>
          </w:p>
        </w:tc>
        <w:tc>
          <w:tcPr>
            <w:tcW w:w="3827" w:type="dxa"/>
          </w:tcPr>
          <w:p w14:paraId="1441226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7D21FC87" w14:textId="77777777" w:rsidTr="002E2C37">
        <w:trPr>
          <w:trHeight w:val="195"/>
        </w:trPr>
        <w:tc>
          <w:tcPr>
            <w:tcW w:w="9067" w:type="dxa"/>
            <w:gridSpan w:val="2"/>
          </w:tcPr>
          <w:p w14:paraId="09221F9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Marron crayfish usually spawns in spring and can produce between 200-400 eggs per spawning event. The eggs can take up to half a year to develop inside the females. Once the eggs have been fertilised, the female carries the eggs until they hatch. Hatchlings hang under the female's tale for many weeks until they can feed on their own.</w:t>
            </w:r>
          </w:p>
        </w:tc>
      </w:tr>
      <w:tr w:rsidR="002D7080" w:rsidRPr="004D1E6F" w14:paraId="67445558" w14:textId="77777777" w:rsidTr="002E2C37">
        <w:trPr>
          <w:trHeight w:val="99"/>
        </w:trPr>
        <w:tc>
          <w:tcPr>
            <w:tcW w:w="9067" w:type="dxa"/>
            <w:gridSpan w:val="2"/>
          </w:tcPr>
          <w:p w14:paraId="1BE1B4BE"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3CDF8D81"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Department of Fisheries, Government of Australia. 2011. </w:t>
            </w:r>
            <w:r w:rsidRPr="004D1E6F">
              <w:rPr>
                <w:rFonts w:ascii="Times New Roman" w:eastAsia="Times New Roman" w:hAnsi="Times New Roman" w:cs="Times New Roman"/>
                <w:i/>
                <w:iCs/>
                <w:sz w:val="20"/>
                <w:szCs w:val="20"/>
                <w:lang w:eastAsia="en-ZA"/>
              </w:rPr>
              <w:t>Fisheries Factsheet Marron</w:t>
            </w:r>
            <w:r w:rsidRPr="004D1E6F">
              <w:rPr>
                <w:rFonts w:ascii="Times New Roman" w:eastAsia="Times New Roman" w:hAnsi="Times New Roman" w:cs="Times New Roman"/>
                <w:sz w:val="20"/>
                <w:szCs w:val="20"/>
                <w:lang w:eastAsia="en-ZA"/>
              </w:rPr>
              <w:t xml:space="preserve"> https://www.fish.wa.gov.au/Documents/recreational_fishing/fact_sheets/fact_sheet_marron.pdf</w:t>
            </w:r>
          </w:p>
        </w:tc>
      </w:tr>
      <w:tr w:rsidR="002D7080" w:rsidRPr="004D1E6F" w14:paraId="450285FD" w14:textId="77777777" w:rsidTr="002E2C37">
        <w:trPr>
          <w:trHeight w:val="343"/>
        </w:trPr>
        <w:tc>
          <w:tcPr>
            <w:tcW w:w="9067" w:type="dxa"/>
            <w:gridSpan w:val="2"/>
            <w:shd w:val="clear" w:color="auto" w:fill="F2F2F2" w:themeFill="background1" w:themeFillShade="F2"/>
          </w:tcPr>
          <w:p w14:paraId="438AF5BF"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MAN3 Ease of management </w:t>
            </w:r>
          </w:p>
        </w:tc>
      </w:tr>
      <w:tr w:rsidR="002D7080" w:rsidRPr="004D1E6F" w14:paraId="1A521E92" w14:textId="77777777" w:rsidTr="002E2C37">
        <w:trPr>
          <w:trHeight w:val="172"/>
        </w:trPr>
        <w:tc>
          <w:tcPr>
            <w:tcW w:w="5240" w:type="dxa"/>
          </w:tcPr>
          <w:p w14:paraId="0CDB207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w:t>
            </w:r>
            <w:r w:rsidRPr="004D1E6F">
              <w:rPr>
                <w:rFonts w:ascii="Times New Roman" w:eastAsia="Times New Roman" w:hAnsi="Times New Roman" w:cs="Times New Roman"/>
                <w:color w:val="000000"/>
                <w:sz w:val="20"/>
                <w:szCs w:val="20"/>
                <w:lang w:eastAsia="en-ZA"/>
              </w:rPr>
              <w:t xml:space="preserve"> Medium</w:t>
            </w:r>
          </w:p>
        </w:tc>
        <w:tc>
          <w:tcPr>
            <w:tcW w:w="3827" w:type="dxa"/>
          </w:tcPr>
          <w:p w14:paraId="4D78473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468CBD03" w14:textId="77777777" w:rsidTr="002E2C37">
        <w:trPr>
          <w:trHeight w:val="70"/>
        </w:trPr>
        <w:tc>
          <w:tcPr>
            <w:tcW w:w="9067" w:type="dxa"/>
            <w:gridSpan w:val="2"/>
          </w:tcPr>
          <w:p w14:paraId="5B6B82F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 xml:space="preserve">As a fairly small, largely nocturnal, freshwater species, </w:t>
            </w:r>
            <w:r w:rsidRPr="004D1E6F">
              <w:rPr>
                <w:rFonts w:ascii="Times New Roman" w:eastAsia="Times New Roman" w:hAnsi="Times New Roman" w:cs="Times New Roman"/>
                <w:i/>
                <w:color w:val="000000"/>
                <w:sz w:val="20"/>
                <w:szCs w:val="20"/>
                <w:lang w:eastAsia="en-ZA"/>
              </w:rPr>
              <w:t xml:space="preserve">C. tenuimanus </w:t>
            </w:r>
            <w:r w:rsidRPr="004D1E6F">
              <w:rPr>
                <w:rFonts w:ascii="Times New Roman" w:eastAsia="Times New Roman" w:hAnsi="Times New Roman" w:cs="Times New Roman"/>
                <w:iCs/>
                <w:color w:val="000000"/>
                <w:sz w:val="20"/>
                <w:szCs w:val="20"/>
                <w:lang w:eastAsia="en-ZA"/>
              </w:rPr>
              <w:t>are difficult to detect.  However current populations in the Area are under permit and so finding and accessing populations is not currently difficult.</w:t>
            </w:r>
          </w:p>
        </w:tc>
      </w:tr>
      <w:tr w:rsidR="002D7080" w:rsidRPr="004D1E6F" w14:paraId="179A1098" w14:textId="77777777" w:rsidTr="002E2C37">
        <w:trPr>
          <w:trHeight w:val="70"/>
        </w:trPr>
        <w:tc>
          <w:tcPr>
            <w:tcW w:w="9067" w:type="dxa"/>
            <w:gridSpan w:val="2"/>
          </w:tcPr>
          <w:p w14:paraId="203BF029"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36792717" w14:textId="7114C0BC" w:rsidR="002D7080" w:rsidRPr="004D1E6F" w:rsidRDefault="008A0BC6" w:rsidP="007F105A">
            <w:pPr>
              <w:ind w:left="720" w:hanging="720"/>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De Moor</w:t>
            </w:r>
            <w:r w:rsidR="002D7080" w:rsidRPr="004D1E6F">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 </w:t>
            </w:r>
            <w:r w:rsidR="006A623B" w:rsidRPr="006A623B">
              <w:rPr>
                <w:rFonts w:ascii="Times New Roman" w:eastAsia="Times New Roman" w:hAnsi="Times New Roman" w:cs="Times New Roman"/>
                <w:sz w:val="20"/>
                <w:szCs w:val="20"/>
                <w:lang w:eastAsia="en-ZA"/>
              </w:rPr>
              <w:t xml:space="preserve">, </w:t>
            </w:r>
            <w:hyperlink r:id="rId106" w:history="1">
              <w:r w:rsidR="006A623B" w:rsidRPr="006A623B">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color w:val="000000"/>
                <w:sz w:val="20"/>
                <w:szCs w:val="20"/>
                <w:lang w:eastAsia="en-ZA"/>
              </w:rPr>
              <w:t>.</w:t>
            </w:r>
          </w:p>
          <w:p w14:paraId="153B3528" w14:textId="48F3C427" w:rsidR="008B6638" w:rsidRDefault="002D7080" w:rsidP="007F105A">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Calibri" w:hAnsi="Times New Roman" w:cs="Times New Roman"/>
                <w:sz w:val="20"/>
                <w:szCs w:val="20"/>
              </w:rPr>
              <w:t>Madzivanzira, T.C., South, J., Wood, L.E., Nunes, A.L.</w:t>
            </w:r>
            <w:r w:rsidRPr="004D1E6F">
              <w:rPr>
                <w:rFonts w:ascii="Times New Roman" w:eastAsia="Times New Roman" w:hAnsi="Times New Roman" w:cs="Times New Roman"/>
                <w:color w:val="000000"/>
                <w:sz w:val="20"/>
                <w:szCs w:val="20"/>
                <w:lang w:eastAsia="en-ZA"/>
              </w:rPr>
              <w:t xml:space="preserve"> &amp; </w:t>
            </w:r>
            <w:r w:rsidRPr="004D1E6F">
              <w:rPr>
                <w:rFonts w:ascii="Times New Roman" w:eastAsia="Calibri" w:hAnsi="Times New Roman" w:cs="Times New Roman"/>
                <w:sz w:val="20"/>
                <w:szCs w:val="20"/>
              </w:rPr>
              <w:t xml:space="preserve">Weyl, O.L.F., 2020, ‘A review of freshwater crayfish introductions in Africa’, </w:t>
            </w:r>
            <w:r w:rsidRPr="004D1E6F">
              <w:rPr>
                <w:rFonts w:ascii="Times New Roman" w:eastAsia="Calibri" w:hAnsi="Times New Roman" w:cs="Times New Roman"/>
                <w:i/>
                <w:sz w:val="20"/>
                <w:szCs w:val="20"/>
              </w:rPr>
              <w:t>Reviews in</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Calibri" w:hAnsi="Times New Roman" w:cs="Times New Roman"/>
                <w:i/>
                <w:sz w:val="20"/>
                <w:szCs w:val="20"/>
              </w:rPr>
              <w:t>Fisheries Science &amp; Aquaculture</w:t>
            </w:r>
            <w:r w:rsidRPr="004D1E6F">
              <w:rPr>
                <w:rFonts w:ascii="Times New Roman" w:eastAsia="Calibri" w:hAnsi="Times New Roman" w:cs="Times New Roman"/>
                <w:sz w:val="20"/>
                <w:szCs w:val="20"/>
              </w:rPr>
              <w:t xml:space="preserve">, 1-21, </w:t>
            </w:r>
            <w:r w:rsidR="008B6638" w:rsidRPr="00D66918">
              <w:rPr>
                <w:rFonts w:ascii="Times New Roman" w:eastAsia="Times New Roman" w:hAnsi="Times New Roman" w:cs="Times New Roman"/>
                <w:color w:val="000000"/>
                <w:sz w:val="20"/>
                <w:szCs w:val="20"/>
                <w:lang w:eastAsia="en-ZA"/>
              </w:rPr>
              <w:t>https://doi.org/10.1080/23308249.2020.1802405</w:t>
            </w:r>
          </w:p>
          <w:p w14:paraId="2CB0D9A3" w14:textId="4AB8EF99" w:rsidR="002D7080" w:rsidRPr="004D1E6F" w:rsidRDefault="002D7080" w:rsidP="007F105A">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107" w:history="1">
              <w:r w:rsidR="006A623B" w:rsidRPr="006A623B">
                <w:rPr>
                  <w:rStyle w:val="Hyperlink"/>
                  <w:rFonts w:ascii="Times New Roman" w:eastAsia="Times New Roman" w:hAnsi="Times New Roman" w:cs="Times New Roman"/>
                  <w:sz w:val="20"/>
                  <w:szCs w:val="20"/>
                  <w:lang w:eastAsia="en-ZA"/>
                </w:rPr>
                <w:t>https://doi.org/10.2989/16085914.2017.1405788</w:t>
              </w:r>
            </w:hyperlink>
            <w:r w:rsidR="006A623B" w:rsidRPr="006A623B">
              <w:rPr>
                <w:rFonts w:ascii="Times New Roman" w:eastAsia="Times New Roman" w:hAnsi="Times New Roman" w:cs="Times New Roman"/>
                <w:color w:val="000000"/>
                <w:sz w:val="20"/>
                <w:szCs w:val="20"/>
                <w:lang w:eastAsia="en-ZA"/>
              </w:rPr>
              <w:t>.</w:t>
            </w:r>
          </w:p>
        </w:tc>
      </w:tr>
    </w:tbl>
    <w:p w14:paraId="0C7B4A8C"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0108C8DB" w14:textId="77777777" w:rsidTr="002E2C37">
        <w:trPr>
          <w:trHeight w:val="343"/>
        </w:trPr>
        <w:tc>
          <w:tcPr>
            <w:tcW w:w="9067" w:type="dxa"/>
            <w:gridSpan w:val="2"/>
            <w:shd w:val="clear" w:color="auto" w:fill="F2F2F2" w:themeFill="background1" w:themeFillShade="F2"/>
          </w:tcPr>
          <w:p w14:paraId="70E7A09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MAN4 Has the feasibility of eradication been evaluated?</w:t>
            </w:r>
          </w:p>
        </w:tc>
      </w:tr>
      <w:tr w:rsidR="002D7080" w:rsidRPr="004D1E6F" w14:paraId="4AD0C356" w14:textId="77777777" w:rsidTr="002E2C37">
        <w:trPr>
          <w:trHeight w:val="172"/>
        </w:trPr>
        <w:tc>
          <w:tcPr>
            <w:tcW w:w="5240" w:type="dxa"/>
          </w:tcPr>
          <w:p w14:paraId="490E20BF" w14:textId="77777777" w:rsidR="002D7080" w:rsidRPr="004D1E6F" w:rsidRDefault="002D7080" w:rsidP="002E2C37">
            <w:pPr>
              <w:tabs>
                <w:tab w:val="left" w:pos="1589"/>
              </w:tabs>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Response: No</w:t>
            </w:r>
          </w:p>
        </w:tc>
        <w:tc>
          <w:tcPr>
            <w:tcW w:w="3827" w:type="dxa"/>
          </w:tcPr>
          <w:p w14:paraId="3E0B192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Confidence: Low</w:t>
            </w:r>
          </w:p>
        </w:tc>
      </w:tr>
      <w:tr w:rsidR="002D7080" w:rsidRPr="004D1E6F" w14:paraId="1FB102CE" w14:textId="77777777" w:rsidTr="002E2C37">
        <w:trPr>
          <w:trHeight w:val="70"/>
        </w:trPr>
        <w:tc>
          <w:tcPr>
            <w:tcW w:w="9067" w:type="dxa"/>
            <w:gridSpan w:val="2"/>
          </w:tcPr>
          <w:p w14:paraId="45E28FBC" w14:textId="4321C649"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Rationale:</w:t>
            </w:r>
            <w:r w:rsidRPr="004D1E6F">
              <w:rPr>
                <w:rFonts w:ascii="Times New Roman" w:eastAsia="Times New Roman" w:hAnsi="Times New Roman" w:cs="Times New Roman"/>
                <w:color w:val="000000"/>
                <w:sz w:val="20"/>
                <w:szCs w:val="20"/>
                <w:lang w:eastAsia="en-ZA"/>
              </w:rPr>
              <w:t xml:space="preserve"> Currently there are no known populations outside of captivity in the country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"ITEM-2", "issue" : "2", "issued" : { "date-parts" : [ [ "2002" ] ] }, "page" : "125-139", "title" : "Potential impacts of alien freshwater crayfish in south africa", "type" : "article-journal", "volume" : "27" }, "uris" : [ "http://www.mendeley.com/documents/?uuid=c5c2a256-5d98-4f2f-9b7a-d62d27b07fc1"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w:t>
            </w:r>
            <w:r w:rsidR="008A0BC6">
              <w:rPr>
                <w:rFonts w:ascii="Times New Roman" w:eastAsia="Times New Roman" w:hAnsi="Times New Roman" w:cs="Times New Roman"/>
                <w:color w:val="000000"/>
                <w:sz w:val="20"/>
                <w:szCs w:val="20"/>
                <w:lang w:eastAsia="en-ZA"/>
              </w:rPr>
              <w:t>De Moor</w:t>
            </w:r>
            <w:r w:rsidRPr="004D1E6F">
              <w:rPr>
                <w:rFonts w:ascii="Times New Roman" w:eastAsia="Times New Roman" w:hAnsi="Times New Roman" w:cs="Times New Roman"/>
                <w:color w:val="000000"/>
                <w:sz w:val="20"/>
                <w:szCs w:val="20"/>
                <w:lang w:eastAsia="en-ZA"/>
              </w:rPr>
              <w:t xml:space="preserve"> 2002; Nunes et al. 2017)</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and so there has been no need to look at eradication to date.</w:t>
            </w:r>
          </w:p>
        </w:tc>
      </w:tr>
      <w:tr w:rsidR="002D7080" w:rsidRPr="004D1E6F" w14:paraId="08F94FE1" w14:textId="77777777" w:rsidTr="002E2C37">
        <w:trPr>
          <w:trHeight w:val="203"/>
        </w:trPr>
        <w:tc>
          <w:tcPr>
            <w:tcW w:w="9067" w:type="dxa"/>
            <w:gridSpan w:val="2"/>
          </w:tcPr>
          <w:p w14:paraId="64C554B4" w14:textId="77777777" w:rsidR="002D7080" w:rsidRPr="004D1E6F" w:rsidRDefault="002D7080" w:rsidP="007F105A">
            <w:pPr>
              <w:jc w:val="both"/>
              <w:rPr>
                <w:rFonts w:ascii="Times New Roman" w:eastAsia="Arial" w:hAnsi="Times New Roman" w:cs="Times New Roman"/>
                <w:sz w:val="20"/>
                <w:szCs w:val="20"/>
              </w:rPr>
            </w:pPr>
            <w:r w:rsidRPr="004D1E6F">
              <w:rPr>
                <w:rFonts w:ascii="Times New Roman" w:eastAsia="Arial" w:hAnsi="Times New Roman" w:cs="Times New Roman"/>
                <w:sz w:val="20"/>
                <w:szCs w:val="20"/>
              </w:rPr>
              <w:lastRenderedPageBreak/>
              <w:t>References:</w:t>
            </w:r>
          </w:p>
          <w:p w14:paraId="2E537530" w14:textId="57C9C5F9" w:rsidR="006A623B" w:rsidRPr="006A623B" w:rsidRDefault="008A0BC6" w:rsidP="007F105A">
            <w:pPr>
              <w:ind w:left="720" w:hanging="720"/>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De Moor</w:t>
            </w:r>
            <w:r w:rsidR="006A623B" w:rsidRPr="006A623B">
              <w:rPr>
                <w:rFonts w:ascii="Times New Roman" w:eastAsia="Times New Roman" w:hAnsi="Times New Roman" w:cs="Times New Roman"/>
                <w:color w:val="000000"/>
                <w:sz w:val="20"/>
                <w:szCs w:val="20"/>
                <w:lang w:eastAsia="en-ZA"/>
              </w:rPr>
              <w:t xml:space="preserve">, I., 2002, ‘Potential impacts of alien freshwater crayfish in South Africa’, </w:t>
            </w:r>
            <w:r w:rsidR="006A623B" w:rsidRPr="006A623B">
              <w:rPr>
                <w:rFonts w:ascii="Times New Roman" w:eastAsia="Times New Roman" w:hAnsi="Times New Roman" w:cs="Times New Roman"/>
                <w:i/>
                <w:color w:val="000000"/>
                <w:sz w:val="20"/>
                <w:szCs w:val="20"/>
                <w:lang w:eastAsia="en-ZA"/>
              </w:rPr>
              <w:t>African Journal of Aquatic Science</w:t>
            </w:r>
            <w:r w:rsidR="006A623B" w:rsidRPr="006A623B">
              <w:rPr>
                <w:rFonts w:ascii="Times New Roman" w:eastAsia="Times New Roman" w:hAnsi="Times New Roman" w:cs="Times New Roman"/>
                <w:color w:val="000000"/>
                <w:sz w:val="20"/>
                <w:szCs w:val="20"/>
                <w:lang w:eastAsia="en-ZA"/>
              </w:rPr>
              <w:t xml:space="preserve"> 27, 125-139, , </w:t>
            </w:r>
            <w:hyperlink r:id="rId108" w:history="1">
              <w:r w:rsidR="006A623B" w:rsidRPr="006A623B">
                <w:rPr>
                  <w:rStyle w:val="Hyperlink"/>
                  <w:rFonts w:ascii="Times New Roman" w:eastAsia="Times New Roman" w:hAnsi="Times New Roman" w:cs="Times New Roman"/>
                  <w:sz w:val="20"/>
                  <w:szCs w:val="20"/>
                  <w:lang w:eastAsia="en-ZA"/>
                </w:rPr>
                <w:t>https://doi.org/10.2989/16085914.2002.9626584</w:t>
              </w:r>
            </w:hyperlink>
            <w:r w:rsidR="006A623B" w:rsidRPr="006A623B">
              <w:rPr>
                <w:rFonts w:ascii="Times New Roman" w:eastAsia="Times New Roman" w:hAnsi="Times New Roman" w:cs="Times New Roman"/>
                <w:color w:val="000000"/>
                <w:sz w:val="20"/>
                <w:szCs w:val="20"/>
                <w:lang w:eastAsia="en-ZA"/>
              </w:rPr>
              <w:t>.</w:t>
            </w:r>
          </w:p>
          <w:p w14:paraId="5C92DB70" w14:textId="36741081" w:rsidR="002D7080" w:rsidRPr="004D1E6F" w:rsidRDefault="006A623B" w:rsidP="007F105A">
            <w:pPr>
              <w:ind w:left="720" w:hanging="720"/>
              <w:contextualSpacing/>
              <w:jc w:val="both"/>
              <w:rPr>
                <w:rFonts w:ascii="Times New Roman" w:eastAsia="Times New Roman" w:hAnsi="Times New Roman" w:cs="Times New Roman"/>
                <w:sz w:val="20"/>
                <w:szCs w:val="20"/>
                <w:lang w:eastAsia="en-ZA"/>
              </w:rPr>
            </w:pPr>
            <w:r w:rsidRPr="006A623B">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6A623B">
              <w:rPr>
                <w:rFonts w:ascii="Times New Roman" w:eastAsia="Times New Roman" w:hAnsi="Times New Roman" w:cs="Times New Roman"/>
                <w:i/>
                <w:color w:val="000000"/>
                <w:sz w:val="20"/>
                <w:szCs w:val="20"/>
                <w:lang w:eastAsia="en-ZA"/>
              </w:rPr>
              <w:t>African Journal of Aquatic Science</w:t>
            </w:r>
            <w:r w:rsidRPr="006A623B">
              <w:rPr>
                <w:rFonts w:ascii="Times New Roman" w:eastAsia="Times New Roman" w:hAnsi="Times New Roman" w:cs="Times New Roman"/>
                <w:color w:val="000000"/>
                <w:sz w:val="20"/>
                <w:szCs w:val="20"/>
                <w:lang w:eastAsia="en-ZA"/>
              </w:rPr>
              <w:t xml:space="preserve"> 42, 309-323, </w:t>
            </w:r>
            <w:hyperlink r:id="rId109" w:history="1">
              <w:r w:rsidRPr="006A623B">
                <w:rPr>
                  <w:rStyle w:val="Hyperlink"/>
                  <w:rFonts w:ascii="Times New Roman" w:eastAsia="Times New Roman" w:hAnsi="Times New Roman" w:cs="Times New Roman"/>
                  <w:sz w:val="20"/>
                  <w:szCs w:val="20"/>
                  <w:lang w:eastAsia="en-ZA"/>
                </w:rPr>
                <w:t>https://doi.org/10.2989/16085914.2017.1405788</w:t>
              </w:r>
            </w:hyperlink>
            <w:r w:rsidR="002D7080" w:rsidRPr="004D1E6F">
              <w:rPr>
                <w:rFonts w:ascii="Times New Roman" w:eastAsia="Times New Roman" w:hAnsi="Times New Roman" w:cs="Times New Roman"/>
                <w:color w:val="000000"/>
                <w:sz w:val="20"/>
                <w:szCs w:val="20"/>
                <w:lang w:eastAsia="en-ZA"/>
              </w:rPr>
              <w:t xml:space="preserve">. </w:t>
            </w:r>
          </w:p>
        </w:tc>
      </w:tr>
    </w:tbl>
    <w:p w14:paraId="5F7A10CD"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9067"/>
      </w:tblGrid>
      <w:tr w:rsidR="002D7080" w:rsidRPr="004D1E6F" w14:paraId="77D1D6A0" w14:textId="77777777" w:rsidTr="002E2C37">
        <w:trPr>
          <w:trHeight w:val="343"/>
        </w:trPr>
        <w:tc>
          <w:tcPr>
            <w:tcW w:w="9067" w:type="dxa"/>
            <w:shd w:val="clear" w:color="auto" w:fill="F2F2F2" w:themeFill="background1" w:themeFillShade="F2"/>
          </w:tcPr>
          <w:p w14:paraId="68E36CC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MAN5 Control options and monitoring approaches available for the </w:t>
            </w:r>
            <w:r w:rsidRPr="004D1E6F">
              <w:rPr>
                <w:rFonts w:ascii="Times New Roman" w:eastAsia="Times New Roman" w:hAnsi="Times New Roman" w:cs="Times New Roman"/>
                <w:b/>
                <w:i/>
                <w:sz w:val="20"/>
                <w:szCs w:val="20"/>
                <w:lang w:eastAsia="en-ZA"/>
              </w:rPr>
              <w:t>Taxon</w:t>
            </w:r>
          </w:p>
        </w:tc>
      </w:tr>
      <w:tr w:rsidR="002D7080" w:rsidRPr="004D1E6F" w14:paraId="1D1883A1" w14:textId="77777777" w:rsidTr="002E2C37">
        <w:trPr>
          <w:trHeight w:val="70"/>
        </w:trPr>
        <w:tc>
          <w:tcPr>
            <w:tcW w:w="9067" w:type="dxa"/>
          </w:tcPr>
          <w:p w14:paraId="4823B66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Yes</w:t>
            </w:r>
          </w:p>
        </w:tc>
      </w:tr>
      <w:tr w:rsidR="002D7080" w:rsidRPr="004D1E6F" w14:paraId="1CA3B9DD" w14:textId="77777777" w:rsidTr="002E2C37">
        <w:trPr>
          <w:trHeight w:val="203"/>
        </w:trPr>
        <w:tc>
          <w:tcPr>
            <w:tcW w:w="9067" w:type="dxa"/>
          </w:tcPr>
          <w:p w14:paraId="507E698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In New Zealand biocides have been used to control and eradicate </w:t>
            </w:r>
            <w:r w:rsidRPr="004D1E6F">
              <w:rPr>
                <w:rFonts w:ascii="Times New Roman" w:eastAsia="Times New Roman" w:hAnsi="Times New Roman" w:cs="Times New Roman"/>
                <w:i/>
                <w:iCs/>
                <w:color w:val="000000"/>
                <w:sz w:val="20"/>
                <w:szCs w:val="20"/>
                <w:lang w:eastAsia="en-ZA"/>
              </w:rPr>
              <w:t>Cherax tenuimanus</w:t>
            </w:r>
            <w:r w:rsidRPr="004D1E6F">
              <w:rPr>
                <w:rFonts w:ascii="Times New Roman" w:eastAsia="Times New Roman" w:hAnsi="Times New Roman" w:cs="Times New Roman"/>
                <w:color w:val="000000"/>
                <w:sz w:val="20"/>
                <w:szCs w:val="20"/>
                <w:lang w:eastAsia="en-ZA"/>
              </w:rPr>
              <w:t xml:space="preserve"> (Gould 2005), noting that such an approach would need to be carefully regulated given the potential for non-target impacts.</w:t>
            </w:r>
          </w:p>
        </w:tc>
      </w:tr>
      <w:tr w:rsidR="002D7080" w:rsidRPr="004D1E6F" w14:paraId="39030757" w14:textId="77777777" w:rsidTr="002E2C37">
        <w:trPr>
          <w:trHeight w:val="203"/>
        </w:trPr>
        <w:tc>
          <w:tcPr>
            <w:tcW w:w="9067" w:type="dxa"/>
          </w:tcPr>
          <w:p w14:paraId="501E07E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2B215693"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Gould, B., 2005, ‘Marron. Interagency collaboration follows surprise catch’, </w:t>
            </w:r>
            <w:r w:rsidRPr="004D1E6F">
              <w:rPr>
                <w:rFonts w:ascii="Times New Roman" w:eastAsia="Times New Roman" w:hAnsi="Times New Roman" w:cs="Times New Roman"/>
                <w:i/>
                <w:sz w:val="20"/>
                <w:szCs w:val="20"/>
                <w:lang w:eastAsia="en-ZA"/>
              </w:rPr>
              <w:t>Biosecurity</w:t>
            </w:r>
            <w:r w:rsidRPr="004D1E6F">
              <w:rPr>
                <w:rFonts w:ascii="Times New Roman" w:eastAsia="Times New Roman" w:hAnsi="Times New Roman" w:cs="Times New Roman"/>
                <w:sz w:val="20"/>
                <w:szCs w:val="20"/>
                <w:lang w:eastAsia="en-ZA"/>
              </w:rPr>
              <w:t xml:space="preserve"> 60, 10-11.</w:t>
            </w:r>
          </w:p>
        </w:tc>
      </w:tr>
    </w:tbl>
    <w:p w14:paraId="443D6873" w14:textId="77777777" w:rsidR="002D7080" w:rsidRPr="004D1E6F" w:rsidRDefault="002D7080" w:rsidP="002D7080">
      <w:pPr>
        <w:spacing w:after="0" w:line="240" w:lineRule="auto"/>
        <w:rPr>
          <w:rFonts w:ascii="Times New Roman" w:hAnsi="Times New Roman" w:cs="Times New Roman"/>
          <w:b/>
          <w:sz w:val="20"/>
          <w:szCs w:val="20"/>
        </w:rPr>
      </w:pPr>
    </w:p>
    <w:tbl>
      <w:tblPr>
        <w:tblStyle w:val="TableGrid"/>
        <w:tblW w:w="9067" w:type="dxa"/>
        <w:tblLook w:val="04A0" w:firstRow="1" w:lastRow="0" w:firstColumn="1" w:lastColumn="0" w:noHBand="0" w:noVBand="1"/>
      </w:tblPr>
      <w:tblGrid>
        <w:gridCol w:w="1696"/>
        <w:gridCol w:w="7371"/>
      </w:tblGrid>
      <w:tr w:rsidR="002D7080" w:rsidRPr="004D1E6F" w14:paraId="6FA75720" w14:textId="77777777" w:rsidTr="002E2C37">
        <w:trPr>
          <w:trHeight w:val="343"/>
        </w:trPr>
        <w:tc>
          <w:tcPr>
            <w:tcW w:w="9067" w:type="dxa"/>
            <w:gridSpan w:val="2"/>
            <w:shd w:val="clear" w:color="auto" w:fill="F2F2F2" w:themeFill="background1" w:themeFillShade="F2"/>
          </w:tcPr>
          <w:p w14:paraId="02DCE77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MAN6 Any other management considerations to highlight? </w:t>
            </w:r>
          </w:p>
        </w:tc>
      </w:tr>
      <w:tr w:rsidR="002D7080" w:rsidRPr="004D1E6F" w14:paraId="0E535C34" w14:textId="77777777" w:rsidTr="002E2C37">
        <w:trPr>
          <w:trHeight w:val="70"/>
        </w:trPr>
        <w:tc>
          <w:tcPr>
            <w:tcW w:w="1696" w:type="dxa"/>
          </w:tcPr>
          <w:p w14:paraId="01C6639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w:t>
            </w:r>
          </w:p>
        </w:tc>
        <w:tc>
          <w:tcPr>
            <w:tcW w:w="7371" w:type="dxa"/>
          </w:tcPr>
          <w:p w14:paraId="32E8215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r>
    </w:tbl>
    <w:p w14:paraId="2F04E25A"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br w:type="page"/>
      </w:r>
    </w:p>
    <w:p w14:paraId="696C57A8"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5. Calculations</w:t>
      </w:r>
    </w:p>
    <w:p w14:paraId="7C6BB460"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4AF3B9BD"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Likelihood = </w:t>
      </w:r>
      <w:r w:rsidRPr="004D1E6F">
        <w:rPr>
          <w:rFonts w:ascii="Times New Roman" w:eastAsia="Arial" w:hAnsi="Times New Roman" w:cs="Times New Roman"/>
          <w:b/>
          <w:color w:val="000000"/>
          <w:sz w:val="20"/>
          <w:szCs w:val="20"/>
        </w:rPr>
        <w:t>Fairly probable</w:t>
      </w:r>
    </w:p>
    <w:p w14:paraId="03297309"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1195"/>
        <w:gridCol w:w="2628"/>
        <w:gridCol w:w="2939"/>
        <w:gridCol w:w="2254"/>
      </w:tblGrid>
      <w:tr w:rsidR="002D7080" w:rsidRPr="004D1E6F" w14:paraId="5F2F5D0B" w14:textId="77777777" w:rsidTr="002E2C37">
        <w:tc>
          <w:tcPr>
            <w:tcW w:w="1195" w:type="dxa"/>
            <w:shd w:val="clear" w:color="auto" w:fill="D9D9D9" w:themeFill="background1" w:themeFillShade="D9"/>
            <w:vAlign w:val="center"/>
          </w:tcPr>
          <w:p w14:paraId="682EDEE8"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Parameter</w:t>
            </w:r>
          </w:p>
        </w:tc>
        <w:tc>
          <w:tcPr>
            <w:tcW w:w="2628" w:type="dxa"/>
            <w:shd w:val="clear" w:color="auto" w:fill="D9D9D9" w:themeFill="background1" w:themeFillShade="D9"/>
            <w:vAlign w:val="center"/>
          </w:tcPr>
          <w:p w14:paraId="692A64CA"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Likelihood</w:t>
            </w:r>
          </w:p>
        </w:tc>
        <w:tc>
          <w:tcPr>
            <w:tcW w:w="2939" w:type="dxa"/>
            <w:shd w:val="clear" w:color="auto" w:fill="D9D9D9" w:themeFill="background1" w:themeFillShade="D9"/>
            <w:vAlign w:val="center"/>
          </w:tcPr>
          <w:p w14:paraId="1A69898E"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Stages</w:t>
            </w:r>
          </w:p>
        </w:tc>
        <w:tc>
          <w:tcPr>
            <w:tcW w:w="2254" w:type="dxa"/>
            <w:shd w:val="clear" w:color="auto" w:fill="D9D9D9" w:themeFill="background1" w:themeFillShade="D9"/>
            <w:vAlign w:val="center"/>
          </w:tcPr>
          <w:p w14:paraId="5DCEBCD7"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Final assessment</w:t>
            </w:r>
          </w:p>
        </w:tc>
      </w:tr>
      <w:tr w:rsidR="002D7080" w:rsidRPr="004D1E6F" w14:paraId="2CE4832B" w14:textId="77777777" w:rsidTr="002E2C37">
        <w:tc>
          <w:tcPr>
            <w:tcW w:w="1195" w:type="dxa"/>
            <w:shd w:val="clear" w:color="auto" w:fill="D9D9D9" w:themeFill="background1" w:themeFillShade="D9"/>
            <w:vAlign w:val="center"/>
          </w:tcPr>
          <w:p w14:paraId="3711602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LIK1</w:t>
            </w:r>
          </w:p>
        </w:tc>
        <w:tc>
          <w:tcPr>
            <w:tcW w:w="2628" w:type="dxa"/>
            <w:vAlign w:val="center"/>
          </w:tcPr>
          <w:p w14:paraId="30A2033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1</w:t>
            </w:r>
          </w:p>
        </w:tc>
        <w:tc>
          <w:tcPr>
            <w:tcW w:w="2939" w:type="dxa"/>
            <w:vMerge w:val="restart"/>
            <w:vAlign w:val="center"/>
          </w:tcPr>
          <w:p w14:paraId="52615EE5"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P(entry) = 1</w:t>
            </w:r>
          </w:p>
        </w:tc>
        <w:tc>
          <w:tcPr>
            <w:tcW w:w="2254" w:type="dxa"/>
            <w:vMerge w:val="restart"/>
            <w:vAlign w:val="center"/>
          </w:tcPr>
          <w:p w14:paraId="7C8246D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 (invasion) = 0.5</w:t>
            </w:r>
          </w:p>
        </w:tc>
      </w:tr>
      <w:tr w:rsidR="002D7080" w:rsidRPr="004D1E6F" w14:paraId="59C9EBB4" w14:textId="77777777" w:rsidTr="002E2C37">
        <w:tc>
          <w:tcPr>
            <w:tcW w:w="1195" w:type="dxa"/>
            <w:shd w:val="clear" w:color="auto" w:fill="D9D9D9" w:themeFill="background1" w:themeFillShade="D9"/>
            <w:vAlign w:val="center"/>
          </w:tcPr>
          <w:p w14:paraId="5588D32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LIK2</w:t>
            </w:r>
          </w:p>
        </w:tc>
        <w:tc>
          <w:tcPr>
            <w:tcW w:w="2628" w:type="dxa"/>
            <w:vAlign w:val="center"/>
          </w:tcPr>
          <w:p w14:paraId="7D1A34E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1</w:t>
            </w:r>
          </w:p>
        </w:tc>
        <w:tc>
          <w:tcPr>
            <w:tcW w:w="2939" w:type="dxa"/>
            <w:vMerge/>
            <w:vAlign w:val="center"/>
          </w:tcPr>
          <w:p w14:paraId="716D17D3"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0137EE9F"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3AECF98B" w14:textId="77777777" w:rsidTr="002E2C37">
        <w:tc>
          <w:tcPr>
            <w:tcW w:w="1195" w:type="dxa"/>
            <w:shd w:val="clear" w:color="auto" w:fill="D9D9D9" w:themeFill="background1" w:themeFillShade="D9"/>
            <w:vAlign w:val="center"/>
          </w:tcPr>
          <w:p w14:paraId="32643D1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LIK3</w:t>
            </w:r>
          </w:p>
        </w:tc>
        <w:tc>
          <w:tcPr>
            <w:tcW w:w="2628" w:type="dxa"/>
            <w:vAlign w:val="center"/>
          </w:tcPr>
          <w:p w14:paraId="4A88ABD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 xml:space="preserve">0.5 </w:t>
            </w:r>
          </w:p>
        </w:tc>
        <w:tc>
          <w:tcPr>
            <w:tcW w:w="2939" w:type="dxa"/>
            <w:vMerge w:val="restart"/>
            <w:vAlign w:val="center"/>
          </w:tcPr>
          <w:p w14:paraId="7834528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P(establishment) =  0.5</w:t>
            </w:r>
          </w:p>
        </w:tc>
        <w:tc>
          <w:tcPr>
            <w:tcW w:w="2254" w:type="dxa"/>
            <w:vMerge/>
            <w:vAlign w:val="center"/>
          </w:tcPr>
          <w:p w14:paraId="0A50056E"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2E77914D" w14:textId="77777777" w:rsidTr="002E2C37">
        <w:tc>
          <w:tcPr>
            <w:tcW w:w="1195" w:type="dxa"/>
            <w:shd w:val="clear" w:color="auto" w:fill="D9D9D9" w:themeFill="background1" w:themeFillShade="D9"/>
            <w:vAlign w:val="center"/>
          </w:tcPr>
          <w:p w14:paraId="302E264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LIK4</w:t>
            </w:r>
          </w:p>
        </w:tc>
        <w:tc>
          <w:tcPr>
            <w:tcW w:w="2628" w:type="dxa"/>
            <w:vAlign w:val="center"/>
          </w:tcPr>
          <w:p w14:paraId="757E86D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0.5</w:t>
            </w:r>
          </w:p>
        </w:tc>
        <w:tc>
          <w:tcPr>
            <w:tcW w:w="2939" w:type="dxa"/>
            <w:vMerge/>
            <w:vAlign w:val="center"/>
          </w:tcPr>
          <w:p w14:paraId="1208EB23"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7B31542F"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48908669" w14:textId="77777777" w:rsidTr="002E2C37">
        <w:tc>
          <w:tcPr>
            <w:tcW w:w="1195" w:type="dxa"/>
            <w:shd w:val="clear" w:color="auto" w:fill="D9D9D9" w:themeFill="background1" w:themeFillShade="D9"/>
            <w:vAlign w:val="center"/>
          </w:tcPr>
          <w:p w14:paraId="3C0E052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LIK5</w:t>
            </w:r>
          </w:p>
        </w:tc>
        <w:tc>
          <w:tcPr>
            <w:tcW w:w="2628" w:type="dxa"/>
            <w:vAlign w:val="center"/>
          </w:tcPr>
          <w:p w14:paraId="00E7616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0.027</w:t>
            </w:r>
          </w:p>
        </w:tc>
        <w:tc>
          <w:tcPr>
            <w:tcW w:w="2939" w:type="dxa"/>
            <w:vMerge w:val="restart"/>
            <w:vAlign w:val="center"/>
          </w:tcPr>
          <w:p w14:paraId="4790C93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 (spread) = 1</w:t>
            </w:r>
          </w:p>
        </w:tc>
        <w:tc>
          <w:tcPr>
            <w:tcW w:w="2254" w:type="dxa"/>
            <w:vMerge/>
            <w:vAlign w:val="center"/>
          </w:tcPr>
          <w:p w14:paraId="18853009"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47A2408A" w14:textId="77777777" w:rsidTr="002E2C37">
        <w:tc>
          <w:tcPr>
            <w:tcW w:w="1195" w:type="dxa"/>
            <w:shd w:val="clear" w:color="auto" w:fill="D9D9D9" w:themeFill="background1" w:themeFillShade="D9"/>
            <w:vAlign w:val="center"/>
          </w:tcPr>
          <w:p w14:paraId="6B814C6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LIK6</w:t>
            </w:r>
          </w:p>
        </w:tc>
        <w:tc>
          <w:tcPr>
            <w:tcW w:w="2628" w:type="dxa"/>
            <w:vAlign w:val="center"/>
          </w:tcPr>
          <w:p w14:paraId="5A5BDDB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Arial" w:hAnsi="Times New Roman" w:cs="Times New Roman"/>
                <w:sz w:val="20"/>
                <w:szCs w:val="20"/>
              </w:rPr>
              <w:t>1</w:t>
            </w:r>
          </w:p>
        </w:tc>
        <w:tc>
          <w:tcPr>
            <w:tcW w:w="2939" w:type="dxa"/>
            <w:vMerge/>
            <w:vAlign w:val="center"/>
          </w:tcPr>
          <w:p w14:paraId="11564DA4"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36ED45F9" w14:textId="77777777" w:rsidR="002D7080" w:rsidRPr="004D1E6F" w:rsidRDefault="002D7080" w:rsidP="002E2C37">
            <w:pPr>
              <w:rPr>
                <w:rFonts w:ascii="Times New Roman" w:eastAsia="Times New Roman" w:hAnsi="Times New Roman" w:cs="Times New Roman"/>
                <w:sz w:val="20"/>
                <w:szCs w:val="20"/>
                <w:lang w:eastAsia="en-ZA"/>
              </w:rPr>
            </w:pPr>
          </w:p>
        </w:tc>
      </w:tr>
    </w:tbl>
    <w:p w14:paraId="3692DB3B"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3AF12BE5"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Consequence = </w:t>
      </w:r>
      <w:r w:rsidRPr="004D1E6F">
        <w:rPr>
          <w:rFonts w:ascii="Times New Roman" w:eastAsia="Arial" w:hAnsi="Times New Roman" w:cs="Times New Roman"/>
          <w:b/>
          <w:color w:val="000000"/>
          <w:sz w:val="20"/>
          <w:szCs w:val="20"/>
        </w:rPr>
        <w:t>MR</w:t>
      </w:r>
    </w:p>
    <w:p w14:paraId="512DB247" w14:textId="77777777" w:rsidR="002D7080" w:rsidRPr="004D1E6F" w:rsidRDefault="002D7080" w:rsidP="002D7080">
      <w:pPr>
        <w:spacing w:after="0" w:line="240" w:lineRule="auto"/>
        <w:rPr>
          <w:rFonts w:ascii="Times New Roman" w:eastAsia="Times New Roman" w:hAnsi="Times New Roman" w:cs="Times New Roman"/>
          <w:bCs/>
          <w:sz w:val="20"/>
          <w:szCs w:val="20"/>
          <w:lang w:eastAsia="en-ZA"/>
        </w:rPr>
      </w:pPr>
    </w:p>
    <w:tbl>
      <w:tblPr>
        <w:tblStyle w:val="TableGrid"/>
        <w:tblW w:w="0" w:type="auto"/>
        <w:tblLook w:val="04A0" w:firstRow="1" w:lastRow="0" w:firstColumn="1" w:lastColumn="0" w:noHBand="0" w:noVBand="1"/>
      </w:tblPr>
      <w:tblGrid>
        <w:gridCol w:w="1555"/>
        <w:gridCol w:w="5953"/>
        <w:gridCol w:w="1508"/>
      </w:tblGrid>
      <w:tr w:rsidR="002D7080" w:rsidRPr="004D1E6F" w14:paraId="22D4C742" w14:textId="77777777" w:rsidTr="002E2C37">
        <w:tc>
          <w:tcPr>
            <w:tcW w:w="1555" w:type="dxa"/>
            <w:shd w:val="clear" w:color="auto" w:fill="D9D9D9" w:themeFill="background1" w:themeFillShade="D9"/>
          </w:tcPr>
          <w:p w14:paraId="611D2F93"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Parameter</w:t>
            </w:r>
          </w:p>
        </w:tc>
        <w:tc>
          <w:tcPr>
            <w:tcW w:w="5953" w:type="dxa"/>
            <w:shd w:val="clear" w:color="auto" w:fill="D9D9D9" w:themeFill="background1" w:themeFillShade="D9"/>
          </w:tcPr>
          <w:p w14:paraId="37B6F5D1"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Mechanism/sector</w:t>
            </w:r>
          </w:p>
        </w:tc>
        <w:tc>
          <w:tcPr>
            <w:tcW w:w="1508" w:type="dxa"/>
            <w:shd w:val="clear" w:color="auto" w:fill="D9D9D9" w:themeFill="background1" w:themeFillShade="D9"/>
          </w:tcPr>
          <w:p w14:paraId="01011D7C"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R</w:t>
            </w:r>
            <w:r w:rsidRPr="00712D17">
              <w:rPr>
                <w:rFonts w:ascii="Times New Roman" w:eastAsia="Times New Roman" w:hAnsi="Times New Roman" w:cs="Times New Roman"/>
                <w:b/>
                <w:sz w:val="20"/>
                <w:szCs w:val="20"/>
                <w:shd w:val="clear" w:color="auto" w:fill="D9D9D9" w:themeFill="background1" w:themeFillShade="D9"/>
                <w:lang w:eastAsia="en-ZA"/>
              </w:rPr>
              <w:t>esponse</w:t>
            </w:r>
          </w:p>
        </w:tc>
      </w:tr>
      <w:tr w:rsidR="002D7080" w:rsidRPr="004D1E6F" w14:paraId="474413D3" w14:textId="77777777" w:rsidTr="002E2C37">
        <w:tc>
          <w:tcPr>
            <w:tcW w:w="1555" w:type="dxa"/>
            <w:shd w:val="clear" w:color="auto" w:fill="D9D9D9" w:themeFill="background1" w:themeFillShade="D9"/>
          </w:tcPr>
          <w:p w14:paraId="57ED051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CON1a</w:t>
            </w:r>
          </w:p>
        </w:tc>
        <w:tc>
          <w:tcPr>
            <w:tcW w:w="5953" w:type="dxa"/>
          </w:tcPr>
          <w:p w14:paraId="3AE85D9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Competition</w:t>
            </w:r>
          </w:p>
        </w:tc>
        <w:tc>
          <w:tcPr>
            <w:tcW w:w="1508" w:type="dxa"/>
          </w:tcPr>
          <w:p w14:paraId="7F5A538C" w14:textId="77777777" w:rsidR="002D7080" w:rsidRPr="004D1E6F" w:rsidRDefault="002D7080" w:rsidP="002E2C37">
            <w:pPr>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1A9505EE" w14:textId="77777777" w:rsidTr="002E2C37">
        <w:tc>
          <w:tcPr>
            <w:tcW w:w="1555" w:type="dxa"/>
            <w:shd w:val="clear" w:color="auto" w:fill="D9D9D9" w:themeFill="background1" w:themeFillShade="D9"/>
          </w:tcPr>
          <w:p w14:paraId="19B96A2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CON1b</w:t>
            </w:r>
          </w:p>
        </w:tc>
        <w:tc>
          <w:tcPr>
            <w:tcW w:w="5953" w:type="dxa"/>
          </w:tcPr>
          <w:p w14:paraId="7929641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Predation</w:t>
            </w:r>
          </w:p>
        </w:tc>
        <w:tc>
          <w:tcPr>
            <w:tcW w:w="1508" w:type="dxa"/>
          </w:tcPr>
          <w:p w14:paraId="43F14947"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40EFA731" w14:textId="77777777" w:rsidTr="002E2C37">
        <w:tc>
          <w:tcPr>
            <w:tcW w:w="1555" w:type="dxa"/>
            <w:shd w:val="clear" w:color="auto" w:fill="D9D9D9" w:themeFill="background1" w:themeFillShade="D9"/>
          </w:tcPr>
          <w:p w14:paraId="62114CD5"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CON1c</w:t>
            </w:r>
          </w:p>
        </w:tc>
        <w:tc>
          <w:tcPr>
            <w:tcW w:w="5953" w:type="dxa"/>
          </w:tcPr>
          <w:p w14:paraId="4CBD6B4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Hybridisation</w:t>
            </w:r>
          </w:p>
        </w:tc>
        <w:tc>
          <w:tcPr>
            <w:tcW w:w="1508" w:type="dxa"/>
          </w:tcPr>
          <w:p w14:paraId="19C8A1B0"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18439B6A" w14:textId="77777777" w:rsidTr="002E2C37">
        <w:tc>
          <w:tcPr>
            <w:tcW w:w="1555" w:type="dxa"/>
            <w:shd w:val="clear" w:color="auto" w:fill="D9D9D9" w:themeFill="background1" w:themeFillShade="D9"/>
          </w:tcPr>
          <w:p w14:paraId="44EDDCD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CON1d</w:t>
            </w:r>
          </w:p>
        </w:tc>
        <w:tc>
          <w:tcPr>
            <w:tcW w:w="5953" w:type="dxa"/>
          </w:tcPr>
          <w:p w14:paraId="743EF0D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Disease transmission</w:t>
            </w:r>
          </w:p>
        </w:tc>
        <w:tc>
          <w:tcPr>
            <w:tcW w:w="1508" w:type="dxa"/>
          </w:tcPr>
          <w:p w14:paraId="2DAB1B50"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5FBBC97F" w14:textId="77777777" w:rsidTr="002E2C37">
        <w:tc>
          <w:tcPr>
            <w:tcW w:w="1555" w:type="dxa"/>
            <w:shd w:val="clear" w:color="auto" w:fill="D9D9D9" w:themeFill="background1" w:themeFillShade="D9"/>
          </w:tcPr>
          <w:p w14:paraId="74ADF2B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CON1e</w:t>
            </w:r>
          </w:p>
        </w:tc>
        <w:tc>
          <w:tcPr>
            <w:tcW w:w="5953" w:type="dxa"/>
          </w:tcPr>
          <w:p w14:paraId="5044718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Parasitism</w:t>
            </w:r>
          </w:p>
        </w:tc>
        <w:tc>
          <w:tcPr>
            <w:tcW w:w="1508" w:type="dxa"/>
          </w:tcPr>
          <w:p w14:paraId="6CC514CC"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607899FC" w14:textId="77777777" w:rsidTr="002E2C37">
        <w:tc>
          <w:tcPr>
            <w:tcW w:w="1555" w:type="dxa"/>
            <w:shd w:val="clear" w:color="auto" w:fill="D9D9D9" w:themeFill="background1" w:themeFillShade="D9"/>
          </w:tcPr>
          <w:p w14:paraId="422E02D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CON1f</w:t>
            </w:r>
          </w:p>
        </w:tc>
        <w:tc>
          <w:tcPr>
            <w:tcW w:w="5953" w:type="dxa"/>
          </w:tcPr>
          <w:p w14:paraId="7A30266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Poisoning/toxicity</w:t>
            </w:r>
          </w:p>
        </w:tc>
        <w:tc>
          <w:tcPr>
            <w:tcW w:w="1508" w:type="dxa"/>
          </w:tcPr>
          <w:p w14:paraId="243D587E"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126364D4" w14:textId="77777777" w:rsidTr="002E2C37">
        <w:tc>
          <w:tcPr>
            <w:tcW w:w="1555" w:type="dxa"/>
            <w:shd w:val="clear" w:color="auto" w:fill="D9D9D9" w:themeFill="background1" w:themeFillShade="D9"/>
          </w:tcPr>
          <w:p w14:paraId="0DB84BF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CON1g</w:t>
            </w:r>
          </w:p>
        </w:tc>
        <w:tc>
          <w:tcPr>
            <w:tcW w:w="5953" w:type="dxa"/>
          </w:tcPr>
          <w:p w14:paraId="7246058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Bio-fouling or other direct physical disturbance</w:t>
            </w:r>
          </w:p>
        </w:tc>
        <w:tc>
          <w:tcPr>
            <w:tcW w:w="1508" w:type="dxa"/>
          </w:tcPr>
          <w:p w14:paraId="034F4053"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25ACDE7B" w14:textId="77777777" w:rsidTr="002E2C37">
        <w:tc>
          <w:tcPr>
            <w:tcW w:w="1555" w:type="dxa"/>
            <w:shd w:val="clear" w:color="auto" w:fill="D9D9D9" w:themeFill="background1" w:themeFillShade="D9"/>
          </w:tcPr>
          <w:p w14:paraId="0A1FE71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CON1h</w:t>
            </w:r>
          </w:p>
        </w:tc>
        <w:tc>
          <w:tcPr>
            <w:tcW w:w="5953" w:type="dxa"/>
          </w:tcPr>
          <w:p w14:paraId="04F1588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Grazing/herbivory/browsing</w:t>
            </w:r>
          </w:p>
        </w:tc>
        <w:tc>
          <w:tcPr>
            <w:tcW w:w="1508" w:type="dxa"/>
          </w:tcPr>
          <w:p w14:paraId="39DE7149"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1C4610F0" w14:textId="77777777" w:rsidTr="002E2C37">
        <w:tc>
          <w:tcPr>
            <w:tcW w:w="1555" w:type="dxa"/>
            <w:shd w:val="clear" w:color="auto" w:fill="D9D9D9" w:themeFill="background1" w:themeFillShade="D9"/>
          </w:tcPr>
          <w:p w14:paraId="73DFC9C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CON1i</w:t>
            </w:r>
          </w:p>
        </w:tc>
        <w:tc>
          <w:tcPr>
            <w:tcW w:w="5953" w:type="dxa"/>
          </w:tcPr>
          <w:p w14:paraId="6B4DDBB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Chemical, physical, structural impact</w:t>
            </w:r>
          </w:p>
        </w:tc>
        <w:tc>
          <w:tcPr>
            <w:tcW w:w="1508" w:type="dxa"/>
          </w:tcPr>
          <w:p w14:paraId="24F313A9"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0989F373" w14:textId="77777777" w:rsidTr="002E2C37">
        <w:tc>
          <w:tcPr>
            <w:tcW w:w="1555" w:type="dxa"/>
            <w:shd w:val="clear" w:color="auto" w:fill="D9D9D9" w:themeFill="background1" w:themeFillShade="D9"/>
          </w:tcPr>
          <w:p w14:paraId="4704992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CON1k</w:t>
            </w:r>
          </w:p>
        </w:tc>
        <w:tc>
          <w:tcPr>
            <w:tcW w:w="5953" w:type="dxa"/>
          </w:tcPr>
          <w:p w14:paraId="167488C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Indirect impacts through interactions with other species</w:t>
            </w:r>
          </w:p>
        </w:tc>
        <w:tc>
          <w:tcPr>
            <w:tcW w:w="1508" w:type="dxa"/>
          </w:tcPr>
          <w:p w14:paraId="0FB0B7DB"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74149F0D" w14:textId="77777777" w:rsidTr="002E2C37">
        <w:tc>
          <w:tcPr>
            <w:tcW w:w="1555" w:type="dxa"/>
            <w:shd w:val="clear" w:color="auto" w:fill="D9D9D9" w:themeFill="background1" w:themeFillShade="D9"/>
          </w:tcPr>
          <w:p w14:paraId="0C4D40A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w:t>
            </w:r>
          </w:p>
        </w:tc>
        <w:tc>
          <w:tcPr>
            <w:tcW w:w="5953" w:type="dxa"/>
          </w:tcPr>
          <w:p w14:paraId="0AB6BB5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Maximum environmental impact</w:t>
            </w:r>
          </w:p>
        </w:tc>
        <w:tc>
          <w:tcPr>
            <w:tcW w:w="1508" w:type="dxa"/>
          </w:tcPr>
          <w:p w14:paraId="1F3CA1B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579367D4" w14:textId="77777777" w:rsidTr="002E2C37">
        <w:tc>
          <w:tcPr>
            <w:tcW w:w="1555" w:type="dxa"/>
            <w:shd w:val="clear" w:color="auto" w:fill="D9D9D9" w:themeFill="background1" w:themeFillShade="D9"/>
          </w:tcPr>
          <w:p w14:paraId="5626B10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CON2a</w:t>
            </w:r>
          </w:p>
        </w:tc>
        <w:tc>
          <w:tcPr>
            <w:tcW w:w="5953" w:type="dxa"/>
          </w:tcPr>
          <w:p w14:paraId="25633F5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Safety</w:t>
            </w:r>
          </w:p>
        </w:tc>
        <w:tc>
          <w:tcPr>
            <w:tcW w:w="1508" w:type="dxa"/>
          </w:tcPr>
          <w:p w14:paraId="6B8139CD"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333C255C" w14:textId="77777777" w:rsidTr="002E2C37">
        <w:tc>
          <w:tcPr>
            <w:tcW w:w="1555" w:type="dxa"/>
            <w:shd w:val="clear" w:color="auto" w:fill="D9D9D9" w:themeFill="background1" w:themeFillShade="D9"/>
          </w:tcPr>
          <w:p w14:paraId="4D0321A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CON2b</w:t>
            </w:r>
          </w:p>
        </w:tc>
        <w:tc>
          <w:tcPr>
            <w:tcW w:w="5953" w:type="dxa"/>
          </w:tcPr>
          <w:p w14:paraId="0C2FFF1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Material and immaterial assets</w:t>
            </w:r>
          </w:p>
        </w:tc>
        <w:tc>
          <w:tcPr>
            <w:tcW w:w="1508" w:type="dxa"/>
          </w:tcPr>
          <w:p w14:paraId="285A820E"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59335EEB" w14:textId="77777777" w:rsidTr="002E2C37">
        <w:tc>
          <w:tcPr>
            <w:tcW w:w="1555" w:type="dxa"/>
            <w:shd w:val="clear" w:color="auto" w:fill="D9D9D9" w:themeFill="background1" w:themeFillShade="D9"/>
          </w:tcPr>
          <w:p w14:paraId="2571FED5"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CON2c</w:t>
            </w:r>
          </w:p>
        </w:tc>
        <w:tc>
          <w:tcPr>
            <w:tcW w:w="5953" w:type="dxa"/>
          </w:tcPr>
          <w:p w14:paraId="214A050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Health</w:t>
            </w:r>
          </w:p>
        </w:tc>
        <w:tc>
          <w:tcPr>
            <w:tcW w:w="1508" w:type="dxa"/>
          </w:tcPr>
          <w:p w14:paraId="2FAE9FC0"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218953E6" w14:textId="77777777" w:rsidTr="002E2C37">
        <w:tc>
          <w:tcPr>
            <w:tcW w:w="1555" w:type="dxa"/>
            <w:shd w:val="clear" w:color="auto" w:fill="D9D9D9" w:themeFill="background1" w:themeFillShade="D9"/>
          </w:tcPr>
          <w:p w14:paraId="22CD32D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CON2d</w:t>
            </w:r>
          </w:p>
        </w:tc>
        <w:tc>
          <w:tcPr>
            <w:tcW w:w="5953" w:type="dxa"/>
          </w:tcPr>
          <w:p w14:paraId="35252BC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Social, spiritual and cultural relations</w:t>
            </w:r>
          </w:p>
        </w:tc>
        <w:tc>
          <w:tcPr>
            <w:tcW w:w="1508" w:type="dxa"/>
          </w:tcPr>
          <w:p w14:paraId="6E0DC69C"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4EDAD1B3" w14:textId="77777777" w:rsidTr="002E2C37">
        <w:tc>
          <w:tcPr>
            <w:tcW w:w="1555" w:type="dxa"/>
            <w:shd w:val="clear" w:color="auto" w:fill="D9D9D9" w:themeFill="background1" w:themeFillShade="D9"/>
          </w:tcPr>
          <w:p w14:paraId="2C64508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w:t>
            </w:r>
          </w:p>
        </w:tc>
        <w:tc>
          <w:tcPr>
            <w:tcW w:w="5953" w:type="dxa"/>
          </w:tcPr>
          <w:p w14:paraId="1F72512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Maximum socio-economic impact</w:t>
            </w:r>
          </w:p>
        </w:tc>
        <w:tc>
          <w:tcPr>
            <w:tcW w:w="1508" w:type="dxa"/>
          </w:tcPr>
          <w:p w14:paraId="7FA0975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DD</w:t>
            </w:r>
          </w:p>
        </w:tc>
      </w:tr>
      <w:tr w:rsidR="002D7080" w:rsidRPr="004D1E6F" w14:paraId="6241DD99" w14:textId="77777777" w:rsidTr="002E2C37">
        <w:trPr>
          <w:trHeight w:val="100"/>
        </w:trPr>
        <w:tc>
          <w:tcPr>
            <w:tcW w:w="1555" w:type="dxa"/>
            <w:shd w:val="clear" w:color="auto" w:fill="D9D9D9" w:themeFill="background1" w:themeFillShade="D9"/>
          </w:tcPr>
          <w:p w14:paraId="3BABABD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w:t>
            </w:r>
          </w:p>
        </w:tc>
        <w:tc>
          <w:tcPr>
            <w:tcW w:w="5953" w:type="dxa"/>
          </w:tcPr>
          <w:p w14:paraId="43EC8C4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Environmental impact of closely related taxa</w:t>
            </w:r>
          </w:p>
        </w:tc>
        <w:tc>
          <w:tcPr>
            <w:tcW w:w="1508" w:type="dxa"/>
          </w:tcPr>
          <w:p w14:paraId="64CE87F0" w14:textId="77777777" w:rsidR="002D7080" w:rsidRPr="004D1E6F" w:rsidRDefault="002D7080" w:rsidP="002E2C37">
            <w:pPr>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MR</w:t>
            </w:r>
          </w:p>
        </w:tc>
      </w:tr>
      <w:tr w:rsidR="002D7080" w:rsidRPr="004D1E6F" w14:paraId="0F316C3D" w14:textId="77777777" w:rsidTr="002E2C37">
        <w:tc>
          <w:tcPr>
            <w:tcW w:w="1555" w:type="dxa"/>
            <w:shd w:val="clear" w:color="auto" w:fill="D9D9D9" w:themeFill="background1" w:themeFillShade="D9"/>
          </w:tcPr>
          <w:p w14:paraId="13DF278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CON4</w:t>
            </w:r>
          </w:p>
        </w:tc>
        <w:tc>
          <w:tcPr>
            <w:tcW w:w="5953" w:type="dxa"/>
          </w:tcPr>
          <w:p w14:paraId="72FB291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Socio-economic impact of closely related taxa</w:t>
            </w:r>
          </w:p>
        </w:tc>
        <w:tc>
          <w:tcPr>
            <w:tcW w:w="1508" w:type="dxa"/>
          </w:tcPr>
          <w:p w14:paraId="286393FF" w14:textId="77777777" w:rsidR="002D7080" w:rsidRPr="004D1E6F" w:rsidRDefault="002D7080" w:rsidP="002E2C37">
            <w:pPr>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MO</w:t>
            </w:r>
          </w:p>
        </w:tc>
      </w:tr>
      <w:tr w:rsidR="002D7080" w:rsidRPr="004D1E6F" w14:paraId="28CD9DD3" w14:textId="77777777" w:rsidTr="002E2C37">
        <w:tc>
          <w:tcPr>
            <w:tcW w:w="1555" w:type="dxa"/>
            <w:shd w:val="clear" w:color="auto" w:fill="D9D9D9" w:themeFill="background1" w:themeFillShade="D9"/>
          </w:tcPr>
          <w:p w14:paraId="7612286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CON5</w:t>
            </w:r>
          </w:p>
        </w:tc>
        <w:tc>
          <w:tcPr>
            <w:tcW w:w="5953" w:type="dxa"/>
          </w:tcPr>
          <w:p w14:paraId="31A4621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Potential impact based on traits, experiments, or models</w:t>
            </w:r>
          </w:p>
        </w:tc>
        <w:tc>
          <w:tcPr>
            <w:tcW w:w="1508" w:type="dxa"/>
          </w:tcPr>
          <w:p w14:paraId="0A52E2A6" w14:textId="77777777" w:rsidR="002D7080" w:rsidRPr="004D1E6F" w:rsidRDefault="002D7080" w:rsidP="002E2C37">
            <w:pPr>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MO</w:t>
            </w:r>
          </w:p>
        </w:tc>
      </w:tr>
    </w:tbl>
    <w:p w14:paraId="732C5EDF" w14:textId="77777777" w:rsidR="002D7080" w:rsidRPr="004D1E6F" w:rsidRDefault="002D7080" w:rsidP="002D7080">
      <w:pPr>
        <w:spacing w:after="0" w:line="240" w:lineRule="auto"/>
        <w:rPr>
          <w:rFonts w:ascii="Times New Roman" w:eastAsia="Times New Roman" w:hAnsi="Times New Roman" w:cs="Times New Roman"/>
          <w:bCs/>
          <w:sz w:val="20"/>
          <w:szCs w:val="20"/>
          <w:lang w:eastAsia="en-ZA"/>
        </w:rPr>
      </w:pPr>
    </w:p>
    <w:p w14:paraId="08408C33"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Risk score = High</w:t>
      </w:r>
    </w:p>
    <w:tbl>
      <w:tblPr>
        <w:tblW w:w="7700" w:type="dxa"/>
        <w:jc w:val="center"/>
        <w:tblCellMar>
          <w:left w:w="70" w:type="dxa"/>
          <w:right w:w="70" w:type="dxa"/>
        </w:tblCellMar>
        <w:tblLook w:val="04A0" w:firstRow="1" w:lastRow="0" w:firstColumn="1" w:lastColumn="0" w:noHBand="0" w:noVBand="1"/>
      </w:tblPr>
      <w:tblGrid>
        <w:gridCol w:w="440"/>
        <w:gridCol w:w="2060"/>
        <w:gridCol w:w="1004"/>
        <w:gridCol w:w="953"/>
        <w:gridCol w:w="1223"/>
        <w:gridCol w:w="953"/>
        <w:gridCol w:w="1067"/>
      </w:tblGrid>
      <w:tr w:rsidR="002D7080" w:rsidRPr="004D1E6F" w14:paraId="05BF9FE2" w14:textId="77777777" w:rsidTr="002E2C37">
        <w:trPr>
          <w:trHeight w:val="231"/>
          <w:jc w:val="center"/>
        </w:trPr>
        <w:tc>
          <w:tcPr>
            <w:tcW w:w="440" w:type="dxa"/>
            <w:vMerge w:val="restart"/>
            <w:tcBorders>
              <w:top w:val="nil"/>
              <w:left w:val="nil"/>
              <w:bottom w:val="single" w:sz="4" w:space="0" w:color="000000"/>
              <w:right w:val="nil"/>
            </w:tcBorders>
            <w:noWrap/>
            <w:vAlign w:val="bottom"/>
            <w:hideMark/>
          </w:tcPr>
          <w:p w14:paraId="2F4F2552"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 </w:t>
            </w:r>
          </w:p>
        </w:tc>
        <w:tc>
          <w:tcPr>
            <w:tcW w:w="2060" w:type="dxa"/>
            <w:vMerge w:val="restart"/>
            <w:tcBorders>
              <w:top w:val="nil"/>
              <w:left w:val="nil"/>
              <w:bottom w:val="single" w:sz="4" w:space="0" w:color="000000"/>
              <w:right w:val="single" w:sz="4" w:space="0" w:color="auto"/>
            </w:tcBorders>
            <w:noWrap/>
            <w:vAlign w:val="bottom"/>
            <w:hideMark/>
          </w:tcPr>
          <w:p w14:paraId="0A577563"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 </w:t>
            </w:r>
          </w:p>
        </w:tc>
        <w:tc>
          <w:tcPr>
            <w:tcW w:w="5200" w:type="dxa"/>
            <w:gridSpan w:val="5"/>
            <w:tcBorders>
              <w:top w:val="single" w:sz="4" w:space="0" w:color="auto"/>
              <w:left w:val="nil"/>
              <w:bottom w:val="single" w:sz="4" w:space="0" w:color="auto"/>
              <w:right w:val="nil"/>
            </w:tcBorders>
            <w:shd w:val="clear" w:color="000000" w:fill="F2F2F2"/>
            <w:noWrap/>
            <w:vAlign w:val="bottom"/>
            <w:hideMark/>
          </w:tcPr>
          <w:p w14:paraId="583F0C16"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Consequences</w:t>
            </w:r>
          </w:p>
        </w:tc>
      </w:tr>
      <w:tr w:rsidR="002D7080" w:rsidRPr="004D1E6F" w14:paraId="3F38EFAE" w14:textId="77777777" w:rsidTr="002E2C37">
        <w:trPr>
          <w:trHeight w:val="281"/>
          <w:jc w:val="center"/>
        </w:trPr>
        <w:tc>
          <w:tcPr>
            <w:tcW w:w="440" w:type="dxa"/>
            <w:vMerge/>
            <w:tcBorders>
              <w:top w:val="nil"/>
              <w:left w:val="nil"/>
              <w:bottom w:val="single" w:sz="4" w:space="0" w:color="000000"/>
              <w:right w:val="nil"/>
            </w:tcBorders>
            <w:vAlign w:val="center"/>
            <w:hideMark/>
          </w:tcPr>
          <w:p w14:paraId="23654631"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vMerge/>
            <w:tcBorders>
              <w:top w:val="nil"/>
              <w:left w:val="nil"/>
              <w:bottom w:val="single" w:sz="4" w:space="0" w:color="auto"/>
              <w:right w:val="single" w:sz="4" w:space="0" w:color="auto"/>
            </w:tcBorders>
            <w:vAlign w:val="center"/>
            <w:hideMark/>
          </w:tcPr>
          <w:p w14:paraId="7F429C44"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1004" w:type="dxa"/>
            <w:tcBorders>
              <w:top w:val="single" w:sz="4" w:space="0" w:color="auto"/>
              <w:left w:val="nil"/>
              <w:bottom w:val="single" w:sz="4" w:space="0" w:color="auto"/>
              <w:right w:val="single" w:sz="4" w:space="0" w:color="auto"/>
            </w:tcBorders>
            <w:shd w:val="clear" w:color="000000" w:fill="F2F2F2"/>
            <w:noWrap/>
            <w:vAlign w:val="bottom"/>
            <w:hideMark/>
          </w:tcPr>
          <w:p w14:paraId="3971CE12"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MC</w:t>
            </w:r>
          </w:p>
        </w:tc>
        <w:tc>
          <w:tcPr>
            <w:tcW w:w="953"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5DFB5BA2"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MN</w:t>
            </w:r>
          </w:p>
        </w:tc>
        <w:tc>
          <w:tcPr>
            <w:tcW w:w="1223"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0EF7408E"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MO</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3E742DE0"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MR</w:t>
            </w:r>
          </w:p>
        </w:tc>
        <w:tc>
          <w:tcPr>
            <w:tcW w:w="10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0A10BD40"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MV</w:t>
            </w:r>
          </w:p>
        </w:tc>
      </w:tr>
      <w:tr w:rsidR="002D7080" w:rsidRPr="004D1E6F" w14:paraId="5FDED398" w14:textId="77777777" w:rsidTr="002E2C37">
        <w:trPr>
          <w:trHeight w:val="271"/>
          <w:jc w:val="center"/>
        </w:trPr>
        <w:tc>
          <w:tcPr>
            <w:tcW w:w="440" w:type="dxa"/>
            <w:vMerge w:val="restart"/>
            <w:tcBorders>
              <w:top w:val="single" w:sz="4" w:space="0" w:color="000000"/>
              <w:left w:val="single" w:sz="4" w:space="0" w:color="auto"/>
              <w:bottom w:val="single" w:sz="4" w:space="0" w:color="auto"/>
              <w:right w:val="single" w:sz="4" w:space="0" w:color="auto"/>
            </w:tcBorders>
            <w:shd w:val="clear" w:color="000000" w:fill="F2F2F2"/>
            <w:noWrap/>
            <w:textDirection w:val="btLr"/>
            <w:vAlign w:val="center"/>
            <w:hideMark/>
          </w:tcPr>
          <w:p w14:paraId="064FBF3B"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Likelihood</w:t>
            </w:r>
          </w:p>
        </w:tc>
        <w:tc>
          <w:tcPr>
            <w:tcW w:w="2060" w:type="dxa"/>
            <w:tcBorders>
              <w:top w:val="single" w:sz="4" w:space="0" w:color="auto"/>
              <w:left w:val="nil"/>
              <w:bottom w:val="single" w:sz="4" w:space="0" w:color="auto"/>
              <w:right w:val="single" w:sz="4" w:space="0" w:color="auto"/>
            </w:tcBorders>
            <w:shd w:val="clear" w:color="000000" w:fill="F2F2F2"/>
            <w:noWrap/>
            <w:vAlign w:val="center"/>
            <w:hideMark/>
          </w:tcPr>
          <w:p w14:paraId="3C67E5D1"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Extremely unlikely</w:t>
            </w:r>
          </w:p>
        </w:tc>
        <w:tc>
          <w:tcPr>
            <w:tcW w:w="1004" w:type="dxa"/>
            <w:tcBorders>
              <w:top w:val="single" w:sz="4" w:space="0" w:color="auto"/>
              <w:left w:val="nil"/>
              <w:bottom w:val="single" w:sz="4" w:space="0" w:color="auto"/>
              <w:right w:val="single" w:sz="4" w:space="0" w:color="auto"/>
            </w:tcBorders>
            <w:noWrap/>
            <w:vAlign w:val="center"/>
            <w:hideMark/>
          </w:tcPr>
          <w:p w14:paraId="78E86348"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0635B1A1"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54EC135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7FAE4CF0"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CCA81B5"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r>
      <w:tr w:rsidR="002D7080" w:rsidRPr="004D1E6F" w14:paraId="6C1A0FA0" w14:textId="77777777" w:rsidTr="002E2C37">
        <w:trPr>
          <w:trHeight w:val="275"/>
          <w:jc w:val="center"/>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02685C11"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000000" w:fill="F2F2F2"/>
            <w:noWrap/>
            <w:vAlign w:val="center"/>
            <w:hideMark/>
          </w:tcPr>
          <w:p w14:paraId="78A0B697"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Very unlikely</w:t>
            </w:r>
          </w:p>
        </w:tc>
        <w:tc>
          <w:tcPr>
            <w:tcW w:w="1004" w:type="dxa"/>
            <w:tcBorders>
              <w:top w:val="single" w:sz="4" w:space="0" w:color="auto"/>
              <w:left w:val="nil"/>
              <w:bottom w:val="single" w:sz="4" w:space="0" w:color="auto"/>
              <w:right w:val="single" w:sz="4" w:space="0" w:color="auto"/>
            </w:tcBorders>
            <w:noWrap/>
            <w:vAlign w:val="center"/>
            <w:hideMark/>
          </w:tcPr>
          <w:p w14:paraId="4889A476"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377191C"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6B0B23A2"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562DD3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CCE297A"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10CB0C86" w14:textId="77777777" w:rsidTr="002E2C37">
        <w:trPr>
          <w:trHeight w:val="265"/>
          <w:jc w:val="center"/>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3ED652F4"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000000" w:fill="F2F2F2"/>
            <w:noWrap/>
            <w:vAlign w:val="center"/>
            <w:hideMark/>
          </w:tcPr>
          <w:p w14:paraId="3F392EC9"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Unlikely</w:t>
            </w:r>
          </w:p>
        </w:tc>
        <w:tc>
          <w:tcPr>
            <w:tcW w:w="1004" w:type="dxa"/>
            <w:tcBorders>
              <w:top w:val="single" w:sz="4" w:space="0" w:color="auto"/>
              <w:left w:val="nil"/>
              <w:bottom w:val="single" w:sz="4" w:space="0" w:color="auto"/>
              <w:right w:val="single" w:sz="4" w:space="0" w:color="auto"/>
            </w:tcBorders>
            <w:noWrap/>
            <w:vAlign w:val="center"/>
            <w:hideMark/>
          </w:tcPr>
          <w:p w14:paraId="0FC4AE30"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075B20C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4E048A97"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1F45B41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01A01FC"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5231FFC2" w14:textId="77777777" w:rsidTr="002E2C37">
        <w:trPr>
          <w:trHeight w:val="283"/>
          <w:jc w:val="center"/>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58AC1A57"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FFFF00"/>
            <w:noWrap/>
            <w:vAlign w:val="center"/>
            <w:hideMark/>
          </w:tcPr>
          <w:p w14:paraId="5D7B5525"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Fairly probable</w:t>
            </w:r>
          </w:p>
        </w:tc>
        <w:tc>
          <w:tcPr>
            <w:tcW w:w="1004" w:type="dxa"/>
            <w:tcBorders>
              <w:top w:val="single" w:sz="4" w:space="0" w:color="auto"/>
              <w:left w:val="nil"/>
              <w:bottom w:val="single" w:sz="4" w:space="0" w:color="auto"/>
              <w:right w:val="single" w:sz="4" w:space="0" w:color="auto"/>
            </w:tcBorders>
            <w:noWrap/>
            <w:vAlign w:val="center"/>
            <w:hideMark/>
          </w:tcPr>
          <w:p w14:paraId="5F7E489A"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0AB425D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3C1BB604"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E22914C"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F2CBBEB"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5A431399" w14:textId="77777777" w:rsidTr="002E2C37">
        <w:trPr>
          <w:trHeight w:val="273"/>
          <w:jc w:val="center"/>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632DAA10"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000000" w:fill="F2F2F2"/>
            <w:noWrap/>
            <w:vAlign w:val="center"/>
            <w:hideMark/>
          </w:tcPr>
          <w:p w14:paraId="69E219E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Probable</w:t>
            </w:r>
          </w:p>
        </w:tc>
        <w:tc>
          <w:tcPr>
            <w:tcW w:w="1004" w:type="dxa"/>
            <w:tcBorders>
              <w:top w:val="single" w:sz="4" w:space="0" w:color="auto"/>
              <w:left w:val="nil"/>
              <w:bottom w:val="single" w:sz="4" w:space="0" w:color="auto"/>
              <w:right w:val="single" w:sz="4" w:space="0" w:color="auto"/>
            </w:tcBorders>
            <w:noWrap/>
            <w:vAlign w:val="center"/>
            <w:hideMark/>
          </w:tcPr>
          <w:p w14:paraId="22098B71"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3372891"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561C3D8F"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14726C98"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04BCCE4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bl>
    <w:p w14:paraId="5A53B430" w14:textId="77777777" w:rsidR="002D7080" w:rsidRPr="004D1E6F" w:rsidRDefault="002D7080" w:rsidP="002D7080">
      <w:pPr>
        <w:spacing w:after="0" w:line="240" w:lineRule="auto"/>
        <w:rPr>
          <w:rFonts w:ascii="Times New Roman" w:hAnsi="Times New Roman" w:cs="Times New Roman"/>
          <w:sz w:val="20"/>
          <w:szCs w:val="20"/>
        </w:rPr>
      </w:pPr>
    </w:p>
    <w:p w14:paraId="58348CF2"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Ease of management = Medium</w:t>
      </w:r>
    </w:p>
    <w:p w14:paraId="73101540"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pPr w:leftFromText="180" w:rightFromText="180" w:vertAnchor="text" w:tblpXSpec="center" w:tblpY="1"/>
        <w:tblOverlap w:val="never"/>
        <w:tblW w:w="8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4667"/>
        <w:gridCol w:w="2013"/>
      </w:tblGrid>
      <w:tr w:rsidR="002D7080" w:rsidRPr="004D1E6F" w14:paraId="1D570694" w14:textId="77777777" w:rsidTr="002E2C37">
        <w:trPr>
          <w:trHeight w:val="272"/>
        </w:trPr>
        <w:tc>
          <w:tcPr>
            <w:tcW w:w="1678" w:type="dxa"/>
            <w:shd w:val="clear" w:color="auto" w:fill="F2F2F2" w:themeFill="background1" w:themeFillShade="F2"/>
            <w:vAlign w:val="center"/>
          </w:tcPr>
          <w:p w14:paraId="4B0C2352"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Parameter</w:t>
            </w:r>
          </w:p>
        </w:tc>
        <w:tc>
          <w:tcPr>
            <w:tcW w:w="4667" w:type="dxa"/>
            <w:shd w:val="clear" w:color="auto" w:fill="F2F2F2" w:themeFill="background1" w:themeFillShade="F2"/>
            <w:vAlign w:val="center"/>
          </w:tcPr>
          <w:p w14:paraId="2BB3F05C"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Question</w:t>
            </w:r>
          </w:p>
        </w:tc>
        <w:tc>
          <w:tcPr>
            <w:tcW w:w="2013" w:type="dxa"/>
            <w:shd w:val="clear" w:color="auto" w:fill="F2F2F2" w:themeFill="background1" w:themeFillShade="F2"/>
            <w:vAlign w:val="center"/>
          </w:tcPr>
          <w:p w14:paraId="3118BEA8"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Response</w:t>
            </w:r>
          </w:p>
        </w:tc>
      </w:tr>
      <w:tr w:rsidR="002D7080" w:rsidRPr="004D1E6F" w14:paraId="612CDEC2" w14:textId="77777777" w:rsidTr="002E2C37">
        <w:trPr>
          <w:trHeight w:val="305"/>
        </w:trPr>
        <w:tc>
          <w:tcPr>
            <w:tcW w:w="1678" w:type="dxa"/>
            <w:shd w:val="clear" w:color="auto" w:fill="F2F2F2" w:themeFill="background1" w:themeFillShade="F2"/>
            <w:vAlign w:val="center"/>
          </w:tcPr>
          <w:p w14:paraId="2EA4238C"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MAN3a</w:t>
            </w:r>
          </w:p>
        </w:tc>
        <w:tc>
          <w:tcPr>
            <w:tcW w:w="4667" w:type="dxa"/>
            <w:shd w:val="clear" w:color="auto" w:fill="F2F2F2" w:themeFill="background1" w:themeFillShade="F2"/>
            <w:vAlign w:val="center"/>
          </w:tcPr>
          <w:p w14:paraId="69F48C25" w14:textId="77777777" w:rsidR="002D7080" w:rsidRPr="004D1E6F" w:rsidRDefault="002D7080" w:rsidP="002E2C37">
            <w:pPr>
              <w:tabs>
                <w:tab w:val="left" w:pos="1223"/>
              </w:tabs>
              <w:spacing w:after="0" w:line="240" w:lineRule="auto"/>
              <w:rPr>
                <w:rFonts w:ascii="Times New Roman" w:hAnsi="Times New Roman" w:cs="Times New Roman"/>
                <w:sz w:val="20"/>
                <w:szCs w:val="20"/>
              </w:rPr>
            </w:pPr>
            <w:r w:rsidRPr="004D1E6F">
              <w:rPr>
                <w:rFonts w:ascii="Times New Roman" w:hAnsi="Times New Roman" w:cs="Times New Roman"/>
                <w:sz w:val="20"/>
                <w:szCs w:val="20"/>
              </w:rPr>
              <w:t xml:space="preserve">How accessible are populations? </w:t>
            </w:r>
          </w:p>
        </w:tc>
        <w:tc>
          <w:tcPr>
            <w:tcW w:w="2013" w:type="dxa"/>
            <w:vAlign w:val="center"/>
          </w:tcPr>
          <w:p w14:paraId="65B162EC" w14:textId="77777777" w:rsidR="002D7080" w:rsidRPr="004D1E6F" w:rsidRDefault="002D7080" w:rsidP="002E2C37">
            <w:pPr>
              <w:tabs>
                <w:tab w:val="left" w:pos="1250"/>
              </w:tabs>
              <w:spacing w:after="0" w:line="240" w:lineRule="auto"/>
              <w:rPr>
                <w:rFonts w:ascii="Times New Roman" w:hAnsi="Times New Roman" w:cs="Times New Roman"/>
                <w:sz w:val="20"/>
                <w:szCs w:val="20"/>
              </w:rPr>
            </w:pPr>
            <w:r w:rsidRPr="004D1E6F">
              <w:rPr>
                <w:rFonts w:ascii="Times New Roman" w:hAnsi="Times New Roman" w:cs="Times New Roman"/>
                <w:sz w:val="20"/>
                <w:szCs w:val="20"/>
              </w:rPr>
              <w:t>0</w:t>
            </w:r>
          </w:p>
        </w:tc>
      </w:tr>
      <w:tr w:rsidR="002D7080" w:rsidRPr="004D1E6F" w14:paraId="50B19DA7" w14:textId="77777777" w:rsidTr="002E2C37">
        <w:trPr>
          <w:trHeight w:val="274"/>
        </w:trPr>
        <w:tc>
          <w:tcPr>
            <w:tcW w:w="1678" w:type="dxa"/>
            <w:shd w:val="clear" w:color="auto" w:fill="F2F2F2" w:themeFill="background1" w:themeFillShade="F2"/>
            <w:vAlign w:val="center"/>
          </w:tcPr>
          <w:p w14:paraId="116AAF51"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MAN3b</w:t>
            </w:r>
          </w:p>
        </w:tc>
        <w:tc>
          <w:tcPr>
            <w:tcW w:w="4667" w:type="dxa"/>
            <w:shd w:val="clear" w:color="auto" w:fill="F2F2F2" w:themeFill="background1" w:themeFillShade="F2"/>
            <w:vAlign w:val="center"/>
          </w:tcPr>
          <w:p w14:paraId="44D46D0C"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Is detectability critically time-dependent?</w:t>
            </w:r>
          </w:p>
        </w:tc>
        <w:tc>
          <w:tcPr>
            <w:tcW w:w="2013" w:type="dxa"/>
            <w:vAlign w:val="center"/>
          </w:tcPr>
          <w:p w14:paraId="24684F29"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2</w:t>
            </w:r>
          </w:p>
        </w:tc>
      </w:tr>
      <w:tr w:rsidR="002D7080" w:rsidRPr="004D1E6F" w14:paraId="4507964B" w14:textId="77777777" w:rsidTr="002E2C37">
        <w:trPr>
          <w:trHeight w:val="274"/>
        </w:trPr>
        <w:tc>
          <w:tcPr>
            <w:tcW w:w="1678" w:type="dxa"/>
            <w:shd w:val="clear" w:color="auto" w:fill="F2F2F2" w:themeFill="background1" w:themeFillShade="F2"/>
            <w:vAlign w:val="center"/>
          </w:tcPr>
          <w:p w14:paraId="48F9EDA1"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MAN3c</w:t>
            </w:r>
          </w:p>
        </w:tc>
        <w:tc>
          <w:tcPr>
            <w:tcW w:w="4667" w:type="dxa"/>
            <w:shd w:val="clear" w:color="auto" w:fill="F2F2F2" w:themeFill="background1" w:themeFillShade="F2"/>
            <w:vAlign w:val="center"/>
          </w:tcPr>
          <w:p w14:paraId="371E0AC9"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Time to reproduction</w:t>
            </w:r>
          </w:p>
        </w:tc>
        <w:tc>
          <w:tcPr>
            <w:tcW w:w="2013" w:type="dxa"/>
            <w:vAlign w:val="center"/>
          </w:tcPr>
          <w:p w14:paraId="16909DEF"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1</w:t>
            </w:r>
          </w:p>
        </w:tc>
      </w:tr>
      <w:tr w:rsidR="002D7080" w:rsidRPr="004D1E6F" w14:paraId="28DD99D8" w14:textId="77777777" w:rsidTr="002E2C37">
        <w:trPr>
          <w:trHeight w:val="280"/>
        </w:trPr>
        <w:tc>
          <w:tcPr>
            <w:tcW w:w="1678" w:type="dxa"/>
            <w:shd w:val="clear" w:color="auto" w:fill="F2F2F2" w:themeFill="background1" w:themeFillShade="F2"/>
            <w:vAlign w:val="center"/>
          </w:tcPr>
          <w:p w14:paraId="4F1D8520"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MAN3d</w:t>
            </w:r>
          </w:p>
        </w:tc>
        <w:tc>
          <w:tcPr>
            <w:tcW w:w="4667" w:type="dxa"/>
            <w:shd w:val="clear" w:color="auto" w:fill="F2F2F2" w:themeFill="background1" w:themeFillShade="F2"/>
            <w:vAlign w:val="center"/>
          </w:tcPr>
          <w:p w14:paraId="3A88FA36"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Propagule persistence</w:t>
            </w:r>
          </w:p>
        </w:tc>
        <w:tc>
          <w:tcPr>
            <w:tcW w:w="2013" w:type="dxa"/>
            <w:vAlign w:val="center"/>
          </w:tcPr>
          <w:p w14:paraId="33F3BE70"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0</w:t>
            </w:r>
          </w:p>
        </w:tc>
      </w:tr>
      <w:tr w:rsidR="002D7080" w:rsidRPr="004D1E6F" w14:paraId="15545198" w14:textId="77777777" w:rsidTr="002E2C37">
        <w:trPr>
          <w:trHeight w:val="248"/>
        </w:trPr>
        <w:tc>
          <w:tcPr>
            <w:tcW w:w="1678" w:type="dxa"/>
            <w:tcBorders>
              <w:top w:val="double" w:sz="4" w:space="0" w:color="auto"/>
            </w:tcBorders>
            <w:shd w:val="clear" w:color="auto" w:fill="F2F2F2" w:themeFill="background1" w:themeFillShade="F2"/>
            <w:vAlign w:val="center"/>
          </w:tcPr>
          <w:p w14:paraId="5863AE10"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MAN3</w:t>
            </w:r>
          </w:p>
        </w:tc>
        <w:tc>
          <w:tcPr>
            <w:tcW w:w="4667" w:type="dxa"/>
            <w:tcBorders>
              <w:top w:val="double" w:sz="4" w:space="0" w:color="auto"/>
            </w:tcBorders>
            <w:shd w:val="clear" w:color="auto" w:fill="F2F2F2" w:themeFill="background1" w:themeFillShade="F2"/>
            <w:vAlign w:val="center"/>
          </w:tcPr>
          <w:p w14:paraId="0319774E" w14:textId="77777777" w:rsidR="002D7080" w:rsidRPr="004D1E6F" w:rsidRDefault="002D7080" w:rsidP="002E2C37">
            <w:pPr>
              <w:spacing w:after="0" w:line="240" w:lineRule="auto"/>
              <w:rPr>
                <w:rFonts w:ascii="Times New Roman" w:hAnsi="Times New Roman" w:cs="Times New Roman"/>
                <w:b/>
                <w:sz w:val="20"/>
                <w:szCs w:val="20"/>
              </w:rPr>
            </w:pPr>
            <w:r w:rsidRPr="004D1E6F">
              <w:rPr>
                <w:rFonts w:ascii="Times New Roman" w:hAnsi="Times New Roman" w:cs="Times New Roman"/>
                <w:b/>
                <w:sz w:val="20"/>
                <w:szCs w:val="20"/>
              </w:rPr>
              <w:t>SUM</w:t>
            </w:r>
          </w:p>
        </w:tc>
        <w:tc>
          <w:tcPr>
            <w:tcW w:w="2013" w:type="dxa"/>
            <w:tcBorders>
              <w:top w:val="double" w:sz="4" w:space="0" w:color="auto"/>
            </w:tcBorders>
            <w:vAlign w:val="center"/>
          </w:tcPr>
          <w:p w14:paraId="03029680"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3</w:t>
            </w:r>
          </w:p>
        </w:tc>
      </w:tr>
    </w:tbl>
    <w:p w14:paraId="5ECAFB52" w14:textId="77777777" w:rsidR="002D7080" w:rsidRPr="004D1E6F" w:rsidRDefault="002D7080" w:rsidP="002D7080">
      <w:pPr>
        <w:spacing w:after="0" w:line="240" w:lineRule="auto"/>
        <w:rPr>
          <w:rFonts w:ascii="Times New Roman" w:hAnsi="Times New Roman" w:cs="Times New Roman"/>
          <w:sz w:val="20"/>
          <w:szCs w:val="20"/>
        </w:rPr>
      </w:pPr>
    </w:p>
    <w:p w14:paraId="2C185978"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br w:type="page"/>
      </w:r>
    </w:p>
    <w:p w14:paraId="3D2D0857" w14:textId="77777777" w:rsidR="002D7080" w:rsidRPr="004D1E6F" w:rsidRDefault="002D7080" w:rsidP="002D7080">
      <w:pPr>
        <w:spacing w:after="0" w:line="240" w:lineRule="auto"/>
        <w:rPr>
          <w:rFonts w:ascii="Times New Roman" w:eastAsia="Times New Roman" w:hAnsi="Times New Roman" w:cs="Times New Roman"/>
          <w:sz w:val="20"/>
          <w:szCs w:val="20"/>
        </w:rPr>
      </w:pPr>
      <w:r w:rsidRPr="004D1E6F">
        <w:rPr>
          <w:rFonts w:ascii="Times New Roman" w:eastAsia="Times New Roman" w:hAnsi="Times New Roman" w:cs="Times New Roman"/>
          <w:b/>
          <w:sz w:val="20"/>
          <w:szCs w:val="20"/>
        </w:rPr>
        <w:lastRenderedPageBreak/>
        <w:t xml:space="preserve">Appendix BAC7: </w:t>
      </w:r>
      <w:r w:rsidRPr="004D1E6F">
        <w:rPr>
          <w:rFonts w:ascii="Times New Roman" w:eastAsia="Times New Roman" w:hAnsi="Times New Roman" w:cs="Times New Roman"/>
          <w:sz w:val="20"/>
          <w:szCs w:val="20"/>
        </w:rPr>
        <w:t xml:space="preserve">Map of the native range of </w:t>
      </w:r>
      <w:r w:rsidRPr="004D1E6F">
        <w:rPr>
          <w:rFonts w:ascii="Times New Roman" w:eastAsia="Times New Roman" w:hAnsi="Times New Roman" w:cs="Times New Roman"/>
          <w:i/>
          <w:sz w:val="20"/>
          <w:szCs w:val="20"/>
        </w:rPr>
        <w:t>Cherax tenuimanus</w:t>
      </w:r>
      <w:r w:rsidRPr="004D1E6F">
        <w:rPr>
          <w:rFonts w:ascii="Times New Roman" w:eastAsia="Times New Roman" w:hAnsi="Times New Roman" w:cs="Times New Roman"/>
          <w:sz w:val="20"/>
          <w:szCs w:val="20"/>
        </w:rPr>
        <w:t xml:space="preserve">. </w:t>
      </w:r>
      <w:r w:rsidRPr="004D1E6F">
        <w:rPr>
          <w:rFonts w:ascii="Times New Roman" w:eastAsia="Times New Roman" w:hAnsi="Times New Roman" w:cs="Times New Roman"/>
          <w:b/>
          <w:sz w:val="20"/>
          <w:szCs w:val="20"/>
        </w:rPr>
        <w:t>Source</w:t>
      </w:r>
      <w:r w:rsidRPr="004D1E6F">
        <w:rPr>
          <w:rFonts w:ascii="Times New Roman" w:eastAsia="Times New Roman" w:hAnsi="Times New Roman" w:cs="Times New Roman"/>
          <w:sz w:val="20"/>
          <w:szCs w:val="20"/>
        </w:rPr>
        <w:t>: Allen, M.G., Beatty, S.J., Morgan, D.M. (2012). Stategic action plan for protecting aquatic biodiversity in the Cape to Cape region. Freshwater Fish Group and Fish Health Unit (Murdoch University) report to the Cape to Cape Research Group Department of Evironment and Conservation, Government of Western Australia</w:t>
      </w:r>
    </w:p>
    <w:p w14:paraId="03A5D0D8" w14:textId="77777777" w:rsidR="002D7080" w:rsidRPr="004D1E6F" w:rsidRDefault="002D7080" w:rsidP="002D7080">
      <w:pPr>
        <w:spacing w:after="0" w:line="240" w:lineRule="auto"/>
        <w:rPr>
          <w:rFonts w:ascii="Times New Roman" w:eastAsia="Times New Roman" w:hAnsi="Times New Roman" w:cs="Times New Roman"/>
          <w:sz w:val="20"/>
          <w:szCs w:val="20"/>
        </w:rPr>
      </w:pPr>
    </w:p>
    <w:p w14:paraId="0B499CC7" w14:textId="77777777" w:rsidR="002D7080" w:rsidRPr="004D1E6F" w:rsidRDefault="002D7080" w:rsidP="002D7080">
      <w:pPr>
        <w:spacing w:after="0" w:line="240" w:lineRule="auto"/>
        <w:jc w:val="center"/>
        <w:rPr>
          <w:rFonts w:ascii="Times New Roman" w:eastAsia="Times New Roman" w:hAnsi="Times New Roman" w:cs="Times New Roman"/>
          <w:b/>
          <w:sz w:val="20"/>
          <w:szCs w:val="20"/>
          <w:lang w:eastAsia="en-ZA"/>
        </w:rPr>
      </w:pPr>
      <w:r>
        <w:rPr>
          <w:rFonts w:ascii="Arial" w:eastAsia="Times New Roman" w:hAnsi="Arial" w:cs="Arial"/>
          <w:b/>
          <w:noProof/>
          <w:sz w:val="20"/>
          <w:szCs w:val="20"/>
          <w:lang w:eastAsia="en-ZA"/>
        </w:rPr>
        <w:drawing>
          <wp:inline distT="0" distB="0" distL="0" distR="0" wp14:anchorId="762E8CD9" wp14:editId="5156F428">
            <wp:extent cx="4334510" cy="1969135"/>
            <wp:effectExtent l="0" t="0" r="8890" b="0"/>
            <wp:docPr id="1774325470" name="Picture 1774325470"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25470" name="Picture 1774325470" descr="A map of a river&#10;&#10;AI-generated content may be incorrec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34510" cy="1969135"/>
                    </a:xfrm>
                    <a:prstGeom prst="rect">
                      <a:avLst/>
                    </a:prstGeom>
                    <a:noFill/>
                  </pic:spPr>
                </pic:pic>
              </a:graphicData>
            </a:graphic>
          </wp:inline>
        </w:drawing>
      </w:r>
    </w:p>
    <w:p w14:paraId="22103B83"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63C7D36D"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0406D757" w14:textId="77777777" w:rsidR="002D7080" w:rsidRPr="004D1E6F" w:rsidRDefault="002D7080" w:rsidP="002D7080">
      <w:pPr>
        <w:spacing w:after="0" w:line="240" w:lineRule="auto"/>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Appendix BAC8(a)</w:t>
      </w:r>
      <w:r w:rsidRPr="004D1E6F">
        <w:rPr>
          <w:rFonts w:ascii="Times New Roman" w:eastAsia="Times New Roman" w:hAnsi="Times New Roman" w:cs="Times New Roman"/>
          <w:sz w:val="20"/>
          <w:szCs w:val="20"/>
          <w:lang w:eastAsia="en-ZA"/>
        </w:rPr>
        <w:t xml:space="preserve">: </w:t>
      </w:r>
      <w:r w:rsidRPr="004D1E6F">
        <w:rPr>
          <w:rFonts w:ascii="Times New Roman" w:eastAsia="Arial" w:hAnsi="Times New Roman" w:cs="Times New Roman"/>
          <w:color w:val="000000"/>
          <w:sz w:val="20"/>
          <w:szCs w:val="20"/>
        </w:rPr>
        <w:t xml:space="preserve">Map of the global range of </w:t>
      </w:r>
      <w:r w:rsidRPr="004D1E6F">
        <w:rPr>
          <w:rFonts w:ascii="Times New Roman" w:eastAsia="Arial" w:hAnsi="Times New Roman" w:cs="Times New Roman"/>
          <w:i/>
          <w:color w:val="000000"/>
          <w:sz w:val="20"/>
          <w:szCs w:val="20"/>
        </w:rPr>
        <w:t xml:space="preserve">Cherax tenuimanus. </w:t>
      </w:r>
      <w:r w:rsidRPr="004D1E6F">
        <w:rPr>
          <w:rFonts w:ascii="Times New Roman" w:eastAsia="Arial" w:hAnsi="Times New Roman" w:cs="Times New Roman"/>
          <w:color w:val="000000"/>
          <w:sz w:val="20"/>
          <w:szCs w:val="20"/>
        </w:rPr>
        <w:t>Source</w:t>
      </w:r>
      <w:r w:rsidRPr="004D1E6F">
        <w:rPr>
          <w:rFonts w:ascii="Times New Roman" w:eastAsia="Arial" w:hAnsi="Times New Roman" w:cs="Times New Roman"/>
          <w:i/>
          <w:color w:val="000000"/>
          <w:sz w:val="20"/>
          <w:szCs w:val="20"/>
        </w:rPr>
        <w:t xml:space="preserve">: </w:t>
      </w:r>
      <w:r w:rsidRPr="004D1E6F">
        <w:rPr>
          <w:rFonts w:ascii="Times New Roman" w:eastAsia="Arial" w:hAnsi="Times New Roman" w:cs="Times New Roman"/>
          <w:color w:val="000000"/>
          <w:sz w:val="20"/>
          <w:szCs w:val="20"/>
        </w:rPr>
        <w:t xml:space="preserve">GBIF.org (06 August 2019) GBIF Occurrence Download </w:t>
      </w:r>
      <w:hyperlink w:history="1">
        <w:r w:rsidRPr="004D1E6F">
          <w:rPr>
            <w:rStyle w:val="Hyperlink"/>
            <w:rFonts w:ascii="Times New Roman" w:eastAsia="Arial" w:hAnsi="Times New Roman" w:cs="Times New Roman"/>
            <w:sz w:val="20"/>
            <w:szCs w:val="20"/>
          </w:rPr>
          <w:t>https://doi.org/10.15468/dl.tvqoxp</w:t>
        </w:r>
      </w:hyperlink>
      <w:r w:rsidRPr="004D1E6F">
        <w:rPr>
          <w:rFonts w:ascii="Times New Roman" w:eastAsia="Arial" w:hAnsi="Times New Roman" w:cs="Times New Roman"/>
          <w:i/>
          <w:color w:val="000000"/>
          <w:sz w:val="20"/>
          <w:szCs w:val="20"/>
        </w:rPr>
        <w:t xml:space="preserve">. </w:t>
      </w:r>
      <w:r w:rsidRPr="004D1E6F">
        <w:rPr>
          <w:rFonts w:ascii="Times New Roman" w:eastAsia="Arial" w:hAnsi="Times New Roman" w:cs="Times New Roman"/>
          <w:color w:val="000000"/>
          <w:sz w:val="20"/>
          <w:szCs w:val="20"/>
        </w:rPr>
        <w:t xml:space="preserve">The presence of </w:t>
      </w:r>
      <w:r w:rsidRPr="004D1E6F">
        <w:rPr>
          <w:rFonts w:ascii="Times New Roman" w:eastAsia="Arial" w:hAnsi="Times New Roman" w:cs="Times New Roman"/>
          <w:i/>
          <w:color w:val="000000"/>
          <w:sz w:val="20"/>
          <w:szCs w:val="20"/>
        </w:rPr>
        <w:t>C. tenuimanus</w:t>
      </w:r>
      <w:r w:rsidRPr="004D1E6F">
        <w:rPr>
          <w:rFonts w:ascii="Times New Roman" w:eastAsia="Arial" w:hAnsi="Times New Roman" w:cs="Times New Roman"/>
          <w:color w:val="000000"/>
          <w:sz w:val="20"/>
          <w:szCs w:val="20"/>
        </w:rPr>
        <w:t xml:space="preserve"> in South Africa needs to be verified as these records may have been of </w:t>
      </w:r>
      <w:r w:rsidRPr="004D1E6F">
        <w:rPr>
          <w:rFonts w:ascii="Times New Roman" w:eastAsia="Arial" w:hAnsi="Times New Roman" w:cs="Times New Roman"/>
          <w:i/>
          <w:iCs/>
          <w:color w:val="000000"/>
          <w:sz w:val="20"/>
          <w:szCs w:val="20"/>
        </w:rPr>
        <w:t>C. cainii</w:t>
      </w:r>
      <w:r w:rsidRPr="004D1E6F">
        <w:rPr>
          <w:rFonts w:ascii="Times New Roman" w:eastAsia="Arial" w:hAnsi="Times New Roman" w:cs="Times New Roman"/>
          <w:color w:val="000000"/>
          <w:sz w:val="20"/>
          <w:szCs w:val="20"/>
        </w:rPr>
        <w:t xml:space="preserve">. </w:t>
      </w:r>
    </w:p>
    <w:p w14:paraId="157FD6CF" w14:textId="77777777" w:rsidR="002D7080" w:rsidRDefault="002D7080" w:rsidP="002D7080">
      <w:pPr>
        <w:spacing w:after="0" w:line="240" w:lineRule="auto"/>
        <w:rPr>
          <w:rFonts w:ascii="Times New Roman" w:hAnsi="Times New Roman" w:cs="Times New Roman"/>
          <w:sz w:val="20"/>
          <w:szCs w:val="20"/>
        </w:rPr>
      </w:pPr>
    </w:p>
    <w:p w14:paraId="6460917F" w14:textId="77777777" w:rsidR="002D7080" w:rsidRPr="004D1E6F" w:rsidRDefault="002D7080" w:rsidP="002D7080">
      <w:pPr>
        <w:spacing w:after="0" w:line="240" w:lineRule="auto"/>
        <w:rPr>
          <w:rFonts w:ascii="Times New Roman" w:hAnsi="Times New Roman" w:cs="Times New Roman"/>
          <w:sz w:val="20"/>
          <w:szCs w:val="20"/>
        </w:rPr>
      </w:pPr>
      <w:r>
        <w:rPr>
          <w:rFonts w:ascii="Arial" w:eastAsia="Arial" w:hAnsi="Arial" w:cs="Arial"/>
          <w:b/>
          <w:noProof/>
          <w:color w:val="000000"/>
          <w:sz w:val="20"/>
          <w:szCs w:val="20"/>
          <w:lang w:eastAsia="en-ZA"/>
        </w:rPr>
        <w:drawing>
          <wp:inline distT="0" distB="0" distL="0" distR="0" wp14:anchorId="54B3F0AE" wp14:editId="16251676">
            <wp:extent cx="5375087" cy="2608687"/>
            <wp:effectExtent l="0" t="0" r="0" b="1270"/>
            <wp:docPr id="655533321" name="image1.png" descr="A map of the world&#10;&#10;Description automatically generated"/>
            <wp:cNvGraphicFramePr/>
            <a:graphic xmlns:a="http://schemas.openxmlformats.org/drawingml/2006/main">
              <a:graphicData uri="http://schemas.openxmlformats.org/drawingml/2006/picture">
                <pic:pic xmlns:pic="http://schemas.openxmlformats.org/drawingml/2006/picture">
                  <pic:nvPicPr>
                    <pic:cNvPr id="655533321" name="image1.png" descr="A map of the world&#10;&#10;Description automatically generated"/>
                    <pic:cNvPicPr preferRelativeResize="0"/>
                  </pic:nvPicPr>
                  <pic:blipFill rotWithShape="1">
                    <a:blip r:embed="rId111"/>
                    <a:srcRect t="9849"/>
                    <a:stretch/>
                  </pic:blipFill>
                  <pic:spPr bwMode="auto">
                    <a:xfrm>
                      <a:off x="0" y="0"/>
                      <a:ext cx="5375444" cy="2608860"/>
                    </a:xfrm>
                    <a:prstGeom prst="rect">
                      <a:avLst/>
                    </a:prstGeom>
                    <a:ln>
                      <a:noFill/>
                    </a:ln>
                    <a:extLst>
                      <a:ext uri="{53640926-AAD7-44D8-BBD7-CCE9431645EC}">
                        <a14:shadowObscured xmlns:a14="http://schemas.microsoft.com/office/drawing/2010/main"/>
                      </a:ext>
                    </a:extLst>
                  </pic:spPr>
                </pic:pic>
              </a:graphicData>
            </a:graphic>
          </wp:inline>
        </w:drawing>
      </w:r>
    </w:p>
    <w:p w14:paraId="67BAAE38" w14:textId="77777777" w:rsidR="002D7080" w:rsidRPr="004D1E6F" w:rsidRDefault="002D7080" w:rsidP="002D7080">
      <w:pPr>
        <w:spacing w:after="0" w:line="240" w:lineRule="auto"/>
        <w:rPr>
          <w:rFonts w:ascii="Times New Roman" w:hAnsi="Times New Roman" w:cs="Times New Roman"/>
        </w:rPr>
      </w:pPr>
    </w:p>
    <w:p w14:paraId="7FBA888F" w14:textId="77777777" w:rsidR="002D7080" w:rsidRPr="004D1E6F" w:rsidRDefault="002D7080" w:rsidP="002D7080">
      <w:pPr>
        <w:rPr>
          <w:rFonts w:ascii="Times New Roman" w:hAnsi="Times New Roman" w:cs="Times New Roman"/>
          <w:b/>
          <w:i/>
          <w:sz w:val="24"/>
          <w:szCs w:val="24"/>
        </w:rPr>
      </w:pPr>
      <w:r w:rsidRPr="004D1E6F">
        <w:rPr>
          <w:rFonts w:ascii="Times New Roman" w:hAnsi="Times New Roman" w:cs="Times New Roman"/>
          <w:b/>
          <w:i/>
          <w:sz w:val="24"/>
          <w:szCs w:val="24"/>
        </w:rPr>
        <w:br w:type="page"/>
      </w:r>
    </w:p>
    <w:p w14:paraId="3215DD92" w14:textId="1DAA0872" w:rsidR="002D7080" w:rsidRPr="005A2F10" w:rsidRDefault="001865AA" w:rsidP="002D7080">
      <w:pPr>
        <w:pStyle w:val="Heading2"/>
        <w:rPr>
          <w:rStyle w:val="Heading2Char"/>
          <w:rFonts w:ascii="Times New Roman" w:hAnsi="Times New Roman" w:cs="Times New Roman"/>
          <w:color w:val="auto"/>
          <w:sz w:val="28"/>
          <w:szCs w:val="28"/>
        </w:rPr>
      </w:pPr>
      <w:r>
        <w:rPr>
          <w:rStyle w:val="Heading2Char"/>
          <w:rFonts w:ascii="Times New Roman" w:hAnsi="Times New Roman" w:cs="Times New Roman"/>
          <w:color w:val="auto"/>
          <w:sz w:val="28"/>
          <w:szCs w:val="28"/>
        </w:rPr>
        <w:lastRenderedPageBreak/>
        <w:t>1</w:t>
      </w:r>
      <w:r w:rsidR="002D7080" w:rsidRPr="005A2F10">
        <w:rPr>
          <w:rStyle w:val="Heading2Char"/>
          <w:rFonts w:ascii="Times New Roman" w:hAnsi="Times New Roman" w:cs="Times New Roman"/>
          <w:color w:val="auto"/>
          <w:sz w:val="28"/>
          <w:szCs w:val="28"/>
        </w:rPr>
        <w:t>.3 Risk analysis report for yabby (</w:t>
      </w:r>
      <w:r w:rsidR="002D7080" w:rsidRPr="005A2F10">
        <w:rPr>
          <w:rStyle w:val="Heading2Char"/>
          <w:rFonts w:ascii="Times New Roman" w:hAnsi="Times New Roman" w:cs="Times New Roman"/>
          <w:i/>
          <w:iCs/>
          <w:color w:val="auto"/>
          <w:sz w:val="28"/>
          <w:szCs w:val="28"/>
        </w:rPr>
        <w:t>Cherax destructor</w:t>
      </w:r>
      <w:r w:rsidR="002D7080" w:rsidRPr="005A2F10">
        <w:rPr>
          <w:rStyle w:val="Heading2Char"/>
          <w:rFonts w:ascii="Times New Roman" w:hAnsi="Times New Roman" w:cs="Times New Roman"/>
          <w:color w:val="auto"/>
          <w:sz w:val="28"/>
          <w:szCs w:val="28"/>
        </w:rPr>
        <w:t>)</w:t>
      </w:r>
    </w:p>
    <w:p w14:paraId="0BE1FB31" w14:textId="77777777" w:rsidR="002D7080" w:rsidRPr="004D1E6F" w:rsidRDefault="002D7080" w:rsidP="002D7080">
      <w:pPr>
        <w:spacing w:after="0" w:line="240" w:lineRule="auto"/>
        <w:rPr>
          <w:rFonts w:ascii="Times New Roman" w:hAnsi="Times New Roman" w:cs="Times New Roman"/>
          <w:b/>
          <w:i/>
          <w:sz w:val="20"/>
          <w:szCs w:val="20"/>
        </w:rPr>
      </w:pPr>
    </w:p>
    <w:tbl>
      <w:tblPr>
        <w:tblStyle w:val="TableGrid"/>
        <w:tblW w:w="0" w:type="auto"/>
        <w:tblLook w:val="04A0" w:firstRow="1" w:lastRow="0" w:firstColumn="1" w:lastColumn="0" w:noHBand="0" w:noVBand="1"/>
      </w:tblPr>
      <w:tblGrid>
        <w:gridCol w:w="4508"/>
        <w:gridCol w:w="2717"/>
        <w:gridCol w:w="1791"/>
      </w:tblGrid>
      <w:tr w:rsidR="002D7080" w:rsidRPr="004D1E6F" w14:paraId="647DBF8C" w14:textId="77777777" w:rsidTr="002E2C37">
        <w:trPr>
          <w:trHeight w:val="140"/>
        </w:trPr>
        <w:tc>
          <w:tcPr>
            <w:tcW w:w="4508" w:type="dxa"/>
          </w:tcPr>
          <w:p w14:paraId="776E2F69" w14:textId="77777777" w:rsidR="002D7080" w:rsidRPr="004D1E6F" w:rsidRDefault="002D7080" w:rsidP="002E2C37">
            <w:pPr>
              <w:rPr>
                <w:rFonts w:ascii="Times New Roman" w:hAnsi="Times New Roman" w:cs="Times New Roman"/>
                <w:b/>
                <w:iCs/>
                <w:sz w:val="20"/>
                <w:szCs w:val="20"/>
              </w:rPr>
            </w:pPr>
            <w:r w:rsidRPr="004D1E6F">
              <w:rPr>
                <w:rFonts w:ascii="Times New Roman" w:hAnsi="Times New Roman" w:cs="Times New Roman"/>
                <w:b/>
                <w:i/>
                <w:sz w:val="20"/>
                <w:szCs w:val="20"/>
              </w:rPr>
              <w:t xml:space="preserve">Taxon: </w:t>
            </w:r>
            <w:r w:rsidRPr="004D1E6F">
              <w:rPr>
                <w:rFonts w:ascii="Times New Roman" w:eastAsia="Times New Roman" w:hAnsi="Times New Roman" w:cs="Times New Roman"/>
                <w:i/>
                <w:sz w:val="20"/>
                <w:szCs w:val="20"/>
                <w:lang w:eastAsia="en-ZA"/>
              </w:rPr>
              <w:t xml:space="preserve">Cherax destructor </w:t>
            </w:r>
            <w:r w:rsidRPr="004D1E6F">
              <w:rPr>
                <w:rFonts w:ascii="Times New Roman" w:eastAsia="Times New Roman" w:hAnsi="Times New Roman" w:cs="Times New Roman"/>
                <w:iCs/>
                <w:sz w:val="20"/>
                <w:szCs w:val="20"/>
                <w:lang w:eastAsia="en-ZA"/>
              </w:rPr>
              <w:t>Clark 1936</w:t>
            </w:r>
          </w:p>
        </w:tc>
        <w:tc>
          <w:tcPr>
            <w:tcW w:w="4508" w:type="dxa"/>
            <w:gridSpan w:val="2"/>
          </w:tcPr>
          <w:p w14:paraId="591DBA37" w14:textId="77777777" w:rsidR="002D7080" w:rsidRPr="004D1E6F" w:rsidRDefault="002D7080" w:rsidP="002E2C37">
            <w:pPr>
              <w:rPr>
                <w:rFonts w:ascii="Times New Roman" w:hAnsi="Times New Roman" w:cs="Times New Roman"/>
                <w:bCs/>
                <w:iCs/>
                <w:sz w:val="20"/>
                <w:szCs w:val="20"/>
              </w:rPr>
            </w:pPr>
            <w:r w:rsidRPr="004D1E6F">
              <w:rPr>
                <w:rFonts w:ascii="Times New Roman" w:hAnsi="Times New Roman" w:cs="Times New Roman"/>
                <w:b/>
                <w:i/>
                <w:sz w:val="20"/>
                <w:szCs w:val="20"/>
              </w:rPr>
              <w:t xml:space="preserve">Area: </w:t>
            </w:r>
            <w:r w:rsidRPr="004D1E6F">
              <w:rPr>
                <w:rFonts w:ascii="Times New Roman" w:hAnsi="Times New Roman" w:cs="Times New Roman"/>
                <w:bCs/>
                <w:iCs/>
                <w:sz w:val="20"/>
                <w:szCs w:val="20"/>
              </w:rPr>
              <w:t>South Africa</w:t>
            </w:r>
          </w:p>
        </w:tc>
      </w:tr>
      <w:tr w:rsidR="002D7080" w:rsidRPr="004D1E6F" w14:paraId="399CF2BC" w14:textId="77777777" w:rsidTr="002E2C37">
        <w:trPr>
          <w:trHeight w:val="2217"/>
        </w:trPr>
        <w:tc>
          <w:tcPr>
            <w:tcW w:w="4508" w:type="dxa"/>
          </w:tcPr>
          <w:p w14:paraId="472A4975" w14:textId="77777777" w:rsidR="002D7080" w:rsidRPr="004D1E6F" w:rsidRDefault="002D7080" w:rsidP="002E2C37">
            <w:pPr>
              <w:rPr>
                <w:rFonts w:ascii="Times New Roman" w:hAnsi="Times New Roman" w:cs="Times New Roman"/>
                <w:b/>
                <w:i/>
                <w:sz w:val="20"/>
                <w:szCs w:val="20"/>
              </w:rPr>
            </w:pPr>
            <w:r w:rsidRPr="004D1E6F">
              <w:rPr>
                <w:rFonts w:ascii="Times New Roman" w:hAnsi="Times New Roman" w:cs="Times New Roman"/>
                <w:b/>
                <w:sz w:val="20"/>
                <w:szCs w:val="20"/>
              </w:rPr>
              <w:t xml:space="preserve">Picture of </w:t>
            </w:r>
            <w:r w:rsidRPr="004D1E6F">
              <w:rPr>
                <w:rFonts w:ascii="Times New Roman" w:hAnsi="Times New Roman" w:cs="Times New Roman"/>
                <w:b/>
                <w:i/>
                <w:sz w:val="20"/>
                <w:szCs w:val="20"/>
              </w:rPr>
              <w:t>Taxon</w:t>
            </w:r>
          </w:p>
          <w:p w14:paraId="3C50E10D" w14:textId="77777777" w:rsidR="002D7080" w:rsidRPr="004D1E6F" w:rsidRDefault="002D7080" w:rsidP="002E2C37">
            <w:pPr>
              <w:jc w:val="center"/>
              <w:rPr>
                <w:rFonts w:ascii="Times New Roman" w:hAnsi="Times New Roman" w:cs="Times New Roman"/>
                <w:sz w:val="20"/>
                <w:szCs w:val="20"/>
              </w:rPr>
            </w:pPr>
            <w:r>
              <w:rPr>
                <w:rFonts w:ascii="Times New Roman" w:hAnsi="Times New Roman" w:cs="Times New Roman"/>
                <w:noProof/>
                <w:sz w:val="20"/>
                <w:szCs w:val="20"/>
                <w:lang w:eastAsia="en-ZA"/>
              </w:rPr>
              <w:drawing>
                <wp:inline distT="0" distB="0" distL="0" distR="0" wp14:anchorId="27DB58C7" wp14:editId="24E98EB4">
                  <wp:extent cx="2334895" cy="1792605"/>
                  <wp:effectExtent l="0" t="0" r="8255" b="0"/>
                  <wp:docPr id="5199263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334895" cy="1792605"/>
                          </a:xfrm>
                          <a:prstGeom prst="rect">
                            <a:avLst/>
                          </a:prstGeom>
                          <a:noFill/>
                        </pic:spPr>
                      </pic:pic>
                    </a:graphicData>
                  </a:graphic>
                </wp:inline>
              </w:drawing>
            </w:r>
          </w:p>
          <w:p w14:paraId="05D67782" w14:textId="77777777" w:rsidR="002D7080" w:rsidRDefault="002D7080" w:rsidP="002E2C37">
            <w:pPr>
              <w:rPr>
                <w:rFonts w:ascii="Times New Roman" w:eastAsia="Calibri" w:hAnsi="Times New Roman" w:cs="Times New Roman"/>
                <w:sz w:val="20"/>
                <w:szCs w:val="20"/>
              </w:rPr>
            </w:pPr>
          </w:p>
          <w:p w14:paraId="0FB36A28" w14:textId="77777777" w:rsidR="002D7080" w:rsidRPr="004D1E6F" w:rsidRDefault="002D7080" w:rsidP="002E2C37">
            <w:pPr>
              <w:rPr>
                <w:rFonts w:ascii="Times New Roman" w:hAnsi="Times New Roman" w:cs="Times New Roman"/>
                <w:sz w:val="20"/>
                <w:szCs w:val="20"/>
              </w:rPr>
            </w:pPr>
            <w:r w:rsidRPr="004D1E6F">
              <w:rPr>
                <w:rFonts w:ascii="Times New Roman" w:eastAsia="Calibri" w:hAnsi="Times New Roman" w:cs="Times New Roman"/>
                <w:sz w:val="20"/>
                <w:szCs w:val="20"/>
              </w:rPr>
              <w:t xml:space="preserve">Photo: CABI, 2021. </w:t>
            </w:r>
            <w:r w:rsidRPr="004D1E6F">
              <w:rPr>
                <w:rFonts w:ascii="Times New Roman" w:eastAsia="Calibri" w:hAnsi="Times New Roman" w:cs="Times New Roman"/>
                <w:i/>
                <w:sz w:val="20"/>
                <w:szCs w:val="20"/>
              </w:rPr>
              <w:t>Cherax destructor</w:t>
            </w:r>
            <w:r w:rsidRPr="004D1E6F">
              <w:rPr>
                <w:rFonts w:ascii="Times New Roman" w:eastAsia="Calibri" w:hAnsi="Times New Roman" w:cs="Times New Roman"/>
                <w:sz w:val="20"/>
                <w:szCs w:val="20"/>
              </w:rPr>
              <w:t xml:space="preserve"> [original text by Uma Sabapathy Allen]. In: Invasive Species Compendium. Wallingford, UK: CAB International. www.cabi.org/isc. </w:t>
            </w:r>
          </w:p>
        </w:tc>
        <w:tc>
          <w:tcPr>
            <w:tcW w:w="4508" w:type="dxa"/>
            <w:gridSpan w:val="2"/>
          </w:tcPr>
          <w:p w14:paraId="70FC2F49"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Alien distribution map</w:t>
            </w:r>
          </w:p>
          <w:p w14:paraId="15AEEA8D" w14:textId="77777777" w:rsidR="002D7080" w:rsidRPr="004D1E6F" w:rsidRDefault="002D7080" w:rsidP="002E2C37">
            <w:pPr>
              <w:jc w:val="center"/>
              <w:rPr>
                <w:rFonts w:ascii="Times New Roman" w:hAnsi="Times New Roman" w:cs="Times New Roman"/>
                <w:sz w:val="20"/>
                <w:szCs w:val="20"/>
              </w:rPr>
            </w:pPr>
            <w:r>
              <w:rPr>
                <w:rFonts w:ascii="Times New Roman" w:hAnsi="Times New Roman" w:cs="Times New Roman"/>
                <w:noProof/>
                <w:sz w:val="20"/>
                <w:szCs w:val="20"/>
                <w:lang w:eastAsia="en-ZA"/>
              </w:rPr>
              <w:drawing>
                <wp:inline distT="0" distB="0" distL="0" distR="0" wp14:anchorId="2F146303" wp14:editId="3C2738D7">
                  <wp:extent cx="2621280" cy="1365885"/>
                  <wp:effectExtent l="0" t="0" r="7620" b="5715"/>
                  <wp:docPr id="4953622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21280" cy="1365885"/>
                          </a:xfrm>
                          <a:prstGeom prst="rect">
                            <a:avLst/>
                          </a:prstGeom>
                          <a:noFill/>
                        </pic:spPr>
                      </pic:pic>
                    </a:graphicData>
                  </a:graphic>
                </wp:inline>
              </w:drawing>
            </w:r>
          </w:p>
          <w:p w14:paraId="7268CD68" w14:textId="77777777" w:rsidR="002D7080" w:rsidRPr="004D1E6F" w:rsidRDefault="002D7080" w:rsidP="002E2C37">
            <w:pPr>
              <w:rPr>
                <w:rFonts w:ascii="Times New Roman" w:hAnsi="Times New Roman" w:cs="Times New Roman"/>
                <w:sz w:val="20"/>
                <w:szCs w:val="20"/>
              </w:rPr>
            </w:pPr>
            <w:r w:rsidRPr="004D1E6F">
              <w:rPr>
                <w:rFonts w:ascii="Times New Roman" w:eastAsia="Calibri" w:hAnsi="Times New Roman" w:cs="Times New Roman"/>
                <w:sz w:val="20"/>
                <w:szCs w:val="20"/>
              </w:rPr>
              <w:t xml:space="preserve">Reference: CABI, 2021. </w:t>
            </w:r>
            <w:r w:rsidRPr="004D1E6F">
              <w:rPr>
                <w:rFonts w:ascii="Times New Roman" w:eastAsia="Calibri" w:hAnsi="Times New Roman" w:cs="Times New Roman"/>
                <w:i/>
                <w:sz w:val="20"/>
                <w:szCs w:val="20"/>
              </w:rPr>
              <w:t>Cherax destructor</w:t>
            </w:r>
            <w:r w:rsidRPr="004D1E6F">
              <w:rPr>
                <w:rFonts w:ascii="Times New Roman" w:eastAsia="Calibri" w:hAnsi="Times New Roman" w:cs="Times New Roman"/>
                <w:sz w:val="20"/>
                <w:szCs w:val="20"/>
              </w:rPr>
              <w:t xml:space="preserve"> [original text by Uma Sabapathy Allen]. In: Invasive Species Compendium. Wallingford, UK: CAB International. www.cabi.org/isc. </w:t>
            </w:r>
          </w:p>
        </w:tc>
      </w:tr>
      <w:tr w:rsidR="002D7080" w:rsidRPr="004D1E6F" w14:paraId="24B50B50" w14:textId="77777777" w:rsidTr="002E2C37">
        <w:trPr>
          <w:trHeight w:val="746"/>
        </w:trPr>
        <w:tc>
          <w:tcPr>
            <w:tcW w:w="7225" w:type="dxa"/>
            <w:gridSpan w:val="2"/>
          </w:tcPr>
          <w:p w14:paraId="5518FC20" w14:textId="77777777" w:rsidR="002D7080" w:rsidRPr="004D1E6F" w:rsidRDefault="002D7080" w:rsidP="002E2C37">
            <w:pPr>
              <w:jc w:val="both"/>
              <w:rPr>
                <w:rFonts w:ascii="Times New Roman" w:hAnsi="Times New Roman" w:cs="Times New Roman"/>
                <w:b/>
                <w:sz w:val="20"/>
                <w:szCs w:val="20"/>
              </w:rPr>
            </w:pPr>
            <w:r w:rsidRPr="004D1E6F">
              <w:rPr>
                <w:rFonts w:ascii="Times New Roman" w:hAnsi="Times New Roman" w:cs="Times New Roman"/>
                <w:b/>
                <w:sz w:val="20"/>
                <w:szCs w:val="20"/>
              </w:rPr>
              <w:t>Risk Assessment summary:</w:t>
            </w:r>
          </w:p>
          <w:p w14:paraId="3A8D2BB2" w14:textId="77777777" w:rsidR="002D7080" w:rsidRPr="004D1E6F" w:rsidRDefault="002D7080" w:rsidP="002E2C37">
            <w:pPr>
              <w:jc w:val="both"/>
              <w:rPr>
                <w:rFonts w:ascii="Times New Roman" w:hAnsi="Times New Roman" w:cs="Times New Roman"/>
                <w:bCs/>
                <w:iCs/>
                <w:sz w:val="20"/>
                <w:szCs w:val="20"/>
              </w:rPr>
            </w:pPr>
            <w:r w:rsidRPr="004D1E6F">
              <w:rPr>
                <w:rFonts w:ascii="Times New Roman" w:eastAsia="Calibri" w:hAnsi="Times New Roman" w:cs="Times New Roman"/>
                <w:i/>
                <w:sz w:val="20"/>
                <w:szCs w:val="20"/>
              </w:rPr>
              <w:t>Cherax destructor</w:t>
            </w:r>
            <w:r w:rsidRPr="004D1E6F">
              <w:rPr>
                <w:rFonts w:ascii="Times New Roman" w:eastAsia="Calibri" w:hAnsi="Times New Roman" w:cs="Times New Roman"/>
                <w:sz w:val="20"/>
                <w:szCs w:val="20"/>
              </w:rPr>
              <w:t xml:space="preserve"> is popular in aquaculture and the pet trade and was introduced to South Africa in 1988 for experimental research to assess its suitability for aquaculture. However, it was found to be unsuitable for aquaculture and although international databases still indicate it is present in South Africa, there are currently no locality records for the country. </w:t>
            </w:r>
            <w:r w:rsidRPr="004D1E6F">
              <w:rPr>
                <w:rFonts w:ascii="Times New Roman" w:eastAsia="Calibri" w:hAnsi="Times New Roman" w:cs="Times New Roman"/>
                <w:i/>
                <w:sz w:val="20"/>
                <w:szCs w:val="20"/>
              </w:rPr>
              <w:t>Cherax destructor</w:t>
            </w:r>
            <w:r w:rsidRPr="004D1E6F">
              <w:rPr>
                <w:rFonts w:ascii="Times New Roman" w:eastAsia="Calibri" w:hAnsi="Times New Roman" w:cs="Times New Roman"/>
                <w:sz w:val="20"/>
                <w:szCs w:val="20"/>
              </w:rPr>
              <w:t xml:space="preserve"> has a high environmental tolerance, occupying a variety of habitats. Suitable climates are present in a large part of South Africa. </w:t>
            </w:r>
            <w:r w:rsidRPr="004D1E6F">
              <w:rPr>
                <w:rFonts w:ascii="Times New Roman" w:eastAsia="Calibri" w:hAnsi="Times New Roman" w:cs="Times New Roman"/>
                <w:i/>
                <w:sz w:val="20"/>
                <w:szCs w:val="20"/>
              </w:rPr>
              <w:t>Cherax destructor</w:t>
            </w:r>
            <w:r w:rsidRPr="004D1E6F">
              <w:rPr>
                <w:rFonts w:ascii="Times New Roman" w:eastAsia="Calibri" w:hAnsi="Times New Roman" w:cs="Times New Roman"/>
                <w:sz w:val="20"/>
                <w:szCs w:val="20"/>
              </w:rPr>
              <w:t xml:space="preserve"> is mobile, and dispersal is not limited to interconnected waterways. There are no recorded environmental and socio-economic impacts for </w:t>
            </w:r>
            <w:r w:rsidRPr="004D1E6F">
              <w:rPr>
                <w:rFonts w:ascii="Times New Roman" w:eastAsia="Calibri" w:hAnsi="Times New Roman" w:cs="Times New Roman"/>
                <w:i/>
                <w:sz w:val="20"/>
                <w:szCs w:val="20"/>
              </w:rPr>
              <w:t>C. destructor</w:t>
            </w:r>
            <w:r w:rsidRPr="004D1E6F">
              <w:rPr>
                <w:rFonts w:ascii="Times New Roman" w:eastAsia="Calibri" w:hAnsi="Times New Roman" w:cs="Times New Roman"/>
                <w:iCs/>
                <w:sz w:val="20"/>
                <w:szCs w:val="20"/>
              </w:rPr>
              <w:t xml:space="preserve">. </w:t>
            </w:r>
            <w:r w:rsidRPr="004D1E6F">
              <w:rPr>
                <w:rFonts w:ascii="Times New Roman" w:eastAsia="Calibri" w:hAnsi="Times New Roman" w:cs="Times New Roman"/>
                <w:i/>
                <w:sz w:val="20"/>
                <w:szCs w:val="20"/>
              </w:rPr>
              <w:t xml:space="preserve">Cherax quadricarinatus, </w:t>
            </w:r>
            <w:r w:rsidRPr="004D1E6F">
              <w:rPr>
                <w:rFonts w:ascii="Times New Roman" w:eastAsia="Calibri" w:hAnsi="Times New Roman" w:cs="Times New Roman"/>
                <w:iCs/>
                <w:sz w:val="20"/>
                <w:szCs w:val="20"/>
              </w:rPr>
              <w:t xml:space="preserve">a closely related species, </w:t>
            </w:r>
            <w:r w:rsidRPr="004D1E6F">
              <w:rPr>
                <w:rFonts w:ascii="Times New Roman" w:eastAsia="Calibri" w:hAnsi="Times New Roman" w:cs="Times New Roman"/>
                <w:sz w:val="20"/>
                <w:szCs w:val="20"/>
              </w:rPr>
              <w:t xml:space="preserve">is known to have </w:t>
            </w:r>
            <w:r w:rsidRPr="004D1E6F">
              <w:rPr>
                <w:rFonts w:ascii="Times New Roman" w:eastAsia="Calibri" w:hAnsi="Times New Roman" w:cs="Times New Roman"/>
                <w:iCs/>
                <w:sz w:val="20"/>
                <w:szCs w:val="20"/>
              </w:rPr>
              <w:t xml:space="preserve">adverse impacts on invaded ecosystems through competition, predation, and transmission of diseases, and impact local fisheries by replacing high-value native species, damaging nets, and spoiling fish catches. Similar impacts are expected if </w:t>
            </w:r>
            <w:r w:rsidRPr="004D1E6F">
              <w:rPr>
                <w:rFonts w:ascii="Times New Roman" w:eastAsia="Calibri" w:hAnsi="Times New Roman" w:cs="Times New Roman"/>
                <w:i/>
                <w:sz w:val="20"/>
                <w:szCs w:val="20"/>
              </w:rPr>
              <w:t xml:space="preserve">C. destructor </w:t>
            </w:r>
            <w:r w:rsidRPr="004D1E6F">
              <w:rPr>
                <w:rFonts w:ascii="Times New Roman" w:eastAsia="Calibri" w:hAnsi="Times New Roman" w:cs="Times New Roman"/>
                <w:iCs/>
                <w:sz w:val="20"/>
                <w:szCs w:val="20"/>
              </w:rPr>
              <w:t>were to become invasive.</w:t>
            </w:r>
          </w:p>
        </w:tc>
        <w:tc>
          <w:tcPr>
            <w:tcW w:w="1791" w:type="dxa"/>
          </w:tcPr>
          <w:p w14:paraId="54D21DDC"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b/>
                <w:sz w:val="20"/>
                <w:szCs w:val="20"/>
              </w:rPr>
              <w:t>Risk score:</w:t>
            </w:r>
            <w:r w:rsidRPr="004D1E6F">
              <w:rPr>
                <w:rFonts w:ascii="Times New Roman" w:hAnsi="Times New Roman" w:cs="Times New Roman"/>
                <w:b/>
                <w:sz w:val="20"/>
                <w:szCs w:val="20"/>
              </w:rPr>
              <w:br/>
            </w:r>
          </w:p>
          <w:p w14:paraId="1BD064BB"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t>High</w:t>
            </w:r>
          </w:p>
        </w:tc>
      </w:tr>
      <w:tr w:rsidR="002D7080" w:rsidRPr="004D1E6F" w14:paraId="09AEA354" w14:textId="77777777" w:rsidTr="002E2C37">
        <w:trPr>
          <w:trHeight w:val="852"/>
        </w:trPr>
        <w:tc>
          <w:tcPr>
            <w:tcW w:w="7225" w:type="dxa"/>
            <w:gridSpan w:val="2"/>
          </w:tcPr>
          <w:p w14:paraId="507FCA70"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Management summary:</w:t>
            </w:r>
          </w:p>
          <w:p w14:paraId="51860460" w14:textId="77777777" w:rsidR="002D7080" w:rsidRPr="004D1E6F" w:rsidRDefault="002D7080" w:rsidP="002E2C37">
            <w:pPr>
              <w:jc w:val="both"/>
              <w:rPr>
                <w:rFonts w:ascii="Times New Roman" w:hAnsi="Times New Roman" w:cs="Times New Roman"/>
                <w:b/>
                <w:sz w:val="20"/>
                <w:szCs w:val="20"/>
              </w:rPr>
            </w:pPr>
            <w:r w:rsidRPr="004D1E6F">
              <w:rPr>
                <w:rFonts w:ascii="Times New Roman" w:eastAsia="Calibri" w:hAnsi="Times New Roman" w:cs="Times New Roman"/>
                <w:i/>
                <w:iCs/>
                <w:sz w:val="20"/>
                <w:szCs w:val="20"/>
              </w:rPr>
              <w:t>Cherax destructor</w:t>
            </w:r>
            <w:r w:rsidRPr="004D1E6F">
              <w:rPr>
                <w:rFonts w:ascii="Times New Roman" w:eastAsia="Calibri" w:hAnsi="Times New Roman" w:cs="Times New Roman"/>
                <w:sz w:val="20"/>
                <w:szCs w:val="20"/>
              </w:rPr>
              <w:t xml:space="preserve"> is difficult to manage given that it is difficult to access, difficult to detect (being aquatic and primarily nocturnal), and has adaptive life history traits that aid establishment (fast growth rate, high fecundity, and being a multiple spawner). </w:t>
            </w:r>
            <w:r w:rsidRPr="004D1E6F">
              <w:rPr>
                <w:rFonts w:ascii="Times New Roman" w:eastAsia="Calibri" w:hAnsi="Times New Roman" w:cs="Times New Roman"/>
                <w:i/>
                <w:iCs/>
                <w:sz w:val="20"/>
                <w:szCs w:val="20"/>
              </w:rPr>
              <w:t xml:space="preserve">Cherax destructor </w:t>
            </w:r>
            <w:r w:rsidRPr="004D1E6F">
              <w:rPr>
                <w:rFonts w:ascii="Times New Roman" w:eastAsia="Calibri" w:hAnsi="Times New Roman" w:cs="Times New Roman"/>
                <w:sz w:val="20"/>
                <w:szCs w:val="20"/>
              </w:rPr>
              <w:t xml:space="preserve">was rejected as a candidate species for aquaculture and there are no records that </w:t>
            </w:r>
            <w:r w:rsidRPr="004D1E6F">
              <w:rPr>
                <w:rFonts w:ascii="Times New Roman" w:eastAsia="Calibri" w:hAnsi="Times New Roman" w:cs="Times New Roman"/>
                <w:i/>
                <w:iCs/>
                <w:sz w:val="20"/>
                <w:szCs w:val="20"/>
              </w:rPr>
              <w:t>C. destructor</w:t>
            </w:r>
            <w:r w:rsidRPr="004D1E6F">
              <w:rPr>
                <w:rFonts w:ascii="Times New Roman" w:eastAsia="Calibri" w:hAnsi="Times New Roman" w:cs="Times New Roman"/>
                <w:sz w:val="20"/>
                <w:szCs w:val="20"/>
              </w:rPr>
              <w:t xml:space="preserve"> has any current benefits.</w:t>
            </w:r>
          </w:p>
        </w:tc>
        <w:tc>
          <w:tcPr>
            <w:tcW w:w="1791" w:type="dxa"/>
          </w:tcPr>
          <w:p w14:paraId="1D62C0FA"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Ease of management:</w:t>
            </w:r>
          </w:p>
          <w:p w14:paraId="7091F216" w14:textId="77777777" w:rsidR="002D7080" w:rsidRPr="004D1E6F" w:rsidRDefault="002D7080" w:rsidP="002E2C37">
            <w:pPr>
              <w:rPr>
                <w:rFonts w:ascii="Times New Roman" w:hAnsi="Times New Roman" w:cs="Times New Roman"/>
                <w:sz w:val="20"/>
                <w:szCs w:val="20"/>
              </w:rPr>
            </w:pPr>
          </w:p>
          <w:p w14:paraId="2A0129D5"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t xml:space="preserve">Difficult </w:t>
            </w:r>
          </w:p>
        </w:tc>
      </w:tr>
      <w:tr w:rsidR="002D7080" w:rsidRPr="004D1E6F" w14:paraId="7E609F74" w14:textId="77777777" w:rsidTr="002E2C37">
        <w:trPr>
          <w:trHeight w:val="690"/>
        </w:trPr>
        <w:tc>
          <w:tcPr>
            <w:tcW w:w="7225" w:type="dxa"/>
            <w:gridSpan w:val="2"/>
            <w:vMerge w:val="restart"/>
          </w:tcPr>
          <w:p w14:paraId="0BBC83EB"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Recommendations:</w:t>
            </w:r>
          </w:p>
          <w:p w14:paraId="5A1D7CE6" w14:textId="77777777" w:rsidR="002D7080" w:rsidRPr="004D1E6F" w:rsidRDefault="002D7080" w:rsidP="002E2C37">
            <w:pPr>
              <w:jc w:val="both"/>
              <w:rPr>
                <w:rFonts w:ascii="Times New Roman" w:hAnsi="Times New Roman" w:cs="Times New Roman"/>
                <w:b/>
                <w:sz w:val="20"/>
                <w:szCs w:val="20"/>
              </w:rPr>
            </w:pPr>
            <w:r w:rsidRPr="004D1E6F">
              <w:rPr>
                <w:rFonts w:ascii="Times New Roman" w:eastAsia="Calibri" w:hAnsi="Times New Roman" w:cs="Times New Roman"/>
                <w:i/>
                <w:sz w:val="20"/>
                <w:szCs w:val="20"/>
              </w:rPr>
              <w:t>Cherax destructor</w:t>
            </w:r>
            <w:r w:rsidRPr="004D1E6F">
              <w:rPr>
                <w:rFonts w:ascii="Times New Roman" w:eastAsia="Calibri" w:hAnsi="Times New Roman" w:cs="Times New Roman"/>
                <w:sz w:val="20"/>
                <w:szCs w:val="20"/>
              </w:rPr>
              <w:t xml:space="preserve"> is currently listed as category 1a. However, there are no records of extant populations in the country. It is recommended that </w:t>
            </w:r>
            <w:r w:rsidRPr="004D1E6F">
              <w:rPr>
                <w:rFonts w:ascii="Times New Roman" w:eastAsia="Calibri" w:hAnsi="Times New Roman" w:cs="Times New Roman"/>
                <w:i/>
                <w:iCs/>
                <w:sz w:val="20"/>
                <w:szCs w:val="20"/>
              </w:rPr>
              <w:t>C. destructor</w:t>
            </w:r>
            <w:r w:rsidRPr="004D1E6F">
              <w:rPr>
                <w:rFonts w:ascii="Times New Roman" w:eastAsia="Calibri" w:hAnsi="Times New Roman" w:cs="Times New Roman"/>
                <w:sz w:val="20"/>
                <w:szCs w:val="20"/>
              </w:rPr>
              <w:t xml:space="preserve"> remain listed as </w:t>
            </w:r>
            <w:r w:rsidRPr="004D1E6F">
              <w:rPr>
                <w:rFonts w:ascii="Times New Roman" w:eastAsia="Calibri" w:hAnsi="Times New Roman" w:cs="Times New Roman"/>
                <w:sz w:val="20"/>
                <w:szCs w:val="20"/>
              </w:rPr>
              <w:lastRenderedPageBreak/>
              <w:t xml:space="preserve">category 1a until its absence in the country is confirmed at which time it could be moved to the prohibited list. Therefore, this taxon should be reassessed in five years. </w:t>
            </w:r>
          </w:p>
        </w:tc>
        <w:tc>
          <w:tcPr>
            <w:tcW w:w="1791" w:type="dxa"/>
          </w:tcPr>
          <w:p w14:paraId="384D7C0A"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lastRenderedPageBreak/>
              <w:t>Listing under NEM:BA A&amp;IS lists of 2020:</w:t>
            </w:r>
          </w:p>
          <w:p w14:paraId="0F9C6879"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lastRenderedPageBreak/>
              <w:t>1a</w:t>
            </w:r>
            <w:r w:rsidRPr="00DE505C">
              <w:rPr>
                <w:rFonts w:ascii="Times New Roman" w:eastAsia="Calibri" w:hAnsi="Times New Roman" w:cs="Times New Roman"/>
                <w:bCs/>
                <w:sz w:val="20"/>
                <w:szCs w:val="20"/>
                <w:vertAlign w:val="superscript"/>
              </w:rPr>
              <w:footnoteReference w:id="2"/>
            </w:r>
          </w:p>
        </w:tc>
      </w:tr>
      <w:tr w:rsidR="002D7080" w:rsidRPr="004D1E6F" w14:paraId="1B29A02D" w14:textId="77777777" w:rsidTr="002E2C37">
        <w:trPr>
          <w:trHeight w:val="690"/>
        </w:trPr>
        <w:tc>
          <w:tcPr>
            <w:tcW w:w="7225" w:type="dxa"/>
            <w:gridSpan w:val="2"/>
            <w:vMerge/>
          </w:tcPr>
          <w:p w14:paraId="5BD21981" w14:textId="77777777" w:rsidR="002D7080" w:rsidRPr="004D1E6F" w:rsidRDefault="002D7080" w:rsidP="002E2C37">
            <w:pPr>
              <w:rPr>
                <w:rFonts w:ascii="Times New Roman" w:hAnsi="Times New Roman" w:cs="Times New Roman"/>
                <w:b/>
                <w:sz w:val="20"/>
                <w:szCs w:val="20"/>
              </w:rPr>
            </w:pPr>
          </w:p>
        </w:tc>
        <w:tc>
          <w:tcPr>
            <w:tcW w:w="1791" w:type="dxa"/>
          </w:tcPr>
          <w:p w14:paraId="26294727"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 xml:space="preserve">Recommended listing category: </w:t>
            </w:r>
          </w:p>
          <w:p w14:paraId="189B5C1E" w14:textId="77777777" w:rsidR="002D7080" w:rsidRPr="004D1E6F" w:rsidRDefault="002D7080" w:rsidP="002E2C37">
            <w:pPr>
              <w:rPr>
                <w:rFonts w:ascii="Times New Roman" w:hAnsi="Times New Roman" w:cs="Times New Roman"/>
                <w:bCs/>
                <w:sz w:val="20"/>
                <w:szCs w:val="20"/>
              </w:rPr>
            </w:pPr>
            <w:r w:rsidRPr="004D1E6F">
              <w:rPr>
                <w:rFonts w:ascii="Times New Roman" w:hAnsi="Times New Roman" w:cs="Times New Roman"/>
                <w:bCs/>
                <w:sz w:val="20"/>
                <w:szCs w:val="20"/>
              </w:rPr>
              <w:t>1a</w:t>
            </w:r>
          </w:p>
        </w:tc>
      </w:tr>
    </w:tbl>
    <w:p w14:paraId="26F29772" w14:textId="77777777" w:rsidR="002D7080" w:rsidRPr="004D1E6F" w:rsidRDefault="002D7080" w:rsidP="002D7080">
      <w:pPr>
        <w:spacing w:after="0" w:line="240" w:lineRule="auto"/>
        <w:rPr>
          <w:rFonts w:ascii="Times New Roman" w:hAnsi="Times New Roman" w:cs="Times New Roman"/>
          <w:b/>
          <w:sz w:val="20"/>
          <w:szCs w:val="20"/>
        </w:rPr>
      </w:pPr>
    </w:p>
    <w:p w14:paraId="43A8B3A0" w14:textId="77777777" w:rsidR="002D7080" w:rsidRPr="004D1E6F" w:rsidRDefault="002D7080" w:rsidP="002D7080">
      <w:pPr>
        <w:spacing w:after="120" w:line="240" w:lineRule="auto"/>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br w:type="page"/>
      </w:r>
    </w:p>
    <w:p w14:paraId="39FFD858"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1. Background</w:t>
      </w:r>
    </w:p>
    <w:p w14:paraId="271B6BEE"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W w:w="8790" w:type="dxa"/>
        <w:tblInd w:w="108" w:type="dxa"/>
        <w:tblLook w:val="04A0" w:firstRow="1" w:lastRow="0" w:firstColumn="1" w:lastColumn="0" w:noHBand="0" w:noVBand="1"/>
      </w:tblPr>
      <w:tblGrid>
        <w:gridCol w:w="2430"/>
        <w:gridCol w:w="1426"/>
        <w:gridCol w:w="2268"/>
        <w:gridCol w:w="2666"/>
      </w:tblGrid>
      <w:tr w:rsidR="002D7080" w:rsidRPr="004D1E6F" w14:paraId="75638353" w14:textId="77777777" w:rsidTr="002E2C37">
        <w:trPr>
          <w:trHeight w:val="358"/>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20859A2" w14:textId="77777777" w:rsidR="002D7080" w:rsidRPr="004D1E6F" w:rsidRDefault="002D7080" w:rsidP="002E2C37">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BAC1 Name of assessor(s)</w:t>
            </w:r>
            <w:r w:rsidRPr="004D1E6F">
              <w:rPr>
                <w:rFonts w:ascii="Times New Roman" w:eastAsia="Times New Roman" w:hAnsi="Times New Roman" w:cs="Times New Roman"/>
                <w:bCs/>
                <w:sz w:val="20"/>
                <w:szCs w:val="20"/>
                <w:lang w:eastAsia="en-ZA"/>
              </w:rPr>
              <w:t xml:space="preserve"> </w:t>
            </w:r>
          </w:p>
        </w:tc>
      </w:tr>
      <w:tr w:rsidR="002D7080" w:rsidRPr="004D1E6F" w14:paraId="7A34D4F5" w14:textId="77777777" w:rsidTr="002E2C37">
        <w:trPr>
          <w:trHeight w:val="251"/>
        </w:trPr>
        <w:tc>
          <w:tcPr>
            <w:tcW w:w="2430" w:type="dxa"/>
            <w:tcBorders>
              <w:top w:val="nil"/>
              <w:left w:val="single" w:sz="4" w:space="0" w:color="auto"/>
              <w:bottom w:val="single" w:sz="4" w:space="0" w:color="auto"/>
              <w:right w:val="single" w:sz="4" w:space="0" w:color="auto"/>
            </w:tcBorders>
            <w:shd w:val="clear" w:color="auto" w:fill="F2F2F2" w:themeFill="background1" w:themeFillShade="F2"/>
            <w:noWrap/>
          </w:tcPr>
          <w:p w14:paraId="05B20170" w14:textId="77777777" w:rsidR="002D7080" w:rsidRPr="004D1E6F" w:rsidRDefault="002D7080" w:rsidP="002E2C37">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Name of lead assessor</w:t>
            </w:r>
          </w:p>
        </w:tc>
        <w:tc>
          <w:tcPr>
            <w:tcW w:w="6360" w:type="dxa"/>
            <w:gridSpan w:val="3"/>
            <w:tcBorders>
              <w:top w:val="nil"/>
              <w:left w:val="single" w:sz="4" w:space="0" w:color="auto"/>
              <w:bottom w:val="single" w:sz="4" w:space="0" w:color="auto"/>
              <w:right w:val="single" w:sz="4" w:space="0" w:color="auto"/>
            </w:tcBorders>
          </w:tcPr>
          <w:p w14:paraId="18EDE9F3" w14:textId="77777777" w:rsidR="002D7080" w:rsidRPr="004D1E6F" w:rsidRDefault="002D7080" w:rsidP="002E2C37">
            <w:pPr>
              <w:spacing w:after="0" w:line="240" w:lineRule="auto"/>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Lee-Anne Botha</w:t>
            </w:r>
          </w:p>
        </w:tc>
      </w:tr>
      <w:tr w:rsidR="002D7080" w:rsidRPr="004D1E6F" w14:paraId="23E1D284" w14:textId="77777777" w:rsidTr="002E2C37">
        <w:trPr>
          <w:trHeight w:val="242"/>
        </w:trPr>
        <w:tc>
          <w:tcPr>
            <w:tcW w:w="2430" w:type="dxa"/>
            <w:tcBorders>
              <w:top w:val="nil"/>
              <w:left w:val="single" w:sz="4" w:space="0" w:color="auto"/>
              <w:bottom w:val="single" w:sz="4" w:space="0" w:color="auto"/>
              <w:right w:val="single" w:sz="4" w:space="0" w:color="auto"/>
            </w:tcBorders>
            <w:shd w:val="clear" w:color="auto" w:fill="F2F2F2" w:themeFill="background1" w:themeFillShade="F2"/>
            <w:noWrap/>
          </w:tcPr>
          <w:p w14:paraId="57DAB85C"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Additional assessor (1)</w:t>
            </w:r>
          </w:p>
        </w:tc>
        <w:tc>
          <w:tcPr>
            <w:tcW w:w="6360" w:type="dxa"/>
            <w:gridSpan w:val="3"/>
            <w:tcBorders>
              <w:top w:val="nil"/>
              <w:left w:val="single" w:sz="4" w:space="0" w:color="auto"/>
              <w:bottom w:val="single" w:sz="4" w:space="0" w:color="auto"/>
              <w:right w:val="single" w:sz="4" w:space="0" w:color="auto"/>
            </w:tcBorders>
          </w:tcPr>
          <w:p w14:paraId="7CDF76E9" w14:textId="77777777" w:rsidR="002D7080" w:rsidRPr="004D1E6F" w:rsidRDefault="002D7080" w:rsidP="002E2C37">
            <w:pPr>
              <w:spacing w:after="0" w:line="240" w:lineRule="auto"/>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Tsungai Zengeya</w:t>
            </w:r>
          </w:p>
        </w:tc>
      </w:tr>
      <w:tr w:rsidR="002D7080" w:rsidRPr="004D1E6F" w14:paraId="4ECF19FF" w14:textId="77777777" w:rsidTr="002E2C37">
        <w:trPr>
          <w:trHeight w:val="260"/>
        </w:trPr>
        <w:tc>
          <w:tcPr>
            <w:tcW w:w="2430" w:type="dxa"/>
            <w:tcBorders>
              <w:top w:val="nil"/>
              <w:left w:val="single" w:sz="4" w:space="0" w:color="auto"/>
              <w:bottom w:val="single" w:sz="4" w:space="0" w:color="auto"/>
              <w:right w:val="single" w:sz="4" w:space="0" w:color="auto"/>
            </w:tcBorders>
            <w:shd w:val="clear" w:color="auto" w:fill="F2F2F2" w:themeFill="background1" w:themeFillShade="F2"/>
            <w:noWrap/>
          </w:tcPr>
          <w:p w14:paraId="2955CDD3"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Additional assessor (2)</w:t>
            </w:r>
          </w:p>
        </w:tc>
        <w:tc>
          <w:tcPr>
            <w:tcW w:w="6360" w:type="dxa"/>
            <w:gridSpan w:val="3"/>
            <w:tcBorders>
              <w:top w:val="nil"/>
              <w:left w:val="single" w:sz="4" w:space="0" w:color="auto"/>
              <w:bottom w:val="single" w:sz="4" w:space="0" w:color="auto"/>
              <w:right w:val="single" w:sz="4" w:space="0" w:color="auto"/>
            </w:tcBorders>
          </w:tcPr>
          <w:p w14:paraId="5BC5D026" w14:textId="35AF8D0E" w:rsidR="002D7080" w:rsidRPr="00457629" w:rsidRDefault="002D7080" w:rsidP="002E2C37">
            <w:pPr>
              <w:spacing w:after="0" w:line="240" w:lineRule="auto"/>
              <w:rPr>
                <w:rFonts w:ascii="Times New Roman" w:eastAsia="Times New Roman" w:hAnsi="Times New Roman" w:cs="Times New Roman"/>
                <w:bCs/>
                <w:sz w:val="20"/>
                <w:szCs w:val="20"/>
                <w:lang w:eastAsia="en-ZA"/>
              </w:rPr>
            </w:pPr>
            <w:r w:rsidRPr="00457629">
              <w:rPr>
                <w:rFonts w:ascii="Times New Roman" w:eastAsia="Times New Roman" w:hAnsi="Times New Roman" w:cs="Times New Roman"/>
                <w:bCs/>
                <w:sz w:val="20"/>
                <w:szCs w:val="20"/>
                <w:lang w:eastAsia="en-ZA"/>
              </w:rPr>
              <w:t>C</w:t>
            </w:r>
            <w:r w:rsidR="001865AA">
              <w:rPr>
                <w:rFonts w:ascii="Times New Roman" w:eastAsia="Times New Roman" w:hAnsi="Times New Roman" w:cs="Times New Roman"/>
                <w:bCs/>
                <w:sz w:val="20"/>
                <w:szCs w:val="20"/>
                <w:lang w:eastAsia="en-ZA"/>
              </w:rPr>
              <w:t>h</w:t>
            </w:r>
            <w:r w:rsidRPr="00457629">
              <w:rPr>
                <w:rFonts w:ascii="Times New Roman" w:eastAsia="Times New Roman" w:hAnsi="Times New Roman" w:cs="Times New Roman"/>
                <w:bCs/>
                <w:sz w:val="20"/>
                <w:szCs w:val="20"/>
                <w:lang w:eastAsia="en-ZA"/>
              </w:rPr>
              <w:t>ris</w:t>
            </w:r>
            <w:r w:rsidR="00471161">
              <w:rPr>
                <w:rFonts w:ascii="Times New Roman" w:eastAsia="Times New Roman" w:hAnsi="Times New Roman" w:cs="Times New Roman"/>
                <w:bCs/>
                <w:sz w:val="20"/>
                <w:szCs w:val="20"/>
                <w:lang w:eastAsia="en-ZA"/>
              </w:rPr>
              <w:t>tian</w:t>
            </w:r>
            <w:r w:rsidRPr="00457629">
              <w:rPr>
                <w:rFonts w:ascii="Times New Roman" w:eastAsia="Times New Roman" w:hAnsi="Times New Roman" w:cs="Times New Roman"/>
                <w:bCs/>
                <w:sz w:val="20"/>
                <w:szCs w:val="20"/>
                <w:lang w:eastAsia="en-ZA"/>
              </w:rPr>
              <w:t xml:space="preserve"> Chimimba</w:t>
            </w:r>
          </w:p>
        </w:tc>
      </w:tr>
      <w:tr w:rsidR="002D7080" w:rsidRPr="004D1E6F" w14:paraId="7CE7F8D4" w14:textId="77777777" w:rsidTr="002E2C37">
        <w:trPr>
          <w:trHeight w:val="390"/>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7A251D75"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BAC2 Contact details of assessor (s)</w:t>
            </w:r>
          </w:p>
        </w:tc>
      </w:tr>
      <w:tr w:rsidR="002D7080" w:rsidRPr="004D1E6F" w14:paraId="500B4294" w14:textId="77777777" w:rsidTr="002E2C37">
        <w:trPr>
          <w:trHeight w:val="70"/>
        </w:trPr>
        <w:tc>
          <w:tcPr>
            <w:tcW w:w="2430" w:type="dxa"/>
            <w:vMerge w:val="restart"/>
            <w:tcBorders>
              <w:top w:val="nil"/>
              <w:left w:val="single" w:sz="4" w:space="0" w:color="auto"/>
              <w:right w:val="single" w:sz="4" w:space="0" w:color="auto"/>
            </w:tcBorders>
            <w:shd w:val="clear" w:color="auto" w:fill="F2F2F2" w:themeFill="background1" w:themeFillShade="F2"/>
            <w:noWrap/>
            <w:hideMark/>
          </w:tcPr>
          <w:p w14:paraId="6A41C96F"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Lead assessor</w:t>
            </w:r>
          </w:p>
        </w:tc>
        <w:tc>
          <w:tcPr>
            <w:tcW w:w="6360" w:type="dxa"/>
            <w:gridSpan w:val="3"/>
            <w:tcBorders>
              <w:top w:val="nil"/>
              <w:left w:val="nil"/>
              <w:bottom w:val="single" w:sz="4" w:space="0" w:color="auto"/>
              <w:right w:val="single" w:sz="4" w:space="0" w:color="auto"/>
            </w:tcBorders>
          </w:tcPr>
          <w:p w14:paraId="78D9A13B"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Organisational affiliation:</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University of Pretoria, Department of Zoology and Entomology/South African National Biodiversity Institute (SANBI)</w:t>
            </w:r>
          </w:p>
        </w:tc>
      </w:tr>
      <w:tr w:rsidR="002D7080" w:rsidRPr="004D1E6F" w14:paraId="68938DB2" w14:textId="77777777" w:rsidTr="002E2C37">
        <w:trPr>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5B060234"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108F67F3"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email:</w:t>
            </w:r>
            <w:r w:rsidRPr="004D1E6F">
              <w:rPr>
                <w:rFonts w:ascii="Times New Roman" w:eastAsia="Times New Roman" w:hAnsi="Times New Roman" w:cs="Times New Roman"/>
                <w:color w:val="000000"/>
                <w:sz w:val="20"/>
                <w:szCs w:val="20"/>
                <w:lang w:eastAsia="en-ZA"/>
              </w:rPr>
              <w:t xml:space="preserve"> leeannebth782@gmail.com</w:t>
            </w:r>
          </w:p>
        </w:tc>
      </w:tr>
      <w:tr w:rsidR="002D7080" w:rsidRPr="004D1E6F" w14:paraId="40A55CD4" w14:textId="77777777" w:rsidTr="002E2C37">
        <w:trPr>
          <w:trHeight w:val="70"/>
        </w:trPr>
        <w:tc>
          <w:tcPr>
            <w:tcW w:w="243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FAFDD3F"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CF240F">
              <w:rPr>
                <w:rFonts w:ascii="Times New Roman" w:eastAsia="Times New Roman" w:hAnsi="Times New Roman" w:cs="Times New Roman"/>
                <w:sz w:val="20"/>
                <w:szCs w:val="20"/>
                <w:lang w:eastAsia="en-ZA"/>
              </w:rPr>
              <w:t>Additional assessor (1</w:t>
            </w:r>
            <w:r w:rsidRPr="004D1E6F">
              <w:rPr>
                <w:rFonts w:ascii="Times New Roman" w:eastAsia="Times New Roman" w:hAnsi="Times New Roman" w:cs="Times New Roman"/>
                <w:sz w:val="20"/>
                <w:szCs w:val="20"/>
                <w:lang w:eastAsia="en-ZA"/>
              </w:rPr>
              <w:t>)</w:t>
            </w:r>
          </w:p>
        </w:tc>
        <w:tc>
          <w:tcPr>
            <w:tcW w:w="6360" w:type="dxa"/>
            <w:gridSpan w:val="3"/>
            <w:tcBorders>
              <w:top w:val="nil"/>
              <w:left w:val="nil"/>
              <w:bottom w:val="single" w:sz="4" w:space="0" w:color="auto"/>
              <w:right w:val="single" w:sz="4" w:space="0" w:color="auto"/>
            </w:tcBorders>
          </w:tcPr>
          <w:p w14:paraId="18C7B632"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Organisational affiliation:</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University of Pretoria, Department of Zoology and Entomology/South African National Biodiversity Institute (SANBI)</w:t>
            </w:r>
          </w:p>
        </w:tc>
      </w:tr>
      <w:tr w:rsidR="002D7080" w:rsidRPr="004D1E6F" w14:paraId="58430D7D" w14:textId="77777777" w:rsidTr="002E2C37">
        <w:trPr>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22E7017E"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1330F566"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email:</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T.Zengeya@sanbi.org.za</w:t>
            </w:r>
          </w:p>
        </w:tc>
      </w:tr>
      <w:tr w:rsidR="002D7080" w:rsidRPr="004D1E6F" w14:paraId="5BDA3453" w14:textId="77777777" w:rsidTr="002E2C37">
        <w:trPr>
          <w:trHeight w:val="70"/>
        </w:trPr>
        <w:tc>
          <w:tcPr>
            <w:tcW w:w="243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F696089"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Additional assessor (2)</w:t>
            </w:r>
          </w:p>
          <w:p w14:paraId="28A91F5E"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7B252A71"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Organisational affiliation: Department of Zoology and Entomology, University of Pretoria and The South African National Biodiversity Institute (SANBI).</w:t>
            </w:r>
          </w:p>
        </w:tc>
      </w:tr>
      <w:tr w:rsidR="002D7080" w:rsidRPr="004D1E6F" w14:paraId="43B6D22F" w14:textId="77777777" w:rsidTr="002E2C37">
        <w:trPr>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5D1636FB"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38482B6D"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email: ctchimimba@up.ac.za</w:t>
            </w:r>
          </w:p>
        </w:tc>
      </w:tr>
      <w:tr w:rsidR="002D7080" w:rsidRPr="004D1E6F" w14:paraId="36160158" w14:textId="77777777" w:rsidTr="002E2C37">
        <w:trPr>
          <w:trHeight w:val="357"/>
        </w:trPr>
        <w:tc>
          <w:tcPr>
            <w:tcW w:w="8790" w:type="dxa"/>
            <w:gridSpan w:val="4"/>
            <w:tcBorders>
              <w:left w:val="single" w:sz="4" w:space="0" w:color="auto"/>
              <w:bottom w:val="single" w:sz="4" w:space="0" w:color="auto"/>
              <w:right w:val="single" w:sz="4" w:space="0" w:color="auto"/>
            </w:tcBorders>
            <w:shd w:val="clear" w:color="auto" w:fill="F2F2F2" w:themeFill="background1" w:themeFillShade="F2"/>
            <w:noWrap/>
          </w:tcPr>
          <w:p w14:paraId="57AA29E4"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BAC3 Name(s) and contact details of expert(s) consulted</w:t>
            </w:r>
          </w:p>
        </w:tc>
      </w:tr>
      <w:tr w:rsidR="002D7080" w:rsidRPr="004D1E6F" w14:paraId="314C6404" w14:textId="77777777" w:rsidTr="002E2C37">
        <w:trPr>
          <w:trHeight w:val="70"/>
        </w:trPr>
        <w:tc>
          <w:tcPr>
            <w:tcW w:w="2430" w:type="dxa"/>
            <w:vMerge w:val="restart"/>
            <w:tcBorders>
              <w:left w:val="single" w:sz="4" w:space="0" w:color="auto"/>
              <w:right w:val="single" w:sz="4" w:space="0" w:color="auto"/>
            </w:tcBorders>
            <w:shd w:val="clear" w:color="auto" w:fill="F2F2F2" w:themeFill="background1" w:themeFillShade="F2"/>
            <w:noWrap/>
          </w:tcPr>
          <w:p w14:paraId="053E6DEE"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Expert (1)</w:t>
            </w:r>
          </w:p>
        </w:tc>
        <w:tc>
          <w:tcPr>
            <w:tcW w:w="6360" w:type="dxa"/>
            <w:gridSpan w:val="3"/>
            <w:tcBorders>
              <w:top w:val="nil"/>
              <w:left w:val="nil"/>
              <w:bottom w:val="single" w:sz="4" w:space="0" w:color="auto"/>
              <w:right w:val="single" w:sz="4" w:space="0" w:color="auto"/>
            </w:tcBorders>
          </w:tcPr>
          <w:p w14:paraId="470BF896"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Name:</w:t>
            </w:r>
            <w:r w:rsidRPr="004D1E6F">
              <w:rPr>
                <w:rFonts w:ascii="Times New Roman" w:eastAsia="Times New Roman" w:hAnsi="Times New Roman" w:cs="Times New Roman"/>
                <w:color w:val="000000"/>
                <w:sz w:val="20"/>
                <w:szCs w:val="20"/>
                <w:lang w:eastAsia="en-ZA"/>
              </w:rPr>
              <w:t xml:space="preserve"> </w:t>
            </w:r>
          </w:p>
        </w:tc>
      </w:tr>
      <w:tr w:rsidR="002D7080" w:rsidRPr="004D1E6F" w14:paraId="5945FAC1" w14:textId="77777777" w:rsidTr="002E2C37">
        <w:trPr>
          <w:trHeight w:val="70"/>
        </w:trPr>
        <w:tc>
          <w:tcPr>
            <w:tcW w:w="2430" w:type="dxa"/>
            <w:vMerge/>
            <w:tcBorders>
              <w:left w:val="single" w:sz="4" w:space="0" w:color="auto"/>
              <w:right w:val="single" w:sz="4" w:space="0" w:color="auto"/>
            </w:tcBorders>
            <w:shd w:val="clear" w:color="auto" w:fill="F2F2F2" w:themeFill="background1" w:themeFillShade="F2"/>
            <w:noWrap/>
          </w:tcPr>
          <w:p w14:paraId="5AA5B8E8"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22B372C0"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email:</w:t>
            </w:r>
            <w:r w:rsidRPr="004D1E6F">
              <w:rPr>
                <w:rFonts w:ascii="Times New Roman" w:eastAsia="Times New Roman" w:hAnsi="Times New Roman" w:cs="Times New Roman"/>
                <w:color w:val="000000"/>
                <w:sz w:val="20"/>
                <w:szCs w:val="20"/>
                <w:lang w:eastAsia="en-ZA"/>
              </w:rPr>
              <w:t xml:space="preserve"> </w:t>
            </w:r>
          </w:p>
        </w:tc>
      </w:tr>
      <w:tr w:rsidR="002D7080" w:rsidRPr="004D1E6F" w14:paraId="3A785B7A" w14:textId="77777777" w:rsidTr="002E2C37">
        <w:trPr>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6CB19122"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7319A914"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Phone:</w:t>
            </w:r>
            <w:r w:rsidRPr="004D1E6F">
              <w:rPr>
                <w:rFonts w:ascii="Times New Roman" w:eastAsia="Times New Roman" w:hAnsi="Times New Roman" w:cs="Times New Roman"/>
                <w:color w:val="000000"/>
                <w:sz w:val="20"/>
                <w:szCs w:val="20"/>
                <w:lang w:eastAsia="en-ZA"/>
              </w:rPr>
              <w:t xml:space="preserve"> </w:t>
            </w:r>
          </w:p>
        </w:tc>
      </w:tr>
      <w:tr w:rsidR="002D7080" w:rsidRPr="004D1E6F" w14:paraId="5A6DC380" w14:textId="77777777" w:rsidTr="002E2C37">
        <w:trPr>
          <w:trHeight w:val="70"/>
        </w:trPr>
        <w:tc>
          <w:tcPr>
            <w:tcW w:w="2430" w:type="dxa"/>
            <w:vMerge w:val="restart"/>
            <w:tcBorders>
              <w:left w:val="single" w:sz="4" w:space="0" w:color="auto"/>
              <w:right w:val="single" w:sz="4" w:space="0" w:color="auto"/>
            </w:tcBorders>
            <w:shd w:val="clear" w:color="auto" w:fill="F2F2F2" w:themeFill="background1" w:themeFillShade="F2"/>
            <w:noWrap/>
          </w:tcPr>
          <w:p w14:paraId="365A30DC"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Expert (2)</w:t>
            </w:r>
          </w:p>
        </w:tc>
        <w:tc>
          <w:tcPr>
            <w:tcW w:w="6360" w:type="dxa"/>
            <w:gridSpan w:val="3"/>
            <w:tcBorders>
              <w:top w:val="nil"/>
              <w:left w:val="nil"/>
              <w:bottom w:val="single" w:sz="4" w:space="0" w:color="auto"/>
              <w:right w:val="single" w:sz="4" w:space="0" w:color="auto"/>
            </w:tcBorders>
          </w:tcPr>
          <w:p w14:paraId="3D114416"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Name:</w:t>
            </w:r>
          </w:p>
        </w:tc>
      </w:tr>
      <w:tr w:rsidR="002D7080" w:rsidRPr="004D1E6F" w14:paraId="1C3A8857" w14:textId="77777777" w:rsidTr="002E2C37">
        <w:trPr>
          <w:trHeight w:val="70"/>
        </w:trPr>
        <w:tc>
          <w:tcPr>
            <w:tcW w:w="2430" w:type="dxa"/>
            <w:vMerge/>
            <w:tcBorders>
              <w:left w:val="single" w:sz="4" w:space="0" w:color="auto"/>
              <w:right w:val="single" w:sz="4" w:space="0" w:color="auto"/>
            </w:tcBorders>
            <w:shd w:val="clear" w:color="auto" w:fill="F2F2F2" w:themeFill="background1" w:themeFillShade="F2"/>
            <w:noWrap/>
          </w:tcPr>
          <w:p w14:paraId="3FF1F897"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40DA92B2"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email:</w:t>
            </w:r>
          </w:p>
        </w:tc>
      </w:tr>
      <w:tr w:rsidR="002D7080" w:rsidRPr="004D1E6F" w14:paraId="630BB004" w14:textId="77777777" w:rsidTr="002E2C37">
        <w:trPr>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0C8D24A3"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1DC32914"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Phone:</w:t>
            </w:r>
          </w:p>
        </w:tc>
      </w:tr>
      <w:tr w:rsidR="002D7080" w:rsidRPr="004D1E6F" w14:paraId="26D5FBA1" w14:textId="77777777" w:rsidTr="002E2C37">
        <w:trPr>
          <w:trHeight w:val="70"/>
        </w:trPr>
        <w:tc>
          <w:tcPr>
            <w:tcW w:w="8790" w:type="dxa"/>
            <w:gridSpan w:val="4"/>
            <w:tcBorders>
              <w:top w:val="nil"/>
              <w:left w:val="single" w:sz="4" w:space="0" w:color="auto"/>
              <w:bottom w:val="single" w:sz="4" w:space="0" w:color="auto"/>
              <w:right w:val="single" w:sz="4" w:space="0" w:color="auto"/>
            </w:tcBorders>
            <w:noWrap/>
          </w:tcPr>
          <w:p w14:paraId="526C7BCB"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Pr>
                <w:rFonts w:ascii="Times New Roman" w:eastAsia="Times New Roman" w:hAnsi="Times New Roman" w:cs="Times New Roman"/>
                <w:sz w:val="20"/>
                <w:szCs w:val="20"/>
                <w:lang w:eastAsia="en-ZA"/>
              </w:rPr>
              <w:t xml:space="preserve">none </w:t>
            </w:r>
          </w:p>
        </w:tc>
      </w:tr>
      <w:tr w:rsidR="002D7080" w:rsidRPr="004D1E6F" w14:paraId="3129365F" w14:textId="77777777" w:rsidTr="002E2C37">
        <w:trPr>
          <w:trHeight w:val="365"/>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7A232401"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BAC4 Scientific name of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under assessment</w:t>
            </w:r>
          </w:p>
        </w:tc>
      </w:tr>
      <w:tr w:rsidR="002D7080" w:rsidRPr="004D1E6F" w14:paraId="48D486F8" w14:textId="77777777" w:rsidTr="002E2C37">
        <w:trPr>
          <w:trHeight w:val="70"/>
        </w:trPr>
        <w:tc>
          <w:tcPr>
            <w:tcW w:w="6124" w:type="dxa"/>
            <w:gridSpan w:val="3"/>
            <w:tcBorders>
              <w:top w:val="nil"/>
              <w:left w:val="single" w:sz="4" w:space="0" w:color="auto"/>
              <w:bottom w:val="single" w:sz="4" w:space="0" w:color="auto"/>
              <w:right w:val="single" w:sz="4" w:space="0" w:color="auto"/>
            </w:tcBorders>
            <w:noWrap/>
          </w:tcPr>
          <w:p w14:paraId="1517A5AB"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name:</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Times New Roman" w:hAnsi="Times New Roman" w:cs="Times New Roman"/>
                <w:i/>
                <w:sz w:val="20"/>
                <w:szCs w:val="20"/>
                <w:lang w:eastAsia="en-ZA"/>
              </w:rPr>
              <w:t>Cherax destructor</w:t>
            </w:r>
          </w:p>
        </w:tc>
        <w:tc>
          <w:tcPr>
            <w:tcW w:w="2666" w:type="dxa"/>
            <w:tcBorders>
              <w:top w:val="nil"/>
              <w:left w:val="nil"/>
              <w:bottom w:val="single" w:sz="4" w:space="0" w:color="auto"/>
              <w:right w:val="single" w:sz="4" w:space="0" w:color="auto"/>
            </w:tcBorders>
            <w:hideMark/>
          </w:tcPr>
          <w:p w14:paraId="473B4BB7"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Authority:</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Clarke, 1939</w:t>
            </w:r>
          </w:p>
        </w:tc>
      </w:tr>
      <w:tr w:rsidR="002D7080" w:rsidRPr="004D1E6F" w14:paraId="7759DDD9" w14:textId="77777777" w:rsidTr="002E2C37">
        <w:trPr>
          <w:trHeight w:val="70"/>
        </w:trPr>
        <w:tc>
          <w:tcPr>
            <w:tcW w:w="8790" w:type="dxa"/>
            <w:gridSpan w:val="4"/>
            <w:tcBorders>
              <w:top w:val="nil"/>
              <w:left w:val="single" w:sz="4" w:space="0" w:color="auto"/>
              <w:bottom w:val="single" w:sz="4" w:space="0" w:color="auto"/>
              <w:right w:val="single" w:sz="4" w:space="0" w:color="auto"/>
            </w:tcBorders>
            <w:noWrap/>
          </w:tcPr>
          <w:p w14:paraId="1C4AA99E" w14:textId="77777777"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The taxonomic status of </w:t>
            </w:r>
            <w:r w:rsidRPr="004D1E6F">
              <w:rPr>
                <w:rFonts w:ascii="Times New Roman" w:eastAsia="Times New Roman" w:hAnsi="Times New Roman" w:cs="Times New Roman"/>
                <w:i/>
                <w:iCs/>
                <w:sz w:val="20"/>
                <w:szCs w:val="20"/>
                <w:lang w:eastAsia="en-ZA"/>
              </w:rPr>
              <w:t xml:space="preserve">C. destructor </w:t>
            </w:r>
            <w:r w:rsidRPr="004D1E6F">
              <w:rPr>
                <w:rFonts w:ascii="Times New Roman" w:eastAsia="Times New Roman" w:hAnsi="Times New Roman" w:cs="Times New Roman"/>
                <w:sz w:val="20"/>
                <w:szCs w:val="20"/>
                <w:lang w:eastAsia="en-ZA"/>
              </w:rPr>
              <w:t xml:space="preserve">has been subject to several revisions (Austin et al. 2003; Campbell, Geddes &amp; Adams 1994; Munasinghe, Burridge &amp; Austin 2004; Riek 1951, 1956, 1967, 1969; Sokol 1988). The current consensus is that there is one species of </w:t>
            </w:r>
            <w:r w:rsidRPr="004D1E6F">
              <w:rPr>
                <w:rFonts w:ascii="Times New Roman" w:eastAsia="Times New Roman" w:hAnsi="Times New Roman" w:cs="Times New Roman"/>
                <w:i/>
                <w:iCs/>
                <w:sz w:val="20"/>
                <w:szCs w:val="20"/>
                <w:lang w:eastAsia="en-ZA"/>
              </w:rPr>
              <w:t>C. destructor</w:t>
            </w:r>
            <w:r w:rsidRPr="004D1E6F">
              <w:rPr>
                <w:rFonts w:ascii="Times New Roman" w:eastAsia="Times New Roman" w:hAnsi="Times New Roman" w:cs="Times New Roman"/>
                <w:sz w:val="20"/>
                <w:szCs w:val="20"/>
                <w:lang w:eastAsia="en-ZA"/>
              </w:rPr>
              <w:t xml:space="preserve">, with two subspecies </w:t>
            </w:r>
            <w:r w:rsidRPr="004D1E6F">
              <w:rPr>
                <w:rFonts w:ascii="Times New Roman" w:eastAsia="Times New Roman" w:hAnsi="Times New Roman" w:cs="Times New Roman"/>
                <w:i/>
                <w:iCs/>
                <w:sz w:val="20"/>
                <w:szCs w:val="20"/>
                <w:lang w:eastAsia="en-ZA"/>
              </w:rPr>
              <w:t xml:space="preserve">C. d. albidus, </w:t>
            </w:r>
            <w:r w:rsidRPr="004D1E6F">
              <w:rPr>
                <w:rFonts w:ascii="Times New Roman" w:eastAsia="Times New Roman" w:hAnsi="Times New Roman" w:cs="Times New Roman"/>
                <w:sz w:val="20"/>
                <w:szCs w:val="20"/>
                <w:lang w:eastAsia="en-ZA"/>
              </w:rPr>
              <w:t xml:space="preserve">and </w:t>
            </w:r>
            <w:r w:rsidRPr="004D1E6F">
              <w:rPr>
                <w:rFonts w:ascii="Times New Roman" w:eastAsia="Times New Roman" w:hAnsi="Times New Roman" w:cs="Times New Roman"/>
                <w:i/>
                <w:iCs/>
                <w:sz w:val="20"/>
                <w:szCs w:val="20"/>
                <w:lang w:eastAsia="en-ZA"/>
              </w:rPr>
              <w:t xml:space="preserve">C. d. destructor </w:t>
            </w:r>
            <w:r w:rsidRPr="004D1E6F">
              <w:rPr>
                <w:rFonts w:ascii="Times New Roman" w:eastAsia="Times New Roman" w:hAnsi="Times New Roman" w:cs="Times New Roman"/>
                <w:sz w:val="20"/>
                <w:szCs w:val="20"/>
                <w:lang w:eastAsia="en-ZA"/>
              </w:rPr>
              <w:t>(Austin et al. 2003; Munasinghe et al. 2004), both of which were considered in this risk analysis.</w:t>
            </w:r>
          </w:p>
        </w:tc>
      </w:tr>
      <w:tr w:rsidR="002D7080" w:rsidRPr="004D1E6F" w14:paraId="46976D58" w14:textId="77777777" w:rsidTr="002E2C37">
        <w:trPr>
          <w:trHeight w:val="70"/>
        </w:trPr>
        <w:tc>
          <w:tcPr>
            <w:tcW w:w="8790" w:type="dxa"/>
            <w:gridSpan w:val="4"/>
            <w:tcBorders>
              <w:top w:val="nil"/>
              <w:left w:val="single" w:sz="4" w:space="0" w:color="auto"/>
              <w:bottom w:val="single" w:sz="4" w:space="0" w:color="auto"/>
              <w:right w:val="single" w:sz="4" w:space="0" w:color="auto"/>
            </w:tcBorders>
            <w:noWrap/>
          </w:tcPr>
          <w:p w14:paraId="4DA0CAA9" w14:textId="77777777" w:rsidR="002D7080" w:rsidRPr="004D1E6F" w:rsidRDefault="002D7080" w:rsidP="00471161">
            <w:pPr>
              <w:spacing w:after="0"/>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2C8BA6EA" w14:textId="2D6631FD" w:rsidR="002D7080" w:rsidRPr="004D1E6F" w:rsidRDefault="002D7080" w:rsidP="00471161">
            <w:pPr>
              <w:spacing w:after="0"/>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Austin, C.M., Nguyen, T.T.T., Meewan, M.M. &amp; Jerry, D.R., 2003, ‘The taxonomy and phylogeny of the ‘</w:t>
            </w:r>
            <w:r w:rsidRPr="004D1E6F">
              <w:rPr>
                <w:rFonts w:ascii="Times New Roman" w:eastAsia="Times New Roman" w:hAnsi="Times New Roman" w:cs="Times New Roman"/>
                <w:i/>
                <w:iCs/>
                <w:sz w:val="20"/>
                <w:szCs w:val="20"/>
                <w:lang w:eastAsia="en-ZA"/>
              </w:rPr>
              <w:t>Cherax destructor</w:t>
            </w:r>
            <w:r w:rsidRPr="004D1E6F">
              <w:rPr>
                <w:rFonts w:ascii="Times New Roman" w:eastAsia="Times New Roman" w:hAnsi="Times New Roman" w:cs="Times New Roman"/>
                <w:sz w:val="20"/>
                <w:szCs w:val="20"/>
                <w:lang w:eastAsia="en-ZA"/>
              </w:rPr>
              <w:t xml:space="preserve">’ complex (Decapoda: Parastacidae) examined using mitochondrial 16S sequences’, </w:t>
            </w:r>
            <w:r w:rsidRPr="004D1E6F">
              <w:rPr>
                <w:rFonts w:ascii="Times New Roman" w:eastAsia="Times New Roman" w:hAnsi="Times New Roman" w:cs="Times New Roman"/>
                <w:i/>
                <w:iCs/>
                <w:sz w:val="20"/>
                <w:szCs w:val="20"/>
                <w:lang w:eastAsia="en-ZA"/>
              </w:rPr>
              <w:t xml:space="preserve">Australian Journal of Zoology </w:t>
            </w:r>
            <w:r w:rsidRPr="004D1E6F">
              <w:rPr>
                <w:rFonts w:ascii="Times New Roman" w:eastAsia="Times New Roman" w:hAnsi="Times New Roman" w:cs="Times New Roman"/>
                <w:bCs/>
                <w:sz w:val="20"/>
                <w:szCs w:val="20"/>
                <w:lang w:eastAsia="en-ZA"/>
              </w:rPr>
              <w:t>51</w:t>
            </w:r>
            <w:r w:rsidRPr="004D1E6F">
              <w:rPr>
                <w:rFonts w:ascii="Times New Roman" w:eastAsia="Times New Roman" w:hAnsi="Times New Roman" w:cs="Times New Roman"/>
                <w:sz w:val="20"/>
                <w:szCs w:val="20"/>
                <w:lang w:eastAsia="en-ZA"/>
              </w:rPr>
              <w:t>, 99–110</w:t>
            </w:r>
            <w:r w:rsidR="001865AA">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001865AA" w:rsidRPr="001865AA">
              <w:rPr>
                <w:rFonts w:ascii="Times New Roman" w:eastAsia="Times New Roman" w:hAnsi="Times New Roman" w:cs="Times New Roman"/>
                <w:sz w:val="20"/>
                <w:szCs w:val="20"/>
                <w:lang w:eastAsia="en-ZA"/>
              </w:rPr>
              <w:t>https://doi.org/10.1071/ZO02054</w:t>
            </w:r>
            <w:r w:rsidRPr="004D1E6F">
              <w:rPr>
                <w:rFonts w:ascii="Times New Roman" w:eastAsia="Times New Roman" w:hAnsi="Times New Roman" w:cs="Times New Roman"/>
                <w:sz w:val="20"/>
                <w:szCs w:val="20"/>
                <w:lang w:eastAsia="en-ZA"/>
              </w:rPr>
              <w:t>.</w:t>
            </w:r>
          </w:p>
          <w:p w14:paraId="048F199B" w14:textId="2BC5099F" w:rsidR="002D7080" w:rsidRPr="004D1E6F" w:rsidRDefault="002D7080" w:rsidP="00471161">
            <w:pPr>
              <w:spacing w:after="0"/>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Campbell, N.J.H., Geddes, M.C. &amp; Adams, M., 1994, ‘Genetic variation in yabbies’, </w:t>
            </w:r>
            <w:r w:rsidRPr="004D1E6F">
              <w:rPr>
                <w:rFonts w:ascii="Times New Roman" w:eastAsia="Times New Roman" w:hAnsi="Times New Roman" w:cs="Times New Roman"/>
                <w:i/>
                <w:iCs/>
                <w:sz w:val="20"/>
                <w:szCs w:val="20"/>
                <w:lang w:eastAsia="en-ZA"/>
              </w:rPr>
              <w:t xml:space="preserve">Cherax destructor </w:t>
            </w:r>
            <w:r w:rsidRPr="004D1E6F">
              <w:rPr>
                <w:rFonts w:ascii="Times New Roman" w:eastAsia="Times New Roman" w:hAnsi="Times New Roman" w:cs="Times New Roman"/>
                <w:sz w:val="20"/>
                <w:szCs w:val="20"/>
                <w:lang w:eastAsia="en-ZA"/>
              </w:rPr>
              <w:t xml:space="preserve">and </w:t>
            </w:r>
            <w:r w:rsidRPr="004D1E6F">
              <w:rPr>
                <w:rFonts w:ascii="Times New Roman" w:eastAsia="Times New Roman" w:hAnsi="Times New Roman" w:cs="Times New Roman"/>
                <w:i/>
                <w:iCs/>
                <w:sz w:val="20"/>
                <w:szCs w:val="20"/>
                <w:lang w:eastAsia="en-ZA"/>
              </w:rPr>
              <w:t xml:space="preserve">C. albidus </w:t>
            </w:r>
            <w:r w:rsidRPr="004D1E6F">
              <w:rPr>
                <w:rFonts w:ascii="Times New Roman" w:eastAsia="Times New Roman" w:hAnsi="Times New Roman" w:cs="Times New Roman"/>
                <w:sz w:val="20"/>
                <w:szCs w:val="20"/>
                <w:lang w:eastAsia="en-ZA"/>
              </w:rPr>
              <w:t xml:space="preserve">(Crustacea: Decapoda: Parastacidae), indicates the presence of a single, highly sub-structured species’, </w:t>
            </w:r>
            <w:r w:rsidRPr="004D1E6F">
              <w:rPr>
                <w:rFonts w:ascii="Times New Roman" w:eastAsia="Times New Roman" w:hAnsi="Times New Roman" w:cs="Times New Roman"/>
                <w:i/>
                <w:iCs/>
                <w:sz w:val="20"/>
                <w:szCs w:val="20"/>
                <w:lang w:eastAsia="en-ZA"/>
              </w:rPr>
              <w:t xml:space="preserve">Australian Journal of Zoology </w:t>
            </w:r>
            <w:r w:rsidRPr="004D1E6F">
              <w:rPr>
                <w:rFonts w:ascii="Times New Roman" w:eastAsia="Times New Roman" w:hAnsi="Times New Roman" w:cs="Times New Roman"/>
                <w:bCs/>
                <w:sz w:val="20"/>
                <w:szCs w:val="20"/>
                <w:lang w:eastAsia="en-ZA"/>
              </w:rPr>
              <w:t>42</w:t>
            </w:r>
            <w:r w:rsidRPr="004D1E6F">
              <w:rPr>
                <w:rFonts w:ascii="Times New Roman" w:eastAsia="Times New Roman" w:hAnsi="Times New Roman" w:cs="Times New Roman"/>
                <w:sz w:val="20"/>
                <w:szCs w:val="20"/>
                <w:lang w:eastAsia="en-ZA"/>
              </w:rPr>
              <w:t>, 1–16</w:t>
            </w:r>
            <w:r w:rsidR="001865AA">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001865AA" w:rsidRPr="001865AA">
              <w:rPr>
                <w:rFonts w:ascii="Times New Roman" w:eastAsia="Times New Roman" w:hAnsi="Times New Roman" w:cs="Times New Roman"/>
                <w:sz w:val="20"/>
                <w:szCs w:val="20"/>
                <w:lang w:eastAsia="en-ZA"/>
              </w:rPr>
              <w:t>https://doi.org/10.1071/ZO9940745</w:t>
            </w:r>
            <w:r w:rsidRPr="004D1E6F">
              <w:rPr>
                <w:rFonts w:ascii="Times New Roman" w:eastAsia="Times New Roman" w:hAnsi="Times New Roman" w:cs="Times New Roman"/>
                <w:sz w:val="20"/>
                <w:szCs w:val="20"/>
                <w:lang w:eastAsia="en-ZA"/>
              </w:rPr>
              <w:t>.</w:t>
            </w:r>
          </w:p>
          <w:p w14:paraId="00D60470" w14:textId="410EEB7C" w:rsidR="002D7080" w:rsidRPr="004D1E6F" w:rsidRDefault="002D7080" w:rsidP="00471161">
            <w:pPr>
              <w:spacing w:after="0"/>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Munasinghe, D.H.N., Burridge, C.P. &amp; Austin, C.M., 2004, ‘Molecular phylogeny and zoogeography of the freshwater crayfish genus </w:t>
            </w:r>
            <w:r w:rsidRPr="004D1E6F">
              <w:rPr>
                <w:rFonts w:ascii="Times New Roman" w:eastAsia="Times New Roman" w:hAnsi="Times New Roman" w:cs="Times New Roman"/>
                <w:i/>
                <w:iCs/>
                <w:sz w:val="20"/>
                <w:szCs w:val="20"/>
                <w:lang w:eastAsia="en-ZA"/>
              </w:rPr>
              <w:t xml:space="preserve">Cherax </w:t>
            </w:r>
            <w:r w:rsidRPr="004D1E6F">
              <w:rPr>
                <w:rFonts w:ascii="Times New Roman" w:eastAsia="Times New Roman" w:hAnsi="Times New Roman" w:cs="Times New Roman"/>
                <w:sz w:val="20"/>
                <w:szCs w:val="20"/>
                <w:lang w:eastAsia="en-ZA"/>
              </w:rPr>
              <w:t xml:space="preserve">Erichson (Decapoda: Parastacidae) in Australia’, </w:t>
            </w:r>
            <w:r w:rsidRPr="004D1E6F">
              <w:rPr>
                <w:rFonts w:ascii="Times New Roman" w:eastAsia="Times New Roman" w:hAnsi="Times New Roman" w:cs="Times New Roman"/>
                <w:i/>
                <w:iCs/>
                <w:sz w:val="20"/>
                <w:szCs w:val="20"/>
                <w:lang w:eastAsia="en-ZA"/>
              </w:rPr>
              <w:t xml:space="preserve">Biological Journal of the Linnean Society </w:t>
            </w:r>
            <w:r w:rsidRPr="004D1E6F">
              <w:rPr>
                <w:rFonts w:ascii="Times New Roman" w:eastAsia="Times New Roman" w:hAnsi="Times New Roman" w:cs="Times New Roman"/>
                <w:bCs/>
                <w:sz w:val="20"/>
                <w:szCs w:val="20"/>
                <w:lang w:eastAsia="en-ZA"/>
              </w:rPr>
              <w:t>81,</w:t>
            </w:r>
            <w:r w:rsidRPr="004D1E6F">
              <w:rPr>
                <w:rFonts w:ascii="Times New Roman" w:eastAsia="Times New Roman" w:hAnsi="Times New Roman" w:cs="Times New Roman"/>
                <w:sz w:val="20"/>
                <w:szCs w:val="20"/>
                <w:lang w:eastAsia="en-ZA"/>
              </w:rPr>
              <w:t xml:space="preserve"> 553–563</w:t>
            </w:r>
            <w:r w:rsidR="001865AA">
              <w:rPr>
                <w:rFonts w:ascii="Times New Roman" w:eastAsia="Times New Roman" w:hAnsi="Times New Roman" w:cs="Times New Roman"/>
                <w:sz w:val="20"/>
                <w:szCs w:val="20"/>
                <w:lang w:eastAsia="en-ZA"/>
              </w:rPr>
              <w:t>,</w:t>
            </w:r>
            <w:r w:rsidR="001865AA">
              <w:t xml:space="preserve"> </w:t>
            </w:r>
            <w:r w:rsidR="001865AA" w:rsidRPr="001865AA">
              <w:rPr>
                <w:rFonts w:ascii="Times New Roman" w:eastAsia="Times New Roman" w:hAnsi="Times New Roman" w:cs="Times New Roman"/>
                <w:sz w:val="20"/>
                <w:szCs w:val="20"/>
                <w:lang w:eastAsia="en-ZA"/>
              </w:rPr>
              <w:t>https://doi.org/10.1111/j.1095-8312.2003.00299.x</w:t>
            </w:r>
            <w:r w:rsidRPr="004D1E6F">
              <w:rPr>
                <w:rFonts w:ascii="Times New Roman" w:eastAsia="Times New Roman" w:hAnsi="Times New Roman" w:cs="Times New Roman"/>
                <w:sz w:val="20"/>
                <w:szCs w:val="20"/>
                <w:lang w:eastAsia="en-ZA"/>
              </w:rPr>
              <w:t>.</w:t>
            </w:r>
          </w:p>
          <w:p w14:paraId="2D74E7D9" w14:textId="77777777" w:rsidR="002D7080" w:rsidRPr="004D1E6F" w:rsidRDefault="002D7080" w:rsidP="00471161">
            <w:pPr>
              <w:spacing w:after="0"/>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Riek, E.F., 1951, ‘The freshwater crayfish (Family: Parastacidae) of Queensland. With an appendix describing other Australian species’, </w:t>
            </w:r>
            <w:r w:rsidRPr="004D1E6F">
              <w:rPr>
                <w:rFonts w:ascii="Times New Roman" w:eastAsia="Times New Roman" w:hAnsi="Times New Roman" w:cs="Times New Roman"/>
                <w:i/>
                <w:iCs/>
                <w:sz w:val="20"/>
                <w:szCs w:val="20"/>
                <w:lang w:eastAsia="en-ZA"/>
              </w:rPr>
              <w:t xml:space="preserve">Records of the Australian Museum </w:t>
            </w:r>
            <w:r w:rsidRPr="004D1E6F">
              <w:rPr>
                <w:rFonts w:ascii="Times New Roman" w:eastAsia="Times New Roman" w:hAnsi="Times New Roman" w:cs="Times New Roman"/>
                <w:bCs/>
                <w:sz w:val="20"/>
                <w:szCs w:val="20"/>
                <w:lang w:eastAsia="en-ZA"/>
              </w:rPr>
              <w:t>22</w:t>
            </w:r>
            <w:r w:rsidRPr="004D1E6F">
              <w:rPr>
                <w:rFonts w:ascii="Times New Roman" w:eastAsia="Times New Roman" w:hAnsi="Times New Roman" w:cs="Times New Roman"/>
                <w:sz w:val="20"/>
                <w:szCs w:val="20"/>
                <w:lang w:eastAsia="en-ZA"/>
              </w:rPr>
              <w:t>,368–388. https://doi.org/10.3853/j.0067-1975.22.1951.615.</w:t>
            </w:r>
          </w:p>
          <w:p w14:paraId="78EF3B48" w14:textId="77777777" w:rsidR="002D7080" w:rsidRPr="004D1E6F" w:rsidRDefault="002D7080" w:rsidP="00471161">
            <w:pPr>
              <w:spacing w:after="0"/>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Riek, E.F., 1956, ‘Addition to the Australian freshwater crayfish’, </w:t>
            </w:r>
            <w:r w:rsidRPr="004D1E6F">
              <w:rPr>
                <w:rFonts w:ascii="Times New Roman" w:eastAsia="Times New Roman" w:hAnsi="Times New Roman" w:cs="Times New Roman"/>
                <w:i/>
                <w:iCs/>
                <w:sz w:val="20"/>
                <w:szCs w:val="20"/>
                <w:lang w:eastAsia="en-ZA"/>
              </w:rPr>
              <w:t xml:space="preserve">Records of the Australian Museum </w:t>
            </w:r>
            <w:r w:rsidRPr="004D1E6F">
              <w:rPr>
                <w:rFonts w:ascii="Times New Roman" w:eastAsia="Times New Roman" w:hAnsi="Times New Roman" w:cs="Times New Roman"/>
                <w:bCs/>
                <w:sz w:val="20"/>
                <w:szCs w:val="20"/>
                <w:lang w:eastAsia="en-ZA"/>
              </w:rPr>
              <w:t>24</w:t>
            </w:r>
            <w:r w:rsidRPr="004D1E6F">
              <w:rPr>
                <w:rFonts w:ascii="Times New Roman" w:eastAsia="Times New Roman" w:hAnsi="Times New Roman" w:cs="Times New Roman"/>
                <w:sz w:val="20"/>
                <w:szCs w:val="20"/>
                <w:lang w:eastAsia="en-ZA"/>
              </w:rPr>
              <w:t>, 1–6. https://doi.org/10.3853/j.0067-1975.24.1956.639.</w:t>
            </w:r>
          </w:p>
          <w:p w14:paraId="0CC2417E" w14:textId="77777777" w:rsidR="002D7080" w:rsidRPr="004D1E6F" w:rsidRDefault="002D7080" w:rsidP="00471161">
            <w:pPr>
              <w:spacing w:after="0"/>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Riek, E.F., 1967, ‘The freshwater crayfish of Western Australia (Decapoda: Parastacidae)’, </w:t>
            </w:r>
            <w:r w:rsidRPr="004D1E6F">
              <w:rPr>
                <w:rFonts w:ascii="Times New Roman" w:eastAsia="Times New Roman" w:hAnsi="Times New Roman" w:cs="Times New Roman"/>
                <w:i/>
                <w:iCs/>
                <w:sz w:val="20"/>
                <w:szCs w:val="20"/>
                <w:lang w:eastAsia="en-ZA"/>
              </w:rPr>
              <w:t xml:space="preserve">Australian Journal of Zoology </w:t>
            </w:r>
            <w:r w:rsidRPr="004D1E6F">
              <w:rPr>
                <w:rFonts w:ascii="Times New Roman" w:eastAsia="Times New Roman" w:hAnsi="Times New Roman" w:cs="Times New Roman"/>
                <w:bCs/>
                <w:sz w:val="20"/>
                <w:szCs w:val="20"/>
                <w:lang w:eastAsia="en-ZA"/>
              </w:rPr>
              <w:t>14</w:t>
            </w:r>
            <w:r w:rsidRPr="004D1E6F">
              <w:rPr>
                <w:rFonts w:ascii="Times New Roman" w:eastAsia="Times New Roman" w:hAnsi="Times New Roman" w:cs="Times New Roman"/>
                <w:sz w:val="20"/>
                <w:szCs w:val="20"/>
                <w:lang w:eastAsia="en-ZA"/>
              </w:rPr>
              <w:t>, 103–121. https://doi.org/10.1071/ZO9670103.</w:t>
            </w:r>
          </w:p>
          <w:p w14:paraId="1357321A" w14:textId="77777777" w:rsidR="002D7080" w:rsidRPr="004D1E6F" w:rsidRDefault="002D7080" w:rsidP="00471161">
            <w:pPr>
              <w:spacing w:after="0"/>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Riek, E.F., 1969, ‘The Australian freshwater crayfish (Crustacea: Decapoda: Parastacidae), with the description of new species’, </w:t>
            </w:r>
            <w:r w:rsidRPr="004D1E6F">
              <w:rPr>
                <w:rFonts w:ascii="Times New Roman" w:eastAsia="Times New Roman" w:hAnsi="Times New Roman" w:cs="Times New Roman"/>
                <w:i/>
                <w:iCs/>
                <w:sz w:val="20"/>
                <w:szCs w:val="20"/>
                <w:lang w:eastAsia="en-ZA"/>
              </w:rPr>
              <w:t xml:space="preserve">Australian Journal of Zoology </w:t>
            </w:r>
            <w:r w:rsidRPr="004D1E6F">
              <w:rPr>
                <w:rFonts w:ascii="Times New Roman" w:eastAsia="Times New Roman" w:hAnsi="Times New Roman" w:cs="Times New Roman"/>
                <w:bCs/>
                <w:sz w:val="20"/>
                <w:szCs w:val="20"/>
                <w:lang w:eastAsia="en-ZA"/>
              </w:rPr>
              <w:t>17</w:t>
            </w:r>
            <w:r w:rsidRPr="004D1E6F">
              <w:rPr>
                <w:rFonts w:ascii="Times New Roman" w:eastAsia="Times New Roman" w:hAnsi="Times New Roman" w:cs="Times New Roman"/>
                <w:sz w:val="20"/>
                <w:szCs w:val="20"/>
                <w:lang w:eastAsia="en-ZA"/>
              </w:rPr>
              <w:t>, 855-918. https://doi.org/10.1071/ZO9690855.</w:t>
            </w:r>
          </w:p>
          <w:p w14:paraId="1329D32F" w14:textId="746CBBE6" w:rsidR="002D7080" w:rsidRPr="004D1E6F" w:rsidRDefault="002D7080" w:rsidP="00471161">
            <w:pPr>
              <w:spacing w:after="0"/>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Sokol, A., 1988, ‘Morphological variation in relation to the taxonomy of the destructor group of the genus </w:t>
            </w:r>
            <w:r w:rsidRPr="004D1E6F">
              <w:rPr>
                <w:rFonts w:ascii="Times New Roman" w:eastAsia="Times New Roman" w:hAnsi="Times New Roman" w:cs="Times New Roman"/>
                <w:i/>
                <w:iCs/>
                <w:sz w:val="20"/>
                <w:szCs w:val="20"/>
                <w:lang w:eastAsia="en-ZA"/>
              </w:rPr>
              <w:t>Cherax</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 xml:space="preserve">Invertebrate Taxonomy </w:t>
            </w:r>
            <w:r w:rsidRPr="004D1E6F">
              <w:rPr>
                <w:rFonts w:ascii="Times New Roman" w:eastAsia="Times New Roman" w:hAnsi="Times New Roman" w:cs="Times New Roman"/>
                <w:bCs/>
                <w:sz w:val="20"/>
                <w:szCs w:val="20"/>
                <w:lang w:eastAsia="en-ZA"/>
              </w:rPr>
              <w:t>2</w:t>
            </w:r>
            <w:r w:rsidRPr="004D1E6F">
              <w:rPr>
                <w:rFonts w:ascii="Times New Roman" w:eastAsia="Times New Roman" w:hAnsi="Times New Roman" w:cs="Times New Roman"/>
                <w:sz w:val="20"/>
                <w:szCs w:val="20"/>
                <w:lang w:eastAsia="en-ZA"/>
              </w:rPr>
              <w:t>, 55–79</w:t>
            </w:r>
            <w:r w:rsidR="001865AA">
              <w:rPr>
                <w:rFonts w:ascii="Times New Roman" w:eastAsia="Times New Roman" w:hAnsi="Times New Roman" w:cs="Times New Roman"/>
                <w:sz w:val="20"/>
                <w:szCs w:val="20"/>
                <w:lang w:eastAsia="en-ZA"/>
              </w:rPr>
              <w:t>,</w:t>
            </w:r>
            <w:r w:rsidR="001865AA">
              <w:t xml:space="preserve"> </w:t>
            </w:r>
            <w:r w:rsidR="001865AA" w:rsidRPr="001865AA">
              <w:rPr>
                <w:rFonts w:ascii="Times New Roman" w:eastAsia="Times New Roman" w:hAnsi="Times New Roman" w:cs="Times New Roman"/>
                <w:sz w:val="20"/>
                <w:szCs w:val="20"/>
                <w:lang w:eastAsia="en-ZA"/>
              </w:rPr>
              <w:t>https://doi.org/10.1071/IT9880055</w:t>
            </w:r>
            <w:r w:rsidRPr="004D1E6F">
              <w:rPr>
                <w:rFonts w:ascii="Times New Roman" w:eastAsia="Times New Roman" w:hAnsi="Times New Roman" w:cs="Times New Roman"/>
                <w:sz w:val="20"/>
                <w:szCs w:val="20"/>
                <w:lang w:eastAsia="en-ZA"/>
              </w:rPr>
              <w:t>.</w:t>
            </w:r>
          </w:p>
        </w:tc>
      </w:tr>
      <w:tr w:rsidR="002D7080" w:rsidRPr="004D1E6F" w14:paraId="5A7A6635" w14:textId="77777777" w:rsidTr="002E2C37">
        <w:trPr>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A4A9672"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lastRenderedPageBreak/>
              <w:t>BAC5 Synonym(s) considered</w:t>
            </w:r>
          </w:p>
        </w:tc>
      </w:tr>
      <w:tr w:rsidR="002D7080" w:rsidRPr="0087162A" w14:paraId="0D417031"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24AFF472" w14:textId="77777777" w:rsidR="002D7080" w:rsidRPr="000F3EE6" w:rsidRDefault="002D7080" w:rsidP="00471161">
            <w:pPr>
              <w:spacing w:after="0"/>
              <w:jc w:val="both"/>
              <w:rPr>
                <w:rFonts w:ascii="Times New Roman" w:eastAsia="Times New Roman" w:hAnsi="Times New Roman" w:cs="Times New Roman"/>
                <w:b/>
                <w:sz w:val="20"/>
                <w:szCs w:val="20"/>
                <w:lang w:val="fr-FR" w:eastAsia="en-ZA"/>
              </w:rPr>
            </w:pPr>
            <w:r w:rsidRPr="000F3EE6">
              <w:rPr>
                <w:rFonts w:ascii="Times New Roman" w:eastAsia="Times New Roman" w:hAnsi="Times New Roman" w:cs="Times New Roman"/>
                <w:sz w:val="20"/>
                <w:szCs w:val="20"/>
                <w:lang w:val="fr-FR" w:eastAsia="en-ZA"/>
              </w:rPr>
              <w:t xml:space="preserve">Synonyms: </w:t>
            </w:r>
            <w:r w:rsidRPr="000F3EE6">
              <w:rPr>
                <w:rFonts w:ascii="Times New Roman" w:eastAsia="Times New Roman" w:hAnsi="Times New Roman" w:cs="Times New Roman"/>
                <w:i/>
                <w:iCs/>
                <w:sz w:val="20"/>
                <w:szCs w:val="20"/>
                <w:lang w:val="fr-FR" w:eastAsia="en-ZA"/>
              </w:rPr>
              <w:t>Cherax davis</w:t>
            </w:r>
            <w:r w:rsidRPr="000F3EE6">
              <w:rPr>
                <w:rFonts w:ascii="Times New Roman" w:eastAsia="Times New Roman" w:hAnsi="Times New Roman" w:cs="Times New Roman"/>
                <w:sz w:val="20"/>
                <w:szCs w:val="20"/>
                <w:lang w:val="fr-FR" w:eastAsia="en-ZA"/>
              </w:rPr>
              <w:t xml:space="preserve"> Clark, 1941 | </w:t>
            </w:r>
            <w:r w:rsidRPr="000F3EE6">
              <w:rPr>
                <w:rFonts w:ascii="Times New Roman" w:eastAsia="Times New Roman" w:hAnsi="Times New Roman" w:cs="Times New Roman"/>
                <w:i/>
                <w:iCs/>
                <w:sz w:val="20"/>
                <w:szCs w:val="20"/>
                <w:lang w:val="fr-FR" w:eastAsia="en-ZA"/>
              </w:rPr>
              <w:t>Cherax esculus</w:t>
            </w:r>
            <w:r w:rsidRPr="000F3EE6">
              <w:rPr>
                <w:rFonts w:ascii="Times New Roman" w:eastAsia="Times New Roman" w:hAnsi="Times New Roman" w:cs="Times New Roman"/>
                <w:sz w:val="20"/>
                <w:szCs w:val="20"/>
                <w:lang w:val="fr-FR" w:eastAsia="en-ZA"/>
              </w:rPr>
              <w:t xml:space="preserve"> Riek, 1956 </w:t>
            </w:r>
          </w:p>
        </w:tc>
      </w:tr>
      <w:tr w:rsidR="002D7080" w:rsidRPr="004D1E6F" w14:paraId="31CD9314"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2279B2D0" w14:textId="77777777"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 The abovementioned synonyms (</w:t>
            </w:r>
            <w:r w:rsidRPr="004D1E6F">
              <w:rPr>
                <w:rFonts w:ascii="Times New Roman" w:eastAsia="Times New Roman" w:hAnsi="Times New Roman" w:cs="Times New Roman"/>
                <w:i/>
                <w:iCs/>
                <w:sz w:val="20"/>
                <w:szCs w:val="20"/>
                <w:lang w:eastAsia="en-ZA"/>
              </w:rPr>
              <w:t>Cherax davis</w:t>
            </w:r>
            <w:r w:rsidRPr="004D1E6F">
              <w:rPr>
                <w:rFonts w:ascii="Times New Roman" w:eastAsia="Times New Roman" w:hAnsi="Times New Roman" w:cs="Times New Roman"/>
                <w:sz w:val="20"/>
                <w:szCs w:val="20"/>
                <w:lang w:eastAsia="en-ZA"/>
              </w:rPr>
              <w:t xml:space="preserve"> and </w:t>
            </w:r>
            <w:r w:rsidRPr="004D1E6F">
              <w:rPr>
                <w:rFonts w:ascii="Times New Roman" w:eastAsia="Times New Roman" w:hAnsi="Times New Roman" w:cs="Times New Roman"/>
                <w:i/>
                <w:iCs/>
                <w:sz w:val="20"/>
                <w:szCs w:val="20"/>
                <w:lang w:eastAsia="en-ZA"/>
              </w:rPr>
              <w:t>Cherax esculus</w:t>
            </w:r>
            <w:r w:rsidRPr="004D1E6F">
              <w:rPr>
                <w:rFonts w:ascii="Times New Roman" w:eastAsia="Times New Roman" w:hAnsi="Times New Roman" w:cs="Times New Roman"/>
                <w:sz w:val="20"/>
                <w:szCs w:val="20"/>
                <w:lang w:eastAsia="en-ZA"/>
              </w:rPr>
              <w:t>) were considered in the literature search for this assessment (Crandall &amp; de Grave (2017)</w:t>
            </w:r>
          </w:p>
        </w:tc>
      </w:tr>
      <w:tr w:rsidR="002D7080" w:rsidRPr="004D1E6F" w14:paraId="0770B3F8"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369044FA" w14:textId="77777777" w:rsidR="002D7080" w:rsidRPr="004D1E6F" w:rsidRDefault="002D7080" w:rsidP="00471161">
            <w:pPr>
              <w:spacing w:after="0"/>
              <w:jc w:val="both"/>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sz w:val="20"/>
                <w:szCs w:val="20"/>
                <w:lang w:eastAsia="en-ZA"/>
              </w:rPr>
              <w:t>References:</w:t>
            </w:r>
            <w:r w:rsidRPr="004D1E6F">
              <w:rPr>
                <w:rFonts w:ascii="Times New Roman" w:eastAsia="Times New Roman" w:hAnsi="Times New Roman" w:cs="Times New Roman"/>
                <w:bCs/>
                <w:sz w:val="20"/>
                <w:szCs w:val="20"/>
                <w:lang w:eastAsia="en-ZA"/>
              </w:rPr>
              <w:t xml:space="preserve"> </w:t>
            </w:r>
          </w:p>
          <w:p w14:paraId="57B2F513" w14:textId="0A716E2E" w:rsidR="002D7080" w:rsidRPr="004D1E6F" w:rsidRDefault="002D7080" w:rsidP="00471161">
            <w:pPr>
              <w:spacing w:after="0"/>
              <w:ind w:left="720" w:hanging="720"/>
              <w:jc w:val="both"/>
              <w:rPr>
                <w:rFonts w:ascii="Times New Roman" w:hAnsi="Times New Roman" w:cs="Times New Roman"/>
                <w:color w:val="222222"/>
                <w:sz w:val="20"/>
                <w:szCs w:val="20"/>
                <w:shd w:val="clear" w:color="auto" w:fill="FFFFFF"/>
              </w:rPr>
            </w:pPr>
            <w:bookmarkStart w:id="11" w:name="_Hlk213590852"/>
            <w:r w:rsidRPr="004D1E6F">
              <w:rPr>
                <w:rFonts w:ascii="Times New Roman" w:hAnsi="Times New Roman" w:cs="Times New Roman"/>
                <w:sz w:val="20"/>
                <w:szCs w:val="20"/>
                <w:shd w:val="clear" w:color="auto" w:fill="FFFFFF"/>
              </w:rPr>
              <w:t>Crandall, K.A., &amp; De Grave, S., 2017, ‘An updated classification of the freshwater crayfishes (Decapoda: Astacidea) of the world, with a complete species list’, </w:t>
            </w:r>
            <w:r w:rsidRPr="004D1E6F">
              <w:rPr>
                <w:rFonts w:ascii="Times New Roman" w:hAnsi="Times New Roman" w:cs="Times New Roman"/>
                <w:i/>
                <w:iCs/>
                <w:sz w:val="20"/>
                <w:szCs w:val="20"/>
                <w:shd w:val="clear" w:color="auto" w:fill="FFFFFF"/>
              </w:rPr>
              <w:t>The Journal of Crustacean Biology</w:t>
            </w:r>
            <w:r w:rsidRPr="004D1E6F">
              <w:rPr>
                <w:rFonts w:ascii="Times New Roman" w:hAnsi="Times New Roman" w:cs="Times New Roman"/>
                <w:sz w:val="20"/>
                <w:szCs w:val="20"/>
                <w:shd w:val="clear" w:color="auto" w:fill="FFFFFF"/>
              </w:rPr>
              <w:t> </w:t>
            </w:r>
            <w:r w:rsidRPr="004D1E6F">
              <w:rPr>
                <w:rFonts w:ascii="Times New Roman" w:hAnsi="Times New Roman" w:cs="Times New Roman"/>
                <w:i/>
                <w:iCs/>
                <w:sz w:val="20"/>
                <w:szCs w:val="20"/>
                <w:shd w:val="clear" w:color="auto" w:fill="FFFFFF"/>
              </w:rPr>
              <w:t>37</w:t>
            </w:r>
            <w:r w:rsidRPr="004D1E6F">
              <w:rPr>
                <w:rFonts w:ascii="Times New Roman" w:hAnsi="Times New Roman" w:cs="Times New Roman"/>
                <w:sz w:val="20"/>
                <w:szCs w:val="20"/>
                <w:shd w:val="clear" w:color="auto" w:fill="FFFFFF"/>
              </w:rPr>
              <w:t xml:space="preserve">(5), 615-653. </w:t>
            </w:r>
            <w:r w:rsidR="001865AA" w:rsidRPr="001865AA">
              <w:rPr>
                <w:rFonts w:ascii="Times New Roman" w:hAnsi="Times New Roman" w:cs="Times New Roman"/>
                <w:sz w:val="20"/>
                <w:szCs w:val="20"/>
                <w:shd w:val="clear" w:color="auto" w:fill="FFFFFF"/>
              </w:rPr>
              <w:t>https://doi.org/10.1093/jcbiol/rux070</w:t>
            </w:r>
            <w:r w:rsidRPr="004D1E6F">
              <w:rPr>
                <w:rFonts w:ascii="Times New Roman" w:hAnsi="Times New Roman" w:cs="Times New Roman"/>
                <w:sz w:val="20"/>
                <w:szCs w:val="20"/>
                <w:shd w:val="clear" w:color="auto" w:fill="FFFFFF"/>
              </w:rPr>
              <w:t>.</w:t>
            </w:r>
            <w:bookmarkEnd w:id="11"/>
          </w:p>
        </w:tc>
      </w:tr>
      <w:tr w:rsidR="002D7080" w:rsidRPr="004D1E6F" w14:paraId="7D9A30B9" w14:textId="77777777" w:rsidTr="002E2C37">
        <w:trPr>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9B4F150"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BAC6 Common name(s) considered</w:t>
            </w:r>
          </w:p>
        </w:tc>
      </w:tr>
      <w:tr w:rsidR="002D7080" w:rsidRPr="004D1E6F" w14:paraId="464B04FF"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F4C1EEC" w14:textId="77777777" w:rsidR="002D7080" w:rsidRPr="004D1E6F" w:rsidRDefault="002D7080" w:rsidP="00471161">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Common names: Yabby | common yabby</w:t>
            </w:r>
          </w:p>
        </w:tc>
      </w:tr>
      <w:tr w:rsidR="002D7080" w:rsidRPr="004D1E6F" w14:paraId="2119A028"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470B8C7E" w14:textId="77777777"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Times New Roman" w:hAnsi="Times New Roman" w:cs="Times New Roman"/>
                <w:i/>
                <w:iCs/>
                <w:sz w:val="20"/>
                <w:szCs w:val="20"/>
                <w:lang w:eastAsia="en-ZA"/>
              </w:rPr>
              <w:t xml:space="preserve">Cherax destructor </w:t>
            </w:r>
            <w:r w:rsidRPr="004D1E6F">
              <w:rPr>
                <w:rFonts w:ascii="Times New Roman" w:eastAsia="Times New Roman" w:hAnsi="Times New Roman" w:cs="Times New Roman"/>
                <w:sz w:val="20"/>
                <w:szCs w:val="20"/>
                <w:lang w:eastAsia="en-ZA"/>
              </w:rPr>
              <w:t>is commonly known as the yabby or common yabby (Beatty, Morgan &amp; Gill 2005), both these common names were included in the literature search.</w:t>
            </w:r>
          </w:p>
        </w:tc>
      </w:tr>
      <w:tr w:rsidR="002D7080" w:rsidRPr="004D1E6F" w14:paraId="448290DB"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6F21E4F6" w14:textId="77777777"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0259A7AF" w14:textId="0CB74965"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bookmarkStart w:id="12" w:name="_Hlk213590917"/>
            <w:r w:rsidRPr="004D1E6F">
              <w:rPr>
                <w:rFonts w:ascii="Times New Roman" w:eastAsia="Calibri" w:hAnsi="Times New Roman" w:cs="Times New Roman"/>
                <w:sz w:val="20"/>
                <w:szCs w:val="20"/>
                <w:shd w:val="clear" w:color="auto" w:fill="FFFFFF"/>
              </w:rPr>
              <w:t xml:space="preserve">Beatty, S., Morgan, D. &amp; Gill, H., 2005, ‘Role of life history strategy in the colonisation of Western Australian aquatic systems by the introduced crayfish </w:t>
            </w:r>
            <w:r w:rsidRPr="004D1E6F">
              <w:rPr>
                <w:rFonts w:ascii="Times New Roman" w:eastAsia="Calibri" w:hAnsi="Times New Roman" w:cs="Times New Roman"/>
                <w:i/>
                <w:sz w:val="20"/>
                <w:szCs w:val="20"/>
                <w:shd w:val="clear" w:color="auto" w:fill="FFFFFF"/>
              </w:rPr>
              <w:t>Cherax destructor</w:t>
            </w:r>
            <w:r w:rsidRPr="004D1E6F">
              <w:rPr>
                <w:rFonts w:ascii="Times New Roman" w:eastAsia="Calibri" w:hAnsi="Times New Roman" w:cs="Times New Roman"/>
                <w:sz w:val="20"/>
                <w:szCs w:val="20"/>
                <w:shd w:val="clear" w:color="auto" w:fill="FFFFFF"/>
              </w:rPr>
              <w:t xml:space="preserve"> Clark, 1936’, </w:t>
            </w:r>
            <w:r w:rsidRPr="004D1E6F">
              <w:rPr>
                <w:rFonts w:ascii="Times New Roman" w:eastAsia="Calibri" w:hAnsi="Times New Roman" w:cs="Times New Roman"/>
                <w:i/>
                <w:iCs/>
                <w:sz w:val="20"/>
                <w:szCs w:val="20"/>
                <w:shd w:val="clear" w:color="auto" w:fill="FFFFFF"/>
              </w:rPr>
              <w:t>Hydrobiologia</w:t>
            </w:r>
            <w:r w:rsidRPr="004D1E6F">
              <w:rPr>
                <w:rFonts w:ascii="Times New Roman" w:eastAsia="Calibri" w:hAnsi="Times New Roman" w:cs="Times New Roman"/>
                <w:sz w:val="20"/>
                <w:szCs w:val="20"/>
                <w:shd w:val="clear" w:color="auto" w:fill="FFFFFF"/>
              </w:rPr>
              <w:t xml:space="preserve"> </w:t>
            </w:r>
            <w:r w:rsidRPr="004D1E6F">
              <w:rPr>
                <w:rFonts w:ascii="Times New Roman" w:eastAsia="Calibri" w:hAnsi="Times New Roman" w:cs="Times New Roman"/>
                <w:iCs/>
                <w:sz w:val="20"/>
                <w:szCs w:val="20"/>
                <w:shd w:val="clear" w:color="auto" w:fill="FFFFFF"/>
              </w:rPr>
              <w:t>549</w:t>
            </w:r>
            <w:r w:rsidRPr="004D1E6F">
              <w:rPr>
                <w:rFonts w:ascii="Times New Roman" w:eastAsia="Calibri" w:hAnsi="Times New Roman" w:cs="Times New Roman"/>
                <w:sz w:val="20"/>
                <w:szCs w:val="20"/>
                <w:shd w:val="clear" w:color="auto" w:fill="FFFFFF"/>
              </w:rPr>
              <w:t>, 219</w:t>
            </w:r>
            <w:r w:rsidRPr="004D1E6F">
              <w:rPr>
                <w:rFonts w:ascii="Times New Roman" w:eastAsia="Times New Roman" w:hAnsi="Times New Roman" w:cs="Times New Roman"/>
                <w:color w:val="000000"/>
                <w:sz w:val="20"/>
                <w:szCs w:val="20"/>
                <w:lang w:eastAsia="en-ZA"/>
              </w:rPr>
              <w:t>–</w:t>
            </w:r>
            <w:r w:rsidRPr="004D1E6F">
              <w:rPr>
                <w:rFonts w:ascii="Times New Roman" w:eastAsia="Calibri" w:hAnsi="Times New Roman" w:cs="Times New Roman"/>
                <w:sz w:val="20"/>
                <w:szCs w:val="20"/>
                <w:shd w:val="clear" w:color="auto" w:fill="FFFFFF"/>
              </w:rPr>
              <w:t xml:space="preserve">237. </w:t>
            </w:r>
            <w:r w:rsidR="001865AA" w:rsidRPr="001865AA">
              <w:rPr>
                <w:rFonts w:ascii="Times New Roman" w:eastAsia="Calibri" w:hAnsi="Times New Roman" w:cs="Times New Roman"/>
                <w:sz w:val="20"/>
                <w:szCs w:val="20"/>
                <w:shd w:val="clear" w:color="auto" w:fill="FFFFFF"/>
              </w:rPr>
              <w:t>https://doi.org/10.1007/s10750-005-5443-0</w:t>
            </w:r>
            <w:bookmarkEnd w:id="12"/>
            <w:r w:rsidRPr="004D1E6F">
              <w:rPr>
                <w:rFonts w:ascii="Times New Roman" w:eastAsia="Calibri" w:hAnsi="Times New Roman" w:cs="Times New Roman"/>
                <w:sz w:val="20"/>
                <w:szCs w:val="20"/>
                <w:shd w:val="clear" w:color="auto" w:fill="FFFFFF"/>
              </w:rPr>
              <w:t>.</w:t>
            </w:r>
          </w:p>
        </w:tc>
      </w:tr>
      <w:tr w:rsidR="002D7080" w:rsidRPr="004D1E6F" w14:paraId="62EAE994" w14:textId="77777777" w:rsidTr="002E2C37">
        <w:trPr>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FFC08CF" w14:textId="77777777"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BAC7 What is the native range of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w:t>
            </w:r>
          </w:p>
        </w:tc>
      </w:tr>
      <w:tr w:rsidR="002D7080" w:rsidRPr="004D1E6F" w14:paraId="25ED5C46" w14:textId="77777777" w:rsidTr="002E2C37">
        <w:trPr>
          <w:trHeight w:val="70"/>
        </w:trPr>
        <w:tc>
          <w:tcPr>
            <w:tcW w:w="6124" w:type="dxa"/>
            <w:gridSpan w:val="3"/>
            <w:tcBorders>
              <w:top w:val="single" w:sz="4" w:space="0" w:color="auto"/>
              <w:left w:val="single" w:sz="4" w:space="0" w:color="auto"/>
              <w:bottom w:val="single" w:sz="4" w:space="0" w:color="auto"/>
              <w:right w:val="single" w:sz="4" w:space="0" w:color="auto"/>
            </w:tcBorders>
            <w:noWrap/>
          </w:tcPr>
          <w:p w14:paraId="690FC0AF" w14:textId="77777777" w:rsidR="002D7080" w:rsidRPr="004D1E6F" w:rsidRDefault="002D7080" w:rsidP="00471161">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 Australia</w:t>
            </w:r>
          </w:p>
        </w:tc>
        <w:tc>
          <w:tcPr>
            <w:tcW w:w="2666" w:type="dxa"/>
            <w:tcBorders>
              <w:top w:val="single" w:sz="4" w:space="0" w:color="auto"/>
              <w:left w:val="single" w:sz="4" w:space="0" w:color="auto"/>
              <w:bottom w:val="single" w:sz="4" w:space="0" w:color="auto"/>
              <w:right w:val="single" w:sz="4" w:space="0" w:color="auto"/>
            </w:tcBorders>
          </w:tcPr>
          <w:p w14:paraId="1C5FE553" w14:textId="77777777" w:rsidR="002D7080" w:rsidRPr="004D1E6F" w:rsidRDefault="002D7080" w:rsidP="00471161">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0DD40D23"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DF9A8F9" w14:textId="77777777"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Times New Roman" w:hAnsi="Times New Roman" w:cs="Times New Roman"/>
                <w:i/>
                <w:iCs/>
                <w:sz w:val="20"/>
                <w:szCs w:val="20"/>
                <w:lang w:eastAsia="en-ZA"/>
              </w:rPr>
              <w:t xml:space="preserve">Cherax destructor </w:t>
            </w:r>
            <w:r w:rsidRPr="004D1E6F">
              <w:rPr>
                <w:rFonts w:ascii="Times New Roman" w:eastAsia="Times New Roman" w:hAnsi="Times New Roman" w:cs="Times New Roman"/>
                <w:sz w:val="20"/>
                <w:szCs w:val="20"/>
                <w:lang w:eastAsia="en-ZA"/>
              </w:rPr>
              <w:t>is native to central and eastern Australia (McCormack 2014; Riek 1967; Sokol 1988; Wingfield 2002), see Appendix BAC7.</w:t>
            </w:r>
          </w:p>
        </w:tc>
      </w:tr>
      <w:tr w:rsidR="002D7080" w:rsidRPr="004D1E6F" w14:paraId="27B16510"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B089F6E" w14:textId="77777777"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34D8FCC7" w14:textId="6E875146" w:rsidR="002D7080" w:rsidRPr="004D1E6F" w:rsidRDefault="002D7080" w:rsidP="00471161">
            <w:pPr>
              <w:spacing w:after="0"/>
              <w:ind w:left="720" w:hanging="720"/>
              <w:jc w:val="both"/>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sz w:val="20"/>
                <w:szCs w:val="20"/>
                <w:lang w:eastAsia="en-ZA"/>
              </w:rPr>
              <w:t>McCormack, R.B., 2014,’</w:t>
            </w:r>
            <w:r w:rsidRPr="004D1E6F">
              <w:rPr>
                <w:rFonts w:ascii="Times New Roman" w:hAnsi="Times New Roman" w:cs="Times New Roman"/>
                <w:color w:val="000000"/>
                <w:sz w:val="20"/>
                <w:szCs w:val="20"/>
              </w:rPr>
              <w:t xml:space="preserve"> </w:t>
            </w:r>
            <w:r w:rsidRPr="004D1E6F">
              <w:rPr>
                <w:rFonts w:ascii="Times New Roman" w:eastAsia="Times New Roman" w:hAnsi="Times New Roman" w:cs="Times New Roman"/>
                <w:bCs/>
                <w:sz w:val="20"/>
                <w:szCs w:val="20"/>
                <w:lang w:eastAsia="en-ZA"/>
              </w:rPr>
              <w:t xml:space="preserve">New records and review of the translocation of the yabby </w:t>
            </w:r>
            <w:r w:rsidRPr="004D1E6F">
              <w:rPr>
                <w:rFonts w:ascii="Times New Roman" w:eastAsia="Times New Roman" w:hAnsi="Times New Roman" w:cs="Times New Roman"/>
                <w:bCs/>
                <w:i/>
                <w:iCs/>
                <w:sz w:val="20"/>
                <w:szCs w:val="20"/>
                <w:lang w:eastAsia="en-ZA"/>
              </w:rPr>
              <w:t xml:space="preserve">Cherax destructor </w:t>
            </w:r>
            <w:r w:rsidRPr="004D1E6F">
              <w:rPr>
                <w:rFonts w:ascii="Times New Roman" w:eastAsia="Times New Roman" w:hAnsi="Times New Roman" w:cs="Times New Roman"/>
                <w:bCs/>
                <w:sz w:val="20"/>
                <w:szCs w:val="20"/>
                <w:lang w:eastAsia="en-ZA"/>
              </w:rPr>
              <w:t xml:space="preserve">into eastern drainages of New South Wales, Australia’, </w:t>
            </w:r>
            <w:r w:rsidRPr="004D1E6F">
              <w:rPr>
                <w:rFonts w:ascii="Times New Roman" w:eastAsia="Times New Roman" w:hAnsi="Times New Roman" w:cs="Times New Roman"/>
                <w:bCs/>
                <w:i/>
                <w:iCs/>
                <w:sz w:val="20"/>
                <w:szCs w:val="20"/>
                <w:lang w:eastAsia="en-ZA"/>
              </w:rPr>
              <w:t>Australian Zoologist</w:t>
            </w:r>
            <w:r w:rsidRPr="004D1E6F">
              <w:rPr>
                <w:rFonts w:ascii="Times New Roman" w:eastAsia="Times New Roman" w:hAnsi="Times New Roman" w:cs="Times New Roman"/>
                <w:bCs/>
                <w:sz w:val="20"/>
                <w:szCs w:val="20"/>
                <w:lang w:eastAsia="en-ZA"/>
              </w:rPr>
              <w:t xml:space="preserve"> 34, 85–94. </w:t>
            </w:r>
            <w:r w:rsidR="001865AA" w:rsidRPr="001865AA">
              <w:rPr>
                <w:rFonts w:ascii="Times New Roman" w:eastAsia="Times New Roman" w:hAnsi="Times New Roman" w:cs="Times New Roman"/>
                <w:bCs/>
                <w:sz w:val="20"/>
                <w:szCs w:val="20"/>
                <w:lang w:eastAsia="en-ZA"/>
              </w:rPr>
              <w:t>https://doi.org/10.7882/AZ.2014.006</w:t>
            </w:r>
            <w:r w:rsidRPr="004D1E6F">
              <w:rPr>
                <w:rFonts w:ascii="Times New Roman" w:eastAsia="Times New Roman" w:hAnsi="Times New Roman" w:cs="Times New Roman"/>
                <w:bCs/>
                <w:sz w:val="20"/>
                <w:szCs w:val="20"/>
                <w:lang w:eastAsia="en-ZA"/>
              </w:rPr>
              <w:t>.</w:t>
            </w:r>
          </w:p>
          <w:p w14:paraId="03663284" w14:textId="77777777"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Riek, E.F., 1967, ‘The freshwater crayfish of Western Australia (Decapoda: Parastacidae)’, </w:t>
            </w:r>
            <w:r w:rsidRPr="004D1E6F">
              <w:rPr>
                <w:rFonts w:ascii="Times New Roman" w:eastAsia="Times New Roman" w:hAnsi="Times New Roman" w:cs="Times New Roman"/>
                <w:i/>
                <w:iCs/>
                <w:sz w:val="20"/>
                <w:szCs w:val="20"/>
                <w:lang w:eastAsia="en-ZA"/>
              </w:rPr>
              <w:t>Australian Journal of Zoology</w:t>
            </w:r>
            <w:r w:rsidRPr="004D1E6F">
              <w:rPr>
                <w:rFonts w:ascii="Times New Roman" w:eastAsia="Times New Roman" w:hAnsi="Times New Roman" w:cs="Times New Roman"/>
                <w:sz w:val="20"/>
                <w:szCs w:val="20"/>
                <w:lang w:eastAsia="en-ZA"/>
              </w:rPr>
              <w:t xml:space="preserve"> 14, 103–121. https://doi.org/10.1071/ZO9670103.</w:t>
            </w:r>
          </w:p>
          <w:p w14:paraId="02ACABBA" w14:textId="5845E35D"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Sokol, A., 1988, ‘Morphological variation in relation to the taxonomy of the destructor group of the genus </w:t>
            </w:r>
            <w:r w:rsidRPr="004D1E6F">
              <w:rPr>
                <w:rFonts w:ascii="Times New Roman" w:eastAsia="Times New Roman" w:hAnsi="Times New Roman" w:cs="Times New Roman"/>
                <w:i/>
                <w:iCs/>
                <w:sz w:val="20"/>
                <w:szCs w:val="20"/>
                <w:lang w:eastAsia="en-ZA"/>
              </w:rPr>
              <w:t>Cherax’</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Invertebrate Taxonomy</w:t>
            </w:r>
            <w:r w:rsidRPr="004D1E6F">
              <w:rPr>
                <w:rFonts w:ascii="Times New Roman" w:eastAsia="Times New Roman" w:hAnsi="Times New Roman" w:cs="Times New Roman"/>
                <w:sz w:val="20"/>
                <w:szCs w:val="20"/>
                <w:lang w:eastAsia="en-ZA"/>
              </w:rPr>
              <w:t xml:space="preserve"> 2, 55–79. </w:t>
            </w:r>
            <w:r w:rsidR="001865AA" w:rsidRPr="001865AA">
              <w:rPr>
                <w:rFonts w:ascii="Times New Roman" w:eastAsia="Times New Roman" w:hAnsi="Times New Roman" w:cs="Times New Roman"/>
                <w:sz w:val="20"/>
                <w:szCs w:val="20"/>
                <w:lang w:eastAsia="en-ZA"/>
              </w:rPr>
              <w:t>https://doi.org/10.1071/IT9880055</w:t>
            </w:r>
            <w:r w:rsidRPr="004D1E6F">
              <w:rPr>
                <w:rFonts w:ascii="Times New Roman" w:eastAsia="Times New Roman" w:hAnsi="Times New Roman" w:cs="Times New Roman"/>
                <w:sz w:val="20"/>
                <w:szCs w:val="20"/>
                <w:lang w:eastAsia="en-ZA"/>
              </w:rPr>
              <w:t>.</w:t>
            </w:r>
          </w:p>
          <w:p w14:paraId="3544B3C5" w14:textId="77777777" w:rsidR="002D7080" w:rsidRPr="004D1E6F" w:rsidRDefault="002D7080" w:rsidP="00471161">
            <w:pPr>
              <w:spacing w:after="0"/>
              <w:ind w:left="720" w:hanging="720"/>
              <w:jc w:val="both"/>
              <w:rPr>
                <w:rFonts w:ascii="Times New Roman" w:eastAsia="Times New Roman" w:hAnsi="Times New Roman" w:cs="Times New Roman"/>
                <w:bCs/>
                <w:sz w:val="20"/>
                <w:szCs w:val="20"/>
                <w:lang w:eastAsia="en-ZA"/>
              </w:rPr>
            </w:pPr>
            <w:r w:rsidRPr="004D1E6F">
              <w:rPr>
                <w:rFonts w:ascii="Times New Roman" w:hAnsi="Times New Roman" w:cs="Times New Roman"/>
                <w:color w:val="222222"/>
                <w:sz w:val="20"/>
                <w:szCs w:val="20"/>
                <w:shd w:val="clear" w:color="auto" w:fill="FFFFFF"/>
              </w:rPr>
              <w:t>Wingfield, M., 2002, ‘An overview of the Australian freshwater crayfish farming industry’, </w:t>
            </w:r>
            <w:r w:rsidRPr="004D1E6F">
              <w:rPr>
                <w:rFonts w:ascii="Times New Roman" w:hAnsi="Times New Roman" w:cs="Times New Roman"/>
                <w:i/>
                <w:iCs/>
                <w:color w:val="222222"/>
                <w:sz w:val="20"/>
                <w:szCs w:val="20"/>
                <w:shd w:val="clear" w:color="auto" w:fill="FFFFFF"/>
              </w:rPr>
              <w:t>Freshwater Crayfish</w:t>
            </w:r>
            <w:r w:rsidRPr="004D1E6F">
              <w:rPr>
                <w:rFonts w:ascii="Times New Roman" w:hAnsi="Times New Roman" w:cs="Times New Roman"/>
                <w:color w:val="222222"/>
                <w:sz w:val="20"/>
                <w:szCs w:val="20"/>
                <w:shd w:val="clear" w:color="auto" w:fill="FFFFFF"/>
              </w:rPr>
              <w:t> 13(1), 177-184.</w:t>
            </w:r>
          </w:p>
        </w:tc>
      </w:tr>
      <w:tr w:rsidR="002D7080" w:rsidRPr="004D1E6F" w14:paraId="2ACFC2CC" w14:textId="77777777" w:rsidTr="002E2C37">
        <w:trPr>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B7ECEC8" w14:textId="77777777"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BAC8 What is the global alien range of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w:t>
            </w:r>
          </w:p>
        </w:tc>
      </w:tr>
      <w:tr w:rsidR="002D7080" w:rsidRPr="004D1E6F" w14:paraId="422DB540" w14:textId="77777777" w:rsidTr="002E2C37">
        <w:trPr>
          <w:trHeight w:val="70"/>
        </w:trPr>
        <w:tc>
          <w:tcPr>
            <w:tcW w:w="6124" w:type="dxa"/>
            <w:gridSpan w:val="3"/>
            <w:tcBorders>
              <w:top w:val="single" w:sz="4" w:space="0" w:color="auto"/>
              <w:left w:val="single" w:sz="4" w:space="0" w:color="auto"/>
              <w:bottom w:val="single" w:sz="4" w:space="0" w:color="auto"/>
              <w:right w:val="single" w:sz="4" w:space="0" w:color="auto"/>
            </w:tcBorders>
            <w:noWrap/>
          </w:tcPr>
          <w:p w14:paraId="7F70D469" w14:textId="77777777" w:rsidR="002D7080" w:rsidRPr="004D1E6F" w:rsidRDefault="002D7080" w:rsidP="00471161">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 Italy | Spain | Switzerland | Ireland | China | Western Australia | South Africa | Zambia</w:t>
            </w:r>
          </w:p>
        </w:tc>
        <w:tc>
          <w:tcPr>
            <w:tcW w:w="2666" w:type="dxa"/>
            <w:tcBorders>
              <w:top w:val="single" w:sz="4" w:space="0" w:color="auto"/>
              <w:left w:val="single" w:sz="4" w:space="0" w:color="auto"/>
              <w:bottom w:val="single" w:sz="4" w:space="0" w:color="auto"/>
              <w:right w:val="single" w:sz="4" w:space="0" w:color="auto"/>
            </w:tcBorders>
          </w:tcPr>
          <w:p w14:paraId="2691CB37" w14:textId="77777777" w:rsidR="002D7080" w:rsidRPr="004D1E6F" w:rsidRDefault="002D7080" w:rsidP="00471161">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08DFF2BE"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6E8F41E5" w14:textId="77777777"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Times New Roman" w:hAnsi="Times New Roman" w:cs="Times New Roman"/>
                <w:i/>
                <w:iCs/>
                <w:sz w:val="20"/>
                <w:szCs w:val="20"/>
                <w:lang w:eastAsia="en-ZA"/>
              </w:rPr>
              <w:t xml:space="preserve">Cherax destructor </w:t>
            </w:r>
            <w:r w:rsidRPr="004D1E6F">
              <w:rPr>
                <w:rFonts w:ascii="Times New Roman" w:eastAsia="Times New Roman" w:hAnsi="Times New Roman" w:cs="Times New Roman"/>
                <w:sz w:val="20"/>
                <w:szCs w:val="20"/>
                <w:lang w:eastAsia="en-ZA"/>
              </w:rPr>
              <w:t>is reported as introduced to China, western Australian, Switzerland, Ireland, South Africa, and Zambia (CABI 2021), with naturalised populations in Spain and Italy (Scalici et al. 2009). The population in Italy might have been eradicated by the crayfish plague (Mazza et al. 2018). A</w:t>
            </w:r>
            <w:r w:rsidRPr="004D1E6F">
              <w:rPr>
                <w:rStyle w:val="cf01"/>
                <w:rFonts w:ascii="Times New Roman" w:hAnsi="Times New Roman" w:cs="Times New Roman"/>
                <w:sz w:val="20"/>
                <w:szCs w:val="20"/>
              </w:rPr>
              <w:t xml:space="preserve">lthough </w:t>
            </w:r>
            <w:r w:rsidRPr="00C970B6">
              <w:rPr>
                <w:rStyle w:val="cf01"/>
                <w:rFonts w:ascii="Times New Roman" w:hAnsi="Times New Roman" w:cs="Times New Roman"/>
                <w:i/>
                <w:iCs/>
                <w:sz w:val="20"/>
                <w:szCs w:val="20"/>
              </w:rPr>
              <w:t xml:space="preserve">C. destructor </w:t>
            </w:r>
            <w:r w:rsidRPr="004D1E6F">
              <w:rPr>
                <w:rStyle w:val="cf01"/>
                <w:rFonts w:ascii="Times New Roman" w:hAnsi="Times New Roman" w:cs="Times New Roman"/>
                <w:sz w:val="20"/>
                <w:szCs w:val="20"/>
              </w:rPr>
              <w:t>was introduced to South Africa and Zambia, there are no recent records of presence (Nunes et al. 2017).</w:t>
            </w:r>
          </w:p>
        </w:tc>
      </w:tr>
      <w:tr w:rsidR="002D7080" w:rsidRPr="004D1E6F" w14:paraId="6B3C9603"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27022F1" w14:textId="77777777"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72F928B3" w14:textId="77777777" w:rsidR="002D7080" w:rsidRPr="004D1E6F" w:rsidRDefault="002D7080" w:rsidP="00DC75C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CABI, 2021.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sz w:val="20"/>
                <w:szCs w:val="20"/>
                <w:lang w:eastAsia="en-ZA"/>
              </w:rPr>
              <w:t xml:space="preserve"> [original text by Uma Sabapathy Allen]. In: Invasive Species Compendium. Wallingford, UK: CAB International. www.cabi.org/isc.</w:t>
            </w:r>
          </w:p>
          <w:p w14:paraId="5B9B6139" w14:textId="77777777" w:rsidR="002D7080" w:rsidRPr="004D1E6F" w:rsidRDefault="002D7080" w:rsidP="00DC75C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Scalici, M., Chiesa, S., Gherardi, F., Ruffini, M., Gibertini, G. &amp; Marzano, F.N., 2009, ‘The new threat to Italian inland waters from the alien crayfish “gang”: the Australian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sz w:val="20"/>
                <w:szCs w:val="20"/>
                <w:lang w:eastAsia="en-ZA"/>
              </w:rPr>
              <w:t xml:space="preserve"> Clark, 1936’, </w:t>
            </w:r>
            <w:r w:rsidRPr="004D1E6F">
              <w:rPr>
                <w:rFonts w:ascii="Times New Roman" w:eastAsia="Times New Roman" w:hAnsi="Times New Roman" w:cs="Times New Roman"/>
                <w:i/>
                <w:iCs/>
                <w:sz w:val="20"/>
                <w:szCs w:val="20"/>
                <w:lang w:eastAsia="en-ZA"/>
              </w:rPr>
              <w:t>Hydrobiologia</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632</w:t>
            </w:r>
            <w:r w:rsidRPr="004D1E6F">
              <w:rPr>
                <w:rFonts w:ascii="Times New Roman" w:eastAsia="Times New Roman" w:hAnsi="Times New Roman" w:cs="Times New Roman"/>
                <w:sz w:val="20"/>
                <w:szCs w:val="20"/>
                <w:lang w:eastAsia="en-ZA"/>
              </w:rPr>
              <w:t>, 341–345. https://doi.org/10.1007/s10750-009-9839-0.</w:t>
            </w:r>
          </w:p>
          <w:p w14:paraId="72EDADD5" w14:textId="77777777" w:rsidR="002D7080" w:rsidRPr="004D1E6F" w:rsidRDefault="002D7080" w:rsidP="00DC75C2">
            <w:pPr>
              <w:spacing w:after="0"/>
              <w:ind w:left="720" w:hanging="720"/>
              <w:jc w:val="both"/>
              <w:rPr>
                <w:rStyle w:val="Hyperlink"/>
                <w:rFonts w:ascii="Times New Roman" w:hAnsi="Times New Roman" w:cs="Times New Roman"/>
                <w:sz w:val="20"/>
                <w:szCs w:val="20"/>
                <w:shd w:val="clear" w:color="auto" w:fill="FFFFFF"/>
              </w:rPr>
            </w:pPr>
            <w:r w:rsidRPr="004D1E6F">
              <w:rPr>
                <w:rFonts w:ascii="Times New Roman" w:hAnsi="Times New Roman" w:cs="Times New Roman"/>
                <w:color w:val="222222"/>
                <w:sz w:val="20"/>
                <w:szCs w:val="20"/>
                <w:shd w:val="clear" w:color="auto" w:fill="FFFFFF"/>
              </w:rPr>
              <w:t>Mazza, G., Scalici, M., Inghilesi, A.F., Aquiloni, L., Pretto, T., Monaco, A., et al., 2018, ‘The red alien vs. the blue destructor: The eradication of </w:t>
            </w:r>
            <w:r w:rsidRPr="004D1E6F">
              <w:rPr>
                <w:rFonts w:ascii="Times New Roman" w:hAnsi="Times New Roman" w:cs="Times New Roman"/>
                <w:i/>
                <w:iCs/>
                <w:color w:val="222222"/>
                <w:sz w:val="20"/>
                <w:szCs w:val="20"/>
                <w:shd w:val="clear" w:color="auto" w:fill="FFFFFF"/>
              </w:rPr>
              <w:t>Cherax destructor</w:t>
            </w:r>
            <w:r w:rsidRPr="004D1E6F">
              <w:rPr>
                <w:rFonts w:ascii="Times New Roman" w:hAnsi="Times New Roman" w:cs="Times New Roman"/>
                <w:color w:val="222222"/>
                <w:sz w:val="20"/>
                <w:szCs w:val="20"/>
                <w:shd w:val="clear" w:color="auto" w:fill="FFFFFF"/>
              </w:rPr>
              <w:t> by </w:t>
            </w:r>
            <w:r w:rsidRPr="004D1E6F">
              <w:rPr>
                <w:rFonts w:ascii="Times New Roman" w:hAnsi="Times New Roman" w:cs="Times New Roman"/>
                <w:i/>
                <w:iCs/>
                <w:color w:val="222222"/>
                <w:sz w:val="20"/>
                <w:szCs w:val="20"/>
                <w:shd w:val="clear" w:color="auto" w:fill="FFFFFF"/>
              </w:rPr>
              <w:t>Procambarus clarkii</w:t>
            </w:r>
            <w:r w:rsidRPr="004D1E6F">
              <w:rPr>
                <w:rFonts w:ascii="Times New Roman" w:hAnsi="Times New Roman" w:cs="Times New Roman"/>
                <w:color w:val="222222"/>
                <w:sz w:val="20"/>
                <w:szCs w:val="20"/>
                <w:shd w:val="clear" w:color="auto" w:fill="FFFFFF"/>
              </w:rPr>
              <w:t> in Latium (Central Italy)’, </w:t>
            </w:r>
            <w:r w:rsidRPr="004D1E6F">
              <w:rPr>
                <w:rStyle w:val="Emphasis"/>
                <w:rFonts w:ascii="Times New Roman" w:hAnsi="Times New Roman" w:cs="Times New Roman"/>
                <w:color w:val="222222"/>
                <w:sz w:val="20"/>
                <w:szCs w:val="20"/>
                <w:shd w:val="clear" w:color="auto" w:fill="FFFFFF"/>
              </w:rPr>
              <w:t>Diversity</w:t>
            </w:r>
            <w:r w:rsidRPr="004D1E6F">
              <w:rPr>
                <w:rFonts w:ascii="Times New Roman" w:hAnsi="Times New Roman" w:cs="Times New Roman"/>
                <w:color w:val="222222"/>
                <w:sz w:val="20"/>
                <w:szCs w:val="20"/>
                <w:shd w:val="clear" w:color="auto" w:fill="FFFFFF"/>
              </w:rPr>
              <w:t xml:space="preserve"> 10(4), 126. </w:t>
            </w:r>
            <w:r w:rsidRPr="004D1E6F">
              <w:rPr>
                <w:rFonts w:ascii="Times New Roman" w:hAnsi="Times New Roman" w:cs="Times New Roman"/>
                <w:sz w:val="20"/>
                <w:szCs w:val="20"/>
                <w:shd w:val="clear" w:color="auto" w:fill="FFFFFF"/>
              </w:rPr>
              <w:t>https://doi.org/10.3390/d10040126</w:t>
            </w:r>
          </w:p>
          <w:p w14:paraId="2332B453" w14:textId="0C304739" w:rsidR="002D7080" w:rsidRPr="004D1E6F" w:rsidRDefault="002D7080" w:rsidP="00471161">
            <w:pPr>
              <w:spacing w:after="0"/>
              <w:ind w:left="720" w:hanging="720"/>
              <w:jc w:val="both"/>
              <w:rPr>
                <w:rFonts w:ascii="Times New Roman" w:hAnsi="Times New Roman" w:cs="Times New Roman"/>
                <w:color w:val="222222"/>
                <w:sz w:val="20"/>
                <w:szCs w:val="20"/>
                <w:shd w:val="clear" w:color="auto" w:fill="FFFFFF"/>
              </w:rPr>
            </w:pPr>
            <w:r w:rsidRPr="004D1E6F">
              <w:rPr>
                <w:rFonts w:ascii="Times New Roman" w:eastAsia="Times New Roman" w:hAnsi="Times New Roman" w:cs="Times New Roman"/>
                <w:sz w:val="20"/>
                <w:szCs w:val="20"/>
                <w:lang w:eastAsia="en-ZA"/>
              </w:rPr>
              <w:lastRenderedPageBreak/>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w:t>
            </w:r>
            <w:hyperlink r:id="rId114" w:history="1">
              <w:r w:rsidR="00024AA1" w:rsidRPr="00024AA1">
                <w:rPr>
                  <w:rStyle w:val="Hyperlink"/>
                  <w:rFonts w:ascii="Times New Roman" w:eastAsia="Times New Roman" w:hAnsi="Times New Roman" w:cs="Times New Roman"/>
                  <w:sz w:val="20"/>
                  <w:szCs w:val="20"/>
                  <w:lang w:eastAsia="en-ZA"/>
                </w:rPr>
                <w:t>https://doi.org/10.2989/16085914.2017.1405788</w:t>
              </w:r>
            </w:hyperlink>
          </w:p>
        </w:tc>
      </w:tr>
      <w:tr w:rsidR="002D7080" w:rsidRPr="004D1E6F" w14:paraId="436B5271" w14:textId="77777777" w:rsidTr="002E2C37">
        <w:trPr>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E53E455" w14:textId="77777777"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lastRenderedPageBreak/>
              <w:t xml:space="preserve">BAC9 Geographic scope =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 xml:space="preserve"> under consideration</w:t>
            </w:r>
          </w:p>
        </w:tc>
      </w:tr>
      <w:tr w:rsidR="002D7080" w:rsidRPr="004D1E6F" w14:paraId="391F2AC5"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746906C" w14:textId="77777777"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 xml:space="preserve"> of assessment: South Africa</w:t>
            </w:r>
          </w:p>
        </w:tc>
      </w:tr>
      <w:tr w:rsidR="002D7080" w:rsidRPr="004D1E6F" w14:paraId="7265E35C"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7BB88F7F" w14:textId="77777777"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 The geographic scope of this assessment is limited to South Africa.</w:t>
            </w:r>
          </w:p>
        </w:tc>
      </w:tr>
      <w:tr w:rsidR="002D7080" w:rsidRPr="004D1E6F" w14:paraId="535DA21D" w14:textId="77777777" w:rsidTr="002E2C37">
        <w:trPr>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9D033BC" w14:textId="77777777" w:rsidR="002D7080" w:rsidRPr="004D1E6F" w:rsidRDefault="002D7080" w:rsidP="00471161">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BAC10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present in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20950E10" w14:textId="77777777" w:rsidTr="002E2C37">
        <w:trPr>
          <w:trHeight w:val="70"/>
        </w:trPr>
        <w:tc>
          <w:tcPr>
            <w:tcW w:w="6124" w:type="dxa"/>
            <w:gridSpan w:val="3"/>
            <w:tcBorders>
              <w:top w:val="single" w:sz="4" w:space="0" w:color="auto"/>
              <w:left w:val="single" w:sz="4" w:space="0" w:color="auto"/>
              <w:bottom w:val="single" w:sz="4" w:space="0" w:color="auto"/>
              <w:right w:val="single" w:sz="4" w:space="0" w:color="auto"/>
            </w:tcBorders>
            <w:noWrap/>
          </w:tcPr>
          <w:p w14:paraId="4A21252D" w14:textId="77777777" w:rsidR="002D7080" w:rsidRPr="004D1E6F" w:rsidRDefault="002D7080" w:rsidP="00471161">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 Yes</w:t>
            </w:r>
          </w:p>
        </w:tc>
        <w:tc>
          <w:tcPr>
            <w:tcW w:w="2666" w:type="dxa"/>
            <w:tcBorders>
              <w:top w:val="single" w:sz="4" w:space="0" w:color="auto"/>
              <w:left w:val="single" w:sz="4" w:space="0" w:color="auto"/>
              <w:bottom w:val="single" w:sz="4" w:space="0" w:color="auto"/>
              <w:right w:val="single" w:sz="4" w:space="0" w:color="auto"/>
            </w:tcBorders>
          </w:tcPr>
          <w:p w14:paraId="749C05BD" w14:textId="77777777" w:rsidR="002D7080" w:rsidRPr="004D1E6F" w:rsidRDefault="002D7080" w:rsidP="00471161">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3F408036"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1492C98" w14:textId="68C72584"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sz w:val="20"/>
                <w:szCs w:val="20"/>
                <w:lang w:eastAsia="en-ZA"/>
              </w:rPr>
              <w:t xml:space="preserve"> was imported</w:t>
            </w:r>
            <w:r w:rsidRPr="004D1E6F">
              <w:rPr>
                <w:rFonts w:ascii="Times New Roman" w:eastAsia="Calibri" w:hAnsi="Times New Roman" w:cs="Times New Roman"/>
                <w:sz w:val="20"/>
                <w:szCs w:val="20"/>
              </w:rPr>
              <w:t xml:space="preserve"> to South Africa in 1988 for experimental research to assess its suitability for aquaculture </w:t>
            </w:r>
            <w:r w:rsidRPr="004D1E6F">
              <w:rPr>
                <w:rFonts w:ascii="Times New Roman" w:eastAsia="Times New Roman" w:hAnsi="Times New Roman" w:cs="Times New Roman"/>
                <w:sz w:val="20"/>
                <w:szCs w:val="20"/>
                <w:lang w:eastAsia="en-ZA"/>
              </w:rPr>
              <w:t>and there is a possibility that escapees and illegal introductions might have established populations outside of captivity (</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 </w:t>
            </w:r>
            <w:r w:rsidRPr="004D1E6F">
              <w:rPr>
                <w:rStyle w:val="cf01"/>
                <w:rFonts w:ascii="Times New Roman" w:hAnsi="Times New Roman" w:cs="Times New Roman"/>
                <w:sz w:val="20"/>
                <w:szCs w:val="20"/>
              </w:rPr>
              <w:t xml:space="preserve">However, there is no recent evidence that </w:t>
            </w:r>
            <w:r w:rsidRPr="004D1E6F">
              <w:rPr>
                <w:rStyle w:val="cf01"/>
                <w:rFonts w:ascii="Times New Roman" w:hAnsi="Times New Roman" w:cs="Times New Roman"/>
                <w:i/>
                <w:iCs/>
                <w:sz w:val="20"/>
                <w:szCs w:val="20"/>
              </w:rPr>
              <w:t>C. destructor</w:t>
            </w:r>
            <w:r w:rsidRPr="004D1E6F">
              <w:rPr>
                <w:rStyle w:val="cf01"/>
                <w:rFonts w:ascii="Times New Roman" w:hAnsi="Times New Roman" w:cs="Times New Roman"/>
                <w:sz w:val="20"/>
                <w:szCs w:val="20"/>
              </w:rPr>
              <w:t xml:space="preserve"> is still present and so the confidence is scored as low </w:t>
            </w:r>
            <w:r w:rsidRPr="004D1E6F">
              <w:rPr>
                <w:rFonts w:ascii="Times New Roman" w:eastAsia="Times New Roman" w:hAnsi="Times New Roman" w:cs="Times New Roman"/>
                <w:sz w:val="20"/>
                <w:szCs w:val="20"/>
                <w:lang w:eastAsia="en-ZA"/>
              </w:rPr>
              <w:t>(Nunes et al. 2017).</w:t>
            </w:r>
          </w:p>
        </w:tc>
      </w:tr>
      <w:tr w:rsidR="002D7080" w:rsidRPr="004D1E6F" w14:paraId="5CC1ABE1"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28836BEA" w14:textId="77777777"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4CFB0BF" w14:textId="364AA861" w:rsidR="002D7080" w:rsidRPr="004D1E6F" w:rsidRDefault="008A0BC6" w:rsidP="00471161">
            <w:pPr>
              <w:spacing w:after="0"/>
              <w:ind w:left="720" w:hanging="720"/>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De Moor</w:t>
            </w:r>
            <w:r w:rsidR="002D7080" w:rsidRPr="004D1E6F">
              <w:rPr>
                <w:rFonts w:ascii="Times New Roman" w:eastAsia="Times New Roman" w:hAnsi="Times New Roman" w:cs="Times New Roman"/>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sz w:val="20"/>
                <w:szCs w:val="20"/>
                <w:lang w:eastAsia="en-ZA"/>
              </w:rPr>
              <w:t>African Journal of Aquatic Science</w:t>
            </w:r>
            <w:r w:rsidR="002D7080" w:rsidRPr="004D1E6F">
              <w:rPr>
                <w:rFonts w:ascii="Times New Roman" w:eastAsia="Times New Roman" w:hAnsi="Times New Roman" w:cs="Times New Roman"/>
                <w:sz w:val="20"/>
                <w:szCs w:val="20"/>
                <w:lang w:eastAsia="en-ZA"/>
              </w:rPr>
              <w:t xml:space="preserve"> 27, 125–139. https://doi.org/10.2989/16085914.2002.9626584.</w:t>
            </w:r>
          </w:p>
          <w:p w14:paraId="3EBC66D4" w14:textId="77777777"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https://doi.org/10.2989/16085914.2017.1405788.</w:t>
            </w:r>
          </w:p>
        </w:tc>
      </w:tr>
      <w:tr w:rsidR="002D7080" w:rsidRPr="004D1E6F" w14:paraId="4B54933E" w14:textId="77777777" w:rsidTr="002E2C37">
        <w:trPr>
          <w:trHeight w:val="224"/>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CEBC0EA"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BAC11 Availability of physical specimen</w:t>
            </w:r>
          </w:p>
        </w:tc>
      </w:tr>
      <w:tr w:rsidR="002D7080" w:rsidRPr="004D1E6F" w14:paraId="624269F7" w14:textId="77777777" w:rsidTr="002E2C37">
        <w:trPr>
          <w:trHeight w:val="70"/>
        </w:trPr>
        <w:tc>
          <w:tcPr>
            <w:tcW w:w="6124" w:type="dxa"/>
            <w:gridSpan w:val="3"/>
            <w:tcBorders>
              <w:top w:val="single" w:sz="4" w:space="0" w:color="auto"/>
              <w:left w:val="single" w:sz="4" w:space="0" w:color="auto"/>
              <w:bottom w:val="single" w:sz="4" w:space="0" w:color="auto"/>
              <w:right w:val="single" w:sz="4" w:space="0" w:color="auto"/>
            </w:tcBorders>
            <w:noWrap/>
          </w:tcPr>
          <w:p w14:paraId="06A1A13F" w14:textId="77777777" w:rsidR="002D7080" w:rsidRPr="004D1E6F" w:rsidRDefault="002D7080" w:rsidP="002E2C37">
            <w:pPr>
              <w:spacing w:after="0" w:line="240" w:lineRule="auto"/>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 No physical specimen is available</w:t>
            </w:r>
          </w:p>
        </w:tc>
        <w:tc>
          <w:tcPr>
            <w:tcW w:w="2666" w:type="dxa"/>
            <w:tcBorders>
              <w:top w:val="single" w:sz="4" w:space="0" w:color="auto"/>
              <w:left w:val="single" w:sz="4" w:space="0" w:color="auto"/>
              <w:bottom w:val="single" w:sz="4" w:space="0" w:color="auto"/>
              <w:right w:val="single" w:sz="4" w:space="0" w:color="auto"/>
            </w:tcBorders>
          </w:tcPr>
          <w:p w14:paraId="01B39AB3" w14:textId="77777777" w:rsidR="002D7080" w:rsidRPr="004D1E6F" w:rsidRDefault="002D7080" w:rsidP="002E2C37">
            <w:pPr>
              <w:spacing w:after="0" w:line="240" w:lineRule="auto"/>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in ID:</w:t>
            </w:r>
          </w:p>
        </w:tc>
      </w:tr>
      <w:tr w:rsidR="002D7080" w:rsidRPr="004D1E6F" w14:paraId="6ADF3F5F" w14:textId="77777777" w:rsidTr="002E2C37">
        <w:trPr>
          <w:trHeight w:val="148"/>
        </w:trPr>
        <w:tc>
          <w:tcPr>
            <w:tcW w:w="8790" w:type="dxa"/>
            <w:gridSpan w:val="4"/>
            <w:tcBorders>
              <w:top w:val="single" w:sz="4" w:space="0" w:color="auto"/>
              <w:left w:val="single" w:sz="4" w:space="0" w:color="auto"/>
              <w:bottom w:val="single" w:sz="4" w:space="0" w:color="auto"/>
              <w:right w:val="single" w:sz="4" w:space="0" w:color="auto"/>
            </w:tcBorders>
            <w:noWrap/>
          </w:tcPr>
          <w:p w14:paraId="28E817A1"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Herbarium or museum accession number:</w:t>
            </w:r>
          </w:p>
        </w:tc>
      </w:tr>
      <w:tr w:rsidR="002D7080" w:rsidRPr="004D1E6F" w14:paraId="38425DF0"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18F0F15" w14:textId="77777777" w:rsidR="002D7080" w:rsidRPr="004D1E6F" w:rsidRDefault="002D7080" w:rsidP="002E2C37">
            <w:pPr>
              <w:spacing w:after="0" w:line="240" w:lineRule="auto"/>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8ADAF0D" w14:textId="77777777" w:rsidTr="002E2C37">
        <w:trPr>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51A9AB3" w14:textId="77777777" w:rsidR="002D7080" w:rsidRPr="004D1E6F" w:rsidRDefault="002D7080" w:rsidP="002E2C37">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BAC12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native to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 xml:space="preserve"> or part of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03740BA6" w14:textId="77777777" w:rsidTr="002E2C37">
        <w:trPr>
          <w:trHeight w:val="7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A216063"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native to (part of) the </w:t>
            </w: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w:t>
            </w:r>
          </w:p>
        </w:tc>
        <w:tc>
          <w:tcPr>
            <w:tcW w:w="2268" w:type="dxa"/>
            <w:tcBorders>
              <w:top w:val="single" w:sz="4" w:space="0" w:color="auto"/>
              <w:left w:val="nil"/>
              <w:bottom w:val="single" w:sz="4" w:space="0" w:color="auto"/>
              <w:right w:val="single" w:sz="4" w:space="0" w:color="auto"/>
            </w:tcBorders>
          </w:tcPr>
          <w:p w14:paraId="7D7B878F"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c>
          <w:tcPr>
            <w:tcW w:w="2666" w:type="dxa"/>
            <w:tcBorders>
              <w:top w:val="single" w:sz="4" w:space="0" w:color="auto"/>
              <w:left w:val="nil"/>
              <w:bottom w:val="single" w:sz="4" w:space="0" w:color="auto"/>
              <w:right w:val="single" w:sz="4" w:space="0" w:color="auto"/>
            </w:tcBorders>
          </w:tcPr>
          <w:p w14:paraId="070C71BD"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4CD6E25F" w14:textId="77777777" w:rsidTr="002E2C37">
        <w:trPr>
          <w:trHeight w:val="7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5EF8452"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alien in (part of) the </w:t>
            </w: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w:t>
            </w:r>
          </w:p>
        </w:tc>
        <w:tc>
          <w:tcPr>
            <w:tcW w:w="2268" w:type="dxa"/>
            <w:tcBorders>
              <w:top w:val="single" w:sz="4" w:space="0" w:color="auto"/>
              <w:left w:val="nil"/>
              <w:bottom w:val="single" w:sz="4" w:space="0" w:color="auto"/>
              <w:right w:val="single" w:sz="4" w:space="0" w:color="auto"/>
            </w:tcBorders>
          </w:tcPr>
          <w:p w14:paraId="20B40D4A"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Yes</w:t>
            </w:r>
          </w:p>
        </w:tc>
        <w:tc>
          <w:tcPr>
            <w:tcW w:w="2666" w:type="dxa"/>
            <w:tcBorders>
              <w:top w:val="single" w:sz="4" w:space="0" w:color="auto"/>
              <w:left w:val="nil"/>
              <w:bottom w:val="single" w:sz="4" w:space="0" w:color="auto"/>
              <w:right w:val="single" w:sz="4" w:space="0" w:color="auto"/>
            </w:tcBorders>
          </w:tcPr>
          <w:p w14:paraId="366E9F02"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12C94739"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6AB73DC3" w14:textId="77777777"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Times New Roman" w:hAnsi="Times New Roman" w:cs="Times New Roman"/>
                <w:i/>
                <w:sz w:val="20"/>
                <w:szCs w:val="20"/>
                <w:lang w:eastAsia="en-ZA"/>
              </w:rPr>
              <w:t xml:space="preserve">Cherax destructor </w:t>
            </w:r>
            <w:r w:rsidRPr="004D1E6F">
              <w:rPr>
                <w:rFonts w:ascii="Times New Roman" w:eastAsia="Times New Roman" w:hAnsi="Times New Roman" w:cs="Times New Roman"/>
                <w:iCs/>
                <w:sz w:val="20"/>
                <w:szCs w:val="20"/>
                <w:lang w:eastAsia="en-ZA"/>
              </w:rPr>
              <w:t xml:space="preserve">is </w:t>
            </w:r>
            <w:r w:rsidRPr="004D1E6F">
              <w:rPr>
                <w:rFonts w:ascii="Times New Roman" w:eastAsia="Times New Roman" w:hAnsi="Times New Roman" w:cs="Times New Roman"/>
                <w:sz w:val="20"/>
                <w:szCs w:val="20"/>
                <w:lang w:eastAsia="en-ZA"/>
              </w:rPr>
              <w:t xml:space="preserve">native to central and eastern  parts of Australia (McCormack 2014; Riek 1967; Sokol 1988; Wingfield 2002). </w:t>
            </w:r>
          </w:p>
        </w:tc>
      </w:tr>
      <w:tr w:rsidR="002D7080" w:rsidRPr="004D1E6F" w14:paraId="35D8D406"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4EBDFFF7" w14:textId="77777777"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6A1191A7" w14:textId="77777777"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McCormack, R.B., 2014,’</w:t>
            </w:r>
            <w:r w:rsidRPr="004D1E6F">
              <w:rPr>
                <w:rFonts w:ascii="Times New Roman" w:hAnsi="Times New Roman" w:cs="Times New Roman"/>
                <w:color w:val="000000"/>
                <w:sz w:val="20"/>
                <w:szCs w:val="20"/>
              </w:rPr>
              <w:t xml:space="preserve"> </w:t>
            </w:r>
            <w:r w:rsidRPr="004D1E6F">
              <w:rPr>
                <w:rFonts w:ascii="Times New Roman" w:eastAsia="Times New Roman" w:hAnsi="Times New Roman" w:cs="Times New Roman"/>
                <w:bCs/>
                <w:sz w:val="20"/>
                <w:szCs w:val="20"/>
                <w:lang w:eastAsia="en-ZA"/>
              </w:rPr>
              <w:t xml:space="preserve">New records and review of the translocation of the yabby </w:t>
            </w:r>
            <w:r w:rsidRPr="004D1E6F">
              <w:rPr>
                <w:rFonts w:ascii="Times New Roman" w:eastAsia="Times New Roman" w:hAnsi="Times New Roman" w:cs="Times New Roman"/>
                <w:bCs/>
                <w:i/>
                <w:iCs/>
                <w:sz w:val="20"/>
                <w:szCs w:val="20"/>
                <w:lang w:eastAsia="en-ZA"/>
              </w:rPr>
              <w:t xml:space="preserve">Cherax destructor </w:t>
            </w:r>
            <w:r w:rsidRPr="004D1E6F">
              <w:rPr>
                <w:rFonts w:ascii="Times New Roman" w:eastAsia="Times New Roman" w:hAnsi="Times New Roman" w:cs="Times New Roman"/>
                <w:bCs/>
                <w:sz w:val="20"/>
                <w:szCs w:val="20"/>
                <w:lang w:eastAsia="en-ZA"/>
              </w:rPr>
              <w:t xml:space="preserve">into eastern drainages of New South Wales, Australia’, </w:t>
            </w:r>
            <w:r w:rsidRPr="004D1E6F">
              <w:rPr>
                <w:rFonts w:ascii="Times New Roman" w:eastAsia="Times New Roman" w:hAnsi="Times New Roman" w:cs="Times New Roman"/>
                <w:bCs/>
                <w:i/>
                <w:iCs/>
                <w:sz w:val="20"/>
                <w:szCs w:val="20"/>
                <w:lang w:eastAsia="en-ZA"/>
              </w:rPr>
              <w:t>Australian Zoologist</w:t>
            </w:r>
            <w:r w:rsidRPr="004D1E6F">
              <w:rPr>
                <w:rFonts w:ascii="Times New Roman" w:eastAsia="Times New Roman" w:hAnsi="Times New Roman" w:cs="Times New Roman"/>
                <w:bCs/>
                <w:sz w:val="20"/>
                <w:szCs w:val="20"/>
                <w:lang w:eastAsia="en-ZA"/>
              </w:rPr>
              <w:t xml:space="preserve"> 34, 85–94. http://dx.doi.org/10.7882/AZ.2014.006.</w:t>
            </w:r>
          </w:p>
          <w:p w14:paraId="3F0D953A" w14:textId="77777777"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Riek, E.F., 1967, ‘The freshwater crayfish of Western Australia (Decapoda: Parastacidae)’, </w:t>
            </w:r>
            <w:r w:rsidRPr="004D1E6F">
              <w:rPr>
                <w:rFonts w:ascii="Times New Roman" w:eastAsia="Times New Roman" w:hAnsi="Times New Roman" w:cs="Times New Roman"/>
                <w:i/>
                <w:iCs/>
                <w:sz w:val="20"/>
                <w:szCs w:val="20"/>
                <w:lang w:eastAsia="en-ZA"/>
              </w:rPr>
              <w:t>Australian Journal of Zoology</w:t>
            </w:r>
            <w:r w:rsidRPr="004D1E6F">
              <w:rPr>
                <w:rFonts w:ascii="Times New Roman" w:eastAsia="Times New Roman" w:hAnsi="Times New Roman" w:cs="Times New Roman"/>
                <w:sz w:val="20"/>
                <w:szCs w:val="20"/>
                <w:lang w:eastAsia="en-ZA"/>
              </w:rPr>
              <w:t xml:space="preserve"> 14, 103–121. https://doi.org/10.1071/ZO9670103.</w:t>
            </w:r>
          </w:p>
          <w:p w14:paraId="07229895" w14:textId="77777777"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Sokol, A., 1988, ‘Morphological variation in relation to the taxonomy of the destructor group of the genus </w:t>
            </w:r>
            <w:r w:rsidRPr="004D1E6F">
              <w:rPr>
                <w:rFonts w:ascii="Times New Roman" w:eastAsia="Times New Roman" w:hAnsi="Times New Roman" w:cs="Times New Roman"/>
                <w:i/>
                <w:iCs/>
                <w:sz w:val="20"/>
                <w:szCs w:val="20"/>
                <w:lang w:eastAsia="en-ZA"/>
              </w:rPr>
              <w:t>Cherax’</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Invertebrate Taxonomy</w:t>
            </w:r>
            <w:r w:rsidRPr="004D1E6F">
              <w:rPr>
                <w:rFonts w:ascii="Times New Roman" w:eastAsia="Times New Roman" w:hAnsi="Times New Roman" w:cs="Times New Roman"/>
                <w:sz w:val="20"/>
                <w:szCs w:val="20"/>
                <w:lang w:eastAsia="en-ZA"/>
              </w:rPr>
              <w:t xml:space="preserve"> 2, 55–79. https://doi.org/10.1071/IT9880055.</w:t>
            </w:r>
          </w:p>
          <w:p w14:paraId="55443CAE" w14:textId="77777777"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hAnsi="Times New Roman" w:cs="Times New Roman"/>
                <w:color w:val="222222"/>
                <w:sz w:val="20"/>
                <w:szCs w:val="20"/>
                <w:shd w:val="clear" w:color="auto" w:fill="FFFFFF"/>
              </w:rPr>
              <w:t>Wingfield, M., 2002, ‘An overview of the Australian freshwater crayfish farming industry’, </w:t>
            </w:r>
            <w:r w:rsidRPr="004D1E6F">
              <w:rPr>
                <w:rFonts w:ascii="Times New Roman" w:hAnsi="Times New Roman" w:cs="Times New Roman"/>
                <w:i/>
                <w:iCs/>
                <w:color w:val="222222"/>
                <w:sz w:val="20"/>
                <w:szCs w:val="20"/>
                <w:shd w:val="clear" w:color="auto" w:fill="FFFFFF"/>
              </w:rPr>
              <w:t>Freshwater Crayfish</w:t>
            </w:r>
            <w:r w:rsidRPr="004D1E6F">
              <w:rPr>
                <w:rFonts w:ascii="Times New Roman" w:hAnsi="Times New Roman" w:cs="Times New Roman"/>
                <w:color w:val="222222"/>
                <w:sz w:val="20"/>
                <w:szCs w:val="20"/>
                <w:shd w:val="clear" w:color="auto" w:fill="FFFFFF"/>
              </w:rPr>
              <w:t> 13(1), 177-184.</w:t>
            </w:r>
          </w:p>
        </w:tc>
      </w:tr>
      <w:tr w:rsidR="002D7080" w:rsidRPr="004D1E6F" w14:paraId="025459B9" w14:textId="77777777" w:rsidTr="002E2C37">
        <w:trPr>
          <w:trHeight w:val="41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A4ACAD6"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BAC13 What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’s introduction status in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1CB95A7E" w14:textId="77777777" w:rsidTr="002E2C37">
        <w:trPr>
          <w:trHeight w:val="9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902C9D9"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in cultivation/containment.</w:t>
            </w:r>
          </w:p>
        </w:tc>
        <w:tc>
          <w:tcPr>
            <w:tcW w:w="2268" w:type="dxa"/>
            <w:tcBorders>
              <w:top w:val="single" w:sz="4" w:space="0" w:color="auto"/>
              <w:left w:val="single" w:sz="4" w:space="0" w:color="auto"/>
              <w:bottom w:val="single" w:sz="4" w:space="0" w:color="auto"/>
              <w:right w:val="single" w:sz="4" w:space="0" w:color="auto"/>
            </w:tcBorders>
          </w:tcPr>
          <w:p w14:paraId="7B067A26"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c>
          <w:tcPr>
            <w:tcW w:w="2666" w:type="dxa"/>
            <w:tcBorders>
              <w:top w:val="single" w:sz="4" w:space="0" w:color="auto"/>
              <w:left w:val="single" w:sz="4" w:space="0" w:color="auto"/>
              <w:bottom w:val="single" w:sz="4" w:space="0" w:color="auto"/>
              <w:right w:val="single" w:sz="4" w:space="0" w:color="auto"/>
            </w:tcBorders>
          </w:tcPr>
          <w:p w14:paraId="4288FF5D"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4E5EC606" w14:textId="77777777" w:rsidTr="002E2C37">
        <w:trPr>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DD16719"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present outside of cultivation/containment.</w:t>
            </w:r>
          </w:p>
        </w:tc>
        <w:tc>
          <w:tcPr>
            <w:tcW w:w="2268" w:type="dxa"/>
            <w:tcBorders>
              <w:top w:val="single" w:sz="4" w:space="0" w:color="auto"/>
              <w:left w:val="single" w:sz="4" w:space="0" w:color="auto"/>
              <w:bottom w:val="single" w:sz="4" w:space="0" w:color="auto"/>
              <w:right w:val="single" w:sz="4" w:space="0" w:color="auto"/>
            </w:tcBorders>
          </w:tcPr>
          <w:p w14:paraId="356CDCF6"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c>
          <w:tcPr>
            <w:tcW w:w="2666" w:type="dxa"/>
            <w:tcBorders>
              <w:top w:val="single" w:sz="4" w:space="0" w:color="auto"/>
              <w:left w:val="single" w:sz="4" w:space="0" w:color="auto"/>
              <w:bottom w:val="single" w:sz="4" w:space="0" w:color="auto"/>
              <w:right w:val="single" w:sz="4" w:space="0" w:color="auto"/>
            </w:tcBorders>
          </w:tcPr>
          <w:p w14:paraId="2C6589A8"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0E1DD9FA" w14:textId="77777777" w:rsidTr="002E2C37">
        <w:trPr>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4DFC5C6"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has established/naturalised.</w:t>
            </w:r>
          </w:p>
        </w:tc>
        <w:tc>
          <w:tcPr>
            <w:tcW w:w="2268" w:type="dxa"/>
            <w:tcBorders>
              <w:top w:val="single" w:sz="4" w:space="0" w:color="auto"/>
              <w:left w:val="single" w:sz="4" w:space="0" w:color="auto"/>
              <w:bottom w:val="single" w:sz="4" w:space="0" w:color="auto"/>
              <w:right w:val="single" w:sz="4" w:space="0" w:color="auto"/>
            </w:tcBorders>
          </w:tcPr>
          <w:p w14:paraId="37B2FE7E"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c>
          <w:tcPr>
            <w:tcW w:w="2666" w:type="dxa"/>
            <w:tcBorders>
              <w:top w:val="single" w:sz="4" w:space="0" w:color="auto"/>
              <w:left w:val="single" w:sz="4" w:space="0" w:color="auto"/>
              <w:bottom w:val="single" w:sz="4" w:space="0" w:color="auto"/>
              <w:right w:val="single" w:sz="4" w:space="0" w:color="auto"/>
            </w:tcBorders>
          </w:tcPr>
          <w:p w14:paraId="68D9FF23"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28E61F97" w14:textId="77777777" w:rsidTr="002E2C37">
        <w:trPr>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A4013C1"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invasive.</w:t>
            </w:r>
          </w:p>
        </w:tc>
        <w:tc>
          <w:tcPr>
            <w:tcW w:w="2268" w:type="dxa"/>
            <w:tcBorders>
              <w:top w:val="single" w:sz="4" w:space="0" w:color="auto"/>
              <w:left w:val="single" w:sz="4" w:space="0" w:color="auto"/>
              <w:bottom w:val="single" w:sz="4" w:space="0" w:color="auto"/>
              <w:right w:val="single" w:sz="4" w:space="0" w:color="auto"/>
            </w:tcBorders>
          </w:tcPr>
          <w:p w14:paraId="774294F9"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c>
          <w:tcPr>
            <w:tcW w:w="2666" w:type="dxa"/>
            <w:tcBorders>
              <w:top w:val="single" w:sz="4" w:space="0" w:color="auto"/>
              <w:left w:val="single" w:sz="4" w:space="0" w:color="auto"/>
              <w:bottom w:val="single" w:sz="4" w:space="0" w:color="auto"/>
              <w:right w:val="single" w:sz="4" w:space="0" w:color="auto"/>
            </w:tcBorders>
          </w:tcPr>
          <w:p w14:paraId="505A07B2"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Confidence: High </w:t>
            </w:r>
          </w:p>
        </w:tc>
      </w:tr>
      <w:tr w:rsidR="002D7080" w:rsidRPr="004D1E6F" w14:paraId="5D594B9A"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F56BB39" w14:textId="77777777"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sz w:val="20"/>
                <w:szCs w:val="20"/>
                <w:lang w:eastAsia="en-ZA"/>
              </w:rPr>
              <w:t xml:space="preserve"> was introduced in 1988 for research to see if was suitable for aquaculture, but there is no evidence that indicates that the species succeeded in establishing populations. There are anecdotal records of </w:t>
            </w:r>
            <w:r w:rsidRPr="004D1E6F">
              <w:rPr>
                <w:rFonts w:ascii="Times New Roman" w:eastAsia="Times New Roman" w:hAnsi="Times New Roman" w:cs="Times New Roman"/>
                <w:i/>
                <w:sz w:val="20"/>
                <w:szCs w:val="20"/>
                <w:lang w:eastAsia="en-ZA"/>
              </w:rPr>
              <w:t>C. destructor</w:t>
            </w:r>
            <w:r w:rsidRPr="004D1E6F">
              <w:rPr>
                <w:rFonts w:ascii="Times New Roman" w:eastAsia="Times New Roman" w:hAnsi="Times New Roman" w:cs="Times New Roman"/>
                <w:sz w:val="20"/>
                <w:szCs w:val="20"/>
                <w:lang w:eastAsia="en-ZA"/>
              </w:rPr>
              <w:t xml:space="preserve"> introductions by fishers into several South African dams. These records, gathered by fishing and aquarium enthusiasts, need to be verified (Nunes et al. 2017).</w:t>
            </w:r>
          </w:p>
        </w:tc>
      </w:tr>
      <w:tr w:rsidR="002D7080" w:rsidRPr="004D1E6F" w14:paraId="00FC07D8"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45B6413D" w14:textId="77777777"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7BF1A962" w14:textId="16BAD230"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w:t>
            </w:r>
            <w:hyperlink r:id="rId115" w:history="1">
              <w:r w:rsidR="003035A3" w:rsidRPr="003035A3">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sz w:val="20"/>
                <w:szCs w:val="20"/>
                <w:lang w:eastAsia="en-ZA"/>
              </w:rPr>
              <w:t>.</w:t>
            </w:r>
          </w:p>
        </w:tc>
      </w:tr>
      <w:tr w:rsidR="002D7080" w:rsidRPr="004D1E6F" w14:paraId="3D3F2946" w14:textId="77777777" w:rsidTr="002E2C37">
        <w:trPr>
          <w:trHeight w:val="41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FC5AB08" w14:textId="77777777" w:rsidR="002D7080" w:rsidRPr="004D1E6F" w:rsidRDefault="002D7080" w:rsidP="002E2C37">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BAC14 Primary (introduction) pathways</w:t>
            </w:r>
          </w:p>
        </w:tc>
      </w:tr>
      <w:tr w:rsidR="002D7080" w:rsidRPr="004D1E6F" w14:paraId="68C10A7A" w14:textId="77777777" w:rsidTr="002E2C37">
        <w:trPr>
          <w:trHeight w:val="61"/>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B1F3FCA"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Release</w:t>
            </w:r>
          </w:p>
        </w:tc>
        <w:tc>
          <w:tcPr>
            <w:tcW w:w="3694" w:type="dxa"/>
            <w:gridSpan w:val="2"/>
            <w:tcBorders>
              <w:top w:val="single" w:sz="4" w:space="0" w:color="auto"/>
              <w:left w:val="single" w:sz="4" w:space="0" w:color="auto"/>
              <w:bottom w:val="single" w:sz="4" w:space="0" w:color="auto"/>
              <w:right w:val="single" w:sz="4" w:space="0" w:color="auto"/>
            </w:tcBorders>
          </w:tcPr>
          <w:p w14:paraId="38DF0EA9"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604240E9"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4E7A2974" w14:textId="77777777" w:rsidTr="002E2C37">
        <w:trPr>
          <w:trHeight w:val="115"/>
        </w:trPr>
        <w:tc>
          <w:tcPr>
            <w:tcW w:w="2430" w:type="dxa"/>
            <w:vMerge w:val="restart"/>
            <w:tcBorders>
              <w:top w:val="single" w:sz="4" w:space="0" w:color="auto"/>
              <w:left w:val="single" w:sz="4" w:space="0" w:color="auto"/>
              <w:right w:val="single" w:sz="4" w:space="0" w:color="auto"/>
            </w:tcBorders>
            <w:shd w:val="clear" w:color="auto" w:fill="F2F2F2" w:themeFill="background1" w:themeFillShade="F2"/>
            <w:noWrap/>
          </w:tcPr>
          <w:p w14:paraId="50BBD05F"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Escape</w:t>
            </w:r>
          </w:p>
        </w:tc>
        <w:tc>
          <w:tcPr>
            <w:tcW w:w="3694" w:type="dxa"/>
            <w:gridSpan w:val="2"/>
            <w:tcBorders>
              <w:top w:val="single" w:sz="4" w:space="0" w:color="auto"/>
              <w:left w:val="single" w:sz="4" w:space="0" w:color="auto"/>
              <w:bottom w:val="single" w:sz="4" w:space="0" w:color="auto"/>
              <w:right w:val="single" w:sz="4" w:space="0" w:color="auto"/>
            </w:tcBorders>
          </w:tcPr>
          <w:p w14:paraId="5035B57C"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aquaculture/mariculture</w:t>
            </w:r>
          </w:p>
        </w:tc>
        <w:tc>
          <w:tcPr>
            <w:tcW w:w="2666" w:type="dxa"/>
            <w:tcBorders>
              <w:top w:val="single" w:sz="4" w:space="0" w:color="auto"/>
              <w:left w:val="single" w:sz="4" w:space="0" w:color="auto"/>
              <w:bottom w:val="single" w:sz="4" w:space="0" w:color="auto"/>
              <w:right w:val="single" w:sz="4" w:space="0" w:color="auto"/>
            </w:tcBorders>
          </w:tcPr>
          <w:p w14:paraId="3780423F"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5B5B063C" w14:textId="77777777" w:rsidTr="002E2C37">
        <w:trPr>
          <w:trHeight w:val="115"/>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3F951451"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p>
        </w:tc>
        <w:tc>
          <w:tcPr>
            <w:tcW w:w="3694" w:type="dxa"/>
            <w:gridSpan w:val="2"/>
            <w:tcBorders>
              <w:top w:val="single" w:sz="4" w:space="0" w:color="auto"/>
              <w:left w:val="single" w:sz="4" w:space="0" w:color="auto"/>
              <w:bottom w:val="single" w:sz="4" w:space="0" w:color="auto"/>
              <w:right w:val="single" w:sz="4" w:space="0" w:color="auto"/>
            </w:tcBorders>
          </w:tcPr>
          <w:p w14:paraId="553944B6"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live food and live bait</w:t>
            </w:r>
          </w:p>
        </w:tc>
        <w:tc>
          <w:tcPr>
            <w:tcW w:w="2666" w:type="dxa"/>
            <w:tcBorders>
              <w:top w:val="single" w:sz="4" w:space="0" w:color="auto"/>
              <w:left w:val="single" w:sz="4" w:space="0" w:color="auto"/>
              <w:bottom w:val="single" w:sz="4" w:space="0" w:color="auto"/>
              <w:right w:val="single" w:sz="4" w:space="0" w:color="auto"/>
            </w:tcBorders>
          </w:tcPr>
          <w:p w14:paraId="110DD96E"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39802EFE" w14:textId="77777777" w:rsidTr="002E2C37">
        <w:trPr>
          <w:trHeight w:val="115"/>
        </w:trPr>
        <w:tc>
          <w:tcPr>
            <w:tcW w:w="2430" w:type="dxa"/>
            <w:tcBorders>
              <w:top w:val="single" w:sz="4" w:space="0" w:color="auto"/>
              <w:left w:val="single" w:sz="4" w:space="0" w:color="auto"/>
              <w:right w:val="single" w:sz="4" w:space="0" w:color="auto"/>
            </w:tcBorders>
            <w:shd w:val="clear" w:color="auto" w:fill="F2F2F2" w:themeFill="background1" w:themeFillShade="F2"/>
            <w:noWrap/>
          </w:tcPr>
          <w:p w14:paraId="4E0B0B41"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Contaminant</w:t>
            </w:r>
          </w:p>
        </w:tc>
        <w:tc>
          <w:tcPr>
            <w:tcW w:w="3694" w:type="dxa"/>
            <w:gridSpan w:val="2"/>
            <w:tcBorders>
              <w:top w:val="single" w:sz="4" w:space="0" w:color="auto"/>
              <w:left w:val="single" w:sz="4" w:space="0" w:color="auto"/>
              <w:bottom w:val="single" w:sz="4" w:space="0" w:color="auto"/>
              <w:right w:val="single" w:sz="4" w:space="0" w:color="auto"/>
            </w:tcBorders>
          </w:tcPr>
          <w:p w14:paraId="18BBA631"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pet/aquarium/terrarium species (including live food for such species)</w:t>
            </w:r>
          </w:p>
        </w:tc>
        <w:tc>
          <w:tcPr>
            <w:tcW w:w="2666" w:type="dxa"/>
            <w:tcBorders>
              <w:top w:val="single" w:sz="4" w:space="0" w:color="auto"/>
              <w:left w:val="single" w:sz="4" w:space="0" w:color="auto"/>
              <w:bottom w:val="single" w:sz="4" w:space="0" w:color="auto"/>
              <w:right w:val="single" w:sz="4" w:space="0" w:color="auto"/>
            </w:tcBorders>
          </w:tcPr>
          <w:p w14:paraId="71E356A7"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14F8EA37" w14:textId="77777777" w:rsidTr="002E2C37">
        <w:trPr>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5979687"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Stowaway</w:t>
            </w:r>
          </w:p>
        </w:tc>
        <w:tc>
          <w:tcPr>
            <w:tcW w:w="3694" w:type="dxa"/>
            <w:gridSpan w:val="2"/>
            <w:tcBorders>
              <w:top w:val="single" w:sz="4" w:space="0" w:color="auto"/>
              <w:left w:val="single" w:sz="4" w:space="0" w:color="auto"/>
              <w:bottom w:val="single" w:sz="4" w:space="0" w:color="auto"/>
              <w:right w:val="single" w:sz="4" w:space="0" w:color="auto"/>
            </w:tcBorders>
          </w:tcPr>
          <w:p w14:paraId="23765AC3"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0E84BAA4"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4572CCA1" w14:textId="77777777" w:rsidTr="002E2C37">
        <w:trPr>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C3E0225"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Corridor</w:t>
            </w:r>
          </w:p>
        </w:tc>
        <w:tc>
          <w:tcPr>
            <w:tcW w:w="3694" w:type="dxa"/>
            <w:gridSpan w:val="2"/>
            <w:tcBorders>
              <w:top w:val="single" w:sz="4" w:space="0" w:color="auto"/>
              <w:left w:val="single" w:sz="4" w:space="0" w:color="auto"/>
              <w:bottom w:val="single" w:sz="4" w:space="0" w:color="auto"/>
              <w:right w:val="single" w:sz="4" w:space="0" w:color="auto"/>
            </w:tcBorders>
          </w:tcPr>
          <w:p w14:paraId="61E507D3"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2A6A274F"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08A6A603" w14:textId="77777777" w:rsidTr="002E2C37">
        <w:trPr>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021088A"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Unaided</w:t>
            </w:r>
          </w:p>
        </w:tc>
        <w:tc>
          <w:tcPr>
            <w:tcW w:w="3694" w:type="dxa"/>
            <w:gridSpan w:val="2"/>
            <w:tcBorders>
              <w:top w:val="single" w:sz="4" w:space="0" w:color="auto"/>
              <w:left w:val="single" w:sz="4" w:space="0" w:color="auto"/>
              <w:bottom w:val="single" w:sz="4" w:space="0" w:color="auto"/>
              <w:right w:val="single" w:sz="4" w:space="0" w:color="auto"/>
            </w:tcBorders>
          </w:tcPr>
          <w:p w14:paraId="6E517DFB"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475AFCF2"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0E41A3E1"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7C3B6940" w14:textId="77777777" w:rsidR="002D7080" w:rsidRPr="004D1E6F" w:rsidRDefault="002D7080" w:rsidP="0047116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sidRPr="004D1E6F">
              <w:rPr>
                <w:rFonts w:ascii="Times New Roman" w:eastAsia="Arial" w:hAnsi="Times New Roman" w:cs="Times New Roman"/>
                <w:i/>
                <w:sz w:val="20"/>
                <w:szCs w:val="20"/>
              </w:rPr>
              <w:t xml:space="preserve">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sz w:val="20"/>
                <w:szCs w:val="20"/>
                <w:lang w:eastAsia="en-ZA"/>
              </w:rPr>
              <w:t xml:space="preserve"> is common in the global pet trade (Chucholl 2013; Faulkes 2015) and sold as live bait to fishers (McCormack 2014). Furthermore, </w:t>
            </w:r>
            <w:r w:rsidRPr="004D1E6F">
              <w:rPr>
                <w:rFonts w:ascii="Times New Roman" w:eastAsia="Times New Roman" w:hAnsi="Times New Roman" w:cs="Times New Roman"/>
                <w:i/>
                <w:iCs/>
                <w:sz w:val="20"/>
                <w:szCs w:val="20"/>
                <w:lang w:eastAsia="en-ZA"/>
              </w:rPr>
              <w:t>C. destructor</w:t>
            </w:r>
            <w:r w:rsidRPr="004D1E6F">
              <w:rPr>
                <w:rFonts w:ascii="Times New Roman" w:eastAsia="Times New Roman" w:hAnsi="Times New Roman" w:cs="Times New Roman"/>
                <w:sz w:val="20"/>
                <w:szCs w:val="20"/>
                <w:lang w:eastAsia="en-ZA"/>
              </w:rPr>
              <w:t xml:space="preserve"> has also been introduced for aquaculture purposes (Nunes et al. 2017). </w:t>
            </w:r>
          </w:p>
        </w:tc>
      </w:tr>
      <w:tr w:rsidR="002D7080" w:rsidRPr="004D1E6F" w14:paraId="6770BFD1" w14:textId="77777777" w:rsidTr="002E2C37">
        <w:trPr>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738AA4F" w14:textId="77777777"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23EA5BB0" w14:textId="65B6E415"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r w:rsidR="00471161" w:rsidRPr="00471161">
              <w:rPr>
                <w:rFonts w:ascii="Times New Roman" w:eastAsia="Times New Roman" w:hAnsi="Times New Roman" w:cs="Times New Roman"/>
                <w:sz w:val="20"/>
                <w:szCs w:val="20"/>
                <w:lang w:eastAsia="en-ZA"/>
              </w:rPr>
              <w:t>https://doi.org/10.1007/s10530-012-0273-2</w:t>
            </w:r>
          </w:p>
          <w:p w14:paraId="70CC313F" w14:textId="433ADCA1"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Faulkes, Z., 2015, ‘The global trade in crayfish as pets’, </w:t>
            </w:r>
            <w:r w:rsidRPr="004D1E6F">
              <w:rPr>
                <w:rFonts w:ascii="Times New Roman" w:eastAsia="Times New Roman" w:hAnsi="Times New Roman" w:cs="Times New Roman"/>
                <w:i/>
                <w:iCs/>
                <w:sz w:val="20"/>
                <w:szCs w:val="20"/>
                <w:lang w:eastAsia="en-ZA"/>
              </w:rPr>
              <w:t xml:space="preserve">Crustacean Research </w:t>
            </w:r>
            <w:r w:rsidRPr="004D1E6F">
              <w:rPr>
                <w:rFonts w:ascii="Times New Roman" w:eastAsia="Times New Roman" w:hAnsi="Times New Roman" w:cs="Times New Roman"/>
                <w:iCs/>
                <w:sz w:val="20"/>
                <w:szCs w:val="20"/>
                <w:lang w:eastAsia="en-ZA"/>
              </w:rPr>
              <w:t>44</w:t>
            </w:r>
            <w:r w:rsidRPr="004D1E6F">
              <w:rPr>
                <w:rFonts w:ascii="Times New Roman" w:eastAsia="Times New Roman" w:hAnsi="Times New Roman" w:cs="Times New Roman"/>
                <w:sz w:val="20"/>
                <w:szCs w:val="20"/>
                <w:lang w:eastAsia="en-ZA"/>
              </w:rPr>
              <w:t xml:space="preserve">, 75–92. </w:t>
            </w:r>
            <w:r w:rsidR="00471161" w:rsidRPr="00471161">
              <w:rPr>
                <w:rFonts w:ascii="Times New Roman" w:eastAsia="Times New Roman" w:hAnsi="Times New Roman" w:cs="Times New Roman"/>
                <w:sz w:val="20"/>
                <w:szCs w:val="20"/>
                <w:lang w:eastAsia="en-ZA"/>
              </w:rPr>
              <w:t>https://doi.org/10.18353/crustacea.44.0_75</w:t>
            </w:r>
            <w:r w:rsidRPr="004D1E6F">
              <w:rPr>
                <w:rFonts w:ascii="Times New Roman" w:eastAsia="Times New Roman" w:hAnsi="Times New Roman" w:cs="Times New Roman"/>
                <w:sz w:val="20"/>
                <w:szCs w:val="20"/>
                <w:lang w:eastAsia="en-ZA"/>
              </w:rPr>
              <w:t>.</w:t>
            </w:r>
          </w:p>
          <w:p w14:paraId="648A3492" w14:textId="5D8D3B79"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McCormack, R.B., 2014,’</w:t>
            </w:r>
            <w:r w:rsidRPr="004D1E6F">
              <w:rPr>
                <w:rFonts w:ascii="Times New Roman" w:hAnsi="Times New Roman" w:cs="Times New Roman"/>
                <w:color w:val="000000"/>
                <w:sz w:val="20"/>
                <w:szCs w:val="20"/>
              </w:rPr>
              <w:t xml:space="preserve"> </w:t>
            </w:r>
            <w:r w:rsidRPr="004D1E6F">
              <w:rPr>
                <w:rFonts w:ascii="Times New Roman" w:eastAsia="Times New Roman" w:hAnsi="Times New Roman" w:cs="Times New Roman"/>
                <w:bCs/>
                <w:sz w:val="20"/>
                <w:szCs w:val="20"/>
                <w:lang w:eastAsia="en-ZA"/>
              </w:rPr>
              <w:t xml:space="preserve">New records and review of the translocation of the yabby </w:t>
            </w:r>
            <w:r w:rsidRPr="004D1E6F">
              <w:rPr>
                <w:rFonts w:ascii="Times New Roman" w:eastAsia="Times New Roman" w:hAnsi="Times New Roman" w:cs="Times New Roman"/>
                <w:bCs/>
                <w:i/>
                <w:iCs/>
                <w:sz w:val="20"/>
                <w:szCs w:val="20"/>
                <w:lang w:eastAsia="en-ZA"/>
              </w:rPr>
              <w:t xml:space="preserve">Cherax destructor </w:t>
            </w:r>
            <w:r w:rsidRPr="004D1E6F">
              <w:rPr>
                <w:rFonts w:ascii="Times New Roman" w:eastAsia="Times New Roman" w:hAnsi="Times New Roman" w:cs="Times New Roman"/>
                <w:bCs/>
                <w:sz w:val="20"/>
                <w:szCs w:val="20"/>
                <w:lang w:eastAsia="en-ZA"/>
              </w:rPr>
              <w:t xml:space="preserve">into eastern drainages of New South Wales, Australia’, </w:t>
            </w:r>
            <w:r w:rsidRPr="004D1E6F">
              <w:rPr>
                <w:rFonts w:ascii="Times New Roman" w:eastAsia="Times New Roman" w:hAnsi="Times New Roman" w:cs="Times New Roman"/>
                <w:bCs/>
                <w:i/>
                <w:iCs/>
                <w:sz w:val="20"/>
                <w:szCs w:val="20"/>
                <w:lang w:eastAsia="en-ZA"/>
              </w:rPr>
              <w:t>Australian Zoologist</w:t>
            </w:r>
            <w:r w:rsidRPr="004D1E6F">
              <w:rPr>
                <w:rFonts w:ascii="Times New Roman" w:eastAsia="Times New Roman" w:hAnsi="Times New Roman" w:cs="Times New Roman"/>
                <w:bCs/>
                <w:sz w:val="20"/>
                <w:szCs w:val="20"/>
                <w:lang w:eastAsia="en-ZA"/>
              </w:rPr>
              <w:t xml:space="preserve"> 34, 85–94. </w:t>
            </w:r>
            <w:r w:rsidR="003035A3" w:rsidRPr="003035A3">
              <w:rPr>
                <w:rFonts w:ascii="Times New Roman" w:eastAsia="Times New Roman" w:hAnsi="Times New Roman" w:cs="Times New Roman"/>
                <w:bCs/>
                <w:sz w:val="20"/>
                <w:szCs w:val="20"/>
                <w:lang w:eastAsia="en-ZA"/>
              </w:rPr>
              <w:t>https://doi.org/10.7882/AZ.2014.006</w:t>
            </w:r>
            <w:r w:rsidRPr="004D1E6F">
              <w:rPr>
                <w:rFonts w:ascii="Times New Roman" w:eastAsia="Times New Roman" w:hAnsi="Times New Roman" w:cs="Times New Roman"/>
                <w:bCs/>
                <w:sz w:val="20"/>
                <w:szCs w:val="20"/>
                <w:lang w:eastAsia="en-ZA"/>
              </w:rPr>
              <w:t>.</w:t>
            </w:r>
          </w:p>
          <w:p w14:paraId="250FBA74" w14:textId="1B21FBEC" w:rsidR="002D7080" w:rsidRPr="004D1E6F" w:rsidRDefault="002D7080" w:rsidP="0047116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w:t>
            </w:r>
            <w:hyperlink r:id="rId116" w:history="1">
              <w:r w:rsidR="003035A3" w:rsidRPr="003035A3">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sz w:val="20"/>
                <w:szCs w:val="20"/>
                <w:lang w:eastAsia="en-ZA"/>
              </w:rPr>
              <w:t>.</w:t>
            </w:r>
          </w:p>
        </w:tc>
      </w:tr>
    </w:tbl>
    <w:p w14:paraId="6B7BA04C"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00C1689E"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2. Likelihood</w:t>
      </w:r>
    </w:p>
    <w:p w14:paraId="16D7232F"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4029A08F" w14:textId="77777777" w:rsidTr="002E2C37">
        <w:tc>
          <w:tcPr>
            <w:tcW w:w="9016" w:type="dxa"/>
            <w:gridSpan w:val="2"/>
            <w:shd w:val="clear" w:color="auto" w:fill="F2F2F2" w:themeFill="background1" w:themeFillShade="F2"/>
          </w:tcPr>
          <w:p w14:paraId="566D74E0"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LIK1 Likelihood of entry via unaided primary pathways</w:t>
            </w:r>
          </w:p>
        </w:tc>
      </w:tr>
      <w:tr w:rsidR="002D7080" w:rsidRPr="004D1E6F" w14:paraId="1FDABB90" w14:textId="77777777" w:rsidTr="002E2C37">
        <w:tc>
          <w:tcPr>
            <w:tcW w:w="5524" w:type="dxa"/>
          </w:tcPr>
          <w:p w14:paraId="180174C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Very unlikely (p = 0.0027)</w:t>
            </w:r>
          </w:p>
        </w:tc>
        <w:tc>
          <w:tcPr>
            <w:tcW w:w="3492" w:type="dxa"/>
          </w:tcPr>
          <w:p w14:paraId="0AE8CBA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132DDB74" w14:textId="77777777" w:rsidTr="002E2C37">
        <w:trPr>
          <w:trHeight w:val="70"/>
        </w:trPr>
        <w:tc>
          <w:tcPr>
            <w:tcW w:w="9016" w:type="dxa"/>
            <w:gridSpan w:val="2"/>
          </w:tcPr>
          <w:p w14:paraId="255A45A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There are no known populations in South Africa or neighbouring countries that could act as a source of introduction (Madzivanzira et al. 2020). Although </w:t>
            </w:r>
            <w:r w:rsidRPr="004D1E6F">
              <w:rPr>
                <w:rFonts w:ascii="Times New Roman" w:eastAsia="Times New Roman" w:hAnsi="Times New Roman" w:cs="Times New Roman"/>
                <w:i/>
                <w:sz w:val="20"/>
                <w:szCs w:val="20"/>
                <w:lang w:eastAsia="en-ZA"/>
              </w:rPr>
              <w:t>C. destructor</w:t>
            </w:r>
            <w:r w:rsidRPr="004D1E6F">
              <w:rPr>
                <w:rFonts w:ascii="Times New Roman" w:eastAsia="Times New Roman" w:hAnsi="Times New Roman" w:cs="Times New Roman"/>
                <w:sz w:val="20"/>
                <w:szCs w:val="20"/>
                <w:lang w:eastAsia="en-ZA"/>
              </w:rPr>
              <w:t xml:space="preserve"> was introduced in Zambia there are no current records of them in captivity or in natural environments (Madzivanzira et al. 2020). Populations outside of captivity are only known from Spain (Scalici et al 2009).</w:t>
            </w:r>
          </w:p>
        </w:tc>
      </w:tr>
      <w:tr w:rsidR="002D7080" w:rsidRPr="004D1E6F" w14:paraId="3880C57D" w14:textId="77777777" w:rsidTr="002E2C37">
        <w:tc>
          <w:tcPr>
            <w:tcW w:w="9016" w:type="dxa"/>
            <w:gridSpan w:val="2"/>
          </w:tcPr>
          <w:p w14:paraId="614899D3" w14:textId="77777777" w:rsidR="002D7080" w:rsidRPr="004D1E6F" w:rsidRDefault="002D7080" w:rsidP="00471161">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394225B2" w14:textId="19787B00" w:rsidR="002D7080" w:rsidRPr="004D1E6F" w:rsidRDefault="002D7080" w:rsidP="00471161">
            <w:pPr>
              <w:ind w:left="720" w:hanging="720"/>
              <w:contextualSpacing/>
              <w:jc w:val="both"/>
              <w:rPr>
                <w:rFonts w:ascii="Times New Roman" w:eastAsia="Times New Roman" w:hAnsi="Times New Roman" w:cs="Times New Roman"/>
                <w:iCs/>
                <w:sz w:val="20"/>
                <w:szCs w:val="20"/>
                <w:lang w:eastAsia="en-ZA"/>
              </w:rPr>
            </w:pPr>
            <w:r w:rsidRPr="004D1E6F">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4D1E6F">
              <w:rPr>
                <w:rFonts w:ascii="Times New Roman" w:eastAsia="Times New Roman" w:hAnsi="Times New Roman" w:cs="Times New Roman"/>
                <w:i/>
                <w:sz w:val="20"/>
                <w:szCs w:val="20"/>
                <w:lang w:eastAsia="en-ZA"/>
              </w:rPr>
              <w:t xml:space="preserve">Reviews in Fisheries Science &amp; Aquaculture </w:t>
            </w:r>
            <w:r w:rsidRPr="004D1E6F">
              <w:rPr>
                <w:rFonts w:ascii="Times New Roman" w:eastAsia="Times New Roman" w:hAnsi="Times New Roman" w:cs="Times New Roman"/>
                <w:sz w:val="20"/>
                <w:szCs w:val="20"/>
                <w:lang w:eastAsia="en-ZA"/>
              </w:rPr>
              <w:t>1-21</w:t>
            </w:r>
            <w:r w:rsidRPr="004D1E6F">
              <w:rPr>
                <w:rFonts w:ascii="Times New Roman" w:eastAsia="Times New Roman" w:hAnsi="Times New Roman" w:cs="Times New Roman"/>
                <w:i/>
                <w:sz w:val="20"/>
                <w:szCs w:val="20"/>
                <w:lang w:eastAsia="en-ZA"/>
              </w:rPr>
              <w:t>.</w:t>
            </w:r>
            <w:r w:rsidRPr="004D1E6F">
              <w:rPr>
                <w:rFonts w:ascii="Times New Roman" w:eastAsia="Times New Roman" w:hAnsi="Times New Roman" w:cs="Times New Roman"/>
                <w:iCs/>
                <w:sz w:val="20"/>
                <w:szCs w:val="20"/>
                <w:lang w:eastAsia="en-ZA"/>
              </w:rPr>
              <w:t xml:space="preserve"> </w:t>
            </w:r>
            <w:r w:rsidR="003035A3" w:rsidRPr="003035A3">
              <w:rPr>
                <w:rFonts w:ascii="Times New Roman" w:eastAsia="Times New Roman" w:hAnsi="Times New Roman" w:cs="Times New Roman"/>
                <w:iCs/>
                <w:sz w:val="20"/>
                <w:szCs w:val="20"/>
                <w:lang w:eastAsia="en-ZA"/>
              </w:rPr>
              <w:t>https://doi.org/10.1080/23308249.2020.1802405</w:t>
            </w:r>
          </w:p>
          <w:p w14:paraId="39ACE2AC" w14:textId="04E89765" w:rsidR="002D7080" w:rsidRPr="004D1E6F" w:rsidRDefault="002D7080" w:rsidP="00471161">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Scalici, M., Chiesa, S., Gherardi, F., Ruffini, M., Gibertini, G. &amp; Marzano, F.N., 2009, ‘The new threat to Italian inland waters from the alien crayfish “gang”: the Australian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sz w:val="20"/>
                <w:szCs w:val="20"/>
                <w:lang w:eastAsia="en-ZA"/>
              </w:rPr>
              <w:t xml:space="preserve"> Clark, 1936’, </w:t>
            </w:r>
            <w:r w:rsidRPr="004D1E6F">
              <w:rPr>
                <w:rFonts w:ascii="Times New Roman" w:eastAsia="Times New Roman" w:hAnsi="Times New Roman" w:cs="Times New Roman"/>
                <w:i/>
                <w:iCs/>
                <w:sz w:val="20"/>
                <w:szCs w:val="20"/>
                <w:lang w:eastAsia="en-ZA"/>
              </w:rPr>
              <w:t>Hydrobiologia</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632</w:t>
            </w:r>
            <w:r w:rsidRPr="004D1E6F">
              <w:rPr>
                <w:rFonts w:ascii="Times New Roman" w:eastAsia="Times New Roman" w:hAnsi="Times New Roman" w:cs="Times New Roman"/>
                <w:sz w:val="20"/>
                <w:szCs w:val="20"/>
                <w:lang w:eastAsia="en-ZA"/>
              </w:rPr>
              <w:t xml:space="preserve">, 341–345. </w:t>
            </w:r>
            <w:r w:rsidR="003035A3" w:rsidRPr="003035A3">
              <w:rPr>
                <w:rFonts w:ascii="Times New Roman" w:eastAsia="Times New Roman" w:hAnsi="Times New Roman" w:cs="Times New Roman"/>
                <w:sz w:val="20"/>
                <w:szCs w:val="20"/>
                <w:lang w:eastAsia="en-ZA"/>
              </w:rPr>
              <w:t>https://doi.org/10.1007/s10750-009-9839-0</w:t>
            </w:r>
            <w:r w:rsidRPr="004D1E6F">
              <w:rPr>
                <w:rFonts w:ascii="Times New Roman" w:eastAsia="Times New Roman" w:hAnsi="Times New Roman" w:cs="Times New Roman"/>
                <w:sz w:val="20"/>
                <w:szCs w:val="20"/>
                <w:lang w:eastAsia="en-ZA"/>
              </w:rPr>
              <w:t>.</w:t>
            </w:r>
          </w:p>
        </w:tc>
      </w:tr>
    </w:tbl>
    <w:p w14:paraId="3F25208E"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6415656E" w14:textId="77777777" w:rsidTr="002E2C37">
        <w:tc>
          <w:tcPr>
            <w:tcW w:w="9016" w:type="dxa"/>
            <w:gridSpan w:val="2"/>
            <w:shd w:val="clear" w:color="auto" w:fill="F2F2F2" w:themeFill="background1" w:themeFillShade="F2"/>
          </w:tcPr>
          <w:p w14:paraId="0E5EC0C1"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LIK2 Likelihood of entry via human aided primary pathways</w:t>
            </w:r>
          </w:p>
        </w:tc>
      </w:tr>
      <w:tr w:rsidR="002D7080" w:rsidRPr="004D1E6F" w14:paraId="5BFB815D" w14:textId="77777777" w:rsidTr="002E2C37">
        <w:tc>
          <w:tcPr>
            <w:tcW w:w="5524" w:type="dxa"/>
          </w:tcPr>
          <w:p w14:paraId="23E12B7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Fairly probable (p = 0.5)</w:t>
            </w:r>
          </w:p>
        </w:tc>
        <w:tc>
          <w:tcPr>
            <w:tcW w:w="3492" w:type="dxa"/>
          </w:tcPr>
          <w:p w14:paraId="104C58E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1622BA81" w14:textId="77777777" w:rsidTr="002E2C37">
        <w:tc>
          <w:tcPr>
            <w:tcW w:w="9016" w:type="dxa"/>
            <w:gridSpan w:val="2"/>
          </w:tcPr>
          <w:p w14:paraId="5A9EB8C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sz w:val="20"/>
                <w:szCs w:val="20"/>
                <w:lang w:eastAsia="en-ZA"/>
              </w:rPr>
              <w:t xml:space="preserve">Cherax destructor </w:t>
            </w:r>
            <w:r w:rsidRPr="004D1E6F">
              <w:rPr>
                <w:rFonts w:ascii="Times New Roman" w:eastAsia="Times New Roman" w:hAnsi="Times New Roman" w:cs="Times New Roman"/>
                <w:sz w:val="20"/>
                <w:szCs w:val="20"/>
                <w:lang w:eastAsia="en-ZA"/>
              </w:rPr>
              <w:t>was introduced into South Africa for experimental research in 1988 but there are no confirmed populations in captivity or in natural environments (Nunes et al. 2017). It could potentially be introduced in the future for aquaculture, through</w:t>
            </w:r>
            <w:r w:rsidRPr="004D1E6F">
              <w:rPr>
                <w:rFonts w:ascii="Times New Roman" w:eastAsia="Times New Roman" w:hAnsi="Times New Roman" w:cs="Times New Roman"/>
                <w:i/>
                <w:iCs/>
                <w:sz w:val="20"/>
                <w:szCs w:val="20"/>
                <w:lang w:eastAsia="en-ZA"/>
              </w:rPr>
              <w:t xml:space="preserve"> </w:t>
            </w:r>
            <w:r w:rsidRPr="004D1E6F">
              <w:rPr>
                <w:rFonts w:ascii="Times New Roman" w:eastAsia="Times New Roman" w:hAnsi="Times New Roman" w:cs="Times New Roman"/>
                <w:sz w:val="20"/>
                <w:szCs w:val="20"/>
                <w:lang w:eastAsia="en-ZA"/>
              </w:rPr>
              <w:t>the pet trade or as bait for fishing (Chucholl 2013; Faulkes 2015; Nguyen 2005).</w:t>
            </w:r>
          </w:p>
        </w:tc>
      </w:tr>
      <w:tr w:rsidR="002D7080" w:rsidRPr="004D1E6F" w14:paraId="24E87C23" w14:textId="77777777" w:rsidTr="002E2C37">
        <w:tc>
          <w:tcPr>
            <w:tcW w:w="9016" w:type="dxa"/>
            <w:gridSpan w:val="2"/>
          </w:tcPr>
          <w:p w14:paraId="4D599A0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01774DCC" w14:textId="48B01BD1" w:rsidR="002D7080" w:rsidRPr="004D1E6F" w:rsidRDefault="002D7080" w:rsidP="003035A3">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r w:rsidR="003035A3" w:rsidRPr="003035A3">
              <w:rPr>
                <w:rFonts w:ascii="Times New Roman" w:eastAsia="Times New Roman" w:hAnsi="Times New Roman" w:cs="Times New Roman"/>
                <w:sz w:val="20"/>
                <w:szCs w:val="20"/>
                <w:lang w:eastAsia="en-ZA"/>
              </w:rPr>
              <w:t>https://doi.org/10.1007/s10530-012-0273-2</w:t>
            </w:r>
          </w:p>
          <w:p w14:paraId="58F04E9E" w14:textId="4CA0E1B6" w:rsidR="002D7080" w:rsidRPr="004D1E6F" w:rsidRDefault="002D7080" w:rsidP="003035A3">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Faulkes, Z., 2015, ‘The global trade in crayfish as pets’, </w:t>
            </w:r>
            <w:r w:rsidRPr="004D1E6F">
              <w:rPr>
                <w:rFonts w:ascii="Times New Roman" w:eastAsia="Times New Roman" w:hAnsi="Times New Roman" w:cs="Times New Roman"/>
                <w:i/>
                <w:iCs/>
                <w:sz w:val="20"/>
                <w:szCs w:val="20"/>
                <w:lang w:eastAsia="en-ZA"/>
              </w:rPr>
              <w:t xml:space="preserve">Crustacean Research </w:t>
            </w:r>
            <w:r w:rsidRPr="004D1E6F">
              <w:rPr>
                <w:rFonts w:ascii="Times New Roman" w:eastAsia="Times New Roman" w:hAnsi="Times New Roman" w:cs="Times New Roman"/>
                <w:iCs/>
                <w:sz w:val="20"/>
                <w:szCs w:val="20"/>
                <w:lang w:eastAsia="en-ZA"/>
              </w:rPr>
              <w:t>44</w:t>
            </w:r>
            <w:r w:rsidRPr="004D1E6F">
              <w:rPr>
                <w:rFonts w:ascii="Times New Roman" w:eastAsia="Times New Roman" w:hAnsi="Times New Roman" w:cs="Times New Roman"/>
                <w:sz w:val="20"/>
                <w:szCs w:val="20"/>
                <w:lang w:eastAsia="en-ZA"/>
              </w:rPr>
              <w:t xml:space="preserve">, 75–92. </w:t>
            </w:r>
            <w:r w:rsidR="003035A3" w:rsidRPr="003035A3">
              <w:rPr>
                <w:rFonts w:ascii="Times New Roman" w:eastAsia="Times New Roman" w:hAnsi="Times New Roman" w:cs="Times New Roman"/>
                <w:sz w:val="20"/>
                <w:szCs w:val="20"/>
                <w:lang w:eastAsia="en-ZA"/>
              </w:rPr>
              <w:t>https://doi.org/10.18353/crustacea.44.0_75</w:t>
            </w:r>
            <w:r w:rsidRPr="004D1E6F">
              <w:rPr>
                <w:rFonts w:ascii="Times New Roman" w:eastAsia="Times New Roman" w:hAnsi="Times New Roman" w:cs="Times New Roman"/>
                <w:sz w:val="20"/>
                <w:szCs w:val="20"/>
                <w:lang w:eastAsia="en-ZA"/>
              </w:rPr>
              <w:t>.</w:t>
            </w:r>
          </w:p>
          <w:p w14:paraId="1604F67E" w14:textId="4614D3C9" w:rsidR="002D7080" w:rsidRPr="004D1E6F" w:rsidRDefault="002D7080" w:rsidP="003035A3">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Nguyen, T.T.T., 2005, ‘A genetic investigation on translocation of Australian commercial freshwater crayfish,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iCs/>
                <w:sz w:val="20"/>
                <w:szCs w:val="20"/>
                <w:lang w:eastAsia="en-ZA"/>
              </w:rPr>
              <w:t>’,</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Aquatic Living Resources</w:t>
            </w:r>
            <w:r w:rsidRPr="004D1E6F">
              <w:rPr>
                <w:rFonts w:ascii="Times New Roman" w:eastAsia="Times New Roman" w:hAnsi="Times New Roman" w:cs="Times New Roman"/>
                <w:sz w:val="20"/>
                <w:szCs w:val="20"/>
                <w:lang w:eastAsia="en-ZA"/>
              </w:rPr>
              <w:t xml:space="preserve"> 18, 319–323. </w:t>
            </w:r>
            <w:r w:rsidR="003035A3" w:rsidRPr="003035A3">
              <w:rPr>
                <w:rFonts w:ascii="Times New Roman" w:eastAsia="Times New Roman" w:hAnsi="Times New Roman" w:cs="Times New Roman"/>
                <w:sz w:val="20"/>
                <w:szCs w:val="20"/>
                <w:lang w:eastAsia="en-ZA"/>
              </w:rPr>
              <w:t>https://doi.org/10.1051/alr:2005035</w:t>
            </w:r>
            <w:r w:rsidRPr="004D1E6F">
              <w:rPr>
                <w:rFonts w:ascii="Times New Roman" w:eastAsia="Times New Roman" w:hAnsi="Times New Roman" w:cs="Times New Roman"/>
                <w:sz w:val="20"/>
                <w:szCs w:val="20"/>
                <w:lang w:eastAsia="en-ZA"/>
              </w:rPr>
              <w:t>.</w:t>
            </w:r>
          </w:p>
          <w:p w14:paraId="5770FEB6" w14:textId="77777777" w:rsidR="002D7080" w:rsidRPr="004D1E6F" w:rsidRDefault="002D7080" w:rsidP="003035A3">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https://doi.org/10.2989/16085914.2017.1405788.</w:t>
            </w:r>
          </w:p>
        </w:tc>
      </w:tr>
    </w:tbl>
    <w:p w14:paraId="05EF1366"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738A5D67" w14:textId="77777777" w:rsidTr="002E2C37">
        <w:tc>
          <w:tcPr>
            <w:tcW w:w="9016" w:type="dxa"/>
            <w:gridSpan w:val="2"/>
            <w:shd w:val="clear" w:color="auto" w:fill="F2F2F2" w:themeFill="background1" w:themeFillShade="F2"/>
          </w:tcPr>
          <w:p w14:paraId="3FC7EAE0"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LIK3 Habitat suitability</w:t>
            </w:r>
          </w:p>
        </w:tc>
      </w:tr>
      <w:tr w:rsidR="002D7080" w:rsidRPr="004D1E6F" w14:paraId="1DA61AC4" w14:textId="77777777" w:rsidTr="002E2C37">
        <w:tc>
          <w:tcPr>
            <w:tcW w:w="5524" w:type="dxa"/>
          </w:tcPr>
          <w:p w14:paraId="1E2E23F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Probable (p = 1)</w:t>
            </w:r>
          </w:p>
        </w:tc>
        <w:tc>
          <w:tcPr>
            <w:tcW w:w="3492" w:type="dxa"/>
          </w:tcPr>
          <w:p w14:paraId="6B25A13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06225F9D" w14:textId="77777777" w:rsidTr="002E2C37">
        <w:tc>
          <w:tcPr>
            <w:tcW w:w="9016" w:type="dxa"/>
            <w:gridSpan w:val="2"/>
          </w:tcPr>
          <w:p w14:paraId="085D80C9" w14:textId="1C8B623B"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sz w:val="20"/>
                <w:szCs w:val="20"/>
                <w:lang w:eastAsia="en-ZA"/>
              </w:rPr>
              <w:t xml:space="preserve"> occurs in a wide range of habitats and is known to have a high tolerance to salinity (15000ppm), low oxygen conditions (1ppm) and poor water quality (Beatty 2005). </w:t>
            </w:r>
            <w:r w:rsidRPr="004D1E6F">
              <w:rPr>
                <w:rFonts w:ascii="Times New Roman" w:eastAsia="Times New Roman" w:hAnsi="Times New Roman" w:cs="Times New Roman"/>
                <w:i/>
                <w:iCs/>
                <w:sz w:val="20"/>
                <w:szCs w:val="20"/>
                <w:lang w:eastAsia="en-ZA"/>
              </w:rPr>
              <w:t>Cherax destructor</w:t>
            </w:r>
            <w:r w:rsidRPr="004D1E6F">
              <w:rPr>
                <w:rFonts w:ascii="Times New Roman" w:eastAsia="Times New Roman" w:hAnsi="Times New Roman" w:cs="Times New Roman"/>
                <w:sz w:val="20"/>
                <w:szCs w:val="20"/>
                <w:lang w:eastAsia="en-ZA"/>
              </w:rPr>
              <w:t xml:space="preserve"> occurs in desert mound springs, alpine streams, subtropical creeks, rivers, ephemeral lakes, swamps, farms dams, and irrigation canals (</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sz w:val="20"/>
                <w:szCs w:val="20"/>
                <w:lang w:eastAsia="en-ZA"/>
              </w:rPr>
              <w:t xml:space="preserve"> is a burrowing species that can excavate shafts that are 0.2–5 m deep, which are often used as ‘refugia’ from desiccation in the dry season (Beatty et al. 2005; Kouba et al. 2016; Withnall 2000). </w:t>
            </w:r>
            <w:r w:rsidRPr="004D1E6F">
              <w:rPr>
                <w:rStyle w:val="cf01"/>
                <w:rFonts w:ascii="Times New Roman" w:hAnsi="Times New Roman" w:cs="Times New Roman"/>
                <w:sz w:val="20"/>
                <w:szCs w:val="20"/>
              </w:rPr>
              <w:t>Suitable habitat is therefore widely available in South Africa (Nunes et al. 2017).</w:t>
            </w:r>
          </w:p>
        </w:tc>
      </w:tr>
      <w:tr w:rsidR="002D7080" w:rsidRPr="004D1E6F" w14:paraId="34FD0C05" w14:textId="77777777" w:rsidTr="002E2C37">
        <w:tc>
          <w:tcPr>
            <w:tcW w:w="9016" w:type="dxa"/>
            <w:gridSpan w:val="2"/>
          </w:tcPr>
          <w:p w14:paraId="6FBAAD2D"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67927874" w14:textId="77777777" w:rsidR="002D7080" w:rsidRPr="004D1E6F" w:rsidRDefault="002D7080" w:rsidP="003035A3">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Beatty, S., 2005, ‘Translocations of freshwater crayfish: contributions from life histories, trophic relations and diseases of three species in Western Australia’, Doctoral dissertation, Murdoch University, Australia.</w:t>
            </w:r>
          </w:p>
          <w:p w14:paraId="7923E390" w14:textId="16BE287D" w:rsidR="002D7080" w:rsidRPr="004D1E6F" w:rsidRDefault="008A0BC6" w:rsidP="003035A3">
            <w:pPr>
              <w:ind w:left="720" w:hanging="720"/>
              <w:contextualSpacing/>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De Moor</w:t>
            </w:r>
            <w:r w:rsidR="002D7080" w:rsidRPr="004D1E6F">
              <w:rPr>
                <w:rFonts w:ascii="Times New Roman" w:eastAsia="Times New Roman" w:hAnsi="Times New Roman" w:cs="Times New Roman"/>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sz w:val="20"/>
                <w:szCs w:val="20"/>
                <w:lang w:eastAsia="en-ZA"/>
              </w:rPr>
              <w:t>African Journal of Aquatic Science</w:t>
            </w:r>
            <w:r w:rsidR="002D7080" w:rsidRPr="004D1E6F">
              <w:rPr>
                <w:rFonts w:ascii="Times New Roman" w:eastAsia="Times New Roman" w:hAnsi="Times New Roman" w:cs="Times New Roman"/>
                <w:sz w:val="20"/>
                <w:szCs w:val="20"/>
                <w:lang w:eastAsia="en-ZA"/>
              </w:rPr>
              <w:t xml:space="preserve"> 27, 125–139. </w:t>
            </w:r>
            <w:hyperlink r:id="rId117" w:history="1">
              <w:r w:rsidR="003035A3" w:rsidRPr="003035A3">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sz w:val="20"/>
                <w:szCs w:val="20"/>
                <w:lang w:eastAsia="en-ZA"/>
              </w:rPr>
              <w:t>.</w:t>
            </w:r>
          </w:p>
          <w:p w14:paraId="70DDFAF4" w14:textId="77777777" w:rsidR="002D7080" w:rsidRPr="004D1E6F" w:rsidRDefault="002D7080" w:rsidP="003035A3">
            <w:pPr>
              <w:ind w:left="720" w:hanging="720"/>
              <w:contextualSpacing/>
              <w:jc w:val="both"/>
              <w:rPr>
                <w:rStyle w:val="cf01"/>
                <w:rFonts w:ascii="Times New Roman" w:hAnsi="Times New Roman" w:cs="Times New Roman"/>
                <w:sz w:val="20"/>
                <w:szCs w:val="20"/>
              </w:rPr>
            </w:pPr>
            <w:r w:rsidRPr="004D1E6F">
              <w:rPr>
                <w:rStyle w:val="cf01"/>
                <w:rFonts w:ascii="Times New Roman" w:hAnsi="Times New Roman" w:cs="Times New Roman"/>
                <w:sz w:val="20"/>
                <w:szCs w:val="20"/>
              </w:rPr>
              <w:t xml:space="preserve">Kouba, A., Tíkal, J., Císař, P., Veselý, L., Fořt, M., Příborský, J., et al., 2016, ‘The significance of droughts for hyporheic dwellers: evidence from freshwater crayfish’, </w:t>
            </w:r>
            <w:r w:rsidRPr="004D1E6F">
              <w:rPr>
                <w:rStyle w:val="cf01"/>
                <w:rFonts w:ascii="Times New Roman" w:hAnsi="Times New Roman" w:cs="Times New Roman"/>
                <w:i/>
                <w:iCs/>
                <w:sz w:val="20"/>
                <w:szCs w:val="20"/>
              </w:rPr>
              <w:t>Scientific reports</w:t>
            </w:r>
            <w:r w:rsidRPr="004D1E6F">
              <w:rPr>
                <w:rStyle w:val="cf01"/>
                <w:rFonts w:ascii="Times New Roman" w:hAnsi="Times New Roman" w:cs="Times New Roman"/>
                <w:sz w:val="20"/>
                <w:szCs w:val="20"/>
              </w:rPr>
              <w:t xml:space="preserve"> 6(1), 26569. https://doi.org/10.1038/srep26569.</w:t>
            </w:r>
          </w:p>
          <w:p w14:paraId="0EF1555C" w14:textId="3E131D10" w:rsidR="002D7080" w:rsidRPr="004D1E6F" w:rsidRDefault="002D7080" w:rsidP="003035A3">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w:t>
            </w:r>
            <w:hyperlink r:id="rId118" w:history="1">
              <w:r w:rsidR="003035A3" w:rsidRPr="003035A3">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sz w:val="20"/>
                <w:szCs w:val="20"/>
                <w:lang w:eastAsia="en-ZA"/>
              </w:rPr>
              <w:t>.</w:t>
            </w:r>
          </w:p>
          <w:p w14:paraId="5B64617E" w14:textId="77777777" w:rsidR="002D7080" w:rsidRPr="004D1E6F" w:rsidRDefault="002D7080" w:rsidP="003035A3">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Withnall, F., 2000, ‘Biology of yabbies (</w:t>
            </w:r>
            <w:r w:rsidRPr="004D1E6F">
              <w:rPr>
                <w:rFonts w:ascii="Times New Roman" w:eastAsia="Times New Roman" w:hAnsi="Times New Roman" w:cs="Times New Roman"/>
                <w:i/>
                <w:iCs/>
                <w:sz w:val="20"/>
                <w:szCs w:val="20"/>
                <w:lang w:eastAsia="en-ZA"/>
              </w:rPr>
              <w:t>Cherax destructor</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Aquaculture notes of the department of Natural Resources and Environment</w:t>
            </w:r>
            <w:r w:rsidRPr="004D1E6F">
              <w:rPr>
                <w:rFonts w:ascii="Times New Roman" w:eastAsia="Times New Roman" w:hAnsi="Times New Roman" w:cs="Times New Roman"/>
                <w:sz w:val="20"/>
                <w:szCs w:val="20"/>
                <w:lang w:eastAsia="en-ZA"/>
              </w:rPr>
              <w:t>, Victoria, Australia.</w:t>
            </w:r>
          </w:p>
        </w:tc>
      </w:tr>
    </w:tbl>
    <w:p w14:paraId="6AC2EF36"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535FCAD3"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79BC5671" w14:textId="77777777" w:rsidTr="002E2C37">
        <w:tc>
          <w:tcPr>
            <w:tcW w:w="9016" w:type="dxa"/>
            <w:gridSpan w:val="2"/>
            <w:shd w:val="clear" w:color="auto" w:fill="F2F2F2" w:themeFill="background1" w:themeFillShade="F2"/>
          </w:tcPr>
          <w:p w14:paraId="1CF4E32F"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LIK4 Climate suitability</w:t>
            </w:r>
          </w:p>
        </w:tc>
      </w:tr>
      <w:tr w:rsidR="002D7080" w:rsidRPr="004D1E6F" w14:paraId="27C7D83E" w14:textId="77777777" w:rsidTr="002E2C37">
        <w:tc>
          <w:tcPr>
            <w:tcW w:w="5524" w:type="dxa"/>
          </w:tcPr>
          <w:p w14:paraId="494D1B1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Probable (p = 1)</w:t>
            </w:r>
          </w:p>
        </w:tc>
        <w:tc>
          <w:tcPr>
            <w:tcW w:w="3492" w:type="dxa"/>
          </w:tcPr>
          <w:p w14:paraId="2E1647A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256C20AC" w14:textId="77777777" w:rsidTr="002E2C37">
        <w:trPr>
          <w:trHeight w:val="70"/>
        </w:trPr>
        <w:tc>
          <w:tcPr>
            <w:tcW w:w="9016" w:type="dxa"/>
            <w:gridSpan w:val="2"/>
          </w:tcPr>
          <w:p w14:paraId="38BF7EB1" w14:textId="36337A9B"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sz w:val="20"/>
                <w:szCs w:val="20"/>
                <w:lang w:eastAsia="en-ZA"/>
              </w:rPr>
              <w:t xml:space="preserve"> has a wide thermal tolerance range (1-35°C), with an optimal range of 22-28°C with growth ceasing at &lt;15 °C and &gt;34°C (McCormack 2014). A substantial part of South Africa was projected to be climatically suitable for </w:t>
            </w:r>
            <w:r w:rsidRPr="004D1E6F">
              <w:rPr>
                <w:rFonts w:ascii="Times New Roman" w:eastAsia="Times New Roman" w:hAnsi="Times New Roman" w:cs="Times New Roman"/>
                <w:i/>
                <w:sz w:val="20"/>
                <w:szCs w:val="20"/>
                <w:lang w:eastAsia="en-ZA"/>
              </w:rPr>
              <w:t xml:space="preserve">C. destructor </w:t>
            </w:r>
            <w:r w:rsidRPr="004D1E6F">
              <w:rPr>
                <w:rFonts w:ascii="Times New Roman" w:eastAsia="Times New Roman" w:hAnsi="Times New Roman" w:cs="Times New Roman"/>
                <w:iCs/>
                <w:sz w:val="20"/>
                <w:szCs w:val="20"/>
                <w:lang w:eastAsia="en-ZA"/>
              </w:rPr>
              <w:t xml:space="preserve">(&gt;20% of the country) </w:t>
            </w:r>
            <w:r w:rsidRPr="004D1E6F">
              <w:rPr>
                <w:rFonts w:ascii="Times New Roman" w:eastAsia="Times New Roman" w:hAnsi="Times New Roman" w:cs="Times New Roman"/>
                <w:sz w:val="20"/>
                <w:szCs w:val="20"/>
                <w:lang w:eastAsia="en-ZA"/>
              </w:rPr>
              <w:t>including ecoregions in the Soutpansberg, North Eastern Highlands, Eastern Bankenveld, Northern Escarpment Mountains, the northern half of the North Eastern Uplands, South Eastern Uplands and sections of the Southern Fold Mountains and Southern Coastal Belt (</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 Nunes et al. 2017). </w:t>
            </w:r>
          </w:p>
        </w:tc>
      </w:tr>
      <w:tr w:rsidR="002D7080" w:rsidRPr="004D1E6F" w14:paraId="59CCA029" w14:textId="77777777" w:rsidTr="002E2C37">
        <w:trPr>
          <w:cantSplit/>
        </w:trPr>
        <w:tc>
          <w:tcPr>
            <w:tcW w:w="9016" w:type="dxa"/>
            <w:gridSpan w:val="2"/>
          </w:tcPr>
          <w:p w14:paraId="402E2E31"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References: </w:t>
            </w:r>
          </w:p>
          <w:p w14:paraId="46AEE11F" w14:textId="63F3BBE5" w:rsidR="002D7080" w:rsidRPr="004D1E6F" w:rsidRDefault="008A0BC6" w:rsidP="003035A3">
            <w:pPr>
              <w:ind w:left="720" w:hanging="720"/>
              <w:contextualSpacing/>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De Moor</w:t>
            </w:r>
            <w:r w:rsidR="002D7080" w:rsidRPr="004D1E6F">
              <w:rPr>
                <w:rFonts w:ascii="Times New Roman" w:eastAsia="Times New Roman" w:hAnsi="Times New Roman" w:cs="Times New Roman"/>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sz w:val="20"/>
                <w:szCs w:val="20"/>
                <w:lang w:eastAsia="en-ZA"/>
              </w:rPr>
              <w:t>African Journal of Aquatic Science</w:t>
            </w:r>
            <w:r w:rsidR="002D7080" w:rsidRPr="004D1E6F">
              <w:rPr>
                <w:rFonts w:ascii="Times New Roman" w:eastAsia="Times New Roman" w:hAnsi="Times New Roman" w:cs="Times New Roman"/>
                <w:sz w:val="20"/>
                <w:szCs w:val="20"/>
                <w:lang w:eastAsia="en-ZA"/>
              </w:rPr>
              <w:t xml:space="preserve"> 27, 125–139</w:t>
            </w:r>
            <w:r w:rsidR="003035A3">
              <w:rPr>
                <w:rFonts w:ascii="Times New Roman" w:eastAsia="Times New Roman" w:hAnsi="Times New Roman" w:cs="Times New Roman"/>
                <w:sz w:val="20"/>
                <w:szCs w:val="20"/>
                <w:lang w:eastAsia="en-ZA"/>
              </w:rPr>
              <w:t xml:space="preserve">, </w:t>
            </w:r>
            <w:r w:rsidR="003035A3" w:rsidRPr="003035A3">
              <w:rPr>
                <w:rFonts w:ascii="Times New Roman" w:eastAsia="Times New Roman" w:hAnsi="Times New Roman" w:cs="Times New Roman"/>
                <w:sz w:val="20"/>
                <w:szCs w:val="20"/>
                <w:lang w:eastAsia="en-ZA"/>
              </w:rPr>
              <w:t xml:space="preserve"> </w:t>
            </w:r>
            <w:hyperlink r:id="rId119" w:history="1">
              <w:r w:rsidR="003035A3" w:rsidRPr="003035A3">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sz w:val="20"/>
                <w:szCs w:val="20"/>
                <w:lang w:eastAsia="en-ZA"/>
              </w:rPr>
              <w:t>.</w:t>
            </w:r>
          </w:p>
          <w:p w14:paraId="3DFF3B80" w14:textId="59778333" w:rsidR="002D7080" w:rsidRPr="004D1E6F" w:rsidRDefault="002D7080" w:rsidP="003035A3">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McCormack, R.B., 2014,’</w:t>
            </w:r>
            <w:r w:rsidRPr="004D1E6F">
              <w:rPr>
                <w:rFonts w:ascii="Times New Roman" w:hAnsi="Times New Roman" w:cs="Times New Roman"/>
                <w:color w:val="000000"/>
                <w:sz w:val="20"/>
                <w:szCs w:val="20"/>
              </w:rPr>
              <w:t xml:space="preserve"> </w:t>
            </w:r>
            <w:r w:rsidRPr="004D1E6F">
              <w:rPr>
                <w:rFonts w:ascii="Times New Roman" w:eastAsia="Times New Roman" w:hAnsi="Times New Roman" w:cs="Times New Roman"/>
                <w:bCs/>
                <w:sz w:val="20"/>
                <w:szCs w:val="20"/>
                <w:lang w:eastAsia="en-ZA"/>
              </w:rPr>
              <w:t xml:space="preserve">New records and review of the translocation of the yabby </w:t>
            </w:r>
            <w:r w:rsidRPr="004D1E6F">
              <w:rPr>
                <w:rFonts w:ascii="Times New Roman" w:eastAsia="Times New Roman" w:hAnsi="Times New Roman" w:cs="Times New Roman"/>
                <w:bCs/>
                <w:i/>
                <w:iCs/>
                <w:sz w:val="20"/>
                <w:szCs w:val="20"/>
                <w:lang w:eastAsia="en-ZA"/>
              </w:rPr>
              <w:t xml:space="preserve">Cherax destructor </w:t>
            </w:r>
            <w:r w:rsidRPr="004D1E6F">
              <w:rPr>
                <w:rFonts w:ascii="Times New Roman" w:eastAsia="Times New Roman" w:hAnsi="Times New Roman" w:cs="Times New Roman"/>
                <w:bCs/>
                <w:sz w:val="20"/>
                <w:szCs w:val="20"/>
                <w:lang w:eastAsia="en-ZA"/>
              </w:rPr>
              <w:t xml:space="preserve">into eastern drainages of New South Wales, Australia’, </w:t>
            </w:r>
            <w:r w:rsidRPr="004D1E6F">
              <w:rPr>
                <w:rFonts w:ascii="Times New Roman" w:eastAsia="Times New Roman" w:hAnsi="Times New Roman" w:cs="Times New Roman"/>
                <w:bCs/>
                <w:i/>
                <w:iCs/>
                <w:sz w:val="20"/>
                <w:szCs w:val="20"/>
                <w:lang w:eastAsia="en-ZA"/>
              </w:rPr>
              <w:t>Australian Zoologist</w:t>
            </w:r>
            <w:r w:rsidRPr="004D1E6F">
              <w:rPr>
                <w:rFonts w:ascii="Times New Roman" w:eastAsia="Times New Roman" w:hAnsi="Times New Roman" w:cs="Times New Roman"/>
                <w:bCs/>
                <w:sz w:val="20"/>
                <w:szCs w:val="20"/>
                <w:lang w:eastAsia="en-ZA"/>
              </w:rPr>
              <w:t xml:space="preserve"> 34, 85–94. </w:t>
            </w:r>
            <w:r w:rsidR="003035A3" w:rsidRPr="003035A3">
              <w:rPr>
                <w:rFonts w:ascii="Times New Roman" w:eastAsia="Times New Roman" w:hAnsi="Times New Roman" w:cs="Times New Roman"/>
                <w:bCs/>
                <w:sz w:val="20"/>
                <w:szCs w:val="20"/>
                <w:lang w:eastAsia="en-ZA"/>
              </w:rPr>
              <w:t>https://doi.org/10.7882/AZ.2014.006</w:t>
            </w:r>
            <w:r w:rsidRPr="004D1E6F">
              <w:rPr>
                <w:rFonts w:ascii="Times New Roman" w:eastAsia="Times New Roman" w:hAnsi="Times New Roman" w:cs="Times New Roman"/>
                <w:bCs/>
                <w:sz w:val="20"/>
                <w:szCs w:val="20"/>
                <w:lang w:eastAsia="en-ZA"/>
              </w:rPr>
              <w:t>.</w:t>
            </w:r>
          </w:p>
          <w:p w14:paraId="039A8428" w14:textId="08A3C74A" w:rsidR="002D7080" w:rsidRPr="004D1E6F" w:rsidRDefault="002D7080" w:rsidP="003035A3">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w:t>
            </w:r>
            <w:hyperlink r:id="rId120" w:history="1">
              <w:r w:rsidR="003035A3" w:rsidRPr="003035A3">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sz w:val="20"/>
                <w:szCs w:val="20"/>
                <w:lang w:eastAsia="en-ZA"/>
              </w:rPr>
              <w:t>.</w:t>
            </w:r>
          </w:p>
        </w:tc>
      </w:tr>
    </w:tbl>
    <w:p w14:paraId="1A29367D"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634399D2" w14:textId="77777777" w:rsidTr="002E2C37">
        <w:tc>
          <w:tcPr>
            <w:tcW w:w="9016" w:type="dxa"/>
            <w:gridSpan w:val="2"/>
            <w:shd w:val="clear" w:color="auto" w:fill="F2F2F2" w:themeFill="background1" w:themeFillShade="F2"/>
          </w:tcPr>
          <w:p w14:paraId="3A1C1AF9"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LIK5 Unaided secondary (dispersal) pathways</w:t>
            </w:r>
          </w:p>
        </w:tc>
      </w:tr>
      <w:tr w:rsidR="002D7080" w:rsidRPr="004D1E6F" w14:paraId="0E685266" w14:textId="77777777" w:rsidTr="002E2C37">
        <w:tc>
          <w:tcPr>
            <w:tcW w:w="5524" w:type="dxa"/>
          </w:tcPr>
          <w:p w14:paraId="3371058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Fairly probable (p = 0.5)</w:t>
            </w:r>
          </w:p>
        </w:tc>
        <w:tc>
          <w:tcPr>
            <w:tcW w:w="3492" w:type="dxa"/>
          </w:tcPr>
          <w:p w14:paraId="11EEBA2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1C34D774" w14:textId="77777777" w:rsidTr="002E2C37">
        <w:trPr>
          <w:trHeight w:val="70"/>
        </w:trPr>
        <w:tc>
          <w:tcPr>
            <w:tcW w:w="9016" w:type="dxa"/>
            <w:gridSpan w:val="2"/>
          </w:tcPr>
          <w:p w14:paraId="532DB99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iCs/>
                <w:sz w:val="20"/>
                <w:szCs w:val="20"/>
                <w:lang w:eastAsia="en-ZA"/>
              </w:rPr>
              <w:t>, like other crayfish species,</w:t>
            </w:r>
            <w:r w:rsidRPr="004D1E6F">
              <w:rPr>
                <w:rFonts w:ascii="Times New Roman" w:eastAsia="Times New Roman" w:hAnsi="Times New Roman" w:cs="Times New Roman"/>
                <w:sz w:val="20"/>
                <w:szCs w:val="20"/>
                <w:lang w:eastAsia="en-ZA"/>
              </w:rPr>
              <w:t xml:space="preserve"> is highly mobile and can migrate overland (Beatty 2005; Withnall 2000), and is thus capable of unaided secondary dispersal.</w:t>
            </w:r>
          </w:p>
        </w:tc>
      </w:tr>
      <w:tr w:rsidR="002D7080" w:rsidRPr="004D1E6F" w14:paraId="07DD6A1A" w14:textId="77777777" w:rsidTr="002E2C37">
        <w:tc>
          <w:tcPr>
            <w:tcW w:w="9016" w:type="dxa"/>
            <w:gridSpan w:val="2"/>
          </w:tcPr>
          <w:p w14:paraId="323A469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00B2292F" w14:textId="77777777" w:rsidR="002D7080" w:rsidRPr="004D1E6F" w:rsidRDefault="002D7080" w:rsidP="003035A3">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Beatty, S., 2005, ‘Translocations of freshwater crayfish: contributions from life histories, trophic relations and diseases of three species in Western Australia’, Doctoral dissertation, Murdoch University, Australia.</w:t>
            </w:r>
          </w:p>
          <w:p w14:paraId="4DE290E4" w14:textId="77777777" w:rsidR="002D7080" w:rsidRPr="004D1E6F" w:rsidRDefault="002D7080" w:rsidP="003035A3">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Withnall,</w:t>
            </w:r>
            <w:r w:rsidRPr="004D1E6F">
              <w:rPr>
                <w:rFonts w:ascii="Times New Roman" w:eastAsia="Times New Roman" w:hAnsi="Times New Roman" w:cs="Times New Roman"/>
                <w:b/>
                <w:sz w:val="20"/>
                <w:szCs w:val="20"/>
                <w:lang w:eastAsia="en-ZA"/>
              </w:rPr>
              <w:t xml:space="preserve"> </w:t>
            </w:r>
            <w:r w:rsidRPr="004D1E6F">
              <w:rPr>
                <w:rFonts w:ascii="Times New Roman" w:eastAsia="Times New Roman" w:hAnsi="Times New Roman" w:cs="Times New Roman"/>
                <w:sz w:val="20"/>
                <w:szCs w:val="20"/>
                <w:lang w:eastAsia="en-ZA"/>
              </w:rPr>
              <w:t>F., 2000, ‘Biology of yabbies (</w:t>
            </w:r>
            <w:r w:rsidRPr="004D1E6F">
              <w:rPr>
                <w:rFonts w:ascii="Times New Roman" w:eastAsia="Times New Roman" w:hAnsi="Times New Roman" w:cs="Times New Roman"/>
                <w:i/>
                <w:iCs/>
                <w:sz w:val="20"/>
                <w:szCs w:val="20"/>
                <w:lang w:eastAsia="en-ZA"/>
              </w:rPr>
              <w:t>Cherax destructor</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Aquaculture notes of the department of Natural Resources and Environment</w:t>
            </w:r>
            <w:r w:rsidRPr="004D1E6F">
              <w:rPr>
                <w:rFonts w:ascii="Times New Roman" w:eastAsia="Times New Roman" w:hAnsi="Times New Roman" w:cs="Times New Roman"/>
                <w:sz w:val="20"/>
                <w:szCs w:val="20"/>
                <w:lang w:eastAsia="en-ZA"/>
              </w:rPr>
              <w:t>, State of Victoria, Australia.</w:t>
            </w:r>
          </w:p>
        </w:tc>
      </w:tr>
    </w:tbl>
    <w:p w14:paraId="543C1C45"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4D1E6F" w14:paraId="4BED5E34" w14:textId="77777777" w:rsidTr="002E2C37">
        <w:tc>
          <w:tcPr>
            <w:tcW w:w="9016" w:type="dxa"/>
            <w:gridSpan w:val="2"/>
            <w:shd w:val="clear" w:color="auto" w:fill="F2F2F2" w:themeFill="background1" w:themeFillShade="F2"/>
          </w:tcPr>
          <w:p w14:paraId="21155F15"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LIK6 Human aided secondary (dispersal) pathways</w:t>
            </w:r>
          </w:p>
        </w:tc>
      </w:tr>
      <w:tr w:rsidR="002D7080" w:rsidRPr="004D1E6F" w14:paraId="4C5EE5E1" w14:textId="77777777" w:rsidTr="002E2C37">
        <w:tc>
          <w:tcPr>
            <w:tcW w:w="5524" w:type="dxa"/>
          </w:tcPr>
          <w:p w14:paraId="6C43C5D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Fairly probable (p = 0.5)</w:t>
            </w:r>
          </w:p>
        </w:tc>
        <w:tc>
          <w:tcPr>
            <w:tcW w:w="3492" w:type="dxa"/>
          </w:tcPr>
          <w:p w14:paraId="7F0A620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4690A924" w14:textId="77777777" w:rsidTr="002E2C37">
        <w:tc>
          <w:tcPr>
            <w:tcW w:w="9016" w:type="dxa"/>
            <w:gridSpan w:val="2"/>
          </w:tcPr>
          <w:p w14:paraId="6FA5CC0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sz w:val="20"/>
                <w:szCs w:val="20"/>
                <w:lang w:eastAsia="en-ZA"/>
              </w:rPr>
              <w:t xml:space="preserve">Cherax destructor </w:t>
            </w:r>
            <w:r w:rsidRPr="004D1E6F">
              <w:rPr>
                <w:rFonts w:ascii="Times New Roman" w:eastAsia="Times New Roman" w:hAnsi="Times New Roman" w:cs="Times New Roman"/>
                <w:sz w:val="20"/>
                <w:szCs w:val="20"/>
                <w:lang w:eastAsia="en-ZA"/>
              </w:rPr>
              <w:t xml:space="preserve">is a popular species in the global pet trade and could be intentionally introduced into the wild in new areas as unwanted pets (Chucholl 2013; Faulkes 2015; Nunes et al 2017). </w:t>
            </w:r>
          </w:p>
        </w:tc>
      </w:tr>
      <w:tr w:rsidR="002D7080" w:rsidRPr="004D1E6F" w14:paraId="5C38BC08" w14:textId="77777777" w:rsidTr="002E2C37">
        <w:tc>
          <w:tcPr>
            <w:tcW w:w="9016" w:type="dxa"/>
            <w:gridSpan w:val="2"/>
          </w:tcPr>
          <w:p w14:paraId="36B5B54D"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5D126C35" w14:textId="77777777" w:rsidR="003035A3" w:rsidRPr="003035A3" w:rsidRDefault="003035A3" w:rsidP="003035A3">
            <w:pPr>
              <w:ind w:left="720" w:hanging="720"/>
              <w:contextualSpacing/>
              <w:jc w:val="both"/>
              <w:rPr>
                <w:rFonts w:ascii="Times New Roman" w:eastAsia="Times New Roman" w:hAnsi="Times New Roman" w:cs="Times New Roman"/>
                <w:sz w:val="20"/>
                <w:szCs w:val="20"/>
                <w:lang w:eastAsia="en-ZA"/>
              </w:rPr>
            </w:pPr>
            <w:r w:rsidRPr="003035A3">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3035A3">
              <w:rPr>
                <w:rFonts w:ascii="Times New Roman" w:eastAsia="Times New Roman" w:hAnsi="Times New Roman" w:cs="Times New Roman"/>
                <w:i/>
                <w:iCs/>
                <w:sz w:val="20"/>
                <w:szCs w:val="20"/>
                <w:lang w:eastAsia="en-ZA"/>
              </w:rPr>
              <w:t>Biological Invasions</w:t>
            </w:r>
            <w:r w:rsidRPr="003035A3">
              <w:rPr>
                <w:rFonts w:ascii="Times New Roman" w:eastAsia="Times New Roman" w:hAnsi="Times New Roman" w:cs="Times New Roman"/>
                <w:sz w:val="20"/>
                <w:szCs w:val="20"/>
                <w:lang w:eastAsia="en-ZA"/>
              </w:rPr>
              <w:t xml:space="preserve"> </w:t>
            </w:r>
            <w:r w:rsidRPr="003035A3">
              <w:rPr>
                <w:rFonts w:ascii="Times New Roman" w:eastAsia="Times New Roman" w:hAnsi="Times New Roman" w:cs="Times New Roman"/>
                <w:iCs/>
                <w:sz w:val="20"/>
                <w:szCs w:val="20"/>
                <w:lang w:eastAsia="en-ZA"/>
              </w:rPr>
              <w:t>15</w:t>
            </w:r>
            <w:r w:rsidRPr="003035A3">
              <w:rPr>
                <w:rFonts w:ascii="Times New Roman" w:eastAsia="Times New Roman" w:hAnsi="Times New Roman" w:cs="Times New Roman"/>
                <w:sz w:val="20"/>
                <w:szCs w:val="20"/>
                <w:lang w:eastAsia="en-ZA"/>
              </w:rPr>
              <w:t>, 125–141. https://doi.org/10.1007/s10530-012-0273-2</w:t>
            </w:r>
          </w:p>
          <w:p w14:paraId="379BB605" w14:textId="253FFB15" w:rsidR="002D7080" w:rsidRPr="004D1E6F" w:rsidRDefault="003035A3" w:rsidP="003035A3">
            <w:pPr>
              <w:ind w:left="720" w:hanging="720"/>
              <w:contextualSpacing/>
              <w:jc w:val="both"/>
              <w:rPr>
                <w:rFonts w:ascii="Times New Roman" w:eastAsia="Times New Roman" w:hAnsi="Times New Roman" w:cs="Times New Roman"/>
                <w:sz w:val="20"/>
                <w:szCs w:val="20"/>
                <w:lang w:eastAsia="en-ZA"/>
              </w:rPr>
            </w:pPr>
            <w:r w:rsidRPr="003035A3">
              <w:rPr>
                <w:rFonts w:ascii="Times New Roman" w:eastAsia="Times New Roman" w:hAnsi="Times New Roman" w:cs="Times New Roman"/>
                <w:sz w:val="20"/>
                <w:szCs w:val="20"/>
                <w:lang w:eastAsia="en-ZA"/>
              </w:rPr>
              <w:t xml:space="preserve">Faulkes, Z., 2015, ‘The global trade in crayfish as pets’, </w:t>
            </w:r>
            <w:r w:rsidRPr="003035A3">
              <w:rPr>
                <w:rFonts w:ascii="Times New Roman" w:eastAsia="Times New Roman" w:hAnsi="Times New Roman" w:cs="Times New Roman"/>
                <w:i/>
                <w:iCs/>
                <w:sz w:val="20"/>
                <w:szCs w:val="20"/>
                <w:lang w:eastAsia="en-ZA"/>
              </w:rPr>
              <w:t xml:space="preserve">Crustacean Research </w:t>
            </w:r>
            <w:r w:rsidRPr="003035A3">
              <w:rPr>
                <w:rFonts w:ascii="Times New Roman" w:eastAsia="Times New Roman" w:hAnsi="Times New Roman" w:cs="Times New Roman"/>
                <w:iCs/>
                <w:sz w:val="20"/>
                <w:szCs w:val="20"/>
                <w:lang w:eastAsia="en-ZA"/>
              </w:rPr>
              <w:t>44</w:t>
            </w:r>
            <w:r w:rsidRPr="003035A3">
              <w:rPr>
                <w:rFonts w:ascii="Times New Roman" w:eastAsia="Times New Roman" w:hAnsi="Times New Roman" w:cs="Times New Roman"/>
                <w:sz w:val="20"/>
                <w:szCs w:val="20"/>
                <w:lang w:eastAsia="en-ZA"/>
              </w:rPr>
              <w:t xml:space="preserve">, 75–92. </w:t>
            </w:r>
            <w:r w:rsidR="00B904C1" w:rsidRPr="00B904C1">
              <w:rPr>
                <w:rFonts w:ascii="Times New Roman" w:eastAsia="Times New Roman" w:hAnsi="Times New Roman" w:cs="Times New Roman"/>
                <w:sz w:val="20"/>
                <w:szCs w:val="20"/>
                <w:lang w:eastAsia="en-ZA"/>
              </w:rPr>
              <w:t>https://doi.org/10.18353/crustacea.44.0_75</w:t>
            </w:r>
          </w:p>
          <w:p w14:paraId="6BA2B64E" w14:textId="04442AC3" w:rsidR="002D7080" w:rsidRPr="004D1E6F" w:rsidRDefault="002D7080" w:rsidP="003035A3">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w:t>
            </w:r>
            <w:hyperlink r:id="rId121" w:history="1">
              <w:r w:rsidR="003035A3" w:rsidRPr="003035A3">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sz w:val="20"/>
                <w:szCs w:val="20"/>
                <w:lang w:eastAsia="en-ZA"/>
              </w:rPr>
              <w:t>.</w:t>
            </w:r>
          </w:p>
        </w:tc>
      </w:tr>
    </w:tbl>
    <w:p w14:paraId="079255C0"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13F06E3C"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09C1B237"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br w:type="page"/>
      </w:r>
    </w:p>
    <w:p w14:paraId="66DEA738"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3. Consequences</w:t>
      </w:r>
    </w:p>
    <w:p w14:paraId="06C1F4E0"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6535DCB8" w14:textId="77777777" w:rsidTr="002E2C37">
        <w:trPr>
          <w:trHeight w:val="343"/>
        </w:trPr>
        <w:tc>
          <w:tcPr>
            <w:tcW w:w="9016" w:type="dxa"/>
            <w:gridSpan w:val="2"/>
            <w:shd w:val="clear" w:color="auto" w:fill="F2F2F2" w:themeFill="background1" w:themeFillShade="F2"/>
          </w:tcPr>
          <w:p w14:paraId="59DBED92"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 Environmental impact</w:t>
            </w:r>
          </w:p>
        </w:tc>
      </w:tr>
      <w:tr w:rsidR="002D7080" w:rsidRPr="004D1E6F" w14:paraId="58D8D4A2" w14:textId="77777777" w:rsidTr="002E2C37">
        <w:tc>
          <w:tcPr>
            <w:tcW w:w="9016" w:type="dxa"/>
            <w:gridSpan w:val="2"/>
            <w:shd w:val="clear" w:color="auto" w:fill="F2F2F2" w:themeFill="background1" w:themeFillShade="F2"/>
          </w:tcPr>
          <w:p w14:paraId="5E616126"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CON1a: Competition</w:t>
            </w:r>
          </w:p>
        </w:tc>
      </w:tr>
      <w:tr w:rsidR="002D7080" w:rsidRPr="004D1E6F" w14:paraId="1ADB2F45" w14:textId="77777777" w:rsidTr="002E2C37">
        <w:tc>
          <w:tcPr>
            <w:tcW w:w="5949" w:type="dxa"/>
          </w:tcPr>
          <w:p w14:paraId="11621EE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C4915E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5676B2CA" w14:textId="77777777" w:rsidTr="002E2C37">
        <w:trPr>
          <w:trHeight w:val="70"/>
        </w:trPr>
        <w:tc>
          <w:tcPr>
            <w:tcW w:w="9016" w:type="dxa"/>
            <w:gridSpan w:val="2"/>
          </w:tcPr>
          <w:p w14:paraId="65B11B7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32EFA1A3" w14:textId="77777777" w:rsidTr="002E2C37">
        <w:trPr>
          <w:trHeight w:val="70"/>
        </w:trPr>
        <w:tc>
          <w:tcPr>
            <w:tcW w:w="9016" w:type="dxa"/>
            <w:gridSpan w:val="2"/>
          </w:tcPr>
          <w:p w14:paraId="22B5C913"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8511150" w14:textId="77777777" w:rsidTr="002E2C37">
        <w:tc>
          <w:tcPr>
            <w:tcW w:w="9016" w:type="dxa"/>
            <w:gridSpan w:val="2"/>
            <w:shd w:val="clear" w:color="auto" w:fill="F2F2F2" w:themeFill="background1" w:themeFillShade="F2"/>
          </w:tcPr>
          <w:p w14:paraId="2E18CBD9"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CON1b: Predation</w:t>
            </w:r>
          </w:p>
        </w:tc>
      </w:tr>
      <w:tr w:rsidR="002D7080" w:rsidRPr="004D1E6F" w14:paraId="43857E81" w14:textId="77777777" w:rsidTr="002E2C37">
        <w:tc>
          <w:tcPr>
            <w:tcW w:w="5949" w:type="dxa"/>
          </w:tcPr>
          <w:p w14:paraId="2911D67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2C5E94F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4F3D9DAD" w14:textId="77777777" w:rsidTr="002E2C37">
        <w:trPr>
          <w:trHeight w:val="70"/>
        </w:trPr>
        <w:tc>
          <w:tcPr>
            <w:tcW w:w="9016" w:type="dxa"/>
            <w:gridSpan w:val="2"/>
          </w:tcPr>
          <w:p w14:paraId="7352EC3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11A81C14" w14:textId="77777777" w:rsidTr="002E2C37">
        <w:trPr>
          <w:trHeight w:val="70"/>
        </w:trPr>
        <w:tc>
          <w:tcPr>
            <w:tcW w:w="9016" w:type="dxa"/>
            <w:gridSpan w:val="2"/>
          </w:tcPr>
          <w:p w14:paraId="09D6D4A3"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215D776C" w14:textId="77777777" w:rsidTr="002E2C37">
        <w:tc>
          <w:tcPr>
            <w:tcW w:w="9016" w:type="dxa"/>
            <w:gridSpan w:val="2"/>
            <w:shd w:val="clear" w:color="auto" w:fill="F2F2F2" w:themeFill="background1" w:themeFillShade="F2"/>
          </w:tcPr>
          <w:p w14:paraId="7949DAD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CON1c: Hybridisation</w:t>
            </w:r>
          </w:p>
        </w:tc>
      </w:tr>
      <w:tr w:rsidR="002D7080" w:rsidRPr="004D1E6F" w14:paraId="68E2AE68" w14:textId="77777777" w:rsidTr="002E2C37">
        <w:tc>
          <w:tcPr>
            <w:tcW w:w="5949" w:type="dxa"/>
          </w:tcPr>
          <w:p w14:paraId="19BB33E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3DC27A8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36C4CF82" w14:textId="77777777" w:rsidTr="002E2C37">
        <w:trPr>
          <w:trHeight w:val="70"/>
        </w:trPr>
        <w:tc>
          <w:tcPr>
            <w:tcW w:w="9016" w:type="dxa"/>
            <w:gridSpan w:val="2"/>
          </w:tcPr>
          <w:p w14:paraId="5B49BC2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7EC8FCBC" w14:textId="77777777" w:rsidTr="002E2C37">
        <w:trPr>
          <w:trHeight w:val="70"/>
        </w:trPr>
        <w:tc>
          <w:tcPr>
            <w:tcW w:w="9016" w:type="dxa"/>
            <w:gridSpan w:val="2"/>
          </w:tcPr>
          <w:p w14:paraId="37597ACE"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779B80C" w14:textId="77777777" w:rsidTr="002E2C37">
        <w:tc>
          <w:tcPr>
            <w:tcW w:w="9016" w:type="dxa"/>
            <w:gridSpan w:val="2"/>
            <w:shd w:val="clear" w:color="auto" w:fill="F2F2F2" w:themeFill="background1" w:themeFillShade="F2"/>
          </w:tcPr>
          <w:p w14:paraId="7F94B892"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CON1d: Transmission of disease</w:t>
            </w:r>
          </w:p>
        </w:tc>
      </w:tr>
      <w:tr w:rsidR="002D7080" w:rsidRPr="004D1E6F" w14:paraId="63E1B075" w14:textId="77777777" w:rsidTr="002E2C37">
        <w:tc>
          <w:tcPr>
            <w:tcW w:w="5949" w:type="dxa"/>
          </w:tcPr>
          <w:p w14:paraId="6396535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908062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5376A445" w14:textId="77777777" w:rsidTr="002E2C37">
        <w:trPr>
          <w:trHeight w:val="70"/>
        </w:trPr>
        <w:tc>
          <w:tcPr>
            <w:tcW w:w="9016" w:type="dxa"/>
            <w:gridSpan w:val="2"/>
          </w:tcPr>
          <w:p w14:paraId="643B569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5E3072E0" w14:textId="77777777" w:rsidTr="002E2C37">
        <w:trPr>
          <w:trHeight w:val="70"/>
        </w:trPr>
        <w:tc>
          <w:tcPr>
            <w:tcW w:w="9016" w:type="dxa"/>
            <w:gridSpan w:val="2"/>
          </w:tcPr>
          <w:p w14:paraId="0988BFBD"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2754B624" w14:textId="77777777" w:rsidTr="002E2C37">
        <w:tc>
          <w:tcPr>
            <w:tcW w:w="9016" w:type="dxa"/>
            <w:gridSpan w:val="2"/>
            <w:shd w:val="clear" w:color="auto" w:fill="F2F2F2" w:themeFill="background1" w:themeFillShade="F2"/>
          </w:tcPr>
          <w:p w14:paraId="03B3E494"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CON1e: Parasitism</w:t>
            </w:r>
          </w:p>
        </w:tc>
      </w:tr>
      <w:tr w:rsidR="002D7080" w:rsidRPr="004D1E6F" w14:paraId="3A1AF852" w14:textId="77777777" w:rsidTr="002E2C37">
        <w:tc>
          <w:tcPr>
            <w:tcW w:w="5949" w:type="dxa"/>
          </w:tcPr>
          <w:p w14:paraId="77DC5BA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5BB4973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3D16D42C" w14:textId="77777777" w:rsidTr="002E2C37">
        <w:trPr>
          <w:trHeight w:val="70"/>
        </w:trPr>
        <w:tc>
          <w:tcPr>
            <w:tcW w:w="9016" w:type="dxa"/>
            <w:gridSpan w:val="2"/>
          </w:tcPr>
          <w:p w14:paraId="37B5309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502E1FF0" w14:textId="77777777" w:rsidTr="002E2C37">
        <w:trPr>
          <w:trHeight w:val="70"/>
        </w:trPr>
        <w:tc>
          <w:tcPr>
            <w:tcW w:w="9016" w:type="dxa"/>
            <w:gridSpan w:val="2"/>
          </w:tcPr>
          <w:p w14:paraId="2FD66D5C"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5DA3F9CF" w14:textId="77777777" w:rsidTr="002E2C37">
        <w:tc>
          <w:tcPr>
            <w:tcW w:w="9016" w:type="dxa"/>
            <w:gridSpan w:val="2"/>
            <w:shd w:val="clear" w:color="auto" w:fill="F2F2F2" w:themeFill="background1" w:themeFillShade="F2"/>
          </w:tcPr>
          <w:p w14:paraId="148C18E6"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CON1f: Poisoning/toxicity</w:t>
            </w:r>
          </w:p>
        </w:tc>
      </w:tr>
      <w:tr w:rsidR="002D7080" w:rsidRPr="004D1E6F" w14:paraId="1DF6287A" w14:textId="77777777" w:rsidTr="002E2C37">
        <w:tc>
          <w:tcPr>
            <w:tcW w:w="5949" w:type="dxa"/>
          </w:tcPr>
          <w:p w14:paraId="76B3544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58B474E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27F4E0DC" w14:textId="77777777" w:rsidTr="002E2C37">
        <w:trPr>
          <w:trHeight w:val="70"/>
        </w:trPr>
        <w:tc>
          <w:tcPr>
            <w:tcW w:w="9016" w:type="dxa"/>
            <w:gridSpan w:val="2"/>
          </w:tcPr>
          <w:p w14:paraId="077B804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10AF750F" w14:textId="77777777" w:rsidTr="002E2C37">
        <w:trPr>
          <w:trHeight w:val="70"/>
        </w:trPr>
        <w:tc>
          <w:tcPr>
            <w:tcW w:w="9016" w:type="dxa"/>
            <w:gridSpan w:val="2"/>
          </w:tcPr>
          <w:p w14:paraId="7863332E"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15636023" w14:textId="77777777" w:rsidTr="002E2C37">
        <w:tc>
          <w:tcPr>
            <w:tcW w:w="9016" w:type="dxa"/>
            <w:gridSpan w:val="2"/>
            <w:shd w:val="clear" w:color="auto" w:fill="F2F2F2" w:themeFill="background1" w:themeFillShade="F2"/>
          </w:tcPr>
          <w:p w14:paraId="362A71FA"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CON1g: Bio-fouling or other direct physical disturbance</w:t>
            </w:r>
          </w:p>
        </w:tc>
      </w:tr>
      <w:tr w:rsidR="002D7080" w:rsidRPr="004D1E6F" w14:paraId="6D6B6E97" w14:textId="77777777" w:rsidTr="002E2C37">
        <w:tc>
          <w:tcPr>
            <w:tcW w:w="5949" w:type="dxa"/>
          </w:tcPr>
          <w:p w14:paraId="206BC9C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622981F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A2E6661" w14:textId="77777777" w:rsidTr="002E2C37">
        <w:trPr>
          <w:trHeight w:val="70"/>
        </w:trPr>
        <w:tc>
          <w:tcPr>
            <w:tcW w:w="9016" w:type="dxa"/>
            <w:gridSpan w:val="2"/>
          </w:tcPr>
          <w:p w14:paraId="4D7E87D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57834DBB" w14:textId="77777777" w:rsidTr="002E2C37">
        <w:trPr>
          <w:trHeight w:val="70"/>
        </w:trPr>
        <w:tc>
          <w:tcPr>
            <w:tcW w:w="9016" w:type="dxa"/>
            <w:gridSpan w:val="2"/>
          </w:tcPr>
          <w:p w14:paraId="311A42D9"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tc>
      </w:tr>
      <w:tr w:rsidR="002D7080" w:rsidRPr="004D1E6F" w14:paraId="2497C3E3" w14:textId="77777777" w:rsidTr="002E2C37">
        <w:tc>
          <w:tcPr>
            <w:tcW w:w="9016" w:type="dxa"/>
            <w:gridSpan w:val="2"/>
            <w:shd w:val="clear" w:color="auto" w:fill="F2F2F2" w:themeFill="background1" w:themeFillShade="F2"/>
          </w:tcPr>
          <w:p w14:paraId="6349E309"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CON1h: Grazing/herbivory/browsing</w:t>
            </w:r>
          </w:p>
        </w:tc>
      </w:tr>
      <w:tr w:rsidR="002D7080" w:rsidRPr="004D1E6F" w14:paraId="7DA933F8" w14:textId="77777777" w:rsidTr="002E2C37">
        <w:tc>
          <w:tcPr>
            <w:tcW w:w="5949" w:type="dxa"/>
          </w:tcPr>
          <w:p w14:paraId="6D42995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2F02133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16952A3" w14:textId="77777777" w:rsidTr="002E2C37">
        <w:trPr>
          <w:trHeight w:val="70"/>
        </w:trPr>
        <w:tc>
          <w:tcPr>
            <w:tcW w:w="9016" w:type="dxa"/>
            <w:gridSpan w:val="2"/>
          </w:tcPr>
          <w:p w14:paraId="5F3BBA5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1590FA9F" w14:textId="77777777" w:rsidTr="002E2C37">
        <w:trPr>
          <w:trHeight w:val="70"/>
        </w:trPr>
        <w:tc>
          <w:tcPr>
            <w:tcW w:w="9016" w:type="dxa"/>
            <w:gridSpan w:val="2"/>
          </w:tcPr>
          <w:p w14:paraId="1093EA5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3D0880B" w14:textId="77777777" w:rsidTr="002E2C37">
        <w:tc>
          <w:tcPr>
            <w:tcW w:w="9016" w:type="dxa"/>
            <w:gridSpan w:val="2"/>
            <w:shd w:val="clear" w:color="auto" w:fill="F2F2F2" w:themeFill="background1" w:themeFillShade="F2"/>
          </w:tcPr>
          <w:p w14:paraId="75EB6D64"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CON1i: Chemical, physical or structural impact on ecosystem</w:t>
            </w:r>
          </w:p>
        </w:tc>
      </w:tr>
      <w:tr w:rsidR="002D7080" w:rsidRPr="004D1E6F" w14:paraId="79C86CA5" w14:textId="77777777" w:rsidTr="002E2C37">
        <w:tc>
          <w:tcPr>
            <w:tcW w:w="5949" w:type="dxa"/>
          </w:tcPr>
          <w:p w14:paraId="51FFEB6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61F7C83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3C70101F" w14:textId="77777777" w:rsidTr="002E2C37">
        <w:trPr>
          <w:trHeight w:val="70"/>
        </w:trPr>
        <w:tc>
          <w:tcPr>
            <w:tcW w:w="9016" w:type="dxa"/>
            <w:gridSpan w:val="2"/>
          </w:tcPr>
          <w:p w14:paraId="18FCFC8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2840938F" w14:textId="77777777" w:rsidTr="002E2C37">
        <w:trPr>
          <w:trHeight w:val="70"/>
        </w:trPr>
        <w:tc>
          <w:tcPr>
            <w:tcW w:w="9016" w:type="dxa"/>
            <w:gridSpan w:val="2"/>
          </w:tcPr>
          <w:p w14:paraId="322749A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069384F" w14:textId="77777777" w:rsidTr="002E2C37">
        <w:tc>
          <w:tcPr>
            <w:tcW w:w="9016" w:type="dxa"/>
            <w:gridSpan w:val="2"/>
            <w:shd w:val="clear" w:color="auto" w:fill="F2F2F2" w:themeFill="background1" w:themeFillShade="F2"/>
          </w:tcPr>
          <w:p w14:paraId="5069A845"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CON1k: Indirect impacts through interactions with other species</w:t>
            </w:r>
          </w:p>
        </w:tc>
      </w:tr>
      <w:tr w:rsidR="002D7080" w:rsidRPr="004D1E6F" w14:paraId="398624E5" w14:textId="77777777" w:rsidTr="002E2C37">
        <w:tc>
          <w:tcPr>
            <w:tcW w:w="5949" w:type="dxa"/>
          </w:tcPr>
          <w:p w14:paraId="5FA1EEF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625A33E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BDD578C" w14:textId="77777777" w:rsidTr="002E2C37">
        <w:trPr>
          <w:trHeight w:val="70"/>
        </w:trPr>
        <w:tc>
          <w:tcPr>
            <w:tcW w:w="9016" w:type="dxa"/>
            <w:gridSpan w:val="2"/>
          </w:tcPr>
          <w:p w14:paraId="6A42485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17458FE7" w14:textId="77777777" w:rsidTr="002E2C37">
        <w:trPr>
          <w:trHeight w:val="70"/>
        </w:trPr>
        <w:tc>
          <w:tcPr>
            <w:tcW w:w="9016" w:type="dxa"/>
            <w:gridSpan w:val="2"/>
          </w:tcPr>
          <w:p w14:paraId="45743C99"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53F297CF" w14:textId="77777777" w:rsidTr="002E2C37">
        <w:trPr>
          <w:trHeight w:val="343"/>
        </w:trPr>
        <w:tc>
          <w:tcPr>
            <w:tcW w:w="9016" w:type="dxa"/>
            <w:gridSpan w:val="2"/>
            <w:shd w:val="clear" w:color="auto" w:fill="F2F2F2" w:themeFill="background1" w:themeFillShade="F2"/>
          </w:tcPr>
          <w:p w14:paraId="62AE4DFC"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CON1 Maximum environmental impact </w:t>
            </w:r>
          </w:p>
        </w:tc>
      </w:tr>
      <w:tr w:rsidR="002D7080" w:rsidRPr="004D1E6F" w14:paraId="55AA7763" w14:textId="77777777" w:rsidTr="002E2C37">
        <w:trPr>
          <w:trHeight w:val="172"/>
        </w:trPr>
        <w:tc>
          <w:tcPr>
            <w:tcW w:w="5949" w:type="dxa"/>
          </w:tcPr>
          <w:p w14:paraId="1CB6C32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2A6A938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7542D9E0" w14:textId="77777777" w:rsidTr="002E2C37">
        <w:trPr>
          <w:trHeight w:val="70"/>
        </w:trPr>
        <w:tc>
          <w:tcPr>
            <w:tcW w:w="9016" w:type="dxa"/>
            <w:gridSpan w:val="2"/>
          </w:tcPr>
          <w:p w14:paraId="07B2E68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37E8E611" w14:textId="77777777" w:rsidTr="002E2C37">
        <w:trPr>
          <w:trHeight w:val="70"/>
        </w:trPr>
        <w:tc>
          <w:tcPr>
            <w:tcW w:w="9016" w:type="dxa"/>
            <w:gridSpan w:val="2"/>
          </w:tcPr>
          <w:p w14:paraId="20AD6AD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7CCEEED7" w14:textId="77777777" w:rsidR="002D7080" w:rsidRPr="004D1E6F" w:rsidRDefault="002D7080" w:rsidP="002D7080">
      <w:pPr>
        <w:spacing w:after="0" w:line="240" w:lineRule="auto"/>
        <w:rPr>
          <w:rFonts w:ascii="Times New Roman" w:hAnsi="Times New Roman" w:cs="Times New Roman"/>
          <w:sz w:val="20"/>
          <w:szCs w:val="20"/>
        </w:rPr>
      </w:pPr>
    </w:p>
    <w:tbl>
      <w:tblPr>
        <w:tblStyle w:val="TableGrid"/>
        <w:tblW w:w="0" w:type="auto"/>
        <w:tblLook w:val="04A0" w:firstRow="1" w:lastRow="0" w:firstColumn="1" w:lastColumn="0" w:noHBand="0" w:noVBand="1"/>
      </w:tblPr>
      <w:tblGrid>
        <w:gridCol w:w="5949"/>
        <w:gridCol w:w="3067"/>
      </w:tblGrid>
      <w:tr w:rsidR="002D7080" w:rsidRPr="004D1E6F" w14:paraId="087A8DA3" w14:textId="77777777" w:rsidTr="002E2C37">
        <w:trPr>
          <w:trHeight w:val="343"/>
        </w:trPr>
        <w:tc>
          <w:tcPr>
            <w:tcW w:w="9016" w:type="dxa"/>
            <w:gridSpan w:val="2"/>
            <w:shd w:val="clear" w:color="auto" w:fill="F2F2F2" w:themeFill="background1" w:themeFillShade="F2"/>
          </w:tcPr>
          <w:p w14:paraId="29ADB80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 Socio-economic impact</w:t>
            </w:r>
          </w:p>
        </w:tc>
      </w:tr>
      <w:tr w:rsidR="002D7080" w:rsidRPr="004D1E6F" w14:paraId="50E37F65" w14:textId="77777777" w:rsidTr="002E2C37">
        <w:tc>
          <w:tcPr>
            <w:tcW w:w="9016" w:type="dxa"/>
            <w:gridSpan w:val="2"/>
            <w:shd w:val="clear" w:color="auto" w:fill="F2F2F2" w:themeFill="background1" w:themeFillShade="F2"/>
          </w:tcPr>
          <w:p w14:paraId="6098618E"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CON2a: Safety</w:t>
            </w:r>
          </w:p>
        </w:tc>
      </w:tr>
      <w:tr w:rsidR="002D7080" w:rsidRPr="004D1E6F" w14:paraId="276414F3" w14:textId="77777777" w:rsidTr="002E2C37">
        <w:tc>
          <w:tcPr>
            <w:tcW w:w="5949" w:type="dxa"/>
          </w:tcPr>
          <w:p w14:paraId="429B145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5269295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40B6AC1" w14:textId="77777777" w:rsidTr="002E2C37">
        <w:trPr>
          <w:trHeight w:val="70"/>
        </w:trPr>
        <w:tc>
          <w:tcPr>
            <w:tcW w:w="9016" w:type="dxa"/>
            <w:gridSpan w:val="2"/>
          </w:tcPr>
          <w:p w14:paraId="45846B0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552BC583" w14:textId="77777777" w:rsidTr="002E2C37">
        <w:trPr>
          <w:trHeight w:val="70"/>
        </w:trPr>
        <w:tc>
          <w:tcPr>
            <w:tcW w:w="9016" w:type="dxa"/>
            <w:gridSpan w:val="2"/>
          </w:tcPr>
          <w:p w14:paraId="450B14D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746A9914" w14:textId="77777777" w:rsidTr="002E2C37">
        <w:tc>
          <w:tcPr>
            <w:tcW w:w="9016" w:type="dxa"/>
            <w:gridSpan w:val="2"/>
            <w:shd w:val="clear" w:color="auto" w:fill="F2F2F2" w:themeFill="background1" w:themeFillShade="F2"/>
          </w:tcPr>
          <w:p w14:paraId="0B451606"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CON2b: Material and immaterial assets</w:t>
            </w:r>
          </w:p>
        </w:tc>
      </w:tr>
      <w:tr w:rsidR="002D7080" w:rsidRPr="004D1E6F" w14:paraId="00E2459C" w14:textId="77777777" w:rsidTr="002E2C37">
        <w:tc>
          <w:tcPr>
            <w:tcW w:w="5949" w:type="dxa"/>
          </w:tcPr>
          <w:p w14:paraId="387F773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D0E83C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A7D02F7" w14:textId="77777777" w:rsidTr="002E2C37">
        <w:trPr>
          <w:trHeight w:val="128"/>
        </w:trPr>
        <w:tc>
          <w:tcPr>
            <w:tcW w:w="9016" w:type="dxa"/>
            <w:gridSpan w:val="2"/>
          </w:tcPr>
          <w:p w14:paraId="03951CC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63C49CCB" w14:textId="77777777" w:rsidTr="002E2C37">
        <w:trPr>
          <w:trHeight w:val="70"/>
        </w:trPr>
        <w:tc>
          <w:tcPr>
            <w:tcW w:w="9016" w:type="dxa"/>
            <w:gridSpan w:val="2"/>
          </w:tcPr>
          <w:p w14:paraId="78E77D73"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7C34C3B" w14:textId="77777777" w:rsidTr="002E2C37">
        <w:tc>
          <w:tcPr>
            <w:tcW w:w="9016" w:type="dxa"/>
            <w:gridSpan w:val="2"/>
            <w:shd w:val="clear" w:color="auto" w:fill="F2F2F2" w:themeFill="background1" w:themeFillShade="F2"/>
          </w:tcPr>
          <w:p w14:paraId="08BFF915"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CON2c: Health</w:t>
            </w:r>
          </w:p>
        </w:tc>
      </w:tr>
      <w:tr w:rsidR="002D7080" w:rsidRPr="004D1E6F" w14:paraId="23D0050F" w14:textId="77777777" w:rsidTr="002E2C37">
        <w:tc>
          <w:tcPr>
            <w:tcW w:w="5949" w:type="dxa"/>
          </w:tcPr>
          <w:p w14:paraId="2A5056B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671B77C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9E48F58" w14:textId="77777777" w:rsidTr="002E2C37">
        <w:trPr>
          <w:trHeight w:val="70"/>
        </w:trPr>
        <w:tc>
          <w:tcPr>
            <w:tcW w:w="9016" w:type="dxa"/>
            <w:gridSpan w:val="2"/>
          </w:tcPr>
          <w:p w14:paraId="7E5EE78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Rationale:</w:t>
            </w:r>
          </w:p>
        </w:tc>
      </w:tr>
      <w:tr w:rsidR="002D7080" w:rsidRPr="004D1E6F" w14:paraId="0E0AE76B" w14:textId="77777777" w:rsidTr="002E2C37">
        <w:trPr>
          <w:trHeight w:val="70"/>
        </w:trPr>
        <w:tc>
          <w:tcPr>
            <w:tcW w:w="9016" w:type="dxa"/>
            <w:gridSpan w:val="2"/>
          </w:tcPr>
          <w:p w14:paraId="705BD51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2419D82E" w14:textId="77777777" w:rsidTr="002E2C37">
        <w:tc>
          <w:tcPr>
            <w:tcW w:w="9016" w:type="dxa"/>
            <w:gridSpan w:val="2"/>
            <w:shd w:val="clear" w:color="auto" w:fill="F2F2F2" w:themeFill="background1" w:themeFillShade="F2"/>
          </w:tcPr>
          <w:p w14:paraId="535CA459"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CON2d: Social, spiritual and cultural relations </w:t>
            </w:r>
          </w:p>
        </w:tc>
      </w:tr>
      <w:tr w:rsidR="002D7080" w:rsidRPr="004D1E6F" w14:paraId="5CCC1699" w14:textId="77777777" w:rsidTr="002E2C37">
        <w:tc>
          <w:tcPr>
            <w:tcW w:w="5949" w:type="dxa"/>
          </w:tcPr>
          <w:p w14:paraId="0E871B2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028803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39D989A1" w14:textId="77777777" w:rsidTr="002E2C37">
        <w:trPr>
          <w:trHeight w:val="70"/>
        </w:trPr>
        <w:tc>
          <w:tcPr>
            <w:tcW w:w="9016" w:type="dxa"/>
            <w:gridSpan w:val="2"/>
          </w:tcPr>
          <w:p w14:paraId="1C8BCA3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323C83B0" w14:textId="77777777" w:rsidTr="002E2C37">
        <w:trPr>
          <w:trHeight w:val="70"/>
        </w:trPr>
        <w:tc>
          <w:tcPr>
            <w:tcW w:w="9016" w:type="dxa"/>
            <w:gridSpan w:val="2"/>
          </w:tcPr>
          <w:p w14:paraId="6981C3AC"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24B5C401" w14:textId="77777777" w:rsidTr="002E2C37">
        <w:trPr>
          <w:trHeight w:val="343"/>
        </w:trPr>
        <w:tc>
          <w:tcPr>
            <w:tcW w:w="9016" w:type="dxa"/>
            <w:gridSpan w:val="2"/>
            <w:shd w:val="clear" w:color="auto" w:fill="F2F2F2" w:themeFill="background1" w:themeFillShade="F2"/>
          </w:tcPr>
          <w:p w14:paraId="5694C77C"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CON2 Maximum socio-economic impact </w:t>
            </w:r>
          </w:p>
        </w:tc>
      </w:tr>
      <w:tr w:rsidR="002D7080" w:rsidRPr="004D1E6F" w14:paraId="1E4A8069" w14:textId="77777777" w:rsidTr="002E2C37">
        <w:trPr>
          <w:trHeight w:val="208"/>
        </w:trPr>
        <w:tc>
          <w:tcPr>
            <w:tcW w:w="5949" w:type="dxa"/>
          </w:tcPr>
          <w:p w14:paraId="6C2D19A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93EEE5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77530886" w14:textId="77777777" w:rsidTr="002E2C37">
        <w:trPr>
          <w:trHeight w:val="70"/>
        </w:trPr>
        <w:tc>
          <w:tcPr>
            <w:tcW w:w="9016" w:type="dxa"/>
            <w:gridSpan w:val="2"/>
          </w:tcPr>
          <w:p w14:paraId="2B2CF8D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52F9AAA5" w14:textId="77777777" w:rsidTr="002E2C37">
        <w:trPr>
          <w:trHeight w:val="70"/>
        </w:trPr>
        <w:tc>
          <w:tcPr>
            <w:tcW w:w="9016" w:type="dxa"/>
            <w:gridSpan w:val="2"/>
          </w:tcPr>
          <w:p w14:paraId="477AF444"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4F1462E4" w14:textId="77777777" w:rsidR="002D7080" w:rsidRPr="004D1E6F" w:rsidRDefault="002D7080" w:rsidP="002D7080">
      <w:pPr>
        <w:spacing w:after="0" w:line="240" w:lineRule="auto"/>
        <w:rPr>
          <w:rFonts w:ascii="Times New Roman" w:hAnsi="Times New Roman" w:cs="Times New Roman"/>
          <w:sz w:val="20"/>
          <w:szCs w:val="20"/>
        </w:rPr>
      </w:pPr>
    </w:p>
    <w:tbl>
      <w:tblPr>
        <w:tblStyle w:val="TableGrid"/>
        <w:tblW w:w="0" w:type="auto"/>
        <w:tblLook w:val="04A0" w:firstRow="1" w:lastRow="0" w:firstColumn="1" w:lastColumn="0" w:noHBand="0" w:noVBand="1"/>
      </w:tblPr>
      <w:tblGrid>
        <w:gridCol w:w="5949"/>
        <w:gridCol w:w="3067"/>
      </w:tblGrid>
      <w:tr w:rsidR="002D7080" w:rsidRPr="004D1E6F" w14:paraId="3A7AF1C6" w14:textId="77777777" w:rsidTr="002E2C37">
        <w:trPr>
          <w:trHeight w:val="343"/>
        </w:trPr>
        <w:tc>
          <w:tcPr>
            <w:tcW w:w="9016" w:type="dxa"/>
            <w:gridSpan w:val="2"/>
            <w:shd w:val="clear" w:color="auto" w:fill="F2F2F2" w:themeFill="background1" w:themeFillShade="F2"/>
          </w:tcPr>
          <w:p w14:paraId="5C22B4B2"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CON3 Closely related species’ environmental impact</w:t>
            </w:r>
          </w:p>
        </w:tc>
      </w:tr>
      <w:tr w:rsidR="002D7080" w:rsidRPr="004D1E6F" w14:paraId="1605FBCA" w14:textId="77777777" w:rsidTr="002E2C37">
        <w:trPr>
          <w:trHeight w:val="172"/>
        </w:trPr>
        <w:tc>
          <w:tcPr>
            <w:tcW w:w="5949" w:type="dxa"/>
          </w:tcPr>
          <w:p w14:paraId="1999FBF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Major (MR)</w:t>
            </w:r>
          </w:p>
        </w:tc>
        <w:tc>
          <w:tcPr>
            <w:tcW w:w="3067" w:type="dxa"/>
          </w:tcPr>
          <w:p w14:paraId="4365088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58CB245B" w14:textId="77777777" w:rsidTr="002E2C37">
        <w:trPr>
          <w:trHeight w:val="70"/>
        </w:trPr>
        <w:tc>
          <w:tcPr>
            <w:tcW w:w="9016" w:type="dxa"/>
            <w:gridSpan w:val="2"/>
          </w:tcPr>
          <w:p w14:paraId="7E9943CE" w14:textId="3DCF28D2" w:rsidR="002D7080" w:rsidRPr="004D1E6F" w:rsidRDefault="002D7080" w:rsidP="002E2C37">
            <w:pPr>
              <w:jc w:val="both"/>
              <w:rPr>
                <w:rFonts w:ascii="Times New Roman" w:eastAsia="Times New Roman" w:hAnsi="Times New Roman" w:cs="Times New Roman"/>
                <w:i/>
                <w:iCs/>
                <w:strike/>
                <w:color w:val="000000"/>
                <w:sz w:val="20"/>
                <w:szCs w:val="20"/>
                <w:lang w:eastAsia="en-ZA"/>
              </w:rPr>
            </w:pPr>
            <w:r w:rsidRPr="004D1E6F">
              <w:rPr>
                <w:rFonts w:ascii="Times New Roman" w:eastAsia="Times New Roman" w:hAnsi="Times New Roman" w:cs="Times New Roman"/>
                <w:sz w:val="20"/>
                <w:szCs w:val="20"/>
                <w:lang w:eastAsia="en-ZA"/>
              </w:rPr>
              <w:t xml:space="preserve">Rationale: There is limited information on the impacts of </w:t>
            </w:r>
            <w:r w:rsidRPr="004D1E6F">
              <w:rPr>
                <w:rFonts w:ascii="Times New Roman" w:eastAsia="Times New Roman" w:hAnsi="Times New Roman" w:cs="Times New Roman"/>
                <w:i/>
                <w:iCs/>
                <w:sz w:val="20"/>
                <w:szCs w:val="20"/>
                <w:lang w:eastAsia="en-ZA"/>
              </w:rPr>
              <w:t xml:space="preserve">C. destructor </w:t>
            </w:r>
            <w:r w:rsidRPr="004D1E6F">
              <w:rPr>
                <w:rFonts w:ascii="Times New Roman" w:eastAsia="Times New Roman" w:hAnsi="Times New Roman" w:cs="Times New Roman"/>
                <w:sz w:val="20"/>
                <w:szCs w:val="20"/>
                <w:lang w:eastAsia="en-ZA"/>
              </w:rPr>
              <w:t>(e.g., Coghran &amp; Daly 2012). Therefore, the closely related</w:t>
            </w:r>
            <w:r w:rsidRPr="004D1E6F">
              <w:rPr>
                <w:rFonts w:ascii="Times New Roman" w:eastAsia="Times New Roman" w:hAnsi="Times New Roman" w:cs="Times New Roman"/>
                <w:i/>
                <w:iCs/>
                <w:sz w:val="20"/>
                <w:szCs w:val="20"/>
                <w:lang w:eastAsia="en-ZA"/>
              </w:rPr>
              <w:t xml:space="preserve"> </w:t>
            </w:r>
            <w:r w:rsidRPr="004D1E6F">
              <w:rPr>
                <w:rFonts w:ascii="Times New Roman" w:eastAsia="Times New Roman" w:hAnsi="Times New Roman" w:cs="Times New Roman"/>
                <w:i/>
                <w:iCs/>
                <w:color w:val="000000"/>
                <w:sz w:val="20"/>
                <w:szCs w:val="20"/>
                <w:lang w:eastAsia="en-ZA"/>
              </w:rPr>
              <w:t>C</w:t>
            </w:r>
            <w:r w:rsidR="00B904C1">
              <w:rPr>
                <w:rFonts w:ascii="Times New Roman" w:eastAsia="Times New Roman" w:hAnsi="Times New Roman" w:cs="Times New Roman"/>
                <w:i/>
                <w:iCs/>
                <w:color w:val="000000"/>
                <w:sz w:val="20"/>
                <w:szCs w:val="20"/>
                <w:lang w:eastAsia="en-ZA"/>
              </w:rPr>
              <w:t>herax</w:t>
            </w:r>
            <w:r w:rsidRPr="004D1E6F">
              <w:rPr>
                <w:rFonts w:ascii="Times New Roman" w:eastAsia="Times New Roman" w:hAnsi="Times New Roman" w:cs="Times New Roman"/>
                <w:i/>
                <w:iCs/>
                <w:color w:val="000000"/>
                <w:sz w:val="20"/>
                <w:szCs w:val="20"/>
                <w:lang w:eastAsia="en-ZA"/>
              </w:rPr>
              <w:t xml:space="preserve"> quadricarinatus </w:t>
            </w:r>
            <w:r w:rsidRPr="004D1E6F">
              <w:rPr>
                <w:rFonts w:ascii="Times New Roman" w:eastAsia="Times New Roman" w:hAnsi="Times New Roman" w:cs="Times New Roman"/>
                <w:color w:val="000000"/>
                <w:sz w:val="20"/>
                <w:szCs w:val="20"/>
                <w:lang w:eastAsia="en-ZA"/>
              </w:rPr>
              <w:t xml:space="preserve">has been used to estimate the impacts that may arise from an introduction of </w:t>
            </w:r>
            <w:r w:rsidRPr="004D1E6F">
              <w:rPr>
                <w:rFonts w:ascii="Times New Roman" w:eastAsia="Times New Roman" w:hAnsi="Times New Roman" w:cs="Times New Roman"/>
                <w:i/>
                <w:iCs/>
                <w:color w:val="000000"/>
                <w:sz w:val="20"/>
                <w:szCs w:val="20"/>
                <w:lang w:eastAsia="en-ZA"/>
              </w:rPr>
              <w:t>C. destructor</w:t>
            </w:r>
            <w:r w:rsidRPr="004D1E6F">
              <w:rPr>
                <w:rFonts w:ascii="Times New Roman" w:eastAsia="Times New Roman" w:hAnsi="Times New Roman" w:cs="Times New Roman"/>
                <w:color w:val="000000"/>
                <w:sz w:val="20"/>
                <w:szCs w:val="20"/>
                <w:lang w:eastAsia="en-ZA"/>
              </w:rPr>
              <w:t xml:space="preserve">. </w:t>
            </w:r>
            <w:r w:rsidRPr="004D1E6F">
              <w:rPr>
                <w:rFonts w:ascii="Times New Roman" w:hAnsi="Times New Roman" w:cs="Times New Roman"/>
                <w:i/>
                <w:iCs/>
                <w:sz w:val="20"/>
                <w:szCs w:val="20"/>
              </w:rPr>
              <w:t xml:space="preserve">Cherax quadricarinatus </w:t>
            </w:r>
            <w:r w:rsidRPr="004D1E6F">
              <w:rPr>
                <w:rFonts w:ascii="Times New Roman" w:hAnsi="Times New Roman" w:cs="Times New Roman"/>
                <w:sz w:val="20"/>
                <w:szCs w:val="20"/>
              </w:rPr>
              <w:t xml:space="preserve">invasions have been implicated in the decline of native species of macrophytes, macroinvertebrates, and fish (Douthwaite et al. 2018; Marufu et al. 2018; Pinder et al. 2019). </w:t>
            </w:r>
            <w:r w:rsidRPr="004D1E6F">
              <w:rPr>
                <w:rFonts w:ascii="Times New Roman" w:eastAsia="Times New Roman" w:hAnsi="Times New Roman" w:cs="Times New Roman"/>
                <w:sz w:val="20"/>
                <w:szCs w:val="20"/>
                <w:lang w:eastAsia="en-ZA"/>
              </w:rPr>
              <w:t xml:space="preserve">In South Africa, there have been laboratory studies to quantify the impacts of </w:t>
            </w:r>
            <w:r w:rsidRPr="004D1E6F">
              <w:rPr>
                <w:rFonts w:ascii="Times New Roman" w:eastAsia="Times New Roman" w:hAnsi="Times New Roman" w:cs="Times New Roman"/>
                <w:i/>
                <w:iCs/>
                <w:sz w:val="20"/>
                <w:szCs w:val="20"/>
                <w:lang w:eastAsia="en-ZA"/>
              </w:rPr>
              <w:t>C. quadricarinatus</w:t>
            </w:r>
            <w:r w:rsidRPr="004D1E6F">
              <w:rPr>
                <w:rFonts w:ascii="Times New Roman" w:eastAsia="Times New Roman" w:hAnsi="Times New Roman" w:cs="Times New Roman"/>
                <w:sz w:val="20"/>
                <w:szCs w:val="20"/>
                <w:lang w:eastAsia="en-ZA"/>
              </w:rPr>
              <w:t xml:space="preserve"> on various aquatic and terrestrial resources ubiquitous to South African ecosystems. </w:t>
            </w:r>
            <w:r w:rsidRPr="004D1E6F">
              <w:rPr>
                <w:rFonts w:ascii="Times New Roman" w:eastAsia="Times New Roman" w:hAnsi="Times New Roman" w:cs="Times New Roman"/>
                <w:i/>
                <w:iCs/>
                <w:sz w:val="20"/>
                <w:szCs w:val="20"/>
                <w:lang w:eastAsia="en-ZA"/>
              </w:rPr>
              <w:t>Cherax quadricarinatus</w:t>
            </w:r>
            <w:r w:rsidRPr="004D1E6F">
              <w:rPr>
                <w:rFonts w:ascii="Times New Roman" w:eastAsia="Times New Roman" w:hAnsi="Times New Roman" w:cs="Times New Roman"/>
                <w:sz w:val="20"/>
                <w:szCs w:val="20"/>
                <w:lang w:eastAsia="en-ZA"/>
              </w:rPr>
              <w:t xml:space="preserve"> exhibited deleterious impacts on various ecosystem resources that include fish, macroinvertebrates, and aquatic plants which are all important for ecosystem structure and functioning (Madzivanzira et al. 2021, 2022).</w:t>
            </w:r>
          </w:p>
        </w:tc>
      </w:tr>
      <w:tr w:rsidR="002D7080" w:rsidRPr="004D1E6F" w14:paraId="63D2721E" w14:textId="77777777" w:rsidTr="002E2C37">
        <w:trPr>
          <w:trHeight w:val="70"/>
        </w:trPr>
        <w:tc>
          <w:tcPr>
            <w:tcW w:w="9016" w:type="dxa"/>
            <w:gridSpan w:val="2"/>
          </w:tcPr>
          <w:p w14:paraId="043E8DE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6ED69E66" w14:textId="3329006B" w:rsidR="002D7080" w:rsidRPr="004D1E6F" w:rsidDel="002E5FAA" w:rsidRDefault="002D7080" w:rsidP="003478C7">
            <w:pPr>
              <w:ind w:left="567" w:hanging="567"/>
              <w:contextualSpacing/>
              <w:jc w:val="both"/>
              <w:rPr>
                <w:rFonts w:ascii="Times New Roman" w:hAnsi="Times New Roman" w:cs="Times New Roman"/>
                <w:bCs/>
                <w:sz w:val="20"/>
                <w:szCs w:val="20"/>
              </w:rPr>
            </w:pPr>
            <w:r w:rsidRPr="004D1E6F" w:rsidDel="002E5FAA">
              <w:rPr>
                <w:rFonts w:ascii="Times New Roman" w:hAnsi="Times New Roman" w:cs="Times New Roman"/>
                <w:bCs/>
                <w:sz w:val="20"/>
                <w:szCs w:val="20"/>
              </w:rPr>
              <w:t>Belle</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 xml:space="preserve"> C</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C</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 Wong</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 xml:space="preserve"> J</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Q</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H</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 Yeo</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 xml:space="preserve"> D</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C</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J</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 Tan</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 xml:space="preserve"> S</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H</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 Tan</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 xml:space="preserve"> H</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H</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 Clews</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 xml:space="preserve"> E</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w:t>
            </w:r>
            <w:r w:rsidRPr="004D1E6F">
              <w:rPr>
                <w:rFonts w:ascii="Times New Roman" w:hAnsi="Times New Roman" w:cs="Times New Roman"/>
                <w:bCs/>
                <w:sz w:val="20"/>
                <w:szCs w:val="20"/>
              </w:rPr>
              <w:t xml:space="preserve"> et al., </w:t>
            </w:r>
            <w:r w:rsidRPr="004D1E6F" w:rsidDel="002E5FAA">
              <w:rPr>
                <w:rFonts w:ascii="Times New Roman" w:hAnsi="Times New Roman" w:cs="Times New Roman"/>
                <w:bCs/>
                <w:sz w:val="20"/>
                <w:szCs w:val="20"/>
              </w:rPr>
              <w:t>2011</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 xml:space="preserve"> </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Ornamental trade as a pathway for Australian redclaw crayfish introduction and establishment</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 xml:space="preserve"> </w:t>
            </w:r>
            <w:r w:rsidRPr="004D1E6F" w:rsidDel="002E5FAA">
              <w:rPr>
                <w:rFonts w:ascii="Times New Roman" w:hAnsi="Times New Roman" w:cs="Times New Roman"/>
                <w:bCs/>
                <w:i/>
                <w:sz w:val="20"/>
                <w:szCs w:val="20"/>
              </w:rPr>
              <w:t>Aquatic Biology</w:t>
            </w:r>
            <w:r w:rsidRPr="004D1E6F" w:rsidDel="002E5FAA">
              <w:rPr>
                <w:rFonts w:ascii="Times New Roman" w:hAnsi="Times New Roman" w:cs="Times New Roman"/>
                <w:bCs/>
                <w:sz w:val="20"/>
                <w:szCs w:val="20"/>
              </w:rPr>
              <w:t xml:space="preserve"> 12</w:t>
            </w:r>
            <w:r w:rsidRPr="004D1E6F">
              <w:rPr>
                <w:rFonts w:ascii="Times New Roman" w:hAnsi="Times New Roman" w:cs="Times New Roman"/>
                <w:bCs/>
                <w:sz w:val="20"/>
                <w:szCs w:val="20"/>
              </w:rPr>
              <w:t>,</w:t>
            </w:r>
            <w:r w:rsidRPr="004D1E6F" w:rsidDel="002E5FAA">
              <w:rPr>
                <w:rFonts w:ascii="Times New Roman" w:hAnsi="Times New Roman" w:cs="Times New Roman"/>
                <w:bCs/>
                <w:sz w:val="20"/>
                <w:szCs w:val="20"/>
              </w:rPr>
              <w:t xml:space="preserve"> 69-79.</w:t>
            </w:r>
            <w:r w:rsidRPr="004D1E6F">
              <w:rPr>
                <w:rFonts w:ascii="Times New Roman" w:hAnsi="Times New Roman" w:cs="Times New Roman"/>
                <w:bCs/>
                <w:sz w:val="20"/>
                <w:szCs w:val="20"/>
              </w:rPr>
              <w:t xml:space="preserve"> </w:t>
            </w:r>
            <w:hyperlink r:id="rId122" w:history="1">
              <w:r w:rsidR="00307BF9" w:rsidRPr="00F215B9">
                <w:rPr>
                  <w:rStyle w:val="Hyperlink"/>
                  <w:rFonts w:ascii="Times New Roman" w:hAnsi="Times New Roman" w:cs="Times New Roman"/>
                  <w:bCs/>
                  <w:sz w:val="20"/>
                  <w:szCs w:val="20"/>
                </w:rPr>
                <w:t>https://doi.org/10.3354/ab00324</w:t>
              </w:r>
            </w:hyperlink>
            <w:r w:rsidR="00307BF9">
              <w:rPr>
                <w:rFonts w:ascii="Times New Roman" w:hAnsi="Times New Roman" w:cs="Times New Roman"/>
                <w:bCs/>
                <w:sz w:val="20"/>
                <w:szCs w:val="20"/>
              </w:rPr>
              <w:t xml:space="preserve">. </w:t>
            </w:r>
          </w:p>
          <w:p w14:paraId="3A8793D5" w14:textId="4701D0E1" w:rsidR="002D7080" w:rsidRPr="004D1E6F" w:rsidRDefault="002D7080" w:rsidP="003478C7">
            <w:pPr>
              <w:ind w:left="567" w:hanging="567"/>
              <w:contextualSpacing/>
              <w:jc w:val="both"/>
              <w:rPr>
                <w:rFonts w:ascii="Times New Roman" w:hAnsi="Times New Roman" w:cs="Times New Roman"/>
                <w:sz w:val="20"/>
                <w:szCs w:val="20"/>
              </w:rPr>
            </w:pPr>
            <w:r w:rsidRPr="004D1E6F">
              <w:rPr>
                <w:rStyle w:val="cf01"/>
                <w:rFonts w:ascii="Times New Roman" w:hAnsi="Times New Roman" w:cs="Times New Roman"/>
                <w:sz w:val="20"/>
                <w:szCs w:val="20"/>
              </w:rPr>
              <w:t xml:space="preserve">Coghran, J., &amp; Daly, G., 2012, ‘Potential threats posed by a translocated crayfish: the case of </w:t>
            </w:r>
            <w:r w:rsidRPr="004D1E6F">
              <w:rPr>
                <w:rStyle w:val="cf01"/>
                <w:rFonts w:ascii="Times New Roman" w:hAnsi="Times New Roman" w:cs="Times New Roman"/>
                <w:i/>
                <w:iCs/>
                <w:sz w:val="20"/>
                <w:szCs w:val="20"/>
              </w:rPr>
              <w:t>Cherax destructor</w:t>
            </w:r>
            <w:r w:rsidRPr="004D1E6F">
              <w:rPr>
                <w:rStyle w:val="cf01"/>
                <w:rFonts w:ascii="Times New Roman" w:hAnsi="Times New Roman" w:cs="Times New Roman"/>
                <w:sz w:val="20"/>
                <w:szCs w:val="20"/>
              </w:rPr>
              <w:t xml:space="preserve"> in coastal drainages of New South Wales, Australia’, </w:t>
            </w:r>
            <w:r w:rsidRPr="004D1E6F">
              <w:rPr>
                <w:rStyle w:val="cf01"/>
                <w:rFonts w:ascii="Times New Roman" w:hAnsi="Times New Roman" w:cs="Times New Roman"/>
                <w:i/>
                <w:iCs/>
                <w:sz w:val="20"/>
                <w:szCs w:val="20"/>
              </w:rPr>
              <w:t>Crustacean Research</w:t>
            </w:r>
            <w:r w:rsidRPr="004D1E6F">
              <w:rPr>
                <w:rStyle w:val="cf01"/>
                <w:rFonts w:ascii="Times New Roman" w:hAnsi="Times New Roman" w:cs="Times New Roman"/>
                <w:sz w:val="20"/>
                <w:szCs w:val="20"/>
              </w:rPr>
              <w:t xml:space="preserve"> (7), 5-13. </w:t>
            </w:r>
            <w:r w:rsidR="00307BF9" w:rsidRPr="00307BF9">
              <w:rPr>
                <w:rStyle w:val="cf01"/>
                <w:rFonts w:ascii="Times New Roman" w:hAnsi="Times New Roman" w:cs="Times New Roman"/>
                <w:sz w:val="20"/>
                <w:szCs w:val="20"/>
              </w:rPr>
              <w:t>https://doi.org/10.18353/crustacea.Special2012.7_5</w:t>
            </w:r>
            <w:r w:rsidRPr="004D1E6F">
              <w:rPr>
                <w:rStyle w:val="cf01"/>
                <w:rFonts w:ascii="Times New Roman" w:hAnsi="Times New Roman" w:cs="Times New Roman"/>
                <w:sz w:val="20"/>
                <w:szCs w:val="20"/>
              </w:rPr>
              <w:t>.</w:t>
            </w:r>
          </w:p>
          <w:p w14:paraId="7E3F380E" w14:textId="2BB71092" w:rsidR="002D7080" w:rsidRPr="004D1E6F" w:rsidRDefault="002D7080" w:rsidP="003478C7">
            <w:pPr>
              <w:ind w:left="567" w:hanging="567"/>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Douthwaite, R., Jones, E., Tyser, A. &amp; Vrdoljak, S., 2018, ‘The introduction, spread and ecology of redclaw crayfish </w:t>
            </w:r>
            <w:r w:rsidRPr="004D1E6F">
              <w:rPr>
                <w:rFonts w:ascii="Times New Roman" w:hAnsi="Times New Roman" w:cs="Times New Roman"/>
                <w:i/>
                <w:iCs/>
                <w:sz w:val="20"/>
                <w:szCs w:val="20"/>
              </w:rPr>
              <w:t>Cherax quadricarinatus</w:t>
            </w:r>
            <w:r w:rsidRPr="004D1E6F">
              <w:rPr>
                <w:rFonts w:ascii="Times New Roman" w:hAnsi="Times New Roman" w:cs="Times New Roman"/>
                <w:sz w:val="20"/>
                <w:szCs w:val="20"/>
              </w:rPr>
              <w:t xml:space="preserve"> in the Zambezi catchment’, </w:t>
            </w:r>
            <w:r w:rsidRPr="004D1E6F">
              <w:rPr>
                <w:rFonts w:ascii="Times New Roman" w:hAnsi="Times New Roman" w:cs="Times New Roman"/>
                <w:i/>
                <w:iCs/>
                <w:sz w:val="20"/>
                <w:szCs w:val="20"/>
              </w:rPr>
              <w:t>African Journal of Aquatic Science</w:t>
            </w:r>
            <w:r w:rsidRPr="004D1E6F">
              <w:rPr>
                <w:rFonts w:ascii="Times New Roman" w:hAnsi="Times New Roman" w:cs="Times New Roman"/>
                <w:sz w:val="20"/>
                <w:szCs w:val="20"/>
              </w:rPr>
              <w:t xml:space="preserve"> 43, 353–366. </w:t>
            </w:r>
            <w:r w:rsidR="00307BF9" w:rsidRPr="00307BF9">
              <w:rPr>
                <w:rFonts w:ascii="Times New Roman" w:hAnsi="Times New Roman" w:cs="Times New Roman"/>
                <w:sz w:val="20"/>
                <w:szCs w:val="20"/>
              </w:rPr>
              <w:t>https://doi.org/10.2989/16085914.2018.1517080</w:t>
            </w:r>
            <w:r w:rsidRPr="004D1E6F">
              <w:rPr>
                <w:rFonts w:ascii="Times New Roman" w:hAnsi="Times New Roman" w:cs="Times New Roman"/>
                <w:sz w:val="20"/>
                <w:szCs w:val="20"/>
              </w:rPr>
              <w:t>.</w:t>
            </w:r>
          </w:p>
          <w:p w14:paraId="5A565D95" w14:textId="290379CC" w:rsidR="002D7080" w:rsidRPr="004D1E6F" w:rsidRDefault="002D7080" w:rsidP="003478C7">
            <w:pPr>
              <w:ind w:left="567" w:hanging="567"/>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Madzivanzira, T.C., South, J. &amp; Weyl, O.L.F., 2021,’ Invasive crayfish outperform Potamonautid crabs at higher temperatures’, </w:t>
            </w:r>
            <w:r w:rsidRPr="004D1E6F">
              <w:rPr>
                <w:rFonts w:ascii="Times New Roman" w:eastAsia="Times New Roman" w:hAnsi="Times New Roman" w:cs="Times New Roman"/>
                <w:i/>
                <w:iCs/>
                <w:sz w:val="20"/>
                <w:szCs w:val="20"/>
                <w:lang w:eastAsia="en-ZA"/>
              </w:rPr>
              <w:t>Freshwater Biology</w:t>
            </w:r>
            <w:r w:rsidRPr="004D1E6F">
              <w:rPr>
                <w:rFonts w:ascii="Times New Roman" w:eastAsia="Times New Roman" w:hAnsi="Times New Roman" w:cs="Times New Roman"/>
                <w:sz w:val="20"/>
                <w:szCs w:val="20"/>
                <w:lang w:eastAsia="en-ZA"/>
              </w:rPr>
              <w:t xml:space="preserve"> 66(5), 978–991. </w:t>
            </w:r>
            <w:hyperlink r:id="rId123" w:history="1">
              <w:r w:rsidR="00307BF9" w:rsidRPr="00307BF9">
                <w:rPr>
                  <w:rStyle w:val="Hyperlink"/>
                  <w:rFonts w:ascii="Times New Roman" w:eastAsia="Times New Roman" w:hAnsi="Times New Roman" w:cs="Times New Roman"/>
                  <w:sz w:val="20"/>
                  <w:szCs w:val="20"/>
                  <w:lang w:eastAsia="en-ZA"/>
                </w:rPr>
                <w:t>https://doi.org/10.1111/fwb.13691</w:t>
              </w:r>
            </w:hyperlink>
            <w:r w:rsidRPr="004D1E6F">
              <w:rPr>
                <w:rFonts w:ascii="Times New Roman" w:eastAsia="Times New Roman" w:hAnsi="Times New Roman" w:cs="Times New Roman"/>
                <w:sz w:val="20"/>
                <w:szCs w:val="20"/>
                <w:lang w:eastAsia="en-ZA"/>
              </w:rPr>
              <w:t>.</w:t>
            </w:r>
          </w:p>
          <w:p w14:paraId="3E50F791" w14:textId="056448E6" w:rsidR="002D7080" w:rsidRPr="004D1E6F" w:rsidRDefault="002D7080" w:rsidP="003478C7">
            <w:pPr>
              <w:spacing w:before="100" w:beforeAutospacing="1" w:after="100" w:afterAutospacing="1"/>
              <w:ind w:left="567" w:hanging="567"/>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Madzivanzira, T.C., Weyl, O.L.F. &amp; South, J., 2022, ‘Ecological and potential socioeconomic impacts of two globally invasive crayfish’, </w:t>
            </w:r>
            <w:r w:rsidRPr="004D1E6F">
              <w:rPr>
                <w:rFonts w:ascii="Times New Roman" w:eastAsia="Times New Roman" w:hAnsi="Times New Roman" w:cs="Times New Roman"/>
                <w:i/>
                <w:iCs/>
                <w:sz w:val="20"/>
                <w:szCs w:val="20"/>
                <w:lang w:eastAsia="en-ZA"/>
              </w:rPr>
              <w:t>NeoBiota</w:t>
            </w:r>
            <w:r w:rsidRPr="004D1E6F">
              <w:rPr>
                <w:rFonts w:ascii="Times New Roman" w:eastAsia="Times New Roman" w:hAnsi="Times New Roman" w:cs="Times New Roman"/>
                <w:sz w:val="20"/>
                <w:szCs w:val="20"/>
                <w:lang w:eastAsia="en-ZA"/>
              </w:rPr>
              <w:t xml:space="preserve"> 72, 25–43. </w:t>
            </w:r>
            <w:hyperlink r:id="rId124" w:history="1">
              <w:r w:rsidR="00307BF9" w:rsidRPr="00307BF9">
                <w:rPr>
                  <w:rStyle w:val="Hyperlink"/>
                  <w:rFonts w:ascii="Times New Roman" w:eastAsia="Times New Roman" w:hAnsi="Times New Roman" w:cs="Times New Roman"/>
                  <w:sz w:val="20"/>
                  <w:szCs w:val="20"/>
                  <w:lang w:eastAsia="en-ZA"/>
                </w:rPr>
                <w:t>https://doi.org/10.3897/neobiota.72.71868</w:t>
              </w:r>
            </w:hyperlink>
            <w:r w:rsidRPr="004D1E6F">
              <w:rPr>
                <w:rFonts w:ascii="Times New Roman" w:eastAsia="Times New Roman" w:hAnsi="Times New Roman" w:cs="Times New Roman"/>
                <w:sz w:val="20"/>
                <w:szCs w:val="20"/>
                <w:lang w:eastAsia="en-ZA"/>
              </w:rPr>
              <w:t>.</w:t>
            </w:r>
          </w:p>
          <w:p w14:paraId="433658BB" w14:textId="734D6576" w:rsidR="002D7080" w:rsidRPr="004D1E6F" w:rsidRDefault="002D7080" w:rsidP="003478C7">
            <w:pPr>
              <w:ind w:left="567" w:hanging="567"/>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Marufu, L.T., Dalu, T., Phiri, C., Barson, M., Simango, R., Utete, B. et al., 2018, ‘The diet of an invasive crayfish, </w:t>
            </w:r>
            <w:r w:rsidRPr="004D1E6F">
              <w:rPr>
                <w:rFonts w:ascii="Times New Roman" w:hAnsi="Times New Roman" w:cs="Times New Roman"/>
                <w:i/>
                <w:iCs/>
                <w:sz w:val="20"/>
                <w:szCs w:val="20"/>
              </w:rPr>
              <w:t>Cherax quadricarinatus</w:t>
            </w:r>
            <w:r w:rsidRPr="004D1E6F">
              <w:rPr>
                <w:rFonts w:ascii="Times New Roman" w:hAnsi="Times New Roman" w:cs="Times New Roman"/>
                <w:sz w:val="20"/>
                <w:szCs w:val="20"/>
              </w:rPr>
              <w:t xml:space="preserve"> (Von Martens, 1868), in Lake Kariba, inferred using stomach content and stable isotope analyses’, </w:t>
            </w:r>
            <w:r w:rsidRPr="004D1E6F">
              <w:rPr>
                <w:rFonts w:ascii="Times New Roman" w:hAnsi="Times New Roman" w:cs="Times New Roman"/>
                <w:i/>
                <w:iCs/>
                <w:sz w:val="20"/>
                <w:szCs w:val="20"/>
              </w:rPr>
              <w:t>BioInvasions Records</w:t>
            </w:r>
            <w:r w:rsidRPr="004D1E6F">
              <w:rPr>
                <w:rFonts w:ascii="Times New Roman" w:hAnsi="Times New Roman" w:cs="Times New Roman"/>
                <w:sz w:val="20"/>
                <w:szCs w:val="20"/>
              </w:rPr>
              <w:t xml:space="preserve"> 7, 121–132. </w:t>
            </w:r>
            <w:hyperlink r:id="rId125" w:history="1">
              <w:r w:rsidR="00307BF9" w:rsidRPr="00307BF9">
                <w:rPr>
                  <w:rStyle w:val="Hyperlink"/>
                  <w:rFonts w:ascii="Times New Roman" w:hAnsi="Times New Roman" w:cs="Times New Roman"/>
                  <w:bCs/>
                  <w:sz w:val="20"/>
                  <w:szCs w:val="20"/>
                </w:rPr>
                <w:t>https://doi.org/10.3391/bir.2018.7.2.03</w:t>
              </w:r>
            </w:hyperlink>
            <w:r w:rsidR="00307BF9" w:rsidRPr="00307BF9">
              <w:rPr>
                <w:rFonts w:ascii="Times New Roman" w:hAnsi="Times New Roman" w:cs="Times New Roman"/>
                <w:bCs/>
                <w:sz w:val="20"/>
                <w:szCs w:val="20"/>
              </w:rPr>
              <w:t>.</w:t>
            </w:r>
          </w:p>
          <w:p w14:paraId="16F6DCB9" w14:textId="7B3A4BC3" w:rsidR="002D7080" w:rsidRPr="004D1E6F" w:rsidDel="00FB68BD" w:rsidRDefault="002D7080" w:rsidP="003478C7">
            <w:pPr>
              <w:ind w:left="567" w:hanging="567"/>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Pinder, A., Harman, A., Bird, C., Quinlan, K., Angel, F., Cowan, M. et al., 2019,’ Spread of the non-native redclaw crayfish </w:t>
            </w:r>
            <w:r w:rsidRPr="004D1E6F">
              <w:rPr>
                <w:rFonts w:ascii="Times New Roman" w:hAnsi="Times New Roman" w:cs="Times New Roman"/>
                <w:i/>
                <w:iCs/>
                <w:sz w:val="20"/>
                <w:szCs w:val="20"/>
              </w:rPr>
              <w:t>Cherax quadricarinatus</w:t>
            </w:r>
            <w:r w:rsidRPr="004D1E6F">
              <w:rPr>
                <w:rFonts w:ascii="Times New Roman" w:hAnsi="Times New Roman" w:cs="Times New Roman"/>
                <w:sz w:val="20"/>
                <w:szCs w:val="20"/>
              </w:rPr>
              <w:t xml:space="preserve"> (von Martens, 1868) into natural waters of the Pilbara region </w:t>
            </w:r>
            <w:r w:rsidRPr="004D1E6F">
              <w:rPr>
                <w:rFonts w:ascii="Times New Roman" w:hAnsi="Times New Roman" w:cs="Times New Roman"/>
                <w:sz w:val="20"/>
                <w:szCs w:val="20"/>
              </w:rPr>
              <w:lastRenderedPageBreak/>
              <w:t xml:space="preserve">of Western Australia, with observations on potential adverse ecological effects', </w:t>
            </w:r>
            <w:r w:rsidRPr="004D1E6F">
              <w:rPr>
                <w:rFonts w:ascii="Times New Roman" w:hAnsi="Times New Roman" w:cs="Times New Roman"/>
                <w:i/>
                <w:iCs/>
                <w:sz w:val="20"/>
                <w:szCs w:val="20"/>
              </w:rPr>
              <w:t>BioInvasions Records</w:t>
            </w:r>
            <w:r w:rsidRPr="004D1E6F">
              <w:rPr>
                <w:rFonts w:ascii="Times New Roman" w:hAnsi="Times New Roman" w:cs="Times New Roman"/>
                <w:sz w:val="20"/>
                <w:szCs w:val="20"/>
              </w:rPr>
              <w:t xml:space="preserve"> 8, 882–897. </w:t>
            </w:r>
            <w:r w:rsidR="00527413" w:rsidRPr="00527413">
              <w:rPr>
                <w:rFonts w:ascii="Times New Roman" w:hAnsi="Times New Roman" w:cs="Times New Roman"/>
                <w:sz w:val="20"/>
                <w:szCs w:val="20"/>
              </w:rPr>
              <w:t>https://doi.org/10.3391/bir.2019.8.4.17</w:t>
            </w:r>
            <w:r w:rsidRPr="004D1E6F">
              <w:rPr>
                <w:rFonts w:ascii="Times New Roman" w:hAnsi="Times New Roman" w:cs="Times New Roman"/>
                <w:sz w:val="20"/>
                <w:szCs w:val="20"/>
              </w:rPr>
              <w:t>.</w:t>
            </w:r>
          </w:p>
          <w:p w14:paraId="177E5012" w14:textId="77777777" w:rsidR="002D7080" w:rsidRPr="004D1E6F" w:rsidRDefault="002D7080" w:rsidP="003478C7">
            <w:pPr>
              <w:ind w:left="567" w:hanging="567"/>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Yeo, D.C.J., 2010, ‘Introduced decapod crustaceans in Singapore’s reservoirs’, </w:t>
            </w:r>
            <w:r w:rsidRPr="004D1E6F">
              <w:rPr>
                <w:rFonts w:ascii="Times New Roman" w:hAnsi="Times New Roman" w:cs="Times New Roman"/>
                <w:i/>
                <w:sz w:val="20"/>
                <w:szCs w:val="20"/>
              </w:rPr>
              <w:t>Cosmos</w:t>
            </w:r>
            <w:r w:rsidRPr="004D1E6F">
              <w:rPr>
                <w:rFonts w:ascii="Times New Roman" w:hAnsi="Times New Roman" w:cs="Times New Roman"/>
                <w:sz w:val="20"/>
                <w:szCs w:val="20"/>
              </w:rPr>
              <w:t xml:space="preserve"> 6, 83-88.</w:t>
            </w:r>
          </w:p>
        </w:tc>
      </w:tr>
    </w:tbl>
    <w:p w14:paraId="1B70CFDA" w14:textId="77777777" w:rsidR="002D7080" w:rsidRPr="004D1E6F" w:rsidRDefault="002D7080" w:rsidP="002D7080">
      <w:pPr>
        <w:spacing w:after="0" w:line="240" w:lineRule="auto"/>
        <w:rPr>
          <w:rFonts w:ascii="Times New Roman" w:hAnsi="Times New Roman" w:cs="Times New Roman"/>
          <w:b/>
          <w:sz w:val="20"/>
          <w:szCs w:val="20"/>
        </w:rPr>
      </w:pPr>
    </w:p>
    <w:tbl>
      <w:tblPr>
        <w:tblStyle w:val="TableGrid"/>
        <w:tblW w:w="0" w:type="auto"/>
        <w:tblLook w:val="04A0" w:firstRow="1" w:lastRow="0" w:firstColumn="1" w:lastColumn="0" w:noHBand="0" w:noVBand="1"/>
      </w:tblPr>
      <w:tblGrid>
        <w:gridCol w:w="5949"/>
        <w:gridCol w:w="3067"/>
      </w:tblGrid>
      <w:tr w:rsidR="002D7080" w:rsidRPr="004D1E6F" w14:paraId="7F485F22" w14:textId="77777777" w:rsidTr="002E2C37">
        <w:trPr>
          <w:trHeight w:val="343"/>
        </w:trPr>
        <w:tc>
          <w:tcPr>
            <w:tcW w:w="9016" w:type="dxa"/>
            <w:gridSpan w:val="2"/>
            <w:shd w:val="clear" w:color="auto" w:fill="F2F2F2" w:themeFill="background1" w:themeFillShade="F2"/>
          </w:tcPr>
          <w:p w14:paraId="51E2A7B3"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CON4 Closely related species’ socio-economic impact</w:t>
            </w:r>
          </w:p>
        </w:tc>
      </w:tr>
      <w:tr w:rsidR="002D7080" w:rsidRPr="004D1E6F" w14:paraId="6B23A679" w14:textId="77777777" w:rsidTr="002E2C37">
        <w:trPr>
          <w:trHeight w:val="172"/>
        </w:trPr>
        <w:tc>
          <w:tcPr>
            <w:tcW w:w="5949" w:type="dxa"/>
          </w:tcPr>
          <w:p w14:paraId="167684C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Moderate (MO)</w:t>
            </w:r>
          </w:p>
        </w:tc>
        <w:tc>
          <w:tcPr>
            <w:tcW w:w="3067" w:type="dxa"/>
          </w:tcPr>
          <w:p w14:paraId="5BD08FA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191E8326" w14:textId="77777777" w:rsidTr="002E2C37">
        <w:trPr>
          <w:trHeight w:val="70"/>
        </w:trPr>
        <w:tc>
          <w:tcPr>
            <w:tcW w:w="9016" w:type="dxa"/>
            <w:gridSpan w:val="2"/>
          </w:tcPr>
          <w:p w14:paraId="51B6619F"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w:t>
            </w:r>
          </w:p>
          <w:p w14:paraId="5CCBFFBB" w14:textId="77777777" w:rsidR="002D7080" w:rsidRPr="004D1E6F" w:rsidRDefault="002D7080" w:rsidP="002E2C37">
            <w:pPr>
              <w:jc w:val="both"/>
              <w:rPr>
                <w:rFonts w:ascii="Times New Roman" w:hAnsi="Times New Roman" w:cs="Times New Roman"/>
                <w:sz w:val="20"/>
                <w:szCs w:val="20"/>
              </w:rPr>
            </w:pPr>
            <w:r w:rsidRPr="004D1E6F">
              <w:rPr>
                <w:rFonts w:ascii="Times New Roman" w:eastAsia="Times New Roman" w:hAnsi="Times New Roman" w:cs="Times New Roman"/>
                <w:sz w:val="20"/>
                <w:szCs w:val="20"/>
                <w:lang w:eastAsia="en-ZA"/>
              </w:rPr>
              <w:t xml:space="preserve">There are no recorded socio-economic impacts of </w:t>
            </w:r>
            <w:r w:rsidRPr="004D1E6F">
              <w:rPr>
                <w:rFonts w:ascii="Times New Roman" w:eastAsia="Times New Roman" w:hAnsi="Times New Roman" w:cs="Times New Roman"/>
                <w:i/>
                <w:iCs/>
                <w:sz w:val="20"/>
                <w:szCs w:val="20"/>
                <w:lang w:eastAsia="en-ZA"/>
              </w:rPr>
              <w:t>C. destructor</w:t>
            </w:r>
            <w:r w:rsidRPr="004D1E6F">
              <w:rPr>
                <w:rFonts w:ascii="Times New Roman" w:eastAsia="Times New Roman" w:hAnsi="Times New Roman" w:cs="Times New Roman"/>
                <w:sz w:val="20"/>
                <w:szCs w:val="20"/>
                <w:lang w:eastAsia="en-ZA"/>
              </w:rPr>
              <w:t>. Therefore, the closely related</w:t>
            </w:r>
            <w:r w:rsidRPr="004D1E6F">
              <w:rPr>
                <w:rFonts w:ascii="Times New Roman" w:eastAsia="Times New Roman" w:hAnsi="Times New Roman" w:cs="Times New Roman"/>
                <w:i/>
                <w:iCs/>
                <w:sz w:val="20"/>
                <w:szCs w:val="20"/>
                <w:lang w:eastAsia="en-ZA"/>
              </w:rPr>
              <w:t xml:space="preserve"> Cherax quadricarinatus</w:t>
            </w:r>
            <w:r w:rsidRPr="004D1E6F">
              <w:rPr>
                <w:rFonts w:ascii="Times New Roman" w:eastAsia="Times New Roman" w:hAnsi="Times New Roman" w:cs="Times New Roman"/>
                <w:color w:val="000000"/>
                <w:sz w:val="20"/>
                <w:szCs w:val="20"/>
                <w:lang w:eastAsia="en-ZA"/>
              </w:rPr>
              <w:t xml:space="preserve"> has been used to estimate the impacts that may arise from the introduction of </w:t>
            </w:r>
            <w:r w:rsidRPr="004D1E6F">
              <w:rPr>
                <w:rFonts w:ascii="Times New Roman" w:eastAsia="Times New Roman" w:hAnsi="Times New Roman" w:cs="Times New Roman"/>
                <w:i/>
                <w:iCs/>
                <w:color w:val="000000"/>
                <w:sz w:val="20"/>
                <w:szCs w:val="20"/>
                <w:lang w:eastAsia="en-ZA"/>
              </w:rPr>
              <w:t>C. destructor</w:t>
            </w:r>
            <w:r w:rsidRPr="004D1E6F">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i/>
                <w:iCs/>
                <w:color w:val="000000"/>
                <w:sz w:val="20"/>
                <w:szCs w:val="20"/>
                <w:lang w:eastAsia="en-ZA"/>
              </w:rPr>
              <w:t xml:space="preserve"> </w:t>
            </w:r>
            <w:r w:rsidRPr="004D1E6F">
              <w:rPr>
                <w:rFonts w:ascii="Times New Roman" w:eastAsia="Times New Roman" w:hAnsi="Times New Roman" w:cs="Times New Roman"/>
                <w:sz w:val="20"/>
                <w:szCs w:val="20"/>
                <w:lang w:eastAsia="en-ZA"/>
              </w:rPr>
              <w:t>T</w:t>
            </w:r>
            <w:r w:rsidRPr="004D1E6F">
              <w:rPr>
                <w:rFonts w:ascii="Times New Roman" w:hAnsi="Times New Roman" w:cs="Times New Roman"/>
                <w:sz w:val="20"/>
                <w:szCs w:val="20"/>
              </w:rPr>
              <w:t xml:space="preserve">he presence of </w:t>
            </w:r>
            <w:r w:rsidRPr="004D1E6F">
              <w:rPr>
                <w:rFonts w:ascii="Times New Roman" w:hAnsi="Times New Roman" w:cs="Times New Roman"/>
                <w:i/>
                <w:iCs/>
                <w:sz w:val="20"/>
                <w:szCs w:val="20"/>
              </w:rPr>
              <w:t>C. quadricarinatus</w:t>
            </w:r>
            <w:r w:rsidRPr="004D1E6F">
              <w:rPr>
                <w:rFonts w:ascii="Times New Roman" w:hAnsi="Times New Roman" w:cs="Times New Roman"/>
                <w:sz w:val="20"/>
                <w:szCs w:val="20"/>
              </w:rPr>
              <w:t xml:space="preserve"> in local fisheries can threaten the livelihoods of fishers by replacing native species that are of higher economic value, damaging fishing gear and spoiling fish catches (Chakandinakira et al. 2023; </w:t>
            </w:r>
            <w:r w:rsidRPr="004D1E6F">
              <w:rPr>
                <w:rFonts w:ascii="Times New Roman" w:eastAsia="Times New Roman" w:hAnsi="Times New Roman" w:cs="Times New Roman"/>
                <w:color w:val="000000"/>
                <w:sz w:val="20"/>
                <w:szCs w:val="20"/>
                <w:lang w:eastAsia="en-ZA"/>
              </w:rPr>
              <w:t xml:space="preserve">Douthwaite et al. 2018; </w:t>
            </w:r>
            <w:r w:rsidRPr="004D1E6F">
              <w:rPr>
                <w:rFonts w:ascii="Times New Roman" w:hAnsi="Times New Roman" w:cs="Times New Roman"/>
                <w:sz w:val="20"/>
                <w:szCs w:val="20"/>
              </w:rPr>
              <w:t xml:space="preserve">Haubrock et al. 2023; Madzivanzira et al. 2022; </w:t>
            </w:r>
            <w:r w:rsidRPr="004D1E6F">
              <w:rPr>
                <w:rFonts w:ascii="Times New Roman" w:eastAsia="Times New Roman" w:hAnsi="Times New Roman" w:cs="Times New Roman"/>
                <w:color w:val="000000"/>
                <w:sz w:val="20"/>
                <w:szCs w:val="20"/>
                <w:lang w:eastAsia="en-ZA"/>
              </w:rPr>
              <w:t>Vega-Villasante et al. 2015</w:t>
            </w:r>
            <w:r w:rsidRPr="004D1E6F">
              <w:rPr>
                <w:rFonts w:ascii="Times New Roman" w:hAnsi="Times New Roman" w:cs="Times New Roman"/>
                <w:sz w:val="20"/>
                <w:szCs w:val="20"/>
              </w:rPr>
              <w:t>).</w:t>
            </w:r>
          </w:p>
        </w:tc>
      </w:tr>
      <w:tr w:rsidR="002D7080" w:rsidRPr="004D1E6F" w14:paraId="641A6243" w14:textId="77777777" w:rsidTr="002E2C37">
        <w:trPr>
          <w:cantSplit/>
          <w:trHeight w:val="50"/>
        </w:trPr>
        <w:tc>
          <w:tcPr>
            <w:tcW w:w="9016" w:type="dxa"/>
            <w:gridSpan w:val="2"/>
          </w:tcPr>
          <w:p w14:paraId="429A16F4" w14:textId="77777777"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2C6F79CA" w14:textId="06796743" w:rsidR="002D7080" w:rsidRPr="004D1E6F" w:rsidRDefault="002D7080" w:rsidP="003478C7">
            <w:pPr>
              <w:autoSpaceDE w:val="0"/>
              <w:autoSpaceDN w:val="0"/>
              <w:adjustRightInd w:val="0"/>
              <w:ind w:left="567" w:hanging="567"/>
              <w:contextualSpacing/>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Chakandinakira, A.T., Madzivanzira, T.C., Mashonga, S., Muzvondiwa, J.V., Ndlovu, N. &amp; South, J. 2023, ‘Socioeconomic impacts of Australian redclaw crayfish </w:t>
            </w:r>
            <w:r w:rsidRPr="004D1E6F">
              <w:rPr>
                <w:rFonts w:ascii="Times New Roman" w:eastAsia="Calibri" w:hAnsi="Times New Roman" w:cs="Times New Roman"/>
                <w:i/>
                <w:iCs/>
                <w:sz w:val="20"/>
                <w:szCs w:val="20"/>
              </w:rPr>
              <w:t>Cherax quadricarinatus</w:t>
            </w:r>
            <w:r w:rsidRPr="004D1E6F">
              <w:rPr>
                <w:rFonts w:ascii="Times New Roman" w:eastAsia="Calibri" w:hAnsi="Times New Roman" w:cs="Times New Roman"/>
                <w:sz w:val="20"/>
                <w:szCs w:val="20"/>
              </w:rPr>
              <w:t xml:space="preserve"> in Lake Kariba’, </w:t>
            </w:r>
            <w:r w:rsidRPr="004D1E6F">
              <w:rPr>
                <w:rFonts w:ascii="Times New Roman" w:eastAsia="Calibri" w:hAnsi="Times New Roman" w:cs="Times New Roman"/>
                <w:i/>
                <w:iCs/>
                <w:sz w:val="20"/>
                <w:szCs w:val="20"/>
              </w:rPr>
              <w:t xml:space="preserve">Biological Invasions </w:t>
            </w:r>
            <w:r w:rsidRPr="004D1E6F">
              <w:rPr>
                <w:rFonts w:ascii="Times New Roman" w:eastAsia="Calibri" w:hAnsi="Times New Roman" w:cs="Times New Roman"/>
                <w:sz w:val="20"/>
                <w:szCs w:val="20"/>
              </w:rPr>
              <w:t xml:space="preserve">25, 2801-2812. </w:t>
            </w:r>
            <w:r w:rsidR="002070BC" w:rsidRPr="002070BC">
              <w:rPr>
                <w:rFonts w:ascii="Times New Roman" w:eastAsia="Calibri" w:hAnsi="Times New Roman" w:cs="Times New Roman"/>
                <w:sz w:val="20"/>
                <w:szCs w:val="20"/>
              </w:rPr>
              <w:t>https://doi.org/10.1007/s10530-023-03074-8</w:t>
            </w:r>
          </w:p>
          <w:p w14:paraId="4BA00A7B" w14:textId="7A7B2CB5" w:rsidR="002D7080" w:rsidRPr="004D1E6F" w:rsidRDefault="002D7080" w:rsidP="003478C7">
            <w:pPr>
              <w:autoSpaceDE w:val="0"/>
              <w:autoSpaceDN w:val="0"/>
              <w:adjustRightInd w:val="0"/>
              <w:ind w:left="567" w:hanging="567"/>
              <w:contextualSpacing/>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Douthwaite, R., Jones, E., Tyser, A. &amp; Vrdoljak, S., 2018, ‘The introduction, spread and ecology of redclaw crayfish </w:t>
            </w:r>
            <w:r w:rsidRPr="004D1E6F">
              <w:rPr>
                <w:rFonts w:ascii="Times New Roman" w:eastAsia="Calibri" w:hAnsi="Times New Roman" w:cs="Times New Roman"/>
                <w:i/>
                <w:iCs/>
                <w:sz w:val="20"/>
                <w:szCs w:val="20"/>
              </w:rPr>
              <w:t>Cherax quadricarinatus</w:t>
            </w:r>
            <w:r w:rsidRPr="004D1E6F">
              <w:rPr>
                <w:rFonts w:ascii="Times New Roman" w:eastAsia="Calibri" w:hAnsi="Times New Roman" w:cs="Times New Roman"/>
                <w:sz w:val="20"/>
                <w:szCs w:val="20"/>
              </w:rPr>
              <w:t xml:space="preserve"> in the Zambezi catchment’, </w:t>
            </w:r>
            <w:r w:rsidRPr="004D1E6F">
              <w:rPr>
                <w:rFonts w:ascii="Times New Roman" w:eastAsia="Calibri" w:hAnsi="Times New Roman" w:cs="Times New Roman"/>
                <w:i/>
                <w:iCs/>
                <w:sz w:val="20"/>
                <w:szCs w:val="20"/>
              </w:rPr>
              <w:t>African Journal of Aquatic Science</w:t>
            </w:r>
            <w:r w:rsidRPr="004D1E6F">
              <w:rPr>
                <w:rFonts w:ascii="Times New Roman" w:eastAsia="Calibri" w:hAnsi="Times New Roman" w:cs="Times New Roman"/>
                <w:sz w:val="20"/>
                <w:szCs w:val="20"/>
              </w:rPr>
              <w:t xml:space="preserve"> 43, 353–366. </w:t>
            </w:r>
            <w:r w:rsidR="00527413" w:rsidRPr="00527413">
              <w:rPr>
                <w:rFonts w:ascii="Times New Roman" w:eastAsia="Calibri" w:hAnsi="Times New Roman" w:cs="Times New Roman"/>
                <w:sz w:val="20"/>
                <w:szCs w:val="20"/>
              </w:rPr>
              <w:t>https://doi.org/10.2989/16085914.2018.1517080</w:t>
            </w:r>
            <w:r w:rsidRPr="004D1E6F">
              <w:rPr>
                <w:rFonts w:ascii="Times New Roman" w:eastAsia="Calibri" w:hAnsi="Times New Roman" w:cs="Times New Roman"/>
                <w:sz w:val="20"/>
                <w:szCs w:val="20"/>
              </w:rPr>
              <w:t>.</w:t>
            </w:r>
          </w:p>
          <w:p w14:paraId="55BEF131" w14:textId="626F24DF" w:rsidR="002D7080" w:rsidRPr="004D1E6F" w:rsidRDefault="002D7080" w:rsidP="003478C7">
            <w:pPr>
              <w:autoSpaceDE w:val="0"/>
              <w:autoSpaceDN w:val="0"/>
              <w:adjustRightInd w:val="0"/>
              <w:ind w:left="567" w:hanging="567"/>
              <w:contextualSpacing/>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Haubrock, P.J., Oficialdegui, F.J., Zeng, Y., Patoka, J., Yeo, D.C., &amp; Kouba, A., 2021, ‘The redclaw crayfish: A prominent aquaculture species with invasive potential in tropical and subtropical biodiversity hotspots’, </w:t>
            </w:r>
            <w:r w:rsidRPr="004D1E6F">
              <w:rPr>
                <w:rFonts w:ascii="Times New Roman" w:eastAsia="Calibri" w:hAnsi="Times New Roman" w:cs="Times New Roman"/>
                <w:i/>
                <w:iCs/>
                <w:sz w:val="20"/>
                <w:szCs w:val="20"/>
              </w:rPr>
              <w:t>Reviews in Aquaculture</w:t>
            </w:r>
            <w:r w:rsidRPr="004D1E6F">
              <w:rPr>
                <w:rFonts w:ascii="Times New Roman" w:eastAsia="Calibri" w:hAnsi="Times New Roman" w:cs="Times New Roman"/>
                <w:sz w:val="20"/>
                <w:szCs w:val="20"/>
              </w:rPr>
              <w:t xml:space="preserve"> 13(3), 1488-1530</w:t>
            </w:r>
            <w:r w:rsidR="00527413">
              <w:rPr>
                <w:rFonts w:ascii="Times New Roman" w:eastAsia="Calibri" w:hAnsi="Times New Roman" w:cs="Times New Roman"/>
                <w:sz w:val="20"/>
                <w:szCs w:val="20"/>
              </w:rPr>
              <w:t xml:space="preserve">, </w:t>
            </w:r>
            <w:hyperlink r:id="rId126" w:history="1">
              <w:r w:rsidR="002E6E0C" w:rsidRPr="002E6E0C">
                <w:rPr>
                  <w:rStyle w:val="Hyperlink"/>
                  <w:rFonts w:ascii="Times New Roman" w:eastAsia="Calibri" w:hAnsi="Times New Roman" w:cs="Times New Roman"/>
                  <w:bCs/>
                  <w:sz w:val="20"/>
                  <w:szCs w:val="20"/>
                </w:rPr>
                <w:t>https://doi.org/10.1111/raq.12531</w:t>
              </w:r>
            </w:hyperlink>
            <w:r w:rsidRPr="004D1E6F">
              <w:rPr>
                <w:rFonts w:ascii="Times New Roman" w:eastAsia="Calibri" w:hAnsi="Times New Roman" w:cs="Times New Roman"/>
                <w:sz w:val="20"/>
                <w:szCs w:val="20"/>
              </w:rPr>
              <w:t>.</w:t>
            </w:r>
          </w:p>
          <w:p w14:paraId="1937BCD8" w14:textId="5CE6686F" w:rsidR="002D7080" w:rsidRPr="004D1E6F" w:rsidRDefault="002D7080" w:rsidP="003478C7">
            <w:pPr>
              <w:autoSpaceDE w:val="0"/>
              <w:autoSpaceDN w:val="0"/>
              <w:adjustRightInd w:val="0"/>
              <w:ind w:left="567" w:hanging="567"/>
              <w:contextualSpacing/>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Madzivanzira, T.C., Weyl, O.L.F. &amp; South, J., 2022, ‘Ecological and potential socioeconomic impacts of two globally invasive crayfish’, </w:t>
            </w:r>
            <w:r w:rsidRPr="004D1E6F">
              <w:rPr>
                <w:rFonts w:ascii="Times New Roman" w:eastAsia="Calibri" w:hAnsi="Times New Roman" w:cs="Times New Roman"/>
                <w:i/>
                <w:iCs/>
                <w:sz w:val="20"/>
                <w:szCs w:val="20"/>
              </w:rPr>
              <w:t>NeoBiota</w:t>
            </w:r>
            <w:r w:rsidRPr="004D1E6F">
              <w:rPr>
                <w:rFonts w:ascii="Times New Roman" w:eastAsia="Calibri" w:hAnsi="Times New Roman" w:cs="Times New Roman"/>
                <w:sz w:val="20"/>
                <w:szCs w:val="20"/>
              </w:rPr>
              <w:t xml:space="preserve"> 72, 25–43. </w:t>
            </w:r>
            <w:hyperlink r:id="rId127" w:history="1">
              <w:r w:rsidR="00527413" w:rsidRPr="00527413">
                <w:rPr>
                  <w:rStyle w:val="Hyperlink"/>
                  <w:rFonts w:ascii="Times New Roman" w:eastAsia="Calibri" w:hAnsi="Times New Roman" w:cs="Times New Roman"/>
                  <w:sz w:val="20"/>
                  <w:szCs w:val="20"/>
                </w:rPr>
                <w:t>https://doi.org/10.3897/neobiota.72.71868</w:t>
              </w:r>
            </w:hyperlink>
            <w:r w:rsidRPr="004D1E6F">
              <w:rPr>
                <w:rFonts w:ascii="Times New Roman" w:eastAsia="Calibri" w:hAnsi="Times New Roman" w:cs="Times New Roman"/>
                <w:sz w:val="20"/>
                <w:szCs w:val="20"/>
              </w:rPr>
              <w:t>.</w:t>
            </w:r>
          </w:p>
          <w:p w14:paraId="0A546E5B" w14:textId="0E4159F9"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Calibri" w:hAnsi="Times New Roman" w:cs="Times New Roman"/>
                <w:sz w:val="20"/>
                <w:szCs w:val="20"/>
              </w:rPr>
              <w:t xml:space="preserve">Vega-Villasante, F., Avalos-Aguilar, J.J., Nolasco-Soria, H., Vargas-Ceballos, M.A., Bortolini-Rosales, J.L., Chong-Carrillo O. et al., 2015, ‘Wild populations of the invasive Australian red claw crayfish </w:t>
            </w:r>
            <w:r w:rsidRPr="004D1E6F">
              <w:rPr>
                <w:rFonts w:ascii="Times New Roman" w:eastAsia="Calibri" w:hAnsi="Times New Roman" w:cs="Times New Roman"/>
                <w:i/>
                <w:iCs/>
                <w:sz w:val="20"/>
                <w:szCs w:val="20"/>
              </w:rPr>
              <w:t>Cherax quadricarinatus</w:t>
            </w:r>
            <w:r w:rsidRPr="004D1E6F">
              <w:rPr>
                <w:rFonts w:ascii="Times New Roman" w:eastAsia="Calibri" w:hAnsi="Times New Roman" w:cs="Times New Roman"/>
                <w:sz w:val="20"/>
                <w:szCs w:val="20"/>
              </w:rPr>
              <w:t xml:space="preserve"> (Crustacea, Decapoda) near the northern coast of Jalisco, Mexico: a new fishing and profitable resource’, </w:t>
            </w:r>
            <w:r w:rsidRPr="004D1E6F">
              <w:rPr>
                <w:rFonts w:ascii="Times New Roman" w:eastAsia="Calibri" w:hAnsi="Times New Roman" w:cs="Times New Roman"/>
                <w:i/>
                <w:iCs/>
                <w:sz w:val="20"/>
                <w:szCs w:val="20"/>
              </w:rPr>
              <w:t>Latin American Journal of Aquatic Research</w:t>
            </w:r>
            <w:r w:rsidRPr="004D1E6F">
              <w:rPr>
                <w:rFonts w:ascii="Times New Roman" w:eastAsia="Calibri" w:hAnsi="Times New Roman" w:cs="Times New Roman"/>
                <w:sz w:val="20"/>
                <w:szCs w:val="20"/>
              </w:rPr>
              <w:t xml:space="preserve"> 43, 781–785. </w:t>
            </w:r>
            <w:hyperlink r:id="rId128" w:history="1">
              <w:r w:rsidR="00527413" w:rsidRPr="00527413">
                <w:rPr>
                  <w:rStyle w:val="Hyperlink"/>
                  <w:rFonts w:ascii="Times New Roman" w:eastAsia="Calibri" w:hAnsi="Times New Roman" w:cs="Times New Roman"/>
                  <w:bCs/>
                  <w:sz w:val="20"/>
                  <w:szCs w:val="20"/>
                </w:rPr>
                <w:t>https://doi.org/10.3856/vol43-issue4-fulltext-17</w:t>
              </w:r>
            </w:hyperlink>
            <w:r w:rsidRPr="004D1E6F">
              <w:rPr>
                <w:rFonts w:ascii="Times New Roman" w:eastAsia="Calibri" w:hAnsi="Times New Roman" w:cs="Times New Roman"/>
                <w:sz w:val="20"/>
                <w:szCs w:val="20"/>
              </w:rPr>
              <w:t>.</w:t>
            </w:r>
          </w:p>
        </w:tc>
      </w:tr>
    </w:tbl>
    <w:p w14:paraId="63388FEF" w14:textId="77777777" w:rsidR="002D7080" w:rsidRPr="004D1E6F" w:rsidRDefault="002D7080" w:rsidP="002D7080">
      <w:pPr>
        <w:spacing w:after="0" w:line="240" w:lineRule="auto"/>
        <w:rPr>
          <w:rFonts w:ascii="Times New Roman" w:hAnsi="Times New Roman" w:cs="Times New Roman"/>
          <w:b/>
          <w:sz w:val="20"/>
          <w:szCs w:val="20"/>
        </w:rPr>
      </w:pPr>
    </w:p>
    <w:tbl>
      <w:tblPr>
        <w:tblStyle w:val="TableGrid"/>
        <w:tblW w:w="0" w:type="auto"/>
        <w:tblLook w:val="04A0" w:firstRow="1" w:lastRow="0" w:firstColumn="1" w:lastColumn="0" w:noHBand="0" w:noVBand="1"/>
      </w:tblPr>
      <w:tblGrid>
        <w:gridCol w:w="5949"/>
        <w:gridCol w:w="3067"/>
      </w:tblGrid>
      <w:tr w:rsidR="002D7080" w:rsidRPr="004D1E6F" w14:paraId="13D99D15" w14:textId="77777777" w:rsidTr="002E2C37">
        <w:trPr>
          <w:trHeight w:val="343"/>
        </w:trPr>
        <w:tc>
          <w:tcPr>
            <w:tcW w:w="9016" w:type="dxa"/>
            <w:gridSpan w:val="2"/>
            <w:shd w:val="clear" w:color="auto" w:fill="F2F2F2" w:themeFill="background1" w:themeFillShade="F2"/>
          </w:tcPr>
          <w:p w14:paraId="0BF6BDBC"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CON5 Potential impact</w:t>
            </w:r>
          </w:p>
        </w:tc>
      </w:tr>
      <w:tr w:rsidR="002D7080" w:rsidRPr="004D1E6F" w14:paraId="2D427E6B" w14:textId="77777777" w:rsidTr="002E2C37">
        <w:trPr>
          <w:trHeight w:val="172"/>
        </w:trPr>
        <w:tc>
          <w:tcPr>
            <w:tcW w:w="5949" w:type="dxa"/>
          </w:tcPr>
          <w:p w14:paraId="1E6BE28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Major (MR)</w:t>
            </w:r>
          </w:p>
        </w:tc>
        <w:tc>
          <w:tcPr>
            <w:tcW w:w="3067" w:type="dxa"/>
          </w:tcPr>
          <w:p w14:paraId="2BDF36B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0C877266" w14:textId="77777777" w:rsidTr="002E2C37">
        <w:trPr>
          <w:trHeight w:val="70"/>
        </w:trPr>
        <w:tc>
          <w:tcPr>
            <w:tcW w:w="9016" w:type="dxa"/>
            <w:gridSpan w:val="2"/>
          </w:tcPr>
          <w:p w14:paraId="6AF89F57" w14:textId="6D4CE793"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sz w:val="20"/>
                <w:szCs w:val="20"/>
                <w:lang w:eastAsia="en-ZA"/>
              </w:rPr>
              <w:t xml:space="preserve">Cherax destructor </w:t>
            </w:r>
            <w:r w:rsidRPr="004D1E6F">
              <w:rPr>
                <w:rFonts w:ascii="Times New Roman" w:eastAsia="Times New Roman" w:hAnsi="Times New Roman" w:cs="Times New Roman"/>
                <w:sz w:val="20"/>
                <w:szCs w:val="20"/>
                <w:lang w:eastAsia="en-ZA"/>
              </w:rPr>
              <w:t xml:space="preserve">can withstand variety of environmental conditions that help to facilitate its establishment. </w:t>
            </w:r>
            <w:r w:rsidRPr="004D1E6F">
              <w:rPr>
                <w:rFonts w:ascii="Times New Roman" w:eastAsia="Times New Roman" w:hAnsi="Times New Roman" w:cs="Times New Roman"/>
                <w:i/>
                <w:iCs/>
                <w:sz w:val="20"/>
                <w:szCs w:val="20"/>
                <w:lang w:eastAsia="en-ZA"/>
              </w:rPr>
              <w:t xml:space="preserve">Cherax destructor </w:t>
            </w:r>
            <w:r w:rsidRPr="004D1E6F">
              <w:rPr>
                <w:rFonts w:ascii="Times New Roman" w:eastAsia="Times New Roman" w:hAnsi="Times New Roman" w:cs="Times New Roman"/>
                <w:iCs/>
                <w:sz w:val="20"/>
                <w:szCs w:val="20"/>
                <w:lang w:eastAsia="en-ZA"/>
              </w:rPr>
              <w:t>can</w:t>
            </w:r>
            <w:r w:rsidRPr="004D1E6F">
              <w:rPr>
                <w:rFonts w:ascii="Times New Roman" w:eastAsia="Times New Roman" w:hAnsi="Times New Roman" w:cs="Times New Roman"/>
                <w:sz w:val="20"/>
                <w:szCs w:val="20"/>
                <w:lang w:eastAsia="en-ZA"/>
              </w:rPr>
              <w:t xml:space="preserve"> also switch from a diet of fish in summer to a predominantly herbaceous/detrital diet in winter (Beaty 2005). Therefore, it may compete for food resources with closely related native decapods (</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 Nunes et al. 2017).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sz w:val="20"/>
                <w:szCs w:val="20"/>
                <w:lang w:eastAsia="en-ZA"/>
              </w:rPr>
              <w:t xml:space="preserve"> is a possible vector of parasites and diseases as it is known to harbour recognised pathogens such protozoans, bacteria, and viruses that can be transmitted to native species in invaded ecosystems (Edgerton et al. 2002; Longshaw 2011). </w:t>
            </w:r>
          </w:p>
          <w:p w14:paraId="5F05CFF4" w14:textId="77777777" w:rsidR="002D7080" w:rsidRPr="004D1E6F" w:rsidRDefault="002D7080" w:rsidP="002E2C37">
            <w:pPr>
              <w:jc w:val="both"/>
              <w:rPr>
                <w:rFonts w:ascii="Times New Roman" w:eastAsia="Times New Roman" w:hAnsi="Times New Roman" w:cs="Times New Roman"/>
                <w:sz w:val="20"/>
                <w:szCs w:val="20"/>
                <w:lang w:eastAsia="en-ZA"/>
              </w:rPr>
            </w:pPr>
          </w:p>
          <w:p w14:paraId="7D07AD83" w14:textId="181C555B"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Furthermore, the burrowing behaviour of </w:t>
            </w:r>
            <w:r w:rsidRPr="004D1E6F">
              <w:rPr>
                <w:rFonts w:ascii="Times New Roman" w:eastAsia="Times New Roman" w:hAnsi="Times New Roman" w:cs="Times New Roman"/>
                <w:i/>
                <w:sz w:val="20"/>
                <w:szCs w:val="20"/>
                <w:lang w:eastAsia="en-ZA"/>
              </w:rPr>
              <w:t>C. destructor</w:t>
            </w:r>
            <w:r w:rsidRPr="004D1E6F">
              <w:rPr>
                <w:rFonts w:ascii="Times New Roman" w:eastAsia="Times New Roman" w:hAnsi="Times New Roman" w:cs="Times New Roman"/>
                <w:sz w:val="20"/>
                <w:szCs w:val="20"/>
                <w:lang w:eastAsia="en-ZA"/>
              </w:rPr>
              <w:t xml:space="preserve"> is a cause for concern (Withnall 2000), with very deep burrows of 50 cm to 2 m (Withnall 2005). Burrows are connected by access shafts to the water. In the event of the water drying up, they can survive over summer in the burrows. This behaviour can destroy the integrity of dam walls by increasing soil erosion (</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w:t>
            </w:r>
          </w:p>
          <w:p w14:paraId="2A986DAE" w14:textId="77777777" w:rsidR="002D7080" w:rsidRPr="004D1E6F" w:rsidRDefault="002D7080" w:rsidP="002E2C37">
            <w:pPr>
              <w:jc w:val="both"/>
              <w:rPr>
                <w:rFonts w:ascii="Times New Roman" w:eastAsia="Times New Roman" w:hAnsi="Times New Roman" w:cs="Times New Roman"/>
                <w:sz w:val="20"/>
                <w:szCs w:val="20"/>
                <w:lang w:eastAsia="en-ZA"/>
              </w:rPr>
            </w:pPr>
          </w:p>
          <w:p w14:paraId="34B4860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lastRenderedPageBreak/>
              <w:t xml:space="preserve">Particular life history traits (high fecundity, fast growth, large size, omnivorous diet, and wide environmental tolerances) have been inferred to predispose the closely related </w:t>
            </w:r>
            <w:r w:rsidRPr="004D1E6F">
              <w:rPr>
                <w:rFonts w:ascii="Times New Roman" w:hAnsi="Times New Roman" w:cs="Times New Roman"/>
                <w:i/>
                <w:iCs/>
                <w:sz w:val="20"/>
                <w:szCs w:val="20"/>
              </w:rPr>
              <w:t>Cherax quadricarinatus</w:t>
            </w:r>
            <w:r w:rsidRPr="004D1E6F">
              <w:rPr>
                <w:rFonts w:ascii="Times New Roman" w:hAnsi="Times New Roman" w:cs="Times New Roman"/>
                <w:sz w:val="20"/>
                <w:szCs w:val="20"/>
              </w:rPr>
              <w:t xml:space="preserve"> to have major impacts on ecosystems through predation, competition, and transfer of diseases (e.g., Ahyong &amp; Yeo 2007; Bortolini et al. 2007; Lynas et al. 2007; Madzivanzira et al. 2021, 2022; Marufu et al. 2018; Yeo 2010;  Zeng et al. 2019; Zengeya et al. 2022).</w:t>
            </w:r>
          </w:p>
        </w:tc>
      </w:tr>
      <w:tr w:rsidR="002D7080" w:rsidRPr="004D1E6F" w14:paraId="1A9C24C9" w14:textId="77777777" w:rsidTr="002E2C37">
        <w:trPr>
          <w:cantSplit/>
          <w:trHeight w:val="70"/>
        </w:trPr>
        <w:tc>
          <w:tcPr>
            <w:tcW w:w="9016" w:type="dxa"/>
            <w:gridSpan w:val="2"/>
          </w:tcPr>
          <w:p w14:paraId="433C6615"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7F2501DA" w14:textId="7C254B4B" w:rsidR="002D7080" w:rsidRPr="004D1E6F" w:rsidRDefault="002D7080" w:rsidP="003478C7">
            <w:pPr>
              <w:ind w:left="567" w:hanging="567"/>
              <w:contextualSpacing/>
              <w:jc w:val="both"/>
              <w:rPr>
                <w:rFonts w:ascii="Times New Roman" w:hAnsi="Times New Roman" w:cs="Times New Roman"/>
                <w:bCs/>
                <w:sz w:val="20"/>
                <w:szCs w:val="20"/>
              </w:rPr>
            </w:pPr>
            <w:r w:rsidRPr="004D1E6F">
              <w:rPr>
                <w:rFonts w:ascii="Times New Roman" w:hAnsi="Times New Roman" w:cs="Times New Roman"/>
                <w:sz w:val="20"/>
                <w:szCs w:val="20"/>
              </w:rPr>
              <w:t>Ahyong, S.T. &amp; Yeo, D.C.J., 2007, ‘Feral populations of the Australian redclaw crayfish (</w:t>
            </w:r>
            <w:r w:rsidRPr="004D1E6F">
              <w:rPr>
                <w:rFonts w:ascii="Times New Roman" w:hAnsi="Times New Roman" w:cs="Times New Roman"/>
                <w:i/>
                <w:sz w:val="20"/>
                <w:szCs w:val="20"/>
              </w:rPr>
              <w:t>Cherax</w:t>
            </w:r>
            <w:r w:rsidRPr="004D1E6F">
              <w:rPr>
                <w:rFonts w:ascii="Times New Roman" w:hAnsi="Times New Roman" w:cs="Times New Roman"/>
                <w:sz w:val="20"/>
                <w:szCs w:val="20"/>
              </w:rPr>
              <w:t xml:space="preserve"> </w:t>
            </w:r>
            <w:r w:rsidRPr="004D1E6F">
              <w:rPr>
                <w:rFonts w:ascii="Times New Roman" w:hAnsi="Times New Roman" w:cs="Times New Roman"/>
                <w:i/>
                <w:sz w:val="20"/>
                <w:szCs w:val="20"/>
              </w:rPr>
              <w:t>quadricarinatus</w:t>
            </w:r>
            <w:r w:rsidRPr="004D1E6F">
              <w:rPr>
                <w:rFonts w:ascii="Times New Roman" w:hAnsi="Times New Roman" w:cs="Times New Roman"/>
                <w:sz w:val="20"/>
                <w:szCs w:val="20"/>
              </w:rPr>
              <w:t xml:space="preserve"> von Martens) in water supply catchments of Singapore’, </w:t>
            </w:r>
            <w:r w:rsidRPr="004D1E6F">
              <w:rPr>
                <w:rFonts w:ascii="Times New Roman" w:hAnsi="Times New Roman" w:cs="Times New Roman"/>
                <w:i/>
                <w:sz w:val="20"/>
                <w:szCs w:val="20"/>
              </w:rPr>
              <w:t>Biological Invasions</w:t>
            </w:r>
            <w:r w:rsidRPr="004D1E6F">
              <w:rPr>
                <w:rFonts w:ascii="Times New Roman" w:hAnsi="Times New Roman" w:cs="Times New Roman"/>
                <w:sz w:val="20"/>
                <w:szCs w:val="20"/>
              </w:rPr>
              <w:t xml:space="preserve"> </w:t>
            </w:r>
            <w:r w:rsidRPr="004D1E6F">
              <w:rPr>
                <w:rFonts w:ascii="Times New Roman" w:hAnsi="Times New Roman" w:cs="Times New Roman"/>
                <w:bCs/>
                <w:sz w:val="20"/>
                <w:szCs w:val="20"/>
              </w:rPr>
              <w:t>9, 943-946</w:t>
            </w:r>
            <w:r w:rsidR="002E6E0C">
              <w:rPr>
                <w:rFonts w:ascii="Times New Roman" w:hAnsi="Times New Roman" w:cs="Times New Roman"/>
                <w:bCs/>
                <w:sz w:val="20"/>
                <w:szCs w:val="20"/>
              </w:rPr>
              <w:t>,</w:t>
            </w:r>
            <w:r w:rsidR="002E6E0C" w:rsidRPr="002E6E0C">
              <w:rPr>
                <w:rFonts w:ascii="Merriweather Sans" w:hAnsi="Merriweather Sans"/>
                <w:color w:val="222222"/>
                <w:shd w:val="clear" w:color="auto" w:fill="FFFFFF"/>
              </w:rPr>
              <w:t xml:space="preserve"> </w:t>
            </w:r>
            <w:r w:rsidR="002E6E0C" w:rsidRPr="002E6E0C">
              <w:rPr>
                <w:rFonts w:ascii="Times New Roman" w:hAnsi="Times New Roman" w:cs="Times New Roman"/>
                <w:bCs/>
                <w:sz w:val="20"/>
                <w:szCs w:val="20"/>
              </w:rPr>
              <w:t>https://doi.org/10.1007/s10530-007-9094-0</w:t>
            </w:r>
            <w:r w:rsidRPr="004D1E6F">
              <w:rPr>
                <w:rFonts w:ascii="Times New Roman" w:hAnsi="Times New Roman" w:cs="Times New Roman"/>
                <w:bCs/>
                <w:sz w:val="20"/>
                <w:szCs w:val="20"/>
              </w:rPr>
              <w:t>.</w:t>
            </w:r>
          </w:p>
          <w:p w14:paraId="49C4FA50" w14:textId="4270BC32"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Beatty, S., 2005, ‘Translocations of freshwater crayfish: contributions from life histories, trophic relations and diseases of three species in Western Australia’, Doctoral dissertation, Murdoch University, Australia.</w:t>
            </w:r>
            <w:r w:rsidR="002E6E0C" w:rsidRPr="002E6E0C">
              <w:rPr>
                <w:rFonts w:ascii="Times New Roman" w:eastAsia="Calibri" w:hAnsi="Times New Roman" w:cs="Times New Roman"/>
                <w:sz w:val="20"/>
                <w:szCs w:val="20"/>
              </w:rPr>
              <w:t xml:space="preserve"> </w:t>
            </w:r>
            <w:hyperlink r:id="rId129" w:history="1">
              <w:r w:rsidR="002E6E0C" w:rsidRPr="002E6E0C">
                <w:rPr>
                  <w:rStyle w:val="Hyperlink"/>
                  <w:rFonts w:ascii="Times New Roman" w:eastAsia="Times New Roman" w:hAnsi="Times New Roman" w:cs="Times New Roman"/>
                  <w:sz w:val="20"/>
                  <w:szCs w:val="20"/>
                  <w:lang w:eastAsia="en-ZA"/>
                </w:rPr>
                <w:t>https://doi.org/10.1007/s10750-005-5443-0</w:t>
              </w:r>
            </w:hyperlink>
          </w:p>
          <w:p w14:paraId="24C39B1E" w14:textId="3DC67209" w:rsidR="002D7080" w:rsidRPr="004D1E6F" w:rsidRDefault="002D7080" w:rsidP="003478C7">
            <w:pPr>
              <w:ind w:left="567" w:hanging="567"/>
              <w:contextualSpacing/>
              <w:jc w:val="both"/>
              <w:rPr>
                <w:rFonts w:ascii="Times New Roman" w:hAnsi="Times New Roman" w:cs="Times New Roman"/>
                <w:sz w:val="20"/>
                <w:szCs w:val="20"/>
              </w:rPr>
            </w:pPr>
            <w:r w:rsidRPr="004D1E6F">
              <w:rPr>
                <w:rFonts w:ascii="Times New Roman" w:hAnsi="Times New Roman" w:cs="Times New Roman"/>
                <w:bCs/>
                <w:sz w:val="20"/>
                <w:szCs w:val="20"/>
              </w:rPr>
              <w:t xml:space="preserve">Bortolini, J.L., Alvarez, F. &amp; Rodríguez-Almaraz, G., 2007, ‘On the presence of the Australian redclaw crayfish </w:t>
            </w:r>
            <w:r w:rsidRPr="004D1E6F">
              <w:rPr>
                <w:rFonts w:ascii="Times New Roman" w:hAnsi="Times New Roman" w:cs="Times New Roman"/>
                <w:bCs/>
                <w:i/>
                <w:sz w:val="20"/>
                <w:szCs w:val="20"/>
              </w:rPr>
              <w:t>Cherax quadricarinatus</w:t>
            </w:r>
            <w:r w:rsidRPr="004D1E6F">
              <w:rPr>
                <w:rFonts w:ascii="Times New Roman" w:hAnsi="Times New Roman" w:cs="Times New Roman"/>
                <w:bCs/>
                <w:sz w:val="20"/>
                <w:szCs w:val="20"/>
              </w:rPr>
              <w:t xml:space="preserve"> in Mexico’, </w:t>
            </w:r>
            <w:r w:rsidRPr="004D1E6F">
              <w:rPr>
                <w:rFonts w:ascii="Times New Roman" w:hAnsi="Times New Roman" w:cs="Times New Roman"/>
                <w:bCs/>
                <w:i/>
                <w:sz w:val="20"/>
                <w:szCs w:val="20"/>
              </w:rPr>
              <w:t xml:space="preserve">Biological Invasions </w:t>
            </w:r>
            <w:r w:rsidRPr="004D1E6F">
              <w:rPr>
                <w:rFonts w:ascii="Times New Roman" w:hAnsi="Times New Roman" w:cs="Times New Roman"/>
                <w:bCs/>
                <w:sz w:val="20"/>
                <w:szCs w:val="20"/>
              </w:rPr>
              <w:t>9,</w:t>
            </w:r>
            <w:r w:rsidRPr="004D1E6F">
              <w:rPr>
                <w:rFonts w:ascii="Times New Roman" w:hAnsi="Times New Roman" w:cs="Times New Roman"/>
                <w:sz w:val="20"/>
                <w:szCs w:val="20"/>
              </w:rPr>
              <w:t xml:space="preserve"> 615-620. </w:t>
            </w:r>
            <w:r w:rsidR="002E6E0C" w:rsidRPr="002E6E0C">
              <w:rPr>
                <w:rFonts w:ascii="Times New Roman" w:hAnsi="Times New Roman" w:cs="Times New Roman"/>
                <w:sz w:val="20"/>
                <w:szCs w:val="20"/>
              </w:rPr>
              <w:t>https://doi.org/10.1007/s10530-006-9054-0</w:t>
            </w:r>
            <w:r w:rsidRPr="004D1E6F">
              <w:rPr>
                <w:rFonts w:ascii="Times New Roman" w:hAnsi="Times New Roman" w:cs="Times New Roman"/>
                <w:sz w:val="20"/>
                <w:szCs w:val="20"/>
              </w:rPr>
              <w:t>.</w:t>
            </w:r>
          </w:p>
          <w:p w14:paraId="7F228F62" w14:textId="01118B6E" w:rsidR="002D7080" w:rsidRPr="004D1E6F" w:rsidRDefault="008A0BC6" w:rsidP="003478C7">
            <w:pPr>
              <w:ind w:left="720" w:hanging="720"/>
              <w:contextualSpacing/>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De Moor</w:t>
            </w:r>
            <w:r w:rsidR="002D7080" w:rsidRPr="004D1E6F">
              <w:rPr>
                <w:rFonts w:ascii="Times New Roman" w:eastAsia="Times New Roman" w:hAnsi="Times New Roman" w:cs="Times New Roman"/>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sz w:val="20"/>
                <w:szCs w:val="20"/>
                <w:lang w:eastAsia="en-ZA"/>
              </w:rPr>
              <w:t>African Journal of Aquatic Science</w:t>
            </w:r>
            <w:r w:rsidR="002D7080" w:rsidRPr="004D1E6F">
              <w:rPr>
                <w:rFonts w:ascii="Times New Roman" w:eastAsia="Times New Roman" w:hAnsi="Times New Roman" w:cs="Times New Roman"/>
                <w:sz w:val="20"/>
                <w:szCs w:val="20"/>
                <w:lang w:eastAsia="en-ZA"/>
              </w:rPr>
              <w:t xml:space="preserve"> 27, 125–139. </w:t>
            </w:r>
            <w:hyperlink r:id="rId130" w:history="1">
              <w:r w:rsidR="002E6E0C" w:rsidRPr="00D66918">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sz w:val="20"/>
                <w:szCs w:val="20"/>
                <w:lang w:eastAsia="en-ZA"/>
              </w:rPr>
              <w:t>.</w:t>
            </w:r>
          </w:p>
          <w:p w14:paraId="6BE3995C" w14:textId="191EAB5E"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Du Preez, L. &amp; Smit, N., 2013, ‘Double blow: Alien crayfish infected with invasive temnocephalan in South African waters’, </w:t>
            </w:r>
            <w:r w:rsidRPr="004D1E6F">
              <w:rPr>
                <w:rFonts w:ascii="Times New Roman" w:eastAsia="Times New Roman" w:hAnsi="Times New Roman" w:cs="Times New Roman"/>
                <w:i/>
                <w:iCs/>
                <w:sz w:val="20"/>
                <w:szCs w:val="20"/>
                <w:lang w:eastAsia="en-ZA"/>
              </w:rPr>
              <w:t xml:space="preserve">South African Journal of Science </w:t>
            </w:r>
            <w:r w:rsidRPr="004D1E6F">
              <w:rPr>
                <w:rFonts w:ascii="Times New Roman" w:eastAsia="Times New Roman" w:hAnsi="Times New Roman" w:cs="Times New Roman"/>
                <w:iCs/>
                <w:sz w:val="20"/>
                <w:szCs w:val="20"/>
                <w:lang w:eastAsia="en-ZA"/>
              </w:rPr>
              <w:t>109</w:t>
            </w:r>
            <w:r w:rsidRPr="004D1E6F">
              <w:rPr>
                <w:rFonts w:ascii="Times New Roman" w:eastAsia="Times New Roman" w:hAnsi="Times New Roman" w:cs="Times New Roman"/>
                <w:b/>
                <w:sz w:val="20"/>
                <w:szCs w:val="20"/>
                <w:lang w:eastAsia="en-ZA"/>
              </w:rPr>
              <w:t xml:space="preserve">, </w:t>
            </w:r>
            <w:r w:rsidRPr="004D1E6F">
              <w:rPr>
                <w:rFonts w:ascii="Times New Roman" w:eastAsia="Times New Roman" w:hAnsi="Times New Roman" w:cs="Times New Roman"/>
                <w:sz w:val="20"/>
                <w:szCs w:val="20"/>
                <w:lang w:eastAsia="en-ZA"/>
              </w:rPr>
              <w:t xml:space="preserve">01–04. </w:t>
            </w:r>
            <w:hyperlink r:id="rId131" w:history="1">
              <w:r w:rsidR="002E6E0C" w:rsidRPr="00F215B9">
                <w:rPr>
                  <w:rStyle w:val="Hyperlink"/>
                  <w:rFonts w:ascii="Times New Roman" w:eastAsia="Times New Roman" w:hAnsi="Times New Roman" w:cs="Times New Roman"/>
                  <w:sz w:val="20"/>
                  <w:szCs w:val="20"/>
                  <w:lang w:eastAsia="en-ZA"/>
                </w:rPr>
                <w:t>https://hdl.handle.net/10520/EJC142057</w:t>
              </w:r>
            </w:hyperlink>
            <w:r w:rsidR="002E6E0C">
              <w:rPr>
                <w:rFonts w:ascii="Times New Roman" w:eastAsia="Times New Roman" w:hAnsi="Times New Roman" w:cs="Times New Roman"/>
                <w:sz w:val="20"/>
                <w:szCs w:val="20"/>
                <w:lang w:eastAsia="en-ZA"/>
              </w:rPr>
              <w:t xml:space="preserve">  </w:t>
            </w:r>
          </w:p>
          <w:p w14:paraId="3250C005" w14:textId="61FD48CB" w:rsidR="002E6E0C" w:rsidRDefault="002D7080" w:rsidP="003478C7">
            <w:pPr>
              <w:ind w:left="720" w:hanging="720"/>
              <w:contextualSpacing/>
              <w:jc w:val="both"/>
              <w:rPr>
                <w:rFonts w:ascii="Times New Roman" w:eastAsia="Aptos" w:hAnsi="Times New Roman" w:cs="Times New Roman"/>
                <w:kern w:val="2"/>
                <w:sz w:val="20"/>
                <w:szCs w:val="20"/>
              </w:rPr>
            </w:pPr>
            <w:r w:rsidRPr="004D1E6F">
              <w:rPr>
                <w:rFonts w:ascii="Times New Roman" w:eastAsia="Aptos" w:hAnsi="Times New Roman" w:cs="Times New Roman"/>
                <w:kern w:val="2"/>
                <w:sz w:val="20"/>
                <w:szCs w:val="20"/>
              </w:rPr>
              <w:t xml:space="preserve">Edgerton, B.F., Evans L.H., Stephens, F.J. &amp; Overstreet, R.M., 2002, ‘Synopsis of freshwater crayfish diseases and commensal organisms’, </w:t>
            </w:r>
            <w:r w:rsidRPr="004D1E6F">
              <w:rPr>
                <w:rFonts w:ascii="Times New Roman" w:eastAsia="Aptos" w:hAnsi="Times New Roman" w:cs="Times New Roman"/>
                <w:i/>
                <w:iCs/>
                <w:kern w:val="2"/>
                <w:sz w:val="20"/>
                <w:szCs w:val="20"/>
              </w:rPr>
              <w:t>Aquaculture</w:t>
            </w:r>
            <w:r w:rsidRPr="004D1E6F">
              <w:rPr>
                <w:rFonts w:ascii="Times New Roman" w:eastAsia="Aptos" w:hAnsi="Times New Roman" w:cs="Times New Roman"/>
                <w:kern w:val="2"/>
                <w:sz w:val="20"/>
                <w:szCs w:val="20"/>
              </w:rPr>
              <w:t xml:space="preserve"> 206, 57–135. </w:t>
            </w:r>
            <w:r w:rsidR="002E6E0C" w:rsidRPr="00D66918">
              <w:rPr>
                <w:rFonts w:ascii="Times New Roman" w:eastAsia="Aptos" w:hAnsi="Times New Roman" w:cs="Times New Roman"/>
                <w:kern w:val="2"/>
                <w:sz w:val="20"/>
                <w:szCs w:val="20"/>
              </w:rPr>
              <w:t>https://doi.org/10.1016/S0044-8486(01)00865-1</w:t>
            </w:r>
            <w:r w:rsidR="002E6E0C" w:rsidRPr="00D66918" w:rsidDel="002C7FBD">
              <w:rPr>
                <w:rFonts w:ascii="Times New Roman" w:eastAsia="Aptos" w:hAnsi="Times New Roman" w:cs="Times New Roman"/>
                <w:kern w:val="2"/>
                <w:sz w:val="20"/>
                <w:szCs w:val="20"/>
              </w:rPr>
              <w:t xml:space="preserve"> </w:t>
            </w:r>
          </w:p>
          <w:p w14:paraId="51CE3856" w14:textId="4CDE8796"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Aptos" w:hAnsi="Times New Roman" w:cs="Times New Roman"/>
                <w:kern w:val="2"/>
                <w:sz w:val="20"/>
                <w:szCs w:val="20"/>
              </w:rPr>
              <w:t xml:space="preserve">Longshaw, M., 2011, ‘Diseases of crayfish: a review’, </w:t>
            </w:r>
            <w:r w:rsidRPr="004D1E6F">
              <w:rPr>
                <w:rFonts w:ascii="Times New Roman" w:eastAsia="Aptos" w:hAnsi="Times New Roman" w:cs="Times New Roman"/>
                <w:i/>
                <w:iCs/>
                <w:kern w:val="2"/>
                <w:sz w:val="20"/>
                <w:szCs w:val="20"/>
              </w:rPr>
              <w:t>Journal of Invertebrate Pathology</w:t>
            </w:r>
            <w:r w:rsidRPr="004D1E6F">
              <w:rPr>
                <w:rFonts w:ascii="Times New Roman" w:eastAsia="Aptos" w:hAnsi="Times New Roman" w:cs="Times New Roman"/>
                <w:kern w:val="2"/>
                <w:sz w:val="20"/>
                <w:szCs w:val="20"/>
              </w:rPr>
              <w:t xml:space="preserve"> 106, 54–70. </w:t>
            </w:r>
            <w:hyperlink r:id="rId132" w:history="1">
              <w:r w:rsidR="002E6E0C" w:rsidRPr="000E56EC">
                <w:rPr>
                  <w:rStyle w:val="Hyperlink"/>
                  <w:rFonts w:ascii="Times New Roman" w:eastAsia="Aptos" w:hAnsi="Times New Roman" w:cs="Times New Roman"/>
                  <w:kern w:val="2"/>
                  <w:sz w:val="20"/>
                  <w:szCs w:val="20"/>
                </w:rPr>
                <w:t>https://doi.org/10.1016/j.jip.2010.09.013</w:t>
              </w:r>
            </w:hyperlink>
            <w:r w:rsidR="002E6E0C" w:rsidRPr="000E56EC">
              <w:rPr>
                <w:rFonts w:ascii="Times New Roman" w:eastAsia="Aptos" w:hAnsi="Times New Roman" w:cs="Times New Roman"/>
                <w:kern w:val="2"/>
                <w:sz w:val="20"/>
                <w:szCs w:val="20"/>
              </w:rPr>
              <w:t>.</w:t>
            </w:r>
          </w:p>
          <w:p w14:paraId="6F5429D5" w14:textId="77777777" w:rsidR="002D7080" w:rsidRPr="004D1E6F" w:rsidRDefault="002D7080" w:rsidP="003478C7">
            <w:pPr>
              <w:ind w:left="567" w:hanging="567"/>
              <w:contextualSpacing/>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 xml:space="preserve">Lynas, J., Storey, A. &amp; Knott, B., 2007, ‘Introduction and spread of crayfish (Parastacidae) in Western Australia and their potential to displace indigenous species’, In: Gherardi F (ed.) </w:t>
            </w:r>
            <w:r w:rsidRPr="004D1E6F">
              <w:rPr>
                <w:rFonts w:ascii="Times New Roman" w:hAnsi="Times New Roman" w:cs="Times New Roman"/>
                <w:i/>
                <w:iCs/>
                <w:sz w:val="20"/>
                <w:szCs w:val="20"/>
              </w:rPr>
              <w:t>Biological invaders in inland waters: profiles, distribution and threats</w:t>
            </w:r>
            <w:r w:rsidRPr="004D1E6F">
              <w:rPr>
                <w:rFonts w:ascii="Times New Roman" w:hAnsi="Times New Roman" w:cs="Times New Roman"/>
                <w:sz w:val="20"/>
                <w:szCs w:val="20"/>
              </w:rPr>
              <w:t xml:space="preserve">, pp. 577-596, Springer, Dordrecht, Netherlands. </w:t>
            </w:r>
          </w:p>
          <w:p w14:paraId="0AD5D47B" w14:textId="1004584B" w:rsidR="002D7080" w:rsidRPr="004D1E6F" w:rsidRDefault="002D7080" w:rsidP="003478C7">
            <w:pPr>
              <w:ind w:left="567" w:hanging="567"/>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Madzivanzira, T.C., South, J. &amp; Weyl, O.L.F., 2021,’ Invasive crayfish outperform Potamonautid crabs at higher temperatures’, </w:t>
            </w:r>
            <w:r w:rsidRPr="004D1E6F">
              <w:rPr>
                <w:rFonts w:ascii="Times New Roman" w:eastAsia="Times New Roman" w:hAnsi="Times New Roman" w:cs="Times New Roman"/>
                <w:i/>
                <w:iCs/>
                <w:sz w:val="20"/>
                <w:szCs w:val="20"/>
                <w:lang w:eastAsia="en-ZA"/>
              </w:rPr>
              <w:t>Freshwater Biology</w:t>
            </w:r>
            <w:r w:rsidRPr="004D1E6F">
              <w:rPr>
                <w:rFonts w:ascii="Times New Roman" w:eastAsia="Times New Roman" w:hAnsi="Times New Roman" w:cs="Times New Roman"/>
                <w:sz w:val="20"/>
                <w:szCs w:val="20"/>
                <w:lang w:eastAsia="en-ZA"/>
              </w:rPr>
              <w:t xml:space="preserve"> 66(5), 978–991. </w:t>
            </w:r>
            <w:hyperlink r:id="rId133" w:history="1">
              <w:r w:rsidR="000F55CB" w:rsidRPr="000F55CB">
                <w:rPr>
                  <w:rStyle w:val="Hyperlink"/>
                  <w:rFonts w:ascii="Times New Roman" w:eastAsia="Times New Roman" w:hAnsi="Times New Roman" w:cs="Times New Roman"/>
                  <w:sz w:val="20"/>
                  <w:szCs w:val="20"/>
                  <w:lang w:eastAsia="en-ZA"/>
                </w:rPr>
                <w:t>https://doi.org/10.1111/fwb.13691</w:t>
              </w:r>
            </w:hyperlink>
            <w:r w:rsidRPr="004D1E6F">
              <w:rPr>
                <w:rFonts w:ascii="Times New Roman" w:eastAsia="Times New Roman" w:hAnsi="Times New Roman" w:cs="Times New Roman"/>
                <w:sz w:val="20"/>
                <w:szCs w:val="20"/>
                <w:lang w:eastAsia="en-ZA"/>
              </w:rPr>
              <w:t>.</w:t>
            </w:r>
          </w:p>
          <w:p w14:paraId="48452F27" w14:textId="11BBDDB6" w:rsidR="002D7080" w:rsidRPr="004D1E6F" w:rsidRDefault="002D7080" w:rsidP="003478C7">
            <w:pPr>
              <w:spacing w:before="100" w:beforeAutospacing="1" w:after="100" w:afterAutospacing="1"/>
              <w:ind w:left="567" w:hanging="567"/>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Madzivanzira, T.C., Weyl, O.L.F. &amp; South, J., 2022, ‘Ecological and potential socioeconomic impacts of two globally invasive crayfish’, </w:t>
            </w:r>
            <w:r w:rsidRPr="004D1E6F">
              <w:rPr>
                <w:rFonts w:ascii="Times New Roman" w:eastAsia="Times New Roman" w:hAnsi="Times New Roman" w:cs="Times New Roman"/>
                <w:i/>
                <w:iCs/>
                <w:sz w:val="20"/>
                <w:szCs w:val="20"/>
                <w:lang w:eastAsia="en-ZA"/>
              </w:rPr>
              <w:t>NeoBiota</w:t>
            </w:r>
            <w:r w:rsidRPr="004D1E6F">
              <w:rPr>
                <w:rFonts w:ascii="Times New Roman" w:eastAsia="Times New Roman" w:hAnsi="Times New Roman" w:cs="Times New Roman"/>
                <w:sz w:val="20"/>
                <w:szCs w:val="20"/>
                <w:lang w:eastAsia="en-ZA"/>
              </w:rPr>
              <w:t xml:space="preserve"> 72, 25–43. </w:t>
            </w:r>
            <w:hyperlink r:id="rId134" w:history="1">
              <w:r w:rsidR="000F55CB" w:rsidRPr="000F55CB">
                <w:rPr>
                  <w:rStyle w:val="Hyperlink"/>
                  <w:rFonts w:ascii="Times New Roman" w:eastAsia="Times New Roman" w:hAnsi="Times New Roman" w:cs="Times New Roman"/>
                  <w:sz w:val="20"/>
                  <w:szCs w:val="20"/>
                  <w:lang w:eastAsia="en-ZA"/>
                </w:rPr>
                <w:t>https://doi.org/10.3897/neobiota.72.71868</w:t>
              </w:r>
            </w:hyperlink>
            <w:r w:rsidRPr="004D1E6F">
              <w:rPr>
                <w:rFonts w:ascii="Times New Roman" w:eastAsia="Times New Roman" w:hAnsi="Times New Roman" w:cs="Times New Roman"/>
                <w:sz w:val="20"/>
                <w:szCs w:val="20"/>
                <w:lang w:eastAsia="en-ZA"/>
              </w:rPr>
              <w:t>.</w:t>
            </w:r>
          </w:p>
          <w:p w14:paraId="212EB50D" w14:textId="6F3545E3" w:rsidR="002D7080" w:rsidRPr="004D1E6F" w:rsidRDefault="002D7080" w:rsidP="003478C7">
            <w:pPr>
              <w:ind w:left="567" w:hanging="567"/>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Marufu, L.T., Dalu, T., Phiri, C., Barson, M., Simango, R., Utete, B. et al., 2018, ‘The diet of an invasive crayfish, </w:t>
            </w:r>
            <w:r w:rsidRPr="004D1E6F">
              <w:rPr>
                <w:rFonts w:ascii="Times New Roman" w:hAnsi="Times New Roman" w:cs="Times New Roman"/>
                <w:i/>
                <w:iCs/>
                <w:sz w:val="20"/>
                <w:szCs w:val="20"/>
              </w:rPr>
              <w:t>Cherax quadricarinatus</w:t>
            </w:r>
            <w:r w:rsidRPr="004D1E6F">
              <w:rPr>
                <w:rFonts w:ascii="Times New Roman" w:hAnsi="Times New Roman" w:cs="Times New Roman"/>
                <w:sz w:val="20"/>
                <w:szCs w:val="20"/>
              </w:rPr>
              <w:t xml:space="preserve"> (Von Martens, 1868), in Lake Kariba, inferred using stomach content and stable isotope analyses’, </w:t>
            </w:r>
            <w:r w:rsidRPr="004D1E6F">
              <w:rPr>
                <w:rFonts w:ascii="Times New Roman" w:hAnsi="Times New Roman" w:cs="Times New Roman"/>
                <w:i/>
                <w:iCs/>
                <w:sz w:val="20"/>
                <w:szCs w:val="20"/>
              </w:rPr>
              <w:t>BioInvasions Records</w:t>
            </w:r>
            <w:r w:rsidRPr="004D1E6F">
              <w:rPr>
                <w:rFonts w:ascii="Times New Roman" w:hAnsi="Times New Roman" w:cs="Times New Roman"/>
                <w:sz w:val="20"/>
                <w:szCs w:val="20"/>
              </w:rPr>
              <w:t xml:space="preserve"> 7, 121–132. </w:t>
            </w:r>
            <w:hyperlink r:id="rId135" w:history="1">
              <w:r w:rsidR="000F55CB" w:rsidRPr="000F55CB">
                <w:rPr>
                  <w:rStyle w:val="Hyperlink"/>
                  <w:rFonts w:ascii="Times New Roman" w:hAnsi="Times New Roman" w:cs="Times New Roman"/>
                  <w:bCs/>
                  <w:sz w:val="20"/>
                  <w:szCs w:val="20"/>
                </w:rPr>
                <w:t>https://doi.org/10.3391/bir.2018.7.2.03</w:t>
              </w:r>
            </w:hyperlink>
            <w:r w:rsidRPr="004D1E6F">
              <w:rPr>
                <w:rFonts w:ascii="Times New Roman" w:hAnsi="Times New Roman" w:cs="Times New Roman"/>
                <w:sz w:val="20"/>
                <w:szCs w:val="20"/>
              </w:rPr>
              <w:t>.</w:t>
            </w:r>
          </w:p>
          <w:p w14:paraId="17E46AF3" w14:textId="69C70D33"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w:t>
            </w:r>
            <w:hyperlink r:id="rId136" w:history="1">
              <w:r w:rsidR="000F55CB" w:rsidRPr="000F55CB">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sz w:val="20"/>
                <w:szCs w:val="20"/>
                <w:lang w:eastAsia="en-ZA"/>
              </w:rPr>
              <w:t>.</w:t>
            </w:r>
          </w:p>
          <w:p w14:paraId="30E79ABC" w14:textId="77777777"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Withnall, F., 2000, ‘Biology of yabbies (</w:t>
            </w:r>
            <w:r w:rsidRPr="004D1E6F">
              <w:rPr>
                <w:rFonts w:ascii="Times New Roman" w:eastAsia="Times New Roman" w:hAnsi="Times New Roman" w:cs="Times New Roman"/>
                <w:i/>
                <w:iCs/>
                <w:sz w:val="20"/>
                <w:szCs w:val="20"/>
                <w:lang w:eastAsia="en-ZA"/>
              </w:rPr>
              <w:t>Cherax destructor</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Aquaculture notes of the department of Natural Resources and Environment</w:t>
            </w:r>
            <w:r w:rsidRPr="004D1E6F">
              <w:rPr>
                <w:rFonts w:ascii="Times New Roman" w:eastAsia="Times New Roman" w:hAnsi="Times New Roman" w:cs="Times New Roman"/>
                <w:sz w:val="20"/>
                <w:szCs w:val="20"/>
                <w:lang w:eastAsia="en-ZA"/>
              </w:rPr>
              <w:t>, Victoria, Australia.</w:t>
            </w:r>
          </w:p>
          <w:p w14:paraId="4027E973" w14:textId="1452418F" w:rsidR="002D7080" w:rsidRPr="004D1E6F" w:rsidRDefault="002D7080" w:rsidP="003478C7">
            <w:pPr>
              <w:autoSpaceDE w:val="0"/>
              <w:autoSpaceDN w:val="0"/>
              <w:adjustRightInd w:val="0"/>
              <w:ind w:left="567" w:hanging="567"/>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Zeng, Y., Shakir, K.K. &amp; Yeo, D.C.J. 2019, ‘Competition between a native freshwater crab and an invasive crayfish in tropical Southeast Asia’, </w:t>
            </w:r>
            <w:r w:rsidRPr="004D1E6F">
              <w:rPr>
                <w:rFonts w:ascii="Times New Roman" w:hAnsi="Times New Roman" w:cs="Times New Roman"/>
                <w:i/>
                <w:iCs/>
                <w:sz w:val="20"/>
                <w:szCs w:val="20"/>
              </w:rPr>
              <w:t>Biological Invasions</w:t>
            </w:r>
            <w:r w:rsidRPr="004D1E6F">
              <w:rPr>
                <w:rFonts w:ascii="Times New Roman" w:hAnsi="Times New Roman" w:cs="Times New Roman"/>
                <w:sz w:val="20"/>
                <w:szCs w:val="20"/>
              </w:rPr>
              <w:t xml:space="preserve"> 21, 2653–2663. </w:t>
            </w:r>
            <w:r w:rsidR="000F55CB" w:rsidRPr="000F55CB">
              <w:rPr>
                <w:rFonts w:ascii="Times New Roman" w:hAnsi="Times New Roman" w:cs="Times New Roman"/>
                <w:sz w:val="20"/>
                <w:szCs w:val="20"/>
              </w:rPr>
              <w:t>https://doi.org/10.1007/s10530-019-02009-6</w:t>
            </w:r>
            <w:r w:rsidRPr="004D1E6F">
              <w:rPr>
                <w:rFonts w:ascii="Times New Roman" w:hAnsi="Times New Roman" w:cs="Times New Roman"/>
                <w:sz w:val="20"/>
                <w:szCs w:val="20"/>
              </w:rPr>
              <w:t>.</w:t>
            </w:r>
          </w:p>
          <w:p w14:paraId="5633C1BC" w14:textId="32A9D13C"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 xml:space="preserve">Zengeya, T.A, Lombard, R.J.H., Nelwamondo, V.E., Nunes, A.L., Measey, J.G. &amp; Weyl, O.L.F., 2022, ‘Trophic niche of an invasive generalist consumer: Australian redclaw crayfish, </w:t>
            </w:r>
            <w:r w:rsidRPr="004D1E6F">
              <w:rPr>
                <w:rFonts w:ascii="Times New Roman" w:hAnsi="Times New Roman" w:cs="Times New Roman"/>
                <w:i/>
                <w:iCs/>
                <w:sz w:val="20"/>
                <w:szCs w:val="20"/>
              </w:rPr>
              <w:t>Cherax quadricarinatus</w:t>
            </w:r>
            <w:r w:rsidRPr="004D1E6F">
              <w:rPr>
                <w:rFonts w:ascii="Times New Roman" w:hAnsi="Times New Roman" w:cs="Times New Roman"/>
                <w:sz w:val="20"/>
                <w:szCs w:val="20"/>
              </w:rPr>
              <w:t xml:space="preserve">, in the Inkomati River Basin, South Africa’, </w:t>
            </w:r>
            <w:r w:rsidRPr="004D1E6F">
              <w:rPr>
                <w:rFonts w:ascii="Times New Roman" w:hAnsi="Times New Roman" w:cs="Times New Roman"/>
                <w:i/>
                <w:iCs/>
                <w:sz w:val="20"/>
                <w:szCs w:val="20"/>
              </w:rPr>
              <w:t>Austral Ecology</w:t>
            </w:r>
            <w:r w:rsidRPr="004D1E6F">
              <w:rPr>
                <w:rFonts w:ascii="Times New Roman" w:hAnsi="Times New Roman" w:cs="Times New Roman"/>
                <w:sz w:val="20"/>
                <w:szCs w:val="20"/>
              </w:rPr>
              <w:t xml:space="preserve"> 47, 1480-1494. </w:t>
            </w:r>
            <w:r w:rsidR="000F55CB" w:rsidRPr="000F55CB">
              <w:rPr>
                <w:rFonts w:ascii="Times New Roman" w:hAnsi="Times New Roman" w:cs="Times New Roman"/>
                <w:sz w:val="20"/>
                <w:szCs w:val="20"/>
              </w:rPr>
              <w:t>https://doi.org/10.1111/aec.13230</w:t>
            </w:r>
            <w:r w:rsidRPr="004D1E6F">
              <w:rPr>
                <w:rFonts w:ascii="Times New Roman" w:hAnsi="Times New Roman" w:cs="Times New Roman"/>
                <w:sz w:val="20"/>
                <w:szCs w:val="20"/>
              </w:rPr>
              <w:t>.</w:t>
            </w:r>
          </w:p>
        </w:tc>
      </w:tr>
    </w:tbl>
    <w:p w14:paraId="733C048A" w14:textId="77777777" w:rsidR="002D7080" w:rsidRPr="004D1E6F" w:rsidRDefault="002D7080" w:rsidP="002D7080">
      <w:pPr>
        <w:spacing w:after="0" w:line="240" w:lineRule="auto"/>
        <w:rPr>
          <w:rFonts w:ascii="Times New Roman" w:hAnsi="Times New Roman" w:cs="Times New Roman"/>
          <w:b/>
          <w:sz w:val="20"/>
          <w:szCs w:val="20"/>
        </w:rPr>
      </w:pPr>
    </w:p>
    <w:p w14:paraId="608713F2" w14:textId="77777777" w:rsidR="002D7080" w:rsidRPr="004D1E6F" w:rsidRDefault="002D7080" w:rsidP="002D7080">
      <w:pPr>
        <w:spacing w:after="0" w:line="240" w:lineRule="auto"/>
        <w:rPr>
          <w:rFonts w:ascii="Times New Roman" w:hAnsi="Times New Roman" w:cs="Times New Roman"/>
          <w:b/>
          <w:sz w:val="20"/>
          <w:szCs w:val="20"/>
        </w:rPr>
      </w:pPr>
      <w:r w:rsidRPr="004D1E6F">
        <w:rPr>
          <w:rFonts w:ascii="Times New Roman" w:hAnsi="Times New Roman" w:cs="Times New Roman"/>
          <w:b/>
          <w:sz w:val="20"/>
          <w:szCs w:val="20"/>
        </w:rPr>
        <w:br w:type="page"/>
      </w:r>
    </w:p>
    <w:p w14:paraId="391527D2"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4. Management</w:t>
      </w:r>
    </w:p>
    <w:p w14:paraId="7BA57542"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5DE2BA56" w14:textId="77777777" w:rsidTr="002E2C37">
        <w:trPr>
          <w:trHeight w:val="343"/>
        </w:trPr>
        <w:tc>
          <w:tcPr>
            <w:tcW w:w="9067" w:type="dxa"/>
            <w:gridSpan w:val="2"/>
            <w:shd w:val="clear" w:color="auto" w:fill="F2F2F2" w:themeFill="background1" w:themeFillShade="F2"/>
          </w:tcPr>
          <w:p w14:paraId="15905A3E"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MAN1 What is the feasibility to stop future immigration?</w:t>
            </w:r>
          </w:p>
        </w:tc>
      </w:tr>
      <w:tr w:rsidR="002D7080" w:rsidRPr="004D1E6F" w14:paraId="1C3DE796" w14:textId="77777777" w:rsidTr="002E2C37">
        <w:trPr>
          <w:trHeight w:val="172"/>
        </w:trPr>
        <w:tc>
          <w:tcPr>
            <w:tcW w:w="5240" w:type="dxa"/>
          </w:tcPr>
          <w:p w14:paraId="5E136FD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High</w:t>
            </w:r>
          </w:p>
        </w:tc>
        <w:tc>
          <w:tcPr>
            <w:tcW w:w="3827" w:type="dxa"/>
          </w:tcPr>
          <w:p w14:paraId="2AB5D1C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6898F617" w14:textId="77777777" w:rsidTr="002E2C37">
        <w:trPr>
          <w:trHeight w:val="70"/>
        </w:trPr>
        <w:tc>
          <w:tcPr>
            <w:tcW w:w="9067" w:type="dxa"/>
            <w:gridSpan w:val="2"/>
          </w:tcPr>
          <w:p w14:paraId="0DEA179F" w14:textId="7DE1FA82"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Arial" w:hAnsi="Times New Roman" w:cs="Times New Roman"/>
                <w:sz w:val="20"/>
                <w:szCs w:val="20"/>
              </w:rPr>
              <w:t>There are no known populations in neighbouring countries, thus the probability of species entering via unaided primary pathways is very low (</w:t>
            </w:r>
            <w:r w:rsidR="008A0BC6">
              <w:rPr>
                <w:rFonts w:ascii="Times New Roman" w:eastAsia="Arial" w:hAnsi="Times New Roman" w:cs="Times New Roman"/>
                <w:sz w:val="20"/>
                <w:szCs w:val="20"/>
              </w:rPr>
              <w:t>De Moor</w:t>
            </w:r>
            <w:r w:rsidRPr="004D1E6F">
              <w:rPr>
                <w:rFonts w:ascii="Times New Roman" w:eastAsia="Arial" w:hAnsi="Times New Roman" w:cs="Times New Roman"/>
                <w:sz w:val="20"/>
                <w:szCs w:val="20"/>
              </w:rPr>
              <w:t xml:space="preserve"> 2002; Nunes et al. 2017). </w:t>
            </w:r>
            <w:r w:rsidRPr="004D1E6F">
              <w:rPr>
                <w:rFonts w:ascii="Times New Roman" w:eastAsia="Times New Roman" w:hAnsi="Times New Roman" w:cs="Times New Roman"/>
                <w:sz w:val="20"/>
                <w:szCs w:val="20"/>
                <w:lang w:eastAsia="en-ZA"/>
              </w:rPr>
              <w:t xml:space="preserve">Intentional introductions can be prevented through the regulation of imports (Zengeya &amp; Wilson 2020). However, illegal imports can still be problematic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"10.18353/crustacea.44.0", "author" : [ { "dropping-particle" : "", "family" : "Faulkes", "given" : "Zen", "non-dropping-particle" : "", "parse-names" : false, "suffix" : "" } ], "id" : "ITEM-2", "issue" : "November", "issued" : { "date-parts" : [ [ "2015" ] ] }, "page" : "75-92", "title" : "Crustacean Research", "type" : "article-journal", "volume" : "44" }, "uris" : [ "http://www.mendeley.com/documents/?uuid=e0847d33-9219-447a-8947-11c70298c5ed" ] } ], "mendeley" : { "formattedCitation" : "(Faulkes 2015, Nunes et al. 2017b)", "plainTextFormattedCitation" : "(Faulkes 2015, Nunes et al. 2017b)", "previouslyFormattedCitation" : "(Faulkes 2015, Nunes et al. 2017b)"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(Faulkes 2015; Nunes et al. 2017)</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 xml:space="preserve">Cherax destructor </w:t>
            </w:r>
            <w:r w:rsidRPr="004D1E6F">
              <w:rPr>
                <w:rFonts w:ascii="Times New Roman" w:eastAsia="Times New Roman" w:hAnsi="Times New Roman" w:cs="Times New Roman"/>
                <w:sz w:val="20"/>
                <w:szCs w:val="20"/>
                <w:lang w:eastAsia="en-ZA"/>
              </w:rPr>
              <w:t xml:space="preserve">is present in the global pet trade industry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(Faulkes 2015)</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but its potential presence in the pet trade in South Africa is still to be assessed (Nunes et al. 2017).</w:t>
            </w:r>
          </w:p>
        </w:tc>
      </w:tr>
      <w:tr w:rsidR="002D7080" w:rsidRPr="004D1E6F" w14:paraId="17050308" w14:textId="77777777" w:rsidTr="002E2C37">
        <w:trPr>
          <w:trHeight w:val="108"/>
        </w:trPr>
        <w:tc>
          <w:tcPr>
            <w:tcW w:w="9067" w:type="dxa"/>
            <w:gridSpan w:val="2"/>
          </w:tcPr>
          <w:p w14:paraId="4F25CD8F" w14:textId="77777777"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784BD4CA" w14:textId="37CCACCF" w:rsidR="002D7080" w:rsidRPr="004D1E6F" w:rsidRDefault="008A0BC6" w:rsidP="003478C7">
            <w:pPr>
              <w:ind w:left="720" w:hanging="720"/>
              <w:contextualSpacing/>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De Moor</w:t>
            </w:r>
            <w:r w:rsidR="002D7080" w:rsidRPr="004D1E6F">
              <w:rPr>
                <w:rFonts w:ascii="Times New Roman" w:eastAsia="Times New Roman" w:hAnsi="Times New Roman" w:cs="Times New Roman"/>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sz w:val="20"/>
                <w:szCs w:val="20"/>
                <w:lang w:eastAsia="en-ZA"/>
              </w:rPr>
              <w:t>African Journal of Aquatic Science</w:t>
            </w:r>
            <w:r w:rsidR="002D7080" w:rsidRPr="004D1E6F">
              <w:rPr>
                <w:rFonts w:ascii="Times New Roman" w:eastAsia="Times New Roman" w:hAnsi="Times New Roman" w:cs="Times New Roman"/>
                <w:sz w:val="20"/>
                <w:szCs w:val="20"/>
                <w:lang w:eastAsia="en-ZA"/>
              </w:rPr>
              <w:t xml:space="preserve"> 27, 125–139</w:t>
            </w:r>
            <w:r w:rsidR="000F55CB">
              <w:rPr>
                <w:rFonts w:ascii="Times New Roman" w:eastAsia="Times New Roman" w:hAnsi="Times New Roman" w:cs="Times New Roman"/>
                <w:sz w:val="20"/>
                <w:szCs w:val="20"/>
                <w:lang w:eastAsia="en-ZA"/>
              </w:rPr>
              <w:t xml:space="preserve">, </w:t>
            </w:r>
            <w:hyperlink r:id="rId137" w:history="1">
              <w:r w:rsidR="000F55CB" w:rsidRPr="000F55CB">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sz w:val="20"/>
                <w:szCs w:val="20"/>
                <w:lang w:eastAsia="en-ZA"/>
              </w:rPr>
              <w:t>.</w:t>
            </w:r>
          </w:p>
          <w:p w14:paraId="102F5487" w14:textId="420E5C03"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Faulkes, Z., 2015, ‘The global trade in crayfish as pets’, </w:t>
            </w:r>
            <w:r w:rsidRPr="004D1E6F">
              <w:rPr>
                <w:rFonts w:ascii="Times New Roman" w:eastAsia="Times New Roman" w:hAnsi="Times New Roman" w:cs="Times New Roman"/>
                <w:i/>
                <w:iCs/>
                <w:sz w:val="20"/>
                <w:szCs w:val="20"/>
                <w:lang w:eastAsia="en-ZA"/>
              </w:rPr>
              <w:t xml:space="preserve">Crustacean Research </w:t>
            </w:r>
            <w:r w:rsidRPr="004D1E6F">
              <w:rPr>
                <w:rFonts w:ascii="Times New Roman" w:eastAsia="Times New Roman" w:hAnsi="Times New Roman" w:cs="Times New Roman"/>
                <w:iCs/>
                <w:sz w:val="20"/>
                <w:szCs w:val="20"/>
                <w:lang w:eastAsia="en-ZA"/>
              </w:rPr>
              <w:t>44</w:t>
            </w:r>
            <w:r w:rsidRPr="004D1E6F">
              <w:rPr>
                <w:rFonts w:ascii="Times New Roman" w:eastAsia="Times New Roman" w:hAnsi="Times New Roman" w:cs="Times New Roman"/>
                <w:sz w:val="20"/>
                <w:szCs w:val="20"/>
                <w:lang w:eastAsia="en-ZA"/>
              </w:rPr>
              <w:t xml:space="preserve">, 75–92. </w:t>
            </w:r>
            <w:r w:rsidR="000F55CB" w:rsidRPr="000F55CB">
              <w:rPr>
                <w:rFonts w:ascii="Times New Roman" w:eastAsia="Times New Roman" w:hAnsi="Times New Roman" w:cs="Times New Roman"/>
                <w:sz w:val="20"/>
                <w:szCs w:val="20"/>
                <w:lang w:eastAsia="en-ZA"/>
              </w:rPr>
              <w:t>https://doi.org/10.18353/crustacea.44.0_75</w:t>
            </w:r>
            <w:r w:rsidRPr="004D1E6F">
              <w:rPr>
                <w:rFonts w:ascii="Times New Roman" w:eastAsia="Times New Roman" w:hAnsi="Times New Roman" w:cs="Times New Roman"/>
                <w:sz w:val="20"/>
                <w:szCs w:val="20"/>
                <w:lang w:eastAsia="en-ZA"/>
              </w:rPr>
              <w:t>.</w:t>
            </w:r>
          </w:p>
          <w:p w14:paraId="02CA7E5D" w14:textId="3BECBEA0"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w:t>
            </w:r>
            <w:hyperlink r:id="rId138" w:history="1">
              <w:r w:rsidR="000F55CB" w:rsidRPr="000F55CB">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sz w:val="20"/>
                <w:szCs w:val="20"/>
                <w:lang w:eastAsia="en-ZA"/>
              </w:rPr>
              <w:t>.</w:t>
            </w:r>
          </w:p>
          <w:p w14:paraId="2D5E558E" w14:textId="77777777"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 xml:space="preserve">Zengeya, T.A. &amp; Wilson, J.R., 2020, </w:t>
            </w:r>
            <w:r w:rsidRPr="004D1E6F">
              <w:rPr>
                <w:rFonts w:ascii="Times New Roman" w:hAnsi="Times New Roman" w:cs="Times New Roman"/>
                <w:i/>
                <w:iCs/>
                <w:sz w:val="20"/>
                <w:szCs w:val="20"/>
              </w:rPr>
              <w:t>The status of biological invasions and their management in South Africa in 2019</w:t>
            </w:r>
            <w:r w:rsidRPr="004D1E6F">
              <w:rPr>
                <w:rFonts w:ascii="Times New Roman" w:hAnsi="Times New Roman" w:cs="Times New Roman"/>
                <w:sz w:val="20"/>
                <w:szCs w:val="20"/>
              </w:rPr>
              <w:t>, South African National Biodiversity Institute, Kirstenbosch and DSI-NRF Centre of Excellence for Invasion Biology, Stellenbosch. http://dx.doi.org/10.5281/zenodo.3947613.</w:t>
            </w:r>
          </w:p>
        </w:tc>
      </w:tr>
    </w:tbl>
    <w:p w14:paraId="3651F73D" w14:textId="77777777" w:rsidR="002D7080" w:rsidRPr="004D1E6F" w:rsidRDefault="002D7080" w:rsidP="003478C7">
      <w:pPr>
        <w:spacing w:after="0" w:line="240" w:lineRule="auto"/>
        <w:contextualSpacing/>
        <w:jc w:val="both"/>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27D5EDC9" w14:textId="77777777" w:rsidTr="002E2C37">
        <w:trPr>
          <w:trHeight w:val="343"/>
        </w:trPr>
        <w:tc>
          <w:tcPr>
            <w:tcW w:w="9067" w:type="dxa"/>
            <w:gridSpan w:val="2"/>
            <w:shd w:val="clear" w:color="auto" w:fill="F2F2F2" w:themeFill="background1" w:themeFillShade="F2"/>
          </w:tcPr>
          <w:p w14:paraId="0186B4E2"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MAN2 Benefits of the Taxon</w:t>
            </w:r>
          </w:p>
        </w:tc>
      </w:tr>
      <w:tr w:rsidR="002D7080" w:rsidRPr="004D1E6F" w14:paraId="63F1A8F3" w14:textId="77777777" w:rsidTr="002E2C37">
        <w:trPr>
          <w:trHeight w:val="343"/>
        </w:trPr>
        <w:tc>
          <w:tcPr>
            <w:tcW w:w="9067" w:type="dxa"/>
            <w:gridSpan w:val="2"/>
            <w:shd w:val="clear" w:color="auto" w:fill="F2F2F2" w:themeFill="background1" w:themeFillShade="F2"/>
          </w:tcPr>
          <w:p w14:paraId="55100DE3"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MAN2a Socio-economic benefits of the </w:t>
            </w:r>
            <w:r w:rsidRPr="004D1E6F">
              <w:rPr>
                <w:rFonts w:ascii="Times New Roman" w:eastAsia="Times New Roman" w:hAnsi="Times New Roman" w:cs="Times New Roman"/>
                <w:b/>
                <w:i/>
                <w:sz w:val="20"/>
                <w:szCs w:val="20"/>
                <w:lang w:eastAsia="en-ZA"/>
              </w:rPr>
              <w:t>Taxon</w:t>
            </w:r>
          </w:p>
        </w:tc>
      </w:tr>
      <w:tr w:rsidR="002D7080" w:rsidRPr="004D1E6F" w14:paraId="653B1CD2" w14:textId="77777777" w:rsidTr="002E2C37">
        <w:trPr>
          <w:trHeight w:val="172"/>
        </w:trPr>
        <w:tc>
          <w:tcPr>
            <w:tcW w:w="5240" w:type="dxa"/>
          </w:tcPr>
          <w:p w14:paraId="48EB4E9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Low</w:t>
            </w:r>
          </w:p>
        </w:tc>
        <w:tc>
          <w:tcPr>
            <w:tcW w:w="3827" w:type="dxa"/>
          </w:tcPr>
          <w:p w14:paraId="0632C84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1189485F" w14:textId="77777777" w:rsidTr="002E2C37">
        <w:trPr>
          <w:trHeight w:val="70"/>
        </w:trPr>
        <w:tc>
          <w:tcPr>
            <w:tcW w:w="9067" w:type="dxa"/>
            <w:gridSpan w:val="2"/>
          </w:tcPr>
          <w:p w14:paraId="27CD7EE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Production of crayfish in general in South Africa has had mixed success. Experimental research for the use of </w:t>
            </w:r>
            <w:r w:rsidRPr="004D1E6F">
              <w:rPr>
                <w:rFonts w:ascii="Times New Roman" w:eastAsia="Times New Roman" w:hAnsi="Times New Roman" w:cs="Times New Roman"/>
                <w:i/>
                <w:iCs/>
                <w:sz w:val="20"/>
                <w:szCs w:val="20"/>
                <w:lang w:eastAsia="en-ZA"/>
              </w:rPr>
              <w:t>C. destructor</w:t>
            </w:r>
            <w:r w:rsidRPr="004D1E6F">
              <w:rPr>
                <w:rFonts w:ascii="Times New Roman" w:eastAsia="Times New Roman" w:hAnsi="Times New Roman" w:cs="Times New Roman"/>
                <w:sz w:val="20"/>
                <w:szCs w:val="20"/>
                <w:lang w:eastAsia="en-ZA"/>
              </w:rPr>
              <w:t xml:space="preserve"> in aquaculture was unsuccessful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"mendeley" : { "formattedCitation" : "(Nunes et al. 2017)", "plainTextFormattedCitation" : "(Nunes et al. 2017)", "previouslyFormattedCitation" : "(Nunes et al. 2017)"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As a result, aquaculture of </w:t>
            </w:r>
            <w:r w:rsidRPr="004D1E6F">
              <w:rPr>
                <w:rFonts w:ascii="Times New Roman" w:eastAsia="Times New Roman" w:hAnsi="Times New Roman" w:cs="Times New Roman"/>
                <w:iCs/>
                <w:sz w:val="20"/>
                <w:szCs w:val="20"/>
                <w:lang w:eastAsia="en-ZA"/>
              </w:rPr>
              <w:t>crayfish</w:t>
            </w:r>
            <w:r w:rsidRPr="004D1E6F">
              <w:rPr>
                <w:rFonts w:ascii="Times New Roman" w:eastAsia="Times New Roman" w:hAnsi="Times New Roman" w:cs="Times New Roman"/>
                <w:i/>
                <w:iCs/>
                <w:sz w:val="20"/>
                <w:szCs w:val="20"/>
                <w:lang w:eastAsia="en-ZA"/>
              </w:rPr>
              <w:t xml:space="preserve"> </w:t>
            </w:r>
            <w:r w:rsidRPr="004D1E6F">
              <w:rPr>
                <w:rFonts w:ascii="Times New Roman" w:eastAsia="Times New Roman" w:hAnsi="Times New Roman" w:cs="Times New Roman"/>
                <w:sz w:val="20"/>
                <w:szCs w:val="20"/>
                <w:lang w:eastAsia="en-ZA"/>
              </w:rPr>
              <w:t xml:space="preserve">has been restricted to </w:t>
            </w:r>
            <w:r w:rsidRPr="004D1E6F">
              <w:rPr>
                <w:rFonts w:ascii="Times New Roman" w:eastAsia="Times New Roman" w:hAnsi="Times New Roman" w:cs="Times New Roman"/>
                <w:i/>
                <w:iCs/>
                <w:sz w:val="20"/>
                <w:szCs w:val="20"/>
                <w:lang w:eastAsia="en-ZA"/>
              </w:rPr>
              <w:t>Cherax cainii</w:t>
            </w:r>
            <w:r w:rsidRPr="004D1E6F">
              <w:rPr>
                <w:rFonts w:ascii="Times New Roman" w:eastAsia="Times New Roman" w:hAnsi="Times New Roman" w:cs="Times New Roman"/>
                <w:sz w:val="20"/>
                <w:szCs w:val="20"/>
                <w:lang w:eastAsia="en-ZA"/>
              </w:rPr>
              <w:t xml:space="preserve"> in a few small scale aquaculture farms in Eastern Cape and Western Cape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"mendeley" : { "formattedCitation" : "(Madzivanzira et al. 2020)", "plainTextFormattedCitation" : "(Madzivanzira et al. 2020)", "previouslyFormattedCitation" : "(Madzivanzira et al. 2020)"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(Madzivanzira et al. 2020)</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w:t>
            </w:r>
          </w:p>
        </w:tc>
      </w:tr>
      <w:tr w:rsidR="002D7080" w:rsidRPr="004D1E6F" w14:paraId="0EA692A0" w14:textId="77777777" w:rsidTr="002E2C37">
        <w:trPr>
          <w:trHeight w:val="70"/>
        </w:trPr>
        <w:tc>
          <w:tcPr>
            <w:tcW w:w="9067" w:type="dxa"/>
            <w:gridSpan w:val="2"/>
          </w:tcPr>
          <w:p w14:paraId="5AAA14B0" w14:textId="77777777"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49E89C46" w14:textId="0459CA4F" w:rsidR="002D7080" w:rsidRPr="004D1E6F" w:rsidRDefault="002D7080" w:rsidP="003478C7">
            <w:pPr>
              <w:ind w:left="720" w:hanging="720"/>
              <w:contextualSpacing/>
              <w:jc w:val="both"/>
              <w:rPr>
                <w:rFonts w:ascii="Times New Roman" w:eastAsia="Times New Roman" w:hAnsi="Times New Roman" w:cs="Times New Roman"/>
                <w:iCs/>
                <w:sz w:val="20"/>
                <w:szCs w:val="20"/>
                <w:lang w:eastAsia="en-ZA"/>
              </w:rPr>
            </w:pPr>
            <w:r w:rsidRPr="004D1E6F">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4D1E6F">
              <w:rPr>
                <w:rFonts w:ascii="Times New Roman" w:eastAsia="Times New Roman" w:hAnsi="Times New Roman" w:cs="Times New Roman"/>
                <w:i/>
                <w:sz w:val="20"/>
                <w:szCs w:val="20"/>
                <w:lang w:eastAsia="en-ZA"/>
              </w:rPr>
              <w:t xml:space="preserve">Reviews in Fisheries Science &amp; Aquaculture </w:t>
            </w:r>
            <w:r w:rsidRPr="004D1E6F">
              <w:rPr>
                <w:rFonts w:ascii="Times New Roman" w:eastAsia="Times New Roman" w:hAnsi="Times New Roman" w:cs="Times New Roman"/>
                <w:iCs/>
                <w:sz w:val="20"/>
                <w:szCs w:val="20"/>
                <w:lang w:eastAsia="en-ZA"/>
              </w:rPr>
              <w:t>29(2),</w:t>
            </w:r>
            <w:r w:rsidRPr="004D1E6F">
              <w:rPr>
                <w:rFonts w:ascii="Times New Roman" w:eastAsia="Times New Roman" w:hAnsi="Times New Roman" w:cs="Times New Roman"/>
                <w:i/>
                <w:sz w:val="20"/>
                <w:szCs w:val="20"/>
                <w:lang w:eastAsia="en-ZA"/>
              </w:rPr>
              <w:t xml:space="preserve"> </w:t>
            </w:r>
            <w:r w:rsidRPr="004D1E6F">
              <w:rPr>
                <w:rFonts w:ascii="Times New Roman" w:eastAsia="Times New Roman" w:hAnsi="Times New Roman" w:cs="Times New Roman"/>
                <w:sz w:val="20"/>
                <w:szCs w:val="20"/>
                <w:lang w:eastAsia="en-ZA"/>
              </w:rPr>
              <w:t>1-21</w:t>
            </w:r>
            <w:r w:rsidRPr="004D1E6F">
              <w:rPr>
                <w:rFonts w:ascii="Times New Roman" w:eastAsia="Times New Roman" w:hAnsi="Times New Roman" w:cs="Times New Roman"/>
                <w:i/>
                <w:sz w:val="20"/>
                <w:szCs w:val="20"/>
                <w:lang w:eastAsia="en-ZA"/>
              </w:rPr>
              <w:t>.</w:t>
            </w:r>
            <w:r w:rsidRPr="004D1E6F">
              <w:rPr>
                <w:rFonts w:ascii="Times New Roman" w:eastAsia="Times New Roman" w:hAnsi="Times New Roman" w:cs="Times New Roman"/>
                <w:iCs/>
                <w:sz w:val="20"/>
                <w:szCs w:val="20"/>
                <w:lang w:eastAsia="en-ZA"/>
              </w:rPr>
              <w:t xml:space="preserve"> </w:t>
            </w:r>
            <w:r w:rsidR="000F55CB" w:rsidRPr="000F55CB">
              <w:rPr>
                <w:rFonts w:ascii="Times New Roman" w:eastAsia="Times New Roman" w:hAnsi="Times New Roman" w:cs="Times New Roman"/>
                <w:iCs/>
                <w:sz w:val="20"/>
                <w:szCs w:val="20"/>
                <w:lang w:eastAsia="en-ZA"/>
              </w:rPr>
              <w:t>https://doi.org/10.1080/23308249.2020.1802405</w:t>
            </w:r>
            <w:r w:rsidRPr="004D1E6F">
              <w:rPr>
                <w:rFonts w:ascii="Times New Roman" w:eastAsia="Times New Roman" w:hAnsi="Times New Roman" w:cs="Times New Roman"/>
                <w:iCs/>
                <w:sz w:val="20"/>
                <w:szCs w:val="20"/>
                <w:lang w:eastAsia="en-ZA"/>
              </w:rPr>
              <w:t>.</w:t>
            </w:r>
          </w:p>
          <w:p w14:paraId="7BBFF853" w14:textId="03B2E56F"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w:t>
            </w:r>
            <w:hyperlink r:id="rId139" w:history="1">
              <w:r w:rsidR="000F55CB" w:rsidRPr="000F55CB">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sz w:val="20"/>
                <w:szCs w:val="20"/>
                <w:lang w:eastAsia="en-ZA"/>
              </w:rPr>
              <w:t>.</w:t>
            </w:r>
          </w:p>
        </w:tc>
      </w:tr>
      <w:tr w:rsidR="002D7080" w:rsidRPr="004D1E6F" w14:paraId="4FD47658" w14:textId="77777777" w:rsidTr="002E2C37">
        <w:trPr>
          <w:trHeight w:val="343"/>
        </w:trPr>
        <w:tc>
          <w:tcPr>
            <w:tcW w:w="9067" w:type="dxa"/>
            <w:gridSpan w:val="2"/>
            <w:shd w:val="clear" w:color="auto" w:fill="F2F2F2" w:themeFill="background1" w:themeFillShade="F2"/>
          </w:tcPr>
          <w:p w14:paraId="2753AB04"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MAN2b Environmental benefits of the </w:t>
            </w:r>
            <w:r w:rsidRPr="004D1E6F">
              <w:rPr>
                <w:rFonts w:ascii="Times New Roman" w:eastAsia="Times New Roman" w:hAnsi="Times New Roman" w:cs="Times New Roman"/>
                <w:b/>
                <w:i/>
                <w:sz w:val="20"/>
                <w:szCs w:val="20"/>
                <w:lang w:eastAsia="en-ZA"/>
              </w:rPr>
              <w:t>Taxon</w:t>
            </w:r>
          </w:p>
        </w:tc>
      </w:tr>
      <w:tr w:rsidR="002D7080" w:rsidRPr="004D1E6F" w14:paraId="413ED36F" w14:textId="77777777" w:rsidTr="002E2C37">
        <w:trPr>
          <w:trHeight w:val="259"/>
        </w:trPr>
        <w:tc>
          <w:tcPr>
            <w:tcW w:w="5240" w:type="dxa"/>
          </w:tcPr>
          <w:p w14:paraId="24CCE92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Low</w:t>
            </w:r>
          </w:p>
        </w:tc>
        <w:tc>
          <w:tcPr>
            <w:tcW w:w="3827" w:type="dxa"/>
          </w:tcPr>
          <w:p w14:paraId="64197F8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5D90FC56" w14:textId="77777777" w:rsidTr="002E2C37">
        <w:trPr>
          <w:trHeight w:val="70"/>
        </w:trPr>
        <w:tc>
          <w:tcPr>
            <w:tcW w:w="9067" w:type="dxa"/>
            <w:gridSpan w:val="2"/>
          </w:tcPr>
          <w:p w14:paraId="22421E4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There are no recorded environmental benefits associated with </w:t>
            </w:r>
            <w:r w:rsidRPr="004D1E6F">
              <w:rPr>
                <w:rFonts w:ascii="Times New Roman" w:eastAsia="Times New Roman" w:hAnsi="Times New Roman" w:cs="Times New Roman"/>
                <w:i/>
                <w:iCs/>
                <w:sz w:val="20"/>
                <w:szCs w:val="20"/>
                <w:lang w:eastAsia="en-ZA"/>
              </w:rPr>
              <w:t>C. destructor</w:t>
            </w:r>
            <w:r w:rsidRPr="004D1E6F">
              <w:rPr>
                <w:rFonts w:ascii="Times New Roman" w:eastAsia="Times New Roman" w:hAnsi="Times New Roman" w:cs="Times New Roman"/>
                <w:sz w:val="20"/>
                <w:szCs w:val="20"/>
                <w:lang w:eastAsia="en-ZA"/>
              </w:rPr>
              <w:t>.</w:t>
            </w:r>
          </w:p>
        </w:tc>
      </w:tr>
      <w:tr w:rsidR="002D7080" w:rsidRPr="004D1E6F" w14:paraId="4A2E5E3E" w14:textId="77777777" w:rsidTr="002E2C37">
        <w:trPr>
          <w:trHeight w:val="70"/>
        </w:trPr>
        <w:tc>
          <w:tcPr>
            <w:tcW w:w="9067" w:type="dxa"/>
            <w:gridSpan w:val="2"/>
          </w:tcPr>
          <w:p w14:paraId="1E2D47F6"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6FE23B00"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3D67CD62" w14:textId="77777777" w:rsidTr="002E2C37">
        <w:trPr>
          <w:trHeight w:val="343"/>
        </w:trPr>
        <w:tc>
          <w:tcPr>
            <w:tcW w:w="9067" w:type="dxa"/>
            <w:gridSpan w:val="2"/>
            <w:shd w:val="clear" w:color="auto" w:fill="F2F2F2" w:themeFill="background1" w:themeFillShade="F2"/>
          </w:tcPr>
          <w:p w14:paraId="54FE5DF8"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MAN3 Ease of management</w:t>
            </w:r>
          </w:p>
        </w:tc>
      </w:tr>
      <w:tr w:rsidR="002D7080" w:rsidRPr="004D1E6F" w14:paraId="559862DF" w14:textId="77777777" w:rsidTr="002E2C37">
        <w:trPr>
          <w:trHeight w:val="343"/>
        </w:trPr>
        <w:tc>
          <w:tcPr>
            <w:tcW w:w="9067" w:type="dxa"/>
            <w:gridSpan w:val="2"/>
            <w:shd w:val="clear" w:color="auto" w:fill="F2F2F2" w:themeFill="background1" w:themeFillShade="F2"/>
          </w:tcPr>
          <w:p w14:paraId="523EFDB8" w14:textId="77777777" w:rsidR="002D7080" w:rsidRPr="004D1E6F" w:rsidRDefault="002D7080" w:rsidP="002E2C37">
            <w:pPr>
              <w:rPr>
                <w:rFonts w:ascii="Times New Roman" w:hAnsi="Times New Roman" w:cs="Times New Roman"/>
                <w:sz w:val="20"/>
                <w:szCs w:val="20"/>
              </w:rPr>
            </w:pPr>
            <w:bookmarkStart w:id="13" w:name="_Hlk159788274"/>
            <w:r w:rsidRPr="004D1E6F">
              <w:rPr>
                <w:rFonts w:ascii="Times New Roman" w:eastAsia="Times New Roman" w:hAnsi="Times New Roman" w:cs="Times New Roman"/>
                <w:b/>
                <w:sz w:val="20"/>
                <w:szCs w:val="20"/>
                <w:lang w:eastAsia="en-ZA"/>
              </w:rPr>
              <w:lastRenderedPageBreak/>
              <w:t>MAN3a How accessible are populations?</w:t>
            </w:r>
            <w:bookmarkEnd w:id="13"/>
          </w:p>
        </w:tc>
      </w:tr>
      <w:tr w:rsidR="002D7080" w:rsidRPr="004D1E6F" w14:paraId="1CCBC3B5" w14:textId="77777777" w:rsidTr="002E2C37">
        <w:trPr>
          <w:trHeight w:val="183"/>
        </w:trPr>
        <w:tc>
          <w:tcPr>
            <w:tcW w:w="5240" w:type="dxa"/>
          </w:tcPr>
          <w:p w14:paraId="5215D57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2 (difficult to access)</w:t>
            </w:r>
          </w:p>
        </w:tc>
        <w:tc>
          <w:tcPr>
            <w:tcW w:w="3827" w:type="dxa"/>
          </w:tcPr>
          <w:p w14:paraId="2AABD30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6C8FCB8C" w14:textId="77777777" w:rsidTr="002E2C37">
        <w:trPr>
          <w:trHeight w:val="163"/>
        </w:trPr>
        <w:tc>
          <w:tcPr>
            <w:tcW w:w="9067" w:type="dxa"/>
            <w:gridSpan w:val="2"/>
          </w:tcPr>
          <w:p w14:paraId="501FBC8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sz w:val="20"/>
                <w:szCs w:val="20"/>
                <w:lang w:eastAsia="en-ZA"/>
              </w:rPr>
              <w:t xml:space="preserve">Cherax destructor </w:t>
            </w:r>
            <w:r w:rsidRPr="004D1E6F">
              <w:rPr>
                <w:rFonts w:ascii="Times New Roman" w:eastAsia="Times New Roman" w:hAnsi="Times New Roman" w:cs="Times New Roman"/>
                <w:sz w:val="20"/>
                <w:szCs w:val="20"/>
                <w:lang w:eastAsia="en-ZA"/>
              </w:rPr>
              <w:t xml:space="preserve">is a small nocturnal aquatic species that is difficult to access (Larson et al. 2016). </w:t>
            </w:r>
          </w:p>
        </w:tc>
      </w:tr>
      <w:tr w:rsidR="002D7080" w:rsidRPr="004D1E6F" w14:paraId="05DC2BC6" w14:textId="77777777" w:rsidTr="002E2C37">
        <w:trPr>
          <w:trHeight w:val="70"/>
        </w:trPr>
        <w:tc>
          <w:tcPr>
            <w:tcW w:w="9067" w:type="dxa"/>
            <w:gridSpan w:val="2"/>
          </w:tcPr>
          <w:p w14:paraId="6380B185"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B27184D"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Style w:val="cf01"/>
                <w:rFonts w:ascii="Times New Roman" w:hAnsi="Times New Roman" w:cs="Times New Roman"/>
                <w:sz w:val="20"/>
                <w:szCs w:val="20"/>
              </w:rPr>
              <w:t xml:space="preserve">Larson, E.R. &amp; Olden, J.D., 2016, ‘Field sampling techniques for crayfish’, In: Longshaw, M. &amp; Stebbing, P. (eds), </w:t>
            </w:r>
            <w:r w:rsidRPr="004D1E6F">
              <w:rPr>
                <w:rStyle w:val="cf01"/>
                <w:rFonts w:ascii="Times New Roman" w:hAnsi="Times New Roman" w:cs="Times New Roman"/>
                <w:i/>
                <w:iCs/>
                <w:sz w:val="20"/>
                <w:szCs w:val="20"/>
              </w:rPr>
              <w:t>Biology and Ecology of Crayfish 1st edn</w:t>
            </w:r>
            <w:r w:rsidRPr="004D1E6F">
              <w:rPr>
                <w:rStyle w:val="cf01"/>
                <w:rFonts w:ascii="Times New Roman" w:hAnsi="Times New Roman" w:cs="Times New Roman"/>
                <w:sz w:val="20"/>
                <w:szCs w:val="20"/>
              </w:rPr>
              <w:t>., pp. 287- 323, CRC Press, Boca Raton.</w:t>
            </w:r>
          </w:p>
        </w:tc>
      </w:tr>
      <w:tr w:rsidR="002D7080" w:rsidRPr="004D1E6F" w14:paraId="00F50DE7" w14:textId="77777777" w:rsidTr="002E2C37">
        <w:trPr>
          <w:trHeight w:val="343"/>
        </w:trPr>
        <w:tc>
          <w:tcPr>
            <w:tcW w:w="9067" w:type="dxa"/>
            <w:gridSpan w:val="2"/>
            <w:shd w:val="clear" w:color="auto" w:fill="F2F2F2" w:themeFill="background1" w:themeFillShade="F2"/>
          </w:tcPr>
          <w:p w14:paraId="6A8810B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MAN3b Is detectability critically time-dependent?</w:t>
            </w:r>
          </w:p>
        </w:tc>
      </w:tr>
      <w:tr w:rsidR="002D7080" w:rsidRPr="004D1E6F" w14:paraId="63042B1A" w14:textId="77777777" w:rsidTr="002E2C37">
        <w:trPr>
          <w:trHeight w:val="183"/>
        </w:trPr>
        <w:tc>
          <w:tcPr>
            <w:tcW w:w="5240" w:type="dxa"/>
          </w:tcPr>
          <w:p w14:paraId="542301DA" w14:textId="77777777" w:rsidR="002D7080" w:rsidRPr="004D1E6F" w:rsidRDefault="002D7080" w:rsidP="002E2C37">
            <w:pPr>
              <w:tabs>
                <w:tab w:val="left" w:pos="1481"/>
              </w:tabs>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2 (yes)</w:t>
            </w:r>
          </w:p>
        </w:tc>
        <w:tc>
          <w:tcPr>
            <w:tcW w:w="3827" w:type="dxa"/>
          </w:tcPr>
          <w:p w14:paraId="5E0AE51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55B3CF5C" w14:textId="77777777" w:rsidTr="002E2C37">
        <w:trPr>
          <w:trHeight w:val="70"/>
        </w:trPr>
        <w:tc>
          <w:tcPr>
            <w:tcW w:w="9067" w:type="dxa"/>
            <w:gridSpan w:val="2"/>
          </w:tcPr>
          <w:p w14:paraId="31F66CAC" w14:textId="740B6D41"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sz w:val="20"/>
                <w:szCs w:val="20"/>
                <w:lang w:eastAsia="en-ZA"/>
              </w:rPr>
              <w:t>Cherax destructor</w:t>
            </w:r>
            <w:r w:rsidRPr="004D1E6F">
              <w:rPr>
                <w:rFonts w:ascii="Times New Roman" w:eastAsia="Times New Roman" w:hAnsi="Times New Roman" w:cs="Times New Roman"/>
                <w:sz w:val="20"/>
                <w:szCs w:val="20"/>
                <w:lang w:eastAsia="en-ZA"/>
              </w:rPr>
              <w:t xml:space="preserve"> is a small nocturnal aquatic species that is difficult to detect (Larson et al. 2016). Moreover, </w:t>
            </w:r>
            <w:r w:rsidRPr="004D1E6F">
              <w:rPr>
                <w:rFonts w:ascii="Times New Roman" w:eastAsia="Times New Roman" w:hAnsi="Times New Roman" w:cs="Times New Roman"/>
                <w:i/>
                <w:sz w:val="20"/>
                <w:szCs w:val="20"/>
                <w:lang w:eastAsia="en-ZA"/>
              </w:rPr>
              <w:t>C. destructor</w:t>
            </w:r>
            <w:r w:rsidRPr="004D1E6F">
              <w:rPr>
                <w:rFonts w:ascii="Times New Roman" w:eastAsia="Times New Roman" w:hAnsi="Times New Roman" w:cs="Times New Roman"/>
                <w:i/>
                <w:iCs/>
                <w:sz w:val="20"/>
                <w:szCs w:val="20"/>
                <w:lang w:eastAsia="en-ZA"/>
              </w:rPr>
              <w:t xml:space="preserve"> </w:t>
            </w:r>
            <w:r w:rsidRPr="004D1E6F">
              <w:rPr>
                <w:rFonts w:ascii="Times New Roman" w:eastAsia="Times New Roman" w:hAnsi="Times New Roman" w:cs="Times New Roman"/>
                <w:sz w:val="20"/>
                <w:szCs w:val="20"/>
                <w:lang w:eastAsia="en-ZA"/>
              </w:rPr>
              <w:t xml:space="preserve">can burrow which further impedes detection (McCormack 2014). Detectability is not particularly seasonal however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"id" : "ITEM-3",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"ITEM-3",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"(de Moor 2002, Nunes et al. 2017b, 2017a)", "plainTextFormattedCitation" : "(de Moor 2002, Nunes et al. 2017b, 2017a)", "previouslyFormattedCitation" : "(de Moor 2002, Nunes et al. 2017b, 2017a)"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 Nunes et al. 2017)</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w:t>
            </w:r>
          </w:p>
        </w:tc>
      </w:tr>
      <w:tr w:rsidR="002D7080" w:rsidRPr="004D1E6F" w14:paraId="1B8021B5" w14:textId="77777777" w:rsidTr="002E2C37">
        <w:trPr>
          <w:cantSplit/>
          <w:trHeight w:val="70"/>
        </w:trPr>
        <w:tc>
          <w:tcPr>
            <w:tcW w:w="9067" w:type="dxa"/>
            <w:gridSpan w:val="2"/>
          </w:tcPr>
          <w:p w14:paraId="6E26E43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650D41F5" w14:textId="011897AA" w:rsidR="002D7080" w:rsidRPr="004D1E6F" w:rsidRDefault="008A0BC6" w:rsidP="003478C7">
            <w:pPr>
              <w:ind w:left="720" w:hanging="720"/>
              <w:contextualSpacing/>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De Moor</w:t>
            </w:r>
            <w:r w:rsidR="002D7080" w:rsidRPr="004D1E6F">
              <w:rPr>
                <w:rFonts w:ascii="Times New Roman" w:eastAsia="Times New Roman" w:hAnsi="Times New Roman" w:cs="Times New Roman"/>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sz w:val="20"/>
                <w:szCs w:val="20"/>
                <w:lang w:eastAsia="en-ZA"/>
              </w:rPr>
              <w:t>African Journal of Aquatic Science</w:t>
            </w:r>
            <w:r w:rsidR="002D7080" w:rsidRPr="004D1E6F">
              <w:rPr>
                <w:rFonts w:ascii="Times New Roman" w:eastAsia="Times New Roman" w:hAnsi="Times New Roman" w:cs="Times New Roman"/>
                <w:sz w:val="20"/>
                <w:szCs w:val="20"/>
                <w:lang w:eastAsia="en-ZA"/>
              </w:rPr>
              <w:t xml:space="preserve"> 27, 125–139. </w:t>
            </w:r>
            <w:hyperlink r:id="rId140" w:history="1">
              <w:r w:rsidR="000F55CB" w:rsidRPr="00D66918">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sz w:val="20"/>
                <w:szCs w:val="20"/>
                <w:lang w:eastAsia="en-ZA"/>
              </w:rPr>
              <w:t>.</w:t>
            </w:r>
          </w:p>
          <w:p w14:paraId="48A82E24" w14:textId="277EFB0C" w:rsidR="002D7080" w:rsidRPr="004D1E6F" w:rsidRDefault="002D7080" w:rsidP="003478C7">
            <w:pPr>
              <w:ind w:left="720" w:hanging="720"/>
              <w:contextualSpacing/>
              <w:jc w:val="both"/>
              <w:rPr>
                <w:rStyle w:val="cf01"/>
                <w:rFonts w:ascii="Times New Roman" w:hAnsi="Times New Roman" w:cs="Times New Roman"/>
                <w:sz w:val="20"/>
                <w:szCs w:val="20"/>
              </w:rPr>
            </w:pP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w:t>
            </w:r>
            <w:hyperlink r:id="rId141" w:history="1">
              <w:r w:rsidR="000F55CB" w:rsidRPr="000F55CB">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sz w:val="20"/>
                <w:szCs w:val="20"/>
                <w:lang w:eastAsia="en-ZA"/>
              </w:rPr>
              <w:t>.</w:t>
            </w:r>
          </w:p>
          <w:p w14:paraId="76FF089F" w14:textId="77777777" w:rsidR="002D7080" w:rsidRPr="004D1E6F" w:rsidRDefault="002D7080" w:rsidP="003478C7">
            <w:pPr>
              <w:ind w:left="720" w:hanging="720"/>
              <w:contextualSpacing/>
              <w:jc w:val="both"/>
              <w:rPr>
                <w:rStyle w:val="cf01"/>
                <w:rFonts w:ascii="Times New Roman" w:hAnsi="Times New Roman" w:cs="Times New Roman"/>
                <w:sz w:val="20"/>
                <w:szCs w:val="20"/>
              </w:rPr>
            </w:pPr>
            <w:r w:rsidRPr="004D1E6F">
              <w:rPr>
                <w:rStyle w:val="cf01"/>
                <w:rFonts w:ascii="Times New Roman" w:hAnsi="Times New Roman" w:cs="Times New Roman"/>
                <w:sz w:val="20"/>
                <w:szCs w:val="20"/>
              </w:rPr>
              <w:t xml:space="preserve">Larson, E.R. &amp; Olden, J.D., 2016, ‘Field sampling techniques for crayfish’, In: Longshaw, M. &amp; Stebbing, P. (eds), </w:t>
            </w:r>
            <w:r w:rsidRPr="004D1E6F">
              <w:rPr>
                <w:rStyle w:val="cf01"/>
                <w:rFonts w:ascii="Times New Roman" w:hAnsi="Times New Roman" w:cs="Times New Roman"/>
                <w:i/>
                <w:iCs/>
                <w:sz w:val="20"/>
                <w:szCs w:val="20"/>
              </w:rPr>
              <w:t>Biology and Ecology of Crayfish 1st edn</w:t>
            </w:r>
            <w:r w:rsidRPr="004D1E6F">
              <w:rPr>
                <w:rStyle w:val="cf01"/>
                <w:rFonts w:ascii="Times New Roman" w:hAnsi="Times New Roman" w:cs="Times New Roman"/>
                <w:sz w:val="20"/>
                <w:szCs w:val="20"/>
              </w:rPr>
              <w:t>., pp. 287- 323, CRC Press, Boca Raton.</w:t>
            </w:r>
          </w:p>
          <w:p w14:paraId="30FAAB08" w14:textId="4D71CE3B"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McCormack, R.B., 2014, ‘</w:t>
            </w:r>
            <w:r w:rsidRPr="004D1E6F">
              <w:rPr>
                <w:rFonts w:ascii="Times New Roman" w:eastAsia="Times New Roman" w:hAnsi="Times New Roman" w:cs="Times New Roman"/>
                <w:bCs/>
                <w:sz w:val="20"/>
                <w:szCs w:val="20"/>
                <w:lang w:eastAsia="en-ZA"/>
              </w:rPr>
              <w:t xml:space="preserve">New records and review of the translocation of the yabby </w:t>
            </w:r>
            <w:r w:rsidRPr="004D1E6F">
              <w:rPr>
                <w:rFonts w:ascii="Times New Roman" w:eastAsia="Times New Roman" w:hAnsi="Times New Roman" w:cs="Times New Roman"/>
                <w:bCs/>
                <w:i/>
                <w:iCs/>
                <w:sz w:val="20"/>
                <w:szCs w:val="20"/>
                <w:lang w:eastAsia="en-ZA"/>
              </w:rPr>
              <w:t xml:space="preserve">Cherax destructor </w:t>
            </w:r>
            <w:r w:rsidRPr="004D1E6F">
              <w:rPr>
                <w:rFonts w:ascii="Times New Roman" w:eastAsia="Times New Roman" w:hAnsi="Times New Roman" w:cs="Times New Roman"/>
                <w:bCs/>
                <w:sz w:val="20"/>
                <w:szCs w:val="20"/>
                <w:lang w:eastAsia="en-ZA"/>
              </w:rPr>
              <w:t xml:space="preserve">into eastern drainages of New South Wales, Australia’, </w:t>
            </w:r>
            <w:r w:rsidRPr="004D1E6F">
              <w:rPr>
                <w:rFonts w:ascii="Times New Roman" w:eastAsia="Times New Roman" w:hAnsi="Times New Roman" w:cs="Times New Roman"/>
                <w:bCs/>
                <w:i/>
                <w:iCs/>
                <w:sz w:val="20"/>
                <w:szCs w:val="20"/>
                <w:lang w:eastAsia="en-ZA"/>
              </w:rPr>
              <w:t>Australian Zoologist</w:t>
            </w:r>
            <w:r w:rsidRPr="004D1E6F">
              <w:rPr>
                <w:rFonts w:ascii="Times New Roman" w:eastAsia="Times New Roman" w:hAnsi="Times New Roman" w:cs="Times New Roman"/>
                <w:bCs/>
                <w:sz w:val="20"/>
                <w:szCs w:val="20"/>
                <w:lang w:eastAsia="en-ZA"/>
              </w:rPr>
              <w:t xml:space="preserve"> 34, 85–94. </w:t>
            </w:r>
            <w:r w:rsidR="002070BC" w:rsidRPr="002070BC">
              <w:rPr>
                <w:rFonts w:ascii="Times New Roman" w:eastAsia="Times New Roman" w:hAnsi="Times New Roman" w:cs="Times New Roman"/>
                <w:bCs/>
                <w:sz w:val="20"/>
                <w:szCs w:val="20"/>
                <w:lang w:eastAsia="en-ZA"/>
              </w:rPr>
              <w:t>https://doi.org/10.7882/AZ.2014.006</w:t>
            </w:r>
            <w:r w:rsidRPr="004D1E6F">
              <w:rPr>
                <w:rFonts w:ascii="Times New Roman" w:eastAsia="Times New Roman" w:hAnsi="Times New Roman" w:cs="Times New Roman"/>
                <w:bCs/>
                <w:sz w:val="20"/>
                <w:szCs w:val="20"/>
                <w:lang w:eastAsia="en-ZA"/>
              </w:rPr>
              <w:t>.</w:t>
            </w:r>
          </w:p>
        </w:tc>
      </w:tr>
      <w:tr w:rsidR="002D7080" w:rsidRPr="004D1E6F" w14:paraId="33687B7E" w14:textId="77777777" w:rsidTr="002E2C37">
        <w:trPr>
          <w:trHeight w:val="343"/>
        </w:trPr>
        <w:tc>
          <w:tcPr>
            <w:tcW w:w="9067" w:type="dxa"/>
            <w:gridSpan w:val="2"/>
            <w:shd w:val="clear" w:color="auto" w:fill="F2F2F2" w:themeFill="background1" w:themeFillShade="F2"/>
          </w:tcPr>
          <w:p w14:paraId="1D99E164"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MAN3c Time to reproduction</w:t>
            </w:r>
          </w:p>
        </w:tc>
      </w:tr>
      <w:tr w:rsidR="002D7080" w:rsidRPr="004D1E6F" w14:paraId="486FB35E" w14:textId="77777777" w:rsidTr="002E2C37">
        <w:trPr>
          <w:trHeight w:val="183"/>
        </w:trPr>
        <w:tc>
          <w:tcPr>
            <w:tcW w:w="5240" w:type="dxa"/>
          </w:tcPr>
          <w:p w14:paraId="4A56532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2 (&lt;1 year)</w:t>
            </w:r>
          </w:p>
        </w:tc>
        <w:tc>
          <w:tcPr>
            <w:tcW w:w="3827" w:type="dxa"/>
          </w:tcPr>
          <w:p w14:paraId="6CC1232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553F3161" w14:textId="77777777" w:rsidTr="002E2C37">
        <w:trPr>
          <w:trHeight w:val="70"/>
        </w:trPr>
        <w:tc>
          <w:tcPr>
            <w:tcW w:w="9067" w:type="dxa"/>
            <w:gridSpan w:val="2"/>
          </w:tcPr>
          <w:p w14:paraId="0040E93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sz w:val="20"/>
                <w:szCs w:val="20"/>
                <w:lang w:eastAsia="en-ZA"/>
              </w:rPr>
              <w:t xml:space="preserve"> can reach sexual maturity within six months and has a short gestation period (six to eight weeks) where the female protects eggs until they hatched, and juveniles are ready to leave the female (Beatty et al. 2005; McCormack 2014; Mills 1983; Withnall 2000).</w:t>
            </w:r>
          </w:p>
        </w:tc>
      </w:tr>
      <w:tr w:rsidR="002D7080" w:rsidRPr="004D1E6F" w14:paraId="7459C027" w14:textId="77777777" w:rsidTr="002E2C37">
        <w:trPr>
          <w:trHeight w:val="70"/>
        </w:trPr>
        <w:tc>
          <w:tcPr>
            <w:tcW w:w="9067" w:type="dxa"/>
            <w:gridSpan w:val="2"/>
          </w:tcPr>
          <w:p w14:paraId="745626A3" w14:textId="77777777"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28151F9F" w14:textId="22018EBB" w:rsidR="002D7080" w:rsidRPr="004D1E6F" w:rsidRDefault="002D7080" w:rsidP="003478C7">
            <w:pPr>
              <w:ind w:left="720" w:hanging="720"/>
              <w:contextualSpacing/>
              <w:jc w:val="both"/>
              <w:rPr>
                <w:rFonts w:ascii="Times New Roman" w:hAnsi="Times New Roman" w:cs="Times New Roman"/>
                <w:color w:val="000000"/>
                <w:sz w:val="20"/>
                <w:szCs w:val="20"/>
              </w:rPr>
            </w:pPr>
            <w:r w:rsidRPr="004D1E6F">
              <w:rPr>
                <w:rFonts w:ascii="Times New Roman" w:hAnsi="Times New Roman" w:cs="Times New Roman"/>
                <w:color w:val="000000"/>
                <w:sz w:val="20"/>
                <w:szCs w:val="20"/>
              </w:rPr>
              <w:t>Beatty, S.J., Morgan, D.L. &amp; Gill, H.S., 2005, ‘Role of life history strategy in the colonisation of Western Australian aquatic systems by the introduced crayfish</w:t>
            </w:r>
            <w:r w:rsidRPr="004D1E6F">
              <w:rPr>
                <w:rStyle w:val="apple-converted-space"/>
                <w:rFonts w:ascii="Times New Roman" w:hAnsi="Times New Roman" w:cs="Times New Roman"/>
                <w:color w:val="000000"/>
                <w:sz w:val="20"/>
                <w:szCs w:val="20"/>
              </w:rPr>
              <w:t> </w:t>
            </w:r>
            <w:r w:rsidRPr="004D1E6F">
              <w:rPr>
                <w:rFonts w:ascii="Times New Roman" w:hAnsi="Times New Roman" w:cs="Times New Roman"/>
                <w:i/>
                <w:iCs/>
                <w:color w:val="000000"/>
                <w:sz w:val="20"/>
                <w:szCs w:val="20"/>
              </w:rPr>
              <w:t>Cherax destructor</w:t>
            </w:r>
            <w:r w:rsidRPr="004D1E6F">
              <w:rPr>
                <w:rStyle w:val="apple-converted-space"/>
                <w:rFonts w:ascii="Times New Roman" w:hAnsi="Times New Roman" w:cs="Times New Roman"/>
                <w:color w:val="000000"/>
                <w:sz w:val="20"/>
                <w:szCs w:val="20"/>
              </w:rPr>
              <w:t> </w:t>
            </w:r>
            <w:r w:rsidRPr="004D1E6F">
              <w:rPr>
                <w:rFonts w:ascii="Times New Roman" w:hAnsi="Times New Roman" w:cs="Times New Roman"/>
                <w:color w:val="000000"/>
                <w:sz w:val="20"/>
                <w:szCs w:val="20"/>
              </w:rPr>
              <w:t>Clark, 1936’,</w:t>
            </w:r>
            <w:r w:rsidRPr="004D1E6F">
              <w:rPr>
                <w:rStyle w:val="apple-converted-space"/>
                <w:rFonts w:ascii="Times New Roman" w:hAnsi="Times New Roman" w:cs="Times New Roman"/>
                <w:color w:val="000000"/>
                <w:sz w:val="20"/>
                <w:szCs w:val="20"/>
              </w:rPr>
              <w:t> </w:t>
            </w:r>
            <w:r w:rsidRPr="004D1E6F">
              <w:rPr>
                <w:rFonts w:ascii="Times New Roman" w:hAnsi="Times New Roman" w:cs="Times New Roman"/>
                <w:i/>
                <w:iCs/>
                <w:color w:val="000000"/>
                <w:sz w:val="20"/>
                <w:szCs w:val="20"/>
              </w:rPr>
              <w:t>Hydrobiologia</w:t>
            </w:r>
            <w:r w:rsidRPr="004D1E6F">
              <w:rPr>
                <w:rStyle w:val="apple-converted-space"/>
                <w:rFonts w:ascii="Times New Roman" w:hAnsi="Times New Roman" w:cs="Times New Roman"/>
                <w:i/>
                <w:iCs/>
                <w:color w:val="000000"/>
                <w:sz w:val="20"/>
                <w:szCs w:val="20"/>
              </w:rPr>
              <w:t> </w:t>
            </w:r>
            <w:r w:rsidRPr="004D1E6F">
              <w:rPr>
                <w:rFonts w:ascii="Times New Roman" w:hAnsi="Times New Roman" w:cs="Times New Roman"/>
                <w:bCs/>
                <w:color w:val="000000"/>
                <w:sz w:val="20"/>
                <w:szCs w:val="20"/>
              </w:rPr>
              <w:t>549,</w:t>
            </w:r>
            <w:r w:rsidRPr="004D1E6F">
              <w:rPr>
                <w:rFonts w:ascii="Times New Roman" w:hAnsi="Times New Roman" w:cs="Times New Roman"/>
                <w:color w:val="000000"/>
                <w:sz w:val="20"/>
                <w:szCs w:val="20"/>
              </w:rPr>
              <w:t xml:space="preserve"> 219-237. </w:t>
            </w:r>
            <w:hyperlink r:id="rId142" w:history="1">
              <w:r w:rsidR="000F55CB" w:rsidRPr="000F55CB">
                <w:rPr>
                  <w:rStyle w:val="Hyperlink"/>
                  <w:rFonts w:ascii="Times New Roman" w:hAnsi="Times New Roman" w:cs="Times New Roman"/>
                  <w:sz w:val="20"/>
                  <w:szCs w:val="20"/>
                </w:rPr>
                <w:t>https://doi.org/10.1007/s10750-005-5443-0</w:t>
              </w:r>
            </w:hyperlink>
            <w:r w:rsidRPr="004D1E6F">
              <w:rPr>
                <w:rFonts w:ascii="Times New Roman" w:hAnsi="Times New Roman" w:cs="Times New Roman"/>
                <w:color w:val="000000"/>
                <w:sz w:val="20"/>
                <w:szCs w:val="20"/>
              </w:rPr>
              <w:t>.</w:t>
            </w:r>
          </w:p>
          <w:p w14:paraId="4D6AD986" w14:textId="30CD5D46" w:rsidR="002D7080" w:rsidRPr="004D1E6F" w:rsidRDefault="002D7080" w:rsidP="003478C7">
            <w:pPr>
              <w:spacing w:after="160"/>
              <w:ind w:left="720" w:hanging="720"/>
              <w:contextualSpacing/>
              <w:jc w:val="both"/>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sz w:val="20"/>
                <w:szCs w:val="20"/>
                <w:lang w:eastAsia="en-ZA"/>
              </w:rPr>
              <w:t>McCormack, R.B., 2014, ‘</w:t>
            </w:r>
            <w:r w:rsidRPr="004D1E6F">
              <w:rPr>
                <w:rFonts w:ascii="Times New Roman" w:eastAsia="Times New Roman" w:hAnsi="Times New Roman" w:cs="Times New Roman"/>
                <w:bCs/>
                <w:sz w:val="20"/>
                <w:szCs w:val="20"/>
                <w:lang w:eastAsia="en-ZA"/>
              </w:rPr>
              <w:t xml:space="preserve">New records and review of the translocation of the yabby </w:t>
            </w:r>
            <w:r w:rsidRPr="004D1E6F">
              <w:rPr>
                <w:rFonts w:ascii="Times New Roman" w:eastAsia="Times New Roman" w:hAnsi="Times New Roman" w:cs="Times New Roman"/>
                <w:bCs/>
                <w:i/>
                <w:iCs/>
                <w:sz w:val="20"/>
                <w:szCs w:val="20"/>
                <w:lang w:eastAsia="en-ZA"/>
              </w:rPr>
              <w:t xml:space="preserve">Cherax destructor </w:t>
            </w:r>
            <w:r w:rsidRPr="004D1E6F">
              <w:rPr>
                <w:rFonts w:ascii="Times New Roman" w:eastAsia="Times New Roman" w:hAnsi="Times New Roman" w:cs="Times New Roman"/>
                <w:bCs/>
                <w:sz w:val="20"/>
                <w:szCs w:val="20"/>
                <w:lang w:eastAsia="en-ZA"/>
              </w:rPr>
              <w:t xml:space="preserve">into eastern drainages of New South Wales, Australia’, </w:t>
            </w:r>
            <w:r w:rsidRPr="004D1E6F">
              <w:rPr>
                <w:rFonts w:ascii="Times New Roman" w:eastAsia="Times New Roman" w:hAnsi="Times New Roman" w:cs="Times New Roman"/>
                <w:bCs/>
                <w:i/>
                <w:iCs/>
                <w:sz w:val="20"/>
                <w:szCs w:val="20"/>
                <w:lang w:eastAsia="en-ZA"/>
              </w:rPr>
              <w:t>Australian Zoologist</w:t>
            </w:r>
            <w:r w:rsidRPr="004D1E6F">
              <w:rPr>
                <w:rFonts w:ascii="Times New Roman" w:eastAsia="Times New Roman" w:hAnsi="Times New Roman" w:cs="Times New Roman"/>
                <w:bCs/>
                <w:sz w:val="20"/>
                <w:szCs w:val="20"/>
                <w:lang w:eastAsia="en-ZA"/>
              </w:rPr>
              <w:t xml:space="preserve"> 34, 85–94. </w:t>
            </w:r>
            <w:r w:rsidR="000F55CB" w:rsidRPr="000F55CB">
              <w:rPr>
                <w:rFonts w:ascii="Times New Roman" w:eastAsia="Times New Roman" w:hAnsi="Times New Roman" w:cs="Times New Roman"/>
                <w:bCs/>
                <w:sz w:val="20"/>
                <w:szCs w:val="20"/>
                <w:lang w:eastAsia="en-ZA"/>
              </w:rPr>
              <w:t>https://doi.org/10.7882/AZ.2014.006</w:t>
            </w:r>
            <w:r w:rsidRPr="004D1E6F">
              <w:rPr>
                <w:rFonts w:ascii="Times New Roman" w:eastAsia="Times New Roman" w:hAnsi="Times New Roman" w:cs="Times New Roman"/>
                <w:bCs/>
                <w:sz w:val="20"/>
                <w:szCs w:val="20"/>
                <w:lang w:eastAsia="en-ZA"/>
              </w:rPr>
              <w:t>.</w:t>
            </w:r>
          </w:p>
          <w:p w14:paraId="1727BD74" w14:textId="77777777" w:rsidR="002D7080" w:rsidRPr="004D1E6F" w:rsidRDefault="002D7080" w:rsidP="003478C7">
            <w:pPr>
              <w:spacing w:after="160"/>
              <w:ind w:left="720" w:hanging="720"/>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Mills, B.J., 1983, ‘Aquaculture of yabbies’, In: </w:t>
            </w:r>
            <w:r w:rsidRPr="004D1E6F">
              <w:rPr>
                <w:rFonts w:ascii="Times New Roman" w:hAnsi="Times New Roman" w:cs="Times New Roman"/>
                <w:i/>
                <w:iCs/>
                <w:sz w:val="20"/>
                <w:szCs w:val="20"/>
              </w:rPr>
              <w:t>Proceedings of the First Freshwater Aquaculture Workshop</w:t>
            </w:r>
            <w:r w:rsidRPr="004D1E6F">
              <w:rPr>
                <w:rFonts w:ascii="Times New Roman" w:hAnsi="Times New Roman" w:cs="Times New Roman"/>
                <w:sz w:val="20"/>
                <w:szCs w:val="20"/>
              </w:rPr>
              <w:t>, Department of Agriculture, New South Wales. Australia.</w:t>
            </w:r>
          </w:p>
          <w:p w14:paraId="6A9BC176" w14:textId="77777777" w:rsidR="002D7080" w:rsidRPr="004D1E6F" w:rsidRDefault="002D7080" w:rsidP="003478C7">
            <w:pPr>
              <w:ind w:left="720" w:hanging="720"/>
              <w:contextualSpacing/>
              <w:jc w:val="both"/>
              <w:rPr>
                <w:rFonts w:ascii="Times New Roman" w:hAnsi="Times New Roman" w:cs="Times New Roman"/>
                <w:sz w:val="20"/>
                <w:szCs w:val="20"/>
              </w:rPr>
            </w:pPr>
            <w:r w:rsidRPr="004D1E6F">
              <w:rPr>
                <w:rFonts w:ascii="Times New Roman" w:hAnsi="Times New Roman" w:cs="Times New Roman"/>
                <w:sz w:val="20"/>
                <w:szCs w:val="20"/>
              </w:rPr>
              <w:t>Withnall, F., 2000, ‘Biology of yabbies (</w:t>
            </w:r>
            <w:r w:rsidRPr="004D1E6F">
              <w:rPr>
                <w:rFonts w:ascii="Times New Roman" w:hAnsi="Times New Roman" w:cs="Times New Roman"/>
                <w:i/>
                <w:sz w:val="20"/>
                <w:szCs w:val="20"/>
              </w:rPr>
              <w:t>Cherax destructor</w:t>
            </w:r>
            <w:r w:rsidRPr="004D1E6F">
              <w:rPr>
                <w:rFonts w:ascii="Times New Roman" w:hAnsi="Times New Roman" w:cs="Times New Roman"/>
                <w:sz w:val="20"/>
                <w:szCs w:val="20"/>
              </w:rPr>
              <w:t xml:space="preserve">)’, </w:t>
            </w:r>
            <w:r w:rsidRPr="004D1E6F">
              <w:rPr>
                <w:rFonts w:ascii="Times New Roman" w:hAnsi="Times New Roman" w:cs="Times New Roman"/>
                <w:i/>
                <w:iCs/>
                <w:sz w:val="20"/>
                <w:szCs w:val="20"/>
              </w:rPr>
              <w:t>Aquaculture notes of the department of Natural Resources and Environment</w:t>
            </w:r>
            <w:r w:rsidRPr="004D1E6F">
              <w:rPr>
                <w:rFonts w:ascii="Times New Roman" w:hAnsi="Times New Roman" w:cs="Times New Roman"/>
                <w:sz w:val="20"/>
                <w:szCs w:val="20"/>
              </w:rPr>
              <w:t xml:space="preserve">. State of Victoria, Australia. </w:t>
            </w:r>
          </w:p>
        </w:tc>
      </w:tr>
      <w:tr w:rsidR="002D7080" w:rsidRPr="004D1E6F" w14:paraId="19B14C78" w14:textId="77777777" w:rsidTr="002E2C37">
        <w:trPr>
          <w:trHeight w:val="179"/>
        </w:trPr>
        <w:tc>
          <w:tcPr>
            <w:tcW w:w="9067" w:type="dxa"/>
            <w:gridSpan w:val="2"/>
            <w:shd w:val="clear" w:color="auto" w:fill="F2F2F2" w:themeFill="background1" w:themeFillShade="F2"/>
          </w:tcPr>
          <w:p w14:paraId="322D94C6"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MAN3d Propagule persistence</w:t>
            </w:r>
          </w:p>
        </w:tc>
      </w:tr>
      <w:tr w:rsidR="002D7080" w:rsidRPr="004D1E6F" w14:paraId="585FDBBF" w14:textId="77777777" w:rsidTr="002E2C37">
        <w:trPr>
          <w:trHeight w:val="183"/>
        </w:trPr>
        <w:tc>
          <w:tcPr>
            <w:tcW w:w="5240" w:type="dxa"/>
          </w:tcPr>
          <w:p w14:paraId="41CF579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0 (&lt;1 year)</w:t>
            </w:r>
          </w:p>
        </w:tc>
        <w:tc>
          <w:tcPr>
            <w:tcW w:w="3827" w:type="dxa"/>
          </w:tcPr>
          <w:p w14:paraId="4A5FCD9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2FF15504" w14:textId="77777777" w:rsidTr="002E2C37">
        <w:trPr>
          <w:trHeight w:val="195"/>
        </w:trPr>
        <w:tc>
          <w:tcPr>
            <w:tcW w:w="9067" w:type="dxa"/>
            <w:gridSpan w:val="2"/>
          </w:tcPr>
          <w:p w14:paraId="707E14D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Rationale: </w:t>
            </w:r>
            <w:r w:rsidRPr="004D1E6F">
              <w:rPr>
                <w:rFonts w:ascii="Times New Roman" w:eastAsia="Times New Roman" w:hAnsi="Times New Roman" w:cs="Times New Roman"/>
                <w:i/>
                <w:sz w:val="20"/>
                <w:szCs w:val="20"/>
                <w:lang w:eastAsia="en-ZA"/>
              </w:rPr>
              <w:t xml:space="preserve">Cherax destructor </w:t>
            </w:r>
            <w:r w:rsidRPr="004D1E6F">
              <w:rPr>
                <w:rFonts w:ascii="Times New Roman" w:eastAsia="Times New Roman" w:hAnsi="Times New Roman" w:cs="Times New Roman"/>
                <w:sz w:val="20"/>
                <w:szCs w:val="20"/>
                <w:lang w:eastAsia="en-ZA"/>
              </w:rPr>
              <w:t>can have multiple spawning events within one year where one brood can produce 300 eggs on average (Beatty et al. 2005; Mills 1983; McCormack 2014; Withnall 2000)</w:t>
            </w:r>
          </w:p>
        </w:tc>
      </w:tr>
      <w:tr w:rsidR="002D7080" w:rsidRPr="004D1E6F" w14:paraId="32E6C122" w14:textId="77777777" w:rsidTr="002E2C37">
        <w:trPr>
          <w:trHeight w:val="99"/>
        </w:trPr>
        <w:tc>
          <w:tcPr>
            <w:tcW w:w="9067" w:type="dxa"/>
            <w:gridSpan w:val="2"/>
          </w:tcPr>
          <w:p w14:paraId="58575231"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28F9168A" w14:textId="518008E4" w:rsidR="002D7080" w:rsidRPr="004D1E6F" w:rsidRDefault="002D7080" w:rsidP="003478C7">
            <w:pPr>
              <w:ind w:left="720" w:hanging="720"/>
              <w:contextualSpacing/>
              <w:jc w:val="both"/>
              <w:rPr>
                <w:rFonts w:ascii="Times New Roman" w:hAnsi="Times New Roman" w:cs="Times New Roman"/>
                <w:color w:val="000000"/>
                <w:sz w:val="20"/>
                <w:szCs w:val="20"/>
              </w:rPr>
            </w:pPr>
            <w:r w:rsidRPr="004D1E6F">
              <w:rPr>
                <w:rFonts w:ascii="Times New Roman" w:hAnsi="Times New Roman" w:cs="Times New Roman"/>
                <w:color w:val="000000"/>
                <w:sz w:val="20"/>
                <w:szCs w:val="20"/>
              </w:rPr>
              <w:t>Beatty, S.J., Morgan, D.L. &amp; Gill, H.S., 2005, ‘Role of life history strategy in the colonisation of Western Australian aquatic systems by the introduced crayfish</w:t>
            </w:r>
            <w:r w:rsidRPr="004D1E6F">
              <w:rPr>
                <w:rStyle w:val="apple-converted-space"/>
                <w:rFonts w:ascii="Times New Roman" w:hAnsi="Times New Roman" w:cs="Times New Roman"/>
                <w:color w:val="000000"/>
                <w:sz w:val="20"/>
                <w:szCs w:val="20"/>
              </w:rPr>
              <w:t> </w:t>
            </w:r>
            <w:r w:rsidRPr="004D1E6F">
              <w:rPr>
                <w:rFonts w:ascii="Times New Roman" w:hAnsi="Times New Roman" w:cs="Times New Roman"/>
                <w:i/>
                <w:iCs/>
                <w:color w:val="000000"/>
                <w:sz w:val="20"/>
                <w:szCs w:val="20"/>
              </w:rPr>
              <w:t>Cherax destructor</w:t>
            </w:r>
            <w:r w:rsidRPr="004D1E6F">
              <w:rPr>
                <w:rStyle w:val="apple-converted-space"/>
                <w:rFonts w:ascii="Times New Roman" w:hAnsi="Times New Roman" w:cs="Times New Roman"/>
                <w:color w:val="000000"/>
                <w:sz w:val="20"/>
                <w:szCs w:val="20"/>
              </w:rPr>
              <w:t> </w:t>
            </w:r>
            <w:r w:rsidRPr="004D1E6F">
              <w:rPr>
                <w:rFonts w:ascii="Times New Roman" w:hAnsi="Times New Roman" w:cs="Times New Roman"/>
                <w:color w:val="000000"/>
                <w:sz w:val="20"/>
                <w:szCs w:val="20"/>
              </w:rPr>
              <w:t>Clark, 1936’,</w:t>
            </w:r>
            <w:r w:rsidRPr="004D1E6F">
              <w:rPr>
                <w:rStyle w:val="apple-converted-space"/>
                <w:rFonts w:ascii="Times New Roman" w:hAnsi="Times New Roman" w:cs="Times New Roman"/>
                <w:color w:val="000000"/>
                <w:sz w:val="20"/>
                <w:szCs w:val="20"/>
              </w:rPr>
              <w:t> </w:t>
            </w:r>
            <w:r w:rsidRPr="004D1E6F">
              <w:rPr>
                <w:rFonts w:ascii="Times New Roman" w:hAnsi="Times New Roman" w:cs="Times New Roman"/>
                <w:i/>
                <w:iCs/>
                <w:color w:val="000000"/>
                <w:sz w:val="20"/>
                <w:szCs w:val="20"/>
              </w:rPr>
              <w:t>Hydrobiologia</w:t>
            </w:r>
            <w:r w:rsidRPr="004D1E6F">
              <w:rPr>
                <w:rStyle w:val="apple-converted-space"/>
                <w:rFonts w:ascii="Times New Roman" w:hAnsi="Times New Roman" w:cs="Times New Roman"/>
                <w:i/>
                <w:iCs/>
                <w:color w:val="000000"/>
                <w:sz w:val="20"/>
                <w:szCs w:val="20"/>
              </w:rPr>
              <w:t> </w:t>
            </w:r>
            <w:r w:rsidRPr="004D1E6F">
              <w:rPr>
                <w:rFonts w:ascii="Times New Roman" w:hAnsi="Times New Roman" w:cs="Times New Roman"/>
                <w:bCs/>
                <w:color w:val="000000"/>
                <w:sz w:val="20"/>
                <w:szCs w:val="20"/>
              </w:rPr>
              <w:t>549,</w:t>
            </w:r>
            <w:r w:rsidRPr="004D1E6F">
              <w:rPr>
                <w:rFonts w:ascii="Times New Roman" w:hAnsi="Times New Roman" w:cs="Times New Roman"/>
                <w:color w:val="000000"/>
                <w:sz w:val="20"/>
                <w:szCs w:val="20"/>
              </w:rPr>
              <w:t xml:space="preserve"> 219-237</w:t>
            </w:r>
            <w:hyperlink r:id="rId143" w:history="1">
              <w:r w:rsidR="000F55CB" w:rsidRPr="000F55CB">
                <w:rPr>
                  <w:rStyle w:val="Hyperlink"/>
                  <w:rFonts w:ascii="Times New Roman" w:hAnsi="Times New Roman" w:cs="Times New Roman"/>
                  <w:sz w:val="20"/>
                  <w:szCs w:val="20"/>
                </w:rPr>
                <w:t>https://doi.org/10.1007/s10750-005-5443-0</w:t>
              </w:r>
            </w:hyperlink>
            <w:r w:rsidRPr="004D1E6F">
              <w:rPr>
                <w:rFonts w:ascii="Times New Roman" w:hAnsi="Times New Roman" w:cs="Times New Roman"/>
                <w:color w:val="000000"/>
                <w:sz w:val="20"/>
                <w:szCs w:val="20"/>
              </w:rPr>
              <w:t>.</w:t>
            </w:r>
          </w:p>
          <w:p w14:paraId="76E285D2" w14:textId="37E1F117" w:rsidR="002D7080" w:rsidRPr="004D1E6F" w:rsidRDefault="002D7080" w:rsidP="003478C7">
            <w:pPr>
              <w:spacing w:after="160"/>
              <w:ind w:left="720" w:hanging="720"/>
              <w:contextualSpacing/>
              <w:jc w:val="both"/>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sz w:val="20"/>
                <w:szCs w:val="20"/>
                <w:lang w:eastAsia="en-ZA"/>
              </w:rPr>
              <w:t>McCormack, R.B., 2014, ‘</w:t>
            </w:r>
            <w:r w:rsidRPr="004D1E6F">
              <w:rPr>
                <w:rFonts w:ascii="Times New Roman" w:eastAsia="Times New Roman" w:hAnsi="Times New Roman" w:cs="Times New Roman"/>
                <w:bCs/>
                <w:sz w:val="20"/>
                <w:szCs w:val="20"/>
                <w:lang w:eastAsia="en-ZA"/>
              </w:rPr>
              <w:t xml:space="preserve">New records and review of the translocation of the yabby </w:t>
            </w:r>
            <w:r w:rsidRPr="004D1E6F">
              <w:rPr>
                <w:rFonts w:ascii="Times New Roman" w:eastAsia="Times New Roman" w:hAnsi="Times New Roman" w:cs="Times New Roman"/>
                <w:bCs/>
                <w:i/>
                <w:iCs/>
                <w:sz w:val="20"/>
                <w:szCs w:val="20"/>
                <w:lang w:eastAsia="en-ZA"/>
              </w:rPr>
              <w:t xml:space="preserve">Cherax destructor </w:t>
            </w:r>
            <w:r w:rsidRPr="004D1E6F">
              <w:rPr>
                <w:rFonts w:ascii="Times New Roman" w:eastAsia="Times New Roman" w:hAnsi="Times New Roman" w:cs="Times New Roman"/>
                <w:bCs/>
                <w:sz w:val="20"/>
                <w:szCs w:val="20"/>
                <w:lang w:eastAsia="en-ZA"/>
              </w:rPr>
              <w:t xml:space="preserve">into eastern drainages of New South Wales, Australia’, </w:t>
            </w:r>
            <w:r w:rsidRPr="004D1E6F">
              <w:rPr>
                <w:rFonts w:ascii="Times New Roman" w:eastAsia="Times New Roman" w:hAnsi="Times New Roman" w:cs="Times New Roman"/>
                <w:bCs/>
                <w:i/>
                <w:iCs/>
                <w:sz w:val="20"/>
                <w:szCs w:val="20"/>
                <w:lang w:eastAsia="en-ZA"/>
              </w:rPr>
              <w:t>Australian Zoologist</w:t>
            </w:r>
            <w:r w:rsidRPr="004D1E6F">
              <w:rPr>
                <w:rFonts w:ascii="Times New Roman" w:eastAsia="Times New Roman" w:hAnsi="Times New Roman" w:cs="Times New Roman"/>
                <w:bCs/>
                <w:sz w:val="20"/>
                <w:szCs w:val="20"/>
                <w:lang w:eastAsia="en-ZA"/>
              </w:rPr>
              <w:t xml:space="preserve"> 34, 85–94. </w:t>
            </w:r>
            <w:r w:rsidR="000F55CB" w:rsidRPr="000F55CB">
              <w:rPr>
                <w:rFonts w:ascii="Times New Roman" w:eastAsia="Times New Roman" w:hAnsi="Times New Roman" w:cs="Times New Roman"/>
                <w:bCs/>
                <w:sz w:val="20"/>
                <w:szCs w:val="20"/>
                <w:lang w:eastAsia="en-ZA"/>
              </w:rPr>
              <w:t>https://doi.org/10.7882/AZ.2014.006</w:t>
            </w:r>
            <w:r w:rsidRPr="004D1E6F">
              <w:rPr>
                <w:rFonts w:ascii="Times New Roman" w:eastAsia="Times New Roman" w:hAnsi="Times New Roman" w:cs="Times New Roman"/>
                <w:bCs/>
                <w:sz w:val="20"/>
                <w:szCs w:val="20"/>
                <w:lang w:eastAsia="en-ZA"/>
              </w:rPr>
              <w:t>.</w:t>
            </w:r>
          </w:p>
          <w:p w14:paraId="6B34B363" w14:textId="77777777" w:rsidR="002D7080" w:rsidRPr="004D1E6F" w:rsidRDefault="002D7080" w:rsidP="003478C7">
            <w:pPr>
              <w:spacing w:after="160"/>
              <w:ind w:left="720" w:hanging="720"/>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Mills, B.J., 1983, ‘Aquaculture of yabbies’, In: </w:t>
            </w:r>
            <w:r w:rsidRPr="004D1E6F">
              <w:rPr>
                <w:rFonts w:ascii="Times New Roman" w:hAnsi="Times New Roman" w:cs="Times New Roman"/>
                <w:i/>
                <w:iCs/>
                <w:sz w:val="20"/>
                <w:szCs w:val="20"/>
              </w:rPr>
              <w:t>Proceedings of the First Freshwater Aquaculture Workshop</w:t>
            </w:r>
            <w:r w:rsidRPr="004D1E6F">
              <w:rPr>
                <w:rFonts w:ascii="Times New Roman" w:hAnsi="Times New Roman" w:cs="Times New Roman"/>
                <w:sz w:val="20"/>
                <w:szCs w:val="20"/>
              </w:rPr>
              <w:t>, Department of Agriculture, New South Wales. Australia.</w:t>
            </w:r>
          </w:p>
          <w:p w14:paraId="5FD2BE98" w14:textId="77777777" w:rsidR="002D7080" w:rsidRPr="004D1E6F" w:rsidRDefault="002D7080" w:rsidP="003478C7">
            <w:pPr>
              <w:ind w:left="720" w:hanging="720"/>
              <w:contextualSpacing/>
              <w:jc w:val="both"/>
              <w:rPr>
                <w:rFonts w:ascii="Times New Roman" w:eastAsia="Times New Roman" w:hAnsi="Times New Roman" w:cs="Times New Roman"/>
                <w:bCs/>
                <w:sz w:val="20"/>
                <w:szCs w:val="20"/>
                <w:lang w:eastAsia="en-ZA"/>
              </w:rPr>
            </w:pPr>
            <w:r w:rsidRPr="004D1E6F">
              <w:rPr>
                <w:rFonts w:ascii="Times New Roman" w:hAnsi="Times New Roman" w:cs="Times New Roman"/>
                <w:sz w:val="20"/>
                <w:szCs w:val="20"/>
              </w:rPr>
              <w:t>Withnall, F., 2000, ‘Biology of yabbies (</w:t>
            </w:r>
            <w:r w:rsidRPr="004D1E6F">
              <w:rPr>
                <w:rFonts w:ascii="Times New Roman" w:hAnsi="Times New Roman" w:cs="Times New Roman"/>
                <w:i/>
                <w:sz w:val="20"/>
                <w:szCs w:val="20"/>
              </w:rPr>
              <w:t>Cherax destructor</w:t>
            </w:r>
            <w:r w:rsidRPr="004D1E6F">
              <w:rPr>
                <w:rFonts w:ascii="Times New Roman" w:hAnsi="Times New Roman" w:cs="Times New Roman"/>
                <w:sz w:val="20"/>
                <w:szCs w:val="20"/>
              </w:rPr>
              <w:t xml:space="preserve">)’, </w:t>
            </w:r>
            <w:r w:rsidRPr="004D1E6F">
              <w:rPr>
                <w:rFonts w:ascii="Times New Roman" w:hAnsi="Times New Roman" w:cs="Times New Roman"/>
                <w:i/>
                <w:iCs/>
                <w:sz w:val="20"/>
                <w:szCs w:val="20"/>
              </w:rPr>
              <w:t>Aquaculture notes of the department of Natural Resources and Environment</w:t>
            </w:r>
            <w:r w:rsidRPr="004D1E6F">
              <w:rPr>
                <w:rFonts w:ascii="Times New Roman" w:hAnsi="Times New Roman" w:cs="Times New Roman"/>
                <w:sz w:val="20"/>
                <w:szCs w:val="20"/>
              </w:rPr>
              <w:t>. State of Victoria, Australia.</w:t>
            </w:r>
          </w:p>
        </w:tc>
      </w:tr>
      <w:tr w:rsidR="002D7080" w:rsidRPr="004D1E6F" w14:paraId="6D2CBC99" w14:textId="77777777" w:rsidTr="002E2C37">
        <w:trPr>
          <w:trHeight w:val="125"/>
        </w:trPr>
        <w:tc>
          <w:tcPr>
            <w:tcW w:w="9067" w:type="dxa"/>
            <w:gridSpan w:val="2"/>
            <w:shd w:val="clear" w:color="auto" w:fill="F2F2F2" w:themeFill="background1" w:themeFillShade="F2"/>
          </w:tcPr>
          <w:p w14:paraId="598C0F1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MAN3 Ease of management </w:t>
            </w:r>
          </w:p>
        </w:tc>
      </w:tr>
      <w:tr w:rsidR="002D7080" w:rsidRPr="004D1E6F" w14:paraId="25C89556" w14:textId="77777777" w:rsidTr="002E2C37">
        <w:trPr>
          <w:trHeight w:val="172"/>
        </w:trPr>
        <w:tc>
          <w:tcPr>
            <w:tcW w:w="5240" w:type="dxa"/>
          </w:tcPr>
          <w:p w14:paraId="684C3D7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Difficult </w:t>
            </w:r>
          </w:p>
        </w:tc>
        <w:tc>
          <w:tcPr>
            <w:tcW w:w="3827" w:type="dxa"/>
          </w:tcPr>
          <w:p w14:paraId="4FDE7F5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2C3893E1" w14:textId="77777777" w:rsidTr="002E2C37">
        <w:trPr>
          <w:trHeight w:val="70"/>
        </w:trPr>
        <w:tc>
          <w:tcPr>
            <w:tcW w:w="9067" w:type="dxa"/>
            <w:gridSpan w:val="2"/>
          </w:tcPr>
          <w:p w14:paraId="1B15BE7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sz w:val="20"/>
                <w:szCs w:val="20"/>
                <w:lang w:eastAsia="en-ZA"/>
              </w:rPr>
              <w:t xml:space="preserve">Cherax destructor </w:t>
            </w:r>
            <w:r w:rsidRPr="004D1E6F">
              <w:rPr>
                <w:rFonts w:ascii="Times New Roman" w:eastAsia="Times New Roman" w:hAnsi="Times New Roman" w:cs="Times New Roman"/>
                <w:sz w:val="20"/>
                <w:szCs w:val="20"/>
                <w:lang w:eastAsia="en-ZA"/>
              </w:rPr>
              <w:t>is difficult to manage given that it is difficult to access, difficult to detect (being aquatic and primarily nocturnal) and has adaptive life history traits that aid establishment (fast growth rate, high fecundity, and a multiple spawner) (Beatty et al. 2005; Larson &amp; Olden 2016; McCormack 2014; Mills 1983; Nunes et al. 2017; Withnall 2000; van Kuijk et al. 2021).</w:t>
            </w:r>
            <w:r w:rsidRPr="004D1E6F">
              <w:rPr>
                <w:rFonts w:ascii="Times New Roman" w:eastAsia="Times New Roman" w:hAnsi="Times New Roman" w:cs="Times New Roman"/>
                <w:strike/>
                <w:sz w:val="20"/>
                <w:szCs w:val="20"/>
                <w:lang w:eastAsia="en-ZA"/>
              </w:rPr>
              <w:t xml:space="preserve"> </w:t>
            </w:r>
          </w:p>
        </w:tc>
      </w:tr>
      <w:tr w:rsidR="002D7080" w:rsidRPr="004D1E6F" w14:paraId="7D429658" w14:textId="77777777" w:rsidTr="002E2C37">
        <w:trPr>
          <w:trHeight w:val="70"/>
        </w:trPr>
        <w:tc>
          <w:tcPr>
            <w:tcW w:w="9067" w:type="dxa"/>
            <w:gridSpan w:val="2"/>
          </w:tcPr>
          <w:p w14:paraId="118DDE81"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0A9DC472" w14:textId="71EAC629" w:rsidR="002D7080" w:rsidRPr="004D1E6F" w:rsidRDefault="002D7080" w:rsidP="003478C7">
            <w:pPr>
              <w:ind w:left="720" w:hanging="720"/>
              <w:contextualSpacing/>
              <w:jc w:val="both"/>
              <w:rPr>
                <w:rFonts w:ascii="Times New Roman" w:hAnsi="Times New Roman" w:cs="Times New Roman"/>
                <w:color w:val="000000"/>
                <w:sz w:val="20"/>
                <w:szCs w:val="20"/>
              </w:rPr>
            </w:pPr>
            <w:r w:rsidRPr="004D1E6F">
              <w:rPr>
                <w:rFonts w:ascii="Times New Roman" w:hAnsi="Times New Roman" w:cs="Times New Roman"/>
                <w:color w:val="000000"/>
                <w:sz w:val="20"/>
                <w:szCs w:val="20"/>
              </w:rPr>
              <w:t>Beatty, S.J., Morgan, D.L. &amp; Gill, H.S., 2005, ‘Role of life history strategy in the colonisation of Western Australian aquatic systems by the introduced crayfish</w:t>
            </w:r>
            <w:r w:rsidRPr="004D1E6F">
              <w:rPr>
                <w:rStyle w:val="apple-converted-space"/>
                <w:rFonts w:ascii="Times New Roman" w:hAnsi="Times New Roman" w:cs="Times New Roman"/>
                <w:color w:val="000000"/>
                <w:sz w:val="20"/>
                <w:szCs w:val="20"/>
              </w:rPr>
              <w:t> </w:t>
            </w:r>
            <w:r w:rsidRPr="004D1E6F">
              <w:rPr>
                <w:rFonts w:ascii="Times New Roman" w:hAnsi="Times New Roman" w:cs="Times New Roman"/>
                <w:i/>
                <w:iCs/>
                <w:color w:val="000000"/>
                <w:sz w:val="20"/>
                <w:szCs w:val="20"/>
              </w:rPr>
              <w:t>Cherax destructor</w:t>
            </w:r>
            <w:r w:rsidRPr="004D1E6F">
              <w:rPr>
                <w:rStyle w:val="apple-converted-space"/>
                <w:rFonts w:ascii="Times New Roman" w:hAnsi="Times New Roman" w:cs="Times New Roman"/>
                <w:color w:val="000000"/>
                <w:sz w:val="20"/>
                <w:szCs w:val="20"/>
              </w:rPr>
              <w:t> </w:t>
            </w:r>
            <w:r w:rsidRPr="004D1E6F">
              <w:rPr>
                <w:rFonts w:ascii="Times New Roman" w:hAnsi="Times New Roman" w:cs="Times New Roman"/>
                <w:color w:val="000000"/>
                <w:sz w:val="20"/>
                <w:szCs w:val="20"/>
              </w:rPr>
              <w:t>Clark, 1936’,</w:t>
            </w:r>
            <w:r w:rsidRPr="004D1E6F">
              <w:rPr>
                <w:rStyle w:val="apple-converted-space"/>
                <w:rFonts w:ascii="Times New Roman" w:hAnsi="Times New Roman" w:cs="Times New Roman"/>
                <w:color w:val="000000"/>
                <w:sz w:val="20"/>
                <w:szCs w:val="20"/>
              </w:rPr>
              <w:t> </w:t>
            </w:r>
            <w:r w:rsidRPr="004D1E6F">
              <w:rPr>
                <w:rFonts w:ascii="Times New Roman" w:hAnsi="Times New Roman" w:cs="Times New Roman"/>
                <w:i/>
                <w:iCs/>
                <w:color w:val="000000"/>
                <w:sz w:val="20"/>
                <w:szCs w:val="20"/>
              </w:rPr>
              <w:t>Hydrobiologia</w:t>
            </w:r>
            <w:r w:rsidRPr="004D1E6F">
              <w:rPr>
                <w:rStyle w:val="apple-converted-space"/>
                <w:rFonts w:ascii="Times New Roman" w:hAnsi="Times New Roman" w:cs="Times New Roman"/>
                <w:i/>
                <w:iCs/>
                <w:color w:val="000000"/>
                <w:sz w:val="20"/>
                <w:szCs w:val="20"/>
              </w:rPr>
              <w:t> </w:t>
            </w:r>
            <w:r w:rsidRPr="004D1E6F">
              <w:rPr>
                <w:rFonts w:ascii="Times New Roman" w:hAnsi="Times New Roman" w:cs="Times New Roman"/>
                <w:bCs/>
                <w:color w:val="000000"/>
                <w:sz w:val="20"/>
                <w:szCs w:val="20"/>
              </w:rPr>
              <w:t>549,</w:t>
            </w:r>
            <w:r w:rsidRPr="004D1E6F">
              <w:rPr>
                <w:rFonts w:ascii="Times New Roman" w:hAnsi="Times New Roman" w:cs="Times New Roman"/>
                <w:color w:val="000000"/>
                <w:sz w:val="20"/>
                <w:szCs w:val="20"/>
              </w:rPr>
              <w:t xml:space="preserve"> 219-237. </w:t>
            </w:r>
            <w:hyperlink r:id="rId144" w:history="1">
              <w:r w:rsidR="002070BC" w:rsidRPr="002070BC">
                <w:rPr>
                  <w:rStyle w:val="Hyperlink"/>
                  <w:rFonts w:ascii="Times New Roman" w:hAnsi="Times New Roman" w:cs="Times New Roman"/>
                  <w:sz w:val="20"/>
                  <w:szCs w:val="20"/>
                </w:rPr>
                <w:t>https://doi.org/10.1007/s10750-005-5443-0</w:t>
              </w:r>
            </w:hyperlink>
            <w:r w:rsidRPr="004D1E6F">
              <w:rPr>
                <w:rFonts w:ascii="Times New Roman" w:hAnsi="Times New Roman" w:cs="Times New Roman"/>
                <w:color w:val="000000"/>
                <w:sz w:val="20"/>
                <w:szCs w:val="20"/>
              </w:rPr>
              <w:t>.</w:t>
            </w:r>
          </w:p>
          <w:p w14:paraId="61860B20" w14:textId="77777777" w:rsidR="002D7080" w:rsidRPr="004D1E6F" w:rsidRDefault="002D7080" w:rsidP="003478C7">
            <w:pPr>
              <w:ind w:left="720" w:hanging="720"/>
              <w:contextualSpacing/>
              <w:jc w:val="both"/>
              <w:rPr>
                <w:rStyle w:val="cf01"/>
                <w:rFonts w:ascii="Times New Roman" w:hAnsi="Times New Roman" w:cs="Times New Roman"/>
                <w:sz w:val="20"/>
                <w:szCs w:val="20"/>
              </w:rPr>
            </w:pPr>
            <w:r w:rsidRPr="004D1E6F">
              <w:rPr>
                <w:rStyle w:val="cf01"/>
                <w:rFonts w:ascii="Times New Roman" w:hAnsi="Times New Roman" w:cs="Times New Roman"/>
                <w:sz w:val="20"/>
                <w:szCs w:val="20"/>
              </w:rPr>
              <w:t xml:space="preserve">Larson, E.R. &amp; Olden, J.D., 2016, ‘Field sampling techniques for crayfish’, In: Longshaw, M. &amp; Stebbing, P. (eds), </w:t>
            </w:r>
            <w:r w:rsidRPr="004D1E6F">
              <w:rPr>
                <w:rStyle w:val="cf01"/>
                <w:rFonts w:ascii="Times New Roman" w:hAnsi="Times New Roman" w:cs="Times New Roman"/>
                <w:i/>
                <w:iCs/>
                <w:sz w:val="20"/>
                <w:szCs w:val="20"/>
              </w:rPr>
              <w:t>Biology and Ecology of Crayfish 1st edn</w:t>
            </w:r>
            <w:r w:rsidRPr="004D1E6F">
              <w:rPr>
                <w:rStyle w:val="cf01"/>
                <w:rFonts w:ascii="Times New Roman" w:hAnsi="Times New Roman" w:cs="Times New Roman"/>
                <w:sz w:val="20"/>
                <w:szCs w:val="20"/>
              </w:rPr>
              <w:t>., pp. 287- 323, CRC Press, Boca Raton.</w:t>
            </w:r>
          </w:p>
          <w:p w14:paraId="6E65AFED" w14:textId="56C105AF" w:rsidR="002D7080" w:rsidRPr="004D1E6F" w:rsidRDefault="002D7080" w:rsidP="003478C7">
            <w:pPr>
              <w:spacing w:after="160"/>
              <w:ind w:left="720" w:hanging="720"/>
              <w:contextualSpacing/>
              <w:jc w:val="both"/>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sz w:val="20"/>
                <w:szCs w:val="20"/>
                <w:lang w:eastAsia="en-ZA"/>
              </w:rPr>
              <w:t>McCormack, R.B., 2014, ‘</w:t>
            </w:r>
            <w:r w:rsidRPr="004D1E6F">
              <w:rPr>
                <w:rFonts w:ascii="Times New Roman" w:eastAsia="Times New Roman" w:hAnsi="Times New Roman" w:cs="Times New Roman"/>
                <w:bCs/>
                <w:sz w:val="20"/>
                <w:szCs w:val="20"/>
                <w:lang w:eastAsia="en-ZA"/>
              </w:rPr>
              <w:t xml:space="preserve">New records and review of the translocation of the yabby </w:t>
            </w:r>
            <w:r w:rsidRPr="004D1E6F">
              <w:rPr>
                <w:rFonts w:ascii="Times New Roman" w:eastAsia="Times New Roman" w:hAnsi="Times New Roman" w:cs="Times New Roman"/>
                <w:bCs/>
                <w:i/>
                <w:iCs/>
                <w:sz w:val="20"/>
                <w:szCs w:val="20"/>
                <w:lang w:eastAsia="en-ZA"/>
              </w:rPr>
              <w:t xml:space="preserve">Cherax destructor </w:t>
            </w:r>
            <w:r w:rsidRPr="004D1E6F">
              <w:rPr>
                <w:rFonts w:ascii="Times New Roman" w:eastAsia="Times New Roman" w:hAnsi="Times New Roman" w:cs="Times New Roman"/>
                <w:bCs/>
                <w:sz w:val="20"/>
                <w:szCs w:val="20"/>
                <w:lang w:eastAsia="en-ZA"/>
              </w:rPr>
              <w:t xml:space="preserve">into eastern drainages of New South Wales, Australia’, </w:t>
            </w:r>
            <w:r w:rsidRPr="004D1E6F">
              <w:rPr>
                <w:rFonts w:ascii="Times New Roman" w:eastAsia="Times New Roman" w:hAnsi="Times New Roman" w:cs="Times New Roman"/>
                <w:bCs/>
                <w:i/>
                <w:iCs/>
                <w:sz w:val="20"/>
                <w:szCs w:val="20"/>
                <w:lang w:eastAsia="en-ZA"/>
              </w:rPr>
              <w:t>Australian Zoologist</w:t>
            </w:r>
            <w:r w:rsidRPr="004D1E6F">
              <w:rPr>
                <w:rFonts w:ascii="Times New Roman" w:eastAsia="Times New Roman" w:hAnsi="Times New Roman" w:cs="Times New Roman"/>
                <w:bCs/>
                <w:sz w:val="20"/>
                <w:szCs w:val="20"/>
                <w:lang w:eastAsia="en-ZA"/>
              </w:rPr>
              <w:t xml:space="preserve"> 34, 85–94. </w:t>
            </w:r>
            <w:r w:rsidR="000F55CB" w:rsidRPr="000F55CB">
              <w:rPr>
                <w:rFonts w:ascii="Times New Roman" w:eastAsia="Times New Roman" w:hAnsi="Times New Roman" w:cs="Times New Roman"/>
                <w:bCs/>
                <w:sz w:val="20"/>
                <w:szCs w:val="20"/>
                <w:lang w:eastAsia="en-ZA"/>
              </w:rPr>
              <w:t>https://doi.org/10.7882/AZ.2014.006</w:t>
            </w:r>
            <w:r w:rsidRPr="004D1E6F">
              <w:rPr>
                <w:rFonts w:ascii="Times New Roman" w:eastAsia="Times New Roman" w:hAnsi="Times New Roman" w:cs="Times New Roman"/>
                <w:bCs/>
                <w:sz w:val="20"/>
                <w:szCs w:val="20"/>
                <w:lang w:eastAsia="en-ZA"/>
              </w:rPr>
              <w:t>.</w:t>
            </w:r>
          </w:p>
          <w:p w14:paraId="4E1B071D" w14:textId="77777777" w:rsidR="002D7080" w:rsidRPr="004D1E6F" w:rsidRDefault="002D7080" w:rsidP="003478C7">
            <w:pPr>
              <w:spacing w:after="160"/>
              <w:ind w:left="720" w:hanging="720"/>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Mills, B.J., 1983, ‘Aquaculture of yabbies’, In: </w:t>
            </w:r>
            <w:r w:rsidRPr="004D1E6F">
              <w:rPr>
                <w:rFonts w:ascii="Times New Roman" w:hAnsi="Times New Roman" w:cs="Times New Roman"/>
                <w:i/>
                <w:iCs/>
                <w:sz w:val="20"/>
                <w:szCs w:val="20"/>
              </w:rPr>
              <w:t>Proceedings of the First Freshwater Aquaculture Workshop</w:t>
            </w:r>
            <w:r w:rsidRPr="004D1E6F">
              <w:rPr>
                <w:rFonts w:ascii="Times New Roman" w:hAnsi="Times New Roman" w:cs="Times New Roman"/>
                <w:sz w:val="20"/>
                <w:szCs w:val="20"/>
              </w:rPr>
              <w:t>, Department of Agriculture, New South Wales. Australia.</w:t>
            </w:r>
          </w:p>
          <w:p w14:paraId="7DECD2A6" w14:textId="77777777" w:rsidR="002D7080" w:rsidRPr="004D1E6F" w:rsidRDefault="002D7080" w:rsidP="003478C7">
            <w:pPr>
              <w:ind w:left="720" w:hanging="720"/>
              <w:contextualSpacing/>
              <w:jc w:val="both"/>
              <w:rPr>
                <w:rFonts w:ascii="Times New Roman" w:hAnsi="Times New Roman" w:cs="Times New Roman"/>
                <w:sz w:val="20"/>
                <w:szCs w:val="20"/>
              </w:rPr>
            </w:pPr>
            <w:r w:rsidRPr="004D1E6F">
              <w:rPr>
                <w:rFonts w:ascii="Times New Roman" w:hAnsi="Times New Roman" w:cs="Times New Roman"/>
                <w:sz w:val="20"/>
                <w:szCs w:val="20"/>
              </w:rPr>
              <w:t>Withnall, F., 2000, ‘Biology of yabbies (</w:t>
            </w:r>
            <w:r w:rsidRPr="004D1E6F">
              <w:rPr>
                <w:rFonts w:ascii="Times New Roman" w:hAnsi="Times New Roman" w:cs="Times New Roman"/>
                <w:i/>
                <w:sz w:val="20"/>
                <w:szCs w:val="20"/>
              </w:rPr>
              <w:t>Cherax destructor</w:t>
            </w:r>
            <w:r w:rsidRPr="004D1E6F">
              <w:rPr>
                <w:rFonts w:ascii="Times New Roman" w:hAnsi="Times New Roman" w:cs="Times New Roman"/>
                <w:sz w:val="20"/>
                <w:szCs w:val="20"/>
              </w:rPr>
              <w:t xml:space="preserve">)’, </w:t>
            </w:r>
            <w:r w:rsidRPr="004D1E6F">
              <w:rPr>
                <w:rFonts w:ascii="Times New Roman" w:hAnsi="Times New Roman" w:cs="Times New Roman"/>
                <w:i/>
                <w:iCs/>
                <w:sz w:val="20"/>
                <w:szCs w:val="20"/>
              </w:rPr>
              <w:t>Aquaculture notes of the department of Natural Resources and Environment</w:t>
            </w:r>
            <w:r w:rsidRPr="004D1E6F">
              <w:rPr>
                <w:rFonts w:ascii="Times New Roman" w:hAnsi="Times New Roman" w:cs="Times New Roman"/>
                <w:sz w:val="20"/>
                <w:szCs w:val="20"/>
              </w:rPr>
              <w:t>. State of Victoria, Australia.</w:t>
            </w:r>
          </w:p>
          <w:p w14:paraId="015A38D3" w14:textId="77777777"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Cs/>
                <w:sz w:val="20"/>
                <w:szCs w:val="20"/>
                <w:lang w:eastAsia="en-ZA"/>
              </w:rPr>
              <w:t>Van Kuijk T., Biesmeijer, J.C., van der Hoorn, B.B.&amp; Verdonschot, P.M.F., 2021,’</w:t>
            </w:r>
            <w:r w:rsidRPr="004D1E6F">
              <w:rPr>
                <w:rFonts w:ascii="Times New Roman" w:eastAsia="Times New Roman" w:hAnsi="Times New Roman" w:cs="Times New Roman"/>
                <w:b/>
                <w:bCs/>
                <w:sz w:val="20"/>
                <w:szCs w:val="20"/>
                <w:lang w:eastAsia="en-ZA"/>
              </w:rPr>
              <w:t xml:space="preserve"> </w:t>
            </w:r>
            <w:r w:rsidRPr="004D1E6F">
              <w:rPr>
                <w:rFonts w:ascii="Times New Roman" w:eastAsia="Times New Roman" w:hAnsi="Times New Roman" w:cs="Times New Roman"/>
                <w:bCs/>
                <w:sz w:val="20"/>
                <w:szCs w:val="20"/>
                <w:lang w:eastAsia="en-ZA"/>
              </w:rPr>
              <w:t xml:space="preserve">Functional traits explain crayfish invasive success in the Netherlands’, </w:t>
            </w:r>
            <w:r w:rsidRPr="004D1E6F">
              <w:rPr>
                <w:rFonts w:ascii="Times New Roman" w:eastAsia="Times New Roman" w:hAnsi="Times New Roman" w:cs="Times New Roman"/>
                <w:bCs/>
                <w:i/>
                <w:iCs/>
                <w:sz w:val="20"/>
                <w:szCs w:val="20"/>
                <w:lang w:eastAsia="en-ZA"/>
              </w:rPr>
              <w:t>Scientific Reports</w:t>
            </w:r>
            <w:r w:rsidRPr="004D1E6F">
              <w:rPr>
                <w:rFonts w:ascii="Times New Roman" w:eastAsia="Times New Roman" w:hAnsi="Times New Roman" w:cs="Times New Roman"/>
                <w:bCs/>
                <w:sz w:val="20"/>
                <w:szCs w:val="20"/>
                <w:lang w:eastAsia="en-ZA"/>
              </w:rPr>
              <w:t xml:space="preserve"> 11, 2772. https://doi.org/10.1038/s41598-021-82302-4.</w:t>
            </w:r>
          </w:p>
        </w:tc>
      </w:tr>
    </w:tbl>
    <w:p w14:paraId="7E8EA7CD"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3D9F4CE0" w14:textId="77777777" w:rsidTr="002E2C37">
        <w:trPr>
          <w:trHeight w:val="125"/>
        </w:trPr>
        <w:tc>
          <w:tcPr>
            <w:tcW w:w="9067" w:type="dxa"/>
            <w:gridSpan w:val="2"/>
            <w:shd w:val="clear" w:color="auto" w:fill="F2F2F2" w:themeFill="background1" w:themeFillShade="F2"/>
          </w:tcPr>
          <w:p w14:paraId="41C8563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MAN4 Has the feasibility of eradication been evaluated?</w:t>
            </w:r>
          </w:p>
        </w:tc>
      </w:tr>
      <w:tr w:rsidR="002D7080" w:rsidRPr="004D1E6F" w14:paraId="535D2BB8" w14:textId="77777777" w:rsidTr="002E2C37">
        <w:trPr>
          <w:trHeight w:val="172"/>
        </w:trPr>
        <w:tc>
          <w:tcPr>
            <w:tcW w:w="5240" w:type="dxa"/>
          </w:tcPr>
          <w:p w14:paraId="2354F442" w14:textId="77777777" w:rsidR="002D7080" w:rsidRPr="004D1E6F" w:rsidRDefault="002D7080" w:rsidP="002E2C37">
            <w:pPr>
              <w:tabs>
                <w:tab w:val="left" w:pos="1589"/>
              </w:tabs>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No</w:t>
            </w:r>
          </w:p>
        </w:tc>
        <w:tc>
          <w:tcPr>
            <w:tcW w:w="3827" w:type="dxa"/>
          </w:tcPr>
          <w:p w14:paraId="0D2B5B6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4C117B3E" w14:textId="77777777" w:rsidTr="002E2C37">
        <w:trPr>
          <w:trHeight w:val="70"/>
        </w:trPr>
        <w:tc>
          <w:tcPr>
            <w:tcW w:w="9067" w:type="dxa"/>
            <w:gridSpan w:val="2"/>
          </w:tcPr>
          <w:p w14:paraId="3863146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There has been no eradication feasibility study conducted for </w:t>
            </w:r>
            <w:r w:rsidRPr="004D1E6F">
              <w:rPr>
                <w:rFonts w:ascii="Times New Roman" w:eastAsia="Times New Roman" w:hAnsi="Times New Roman" w:cs="Times New Roman"/>
                <w:i/>
                <w:iCs/>
                <w:sz w:val="20"/>
                <w:szCs w:val="20"/>
                <w:lang w:eastAsia="en-ZA"/>
              </w:rPr>
              <w:t xml:space="preserve">C. destructor </w:t>
            </w:r>
            <w:r w:rsidRPr="004D1E6F">
              <w:rPr>
                <w:rFonts w:ascii="Times New Roman" w:eastAsia="Times New Roman" w:hAnsi="Times New Roman" w:cs="Times New Roman"/>
                <w:sz w:val="20"/>
                <w:szCs w:val="20"/>
                <w:lang w:eastAsia="en-ZA"/>
              </w:rPr>
              <w:t xml:space="preserve">in South Africa as wild populations have not been detected (Nunes et al. 2017). </w:t>
            </w:r>
          </w:p>
        </w:tc>
      </w:tr>
      <w:tr w:rsidR="002D7080" w:rsidRPr="004D1E6F" w14:paraId="3925D860" w14:textId="77777777" w:rsidTr="002E2C37">
        <w:trPr>
          <w:trHeight w:val="203"/>
        </w:trPr>
        <w:tc>
          <w:tcPr>
            <w:tcW w:w="9067" w:type="dxa"/>
            <w:gridSpan w:val="2"/>
          </w:tcPr>
          <w:p w14:paraId="55B1E79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250E858A" w14:textId="4603EEE7" w:rsidR="002D7080" w:rsidRPr="004D1E6F" w:rsidRDefault="002D7080" w:rsidP="002E2C37">
            <w:pPr>
              <w:ind w:left="743" w:hanging="720"/>
              <w:rPr>
                <w:rFonts w:ascii="Times New Roman" w:hAnsi="Times New Roman" w:cs="Times New Roman"/>
                <w:sz w:val="20"/>
                <w:szCs w:val="20"/>
              </w:rPr>
            </w:pP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w:t>
            </w:r>
            <w:hyperlink r:id="rId145" w:history="1">
              <w:r w:rsidR="002070BC" w:rsidRPr="002070BC">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sz w:val="20"/>
                <w:szCs w:val="20"/>
                <w:lang w:eastAsia="en-ZA"/>
              </w:rPr>
              <w:t>.</w:t>
            </w:r>
          </w:p>
        </w:tc>
      </w:tr>
    </w:tbl>
    <w:p w14:paraId="7BEA9B29"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9067"/>
      </w:tblGrid>
      <w:tr w:rsidR="002D7080" w:rsidRPr="004D1E6F" w14:paraId="6C457EEA" w14:textId="77777777" w:rsidTr="002E2C37">
        <w:trPr>
          <w:trHeight w:val="251"/>
        </w:trPr>
        <w:tc>
          <w:tcPr>
            <w:tcW w:w="9067" w:type="dxa"/>
            <w:shd w:val="clear" w:color="auto" w:fill="F2F2F2" w:themeFill="background1" w:themeFillShade="F2"/>
          </w:tcPr>
          <w:p w14:paraId="724F6E4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MAN5 Control options and monitoring approaches available for the </w:t>
            </w:r>
            <w:r w:rsidRPr="004D1E6F">
              <w:rPr>
                <w:rFonts w:ascii="Times New Roman" w:eastAsia="Times New Roman" w:hAnsi="Times New Roman" w:cs="Times New Roman"/>
                <w:b/>
                <w:i/>
                <w:sz w:val="20"/>
                <w:szCs w:val="20"/>
                <w:lang w:eastAsia="en-ZA"/>
              </w:rPr>
              <w:t>Taxon</w:t>
            </w:r>
          </w:p>
        </w:tc>
      </w:tr>
      <w:tr w:rsidR="002D7080" w:rsidRPr="004D1E6F" w14:paraId="6E11E21B" w14:textId="77777777" w:rsidTr="002E2C37">
        <w:trPr>
          <w:trHeight w:val="70"/>
        </w:trPr>
        <w:tc>
          <w:tcPr>
            <w:tcW w:w="9067" w:type="dxa"/>
          </w:tcPr>
          <w:p w14:paraId="4122C5FA" w14:textId="77777777" w:rsidR="002D7080" w:rsidRPr="004D1E6F" w:rsidRDefault="002D7080" w:rsidP="002E2C37">
            <w:pPr>
              <w:jc w:val="both"/>
              <w:rPr>
                <w:rFonts w:ascii="Times New Roman" w:hAnsi="Times New Roman" w:cs="Times New Roman"/>
                <w:sz w:val="20"/>
                <w:szCs w:val="20"/>
              </w:rPr>
            </w:pPr>
            <w:r w:rsidRPr="004D1E6F">
              <w:rPr>
                <w:rFonts w:ascii="Times New Roman" w:eastAsia="Times New Roman" w:hAnsi="Times New Roman" w:cs="Times New Roman"/>
                <w:sz w:val="20"/>
                <w:szCs w:val="20"/>
                <w:lang w:eastAsia="en-ZA"/>
              </w:rPr>
              <w:t>Response: Several methods can be used to monitor and control invasive crayfish populations including mechanical trapping</w:t>
            </w:r>
            <w:r w:rsidRPr="004D1E6F">
              <w:rPr>
                <w:rFonts w:ascii="Times New Roman" w:eastAsia="Times New Roman" w:hAnsi="Times New Roman" w:cs="Times New Roman"/>
                <w:iCs/>
                <w:sz w:val="20"/>
                <w:szCs w:val="20"/>
                <w:lang w:eastAsia="en-ZA"/>
              </w:rPr>
              <w:t xml:space="preserve"> (e.g., </w:t>
            </w:r>
            <w:r w:rsidRPr="004D1E6F">
              <w:rPr>
                <w:rStyle w:val="cf01"/>
                <w:rFonts w:ascii="Times New Roman" w:hAnsi="Times New Roman" w:cs="Times New Roman"/>
                <w:sz w:val="20"/>
                <w:szCs w:val="20"/>
              </w:rPr>
              <w:t xml:space="preserve">Barkhuizen et al. 2022; </w:t>
            </w:r>
            <w:r w:rsidRPr="004D1E6F">
              <w:rPr>
                <w:rFonts w:ascii="Times New Roman" w:eastAsia="Times New Roman" w:hAnsi="Times New Roman" w:cs="Times New Roman"/>
                <w:iCs/>
                <w:sz w:val="20"/>
                <w:szCs w:val="20"/>
                <w:lang w:eastAsia="en-ZA"/>
              </w:rPr>
              <w:t>Madzivanzira et al. 2021)</w:t>
            </w:r>
            <w:r w:rsidRPr="004D1E6F">
              <w:rPr>
                <w:rFonts w:ascii="Times New Roman" w:eastAsia="Times New Roman" w:hAnsi="Times New Roman" w:cs="Times New Roman"/>
                <w:sz w:val="20"/>
                <w:szCs w:val="20"/>
                <w:lang w:eastAsia="en-ZA"/>
              </w:rPr>
              <w:t xml:space="preserve">, electrofishing (Nunes et al. 2017), use of biocides, and biological control (Aquiloni et al 2010; Stebbing et al. 2014). </w:t>
            </w:r>
            <w:r w:rsidRPr="004D1E6F">
              <w:rPr>
                <w:rFonts w:ascii="Times New Roman" w:hAnsi="Times New Roman" w:cs="Times New Roman"/>
                <w:sz w:val="20"/>
                <w:szCs w:val="20"/>
              </w:rPr>
              <w:t xml:space="preserve">However, there are several issues that make management of crayfish invasions challenging (Gherardi et al. 2011). For example, the use of biocides is often effective for localised populations in dams and ponds (Peay et al. 2019) but they are non-specific and need to be applied with caution (Gherardi et al. 2011). Mechanical control methods are also effective in small discrete water bodies but are expensive and require commitment to follow on to complete eradication (Loureiro et al. 2018). In addition, alien crayfish species are regarded as potential conflict-generating species in South Africa and potential management interventions should consider the concerns of stakeholders to avoid conflict (Zengeya et al. 2017). </w:t>
            </w:r>
          </w:p>
        </w:tc>
      </w:tr>
      <w:tr w:rsidR="002D7080" w:rsidRPr="004D1E6F" w14:paraId="600A67C4" w14:textId="77777777" w:rsidTr="002E2C37">
        <w:trPr>
          <w:trHeight w:val="203"/>
        </w:trPr>
        <w:tc>
          <w:tcPr>
            <w:tcW w:w="9067" w:type="dxa"/>
          </w:tcPr>
          <w:p w14:paraId="3F1C214A" w14:textId="77777777" w:rsidR="002D7080" w:rsidRPr="004D1E6F" w:rsidRDefault="002D7080" w:rsidP="003478C7">
            <w:pPr>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1E46B9CE" w14:textId="7A1D0ECA" w:rsidR="00B102FB"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Aquiloni, L., Brusconi, S., Cecchinelli, E., Tricarico, E., Mazza, G., Paglianti, A., et al., 2010, ‘Biological control of invasive populations of crayfish: the European eel (</w:t>
            </w:r>
            <w:r w:rsidRPr="004D1E6F">
              <w:rPr>
                <w:rFonts w:ascii="Times New Roman" w:eastAsia="Times New Roman" w:hAnsi="Times New Roman" w:cs="Times New Roman"/>
                <w:i/>
                <w:iCs/>
                <w:sz w:val="20"/>
                <w:szCs w:val="20"/>
                <w:lang w:eastAsia="en-ZA"/>
              </w:rPr>
              <w:t>Anguilla anguilla</w:t>
            </w:r>
            <w:r w:rsidRPr="004D1E6F">
              <w:rPr>
                <w:rFonts w:ascii="Times New Roman" w:eastAsia="Times New Roman" w:hAnsi="Times New Roman" w:cs="Times New Roman"/>
                <w:sz w:val="20"/>
                <w:szCs w:val="20"/>
                <w:lang w:eastAsia="en-ZA"/>
              </w:rPr>
              <w:t xml:space="preserve">) as a predator of </w:t>
            </w:r>
            <w:r w:rsidRPr="004D1E6F">
              <w:rPr>
                <w:rFonts w:ascii="Times New Roman" w:eastAsia="Times New Roman" w:hAnsi="Times New Roman" w:cs="Times New Roman"/>
                <w:i/>
                <w:iCs/>
                <w:sz w:val="20"/>
                <w:szCs w:val="20"/>
                <w:lang w:eastAsia="en-ZA"/>
              </w:rPr>
              <w:t>Procambarus clarkii</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12, 3817-3824. https://doi.org/</w:t>
            </w:r>
            <w:r w:rsidR="00B102FB" w:rsidRPr="00B102FB">
              <w:t xml:space="preserve"> </w:t>
            </w:r>
            <w:r w:rsidR="00B102FB" w:rsidRPr="00B102FB">
              <w:rPr>
                <w:rFonts w:ascii="Times New Roman" w:eastAsia="Times New Roman" w:hAnsi="Times New Roman" w:cs="Times New Roman"/>
                <w:sz w:val="20"/>
                <w:szCs w:val="20"/>
                <w:lang w:eastAsia="en-ZA"/>
              </w:rPr>
              <w:t>10.1007/s10530-010-9774-z</w:t>
            </w:r>
            <w:r w:rsidR="00B102FB">
              <w:rPr>
                <w:rFonts w:ascii="Times New Roman" w:eastAsia="Times New Roman" w:hAnsi="Times New Roman" w:cs="Times New Roman"/>
                <w:sz w:val="20"/>
                <w:szCs w:val="20"/>
                <w:lang w:eastAsia="en-ZA"/>
              </w:rPr>
              <w:t>.</w:t>
            </w:r>
          </w:p>
          <w:p w14:paraId="138539BF" w14:textId="2C9E36E6" w:rsidR="00B102FB"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Barkhuizen, L.M., Madzivanzira, T.C. &amp; South, J. 2022, ‘Population ecology of a wild population of red swamp crayfish </w:t>
            </w:r>
            <w:r w:rsidRPr="004D1E6F">
              <w:rPr>
                <w:rFonts w:ascii="Times New Roman" w:eastAsia="Times New Roman" w:hAnsi="Times New Roman" w:cs="Times New Roman"/>
                <w:i/>
                <w:iCs/>
                <w:sz w:val="20"/>
                <w:szCs w:val="20"/>
                <w:lang w:eastAsia="en-ZA"/>
              </w:rPr>
              <w:t>Procambarus clarkii</w:t>
            </w:r>
            <w:r w:rsidRPr="004D1E6F">
              <w:rPr>
                <w:rFonts w:ascii="Times New Roman" w:eastAsia="Times New Roman" w:hAnsi="Times New Roman" w:cs="Times New Roman"/>
                <w:sz w:val="20"/>
                <w:szCs w:val="20"/>
                <w:lang w:eastAsia="en-ZA"/>
              </w:rPr>
              <w:t xml:space="preserve"> (Girard, 1852) in the Free State Province, South Africa and implications for eradication efforts’, </w:t>
            </w:r>
            <w:r w:rsidRPr="004D1E6F">
              <w:rPr>
                <w:rFonts w:ascii="Times New Roman" w:eastAsia="Times New Roman" w:hAnsi="Times New Roman" w:cs="Times New Roman"/>
                <w:i/>
                <w:iCs/>
                <w:sz w:val="20"/>
                <w:szCs w:val="20"/>
                <w:lang w:eastAsia="en-ZA"/>
              </w:rPr>
              <w:t>BioInvasions Records</w:t>
            </w:r>
            <w:r w:rsidRPr="004D1E6F">
              <w:rPr>
                <w:rFonts w:ascii="Times New Roman" w:eastAsia="Times New Roman" w:hAnsi="Times New Roman" w:cs="Times New Roman"/>
                <w:sz w:val="20"/>
                <w:szCs w:val="20"/>
                <w:lang w:eastAsia="en-ZA"/>
              </w:rPr>
              <w:t xml:space="preserve"> 11, 181–191</w:t>
            </w:r>
            <w:r w:rsidR="00B102FB" w:rsidRPr="00B102FB">
              <w:rPr>
                <w:rFonts w:ascii="Times New Roman" w:eastAsia="Times New Roman" w:hAnsi="Times New Roman" w:cs="Times New Roman"/>
                <w:sz w:val="20"/>
                <w:szCs w:val="20"/>
                <w:lang w:eastAsia="en-ZA"/>
              </w:rPr>
              <w:t>https://doi.org/10.3391/bir.2022.11.1.18</w:t>
            </w:r>
          </w:p>
          <w:p w14:paraId="381D94E3" w14:textId="4CACDA0A"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Gherardi, F., Aquiloni, L., Diéguez-Uribeondo, J. &amp; Tricarico E., 2011, ‘Managing invasive crayfish: is there a hope?’, </w:t>
            </w:r>
            <w:r w:rsidRPr="004D1E6F">
              <w:rPr>
                <w:rFonts w:ascii="Times New Roman" w:eastAsia="Times New Roman" w:hAnsi="Times New Roman" w:cs="Times New Roman"/>
                <w:i/>
                <w:iCs/>
                <w:sz w:val="20"/>
                <w:szCs w:val="20"/>
                <w:lang w:eastAsia="en-ZA"/>
              </w:rPr>
              <w:t>Aquatic Sciences</w:t>
            </w:r>
            <w:r w:rsidRPr="004D1E6F">
              <w:rPr>
                <w:rFonts w:ascii="Times New Roman" w:eastAsia="Times New Roman" w:hAnsi="Times New Roman" w:cs="Times New Roman"/>
                <w:sz w:val="20"/>
                <w:szCs w:val="20"/>
                <w:lang w:eastAsia="en-ZA"/>
              </w:rPr>
              <w:t xml:space="preserve"> 73, 185–200. </w:t>
            </w:r>
            <w:r w:rsidR="00B102FB" w:rsidRPr="00B102FB">
              <w:rPr>
                <w:rFonts w:ascii="Times New Roman" w:eastAsia="Times New Roman" w:hAnsi="Times New Roman" w:cs="Times New Roman"/>
                <w:sz w:val="20"/>
                <w:szCs w:val="20"/>
                <w:lang w:eastAsia="en-ZA"/>
              </w:rPr>
              <w:t>https://doi.org/10.1007/s00027-011-0181-z</w:t>
            </w:r>
          </w:p>
          <w:p w14:paraId="61E58BF9" w14:textId="1E358C39"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Loureiro, T.G., Anastácio, P.M., de Siqueira Bueno, S.L. &amp; Araujo, P.B., 2018, ‘Management of invasive populations of the freshwater crayfish </w:t>
            </w:r>
            <w:r w:rsidRPr="004D1E6F">
              <w:rPr>
                <w:rFonts w:ascii="Times New Roman" w:eastAsia="Times New Roman" w:hAnsi="Times New Roman" w:cs="Times New Roman"/>
                <w:i/>
                <w:iCs/>
                <w:sz w:val="20"/>
                <w:szCs w:val="20"/>
                <w:lang w:eastAsia="en-ZA"/>
              </w:rPr>
              <w:t>Procambarus clarkii</w:t>
            </w:r>
            <w:r w:rsidRPr="004D1E6F">
              <w:rPr>
                <w:rFonts w:ascii="Times New Roman" w:eastAsia="Times New Roman" w:hAnsi="Times New Roman" w:cs="Times New Roman"/>
                <w:sz w:val="20"/>
                <w:szCs w:val="20"/>
                <w:lang w:eastAsia="en-ZA"/>
              </w:rPr>
              <w:t xml:space="preserve"> (Decapoda, Cambaridae): test of a population-control method and proposal of a standard monitoring approach’, </w:t>
            </w:r>
            <w:r w:rsidRPr="004D1E6F">
              <w:rPr>
                <w:rFonts w:ascii="Times New Roman" w:eastAsia="Times New Roman" w:hAnsi="Times New Roman" w:cs="Times New Roman"/>
                <w:i/>
                <w:iCs/>
                <w:sz w:val="20"/>
                <w:szCs w:val="20"/>
                <w:lang w:eastAsia="en-ZA"/>
              </w:rPr>
              <w:t>Environmental Monitoring Assessment</w:t>
            </w:r>
            <w:r w:rsidRPr="004D1E6F">
              <w:rPr>
                <w:rFonts w:ascii="Times New Roman" w:eastAsia="Times New Roman" w:hAnsi="Times New Roman" w:cs="Times New Roman"/>
                <w:sz w:val="20"/>
                <w:szCs w:val="20"/>
                <w:lang w:eastAsia="en-ZA"/>
              </w:rPr>
              <w:t xml:space="preserve"> 190, 559, </w:t>
            </w:r>
            <w:r w:rsidR="00B102FB" w:rsidRPr="00B102FB">
              <w:rPr>
                <w:rFonts w:ascii="Times New Roman" w:eastAsia="Times New Roman" w:hAnsi="Times New Roman" w:cs="Times New Roman"/>
                <w:sz w:val="20"/>
                <w:szCs w:val="20"/>
                <w:lang w:eastAsia="en-ZA"/>
              </w:rPr>
              <w:t>https://doi.org/10.1007/s10661-018-6942-6</w:t>
            </w:r>
            <w:r w:rsidRPr="004D1E6F">
              <w:rPr>
                <w:rFonts w:ascii="Times New Roman" w:eastAsia="Times New Roman" w:hAnsi="Times New Roman" w:cs="Times New Roman"/>
                <w:sz w:val="20"/>
                <w:szCs w:val="20"/>
                <w:lang w:eastAsia="en-ZA"/>
              </w:rPr>
              <w:t>.</w:t>
            </w:r>
          </w:p>
          <w:p w14:paraId="3E37C28C" w14:textId="07513157"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Madzivanzira, T.C, South, J., Nhiwatiwa, T. &amp; Weyl, O.L.F., 2021, ‘Standardisation of Australian redclaw crayfish </w:t>
            </w:r>
            <w:r w:rsidRPr="004D1E6F">
              <w:rPr>
                <w:rFonts w:ascii="Times New Roman" w:eastAsia="Times New Roman" w:hAnsi="Times New Roman" w:cs="Times New Roman"/>
                <w:i/>
                <w:iCs/>
                <w:sz w:val="20"/>
                <w:szCs w:val="20"/>
                <w:lang w:eastAsia="en-ZA"/>
              </w:rPr>
              <w:t>Cherax quadricarinatus</w:t>
            </w:r>
            <w:r w:rsidRPr="004D1E6F">
              <w:rPr>
                <w:rFonts w:ascii="Times New Roman" w:eastAsia="Times New Roman" w:hAnsi="Times New Roman" w:cs="Times New Roman"/>
                <w:sz w:val="20"/>
                <w:szCs w:val="20"/>
                <w:lang w:eastAsia="en-ZA"/>
              </w:rPr>
              <w:t xml:space="preserve"> sampling gear in southern Africa’, </w:t>
            </w:r>
            <w:r w:rsidRPr="004D1E6F">
              <w:rPr>
                <w:rFonts w:ascii="Times New Roman" w:eastAsia="Times New Roman" w:hAnsi="Times New Roman" w:cs="Times New Roman"/>
                <w:i/>
                <w:iCs/>
                <w:sz w:val="20"/>
                <w:szCs w:val="20"/>
                <w:lang w:eastAsia="en-ZA"/>
              </w:rPr>
              <w:t>Water SA</w:t>
            </w:r>
            <w:r w:rsidRPr="004D1E6F">
              <w:rPr>
                <w:rFonts w:ascii="Times New Roman" w:eastAsia="Times New Roman" w:hAnsi="Times New Roman" w:cs="Times New Roman"/>
                <w:sz w:val="20"/>
                <w:szCs w:val="20"/>
                <w:lang w:eastAsia="en-ZA"/>
              </w:rPr>
              <w:t xml:space="preserve"> 47, 380–384. </w:t>
            </w:r>
            <w:r w:rsidR="00B102FB" w:rsidRPr="00B102FB">
              <w:rPr>
                <w:rFonts w:ascii="Times New Roman" w:eastAsia="Times New Roman" w:hAnsi="Times New Roman" w:cs="Times New Roman"/>
                <w:sz w:val="20"/>
                <w:szCs w:val="20"/>
                <w:lang w:eastAsia="en-ZA"/>
              </w:rPr>
              <w:t>https://hdl.handle.net/10520/ejc-waters-v47-n3-a10</w:t>
            </w:r>
            <w:r w:rsidRPr="004D1E6F">
              <w:rPr>
                <w:rFonts w:ascii="Times New Roman" w:eastAsia="Times New Roman" w:hAnsi="Times New Roman" w:cs="Times New Roman"/>
                <w:sz w:val="20"/>
                <w:szCs w:val="20"/>
                <w:lang w:eastAsia="en-ZA"/>
              </w:rPr>
              <w:t>.</w:t>
            </w:r>
          </w:p>
          <w:p w14:paraId="7C2F4EB2" w14:textId="77777777"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4D1E6F">
              <w:rPr>
                <w:rFonts w:ascii="Times New Roman" w:eastAsia="Times New Roman" w:hAnsi="Times New Roman" w:cs="Times New Roman"/>
                <w:i/>
                <w:iCs/>
                <w:sz w:val="20"/>
                <w:szCs w:val="20"/>
                <w:lang w:eastAsia="en-ZA"/>
              </w:rPr>
              <w:t>Cherax quadricarinatus</w:t>
            </w:r>
            <w:r w:rsidRPr="004D1E6F">
              <w:rPr>
                <w:rFonts w:ascii="Times New Roman" w:eastAsia="Times New Roman" w:hAnsi="Times New Roman" w:cs="Times New Roman"/>
                <w:sz w:val="20"/>
                <w:szCs w:val="20"/>
                <w:lang w:eastAsia="en-ZA"/>
              </w:rPr>
              <w:t xml:space="preserve">, in South Africa and Swaziland’, </w:t>
            </w:r>
            <w:r w:rsidRPr="004D1E6F">
              <w:rPr>
                <w:rFonts w:ascii="Times New Roman" w:eastAsia="Times New Roman" w:hAnsi="Times New Roman" w:cs="Times New Roman"/>
                <w:i/>
                <w:iCs/>
                <w:sz w:val="20"/>
                <w:szCs w:val="20"/>
                <w:lang w:eastAsia="en-ZA"/>
              </w:rPr>
              <w:t>PeerJ</w:t>
            </w:r>
            <w:r w:rsidRPr="004D1E6F">
              <w:rPr>
                <w:rFonts w:ascii="Times New Roman" w:eastAsia="Times New Roman" w:hAnsi="Times New Roman" w:cs="Times New Roman"/>
                <w:sz w:val="20"/>
                <w:szCs w:val="20"/>
                <w:lang w:eastAsia="en-ZA"/>
              </w:rPr>
              <w:t xml:space="preserve"> 5, 1-21. https://doi.org/10.7717/peerj.3135.</w:t>
            </w:r>
          </w:p>
          <w:p w14:paraId="3DEAFAB3" w14:textId="50DE86C9"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Peay, S., Johnsen, S.I, Bean, S.W., Dunn, A.M., Sandodden, R. &amp; Edsman, L, 2019, ‘Biocide treatment of invasive signal crayfish: Successes, failures and lessons learned’, </w:t>
            </w:r>
            <w:r w:rsidRPr="004D1E6F">
              <w:rPr>
                <w:rFonts w:ascii="Times New Roman" w:eastAsia="Times New Roman" w:hAnsi="Times New Roman" w:cs="Times New Roman"/>
                <w:i/>
                <w:iCs/>
                <w:sz w:val="20"/>
                <w:szCs w:val="20"/>
                <w:lang w:eastAsia="en-ZA"/>
              </w:rPr>
              <w:t>Diversity</w:t>
            </w:r>
            <w:r w:rsidRPr="004D1E6F">
              <w:rPr>
                <w:rFonts w:ascii="Times New Roman" w:eastAsia="Times New Roman" w:hAnsi="Times New Roman" w:cs="Times New Roman"/>
                <w:sz w:val="20"/>
                <w:szCs w:val="20"/>
                <w:lang w:eastAsia="en-ZA"/>
              </w:rPr>
              <w:t xml:space="preserve"> 11, 29. </w:t>
            </w:r>
            <w:r w:rsidR="00B102FB" w:rsidRPr="00B102FB">
              <w:rPr>
                <w:rFonts w:ascii="Times New Roman" w:eastAsia="Times New Roman" w:hAnsi="Times New Roman" w:cs="Times New Roman"/>
                <w:sz w:val="20"/>
                <w:szCs w:val="20"/>
                <w:lang w:eastAsia="en-ZA"/>
              </w:rPr>
              <w:t>https://doi.org/10.3390/d11030029</w:t>
            </w:r>
          </w:p>
          <w:p w14:paraId="7AA07E90" w14:textId="03E59EFF"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Stebbing, P., Longshaw, M. &amp; Scott, A., 2014, ‘Review of methods for the management of nonindigenous crayfish, with particular reference to Great Britain’, </w:t>
            </w:r>
            <w:r w:rsidRPr="004D1E6F">
              <w:rPr>
                <w:rFonts w:ascii="Times New Roman" w:eastAsia="Times New Roman" w:hAnsi="Times New Roman" w:cs="Times New Roman"/>
                <w:i/>
                <w:iCs/>
                <w:sz w:val="20"/>
                <w:szCs w:val="20"/>
                <w:lang w:eastAsia="en-ZA"/>
              </w:rPr>
              <w:t>Ethology Ecology &amp; Evolution</w:t>
            </w:r>
            <w:r w:rsidRPr="004D1E6F">
              <w:rPr>
                <w:rFonts w:ascii="Times New Roman" w:eastAsia="Times New Roman" w:hAnsi="Times New Roman" w:cs="Times New Roman"/>
                <w:sz w:val="20"/>
                <w:szCs w:val="20"/>
                <w:lang w:eastAsia="en-ZA"/>
              </w:rPr>
              <w:t xml:space="preserve"> 26, 204-231. </w:t>
            </w:r>
            <w:r w:rsidR="00B102FB" w:rsidRPr="00B102FB">
              <w:rPr>
                <w:rFonts w:ascii="Times New Roman" w:eastAsia="Times New Roman" w:hAnsi="Times New Roman" w:cs="Times New Roman"/>
                <w:sz w:val="20"/>
                <w:szCs w:val="20"/>
                <w:lang w:eastAsia="en-ZA"/>
              </w:rPr>
              <w:t>https://doi.org/10.1080/03949370.2014.908326</w:t>
            </w:r>
            <w:r w:rsidRPr="004D1E6F">
              <w:rPr>
                <w:rFonts w:ascii="Times New Roman" w:eastAsia="Times New Roman" w:hAnsi="Times New Roman" w:cs="Times New Roman"/>
                <w:sz w:val="20"/>
                <w:szCs w:val="20"/>
                <w:lang w:eastAsia="en-ZA"/>
              </w:rPr>
              <w:t>.</w:t>
            </w:r>
          </w:p>
          <w:p w14:paraId="7A245CD6" w14:textId="1B11452D" w:rsidR="002D7080" w:rsidRPr="004D1E6F" w:rsidRDefault="002D7080" w:rsidP="003478C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Zengeya, T., Ivey, P., Woodford, D.J., Weyl, O, Novoa, A., Shackleton, R., et al., 2017, ‘Managing conflict-generating invasive species in South Africa: Challenges and trade-offs’, </w:t>
            </w:r>
            <w:r w:rsidRPr="004D1E6F">
              <w:rPr>
                <w:rFonts w:ascii="Times New Roman" w:eastAsia="Times New Roman" w:hAnsi="Times New Roman" w:cs="Times New Roman"/>
                <w:i/>
                <w:iCs/>
                <w:sz w:val="20"/>
                <w:szCs w:val="20"/>
                <w:lang w:eastAsia="en-ZA"/>
              </w:rPr>
              <w:t>Bothalia</w:t>
            </w:r>
            <w:r w:rsidRPr="004D1E6F">
              <w:rPr>
                <w:rFonts w:ascii="Times New Roman" w:eastAsia="Times New Roman" w:hAnsi="Times New Roman" w:cs="Times New Roman"/>
                <w:sz w:val="20"/>
                <w:szCs w:val="20"/>
                <w:lang w:eastAsia="en-ZA"/>
              </w:rPr>
              <w:t xml:space="preserve"> 47, a2160. </w:t>
            </w:r>
            <w:r w:rsidR="00B102FB" w:rsidRPr="00B102FB">
              <w:rPr>
                <w:rFonts w:ascii="Times New Roman" w:eastAsia="Times New Roman" w:hAnsi="Times New Roman" w:cs="Times New Roman"/>
                <w:sz w:val="20"/>
                <w:szCs w:val="20"/>
                <w:lang w:eastAsia="en-ZA"/>
              </w:rPr>
              <w:t>https://hdl.handle.net/10520/EJC-727738f3d</w:t>
            </w:r>
          </w:p>
        </w:tc>
      </w:tr>
    </w:tbl>
    <w:p w14:paraId="0A3BA4F2" w14:textId="77777777" w:rsidR="002D7080" w:rsidRPr="004D1E6F" w:rsidRDefault="002D7080" w:rsidP="002D7080">
      <w:pPr>
        <w:spacing w:after="0" w:line="240" w:lineRule="auto"/>
        <w:rPr>
          <w:rFonts w:ascii="Times New Roman" w:hAnsi="Times New Roman" w:cs="Times New Roman"/>
          <w:b/>
          <w:sz w:val="20"/>
          <w:szCs w:val="20"/>
        </w:rPr>
      </w:pPr>
    </w:p>
    <w:tbl>
      <w:tblPr>
        <w:tblStyle w:val="TableGrid"/>
        <w:tblW w:w="9067" w:type="dxa"/>
        <w:tblLook w:val="04A0" w:firstRow="1" w:lastRow="0" w:firstColumn="1" w:lastColumn="0" w:noHBand="0" w:noVBand="1"/>
      </w:tblPr>
      <w:tblGrid>
        <w:gridCol w:w="1696"/>
        <w:gridCol w:w="7371"/>
      </w:tblGrid>
      <w:tr w:rsidR="002D7080" w:rsidRPr="004D1E6F" w14:paraId="2D466F33" w14:textId="77777777" w:rsidTr="002E2C37">
        <w:trPr>
          <w:trHeight w:val="343"/>
        </w:trPr>
        <w:tc>
          <w:tcPr>
            <w:tcW w:w="9067" w:type="dxa"/>
            <w:gridSpan w:val="2"/>
            <w:shd w:val="clear" w:color="auto" w:fill="F2F2F2" w:themeFill="background1" w:themeFillShade="F2"/>
          </w:tcPr>
          <w:p w14:paraId="2D338A1E"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MAN6 Any other management considerations to highlight? </w:t>
            </w:r>
          </w:p>
        </w:tc>
      </w:tr>
      <w:tr w:rsidR="002D7080" w:rsidRPr="004D1E6F" w14:paraId="52500A11" w14:textId="77777777" w:rsidTr="002E2C37">
        <w:trPr>
          <w:trHeight w:val="70"/>
        </w:trPr>
        <w:tc>
          <w:tcPr>
            <w:tcW w:w="1696" w:type="dxa"/>
          </w:tcPr>
          <w:p w14:paraId="0224CA4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w:t>
            </w:r>
          </w:p>
        </w:tc>
        <w:tc>
          <w:tcPr>
            <w:tcW w:w="7371" w:type="dxa"/>
          </w:tcPr>
          <w:p w14:paraId="586FC11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r>
    </w:tbl>
    <w:p w14:paraId="639F162D"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69229AAE"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5. Calculations</w:t>
      </w:r>
    </w:p>
    <w:p w14:paraId="6F94F959"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412EBA00"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Likelihood = Fairly probable</w:t>
      </w:r>
    </w:p>
    <w:p w14:paraId="38A276C8"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1195"/>
        <w:gridCol w:w="2628"/>
        <w:gridCol w:w="2939"/>
        <w:gridCol w:w="2254"/>
      </w:tblGrid>
      <w:tr w:rsidR="002D7080" w:rsidRPr="004D1E6F" w14:paraId="405FD763" w14:textId="77777777" w:rsidTr="002E2C37">
        <w:tc>
          <w:tcPr>
            <w:tcW w:w="1195" w:type="dxa"/>
            <w:shd w:val="clear" w:color="auto" w:fill="D9D9D9" w:themeFill="background1" w:themeFillShade="D9"/>
            <w:vAlign w:val="center"/>
          </w:tcPr>
          <w:p w14:paraId="4BB395E5"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Parameter</w:t>
            </w:r>
          </w:p>
        </w:tc>
        <w:tc>
          <w:tcPr>
            <w:tcW w:w="2628" w:type="dxa"/>
            <w:shd w:val="clear" w:color="auto" w:fill="D9D9D9" w:themeFill="background1" w:themeFillShade="D9"/>
            <w:vAlign w:val="center"/>
          </w:tcPr>
          <w:p w14:paraId="438A57B8"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Likelihood</w:t>
            </w:r>
          </w:p>
        </w:tc>
        <w:tc>
          <w:tcPr>
            <w:tcW w:w="2939" w:type="dxa"/>
            <w:shd w:val="clear" w:color="auto" w:fill="D9D9D9" w:themeFill="background1" w:themeFillShade="D9"/>
            <w:vAlign w:val="center"/>
          </w:tcPr>
          <w:p w14:paraId="2D540C68"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Stages</w:t>
            </w:r>
          </w:p>
        </w:tc>
        <w:tc>
          <w:tcPr>
            <w:tcW w:w="2254" w:type="dxa"/>
            <w:shd w:val="clear" w:color="auto" w:fill="D9D9D9" w:themeFill="background1" w:themeFillShade="D9"/>
            <w:vAlign w:val="center"/>
          </w:tcPr>
          <w:p w14:paraId="0C6CAE1A"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Final assessment</w:t>
            </w:r>
          </w:p>
        </w:tc>
      </w:tr>
      <w:tr w:rsidR="002D7080" w:rsidRPr="004D1E6F" w14:paraId="578F5DEB" w14:textId="77777777" w:rsidTr="002E2C37">
        <w:tc>
          <w:tcPr>
            <w:tcW w:w="1195" w:type="dxa"/>
            <w:shd w:val="clear" w:color="auto" w:fill="D9D9D9" w:themeFill="background1" w:themeFillShade="D9"/>
            <w:vAlign w:val="center"/>
          </w:tcPr>
          <w:p w14:paraId="37D6D6C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LIK1</w:t>
            </w:r>
          </w:p>
        </w:tc>
        <w:tc>
          <w:tcPr>
            <w:tcW w:w="2628" w:type="dxa"/>
            <w:vAlign w:val="center"/>
          </w:tcPr>
          <w:p w14:paraId="47FAFDD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0.0027</w:t>
            </w:r>
          </w:p>
        </w:tc>
        <w:tc>
          <w:tcPr>
            <w:tcW w:w="2939" w:type="dxa"/>
            <w:vMerge w:val="restart"/>
            <w:vAlign w:val="center"/>
          </w:tcPr>
          <w:p w14:paraId="02E80D2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P(entry) = 0.5</w:t>
            </w:r>
          </w:p>
        </w:tc>
        <w:tc>
          <w:tcPr>
            <w:tcW w:w="2254" w:type="dxa"/>
            <w:vMerge w:val="restart"/>
            <w:vAlign w:val="center"/>
          </w:tcPr>
          <w:p w14:paraId="1B4C421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 (invasion) = 0.25</w:t>
            </w:r>
          </w:p>
        </w:tc>
      </w:tr>
      <w:tr w:rsidR="002D7080" w:rsidRPr="004D1E6F" w14:paraId="0605BD9D" w14:textId="77777777" w:rsidTr="002E2C37">
        <w:tc>
          <w:tcPr>
            <w:tcW w:w="1195" w:type="dxa"/>
            <w:shd w:val="clear" w:color="auto" w:fill="D9D9D9" w:themeFill="background1" w:themeFillShade="D9"/>
            <w:vAlign w:val="center"/>
          </w:tcPr>
          <w:p w14:paraId="3212E5C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LIK2</w:t>
            </w:r>
          </w:p>
        </w:tc>
        <w:tc>
          <w:tcPr>
            <w:tcW w:w="2628" w:type="dxa"/>
            <w:vAlign w:val="center"/>
          </w:tcPr>
          <w:p w14:paraId="1A04C76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0.5</w:t>
            </w:r>
          </w:p>
        </w:tc>
        <w:tc>
          <w:tcPr>
            <w:tcW w:w="2939" w:type="dxa"/>
            <w:vMerge/>
            <w:vAlign w:val="center"/>
          </w:tcPr>
          <w:p w14:paraId="4461726F"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696FEDE1"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73EDF241" w14:textId="77777777" w:rsidTr="002E2C37">
        <w:tc>
          <w:tcPr>
            <w:tcW w:w="1195" w:type="dxa"/>
            <w:shd w:val="clear" w:color="auto" w:fill="D9D9D9" w:themeFill="background1" w:themeFillShade="D9"/>
            <w:vAlign w:val="center"/>
          </w:tcPr>
          <w:p w14:paraId="2547E09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LIK3</w:t>
            </w:r>
          </w:p>
        </w:tc>
        <w:tc>
          <w:tcPr>
            <w:tcW w:w="2628" w:type="dxa"/>
            <w:vAlign w:val="center"/>
          </w:tcPr>
          <w:p w14:paraId="517FCF4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1</w:t>
            </w:r>
          </w:p>
        </w:tc>
        <w:tc>
          <w:tcPr>
            <w:tcW w:w="2939" w:type="dxa"/>
            <w:vMerge w:val="restart"/>
            <w:vAlign w:val="center"/>
          </w:tcPr>
          <w:p w14:paraId="2F40C3F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P(establishment) = 1</w:t>
            </w:r>
          </w:p>
        </w:tc>
        <w:tc>
          <w:tcPr>
            <w:tcW w:w="2254" w:type="dxa"/>
            <w:vMerge/>
            <w:vAlign w:val="center"/>
          </w:tcPr>
          <w:p w14:paraId="62ABCD40"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31FF5D4E" w14:textId="77777777" w:rsidTr="002E2C37">
        <w:tc>
          <w:tcPr>
            <w:tcW w:w="1195" w:type="dxa"/>
            <w:shd w:val="clear" w:color="auto" w:fill="D9D9D9" w:themeFill="background1" w:themeFillShade="D9"/>
            <w:vAlign w:val="center"/>
          </w:tcPr>
          <w:p w14:paraId="0A7397E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LIK4</w:t>
            </w:r>
          </w:p>
        </w:tc>
        <w:tc>
          <w:tcPr>
            <w:tcW w:w="2628" w:type="dxa"/>
            <w:vAlign w:val="center"/>
          </w:tcPr>
          <w:p w14:paraId="0F986A1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1</w:t>
            </w:r>
          </w:p>
        </w:tc>
        <w:tc>
          <w:tcPr>
            <w:tcW w:w="2939" w:type="dxa"/>
            <w:vMerge/>
            <w:vAlign w:val="center"/>
          </w:tcPr>
          <w:p w14:paraId="652ACC05"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35E1C996"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764DEEBC" w14:textId="77777777" w:rsidTr="002E2C37">
        <w:tc>
          <w:tcPr>
            <w:tcW w:w="1195" w:type="dxa"/>
            <w:shd w:val="clear" w:color="auto" w:fill="D9D9D9" w:themeFill="background1" w:themeFillShade="D9"/>
            <w:vAlign w:val="center"/>
          </w:tcPr>
          <w:p w14:paraId="2CAB3CB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LIK5</w:t>
            </w:r>
          </w:p>
        </w:tc>
        <w:tc>
          <w:tcPr>
            <w:tcW w:w="2628" w:type="dxa"/>
            <w:vAlign w:val="center"/>
          </w:tcPr>
          <w:p w14:paraId="40445DD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0.5 </w:t>
            </w:r>
          </w:p>
        </w:tc>
        <w:tc>
          <w:tcPr>
            <w:tcW w:w="2939" w:type="dxa"/>
            <w:vMerge w:val="restart"/>
            <w:vAlign w:val="center"/>
          </w:tcPr>
          <w:p w14:paraId="19CFFD0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 (spread) =0.5</w:t>
            </w:r>
          </w:p>
        </w:tc>
        <w:tc>
          <w:tcPr>
            <w:tcW w:w="2254" w:type="dxa"/>
            <w:vMerge/>
            <w:vAlign w:val="center"/>
          </w:tcPr>
          <w:p w14:paraId="5B2A06A6"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31DCAB6F" w14:textId="77777777" w:rsidTr="002E2C37">
        <w:tc>
          <w:tcPr>
            <w:tcW w:w="1195" w:type="dxa"/>
            <w:shd w:val="clear" w:color="auto" w:fill="D9D9D9" w:themeFill="background1" w:themeFillShade="D9"/>
            <w:vAlign w:val="center"/>
          </w:tcPr>
          <w:p w14:paraId="26CC99B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LIK6</w:t>
            </w:r>
          </w:p>
        </w:tc>
        <w:tc>
          <w:tcPr>
            <w:tcW w:w="2628" w:type="dxa"/>
            <w:vAlign w:val="center"/>
          </w:tcPr>
          <w:p w14:paraId="12328975"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0.5</w:t>
            </w:r>
          </w:p>
        </w:tc>
        <w:tc>
          <w:tcPr>
            <w:tcW w:w="2939" w:type="dxa"/>
            <w:vMerge/>
            <w:vAlign w:val="center"/>
          </w:tcPr>
          <w:p w14:paraId="37CFFDE9"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414C9428" w14:textId="77777777" w:rsidR="002D7080" w:rsidRPr="004D1E6F" w:rsidRDefault="002D7080" w:rsidP="002E2C37">
            <w:pPr>
              <w:rPr>
                <w:rFonts w:ascii="Times New Roman" w:eastAsia="Times New Roman" w:hAnsi="Times New Roman" w:cs="Times New Roman"/>
                <w:sz w:val="20"/>
                <w:szCs w:val="20"/>
                <w:lang w:eastAsia="en-ZA"/>
              </w:rPr>
            </w:pPr>
          </w:p>
        </w:tc>
      </w:tr>
    </w:tbl>
    <w:p w14:paraId="79A98030"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76A79A7C"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Consequence = Major</w:t>
      </w:r>
      <w:r>
        <w:rPr>
          <w:rFonts w:ascii="Times New Roman" w:eastAsia="Times New Roman" w:hAnsi="Times New Roman" w:cs="Times New Roman"/>
          <w:b/>
          <w:sz w:val="20"/>
          <w:szCs w:val="20"/>
          <w:lang w:eastAsia="en-ZA"/>
        </w:rPr>
        <w:t xml:space="preserve"> (MR)</w:t>
      </w:r>
    </w:p>
    <w:p w14:paraId="16DE7A5D" w14:textId="77777777" w:rsidR="002D7080" w:rsidRPr="004D1E6F" w:rsidRDefault="002D7080" w:rsidP="002D7080">
      <w:pPr>
        <w:spacing w:after="0" w:line="240" w:lineRule="auto"/>
        <w:rPr>
          <w:rFonts w:ascii="Times New Roman" w:eastAsia="Times New Roman" w:hAnsi="Times New Roman" w:cs="Times New Roman"/>
          <w:bCs/>
          <w:sz w:val="20"/>
          <w:szCs w:val="20"/>
          <w:lang w:eastAsia="en-ZA"/>
        </w:rPr>
      </w:pPr>
    </w:p>
    <w:tbl>
      <w:tblPr>
        <w:tblStyle w:val="TableGrid"/>
        <w:tblW w:w="0" w:type="auto"/>
        <w:tblLook w:val="04A0" w:firstRow="1" w:lastRow="0" w:firstColumn="1" w:lastColumn="0" w:noHBand="0" w:noVBand="1"/>
      </w:tblPr>
      <w:tblGrid>
        <w:gridCol w:w="1555"/>
        <w:gridCol w:w="5953"/>
        <w:gridCol w:w="1508"/>
      </w:tblGrid>
      <w:tr w:rsidR="002D7080" w:rsidRPr="004D1E6F" w14:paraId="6BACD66C" w14:textId="77777777" w:rsidTr="002E2C37">
        <w:tc>
          <w:tcPr>
            <w:tcW w:w="1555" w:type="dxa"/>
            <w:shd w:val="clear" w:color="auto" w:fill="D9D9D9" w:themeFill="background1" w:themeFillShade="D9"/>
          </w:tcPr>
          <w:p w14:paraId="70090A3D"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Parameter</w:t>
            </w:r>
          </w:p>
        </w:tc>
        <w:tc>
          <w:tcPr>
            <w:tcW w:w="5953" w:type="dxa"/>
            <w:shd w:val="clear" w:color="auto" w:fill="D9D9D9" w:themeFill="background1" w:themeFillShade="D9"/>
          </w:tcPr>
          <w:p w14:paraId="25DAB8CD"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Mechanism/sector</w:t>
            </w:r>
          </w:p>
        </w:tc>
        <w:tc>
          <w:tcPr>
            <w:tcW w:w="1508" w:type="dxa"/>
            <w:shd w:val="clear" w:color="auto" w:fill="D9D9D9" w:themeFill="background1" w:themeFillShade="D9"/>
          </w:tcPr>
          <w:p w14:paraId="52F06704"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Response</w:t>
            </w:r>
          </w:p>
        </w:tc>
      </w:tr>
      <w:tr w:rsidR="002D7080" w:rsidRPr="004D1E6F" w14:paraId="43140B13" w14:textId="77777777" w:rsidTr="002E2C37">
        <w:tc>
          <w:tcPr>
            <w:tcW w:w="1555" w:type="dxa"/>
            <w:shd w:val="clear" w:color="auto" w:fill="D9D9D9" w:themeFill="background1" w:themeFillShade="D9"/>
          </w:tcPr>
          <w:p w14:paraId="60AAE27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CON1a</w:t>
            </w:r>
          </w:p>
        </w:tc>
        <w:tc>
          <w:tcPr>
            <w:tcW w:w="5953" w:type="dxa"/>
            <w:shd w:val="clear" w:color="auto" w:fill="F2F2F2" w:themeFill="background1" w:themeFillShade="F2"/>
          </w:tcPr>
          <w:p w14:paraId="16C0065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Competition</w:t>
            </w:r>
          </w:p>
        </w:tc>
        <w:tc>
          <w:tcPr>
            <w:tcW w:w="1508" w:type="dxa"/>
          </w:tcPr>
          <w:p w14:paraId="5FBF25A5" w14:textId="77777777" w:rsidR="002D7080" w:rsidRPr="004D1E6F" w:rsidRDefault="002D7080" w:rsidP="002E2C37">
            <w:pPr>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5B6238EB" w14:textId="77777777" w:rsidTr="002E2C37">
        <w:tc>
          <w:tcPr>
            <w:tcW w:w="1555" w:type="dxa"/>
            <w:shd w:val="clear" w:color="auto" w:fill="D9D9D9" w:themeFill="background1" w:themeFillShade="D9"/>
          </w:tcPr>
          <w:p w14:paraId="72F9B37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CON1b</w:t>
            </w:r>
          </w:p>
        </w:tc>
        <w:tc>
          <w:tcPr>
            <w:tcW w:w="5953" w:type="dxa"/>
            <w:shd w:val="clear" w:color="auto" w:fill="F2F2F2" w:themeFill="background1" w:themeFillShade="F2"/>
          </w:tcPr>
          <w:p w14:paraId="7066B4B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Predation</w:t>
            </w:r>
          </w:p>
        </w:tc>
        <w:tc>
          <w:tcPr>
            <w:tcW w:w="1508" w:type="dxa"/>
          </w:tcPr>
          <w:p w14:paraId="2F2FE49D" w14:textId="77777777" w:rsidR="002D7080" w:rsidRPr="004D1E6F" w:rsidRDefault="002D7080" w:rsidP="002E2C37">
            <w:pPr>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DD</w:t>
            </w:r>
          </w:p>
        </w:tc>
      </w:tr>
      <w:tr w:rsidR="002D7080" w:rsidRPr="004D1E6F" w14:paraId="30B50780" w14:textId="77777777" w:rsidTr="002E2C37">
        <w:tc>
          <w:tcPr>
            <w:tcW w:w="1555" w:type="dxa"/>
            <w:shd w:val="clear" w:color="auto" w:fill="D9D9D9" w:themeFill="background1" w:themeFillShade="D9"/>
          </w:tcPr>
          <w:p w14:paraId="622E801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CON1c</w:t>
            </w:r>
          </w:p>
        </w:tc>
        <w:tc>
          <w:tcPr>
            <w:tcW w:w="5953" w:type="dxa"/>
            <w:shd w:val="clear" w:color="auto" w:fill="F2F2F2" w:themeFill="background1" w:themeFillShade="F2"/>
          </w:tcPr>
          <w:p w14:paraId="2CF3C6D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Hybridisation</w:t>
            </w:r>
          </w:p>
        </w:tc>
        <w:tc>
          <w:tcPr>
            <w:tcW w:w="1508" w:type="dxa"/>
          </w:tcPr>
          <w:p w14:paraId="1F202EED"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DD</w:t>
            </w:r>
          </w:p>
        </w:tc>
      </w:tr>
      <w:tr w:rsidR="002D7080" w:rsidRPr="004D1E6F" w14:paraId="68E37E61" w14:textId="77777777" w:rsidTr="002E2C37">
        <w:tc>
          <w:tcPr>
            <w:tcW w:w="1555" w:type="dxa"/>
            <w:shd w:val="clear" w:color="auto" w:fill="D9D9D9" w:themeFill="background1" w:themeFillShade="D9"/>
          </w:tcPr>
          <w:p w14:paraId="2BED855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CON1d</w:t>
            </w:r>
          </w:p>
        </w:tc>
        <w:tc>
          <w:tcPr>
            <w:tcW w:w="5953" w:type="dxa"/>
            <w:shd w:val="clear" w:color="auto" w:fill="F2F2F2" w:themeFill="background1" w:themeFillShade="F2"/>
          </w:tcPr>
          <w:p w14:paraId="5220BA7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Disease transmission</w:t>
            </w:r>
          </w:p>
        </w:tc>
        <w:tc>
          <w:tcPr>
            <w:tcW w:w="1508" w:type="dxa"/>
          </w:tcPr>
          <w:p w14:paraId="4C9E1DA1"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 xml:space="preserve">DD </w:t>
            </w:r>
          </w:p>
        </w:tc>
      </w:tr>
      <w:tr w:rsidR="002D7080" w:rsidRPr="004D1E6F" w14:paraId="0AF4ABCC" w14:textId="77777777" w:rsidTr="002E2C37">
        <w:tc>
          <w:tcPr>
            <w:tcW w:w="1555" w:type="dxa"/>
            <w:shd w:val="clear" w:color="auto" w:fill="D9D9D9" w:themeFill="background1" w:themeFillShade="D9"/>
          </w:tcPr>
          <w:p w14:paraId="7A7447B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CON1e</w:t>
            </w:r>
          </w:p>
        </w:tc>
        <w:tc>
          <w:tcPr>
            <w:tcW w:w="5953" w:type="dxa"/>
            <w:shd w:val="clear" w:color="auto" w:fill="F2F2F2" w:themeFill="background1" w:themeFillShade="F2"/>
          </w:tcPr>
          <w:p w14:paraId="59F0610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Parasitism</w:t>
            </w:r>
          </w:p>
        </w:tc>
        <w:tc>
          <w:tcPr>
            <w:tcW w:w="1508" w:type="dxa"/>
          </w:tcPr>
          <w:p w14:paraId="75C7BEEE"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DD</w:t>
            </w:r>
          </w:p>
        </w:tc>
      </w:tr>
      <w:tr w:rsidR="002D7080" w:rsidRPr="004D1E6F" w14:paraId="372EE0E9" w14:textId="77777777" w:rsidTr="002E2C37">
        <w:tc>
          <w:tcPr>
            <w:tcW w:w="1555" w:type="dxa"/>
            <w:shd w:val="clear" w:color="auto" w:fill="D9D9D9" w:themeFill="background1" w:themeFillShade="D9"/>
          </w:tcPr>
          <w:p w14:paraId="676F63F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CON1f</w:t>
            </w:r>
          </w:p>
        </w:tc>
        <w:tc>
          <w:tcPr>
            <w:tcW w:w="5953" w:type="dxa"/>
            <w:shd w:val="clear" w:color="auto" w:fill="F2F2F2" w:themeFill="background1" w:themeFillShade="F2"/>
          </w:tcPr>
          <w:p w14:paraId="375BA13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Poisoning/toxicity</w:t>
            </w:r>
          </w:p>
        </w:tc>
        <w:tc>
          <w:tcPr>
            <w:tcW w:w="1508" w:type="dxa"/>
          </w:tcPr>
          <w:p w14:paraId="5143F585"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DD</w:t>
            </w:r>
          </w:p>
        </w:tc>
      </w:tr>
      <w:tr w:rsidR="002D7080" w:rsidRPr="004D1E6F" w14:paraId="2EA05054" w14:textId="77777777" w:rsidTr="002E2C37">
        <w:tc>
          <w:tcPr>
            <w:tcW w:w="1555" w:type="dxa"/>
            <w:shd w:val="clear" w:color="auto" w:fill="D9D9D9" w:themeFill="background1" w:themeFillShade="D9"/>
          </w:tcPr>
          <w:p w14:paraId="1C770C3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CON1g</w:t>
            </w:r>
          </w:p>
        </w:tc>
        <w:tc>
          <w:tcPr>
            <w:tcW w:w="5953" w:type="dxa"/>
            <w:shd w:val="clear" w:color="auto" w:fill="F2F2F2" w:themeFill="background1" w:themeFillShade="F2"/>
          </w:tcPr>
          <w:p w14:paraId="1E1C249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Bio-fouling or other direct physical disturbance</w:t>
            </w:r>
          </w:p>
        </w:tc>
        <w:tc>
          <w:tcPr>
            <w:tcW w:w="1508" w:type="dxa"/>
          </w:tcPr>
          <w:p w14:paraId="38B5B9A9"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DD</w:t>
            </w:r>
          </w:p>
        </w:tc>
      </w:tr>
      <w:tr w:rsidR="002D7080" w:rsidRPr="004D1E6F" w14:paraId="0E21947F" w14:textId="77777777" w:rsidTr="002E2C37">
        <w:tc>
          <w:tcPr>
            <w:tcW w:w="1555" w:type="dxa"/>
            <w:shd w:val="clear" w:color="auto" w:fill="D9D9D9" w:themeFill="background1" w:themeFillShade="D9"/>
          </w:tcPr>
          <w:p w14:paraId="5736686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CON1h</w:t>
            </w:r>
          </w:p>
        </w:tc>
        <w:tc>
          <w:tcPr>
            <w:tcW w:w="5953" w:type="dxa"/>
            <w:shd w:val="clear" w:color="auto" w:fill="F2F2F2" w:themeFill="background1" w:themeFillShade="F2"/>
          </w:tcPr>
          <w:p w14:paraId="5D4F1E1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Grazing/herbivory/browsing</w:t>
            </w:r>
          </w:p>
        </w:tc>
        <w:tc>
          <w:tcPr>
            <w:tcW w:w="1508" w:type="dxa"/>
          </w:tcPr>
          <w:p w14:paraId="3F432650"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DD</w:t>
            </w:r>
          </w:p>
        </w:tc>
      </w:tr>
      <w:tr w:rsidR="002D7080" w:rsidRPr="004D1E6F" w14:paraId="3FECA28E" w14:textId="77777777" w:rsidTr="002E2C37">
        <w:tc>
          <w:tcPr>
            <w:tcW w:w="1555" w:type="dxa"/>
            <w:shd w:val="clear" w:color="auto" w:fill="D9D9D9" w:themeFill="background1" w:themeFillShade="D9"/>
          </w:tcPr>
          <w:p w14:paraId="394A7FE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CON1i</w:t>
            </w:r>
          </w:p>
        </w:tc>
        <w:tc>
          <w:tcPr>
            <w:tcW w:w="5953" w:type="dxa"/>
            <w:shd w:val="clear" w:color="auto" w:fill="F2F2F2" w:themeFill="background1" w:themeFillShade="F2"/>
          </w:tcPr>
          <w:p w14:paraId="7A19FB3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Chemical, physical, structural impact</w:t>
            </w:r>
          </w:p>
        </w:tc>
        <w:tc>
          <w:tcPr>
            <w:tcW w:w="1508" w:type="dxa"/>
          </w:tcPr>
          <w:p w14:paraId="51C64FB5"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DD</w:t>
            </w:r>
          </w:p>
        </w:tc>
      </w:tr>
      <w:tr w:rsidR="002D7080" w:rsidRPr="004D1E6F" w14:paraId="30D08338" w14:textId="77777777" w:rsidTr="002E2C37">
        <w:tc>
          <w:tcPr>
            <w:tcW w:w="1555" w:type="dxa"/>
            <w:shd w:val="clear" w:color="auto" w:fill="D9D9D9" w:themeFill="background1" w:themeFillShade="D9"/>
          </w:tcPr>
          <w:p w14:paraId="7424E63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CON1k</w:t>
            </w:r>
          </w:p>
        </w:tc>
        <w:tc>
          <w:tcPr>
            <w:tcW w:w="5953" w:type="dxa"/>
            <w:shd w:val="clear" w:color="auto" w:fill="F2F2F2" w:themeFill="background1" w:themeFillShade="F2"/>
          </w:tcPr>
          <w:p w14:paraId="46A0DAD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Indirect impacts through interactions with other species</w:t>
            </w:r>
          </w:p>
        </w:tc>
        <w:tc>
          <w:tcPr>
            <w:tcW w:w="1508" w:type="dxa"/>
          </w:tcPr>
          <w:p w14:paraId="23F95F7A"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DD</w:t>
            </w:r>
          </w:p>
        </w:tc>
      </w:tr>
      <w:tr w:rsidR="002D7080" w:rsidRPr="004D1E6F" w14:paraId="44218A04" w14:textId="77777777" w:rsidTr="002E2C37">
        <w:tc>
          <w:tcPr>
            <w:tcW w:w="1555" w:type="dxa"/>
            <w:shd w:val="clear" w:color="auto" w:fill="D9D9D9" w:themeFill="background1" w:themeFillShade="D9"/>
          </w:tcPr>
          <w:p w14:paraId="4A46C22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w:t>
            </w:r>
          </w:p>
        </w:tc>
        <w:tc>
          <w:tcPr>
            <w:tcW w:w="5953" w:type="dxa"/>
            <w:shd w:val="clear" w:color="auto" w:fill="F2F2F2" w:themeFill="background1" w:themeFillShade="F2"/>
          </w:tcPr>
          <w:p w14:paraId="17931E9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Maximum environmental impact</w:t>
            </w:r>
          </w:p>
        </w:tc>
        <w:tc>
          <w:tcPr>
            <w:tcW w:w="1508" w:type="dxa"/>
          </w:tcPr>
          <w:p w14:paraId="0209918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DD</w:t>
            </w:r>
          </w:p>
        </w:tc>
      </w:tr>
      <w:tr w:rsidR="002D7080" w:rsidRPr="004D1E6F" w14:paraId="30EC953A" w14:textId="77777777" w:rsidTr="002E2C37">
        <w:tc>
          <w:tcPr>
            <w:tcW w:w="1555" w:type="dxa"/>
            <w:shd w:val="clear" w:color="auto" w:fill="D9D9D9" w:themeFill="background1" w:themeFillShade="D9"/>
          </w:tcPr>
          <w:p w14:paraId="55B8935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CON2a</w:t>
            </w:r>
          </w:p>
        </w:tc>
        <w:tc>
          <w:tcPr>
            <w:tcW w:w="5953" w:type="dxa"/>
            <w:shd w:val="clear" w:color="auto" w:fill="F2F2F2" w:themeFill="background1" w:themeFillShade="F2"/>
          </w:tcPr>
          <w:p w14:paraId="24F98A4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Safety</w:t>
            </w:r>
          </w:p>
        </w:tc>
        <w:tc>
          <w:tcPr>
            <w:tcW w:w="1508" w:type="dxa"/>
          </w:tcPr>
          <w:p w14:paraId="143ADAE7"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DD</w:t>
            </w:r>
          </w:p>
        </w:tc>
      </w:tr>
      <w:tr w:rsidR="002D7080" w:rsidRPr="004D1E6F" w14:paraId="7AF450D8" w14:textId="77777777" w:rsidTr="002E2C37">
        <w:tc>
          <w:tcPr>
            <w:tcW w:w="1555" w:type="dxa"/>
            <w:shd w:val="clear" w:color="auto" w:fill="D9D9D9" w:themeFill="background1" w:themeFillShade="D9"/>
          </w:tcPr>
          <w:p w14:paraId="7F25AC95"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CON2b</w:t>
            </w:r>
          </w:p>
        </w:tc>
        <w:tc>
          <w:tcPr>
            <w:tcW w:w="5953" w:type="dxa"/>
            <w:shd w:val="clear" w:color="auto" w:fill="F2F2F2" w:themeFill="background1" w:themeFillShade="F2"/>
          </w:tcPr>
          <w:p w14:paraId="635ABA2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Material and immaterial assets</w:t>
            </w:r>
          </w:p>
        </w:tc>
        <w:tc>
          <w:tcPr>
            <w:tcW w:w="1508" w:type="dxa"/>
          </w:tcPr>
          <w:p w14:paraId="2AA444E8" w14:textId="77777777" w:rsidR="002D7080" w:rsidRPr="004D1E6F" w:rsidRDefault="002D7080" w:rsidP="002E2C37">
            <w:pPr>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 xml:space="preserve">DD </w:t>
            </w:r>
          </w:p>
        </w:tc>
      </w:tr>
      <w:tr w:rsidR="002D7080" w:rsidRPr="004D1E6F" w14:paraId="07CDEFA1" w14:textId="77777777" w:rsidTr="002E2C37">
        <w:tc>
          <w:tcPr>
            <w:tcW w:w="1555" w:type="dxa"/>
            <w:shd w:val="clear" w:color="auto" w:fill="D9D9D9" w:themeFill="background1" w:themeFillShade="D9"/>
          </w:tcPr>
          <w:p w14:paraId="09CE632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CON2c</w:t>
            </w:r>
          </w:p>
        </w:tc>
        <w:tc>
          <w:tcPr>
            <w:tcW w:w="5953" w:type="dxa"/>
            <w:shd w:val="clear" w:color="auto" w:fill="F2F2F2" w:themeFill="background1" w:themeFillShade="F2"/>
          </w:tcPr>
          <w:p w14:paraId="4DBDE22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Health</w:t>
            </w:r>
          </w:p>
        </w:tc>
        <w:tc>
          <w:tcPr>
            <w:tcW w:w="1508" w:type="dxa"/>
          </w:tcPr>
          <w:p w14:paraId="08999AA2"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DD</w:t>
            </w:r>
          </w:p>
        </w:tc>
      </w:tr>
      <w:tr w:rsidR="002D7080" w:rsidRPr="004D1E6F" w14:paraId="11AD2685" w14:textId="77777777" w:rsidTr="002E2C37">
        <w:tc>
          <w:tcPr>
            <w:tcW w:w="1555" w:type="dxa"/>
            <w:shd w:val="clear" w:color="auto" w:fill="D9D9D9" w:themeFill="background1" w:themeFillShade="D9"/>
          </w:tcPr>
          <w:p w14:paraId="026E9E8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CON2d</w:t>
            </w:r>
          </w:p>
        </w:tc>
        <w:tc>
          <w:tcPr>
            <w:tcW w:w="5953" w:type="dxa"/>
            <w:shd w:val="clear" w:color="auto" w:fill="F2F2F2" w:themeFill="background1" w:themeFillShade="F2"/>
          </w:tcPr>
          <w:p w14:paraId="68C3520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Social, spiritual and cultural relations</w:t>
            </w:r>
          </w:p>
        </w:tc>
        <w:tc>
          <w:tcPr>
            <w:tcW w:w="1508" w:type="dxa"/>
          </w:tcPr>
          <w:p w14:paraId="282E422B"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DD</w:t>
            </w:r>
          </w:p>
        </w:tc>
      </w:tr>
      <w:tr w:rsidR="002D7080" w:rsidRPr="004D1E6F" w14:paraId="0E010AA4" w14:textId="77777777" w:rsidTr="002E2C37">
        <w:tc>
          <w:tcPr>
            <w:tcW w:w="1555" w:type="dxa"/>
            <w:shd w:val="clear" w:color="auto" w:fill="D9D9D9" w:themeFill="background1" w:themeFillShade="D9"/>
          </w:tcPr>
          <w:p w14:paraId="3AAB66F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w:t>
            </w:r>
          </w:p>
        </w:tc>
        <w:tc>
          <w:tcPr>
            <w:tcW w:w="5953" w:type="dxa"/>
            <w:shd w:val="clear" w:color="auto" w:fill="F2F2F2" w:themeFill="background1" w:themeFillShade="F2"/>
          </w:tcPr>
          <w:p w14:paraId="5C995FA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Maximum socio-economic impact</w:t>
            </w:r>
          </w:p>
        </w:tc>
        <w:tc>
          <w:tcPr>
            <w:tcW w:w="1508" w:type="dxa"/>
          </w:tcPr>
          <w:p w14:paraId="02F8632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DD</w:t>
            </w:r>
          </w:p>
        </w:tc>
      </w:tr>
      <w:tr w:rsidR="002D7080" w:rsidRPr="004D1E6F" w14:paraId="1F374591" w14:textId="77777777" w:rsidTr="002E2C37">
        <w:trPr>
          <w:trHeight w:val="100"/>
        </w:trPr>
        <w:tc>
          <w:tcPr>
            <w:tcW w:w="1555" w:type="dxa"/>
            <w:shd w:val="clear" w:color="auto" w:fill="D9D9D9" w:themeFill="background1" w:themeFillShade="D9"/>
          </w:tcPr>
          <w:p w14:paraId="5901FAE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w:t>
            </w:r>
          </w:p>
        </w:tc>
        <w:tc>
          <w:tcPr>
            <w:tcW w:w="5953" w:type="dxa"/>
            <w:shd w:val="clear" w:color="auto" w:fill="F2F2F2" w:themeFill="background1" w:themeFillShade="F2"/>
          </w:tcPr>
          <w:p w14:paraId="3C02C7F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Environmental impact of closely related taxa</w:t>
            </w:r>
          </w:p>
        </w:tc>
        <w:tc>
          <w:tcPr>
            <w:tcW w:w="1508" w:type="dxa"/>
          </w:tcPr>
          <w:p w14:paraId="51BEC924"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MR</w:t>
            </w:r>
          </w:p>
        </w:tc>
      </w:tr>
      <w:tr w:rsidR="002D7080" w:rsidRPr="004D1E6F" w14:paraId="6578D0AB" w14:textId="77777777" w:rsidTr="002E2C37">
        <w:tc>
          <w:tcPr>
            <w:tcW w:w="1555" w:type="dxa"/>
            <w:shd w:val="clear" w:color="auto" w:fill="D9D9D9" w:themeFill="background1" w:themeFillShade="D9"/>
          </w:tcPr>
          <w:p w14:paraId="26749D3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CON4</w:t>
            </w:r>
          </w:p>
        </w:tc>
        <w:tc>
          <w:tcPr>
            <w:tcW w:w="5953" w:type="dxa"/>
            <w:shd w:val="clear" w:color="auto" w:fill="F2F2F2" w:themeFill="background1" w:themeFillShade="F2"/>
          </w:tcPr>
          <w:p w14:paraId="62BF78F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Socio-economic impact of closely related taxa</w:t>
            </w:r>
          </w:p>
        </w:tc>
        <w:tc>
          <w:tcPr>
            <w:tcW w:w="1508" w:type="dxa"/>
          </w:tcPr>
          <w:p w14:paraId="66910BA6" w14:textId="77777777" w:rsidR="002D7080" w:rsidRPr="004D1E6F" w:rsidRDefault="002D7080" w:rsidP="002E2C37">
            <w:pPr>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MO</w:t>
            </w:r>
          </w:p>
        </w:tc>
      </w:tr>
      <w:tr w:rsidR="002D7080" w:rsidRPr="004D1E6F" w14:paraId="5AC982C5" w14:textId="77777777" w:rsidTr="002E2C37">
        <w:tc>
          <w:tcPr>
            <w:tcW w:w="1555" w:type="dxa"/>
            <w:shd w:val="clear" w:color="auto" w:fill="D9D9D9" w:themeFill="background1" w:themeFillShade="D9"/>
          </w:tcPr>
          <w:p w14:paraId="66EA298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CON5</w:t>
            </w:r>
          </w:p>
        </w:tc>
        <w:tc>
          <w:tcPr>
            <w:tcW w:w="5953" w:type="dxa"/>
            <w:shd w:val="clear" w:color="auto" w:fill="F2F2F2" w:themeFill="background1" w:themeFillShade="F2"/>
          </w:tcPr>
          <w:p w14:paraId="40471D9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Potential impact based on traits, experiments, or models</w:t>
            </w:r>
          </w:p>
        </w:tc>
        <w:tc>
          <w:tcPr>
            <w:tcW w:w="1508" w:type="dxa"/>
          </w:tcPr>
          <w:p w14:paraId="034720FF" w14:textId="77777777" w:rsidR="002D7080" w:rsidRPr="004D1E6F" w:rsidRDefault="002D7080" w:rsidP="002E2C37">
            <w:pPr>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MR</w:t>
            </w:r>
          </w:p>
        </w:tc>
      </w:tr>
    </w:tbl>
    <w:p w14:paraId="7FAA98E1"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4EB7F45C"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Risk score = High</w:t>
      </w:r>
    </w:p>
    <w:p w14:paraId="02265ABF" w14:textId="77777777" w:rsidR="002D7080" w:rsidRPr="004D1E6F" w:rsidRDefault="002D7080" w:rsidP="002D7080">
      <w:pPr>
        <w:spacing w:after="0" w:line="240" w:lineRule="auto"/>
        <w:rPr>
          <w:rFonts w:ascii="Times New Roman" w:hAnsi="Times New Roman" w:cs="Times New Roman"/>
          <w:sz w:val="20"/>
          <w:szCs w:val="20"/>
        </w:rPr>
      </w:pPr>
    </w:p>
    <w:tbl>
      <w:tblPr>
        <w:tblW w:w="7700" w:type="dxa"/>
        <w:jc w:val="center"/>
        <w:tblCellMar>
          <w:left w:w="70" w:type="dxa"/>
          <w:right w:w="70" w:type="dxa"/>
        </w:tblCellMar>
        <w:tblLook w:val="04A0" w:firstRow="1" w:lastRow="0" w:firstColumn="1" w:lastColumn="0" w:noHBand="0" w:noVBand="1"/>
      </w:tblPr>
      <w:tblGrid>
        <w:gridCol w:w="440"/>
        <w:gridCol w:w="2060"/>
        <w:gridCol w:w="1004"/>
        <w:gridCol w:w="953"/>
        <w:gridCol w:w="1223"/>
        <w:gridCol w:w="953"/>
        <w:gridCol w:w="1067"/>
      </w:tblGrid>
      <w:tr w:rsidR="002D7080" w:rsidRPr="004D1E6F" w14:paraId="58EDA5A2" w14:textId="77777777" w:rsidTr="002E2C37">
        <w:trPr>
          <w:trHeight w:val="231"/>
          <w:jc w:val="center"/>
        </w:trPr>
        <w:tc>
          <w:tcPr>
            <w:tcW w:w="440" w:type="dxa"/>
            <w:vMerge w:val="restart"/>
            <w:tcBorders>
              <w:top w:val="nil"/>
              <w:left w:val="nil"/>
              <w:bottom w:val="single" w:sz="4" w:space="0" w:color="000000"/>
              <w:right w:val="nil"/>
            </w:tcBorders>
            <w:noWrap/>
            <w:vAlign w:val="bottom"/>
            <w:hideMark/>
          </w:tcPr>
          <w:p w14:paraId="14740564"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 </w:t>
            </w:r>
          </w:p>
        </w:tc>
        <w:tc>
          <w:tcPr>
            <w:tcW w:w="2060" w:type="dxa"/>
            <w:vMerge w:val="restart"/>
            <w:tcBorders>
              <w:top w:val="nil"/>
              <w:left w:val="nil"/>
              <w:bottom w:val="single" w:sz="4" w:space="0" w:color="000000"/>
              <w:right w:val="single" w:sz="4" w:space="0" w:color="auto"/>
            </w:tcBorders>
            <w:noWrap/>
            <w:vAlign w:val="bottom"/>
            <w:hideMark/>
          </w:tcPr>
          <w:p w14:paraId="41FF830E"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 </w:t>
            </w:r>
          </w:p>
        </w:tc>
        <w:tc>
          <w:tcPr>
            <w:tcW w:w="5200" w:type="dxa"/>
            <w:gridSpan w:val="5"/>
            <w:tcBorders>
              <w:top w:val="single" w:sz="4" w:space="0" w:color="auto"/>
              <w:left w:val="nil"/>
              <w:bottom w:val="single" w:sz="4" w:space="0" w:color="auto"/>
              <w:right w:val="single" w:sz="4" w:space="0" w:color="auto"/>
            </w:tcBorders>
            <w:shd w:val="clear" w:color="000000" w:fill="F2F2F2"/>
            <w:noWrap/>
            <w:vAlign w:val="bottom"/>
            <w:hideMark/>
          </w:tcPr>
          <w:p w14:paraId="025383A3"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Consequences</w:t>
            </w:r>
          </w:p>
        </w:tc>
      </w:tr>
      <w:tr w:rsidR="002D7080" w:rsidRPr="004D1E6F" w14:paraId="647FBCE1" w14:textId="77777777" w:rsidTr="002E2C37">
        <w:trPr>
          <w:trHeight w:val="281"/>
          <w:jc w:val="center"/>
        </w:trPr>
        <w:tc>
          <w:tcPr>
            <w:tcW w:w="440" w:type="dxa"/>
            <w:vMerge/>
            <w:tcBorders>
              <w:top w:val="nil"/>
              <w:left w:val="nil"/>
              <w:bottom w:val="single" w:sz="4" w:space="0" w:color="auto"/>
              <w:right w:val="nil"/>
            </w:tcBorders>
            <w:vAlign w:val="center"/>
            <w:hideMark/>
          </w:tcPr>
          <w:p w14:paraId="2FF81225"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vMerge/>
            <w:tcBorders>
              <w:top w:val="nil"/>
              <w:left w:val="nil"/>
              <w:bottom w:val="single" w:sz="4" w:space="0" w:color="auto"/>
              <w:right w:val="single" w:sz="4" w:space="0" w:color="auto"/>
            </w:tcBorders>
            <w:vAlign w:val="center"/>
            <w:hideMark/>
          </w:tcPr>
          <w:p w14:paraId="5ADCDB33"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1004" w:type="dxa"/>
            <w:tcBorders>
              <w:top w:val="single" w:sz="4" w:space="0" w:color="auto"/>
              <w:left w:val="nil"/>
              <w:bottom w:val="single" w:sz="4" w:space="0" w:color="auto"/>
              <w:right w:val="single" w:sz="4" w:space="0" w:color="auto"/>
            </w:tcBorders>
            <w:shd w:val="clear" w:color="000000" w:fill="F2F2F2"/>
            <w:noWrap/>
            <w:vAlign w:val="bottom"/>
            <w:hideMark/>
          </w:tcPr>
          <w:p w14:paraId="65D2117C"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MC</w:t>
            </w:r>
          </w:p>
        </w:tc>
        <w:tc>
          <w:tcPr>
            <w:tcW w:w="953"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6F5B9B5"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MN</w:t>
            </w:r>
          </w:p>
        </w:tc>
        <w:tc>
          <w:tcPr>
            <w:tcW w:w="1223"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5BE231AA"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MO</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F982997"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MR</w:t>
            </w:r>
          </w:p>
        </w:tc>
        <w:tc>
          <w:tcPr>
            <w:tcW w:w="1067" w:type="dxa"/>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5B804FBC"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MV</w:t>
            </w:r>
          </w:p>
        </w:tc>
      </w:tr>
      <w:tr w:rsidR="002D7080" w:rsidRPr="004D1E6F" w14:paraId="462FED88" w14:textId="77777777" w:rsidTr="002E2C37">
        <w:trPr>
          <w:trHeight w:val="271"/>
          <w:jc w:val="center"/>
        </w:trPr>
        <w:tc>
          <w:tcPr>
            <w:tcW w:w="440" w:type="dxa"/>
            <w:vMerge w:val="restart"/>
            <w:tcBorders>
              <w:top w:val="single" w:sz="4" w:space="0" w:color="auto"/>
              <w:left w:val="single" w:sz="4" w:space="0" w:color="auto"/>
              <w:bottom w:val="single" w:sz="4" w:space="0" w:color="auto"/>
              <w:right w:val="single" w:sz="4" w:space="0" w:color="auto"/>
            </w:tcBorders>
            <w:shd w:val="clear" w:color="000000" w:fill="F2F2F2"/>
            <w:noWrap/>
            <w:textDirection w:val="btLr"/>
            <w:vAlign w:val="center"/>
            <w:hideMark/>
          </w:tcPr>
          <w:p w14:paraId="137DFEEC"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Likelihood</w:t>
            </w:r>
          </w:p>
        </w:tc>
        <w:tc>
          <w:tcPr>
            <w:tcW w:w="2060" w:type="dxa"/>
            <w:tcBorders>
              <w:top w:val="single" w:sz="4" w:space="0" w:color="auto"/>
              <w:left w:val="nil"/>
              <w:bottom w:val="single" w:sz="4" w:space="0" w:color="auto"/>
              <w:right w:val="single" w:sz="4" w:space="0" w:color="auto"/>
            </w:tcBorders>
            <w:shd w:val="clear" w:color="000000" w:fill="F2F2F2"/>
            <w:noWrap/>
            <w:vAlign w:val="center"/>
            <w:hideMark/>
          </w:tcPr>
          <w:p w14:paraId="63A96EE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Extremely unlikely</w:t>
            </w:r>
          </w:p>
        </w:tc>
        <w:tc>
          <w:tcPr>
            <w:tcW w:w="1004" w:type="dxa"/>
            <w:tcBorders>
              <w:top w:val="single" w:sz="4" w:space="0" w:color="auto"/>
              <w:left w:val="nil"/>
              <w:bottom w:val="single" w:sz="4" w:space="0" w:color="auto"/>
              <w:right w:val="single" w:sz="4" w:space="0" w:color="auto"/>
            </w:tcBorders>
            <w:noWrap/>
            <w:vAlign w:val="center"/>
            <w:hideMark/>
          </w:tcPr>
          <w:p w14:paraId="760FDB6B"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96199B8"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10531FCF"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FF7F441"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6625A5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r>
      <w:tr w:rsidR="002D7080" w:rsidRPr="004D1E6F" w14:paraId="0E1B5030" w14:textId="77777777" w:rsidTr="002E2C37">
        <w:trPr>
          <w:trHeight w:val="275"/>
          <w:jc w:val="center"/>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37B849E8"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000000" w:fill="F2F2F2"/>
            <w:noWrap/>
            <w:vAlign w:val="center"/>
            <w:hideMark/>
          </w:tcPr>
          <w:p w14:paraId="33F81868"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Very unlikely</w:t>
            </w:r>
          </w:p>
        </w:tc>
        <w:tc>
          <w:tcPr>
            <w:tcW w:w="1004" w:type="dxa"/>
            <w:tcBorders>
              <w:top w:val="single" w:sz="4" w:space="0" w:color="auto"/>
              <w:left w:val="nil"/>
              <w:bottom w:val="single" w:sz="4" w:space="0" w:color="auto"/>
              <w:right w:val="single" w:sz="4" w:space="0" w:color="auto"/>
            </w:tcBorders>
            <w:noWrap/>
            <w:vAlign w:val="center"/>
            <w:hideMark/>
          </w:tcPr>
          <w:p w14:paraId="4FCD206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0B61DCDA"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44625636"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0B92263E"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00D1DD16"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022F2354" w14:textId="77777777" w:rsidTr="002E2C37">
        <w:trPr>
          <w:trHeight w:val="265"/>
          <w:jc w:val="center"/>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48E007F2"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000000" w:fill="F2F2F2"/>
            <w:noWrap/>
            <w:vAlign w:val="center"/>
            <w:hideMark/>
          </w:tcPr>
          <w:p w14:paraId="559DB155"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Unlikely</w:t>
            </w:r>
          </w:p>
        </w:tc>
        <w:tc>
          <w:tcPr>
            <w:tcW w:w="1004" w:type="dxa"/>
            <w:tcBorders>
              <w:top w:val="single" w:sz="4" w:space="0" w:color="auto"/>
              <w:left w:val="nil"/>
              <w:bottom w:val="single" w:sz="4" w:space="0" w:color="auto"/>
              <w:right w:val="single" w:sz="4" w:space="0" w:color="auto"/>
            </w:tcBorders>
            <w:noWrap/>
            <w:vAlign w:val="center"/>
            <w:hideMark/>
          </w:tcPr>
          <w:p w14:paraId="1DA8E6F1"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73B075F4"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53A9F9A4"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ADAE6EA"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AD96CC8"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7F9B5F29" w14:textId="77777777" w:rsidTr="002E2C37">
        <w:trPr>
          <w:trHeight w:val="283"/>
          <w:jc w:val="center"/>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656B0BEE"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FFFF00"/>
            <w:noWrap/>
            <w:vAlign w:val="center"/>
            <w:hideMark/>
          </w:tcPr>
          <w:p w14:paraId="56B58F11"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Fairly probable</w:t>
            </w:r>
          </w:p>
        </w:tc>
        <w:tc>
          <w:tcPr>
            <w:tcW w:w="1004" w:type="dxa"/>
            <w:tcBorders>
              <w:top w:val="single" w:sz="4" w:space="0" w:color="auto"/>
              <w:left w:val="nil"/>
              <w:bottom w:val="single" w:sz="4" w:space="0" w:color="auto"/>
              <w:right w:val="single" w:sz="4" w:space="0" w:color="auto"/>
            </w:tcBorders>
            <w:noWrap/>
            <w:vAlign w:val="center"/>
            <w:hideMark/>
          </w:tcPr>
          <w:p w14:paraId="0E3E5559"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085CE677"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6F02205F"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FA0BEBE"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14C25DF6"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4009D4DA" w14:textId="77777777" w:rsidTr="002E2C37">
        <w:trPr>
          <w:trHeight w:val="273"/>
          <w:jc w:val="center"/>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069E9BF6"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000000" w:fill="F2F2F2"/>
            <w:noWrap/>
            <w:vAlign w:val="center"/>
            <w:hideMark/>
          </w:tcPr>
          <w:p w14:paraId="0DD1EDC8"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Probable</w:t>
            </w:r>
          </w:p>
        </w:tc>
        <w:tc>
          <w:tcPr>
            <w:tcW w:w="1004" w:type="dxa"/>
            <w:tcBorders>
              <w:top w:val="single" w:sz="4" w:space="0" w:color="auto"/>
              <w:left w:val="nil"/>
              <w:bottom w:val="single" w:sz="4" w:space="0" w:color="auto"/>
              <w:right w:val="single" w:sz="4" w:space="0" w:color="auto"/>
            </w:tcBorders>
            <w:noWrap/>
            <w:vAlign w:val="center"/>
            <w:hideMark/>
          </w:tcPr>
          <w:p w14:paraId="499BDB16"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7B30B521"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16A1A089"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19870D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02D2C50"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bl>
    <w:p w14:paraId="5437763A" w14:textId="77777777" w:rsidR="002D7080" w:rsidRPr="004D1E6F" w:rsidRDefault="002D7080" w:rsidP="002D7080">
      <w:pPr>
        <w:spacing w:after="0" w:line="240" w:lineRule="auto"/>
        <w:rPr>
          <w:rFonts w:ascii="Times New Roman" w:hAnsi="Times New Roman" w:cs="Times New Roman"/>
          <w:sz w:val="20"/>
          <w:szCs w:val="20"/>
        </w:rPr>
      </w:pPr>
    </w:p>
    <w:p w14:paraId="6EBF7066"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Ease of management = Difficult</w:t>
      </w:r>
    </w:p>
    <w:p w14:paraId="4147F762"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pPr w:leftFromText="180" w:rightFromText="180" w:vertAnchor="text" w:tblpXSpec="center" w:tblpY="1"/>
        <w:tblOverlap w:val="never"/>
        <w:tblW w:w="6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4387"/>
        <w:gridCol w:w="1076"/>
      </w:tblGrid>
      <w:tr w:rsidR="002D7080" w:rsidRPr="004D1E6F" w14:paraId="3B83FF3A" w14:textId="77777777" w:rsidTr="002E2C37">
        <w:trPr>
          <w:trHeight w:val="272"/>
        </w:trPr>
        <w:tc>
          <w:tcPr>
            <w:tcW w:w="1195" w:type="dxa"/>
            <w:shd w:val="clear" w:color="auto" w:fill="F2F2F2" w:themeFill="background1" w:themeFillShade="F2"/>
            <w:vAlign w:val="center"/>
          </w:tcPr>
          <w:p w14:paraId="00EA4E09"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Parameter</w:t>
            </w:r>
          </w:p>
        </w:tc>
        <w:tc>
          <w:tcPr>
            <w:tcW w:w="4387" w:type="dxa"/>
            <w:shd w:val="clear" w:color="auto" w:fill="F2F2F2" w:themeFill="background1" w:themeFillShade="F2"/>
            <w:vAlign w:val="center"/>
          </w:tcPr>
          <w:p w14:paraId="37C0642B"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Question</w:t>
            </w:r>
          </w:p>
        </w:tc>
        <w:tc>
          <w:tcPr>
            <w:tcW w:w="1076" w:type="dxa"/>
            <w:shd w:val="clear" w:color="auto" w:fill="F2F2F2" w:themeFill="background1" w:themeFillShade="F2"/>
            <w:vAlign w:val="center"/>
          </w:tcPr>
          <w:p w14:paraId="6ACFA89A"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Response</w:t>
            </w:r>
          </w:p>
        </w:tc>
      </w:tr>
      <w:tr w:rsidR="002D7080" w:rsidRPr="004D1E6F" w14:paraId="0B0A277F" w14:textId="77777777" w:rsidTr="002E2C37">
        <w:trPr>
          <w:trHeight w:val="305"/>
        </w:trPr>
        <w:tc>
          <w:tcPr>
            <w:tcW w:w="1195" w:type="dxa"/>
            <w:shd w:val="clear" w:color="auto" w:fill="F2F2F2" w:themeFill="background1" w:themeFillShade="F2"/>
            <w:vAlign w:val="center"/>
          </w:tcPr>
          <w:p w14:paraId="51E32178"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MAN3a</w:t>
            </w:r>
          </w:p>
        </w:tc>
        <w:tc>
          <w:tcPr>
            <w:tcW w:w="4387" w:type="dxa"/>
            <w:shd w:val="clear" w:color="auto" w:fill="F2F2F2" w:themeFill="background1" w:themeFillShade="F2"/>
            <w:vAlign w:val="center"/>
          </w:tcPr>
          <w:p w14:paraId="1187EACA" w14:textId="77777777" w:rsidR="002D7080" w:rsidRPr="004D1E6F" w:rsidRDefault="002D7080" w:rsidP="002E2C37">
            <w:pPr>
              <w:tabs>
                <w:tab w:val="left" w:pos="1223"/>
              </w:tabs>
              <w:spacing w:after="0" w:line="240" w:lineRule="auto"/>
              <w:rPr>
                <w:rFonts w:ascii="Times New Roman" w:hAnsi="Times New Roman" w:cs="Times New Roman"/>
                <w:sz w:val="20"/>
                <w:szCs w:val="20"/>
              </w:rPr>
            </w:pPr>
            <w:r w:rsidRPr="004D1E6F">
              <w:rPr>
                <w:rFonts w:ascii="Times New Roman" w:hAnsi="Times New Roman" w:cs="Times New Roman"/>
                <w:sz w:val="20"/>
                <w:szCs w:val="20"/>
              </w:rPr>
              <w:t xml:space="preserve">How accessible are populations? </w:t>
            </w:r>
          </w:p>
        </w:tc>
        <w:tc>
          <w:tcPr>
            <w:tcW w:w="1076" w:type="dxa"/>
            <w:vAlign w:val="center"/>
          </w:tcPr>
          <w:p w14:paraId="2646F3F8" w14:textId="77777777" w:rsidR="002D7080" w:rsidRPr="004D1E6F" w:rsidRDefault="002D7080" w:rsidP="002E2C37">
            <w:pPr>
              <w:tabs>
                <w:tab w:val="left" w:pos="1250"/>
              </w:tabs>
              <w:spacing w:after="0" w:line="240" w:lineRule="auto"/>
              <w:rPr>
                <w:rFonts w:ascii="Times New Roman" w:hAnsi="Times New Roman" w:cs="Times New Roman"/>
                <w:sz w:val="20"/>
                <w:szCs w:val="20"/>
              </w:rPr>
            </w:pPr>
            <w:r w:rsidRPr="004D1E6F">
              <w:rPr>
                <w:rFonts w:ascii="Times New Roman" w:hAnsi="Times New Roman" w:cs="Times New Roman"/>
                <w:sz w:val="20"/>
                <w:szCs w:val="20"/>
              </w:rPr>
              <w:t>2</w:t>
            </w:r>
          </w:p>
        </w:tc>
      </w:tr>
      <w:tr w:rsidR="002D7080" w:rsidRPr="004D1E6F" w14:paraId="4613B75C" w14:textId="77777777" w:rsidTr="002E2C37">
        <w:trPr>
          <w:trHeight w:val="274"/>
        </w:trPr>
        <w:tc>
          <w:tcPr>
            <w:tcW w:w="1195" w:type="dxa"/>
            <w:shd w:val="clear" w:color="auto" w:fill="F2F2F2" w:themeFill="background1" w:themeFillShade="F2"/>
            <w:vAlign w:val="center"/>
          </w:tcPr>
          <w:p w14:paraId="1F99E1AB"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MAN3b</w:t>
            </w:r>
          </w:p>
        </w:tc>
        <w:tc>
          <w:tcPr>
            <w:tcW w:w="4387" w:type="dxa"/>
            <w:shd w:val="clear" w:color="auto" w:fill="F2F2F2" w:themeFill="background1" w:themeFillShade="F2"/>
            <w:vAlign w:val="center"/>
          </w:tcPr>
          <w:p w14:paraId="6D732F3D"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Is detectability critically time-dependent?</w:t>
            </w:r>
          </w:p>
        </w:tc>
        <w:tc>
          <w:tcPr>
            <w:tcW w:w="1076" w:type="dxa"/>
            <w:vAlign w:val="center"/>
          </w:tcPr>
          <w:p w14:paraId="76E83A5B"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2</w:t>
            </w:r>
          </w:p>
        </w:tc>
      </w:tr>
      <w:tr w:rsidR="002D7080" w:rsidRPr="004D1E6F" w14:paraId="1322DDAD" w14:textId="77777777" w:rsidTr="002E2C37">
        <w:trPr>
          <w:trHeight w:val="274"/>
        </w:trPr>
        <w:tc>
          <w:tcPr>
            <w:tcW w:w="1195" w:type="dxa"/>
            <w:shd w:val="clear" w:color="auto" w:fill="F2F2F2" w:themeFill="background1" w:themeFillShade="F2"/>
            <w:vAlign w:val="center"/>
          </w:tcPr>
          <w:p w14:paraId="7D6E1976"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MAN3c</w:t>
            </w:r>
          </w:p>
        </w:tc>
        <w:tc>
          <w:tcPr>
            <w:tcW w:w="4387" w:type="dxa"/>
            <w:shd w:val="clear" w:color="auto" w:fill="F2F2F2" w:themeFill="background1" w:themeFillShade="F2"/>
            <w:vAlign w:val="center"/>
          </w:tcPr>
          <w:p w14:paraId="03D3CA4B"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Time to reproduction</w:t>
            </w:r>
          </w:p>
        </w:tc>
        <w:tc>
          <w:tcPr>
            <w:tcW w:w="1076" w:type="dxa"/>
            <w:vAlign w:val="center"/>
          </w:tcPr>
          <w:p w14:paraId="6F044DA0"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2</w:t>
            </w:r>
          </w:p>
        </w:tc>
      </w:tr>
      <w:tr w:rsidR="002D7080" w:rsidRPr="004D1E6F" w14:paraId="4F49410B" w14:textId="77777777" w:rsidTr="002E2C37">
        <w:trPr>
          <w:trHeight w:val="280"/>
        </w:trPr>
        <w:tc>
          <w:tcPr>
            <w:tcW w:w="1195" w:type="dxa"/>
            <w:shd w:val="clear" w:color="auto" w:fill="F2F2F2" w:themeFill="background1" w:themeFillShade="F2"/>
            <w:vAlign w:val="center"/>
          </w:tcPr>
          <w:p w14:paraId="3B9EF4B7"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MAN3d</w:t>
            </w:r>
          </w:p>
        </w:tc>
        <w:tc>
          <w:tcPr>
            <w:tcW w:w="4387" w:type="dxa"/>
            <w:shd w:val="clear" w:color="auto" w:fill="F2F2F2" w:themeFill="background1" w:themeFillShade="F2"/>
            <w:vAlign w:val="center"/>
          </w:tcPr>
          <w:p w14:paraId="5C1ED32A"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Propagule persistence</w:t>
            </w:r>
          </w:p>
        </w:tc>
        <w:tc>
          <w:tcPr>
            <w:tcW w:w="1076" w:type="dxa"/>
            <w:vAlign w:val="center"/>
          </w:tcPr>
          <w:p w14:paraId="2597E56D"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0</w:t>
            </w:r>
          </w:p>
        </w:tc>
      </w:tr>
      <w:tr w:rsidR="002D7080" w:rsidRPr="004D1E6F" w14:paraId="4DC89A87" w14:textId="77777777" w:rsidTr="002E2C37">
        <w:trPr>
          <w:trHeight w:val="248"/>
        </w:trPr>
        <w:tc>
          <w:tcPr>
            <w:tcW w:w="1195" w:type="dxa"/>
            <w:tcBorders>
              <w:top w:val="double" w:sz="4" w:space="0" w:color="auto"/>
            </w:tcBorders>
            <w:shd w:val="clear" w:color="auto" w:fill="F2F2F2" w:themeFill="background1" w:themeFillShade="F2"/>
            <w:vAlign w:val="center"/>
          </w:tcPr>
          <w:p w14:paraId="4851108C"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MAN3</w:t>
            </w:r>
          </w:p>
        </w:tc>
        <w:tc>
          <w:tcPr>
            <w:tcW w:w="4387" w:type="dxa"/>
            <w:tcBorders>
              <w:top w:val="double" w:sz="4" w:space="0" w:color="auto"/>
            </w:tcBorders>
            <w:shd w:val="clear" w:color="auto" w:fill="F2F2F2" w:themeFill="background1" w:themeFillShade="F2"/>
            <w:vAlign w:val="center"/>
          </w:tcPr>
          <w:p w14:paraId="68F4A49F" w14:textId="77777777" w:rsidR="002D7080" w:rsidRPr="004D1E6F" w:rsidRDefault="002D7080" w:rsidP="002E2C37">
            <w:pPr>
              <w:spacing w:after="0" w:line="240" w:lineRule="auto"/>
              <w:rPr>
                <w:rFonts w:ascii="Times New Roman" w:hAnsi="Times New Roman" w:cs="Times New Roman"/>
                <w:b/>
                <w:sz w:val="20"/>
                <w:szCs w:val="20"/>
              </w:rPr>
            </w:pPr>
            <w:r w:rsidRPr="004D1E6F">
              <w:rPr>
                <w:rFonts w:ascii="Times New Roman" w:hAnsi="Times New Roman" w:cs="Times New Roman"/>
                <w:b/>
                <w:sz w:val="20"/>
                <w:szCs w:val="20"/>
              </w:rPr>
              <w:t>SUM</w:t>
            </w:r>
          </w:p>
        </w:tc>
        <w:tc>
          <w:tcPr>
            <w:tcW w:w="1076" w:type="dxa"/>
            <w:tcBorders>
              <w:top w:val="double" w:sz="4" w:space="0" w:color="auto"/>
            </w:tcBorders>
            <w:vAlign w:val="center"/>
          </w:tcPr>
          <w:p w14:paraId="0C5C58D5"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6</w:t>
            </w:r>
          </w:p>
        </w:tc>
      </w:tr>
    </w:tbl>
    <w:p w14:paraId="23DCFAE5" w14:textId="77777777" w:rsidR="002D7080" w:rsidRPr="004D1E6F" w:rsidRDefault="002D7080" w:rsidP="002D7080">
      <w:pPr>
        <w:spacing w:after="0" w:line="240" w:lineRule="auto"/>
        <w:rPr>
          <w:rFonts w:ascii="Times New Roman" w:hAnsi="Times New Roman" w:cs="Times New Roman"/>
          <w:sz w:val="20"/>
          <w:szCs w:val="20"/>
        </w:rPr>
      </w:pPr>
    </w:p>
    <w:p w14:paraId="6F91F277" w14:textId="77777777" w:rsidR="002D7080" w:rsidRPr="004D1E6F" w:rsidRDefault="002D7080" w:rsidP="002D7080">
      <w:pPr>
        <w:spacing w:after="0" w:line="240" w:lineRule="auto"/>
        <w:rPr>
          <w:rFonts w:ascii="Times New Roman" w:hAnsi="Times New Roman" w:cs="Times New Roman"/>
          <w:sz w:val="20"/>
          <w:szCs w:val="20"/>
        </w:rPr>
      </w:pPr>
    </w:p>
    <w:p w14:paraId="4D0F9FD0" w14:textId="77777777" w:rsidR="002D7080" w:rsidRPr="004D1E6F" w:rsidRDefault="002D7080" w:rsidP="002D7080">
      <w:pPr>
        <w:spacing w:after="0" w:line="240" w:lineRule="auto"/>
        <w:rPr>
          <w:rFonts w:ascii="Times New Roman" w:hAnsi="Times New Roman" w:cs="Times New Roman"/>
          <w:b/>
          <w:sz w:val="20"/>
          <w:szCs w:val="20"/>
        </w:rPr>
      </w:pPr>
    </w:p>
    <w:p w14:paraId="6B72CDA5" w14:textId="77777777" w:rsidR="002D7080" w:rsidRPr="004D1E6F" w:rsidRDefault="002D7080" w:rsidP="002D7080">
      <w:pPr>
        <w:spacing w:after="0" w:line="240" w:lineRule="auto"/>
        <w:rPr>
          <w:rFonts w:ascii="Times New Roman" w:hAnsi="Times New Roman" w:cs="Times New Roman"/>
          <w:b/>
          <w:sz w:val="20"/>
          <w:szCs w:val="20"/>
        </w:rPr>
      </w:pPr>
    </w:p>
    <w:p w14:paraId="2E48200A" w14:textId="77777777" w:rsidR="002D7080" w:rsidRPr="004D1E6F" w:rsidRDefault="002D7080" w:rsidP="002D7080">
      <w:pPr>
        <w:spacing w:after="0" w:line="240" w:lineRule="auto"/>
        <w:rPr>
          <w:rFonts w:ascii="Times New Roman" w:hAnsi="Times New Roman" w:cs="Times New Roman"/>
          <w:b/>
          <w:sz w:val="20"/>
          <w:szCs w:val="20"/>
        </w:rPr>
      </w:pPr>
    </w:p>
    <w:p w14:paraId="2001E518" w14:textId="77777777" w:rsidR="002D7080" w:rsidRPr="004D1E6F" w:rsidRDefault="002D7080" w:rsidP="002D7080">
      <w:pPr>
        <w:spacing w:after="0" w:line="240" w:lineRule="auto"/>
        <w:rPr>
          <w:rFonts w:ascii="Times New Roman" w:hAnsi="Times New Roman" w:cs="Times New Roman"/>
          <w:b/>
          <w:sz w:val="20"/>
          <w:szCs w:val="20"/>
        </w:rPr>
      </w:pPr>
    </w:p>
    <w:p w14:paraId="03BE8BCF" w14:textId="77777777" w:rsidR="002D7080" w:rsidRPr="004D1E6F" w:rsidRDefault="002D7080" w:rsidP="002D7080">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br w:type="page"/>
      </w:r>
    </w:p>
    <w:p w14:paraId="40063F9E" w14:textId="77777777" w:rsidR="002D7080" w:rsidRPr="004D1E6F" w:rsidRDefault="002D7080" w:rsidP="002D7080">
      <w:pPr>
        <w:spacing w:after="0" w:line="240" w:lineRule="auto"/>
        <w:rPr>
          <w:rFonts w:ascii="Times New Roman" w:eastAsia="Times New Roman" w:hAnsi="Times New Roman" w:cs="Times New Roman"/>
          <w:color w:val="0563C1"/>
          <w:sz w:val="20"/>
          <w:szCs w:val="20"/>
          <w:u w:val="single"/>
          <w:lang w:eastAsia="en-ZA"/>
        </w:rPr>
      </w:pPr>
      <w:r w:rsidRPr="004D1E6F">
        <w:rPr>
          <w:rFonts w:ascii="Times New Roman" w:eastAsia="Times New Roman" w:hAnsi="Times New Roman" w:cs="Times New Roman"/>
          <w:b/>
          <w:sz w:val="20"/>
          <w:szCs w:val="20"/>
          <w:lang w:eastAsia="en-ZA"/>
        </w:rPr>
        <w:lastRenderedPageBreak/>
        <w:t>Appendix BAC7</w:t>
      </w:r>
      <w:r w:rsidRPr="004D1E6F">
        <w:rPr>
          <w:rFonts w:ascii="Times New Roman" w:eastAsia="Times New Roman" w:hAnsi="Times New Roman" w:cs="Times New Roman"/>
          <w:sz w:val="20"/>
          <w:szCs w:val="20"/>
          <w:lang w:eastAsia="en-ZA"/>
        </w:rPr>
        <w:t xml:space="preserve">: Native range of </w:t>
      </w:r>
      <w:r w:rsidRPr="004D1E6F">
        <w:rPr>
          <w:rFonts w:ascii="Times New Roman" w:eastAsia="Times New Roman" w:hAnsi="Times New Roman" w:cs="Times New Roman"/>
          <w:i/>
          <w:iCs/>
          <w:sz w:val="20"/>
          <w:szCs w:val="20"/>
          <w:lang w:eastAsia="en-ZA"/>
        </w:rPr>
        <w:t>Cherax</w:t>
      </w:r>
      <w:r w:rsidRPr="004D1E6F">
        <w:rPr>
          <w:rFonts w:ascii="Times New Roman" w:eastAsia="Times New Roman" w:hAnsi="Times New Roman" w:cs="Times New Roman"/>
          <w:sz w:val="20"/>
          <w:szCs w:val="20"/>
          <w:lang w:eastAsia="en-ZA"/>
        </w:rPr>
        <w:t xml:space="preserve"> species in Australia. Source: </w:t>
      </w:r>
      <w:r w:rsidRPr="004D1E6F">
        <w:rPr>
          <w:rFonts w:ascii="Times New Roman" w:hAnsi="Times New Roman" w:cs="Times New Roman"/>
          <w:color w:val="222222"/>
          <w:sz w:val="20"/>
          <w:szCs w:val="20"/>
          <w:shd w:val="clear" w:color="auto" w:fill="FFFFFF"/>
        </w:rPr>
        <w:t>Wingfield, M., 2002, ‘An overview of the Australian freshwater crayfish farming industry’, </w:t>
      </w:r>
      <w:r w:rsidRPr="004D1E6F">
        <w:rPr>
          <w:rFonts w:ascii="Times New Roman" w:hAnsi="Times New Roman" w:cs="Times New Roman"/>
          <w:i/>
          <w:iCs/>
          <w:color w:val="222222"/>
          <w:sz w:val="20"/>
          <w:szCs w:val="20"/>
          <w:shd w:val="clear" w:color="auto" w:fill="FFFFFF"/>
        </w:rPr>
        <w:t>Freshwater Crayfish</w:t>
      </w:r>
      <w:r w:rsidRPr="004D1E6F">
        <w:rPr>
          <w:rFonts w:ascii="Times New Roman" w:hAnsi="Times New Roman" w:cs="Times New Roman"/>
          <w:color w:val="222222"/>
          <w:sz w:val="20"/>
          <w:szCs w:val="20"/>
          <w:shd w:val="clear" w:color="auto" w:fill="FFFFFF"/>
        </w:rPr>
        <w:t> 13(1), 177-184.</w:t>
      </w:r>
    </w:p>
    <w:p w14:paraId="4AC36BD0" w14:textId="77777777" w:rsidR="002D7080" w:rsidRPr="004D1E6F" w:rsidRDefault="002D7080" w:rsidP="002D7080">
      <w:pPr>
        <w:spacing w:after="0" w:line="240" w:lineRule="auto"/>
        <w:rPr>
          <w:rFonts w:ascii="Times New Roman" w:eastAsia="Times New Roman" w:hAnsi="Times New Roman" w:cs="Times New Roman"/>
          <w:color w:val="0563C1"/>
          <w:sz w:val="20"/>
          <w:szCs w:val="20"/>
          <w:u w:val="single"/>
          <w:lang w:eastAsia="en-ZA"/>
        </w:rPr>
      </w:pPr>
    </w:p>
    <w:p w14:paraId="460BD51E" w14:textId="77777777" w:rsidR="002D7080" w:rsidRPr="004D1E6F" w:rsidRDefault="002D7080" w:rsidP="002D7080">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lang w:eastAsia="en-ZA"/>
        </w:rPr>
        <w:drawing>
          <wp:inline distT="0" distB="0" distL="0" distR="0" wp14:anchorId="47BC6646" wp14:editId="0FE17FD2">
            <wp:extent cx="5438140" cy="3060700"/>
            <wp:effectExtent l="0" t="0" r="0" b="6350"/>
            <wp:docPr id="1490867603" name="Picture 9" descr="A map of australia with different reg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867603" name="Picture 9" descr="A map of australia with different regions&#10;&#10;AI-generated content may be incorrect."/>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38140" cy="3060700"/>
                    </a:xfrm>
                    <a:prstGeom prst="rect">
                      <a:avLst/>
                    </a:prstGeom>
                    <a:noFill/>
                  </pic:spPr>
                </pic:pic>
              </a:graphicData>
            </a:graphic>
          </wp:inline>
        </w:drawing>
      </w:r>
    </w:p>
    <w:p w14:paraId="4EFBAF79"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28878B0D" w14:textId="77777777" w:rsidR="002D7080" w:rsidRPr="004D1E6F" w:rsidRDefault="002D7080" w:rsidP="002D7080">
      <w:pPr>
        <w:spacing w:after="0" w:line="240" w:lineRule="auto"/>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Appendix BAC8(a)</w:t>
      </w:r>
      <w:r w:rsidRPr="004D1E6F">
        <w:rPr>
          <w:rFonts w:ascii="Times New Roman" w:eastAsia="Times New Roman" w:hAnsi="Times New Roman" w:cs="Times New Roman"/>
          <w:sz w:val="20"/>
          <w:szCs w:val="20"/>
          <w:lang w:eastAsia="en-ZA"/>
        </w:rPr>
        <w:t xml:space="preserve">: Global alien range of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sz w:val="20"/>
          <w:szCs w:val="20"/>
          <w:lang w:eastAsia="en-ZA"/>
        </w:rPr>
        <w:t xml:space="preserve"> Source: CABI, 2021. </w:t>
      </w:r>
      <w:r w:rsidRPr="004D1E6F">
        <w:rPr>
          <w:rFonts w:ascii="Times New Roman" w:eastAsia="Times New Roman" w:hAnsi="Times New Roman" w:cs="Times New Roman"/>
          <w:i/>
          <w:sz w:val="20"/>
          <w:szCs w:val="20"/>
          <w:lang w:eastAsia="en-ZA"/>
        </w:rPr>
        <w:t>Cherax destructor</w:t>
      </w:r>
      <w:r w:rsidRPr="004D1E6F">
        <w:rPr>
          <w:rFonts w:ascii="Times New Roman" w:eastAsia="Times New Roman" w:hAnsi="Times New Roman" w:cs="Times New Roman"/>
          <w:sz w:val="20"/>
          <w:szCs w:val="20"/>
          <w:lang w:eastAsia="en-ZA"/>
        </w:rPr>
        <w:t xml:space="preserve"> [original text by Uma Sabapathy Allen]. In: Invasive Species Compendium. Wallingford, UK: CAB International. www.cabi.org/isc</w:t>
      </w:r>
      <w:r w:rsidRPr="004D1E6F">
        <w:rPr>
          <w:rFonts w:ascii="Times New Roman" w:eastAsia="Times New Roman" w:hAnsi="Times New Roman" w:cs="Times New Roman"/>
          <w:color w:val="0563C1"/>
          <w:sz w:val="20"/>
          <w:szCs w:val="20"/>
          <w:u w:val="single"/>
          <w:lang w:eastAsia="en-ZA"/>
        </w:rPr>
        <w:t xml:space="preserve">. </w:t>
      </w:r>
      <w:r w:rsidRPr="004D1E6F">
        <w:rPr>
          <w:rFonts w:ascii="Times New Roman" w:hAnsi="Times New Roman" w:cs="Times New Roman"/>
          <w:sz w:val="20"/>
          <w:szCs w:val="20"/>
        </w:rPr>
        <w:t xml:space="preserve">It is noted that recent field survey results did not show </w:t>
      </w:r>
      <w:r w:rsidRPr="004D1E6F">
        <w:rPr>
          <w:rFonts w:ascii="Times New Roman" w:hAnsi="Times New Roman" w:cs="Times New Roman"/>
          <w:i/>
          <w:iCs/>
          <w:sz w:val="20"/>
          <w:szCs w:val="20"/>
        </w:rPr>
        <w:t>C. destructor</w:t>
      </w:r>
      <w:r w:rsidRPr="004D1E6F">
        <w:rPr>
          <w:rFonts w:ascii="Times New Roman" w:hAnsi="Times New Roman" w:cs="Times New Roman"/>
          <w:sz w:val="20"/>
          <w:szCs w:val="20"/>
        </w:rPr>
        <w:t xml:space="preserve"> being present in South Africa (Nunes et al. 2017). </w:t>
      </w:r>
    </w:p>
    <w:p w14:paraId="72EE403F" w14:textId="77777777" w:rsidR="002D7080" w:rsidRPr="004D1E6F" w:rsidRDefault="002D7080" w:rsidP="002D7080">
      <w:pPr>
        <w:spacing w:after="0" w:line="240" w:lineRule="auto"/>
        <w:rPr>
          <w:rFonts w:ascii="Times New Roman" w:eastAsia="Times New Roman" w:hAnsi="Times New Roman" w:cs="Times New Roman"/>
          <w:color w:val="0563C1"/>
          <w:sz w:val="20"/>
          <w:szCs w:val="20"/>
          <w:u w:val="single"/>
          <w:lang w:eastAsia="en-ZA"/>
        </w:rPr>
      </w:pPr>
    </w:p>
    <w:p w14:paraId="39239883"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259EBB86" w14:textId="77777777" w:rsidR="002D7080" w:rsidRPr="004D1E6F" w:rsidRDefault="002D7080" w:rsidP="002D7080">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lang w:eastAsia="en-ZA"/>
        </w:rPr>
        <w:drawing>
          <wp:inline distT="0" distB="0" distL="0" distR="0" wp14:anchorId="6D0F213D" wp14:editId="58F1543C">
            <wp:extent cx="5328285" cy="2773680"/>
            <wp:effectExtent l="0" t="0" r="5715" b="7620"/>
            <wp:docPr id="809932244" name="Picture 10"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932244" name="Picture 10" descr="A map of the world&#10;&#10;AI-generated content may be incorrect."/>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28285" cy="2773680"/>
                    </a:xfrm>
                    <a:prstGeom prst="rect">
                      <a:avLst/>
                    </a:prstGeom>
                    <a:noFill/>
                  </pic:spPr>
                </pic:pic>
              </a:graphicData>
            </a:graphic>
          </wp:inline>
        </w:drawing>
      </w:r>
      <w:r w:rsidRPr="004D1E6F">
        <w:rPr>
          <w:rFonts w:ascii="Times New Roman" w:hAnsi="Times New Roman" w:cs="Times New Roman"/>
          <w:sz w:val="20"/>
          <w:szCs w:val="20"/>
        </w:rPr>
        <w:t xml:space="preserve"> </w:t>
      </w:r>
    </w:p>
    <w:p w14:paraId="558CC6AA" w14:textId="77777777" w:rsidR="002D7080" w:rsidRPr="004D1E6F" w:rsidRDefault="002D7080" w:rsidP="002D7080">
      <w:pPr>
        <w:spacing w:after="0" w:line="240" w:lineRule="auto"/>
        <w:jc w:val="center"/>
        <w:rPr>
          <w:rFonts w:ascii="Times New Roman" w:hAnsi="Times New Roman" w:cs="Times New Roman"/>
          <w:sz w:val="20"/>
          <w:szCs w:val="20"/>
        </w:rPr>
      </w:pPr>
    </w:p>
    <w:p w14:paraId="14AE5070" w14:textId="77777777" w:rsidR="002D7080" w:rsidRPr="004D1E6F" w:rsidRDefault="002D7080" w:rsidP="002D7080">
      <w:pPr>
        <w:spacing w:after="0" w:line="240" w:lineRule="auto"/>
        <w:rPr>
          <w:rFonts w:ascii="Times New Roman" w:hAnsi="Times New Roman" w:cs="Times New Roman"/>
          <w:sz w:val="20"/>
          <w:szCs w:val="20"/>
        </w:rPr>
      </w:pPr>
    </w:p>
    <w:p w14:paraId="7E5082A5" w14:textId="77777777" w:rsidR="002D7080" w:rsidRPr="004D1E6F" w:rsidRDefault="002D7080" w:rsidP="002D7080">
      <w:pPr>
        <w:rPr>
          <w:rFonts w:ascii="Times New Roman" w:hAnsi="Times New Roman" w:cs="Times New Roman"/>
          <w:sz w:val="20"/>
          <w:szCs w:val="20"/>
        </w:rPr>
      </w:pPr>
      <w:r w:rsidRPr="004D1E6F">
        <w:rPr>
          <w:rFonts w:ascii="Times New Roman" w:hAnsi="Times New Roman" w:cs="Times New Roman"/>
          <w:sz w:val="20"/>
          <w:szCs w:val="20"/>
        </w:rPr>
        <w:br w:type="page"/>
      </w:r>
    </w:p>
    <w:p w14:paraId="71B0E95A" w14:textId="77777777" w:rsidR="002D7080" w:rsidRPr="004D1E6F" w:rsidRDefault="002D7080" w:rsidP="002D7080">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lastRenderedPageBreak/>
        <w:t xml:space="preserve">Appendix BAC8(b) Historic records for freshwater crayfish introductions in South Africa (including </w:t>
      </w:r>
      <w:r w:rsidRPr="004D1E6F">
        <w:rPr>
          <w:rFonts w:ascii="Times New Roman" w:hAnsi="Times New Roman" w:cs="Times New Roman"/>
          <w:i/>
          <w:iCs/>
          <w:sz w:val="20"/>
          <w:szCs w:val="20"/>
        </w:rPr>
        <w:t>Cherax destructor</w:t>
      </w:r>
      <w:r w:rsidRPr="004D1E6F">
        <w:rPr>
          <w:rFonts w:ascii="Times New Roman" w:hAnsi="Times New Roman" w:cs="Times New Roman"/>
          <w:sz w:val="20"/>
          <w:szCs w:val="20"/>
        </w:rPr>
        <w:t xml:space="preserve"> in blue.) It is noted that recent field survey results did not show </w:t>
      </w:r>
      <w:r w:rsidRPr="004D1E6F">
        <w:rPr>
          <w:rFonts w:ascii="Times New Roman" w:hAnsi="Times New Roman" w:cs="Times New Roman"/>
          <w:i/>
          <w:iCs/>
          <w:sz w:val="20"/>
          <w:szCs w:val="20"/>
        </w:rPr>
        <w:t>C. destructor</w:t>
      </w:r>
      <w:r w:rsidRPr="004D1E6F">
        <w:rPr>
          <w:rFonts w:ascii="Times New Roman" w:hAnsi="Times New Roman" w:cs="Times New Roman"/>
          <w:sz w:val="20"/>
          <w:szCs w:val="20"/>
        </w:rPr>
        <w:t xml:space="preserve"> being present in South Africa (Source: </w:t>
      </w:r>
      <w:r w:rsidRPr="004D1E6F">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https://doi.org/10.2989/16085914.2017.1405788</w:t>
      </w:r>
      <w:r w:rsidRPr="004D1E6F">
        <w:rPr>
          <w:rFonts w:ascii="Times New Roman" w:hAnsi="Times New Roman" w:cs="Times New Roman"/>
          <w:sz w:val="20"/>
          <w:szCs w:val="20"/>
        </w:rPr>
        <w:t xml:space="preserve">). </w:t>
      </w:r>
    </w:p>
    <w:p w14:paraId="2AF513D0" w14:textId="77777777" w:rsidR="002D7080" w:rsidRPr="004D1E6F" w:rsidRDefault="002D7080" w:rsidP="002D7080">
      <w:pPr>
        <w:spacing w:after="0" w:line="240" w:lineRule="auto"/>
        <w:jc w:val="center"/>
        <w:rPr>
          <w:rFonts w:ascii="Times New Roman" w:hAnsi="Times New Roman" w:cs="Times New Roman"/>
          <w:sz w:val="20"/>
          <w:szCs w:val="20"/>
        </w:rPr>
      </w:pPr>
    </w:p>
    <w:p w14:paraId="1705DE9E" w14:textId="77777777" w:rsidR="002D7080" w:rsidRPr="004D1E6F" w:rsidRDefault="002D7080" w:rsidP="002D7080">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lang w:eastAsia="en-ZA"/>
        </w:rPr>
        <w:drawing>
          <wp:inline distT="0" distB="0" distL="0" distR="0" wp14:anchorId="223DF244" wp14:editId="3D395D6F">
            <wp:extent cx="5657850" cy="4706620"/>
            <wp:effectExtent l="0" t="0" r="0" b="0"/>
            <wp:docPr id="1256226281" name="Picture 11" descr="A map of south africa with black and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26281" name="Picture 11" descr="A map of south africa with black and red dots&#10;&#10;AI-generated content may be incorrec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57850" cy="4706620"/>
                    </a:xfrm>
                    <a:prstGeom prst="rect">
                      <a:avLst/>
                    </a:prstGeom>
                    <a:noFill/>
                  </pic:spPr>
                </pic:pic>
              </a:graphicData>
            </a:graphic>
          </wp:inline>
        </w:drawing>
      </w:r>
    </w:p>
    <w:p w14:paraId="573A14E2" w14:textId="77777777" w:rsidR="002D7080" w:rsidRPr="004D1E6F" w:rsidRDefault="002D7080" w:rsidP="002D7080">
      <w:pPr>
        <w:rPr>
          <w:rFonts w:ascii="Times New Roman" w:eastAsia="Calibri" w:hAnsi="Times New Roman" w:cs="Times New Roman"/>
          <w:b/>
          <w:i/>
          <w:sz w:val="20"/>
          <w:szCs w:val="20"/>
        </w:rPr>
      </w:pPr>
      <w:r w:rsidRPr="004D1E6F">
        <w:rPr>
          <w:rFonts w:ascii="Times New Roman" w:eastAsia="Calibri" w:hAnsi="Times New Roman" w:cs="Times New Roman"/>
          <w:b/>
          <w:i/>
          <w:sz w:val="20"/>
          <w:szCs w:val="20"/>
        </w:rPr>
        <w:br w:type="page"/>
      </w:r>
    </w:p>
    <w:p w14:paraId="6A4018DC" w14:textId="00978D18" w:rsidR="002D7080" w:rsidRPr="005A2F10" w:rsidRDefault="00AF155E" w:rsidP="002D7080">
      <w:pPr>
        <w:pStyle w:val="Heading2"/>
        <w:rPr>
          <w:rFonts w:ascii="Times New Roman" w:hAnsi="Times New Roman" w:cs="Times New Roman"/>
          <w:i/>
          <w:color w:val="auto"/>
          <w:sz w:val="28"/>
          <w:szCs w:val="28"/>
        </w:rPr>
      </w:pPr>
      <w:r>
        <w:rPr>
          <w:rFonts w:ascii="Times New Roman" w:hAnsi="Times New Roman" w:cs="Times New Roman"/>
          <w:color w:val="auto"/>
          <w:sz w:val="28"/>
          <w:szCs w:val="28"/>
        </w:rPr>
        <w:lastRenderedPageBreak/>
        <w:t>1</w:t>
      </w:r>
      <w:r w:rsidR="002D7080" w:rsidRPr="005A2F10">
        <w:rPr>
          <w:rFonts w:ascii="Times New Roman" w:hAnsi="Times New Roman" w:cs="Times New Roman"/>
          <w:color w:val="auto"/>
          <w:sz w:val="28"/>
          <w:szCs w:val="28"/>
        </w:rPr>
        <w:t>.4 Risk analysis report for redclaw crayfish (</w:t>
      </w:r>
      <w:r w:rsidR="002D7080" w:rsidRPr="005A2F10">
        <w:rPr>
          <w:rFonts w:ascii="Times New Roman" w:hAnsi="Times New Roman" w:cs="Times New Roman"/>
          <w:i/>
          <w:color w:val="auto"/>
          <w:sz w:val="28"/>
          <w:szCs w:val="28"/>
        </w:rPr>
        <w:t>Cherax quadricarinatus</w:t>
      </w:r>
      <w:r w:rsidR="002D7080" w:rsidRPr="005A2F10">
        <w:rPr>
          <w:rFonts w:ascii="Times New Roman" w:hAnsi="Times New Roman" w:cs="Times New Roman"/>
          <w:iCs/>
          <w:color w:val="auto"/>
          <w:sz w:val="28"/>
          <w:szCs w:val="28"/>
        </w:rPr>
        <w:t>)</w:t>
      </w:r>
    </w:p>
    <w:p w14:paraId="3806AC4E" w14:textId="77777777" w:rsidR="002D7080" w:rsidRPr="00222D02" w:rsidRDefault="002D7080" w:rsidP="002D7080">
      <w:pPr>
        <w:spacing w:after="0" w:line="240" w:lineRule="auto"/>
        <w:rPr>
          <w:rFonts w:ascii="Times New Roman" w:hAnsi="Times New Roman" w:cs="Times New Roman"/>
          <w:b/>
          <w:i/>
          <w:sz w:val="20"/>
          <w:szCs w:val="20"/>
        </w:rPr>
      </w:pPr>
    </w:p>
    <w:tbl>
      <w:tblPr>
        <w:tblStyle w:val="TableGrid"/>
        <w:tblW w:w="0" w:type="auto"/>
        <w:tblLook w:val="04A0" w:firstRow="1" w:lastRow="0" w:firstColumn="1" w:lastColumn="0" w:noHBand="0" w:noVBand="1"/>
      </w:tblPr>
      <w:tblGrid>
        <w:gridCol w:w="4105"/>
        <w:gridCol w:w="2153"/>
        <w:gridCol w:w="2758"/>
      </w:tblGrid>
      <w:tr w:rsidR="002D7080" w:rsidRPr="00222D02" w14:paraId="2A13B209" w14:textId="77777777" w:rsidTr="002E2C37">
        <w:trPr>
          <w:trHeight w:val="140"/>
        </w:trPr>
        <w:tc>
          <w:tcPr>
            <w:tcW w:w="4788" w:type="dxa"/>
          </w:tcPr>
          <w:p w14:paraId="730CF3E4" w14:textId="77777777" w:rsidR="002D7080" w:rsidRPr="000F3EE6" w:rsidRDefault="002D7080" w:rsidP="002E2C37">
            <w:pPr>
              <w:rPr>
                <w:rFonts w:ascii="Times New Roman" w:hAnsi="Times New Roman" w:cs="Times New Roman"/>
                <w:bCs/>
                <w:iCs/>
                <w:sz w:val="20"/>
                <w:szCs w:val="20"/>
                <w:lang w:val="fr-FR"/>
              </w:rPr>
            </w:pPr>
            <w:r w:rsidRPr="000F3EE6">
              <w:rPr>
                <w:rFonts w:ascii="Times New Roman" w:hAnsi="Times New Roman" w:cs="Times New Roman"/>
                <w:b/>
                <w:i/>
                <w:sz w:val="20"/>
                <w:szCs w:val="20"/>
                <w:lang w:val="fr-FR"/>
              </w:rPr>
              <w:t xml:space="preserve">Taxon: </w:t>
            </w:r>
            <w:r w:rsidRPr="000F3EE6">
              <w:rPr>
                <w:rFonts w:ascii="Times New Roman" w:eastAsia="Times New Roman" w:hAnsi="Times New Roman" w:cs="Times New Roman"/>
                <w:i/>
                <w:sz w:val="20"/>
                <w:szCs w:val="20"/>
                <w:lang w:val="fr-FR" w:eastAsia="en-ZA"/>
              </w:rPr>
              <w:t xml:space="preserve">Cherax quadricarinatus </w:t>
            </w:r>
            <w:r w:rsidRPr="000F3EE6">
              <w:rPr>
                <w:rFonts w:ascii="Times New Roman" w:eastAsia="Times New Roman" w:hAnsi="Times New Roman" w:cs="Times New Roman"/>
                <w:iCs/>
                <w:sz w:val="20"/>
                <w:szCs w:val="20"/>
                <w:lang w:val="fr-FR" w:eastAsia="en-ZA"/>
              </w:rPr>
              <w:t>(von Martens,1868)</w:t>
            </w:r>
          </w:p>
        </w:tc>
        <w:tc>
          <w:tcPr>
            <w:tcW w:w="4228" w:type="dxa"/>
            <w:gridSpan w:val="2"/>
          </w:tcPr>
          <w:p w14:paraId="52F55D93" w14:textId="77777777" w:rsidR="002D7080" w:rsidRPr="00222D02" w:rsidRDefault="002D7080" w:rsidP="002E2C37">
            <w:pPr>
              <w:rPr>
                <w:rFonts w:ascii="Times New Roman" w:hAnsi="Times New Roman" w:cs="Times New Roman"/>
                <w:bCs/>
                <w:iCs/>
                <w:sz w:val="20"/>
                <w:szCs w:val="20"/>
              </w:rPr>
            </w:pPr>
            <w:r w:rsidRPr="00222D02">
              <w:rPr>
                <w:rFonts w:ascii="Times New Roman" w:hAnsi="Times New Roman" w:cs="Times New Roman"/>
                <w:b/>
                <w:i/>
                <w:sz w:val="20"/>
                <w:szCs w:val="20"/>
              </w:rPr>
              <w:t xml:space="preserve">Area: </w:t>
            </w:r>
            <w:r w:rsidRPr="00222D02">
              <w:rPr>
                <w:rFonts w:ascii="Times New Roman" w:hAnsi="Times New Roman" w:cs="Times New Roman"/>
                <w:bCs/>
                <w:iCs/>
                <w:sz w:val="20"/>
                <w:szCs w:val="20"/>
              </w:rPr>
              <w:t>South Africa</w:t>
            </w:r>
          </w:p>
        </w:tc>
      </w:tr>
      <w:tr w:rsidR="002D7080" w:rsidRPr="00222D02" w14:paraId="15AA93E7" w14:textId="77777777" w:rsidTr="002E2C37">
        <w:trPr>
          <w:trHeight w:val="232"/>
        </w:trPr>
        <w:tc>
          <w:tcPr>
            <w:tcW w:w="4788" w:type="dxa"/>
          </w:tcPr>
          <w:p w14:paraId="50A1D0BF" w14:textId="77777777" w:rsidR="002D7080" w:rsidRPr="00222D02" w:rsidRDefault="002D7080" w:rsidP="002E2C37">
            <w:pPr>
              <w:rPr>
                <w:rFonts w:ascii="Times New Roman" w:hAnsi="Times New Roman" w:cs="Times New Roman"/>
                <w:bCs/>
                <w:sz w:val="20"/>
                <w:szCs w:val="20"/>
              </w:rPr>
            </w:pPr>
            <w:r w:rsidRPr="00222D02">
              <w:rPr>
                <w:rFonts w:ascii="Times New Roman" w:hAnsi="Times New Roman" w:cs="Times New Roman"/>
                <w:b/>
                <w:sz w:val="20"/>
                <w:szCs w:val="20"/>
              </w:rPr>
              <w:t xml:space="preserve">Compiled by: </w:t>
            </w:r>
            <w:r w:rsidRPr="00222D02">
              <w:rPr>
                <w:rFonts w:ascii="Times New Roman" w:hAnsi="Times New Roman" w:cs="Times New Roman"/>
                <w:bCs/>
                <w:sz w:val="20"/>
                <w:szCs w:val="20"/>
              </w:rPr>
              <w:t>Tsungai Zengeya</w:t>
            </w:r>
          </w:p>
        </w:tc>
        <w:tc>
          <w:tcPr>
            <w:tcW w:w="4228" w:type="dxa"/>
            <w:gridSpan w:val="2"/>
          </w:tcPr>
          <w:p w14:paraId="6AD2022E" w14:textId="77777777" w:rsidR="002D7080" w:rsidRPr="00222D02" w:rsidRDefault="002D7080" w:rsidP="002E2C37">
            <w:pPr>
              <w:rPr>
                <w:rFonts w:ascii="Times New Roman" w:hAnsi="Times New Roman" w:cs="Times New Roman"/>
                <w:b/>
                <w:sz w:val="20"/>
                <w:szCs w:val="20"/>
              </w:rPr>
            </w:pPr>
            <w:r w:rsidRPr="00222D02">
              <w:rPr>
                <w:rFonts w:ascii="Times New Roman" w:hAnsi="Times New Roman" w:cs="Times New Roman"/>
                <w:b/>
                <w:sz w:val="20"/>
                <w:szCs w:val="20"/>
              </w:rPr>
              <w:t xml:space="preserve">Approved by: </w:t>
            </w:r>
          </w:p>
        </w:tc>
      </w:tr>
      <w:tr w:rsidR="002D7080" w:rsidRPr="00222D02" w14:paraId="1CF920E8" w14:textId="77777777" w:rsidTr="002E2C37">
        <w:trPr>
          <w:trHeight w:val="2217"/>
        </w:trPr>
        <w:tc>
          <w:tcPr>
            <w:tcW w:w="4788" w:type="dxa"/>
          </w:tcPr>
          <w:p w14:paraId="4BF8BBB1" w14:textId="77777777" w:rsidR="002D7080" w:rsidRPr="00222D02" w:rsidRDefault="002D7080" w:rsidP="002E2C37">
            <w:pPr>
              <w:rPr>
                <w:rFonts w:ascii="Times New Roman" w:hAnsi="Times New Roman" w:cs="Times New Roman"/>
                <w:b/>
                <w:i/>
                <w:sz w:val="20"/>
                <w:szCs w:val="20"/>
              </w:rPr>
            </w:pPr>
            <w:r w:rsidRPr="00222D02">
              <w:rPr>
                <w:rFonts w:ascii="Times New Roman" w:hAnsi="Times New Roman" w:cs="Times New Roman"/>
                <w:b/>
                <w:sz w:val="20"/>
                <w:szCs w:val="20"/>
              </w:rPr>
              <w:t xml:space="preserve">Picture of </w:t>
            </w:r>
            <w:r w:rsidRPr="00222D02">
              <w:rPr>
                <w:rFonts w:ascii="Times New Roman" w:hAnsi="Times New Roman" w:cs="Times New Roman"/>
                <w:b/>
                <w:i/>
                <w:sz w:val="20"/>
                <w:szCs w:val="20"/>
              </w:rPr>
              <w:t>Taxon</w:t>
            </w:r>
          </w:p>
          <w:p w14:paraId="204546AD" w14:textId="77777777" w:rsidR="002D7080" w:rsidRPr="00222D02" w:rsidRDefault="002D7080" w:rsidP="002E2C37">
            <w:pPr>
              <w:jc w:val="center"/>
              <w:rPr>
                <w:rFonts w:ascii="Times New Roman" w:hAnsi="Times New Roman" w:cs="Times New Roman"/>
                <w:sz w:val="20"/>
                <w:szCs w:val="20"/>
              </w:rPr>
            </w:pPr>
            <w:r w:rsidRPr="009C203D">
              <w:rPr>
                <w:rFonts w:ascii="Arial" w:eastAsia="Calibri" w:hAnsi="Arial" w:cs="Arial"/>
                <w:noProof/>
                <w:sz w:val="20"/>
                <w:szCs w:val="20"/>
                <w:lang w:eastAsia="en-ZA"/>
              </w:rPr>
              <w:drawing>
                <wp:inline distT="0" distB="0" distL="0" distR="0" wp14:anchorId="05588313" wp14:editId="2FA92D1F">
                  <wp:extent cx="2322830" cy="1432560"/>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22830" cy="1432560"/>
                          </a:xfrm>
                          <a:prstGeom prst="rect">
                            <a:avLst/>
                          </a:prstGeom>
                          <a:noFill/>
                        </pic:spPr>
                      </pic:pic>
                    </a:graphicData>
                  </a:graphic>
                </wp:inline>
              </w:drawing>
            </w:r>
          </w:p>
          <w:p w14:paraId="1CB5185E" w14:textId="77777777" w:rsidR="002D7080" w:rsidRPr="00222D02" w:rsidRDefault="002D7080" w:rsidP="002E2C37">
            <w:pPr>
              <w:rPr>
                <w:rFonts w:ascii="Times New Roman" w:hAnsi="Times New Roman" w:cs="Times New Roman"/>
                <w:sz w:val="20"/>
                <w:szCs w:val="20"/>
              </w:rPr>
            </w:pPr>
            <w:r w:rsidRPr="00222D02">
              <w:rPr>
                <w:rFonts w:ascii="Times New Roman" w:eastAsia="Calibri" w:hAnsi="Times New Roman" w:cs="Times New Roman"/>
                <w:sz w:val="20"/>
                <w:szCs w:val="20"/>
              </w:rPr>
              <w:t xml:space="preserve">CABI, 2021. </w:t>
            </w:r>
            <w:r w:rsidRPr="00222D02">
              <w:rPr>
                <w:rFonts w:ascii="Times New Roman" w:eastAsia="Calibri" w:hAnsi="Times New Roman" w:cs="Times New Roman"/>
                <w:i/>
                <w:sz w:val="20"/>
                <w:szCs w:val="20"/>
              </w:rPr>
              <w:t>Cherax quadricarinatus</w:t>
            </w:r>
            <w:r w:rsidRPr="00222D02">
              <w:rPr>
                <w:rFonts w:ascii="Times New Roman" w:eastAsia="Calibri" w:hAnsi="Times New Roman" w:cs="Times New Roman"/>
                <w:sz w:val="20"/>
                <w:szCs w:val="20"/>
              </w:rPr>
              <w:t xml:space="preserve"> [original text by Clive Jones]. In: Invasive Species Compendium. Wallingford, UK: CAB International. www.cabi.org/isc.</w:t>
            </w:r>
          </w:p>
        </w:tc>
        <w:tc>
          <w:tcPr>
            <w:tcW w:w="4228" w:type="dxa"/>
            <w:gridSpan w:val="2"/>
          </w:tcPr>
          <w:p w14:paraId="6A74867E" w14:textId="77777777" w:rsidR="002D7080" w:rsidRPr="00222D02" w:rsidRDefault="002D7080" w:rsidP="002E2C37">
            <w:pPr>
              <w:rPr>
                <w:rFonts w:ascii="Times New Roman" w:hAnsi="Times New Roman" w:cs="Times New Roman"/>
                <w:b/>
                <w:sz w:val="20"/>
                <w:szCs w:val="20"/>
              </w:rPr>
            </w:pPr>
            <w:r w:rsidRPr="00222D02">
              <w:rPr>
                <w:rFonts w:ascii="Times New Roman" w:hAnsi="Times New Roman" w:cs="Times New Roman"/>
                <w:b/>
                <w:sz w:val="20"/>
                <w:szCs w:val="20"/>
              </w:rPr>
              <w:t>Alien distribution map</w:t>
            </w:r>
          </w:p>
          <w:p w14:paraId="13588065" w14:textId="77777777" w:rsidR="002D7080" w:rsidRPr="00222D02" w:rsidRDefault="002D7080" w:rsidP="002E2C37">
            <w:pPr>
              <w:jc w:val="center"/>
              <w:rPr>
                <w:rFonts w:ascii="Times New Roman" w:hAnsi="Times New Roman" w:cs="Times New Roman"/>
                <w:sz w:val="20"/>
                <w:szCs w:val="20"/>
              </w:rPr>
            </w:pPr>
            <w:r w:rsidRPr="009C203D">
              <w:rPr>
                <w:rFonts w:ascii="Arial" w:hAnsi="Arial" w:cs="Arial"/>
                <w:noProof/>
                <w:lang w:eastAsia="en-ZA"/>
              </w:rPr>
              <w:drawing>
                <wp:inline distT="0" distB="0" distL="0" distR="0" wp14:anchorId="0834C11A" wp14:editId="5CC24AC8">
                  <wp:extent cx="2921423" cy="1440000"/>
                  <wp:effectExtent l="0" t="0" r="0" b="8255"/>
                  <wp:docPr id="809657353" name="Picture 809657353" descr="A map of the world with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657353" name="Picture 809657353" descr="A map of the world with red dots&#10;&#10;AI-generated content may be incorrect."/>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921423" cy="1440000"/>
                          </a:xfrm>
                          <a:prstGeom prst="rect">
                            <a:avLst/>
                          </a:prstGeom>
                        </pic:spPr>
                      </pic:pic>
                    </a:graphicData>
                  </a:graphic>
                </wp:inline>
              </w:drawing>
            </w:r>
          </w:p>
          <w:p w14:paraId="45425664" w14:textId="77777777" w:rsidR="002D7080" w:rsidRPr="00222D02" w:rsidRDefault="002D7080" w:rsidP="002E2C37">
            <w:pPr>
              <w:rPr>
                <w:rFonts w:ascii="Times New Roman" w:hAnsi="Times New Roman" w:cs="Times New Roman"/>
                <w:sz w:val="20"/>
                <w:szCs w:val="20"/>
              </w:rPr>
            </w:pPr>
            <w:r w:rsidRPr="00222D02">
              <w:rPr>
                <w:rFonts w:ascii="Times New Roman" w:eastAsia="Calibri" w:hAnsi="Times New Roman" w:cs="Times New Roman"/>
                <w:sz w:val="20"/>
                <w:szCs w:val="20"/>
              </w:rPr>
              <w:t xml:space="preserve">Reference: </w:t>
            </w:r>
            <w:r w:rsidRPr="00222D02">
              <w:rPr>
                <w:rFonts w:ascii="Times New Roman" w:eastAsia="Times New Roman" w:hAnsi="Times New Roman" w:cs="Times New Roman"/>
                <w:sz w:val="20"/>
                <w:szCs w:val="20"/>
                <w:lang w:eastAsia="en-ZA"/>
              </w:rPr>
              <w:t xml:space="preserve">Sallehuddin, A.S., Kamarudin, A.S &amp; Ismail, N., 2021, ‘Review on the global distribution of wild population of Australian Redclaw Crayfish,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(von Martens, 1868)’, </w:t>
            </w:r>
            <w:r w:rsidRPr="00222D02">
              <w:rPr>
                <w:rFonts w:ascii="Times New Roman" w:eastAsia="Times New Roman" w:hAnsi="Times New Roman" w:cs="Times New Roman"/>
                <w:i/>
                <w:iCs/>
                <w:sz w:val="20"/>
                <w:szCs w:val="20"/>
                <w:lang w:eastAsia="en-ZA"/>
              </w:rPr>
              <w:t>Bioscience Research</w:t>
            </w:r>
            <w:r w:rsidRPr="00222D02">
              <w:rPr>
                <w:rFonts w:ascii="Times New Roman" w:eastAsia="Times New Roman" w:hAnsi="Times New Roman" w:cs="Times New Roman"/>
                <w:sz w:val="20"/>
                <w:szCs w:val="20"/>
                <w:lang w:eastAsia="en-ZA"/>
              </w:rPr>
              <w:t xml:space="preserve"> 18, 194–207.</w:t>
            </w:r>
          </w:p>
        </w:tc>
      </w:tr>
      <w:tr w:rsidR="002D7080" w:rsidRPr="00222D02" w14:paraId="4EE5A2E8" w14:textId="77777777" w:rsidTr="002E2C37">
        <w:trPr>
          <w:trHeight w:val="746"/>
        </w:trPr>
        <w:tc>
          <w:tcPr>
            <w:tcW w:w="7225" w:type="dxa"/>
            <w:gridSpan w:val="2"/>
          </w:tcPr>
          <w:p w14:paraId="1C70314F" w14:textId="77777777" w:rsidR="002D7080" w:rsidRPr="00222D02" w:rsidRDefault="002D7080" w:rsidP="002E2C37">
            <w:pPr>
              <w:jc w:val="both"/>
              <w:rPr>
                <w:rFonts w:ascii="Times New Roman" w:hAnsi="Times New Roman" w:cs="Times New Roman"/>
                <w:b/>
                <w:sz w:val="20"/>
                <w:szCs w:val="20"/>
              </w:rPr>
            </w:pPr>
            <w:r w:rsidRPr="00222D02">
              <w:rPr>
                <w:rFonts w:ascii="Times New Roman" w:hAnsi="Times New Roman" w:cs="Times New Roman"/>
                <w:b/>
                <w:sz w:val="20"/>
                <w:szCs w:val="20"/>
              </w:rPr>
              <w:t>Risk Assessment summary:</w:t>
            </w:r>
          </w:p>
          <w:p w14:paraId="1720730D" w14:textId="77777777" w:rsidR="002D7080" w:rsidRPr="00222D02" w:rsidRDefault="002D7080" w:rsidP="002E2C37">
            <w:pPr>
              <w:jc w:val="both"/>
              <w:rPr>
                <w:rFonts w:ascii="Times New Roman" w:eastAsia="Calibri" w:hAnsi="Times New Roman" w:cs="Times New Roman"/>
                <w:iCs/>
                <w:sz w:val="20"/>
                <w:szCs w:val="20"/>
              </w:rPr>
            </w:pPr>
            <w:r w:rsidRPr="00222D02">
              <w:rPr>
                <w:rFonts w:ascii="Times New Roman" w:eastAsia="Calibri" w:hAnsi="Times New Roman" w:cs="Times New Roman"/>
                <w:i/>
                <w:iCs/>
                <w:sz w:val="20"/>
                <w:szCs w:val="20"/>
              </w:rPr>
              <w:t xml:space="preserve">Cherax quadricarinatus </w:t>
            </w:r>
            <w:r w:rsidRPr="00222D02">
              <w:rPr>
                <w:rFonts w:ascii="Times New Roman" w:eastAsia="Calibri" w:hAnsi="Times New Roman" w:cs="Times New Roman"/>
                <w:sz w:val="20"/>
                <w:szCs w:val="20"/>
              </w:rPr>
              <w:t xml:space="preserve">(redclaw crayfish) has been introduced for aquaculture worldwide and is popular in the aquarium and pet trade. </w:t>
            </w:r>
            <w:r w:rsidRPr="00222D02">
              <w:rPr>
                <w:rFonts w:ascii="Times New Roman" w:eastAsia="Calibri" w:hAnsi="Times New Roman" w:cs="Times New Roman"/>
                <w:i/>
                <w:sz w:val="20"/>
                <w:szCs w:val="20"/>
              </w:rPr>
              <w:t>Cherax quadricarinatus</w:t>
            </w:r>
            <w:r w:rsidRPr="00222D02">
              <w:rPr>
                <w:rFonts w:ascii="Times New Roman" w:eastAsia="Calibri" w:hAnsi="Times New Roman" w:cs="Times New Roman"/>
                <w:sz w:val="20"/>
                <w:szCs w:val="20"/>
              </w:rPr>
              <w:t xml:space="preserve"> was introduced into South Africa in 1988 for research purposes and is now established in South Africa and neighbouring countries. </w:t>
            </w:r>
            <w:r w:rsidRPr="00222D02">
              <w:rPr>
                <w:rFonts w:ascii="Times New Roman" w:eastAsia="Calibri" w:hAnsi="Times New Roman" w:cs="Times New Roman"/>
                <w:i/>
                <w:sz w:val="20"/>
                <w:szCs w:val="20"/>
              </w:rPr>
              <w:t>Cherax quadricarinatus</w:t>
            </w:r>
            <w:r w:rsidRPr="00222D02">
              <w:rPr>
                <w:rFonts w:ascii="Times New Roman" w:eastAsia="Calibri" w:hAnsi="Times New Roman" w:cs="Times New Roman"/>
                <w:sz w:val="20"/>
                <w:szCs w:val="20"/>
              </w:rPr>
              <w:t xml:space="preserve"> has a high environmental tolerance, occupying a wide variety of habitats. </w:t>
            </w:r>
            <w:r w:rsidRPr="00222D02">
              <w:rPr>
                <w:rFonts w:ascii="Times New Roman" w:eastAsia="Calibri" w:hAnsi="Times New Roman" w:cs="Times New Roman"/>
                <w:i/>
                <w:sz w:val="20"/>
                <w:szCs w:val="20"/>
              </w:rPr>
              <w:t xml:space="preserve">Cherax quadricarinatus </w:t>
            </w:r>
            <w:r w:rsidRPr="00222D02">
              <w:rPr>
                <w:rFonts w:ascii="Times New Roman" w:eastAsia="Calibri" w:hAnsi="Times New Roman" w:cs="Times New Roman"/>
                <w:iCs/>
                <w:sz w:val="20"/>
                <w:szCs w:val="20"/>
              </w:rPr>
              <w:t xml:space="preserve">has negative impacts on invaded ecosystems through competition, predation, and transmission of diseases, and also on local fisheries by replacing high-value native species, damaging nets, and spoiling fish catches. </w:t>
            </w:r>
          </w:p>
        </w:tc>
        <w:tc>
          <w:tcPr>
            <w:tcW w:w="1791" w:type="dxa"/>
          </w:tcPr>
          <w:p w14:paraId="52EA7AE9" w14:textId="77777777" w:rsidR="002D7080" w:rsidRPr="00222D02" w:rsidRDefault="002D7080" w:rsidP="002E2C37">
            <w:pPr>
              <w:rPr>
                <w:rFonts w:ascii="Times New Roman" w:hAnsi="Times New Roman" w:cs="Times New Roman"/>
                <w:sz w:val="20"/>
                <w:szCs w:val="20"/>
              </w:rPr>
            </w:pPr>
            <w:r w:rsidRPr="00222D02">
              <w:rPr>
                <w:rFonts w:ascii="Times New Roman" w:hAnsi="Times New Roman" w:cs="Times New Roman"/>
                <w:b/>
                <w:sz w:val="20"/>
                <w:szCs w:val="20"/>
              </w:rPr>
              <w:t>Risk score:</w:t>
            </w:r>
            <w:r w:rsidRPr="00222D02">
              <w:rPr>
                <w:rFonts w:ascii="Times New Roman" w:hAnsi="Times New Roman" w:cs="Times New Roman"/>
                <w:b/>
                <w:sz w:val="20"/>
                <w:szCs w:val="20"/>
              </w:rPr>
              <w:br/>
            </w:r>
          </w:p>
          <w:p w14:paraId="087A1789" w14:textId="77777777" w:rsidR="002D7080" w:rsidRPr="00222D02" w:rsidRDefault="002D7080" w:rsidP="002E2C37">
            <w:pPr>
              <w:rPr>
                <w:rFonts w:ascii="Times New Roman" w:hAnsi="Times New Roman" w:cs="Times New Roman"/>
                <w:sz w:val="20"/>
                <w:szCs w:val="20"/>
              </w:rPr>
            </w:pPr>
            <w:r w:rsidRPr="00222D02">
              <w:rPr>
                <w:rFonts w:ascii="Times New Roman" w:hAnsi="Times New Roman" w:cs="Times New Roman"/>
                <w:sz w:val="20"/>
                <w:szCs w:val="20"/>
              </w:rPr>
              <w:t>High</w:t>
            </w:r>
          </w:p>
        </w:tc>
      </w:tr>
      <w:tr w:rsidR="002D7080" w:rsidRPr="00222D02" w14:paraId="6DBFBE80" w14:textId="77777777" w:rsidTr="002E2C37">
        <w:trPr>
          <w:trHeight w:val="852"/>
        </w:trPr>
        <w:tc>
          <w:tcPr>
            <w:tcW w:w="7225" w:type="dxa"/>
            <w:gridSpan w:val="2"/>
          </w:tcPr>
          <w:p w14:paraId="5AA78AB4" w14:textId="77777777" w:rsidR="002D7080" w:rsidRPr="00222D02" w:rsidRDefault="002D7080" w:rsidP="002E2C37">
            <w:pPr>
              <w:rPr>
                <w:rFonts w:ascii="Times New Roman" w:hAnsi="Times New Roman" w:cs="Times New Roman"/>
                <w:b/>
                <w:sz w:val="20"/>
                <w:szCs w:val="20"/>
              </w:rPr>
            </w:pPr>
            <w:r w:rsidRPr="00222D02">
              <w:rPr>
                <w:rFonts w:ascii="Times New Roman" w:hAnsi="Times New Roman" w:cs="Times New Roman"/>
                <w:b/>
                <w:sz w:val="20"/>
                <w:szCs w:val="20"/>
              </w:rPr>
              <w:t>Management summary:</w:t>
            </w:r>
          </w:p>
          <w:p w14:paraId="6880EEDC" w14:textId="77777777" w:rsidR="002D7080" w:rsidRPr="00222D02" w:rsidRDefault="002D7080" w:rsidP="002E2C37">
            <w:pPr>
              <w:jc w:val="both"/>
              <w:rPr>
                <w:rFonts w:ascii="Times New Roman" w:hAnsi="Times New Roman" w:cs="Times New Roman"/>
                <w:b/>
                <w:sz w:val="20"/>
                <w:szCs w:val="20"/>
              </w:rPr>
            </w:pPr>
            <w:r w:rsidRPr="00222D02">
              <w:rPr>
                <w:rFonts w:ascii="Times New Roman" w:eastAsia="Calibri" w:hAnsi="Times New Roman" w:cs="Times New Roman"/>
                <w:i/>
                <w:sz w:val="20"/>
                <w:szCs w:val="20"/>
              </w:rPr>
              <w:t>Cherax quadricarinatus</w:t>
            </w:r>
            <w:r w:rsidRPr="00222D02">
              <w:rPr>
                <w:rFonts w:ascii="Times New Roman" w:eastAsia="Calibri" w:hAnsi="Times New Roman" w:cs="Times New Roman"/>
                <w:sz w:val="20"/>
                <w:szCs w:val="20"/>
              </w:rPr>
              <w:t xml:space="preserve"> is difficult to manage given that it is difficult to access, difficult to detect (being aquatic and primarily nocturnal) and has adaptive life history traits that aid establishment (fast growth rate, high fecundity, and a multiple spawner). </w:t>
            </w:r>
            <w:r w:rsidRPr="00222D02">
              <w:rPr>
                <w:rFonts w:ascii="Times New Roman" w:hAnsi="Times New Roman" w:cs="Times New Roman"/>
                <w:bCs/>
                <w:iCs/>
                <w:sz w:val="20"/>
                <w:szCs w:val="20"/>
              </w:rPr>
              <w:t xml:space="preserve">Several </w:t>
            </w:r>
            <w:r w:rsidRPr="00222D02">
              <w:rPr>
                <w:rFonts w:ascii="Times New Roman" w:eastAsia="Times New Roman" w:hAnsi="Times New Roman" w:cs="Times New Roman"/>
                <w:sz w:val="20"/>
                <w:szCs w:val="20"/>
                <w:lang w:eastAsia="en-ZA"/>
              </w:rPr>
              <w:t xml:space="preserve">methods have been used to control alien populations of crayfish including trapping, electrofishing, biocides, and the use of biological control. However, most of these are likely to be ineffective for C. </w:t>
            </w:r>
            <w:r w:rsidRPr="00222D02">
              <w:rPr>
                <w:rFonts w:ascii="Times New Roman" w:eastAsia="Calibri" w:hAnsi="Times New Roman" w:cs="Times New Roman"/>
                <w:i/>
                <w:sz w:val="20"/>
                <w:szCs w:val="20"/>
              </w:rPr>
              <w:t>quadricarinatus</w:t>
            </w:r>
            <w:r w:rsidRPr="00222D02">
              <w:rPr>
                <w:rFonts w:ascii="Times New Roman" w:eastAsia="Calibri" w:hAnsi="Times New Roman" w:cs="Times New Roman"/>
                <w:iCs/>
                <w:sz w:val="20"/>
                <w:szCs w:val="20"/>
              </w:rPr>
              <w:t>.</w:t>
            </w:r>
          </w:p>
        </w:tc>
        <w:tc>
          <w:tcPr>
            <w:tcW w:w="1791" w:type="dxa"/>
          </w:tcPr>
          <w:p w14:paraId="35585519" w14:textId="77777777" w:rsidR="002D7080" w:rsidRPr="00222D02" w:rsidRDefault="002D7080" w:rsidP="002E2C37">
            <w:pPr>
              <w:rPr>
                <w:rFonts w:ascii="Times New Roman" w:hAnsi="Times New Roman" w:cs="Times New Roman"/>
                <w:b/>
                <w:sz w:val="20"/>
                <w:szCs w:val="20"/>
              </w:rPr>
            </w:pPr>
            <w:r w:rsidRPr="00222D02">
              <w:rPr>
                <w:rFonts w:ascii="Times New Roman" w:hAnsi="Times New Roman" w:cs="Times New Roman"/>
                <w:b/>
                <w:sz w:val="20"/>
                <w:szCs w:val="20"/>
              </w:rPr>
              <w:t>Ease of management:</w:t>
            </w:r>
          </w:p>
          <w:p w14:paraId="18C57E7F" w14:textId="77777777" w:rsidR="002D7080" w:rsidRPr="00222D02" w:rsidRDefault="002D7080" w:rsidP="002E2C37">
            <w:pPr>
              <w:rPr>
                <w:rFonts w:ascii="Times New Roman" w:hAnsi="Times New Roman" w:cs="Times New Roman"/>
                <w:sz w:val="20"/>
                <w:szCs w:val="20"/>
              </w:rPr>
            </w:pPr>
          </w:p>
          <w:p w14:paraId="6B927C84" w14:textId="77777777" w:rsidR="002D7080" w:rsidRPr="00222D02" w:rsidRDefault="002D7080" w:rsidP="002E2C37">
            <w:pPr>
              <w:rPr>
                <w:rFonts w:ascii="Times New Roman" w:hAnsi="Times New Roman" w:cs="Times New Roman"/>
                <w:sz w:val="20"/>
                <w:szCs w:val="20"/>
              </w:rPr>
            </w:pPr>
            <w:r w:rsidRPr="00222D02">
              <w:rPr>
                <w:rFonts w:ascii="Times New Roman" w:hAnsi="Times New Roman" w:cs="Times New Roman"/>
                <w:sz w:val="20"/>
                <w:szCs w:val="20"/>
              </w:rPr>
              <w:t xml:space="preserve"> Difficult</w:t>
            </w:r>
          </w:p>
        </w:tc>
      </w:tr>
      <w:tr w:rsidR="002D7080" w:rsidRPr="00222D02" w14:paraId="76539EE7" w14:textId="77777777" w:rsidTr="002E2C37">
        <w:trPr>
          <w:trHeight w:val="690"/>
        </w:trPr>
        <w:tc>
          <w:tcPr>
            <w:tcW w:w="7225" w:type="dxa"/>
            <w:gridSpan w:val="2"/>
            <w:vMerge w:val="restart"/>
          </w:tcPr>
          <w:p w14:paraId="6FFC19BA" w14:textId="77777777" w:rsidR="002D7080" w:rsidRPr="00222D02" w:rsidRDefault="002D7080" w:rsidP="002E2C37">
            <w:pPr>
              <w:rPr>
                <w:rFonts w:ascii="Times New Roman" w:eastAsia="Calibri" w:hAnsi="Times New Roman" w:cs="Times New Roman"/>
                <w:b/>
                <w:sz w:val="20"/>
                <w:szCs w:val="20"/>
              </w:rPr>
            </w:pPr>
            <w:r w:rsidRPr="00222D02">
              <w:rPr>
                <w:rFonts w:ascii="Times New Roman" w:eastAsia="Calibri" w:hAnsi="Times New Roman" w:cs="Times New Roman"/>
                <w:b/>
                <w:sz w:val="20"/>
                <w:szCs w:val="20"/>
              </w:rPr>
              <w:t>Recommendations:</w:t>
            </w:r>
          </w:p>
          <w:p w14:paraId="3573DDB2" w14:textId="77777777" w:rsidR="002D7080" w:rsidRPr="00222D02" w:rsidRDefault="002D7080" w:rsidP="002E2C37">
            <w:pPr>
              <w:jc w:val="both"/>
              <w:rPr>
                <w:rFonts w:ascii="Times New Roman" w:hAnsi="Times New Roman" w:cs="Times New Roman"/>
                <w:b/>
                <w:sz w:val="20"/>
                <w:szCs w:val="20"/>
              </w:rPr>
            </w:pPr>
            <w:r w:rsidRPr="00222D02">
              <w:rPr>
                <w:rFonts w:ascii="Times New Roman" w:eastAsia="Calibri" w:hAnsi="Times New Roman" w:cs="Times New Roman"/>
                <w:i/>
                <w:iCs/>
                <w:sz w:val="20"/>
                <w:szCs w:val="20"/>
              </w:rPr>
              <w:t xml:space="preserve">Cherax quadricarinatus </w:t>
            </w:r>
            <w:r w:rsidRPr="00222D02">
              <w:rPr>
                <w:rFonts w:ascii="Times New Roman" w:eastAsia="Calibri" w:hAnsi="Times New Roman" w:cs="Times New Roman"/>
                <w:sz w:val="20"/>
                <w:szCs w:val="20"/>
              </w:rPr>
              <w:t xml:space="preserve">poses a high risk and is difficult to manage. </w:t>
            </w:r>
            <w:r w:rsidRPr="00222D02">
              <w:rPr>
                <w:rFonts w:ascii="Times New Roman" w:eastAsia="Calibri" w:hAnsi="Times New Roman" w:cs="Times New Roman"/>
                <w:i/>
                <w:sz w:val="20"/>
                <w:szCs w:val="20"/>
              </w:rPr>
              <w:t>Cherax quadricarinatus</w:t>
            </w:r>
            <w:r w:rsidRPr="00222D02">
              <w:rPr>
                <w:rFonts w:ascii="Times New Roman" w:eastAsia="Calibri" w:hAnsi="Times New Roman" w:cs="Times New Roman"/>
                <w:i/>
                <w:iCs/>
                <w:sz w:val="20"/>
                <w:szCs w:val="20"/>
              </w:rPr>
              <w:t xml:space="preserve"> </w:t>
            </w:r>
            <w:r w:rsidRPr="00222D02">
              <w:rPr>
                <w:rFonts w:ascii="Times New Roman" w:eastAsia="Calibri" w:hAnsi="Times New Roman" w:cs="Times New Roman"/>
                <w:sz w:val="20"/>
                <w:szCs w:val="20"/>
              </w:rPr>
              <w:t xml:space="preserve">is widespread across several catchments in South Africa and neighbouring countries and further spread is likely through connected waterways so eradication is infeasible. </w:t>
            </w:r>
            <w:r w:rsidRPr="00222D02">
              <w:rPr>
                <w:rFonts w:ascii="Times New Roman" w:eastAsia="Times New Roman" w:hAnsi="Times New Roman" w:cs="Times New Roman"/>
                <w:sz w:val="20"/>
                <w:szCs w:val="20"/>
                <w:lang w:eastAsia="en-ZA"/>
              </w:rPr>
              <w:t xml:space="preserve">Given the low socio-economic </w:t>
            </w:r>
            <w:r w:rsidRPr="00222D02">
              <w:rPr>
                <w:rFonts w:ascii="Times New Roman" w:eastAsia="Times New Roman" w:hAnsi="Times New Roman" w:cs="Times New Roman"/>
                <w:sz w:val="20"/>
                <w:szCs w:val="20"/>
                <w:lang w:eastAsia="en-ZA"/>
              </w:rPr>
              <w:lastRenderedPageBreak/>
              <w:t>benefits, and high risk,</w:t>
            </w:r>
            <w:r w:rsidRPr="00222D02">
              <w:rPr>
                <w:rFonts w:ascii="Times New Roman" w:eastAsia="Calibri" w:hAnsi="Times New Roman" w:cs="Times New Roman"/>
                <w:sz w:val="20"/>
                <w:szCs w:val="20"/>
              </w:rPr>
              <w:t xml:space="preserve"> it is recommended that </w:t>
            </w:r>
            <w:r w:rsidRPr="00222D02">
              <w:rPr>
                <w:rFonts w:ascii="Times New Roman" w:eastAsia="Calibri" w:hAnsi="Times New Roman" w:cs="Times New Roman"/>
                <w:i/>
                <w:iCs/>
                <w:sz w:val="20"/>
                <w:szCs w:val="20"/>
              </w:rPr>
              <w:t xml:space="preserve">C. quadricarinatus </w:t>
            </w:r>
            <w:r w:rsidRPr="00222D02">
              <w:rPr>
                <w:rFonts w:ascii="Times New Roman" w:eastAsia="Calibri" w:hAnsi="Times New Roman" w:cs="Times New Roman"/>
                <w:sz w:val="20"/>
                <w:szCs w:val="20"/>
              </w:rPr>
              <w:t xml:space="preserve">remains listed as category 1b. </w:t>
            </w:r>
          </w:p>
        </w:tc>
        <w:tc>
          <w:tcPr>
            <w:tcW w:w="1791" w:type="dxa"/>
          </w:tcPr>
          <w:p w14:paraId="390CC982" w14:textId="77777777" w:rsidR="002D7080" w:rsidRPr="00222D02" w:rsidRDefault="002D7080" w:rsidP="002E2C37">
            <w:pPr>
              <w:rPr>
                <w:rFonts w:ascii="Times New Roman" w:hAnsi="Times New Roman" w:cs="Times New Roman"/>
                <w:b/>
                <w:sz w:val="20"/>
                <w:szCs w:val="20"/>
              </w:rPr>
            </w:pPr>
            <w:r w:rsidRPr="00222D02">
              <w:rPr>
                <w:rFonts w:ascii="Times New Roman" w:hAnsi="Times New Roman" w:cs="Times New Roman"/>
                <w:b/>
                <w:sz w:val="20"/>
                <w:szCs w:val="20"/>
              </w:rPr>
              <w:lastRenderedPageBreak/>
              <w:t>Listing under NEM:BA A&amp;IS lists of 2020:</w:t>
            </w:r>
          </w:p>
          <w:p w14:paraId="3A9B63E2" w14:textId="77777777" w:rsidR="002D7080" w:rsidRPr="00222D02" w:rsidRDefault="002D7080" w:rsidP="002E2C37">
            <w:pPr>
              <w:rPr>
                <w:rFonts w:ascii="Times New Roman" w:hAnsi="Times New Roman" w:cs="Times New Roman"/>
                <w:sz w:val="20"/>
                <w:szCs w:val="20"/>
              </w:rPr>
            </w:pPr>
            <w:r w:rsidRPr="00222D02">
              <w:rPr>
                <w:rFonts w:ascii="Times New Roman" w:hAnsi="Times New Roman" w:cs="Times New Roman"/>
                <w:sz w:val="20"/>
                <w:szCs w:val="20"/>
              </w:rPr>
              <w:t>1b</w:t>
            </w:r>
          </w:p>
        </w:tc>
      </w:tr>
      <w:tr w:rsidR="002D7080" w:rsidRPr="00222D02" w14:paraId="4A351AFD" w14:textId="77777777" w:rsidTr="002E2C37">
        <w:trPr>
          <w:trHeight w:val="690"/>
        </w:trPr>
        <w:tc>
          <w:tcPr>
            <w:tcW w:w="7225" w:type="dxa"/>
            <w:gridSpan w:val="2"/>
            <w:vMerge/>
          </w:tcPr>
          <w:p w14:paraId="010400E7" w14:textId="77777777" w:rsidR="002D7080" w:rsidRPr="00222D02" w:rsidRDefault="002D7080" w:rsidP="002E2C37">
            <w:pPr>
              <w:rPr>
                <w:rFonts w:ascii="Times New Roman" w:hAnsi="Times New Roman" w:cs="Times New Roman"/>
                <w:b/>
                <w:sz w:val="20"/>
                <w:szCs w:val="20"/>
              </w:rPr>
            </w:pPr>
          </w:p>
        </w:tc>
        <w:tc>
          <w:tcPr>
            <w:tcW w:w="1791" w:type="dxa"/>
          </w:tcPr>
          <w:p w14:paraId="11A3507F" w14:textId="77777777" w:rsidR="002D7080" w:rsidRPr="00222D02" w:rsidRDefault="002D7080" w:rsidP="002E2C37">
            <w:pPr>
              <w:rPr>
                <w:rFonts w:ascii="Times New Roman" w:hAnsi="Times New Roman" w:cs="Times New Roman"/>
                <w:b/>
                <w:sz w:val="20"/>
                <w:szCs w:val="20"/>
              </w:rPr>
            </w:pPr>
            <w:r w:rsidRPr="00222D02">
              <w:rPr>
                <w:rFonts w:ascii="Times New Roman" w:hAnsi="Times New Roman" w:cs="Times New Roman"/>
                <w:b/>
                <w:sz w:val="20"/>
                <w:szCs w:val="20"/>
              </w:rPr>
              <w:t xml:space="preserve">Recommended listing category: </w:t>
            </w:r>
          </w:p>
          <w:p w14:paraId="4153E2EB" w14:textId="77777777" w:rsidR="002D7080" w:rsidRPr="00222D02" w:rsidRDefault="002D7080" w:rsidP="002E2C37">
            <w:pPr>
              <w:rPr>
                <w:rFonts w:ascii="Times New Roman" w:hAnsi="Times New Roman" w:cs="Times New Roman"/>
                <w:bCs/>
                <w:sz w:val="20"/>
                <w:szCs w:val="20"/>
              </w:rPr>
            </w:pPr>
            <w:r w:rsidRPr="00222D02">
              <w:rPr>
                <w:rFonts w:ascii="Times New Roman" w:hAnsi="Times New Roman" w:cs="Times New Roman"/>
                <w:bCs/>
                <w:sz w:val="20"/>
                <w:szCs w:val="20"/>
              </w:rPr>
              <w:lastRenderedPageBreak/>
              <w:t>1b</w:t>
            </w:r>
          </w:p>
        </w:tc>
      </w:tr>
    </w:tbl>
    <w:p w14:paraId="72593453" w14:textId="77777777" w:rsidR="002D7080" w:rsidRPr="00222D02" w:rsidRDefault="002D7080" w:rsidP="002D7080">
      <w:pPr>
        <w:spacing w:after="120" w:line="240" w:lineRule="auto"/>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lastRenderedPageBreak/>
        <w:br w:type="page"/>
      </w:r>
    </w:p>
    <w:p w14:paraId="63393AE1"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lastRenderedPageBreak/>
        <w:t>1. Background</w:t>
      </w:r>
    </w:p>
    <w:p w14:paraId="2594A4C7"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p>
    <w:tbl>
      <w:tblPr>
        <w:tblW w:w="8790" w:type="dxa"/>
        <w:tblInd w:w="108" w:type="dxa"/>
        <w:tblLook w:val="04A0" w:firstRow="1" w:lastRow="0" w:firstColumn="1" w:lastColumn="0" w:noHBand="0" w:noVBand="1"/>
      </w:tblPr>
      <w:tblGrid>
        <w:gridCol w:w="2430"/>
        <w:gridCol w:w="1426"/>
        <w:gridCol w:w="1701"/>
        <w:gridCol w:w="3233"/>
      </w:tblGrid>
      <w:tr w:rsidR="002D7080" w:rsidRPr="00222D02" w14:paraId="681FDE53" w14:textId="77777777" w:rsidTr="002E2C37">
        <w:trPr>
          <w:cantSplit/>
          <w:trHeight w:val="358"/>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5282345E" w14:textId="77777777" w:rsidR="002D7080" w:rsidRPr="00222D02" w:rsidRDefault="002D7080" w:rsidP="002E2C37">
            <w:pPr>
              <w:spacing w:after="0" w:line="240" w:lineRule="auto"/>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BAC1 Name of assessor(s)</w:t>
            </w:r>
          </w:p>
        </w:tc>
      </w:tr>
      <w:tr w:rsidR="002D7080" w:rsidRPr="00222D02" w14:paraId="19144387" w14:textId="77777777" w:rsidTr="002E2C37">
        <w:trPr>
          <w:cantSplit/>
          <w:trHeight w:val="161"/>
        </w:trPr>
        <w:tc>
          <w:tcPr>
            <w:tcW w:w="2430" w:type="dxa"/>
            <w:tcBorders>
              <w:top w:val="nil"/>
              <w:left w:val="single" w:sz="4" w:space="0" w:color="auto"/>
              <w:bottom w:val="single" w:sz="4" w:space="0" w:color="auto"/>
              <w:right w:val="single" w:sz="4" w:space="0" w:color="auto"/>
            </w:tcBorders>
            <w:shd w:val="clear" w:color="auto" w:fill="F2F2F2" w:themeFill="background1" w:themeFillShade="F2"/>
            <w:noWrap/>
          </w:tcPr>
          <w:p w14:paraId="29A110BD" w14:textId="77777777" w:rsidR="002D7080" w:rsidRPr="00222D02" w:rsidRDefault="002D7080" w:rsidP="002E2C37">
            <w:pPr>
              <w:spacing w:after="0" w:line="240" w:lineRule="auto"/>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sz w:val="20"/>
                <w:szCs w:val="20"/>
                <w:lang w:eastAsia="en-ZA"/>
              </w:rPr>
              <w:t>Name of lead assessor</w:t>
            </w:r>
          </w:p>
        </w:tc>
        <w:tc>
          <w:tcPr>
            <w:tcW w:w="6360" w:type="dxa"/>
            <w:gridSpan w:val="3"/>
            <w:tcBorders>
              <w:top w:val="nil"/>
              <w:left w:val="single" w:sz="4" w:space="0" w:color="auto"/>
              <w:bottom w:val="single" w:sz="4" w:space="0" w:color="auto"/>
              <w:right w:val="single" w:sz="4" w:space="0" w:color="auto"/>
            </w:tcBorders>
          </w:tcPr>
          <w:p w14:paraId="230BDC6F" w14:textId="77777777" w:rsidR="002D7080" w:rsidRPr="00222D02" w:rsidRDefault="002D7080" w:rsidP="002E2C37">
            <w:pPr>
              <w:spacing w:after="0" w:line="240" w:lineRule="auto"/>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Lee-Anne Botha</w:t>
            </w:r>
          </w:p>
        </w:tc>
      </w:tr>
      <w:tr w:rsidR="002D7080" w:rsidRPr="00222D02" w14:paraId="4ACCE144" w14:textId="77777777" w:rsidTr="002E2C37">
        <w:trPr>
          <w:cantSplit/>
          <w:trHeight w:val="197"/>
        </w:trPr>
        <w:tc>
          <w:tcPr>
            <w:tcW w:w="2430" w:type="dxa"/>
            <w:tcBorders>
              <w:top w:val="nil"/>
              <w:left w:val="single" w:sz="4" w:space="0" w:color="auto"/>
              <w:bottom w:val="single" w:sz="4" w:space="0" w:color="auto"/>
              <w:right w:val="single" w:sz="4" w:space="0" w:color="auto"/>
            </w:tcBorders>
            <w:shd w:val="clear" w:color="auto" w:fill="F2F2F2" w:themeFill="background1" w:themeFillShade="F2"/>
            <w:noWrap/>
          </w:tcPr>
          <w:p w14:paraId="396F442C"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Additional assessor (1)</w:t>
            </w:r>
          </w:p>
        </w:tc>
        <w:tc>
          <w:tcPr>
            <w:tcW w:w="6360" w:type="dxa"/>
            <w:gridSpan w:val="3"/>
            <w:tcBorders>
              <w:top w:val="nil"/>
              <w:left w:val="single" w:sz="4" w:space="0" w:color="auto"/>
              <w:bottom w:val="single" w:sz="4" w:space="0" w:color="auto"/>
              <w:right w:val="single" w:sz="4" w:space="0" w:color="auto"/>
            </w:tcBorders>
          </w:tcPr>
          <w:p w14:paraId="7C971350" w14:textId="77777777" w:rsidR="002D7080" w:rsidRPr="00222D02" w:rsidRDefault="002D7080" w:rsidP="002E2C37">
            <w:pPr>
              <w:spacing w:after="0" w:line="240" w:lineRule="auto"/>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Tsungai Zengeya</w:t>
            </w:r>
          </w:p>
        </w:tc>
      </w:tr>
      <w:tr w:rsidR="002D7080" w:rsidRPr="00222D02" w14:paraId="1CE8B2B6" w14:textId="77777777" w:rsidTr="002E2C37">
        <w:trPr>
          <w:cantSplit/>
          <w:trHeight w:val="260"/>
        </w:trPr>
        <w:tc>
          <w:tcPr>
            <w:tcW w:w="2430" w:type="dxa"/>
            <w:tcBorders>
              <w:top w:val="nil"/>
              <w:left w:val="single" w:sz="4" w:space="0" w:color="auto"/>
              <w:bottom w:val="single" w:sz="4" w:space="0" w:color="auto"/>
              <w:right w:val="single" w:sz="4" w:space="0" w:color="auto"/>
            </w:tcBorders>
            <w:shd w:val="clear" w:color="auto" w:fill="F2F2F2" w:themeFill="background1" w:themeFillShade="F2"/>
            <w:noWrap/>
          </w:tcPr>
          <w:p w14:paraId="30EADBA0"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Additional assessor (2)</w:t>
            </w:r>
          </w:p>
        </w:tc>
        <w:tc>
          <w:tcPr>
            <w:tcW w:w="6360" w:type="dxa"/>
            <w:gridSpan w:val="3"/>
            <w:tcBorders>
              <w:top w:val="nil"/>
              <w:left w:val="single" w:sz="4" w:space="0" w:color="auto"/>
              <w:bottom w:val="single" w:sz="4" w:space="0" w:color="auto"/>
              <w:right w:val="single" w:sz="4" w:space="0" w:color="auto"/>
            </w:tcBorders>
          </w:tcPr>
          <w:p w14:paraId="3CF84E82" w14:textId="65ADA13D" w:rsidR="002D7080" w:rsidRPr="004A2F73" w:rsidRDefault="002D7080" w:rsidP="002E2C37">
            <w:pPr>
              <w:spacing w:after="0" w:line="240" w:lineRule="auto"/>
              <w:rPr>
                <w:rFonts w:ascii="Times New Roman" w:eastAsia="Times New Roman" w:hAnsi="Times New Roman" w:cs="Times New Roman"/>
                <w:bCs/>
                <w:sz w:val="20"/>
                <w:szCs w:val="20"/>
                <w:lang w:eastAsia="en-ZA"/>
              </w:rPr>
            </w:pPr>
            <w:r w:rsidRPr="004A2F73">
              <w:rPr>
                <w:rFonts w:ascii="Times New Roman" w:eastAsia="Times New Roman" w:hAnsi="Times New Roman" w:cs="Times New Roman"/>
                <w:bCs/>
                <w:sz w:val="20"/>
                <w:szCs w:val="20"/>
                <w:lang w:eastAsia="en-ZA"/>
              </w:rPr>
              <w:t>C</w:t>
            </w:r>
            <w:r w:rsidR="00AF155E">
              <w:rPr>
                <w:rFonts w:ascii="Times New Roman" w:eastAsia="Times New Roman" w:hAnsi="Times New Roman" w:cs="Times New Roman"/>
                <w:bCs/>
                <w:sz w:val="20"/>
                <w:szCs w:val="20"/>
                <w:lang w:eastAsia="en-ZA"/>
              </w:rPr>
              <w:t>h</w:t>
            </w:r>
            <w:r w:rsidRPr="004A2F73">
              <w:rPr>
                <w:rFonts w:ascii="Times New Roman" w:eastAsia="Times New Roman" w:hAnsi="Times New Roman" w:cs="Times New Roman"/>
                <w:bCs/>
                <w:sz w:val="20"/>
                <w:szCs w:val="20"/>
                <w:lang w:eastAsia="en-ZA"/>
              </w:rPr>
              <w:t>ris</w:t>
            </w:r>
            <w:r w:rsidR="00BC7BD0">
              <w:rPr>
                <w:rFonts w:ascii="Times New Roman" w:eastAsia="Times New Roman" w:hAnsi="Times New Roman" w:cs="Times New Roman"/>
                <w:bCs/>
                <w:sz w:val="20"/>
                <w:szCs w:val="20"/>
                <w:lang w:eastAsia="en-ZA"/>
              </w:rPr>
              <w:t>tian</w:t>
            </w:r>
            <w:r w:rsidRPr="004A2F73">
              <w:rPr>
                <w:rFonts w:ascii="Times New Roman" w:eastAsia="Times New Roman" w:hAnsi="Times New Roman" w:cs="Times New Roman"/>
                <w:bCs/>
                <w:sz w:val="20"/>
                <w:szCs w:val="20"/>
                <w:lang w:eastAsia="en-ZA"/>
              </w:rPr>
              <w:t xml:space="preserve"> Chimimba </w:t>
            </w:r>
          </w:p>
        </w:tc>
      </w:tr>
      <w:tr w:rsidR="002D7080" w:rsidRPr="00222D02" w14:paraId="358B9B12" w14:textId="77777777" w:rsidTr="002E2C37">
        <w:trPr>
          <w:cantSplit/>
          <w:trHeight w:val="215"/>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261CAFA9"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b/>
                <w:sz w:val="20"/>
                <w:szCs w:val="20"/>
                <w:lang w:eastAsia="en-ZA"/>
              </w:rPr>
              <w:t>BAC2 Contact details of assessor (s)</w:t>
            </w:r>
          </w:p>
        </w:tc>
      </w:tr>
      <w:tr w:rsidR="002D7080" w:rsidRPr="00222D02" w14:paraId="6DAF7833" w14:textId="77777777" w:rsidTr="002E2C37">
        <w:trPr>
          <w:cantSplit/>
          <w:trHeight w:val="70"/>
        </w:trPr>
        <w:tc>
          <w:tcPr>
            <w:tcW w:w="2430" w:type="dxa"/>
            <w:vMerge w:val="restart"/>
            <w:tcBorders>
              <w:top w:val="nil"/>
              <w:left w:val="single" w:sz="4" w:space="0" w:color="auto"/>
              <w:right w:val="single" w:sz="4" w:space="0" w:color="auto"/>
            </w:tcBorders>
            <w:shd w:val="clear" w:color="auto" w:fill="F2F2F2" w:themeFill="background1" w:themeFillShade="F2"/>
            <w:noWrap/>
          </w:tcPr>
          <w:p w14:paraId="47C8CF9D"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Lead assessor</w:t>
            </w:r>
          </w:p>
        </w:tc>
        <w:tc>
          <w:tcPr>
            <w:tcW w:w="6360" w:type="dxa"/>
            <w:gridSpan w:val="3"/>
            <w:tcBorders>
              <w:top w:val="nil"/>
              <w:left w:val="nil"/>
              <w:bottom w:val="single" w:sz="4" w:space="0" w:color="auto"/>
              <w:right w:val="single" w:sz="4" w:space="0" w:color="auto"/>
            </w:tcBorders>
          </w:tcPr>
          <w:p w14:paraId="7DD19E36"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Organisational affiliation:</w:t>
            </w:r>
            <w:r w:rsidRPr="00222D02">
              <w:rPr>
                <w:rFonts w:ascii="Times New Roman" w:eastAsia="Times New Roman" w:hAnsi="Times New Roman" w:cs="Times New Roman"/>
                <w:color w:val="000000"/>
                <w:sz w:val="20"/>
                <w:szCs w:val="20"/>
                <w:lang w:eastAsia="en-ZA"/>
              </w:rPr>
              <w:t xml:space="preserve"> </w:t>
            </w:r>
            <w:r w:rsidRPr="00222D02">
              <w:rPr>
                <w:rFonts w:ascii="Times New Roman" w:eastAsia="Times New Roman" w:hAnsi="Times New Roman" w:cs="Times New Roman"/>
                <w:sz w:val="20"/>
                <w:szCs w:val="20"/>
                <w:lang w:eastAsia="en-ZA"/>
              </w:rPr>
              <w:t>University of Pretoria, Department of Zoology and Entomology/ South African National Biodiversity Institute (SANBI)</w:t>
            </w:r>
          </w:p>
        </w:tc>
      </w:tr>
      <w:tr w:rsidR="002D7080" w:rsidRPr="00222D02" w14:paraId="29A42171" w14:textId="77777777" w:rsidTr="002E2C37">
        <w:trPr>
          <w:cantSplit/>
          <w:trHeight w:val="70"/>
        </w:trPr>
        <w:tc>
          <w:tcPr>
            <w:tcW w:w="2430" w:type="dxa"/>
            <w:vMerge/>
            <w:tcBorders>
              <w:left w:val="single" w:sz="4" w:space="0" w:color="auto"/>
              <w:right w:val="single" w:sz="4" w:space="0" w:color="auto"/>
            </w:tcBorders>
            <w:shd w:val="clear" w:color="auto" w:fill="F2F2F2" w:themeFill="background1" w:themeFillShade="F2"/>
            <w:noWrap/>
          </w:tcPr>
          <w:p w14:paraId="7FA31CA8"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2F8F5B08"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email:</w:t>
            </w:r>
            <w:r w:rsidRPr="00222D02">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leeannebth782@gmail.com</w:t>
            </w:r>
          </w:p>
        </w:tc>
      </w:tr>
      <w:tr w:rsidR="002D7080" w:rsidRPr="00222D02" w14:paraId="2923CDBE" w14:textId="77777777" w:rsidTr="002E2C37">
        <w:trPr>
          <w:cantSplit/>
          <w:trHeight w:val="70"/>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8A3B63C" w14:textId="77777777" w:rsidR="002D7080" w:rsidRPr="004D1E6F" w:rsidRDefault="002D7080" w:rsidP="002E2C37">
            <w:pPr>
              <w:spacing w:after="0" w:line="240" w:lineRule="auto"/>
              <w:rPr>
                <w:rFonts w:ascii="Times New Roman" w:hAnsi="Times New Roman" w:cs="Times New Roman"/>
                <w:bCs/>
                <w:iCs/>
                <w:sz w:val="20"/>
                <w:szCs w:val="24"/>
              </w:rPr>
            </w:pPr>
            <w:r w:rsidRPr="00222D02">
              <w:rPr>
                <w:rFonts w:ascii="Times New Roman" w:eastAsia="Times New Roman" w:hAnsi="Times New Roman" w:cs="Times New Roman"/>
                <w:sz w:val="20"/>
                <w:szCs w:val="20"/>
                <w:lang w:eastAsia="en-ZA"/>
              </w:rPr>
              <w:t>Additional assessor (1)</w:t>
            </w:r>
          </w:p>
        </w:tc>
        <w:tc>
          <w:tcPr>
            <w:tcW w:w="6360" w:type="dxa"/>
            <w:gridSpan w:val="3"/>
            <w:tcBorders>
              <w:top w:val="nil"/>
              <w:left w:val="nil"/>
              <w:bottom w:val="single" w:sz="4" w:space="0" w:color="auto"/>
              <w:right w:val="single" w:sz="4" w:space="0" w:color="auto"/>
            </w:tcBorders>
          </w:tcPr>
          <w:p w14:paraId="5B92C887" w14:textId="77777777" w:rsidR="002D7080" w:rsidRPr="004D1E6F" w:rsidRDefault="002D7080" w:rsidP="002E2C37">
            <w:pPr>
              <w:spacing w:after="0" w:line="240" w:lineRule="auto"/>
              <w:rPr>
                <w:rFonts w:ascii="Times New Roman" w:hAnsi="Times New Roman" w:cs="Times New Roman"/>
                <w:bCs/>
                <w:iCs/>
                <w:sz w:val="20"/>
                <w:szCs w:val="24"/>
              </w:rPr>
            </w:pPr>
            <w:r w:rsidRPr="00222D02">
              <w:rPr>
                <w:rFonts w:ascii="Times New Roman" w:eastAsia="Times New Roman" w:hAnsi="Times New Roman" w:cs="Times New Roman"/>
                <w:sz w:val="20"/>
                <w:szCs w:val="20"/>
                <w:lang w:eastAsia="en-ZA"/>
              </w:rPr>
              <w:t>Organisational affiliation:</w:t>
            </w:r>
            <w:r w:rsidRPr="00222D02">
              <w:rPr>
                <w:rFonts w:ascii="Times New Roman" w:eastAsia="Times New Roman" w:hAnsi="Times New Roman" w:cs="Times New Roman"/>
                <w:color w:val="000000"/>
                <w:sz w:val="20"/>
                <w:szCs w:val="20"/>
                <w:lang w:eastAsia="en-ZA"/>
              </w:rPr>
              <w:t xml:space="preserve"> </w:t>
            </w:r>
            <w:r w:rsidRPr="00222D02">
              <w:rPr>
                <w:rFonts w:ascii="Times New Roman" w:eastAsia="Times New Roman" w:hAnsi="Times New Roman" w:cs="Times New Roman"/>
                <w:sz w:val="20"/>
                <w:szCs w:val="20"/>
                <w:lang w:eastAsia="en-ZA"/>
              </w:rPr>
              <w:t>South African National Biodiversity Institute (SANBI)</w:t>
            </w:r>
          </w:p>
        </w:tc>
      </w:tr>
      <w:tr w:rsidR="002D7080" w:rsidRPr="00222D02" w14:paraId="3BC8F9A3" w14:textId="77777777" w:rsidTr="002E2C37">
        <w:trPr>
          <w:cantSplit/>
          <w:trHeight w:val="70"/>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D98BEAC" w14:textId="77777777" w:rsidR="002D7080" w:rsidRPr="004D1E6F" w:rsidRDefault="002D7080" w:rsidP="002E2C37">
            <w:pPr>
              <w:spacing w:after="0" w:line="240" w:lineRule="auto"/>
              <w:rPr>
                <w:rFonts w:ascii="Times New Roman" w:hAnsi="Times New Roman" w:cs="Times New Roman"/>
                <w:bCs/>
                <w:iCs/>
                <w:sz w:val="20"/>
                <w:szCs w:val="24"/>
              </w:rPr>
            </w:pPr>
          </w:p>
        </w:tc>
        <w:tc>
          <w:tcPr>
            <w:tcW w:w="6360" w:type="dxa"/>
            <w:gridSpan w:val="3"/>
            <w:tcBorders>
              <w:top w:val="nil"/>
              <w:left w:val="nil"/>
              <w:bottom w:val="single" w:sz="4" w:space="0" w:color="auto"/>
              <w:right w:val="single" w:sz="4" w:space="0" w:color="auto"/>
            </w:tcBorders>
          </w:tcPr>
          <w:p w14:paraId="47D7C5B8" w14:textId="77777777" w:rsidR="002D7080" w:rsidRPr="004D1E6F" w:rsidRDefault="002D7080" w:rsidP="002E2C37">
            <w:pPr>
              <w:spacing w:after="0" w:line="240" w:lineRule="auto"/>
              <w:rPr>
                <w:rFonts w:ascii="Times New Roman" w:hAnsi="Times New Roman" w:cs="Times New Roman"/>
                <w:bCs/>
                <w:iCs/>
                <w:sz w:val="20"/>
                <w:szCs w:val="24"/>
              </w:rPr>
            </w:pPr>
            <w:r w:rsidRPr="00222D02">
              <w:rPr>
                <w:rFonts w:ascii="Times New Roman" w:eastAsia="Times New Roman" w:hAnsi="Times New Roman" w:cs="Times New Roman"/>
                <w:sz w:val="20"/>
                <w:szCs w:val="20"/>
                <w:lang w:eastAsia="en-ZA"/>
              </w:rPr>
              <w:t>email: T.Zengeya@sanbi.org.za</w:t>
            </w:r>
          </w:p>
        </w:tc>
      </w:tr>
      <w:tr w:rsidR="002D7080" w:rsidRPr="00222D02" w14:paraId="5CEF65A4" w14:textId="77777777" w:rsidTr="002E2C37">
        <w:trPr>
          <w:cantSplit/>
          <w:trHeight w:val="70"/>
        </w:trPr>
        <w:tc>
          <w:tcPr>
            <w:tcW w:w="243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81DBB3B"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Additional assessor (2)</w:t>
            </w:r>
          </w:p>
          <w:p w14:paraId="17A4982F"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206EFD12"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Organisational affiliation: Department of Zoology and Entomology, University of Pretoria and The South African National Biodiversity Institute (SANBI).</w:t>
            </w:r>
          </w:p>
        </w:tc>
      </w:tr>
      <w:tr w:rsidR="002D7080" w:rsidRPr="00222D02" w14:paraId="50E783EA" w14:textId="77777777" w:rsidTr="002E2C37">
        <w:trPr>
          <w:cantSplit/>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671B3711"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1A1C75FF"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4"/>
              </w:rPr>
              <w:t>email: ctchimimba@up.ac.za</w:t>
            </w:r>
          </w:p>
        </w:tc>
      </w:tr>
      <w:tr w:rsidR="002D7080" w:rsidRPr="00222D02" w14:paraId="4649F974" w14:textId="77777777" w:rsidTr="002E2C37">
        <w:trPr>
          <w:cantSplit/>
          <w:trHeight w:val="357"/>
        </w:trPr>
        <w:tc>
          <w:tcPr>
            <w:tcW w:w="8790" w:type="dxa"/>
            <w:gridSpan w:val="4"/>
            <w:tcBorders>
              <w:left w:val="single" w:sz="4" w:space="0" w:color="auto"/>
              <w:bottom w:val="single" w:sz="4" w:space="0" w:color="auto"/>
              <w:right w:val="single" w:sz="4" w:space="0" w:color="auto"/>
            </w:tcBorders>
            <w:shd w:val="clear" w:color="auto" w:fill="F2F2F2" w:themeFill="background1" w:themeFillShade="F2"/>
            <w:noWrap/>
          </w:tcPr>
          <w:p w14:paraId="5CBC7E66"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b/>
                <w:sz w:val="20"/>
                <w:szCs w:val="20"/>
                <w:lang w:eastAsia="en-ZA"/>
              </w:rPr>
              <w:t>BAC3 Name(s) and contact details of expert(s) consulted</w:t>
            </w:r>
          </w:p>
        </w:tc>
      </w:tr>
      <w:tr w:rsidR="002D7080" w:rsidRPr="00222D02" w14:paraId="7D31ECE1" w14:textId="77777777" w:rsidTr="002E2C37">
        <w:trPr>
          <w:cantSplit/>
          <w:trHeight w:val="70"/>
        </w:trPr>
        <w:tc>
          <w:tcPr>
            <w:tcW w:w="2430" w:type="dxa"/>
            <w:vMerge w:val="restart"/>
            <w:tcBorders>
              <w:left w:val="single" w:sz="4" w:space="0" w:color="auto"/>
              <w:right w:val="single" w:sz="4" w:space="0" w:color="auto"/>
            </w:tcBorders>
            <w:shd w:val="clear" w:color="auto" w:fill="F2F2F2" w:themeFill="background1" w:themeFillShade="F2"/>
            <w:noWrap/>
          </w:tcPr>
          <w:p w14:paraId="1EF3AE49"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Expert (1)</w:t>
            </w:r>
          </w:p>
        </w:tc>
        <w:tc>
          <w:tcPr>
            <w:tcW w:w="6360" w:type="dxa"/>
            <w:gridSpan w:val="3"/>
            <w:tcBorders>
              <w:top w:val="nil"/>
              <w:left w:val="nil"/>
              <w:bottom w:val="single" w:sz="4" w:space="0" w:color="auto"/>
              <w:right w:val="single" w:sz="4" w:space="0" w:color="auto"/>
            </w:tcBorders>
          </w:tcPr>
          <w:p w14:paraId="0571E384"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Name: </w:t>
            </w:r>
          </w:p>
        </w:tc>
      </w:tr>
      <w:tr w:rsidR="002D7080" w:rsidRPr="00222D02" w14:paraId="5227B8D1" w14:textId="77777777" w:rsidTr="002E2C37">
        <w:trPr>
          <w:cantSplit/>
          <w:trHeight w:val="70"/>
        </w:trPr>
        <w:tc>
          <w:tcPr>
            <w:tcW w:w="2430" w:type="dxa"/>
            <w:vMerge/>
            <w:tcBorders>
              <w:left w:val="single" w:sz="4" w:space="0" w:color="auto"/>
              <w:right w:val="single" w:sz="4" w:space="0" w:color="auto"/>
            </w:tcBorders>
            <w:shd w:val="clear" w:color="auto" w:fill="F2F2F2" w:themeFill="background1" w:themeFillShade="F2"/>
            <w:noWrap/>
          </w:tcPr>
          <w:p w14:paraId="7F598133"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27BE7F55"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email: </w:t>
            </w:r>
          </w:p>
        </w:tc>
      </w:tr>
      <w:tr w:rsidR="002D7080" w:rsidRPr="00222D02" w14:paraId="051FD9C4" w14:textId="77777777" w:rsidTr="002E2C37">
        <w:trPr>
          <w:cantSplit/>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58EA1B11"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281D3FA8"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Phone: </w:t>
            </w:r>
          </w:p>
        </w:tc>
      </w:tr>
      <w:tr w:rsidR="002D7080" w:rsidRPr="00222D02" w14:paraId="5038A95C" w14:textId="77777777" w:rsidTr="002E2C37">
        <w:trPr>
          <w:cantSplit/>
          <w:trHeight w:val="70"/>
        </w:trPr>
        <w:tc>
          <w:tcPr>
            <w:tcW w:w="2430" w:type="dxa"/>
            <w:vMerge w:val="restart"/>
            <w:tcBorders>
              <w:left w:val="single" w:sz="4" w:space="0" w:color="auto"/>
              <w:right w:val="single" w:sz="4" w:space="0" w:color="auto"/>
            </w:tcBorders>
            <w:shd w:val="clear" w:color="auto" w:fill="F2F2F2" w:themeFill="background1" w:themeFillShade="F2"/>
            <w:noWrap/>
          </w:tcPr>
          <w:p w14:paraId="31F1DD7D"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Expert (2)</w:t>
            </w:r>
          </w:p>
        </w:tc>
        <w:tc>
          <w:tcPr>
            <w:tcW w:w="6360" w:type="dxa"/>
            <w:gridSpan w:val="3"/>
            <w:tcBorders>
              <w:top w:val="nil"/>
              <w:left w:val="nil"/>
              <w:bottom w:val="single" w:sz="4" w:space="0" w:color="auto"/>
              <w:right w:val="single" w:sz="4" w:space="0" w:color="auto"/>
            </w:tcBorders>
          </w:tcPr>
          <w:p w14:paraId="26CAE179"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Name:</w:t>
            </w:r>
          </w:p>
        </w:tc>
      </w:tr>
      <w:tr w:rsidR="002D7080" w:rsidRPr="00222D02" w14:paraId="7063ADD0" w14:textId="77777777" w:rsidTr="002E2C37">
        <w:trPr>
          <w:cantSplit/>
          <w:trHeight w:val="70"/>
        </w:trPr>
        <w:tc>
          <w:tcPr>
            <w:tcW w:w="2430" w:type="dxa"/>
            <w:vMerge/>
            <w:tcBorders>
              <w:left w:val="single" w:sz="4" w:space="0" w:color="auto"/>
              <w:right w:val="single" w:sz="4" w:space="0" w:color="auto"/>
            </w:tcBorders>
            <w:shd w:val="clear" w:color="auto" w:fill="F2F2F2" w:themeFill="background1" w:themeFillShade="F2"/>
            <w:noWrap/>
          </w:tcPr>
          <w:p w14:paraId="28C6166D"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52570B91"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email:</w:t>
            </w:r>
          </w:p>
        </w:tc>
      </w:tr>
      <w:tr w:rsidR="002D7080" w:rsidRPr="00222D02" w14:paraId="1ECF1439" w14:textId="77777777" w:rsidTr="002E2C37">
        <w:trPr>
          <w:cantSplit/>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3B0FF33B"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p>
        </w:tc>
        <w:tc>
          <w:tcPr>
            <w:tcW w:w="6360" w:type="dxa"/>
            <w:gridSpan w:val="3"/>
            <w:tcBorders>
              <w:top w:val="nil"/>
              <w:left w:val="nil"/>
              <w:bottom w:val="single" w:sz="4" w:space="0" w:color="auto"/>
              <w:right w:val="single" w:sz="4" w:space="0" w:color="auto"/>
            </w:tcBorders>
          </w:tcPr>
          <w:p w14:paraId="6DF30336"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Phone:</w:t>
            </w:r>
          </w:p>
        </w:tc>
      </w:tr>
      <w:tr w:rsidR="002D7080" w:rsidRPr="00222D02" w14:paraId="191A8293" w14:textId="77777777" w:rsidTr="002E2C37">
        <w:trPr>
          <w:cantSplit/>
          <w:trHeight w:val="70"/>
        </w:trPr>
        <w:tc>
          <w:tcPr>
            <w:tcW w:w="8790" w:type="dxa"/>
            <w:gridSpan w:val="4"/>
            <w:tcBorders>
              <w:top w:val="nil"/>
              <w:left w:val="single" w:sz="4" w:space="0" w:color="auto"/>
              <w:bottom w:val="single" w:sz="4" w:space="0" w:color="auto"/>
              <w:right w:val="single" w:sz="4" w:space="0" w:color="auto"/>
            </w:tcBorders>
            <w:noWrap/>
          </w:tcPr>
          <w:p w14:paraId="09478DE0"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Comments: </w:t>
            </w:r>
            <w:r>
              <w:rPr>
                <w:rFonts w:ascii="Times New Roman" w:eastAsia="Times New Roman" w:hAnsi="Times New Roman" w:cs="Times New Roman"/>
                <w:sz w:val="20"/>
                <w:szCs w:val="20"/>
                <w:lang w:eastAsia="en-ZA"/>
              </w:rPr>
              <w:t xml:space="preserve"> none </w:t>
            </w:r>
          </w:p>
        </w:tc>
      </w:tr>
      <w:tr w:rsidR="002D7080" w:rsidRPr="00222D02" w14:paraId="65855E26" w14:textId="77777777" w:rsidTr="002E2C37">
        <w:trPr>
          <w:cantSplit/>
          <w:trHeight w:val="365"/>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290FFDB9"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b/>
                <w:sz w:val="20"/>
                <w:szCs w:val="20"/>
                <w:lang w:eastAsia="en-ZA"/>
              </w:rPr>
              <w:t xml:space="preserve">BAC4 Scientific name of </w:t>
            </w:r>
            <w:r w:rsidRPr="00222D02">
              <w:rPr>
                <w:rFonts w:ascii="Times New Roman" w:eastAsia="Times New Roman" w:hAnsi="Times New Roman" w:cs="Times New Roman"/>
                <w:b/>
                <w:i/>
                <w:sz w:val="20"/>
                <w:szCs w:val="20"/>
                <w:lang w:eastAsia="en-ZA"/>
              </w:rPr>
              <w:t>Taxon</w:t>
            </w:r>
            <w:r w:rsidRPr="00222D02">
              <w:rPr>
                <w:rFonts w:ascii="Times New Roman" w:eastAsia="Times New Roman" w:hAnsi="Times New Roman" w:cs="Times New Roman"/>
                <w:b/>
                <w:sz w:val="20"/>
                <w:szCs w:val="20"/>
                <w:lang w:eastAsia="en-ZA"/>
              </w:rPr>
              <w:t xml:space="preserve"> under assessment</w:t>
            </w:r>
          </w:p>
        </w:tc>
      </w:tr>
      <w:tr w:rsidR="002D7080" w:rsidRPr="00222D02" w14:paraId="44A506EE" w14:textId="77777777" w:rsidTr="002E2C37">
        <w:trPr>
          <w:cantSplit/>
          <w:trHeight w:val="70"/>
        </w:trPr>
        <w:tc>
          <w:tcPr>
            <w:tcW w:w="5557" w:type="dxa"/>
            <w:gridSpan w:val="3"/>
            <w:tcBorders>
              <w:top w:val="nil"/>
              <w:left w:val="single" w:sz="4" w:space="0" w:color="auto"/>
              <w:bottom w:val="single" w:sz="4" w:space="0" w:color="auto"/>
              <w:right w:val="single" w:sz="4" w:space="0" w:color="auto"/>
            </w:tcBorders>
            <w:noWrap/>
          </w:tcPr>
          <w:p w14:paraId="4879BDA2"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i/>
                <w:sz w:val="20"/>
                <w:szCs w:val="20"/>
                <w:lang w:eastAsia="en-ZA"/>
              </w:rPr>
              <w:t>Taxon</w:t>
            </w:r>
            <w:r w:rsidRPr="00222D02">
              <w:rPr>
                <w:rFonts w:ascii="Times New Roman" w:eastAsia="Times New Roman" w:hAnsi="Times New Roman" w:cs="Times New Roman"/>
                <w:sz w:val="20"/>
                <w:szCs w:val="20"/>
                <w:lang w:eastAsia="en-ZA"/>
              </w:rPr>
              <w:t xml:space="preserve"> name: </w:t>
            </w:r>
            <w:r w:rsidRPr="00222D02">
              <w:rPr>
                <w:rFonts w:ascii="Times New Roman" w:eastAsia="Times New Roman" w:hAnsi="Times New Roman" w:cs="Times New Roman"/>
                <w:i/>
                <w:sz w:val="20"/>
                <w:szCs w:val="20"/>
                <w:lang w:eastAsia="en-ZA"/>
              </w:rPr>
              <w:t>Cherax quadricarinatus</w:t>
            </w:r>
          </w:p>
        </w:tc>
        <w:tc>
          <w:tcPr>
            <w:tcW w:w="3233" w:type="dxa"/>
            <w:tcBorders>
              <w:top w:val="nil"/>
              <w:left w:val="nil"/>
              <w:bottom w:val="single" w:sz="4" w:space="0" w:color="auto"/>
              <w:right w:val="single" w:sz="4" w:space="0" w:color="auto"/>
            </w:tcBorders>
            <w:hideMark/>
          </w:tcPr>
          <w:p w14:paraId="016CC3ED"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Authority: (von Martens,1868)</w:t>
            </w:r>
          </w:p>
        </w:tc>
      </w:tr>
      <w:tr w:rsidR="002D7080" w:rsidRPr="00222D02" w14:paraId="65CE5FE8" w14:textId="77777777" w:rsidTr="002E2C37">
        <w:trPr>
          <w:cantSplit/>
          <w:trHeight w:val="70"/>
        </w:trPr>
        <w:tc>
          <w:tcPr>
            <w:tcW w:w="8790" w:type="dxa"/>
            <w:gridSpan w:val="4"/>
            <w:tcBorders>
              <w:top w:val="nil"/>
              <w:left w:val="single" w:sz="4" w:space="0" w:color="auto"/>
              <w:bottom w:val="single" w:sz="4" w:space="0" w:color="auto"/>
              <w:right w:val="single" w:sz="4" w:space="0" w:color="auto"/>
            </w:tcBorders>
            <w:noWrap/>
          </w:tcPr>
          <w:p w14:paraId="0A07BC45"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Comments: The scientific name of the taxon under assessment is accepted (Crandall &amp; De Grave 2017).</w:t>
            </w:r>
          </w:p>
        </w:tc>
      </w:tr>
      <w:tr w:rsidR="002D7080" w:rsidRPr="00222D02" w14:paraId="7BA5ADA8" w14:textId="77777777" w:rsidTr="002E2C37">
        <w:trPr>
          <w:cantSplit/>
          <w:trHeight w:val="70"/>
        </w:trPr>
        <w:tc>
          <w:tcPr>
            <w:tcW w:w="8790" w:type="dxa"/>
            <w:gridSpan w:val="4"/>
            <w:tcBorders>
              <w:top w:val="nil"/>
              <w:left w:val="single" w:sz="4" w:space="0" w:color="auto"/>
              <w:bottom w:val="single" w:sz="4" w:space="0" w:color="auto"/>
              <w:right w:val="single" w:sz="4" w:space="0" w:color="auto"/>
            </w:tcBorders>
            <w:noWrap/>
          </w:tcPr>
          <w:p w14:paraId="39423401" w14:textId="77777777" w:rsidR="002D7080" w:rsidRPr="00222D02" w:rsidRDefault="002D7080" w:rsidP="00C52E1A">
            <w:pPr>
              <w:spacing w:after="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References: </w:t>
            </w:r>
          </w:p>
          <w:p w14:paraId="3BD1D358" w14:textId="00AB71A1" w:rsidR="002D7080" w:rsidRPr="00222D02" w:rsidRDefault="002D7080" w:rsidP="00C52E1A">
            <w:pPr>
              <w:spacing w:after="0"/>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Crandall, K.A. &amp; De Grave, S., 2017, ‘An updated classification of the freshwater crayfishes (Decapoda: Astacidea) of the world, with a complete species list’, </w:t>
            </w:r>
            <w:r w:rsidRPr="00222D02">
              <w:rPr>
                <w:rFonts w:ascii="Times New Roman" w:eastAsia="Times New Roman" w:hAnsi="Times New Roman" w:cs="Times New Roman"/>
                <w:i/>
                <w:sz w:val="20"/>
                <w:szCs w:val="20"/>
                <w:lang w:eastAsia="en-ZA"/>
              </w:rPr>
              <w:t>Journal of Crustacean Biology</w:t>
            </w:r>
            <w:r w:rsidRPr="00222D02">
              <w:rPr>
                <w:rFonts w:ascii="Times New Roman" w:eastAsia="Times New Roman" w:hAnsi="Times New Roman" w:cs="Times New Roman"/>
                <w:sz w:val="20"/>
                <w:szCs w:val="20"/>
                <w:lang w:eastAsia="en-ZA"/>
              </w:rPr>
              <w:t xml:space="preserve"> 27, 615–653. </w:t>
            </w:r>
            <w:r w:rsidR="00C52E1A" w:rsidRPr="00C52E1A">
              <w:rPr>
                <w:rFonts w:ascii="Times New Roman" w:eastAsia="Times New Roman" w:hAnsi="Times New Roman" w:cs="Times New Roman"/>
                <w:sz w:val="20"/>
                <w:szCs w:val="20"/>
                <w:lang w:eastAsia="en-ZA"/>
              </w:rPr>
              <w:t>https://doi.org/10.1093/jcbiol/rux070</w:t>
            </w:r>
            <w:r w:rsidRPr="00222D02">
              <w:rPr>
                <w:rFonts w:ascii="Times New Roman" w:eastAsia="Times New Roman" w:hAnsi="Times New Roman" w:cs="Times New Roman"/>
                <w:sz w:val="20"/>
                <w:szCs w:val="20"/>
                <w:lang w:eastAsia="en-ZA"/>
              </w:rPr>
              <w:t>.</w:t>
            </w:r>
          </w:p>
        </w:tc>
      </w:tr>
      <w:tr w:rsidR="002D7080" w:rsidRPr="00222D02" w14:paraId="1C58D2FF"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E040C4E"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b/>
                <w:sz w:val="20"/>
                <w:szCs w:val="20"/>
                <w:lang w:eastAsia="en-ZA"/>
              </w:rPr>
              <w:t>BAC5 Synonym(s) considered</w:t>
            </w:r>
          </w:p>
        </w:tc>
      </w:tr>
      <w:tr w:rsidR="002D7080" w:rsidRPr="0087162A" w14:paraId="0FB99B33"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6A33F21" w14:textId="77777777" w:rsidR="002D7080" w:rsidRPr="000F3EE6" w:rsidRDefault="002D7080" w:rsidP="00C52E1A">
            <w:pPr>
              <w:spacing w:after="0"/>
              <w:jc w:val="both"/>
              <w:rPr>
                <w:rFonts w:ascii="Times New Roman" w:eastAsia="Times New Roman" w:hAnsi="Times New Roman" w:cs="Times New Roman"/>
                <w:b/>
                <w:sz w:val="20"/>
                <w:szCs w:val="20"/>
                <w:lang w:val="fr-FR" w:eastAsia="en-ZA"/>
              </w:rPr>
            </w:pPr>
            <w:r w:rsidRPr="000F3EE6">
              <w:rPr>
                <w:rFonts w:ascii="Times New Roman" w:eastAsia="Times New Roman" w:hAnsi="Times New Roman" w:cs="Times New Roman"/>
                <w:sz w:val="20"/>
                <w:szCs w:val="20"/>
                <w:lang w:val="fr-FR" w:eastAsia="en-ZA"/>
              </w:rPr>
              <w:t xml:space="preserve">Synonyms: </w:t>
            </w:r>
            <w:r w:rsidRPr="000F3EE6">
              <w:rPr>
                <w:rFonts w:ascii="Times New Roman" w:hAnsi="Times New Roman" w:cs="Times New Roman"/>
                <w:i/>
                <w:iCs/>
                <w:sz w:val="20"/>
                <w:szCs w:val="20"/>
                <w:lang w:val="fr-FR"/>
              </w:rPr>
              <w:t>A</w:t>
            </w:r>
            <w:r w:rsidRPr="000F3EE6">
              <w:rPr>
                <w:rFonts w:ascii="Times New Roman" w:eastAsia="Times New Roman" w:hAnsi="Times New Roman" w:cs="Times New Roman"/>
                <w:i/>
                <w:iCs/>
                <w:sz w:val="20"/>
                <w:szCs w:val="20"/>
                <w:lang w:val="fr-FR" w:eastAsia="en-ZA"/>
              </w:rPr>
              <w:t>stacus quadricarinatus</w:t>
            </w:r>
            <w:r w:rsidRPr="000F3EE6">
              <w:rPr>
                <w:rFonts w:ascii="Times New Roman" w:eastAsia="Times New Roman" w:hAnsi="Times New Roman" w:cs="Times New Roman"/>
                <w:sz w:val="20"/>
                <w:szCs w:val="20"/>
                <w:lang w:val="fr-FR" w:eastAsia="en-ZA"/>
              </w:rPr>
              <w:t xml:space="preserve"> von Martens, 1868</w:t>
            </w:r>
          </w:p>
        </w:tc>
      </w:tr>
      <w:tr w:rsidR="002D7080" w:rsidRPr="00222D02" w14:paraId="7CCCF5F8"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E83AE92"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Comments: The abovementioned synonym (</w:t>
            </w:r>
            <w:r w:rsidRPr="00222D02">
              <w:rPr>
                <w:rFonts w:ascii="Times New Roman" w:hAnsi="Times New Roman" w:cs="Times New Roman"/>
                <w:i/>
                <w:iCs/>
                <w:sz w:val="20"/>
                <w:szCs w:val="20"/>
              </w:rPr>
              <w:t>A</w:t>
            </w:r>
            <w:r w:rsidRPr="00222D02">
              <w:rPr>
                <w:rFonts w:ascii="Times New Roman" w:eastAsia="Times New Roman" w:hAnsi="Times New Roman" w:cs="Times New Roman"/>
                <w:i/>
                <w:iCs/>
                <w:sz w:val="20"/>
                <w:szCs w:val="20"/>
                <w:lang w:eastAsia="en-ZA"/>
              </w:rPr>
              <w:t>stacus quadricarinatus</w:t>
            </w:r>
            <w:r w:rsidRPr="00222D02">
              <w:rPr>
                <w:rFonts w:ascii="Times New Roman" w:eastAsia="Times New Roman" w:hAnsi="Times New Roman" w:cs="Times New Roman"/>
                <w:sz w:val="20"/>
                <w:szCs w:val="20"/>
                <w:lang w:eastAsia="en-ZA"/>
              </w:rPr>
              <w:t>) was considered in the literature search for this assessment (GBIF 2023).</w:t>
            </w:r>
          </w:p>
        </w:tc>
      </w:tr>
      <w:tr w:rsidR="002D7080" w:rsidRPr="00222D02" w14:paraId="581BC586"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E05309D" w14:textId="77777777" w:rsidR="002D7080" w:rsidRPr="00222D02" w:rsidRDefault="002D7080" w:rsidP="00C52E1A">
            <w:pPr>
              <w:spacing w:after="0"/>
              <w:ind w:left="720" w:hanging="720"/>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sz w:val="20"/>
                <w:szCs w:val="20"/>
                <w:lang w:eastAsia="en-ZA"/>
              </w:rPr>
              <w:t>References:</w:t>
            </w:r>
            <w:r w:rsidRPr="00222D02">
              <w:rPr>
                <w:rFonts w:ascii="Times New Roman" w:eastAsia="Times New Roman" w:hAnsi="Times New Roman" w:cs="Times New Roman"/>
                <w:bCs/>
                <w:sz w:val="20"/>
                <w:szCs w:val="20"/>
                <w:lang w:eastAsia="en-ZA"/>
              </w:rPr>
              <w:t xml:space="preserve"> </w:t>
            </w:r>
          </w:p>
          <w:p w14:paraId="0826EB41" w14:textId="77777777" w:rsidR="002D7080" w:rsidRPr="00222D02" w:rsidRDefault="002D7080" w:rsidP="00C52E1A">
            <w:pPr>
              <w:spacing w:after="0"/>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(von Martens, 1868) in GBIF Secretariat. GBIF Backbone Taxonomy. Checklist dataset </w:t>
            </w:r>
            <w:hyperlink w:tgtFrame="_blank" w:history="1">
              <w:r w:rsidRPr="00222D02">
                <w:rPr>
                  <w:rFonts w:ascii="Times New Roman" w:eastAsia="Times New Roman" w:hAnsi="Times New Roman" w:cs="Times New Roman"/>
                  <w:sz w:val="20"/>
                  <w:szCs w:val="20"/>
                  <w:lang w:eastAsia="en-ZA"/>
                </w:rPr>
                <w:t>https://doi.org/10.15468/39omei</w:t>
              </w:r>
            </w:hyperlink>
            <w:r w:rsidRPr="00222D02">
              <w:rPr>
                <w:rFonts w:ascii="Times New Roman" w:eastAsia="Times New Roman" w:hAnsi="Times New Roman" w:cs="Times New Roman"/>
                <w:sz w:val="20"/>
                <w:szCs w:val="20"/>
                <w:lang w:eastAsia="en-ZA"/>
              </w:rPr>
              <w:t> accessed via GBIF.org on 2023-09-11.</w:t>
            </w:r>
          </w:p>
        </w:tc>
      </w:tr>
      <w:tr w:rsidR="002D7080" w:rsidRPr="00222D02" w14:paraId="03AC975A"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C758643" w14:textId="77777777" w:rsidR="002D7080" w:rsidRPr="00222D02" w:rsidRDefault="002D7080" w:rsidP="00C52E1A">
            <w:pPr>
              <w:spacing w:after="0"/>
              <w:rPr>
                <w:rFonts w:ascii="Times New Roman" w:eastAsia="Times New Roman" w:hAnsi="Times New Roman" w:cs="Times New Roman"/>
                <w:sz w:val="20"/>
                <w:szCs w:val="20"/>
                <w:lang w:eastAsia="en-ZA"/>
              </w:rPr>
            </w:pPr>
            <w:r w:rsidRPr="00222D02">
              <w:rPr>
                <w:rFonts w:ascii="Times New Roman" w:eastAsia="Times New Roman" w:hAnsi="Times New Roman" w:cs="Times New Roman"/>
                <w:b/>
                <w:sz w:val="20"/>
                <w:szCs w:val="20"/>
                <w:lang w:eastAsia="en-ZA"/>
              </w:rPr>
              <w:t>BAC6 Common name(s) considered</w:t>
            </w:r>
          </w:p>
        </w:tc>
      </w:tr>
      <w:tr w:rsidR="002D7080" w:rsidRPr="00222D02" w14:paraId="4F8BD372"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F371776" w14:textId="77777777" w:rsidR="002D7080" w:rsidRPr="00222D02" w:rsidRDefault="002D7080" w:rsidP="00C52E1A">
            <w:pPr>
              <w:spacing w:after="0"/>
              <w:jc w:val="both"/>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sz w:val="20"/>
                <w:szCs w:val="20"/>
                <w:lang w:eastAsia="en-ZA"/>
              </w:rPr>
              <w:t>Common names: Australian redclaw crayfish | Queensland red claw | red claw | tropical blue crayfish | blue lobster | redclaw crayfish</w:t>
            </w:r>
          </w:p>
        </w:tc>
      </w:tr>
      <w:tr w:rsidR="002D7080" w:rsidRPr="00222D02" w14:paraId="052234B8"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423BA47D"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Comments: The abovementioned common names were considered in the literature search for this assessment (GBIF 2023).</w:t>
            </w:r>
          </w:p>
        </w:tc>
      </w:tr>
      <w:tr w:rsidR="002D7080" w:rsidRPr="00222D02" w14:paraId="186DF8E0"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C4D1A23" w14:textId="77777777" w:rsidR="002D7080" w:rsidRPr="00222D02" w:rsidRDefault="002D7080" w:rsidP="00C52E1A">
            <w:pPr>
              <w:spacing w:after="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04F07966" w14:textId="77777777" w:rsidR="002D7080" w:rsidRPr="00222D02" w:rsidRDefault="002D7080" w:rsidP="00C52E1A">
            <w:pPr>
              <w:spacing w:after="0"/>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(von Martens, 1868) in GBIF Secretariat. GBIF Backbone Taxonomy. Checklist dataset </w:t>
            </w:r>
            <w:hyperlink w:tgtFrame="_blank" w:history="1">
              <w:r w:rsidRPr="00222D02">
                <w:rPr>
                  <w:rFonts w:ascii="Times New Roman" w:eastAsia="Times New Roman" w:hAnsi="Times New Roman" w:cs="Times New Roman"/>
                  <w:sz w:val="20"/>
                  <w:szCs w:val="20"/>
                  <w:lang w:eastAsia="en-ZA"/>
                </w:rPr>
                <w:t>https://doi.org/10.15468/39omei</w:t>
              </w:r>
            </w:hyperlink>
            <w:r w:rsidRPr="00222D02">
              <w:rPr>
                <w:rFonts w:ascii="Times New Roman" w:eastAsia="Times New Roman" w:hAnsi="Times New Roman" w:cs="Times New Roman"/>
                <w:sz w:val="20"/>
                <w:szCs w:val="20"/>
                <w:lang w:eastAsia="en-ZA"/>
              </w:rPr>
              <w:t> accessed via GBIF.org on 2023-09-11.</w:t>
            </w:r>
          </w:p>
        </w:tc>
      </w:tr>
      <w:tr w:rsidR="002D7080" w:rsidRPr="00222D02" w14:paraId="42E521F1"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DF17367" w14:textId="77777777" w:rsidR="002D7080" w:rsidRPr="00222D02" w:rsidRDefault="002D7080" w:rsidP="00C52E1A">
            <w:pPr>
              <w:spacing w:after="0"/>
              <w:rPr>
                <w:rFonts w:ascii="Times New Roman" w:eastAsia="Times New Roman" w:hAnsi="Times New Roman" w:cs="Times New Roman"/>
                <w:sz w:val="20"/>
                <w:szCs w:val="20"/>
                <w:lang w:eastAsia="en-ZA"/>
              </w:rPr>
            </w:pPr>
            <w:r w:rsidRPr="00222D02">
              <w:rPr>
                <w:rFonts w:ascii="Times New Roman" w:eastAsia="Times New Roman" w:hAnsi="Times New Roman" w:cs="Times New Roman"/>
                <w:b/>
                <w:sz w:val="20"/>
                <w:szCs w:val="20"/>
                <w:lang w:eastAsia="en-ZA"/>
              </w:rPr>
              <w:t xml:space="preserve">BAC7 What is the native range of the </w:t>
            </w:r>
            <w:r w:rsidRPr="00222D02">
              <w:rPr>
                <w:rFonts w:ascii="Times New Roman" w:eastAsia="Times New Roman" w:hAnsi="Times New Roman" w:cs="Times New Roman"/>
                <w:b/>
                <w:i/>
                <w:sz w:val="20"/>
                <w:szCs w:val="20"/>
                <w:lang w:eastAsia="en-ZA"/>
              </w:rPr>
              <w:t>Taxon</w:t>
            </w:r>
            <w:r w:rsidRPr="00222D02">
              <w:rPr>
                <w:rFonts w:ascii="Times New Roman" w:eastAsia="Times New Roman" w:hAnsi="Times New Roman" w:cs="Times New Roman"/>
                <w:b/>
                <w:sz w:val="20"/>
                <w:szCs w:val="20"/>
                <w:lang w:eastAsia="en-ZA"/>
              </w:rPr>
              <w:t xml:space="preserve">? </w:t>
            </w:r>
          </w:p>
        </w:tc>
      </w:tr>
      <w:tr w:rsidR="002D7080" w:rsidRPr="00222D02" w14:paraId="221A0CD2" w14:textId="77777777" w:rsidTr="002E2C37">
        <w:trPr>
          <w:cantSplit/>
          <w:trHeight w:val="70"/>
        </w:trPr>
        <w:tc>
          <w:tcPr>
            <w:tcW w:w="5557" w:type="dxa"/>
            <w:gridSpan w:val="3"/>
            <w:tcBorders>
              <w:top w:val="single" w:sz="4" w:space="0" w:color="auto"/>
              <w:left w:val="single" w:sz="4" w:space="0" w:color="auto"/>
              <w:bottom w:val="single" w:sz="4" w:space="0" w:color="auto"/>
              <w:right w:val="single" w:sz="4" w:space="0" w:color="auto"/>
            </w:tcBorders>
            <w:noWrap/>
          </w:tcPr>
          <w:p w14:paraId="6B53E720" w14:textId="77777777" w:rsidR="002D7080" w:rsidRPr="00222D02" w:rsidRDefault="002D7080" w:rsidP="00C52E1A">
            <w:pPr>
              <w:spacing w:after="0"/>
              <w:jc w:val="both"/>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sz w:val="20"/>
                <w:szCs w:val="20"/>
                <w:lang w:eastAsia="en-ZA"/>
              </w:rPr>
              <w:t>Response: Australia | New Guinea</w:t>
            </w:r>
          </w:p>
        </w:tc>
        <w:tc>
          <w:tcPr>
            <w:tcW w:w="3233" w:type="dxa"/>
            <w:tcBorders>
              <w:top w:val="single" w:sz="4" w:space="0" w:color="auto"/>
              <w:left w:val="single" w:sz="4" w:space="0" w:color="auto"/>
              <w:bottom w:val="single" w:sz="4" w:space="0" w:color="auto"/>
              <w:right w:val="single" w:sz="4" w:space="0" w:color="auto"/>
            </w:tcBorders>
          </w:tcPr>
          <w:p w14:paraId="0CD6A8E5" w14:textId="77777777" w:rsidR="002D7080" w:rsidRPr="00222D02" w:rsidRDefault="002D7080" w:rsidP="00C52E1A">
            <w:pPr>
              <w:spacing w:after="0"/>
              <w:jc w:val="both"/>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7EC491EA"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C6A8D88"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Comments: </w:t>
            </w:r>
            <w:r w:rsidRPr="00222D02">
              <w:rPr>
                <w:rFonts w:ascii="Times New Roman" w:eastAsia="Times New Roman" w:hAnsi="Times New Roman" w:cs="Times New Roman"/>
                <w:i/>
                <w:iCs/>
                <w:sz w:val="20"/>
                <w:szCs w:val="20"/>
                <w:lang w:eastAsia="en-ZA"/>
              </w:rPr>
              <w:t xml:space="preserve">Cherax quadricarinatus </w:t>
            </w:r>
            <w:r w:rsidRPr="00222D02">
              <w:rPr>
                <w:rFonts w:ascii="Times New Roman" w:eastAsia="Times New Roman" w:hAnsi="Times New Roman" w:cs="Times New Roman"/>
                <w:sz w:val="20"/>
                <w:szCs w:val="20"/>
                <w:lang w:eastAsia="en-ZA"/>
              </w:rPr>
              <w:t xml:space="preserve">is native to north-eastern Queensland and the northern and eastern parts of the Northern Territory in Australia, and to the southern part of New Guinea (Riek 1969) </w:t>
            </w:r>
          </w:p>
        </w:tc>
      </w:tr>
      <w:tr w:rsidR="002D7080" w:rsidRPr="00222D02" w14:paraId="28D388DF"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61EB358" w14:textId="77777777" w:rsidR="002D7080" w:rsidRPr="00222D02" w:rsidRDefault="002D7080" w:rsidP="00C52E1A">
            <w:pPr>
              <w:spacing w:after="0"/>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lastRenderedPageBreak/>
              <w:t>References:</w:t>
            </w:r>
          </w:p>
          <w:p w14:paraId="72D32230" w14:textId="77777777" w:rsidR="002D7080" w:rsidRPr="00222D02" w:rsidRDefault="002D7080" w:rsidP="00C52E1A">
            <w:pPr>
              <w:spacing w:after="0"/>
              <w:ind w:left="720" w:hanging="720"/>
              <w:rPr>
                <w:rFonts w:ascii="Times New Roman" w:eastAsia="Times New Roman" w:hAnsi="Times New Roman" w:cs="Times New Roman"/>
                <w:strike/>
                <w:sz w:val="20"/>
                <w:szCs w:val="20"/>
                <w:lang w:eastAsia="en-ZA"/>
              </w:rPr>
            </w:pPr>
            <w:r w:rsidRPr="00222D02">
              <w:rPr>
                <w:rStyle w:val="cf11"/>
                <w:rFonts w:ascii="Times New Roman" w:hAnsi="Times New Roman" w:cs="Times New Roman"/>
                <w:sz w:val="20"/>
                <w:szCs w:val="20"/>
              </w:rPr>
              <w:t xml:space="preserve">Riek, E.F., 1969, ‘The Australian freshwater crayfish (Crustacea: Decapoda: Parastacidae), with descriptions of new species’, </w:t>
            </w:r>
            <w:r w:rsidRPr="00222D02">
              <w:rPr>
                <w:rStyle w:val="cf11"/>
                <w:rFonts w:ascii="Times New Roman" w:hAnsi="Times New Roman" w:cs="Times New Roman"/>
                <w:i/>
                <w:iCs/>
                <w:sz w:val="20"/>
                <w:szCs w:val="20"/>
              </w:rPr>
              <w:t>Australian Journal of Zoology</w:t>
            </w:r>
            <w:r w:rsidRPr="00222D02">
              <w:rPr>
                <w:rStyle w:val="cf11"/>
                <w:rFonts w:ascii="Times New Roman" w:hAnsi="Times New Roman" w:cs="Times New Roman"/>
                <w:sz w:val="20"/>
                <w:szCs w:val="20"/>
              </w:rPr>
              <w:t>, 17, 855-918. https://doi.org/10.1071/ZO9690855.</w:t>
            </w:r>
          </w:p>
        </w:tc>
      </w:tr>
      <w:tr w:rsidR="002D7080" w:rsidRPr="00222D02" w14:paraId="0539B66E"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636892F"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b/>
                <w:sz w:val="20"/>
                <w:szCs w:val="20"/>
                <w:lang w:eastAsia="en-ZA"/>
              </w:rPr>
              <w:t xml:space="preserve">BAC8 What is the global alien range of the </w:t>
            </w:r>
            <w:r w:rsidRPr="00222D02">
              <w:rPr>
                <w:rFonts w:ascii="Times New Roman" w:eastAsia="Times New Roman" w:hAnsi="Times New Roman" w:cs="Times New Roman"/>
                <w:b/>
                <w:i/>
                <w:sz w:val="20"/>
                <w:szCs w:val="20"/>
                <w:lang w:eastAsia="en-ZA"/>
              </w:rPr>
              <w:t>Taxon</w:t>
            </w:r>
            <w:r w:rsidRPr="00222D02">
              <w:rPr>
                <w:rFonts w:ascii="Times New Roman" w:eastAsia="Times New Roman" w:hAnsi="Times New Roman" w:cs="Times New Roman"/>
                <w:b/>
                <w:sz w:val="20"/>
                <w:szCs w:val="20"/>
                <w:lang w:eastAsia="en-ZA"/>
              </w:rPr>
              <w:t xml:space="preserve">? </w:t>
            </w:r>
          </w:p>
        </w:tc>
      </w:tr>
      <w:tr w:rsidR="002D7080" w:rsidRPr="00222D02" w14:paraId="27B2AF09" w14:textId="77777777" w:rsidTr="002E2C37">
        <w:trPr>
          <w:cantSplit/>
          <w:trHeight w:val="70"/>
        </w:trPr>
        <w:tc>
          <w:tcPr>
            <w:tcW w:w="5557" w:type="dxa"/>
            <w:gridSpan w:val="3"/>
            <w:tcBorders>
              <w:top w:val="single" w:sz="4" w:space="0" w:color="auto"/>
              <w:left w:val="single" w:sz="4" w:space="0" w:color="auto"/>
              <w:bottom w:val="single" w:sz="4" w:space="0" w:color="auto"/>
              <w:right w:val="single" w:sz="4" w:space="0" w:color="auto"/>
            </w:tcBorders>
            <w:noWrap/>
          </w:tcPr>
          <w:p w14:paraId="12185216" w14:textId="77777777" w:rsidR="002D7080" w:rsidRPr="00222D02" w:rsidRDefault="002D7080" w:rsidP="002E2C37">
            <w:pPr>
              <w:spacing w:after="0" w:line="240" w:lineRule="auto"/>
              <w:jc w:val="both"/>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sz w:val="20"/>
                <w:szCs w:val="20"/>
                <w:lang w:eastAsia="en-ZA"/>
              </w:rPr>
              <w:t>Response: Asia | Europe | America | Africa</w:t>
            </w:r>
          </w:p>
        </w:tc>
        <w:tc>
          <w:tcPr>
            <w:tcW w:w="3233" w:type="dxa"/>
            <w:tcBorders>
              <w:top w:val="single" w:sz="4" w:space="0" w:color="auto"/>
              <w:left w:val="single" w:sz="4" w:space="0" w:color="auto"/>
              <w:bottom w:val="single" w:sz="4" w:space="0" w:color="auto"/>
              <w:right w:val="single" w:sz="4" w:space="0" w:color="auto"/>
            </w:tcBorders>
          </w:tcPr>
          <w:p w14:paraId="4A11CB57" w14:textId="77777777" w:rsidR="002D7080" w:rsidRPr="00222D02" w:rsidRDefault="002D7080" w:rsidP="002E2C37">
            <w:pPr>
              <w:spacing w:after="0" w:line="240" w:lineRule="auto"/>
              <w:jc w:val="both"/>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2E47C004"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CF1AB5D"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Comments: </w:t>
            </w:r>
            <w:r w:rsidRPr="00222D02">
              <w:rPr>
                <w:rFonts w:ascii="Times New Roman" w:eastAsia="Times New Roman" w:hAnsi="Times New Roman" w:cs="Times New Roman"/>
                <w:i/>
                <w:iCs/>
                <w:sz w:val="20"/>
                <w:szCs w:val="20"/>
                <w:lang w:eastAsia="en-ZA"/>
              </w:rPr>
              <w:t xml:space="preserve">Cherax quadricarinatus </w:t>
            </w:r>
            <w:r w:rsidRPr="00222D02">
              <w:rPr>
                <w:rFonts w:ascii="Times New Roman" w:eastAsia="Times New Roman" w:hAnsi="Times New Roman" w:cs="Times New Roman"/>
                <w:sz w:val="20"/>
                <w:szCs w:val="20"/>
                <w:lang w:eastAsia="en-ZA"/>
              </w:rPr>
              <w:t xml:space="preserve">has been introduced to Malaysia, Indonesia, Singapore, Thailand, Taiwan, Hong Kong, Italy, Hungary, Spain, Slovenia, Puerto Rico, Jamaica, United States (Lake Balboa), Mexico, Martinique Island, Costa Rica, Morocco, Zambia, Zimbabwe, Mozambique, Eswatini, and South Africa (Haubrock et al. 2021; Lodge et al. 2012; Nunes et al. 2017; Madzivanzira et al. 2021; Sallehuddin et al. 2021). </w:t>
            </w:r>
          </w:p>
        </w:tc>
      </w:tr>
      <w:tr w:rsidR="002D7080" w:rsidRPr="00222D02" w14:paraId="620826B0"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19E19E5" w14:textId="77777777" w:rsidR="002D7080" w:rsidRPr="00222D02" w:rsidRDefault="002D7080" w:rsidP="00C52E1A">
            <w:pPr>
              <w:spacing w:after="0"/>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795421C2" w14:textId="510C789B" w:rsidR="002D7080" w:rsidRPr="00222D02" w:rsidRDefault="002D7080" w:rsidP="00C52E1A">
            <w:pPr>
              <w:spacing w:after="0"/>
              <w:ind w:left="720" w:hanging="720"/>
              <w:jc w:val="both"/>
              <w:rPr>
                <w:rFonts w:ascii="Times New Roman" w:hAnsi="Times New Roman" w:cs="Times New Roman"/>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w:t>
            </w:r>
            <w:hyperlink r:id="rId151" w:history="1">
              <w:r w:rsidR="00AF155E" w:rsidRPr="00AF155E">
                <w:rPr>
                  <w:rStyle w:val="Hyperlink"/>
                  <w:rFonts w:ascii="Times New Roman" w:hAnsi="Times New Roman" w:cs="Times New Roman"/>
                  <w:sz w:val="20"/>
                  <w:szCs w:val="20"/>
                </w:rPr>
                <w:t>https://doi.org/10.1111/raq.12531</w:t>
              </w:r>
            </w:hyperlink>
            <w:r w:rsidRPr="00222D02">
              <w:rPr>
                <w:rStyle w:val="cf01"/>
                <w:rFonts w:ascii="Times New Roman" w:hAnsi="Times New Roman" w:cs="Times New Roman"/>
                <w:sz w:val="20"/>
                <w:szCs w:val="20"/>
              </w:rPr>
              <w:t>.</w:t>
            </w:r>
          </w:p>
          <w:p w14:paraId="2B9FF8D4" w14:textId="667BB690" w:rsidR="002D7080" w:rsidRPr="00222D02" w:rsidRDefault="002D7080" w:rsidP="00C52E1A">
            <w:pPr>
              <w:spacing w:after="0"/>
              <w:ind w:left="720" w:hanging="720"/>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Lodge, D.M., Deines, A., Gherardi, F., Yeo, D.C.J., Arcella, T., Baldridge, A.K., et al., 2012, ‘Global introductions of crayfishes: Evaluating the impact of species invasions on ecosystem services’, </w:t>
            </w:r>
            <w:r w:rsidRPr="00222D02">
              <w:rPr>
                <w:rStyle w:val="cf01"/>
                <w:rFonts w:ascii="Times New Roman" w:hAnsi="Times New Roman" w:cs="Times New Roman"/>
                <w:i/>
                <w:iCs/>
                <w:sz w:val="20"/>
                <w:szCs w:val="20"/>
              </w:rPr>
              <w:t>Annual Review of Ecology, Evolution and Systematics</w:t>
            </w:r>
            <w:r w:rsidRPr="00222D02">
              <w:rPr>
                <w:rStyle w:val="cf01"/>
                <w:rFonts w:ascii="Times New Roman" w:hAnsi="Times New Roman" w:cs="Times New Roman"/>
                <w:sz w:val="20"/>
                <w:szCs w:val="20"/>
              </w:rPr>
              <w:t xml:space="preserve">, 43, 449-472. </w:t>
            </w:r>
            <w:r w:rsidR="00B9680D" w:rsidRPr="000E56EC">
              <w:rPr>
                <w:rFonts w:ascii="Times New Roman" w:hAnsi="Times New Roman" w:cs="Times New Roman"/>
                <w:sz w:val="20"/>
                <w:szCs w:val="20"/>
              </w:rPr>
              <w:t>https://doi.org/10.1146/annurev-ecolsys-111511-103919</w:t>
            </w:r>
            <w:r w:rsidRPr="00222D02">
              <w:rPr>
                <w:rStyle w:val="cf01"/>
                <w:rFonts w:ascii="Times New Roman" w:hAnsi="Times New Roman" w:cs="Times New Roman"/>
                <w:sz w:val="20"/>
                <w:szCs w:val="20"/>
              </w:rPr>
              <w:t>.</w:t>
            </w:r>
          </w:p>
          <w:p w14:paraId="33199F7A" w14:textId="331798F7" w:rsidR="002D7080" w:rsidRPr="00222D02" w:rsidRDefault="002D7080" w:rsidP="00C52E1A">
            <w:pPr>
              <w:spacing w:after="0"/>
              <w:ind w:left="720" w:hanging="720"/>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Madzivanzira, T.C., South, J,, Ellender. B.R., Chalmers, R., Chisule, G., Coppinger, C.R., et al., 2021, ‘Distribution and establishment of the alien Australian redclaw crayfish, </w:t>
            </w:r>
            <w:r w:rsidRPr="00222D02">
              <w:rPr>
                <w:rStyle w:val="cf01"/>
                <w:rFonts w:ascii="Times New Roman" w:hAnsi="Times New Roman" w:cs="Times New Roman"/>
                <w:i/>
                <w:iCs/>
                <w:sz w:val="20"/>
                <w:szCs w:val="20"/>
              </w:rPr>
              <w:t>Cherax quadricarinatus</w:t>
            </w:r>
            <w:r w:rsidRPr="00222D02">
              <w:rPr>
                <w:rStyle w:val="cf01"/>
                <w:rFonts w:ascii="Times New Roman" w:hAnsi="Times New Roman" w:cs="Times New Roman"/>
                <w:sz w:val="20"/>
                <w:szCs w:val="20"/>
              </w:rPr>
              <w:t xml:space="preserve">, in the Zambezi Basin’, </w:t>
            </w:r>
            <w:r w:rsidRPr="00222D02">
              <w:rPr>
                <w:rStyle w:val="cf01"/>
                <w:rFonts w:ascii="Times New Roman" w:hAnsi="Times New Roman" w:cs="Times New Roman"/>
                <w:i/>
                <w:iCs/>
                <w:sz w:val="20"/>
                <w:szCs w:val="20"/>
              </w:rPr>
              <w:t>Aquatic conservation: Marine and Freshwater Ecosystems</w:t>
            </w:r>
            <w:r w:rsidRPr="00222D02">
              <w:rPr>
                <w:rStyle w:val="cf01"/>
                <w:rFonts w:ascii="Times New Roman" w:hAnsi="Times New Roman" w:cs="Times New Roman"/>
                <w:sz w:val="20"/>
                <w:szCs w:val="20"/>
              </w:rPr>
              <w:t xml:space="preserve">, 31(11), 3156-3168. </w:t>
            </w:r>
            <w:r w:rsidR="00B9680D" w:rsidRPr="00B9680D">
              <w:rPr>
                <w:rStyle w:val="cf01"/>
                <w:rFonts w:ascii="Times New Roman" w:hAnsi="Times New Roman" w:cs="Times New Roman"/>
                <w:sz w:val="20"/>
                <w:szCs w:val="20"/>
              </w:rPr>
              <w:t>https://doi.org/10.1002/aqc.3703</w:t>
            </w:r>
            <w:r w:rsidRPr="00222D02">
              <w:rPr>
                <w:rStyle w:val="cf01"/>
                <w:rFonts w:ascii="Times New Roman" w:hAnsi="Times New Roman" w:cs="Times New Roman"/>
                <w:sz w:val="20"/>
                <w:szCs w:val="20"/>
              </w:rPr>
              <w:t>.</w:t>
            </w:r>
          </w:p>
          <w:p w14:paraId="7907E994" w14:textId="2B540FBA" w:rsidR="002D7080" w:rsidRPr="00222D02" w:rsidRDefault="002D7080" w:rsidP="00C52E1A">
            <w:pPr>
              <w:spacing w:after="0"/>
              <w:ind w:left="720" w:hanging="720"/>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Nunes, A.L., Zengeya, T.A., Hoffman, A.C., Measey, G.J. &amp; Weyl, O.L.F., 2017, ‘Distribution and establishment of the alien Australian redclaw crayfish, </w:t>
            </w:r>
            <w:r w:rsidRPr="00222D02">
              <w:rPr>
                <w:rStyle w:val="cf01"/>
                <w:rFonts w:ascii="Times New Roman" w:hAnsi="Times New Roman" w:cs="Times New Roman"/>
                <w:i/>
                <w:iCs/>
                <w:sz w:val="20"/>
                <w:szCs w:val="20"/>
              </w:rPr>
              <w:t>Cherax quadricarinatus</w:t>
            </w:r>
            <w:r w:rsidRPr="00222D02">
              <w:rPr>
                <w:rStyle w:val="cf01"/>
                <w:rFonts w:ascii="Times New Roman" w:hAnsi="Times New Roman" w:cs="Times New Roman"/>
                <w:sz w:val="20"/>
                <w:szCs w:val="20"/>
              </w:rPr>
              <w:t xml:space="preserve">, in South Africa and Swaziland’, </w:t>
            </w:r>
            <w:r w:rsidRPr="00222D02">
              <w:rPr>
                <w:rStyle w:val="cf01"/>
                <w:rFonts w:ascii="Times New Roman" w:hAnsi="Times New Roman" w:cs="Times New Roman"/>
                <w:i/>
                <w:iCs/>
                <w:sz w:val="20"/>
                <w:szCs w:val="20"/>
              </w:rPr>
              <w:t>PeerJ</w:t>
            </w:r>
            <w:r w:rsidRPr="00222D02">
              <w:rPr>
                <w:rStyle w:val="cf01"/>
                <w:rFonts w:ascii="Times New Roman" w:hAnsi="Times New Roman" w:cs="Times New Roman"/>
                <w:sz w:val="20"/>
                <w:szCs w:val="20"/>
              </w:rPr>
              <w:t>, 5, e3135.</w:t>
            </w:r>
            <w:r w:rsidR="00B9680D">
              <w:rPr>
                <w:rStyle w:val="cf01"/>
                <w:rFonts w:ascii="Times New Roman" w:hAnsi="Times New Roman" w:cs="Times New Roman"/>
                <w:sz w:val="20"/>
                <w:szCs w:val="20"/>
              </w:rPr>
              <w:t xml:space="preserve">, </w:t>
            </w:r>
            <w:r w:rsidR="00B9680D" w:rsidRPr="00B9680D">
              <w:rPr>
                <w:rStyle w:val="cf01"/>
                <w:rFonts w:ascii="Times New Roman" w:hAnsi="Times New Roman" w:cs="Times New Roman"/>
                <w:sz w:val="20"/>
                <w:szCs w:val="20"/>
              </w:rPr>
              <w:t>http://dx.doi.org/10.7717/peerj.3135</w:t>
            </w:r>
          </w:p>
          <w:p w14:paraId="3F98BFF0" w14:textId="77777777" w:rsidR="002D7080" w:rsidRPr="00222D02" w:rsidRDefault="002D7080" w:rsidP="008A0BC6">
            <w:pPr>
              <w:tabs>
                <w:tab w:val="left" w:pos="2290"/>
              </w:tabs>
              <w:spacing w:after="0"/>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Sallehuddin, A.S., Kamarudin, A.S &amp; Ismail, N., 2021, ‘Review on the global distribution of wild population of Australian Redclaw Crayfish,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(von Martens, 1868)’, </w:t>
            </w:r>
            <w:r w:rsidRPr="00222D02">
              <w:rPr>
                <w:rFonts w:ascii="Times New Roman" w:eastAsia="Times New Roman" w:hAnsi="Times New Roman" w:cs="Times New Roman"/>
                <w:i/>
                <w:iCs/>
                <w:sz w:val="20"/>
                <w:szCs w:val="20"/>
                <w:lang w:eastAsia="en-ZA"/>
              </w:rPr>
              <w:t>Bioscience Research</w:t>
            </w:r>
            <w:r w:rsidRPr="00222D02">
              <w:rPr>
                <w:rFonts w:ascii="Times New Roman" w:eastAsia="Times New Roman" w:hAnsi="Times New Roman" w:cs="Times New Roman"/>
                <w:sz w:val="20"/>
                <w:szCs w:val="20"/>
                <w:lang w:eastAsia="en-ZA"/>
              </w:rPr>
              <w:t xml:space="preserve"> 18, 194–207.</w:t>
            </w:r>
          </w:p>
        </w:tc>
      </w:tr>
      <w:tr w:rsidR="002D7080" w:rsidRPr="00222D02" w14:paraId="23F1F0D5"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DC1193B"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b/>
                <w:sz w:val="20"/>
                <w:szCs w:val="20"/>
                <w:lang w:eastAsia="en-ZA"/>
              </w:rPr>
              <w:t xml:space="preserve">BAC9 Geographic scope = the </w:t>
            </w:r>
            <w:r w:rsidRPr="00222D02">
              <w:rPr>
                <w:rFonts w:ascii="Times New Roman" w:eastAsia="Times New Roman" w:hAnsi="Times New Roman" w:cs="Times New Roman"/>
                <w:b/>
                <w:i/>
                <w:sz w:val="20"/>
                <w:szCs w:val="20"/>
                <w:lang w:eastAsia="en-ZA"/>
              </w:rPr>
              <w:t>Area</w:t>
            </w:r>
            <w:r w:rsidRPr="00222D02">
              <w:rPr>
                <w:rFonts w:ascii="Times New Roman" w:eastAsia="Times New Roman" w:hAnsi="Times New Roman" w:cs="Times New Roman"/>
                <w:b/>
                <w:sz w:val="20"/>
                <w:szCs w:val="20"/>
                <w:lang w:eastAsia="en-ZA"/>
              </w:rPr>
              <w:t xml:space="preserve"> under consideration</w:t>
            </w:r>
          </w:p>
        </w:tc>
      </w:tr>
      <w:tr w:rsidR="002D7080" w:rsidRPr="00222D02" w14:paraId="0682B99B"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3B0F3B9"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i/>
                <w:sz w:val="20"/>
                <w:szCs w:val="20"/>
                <w:lang w:eastAsia="en-ZA"/>
              </w:rPr>
              <w:t>Area</w:t>
            </w:r>
            <w:r w:rsidRPr="00222D02">
              <w:rPr>
                <w:rFonts w:ascii="Times New Roman" w:eastAsia="Times New Roman" w:hAnsi="Times New Roman" w:cs="Times New Roman"/>
                <w:sz w:val="20"/>
                <w:szCs w:val="20"/>
                <w:lang w:eastAsia="en-ZA"/>
              </w:rPr>
              <w:t xml:space="preserve"> of assessment: South Africa</w:t>
            </w:r>
          </w:p>
        </w:tc>
      </w:tr>
      <w:tr w:rsidR="002D7080" w:rsidRPr="00222D02" w14:paraId="736781A3"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60172807"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Comments: The geographic scope of this assessment is limited to South Africa.</w:t>
            </w:r>
          </w:p>
        </w:tc>
      </w:tr>
      <w:tr w:rsidR="002D7080" w:rsidRPr="00222D02" w14:paraId="4856DFCB"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4E53609" w14:textId="77777777" w:rsidR="002D7080" w:rsidRPr="00222D02" w:rsidRDefault="002D7080" w:rsidP="00C52E1A">
            <w:pPr>
              <w:spacing w:after="0"/>
              <w:jc w:val="both"/>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 xml:space="preserve">BAC10 Is the </w:t>
            </w:r>
            <w:r w:rsidRPr="00222D02">
              <w:rPr>
                <w:rFonts w:ascii="Times New Roman" w:eastAsia="Times New Roman" w:hAnsi="Times New Roman" w:cs="Times New Roman"/>
                <w:b/>
                <w:i/>
                <w:sz w:val="20"/>
                <w:szCs w:val="20"/>
                <w:lang w:eastAsia="en-ZA"/>
              </w:rPr>
              <w:t>Taxon</w:t>
            </w:r>
            <w:r w:rsidRPr="00222D02">
              <w:rPr>
                <w:rFonts w:ascii="Times New Roman" w:eastAsia="Times New Roman" w:hAnsi="Times New Roman" w:cs="Times New Roman"/>
                <w:b/>
                <w:sz w:val="20"/>
                <w:szCs w:val="20"/>
                <w:lang w:eastAsia="en-ZA"/>
              </w:rPr>
              <w:t xml:space="preserve"> present in the </w:t>
            </w:r>
            <w:r w:rsidRPr="00222D02">
              <w:rPr>
                <w:rFonts w:ascii="Times New Roman" w:eastAsia="Times New Roman" w:hAnsi="Times New Roman" w:cs="Times New Roman"/>
                <w:b/>
                <w:i/>
                <w:sz w:val="20"/>
                <w:szCs w:val="20"/>
                <w:lang w:eastAsia="en-ZA"/>
              </w:rPr>
              <w:t>Area</w:t>
            </w:r>
            <w:r w:rsidRPr="00222D02">
              <w:rPr>
                <w:rFonts w:ascii="Times New Roman" w:eastAsia="Times New Roman" w:hAnsi="Times New Roman" w:cs="Times New Roman"/>
                <w:b/>
                <w:sz w:val="20"/>
                <w:szCs w:val="20"/>
                <w:lang w:eastAsia="en-ZA"/>
              </w:rPr>
              <w:t>?</w:t>
            </w:r>
          </w:p>
        </w:tc>
      </w:tr>
      <w:tr w:rsidR="002D7080" w:rsidRPr="00222D02" w14:paraId="43BE98E4" w14:textId="77777777" w:rsidTr="002E2C37">
        <w:trPr>
          <w:cantSplit/>
          <w:trHeight w:val="70"/>
        </w:trPr>
        <w:tc>
          <w:tcPr>
            <w:tcW w:w="5557" w:type="dxa"/>
            <w:gridSpan w:val="3"/>
            <w:tcBorders>
              <w:top w:val="single" w:sz="4" w:space="0" w:color="auto"/>
              <w:left w:val="single" w:sz="4" w:space="0" w:color="auto"/>
              <w:bottom w:val="single" w:sz="4" w:space="0" w:color="auto"/>
              <w:right w:val="single" w:sz="4" w:space="0" w:color="auto"/>
            </w:tcBorders>
            <w:noWrap/>
          </w:tcPr>
          <w:p w14:paraId="47D4577F" w14:textId="77777777" w:rsidR="002D7080" w:rsidRPr="00222D02" w:rsidRDefault="002D7080" w:rsidP="00C52E1A">
            <w:pPr>
              <w:spacing w:after="0"/>
              <w:jc w:val="both"/>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sz w:val="20"/>
                <w:szCs w:val="20"/>
                <w:lang w:eastAsia="en-ZA"/>
              </w:rPr>
              <w:t>Response: Yes</w:t>
            </w:r>
          </w:p>
        </w:tc>
        <w:tc>
          <w:tcPr>
            <w:tcW w:w="3233" w:type="dxa"/>
            <w:tcBorders>
              <w:top w:val="single" w:sz="4" w:space="0" w:color="auto"/>
              <w:left w:val="single" w:sz="4" w:space="0" w:color="auto"/>
              <w:bottom w:val="single" w:sz="4" w:space="0" w:color="auto"/>
              <w:right w:val="single" w:sz="4" w:space="0" w:color="auto"/>
            </w:tcBorders>
          </w:tcPr>
          <w:p w14:paraId="382D7A6E" w14:textId="77777777" w:rsidR="002D7080" w:rsidRPr="00222D02" w:rsidRDefault="002D7080" w:rsidP="00C52E1A">
            <w:pPr>
              <w:spacing w:after="0"/>
              <w:jc w:val="both"/>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87162A" w14:paraId="429F5597"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1FC2EE2" w14:textId="2B42FDD3" w:rsidR="002D7080" w:rsidRPr="000E6BA8" w:rsidRDefault="002D7080" w:rsidP="00C52E1A">
            <w:pPr>
              <w:spacing w:after="0"/>
              <w:jc w:val="both"/>
              <w:rPr>
                <w:rFonts w:ascii="Times New Roman" w:eastAsia="Times New Roman" w:hAnsi="Times New Roman" w:cs="Times New Roman"/>
                <w:sz w:val="20"/>
                <w:szCs w:val="20"/>
                <w:lang w:val="fr-FR" w:eastAsia="en-ZA"/>
              </w:rPr>
            </w:pPr>
            <w:r w:rsidRPr="00222D02">
              <w:rPr>
                <w:rFonts w:ascii="Times New Roman" w:eastAsia="Times New Roman" w:hAnsi="Times New Roman" w:cs="Times New Roman"/>
                <w:sz w:val="20"/>
                <w:szCs w:val="20"/>
                <w:lang w:eastAsia="en-ZA"/>
              </w:rPr>
              <w:t xml:space="preserve">Comments: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is widespread in the Inkomati and adjacent river systems in South Africa and neighbouring countries such as Mozambique, Eswatini, Zambia, and Zimbabwe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"10.7717/peerj.3135", "ISBN" : "21678359 (ISSN)", "ISSN" : "2167-8359", "PMID" : "28439454", "abstract" : "Background. The Australian redclaw crayfish (Cherax quadricarinatus, von Martens), is native to Australasia, but has been widely translocated around the world due to aquaculture and aquarium trade. Mostly as a result of escape from aquaculture facilities, this species has established extralimital populations in Australia and alien populations in Europe, Asia, Central America and Africa. In South Africa, C. quadricarinatus was first sampled from the wild in 2002 in the Komati River, following its escape from an aquaculture facility in Swaziland, but data on the current status of its populations are not available. Methods. To establish a better understanding of its distribution, rate of spread and population status, we surveyed a total of 46 sites in various river systems in South Africa and Swaziland. Surveys were performed between September 2015 and August 2016 and involved visual observations and the use of collapsible crayfish traps. Results. Cherax quadricarinatus is now present in the Komati, Lomati, Mbuluzi, Mlawula and Usutu rivers, and it was also detected in several off-channel irrigation impoundments. Where present, it was generally abundant, with populations having multiple size cohorts and containing ovigerous females. In the Komati River, it has spread more than 112 km downstream of the initial introduction point and 33 km upstream of a tributary, resulting in a mean spread rate of 8 km year \u22121 downstream and 4.7 km year \u22121 upstream. In Swaziland, estimated downstream spread rate might reach 14.6 km year \u22121 . Individuals were generally larger and heavier closer to the introduction site, which might be linked to juvenile dispersal. Discussion. These findings demonstrate that C. quadricarinatus is established in South Africa and Swaziland and that the species has spread, not only within the river where it was first introduced, but also between rivers. Considering the strong impacts that alien crayfish usually have on invaded ecosystems, assessments of its potential impacts on native freshwater biota and an evaluation of possible control measures are, therefore, urgent requirements.", "author" : [ { "dropping-particle" : "", "family" : "Nunes", "given" : "Ana L.", "non-dropping-particle" : "", "parse-names" : false, "suffix" : "" }, { "dropping-particle" : "", "family" : "Zengeya", "given" : "Tsungai A.", "non-dropping-particle" : "", "parse-names" : false, "suffix" : "" }, { "dropping-particle" : "", "family" : "Hoffman", "given" : "Andries C.", "non-dropping-particle" : "", "parse-names" : false, "suffix" : "" }, { "dropping-particle" : "", "family" : "Measey", "given" : "G. John", "non-dropping-particle" : "", "parse-names" : false, "suffix" : "" }, { "dropping-particle" : "", "family" : "Weyl", "given" : "Olaf L.F.", "non-dropping-particle" : "", "parse-names" : false, "suffix" : "" } ], "container-title" : "PeerJ", "id" : "ITEM-2", "issued" : { "date-parts" : [ [ "2017" ] ] }, "page" : "e3135", "title" : "Distribution and establishment of the alien Australian redclaw crayfish, &lt;i&gt;Cherax quadricarinatus&lt;/i&gt; , in South Africa and Swaziland", "type" : "article-journal", "volume" : "5" }, "uris" : [ "http://www.mendeley.com/documents/?uuid=09e3f7e4-ebe7-4773-815c-0ea02776a567" ] }, { "id" : "ITEM-3",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w:instrText>
            </w:r>
            <w:r w:rsidRPr="000F3EE6">
              <w:rPr>
                <w:rFonts w:ascii="Times New Roman" w:eastAsia="Times New Roman" w:hAnsi="Times New Roman" w:cs="Times New Roman"/>
                <w:sz w:val="20"/>
                <w:szCs w:val="20"/>
                <w:lang w:val="fr-FR" w:eastAsia="en-ZA"/>
              </w:rPr>
              <w:instrText>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"ITEM-3",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2017b, 2017a)", "plainTextFormattedCitation" : "(de Moor 2002, Nunes et al. 2017b, 2017a)"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0F3EE6">
              <w:rPr>
                <w:rFonts w:ascii="Times New Roman" w:eastAsia="Times New Roman" w:hAnsi="Times New Roman" w:cs="Times New Roman"/>
                <w:sz w:val="20"/>
                <w:szCs w:val="20"/>
                <w:lang w:val="fr-FR" w:eastAsia="en-ZA"/>
              </w:rPr>
              <w:t>(</w:t>
            </w:r>
            <w:r w:rsidR="008A0BC6">
              <w:rPr>
                <w:rFonts w:ascii="Times New Roman" w:eastAsia="Times New Roman" w:hAnsi="Times New Roman" w:cs="Times New Roman"/>
                <w:sz w:val="20"/>
                <w:szCs w:val="20"/>
                <w:lang w:val="fr-FR" w:eastAsia="en-ZA"/>
              </w:rPr>
              <w:t>De Moor</w:t>
            </w:r>
            <w:r w:rsidRPr="000F3EE6">
              <w:rPr>
                <w:rFonts w:ascii="Times New Roman" w:eastAsia="Times New Roman" w:hAnsi="Times New Roman" w:cs="Times New Roman"/>
                <w:sz w:val="20"/>
                <w:szCs w:val="20"/>
                <w:lang w:val="fr-FR" w:eastAsia="en-ZA"/>
              </w:rPr>
              <w:t xml:space="preserve"> 2002; Madzivanzira et al. 2021; Nunes et al. 2017a, 2017b)</w:t>
            </w:r>
            <w:r w:rsidRPr="00222D02">
              <w:rPr>
                <w:rFonts w:ascii="Times New Roman" w:eastAsia="Times New Roman" w:hAnsi="Times New Roman" w:cs="Times New Roman"/>
                <w:sz w:val="20"/>
                <w:szCs w:val="20"/>
                <w:lang w:eastAsia="en-ZA"/>
              </w:rPr>
              <w:fldChar w:fldCharType="end"/>
            </w:r>
            <w:r w:rsidRPr="000E6BA8">
              <w:rPr>
                <w:rFonts w:ascii="Times New Roman" w:eastAsia="Times New Roman" w:hAnsi="Times New Roman" w:cs="Times New Roman"/>
                <w:sz w:val="20"/>
                <w:szCs w:val="20"/>
                <w:lang w:val="fr-FR" w:eastAsia="en-ZA"/>
              </w:rPr>
              <w:t>.</w:t>
            </w:r>
          </w:p>
        </w:tc>
      </w:tr>
      <w:tr w:rsidR="002D7080" w:rsidRPr="00222D02" w14:paraId="15C9F8D0"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75A35241" w14:textId="77777777" w:rsidR="002D7080" w:rsidRPr="00222D02" w:rsidRDefault="002D7080" w:rsidP="00C52E1A">
            <w:pPr>
              <w:spacing w:after="0"/>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159774A3" w14:textId="52EC1DCC" w:rsidR="002D7080" w:rsidRPr="00222D02" w:rsidRDefault="008A0BC6" w:rsidP="00C52E1A">
            <w:pPr>
              <w:spacing w:after="0"/>
              <w:ind w:left="720" w:hanging="720"/>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De Moor</w:t>
            </w:r>
            <w:r w:rsidR="002D7080" w:rsidRPr="00222D02">
              <w:rPr>
                <w:rFonts w:ascii="Times New Roman" w:eastAsia="Times New Roman" w:hAnsi="Times New Roman" w:cs="Times New Roman"/>
                <w:sz w:val="20"/>
                <w:szCs w:val="20"/>
                <w:lang w:eastAsia="en-ZA"/>
              </w:rPr>
              <w:t xml:space="preserve">, I., 2002, ‘Potential impacts of alien freshwater crayfish in South Africa’, </w:t>
            </w:r>
            <w:r w:rsidR="002D7080" w:rsidRPr="00222D02">
              <w:rPr>
                <w:rFonts w:ascii="Times New Roman" w:eastAsia="Times New Roman" w:hAnsi="Times New Roman" w:cs="Times New Roman"/>
                <w:i/>
                <w:iCs/>
                <w:sz w:val="20"/>
                <w:szCs w:val="20"/>
                <w:lang w:eastAsia="en-ZA"/>
              </w:rPr>
              <w:t>African</w:t>
            </w:r>
            <w:r w:rsidR="002D7080" w:rsidRPr="00222D02">
              <w:rPr>
                <w:rFonts w:ascii="Times New Roman" w:eastAsia="Times New Roman" w:hAnsi="Times New Roman" w:cs="Times New Roman"/>
                <w:sz w:val="20"/>
                <w:szCs w:val="20"/>
                <w:lang w:eastAsia="en-ZA"/>
              </w:rPr>
              <w:t xml:space="preserve"> </w:t>
            </w:r>
            <w:r w:rsidR="002D7080" w:rsidRPr="00222D02">
              <w:rPr>
                <w:rFonts w:ascii="Times New Roman" w:eastAsia="Times New Roman" w:hAnsi="Times New Roman" w:cs="Times New Roman"/>
                <w:i/>
                <w:sz w:val="20"/>
                <w:szCs w:val="20"/>
                <w:lang w:eastAsia="en-ZA"/>
              </w:rPr>
              <w:t xml:space="preserve">Journal of Aquatic Science </w:t>
            </w:r>
            <w:r w:rsidR="002D7080" w:rsidRPr="00222D02">
              <w:rPr>
                <w:rFonts w:ascii="Times New Roman" w:eastAsia="Times New Roman" w:hAnsi="Times New Roman" w:cs="Times New Roman"/>
                <w:sz w:val="20"/>
                <w:szCs w:val="20"/>
                <w:lang w:eastAsia="en-ZA"/>
              </w:rPr>
              <w:t xml:space="preserve">27, 125–139. </w:t>
            </w:r>
            <w:hyperlink r:id="rId152" w:history="1">
              <w:r w:rsidR="00716A79" w:rsidRPr="00D66918">
                <w:rPr>
                  <w:rStyle w:val="Hyperlink"/>
                  <w:rFonts w:ascii="Times New Roman" w:eastAsia="Times New Roman" w:hAnsi="Times New Roman" w:cs="Times New Roman"/>
                  <w:sz w:val="20"/>
                  <w:szCs w:val="20"/>
                  <w:lang w:eastAsia="en-ZA"/>
                </w:rPr>
                <w:t>https://doi.org/10.2989/16085914.2002.9626584</w:t>
              </w:r>
            </w:hyperlink>
            <w:r w:rsidR="002D7080" w:rsidRPr="00222D02">
              <w:rPr>
                <w:rFonts w:ascii="Times New Roman" w:eastAsia="Times New Roman" w:hAnsi="Times New Roman" w:cs="Times New Roman"/>
                <w:sz w:val="20"/>
                <w:szCs w:val="20"/>
                <w:lang w:eastAsia="en-ZA"/>
              </w:rPr>
              <w:t>.</w:t>
            </w:r>
          </w:p>
          <w:p w14:paraId="6E624FC7" w14:textId="47400309" w:rsidR="002D7080" w:rsidRPr="00222D02" w:rsidRDefault="002D7080" w:rsidP="00C52E1A">
            <w:pPr>
              <w:spacing w:after="0"/>
              <w:ind w:left="720" w:hanging="720"/>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Madzivanzira, T.C., South, J,, Ellender. B.R., Chalmers, R., Chisule, G., Coppinger, C.R., et al., 2021, ‘Distribution and establishment of the alien Australian redclaw crayfish, </w:t>
            </w:r>
            <w:r w:rsidRPr="00222D02">
              <w:rPr>
                <w:rStyle w:val="cf01"/>
                <w:rFonts w:ascii="Times New Roman" w:hAnsi="Times New Roman" w:cs="Times New Roman"/>
                <w:i/>
                <w:iCs/>
                <w:sz w:val="20"/>
                <w:szCs w:val="20"/>
              </w:rPr>
              <w:t>Cherax quadricarinatus</w:t>
            </w:r>
            <w:r w:rsidRPr="00222D02">
              <w:rPr>
                <w:rStyle w:val="cf01"/>
                <w:rFonts w:ascii="Times New Roman" w:hAnsi="Times New Roman" w:cs="Times New Roman"/>
                <w:sz w:val="20"/>
                <w:szCs w:val="20"/>
              </w:rPr>
              <w:t xml:space="preserve">, in the Zambezi Basin’, </w:t>
            </w:r>
            <w:r w:rsidRPr="00222D02">
              <w:rPr>
                <w:rStyle w:val="cf01"/>
                <w:rFonts w:ascii="Times New Roman" w:hAnsi="Times New Roman" w:cs="Times New Roman"/>
                <w:i/>
                <w:iCs/>
                <w:sz w:val="20"/>
                <w:szCs w:val="20"/>
              </w:rPr>
              <w:t>Aquatic conservation: Marine and Freshwater Ecosystems</w:t>
            </w:r>
            <w:r w:rsidRPr="00222D02">
              <w:rPr>
                <w:rStyle w:val="cf01"/>
                <w:rFonts w:ascii="Times New Roman" w:hAnsi="Times New Roman" w:cs="Times New Roman"/>
                <w:sz w:val="20"/>
                <w:szCs w:val="20"/>
              </w:rPr>
              <w:t xml:space="preserve">, 31(11), 3156-3168. </w:t>
            </w:r>
            <w:r w:rsidR="00B9680D" w:rsidRPr="00B9680D">
              <w:rPr>
                <w:rFonts w:ascii="Times New Roman" w:hAnsi="Times New Roman" w:cs="Times New Roman"/>
                <w:sz w:val="20"/>
                <w:szCs w:val="20"/>
              </w:rPr>
              <w:t>https://doi.org/10.1002/aqc.3703</w:t>
            </w:r>
            <w:r w:rsidRPr="00222D02">
              <w:rPr>
                <w:rStyle w:val="cf01"/>
                <w:rFonts w:ascii="Times New Roman" w:hAnsi="Times New Roman" w:cs="Times New Roman"/>
                <w:sz w:val="20"/>
                <w:szCs w:val="20"/>
              </w:rPr>
              <w:t>.</w:t>
            </w:r>
          </w:p>
          <w:p w14:paraId="4C9B78D5" w14:textId="7DC147A2" w:rsidR="002D7080" w:rsidRPr="00222D02" w:rsidRDefault="002D7080" w:rsidP="00C52E1A">
            <w:pPr>
              <w:spacing w:after="0"/>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Nunes, A.L., Zengeya, T.A., Hoffman, A.C., Measey, G.J. &amp; Weyl, O.L., 2017a, ‘Distribution and establishment of the alien Australian redclaw crayfish,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xml:space="preserve">, in South Africa and Swaziland’, </w:t>
            </w:r>
            <w:r w:rsidRPr="00222D02">
              <w:rPr>
                <w:rFonts w:ascii="Times New Roman" w:eastAsia="Times New Roman" w:hAnsi="Times New Roman" w:cs="Times New Roman"/>
                <w:i/>
                <w:iCs/>
                <w:sz w:val="20"/>
                <w:szCs w:val="20"/>
                <w:lang w:eastAsia="en-ZA"/>
              </w:rPr>
              <w:t xml:space="preserve">PeerJ </w:t>
            </w:r>
            <w:r w:rsidRPr="00222D02">
              <w:rPr>
                <w:rFonts w:ascii="Times New Roman" w:eastAsia="Times New Roman" w:hAnsi="Times New Roman" w:cs="Times New Roman"/>
                <w:iCs/>
                <w:sz w:val="20"/>
                <w:szCs w:val="20"/>
                <w:lang w:eastAsia="en-ZA"/>
              </w:rPr>
              <w:t>5</w:t>
            </w:r>
            <w:r w:rsidRPr="00222D02">
              <w:rPr>
                <w:rFonts w:ascii="Times New Roman" w:eastAsia="Times New Roman" w:hAnsi="Times New Roman" w:cs="Times New Roman"/>
                <w:sz w:val="20"/>
                <w:szCs w:val="20"/>
                <w:lang w:eastAsia="en-ZA"/>
              </w:rPr>
              <w:t xml:space="preserve">, 1-21. </w:t>
            </w:r>
            <w:r w:rsidR="00B9680D" w:rsidRPr="00B9680D">
              <w:rPr>
                <w:rFonts w:ascii="Times New Roman" w:eastAsia="Times New Roman" w:hAnsi="Times New Roman" w:cs="Times New Roman"/>
                <w:sz w:val="20"/>
                <w:szCs w:val="20"/>
                <w:lang w:eastAsia="en-ZA"/>
              </w:rPr>
              <w:t>http://dx.doi.org/10.7717/peerj.3135</w:t>
            </w:r>
            <w:r w:rsidRPr="00222D02">
              <w:rPr>
                <w:rFonts w:ascii="Times New Roman" w:eastAsia="Times New Roman" w:hAnsi="Times New Roman" w:cs="Times New Roman"/>
                <w:sz w:val="20"/>
                <w:szCs w:val="20"/>
                <w:lang w:eastAsia="en-ZA"/>
              </w:rPr>
              <w:t>.</w:t>
            </w:r>
          </w:p>
          <w:p w14:paraId="037760D2" w14:textId="7AE60A1C" w:rsidR="002D7080" w:rsidRPr="00222D02" w:rsidRDefault="002D7080" w:rsidP="00C52E1A">
            <w:pPr>
              <w:spacing w:after="0"/>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Nunes, A.L., Zengeya, T.A., Measey, G.J. &amp; Weyl, O.L.F., 2017b, ‘Freshwater crayfish invasions in South Africa: Past, present and potential future’, </w:t>
            </w:r>
            <w:r w:rsidRPr="00222D02">
              <w:rPr>
                <w:rFonts w:ascii="Times New Roman" w:eastAsia="Times New Roman" w:hAnsi="Times New Roman" w:cs="Times New Roman"/>
                <w:i/>
                <w:sz w:val="20"/>
                <w:szCs w:val="20"/>
                <w:lang w:eastAsia="en-ZA"/>
              </w:rPr>
              <w:t>African Journal of Aquatic Science</w:t>
            </w:r>
            <w:r w:rsidRPr="00222D02">
              <w:rPr>
                <w:rFonts w:ascii="Times New Roman" w:eastAsia="Times New Roman" w:hAnsi="Times New Roman" w:cs="Times New Roman"/>
                <w:sz w:val="20"/>
                <w:szCs w:val="20"/>
                <w:lang w:eastAsia="en-ZA"/>
              </w:rPr>
              <w:t xml:space="preserve"> 42, 309-323. </w:t>
            </w:r>
            <w:hyperlink r:id="rId153" w:history="1">
              <w:r w:rsidR="00B9680D" w:rsidRPr="00B9680D">
                <w:rPr>
                  <w:rStyle w:val="Hyperlink"/>
                  <w:rFonts w:ascii="Times New Roman" w:eastAsia="Times New Roman" w:hAnsi="Times New Roman" w:cs="Times New Roman"/>
                  <w:sz w:val="20"/>
                  <w:szCs w:val="20"/>
                  <w:lang w:eastAsia="en-ZA"/>
                </w:rPr>
                <w:t>https://doi.org/10.2989/16085914.2017.1405788</w:t>
              </w:r>
            </w:hyperlink>
            <w:r w:rsidRPr="00222D02">
              <w:rPr>
                <w:rFonts w:ascii="Times New Roman" w:eastAsia="Times New Roman" w:hAnsi="Times New Roman" w:cs="Times New Roman"/>
                <w:sz w:val="20"/>
                <w:szCs w:val="20"/>
                <w:lang w:eastAsia="en-ZA"/>
              </w:rPr>
              <w:t>.</w:t>
            </w:r>
          </w:p>
        </w:tc>
      </w:tr>
      <w:tr w:rsidR="002D7080" w:rsidRPr="00222D02" w14:paraId="3BCCD76D"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05AF099" w14:textId="77777777" w:rsidR="002D7080" w:rsidRPr="00222D02" w:rsidRDefault="002D7080" w:rsidP="002E2C37">
            <w:pPr>
              <w:spacing w:after="0" w:line="240" w:lineRule="auto"/>
              <w:rPr>
                <w:rFonts w:ascii="Times New Roman" w:eastAsia="Times New Roman" w:hAnsi="Times New Roman" w:cs="Times New Roman"/>
                <w:sz w:val="20"/>
                <w:szCs w:val="20"/>
                <w:lang w:eastAsia="en-ZA"/>
              </w:rPr>
            </w:pPr>
            <w:r w:rsidRPr="00222D02">
              <w:rPr>
                <w:rFonts w:ascii="Times New Roman" w:eastAsia="Times New Roman" w:hAnsi="Times New Roman" w:cs="Times New Roman"/>
                <w:b/>
                <w:sz w:val="20"/>
                <w:szCs w:val="20"/>
                <w:lang w:eastAsia="en-ZA"/>
              </w:rPr>
              <w:lastRenderedPageBreak/>
              <w:t>BAC11 Availability of physical specimen</w:t>
            </w:r>
          </w:p>
        </w:tc>
      </w:tr>
      <w:tr w:rsidR="002D7080" w:rsidRPr="00222D02" w14:paraId="225C914D" w14:textId="77777777" w:rsidTr="002E2C37">
        <w:trPr>
          <w:cantSplit/>
          <w:trHeight w:val="70"/>
        </w:trPr>
        <w:tc>
          <w:tcPr>
            <w:tcW w:w="5557" w:type="dxa"/>
            <w:gridSpan w:val="3"/>
            <w:tcBorders>
              <w:top w:val="single" w:sz="4" w:space="0" w:color="auto"/>
              <w:left w:val="single" w:sz="4" w:space="0" w:color="auto"/>
              <w:bottom w:val="single" w:sz="4" w:space="0" w:color="auto"/>
              <w:right w:val="single" w:sz="4" w:space="0" w:color="auto"/>
            </w:tcBorders>
            <w:noWrap/>
          </w:tcPr>
          <w:p w14:paraId="3C715321" w14:textId="77777777" w:rsidR="002D7080" w:rsidRPr="00222D02" w:rsidRDefault="002D7080" w:rsidP="00C52E1A">
            <w:pPr>
              <w:spacing w:after="0"/>
              <w:jc w:val="both"/>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sz w:val="20"/>
                <w:szCs w:val="20"/>
                <w:lang w:eastAsia="en-ZA"/>
              </w:rPr>
              <w:t>Response:</w:t>
            </w:r>
            <w:r w:rsidRPr="00222D02">
              <w:rPr>
                <w:rFonts w:ascii="Times New Roman" w:eastAsia="Times New Roman" w:hAnsi="Times New Roman" w:cs="Times New Roman"/>
                <w:color w:val="000000"/>
                <w:sz w:val="20"/>
                <w:szCs w:val="20"/>
                <w:lang w:eastAsia="en-ZA"/>
              </w:rPr>
              <w:t xml:space="preserve"> </w:t>
            </w:r>
            <w:r w:rsidRPr="00222D02">
              <w:rPr>
                <w:rFonts w:ascii="Times New Roman" w:eastAsia="Times New Roman" w:hAnsi="Times New Roman" w:cs="Times New Roman"/>
                <w:sz w:val="20"/>
                <w:szCs w:val="20"/>
                <w:lang w:eastAsia="en-ZA"/>
              </w:rPr>
              <w:t>Albany Museum, Grahamstown</w:t>
            </w:r>
          </w:p>
        </w:tc>
        <w:tc>
          <w:tcPr>
            <w:tcW w:w="3233" w:type="dxa"/>
            <w:tcBorders>
              <w:top w:val="single" w:sz="4" w:space="0" w:color="auto"/>
              <w:left w:val="single" w:sz="4" w:space="0" w:color="auto"/>
              <w:bottom w:val="single" w:sz="4" w:space="0" w:color="auto"/>
              <w:right w:val="single" w:sz="4" w:space="0" w:color="auto"/>
            </w:tcBorders>
          </w:tcPr>
          <w:p w14:paraId="628EFBBE" w14:textId="77777777" w:rsidR="002D7080" w:rsidRPr="00222D02" w:rsidRDefault="002D7080" w:rsidP="00C52E1A">
            <w:pPr>
              <w:spacing w:after="0"/>
              <w:jc w:val="both"/>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sz w:val="20"/>
                <w:szCs w:val="20"/>
                <w:lang w:eastAsia="en-ZA"/>
              </w:rPr>
              <w:t>Confidence in ID: Medium</w:t>
            </w:r>
          </w:p>
        </w:tc>
      </w:tr>
      <w:tr w:rsidR="002D7080" w:rsidRPr="00222D02" w14:paraId="0DE2E1E0" w14:textId="77777777" w:rsidTr="002E2C37">
        <w:trPr>
          <w:cantSplit/>
          <w:trHeight w:val="148"/>
        </w:trPr>
        <w:tc>
          <w:tcPr>
            <w:tcW w:w="8790" w:type="dxa"/>
            <w:gridSpan w:val="4"/>
            <w:tcBorders>
              <w:top w:val="single" w:sz="4" w:space="0" w:color="auto"/>
              <w:left w:val="single" w:sz="4" w:space="0" w:color="auto"/>
              <w:bottom w:val="single" w:sz="4" w:space="0" w:color="auto"/>
              <w:right w:val="single" w:sz="4" w:space="0" w:color="auto"/>
            </w:tcBorders>
            <w:noWrap/>
          </w:tcPr>
          <w:p w14:paraId="543EF251"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Herbarium or museum accession number: GEN 1565A</w:t>
            </w:r>
          </w:p>
        </w:tc>
      </w:tr>
      <w:tr w:rsidR="002D7080" w:rsidRPr="00222D02" w14:paraId="3FDE5154"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3FFF6AF" w14:textId="77777777" w:rsidR="002D7080" w:rsidRPr="00222D02" w:rsidRDefault="002D7080" w:rsidP="00C52E1A">
            <w:pPr>
              <w:spacing w:after="0"/>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References: </w:t>
            </w:r>
          </w:p>
          <w:p w14:paraId="1DA78D24" w14:textId="77777777" w:rsidR="002D7080" w:rsidRPr="00222D02" w:rsidRDefault="002D7080" w:rsidP="00C52E1A">
            <w:pPr>
              <w:spacing w:after="0"/>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Albany Museum, Grahamstown [personal communication]</w:t>
            </w:r>
          </w:p>
        </w:tc>
      </w:tr>
      <w:tr w:rsidR="002D7080" w:rsidRPr="00222D02" w14:paraId="71B72DB1"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EE2E6A5" w14:textId="77777777" w:rsidR="002D7080" w:rsidRPr="00222D02" w:rsidRDefault="002D7080" w:rsidP="00C52E1A">
            <w:pPr>
              <w:spacing w:after="0"/>
              <w:jc w:val="both"/>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 xml:space="preserve">BAC12 Is the </w:t>
            </w:r>
            <w:r w:rsidRPr="00222D02">
              <w:rPr>
                <w:rFonts w:ascii="Times New Roman" w:eastAsia="Times New Roman" w:hAnsi="Times New Roman" w:cs="Times New Roman"/>
                <w:b/>
                <w:i/>
                <w:sz w:val="20"/>
                <w:szCs w:val="20"/>
                <w:lang w:eastAsia="en-ZA"/>
              </w:rPr>
              <w:t>Taxon</w:t>
            </w:r>
            <w:r w:rsidRPr="00222D02">
              <w:rPr>
                <w:rFonts w:ascii="Times New Roman" w:eastAsia="Times New Roman" w:hAnsi="Times New Roman" w:cs="Times New Roman"/>
                <w:b/>
                <w:sz w:val="20"/>
                <w:szCs w:val="20"/>
                <w:lang w:eastAsia="en-ZA"/>
              </w:rPr>
              <w:t xml:space="preserve"> native to the </w:t>
            </w:r>
            <w:r w:rsidRPr="00222D02">
              <w:rPr>
                <w:rFonts w:ascii="Times New Roman" w:eastAsia="Times New Roman" w:hAnsi="Times New Roman" w:cs="Times New Roman"/>
                <w:b/>
                <w:i/>
                <w:sz w:val="20"/>
                <w:szCs w:val="20"/>
                <w:lang w:eastAsia="en-ZA"/>
              </w:rPr>
              <w:t>Area</w:t>
            </w:r>
            <w:r w:rsidRPr="00222D02">
              <w:rPr>
                <w:rFonts w:ascii="Times New Roman" w:eastAsia="Times New Roman" w:hAnsi="Times New Roman" w:cs="Times New Roman"/>
                <w:b/>
                <w:sz w:val="20"/>
                <w:szCs w:val="20"/>
                <w:lang w:eastAsia="en-ZA"/>
              </w:rPr>
              <w:t xml:space="preserve"> or part of the </w:t>
            </w:r>
            <w:r w:rsidRPr="00222D02">
              <w:rPr>
                <w:rFonts w:ascii="Times New Roman" w:eastAsia="Times New Roman" w:hAnsi="Times New Roman" w:cs="Times New Roman"/>
                <w:b/>
                <w:i/>
                <w:sz w:val="20"/>
                <w:szCs w:val="20"/>
                <w:lang w:eastAsia="en-ZA"/>
              </w:rPr>
              <w:t>Area</w:t>
            </w:r>
            <w:r w:rsidRPr="00222D02">
              <w:rPr>
                <w:rFonts w:ascii="Times New Roman" w:eastAsia="Times New Roman" w:hAnsi="Times New Roman" w:cs="Times New Roman"/>
                <w:b/>
                <w:sz w:val="20"/>
                <w:szCs w:val="20"/>
                <w:lang w:eastAsia="en-ZA"/>
              </w:rPr>
              <w:t>?</w:t>
            </w:r>
          </w:p>
        </w:tc>
      </w:tr>
      <w:tr w:rsidR="002D7080" w:rsidRPr="00222D02" w14:paraId="0E9A888B" w14:textId="77777777" w:rsidTr="002E2C37">
        <w:trPr>
          <w:cantSplit/>
          <w:trHeight w:val="7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B60D2C5"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The </w:t>
            </w:r>
            <w:r w:rsidRPr="00222D02">
              <w:rPr>
                <w:rFonts w:ascii="Times New Roman" w:eastAsia="Times New Roman" w:hAnsi="Times New Roman" w:cs="Times New Roman"/>
                <w:i/>
                <w:sz w:val="20"/>
                <w:szCs w:val="20"/>
                <w:lang w:eastAsia="en-ZA"/>
              </w:rPr>
              <w:t>Taxon</w:t>
            </w:r>
            <w:r w:rsidRPr="00222D02">
              <w:rPr>
                <w:rFonts w:ascii="Times New Roman" w:eastAsia="Times New Roman" w:hAnsi="Times New Roman" w:cs="Times New Roman"/>
                <w:sz w:val="20"/>
                <w:szCs w:val="20"/>
                <w:lang w:eastAsia="en-ZA"/>
              </w:rPr>
              <w:t xml:space="preserve"> is native to (part of) the </w:t>
            </w:r>
            <w:r w:rsidRPr="00222D02">
              <w:rPr>
                <w:rFonts w:ascii="Times New Roman" w:eastAsia="Times New Roman" w:hAnsi="Times New Roman" w:cs="Times New Roman"/>
                <w:i/>
                <w:sz w:val="20"/>
                <w:szCs w:val="20"/>
                <w:lang w:eastAsia="en-ZA"/>
              </w:rPr>
              <w:t>Area</w:t>
            </w:r>
            <w:r w:rsidRPr="00222D02">
              <w:rPr>
                <w:rFonts w:ascii="Times New Roman" w:eastAsia="Times New Roman" w:hAnsi="Times New Roman" w:cs="Times New Roman"/>
                <w:sz w:val="20"/>
                <w:szCs w:val="20"/>
                <w:lang w:eastAsia="en-ZA"/>
              </w:rPr>
              <w:t>.</w:t>
            </w:r>
          </w:p>
        </w:tc>
        <w:tc>
          <w:tcPr>
            <w:tcW w:w="1701" w:type="dxa"/>
            <w:tcBorders>
              <w:top w:val="single" w:sz="4" w:space="0" w:color="auto"/>
              <w:left w:val="nil"/>
              <w:bottom w:val="single" w:sz="4" w:space="0" w:color="auto"/>
              <w:right w:val="single" w:sz="4" w:space="0" w:color="auto"/>
            </w:tcBorders>
          </w:tcPr>
          <w:p w14:paraId="6C827F98"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No</w:t>
            </w:r>
          </w:p>
        </w:tc>
        <w:tc>
          <w:tcPr>
            <w:tcW w:w="3233" w:type="dxa"/>
            <w:tcBorders>
              <w:top w:val="single" w:sz="4" w:space="0" w:color="auto"/>
              <w:left w:val="nil"/>
              <w:bottom w:val="single" w:sz="4" w:space="0" w:color="auto"/>
              <w:right w:val="single" w:sz="4" w:space="0" w:color="auto"/>
            </w:tcBorders>
          </w:tcPr>
          <w:p w14:paraId="6565D49D"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0A073D38" w14:textId="77777777" w:rsidTr="002E2C37">
        <w:trPr>
          <w:cantSplit/>
          <w:trHeight w:val="7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974F97D"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The </w:t>
            </w:r>
            <w:r w:rsidRPr="00222D02">
              <w:rPr>
                <w:rFonts w:ascii="Times New Roman" w:eastAsia="Times New Roman" w:hAnsi="Times New Roman" w:cs="Times New Roman"/>
                <w:i/>
                <w:sz w:val="20"/>
                <w:szCs w:val="20"/>
                <w:lang w:eastAsia="en-ZA"/>
              </w:rPr>
              <w:t>Taxon</w:t>
            </w:r>
            <w:r w:rsidRPr="00222D02">
              <w:rPr>
                <w:rFonts w:ascii="Times New Roman" w:eastAsia="Times New Roman" w:hAnsi="Times New Roman" w:cs="Times New Roman"/>
                <w:sz w:val="20"/>
                <w:szCs w:val="20"/>
                <w:lang w:eastAsia="en-ZA"/>
              </w:rPr>
              <w:t xml:space="preserve"> is alien in (part of) the </w:t>
            </w:r>
            <w:r w:rsidRPr="00222D02">
              <w:rPr>
                <w:rFonts w:ascii="Times New Roman" w:eastAsia="Times New Roman" w:hAnsi="Times New Roman" w:cs="Times New Roman"/>
                <w:i/>
                <w:sz w:val="20"/>
                <w:szCs w:val="20"/>
                <w:lang w:eastAsia="en-ZA"/>
              </w:rPr>
              <w:t>Area</w:t>
            </w:r>
            <w:r w:rsidRPr="00222D02">
              <w:rPr>
                <w:rFonts w:ascii="Times New Roman" w:eastAsia="Times New Roman" w:hAnsi="Times New Roman" w:cs="Times New Roman"/>
                <w:sz w:val="20"/>
                <w:szCs w:val="20"/>
                <w:lang w:eastAsia="en-ZA"/>
              </w:rPr>
              <w:t>.</w:t>
            </w:r>
          </w:p>
        </w:tc>
        <w:tc>
          <w:tcPr>
            <w:tcW w:w="1701" w:type="dxa"/>
            <w:tcBorders>
              <w:top w:val="single" w:sz="4" w:space="0" w:color="auto"/>
              <w:left w:val="nil"/>
              <w:bottom w:val="single" w:sz="4" w:space="0" w:color="auto"/>
              <w:right w:val="single" w:sz="4" w:space="0" w:color="auto"/>
            </w:tcBorders>
          </w:tcPr>
          <w:p w14:paraId="779404B4"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Yes</w:t>
            </w:r>
          </w:p>
        </w:tc>
        <w:tc>
          <w:tcPr>
            <w:tcW w:w="3233" w:type="dxa"/>
            <w:tcBorders>
              <w:top w:val="single" w:sz="4" w:space="0" w:color="auto"/>
              <w:left w:val="nil"/>
              <w:bottom w:val="single" w:sz="4" w:space="0" w:color="auto"/>
              <w:right w:val="single" w:sz="4" w:space="0" w:color="auto"/>
            </w:tcBorders>
          </w:tcPr>
          <w:p w14:paraId="0485547F"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4DD22BA4"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2C43FD8" w14:textId="68066739"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Comments: There are no native freshwater crayfish species in South Africa (</w:t>
            </w:r>
            <w:r w:rsidR="008A0BC6">
              <w:rPr>
                <w:rFonts w:ascii="Times New Roman" w:eastAsia="Times New Roman" w:hAnsi="Times New Roman" w:cs="Times New Roman"/>
                <w:sz w:val="20"/>
                <w:szCs w:val="20"/>
                <w:lang w:eastAsia="en-ZA"/>
              </w:rPr>
              <w:t>De Moor</w:t>
            </w:r>
            <w:r w:rsidRPr="00222D02">
              <w:rPr>
                <w:rFonts w:ascii="Times New Roman" w:eastAsia="Times New Roman" w:hAnsi="Times New Roman" w:cs="Times New Roman"/>
                <w:sz w:val="20"/>
                <w:szCs w:val="20"/>
                <w:lang w:eastAsia="en-ZA"/>
              </w:rPr>
              <w:t xml:space="preserve"> 2002; Nunes et al. 2017)</w:t>
            </w:r>
          </w:p>
        </w:tc>
      </w:tr>
      <w:tr w:rsidR="002D7080" w:rsidRPr="00222D02" w14:paraId="5030C9A2"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2E11B2E" w14:textId="77777777" w:rsidR="002D7080" w:rsidRPr="00222D02" w:rsidRDefault="002D7080" w:rsidP="00C52E1A">
            <w:pPr>
              <w:spacing w:after="0"/>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60DC7D10" w14:textId="661EC28A" w:rsidR="002D7080" w:rsidRPr="00222D02" w:rsidRDefault="008A0BC6" w:rsidP="00C52E1A">
            <w:pPr>
              <w:spacing w:after="0"/>
              <w:ind w:left="720" w:hanging="720"/>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De Moor</w:t>
            </w:r>
            <w:r w:rsidR="002D7080" w:rsidRPr="00222D02">
              <w:rPr>
                <w:rFonts w:ascii="Times New Roman" w:eastAsia="Times New Roman" w:hAnsi="Times New Roman" w:cs="Times New Roman"/>
                <w:sz w:val="20"/>
                <w:szCs w:val="20"/>
                <w:lang w:eastAsia="en-ZA"/>
              </w:rPr>
              <w:t xml:space="preserve">, I., 2002, ‘Potential impacts of alien freshwater crayfish in South Africa’, African </w:t>
            </w:r>
            <w:r w:rsidR="002D7080" w:rsidRPr="00222D02">
              <w:rPr>
                <w:rFonts w:ascii="Times New Roman" w:eastAsia="Times New Roman" w:hAnsi="Times New Roman" w:cs="Times New Roman"/>
                <w:i/>
                <w:sz w:val="20"/>
                <w:szCs w:val="20"/>
                <w:lang w:eastAsia="en-ZA"/>
              </w:rPr>
              <w:t xml:space="preserve">Journal of Aquatic Science </w:t>
            </w:r>
            <w:r w:rsidR="002D7080" w:rsidRPr="00222D02">
              <w:rPr>
                <w:rFonts w:ascii="Times New Roman" w:eastAsia="Times New Roman" w:hAnsi="Times New Roman" w:cs="Times New Roman"/>
                <w:sz w:val="20"/>
                <w:szCs w:val="20"/>
                <w:lang w:eastAsia="en-ZA"/>
              </w:rPr>
              <w:t xml:space="preserve">27, 125–139. </w:t>
            </w:r>
            <w:hyperlink r:id="rId154" w:history="1">
              <w:r w:rsidR="00B9680D" w:rsidRPr="00D66918">
                <w:rPr>
                  <w:rStyle w:val="Hyperlink"/>
                  <w:rFonts w:ascii="Times New Roman" w:eastAsia="Times New Roman" w:hAnsi="Times New Roman" w:cs="Times New Roman"/>
                  <w:sz w:val="20"/>
                  <w:szCs w:val="20"/>
                  <w:lang w:eastAsia="en-ZA"/>
                </w:rPr>
                <w:t>https://doi.org/10.2989/16085914.2002.9626584</w:t>
              </w:r>
            </w:hyperlink>
            <w:r w:rsidR="002D7080" w:rsidRPr="00222D02">
              <w:rPr>
                <w:rFonts w:ascii="Times New Roman" w:eastAsia="Times New Roman" w:hAnsi="Times New Roman" w:cs="Times New Roman"/>
                <w:sz w:val="20"/>
                <w:szCs w:val="20"/>
                <w:lang w:eastAsia="en-ZA"/>
              </w:rPr>
              <w:t>.</w:t>
            </w:r>
          </w:p>
          <w:p w14:paraId="05B6C85A" w14:textId="451A1767" w:rsidR="002D7080" w:rsidRPr="00222D02" w:rsidRDefault="002D7080" w:rsidP="00C52E1A">
            <w:pPr>
              <w:spacing w:after="0"/>
              <w:ind w:left="720" w:hanging="720"/>
              <w:jc w:val="both"/>
              <w:rPr>
                <w:rFonts w:ascii="Times New Roman" w:eastAsia="Times New Roman" w:hAnsi="Times New Roman" w:cs="Times New Roman"/>
                <w:strike/>
                <w:sz w:val="20"/>
                <w:szCs w:val="20"/>
                <w:lang w:eastAsia="en-ZA"/>
              </w:rPr>
            </w:pPr>
            <w:r w:rsidRPr="00222D02">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xml:space="preserve">, in South Africa and Swaziland’, </w:t>
            </w:r>
            <w:r w:rsidRPr="00222D02">
              <w:rPr>
                <w:rFonts w:ascii="Times New Roman" w:eastAsia="Times New Roman" w:hAnsi="Times New Roman" w:cs="Times New Roman"/>
                <w:i/>
                <w:iCs/>
                <w:sz w:val="20"/>
                <w:szCs w:val="20"/>
                <w:lang w:eastAsia="en-ZA"/>
              </w:rPr>
              <w:t xml:space="preserve">PeerJ </w:t>
            </w:r>
            <w:r w:rsidRPr="00222D02">
              <w:rPr>
                <w:rFonts w:ascii="Times New Roman" w:eastAsia="Times New Roman" w:hAnsi="Times New Roman" w:cs="Times New Roman"/>
                <w:iCs/>
                <w:sz w:val="20"/>
                <w:szCs w:val="20"/>
                <w:lang w:eastAsia="en-ZA"/>
              </w:rPr>
              <w:t>5</w:t>
            </w:r>
            <w:r w:rsidRPr="00222D02">
              <w:rPr>
                <w:rFonts w:ascii="Times New Roman" w:eastAsia="Times New Roman" w:hAnsi="Times New Roman" w:cs="Times New Roman"/>
                <w:sz w:val="20"/>
                <w:szCs w:val="20"/>
                <w:lang w:eastAsia="en-ZA"/>
              </w:rPr>
              <w:t xml:space="preserve">, 1-21. </w:t>
            </w:r>
            <w:r w:rsidR="00B9680D" w:rsidRPr="00B9680D">
              <w:rPr>
                <w:rFonts w:ascii="Times New Roman" w:eastAsia="Times New Roman" w:hAnsi="Times New Roman" w:cs="Times New Roman"/>
                <w:sz w:val="20"/>
                <w:szCs w:val="20"/>
                <w:lang w:eastAsia="en-ZA"/>
              </w:rPr>
              <w:t>http://dx.doi.org/10.7717/peerj.3135.</w:t>
            </w:r>
          </w:p>
        </w:tc>
      </w:tr>
      <w:tr w:rsidR="002D7080" w:rsidRPr="00222D02" w14:paraId="6F3E84A1"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AB43ABE"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b/>
                <w:sz w:val="20"/>
                <w:szCs w:val="20"/>
                <w:lang w:eastAsia="en-ZA"/>
              </w:rPr>
              <w:t xml:space="preserve">BAC13 What is the </w:t>
            </w:r>
            <w:r w:rsidRPr="00222D02">
              <w:rPr>
                <w:rFonts w:ascii="Times New Roman" w:eastAsia="Times New Roman" w:hAnsi="Times New Roman" w:cs="Times New Roman"/>
                <w:b/>
                <w:i/>
                <w:sz w:val="20"/>
                <w:szCs w:val="20"/>
                <w:lang w:eastAsia="en-ZA"/>
              </w:rPr>
              <w:t>Taxon</w:t>
            </w:r>
            <w:r w:rsidRPr="00222D02">
              <w:rPr>
                <w:rFonts w:ascii="Times New Roman" w:eastAsia="Times New Roman" w:hAnsi="Times New Roman" w:cs="Times New Roman"/>
                <w:b/>
                <w:sz w:val="20"/>
                <w:szCs w:val="20"/>
                <w:lang w:eastAsia="en-ZA"/>
              </w:rPr>
              <w:t xml:space="preserve">’s introduction status in the </w:t>
            </w:r>
            <w:r w:rsidRPr="00222D02">
              <w:rPr>
                <w:rFonts w:ascii="Times New Roman" w:eastAsia="Times New Roman" w:hAnsi="Times New Roman" w:cs="Times New Roman"/>
                <w:b/>
                <w:i/>
                <w:sz w:val="20"/>
                <w:szCs w:val="20"/>
                <w:lang w:eastAsia="en-ZA"/>
              </w:rPr>
              <w:t>Area</w:t>
            </w:r>
            <w:r w:rsidRPr="00222D02">
              <w:rPr>
                <w:rFonts w:ascii="Times New Roman" w:eastAsia="Times New Roman" w:hAnsi="Times New Roman" w:cs="Times New Roman"/>
                <w:b/>
                <w:sz w:val="20"/>
                <w:szCs w:val="20"/>
                <w:lang w:eastAsia="en-ZA"/>
              </w:rPr>
              <w:t>?</w:t>
            </w:r>
          </w:p>
        </w:tc>
      </w:tr>
      <w:tr w:rsidR="002D7080" w:rsidRPr="00222D02" w14:paraId="3AF100D2" w14:textId="77777777" w:rsidTr="002E2C37">
        <w:trPr>
          <w:cantSplit/>
          <w:trHeight w:val="9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C730D33"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The </w:t>
            </w:r>
            <w:r w:rsidRPr="00222D02">
              <w:rPr>
                <w:rFonts w:ascii="Times New Roman" w:eastAsia="Times New Roman" w:hAnsi="Times New Roman" w:cs="Times New Roman"/>
                <w:i/>
                <w:sz w:val="20"/>
                <w:szCs w:val="20"/>
                <w:lang w:eastAsia="en-ZA"/>
              </w:rPr>
              <w:t>Taxon</w:t>
            </w:r>
            <w:r w:rsidRPr="00222D02">
              <w:rPr>
                <w:rFonts w:ascii="Times New Roman" w:eastAsia="Times New Roman" w:hAnsi="Times New Roman" w:cs="Times New Roman"/>
                <w:sz w:val="20"/>
                <w:szCs w:val="20"/>
                <w:lang w:eastAsia="en-ZA"/>
              </w:rPr>
              <w:t xml:space="preserve"> is in cultivation/containment.</w:t>
            </w:r>
          </w:p>
        </w:tc>
        <w:tc>
          <w:tcPr>
            <w:tcW w:w="1701" w:type="dxa"/>
            <w:tcBorders>
              <w:top w:val="single" w:sz="4" w:space="0" w:color="auto"/>
              <w:left w:val="single" w:sz="4" w:space="0" w:color="auto"/>
              <w:bottom w:val="single" w:sz="4" w:space="0" w:color="auto"/>
              <w:right w:val="single" w:sz="4" w:space="0" w:color="auto"/>
            </w:tcBorders>
          </w:tcPr>
          <w:p w14:paraId="74CE28FA"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Yes </w:t>
            </w:r>
          </w:p>
        </w:tc>
        <w:tc>
          <w:tcPr>
            <w:tcW w:w="3233" w:type="dxa"/>
            <w:tcBorders>
              <w:top w:val="single" w:sz="4" w:space="0" w:color="auto"/>
              <w:left w:val="single" w:sz="4" w:space="0" w:color="auto"/>
              <w:bottom w:val="single" w:sz="4" w:space="0" w:color="auto"/>
              <w:right w:val="single" w:sz="4" w:space="0" w:color="auto"/>
            </w:tcBorders>
          </w:tcPr>
          <w:p w14:paraId="2406FBA7"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0A7A6183" w14:textId="77777777" w:rsidTr="002E2C37">
        <w:trPr>
          <w:cantSplit/>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AB9593F"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The </w:t>
            </w:r>
            <w:r w:rsidRPr="00222D02">
              <w:rPr>
                <w:rFonts w:ascii="Times New Roman" w:eastAsia="Times New Roman" w:hAnsi="Times New Roman" w:cs="Times New Roman"/>
                <w:i/>
                <w:sz w:val="20"/>
                <w:szCs w:val="20"/>
                <w:lang w:eastAsia="en-ZA"/>
              </w:rPr>
              <w:t>Taxon</w:t>
            </w:r>
            <w:r w:rsidRPr="00222D02">
              <w:rPr>
                <w:rFonts w:ascii="Times New Roman" w:eastAsia="Times New Roman" w:hAnsi="Times New Roman" w:cs="Times New Roman"/>
                <w:sz w:val="20"/>
                <w:szCs w:val="20"/>
                <w:lang w:eastAsia="en-ZA"/>
              </w:rPr>
              <w:t xml:space="preserve"> is present outside of cultivation/containment.</w:t>
            </w:r>
          </w:p>
        </w:tc>
        <w:tc>
          <w:tcPr>
            <w:tcW w:w="1701" w:type="dxa"/>
            <w:tcBorders>
              <w:top w:val="single" w:sz="4" w:space="0" w:color="auto"/>
              <w:left w:val="single" w:sz="4" w:space="0" w:color="auto"/>
              <w:bottom w:val="single" w:sz="4" w:space="0" w:color="auto"/>
              <w:right w:val="single" w:sz="4" w:space="0" w:color="auto"/>
            </w:tcBorders>
          </w:tcPr>
          <w:p w14:paraId="43A1A160"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Yes</w:t>
            </w:r>
          </w:p>
        </w:tc>
        <w:tc>
          <w:tcPr>
            <w:tcW w:w="3233" w:type="dxa"/>
            <w:tcBorders>
              <w:top w:val="single" w:sz="4" w:space="0" w:color="auto"/>
              <w:left w:val="single" w:sz="4" w:space="0" w:color="auto"/>
              <w:bottom w:val="single" w:sz="4" w:space="0" w:color="auto"/>
              <w:right w:val="single" w:sz="4" w:space="0" w:color="auto"/>
            </w:tcBorders>
          </w:tcPr>
          <w:p w14:paraId="2AB8B166"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5FCD44CE" w14:textId="77777777" w:rsidTr="002E2C37">
        <w:trPr>
          <w:cantSplit/>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3FB8EB2"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The </w:t>
            </w:r>
            <w:r w:rsidRPr="00222D02">
              <w:rPr>
                <w:rFonts w:ascii="Times New Roman" w:eastAsia="Times New Roman" w:hAnsi="Times New Roman" w:cs="Times New Roman"/>
                <w:i/>
                <w:sz w:val="20"/>
                <w:szCs w:val="20"/>
                <w:lang w:eastAsia="en-ZA"/>
              </w:rPr>
              <w:t>Taxon</w:t>
            </w:r>
            <w:r w:rsidRPr="00222D02">
              <w:rPr>
                <w:rFonts w:ascii="Times New Roman" w:eastAsia="Times New Roman" w:hAnsi="Times New Roman" w:cs="Times New Roman"/>
                <w:sz w:val="20"/>
                <w:szCs w:val="20"/>
                <w:lang w:eastAsia="en-ZA"/>
              </w:rPr>
              <w:t xml:space="preserve"> has established/naturalised.</w:t>
            </w:r>
          </w:p>
        </w:tc>
        <w:tc>
          <w:tcPr>
            <w:tcW w:w="1701" w:type="dxa"/>
            <w:tcBorders>
              <w:top w:val="single" w:sz="4" w:space="0" w:color="auto"/>
              <w:left w:val="single" w:sz="4" w:space="0" w:color="auto"/>
              <w:bottom w:val="single" w:sz="4" w:space="0" w:color="auto"/>
              <w:right w:val="single" w:sz="4" w:space="0" w:color="auto"/>
            </w:tcBorders>
          </w:tcPr>
          <w:p w14:paraId="349E0DAB"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Yes</w:t>
            </w:r>
          </w:p>
        </w:tc>
        <w:tc>
          <w:tcPr>
            <w:tcW w:w="3233" w:type="dxa"/>
            <w:tcBorders>
              <w:top w:val="single" w:sz="4" w:space="0" w:color="auto"/>
              <w:left w:val="single" w:sz="4" w:space="0" w:color="auto"/>
              <w:bottom w:val="single" w:sz="4" w:space="0" w:color="auto"/>
              <w:right w:val="single" w:sz="4" w:space="0" w:color="auto"/>
            </w:tcBorders>
          </w:tcPr>
          <w:p w14:paraId="2E7F2C25"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2F650243" w14:textId="77777777" w:rsidTr="002E2C37">
        <w:trPr>
          <w:cantSplit/>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0D589F8"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The </w:t>
            </w:r>
            <w:r w:rsidRPr="00222D02">
              <w:rPr>
                <w:rFonts w:ascii="Times New Roman" w:eastAsia="Times New Roman" w:hAnsi="Times New Roman" w:cs="Times New Roman"/>
                <w:i/>
                <w:sz w:val="20"/>
                <w:szCs w:val="20"/>
                <w:lang w:eastAsia="en-ZA"/>
              </w:rPr>
              <w:t>Taxon</w:t>
            </w:r>
            <w:r w:rsidRPr="00222D02">
              <w:rPr>
                <w:rFonts w:ascii="Times New Roman" w:eastAsia="Times New Roman" w:hAnsi="Times New Roman" w:cs="Times New Roman"/>
                <w:sz w:val="20"/>
                <w:szCs w:val="20"/>
                <w:lang w:eastAsia="en-ZA"/>
              </w:rPr>
              <w:t xml:space="preserve"> is invasive.</w:t>
            </w:r>
          </w:p>
        </w:tc>
        <w:tc>
          <w:tcPr>
            <w:tcW w:w="1701" w:type="dxa"/>
            <w:tcBorders>
              <w:top w:val="single" w:sz="4" w:space="0" w:color="auto"/>
              <w:left w:val="single" w:sz="4" w:space="0" w:color="auto"/>
              <w:bottom w:val="single" w:sz="4" w:space="0" w:color="auto"/>
              <w:right w:val="single" w:sz="4" w:space="0" w:color="auto"/>
            </w:tcBorders>
          </w:tcPr>
          <w:p w14:paraId="7B1AE7F3"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Yes</w:t>
            </w:r>
          </w:p>
        </w:tc>
        <w:tc>
          <w:tcPr>
            <w:tcW w:w="3233" w:type="dxa"/>
            <w:tcBorders>
              <w:top w:val="single" w:sz="4" w:space="0" w:color="auto"/>
              <w:left w:val="single" w:sz="4" w:space="0" w:color="auto"/>
              <w:bottom w:val="single" w:sz="4" w:space="0" w:color="auto"/>
              <w:right w:val="single" w:sz="4" w:space="0" w:color="auto"/>
            </w:tcBorders>
          </w:tcPr>
          <w:p w14:paraId="524154F4" w14:textId="77777777" w:rsidR="002D7080" w:rsidRPr="00222D02" w:rsidRDefault="002D7080" w:rsidP="00C52E1A">
            <w:pPr>
              <w:spacing w:after="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87162A" w14:paraId="1D86CD96"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1149436" w14:textId="77777777" w:rsidR="002D7080" w:rsidRPr="000E6BA8" w:rsidRDefault="002D7080" w:rsidP="00C52E1A">
            <w:pPr>
              <w:spacing w:after="0"/>
              <w:jc w:val="both"/>
              <w:rPr>
                <w:rFonts w:ascii="Times New Roman" w:eastAsia="Times New Roman" w:hAnsi="Times New Roman" w:cs="Times New Roman"/>
                <w:sz w:val="20"/>
                <w:szCs w:val="20"/>
                <w:lang w:val="fr-FR" w:eastAsia="en-ZA"/>
              </w:rPr>
            </w:pPr>
            <w:r w:rsidRPr="00222D02">
              <w:rPr>
                <w:rFonts w:ascii="Times New Roman" w:eastAsia="Times New Roman" w:hAnsi="Times New Roman" w:cs="Times New Roman"/>
                <w:sz w:val="20"/>
                <w:szCs w:val="20"/>
                <w:lang w:eastAsia="en-ZA"/>
              </w:rPr>
              <w:t xml:space="preserve">Comments: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w</w:t>
            </w:r>
            <w:r w:rsidRPr="00222D02">
              <w:rPr>
                <w:rStyle w:val="cf01"/>
                <w:rFonts w:ascii="Times New Roman" w:hAnsi="Times New Roman" w:cs="Times New Roman"/>
                <w:sz w:val="20"/>
                <w:szCs w:val="20"/>
              </w:rPr>
              <w:t xml:space="preserve">as introduced in 1988 for research (Nunes et al. 2017) and there are still several valid permits for possession and research (plus one for breeding) (SANBI 2023).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is invasive and widespread in the Inkomati River Catchment and adjacent rivers in South Africa and neighbouring countries such as Mozambique, Eswatini, Zambia, and Zimbabwe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"10.2989/16085914.2018.1517080", "author" : [ { "dropping-particle" : "", "family" : "Douthwaite", "given" : "R J", "non-dropping-particle" : "", "parse-names" : false, "suffix" : "" }, { "dropping-particle" : "", "family" : "Jones", "given" : "E W", "non-dropping-particle" : "", "parse-names" : false, "suffix" : "" }, { "dropping-particle" : "", "family" : "Tyser", "given" : "A B", "non-dropping-particle" : "", "parse-names" : false, "suffix" : "" }, { "dropping-particle" : "", "family" : "Vrdoljak", "given" : "S M", "non-dropping-particle" : "", "parse-names" : false, "suffix" : "" } ], "id" : "ITEM-1", "issued" : { "date-parts" : [ [ "2018" ] ] }, "title" : "The introduction , spread and ecology of redclaw crayfish Cherax quadricarinatus in the Zambezi catchment", "type" : "article-journal", "volume" : "5914" }, "uris" : [ "http://www.mendeley.com/documents/?uuid=d1144703-789e-43c5-b72c-9dc75db8a86e" ] }, { "id" : "ITEM-2", "itemData" : { "DOI" : "10.3391/bir.2018.7.2.03", "ISSN" : "22421300", "abstract" : "The diet of an invasive crayfish, Cherax quadricarinatus (Von Martens 1868), in Lake Kariba, was investigated using stomach content analysis (SCA) and stable isotope analysis (SIA). The frequency of occurrence of macrophytes and detritus ranged between 63.6\u201397.1% and 20\u201345.5%, respectively, and the index of relative importance ranked these as the two most important food items across all size classes. Significant differences in the ranking of fish, macroinvertebrates and crayfish were found between size classes 29\u201337.9, 38\u201346.9 and 47\u201355.9 mm. Stomach content analysis showed 16% of crayfish stomachs were empty. Feeding intensity differed significantly between size classes and ranged from 3.46 to 5.21. Stable isotope analysis was done by comparing \u03b413C, \u03b415N and C/N ratios in crayfish muscle and potential dietary items in the lake. Macrophytes were the most dominant food item (57%), followed by macroinvertebrates (20%), then detritus, and finally fish and crayfish. Stable isotope analysis revealed that all crayfish size classes analysed were in the same trophic level. Nevertheless, while SCA showed high dietary overlap among all crayfish size classes (&gt;65%), SIA showed that small crayfish (&lt; 28.9mm) had limited overlap with large crayfish (&gt; 56mm), with the former showing a higher proportion of macroinvertebrates in their diet. In Lake Kariba, C. quadricarinatus predominantly feeds on macrophytes, macroinvertebrates and detritus, which may bring about nutrient cycle alterations in the lake. Littoral habitat changes caused by the feeding characteristics of C. quadricarinatus might also lead to competition with, and eventual displacement of, some native littoral fishes in this lake.", "author" : [ { "dropping-particle" : "", "family" : "Marufu", "given" : "Lightone", "non-dropping-particle" : "", "parse-names" : false, "</w:instrText>
            </w:r>
            <w:r w:rsidRPr="000E6BA8">
              <w:rPr>
                <w:rFonts w:ascii="Times New Roman" w:eastAsia="Times New Roman" w:hAnsi="Times New Roman" w:cs="Times New Roman"/>
                <w:sz w:val="20"/>
                <w:szCs w:val="20"/>
                <w:lang w:val="fr-FR" w:eastAsia="en-ZA"/>
              </w:rPr>
              <w:instrText>suffix" : "" }, { "dropping-particle" : "", "family" : "Dalu", "given" : "Tatenda", "non-dropping-particle" : "", "parse-names" : false, "suffix" : "" }, { "dropping-particle" : "", "family" : "Barson", "given" : "Maxwell", "non-dropping-particle" : "", "parse-names" : false, "suffix" : "" }, { "dropping-particle" : "", "family" : "Simango", "given" : "Rutendo", "non-dropping-particle" : "", "parse-names" : false, "suffix" : "" }, { "dropping-particle" : "", "family" : "Utete", "given" : "Beaven", "non-dropping-particle" : "", "parse-names" : false, "suffix" : "" }, { "dropping-particle" : "", "family" : "Nhiwatiwa", "given" : "Tamuka", "non-dropping-particle" : "", "parse-names" : false, "suffix" : "" } ], "container-title" : "BioInvasions Records", "id" : "ITEM-2", "issue" : "January", "issued" : { "date-parts" : [ [ "2018" ] ] }, "title" : "The diet of an invasive crayfish , Cherax quadricarinatus ( Von Martens , 1868 ), in Lake Kariba , inferred using sto ....", "type" : "article-journal", "volume" : "7" }, "uris" : [ "http://www.mendeley.com/documents/?uuid=49b4cd62-bcb8-41f5-a835-0cad767c5c5e" ] } ], "mendeley" : { "formattedCitation" : "(Douthwaite et al. 2018, Marufu et al. 2018)", "plainTextFormattedCitation" : "(Douthwaite et al. 2018, Marufu et al. 2018)", "previouslyFormattedCitation" : "(Douthwaite et al. 2018, Marufu et al. 2018)"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0E6BA8">
              <w:rPr>
                <w:rFonts w:ascii="Times New Roman" w:eastAsia="Times New Roman" w:hAnsi="Times New Roman" w:cs="Times New Roman"/>
                <w:sz w:val="20"/>
                <w:szCs w:val="20"/>
                <w:lang w:val="fr-FR" w:eastAsia="en-ZA"/>
              </w:rPr>
              <w:t>(Nunes et al. 2017</w:t>
            </w:r>
            <w:r>
              <w:rPr>
                <w:rFonts w:ascii="Times New Roman" w:eastAsia="Times New Roman" w:hAnsi="Times New Roman" w:cs="Times New Roman"/>
                <w:sz w:val="20"/>
                <w:szCs w:val="20"/>
                <w:lang w:val="fr-FR" w:eastAsia="en-ZA"/>
              </w:rPr>
              <w:t>; Douthwaite et al. 2018; Marufu et al. 2018; Madzivanzira et al. 2021</w:t>
            </w:r>
            <w:r w:rsidRPr="000E6BA8">
              <w:rPr>
                <w:rFonts w:ascii="Times New Roman" w:eastAsia="Times New Roman" w:hAnsi="Times New Roman" w:cs="Times New Roman"/>
                <w:sz w:val="20"/>
                <w:szCs w:val="20"/>
                <w:lang w:val="fr-FR" w:eastAsia="en-ZA"/>
              </w:rPr>
              <w:t>)</w:t>
            </w:r>
            <w:r w:rsidRPr="00222D02">
              <w:rPr>
                <w:rFonts w:ascii="Times New Roman" w:eastAsia="Times New Roman" w:hAnsi="Times New Roman" w:cs="Times New Roman"/>
                <w:sz w:val="20"/>
                <w:szCs w:val="20"/>
                <w:lang w:eastAsia="en-ZA"/>
              </w:rPr>
              <w:fldChar w:fldCharType="end"/>
            </w:r>
            <w:r w:rsidRPr="000E6BA8">
              <w:rPr>
                <w:rFonts w:ascii="Times New Roman" w:eastAsia="Times New Roman" w:hAnsi="Times New Roman" w:cs="Times New Roman"/>
                <w:sz w:val="20"/>
                <w:szCs w:val="20"/>
                <w:lang w:val="fr-FR" w:eastAsia="en-ZA"/>
              </w:rPr>
              <w:t>.</w:t>
            </w:r>
          </w:p>
        </w:tc>
      </w:tr>
      <w:tr w:rsidR="002D7080" w:rsidRPr="00222D02" w14:paraId="3933AC3E"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789B188" w14:textId="77777777" w:rsidR="002D7080" w:rsidRPr="00222D02" w:rsidRDefault="002D7080" w:rsidP="00C52E1A">
            <w:pPr>
              <w:spacing w:after="0"/>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586C9788" w14:textId="15009A25"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Douthwaite, R.J., Jones, E.W., Tyser, A.B. &amp; Vrdoljak, S.M., 2018, ‘The introduction, spread and ecology of redclaw crayfish </w:t>
            </w:r>
            <w:r w:rsidRPr="00222D02">
              <w:rPr>
                <w:rFonts w:ascii="Times New Roman" w:eastAsia="Times New Roman" w:hAnsi="Times New Roman" w:cs="Times New Roman"/>
                <w:i/>
                <w:iCs/>
                <w:sz w:val="20"/>
                <w:szCs w:val="20"/>
                <w:lang w:eastAsia="en-ZA"/>
              </w:rPr>
              <w:t xml:space="preserve">Cherax quadricarinatus </w:t>
            </w:r>
            <w:r w:rsidRPr="00222D02">
              <w:rPr>
                <w:rFonts w:ascii="Times New Roman" w:eastAsia="Times New Roman" w:hAnsi="Times New Roman" w:cs="Times New Roman"/>
                <w:sz w:val="20"/>
                <w:szCs w:val="20"/>
                <w:lang w:eastAsia="en-ZA"/>
              </w:rPr>
              <w:t xml:space="preserve">in the Zambezi catchment’, </w:t>
            </w:r>
            <w:r w:rsidRPr="00222D02">
              <w:rPr>
                <w:rFonts w:ascii="Times New Roman" w:eastAsia="Times New Roman" w:hAnsi="Times New Roman" w:cs="Times New Roman"/>
                <w:i/>
                <w:sz w:val="20"/>
                <w:szCs w:val="20"/>
                <w:lang w:eastAsia="en-ZA"/>
              </w:rPr>
              <w:t>African Journal of Aquatic Science</w:t>
            </w:r>
            <w:r w:rsidRPr="00222D02">
              <w:rPr>
                <w:rFonts w:ascii="Times New Roman" w:eastAsia="Times New Roman" w:hAnsi="Times New Roman" w:cs="Times New Roman"/>
                <w:sz w:val="20"/>
                <w:szCs w:val="20"/>
                <w:lang w:eastAsia="en-ZA"/>
              </w:rPr>
              <w:t xml:space="preserve"> 43, 353–366</w:t>
            </w:r>
            <w:r w:rsidR="00716A79">
              <w:t xml:space="preserve"> </w:t>
            </w:r>
            <w:r w:rsidR="00716A79" w:rsidRPr="00716A79">
              <w:rPr>
                <w:rFonts w:ascii="Times New Roman" w:eastAsia="Times New Roman" w:hAnsi="Times New Roman" w:cs="Times New Roman"/>
                <w:sz w:val="20"/>
                <w:szCs w:val="20"/>
                <w:lang w:eastAsia="en-ZA"/>
              </w:rPr>
              <w:t>https://doi.org/10.2989/16085914.2018.1517080</w:t>
            </w:r>
          </w:p>
          <w:p w14:paraId="58FE102D" w14:textId="53263B1B" w:rsidR="002D7080" w:rsidRPr="00222D02" w:rsidRDefault="002D7080" w:rsidP="00C52E1A">
            <w:pPr>
              <w:spacing w:after="0"/>
              <w:ind w:left="720" w:hanging="720"/>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Madzivanzira, T.C., South, J,, Ellender. B.R., Chalmers, R., Chisule, G., Coppinger, C.R., et al., 2021, ‘Distribution and establishment of the alien Australian redclaw crayfish, </w:t>
            </w:r>
            <w:r w:rsidRPr="00222D02">
              <w:rPr>
                <w:rStyle w:val="cf01"/>
                <w:rFonts w:ascii="Times New Roman" w:hAnsi="Times New Roman" w:cs="Times New Roman"/>
                <w:i/>
                <w:iCs/>
                <w:sz w:val="20"/>
                <w:szCs w:val="20"/>
              </w:rPr>
              <w:t>Cherax quadricarinatus</w:t>
            </w:r>
            <w:r w:rsidRPr="00222D02">
              <w:rPr>
                <w:rStyle w:val="cf01"/>
                <w:rFonts w:ascii="Times New Roman" w:hAnsi="Times New Roman" w:cs="Times New Roman"/>
                <w:sz w:val="20"/>
                <w:szCs w:val="20"/>
              </w:rPr>
              <w:t xml:space="preserve">, in the Zambezi Basin’, </w:t>
            </w:r>
            <w:r w:rsidRPr="00222D02">
              <w:rPr>
                <w:rStyle w:val="cf01"/>
                <w:rFonts w:ascii="Times New Roman" w:hAnsi="Times New Roman" w:cs="Times New Roman"/>
                <w:i/>
                <w:iCs/>
                <w:sz w:val="20"/>
                <w:szCs w:val="20"/>
              </w:rPr>
              <w:t>Aquatic conservation: Marine and Freshwater Ecosystems</w:t>
            </w:r>
            <w:r w:rsidRPr="00222D02">
              <w:rPr>
                <w:rStyle w:val="cf01"/>
                <w:rFonts w:ascii="Times New Roman" w:hAnsi="Times New Roman" w:cs="Times New Roman"/>
                <w:sz w:val="20"/>
                <w:szCs w:val="20"/>
              </w:rPr>
              <w:t xml:space="preserve">, 31(11), 3156-3168. </w:t>
            </w:r>
            <w:r w:rsidR="00716A79" w:rsidRPr="00716A79">
              <w:rPr>
                <w:rFonts w:ascii="Times New Roman" w:hAnsi="Times New Roman" w:cs="Times New Roman"/>
                <w:sz w:val="20"/>
                <w:szCs w:val="20"/>
              </w:rPr>
              <w:t>https://doi.org/10.1002/aqc.3703.</w:t>
            </w:r>
          </w:p>
          <w:p w14:paraId="25BF6B09" w14:textId="7CB66774" w:rsidR="002D7080" w:rsidRPr="00222D02" w:rsidRDefault="002D7080" w:rsidP="00C52E1A">
            <w:pPr>
              <w:ind w:left="720" w:hanging="720"/>
              <w:contextualSpacing/>
              <w:jc w:val="both"/>
              <w:rPr>
                <w:rFonts w:ascii="Times New Roman" w:eastAsia="Times New Roman" w:hAnsi="Times New Roman" w:cs="Times New Roman"/>
                <w:bCs/>
                <w:i/>
                <w:iCs/>
                <w:sz w:val="20"/>
                <w:szCs w:val="20"/>
                <w:lang w:eastAsia="en-ZA"/>
              </w:rPr>
            </w:pPr>
            <w:r w:rsidRPr="00222D02">
              <w:rPr>
                <w:rFonts w:ascii="Times New Roman" w:eastAsia="Times New Roman" w:hAnsi="Times New Roman" w:cs="Times New Roman"/>
                <w:sz w:val="20"/>
                <w:szCs w:val="20"/>
                <w:lang w:eastAsia="en-ZA"/>
              </w:rPr>
              <w:t>Marufu, L., Barson, M., Chifamba, P., Tiki, M. &amp; Nhiwatiwa, T., 2018, ’</w:t>
            </w:r>
            <w:r w:rsidRPr="00222D02">
              <w:rPr>
                <w:rFonts w:ascii="Times New Roman" w:eastAsia="Times New Roman" w:hAnsi="Times New Roman" w:cs="Times New Roman"/>
                <w:bCs/>
                <w:sz w:val="20"/>
                <w:szCs w:val="20"/>
                <w:lang w:eastAsia="en-ZA"/>
              </w:rPr>
              <w:t xml:space="preserve">The population dynamics of a recently introduced crayfish, </w:t>
            </w:r>
            <w:r w:rsidRPr="00222D02">
              <w:rPr>
                <w:rFonts w:ascii="Times New Roman" w:eastAsia="Times New Roman" w:hAnsi="Times New Roman" w:cs="Times New Roman"/>
                <w:bCs/>
                <w:i/>
                <w:iCs/>
                <w:sz w:val="20"/>
                <w:szCs w:val="20"/>
                <w:lang w:eastAsia="en-ZA"/>
              </w:rPr>
              <w:t xml:space="preserve">Cherax quadricarinatus </w:t>
            </w:r>
            <w:r w:rsidRPr="00222D02">
              <w:rPr>
                <w:rFonts w:ascii="Times New Roman" w:eastAsia="Times New Roman" w:hAnsi="Times New Roman" w:cs="Times New Roman"/>
                <w:bCs/>
                <w:sz w:val="20"/>
                <w:szCs w:val="20"/>
                <w:lang w:eastAsia="en-ZA"/>
              </w:rPr>
              <w:t xml:space="preserve">(von Martens, 1868), in the Sanyati Basin of Lake Kariba, Zimbabwe’, </w:t>
            </w:r>
            <w:r w:rsidRPr="00222D02">
              <w:rPr>
                <w:rFonts w:ascii="Times New Roman" w:eastAsia="Times New Roman" w:hAnsi="Times New Roman" w:cs="Times New Roman"/>
                <w:i/>
                <w:iCs/>
                <w:sz w:val="20"/>
                <w:szCs w:val="20"/>
                <w:lang w:eastAsia="en-ZA"/>
              </w:rPr>
              <w:t xml:space="preserve">African Zoology </w:t>
            </w:r>
            <w:r w:rsidRPr="00222D02">
              <w:rPr>
                <w:rFonts w:ascii="Times New Roman" w:eastAsia="Times New Roman" w:hAnsi="Times New Roman" w:cs="Times New Roman"/>
                <w:sz w:val="20"/>
                <w:szCs w:val="20"/>
                <w:lang w:eastAsia="en-ZA"/>
              </w:rPr>
              <w:t xml:space="preserve">53, 17–22. </w:t>
            </w:r>
            <w:r w:rsidR="00716A79" w:rsidRPr="00716A79">
              <w:rPr>
                <w:rFonts w:ascii="Times New Roman" w:eastAsia="Times New Roman" w:hAnsi="Times New Roman" w:cs="Times New Roman"/>
                <w:sz w:val="20"/>
                <w:szCs w:val="20"/>
                <w:lang w:eastAsia="en-ZA"/>
              </w:rPr>
              <w:t>https://doi.org/10.1080/15627020.2018.1448719</w:t>
            </w:r>
            <w:r w:rsidRPr="00222D02">
              <w:rPr>
                <w:rFonts w:ascii="Times New Roman" w:eastAsia="Times New Roman" w:hAnsi="Times New Roman" w:cs="Times New Roman"/>
                <w:sz w:val="20"/>
                <w:szCs w:val="20"/>
                <w:lang w:eastAsia="en-ZA"/>
              </w:rPr>
              <w:t>.</w:t>
            </w:r>
          </w:p>
          <w:p w14:paraId="3B7A0632" w14:textId="7CABB583" w:rsidR="002D7080" w:rsidRPr="00222D02" w:rsidRDefault="002D7080" w:rsidP="00C52E1A">
            <w:pPr>
              <w:spacing w:after="0"/>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xml:space="preserve">, in South Africa and Swaziland’, </w:t>
            </w:r>
            <w:r w:rsidRPr="00222D02">
              <w:rPr>
                <w:rFonts w:ascii="Times New Roman" w:eastAsia="Times New Roman" w:hAnsi="Times New Roman" w:cs="Times New Roman"/>
                <w:i/>
                <w:iCs/>
                <w:sz w:val="20"/>
                <w:szCs w:val="20"/>
                <w:lang w:eastAsia="en-ZA"/>
              </w:rPr>
              <w:t xml:space="preserve">PeerJ </w:t>
            </w:r>
            <w:r w:rsidRPr="00222D02">
              <w:rPr>
                <w:rFonts w:ascii="Times New Roman" w:eastAsia="Times New Roman" w:hAnsi="Times New Roman" w:cs="Times New Roman"/>
                <w:iCs/>
                <w:sz w:val="20"/>
                <w:szCs w:val="20"/>
                <w:lang w:eastAsia="en-ZA"/>
              </w:rPr>
              <w:t>5</w:t>
            </w:r>
            <w:r w:rsidRPr="00222D02">
              <w:rPr>
                <w:rFonts w:ascii="Times New Roman" w:eastAsia="Times New Roman" w:hAnsi="Times New Roman" w:cs="Times New Roman"/>
                <w:sz w:val="20"/>
                <w:szCs w:val="20"/>
                <w:lang w:eastAsia="en-ZA"/>
              </w:rPr>
              <w:t>, 1-21</w:t>
            </w:r>
            <w:r w:rsidR="00B904C1">
              <w:rPr>
                <w:rFonts w:ascii="Times New Roman" w:eastAsia="Times New Roman" w:hAnsi="Times New Roman" w:cs="Times New Roman"/>
                <w:sz w:val="20"/>
                <w:szCs w:val="20"/>
                <w:lang w:eastAsia="en-ZA"/>
              </w:rPr>
              <w:t>,</w:t>
            </w:r>
            <w:r w:rsidR="00716A79" w:rsidRPr="00716A79">
              <w:rPr>
                <w:rFonts w:ascii="Times New Roman" w:eastAsia="Times New Roman" w:hAnsi="Times New Roman" w:cs="Times New Roman"/>
                <w:sz w:val="20"/>
                <w:szCs w:val="20"/>
                <w:lang w:eastAsia="en-ZA"/>
              </w:rPr>
              <w:t xml:space="preserve"> http://dx.doi.org/10.7717/peerj.3135</w:t>
            </w:r>
          </w:p>
          <w:p w14:paraId="534C8268" w14:textId="77777777" w:rsidR="002D7080" w:rsidRPr="00222D02" w:rsidRDefault="002D7080" w:rsidP="00C52E1A">
            <w:pPr>
              <w:spacing w:after="0"/>
              <w:ind w:left="720" w:hanging="720"/>
              <w:contextualSpacing/>
              <w:jc w:val="both"/>
              <w:rPr>
                <w:rFonts w:ascii="Times New Roman" w:hAnsi="Times New Roman" w:cs="Times New Roman"/>
                <w:sz w:val="20"/>
                <w:szCs w:val="20"/>
              </w:rPr>
            </w:pPr>
            <w:r w:rsidRPr="00222D02">
              <w:rPr>
                <w:rFonts w:ascii="Times New Roman" w:hAnsi="Times New Roman" w:cs="Times New Roman"/>
                <w:color w:val="000000"/>
                <w:sz w:val="20"/>
                <w:szCs w:val="20"/>
                <w:shd w:val="clear" w:color="auto" w:fill="FFFFFF"/>
              </w:rPr>
              <w:t>SANBI (2023) Permits issued in respect of South Africa's National Environmental Management: Biodiversity Act's Alien and Invasive Species Regulations over the period October 2014 – December 2022. version 20230809. Zenodo. https://dx.doi.org/10.5281/zenodo.8229321</w:t>
            </w:r>
          </w:p>
        </w:tc>
      </w:tr>
      <w:tr w:rsidR="002D7080" w:rsidRPr="00222D02" w14:paraId="1FE097E4"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E63A5E9" w14:textId="77777777" w:rsidR="002D7080" w:rsidRPr="00222D02" w:rsidRDefault="002D7080" w:rsidP="002E2C37">
            <w:pPr>
              <w:spacing w:after="0" w:line="240" w:lineRule="auto"/>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BAC14 Primary (introduction) pathways</w:t>
            </w:r>
          </w:p>
        </w:tc>
      </w:tr>
      <w:tr w:rsidR="002D7080" w:rsidRPr="00222D02" w14:paraId="63210E41" w14:textId="77777777" w:rsidTr="002E2C37">
        <w:trPr>
          <w:cantSplit/>
          <w:trHeight w:val="61"/>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62FBACE"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Release</w:t>
            </w:r>
          </w:p>
        </w:tc>
        <w:tc>
          <w:tcPr>
            <w:tcW w:w="3127" w:type="dxa"/>
            <w:gridSpan w:val="2"/>
            <w:tcBorders>
              <w:top w:val="single" w:sz="4" w:space="0" w:color="auto"/>
              <w:left w:val="single" w:sz="4" w:space="0" w:color="auto"/>
              <w:bottom w:val="single" w:sz="4" w:space="0" w:color="auto"/>
              <w:right w:val="single" w:sz="4" w:space="0" w:color="auto"/>
            </w:tcBorders>
          </w:tcPr>
          <w:p w14:paraId="701E346B"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none</w:t>
            </w:r>
          </w:p>
        </w:tc>
        <w:tc>
          <w:tcPr>
            <w:tcW w:w="3233" w:type="dxa"/>
            <w:tcBorders>
              <w:top w:val="single" w:sz="4" w:space="0" w:color="auto"/>
              <w:left w:val="single" w:sz="4" w:space="0" w:color="auto"/>
              <w:bottom w:val="single" w:sz="4" w:space="0" w:color="auto"/>
              <w:right w:val="single" w:sz="4" w:space="0" w:color="auto"/>
            </w:tcBorders>
          </w:tcPr>
          <w:p w14:paraId="51CDE6EE"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1EE3CCCA" w14:textId="77777777" w:rsidTr="002E2C37">
        <w:trPr>
          <w:cantSplit/>
          <w:trHeight w:val="115"/>
        </w:trPr>
        <w:tc>
          <w:tcPr>
            <w:tcW w:w="2430" w:type="dxa"/>
            <w:vMerge w:val="restart"/>
            <w:tcBorders>
              <w:top w:val="single" w:sz="4" w:space="0" w:color="auto"/>
              <w:left w:val="single" w:sz="4" w:space="0" w:color="auto"/>
              <w:right w:val="single" w:sz="4" w:space="0" w:color="auto"/>
            </w:tcBorders>
            <w:shd w:val="clear" w:color="auto" w:fill="F2F2F2" w:themeFill="background1" w:themeFillShade="F2"/>
            <w:noWrap/>
          </w:tcPr>
          <w:p w14:paraId="062CACA2"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Escape</w:t>
            </w:r>
          </w:p>
        </w:tc>
        <w:tc>
          <w:tcPr>
            <w:tcW w:w="3127" w:type="dxa"/>
            <w:gridSpan w:val="2"/>
            <w:tcBorders>
              <w:top w:val="single" w:sz="4" w:space="0" w:color="auto"/>
              <w:left w:val="single" w:sz="4" w:space="0" w:color="auto"/>
              <w:bottom w:val="single" w:sz="4" w:space="0" w:color="auto"/>
              <w:right w:val="single" w:sz="4" w:space="0" w:color="auto"/>
            </w:tcBorders>
          </w:tcPr>
          <w:p w14:paraId="7AE76E3B"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aquaculture/mariculture</w:t>
            </w:r>
          </w:p>
        </w:tc>
        <w:tc>
          <w:tcPr>
            <w:tcW w:w="3233" w:type="dxa"/>
            <w:tcBorders>
              <w:top w:val="single" w:sz="4" w:space="0" w:color="auto"/>
              <w:left w:val="single" w:sz="4" w:space="0" w:color="auto"/>
              <w:bottom w:val="single" w:sz="4" w:space="0" w:color="auto"/>
              <w:right w:val="single" w:sz="4" w:space="0" w:color="auto"/>
            </w:tcBorders>
          </w:tcPr>
          <w:p w14:paraId="1B7CD428"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46B67481" w14:textId="77777777" w:rsidTr="002E2C37">
        <w:trPr>
          <w:cantSplit/>
          <w:trHeight w:val="230"/>
        </w:trPr>
        <w:tc>
          <w:tcPr>
            <w:tcW w:w="2430" w:type="dxa"/>
            <w:vMerge/>
            <w:tcBorders>
              <w:left w:val="single" w:sz="4" w:space="0" w:color="auto"/>
              <w:right w:val="single" w:sz="4" w:space="0" w:color="auto"/>
            </w:tcBorders>
            <w:shd w:val="clear" w:color="auto" w:fill="F2F2F2" w:themeFill="background1" w:themeFillShade="F2"/>
            <w:noWrap/>
          </w:tcPr>
          <w:p w14:paraId="24341516"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p>
        </w:tc>
        <w:tc>
          <w:tcPr>
            <w:tcW w:w="3127" w:type="dxa"/>
            <w:gridSpan w:val="2"/>
            <w:tcBorders>
              <w:top w:val="single" w:sz="4" w:space="0" w:color="auto"/>
              <w:left w:val="single" w:sz="4" w:space="0" w:color="auto"/>
              <w:bottom w:val="single" w:sz="4" w:space="0" w:color="auto"/>
              <w:right w:val="single" w:sz="4" w:space="0" w:color="auto"/>
            </w:tcBorders>
          </w:tcPr>
          <w:p w14:paraId="7D19AD34"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pet/aquarium/terrarium species (including live food for such species)</w:t>
            </w:r>
          </w:p>
        </w:tc>
        <w:tc>
          <w:tcPr>
            <w:tcW w:w="3233" w:type="dxa"/>
            <w:tcBorders>
              <w:top w:val="single" w:sz="4" w:space="0" w:color="auto"/>
              <w:left w:val="single" w:sz="4" w:space="0" w:color="auto"/>
              <w:bottom w:val="single" w:sz="4" w:space="0" w:color="auto"/>
              <w:right w:val="single" w:sz="4" w:space="0" w:color="auto"/>
            </w:tcBorders>
          </w:tcPr>
          <w:p w14:paraId="5D169747"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6FD4CE38" w14:textId="77777777" w:rsidTr="002E2C37">
        <w:trPr>
          <w:cantSplit/>
          <w:trHeight w:val="23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60A0606A"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p>
        </w:tc>
        <w:tc>
          <w:tcPr>
            <w:tcW w:w="3127" w:type="dxa"/>
            <w:gridSpan w:val="2"/>
            <w:tcBorders>
              <w:top w:val="single" w:sz="4" w:space="0" w:color="auto"/>
              <w:left w:val="single" w:sz="4" w:space="0" w:color="auto"/>
              <w:bottom w:val="single" w:sz="4" w:space="0" w:color="auto"/>
              <w:right w:val="single" w:sz="4" w:space="0" w:color="auto"/>
            </w:tcBorders>
          </w:tcPr>
          <w:p w14:paraId="039F9D66"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live food and live bait</w:t>
            </w:r>
          </w:p>
        </w:tc>
        <w:tc>
          <w:tcPr>
            <w:tcW w:w="3233" w:type="dxa"/>
            <w:tcBorders>
              <w:top w:val="single" w:sz="4" w:space="0" w:color="auto"/>
              <w:left w:val="single" w:sz="4" w:space="0" w:color="auto"/>
              <w:bottom w:val="single" w:sz="4" w:space="0" w:color="auto"/>
              <w:right w:val="single" w:sz="4" w:space="0" w:color="auto"/>
            </w:tcBorders>
          </w:tcPr>
          <w:p w14:paraId="1D661232"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735DF2E1"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1F8342D"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Contaminant</w:t>
            </w:r>
          </w:p>
        </w:tc>
        <w:tc>
          <w:tcPr>
            <w:tcW w:w="3127" w:type="dxa"/>
            <w:gridSpan w:val="2"/>
            <w:tcBorders>
              <w:top w:val="single" w:sz="4" w:space="0" w:color="auto"/>
              <w:left w:val="single" w:sz="4" w:space="0" w:color="auto"/>
              <w:bottom w:val="single" w:sz="4" w:space="0" w:color="auto"/>
              <w:right w:val="single" w:sz="4" w:space="0" w:color="auto"/>
            </w:tcBorders>
          </w:tcPr>
          <w:p w14:paraId="39F689AD"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none</w:t>
            </w:r>
          </w:p>
        </w:tc>
        <w:tc>
          <w:tcPr>
            <w:tcW w:w="3233" w:type="dxa"/>
            <w:tcBorders>
              <w:top w:val="single" w:sz="4" w:space="0" w:color="auto"/>
              <w:left w:val="single" w:sz="4" w:space="0" w:color="auto"/>
              <w:bottom w:val="single" w:sz="4" w:space="0" w:color="auto"/>
              <w:right w:val="single" w:sz="4" w:space="0" w:color="auto"/>
            </w:tcBorders>
          </w:tcPr>
          <w:p w14:paraId="420C77D5"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6956249B"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63B8D08"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Stowaway</w:t>
            </w:r>
          </w:p>
        </w:tc>
        <w:tc>
          <w:tcPr>
            <w:tcW w:w="3127" w:type="dxa"/>
            <w:gridSpan w:val="2"/>
            <w:tcBorders>
              <w:top w:val="single" w:sz="4" w:space="0" w:color="auto"/>
              <w:left w:val="single" w:sz="4" w:space="0" w:color="auto"/>
              <w:bottom w:val="single" w:sz="4" w:space="0" w:color="auto"/>
              <w:right w:val="single" w:sz="4" w:space="0" w:color="auto"/>
            </w:tcBorders>
          </w:tcPr>
          <w:p w14:paraId="659E704D"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none</w:t>
            </w:r>
          </w:p>
        </w:tc>
        <w:tc>
          <w:tcPr>
            <w:tcW w:w="3233" w:type="dxa"/>
            <w:tcBorders>
              <w:top w:val="single" w:sz="4" w:space="0" w:color="auto"/>
              <w:left w:val="single" w:sz="4" w:space="0" w:color="auto"/>
              <w:bottom w:val="single" w:sz="4" w:space="0" w:color="auto"/>
              <w:right w:val="single" w:sz="4" w:space="0" w:color="auto"/>
            </w:tcBorders>
          </w:tcPr>
          <w:p w14:paraId="0A4738AE"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7F9EA29B"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8C72D65"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Corridor</w:t>
            </w:r>
          </w:p>
        </w:tc>
        <w:tc>
          <w:tcPr>
            <w:tcW w:w="3127" w:type="dxa"/>
            <w:gridSpan w:val="2"/>
            <w:tcBorders>
              <w:top w:val="single" w:sz="4" w:space="0" w:color="auto"/>
              <w:left w:val="single" w:sz="4" w:space="0" w:color="auto"/>
              <w:bottom w:val="single" w:sz="4" w:space="0" w:color="auto"/>
              <w:right w:val="single" w:sz="4" w:space="0" w:color="auto"/>
            </w:tcBorders>
          </w:tcPr>
          <w:p w14:paraId="7C25426C"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none</w:t>
            </w:r>
          </w:p>
        </w:tc>
        <w:tc>
          <w:tcPr>
            <w:tcW w:w="3233" w:type="dxa"/>
            <w:tcBorders>
              <w:top w:val="single" w:sz="4" w:space="0" w:color="auto"/>
              <w:left w:val="single" w:sz="4" w:space="0" w:color="auto"/>
              <w:bottom w:val="single" w:sz="4" w:space="0" w:color="auto"/>
              <w:right w:val="single" w:sz="4" w:space="0" w:color="auto"/>
            </w:tcBorders>
          </w:tcPr>
          <w:p w14:paraId="3C72150F"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3A21264B"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3D1236D"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Unaided</w:t>
            </w:r>
          </w:p>
        </w:tc>
        <w:tc>
          <w:tcPr>
            <w:tcW w:w="3127" w:type="dxa"/>
            <w:gridSpan w:val="2"/>
            <w:tcBorders>
              <w:top w:val="single" w:sz="4" w:space="0" w:color="auto"/>
              <w:left w:val="single" w:sz="4" w:space="0" w:color="auto"/>
              <w:bottom w:val="single" w:sz="4" w:space="0" w:color="auto"/>
              <w:right w:val="single" w:sz="4" w:space="0" w:color="auto"/>
            </w:tcBorders>
          </w:tcPr>
          <w:p w14:paraId="0948BDAE"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natural dispersal across borders of invasive alien organism</w:t>
            </w:r>
          </w:p>
        </w:tc>
        <w:tc>
          <w:tcPr>
            <w:tcW w:w="3233" w:type="dxa"/>
            <w:tcBorders>
              <w:top w:val="single" w:sz="4" w:space="0" w:color="auto"/>
              <w:left w:val="single" w:sz="4" w:space="0" w:color="auto"/>
              <w:bottom w:val="single" w:sz="4" w:space="0" w:color="auto"/>
              <w:right w:val="single" w:sz="4" w:space="0" w:color="auto"/>
            </w:tcBorders>
          </w:tcPr>
          <w:p w14:paraId="46A16EB6"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79C5D766"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24C6CD7C" w14:textId="77777777" w:rsidR="002D7080" w:rsidRPr="00222D02" w:rsidRDefault="002D7080" w:rsidP="002E2C37">
            <w:pPr>
              <w:spacing w:after="0" w:line="240"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Comments: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is introduced for aquaculture purposes (FAO 2023; </w:t>
            </w:r>
            <w:r w:rsidRPr="00222D02">
              <w:rPr>
                <w:rStyle w:val="cf01"/>
                <w:rFonts w:ascii="Times New Roman" w:hAnsi="Times New Roman" w:cs="Times New Roman"/>
                <w:sz w:val="20"/>
                <w:szCs w:val="20"/>
              </w:rPr>
              <w:t>Haubrock et al. 2021</w:t>
            </w:r>
            <w:r w:rsidRPr="00222D02">
              <w:rPr>
                <w:rFonts w:ascii="Times New Roman" w:eastAsia="Times New Roman" w:hAnsi="Times New Roman" w:cs="Times New Roman"/>
                <w:sz w:val="20"/>
                <w:szCs w:val="20"/>
                <w:lang w:eastAsia="en-ZA"/>
              </w:rPr>
              <w:t>), is sold as pets in various countries, and used as live bait by anglers (Akmal et al. 2023).</w:t>
            </w:r>
          </w:p>
        </w:tc>
      </w:tr>
      <w:tr w:rsidR="002D7080" w:rsidRPr="00222D02" w14:paraId="7DDF7724"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35E55D97" w14:textId="77777777" w:rsidR="002D7080" w:rsidRPr="00222D02" w:rsidRDefault="002D7080" w:rsidP="00C52E1A">
            <w:pPr>
              <w:spacing w:after="0"/>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3B44354F" w14:textId="625F63D7" w:rsidR="002D7080" w:rsidRPr="00222D02" w:rsidRDefault="002D7080" w:rsidP="00C52E1A">
            <w:pPr>
              <w:spacing w:after="0"/>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Akmal, S.G., Yonvitner, Yulianda, F., Adrianto, L. &amp; Patoka, J., 2023, ‘Potential spread of invasive crayfish used as life bait by Indonesian anglers’, </w:t>
            </w:r>
            <w:r w:rsidRPr="00222D02">
              <w:rPr>
                <w:rFonts w:ascii="Times New Roman" w:eastAsia="Times New Roman" w:hAnsi="Times New Roman" w:cs="Times New Roman"/>
                <w:i/>
                <w:iCs/>
                <w:sz w:val="20"/>
                <w:szCs w:val="20"/>
                <w:lang w:eastAsia="en-ZA"/>
              </w:rPr>
              <w:t>Human Dimensions of Wildlife</w:t>
            </w:r>
            <w:r w:rsidRPr="00222D02">
              <w:rPr>
                <w:rFonts w:ascii="Times New Roman" w:eastAsia="Times New Roman" w:hAnsi="Times New Roman" w:cs="Times New Roman"/>
                <w:sz w:val="20"/>
                <w:szCs w:val="20"/>
                <w:lang w:eastAsia="en-ZA"/>
              </w:rPr>
              <w:t xml:space="preserve">, 1-13. </w:t>
            </w:r>
            <w:r w:rsidR="00716A79" w:rsidRPr="00716A79">
              <w:rPr>
                <w:rFonts w:ascii="Times New Roman" w:eastAsia="Times New Roman" w:hAnsi="Times New Roman" w:cs="Times New Roman"/>
                <w:sz w:val="20"/>
                <w:szCs w:val="20"/>
                <w:lang w:eastAsia="en-ZA"/>
              </w:rPr>
              <w:t>https://doi.org/10.1080/10871209.2023.2234394</w:t>
            </w:r>
            <w:r w:rsidRPr="00222D02">
              <w:rPr>
                <w:rFonts w:ascii="Times New Roman" w:eastAsia="Times New Roman" w:hAnsi="Times New Roman" w:cs="Times New Roman"/>
                <w:sz w:val="20"/>
                <w:szCs w:val="20"/>
                <w:lang w:eastAsia="en-ZA"/>
              </w:rPr>
              <w:t>.</w:t>
            </w:r>
          </w:p>
          <w:p w14:paraId="42BDEE2B" w14:textId="77777777" w:rsidR="002D7080" w:rsidRPr="00222D02" w:rsidRDefault="002D7080" w:rsidP="00C52E1A">
            <w:pPr>
              <w:spacing w:after="0"/>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FAO 2023. PARASTACIDAE. Cultured Aquatic Species Information Programme. Text by Jones, C. Fisheries and Aquaculture Division [online]. Rome. Updated 2011-10-10 [Accessed Thursday, September 7th 2023]. https://www.fao.org/fishery/en/culturedspecies/cherax_quadricarinatus/en</w:t>
            </w:r>
          </w:p>
          <w:p w14:paraId="0B66B2A1" w14:textId="008615B0" w:rsidR="002D7080" w:rsidRPr="00222D02" w:rsidRDefault="002D7080" w:rsidP="00C52E1A">
            <w:pPr>
              <w:spacing w:after="0"/>
              <w:ind w:left="720" w:hanging="720"/>
              <w:jc w:val="both"/>
              <w:rPr>
                <w:rFonts w:ascii="Times New Roman" w:hAnsi="Times New Roman" w:cs="Times New Roman"/>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w:t>
            </w:r>
            <w:r w:rsidR="00716A79">
              <w:rPr>
                <w:rStyle w:val="cf01"/>
                <w:rFonts w:ascii="Times New Roman" w:hAnsi="Times New Roman" w:cs="Times New Roman"/>
                <w:sz w:val="20"/>
                <w:szCs w:val="20"/>
              </w:rPr>
              <w:t xml:space="preserve">, </w:t>
            </w:r>
            <w:hyperlink r:id="rId155" w:history="1">
              <w:r w:rsidR="00716A79" w:rsidRPr="00716A79">
                <w:rPr>
                  <w:rStyle w:val="Hyperlink"/>
                  <w:rFonts w:ascii="Times New Roman" w:hAnsi="Times New Roman" w:cs="Times New Roman"/>
                  <w:sz w:val="20"/>
                  <w:szCs w:val="20"/>
                </w:rPr>
                <w:t>https://doi.org/10.1111/raq.12531</w:t>
              </w:r>
            </w:hyperlink>
            <w:r w:rsidR="00716A79" w:rsidRPr="00716A79">
              <w:rPr>
                <w:rFonts w:ascii="Times New Roman" w:hAnsi="Times New Roman" w:cs="Times New Roman"/>
                <w:sz w:val="20"/>
                <w:szCs w:val="20"/>
              </w:rPr>
              <w:t>.</w:t>
            </w:r>
          </w:p>
        </w:tc>
      </w:tr>
    </w:tbl>
    <w:p w14:paraId="00EAAA2D" w14:textId="77777777" w:rsidR="002D7080" w:rsidRPr="00222D02" w:rsidRDefault="002D7080" w:rsidP="00C52E1A">
      <w:pPr>
        <w:spacing w:after="0"/>
        <w:jc w:val="both"/>
        <w:rPr>
          <w:rFonts w:ascii="Times New Roman" w:eastAsia="Times New Roman" w:hAnsi="Times New Roman" w:cs="Times New Roman"/>
          <w:sz w:val="20"/>
          <w:szCs w:val="20"/>
          <w:lang w:eastAsia="en-ZA"/>
        </w:rPr>
      </w:pPr>
    </w:p>
    <w:p w14:paraId="458F2AD5"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2. Likelihood</w:t>
      </w:r>
    </w:p>
    <w:p w14:paraId="206B06D9"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222D02" w14:paraId="23514A9B" w14:textId="77777777" w:rsidTr="002E2C37">
        <w:tc>
          <w:tcPr>
            <w:tcW w:w="9016" w:type="dxa"/>
            <w:gridSpan w:val="2"/>
            <w:shd w:val="clear" w:color="auto" w:fill="F2F2F2" w:themeFill="background1" w:themeFillShade="F2"/>
          </w:tcPr>
          <w:p w14:paraId="44F26D20"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LIK1 Likelihood of entry via unaided primary pathways</w:t>
            </w:r>
          </w:p>
        </w:tc>
      </w:tr>
      <w:tr w:rsidR="002D7080" w:rsidRPr="00222D02" w14:paraId="25F02CC7" w14:textId="77777777" w:rsidTr="002E2C37">
        <w:tc>
          <w:tcPr>
            <w:tcW w:w="5524" w:type="dxa"/>
          </w:tcPr>
          <w:p w14:paraId="00A7D7F5"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Present in the country (p = 1)</w:t>
            </w:r>
          </w:p>
        </w:tc>
        <w:tc>
          <w:tcPr>
            <w:tcW w:w="3492" w:type="dxa"/>
          </w:tcPr>
          <w:p w14:paraId="42147598"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w:t>
            </w:r>
            <w:r w:rsidRPr="00222D02">
              <w:rPr>
                <w:rFonts w:ascii="Times New Roman" w:eastAsia="Times New Roman" w:hAnsi="Times New Roman" w:cs="Times New Roman"/>
                <w:color w:val="000000"/>
                <w:sz w:val="20"/>
                <w:szCs w:val="20"/>
                <w:lang w:eastAsia="en-ZA"/>
              </w:rPr>
              <w:t xml:space="preserve"> </w:t>
            </w:r>
            <w:r w:rsidRPr="00222D02">
              <w:rPr>
                <w:rFonts w:ascii="Times New Roman" w:eastAsia="Times New Roman" w:hAnsi="Times New Roman" w:cs="Times New Roman"/>
                <w:sz w:val="20"/>
                <w:szCs w:val="20"/>
                <w:lang w:eastAsia="en-ZA"/>
              </w:rPr>
              <w:t>High</w:t>
            </w:r>
          </w:p>
        </w:tc>
      </w:tr>
      <w:tr w:rsidR="002D7080" w:rsidRPr="00222D02" w14:paraId="37C2503B" w14:textId="77777777" w:rsidTr="002E2C37">
        <w:trPr>
          <w:trHeight w:val="70"/>
        </w:trPr>
        <w:tc>
          <w:tcPr>
            <w:tcW w:w="9016" w:type="dxa"/>
            <w:gridSpan w:val="2"/>
          </w:tcPr>
          <w:p w14:paraId="09F28418"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is present in the country and has established populations in natural environments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"10.7717/peerj.3135", "ISBN" : "21678359 (ISSN)", "ISSN" : "2167-8359", "PMID" : "28439454", "abstract" : "Background. The Australian redclaw crayfish (Cherax quadricarinatus, von Martens), is native to Australasia, but has been widely translocated around the world due to aquaculture and aquarium trade. Mostly as a result of escape from aquaculture facilities, this species has established extralimital populations in Australia and alien populations in Europe, Asia, Central America and Africa. In South Africa, C. quadricarinatus was first sampled from the wild in 2002 in the Komati River, following its escape from an aquaculture facility in Swaziland, but data on the current status of its populations are not available. Methods. To establish a better understanding of its distribution, rate of spread and population status, we surveyed a total of 46 sites in various river systems in South Africa and Swaziland. Surveys were performed between September 2015 and August 2016 and involved visual observations and the use of collapsible crayfish traps. Results. Cherax quadricarinatus is now present in the Komati, Lomati, Mbuluzi, Mlawula and Usutu rivers, and it was also detected in several off-channel irrigation impoundments. Where present, it was generally abundant, with populations having multiple size cohorts and containing ovigerous females. In the Komati River, it has spread more than 112 km downstream of the initial introduction point and 33 km upstream of a tributary, resulting in a mean spread rate of 8 km year \u22121 downstream and 4.7 km year \u22121 upstream. In Swaziland, estimated downstream spread rate might reach 14.6 km year \u22121 . Individuals were generally larger and heavier closer to the introduction site, which might be linked to juvenile dispersal. Discussion. These findings demonstrate that C. quadricarinatus is established in South Africa and Swaziland and that the species has spread, not only within the river where it was first introduced, but also between rivers. Considering the strong impacts that alien crayfish usually have on invaded ecosystems, assessments of its potential impacts on native freshwater biota and an evaluation of possible control measures are, therefore, urgent requirements.", "author" : [ { "dropping-particle" : "", "family" : "Nunes", "given" : "Ana L.", "non-dropping-particle" : "", "parse-names" : false, "suffix" : "" }, { "dropping-particle" : "", "family" : "Zengeya", "given" : "Tsungai A.", "non-dropping-particle" : "", "parse-names" : false, "suffix" : "" }, { "dropping-particle" : "", "family" : "Hoffman", "given" : "Andries C.", "non-dropping-particle" : "", "parse-names" : false, "suffix" : "" }, { "dropping-particle" : "", "family" : "Measey", "given" : "G. John", "non-dropping-particle" : "", "parse-names" : false, "suffix" : "" }, { "dropping-particle" : "", "family" : "Weyl", "given" : "Olaf L.F.", "non-dropping-particle" : "", "parse-names" : false, "suffix" : "" } ], "container-title" : "PeerJ", "id" : "ITEM-1", "issued" : { "date-parts" : [ [ "2017" ] ] }, "page" : "e3135", "title" : "Distribution and establishment of the alien Australian redclaw crayfish, &lt;i&gt;Cherax quadricarinatus&lt;/i&gt; , in South Africa and Swaziland", "type" : "article-journal", "volume" : "5" }, "uris" : [ "http://www.mendeley.com/documents/?uuid=09e3f7e4-ebe7-4773-815c-0ea02776a567" ] }, { "id" : "ITEM-2", "itemData" : { "author" : [ { "dropping-particle" : "", "family" : "Petersen", "given" : "RM", "non-dropping-particle" : "", "parse-names" : false, "suffix" : "" }, { "dropping-particle" : "", "family" : "Hoffman", "given" : "Andries C", "non-dropping-particle" : "", "parse-names" : false, "suffix" : "" }, { "dropping-particle" : "", "family" : "Kotze", "given" : "Pieter", "non-dropping-particle" : "", "parse-names" : false, "suffix" : "" }, { "dropping-particle" : "", "family" : "Marr", "given" : "Sean M", "non-dropping-particle" : "", "parse-names" : false, "suffix" : "" } ], "id" : "ITEM-2", "issued" : { "date-parts" : [ [ "2017" ] ] }, "page" : "1-3", "title" : "First record of the invasive Australian redclaw crayfish Cherax quadricarinatus ( von Martens , 1868 ) in the Crocodile River , Kruger National Park , South Africa", "type" : "article-journal" }, "uris" : [ "http://www.mendeley.com/documents/?uuid=4432ee78-0d46-4c49-9b53-e94aecb485ad" ] } ], "mendeley" : { "formattedCitation" : "(Nunes et al. 2017a, Petersen et al. 2017)", "plainTextFormattedCitation" : "(Nunes et al. 2017a, Petersen et al. 2017)", "previouslyFormattedCitation" : "(Nunes et al. 2017a, Petersen et al. 2017)"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222D02">
              <w:rPr>
                <w:rFonts w:ascii="Times New Roman" w:eastAsia="Times New Roman" w:hAnsi="Times New Roman" w:cs="Times New Roman"/>
                <w:sz w:val="20"/>
                <w:szCs w:val="20"/>
                <w:lang w:eastAsia="en-ZA"/>
              </w:rPr>
              <w:t>(Nunes et al. 2017; Petersen et al. 2017)</w:t>
            </w:r>
            <w:r w:rsidRPr="00222D02">
              <w:rPr>
                <w:rFonts w:ascii="Times New Roman" w:eastAsia="Times New Roman" w:hAnsi="Times New Roman" w:cs="Times New Roman"/>
                <w:sz w:val="20"/>
                <w:szCs w:val="20"/>
                <w:lang w:eastAsia="en-ZA"/>
              </w:rPr>
              <w:fldChar w:fldCharType="end"/>
            </w:r>
            <w:r w:rsidRPr="00222D02">
              <w:rPr>
                <w:rFonts w:ascii="Times New Roman" w:eastAsia="Times New Roman" w:hAnsi="Times New Roman" w:cs="Times New Roman"/>
                <w:sz w:val="20"/>
                <w:szCs w:val="20"/>
                <w:lang w:eastAsia="en-ZA"/>
              </w:rPr>
              <w:t xml:space="preserve">. In terms of the likelihood of future introductions, there are populations outside of captivity in several countries in southern Africa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"10.3391/bir.2018.7.2.03", "ISSN" : "22421300", "abstract" : "The diet of an invasive crayfish, Cherax quadricarinatus (Von Martens 1868), in Lake Kariba, was investigated using stomach content analysis (SCA) and stable isotope analysis (SIA). The frequency of occurrence of macrophytes and detritus ranged between 63.6\u201397.1% and 20\u201345.5%, respectively, and the index of relative importance ranked these as the two most important food items across all size classes. Significant differences in the ranking of fish, macroinvertebrates and crayfish were found between size classes 29\u201337.9, 38\u201346.9 and 47\u201355.9 mm. Stomach content analysis showed 16% of crayfish stomachs were empty. Feeding intensity differed significantly between size classes and ranged from 3.46 to 5.21. Stable isotope analysis was done by comparing \u03b413C, \u03b415N and C/N ratios in crayfish muscle and potential dietary items in the lake. Macrophytes were the most dominant food item (57%), followed by macroinvertebrates (20%), then detritus, and finally fish and crayfish. Stable isotope analysis revealed that all crayfish size classes analysed were in the same trophic level. Nevertheless, while SCA showed high dietary overlap among all crayfish size classes (&gt;65%), SIA showed that small crayfish (&lt; 28.9mm) had limited overlap with large crayfish (&gt; 56mm), with the former showing a higher proportion of macroinvertebrates in their diet. In Lake Kariba, C. quadricarinatus predominantly feeds on macrophytes, macroinvertebrates and detritus, which may bring about nutrient cycle alterations in the lake. Littoral habitat changes caused by the feeding characteristics of C. quadricarinatus might also lead to competition with, and eventual displacement of, some native littoral fishes in this lake.", "author" : [ { "dropping-particle" : "", "family" : "Marufu", "given" : "Lightone", "non-dropping-particle" : "", "parse-names" : false, "suffix" : "" }, { "dropping-particle" : "", "family" : "Dalu", "given" : "Tatenda", "non-dropping-particle" : "", "parse-names" : false, "suffix" : "" }, { "dropping-particle" : "", "family" : "Barson", "given" : "Maxwell", "non-dropping-particle" : "", "parse-names" : false, "suffix" : "" }, { "dropping-particle" : "", "family" : "Simango", "given" : "Rutendo", "non-dropping-particle" : "", "parse-names" : false, "suffix" : "" }, { "dropping-particle" : "", "family" : "Utete", "given" : "Beaven", "non-dropping-particle" : "", "parse-names" : false, "suffix" : "" }, { "dropping-particle" : "", "family" : "Nhiwatiwa", "given" : "Tamuka", "non-dropping-particle" : "", "parse-names" : false, "suffix" : "" } ], "container-title" : "BioInvasions Records", "id" : "ITEM-1", "issue" : "January", "issued" : { "date-parts" : [ [ "2018" ] ] }, "title" : "The diet of an invasive crayfish , Cherax quadricarinatus ( Von Martens , 1868 ), in Lake Kariba , inferred using sto ....", "type" : "article-journal", "volume" : "7" }, "uris" : [ "http://www.mendeley.com/documents/?uuid=49b4cd62-bcb8-41f5-a835-0cad767c5c5e" ] }, { "id" : "ITEM-2", "itemData" : { "DOI" : "10.2989/16085914.2018.1517080", "author" : [ { "dropping-particle" : "", "family" : "Douthwaite", "given" : "R J", "non-dropping-particle" : "", "parse-names" : false, "suffix" : "" }, { "dropping-particle" : "", "family" : "Jones", "given" : "E W", "non-dropping-particle" : "", "parse-names" : false, "suffix" : "" }, { "dropping-particle" : "", "family" : "Tyser", "given" : "A B", "non-dropping-particle" : "", "parse-names" : false, "suffix" : "" }, { "dropping-particle" : "", "family" : "Vrdoljak", "given" : "S M", "non-dropping-particle" : "", "parse-names" : false, "suffix" : "" } ], "id" : "ITEM-2", "issued" : { "date-parts" : [ [ "2018" ] ] }, "title" : "The introduction , spread and ecology of redclaw crayfish Cherax quadricarinatus in the Zambezi catchment", "type" : "article-journal", "volume" : "5914" }, "uris" : [ "http://www.mendeley.com/documents/?uuid=d1144703-789e-43c5-b72c-9dc75db8a86e" ] } ], "mendeley" : { "formattedCitation" : "(Douthwaite et al. 2018, Marufu et al. 2018)", "plainTextFormattedCitation" : "(Douthwaite et al. 2018, Marufu et al. 2018)", "previouslyFormattedCitation" : "(Douthwaite et al. 2018, Marufu et al. 2018)"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222D02">
              <w:rPr>
                <w:rFonts w:ascii="Times New Roman" w:eastAsia="Times New Roman" w:hAnsi="Times New Roman" w:cs="Times New Roman"/>
                <w:sz w:val="20"/>
                <w:szCs w:val="20"/>
                <w:lang w:eastAsia="en-ZA"/>
              </w:rPr>
              <w:t>(Douthwaite et al. 2018; Madzivanzira et al. 2021; Marufu et al. 2018)</w:t>
            </w:r>
            <w:r w:rsidRPr="00222D02">
              <w:rPr>
                <w:rFonts w:ascii="Times New Roman" w:eastAsia="Times New Roman" w:hAnsi="Times New Roman" w:cs="Times New Roman"/>
                <w:sz w:val="20"/>
                <w:szCs w:val="20"/>
                <w:lang w:eastAsia="en-ZA"/>
              </w:rPr>
              <w:fldChar w:fldCharType="end"/>
            </w:r>
            <w:r w:rsidRPr="00222D02">
              <w:rPr>
                <w:rFonts w:ascii="Times New Roman" w:eastAsia="Times New Roman" w:hAnsi="Times New Roman" w:cs="Times New Roman"/>
                <w:sz w:val="20"/>
                <w:szCs w:val="20"/>
                <w:lang w:eastAsia="en-ZA"/>
              </w:rPr>
              <w:t xml:space="preserve">. </w:t>
            </w:r>
            <w:r w:rsidRPr="00222D02">
              <w:rPr>
                <w:rFonts w:ascii="Times New Roman" w:eastAsia="Times New Roman" w:hAnsi="Times New Roman" w:cs="Times New Roman"/>
                <w:i/>
                <w:iCs/>
                <w:sz w:val="20"/>
                <w:szCs w:val="20"/>
                <w:lang w:eastAsia="en-ZA"/>
              </w:rPr>
              <w:t xml:space="preserve">Cherax quadricarinatus </w:t>
            </w:r>
            <w:r w:rsidRPr="00222D02">
              <w:rPr>
                <w:rFonts w:ascii="Times New Roman" w:eastAsia="Times New Roman" w:hAnsi="Times New Roman" w:cs="Times New Roman"/>
                <w:sz w:val="20"/>
                <w:szCs w:val="20"/>
                <w:lang w:eastAsia="en-ZA"/>
              </w:rPr>
              <w:t xml:space="preserve">is capable of spreading naturally via interconnected waterways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"10.7717/peerj.3135", "ISBN" : "21678359 (ISSN)", "ISSN" : "2167-8359", "PMID" : "28439454", "abstract" : "Background. The Australian redclaw crayfish (Cherax quadricarinatus, von Martens), is native to Australasia, but has been widely translocated around the world due to aquaculture and aquarium trade. Mostly as a result of escape from aquaculture facilities, this species has established extralimital populations in Australia and alien populations in Europe, Asia, Central America and Africa. In South Africa, C. quadricarinatus was first sampled from the wild in 2002 in the Komati River, following its escape from an aquaculture facility in Swaziland, but data on the current status of its populations are not available. Methods. To establish a better understanding of its distribution, rate of spread and population status, we surveyed a total of 46 sites in various river systems in South Africa and Swaziland. Surveys were performed between September 2015 and August 2016 and involved visual observations and the use of collapsible crayfish traps. Results. Cherax quadricarinatus is now present in the Komati, Lomati, Mbuluzi, Mlawula and Usutu rivers, and it was also detected in several off-channel irrigation impoundments. Where present, it was generally abundant, with populations having multiple size cohorts and containing ovigerous females. In the Komati River, it has spread more than 112 km downstream of the initial introduction point and 33 km upstream of a tributary, resulting in a mean spread rate of 8 km year \u22121 downstream and 4.7 km year \u22121 upstream. In Swaziland, estimated downstream spread rate might reach 14.6 km year \u22121 . Individuals were generally larger and heavier closer to the introduction site, which might be linked to juvenile dispersal. Discussion. These findings demonstrate that C. quadricarinatus is established in South Africa and Swaziland and that the species has spread, not only within the river where it was first introduced, but also between rivers. Considering the strong impacts that alien crayfish usually have on invaded ecosystems, assessments of its potential impacts on native freshwater biota and an evaluation of possible control measures are, therefore, urgent requirements.", "author" : [ { "dropping-particle" : "", "family" : "Nunes", "given" : "Ana L.", "non-dropping-particle" : "", "parse-names" : false, "suffix" : "" }, { "dropping-particle" : "", "family" : "Zengeya", "given" : "Tsungai A.", "non-dropping-particle" : "", "parse-names" : false, "suffix" : "" }, { "dropping-particle" : "", "family" : "Hoffman", "given" : "Andries C.", "non-dropping-particle" : "", "parse-names" : false, "suffix" : "" }, { "dropping-particle" : "", "family" : "Measey", "given" : "G. John", "non-dropping-particle" : "", "parse-names" : false, "suffix" : "" }, { "dropping-particle" : "", "family" : "Weyl", "given" : "Olaf L.F.", "non-dropping-particle" : "", "parse-names" : false, "suffix" : "" } ], "container-title" : "PeerJ", "id" : "ITEM-1", "issued" : { "date-parts" : [ [ "2017" ] ] }, "page" : "e3135", "title" : "Distribution and establishment of the alien Australian redclaw crayfish, &lt;i&gt;Cherax quadricarinatus&lt;/i&gt; , in South Africa and Swaziland", "type" : "article-journal", "volume" : "5" }, "uris" : [ "http://www.mendeley.com/documents/?uuid=09e3f7e4-ebe7-4773-815c-0ea02776a567" ] } ], "mendeley" : { "formattedCitation" : "(Nunes et al. 2017a)", "plainTextFormattedCitation" : "(Nunes et al. 2017a)", "previouslyFormattedCitation" : "(Nunes et al. 2017a)"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222D02">
              <w:rPr>
                <w:rFonts w:ascii="Times New Roman" w:eastAsia="Times New Roman" w:hAnsi="Times New Roman" w:cs="Times New Roman"/>
                <w:sz w:val="20"/>
                <w:szCs w:val="20"/>
                <w:lang w:eastAsia="en-ZA"/>
              </w:rPr>
              <w:t>(Nunes et al. 2017)</w:t>
            </w:r>
            <w:r w:rsidRPr="00222D02">
              <w:rPr>
                <w:rFonts w:ascii="Times New Roman" w:eastAsia="Times New Roman" w:hAnsi="Times New Roman" w:cs="Times New Roman"/>
                <w:sz w:val="20"/>
                <w:szCs w:val="20"/>
                <w:lang w:eastAsia="en-ZA"/>
              </w:rPr>
              <w:fldChar w:fldCharType="end"/>
            </w:r>
            <w:r w:rsidRPr="00222D02">
              <w:rPr>
                <w:rFonts w:ascii="Times New Roman" w:eastAsia="Times New Roman" w:hAnsi="Times New Roman" w:cs="Times New Roman"/>
                <w:sz w:val="20"/>
                <w:szCs w:val="20"/>
                <w:lang w:eastAsia="en-ZA"/>
              </w:rPr>
              <w:t xml:space="preserve">, therefore it is probable (p = 1) that </w:t>
            </w:r>
            <w:r w:rsidRPr="00222D02">
              <w:rPr>
                <w:rFonts w:ascii="Times New Roman" w:eastAsia="Times New Roman" w:hAnsi="Times New Roman" w:cs="Times New Roman"/>
                <w:i/>
                <w:iCs/>
                <w:sz w:val="20"/>
                <w:szCs w:val="20"/>
                <w:lang w:eastAsia="en-ZA"/>
              </w:rPr>
              <w:t xml:space="preserve">C. quadricarinatus </w:t>
            </w:r>
            <w:r w:rsidRPr="00222D02">
              <w:rPr>
                <w:rFonts w:ascii="Times New Roman" w:eastAsia="Times New Roman" w:hAnsi="Times New Roman" w:cs="Times New Roman"/>
                <w:sz w:val="20"/>
                <w:szCs w:val="20"/>
                <w:lang w:eastAsia="en-ZA"/>
              </w:rPr>
              <w:t xml:space="preserve">will re-enter the country via unaided pathways. </w:t>
            </w:r>
          </w:p>
        </w:tc>
      </w:tr>
      <w:tr w:rsidR="002D7080" w:rsidRPr="00222D02" w14:paraId="38C96D21" w14:textId="77777777" w:rsidTr="002E2C37">
        <w:tc>
          <w:tcPr>
            <w:tcW w:w="9016" w:type="dxa"/>
            <w:gridSpan w:val="2"/>
          </w:tcPr>
          <w:p w14:paraId="348CB429" w14:textId="77777777"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References: </w:t>
            </w:r>
          </w:p>
          <w:p w14:paraId="14E862BD" w14:textId="32FAA79A"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Douthwaite, R.J., Jones, E.W., Tyser, A.B. &amp; Vrdoljak, S.M., 2018, ‘The introduction, spread and ecology of redclaw crayfish </w:t>
            </w:r>
            <w:r w:rsidRPr="00222D02">
              <w:rPr>
                <w:rFonts w:ascii="Times New Roman" w:eastAsia="Times New Roman" w:hAnsi="Times New Roman" w:cs="Times New Roman"/>
                <w:i/>
                <w:iCs/>
                <w:sz w:val="20"/>
                <w:szCs w:val="20"/>
                <w:lang w:eastAsia="en-ZA"/>
              </w:rPr>
              <w:t xml:space="preserve">Cherax quadricarinatus </w:t>
            </w:r>
            <w:r w:rsidRPr="00222D02">
              <w:rPr>
                <w:rFonts w:ascii="Times New Roman" w:eastAsia="Times New Roman" w:hAnsi="Times New Roman" w:cs="Times New Roman"/>
                <w:sz w:val="20"/>
                <w:szCs w:val="20"/>
                <w:lang w:eastAsia="en-ZA"/>
              </w:rPr>
              <w:t xml:space="preserve">in the Zambezi catchment’, </w:t>
            </w:r>
            <w:r w:rsidRPr="00222D02">
              <w:rPr>
                <w:rFonts w:ascii="Times New Roman" w:eastAsia="Times New Roman" w:hAnsi="Times New Roman" w:cs="Times New Roman"/>
                <w:i/>
                <w:sz w:val="20"/>
                <w:szCs w:val="20"/>
                <w:lang w:eastAsia="en-ZA"/>
              </w:rPr>
              <w:t>African Journal of Aquatic Science</w:t>
            </w:r>
            <w:r w:rsidRPr="00222D02">
              <w:rPr>
                <w:rFonts w:ascii="Times New Roman" w:eastAsia="Times New Roman" w:hAnsi="Times New Roman" w:cs="Times New Roman"/>
                <w:sz w:val="20"/>
                <w:szCs w:val="20"/>
                <w:lang w:eastAsia="en-ZA"/>
              </w:rPr>
              <w:t xml:space="preserve"> 43, 353–366. </w:t>
            </w:r>
            <w:r w:rsidR="00716A79" w:rsidRPr="00716A79">
              <w:rPr>
                <w:rFonts w:ascii="Times New Roman" w:eastAsia="Times New Roman" w:hAnsi="Times New Roman" w:cs="Times New Roman"/>
                <w:sz w:val="20"/>
                <w:szCs w:val="20"/>
                <w:lang w:eastAsia="en-ZA"/>
              </w:rPr>
              <w:t>https://doi.org/10.2989/16085914.2018.1517080</w:t>
            </w:r>
            <w:r w:rsidRPr="00222D02">
              <w:rPr>
                <w:rFonts w:ascii="Times New Roman" w:eastAsia="Times New Roman" w:hAnsi="Times New Roman" w:cs="Times New Roman"/>
                <w:sz w:val="20"/>
                <w:szCs w:val="20"/>
                <w:lang w:eastAsia="en-ZA"/>
              </w:rPr>
              <w:t>.</w:t>
            </w:r>
          </w:p>
          <w:p w14:paraId="322097F8" w14:textId="54FC8E4B" w:rsidR="002D7080" w:rsidRPr="00222D02" w:rsidRDefault="002D7080" w:rsidP="00C52E1A">
            <w:pPr>
              <w:ind w:left="720" w:hanging="720"/>
              <w:contextualSpacing/>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Madzivanzira, T.C., South, J,, Ellender. B.R., Chalmers, R., Chisule, G., Coppinger, C.R., et al., 2021, ‘Distribution and establishment of the alien Australian redclaw crayfish, </w:t>
            </w:r>
            <w:r w:rsidRPr="00222D02">
              <w:rPr>
                <w:rStyle w:val="cf01"/>
                <w:rFonts w:ascii="Times New Roman" w:hAnsi="Times New Roman" w:cs="Times New Roman"/>
                <w:i/>
                <w:iCs/>
                <w:sz w:val="20"/>
                <w:szCs w:val="20"/>
              </w:rPr>
              <w:t>Cherax quadricarinatus</w:t>
            </w:r>
            <w:r w:rsidRPr="00222D02">
              <w:rPr>
                <w:rStyle w:val="cf01"/>
                <w:rFonts w:ascii="Times New Roman" w:hAnsi="Times New Roman" w:cs="Times New Roman"/>
                <w:sz w:val="20"/>
                <w:szCs w:val="20"/>
              </w:rPr>
              <w:t xml:space="preserve">, in the Zambezi Basin’, </w:t>
            </w:r>
            <w:r w:rsidRPr="00222D02">
              <w:rPr>
                <w:rStyle w:val="cf01"/>
                <w:rFonts w:ascii="Times New Roman" w:hAnsi="Times New Roman" w:cs="Times New Roman"/>
                <w:i/>
                <w:iCs/>
                <w:sz w:val="20"/>
                <w:szCs w:val="20"/>
              </w:rPr>
              <w:t>Aquatic conservation: Marine and Freshwater Ecosystems</w:t>
            </w:r>
            <w:r w:rsidRPr="00222D02">
              <w:rPr>
                <w:rStyle w:val="cf01"/>
                <w:rFonts w:ascii="Times New Roman" w:hAnsi="Times New Roman" w:cs="Times New Roman"/>
                <w:sz w:val="20"/>
                <w:szCs w:val="20"/>
              </w:rPr>
              <w:t xml:space="preserve">, 31(11), 3156-3168. </w:t>
            </w:r>
            <w:r w:rsidR="00716A79" w:rsidRPr="00716A79">
              <w:rPr>
                <w:rFonts w:ascii="Times New Roman" w:hAnsi="Times New Roman" w:cs="Times New Roman"/>
                <w:sz w:val="20"/>
                <w:szCs w:val="20"/>
              </w:rPr>
              <w:t>. https://doi.org/10.1002/aqc.3703</w:t>
            </w:r>
            <w:r w:rsidRPr="00222D02">
              <w:rPr>
                <w:rStyle w:val="cf01"/>
                <w:rFonts w:ascii="Times New Roman" w:hAnsi="Times New Roman" w:cs="Times New Roman"/>
                <w:sz w:val="20"/>
                <w:szCs w:val="20"/>
              </w:rPr>
              <w:t>.</w:t>
            </w:r>
          </w:p>
          <w:p w14:paraId="2772DE7C" w14:textId="77EBC64C" w:rsidR="002D7080" w:rsidRPr="00222D02" w:rsidRDefault="002D7080" w:rsidP="00C52E1A">
            <w:pPr>
              <w:ind w:left="720" w:hanging="720"/>
              <w:contextualSpacing/>
              <w:jc w:val="both"/>
              <w:rPr>
                <w:rFonts w:ascii="Times New Roman" w:eastAsia="Times New Roman" w:hAnsi="Times New Roman" w:cs="Times New Roman"/>
                <w:bCs/>
                <w:i/>
                <w:iCs/>
                <w:sz w:val="20"/>
                <w:szCs w:val="20"/>
                <w:lang w:eastAsia="en-ZA"/>
              </w:rPr>
            </w:pPr>
            <w:r w:rsidRPr="00222D02">
              <w:rPr>
                <w:rFonts w:ascii="Times New Roman" w:eastAsia="Times New Roman" w:hAnsi="Times New Roman" w:cs="Times New Roman"/>
                <w:sz w:val="20"/>
                <w:szCs w:val="20"/>
                <w:lang w:eastAsia="en-ZA"/>
              </w:rPr>
              <w:t>Marufu, L., Barson, M., Chifamba, P., Tiki, M. &amp; Nhiwatiwa, T., 2018, ’</w:t>
            </w:r>
            <w:r w:rsidRPr="00222D02">
              <w:rPr>
                <w:rFonts w:ascii="Times New Roman" w:eastAsia="Times New Roman" w:hAnsi="Times New Roman" w:cs="Times New Roman"/>
                <w:bCs/>
                <w:sz w:val="20"/>
                <w:szCs w:val="20"/>
                <w:lang w:eastAsia="en-ZA"/>
              </w:rPr>
              <w:t xml:space="preserve">The population dynamics of a recently introduced crayfish, </w:t>
            </w:r>
            <w:r w:rsidRPr="00222D02">
              <w:rPr>
                <w:rFonts w:ascii="Times New Roman" w:eastAsia="Times New Roman" w:hAnsi="Times New Roman" w:cs="Times New Roman"/>
                <w:bCs/>
                <w:i/>
                <w:iCs/>
                <w:sz w:val="20"/>
                <w:szCs w:val="20"/>
                <w:lang w:eastAsia="en-ZA"/>
              </w:rPr>
              <w:t xml:space="preserve">Cherax quadricarinatus </w:t>
            </w:r>
            <w:r w:rsidRPr="00222D02">
              <w:rPr>
                <w:rFonts w:ascii="Times New Roman" w:eastAsia="Times New Roman" w:hAnsi="Times New Roman" w:cs="Times New Roman"/>
                <w:bCs/>
                <w:sz w:val="20"/>
                <w:szCs w:val="20"/>
                <w:lang w:eastAsia="en-ZA"/>
              </w:rPr>
              <w:t xml:space="preserve">(von Martens, 1868), in the Sanyati Basin of Lake Kariba, Zimbabwe’, </w:t>
            </w:r>
            <w:r w:rsidRPr="00222D02">
              <w:rPr>
                <w:rFonts w:ascii="Times New Roman" w:eastAsia="Times New Roman" w:hAnsi="Times New Roman" w:cs="Times New Roman"/>
                <w:i/>
                <w:iCs/>
                <w:sz w:val="20"/>
                <w:szCs w:val="20"/>
                <w:lang w:eastAsia="en-ZA"/>
              </w:rPr>
              <w:t xml:space="preserve">African Zoology </w:t>
            </w:r>
            <w:r w:rsidRPr="00222D02">
              <w:rPr>
                <w:rFonts w:ascii="Times New Roman" w:eastAsia="Times New Roman" w:hAnsi="Times New Roman" w:cs="Times New Roman"/>
                <w:sz w:val="20"/>
                <w:szCs w:val="20"/>
                <w:lang w:eastAsia="en-ZA"/>
              </w:rPr>
              <w:t xml:space="preserve">53, 17–22. </w:t>
            </w:r>
            <w:r w:rsidR="00716A79" w:rsidRPr="00716A79">
              <w:rPr>
                <w:rFonts w:ascii="Times New Roman" w:eastAsia="Times New Roman" w:hAnsi="Times New Roman" w:cs="Times New Roman"/>
                <w:sz w:val="20"/>
                <w:szCs w:val="20"/>
                <w:lang w:eastAsia="en-ZA"/>
              </w:rPr>
              <w:t>https://doi.org/10.1080/15627020.2018.1448719</w:t>
            </w:r>
            <w:r w:rsidRPr="00222D02">
              <w:rPr>
                <w:rFonts w:ascii="Times New Roman" w:eastAsia="Times New Roman" w:hAnsi="Times New Roman" w:cs="Times New Roman"/>
                <w:sz w:val="20"/>
                <w:szCs w:val="20"/>
                <w:lang w:eastAsia="en-ZA"/>
              </w:rPr>
              <w:t>.</w:t>
            </w:r>
          </w:p>
          <w:p w14:paraId="7CCE0945" w14:textId="2B233B1C"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xml:space="preserve">, in South Africa and Swaziland’, </w:t>
            </w:r>
            <w:r w:rsidRPr="00222D02">
              <w:rPr>
                <w:rFonts w:ascii="Times New Roman" w:eastAsia="Times New Roman" w:hAnsi="Times New Roman" w:cs="Times New Roman"/>
                <w:i/>
                <w:iCs/>
                <w:sz w:val="20"/>
                <w:szCs w:val="20"/>
                <w:lang w:eastAsia="en-ZA"/>
              </w:rPr>
              <w:t xml:space="preserve">PeerJ </w:t>
            </w:r>
            <w:r w:rsidRPr="00222D02">
              <w:rPr>
                <w:rFonts w:ascii="Times New Roman" w:eastAsia="Times New Roman" w:hAnsi="Times New Roman" w:cs="Times New Roman"/>
                <w:iCs/>
                <w:sz w:val="20"/>
                <w:szCs w:val="20"/>
                <w:lang w:eastAsia="en-ZA"/>
              </w:rPr>
              <w:t>5</w:t>
            </w:r>
            <w:r w:rsidRPr="00222D02">
              <w:rPr>
                <w:rFonts w:ascii="Times New Roman" w:eastAsia="Times New Roman" w:hAnsi="Times New Roman" w:cs="Times New Roman"/>
                <w:sz w:val="20"/>
                <w:szCs w:val="20"/>
                <w:lang w:eastAsia="en-ZA"/>
              </w:rPr>
              <w:t xml:space="preserve">, 1-21. </w:t>
            </w:r>
            <w:r w:rsidR="00716A79" w:rsidRPr="00716A79">
              <w:rPr>
                <w:rFonts w:ascii="Times New Roman" w:eastAsia="Times New Roman" w:hAnsi="Times New Roman" w:cs="Times New Roman"/>
                <w:sz w:val="20"/>
                <w:szCs w:val="20"/>
                <w:lang w:eastAsia="en-ZA"/>
              </w:rPr>
              <w:t>http://dx.doi.org/10.7717/peerj.3135</w:t>
            </w:r>
            <w:r w:rsidRPr="00222D02">
              <w:rPr>
                <w:rFonts w:ascii="Times New Roman" w:eastAsia="Times New Roman" w:hAnsi="Times New Roman" w:cs="Times New Roman"/>
                <w:sz w:val="20"/>
                <w:szCs w:val="20"/>
                <w:lang w:eastAsia="en-ZA"/>
              </w:rPr>
              <w:t>.</w:t>
            </w:r>
          </w:p>
          <w:p w14:paraId="07468E30" w14:textId="019F716D"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Petersen, R.M., Hoffman, A.C., Kotze, P. &amp; Marr, S.M., 2017, ‘First record of the invasive Australian redclaw crayfish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xml:space="preserve"> (von Martens, 1868) in the Crocodile River, Kruger National Park, South Africa’, </w:t>
            </w:r>
            <w:r w:rsidRPr="00222D02">
              <w:rPr>
                <w:rFonts w:ascii="Times New Roman" w:eastAsia="Times New Roman" w:hAnsi="Times New Roman" w:cs="Times New Roman"/>
                <w:i/>
                <w:iCs/>
                <w:sz w:val="20"/>
                <w:szCs w:val="20"/>
                <w:lang w:eastAsia="en-ZA"/>
              </w:rPr>
              <w:t>Koedoe</w:t>
            </w:r>
            <w:r w:rsidRPr="00222D02">
              <w:rPr>
                <w:rFonts w:ascii="Times New Roman" w:eastAsia="Times New Roman" w:hAnsi="Times New Roman" w:cs="Times New Roman"/>
                <w:sz w:val="20"/>
                <w:szCs w:val="20"/>
                <w:lang w:eastAsia="en-ZA"/>
              </w:rPr>
              <w:t xml:space="preserve"> </w:t>
            </w:r>
            <w:r w:rsidRPr="00222D02">
              <w:rPr>
                <w:rFonts w:ascii="Times New Roman" w:eastAsia="Times New Roman" w:hAnsi="Times New Roman" w:cs="Times New Roman"/>
                <w:iCs/>
                <w:sz w:val="20"/>
                <w:szCs w:val="20"/>
                <w:lang w:eastAsia="en-ZA"/>
              </w:rPr>
              <w:t>59</w:t>
            </w:r>
            <w:r w:rsidRPr="00222D02">
              <w:rPr>
                <w:rFonts w:ascii="Times New Roman" w:eastAsia="Times New Roman" w:hAnsi="Times New Roman" w:cs="Times New Roman"/>
                <w:sz w:val="20"/>
                <w:szCs w:val="20"/>
                <w:lang w:eastAsia="en-ZA"/>
              </w:rPr>
              <w:t xml:space="preserve">, 1–3. </w:t>
            </w:r>
            <w:r w:rsidR="00716A79" w:rsidRPr="00716A79">
              <w:rPr>
                <w:rFonts w:ascii="Times New Roman" w:eastAsia="Times New Roman" w:hAnsi="Times New Roman" w:cs="Times New Roman"/>
                <w:sz w:val="20"/>
                <w:szCs w:val="20"/>
                <w:lang w:eastAsia="en-ZA"/>
              </w:rPr>
              <w:t>https://hdl.handle.net/10520/EJC-731116ccd</w:t>
            </w:r>
            <w:r w:rsidRPr="00222D02">
              <w:rPr>
                <w:rFonts w:ascii="Times New Roman" w:eastAsia="Times New Roman" w:hAnsi="Times New Roman" w:cs="Times New Roman"/>
                <w:sz w:val="20"/>
                <w:szCs w:val="20"/>
                <w:lang w:eastAsia="en-ZA"/>
              </w:rPr>
              <w:t>.</w:t>
            </w:r>
          </w:p>
        </w:tc>
      </w:tr>
    </w:tbl>
    <w:p w14:paraId="226C4C7A"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222D02" w14:paraId="4227CCDD" w14:textId="77777777" w:rsidTr="002E2C37">
        <w:tc>
          <w:tcPr>
            <w:tcW w:w="9016" w:type="dxa"/>
            <w:gridSpan w:val="2"/>
            <w:shd w:val="clear" w:color="auto" w:fill="F2F2F2" w:themeFill="background1" w:themeFillShade="F2"/>
          </w:tcPr>
          <w:p w14:paraId="2FBEB4B8"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lastRenderedPageBreak/>
              <w:t>LIK2 Likelihood of entry via human aided primary pathways</w:t>
            </w:r>
          </w:p>
        </w:tc>
      </w:tr>
      <w:tr w:rsidR="002D7080" w:rsidRPr="00222D02" w14:paraId="48060CAD" w14:textId="77777777" w:rsidTr="002E2C37">
        <w:tc>
          <w:tcPr>
            <w:tcW w:w="5524" w:type="dxa"/>
          </w:tcPr>
          <w:p w14:paraId="0BEB01D8"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Present in the country (p = 1)</w:t>
            </w:r>
          </w:p>
        </w:tc>
        <w:tc>
          <w:tcPr>
            <w:tcW w:w="3492" w:type="dxa"/>
          </w:tcPr>
          <w:p w14:paraId="51B280DA"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330B56CA" w14:textId="77777777" w:rsidTr="002E2C37">
        <w:tc>
          <w:tcPr>
            <w:tcW w:w="9016" w:type="dxa"/>
            <w:gridSpan w:val="2"/>
          </w:tcPr>
          <w:p w14:paraId="2B212EC0"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is currently present in the country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"10.7717/peerj.3135", "ISBN" : "21678359 (ISSN)", "ISSN" : "2167-8359", "PMID" : "28439454", "abstract" : "Background. The Australian redclaw crayfish (Cherax quadricarinatus, von Martens), is native to Australasia, but has been widely translocated around the world due to aquaculture and aquarium trade. Mostly as a result of escape from aquaculture facilities, this species has established extralimital populations in Australia and alien populations in Europe, Asia, Central America and Africa. In South Africa, C. quadricarinatus was first sampled from the wild in 2002 in the Komati River, following its escape from an aquaculture facility in Swaziland, but data on the current status of its populations are not available. Methods. To establish a better understanding of its distribution, rate of spread and population status, we surveyed a total of 46 sites in various river systems in South Africa and Swaziland. Surveys were performed between September 2015 and August 2016 and involved visual observations and the use of collapsible crayfish traps. Results. Cherax quadricarinatus is now present in the Komati, Lomati, Mbuluzi, Mlawula and Usutu rivers, and it was also detected in several off-channel irrigation impoundments. Where present, it was generally abundant, with populations having multiple size cohorts and containing ovigerous females. In the Komati River, it has spread more than 112 km downstream of the initial introduction point and 33 km upstream of a tributary, resulting in a mean spread rate of 8 km year \u22121 downstream and 4.7 km year \u22121 upstream. In Swaziland, estimated downstream spread rate might reach 14.6 km year \u22121 . Individuals were generally larger and heavier closer to the introduction site, which might be linked to juvenile dispersal. Discussion. These findings demonstrate that C. quadricarinatus is established in South Africa and Swaziland and that the species has spread, not only within the river where it was first introduced, but also between rivers. Considering the strong impacts that alien crayfish usually have on invaded ecosystems, assessments of its potential impacts on native freshwater biota and an evaluation of possible control measures are, therefore, urgent requirements.", "author" : [ { "dropping-particle" : "", "family" : "Nunes", "given" : "Ana L.", "non-dropping-particle" : "", "parse-names" : false, "suffix" : "" }, { "dropping-particle" : "", "family" : "Zengeya", "given" : "Tsungai A.", "non-dropping-particle" : "", "parse-names" : false, "suffix" : "" }, { "dropping-particle" : "", "family" : "Hoffman", "given" : "Andries C.", "non-dropping-particle" : "", "parse-names" : false, "suffix" : "" }, { "dropping-particle" : "", "family" : "Measey", "given" : "G. John", "non-dropping-particle" : "", "parse-names" : false, "suffix" : "" }, { "dropping-particle" : "", "family" : "Weyl", "given" : "Olaf L.F.", "non-dropping-particle" : "", "parse-names" : false, "suffix" : "" } ], "container-title" : "PeerJ", "id" : "ITEM-1", "issued" : { "date-parts" : [ [ "2017" ] ] }, "page" : "e3135", "title" : "Distribution and establishment of the alien Australian redclaw crayfish, &lt;i&gt;Cherax quadricarinatus&lt;/i&gt; , in South Africa and Swaziland", "type" : "article-journal", "volume" : "5" }, "uris" : [ "http://www.mendeley.com/documents/?uuid=09e3f7e4-ebe7-4773-815c-0ea02776a567" ] }, { "id" : "ITEM-2", "itemData" : { "author" : [ { "dropping-particle" : "", "family" : "Petersen", "given" : "RM", "non-dropping-particle" : "", "parse-names" : false, "suffix" : "" }, { "dropping-particle" : "", "family" : "Hoffman", "given" : "Andries C", "non-dropping-particle" : "", "parse-names" : false, "suffix" : "" }, { "dropping-particle" : "", "family" : "Kotze", "given" : "Pieter", "non-dropping-particle" : "", "parse-names" : false, "suffix" : "" }, { "dropping-particle" : "", "family" : "Marr", "given" : "Sean M", "non-dropping-particle" : "", "parse-names" : false, "suffix" : "" } ], "id" : "ITEM-2", "issued" : { "date-parts" : [ [ "2017" ] ] }, "page" : "1-3", "title" : "First record of the invasive Australian redclaw crayfish Cherax quadricarinatus ( von Martens , 1868 ) in the Crocodile River , Kruger National Park , South Africa", "type" : "article-journal" }, "uris" : [ "http://www.mendeley.com/documents/?uuid=4432ee78-0d46-4c49-9b53-e94aecb485ad" ] } ], "mendeley" : { "formattedCitation" : "(Nunes et al. 2017a, Petersen et al. 2017)", "plainTextFormattedCitation" : "(Nunes et al. 2017a, Petersen et al. 2017)", "previouslyFormattedCitation" : "(Nunes et al. 2017a, Petersen et al. 2017)"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222D02">
              <w:rPr>
                <w:rFonts w:ascii="Times New Roman" w:eastAsia="Times New Roman" w:hAnsi="Times New Roman" w:cs="Times New Roman"/>
                <w:sz w:val="20"/>
                <w:szCs w:val="20"/>
                <w:lang w:eastAsia="en-ZA"/>
              </w:rPr>
              <w:t>Nunes et al. 2017; Petersen et al. 2017a)</w:t>
            </w:r>
            <w:r w:rsidRPr="00222D02">
              <w:rPr>
                <w:rFonts w:ascii="Times New Roman" w:eastAsia="Times New Roman" w:hAnsi="Times New Roman" w:cs="Times New Roman"/>
                <w:sz w:val="20"/>
                <w:szCs w:val="20"/>
                <w:lang w:eastAsia="en-ZA"/>
              </w:rPr>
              <w:fldChar w:fldCharType="end"/>
            </w:r>
            <w:r w:rsidRPr="00222D02">
              <w:rPr>
                <w:rFonts w:ascii="Times New Roman" w:eastAsia="Times New Roman" w:hAnsi="Times New Roman" w:cs="Times New Roman"/>
                <w:sz w:val="20"/>
                <w:szCs w:val="20"/>
                <w:lang w:eastAsia="en-ZA"/>
              </w:rPr>
              <w:t xml:space="preserve">. In terms of the likelihood of future introductions into South Africa, </w:t>
            </w:r>
            <w:r w:rsidRPr="00222D02">
              <w:rPr>
                <w:rFonts w:ascii="Times New Roman" w:eastAsia="Times New Roman" w:hAnsi="Times New Roman" w:cs="Times New Roman"/>
                <w:i/>
                <w:iCs/>
                <w:sz w:val="20"/>
                <w:szCs w:val="20"/>
                <w:lang w:eastAsia="en-ZA"/>
              </w:rPr>
              <w:t xml:space="preserve">C. quadricarinatus </w:t>
            </w:r>
            <w:r w:rsidRPr="00222D02">
              <w:rPr>
                <w:rFonts w:ascii="Times New Roman" w:eastAsia="Times New Roman" w:hAnsi="Times New Roman" w:cs="Times New Roman"/>
                <w:sz w:val="20"/>
                <w:szCs w:val="20"/>
                <w:lang w:eastAsia="en-ZA"/>
              </w:rPr>
              <w:t xml:space="preserve">is likely to be introduced for aquaculture and the pet trade, from which escapees are likely to occur (Nunes et al. 2017; Petersen et al. 2017). In addition, crayfish are used as bait for fishing in neighbouring countries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"10.2989/16085914.2018.1517080", "author" : [ { "dropping-particle" : "", "family" : "Douthwaite", "given" : "R J", "non-dropping-particle" : "", "parse-names" : false, "suffix" : "" }, { "dropping-particle" : "", "family" : "Jones", "given" : "E W", "non-dropping-particle" : "", "parse-names" : false, "suffix" : "" }, { "dropping-particle" : "", "family" : "Tyser", "given" : "A B", "non-dropping-particle" : "", "parse-names" : false, "suffix" : "" }, { "dropping-particle" : "", "family" : "Vrdoljak", "given" : "S M", "non-dropping-particle" : "", "parse-names" : false, "suffix" : "" } ], "id" : "ITEM-1", "issued" : { "date-parts" : [ [ "2018" ] ] }, "title" : "The introduction , spread and ecology of redclaw crayfish Cherax quadricarinatus in the Zambezi catchment", "type" : "article-journal", "volume" : "5914" }, "uris" : [ "http://www.mendeley.com/documents/?uuid=d1144703-789e-43c5-b72c-9dc75db8a86e" ] }, { "id" : "ITEM-2", "itemData" : { "DOI" : "10.1051/kmae/2014019", "ISSN" : "1961-9502", "abstract" : "The private stocking of ornamental crayfish in garden ponds was discussed in previous studies, but there is a lack of detailed analysis for better understanding of this introduction pathway. The Czech Republic is one of leading EU countries in trade with ornamental crayfish and private garden ponds are popular among people. The crayfish keepers in the country were interviewed by self-administered questionnaire to gather data about principal characteristics of the keepers and detailed information about crayfish breeding that are of interest for conservation managers. Besides of releasing crayfish into garden ponds, alarming illegal behavior such as releasing of juvenile crayfish into the wild, and capturing of indigenous crayfish from wild populations, were registered. Therefore focusing on public education to increase awareness of possible unwanted consequences of crayfish release and introduction of an obligation to inform customers about hazardousness of non-indigenous crayfish species for retailers and wholesalers is recommended.", "author" : [ { "dropping-particle" : "", "family" : "Patoka", "given" : "J.", "non-dropping-particle" : "", "parse-names" : false, "suffix" : "" }, { "dropping-particle" : "", "family" : "Petrt\u00fdl", "given" : "M.", "non-dropping-particle" : "", "parse-names" : false, "suffix" : "" }, { "dropping-particle" : "", "family" : "Kalous", "given" : "L.", "non-dropping-particle" : "", "parse-names" : false, "suffix" : "" } ], "container-title" : "Knowledge and Management of Aquatic Ecosystems", "id" : "ITEM-2", "issue" : "414", "issued" : { "date-parts" : [ [ "2014" ] ] }, "page" : "13", "title" : "Garden ponds as potential introduction pathway of ornamental crayfish", "type" : "article-journal" }, "uris" : [ "http://www.mendeley.com/documents/?uuid=5d67a60d-a161-4e2a-a166-80b921806518" ] } ], "mendeley" : { "formattedCitation" : "(Patoka et al. 2014, Douthwaite et al. 2018)", "plainTextFormattedCitation" : "(Patoka et al. 2014, Douthwaite et al. 2018)", "previouslyFormattedCitation" : "(Patoka et al. 2014, Douthwaite et al. 2018)"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222D02">
              <w:rPr>
                <w:rFonts w:ascii="Times New Roman" w:eastAsia="Times New Roman" w:hAnsi="Times New Roman" w:cs="Times New Roman"/>
                <w:sz w:val="20"/>
                <w:szCs w:val="20"/>
                <w:lang w:eastAsia="en-ZA"/>
              </w:rPr>
              <w:t xml:space="preserve"> (Douthwaite et al. 2018)</w:t>
            </w:r>
            <w:r w:rsidRPr="00222D02">
              <w:rPr>
                <w:rFonts w:ascii="Times New Roman" w:eastAsia="Times New Roman" w:hAnsi="Times New Roman" w:cs="Times New Roman"/>
                <w:sz w:val="20"/>
                <w:szCs w:val="20"/>
                <w:lang w:eastAsia="en-ZA"/>
              </w:rPr>
              <w:fldChar w:fldCharType="end"/>
            </w:r>
            <w:r w:rsidRPr="00222D02">
              <w:rPr>
                <w:rFonts w:ascii="Times New Roman" w:eastAsia="Times New Roman" w:hAnsi="Times New Roman" w:cs="Times New Roman"/>
                <w:sz w:val="20"/>
                <w:szCs w:val="20"/>
                <w:lang w:eastAsia="en-ZA"/>
              </w:rPr>
              <w:t>.</w:t>
            </w:r>
          </w:p>
        </w:tc>
      </w:tr>
      <w:tr w:rsidR="002D7080" w:rsidRPr="00222D02" w14:paraId="7BBB444C" w14:textId="77777777" w:rsidTr="002E2C37">
        <w:tc>
          <w:tcPr>
            <w:tcW w:w="9016" w:type="dxa"/>
            <w:gridSpan w:val="2"/>
          </w:tcPr>
          <w:p w14:paraId="550D5175" w14:textId="77777777"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References: </w:t>
            </w:r>
          </w:p>
          <w:p w14:paraId="7AFAD9AE" w14:textId="5CCF0450"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Douthwaite, R.J., Jones, E.W., Tyser, A.B. &amp; Vrdoljak, S.M., 2018, ‘The introduction, spread and ecology of redclaw crayfish </w:t>
            </w:r>
            <w:r w:rsidRPr="00222D02">
              <w:rPr>
                <w:rFonts w:ascii="Times New Roman" w:eastAsia="Times New Roman" w:hAnsi="Times New Roman" w:cs="Times New Roman"/>
                <w:i/>
                <w:iCs/>
                <w:sz w:val="20"/>
                <w:szCs w:val="20"/>
                <w:lang w:eastAsia="en-ZA"/>
              </w:rPr>
              <w:t xml:space="preserve">Cherax quadricarinatus </w:t>
            </w:r>
            <w:r w:rsidRPr="00222D02">
              <w:rPr>
                <w:rFonts w:ascii="Times New Roman" w:eastAsia="Times New Roman" w:hAnsi="Times New Roman" w:cs="Times New Roman"/>
                <w:sz w:val="20"/>
                <w:szCs w:val="20"/>
                <w:lang w:eastAsia="en-ZA"/>
              </w:rPr>
              <w:t xml:space="preserve">in the Zambezi catchment’, </w:t>
            </w:r>
            <w:r w:rsidRPr="00222D02">
              <w:rPr>
                <w:rFonts w:ascii="Times New Roman" w:eastAsia="Times New Roman" w:hAnsi="Times New Roman" w:cs="Times New Roman"/>
                <w:i/>
                <w:sz w:val="20"/>
                <w:szCs w:val="20"/>
                <w:lang w:eastAsia="en-ZA"/>
              </w:rPr>
              <w:t>African Journal of Aquatic Science</w:t>
            </w:r>
            <w:r w:rsidRPr="00222D02">
              <w:rPr>
                <w:rFonts w:ascii="Times New Roman" w:eastAsia="Times New Roman" w:hAnsi="Times New Roman" w:cs="Times New Roman"/>
                <w:sz w:val="20"/>
                <w:szCs w:val="20"/>
                <w:lang w:eastAsia="en-ZA"/>
              </w:rPr>
              <w:t xml:space="preserve"> 43, 353–366</w:t>
            </w:r>
            <w:r w:rsidR="00716A79" w:rsidRPr="00716A79">
              <w:rPr>
                <w:rFonts w:ascii="Times New Roman" w:eastAsia="Times New Roman" w:hAnsi="Times New Roman" w:cs="Times New Roman"/>
                <w:sz w:val="20"/>
                <w:szCs w:val="20"/>
                <w:lang w:eastAsia="en-ZA"/>
              </w:rPr>
              <w:t>. https://doi.org/10.2989/16085914.2018.1517080</w:t>
            </w:r>
            <w:r w:rsidRPr="00222D02">
              <w:rPr>
                <w:rFonts w:ascii="Times New Roman" w:eastAsia="Times New Roman" w:hAnsi="Times New Roman" w:cs="Times New Roman"/>
                <w:sz w:val="20"/>
                <w:szCs w:val="20"/>
                <w:lang w:eastAsia="en-ZA"/>
              </w:rPr>
              <w:t>.</w:t>
            </w:r>
          </w:p>
          <w:p w14:paraId="047DE2CC" w14:textId="580D0D1D"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xml:space="preserve">, in South Africa and Swaziland’, </w:t>
            </w:r>
            <w:r w:rsidRPr="00222D02">
              <w:rPr>
                <w:rFonts w:ascii="Times New Roman" w:eastAsia="Times New Roman" w:hAnsi="Times New Roman" w:cs="Times New Roman"/>
                <w:i/>
                <w:iCs/>
                <w:sz w:val="20"/>
                <w:szCs w:val="20"/>
                <w:lang w:eastAsia="en-ZA"/>
              </w:rPr>
              <w:t xml:space="preserve">PeerJ </w:t>
            </w:r>
            <w:r w:rsidRPr="00222D02">
              <w:rPr>
                <w:rFonts w:ascii="Times New Roman" w:eastAsia="Times New Roman" w:hAnsi="Times New Roman" w:cs="Times New Roman"/>
                <w:iCs/>
                <w:sz w:val="20"/>
                <w:szCs w:val="20"/>
                <w:lang w:eastAsia="en-ZA"/>
              </w:rPr>
              <w:t>5</w:t>
            </w:r>
            <w:r w:rsidRPr="00222D02">
              <w:rPr>
                <w:rFonts w:ascii="Times New Roman" w:eastAsia="Times New Roman" w:hAnsi="Times New Roman" w:cs="Times New Roman"/>
                <w:sz w:val="20"/>
                <w:szCs w:val="20"/>
                <w:lang w:eastAsia="en-ZA"/>
              </w:rPr>
              <w:t xml:space="preserve">, 1-21. </w:t>
            </w:r>
            <w:hyperlink r:id="rId156" w:history="1">
              <w:r w:rsidR="00716A79" w:rsidRPr="00F215B9">
                <w:rPr>
                  <w:rStyle w:val="Hyperlink"/>
                  <w:rFonts w:ascii="Times New Roman" w:eastAsia="Times New Roman" w:hAnsi="Times New Roman" w:cs="Times New Roman"/>
                  <w:sz w:val="20"/>
                  <w:szCs w:val="20"/>
                  <w:lang w:eastAsia="en-ZA"/>
                </w:rPr>
                <w:t>https://doi.org/10.7717/peerj.3135</w:t>
              </w:r>
            </w:hyperlink>
            <w:r w:rsidRPr="00222D02">
              <w:rPr>
                <w:rFonts w:ascii="Times New Roman" w:eastAsia="Times New Roman" w:hAnsi="Times New Roman" w:cs="Times New Roman"/>
                <w:sz w:val="20"/>
                <w:szCs w:val="20"/>
                <w:lang w:eastAsia="en-ZA"/>
              </w:rPr>
              <w:t>.</w:t>
            </w:r>
            <w:r w:rsidR="00716A79">
              <w:rPr>
                <w:rFonts w:ascii="Times New Roman" w:eastAsia="Times New Roman" w:hAnsi="Times New Roman" w:cs="Times New Roman"/>
                <w:sz w:val="20"/>
                <w:szCs w:val="20"/>
                <w:lang w:eastAsia="en-ZA"/>
              </w:rPr>
              <w:t xml:space="preserve"> </w:t>
            </w:r>
          </w:p>
          <w:p w14:paraId="6C7265E0" w14:textId="0CE5673B"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Petersen, R.M., Hoffman, A.C., Kotze, P. &amp; Marr, S.M., 2017, ‘First record of the invasive Australian redclaw crayfish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xml:space="preserve"> (von Martens, 1868) in the Crocodile River, Kruger National Park, South Africa’, </w:t>
            </w:r>
            <w:r w:rsidRPr="00222D02">
              <w:rPr>
                <w:rFonts w:ascii="Times New Roman" w:eastAsia="Times New Roman" w:hAnsi="Times New Roman" w:cs="Times New Roman"/>
                <w:i/>
                <w:iCs/>
                <w:sz w:val="20"/>
                <w:szCs w:val="20"/>
                <w:lang w:eastAsia="en-ZA"/>
              </w:rPr>
              <w:t>Koedoe</w:t>
            </w:r>
            <w:r w:rsidRPr="00222D02">
              <w:rPr>
                <w:rFonts w:ascii="Times New Roman" w:eastAsia="Times New Roman" w:hAnsi="Times New Roman" w:cs="Times New Roman"/>
                <w:sz w:val="20"/>
                <w:szCs w:val="20"/>
                <w:lang w:eastAsia="en-ZA"/>
              </w:rPr>
              <w:t xml:space="preserve"> </w:t>
            </w:r>
            <w:r w:rsidRPr="00222D02">
              <w:rPr>
                <w:rFonts w:ascii="Times New Roman" w:eastAsia="Times New Roman" w:hAnsi="Times New Roman" w:cs="Times New Roman"/>
                <w:iCs/>
                <w:sz w:val="20"/>
                <w:szCs w:val="20"/>
                <w:lang w:eastAsia="en-ZA"/>
              </w:rPr>
              <w:t>59</w:t>
            </w:r>
            <w:r w:rsidRPr="00222D02">
              <w:rPr>
                <w:rFonts w:ascii="Times New Roman" w:eastAsia="Times New Roman" w:hAnsi="Times New Roman" w:cs="Times New Roman"/>
                <w:sz w:val="20"/>
                <w:szCs w:val="20"/>
                <w:lang w:eastAsia="en-ZA"/>
              </w:rPr>
              <w:t>, 1–3</w:t>
            </w:r>
            <w:r w:rsidR="00716A79" w:rsidRPr="00716A79">
              <w:rPr>
                <w:rFonts w:ascii="Times New Roman" w:eastAsia="Times New Roman" w:hAnsi="Times New Roman" w:cs="Times New Roman"/>
                <w:sz w:val="20"/>
                <w:szCs w:val="20"/>
                <w:lang w:eastAsia="en-ZA"/>
              </w:rPr>
              <w:t>. https://hdl.handle.net/10520/EJC-731116ccd</w:t>
            </w:r>
          </w:p>
        </w:tc>
      </w:tr>
    </w:tbl>
    <w:p w14:paraId="5A38169D" w14:textId="77777777" w:rsidR="002D7080" w:rsidRPr="00222D02"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222D02" w14:paraId="054010CF" w14:textId="77777777" w:rsidTr="002E2C37">
        <w:tc>
          <w:tcPr>
            <w:tcW w:w="9016" w:type="dxa"/>
            <w:gridSpan w:val="2"/>
            <w:shd w:val="clear" w:color="auto" w:fill="F2F2F2" w:themeFill="background1" w:themeFillShade="F2"/>
          </w:tcPr>
          <w:p w14:paraId="34C85A61"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LIK3 Habitat suitability</w:t>
            </w:r>
          </w:p>
        </w:tc>
      </w:tr>
      <w:tr w:rsidR="002D7080" w:rsidRPr="00222D02" w14:paraId="14636970" w14:textId="77777777" w:rsidTr="002E2C37">
        <w:tc>
          <w:tcPr>
            <w:tcW w:w="5524" w:type="dxa"/>
          </w:tcPr>
          <w:p w14:paraId="05D19950"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Probable (p = 1)</w:t>
            </w:r>
          </w:p>
        </w:tc>
        <w:tc>
          <w:tcPr>
            <w:tcW w:w="3492" w:type="dxa"/>
          </w:tcPr>
          <w:p w14:paraId="54F349CF"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11FD42DB" w14:textId="77777777" w:rsidTr="002E2C37">
        <w:tc>
          <w:tcPr>
            <w:tcW w:w="9016" w:type="dxa"/>
            <w:gridSpan w:val="2"/>
          </w:tcPr>
          <w:p w14:paraId="44D09BFE" w14:textId="48100DE8"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xml:space="preserve"> can occupy a wide range of aquatic systems including ponds and rivers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"mendeley" : { "formattedCitation" : "(de Moor 2002)", "plainTextFormattedCitation" : "(de Moor 2002)", "previouslyFormattedCitation" : "(de Moor 2002)"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222D02">
              <w:rPr>
                <w:rFonts w:ascii="Times New Roman" w:eastAsia="Times New Roman" w:hAnsi="Times New Roman" w:cs="Times New Roman"/>
                <w:sz w:val="20"/>
                <w:szCs w:val="20"/>
                <w:lang w:eastAsia="en-ZA"/>
              </w:rPr>
              <w:t>(Sallehuddin et al. 2021)</w:t>
            </w:r>
            <w:r w:rsidRPr="00222D02">
              <w:rPr>
                <w:rFonts w:ascii="Times New Roman" w:eastAsia="Times New Roman" w:hAnsi="Times New Roman" w:cs="Times New Roman"/>
                <w:sz w:val="20"/>
                <w:szCs w:val="20"/>
                <w:lang w:eastAsia="en-ZA"/>
              </w:rPr>
              <w:fldChar w:fldCharType="end"/>
            </w:r>
            <w:r w:rsidRPr="00222D02">
              <w:rPr>
                <w:rFonts w:ascii="Times New Roman" w:eastAsia="Times New Roman" w:hAnsi="Times New Roman" w:cs="Times New Roman"/>
                <w:sz w:val="20"/>
                <w:szCs w:val="20"/>
                <w:lang w:eastAsia="en-ZA"/>
              </w:rPr>
              <w:t xml:space="preserve">. </w:t>
            </w:r>
            <w:r w:rsidRPr="00222D02">
              <w:rPr>
                <w:rFonts w:ascii="Times New Roman" w:eastAsia="Times New Roman" w:hAnsi="Times New Roman" w:cs="Times New Roman"/>
                <w:i/>
                <w:iCs/>
                <w:sz w:val="20"/>
                <w:szCs w:val="20"/>
                <w:lang w:eastAsia="en-ZA"/>
              </w:rPr>
              <w:t xml:space="preserve">Cherax quadricarinatus </w:t>
            </w:r>
            <w:r w:rsidRPr="00222D02">
              <w:rPr>
                <w:rFonts w:ascii="Times New Roman" w:eastAsia="Times New Roman" w:hAnsi="Times New Roman" w:cs="Times New Roman"/>
                <w:sz w:val="20"/>
                <w:szCs w:val="20"/>
                <w:lang w:eastAsia="en-ZA"/>
              </w:rPr>
              <w:t>prefers rocky habitats with plenty of crevices for shelter and foraging, especially during the moulting phase (</w:t>
            </w:r>
            <w:r w:rsidR="008A0BC6">
              <w:rPr>
                <w:rFonts w:ascii="Times New Roman" w:eastAsia="Times New Roman" w:hAnsi="Times New Roman" w:cs="Times New Roman"/>
                <w:sz w:val="20"/>
                <w:szCs w:val="20"/>
                <w:lang w:eastAsia="en-ZA"/>
              </w:rPr>
              <w:t>De Moor</w:t>
            </w:r>
            <w:r w:rsidRPr="00222D02">
              <w:rPr>
                <w:rFonts w:ascii="Times New Roman" w:eastAsia="Times New Roman" w:hAnsi="Times New Roman" w:cs="Times New Roman"/>
                <w:sz w:val="20"/>
                <w:szCs w:val="20"/>
                <w:lang w:eastAsia="en-ZA"/>
              </w:rPr>
              <w:t xml:space="preserve"> 2002). These are present across the country (Nunes et al. 2017).</w:t>
            </w:r>
          </w:p>
        </w:tc>
      </w:tr>
      <w:tr w:rsidR="002D7080" w:rsidRPr="00222D02" w14:paraId="6D5F1AB0" w14:textId="77777777" w:rsidTr="002E2C37">
        <w:tc>
          <w:tcPr>
            <w:tcW w:w="9016" w:type="dxa"/>
            <w:gridSpan w:val="2"/>
          </w:tcPr>
          <w:p w14:paraId="3BFA8E65"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References: </w:t>
            </w:r>
          </w:p>
          <w:p w14:paraId="1635936F" w14:textId="57B5EC2B" w:rsidR="002D7080" w:rsidRPr="00222D02" w:rsidRDefault="008A0BC6" w:rsidP="00C52E1A">
            <w:pPr>
              <w:ind w:left="720" w:hanging="720"/>
              <w:contextualSpacing/>
              <w:jc w:val="both"/>
              <w:rPr>
                <w:rStyle w:val="Hyperlink"/>
                <w:rFonts w:ascii="Times New Roman" w:hAnsi="Times New Roman" w:cs="Times New Roman"/>
                <w:sz w:val="20"/>
                <w:szCs w:val="20"/>
              </w:rPr>
            </w:pPr>
            <w:r>
              <w:rPr>
                <w:rFonts w:ascii="Times New Roman" w:eastAsia="Times New Roman" w:hAnsi="Times New Roman" w:cs="Times New Roman"/>
                <w:sz w:val="20"/>
                <w:szCs w:val="20"/>
                <w:lang w:eastAsia="en-ZA"/>
              </w:rPr>
              <w:t>De Moor</w:t>
            </w:r>
            <w:r w:rsidR="002D7080" w:rsidRPr="00222D02">
              <w:rPr>
                <w:rFonts w:ascii="Times New Roman" w:eastAsia="Times New Roman" w:hAnsi="Times New Roman" w:cs="Times New Roman"/>
                <w:sz w:val="20"/>
                <w:szCs w:val="20"/>
                <w:lang w:eastAsia="en-ZA"/>
              </w:rPr>
              <w:t xml:space="preserve">, I., 2002, ‘Potential impacts of alien freshwater crayfish in South Africa’, </w:t>
            </w:r>
            <w:r w:rsidR="002D7080" w:rsidRPr="00222D02">
              <w:rPr>
                <w:rFonts w:ascii="Times New Roman" w:eastAsia="Times New Roman" w:hAnsi="Times New Roman" w:cs="Times New Roman"/>
                <w:i/>
                <w:iCs/>
                <w:sz w:val="20"/>
                <w:szCs w:val="20"/>
                <w:lang w:eastAsia="en-ZA"/>
              </w:rPr>
              <w:t>African</w:t>
            </w:r>
            <w:r w:rsidR="002D7080" w:rsidRPr="00222D02">
              <w:rPr>
                <w:rFonts w:ascii="Times New Roman" w:eastAsia="Times New Roman" w:hAnsi="Times New Roman" w:cs="Times New Roman"/>
                <w:sz w:val="20"/>
                <w:szCs w:val="20"/>
                <w:lang w:eastAsia="en-ZA"/>
              </w:rPr>
              <w:t xml:space="preserve"> </w:t>
            </w:r>
            <w:r w:rsidR="002D7080" w:rsidRPr="00222D02">
              <w:rPr>
                <w:rFonts w:ascii="Times New Roman" w:eastAsia="Times New Roman" w:hAnsi="Times New Roman" w:cs="Times New Roman"/>
                <w:i/>
                <w:sz w:val="20"/>
                <w:szCs w:val="20"/>
                <w:lang w:eastAsia="en-ZA"/>
              </w:rPr>
              <w:t xml:space="preserve">Journal of Aquatic Science </w:t>
            </w:r>
            <w:r w:rsidR="002D7080" w:rsidRPr="00222D02">
              <w:rPr>
                <w:rFonts w:ascii="Times New Roman" w:eastAsia="Times New Roman" w:hAnsi="Times New Roman" w:cs="Times New Roman"/>
                <w:sz w:val="20"/>
                <w:szCs w:val="20"/>
                <w:lang w:eastAsia="en-ZA"/>
              </w:rPr>
              <w:t xml:space="preserve">27, 125–139. </w:t>
            </w:r>
            <w:hyperlink r:id="rId157" w:history="1">
              <w:r w:rsidR="00716A79" w:rsidRPr="00D66918">
                <w:rPr>
                  <w:rStyle w:val="Hyperlink"/>
                  <w:rFonts w:ascii="Times New Roman" w:eastAsia="Times New Roman" w:hAnsi="Times New Roman" w:cs="Times New Roman"/>
                  <w:sz w:val="20"/>
                  <w:szCs w:val="20"/>
                  <w:lang w:eastAsia="en-ZA"/>
                </w:rPr>
                <w:t>https://doi.org/10.2989/16085914.2002.9626584</w:t>
              </w:r>
            </w:hyperlink>
            <w:r w:rsidR="002D7080" w:rsidRPr="00222D02">
              <w:rPr>
                <w:rStyle w:val="Hyperlink"/>
                <w:rFonts w:ascii="Times New Roman" w:eastAsia="Times New Roman" w:hAnsi="Times New Roman" w:cs="Times New Roman"/>
                <w:sz w:val="20"/>
                <w:szCs w:val="20"/>
                <w:lang w:eastAsia="en-ZA"/>
              </w:rPr>
              <w:t>.</w:t>
            </w:r>
          </w:p>
          <w:p w14:paraId="2065BB87" w14:textId="77777777"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xml:space="preserve">, in South Africa and Swaziland’, </w:t>
            </w:r>
            <w:r w:rsidRPr="00222D02">
              <w:rPr>
                <w:rFonts w:ascii="Times New Roman" w:eastAsia="Times New Roman" w:hAnsi="Times New Roman" w:cs="Times New Roman"/>
                <w:i/>
                <w:iCs/>
                <w:sz w:val="20"/>
                <w:szCs w:val="20"/>
                <w:lang w:eastAsia="en-ZA"/>
              </w:rPr>
              <w:t xml:space="preserve">PeerJ </w:t>
            </w:r>
            <w:r w:rsidRPr="00222D02">
              <w:rPr>
                <w:rFonts w:ascii="Times New Roman" w:eastAsia="Times New Roman" w:hAnsi="Times New Roman" w:cs="Times New Roman"/>
                <w:iCs/>
                <w:sz w:val="20"/>
                <w:szCs w:val="20"/>
                <w:lang w:eastAsia="en-ZA"/>
              </w:rPr>
              <w:t>5</w:t>
            </w:r>
            <w:r w:rsidRPr="00222D02">
              <w:rPr>
                <w:rFonts w:ascii="Times New Roman" w:eastAsia="Times New Roman" w:hAnsi="Times New Roman" w:cs="Times New Roman"/>
                <w:sz w:val="20"/>
                <w:szCs w:val="20"/>
                <w:lang w:eastAsia="en-ZA"/>
              </w:rPr>
              <w:t>, 1-21. https://doi.org/10.7717/peerj.3135.</w:t>
            </w:r>
          </w:p>
          <w:p w14:paraId="79D7F857" w14:textId="77777777"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Sallehuddin, A.S., Kamarudin, A.S &amp; Ismail, N., 2021, ‘Review on the global distribution of wild population of Australian Redclaw Crayfish,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(von Martens, 1868)’, </w:t>
            </w:r>
            <w:r w:rsidRPr="00222D02">
              <w:rPr>
                <w:rFonts w:ascii="Times New Roman" w:eastAsia="Times New Roman" w:hAnsi="Times New Roman" w:cs="Times New Roman"/>
                <w:i/>
                <w:iCs/>
                <w:sz w:val="20"/>
                <w:szCs w:val="20"/>
                <w:lang w:eastAsia="en-ZA"/>
              </w:rPr>
              <w:t>Bioscience Research</w:t>
            </w:r>
            <w:r w:rsidRPr="00222D02">
              <w:rPr>
                <w:rFonts w:ascii="Times New Roman" w:eastAsia="Times New Roman" w:hAnsi="Times New Roman" w:cs="Times New Roman"/>
                <w:sz w:val="20"/>
                <w:szCs w:val="20"/>
                <w:lang w:eastAsia="en-ZA"/>
              </w:rPr>
              <w:t xml:space="preserve"> 18, 194–207. </w:t>
            </w:r>
          </w:p>
        </w:tc>
      </w:tr>
    </w:tbl>
    <w:p w14:paraId="748FC027" w14:textId="77777777" w:rsidR="002D7080" w:rsidRPr="00222D02"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222D02" w14:paraId="23C0B954" w14:textId="77777777" w:rsidTr="002E2C37">
        <w:tc>
          <w:tcPr>
            <w:tcW w:w="9016" w:type="dxa"/>
            <w:gridSpan w:val="2"/>
            <w:shd w:val="clear" w:color="auto" w:fill="F2F2F2" w:themeFill="background1" w:themeFillShade="F2"/>
          </w:tcPr>
          <w:p w14:paraId="49CB9FDD"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LIK4 Climate suitability</w:t>
            </w:r>
          </w:p>
        </w:tc>
      </w:tr>
      <w:tr w:rsidR="002D7080" w:rsidRPr="00222D02" w14:paraId="075A5E5D" w14:textId="77777777" w:rsidTr="002E2C37">
        <w:tc>
          <w:tcPr>
            <w:tcW w:w="5524" w:type="dxa"/>
          </w:tcPr>
          <w:p w14:paraId="33928F67"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Probable (p = 1)</w:t>
            </w:r>
          </w:p>
        </w:tc>
        <w:tc>
          <w:tcPr>
            <w:tcW w:w="3492" w:type="dxa"/>
          </w:tcPr>
          <w:p w14:paraId="18942BA0"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065E6BE1" w14:textId="77777777" w:rsidTr="002E2C37">
        <w:trPr>
          <w:cantSplit/>
          <w:trHeight w:val="70"/>
        </w:trPr>
        <w:tc>
          <w:tcPr>
            <w:tcW w:w="9016" w:type="dxa"/>
            <w:gridSpan w:val="2"/>
          </w:tcPr>
          <w:p w14:paraId="30E2C2F8" w14:textId="6F0671BF"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The thermal tolerance for </w:t>
            </w:r>
            <w:r w:rsidRPr="00222D02">
              <w:rPr>
                <w:rFonts w:ascii="Times New Roman" w:eastAsia="Times New Roman" w:hAnsi="Times New Roman" w:cs="Times New Roman"/>
                <w:i/>
                <w:iCs/>
                <w:sz w:val="20"/>
                <w:szCs w:val="20"/>
                <w:lang w:eastAsia="en-ZA"/>
              </w:rPr>
              <w:t xml:space="preserve">C. quadricarinatus </w:t>
            </w:r>
            <w:r w:rsidRPr="00222D02">
              <w:rPr>
                <w:rFonts w:ascii="Times New Roman" w:eastAsia="Times New Roman" w:hAnsi="Times New Roman" w:cs="Times New Roman"/>
                <w:sz w:val="20"/>
                <w:szCs w:val="20"/>
                <w:lang w:eastAsia="en-ZA"/>
              </w:rPr>
              <w:t xml:space="preserve">is between 10°C and 34°C, but the optimal thermal range is between 22°C and 32°C (FAO 2023). Based on the niche models produced by Nunes et al. (2017b), climatically suitable regions for </w:t>
            </w:r>
            <w:r w:rsidRPr="00222D02">
              <w:rPr>
                <w:rFonts w:ascii="Times New Roman" w:eastAsia="Times New Roman" w:hAnsi="Times New Roman" w:cs="Times New Roman"/>
                <w:i/>
                <w:sz w:val="20"/>
                <w:szCs w:val="20"/>
                <w:lang w:eastAsia="en-ZA"/>
              </w:rPr>
              <w:t>C. quadricarinatus</w:t>
            </w:r>
            <w:r w:rsidRPr="00222D02">
              <w:rPr>
                <w:rFonts w:ascii="Times New Roman" w:eastAsia="Times New Roman" w:hAnsi="Times New Roman" w:cs="Times New Roman"/>
                <w:sz w:val="20"/>
                <w:szCs w:val="20"/>
                <w:lang w:eastAsia="en-ZA"/>
              </w:rPr>
              <w:t xml:space="preserve"> were largely restricted to the north and eastern parts of South Africa, including the Soutpansberg, North Eastern Highlands, Eastern Bankenveld, Highveld, Northern Coastal Belt and South Eastern Uplands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"mendeley" : { "formattedCitation" : "(Nunes et al. 2017b)", "plainTextFormattedCitation" : "(Nunes et al. 2017b)", "previouslyFormattedCitation" : "(Nunes et al. 2017b)"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222D02">
              <w:rPr>
                <w:rFonts w:ascii="Times New Roman" w:eastAsia="Times New Roman" w:hAnsi="Times New Roman" w:cs="Times New Roman"/>
                <w:sz w:val="20"/>
                <w:szCs w:val="20"/>
                <w:lang w:eastAsia="en-ZA"/>
              </w:rPr>
              <w:t>(Nunes et al. 2017b)</w:t>
            </w:r>
            <w:r w:rsidRPr="00222D02">
              <w:rPr>
                <w:rFonts w:ascii="Times New Roman" w:eastAsia="Times New Roman" w:hAnsi="Times New Roman" w:cs="Times New Roman"/>
                <w:sz w:val="20"/>
                <w:szCs w:val="20"/>
                <w:lang w:eastAsia="en-ZA"/>
              </w:rPr>
              <w:fldChar w:fldCharType="end"/>
            </w:r>
            <w:r w:rsidRPr="00222D02">
              <w:rPr>
                <w:rFonts w:ascii="Times New Roman" w:eastAsia="Times New Roman" w:hAnsi="Times New Roman" w:cs="Times New Roman"/>
                <w:sz w:val="20"/>
                <w:szCs w:val="20"/>
                <w:lang w:eastAsia="en-ZA"/>
              </w:rPr>
              <w:t xml:space="preserve">. However, there is evidence that </w:t>
            </w:r>
            <w:r w:rsidRPr="00222D02">
              <w:rPr>
                <w:rFonts w:ascii="Times New Roman" w:eastAsia="Times New Roman" w:hAnsi="Times New Roman" w:cs="Times New Roman"/>
                <w:i/>
                <w:iCs/>
                <w:sz w:val="20"/>
                <w:szCs w:val="20"/>
                <w:lang w:eastAsia="en-ZA"/>
              </w:rPr>
              <w:t xml:space="preserve">C. quadricarinatus </w:t>
            </w:r>
            <w:r w:rsidRPr="00222D02">
              <w:rPr>
                <w:rFonts w:ascii="Times New Roman" w:eastAsia="Times New Roman" w:hAnsi="Times New Roman" w:cs="Times New Roman"/>
                <w:sz w:val="20"/>
                <w:szCs w:val="20"/>
                <w:lang w:eastAsia="en-ZA"/>
              </w:rPr>
              <w:t xml:space="preserve">is adaptable to new temperature regimes if moved [e.g., in Tasmania feral populations of </w:t>
            </w:r>
            <w:r w:rsidRPr="00222D02">
              <w:rPr>
                <w:rFonts w:ascii="Times New Roman" w:eastAsia="Times New Roman" w:hAnsi="Times New Roman" w:cs="Times New Roman"/>
                <w:i/>
                <w:sz w:val="20"/>
                <w:szCs w:val="20"/>
                <w:lang w:eastAsia="en-ZA"/>
              </w:rPr>
              <w:t>C. quadricarinatus</w:t>
            </w:r>
            <w:r w:rsidRPr="00222D02">
              <w:rPr>
                <w:rFonts w:ascii="Times New Roman" w:eastAsia="Times New Roman" w:hAnsi="Times New Roman" w:cs="Times New Roman"/>
                <w:sz w:val="20"/>
                <w:szCs w:val="20"/>
                <w:lang w:eastAsia="en-ZA"/>
              </w:rPr>
              <w:t xml:space="preserve"> have been reported to survive in water temperatures as low as 2°C to 4°C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"mendeley" : { "formattedCitation" : "(de Moor 2002)", "plainTextFormattedCitation" : "(de Moor 2002)", "previouslyFormattedCitation" : "(de Moor 2002)"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222D02">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222D02">
              <w:rPr>
                <w:rFonts w:ascii="Times New Roman" w:eastAsia="Times New Roman" w:hAnsi="Times New Roman" w:cs="Times New Roman"/>
                <w:sz w:val="20"/>
                <w:szCs w:val="20"/>
                <w:lang w:eastAsia="en-ZA"/>
              </w:rPr>
              <w:t xml:space="preserve"> 2002)</w:t>
            </w:r>
            <w:r w:rsidRPr="00222D02">
              <w:rPr>
                <w:rFonts w:ascii="Times New Roman" w:eastAsia="Times New Roman" w:hAnsi="Times New Roman" w:cs="Times New Roman"/>
                <w:sz w:val="20"/>
                <w:szCs w:val="20"/>
                <w:lang w:eastAsia="en-ZA"/>
              </w:rPr>
              <w:fldChar w:fldCharType="end"/>
            </w:r>
            <w:r w:rsidRPr="00222D02">
              <w:rPr>
                <w:rFonts w:ascii="Times New Roman" w:eastAsia="Times New Roman" w:hAnsi="Times New Roman" w:cs="Times New Roman"/>
                <w:sz w:val="20"/>
                <w:szCs w:val="20"/>
                <w:lang w:eastAsia="en-ZA"/>
              </w:rPr>
              <w:t>].</w:t>
            </w:r>
          </w:p>
        </w:tc>
      </w:tr>
      <w:tr w:rsidR="002D7080" w:rsidRPr="00222D02" w14:paraId="467F12D0" w14:textId="77777777" w:rsidTr="002E2C37">
        <w:tc>
          <w:tcPr>
            <w:tcW w:w="9016" w:type="dxa"/>
            <w:gridSpan w:val="2"/>
          </w:tcPr>
          <w:p w14:paraId="6F5D4AA9" w14:textId="77777777"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References: </w:t>
            </w:r>
          </w:p>
          <w:p w14:paraId="690630E0" w14:textId="79320E20" w:rsidR="002D7080" w:rsidRPr="00222D02" w:rsidRDefault="008A0BC6" w:rsidP="00C52E1A">
            <w:pPr>
              <w:ind w:left="720" w:hanging="720"/>
              <w:contextualSpacing/>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lastRenderedPageBreak/>
              <w:t>De Moor</w:t>
            </w:r>
            <w:r w:rsidR="002D7080" w:rsidRPr="00222D02">
              <w:rPr>
                <w:rFonts w:ascii="Times New Roman" w:eastAsia="Times New Roman" w:hAnsi="Times New Roman" w:cs="Times New Roman"/>
                <w:sz w:val="20"/>
                <w:szCs w:val="20"/>
                <w:lang w:eastAsia="en-ZA"/>
              </w:rPr>
              <w:t xml:space="preserve">, I., 2002, ‘Potential impacts of alien freshwater crayfish in South Africa’, </w:t>
            </w:r>
            <w:r w:rsidR="002D7080" w:rsidRPr="00222D02">
              <w:rPr>
                <w:rFonts w:ascii="Times New Roman" w:eastAsia="Times New Roman" w:hAnsi="Times New Roman" w:cs="Times New Roman"/>
                <w:i/>
                <w:iCs/>
                <w:sz w:val="20"/>
                <w:szCs w:val="20"/>
                <w:lang w:eastAsia="en-ZA"/>
              </w:rPr>
              <w:t>African</w:t>
            </w:r>
            <w:r w:rsidR="002D7080" w:rsidRPr="00222D02">
              <w:rPr>
                <w:rFonts w:ascii="Times New Roman" w:eastAsia="Times New Roman" w:hAnsi="Times New Roman" w:cs="Times New Roman"/>
                <w:sz w:val="20"/>
                <w:szCs w:val="20"/>
                <w:lang w:eastAsia="en-ZA"/>
              </w:rPr>
              <w:t xml:space="preserve"> </w:t>
            </w:r>
            <w:r w:rsidR="002D7080" w:rsidRPr="00222D02">
              <w:rPr>
                <w:rFonts w:ascii="Times New Roman" w:eastAsia="Times New Roman" w:hAnsi="Times New Roman" w:cs="Times New Roman"/>
                <w:i/>
                <w:sz w:val="20"/>
                <w:szCs w:val="20"/>
                <w:lang w:eastAsia="en-ZA"/>
              </w:rPr>
              <w:t xml:space="preserve">Journal of Aquatic Science </w:t>
            </w:r>
            <w:r w:rsidR="002D7080" w:rsidRPr="00222D02">
              <w:rPr>
                <w:rFonts w:ascii="Times New Roman" w:eastAsia="Times New Roman" w:hAnsi="Times New Roman" w:cs="Times New Roman"/>
                <w:sz w:val="20"/>
                <w:szCs w:val="20"/>
                <w:lang w:eastAsia="en-ZA"/>
              </w:rPr>
              <w:t>27, 125–139</w:t>
            </w:r>
            <w:r w:rsidR="00716A79">
              <w:rPr>
                <w:rFonts w:ascii="Times New Roman" w:eastAsia="Times New Roman" w:hAnsi="Times New Roman" w:cs="Times New Roman"/>
                <w:sz w:val="20"/>
                <w:szCs w:val="20"/>
                <w:lang w:eastAsia="en-ZA"/>
              </w:rPr>
              <w:t xml:space="preserve">, </w:t>
            </w:r>
            <w:hyperlink r:id="rId158" w:history="1">
              <w:r w:rsidR="00716A79" w:rsidRPr="00716A79">
                <w:rPr>
                  <w:rStyle w:val="Hyperlink"/>
                  <w:rFonts w:ascii="Times New Roman" w:eastAsia="Times New Roman" w:hAnsi="Times New Roman" w:cs="Times New Roman"/>
                  <w:sz w:val="20"/>
                  <w:szCs w:val="20"/>
                  <w:lang w:eastAsia="en-ZA"/>
                </w:rPr>
                <w:t>https://doi.org/10.2989/16085914.2002.9626584</w:t>
              </w:r>
            </w:hyperlink>
          </w:p>
          <w:p w14:paraId="2D8DE867" w14:textId="77777777"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FAO 2023. PARASTACIDAE. Cultured Aquatic Species Information Programme. Text by Jones, C. Fisheries and Aquaculture Division [online]. Rome. Updated 2011-10-10 [Accessed Thursday, September 7th 2023]. https://www.fao.org/fishery/en/culturedspecies/cherax_quadricarinatus/en</w:t>
            </w:r>
          </w:p>
          <w:p w14:paraId="381987E4" w14:textId="77777777"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Nunes, A.L., Zengeya, T.A., Measey, G.J. &amp; Weyl, O.L.F., 2017b, ‘Freshwater crayfish invasions in South Africa: Past, present and potential future’, </w:t>
            </w:r>
            <w:r w:rsidRPr="00222D02">
              <w:rPr>
                <w:rFonts w:ascii="Times New Roman" w:eastAsia="Times New Roman" w:hAnsi="Times New Roman" w:cs="Times New Roman"/>
                <w:i/>
                <w:sz w:val="20"/>
                <w:szCs w:val="20"/>
                <w:lang w:eastAsia="en-ZA"/>
              </w:rPr>
              <w:t>African Journal of Aquatic Science</w:t>
            </w:r>
            <w:r w:rsidRPr="00222D02">
              <w:rPr>
                <w:rFonts w:ascii="Times New Roman" w:eastAsia="Times New Roman" w:hAnsi="Times New Roman" w:cs="Times New Roman"/>
                <w:sz w:val="20"/>
                <w:szCs w:val="20"/>
                <w:lang w:eastAsia="en-ZA"/>
              </w:rPr>
              <w:t xml:space="preserve"> 42, 309-323. https://doi.org/10.2989/16085914.2017.1405788.</w:t>
            </w:r>
          </w:p>
        </w:tc>
      </w:tr>
    </w:tbl>
    <w:p w14:paraId="14019F5D" w14:textId="77777777" w:rsidR="002D7080" w:rsidRPr="00222D02" w:rsidRDefault="002D7080" w:rsidP="00C52E1A">
      <w:pPr>
        <w:spacing w:after="0" w:line="240" w:lineRule="auto"/>
        <w:contextualSpacing/>
        <w:jc w:val="both"/>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222D02" w14:paraId="735C4A74" w14:textId="77777777" w:rsidTr="002E2C37">
        <w:tc>
          <w:tcPr>
            <w:tcW w:w="9016" w:type="dxa"/>
            <w:gridSpan w:val="2"/>
            <w:shd w:val="clear" w:color="auto" w:fill="F2F2F2" w:themeFill="background1" w:themeFillShade="F2"/>
          </w:tcPr>
          <w:p w14:paraId="1D4B788C"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LIK5 Unaided secondary (dispersal) pathways</w:t>
            </w:r>
          </w:p>
        </w:tc>
      </w:tr>
      <w:tr w:rsidR="002D7080" w:rsidRPr="00222D02" w14:paraId="6437E64D" w14:textId="77777777" w:rsidTr="002E2C37">
        <w:tc>
          <w:tcPr>
            <w:tcW w:w="5524" w:type="dxa"/>
          </w:tcPr>
          <w:p w14:paraId="36A13BCD"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Probable (p = 1)</w:t>
            </w:r>
          </w:p>
        </w:tc>
        <w:tc>
          <w:tcPr>
            <w:tcW w:w="3492" w:type="dxa"/>
          </w:tcPr>
          <w:p w14:paraId="62800475"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2328EAAE" w14:textId="77777777" w:rsidTr="002E2C37">
        <w:trPr>
          <w:trHeight w:val="70"/>
        </w:trPr>
        <w:tc>
          <w:tcPr>
            <w:tcW w:w="9016" w:type="dxa"/>
            <w:gridSpan w:val="2"/>
          </w:tcPr>
          <w:p w14:paraId="4F8B0418"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Similar to other crayfish species, </w:t>
            </w:r>
            <w:r w:rsidRPr="00222D02">
              <w:rPr>
                <w:rFonts w:ascii="Times New Roman" w:eastAsia="Times New Roman" w:hAnsi="Times New Roman" w:cs="Times New Roman"/>
                <w:i/>
                <w:iCs/>
                <w:sz w:val="20"/>
                <w:szCs w:val="20"/>
                <w:lang w:eastAsia="en-ZA"/>
              </w:rPr>
              <w:t xml:space="preserve">C. quadricarinatus </w:t>
            </w:r>
            <w:r w:rsidRPr="00222D02">
              <w:rPr>
                <w:rFonts w:ascii="Times New Roman" w:eastAsia="Times New Roman" w:hAnsi="Times New Roman" w:cs="Times New Roman"/>
                <w:sz w:val="20"/>
                <w:szCs w:val="20"/>
                <w:lang w:eastAsia="en-ZA"/>
              </w:rPr>
              <w:t xml:space="preserve">is highly mobile and can disperse via connected waterways and overland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"plainTextFormattedCitation" : "(Lodge et al. 2012)", "previouslyFormattedCitation" : "(Lodge et al. 2012)"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222D02">
              <w:rPr>
                <w:rFonts w:ascii="Times New Roman" w:eastAsia="Times New Roman" w:hAnsi="Times New Roman" w:cs="Times New Roman"/>
                <w:sz w:val="20"/>
                <w:szCs w:val="20"/>
                <w:lang w:eastAsia="en-ZA"/>
              </w:rPr>
              <w:t>(Lodge et al. 2012)</w:t>
            </w:r>
            <w:r w:rsidRPr="00222D02">
              <w:rPr>
                <w:rFonts w:ascii="Times New Roman" w:eastAsia="Times New Roman" w:hAnsi="Times New Roman" w:cs="Times New Roman"/>
                <w:sz w:val="20"/>
                <w:szCs w:val="20"/>
                <w:lang w:eastAsia="en-ZA"/>
              </w:rPr>
              <w:fldChar w:fldCharType="end"/>
            </w:r>
            <w:r w:rsidRPr="00222D02">
              <w:rPr>
                <w:rFonts w:ascii="Times New Roman" w:eastAsia="Times New Roman" w:hAnsi="Times New Roman" w:cs="Times New Roman"/>
                <w:sz w:val="20"/>
                <w:szCs w:val="20"/>
                <w:lang w:eastAsia="en-ZA"/>
              </w:rPr>
              <w:t>.</w:t>
            </w:r>
          </w:p>
        </w:tc>
      </w:tr>
      <w:tr w:rsidR="002D7080" w:rsidRPr="00222D02" w14:paraId="6B5BAF8B" w14:textId="77777777" w:rsidTr="002E2C37">
        <w:tc>
          <w:tcPr>
            <w:tcW w:w="9016" w:type="dxa"/>
            <w:gridSpan w:val="2"/>
          </w:tcPr>
          <w:p w14:paraId="73BFE681"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References: </w:t>
            </w:r>
          </w:p>
          <w:p w14:paraId="23FAE624" w14:textId="77777777" w:rsidR="002D7080" w:rsidRPr="00222D02" w:rsidRDefault="002D7080" w:rsidP="00C52E1A">
            <w:pPr>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Lodge, D.M., Deines, A., Gherardi, F., Yeo, D.C., Arcella, T., Baldridge, A.K., et al., 2012, ‘Global introductions of crayfishes: evaluating the impact of species invasions on ecosystem services’, </w:t>
            </w:r>
            <w:r w:rsidRPr="00222D02">
              <w:rPr>
                <w:rFonts w:ascii="Times New Roman" w:eastAsia="Times New Roman" w:hAnsi="Times New Roman" w:cs="Times New Roman"/>
                <w:i/>
                <w:iCs/>
                <w:sz w:val="20"/>
                <w:szCs w:val="20"/>
                <w:lang w:eastAsia="en-ZA"/>
              </w:rPr>
              <w:t>Annual Review of Ecology, Evolution, and Systematics</w:t>
            </w:r>
            <w:r w:rsidRPr="00222D02">
              <w:rPr>
                <w:rFonts w:ascii="Times New Roman" w:eastAsia="Times New Roman" w:hAnsi="Times New Roman" w:cs="Times New Roman"/>
                <w:sz w:val="20"/>
                <w:szCs w:val="20"/>
                <w:lang w:eastAsia="en-ZA"/>
              </w:rPr>
              <w:t xml:space="preserve"> </w:t>
            </w:r>
            <w:r w:rsidRPr="00222D02">
              <w:rPr>
                <w:rFonts w:ascii="Times New Roman" w:eastAsia="Times New Roman" w:hAnsi="Times New Roman" w:cs="Times New Roman"/>
                <w:iCs/>
                <w:sz w:val="20"/>
                <w:szCs w:val="20"/>
                <w:lang w:eastAsia="en-ZA"/>
              </w:rPr>
              <w:t>43</w:t>
            </w:r>
            <w:r w:rsidRPr="00222D02">
              <w:rPr>
                <w:rFonts w:ascii="Times New Roman" w:eastAsia="Times New Roman" w:hAnsi="Times New Roman" w:cs="Times New Roman"/>
                <w:b/>
                <w:sz w:val="20"/>
                <w:szCs w:val="20"/>
                <w:lang w:eastAsia="en-ZA"/>
              </w:rPr>
              <w:t>,</w:t>
            </w:r>
            <w:r w:rsidRPr="00222D02">
              <w:rPr>
                <w:rFonts w:ascii="Times New Roman" w:eastAsia="Times New Roman" w:hAnsi="Times New Roman" w:cs="Times New Roman"/>
                <w:sz w:val="20"/>
                <w:szCs w:val="20"/>
                <w:lang w:eastAsia="en-ZA"/>
              </w:rPr>
              <w:t xml:space="preserve"> 449–472. https://doi.org/10.1146/annurev-ecolsys-111511-103919.</w:t>
            </w:r>
          </w:p>
        </w:tc>
      </w:tr>
    </w:tbl>
    <w:p w14:paraId="376A57BD" w14:textId="77777777" w:rsidR="002D7080" w:rsidRPr="00222D02"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222D02" w14:paraId="03EBC473" w14:textId="77777777" w:rsidTr="002E2C37">
        <w:tc>
          <w:tcPr>
            <w:tcW w:w="9016" w:type="dxa"/>
            <w:gridSpan w:val="2"/>
            <w:shd w:val="clear" w:color="auto" w:fill="F2F2F2" w:themeFill="background1" w:themeFillShade="F2"/>
          </w:tcPr>
          <w:p w14:paraId="05B4CB66"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LIK6 Human aided secondary (dispersal) pathways</w:t>
            </w:r>
          </w:p>
        </w:tc>
      </w:tr>
      <w:tr w:rsidR="002D7080" w:rsidRPr="00222D02" w14:paraId="0DDB6D64" w14:textId="77777777" w:rsidTr="002E2C37">
        <w:tc>
          <w:tcPr>
            <w:tcW w:w="5524" w:type="dxa"/>
          </w:tcPr>
          <w:p w14:paraId="06DC32B1"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Probable (p = 1)</w:t>
            </w:r>
          </w:p>
        </w:tc>
        <w:tc>
          <w:tcPr>
            <w:tcW w:w="3492" w:type="dxa"/>
          </w:tcPr>
          <w:p w14:paraId="48916BA5"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42498BC7" w14:textId="77777777" w:rsidTr="002E2C37">
        <w:tc>
          <w:tcPr>
            <w:tcW w:w="9016" w:type="dxa"/>
            <w:gridSpan w:val="2"/>
          </w:tcPr>
          <w:p w14:paraId="36003DA4"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w:t>
            </w:r>
            <w:r w:rsidRPr="00222D02">
              <w:rPr>
                <w:rFonts w:ascii="Times New Roman" w:eastAsia="Times New Roman" w:hAnsi="Times New Roman" w:cs="Times New Roman"/>
                <w:i/>
                <w:iCs/>
                <w:sz w:val="20"/>
                <w:szCs w:val="20"/>
                <w:lang w:eastAsia="en-ZA"/>
              </w:rPr>
              <w:t xml:space="preserve">Cherax quadricarinatus </w:t>
            </w:r>
            <w:r w:rsidRPr="00222D02">
              <w:rPr>
                <w:rFonts w:ascii="Times New Roman" w:eastAsia="Times New Roman" w:hAnsi="Times New Roman" w:cs="Times New Roman"/>
                <w:sz w:val="20"/>
                <w:szCs w:val="20"/>
                <w:lang w:eastAsia="en-ZA"/>
              </w:rPr>
              <w:t xml:space="preserve">may be introduced to new locations for purposes of aquaculture, via the aquarium and pet trade, and as bait by anglers (Madzivanzira et al. 2020)—there are reports that </w:t>
            </w:r>
            <w:r w:rsidRPr="00222D02">
              <w:rPr>
                <w:rFonts w:ascii="Times New Roman" w:eastAsia="Times New Roman" w:hAnsi="Times New Roman" w:cs="Times New Roman"/>
                <w:i/>
                <w:sz w:val="20"/>
                <w:szCs w:val="20"/>
                <w:lang w:eastAsia="en-ZA"/>
              </w:rPr>
              <w:t>C. quadricarinatus</w:t>
            </w:r>
            <w:r w:rsidRPr="00222D02">
              <w:rPr>
                <w:rFonts w:ascii="Times New Roman" w:eastAsia="Times New Roman" w:hAnsi="Times New Roman" w:cs="Times New Roman"/>
                <w:sz w:val="20"/>
                <w:szCs w:val="20"/>
                <w:lang w:eastAsia="en-ZA"/>
              </w:rPr>
              <w:t xml:space="preserve"> has been released by anglers into dams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"10.7717/peerj.3135", "ISBN" : "21678359 (ISSN)", "ISSN" : "2167-8359", "PMID" : "28439454", "abstract" : "Background. The Australian redclaw crayfish (Cherax quadricarinatus, von Martens), is native to Australasia, but has been widely translocated around the world due to aquaculture and aquarium trade. Mostly as a result of escape from aquaculture facilities, this species has established extralimital populations in Australia and alien populations in Europe, Asia, Central America and Africa. In South Africa, C. quadricarinatus was first sampled from the wild in 2002 in the Komati River, following its escape from an aquaculture facility in Swaziland, but data on the current status of its populations are not available. Methods. To establish a better understanding of its distribution, rate of spread and population status, we surveyed a total of 46 sites in various river systems in South Africa and Swaziland. Surveys were performed between September 2015 and August 2016 and involved visual observations and the use of collapsible crayfish traps. Results. Cherax quadricarinatus is now present in the Komati, Lomati, Mbuluzi, Mlawula and Usutu rivers, and it was also detected in several off-channel irrigation impoundments. Where present, it was generally abundant, with populations having multiple size cohorts and containing ovigerous females. In the Komati River, it has spread more than 112 km downstream of the initial introduction point and 33 km upstream of a tributary, resulting in a mean spread rate of 8 km year \u22121 downstream and 4.7 km year \u22121 upstream. In Swaziland, estimated downstream spread rate might reach 14.6 km year \u22121 . Individuals were generally larger and heavier closer to the introduction site, which might be linked to juvenile dispersal. Discussion. These findings demonstrate that C. quadricarinatus is established in South Africa and Swaziland and that the species has spread, not only within the river where it was first introduced, but also between rivers. Considering the strong impacts that alien crayfish usually have on invaded ecosystems, assessments of its potential impacts on native freshwater biota and an evaluation of possible control measures are, therefore, urgent requirements.", "author" : [ { "dropping-particle" : "", "family" : "Nunes", "given" : "Ana L.", "non-dropping-particle" : "", "parse-names" : false, "suffix" : "" }, { "dropping-particle" : "", "family" : "Zengeya", "given" : "Tsungai A.", "non-dropping-particle" : "", "parse-names" : false, "suffix" : "" }, { "dropping-particle" : "", "family" : "Hoffman", "given" : "Andries C.", "non-dropping-particle" : "", "parse-names" : false, "suffix" : "" }, { "dropping-particle" : "", "family" : "Measey", "given" : "G. John", "non-dropping-particle" : "", "parse-names" : false, "suffix" : "" }, { "dropping-particle" : "", "family" : "Weyl", "given" : "Olaf L.F.", "non-dropping-particle" : "", "parse-names" : false, "suffix" : "" } ], "container-title" : "PeerJ", "id" : "ITEM-1", "issued" : { "date-parts" : [ [ "2017" ] ] }, "page" : "e3135", "title" : "Distribution and establishment of the alien Australian redclaw crayfish, &lt;i&gt;Cherax quadricarinatus&lt;/i&gt; , in South Africa and Swaziland", "type" : "article-journal", "volume" : "5" }, "uris" : [ "http://www.mendeley.com/documents/?uuid=09e3f7e4-ebe7-4773-815c-0ea02776a567" ] } ], "mendeley" : { "formattedCitation" : "(Nunes et al. 2017a)", "plainTextFormattedCitation" : "(Nunes et al. 2017a)", "previouslyFormattedCitation" : "(Nunes et al. 2017a)"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222D02">
              <w:rPr>
                <w:rFonts w:ascii="Times New Roman" w:eastAsia="Times New Roman" w:hAnsi="Times New Roman" w:cs="Times New Roman"/>
                <w:sz w:val="20"/>
                <w:szCs w:val="20"/>
                <w:lang w:eastAsia="en-ZA"/>
              </w:rPr>
              <w:t>(Nunes et al. 2017a)</w:t>
            </w:r>
            <w:r w:rsidRPr="00222D02">
              <w:rPr>
                <w:rFonts w:ascii="Times New Roman" w:eastAsia="Times New Roman" w:hAnsi="Times New Roman" w:cs="Times New Roman"/>
                <w:sz w:val="20"/>
                <w:szCs w:val="20"/>
                <w:lang w:eastAsia="en-ZA"/>
              </w:rPr>
              <w:fldChar w:fldCharType="end"/>
            </w:r>
            <w:r w:rsidRPr="00222D02">
              <w:rPr>
                <w:rFonts w:ascii="Times New Roman" w:eastAsia="Times New Roman" w:hAnsi="Times New Roman" w:cs="Times New Roman"/>
                <w:sz w:val="20"/>
                <w:szCs w:val="20"/>
                <w:lang w:eastAsia="en-ZA"/>
              </w:rPr>
              <w:t xml:space="preserve">.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xml:space="preserve"> is present in the pet trade industry in several countries globally, including South Africa and adjacent countries, leading to the intentional release of unwanted pets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222D02">
              <w:rPr>
                <w:rFonts w:ascii="Times New Roman" w:eastAsia="Times New Roman" w:hAnsi="Times New Roman" w:cs="Times New Roman"/>
                <w:sz w:val="20"/>
                <w:szCs w:val="20"/>
                <w:lang w:eastAsia="en-ZA"/>
              </w:rPr>
              <w:t>(Faulkes 2015)</w:t>
            </w:r>
            <w:r w:rsidRPr="00222D02">
              <w:rPr>
                <w:rFonts w:ascii="Times New Roman" w:eastAsia="Times New Roman" w:hAnsi="Times New Roman" w:cs="Times New Roman"/>
                <w:sz w:val="20"/>
                <w:szCs w:val="20"/>
                <w:lang w:eastAsia="en-ZA"/>
              </w:rPr>
              <w:fldChar w:fldCharType="end"/>
            </w:r>
            <w:r w:rsidRPr="00222D02">
              <w:rPr>
                <w:rFonts w:ascii="Times New Roman" w:eastAsia="Times New Roman" w:hAnsi="Times New Roman" w:cs="Times New Roman"/>
                <w:sz w:val="20"/>
                <w:szCs w:val="20"/>
                <w:lang w:eastAsia="en-ZA"/>
              </w:rPr>
              <w:t>.</w:t>
            </w:r>
          </w:p>
        </w:tc>
      </w:tr>
      <w:tr w:rsidR="002D7080" w:rsidRPr="00222D02" w14:paraId="04F3AD5A" w14:textId="77777777" w:rsidTr="002E2C37">
        <w:tc>
          <w:tcPr>
            <w:tcW w:w="9016" w:type="dxa"/>
            <w:gridSpan w:val="2"/>
          </w:tcPr>
          <w:p w14:paraId="1A842AE9" w14:textId="77777777"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References: </w:t>
            </w:r>
          </w:p>
          <w:p w14:paraId="5B6EE969" w14:textId="77777777"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Faulkes, Z., 2015, ‘The global trade in crayfish as pets’, </w:t>
            </w:r>
            <w:r w:rsidRPr="00222D02">
              <w:rPr>
                <w:rFonts w:ascii="Times New Roman" w:eastAsia="Times New Roman" w:hAnsi="Times New Roman" w:cs="Times New Roman"/>
                <w:i/>
                <w:iCs/>
                <w:sz w:val="20"/>
                <w:szCs w:val="20"/>
                <w:lang w:eastAsia="en-ZA"/>
              </w:rPr>
              <w:t xml:space="preserve">Crustacean Research </w:t>
            </w:r>
            <w:r w:rsidRPr="00222D02">
              <w:rPr>
                <w:rFonts w:ascii="Times New Roman" w:eastAsia="Times New Roman" w:hAnsi="Times New Roman" w:cs="Times New Roman"/>
                <w:iCs/>
                <w:sz w:val="20"/>
                <w:szCs w:val="20"/>
                <w:lang w:eastAsia="en-ZA"/>
              </w:rPr>
              <w:t>44</w:t>
            </w:r>
            <w:r w:rsidRPr="00222D02">
              <w:rPr>
                <w:rFonts w:ascii="Times New Roman" w:eastAsia="Times New Roman" w:hAnsi="Times New Roman" w:cs="Times New Roman"/>
                <w:sz w:val="20"/>
                <w:szCs w:val="20"/>
                <w:lang w:eastAsia="en-ZA"/>
              </w:rPr>
              <w:t>, 75–92. https://doi.org/10.18353/crustacea.44.0_75.</w:t>
            </w:r>
          </w:p>
          <w:p w14:paraId="48FD46E6" w14:textId="77777777" w:rsidR="002D7080" w:rsidRPr="00222D02" w:rsidRDefault="002D7080" w:rsidP="00C52E1A">
            <w:pPr>
              <w:ind w:left="720" w:hanging="720"/>
              <w:contextualSpacing/>
              <w:jc w:val="both"/>
              <w:rPr>
                <w:rFonts w:ascii="Times New Roman" w:eastAsia="Times New Roman" w:hAnsi="Times New Roman" w:cs="Times New Roman"/>
                <w:iCs/>
                <w:sz w:val="20"/>
                <w:szCs w:val="20"/>
                <w:lang w:eastAsia="en-ZA"/>
              </w:rPr>
            </w:pPr>
            <w:r w:rsidRPr="00222D02">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222D02">
              <w:rPr>
                <w:rFonts w:ascii="Times New Roman" w:eastAsia="Times New Roman" w:hAnsi="Times New Roman" w:cs="Times New Roman"/>
                <w:i/>
                <w:sz w:val="20"/>
                <w:szCs w:val="20"/>
                <w:lang w:eastAsia="en-ZA"/>
              </w:rPr>
              <w:t xml:space="preserve">Reviews in Fisheries Science &amp; Aquaculture </w:t>
            </w:r>
            <w:r w:rsidRPr="00222D02">
              <w:rPr>
                <w:rFonts w:ascii="Times New Roman" w:eastAsia="Times New Roman" w:hAnsi="Times New Roman" w:cs="Times New Roman"/>
                <w:sz w:val="20"/>
                <w:szCs w:val="20"/>
                <w:lang w:eastAsia="en-ZA"/>
              </w:rPr>
              <w:t>1-21</w:t>
            </w:r>
            <w:r w:rsidRPr="00222D02">
              <w:rPr>
                <w:rFonts w:ascii="Times New Roman" w:eastAsia="Times New Roman" w:hAnsi="Times New Roman" w:cs="Times New Roman"/>
                <w:i/>
                <w:sz w:val="20"/>
                <w:szCs w:val="20"/>
                <w:lang w:eastAsia="en-ZA"/>
              </w:rPr>
              <w:t>.</w:t>
            </w:r>
            <w:r w:rsidRPr="00222D02">
              <w:rPr>
                <w:rFonts w:ascii="Times New Roman" w:eastAsia="Times New Roman" w:hAnsi="Times New Roman" w:cs="Times New Roman"/>
                <w:iCs/>
                <w:sz w:val="20"/>
                <w:szCs w:val="20"/>
                <w:lang w:eastAsia="en-ZA"/>
              </w:rPr>
              <w:t xml:space="preserve"> https://doi.org/10.1080/23308249.2020.1802405.</w:t>
            </w:r>
          </w:p>
          <w:p w14:paraId="3795B2A8" w14:textId="77777777" w:rsidR="002D7080" w:rsidRPr="00222D02" w:rsidRDefault="002D7080" w:rsidP="00C52E1A">
            <w:pPr>
              <w:ind w:left="720" w:hanging="720"/>
              <w:contextualSpacing/>
              <w:jc w:val="both"/>
              <w:rPr>
                <w:rFonts w:ascii="Times New Roman" w:eastAsia="Times New Roman" w:hAnsi="Times New Roman" w:cs="Times New Roman"/>
                <w:iCs/>
                <w:sz w:val="20"/>
                <w:szCs w:val="20"/>
                <w:lang w:eastAsia="en-ZA"/>
              </w:rPr>
            </w:pPr>
            <w:r w:rsidRPr="00222D02">
              <w:rPr>
                <w:rFonts w:ascii="Times New Roman" w:eastAsia="Times New Roman" w:hAnsi="Times New Roman" w:cs="Times New Roman"/>
                <w:iCs/>
                <w:sz w:val="20"/>
                <w:szCs w:val="20"/>
                <w:lang w:eastAsia="en-ZA"/>
              </w:rPr>
              <w:t xml:space="preserve">Nunes, A.L., Zengeya, T.A., Hoffman, A.C., Measey, G.J. &amp; Weyl, O.L., 2017a, ‘Distribution and establishment of the alien Australian redclaw crayfish,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iCs/>
                <w:sz w:val="20"/>
                <w:szCs w:val="20"/>
                <w:lang w:eastAsia="en-ZA"/>
              </w:rPr>
              <w:t xml:space="preserve">, in South Africa and Swaziland’, </w:t>
            </w:r>
            <w:r w:rsidRPr="00222D02">
              <w:rPr>
                <w:rFonts w:ascii="Times New Roman" w:eastAsia="Times New Roman" w:hAnsi="Times New Roman" w:cs="Times New Roman"/>
                <w:i/>
                <w:iCs/>
                <w:sz w:val="20"/>
                <w:szCs w:val="20"/>
                <w:lang w:eastAsia="en-ZA"/>
              </w:rPr>
              <w:t xml:space="preserve">PeerJ </w:t>
            </w:r>
            <w:r w:rsidRPr="00222D02">
              <w:rPr>
                <w:rFonts w:ascii="Times New Roman" w:eastAsia="Times New Roman" w:hAnsi="Times New Roman" w:cs="Times New Roman"/>
                <w:iCs/>
                <w:sz w:val="20"/>
                <w:szCs w:val="20"/>
                <w:lang w:eastAsia="en-ZA"/>
              </w:rPr>
              <w:t>5, 1-21. https://doi.org/10.7717/peerj.3135.</w:t>
            </w:r>
          </w:p>
        </w:tc>
      </w:tr>
    </w:tbl>
    <w:p w14:paraId="134E12C4" w14:textId="77777777" w:rsidR="002D7080" w:rsidRPr="00222D02" w:rsidRDefault="002D7080" w:rsidP="00C52E1A">
      <w:pPr>
        <w:spacing w:after="0"/>
        <w:contextualSpacing/>
        <w:jc w:val="both"/>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3. Consequences</w:t>
      </w:r>
    </w:p>
    <w:p w14:paraId="35329E1A" w14:textId="77777777" w:rsidR="002D7080" w:rsidRPr="00222D02"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222D02" w14:paraId="7349E369" w14:textId="77777777" w:rsidTr="002E2C37">
        <w:trPr>
          <w:trHeight w:val="343"/>
        </w:trPr>
        <w:tc>
          <w:tcPr>
            <w:tcW w:w="9016" w:type="dxa"/>
            <w:gridSpan w:val="2"/>
            <w:shd w:val="clear" w:color="auto" w:fill="F2F2F2" w:themeFill="background1" w:themeFillShade="F2"/>
          </w:tcPr>
          <w:p w14:paraId="71E82E6C"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CON1 Environmental impact</w:t>
            </w:r>
          </w:p>
        </w:tc>
      </w:tr>
      <w:tr w:rsidR="002D7080" w:rsidRPr="00222D02" w14:paraId="266036D7" w14:textId="77777777" w:rsidTr="002E2C37">
        <w:tc>
          <w:tcPr>
            <w:tcW w:w="9016" w:type="dxa"/>
            <w:gridSpan w:val="2"/>
            <w:shd w:val="clear" w:color="auto" w:fill="F2F2F2" w:themeFill="background1" w:themeFillShade="F2"/>
          </w:tcPr>
          <w:p w14:paraId="74A62ED9"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CON1a: Competition</w:t>
            </w:r>
          </w:p>
        </w:tc>
      </w:tr>
      <w:tr w:rsidR="002D7080" w:rsidRPr="00222D02" w14:paraId="0E2D4951" w14:textId="77777777" w:rsidTr="002E2C37">
        <w:tc>
          <w:tcPr>
            <w:tcW w:w="5949" w:type="dxa"/>
          </w:tcPr>
          <w:p w14:paraId="5424A142"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Minimal Concern (MC)</w:t>
            </w:r>
          </w:p>
        </w:tc>
        <w:tc>
          <w:tcPr>
            <w:tcW w:w="3067" w:type="dxa"/>
          </w:tcPr>
          <w:p w14:paraId="1C4B41F0"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Confidence: Medium </w:t>
            </w:r>
          </w:p>
        </w:tc>
      </w:tr>
      <w:tr w:rsidR="002D7080" w:rsidRPr="00222D02" w14:paraId="292D6CF2" w14:textId="77777777" w:rsidTr="002E2C37">
        <w:trPr>
          <w:trHeight w:val="70"/>
        </w:trPr>
        <w:tc>
          <w:tcPr>
            <w:tcW w:w="9016" w:type="dxa"/>
            <w:gridSpan w:val="2"/>
          </w:tcPr>
          <w:p w14:paraId="7A625395"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w:t>
            </w:r>
            <w:r w:rsidRPr="00222D02">
              <w:rPr>
                <w:rFonts w:ascii="Times New Roman" w:hAnsi="Times New Roman" w:cs="Times New Roman"/>
                <w:sz w:val="20"/>
                <w:szCs w:val="20"/>
              </w:rPr>
              <w:t xml:space="preserve">There is limited direct evidence for negative environmental impacts for </w:t>
            </w:r>
            <w:r w:rsidRPr="00222D02">
              <w:rPr>
                <w:rFonts w:ascii="Times New Roman" w:hAnsi="Times New Roman" w:cs="Times New Roman"/>
                <w:i/>
                <w:iCs/>
                <w:sz w:val="20"/>
                <w:szCs w:val="20"/>
              </w:rPr>
              <w:t xml:space="preserve">C. quadricarinatus </w:t>
            </w:r>
            <w:r w:rsidRPr="00222D02">
              <w:rPr>
                <w:rFonts w:ascii="Times New Roman" w:hAnsi="Times New Roman" w:cs="Times New Roman"/>
                <w:sz w:val="20"/>
                <w:szCs w:val="20"/>
              </w:rPr>
              <w:t>in its global invasive range and most of the cited impacts are based on potential rather than observed impacts (</w:t>
            </w:r>
            <w:r>
              <w:rPr>
                <w:rFonts w:ascii="Times New Roman" w:eastAsia="Times New Roman" w:hAnsi="Times New Roman" w:cs="Times New Roman"/>
                <w:color w:val="000000"/>
                <w:sz w:val="18"/>
                <w:szCs w:val="18"/>
              </w:rPr>
              <w:t xml:space="preserve">Haubrouck et al. 2021; </w:t>
            </w:r>
            <w:r w:rsidRPr="00222D02">
              <w:rPr>
                <w:rFonts w:ascii="Times New Roman" w:eastAsia="Times New Roman" w:hAnsi="Times New Roman" w:cs="Times New Roman"/>
                <w:sz w:val="20"/>
                <w:szCs w:val="20"/>
                <w:lang w:eastAsia="en-ZA"/>
              </w:rPr>
              <w:t>Madzivanzira</w:t>
            </w:r>
            <w:r>
              <w:rPr>
                <w:rFonts w:ascii="Times New Roman" w:eastAsia="Times New Roman" w:hAnsi="Times New Roman" w:cs="Times New Roman"/>
                <w:sz w:val="20"/>
                <w:szCs w:val="20"/>
                <w:lang w:eastAsia="en-ZA"/>
              </w:rPr>
              <w:t xml:space="preserve"> et al. 2021, 2022; Zengeya et al. 2022</w:t>
            </w:r>
            <w:r w:rsidRPr="00222D02">
              <w:rPr>
                <w:rFonts w:ascii="Times New Roman" w:hAnsi="Times New Roman" w:cs="Times New Roman"/>
                <w:sz w:val="20"/>
                <w:szCs w:val="20"/>
              </w:rPr>
              <w:t>).</w:t>
            </w:r>
            <w:r w:rsidRPr="00222D02">
              <w:rPr>
                <w:rFonts w:ascii="Times New Roman" w:eastAsia="Times New Roman" w:hAnsi="Times New Roman" w:cs="Times New Roman"/>
                <w:sz w:val="20"/>
                <w:szCs w:val="20"/>
                <w:lang w:eastAsia="en-ZA"/>
              </w:rPr>
              <w:t xml:space="preserve"> </w:t>
            </w:r>
          </w:p>
        </w:tc>
      </w:tr>
      <w:tr w:rsidR="002D7080" w:rsidRPr="00222D02" w14:paraId="6D7848CB" w14:textId="77777777" w:rsidTr="002E2C37">
        <w:trPr>
          <w:trHeight w:val="70"/>
        </w:trPr>
        <w:tc>
          <w:tcPr>
            <w:tcW w:w="9016" w:type="dxa"/>
            <w:gridSpan w:val="2"/>
          </w:tcPr>
          <w:p w14:paraId="4EB95675" w14:textId="77777777" w:rsidR="002D7080" w:rsidRPr="00222D02" w:rsidRDefault="002D7080" w:rsidP="002E2C37">
            <w:pPr>
              <w:spacing w:before="100" w:beforeAutospacing="1" w:after="100" w:afterAutospacing="1"/>
              <w:contextualSpacing/>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lastRenderedPageBreak/>
              <w:t>References:</w:t>
            </w:r>
          </w:p>
          <w:p w14:paraId="3736987A" w14:textId="77777777" w:rsidR="002D7080" w:rsidRDefault="002D7080" w:rsidP="00C52E1A">
            <w:pPr>
              <w:ind w:left="720" w:hanging="720"/>
              <w:contextualSpacing/>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 xml:space="preserve">13, 1488-1530. </w:t>
            </w:r>
            <w:hyperlink r:id="rId159" w:history="1">
              <w:r w:rsidRPr="008F5D89">
                <w:rPr>
                  <w:rStyle w:val="Hyperlink"/>
                  <w:rFonts w:ascii="Times New Roman" w:hAnsi="Times New Roman" w:cs="Times New Roman"/>
                  <w:sz w:val="20"/>
                  <w:szCs w:val="20"/>
                </w:rPr>
                <w:t>https://doi.org/10.1111/raq.12531</w:t>
              </w:r>
            </w:hyperlink>
            <w:r w:rsidRPr="00222D02">
              <w:rPr>
                <w:rStyle w:val="cf01"/>
                <w:rFonts w:ascii="Times New Roman" w:hAnsi="Times New Roman" w:cs="Times New Roman"/>
                <w:sz w:val="20"/>
                <w:szCs w:val="20"/>
              </w:rPr>
              <w:t>.</w:t>
            </w:r>
          </w:p>
          <w:p w14:paraId="44844F38" w14:textId="77777777"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Madzivanzira, T.C., South, J. &amp; Weyl, O.L.F., 2021, ‘Invasive crayfish outperform Potamonautid crabs at higher temperatures’, </w:t>
            </w:r>
            <w:r w:rsidRPr="00222D02">
              <w:rPr>
                <w:rFonts w:ascii="Times New Roman" w:eastAsia="Times New Roman" w:hAnsi="Times New Roman" w:cs="Times New Roman"/>
                <w:i/>
                <w:iCs/>
                <w:sz w:val="20"/>
                <w:szCs w:val="20"/>
                <w:lang w:eastAsia="en-ZA"/>
              </w:rPr>
              <w:t>Freshwater Biology</w:t>
            </w:r>
            <w:r w:rsidRPr="00222D02">
              <w:rPr>
                <w:rFonts w:ascii="Times New Roman" w:eastAsia="Times New Roman" w:hAnsi="Times New Roman" w:cs="Times New Roman"/>
                <w:sz w:val="20"/>
                <w:szCs w:val="20"/>
                <w:lang w:eastAsia="en-ZA"/>
              </w:rPr>
              <w:t xml:space="preserve"> 66(5), 978–991. https://doi.org/10.1111/ fwb.13691.</w:t>
            </w:r>
          </w:p>
          <w:p w14:paraId="22DFFB73" w14:textId="4D331EEE" w:rsidR="002D7080"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Madzivanzira, T.C., Weyl, O.L.F. &amp; South, J.</w:t>
            </w:r>
            <w:r w:rsidR="0096133C">
              <w:rPr>
                <w:rFonts w:ascii="Times New Roman" w:eastAsia="Times New Roman" w:hAnsi="Times New Roman" w:cs="Times New Roman"/>
                <w:sz w:val="20"/>
                <w:szCs w:val="20"/>
                <w:lang w:eastAsia="en-ZA"/>
              </w:rPr>
              <w:t>,</w:t>
            </w:r>
            <w:r w:rsidRPr="00222D02">
              <w:rPr>
                <w:rFonts w:ascii="Times New Roman" w:eastAsia="Times New Roman" w:hAnsi="Times New Roman" w:cs="Times New Roman"/>
                <w:sz w:val="20"/>
                <w:szCs w:val="20"/>
                <w:lang w:eastAsia="en-ZA"/>
              </w:rPr>
              <w:t xml:space="preserve"> 2022, ‘Ecological and potential socioeconomic impacts of two globally invasive crayfish’, </w:t>
            </w:r>
            <w:r w:rsidRPr="00222D02">
              <w:rPr>
                <w:rFonts w:ascii="Times New Roman" w:eastAsia="Times New Roman" w:hAnsi="Times New Roman" w:cs="Times New Roman"/>
                <w:i/>
                <w:iCs/>
                <w:sz w:val="20"/>
                <w:szCs w:val="20"/>
                <w:lang w:eastAsia="en-ZA"/>
              </w:rPr>
              <w:t>NeoBiota</w:t>
            </w:r>
            <w:r w:rsidRPr="00222D02">
              <w:rPr>
                <w:rFonts w:ascii="Times New Roman" w:eastAsia="Times New Roman" w:hAnsi="Times New Roman" w:cs="Times New Roman"/>
                <w:sz w:val="20"/>
                <w:szCs w:val="20"/>
                <w:lang w:eastAsia="en-ZA"/>
              </w:rPr>
              <w:t xml:space="preserve"> 72, 25–43. </w:t>
            </w:r>
            <w:hyperlink r:id="rId160" w:history="1">
              <w:r w:rsidRPr="008F5D89">
                <w:rPr>
                  <w:rStyle w:val="Hyperlink"/>
                  <w:rFonts w:ascii="Times New Roman" w:eastAsia="Times New Roman" w:hAnsi="Times New Roman" w:cs="Times New Roman"/>
                  <w:sz w:val="20"/>
                  <w:szCs w:val="20"/>
                  <w:lang w:eastAsia="en-ZA"/>
                </w:rPr>
                <w:t>https://doi.org/10.3897/neobiota.72.71868</w:t>
              </w:r>
            </w:hyperlink>
          </w:p>
          <w:p w14:paraId="05BE3808" w14:textId="77777777"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hAnsi="Times New Roman" w:cs="Times New Roman"/>
                <w:sz w:val="20"/>
                <w:szCs w:val="20"/>
              </w:rPr>
              <w:t xml:space="preserve">Zengeya, T.A., Lombard, R.J.H., Nelwamondo, V.E., Nunes, A.L., Measey, J.G. &amp; Weyl, O.L.F., 2022, ‘Trophic niche of an invasive generalist consumer: Australian redclaw crayfish, </w:t>
            </w:r>
            <w:r w:rsidRPr="00222D02">
              <w:rPr>
                <w:rFonts w:ascii="Times New Roman" w:hAnsi="Times New Roman" w:cs="Times New Roman"/>
                <w:i/>
                <w:iCs/>
                <w:sz w:val="20"/>
                <w:szCs w:val="20"/>
              </w:rPr>
              <w:t>Cherax quadricarinatus</w:t>
            </w:r>
            <w:r w:rsidRPr="00222D02">
              <w:rPr>
                <w:rFonts w:ascii="Times New Roman" w:hAnsi="Times New Roman" w:cs="Times New Roman"/>
                <w:sz w:val="20"/>
                <w:szCs w:val="20"/>
              </w:rPr>
              <w:t xml:space="preserve">, in the Inkomati River Basin, South Africa’, </w:t>
            </w:r>
            <w:r w:rsidRPr="00222D02">
              <w:rPr>
                <w:rFonts w:ascii="Times New Roman" w:hAnsi="Times New Roman" w:cs="Times New Roman"/>
                <w:i/>
                <w:iCs/>
                <w:sz w:val="20"/>
                <w:szCs w:val="20"/>
              </w:rPr>
              <w:t>Austral Ecology</w:t>
            </w:r>
            <w:r w:rsidRPr="00222D02">
              <w:rPr>
                <w:rFonts w:ascii="Times New Roman" w:hAnsi="Times New Roman" w:cs="Times New Roman"/>
                <w:sz w:val="20"/>
                <w:szCs w:val="20"/>
              </w:rPr>
              <w:t xml:space="preserve"> 47, 1480-1494. https://doi.org/10.1111/aec.13230.</w:t>
            </w:r>
          </w:p>
        </w:tc>
      </w:tr>
      <w:tr w:rsidR="002D7080" w:rsidRPr="00222D02" w14:paraId="64A560B2" w14:textId="77777777" w:rsidTr="002E2C37">
        <w:tc>
          <w:tcPr>
            <w:tcW w:w="9016" w:type="dxa"/>
            <w:gridSpan w:val="2"/>
            <w:shd w:val="clear" w:color="auto" w:fill="F2F2F2" w:themeFill="background1" w:themeFillShade="F2"/>
          </w:tcPr>
          <w:p w14:paraId="3A8D954C"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CON1b: Predation</w:t>
            </w:r>
          </w:p>
        </w:tc>
      </w:tr>
      <w:tr w:rsidR="002D7080" w:rsidRPr="00222D02" w14:paraId="1EEC51EE" w14:textId="77777777" w:rsidTr="002E2C37">
        <w:tc>
          <w:tcPr>
            <w:tcW w:w="5949" w:type="dxa"/>
          </w:tcPr>
          <w:p w14:paraId="377B6F92"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Minimal Concern (MC)</w:t>
            </w:r>
          </w:p>
        </w:tc>
        <w:tc>
          <w:tcPr>
            <w:tcW w:w="3067" w:type="dxa"/>
          </w:tcPr>
          <w:p w14:paraId="157404E4"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Confidence: Medium </w:t>
            </w:r>
          </w:p>
        </w:tc>
      </w:tr>
      <w:tr w:rsidR="002D7080" w:rsidRPr="00222D02" w14:paraId="5CF6B0A9" w14:textId="77777777" w:rsidTr="002E2C37">
        <w:trPr>
          <w:trHeight w:val="70"/>
        </w:trPr>
        <w:tc>
          <w:tcPr>
            <w:tcW w:w="9016" w:type="dxa"/>
            <w:gridSpan w:val="2"/>
          </w:tcPr>
          <w:p w14:paraId="6B0FECA7"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w:t>
            </w:r>
            <w:r w:rsidRPr="00222D02">
              <w:rPr>
                <w:rFonts w:ascii="Times New Roman" w:hAnsi="Times New Roman" w:cs="Times New Roman"/>
                <w:sz w:val="20"/>
                <w:szCs w:val="20"/>
              </w:rPr>
              <w:t xml:space="preserve">is omnivorous and feeds on plant and animal material and is likely to cause major impacts on invaded ecosystems through predation on invertebrates and fish (Haubrock et al. 2021, </w:t>
            </w:r>
            <w:r w:rsidRPr="00222D02">
              <w:rPr>
                <w:rFonts w:ascii="Times New Roman" w:eastAsia="Times New Roman" w:hAnsi="Times New Roman" w:cs="Times New Roman"/>
                <w:sz w:val="20"/>
                <w:szCs w:val="20"/>
                <w:lang w:eastAsia="en-ZA"/>
              </w:rPr>
              <w:t>Madzivanzira et al. 2021, 2022</w:t>
            </w:r>
            <w:r>
              <w:rPr>
                <w:rFonts w:ascii="Times New Roman" w:eastAsia="Times New Roman" w:hAnsi="Times New Roman" w:cs="Times New Roman"/>
                <w:sz w:val="20"/>
                <w:szCs w:val="20"/>
                <w:lang w:eastAsia="en-ZA"/>
              </w:rPr>
              <w:t>; Zengeya et al. 2022</w:t>
            </w:r>
            <w:r w:rsidRPr="00222D02">
              <w:rPr>
                <w:rFonts w:ascii="Times New Roman" w:hAnsi="Times New Roman" w:cs="Times New Roman"/>
                <w:sz w:val="20"/>
                <w:szCs w:val="20"/>
              </w:rPr>
              <w:t xml:space="preserve">) </w:t>
            </w:r>
          </w:p>
        </w:tc>
      </w:tr>
      <w:tr w:rsidR="002D7080" w:rsidRPr="00222D02" w14:paraId="62027AE5" w14:textId="77777777" w:rsidTr="002E2C37">
        <w:trPr>
          <w:trHeight w:val="70"/>
        </w:trPr>
        <w:tc>
          <w:tcPr>
            <w:tcW w:w="9016" w:type="dxa"/>
            <w:gridSpan w:val="2"/>
          </w:tcPr>
          <w:p w14:paraId="7EE4361B" w14:textId="77777777" w:rsidR="002D7080" w:rsidRPr="00222D02" w:rsidRDefault="002D7080" w:rsidP="00C52E1A">
            <w:pPr>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13FCAD89" w14:textId="77777777" w:rsidR="002D7080" w:rsidRPr="00222D02" w:rsidRDefault="002D7080" w:rsidP="00C52E1A">
            <w:pPr>
              <w:ind w:left="720" w:hanging="720"/>
              <w:contextualSpacing/>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 https://doi.org/10.1111/raq.12531.</w:t>
            </w:r>
          </w:p>
          <w:p w14:paraId="5F9A20D5" w14:textId="77777777" w:rsidR="002D7080" w:rsidRPr="00222D02" w:rsidRDefault="002D7080" w:rsidP="00C52E1A">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Madzivanzira, T.C., South, J. &amp; Weyl, O.L.F., 2021, ‘Invasive crayfish outperform Potamonautid crabs at higher temperatures’, </w:t>
            </w:r>
            <w:r w:rsidRPr="00222D02">
              <w:rPr>
                <w:rFonts w:ascii="Times New Roman" w:eastAsia="Times New Roman" w:hAnsi="Times New Roman" w:cs="Times New Roman"/>
                <w:i/>
                <w:iCs/>
                <w:sz w:val="20"/>
                <w:szCs w:val="20"/>
                <w:lang w:eastAsia="en-ZA"/>
              </w:rPr>
              <w:t>Freshwater Biology</w:t>
            </w:r>
            <w:r w:rsidRPr="00222D02">
              <w:rPr>
                <w:rFonts w:ascii="Times New Roman" w:eastAsia="Times New Roman" w:hAnsi="Times New Roman" w:cs="Times New Roman"/>
                <w:sz w:val="20"/>
                <w:szCs w:val="20"/>
                <w:lang w:eastAsia="en-ZA"/>
              </w:rPr>
              <w:t xml:space="preserve"> 66(5), 978–991. https://doi.org/10.1111/ fwb.13691.</w:t>
            </w:r>
          </w:p>
          <w:p w14:paraId="36EA70D5" w14:textId="08BAE0D0" w:rsidR="002D7080" w:rsidRDefault="002D7080" w:rsidP="00C52E1A">
            <w:pPr>
              <w:spacing w:before="100" w:beforeAutospacing="1" w:after="100" w:afterAutospacing="1"/>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Madzivanzira, T.C., Weyl, O.L.F. &amp; South, J.</w:t>
            </w:r>
            <w:r w:rsidR="0096133C">
              <w:rPr>
                <w:rFonts w:ascii="Times New Roman" w:eastAsia="Times New Roman" w:hAnsi="Times New Roman" w:cs="Times New Roman"/>
                <w:sz w:val="20"/>
                <w:szCs w:val="20"/>
                <w:lang w:eastAsia="en-ZA"/>
              </w:rPr>
              <w:t>,</w:t>
            </w:r>
            <w:r w:rsidRPr="00222D02">
              <w:rPr>
                <w:rFonts w:ascii="Times New Roman" w:eastAsia="Times New Roman" w:hAnsi="Times New Roman" w:cs="Times New Roman"/>
                <w:sz w:val="20"/>
                <w:szCs w:val="20"/>
                <w:lang w:eastAsia="en-ZA"/>
              </w:rPr>
              <w:t xml:space="preserve"> 2022, ‘Ecological and potential socioeconomic impacts of two globally invasive crayfish’, </w:t>
            </w:r>
            <w:r w:rsidRPr="00222D02">
              <w:rPr>
                <w:rFonts w:ascii="Times New Roman" w:eastAsia="Times New Roman" w:hAnsi="Times New Roman" w:cs="Times New Roman"/>
                <w:i/>
                <w:iCs/>
                <w:sz w:val="20"/>
                <w:szCs w:val="20"/>
                <w:lang w:eastAsia="en-ZA"/>
              </w:rPr>
              <w:t>NeoBiota</w:t>
            </w:r>
            <w:r w:rsidRPr="00222D02">
              <w:rPr>
                <w:rFonts w:ascii="Times New Roman" w:eastAsia="Times New Roman" w:hAnsi="Times New Roman" w:cs="Times New Roman"/>
                <w:sz w:val="20"/>
                <w:szCs w:val="20"/>
                <w:lang w:eastAsia="en-ZA"/>
              </w:rPr>
              <w:t xml:space="preserve"> 72, 25–43. </w:t>
            </w:r>
            <w:hyperlink r:id="rId161" w:history="1">
              <w:r w:rsidRPr="008F5D89">
                <w:rPr>
                  <w:rStyle w:val="Hyperlink"/>
                  <w:rFonts w:ascii="Times New Roman" w:eastAsia="Times New Roman" w:hAnsi="Times New Roman" w:cs="Times New Roman"/>
                  <w:sz w:val="20"/>
                  <w:szCs w:val="20"/>
                  <w:lang w:eastAsia="en-ZA"/>
                </w:rPr>
                <w:t>https://doi.org/10.3897/neobiota.72.71868</w:t>
              </w:r>
            </w:hyperlink>
          </w:p>
          <w:p w14:paraId="5AF772F8" w14:textId="77777777" w:rsidR="002D7080" w:rsidRPr="00222D02" w:rsidRDefault="002D7080" w:rsidP="00C52E1A">
            <w:pPr>
              <w:spacing w:before="100" w:beforeAutospacing="1" w:after="100" w:afterAutospacing="1"/>
              <w:ind w:left="720" w:hanging="720"/>
              <w:contextualSpacing/>
              <w:jc w:val="both"/>
              <w:rPr>
                <w:rFonts w:ascii="Times New Roman" w:eastAsia="Times New Roman" w:hAnsi="Times New Roman" w:cs="Times New Roman"/>
                <w:sz w:val="20"/>
                <w:szCs w:val="20"/>
                <w:lang w:eastAsia="en-ZA"/>
              </w:rPr>
            </w:pPr>
            <w:r w:rsidRPr="00222D02">
              <w:rPr>
                <w:rFonts w:ascii="Times New Roman" w:hAnsi="Times New Roman" w:cs="Times New Roman"/>
                <w:sz w:val="20"/>
                <w:szCs w:val="20"/>
              </w:rPr>
              <w:t xml:space="preserve">Zengeya, T.A., Lombard, R.J.H., Nelwamondo, V.E., Nunes, A.L., Measey, J.G. &amp; Weyl, O.L.F., 2022, ‘Trophic niche of an invasive generalist consumer: Australian redclaw crayfish, </w:t>
            </w:r>
            <w:r w:rsidRPr="00222D02">
              <w:rPr>
                <w:rFonts w:ascii="Times New Roman" w:hAnsi="Times New Roman" w:cs="Times New Roman"/>
                <w:i/>
                <w:iCs/>
                <w:sz w:val="20"/>
                <w:szCs w:val="20"/>
              </w:rPr>
              <w:t>Cherax quadricarinatus</w:t>
            </w:r>
            <w:r w:rsidRPr="00222D02">
              <w:rPr>
                <w:rFonts w:ascii="Times New Roman" w:hAnsi="Times New Roman" w:cs="Times New Roman"/>
                <w:sz w:val="20"/>
                <w:szCs w:val="20"/>
              </w:rPr>
              <w:t xml:space="preserve">, in the Inkomati River Basin, South Africa’, </w:t>
            </w:r>
            <w:r w:rsidRPr="00222D02">
              <w:rPr>
                <w:rFonts w:ascii="Times New Roman" w:hAnsi="Times New Roman" w:cs="Times New Roman"/>
                <w:i/>
                <w:iCs/>
                <w:sz w:val="20"/>
                <w:szCs w:val="20"/>
              </w:rPr>
              <w:t>Austral Ecology</w:t>
            </w:r>
            <w:r w:rsidRPr="00222D02">
              <w:rPr>
                <w:rFonts w:ascii="Times New Roman" w:hAnsi="Times New Roman" w:cs="Times New Roman"/>
                <w:sz w:val="20"/>
                <w:szCs w:val="20"/>
              </w:rPr>
              <w:t xml:space="preserve"> 47, 1480-1494. https://doi.org/10.1111/aec.13230.</w:t>
            </w:r>
          </w:p>
        </w:tc>
      </w:tr>
      <w:tr w:rsidR="002D7080" w:rsidRPr="00222D02" w14:paraId="4ACCDF9C" w14:textId="77777777" w:rsidTr="002E2C37">
        <w:tc>
          <w:tcPr>
            <w:tcW w:w="9016" w:type="dxa"/>
            <w:gridSpan w:val="2"/>
            <w:shd w:val="clear" w:color="auto" w:fill="F2F2F2" w:themeFill="background1" w:themeFillShade="F2"/>
          </w:tcPr>
          <w:p w14:paraId="14318520"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CON1c: Hybridisation</w:t>
            </w:r>
          </w:p>
        </w:tc>
      </w:tr>
      <w:tr w:rsidR="002D7080" w:rsidRPr="00222D02" w14:paraId="36E47615" w14:textId="77777777" w:rsidTr="002E2C37">
        <w:tc>
          <w:tcPr>
            <w:tcW w:w="5949" w:type="dxa"/>
          </w:tcPr>
          <w:p w14:paraId="30AB4C59"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Data Deficient (DD)</w:t>
            </w:r>
          </w:p>
        </w:tc>
        <w:tc>
          <w:tcPr>
            <w:tcW w:w="3067" w:type="dxa"/>
          </w:tcPr>
          <w:p w14:paraId="369CC2A8"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Confidence: High </w:t>
            </w:r>
          </w:p>
        </w:tc>
      </w:tr>
      <w:tr w:rsidR="002D7080" w:rsidRPr="00222D02" w14:paraId="1C27CEB6" w14:textId="77777777" w:rsidTr="002E2C37">
        <w:trPr>
          <w:trHeight w:val="70"/>
        </w:trPr>
        <w:tc>
          <w:tcPr>
            <w:tcW w:w="9016" w:type="dxa"/>
            <w:gridSpan w:val="2"/>
          </w:tcPr>
          <w:p w14:paraId="7592CF4E" w14:textId="5CA96DD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Rationale: There are no native freshwater crayfish in South Africa, therefore hybridisation is not possible (</w:t>
            </w:r>
            <w:r w:rsidR="008A0BC6">
              <w:rPr>
                <w:rFonts w:ascii="Times New Roman" w:eastAsia="Times New Roman" w:hAnsi="Times New Roman" w:cs="Times New Roman"/>
                <w:sz w:val="20"/>
                <w:szCs w:val="20"/>
                <w:lang w:eastAsia="en-ZA"/>
              </w:rPr>
              <w:t>De Moor</w:t>
            </w:r>
            <w:r w:rsidRPr="00222D02">
              <w:rPr>
                <w:rFonts w:ascii="Times New Roman" w:eastAsia="Times New Roman" w:hAnsi="Times New Roman" w:cs="Times New Roman"/>
                <w:sz w:val="20"/>
                <w:szCs w:val="20"/>
                <w:lang w:eastAsia="en-ZA"/>
              </w:rPr>
              <w:t xml:space="preserve"> 2002).</w:t>
            </w:r>
          </w:p>
        </w:tc>
      </w:tr>
      <w:tr w:rsidR="002D7080" w:rsidRPr="00222D02" w14:paraId="68DDCED1" w14:textId="77777777" w:rsidTr="002E2C37">
        <w:trPr>
          <w:trHeight w:val="70"/>
        </w:trPr>
        <w:tc>
          <w:tcPr>
            <w:tcW w:w="9016" w:type="dxa"/>
            <w:gridSpan w:val="2"/>
          </w:tcPr>
          <w:p w14:paraId="3E31DAD5"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19A4F87F" w14:textId="1054E008" w:rsidR="002D7080" w:rsidRPr="00222D02" w:rsidRDefault="008A0BC6" w:rsidP="002E2C37">
            <w:pPr>
              <w:ind w:left="720" w:hanging="720"/>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De Moor</w:t>
            </w:r>
            <w:r w:rsidR="002D7080" w:rsidRPr="00222D02">
              <w:rPr>
                <w:rFonts w:ascii="Times New Roman" w:eastAsia="Times New Roman" w:hAnsi="Times New Roman" w:cs="Times New Roman"/>
                <w:sz w:val="20"/>
                <w:szCs w:val="20"/>
                <w:lang w:eastAsia="en-ZA"/>
              </w:rPr>
              <w:t xml:space="preserve">, I., 2002, ‘Potential impacts of alien freshwater crayfish in South Africa’, African </w:t>
            </w:r>
            <w:r w:rsidR="002D7080" w:rsidRPr="00222D02">
              <w:rPr>
                <w:rFonts w:ascii="Times New Roman" w:eastAsia="Times New Roman" w:hAnsi="Times New Roman" w:cs="Times New Roman"/>
                <w:i/>
                <w:sz w:val="20"/>
                <w:szCs w:val="20"/>
                <w:lang w:eastAsia="en-ZA"/>
              </w:rPr>
              <w:t xml:space="preserve">Journal of Aquatic Science </w:t>
            </w:r>
            <w:r w:rsidR="002D7080" w:rsidRPr="00222D02">
              <w:rPr>
                <w:rFonts w:ascii="Times New Roman" w:eastAsia="Times New Roman" w:hAnsi="Times New Roman" w:cs="Times New Roman"/>
                <w:sz w:val="20"/>
                <w:szCs w:val="20"/>
                <w:lang w:eastAsia="en-ZA"/>
              </w:rPr>
              <w:t xml:space="preserve">27, 125–139. </w:t>
            </w:r>
            <w:hyperlink r:id="rId162" w:history="1">
              <w:r w:rsidR="00716A79" w:rsidRPr="00D66918">
                <w:rPr>
                  <w:rStyle w:val="Hyperlink"/>
                  <w:rFonts w:ascii="Times New Roman" w:eastAsia="Times New Roman" w:hAnsi="Times New Roman" w:cs="Times New Roman"/>
                  <w:sz w:val="20"/>
                  <w:szCs w:val="20"/>
                  <w:lang w:eastAsia="en-ZA"/>
                </w:rPr>
                <w:t>https://doi.org/10.2989/16085914.2002.9626584</w:t>
              </w:r>
            </w:hyperlink>
            <w:r w:rsidR="002D7080" w:rsidRPr="00222D02">
              <w:rPr>
                <w:rFonts w:ascii="Times New Roman" w:eastAsia="Times New Roman" w:hAnsi="Times New Roman" w:cs="Times New Roman"/>
                <w:sz w:val="20"/>
                <w:szCs w:val="20"/>
                <w:lang w:eastAsia="en-ZA"/>
              </w:rPr>
              <w:t>.</w:t>
            </w:r>
          </w:p>
        </w:tc>
      </w:tr>
      <w:tr w:rsidR="002D7080" w:rsidRPr="00222D02" w14:paraId="52C32324" w14:textId="77777777" w:rsidTr="002E2C37">
        <w:tc>
          <w:tcPr>
            <w:tcW w:w="9016" w:type="dxa"/>
            <w:gridSpan w:val="2"/>
            <w:shd w:val="clear" w:color="auto" w:fill="F2F2F2" w:themeFill="background1" w:themeFillShade="F2"/>
          </w:tcPr>
          <w:p w14:paraId="205407FC"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CON1d: Transmission of disease</w:t>
            </w:r>
          </w:p>
        </w:tc>
      </w:tr>
      <w:tr w:rsidR="002D7080" w:rsidRPr="00222D02" w14:paraId="72456F56" w14:textId="77777777" w:rsidTr="002E2C37">
        <w:tc>
          <w:tcPr>
            <w:tcW w:w="5949" w:type="dxa"/>
          </w:tcPr>
          <w:p w14:paraId="2327F8B1"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Response: Major (MR) </w:t>
            </w:r>
          </w:p>
        </w:tc>
        <w:tc>
          <w:tcPr>
            <w:tcW w:w="3067" w:type="dxa"/>
          </w:tcPr>
          <w:p w14:paraId="4F7C6542"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Medium</w:t>
            </w:r>
          </w:p>
        </w:tc>
      </w:tr>
      <w:tr w:rsidR="002D7080" w:rsidRPr="00222D02" w14:paraId="1804C149" w14:textId="77777777" w:rsidTr="002E2C37">
        <w:trPr>
          <w:trHeight w:val="70"/>
        </w:trPr>
        <w:tc>
          <w:tcPr>
            <w:tcW w:w="9016" w:type="dxa"/>
            <w:gridSpan w:val="2"/>
          </w:tcPr>
          <w:p w14:paraId="6CCD38B1"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w:t>
            </w:r>
            <w:r w:rsidRPr="00222D02">
              <w:rPr>
                <w:rFonts w:ascii="Times New Roman" w:hAnsi="Times New Roman" w:cs="Times New Roman"/>
                <w:i/>
                <w:iCs/>
                <w:sz w:val="20"/>
                <w:szCs w:val="20"/>
              </w:rPr>
              <w:t>Cherax quadricarinatus</w:t>
            </w:r>
            <w:r w:rsidRPr="00222D02">
              <w:rPr>
                <w:rFonts w:ascii="Times New Roman" w:hAnsi="Times New Roman" w:cs="Times New Roman"/>
                <w:sz w:val="20"/>
                <w:szCs w:val="20"/>
              </w:rPr>
              <w:t xml:space="preserve"> has been shown to cause major impacts to areas of introduction through transmission of disease (Haubrock et al. 2021). For example, </w:t>
            </w:r>
            <w:r w:rsidRPr="00222D02">
              <w:rPr>
                <w:rFonts w:ascii="Times New Roman" w:hAnsi="Times New Roman" w:cs="Times New Roman"/>
                <w:i/>
                <w:iCs/>
                <w:sz w:val="20"/>
                <w:szCs w:val="20"/>
              </w:rPr>
              <w:t>C. quadricarinatus</w:t>
            </w:r>
            <w:r w:rsidRPr="00222D02">
              <w:rPr>
                <w:rFonts w:ascii="Times New Roman" w:hAnsi="Times New Roman" w:cs="Times New Roman"/>
                <w:sz w:val="20"/>
                <w:szCs w:val="20"/>
              </w:rPr>
              <w:t xml:space="preserve"> infected by the Decapod Iridescent Virus 1 (DIV1) have been implicated in the decline of crayfish and shrimp species in southern China (Qiu et al. 2019). Similarly, introductions of </w:t>
            </w:r>
            <w:r w:rsidRPr="00222D02">
              <w:rPr>
                <w:rFonts w:ascii="Times New Roman" w:hAnsi="Times New Roman" w:cs="Times New Roman"/>
                <w:i/>
                <w:iCs/>
                <w:sz w:val="20"/>
                <w:szCs w:val="20"/>
              </w:rPr>
              <w:t>C. quadricarinatus</w:t>
            </w:r>
            <w:r w:rsidRPr="00222D02">
              <w:rPr>
                <w:rFonts w:ascii="Times New Roman" w:hAnsi="Times New Roman" w:cs="Times New Roman"/>
                <w:sz w:val="20"/>
                <w:szCs w:val="20"/>
              </w:rPr>
              <w:t xml:space="preserve"> infected with the </w:t>
            </w:r>
            <w:r w:rsidRPr="00222D02">
              <w:rPr>
                <w:rFonts w:ascii="Times New Roman" w:hAnsi="Times New Roman" w:cs="Times New Roman"/>
                <w:i/>
                <w:iCs/>
                <w:sz w:val="20"/>
                <w:szCs w:val="20"/>
              </w:rPr>
              <w:t xml:space="preserve">Cherax </w:t>
            </w:r>
            <w:r w:rsidRPr="00222D02">
              <w:rPr>
                <w:rFonts w:ascii="Times New Roman" w:eastAsia="Times New Roman" w:hAnsi="Times New Roman" w:cs="Times New Roman"/>
                <w:i/>
                <w:iCs/>
                <w:sz w:val="20"/>
                <w:szCs w:val="20"/>
                <w:lang w:eastAsia="en-ZA"/>
              </w:rPr>
              <w:t xml:space="preserve">quadricarinatus bacilliform virus </w:t>
            </w:r>
            <w:r w:rsidRPr="00222D02">
              <w:rPr>
                <w:rFonts w:ascii="Times New Roman" w:eastAsia="Times New Roman" w:hAnsi="Times New Roman" w:cs="Times New Roman"/>
                <w:sz w:val="20"/>
                <w:szCs w:val="20"/>
                <w:lang w:eastAsia="en-ZA"/>
              </w:rPr>
              <w:t>(CqBV)</w:t>
            </w:r>
            <w:r w:rsidRPr="00222D02">
              <w:rPr>
                <w:rFonts w:ascii="Times New Roman" w:hAnsi="Times New Roman" w:cs="Times New Roman"/>
                <w:sz w:val="20"/>
                <w:szCs w:val="20"/>
              </w:rPr>
              <w:t xml:space="preserve"> have caused declines in aquaculture production (Edgerton &amp; Owens 1997).</w:t>
            </w:r>
          </w:p>
        </w:tc>
      </w:tr>
      <w:tr w:rsidR="002D7080" w:rsidRPr="00222D02" w14:paraId="3A4060EA" w14:textId="77777777" w:rsidTr="002E2C37">
        <w:trPr>
          <w:trHeight w:val="70"/>
        </w:trPr>
        <w:tc>
          <w:tcPr>
            <w:tcW w:w="9016" w:type="dxa"/>
            <w:gridSpan w:val="2"/>
          </w:tcPr>
          <w:p w14:paraId="0977BF0D" w14:textId="77777777" w:rsidR="002D7080" w:rsidRPr="00222D02" w:rsidRDefault="002D7080" w:rsidP="002E2C37">
            <w:pPr>
              <w:contextualSpacing/>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lastRenderedPageBreak/>
              <w:t>References:</w:t>
            </w:r>
          </w:p>
          <w:p w14:paraId="51E90BAC" w14:textId="77777777" w:rsidR="002D7080" w:rsidRPr="00222D02" w:rsidRDefault="002D7080" w:rsidP="00C52E1A">
            <w:pPr>
              <w:ind w:left="720" w:hanging="720"/>
              <w:contextualSpacing/>
              <w:jc w:val="both"/>
              <w:rPr>
                <w:rFonts w:ascii="Times New Roman" w:eastAsia="Aptos" w:hAnsi="Times New Roman" w:cs="Times New Roman"/>
                <w:kern w:val="2"/>
                <w:sz w:val="20"/>
                <w:szCs w:val="20"/>
              </w:rPr>
            </w:pPr>
            <w:r w:rsidRPr="00222D02">
              <w:rPr>
                <w:rFonts w:ascii="Times New Roman" w:eastAsia="Aptos" w:hAnsi="Times New Roman" w:cs="Times New Roman"/>
                <w:kern w:val="2"/>
                <w:sz w:val="20"/>
                <w:szCs w:val="20"/>
              </w:rPr>
              <w:t xml:space="preserve">Edgerton, B. &amp; Owens, L., 1997,’ Age at first infection of </w:t>
            </w:r>
            <w:r w:rsidRPr="00222D02">
              <w:rPr>
                <w:rFonts w:ascii="Times New Roman" w:eastAsia="Aptos" w:hAnsi="Times New Roman" w:cs="Times New Roman"/>
                <w:i/>
                <w:iCs/>
                <w:kern w:val="2"/>
                <w:sz w:val="20"/>
                <w:szCs w:val="20"/>
              </w:rPr>
              <w:t>Cherax quadricarinatus</w:t>
            </w:r>
            <w:r w:rsidRPr="00222D02">
              <w:rPr>
                <w:rFonts w:ascii="Times New Roman" w:eastAsia="Aptos" w:hAnsi="Times New Roman" w:cs="Times New Roman"/>
                <w:kern w:val="2"/>
                <w:sz w:val="20"/>
                <w:szCs w:val="20"/>
              </w:rPr>
              <w:t xml:space="preserve"> by </w:t>
            </w:r>
            <w:r w:rsidRPr="00222D02">
              <w:rPr>
                <w:rFonts w:ascii="Times New Roman" w:eastAsia="Aptos" w:hAnsi="Times New Roman" w:cs="Times New Roman"/>
                <w:i/>
                <w:iCs/>
                <w:kern w:val="2"/>
                <w:sz w:val="20"/>
                <w:szCs w:val="20"/>
              </w:rPr>
              <w:t>Cherax quadricarinatus bacilliform</w:t>
            </w:r>
            <w:r w:rsidRPr="00222D02">
              <w:rPr>
                <w:rFonts w:ascii="Times New Roman" w:eastAsia="Aptos" w:hAnsi="Times New Roman" w:cs="Times New Roman"/>
                <w:kern w:val="2"/>
                <w:sz w:val="20"/>
                <w:szCs w:val="20"/>
              </w:rPr>
              <w:t xml:space="preserve"> virus and </w:t>
            </w:r>
            <w:r w:rsidRPr="00222D02">
              <w:rPr>
                <w:rFonts w:ascii="Times New Roman" w:eastAsia="Aptos" w:hAnsi="Times New Roman" w:cs="Times New Roman"/>
                <w:i/>
                <w:iCs/>
                <w:kern w:val="2"/>
                <w:sz w:val="20"/>
                <w:szCs w:val="20"/>
              </w:rPr>
              <w:t>Cherax giardiavirus</w:t>
            </w:r>
            <w:r w:rsidRPr="00222D02">
              <w:rPr>
                <w:rFonts w:ascii="Times New Roman" w:eastAsia="Aptos" w:hAnsi="Times New Roman" w:cs="Times New Roman"/>
                <w:kern w:val="2"/>
                <w:sz w:val="20"/>
                <w:szCs w:val="20"/>
              </w:rPr>
              <w:t xml:space="preserve">-like virus, and production of putative virus-free crayfish’, </w:t>
            </w:r>
            <w:r w:rsidRPr="00222D02">
              <w:rPr>
                <w:rFonts w:ascii="Times New Roman" w:eastAsia="Aptos" w:hAnsi="Times New Roman" w:cs="Times New Roman"/>
                <w:i/>
                <w:iCs/>
                <w:kern w:val="2"/>
                <w:sz w:val="20"/>
                <w:szCs w:val="20"/>
              </w:rPr>
              <w:t>Aquaculture</w:t>
            </w:r>
            <w:r w:rsidRPr="00222D02">
              <w:rPr>
                <w:rFonts w:ascii="Times New Roman" w:eastAsia="Aptos" w:hAnsi="Times New Roman" w:cs="Times New Roman"/>
                <w:kern w:val="2"/>
                <w:sz w:val="20"/>
                <w:szCs w:val="20"/>
              </w:rPr>
              <w:t xml:space="preserve"> 152, 1–12. https://doi.org/10.1016/S0044-8486(97)00006-9.</w:t>
            </w:r>
          </w:p>
          <w:p w14:paraId="747196EE" w14:textId="77777777" w:rsidR="002D7080" w:rsidRPr="00222D02" w:rsidRDefault="002D7080" w:rsidP="00C52E1A">
            <w:pPr>
              <w:ind w:left="720" w:hanging="720"/>
              <w:contextualSpacing/>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 https://doi.org/10.1111/raq.12531.</w:t>
            </w:r>
          </w:p>
          <w:p w14:paraId="44B8134F" w14:textId="77777777" w:rsidR="002D7080" w:rsidRPr="00222D02" w:rsidRDefault="002D7080" w:rsidP="00C52E1A">
            <w:pPr>
              <w:ind w:left="720" w:hanging="720"/>
              <w:contextualSpacing/>
              <w:jc w:val="both"/>
              <w:rPr>
                <w:rFonts w:ascii="Times New Roman" w:eastAsia="Aptos" w:hAnsi="Times New Roman" w:cs="Times New Roman"/>
                <w:kern w:val="2"/>
                <w:sz w:val="20"/>
                <w:szCs w:val="20"/>
              </w:rPr>
            </w:pPr>
            <w:r w:rsidRPr="00222D02">
              <w:rPr>
                <w:rFonts w:ascii="Times New Roman" w:eastAsia="Aptos" w:hAnsi="Times New Roman" w:cs="Times New Roman"/>
                <w:kern w:val="2"/>
                <w:sz w:val="20"/>
                <w:szCs w:val="20"/>
              </w:rPr>
              <w:t xml:space="preserve">Longshaw, M., 2011, ‘Diseases of crayfish: a review’, </w:t>
            </w:r>
            <w:r w:rsidRPr="00222D02">
              <w:rPr>
                <w:rFonts w:ascii="Times New Roman" w:eastAsia="Aptos" w:hAnsi="Times New Roman" w:cs="Times New Roman"/>
                <w:i/>
                <w:iCs/>
                <w:kern w:val="2"/>
                <w:sz w:val="20"/>
                <w:szCs w:val="20"/>
              </w:rPr>
              <w:t>Journal of Invertebrate Pathology</w:t>
            </w:r>
            <w:r w:rsidRPr="00222D02">
              <w:rPr>
                <w:rFonts w:ascii="Times New Roman" w:eastAsia="Aptos" w:hAnsi="Times New Roman" w:cs="Times New Roman"/>
                <w:kern w:val="2"/>
                <w:sz w:val="20"/>
                <w:szCs w:val="20"/>
              </w:rPr>
              <w:t xml:space="preserve"> 106, 54–70. https://doi.org/10.1016/j.jip.2010.09.013.</w:t>
            </w:r>
          </w:p>
          <w:p w14:paraId="64C9986F" w14:textId="77777777" w:rsidR="002D7080" w:rsidRPr="00222D02" w:rsidRDefault="002D7080" w:rsidP="00C52E1A">
            <w:pPr>
              <w:ind w:left="720" w:hanging="720"/>
              <w:contextualSpacing/>
              <w:jc w:val="both"/>
              <w:rPr>
                <w:rFonts w:ascii="Times New Roman" w:eastAsia="Aptos" w:hAnsi="Times New Roman" w:cs="Times New Roman"/>
                <w:kern w:val="2"/>
                <w:sz w:val="20"/>
                <w:szCs w:val="20"/>
              </w:rPr>
            </w:pPr>
            <w:r w:rsidRPr="00222D02">
              <w:rPr>
                <w:rFonts w:ascii="Times New Roman" w:eastAsia="Aptos" w:hAnsi="Times New Roman" w:cs="Times New Roman"/>
                <w:kern w:val="2"/>
                <w:sz w:val="20"/>
                <w:szCs w:val="20"/>
              </w:rPr>
              <w:t xml:space="preserve">Saoud, I.P., Ghanawi, J., Thompson, K.R. &amp; Webster, C.D., 2013, ‘A review of culture and diseases of redclaw crayfish </w:t>
            </w:r>
            <w:r w:rsidRPr="00222D02">
              <w:rPr>
                <w:rFonts w:ascii="Times New Roman" w:eastAsia="Aptos" w:hAnsi="Times New Roman" w:cs="Times New Roman"/>
                <w:i/>
                <w:iCs/>
                <w:kern w:val="2"/>
                <w:sz w:val="20"/>
                <w:szCs w:val="20"/>
              </w:rPr>
              <w:t>Cherax quadricarinatus</w:t>
            </w:r>
            <w:r w:rsidRPr="00222D02">
              <w:rPr>
                <w:rFonts w:ascii="Times New Roman" w:eastAsia="Aptos" w:hAnsi="Times New Roman" w:cs="Times New Roman"/>
                <w:kern w:val="2"/>
                <w:sz w:val="20"/>
                <w:szCs w:val="20"/>
              </w:rPr>
              <w:t xml:space="preserve"> (Von Martens 1868)’, </w:t>
            </w:r>
            <w:r w:rsidRPr="00222D02">
              <w:rPr>
                <w:rFonts w:ascii="Times New Roman" w:eastAsia="Aptos" w:hAnsi="Times New Roman" w:cs="Times New Roman"/>
                <w:i/>
                <w:iCs/>
                <w:kern w:val="2"/>
                <w:sz w:val="20"/>
                <w:szCs w:val="20"/>
              </w:rPr>
              <w:t>Journal of the World Aquaculture Society</w:t>
            </w:r>
            <w:r w:rsidRPr="00222D02">
              <w:rPr>
                <w:rFonts w:ascii="Times New Roman" w:eastAsia="Aptos" w:hAnsi="Times New Roman" w:cs="Times New Roman"/>
                <w:kern w:val="2"/>
                <w:sz w:val="20"/>
                <w:szCs w:val="20"/>
              </w:rPr>
              <w:t xml:space="preserve"> 44, 1-29. https://doi.org/10.1111/jwas.12011.</w:t>
            </w:r>
          </w:p>
          <w:p w14:paraId="24E9D941" w14:textId="77777777" w:rsidR="002D7080" w:rsidRPr="00222D02" w:rsidRDefault="002D7080" w:rsidP="00C52E1A">
            <w:pPr>
              <w:ind w:left="720" w:hanging="720"/>
              <w:contextualSpacing/>
              <w:jc w:val="both"/>
              <w:rPr>
                <w:rFonts w:ascii="Times New Roman" w:eastAsia="Aptos" w:hAnsi="Times New Roman" w:cs="Times New Roman"/>
                <w:kern w:val="2"/>
                <w:sz w:val="20"/>
                <w:szCs w:val="20"/>
              </w:rPr>
            </w:pPr>
            <w:r w:rsidRPr="00222D02">
              <w:rPr>
                <w:rFonts w:ascii="Times New Roman" w:eastAsia="Aptos" w:hAnsi="Times New Roman" w:cs="Times New Roman"/>
                <w:kern w:val="2"/>
                <w:sz w:val="20"/>
                <w:szCs w:val="20"/>
              </w:rPr>
              <w:t xml:space="preserve">Qiu, L., Chen, X., Zhao, R.-H., Li, C., Gao, W., Zhang, Q.L., et al., 2019, ‘Description of a natural Infection with Decapod Iridescent Virus 1 in farmed giant freshwater prawn </w:t>
            </w:r>
            <w:r w:rsidRPr="00222D02">
              <w:rPr>
                <w:rFonts w:ascii="Times New Roman" w:eastAsia="Aptos" w:hAnsi="Times New Roman" w:cs="Times New Roman"/>
                <w:i/>
                <w:iCs/>
                <w:kern w:val="2"/>
                <w:sz w:val="20"/>
                <w:szCs w:val="20"/>
              </w:rPr>
              <w:t>Macrobrachium rosenbergii</w:t>
            </w:r>
            <w:r w:rsidRPr="00222D02">
              <w:rPr>
                <w:rFonts w:ascii="Times New Roman" w:eastAsia="Aptos" w:hAnsi="Times New Roman" w:cs="Times New Roman"/>
                <w:kern w:val="2"/>
                <w:sz w:val="20"/>
                <w:szCs w:val="20"/>
              </w:rPr>
              <w:t xml:space="preserve">’, </w:t>
            </w:r>
            <w:r w:rsidRPr="00222D02">
              <w:rPr>
                <w:rFonts w:ascii="Times New Roman" w:eastAsia="Aptos" w:hAnsi="Times New Roman" w:cs="Times New Roman"/>
                <w:i/>
                <w:iCs/>
                <w:kern w:val="2"/>
                <w:sz w:val="20"/>
                <w:szCs w:val="20"/>
              </w:rPr>
              <w:t>Viruses</w:t>
            </w:r>
            <w:r w:rsidRPr="00222D02">
              <w:rPr>
                <w:rFonts w:ascii="Times New Roman" w:eastAsia="Aptos" w:hAnsi="Times New Roman" w:cs="Times New Roman"/>
                <w:kern w:val="2"/>
                <w:sz w:val="20"/>
                <w:szCs w:val="20"/>
              </w:rPr>
              <w:t xml:space="preserve"> 11, 354. https://doi.org/10.3390/v11040354.</w:t>
            </w:r>
          </w:p>
        </w:tc>
      </w:tr>
      <w:tr w:rsidR="002D7080" w:rsidRPr="00222D02" w14:paraId="7AABA4C9" w14:textId="77777777" w:rsidTr="002E2C37">
        <w:tc>
          <w:tcPr>
            <w:tcW w:w="9016" w:type="dxa"/>
            <w:gridSpan w:val="2"/>
            <w:shd w:val="clear" w:color="auto" w:fill="F2F2F2" w:themeFill="background1" w:themeFillShade="F2"/>
          </w:tcPr>
          <w:p w14:paraId="52D2C3BA"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CON1e: Parasitism</w:t>
            </w:r>
          </w:p>
        </w:tc>
      </w:tr>
      <w:tr w:rsidR="002D7080" w:rsidRPr="00222D02" w14:paraId="37FF0C8C" w14:textId="77777777" w:rsidTr="002E2C37">
        <w:tc>
          <w:tcPr>
            <w:tcW w:w="5949" w:type="dxa"/>
          </w:tcPr>
          <w:p w14:paraId="25DDBAA4"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Data Deficient (DD)</w:t>
            </w:r>
          </w:p>
        </w:tc>
        <w:tc>
          <w:tcPr>
            <w:tcW w:w="3067" w:type="dxa"/>
          </w:tcPr>
          <w:p w14:paraId="464DF6BA"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Confidence: High </w:t>
            </w:r>
          </w:p>
        </w:tc>
      </w:tr>
      <w:tr w:rsidR="002D7080" w:rsidRPr="00222D02" w14:paraId="2FDB792C" w14:textId="77777777" w:rsidTr="002E2C37">
        <w:trPr>
          <w:trHeight w:val="70"/>
        </w:trPr>
        <w:tc>
          <w:tcPr>
            <w:tcW w:w="9016" w:type="dxa"/>
            <w:gridSpan w:val="2"/>
          </w:tcPr>
          <w:p w14:paraId="4E911B91"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is not a parasitic taxon (Haubrock et al. 2021)</w:t>
            </w:r>
          </w:p>
        </w:tc>
      </w:tr>
      <w:tr w:rsidR="002D7080" w:rsidRPr="00222D02" w14:paraId="1A27D7C8" w14:textId="77777777" w:rsidTr="002E2C37">
        <w:trPr>
          <w:trHeight w:val="70"/>
        </w:trPr>
        <w:tc>
          <w:tcPr>
            <w:tcW w:w="9016" w:type="dxa"/>
            <w:gridSpan w:val="2"/>
          </w:tcPr>
          <w:p w14:paraId="11C44B41"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References: </w:t>
            </w:r>
          </w:p>
          <w:p w14:paraId="3287ADEB" w14:textId="77777777" w:rsidR="002D7080" w:rsidRPr="00222D02" w:rsidRDefault="002D7080" w:rsidP="00C52E1A">
            <w:pPr>
              <w:ind w:left="720" w:hanging="720"/>
              <w:contextualSpacing/>
              <w:jc w:val="both"/>
              <w:rPr>
                <w:rFonts w:ascii="Times New Roman" w:hAnsi="Times New Roman" w:cs="Times New Roman"/>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 https://doi.org/10.1111/raq.12531.</w:t>
            </w:r>
          </w:p>
        </w:tc>
      </w:tr>
      <w:tr w:rsidR="002D7080" w:rsidRPr="00222D02" w14:paraId="2BB58E2C" w14:textId="77777777" w:rsidTr="002E2C37">
        <w:tc>
          <w:tcPr>
            <w:tcW w:w="9016" w:type="dxa"/>
            <w:gridSpan w:val="2"/>
            <w:shd w:val="clear" w:color="auto" w:fill="F2F2F2" w:themeFill="background1" w:themeFillShade="F2"/>
          </w:tcPr>
          <w:p w14:paraId="058DCB1B"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CON1f: Poisoning/toxicity</w:t>
            </w:r>
          </w:p>
        </w:tc>
      </w:tr>
      <w:tr w:rsidR="002D7080" w:rsidRPr="00222D02" w14:paraId="38BF2617" w14:textId="77777777" w:rsidTr="002E2C37">
        <w:tc>
          <w:tcPr>
            <w:tcW w:w="5949" w:type="dxa"/>
          </w:tcPr>
          <w:p w14:paraId="6F1BECC6"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Minimal Concern (MC)</w:t>
            </w:r>
          </w:p>
        </w:tc>
        <w:tc>
          <w:tcPr>
            <w:tcW w:w="3067" w:type="dxa"/>
          </w:tcPr>
          <w:p w14:paraId="1D574A03"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5EB34CA4" w14:textId="77777777" w:rsidTr="002E2C37">
        <w:trPr>
          <w:trHeight w:val="70"/>
        </w:trPr>
        <w:tc>
          <w:tcPr>
            <w:tcW w:w="9016" w:type="dxa"/>
            <w:gridSpan w:val="2"/>
          </w:tcPr>
          <w:p w14:paraId="18250165"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Rationale:</w:t>
            </w:r>
            <w:r w:rsidRPr="00222D02">
              <w:rPr>
                <w:rFonts w:ascii="Times New Roman" w:hAnsi="Times New Roman" w:cs="Times New Roman"/>
                <w:sz w:val="20"/>
                <w:szCs w:val="20"/>
              </w:rPr>
              <w:t xml:space="preserve">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w:t>
            </w:r>
            <w:r w:rsidRPr="00222D02">
              <w:rPr>
                <w:rFonts w:ascii="Times New Roman" w:hAnsi="Times New Roman" w:cs="Times New Roman"/>
                <w:sz w:val="20"/>
                <w:szCs w:val="20"/>
              </w:rPr>
              <w:t>can bio–accumulate toxins (e.g. cyanobacteria) in its tissues and organs (Saker &amp; Eaglesham 1999) but there have been no recorded adverse impacts as a result of poisoning or toxicity from infected crayfish (Haubrock et al. 2021).</w:t>
            </w:r>
          </w:p>
        </w:tc>
      </w:tr>
      <w:tr w:rsidR="002D7080" w:rsidRPr="00222D02" w14:paraId="5AB56B43" w14:textId="77777777" w:rsidTr="002E2C37">
        <w:trPr>
          <w:trHeight w:val="70"/>
        </w:trPr>
        <w:tc>
          <w:tcPr>
            <w:tcW w:w="9016" w:type="dxa"/>
            <w:gridSpan w:val="2"/>
          </w:tcPr>
          <w:p w14:paraId="1F901E53"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76E81B75" w14:textId="406BC83B" w:rsidR="002D7080" w:rsidRPr="00222D02" w:rsidRDefault="002D7080" w:rsidP="00C52E1A">
            <w:pPr>
              <w:ind w:left="720" w:hanging="720"/>
              <w:contextualSpacing/>
              <w:jc w:val="both"/>
              <w:rPr>
                <w:rFonts w:ascii="Times New Roman" w:hAnsi="Times New Roman" w:cs="Times New Roman"/>
                <w:sz w:val="20"/>
                <w:szCs w:val="20"/>
              </w:rPr>
            </w:pPr>
            <w:r w:rsidRPr="00222D02">
              <w:rPr>
                <w:rFonts w:ascii="Times New Roman" w:hAnsi="Times New Roman" w:cs="Times New Roman"/>
                <w:sz w:val="20"/>
                <w:szCs w:val="20"/>
              </w:rPr>
              <w:t xml:space="preserve">Saker, M.L. &amp; Eaglesham, G,K., 1999, ‘The accumulation of cylindrospermopsin from the cyanobacteria </w:t>
            </w:r>
            <w:r w:rsidRPr="00222D02">
              <w:rPr>
                <w:rFonts w:ascii="Times New Roman" w:hAnsi="Times New Roman" w:cs="Times New Roman"/>
                <w:i/>
                <w:sz w:val="20"/>
                <w:szCs w:val="20"/>
              </w:rPr>
              <w:t>Cylindrospermopsis raciborskii</w:t>
            </w:r>
            <w:r w:rsidRPr="00222D02">
              <w:rPr>
                <w:rFonts w:ascii="Times New Roman" w:hAnsi="Times New Roman" w:cs="Times New Roman"/>
                <w:sz w:val="20"/>
                <w:szCs w:val="20"/>
              </w:rPr>
              <w:t xml:space="preserve"> in tissues of redclaw crayfish </w:t>
            </w:r>
            <w:r w:rsidRPr="00222D02">
              <w:rPr>
                <w:rFonts w:ascii="Times New Roman" w:hAnsi="Times New Roman" w:cs="Times New Roman"/>
                <w:i/>
                <w:iCs/>
                <w:sz w:val="20"/>
                <w:szCs w:val="20"/>
              </w:rPr>
              <w:t>Cherax quadricarinatus</w:t>
            </w:r>
            <w:r w:rsidRPr="00222D02">
              <w:rPr>
                <w:rFonts w:ascii="Times New Roman" w:hAnsi="Times New Roman" w:cs="Times New Roman"/>
                <w:sz w:val="20"/>
                <w:szCs w:val="20"/>
              </w:rPr>
              <w:t xml:space="preserve">’, </w:t>
            </w:r>
            <w:r w:rsidRPr="00222D02">
              <w:rPr>
                <w:rFonts w:ascii="Times New Roman" w:hAnsi="Times New Roman" w:cs="Times New Roman"/>
                <w:i/>
                <w:sz w:val="20"/>
                <w:szCs w:val="20"/>
              </w:rPr>
              <w:t>Toxicon</w:t>
            </w:r>
            <w:r w:rsidRPr="00222D02">
              <w:rPr>
                <w:rFonts w:ascii="Times New Roman" w:hAnsi="Times New Roman" w:cs="Times New Roman"/>
                <w:sz w:val="20"/>
                <w:szCs w:val="20"/>
              </w:rPr>
              <w:t xml:space="preserve"> </w:t>
            </w:r>
            <w:r w:rsidRPr="00222D02">
              <w:rPr>
                <w:rFonts w:ascii="Times New Roman" w:hAnsi="Times New Roman" w:cs="Times New Roman"/>
                <w:bCs/>
                <w:sz w:val="20"/>
                <w:szCs w:val="20"/>
              </w:rPr>
              <w:t>37,</w:t>
            </w:r>
            <w:r w:rsidRPr="00222D02">
              <w:rPr>
                <w:rFonts w:ascii="Times New Roman" w:hAnsi="Times New Roman" w:cs="Times New Roman"/>
                <w:sz w:val="20"/>
                <w:szCs w:val="20"/>
              </w:rPr>
              <w:t xml:space="preserve"> 1065-1077. </w:t>
            </w:r>
            <w:r w:rsidR="00C52E1A" w:rsidRPr="00C52E1A">
              <w:rPr>
                <w:rFonts w:ascii="Times New Roman" w:hAnsi="Times New Roman" w:cs="Times New Roman"/>
                <w:sz w:val="20"/>
                <w:szCs w:val="20"/>
              </w:rPr>
              <w:t>https://doi.org/10.1016/S0041-0101(98)00240-2</w:t>
            </w:r>
            <w:r w:rsidRPr="00222D02">
              <w:rPr>
                <w:rFonts w:ascii="Times New Roman" w:hAnsi="Times New Roman" w:cs="Times New Roman"/>
                <w:sz w:val="20"/>
                <w:szCs w:val="20"/>
              </w:rPr>
              <w:t>.</w:t>
            </w:r>
          </w:p>
          <w:p w14:paraId="41725861" w14:textId="77777777" w:rsidR="002D7080" w:rsidRPr="00222D02" w:rsidRDefault="002D7080" w:rsidP="00C52E1A">
            <w:pPr>
              <w:ind w:left="720" w:hanging="720"/>
              <w:contextualSpacing/>
              <w:jc w:val="both"/>
              <w:rPr>
                <w:rFonts w:ascii="Times New Roman" w:eastAsia="Aptos" w:hAnsi="Times New Roman" w:cs="Times New Roman"/>
                <w:kern w:val="2"/>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 https://doi.org/10.1111/raq.12531.</w:t>
            </w:r>
          </w:p>
        </w:tc>
      </w:tr>
      <w:tr w:rsidR="002D7080" w:rsidRPr="00222D02" w14:paraId="55CC2BF6" w14:textId="77777777" w:rsidTr="002E2C37">
        <w:tc>
          <w:tcPr>
            <w:tcW w:w="9016" w:type="dxa"/>
            <w:gridSpan w:val="2"/>
            <w:shd w:val="clear" w:color="auto" w:fill="F2F2F2" w:themeFill="background1" w:themeFillShade="F2"/>
          </w:tcPr>
          <w:p w14:paraId="7CE0C400"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CON1g: Bio-fouling or other direct physical disturbance</w:t>
            </w:r>
          </w:p>
        </w:tc>
      </w:tr>
      <w:tr w:rsidR="002D7080" w:rsidRPr="00222D02" w14:paraId="064AD435" w14:textId="77777777" w:rsidTr="002E2C37">
        <w:tc>
          <w:tcPr>
            <w:tcW w:w="5949" w:type="dxa"/>
          </w:tcPr>
          <w:p w14:paraId="14BF4EDE"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Data Deficient (DD)</w:t>
            </w:r>
          </w:p>
        </w:tc>
        <w:tc>
          <w:tcPr>
            <w:tcW w:w="3067" w:type="dxa"/>
          </w:tcPr>
          <w:p w14:paraId="0A414D9A"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5BC690CE" w14:textId="77777777" w:rsidTr="002E2C37">
        <w:trPr>
          <w:trHeight w:val="70"/>
        </w:trPr>
        <w:tc>
          <w:tcPr>
            <w:tcW w:w="9016" w:type="dxa"/>
            <w:gridSpan w:val="2"/>
          </w:tcPr>
          <w:p w14:paraId="7FBB9EC3"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There are no recorded impacts by </w:t>
            </w:r>
            <w:r w:rsidRPr="00222D02">
              <w:rPr>
                <w:rFonts w:ascii="Times New Roman" w:eastAsia="Times New Roman" w:hAnsi="Times New Roman" w:cs="Times New Roman"/>
                <w:i/>
                <w:iCs/>
                <w:sz w:val="20"/>
                <w:szCs w:val="20"/>
                <w:lang w:eastAsia="en-ZA"/>
              </w:rPr>
              <w:t>C. quadricarinatus</w:t>
            </w:r>
            <w:r w:rsidRPr="00222D02">
              <w:rPr>
                <w:rFonts w:ascii="Times New Roman" w:eastAsia="Times New Roman" w:hAnsi="Times New Roman" w:cs="Times New Roman"/>
                <w:sz w:val="20"/>
                <w:szCs w:val="20"/>
                <w:lang w:eastAsia="en-ZA"/>
              </w:rPr>
              <w:t xml:space="preserve"> through bio-fouling/physical disturbance (Haubrock et al. 2021) </w:t>
            </w:r>
          </w:p>
        </w:tc>
      </w:tr>
      <w:tr w:rsidR="002D7080" w:rsidRPr="00222D02" w14:paraId="6302D22E" w14:textId="77777777" w:rsidTr="002E2C37">
        <w:trPr>
          <w:trHeight w:val="70"/>
        </w:trPr>
        <w:tc>
          <w:tcPr>
            <w:tcW w:w="9016" w:type="dxa"/>
            <w:gridSpan w:val="2"/>
          </w:tcPr>
          <w:p w14:paraId="6BAE1350"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1027D429" w14:textId="77777777" w:rsidR="002D7080" w:rsidRPr="00222D02" w:rsidRDefault="002D7080" w:rsidP="00C52E1A">
            <w:pPr>
              <w:ind w:left="720" w:hanging="720"/>
              <w:contextualSpacing/>
              <w:jc w:val="both"/>
              <w:rPr>
                <w:rFonts w:ascii="Times New Roman" w:eastAsia="Aptos" w:hAnsi="Times New Roman" w:cs="Times New Roman"/>
                <w:kern w:val="2"/>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 https://doi.org/10.1111/raq.12531.</w:t>
            </w:r>
          </w:p>
        </w:tc>
      </w:tr>
      <w:tr w:rsidR="002D7080" w:rsidRPr="00222D02" w14:paraId="603E7555" w14:textId="77777777" w:rsidTr="002E2C37">
        <w:tc>
          <w:tcPr>
            <w:tcW w:w="9016" w:type="dxa"/>
            <w:gridSpan w:val="2"/>
            <w:shd w:val="clear" w:color="auto" w:fill="F2F2F2" w:themeFill="background1" w:themeFillShade="F2"/>
          </w:tcPr>
          <w:p w14:paraId="7E460BC5"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lastRenderedPageBreak/>
              <w:t>CON1h: Grazing/herbivory/browsing</w:t>
            </w:r>
          </w:p>
        </w:tc>
      </w:tr>
      <w:tr w:rsidR="002D7080" w:rsidRPr="00222D02" w14:paraId="005C9B93" w14:textId="77777777" w:rsidTr="002E2C37">
        <w:tc>
          <w:tcPr>
            <w:tcW w:w="5949" w:type="dxa"/>
          </w:tcPr>
          <w:p w14:paraId="572825F4"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Minimal Concern (MC)</w:t>
            </w:r>
          </w:p>
        </w:tc>
        <w:tc>
          <w:tcPr>
            <w:tcW w:w="3067" w:type="dxa"/>
          </w:tcPr>
          <w:p w14:paraId="3A44E6F2"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Medium</w:t>
            </w:r>
          </w:p>
        </w:tc>
      </w:tr>
      <w:tr w:rsidR="002D7080" w:rsidRPr="00222D02" w14:paraId="67FA8C06" w14:textId="77777777" w:rsidTr="002E2C37">
        <w:trPr>
          <w:trHeight w:val="70"/>
        </w:trPr>
        <w:tc>
          <w:tcPr>
            <w:tcW w:w="9016" w:type="dxa"/>
            <w:gridSpan w:val="2"/>
          </w:tcPr>
          <w:p w14:paraId="7BC8F8B7"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hAnsi="Times New Roman" w:cs="Times New Roman"/>
                <w:sz w:val="20"/>
                <w:szCs w:val="20"/>
              </w:rPr>
              <w:t xml:space="preserve">Rationale: </w:t>
            </w:r>
            <w:r w:rsidRPr="00222D02">
              <w:rPr>
                <w:rFonts w:ascii="Times New Roman" w:hAnsi="Times New Roman" w:cs="Times New Roman"/>
                <w:i/>
                <w:iCs/>
                <w:sz w:val="20"/>
                <w:szCs w:val="20"/>
              </w:rPr>
              <w:t>Cherax quadricarinatus</w:t>
            </w:r>
            <w:r w:rsidRPr="00222D02">
              <w:rPr>
                <w:rFonts w:ascii="Times New Roman" w:hAnsi="Times New Roman" w:cs="Times New Roman"/>
                <w:sz w:val="20"/>
                <w:szCs w:val="20"/>
              </w:rPr>
              <w:t xml:space="preserve"> is omnivorous and feeds on plant and animal material and is likely to cause moderate impacts on invaded ecosystems through grazing on macrophytes (Haubrock et al. 2021, </w:t>
            </w:r>
            <w:r w:rsidRPr="00222D02">
              <w:rPr>
                <w:rFonts w:ascii="Times New Roman" w:eastAsia="Times New Roman" w:hAnsi="Times New Roman" w:cs="Times New Roman"/>
                <w:sz w:val="20"/>
                <w:szCs w:val="20"/>
                <w:lang w:eastAsia="en-ZA"/>
              </w:rPr>
              <w:t>Madzivanzira et al. 2022, Zengeya et al. 2022</w:t>
            </w:r>
            <w:r w:rsidRPr="00222D02">
              <w:rPr>
                <w:rFonts w:ascii="Times New Roman" w:hAnsi="Times New Roman" w:cs="Times New Roman"/>
                <w:sz w:val="20"/>
                <w:szCs w:val="20"/>
              </w:rPr>
              <w:t xml:space="preserve">) </w:t>
            </w:r>
          </w:p>
        </w:tc>
      </w:tr>
      <w:tr w:rsidR="002D7080" w:rsidRPr="00222D02" w14:paraId="6E134A10" w14:textId="77777777" w:rsidTr="002E2C37">
        <w:trPr>
          <w:trHeight w:val="70"/>
        </w:trPr>
        <w:tc>
          <w:tcPr>
            <w:tcW w:w="9016" w:type="dxa"/>
            <w:gridSpan w:val="2"/>
          </w:tcPr>
          <w:p w14:paraId="11DAC109" w14:textId="77777777" w:rsidR="002D7080" w:rsidRPr="00222D02" w:rsidRDefault="002D7080" w:rsidP="00C52E1A">
            <w:pPr>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102C3D9B" w14:textId="77777777" w:rsidR="002D7080" w:rsidRPr="00222D02" w:rsidRDefault="002D7080" w:rsidP="00C52E1A">
            <w:pPr>
              <w:spacing w:before="100" w:beforeAutospacing="1" w:after="100" w:afterAutospacing="1"/>
              <w:ind w:left="720" w:hanging="720"/>
              <w:contextualSpacing/>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 https://doi.org/10.1111/raq.12531.</w:t>
            </w:r>
          </w:p>
          <w:p w14:paraId="0C4413CA" w14:textId="77777777" w:rsidR="002D7080" w:rsidRPr="00222D02" w:rsidRDefault="002D7080" w:rsidP="00C52E1A">
            <w:pPr>
              <w:spacing w:before="100" w:beforeAutospacing="1" w:after="100" w:afterAutospacing="1"/>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Madzivanzira, T.C., Weyl, O.L.F. &amp; South, J., 2022, ‘Ecological and potential socioeconomic impacts of two globally invasive crayfish’, </w:t>
            </w:r>
            <w:r w:rsidRPr="00222D02">
              <w:rPr>
                <w:rFonts w:ascii="Times New Roman" w:eastAsia="Times New Roman" w:hAnsi="Times New Roman" w:cs="Times New Roman"/>
                <w:i/>
                <w:iCs/>
                <w:sz w:val="20"/>
                <w:szCs w:val="20"/>
                <w:lang w:eastAsia="en-ZA"/>
              </w:rPr>
              <w:t>NeoBiota</w:t>
            </w:r>
            <w:r w:rsidRPr="00222D02">
              <w:rPr>
                <w:rFonts w:ascii="Times New Roman" w:eastAsia="Times New Roman" w:hAnsi="Times New Roman" w:cs="Times New Roman"/>
                <w:sz w:val="20"/>
                <w:szCs w:val="20"/>
                <w:lang w:eastAsia="en-ZA"/>
              </w:rPr>
              <w:t xml:space="preserve"> 72, 25-43. https://doi.org/10.3897/neobiota.72.71868</w:t>
            </w:r>
          </w:p>
          <w:p w14:paraId="2AB7F3DE" w14:textId="77777777" w:rsidR="002D7080" w:rsidRPr="00222D02" w:rsidRDefault="002D7080" w:rsidP="00C52E1A">
            <w:pPr>
              <w:spacing w:before="100" w:beforeAutospacing="1" w:after="100" w:afterAutospacing="1"/>
              <w:ind w:left="720" w:hanging="720"/>
              <w:contextualSpacing/>
              <w:jc w:val="both"/>
              <w:rPr>
                <w:rFonts w:ascii="Times New Roman" w:eastAsia="Times New Roman" w:hAnsi="Times New Roman" w:cs="Times New Roman"/>
                <w:sz w:val="20"/>
                <w:szCs w:val="20"/>
                <w:lang w:eastAsia="en-ZA"/>
              </w:rPr>
            </w:pPr>
            <w:r w:rsidRPr="00222D02">
              <w:rPr>
                <w:rFonts w:ascii="Times New Roman" w:hAnsi="Times New Roman" w:cs="Times New Roman"/>
                <w:sz w:val="20"/>
                <w:szCs w:val="20"/>
              </w:rPr>
              <w:t xml:space="preserve">Zengeya, T.A., Lombard, R.J.H., Nelwamondo, V.E., Nunes, A.L., Measey, J.G. &amp; Weyl, O.L.F., 2022, ‘Trophic niche of an invasive generalist consumer: Australian redclaw crayfish, </w:t>
            </w:r>
            <w:r w:rsidRPr="00222D02">
              <w:rPr>
                <w:rFonts w:ascii="Times New Roman" w:hAnsi="Times New Roman" w:cs="Times New Roman"/>
                <w:i/>
                <w:iCs/>
                <w:sz w:val="20"/>
                <w:szCs w:val="20"/>
              </w:rPr>
              <w:t>Cherax quadricarinatus</w:t>
            </w:r>
            <w:r w:rsidRPr="00222D02">
              <w:rPr>
                <w:rFonts w:ascii="Times New Roman" w:hAnsi="Times New Roman" w:cs="Times New Roman"/>
                <w:sz w:val="20"/>
                <w:szCs w:val="20"/>
              </w:rPr>
              <w:t xml:space="preserve">, in the Inkomati River Basin, South Africa’, </w:t>
            </w:r>
            <w:r w:rsidRPr="00222D02">
              <w:rPr>
                <w:rFonts w:ascii="Times New Roman" w:hAnsi="Times New Roman" w:cs="Times New Roman"/>
                <w:i/>
                <w:iCs/>
                <w:sz w:val="20"/>
                <w:szCs w:val="20"/>
              </w:rPr>
              <w:t>Austral Ecology</w:t>
            </w:r>
            <w:r w:rsidRPr="00222D02">
              <w:rPr>
                <w:rFonts w:ascii="Times New Roman" w:hAnsi="Times New Roman" w:cs="Times New Roman"/>
                <w:sz w:val="20"/>
                <w:szCs w:val="20"/>
              </w:rPr>
              <w:t xml:space="preserve"> 47, 1480-1494. https://doi.org/10.1111/aec.13230.</w:t>
            </w:r>
          </w:p>
        </w:tc>
      </w:tr>
      <w:tr w:rsidR="002D7080" w:rsidRPr="00222D02" w14:paraId="1594210A" w14:textId="77777777" w:rsidTr="002E2C37">
        <w:tc>
          <w:tcPr>
            <w:tcW w:w="9016" w:type="dxa"/>
            <w:gridSpan w:val="2"/>
            <w:shd w:val="clear" w:color="auto" w:fill="F2F2F2" w:themeFill="background1" w:themeFillShade="F2"/>
          </w:tcPr>
          <w:p w14:paraId="750D2D6A"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CON1i: Chemical, physical or structural impact on ecosystem</w:t>
            </w:r>
          </w:p>
        </w:tc>
      </w:tr>
      <w:tr w:rsidR="002D7080" w:rsidRPr="00222D02" w14:paraId="27E17803" w14:textId="77777777" w:rsidTr="002E2C37">
        <w:tc>
          <w:tcPr>
            <w:tcW w:w="5949" w:type="dxa"/>
          </w:tcPr>
          <w:p w14:paraId="6EC434E7"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Minimal Concern (MC)</w:t>
            </w:r>
          </w:p>
        </w:tc>
        <w:tc>
          <w:tcPr>
            <w:tcW w:w="3067" w:type="dxa"/>
          </w:tcPr>
          <w:p w14:paraId="782E6B90"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Medium</w:t>
            </w:r>
          </w:p>
        </w:tc>
      </w:tr>
      <w:tr w:rsidR="002D7080" w:rsidRPr="00222D02" w14:paraId="342064D3" w14:textId="77777777" w:rsidTr="002E2C37">
        <w:trPr>
          <w:trHeight w:val="70"/>
        </w:trPr>
        <w:tc>
          <w:tcPr>
            <w:tcW w:w="9016" w:type="dxa"/>
            <w:gridSpan w:val="2"/>
          </w:tcPr>
          <w:p w14:paraId="0FC5D8F2"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w:t>
            </w:r>
            <w:r w:rsidRPr="00222D02">
              <w:rPr>
                <w:rFonts w:ascii="Times New Roman" w:hAnsi="Times New Roman" w:cs="Times New Roman"/>
                <w:sz w:val="20"/>
                <w:szCs w:val="20"/>
              </w:rPr>
              <w:t xml:space="preserve">Similar to other invasive crayfish, </w:t>
            </w:r>
            <w:r w:rsidRPr="00222D02">
              <w:rPr>
                <w:rFonts w:ascii="Times New Roman" w:hAnsi="Times New Roman" w:cs="Times New Roman"/>
                <w:i/>
                <w:iCs/>
                <w:sz w:val="20"/>
                <w:szCs w:val="20"/>
              </w:rPr>
              <w:t xml:space="preserve">C. quadricarinatus </w:t>
            </w:r>
            <w:r w:rsidRPr="00222D02">
              <w:rPr>
                <w:rFonts w:ascii="Times New Roman" w:hAnsi="Times New Roman" w:cs="Times New Roman"/>
                <w:sz w:val="20"/>
                <w:szCs w:val="20"/>
              </w:rPr>
              <w:t>is considered to be an ecosystem engineer due to its omnivorous feeding strategy that affects multiple trophic levels</w:t>
            </w:r>
            <w:r w:rsidRPr="00222D02">
              <w:rPr>
                <w:rFonts w:ascii="Times New Roman" w:hAnsi="Times New Roman" w:cs="Times New Roman"/>
                <w:i/>
                <w:iCs/>
                <w:sz w:val="20"/>
                <w:szCs w:val="20"/>
              </w:rPr>
              <w:t xml:space="preserve">. </w:t>
            </w:r>
            <w:r w:rsidRPr="00222D02">
              <w:rPr>
                <w:rFonts w:ascii="Times New Roman" w:eastAsia="Times New Roman" w:hAnsi="Times New Roman" w:cs="Times New Roman"/>
                <w:sz w:val="20"/>
                <w:szCs w:val="20"/>
                <w:lang w:eastAsia="en-ZA"/>
              </w:rPr>
              <w:t xml:space="preserve">For example, excessive grazing by </w:t>
            </w:r>
            <w:r w:rsidRPr="00222D02">
              <w:rPr>
                <w:rFonts w:ascii="Times New Roman" w:hAnsi="Times New Roman" w:cs="Times New Roman"/>
                <w:i/>
                <w:iCs/>
                <w:sz w:val="20"/>
                <w:szCs w:val="20"/>
              </w:rPr>
              <w:t xml:space="preserve">C. quadricarinatus </w:t>
            </w:r>
            <w:r w:rsidRPr="00222D02">
              <w:rPr>
                <w:rFonts w:ascii="Times New Roman" w:hAnsi="Times New Roman" w:cs="Times New Roman"/>
                <w:sz w:val="20"/>
                <w:szCs w:val="20"/>
              </w:rPr>
              <w:t>may cause</w:t>
            </w:r>
            <w:r w:rsidRPr="00222D02">
              <w:rPr>
                <w:rFonts w:ascii="Times New Roman" w:hAnsi="Times New Roman" w:cs="Times New Roman"/>
                <w:i/>
                <w:iCs/>
                <w:sz w:val="20"/>
                <w:szCs w:val="20"/>
              </w:rPr>
              <w:t xml:space="preserve"> </w:t>
            </w:r>
            <w:r w:rsidRPr="00222D02">
              <w:rPr>
                <w:rFonts w:ascii="Times New Roman" w:hAnsi="Times New Roman" w:cs="Times New Roman"/>
                <w:sz w:val="20"/>
                <w:szCs w:val="20"/>
              </w:rPr>
              <w:t xml:space="preserve">habitat modification leading to cascading ecosystem impacts such as habitat loss for invertebrates and fish (Marufu et al. 2018; Weyl et al. 2017) and changes to nutrient cycling (Zengeya et al. 2022). Although </w:t>
            </w:r>
            <w:r w:rsidRPr="00222D02">
              <w:rPr>
                <w:rFonts w:ascii="Times New Roman" w:hAnsi="Times New Roman" w:cs="Times New Roman"/>
                <w:i/>
                <w:iCs/>
                <w:sz w:val="20"/>
                <w:szCs w:val="20"/>
              </w:rPr>
              <w:t xml:space="preserve">C. quadricarinatus </w:t>
            </w:r>
            <w:r w:rsidRPr="00222D02">
              <w:rPr>
                <w:rFonts w:ascii="Times New Roman" w:hAnsi="Times New Roman" w:cs="Times New Roman"/>
                <w:sz w:val="20"/>
                <w:szCs w:val="20"/>
              </w:rPr>
              <w:t xml:space="preserve">is not considered a burrowing species, it has been observed to construct burrows in Jamaica and La Réunion (Robinet 2010; Todd &amp; D’Andrea 2003) that could potentially lead to adverse </w:t>
            </w:r>
            <w:r w:rsidRPr="00222D02">
              <w:rPr>
                <w:rFonts w:ascii="Times New Roman" w:eastAsia="Times New Roman" w:hAnsi="Times New Roman" w:cs="Times New Roman"/>
                <w:sz w:val="20"/>
                <w:szCs w:val="20"/>
                <w:lang w:eastAsia="en-ZA"/>
              </w:rPr>
              <w:t xml:space="preserve">chemical, physical or structural impact on ecosystems as observed for other invasive crayfish (e.g. </w:t>
            </w:r>
            <w:r w:rsidRPr="00222D02">
              <w:rPr>
                <w:rFonts w:ascii="Times New Roman" w:hAnsi="Times New Roman" w:cs="Times New Roman"/>
                <w:color w:val="222222"/>
                <w:sz w:val="20"/>
                <w:szCs w:val="20"/>
                <w:shd w:val="clear" w:color="auto" w:fill="FFFFFF"/>
              </w:rPr>
              <w:t xml:space="preserve">Souty-Grosset et al. 2016). However, </w:t>
            </w:r>
            <w:r w:rsidRPr="00222D02">
              <w:rPr>
                <w:rFonts w:ascii="Times New Roman" w:hAnsi="Times New Roman" w:cs="Times New Roman"/>
                <w:sz w:val="20"/>
                <w:szCs w:val="20"/>
              </w:rPr>
              <w:t xml:space="preserve">Haubrouck et al. (2021) </w:t>
            </w:r>
            <w:r w:rsidRPr="00222D02">
              <w:rPr>
                <w:rFonts w:ascii="Times New Roman" w:hAnsi="Times New Roman" w:cs="Times New Roman"/>
                <w:color w:val="222222"/>
                <w:sz w:val="20"/>
                <w:szCs w:val="20"/>
                <w:shd w:val="clear" w:color="auto" w:fill="FFFFFF"/>
              </w:rPr>
              <w:t xml:space="preserve">scored impacts of </w:t>
            </w:r>
            <w:r w:rsidRPr="00222D02">
              <w:rPr>
                <w:rFonts w:ascii="Times New Roman" w:hAnsi="Times New Roman" w:cs="Times New Roman"/>
                <w:i/>
                <w:iCs/>
                <w:sz w:val="20"/>
                <w:szCs w:val="20"/>
              </w:rPr>
              <w:t>C. quadricarinatus</w:t>
            </w:r>
            <w:r w:rsidRPr="00222D02">
              <w:rPr>
                <w:rFonts w:ascii="Times New Roman" w:eastAsia="Times New Roman" w:hAnsi="Times New Roman" w:cs="Times New Roman"/>
                <w:b/>
                <w:sz w:val="20"/>
                <w:szCs w:val="20"/>
                <w:lang w:eastAsia="en-ZA"/>
              </w:rPr>
              <w:t xml:space="preserve"> </w:t>
            </w:r>
            <w:r w:rsidRPr="00222D02">
              <w:rPr>
                <w:rFonts w:ascii="Times New Roman" w:eastAsia="Times New Roman" w:hAnsi="Times New Roman" w:cs="Times New Roman"/>
                <w:bCs/>
                <w:sz w:val="20"/>
                <w:szCs w:val="20"/>
                <w:lang w:eastAsia="en-ZA"/>
              </w:rPr>
              <w:t>through chemical, physical or structural impact on ecosystems</w:t>
            </w:r>
            <w:r w:rsidRPr="00222D02">
              <w:rPr>
                <w:rFonts w:ascii="Times New Roman" w:hAnsi="Times New Roman" w:cs="Times New Roman"/>
                <w:bCs/>
                <w:color w:val="222222"/>
                <w:sz w:val="20"/>
                <w:szCs w:val="20"/>
                <w:shd w:val="clear" w:color="auto" w:fill="FFFFFF"/>
              </w:rPr>
              <w:t xml:space="preserve"> </w:t>
            </w:r>
            <w:r w:rsidRPr="00222D02">
              <w:rPr>
                <w:rFonts w:ascii="Times New Roman" w:hAnsi="Times New Roman" w:cs="Times New Roman"/>
                <w:color w:val="222222"/>
                <w:sz w:val="20"/>
                <w:szCs w:val="20"/>
                <w:shd w:val="clear" w:color="auto" w:fill="FFFFFF"/>
              </w:rPr>
              <w:t xml:space="preserve">as “Minimal Concern” because there is limited evidence of recorded impacts as most literature cites potential rather than observed impacts. This might change as more evidence becomes available. </w:t>
            </w:r>
          </w:p>
        </w:tc>
      </w:tr>
      <w:tr w:rsidR="002D7080" w:rsidRPr="00222D02" w14:paraId="3C547979" w14:textId="77777777" w:rsidTr="002E2C37">
        <w:trPr>
          <w:trHeight w:val="70"/>
        </w:trPr>
        <w:tc>
          <w:tcPr>
            <w:tcW w:w="9016" w:type="dxa"/>
            <w:gridSpan w:val="2"/>
          </w:tcPr>
          <w:p w14:paraId="59C8D33C"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085C83CF" w14:textId="77777777" w:rsidR="002D7080" w:rsidRPr="00222D02" w:rsidRDefault="002D7080" w:rsidP="00C52E1A">
            <w:pPr>
              <w:spacing w:before="100" w:beforeAutospacing="1" w:after="100" w:afterAutospacing="1"/>
              <w:ind w:left="720" w:hanging="720"/>
              <w:contextualSpacing/>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 https://doi.org/10.1111/raq.12531.</w:t>
            </w:r>
          </w:p>
          <w:p w14:paraId="60395BF6" w14:textId="1557E902" w:rsidR="002D7080" w:rsidRPr="00222D02" w:rsidRDefault="002D7080" w:rsidP="00C52E1A">
            <w:pPr>
              <w:ind w:left="720" w:hanging="720"/>
              <w:contextualSpacing/>
              <w:jc w:val="both"/>
              <w:rPr>
                <w:rFonts w:ascii="Times New Roman" w:hAnsi="Times New Roman" w:cs="Times New Roman"/>
                <w:sz w:val="20"/>
                <w:szCs w:val="20"/>
              </w:rPr>
            </w:pPr>
            <w:r w:rsidRPr="00222D02">
              <w:rPr>
                <w:rFonts w:ascii="Times New Roman" w:hAnsi="Times New Roman" w:cs="Times New Roman"/>
                <w:sz w:val="20"/>
                <w:szCs w:val="20"/>
              </w:rPr>
              <w:t xml:space="preserve">Marufu, L.T., Dalu, T., Phiri, C., Barson, M., Simango, R., Utete, B. et al., 2018, ‘The diet of an invasive crayfish, </w:t>
            </w:r>
            <w:r w:rsidRPr="00222D02">
              <w:rPr>
                <w:rFonts w:ascii="Times New Roman" w:hAnsi="Times New Roman" w:cs="Times New Roman"/>
                <w:i/>
                <w:iCs/>
                <w:sz w:val="20"/>
                <w:szCs w:val="20"/>
              </w:rPr>
              <w:t>Cherax quadricarinatus</w:t>
            </w:r>
            <w:r w:rsidRPr="00222D02">
              <w:rPr>
                <w:rFonts w:ascii="Times New Roman" w:hAnsi="Times New Roman" w:cs="Times New Roman"/>
                <w:sz w:val="20"/>
                <w:szCs w:val="20"/>
              </w:rPr>
              <w:t xml:space="preserve"> (Von Martens, 1868), in Lake Kariba, inferred using stomach content and stable isotope analyses’, </w:t>
            </w:r>
            <w:r w:rsidRPr="00222D02">
              <w:rPr>
                <w:rFonts w:ascii="Times New Roman" w:hAnsi="Times New Roman" w:cs="Times New Roman"/>
                <w:i/>
                <w:iCs/>
                <w:sz w:val="20"/>
                <w:szCs w:val="20"/>
              </w:rPr>
              <w:t>BioInvasions Records</w:t>
            </w:r>
            <w:r w:rsidRPr="00222D02">
              <w:rPr>
                <w:rFonts w:ascii="Times New Roman" w:hAnsi="Times New Roman" w:cs="Times New Roman"/>
                <w:sz w:val="20"/>
                <w:szCs w:val="20"/>
              </w:rPr>
              <w:t xml:space="preserve"> 7, 121–132. </w:t>
            </w:r>
            <w:r w:rsidR="00C52E1A" w:rsidRPr="00C52E1A">
              <w:rPr>
                <w:rFonts w:ascii="Times New Roman" w:hAnsi="Times New Roman" w:cs="Times New Roman"/>
                <w:sz w:val="20"/>
                <w:szCs w:val="20"/>
              </w:rPr>
              <w:t>https://doi.org/10.3391/bir.2018.7.2.03</w:t>
            </w:r>
            <w:r w:rsidRPr="00222D02">
              <w:rPr>
                <w:rFonts w:ascii="Times New Roman" w:hAnsi="Times New Roman" w:cs="Times New Roman"/>
                <w:sz w:val="20"/>
                <w:szCs w:val="20"/>
              </w:rPr>
              <w:t>.</w:t>
            </w:r>
          </w:p>
          <w:p w14:paraId="1389DC50" w14:textId="77777777" w:rsidR="002D7080" w:rsidRPr="00222D02" w:rsidRDefault="002D7080" w:rsidP="00C52E1A">
            <w:pPr>
              <w:ind w:left="720" w:hanging="720"/>
              <w:contextualSpacing/>
              <w:jc w:val="both"/>
              <w:rPr>
                <w:rFonts w:ascii="Times New Roman" w:hAnsi="Times New Roman" w:cs="Times New Roman"/>
                <w:sz w:val="20"/>
                <w:szCs w:val="20"/>
              </w:rPr>
            </w:pPr>
            <w:r w:rsidRPr="000E6BA8">
              <w:rPr>
                <w:rFonts w:ascii="Times New Roman" w:hAnsi="Times New Roman" w:cs="Times New Roman"/>
                <w:sz w:val="20"/>
                <w:szCs w:val="20"/>
                <w:lang w:val="fr-FR"/>
              </w:rPr>
              <w:t>Robinet, O., 2010, ‘Stratégie de lutte contre les espèces invasives à</w:t>
            </w:r>
            <w:r w:rsidRPr="000E6BA8" w:rsidDel="00935D27">
              <w:rPr>
                <w:rFonts w:ascii="Times New Roman" w:hAnsi="Times New Roman" w:cs="Times New Roman"/>
                <w:sz w:val="20"/>
                <w:szCs w:val="20"/>
                <w:lang w:val="fr-FR"/>
              </w:rPr>
              <w:t xml:space="preserve"> </w:t>
            </w:r>
            <w:r w:rsidRPr="000E6BA8">
              <w:rPr>
                <w:rFonts w:ascii="Times New Roman" w:hAnsi="Times New Roman" w:cs="Times New Roman"/>
                <w:sz w:val="20"/>
                <w:szCs w:val="20"/>
                <w:lang w:val="fr-FR"/>
              </w:rPr>
              <w:t xml:space="preserve">la Réunion. </w:t>
            </w:r>
            <w:r w:rsidRPr="00222D02">
              <w:rPr>
                <w:rFonts w:ascii="Times New Roman" w:hAnsi="Times New Roman" w:cs="Times New Roman"/>
                <w:sz w:val="20"/>
                <w:szCs w:val="20"/>
              </w:rPr>
              <w:t xml:space="preserve">Parc national </w:t>
            </w:r>
            <w:r w:rsidRPr="00222D02" w:rsidDel="00203451">
              <w:rPr>
                <w:rFonts w:ascii="Times New Roman" w:hAnsi="Times New Roman" w:cs="Times New Roman"/>
                <w:sz w:val="20"/>
                <w:szCs w:val="20"/>
              </w:rPr>
              <w:t xml:space="preserve">Ile </w:t>
            </w:r>
            <w:r w:rsidRPr="00222D02">
              <w:rPr>
                <w:rFonts w:ascii="Times New Roman" w:hAnsi="Times New Roman" w:cs="Times New Roman"/>
                <w:sz w:val="20"/>
                <w:szCs w:val="20"/>
              </w:rPr>
              <w:t>de La Réunion.</w:t>
            </w:r>
            <w:r w:rsidRPr="00222D02" w:rsidDel="00203451">
              <w:rPr>
                <w:rFonts w:ascii="Times New Roman" w:hAnsi="Times New Roman" w:cs="Times New Roman"/>
                <w:sz w:val="20"/>
                <w:szCs w:val="20"/>
              </w:rPr>
              <w:t>, France</w:t>
            </w:r>
          </w:p>
          <w:p w14:paraId="2AD5AAC7" w14:textId="6233E3ED" w:rsidR="002D7080" w:rsidRPr="00222D02" w:rsidRDefault="002D7080" w:rsidP="00C52E1A">
            <w:pPr>
              <w:ind w:left="720" w:hanging="720"/>
              <w:contextualSpacing/>
              <w:jc w:val="both"/>
              <w:rPr>
                <w:rFonts w:ascii="Times New Roman" w:eastAsia="Times New Roman" w:hAnsi="Times New Roman" w:cs="Times New Roman"/>
                <w:bCs/>
                <w:sz w:val="20"/>
                <w:szCs w:val="20"/>
                <w:lang w:eastAsia="en-ZA"/>
              </w:rPr>
            </w:pPr>
            <w:r w:rsidRPr="00222D02">
              <w:rPr>
                <w:rFonts w:ascii="Times New Roman" w:hAnsi="Times New Roman" w:cs="Times New Roman"/>
                <w:color w:val="222222"/>
                <w:sz w:val="20"/>
                <w:szCs w:val="20"/>
                <w:shd w:val="clear" w:color="auto" w:fill="FFFFFF"/>
              </w:rPr>
              <w:t>Souty-Grosset, C., Anastacio, P.M., Aquiloni, L., Banha, F., Choquer, J., Chucholl, C. &amp; Tricarico, E., </w:t>
            </w:r>
            <w:r w:rsidRPr="00222D02">
              <w:rPr>
                <w:rFonts w:ascii="Times New Roman" w:eastAsia="Times New Roman" w:hAnsi="Times New Roman" w:cs="Times New Roman"/>
                <w:sz w:val="20"/>
                <w:szCs w:val="20"/>
                <w:lang w:eastAsia="en-ZA"/>
              </w:rPr>
              <w:t xml:space="preserve">2016, ‘The red swamp crayfish </w:t>
            </w:r>
            <w:r w:rsidRPr="00222D02">
              <w:rPr>
                <w:rFonts w:ascii="Times New Roman" w:eastAsia="Times New Roman" w:hAnsi="Times New Roman" w:cs="Times New Roman"/>
                <w:i/>
                <w:sz w:val="20"/>
                <w:szCs w:val="20"/>
                <w:lang w:eastAsia="en-ZA"/>
              </w:rPr>
              <w:t>Procambarus clarkii</w:t>
            </w:r>
            <w:r w:rsidRPr="00222D02">
              <w:rPr>
                <w:rFonts w:ascii="Times New Roman" w:eastAsia="Times New Roman" w:hAnsi="Times New Roman" w:cs="Times New Roman"/>
                <w:sz w:val="20"/>
                <w:szCs w:val="20"/>
                <w:lang w:eastAsia="en-ZA"/>
              </w:rPr>
              <w:t xml:space="preserve"> in Europe: Impacts on aquatic ecosystems and human well–being’, </w:t>
            </w:r>
            <w:r w:rsidRPr="00222D02">
              <w:rPr>
                <w:rFonts w:ascii="Times New Roman" w:eastAsia="Times New Roman" w:hAnsi="Times New Roman" w:cs="Times New Roman"/>
                <w:i/>
                <w:sz w:val="20"/>
                <w:szCs w:val="20"/>
                <w:lang w:eastAsia="en-ZA"/>
              </w:rPr>
              <w:t>Limnologica</w:t>
            </w:r>
            <w:r w:rsidRPr="00222D02">
              <w:rPr>
                <w:rFonts w:ascii="Times New Roman" w:eastAsia="Times New Roman" w:hAnsi="Times New Roman" w:cs="Times New Roman"/>
                <w:sz w:val="20"/>
                <w:szCs w:val="20"/>
                <w:lang w:eastAsia="en-ZA"/>
              </w:rPr>
              <w:t xml:space="preserve"> 58, 78–93. </w:t>
            </w:r>
            <w:r w:rsidR="00C52E1A" w:rsidRPr="00C52E1A">
              <w:rPr>
                <w:rFonts w:ascii="Times New Roman" w:hAnsi="Times New Roman" w:cs="Times New Roman"/>
                <w:sz w:val="20"/>
                <w:szCs w:val="20"/>
              </w:rPr>
              <w:t xml:space="preserve">, </w:t>
            </w:r>
            <w:hyperlink r:id="rId163" w:history="1">
              <w:r w:rsidR="00C52E1A" w:rsidRPr="00C52E1A">
                <w:rPr>
                  <w:rStyle w:val="Hyperlink"/>
                  <w:rFonts w:ascii="Times New Roman" w:hAnsi="Times New Roman" w:cs="Times New Roman"/>
                  <w:sz w:val="20"/>
                  <w:szCs w:val="20"/>
                </w:rPr>
                <w:t>https://doi.org/10.1016/j.limno.2016.03.003</w:t>
              </w:r>
            </w:hyperlink>
            <w:r w:rsidRPr="00222D02">
              <w:rPr>
                <w:rFonts w:ascii="Times New Roman" w:hAnsi="Times New Roman" w:cs="Times New Roman"/>
                <w:sz w:val="20"/>
                <w:szCs w:val="20"/>
              </w:rPr>
              <w:t>.</w:t>
            </w:r>
          </w:p>
          <w:p w14:paraId="6205533B" w14:textId="77777777" w:rsidR="002D7080" w:rsidRPr="00222D02" w:rsidDel="00FA035B" w:rsidRDefault="002D7080" w:rsidP="00C52E1A">
            <w:pPr>
              <w:autoSpaceDE w:val="0"/>
              <w:autoSpaceDN w:val="0"/>
              <w:adjustRightInd w:val="0"/>
              <w:ind w:left="720" w:hanging="720"/>
              <w:contextualSpacing/>
              <w:jc w:val="both"/>
              <w:rPr>
                <w:rFonts w:ascii="Times New Roman" w:hAnsi="Times New Roman" w:cs="Times New Roman"/>
                <w:sz w:val="20"/>
                <w:szCs w:val="20"/>
              </w:rPr>
            </w:pPr>
            <w:r w:rsidRPr="00222D02">
              <w:rPr>
                <w:rFonts w:ascii="Times New Roman" w:hAnsi="Times New Roman" w:cs="Times New Roman"/>
                <w:sz w:val="20"/>
                <w:szCs w:val="20"/>
              </w:rPr>
              <w:t xml:space="preserve">Todd, S. &amp; D’Andrea, M., 2003, ‘Alien crayfish invasion of Jamaican rivers’, </w:t>
            </w:r>
            <w:r w:rsidRPr="00222D02">
              <w:rPr>
                <w:rFonts w:ascii="Times New Roman" w:hAnsi="Times New Roman" w:cs="Times New Roman"/>
                <w:i/>
                <w:iCs/>
                <w:sz w:val="20"/>
                <w:szCs w:val="20"/>
              </w:rPr>
              <w:t>Crayfish News</w:t>
            </w:r>
            <w:r w:rsidRPr="00222D02">
              <w:rPr>
                <w:rFonts w:ascii="Times New Roman" w:hAnsi="Times New Roman" w:cs="Times New Roman"/>
                <w:sz w:val="20"/>
                <w:szCs w:val="20"/>
              </w:rPr>
              <w:t xml:space="preserve"> 25, 17–18.</w:t>
            </w:r>
          </w:p>
          <w:p w14:paraId="0156EE75" w14:textId="77777777" w:rsidR="002D7080" w:rsidRPr="00222D02" w:rsidRDefault="002D7080" w:rsidP="00C52E1A">
            <w:pPr>
              <w:ind w:left="720" w:hanging="720"/>
              <w:contextualSpacing/>
              <w:jc w:val="both"/>
              <w:rPr>
                <w:rFonts w:ascii="Times New Roman" w:hAnsi="Times New Roman" w:cs="Times New Roman"/>
                <w:sz w:val="20"/>
                <w:szCs w:val="20"/>
              </w:rPr>
            </w:pPr>
            <w:r w:rsidRPr="00222D02">
              <w:rPr>
                <w:rFonts w:ascii="Times New Roman" w:hAnsi="Times New Roman" w:cs="Times New Roman"/>
                <w:sz w:val="20"/>
                <w:szCs w:val="20"/>
              </w:rPr>
              <w:t xml:space="preserve">Weyl, O., Nunes, A., Ellender, B., Weyl, P., Chilala, A., Jacobs, F. et al., 2017, ‘Why suggesting Australian redclaw crayfish </w:t>
            </w:r>
            <w:r w:rsidRPr="00222D02">
              <w:rPr>
                <w:rFonts w:ascii="Times New Roman" w:hAnsi="Times New Roman" w:cs="Times New Roman"/>
                <w:i/>
                <w:iCs/>
                <w:sz w:val="20"/>
                <w:szCs w:val="20"/>
              </w:rPr>
              <w:t>Cherax quadricarinatus</w:t>
            </w:r>
            <w:r w:rsidRPr="00222D02">
              <w:rPr>
                <w:rFonts w:ascii="Times New Roman" w:hAnsi="Times New Roman" w:cs="Times New Roman"/>
                <w:sz w:val="20"/>
                <w:szCs w:val="20"/>
              </w:rPr>
              <w:t xml:space="preserve"> as biological control agents for snails is a bad idea’, </w:t>
            </w:r>
            <w:r w:rsidRPr="00222D02">
              <w:rPr>
                <w:rFonts w:ascii="Times New Roman" w:hAnsi="Times New Roman" w:cs="Times New Roman"/>
                <w:i/>
                <w:iCs/>
                <w:sz w:val="20"/>
                <w:szCs w:val="20"/>
              </w:rPr>
              <w:t>African Journal of Aquatic Science</w:t>
            </w:r>
            <w:r w:rsidRPr="00222D02">
              <w:rPr>
                <w:rFonts w:ascii="Times New Roman" w:hAnsi="Times New Roman" w:cs="Times New Roman"/>
                <w:sz w:val="20"/>
                <w:szCs w:val="20"/>
              </w:rPr>
              <w:t xml:space="preserve"> 42, 325–327. https://doi.org/10.2989/16085914.2017.1414685.</w:t>
            </w:r>
          </w:p>
          <w:p w14:paraId="7F06A0D1" w14:textId="213CC092" w:rsidR="002D7080" w:rsidRPr="00222D02" w:rsidRDefault="002D7080" w:rsidP="00C52E1A">
            <w:pPr>
              <w:ind w:left="720" w:hanging="720"/>
              <w:contextualSpacing/>
              <w:jc w:val="both"/>
              <w:rPr>
                <w:rFonts w:ascii="Times New Roman" w:hAnsi="Times New Roman" w:cs="Times New Roman"/>
                <w:color w:val="467886" w:themeColor="hyperlink"/>
                <w:sz w:val="20"/>
                <w:szCs w:val="20"/>
                <w:u w:val="single"/>
              </w:rPr>
            </w:pPr>
            <w:r w:rsidRPr="00222D02">
              <w:rPr>
                <w:rFonts w:ascii="Times New Roman" w:hAnsi="Times New Roman" w:cs="Times New Roman"/>
                <w:sz w:val="20"/>
                <w:szCs w:val="20"/>
              </w:rPr>
              <w:lastRenderedPageBreak/>
              <w:t xml:space="preserve">Zengeya, T,A., Lombard, R.J.H., Nelwamondo, V.E., Nunes, A.L., Measey, J.G., Weyl, O.L.F., 2022, ‘Trophic niche of an invasive generalist consumer: Australian redclaw crayfish, </w:t>
            </w:r>
            <w:r w:rsidRPr="00222D02">
              <w:rPr>
                <w:rFonts w:ascii="Times New Roman" w:hAnsi="Times New Roman" w:cs="Times New Roman"/>
                <w:i/>
                <w:iCs/>
                <w:sz w:val="20"/>
                <w:szCs w:val="20"/>
              </w:rPr>
              <w:t>Cherax quadricarinatus</w:t>
            </w:r>
            <w:r w:rsidRPr="00222D02">
              <w:rPr>
                <w:rFonts w:ascii="Times New Roman" w:hAnsi="Times New Roman" w:cs="Times New Roman"/>
                <w:sz w:val="20"/>
                <w:szCs w:val="20"/>
              </w:rPr>
              <w:t xml:space="preserve">, in the Inkomati River Basin, South Africa’, </w:t>
            </w:r>
            <w:r w:rsidRPr="00222D02">
              <w:rPr>
                <w:rFonts w:ascii="Times New Roman" w:hAnsi="Times New Roman" w:cs="Times New Roman"/>
                <w:i/>
                <w:iCs/>
                <w:sz w:val="20"/>
                <w:szCs w:val="20"/>
              </w:rPr>
              <w:t>Austral Ecology</w:t>
            </w:r>
            <w:r w:rsidRPr="00222D02">
              <w:rPr>
                <w:rFonts w:ascii="Times New Roman" w:hAnsi="Times New Roman" w:cs="Times New Roman"/>
                <w:sz w:val="20"/>
                <w:szCs w:val="20"/>
              </w:rPr>
              <w:t xml:space="preserve"> 47, 1480-1494. </w:t>
            </w:r>
            <w:r w:rsidR="00C52E1A" w:rsidRPr="00C52E1A">
              <w:rPr>
                <w:rFonts w:ascii="Times New Roman" w:hAnsi="Times New Roman" w:cs="Times New Roman"/>
                <w:sz w:val="20"/>
                <w:szCs w:val="20"/>
              </w:rPr>
              <w:t>https://doi.org/10.1111/aec.13230</w:t>
            </w:r>
            <w:r w:rsidRPr="00222D02">
              <w:rPr>
                <w:rFonts w:ascii="Times New Roman" w:hAnsi="Times New Roman" w:cs="Times New Roman"/>
                <w:sz w:val="20"/>
                <w:szCs w:val="20"/>
              </w:rPr>
              <w:t>.</w:t>
            </w:r>
            <w:r w:rsidRPr="00222D02">
              <w:rPr>
                <w:rStyle w:val="Hyperlink"/>
                <w:rFonts w:ascii="Times New Roman" w:hAnsi="Times New Roman" w:cs="Times New Roman"/>
                <w:sz w:val="20"/>
                <w:szCs w:val="20"/>
              </w:rPr>
              <w:t xml:space="preserve"> </w:t>
            </w:r>
          </w:p>
        </w:tc>
      </w:tr>
      <w:tr w:rsidR="002D7080" w:rsidRPr="00222D02" w14:paraId="10B59B07" w14:textId="77777777" w:rsidTr="002E2C37">
        <w:tc>
          <w:tcPr>
            <w:tcW w:w="9016" w:type="dxa"/>
            <w:gridSpan w:val="2"/>
            <w:shd w:val="clear" w:color="auto" w:fill="F2F2F2" w:themeFill="background1" w:themeFillShade="F2"/>
          </w:tcPr>
          <w:p w14:paraId="0FC4EC9A"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lastRenderedPageBreak/>
              <w:t>CON1k: Indirect impacts through interactions with other species</w:t>
            </w:r>
          </w:p>
        </w:tc>
      </w:tr>
      <w:tr w:rsidR="002D7080" w:rsidRPr="00222D02" w14:paraId="694FDC94" w14:textId="77777777" w:rsidTr="002E2C37">
        <w:tc>
          <w:tcPr>
            <w:tcW w:w="5949" w:type="dxa"/>
          </w:tcPr>
          <w:p w14:paraId="22090F2C"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Data Deficient (DD)</w:t>
            </w:r>
          </w:p>
        </w:tc>
        <w:tc>
          <w:tcPr>
            <w:tcW w:w="3067" w:type="dxa"/>
          </w:tcPr>
          <w:p w14:paraId="5097C43B"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Confidence: Medium </w:t>
            </w:r>
          </w:p>
        </w:tc>
      </w:tr>
      <w:tr w:rsidR="002D7080" w:rsidRPr="00222D02" w14:paraId="77264384" w14:textId="77777777" w:rsidTr="002E2C37">
        <w:trPr>
          <w:trHeight w:val="70"/>
        </w:trPr>
        <w:tc>
          <w:tcPr>
            <w:tcW w:w="9016" w:type="dxa"/>
            <w:gridSpan w:val="2"/>
          </w:tcPr>
          <w:p w14:paraId="37CE0F1B" w14:textId="77777777" w:rsidR="002D7080" w:rsidRPr="00222D02" w:rsidRDefault="002D7080" w:rsidP="002E2C37">
            <w:pPr>
              <w:jc w:val="both"/>
              <w:rPr>
                <w:rFonts w:ascii="Times New Roman" w:eastAsia="Times New Roman" w:hAnsi="Times New Roman" w:cs="Times New Roman"/>
                <w:strike/>
                <w:sz w:val="20"/>
                <w:szCs w:val="20"/>
                <w:lang w:eastAsia="en-ZA"/>
              </w:rPr>
            </w:pPr>
            <w:r w:rsidRPr="00222D02">
              <w:rPr>
                <w:rFonts w:ascii="Times New Roman" w:eastAsia="Times New Roman" w:hAnsi="Times New Roman" w:cs="Times New Roman"/>
                <w:sz w:val="20"/>
                <w:szCs w:val="20"/>
                <w:lang w:eastAsia="en-ZA"/>
              </w:rPr>
              <w:t>Rationale:</w:t>
            </w:r>
          </w:p>
        </w:tc>
      </w:tr>
      <w:tr w:rsidR="002D7080" w:rsidRPr="00222D02" w14:paraId="1AAC100C" w14:textId="77777777" w:rsidTr="002E2C37">
        <w:trPr>
          <w:trHeight w:val="70"/>
        </w:trPr>
        <w:tc>
          <w:tcPr>
            <w:tcW w:w="9016" w:type="dxa"/>
            <w:gridSpan w:val="2"/>
          </w:tcPr>
          <w:p w14:paraId="11F90E73" w14:textId="77777777" w:rsidR="002D7080" w:rsidRPr="00222D02" w:rsidRDefault="002D7080" w:rsidP="002E2C37">
            <w:pPr>
              <w:spacing w:before="100" w:beforeAutospacing="1" w:after="100" w:afterAutospacing="1"/>
              <w:ind w:left="284" w:hanging="284"/>
              <w:contextualSpacing/>
              <w:jc w:val="both"/>
              <w:rPr>
                <w:rFonts w:ascii="Times New Roman" w:eastAsia="Times New Roman" w:hAnsi="Times New Roman" w:cs="Times New Roman"/>
                <w:strike/>
                <w:sz w:val="20"/>
                <w:szCs w:val="20"/>
                <w:lang w:eastAsia="en-ZA"/>
              </w:rPr>
            </w:pPr>
            <w:r w:rsidRPr="00222D02">
              <w:rPr>
                <w:rFonts w:ascii="Times New Roman" w:eastAsia="Times New Roman" w:hAnsi="Times New Roman" w:cs="Times New Roman"/>
                <w:sz w:val="20"/>
                <w:szCs w:val="20"/>
                <w:lang w:eastAsia="en-ZA"/>
              </w:rPr>
              <w:t>References:</w:t>
            </w:r>
          </w:p>
        </w:tc>
      </w:tr>
      <w:tr w:rsidR="002D7080" w:rsidRPr="00222D02" w14:paraId="7EE03A29" w14:textId="77777777" w:rsidTr="002E2C37">
        <w:trPr>
          <w:trHeight w:val="343"/>
        </w:trPr>
        <w:tc>
          <w:tcPr>
            <w:tcW w:w="9016" w:type="dxa"/>
            <w:gridSpan w:val="2"/>
            <w:shd w:val="clear" w:color="auto" w:fill="F2F2F2" w:themeFill="background1" w:themeFillShade="F2"/>
          </w:tcPr>
          <w:p w14:paraId="55F04DA9"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 xml:space="preserve">CON1 Maximum environmental impact </w:t>
            </w:r>
          </w:p>
        </w:tc>
      </w:tr>
      <w:tr w:rsidR="002D7080" w:rsidRPr="00222D02" w14:paraId="2F2C30C9" w14:textId="77777777" w:rsidTr="002E2C37">
        <w:trPr>
          <w:trHeight w:val="172"/>
        </w:trPr>
        <w:tc>
          <w:tcPr>
            <w:tcW w:w="5949" w:type="dxa"/>
          </w:tcPr>
          <w:p w14:paraId="7B243B11"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Major (MR)</w:t>
            </w:r>
          </w:p>
        </w:tc>
        <w:tc>
          <w:tcPr>
            <w:tcW w:w="3067" w:type="dxa"/>
          </w:tcPr>
          <w:p w14:paraId="37FAE4E7"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Medium</w:t>
            </w:r>
          </w:p>
        </w:tc>
      </w:tr>
      <w:tr w:rsidR="002D7080" w:rsidRPr="00222D02" w14:paraId="5043598E" w14:textId="77777777" w:rsidTr="002E2C37">
        <w:trPr>
          <w:trHeight w:val="70"/>
        </w:trPr>
        <w:tc>
          <w:tcPr>
            <w:tcW w:w="9016" w:type="dxa"/>
            <w:gridSpan w:val="2"/>
          </w:tcPr>
          <w:p w14:paraId="4D5851B5"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w:t>
            </w:r>
            <w:r w:rsidRPr="00222D02">
              <w:rPr>
                <w:rFonts w:ascii="Times New Roman" w:hAnsi="Times New Roman" w:cs="Times New Roman"/>
                <w:sz w:val="20"/>
                <w:szCs w:val="20"/>
              </w:rPr>
              <w:t xml:space="preserve">There is limited direct evidence of adverse impacts of </w:t>
            </w:r>
            <w:r w:rsidRPr="00222D02">
              <w:rPr>
                <w:rFonts w:ascii="Times New Roman" w:hAnsi="Times New Roman" w:cs="Times New Roman"/>
                <w:i/>
                <w:iCs/>
                <w:sz w:val="20"/>
                <w:szCs w:val="20"/>
              </w:rPr>
              <w:t xml:space="preserve">C. quadricarinatus </w:t>
            </w:r>
            <w:r w:rsidRPr="00222D02">
              <w:rPr>
                <w:rFonts w:ascii="Times New Roman" w:hAnsi="Times New Roman" w:cs="Times New Roman"/>
                <w:sz w:val="20"/>
                <w:szCs w:val="20"/>
              </w:rPr>
              <w:t xml:space="preserve">in its global invasive range – including South Africa - with most cited literature revealing circumstantial evidence for likely impacts on ecosystems through competition and predation (Haubrock et al. 2021). There is evidence however to show that </w:t>
            </w:r>
            <w:r w:rsidRPr="00222D02">
              <w:rPr>
                <w:rFonts w:ascii="Times New Roman" w:hAnsi="Times New Roman" w:cs="Times New Roman"/>
                <w:i/>
                <w:iCs/>
                <w:sz w:val="20"/>
                <w:szCs w:val="20"/>
              </w:rPr>
              <w:t>C. quadricarinatus</w:t>
            </w:r>
            <w:r w:rsidRPr="00222D02">
              <w:rPr>
                <w:rFonts w:ascii="Times New Roman" w:hAnsi="Times New Roman" w:cs="Times New Roman"/>
                <w:sz w:val="20"/>
                <w:szCs w:val="20"/>
              </w:rPr>
              <w:t xml:space="preserve"> can cause major impacts to areas of introduction through transmission of disease (Haubrock et al. 2021).</w:t>
            </w:r>
            <w:r w:rsidRPr="00222D02">
              <w:rPr>
                <w:rFonts w:ascii="Times New Roman" w:eastAsia="Times New Roman" w:hAnsi="Times New Roman" w:cs="Times New Roman"/>
                <w:sz w:val="20"/>
                <w:szCs w:val="20"/>
                <w:lang w:eastAsia="en-ZA"/>
              </w:rPr>
              <w:t xml:space="preserve"> </w:t>
            </w:r>
          </w:p>
        </w:tc>
      </w:tr>
      <w:tr w:rsidR="002D7080" w:rsidRPr="00222D02" w14:paraId="010E794B" w14:textId="77777777" w:rsidTr="002E2C37">
        <w:trPr>
          <w:trHeight w:val="70"/>
        </w:trPr>
        <w:tc>
          <w:tcPr>
            <w:tcW w:w="9016" w:type="dxa"/>
            <w:gridSpan w:val="2"/>
          </w:tcPr>
          <w:p w14:paraId="42CF7D65"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2D0A593E" w14:textId="77777777" w:rsidR="002D7080" w:rsidRPr="00222D02" w:rsidRDefault="002D7080" w:rsidP="00C52E1A">
            <w:pPr>
              <w:spacing w:before="100" w:beforeAutospacing="1" w:after="100" w:afterAutospacing="1"/>
              <w:ind w:left="720" w:hanging="720"/>
              <w:contextualSpacing/>
              <w:jc w:val="both"/>
              <w:rPr>
                <w:rFonts w:ascii="Times New Roman" w:eastAsia="Times New Roman" w:hAnsi="Times New Roman" w:cs="Times New Roman"/>
                <w:sz w:val="20"/>
                <w:szCs w:val="20"/>
                <w:lang w:eastAsia="en-ZA"/>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 https://doi.org/10.1111/raq.12531.</w:t>
            </w:r>
          </w:p>
        </w:tc>
      </w:tr>
    </w:tbl>
    <w:p w14:paraId="234FD697" w14:textId="77777777" w:rsidR="002D7080" w:rsidRPr="00222D02" w:rsidRDefault="002D7080" w:rsidP="002D7080">
      <w:pPr>
        <w:spacing w:after="0" w:line="240" w:lineRule="auto"/>
        <w:rPr>
          <w:rFonts w:ascii="Times New Roman" w:hAnsi="Times New Roman" w:cs="Times New Roman"/>
          <w:sz w:val="20"/>
          <w:szCs w:val="20"/>
        </w:rPr>
      </w:pPr>
    </w:p>
    <w:tbl>
      <w:tblPr>
        <w:tblStyle w:val="TableGrid"/>
        <w:tblW w:w="0" w:type="auto"/>
        <w:tblLook w:val="04A0" w:firstRow="1" w:lastRow="0" w:firstColumn="1" w:lastColumn="0" w:noHBand="0" w:noVBand="1"/>
      </w:tblPr>
      <w:tblGrid>
        <w:gridCol w:w="5949"/>
        <w:gridCol w:w="3067"/>
      </w:tblGrid>
      <w:tr w:rsidR="002D7080" w:rsidRPr="00222D02" w14:paraId="0AA0FDB8" w14:textId="77777777" w:rsidTr="002E2C37">
        <w:trPr>
          <w:trHeight w:val="343"/>
        </w:trPr>
        <w:tc>
          <w:tcPr>
            <w:tcW w:w="9016" w:type="dxa"/>
            <w:gridSpan w:val="2"/>
            <w:shd w:val="clear" w:color="auto" w:fill="F2F2F2" w:themeFill="background1" w:themeFillShade="F2"/>
          </w:tcPr>
          <w:p w14:paraId="48E81601"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CON2 Socio-economic impact</w:t>
            </w:r>
          </w:p>
        </w:tc>
      </w:tr>
      <w:tr w:rsidR="002D7080" w:rsidRPr="00222D02" w14:paraId="69EC4759" w14:textId="77777777" w:rsidTr="002E2C37">
        <w:tc>
          <w:tcPr>
            <w:tcW w:w="9016" w:type="dxa"/>
            <w:gridSpan w:val="2"/>
            <w:shd w:val="clear" w:color="auto" w:fill="F2F2F2" w:themeFill="background1" w:themeFillShade="F2"/>
          </w:tcPr>
          <w:p w14:paraId="5D323370"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CON2a: Safety</w:t>
            </w:r>
          </w:p>
        </w:tc>
      </w:tr>
      <w:tr w:rsidR="002D7080" w:rsidRPr="00222D02" w14:paraId="172533F1" w14:textId="77777777" w:rsidTr="002E2C37">
        <w:tc>
          <w:tcPr>
            <w:tcW w:w="5949" w:type="dxa"/>
          </w:tcPr>
          <w:p w14:paraId="2879FE3F"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Data Deficient (DD)</w:t>
            </w:r>
          </w:p>
        </w:tc>
        <w:tc>
          <w:tcPr>
            <w:tcW w:w="3067" w:type="dxa"/>
          </w:tcPr>
          <w:p w14:paraId="6B1B735A"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Medium</w:t>
            </w:r>
          </w:p>
        </w:tc>
      </w:tr>
      <w:tr w:rsidR="002D7080" w:rsidRPr="00222D02" w14:paraId="6B414F7D" w14:textId="77777777" w:rsidTr="002E2C37">
        <w:trPr>
          <w:trHeight w:val="70"/>
        </w:trPr>
        <w:tc>
          <w:tcPr>
            <w:tcW w:w="9016" w:type="dxa"/>
            <w:gridSpan w:val="2"/>
          </w:tcPr>
          <w:p w14:paraId="09465BED"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There are no recorded impacts by </w:t>
            </w:r>
            <w:r w:rsidRPr="00222D02">
              <w:rPr>
                <w:rFonts w:ascii="Times New Roman" w:eastAsia="Times New Roman" w:hAnsi="Times New Roman" w:cs="Times New Roman"/>
                <w:i/>
                <w:iCs/>
                <w:sz w:val="20"/>
                <w:szCs w:val="20"/>
                <w:lang w:eastAsia="en-ZA"/>
              </w:rPr>
              <w:t>C. quadricarinatus</w:t>
            </w:r>
            <w:r w:rsidRPr="00222D02">
              <w:rPr>
                <w:rFonts w:ascii="Times New Roman" w:eastAsia="Times New Roman" w:hAnsi="Times New Roman" w:cs="Times New Roman"/>
                <w:sz w:val="20"/>
                <w:szCs w:val="20"/>
                <w:lang w:eastAsia="en-ZA"/>
              </w:rPr>
              <w:t xml:space="preserve"> on human safety (Haubrock et al. 2021)</w:t>
            </w:r>
          </w:p>
        </w:tc>
      </w:tr>
      <w:tr w:rsidR="002D7080" w:rsidRPr="00222D02" w14:paraId="053B9C7A" w14:textId="77777777" w:rsidTr="002E2C37">
        <w:trPr>
          <w:cantSplit/>
          <w:trHeight w:val="70"/>
        </w:trPr>
        <w:tc>
          <w:tcPr>
            <w:tcW w:w="9016" w:type="dxa"/>
            <w:gridSpan w:val="2"/>
          </w:tcPr>
          <w:p w14:paraId="439357AF"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0697B65C" w14:textId="77777777" w:rsidR="002D7080" w:rsidRPr="00222D02" w:rsidRDefault="002D7080" w:rsidP="00C52E1A">
            <w:pPr>
              <w:spacing w:before="100" w:beforeAutospacing="1" w:after="100" w:afterAutospacing="1"/>
              <w:ind w:left="720" w:hanging="720"/>
              <w:contextualSpacing/>
              <w:jc w:val="both"/>
              <w:rPr>
                <w:rFonts w:ascii="Times New Roman" w:hAnsi="Times New Roman" w:cs="Times New Roman"/>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 https://doi.org/10.1111/raq.12531.</w:t>
            </w:r>
          </w:p>
        </w:tc>
      </w:tr>
      <w:tr w:rsidR="002D7080" w:rsidRPr="00222D02" w14:paraId="0E5DA92B" w14:textId="77777777" w:rsidTr="002E2C37">
        <w:tc>
          <w:tcPr>
            <w:tcW w:w="9016" w:type="dxa"/>
            <w:gridSpan w:val="2"/>
            <w:shd w:val="clear" w:color="auto" w:fill="F2F2F2" w:themeFill="background1" w:themeFillShade="F2"/>
          </w:tcPr>
          <w:p w14:paraId="5AEE9882"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CON2b: Material and immaterial assets</w:t>
            </w:r>
          </w:p>
        </w:tc>
      </w:tr>
      <w:tr w:rsidR="002D7080" w:rsidRPr="00222D02" w14:paraId="1A02C0F9" w14:textId="77777777" w:rsidTr="002E2C37">
        <w:tc>
          <w:tcPr>
            <w:tcW w:w="5949" w:type="dxa"/>
          </w:tcPr>
          <w:p w14:paraId="3A2F865A"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Moderate (MO)</w:t>
            </w:r>
          </w:p>
        </w:tc>
        <w:tc>
          <w:tcPr>
            <w:tcW w:w="3067" w:type="dxa"/>
          </w:tcPr>
          <w:p w14:paraId="4C41F938"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Medium</w:t>
            </w:r>
          </w:p>
        </w:tc>
      </w:tr>
      <w:tr w:rsidR="002D7080" w:rsidRPr="00222D02" w14:paraId="1DEA0BA9" w14:textId="77777777" w:rsidTr="002E2C37">
        <w:trPr>
          <w:trHeight w:val="128"/>
        </w:trPr>
        <w:tc>
          <w:tcPr>
            <w:tcW w:w="9016" w:type="dxa"/>
            <w:gridSpan w:val="2"/>
          </w:tcPr>
          <w:p w14:paraId="76B1CBF2"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Rationale: Invasive crayfish can cause shifts in artisanal fisheries that can adversely affect the livelihood of fishers (</w:t>
            </w:r>
            <w:r w:rsidRPr="00222D02">
              <w:rPr>
                <w:rFonts w:ascii="Times New Roman" w:eastAsia="Times New Roman" w:hAnsi="Times New Roman" w:cs="Times New Roman"/>
                <w:color w:val="000000"/>
                <w:sz w:val="20"/>
                <w:szCs w:val="20"/>
                <w:lang w:eastAsia="en-ZA"/>
              </w:rPr>
              <w:t xml:space="preserve">Gherardi et al. 2011; Haubrock et al. 2021). For example, </w:t>
            </w:r>
            <w:r w:rsidRPr="00222D02">
              <w:rPr>
                <w:rFonts w:ascii="Times New Roman" w:eastAsia="Times New Roman" w:hAnsi="Times New Roman" w:cs="Times New Roman"/>
                <w:i/>
                <w:color w:val="000000"/>
                <w:sz w:val="20"/>
                <w:szCs w:val="20"/>
                <w:lang w:eastAsia="en-ZA"/>
              </w:rPr>
              <w:t>C. quadricarinatus</w:t>
            </w:r>
            <w:r w:rsidRPr="00222D02">
              <w:rPr>
                <w:rFonts w:ascii="Times New Roman" w:eastAsia="Times New Roman" w:hAnsi="Times New Roman" w:cs="Times New Roman"/>
                <w:color w:val="000000"/>
                <w:sz w:val="20"/>
                <w:szCs w:val="20"/>
                <w:lang w:eastAsia="en-ZA"/>
              </w:rPr>
              <w:t xml:space="preserve"> has adversely affected local fisheries in Mexico (Vega-Villasante et al. 2015), Zambia, and Zimbabwe (Douthwaite et al. 2018) by replacing native species </w:t>
            </w:r>
            <w:r w:rsidRPr="00222D02">
              <w:rPr>
                <w:rFonts w:ascii="Times New Roman" w:hAnsi="Times New Roman" w:cs="Times New Roman"/>
                <w:sz w:val="20"/>
                <w:szCs w:val="20"/>
              </w:rPr>
              <w:t xml:space="preserve">which have a higher economic value. </w:t>
            </w:r>
            <w:r w:rsidRPr="00222D02">
              <w:rPr>
                <w:rFonts w:ascii="Times New Roman" w:eastAsia="Times New Roman" w:hAnsi="Times New Roman" w:cs="Times New Roman"/>
                <w:color w:val="000000"/>
                <w:sz w:val="20"/>
                <w:szCs w:val="20"/>
                <w:lang w:eastAsia="en-ZA"/>
              </w:rPr>
              <w:t xml:space="preserve">In addition, </w:t>
            </w:r>
            <w:r w:rsidRPr="00222D02">
              <w:rPr>
                <w:rFonts w:ascii="Times New Roman" w:eastAsia="Times New Roman" w:hAnsi="Times New Roman" w:cs="Times New Roman"/>
                <w:i/>
                <w:iCs/>
                <w:color w:val="000000"/>
                <w:sz w:val="20"/>
                <w:szCs w:val="20"/>
                <w:lang w:eastAsia="en-ZA"/>
              </w:rPr>
              <w:t>C. quadricarinatus</w:t>
            </w:r>
            <w:r w:rsidRPr="00222D02">
              <w:rPr>
                <w:rFonts w:ascii="Times New Roman" w:eastAsia="Times New Roman" w:hAnsi="Times New Roman" w:cs="Times New Roman"/>
                <w:color w:val="000000"/>
                <w:sz w:val="20"/>
                <w:szCs w:val="20"/>
                <w:lang w:eastAsia="en-ZA"/>
              </w:rPr>
              <w:t xml:space="preserve"> can also cause damage to gill</w:t>
            </w:r>
            <w:r w:rsidRPr="00222D02">
              <w:rPr>
                <w:rFonts w:ascii="Times New Roman" w:hAnsi="Times New Roman" w:cs="Times New Roman"/>
                <w:sz w:val="20"/>
                <w:szCs w:val="20"/>
              </w:rPr>
              <w:t>nets and spoil fish catches resulting in some economic loss (Chakandinakira et al. 2023; Madzivanzira et al. 2022, 2023</w:t>
            </w:r>
            <w:r w:rsidRPr="00222D02">
              <w:rPr>
                <w:rFonts w:ascii="Times New Roman" w:eastAsia="Times New Roman" w:hAnsi="Times New Roman" w:cs="Times New Roman"/>
                <w:sz w:val="20"/>
                <w:szCs w:val="20"/>
                <w:lang w:eastAsia="en-ZA"/>
              </w:rPr>
              <w:t>).</w:t>
            </w:r>
          </w:p>
        </w:tc>
      </w:tr>
      <w:tr w:rsidR="002D7080" w:rsidRPr="00222D02" w14:paraId="7AFA760E" w14:textId="77777777" w:rsidTr="002E2C37">
        <w:trPr>
          <w:trHeight w:val="70"/>
        </w:trPr>
        <w:tc>
          <w:tcPr>
            <w:tcW w:w="9016" w:type="dxa"/>
            <w:gridSpan w:val="2"/>
          </w:tcPr>
          <w:p w14:paraId="36CE18E7" w14:textId="77777777" w:rsidR="002D7080" w:rsidRPr="00222D02" w:rsidRDefault="002D7080" w:rsidP="00C52E1A">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1B9E2CD6" w14:textId="77777777" w:rsidR="002D7080" w:rsidRPr="00222D02" w:rsidRDefault="002D7080" w:rsidP="00C52E1A">
            <w:pPr>
              <w:ind w:left="720" w:hanging="720"/>
              <w:contextualSpacing/>
              <w:jc w:val="both"/>
              <w:rPr>
                <w:rStyle w:val="cf01"/>
                <w:rFonts w:ascii="Times New Roman" w:eastAsia="Times New Roman" w:hAnsi="Times New Roman" w:cs="Times New Roman"/>
                <w:sz w:val="20"/>
                <w:szCs w:val="20"/>
                <w:lang w:eastAsia="en-ZA"/>
              </w:rPr>
            </w:pPr>
            <w:r w:rsidRPr="00222D02">
              <w:rPr>
                <w:rStyle w:val="cf01"/>
                <w:rFonts w:ascii="Times New Roman" w:hAnsi="Times New Roman" w:cs="Times New Roman"/>
                <w:sz w:val="20"/>
                <w:szCs w:val="20"/>
              </w:rPr>
              <w:t xml:space="preserve">Chakandinakira, A.T., Madzivanzira, T.C., Mashonga, S., Muzvondiwa, J.V., Ndlovu, N., &amp; South, J. 2023, ‘Socioeconomic impacts of Australian redclaw crayfish </w:t>
            </w:r>
            <w:r w:rsidRPr="00222D02">
              <w:rPr>
                <w:rStyle w:val="cf01"/>
                <w:rFonts w:ascii="Times New Roman" w:hAnsi="Times New Roman" w:cs="Times New Roman"/>
                <w:i/>
                <w:iCs/>
                <w:sz w:val="20"/>
                <w:szCs w:val="20"/>
              </w:rPr>
              <w:t>Cherax quadricarinatus</w:t>
            </w:r>
            <w:r w:rsidRPr="00222D02">
              <w:rPr>
                <w:rStyle w:val="cf01"/>
                <w:rFonts w:ascii="Times New Roman" w:hAnsi="Times New Roman" w:cs="Times New Roman"/>
                <w:sz w:val="20"/>
                <w:szCs w:val="20"/>
              </w:rPr>
              <w:t xml:space="preserve"> in Lake Kariba’, </w:t>
            </w:r>
            <w:r w:rsidRPr="00222D02">
              <w:rPr>
                <w:rStyle w:val="cf01"/>
                <w:rFonts w:ascii="Times New Roman" w:hAnsi="Times New Roman" w:cs="Times New Roman"/>
                <w:i/>
                <w:iCs/>
                <w:sz w:val="20"/>
                <w:szCs w:val="20"/>
              </w:rPr>
              <w:t xml:space="preserve">Biological Invasions </w:t>
            </w:r>
            <w:r w:rsidRPr="00222D02">
              <w:rPr>
                <w:rStyle w:val="cf01"/>
                <w:rFonts w:ascii="Times New Roman" w:hAnsi="Times New Roman" w:cs="Times New Roman"/>
                <w:sz w:val="20"/>
                <w:szCs w:val="20"/>
              </w:rPr>
              <w:t xml:space="preserve">25, 2801-2812. </w:t>
            </w:r>
            <w:r w:rsidRPr="00222D02">
              <w:rPr>
                <w:rFonts w:ascii="Times New Roman" w:hAnsi="Times New Roman" w:cs="Times New Roman"/>
                <w:sz w:val="20"/>
                <w:szCs w:val="20"/>
              </w:rPr>
              <w:t>https://doi.org/10.1007/s10530-023-03074-8.</w:t>
            </w:r>
          </w:p>
          <w:p w14:paraId="1E2ADC32" w14:textId="77777777" w:rsidR="002D7080" w:rsidRPr="00222D02" w:rsidRDefault="002D7080" w:rsidP="00C52E1A">
            <w:pPr>
              <w:ind w:left="720" w:hanging="720"/>
              <w:contextualSpacing/>
              <w:jc w:val="both"/>
              <w:rPr>
                <w:rFonts w:ascii="Times New Roman" w:hAnsi="Times New Roman" w:cs="Times New Roman"/>
                <w:sz w:val="20"/>
                <w:szCs w:val="20"/>
              </w:rPr>
            </w:pPr>
            <w:r w:rsidRPr="00222D02">
              <w:rPr>
                <w:rFonts w:ascii="Times New Roman" w:hAnsi="Times New Roman" w:cs="Times New Roman"/>
                <w:sz w:val="20"/>
                <w:szCs w:val="20"/>
              </w:rPr>
              <w:lastRenderedPageBreak/>
              <w:t xml:space="preserve">Douthwaite, R., Jones, E., Tyser, A. &amp; Vrdoljak, S., 2018, ‘The introduction, spread and ecology of redclaw crayfish </w:t>
            </w:r>
            <w:r w:rsidRPr="00222D02">
              <w:rPr>
                <w:rFonts w:ascii="Times New Roman" w:hAnsi="Times New Roman" w:cs="Times New Roman"/>
                <w:i/>
                <w:iCs/>
                <w:sz w:val="20"/>
                <w:szCs w:val="20"/>
              </w:rPr>
              <w:t>Cherax quadricarinatus</w:t>
            </w:r>
            <w:r w:rsidRPr="00222D02">
              <w:rPr>
                <w:rFonts w:ascii="Times New Roman" w:hAnsi="Times New Roman" w:cs="Times New Roman"/>
                <w:sz w:val="20"/>
                <w:szCs w:val="20"/>
              </w:rPr>
              <w:t xml:space="preserve"> in the Zambezi catchment’, </w:t>
            </w:r>
            <w:r w:rsidRPr="00222D02">
              <w:rPr>
                <w:rFonts w:ascii="Times New Roman" w:hAnsi="Times New Roman" w:cs="Times New Roman"/>
                <w:i/>
                <w:iCs/>
                <w:sz w:val="20"/>
                <w:szCs w:val="20"/>
              </w:rPr>
              <w:t>African Journal of Aquatic Science</w:t>
            </w:r>
            <w:r w:rsidRPr="00222D02">
              <w:rPr>
                <w:rFonts w:ascii="Times New Roman" w:hAnsi="Times New Roman" w:cs="Times New Roman"/>
                <w:sz w:val="20"/>
                <w:szCs w:val="20"/>
              </w:rPr>
              <w:t xml:space="preserve"> 43, 353–366. https://doi.org/10.2989/16085914.2018.1517080.</w:t>
            </w:r>
          </w:p>
          <w:p w14:paraId="6D4E2475" w14:textId="77777777" w:rsidR="002D7080" w:rsidRPr="00222D02" w:rsidRDefault="002D7080" w:rsidP="00C52E1A">
            <w:pPr>
              <w:ind w:left="720" w:hanging="720"/>
              <w:contextualSpacing/>
              <w:jc w:val="both"/>
              <w:rPr>
                <w:rFonts w:ascii="Times New Roman" w:hAnsi="Times New Roman" w:cs="Times New Roman"/>
                <w:sz w:val="20"/>
                <w:szCs w:val="20"/>
              </w:rPr>
            </w:pPr>
            <w:r w:rsidRPr="00222D02">
              <w:rPr>
                <w:rFonts w:ascii="Times New Roman" w:hAnsi="Times New Roman" w:cs="Times New Roman"/>
                <w:sz w:val="20"/>
                <w:szCs w:val="20"/>
              </w:rPr>
              <w:t xml:space="preserve">Gherardi, F., Britton, J.R., Mavuti, K.M., Pacini, N., Grey, J., Tricarico, E., et al., 2011, ‘A review of allodiversity in Lake Naivasha, Kenya: Developing conservation actions to protect East African lakes from the negative impacts of alien species’, </w:t>
            </w:r>
            <w:r w:rsidRPr="00222D02">
              <w:rPr>
                <w:rFonts w:ascii="Times New Roman" w:hAnsi="Times New Roman" w:cs="Times New Roman"/>
                <w:i/>
                <w:sz w:val="20"/>
                <w:szCs w:val="20"/>
              </w:rPr>
              <w:t xml:space="preserve">Biological </w:t>
            </w:r>
            <w:r w:rsidRPr="00222D02">
              <w:rPr>
                <w:rFonts w:ascii="Times New Roman" w:hAnsi="Times New Roman" w:cs="Times New Roman"/>
                <w:sz w:val="20"/>
                <w:szCs w:val="20"/>
              </w:rPr>
              <w:t>Conservation 144, 2585–2596. https://doi.org/10.1016/j.biocon.2011.07.020.</w:t>
            </w:r>
          </w:p>
          <w:p w14:paraId="69D9827B" w14:textId="77777777" w:rsidR="002D7080" w:rsidRPr="00222D02" w:rsidRDefault="002D7080" w:rsidP="00C52E1A">
            <w:pPr>
              <w:ind w:left="720" w:hanging="720"/>
              <w:contextualSpacing/>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 https://doi.org/10.1111/raq.12531.</w:t>
            </w:r>
          </w:p>
          <w:p w14:paraId="586F8AC3" w14:textId="77777777" w:rsidR="002D7080" w:rsidRPr="00222D02" w:rsidRDefault="002D7080" w:rsidP="00C52E1A">
            <w:pPr>
              <w:ind w:left="720" w:hanging="720"/>
              <w:contextualSpacing/>
              <w:jc w:val="both"/>
              <w:rPr>
                <w:rStyle w:val="Hyperlink"/>
                <w:rFonts w:ascii="Times New Roman" w:hAnsi="Times New Roman" w:cs="Times New Roman"/>
                <w:sz w:val="20"/>
                <w:szCs w:val="20"/>
              </w:rPr>
            </w:pPr>
            <w:r w:rsidRPr="00222D02">
              <w:rPr>
                <w:rStyle w:val="cf01"/>
                <w:rFonts w:ascii="Times New Roman" w:hAnsi="Times New Roman" w:cs="Times New Roman"/>
                <w:sz w:val="20"/>
                <w:szCs w:val="20"/>
              </w:rPr>
              <w:t xml:space="preserve">Madzivanzira, T.C., Weyl, O.L.F. &amp; South, J., 2022, ‘Ecological and potential socioeconomic impacts of two globally invasive crayfish’, </w:t>
            </w:r>
            <w:r w:rsidRPr="00222D02">
              <w:rPr>
                <w:rStyle w:val="cf01"/>
                <w:rFonts w:ascii="Times New Roman" w:hAnsi="Times New Roman" w:cs="Times New Roman"/>
                <w:i/>
                <w:iCs/>
                <w:sz w:val="20"/>
                <w:szCs w:val="20"/>
              </w:rPr>
              <w:t>NeoBiota</w:t>
            </w:r>
            <w:r w:rsidRPr="00222D02">
              <w:rPr>
                <w:rStyle w:val="cf01"/>
                <w:rFonts w:ascii="Times New Roman" w:hAnsi="Times New Roman" w:cs="Times New Roman"/>
                <w:sz w:val="20"/>
                <w:szCs w:val="20"/>
              </w:rPr>
              <w:t xml:space="preserve"> 72, 25–43, </w:t>
            </w:r>
            <w:r w:rsidRPr="00222D02">
              <w:rPr>
                <w:rFonts w:ascii="Times New Roman" w:hAnsi="Times New Roman" w:cs="Times New Roman"/>
                <w:sz w:val="20"/>
                <w:szCs w:val="20"/>
              </w:rPr>
              <w:t>https://doi.org/10.3897/neobiota.72.71868.</w:t>
            </w:r>
          </w:p>
          <w:p w14:paraId="4A2B5220" w14:textId="77777777" w:rsidR="002D7080" w:rsidRPr="00222D02" w:rsidRDefault="002D7080" w:rsidP="00C52E1A">
            <w:pPr>
              <w:ind w:left="720" w:hanging="720"/>
              <w:contextualSpacing/>
              <w:jc w:val="both"/>
              <w:rPr>
                <w:rFonts w:ascii="Times New Roman" w:hAnsi="Times New Roman" w:cs="Times New Roman"/>
                <w:sz w:val="20"/>
                <w:szCs w:val="20"/>
              </w:rPr>
            </w:pPr>
            <w:r w:rsidRPr="00222D02">
              <w:rPr>
                <w:rStyle w:val="cf01"/>
                <w:rFonts w:ascii="Times New Roman" w:hAnsi="Times New Roman" w:cs="Times New Roman"/>
                <w:sz w:val="20"/>
                <w:szCs w:val="20"/>
              </w:rPr>
              <w:t xml:space="preserve">Madzivanzira, T.C., Chakandinakira, A.T., Mungenge, C.P., O’Brien, G., Dalu, T. &amp; South, J., 2023, ‘Get it before it gets to my catch: misdirection traps to mitigate against socioeconomic impacts associated with crayfish invasion’, </w:t>
            </w:r>
            <w:r w:rsidRPr="00222D02">
              <w:rPr>
                <w:rStyle w:val="cf01"/>
                <w:rFonts w:ascii="Times New Roman" w:hAnsi="Times New Roman" w:cs="Times New Roman"/>
                <w:i/>
                <w:iCs/>
                <w:sz w:val="20"/>
                <w:szCs w:val="20"/>
              </w:rPr>
              <w:t>Management of Biological Invasions</w:t>
            </w:r>
            <w:r w:rsidRPr="00222D02">
              <w:rPr>
                <w:rStyle w:val="cf01"/>
                <w:rFonts w:ascii="Times New Roman" w:hAnsi="Times New Roman" w:cs="Times New Roman"/>
                <w:sz w:val="20"/>
                <w:szCs w:val="20"/>
              </w:rPr>
              <w:t xml:space="preserve"> 14(2), 335–346. </w:t>
            </w:r>
            <w:r w:rsidRPr="00222D02">
              <w:rPr>
                <w:rFonts w:ascii="Times New Roman" w:hAnsi="Times New Roman" w:cs="Times New Roman"/>
                <w:sz w:val="20"/>
                <w:szCs w:val="20"/>
              </w:rPr>
              <w:t>https://doi.org/10.3391/mbi.2023.14.2.10.</w:t>
            </w:r>
          </w:p>
        </w:tc>
      </w:tr>
      <w:tr w:rsidR="002D7080" w:rsidRPr="00222D02" w14:paraId="2DBE52D6" w14:textId="77777777" w:rsidTr="002E2C37">
        <w:tc>
          <w:tcPr>
            <w:tcW w:w="9016" w:type="dxa"/>
            <w:gridSpan w:val="2"/>
            <w:shd w:val="clear" w:color="auto" w:fill="F2F2F2" w:themeFill="background1" w:themeFillShade="F2"/>
          </w:tcPr>
          <w:p w14:paraId="758FEE85"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lastRenderedPageBreak/>
              <w:t>CON2c: Health</w:t>
            </w:r>
          </w:p>
        </w:tc>
      </w:tr>
      <w:tr w:rsidR="002D7080" w:rsidRPr="00222D02" w14:paraId="72F89462" w14:textId="77777777" w:rsidTr="002E2C37">
        <w:tc>
          <w:tcPr>
            <w:tcW w:w="5949" w:type="dxa"/>
          </w:tcPr>
          <w:p w14:paraId="797CB295"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Data Deficient (DD)</w:t>
            </w:r>
          </w:p>
        </w:tc>
        <w:tc>
          <w:tcPr>
            <w:tcW w:w="3067" w:type="dxa"/>
          </w:tcPr>
          <w:p w14:paraId="3FDBEBF9"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Medium</w:t>
            </w:r>
          </w:p>
        </w:tc>
      </w:tr>
      <w:tr w:rsidR="002D7080" w:rsidRPr="00222D02" w14:paraId="44BEAD84" w14:textId="77777777" w:rsidTr="002E2C37">
        <w:trPr>
          <w:trHeight w:val="70"/>
        </w:trPr>
        <w:tc>
          <w:tcPr>
            <w:tcW w:w="9016" w:type="dxa"/>
            <w:gridSpan w:val="2"/>
          </w:tcPr>
          <w:p w14:paraId="45616724"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There are no recorded impact of </w:t>
            </w:r>
            <w:r w:rsidRPr="00222D02">
              <w:rPr>
                <w:rFonts w:ascii="Times New Roman" w:eastAsia="Times New Roman" w:hAnsi="Times New Roman" w:cs="Times New Roman"/>
                <w:i/>
                <w:iCs/>
                <w:sz w:val="20"/>
                <w:szCs w:val="20"/>
                <w:lang w:eastAsia="en-ZA"/>
              </w:rPr>
              <w:t>C. quadricarinatus</w:t>
            </w:r>
            <w:r w:rsidRPr="00222D02">
              <w:rPr>
                <w:rFonts w:ascii="Times New Roman" w:eastAsia="Times New Roman" w:hAnsi="Times New Roman" w:cs="Times New Roman"/>
                <w:sz w:val="20"/>
                <w:szCs w:val="20"/>
                <w:lang w:eastAsia="en-ZA"/>
              </w:rPr>
              <w:t xml:space="preserve"> on human health (Haubrock et al. 2021).</w:t>
            </w:r>
          </w:p>
        </w:tc>
      </w:tr>
      <w:tr w:rsidR="002D7080" w:rsidRPr="00222D02" w14:paraId="51A62EEC" w14:textId="77777777" w:rsidTr="002E2C37">
        <w:trPr>
          <w:trHeight w:val="70"/>
        </w:trPr>
        <w:tc>
          <w:tcPr>
            <w:tcW w:w="9016" w:type="dxa"/>
            <w:gridSpan w:val="2"/>
          </w:tcPr>
          <w:p w14:paraId="621367D5"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1D835024" w14:textId="77777777" w:rsidR="002D7080" w:rsidRPr="00222D02" w:rsidRDefault="002D7080" w:rsidP="002E2C37">
            <w:pPr>
              <w:ind w:left="720" w:hanging="720"/>
              <w:contextualSpacing/>
              <w:rPr>
                <w:rFonts w:ascii="Times New Roman" w:hAnsi="Times New Roman" w:cs="Times New Roman"/>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 https://doi.org/10.1111/raq.12531.</w:t>
            </w:r>
          </w:p>
        </w:tc>
      </w:tr>
      <w:tr w:rsidR="002D7080" w:rsidRPr="00222D02" w14:paraId="428E6313" w14:textId="77777777" w:rsidTr="002E2C37">
        <w:tc>
          <w:tcPr>
            <w:tcW w:w="9016" w:type="dxa"/>
            <w:gridSpan w:val="2"/>
            <w:shd w:val="clear" w:color="auto" w:fill="F2F2F2" w:themeFill="background1" w:themeFillShade="F2"/>
          </w:tcPr>
          <w:p w14:paraId="6F62F643"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 xml:space="preserve">CON2d: Social, spiritual and cultural relations </w:t>
            </w:r>
          </w:p>
        </w:tc>
      </w:tr>
      <w:tr w:rsidR="002D7080" w:rsidRPr="00222D02" w14:paraId="7EFCD371" w14:textId="77777777" w:rsidTr="002E2C37">
        <w:tc>
          <w:tcPr>
            <w:tcW w:w="5949" w:type="dxa"/>
          </w:tcPr>
          <w:p w14:paraId="6B7B97C2"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Data Deficient (DD)</w:t>
            </w:r>
          </w:p>
        </w:tc>
        <w:tc>
          <w:tcPr>
            <w:tcW w:w="3067" w:type="dxa"/>
          </w:tcPr>
          <w:p w14:paraId="7F79CEBB"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w:t>
            </w:r>
          </w:p>
        </w:tc>
      </w:tr>
      <w:tr w:rsidR="002D7080" w:rsidRPr="00222D02" w14:paraId="2E1B1FFC" w14:textId="77777777" w:rsidTr="002E2C37">
        <w:trPr>
          <w:trHeight w:val="70"/>
        </w:trPr>
        <w:tc>
          <w:tcPr>
            <w:tcW w:w="9016" w:type="dxa"/>
            <w:gridSpan w:val="2"/>
          </w:tcPr>
          <w:p w14:paraId="44488B77"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Rationale:</w:t>
            </w:r>
            <w:r w:rsidRPr="00222D02">
              <w:rPr>
                <w:rFonts w:ascii="Times New Roman" w:hAnsi="Times New Roman" w:cs="Times New Roman"/>
                <w:sz w:val="20"/>
                <w:szCs w:val="20"/>
              </w:rPr>
              <w:t xml:space="preserve"> </w:t>
            </w:r>
            <w:r w:rsidRPr="00222D02">
              <w:rPr>
                <w:rFonts w:ascii="Times New Roman" w:eastAsia="Times New Roman" w:hAnsi="Times New Roman" w:cs="Times New Roman"/>
                <w:sz w:val="20"/>
                <w:szCs w:val="20"/>
                <w:lang w:eastAsia="en-ZA"/>
              </w:rPr>
              <w:t xml:space="preserve">There are no recorded impact of </w:t>
            </w:r>
            <w:r w:rsidRPr="00222D02">
              <w:rPr>
                <w:rFonts w:ascii="Times New Roman" w:eastAsia="Times New Roman" w:hAnsi="Times New Roman" w:cs="Times New Roman"/>
                <w:i/>
                <w:iCs/>
                <w:sz w:val="20"/>
                <w:szCs w:val="20"/>
                <w:lang w:eastAsia="en-ZA"/>
              </w:rPr>
              <w:t>C. quadricarinatus</w:t>
            </w:r>
            <w:r w:rsidRPr="00222D02">
              <w:rPr>
                <w:rFonts w:ascii="Times New Roman" w:eastAsia="Times New Roman" w:hAnsi="Times New Roman" w:cs="Times New Roman"/>
                <w:sz w:val="20"/>
                <w:szCs w:val="20"/>
                <w:lang w:eastAsia="en-ZA"/>
              </w:rPr>
              <w:t xml:space="preserve"> on human social, spiritual and cultural relations (Haubrock et al. 2021).</w:t>
            </w:r>
          </w:p>
        </w:tc>
      </w:tr>
      <w:tr w:rsidR="002D7080" w:rsidRPr="00222D02" w14:paraId="5D7E4BD5" w14:textId="77777777" w:rsidTr="002E2C37">
        <w:trPr>
          <w:trHeight w:val="70"/>
        </w:trPr>
        <w:tc>
          <w:tcPr>
            <w:tcW w:w="9016" w:type="dxa"/>
            <w:gridSpan w:val="2"/>
          </w:tcPr>
          <w:p w14:paraId="61A6D286"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57E73F90" w14:textId="77777777" w:rsidR="002D7080" w:rsidRPr="00222D02" w:rsidRDefault="002D7080" w:rsidP="002E2C37">
            <w:pPr>
              <w:ind w:left="720" w:hanging="720"/>
              <w:contextualSpacing/>
              <w:rPr>
                <w:rFonts w:ascii="Times New Roman" w:hAnsi="Times New Roman" w:cs="Times New Roman"/>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 https://doi.org/10.1111/raq.12531.</w:t>
            </w:r>
          </w:p>
        </w:tc>
      </w:tr>
      <w:tr w:rsidR="002D7080" w:rsidRPr="00222D02" w14:paraId="397DB142" w14:textId="77777777" w:rsidTr="002E2C37">
        <w:trPr>
          <w:trHeight w:val="343"/>
        </w:trPr>
        <w:tc>
          <w:tcPr>
            <w:tcW w:w="9016" w:type="dxa"/>
            <w:gridSpan w:val="2"/>
            <w:shd w:val="clear" w:color="auto" w:fill="F2F2F2" w:themeFill="background1" w:themeFillShade="F2"/>
          </w:tcPr>
          <w:p w14:paraId="51300005"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 xml:space="preserve">CON2 Maximum socio-economic impact </w:t>
            </w:r>
          </w:p>
        </w:tc>
      </w:tr>
      <w:tr w:rsidR="002D7080" w:rsidRPr="00222D02" w14:paraId="2A0B2BC1" w14:textId="77777777" w:rsidTr="002E2C37">
        <w:trPr>
          <w:trHeight w:val="208"/>
        </w:trPr>
        <w:tc>
          <w:tcPr>
            <w:tcW w:w="5949" w:type="dxa"/>
          </w:tcPr>
          <w:p w14:paraId="26060AF8"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Moderate (MO)</w:t>
            </w:r>
          </w:p>
        </w:tc>
        <w:tc>
          <w:tcPr>
            <w:tcW w:w="3067" w:type="dxa"/>
          </w:tcPr>
          <w:p w14:paraId="50DF8557"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Medium</w:t>
            </w:r>
          </w:p>
        </w:tc>
      </w:tr>
      <w:tr w:rsidR="002D7080" w:rsidRPr="00222D02" w14:paraId="017EE912" w14:textId="77777777" w:rsidTr="002E2C37">
        <w:trPr>
          <w:trHeight w:val="70"/>
        </w:trPr>
        <w:tc>
          <w:tcPr>
            <w:tcW w:w="9016" w:type="dxa"/>
            <w:gridSpan w:val="2"/>
          </w:tcPr>
          <w:p w14:paraId="099A5A17" w14:textId="77777777" w:rsidR="002D7080" w:rsidRPr="00222D02" w:rsidRDefault="002D7080" w:rsidP="002E2C37">
            <w:pPr>
              <w:spacing w:line="259" w:lineRule="auto"/>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Rationale: T</w:t>
            </w:r>
            <w:r w:rsidRPr="00222D02">
              <w:rPr>
                <w:rFonts w:ascii="Times New Roman" w:hAnsi="Times New Roman" w:cs="Times New Roman"/>
                <w:sz w:val="20"/>
                <w:szCs w:val="20"/>
              </w:rPr>
              <w:t xml:space="preserve">he presence of </w:t>
            </w:r>
            <w:r w:rsidRPr="00222D02">
              <w:rPr>
                <w:rFonts w:ascii="Times New Roman" w:hAnsi="Times New Roman" w:cs="Times New Roman"/>
                <w:i/>
                <w:iCs/>
                <w:sz w:val="20"/>
                <w:szCs w:val="20"/>
              </w:rPr>
              <w:t>C. quadricarinatus</w:t>
            </w:r>
            <w:r w:rsidRPr="00222D02">
              <w:rPr>
                <w:rFonts w:ascii="Times New Roman" w:hAnsi="Times New Roman" w:cs="Times New Roman"/>
                <w:sz w:val="20"/>
                <w:szCs w:val="20"/>
              </w:rPr>
              <w:t xml:space="preserve"> in local fisheries can threaten the livelihoods of fishers by replacing native species which have higher economic value, damaging fishing gear and spoiling fish catches (Chakandinakira et al. 2023; </w:t>
            </w:r>
            <w:r w:rsidRPr="00222D02">
              <w:rPr>
                <w:rFonts w:ascii="Times New Roman" w:eastAsia="Times New Roman" w:hAnsi="Times New Roman" w:cs="Times New Roman"/>
                <w:color w:val="000000"/>
                <w:sz w:val="20"/>
                <w:szCs w:val="20"/>
                <w:lang w:eastAsia="en-ZA"/>
              </w:rPr>
              <w:t xml:space="preserve">Douthwaite et al. 2018; </w:t>
            </w:r>
            <w:r w:rsidRPr="00222D02">
              <w:rPr>
                <w:rFonts w:ascii="Times New Roman" w:hAnsi="Times New Roman" w:cs="Times New Roman"/>
                <w:sz w:val="20"/>
                <w:szCs w:val="20"/>
              </w:rPr>
              <w:t xml:space="preserve">Madzivanzira et al. 2022; </w:t>
            </w:r>
            <w:r w:rsidRPr="00222D02">
              <w:rPr>
                <w:rFonts w:ascii="Times New Roman" w:eastAsia="Times New Roman" w:hAnsi="Times New Roman" w:cs="Times New Roman"/>
                <w:color w:val="000000"/>
                <w:sz w:val="20"/>
                <w:szCs w:val="20"/>
                <w:lang w:eastAsia="en-ZA"/>
              </w:rPr>
              <w:t>Vega-Villasante et al. 2015</w:t>
            </w:r>
            <w:r w:rsidRPr="00222D02">
              <w:rPr>
                <w:rFonts w:ascii="Times New Roman" w:hAnsi="Times New Roman" w:cs="Times New Roman"/>
                <w:sz w:val="20"/>
                <w:szCs w:val="20"/>
              </w:rPr>
              <w:t xml:space="preserve">). </w:t>
            </w:r>
          </w:p>
        </w:tc>
      </w:tr>
      <w:tr w:rsidR="002D7080" w:rsidRPr="00222D02" w14:paraId="1C36AFAB" w14:textId="77777777" w:rsidTr="002E2C37">
        <w:trPr>
          <w:trHeight w:val="70"/>
        </w:trPr>
        <w:tc>
          <w:tcPr>
            <w:tcW w:w="9016" w:type="dxa"/>
            <w:gridSpan w:val="2"/>
          </w:tcPr>
          <w:p w14:paraId="7CBFFA4D"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4044FFBA" w14:textId="232356DE" w:rsidR="006A136F" w:rsidRPr="006A136F" w:rsidRDefault="006A136F" w:rsidP="006A136F">
            <w:pPr>
              <w:ind w:left="720" w:hanging="720"/>
              <w:rPr>
                <w:rFonts w:ascii="Times New Roman" w:hAnsi="Times New Roman" w:cs="Times New Roman"/>
                <w:sz w:val="20"/>
                <w:szCs w:val="20"/>
              </w:rPr>
            </w:pPr>
            <w:r w:rsidRPr="006A136F">
              <w:rPr>
                <w:rFonts w:ascii="Times New Roman" w:hAnsi="Times New Roman" w:cs="Times New Roman"/>
                <w:sz w:val="20"/>
                <w:szCs w:val="20"/>
              </w:rPr>
              <w:t xml:space="preserve">Chakandinakira, A.T., Madzivanzira, T.C., Mashonga, S., Muzvondiwa, J.V., Ndlovu, N. &amp; South, J. 2023, ‘Socioeconomic impacts of Australian redclaw crayfish </w:t>
            </w:r>
            <w:r w:rsidRPr="006A136F">
              <w:rPr>
                <w:rFonts w:ascii="Times New Roman" w:hAnsi="Times New Roman" w:cs="Times New Roman"/>
                <w:i/>
                <w:iCs/>
                <w:sz w:val="20"/>
                <w:szCs w:val="20"/>
              </w:rPr>
              <w:t>Cherax quadricarinatus</w:t>
            </w:r>
            <w:r w:rsidRPr="006A136F">
              <w:rPr>
                <w:rFonts w:ascii="Times New Roman" w:hAnsi="Times New Roman" w:cs="Times New Roman"/>
                <w:sz w:val="20"/>
                <w:szCs w:val="20"/>
              </w:rPr>
              <w:t xml:space="preserve"> in Lake Kariba’, </w:t>
            </w:r>
            <w:r w:rsidRPr="006A136F">
              <w:rPr>
                <w:rFonts w:ascii="Times New Roman" w:hAnsi="Times New Roman" w:cs="Times New Roman"/>
                <w:i/>
                <w:iCs/>
                <w:sz w:val="20"/>
                <w:szCs w:val="20"/>
              </w:rPr>
              <w:t xml:space="preserve">Biological Invasions </w:t>
            </w:r>
            <w:r w:rsidRPr="006A136F">
              <w:rPr>
                <w:rFonts w:ascii="Times New Roman" w:hAnsi="Times New Roman" w:cs="Times New Roman"/>
                <w:sz w:val="20"/>
                <w:szCs w:val="20"/>
              </w:rPr>
              <w:t>25, 2801-2812. https://doi.org/10.1007/s10530-023-03074-8</w:t>
            </w:r>
          </w:p>
          <w:p w14:paraId="4D64F503" w14:textId="32135B36" w:rsidR="002D7080" w:rsidRPr="00222D02" w:rsidRDefault="006A136F" w:rsidP="006A136F">
            <w:pPr>
              <w:ind w:left="720" w:hanging="720"/>
              <w:contextualSpacing/>
              <w:rPr>
                <w:rFonts w:ascii="Times New Roman" w:hAnsi="Times New Roman" w:cs="Times New Roman"/>
                <w:sz w:val="20"/>
                <w:szCs w:val="20"/>
              </w:rPr>
            </w:pPr>
            <w:r w:rsidRPr="006A136F">
              <w:rPr>
                <w:rFonts w:ascii="Times New Roman" w:hAnsi="Times New Roman" w:cs="Times New Roman"/>
                <w:sz w:val="20"/>
                <w:szCs w:val="20"/>
              </w:rPr>
              <w:lastRenderedPageBreak/>
              <w:t xml:space="preserve">Douthwaite, R., Jones, E., Tyser, A. &amp; Vrdoljak, S., 2018, ‘The introduction, spread and ecology of redclaw crayfish </w:t>
            </w:r>
            <w:r w:rsidRPr="006A136F">
              <w:rPr>
                <w:rFonts w:ascii="Times New Roman" w:hAnsi="Times New Roman" w:cs="Times New Roman"/>
                <w:i/>
                <w:iCs/>
                <w:sz w:val="20"/>
                <w:szCs w:val="20"/>
              </w:rPr>
              <w:t>Cherax quadricarinatus</w:t>
            </w:r>
            <w:r w:rsidRPr="006A136F">
              <w:rPr>
                <w:rFonts w:ascii="Times New Roman" w:hAnsi="Times New Roman" w:cs="Times New Roman"/>
                <w:sz w:val="20"/>
                <w:szCs w:val="20"/>
              </w:rPr>
              <w:t xml:space="preserve"> in the Zambezi catchment’, </w:t>
            </w:r>
            <w:r w:rsidRPr="006A136F">
              <w:rPr>
                <w:rFonts w:ascii="Times New Roman" w:hAnsi="Times New Roman" w:cs="Times New Roman"/>
                <w:i/>
                <w:iCs/>
                <w:sz w:val="20"/>
                <w:szCs w:val="20"/>
              </w:rPr>
              <w:t>African Journal of Aquatic Science</w:t>
            </w:r>
            <w:r w:rsidRPr="006A136F">
              <w:rPr>
                <w:rFonts w:ascii="Times New Roman" w:hAnsi="Times New Roman" w:cs="Times New Roman"/>
                <w:sz w:val="20"/>
                <w:szCs w:val="20"/>
              </w:rPr>
              <w:t xml:space="preserve"> 43, 353–366. https://doi.org/10.2989/16085914.2018.1517080</w:t>
            </w:r>
            <w:r w:rsidR="002D7080" w:rsidRPr="00222D02">
              <w:rPr>
                <w:rFonts w:ascii="Times New Roman" w:hAnsi="Times New Roman" w:cs="Times New Roman"/>
                <w:sz w:val="20"/>
                <w:szCs w:val="20"/>
              </w:rPr>
              <w:t>.</w:t>
            </w:r>
          </w:p>
          <w:p w14:paraId="706FF179" w14:textId="1DC852D3" w:rsidR="006A136F" w:rsidRPr="006A136F" w:rsidRDefault="006A136F" w:rsidP="006A136F">
            <w:pPr>
              <w:ind w:left="720" w:hanging="720"/>
              <w:contextualSpacing/>
              <w:rPr>
                <w:rFonts w:ascii="Times New Roman" w:hAnsi="Times New Roman" w:cs="Times New Roman"/>
                <w:sz w:val="20"/>
                <w:szCs w:val="20"/>
              </w:rPr>
            </w:pPr>
            <w:r w:rsidRPr="006A136F">
              <w:rPr>
                <w:rFonts w:ascii="Times New Roman" w:hAnsi="Times New Roman" w:cs="Times New Roman"/>
                <w:sz w:val="20"/>
                <w:szCs w:val="20"/>
              </w:rPr>
              <w:t xml:space="preserve">Haubrock, P.J., Oficialdegui, F.J., Zeng, Y., Patoka, J., Yeo, D.C., &amp; Kouba, A., 2021, ‘The redclaw crayfish: A prominent aquaculture species with invasive potential in tropical and subtropical biodiversity hotspots’, </w:t>
            </w:r>
            <w:r w:rsidRPr="006A136F">
              <w:rPr>
                <w:rFonts w:ascii="Times New Roman" w:hAnsi="Times New Roman" w:cs="Times New Roman"/>
                <w:i/>
                <w:iCs/>
                <w:sz w:val="20"/>
                <w:szCs w:val="20"/>
              </w:rPr>
              <w:t>Reviews in Aquaculture</w:t>
            </w:r>
            <w:r w:rsidRPr="006A136F">
              <w:rPr>
                <w:rFonts w:ascii="Times New Roman" w:hAnsi="Times New Roman" w:cs="Times New Roman"/>
                <w:sz w:val="20"/>
                <w:szCs w:val="20"/>
              </w:rPr>
              <w:t xml:space="preserve"> 13(3), 1488-1530, </w:t>
            </w:r>
            <w:hyperlink r:id="rId164" w:history="1">
              <w:r w:rsidRPr="006A136F">
                <w:rPr>
                  <w:rStyle w:val="Hyperlink"/>
                  <w:rFonts w:ascii="Times New Roman" w:hAnsi="Times New Roman" w:cs="Times New Roman"/>
                  <w:bCs/>
                  <w:sz w:val="20"/>
                  <w:szCs w:val="20"/>
                </w:rPr>
                <w:t>https://doi.org/10.1111/raq.12531</w:t>
              </w:r>
            </w:hyperlink>
            <w:r w:rsidRPr="006A136F">
              <w:rPr>
                <w:rFonts w:ascii="Times New Roman" w:hAnsi="Times New Roman" w:cs="Times New Roman"/>
                <w:sz w:val="20"/>
                <w:szCs w:val="20"/>
              </w:rPr>
              <w:t>.</w:t>
            </w:r>
          </w:p>
          <w:p w14:paraId="118FA4BF" w14:textId="291E29C4" w:rsidR="006A136F" w:rsidRPr="006A136F" w:rsidRDefault="006A136F" w:rsidP="006A136F">
            <w:pPr>
              <w:ind w:left="720" w:hanging="720"/>
              <w:contextualSpacing/>
              <w:rPr>
                <w:rFonts w:ascii="Times New Roman" w:hAnsi="Times New Roman" w:cs="Times New Roman"/>
                <w:sz w:val="20"/>
                <w:szCs w:val="20"/>
              </w:rPr>
            </w:pPr>
            <w:r w:rsidRPr="006A136F">
              <w:rPr>
                <w:rFonts w:ascii="Times New Roman" w:hAnsi="Times New Roman" w:cs="Times New Roman"/>
                <w:sz w:val="20"/>
                <w:szCs w:val="20"/>
              </w:rPr>
              <w:t xml:space="preserve">Madzivanzira, T.C., Weyl, O.L.F. &amp; South, J., 2022, ‘Ecological and potential socioeconomic impacts of two globally invasive crayfish’, </w:t>
            </w:r>
            <w:r w:rsidRPr="006A136F">
              <w:rPr>
                <w:rFonts w:ascii="Times New Roman" w:hAnsi="Times New Roman" w:cs="Times New Roman"/>
                <w:i/>
                <w:iCs/>
                <w:sz w:val="20"/>
                <w:szCs w:val="20"/>
              </w:rPr>
              <w:t>NeoBiota</w:t>
            </w:r>
            <w:r w:rsidRPr="006A136F">
              <w:rPr>
                <w:rFonts w:ascii="Times New Roman" w:hAnsi="Times New Roman" w:cs="Times New Roman"/>
                <w:sz w:val="20"/>
                <w:szCs w:val="20"/>
              </w:rPr>
              <w:t xml:space="preserve"> 72, 25–43. </w:t>
            </w:r>
            <w:hyperlink r:id="rId165" w:history="1">
              <w:r w:rsidRPr="006A136F">
                <w:rPr>
                  <w:rStyle w:val="Hyperlink"/>
                  <w:rFonts w:ascii="Times New Roman" w:hAnsi="Times New Roman" w:cs="Times New Roman"/>
                  <w:sz w:val="20"/>
                  <w:szCs w:val="20"/>
                </w:rPr>
                <w:t>https://doi.org/10.3897/neobiota.72.71868</w:t>
              </w:r>
            </w:hyperlink>
            <w:r w:rsidRPr="006A136F">
              <w:rPr>
                <w:rFonts w:ascii="Times New Roman" w:hAnsi="Times New Roman" w:cs="Times New Roman"/>
                <w:sz w:val="20"/>
                <w:szCs w:val="20"/>
              </w:rPr>
              <w:t>.</w:t>
            </w:r>
          </w:p>
          <w:p w14:paraId="405BC8E4" w14:textId="4EAFFB8B" w:rsidR="002D7080" w:rsidRPr="00222D02" w:rsidRDefault="006A136F" w:rsidP="006A136F">
            <w:pPr>
              <w:ind w:left="720" w:hanging="720"/>
              <w:contextualSpacing/>
              <w:rPr>
                <w:rFonts w:ascii="Times New Roman" w:hAnsi="Times New Roman" w:cs="Times New Roman"/>
                <w:color w:val="467886" w:themeColor="hyperlink"/>
                <w:sz w:val="20"/>
                <w:szCs w:val="20"/>
                <w:u w:val="single"/>
              </w:rPr>
            </w:pPr>
            <w:r w:rsidRPr="006A136F">
              <w:rPr>
                <w:rFonts w:ascii="Times New Roman" w:hAnsi="Times New Roman" w:cs="Times New Roman"/>
                <w:sz w:val="20"/>
                <w:szCs w:val="20"/>
              </w:rPr>
              <w:t xml:space="preserve">Vega-Villasante, F., Avalos-Aguilar, J.J., Nolasco-Soria, H., Vargas-Ceballos, M.A., Bortolini-Rosales, J.L., Chong-Carrillo O. et al., 2015, ‘Wild populations of the invasive Australian red claw crayfish </w:t>
            </w:r>
            <w:r w:rsidRPr="006A136F">
              <w:rPr>
                <w:rFonts w:ascii="Times New Roman" w:hAnsi="Times New Roman" w:cs="Times New Roman"/>
                <w:i/>
                <w:iCs/>
                <w:sz w:val="20"/>
                <w:szCs w:val="20"/>
              </w:rPr>
              <w:t>Cherax quadricarinatus</w:t>
            </w:r>
            <w:r w:rsidRPr="006A136F">
              <w:rPr>
                <w:rFonts w:ascii="Times New Roman" w:hAnsi="Times New Roman" w:cs="Times New Roman"/>
                <w:sz w:val="20"/>
                <w:szCs w:val="20"/>
              </w:rPr>
              <w:t xml:space="preserve"> (Crustacea, Decapoda) near the northern coast of Jalisco, Mexico: a new fishing and profitable resource’, </w:t>
            </w:r>
            <w:r w:rsidRPr="006A136F">
              <w:rPr>
                <w:rFonts w:ascii="Times New Roman" w:hAnsi="Times New Roman" w:cs="Times New Roman"/>
                <w:i/>
                <w:iCs/>
                <w:sz w:val="20"/>
                <w:szCs w:val="20"/>
              </w:rPr>
              <w:t>Latin American Journal of Aquatic Research</w:t>
            </w:r>
            <w:r w:rsidRPr="006A136F">
              <w:rPr>
                <w:rFonts w:ascii="Times New Roman" w:hAnsi="Times New Roman" w:cs="Times New Roman"/>
                <w:sz w:val="20"/>
                <w:szCs w:val="20"/>
              </w:rPr>
              <w:t xml:space="preserve"> 43, 781–785. </w:t>
            </w:r>
            <w:hyperlink r:id="rId166" w:history="1">
              <w:r w:rsidRPr="006A136F">
                <w:rPr>
                  <w:rStyle w:val="Hyperlink"/>
                  <w:rFonts w:ascii="Times New Roman" w:hAnsi="Times New Roman" w:cs="Times New Roman"/>
                  <w:bCs/>
                  <w:sz w:val="20"/>
                  <w:szCs w:val="20"/>
                </w:rPr>
                <w:t>https://doi.org/10.3856/vol43-issue4-fulltext-17</w:t>
              </w:r>
            </w:hyperlink>
            <w:r w:rsidR="002D7080" w:rsidRPr="00222D02">
              <w:rPr>
                <w:rFonts w:ascii="Times New Roman" w:hAnsi="Times New Roman" w:cs="Times New Roman"/>
                <w:sz w:val="20"/>
                <w:szCs w:val="20"/>
              </w:rPr>
              <w:t>.</w:t>
            </w:r>
          </w:p>
        </w:tc>
      </w:tr>
    </w:tbl>
    <w:p w14:paraId="78FDE89E" w14:textId="77777777" w:rsidR="002D7080" w:rsidRPr="00222D02" w:rsidRDefault="002D7080" w:rsidP="002D7080">
      <w:pPr>
        <w:spacing w:after="0" w:line="240" w:lineRule="auto"/>
        <w:rPr>
          <w:rFonts w:ascii="Times New Roman" w:hAnsi="Times New Roman" w:cs="Times New Roman"/>
          <w:sz w:val="20"/>
          <w:szCs w:val="20"/>
        </w:rPr>
      </w:pPr>
    </w:p>
    <w:tbl>
      <w:tblPr>
        <w:tblStyle w:val="TableGrid"/>
        <w:tblW w:w="0" w:type="auto"/>
        <w:tblLook w:val="04A0" w:firstRow="1" w:lastRow="0" w:firstColumn="1" w:lastColumn="0" w:noHBand="0" w:noVBand="1"/>
      </w:tblPr>
      <w:tblGrid>
        <w:gridCol w:w="5949"/>
        <w:gridCol w:w="3067"/>
      </w:tblGrid>
      <w:tr w:rsidR="002D7080" w:rsidRPr="00222D02" w14:paraId="7301BB1F" w14:textId="77777777" w:rsidTr="002E2C37">
        <w:trPr>
          <w:trHeight w:val="343"/>
        </w:trPr>
        <w:tc>
          <w:tcPr>
            <w:tcW w:w="9016" w:type="dxa"/>
            <w:gridSpan w:val="2"/>
            <w:shd w:val="clear" w:color="auto" w:fill="F2F2F2" w:themeFill="background1" w:themeFillShade="F2"/>
          </w:tcPr>
          <w:p w14:paraId="3FD1E9C3"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CON3 Closely related species’ environmental impact</w:t>
            </w:r>
          </w:p>
        </w:tc>
      </w:tr>
      <w:tr w:rsidR="002D7080" w:rsidRPr="00222D02" w14:paraId="10D62B54" w14:textId="77777777" w:rsidTr="002E2C37">
        <w:trPr>
          <w:trHeight w:val="172"/>
        </w:trPr>
        <w:tc>
          <w:tcPr>
            <w:tcW w:w="5949" w:type="dxa"/>
          </w:tcPr>
          <w:p w14:paraId="247499F0"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Not scored as CON1 scored</w:t>
            </w:r>
          </w:p>
        </w:tc>
        <w:tc>
          <w:tcPr>
            <w:tcW w:w="3067" w:type="dxa"/>
          </w:tcPr>
          <w:p w14:paraId="28424177"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w:t>
            </w:r>
          </w:p>
        </w:tc>
      </w:tr>
      <w:tr w:rsidR="002D7080" w:rsidRPr="00222D02" w14:paraId="217ACECA" w14:textId="77777777" w:rsidTr="002E2C37">
        <w:trPr>
          <w:trHeight w:val="70"/>
        </w:trPr>
        <w:tc>
          <w:tcPr>
            <w:tcW w:w="9016" w:type="dxa"/>
            <w:gridSpan w:val="2"/>
          </w:tcPr>
          <w:p w14:paraId="0348F8BB"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Rationale: There is information to score CON1, so CON3 does not need to be scored as per the framework</w:t>
            </w:r>
          </w:p>
        </w:tc>
      </w:tr>
      <w:tr w:rsidR="002D7080" w:rsidRPr="00222D02" w14:paraId="02941A26" w14:textId="77777777" w:rsidTr="002E2C37">
        <w:trPr>
          <w:cantSplit/>
          <w:trHeight w:val="70"/>
        </w:trPr>
        <w:tc>
          <w:tcPr>
            <w:tcW w:w="9016" w:type="dxa"/>
            <w:gridSpan w:val="2"/>
          </w:tcPr>
          <w:p w14:paraId="7F5BDF57"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tc>
      </w:tr>
    </w:tbl>
    <w:p w14:paraId="06BBDBEE" w14:textId="77777777" w:rsidR="002D7080" w:rsidRPr="00222D02" w:rsidRDefault="002D7080" w:rsidP="002D7080">
      <w:pPr>
        <w:spacing w:after="0" w:line="240" w:lineRule="auto"/>
        <w:rPr>
          <w:rFonts w:ascii="Times New Roman" w:hAnsi="Times New Roman" w:cs="Times New Roman"/>
          <w:b/>
          <w:sz w:val="20"/>
          <w:szCs w:val="20"/>
        </w:rPr>
      </w:pPr>
    </w:p>
    <w:tbl>
      <w:tblPr>
        <w:tblStyle w:val="TableGrid"/>
        <w:tblW w:w="0" w:type="auto"/>
        <w:tblLook w:val="04A0" w:firstRow="1" w:lastRow="0" w:firstColumn="1" w:lastColumn="0" w:noHBand="0" w:noVBand="1"/>
      </w:tblPr>
      <w:tblGrid>
        <w:gridCol w:w="5949"/>
        <w:gridCol w:w="3067"/>
      </w:tblGrid>
      <w:tr w:rsidR="002D7080" w:rsidRPr="00222D02" w14:paraId="090678A0" w14:textId="77777777" w:rsidTr="002E2C37">
        <w:trPr>
          <w:trHeight w:val="343"/>
        </w:trPr>
        <w:tc>
          <w:tcPr>
            <w:tcW w:w="9016" w:type="dxa"/>
            <w:gridSpan w:val="2"/>
            <w:shd w:val="clear" w:color="auto" w:fill="F2F2F2" w:themeFill="background1" w:themeFillShade="F2"/>
          </w:tcPr>
          <w:p w14:paraId="6FF0EECF"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CON4 Closely related species’ socio-economic impact</w:t>
            </w:r>
          </w:p>
        </w:tc>
      </w:tr>
      <w:tr w:rsidR="002D7080" w:rsidRPr="00222D02" w14:paraId="065C6729" w14:textId="77777777" w:rsidTr="002E2C37">
        <w:trPr>
          <w:trHeight w:val="172"/>
        </w:trPr>
        <w:tc>
          <w:tcPr>
            <w:tcW w:w="5949" w:type="dxa"/>
          </w:tcPr>
          <w:p w14:paraId="584E3903"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Not scored as CON2 scored</w:t>
            </w:r>
          </w:p>
        </w:tc>
        <w:tc>
          <w:tcPr>
            <w:tcW w:w="3067" w:type="dxa"/>
          </w:tcPr>
          <w:p w14:paraId="4BEE0C58"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Confidence: </w:t>
            </w:r>
          </w:p>
        </w:tc>
      </w:tr>
      <w:tr w:rsidR="002D7080" w:rsidRPr="00222D02" w14:paraId="4CEEC16F" w14:textId="77777777" w:rsidTr="002E2C37">
        <w:trPr>
          <w:trHeight w:val="70"/>
        </w:trPr>
        <w:tc>
          <w:tcPr>
            <w:tcW w:w="9016" w:type="dxa"/>
            <w:gridSpan w:val="2"/>
          </w:tcPr>
          <w:p w14:paraId="21EE458C"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Rationale: There is information to score CON2, so CON4 does not need to be scored as per the framework</w:t>
            </w:r>
            <w:r w:rsidRPr="00222D02">
              <w:rPr>
                <w:rFonts w:ascii="Times New Roman" w:eastAsia="Times New Roman" w:hAnsi="Times New Roman" w:cs="Times New Roman"/>
                <w:i/>
                <w:iCs/>
                <w:sz w:val="20"/>
                <w:szCs w:val="20"/>
                <w:lang w:eastAsia="en-ZA"/>
              </w:rPr>
              <w:t>.</w:t>
            </w:r>
          </w:p>
        </w:tc>
      </w:tr>
      <w:tr w:rsidR="002D7080" w:rsidRPr="00222D02" w14:paraId="7F68DA55" w14:textId="77777777" w:rsidTr="002E2C37">
        <w:trPr>
          <w:trHeight w:val="50"/>
        </w:trPr>
        <w:tc>
          <w:tcPr>
            <w:tcW w:w="9016" w:type="dxa"/>
            <w:gridSpan w:val="2"/>
          </w:tcPr>
          <w:p w14:paraId="7E7F944A"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tc>
      </w:tr>
    </w:tbl>
    <w:p w14:paraId="748CEE08" w14:textId="77777777" w:rsidR="002D7080" w:rsidRPr="00222D02" w:rsidRDefault="002D7080" w:rsidP="002D7080">
      <w:pPr>
        <w:spacing w:after="0" w:line="240" w:lineRule="auto"/>
        <w:rPr>
          <w:rFonts w:ascii="Times New Roman" w:hAnsi="Times New Roman" w:cs="Times New Roman"/>
          <w:b/>
          <w:sz w:val="20"/>
          <w:szCs w:val="20"/>
        </w:rPr>
      </w:pPr>
    </w:p>
    <w:tbl>
      <w:tblPr>
        <w:tblStyle w:val="TableGrid"/>
        <w:tblW w:w="0" w:type="auto"/>
        <w:tblLook w:val="04A0" w:firstRow="1" w:lastRow="0" w:firstColumn="1" w:lastColumn="0" w:noHBand="0" w:noVBand="1"/>
      </w:tblPr>
      <w:tblGrid>
        <w:gridCol w:w="5949"/>
        <w:gridCol w:w="3067"/>
      </w:tblGrid>
      <w:tr w:rsidR="002D7080" w:rsidRPr="00222D02" w14:paraId="26D2DAD7" w14:textId="77777777" w:rsidTr="002E2C37">
        <w:trPr>
          <w:trHeight w:val="343"/>
        </w:trPr>
        <w:tc>
          <w:tcPr>
            <w:tcW w:w="9016" w:type="dxa"/>
            <w:gridSpan w:val="2"/>
            <w:shd w:val="clear" w:color="auto" w:fill="F2F2F2" w:themeFill="background1" w:themeFillShade="F2"/>
          </w:tcPr>
          <w:p w14:paraId="5D948C2F"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CON5 Potential impact</w:t>
            </w:r>
          </w:p>
        </w:tc>
      </w:tr>
      <w:tr w:rsidR="002D7080" w:rsidRPr="00222D02" w14:paraId="2D043655" w14:textId="77777777" w:rsidTr="002E2C37">
        <w:trPr>
          <w:trHeight w:val="172"/>
        </w:trPr>
        <w:tc>
          <w:tcPr>
            <w:tcW w:w="5949" w:type="dxa"/>
          </w:tcPr>
          <w:p w14:paraId="022235F0"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Major (MR)</w:t>
            </w:r>
          </w:p>
        </w:tc>
        <w:tc>
          <w:tcPr>
            <w:tcW w:w="3067" w:type="dxa"/>
          </w:tcPr>
          <w:p w14:paraId="757BE4C4"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Medium</w:t>
            </w:r>
          </w:p>
        </w:tc>
      </w:tr>
      <w:tr w:rsidR="002D7080" w:rsidRPr="00222D02" w14:paraId="79CA1B3B" w14:textId="77777777" w:rsidTr="002E2C37">
        <w:trPr>
          <w:trHeight w:val="70"/>
        </w:trPr>
        <w:tc>
          <w:tcPr>
            <w:tcW w:w="9016" w:type="dxa"/>
            <w:gridSpan w:val="2"/>
          </w:tcPr>
          <w:p w14:paraId="15A5207D"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w:t>
            </w:r>
          </w:p>
          <w:p w14:paraId="7ADC2B6E"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hAnsi="Times New Roman" w:cs="Times New Roman"/>
                <w:sz w:val="20"/>
                <w:szCs w:val="20"/>
              </w:rPr>
              <w:t xml:space="preserve">Life history traits (high fecundity, fast growth, large size, omnivorous diet, and wide environmental tolerances) have been suggested to predispose </w:t>
            </w:r>
            <w:r w:rsidRPr="00222D02">
              <w:rPr>
                <w:rFonts w:ascii="Times New Roman" w:hAnsi="Times New Roman" w:cs="Times New Roman"/>
                <w:i/>
                <w:iCs/>
                <w:sz w:val="20"/>
                <w:szCs w:val="20"/>
              </w:rPr>
              <w:t>C. quadricarinatus</w:t>
            </w:r>
            <w:r w:rsidRPr="00222D02">
              <w:rPr>
                <w:rFonts w:ascii="Times New Roman" w:hAnsi="Times New Roman" w:cs="Times New Roman"/>
                <w:sz w:val="20"/>
                <w:szCs w:val="20"/>
              </w:rPr>
              <w:t xml:space="preserve"> to have Major impacts on ecosystems through predation, competition, and transfer of diseases (e.g., Ahyong &amp; Yeo 2007; Bortolini et al. 2007; Lynas et al. 2007; Yeo 2010; Madzivanzira et al. 2020, 2021; Marufu et al. 2018; Zeng et al. 2019; Zengeya et al. 2022). For example, </w:t>
            </w:r>
            <w:r w:rsidRPr="00222D02">
              <w:rPr>
                <w:rFonts w:ascii="Times New Roman" w:hAnsi="Times New Roman" w:cs="Times New Roman"/>
                <w:i/>
                <w:iCs/>
                <w:sz w:val="20"/>
                <w:szCs w:val="20"/>
              </w:rPr>
              <w:t xml:space="preserve">C. quadricarinatus </w:t>
            </w:r>
            <w:r w:rsidRPr="00222D02">
              <w:rPr>
                <w:rFonts w:ascii="Times New Roman" w:hAnsi="Times New Roman" w:cs="Times New Roman"/>
                <w:sz w:val="20"/>
                <w:szCs w:val="20"/>
              </w:rPr>
              <w:t xml:space="preserve">invasions have been implicated in the decline of native species of macrophytes, macroinvertebrates and fish (Douthwaite et al. 2018; Marufu et al. 2018; Pinder et al. 2019). </w:t>
            </w:r>
            <w:r w:rsidRPr="00222D02">
              <w:rPr>
                <w:rFonts w:ascii="Times New Roman" w:eastAsia="Times New Roman" w:hAnsi="Times New Roman" w:cs="Times New Roman"/>
                <w:sz w:val="20"/>
                <w:szCs w:val="20"/>
                <w:lang w:eastAsia="en-ZA"/>
              </w:rPr>
              <w:t xml:space="preserve">In South Africa, there have been laboratory studies to quantify the impacts of </w:t>
            </w:r>
            <w:r w:rsidRPr="00222D02">
              <w:rPr>
                <w:rFonts w:ascii="Times New Roman" w:eastAsia="Times New Roman" w:hAnsi="Times New Roman" w:cs="Times New Roman"/>
                <w:i/>
                <w:iCs/>
                <w:sz w:val="20"/>
                <w:szCs w:val="20"/>
                <w:lang w:eastAsia="en-ZA"/>
              </w:rPr>
              <w:t>C. quadricarinatus</w:t>
            </w:r>
            <w:r w:rsidRPr="00222D02">
              <w:rPr>
                <w:rFonts w:ascii="Times New Roman" w:eastAsia="Times New Roman" w:hAnsi="Times New Roman" w:cs="Times New Roman"/>
                <w:sz w:val="20"/>
                <w:szCs w:val="20"/>
                <w:lang w:eastAsia="en-ZA"/>
              </w:rPr>
              <w:t xml:space="preserve"> on various aquatic and terrestrial resources ubiquitous to South African ecosystems. In these studies, </w:t>
            </w:r>
            <w:r w:rsidRPr="00222D02">
              <w:rPr>
                <w:rFonts w:ascii="Times New Roman" w:eastAsia="Times New Roman" w:hAnsi="Times New Roman" w:cs="Times New Roman"/>
                <w:i/>
                <w:iCs/>
                <w:sz w:val="20"/>
                <w:szCs w:val="20"/>
                <w:lang w:eastAsia="en-ZA"/>
              </w:rPr>
              <w:t>C. quadricarinatus</w:t>
            </w:r>
            <w:r w:rsidRPr="00222D02">
              <w:rPr>
                <w:rFonts w:ascii="Times New Roman" w:eastAsia="Times New Roman" w:hAnsi="Times New Roman" w:cs="Times New Roman"/>
                <w:sz w:val="20"/>
                <w:szCs w:val="20"/>
                <w:lang w:eastAsia="en-ZA"/>
              </w:rPr>
              <w:t xml:space="preserve"> exhibited deleterious impacts on various ecosystem resources including fish, macroinvertebrates, and aquatic plants, all of which are important for ecosystem structure and functioning (Madzivanzira et al. 2021, 2022).</w:t>
            </w:r>
          </w:p>
          <w:p w14:paraId="6B7B1ADC" w14:textId="77777777" w:rsidR="002D7080" w:rsidRPr="00222D02" w:rsidRDefault="002D7080" w:rsidP="002E2C37">
            <w:pPr>
              <w:jc w:val="both"/>
              <w:rPr>
                <w:rFonts w:ascii="Times New Roman" w:eastAsia="Times New Roman" w:hAnsi="Times New Roman" w:cs="Times New Roman"/>
                <w:sz w:val="20"/>
                <w:szCs w:val="20"/>
                <w:lang w:eastAsia="en-ZA"/>
              </w:rPr>
            </w:pPr>
          </w:p>
          <w:p w14:paraId="6CC26C85" w14:textId="512DEC5B"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i/>
                <w:iCs/>
                <w:sz w:val="20"/>
                <w:szCs w:val="20"/>
                <w:lang w:eastAsia="en-ZA"/>
              </w:rPr>
              <w:t xml:space="preserve">Cherax quadricarinatus </w:t>
            </w:r>
            <w:r w:rsidRPr="00222D02">
              <w:rPr>
                <w:rFonts w:ascii="Times New Roman" w:eastAsia="Times New Roman" w:hAnsi="Times New Roman" w:cs="Times New Roman"/>
                <w:sz w:val="20"/>
                <w:szCs w:val="20"/>
                <w:lang w:eastAsia="en-ZA"/>
              </w:rPr>
              <w:t>is a functional omnivore that can outcompete native species for shared resources, predate on macroinvertebrates and fish and modify habitats through intensive grazing (</w:t>
            </w:r>
            <w:r w:rsidR="008A0BC6">
              <w:rPr>
                <w:rFonts w:ascii="Times New Roman" w:eastAsia="Times New Roman" w:hAnsi="Times New Roman" w:cs="Times New Roman"/>
                <w:sz w:val="20"/>
                <w:szCs w:val="20"/>
                <w:lang w:eastAsia="en-ZA"/>
              </w:rPr>
              <w:t>De Moor</w:t>
            </w:r>
            <w:r w:rsidRPr="00222D02">
              <w:rPr>
                <w:rFonts w:ascii="Times New Roman" w:eastAsia="Times New Roman" w:hAnsi="Times New Roman" w:cs="Times New Roman"/>
                <w:sz w:val="20"/>
                <w:szCs w:val="20"/>
                <w:lang w:eastAsia="en-ZA"/>
              </w:rPr>
              <w:t xml:space="preserve"> 2002; Madzivanzira et al. 2021, 2022). Crayfish species in general are known hosts of parasites such as commensal worms (</w:t>
            </w:r>
            <w:r w:rsidRPr="00222D02">
              <w:rPr>
                <w:rFonts w:ascii="Times New Roman" w:hAnsi="Times New Roman" w:cs="Times New Roman"/>
                <w:i/>
                <w:iCs/>
                <w:sz w:val="20"/>
                <w:szCs w:val="20"/>
              </w:rPr>
              <w:t>temnocephalidans</w:t>
            </w:r>
            <w:r w:rsidRPr="00222D02">
              <w:rPr>
                <w:rFonts w:ascii="Times New Roman" w:eastAsia="Times New Roman" w:hAnsi="Times New Roman" w:cs="Times New Roman"/>
                <w:sz w:val="20"/>
                <w:szCs w:val="20"/>
                <w:lang w:eastAsia="en-ZA"/>
              </w:rPr>
              <w:t xml:space="preserve"> species) (Tavakol et al. 2016). These parasites can be harmful when transferred to </w:t>
            </w:r>
            <w:r w:rsidRPr="00222D02">
              <w:rPr>
                <w:rFonts w:ascii="Times New Roman" w:eastAsia="Times New Roman" w:hAnsi="Times New Roman" w:cs="Times New Roman"/>
                <w:sz w:val="20"/>
                <w:szCs w:val="20"/>
                <w:lang w:eastAsia="en-ZA"/>
              </w:rPr>
              <w:lastRenderedPageBreak/>
              <w:t xml:space="preserve">native decapods such as crabs and shrimp resulting in decline of populations or affect their overall performance. </w:t>
            </w:r>
            <w:r w:rsidRPr="00222D02">
              <w:rPr>
                <w:rFonts w:ascii="Times New Roman" w:hAnsi="Times New Roman" w:cs="Times New Roman"/>
                <w:i/>
                <w:iCs/>
                <w:sz w:val="20"/>
                <w:szCs w:val="20"/>
              </w:rPr>
              <w:t xml:space="preserve">Cherax </w:t>
            </w:r>
            <w:r w:rsidRPr="00222D02">
              <w:rPr>
                <w:rFonts w:ascii="Times New Roman" w:eastAsia="Times New Roman" w:hAnsi="Times New Roman" w:cs="Times New Roman"/>
                <w:i/>
                <w:iCs/>
                <w:sz w:val="20"/>
                <w:szCs w:val="20"/>
                <w:lang w:eastAsia="en-ZA"/>
              </w:rPr>
              <w:t xml:space="preserve">quadricarinatus </w:t>
            </w:r>
            <w:r w:rsidRPr="00222D02">
              <w:rPr>
                <w:rFonts w:ascii="Times New Roman" w:eastAsia="Times New Roman" w:hAnsi="Times New Roman" w:cs="Times New Roman"/>
                <w:sz w:val="20"/>
                <w:szCs w:val="20"/>
                <w:lang w:eastAsia="en-ZA"/>
              </w:rPr>
              <w:t xml:space="preserve">is a </w:t>
            </w:r>
            <w:r w:rsidRPr="00222D02">
              <w:rPr>
                <w:rFonts w:ascii="Times New Roman" w:hAnsi="Times New Roman" w:cs="Times New Roman"/>
                <w:sz w:val="20"/>
                <w:szCs w:val="20"/>
              </w:rPr>
              <w:t>possible vector of parasites and diseases as it known to harbour recognised pathogens such protozoans, bacteria and viruses (e.g., Edgerton et al. 2002; du Preez &amp; Smit 2013; Saoud &amp; Ghanawi 2013).</w:t>
            </w:r>
          </w:p>
        </w:tc>
      </w:tr>
      <w:tr w:rsidR="002D7080" w:rsidRPr="00222D02" w14:paraId="5FA35EA9" w14:textId="77777777" w:rsidTr="002E2C37">
        <w:trPr>
          <w:trHeight w:val="70"/>
        </w:trPr>
        <w:tc>
          <w:tcPr>
            <w:tcW w:w="9016" w:type="dxa"/>
            <w:gridSpan w:val="2"/>
          </w:tcPr>
          <w:p w14:paraId="59839C72" w14:textId="77777777" w:rsidR="002D7080" w:rsidRPr="00222D02" w:rsidRDefault="002D7080" w:rsidP="00B904C1">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lastRenderedPageBreak/>
              <w:t>References:</w:t>
            </w:r>
          </w:p>
          <w:p w14:paraId="29159E8D" w14:textId="14C0ECD4" w:rsidR="002D7080" w:rsidRPr="00222D02" w:rsidRDefault="006A136F" w:rsidP="00B904C1">
            <w:pPr>
              <w:ind w:left="720" w:hanging="720"/>
              <w:contextualSpacing/>
              <w:jc w:val="both"/>
              <w:rPr>
                <w:rFonts w:ascii="Times New Roman" w:hAnsi="Times New Roman" w:cs="Times New Roman"/>
                <w:sz w:val="20"/>
                <w:szCs w:val="20"/>
              </w:rPr>
            </w:pPr>
            <w:r w:rsidRPr="006A136F">
              <w:rPr>
                <w:rFonts w:ascii="Times New Roman" w:hAnsi="Times New Roman" w:cs="Times New Roman"/>
                <w:sz w:val="20"/>
                <w:szCs w:val="20"/>
              </w:rPr>
              <w:t>Ahyong, S.T. &amp; Yeo, D.C.J., 2007, ‘Feral populations of the Australian redclaw crayfish (</w:t>
            </w:r>
            <w:r w:rsidRPr="006A136F">
              <w:rPr>
                <w:rFonts w:ascii="Times New Roman" w:hAnsi="Times New Roman" w:cs="Times New Roman"/>
                <w:i/>
                <w:sz w:val="20"/>
                <w:szCs w:val="20"/>
              </w:rPr>
              <w:t>Cherax</w:t>
            </w:r>
            <w:r w:rsidRPr="006A136F">
              <w:rPr>
                <w:rFonts w:ascii="Times New Roman" w:hAnsi="Times New Roman" w:cs="Times New Roman"/>
                <w:sz w:val="20"/>
                <w:szCs w:val="20"/>
              </w:rPr>
              <w:t xml:space="preserve"> </w:t>
            </w:r>
            <w:r w:rsidRPr="006A136F">
              <w:rPr>
                <w:rFonts w:ascii="Times New Roman" w:hAnsi="Times New Roman" w:cs="Times New Roman"/>
                <w:i/>
                <w:sz w:val="20"/>
                <w:szCs w:val="20"/>
              </w:rPr>
              <w:t>quadricarinatus</w:t>
            </w:r>
            <w:r w:rsidRPr="006A136F">
              <w:rPr>
                <w:rFonts w:ascii="Times New Roman" w:hAnsi="Times New Roman" w:cs="Times New Roman"/>
                <w:sz w:val="20"/>
                <w:szCs w:val="20"/>
              </w:rPr>
              <w:t xml:space="preserve"> von Martens) in water supply catchments of Singapore’, </w:t>
            </w:r>
            <w:r w:rsidRPr="006A136F">
              <w:rPr>
                <w:rFonts w:ascii="Times New Roman" w:hAnsi="Times New Roman" w:cs="Times New Roman"/>
                <w:i/>
                <w:sz w:val="20"/>
                <w:szCs w:val="20"/>
              </w:rPr>
              <w:t>Biological Invasions</w:t>
            </w:r>
            <w:r w:rsidRPr="006A136F">
              <w:rPr>
                <w:rFonts w:ascii="Times New Roman" w:hAnsi="Times New Roman" w:cs="Times New Roman"/>
                <w:sz w:val="20"/>
                <w:szCs w:val="20"/>
              </w:rPr>
              <w:t xml:space="preserve"> </w:t>
            </w:r>
            <w:r w:rsidRPr="006A136F">
              <w:rPr>
                <w:rFonts w:ascii="Times New Roman" w:hAnsi="Times New Roman" w:cs="Times New Roman"/>
                <w:bCs/>
                <w:sz w:val="20"/>
                <w:szCs w:val="20"/>
              </w:rPr>
              <w:t>9, 943-946,</w:t>
            </w:r>
            <w:r w:rsidRPr="006A136F">
              <w:rPr>
                <w:rFonts w:ascii="Times New Roman" w:hAnsi="Times New Roman" w:cs="Times New Roman"/>
                <w:sz w:val="20"/>
                <w:szCs w:val="20"/>
              </w:rPr>
              <w:t xml:space="preserve"> </w:t>
            </w:r>
            <w:r w:rsidRPr="006A136F">
              <w:rPr>
                <w:rFonts w:ascii="Times New Roman" w:hAnsi="Times New Roman" w:cs="Times New Roman"/>
                <w:bCs/>
                <w:sz w:val="20"/>
                <w:szCs w:val="20"/>
              </w:rPr>
              <w:t>https://doi.org/10.1007/s10530-007-9094-0</w:t>
            </w:r>
            <w:r w:rsidR="002D7080" w:rsidRPr="00222D02">
              <w:rPr>
                <w:rFonts w:ascii="Times New Roman" w:hAnsi="Times New Roman" w:cs="Times New Roman"/>
                <w:sz w:val="20"/>
                <w:szCs w:val="20"/>
              </w:rPr>
              <w:t>.</w:t>
            </w:r>
          </w:p>
          <w:p w14:paraId="3D705898" w14:textId="61256ADB" w:rsidR="002D7080" w:rsidRPr="00222D02" w:rsidRDefault="002D7080" w:rsidP="00B904C1">
            <w:pPr>
              <w:ind w:left="720" w:hanging="720"/>
              <w:contextualSpacing/>
              <w:jc w:val="both"/>
              <w:rPr>
                <w:rFonts w:ascii="Times New Roman" w:hAnsi="Times New Roman" w:cs="Times New Roman"/>
                <w:sz w:val="20"/>
                <w:szCs w:val="20"/>
              </w:rPr>
            </w:pPr>
            <w:r w:rsidRPr="00222D02">
              <w:rPr>
                <w:rFonts w:ascii="Times New Roman" w:hAnsi="Times New Roman" w:cs="Times New Roman"/>
                <w:sz w:val="20"/>
                <w:szCs w:val="20"/>
              </w:rPr>
              <w:t xml:space="preserve">Bortolini, J.L., Alvarez, F. &amp; Rodríguez-Almaraz, G., 2007, ‘On the presence of the Australian redclaw crayfish </w:t>
            </w:r>
            <w:r w:rsidRPr="00222D02">
              <w:rPr>
                <w:rFonts w:ascii="Times New Roman" w:hAnsi="Times New Roman" w:cs="Times New Roman"/>
                <w:i/>
                <w:sz w:val="20"/>
                <w:szCs w:val="20"/>
              </w:rPr>
              <w:t>Cherax quadricarinatus</w:t>
            </w:r>
            <w:r w:rsidRPr="00222D02">
              <w:rPr>
                <w:rFonts w:ascii="Times New Roman" w:hAnsi="Times New Roman" w:cs="Times New Roman"/>
                <w:sz w:val="20"/>
                <w:szCs w:val="20"/>
              </w:rPr>
              <w:t xml:space="preserve"> in Mexico,, </w:t>
            </w:r>
            <w:r w:rsidRPr="00222D02">
              <w:rPr>
                <w:rFonts w:ascii="Times New Roman" w:hAnsi="Times New Roman" w:cs="Times New Roman"/>
                <w:i/>
                <w:sz w:val="20"/>
                <w:szCs w:val="20"/>
              </w:rPr>
              <w:t xml:space="preserve">Biological Invasions </w:t>
            </w:r>
            <w:r w:rsidRPr="00222D02">
              <w:rPr>
                <w:rFonts w:ascii="Times New Roman" w:hAnsi="Times New Roman" w:cs="Times New Roman"/>
                <w:bCs/>
                <w:sz w:val="20"/>
                <w:szCs w:val="20"/>
              </w:rPr>
              <w:t>9,</w:t>
            </w:r>
            <w:r w:rsidRPr="00222D02">
              <w:rPr>
                <w:rFonts w:ascii="Times New Roman" w:hAnsi="Times New Roman" w:cs="Times New Roman"/>
                <w:sz w:val="20"/>
                <w:szCs w:val="20"/>
              </w:rPr>
              <w:t xml:space="preserve"> 615-620. </w:t>
            </w:r>
            <w:r w:rsidR="006A136F" w:rsidRPr="006A136F">
              <w:rPr>
                <w:rFonts w:ascii="Times New Roman" w:hAnsi="Times New Roman" w:cs="Times New Roman"/>
                <w:sz w:val="20"/>
                <w:szCs w:val="20"/>
              </w:rPr>
              <w:t>https://doi.org/10.1007/s10530-006-9054-0</w:t>
            </w:r>
            <w:r w:rsidRPr="00222D02">
              <w:rPr>
                <w:rFonts w:ascii="Times New Roman" w:hAnsi="Times New Roman" w:cs="Times New Roman"/>
                <w:sz w:val="20"/>
                <w:szCs w:val="20"/>
              </w:rPr>
              <w:t>.</w:t>
            </w:r>
          </w:p>
          <w:p w14:paraId="1A03A31A" w14:textId="05351820" w:rsidR="002D7080" w:rsidRPr="00222D02" w:rsidRDefault="008A0BC6" w:rsidP="00B904C1">
            <w:pPr>
              <w:ind w:left="720" w:hanging="720"/>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De Moor</w:t>
            </w:r>
            <w:r w:rsidR="002D7080" w:rsidRPr="00222D02">
              <w:rPr>
                <w:rFonts w:ascii="Times New Roman" w:eastAsia="Times New Roman" w:hAnsi="Times New Roman" w:cs="Times New Roman"/>
                <w:sz w:val="20"/>
                <w:szCs w:val="20"/>
                <w:lang w:eastAsia="en-ZA"/>
              </w:rPr>
              <w:t xml:space="preserve">, I., 2002, ‘Potential impacts of alien freshwater crayfish in South Africa’, African </w:t>
            </w:r>
            <w:r w:rsidR="002D7080" w:rsidRPr="00222D02">
              <w:rPr>
                <w:rFonts w:ascii="Times New Roman" w:eastAsia="Times New Roman" w:hAnsi="Times New Roman" w:cs="Times New Roman"/>
                <w:i/>
                <w:sz w:val="20"/>
                <w:szCs w:val="20"/>
                <w:lang w:eastAsia="en-ZA"/>
              </w:rPr>
              <w:t xml:space="preserve">Journal of Aquatic Science </w:t>
            </w:r>
            <w:r w:rsidR="002D7080" w:rsidRPr="00222D02">
              <w:rPr>
                <w:rFonts w:ascii="Times New Roman" w:eastAsia="Times New Roman" w:hAnsi="Times New Roman" w:cs="Times New Roman"/>
                <w:sz w:val="20"/>
                <w:szCs w:val="20"/>
                <w:lang w:eastAsia="en-ZA"/>
              </w:rPr>
              <w:t xml:space="preserve">27, 125–139. </w:t>
            </w:r>
            <w:hyperlink r:id="rId167" w:history="1">
              <w:r w:rsidR="00716A79" w:rsidRPr="00D66918">
                <w:rPr>
                  <w:rStyle w:val="Hyperlink"/>
                  <w:rFonts w:ascii="Times New Roman" w:eastAsia="Times New Roman" w:hAnsi="Times New Roman" w:cs="Times New Roman"/>
                  <w:sz w:val="20"/>
                  <w:szCs w:val="20"/>
                  <w:lang w:eastAsia="en-ZA"/>
                </w:rPr>
                <w:t>https://doi.org/10.2989/16085914.2002.9626584</w:t>
              </w:r>
            </w:hyperlink>
          </w:p>
          <w:p w14:paraId="1894D4CB" w14:textId="0BA4D570" w:rsidR="002D7080" w:rsidRPr="00222D02" w:rsidRDefault="002D7080" w:rsidP="00B904C1">
            <w:pPr>
              <w:ind w:left="720" w:hanging="720"/>
              <w:contextualSpacing/>
              <w:jc w:val="both"/>
              <w:rPr>
                <w:rFonts w:ascii="Times New Roman" w:hAnsi="Times New Roman" w:cs="Times New Roman"/>
                <w:sz w:val="20"/>
                <w:szCs w:val="20"/>
              </w:rPr>
            </w:pPr>
            <w:r w:rsidRPr="00222D02">
              <w:rPr>
                <w:rFonts w:ascii="Times New Roman" w:hAnsi="Times New Roman" w:cs="Times New Roman"/>
                <w:sz w:val="20"/>
                <w:szCs w:val="20"/>
              </w:rPr>
              <w:t xml:space="preserve">Douthwaite, R., Jones, E., Tyser, A. &amp; Vrdoljak, S., 2018, ‘The introduction, spread and ecology of redclaw crayfish </w:t>
            </w:r>
            <w:r w:rsidRPr="00222D02">
              <w:rPr>
                <w:rFonts w:ascii="Times New Roman" w:hAnsi="Times New Roman" w:cs="Times New Roman"/>
                <w:i/>
                <w:iCs/>
                <w:sz w:val="20"/>
                <w:szCs w:val="20"/>
              </w:rPr>
              <w:t>Cherax quadricarinatus</w:t>
            </w:r>
            <w:r w:rsidRPr="00222D02">
              <w:rPr>
                <w:rFonts w:ascii="Times New Roman" w:hAnsi="Times New Roman" w:cs="Times New Roman"/>
                <w:sz w:val="20"/>
                <w:szCs w:val="20"/>
              </w:rPr>
              <w:t xml:space="preserve"> in the Zambezi catchment’, </w:t>
            </w:r>
            <w:r w:rsidRPr="00222D02">
              <w:rPr>
                <w:rFonts w:ascii="Times New Roman" w:hAnsi="Times New Roman" w:cs="Times New Roman"/>
                <w:i/>
                <w:iCs/>
                <w:sz w:val="20"/>
                <w:szCs w:val="20"/>
              </w:rPr>
              <w:t>African Journal of Aquatic Science</w:t>
            </w:r>
            <w:r w:rsidRPr="00222D02">
              <w:rPr>
                <w:rFonts w:ascii="Times New Roman" w:hAnsi="Times New Roman" w:cs="Times New Roman"/>
                <w:sz w:val="20"/>
                <w:szCs w:val="20"/>
              </w:rPr>
              <w:t xml:space="preserve"> 43, 353–366. </w:t>
            </w:r>
            <w:r w:rsidR="006A136F" w:rsidRPr="006A136F">
              <w:rPr>
                <w:rFonts w:ascii="Times New Roman" w:hAnsi="Times New Roman" w:cs="Times New Roman"/>
                <w:sz w:val="20"/>
                <w:szCs w:val="20"/>
              </w:rPr>
              <w:t>https://doi.org/10.2989/16085914.2018.1517080</w:t>
            </w:r>
            <w:r w:rsidRPr="00222D02">
              <w:rPr>
                <w:rFonts w:ascii="Times New Roman" w:hAnsi="Times New Roman" w:cs="Times New Roman"/>
                <w:sz w:val="20"/>
                <w:szCs w:val="20"/>
              </w:rPr>
              <w:t>.</w:t>
            </w:r>
          </w:p>
          <w:p w14:paraId="20B43A01" w14:textId="63955370" w:rsidR="002D7080" w:rsidRPr="00222D02" w:rsidRDefault="002D7080" w:rsidP="00B904C1">
            <w:pPr>
              <w:ind w:left="720" w:hanging="720"/>
              <w:contextualSpacing/>
              <w:jc w:val="both"/>
              <w:rPr>
                <w:rFonts w:ascii="Times New Roman" w:eastAsia="Aptos" w:hAnsi="Times New Roman" w:cs="Times New Roman"/>
                <w:kern w:val="2"/>
                <w:sz w:val="20"/>
                <w:szCs w:val="20"/>
              </w:rPr>
            </w:pPr>
            <w:r w:rsidRPr="00222D02">
              <w:rPr>
                <w:rFonts w:ascii="Times New Roman" w:eastAsia="Aptos" w:hAnsi="Times New Roman" w:cs="Times New Roman"/>
                <w:kern w:val="2"/>
                <w:sz w:val="20"/>
                <w:szCs w:val="20"/>
              </w:rPr>
              <w:t>Du Preez, L. &amp; Smit, N., 2013, ‘Double blow: Alien crayfish infected with invasive temnocephalan in South Africa waters’,</w:t>
            </w:r>
            <w:r w:rsidRPr="00222D02">
              <w:rPr>
                <w:rFonts w:ascii="Times New Roman" w:eastAsia="Aptos" w:hAnsi="Times New Roman" w:cs="Times New Roman"/>
                <w:i/>
                <w:iCs/>
                <w:kern w:val="2"/>
                <w:sz w:val="20"/>
                <w:szCs w:val="20"/>
              </w:rPr>
              <w:t xml:space="preserve"> African Journal of Science</w:t>
            </w:r>
            <w:r w:rsidRPr="00222D02">
              <w:rPr>
                <w:rFonts w:ascii="Times New Roman" w:eastAsia="Aptos" w:hAnsi="Times New Roman" w:cs="Times New Roman"/>
                <w:kern w:val="2"/>
                <w:sz w:val="20"/>
                <w:szCs w:val="20"/>
              </w:rPr>
              <w:t xml:space="preserve"> 109, 1-4</w:t>
            </w:r>
            <w:r w:rsidR="006A136F">
              <w:t xml:space="preserve"> </w:t>
            </w:r>
            <w:r w:rsidR="006A136F" w:rsidRPr="006A136F">
              <w:rPr>
                <w:rFonts w:ascii="Times New Roman" w:eastAsia="Aptos" w:hAnsi="Times New Roman" w:cs="Times New Roman"/>
                <w:kern w:val="2"/>
                <w:sz w:val="20"/>
                <w:szCs w:val="20"/>
              </w:rPr>
              <w:t>https://hdl.handle.net/10520/EJC142057</w:t>
            </w:r>
            <w:r w:rsidRPr="00222D02">
              <w:rPr>
                <w:rFonts w:ascii="Times New Roman" w:eastAsia="Aptos" w:hAnsi="Times New Roman" w:cs="Times New Roman"/>
                <w:kern w:val="2"/>
                <w:sz w:val="20"/>
                <w:szCs w:val="20"/>
              </w:rPr>
              <w:t>.</w:t>
            </w:r>
          </w:p>
          <w:p w14:paraId="31BFFB78" w14:textId="4A9ED0AE" w:rsidR="006A136F" w:rsidRDefault="002D7080" w:rsidP="00B904C1">
            <w:pPr>
              <w:ind w:left="720" w:hanging="720"/>
              <w:contextualSpacing/>
              <w:jc w:val="both"/>
              <w:rPr>
                <w:rFonts w:ascii="Times New Roman" w:eastAsia="Aptos" w:hAnsi="Times New Roman" w:cs="Times New Roman"/>
                <w:kern w:val="2"/>
                <w:sz w:val="20"/>
                <w:szCs w:val="20"/>
              </w:rPr>
            </w:pPr>
            <w:r w:rsidRPr="00222D02">
              <w:rPr>
                <w:rFonts w:ascii="Times New Roman" w:eastAsia="Aptos" w:hAnsi="Times New Roman" w:cs="Times New Roman"/>
                <w:kern w:val="2"/>
                <w:sz w:val="20"/>
                <w:szCs w:val="20"/>
              </w:rPr>
              <w:t xml:space="preserve">Edgerton, B.F., Evans, L.H., Stephens, F.J. &amp; Overstreet, R.M., 2002, ‘Synopsis of freshwater crayfish diseases and commensal organisms’, </w:t>
            </w:r>
            <w:r w:rsidRPr="00222D02">
              <w:rPr>
                <w:rFonts w:ascii="Times New Roman" w:eastAsia="Aptos" w:hAnsi="Times New Roman" w:cs="Times New Roman"/>
                <w:i/>
                <w:iCs/>
                <w:kern w:val="2"/>
                <w:sz w:val="20"/>
                <w:szCs w:val="20"/>
              </w:rPr>
              <w:t>Aquaculture</w:t>
            </w:r>
            <w:r w:rsidRPr="00222D02">
              <w:rPr>
                <w:rFonts w:ascii="Times New Roman" w:eastAsia="Aptos" w:hAnsi="Times New Roman" w:cs="Times New Roman"/>
                <w:kern w:val="2"/>
                <w:sz w:val="20"/>
                <w:szCs w:val="20"/>
              </w:rPr>
              <w:t xml:space="preserve"> 206, 57–135. </w:t>
            </w:r>
            <w:hyperlink r:id="rId168" w:history="1">
              <w:r w:rsidR="006A136F" w:rsidRPr="00762D39">
                <w:rPr>
                  <w:rStyle w:val="Hyperlink"/>
                  <w:rFonts w:ascii="Times New Roman" w:eastAsia="Aptos" w:hAnsi="Times New Roman" w:cs="Times New Roman"/>
                  <w:kern w:val="2"/>
                  <w:sz w:val="20"/>
                  <w:szCs w:val="20"/>
                </w:rPr>
                <w:t>https://doi.org/10.1016/S0044-8486(01)00865-1</w:t>
              </w:r>
            </w:hyperlink>
            <w:r w:rsidR="006A136F">
              <w:rPr>
                <w:rFonts w:ascii="Times New Roman" w:eastAsia="Aptos" w:hAnsi="Times New Roman" w:cs="Times New Roman"/>
                <w:kern w:val="2"/>
                <w:sz w:val="20"/>
                <w:szCs w:val="20"/>
              </w:rPr>
              <w:t>.</w:t>
            </w:r>
          </w:p>
          <w:p w14:paraId="596A0863" w14:textId="39BA0E36" w:rsidR="002D7080" w:rsidRPr="00222D02" w:rsidRDefault="002D7080" w:rsidP="00B904C1">
            <w:pPr>
              <w:ind w:left="720" w:hanging="720"/>
              <w:contextualSpacing/>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Haubrock, P.J., Oficialdegui, F.J., Zeng, Y., Patoka, J., Yeo, D.C.J. &amp; Kouba, A. 2021, ‘The redclaw crayfish: A prominent aquaculture species with invasive potential in tropical and subtropical biodiversity hotspots’, </w:t>
            </w:r>
            <w:r w:rsidRPr="00222D02">
              <w:rPr>
                <w:rStyle w:val="cf01"/>
                <w:rFonts w:ascii="Times New Roman" w:hAnsi="Times New Roman" w:cs="Times New Roman"/>
                <w:i/>
                <w:iCs/>
                <w:sz w:val="20"/>
                <w:szCs w:val="20"/>
              </w:rPr>
              <w:t xml:space="preserve">Reviews in Aquaculture </w:t>
            </w:r>
            <w:r w:rsidRPr="00222D02">
              <w:rPr>
                <w:rStyle w:val="cf01"/>
                <w:rFonts w:ascii="Times New Roman" w:hAnsi="Times New Roman" w:cs="Times New Roman"/>
                <w:sz w:val="20"/>
                <w:szCs w:val="20"/>
              </w:rPr>
              <w:t>13, 1488-1530. https://doi.org/10.1111/raq.12531.</w:t>
            </w:r>
          </w:p>
          <w:p w14:paraId="53D0B15B" w14:textId="77777777" w:rsidR="002D7080" w:rsidRPr="00222D02" w:rsidRDefault="002D7080" w:rsidP="00B904C1">
            <w:pPr>
              <w:ind w:left="720" w:hanging="720"/>
              <w:contextualSpacing/>
              <w:jc w:val="both"/>
              <w:rPr>
                <w:rFonts w:ascii="Times New Roman" w:eastAsia="Times New Roman" w:hAnsi="Times New Roman" w:cs="Times New Roman"/>
                <w:sz w:val="20"/>
                <w:szCs w:val="20"/>
                <w:lang w:eastAsia="en-ZA"/>
              </w:rPr>
            </w:pPr>
            <w:r w:rsidRPr="00222D02">
              <w:rPr>
                <w:rFonts w:ascii="Times New Roman" w:hAnsi="Times New Roman" w:cs="Times New Roman"/>
                <w:sz w:val="20"/>
                <w:szCs w:val="20"/>
              </w:rPr>
              <w:t xml:space="preserve">Lynas, J., Storey, A. &amp; Knott, B., 2007, ‘Introduction and spread of crayfish (Parastacidae) in Western Australia and their potential to displace indigenous species’, In: Gherardi F (ed.) </w:t>
            </w:r>
            <w:r w:rsidRPr="00222D02">
              <w:rPr>
                <w:rFonts w:ascii="Times New Roman" w:hAnsi="Times New Roman" w:cs="Times New Roman"/>
                <w:i/>
                <w:iCs/>
                <w:sz w:val="20"/>
                <w:szCs w:val="20"/>
              </w:rPr>
              <w:t>Biological invaders in inland waters: profiles, distribution and threats</w:t>
            </w:r>
            <w:r w:rsidRPr="00222D02">
              <w:rPr>
                <w:rFonts w:ascii="Times New Roman" w:hAnsi="Times New Roman" w:cs="Times New Roman"/>
                <w:sz w:val="20"/>
                <w:szCs w:val="20"/>
              </w:rPr>
              <w:t xml:space="preserve">, pp. 577-596, Springer, Dordrecht, Netherlands. </w:t>
            </w:r>
          </w:p>
          <w:p w14:paraId="0830BF69" w14:textId="09F343CA" w:rsidR="002D7080" w:rsidRPr="00222D02" w:rsidRDefault="002D7080" w:rsidP="00B904C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Madzivanzira, T.C., South, J. &amp; Weyl, O.L.F., 2021, ‘Invasive crayfish outperform Potamonautid crabs at higher temperatures’, </w:t>
            </w:r>
            <w:r w:rsidRPr="00222D02">
              <w:rPr>
                <w:rFonts w:ascii="Times New Roman" w:eastAsia="Times New Roman" w:hAnsi="Times New Roman" w:cs="Times New Roman"/>
                <w:i/>
                <w:iCs/>
                <w:sz w:val="20"/>
                <w:szCs w:val="20"/>
                <w:lang w:eastAsia="en-ZA"/>
              </w:rPr>
              <w:t>Freshwater Biology</w:t>
            </w:r>
            <w:r w:rsidRPr="00222D02">
              <w:rPr>
                <w:rFonts w:ascii="Times New Roman" w:eastAsia="Times New Roman" w:hAnsi="Times New Roman" w:cs="Times New Roman"/>
                <w:sz w:val="20"/>
                <w:szCs w:val="20"/>
                <w:lang w:eastAsia="en-ZA"/>
              </w:rPr>
              <w:t xml:space="preserve"> 66(5), 978–991. </w:t>
            </w:r>
            <w:r w:rsidR="006A136F" w:rsidRPr="006A136F">
              <w:rPr>
                <w:rFonts w:ascii="Times New Roman" w:eastAsia="Times New Roman" w:hAnsi="Times New Roman" w:cs="Times New Roman"/>
                <w:sz w:val="20"/>
                <w:szCs w:val="20"/>
                <w:lang w:eastAsia="en-ZA"/>
              </w:rPr>
              <w:t>https://doi.org/10.1111/fwb.13691</w:t>
            </w:r>
            <w:r w:rsidRPr="00222D02">
              <w:rPr>
                <w:rFonts w:ascii="Times New Roman" w:eastAsia="Times New Roman" w:hAnsi="Times New Roman" w:cs="Times New Roman"/>
                <w:sz w:val="20"/>
                <w:szCs w:val="20"/>
                <w:lang w:eastAsia="en-ZA"/>
              </w:rPr>
              <w:t>.</w:t>
            </w:r>
          </w:p>
          <w:p w14:paraId="512BE055" w14:textId="62873C30" w:rsidR="002D7080" w:rsidRPr="00222D02" w:rsidRDefault="002D7080" w:rsidP="00B904C1">
            <w:pPr>
              <w:spacing w:line="259" w:lineRule="auto"/>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Madzivanzira, T.C., Weyl, O.L.F. &amp; South, J.</w:t>
            </w:r>
            <w:r w:rsidR="0096133C">
              <w:rPr>
                <w:rFonts w:ascii="Times New Roman" w:eastAsia="Times New Roman" w:hAnsi="Times New Roman" w:cs="Times New Roman"/>
                <w:sz w:val="20"/>
                <w:szCs w:val="20"/>
                <w:lang w:eastAsia="en-ZA"/>
              </w:rPr>
              <w:t xml:space="preserve">, </w:t>
            </w:r>
            <w:r w:rsidRPr="00222D02">
              <w:rPr>
                <w:rFonts w:ascii="Times New Roman" w:eastAsia="Times New Roman" w:hAnsi="Times New Roman" w:cs="Times New Roman"/>
                <w:sz w:val="20"/>
                <w:szCs w:val="20"/>
                <w:lang w:eastAsia="en-ZA"/>
              </w:rPr>
              <w:t xml:space="preserve">2022, ‘Ecological and potential socioeconomic impacts of two globally invasive crayfish’, </w:t>
            </w:r>
            <w:r w:rsidRPr="00222D02">
              <w:rPr>
                <w:rFonts w:ascii="Times New Roman" w:eastAsia="Times New Roman" w:hAnsi="Times New Roman" w:cs="Times New Roman"/>
                <w:i/>
                <w:iCs/>
                <w:sz w:val="20"/>
                <w:szCs w:val="20"/>
                <w:lang w:eastAsia="en-ZA"/>
              </w:rPr>
              <w:t>NeoBiota</w:t>
            </w:r>
            <w:r w:rsidRPr="00222D02">
              <w:rPr>
                <w:rFonts w:ascii="Times New Roman" w:eastAsia="Times New Roman" w:hAnsi="Times New Roman" w:cs="Times New Roman"/>
                <w:sz w:val="20"/>
                <w:szCs w:val="20"/>
                <w:lang w:eastAsia="en-ZA"/>
              </w:rPr>
              <w:t xml:space="preserve"> 72, 25–43. https://doi.org/10.3897/neobiota.72.71868</w:t>
            </w:r>
          </w:p>
          <w:p w14:paraId="1B49F7C5" w14:textId="675E94A0" w:rsidR="002D7080" w:rsidRPr="00222D02" w:rsidRDefault="002D7080" w:rsidP="00B904C1">
            <w:pPr>
              <w:ind w:left="720" w:hanging="720"/>
              <w:contextualSpacing/>
              <w:jc w:val="both"/>
              <w:rPr>
                <w:rFonts w:ascii="Times New Roman" w:hAnsi="Times New Roman" w:cs="Times New Roman"/>
                <w:sz w:val="20"/>
                <w:szCs w:val="20"/>
              </w:rPr>
            </w:pPr>
            <w:r w:rsidRPr="00222D02">
              <w:rPr>
                <w:rFonts w:ascii="Times New Roman" w:hAnsi="Times New Roman" w:cs="Times New Roman"/>
                <w:sz w:val="20"/>
                <w:szCs w:val="20"/>
              </w:rPr>
              <w:t xml:space="preserve">Marufu, L.T., Dalu, T., Phiri, C., Barson, M., Simango, R., Utete, B. et al., 2018, ‘The diet of an invasive crayfish, </w:t>
            </w:r>
            <w:r w:rsidRPr="00222D02">
              <w:rPr>
                <w:rFonts w:ascii="Times New Roman" w:hAnsi="Times New Roman" w:cs="Times New Roman"/>
                <w:i/>
                <w:iCs/>
                <w:sz w:val="20"/>
                <w:szCs w:val="20"/>
              </w:rPr>
              <w:t>Cherax quadricarinatus</w:t>
            </w:r>
            <w:r w:rsidRPr="00222D02">
              <w:rPr>
                <w:rFonts w:ascii="Times New Roman" w:hAnsi="Times New Roman" w:cs="Times New Roman"/>
                <w:sz w:val="20"/>
                <w:szCs w:val="20"/>
              </w:rPr>
              <w:t xml:space="preserve"> (Von Martens, 1868), in Lake Kariba, inferred using stomach content and stable isotope analyses’, </w:t>
            </w:r>
            <w:r w:rsidRPr="00222D02">
              <w:rPr>
                <w:rFonts w:ascii="Times New Roman" w:hAnsi="Times New Roman" w:cs="Times New Roman"/>
                <w:i/>
                <w:iCs/>
                <w:sz w:val="20"/>
                <w:szCs w:val="20"/>
              </w:rPr>
              <w:t>BioInvasions Records</w:t>
            </w:r>
            <w:r w:rsidRPr="00222D02">
              <w:rPr>
                <w:rFonts w:ascii="Times New Roman" w:hAnsi="Times New Roman" w:cs="Times New Roman"/>
                <w:sz w:val="20"/>
                <w:szCs w:val="20"/>
              </w:rPr>
              <w:t xml:space="preserve"> 7, 121–132. </w:t>
            </w:r>
            <w:r w:rsidR="006A136F" w:rsidRPr="006A136F">
              <w:rPr>
                <w:rFonts w:ascii="Times New Roman" w:hAnsi="Times New Roman" w:cs="Times New Roman"/>
                <w:sz w:val="20"/>
                <w:szCs w:val="20"/>
              </w:rPr>
              <w:t>https://doi.org/10.3391/bir.2018.7.2.03</w:t>
            </w:r>
            <w:r w:rsidRPr="00222D02">
              <w:rPr>
                <w:rFonts w:ascii="Times New Roman" w:hAnsi="Times New Roman" w:cs="Times New Roman"/>
                <w:sz w:val="20"/>
                <w:szCs w:val="20"/>
              </w:rPr>
              <w:t>.</w:t>
            </w:r>
          </w:p>
          <w:p w14:paraId="7FB300B4" w14:textId="1D707CC3" w:rsidR="002D7080" w:rsidRPr="00222D02" w:rsidRDefault="002D7080" w:rsidP="00B904C1">
            <w:pPr>
              <w:spacing w:line="259" w:lineRule="auto"/>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xml:space="preserve">, in South Africa and Swaziland’, </w:t>
            </w:r>
            <w:r w:rsidRPr="00222D02">
              <w:rPr>
                <w:rFonts w:ascii="Times New Roman" w:eastAsia="Times New Roman" w:hAnsi="Times New Roman" w:cs="Times New Roman"/>
                <w:i/>
                <w:iCs/>
                <w:sz w:val="20"/>
                <w:szCs w:val="20"/>
                <w:lang w:eastAsia="en-ZA"/>
              </w:rPr>
              <w:t xml:space="preserve">PeerJ </w:t>
            </w:r>
            <w:r w:rsidRPr="00222D02">
              <w:rPr>
                <w:rFonts w:ascii="Times New Roman" w:eastAsia="Times New Roman" w:hAnsi="Times New Roman" w:cs="Times New Roman"/>
                <w:iCs/>
                <w:sz w:val="20"/>
                <w:szCs w:val="20"/>
                <w:lang w:eastAsia="en-ZA"/>
              </w:rPr>
              <w:t>5</w:t>
            </w:r>
            <w:r w:rsidRPr="00222D02">
              <w:rPr>
                <w:rFonts w:ascii="Times New Roman" w:eastAsia="Times New Roman" w:hAnsi="Times New Roman" w:cs="Times New Roman"/>
                <w:sz w:val="20"/>
                <w:szCs w:val="20"/>
                <w:lang w:eastAsia="en-ZA"/>
              </w:rPr>
              <w:t xml:space="preserve">, 1–21. </w:t>
            </w:r>
            <w:r w:rsidR="006A136F" w:rsidRPr="006A136F">
              <w:rPr>
                <w:rFonts w:ascii="Times New Roman" w:eastAsia="Times New Roman" w:hAnsi="Times New Roman" w:cs="Times New Roman"/>
                <w:sz w:val="20"/>
                <w:szCs w:val="20"/>
                <w:lang w:eastAsia="en-ZA"/>
              </w:rPr>
              <w:t>https://doi.org/10.7717/peerj.3135</w:t>
            </w:r>
            <w:r w:rsidRPr="00222D02">
              <w:rPr>
                <w:rFonts w:ascii="Times New Roman" w:eastAsia="Times New Roman" w:hAnsi="Times New Roman" w:cs="Times New Roman"/>
                <w:sz w:val="20"/>
                <w:szCs w:val="20"/>
                <w:lang w:eastAsia="en-ZA"/>
              </w:rPr>
              <w:t>.</w:t>
            </w:r>
          </w:p>
          <w:p w14:paraId="112EE5D1" w14:textId="5279AB48" w:rsidR="002D7080" w:rsidRPr="00222D02" w:rsidDel="00FB68BD" w:rsidRDefault="002D7080" w:rsidP="00B904C1">
            <w:pPr>
              <w:ind w:left="720" w:hanging="720"/>
              <w:contextualSpacing/>
              <w:jc w:val="both"/>
              <w:rPr>
                <w:rFonts w:ascii="Times New Roman" w:hAnsi="Times New Roman" w:cs="Times New Roman"/>
                <w:sz w:val="20"/>
                <w:szCs w:val="20"/>
              </w:rPr>
            </w:pPr>
            <w:r w:rsidRPr="00222D02">
              <w:rPr>
                <w:rFonts w:ascii="Times New Roman" w:hAnsi="Times New Roman" w:cs="Times New Roman"/>
                <w:sz w:val="20"/>
                <w:szCs w:val="20"/>
              </w:rPr>
              <w:t xml:space="preserve">Pinder, A., Harman, A., Bird, C., Quinlan, K., Angel, F., Cowan, M. et al., 2019, ‘Spread of the non-native redclaw crayfish </w:t>
            </w:r>
            <w:r w:rsidRPr="00222D02">
              <w:rPr>
                <w:rFonts w:ascii="Times New Roman" w:hAnsi="Times New Roman" w:cs="Times New Roman"/>
                <w:i/>
                <w:iCs/>
                <w:sz w:val="20"/>
                <w:szCs w:val="20"/>
              </w:rPr>
              <w:t>Cherax quadricarinatus</w:t>
            </w:r>
            <w:r w:rsidRPr="00222D02">
              <w:rPr>
                <w:rFonts w:ascii="Times New Roman" w:hAnsi="Times New Roman" w:cs="Times New Roman"/>
                <w:sz w:val="20"/>
                <w:szCs w:val="20"/>
              </w:rPr>
              <w:t xml:space="preserve"> (von Martens, 1868) into natural waters of the Pilbara region of Western Australia, with observations on potential adverse ecological effects’, </w:t>
            </w:r>
            <w:r w:rsidRPr="00222D02">
              <w:rPr>
                <w:rFonts w:ascii="Times New Roman" w:hAnsi="Times New Roman" w:cs="Times New Roman"/>
                <w:i/>
                <w:iCs/>
                <w:sz w:val="20"/>
                <w:szCs w:val="20"/>
              </w:rPr>
              <w:t>BioInvasions Records</w:t>
            </w:r>
            <w:r w:rsidRPr="00222D02">
              <w:rPr>
                <w:rFonts w:ascii="Times New Roman" w:hAnsi="Times New Roman" w:cs="Times New Roman"/>
                <w:sz w:val="20"/>
                <w:szCs w:val="20"/>
              </w:rPr>
              <w:t xml:space="preserve"> 8, 882–897. </w:t>
            </w:r>
            <w:r w:rsidR="00E52851" w:rsidRPr="00E52851">
              <w:rPr>
                <w:rFonts w:ascii="Times New Roman" w:hAnsi="Times New Roman" w:cs="Times New Roman"/>
                <w:sz w:val="20"/>
                <w:szCs w:val="20"/>
              </w:rPr>
              <w:t>https://doi.org/10.3391/bir.2019.8.4.17</w:t>
            </w:r>
            <w:r w:rsidRPr="00222D02">
              <w:rPr>
                <w:rFonts w:ascii="Times New Roman" w:hAnsi="Times New Roman" w:cs="Times New Roman"/>
                <w:sz w:val="20"/>
                <w:szCs w:val="20"/>
              </w:rPr>
              <w:t>.</w:t>
            </w:r>
          </w:p>
          <w:p w14:paraId="4F33301B" w14:textId="26493496" w:rsidR="002D7080" w:rsidRPr="00222D02" w:rsidRDefault="002D7080" w:rsidP="00B904C1">
            <w:pPr>
              <w:spacing w:line="259" w:lineRule="auto"/>
              <w:ind w:left="720" w:hanging="720"/>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Tavakol, S., Luus-Powell, W.J., Smit, W.J., Baker, C., Hoffman, A. &amp; Halajian, A., 2016, ‘First introduction of two Australian Temnocephalan species into Africa with an alien host: double trouble’, </w:t>
            </w:r>
            <w:r w:rsidRPr="00222D02">
              <w:rPr>
                <w:rFonts w:ascii="Times New Roman" w:eastAsia="Times New Roman" w:hAnsi="Times New Roman" w:cs="Times New Roman"/>
                <w:i/>
                <w:sz w:val="20"/>
                <w:szCs w:val="20"/>
                <w:lang w:eastAsia="en-ZA"/>
              </w:rPr>
              <w:t>Journal of Parasitology</w:t>
            </w:r>
            <w:r w:rsidRPr="00222D02">
              <w:rPr>
                <w:rFonts w:ascii="Times New Roman" w:eastAsia="Times New Roman" w:hAnsi="Times New Roman" w:cs="Times New Roman"/>
                <w:sz w:val="20"/>
                <w:szCs w:val="20"/>
                <w:lang w:eastAsia="en-ZA"/>
              </w:rPr>
              <w:t xml:space="preserve"> 102, 653–658. </w:t>
            </w:r>
          </w:p>
          <w:p w14:paraId="79C969F3" w14:textId="4E666EA5" w:rsidR="002D7080" w:rsidRPr="00222D02" w:rsidRDefault="002D7080" w:rsidP="00B904C1">
            <w:pPr>
              <w:ind w:left="720" w:hanging="720"/>
              <w:contextualSpacing/>
              <w:jc w:val="both"/>
              <w:rPr>
                <w:rFonts w:ascii="Times New Roman" w:hAnsi="Times New Roman" w:cs="Times New Roman"/>
                <w:sz w:val="20"/>
                <w:szCs w:val="20"/>
              </w:rPr>
            </w:pPr>
            <w:r w:rsidRPr="00222D02">
              <w:rPr>
                <w:rFonts w:ascii="Times New Roman" w:hAnsi="Times New Roman" w:cs="Times New Roman"/>
                <w:sz w:val="20"/>
                <w:szCs w:val="20"/>
              </w:rPr>
              <w:t xml:space="preserve">Yeo, D.C.J., 2010, ‘Introduced decapod crustaceans in Singapore’s reservoirs’, </w:t>
            </w:r>
            <w:r w:rsidRPr="00222D02">
              <w:rPr>
                <w:rFonts w:ascii="Times New Roman" w:hAnsi="Times New Roman" w:cs="Times New Roman"/>
                <w:i/>
                <w:sz w:val="20"/>
                <w:szCs w:val="20"/>
              </w:rPr>
              <w:t>Cosmos</w:t>
            </w:r>
            <w:r w:rsidRPr="00222D02">
              <w:rPr>
                <w:rFonts w:ascii="Times New Roman" w:hAnsi="Times New Roman" w:cs="Times New Roman"/>
                <w:sz w:val="20"/>
                <w:szCs w:val="20"/>
              </w:rPr>
              <w:t xml:space="preserve"> </w:t>
            </w:r>
            <w:r w:rsidRPr="00222D02">
              <w:rPr>
                <w:rFonts w:ascii="Times New Roman" w:hAnsi="Times New Roman" w:cs="Times New Roman"/>
                <w:bCs/>
                <w:sz w:val="20"/>
                <w:szCs w:val="20"/>
              </w:rPr>
              <w:t>6,</w:t>
            </w:r>
            <w:r w:rsidRPr="00222D02">
              <w:rPr>
                <w:rFonts w:ascii="Times New Roman" w:hAnsi="Times New Roman" w:cs="Times New Roman"/>
                <w:sz w:val="20"/>
                <w:szCs w:val="20"/>
              </w:rPr>
              <w:t xml:space="preserve"> 83-88.</w:t>
            </w:r>
            <w:r w:rsidR="00E52851">
              <w:t xml:space="preserve"> </w:t>
            </w:r>
            <w:r w:rsidR="00E52851" w:rsidRPr="00E52851">
              <w:rPr>
                <w:rFonts w:ascii="Times New Roman" w:hAnsi="Times New Roman" w:cs="Times New Roman"/>
                <w:sz w:val="20"/>
                <w:szCs w:val="20"/>
              </w:rPr>
              <w:t>https://doi.org/10.1142/S0219607710000498</w:t>
            </w:r>
          </w:p>
          <w:p w14:paraId="3EF28FEE" w14:textId="2FF47227" w:rsidR="002D7080" w:rsidRPr="00222D02" w:rsidRDefault="002D7080" w:rsidP="00B904C1">
            <w:pPr>
              <w:autoSpaceDE w:val="0"/>
              <w:autoSpaceDN w:val="0"/>
              <w:adjustRightInd w:val="0"/>
              <w:ind w:left="720" w:hanging="720"/>
              <w:contextualSpacing/>
              <w:jc w:val="both"/>
              <w:rPr>
                <w:rFonts w:ascii="Times New Roman" w:hAnsi="Times New Roman" w:cs="Times New Roman"/>
                <w:sz w:val="20"/>
                <w:szCs w:val="20"/>
              </w:rPr>
            </w:pPr>
            <w:r w:rsidRPr="00222D02">
              <w:rPr>
                <w:rFonts w:ascii="Times New Roman" w:hAnsi="Times New Roman" w:cs="Times New Roman"/>
                <w:sz w:val="20"/>
                <w:szCs w:val="20"/>
              </w:rPr>
              <w:lastRenderedPageBreak/>
              <w:t xml:space="preserve">Zeng, Y., Shakir, K.K. &amp; Yeo, D.C.J., 2019, ‘Competition between a native freshwater crab and an invasive crayfish in tropical Southeast Asia’, </w:t>
            </w:r>
            <w:r w:rsidRPr="00222D02">
              <w:rPr>
                <w:rFonts w:ascii="Times New Roman" w:hAnsi="Times New Roman" w:cs="Times New Roman"/>
                <w:i/>
                <w:iCs/>
                <w:sz w:val="20"/>
                <w:szCs w:val="20"/>
              </w:rPr>
              <w:t>Biological Invasions</w:t>
            </w:r>
            <w:r w:rsidRPr="00222D02">
              <w:rPr>
                <w:rFonts w:ascii="Times New Roman" w:hAnsi="Times New Roman" w:cs="Times New Roman"/>
                <w:sz w:val="20"/>
                <w:szCs w:val="20"/>
              </w:rPr>
              <w:t xml:space="preserve"> 21, 2653–2663. </w:t>
            </w:r>
            <w:r w:rsidR="00E52851" w:rsidRPr="00E52851">
              <w:rPr>
                <w:rFonts w:ascii="Times New Roman" w:hAnsi="Times New Roman" w:cs="Times New Roman"/>
                <w:sz w:val="20"/>
                <w:szCs w:val="20"/>
              </w:rPr>
              <w:t>https://doi.org/10.1007/s10530-019-02009-6</w:t>
            </w:r>
            <w:r w:rsidRPr="00222D02">
              <w:rPr>
                <w:rFonts w:ascii="Times New Roman" w:hAnsi="Times New Roman" w:cs="Times New Roman"/>
                <w:sz w:val="20"/>
                <w:szCs w:val="20"/>
              </w:rPr>
              <w:t>.</w:t>
            </w:r>
          </w:p>
          <w:p w14:paraId="7A8872A7" w14:textId="2B09458D" w:rsidR="002D7080" w:rsidRPr="00222D02" w:rsidRDefault="002D7080" w:rsidP="00B904C1">
            <w:pPr>
              <w:spacing w:line="259" w:lineRule="auto"/>
              <w:ind w:left="720" w:hanging="720"/>
              <w:jc w:val="both"/>
              <w:rPr>
                <w:rFonts w:ascii="Times New Roman" w:eastAsia="Times New Roman" w:hAnsi="Times New Roman" w:cs="Times New Roman"/>
                <w:sz w:val="20"/>
                <w:szCs w:val="20"/>
                <w:lang w:eastAsia="en-ZA"/>
              </w:rPr>
            </w:pPr>
            <w:r w:rsidRPr="00222D02">
              <w:rPr>
                <w:rFonts w:ascii="Times New Roman" w:hAnsi="Times New Roman" w:cs="Times New Roman"/>
                <w:sz w:val="20"/>
                <w:szCs w:val="20"/>
              </w:rPr>
              <w:t xml:space="preserve">Zengeya, T.A., Lombard, R.J.H., Nelwamondo, V.E., Nunes, A.L., Measey, J.G. &amp; Weyl, O.L.F., 2022, ‘Trophic niche of an invasive generalist consumer: Australian redclaw crayfish, </w:t>
            </w:r>
            <w:r w:rsidRPr="00222D02">
              <w:rPr>
                <w:rFonts w:ascii="Times New Roman" w:hAnsi="Times New Roman" w:cs="Times New Roman"/>
                <w:i/>
                <w:iCs/>
                <w:sz w:val="20"/>
                <w:szCs w:val="20"/>
              </w:rPr>
              <w:t>Cherax quadricarinatus</w:t>
            </w:r>
            <w:r w:rsidRPr="00222D02">
              <w:rPr>
                <w:rFonts w:ascii="Times New Roman" w:hAnsi="Times New Roman" w:cs="Times New Roman"/>
                <w:sz w:val="20"/>
                <w:szCs w:val="20"/>
              </w:rPr>
              <w:t xml:space="preserve">, in the Inkomati River Basin, South Africa,’ </w:t>
            </w:r>
            <w:r w:rsidRPr="00222D02">
              <w:rPr>
                <w:rFonts w:ascii="Times New Roman" w:hAnsi="Times New Roman" w:cs="Times New Roman"/>
                <w:i/>
                <w:iCs/>
                <w:sz w:val="20"/>
                <w:szCs w:val="20"/>
              </w:rPr>
              <w:t>Austral Ecology</w:t>
            </w:r>
            <w:r w:rsidRPr="00222D02">
              <w:rPr>
                <w:rFonts w:ascii="Times New Roman" w:hAnsi="Times New Roman" w:cs="Times New Roman"/>
                <w:sz w:val="20"/>
                <w:szCs w:val="20"/>
              </w:rPr>
              <w:t xml:space="preserve"> 47, 1480-1494 </w:t>
            </w:r>
            <w:r w:rsidR="00E52851" w:rsidRPr="00E52851">
              <w:rPr>
                <w:rFonts w:ascii="Times New Roman" w:hAnsi="Times New Roman" w:cs="Times New Roman"/>
                <w:sz w:val="20"/>
                <w:szCs w:val="20"/>
              </w:rPr>
              <w:t>https://doi.org/10.1111/aec.13230</w:t>
            </w:r>
            <w:r w:rsidRPr="00222D02">
              <w:rPr>
                <w:rFonts w:ascii="Times New Roman" w:hAnsi="Times New Roman" w:cs="Times New Roman"/>
                <w:sz w:val="20"/>
                <w:szCs w:val="20"/>
              </w:rPr>
              <w:t>.</w:t>
            </w:r>
          </w:p>
        </w:tc>
      </w:tr>
    </w:tbl>
    <w:p w14:paraId="19736C1D" w14:textId="77777777" w:rsidR="002D7080" w:rsidRPr="00222D02" w:rsidRDefault="002D7080" w:rsidP="002D7080">
      <w:pPr>
        <w:spacing w:after="0" w:line="240" w:lineRule="auto"/>
        <w:rPr>
          <w:rFonts w:ascii="Times New Roman" w:hAnsi="Times New Roman" w:cs="Times New Roman"/>
          <w:b/>
          <w:sz w:val="20"/>
          <w:szCs w:val="20"/>
        </w:rPr>
      </w:pPr>
    </w:p>
    <w:p w14:paraId="7C074B87"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4. Management</w:t>
      </w:r>
    </w:p>
    <w:p w14:paraId="3EE986AF" w14:textId="77777777" w:rsidR="002D7080" w:rsidRPr="00222D02"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222D02" w14:paraId="0C129510" w14:textId="77777777" w:rsidTr="002E2C37">
        <w:trPr>
          <w:trHeight w:val="343"/>
        </w:trPr>
        <w:tc>
          <w:tcPr>
            <w:tcW w:w="9067" w:type="dxa"/>
            <w:gridSpan w:val="2"/>
            <w:shd w:val="clear" w:color="auto" w:fill="F2F2F2" w:themeFill="background1" w:themeFillShade="F2"/>
          </w:tcPr>
          <w:p w14:paraId="1FE0BF2B"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MAN1 What is the feasibility to stop future immigration?</w:t>
            </w:r>
          </w:p>
        </w:tc>
      </w:tr>
      <w:tr w:rsidR="002D7080" w:rsidRPr="00222D02" w14:paraId="200A9F2B" w14:textId="77777777" w:rsidTr="002E2C37">
        <w:trPr>
          <w:trHeight w:val="172"/>
        </w:trPr>
        <w:tc>
          <w:tcPr>
            <w:tcW w:w="5240" w:type="dxa"/>
          </w:tcPr>
          <w:p w14:paraId="3FED4261"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Low</w:t>
            </w:r>
          </w:p>
        </w:tc>
        <w:tc>
          <w:tcPr>
            <w:tcW w:w="3827" w:type="dxa"/>
          </w:tcPr>
          <w:p w14:paraId="0C186C97"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Medium</w:t>
            </w:r>
          </w:p>
        </w:tc>
      </w:tr>
      <w:tr w:rsidR="002D7080" w:rsidRPr="00222D02" w14:paraId="6D8F86F6" w14:textId="77777777" w:rsidTr="002E2C37">
        <w:trPr>
          <w:trHeight w:val="70"/>
        </w:trPr>
        <w:tc>
          <w:tcPr>
            <w:tcW w:w="9067" w:type="dxa"/>
            <w:gridSpan w:val="2"/>
          </w:tcPr>
          <w:p w14:paraId="528904F2"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The feasibility of preventing unaided immigration of </w:t>
            </w:r>
            <w:r w:rsidRPr="00222D02">
              <w:rPr>
                <w:rFonts w:ascii="Times New Roman" w:eastAsia="Times New Roman" w:hAnsi="Times New Roman" w:cs="Times New Roman"/>
                <w:i/>
                <w:iCs/>
                <w:sz w:val="20"/>
                <w:szCs w:val="20"/>
                <w:lang w:eastAsia="en-ZA"/>
              </w:rPr>
              <w:t xml:space="preserve">C. quadricarinatus </w:t>
            </w:r>
            <w:r w:rsidRPr="00222D02">
              <w:rPr>
                <w:rFonts w:ascii="Times New Roman" w:eastAsia="Times New Roman" w:hAnsi="Times New Roman" w:cs="Times New Roman"/>
                <w:sz w:val="20"/>
                <w:szCs w:val="20"/>
                <w:lang w:eastAsia="en-ZA"/>
              </w:rPr>
              <w:t xml:space="preserve">into South Africa is low. </w:t>
            </w:r>
            <w:r w:rsidRPr="00222D02">
              <w:rPr>
                <w:rFonts w:ascii="Times New Roman" w:eastAsia="Times New Roman" w:hAnsi="Times New Roman" w:cs="Times New Roman"/>
                <w:i/>
                <w:iCs/>
                <w:sz w:val="20"/>
                <w:szCs w:val="20"/>
                <w:lang w:eastAsia="en-ZA"/>
              </w:rPr>
              <w:t xml:space="preserve">Cherax quadricarinatus </w:t>
            </w:r>
            <w:r w:rsidRPr="00222D02">
              <w:rPr>
                <w:rFonts w:ascii="Times New Roman" w:eastAsia="Times New Roman" w:hAnsi="Times New Roman" w:cs="Times New Roman"/>
                <w:sz w:val="20"/>
                <w:szCs w:val="20"/>
                <w:lang w:eastAsia="en-ZA"/>
              </w:rPr>
              <w:t xml:space="preserve">is present in neighbouring countries (i.e., Eswatini, Mozambique, and Zimbabwe) and is capable of moving overland through unaided dispersal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"10.2989/16085914.2018.1517080", "author" : [ { "dropping-particle" : "", "family" : "Douthwaite", "given" : "R J", "non-dropping-particle" : "", "parse-names" : false, "suffix" : "" }, { "dropping-particle" : "", "family" : "Jones", "given" : "E W", "non-dropping-particle" : "", "parse-names" : false, "suffix" : "" }, { "dropping-particle" : "", "family" : "Tyser", "given" : "A B", "non-dropping-particle" : "", "parse-names" : false, "suffix" : "" }, { "dropping-particle" : "", "family" : "Vrdoljak", "given" : "S M", "non-dropping-particle" : "", "parse-names" : false, "suffix" : "" } ], "id" : "ITEM-1", "issued" : { "date-parts" : [ [ "2018" ] ] }, "title" : "The introduction , spread and ecology of redclaw crayfish Cherax quadricarinatus in the Zambezi catchment", "type" : "article-journal", "volume" : "5914" }, "uris" : [ "http://www.mendeley.com/documents/?uuid=d1144703-789e-43c5-b72c-9dc75db8a86e" ] }, { "id" : "ITEM-2", "itemData" : { "DOI" : "10.7717/peerj.3135", "ISBN" : "21678359 (ISSN)", "ISSN" : "2167-8359", "PMID" : "28439454", "abstract" : "Background. The Australian redclaw crayfish (Cherax quadricarinatus, von Martens), is native to Australasia, but has been widely translocated around the world due to aquaculture and aquarium trade. Mostly as a result of escape from aquaculture facilities, this species has established extralimital populations in Australia and alien populations in Europe, Asia, Central America and Africa. In South Africa, C. quadricarinatus was first sampled from the wild in 2002 in the Komati River, following its escape from an aquaculture facility in Swaziland, but data on the current status of its populations are not available. Methods. To establish a better understanding of its distribution, rate of spread and population status, we surveyed a total of 46 sites in various river systems in South Africa and Swaziland. Surveys were performed between September 2015 and August 2016 and involved visual observations and the use of collapsible crayfish traps. Results. Cherax quadricarinatus is now present in the Komati, Lomati, Mbuluzi, Mlawula and Usutu rivers, and it was also detected in several off-channel irrigation impoundments. Where present, it was generally abundant, with populations having multiple size cohorts and containing ovigerous females. In the Komati River, it has spread more than 112 km downstream of the initial introduction point and 33 km upstream of a tributary, resulting in a mean spread rate of 8 km year \u22121 downstream and 4.7 km year \u22121 upstream. In Swaziland, estimated downstream spread rate might reach 14.6 km year \u22121 . Individuals were generally larger and heavier closer to the introduction site, which might be linked to juvenile dispersal. Discussion. These findings demonstrate that C. quadricarinatus is established in South Africa and Swaziland and that the species has spread, not only within the river where it was first introduced, but also between rivers. Considering the strong impacts that alien crayfish usually have on invaded ecosystems, assessments of its potential impacts on native freshwater biota and an evaluation of possible control measures are, therefore, urgent requirements.", "author" : [ { "dropping-particle" : "", "family" : "Nunes", "given" : "Ana L.", "non-dropping-particle" : "", "parse-names" : false, "suffix" : "" }, { "dropping-particle" : "", "family" : "Zengeya", "given" : "Tsungai A.", "non-dropping-particle" : "", "parse-names" : false, "suffix" : "" }, { "dropping-particle" : "", "family" : "Hoffman", "given" : "Andries C.", "non-dropping-particle" : "", "parse-names" : false, "suffix" : "" }, { "dropping-particle" : "", "family" : "Measey", "given" : "G. John", "non-dropping-particle" : "", "parse-names" : false, "suffix" : "" }, { "dropping-particle" : "", "family" : "Weyl", "given" : "Olaf L.F.", "non-dropping-particle" : "", "parse-names" : false, "suffix" : "" } ], "container-title" : "PeerJ", "id" : "ITEM-2", "issued" : { "date-parts" : [ [ "2017" ] ] }, "page" : "e3135", "title" : "Distribution and establishment of the alien Australian redclaw crayfish, &lt;i&gt;Cherax quadricarinatus&lt;/i&gt; , in South Africa and Swaziland", "type" : "article-journal", "volume" : "5" }, "uris" : [ "http://www.mendeley.com/documents/?uuid=09e3f7e4-ebe7-4773-815c-0ea02776a567" ] }, { "id" : "ITEM-3", "itemData" : { "DOI" : "10.3391/bir.2018.7.2.03", "ISSN" : "22421300", "abstract" : "The diet of an invasive crayfish, Cherax quadricarinatus (Von Martens 1868), in Lake Kariba, was investigated using stomach content analysis (SCA) and stable isotope analysis (SIA). The frequency of occurrence of macrophytes and detritus ranged between 63.6\u201397.1% and 20\u201345.5%, respectively, and the index of relative importance ranked these as the two most important food items across all size classes. Significant differences in the ranking of fish, macroinvertebrates and crayfish were found between size classes 29\u201337.9, 38\u201346.9 and 47\u201355.9 mm. Stomach content analysis showed 16% of crayfish stomachs were empty. Feeding intensity differed significantly between size classes and ranged from 3.46 to 5.21. Stable isotope analysis was done by comparing \u03b413C, \u03b415N and C/N ratios in crayfish muscle and potential dietary items in the lake. Macrophytes were the most dominant food item (57%), followed by macroinvertebrates (20%), then detritus, and finally fish and crayfish. Stable isotope analysis revealed that all crayfish size classes analysed were in the same trophic level. Nevertheless, while SCA showed high dietary overlap among all crayfish size classes (&gt;65%), SIA showed that small crayfish (&lt; 28.9mm) had limited overlap with large crayfish (&gt; 56mm), with the former showing a higher proportion of macroinvertebrates in their diet. In Lake Kariba, C. quadricarinatus predominantly feeds on macrophytes, macroinvertebrates and detritus, which may bring about nutrient cycle alterations in the lake. Littoral habitat changes caused by the feeding characteristics of C. quadricarinatus might also lead to competition with, and eventual displacement of, some native littoral fishes in this lake.", "author" : [ { "dropping-particle" : "", "family" : "Marufu", "given" : "Lightone", "non-dropping-particle" : "", "parse-names" : false, "suffix" : "" }, { "dropping-particle" : "", "family" : "Dalu</w:instrText>
            </w:r>
            <w:r w:rsidRPr="000E6BA8">
              <w:rPr>
                <w:rFonts w:ascii="Times New Roman" w:eastAsia="Times New Roman" w:hAnsi="Times New Roman" w:cs="Times New Roman"/>
                <w:sz w:val="20"/>
                <w:szCs w:val="20"/>
                <w:lang w:val="fr-FR" w:eastAsia="en-ZA"/>
              </w:rPr>
              <w:instrText>", "given" : "Tatenda", "non-dropping-particle" : "", "parse-names" : false, "suffix" : "" }, { "dropping-particle" : "", "family" : "Barson", "given" : "Maxwell", "non-dropping-particle" : "", "parse-names" : false, "suffix" : "" }, { "dropping-particle" : "", "family" : "Simango", "given" : "Rutendo", "non-dropping-particle" : "", "parse-names" : false, "suffix" : "" }, { "dropping-particle" : "", "family" : "Utete", "given" : "Beaven", "non-dropping-particle" : "", "parse-names" : false, "suffix" : "" }, { "dropping-particle" : "", "family" : "Nhiwatiwa", "given" : "Tamuka", "non-dropping-particle" : "", "parse-names" : false, "suffix" : "" } ], "container-title" : "BioInvasions Records", "id" : "ITEM-3", "issue" : "January", "issued" : { "date-parts" : [ [ "2018" ] ] }, "title" : "The diet of an invasive crayfish , Cherax quadricarinatus ( Von Martens , 1868 ), in Lake Kariba , inferred using sto ....", "type" : "article-journal", "volume" : "7" }, "uris" : [ "http://www.mendeley.com/documents/?uuid=49b4cd62-bcb8-41f5-a835-0cad767c5c5e" ] } ], "mendeley" : { "formattedCitation" : "(Nunes et al. 2017a, Douthwaite et al. 2018, Marufu et al. 2018)", "plainTextFormattedCitation" : "(Nunes et al. 2017a, Douthwaite et al. 2018, Marufu et al. 2018)", "previouslyFormattedCitation" : "(Nunes et al. 2017a, Douthwaite et al. 2018, Marufu et al. 2018)"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0E6BA8">
              <w:rPr>
                <w:rFonts w:ascii="Times New Roman" w:eastAsia="Times New Roman" w:hAnsi="Times New Roman" w:cs="Times New Roman"/>
                <w:sz w:val="20"/>
                <w:szCs w:val="20"/>
                <w:lang w:val="fr-FR" w:eastAsia="en-ZA"/>
              </w:rPr>
              <w:t>(</w:t>
            </w:r>
            <w:r>
              <w:rPr>
                <w:rFonts w:ascii="Times New Roman" w:eastAsia="Times New Roman" w:hAnsi="Times New Roman" w:cs="Times New Roman"/>
                <w:sz w:val="20"/>
                <w:szCs w:val="20"/>
                <w:lang w:val="fr-FR" w:eastAsia="en-ZA"/>
              </w:rPr>
              <w:t xml:space="preserve">Nunes et al. 2017a; </w:t>
            </w:r>
            <w:r w:rsidRPr="000E6BA8">
              <w:rPr>
                <w:rFonts w:ascii="Times New Roman" w:eastAsia="Times New Roman" w:hAnsi="Times New Roman" w:cs="Times New Roman"/>
                <w:sz w:val="20"/>
                <w:szCs w:val="20"/>
                <w:lang w:val="fr-FR" w:eastAsia="en-ZA"/>
              </w:rPr>
              <w:t>Douthwaite et al. 2018; Marufu et al. 2018)</w:t>
            </w:r>
            <w:r w:rsidRPr="00222D02">
              <w:rPr>
                <w:rFonts w:ascii="Times New Roman" w:eastAsia="Times New Roman" w:hAnsi="Times New Roman" w:cs="Times New Roman"/>
                <w:sz w:val="20"/>
                <w:szCs w:val="20"/>
                <w:lang w:eastAsia="en-ZA"/>
              </w:rPr>
              <w:fldChar w:fldCharType="end"/>
            </w:r>
            <w:r w:rsidRPr="00037200">
              <w:rPr>
                <w:rFonts w:ascii="Times New Roman" w:eastAsia="Times New Roman" w:hAnsi="Times New Roman" w:cs="Times New Roman"/>
                <w:sz w:val="20"/>
                <w:szCs w:val="20"/>
                <w:lang w:val="fr-FR" w:eastAsia="en-ZA"/>
              </w:rPr>
              <w:t xml:space="preserve">. </w:t>
            </w:r>
            <w:r w:rsidRPr="00222D02">
              <w:rPr>
                <w:rFonts w:ascii="Times New Roman" w:eastAsia="Times New Roman" w:hAnsi="Times New Roman" w:cs="Times New Roman"/>
                <w:sz w:val="20"/>
                <w:szCs w:val="20"/>
                <w:lang w:eastAsia="en-ZA"/>
              </w:rPr>
              <w:t xml:space="preserve">Intentional introductions can be prevented through the regulation of imports (Zengeya &amp; Wilson 2020). However, illegal imports can still be problematic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"10.18353/crustacea.44.0", "author" : [ { "dropping-particle" : "", "family" : "Faulkes", "given" : "Zen", "non-dropping-particle" : "", "parse-names" : false, "suffix" : "" } ], "id" : "ITEM-2", "issue" : "November", "issued" : { "date-parts" : [ [ "2015" ] ] }, "page" : "75-92", "title" : "Crustacean Research", "type" : "article-journal", "volume" : "44" }, "uris" : [ "http://www.mendeley.com/documents/?uuid=e0847d33-9219-447a-8947-11c70298c5ed" ] } ], "mendeley" : { "formattedCitation" : "(Faulkes 2015, Nunes et al. 2017b)", "plainTextFormattedCitation" : "(Faulkes 2015, Nunes et al. 2017b)", "previouslyFormattedCitation" : "(Faulkes 2015, Nunes et al. 2017b)"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222D02">
              <w:rPr>
                <w:rFonts w:ascii="Times New Roman" w:eastAsia="Times New Roman" w:hAnsi="Times New Roman" w:cs="Times New Roman"/>
                <w:sz w:val="20"/>
                <w:szCs w:val="20"/>
                <w:lang w:eastAsia="en-ZA"/>
              </w:rPr>
              <w:t>(Faulkes 2015; Nunes et al. 2017b)</w:t>
            </w:r>
            <w:r w:rsidRPr="00222D02">
              <w:rPr>
                <w:rFonts w:ascii="Times New Roman" w:eastAsia="Times New Roman" w:hAnsi="Times New Roman" w:cs="Times New Roman"/>
                <w:sz w:val="20"/>
                <w:szCs w:val="20"/>
                <w:lang w:eastAsia="en-ZA"/>
              </w:rPr>
              <w:fldChar w:fldCharType="end"/>
            </w:r>
            <w:r w:rsidRPr="00222D02">
              <w:rPr>
                <w:rFonts w:ascii="Times New Roman" w:eastAsia="Times New Roman" w:hAnsi="Times New Roman" w:cs="Times New Roman"/>
                <w:sz w:val="20"/>
                <w:szCs w:val="20"/>
                <w:lang w:eastAsia="en-ZA"/>
              </w:rPr>
              <w:t xml:space="preserve">. </w:t>
            </w:r>
            <w:r w:rsidRPr="00222D02">
              <w:rPr>
                <w:rFonts w:ascii="Times New Roman" w:eastAsia="Times New Roman" w:hAnsi="Times New Roman" w:cs="Times New Roman"/>
                <w:i/>
                <w:iCs/>
                <w:sz w:val="20"/>
                <w:szCs w:val="20"/>
                <w:lang w:eastAsia="en-ZA"/>
              </w:rPr>
              <w:t xml:space="preserve">Cherax quadricarinatus </w:t>
            </w:r>
            <w:r w:rsidRPr="00222D02">
              <w:rPr>
                <w:rFonts w:ascii="Times New Roman" w:eastAsia="Times New Roman" w:hAnsi="Times New Roman" w:cs="Times New Roman"/>
                <w:sz w:val="20"/>
                <w:szCs w:val="20"/>
                <w:lang w:eastAsia="en-ZA"/>
              </w:rPr>
              <w:t xml:space="preserve">is present in the pet trade industry in various countries </w:t>
            </w:r>
            <w:r w:rsidRPr="00222D02">
              <w:rPr>
                <w:rFonts w:ascii="Times New Roman" w:eastAsia="Times New Roman" w:hAnsi="Times New Roman" w:cs="Times New Roman"/>
                <w:sz w:val="20"/>
                <w:szCs w:val="20"/>
                <w:lang w:eastAsia="en-ZA"/>
              </w:rPr>
              <w:fldChar w:fldCharType="begin" w:fldLock="1"/>
            </w:r>
            <w:r w:rsidRPr="00222D02">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222D02">
              <w:rPr>
                <w:rFonts w:ascii="Times New Roman" w:eastAsia="Times New Roman" w:hAnsi="Times New Roman" w:cs="Times New Roman"/>
                <w:sz w:val="20"/>
                <w:szCs w:val="20"/>
                <w:lang w:eastAsia="en-ZA"/>
              </w:rPr>
              <w:fldChar w:fldCharType="separate"/>
            </w:r>
            <w:r w:rsidRPr="00222D02">
              <w:rPr>
                <w:rFonts w:ascii="Times New Roman" w:eastAsia="Times New Roman" w:hAnsi="Times New Roman" w:cs="Times New Roman"/>
                <w:sz w:val="20"/>
                <w:szCs w:val="20"/>
                <w:lang w:eastAsia="en-ZA"/>
              </w:rPr>
              <w:t>(Faulkes 2015)</w:t>
            </w:r>
            <w:r w:rsidRPr="00222D02">
              <w:rPr>
                <w:rFonts w:ascii="Times New Roman" w:eastAsia="Times New Roman" w:hAnsi="Times New Roman" w:cs="Times New Roman"/>
                <w:sz w:val="20"/>
                <w:szCs w:val="20"/>
                <w:lang w:eastAsia="en-ZA"/>
              </w:rPr>
              <w:fldChar w:fldCharType="end"/>
            </w:r>
            <w:r w:rsidRPr="00222D02">
              <w:rPr>
                <w:rFonts w:ascii="Times New Roman" w:eastAsia="Times New Roman" w:hAnsi="Times New Roman" w:cs="Times New Roman"/>
                <w:sz w:val="20"/>
                <w:szCs w:val="20"/>
                <w:lang w:eastAsia="en-ZA"/>
              </w:rPr>
              <w:t xml:space="preserve">. The significance of </w:t>
            </w:r>
            <w:r w:rsidRPr="00222D02">
              <w:rPr>
                <w:rFonts w:ascii="Times New Roman" w:eastAsia="Times New Roman" w:hAnsi="Times New Roman" w:cs="Times New Roman"/>
                <w:i/>
                <w:iCs/>
                <w:sz w:val="20"/>
                <w:szCs w:val="20"/>
                <w:lang w:eastAsia="en-ZA"/>
              </w:rPr>
              <w:t xml:space="preserve">C. quadricarinatus </w:t>
            </w:r>
            <w:r w:rsidRPr="00222D02">
              <w:rPr>
                <w:rFonts w:ascii="Times New Roman" w:eastAsia="Times New Roman" w:hAnsi="Times New Roman" w:cs="Times New Roman"/>
                <w:sz w:val="20"/>
                <w:szCs w:val="20"/>
                <w:lang w:eastAsia="en-ZA"/>
              </w:rPr>
              <w:t xml:space="preserve">in the pet trade industry in South Africa is still to be assessed. </w:t>
            </w:r>
          </w:p>
        </w:tc>
      </w:tr>
      <w:tr w:rsidR="002D7080" w:rsidRPr="00222D02" w14:paraId="489DD46D" w14:textId="77777777" w:rsidTr="002E2C37">
        <w:trPr>
          <w:trHeight w:val="108"/>
        </w:trPr>
        <w:tc>
          <w:tcPr>
            <w:tcW w:w="9067" w:type="dxa"/>
            <w:gridSpan w:val="2"/>
          </w:tcPr>
          <w:p w14:paraId="36397D69"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568CEA4D" w14:textId="366A82FD"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Douthwaite, R.J., Jones, E.W., Tyser, A.B. &amp; Vrdoljak, S.M., 2018, ‘The introduction, spread and ecology of redclaw crayfish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in the Zambezi catchment’, </w:t>
            </w:r>
            <w:r w:rsidRPr="00222D02">
              <w:rPr>
                <w:rFonts w:ascii="Times New Roman" w:eastAsia="Times New Roman" w:hAnsi="Times New Roman" w:cs="Times New Roman"/>
                <w:i/>
                <w:sz w:val="20"/>
                <w:szCs w:val="20"/>
                <w:lang w:eastAsia="en-ZA"/>
              </w:rPr>
              <w:t>African Journal of Aquatic Science</w:t>
            </w:r>
            <w:r w:rsidRPr="00222D02">
              <w:rPr>
                <w:rFonts w:ascii="Times New Roman" w:eastAsia="Times New Roman" w:hAnsi="Times New Roman" w:cs="Times New Roman"/>
                <w:sz w:val="20"/>
                <w:szCs w:val="20"/>
                <w:lang w:eastAsia="en-ZA"/>
              </w:rPr>
              <w:t xml:space="preserve"> 43, 353–366. </w:t>
            </w:r>
            <w:r w:rsidR="00E52851" w:rsidRPr="00E52851">
              <w:rPr>
                <w:rFonts w:ascii="Times New Roman" w:eastAsia="Times New Roman" w:hAnsi="Times New Roman" w:cs="Times New Roman"/>
                <w:sz w:val="20"/>
                <w:szCs w:val="20"/>
                <w:lang w:eastAsia="en-ZA"/>
              </w:rPr>
              <w:t>https://doi.org/10.2989/16085914.2018.1517080</w:t>
            </w:r>
            <w:r w:rsidRPr="00222D02">
              <w:rPr>
                <w:rFonts w:ascii="Times New Roman" w:eastAsia="Times New Roman" w:hAnsi="Times New Roman" w:cs="Times New Roman"/>
                <w:sz w:val="20"/>
                <w:szCs w:val="20"/>
                <w:lang w:eastAsia="en-ZA"/>
              </w:rPr>
              <w:t>.</w:t>
            </w:r>
          </w:p>
          <w:p w14:paraId="77057EE9" w14:textId="5C389D25"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Faulkes, Z., 2015, ‘The global trade in crayfish as pets’, </w:t>
            </w:r>
            <w:r w:rsidRPr="00222D02">
              <w:rPr>
                <w:rFonts w:ascii="Times New Roman" w:eastAsia="Times New Roman" w:hAnsi="Times New Roman" w:cs="Times New Roman"/>
                <w:i/>
                <w:iCs/>
                <w:sz w:val="20"/>
                <w:szCs w:val="20"/>
                <w:lang w:eastAsia="en-ZA"/>
              </w:rPr>
              <w:t>Crustacean Research</w:t>
            </w:r>
            <w:r w:rsidRPr="00222D02">
              <w:rPr>
                <w:rFonts w:ascii="Times New Roman" w:eastAsia="Times New Roman" w:hAnsi="Times New Roman" w:cs="Times New Roman"/>
                <w:sz w:val="20"/>
                <w:szCs w:val="20"/>
                <w:lang w:eastAsia="en-ZA"/>
              </w:rPr>
              <w:t xml:space="preserve"> </w:t>
            </w:r>
            <w:r w:rsidRPr="00222D02">
              <w:rPr>
                <w:rFonts w:ascii="Times New Roman" w:eastAsia="Times New Roman" w:hAnsi="Times New Roman" w:cs="Times New Roman"/>
                <w:iCs/>
                <w:sz w:val="20"/>
                <w:szCs w:val="20"/>
                <w:lang w:eastAsia="en-ZA"/>
              </w:rPr>
              <w:t>44</w:t>
            </w:r>
            <w:r w:rsidRPr="00222D02">
              <w:rPr>
                <w:rFonts w:ascii="Times New Roman" w:eastAsia="Times New Roman" w:hAnsi="Times New Roman" w:cs="Times New Roman"/>
                <w:sz w:val="20"/>
                <w:szCs w:val="20"/>
                <w:lang w:eastAsia="en-ZA"/>
              </w:rPr>
              <w:t xml:space="preserve">, 75–92. </w:t>
            </w:r>
            <w:r w:rsidR="00E52851" w:rsidRPr="00E52851">
              <w:rPr>
                <w:rFonts w:ascii="Times New Roman" w:eastAsia="Times New Roman" w:hAnsi="Times New Roman" w:cs="Times New Roman"/>
                <w:sz w:val="20"/>
                <w:szCs w:val="20"/>
                <w:lang w:eastAsia="en-ZA"/>
              </w:rPr>
              <w:t>https://doi.org/10.18353/crustacea.44.0_75</w:t>
            </w:r>
            <w:r w:rsidRPr="00222D02">
              <w:rPr>
                <w:rFonts w:ascii="Times New Roman" w:eastAsia="Times New Roman" w:hAnsi="Times New Roman" w:cs="Times New Roman"/>
                <w:sz w:val="20"/>
                <w:szCs w:val="20"/>
                <w:lang w:eastAsia="en-ZA"/>
              </w:rPr>
              <w:t>.</w:t>
            </w:r>
          </w:p>
          <w:p w14:paraId="28E2A2E9" w14:textId="64547DE7"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Marufu, L., Barson, M., Chifamba, P., Tiki, M. &amp; Nhiwatiwa, 2018, ‘</w:t>
            </w:r>
            <w:r w:rsidRPr="00222D02">
              <w:rPr>
                <w:rFonts w:ascii="Times New Roman" w:eastAsia="Times New Roman" w:hAnsi="Times New Roman" w:cs="Times New Roman"/>
                <w:bCs/>
                <w:sz w:val="20"/>
                <w:szCs w:val="20"/>
                <w:lang w:eastAsia="en-ZA"/>
              </w:rPr>
              <w:t xml:space="preserve">The population dynamics of a recently introduced crayfish, </w:t>
            </w:r>
            <w:r w:rsidRPr="00222D02">
              <w:rPr>
                <w:rFonts w:ascii="Times New Roman" w:eastAsia="Times New Roman" w:hAnsi="Times New Roman" w:cs="Times New Roman"/>
                <w:bCs/>
                <w:i/>
                <w:iCs/>
                <w:sz w:val="20"/>
                <w:szCs w:val="20"/>
                <w:lang w:eastAsia="en-ZA"/>
              </w:rPr>
              <w:t xml:space="preserve">Cherax quadricarinatus </w:t>
            </w:r>
            <w:r w:rsidRPr="00222D02">
              <w:rPr>
                <w:rFonts w:ascii="Times New Roman" w:eastAsia="Times New Roman" w:hAnsi="Times New Roman" w:cs="Times New Roman"/>
                <w:bCs/>
                <w:sz w:val="20"/>
                <w:szCs w:val="20"/>
                <w:lang w:eastAsia="en-ZA"/>
              </w:rPr>
              <w:t xml:space="preserve">(von Martens, 1868), in the Sanyati Basin of Lake Kariba, Zimbabwe’, </w:t>
            </w:r>
            <w:r w:rsidRPr="00222D02">
              <w:rPr>
                <w:rFonts w:ascii="Times New Roman" w:eastAsia="Times New Roman" w:hAnsi="Times New Roman" w:cs="Times New Roman"/>
                <w:i/>
                <w:iCs/>
                <w:sz w:val="20"/>
                <w:szCs w:val="20"/>
                <w:lang w:eastAsia="en-ZA"/>
              </w:rPr>
              <w:t xml:space="preserve">African Zoology </w:t>
            </w:r>
            <w:r w:rsidRPr="00222D02">
              <w:rPr>
                <w:rFonts w:ascii="Times New Roman" w:eastAsia="Times New Roman" w:hAnsi="Times New Roman" w:cs="Times New Roman"/>
                <w:sz w:val="20"/>
                <w:szCs w:val="20"/>
                <w:lang w:eastAsia="en-ZA"/>
              </w:rPr>
              <w:t xml:space="preserve">53, 17–22. </w:t>
            </w:r>
            <w:r w:rsidR="00E52851" w:rsidRPr="00E52851">
              <w:rPr>
                <w:rFonts w:ascii="Times New Roman" w:eastAsia="Times New Roman" w:hAnsi="Times New Roman" w:cs="Times New Roman"/>
                <w:sz w:val="20"/>
                <w:szCs w:val="20"/>
                <w:lang w:eastAsia="en-ZA"/>
              </w:rPr>
              <w:t>https://doi.org/10.3391/bir.2018.7.2.03</w:t>
            </w:r>
            <w:r w:rsidRPr="00222D02">
              <w:rPr>
                <w:rFonts w:ascii="Times New Roman" w:eastAsia="Times New Roman" w:hAnsi="Times New Roman" w:cs="Times New Roman"/>
                <w:sz w:val="20"/>
                <w:szCs w:val="20"/>
                <w:lang w:eastAsia="en-ZA"/>
              </w:rPr>
              <w:t xml:space="preserve">. </w:t>
            </w:r>
          </w:p>
          <w:p w14:paraId="19909EA3" w14:textId="5FA9CE6E" w:rsidR="002D7080" w:rsidRPr="00222D02" w:rsidRDefault="002D7080" w:rsidP="00E52851">
            <w:pPr>
              <w:ind w:left="720" w:hanging="720"/>
              <w:contextualSpacing/>
              <w:jc w:val="both"/>
              <w:rPr>
                <w:rFonts w:ascii="Times New Roman" w:eastAsia="Times New Roman" w:hAnsi="Times New Roman" w:cs="Times New Roman"/>
                <w:bCs/>
                <w:i/>
                <w:iCs/>
                <w:sz w:val="20"/>
                <w:szCs w:val="20"/>
                <w:lang w:eastAsia="en-ZA"/>
              </w:rPr>
            </w:pPr>
            <w:r w:rsidRPr="00222D02">
              <w:rPr>
                <w:rFonts w:ascii="Times New Roman" w:eastAsia="Times New Roman" w:hAnsi="Times New Roman" w:cs="Times New Roman"/>
                <w:sz w:val="20"/>
                <w:szCs w:val="20"/>
                <w:lang w:eastAsia="en-ZA"/>
              </w:rPr>
              <w:t xml:space="preserve">Nunes, A.L., Zengeya, T.A., Hoffman, A.C., Measey, G.J. &amp; Weyl, O.L.F., 2017a, ‘Distribution and establishment of the alien Australian redclaw crayfish,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in South Africa and Swaziland’, </w:t>
            </w:r>
            <w:r w:rsidRPr="00222D02">
              <w:rPr>
                <w:rFonts w:ascii="Times New Roman" w:eastAsia="Times New Roman" w:hAnsi="Times New Roman" w:cs="Times New Roman"/>
                <w:i/>
                <w:iCs/>
                <w:sz w:val="20"/>
                <w:szCs w:val="20"/>
                <w:lang w:eastAsia="en-ZA"/>
              </w:rPr>
              <w:t>PeerJ</w:t>
            </w:r>
            <w:r w:rsidRPr="00222D02">
              <w:rPr>
                <w:rFonts w:ascii="Times New Roman" w:eastAsia="Times New Roman" w:hAnsi="Times New Roman" w:cs="Times New Roman"/>
                <w:sz w:val="20"/>
                <w:szCs w:val="20"/>
                <w:lang w:eastAsia="en-ZA"/>
              </w:rPr>
              <w:t> </w:t>
            </w:r>
            <w:r w:rsidRPr="00222D02">
              <w:rPr>
                <w:rFonts w:ascii="Times New Roman" w:eastAsia="Times New Roman" w:hAnsi="Times New Roman" w:cs="Times New Roman"/>
                <w:iCs/>
                <w:sz w:val="20"/>
                <w:szCs w:val="20"/>
                <w:lang w:eastAsia="en-ZA"/>
              </w:rPr>
              <w:t>5</w:t>
            </w:r>
            <w:r w:rsidRPr="00222D02">
              <w:rPr>
                <w:rFonts w:ascii="Times New Roman" w:eastAsia="Times New Roman" w:hAnsi="Times New Roman" w:cs="Times New Roman"/>
                <w:b/>
                <w:sz w:val="20"/>
                <w:szCs w:val="20"/>
                <w:lang w:eastAsia="en-ZA"/>
              </w:rPr>
              <w:t>,</w:t>
            </w:r>
            <w:r w:rsidRPr="00222D02">
              <w:rPr>
                <w:rFonts w:ascii="Times New Roman" w:eastAsia="Times New Roman" w:hAnsi="Times New Roman" w:cs="Times New Roman"/>
                <w:sz w:val="20"/>
                <w:szCs w:val="20"/>
                <w:lang w:eastAsia="en-ZA"/>
              </w:rPr>
              <w:t xml:space="preserve"> 1–21. </w:t>
            </w:r>
            <w:r w:rsidR="00E52851" w:rsidRPr="00E52851">
              <w:rPr>
                <w:rFonts w:ascii="Times New Roman" w:eastAsia="Times New Roman" w:hAnsi="Times New Roman" w:cs="Times New Roman"/>
                <w:sz w:val="20"/>
                <w:szCs w:val="20"/>
                <w:lang w:eastAsia="en-ZA"/>
              </w:rPr>
              <w:t>https://doi.org/10.7717/peerj.3135</w:t>
            </w:r>
            <w:r w:rsidRPr="00222D02">
              <w:rPr>
                <w:rFonts w:ascii="Times New Roman" w:eastAsia="Times New Roman" w:hAnsi="Times New Roman" w:cs="Times New Roman"/>
                <w:sz w:val="20"/>
                <w:szCs w:val="20"/>
                <w:lang w:eastAsia="en-ZA"/>
              </w:rPr>
              <w:t>.</w:t>
            </w:r>
          </w:p>
          <w:p w14:paraId="5C228C75" w14:textId="1BE3C821"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Nunes, A.L., Zengeya, T.A., Measey, G.J. &amp; Weyl, O.L.F., 2017b, ‘Freshwater crayfish invasions in South Africa: Past, present and potential future’, </w:t>
            </w:r>
            <w:r w:rsidRPr="00222D02">
              <w:rPr>
                <w:rFonts w:ascii="Times New Roman" w:eastAsia="Times New Roman" w:hAnsi="Times New Roman" w:cs="Times New Roman"/>
                <w:i/>
                <w:sz w:val="20"/>
                <w:szCs w:val="20"/>
                <w:lang w:eastAsia="en-ZA"/>
              </w:rPr>
              <w:t>African Journal of Aquatic Science</w:t>
            </w:r>
            <w:r w:rsidRPr="00222D02">
              <w:rPr>
                <w:rFonts w:ascii="Times New Roman" w:eastAsia="Times New Roman" w:hAnsi="Times New Roman" w:cs="Times New Roman"/>
                <w:sz w:val="20"/>
                <w:szCs w:val="20"/>
                <w:lang w:eastAsia="en-ZA"/>
              </w:rPr>
              <w:t xml:space="preserve"> 42, 309–323. </w:t>
            </w:r>
            <w:hyperlink r:id="rId169" w:history="1">
              <w:r w:rsidR="00E52851" w:rsidRPr="00E52851">
                <w:rPr>
                  <w:rStyle w:val="Hyperlink"/>
                  <w:rFonts w:ascii="Times New Roman" w:eastAsia="Times New Roman" w:hAnsi="Times New Roman" w:cs="Times New Roman"/>
                  <w:sz w:val="20"/>
                  <w:szCs w:val="20"/>
                  <w:lang w:eastAsia="en-ZA"/>
                </w:rPr>
                <w:t>https://doi.org/10.2989/16085914.2017.1405788</w:t>
              </w:r>
            </w:hyperlink>
            <w:r w:rsidRPr="00222D02">
              <w:rPr>
                <w:rFonts w:ascii="Times New Roman" w:eastAsia="Times New Roman" w:hAnsi="Times New Roman" w:cs="Times New Roman"/>
                <w:sz w:val="20"/>
                <w:szCs w:val="20"/>
                <w:lang w:eastAsia="en-ZA"/>
              </w:rPr>
              <w:t>.</w:t>
            </w:r>
          </w:p>
          <w:p w14:paraId="34735C04" w14:textId="77777777"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hAnsi="Times New Roman" w:cs="Times New Roman"/>
                <w:sz w:val="20"/>
                <w:szCs w:val="20"/>
              </w:rPr>
              <w:t xml:space="preserve">Zengeya, T.A. &amp; Wilson, J.R., 2020, </w:t>
            </w:r>
            <w:r w:rsidRPr="00222D02">
              <w:rPr>
                <w:rFonts w:ascii="Times New Roman" w:hAnsi="Times New Roman" w:cs="Times New Roman"/>
                <w:i/>
                <w:iCs/>
                <w:sz w:val="20"/>
                <w:szCs w:val="20"/>
              </w:rPr>
              <w:t>The status of biological invasions and their management in South Africa in 2019</w:t>
            </w:r>
            <w:r w:rsidRPr="00222D02">
              <w:rPr>
                <w:rFonts w:ascii="Times New Roman" w:hAnsi="Times New Roman" w:cs="Times New Roman"/>
                <w:sz w:val="20"/>
                <w:szCs w:val="20"/>
              </w:rPr>
              <w:t>, South African National Biodiversity Institute, Kirstenbosch and DSI-NRF Centre of Excellence for Invasion Biology, Stellenbosch. http://dx.doi.org/10.5281/zenodo.3947613.</w:t>
            </w:r>
          </w:p>
        </w:tc>
      </w:tr>
    </w:tbl>
    <w:p w14:paraId="69EB44AB" w14:textId="77777777" w:rsidR="002D7080" w:rsidRPr="00222D02"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222D02" w14:paraId="484CC2AA" w14:textId="77777777" w:rsidTr="002E2C37">
        <w:trPr>
          <w:trHeight w:val="343"/>
        </w:trPr>
        <w:tc>
          <w:tcPr>
            <w:tcW w:w="9067" w:type="dxa"/>
            <w:gridSpan w:val="2"/>
            <w:shd w:val="clear" w:color="auto" w:fill="F2F2F2" w:themeFill="background1" w:themeFillShade="F2"/>
          </w:tcPr>
          <w:p w14:paraId="01B6439E"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MAN2 Benefits of the Taxon</w:t>
            </w:r>
          </w:p>
        </w:tc>
      </w:tr>
      <w:tr w:rsidR="002D7080" w:rsidRPr="00222D02" w14:paraId="558CF302" w14:textId="77777777" w:rsidTr="002E2C37">
        <w:trPr>
          <w:trHeight w:val="343"/>
        </w:trPr>
        <w:tc>
          <w:tcPr>
            <w:tcW w:w="9067" w:type="dxa"/>
            <w:gridSpan w:val="2"/>
            <w:shd w:val="clear" w:color="auto" w:fill="F2F2F2" w:themeFill="background1" w:themeFillShade="F2"/>
          </w:tcPr>
          <w:p w14:paraId="43D4CB6D"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 xml:space="preserve">MAN2a Socio-economic benefits of the </w:t>
            </w:r>
            <w:r w:rsidRPr="00222D02">
              <w:rPr>
                <w:rFonts w:ascii="Times New Roman" w:eastAsia="Times New Roman" w:hAnsi="Times New Roman" w:cs="Times New Roman"/>
                <w:b/>
                <w:i/>
                <w:sz w:val="20"/>
                <w:szCs w:val="20"/>
                <w:lang w:eastAsia="en-ZA"/>
              </w:rPr>
              <w:t>Taxon</w:t>
            </w:r>
          </w:p>
        </w:tc>
      </w:tr>
      <w:tr w:rsidR="002D7080" w:rsidRPr="00222D02" w14:paraId="2BB48028" w14:textId="77777777" w:rsidTr="002E2C37">
        <w:trPr>
          <w:trHeight w:val="172"/>
        </w:trPr>
        <w:tc>
          <w:tcPr>
            <w:tcW w:w="5240" w:type="dxa"/>
          </w:tcPr>
          <w:p w14:paraId="1B536879"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Low</w:t>
            </w:r>
          </w:p>
        </w:tc>
        <w:tc>
          <w:tcPr>
            <w:tcW w:w="3827" w:type="dxa"/>
          </w:tcPr>
          <w:p w14:paraId="69DBAE24"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Medium</w:t>
            </w:r>
          </w:p>
        </w:tc>
      </w:tr>
      <w:tr w:rsidR="002D7080" w:rsidRPr="00222D02" w14:paraId="506CE3FC" w14:textId="77777777" w:rsidTr="002E2C37">
        <w:trPr>
          <w:trHeight w:val="70"/>
        </w:trPr>
        <w:tc>
          <w:tcPr>
            <w:tcW w:w="9067" w:type="dxa"/>
            <w:gridSpan w:val="2"/>
          </w:tcPr>
          <w:p w14:paraId="46A559A5"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There is no information on the production of </w:t>
            </w:r>
            <w:r w:rsidRPr="00222D02">
              <w:rPr>
                <w:rFonts w:ascii="Times New Roman" w:eastAsia="Times New Roman" w:hAnsi="Times New Roman" w:cs="Times New Roman"/>
                <w:i/>
                <w:iCs/>
                <w:sz w:val="20"/>
                <w:szCs w:val="20"/>
                <w:lang w:eastAsia="en-ZA"/>
              </w:rPr>
              <w:t xml:space="preserve">C. quadricarinatus </w:t>
            </w:r>
            <w:r w:rsidRPr="00222D02">
              <w:rPr>
                <w:rFonts w:ascii="Times New Roman" w:eastAsia="Times New Roman" w:hAnsi="Times New Roman" w:cs="Times New Roman"/>
                <w:sz w:val="20"/>
                <w:szCs w:val="20"/>
                <w:lang w:eastAsia="en-ZA"/>
              </w:rPr>
              <w:t>in South Africa (FAO 2023), but other crayfish species (</w:t>
            </w:r>
            <w:r w:rsidRPr="00222D02">
              <w:rPr>
                <w:rFonts w:ascii="Times New Roman" w:eastAsia="Times New Roman" w:hAnsi="Times New Roman" w:cs="Times New Roman"/>
                <w:i/>
                <w:iCs/>
                <w:sz w:val="20"/>
                <w:szCs w:val="20"/>
                <w:lang w:eastAsia="en-ZA"/>
              </w:rPr>
              <w:t>C. tenuimanus</w:t>
            </w:r>
            <w:r w:rsidRPr="00222D02">
              <w:rPr>
                <w:rFonts w:ascii="Times New Roman" w:eastAsia="Times New Roman" w:hAnsi="Times New Roman" w:cs="Times New Roman"/>
                <w:sz w:val="20"/>
                <w:szCs w:val="20"/>
                <w:lang w:eastAsia="en-ZA"/>
              </w:rPr>
              <w:t xml:space="preserve">) have been farmed on very small scales (Burgess 2007). Therefore, the response has been scored as low. </w:t>
            </w:r>
          </w:p>
        </w:tc>
      </w:tr>
      <w:tr w:rsidR="002D7080" w:rsidRPr="00222D02" w14:paraId="2FB3DA3C" w14:textId="77777777" w:rsidTr="002E2C37">
        <w:trPr>
          <w:trHeight w:val="70"/>
        </w:trPr>
        <w:tc>
          <w:tcPr>
            <w:tcW w:w="9067" w:type="dxa"/>
            <w:gridSpan w:val="2"/>
          </w:tcPr>
          <w:p w14:paraId="7C731A9A"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66D080E7" w14:textId="77777777"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lastRenderedPageBreak/>
              <w:t xml:space="preserve">Burgess, M., 2007, ‘Pioneers of SA marron production’, </w:t>
            </w:r>
            <w:r w:rsidRPr="00222D02">
              <w:rPr>
                <w:rFonts w:ascii="Times New Roman" w:eastAsia="Times New Roman" w:hAnsi="Times New Roman" w:cs="Times New Roman"/>
                <w:i/>
                <w:iCs/>
                <w:sz w:val="20"/>
                <w:szCs w:val="20"/>
                <w:lang w:eastAsia="en-ZA"/>
              </w:rPr>
              <w:t>farmer’s weekly</w:t>
            </w:r>
            <w:r w:rsidRPr="00222D02">
              <w:rPr>
                <w:rFonts w:ascii="Times New Roman" w:eastAsia="Times New Roman" w:hAnsi="Times New Roman" w:cs="Times New Roman"/>
                <w:sz w:val="20"/>
                <w:szCs w:val="20"/>
                <w:lang w:eastAsia="en-ZA"/>
              </w:rPr>
              <w:t>, viewed 11 August 2023, from https://www.farmersweekly.co.za/animals/aquaculture/pioneers-of-sa-marron-production/.</w:t>
            </w:r>
          </w:p>
          <w:p w14:paraId="67EDFA9A" w14:textId="77777777"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FAO 2023. PARASTACIDAE. Cultured Aquatic Species Information Programme. Text by Jones, C. Fisheries and Aquaculture Division [online]. Rome. Updated 2011-10-10 [Cited Thursday, September 7th 2023]. https://www.fao.org/fishery/en/culturedspecies/cherax_quadricarinatus/en.</w:t>
            </w:r>
          </w:p>
        </w:tc>
      </w:tr>
      <w:tr w:rsidR="002D7080" w:rsidRPr="00222D02" w14:paraId="119C8A19" w14:textId="77777777" w:rsidTr="002E2C37">
        <w:trPr>
          <w:trHeight w:val="343"/>
        </w:trPr>
        <w:tc>
          <w:tcPr>
            <w:tcW w:w="9067" w:type="dxa"/>
            <w:gridSpan w:val="2"/>
            <w:shd w:val="clear" w:color="auto" w:fill="F2F2F2" w:themeFill="background1" w:themeFillShade="F2"/>
          </w:tcPr>
          <w:p w14:paraId="21C8060B"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lastRenderedPageBreak/>
              <w:t xml:space="preserve">MAN2b Environmental benefits of the </w:t>
            </w:r>
            <w:r w:rsidRPr="00222D02">
              <w:rPr>
                <w:rFonts w:ascii="Times New Roman" w:eastAsia="Times New Roman" w:hAnsi="Times New Roman" w:cs="Times New Roman"/>
                <w:b/>
                <w:i/>
                <w:sz w:val="20"/>
                <w:szCs w:val="20"/>
                <w:lang w:eastAsia="en-ZA"/>
              </w:rPr>
              <w:t>Taxon</w:t>
            </w:r>
          </w:p>
        </w:tc>
      </w:tr>
      <w:tr w:rsidR="002D7080" w:rsidRPr="00222D02" w14:paraId="403C6010" w14:textId="77777777" w:rsidTr="002E2C37">
        <w:trPr>
          <w:trHeight w:val="259"/>
        </w:trPr>
        <w:tc>
          <w:tcPr>
            <w:tcW w:w="5240" w:type="dxa"/>
          </w:tcPr>
          <w:p w14:paraId="3D6A9A1A"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Low</w:t>
            </w:r>
          </w:p>
        </w:tc>
        <w:tc>
          <w:tcPr>
            <w:tcW w:w="3827" w:type="dxa"/>
          </w:tcPr>
          <w:p w14:paraId="3DA6BA0D"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51FB61C0" w14:textId="77777777" w:rsidTr="002E2C37">
        <w:trPr>
          <w:trHeight w:val="70"/>
        </w:trPr>
        <w:tc>
          <w:tcPr>
            <w:tcW w:w="9067" w:type="dxa"/>
            <w:gridSpan w:val="2"/>
          </w:tcPr>
          <w:p w14:paraId="673E0965"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There are no recorded environmental benefits associated with </w:t>
            </w:r>
            <w:r w:rsidRPr="00222D02">
              <w:rPr>
                <w:rFonts w:ascii="Times New Roman" w:eastAsia="Times New Roman" w:hAnsi="Times New Roman" w:cs="Times New Roman"/>
                <w:i/>
                <w:iCs/>
                <w:sz w:val="20"/>
                <w:szCs w:val="20"/>
                <w:lang w:eastAsia="en-ZA"/>
              </w:rPr>
              <w:t>C. quadricarinatus</w:t>
            </w:r>
            <w:r w:rsidRPr="00222D02">
              <w:rPr>
                <w:rFonts w:ascii="Times New Roman" w:eastAsia="Times New Roman" w:hAnsi="Times New Roman" w:cs="Times New Roman"/>
                <w:sz w:val="20"/>
                <w:szCs w:val="20"/>
                <w:lang w:eastAsia="en-ZA"/>
              </w:rPr>
              <w:t>.</w:t>
            </w:r>
          </w:p>
        </w:tc>
      </w:tr>
      <w:tr w:rsidR="002D7080" w:rsidRPr="00222D02" w14:paraId="7A3A45A3" w14:textId="77777777" w:rsidTr="002E2C37">
        <w:trPr>
          <w:trHeight w:val="70"/>
        </w:trPr>
        <w:tc>
          <w:tcPr>
            <w:tcW w:w="9067" w:type="dxa"/>
            <w:gridSpan w:val="2"/>
          </w:tcPr>
          <w:p w14:paraId="33E1D878"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tc>
      </w:tr>
    </w:tbl>
    <w:p w14:paraId="288E7A73" w14:textId="77777777" w:rsidR="002D7080" w:rsidRPr="00222D02"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222D02" w14:paraId="7551A16B" w14:textId="77777777" w:rsidTr="002E2C37">
        <w:trPr>
          <w:trHeight w:val="343"/>
        </w:trPr>
        <w:tc>
          <w:tcPr>
            <w:tcW w:w="9067" w:type="dxa"/>
            <w:gridSpan w:val="2"/>
            <w:shd w:val="clear" w:color="auto" w:fill="F2F2F2" w:themeFill="background1" w:themeFillShade="F2"/>
          </w:tcPr>
          <w:p w14:paraId="7CFC478B"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MAN3 Ease of management</w:t>
            </w:r>
          </w:p>
        </w:tc>
      </w:tr>
      <w:tr w:rsidR="002D7080" w:rsidRPr="00222D02" w14:paraId="43B85AB8" w14:textId="77777777" w:rsidTr="002E2C37">
        <w:trPr>
          <w:trHeight w:val="343"/>
        </w:trPr>
        <w:tc>
          <w:tcPr>
            <w:tcW w:w="9067" w:type="dxa"/>
            <w:gridSpan w:val="2"/>
            <w:shd w:val="clear" w:color="auto" w:fill="F2F2F2" w:themeFill="background1" w:themeFillShade="F2"/>
          </w:tcPr>
          <w:p w14:paraId="57AA84E0"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MAN3a How accessible are populations?</w:t>
            </w:r>
          </w:p>
        </w:tc>
      </w:tr>
      <w:tr w:rsidR="002D7080" w:rsidRPr="00222D02" w14:paraId="7B9C4381" w14:textId="77777777" w:rsidTr="002E2C37">
        <w:trPr>
          <w:trHeight w:val="183"/>
        </w:trPr>
        <w:tc>
          <w:tcPr>
            <w:tcW w:w="5240" w:type="dxa"/>
          </w:tcPr>
          <w:p w14:paraId="127D1A6A"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Response: 2 (difficult to access) </w:t>
            </w:r>
          </w:p>
        </w:tc>
        <w:tc>
          <w:tcPr>
            <w:tcW w:w="3827" w:type="dxa"/>
          </w:tcPr>
          <w:p w14:paraId="646B189E"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2B62D09D" w14:textId="77777777" w:rsidTr="002E2C37">
        <w:trPr>
          <w:trHeight w:val="163"/>
        </w:trPr>
        <w:tc>
          <w:tcPr>
            <w:tcW w:w="9067" w:type="dxa"/>
            <w:gridSpan w:val="2"/>
          </w:tcPr>
          <w:p w14:paraId="34D6B176"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is a small nocturnal aquatic species that is difficult to sample (Larson et al. 2016). In South Africa, </w:t>
            </w:r>
            <w:r w:rsidRPr="00222D02">
              <w:rPr>
                <w:rFonts w:ascii="Times New Roman" w:eastAsia="Times New Roman" w:hAnsi="Times New Roman" w:cs="Times New Roman"/>
                <w:i/>
                <w:iCs/>
                <w:sz w:val="20"/>
                <w:szCs w:val="20"/>
                <w:lang w:eastAsia="en-ZA"/>
              </w:rPr>
              <w:t xml:space="preserve">C. quadricarinatus </w:t>
            </w:r>
            <w:r w:rsidRPr="00222D02">
              <w:rPr>
                <w:rFonts w:ascii="Times New Roman" w:eastAsia="Times New Roman" w:hAnsi="Times New Roman" w:cs="Times New Roman"/>
                <w:sz w:val="20"/>
                <w:szCs w:val="20"/>
                <w:lang w:eastAsia="en-ZA"/>
              </w:rPr>
              <w:t xml:space="preserve">is widespread in the Inkomati and adjacent river systems (Nunes et al. 2017). Large sections of these river systems flow through private land; hence gaining access to populations will be dependent on the permission of landowners. Furthermore, there are safety risks associated with gaining access to these populations as there are dangerous animals present in these river systems (i.e., crocodiles and hippopotamuses). </w:t>
            </w:r>
          </w:p>
        </w:tc>
      </w:tr>
      <w:tr w:rsidR="002D7080" w:rsidRPr="00222D02" w14:paraId="16676561" w14:textId="77777777" w:rsidTr="002E2C37">
        <w:trPr>
          <w:trHeight w:val="70"/>
        </w:trPr>
        <w:tc>
          <w:tcPr>
            <w:tcW w:w="9067" w:type="dxa"/>
            <w:gridSpan w:val="2"/>
          </w:tcPr>
          <w:p w14:paraId="08E9DB39"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0E8BD86D" w14:textId="594B5F6E"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Nunes, A.L., Zengeya, T.A., Hoffman, A.C., Measey, G.J. &amp; Weyl, O.L.F., 2017, ‘Distribution and establishment of the alien Australian redclaw crayfish,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in South Africa and Swaziland’, </w:t>
            </w:r>
            <w:r w:rsidRPr="00222D02">
              <w:rPr>
                <w:rFonts w:ascii="Times New Roman" w:eastAsia="Times New Roman" w:hAnsi="Times New Roman" w:cs="Times New Roman"/>
                <w:i/>
                <w:iCs/>
                <w:sz w:val="20"/>
                <w:szCs w:val="20"/>
                <w:lang w:eastAsia="en-ZA"/>
              </w:rPr>
              <w:t>PeerJ</w:t>
            </w:r>
            <w:r w:rsidRPr="00222D02">
              <w:rPr>
                <w:rFonts w:ascii="Times New Roman" w:eastAsia="Times New Roman" w:hAnsi="Times New Roman" w:cs="Times New Roman"/>
                <w:sz w:val="20"/>
                <w:szCs w:val="20"/>
                <w:lang w:eastAsia="en-ZA"/>
              </w:rPr>
              <w:t> </w:t>
            </w:r>
            <w:r w:rsidRPr="00222D02">
              <w:rPr>
                <w:rFonts w:ascii="Times New Roman" w:eastAsia="Times New Roman" w:hAnsi="Times New Roman" w:cs="Times New Roman"/>
                <w:iCs/>
                <w:sz w:val="20"/>
                <w:szCs w:val="20"/>
                <w:lang w:eastAsia="en-ZA"/>
              </w:rPr>
              <w:t>5</w:t>
            </w:r>
            <w:r w:rsidRPr="00222D02">
              <w:rPr>
                <w:rFonts w:ascii="Times New Roman" w:eastAsia="Times New Roman" w:hAnsi="Times New Roman" w:cs="Times New Roman"/>
                <w:b/>
                <w:sz w:val="20"/>
                <w:szCs w:val="20"/>
                <w:lang w:eastAsia="en-ZA"/>
              </w:rPr>
              <w:t>,</w:t>
            </w:r>
            <w:r w:rsidRPr="00222D02">
              <w:rPr>
                <w:rFonts w:ascii="Times New Roman" w:eastAsia="Times New Roman" w:hAnsi="Times New Roman" w:cs="Times New Roman"/>
                <w:sz w:val="20"/>
                <w:szCs w:val="20"/>
                <w:lang w:eastAsia="en-ZA"/>
              </w:rPr>
              <w:t xml:space="preserve"> 1–21. </w:t>
            </w:r>
            <w:r w:rsidR="00E52851" w:rsidRPr="00E52851">
              <w:rPr>
                <w:rFonts w:ascii="Times New Roman" w:eastAsia="Times New Roman" w:hAnsi="Times New Roman" w:cs="Times New Roman"/>
                <w:sz w:val="20"/>
                <w:szCs w:val="20"/>
                <w:lang w:eastAsia="en-ZA"/>
              </w:rPr>
              <w:t>https://doi.org/10.7717/peerj.3135</w:t>
            </w:r>
            <w:r w:rsidRPr="00222D02">
              <w:rPr>
                <w:rFonts w:ascii="Times New Roman" w:eastAsia="Times New Roman" w:hAnsi="Times New Roman" w:cs="Times New Roman"/>
                <w:sz w:val="20"/>
                <w:szCs w:val="20"/>
                <w:lang w:eastAsia="en-ZA"/>
              </w:rPr>
              <w:t>.</w:t>
            </w:r>
          </w:p>
          <w:p w14:paraId="25FA8259" w14:textId="77777777" w:rsidR="002D7080" w:rsidRPr="00222D02" w:rsidRDefault="002D7080" w:rsidP="00E52851">
            <w:pPr>
              <w:ind w:left="720" w:hanging="720"/>
              <w:contextualSpacing/>
              <w:jc w:val="both"/>
              <w:rPr>
                <w:rFonts w:ascii="Times New Roman" w:hAnsi="Times New Roman" w:cs="Times New Roman"/>
                <w:sz w:val="20"/>
                <w:szCs w:val="20"/>
              </w:rPr>
            </w:pPr>
            <w:r w:rsidRPr="00222D02">
              <w:rPr>
                <w:rStyle w:val="cf01"/>
                <w:rFonts w:ascii="Times New Roman" w:hAnsi="Times New Roman" w:cs="Times New Roman"/>
                <w:sz w:val="20"/>
                <w:szCs w:val="20"/>
              </w:rPr>
              <w:t xml:space="preserve">Larson, E.R. &amp; Olden, J.D., 2016, ‘Field sampling techniques for crayfish’, In: Longshaw, M., Stebbing, P. (eds), </w:t>
            </w:r>
            <w:r w:rsidRPr="00222D02">
              <w:rPr>
                <w:rStyle w:val="cf01"/>
                <w:rFonts w:ascii="Times New Roman" w:hAnsi="Times New Roman" w:cs="Times New Roman"/>
                <w:i/>
                <w:iCs/>
                <w:sz w:val="20"/>
                <w:szCs w:val="20"/>
              </w:rPr>
              <w:t>Biology and Ecology of Crayfish 1 st edn</w:t>
            </w:r>
            <w:r w:rsidRPr="00222D02">
              <w:rPr>
                <w:rStyle w:val="cf01"/>
                <w:rFonts w:ascii="Times New Roman" w:hAnsi="Times New Roman" w:cs="Times New Roman"/>
                <w:sz w:val="20"/>
                <w:szCs w:val="20"/>
              </w:rPr>
              <w:t>, pp. 287- 323, CRC Press, Boca Raton.</w:t>
            </w:r>
          </w:p>
        </w:tc>
      </w:tr>
      <w:tr w:rsidR="002D7080" w:rsidRPr="00222D02" w14:paraId="47A2EC6B" w14:textId="77777777" w:rsidTr="002E2C37">
        <w:trPr>
          <w:trHeight w:val="343"/>
        </w:trPr>
        <w:tc>
          <w:tcPr>
            <w:tcW w:w="9067" w:type="dxa"/>
            <w:gridSpan w:val="2"/>
            <w:shd w:val="clear" w:color="auto" w:fill="F2F2F2" w:themeFill="background1" w:themeFillShade="F2"/>
          </w:tcPr>
          <w:p w14:paraId="17A8F3F0"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MAN3b Is detectability critically time-dependent?</w:t>
            </w:r>
          </w:p>
        </w:tc>
      </w:tr>
      <w:tr w:rsidR="002D7080" w:rsidRPr="00222D02" w14:paraId="4968D5BA" w14:textId="77777777" w:rsidTr="002E2C37">
        <w:trPr>
          <w:trHeight w:val="183"/>
        </w:trPr>
        <w:tc>
          <w:tcPr>
            <w:tcW w:w="5240" w:type="dxa"/>
          </w:tcPr>
          <w:p w14:paraId="5054A17B" w14:textId="77777777" w:rsidR="002D7080" w:rsidRPr="00222D02" w:rsidRDefault="002D7080" w:rsidP="002E2C37">
            <w:pPr>
              <w:tabs>
                <w:tab w:val="left" w:pos="1481"/>
              </w:tabs>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2 (yes)</w:t>
            </w:r>
          </w:p>
        </w:tc>
        <w:tc>
          <w:tcPr>
            <w:tcW w:w="3827" w:type="dxa"/>
          </w:tcPr>
          <w:p w14:paraId="59C3D901"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78443BEF" w14:textId="77777777" w:rsidTr="002E2C37">
        <w:trPr>
          <w:trHeight w:val="70"/>
        </w:trPr>
        <w:tc>
          <w:tcPr>
            <w:tcW w:w="9067" w:type="dxa"/>
            <w:gridSpan w:val="2"/>
          </w:tcPr>
          <w:p w14:paraId="55DC1CA8" w14:textId="72FE473E"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w:t>
            </w:r>
            <w:r w:rsidRPr="00222D02">
              <w:rPr>
                <w:rFonts w:ascii="Times New Roman" w:eastAsia="Times New Roman" w:hAnsi="Times New Roman" w:cs="Times New Roman"/>
                <w:i/>
                <w:iCs/>
                <w:sz w:val="20"/>
                <w:szCs w:val="20"/>
                <w:lang w:eastAsia="en-ZA"/>
              </w:rPr>
              <w:t xml:space="preserve">Cherax quadricarinatus </w:t>
            </w:r>
            <w:r w:rsidRPr="00222D02">
              <w:rPr>
                <w:rFonts w:ascii="Times New Roman" w:eastAsia="Times New Roman" w:hAnsi="Times New Roman" w:cs="Times New Roman"/>
                <w:sz w:val="20"/>
                <w:szCs w:val="20"/>
                <w:lang w:eastAsia="en-ZA"/>
              </w:rPr>
              <w:t>can be detected throughout the year; but it is a small nocturnal aquatic species that is difficult to detect during the day (</w:t>
            </w:r>
            <w:r w:rsidR="008A0BC6">
              <w:rPr>
                <w:rFonts w:ascii="Times New Roman" w:eastAsia="Times New Roman" w:hAnsi="Times New Roman" w:cs="Times New Roman"/>
                <w:sz w:val="20"/>
                <w:szCs w:val="20"/>
                <w:lang w:eastAsia="en-ZA"/>
              </w:rPr>
              <w:t>De Moor</w:t>
            </w:r>
            <w:r w:rsidRPr="00222D02">
              <w:rPr>
                <w:rFonts w:ascii="Times New Roman" w:eastAsia="Times New Roman" w:hAnsi="Times New Roman" w:cs="Times New Roman"/>
                <w:sz w:val="20"/>
                <w:szCs w:val="20"/>
                <w:lang w:eastAsia="en-ZA"/>
              </w:rPr>
              <w:t xml:space="preserve"> 2002; Larson et al. 2016; Nunes et al. 2017).</w:t>
            </w:r>
          </w:p>
        </w:tc>
      </w:tr>
      <w:tr w:rsidR="002D7080" w:rsidRPr="00222D02" w14:paraId="26552B3A" w14:textId="77777777" w:rsidTr="002E2C37">
        <w:trPr>
          <w:trHeight w:val="70"/>
        </w:trPr>
        <w:tc>
          <w:tcPr>
            <w:tcW w:w="9067" w:type="dxa"/>
            <w:gridSpan w:val="2"/>
          </w:tcPr>
          <w:p w14:paraId="6CBC3708" w14:textId="77777777" w:rsidR="002D7080" w:rsidRPr="00222D02" w:rsidRDefault="002D7080" w:rsidP="00E3690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0B982DD0" w14:textId="3B74332B" w:rsidR="002D7080" w:rsidRPr="00222D02" w:rsidRDefault="008A0BC6" w:rsidP="00E36901">
            <w:pPr>
              <w:ind w:left="720" w:hanging="720"/>
              <w:contextualSpacing/>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De Moor</w:t>
            </w:r>
            <w:r w:rsidR="002D7080" w:rsidRPr="00222D02">
              <w:rPr>
                <w:rFonts w:ascii="Times New Roman" w:eastAsia="Times New Roman" w:hAnsi="Times New Roman" w:cs="Times New Roman"/>
                <w:sz w:val="20"/>
                <w:szCs w:val="20"/>
                <w:lang w:eastAsia="en-ZA"/>
              </w:rPr>
              <w:t xml:space="preserve">, I., 2002, ‘Potential impacts of alien freshwater crayfish in South Africa’, African </w:t>
            </w:r>
            <w:r w:rsidR="002D7080" w:rsidRPr="00222D02">
              <w:rPr>
                <w:rFonts w:ascii="Times New Roman" w:eastAsia="Times New Roman" w:hAnsi="Times New Roman" w:cs="Times New Roman"/>
                <w:i/>
                <w:sz w:val="20"/>
                <w:szCs w:val="20"/>
                <w:lang w:eastAsia="en-ZA"/>
              </w:rPr>
              <w:t xml:space="preserve">Journal of Aquatic Science </w:t>
            </w:r>
            <w:r w:rsidR="002D7080" w:rsidRPr="00222D02">
              <w:rPr>
                <w:rFonts w:ascii="Times New Roman" w:eastAsia="Times New Roman" w:hAnsi="Times New Roman" w:cs="Times New Roman"/>
                <w:sz w:val="20"/>
                <w:szCs w:val="20"/>
                <w:lang w:eastAsia="en-ZA"/>
              </w:rPr>
              <w:t xml:space="preserve">27, 125–139. </w:t>
            </w:r>
            <w:hyperlink r:id="rId170" w:history="1">
              <w:r w:rsidR="00E36901" w:rsidRPr="00E36901">
                <w:rPr>
                  <w:rStyle w:val="Hyperlink"/>
                  <w:rFonts w:ascii="Times New Roman" w:eastAsia="Times New Roman" w:hAnsi="Times New Roman" w:cs="Times New Roman"/>
                  <w:sz w:val="20"/>
                  <w:szCs w:val="20"/>
                  <w:lang w:eastAsia="en-ZA"/>
                </w:rPr>
                <w:t>https://doi.org/10.2989/16085914.2002.9626584</w:t>
              </w:r>
            </w:hyperlink>
          </w:p>
          <w:p w14:paraId="68223A6F" w14:textId="77777777" w:rsidR="002D7080" w:rsidRPr="00222D02" w:rsidRDefault="002D7080" w:rsidP="00E3690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Nunes, A.L., Zengeya, T.A., Measey, G.J. &amp; Weyl, O.L.F., 2017b, ‘Freshwater crayfish invasions in South Africa: Past, present and potential future’, </w:t>
            </w:r>
            <w:r w:rsidRPr="00222D02">
              <w:rPr>
                <w:rFonts w:ascii="Times New Roman" w:eastAsia="Times New Roman" w:hAnsi="Times New Roman" w:cs="Times New Roman"/>
                <w:i/>
                <w:sz w:val="20"/>
                <w:szCs w:val="20"/>
                <w:lang w:eastAsia="en-ZA"/>
              </w:rPr>
              <w:t>African Journal of Aquatic Science</w:t>
            </w:r>
            <w:r w:rsidRPr="00222D02">
              <w:rPr>
                <w:rFonts w:ascii="Times New Roman" w:eastAsia="Times New Roman" w:hAnsi="Times New Roman" w:cs="Times New Roman"/>
                <w:sz w:val="20"/>
                <w:szCs w:val="20"/>
                <w:lang w:eastAsia="en-ZA"/>
              </w:rPr>
              <w:t xml:space="preserve"> 42, 309–323. https://doi.org/10.2989/16085914.2017.1405788.</w:t>
            </w:r>
          </w:p>
          <w:p w14:paraId="0428A52C" w14:textId="77777777" w:rsidR="002D7080" w:rsidRPr="00222D02" w:rsidRDefault="002D7080" w:rsidP="00E36901">
            <w:pPr>
              <w:ind w:left="720" w:hanging="720"/>
              <w:contextualSpacing/>
              <w:jc w:val="both"/>
              <w:rPr>
                <w:rFonts w:ascii="Times New Roman" w:hAnsi="Times New Roman" w:cs="Times New Roman"/>
                <w:sz w:val="20"/>
                <w:szCs w:val="20"/>
              </w:rPr>
            </w:pPr>
            <w:r w:rsidRPr="00222D02">
              <w:rPr>
                <w:rStyle w:val="cf01"/>
                <w:rFonts w:ascii="Times New Roman" w:hAnsi="Times New Roman" w:cs="Times New Roman"/>
                <w:sz w:val="20"/>
                <w:szCs w:val="20"/>
              </w:rPr>
              <w:t xml:space="preserve">Larson, E.R. &amp; Olden, J.D., 2016, ‘Field sampling techniques for crayfish’, In: Longshaw, M., Stebbing, P. (eds), </w:t>
            </w:r>
            <w:r w:rsidRPr="00222D02">
              <w:rPr>
                <w:rStyle w:val="cf01"/>
                <w:rFonts w:ascii="Times New Roman" w:hAnsi="Times New Roman" w:cs="Times New Roman"/>
                <w:i/>
                <w:iCs/>
                <w:sz w:val="20"/>
                <w:szCs w:val="20"/>
              </w:rPr>
              <w:t>Biology and Ecology of Crayfish 1 st edn</w:t>
            </w:r>
            <w:r w:rsidRPr="00222D02">
              <w:rPr>
                <w:rStyle w:val="cf01"/>
                <w:rFonts w:ascii="Times New Roman" w:hAnsi="Times New Roman" w:cs="Times New Roman"/>
                <w:sz w:val="20"/>
                <w:szCs w:val="20"/>
              </w:rPr>
              <w:t>, pp. 287- 323, CRC Press, Boca Raton.</w:t>
            </w:r>
          </w:p>
        </w:tc>
      </w:tr>
      <w:tr w:rsidR="002D7080" w:rsidRPr="00222D02" w14:paraId="332B00AC" w14:textId="77777777" w:rsidTr="002E2C37">
        <w:trPr>
          <w:trHeight w:val="343"/>
        </w:trPr>
        <w:tc>
          <w:tcPr>
            <w:tcW w:w="9067" w:type="dxa"/>
            <w:gridSpan w:val="2"/>
            <w:shd w:val="clear" w:color="auto" w:fill="F2F2F2" w:themeFill="background1" w:themeFillShade="F2"/>
          </w:tcPr>
          <w:p w14:paraId="2C682A49"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MAN3c Time to reproduction</w:t>
            </w:r>
          </w:p>
        </w:tc>
      </w:tr>
      <w:tr w:rsidR="002D7080" w:rsidRPr="00222D02" w14:paraId="74FF79C3" w14:textId="77777777" w:rsidTr="002E2C37">
        <w:trPr>
          <w:trHeight w:val="183"/>
        </w:trPr>
        <w:tc>
          <w:tcPr>
            <w:tcW w:w="5240" w:type="dxa"/>
          </w:tcPr>
          <w:p w14:paraId="13C58B46"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2 (&lt;1 year)</w:t>
            </w:r>
          </w:p>
        </w:tc>
        <w:tc>
          <w:tcPr>
            <w:tcW w:w="3827" w:type="dxa"/>
          </w:tcPr>
          <w:p w14:paraId="1C7CA62B"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7D8130D8" w14:textId="77777777" w:rsidTr="002E2C37">
        <w:trPr>
          <w:trHeight w:val="70"/>
        </w:trPr>
        <w:tc>
          <w:tcPr>
            <w:tcW w:w="9067" w:type="dxa"/>
            <w:gridSpan w:val="2"/>
          </w:tcPr>
          <w:p w14:paraId="07EF2C3F" w14:textId="3CFDFF34"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lastRenderedPageBreak/>
              <w:t xml:space="preserve">Rationale: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xml:space="preserve"> reaches sexual maturity within the first year and can have multiple spawning events per year when environmental conditions are optimal (</w:t>
            </w:r>
            <w:r w:rsidR="008A0BC6">
              <w:rPr>
                <w:rFonts w:ascii="Times New Roman" w:eastAsia="Times New Roman" w:hAnsi="Times New Roman" w:cs="Times New Roman"/>
                <w:sz w:val="20"/>
                <w:szCs w:val="20"/>
                <w:lang w:eastAsia="en-ZA"/>
              </w:rPr>
              <w:t>De Moor</w:t>
            </w:r>
            <w:r w:rsidRPr="00222D02">
              <w:rPr>
                <w:rFonts w:ascii="Times New Roman" w:eastAsia="Times New Roman" w:hAnsi="Times New Roman" w:cs="Times New Roman"/>
                <w:sz w:val="20"/>
                <w:szCs w:val="20"/>
                <w:lang w:eastAsia="en-ZA"/>
              </w:rPr>
              <w:t xml:space="preserve"> 2002). Clutch size can reach up to 1000 eggs (van Kuijk et al. 2021) however the average is about 500 eggs (</w:t>
            </w:r>
            <w:r w:rsidR="008A0BC6">
              <w:rPr>
                <w:rFonts w:ascii="Times New Roman" w:eastAsia="Times New Roman" w:hAnsi="Times New Roman" w:cs="Times New Roman"/>
                <w:sz w:val="20"/>
                <w:szCs w:val="20"/>
                <w:lang w:eastAsia="en-ZA"/>
              </w:rPr>
              <w:t>De Moor</w:t>
            </w:r>
            <w:r w:rsidRPr="00222D02">
              <w:rPr>
                <w:rFonts w:ascii="Times New Roman" w:eastAsia="Times New Roman" w:hAnsi="Times New Roman" w:cs="Times New Roman"/>
                <w:sz w:val="20"/>
                <w:szCs w:val="20"/>
                <w:lang w:eastAsia="en-ZA"/>
              </w:rPr>
              <w:t xml:space="preserve"> 2002)</w:t>
            </w:r>
          </w:p>
        </w:tc>
      </w:tr>
      <w:tr w:rsidR="002D7080" w:rsidRPr="00222D02" w14:paraId="0BAB0EBD" w14:textId="77777777" w:rsidTr="002E2C37">
        <w:trPr>
          <w:trHeight w:val="70"/>
        </w:trPr>
        <w:tc>
          <w:tcPr>
            <w:tcW w:w="9067" w:type="dxa"/>
            <w:gridSpan w:val="2"/>
          </w:tcPr>
          <w:p w14:paraId="603BC501" w14:textId="77777777"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70019EFD" w14:textId="2C79D98E" w:rsidR="002D7080" w:rsidRPr="00222D02" w:rsidRDefault="008A0BC6" w:rsidP="00E52851">
            <w:pPr>
              <w:ind w:left="720" w:hanging="720"/>
              <w:contextualSpacing/>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De Moor</w:t>
            </w:r>
            <w:r w:rsidR="002D7080" w:rsidRPr="00222D02">
              <w:rPr>
                <w:rFonts w:ascii="Times New Roman" w:eastAsia="Times New Roman" w:hAnsi="Times New Roman" w:cs="Times New Roman"/>
                <w:sz w:val="20"/>
                <w:szCs w:val="20"/>
                <w:lang w:eastAsia="en-ZA"/>
              </w:rPr>
              <w:t xml:space="preserve">, I., 2002, ‘Potential impacts of alien freshwater crayfish in South Africa’, African </w:t>
            </w:r>
            <w:r w:rsidR="002D7080" w:rsidRPr="00222D02">
              <w:rPr>
                <w:rFonts w:ascii="Times New Roman" w:eastAsia="Times New Roman" w:hAnsi="Times New Roman" w:cs="Times New Roman"/>
                <w:i/>
                <w:sz w:val="20"/>
                <w:szCs w:val="20"/>
                <w:lang w:eastAsia="en-ZA"/>
              </w:rPr>
              <w:t xml:space="preserve">Journal of Aquatic Science </w:t>
            </w:r>
            <w:r w:rsidR="002D7080" w:rsidRPr="00222D02">
              <w:rPr>
                <w:rFonts w:ascii="Times New Roman" w:eastAsia="Times New Roman" w:hAnsi="Times New Roman" w:cs="Times New Roman"/>
                <w:sz w:val="20"/>
                <w:szCs w:val="20"/>
                <w:lang w:eastAsia="en-ZA"/>
              </w:rPr>
              <w:t xml:space="preserve">27, 125–139. </w:t>
            </w:r>
            <w:hyperlink r:id="rId171" w:history="1">
              <w:r w:rsidR="00E36901" w:rsidRPr="00E36901">
                <w:rPr>
                  <w:rStyle w:val="Hyperlink"/>
                  <w:rFonts w:ascii="Times New Roman" w:eastAsia="Times New Roman" w:hAnsi="Times New Roman" w:cs="Times New Roman"/>
                  <w:sz w:val="20"/>
                  <w:szCs w:val="20"/>
                  <w:lang w:eastAsia="en-ZA"/>
                </w:rPr>
                <w:t>https://doi.org/10.2989/16085914.2002.9626584</w:t>
              </w:r>
            </w:hyperlink>
          </w:p>
          <w:p w14:paraId="093D31C5" w14:textId="77777777"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van Kuijk, T., Biesmeijer, J.C., van der Hoorn, B.B.&amp; Verdonschot, P.M.F., 2021, ‘Functional traits explain crayfish invasive success in the Netherlands’, </w:t>
            </w:r>
            <w:r w:rsidRPr="00222D02">
              <w:rPr>
                <w:rFonts w:ascii="Times New Roman" w:eastAsia="Times New Roman" w:hAnsi="Times New Roman" w:cs="Times New Roman"/>
                <w:i/>
                <w:iCs/>
                <w:sz w:val="20"/>
                <w:szCs w:val="20"/>
                <w:lang w:eastAsia="en-ZA"/>
              </w:rPr>
              <w:t>Scientific Reports</w:t>
            </w:r>
            <w:r w:rsidRPr="00222D02">
              <w:rPr>
                <w:rFonts w:ascii="Times New Roman" w:eastAsia="Times New Roman" w:hAnsi="Times New Roman" w:cs="Times New Roman"/>
                <w:sz w:val="20"/>
                <w:szCs w:val="20"/>
                <w:lang w:eastAsia="en-ZA"/>
              </w:rPr>
              <w:t xml:space="preserve"> 11, 2772. https://doi.org/10.1038/s41598-021-82302-4</w:t>
            </w:r>
          </w:p>
        </w:tc>
      </w:tr>
      <w:tr w:rsidR="002D7080" w:rsidRPr="00222D02" w14:paraId="73AF65D3" w14:textId="77777777" w:rsidTr="002E2C37">
        <w:trPr>
          <w:trHeight w:val="343"/>
        </w:trPr>
        <w:tc>
          <w:tcPr>
            <w:tcW w:w="9067" w:type="dxa"/>
            <w:gridSpan w:val="2"/>
            <w:shd w:val="clear" w:color="auto" w:fill="F2F2F2" w:themeFill="background1" w:themeFillShade="F2"/>
          </w:tcPr>
          <w:p w14:paraId="3C6116AB"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MAN3d Propagule persistence</w:t>
            </w:r>
          </w:p>
        </w:tc>
      </w:tr>
      <w:tr w:rsidR="002D7080" w:rsidRPr="00222D02" w14:paraId="77F0F255" w14:textId="77777777" w:rsidTr="002E2C37">
        <w:trPr>
          <w:trHeight w:val="183"/>
        </w:trPr>
        <w:tc>
          <w:tcPr>
            <w:tcW w:w="5240" w:type="dxa"/>
          </w:tcPr>
          <w:p w14:paraId="2AE24956"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0 (&lt;1 year)</w:t>
            </w:r>
          </w:p>
        </w:tc>
        <w:tc>
          <w:tcPr>
            <w:tcW w:w="3827" w:type="dxa"/>
          </w:tcPr>
          <w:p w14:paraId="4624417B"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616F6C76" w14:textId="77777777" w:rsidTr="002E2C37">
        <w:trPr>
          <w:trHeight w:val="195"/>
        </w:trPr>
        <w:tc>
          <w:tcPr>
            <w:tcW w:w="9067" w:type="dxa"/>
            <w:gridSpan w:val="2"/>
          </w:tcPr>
          <w:p w14:paraId="718DA13C"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Depending on environmental conditions, </w:t>
            </w:r>
            <w:r w:rsidRPr="00222D02">
              <w:rPr>
                <w:rFonts w:ascii="Times New Roman" w:eastAsia="Times New Roman" w:hAnsi="Times New Roman" w:cs="Times New Roman"/>
                <w:i/>
                <w:iCs/>
                <w:sz w:val="20"/>
                <w:szCs w:val="20"/>
                <w:lang w:eastAsia="en-ZA"/>
              </w:rPr>
              <w:t xml:space="preserve">C. quadricarinatus </w:t>
            </w:r>
            <w:r w:rsidRPr="00222D02">
              <w:rPr>
                <w:rFonts w:ascii="Times New Roman" w:eastAsia="Times New Roman" w:hAnsi="Times New Roman" w:cs="Times New Roman"/>
                <w:sz w:val="20"/>
                <w:szCs w:val="20"/>
                <w:lang w:eastAsia="en-ZA"/>
              </w:rPr>
              <w:t>can have multiple spawning events per year producing up to 1000 eggs (van Kuijk et al. 2021).</w:t>
            </w:r>
          </w:p>
        </w:tc>
      </w:tr>
      <w:tr w:rsidR="002D7080" w:rsidRPr="00222D02" w14:paraId="24E44528" w14:textId="77777777" w:rsidTr="002E2C37">
        <w:trPr>
          <w:trHeight w:val="99"/>
        </w:trPr>
        <w:tc>
          <w:tcPr>
            <w:tcW w:w="9067" w:type="dxa"/>
            <w:gridSpan w:val="2"/>
          </w:tcPr>
          <w:p w14:paraId="0AA0D9D7"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57D1C0F4" w14:textId="77777777"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van Kuijk T., Biesmeijer, J.C., van der Hoorn, B.B.&amp; Verdonschot, P.M.F., 2021, ’Functional traits explain crayfish invasive success in the Netherlands’, </w:t>
            </w:r>
            <w:r w:rsidRPr="00222D02">
              <w:rPr>
                <w:rFonts w:ascii="Times New Roman" w:eastAsia="Times New Roman" w:hAnsi="Times New Roman" w:cs="Times New Roman"/>
                <w:i/>
                <w:iCs/>
                <w:sz w:val="20"/>
                <w:szCs w:val="20"/>
                <w:lang w:eastAsia="en-ZA"/>
              </w:rPr>
              <w:t>Scientific Reports</w:t>
            </w:r>
            <w:r w:rsidRPr="00222D02">
              <w:rPr>
                <w:rFonts w:ascii="Times New Roman" w:eastAsia="Times New Roman" w:hAnsi="Times New Roman" w:cs="Times New Roman"/>
                <w:sz w:val="20"/>
                <w:szCs w:val="20"/>
                <w:lang w:eastAsia="en-ZA"/>
              </w:rPr>
              <w:t xml:space="preserve"> 11, 2772. https://doi.org/10.1038/s41598-021-82302-4.</w:t>
            </w:r>
          </w:p>
        </w:tc>
      </w:tr>
      <w:tr w:rsidR="002D7080" w:rsidRPr="00222D02" w14:paraId="3306F786" w14:textId="77777777" w:rsidTr="002E2C37">
        <w:trPr>
          <w:trHeight w:val="343"/>
        </w:trPr>
        <w:tc>
          <w:tcPr>
            <w:tcW w:w="9067" w:type="dxa"/>
            <w:gridSpan w:val="2"/>
            <w:shd w:val="clear" w:color="auto" w:fill="F2F2F2" w:themeFill="background1" w:themeFillShade="F2"/>
          </w:tcPr>
          <w:p w14:paraId="643DD450"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 xml:space="preserve">MAN3 Ease of management </w:t>
            </w:r>
          </w:p>
        </w:tc>
      </w:tr>
      <w:tr w:rsidR="002D7080" w:rsidRPr="00222D02" w14:paraId="5C98A791" w14:textId="77777777" w:rsidTr="002E2C37">
        <w:trPr>
          <w:trHeight w:val="172"/>
        </w:trPr>
        <w:tc>
          <w:tcPr>
            <w:tcW w:w="5240" w:type="dxa"/>
          </w:tcPr>
          <w:p w14:paraId="2D52B030"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Response: Difficult </w:t>
            </w:r>
          </w:p>
        </w:tc>
        <w:tc>
          <w:tcPr>
            <w:tcW w:w="3827" w:type="dxa"/>
          </w:tcPr>
          <w:p w14:paraId="583DF97A"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 High</w:t>
            </w:r>
          </w:p>
        </w:tc>
      </w:tr>
      <w:tr w:rsidR="002D7080" w:rsidRPr="00222D02" w14:paraId="1C10171F" w14:textId="77777777" w:rsidTr="002E2C37">
        <w:trPr>
          <w:trHeight w:val="70"/>
        </w:trPr>
        <w:tc>
          <w:tcPr>
            <w:tcW w:w="9067" w:type="dxa"/>
            <w:gridSpan w:val="2"/>
          </w:tcPr>
          <w:p w14:paraId="6761553E"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w:t>
            </w:r>
            <w:r w:rsidRPr="00222D02">
              <w:rPr>
                <w:rFonts w:ascii="Times New Roman" w:eastAsia="Times New Roman" w:hAnsi="Times New Roman" w:cs="Times New Roman"/>
                <w:i/>
                <w:iCs/>
                <w:sz w:val="20"/>
                <w:szCs w:val="20"/>
                <w:lang w:eastAsia="en-ZA"/>
              </w:rPr>
              <w:t xml:space="preserve">Cherax quadricarinatus </w:t>
            </w:r>
            <w:r w:rsidRPr="00222D02">
              <w:rPr>
                <w:rFonts w:ascii="Times New Roman" w:eastAsia="Times New Roman" w:hAnsi="Times New Roman" w:cs="Times New Roman"/>
                <w:sz w:val="20"/>
                <w:szCs w:val="20"/>
                <w:lang w:eastAsia="en-ZA"/>
              </w:rPr>
              <w:t>is difficult to manage given that it is difficult to access, difficult to detect (being aquatic and primarily nocturnal) and has adaptive life history traits that aid establishment (parental care, fast growth rate, high fecundity, and a multiple spawner) (Nunes et al. 2017; van Kuijk et al. 2021).</w:t>
            </w:r>
            <w:r w:rsidRPr="00222D02">
              <w:rPr>
                <w:rFonts w:ascii="Times New Roman" w:eastAsia="Times New Roman" w:hAnsi="Times New Roman" w:cs="Times New Roman"/>
                <w:strike/>
                <w:sz w:val="20"/>
                <w:szCs w:val="20"/>
                <w:lang w:eastAsia="en-ZA"/>
              </w:rPr>
              <w:t xml:space="preserve"> </w:t>
            </w:r>
          </w:p>
        </w:tc>
      </w:tr>
      <w:tr w:rsidR="002D7080" w:rsidRPr="00222D02" w14:paraId="30987D14" w14:textId="77777777" w:rsidTr="002E2C37">
        <w:trPr>
          <w:cantSplit/>
          <w:trHeight w:val="70"/>
        </w:trPr>
        <w:tc>
          <w:tcPr>
            <w:tcW w:w="9067" w:type="dxa"/>
            <w:gridSpan w:val="2"/>
          </w:tcPr>
          <w:p w14:paraId="3053D3CF" w14:textId="77777777" w:rsidR="002D7080" w:rsidRPr="00222D02" w:rsidRDefault="002D7080" w:rsidP="002E2C37">
            <w:pPr>
              <w:ind w:left="720" w:hanging="720"/>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1AF173FC" w14:textId="4A8CB3C5" w:rsidR="002D7080" w:rsidRPr="00222D02" w:rsidRDefault="002D7080" w:rsidP="002E2C37">
            <w:pPr>
              <w:ind w:left="720" w:hanging="720"/>
              <w:contextualSpacing/>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Nunes, A.L., Zengeya, T.A., Hoffman, A.C., Measey, G.J. &amp; Weyl, O.L.F., 2017a, ‘Distribution and establishment of the alien Australian redclaw crayfish,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in South Africa and Swaziland’, </w:t>
            </w:r>
            <w:r w:rsidRPr="00222D02">
              <w:rPr>
                <w:rFonts w:ascii="Times New Roman" w:eastAsia="Times New Roman" w:hAnsi="Times New Roman" w:cs="Times New Roman"/>
                <w:i/>
                <w:iCs/>
                <w:sz w:val="20"/>
                <w:szCs w:val="20"/>
                <w:lang w:eastAsia="en-ZA"/>
              </w:rPr>
              <w:t>PeerJ</w:t>
            </w:r>
            <w:r w:rsidRPr="00222D02">
              <w:rPr>
                <w:rFonts w:ascii="Times New Roman" w:eastAsia="Times New Roman" w:hAnsi="Times New Roman" w:cs="Times New Roman"/>
                <w:sz w:val="20"/>
                <w:szCs w:val="20"/>
                <w:lang w:eastAsia="en-ZA"/>
              </w:rPr>
              <w:t> </w:t>
            </w:r>
            <w:r w:rsidRPr="00222D02">
              <w:rPr>
                <w:rFonts w:ascii="Times New Roman" w:eastAsia="Times New Roman" w:hAnsi="Times New Roman" w:cs="Times New Roman"/>
                <w:iCs/>
                <w:sz w:val="20"/>
                <w:szCs w:val="20"/>
                <w:lang w:eastAsia="en-ZA"/>
              </w:rPr>
              <w:t>5</w:t>
            </w:r>
            <w:r w:rsidRPr="00222D02">
              <w:rPr>
                <w:rFonts w:ascii="Times New Roman" w:eastAsia="Times New Roman" w:hAnsi="Times New Roman" w:cs="Times New Roman"/>
                <w:b/>
                <w:sz w:val="20"/>
                <w:szCs w:val="20"/>
                <w:lang w:eastAsia="en-ZA"/>
              </w:rPr>
              <w:t>,</w:t>
            </w:r>
            <w:r w:rsidRPr="00222D02">
              <w:rPr>
                <w:rFonts w:ascii="Times New Roman" w:eastAsia="Times New Roman" w:hAnsi="Times New Roman" w:cs="Times New Roman"/>
                <w:sz w:val="20"/>
                <w:szCs w:val="20"/>
                <w:lang w:eastAsia="en-ZA"/>
              </w:rPr>
              <w:t xml:space="preserve"> 1–21. </w:t>
            </w:r>
            <w:r w:rsidR="00E52851" w:rsidRPr="00E52851">
              <w:rPr>
                <w:rFonts w:ascii="Times New Roman" w:eastAsia="Times New Roman" w:hAnsi="Times New Roman" w:cs="Times New Roman"/>
                <w:sz w:val="20"/>
                <w:szCs w:val="20"/>
                <w:lang w:eastAsia="en-ZA"/>
              </w:rPr>
              <w:t>https://doi.org/10.7717/peerj.3135</w:t>
            </w:r>
            <w:r w:rsidRPr="00222D02">
              <w:rPr>
                <w:rFonts w:ascii="Times New Roman" w:eastAsia="Times New Roman" w:hAnsi="Times New Roman" w:cs="Times New Roman"/>
                <w:sz w:val="20"/>
                <w:szCs w:val="20"/>
                <w:lang w:eastAsia="en-ZA"/>
              </w:rPr>
              <w:t>.</w:t>
            </w:r>
          </w:p>
          <w:p w14:paraId="3BFB3E79" w14:textId="77777777" w:rsidR="002D7080" w:rsidRPr="00222D02" w:rsidRDefault="002D7080" w:rsidP="002E2C37">
            <w:pPr>
              <w:ind w:left="720" w:hanging="720"/>
              <w:contextualSpacing/>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Van Kuijk T., Biesmeijer, J.C., van der Hoorn, B.B.&amp; Verdonschot, P.M.F., 2021, ’Functional traits explain crayfish invasive success in the Netherlands’, </w:t>
            </w:r>
            <w:r w:rsidRPr="00222D02">
              <w:rPr>
                <w:rFonts w:ascii="Times New Roman" w:eastAsia="Times New Roman" w:hAnsi="Times New Roman" w:cs="Times New Roman"/>
                <w:i/>
                <w:iCs/>
                <w:sz w:val="20"/>
                <w:szCs w:val="20"/>
                <w:lang w:eastAsia="en-ZA"/>
              </w:rPr>
              <w:t>Scientific Reports</w:t>
            </w:r>
            <w:r w:rsidRPr="00222D02">
              <w:rPr>
                <w:rFonts w:ascii="Times New Roman" w:eastAsia="Times New Roman" w:hAnsi="Times New Roman" w:cs="Times New Roman"/>
                <w:sz w:val="20"/>
                <w:szCs w:val="20"/>
                <w:lang w:eastAsia="en-ZA"/>
              </w:rPr>
              <w:t xml:space="preserve"> 11, 2772. https://doi.org/10.1038/s41598-021-82302-4.</w:t>
            </w:r>
          </w:p>
        </w:tc>
      </w:tr>
    </w:tbl>
    <w:p w14:paraId="650328ED" w14:textId="77777777" w:rsidR="002D7080" w:rsidRPr="00222D02"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222D02" w14:paraId="29EB67D0" w14:textId="77777777" w:rsidTr="002E2C37">
        <w:trPr>
          <w:trHeight w:val="343"/>
        </w:trPr>
        <w:tc>
          <w:tcPr>
            <w:tcW w:w="9067" w:type="dxa"/>
            <w:gridSpan w:val="2"/>
            <w:shd w:val="clear" w:color="auto" w:fill="F2F2F2" w:themeFill="background1" w:themeFillShade="F2"/>
          </w:tcPr>
          <w:p w14:paraId="454602EF"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MAN4 Has the feasibility of eradication been evaluated?</w:t>
            </w:r>
          </w:p>
        </w:tc>
      </w:tr>
      <w:tr w:rsidR="002D7080" w:rsidRPr="00222D02" w14:paraId="090E2B71" w14:textId="77777777" w:rsidTr="002E2C37">
        <w:trPr>
          <w:trHeight w:val="172"/>
        </w:trPr>
        <w:tc>
          <w:tcPr>
            <w:tcW w:w="5240" w:type="dxa"/>
          </w:tcPr>
          <w:p w14:paraId="46FA59FF" w14:textId="77777777" w:rsidR="002D7080" w:rsidRPr="00222D02" w:rsidRDefault="002D7080" w:rsidP="002E2C37">
            <w:pPr>
              <w:tabs>
                <w:tab w:val="left" w:pos="1589"/>
              </w:tabs>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 No</w:t>
            </w:r>
          </w:p>
        </w:tc>
        <w:tc>
          <w:tcPr>
            <w:tcW w:w="3827" w:type="dxa"/>
          </w:tcPr>
          <w:p w14:paraId="0D5B77C3"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Confidence:</w:t>
            </w:r>
          </w:p>
        </w:tc>
      </w:tr>
      <w:tr w:rsidR="002D7080" w:rsidRPr="00222D02" w14:paraId="0087F876" w14:textId="77777777" w:rsidTr="002E2C37">
        <w:trPr>
          <w:trHeight w:val="70"/>
        </w:trPr>
        <w:tc>
          <w:tcPr>
            <w:tcW w:w="9067" w:type="dxa"/>
            <w:gridSpan w:val="2"/>
          </w:tcPr>
          <w:p w14:paraId="7FA538FB" w14:textId="4C3BA872" w:rsidR="002D7080" w:rsidRPr="00222D02" w:rsidRDefault="002D7080" w:rsidP="002E2C37">
            <w:pPr>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Rationale: There has been no evaluation of eradication feasibility for </w:t>
            </w:r>
            <w:r w:rsidRPr="00222D02">
              <w:rPr>
                <w:rFonts w:ascii="Times New Roman" w:eastAsia="Times New Roman" w:hAnsi="Times New Roman" w:cs="Times New Roman"/>
                <w:i/>
                <w:iCs/>
                <w:sz w:val="20"/>
                <w:szCs w:val="20"/>
                <w:lang w:eastAsia="en-ZA"/>
              </w:rPr>
              <w:t>C. quadricarinatus</w:t>
            </w:r>
            <w:r w:rsidRPr="00222D02">
              <w:rPr>
                <w:rFonts w:ascii="Times New Roman" w:eastAsia="Times New Roman" w:hAnsi="Times New Roman" w:cs="Times New Roman"/>
                <w:sz w:val="20"/>
                <w:szCs w:val="20"/>
                <w:lang w:eastAsia="en-ZA"/>
              </w:rPr>
              <w:t xml:space="preserve"> in South Africa. However, </w:t>
            </w:r>
            <w:r w:rsidRPr="00222D02">
              <w:rPr>
                <w:rFonts w:ascii="Times New Roman" w:hAnsi="Times New Roman" w:cs="Times New Roman"/>
                <w:i/>
                <w:iCs/>
                <w:sz w:val="20"/>
                <w:szCs w:val="20"/>
              </w:rPr>
              <w:t>C. quadricarinatus</w:t>
            </w:r>
            <w:r w:rsidRPr="00222D02">
              <w:rPr>
                <w:rFonts w:ascii="Times New Roman" w:hAnsi="Times New Roman" w:cs="Times New Roman"/>
                <w:sz w:val="20"/>
                <w:szCs w:val="20"/>
              </w:rPr>
              <w:t xml:space="preserve"> is already present in several river systems and so the species should be managed as part of a national programme to prevent future intentional introductions and to minimise natural spread (</w:t>
            </w:r>
            <w:r w:rsidR="008A0BC6">
              <w:rPr>
                <w:rFonts w:ascii="Times New Roman" w:hAnsi="Times New Roman" w:cs="Times New Roman"/>
                <w:sz w:val="20"/>
                <w:szCs w:val="20"/>
              </w:rPr>
              <w:t>De Moor</w:t>
            </w:r>
            <w:r w:rsidRPr="00222D02">
              <w:rPr>
                <w:rFonts w:ascii="Times New Roman" w:hAnsi="Times New Roman" w:cs="Times New Roman"/>
                <w:sz w:val="20"/>
                <w:szCs w:val="20"/>
              </w:rPr>
              <w:t xml:space="preserve"> 2002; Nunes et al. 2017) rather than attempting eradication.</w:t>
            </w:r>
          </w:p>
        </w:tc>
      </w:tr>
      <w:tr w:rsidR="002D7080" w:rsidRPr="00222D02" w14:paraId="7A6BA3BB" w14:textId="77777777" w:rsidTr="002E2C37">
        <w:trPr>
          <w:trHeight w:val="203"/>
        </w:trPr>
        <w:tc>
          <w:tcPr>
            <w:tcW w:w="9067" w:type="dxa"/>
            <w:gridSpan w:val="2"/>
          </w:tcPr>
          <w:p w14:paraId="7B538355" w14:textId="77777777"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4DE2441F" w14:textId="257FFC94" w:rsidR="002D7080" w:rsidRPr="00222D02" w:rsidRDefault="008A0BC6" w:rsidP="00E52851">
            <w:pPr>
              <w:ind w:left="720" w:hanging="720"/>
              <w:contextualSpacing/>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De Moor</w:t>
            </w:r>
            <w:r w:rsidR="002D7080" w:rsidRPr="00222D02">
              <w:rPr>
                <w:rFonts w:ascii="Times New Roman" w:eastAsia="Times New Roman" w:hAnsi="Times New Roman" w:cs="Times New Roman"/>
                <w:sz w:val="20"/>
                <w:szCs w:val="20"/>
                <w:lang w:eastAsia="en-ZA"/>
              </w:rPr>
              <w:t xml:space="preserve">, I., 2002, ‘Potential impacts of alien freshwater crayfish in South Africa’, African </w:t>
            </w:r>
            <w:r w:rsidR="002D7080" w:rsidRPr="00222D02">
              <w:rPr>
                <w:rFonts w:ascii="Times New Roman" w:eastAsia="Times New Roman" w:hAnsi="Times New Roman" w:cs="Times New Roman"/>
                <w:i/>
                <w:sz w:val="20"/>
                <w:szCs w:val="20"/>
                <w:lang w:eastAsia="en-ZA"/>
              </w:rPr>
              <w:t xml:space="preserve">Journal of Aquatic Science </w:t>
            </w:r>
            <w:r w:rsidR="002D7080" w:rsidRPr="00222D02">
              <w:rPr>
                <w:rFonts w:ascii="Times New Roman" w:eastAsia="Times New Roman" w:hAnsi="Times New Roman" w:cs="Times New Roman"/>
                <w:sz w:val="20"/>
                <w:szCs w:val="20"/>
                <w:lang w:eastAsia="en-ZA"/>
              </w:rPr>
              <w:t xml:space="preserve">27, 125–139. </w:t>
            </w:r>
            <w:hyperlink r:id="rId172" w:history="1">
              <w:r w:rsidR="00E36901" w:rsidRPr="00E36901">
                <w:rPr>
                  <w:rStyle w:val="Hyperlink"/>
                  <w:rFonts w:ascii="Times New Roman" w:eastAsia="Times New Roman" w:hAnsi="Times New Roman" w:cs="Times New Roman"/>
                  <w:sz w:val="20"/>
                  <w:szCs w:val="20"/>
                  <w:lang w:eastAsia="en-ZA"/>
                </w:rPr>
                <w:t>https://doi.org/10.2989/16085914.2002.9626584</w:t>
              </w:r>
            </w:hyperlink>
          </w:p>
          <w:p w14:paraId="7C5C4262" w14:textId="3F859569"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xml:space="preserve">, in South Africa and Swaziland’, </w:t>
            </w:r>
            <w:r w:rsidRPr="00222D02">
              <w:rPr>
                <w:rFonts w:ascii="Times New Roman" w:eastAsia="Times New Roman" w:hAnsi="Times New Roman" w:cs="Times New Roman"/>
                <w:i/>
                <w:iCs/>
                <w:sz w:val="20"/>
                <w:szCs w:val="20"/>
                <w:lang w:eastAsia="en-ZA"/>
              </w:rPr>
              <w:t>PeerJ</w:t>
            </w:r>
            <w:r w:rsidRPr="00222D02">
              <w:rPr>
                <w:rFonts w:ascii="Times New Roman" w:eastAsia="Times New Roman" w:hAnsi="Times New Roman" w:cs="Times New Roman"/>
                <w:sz w:val="20"/>
                <w:szCs w:val="20"/>
                <w:lang w:eastAsia="en-ZA"/>
              </w:rPr>
              <w:t xml:space="preserve"> </w:t>
            </w:r>
            <w:r w:rsidRPr="00222D02">
              <w:rPr>
                <w:rFonts w:ascii="Times New Roman" w:eastAsia="Times New Roman" w:hAnsi="Times New Roman" w:cs="Times New Roman"/>
                <w:iCs/>
                <w:sz w:val="20"/>
                <w:szCs w:val="20"/>
                <w:lang w:eastAsia="en-ZA"/>
              </w:rPr>
              <w:t>5,</w:t>
            </w:r>
            <w:r w:rsidRPr="00222D02">
              <w:rPr>
                <w:rFonts w:ascii="Times New Roman" w:eastAsia="Times New Roman" w:hAnsi="Times New Roman" w:cs="Times New Roman"/>
                <w:sz w:val="20"/>
                <w:szCs w:val="20"/>
                <w:lang w:eastAsia="en-ZA"/>
              </w:rPr>
              <w:t xml:space="preserve"> 1-21. </w:t>
            </w:r>
            <w:r w:rsidR="00E36901" w:rsidRPr="00E36901">
              <w:rPr>
                <w:rFonts w:ascii="Times New Roman" w:eastAsia="Times New Roman" w:hAnsi="Times New Roman" w:cs="Times New Roman"/>
                <w:sz w:val="20"/>
                <w:szCs w:val="20"/>
                <w:lang w:eastAsia="en-ZA"/>
              </w:rPr>
              <w:t>https://doi.org/10.7717/peerj.3135</w:t>
            </w:r>
            <w:r w:rsidRPr="00222D02">
              <w:rPr>
                <w:rFonts w:ascii="Times New Roman" w:eastAsia="Times New Roman" w:hAnsi="Times New Roman" w:cs="Times New Roman"/>
                <w:sz w:val="20"/>
                <w:szCs w:val="20"/>
                <w:lang w:eastAsia="en-ZA"/>
              </w:rPr>
              <w:t>.</w:t>
            </w:r>
          </w:p>
        </w:tc>
      </w:tr>
    </w:tbl>
    <w:p w14:paraId="0E754023" w14:textId="77777777" w:rsidR="002D7080" w:rsidRPr="00222D02"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9067"/>
      </w:tblGrid>
      <w:tr w:rsidR="002D7080" w:rsidRPr="00222D02" w14:paraId="4524CFDA" w14:textId="77777777" w:rsidTr="002E2C37">
        <w:trPr>
          <w:trHeight w:val="343"/>
        </w:trPr>
        <w:tc>
          <w:tcPr>
            <w:tcW w:w="9067" w:type="dxa"/>
            <w:shd w:val="clear" w:color="auto" w:fill="F2F2F2" w:themeFill="background1" w:themeFillShade="F2"/>
          </w:tcPr>
          <w:p w14:paraId="432A344A"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lastRenderedPageBreak/>
              <w:t xml:space="preserve">MAN5 Control options and monitoring approaches available for the </w:t>
            </w:r>
            <w:r w:rsidRPr="00222D02">
              <w:rPr>
                <w:rFonts w:ascii="Times New Roman" w:eastAsia="Times New Roman" w:hAnsi="Times New Roman" w:cs="Times New Roman"/>
                <w:b/>
                <w:i/>
                <w:sz w:val="20"/>
                <w:szCs w:val="20"/>
                <w:lang w:eastAsia="en-ZA"/>
              </w:rPr>
              <w:t>Taxon</w:t>
            </w:r>
          </w:p>
        </w:tc>
      </w:tr>
      <w:tr w:rsidR="002D7080" w:rsidRPr="00222D02" w14:paraId="20308E09" w14:textId="77777777" w:rsidTr="002E2C37">
        <w:trPr>
          <w:trHeight w:val="70"/>
        </w:trPr>
        <w:tc>
          <w:tcPr>
            <w:tcW w:w="9067" w:type="dxa"/>
          </w:tcPr>
          <w:p w14:paraId="3046B749" w14:textId="77777777" w:rsidR="002D7080" w:rsidRPr="00222D02" w:rsidRDefault="002D7080" w:rsidP="002E2C37">
            <w:pPr>
              <w:jc w:val="both"/>
              <w:rPr>
                <w:rFonts w:ascii="Times New Roman" w:eastAsia="Times New Roman" w:hAnsi="Times New Roman" w:cs="Times New Roman"/>
                <w:strike/>
                <w:sz w:val="20"/>
                <w:szCs w:val="20"/>
                <w:lang w:eastAsia="en-ZA"/>
              </w:rPr>
            </w:pPr>
            <w:r w:rsidRPr="00222D02">
              <w:rPr>
                <w:rFonts w:ascii="Times New Roman" w:eastAsia="Times New Roman" w:hAnsi="Times New Roman" w:cs="Times New Roman"/>
                <w:sz w:val="20"/>
                <w:szCs w:val="20"/>
                <w:lang w:eastAsia="en-ZA"/>
              </w:rPr>
              <w:t xml:space="preserve">Response: </w:t>
            </w:r>
          </w:p>
          <w:p w14:paraId="23F2443D" w14:textId="77777777" w:rsidR="002D7080" w:rsidRPr="00222D02" w:rsidRDefault="002D7080" w:rsidP="002E2C37">
            <w:pPr>
              <w:contextualSpacing/>
              <w:jc w:val="both"/>
              <w:rPr>
                <w:rFonts w:ascii="Times New Roman" w:hAnsi="Times New Roman" w:cs="Times New Roman"/>
                <w:sz w:val="20"/>
                <w:szCs w:val="20"/>
              </w:rPr>
            </w:pPr>
            <w:r w:rsidRPr="00222D02">
              <w:rPr>
                <w:rFonts w:ascii="Times New Roman" w:eastAsia="Times New Roman" w:hAnsi="Times New Roman" w:cs="Times New Roman"/>
                <w:sz w:val="20"/>
                <w:szCs w:val="20"/>
                <w:lang w:eastAsia="en-ZA"/>
              </w:rPr>
              <w:t>Several methods can be used to monitor and control invasive crayfish populations, and these include mechanical trapping</w:t>
            </w:r>
            <w:r w:rsidRPr="00222D02">
              <w:rPr>
                <w:rFonts w:ascii="Times New Roman" w:eastAsia="Times New Roman" w:hAnsi="Times New Roman" w:cs="Times New Roman"/>
                <w:iCs/>
                <w:sz w:val="20"/>
                <w:szCs w:val="20"/>
                <w:lang w:eastAsia="en-ZA"/>
              </w:rPr>
              <w:t xml:space="preserve"> (e.g., </w:t>
            </w:r>
            <w:r w:rsidRPr="00222D02">
              <w:rPr>
                <w:rStyle w:val="cf01"/>
                <w:rFonts w:ascii="Times New Roman" w:hAnsi="Times New Roman" w:cs="Times New Roman"/>
                <w:sz w:val="20"/>
                <w:szCs w:val="20"/>
              </w:rPr>
              <w:t xml:space="preserve">Barkhuizen et al. 2022; </w:t>
            </w:r>
            <w:r w:rsidRPr="00222D02">
              <w:rPr>
                <w:rFonts w:ascii="Times New Roman" w:eastAsia="Times New Roman" w:hAnsi="Times New Roman" w:cs="Times New Roman"/>
                <w:iCs/>
                <w:sz w:val="20"/>
                <w:szCs w:val="20"/>
                <w:lang w:eastAsia="en-ZA"/>
              </w:rPr>
              <w:t>Madzivanzira et al. 2021)</w:t>
            </w:r>
            <w:r w:rsidRPr="00222D02">
              <w:rPr>
                <w:rFonts w:ascii="Times New Roman" w:eastAsia="Times New Roman" w:hAnsi="Times New Roman" w:cs="Times New Roman"/>
                <w:sz w:val="20"/>
                <w:szCs w:val="20"/>
                <w:lang w:eastAsia="en-ZA"/>
              </w:rPr>
              <w:t xml:space="preserve">, electrofishing (Nunes et al. 2017), and use of biocides, and biological control (Aquiloni et al. 2010; Stebbing et al. 2014). </w:t>
            </w:r>
            <w:r w:rsidRPr="00222D02">
              <w:rPr>
                <w:rFonts w:ascii="Times New Roman" w:eastAsia="Times New Roman" w:hAnsi="Times New Roman" w:cs="Times New Roman"/>
                <w:strike/>
                <w:sz w:val="20"/>
                <w:szCs w:val="20"/>
                <w:lang w:eastAsia="en-ZA"/>
              </w:rPr>
              <w:t xml:space="preserve"> </w:t>
            </w:r>
            <w:r w:rsidRPr="00222D02">
              <w:rPr>
                <w:rFonts w:ascii="Times New Roman" w:hAnsi="Times New Roman" w:cs="Times New Roman"/>
                <w:sz w:val="20"/>
                <w:szCs w:val="20"/>
              </w:rPr>
              <w:t xml:space="preserve">However, there are several issues that make management of crayfish invasions challenging (Gherardi et al. 2011). For example, the use of biocides is often effective for localised populations in dams and ponds (Peay et al. 2019) but these are non-specific and need to be applied with caution (Gherardi et al. 2011). Mechanical controls are also effective in small discrete water bodies but are expensive and require commitment to follow on to complete eradication (Loureiro et al. 2018). In addition, alien crayfish species are regarded as potential conflict-generating species in South Africa and potential management interventions should consider the concerns of stakeholders to avoid conflict (Zengeya et al. 2017). </w:t>
            </w:r>
          </w:p>
        </w:tc>
      </w:tr>
      <w:tr w:rsidR="002D7080" w:rsidRPr="00222D02" w14:paraId="60F67474" w14:textId="77777777" w:rsidTr="002E2C37">
        <w:trPr>
          <w:trHeight w:val="203"/>
        </w:trPr>
        <w:tc>
          <w:tcPr>
            <w:tcW w:w="9067" w:type="dxa"/>
          </w:tcPr>
          <w:p w14:paraId="01C5B9C1"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References:</w:t>
            </w:r>
          </w:p>
          <w:p w14:paraId="1CAE1D01" w14:textId="63A50747" w:rsidR="00E36901" w:rsidRDefault="002D7080" w:rsidP="00E52851">
            <w:pPr>
              <w:spacing w:after="120"/>
              <w:ind w:left="720" w:hanging="720"/>
              <w:contextualSpacing/>
              <w:jc w:val="both"/>
              <w:rPr>
                <w:rFonts w:ascii="Times New Roman" w:hAnsi="Times New Roman" w:cs="Times New Roman"/>
                <w:bCs/>
                <w:sz w:val="20"/>
                <w:szCs w:val="20"/>
              </w:rPr>
            </w:pPr>
            <w:r w:rsidRPr="00222D02">
              <w:rPr>
                <w:rStyle w:val="cf01"/>
                <w:rFonts w:ascii="Times New Roman" w:hAnsi="Times New Roman" w:cs="Times New Roman"/>
                <w:sz w:val="20"/>
                <w:szCs w:val="20"/>
              </w:rPr>
              <w:t>Aquiloni, L., Brusconi, S., Cecchinelli, E., Tricarico, E., Mazza, G., Paglianti, A. &amp; Gherardi, F. 2010, ‘Biological control of invasive populations of crayfish: the European eel (</w:t>
            </w:r>
            <w:r w:rsidRPr="00222D02">
              <w:rPr>
                <w:rStyle w:val="cf01"/>
                <w:rFonts w:ascii="Times New Roman" w:hAnsi="Times New Roman" w:cs="Times New Roman"/>
                <w:i/>
                <w:iCs/>
                <w:sz w:val="20"/>
                <w:szCs w:val="20"/>
              </w:rPr>
              <w:t>Anguilla anguilla</w:t>
            </w:r>
            <w:r w:rsidRPr="00222D02">
              <w:rPr>
                <w:rStyle w:val="cf01"/>
                <w:rFonts w:ascii="Times New Roman" w:hAnsi="Times New Roman" w:cs="Times New Roman"/>
                <w:sz w:val="20"/>
                <w:szCs w:val="20"/>
              </w:rPr>
              <w:t xml:space="preserve">) as a predator of </w:t>
            </w:r>
            <w:r w:rsidRPr="00222D02">
              <w:rPr>
                <w:rStyle w:val="cf01"/>
                <w:rFonts w:ascii="Times New Roman" w:hAnsi="Times New Roman" w:cs="Times New Roman"/>
                <w:i/>
                <w:iCs/>
                <w:sz w:val="20"/>
                <w:szCs w:val="20"/>
              </w:rPr>
              <w:t>Procambarus clarkii</w:t>
            </w:r>
            <w:r w:rsidRPr="00222D02">
              <w:rPr>
                <w:rStyle w:val="cf01"/>
                <w:rFonts w:ascii="Times New Roman" w:hAnsi="Times New Roman" w:cs="Times New Roman"/>
                <w:sz w:val="20"/>
                <w:szCs w:val="20"/>
              </w:rPr>
              <w:t xml:space="preserve">’, </w:t>
            </w:r>
            <w:r w:rsidRPr="00222D02">
              <w:rPr>
                <w:rStyle w:val="cf01"/>
                <w:rFonts w:ascii="Times New Roman" w:hAnsi="Times New Roman" w:cs="Times New Roman"/>
                <w:i/>
                <w:iCs/>
                <w:sz w:val="20"/>
                <w:szCs w:val="20"/>
              </w:rPr>
              <w:t>Biological Invasions</w:t>
            </w:r>
            <w:r w:rsidRPr="00222D02">
              <w:rPr>
                <w:rStyle w:val="cf01"/>
                <w:rFonts w:ascii="Times New Roman" w:hAnsi="Times New Roman" w:cs="Times New Roman"/>
                <w:sz w:val="20"/>
                <w:szCs w:val="20"/>
              </w:rPr>
              <w:t xml:space="preserve"> 12 3817-3824. </w:t>
            </w:r>
            <w:hyperlink r:id="rId173" w:history="1">
              <w:r w:rsidR="00E36901" w:rsidRPr="00762D39">
                <w:rPr>
                  <w:rStyle w:val="Hyperlink"/>
                  <w:rFonts w:ascii="Times New Roman" w:hAnsi="Times New Roman" w:cs="Times New Roman"/>
                  <w:bCs/>
                  <w:sz w:val="20"/>
                  <w:szCs w:val="20"/>
                </w:rPr>
                <w:t>https://doi.org/10.1007/s10530-007-9094-0</w:t>
              </w:r>
            </w:hyperlink>
            <w:r w:rsidR="00E36901">
              <w:rPr>
                <w:rFonts w:ascii="Times New Roman" w:hAnsi="Times New Roman" w:cs="Times New Roman"/>
                <w:bCs/>
                <w:sz w:val="20"/>
                <w:szCs w:val="20"/>
              </w:rPr>
              <w:t>.</w:t>
            </w:r>
          </w:p>
          <w:p w14:paraId="091A5447" w14:textId="6B0E3FAF" w:rsidR="002D7080" w:rsidRPr="00222D02" w:rsidRDefault="002D7080" w:rsidP="00E52851">
            <w:pPr>
              <w:spacing w:after="120"/>
              <w:ind w:left="720" w:hanging="720"/>
              <w:contextualSpacing/>
              <w:jc w:val="both"/>
              <w:rPr>
                <w:rFonts w:ascii="Times New Roman" w:hAnsi="Times New Roman" w:cs="Times New Roman"/>
                <w:sz w:val="20"/>
                <w:szCs w:val="20"/>
              </w:rPr>
            </w:pPr>
            <w:r w:rsidRPr="00222D02">
              <w:rPr>
                <w:rStyle w:val="cf01"/>
                <w:rFonts w:ascii="Times New Roman" w:hAnsi="Times New Roman" w:cs="Times New Roman"/>
                <w:sz w:val="20"/>
                <w:szCs w:val="20"/>
              </w:rPr>
              <w:t xml:space="preserve">Barkhuizen, L.M, Madzivanzira, T.C., South, J., 2022, ‘Population ecology of a wild population of red swamp crayfish </w:t>
            </w:r>
            <w:r w:rsidRPr="00222D02">
              <w:rPr>
                <w:rStyle w:val="cf01"/>
                <w:rFonts w:ascii="Times New Roman" w:hAnsi="Times New Roman" w:cs="Times New Roman"/>
                <w:i/>
                <w:iCs/>
                <w:sz w:val="20"/>
                <w:szCs w:val="20"/>
              </w:rPr>
              <w:t>Procambarus clarkii</w:t>
            </w:r>
            <w:r w:rsidRPr="00222D02">
              <w:rPr>
                <w:rStyle w:val="cf01"/>
                <w:rFonts w:ascii="Times New Roman" w:hAnsi="Times New Roman" w:cs="Times New Roman"/>
                <w:sz w:val="20"/>
                <w:szCs w:val="20"/>
              </w:rPr>
              <w:t xml:space="preserve"> (Girard, 1852) in the Free State Province, South Africa and implications for eradication efforts’, </w:t>
            </w:r>
            <w:r w:rsidRPr="00222D02">
              <w:rPr>
                <w:rStyle w:val="cf01"/>
                <w:rFonts w:ascii="Times New Roman" w:hAnsi="Times New Roman" w:cs="Times New Roman"/>
                <w:i/>
                <w:iCs/>
                <w:sz w:val="20"/>
                <w:szCs w:val="20"/>
              </w:rPr>
              <w:t>BioInvasions Records</w:t>
            </w:r>
            <w:r w:rsidRPr="00222D02">
              <w:rPr>
                <w:rStyle w:val="cf01"/>
                <w:rFonts w:ascii="Times New Roman" w:hAnsi="Times New Roman" w:cs="Times New Roman"/>
                <w:sz w:val="20"/>
                <w:szCs w:val="20"/>
              </w:rPr>
              <w:t xml:space="preserve"> 11, 181–191. </w:t>
            </w:r>
            <w:hyperlink r:id="rId174" w:history="1">
              <w:r w:rsidR="00E52851" w:rsidRPr="00E52851">
                <w:rPr>
                  <w:rStyle w:val="Hyperlink"/>
                  <w:rFonts w:ascii="Times New Roman" w:hAnsi="Times New Roman" w:cs="Times New Roman"/>
                  <w:iCs/>
                  <w:sz w:val="20"/>
                  <w:szCs w:val="20"/>
                </w:rPr>
                <w:t>https://doi.org/10.3391/bir.2022</w:t>
              </w:r>
            </w:hyperlink>
            <w:r w:rsidRPr="00222D02">
              <w:rPr>
                <w:rStyle w:val="cf01"/>
                <w:rFonts w:ascii="Times New Roman" w:hAnsi="Times New Roman" w:cs="Times New Roman"/>
                <w:sz w:val="20"/>
                <w:szCs w:val="20"/>
              </w:rPr>
              <w:t>.</w:t>
            </w:r>
          </w:p>
          <w:p w14:paraId="521FE695" w14:textId="77777777"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Gherardi, F., Aquiloni, L., Diéguez-Uribeondo, J. &amp; Tricarico E., 2011, ‘Managing invasive crayfish: is there a hope? </w:t>
            </w:r>
            <w:r w:rsidRPr="00222D02">
              <w:rPr>
                <w:rFonts w:ascii="Times New Roman" w:eastAsia="Times New Roman" w:hAnsi="Times New Roman" w:cs="Times New Roman"/>
                <w:i/>
                <w:iCs/>
                <w:sz w:val="20"/>
                <w:szCs w:val="20"/>
                <w:lang w:eastAsia="en-ZA"/>
              </w:rPr>
              <w:t>Aquatic Sciences</w:t>
            </w:r>
            <w:r w:rsidRPr="00222D02">
              <w:rPr>
                <w:rFonts w:ascii="Times New Roman" w:eastAsia="Times New Roman" w:hAnsi="Times New Roman" w:cs="Times New Roman"/>
                <w:sz w:val="20"/>
                <w:szCs w:val="20"/>
                <w:lang w:eastAsia="en-ZA"/>
              </w:rPr>
              <w:t xml:space="preserve"> </w:t>
            </w:r>
            <w:r w:rsidRPr="00222D02">
              <w:rPr>
                <w:rFonts w:ascii="Times New Roman" w:eastAsia="Times New Roman" w:hAnsi="Times New Roman" w:cs="Times New Roman"/>
                <w:iCs/>
                <w:sz w:val="20"/>
                <w:szCs w:val="20"/>
                <w:lang w:eastAsia="en-ZA"/>
              </w:rPr>
              <w:t>73,</w:t>
            </w:r>
            <w:r w:rsidRPr="00222D02">
              <w:rPr>
                <w:rFonts w:ascii="Times New Roman" w:eastAsia="Times New Roman" w:hAnsi="Times New Roman" w:cs="Times New Roman"/>
                <w:sz w:val="20"/>
                <w:szCs w:val="20"/>
                <w:lang w:eastAsia="en-ZA"/>
              </w:rPr>
              <w:t xml:space="preserve"> 185–200. https://doi.org/10.1007/s00027-011-0181-z.</w:t>
            </w:r>
          </w:p>
          <w:p w14:paraId="2CDDC436" w14:textId="39D5558C" w:rsidR="002D7080" w:rsidRPr="00222D02" w:rsidRDefault="002D7080" w:rsidP="00E52851">
            <w:pPr>
              <w:spacing w:after="120"/>
              <w:ind w:left="720" w:hanging="720"/>
              <w:contextualSpacing/>
              <w:jc w:val="both"/>
              <w:rPr>
                <w:rFonts w:ascii="Times New Roman" w:hAnsi="Times New Roman" w:cs="Times New Roman"/>
                <w:bCs/>
                <w:sz w:val="20"/>
                <w:szCs w:val="20"/>
              </w:rPr>
            </w:pPr>
            <w:r w:rsidRPr="00222D02">
              <w:rPr>
                <w:rFonts w:ascii="Times New Roman" w:hAnsi="Times New Roman" w:cs="Times New Roman"/>
                <w:bCs/>
                <w:sz w:val="20"/>
                <w:szCs w:val="20"/>
              </w:rPr>
              <w:t xml:space="preserve">Loureiro, T.G, Anastácio, P.M, de Siqueira Bueno, S.L. &amp; Araujo, P.B., 2018, ‘Management of invasive populations of the freshwater crayfish </w:t>
            </w:r>
            <w:r w:rsidRPr="00222D02">
              <w:rPr>
                <w:rFonts w:ascii="Times New Roman" w:hAnsi="Times New Roman" w:cs="Times New Roman"/>
                <w:bCs/>
                <w:i/>
                <w:sz w:val="20"/>
                <w:szCs w:val="20"/>
              </w:rPr>
              <w:t>Procambarus clarkii</w:t>
            </w:r>
            <w:r w:rsidRPr="00222D02">
              <w:rPr>
                <w:rFonts w:ascii="Times New Roman" w:hAnsi="Times New Roman" w:cs="Times New Roman"/>
                <w:bCs/>
                <w:sz w:val="20"/>
                <w:szCs w:val="20"/>
              </w:rPr>
              <w:t xml:space="preserve"> (Decapoda, Cambaridae): test of a population-control method and proposal of a standard monitoring approach’, </w:t>
            </w:r>
            <w:r w:rsidRPr="00222D02">
              <w:rPr>
                <w:rFonts w:ascii="Times New Roman" w:hAnsi="Times New Roman" w:cs="Times New Roman"/>
                <w:bCs/>
                <w:i/>
                <w:sz w:val="20"/>
                <w:szCs w:val="20"/>
              </w:rPr>
              <w:t>Environmental Monitoring Assessment</w:t>
            </w:r>
            <w:r w:rsidRPr="00222D02">
              <w:rPr>
                <w:rFonts w:ascii="Times New Roman" w:hAnsi="Times New Roman" w:cs="Times New Roman"/>
                <w:bCs/>
                <w:sz w:val="20"/>
                <w:szCs w:val="20"/>
              </w:rPr>
              <w:t xml:space="preserve"> 190, 559</w:t>
            </w:r>
            <w:r w:rsidR="00E36901">
              <w:rPr>
                <w:rFonts w:ascii="Times New Roman" w:hAnsi="Times New Roman" w:cs="Times New Roman"/>
                <w:bCs/>
                <w:sz w:val="20"/>
                <w:szCs w:val="20"/>
              </w:rPr>
              <w:t xml:space="preserve">, </w:t>
            </w:r>
            <w:r w:rsidR="00E36901" w:rsidRPr="00E36901">
              <w:rPr>
                <w:rFonts w:ascii="Times New Roman" w:hAnsi="Times New Roman" w:cs="Times New Roman"/>
                <w:bCs/>
                <w:sz w:val="20"/>
                <w:szCs w:val="20"/>
              </w:rPr>
              <w:t>https://doi.org/10.1007/s10661-018-6942-6</w:t>
            </w:r>
            <w:r w:rsidRPr="00222D02">
              <w:rPr>
                <w:rFonts w:ascii="Times New Roman" w:hAnsi="Times New Roman" w:cs="Times New Roman"/>
                <w:bCs/>
                <w:sz w:val="20"/>
                <w:szCs w:val="20"/>
              </w:rPr>
              <w:t>.</w:t>
            </w:r>
          </w:p>
          <w:p w14:paraId="52BD1C8A" w14:textId="3C9EBC40" w:rsidR="002D7080" w:rsidRPr="00222D02" w:rsidRDefault="002D7080" w:rsidP="00E52851">
            <w:pPr>
              <w:ind w:left="720" w:hanging="720"/>
              <w:contextualSpacing/>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Madzivanzira, T.C., South, J., Nhiwatiwa, T. &amp; Weyl, O.L.F., 2021, ‘Standardisation of Australian redclaw crayfish </w:t>
            </w:r>
            <w:r w:rsidRPr="00222D02">
              <w:rPr>
                <w:rStyle w:val="cf01"/>
                <w:rFonts w:ascii="Times New Roman" w:hAnsi="Times New Roman" w:cs="Times New Roman"/>
                <w:i/>
                <w:iCs/>
                <w:sz w:val="20"/>
                <w:szCs w:val="20"/>
              </w:rPr>
              <w:t>Cherax quadricarinatus</w:t>
            </w:r>
            <w:r w:rsidRPr="00222D02">
              <w:rPr>
                <w:rStyle w:val="cf01"/>
                <w:rFonts w:ascii="Times New Roman" w:hAnsi="Times New Roman" w:cs="Times New Roman"/>
                <w:sz w:val="20"/>
                <w:szCs w:val="20"/>
              </w:rPr>
              <w:t xml:space="preserve"> sampling gear in southern Africa’, </w:t>
            </w:r>
            <w:r w:rsidRPr="00222D02">
              <w:rPr>
                <w:rStyle w:val="cf01"/>
                <w:rFonts w:ascii="Times New Roman" w:hAnsi="Times New Roman" w:cs="Times New Roman"/>
                <w:i/>
                <w:iCs/>
                <w:sz w:val="20"/>
                <w:szCs w:val="20"/>
              </w:rPr>
              <w:t>Water SA</w:t>
            </w:r>
            <w:r w:rsidRPr="00222D02">
              <w:rPr>
                <w:rStyle w:val="cf01"/>
                <w:rFonts w:ascii="Times New Roman" w:hAnsi="Times New Roman" w:cs="Times New Roman"/>
                <w:sz w:val="20"/>
                <w:szCs w:val="20"/>
              </w:rPr>
              <w:t xml:space="preserve"> 47, 380–384. </w:t>
            </w:r>
            <w:r w:rsidR="00E36901" w:rsidRPr="00E36901">
              <w:rPr>
                <w:rFonts w:ascii="Times New Roman" w:hAnsi="Times New Roman" w:cs="Times New Roman"/>
                <w:sz w:val="20"/>
                <w:szCs w:val="20"/>
              </w:rPr>
              <w:t>https://hdl.handle.net/10520/ejc-waters-v47-n3-a10</w:t>
            </w:r>
            <w:r w:rsidRPr="00222D02">
              <w:rPr>
                <w:rFonts w:ascii="Times New Roman" w:hAnsi="Times New Roman" w:cs="Times New Roman"/>
                <w:sz w:val="20"/>
                <w:szCs w:val="20"/>
              </w:rPr>
              <w:t>.</w:t>
            </w:r>
          </w:p>
          <w:p w14:paraId="3BFCBA91" w14:textId="1C410C15" w:rsidR="002D7080" w:rsidRPr="00222D02" w:rsidRDefault="002D7080" w:rsidP="00E52851">
            <w:pPr>
              <w:ind w:left="720" w:hanging="720"/>
              <w:contextualSpacing/>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222D02">
              <w:rPr>
                <w:rFonts w:ascii="Times New Roman" w:eastAsia="Times New Roman" w:hAnsi="Times New Roman" w:cs="Times New Roman"/>
                <w:i/>
                <w:sz w:val="20"/>
                <w:szCs w:val="20"/>
                <w:lang w:eastAsia="en-ZA"/>
              </w:rPr>
              <w:t>Cherax quadricarinatus</w:t>
            </w:r>
            <w:r w:rsidRPr="00222D02">
              <w:rPr>
                <w:rFonts w:ascii="Times New Roman" w:eastAsia="Times New Roman" w:hAnsi="Times New Roman" w:cs="Times New Roman"/>
                <w:sz w:val="20"/>
                <w:szCs w:val="20"/>
                <w:lang w:eastAsia="en-ZA"/>
              </w:rPr>
              <w:t xml:space="preserve">, in South Africa and Swaziland’, </w:t>
            </w:r>
            <w:r w:rsidRPr="00222D02">
              <w:rPr>
                <w:rFonts w:ascii="Times New Roman" w:eastAsia="Times New Roman" w:hAnsi="Times New Roman" w:cs="Times New Roman"/>
                <w:i/>
                <w:iCs/>
                <w:sz w:val="20"/>
                <w:szCs w:val="20"/>
                <w:lang w:eastAsia="en-ZA"/>
              </w:rPr>
              <w:t>PeerJ</w:t>
            </w:r>
            <w:r w:rsidRPr="00222D02">
              <w:rPr>
                <w:rFonts w:ascii="Times New Roman" w:eastAsia="Times New Roman" w:hAnsi="Times New Roman" w:cs="Times New Roman"/>
                <w:sz w:val="20"/>
                <w:szCs w:val="20"/>
                <w:lang w:eastAsia="en-ZA"/>
              </w:rPr>
              <w:t xml:space="preserve"> </w:t>
            </w:r>
            <w:r w:rsidRPr="00222D02">
              <w:rPr>
                <w:rFonts w:ascii="Times New Roman" w:eastAsia="Times New Roman" w:hAnsi="Times New Roman" w:cs="Times New Roman"/>
                <w:iCs/>
                <w:sz w:val="20"/>
                <w:szCs w:val="20"/>
                <w:lang w:eastAsia="en-ZA"/>
              </w:rPr>
              <w:t>5,</w:t>
            </w:r>
            <w:r w:rsidRPr="00222D02">
              <w:rPr>
                <w:rFonts w:ascii="Times New Roman" w:eastAsia="Times New Roman" w:hAnsi="Times New Roman" w:cs="Times New Roman"/>
                <w:sz w:val="20"/>
                <w:szCs w:val="20"/>
                <w:lang w:eastAsia="en-ZA"/>
              </w:rPr>
              <w:t xml:space="preserve"> 1-21. </w:t>
            </w:r>
            <w:hyperlink r:id="rId175" w:history="1">
              <w:r w:rsidR="00F93489" w:rsidRPr="00F215B9">
                <w:rPr>
                  <w:rStyle w:val="Hyperlink"/>
                  <w:rFonts w:ascii="Times New Roman" w:eastAsia="Times New Roman" w:hAnsi="Times New Roman" w:cs="Times New Roman"/>
                  <w:sz w:val="20"/>
                  <w:szCs w:val="20"/>
                  <w:lang w:eastAsia="en-ZA"/>
                </w:rPr>
                <w:t>https://doi.org/10.7717/peerj.3135</w:t>
              </w:r>
            </w:hyperlink>
            <w:r w:rsidRPr="00222D02">
              <w:rPr>
                <w:rFonts w:ascii="Times New Roman" w:eastAsia="Times New Roman" w:hAnsi="Times New Roman" w:cs="Times New Roman"/>
                <w:sz w:val="20"/>
                <w:szCs w:val="20"/>
                <w:lang w:eastAsia="en-ZA"/>
              </w:rPr>
              <w:t>.</w:t>
            </w:r>
            <w:r w:rsidR="00F93489">
              <w:rPr>
                <w:rFonts w:ascii="Times New Roman" w:eastAsia="Times New Roman" w:hAnsi="Times New Roman" w:cs="Times New Roman"/>
                <w:sz w:val="20"/>
                <w:szCs w:val="20"/>
                <w:lang w:eastAsia="en-ZA"/>
              </w:rPr>
              <w:t xml:space="preserve">  </w:t>
            </w:r>
          </w:p>
          <w:p w14:paraId="698E1DBF" w14:textId="2C850CDC" w:rsidR="002D7080" w:rsidRPr="00222D02" w:rsidRDefault="002D7080" w:rsidP="00E52851">
            <w:pPr>
              <w:spacing w:after="120"/>
              <w:ind w:left="720" w:hanging="720"/>
              <w:contextualSpacing/>
              <w:jc w:val="both"/>
              <w:rPr>
                <w:rFonts w:ascii="Times New Roman" w:hAnsi="Times New Roman" w:cs="Times New Roman"/>
                <w:bCs/>
                <w:sz w:val="20"/>
                <w:szCs w:val="20"/>
              </w:rPr>
            </w:pPr>
            <w:r w:rsidRPr="00222D02">
              <w:rPr>
                <w:rFonts w:ascii="Times New Roman" w:hAnsi="Times New Roman" w:cs="Times New Roman"/>
                <w:bCs/>
                <w:sz w:val="20"/>
                <w:szCs w:val="20"/>
              </w:rPr>
              <w:t xml:space="preserve">Peay, S., Johnsen, S.I, Bean, S.W., Dunn, A.M., Sandodden, R. &amp; Edsman, L, 2019, ‘Biocide treatment of invasive signal crayfish: Successes, failures and lessons learned’, </w:t>
            </w:r>
            <w:r w:rsidRPr="00222D02">
              <w:rPr>
                <w:rFonts w:ascii="Times New Roman" w:hAnsi="Times New Roman" w:cs="Times New Roman"/>
                <w:bCs/>
                <w:i/>
                <w:sz w:val="20"/>
                <w:szCs w:val="20"/>
              </w:rPr>
              <w:t>Diversity</w:t>
            </w:r>
            <w:r w:rsidRPr="00222D02">
              <w:rPr>
                <w:rFonts w:ascii="Times New Roman" w:hAnsi="Times New Roman" w:cs="Times New Roman"/>
                <w:bCs/>
                <w:sz w:val="20"/>
                <w:szCs w:val="20"/>
              </w:rPr>
              <w:t xml:space="preserve"> 11, 29. </w:t>
            </w:r>
            <w:hyperlink r:id="rId176" w:history="1">
              <w:r w:rsidR="00987FF5" w:rsidRPr="00F215B9">
                <w:rPr>
                  <w:rStyle w:val="Hyperlink"/>
                  <w:rFonts w:ascii="Times New Roman" w:hAnsi="Times New Roman" w:cs="Times New Roman"/>
                  <w:bCs/>
                  <w:sz w:val="20"/>
                  <w:szCs w:val="20"/>
                </w:rPr>
                <w:t>https://doi.org/10.3390/d11030029</w:t>
              </w:r>
            </w:hyperlink>
            <w:r w:rsidR="00987FF5">
              <w:rPr>
                <w:rFonts w:ascii="Times New Roman" w:hAnsi="Times New Roman" w:cs="Times New Roman"/>
                <w:bCs/>
                <w:sz w:val="20"/>
                <w:szCs w:val="20"/>
              </w:rPr>
              <w:t xml:space="preserve"> </w:t>
            </w:r>
            <w:r w:rsidR="00DE3474">
              <w:rPr>
                <w:rFonts w:ascii="Times New Roman" w:hAnsi="Times New Roman" w:cs="Times New Roman"/>
                <w:bCs/>
                <w:sz w:val="20"/>
                <w:szCs w:val="20"/>
              </w:rPr>
              <w:t xml:space="preserve"> </w:t>
            </w:r>
          </w:p>
          <w:p w14:paraId="0C1816C2" w14:textId="60EB47E2" w:rsidR="002D7080" w:rsidRPr="00222D02" w:rsidRDefault="002D7080" w:rsidP="00E52851">
            <w:pPr>
              <w:ind w:left="720" w:hanging="720"/>
              <w:contextualSpacing/>
              <w:jc w:val="both"/>
              <w:rPr>
                <w:rStyle w:val="cf01"/>
                <w:rFonts w:ascii="Times New Roman" w:hAnsi="Times New Roman" w:cs="Times New Roman"/>
                <w:sz w:val="20"/>
                <w:szCs w:val="20"/>
              </w:rPr>
            </w:pPr>
            <w:r w:rsidRPr="00222D02">
              <w:rPr>
                <w:rStyle w:val="cf01"/>
                <w:rFonts w:ascii="Times New Roman" w:hAnsi="Times New Roman" w:cs="Times New Roman"/>
                <w:sz w:val="20"/>
                <w:szCs w:val="20"/>
              </w:rPr>
              <w:t xml:space="preserve">Stebbing, P., Longshaw, M., Scott, A., 2014, ‘Review of methods for the management of nonindigenous crayfish, with particular reference to Great Britain’, </w:t>
            </w:r>
            <w:r w:rsidRPr="00222D02">
              <w:rPr>
                <w:rStyle w:val="cf01"/>
                <w:rFonts w:ascii="Times New Roman" w:hAnsi="Times New Roman" w:cs="Times New Roman"/>
                <w:i/>
                <w:iCs/>
                <w:sz w:val="20"/>
                <w:szCs w:val="20"/>
              </w:rPr>
              <w:t>Ethology Ecology &amp; Evolution</w:t>
            </w:r>
            <w:r w:rsidRPr="00222D02">
              <w:rPr>
                <w:rStyle w:val="cf01"/>
                <w:rFonts w:ascii="Times New Roman" w:hAnsi="Times New Roman" w:cs="Times New Roman"/>
                <w:sz w:val="20"/>
                <w:szCs w:val="20"/>
              </w:rPr>
              <w:t xml:space="preserve"> 26, 204-231. </w:t>
            </w:r>
            <w:r w:rsidR="00DE3474" w:rsidRPr="00DE3474">
              <w:rPr>
                <w:rFonts w:ascii="Times New Roman" w:hAnsi="Times New Roman" w:cs="Times New Roman"/>
                <w:sz w:val="20"/>
                <w:szCs w:val="20"/>
              </w:rPr>
              <w:t>https://doi.org/10.1080/03949370.2014.908326</w:t>
            </w:r>
            <w:r w:rsidRPr="00222D02">
              <w:rPr>
                <w:rStyle w:val="cf01"/>
                <w:rFonts w:ascii="Times New Roman" w:hAnsi="Times New Roman" w:cs="Times New Roman"/>
                <w:sz w:val="20"/>
                <w:szCs w:val="20"/>
              </w:rPr>
              <w:t>.</w:t>
            </w:r>
          </w:p>
          <w:p w14:paraId="132DD94F" w14:textId="0FDD8751" w:rsidR="002D7080" w:rsidRPr="00222D02" w:rsidRDefault="00E36901" w:rsidP="00E36901">
            <w:pPr>
              <w:ind w:left="720" w:hanging="720"/>
              <w:contextualSpacing/>
              <w:rPr>
                <w:rFonts w:ascii="Times New Roman" w:hAnsi="Times New Roman" w:cs="Times New Roman"/>
                <w:sz w:val="20"/>
                <w:szCs w:val="20"/>
              </w:rPr>
            </w:pPr>
            <w:r w:rsidRPr="00E36901">
              <w:rPr>
                <w:rFonts w:ascii="Times New Roman" w:hAnsi="Times New Roman" w:cs="Times New Roman"/>
                <w:iCs/>
                <w:sz w:val="20"/>
                <w:szCs w:val="20"/>
              </w:rPr>
              <w:t>Woodford, D.J., Ivey, P., Novoa, A., Shackleton, R., Richardson, D., Weyl, O., Van Wilgen, B. and Zengeya, T</w:t>
            </w:r>
            <w:r w:rsidR="002D7080" w:rsidRPr="00222D02">
              <w:rPr>
                <w:rFonts w:ascii="Times New Roman" w:hAnsi="Times New Roman" w:cs="Times New Roman"/>
                <w:sz w:val="20"/>
                <w:szCs w:val="20"/>
              </w:rPr>
              <w:t xml:space="preserve">., 2017, ‘Managing conflict-generating invasive species in South Africa: Challenges and trade-offs’, </w:t>
            </w:r>
            <w:r w:rsidR="002D7080" w:rsidRPr="00222D02">
              <w:rPr>
                <w:rFonts w:ascii="Times New Roman" w:hAnsi="Times New Roman" w:cs="Times New Roman"/>
                <w:i/>
                <w:iCs/>
                <w:sz w:val="20"/>
                <w:szCs w:val="20"/>
              </w:rPr>
              <w:t xml:space="preserve">Bothalia </w:t>
            </w:r>
            <w:r w:rsidR="002D7080" w:rsidRPr="00222D02">
              <w:rPr>
                <w:rFonts w:ascii="Times New Roman" w:hAnsi="Times New Roman" w:cs="Times New Roman"/>
                <w:sz w:val="20"/>
                <w:szCs w:val="20"/>
              </w:rPr>
              <w:t>47, a2160. https://doi. org/10.4102/abc.v47i2.2160.</w:t>
            </w:r>
          </w:p>
        </w:tc>
      </w:tr>
    </w:tbl>
    <w:p w14:paraId="69DE6E4A" w14:textId="77777777" w:rsidR="002D7080" w:rsidRPr="00222D02" w:rsidRDefault="002D7080" w:rsidP="002D7080">
      <w:pPr>
        <w:spacing w:after="0" w:line="240" w:lineRule="auto"/>
        <w:rPr>
          <w:rFonts w:ascii="Times New Roman" w:hAnsi="Times New Roman" w:cs="Times New Roman"/>
          <w:b/>
          <w:sz w:val="20"/>
          <w:szCs w:val="20"/>
        </w:rPr>
      </w:pPr>
    </w:p>
    <w:tbl>
      <w:tblPr>
        <w:tblStyle w:val="TableGrid"/>
        <w:tblW w:w="9067" w:type="dxa"/>
        <w:tblLook w:val="04A0" w:firstRow="1" w:lastRow="0" w:firstColumn="1" w:lastColumn="0" w:noHBand="0" w:noVBand="1"/>
      </w:tblPr>
      <w:tblGrid>
        <w:gridCol w:w="1696"/>
        <w:gridCol w:w="7371"/>
      </w:tblGrid>
      <w:tr w:rsidR="002D7080" w:rsidRPr="00222D02" w14:paraId="6C183910" w14:textId="77777777" w:rsidTr="002E2C37">
        <w:trPr>
          <w:trHeight w:val="343"/>
        </w:trPr>
        <w:tc>
          <w:tcPr>
            <w:tcW w:w="9067" w:type="dxa"/>
            <w:gridSpan w:val="2"/>
            <w:shd w:val="clear" w:color="auto" w:fill="F2F2F2" w:themeFill="background1" w:themeFillShade="F2"/>
          </w:tcPr>
          <w:p w14:paraId="1539F928" w14:textId="77777777" w:rsidR="002D7080" w:rsidRPr="00222D02" w:rsidRDefault="002D7080" w:rsidP="002E2C37">
            <w:pPr>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 xml:space="preserve">MAN6 Any other management considerations to highlight? </w:t>
            </w:r>
          </w:p>
        </w:tc>
      </w:tr>
      <w:tr w:rsidR="002D7080" w:rsidRPr="00222D02" w14:paraId="2A9FEF74" w14:textId="77777777" w:rsidTr="002E2C37">
        <w:trPr>
          <w:trHeight w:val="70"/>
        </w:trPr>
        <w:tc>
          <w:tcPr>
            <w:tcW w:w="1696" w:type="dxa"/>
          </w:tcPr>
          <w:p w14:paraId="78520A3A"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Response</w:t>
            </w:r>
          </w:p>
        </w:tc>
        <w:tc>
          <w:tcPr>
            <w:tcW w:w="7371" w:type="dxa"/>
          </w:tcPr>
          <w:p w14:paraId="7E5F572A" w14:textId="77777777" w:rsidR="002D7080" w:rsidRPr="00222D02" w:rsidRDefault="002D7080" w:rsidP="002E2C37">
            <w:pPr>
              <w:jc w:val="both"/>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No</w:t>
            </w:r>
          </w:p>
        </w:tc>
      </w:tr>
    </w:tbl>
    <w:p w14:paraId="54B1FF18" w14:textId="77777777" w:rsidR="002D7080" w:rsidRPr="00222D02" w:rsidRDefault="002D7080" w:rsidP="002D7080">
      <w:pPr>
        <w:spacing w:after="0" w:line="240" w:lineRule="auto"/>
        <w:rPr>
          <w:rFonts w:ascii="Times New Roman" w:eastAsia="Times New Roman" w:hAnsi="Times New Roman" w:cs="Times New Roman"/>
          <w:sz w:val="20"/>
          <w:szCs w:val="20"/>
          <w:lang w:eastAsia="en-ZA"/>
        </w:rPr>
      </w:pPr>
    </w:p>
    <w:p w14:paraId="4B942046"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5. Calculations</w:t>
      </w:r>
    </w:p>
    <w:p w14:paraId="0CA6EE22"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p>
    <w:p w14:paraId="7B0A3383" w14:textId="77777777" w:rsidR="002D7080" w:rsidRPr="00222D02" w:rsidRDefault="002D7080" w:rsidP="002D7080">
      <w:pPr>
        <w:spacing w:after="0" w:line="240" w:lineRule="auto"/>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
          <w:sz w:val="20"/>
          <w:szCs w:val="20"/>
          <w:lang w:eastAsia="en-ZA"/>
        </w:rPr>
        <w:t>Likelihood = Probable</w:t>
      </w:r>
    </w:p>
    <w:p w14:paraId="51672C63" w14:textId="77777777" w:rsidR="002D7080" w:rsidRPr="00222D02"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1195"/>
        <w:gridCol w:w="2628"/>
        <w:gridCol w:w="2939"/>
        <w:gridCol w:w="2254"/>
      </w:tblGrid>
      <w:tr w:rsidR="002D7080" w:rsidRPr="00222D02" w14:paraId="3728E378" w14:textId="77777777" w:rsidTr="002E2C37">
        <w:tc>
          <w:tcPr>
            <w:tcW w:w="1195" w:type="dxa"/>
            <w:shd w:val="clear" w:color="auto" w:fill="D9D9D9" w:themeFill="background1" w:themeFillShade="D9"/>
            <w:vAlign w:val="center"/>
          </w:tcPr>
          <w:p w14:paraId="7E1EBF48"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lastRenderedPageBreak/>
              <w:t>Parameter</w:t>
            </w:r>
          </w:p>
        </w:tc>
        <w:tc>
          <w:tcPr>
            <w:tcW w:w="2628" w:type="dxa"/>
            <w:shd w:val="clear" w:color="auto" w:fill="D9D9D9" w:themeFill="background1" w:themeFillShade="D9"/>
            <w:vAlign w:val="center"/>
          </w:tcPr>
          <w:p w14:paraId="7C9D2DE1"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Likelihood</w:t>
            </w:r>
          </w:p>
        </w:tc>
        <w:tc>
          <w:tcPr>
            <w:tcW w:w="2939" w:type="dxa"/>
            <w:shd w:val="clear" w:color="auto" w:fill="D9D9D9" w:themeFill="background1" w:themeFillShade="D9"/>
            <w:vAlign w:val="center"/>
          </w:tcPr>
          <w:p w14:paraId="34F61357"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Stages</w:t>
            </w:r>
          </w:p>
        </w:tc>
        <w:tc>
          <w:tcPr>
            <w:tcW w:w="2254" w:type="dxa"/>
            <w:shd w:val="clear" w:color="auto" w:fill="D9D9D9" w:themeFill="background1" w:themeFillShade="D9"/>
            <w:vAlign w:val="center"/>
          </w:tcPr>
          <w:p w14:paraId="5F50BB28"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Final assessment</w:t>
            </w:r>
          </w:p>
        </w:tc>
      </w:tr>
      <w:tr w:rsidR="002D7080" w:rsidRPr="00222D02" w14:paraId="0FE44DDF" w14:textId="77777777" w:rsidTr="002E2C37">
        <w:tc>
          <w:tcPr>
            <w:tcW w:w="1195" w:type="dxa"/>
            <w:shd w:val="clear" w:color="auto" w:fill="D9D9D9" w:themeFill="background1" w:themeFillShade="D9"/>
            <w:vAlign w:val="center"/>
          </w:tcPr>
          <w:p w14:paraId="36AB48B0"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LIK1</w:t>
            </w:r>
          </w:p>
        </w:tc>
        <w:tc>
          <w:tcPr>
            <w:tcW w:w="2628" w:type="dxa"/>
            <w:vAlign w:val="center"/>
          </w:tcPr>
          <w:p w14:paraId="64105676"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1</w:t>
            </w:r>
          </w:p>
        </w:tc>
        <w:tc>
          <w:tcPr>
            <w:tcW w:w="2939" w:type="dxa"/>
            <w:vMerge w:val="restart"/>
            <w:vAlign w:val="center"/>
          </w:tcPr>
          <w:p w14:paraId="61D1D47E"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P(entry) = 1</w:t>
            </w:r>
          </w:p>
        </w:tc>
        <w:tc>
          <w:tcPr>
            <w:tcW w:w="2254" w:type="dxa"/>
            <w:vMerge w:val="restart"/>
            <w:vAlign w:val="center"/>
          </w:tcPr>
          <w:p w14:paraId="49D1C7A1"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P (invasion) = 1</w:t>
            </w:r>
          </w:p>
        </w:tc>
      </w:tr>
      <w:tr w:rsidR="002D7080" w:rsidRPr="00222D02" w14:paraId="673B9F1A" w14:textId="77777777" w:rsidTr="002E2C37">
        <w:tc>
          <w:tcPr>
            <w:tcW w:w="1195" w:type="dxa"/>
            <w:shd w:val="clear" w:color="auto" w:fill="D9D9D9" w:themeFill="background1" w:themeFillShade="D9"/>
            <w:vAlign w:val="center"/>
          </w:tcPr>
          <w:p w14:paraId="448C2A72"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LIK2</w:t>
            </w:r>
          </w:p>
        </w:tc>
        <w:tc>
          <w:tcPr>
            <w:tcW w:w="2628" w:type="dxa"/>
            <w:vAlign w:val="center"/>
          </w:tcPr>
          <w:p w14:paraId="5045275D"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1</w:t>
            </w:r>
          </w:p>
        </w:tc>
        <w:tc>
          <w:tcPr>
            <w:tcW w:w="2939" w:type="dxa"/>
            <w:vMerge/>
            <w:vAlign w:val="center"/>
          </w:tcPr>
          <w:p w14:paraId="0803ED5C" w14:textId="77777777" w:rsidR="002D7080" w:rsidRPr="00222D02"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19B59C58" w14:textId="77777777" w:rsidR="002D7080" w:rsidRPr="00222D02" w:rsidRDefault="002D7080" w:rsidP="002E2C37">
            <w:pPr>
              <w:rPr>
                <w:rFonts w:ascii="Times New Roman" w:eastAsia="Times New Roman" w:hAnsi="Times New Roman" w:cs="Times New Roman"/>
                <w:sz w:val="20"/>
                <w:szCs w:val="20"/>
                <w:lang w:eastAsia="en-ZA"/>
              </w:rPr>
            </w:pPr>
          </w:p>
        </w:tc>
      </w:tr>
      <w:tr w:rsidR="002D7080" w:rsidRPr="00222D02" w14:paraId="165CECC6" w14:textId="77777777" w:rsidTr="002E2C37">
        <w:tc>
          <w:tcPr>
            <w:tcW w:w="1195" w:type="dxa"/>
            <w:shd w:val="clear" w:color="auto" w:fill="D9D9D9" w:themeFill="background1" w:themeFillShade="D9"/>
            <w:vAlign w:val="center"/>
          </w:tcPr>
          <w:p w14:paraId="75539F0E"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LIK3</w:t>
            </w:r>
          </w:p>
        </w:tc>
        <w:tc>
          <w:tcPr>
            <w:tcW w:w="2628" w:type="dxa"/>
            <w:vAlign w:val="center"/>
          </w:tcPr>
          <w:p w14:paraId="2409CA88"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1</w:t>
            </w:r>
          </w:p>
        </w:tc>
        <w:tc>
          <w:tcPr>
            <w:tcW w:w="2939" w:type="dxa"/>
            <w:vMerge w:val="restart"/>
            <w:vAlign w:val="center"/>
          </w:tcPr>
          <w:p w14:paraId="26AB935B"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P(establishment) = 1</w:t>
            </w:r>
          </w:p>
        </w:tc>
        <w:tc>
          <w:tcPr>
            <w:tcW w:w="2254" w:type="dxa"/>
            <w:vMerge/>
            <w:vAlign w:val="center"/>
          </w:tcPr>
          <w:p w14:paraId="1F40DCA2" w14:textId="77777777" w:rsidR="002D7080" w:rsidRPr="00222D02" w:rsidRDefault="002D7080" w:rsidP="002E2C37">
            <w:pPr>
              <w:rPr>
                <w:rFonts w:ascii="Times New Roman" w:eastAsia="Times New Roman" w:hAnsi="Times New Roman" w:cs="Times New Roman"/>
                <w:sz w:val="20"/>
                <w:szCs w:val="20"/>
                <w:lang w:eastAsia="en-ZA"/>
              </w:rPr>
            </w:pPr>
          </w:p>
        </w:tc>
      </w:tr>
      <w:tr w:rsidR="002D7080" w:rsidRPr="00222D02" w14:paraId="7DF571B9" w14:textId="77777777" w:rsidTr="002E2C37">
        <w:tc>
          <w:tcPr>
            <w:tcW w:w="1195" w:type="dxa"/>
            <w:shd w:val="clear" w:color="auto" w:fill="D9D9D9" w:themeFill="background1" w:themeFillShade="D9"/>
            <w:vAlign w:val="center"/>
          </w:tcPr>
          <w:p w14:paraId="05F42B12"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LIK4</w:t>
            </w:r>
          </w:p>
        </w:tc>
        <w:tc>
          <w:tcPr>
            <w:tcW w:w="2628" w:type="dxa"/>
            <w:vAlign w:val="center"/>
          </w:tcPr>
          <w:p w14:paraId="0324FB6E"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1</w:t>
            </w:r>
          </w:p>
        </w:tc>
        <w:tc>
          <w:tcPr>
            <w:tcW w:w="2939" w:type="dxa"/>
            <w:vMerge/>
            <w:vAlign w:val="center"/>
          </w:tcPr>
          <w:p w14:paraId="3CCE4CAE" w14:textId="77777777" w:rsidR="002D7080" w:rsidRPr="00222D02"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51607F03" w14:textId="77777777" w:rsidR="002D7080" w:rsidRPr="00222D02" w:rsidRDefault="002D7080" w:rsidP="002E2C37">
            <w:pPr>
              <w:rPr>
                <w:rFonts w:ascii="Times New Roman" w:eastAsia="Times New Roman" w:hAnsi="Times New Roman" w:cs="Times New Roman"/>
                <w:sz w:val="20"/>
                <w:szCs w:val="20"/>
                <w:lang w:eastAsia="en-ZA"/>
              </w:rPr>
            </w:pPr>
          </w:p>
        </w:tc>
      </w:tr>
      <w:tr w:rsidR="002D7080" w:rsidRPr="00222D02" w14:paraId="09C0023F" w14:textId="77777777" w:rsidTr="002E2C37">
        <w:tc>
          <w:tcPr>
            <w:tcW w:w="1195" w:type="dxa"/>
            <w:shd w:val="clear" w:color="auto" w:fill="D9D9D9" w:themeFill="background1" w:themeFillShade="D9"/>
            <w:vAlign w:val="center"/>
          </w:tcPr>
          <w:p w14:paraId="4C18CC07"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LIK5</w:t>
            </w:r>
          </w:p>
        </w:tc>
        <w:tc>
          <w:tcPr>
            <w:tcW w:w="2628" w:type="dxa"/>
            <w:vAlign w:val="center"/>
          </w:tcPr>
          <w:p w14:paraId="6E581244"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1</w:t>
            </w:r>
          </w:p>
        </w:tc>
        <w:tc>
          <w:tcPr>
            <w:tcW w:w="2939" w:type="dxa"/>
            <w:vMerge w:val="restart"/>
            <w:vAlign w:val="center"/>
          </w:tcPr>
          <w:p w14:paraId="43C19FDB"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P (spread) =1</w:t>
            </w:r>
          </w:p>
        </w:tc>
        <w:tc>
          <w:tcPr>
            <w:tcW w:w="2254" w:type="dxa"/>
            <w:vMerge/>
            <w:vAlign w:val="center"/>
          </w:tcPr>
          <w:p w14:paraId="761E76C9" w14:textId="77777777" w:rsidR="002D7080" w:rsidRPr="00222D02" w:rsidRDefault="002D7080" w:rsidP="002E2C37">
            <w:pPr>
              <w:rPr>
                <w:rFonts w:ascii="Times New Roman" w:eastAsia="Times New Roman" w:hAnsi="Times New Roman" w:cs="Times New Roman"/>
                <w:sz w:val="20"/>
                <w:szCs w:val="20"/>
                <w:lang w:eastAsia="en-ZA"/>
              </w:rPr>
            </w:pPr>
          </w:p>
        </w:tc>
      </w:tr>
      <w:tr w:rsidR="002D7080" w:rsidRPr="00222D02" w14:paraId="77D2703E" w14:textId="77777777" w:rsidTr="002E2C37">
        <w:tc>
          <w:tcPr>
            <w:tcW w:w="1195" w:type="dxa"/>
            <w:shd w:val="clear" w:color="auto" w:fill="D9D9D9" w:themeFill="background1" w:themeFillShade="D9"/>
            <w:vAlign w:val="center"/>
          </w:tcPr>
          <w:p w14:paraId="2622DCDE"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LIK6</w:t>
            </w:r>
          </w:p>
        </w:tc>
        <w:tc>
          <w:tcPr>
            <w:tcW w:w="2628" w:type="dxa"/>
            <w:vAlign w:val="center"/>
          </w:tcPr>
          <w:p w14:paraId="227FEA0C"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1</w:t>
            </w:r>
          </w:p>
        </w:tc>
        <w:tc>
          <w:tcPr>
            <w:tcW w:w="2939" w:type="dxa"/>
            <w:vMerge/>
            <w:vAlign w:val="center"/>
          </w:tcPr>
          <w:p w14:paraId="20428715" w14:textId="77777777" w:rsidR="002D7080" w:rsidRPr="00222D02"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3344F75D" w14:textId="77777777" w:rsidR="002D7080" w:rsidRPr="00222D02" w:rsidRDefault="002D7080" w:rsidP="002E2C37">
            <w:pPr>
              <w:rPr>
                <w:rFonts w:ascii="Times New Roman" w:eastAsia="Times New Roman" w:hAnsi="Times New Roman" w:cs="Times New Roman"/>
                <w:sz w:val="20"/>
                <w:szCs w:val="20"/>
                <w:lang w:eastAsia="en-ZA"/>
              </w:rPr>
            </w:pPr>
          </w:p>
        </w:tc>
      </w:tr>
    </w:tbl>
    <w:p w14:paraId="5F28E2F9" w14:textId="77777777" w:rsidR="002D7080" w:rsidRPr="00222D02" w:rsidRDefault="002D7080" w:rsidP="002D7080">
      <w:pPr>
        <w:spacing w:after="0" w:line="240" w:lineRule="auto"/>
        <w:rPr>
          <w:rFonts w:ascii="Times New Roman" w:eastAsia="Times New Roman" w:hAnsi="Times New Roman" w:cs="Times New Roman"/>
          <w:sz w:val="20"/>
          <w:szCs w:val="20"/>
          <w:lang w:eastAsia="en-ZA"/>
        </w:rPr>
      </w:pPr>
    </w:p>
    <w:p w14:paraId="3E984C64"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Consequence = Major</w:t>
      </w:r>
      <w:r>
        <w:rPr>
          <w:rFonts w:ascii="Times New Roman" w:eastAsia="Times New Roman" w:hAnsi="Times New Roman" w:cs="Times New Roman"/>
          <w:b/>
          <w:sz w:val="20"/>
          <w:szCs w:val="20"/>
          <w:lang w:eastAsia="en-ZA"/>
        </w:rPr>
        <w:t xml:space="preserve"> (MR)</w:t>
      </w:r>
    </w:p>
    <w:p w14:paraId="73B75B50" w14:textId="77777777" w:rsidR="002D7080" w:rsidRPr="00222D02" w:rsidRDefault="002D7080" w:rsidP="002D7080">
      <w:pPr>
        <w:spacing w:after="0" w:line="240" w:lineRule="auto"/>
        <w:rPr>
          <w:rFonts w:ascii="Times New Roman" w:eastAsia="Times New Roman" w:hAnsi="Times New Roman" w:cs="Times New Roman"/>
          <w:bCs/>
          <w:sz w:val="20"/>
          <w:szCs w:val="20"/>
          <w:lang w:eastAsia="en-ZA"/>
        </w:rPr>
      </w:pPr>
    </w:p>
    <w:tbl>
      <w:tblPr>
        <w:tblStyle w:val="TableGrid"/>
        <w:tblW w:w="0" w:type="auto"/>
        <w:tblLook w:val="04A0" w:firstRow="1" w:lastRow="0" w:firstColumn="1" w:lastColumn="0" w:noHBand="0" w:noVBand="1"/>
      </w:tblPr>
      <w:tblGrid>
        <w:gridCol w:w="1555"/>
        <w:gridCol w:w="5953"/>
        <w:gridCol w:w="1508"/>
      </w:tblGrid>
      <w:tr w:rsidR="002D7080" w:rsidRPr="00222D02" w14:paraId="538DA326" w14:textId="77777777" w:rsidTr="002E2C37">
        <w:tc>
          <w:tcPr>
            <w:tcW w:w="1555" w:type="dxa"/>
            <w:shd w:val="clear" w:color="auto" w:fill="D9D9D9" w:themeFill="background1" w:themeFillShade="D9"/>
          </w:tcPr>
          <w:p w14:paraId="5C36F4BC"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Parameter</w:t>
            </w:r>
          </w:p>
        </w:tc>
        <w:tc>
          <w:tcPr>
            <w:tcW w:w="5953" w:type="dxa"/>
            <w:shd w:val="clear" w:color="auto" w:fill="D9D9D9" w:themeFill="background1" w:themeFillShade="D9"/>
          </w:tcPr>
          <w:p w14:paraId="4357C70F"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Mechanism/sector</w:t>
            </w:r>
          </w:p>
        </w:tc>
        <w:tc>
          <w:tcPr>
            <w:tcW w:w="1508" w:type="dxa"/>
            <w:shd w:val="clear" w:color="auto" w:fill="D9D9D9" w:themeFill="background1" w:themeFillShade="D9"/>
          </w:tcPr>
          <w:p w14:paraId="197C6078" w14:textId="77777777" w:rsidR="002D7080" w:rsidRPr="00222D02" w:rsidRDefault="002D7080" w:rsidP="002E2C37">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R</w:t>
            </w:r>
            <w:r w:rsidRPr="00662E3F">
              <w:rPr>
                <w:rFonts w:ascii="Times New Roman" w:eastAsia="Times New Roman" w:hAnsi="Times New Roman" w:cs="Times New Roman"/>
                <w:b/>
                <w:sz w:val="20"/>
                <w:szCs w:val="20"/>
                <w:shd w:val="clear" w:color="auto" w:fill="D9D9D9" w:themeFill="background1" w:themeFillShade="D9"/>
                <w:lang w:eastAsia="en-ZA"/>
              </w:rPr>
              <w:t>esponse</w:t>
            </w:r>
          </w:p>
        </w:tc>
      </w:tr>
      <w:tr w:rsidR="002D7080" w:rsidRPr="00222D02" w14:paraId="571AB13A" w14:textId="77777777" w:rsidTr="002E2C37">
        <w:tc>
          <w:tcPr>
            <w:tcW w:w="1555" w:type="dxa"/>
            <w:shd w:val="clear" w:color="auto" w:fill="D9D9D9" w:themeFill="background1" w:themeFillShade="D9"/>
          </w:tcPr>
          <w:p w14:paraId="7BB8D48C"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CON1a</w:t>
            </w:r>
          </w:p>
        </w:tc>
        <w:tc>
          <w:tcPr>
            <w:tcW w:w="5953" w:type="dxa"/>
            <w:shd w:val="clear" w:color="auto" w:fill="D9D9D9" w:themeFill="background1" w:themeFillShade="D9"/>
          </w:tcPr>
          <w:p w14:paraId="7CBF06B3"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Competition</w:t>
            </w:r>
          </w:p>
        </w:tc>
        <w:tc>
          <w:tcPr>
            <w:tcW w:w="1508" w:type="dxa"/>
          </w:tcPr>
          <w:p w14:paraId="47710D5E"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 xml:space="preserve">DD </w:t>
            </w:r>
          </w:p>
        </w:tc>
      </w:tr>
      <w:tr w:rsidR="002D7080" w:rsidRPr="00222D02" w14:paraId="26529AD7" w14:textId="77777777" w:rsidTr="002E2C37">
        <w:tc>
          <w:tcPr>
            <w:tcW w:w="1555" w:type="dxa"/>
            <w:shd w:val="clear" w:color="auto" w:fill="D9D9D9" w:themeFill="background1" w:themeFillShade="D9"/>
          </w:tcPr>
          <w:p w14:paraId="360DF55B"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CON1b</w:t>
            </w:r>
          </w:p>
        </w:tc>
        <w:tc>
          <w:tcPr>
            <w:tcW w:w="5953" w:type="dxa"/>
            <w:shd w:val="clear" w:color="auto" w:fill="D9D9D9" w:themeFill="background1" w:themeFillShade="D9"/>
          </w:tcPr>
          <w:p w14:paraId="508A847E"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Predation</w:t>
            </w:r>
          </w:p>
        </w:tc>
        <w:tc>
          <w:tcPr>
            <w:tcW w:w="1508" w:type="dxa"/>
          </w:tcPr>
          <w:p w14:paraId="6D09A6D8"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 xml:space="preserve">DD </w:t>
            </w:r>
          </w:p>
        </w:tc>
      </w:tr>
      <w:tr w:rsidR="002D7080" w:rsidRPr="00222D02" w14:paraId="12909181" w14:textId="77777777" w:rsidTr="002E2C37">
        <w:tc>
          <w:tcPr>
            <w:tcW w:w="1555" w:type="dxa"/>
            <w:shd w:val="clear" w:color="auto" w:fill="D9D9D9" w:themeFill="background1" w:themeFillShade="D9"/>
          </w:tcPr>
          <w:p w14:paraId="4A0AF303"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CON1c</w:t>
            </w:r>
          </w:p>
        </w:tc>
        <w:tc>
          <w:tcPr>
            <w:tcW w:w="5953" w:type="dxa"/>
            <w:shd w:val="clear" w:color="auto" w:fill="D9D9D9" w:themeFill="background1" w:themeFillShade="D9"/>
          </w:tcPr>
          <w:p w14:paraId="211989D1"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Hybridisation</w:t>
            </w:r>
          </w:p>
        </w:tc>
        <w:tc>
          <w:tcPr>
            <w:tcW w:w="1508" w:type="dxa"/>
          </w:tcPr>
          <w:p w14:paraId="6BC8D497"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 xml:space="preserve">DD </w:t>
            </w:r>
          </w:p>
        </w:tc>
      </w:tr>
      <w:tr w:rsidR="002D7080" w:rsidRPr="00222D02" w14:paraId="50D1260A" w14:textId="77777777" w:rsidTr="002E2C37">
        <w:tc>
          <w:tcPr>
            <w:tcW w:w="1555" w:type="dxa"/>
            <w:shd w:val="clear" w:color="auto" w:fill="D9D9D9" w:themeFill="background1" w:themeFillShade="D9"/>
          </w:tcPr>
          <w:p w14:paraId="4F2AC406"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CON1d</w:t>
            </w:r>
          </w:p>
        </w:tc>
        <w:tc>
          <w:tcPr>
            <w:tcW w:w="5953" w:type="dxa"/>
            <w:shd w:val="clear" w:color="auto" w:fill="D9D9D9" w:themeFill="background1" w:themeFillShade="D9"/>
          </w:tcPr>
          <w:p w14:paraId="36AF02EE"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Disease transmission</w:t>
            </w:r>
          </w:p>
        </w:tc>
        <w:tc>
          <w:tcPr>
            <w:tcW w:w="1508" w:type="dxa"/>
          </w:tcPr>
          <w:p w14:paraId="73103BC0"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MR</w:t>
            </w:r>
          </w:p>
        </w:tc>
      </w:tr>
      <w:tr w:rsidR="002D7080" w:rsidRPr="00222D02" w14:paraId="18E7627A" w14:textId="77777777" w:rsidTr="002E2C37">
        <w:tc>
          <w:tcPr>
            <w:tcW w:w="1555" w:type="dxa"/>
            <w:shd w:val="clear" w:color="auto" w:fill="D9D9D9" w:themeFill="background1" w:themeFillShade="D9"/>
          </w:tcPr>
          <w:p w14:paraId="02AD400D"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CON1e</w:t>
            </w:r>
          </w:p>
        </w:tc>
        <w:tc>
          <w:tcPr>
            <w:tcW w:w="5953" w:type="dxa"/>
            <w:shd w:val="clear" w:color="auto" w:fill="D9D9D9" w:themeFill="background1" w:themeFillShade="D9"/>
          </w:tcPr>
          <w:p w14:paraId="4B7EF436"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Parasitism</w:t>
            </w:r>
          </w:p>
        </w:tc>
        <w:tc>
          <w:tcPr>
            <w:tcW w:w="1508" w:type="dxa"/>
          </w:tcPr>
          <w:p w14:paraId="606B8C04"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DD</w:t>
            </w:r>
          </w:p>
        </w:tc>
      </w:tr>
      <w:tr w:rsidR="002D7080" w:rsidRPr="00222D02" w14:paraId="3DCD7643" w14:textId="77777777" w:rsidTr="002E2C37">
        <w:tc>
          <w:tcPr>
            <w:tcW w:w="1555" w:type="dxa"/>
            <w:shd w:val="clear" w:color="auto" w:fill="D9D9D9" w:themeFill="background1" w:themeFillShade="D9"/>
          </w:tcPr>
          <w:p w14:paraId="7FB9A0CF"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CON1f</w:t>
            </w:r>
          </w:p>
        </w:tc>
        <w:tc>
          <w:tcPr>
            <w:tcW w:w="5953" w:type="dxa"/>
            <w:shd w:val="clear" w:color="auto" w:fill="D9D9D9" w:themeFill="background1" w:themeFillShade="D9"/>
          </w:tcPr>
          <w:p w14:paraId="0F5B11C6"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Poisoning/toxicity</w:t>
            </w:r>
          </w:p>
        </w:tc>
        <w:tc>
          <w:tcPr>
            <w:tcW w:w="1508" w:type="dxa"/>
          </w:tcPr>
          <w:p w14:paraId="33C5940D"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MC</w:t>
            </w:r>
          </w:p>
        </w:tc>
      </w:tr>
      <w:tr w:rsidR="002D7080" w:rsidRPr="00222D02" w14:paraId="0DC9F9BF" w14:textId="77777777" w:rsidTr="002E2C37">
        <w:tc>
          <w:tcPr>
            <w:tcW w:w="1555" w:type="dxa"/>
            <w:shd w:val="clear" w:color="auto" w:fill="D9D9D9" w:themeFill="background1" w:themeFillShade="D9"/>
          </w:tcPr>
          <w:p w14:paraId="0E3EC362"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CON1g</w:t>
            </w:r>
          </w:p>
        </w:tc>
        <w:tc>
          <w:tcPr>
            <w:tcW w:w="5953" w:type="dxa"/>
            <w:shd w:val="clear" w:color="auto" w:fill="D9D9D9" w:themeFill="background1" w:themeFillShade="D9"/>
          </w:tcPr>
          <w:p w14:paraId="18DA2E51"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Bio-fouling or other direct physical disturbance</w:t>
            </w:r>
          </w:p>
        </w:tc>
        <w:tc>
          <w:tcPr>
            <w:tcW w:w="1508" w:type="dxa"/>
          </w:tcPr>
          <w:p w14:paraId="052F973F"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 xml:space="preserve">DD </w:t>
            </w:r>
          </w:p>
        </w:tc>
      </w:tr>
      <w:tr w:rsidR="002D7080" w:rsidRPr="00222D02" w14:paraId="08FD1BF4" w14:textId="77777777" w:rsidTr="002E2C37">
        <w:tc>
          <w:tcPr>
            <w:tcW w:w="1555" w:type="dxa"/>
            <w:shd w:val="clear" w:color="auto" w:fill="D9D9D9" w:themeFill="background1" w:themeFillShade="D9"/>
          </w:tcPr>
          <w:p w14:paraId="187ECE29"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CON1h</w:t>
            </w:r>
          </w:p>
        </w:tc>
        <w:tc>
          <w:tcPr>
            <w:tcW w:w="5953" w:type="dxa"/>
            <w:shd w:val="clear" w:color="auto" w:fill="D9D9D9" w:themeFill="background1" w:themeFillShade="D9"/>
          </w:tcPr>
          <w:p w14:paraId="53B7B018"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Grazing/herbivory/browsing</w:t>
            </w:r>
          </w:p>
        </w:tc>
        <w:tc>
          <w:tcPr>
            <w:tcW w:w="1508" w:type="dxa"/>
          </w:tcPr>
          <w:p w14:paraId="48EB6135"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 xml:space="preserve">DD </w:t>
            </w:r>
          </w:p>
        </w:tc>
      </w:tr>
      <w:tr w:rsidR="002D7080" w:rsidRPr="00222D02" w14:paraId="70AE42D0" w14:textId="77777777" w:rsidTr="002E2C37">
        <w:tc>
          <w:tcPr>
            <w:tcW w:w="1555" w:type="dxa"/>
            <w:shd w:val="clear" w:color="auto" w:fill="D9D9D9" w:themeFill="background1" w:themeFillShade="D9"/>
          </w:tcPr>
          <w:p w14:paraId="7126101E"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CON1i</w:t>
            </w:r>
          </w:p>
        </w:tc>
        <w:tc>
          <w:tcPr>
            <w:tcW w:w="5953" w:type="dxa"/>
            <w:shd w:val="clear" w:color="auto" w:fill="D9D9D9" w:themeFill="background1" w:themeFillShade="D9"/>
          </w:tcPr>
          <w:p w14:paraId="5C453CBE"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Chemical, physical, structural impact</w:t>
            </w:r>
          </w:p>
        </w:tc>
        <w:tc>
          <w:tcPr>
            <w:tcW w:w="1508" w:type="dxa"/>
          </w:tcPr>
          <w:p w14:paraId="673829F3"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MC</w:t>
            </w:r>
          </w:p>
        </w:tc>
      </w:tr>
      <w:tr w:rsidR="002D7080" w:rsidRPr="00222D02" w14:paraId="0395EBA6" w14:textId="77777777" w:rsidTr="002E2C37">
        <w:tc>
          <w:tcPr>
            <w:tcW w:w="1555" w:type="dxa"/>
            <w:shd w:val="clear" w:color="auto" w:fill="D9D9D9" w:themeFill="background1" w:themeFillShade="D9"/>
          </w:tcPr>
          <w:p w14:paraId="68462936"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CON1k</w:t>
            </w:r>
          </w:p>
        </w:tc>
        <w:tc>
          <w:tcPr>
            <w:tcW w:w="5953" w:type="dxa"/>
            <w:shd w:val="clear" w:color="auto" w:fill="D9D9D9" w:themeFill="background1" w:themeFillShade="D9"/>
          </w:tcPr>
          <w:p w14:paraId="66A7DC00"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Indirect impacts through interactions with other species</w:t>
            </w:r>
          </w:p>
        </w:tc>
        <w:tc>
          <w:tcPr>
            <w:tcW w:w="1508" w:type="dxa"/>
          </w:tcPr>
          <w:p w14:paraId="50AFCE9B"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DD</w:t>
            </w:r>
          </w:p>
        </w:tc>
      </w:tr>
      <w:tr w:rsidR="002D7080" w:rsidRPr="00222D02" w14:paraId="4B3E951A" w14:textId="77777777" w:rsidTr="002E2C37">
        <w:tc>
          <w:tcPr>
            <w:tcW w:w="1555" w:type="dxa"/>
            <w:shd w:val="clear" w:color="auto" w:fill="D9D9D9" w:themeFill="background1" w:themeFillShade="D9"/>
          </w:tcPr>
          <w:p w14:paraId="297E02E4"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CON1</w:t>
            </w:r>
          </w:p>
        </w:tc>
        <w:tc>
          <w:tcPr>
            <w:tcW w:w="5953" w:type="dxa"/>
            <w:shd w:val="clear" w:color="auto" w:fill="D9D9D9" w:themeFill="background1" w:themeFillShade="D9"/>
          </w:tcPr>
          <w:p w14:paraId="6241B885"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Maximum environmental impact</w:t>
            </w:r>
          </w:p>
        </w:tc>
        <w:tc>
          <w:tcPr>
            <w:tcW w:w="1508" w:type="dxa"/>
          </w:tcPr>
          <w:p w14:paraId="0E50C267"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MR</w:t>
            </w:r>
          </w:p>
        </w:tc>
      </w:tr>
      <w:tr w:rsidR="002D7080" w:rsidRPr="00222D02" w14:paraId="155B0A48" w14:textId="77777777" w:rsidTr="002E2C37">
        <w:tc>
          <w:tcPr>
            <w:tcW w:w="1555" w:type="dxa"/>
            <w:shd w:val="clear" w:color="auto" w:fill="D9D9D9" w:themeFill="background1" w:themeFillShade="D9"/>
          </w:tcPr>
          <w:p w14:paraId="3AEADC50"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CON2a</w:t>
            </w:r>
          </w:p>
        </w:tc>
        <w:tc>
          <w:tcPr>
            <w:tcW w:w="5953" w:type="dxa"/>
            <w:shd w:val="clear" w:color="auto" w:fill="D9D9D9" w:themeFill="background1" w:themeFillShade="D9"/>
          </w:tcPr>
          <w:p w14:paraId="5F12C90B"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hAnsi="Times New Roman" w:cs="Times New Roman"/>
                <w:sz w:val="20"/>
                <w:szCs w:val="20"/>
              </w:rPr>
              <w:t>Safety</w:t>
            </w:r>
          </w:p>
        </w:tc>
        <w:tc>
          <w:tcPr>
            <w:tcW w:w="1508" w:type="dxa"/>
          </w:tcPr>
          <w:p w14:paraId="6EB79EFC"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DD</w:t>
            </w:r>
          </w:p>
        </w:tc>
      </w:tr>
      <w:tr w:rsidR="002D7080" w:rsidRPr="00222D02" w14:paraId="78F89DAB" w14:textId="77777777" w:rsidTr="002E2C37">
        <w:tc>
          <w:tcPr>
            <w:tcW w:w="1555" w:type="dxa"/>
            <w:shd w:val="clear" w:color="auto" w:fill="D9D9D9" w:themeFill="background1" w:themeFillShade="D9"/>
          </w:tcPr>
          <w:p w14:paraId="60A632D0"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CON2b</w:t>
            </w:r>
          </w:p>
        </w:tc>
        <w:tc>
          <w:tcPr>
            <w:tcW w:w="5953" w:type="dxa"/>
            <w:shd w:val="clear" w:color="auto" w:fill="D9D9D9" w:themeFill="background1" w:themeFillShade="D9"/>
          </w:tcPr>
          <w:p w14:paraId="62F83A6A"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hAnsi="Times New Roman" w:cs="Times New Roman"/>
                <w:sz w:val="20"/>
                <w:szCs w:val="20"/>
              </w:rPr>
              <w:t>Material and immaterial assets</w:t>
            </w:r>
          </w:p>
        </w:tc>
        <w:tc>
          <w:tcPr>
            <w:tcW w:w="1508" w:type="dxa"/>
          </w:tcPr>
          <w:p w14:paraId="67E5E114"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MO</w:t>
            </w:r>
          </w:p>
        </w:tc>
      </w:tr>
      <w:tr w:rsidR="002D7080" w:rsidRPr="00222D02" w14:paraId="4C49F9C5" w14:textId="77777777" w:rsidTr="002E2C37">
        <w:tc>
          <w:tcPr>
            <w:tcW w:w="1555" w:type="dxa"/>
            <w:shd w:val="clear" w:color="auto" w:fill="D9D9D9" w:themeFill="background1" w:themeFillShade="D9"/>
          </w:tcPr>
          <w:p w14:paraId="74C5AE6A"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CON2c</w:t>
            </w:r>
          </w:p>
        </w:tc>
        <w:tc>
          <w:tcPr>
            <w:tcW w:w="5953" w:type="dxa"/>
            <w:shd w:val="clear" w:color="auto" w:fill="D9D9D9" w:themeFill="background1" w:themeFillShade="D9"/>
          </w:tcPr>
          <w:p w14:paraId="5EC11E1A"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hAnsi="Times New Roman" w:cs="Times New Roman"/>
                <w:sz w:val="20"/>
                <w:szCs w:val="20"/>
              </w:rPr>
              <w:t>Health</w:t>
            </w:r>
          </w:p>
        </w:tc>
        <w:tc>
          <w:tcPr>
            <w:tcW w:w="1508" w:type="dxa"/>
          </w:tcPr>
          <w:p w14:paraId="31ACC68E"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DD</w:t>
            </w:r>
          </w:p>
        </w:tc>
      </w:tr>
      <w:tr w:rsidR="002D7080" w:rsidRPr="00222D02" w14:paraId="158CA00D" w14:textId="77777777" w:rsidTr="002E2C37">
        <w:tc>
          <w:tcPr>
            <w:tcW w:w="1555" w:type="dxa"/>
            <w:shd w:val="clear" w:color="auto" w:fill="D9D9D9" w:themeFill="background1" w:themeFillShade="D9"/>
          </w:tcPr>
          <w:p w14:paraId="4CFFDFA5"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CON2d</w:t>
            </w:r>
          </w:p>
        </w:tc>
        <w:tc>
          <w:tcPr>
            <w:tcW w:w="5953" w:type="dxa"/>
            <w:shd w:val="clear" w:color="auto" w:fill="D9D9D9" w:themeFill="background1" w:themeFillShade="D9"/>
          </w:tcPr>
          <w:p w14:paraId="0F33980F"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hAnsi="Times New Roman" w:cs="Times New Roman"/>
                <w:sz w:val="20"/>
                <w:szCs w:val="20"/>
              </w:rPr>
              <w:t>Social, spiritual and cultural relations</w:t>
            </w:r>
          </w:p>
        </w:tc>
        <w:tc>
          <w:tcPr>
            <w:tcW w:w="1508" w:type="dxa"/>
          </w:tcPr>
          <w:p w14:paraId="495D2621"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DD</w:t>
            </w:r>
          </w:p>
        </w:tc>
      </w:tr>
      <w:tr w:rsidR="002D7080" w:rsidRPr="00222D02" w14:paraId="74A80466" w14:textId="77777777" w:rsidTr="002E2C37">
        <w:tc>
          <w:tcPr>
            <w:tcW w:w="1555" w:type="dxa"/>
            <w:shd w:val="clear" w:color="auto" w:fill="D9D9D9" w:themeFill="background1" w:themeFillShade="D9"/>
          </w:tcPr>
          <w:p w14:paraId="4EE4C0F4"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CON2</w:t>
            </w:r>
          </w:p>
        </w:tc>
        <w:tc>
          <w:tcPr>
            <w:tcW w:w="5953" w:type="dxa"/>
            <w:shd w:val="clear" w:color="auto" w:fill="D9D9D9" w:themeFill="background1" w:themeFillShade="D9"/>
          </w:tcPr>
          <w:p w14:paraId="38CB2D41"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Maximum socio-economic impact</w:t>
            </w:r>
          </w:p>
        </w:tc>
        <w:tc>
          <w:tcPr>
            <w:tcW w:w="1508" w:type="dxa"/>
          </w:tcPr>
          <w:p w14:paraId="6593DD92"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MO</w:t>
            </w:r>
          </w:p>
        </w:tc>
      </w:tr>
      <w:tr w:rsidR="002D7080" w:rsidRPr="00222D02" w14:paraId="185E2DBC" w14:textId="77777777" w:rsidTr="002E2C37">
        <w:trPr>
          <w:trHeight w:val="100"/>
        </w:trPr>
        <w:tc>
          <w:tcPr>
            <w:tcW w:w="1555" w:type="dxa"/>
            <w:shd w:val="clear" w:color="auto" w:fill="D9D9D9" w:themeFill="background1" w:themeFillShade="D9"/>
          </w:tcPr>
          <w:p w14:paraId="6CBDBF81"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CON3</w:t>
            </w:r>
          </w:p>
        </w:tc>
        <w:tc>
          <w:tcPr>
            <w:tcW w:w="5953" w:type="dxa"/>
            <w:shd w:val="clear" w:color="auto" w:fill="D9D9D9" w:themeFill="background1" w:themeFillShade="D9"/>
          </w:tcPr>
          <w:p w14:paraId="46689AD8"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Environmental impact of closely related taxa</w:t>
            </w:r>
          </w:p>
        </w:tc>
        <w:tc>
          <w:tcPr>
            <w:tcW w:w="1508" w:type="dxa"/>
          </w:tcPr>
          <w:p w14:paraId="3609285C"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 xml:space="preserve">Not scored as CON1 scored </w:t>
            </w:r>
          </w:p>
        </w:tc>
      </w:tr>
      <w:tr w:rsidR="002D7080" w:rsidRPr="00222D02" w14:paraId="153F1851" w14:textId="77777777" w:rsidTr="002E2C37">
        <w:tc>
          <w:tcPr>
            <w:tcW w:w="1555" w:type="dxa"/>
            <w:shd w:val="clear" w:color="auto" w:fill="D9D9D9" w:themeFill="background1" w:themeFillShade="D9"/>
          </w:tcPr>
          <w:p w14:paraId="700D56BE"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CON4</w:t>
            </w:r>
          </w:p>
        </w:tc>
        <w:tc>
          <w:tcPr>
            <w:tcW w:w="5953" w:type="dxa"/>
            <w:shd w:val="clear" w:color="auto" w:fill="D9D9D9" w:themeFill="background1" w:themeFillShade="D9"/>
          </w:tcPr>
          <w:p w14:paraId="4AC5A1DF"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Socio-economic impact of closely related taxa</w:t>
            </w:r>
          </w:p>
        </w:tc>
        <w:tc>
          <w:tcPr>
            <w:tcW w:w="1508" w:type="dxa"/>
          </w:tcPr>
          <w:p w14:paraId="1ADFC2C1"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Not scored as CON2 scored</w:t>
            </w:r>
          </w:p>
        </w:tc>
      </w:tr>
      <w:tr w:rsidR="002D7080" w:rsidRPr="00222D02" w14:paraId="11D5A6B5" w14:textId="77777777" w:rsidTr="002E2C37">
        <w:tc>
          <w:tcPr>
            <w:tcW w:w="1555" w:type="dxa"/>
            <w:shd w:val="clear" w:color="auto" w:fill="D9D9D9" w:themeFill="background1" w:themeFillShade="D9"/>
          </w:tcPr>
          <w:p w14:paraId="3094A9BA"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lastRenderedPageBreak/>
              <w:t>CON5</w:t>
            </w:r>
          </w:p>
        </w:tc>
        <w:tc>
          <w:tcPr>
            <w:tcW w:w="5953" w:type="dxa"/>
            <w:shd w:val="clear" w:color="auto" w:fill="D9D9D9" w:themeFill="background1" w:themeFillShade="D9"/>
          </w:tcPr>
          <w:p w14:paraId="5240174A" w14:textId="77777777" w:rsidR="002D7080" w:rsidRPr="00222D02" w:rsidRDefault="002D7080" w:rsidP="002E2C37">
            <w:pPr>
              <w:rPr>
                <w:rFonts w:ascii="Times New Roman" w:eastAsia="Times New Roman" w:hAnsi="Times New Roman" w:cs="Times New Roman"/>
                <w:sz w:val="20"/>
                <w:szCs w:val="20"/>
                <w:lang w:eastAsia="en-ZA"/>
              </w:rPr>
            </w:pPr>
            <w:r w:rsidRPr="00222D02">
              <w:rPr>
                <w:rFonts w:ascii="Times New Roman" w:eastAsia="Times New Roman" w:hAnsi="Times New Roman" w:cs="Times New Roman"/>
                <w:sz w:val="20"/>
                <w:szCs w:val="20"/>
                <w:lang w:eastAsia="en-ZA"/>
              </w:rPr>
              <w:t>Potential impact based on traits, experiments, or models</w:t>
            </w:r>
          </w:p>
        </w:tc>
        <w:tc>
          <w:tcPr>
            <w:tcW w:w="1508" w:type="dxa"/>
          </w:tcPr>
          <w:p w14:paraId="7FCA6019" w14:textId="77777777" w:rsidR="002D7080" w:rsidRPr="00222D02" w:rsidRDefault="002D7080" w:rsidP="002E2C37">
            <w:pPr>
              <w:rPr>
                <w:rFonts w:ascii="Times New Roman" w:eastAsia="Times New Roman" w:hAnsi="Times New Roman" w:cs="Times New Roman"/>
                <w:bCs/>
                <w:sz w:val="20"/>
                <w:szCs w:val="20"/>
                <w:lang w:eastAsia="en-ZA"/>
              </w:rPr>
            </w:pPr>
            <w:r w:rsidRPr="00222D02">
              <w:rPr>
                <w:rFonts w:ascii="Times New Roman" w:eastAsia="Times New Roman" w:hAnsi="Times New Roman" w:cs="Times New Roman"/>
                <w:bCs/>
                <w:sz w:val="20"/>
                <w:szCs w:val="20"/>
                <w:lang w:eastAsia="en-ZA"/>
              </w:rPr>
              <w:t>MR</w:t>
            </w:r>
          </w:p>
        </w:tc>
      </w:tr>
    </w:tbl>
    <w:p w14:paraId="4C69188A"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p>
    <w:p w14:paraId="76DF351B"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Risk score = High</w:t>
      </w:r>
    </w:p>
    <w:p w14:paraId="6C0537E1" w14:textId="77777777" w:rsidR="002D7080" w:rsidRPr="00222D02" w:rsidRDefault="002D7080" w:rsidP="002D7080">
      <w:pPr>
        <w:spacing w:after="0" w:line="240" w:lineRule="auto"/>
        <w:rPr>
          <w:rFonts w:ascii="Times New Roman" w:hAnsi="Times New Roman" w:cs="Times New Roman"/>
          <w:sz w:val="20"/>
          <w:szCs w:val="20"/>
        </w:rPr>
      </w:pPr>
    </w:p>
    <w:tbl>
      <w:tblPr>
        <w:tblW w:w="7700" w:type="dxa"/>
        <w:jc w:val="center"/>
        <w:tblCellMar>
          <w:left w:w="70" w:type="dxa"/>
          <w:right w:w="70" w:type="dxa"/>
        </w:tblCellMar>
        <w:tblLook w:val="04A0" w:firstRow="1" w:lastRow="0" w:firstColumn="1" w:lastColumn="0" w:noHBand="0" w:noVBand="1"/>
      </w:tblPr>
      <w:tblGrid>
        <w:gridCol w:w="440"/>
        <w:gridCol w:w="2060"/>
        <w:gridCol w:w="1004"/>
        <w:gridCol w:w="953"/>
        <w:gridCol w:w="1223"/>
        <w:gridCol w:w="953"/>
        <w:gridCol w:w="1067"/>
      </w:tblGrid>
      <w:tr w:rsidR="002D7080" w:rsidRPr="00222D02" w14:paraId="00E9DF30" w14:textId="77777777" w:rsidTr="002E2C37">
        <w:trPr>
          <w:trHeight w:val="231"/>
          <w:jc w:val="center"/>
        </w:trPr>
        <w:tc>
          <w:tcPr>
            <w:tcW w:w="440" w:type="dxa"/>
            <w:vMerge w:val="restart"/>
            <w:tcBorders>
              <w:top w:val="nil"/>
              <w:left w:val="nil"/>
              <w:bottom w:val="single" w:sz="4" w:space="0" w:color="000000"/>
              <w:right w:val="nil"/>
            </w:tcBorders>
            <w:noWrap/>
            <w:vAlign w:val="bottom"/>
            <w:hideMark/>
          </w:tcPr>
          <w:p w14:paraId="1F3DA24F" w14:textId="77777777" w:rsidR="002D7080" w:rsidRPr="00222D02" w:rsidRDefault="002D7080" w:rsidP="002E2C37">
            <w:pPr>
              <w:spacing w:after="0" w:line="240" w:lineRule="auto"/>
              <w:jc w:val="center"/>
              <w:rPr>
                <w:rFonts w:ascii="Times New Roman" w:eastAsia="Times New Roman" w:hAnsi="Times New Roman" w:cs="Times New Roman"/>
                <w:b/>
                <w:bCs/>
                <w:sz w:val="20"/>
                <w:szCs w:val="20"/>
                <w:lang w:eastAsia="de-CH"/>
              </w:rPr>
            </w:pPr>
            <w:r w:rsidRPr="00222D02">
              <w:rPr>
                <w:rFonts w:ascii="Times New Roman" w:eastAsia="Times New Roman" w:hAnsi="Times New Roman" w:cs="Times New Roman"/>
                <w:b/>
                <w:bCs/>
                <w:sz w:val="20"/>
                <w:szCs w:val="20"/>
                <w:lang w:eastAsia="de-CH"/>
              </w:rPr>
              <w:t> </w:t>
            </w:r>
          </w:p>
        </w:tc>
        <w:tc>
          <w:tcPr>
            <w:tcW w:w="2060" w:type="dxa"/>
            <w:vMerge w:val="restart"/>
            <w:tcBorders>
              <w:top w:val="nil"/>
              <w:left w:val="nil"/>
              <w:bottom w:val="single" w:sz="4" w:space="0" w:color="000000"/>
              <w:right w:val="single" w:sz="4" w:space="0" w:color="auto"/>
            </w:tcBorders>
            <w:noWrap/>
            <w:vAlign w:val="bottom"/>
            <w:hideMark/>
          </w:tcPr>
          <w:p w14:paraId="1A887603" w14:textId="77777777" w:rsidR="002D7080" w:rsidRPr="00222D02" w:rsidRDefault="002D7080" w:rsidP="002E2C37">
            <w:pPr>
              <w:spacing w:after="0" w:line="240" w:lineRule="auto"/>
              <w:rPr>
                <w:rFonts w:ascii="Times New Roman" w:eastAsia="Times New Roman" w:hAnsi="Times New Roman" w:cs="Times New Roman"/>
                <w:b/>
                <w:bCs/>
                <w:sz w:val="20"/>
                <w:szCs w:val="20"/>
                <w:lang w:eastAsia="de-CH"/>
              </w:rPr>
            </w:pPr>
            <w:r w:rsidRPr="00222D02">
              <w:rPr>
                <w:rFonts w:ascii="Times New Roman" w:eastAsia="Times New Roman" w:hAnsi="Times New Roman" w:cs="Times New Roman"/>
                <w:b/>
                <w:bCs/>
                <w:sz w:val="20"/>
                <w:szCs w:val="20"/>
                <w:lang w:eastAsia="de-CH"/>
              </w:rPr>
              <w:t> </w:t>
            </w:r>
          </w:p>
        </w:tc>
        <w:tc>
          <w:tcPr>
            <w:tcW w:w="5200" w:type="dxa"/>
            <w:gridSpan w:val="5"/>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024053F" w14:textId="77777777" w:rsidR="002D7080" w:rsidRPr="00222D02" w:rsidRDefault="002D7080" w:rsidP="002E2C37">
            <w:pPr>
              <w:spacing w:after="0" w:line="240" w:lineRule="auto"/>
              <w:jc w:val="center"/>
              <w:rPr>
                <w:rFonts w:ascii="Times New Roman" w:eastAsia="Times New Roman" w:hAnsi="Times New Roman" w:cs="Times New Roman"/>
                <w:b/>
                <w:bCs/>
                <w:sz w:val="20"/>
                <w:szCs w:val="20"/>
                <w:lang w:eastAsia="de-CH"/>
              </w:rPr>
            </w:pPr>
            <w:r w:rsidRPr="00222D02">
              <w:rPr>
                <w:rFonts w:ascii="Times New Roman" w:eastAsia="Times New Roman" w:hAnsi="Times New Roman" w:cs="Times New Roman"/>
                <w:b/>
                <w:bCs/>
                <w:sz w:val="20"/>
                <w:szCs w:val="20"/>
                <w:lang w:eastAsia="de-CH"/>
              </w:rPr>
              <w:t>Consequences</w:t>
            </w:r>
          </w:p>
        </w:tc>
      </w:tr>
      <w:tr w:rsidR="002D7080" w:rsidRPr="00222D02" w14:paraId="3DB31B8B" w14:textId="77777777" w:rsidTr="002E2C37">
        <w:trPr>
          <w:trHeight w:val="281"/>
          <w:jc w:val="center"/>
        </w:trPr>
        <w:tc>
          <w:tcPr>
            <w:tcW w:w="440" w:type="dxa"/>
            <w:vMerge/>
            <w:tcBorders>
              <w:top w:val="nil"/>
              <w:left w:val="nil"/>
              <w:bottom w:val="single" w:sz="4" w:space="0" w:color="auto"/>
              <w:right w:val="nil"/>
            </w:tcBorders>
            <w:vAlign w:val="center"/>
            <w:hideMark/>
          </w:tcPr>
          <w:p w14:paraId="2723E8BE" w14:textId="77777777" w:rsidR="002D7080" w:rsidRPr="00222D02"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vMerge/>
            <w:tcBorders>
              <w:top w:val="nil"/>
              <w:left w:val="nil"/>
              <w:bottom w:val="single" w:sz="4" w:space="0" w:color="auto"/>
              <w:right w:val="single" w:sz="4" w:space="0" w:color="auto"/>
            </w:tcBorders>
            <w:vAlign w:val="center"/>
            <w:hideMark/>
          </w:tcPr>
          <w:p w14:paraId="27A47AA2" w14:textId="77777777" w:rsidR="002D7080" w:rsidRPr="00222D02" w:rsidRDefault="002D7080" w:rsidP="002E2C37">
            <w:pPr>
              <w:spacing w:after="0" w:line="240" w:lineRule="auto"/>
              <w:rPr>
                <w:rFonts w:ascii="Times New Roman" w:eastAsia="Times New Roman" w:hAnsi="Times New Roman" w:cs="Times New Roman"/>
                <w:b/>
                <w:bCs/>
                <w:sz w:val="20"/>
                <w:szCs w:val="20"/>
                <w:lang w:eastAsia="de-CH"/>
              </w:rPr>
            </w:pPr>
          </w:p>
        </w:tc>
        <w:tc>
          <w:tcPr>
            <w:tcW w:w="100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6C015B16"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MC</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B104AB7"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MN</w:t>
            </w:r>
          </w:p>
        </w:tc>
        <w:tc>
          <w:tcPr>
            <w:tcW w:w="1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B0EFB5E"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MO</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8CDF10E"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MR</w:t>
            </w:r>
          </w:p>
        </w:tc>
        <w:tc>
          <w:tcPr>
            <w:tcW w:w="1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6FA590DB"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MV</w:t>
            </w:r>
          </w:p>
        </w:tc>
      </w:tr>
      <w:tr w:rsidR="002D7080" w:rsidRPr="00222D02" w14:paraId="53DC06D7" w14:textId="77777777" w:rsidTr="002E2C37">
        <w:trPr>
          <w:trHeight w:val="271"/>
          <w:jc w:val="center"/>
        </w:trPr>
        <w:tc>
          <w:tcPr>
            <w:tcW w:w="4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center"/>
            <w:hideMark/>
          </w:tcPr>
          <w:p w14:paraId="1B347240" w14:textId="77777777" w:rsidR="002D7080" w:rsidRPr="00222D02" w:rsidRDefault="002D7080" w:rsidP="002E2C37">
            <w:pPr>
              <w:spacing w:after="0" w:line="240" w:lineRule="auto"/>
              <w:jc w:val="center"/>
              <w:rPr>
                <w:rFonts w:ascii="Times New Roman" w:eastAsia="Times New Roman" w:hAnsi="Times New Roman" w:cs="Times New Roman"/>
                <w:b/>
                <w:bCs/>
                <w:sz w:val="20"/>
                <w:szCs w:val="20"/>
                <w:lang w:eastAsia="de-CH"/>
              </w:rPr>
            </w:pPr>
            <w:r w:rsidRPr="00222D02">
              <w:rPr>
                <w:rFonts w:ascii="Times New Roman" w:eastAsia="Times New Roman" w:hAnsi="Times New Roman" w:cs="Times New Roman"/>
                <w:b/>
                <w:bCs/>
                <w:sz w:val="20"/>
                <w:szCs w:val="20"/>
                <w:lang w:eastAsia="de-CH"/>
              </w:rPr>
              <w:t>Likelihood</w:t>
            </w: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60FB10E"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Extremely unlikely</w:t>
            </w:r>
          </w:p>
        </w:tc>
        <w:tc>
          <w:tcPr>
            <w:tcW w:w="1004" w:type="dxa"/>
            <w:tcBorders>
              <w:top w:val="single" w:sz="4" w:space="0" w:color="auto"/>
              <w:left w:val="nil"/>
              <w:bottom w:val="single" w:sz="4" w:space="0" w:color="auto"/>
              <w:right w:val="single" w:sz="4" w:space="0" w:color="auto"/>
            </w:tcBorders>
            <w:noWrap/>
            <w:vAlign w:val="center"/>
            <w:hideMark/>
          </w:tcPr>
          <w:p w14:paraId="63083B94"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DE28045"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055FB94D"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4547778"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7780EC8"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medium</w:t>
            </w:r>
          </w:p>
        </w:tc>
      </w:tr>
      <w:tr w:rsidR="002D7080" w:rsidRPr="00222D02" w14:paraId="7E4287C8" w14:textId="77777777" w:rsidTr="002E2C37">
        <w:trPr>
          <w:trHeight w:val="275"/>
          <w:jc w:val="center"/>
        </w:trPr>
        <w:tc>
          <w:tcPr>
            <w:tcW w:w="44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FF4D6F" w14:textId="77777777" w:rsidR="002D7080" w:rsidRPr="00222D02"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F4A614E"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Very unlikely</w:t>
            </w:r>
          </w:p>
        </w:tc>
        <w:tc>
          <w:tcPr>
            <w:tcW w:w="1004" w:type="dxa"/>
            <w:tcBorders>
              <w:top w:val="single" w:sz="4" w:space="0" w:color="auto"/>
              <w:left w:val="nil"/>
              <w:bottom w:val="single" w:sz="4" w:space="0" w:color="auto"/>
              <w:right w:val="single" w:sz="4" w:space="0" w:color="auto"/>
            </w:tcBorders>
            <w:noWrap/>
            <w:vAlign w:val="center"/>
            <w:hideMark/>
          </w:tcPr>
          <w:p w14:paraId="1383E034"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53CEFE6"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4DCC2F8F"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D495518"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15252E1"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high</w:t>
            </w:r>
          </w:p>
        </w:tc>
      </w:tr>
      <w:tr w:rsidR="002D7080" w:rsidRPr="00222D02" w14:paraId="01BD464E" w14:textId="77777777" w:rsidTr="002E2C37">
        <w:trPr>
          <w:trHeight w:val="265"/>
          <w:jc w:val="center"/>
        </w:trPr>
        <w:tc>
          <w:tcPr>
            <w:tcW w:w="44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9600235" w14:textId="77777777" w:rsidR="002D7080" w:rsidRPr="00222D02"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341A383"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Unlikely</w:t>
            </w:r>
          </w:p>
        </w:tc>
        <w:tc>
          <w:tcPr>
            <w:tcW w:w="1004" w:type="dxa"/>
            <w:tcBorders>
              <w:top w:val="single" w:sz="4" w:space="0" w:color="auto"/>
              <w:left w:val="nil"/>
              <w:bottom w:val="single" w:sz="4" w:space="0" w:color="auto"/>
              <w:right w:val="single" w:sz="4" w:space="0" w:color="auto"/>
            </w:tcBorders>
            <w:noWrap/>
            <w:vAlign w:val="center"/>
            <w:hideMark/>
          </w:tcPr>
          <w:p w14:paraId="182AC6E3"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C1CB454"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343EC765"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7742F1A"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F3FE83C"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high</w:t>
            </w:r>
          </w:p>
        </w:tc>
      </w:tr>
      <w:tr w:rsidR="002D7080" w:rsidRPr="00222D02" w14:paraId="119B5AC3" w14:textId="77777777" w:rsidTr="002E2C37">
        <w:trPr>
          <w:trHeight w:val="283"/>
          <w:jc w:val="center"/>
        </w:trPr>
        <w:tc>
          <w:tcPr>
            <w:tcW w:w="44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3EBF3A" w14:textId="77777777" w:rsidR="002D7080" w:rsidRPr="00222D02"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33B0A4F"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Fairly probable</w:t>
            </w:r>
          </w:p>
        </w:tc>
        <w:tc>
          <w:tcPr>
            <w:tcW w:w="1004" w:type="dxa"/>
            <w:tcBorders>
              <w:top w:val="single" w:sz="4" w:space="0" w:color="auto"/>
              <w:left w:val="nil"/>
              <w:bottom w:val="single" w:sz="4" w:space="0" w:color="auto"/>
              <w:right w:val="single" w:sz="4" w:space="0" w:color="auto"/>
            </w:tcBorders>
            <w:noWrap/>
            <w:vAlign w:val="center"/>
            <w:hideMark/>
          </w:tcPr>
          <w:p w14:paraId="6B075B4D"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14469AAD"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medium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73A8A281"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76F2FE4"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F8D0F93"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high</w:t>
            </w:r>
          </w:p>
        </w:tc>
      </w:tr>
      <w:tr w:rsidR="002D7080" w:rsidRPr="00222D02" w14:paraId="390E81AD" w14:textId="77777777" w:rsidTr="002E2C37">
        <w:trPr>
          <w:trHeight w:val="273"/>
          <w:jc w:val="center"/>
        </w:trPr>
        <w:tc>
          <w:tcPr>
            <w:tcW w:w="44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F5B519" w14:textId="77777777" w:rsidR="002D7080" w:rsidRPr="00222D02"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03133C8"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Probable</w:t>
            </w:r>
          </w:p>
        </w:tc>
        <w:tc>
          <w:tcPr>
            <w:tcW w:w="1004" w:type="dxa"/>
            <w:tcBorders>
              <w:top w:val="single" w:sz="4" w:space="0" w:color="auto"/>
              <w:left w:val="nil"/>
              <w:bottom w:val="single" w:sz="4" w:space="0" w:color="auto"/>
              <w:right w:val="single" w:sz="4" w:space="0" w:color="auto"/>
            </w:tcBorders>
            <w:noWrap/>
            <w:vAlign w:val="center"/>
            <w:hideMark/>
          </w:tcPr>
          <w:p w14:paraId="5A9C663B"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D0AD8D3"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high</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642CE600"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980758D"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02A7D1C" w14:textId="77777777" w:rsidR="002D7080" w:rsidRPr="00222D02" w:rsidRDefault="002D7080" w:rsidP="002E2C37">
            <w:pPr>
              <w:spacing w:after="0" w:line="240" w:lineRule="auto"/>
              <w:jc w:val="center"/>
              <w:rPr>
                <w:rFonts w:ascii="Times New Roman" w:eastAsia="Times New Roman" w:hAnsi="Times New Roman" w:cs="Times New Roman"/>
                <w:sz w:val="20"/>
                <w:szCs w:val="20"/>
                <w:lang w:eastAsia="de-CH"/>
              </w:rPr>
            </w:pPr>
            <w:r w:rsidRPr="00222D02">
              <w:rPr>
                <w:rFonts w:ascii="Times New Roman" w:eastAsia="Times New Roman" w:hAnsi="Times New Roman" w:cs="Times New Roman"/>
                <w:sz w:val="20"/>
                <w:szCs w:val="20"/>
                <w:lang w:eastAsia="de-CH"/>
              </w:rPr>
              <w:t>high</w:t>
            </w:r>
          </w:p>
        </w:tc>
      </w:tr>
    </w:tbl>
    <w:p w14:paraId="7C918FE7" w14:textId="77777777" w:rsidR="002D7080" w:rsidRPr="00222D02" w:rsidRDefault="002D7080" w:rsidP="002D7080">
      <w:pPr>
        <w:spacing w:after="0" w:line="240" w:lineRule="auto"/>
        <w:rPr>
          <w:rFonts w:ascii="Times New Roman" w:hAnsi="Times New Roman" w:cs="Times New Roman"/>
          <w:sz w:val="20"/>
          <w:szCs w:val="20"/>
        </w:rPr>
      </w:pPr>
    </w:p>
    <w:p w14:paraId="774A8AC0" w14:textId="77777777" w:rsidR="002D7080" w:rsidRDefault="002D7080" w:rsidP="002D7080">
      <w:pPr>
        <w:rPr>
          <w:rFonts w:ascii="Times New Roman" w:eastAsia="Times New Roman" w:hAnsi="Times New Roman" w:cs="Times New Roman"/>
          <w:b/>
          <w:sz w:val="20"/>
          <w:szCs w:val="20"/>
          <w:lang w:eastAsia="en-ZA"/>
        </w:rPr>
      </w:pPr>
      <w:r>
        <w:rPr>
          <w:rFonts w:ascii="Times New Roman" w:eastAsia="Times New Roman" w:hAnsi="Times New Roman" w:cs="Times New Roman"/>
          <w:b/>
          <w:sz w:val="20"/>
          <w:szCs w:val="20"/>
          <w:lang w:eastAsia="en-ZA"/>
        </w:rPr>
        <w:br w:type="page"/>
      </w:r>
    </w:p>
    <w:p w14:paraId="01B9CF15"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lastRenderedPageBreak/>
        <w:t>Ease of management = Difficult</w:t>
      </w:r>
    </w:p>
    <w:p w14:paraId="5049F853" w14:textId="77777777" w:rsidR="002D7080" w:rsidRPr="00222D02" w:rsidRDefault="002D7080" w:rsidP="002D7080">
      <w:pPr>
        <w:spacing w:after="0" w:line="240" w:lineRule="auto"/>
        <w:rPr>
          <w:rFonts w:ascii="Times New Roman" w:eastAsia="Times New Roman" w:hAnsi="Times New Roman" w:cs="Times New Roman"/>
          <w:sz w:val="20"/>
          <w:szCs w:val="20"/>
          <w:lang w:eastAsia="en-ZA"/>
        </w:rPr>
      </w:pPr>
    </w:p>
    <w:tbl>
      <w:tblPr>
        <w:tblpPr w:leftFromText="180" w:rightFromText="180" w:vertAnchor="text" w:tblpXSpec="center" w:tblpY="1"/>
        <w:tblOverlap w:val="never"/>
        <w:tblW w:w="6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4387"/>
        <w:gridCol w:w="1076"/>
      </w:tblGrid>
      <w:tr w:rsidR="002D7080" w:rsidRPr="00222D02" w14:paraId="7919F0C2" w14:textId="77777777" w:rsidTr="002E2C37">
        <w:trPr>
          <w:trHeight w:val="272"/>
        </w:trPr>
        <w:tc>
          <w:tcPr>
            <w:tcW w:w="1195" w:type="dxa"/>
            <w:shd w:val="clear" w:color="auto" w:fill="D9D9D9" w:themeFill="background1" w:themeFillShade="D9"/>
            <w:vAlign w:val="center"/>
          </w:tcPr>
          <w:p w14:paraId="40C85BA0" w14:textId="77777777" w:rsidR="002D7080" w:rsidRPr="00222D02" w:rsidRDefault="002D7080" w:rsidP="002E2C37">
            <w:pPr>
              <w:spacing w:after="0" w:line="240" w:lineRule="auto"/>
              <w:jc w:val="center"/>
              <w:rPr>
                <w:rFonts w:ascii="Times New Roman" w:hAnsi="Times New Roman" w:cs="Times New Roman"/>
                <w:b/>
                <w:sz w:val="20"/>
                <w:szCs w:val="20"/>
              </w:rPr>
            </w:pPr>
            <w:r w:rsidRPr="00222D02">
              <w:rPr>
                <w:rFonts w:ascii="Times New Roman" w:hAnsi="Times New Roman" w:cs="Times New Roman"/>
                <w:b/>
                <w:sz w:val="20"/>
                <w:szCs w:val="20"/>
              </w:rPr>
              <w:t>Parameter</w:t>
            </w:r>
          </w:p>
        </w:tc>
        <w:tc>
          <w:tcPr>
            <w:tcW w:w="4387" w:type="dxa"/>
            <w:shd w:val="clear" w:color="auto" w:fill="D9D9D9" w:themeFill="background1" w:themeFillShade="D9"/>
            <w:vAlign w:val="center"/>
          </w:tcPr>
          <w:p w14:paraId="616FE0F0" w14:textId="77777777" w:rsidR="002D7080" w:rsidRPr="00222D02" w:rsidRDefault="002D7080" w:rsidP="002E2C37">
            <w:pPr>
              <w:spacing w:after="0" w:line="240" w:lineRule="auto"/>
              <w:jc w:val="center"/>
              <w:rPr>
                <w:rFonts w:ascii="Times New Roman" w:hAnsi="Times New Roman" w:cs="Times New Roman"/>
                <w:b/>
                <w:sz w:val="20"/>
                <w:szCs w:val="20"/>
              </w:rPr>
            </w:pPr>
            <w:r w:rsidRPr="00222D02">
              <w:rPr>
                <w:rFonts w:ascii="Times New Roman" w:hAnsi="Times New Roman" w:cs="Times New Roman"/>
                <w:b/>
                <w:sz w:val="20"/>
                <w:szCs w:val="20"/>
              </w:rPr>
              <w:t>Question</w:t>
            </w:r>
          </w:p>
        </w:tc>
        <w:tc>
          <w:tcPr>
            <w:tcW w:w="1076" w:type="dxa"/>
            <w:shd w:val="clear" w:color="auto" w:fill="D9D9D9" w:themeFill="background1" w:themeFillShade="D9"/>
            <w:vAlign w:val="center"/>
          </w:tcPr>
          <w:p w14:paraId="1C1552E6" w14:textId="77777777" w:rsidR="002D7080" w:rsidRPr="00222D02" w:rsidRDefault="002D7080" w:rsidP="002E2C37">
            <w:pPr>
              <w:spacing w:after="0" w:line="240" w:lineRule="auto"/>
              <w:jc w:val="center"/>
              <w:rPr>
                <w:rFonts w:ascii="Times New Roman" w:hAnsi="Times New Roman" w:cs="Times New Roman"/>
                <w:b/>
                <w:sz w:val="20"/>
                <w:szCs w:val="20"/>
              </w:rPr>
            </w:pPr>
            <w:r w:rsidRPr="00222D02">
              <w:rPr>
                <w:rFonts w:ascii="Times New Roman" w:hAnsi="Times New Roman" w:cs="Times New Roman"/>
                <w:b/>
                <w:sz w:val="20"/>
                <w:szCs w:val="20"/>
              </w:rPr>
              <w:t>Response</w:t>
            </w:r>
          </w:p>
        </w:tc>
      </w:tr>
      <w:tr w:rsidR="002D7080" w:rsidRPr="00222D02" w14:paraId="4994E7F5" w14:textId="77777777" w:rsidTr="002E2C37">
        <w:trPr>
          <w:trHeight w:val="305"/>
        </w:trPr>
        <w:tc>
          <w:tcPr>
            <w:tcW w:w="1195" w:type="dxa"/>
            <w:shd w:val="clear" w:color="auto" w:fill="D9D9D9" w:themeFill="background1" w:themeFillShade="D9"/>
            <w:vAlign w:val="center"/>
          </w:tcPr>
          <w:p w14:paraId="73362CF2" w14:textId="77777777" w:rsidR="002D7080" w:rsidRPr="00222D02" w:rsidRDefault="002D7080" w:rsidP="002E2C37">
            <w:pPr>
              <w:spacing w:after="0" w:line="240" w:lineRule="auto"/>
              <w:jc w:val="center"/>
              <w:rPr>
                <w:rFonts w:ascii="Times New Roman" w:hAnsi="Times New Roman" w:cs="Times New Roman"/>
                <w:sz w:val="20"/>
                <w:szCs w:val="20"/>
              </w:rPr>
            </w:pPr>
            <w:r w:rsidRPr="00222D02">
              <w:rPr>
                <w:rFonts w:ascii="Times New Roman" w:hAnsi="Times New Roman" w:cs="Times New Roman"/>
                <w:sz w:val="20"/>
                <w:szCs w:val="20"/>
              </w:rPr>
              <w:t>MAN3a</w:t>
            </w:r>
          </w:p>
        </w:tc>
        <w:tc>
          <w:tcPr>
            <w:tcW w:w="4387" w:type="dxa"/>
            <w:shd w:val="clear" w:color="auto" w:fill="D9D9D9" w:themeFill="background1" w:themeFillShade="D9"/>
            <w:vAlign w:val="center"/>
          </w:tcPr>
          <w:p w14:paraId="00674477" w14:textId="77777777" w:rsidR="002D7080" w:rsidRPr="00222D02" w:rsidRDefault="002D7080" w:rsidP="002E2C37">
            <w:pPr>
              <w:tabs>
                <w:tab w:val="left" w:pos="1223"/>
              </w:tabs>
              <w:spacing w:after="0" w:line="240" w:lineRule="auto"/>
              <w:rPr>
                <w:rFonts w:ascii="Times New Roman" w:hAnsi="Times New Roman" w:cs="Times New Roman"/>
                <w:sz w:val="20"/>
                <w:szCs w:val="20"/>
              </w:rPr>
            </w:pPr>
            <w:r w:rsidRPr="00222D02">
              <w:rPr>
                <w:rFonts w:ascii="Times New Roman" w:hAnsi="Times New Roman" w:cs="Times New Roman"/>
                <w:sz w:val="20"/>
                <w:szCs w:val="20"/>
              </w:rPr>
              <w:t xml:space="preserve">How accessible are populations? </w:t>
            </w:r>
          </w:p>
        </w:tc>
        <w:tc>
          <w:tcPr>
            <w:tcW w:w="1076" w:type="dxa"/>
            <w:vAlign w:val="center"/>
          </w:tcPr>
          <w:p w14:paraId="14BA4926" w14:textId="77777777" w:rsidR="002D7080" w:rsidRPr="00222D02" w:rsidRDefault="002D7080" w:rsidP="002E2C37">
            <w:pPr>
              <w:tabs>
                <w:tab w:val="left" w:pos="1250"/>
              </w:tabs>
              <w:spacing w:after="0" w:line="240" w:lineRule="auto"/>
              <w:rPr>
                <w:rFonts w:ascii="Times New Roman" w:hAnsi="Times New Roman" w:cs="Times New Roman"/>
                <w:sz w:val="20"/>
                <w:szCs w:val="20"/>
              </w:rPr>
            </w:pPr>
            <w:r w:rsidRPr="00222D02">
              <w:rPr>
                <w:rFonts w:ascii="Times New Roman" w:hAnsi="Times New Roman" w:cs="Times New Roman"/>
                <w:sz w:val="20"/>
                <w:szCs w:val="20"/>
              </w:rPr>
              <w:t>2</w:t>
            </w:r>
          </w:p>
        </w:tc>
      </w:tr>
      <w:tr w:rsidR="002D7080" w:rsidRPr="00222D02" w14:paraId="70AE0443" w14:textId="77777777" w:rsidTr="002E2C37">
        <w:trPr>
          <w:trHeight w:val="274"/>
        </w:trPr>
        <w:tc>
          <w:tcPr>
            <w:tcW w:w="1195" w:type="dxa"/>
            <w:shd w:val="clear" w:color="auto" w:fill="D9D9D9" w:themeFill="background1" w:themeFillShade="D9"/>
            <w:vAlign w:val="center"/>
          </w:tcPr>
          <w:p w14:paraId="70939034" w14:textId="77777777" w:rsidR="002D7080" w:rsidRPr="00222D02" w:rsidRDefault="002D7080" w:rsidP="002E2C37">
            <w:pPr>
              <w:spacing w:after="0" w:line="240" w:lineRule="auto"/>
              <w:jc w:val="center"/>
              <w:rPr>
                <w:rFonts w:ascii="Times New Roman" w:hAnsi="Times New Roman" w:cs="Times New Roman"/>
                <w:sz w:val="20"/>
                <w:szCs w:val="20"/>
              </w:rPr>
            </w:pPr>
            <w:r w:rsidRPr="00222D02">
              <w:rPr>
                <w:rFonts w:ascii="Times New Roman" w:hAnsi="Times New Roman" w:cs="Times New Roman"/>
                <w:sz w:val="20"/>
                <w:szCs w:val="20"/>
              </w:rPr>
              <w:t>MAN3b</w:t>
            </w:r>
          </w:p>
        </w:tc>
        <w:tc>
          <w:tcPr>
            <w:tcW w:w="4387" w:type="dxa"/>
            <w:shd w:val="clear" w:color="auto" w:fill="D9D9D9" w:themeFill="background1" w:themeFillShade="D9"/>
            <w:vAlign w:val="center"/>
          </w:tcPr>
          <w:p w14:paraId="68100403" w14:textId="77777777" w:rsidR="002D7080" w:rsidRPr="00222D02" w:rsidRDefault="002D7080" w:rsidP="002E2C37">
            <w:pPr>
              <w:spacing w:after="0" w:line="240" w:lineRule="auto"/>
              <w:rPr>
                <w:rFonts w:ascii="Times New Roman" w:hAnsi="Times New Roman" w:cs="Times New Roman"/>
                <w:sz w:val="20"/>
                <w:szCs w:val="20"/>
              </w:rPr>
            </w:pPr>
            <w:r w:rsidRPr="00222D02">
              <w:rPr>
                <w:rFonts w:ascii="Times New Roman" w:hAnsi="Times New Roman" w:cs="Times New Roman"/>
                <w:sz w:val="20"/>
                <w:szCs w:val="20"/>
              </w:rPr>
              <w:t>Is detectability critically time-dependent?</w:t>
            </w:r>
          </w:p>
        </w:tc>
        <w:tc>
          <w:tcPr>
            <w:tcW w:w="1076" w:type="dxa"/>
            <w:vAlign w:val="center"/>
          </w:tcPr>
          <w:p w14:paraId="4976E14C" w14:textId="77777777" w:rsidR="002D7080" w:rsidRPr="00222D02" w:rsidRDefault="002D7080" w:rsidP="002E2C37">
            <w:pPr>
              <w:spacing w:after="0" w:line="240" w:lineRule="auto"/>
              <w:rPr>
                <w:rFonts w:ascii="Times New Roman" w:hAnsi="Times New Roman" w:cs="Times New Roman"/>
                <w:sz w:val="20"/>
                <w:szCs w:val="20"/>
              </w:rPr>
            </w:pPr>
            <w:r w:rsidRPr="00222D02">
              <w:rPr>
                <w:rFonts w:ascii="Times New Roman" w:hAnsi="Times New Roman" w:cs="Times New Roman"/>
                <w:sz w:val="20"/>
                <w:szCs w:val="20"/>
              </w:rPr>
              <w:t>2</w:t>
            </w:r>
          </w:p>
        </w:tc>
      </w:tr>
      <w:tr w:rsidR="002D7080" w:rsidRPr="00222D02" w14:paraId="4096AAD0" w14:textId="77777777" w:rsidTr="002E2C37">
        <w:trPr>
          <w:trHeight w:val="274"/>
        </w:trPr>
        <w:tc>
          <w:tcPr>
            <w:tcW w:w="1195" w:type="dxa"/>
            <w:shd w:val="clear" w:color="auto" w:fill="D9D9D9" w:themeFill="background1" w:themeFillShade="D9"/>
            <w:vAlign w:val="center"/>
          </w:tcPr>
          <w:p w14:paraId="5EE66E82" w14:textId="77777777" w:rsidR="002D7080" w:rsidRPr="00222D02" w:rsidRDefault="002D7080" w:rsidP="002E2C37">
            <w:pPr>
              <w:spacing w:after="0" w:line="240" w:lineRule="auto"/>
              <w:jc w:val="center"/>
              <w:rPr>
                <w:rFonts w:ascii="Times New Roman" w:hAnsi="Times New Roman" w:cs="Times New Roman"/>
                <w:sz w:val="20"/>
                <w:szCs w:val="20"/>
              </w:rPr>
            </w:pPr>
            <w:r w:rsidRPr="00222D02">
              <w:rPr>
                <w:rFonts w:ascii="Times New Roman" w:hAnsi="Times New Roman" w:cs="Times New Roman"/>
                <w:sz w:val="20"/>
                <w:szCs w:val="20"/>
              </w:rPr>
              <w:t>MAN3c</w:t>
            </w:r>
          </w:p>
        </w:tc>
        <w:tc>
          <w:tcPr>
            <w:tcW w:w="4387" w:type="dxa"/>
            <w:shd w:val="clear" w:color="auto" w:fill="D9D9D9" w:themeFill="background1" w:themeFillShade="D9"/>
            <w:vAlign w:val="center"/>
          </w:tcPr>
          <w:p w14:paraId="492A47EB" w14:textId="77777777" w:rsidR="002D7080" w:rsidRPr="00222D02" w:rsidRDefault="002D7080" w:rsidP="002E2C37">
            <w:pPr>
              <w:spacing w:after="0" w:line="240" w:lineRule="auto"/>
              <w:rPr>
                <w:rFonts w:ascii="Times New Roman" w:hAnsi="Times New Roman" w:cs="Times New Roman"/>
                <w:sz w:val="20"/>
                <w:szCs w:val="20"/>
              </w:rPr>
            </w:pPr>
            <w:r w:rsidRPr="00222D02">
              <w:rPr>
                <w:rFonts w:ascii="Times New Roman" w:hAnsi="Times New Roman" w:cs="Times New Roman"/>
                <w:sz w:val="20"/>
                <w:szCs w:val="20"/>
              </w:rPr>
              <w:t>Time to reproduction</w:t>
            </w:r>
          </w:p>
        </w:tc>
        <w:tc>
          <w:tcPr>
            <w:tcW w:w="1076" w:type="dxa"/>
            <w:vAlign w:val="center"/>
          </w:tcPr>
          <w:p w14:paraId="7615E247" w14:textId="77777777" w:rsidR="002D7080" w:rsidRPr="00222D02" w:rsidRDefault="002D7080" w:rsidP="002E2C37">
            <w:pPr>
              <w:spacing w:after="0" w:line="240" w:lineRule="auto"/>
              <w:rPr>
                <w:rFonts w:ascii="Times New Roman" w:hAnsi="Times New Roman" w:cs="Times New Roman"/>
                <w:sz w:val="20"/>
                <w:szCs w:val="20"/>
              </w:rPr>
            </w:pPr>
            <w:r w:rsidRPr="00222D02">
              <w:rPr>
                <w:rFonts w:ascii="Times New Roman" w:hAnsi="Times New Roman" w:cs="Times New Roman"/>
                <w:sz w:val="20"/>
                <w:szCs w:val="20"/>
              </w:rPr>
              <w:t>2</w:t>
            </w:r>
          </w:p>
        </w:tc>
      </w:tr>
      <w:tr w:rsidR="002D7080" w:rsidRPr="00222D02" w14:paraId="0BB1B65E" w14:textId="77777777" w:rsidTr="002E2C37">
        <w:trPr>
          <w:trHeight w:val="280"/>
        </w:trPr>
        <w:tc>
          <w:tcPr>
            <w:tcW w:w="1195" w:type="dxa"/>
            <w:shd w:val="clear" w:color="auto" w:fill="D9D9D9" w:themeFill="background1" w:themeFillShade="D9"/>
            <w:vAlign w:val="center"/>
          </w:tcPr>
          <w:p w14:paraId="6F23D27D" w14:textId="77777777" w:rsidR="002D7080" w:rsidRPr="00222D02" w:rsidRDefault="002D7080" w:rsidP="002E2C37">
            <w:pPr>
              <w:spacing w:after="0" w:line="240" w:lineRule="auto"/>
              <w:jc w:val="center"/>
              <w:rPr>
                <w:rFonts w:ascii="Times New Roman" w:hAnsi="Times New Roman" w:cs="Times New Roman"/>
                <w:sz w:val="20"/>
                <w:szCs w:val="20"/>
              </w:rPr>
            </w:pPr>
            <w:r w:rsidRPr="00222D02">
              <w:rPr>
                <w:rFonts w:ascii="Times New Roman" w:hAnsi="Times New Roman" w:cs="Times New Roman"/>
                <w:sz w:val="20"/>
                <w:szCs w:val="20"/>
              </w:rPr>
              <w:t>MAN3d</w:t>
            </w:r>
          </w:p>
        </w:tc>
        <w:tc>
          <w:tcPr>
            <w:tcW w:w="4387" w:type="dxa"/>
            <w:shd w:val="clear" w:color="auto" w:fill="D9D9D9" w:themeFill="background1" w:themeFillShade="D9"/>
            <w:vAlign w:val="center"/>
          </w:tcPr>
          <w:p w14:paraId="4C4EF8F3" w14:textId="77777777" w:rsidR="002D7080" w:rsidRPr="00222D02" w:rsidRDefault="002D7080" w:rsidP="002E2C37">
            <w:pPr>
              <w:spacing w:after="0" w:line="240" w:lineRule="auto"/>
              <w:rPr>
                <w:rFonts w:ascii="Times New Roman" w:hAnsi="Times New Roman" w:cs="Times New Roman"/>
                <w:sz w:val="20"/>
                <w:szCs w:val="20"/>
              </w:rPr>
            </w:pPr>
            <w:r w:rsidRPr="00222D02">
              <w:rPr>
                <w:rFonts w:ascii="Times New Roman" w:hAnsi="Times New Roman" w:cs="Times New Roman"/>
                <w:sz w:val="20"/>
                <w:szCs w:val="20"/>
              </w:rPr>
              <w:t>Propagule persistence</w:t>
            </w:r>
          </w:p>
        </w:tc>
        <w:tc>
          <w:tcPr>
            <w:tcW w:w="1076" w:type="dxa"/>
            <w:vAlign w:val="center"/>
          </w:tcPr>
          <w:p w14:paraId="0CB15FB7" w14:textId="77777777" w:rsidR="002D7080" w:rsidRPr="00222D02" w:rsidRDefault="002D7080" w:rsidP="002E2C37">
            <w:pPr>
              <w:spacing w:after="0" w:line="240" w:lineRule="auto"/>
              <w:rPr>
                <w:rFonts w:ascii="Times New Roman" w:hAnsi="Times New Roman" w:cs="Times New Roman"/>
                <w:sz w:val="20"/>
                <w:szCs w:val="20"/>
              </w:rPr>
            </w:pPr>
            <w:r w:rsidRPr="00222D02">
              <w:rPr>
                <w:rFonts w:ascii="Times New Roman" w:hAnsi="Times New Roman" w:cs="Times New Roman"/>
                <w:sz w:val="20"/>
                <w:szCs w:val="20"/>
              </w:rPr>
              <w:t>0</w:t>
            </w:r>
          </w:p>
        </w:tc>
      </w:tr>
      <w:tr w:rsidR="002D7080" w:rsidRPr="00222D02" w14:paraId="2AC4D04A" w14:textId="77777777" w:rsidTr="002E2C37">
        <w:trPr>
          <w:trHeight w:val="248"/>
        </w:trPr>
        <w:tc>
          <w:tcPr>
            <w:tcW w:w="1195" w:type="dxa"/>
            <w:tcBorders>
              <w:top w:val="double" w:sz="4" w:space="0" w:color="auto"/>
            </w:tcBorders>
            <w:shd w:val="clear" w:color="auto" w:fill="D9D9D9" w:themeFill="background1" w:themeFillShade="D9"/>
            <w:vAlign w:val="center"/>
          </w:tcPr>
          <w:p w14:paraId="3BADE12E" w14:textId="77777777" w:rsidR="002D7080" w:rsidRPr="00222D02" w:rsidRDefault="002D7080" w:rsidP="002E2C37">
            <w:pPr>
              <w:spacing w:after="0" w:line="240" w:lineRule="auto"/>
              <w:jc w:val="center"/>
              <w:rPr>
                <w:rFonts w:ascii="Times New Roman" w:hAnsi="Times New Roman" w:cs="Times New Roman"/>
                <w:b/>
                <w:sz w:val="20"/>
                <w:szCs w:val="20"/>
              </w:rPr>
            </w:pPr>
            <w:r w:rsidRPr="00222D02">
              <w:rPr>
                <w:rFonts w:ascii="Times New Roman" w:hAnsi="Times New Roman" w:cs="Times New Roman"/>
                <w:b/>
                <w:sz w:val="20"/>
                <w:szCs w:val="20"/>
              </w:rPr>
              <w:t>MAN3</w:t>
            </w:r>
          </w:p>
        </w:tc>
        <w:tc>
          <w:tcPr>
            <w:tcW w:w="4387" w:type="dxa"/>
            <w:tcBorders>
              <w:top w:val="double" w:sz="4" w:space="0" w:color="auto"/>
            </w:tcBorders>
            <w:shd w:val="clear" w:color="auto" w:fill="D9D9D9" w:themeFill="background1" w:themeFillShade="D9"/>
            <w:vAlign w:val="center"/>
          </w:tcPr>
          <w:p w14:paraId="18A481EC" w14:textId="77777777" w:rsidR="002D7080" w:rsidRPr="00222D02" w:rsidRDefault="002D7080" w:rsidP="002E2C37">
            <w:pPr>
              <w:spacing w:after="0" w:line="240" w:lineRule="auto"/>
              <w:rPr>
                <w:rFonts w:ascii="Times New Roman" w:hAnsi="Times New Roman" w:cs="Times New Roman"/>
                <w:b/>
                <w:sz w:val="20"/>
                <w:szCs w:val="20"/>
              </w:rPr>
            </w:pPr>
            <w:r w:rsidRPr="00222D02">
              <w:rPr>
                <w:rFonts w:ascii="Times New Roman" w:hAnsi="Times New Roman" w:cs="Times New Roman"/>
                <w:b/>
                <w:sz w:val="20"/>
                <w:szCs w:val="20"/>
              </w:rPr>
              <w:t>SUM</w:t>
            </w:r>
          </w:p>
        </w:tc>
        <w:tc>
          <w:tcPr>
            <w:tcW w:w="1076" w:type="dxa"/>
            <w:tcBorders>
              <w:top w:val="double" w:sz="4" w:space="0" w:color="auto"/>
            </w:tcBorders>
            <w:vAlign w:val="center"/>
          </w:tcPr>
          <w:p w14:paraId="7A18F6E6" w14:textId="77777777" w:rsidR="002D7080" w:rsidRPr="00222D02" w:rsidRDefault="002D7080" w:rsidP="002E2C37">
            <w:pPr>
              <w:spacing w:after="0" w:line="240" w:lineRule="auto"/>
              <w:rPr>
                <w:rFonts w:ascii="Times New Roman" w:hAnsi="Times New Roman" w:cs="Times New Roman"/>
                <w:sz w:val="20"/>
                <w:szCs w:val="20"/>
              </w:rPr>
            </w:pPr>
            <w:r w:rsidRPr="00222D02">
              <w:rPr>
                <w:rFonts w:ascii="Times New Roman" w:hAnsi="Times New Roman" w:cs="Times New Roman"/>
                <w:sz w:val="20"/>
                <w:szCs w:val="20"/>
              </w:rPr>
              <w:t>6</w:t>
            </w:r>
          </w:p>
        </w:tc>
      </w:tr>
    </w:tbl>
    <w:p w14:paraId="5B776EBD" w14:textId="77777777" w:rsidR="002D7080" w:rsidRPr="00222D02" w:rsidRDefault="002D7080" w:rsidP="002D7080">
      <w:pPr>
        <w:spacing w:after="0" w:line="240" w:lineRule="auto"/>
        <w:rPr>
          <w:rFonts w:ascii="Times New Roman" w:hAnsi="Times New Roman" w:cs="Times New Roman"/>
          <w:sz w:val="20"/>
          <w:szCs w:val="20"/>
        </w:rPr>
      </w:pPr>
    </w:p>
    <w:p w14:paraId="0FE029EC" w14:textId="77777777" w:rsidR="002D7080" w:rsidRPr="00222D02" w:rsidRDefault="002D7080" w:rsidP="002D7080">
      <w:pPr>
        <w:spacing w:after="0" w:line="240" w:lineRule="auto"/>
        <w:rPr>
          <w:rFonts w:ascii="Times New Roman" w:hAnsi="Times New Roman" w:cs="Times New Roman"/>
          <w:sz w:val="20"/>
          <w:szCs w:val="20"/>
        </w:rPr>
      </w:pPr>
    </w:p>
    <w:p w14:paraId="25B4ED5F" w14:textId="77777777" w:rsidR="002D7080" w:rsidRPr="00222D02" w:rsidRDefault="002D7080" w:rsidP="002D7080">
      <w:pPr>
        <w:spacing w:after="0" w:line="240" w:lineRule="auto"/>
        <w:rPr>
          <w:rFonts w:ascii="Times New Roman" w:hAnsi="Times New Roman" w:cs="Times New Roman"/>
          <w:b/>
          <w:sz w:val="20"/>
          <w:szCs w:val="20"/>
        </w:rPr>
      </w:pPr>
    </w:p>
    <w:p w14:paraId="2903168D" w14:textId="77777777" w:rsidR="002D7080" w:rsidRPr="00222D02" w:rsidRDefault="002D7080" w:rsidP="002D7080">
      <w:pPr>
        <w:spacing w:after="0" w:line="240" w:lineRule="auto"/>
        <w:rPr>
          <w:rFonts w:ascii="Times New Roman" w:hAnsi="Times New Roman" w:cs="Times New Roman"/>
          <w:b/>
          <w:sz w:val="20"/>
          <w:szCs w:val="20"/>
        </w:rPr>
      </w:pPr>
    </w:p>
    <w:p w14:paraId="7684EC2C" w14:textId="77777777" w:rsidR="002D7080" w:rsidRPr="00222D02" w:rsidRDefault="002D7080" w:rsidP="002D7080">
      <w:pPr>
        <w:spacing w:after="0" w:line="240" w:lineRule="auto"/>
        <w:rPr>
          <w:rFonts w:ascii="Times New Roman" w:hAnsi="Times New Roman" w:cs="Times New Roman"/>
          <w:b/>
          <w:sz w:val="20"/>
          <w:szCs w:val="20"/>
        </w:rPr>
      </w:pPr>
    </w:p>
    <w:p w14:paraId="646542BA" w14:textId="77777777" w:rsidR="002D7080" w:rsidRDefault="002D7080" w:rsidP="002D7080">
      <w:pPr>
        <w:rPr>
          <w:rFonts w:ascii="Times New Roman" w:eastAsia="Times New Roman" w:hAnsi="Times New Roman" w:cs="Times New Roman"/>
          <w:b/>
          <w:sz w:val="20"/>
          <w:szCs w:val="20"/>
          <w:lang w:eastAsia="en-ZA"/>
        </w:rPr>
      </w:pPr>
    </w:p>
    <w:p w14:paraId="1BBDC565" w14:textId="77777777" w:rsidR="002D7080" w:rsidRDefault="002D7080" w:rsidP="002D7080">
      <w:pPr>
        <w:rPr>
          <w:rFonts w:ascii="Times New Roman" w:eastAsia="Times New Roman" w:hAnsi="Times New Roman" w:cs="Times New Roman"/>
          <w:b/>
          <w:sz w:val="20"/>
          <w:szCs w:val="20"/>
          <w:lang w:eastAsia="en-ZA"/>
        </w:rPr>
      </w:pPr>
    </w:p>
    <w:p w14:paraId="5A4A75C7" w14:textId="77777777" w:rsidR="002D7080" w:rsidRDefault="002D7080" w:rsidP="002D7080">
      <w:pPr>
        <w:rPr>
          <w:rFonts w:ascii="Times New Roman" w:eastAsia="Times New Roman" w:hAnsi="Times New Roman" w:cs="Times New Roman"/>
          <w:b/>
          <w:sz w:val="20"/>
          <w:szCs w:val="20"/>
          <w:lang w:eastAsia="en-ZA"/>
        </w:rPr>
      </w:pPr>
    </w:p>
    <w:p w14:paraId="75953512" w14:textId="77777777" w:rsidR="002D7080" w:rsidRPr="00890515" w:rsidRDefault="002D7080" w:rsidP="002D7080">
      <w:pPr>
        <w:rPr>
          <w:rFonts w:ascii="Times New Roman" w:eastAsia="Times New Roman" w:hAnsi="Times New Roman" w:cs="Times New Roman"/>
          <w:b/>
          <w:sz w:val="20"/>
          <w:szCs w:val="20"/>
          <w:lang w:eastAsia="en-ZA"/>
        </w:rPr>
      </w:pPr>
      <w:r w:rsidRPr="00222D02">
        <w:rPr>
          <w:rFonts w:ascii="Times New Roman" w:eastAsia="Times New Roman" w:hAnsi="Times New Roman" w:cs="Times New Roman"/>
          <w:b/>
          <w:sz w:val="20"/>
          <w:szCs w:val="20"/>
          <w:lang w:eastAsia="en-ZA"/>
        </w:rPr>
        <w:t>Appendix BAC7</w:t>
      </w:r>
      <w:r w:rsidRPr="00222D02">
        <w:rPr>
          <w:rFonts w:ascii="Times New Roman" w:eastAsia="Times New Roman" w:hAnsi="Times New Roman" w:cs="Times New Roman"/>
          <w:sz w:val="20"/>
          <w:szCs w:val="20"/>
          <w:lang w:eastAsia="en-ZA"/>
        </w:rPr>
        <w:t xml:space="preserve">: The native distribution of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Source: Bláha, M., Patoka, J., Kozák, P., &amp; Kouba, A. (2016). Unrecognized diversity in New Guinean crayfish species (Decapoda, Parastacidae): The evidence from molecular data. Integrative Zoology, 11(6), 457-468. https://doi.org/10.1111/1749-4877.12211.</w:t>
      </w:r>
    </w:p>
    <w:p w14:paraId="7821F550" w14:textId="77777777" w:rsidR="002D7080" w:rsidRPr="00222D02" w:rsidRDefault="002D7080" w:rsidP="002D7080">
      <w:pPr>
        <w:spacing w:after="0" w:line="240" w:lineRule="auto"/>
        <w:rPr>
          <w:rFonts w:ascii="Times New Roman" w:eastAsia="Times New Roman" w:hAnsi="Times New Roman" w:cs="Times New Roman"/>
          <w:sz w:val="20"/>
          <w:szCs w:val="20"/>
          <w:lang w:eastAsia="en-ZA"/>
        </w:rPr>
      </w:pPr>
    </w:p>
    <w:p w14:paraId="49CCEEFB" w14:textId="77777777" w:rsidR="002D7080" w:rsidRPr="00222D02" w:rsidRDefault="002D7080" w:rsidP="002D7080">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lang w:eastAsia="en-ZA"/>
        </w:rPr>
        <w:drawing>
          <wp:inline distT="0" distB="0" distL="0" distR="0" wp14:anchorId="49D26EDB" wp14:editId="24BBC43B">
            <wp:extent cx="4603115" cy="3164205"/>
            <wp:effectExtent l="0" t="0" r="6985" b="0"/>
            <wp:docPr id="528516451" name="Picture 12" descr="A map of the contin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16451" name="Picture 12" descr="A map of the continent&#10;&#10;AI-generated content may be incorrect."/>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603115" cy="3164205"/>
                    </a:xfrm>
                    <a:prstGeom prst="rect">
                      <a:avLst/>
                    </a:prstGeom>
                    <a:noFill/>
                  </pic:spPr>
                </pic:pic>
              </a:graphicData>
            </a:graphic>
          </wp:inline>
        </w:drawing>
      </w:r>
    </w:p>
    <w:p w14:paraId="55F8E2D5" w14:textId="77777777" w:rsidR="002D7080" w:rsidRPr="00222D02" w:rsidRDefault="002D7080" w:rsidP="002D7080">
      <w:pPr>
        <w:spacing w:after="0" w:line="240" w:lineRule="auto"/>
        <w:rPr>
          <w:rFonts w:ascii="Times New Roman" w:hAnsi="Times New Roman" w:cs="Times New Roman"/>
          <w:sz w:val="20"/>
          <w:szCs w:val="20"/>
        </w:rPr>
      </w:pPr>
    </w:p>
    <w:p w14:paraId="4822E271"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p>
    <w:p w14:paraId="7D55D373" w14:textId="77777777" w:rsidR="002D7080" w:rsidRDefault="002D7080" w:rsidP="002D7080">
      <w:pPr>
        <w:rPr>
          <w:rFonts w:ascii="Times New Roman" w:eastAsia="Times New Roman" w:hAnsi="Times New Roman" w:cs="Times New Roman"/>
          <w:b/>
          <w:sz w:val="20"/>
          <w:szCs w:val="20"/>
          <w:lang w:eastAsia="en-ZA"/>
        </w:rPr>
      </w:pPr>
      <w:r>
        <w:rPr>
          <w:rFonts w:ascii="Times New Roman" w:eastAsia="Times New Roman" w:hAnsi="Times New Roman" w:cs="Times New Roman"/>
          <w:b/>
          <w:sz w:val="20"/>
          <w:szCs w:val="20"/>
          <w:lang w:eastAsia="en-ZA"/>
        </w:rPr>
        <w:br w:type="page"/>
      </w:r>
    </w:p>
    <w:p w14:paraId="609DF124" w14:textId="77777777" w:rsidR="002D7080" w:rsidRPr="00222D02" w:rsidRDefault="002D7080" w:rsidP="002D7080">
      <w:pPr>
        <w:spacing w:after="0" w:line="240" w:lineRule="auto"/>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lastRenderedPageBreak/>
        <w:t>Appendix BAC8(a)</w:t>
      </w:r>
      <w:r w:rsidRPr="00222D02">
        <w:rPr>
          <w:rFonts w:ascii="Times New Roman" w:eastAsia="Times New Roman" w:hAnsi="Times New Roman" w:cs="Times New Roman"/>
          <w:sz w:val="20"/>
          <w:szCs w:val="20"/>
          <w:lang w:eastAsia="en-ZA"/>
        </w:rPr>
        <w:t xml:space="preserve">: The global alien distribution of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Source:</w:t>
      </w:r>
      <w:r w:rsidRPr="00222D02">
        <w:rPr>
          <w:rFonts w:ascii="Times New Roman" w:hAnsi="Times New Roman" w:cs="Times New Roman"/>
          <w:color w:val="222222"/>
          <w:sz w:val="20"/>
          <w:szCs w:val="20"/>
          <w:shd w:val="clear" w:color="auto" w:fill="FFFFFF"/>
        </w:rPr>
        <w:t xml:space="preserve"> </w:t>
      </w:r>
      <w:r w:rsidRPr="00222D02">
        <w:rPr>
          <w:rFonts w:ascii="Times New Roman" w:eastAsia="Times New Roman" w:hAnsi="Times New Roman" w:cs="Times New Roman"/>
          <w:sz w:val="20"/>
          <w:szCs w:val="20"/>
          <w:lang w:eastAsia="en-ZA"/>
        </w:rPr>
        <w:t xml:space="preserve">Sallehuddin, A.S., Kamarudin, A.S &amp; Ismail, N., 2021, ‘Review on the global distribution of wild population of Australian Redclaw Crayfish,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(von Martens, 1868)’, </w:t>
      </w:r>
      <w:r w:rsidRPr="00222D02">
        <w:rPr>
          <w:rFonts w:ascii="Times New Roman" w:eastAsia="Times New Roman" w:hAnsi="Times New Roman" w:cs="Times New Roman"/>
          <w:i/>
          <w:iCs/>
          <w:sz w:val="20"/>
          <w:szCs w:val="20"/>
          <w:lang w:eastAsia="en-ZA"/>
        </w:rPr>
        <w:t>Bioscience Research</w:t>
      </w:r>
      <w:r w:rsidRPr="00222D02">
        <w:rPr>
          <w:rFonts w:ascii="Times New Roman" w:eastAsia="Times New Roman" w:hAnsi="Times New Roman" w:cs="Times New Roman"/>
          <w:sz w:val="20"/>
          <w:szCs w:val="20"/>
          <w:lang w:eastAsia="en-ZA"/>
        </w:rPr>
        <w:t xml:space="preserve"> 18, 194–207.</w:t>
      </w:r>
    </w:p>
    <w:p w14:paraId="2638D06A" w14:textId="77777777" w:rsidR="002D7080" w:rsidRPr="00222D02" w:rsidRDefault="002D7080" w:rsidP="002D7080">
      <w:pPr>
        <w:spacing w:after="0" w:line="240" w:lineRule="auto"/>
        <w:rPr>
          <w:rFonts w:ascii="Times New Roman" w:hAnsi="Times New Roman" w:cs="Times New Roman"/>
          <w:sz w:val="20"/>
          <w:szCs w:val="20"/>
        </w:rPr>
      </w:pPr>
    </w:p>
    <w:p w14:paraId="6CA04048" w14:textId="77777777" w:rsidR="002D7080" w:rsidRPr="00222D02" w:rsidRDefault="002D7080" w:rsidP="002D7080">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lang w:eastAsia="en-ZA"/>
        </w:rPr>
        <w:drawing>
          <wp:inline distT="0" distB="0" distL="0" distR="0" wp14:anchorId="23CEAB63" wp14:editId="5263E2A6">
            <wp:extent cx="5133340" cy="2529840"/>
            <wp:effectExtent l="0" t="0" r="0" b="3810"/>
            <wp:docPr id="1279803951" name="Picture 13" descr="A map of the world with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803951" name="Picture 13" descr="A map of the world with red dots&#10;&#10;AI-generated content may be incorrect."/>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33340" cy="2529840"/>
                    </a:xfrm>
                    <a:prstGeom prst="rect">
                      <a:avLst/>
                    </a:prstGeom>
                    <a:noFill/>
                  </pic:spPr>
                </pic:pic>
              </a:graphicData>
            </a:graphic>
          </wp:inline>
        </w:drawing>
      </w:r>
    </w:p>
    <w:p w14:paraId="5ACEF8D3"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p>
    <w:p w14:paraId="512C9B6E"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p>
    <w:p w14:paraId="3753B091" w14:textId="77777777" w:rsidR="002D7080" w:rsidRPr="00222D02" w:rsidRDefault="002D7080" w:rsidP="002D7080">
      <w:pPr>
        <w:spacing w:after="0" w:line="240" w:lineRule="auto"/>
        <w:rPr>
          <w:rFonts w:ascii="Times New Roman" w:eastAsia="Times New Roman" w:hAnsi="Times New Roman" w:cs="Times New Roman"/>
          <w:b/>
          <w:sz w:val="20"/>
          <w:szCs w:val="20"/>
          <w:lang w:eastAsia="en-ZA"/>
        </w:rPr>
      </w:pPr>
    </w:p>
    <w:p w14:paraId="20A969D8" w14:textId="77777777" w:rsidR="002D7080" w:rsidRPr="00222D02" w:rsidRDefault="002D7080" w:rsidP="002D7080">
      <w:pPr>
        <w:spacing w:after="0" w:line="240" w:lineRule="auto"/>
        <w:rPr>
          <w:rFonts w:ascii="Times New Roman" w:hAnsi="Times New Roman" w:cs="Times New Roman"/>
          <w:sz w:val="20"/>
          <w:szCs w:val="20"/>
        </w:rPr>
      </w:pPr>
      <w:r w:rsidRPr="00222D02">
        <w:rPr>
          <w:rFonts w:ascii="Times New Roman" w:eastAsia="Times New Roman" w:hAnsi="Times New Roman" w:cs="Times New Roman"/>
          <w:b/>
          <w:sz w:val="20"/>
          <w:szCs w:val="20"/>
          <w:lang w:eastAsia="en-ZA"/>
        </w:rPr>
        <w:t>Appendix BAC8(b)</w:t>
      </w:r>
      <w:r w:rsidRPr="00222D02">
        <w:rPr>
          <w:rFonts w:ascii="Times New Roman" w:eastAsia="Times New Roman" w:hAnsi="Times New Roman" w:cs="Times New Roman"/>
          <w:sz w:val="20"/>
          <w:szCs w:val="20"/>
          <w:lang w:eastAsia="en-ZA"/>
        </w:rPr>
        <w:t xml:space="preserve">: Distribution of </w:t>
      </w:r>
      <w:r w:rsidRPr="00222D02">
        <w:rPr>
          <w:rFonts w:ascii="Times New Roman" w:eastAsia="Times New Roman" w:hAnsi="Times New Roman" w:cs="Times New Roman"/>
          <w:i/>
          <w:iCs/>
          <w:sz w:val="20"/>
          <w:szCs w:val="20"/>
          <w:lang w:eastAsia="en-ZA"/>
        </w:rPr>
        <w:t>Cherax quadricarinatus</w:t>
      </w:r>
      <w:r w:rsidRPr="00222D02">
        <w:rPr>
          <w:rFonts w:ascii="Times New Roman" w:eastAsia="Times New Roman" w:hAnsi="Times New Roman" w:cs="Times New Roman"/>
          <w:sz w:val="20"/>
          <w:szCs w:val="20"/>
          <w:lang w:eastAsia="en-ZA"/>
        </w:rPr>
        <w:t xml:space="preserve"> in South Africa. Locality records sourced from GBIF.org (11 September 2023) GBIF Occurrence Download https://doi.org/10.15468/dl.gaa77h.</w:t>
      </w:r>
    </w:p>
    <w:p w14:paraId="1E4E3BAB" w14:textId="77777777" w:rsidR="002D7080" w:rsidRPr="00222D02" w:rsidRDefault="002D7080" w:rsidP="002D7080">
      <w:pPr>
        <w:rPr>
          <w:rFonts w:ascii="Times New Roman" w:hAnsi="Times New Roman" w:cs="Times New Roman"/>
          <w:sz w:val="20"/>
          <w:szCs w:val="20"/>
        </w:rPr>
      </w:pPr>
      <w:r>
        <w:rPr>
          <w:rFonts w:ascii="Times New Roman" w:hAnsi="Times New Roman" w:cs="Times New Roman"/>
          <w:noProof/>
          <w:sz w:val="20"/>
          <w:szCs w:val="20"/>
          <w:lang w:eastAsia="en-ZA"/>
        </w:rPr>
        <w:drawing>
          <wp:inline distT="0" distB="0" distL="0" distR="0" wp14:anchorId="52C973C5" wp14:editId="5CFAE4A0">
            <wp:extent cx="5261610" cy="3724910"/>
            <wp:effectExtent l="0" t="0" r="0" b="8890"/>
            <wp:docPr id="1184557340" name="Picture 14" descr="A map of south africa with red poi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557340" name="Picture 14" descr="A map of south africa with red points&#10;&#10;AI-generated content may be incorrect."/>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61610" cy="3724910"/>
                    </a:xfrm>
                    <a:prstGeom prst="rect">
                      <a:avLst/>
                    </a:prstGeom>
                    <a:noFill/>
                  </pic:spPr>
                </pic:pic>
              </a:graphicData>
            </a:graphic>
          </wp:inline>
        </w:drawing>
      </w:r>
    </w:p>
    <w:p w14:paraId="3A53CB70" w14:textId="77777777" w:rsidR="002D7080" w:rsidRDefault="002D7080" w:rsidP="002D7080">
      <w:pPr>
        <w:rPr>
          <w:rFonts w:ascii="Times New Roman" w:eastAsia="Calibri" w:hAnsi="Times New Roman" w:cs="Times New Roman"/>
          <w:b/>
          <w:bCs/>
          <w:sz w:val="24"/>
          <w:szCs w:val="24"/>
        </w:rPr>
      </w:pPr>
      <w:r>
        <w:rPr>
          <w:rFonts w:ascii="Times New Roman" w:eastAsia="Calibri" w:hAnsi="Times New Roman" w:cs="Times New Roman"/>
          <w:b/>
          <w:bCs/>
          <w:sz w:val="24"/>
          <w:szCs w:val="24"/>
        </w:rPr>
        <w:br w:type="page"/>
      </w:r>
    </w:p>
    <w:p w14:paraId="3BB069FE" w14:textId="15FEF1B3" w:rsidR="002D7080" w:rsidRPr="005A2F10" w:rsidRDefault="00A774C1" w:rsidP="002D7080">
      <w:pPr>
        <w:pStyle w:val="Heading2"/>
        <w:rPr>
          <w:rFonts w:ascii="Times New Roman" w:eastAsia="Calibri" w:hAnsi="Times New Roman" w:cs="Times New Roman"/>
          <w:color w:val="auto"/>
          <w:sz w:val="28"/>
          <w:szCs w:val="28"/>
        </w:rPr>
      </w:pPr>
      <w:r>
        <w:rPr>
          <w:rFonts w:ascii="Times New Roman" w:eastAsia="Calibri" w:hAnsi="Times New Roman" w:cs="Times New Roman"/>
          <w:color w:val="auto"/>
          <w:sz w:val="28"/>
          <w:szCs w:val="28"/>
        </w:rPr>
        <w:lastRenderedPageBreak/>
        <w:t>1</w:t>
      </w:r>
      <w:r w:rsidR="002D7080" w:rsidRPr="005A2F10">
        <w:rPr>
          <w:rFonts w:ascii="Times New Roman" w:eastAsia="Calibri" w:hAnsi="Times New Roman" w:cs="Times New Roman"/>
          <w:color w:val="auto"/>
          <w:sz w:val="28"/>
          <w:szCs w:val="28"/>
        </w:rPr>
        <w:t>.5 Risk analysis report for Calico crayfish (</w:t>
      </w:r>
      <w:r w:rsidR="002D7080" w:rsidRPr="005A2F10">
        <w:rPr>
          <w:rFonts w:ascii="Times New Roman" w:eastAsia="Calibri" w:hAnsi="Times New Roman" w:cs="Times New Roman"/>
          <w:i/>
          <w:color w:val="auto"/>
          <w:sz w:val="28"/>
          <w:szCs w:val="28"/>
        </w:rPr>
        <w:t>Faxonius immunis</w:t>
      </w:r>
      <w:r w:rsidR="002D7080" w:rsidRPr="005A2F10">
        <w:rPr>
          <w:rFonts w:ascii="Times New Roman" w:eastAsia="Calibri" w:hAnsi="Times New Roman" w:cs="Times New Roman"/>
          <w:iCs/>
          <w:color w:val="auto"/>
          <w:sz w:val="28"/>
          <w:szCs w:val="28"/>
        </w:rPr>
        <w:t>)</w:t>
      </w:r>
    </w:p>
    <w:p w14:paraId="79DF1B19" w14:textId="77777777" w:rsidR="002D7080" w:rsidRPr="004D1E6F" w:rsidRDefault="002D7080" w:rsidP="002D7080">
      <w:pPr>
        <w:spacing w:after="0" w:line="240" w:lineRule="auto"/>
        <w:rPr>
          <w:rFonts w:ascii="Times New Roman" w:eastAsia="Calibri" w:hAnsi="Times New Roman" w:cs="Times New Roman"/>
          <w:sz w:val="16"/>
          <w:szCs w:val="16"/>
        </w:rPr>
      </w:pPr>
    </w:p>
    <w:tbl>
      <w:tblPr>
        <w:tblStyle w:val="TableGrid7"/>
        <w:tblW w:w="0" w:type="auto"/>
        <w:tblLook w:val="04A0" w:firstRow="1" w:lastRow="0" w:firstColumn="1" w:lastColumn="0" w:noHBand="0" w:noVBand="1"/>
      </w:tblPr>
      <w:tblGrid>
        <w:gridCol w:w="4584"/>
        <w:gridCol w:w="2340"/>
        <w:gridCol w:w="2092"/>
      </w:tblGrid>
      <w:tr w:rsidR="002D7080" w:rsidRPr="004D1E6F" w14:paraId="5BF60F6D" w14:textId="77777777" w:rsidTr="002E2C37">
        <w:tc>
          <w:tcPr>
            <w:tcW w:w="4788" w:type="dxa"/>
          </w:tcPr>
          <w:p w14:paraId="7F1F8883" w14:textId="77777777" w:rsidR="002D7080" w:rsidRPr="004D1E6F" w:rsidRDefault="002D7080" w:rsidP="002E2C37">
            <w:pPr>
              <w:contextualSpacing/>
              <w:rPr>
                <w:rFonts w:ascii="Times New Roman" w:eastAsia="Calibri" w:hAnsi="Times New Roman" w:cs="Times New Roman"/>
                <w:b/>
                <w:sz w:val="20"/>
                <w:szCs w:val="16"/>
              </w:rPr>
            </w:pPr>
            <w:r w:rsidRPr="004D1E6F">
              <w:rPr>
                <w:rFonts w:ascii="Times New Roman" w:eastAsia="Calibri" w:hAnsi="Times New Roman" w:cs="Times New Roman"/>
                <w:b/>
                <w:i/>
                <w:sz w:val="20"/>
                <w:szCs w:val="16"/>
              </w:rPr>
              <w:t>Taxon</w:t>
            </w:r>
            <w:r w:rsidRPr="004D1E6F">
              <w:rPr>
                <w:rFonts w:ascii="Times New Roman" w:eastAsia="Calibri" w:hAnsi="Times New Roman" w:cs="Times New Roman"/>
                <w:b/>
                <w:sz w:val="20"/>
                <w:szCs w:val="16"/>
              </w:rPr>
              <w:t xml:space="preserve">: </w:t>
            </w:r>
            <w:r w:rsidRPr="004D1E6F">
              <w:rPr>
                <w:rFonts w:ascii="Times New Roman" w:eastAsia="Calibri" w:hAnsi="Times New Roman" w:cs="Times New Roman"/>
                <w:i/>
                <w:iCs/>
                <w:sz w:val="20"/>
                <w:szCs w:val="16"/>
              </w:rPr>
              <w:t>Faxonius immunis</w:t>
            </w:r>
            <w:r w:rsidRPr="004D1E6F">
              <w:rPr>
                <w:rFonts w:ascii="Times New Roman" w:eastAsia="Calibri" w:hAnsi="Times New Roman" w:cs="Times New Roman"/>
                <w:sz w:val="20"/>
                <w:szCs w:val="16"/>
              </w:rPr>
              <w:t xml:space="preserve"> </w:t>
            </w:r>
            <w:r w:rsidRPr="004D1E6F">
              <w:rPr>
                <w:rFonts w:ascii="Times New Roman" w:eastAsia="Calibri" w:hAnsi="Times New Roman" w:cs="Times New Roman"/>
                <w:color w:val="000000"/>
                <w:sz w:val="20"/>
                <w:szCs w:val="18"/>
                <w:shd w:val="clear" w:color="auto" w:fill="FFFFFF"/>
              </w:rPr>
              <w:t>(Hagen, 1870) </w:t>
            </w:r>
          </w:p>
        </w:tc>
        <w:tc>
          <w:tcPr>
            <w:tcW w:w="4454" w:type="dxa"/>
            <w:gridSpan w:val="2"/>
          </w:tcPr>
          <w:p w14:paraId="77C5024C" w14:textId="77777777" w:rsidR="002D7080" w:rsidRPr="004D1E6F" w:rsidRDefault="002D7080" w:rsidP="002E2C37">
            <w:pPr>
              <w:contextualSpacing/>
              <w:rPr>
                <w:rFonts w:ascii="Times New Roman" w:eastAsia="Calibri" w:hAnsi="Times New Roman" w:cs="Times New Roman"/>
                <w:b/>
                <w:sz w:val="20"/>
                <w:szCs w:val="16"/>
              </w:rPr>
            </w:pPr>
            <w:r w:rsidRPr="004D1E6F">
              <w:rPr>
                <w:rFonts w:ascii="Times New Roman" w:eastAsia="Calibri" w:hAnsi="Times New Roman" w:cs="Times New Roman"/>
                <w:b/>
                <w:i/>
                <w:sz w:val="20"/>
                <w:szCs w:val="16"/>
              </w:rPr>
              <w:t>Area</w:t>
            </w:r>
            <w:r w:rsidRPr="004D1E6F">
              <w:rPr>
                <w:rFonts w:ascii="Times New Roman" w:eastAsia="Calibri" w:hAnsi="Times New Roman" w:cs="Times New Roman"/>
                <w:b/>
                <w:sz w:val="20"/>
                <w:szCs w:val="16"/>
              </w:rPr>
              <w:t xml:space="preserve">: </w:t>
            </w:r>
            <w:r w:rsidRPr="004D1E6F">
              <w:rPr>
                <w:rFonts w:ascii="Times New Roman" w:eastAsia="Calibri" w:hAnsi="Times New Roman" w:cs="Times New Roman"/>
                <w:sz w:val="20"/>
                <w:szCs w:val="16"/>
              </w:rPr>
              <w:t>South Africa</w:t>
            </w:r>
          </w:p>
        </w:tc>
      </w:tr>
      <w:tr w:rsidR="002D7080" w:rsidRPr="0087162A" w14:paraId="7FAE57F9" w14:textId="77777777" w:rsidTr="002E2C37">
        <w:trPr>
          <w:trHeight w:val="2906"/>
        </w:trPr>
        <w:tc>
          <w:tcPr>
            <w:tcW w:w="4788" w:type="dxa"/>
          </w:tcPr>
          <w:p w14:paraId="09BA9F25" w14:textId="77777777" w:rsidR="002D7080" w:rsidRPr="004D1E6F" w:rsidRDefault="002D7080" w:rsidP="002E2C37">
            <w:pPr>
              <w:contextualSpacing/>
              <w:rPr>
                <w:rFonts w:ascii="Times New Roman" w:eastAsia="Calibri" w:hAnsi="Times New Roman" w:cs="Times New Roman"/>
                <w:b/>
                <w:i/>
                <w:sz w:val="20"/>
                <w:szCs w:val="20"/>
              </w:rPr>
            </w:pPr>
            <w:r w:rsidRPr="004D1E6F">
              <w:rPr>
                <w:rFonts w:ascii="Times New Roman" w:eastAsia="Calibri" w:hAnsi="Times New Roman" w:cs="Times New Roman"/>
                <w:b/>
                <w:sz w:val="20"/>
                <w:szCs w:val="20"/>
              </w:rPr>
              <w:t xml:space="preserve">Picture of </w:t>
            </w:r>
            <w:r w:rsidRPr="004D1E6F">
              <w:rPr>
                <w:rFonts w:ascii="Times New Roman" w:eastAsia="Calibri" w:hAnsi="Times New Roman" w:cs="Times New Roman"/>
                <w:b/>
                <w:i/>
                <w:sz w:val="20"/>
                <w:szCs w:val="20"/>
              </w:rPr>
              <w:t>Taxon</w:t>
            </w:r>
          </w:p>
          <w:p w14:paraId="5777FA0C" w14:textId="77777777" w:rsidR="002D7080" w:rsidRPr="004D1E6F" w:rsidRDefault="002D7080" w:rsidP="002E2C37">
            <w:pPr>
              <w:contextualSpacing/>
              <w:jc w:val="center"/>
              <w:rPr>
                <w:rFonts w:ascii="Times New Roman" w:eastAsia="Calibri" w:hAnsi="Times New Roman" w:cs="Times New Roman"/>
                <w:b/>
                <w:sz w:val="20"/>
                <w:szCs w:val="20"/>
              </w:rPr>
            </w:pPr>
            <w:r>
              <w:rPr>
                <w:rFonts w:ascii="Times New Roman" w:eastAsia="Calibri" w:hAnsi="Times New Roman" w:cs="Times New Roman"/>
                <w:b/>
                <w:noProof/>
                <w:sz w:val="20"/>
                <w:szCs w:val="20"/>
                <w:lang w:eastAsia="en-ZA"/>
              </w:rPr>
              <w:drawing>
                <wp:inline distT="0" distB="0" distL="0" distR="0" wp14:anchorId="4E0B8EA8" wp14:editId="2021C4AA">
                  <wp:extent cx="2152015" cy="1304925"/>
                  <wp:effectExtent l="0" t="0" r="635" b="9525"/>
                  <wp:docPr id="259251281" name="Picture 15" descr="A close-up of a lob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51281" name="Picture 15" descr="A close-up of a lobster&#10;&#10;AI-generated content may be incorrect."/>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52015" cy="1304925"/>
                          </a:xfrm>
                          <a:prstGeom prst="rect">
                            <a:avLst/>
                          </a:prstGeom>
                          <a:noFill/>
                        </pic:spPr>
                      </pic:pic>
                    </a:graphicData>
                  </a:graphic>
                </wp:inline>
              </w:drawing>
            </w:r>
          </w:p>
          <w:p w14:paraId="30C093A0" w14:textId="77777777" w:rsidR="002D7080" w:rsidRPr="004D1E6F" w:rsidRDefault="002D7080" w:rsidP="002E2C37">
            <w:pPr>
              <w:contextualSpacing/>
              <w:rPr>
                <w:rFonts w:ascii="Times New Roman" w:eastAsia="Calibri" w:hAnsi="Times New Roman" w:cs="Times New Roman"/>
                <w:sz w:val="20"/>
                <w:szCs w:val="20"/>
              </w:rPr>
            </w:pPr>
          </w:p>
          <w:p w14:paraId="66EC1EDD" w14:textId="77777777" w:rsidR="002D7080" w:rsidRPr="004D1E6F" w:rsidRDefault="002D7080" w:rsidP="002E2C37">
            <w:pPr>
              <w:contextualSpacing/>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https://alchetron.com/Orconectes-immunis</w:t>
            </w:r>
          </w:p>
        </w:tc>
        <w:tc>
          <w:tcPr>
            <w:tcW w:w="4454" w:type="dxa"/>
            <w:gridSpan w:val="2"/>
          </w:tcPr>
          <w:p w14:paraId="0B68F7E7" w14:textId="77777777" w:rsidR="002D7080" w:rsidRPr="000E6BA8" w:rsidRDefault="002D7080" w:rsidP="002E2C37">
            <w:pPr>
              <w:contextualSpacing/>
              <w:rPr>
                <w:rFonts w:ascii="Times New Roman" w:eastAsia="Calibri" w:hAnsi="Times New Roman" w:cs="Times New Roman"/>
                <w:sz w:val="20"/>
                <w:szCs w:val="20"/>
                <w:lang w:val="fr-FR"/>
              </w:rPr>
            </w:pPr>
            <w:r w:rsidRPr="000E6BA8">
              <w:rPr>
                <w:rFonts w:ascii="Times New Roman" w:eastAsia="Calibri" w:hAnsi="Times New Roman" w:cs="Times New Roman"/>
                <w:b/>
                <w:sz w:val="20"/>
                <w:szCs w:val="20"/>
                <w:lang w:val="fr-FR"/>
              </w:rPr>
              <w:t>Alien distribution map</w:t>
            </w:r>
          </w:p>
          <w:p w14:paraId="54FB16CF" w14:textId="77777777" w:rsidR="002D7080" w:rsidRPr="000E6BA8" w:rsidRDefault="002D7080" w:rsidP="002E2C37">
            <w:pPr>
              <w:contextualSpacing/>
              <w:rPr>
                <w:rFonts w:ascii="Times New Roman" w:eastAsia="Calibri" w:hAnsi="Times New Roman" w:cs="Times New Roman"/>
                <w:b/>
                <w:sz w:val="20"/>
                <w:szCs w:val="20"/>
                <w:lang w:val="fr-FR"/>
              </w:rPr>
            </w:pPr>
          </w:p>
          <w:p w14:paraId="3FA6DE63" w14:textId="77777777" w:rsidR="002D7080" w:rsidRPr="000E6BA8" w:rsidRDefault="002D7080" w:rsidP="002E2C37">
            <w:pPr>
              <w:contextualSpacing/>
              <w:rPr>
                <w:rFonts w:ascii="Times New Roman" w:eastAsia="Calibri" w:hAnsi="Times New Roman" w:cs="Times New Roman"/>
                <w:b/>
                <w:sz w:val="20"/>
                <w:szCs w:val="20"/>
                <w:lang w:val="fr-FR"/>
              </w:rPr>
            </w:pPr>
            <w:r w:rsidRPr="000E6BA8">
              <w:rPr>
                <w:rFonts w:ascii="Times New Roman" w:eastAsia="Calibri" w:hAnsi="Times New Roman" w:cs="Times New Roman"/>
                <w:b/>
                <w:sz w:val="20"/>
                <w:szCs w:val="20"/>
                <w:lang w:val="fr-FR"/>
              </w:rPr>
              <w:t xml:space="preserve"> </w:t>
            </w:r>
            <w:r w:rsidRPr="003D3ECB">
              <w:rPr>
                <w:rFonts w:ascii="Times New Roman" w:eastAsia="Calibri" w:hAnsi="Times New Roman" w:cs="Times New Roman"/>
                <w:b/>
                <w:noProof/>
                <w:sz w:val="20"/>
                <w:szCs w:val="20"/>
                <w:lang w:eastAsia="en-ZA"/>
              </w:rPr>
              <w:drawing>
                <wp:anchor distT="0" distB="0" distL="114300" distR="114300" simplePos="0" relativeHeight="251659264" behindDoc="1" locked="0" layoutInCell="1" allowOverlap="1" wp14:anchorId="5C6C3876" wp14:editId="4A826EDF">
                  <wp:simplePos x="0" y="0"/>
                  <wp:positionH relativeFrom="column">
                    <wp:posOffset>-2540</wp:posOffset>
                  </wp:positionH>
                  <wp:positionV relativeFrom="paragraph">
                    <wp:posOffset>-1270</wp:posOffset>
                  </wp:positionV>
                  <wp:extent cx="2609215" cy="1146175"/>
                  <wp:effectExtent l="0" t="0" r="635" b="0"/>
                  <wp:wrapTight wrapText="bothSides">
                    <wp:wrapPolygon edited="0">
                      <wp:start x="0" y="0"/>
                      <wp:lineTo x="0" y="21181"/>
                      <wp:lineTo x="21448" y="21181"/>
                      <wp:lineTo x="21448" y="0"/>
                      <wp:lineTo x="0" y="0"/>
                    </wp:wrapPolygon>
                  </wp:wrapTight>
                  <wp:docPr id="26" name="Picture 2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map of the world&#10;&#10;AI-generated content may be incorrect."/>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a:stretch/>
                        </pic:blipFill>
                        <pic:spPr bwMode="auto">
                          <a:xfrm>
                            <a:off x="0" y="0"/>
                            <a:ext cx="2609215" cy="1146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w:history="1">
              <w:r w:rsidRPr="000E6BA8">
                <w:rPr>
                  <w:rStyle w:val="Hyperlink"/>
                  <w:rFonts w:ascii="Times New Roman" w:eastAsia="Calibri" w:hAnsi="Times New Roman" w:cs="Times New Roman"/>
                  <w:sz w:val="20"/>
                  <w:szCs w:val="20"/>
                  <w:lang w:val="fr-FR"/>
                </w:rPr>
                <w:t>https://www.gbif.org/species/2227004</w:t>
              </w:r>
            </w:hyperlink>
            <w:r w:rsidRPr="000E6BA8">
              <w:rPr>
                <w:rFonts w:ascii="Times New Roman" w:eastAsia="Calibri" w:hAnsi="Times New Roman" w:cs="Times New Roman"/>
                <w:sz w:val="20"/>
                <w:szCs w:val="20"/>
                <w:lang w:val="fr-FR"/>
              </w:rPr>
              <w:t xml:space="preserve"> </w:t>
            </w:r>
          </w:p>
        </w:tc>
      </w:tr>
      <w:tr w:rsidR="002D7080" w:rsidRPr="004D1E6F" w14:paraId="216D0D79" w14:textId="77777777" w:rsidTr="002E2C37">
        <w:trPr>
          <w:trHeight w:val="1445"/>
        </w:trPr>
        <w:tc>
          <w:tcPr>
            <w:tcW w:w="7128" w:type="dxa"/>
            <w:gridSpan w:val="2"/>
          </w:tcPr>
          <w:p w14:paraId="5E71EDC1" w14:textId="77777777" w:rsidR="002D7080" w:rsidRPr="00190539" w:rsidRDefault="002D7080" w:rsidP="002E2C37">
            <w:pPr>
              <w:contextualSpacing/>
              <w:rPr>
                <w:rFonts w:ascii="Times New Roman" w:eastAsia="Calibri" w:hAnsi="Times New Roman" w:cs="Times New Roman"/>
                <w:b/>
                <w:sz w:val="20"/>
                <w:szCs w:val="20"/>
              </w:rPr>
            </w:pPr>
            <w:r w:rsidRPr="00190539">
              <w:rPr>
                <w:rFonts w:ascii="Times New Roman" w:eastAsia="Calibri" w:hAnsi="Times New Roman" w:cs="Times New Roman"/>
                <w:b/>
                <w:sz w:val="20"/>
                <w:szCs w:val="20"/>
              </w:rPr>
              <w:t>Risk Assessment summary:</w:t>
            </w:r>
          </w:p>
          <w:p w14:paraId="53BB0085" w14:textId="77777777" w:rsidR="002D7080" w:rsidRPr="00190539" w:rsidRDefault="002D7080" w:rsidP="002E2C37">
            <w:pPr>
              <w:contextualSpacing/>
              <w:jc w:val="both"/>
              <w:rPr>
                <w:rFonts w:ascii="Times New Roman" w:hAnsi="Times New Roman" w:cs="Times New Roman"/>
                <w:sz w:val="20"/>
                <w:szCs w:val="20"/>
              </w:rPr>
            </w:pPr>
            <w:r w:rsidRPr="00190539">
              <w:rPr>
                <w:rFonts w:ascii="Times New Roman" w:eastAsia="Calibri" w:hAnsi="Times New Roman" w:cs="Times New Roman"/>
                <w:sz w:val="20"/>
                <w:szCs w:val="20"/>
              </w:rPr>
              <w:t>Calico crayfish (</w:t>
            </w:r>
            <w:r w:rsidRPr="00190539">
              <w:rPr>
                <w:rFonts w:ascii="Times New Roman" w:eastAsia="Calibri" w:hAnsi="Times New Roman" w:cs="Times New Roman"/>
                <w:i/>
                <w:sz w:val="20"/>
                <w:szCs w:val="20"/>
              </w:rPr>
              <w:t>Faxonius immunis</w:t>
            </w:r>
            <w:r w:rsidRPr="00190539">
              <w:rPr>
                <w:rFonts w:ascii="Times New Roman" w:eastAsia="Calibri" w:hAnsi="Times New Roman" w:cs="Times New Roman"/>
                <w:sz w:val="20"/>
                <w:szCs w:val="20"/>
              </w:rPr>
              <w:t xml:space="preserve">) is native </w:t>
            </w:r>
            <w:r w:rsidRPr="00190539">
              <w:rPr>
                <w:rFonts w:ascii="Times New Roman" w:eastAsia="Times New Roman" w:hAnsi="Times New Roman" w:cs="Times New Roman"/>
                <w:color w:val="000000" w:themeColor="text1"/>
                <w:sz w:val="20"/>
                <w:szCs w:val="20"/>
                <w:lang w:eastAsia="en-ZA"/>
              </w:rPr>
              <w:t>to eastern parts of North America</w:t>
            </w:r>
            <w:r w:rsidRPr="00190539">
              <w:rPr>
                <w:rFonts w:ascii="Times New Roman" w:eastAsia="Calibri" w:hAnsi="Times New Roman" w:cs="Times New Roman"/>
                <w:sz w:val="20"/>
                <w:szCs w:val="20"/>
              </w:rPr>
              <w:t xml:space="preserve"> but has been introduced to western parts North America and to Europe. </w:t>
            </w:r>
            <w:r w:rsidRPr="00190539">
              <w:rPr>
                <w:rFonts w:ascii="Times New Roman" w:hAnsi="Times New Roman" w:cs="Times New Roman"/>
                <w:sz w:val="20"/>
                <w:szCs w:val="20"/>
              </w:rPr>
              <w:t xml:space="preserve">There are no know populations of </w:t>
            </w:r>
            <w:r w:rsidRPr="00190539">
              <w:rPr>
                <w:rFonts w:ascii="Times New Roman" w:hAnsi="Times New Roman" w:cs="Times New Roman"/>
                <w:i/>
                <w:iCs/>
                <w:sz w:val="20"/>
                <w:szCs w:val="20"/>
              </w:rPr>
              <w:t>F. immunis</w:t>
            </w:r>
            <w:r w:rsidRPr="00190539">
              <w:rPr>
                <w:rFonts w:ascii="Times New Roman" w:hAnsi="Times New Roman" w:cs="Times New Roman"/>
                <w:sz w:val="20"/>
                <w:szCs w:val="20"/>
              </w:rPr>
              <w:t xml:space="preserve"> in South Africa but there is anecdotal evidence that it is present in the ornamental trade and this needs to be verified. There are no known populations in neighbouring countries, therefore via unaided pathways is unlikely. The illegal pet trade industry remains a concern because </w:t>
            </w:r>
            <w:r w:rsidRPr="00190539">
              <w:rPr>
                <w:rFonts w:ascii="Times New Roman" w:hAnsi="Times New Roman" w:cs="Times New Roman"/>
                <w:i/>
                <w:iCs/>
                <w:sz w:val="20"/>
                <w:szCs w:val="20"/>
              </w:rPr>
              <w:t>F. immunis</w:t>
            </w:r>
            <w:r w:rsidRPr="00190539">
              <w:rPr>
                <w:rFonts w:ascii="Times New Roman" w:hAnsi="Times New Roman" w:cs="Times New Roman"/>
                <w:sz w:val="20"/>
                <w:szCs w:val="20"/>
              </w:rPr>
              <w:t xml:space="preserve"> may be moved around by humans and there is a high risk of release of unwanted pets. </w:t>
            </w:r>
            <w:r w:rsidRPr="00190539">
              <w:rPr>
                <w:rFonts w:ascii="Times New Roman" w:eastAsia="Times New Roman" w:hAnsi="Times New Roman" w:cs="Times New Roman"/>
                <w:i/>
                <w:iCs/>
                <w:sz w:val="20"/>
                <w:szCs w:val="20"/>
                <w:lang w:eastAsia="en-ZA"/>
              </w:rPr>
              <w:t xml:space="preserve">Faxinous immunis is </w:t>
            </w:r>
            <w:r w:rsidRPr="00190539">
              <w:rPr>
                <w:rFonts w:ascii="Times New Roman" w:hAnsi="Times New Roman"/>
                <w:sz w:val="20"/>
                <w:szCs w:val="20"/>
              </w:rPr>
              <w:t xml:space="preserve">omnivorous species, it is likely to cause a decrease in macrophyte cover, macroinvertebrates abundance and diversity, changing trophic interaction and community composition. It is also regarded as an </w:t>
            </w:r>
            <w:r w:rsidRPr="00190539">
              <w:rPr>
                <w:rFonts w:ascii="Times New Roman" w:eastAsia="Times New Roman" w:hAnsi="Times New Roman" w:cs="Times New Roman"/>
                <w:sz w:val="20"/>
                <w:szCs w:val="20"/>
                <w:lang w:eastAsia="en-ZA"/>
              </w:rPr>
              <w:t xml:space="preserve">agricultural pest due to its grazing and burrowing activities. </w:t>
            </w:r>
            <w:r w:rsidRPr="00190539">
              <w:rPr>
                <w:rFonts w:ascii="Times New Roman" w:eastAsia="Calibri" w:hAnsi="Times New Roman" w:cs="Times New Roman"/>
                <w:sz w:val="20"/>
                <w:szCs w:val="20"/>
              </w:rPr>
              <w:t xml:space="preserve"> </w:t>
            </w:r>
          </w:p>
        </w:tc>
        <w:tc>
          <w:tcPr>
            <w:tcW w:w="2114" w:type="dxa"/>
          </w:tcPr>
          <w:p w14:paraId="480FCE60" w14:textId="77777777" w:rsidR="002D7080" w:rsidRPr="00190539" w:rsidRDefault="002D7080" w:rsidP="002E2C37">
            <w:pPr>
              <w:contextualSpacing/>
              <w:rPr>
                <w:rFonts w:ascii="Times New Roman" w:eastAsia="Calibri" w:hAnsi="Times New Roman" w:cs="Times New Roman"/>
                <w:sz w:val="20"/>
                <w:szCs w:val="20"/>
              </w:rPr>
            </w:pPr>
            <w:r w:rsidRPr="00190539">
              <w:rPr>
                <w:rFonts w:ascii="Times New Roman" w:eastAsia="Calibri" w:hAnsi="Times New Roman" w:cs="Times New Roman"/>
                <w:b/>
                <w:sz w:val="20"/>
                <w:szCs w:val="20"/>
              </w:rPr>
              <w:t>Risk score:</w:t>
            </w:r>
            <w:r w:rsidRPr="00190539">
              <w:rPr>
                <w:rFonts w:ascii="Times New Roman" w:eastAsia="Calibri" w:hAnsi="Times New Roman" w:cs="Times New Roman"/>
                <w:b/>
                <w:sz w:val="20"/>
                <w:szCs w:val="20"/>
              </w:rPr>
              <w:br/>
            </w:r>
            <w:r w:rsidRPr="00190539">
              <w:rPr>
                <w:rFonts w:ascii="Times New Roman" w:eastAsia="Calibri" w:hAnsi="Times New Roman" w:cs="Times New Roman"/>
                <w:sz w:val="20"/>
                <w:szCs w:val="20"/>
              </w:rPr>
              <w:t>High</w:t>
            </w:r>
          </w:p>
        </w:tc>
      </w:tr>
      <w:tr w:rsidR="002D7080" w:rsidRPr="004D1E6F" w14:paraId="3AC9AABC" w14:textId="77777777" w:rsidTr="002E2C37">
        <w:trPr>
          <w:trHeight w:val="1313"/>
        </w:trPr>
        <w:tc>
          <w:tcPr>
            <w:tcW w:w="7128" w:type="dxa"/>
            <w:gridSpan w:val="2"/>
          </w:tcPr>
          <w:p w14:paraId="6FAA9134" w14:textId="77777777" w:rsidR="002D7080" w:rsidRPr="00190539" w:rsidRDefault="002D7080" w:rsidP="002E2C37">
            <w:pPr>
              <w:contextualSpacing/>
              <w:rPr>
                <w:rFonts w:ascii="Times New Roman" w:eastAsia="Calibri" w:hAnsi="Times New Roman" w:cs="Times New Roman"/>
                <w:b/>
                <w:sz w:val="20"/>
                <w:szCs w:val="20"/>
              </w:rPr>
            </w:pPr>
            <w:r w:rsidRPr="00190539">
              <w:rPr>
                <w:rFonts w:ascii="Times New Roman" w:eastAsia="Calibri" w:hAnsi="Times New Roman" w:cs="Times New Roman"/>
                <w:b/>
                <w:sz w:val="20"/>
                <w:szCs w:val="20"/>
              </w:rPr>
              <w:t>Management options summary:</w:t>
            </w:r>
          </w:p>
          <w:p w14:paraId="7D916535" w14:textId="77777777" w:rsidR="002D7080" w:rsidRPr="00190539" w:rsidRDefault="002D7080" w:rsidP="002E2C37">
            <w:pPr>
              <w:contextualSpacing/>
              <w:jc w:val="both"/>
              <w:rPr>
                <w:rFonts w:ascii="Times New Roman" w:eastAsia="Calibri" w:hAnsi="Times New Roman" w:cs="Times New Roman"/>
                <w:sz w:val="20"/>
                <w:szCs w:val="20"/>
              </w:rPr>
            </w:pPr>
            <w:r w:rsidRPr="00190539">
              <w:rPr>
                <w:rFonts w:ascii="Times New Roman" w:hAnsi="Times New Roman" w:cs="Times New Roman"/>
                <w:i/>
                <w:sz w:val="20"/>
                <w:szCs w:val="20"/>
              </w:rPr>
              <w:t xml:space="preserve">Faxonius immunis </w:t>
            </w:r>
            <w:r w:rsidRPr="00190539">
              <w:rPr>
                <w:rFonts w:ascii="Times New Roman" w:hAnsi="Times New Roman" w:cs="Times New Roman"/>
                <w:sz w:val="20"/>
                <w:szCs w:val="20"/>
              </w:rPr>
              <w:t xml:space="preserve">is a small, largely nocturnal, burrowing freshwater species that is difficult to detect. Several methods can be used to control </w:t>
            </w:r>
            <w:r w:rsidRPr="00190539">
              <w:rPr>
                <w:rFonts w:ascii="Times New Roman" w:hAnsi="Times New Roman" w:cs="Times New Roman"/>
                <w:i/>
                <w:sz w:val="20"/>
                <w:szCs w:val="20"/>
              </w:rPr>
              <w:t xml:space="preserve">F. immunis </w:t>
            </w:r>
            <w:r w:rsidRPr="00190539">
              <w:rPr>
                <w:rFonts w:ascii="Times New Roman" w:hAnsi="Times New Roman" w:cs="Times New Roman"/>
                <w:sz w:val="20"/>
                <w:szCs w:val="20"/>
              </w:rPr>
              <w:t xml:space="preserve">such as </w:t>
            </w:r>
            <w:r w:rsidRPr="00190539">
              <w:rPr>
                <w:rFonts w:ascii="Times New Roman" w:eastAsia="Times New Roman" w:hAnsi="Times New Roman" w:cs="Times New Roman"/>
                <w:sz w:val="20"/>
                <w:szCs w:val="20"/>
                <w:lang w:eastAsia="en-ZA"/>
              </w:rPr>
              <w:t xml:space="preserve">mechanical removal using traps and electrofishing, biocides, and biological control. </w:t>
            </w:r>
            <w:r w:rsidRPr="00190539">
              <w:rPr>
                <w:rFonts w:ascii="Times New Roman" w:hAnsi="Times New Roman" w:cs="Times New Roman"/>
                <w:sz w:val="20"/>
                <w:szCs w:val="20"/>
              </w:rPr>
              <w:t xml:space="preserve">However, there are several issues that make the use of these methods challenging. The benefits of </w:t>
            </w:r>
            <w:r w:rsidRPr="00190539">
              <w:rPr>
                <w:rFonts w:ascii="Times New Roman" w:hAnsi="Times New Roman" w:cs="Times New Roman"/>
                <w:i/>
                <w:iCs/>
                <w:sz w:val="20"/>
                <w:szCs w:val="20"/>
              </w:rPr>
              <w:t xml:space="preserve">F. immunis </w:t>
            </w:r>
            <w:r w:rsidRPr="00190539">
              <w:rPr>
                <w:rFonts w:ascii="Times New Roman" w:hAnsi="Times New Roman" w:cs="Times New Roman"/>
                <w:sz w:val="20"/>
                <w:szCs w:val="20"/>
              </w:rPr>
              <w:t>were scored as low.</w:t>
            </w:r>
          </w:p>
        </w:tc>
        <w:tc>
          <w:tcPr>
            <w:tcW w:w="2114" w:type="dxa"/>
          </w:tcPr>
          <w:p w14:paraId="4DE4A30E" w14:textId="77777777" w:rsidR="002D7080" w:rsidRPr="00190539" w:rsidRDefault="002D7080" w:rsidP="002E2C37">
            <w:pPr>
              <w:contextualSpacing/>
              <w:rPr>
                <w:rFonts w:ascii="Times New Roman" w:eastAsia="Calibri" w:hAnsi="Times New Roman" w:cs="Times New Roman"/>
                <w:b/>
                <w:sz w:val="20"/>
                <w:szCs w:val="20"/>
              </w:rPr>
            </w:pPr>
            <w:r w:rsidRPr="00190539">
              <w:rPr>
                <w:rFonts w:ascii="Times New Roman" w:eastAsia="Calibri" w:hAnsi="Times New Roman" w:cs="Times New Roman"/>
                <w:b/>
                <w:sz w:val="20"/>
                <w:szCs w:val="20"/>
              </w:rPr>
              <w:t>Ease of management:</w:t>
            </w:r>
          </w:p>
          <w:p w14:paraId="57503337" w14:textId="77777777" w:rsidR="002D7080" w:rsidRPr="00031E19" w:rsidRDefault="002D7080" w:rsidP="002E2C37">
            <w:pPr>
              <w:contextualSpacing/>
              <w:rPr>
                <w:rFonts w:ascii="Times New Roman" w:eastAsia="Calibri" w:hAnsi="Times New Roman" w:cs="Times New Roman"/>
                <w:bCs/>
                <w:sz w:val="20"/>
                <w:szCs w:val="20"/>
              </w:rPr>
            </w:pPr>
            <w:r w:rsidRPr="00031E19">
              <w:rPr>
                <w:rFonts w:ascii="Times New Roman" w:eastAsia="Calibri" w:hAnsi="Times New Roman" w:cs="Times New Roman"/>
                <w:bCs/>
                <w:sz w:val="20"/>
                <w:szCs w:val="20"/>
              </w:rPr>
              <w:t xml:space="preserve">Medium </w:t>
            </w:r>
          </w:p>
        </w:tc>
      </w:tr>
      <w:tr w:rsidR="002D7080" w:rsidRPr="004D1E6F" w14:paraId="75D1ED33" w14:textId="77777777" w:rsidTr="002E2C37">
        <w:trPr>
          <w:trHeight w:val="1178"/>
        </w:trPr>
        <w:tc>
          <w:tcPr>
            <w:tcW w:w="7128" w:type="dxa"/>
            <w:gridSpan w:val="2"/>
            <w:vMerge w:val="restart"/>
          </w:tcPr>
          <w:p w14:paraId="65A7BB65" w14:textId="77777777" w:rsidR="002D7080" w:rsidRPr="00190539" w:rsidRDefault="002D7080" w:rsidP="002E2C37">
            <w:pPr>
              <w:rPr>
                <w:rFonts w:ascii="Times New Roman" w:eastAsia="Calibri" w:hAnsi="Times New Roman" w:cs="Times New Roman"/>
                <w:b/>
                <w:sz w:val="20"/>
                <w:szCs w:val="20"/>
              </w:rPr>
            </w:pPr>
            <w:r w:rsidRPr="00190539">
              <w:rPr>
                <w:rFonts w:ascii="Times New Roman" w:eastAsia="Calibri" w:hAnsi="Times New Roman" w:cs="Times New Roman"/>
                <w:b/>
                <w:sz w:val="20"/>
                <w:szCs w:val="20"/>
              </w:rPr>
              <w:t>Recommendations:</w:t>
            </w:r>
          </w:p>
          <w:p w14:paraId="6ECD0E5F" w14:textId="77777777" w:rsidR="002D7080" w:rsidRPr="00190539" w:rsidRDefault="002D7080" w:rsidP="002E2C37">
            <w:pPr>
              <w:spacing w:after="160" w:line="259" w:lineRule="auto"/>
              <w:jc w:val="both"/>
              <w:rPr>
                <w:rFonts w:ascii="Times New Roman" w:eastAsia="Calibri" w:hAnsi="Times New Roman" w:cs="Times New Roman"/>
                <w:sz w:val="20"/>
                <w:szCs w:val="20"/>
              </w:rPr>
            </w:pPr>
            <w:r w:rsidRPr="00190539">
              <w:rPr>
                <w:rFonts w:ascii="Times New Roman" w:eastAsia="Calibri" w:hAnsi="Times New Roman" w:cs="Times New Roman"/>
                <w:i/>
                <w:iCs/>
                <w:sz w:val="20"/>
                <w:szCs w:val="20"/>
              </w:rPr>
              <w:t xml:space="preserve">Faxonius immunis </w:t>
            </w:r>
            <w:r w:rsidRPr="00190539">
              <w:rPr>
                <w:rFonts w:ascii="Times New Roman" w:eastAsia="Calibri" w:hAnsi="Times New Roman" w:cs="Times New Roman"/>
                <w:sz w:val="20"/>
                <w:szCs w:val="20"/>
              </w:rPr>
              <w:t xml:space="preserve">poses a high risk to South Africa. If </w:t>
            </w:r>
            <w:r w:rsidRPr="00190539">
              <w:rPr>
                <w:rFonts w:ascii="Times New Roman" w:eastAsia="Times New Roman" w:hAnsi="Times New Roman" w:cs="Times New Roman"/>
                <w:i/>
                <w:sz w:val="20"/>
                <w:szCs w:val="20"/>
                <w:lang w:eastAsia="en-ZA"/>
              </w:rPr>
              <w:t xml:space="preserve">F. immunis </w:t>
            </w:r>
            <w:r w:rsidRPr="00190539">
              <w:rPr>
                <w:rFonts w:ascii="Times New Roman" w:eastAsia="Calibri" w:hAnsi="Times New Roman" w:cs="Times New Roman"/>
                <w:sz w:val="20"/>
                <w:szCs w:val="20"/>
              </w:rPr>
              <w:t>were to establish outside of captivity,</w:t>
            </w:r>
            <w:r w:rsidRPr="00190539">
              <w:rPr>
                <w:rFonts w:ascii="Times New Roman" w:eastAsia="Calibri" w:hAnsi="Times New Roman" w:cs="Times New Roman"/>
                <w:iCs/>
                <w:sz w:val="20"/>
                <w:szCs w:val="20"/>
              </w:rPr>
              <w:t xml:space="preserve"> </w:t>
            </w:r>
            <w:r w:rsidRPr="00190539">
              <w:rPr>
                <w:rFonts w:ascii="Times New Roman" w:eastAsia="Times New Roman" w:hAnsi="Times New Roman" w:cs="Times New Roman"/>
                <w:iCs/>
                <w:sz w:val="20"/>
                <w:szCs w:val="20"/>
                <w:lang w:eastAsia="en-ZA"/>
              </w:rPr>
              <w:t xml:space="preserve">such populations </w:t>
            </w:r>
            <w:r w:rsidRPr="00190539">
              <w:rPr>
                <w:rFonts w:ascii="Times New Roman" w:eastAsia="Calibri" w:hAnsi="Times New Roman" w:cs="Times New Roman"/>
                <w:sz w:val="20"/>
                <w:szCs w:val="20"/>
              </w:rPr>
              <w:t xml:space="preserve">would likely be very difficult to extirpate. </w:t>
            </w:r>
          </w:p>
          <w:p w14:paraId="4BAD35F1" w14:textId="77777777" w:rsidR="002D7080" w:rsidRPr="00190539" w:rsidRDefault="002D7080" w:rsidP="002E2C37">
            <w:pPr>
              <w:spacing w:after="160" w:line="259" w:lineRule="auto"/>
              <w:jc w:val="both"/>
              <w:rPr>
                <w:rFonts w:ascii="Times New Roman" w:eastAsia="Calibri" w:hAnsi="Times New Roman" w:cs="Times New Roman"/>
                <w:sz w:val="20"/>
                <w:szCs w:val="20"/>
              </w:rPr>
            </w:pPr>
            <w:r w:rsidRPr="00190539">
              <w:rPr>
                <w:rFonts w:ascii="Times New Roman" w:hAnsi="Times New Roman" w:cs="Times New Roman"/>
                <w:i/>
                <w:iCs/>
                <w:sz w:val="20"/>
                <w:szCs w:val="20"/>
              </w:rPr>
              <w:t xml:space="preserve">Faxonius immunis </w:t>
            </w:r>
            <w:r w:rsidRPr="00190539">
              <w:rPr>
                <w:rFonts w:ascii="Times New Roman" w:hAnsi="Times New Roman" w:cs="Times New Roman"/>
                <w:sz w:val="20"/>
                <w:szCs w:val="20"/>
              </w:rPr>
              <w:t>is recommended to be added to a future prohibited species list</w:t>
            </w:r>
            <w:r w:rsidRPr="00190539">
              <w:rPr>
                <w:rFonts w:ascii="Times New Roman" w:eastAsia="Times New Roman" w:hAnsi="Times New Roman" w:cs="Times New Roman"/>
                <w:iCs/>
                <w:sz w:val="20"/>
                <w:szCs w:val="20"/>
                <w:lang w:eastAsia="en-ZA"/>
              </w:rPr>
              <w:t xml:space="preserve">, active efforts made to confirm that the species is absent in the country, and that any individuals found are controlled. This would likely require </w:t>
            </w:r>
            <w:r w:rsidRPr="00190539">
              <w:rPr>
                <w:rFonts w:ascii="Times New Roman" w:eastAsia="Times New Roman" w:hAnsi="Times New Roman" w:cs="Times New Roman"/>
                <w:sz w:val="20"/>
                <w:szCs w:val="20"/>
                <w:lang w:eastAsia="en-ZA"/>
              </w:rPr>
              <w:t>a dedicated assessment of the ornamental t</w:t>
            </w:r>
            <w:r w:rsidRPr="00190539">
              <w:rPr>
                <w:rFonts w:ascii="Times New Roman" w:eastAsia="Calibri" w:hAnsi="Times New Roman" w:cs="Times New Roman"/>
                <w:sz w:val="20"/>
                <w:szCs w:val="20"/>
              </w:rPr>
              <w:t xml:space="preserve">rade. A reassessment in five years is thus required and, if present in the country, </w:t>
            </w:r>
            <w:r w:rsidRPr="00190539">
              <w:rPr>
                <w:rFonts w:ascii="Times New Roman" w:eastAsia="Times New Roman" w:hAnsi="Times New Roman" w:cs="Times New Roman"/>
                <w:i/>
                <w:sz w:val="20"/>
                <w:szCs w:val="20"/>
                <w:lang w:eastAsia="en-ZA"/>
              </w:rPr>
              <w:t xml:space="preserve">F. immunis </w:t>
            </w:r>
            <w:r w:rsidRPr="00190539">
              <w:rPr>
                <w:rFonts w:ascii="Times New Roman" w:eastAsia="Times New Roman" w:hAnsi="Times New Roman" w:cs="Times New Roman"/>
                <w:iCs/>
                <w:sz w:val="20"/>
                <w:szCs w:val="20"/>
                <w:lang w:eastAsia="en-ZA"/>
              </w:rPr>
              <w:t>should be listed under category 1a</w:t>
            </w:r>
            <w:r w:rsidRPr="00190539">
              <w:rPr>
                <w:rFonts w:ascii="Times New Roman" w:eastAsia="Calibri" w:hAnsi="Times New Roman" w:cs="Times New Roman"/>
                <w:iCs/>
                <w:sz w:val="20"/>
                <w:szCs w:val="20"/>
              </w:rPr>
              <w:t>.</w:t>
            </w:r>
          </w:p>
        </w:tc>
        <w:tc>
          <w:tcPr>
            <w:tcW w:w="2114" w:type="dxa"/>
          </w:tcPr>
          <w:p w14:paraId="4EFB39E3" w14:textId="77777777" w:rsidR="002D7080" w:rsidRPr="00190539" w:rsidRDefault="002D7080" w:rsidP="002E2C37">
            <w:pPr>
              <w:rPr>
                <w:rFonts w:ascii="Times New Roman" w:hAnsi="Times New Roman" w:cs="Times New Roman"/>
                <w:b/>
                <w:sz w:val="20"/>
                <w:szCs w:val="20"/>
              </w:rPr>
            </w:pPr>
            <w:r w:rsidRPr="00190539">
              <w:rPr>
                <w:rFonts w:ascii="Times New Roman" w:hAnsi="Times New Roman" w:cs="Times New Roman"/>
                <w:b/>
                <w:sz w:val="20"/>
                <w:szCs w:val="20"/>
              </w:rPr>
              <w:t>Listing under NEM:BA A&amp;IS lists of 2020:</w:t>
            </w:r>
          </w:p>
          <w:p w14:paraId="16E8A36B" w14:textId="77777777" w:rsidR="002D7080" w:rsidRPr="00190539" w:rsidRDefault="002D7080" w:rsidP="002E2C37">
            <w:pPr>
              <w:contextualSpacing/>
              <w:rPr>
                <w:rFonts w:ascii="Times New Roman" w:eastAsia="Calibri" w:hAnsi="Times New Roman" w:cs="Times New Roman"/>
                <w:sz w:val="20"/>
                <w:szCs w:val="20"/>
              </w:rPr>
            </w:pPr>
            <w:r w:rsidRPr="00190539">
              <w:rPr>
                <w:rFonts w:ascii="Times New Roman" w:eastAsia="Calibri" w:hAnsi="Times New Roman" w:cs="Times New Roman"/>
                <w:sz w:val="20"/>
                <w:szCs w:val="20"/>
              </w:rPr>
              <w:t xml:space="preserve">Not listed </w:t>
            </w:r>
          </w:p>
        </w:tc>
      </w:tr>
      <w:tr w:rsidR="002D7080" w:rsidRPr="004D1E6F" w14:paraId="6E2C2C12" w14:textId="77777777" w:rsidTr="002E2C37">
        <w:trPr>
          <w:trHeight w:val="791"/>
        </w:trPr>
        <w:tc>
          <w:tcPr>
            <w:tcW w:w="7128" w:type="dxa"/>
            <w:gridSpan w:val="2"/>
            <w:vMerge/>
          </w:tcPr>
          <w:p w14:paraId="1185B99D" w14:textId="77777777" w:rsidR="002D7080" w:rsidRPr="00190539" w:rsidRDefault="002D7080" w:rsidP="002E2C37">
            <w:pPr>
              <w:contextualSpacing/>
              <w:rPr>
                <w:rFonts w:ascii="Times New Roman" w:eastAsia="Calibri" w:hAnsi="Times New Roman" w:cs="Times New Roman"/>
                <w:b/>
                <w:sz w:val="20"/>
                <w:szCs w:val="20"/>
              </w:rPr>
            </w:pPr>
          </w:p>
        </w:tc>
        <w:tc>
          <w:tcPr>
            <w:tcW w:w="2114" w:type="dxa"/>
          </w:tcPr>
          <w:p w14:paraId="522E67B8" w14:textId="77777777" w:rsidR="002D7080" w:rsidRPr="00190539" w:rsidRDefault="002D7080" w:rsidP="002E2C37">
            <w:pPr>
              <w:rPr>
                <w:rFonts w:ascii="Times New Roman" w:hAnsi="Times New Roman" w:cs="Times New Roman"/>
                <w:b/>
                <w:sz w:val="20"/>
                <w:szCs w:val="20"/>
              </w:rPr>
            </w:pPr>
            <w:r w:rsidRPr="00190539">
              <w:rPr>
                <w:rFonts w:ascii="Times New Roman" w:hAnsi="Times New Roman" w:cs="Times New Roman"/>
                <w:b/>
                <w:sz w:val="20"/>
                <w:szCs w:val="20"/>
              </w:rPr>
              <w:t xml:space="preserve">Recommended listing category: </w:t>
            </w:r>
          </w:p>
          <w:p w14:paraId="594DD3B6" w14:textId="77777777" w:rsidR="002D7080" w:rsidRPr="00190539" w:rsidRDefault="002D7080" w:rsidP="002E2C37">
            <w:pPr>
              <w:rPr>
                <w:rFonts w:ascii="Times New Roman" w:hAnsi="Times New Roman" w:cs="Times New Roman"/>
                <w:sz w:val="20"/>
                <w:szCs w:val="20"/>
              </w:rPr>
            </w:pPr>
            <w:r w:rsidRPr="00190539">
              <w:rPr>
                <w:rFonts w:ascii="Times New Roman" w:hAnsi="Times New Roman" w:cs="Times New Roman"/>
                <w:sz w:val="20"/>
                <w:szCs w:val="20"/>
              </w:rPr>
              <w:t>Prohibited list</w:t>
            </w:r>
            <w:r w:rsidRPr="00190539">
              <w:rPr>
                <w:rStyle w:val="FootnoteReference"/>
                <w:rFonts w:ascii="Times New Roman" w:hAnsi="Times New Roman" w:cs="Times New Roman"/>
              </w:rPr>
              <w:footnoteReference w:id="3"/>
            </w:r>
          </w:p>
          <w:p w14:paraId="19BFCD1A" w14:textId="77777777" w:rsidR="002D7080" w:rsidRPr="00190539" w:rsidRDefault="002D7080" w:rsidP="002E2C37">
            <w:pPr>
              <w:contextualSpacing/>
              <w:rPr>
                <w:rFonts w:ascii="Times New Roman" w:eastAsia="Calibri" w:hAnsi="Times New Roman" w:cs="Times New Roman"/>
                <w:sz w:val="20"/>
                <w:szCs w:val="20"/>
              </w:rPr>
            </w:pPr>
          </w:p>
        </w:tc>
      </w:tr>
    </w:tbl>
    <w:p w14:paraId="2FA38F46"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sectPr w:rsidR="002D7080" w:rsidRPr="004D1E6F" w:rsidSect="002D7080">
          <w:footerReference w:type="default" r:id="rId182"/>
          <w:footnotePr>
            <w:numRestart w:val="eachPage"/>
          </w:footnotePr>
          <w:pgSz w:w="11906" w:h="16838"/>
          <w:pgMar w:top="1440" w:right="1440" w:bottom="1440" w:left="1440" w:header="709" w:footer="709" w:gutter="0"/>
          <w:cols w:space="708"/>
          <w:docGrid w:linePitch="360"/>
        </w:sectPr>
      </w:pPr>
    </w:p>
    <w:p w14:paraId="30BC3717"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lastRenderedPageBreak/>
        <w:t>1. Background</w:t>
      </w:r>
    </w:p>
    <w:p w14:paraId="3F9A2BD9"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W w:w="8790" w:type="dxa"/>
        <w:tblInd w:w="108" w:type="dxa"/>
        <w:tblLook w:val="04A0" w:firstRow="1" w:lastRow="0" w:firstColumn="1" w:lastColumn="0" w:noHBand="0" w:noVBand="1"/>
      </w:tblPr>
      <w:tblGrid>
        <w:gridCol w:w="2520"/>
        <w:gridCol w:w="1449"/>
        <w:gridCol w:w="2155"/>
        <w:gridCol w:w="2666"/>
      </w:tblGrid>
      <w:tr w:rsidR="002D7080" w:rsidRPr="004D1E6F" w14:paraId="0A6F630B" w14:textId="77777777" w:rsidTr="002E2C37">
        <w:trPr>
          <w:cantSplit/>
          <w:trHeight w:val="358"/>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1890EA0B"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BAC1 Name of assessor(s)</w:t>
            </w:r>
          </w:p>
        </w:tc>
      </w:tr>
      <w:tr w:rsidR="002D7080" w:rsidRPr="004D1E6F" w14:paraId="67A73197" w14:textId="77777777" w:rsidTr="002E2C37">
        <w:trPr>
          <w:cantSplit/>
          <w:trHeight w:val="251"/>
        </w:trPr>
        <w:tc>
          <w:tcPr>
            <w:tcW w:w="2520" w:type="dxa"/>
            <w:tcBorders>
              <w:top w:val="nil"/>
              <w:left w:val="single" w:sz="4" w:space="0" w:color="auto"/>
              <w:bottom w:val="single" w:sz="4" w:space="0" w:color="auto"/>
              <w:right w:val="single" w:sz="4" w:space="0" w:color="auto"/>
            </w:tcBorders>
            <w:noWrap/>
          </w:tcPr>
          <w:p w14:paraId="6E375591"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Name of lead assessor</w:t>
            </w:r>
          </w:p>
        </w:tc>
        <w:tc>
          <w:tcPr>
            <w:tcW w:w="6270" w:type="dxa"/>
            <w:gridSpan w:val="3"/>
            <w:tcBorders>
              <w:top w:val="nil"/>
              <w:left w:val="single" w:sz="4" w:space="0" w:color="auto"/>
              <w:bottom w:val="single" w:sz="4" w:space="0" w:color="auto"/>
              <w:right w:val="single" w:sz="4" w:space="0" w:color="auto"/>
            </w:tcBorders>
          </w:tcPr>
          <w:p w14:paraId="5BDA7AD5" w14:textId="77777777" w:rsidR="002D7080" w:rsidRPr="00237F34" w:rsidRDefault="002D7080" w:rsidP="002E2C37">
            <w:pPr>
              <w:spacing w:after="0" w:line="240" w:lineRule="auto"/>
              <w:rPr>
                <w:rFonts w:ascii="Times New Roman" w:eastAsia="Times New Roman" w:hAnsi="Times New Roman" w:cs="Times New Roman"/>
                <w:bCs/>
                <w:color w:val="000000"/>
                <w:sz w:val="20"/>
                <w:szCs w:val="20"/>
                <w:lang w:eastAsia="en-ZA"/>
              </w:rPr>
            </w:pPr>
            <w:r w:rsidRPr="00237F34">
              <w:rPr>
                <w:rFonts w:ascii="Times New Roman" w:eastAsia="Times New Roman" w:hAnsi="Times New Roman" w:cs="Times New Roman"/>
                <w:bCs/>
                <w:color w:val="000000"/>
                <w:sz w:val="20"/>
                <w:szCs w:val="20"/>
                <w:lang w:eastAsia="en-ZA"/>
              </w:rPr>
              <w:t>Lee-Anne Botha</w:t>
            </w:r>
          </w:p>
        </w:tc>
      </w:tr>
      <w:tr w:rsidR="002D7080" w:rsidRPr="004D1E6F" w14:paraId="32AAB712" w14:textId="77777777" w:rsidTr="002E2C37">
        <w:trPr>
          <w:cantSplit/>
          <w:trHeight w:val="242"/>
        </w:trPr>
        <w:tc>
          <w:tcPr>
            <w:tcW w:w="2520" w:type="dxa"/>
            <w:tcBorders>
              <w:top w:val="nil"/>
              <w:left w:val="single" w:sz="4" w:space="0" w:color="auto"/>
              <w:bottom w:val="single" w:sz="4" w:space="0" w:color="auto"/>
              <w:right w:val="single" w:sz="4" w:space="0" w:color="auto"/>
            </w:tcBorders>
            <w:shd w:val="clear" w:color="auto" w:fill="F2F2F2" w:themeFill="background1" w:themeFillShade="F2"/>
            <w:noWrap/>
          </w:tcPr>
          <w:p w14:paraId="1426637F" w14:textId="77777777" w:rsidR="002D7080" w:rsidRPr="004D1E6F" w:rsidRDefault="002D7080" w:rsidP="002E2C37">
            <w:pPr>
              <w:spacing w:after="0" w:line="240" w:lineRule="auto"/>
              <w:jc w:val="both"/>
              <w:rPr>
                <w:rFonts w:ascii="Times New Roman" w:hAnsi="Times New Roman" w:cs="Times New Roman"/>
                <w:bCs/>
                <w:iCs/>
                <w:sz w:val="20"/>
                <w:szCs w:val="24"/>
              </w:rPr>
            </w:pPr>
            <w:r w:rsidRPr="004D1E6F">
              <w:rPr>
                <w:rFonts w:ascii="Times New Roman" w:hAnsi="Times New Roman" w:cs="Times New Roman"/>
                <w:bCs/>
                <w:iCs/>
                <w:sz w:val="20"/>
                <w:szCs w:val="24"/>
              </w:rPr>
              <w:t>Additional assessor (1)</w:t>
            </w:r>
          </w:p>
        </w:tc>
        <w:tc>
          <w:tcPr>
            <w:tcW w:w="6270" w:type="dxa"/>
            <w:gridSpan w:val="3"/>
            <w:tcBorders>
              <w:top w:val="nil"/>
              <w:left w:val="single" w:sz="4" w:space="0" w:color="auto"/>
              <w:bottom w:val="single" w:sz="4" w:space="0" w:color="auto"/>
              <w:right w:val="single" w:sz="4" w:space="0" w:color="auto"/>
            </w:tcBorders>
          </w:tcPr>
          <w:p w14:paraId="1FC3B95C" w14:textId="77777777" w:rsidR="002D7080" w:rsidRPr="00237F34" w:rsidRDefault="002D7080" w:rsidP="002E2C37">
            <w:pPr>
              <w:spacing w:after="0" w:line="240" w:lineRule="auto"/>
              <w:jc w:val="both"/>
              <w:rPr>
                <w:rFonts w:ascii="Times New Roman" w:hAnsi="Times New Roman" w:cs="Times New Roman"/>
                <w:bCs/>
                <w:iCs/>
                <w:sz w:val="20"/>
                <w:szCs w:val="24"/>
              </w:rPr>
            </w:pPr>
            <w:r w:rsidRPr="00237F34">
              <w:rPr>
                <w:rFonts w:ascii="Times New Roman" w:hAnsi="Times New Roman" w:cs="Times New Roman"/>
                <w:bCs/>
                <w:iCs/>
                <w:sz w:val="20"/>
                <w:szCs w:val="24"/>
              </w:rPr>
              <w:t xml:space="preserve">Tsungai Zengeya </w:t>
            </w:r>
          </w:p>
        </w:tc>
      </w:tr>
      <w:tr w:rsidR="002D7080" w:rsidRPr="004D1E6F" w14:paraId="7AA20314" w14:textId="77777777" w:rsidTr="002E2C37">
        <w:trPr>
          <w:cantSplit/>
          <w:trHeight w:val="260"/>
        </w:trPr>
        <w:tc>
          <w:tcPr>
            <w:tcW w:w="2520" w:type="dxa"/>
            <w:tcBorders>
              <w:top w:val="nil"/>
              <w:left w:val="single" w:sz="4" w:space="0" w:color="auto"/>
              <w:bottom w:val="single" w:sz="4" w:space="0" w:color="auto"/>
              <w:right w:val="single" w:sz="4" w:space="0" w:color="auto"/>
            </w:tcBorders>
            <w:shd w:val="clear" w:color="auto" w:fill="F2F2F2" w:themeFill="background1" w:themeFillShade="F2"/>
            <w:noWrap/>
          </w:tcPr>
          <w:p w14:paraId="5A3DED4D" w14:textId="77777777" w:rsidR="002D7080" w:rsidRPr="004D1E6F" w:rsidRDefault="002D7080" w:rsidP="002E2C37">
            <w:pPr>
              <w:spacing w:after="0" w:line="240" w:lineRule="auto"/>
              <w:jc w:val="both"/>
              <w:rPr>
                <w:rFonts w:ascii="Times New Roman" w:hAnsi="Times New Roman" w:cs="Times New Roman"/>
                <w:bCs/>
                <w:iCs/>
                <w:sz w:val="20"/>
                <w:szCs w:val="24"/>
              </w:rPr>
            </w:pPr>
            <w:r w:rsidRPr="004D1E6F">
              <w:rPr>
                <w:rFonts w:ascii="Times New Roman" w:hAnsi="Times New Roman" w:cs="Times New Roman"/>
                <w:bCs/>
                <w:iCs/>
                <w:sz w:val="20"/>
                <w:szCs w:val="24"/>
              </w:rPr>
              <w:t>Additional assessor (2)</w:t>
            </w:r>
          </w:p>
        </w:tc>
        <w:tc>
          <w:tcPr>
            <w:tcW w:w="6270" w:type="dxa"/>
            <w:gridSpan w:val="3"/>
            <w:tcBorders>
              <w:top w:val="nil"/>
              <w:left w:val="single" w:sz="4" w:space="0" w:color="auto"/>
              <w:bottom w:val="single" w:sz="4" w:space="0" w:color="auto"/>
              <w:right w:val="single" w:sz="4" w:space="0" w:color="auto"/>
            </w:tcBorders>
          </w:tcPr>
          <w:p w14:paraId="14C592EB" w14:textId="77777777" w:rsidR="002D7080" w:rsidRPr="004D1E6F" w:rsidRDefault="002D7080" w:rsidP="002E2C37">
            <w:pPr>
              <w:spacing w:after="0" w:line="240" w:lineRule="auto"/>
              <w:jc w:val="both"/>
              <w:rPr>
                <w:rFonts w:ascii="Times New Roman" w:hAnsi="Times New Roman" w:cs="Times New Roman"/>
                <w:bCs/>
                <w:iCs/>
                <w:sz w:val="20"/>
                <w:szCs w:val="24"/>
              </w:rPr>
            </w:pPr>
            <w:r w:rsidRPr="004D1E6F">
              <w:rPr>
                <w:rFonts w:ascii="Times New Roman" w:hAnsi="Times New Roman" w:cs="Times New Roman"/>
                <w:bCs/>
                <w:iCs/>
                <w:sz w:val="20"/>
                <w:szCs w:val="24"/>
              </w:rPr>
              <w:t xml:space="preserve">Christian Chimimba </w:t>
            </w:r>
          </w:p>
        </w:tc>
      </w:tr>
      <w:tr w:rsidR="002D7080" w:rsidRPr="004D1E6F" w14:paraId="73EB977A" w14:textId="77777777" w:rsidTr="002E2C37">
        <w:trPr>
          <w:cantSplit/>
          <w:trHeight w:val="390"/>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345D21EF"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BAC2 Contact details of assessor (s)</w:t>
            </w:r>
          </w:p>
        </w:tc>
      </w:tr>
      <w:tr w:rsidR="002D7080" w:rsidRPr="004D1E6F" w14:paraId="158465DE" w14:textId="77777777" w:rsidTr="002E2C37">
        <w:trPr>
          <w:cantSplit/>
          <w:trHeight w:val="70"/>
        </w:trPr>
        <w:tc>
          <w:tcPr>
            <w:tcW w:w="2520" w:type="dxa"/>
            <w:vMerge w:val="restart"/>
            <w:tcBorders>
              <w:top w:val="nil"/>
              <w:left w:val="single" w:sz="4" w:space="0" w:color="auto"/>
              <w:bottom w:val="single" w:sz="4" w:space="0" w:color="auto"/>
              <w:right w:val="single" w:sz="4" w:space="0" w:color="auto"/>
            </w:tcBorders>
            <w:shd w:val="clear" w:color="auto" w:fill="F2F2F2" w:themeFill="background1" w:themeFillShade="F2"/>
            <w:noWrap/>
            <w:hideMark/>
          </w:tcPr>
          <w:p w14:paraId="301F125E" w14:textId="77777777" w:rsidR="002D7080" w:rsidRPr="004D1E6F" w:rsidRDefault="002D7080" w:rsidP="002E2C37">
            <w:pPr>
              <w:spacing w:after="0" w:line="240" w:lineRule="auto"/>
              <w:jc w:val="both"/>
              <w:rPr>
                <w:rFonts w:ascii="Times New Roman" w:hAnsi="Times New Roman" w:cs="Times New Roman"/>
                <w:bCs/>
                <w:iCs/>
                <w:sz w:val="20"/>
                <w:szCs w:val="24"/>
              </w:rPr>
            </w:pPr>
            <w:r w:rsidRPr="004D1E6F">
              <w:rPr>
                <w:rFonts w:ascii="Times New Roman" w:hAnsi="Times New Roman" w:cs="Times New Roman"/>
                <w:bCs/>
                <w:iCs/>
                <w:sz w:val="20"/>
                <w:szCs w:val="24"/>
              </w:rPr>
              <w:t>Lead assessor</w:t>
            </w:r>
          </w:p>
        </w:tc>
        <w:tc>
          <w:tcPr>
            <w:tcW w:w="6270" w:type="dxa"/>
            <w:gridSpan w:val="3"/>
            <w:tcBorders>
              <w:top w:val="nil"/>
              <w:left w:val="nil"/>
              <w:bottom w:val="single" w:sz="4" w:space="0" w:color="auto"/>
              <w:right w:val="single" w:sz="4" w:space="0" w:color="auto"/>
            </w:tcBorders>
          </w:tcPr>
          <w:p w14:paraId="33105B1E" w14:textId="77777777" w:rsidR="002D7080" w:rsidRPr="004D1E6F" w:rsidRDefault="002D7080" w:rsidP="002E2C37">
            <w:pPr>
              <w:spacing w:after="0" w:line="240" w:lineRule="auto"/>
              <w:jc w:val="both"/>
              <w:rPr>
                <w:rFonts w:ascii="Times New Roman" w:hAnsi="Times New Roman" w:cs="Times New Roman"/>
                <w:bCs/>
                <w:iCs/>
                <w:sz w:val="20"/>
                <w:szCs w:val="24"/>
              </w:rPr>
            </w:pPr>
            <w:r w:rsidRPr="004D1E6F">
              <w:rPr>
                <w:rFonts w:ascii="Times New Roman" w:hAnsi="Times New Roman" w:cs="Times New Roman"/>
                <w:bCs/>
                <w:iCs/>
                <w:sz w:val="20"/>
                <w:szCs w:val="24"/>
              </w:rPr>
              <w:t>Organisational affiliation: Department of Zoology and Entomology, University of Pretoria and The South African National Biodiversity Institute (SANBI).</w:t>
            </w:r>
          </w:p>
        </w:tc>
      </w:tr>
      <w:tr w:rsidR="002D7080" w:rsidRPr="004D1E6F" w14:paraId="3D221539" w14:textId="77777777" w:rsidTr="002E2C37">
        <w:trPr>
          <w:cantSplit/>
          <w:trHeight w:val="70"/>
        </w:trPr>
        <w:tc>
          <w:tcPr>
            <w:tcW w:w="2520" w:type="dxa"/>
            <w:vMerge/>
            <w:tcBorders>
              <w:left w:val="single" w:sz="4" w:space="0" w:color="auto"/>
              <w:bottom w:val="single" w:sz="4" w:space="0" w:color="auto"/>
              <w:right w:val="single" w:sz="4" w:space="0" w:color="auto"/>
            </w:tcBorders>
            <w:shd w:val="clear" w:color="auto" w:fill="F2F2F2" w:themeFill="background1" w:themeFillShade="F2"/>
            <w:noWrap/>
          </w:tcPr>
          <w:p w14:paraId="1344B291" w14:textId="77777777" w:rsidR="002D7080" w:rsidRPr="004D1E6F" w:rsidRDefault="002D7080" w:rsidP="002E2C37">
            <w:pPr>
              <w:spacing w:after="0" w:line="240" w:lineRule="auto"/>
              <w:jc w:val="both"/>
              <w:rPr>
                <w:rFonts w:ascii="Times New Roman" w:hAnsi="Times New Roman" w:cs="Times New Roman"/>
                <w:bCs/>
                <w:iCs/>
                <w:sz w:val="20"/>
                <w:szCs w:val="24"/>
              </w:rPr>
            </w:pPr>
          </w:p>
        </w:tc>
        <w:tc>
          <w:tcPr>
            <w:tcW w:w="6270" w:type="dxa"/>
            <w:gridSpan w:val="3"/>
            <w:tcBorders>
              <w:top w:val="nil"/>
              <w:left w:val="nil"/>
              <w:bottom w:val="single" w:sz="4" w:space="0" w:color="auto"/>
              <w:right w:val="single" w:sz="4" w:space="0" w:color="auto"/>
            </w:tcBorders>
          </w:tcPr>
          <w:p w14:paraId="4D833200" w14:textId="77777777" w:rsidR="002D7080" w:rsidRPr="004D1E6F" w:rsidRDefault="002D7080" w:rsidP="002E2C37">
            <w:pPr>
              <w:spacing w:after="0" w:line="240" w:lineRule="auto"/>
              <w:jc w:val="both"/>
              <w:rPr>
                <w:rFonts w:ascii="Times New Roman" w:hAnsi="Times New Roman" w:cs="Times New Roman"/>
                <w:bCs/>
                <w:iCs/>
                <w:sz w:val="20"/>
                <w:szCs w:val="24"/>
              </w:rPr>
            </w:pPr>
            <w:r w:rsidRPr="004D1E6F">
              <w:rPr>
                <w:rFonts w:ascii="Times New Roman" w:hAnsi="Times New Roman" w:cs="Times New Roman"/>
                <w:bCs/>
                <w:iCs/>
                <w:sz w:val="20"/>
                <w:szCs w:val="24"/>
              </w:rPr>
              <w:t xml:space="preserve">email: </w:t>
            </w:r>
            <w:r w:rsidRPr="004D1E6F">
              <w:rPr>
                <w:rFonts w:ascii="Times New Roman" w:eastAsia="Times New Roman" w:hAnsi="Times New Roman" w:cs="Times New Roman"/>
                <w:color w:val="000000"/>
                <w:sz w:val="20"/>
                <w:szCs w:val="20"/>
                <w:lang w:eastAsia="en-ZA"/>
              </w:rPr>
              <w:t>leeannebth782@gmail.com</w:t>
            </w:r>
          </w:p>
        </w:tc>
      </w:tr>
      <w:tr w:rsidR="002D7080" w:rsidRPr="004D1E6F" w14:paraId="5634F5D7" w14:textId="77777777" w:rsidTr="002E2C37">
        <w:trPr>
          <w:cantSplit/>
          <w:trHeight w:val="70"/>
        </w:trPr>
        <w:tc>
          <w:tcPr>
            <w:tcW w:w="2520" w:type="dxa"/>
            <w:vMerge w:val="restart"/>
            <w:tcBorders>
              <w:top w:val="single" w:sz="4" w:space="0" w:color="auto"/>
              <w:left w:val="single" w:sz="4" w:space="0" w:color="auto"/>
              <w:right w:val="single" w:sz="4" w:space="0" w:color="auto"/>
            </w:tcBorders>
            <w:shd w:val="clear" w:color="auto" w:fill="F2F2F2" w:themeFill="background1" w:themeFillShade="F2"/>
            <w:noWrap/>
          </w:tcPr>
          <w:p w14:paraId="5F9502C6" w14:textId="77777777" w:rsidR="002D7080" w:rsidRPr="004D1E6F" w:rsidRDefault="002D7080" w:rsidP="002E2C37">
            <w:pPr>
              <w:spacing w:after="0" w:line="240" w:lineRule="auto"/>
              <w:jc w:val="both"/>
              <w:rPr>
                <w:rFonts w:ascii="Times New Roman" w:hAnsi="Times New Roman" w:cs="Times New Roman"/>
                <w:bCs/>
                <w:iCs/>
                <w:sz w:val="20"/>
                <w:szCs w:val="24"/>
              </w:rPr>
            </w:pPr>
            <w:r w:rsidRPr="004D1E6F">
              <w:rPr>
                <w:rFonts w:ascii="Times New Roman" w:hAnsi="Times New Roman" w:cs="Times New Roman"/>
                <w:bCs/>
                <w:iCs/>
                <w:sz w:val="20"/>
                <w:szCs w:val="24"/>
              </w:rPr>
              <w:t>Additional assessor (1)</w:t>
            </w:r>
          </w:p>
        </w:tc>
        <w:tc>
          <w:tcPr>
            <w:tcW w:w="6270" w:type="dxa"/>
            <w:gridSpan w:val="3"/>
            <w:tcBorders>
              <w:top w:val="nil"/>
              <w:left w:val="nil"/>
              <w:bottom w:val="single" w:sz="4" w:space="0" w:color="auto"/>
              <w:right w:val="single" w:sz="4" w:space="0" w:color="auto"/>
            </w:tcBorders>
          </w:tcPr>
          <w:p w14:paraId="72984250" w14:textId="77777777" w:rsidR="002D7080" w:rsidRPr="004D1E6F" w:rsidRDefault="002D7080" w:rsidP="002E2C37">
            <w:pPr>
              <w:spacing w:after="0" w:line="240" w:lineRule="auto"/>
              <w:jc w:val="both"/>
              <w:rPr>
                <w:rFonts w:ascii="Times New Roman" w:hAnsi="Times New Roman" w:cs="Times New Roman"/>
                <w:bCs/>
                <w:iCs/>
                <w:sz w:val="20"/>
                <w:szCs w:val="24"/>
              </w:rPr>
            </w:pPr>
            <w:r w:rsidRPr="004D1E6F">
              <w:rPr>
                <w:rFonts w:ascii="Times New Roman" w:hAnsi="Times New Roman" w:cs="Times New Roman"/>
                <w:bCs/>
                <w:iCs/>
                <w:sz w:val="20"/>
                <w:szCs w:val="24"/>
              </w:rPr>
              <w:t>Organisational affiliation: Department of Zoology and Entomology, University of Pretoria and The South African National Biodiversity Institute (SANBI).</w:t>
            </w:r>
          </w:p>
        </w:tc>
      </w:tr>
      <w:tr w:rsidR="002D7080" w:rsidRPr="004D1E6F" w14:paraId="24C53C14" w14:textId="77777777" w:rsidTr="002E2C37">
        <w:trPr>
          <w:cantSplit/>
          <w:trHeight w:val="70"/>
        </w:trPr>
        <w:tc>
          <w:tcPr>
            <w:tcW w:w="2520" w:type="dxa"/>
            <w:vMerge/>
            <w:tcBorders>
              <w:left w:val="single" w:sz="4" w:space="0" w:color="auto"/>
              <w:bottom w:val="single" w:sz="4" w:space="0" w:color="auto"/>
              <w:right w:val="single" w:sz="4" w:space="0" w:color="auto"/>
            </w:tcBorders>
            <w:shd w:val="clear" w:color="auto" w:fill="F2F2F2" w:themeFill="background1" w:themeFillShade="F2"/>
            <w:noWrap/>
          </w:tcPr>
          <w:p w14:paraId="48C81FD5" w14:textId="77777777" w:rsidR="002D7080" w:rsidRPr="004D1E6F" w:rsidRDefault="002D7080" w:rsidP="002E2C37">
            <w:pPr>
              <w:spacing w:after="0" w:line="240" w:lineRule="auto"/>
              <w:jc w:val="both"/>
              <w:rPr>
                <w:rFonts w:ascii="Times New Roman" w:hAnsi="Times New Roman" w:cs="Times New Roman"/>
                <w:bCs/>
                <w:iCs/>
                <w:sz w:val="20"/>
                <w:szCs w:val="24"/>
              </w:rPr>
            </w:pPr>
          </w:p>
        </w:tc>
        <w:tc>
          <w:tcPr>
            <w:tcW w:w="6270" w:type="dxa"/>
            <w:gridSpan w:val="3"/>
            <w:tcBorders>
              <w:top w:val="nil"/>
              <w:left w:val="nil"/>
              <w:bottom w:val="single" w:sz="4" w:space="0" w:color="auto"/>
              <w:right w:val="single" w:sz="4" w:space="0" w:color="auto"/>
            </w:tcBorders>
          </w:tcPr>
          <w:p w14:paraId="407A0958" w14:textId="77777777" w:rsidR="002D7080" w:rsidRPr="004D1E6F" w:rsidRDefault="002D7080" w:rsidP="002E2C37">
            <w:pPr>
              <w:spacing w:after="0" w:line="240" w:lineRule="auto"/>
              <w:jc w:val="both"/>
              <w:rPr>
                <w:rFonts w:ascii="Times New Roman" w:hAnsi="Times New Roman" w:cs="Times New Roman"/>
                <w:bCs/>
                <w:iCs/>
                <w:sz w:val="20"/>
                <w:szCs w:val="24"/>
              </w:rPr>
            </w:pPr>
            <w:r w:rsidRPr="004D1E6F">
              <w:rPr>
                <w:rFonts w:ascii="Times New Roman" w:hAnsi="Times New Roman" w:cs="Times New Roman"/>
                <w:bCs/>
                <w:iCs/>
                <w:sz w:val="20"/>
                <w:szCs w:val="24"/>
              </w:rPr>
              <w:t>email: T.Zengeya@sanbi.org.za</w:t>
            </w:r>
          </w:p>
        </w:tc>
      </w:tr>
      <w:tr w:rsidR="002D7080" w:rsidRPr="004D1E6F" w14:paraId="23B02AF4" w14:textId="77777777" w:rsidTr="002E2C37">
        <w:trPr>
          <w:cantSplit/>
          <w:trHeight w:val="70"/>
        </w:trPr>
        <w:tc>
          <w:tcPr>
            <w:tcW w:w="2520" w:type="dxa"/>
            <w:vMerge w:val="restart"/>
            <w:tcBorders>
              <w:left w:val="single" w:sz="4" w:space="0" w:color="auto"/>
              <w:right w:val="single" w:sz="4" w:space="0" w:color="auto"/>
            </w:tcBorders>
            <w:shd w:val="clear" w:color="auto" w:fill="F2F2F2" w:themeFill="background1" w:themeFillShade="F2"/>
            <w:noWrap/>
          </w:tcPr>
          <w:p w14:paraId="3D9E8D34" w14:textId="77777777" w:rsidR="002D7080" w:rsidRPr="004D1E6F" w:rsidRDefault="002D7080" w:rsidP="002E2C37">
            <w:pPr>
              <w:spacing w:after="0" w:line="240" w:lineRule="auto"/>
              <w:jc w:val="both"/>
              <w:rPr>
                <w:rFonts w:ascii="Times New Roman" w:hAnsi="Times New Roman" w:cs="Times New Roman"/>
                <w:bCs/>
                <w:iCs/>
                <w:sz w:val="20"/>
                <w:szCs w:val="24"/>
              </w:rPr>
            </w:pPr>
            <w:r w:rsidRPr="004D1E6F">
              <w:rPr>
                <w:rFonts w:ascii="Times New Roman" w:hAnsi="Times New Roman" w:cs="Times New Roman"/>
                <w:bCs/>
                <w:iCs/>
                <w:sz w:val="20"/>
                <w:szCs w:val="24"/>
              </w:rPr>
              <w:t>Additional assessor (2)</w:t>
            </w:r>
          </w:p>
        </w:tc>
        <w:tc>
          <w:tcPr>
            <w:tcW w:w="6270" w:type="dxa"/>
            <w:gridSpan w:val="3"/>
            <w:tcBorders>
              <w:top w:val="nil"/>
              <w:left w:val="nil"/>
              <w:bottom w:val="single" w:sz="4" w:space="0" w:color="auto"/>
              <w:right w:val="single" w:sz="4" w:space="0" w:color="auto"/>
            </w:tcBorders>
          </w:tcPr>
          <w:p w14:paraId="069BD7BD" w14:textId="77777777" w:rsidR="002D7080" w:rsidRPr="004D1E6F" w:rsidRDefault="002D7080" w:rsidP="002E2C37">
            <w:pPr>
              <w:spacing w:after="0" w:line="240" w:lineRule="auto"/>
              <w:jc w:val="both"/>
              <w:rPr>
                <w:rFonts w:ascii="Times New Roman" w:hAnsi="Times New Roman" w:cs="Times New Roman"/>
                <w:bCs/>
                <w:iCs/>
                <w:sz w:val="20"/>
                <w:szCs w:val="24"/>
              </w:rPr>
            </w:pPr>
            <w:r w:rsidRPr="004D1E6F">
              <w:rPr>
                <w:rFonts w:ascii="Times New Roman" w:hAnsi="Times New Roman" w:cs="Times New Roman"/>
                <w:bCs/>
                <w:iCs/>
                <w:sz w:val="20"/>
                <w:szCs w:val="24"/>
              </w:rPr>
              <w:t>Organisational affiliation: Department of Zoology and Entomology, University of Pretoria and The South African National Biodiversity Institute (SANBI).</w:t>
            </w:r>
          </w:p>
        </w:tc>
      </w:tr>
      <w:tr w:rsidR="002D7080" w:rsidRPr="004D1E6F" w14:paraId="466743D9" w14:textId="77777777" w:rsidTr="002E2C37">
        <w:trPr>
          <w:cantSplit/>
          <w:trHeight w:val="70"/>
        </w:trPr>
        <w:tc>
          <w:tcPr>
            <w:tcW w:w="2520" w:type="dxa"/>
            <w:vMerge/>
            <w:tcBorders>
              <w:left w:val="single" w:sz="4" w:space="0" w:color="auto"/>
              <w:bottom w:val="single" w:sz="4" w:space="0" w:color="auto"/>
              <w:right w:val="single" w:sz="4" w:space="0" w:color="auto"/>
            </w:tcBorders>
            <w:shd w:val="clear" w:color="auto" w:fill="F2F2F2" w:themeFill="background1" w:themeFillShade="F2"/>
            <w:noWrap/>
          </w:tcPr>
          <w:p w14:paraId="386C9C72" w14:textId="77777777" w:rsidR="002D7080" w:rsidRPr="004D1E6F" w:rsidRDefault="002D7080" w:rsidP="002E2C37">
            <w:pPr>
              <w:spacing w:after="0" w:line="240" w:lineRule="auto"/>
              <w:jc w:val="both"/>
              <w:rPr>
                <w:rFonts w:ascii="Times New Roman" w:hAnsi="Times New Roman" w:cs="Times New Roman"/>
                <w:bCs/>
                <w:iCs/>
                <w:sz w:val="24"/>
                <w:szCs w:val="24"/>
              </w:rPr>
            </w:pPr>
          </w:p>
        </w:tc>
        <w:tc>
          <w:tcPr>
            <w:tcW w:w="6270" w:type="dxa"/>
            <w:gridSpan w:val="3"/>
            <w:tcBorders>
              <w:top w:val="nil"/>
              <w:left w:val="nil"/>
              <w:bottom w:val="single" w:sz="4" w:space="0" w:color="auto"/>
              <w:right w:val="single" w:sz="4" w:space="0" w:color="auto"/>
            </w:tcBorders>
          </w:tcPr>
          <w:p w14:paraId="39BA9808" w14:textId="77777777" w:rsidR="002D7080" w:rsidRPr="004D1E6F" w:rsidRDefault="002D7080" w:rsidP="002E2C37">
            <w:pPr>
              <w:spacing w:after="0" w:line="240" w:lineRule="auto"/>
              <w:jc w:val="both"/>
              <w:rPr>
                <w:rFonts w:ascii="Times New Roman" w:hAnsi="Times New Roman" w:cs="Times New Roman"/>
                <w:bCs/>
                <w:iCs/>
                <w:sz w:val="24"/>
                <w:szCs w:val="24"/>
              </w:rPr>
            </w:pPr>
            <w:r w:rsidRPr="004D1E6F">
              <w:rPr>
                <w:rFonts w:ascii="Times New Roman" w:hAnsi="Times New Roman" w:cs="Times New Roman"/>
                <w:bCs/>
                <w:iCs/>
                <w:sz w:val="20"/>
                <w:szCs w:val="24"/>
              </w:rPr>
              <w:t>email: ctchimimba@up.ac.za</w:t>
            </w:r>
          </w:p>
        </w:tc>
      </w:tr>
      <w:tr w:rsidR="002D7080" w:rsidRPr="004D1E6F" w14:paraId="34DE9327" w14:textId="77777777" w:rsidTr="002E2C37">
        <w:trPr>
          <w:cantSplit/>
          <w:trHeight w:val="206"/>
        </w:trPr>
        <w:tc>
          <w:tcPr>
            <w:tcW w:w="8790" w:type="dxa"/>
            <w:gridSpan w:val="4"/>
            <w:tcBorders>
              <w:left w:val="single" w:sz="4" w:space="0" w:color="auto"/>
              <w:bottom w:val="single" w:sz="4" w:space="0" w:color="auto"/>
              <w:right w:val="single" w:sz="4" w:space="0" w:color="auto"/>
            </w:tcBorders>
            <w:shd w:val="clear" w:color="auto" w:fill="F2F2F2" w:themeFill="background1" w:themeFillShade="F2"/>
            <w:noWrap/>
          </w:tcPr>
          <w:p w14:paraId="02A2A69D"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BAC3 Name(s) and contact details of expert(s) consulted</w:t>
            </w:r>
          </w:p>
        </w:tc>
      </w:tr>
      <w:tr w:rsidR="002D7080" w:rsidRPr="004D1E6F" w14:paraId="38EC3340" w14:textId="77777777" w:rsidTr="002E2C37">
        <w:trPr>
          <w:cantSplit/>
          <w:trHeight w:val="342"/>
        </w:trPr>
        <w:tc>
          <w:tcPr>
            <w:tcW w:w="2520" w:type="dxa"/>
            <w:vMerge w:val="restart"/>
            <w:tcBorders>
              <w:left w:val="single" w:sz="4" w:space="0" w:color="auto"/>
              <w:right w:val="single" w:sz="4" w:space="0" w:color="auto"/>
            </w:tcBorders>
            <w:noWrap/>
          </w:tcPr>
          <w:p w14:paraId="59C008E6"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Expert (1)</w:t>
            </w:r>
          </w:p>
        </w:tc>
        <w:tc>
          <w:tcPr>
            <w:tcW w:w="6270" w:type="dxa"/>
            <w:gridSpan w:val="3"/>
            <w:tcBorders>
              <w:top w:val="nil"/>
              <w:left w:val="nil"/>
              <w:bottom w:val="single" w:sz="4" w:space="0" w:color="auto"/>
              <w:right w:val="single" w:sz="4" w:space="0" w:color="auto"/>
            </w:tcBorders>
          </w:tcPr>
          <w:p w14:paraId="37224635"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Name: </w:t>
            </w:r>
          </w:p>
        </w:tc>
      </w:tr>
      <w:tr w:rsidR="002D7080" w:rsidRPr="004D1E6F" w14:paraId="2CECA941" w14:textId="77777777" w:rsidTr="002E2C37">
        <w:trPr>
          <w:cantSplit/>
          <w:trHeight w:val="342"/>
        </w:trPr>
        <w:tc>
          <w:tcPr>
            <w:tcW w:w="2520" w:type="dxa"/>
            <w:vMerge/>
            <w:tcBorders>
              <w:left w:val="single" w:sz="4" w:space="0" w:color="auto"/>
              <w:right w:val="single" w:sz="4" w:space="0" w:color="auto"/>
            </w:tcBorders>
            <w:noWrap/>
          </w:tcPr>
          <w:p w14:paraId="5876E97A"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p>
        </w:tc>
        <w:tc>
          <w:tcPr>
            <w:tcW w:w="6270" w:type="dxa"/>
            <w:gridSpan w:val="3"/>
            <w:tcBorders>
              <w:top w:val="nil"/>
              <w:left w:val="nil"/>
              <w:bottom w:val="single" w:sz="4" w:space="0" w:color="auto"/>
              <w:right w:val="single" w:sz="4" w:space="0" w:color="auto"/>
            </w:tcBorders>
          </w:tcPr>
          <w:p w14:paraId="64E7D53E"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email: </w:t>
            </w:r>
          </w:p>
        </w:tc>
      </w:tr>
      <w:tr w:rsidR="002D7080" w:rsidRPr="004D1E6F" w14:paraId="726D8F8A" w14:textId="77777777" w:rsidTr="002E2C37">
        <w:trPr>
          <w:cantSplit/>
          <w:trHeight w:val="342"/>
        </w:trPr>
        <w:tc>
          <w:tcPr>
            <w:tcW w:w="2520" w:type="dxa"/>
            <w:vMerge/>
            <w:tcBorders>
              <w:left w:val="single" w:sz="4" w:space="0" w:color="auto"/>
              <w:bottom w:val="single" w:sz="4" w:space="0" w:color="auto"/>
              <w:right w:val="single" w:sz="4" w:space="0" w:color="auto"/>
            </w:tcBorders>
            <w:noWrap/>
          </w:tcPr>
          <w:p w14:paraId="0E25F483"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p>
        </w:tc>
        <w:tc>
          <w:tcPr>
            <w:tcW w:w="6270" w:type="dxa"/>
            <w:gridSpan w:val="3"/>
            <w:tcBorders>
              <w:top w:val="nil"/>
              <w:left w:val="nil"/>
              <w:bottom w:val="single" w:sz="4" w:space="0" w:color="auto"/>
              <w:right w:val="single" w:sz="4" w:space="0" w:color="auto"/>
            </w:tcBorders>
          </w:tcPr>
          <w:p w14:paraId="61220D85"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Phone: </w:t>
            </w:r>
          </w:p>
        </w:tc>
      </w:tr>
      <w:tr w:rsidR="002D7080" w:rsidRPr="004D1E6F" w14:paraId="6C71E820" w14:textId="77777777" w:rsidTr="002E2C37">
        <w:trPr>
          <w:cantSplit/>
          <w:trHeight w:val="342"/>
        </w:trPr>
        <w:tc>
          <w:tcPr>
            <w:tcW w:w="2520" w:type="dxa"/>
            <w:vMerge w:val="restart"/>
            <w:tcBorders>
              <w:left w:val="single" w:sz="4" w:space="0" w:color="auto"/>
              <w:right w:val="single" w:sz="4" w:space="0" w:color="auto"/>
            </w:tcBorders>
            <w:noWrap/>
          </w:tcPr>
          <w:p w14:paraId="7028945F"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Expert (2)</w:t>
            </w:r>
          </w:p>
        </w:tc>
        <w:tc>
          <w:tcPr>
            <w:tcW w:w="6270" w:type="dxa"/>
            <w:gridSpan w:val="3"/>
            <w:tcBorders>
              <w:top w:val="nil"/>
              <w:left w:val="nil"/>
              <w:bottom w:val="single" w:sz="4" w:space="0" w:color="auto"/>
              <w:right w:val="single" w:sz="4" w:space="0" w:color="auto"/>
            </w:tcBorders>
          </w:tcPr>
          <w:p w14:paraId="5FD0E870"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Name:</w:t>
            </w:r>
          </w:p>
        </w:tc>
      </w:tr>
      <w:tr w:rsidR="002D7080" w:rsidRPr="004D1E6F" w14:paraId="2B61017E" w14:textId="77777777" w:rsidTr="002E2C37">
        <w:trPr>
          <w:cantSplit/>
          <w:trHeight w:val="342"/>
        </w:trPr>
        <w:tc>
          <w:tcPr>
            <w:tcW w:w="2520" w:type="dxa"/>
            <w:vMerge/>
            <w:tcBorders>
              <w:left w:val="single" w:sz="4" w:space="0" w:color="auto"/>
              <w:right w:val="single" w:sz="4" w:space="0" w:color="auto"/>
            </w:tcBorders>
            <w:noWrap/>
          </w:tcPr>
          <w:p w14:paraId="68E312DA"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p>
        </w:tc>
        <w:tc>
          <w:tcPr>
            <w:tcW w:w="6270" w:type="dxa"/>
            <w:gridSpan w:val="3"/>
            <w:tcBorders>
              <w:top w:val="nil"/>
              <w:left w:val="nil"/>
              <w:bottom w:val="single" w:sz="4" w:space="0" w:color="auto"/>
              <w:right w:val="single" w:sz="4" w:space="0" w:color="auto"/>
            </w:tcBorders>
          </w:tcPr>
          <w:p w14:paraId="6A571F84"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email:</w:t>
            </w:r>
          </w:p>
        </w:tc>
      </w:tr>
      <w:tr w:rsidR="002D7080" w:rsidRPr="004D1E6F" w14:paraId="684D4939" w14:textId="77777777" w:rsidTr="002E2C37">
        <w:trPr>
          <w:cantSplit/>
          <w:trHeight w:val="342"/>
        </w:trPr>
        <w:tc>
          <w:tcPr>
            <w:tcW w:w="2520" w:type="dxa"/>
            <w:vMerge/>
            <w:tcBorders>
              <w:left w:val="single" w:sz="4" w:space="0" w:color="auto"/>
              <w:bottom w:val="single" w:sz="4" w:space="0" w:color="auto"/>
              <w:right w:val="single" w:sz="4" w:space="0" w:color="auto"/>
            </w:tcBorders>
            <w:noWrap/>
          </w:tcPr>
          <w:p w14:paraId="4382FFE3"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p>
        </w:tc>
        <w:tc>
          <w:tcPr>
            <w:tcW w:w="6270" w:type="dxa"/>
            <w:gridSpan w:val="3"/>
            <w:tcBorders>
              <w:top w:val="nil"/>
              <w:left w:val="nil"/>
              <w:bottom w:val="single" w:sz="4" w:space="0" w:color="auto"/>
              <w:right w:val="single" w:sz="4" w:space="0" w:color="auto"/>
            </w:tcBorders>
          </w:tcPr>
          <w:p w14:paraId="139F7B63"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Phone:</w:t>
            </w:r>
          </w:p>
        </w:tc>
      </w:tr>
      <w:tr w:rsidR="002D7080" w:rsidRPr="004D1E6F" w14:paraId="0C0CF21C" w14:textId="77777777" w:rsidTr="002E2C37">
        <w:trPr>
          <w:cantSplit/>
          <w:trHeight w:val="125"/>
        </w:trPr>
        <w:tc>
          <w:tcPr>
            <w:tcW w:w="8790" w:type="dxa"/>
            <w:gridSpan w:val="4"/>
            <w:tcBorders>
              <w:top w:val="nil"/>
              <w:left w:val="single" w:sz="4" w:space="0" w:color="auto"/>
              <w:bottom w:val="single" w:sz="4" w:space="0" w:color="auto"/>
              <w:right w:val="single" w:sz="4" w:space="0" w:color="auto"/>
            </w:tcBorders>
            <w:noWrap/>
          </w:tcPr>
          <w:p w14:paraId="77FEFBC0"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none </w:t>
            </w:r>
          </w:p>
        </w:tc>
      </w:tr>
      <w:tr w:rsidR="002D7080" w:rsidRPr="004D1E6F" w14:paraId="04742C7B" w14:textId="77777777" w:rsidTr="002E2C37">
        <w:trPr>
          <w:cantSplit/>
          <w:trHeight w:val="365"/>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67B0CB4D"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BAC4 Scientific name of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under assessment</w:t>
            </w:r>
          </w:p>
        </w:tc>
      </w:tr>
      <w:tr w:rsidR="002D7080" w:rsidRPr="004D1E6F" w14:paraId="4288D3F8" w14:textId="77777777" w:rsidTr="002E2C37">
        <w:trPr>
          <w:cantSplit/>
          <w:trHeight w:val="215"/>
        </w:trPr>
        <w:tc>
          <w:tcPr>
            <w:tcW w:w="6124" w:type="dxa"/>
            <w:gridSpan w:val="3"/>
            <w:tcBorders>
              <w:top w:val="nil"/>
              <w:left w:val="single" w:sz="4" w:space="0" w:color="auto"/>
              <w:bottom w:val="single" w:sz="4" w:space="0" w:color="auto"/>
              <w:right w:val="single" w:sz="4" w:space="0" w:color="auto"/>
            </w:tcBorders>
            <w:noWrap/>
          </w:tcPr>
          <w:p w14:paraId="77DB268C" w14:textId="77777777" w:rsidR="002D7080" w:rsidRPr="004D1E6F" w:rsidRDefault="002D7080" w:rsidP="00A774C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name: </w:t>
            </w:r>
            <w:r w:rsidRPr="004D1E6F">
              <w:rPr>
                <w:rFonts w:ascii="Times New Roman" w:eastAsia="Times New Roman" w:hAnsi="Times New Roman" w:cs="Times New Roman"/>
                <w:i/>
                <w:iCs/>
                <w:color w:val="000000"/>
                <w:sz w:val="20"/>
                <w:szCs w:val="20"/>
                <w:lang w:eastAsia="en-ZA"/>
              </w:rPr>
              <w:t xml:space="preserve">Faxonius immunis </w:t>
            </w:r>
          </w:p>
        </w:tc>
        <w:tc>
          <w:tcPr>
            <w:tcW w:w="2666" w:type="dxa"/>
            <w:tcBorders>
              <w:top w:val="nil"/>
              <w:left w:val="nil"/>
              <w:bottom w:val="single" w:sz="4" w:space="0" w:color="auto"/>
              <w:right w:val="single" w:sz="4" w:space="0" w:color="auto"/>
            </w:tcBorders>
            <w:hideMark/>
          </w:tcPr>
          <w:p w14:paraId="2D62CE15" w14:textId="77777777" w:rsidR="002D7080" w:rsidRPr="004D1E6F" w:rsidRDefault="002D7080" w:rsidP="00A774C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Authority: </w:t>
            </w:r>
            <w:r w:rsidRPr="004D1E6F">
              <w:rPr>
                <w:rFonts w:ascii="Times New Roman" w:eastAsia="Calibri" w:hAnsi="Times New Roman" w:cs="Times New Roman"/>
                <w:color w:val="000000"/>
                <w:sz w:val="20"/>
                <w:szCs w:val="20"/>
                <w:shd w:val="clear" w:color="auto" w:fill="FFFFFF"/>
              </w:rPr>
              <w:t>(Hagen, 1870)</w:t>
            </w:r>
          </w:p>
        </w:tc>
      </w:tr>
      <w:tr w:rsidR="002D7080" w:rsidRPr="004D1E6F" w14:paraId="17E57A48" w14:textId="77777777" w:rsidTr="002E2C37">
        <w:trPr>
          <w:cantSplit/>
          <w:trHeight w:val="424"/>
        </w:trPr>
        <w:tc>
          <w:tcPr>
            <w:tcW w:w="8790" w:type="dxa"/>
            <w:gridSpan w:val="4"/>
            <w:tcBorders>
              <w:top w:val="nil"/>
              <w:left w:val="single" w:sz="4" w:space="0" w:color="auto"/>
              <w:bottom w:val="single" w:sz="4" w:space="0" w:color="auto"/>
              <w:right w:val="single" w:sz="4" w:space="0" w:color="auto"/>
            </w:tcBorders>
            <w:noWrap/>
          </w:tcPr>
          <w:p w14:paraId="1638B0DB" w14:textId="77777777" w:rsidR="002D7080" w:rsidRPr="004D1E6F" w:rsidRDefault="002D7080" w:rsidP="00A774C1">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The group of surface-dwelling crayfish in the </w:t>
            </w:r>
            <w:r w:rsidRPr="004D1E6F">
              <w:rPr>
                <w:rFonts w:ascii="Times New Roman" w:eastAsia="Times New Roman" w:hAnsi="Times New Roman" w:cs="Times New Roman"/>
                <w:i/>
                <w:iCs/>
                <w:sz w:val="20"/>
                <w:szCs w:val="20"/>
                <w:lang w:eastAsia="en-ZA"/>
              </w:rPr>
              <w:t>Orconectes</w:t>
            </w:r>
            <w:r w:rsidRPr="004D1E6F">
              <w:rPr>
                <w:rFonts w:ascii="Times New Roman" w:eastAsia="Times New Roman" w:hAnsi="Times New Roman" w:cs="Times New Roman"/>
                <w:sz w:val="20"/>
                <w:szCs w:val="20"/>
                <w:lang w:eastAsia="en-ZA"/>
              </w:rPr>
              <w:t xml:space="preserve"> genus was moved to </w:t>
            </w:r>
            <w:r w:rsidRPr="004D1E6F">
              <w:rPr>
                <w:rFonts w:ascii="Times New Roman" w:eastAsia="Times New Roman" w:hAnsi="Times New Roman" w:cs="Times New Roman"/>
                <w:i/>
                <w:iCs/>
                <w:sz w:val="20"/>
                <w:szCs w:val="20"/>
                <w:lang w:eastAsia="en-ZA"/>
              </w:rPr>
              <w:t xml:space="preserve">Faxonius </w:t>
            </w:r>
            <w:r w:rsidRPr="004D1E6F">
              <w:rPr>
                <w:rFonts w:ascii="Times New Roman" w:eastAsia="Times New Roman" w:hAnsi="Times New Roman" w:cs="Times New Roman"/>
                <w:iCs/>
                <w:sz w:val="20"/>
                <w:szCs w:val="20"/>
                <w:lang w:eastAsia="en-ZA"/>
              </w:rPr>
              <w:t xml:space="preserve">(Crandall &amp; De Grave 2017). The taxonomic status of </w:t>
            </w:r>
            <w:r w:rsidRPr="004D1E6F">
              <w:rPr>
                <w:rFonts w:ascii="Times New Roman" w:eastAsia="Times New Roman" w:hAnsi="Times New Roman" w:cs="Times New Roman"/>
                <w:i/>
                <w:iCs/>
                <w:color w:val="000000"/>
                <w:sz w:val="20"/>
                <w:szCs w:val="20"/>
                <w:lang w:eastAsia="en-ZA"/>
              </w:rPr>
              <w:t xml:space="preserve">Faxonius immunis </w:t>
            </w:r>
            <w:r w:rsidRPr="004D1E6F">
              <w:rPr>
                <w:rFonts w:ascii="Times New Roman" w:eastAsia="Times New Roman" w:hAnsi="Times New Roman" w:cs="Times New Roman"/>
                <w:iCs/>
                <w:sz w:val="20"/>
                <w:szCs w:val="20"/>
                <w:lang w:eastAsia="en-ZA"/>
              </w:rPr>
              <w:t>has been verified (GBIF 2024).</w:t>
            </w:r>
          </w:p>
        </w:tc>
      </w:tr>
      <w:tr w:rsidR="002D7080" w:rsidRPr="004D1E6F" w14:paraId="425A5DE0" w14:textId="77777777" w:rsidTr="002E2C37">
        <w:trPr>
          <w:cantSplit/>
          <w:trHeight w:val="402"/>
        </w:trPr>
        <w:tc>
          <w:tcPr>
            <w:tcW w:w="8790" w:type="dxa"/>
            <w:gridSpan w:val="4"/>
            <w:tcBorders>
              <w:top w:val="nil"/>
              <w:left w:val="single" w:sz="4" w:space="0" w:color="auto"/>
              <w:bottom w:val="single" w:sz="4" w:space="0" w:color="auto"/>
              <w:right w:val="single" w:sz="4" w:space="0" w:color="auto"/>
            </w:tcBorders>
            <w:noWrap/>
          </w:tcPr>
          <w:p w14:paraId="5990E2E3" w14:textId="77777777" w:rsidR="002D7080" w:rsidRPr="004D1E6F" w:rsidRDefault="002D7080" w:rsidP="00A774C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265D0A4A" w14:textId="77777777" w:rsidR="002D7080" w:rsidRPr="004D1E6F" w:rsidRDefault="002D7080" w:rsidP="00A774C1">
            <w:pPr>
              <w:spacing w:after="0"/>
              <w:ind w:left="522" w:hanging="522"/>
              <w:jc w:val="both"/>
              <w:rPr>
                <w:rFonts w:ascii="Times New Roman" w:eastAsia="Times New Roman" w:hAnsi="Times New Roman" w:cs="Times New Roman"/>
                <w:color w:val="000000"/>
                <w:sz w:val="20"/>
                <w:lang w:eastAsia="en-ZA"/>
              </w:rPr>
            </w:pPr>
            <w:r w:rsidRPr="004D1E6F">
              <w:rPr>
                <w:rFonts w:ascii="Times New Roman" w:eastAsia="Times New Roman" w:hAnsi="Times New Roman" w:cs="Times New Roman"/>
                <w:color w:val="000000"/>
                <w:sz w:val="20"/>
                <w:lang w:eastAsia="en-ZA"/>
              </w:rPr>
              <w:t xml:space="preserve">Crandall, K.A. &amp; De Grave, S., 2017, ‘An updated classification of the freshwater crayfishes (Decapoda: Astacidea) of the world, with a complete species list’, </w:t>
            </w:r>
            <w:r w:rsidRPr="004D1E6F">
              <w:rPr>
                <w:rFonts w:ascii="Times New Roman" w:eastAsia="Times New Roman" w:hAnsi="Times New Roman" w:cs="Times New Roman"/>
                <w:i/>
                <w:color w:val="000000"/>
                <w:sz w:val="20"/>
                <w:lang w:eastAsia="en-ZA"/>
              </w:rPr>
              <w:t>Journal of Crustacean Biology</w:t>
            </w:r>
            <w:r w:rsidRPr="004D1E6F">
              <w:rPr>
                <w:rFonts w:ascii="Times New Roman" w:eastAsia="Times New Roman" w:hAnsi="Times New Roman" w:cs="Times New Roman"/>
                <w:color w:val="000000"/>
                <w:sz w:val="20"/>
                <w:lang w:eastAsia="en-ZA"/>
              </w:rPr>
              <w:t>, 27, 615</w:t>
            </w:r>
            <w:r w:rsidRPr="004D1E6F">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lang w:eastAsia="en-ZA"/>
              </w:rPr>
              <w:t>653.</w:t>
            </w:r>
            <w:r w:rsidRPr="00F35EFB">
              <w:rPr>
                <w:rFonts w:ascii="Source Sans Pro" w:hAnsi="Source Sans Pro"/>
                <w:color w:val="2A2A2A"/>
                <w:sz w:val="26"/>
                <w:szCs w:val="26"/>
                <w:shd w:val="clear" w:color="auto" w:fill="FFFFFF"/>
              </w:rPr>
              <w:t xml:space="preserve"> </w:t>
            </w:r>
            <w:r w:rsidRPr="00F35EFB">
              <w:rPr>
                <w:rFonts w:ascii="Times New Roman" w:eastAsia="Times New Roman" w:hAnsi="Times New Roman" w:cs="Times New Roman"/>
                <w:color w:val="000000"/>
                <w:sz w:val="20"/>
                <w:lang w:eastAsia="en-ZA"/>
              </w:rPr>
              <w:t> </w:t>
            </w:r>
            <w:hyperlink r:id="rId183" w:history="1">
              <w:r w:rsidRPr="00F35EFB">
                <w:rPr>
                  <w:rStyle w:val="Hyperlink"/>
                  <w:rFonts w:ascii="Times New Roman" w:eastAsia="Times New Roman" w:hAnsi="Times New Roman" w:cs="Times New Roman"/>
                  <w:sz w:val="20"/>
                  <w:lang w:eastAsia="en-ZA"/>
                </w:rPr>
                <w:t>https://doi.org/10.1093/jcbiol/rux070</w:t>
              </w:r>
            </w:hyperlink>
          </w:p>
          <w:p w14:paraId="5A607AF8" w14:textId="77777777" w:rsidR="002D7080" w:rsidRPr="004D1E6F" w:rsidRDefault="002D7080" w:rsidP="00A774C1">
            <w:pPr>
              <w:spacing w:after="0"/>
              <w:ind w:left="522" w:hanging="522"/>
              <w:jc w:val="both"/>
              <w:rPr>
                <w:rFonts w:ascii="Times New Roman" w:eastAsia="Times New Roman" w:hAnsi="Times New Roman" w:cs="Times New Roman"/>
                <w:color w:val="000000"/>
                <w:sz w:val="20"/>
                <w:szCs w:val="20"/>
                <w:lang w:eastAsia="en-ZA"/>
              </w:rPr>
            </w:pPr>
            <w:r w:rsidRPr="004D1E6F">
              <w:rPr>
                <w:rStyle w:val="ng-binding"/>
                <w:rFonts w:ascii="Times New Roman" w:hAnsi="Times New Roman" w:cs="Times New Roman"/>
                <w:i/>
                <w:iCs/>
                <w:color w:val="000000" w:themeColor="text1"/>
                <w:sz w:val="20"/>
                <w:szCs w:val="20"/>
                <w:shd w:val="clear" w:color="auto" w:fill="FFFFFF"/>
              </w:rPr>
              <w:t>Faxonius immunis </w:t>
            </w:r>
            <w:r w:rsidRPr="004D1E6F">
              <w:rPr>
                <w:rStyle w:val="ng-binding"/>
                <w:rFonts w:ascii="Times New Roman" w:hAnsi="Times New Roman" w:cs="Times New Roman"/>
                <w:color w:val="000000" w:themeColor="text1"/>
                <w:sz w:val="20"/>
                <w:szCs w:val="20"/>
                <w:shd w:val="clear" w:color="auto" w:fill="FFFFFF"/>
              </w:rPr>
              <w:t>(Hagen, 1870)</w:t>
            </w:r>
            <w:r w:rsidRPr="004D1E6F">
              <w:rPr>
                <w:rFonts w:ascii="Times New Roman" w:hAnsi="Times New Roman" w:cs="Times New Roman"/>
                <w:color w:val="000000" w:themeColor="text1"/>
                <w:sz w:val="20"/>
                <w:szCs w:val="20"/>
                <w:shd w:val="clear" w:color="auto" w:fill="FFFFFF"/>
              </w:rPr>
              <w:t> in </w:t>
            </w:r>
            <w:r w:rsidRPr="004D1E6F">
              <w:rPr>
                <w:rStyle w:val="ng-binding"/>
                <w:rFonts w:ascii="Times New Roman" w:hAnsi="Times New Roman" w:cs="Times New Roman"/>
                <w:color w:val="000000" w:themeColor="text1"/>
                <w:sz w:val="20"/>
                <w:szCs w:val="20"/>
                <w:shd w:val="clear" w:color="auto" w:fill="FFFFFF"/>
              </w:rPr>
              <w:t>GBIF Secretariat (2023). GBIF Backbone Taxonomy. Checklist dataset </w:t>
            </w:r>
            <w:hyperlink w:tgtFrame="_blank" w:history="1">
              <w:r w:rsidRPr="004D1E6F">
                <w:rPr>
                  <w:rStyle w:val="Hyperlink"/>
                  <w:rFonts w:ascii="Times New Roman" w:hAnsi="Times New Roman" w:cs="Times New Roman"/>
                  <w:color w:val="000000" w:themeColor="text1"/>
                  <w:sz w:val="20"/>
                  <w:szCs w:val="20"/>
                </w:rPr>
                <w:t>https://doi.org/10.15468/39omei</w:t>
              </w:r>
            </w:hyperlink>
            <w:r w:rsidRPr="004D1E6F">
              <w:rPr>
                <w:rStyle w:val="ng-binding"/>
                <w:rFonts w:ascii="Times New Roman" w:hAnsi="Times New Roman" w:cs="Times New Roman"/>
                <w:color w:val="000000" w:themeColor="text1"/>
                <w:sz w:val="20"/>
                <w:szCs w:val="20"/>
                <w:shd w:val="clear" w:color="auto" w:fill="FFFFFF"/>
              </w:rPr>
              <w:t> accessed via GBIF.org on 2024-06-05.</w:t>
            </w:r>
          </w:p>
        </w:tc>
      </w:tr>
      <w:tr w:rsidR="002D7080" w:rsidRPr="004D1E6F" w14:paraId="11AC50F1"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FD035CA" w14:textId="77777777" w:rsidR="002D7080" w:rsidRPr="004D1E6F" w:rsidRDefault="002D7080" w:rsidP="00A774C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BAC5 Synonym(s) considered</w:t>
            </w:r>
          </w:p>
        </w:tc>
      </w:tr>
      <w:tr w:rsidR="002D7080" w:rsidRPr="004D1E6F" w14:paraId="00A0CCF0" w14:textId="77777777" w:rsidTr="002E2C37">
        <w:trPr>
          <w:cantSplit/>
          <w:trHeight w:val="287"/>
        </w:trPr>
        <w:tc>
          <w:tcPr>
            <w:tcW w:w="8790" w:type="dxa"/>
            <w:gridSpan w:val="4"/>
            <w:tcBorders>
              <w:top w:val="single" w:sz="4" w:space="0" w:color="auto"/>
              <w:left w:val="single" w:sz="4" w:space="0" w:color="auto"/>
              <w:bottom w:val="single" w:sz="4" w:space="0" w:color="auto"/>
              <w:right w:val="single" w:sz="4" w:space="0" w:color="auto"/>
            </w:tcBorders>
            <w:noWrap/>
          </w:tcPr>
          <w:p w14:paraId="1AA9D6C4" w14:textId="77777777" w:rsidR="002D7080" w:rsidRPr="004D1E6F" w:rsidRDefault="002D7080" w:rsidP="00A774C1">
            <w:pPr>
              <w:spacing w:after="0"/>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Synonyms: </w:t>
            </w:r>
            <w:r w:rsidRPr="004D1E6F">
              <w:rPr>
                <w:rFonts w:ascii="Times New Roman" w:eastAsia="Times New Roman" w:hAnsi="Times New Roman" w:cs="Times New Roman"/>
                <w:i/>
                <w:iCs/>
                <w:color w:val="000000"/>
                <w:sz w:val="20"/>
                <w:szCs w:val="20"/>
                <w:lang w:eastAsia="en-ZA"/>
              </w:rPr>
              <w:t>Cambarus immunis</w:t>
            </w:r>
            <w:r w:rsidRPr="004D1E6F">
              <w:rPr>
                <w:rFonts w:ascii="Times New Roman" w:eastAsia="Times New Roman" w:hAnsi="Times New Roman" w:cs="Times New Roman"/>
                <w:color w:val="000000"/>
                <w:sz w:val="20"/>
                <w:szCs w:val="20"/>
                <w:lang w:eastAsia="en-ZA"/>
              </w:rPr>
              <w:t xml:space="preserve"> Hagen, 1870</w:t>
            </w:r>
          </w:p>
        </w:tc>
      </w:tr>
      <w:tr w:rsidR="002D7080" w:rsidRPr="004D1E6F" w14:paraId="1C3A2CF6"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33E2BB5A" w14:textId="77777777" w:rsidR="002D7080" w:rsidRPr="004D1E6F" w:rsidRDefault="002D7080" w:rsidP="00A774C1">
            <w:pPr>
              <w:spacing w:after="0"/>
              <w:contextualSpacing/>
              <w:jc w:val="both"/>
              <w:rPr>
                <w:rFonts w:ascii="Times New Roman" w:eastAsia="Times New Roman" w:hAnsi="Times New Roman" w:cs="Times New Roman"/>
                <w:i/>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Comments: Cave inhabiting crayfish and the surface-dwelling crayfish were split into two groups (Crandall &amp; De Grave 2017). The non-cave dwelling crayfish in the </w:t>
            </w:r>
            <w:r w:rsidRPr="004D1E6F">
              <w:rPr>
                <w:rFonts w:ascii="Times New Roman" w:eastAsia="Times New Roman" w:hAnsi="Times New Roman" w:cs="Times New Roman"/>
                <w:i/>
                <w:iCs/>
                <w:color w:val="000000"/>
                <w:sz w:val="20"/>
                <w:szCs w:val="20"/>
                <w:lang w:eastAsia="en-ZA"/>
              </w:rPr>
              <w:t>Orconectes</w:t>
            </w:r>
            <w:r w:rsidRPr="004D1E6F">
              <w:rPr>
                <w:rFonts w:ascii="Times New Roman" w:eastAsia="Times New Roman" w:hAnsi="Times New Roman" w:cs="Times New Roman"/>
                <w:color w:val="000000"/>
                <w:sz w:val="20"/>
                <w:szCs w:val="20"/>
                <w:lang w:eastAsia="en-ZA"/>
              </w:rPr>
              <w:t xml:space="preserve"> genus was moved to </w:t>
            </w:r>
            <w:r w:rsidRPr="004D1E6F">
              <w:rPr>
                <w:rFonts w:ascii="Times New Roman" w:eastAsia="Times New Roman" w:hAnsi="Times New Roman" w:cs="Times New Roman"/>
                <w:i/>
                <w:iCs/>
                <w:color w:val="000000"/>
                <w:sz w:val="20"/>
                <w:szCs w:val="20"/>
                <w:lang w:eastAsia="en-ZA"/>
              </w:rPr>
              <w:t>Faxonius</w:t>
            </w:r>
            <w:r w:rsidRPr="004D1E6F">
              <w:rPr>
                <w:rFonts w:ascii="Times New Roman" w:eastAsia="Times New Roman" w:hAnsi="Times New Roman" w:cs="Times New Roman"/>
                <w:color w:val="000000"/>
                <w:sz w:val="20"/>
                <w:szCs w:val="20"/>
                <w:lang w:eastAsia="en-ZA"/>
              </w:rPr>
              <w:t xml:space="preserve"> (Crandall &amp; De Grave 2017). Therefore, the abovementioned synonym was used in the literature search of this risk analysis.</w:t>
            </w:r>
          </w:p>
        </w:tc>
      </w:tr>
      <w:tr w:rsidR="002D7080" w:rsidRPr="004D1E6F" w14:paraId="0B005B1A"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7EDBA05C" w14:textId="77777777" w:rsidR="002D7080" w:rsidRPr="004D1E6F" w:rsidRDefault="002D7080" w:rsidP="00A774C1">
            <w:pPr>
              <w:spacing w:after="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4AA3DA73" w14:textId="77777777" w:rsidR="002D7080" w:rsidRPr="004D1E6F" w:rsidRDefault="002D7080" w:rsidP="00A774C1">
            <w:pPr>
              <w:spacing w:after="0"/>
              <w:ind w:left="522" w:hanging="522"/>
              <w:contextualSpacing/>
              <w:jc w:val="both"/>
              <w:rPr>
                <w:rFonts w:ascii="Times New Roman" w:eastAsia="Times New Roman" w:hAnsi="Times New Roman" w:cs="Times New Roman"/>
                <w:color w:val="000000"/>
                <w:sz w:val="20"/>
                <w:lang w:eastAsia="en-ZA"/>
              </w:rPr>
            </w:pPr>
            <w:r w:rsidRPr="004D1E6F">
              <w:rPr>
                <w:rFonts w:ascii="Times New Roman" w:eastAsia="Times New Roman" w:hAnsi="Times New Roman" w:cs="Times New Roman"/>
                <w:color w:val="000000"/>
                <w:sz w:val="20"/>
                <w:lang w:eastAsia="en-ZA"/>
              </w:rPr>
              <w:t xml:space="preserve">Crandall, K.A. &amp; De Grave, S., 2017, ‘An updated classification of the freshwater crayfishes (Decapoda: Astacidea) of the world, with a complete species list’, </w:t>
            </w:r>
            <w:r w:rsidRPr="004D1E6F">
              <w:rPr>
                <w:rFonts w:ascii="Times New Roman" w:eastAsia="Times New Roman" w:hAnsi="Times New Roman" w:cs="Times New Roman"/>
                <w:i/>
                <w:color w:val="000000"/>
                <w:sz w:val="20"/>
                <w:lang w:eastAsia="en-ZA"/>
              </w:rPr>
              <w:t>Journal of Crustacean Biology</w:t>
            </w:r>
            <w:r w:rsidRPr="004D1E6F">
              <w:rPr>
                <w:rFonts w:ascii="Times New Roman" w:eastAsia="Times New Roman" w:hAnsi="Times New Roman" w:cs="Times New Roman"/>
                <w:color w:val="000000"/>
                <w:sz w:val="20"/>
                <w:lang w:eastAsia="en-ZA"/>
              </w:rPr>
              <w:t>, 27, 615</w:t>
            </w:r>
            <w:r w:rsidRPr="004D1E6F">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lang w:eastAsia="en-ZA"/>
              </w:rPr>
              <w:t>653.</w:t>
            </w:r>
            <w:r w:rsidRPr="00F35EFB">
              <w:rPr>
                <w:rFonts w:ascii="Source Sans Pro" w:hAnsi="Source Sans Pro"/>
                <w:color w:val="2A2A2A"/>
                <w:sz w:val="26"/>
                <w:szCs w:val="26"/>
                <w:shd w:val="clear" w:color="auto" w:fill="FFFFFF"/>
              </w:rPr>
              <w:t xml:space="preserve"> </w:t>
            </w:r>
            <w:r w:rsidRPr="0086127A">
              <w:rPr>
                <w:rFonts w:ascii="Times New Roman" w:eastAsia="Times New Roman" w:hAnsi="Times New Roman" w:cs="Times New Roman"/>
                <w:color w:val="000000"/>
                <w:sz w:val="20"/>
                <w:u w:val="single"/>
                <w:lang w:eastAsia="en-ZA"/>
              </w:rPr>
              <w:t> </w:t>
            </w:r>
            <w:hyperlink r:id="rId184" w:history="1">
              <w:r w:rsidRPr="0086127A">
                <w:rPr>
                  <w:rStyle w:val="Hyperlink"/>
                  <w:rFonts w:ascii="Times New Roman" w:eastAsia="Times New Roman" w:hAnsi="Times New Roman" w:cs="Times New Roman"/>
                  <w:sz w:val="20"/>
                  <w:lang w:eastAsia="en-ZA"/>
                </w:rPr>
                <w:t>https://doi.org/10.1093/jcbiol/rux070</w:t>
              </w:r>
            </w:hyperlink>
          </w:p>
        </w:tc>
      </w:tr>
      <w:tr w:rsidR="002D7080" w:rsidRPr="004D1E6F" w14:paraId="3251F981"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7B3A873" w14:textId="77777777" w:rsidR="002D7080" w:rsidRPr="004D1E6F" w:rsidRDefault="002D7080" w:rsidP="00A774C1">
            <w:pPr>
              <w:spacing w:after="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BAC6 Common name(s) considered</w:t>
            </w:r>
          </w:p>
        </w:tc>
      </w:tr>
      <w:tr w:rsidR="002D7080" w:rsidRPr="004D1E6F" w14:paraId="067A14A2" w14:textId="77777777" w:rsidTr="002E2C37">
        <w:trPr>
          <w:cantSplit/>
          <w:trHeight w:val="260"/>
        </w:trPr>
        <w:tc>
          <w:tcPr>
            <w:tcW w:w="8790" w:type="dxa"/>
            <w:gridSpan w:val="4"/>
            <w:tcBorders>
              <w:top w:val="single" w:sz="4" w:space="0" w:color="auto"/>
              <w:left w:val="single" w:sz="4" w:space="0" w:color="auto"/>
              <w:bottom w:val="single" w:sz="4" w:space="0" w:color="auto"/>
              <w:right w:val="single" w:sz="4" w:space="0" w:color="auto"/>
            </w:tcBorders>
            <w:noWrap/>
          </w:tcPr>
          <w:p w14:paraId="0DDD8669" w14:textId="77777777" w:rsidR="002D7080" w:rsidRPr="004D1E6F" w:rsidRDefault="002D7080" w:rsidP="002E2C37">
            <w:pPr>
              <w:spacing w:after="0" w:line="240" w:lineRule="auto"/>
              <w:contextualSpacing/>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Common names: Calico crayfish</w:t>
            </w:r>
          </w:p>
        </w:tc>
      </w:tr>
      <w:tr w:rsidR="002D7080" w:rsidRPr="004D1E6F" w14:paraId="17338ED6"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14763DF5" w14:textId="77777777" w:rsidR="002D7080" w:rsidRPr="004D1E6F" w:rsidRDefault="002D7080" w:rsidP="00A774C1">
            <w:pPr>
              <w:spacing w:after="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 xml:space="preserve">Comments: Calico crayfish is listed as the common name for </w:t>
            </w:r>
            <w:r w:rsidRPr="004D1E6F">
              <w:rPr>
                <w:rFonts w:ascii="Times New Roman" w:eastAsia="Times New Roman" w:hAnsi="Times New Roman" w:cs="Times New Roman"/>
                <w:i/>
                <w:iCs/>
                <w:color w:val="000000"/>
                <w:sz w:val="20"/>
                <w:szCs w:val="20"/>
                <w:lang w:eastAsia="en-ZA"/>
              </w:rPr>
              <w:t>F. immunis</w:t>
            </w:r>
            <w:r w:rsidRPr="004D1E6F">
              <w:rPr>
                <w:rFonts w:ascii="Times New Roman" w:eastAsia="Times New Roman" w:hAnsi="Times New Roman" w:cs="Times New Roman"/>
                <w:color w:val="000000"/>
                <w:sz w:val="20"/>
                <w:szCs w:val="20"/>
                <w:lang w:eastAsia="en-ZA"/>
              </w:rPr>
              <w:t xml:space="preserve"> on the GBIF and the IUCN Red List (Adams et al. 2010; GBIF 2024). This was the </w:t>
            </w:r>
            <w:r w:rsidRPr="004D1E6F">
              <w:rPr>
                <w:rFonts w:ascii="Times New Roman" w:eastAsia="Times New Roman" w:hAnsi="Times New Roman" w:cs="Times New Roman"/>
                <w:sz w:val="20"/>
                <w:szCs w:val="20"/>
                <w:lang w:eastAsia="en-ZA"/>
              </w:rPr>
              <w:t>only common name used for literature search in this risk analysis.</w:t>
            </w:r>
          </w:p>
        </w:tc>
      </w:tr>
      <w:tr w:rsidR="002D7080" w:rsidRPr="004D1E6F" w14:paraId="6BB20A3C" w14:textId="77777777" w:rsidTr="002E2C37">
        <w:trPr>
          <w:cantSplit/>
          <w:trHeight w:val="143"/>
        </w:trPr>
        <w:tc>
          <w:tcPr>
            <w:tcW w:w="8790" w:type="dxa"/>
            <w:gridSpan w:val="4"/>
            <w:tcBorders>
              <w:top w:val="single" w:sz="4" w:space="0" w:color="auto"/>
              <w:left w:val="single" w:sz="4" w:space="0" w:color="auto"/>
              <w:bottom w:val="single" w:sz="4" w:space="0" w:color="auto"/>
              <w:right w:val="single" w:sz="4" w:space="0" w:color="auto"/>
            </w:tcBorders>
            <w:noWrap/>
          </w:tcPr>
          <w:p w14:paraId="2FFB6F60" w14:textId="77777777" w:rsidR="002D7080" w:rsidRPr="004D1E6F" w:rsidRDefault="002D7080" w:rsidP="00A774C1">
            <w:pPr>
              <w:spacing w:after="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3AE3B464" w14:textId="77777777" w:rsidR="00C67C06" w:rsidRDefault="002D7080" w:rsidP="00A774C1">
            <w:pPr>
              <w:spacing w:after="0"/>
              <w:ind w:left="604" w:hanging="547"/>
              <w:contextualSpacing/>
              <w:jc w:val="both"/>
            </w:pPr>
            <w:r w:rsidRPr="004D1E6F">
              <w:rPr>
                <w:rFonts w:ascii="Times New Roman" w:eastAsia="Times New Roman" w:hAnsi="Times New Roman" w:cs="Times New Roman"/>
                <w:color w:val="000000"/>
                <w:sz w:val="20"/>
                <w:szCs w:val="20"/>
                <w:lang w:eastAsia="en-ZA"/>
              </w:rPr>
              <w:t>Adams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Schuster</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G</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w:t>
            </w:r>
            <w:r>
              <w:rPr>
                <w:rFonts w:ascii="Times New Roman" w:eastAsia="Times New Roman" w:hAnsi="Times New Roman" w:cs="Times New Roman"/>
                <w:color w:val="000000"/>
                <w:sz w:val="20"/>
                <w:szCs w:val="20"/>
                <w:lang w:eastAsia="en-ZA"/>
              </w:rPr>
              <w:t xml:space="preserve">. &amp; </w:t>
            </w:r>
            <w:r w:rsidRPr="004D1E6F">
              <w:rPr>
                <w:rFonts w:ascii="Times New Roman" w:eastAsia="Times New Roman" w:hAnsi="Times New Roman" w:cs="Times New Roman"/>
                <w:color w:val="000000"/>
                <w:sz w:val="20"/>
                <w:szCs w:val="20"/>
                <w:lang w:eastAsia="en-ZA"/>
              </w:rPr>
              <w:t>Taylor</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C</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2010</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Orconectes immunis. The IUCN Red List of ThreatenedSpecies2010</w:t>
            </w:r>
            <w:r w:rsidRPr="004D1E6F">
              <w:rPr>
                <w:rFonts w:ascii="Times New Roman" w:eastAsia="Times New Roman" w:hAnsi="Times New Roman" w:cs="Times New Roman"/>
                <w:color w:val="000000"/>
                <w:sz w:val="20"/>
                <w:szCs w:val="20"/>
                <w:lang w:eastAsia="en-ZA"/>
              </w:rPr>
              <w:t>:e.T153925A4564415</w:t>
            </w:r>
            <w:r w:rsidRPr="00F35EFB">
              <w:rPr>
                <w:rFonts w:ascii="Times New Roman" w:eastAsia="Times New Roman" w:hAnsi="Times New Roman" w:cs="Times New Roman"/>
                <w:color w:val="000000"/>
                <w:sz w:val="20"/>
                <w:szCs w:val="20"/>
                <w:lang w:eastAsia="en-ZA"/>
              </w:rPr>
              <w:t>.</w:t>
            </w:r>
            <w:r w:rsidR="00C67C06" w:rsidRPr="00C67C06">
              <w:t xml:space="preserve"> </w:t>
            </w:r>
            <w:hyperlink w:history="1">
              <w:r w:rsidR="00C67C06" w:rsidRPr="00C67C06">
                <w:rPr>
                  <w:rStyle w:val="Hyperlink"/>
                  <w:rFonts w:ascii="Times New Roman" w:hAnsi="Times New Roman" w:cs="Times New Roman"/>
                  <w:sz w:val="20"/>
                  <w:szCs w:val="20"/>
                </w:rPr>
                <w:t>http://www.iucnredlist.org/details/153925/0. Accessed on 01/12/2018</w:t>
              </w:r>
            </w:hyperlink>
          </w:p>
          <w:p w14:paraId="1B4CC86F" w14:textId="68E52C5C" w:rsidR="002D7080" w:rsidRPr="004D1E6F" w:rsidRDefault="002D7080" w:rsidP="00A774C1">
            <w:pPr>
              <w:spacing w:after="0"/>
              <w:ind w:left="604" w:hanging="547"/>
              <w:contextualSpacing/>
              <w:jc w:val="both"/>
              <w:rPr>
                <w:rFonts w:ascii="Times New Roman" w:eastAsia="Times New Roman" w:hAnsi="Times New Roman" w:cs="Times New Roman"/>
                <w:color w:val="000000"/>
                <w:sz w:val="20"/>
                <w:szCs w:val="20"/>
                <w:lang w:eastAsia="en-ZA"/>
              </w:rPr>
            </w:pPr>
            <w:r w:rsidRPr="004D1E6F">
              <w:rPr>
                <w:rStyle w:val="ng-binding"/>
                <w:rFonts w:ascii="Times New Roman" w:hAnsi="Times New Roman" w:cs="Times New Roman"/>
                <w:i/>
                <w:iCs/>
                <w:color w:val="000000" w:themeColor="text1"/>
                <w:sz w:val="20"/>
                <w:szCs w:val="20"/>
                <w:shd w:val="clear" w:color="auto" w:fill="FFFFFF"/>
              </w:rPr>
              <w:t>Faxonius immunis </w:t>
            </w:r>
            <w:r w:rsidRPr="004D1E6F">
              <w:rPr>
                <w:rStyle w:val="ng-binding"/>
                <w:rFonts w:ascii="Times New Roman" w:hAnsi="Times New Roman" w:cs="Times New Roman"/>
                <w:color w:val="000000" w:themeColor="text1"/>
                <w:sz w:val="20"/>
                <w:szCs w:val="20"/>
                <w:shd w:val="clear" w:color="auto" w:fill="FFFFFF"/>
              </w:rPr>
              <w:t>(Hagen, 1870)</w:t>
            </w:r>
            <w:r w:rsidRPr="004D1E6F">
              <w:rPr>
                <w:rFonts w:ascii="Times New Roman" w:hAnsi="Times New Roman" w:cs="Times New Roman"/>
                <w:color w:val="000000" w:themeColor="text1"/>
                <w:sz w:val="20"/>
                <w:szCs w:val="20"/>
                <w:shd w:val="clear" w:color="auto" w:fill="FFFFFF"/>
              </w:rPr>
              <w:t> in </w:t>
            </w:r>
            <w:r w:rsidRPr="004D1E6F">
              <w:rPr>
                <w:rStyle w:val="ng-binding"/>
                <w:rFonts w:ascii="Times New Roman" w:hAnsi="Times New Roman" w:cs="Times New Roman"/>
                <w:color w:val="000000" w:themeColor="text1"/>
                <w:sz w:val="20"/>
                <w:szCs w:val="20"/>
                <w:shd w:val="clear" w:color="auto" w:fill="FFFFFF"/>
              </w:rPr>
              <w:t>GBIF Secretariat (2023). GBIF Backbone Taxonomy. Checklist dataset</w:t>
            </w:r>
            <w:r w:rsidRPr="0086127A">
              <w:rPr>
                <w:rStyle w:val="ng-binding"/>
                <w:rFonts w:ascii="Times New Roman" w:hAnsi="Times New Roman" w:cs="Times New Roman"/>
                <w:color w:val="0000FF"/>
                <w:sz w:val="20"/>
                <w:szCs w:val="20"/>
                <w:shd w:val="clear" w:color="auto" w:fill="FFFFFF"/>
              </w:rPr>
              <w:t> </w:t>
            </w:r>
            <w:hyperlink w:tgtFrame="_blank" w:history="1">
              <w:r w:rsidRPr="0086127A">
                <w:rPr>
                  <w:rStyle w:val="Hyperlink"/>
                  <w:rFonts w:ascii="Times New Roman" w:hAnsi="Times New Roman" w:cs="Times New Roman"/>
                  <w:color w:val="0000FF"/>
                  <w:sz w:val="20"/>
                  <w:szCs w:val="20"/>
                </w:rPr>
                <w:t>https://doi.org/10.15468/39omei</w:t>
              </w:r>
            </w:hyperlink>
            <w:r w:rsidRPr="004D1E6F">
              <w:rPr>
                <w:rStyle w:val="ng-binding"/>
                <w:rFonts w:ascii="Times New Roman" w:hAnsi="Times New Roman" w:cs="Times New Roman"/>
                <w:color w:val="000000" w:themeColor="text1"/>
                <w:sz w:val="20"/>
                <w:szCs w:val="20"/>
                <w:shd w:val="clear" w:color="auto" w:fill="FFFFFF"/>
              </w:rPr>
              <w:t> accessed via GBIF.org on 2024-06-05.</w:t>
            </w:r>
          </w:p>
        </w:tc>
      </w:tr>
      <w:tr w:rsidR="002D7080" w:rsidRPr="004D1E6F" w14:paraId="2B90D5AF"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83F9DAE" w14:textId="77777777" w:rsidR="002D7080" w:rsidRPr="004D1E6F" w:rsidRDefault="002D7080" w:rsidP="00A774C1">
            <w:pPr>
              <w:spacing w:after="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BAC7 What is the native range of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(add map in Appendix BAC7)</w:t>
            </w:r>
          </w:p>
        </w:tc>
      </w:tr>
      <w:tr w:rsidR="002D7080" w:rsidRPr="004D1E6F" w14:paraId="482BDA55" w14:textId="77777777" w:rsidTr="002E2C37">
        <w:trPr>
          <w:cantSplit/>
          <w:trHeight w:val="296"/>
        </w:trPr>
        <w:tc>
          <w:tcPr>
            <w:tcW w:w="6124" w:type="dxa"/>
            <w:gridSpan w:val="3"/>
            <w:tcBorders>
              <w:top w:val="single" w:sz="4" w:space="0" w:color="auto"/>
              <w:left w:val="single" w:sz="4" w:space="0" w:color="auto"/>
              <w:bottom w:val="single" w:sz="4" w:space="0" w:color="auto"/>
              <w:right w:val="single" w:sz="4" w:space="0" w:color="auto"/>
            </w:tcBorders>
            <w:noWrap/>
          </w:tcPr>
          <w:p w14:paraId="6E625A43" w14:textId="77777777" w:rsidR="002D7080" w:rsidRPr="004D1E6F" w:rsidRDefault="002D7080" w:rsidP="00A774C1">
            <w:pPr>
              <w:autoSpaceDE w:val="0"/>
              <w:autoSpaceDN w:val="0"/>
              <w:adjustRightInd w:val="0"/>
              <w:spacing w:after="0"/>
              <w:contextualSpacing/>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Canada </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Calibri" w:hAnsi="Times New Roman" w:cs="Times New Roman"/>
                <w:sz w:val="20"/>
              </w:rPr>
              <w:t xml:space="preserve">United States </w:t>
            </w:r>
          </w:p>
        </w:tc>
        <w:tc>
          <w:tcPr>
            <w:tcW w:w="2666" w:type="dxa"/>
            <w:tcBorders>
              <w:top w:val="single" w:sz="4" w:space="0" w:color="auto"/>
              <w:left w:val="single" w:sz="4" w:space="0" w:color="auto"/>
              <w:bottom w:val="single" w:sz="4" w:space="0" w:color="auto"/>
              <w:right w:val="single" w:sz="4" w:space="0" w:color="auto"/>
            </w:tcBorders>
          </w:tcPr>
          <w:p w14:paraId="4E2DA550" w14:textId="77777777" w:rsidR="002D7080" w:rsidRPr="004D1E6F" w:rsidRDefault="002D7080" w:rsidP="00A774C1">
            <w:pPr>
              <w:spacing w:after="0"/>
              <w:contextualSpacing/>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72CCCD58" w14:textId="77777777" w:rsidTr="002E2C37">
        <w:trPr>
          <w:cantSplit/>
          <w:trHeight w:val="278"/>
        </w:trPr>
        <w:tc>
          <w:tcPr>
            <w:tcW w:w="8790" w:type="dxa"/>
            <w:gridSpan w:val="4"/>
            <w:tcBorders>
              <w:top w:val="single" w:sz="4" w:space="0" w:color="auto"/>
              <w:left w:val="single" w:sz="4" w:space="0" w:color="auto"/>
              <w:bottom w:val="single" w:sz="4" w:space="0" w:color="auto"/>
              <w:right w:val="single" w:sz="4" w:space="0" w:color="auto"/>
            </w:tcBorders>
            <w:noWrap/>
          </w:tcPr>
          <w:p w14:paraId="5563DAC6" w14:textId="77777777" w:rsidR="002D7080" w:rsidRPr="004D1E6F" w:rsidRDefault="002D7080" w:rsidP="00A774C1">
            <w:pPr>
              <w:spacing w:after="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Comments: </w:t>
            </w:r>
            <w:r w:rsidRPr="004D1E6F">
              <w:rPr>
                <w:rFonts w:ascii="Times New Roman" w:eastAsia="Times New Roman" w:hAnsi="Times New Roman" w:cs="Times New Roman"/>
                <w:i/>
                <w:iCs/>
                <w:color w:val="000000" w:themeColor="text1"/>
                <w:sz w:val="20"/>
                <w:szCs w:val="20"/>
                <w:lang w:eastAsia="en-ZA"/>
              </w:rPr>
              <w:t>Faxonius immunis</w:t>
            </w:r>
            <w:r w:rsidRPr="004D1E6F">
              <w:rPr>
                <w:rFonts w:ascii="Times New Roman" w:eastAsia="Times New Roman" w:hAnsi="Times New Roman" w:cs="Times New Roman"/>
                <w:color w:val="000000" w:themeColor="text1"/>
                <w:sz w:val="20"/>
                <w:szCs w:val="20"/>
                <w:lang w:eastAsia="en-ZA"/>
              </w:rPr>
              <w:t xml:space="preserve"> is native to eastern North America. Its range e</w:t>
            </w:r>
            <w:r w:rsidRPr="004D1E6F">
              <w:rPr>
                <w:rFonts w:ascii="Times New Roman" w:hAnsi="Times New Roman" w:cs="Times New Roman"/>
                <w:color w:val="000000"/>
                <w:sz w:val="20"/>
                <w:szCs w:val="20"/>
                <w:shd w:val="clear" w:color="auto" w:fill="FFFFFF"/>
              </w:rPr>
              <w:t>xtends as far east as Maine and Connecticut, and as far west as eastern Colorado and Wyoming. Its northernmost range includes southern Manitoba, Ontario and Quebec; Its southernmost range extends to Kentucky (Capelli and Magnuson 1983; Adams et al. 2010).</w:t>
            </w:r>
          </w:p>
        </w:tc>
      </w:tr>
      <w:tr w:rsidR="002D7080" w:rsidRPr="004D1E6F" w14:paraId="5C05B795" w14:textId="77777777" w:rsidTr="002E2C37">
        <w:trPr>
          <w:cantSplit/>
          <w:trHeight w:val="998"/>
        </w:trPr>
        <w:tc>
          <w:tcPr>
            <w:tcW w:w="8790" w:type="dxa"/>
            <w:gridSpan w:val="4"/>
            <w:tcBorders>
              <w:top w:val="single" w:sz="4" w:space="0" w:color="auto"/>
              <w:left w:val="single" w:sz="4" w:space="0" w:color="auto"/>
              <w:bottom w:val="single" w:sz="4" w:space="0" w:color="auto"/>
              <w:right w:val="single" w:sz="4" w:space="0" w:color="auto"/>
            </w:tcBorders>
            <w:noWrap/>
          </w:tcPr>
          <w:p w14:paraId="35EEACFE" w14:textId="77777777" w:rsidR="002D7080" w:rsidRPr="004D1E6F" w:rsidRDefault="002D7080" w:rsidP="00A774C1">
            <w:pPr>
              <w:spacing w:after="0"/>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206F6836" w14:textId="77777777" w:rsidR="002D7080" w:rsidRPr="004D1E6F" w:rsidRDefault="002D7080" w:rsidP="00A774C1">
            <w:pPr>
              <w:spacing w:after="160"/>
              <w:ind w:left="522" w:hanging="522"/>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Adams, S., G.A.</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Schuster, </w:t>
            </w:r>
            <w:r>
              <w:rPr>
                <w:rFonts w:ascii="Times New Roman" w:eastAsia="Times New Roman" w:hAnsi="Times New Roman" w:cs="Times New Roman"/>
                <w:sz w:val="20"/>
                <w:szCs w:val="20"/>
                <w:lang w:eastAsia="en-ZA"/>
              </w:rPr>
              <w:t xml:space="preserve">&amp; </w:t>
            </w:r>
            <w:r w:rsidRPr="004D1E6F">
              <w:rPr>
                <w:rFonts w:ascii="Times New Roman" w:eastAsia="Times New Roman" w:hAnsi="Times New Roman" w:cs="Times New Roman"/>
                <w:sz w:val="20"/>
                <w:szCs w:val="20"/>
                <w:lang w:eastAsia="en-ZA"/>
              </w:rPr>
              <w:t>Taylor</w:t>
            </w:r>
            <w:r>
              <w:rPr>
                <w:rFonts w:ascii="Times New Roman" w:eastAsia="Times New Roman" w:hAnsi="Times New Roman" w:cs="Times New Roman"/>
                <w:sz w:val="20"/>
                <w:szCs w:val="20"/>
                <w:lang w:eastAsia="en-ZA"/>
              </w:rPr>
              <w:t>, C.A.,</w:t>
            </w:r>
            <w:r w:rsidRPr="004D1E6F">
              <w:rPr>
                <w:rFonts w:ascii="Times New Roman" w:eastAsia="Times New Roman" w:hAnsi="Times New Roman" w:cs="Times New Roman"/>
                <w:sz w:val="20"/>
                <w:szCs w:val="20"/>
                <w:lang w:eastAsia="en-ZA"/>
              </w:rPr>
              <w:t xml:space="preserve"> 2010</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Pr="00FE0D0B">
              <w:rPr>
                <w:rFonts w:ascii="Times New Roman" w:eastAsia="Times New Roman" w:hAnsi="Times New Roman" w:cs="Times New Roman"/>
                <w:i/>
                <w:iCs/>
                <w:sz w:val="20"/>
                <w:szCs w:val="20"/>
                <w:lang w:eastAsia="en-ZA"/>
              </w:rPr>
              <w:t>Orconectes immunis</w:t>
            </w:r>
            <w:r w:rsidRPr="004D1E6F">
              <w:rPr>
                <w:rFonts w:ascii="Times New Roman" w:eastAsia="Times New Roman" w:hAnsi="Times New Roman" w:cs="Times New Roman"/>
                <w:sz w:val="20"/>
                <w:szCs w:val="20"/>
                <w:lang w:eastAsia="en-ZA"/>
              </w:rPr>
              <w:t xml:space="preserve">. The IUCN Red List of Threatened Species. </w:t>
            </w:r>
            <w:hyperlink w:history="1">
              <w:r w:rsidRPr="0086127A">
                <w:rPr>
                  <w:rStyle w:val="Hyperlink"/>
                  <w:rFonts w:ascii="Times New Roman" w:eastAsia="Times New Roman" w:hAnsi="Times New Roman" w:cs="Times New Roman"/>
                  <w:sz w:val="20"/>
                  <w:szCs w:val="20"/>
                  <w:lang w:eastAsia="en-ZA"/>
                </w:rPr>
                <w:t>http://www.iucnredlist.org/details/153925/0</w:t>
              </w:r>
              <w:r w:rsidRPr="00F35EFB">
                <w:rPr>
                  <w:rStyle w:val="Hyperlink"/>
                  <w:rFonts w:ascii="Times New Roman" w:eastAsia="Times New Roman" w:hAnsi="Times New Roman" w:cs="Times New Roman"/>
                  <w:sz w:val="20"/>
                  <w:szCs w:val="20"/>
                  <w:lang w:eastAsia="en-ZA"/>
                </w:rPr>
                <w:t xml:space="preserve">. </w:t>
              </w:r>
              <w:r w:rsidRPr="0086127A">
                <w:rPr>
                  <w:rStyle w:val="Hyperlink"/>
                  <w:rFonts w:ascii="Times New Roman" w:eastAsia="Times New Roman" w:hAnsi="Times New Roman" w:cs="Times New Roman"/>
                  <w:sz w:val="20"/>
                  <w:szCs w:val="20"/>
                  <w:lang w:eastAsia="en-ZA"/>
                </w:rPr>
                <w:t>Accessed on 01/12/2018</w:t>
              </w:r>
            </w:hyperlink>
            <w:r w:rsidRPr="00F35EFB">
              <w:rPr>
                <w:rFonts w:ascii="Times New Roman" w:eastAsia="Times New Roman" w:hAnsi="Times New Roman" w:cs="Times New Roman"/>
                <w:sz w:val="20"/>
                <w:szCs w:val="20"/>
                <w:lang w:eastAsia="en-ZA"/>
              </w:rPr>
              <w:t>.</w:t>
            </w:r>
          </w:p>
          <w:p w14:paraId="6CFDB495" w14:textId="77777777" w:rsidR="002D7080" w:rsidRPr="004D1E6F" w:rsidRDefault="002D7080" w:rsidP="00A774C1">
            <w:pPr>
              <w:spacing w:after="160"/>
              <w:ind w:left="522" w:hanging="522"/>
              <w:contextualSpacing/>
              <w:jc w:val="both"/>
              <w:rPr>
                <w:rFonts w:ascii="Times New Roman" w:eastAsia="Times New Roman" w:hAnsi="Times New Roman" w:cs="Times New Roman"/>
                <w:iCs/>
                <w:sz w:val="20"/>
                <w:szCs w:val="20"/>
                <w:lang w:eastAsia="en-ZA"/>
              </w:rPr>
            </w:pPr>
            <w:r w:rsidRPr="004D1E6F">
              <w:rPr>
                <w:rFonts w:ascii="Times New Roman" w:hAnsi="Times New Roman" w:cs="Times New Roman"/>
                <w:color w:val="1F1F1F"/>
                <w:sz w:val="20"/>
                <w:szCs w:val="20"/>
                <w:shd w:val="clear" w:color="auto" w:fill="FFFFFF"/>
              </w:rPr>
              <w:t>Capelli</w:t>
            </w:r>
            <w:r>
              <w:rPr>
                <w:rFonts w:ascii="Times New Roman" w:hAnsi="Times New Roman" w:cs="Times New Roman"/>
                <w:color w:val="1F1F1F"/>
                <w:sz w:val="20"/>
                <w:szCs w:val="20"/>
                <w:shd w:val="clear" w:color="auto" w:fill="FFFFFF"/>
              </w:rPr>
              <w:t>,</w:t>
            </w:r>
            <w:r w:rsidRPr="004D1E6F">
              <w:rPr>
                <w:rFonts w:ascii="Times New Roman" w:hAnsi="Times New Roman" w:cs="Times New Roman"/>
                <w:color w:val="1F1F1F"/>
                <w:sz w:val="20"/>
                <w:szCs w:val="20"/>
                <w:shd w:val="clear" w:color="auto" w:fill="FFFFFF"/>
              </w:rPr>
              <w:t xml:space="preserve"> G</w:t>
            </w:r>
            <w:r>
              <w:rPr>
                <w:rFonts w:ascii="Times New Roman" w:hAnsi="Times New Roman" w:cs="Times New Roman"/>
                <w:color w:val="1F1F1F"/>
                <w:sz w:val="20"/>
                <w:szCs w:val="20"/>
                <w:shd w:val="clear" w:color="auto" w:fill="FFFFFF"/>
              </w:rPr>
              <w:t>.</w:t>
            </w:r>
            <w:r w:rsidRPr="004D1E6F">
              <w:rPr>
                <w:rFonts w:ascii="Times New Roman" w:hAnsi="Times New Roman" w:cs="Times New Roman"/>
                <w:color w:val="1F1F1F"/>
                <w:sz w:val="20"/>
                <w:szCs w:val="20"/>
                <w:shd w:val="clear" w:color="auto" w:fill="FFFFFF"/>
              </w:rPr>
              <w:t>M</w:t>
            </w:r>
            <w:r>
              <w:rPr>
                <w:rFonts w:ascii="Times New Roman" w:hAnsi="Times New Roman" w:cs="Times New Roman"/>
                <w:color w:val="1F1F1F"/>
                <w:sz w:val="20"/>
                <w:szCs w:val="20"/>
                <w:shd w:val="clear" w:color="auto" w:fill="FFFFFF"/>
              </w:rPr>
              <w:t xml:space="preserve">. &amp; </w:t>
            </w:r>
            <w:r w:rsidRPr="004D1E6F">
              <w:rPr>
                <w:rFonts w:ascii="Times New Roman" w:hAnsi="Times New Roman" w:cs="Times New Roman"/>
                <w:color w:val="1F1F1F"/>
                <w:sz w:val="20"/>
                <w:szCs w:val="20"/>
                <w:shd w:val="clear" w:color="auto" w:fill="FFFFFF"/>
              </w:rPr>
              <w:t>Magnuson</w:t>
            </w:r>
            <w:r>
              <w:rPr>
                <w:rFonts w:ascii="Times New Roman" w:hAnsi="Times New Roman" w:cs="Times New Roman"/>
                <w:color w:val="1F1F1F"/>
                <w:sz w:val="20"/>
                <w:szCs w:val="20"/>
                <w:shd w:val="clear" w:color="auto" w:fill="FFFFFF"/>
              </w:rPr>
              <w:t>,</w:t>
            </w:r>
            <w:r w:rsidRPr="004D1E6F">
              <w:rPr>
                <w:rFonts w:ascii="Times New Roman" w:hAnsi="Times New Roman" w:cs="Times New Roman"/>
                <w:color w:val="1F1F1F"/>
                <w:sz w:val="20"/>
                <w:szCs w:val="20"/>
                <w:shd w:val="clear" w:color="auto" w:fill="FFFFFF"/>
              </w:rPr>
              <w:t xml:space="preserve"> J</w:t>
            </w:r>
            <w:r>
              <w:rPr>
                <w:rFonts w:ascii="Times New Roman" w:hAnsi="Times New Roman" w:cs="Times New Roman"/>
                <w:color w:val="1F1F1F"/>
                <w:sz w:val="20"/>
                <w:szCs w:val="20"/>
                <w:shd w:val="clear" w:color="auto" w:fill="FFFFFF"/>
              </w:rPr>
              <w:t>.</w:t>
            </w:r>
            <w:r w:rsidRPr="004D1E6F">
              <w:rPr>
                <w:rFonts w:ascii="Times New Roman" w:hAnsi="Times New Roman" w:cs="Times New Roman"/>
                <w:color w:val="1F1F1F"/>
                <w:sz w:val="20"/>
                <w:szCs w:val="20"/>
                <w:shd w:val="clear" w:color="auto" w:fill="FFFFFF"/>
              </w:rPr>
              <w:t>J</w:t>
            </w:r>
            <w:r>
              <w:rPr>
                <w:rFonts w:ascii="Times New Roman" w:hAnsi="Times New Roman" w:cs="Times New Roman"/>
                <w:color w:val="1F1F1F"/>
                <w:sz w:val="20"/>
                <w:szCs w:val="20"/>
                <w:shd w:val="clear" w:color="auto" w:fill="FFFFFF"/>
              </w:rPr>
              <w:t>.,</w:t>
            </w:r>
            <w:r w:rsidRPr="004D1E6F">
              <w:rPr>
                <w:rFonts w:ascii="Times New Roman" w:hAnsi="Times New Roman" w:cs="Times New Roman"/>
                <w:color w:val="1F1F1F"/>
                <w:sz w:val="20"/>
                <w:szCs w:val="20"/>
                <w:shd w:val="clear" w:color="auto" w:fill="FFFFFF"/>
              </w:rPr>
              <w:t xml:space="preserve"> 1983</w:t>
            </w:r>
            <w:r>
              <w:rPr>
                <w:rFonts w:ascii="Times New Roman" w:hAnsi="Times New Roman" w:cs="Times New Roman"/>
                <w:color w:val="1F1F1F"/>
                <w:sz w:val="20"/>
                <w:szCs w:val="20"/>
                <w:shd w:val="clear" w:color="auto" w:fill="FFFFFF"/>
              </w:rPr>
              <w:t>, ‘</w:t>
            </w:r>
            <w:r w:rsidRPr="004D1E6F">
              <w:rPr>
                <w:rFonts w:ascii="Times New Roman" w:hAnsi="Times New Roman" w:cs="Times New Roman"/>
                <w:color w:val="1F1F1F"/>
                <w:sz w:val="20"/>
                <w:szCs w:val="20"/>
                <w:shd w:val="clear" w:color="auto" w:fill="FFFFFF"/>
              </w:rPr>
              <w:t>Morphoedaphic and biogeographic analysis of crayfish distribution in northern Wisconsin</w:t>
            </w:r>
            <w:r>
              <w:rPr>
                <w:rFonts w:ascii="Times New Roman" w:hAnsi="Times New Roman" w:cs="Times New Roman"/>
                <w:color w:val="1F1F1F"/>
                <w:sz w:val="20"/>
                <w:szCs w:val="20"/>
                <w:shd w:val="clear" w:color="auto" w:fill="FFFFFF"/>
              </w:rPr>
              <w:t>’,</w:t>
            </w:r>
            <w:r w:rsidRPr="004D1E6F">
              <w:rPr>
                <w:rFonts w:ascii="Times New Roman" w:hAnsi="Times New Roman" w:cs="Times New Roman"/>
                <w:color w:val="1F1F1F"/>
                <w:sz w:val="20"/>
                <w:szCs w:val="20"/>
                <w:shd w:val="clear" w:color="auto" w:fill="FFFFFF"/>
              </w:rPr>
              <w:t> </w:t>
            </w:r>
            <w:r w:rsidRPr="00FE0D0B">
              <w:rPr>
                <w:rStyle w:val="source"/>
                <w:rFonts w:ascii="Times New Roman" w:hAnsi="Times New Roman" w:cs="Times New Roman"/>
                <w:i/>
                <w:iCs/>
                <w:color w:val="1F1F1F"/>
                <w:sz w:val="20"/>
                <w:szCs w:val="20"/>
                <w:shd w:val="clear" w:color="auto" w:fill="FFFFFF"/>
              </w:rPr>
              <w:t>Journal of Crustacean Biology</w:t>
            </w:r>
            <w:r w:rsidRPr="00E24465">
              <w:rPr>
                <w:rStyle w:val="source"/>
                <w:rFonts w:ascii="Times New Roman" w:hAnsi="Times New Roman" w:cs="Times New Roman"/>
                <w:color w:val="1F1F1F"/>
                <w:sz w:val="20"/>
                <w:szCs w:val="20"/>
                <w:shd w:val="clear" w:color="auto" w:fill="FFFFFF"/>
              </w:rPr>
              <w:t>,</w:t>
            </w:r>
            <w:r w:rsidRPr="004D1E6F">
              <w:rPr>
                <w:rFonts w:ascii="Times New Roman" w:hAnsi="Times New Roman" w:cs="Times New Roman"/>
                <w:color w:val="1F1F1F"/>
                <w:sz w:val="20"/>
                <w:szCs w:val="20"/>
                <w:shd w:val="clear" w:color="auto" w:fill="FFFFFF"/>
              </w:rPr>
              <w:t> </w:t>
            </w:r>
            <w:r w:rsidRPr="004D1E6F">
              <w:rPr>
                <w:rStyle w:val="volume"/>
                <w:rFonts w:ascii="Times New Roman" w:hAnsi="Times New Roman" w:cs="Times New Roman"/>
                <w:color w:val="1F1F1F"/>
                <w:sz w:val="20"/>
                <w:szCs w:val="20"/>
                <w:shd w:val="clear" w:color="auto" w:fill="FFFFFF"/>
              </w:rPr>
              <w:t>3</w:t>
            </w:r>
            <w:r>
              <w:rPr>
                <w:rStyle w:val="volume"/>
                <w:rFonts w:ascii="Times New Roman" w:hAnsi="Times New Roman" w:cs="Times New Roman"/>
                <w:color w:val="1F1F1F"/>
                <w:sz w:val="20"/>
                <w:szCs w:val="20"/>
                <w:shd w:val="clear" w:color="auto" w:fill="FFFFFF"/>
              </w:rPr>
              <w:t>,</w:t>
            </w:r>
            <w:r w:rsidRPr="004D1E6F">
              <w:rPr>
                <w:rFonts w:ascii="Times New Roman" w:hAnsi="Times New Roman" w:cs="Times New Roman"/>
                <w:color w:val="1F1F1F"/>
                <w:sz w:val="20"/>
                <w:szCs w:val="20"/>
                <w:shd w:val="clear" w:color="auto" w:fill="FFFFFF"/>
              </w:rPr>
              <w:t xml:space="preserve"> 548–564</w:t>
            </w:r>
            <w:r w:rsidRPr="0086127A">
              <w:rPr>
                <w:rFonts w:ascii="Times New Roman" w:hAnsi="Times New Roman" w:cs="Times New Roman"/>
                <w:color w:val="1F1F1F"/>
                <w:sz w:val="20"/>
                <w:szCs w:val="20"/>
                <w:shd w:val="clear" w:color="auto" w:fill="FFFFFF"/>
              </w:rPr>
              <w:t>. </w:t>
            </w:r>
            <w:r w:rsidRPr="0086127A">
              <w:rPr>
                <w:rFonts w:ascii="Times New Roman" w:hAnsi="Times New Roman" w:cs="Times New Roman"/>
                <w:color w:val="1B8AAE"/>
                <w:sz w:val="20"/>
                <w:szCs w:val="20"/>
                <w:u w:val="single"/>
                <w:shd w:val="clear" w:color="auto" w:fill="FFFFFF"/>
              </w:rPr>
              <w:t xml:space="preserve"> </w:t>
            </w:r>
            <w:hyperlink r:id="rId185" w:history="1">
              <w:r w:rsidRPr="0086127A">
                <w:rPr>
                  <w:rStyle w:val="Hyperlink"/>
                  <w:rFonts w:ascii="Times New Roman" w:hAnsi="Times New Roman" w:cs="Times New Roman"/>
                  <w:sz w:val="20"/>
                  <w:szCs w:val="20"/>
                  <w:shd w:val="clear" w:color="auto" w:fill="FFFFFF"/>
                </w:rPr>
                <w:t>https://doi.org/10.1163/193724083X00210</w:t>
              </w:r>
            </w:hyperlink>
            <w:r w:rsidRPr="0086127A">
              <w:rPr>
                <w:rFonts w:ascii="Times New Roman" w:hAnsi="Times New Roman" w:cs="Times New Roman"/>
                <w:color w:val="1B8AAE"/>
                <w:sz w:val="20"/>
                <w:szCs w:val="20"/>
                <w:u w:val="single"/>
                <w:shd w:val="clear" w:color="auto" w:fill="FFFFFF"/>
              </w:rPr>
              <w:t>.</w:t>
            </w:r>
          </w:p>
        </w:tc>
      </w:tr>
      <w:tr w:rsidR="002D7080" w:rsidRPr="004D1E6F" w14:paraId="3116C594"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260A7EB" w14:textId="77777777" w:rsidR="002D7080" w:rsidRPr="004D1E6F" w:rsidRDefault="002D7080" w:rsidP="00A774C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BAC8 What is the global alien range of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(add map in Appendix BAC8)</w:t>
            </w:r>
          </w:p>
        </w:tc>
      </w:tr>
      <w:tr w:rsidR="002D7080" w:rsidRPr="004D1E6F" w14:paraId="536E4200" w14:textId="77777777" w:rsidTr="002E2C37">
        <w:trPr>
          <w:cantSplit/>
          <w:trHeight w:val="197"/>
        </w:trPr>
        <w:tc>
          <w:tcPr>
            <w:tcW w:w="6124" w:type="dxa"/>
            <w:gridSpan w:val="3"/>
            <w:tcBorders>
              <w:top w:val="single" w:sz="4" w:space="0" w:color="auto"/>
              <w:left w:val="single" w:sz="4" w:space="0" w:color="auto"/>
              <w:bottom w:val="single" w:sz="4" w:space="0" w:color="auto"/>
              <w:right w:val="single" w:sz="4" w:space="0" w:color="auto"/>
            </w:tcBorders>
            <w:noWrap/>
          </w:tcPr>
          <w:p w14:paraId="51A6851F" w14:textId="77777777" w:rsidR="002D7080" w:rsidRPr="004D1E6F" w:rsidRDefault="002D7080" w:rsidP="00A774C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western North America</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Germany</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France</w:t>
            </w:r>
          </w:p>
        </w:tc>
        <w:tc>
          <w:tcPr>
            <w:tcW w:w="2666" w:type="dxa"/>
            <w:tcBorders>
              <w:top w:val="single" w:sz="4" w:space="0" w:color="auto"/>
              <w:left w:val="single" w:sz="4" w:space="0" w:color="auto"/>
              <w:bottom w:val="single" w:sz="4" w:space="0" w:color="auto"/>
              <w:right w:val="single" w:sz="4" w:space="0" w:color="auto"/>
            </w:tcBorders>
          </w:tcPr>
          <w:p w14:paraId="7C4DE59A" w14:textId="77777777" w:rsidR="002D7080" w:rsidRPr="004D1E6F" w:rsidRDefault="002D7080" w:rsidP="00A774C1">
            <w:pPr>
              <w:spacing w:after="0"/>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7E45662B" w14:textId="77777777" w:rsidTr="002E2C37">
        <w:trPr>
          <w:cantSplit/>
          <w:trHeight w:val="188"/>
        </w:trPr>
        <w:tc>
          <w:tcPr>
            <w:tcW w:w="8790" w:type="dxa"/>
            <w:gridSpan w:val="4"/>
            <w:tcBorders>
              <w:top w:val="single" w:sz="4" w:space="0" w:color="auto"/>
              <w:left w:val="single" w:sz="4" w:space="0" w:color="auto"/>
              <w:bottom w:val="single" w:sz="4" w:space="0" w:color="auto"/>
              <w:right w:val="single" w:sz="4" w:space="0" w:color="auto"/>
            </w:tcBorders>
            <w:noWrap/>
          </w:tcPr>
          <w:p w14:paraId="47E6D9FC" w14:textId="77777777" w:rsidR="002D7080" w:rsidRPr="004D1E6F" w:rsidRDefault="002D7080" w:rsidP="00A774C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themeColor="text1"/>
                <w:sz w:val="20"/>
                <w:szCs w:val="20"/>
                <w:lang w:eastAsia="en-ZA"/>
              </w:rPr>
              <w:t xml:space="preserve">Comments: </w:t>
            </w:r>
            <w:r w:rsidRPr="004D1E6F">
              <w:rPr>
                <w:rFonts w:ascii="Times New Roman" w:eastAsia="Times New Roman" w:hAnsi="Times New Roman" w:cs="Times New Roman"/>
                <w:i/>
                <w:iCs/>
                <w:color w:val="000000" w:themeColor="text1"/>
                <w:sz w:val="20"/>
                <w:szCs w:val="20"/>
                <w:lang w:eastAsia="en-ZA"/>
              </w:rPr>
              <w:t>Faxonius immunis</w:t>
            </w:r>
            <w:r w:rsidRPr="004D1E6F">
              <w:rPr>
                <w:rFonts w:ascii="Times New Roman" w:eastAsia="Times New Roman" w:hAnsi="Times New Roman" w:cs="Times New Roman"/>
                <w:color w:val="000000" w:themeColor="text1"/>
                <w:sz w:val="20"/>
                <w:szCs w:val="20"/>
                <w:lang w:eastAsia="en-ZA"/>
              </w:rPr>
              <w:t xml:space="preserve"> is native to eastern North America but has being introduced and has become established in western North America (Newkirk et al. 2023) and Europe (Holdrich</w:t>
            </w:r>
            <w:r>
              <w:rPr>
                <w:rFonts w:ascii="Times New Roman" w:eastAsia="Times New Roman" w:hAnsi="Times New Roman" w:cs="Times New Roman"/>
                <w:color w:val="000000" w:themeColor="text1"/>
                <w:sz w:val="20"/>
                <w:szCs w:val="20"/>
                <w:lang w:eastAsia="en-ZA"/>
              </w:rPr>
              <w:t xml:space="preserve"> 2009; Chu</w:t>
            </w:r>
            <w:r w:rsidRPr="004D1E6F">
              <w:rPr>
                <w:rFonts w:ascii="Times New Roman" w:eastAsia="Times New Roman" w:hAnsi="Times New Roman" w:cs="Times New Roman"/>
                <w:color w:val="000000" w:themeColor="text1"/>
                <w:sz w:val="20"/>
                <w:szCs w:val="20"/>
                <w:lang w:eastAsia="en-ZA"/>
              </w:rPr>
              <w:t>chol</w:t>
            </w:r>
            <w:r>
              <w:rPr>
                <w:rFonts w:ascii="Times New Roman" w:eastAsia="Times New Roman" w:hAnsi="Times New Roman" w:cs="Times New Roman"/>
                <w:color w:val="000000" w:themeColor="text1"/>
                <w:sz w:val="20"/>
                <w:szCs w:val="20"/>
                <w:lang w:eastAsia="en-ZA"/>
              </w:rPr>
              <w:t>l</w:t>
            </w:r>
            <w:r w:rsidRPr="004D1E6F">
              <w:rPr>
                <w:rFonts w:ascii="Times New Roman" w:eastAsia="Times New Roman" w:hAnsi="Times New Roman" w:cs="Times New Roman"/>
                <w:color w:val="000000" w:themeColor="text1"/>
                <w:sz w:val="20"/>
                <w:szCs w:val="20"/>
                <w:lang w:eastAsia="en-ZA"/>
              </w:rPr>
              <w:t xml:space="preserve"> 2012; Chucholl and Chucholl 2021; </w:t>
            </w:r>
            <w:r w:rsidRPr="004D1E6F">
              <w:rPr>
                <w:rFonts w:ascii="Times New Roman" w:hAnsi="Times New Roman" w:cs="Times New Roman"/>
                <w:color w:val="000000" w:themeColor="text1"/>
                <w:sz w:val="20"/>
                <w:szCs w:val="20"/>
                <w:shd w:val="clear" w:color="auto" w:fill="FFFFFF"/>
              </w:rPr>
              <w:t>Herrmann et al. 2022</w:t>
            </w:r>
            <w:r w:rsidRPr="004D1E6F">
              <w:rPr>
                <w:rFonts w:ascii="Times New Roman" w:eastAsia="Times New Roman" w:hAnsi="Times New Roman" w:cs="Times New Roman"/>
                <w:color w:val="000000" w:themeColor="text1"/>
                <w:sz w:val="20"/>
                <w:szCs w:val="20"/>
                <w:lang w:eastAsia="en-ZA"/>
              </w:rPr>
              <w:t>)</w:t>
            </w:r>
          </w:p>
        </w:tc>
      </w:tr>
      <w:tr w:rsidR="002D7080" w:rsidRPr="004D1E6F" w14:paraId="2DDA44F8" w14:textId="77777777" w:rsidTr="002E2C37">
        <w:trPr>
          <w:cantSplit/>
          <w:trHeight w:val="1457"/>
        </w:trPr>
        <w:tc>
          <w:tcPr>
            <w:tcW w:w="8790" w:type="dxa"/>
            <w:gridSpan w:val="4"/>
            <w:tcBorders>
              <w:top w:val="single" w:sz="4" w:space="0" w:color="auto"/>
              <w:left w:val="single" w:sz="4" w:space="0" w:color="auto"/>
              <w:bottom w:val="single" w:sz="4" w:space="0" w:color="auto"/>
              <w:right w:val="single" w:sz="4" w:space="0" w:color="auto"/>
            </w:tcBorders>
            <w:noWrap/>
          </w:tcPr>
          <w:p w14:paraId="476D86B7" w14:textId="77777777" w:rsidR="002D7080" w:rsidRPr="004D1E6F" w:rsidRDefault="002D7080" w:rsidP="00A774C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4FD60780" w14:textId="77777777" w:rsidR="002D7080" w:rsidRPr="004D1E6F" w:rsidRDefault="002D7080" w:rsidP="00A774C1">
            <w:pPr>
              <w:spacing w:after="160"/>
              <w:ind w:left="518" w:hanging="518"/>
              <w:contextualSpacing/>
              <w:jc w:val="both"/>
              <w:rPr>
                <w:rFonts w:ascii="Times New Roman" w:hAnsi="Times New Roman" w:cs="Times New Roman"/>
                <w:color w:val="000000" w:themeColor="text1"/>
                <w:sz w:val="20"/>
                <w:szCs w:val="20"/>
              </w:rPr>
            </w:pPr>
            <w:r w:rsidRPr="004D1E6F">
              <w:rPr>
                <w:rFonts w:ascii="Times New Roman" w:hAnsi="Times New Roman" w:cs="Times New Roman"/>
                <w:color w:val="000000" w:themeColor="text1"/>
                <w:sz w:val="20"/>
                <w:szCs w:val="20"/>
                <w:shd w:val="clear" w:color="auto" w:fill="FFFFFF"/>
              </w:rPr>
              <w:t>Chucholl</w:t>
            </w:r>
            <w:r>
              <w:rPr>
                <w:rFonts w:ascii="Times New Roman" w:hAnsi="Times New Roman" w:cs="Times New Roman"/>
                <w:color w:val="000000" w:themeColor="text1"/>
                <w:sz w:val="20"/>
                <w:szCs w:val="20"/>
                <w:shd w:val="clear" w:color="auto" w:fill="FFFFFF"/>
              </w:rPr>
              <w:t xml:space="preserve">, </w:t>
            </w:r>
            <w:r w:rsidRPr="004D1E6F">
              <w:rPr>
                <w:rFonts w:ascii="Times New Roman" w:hAnsi="Times New Roman" w:cs="Times New Roman"/>
                <w:color w:val="000000" w:themeColor="text1"/>
                <w:sz w:val="20"/>
                <w:szCs w:val="20"/>
                <w:shd w:val="clear" w:color="auto" w:fill="FFFFFF"/>
              </w:rPr>
              <w:t>C</w:t>
            </w:r>
            <w:r>
              <w:rPr>
                <w:rFonts w:ascii="Times New Roman" w:hAnsi="Times New Roman" w:cs="Times New Roman"/>
                <w:color w:val="000000" w:themeColor="text1"/>
                <w:sz w:val="20"/>
                <w:szCs w:val="20"/>
                <w:shd w:val="clear" w:color="auto" w:fill="FFFFFF"/>
              </w:rPr>
              <w:t xml:space="preserve">., </w:t>
            </w:r>
            <w:r w:rsidRPr="004D1E6F">
              <w:rPr>
                <w:rFonts w:ascii="Times New Roman" w:hAnsi="Times New Roman" w:cs="Times New Roman"/>
                <w:color w:val="000000" w:themeColor="text1"/>
                <w:sz w:val="20"/>
                <w:szCs w:val="20"/>
                <w:shd w:val="clear" w:color="auto" w:fill="FFFFFF"/>
              </w:rPr>
              <w:t>2012</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Understanding invasion success: life-history traits and feeding habits of the alien crayfish </w:t>
            </w:r>
            <w:r w:rsidRPr="004D1E6F">
              <w:rPr>
                <w:rFonts w:ascii="Times New Roman" w:hAnsi="Times New Roman" w:cs="Times New Roman"/>
                <w:i/>
                <w:iCs/>
                <w:sz w:val="20"/>
                <w:szCs w:val="20"/>
              </w:rPr>
              <w:t>Orconectes </w:t>
            </w:r>
            <w:r w:rsidRPr="004D1E6F">
              <w:rPr>
                <w:rStyle w:val="species"/>
                <w:rFonts w:ascii="Times New Roman" w:hAnsi="Times New Roman" w:cs="Times New Roman"/>
                <w:i/>
                <w:iCs/>
                <w:color w:val="000000" w:themeColor="text1"/>
                <w:sz w:val="20"/>
                <w:szCs w:val="20"/>
                <w:shd w:val="clear" w:color="auto" w:fill="FFFFFF"/>
              </w:rPr>
              <w:t>immunis</w:t>
            </w:r>
            <w:r w:rsidRPr="004D1E6F">
              <w:rPr>
                <w:rFonts w:ascii="Times New Roman" w:hAnsi="Times New Roman" w:cs="Times New Roman"/>
                <w:color w:val="000000" w:themeColor="text1"/>
                <w:sz w:val="20"/>
                <w:szCs w:val="20"/>
                <w:shd w:val="clear" w:color="auto" w:fill="FFFFFF"/>
              </w:rPr>
              <w:t> (</w:t>
            </w:r>
            <w:r w:rsidRPr="004D1E6F">
              <w:rPr>
                <w:rStyle w:val="order"/>
                <w:rFonts w:ascii="Times New Roman" w:hAnsi="Times New Roman" w:cs="Times New Roman"/>
                <w:color w:val="000000" w:themeColor="text1"/>
                <w:sz w:val="20"/>
                <w:szCs w:val="20"/>
                <w:shd w:val="clear" w:color="auto" w:fill="FFFFFF"/>
              </w:rPr>
              <w:t>Decapoda</w:t>
            </w:r>
            <w:r w:rsidRPr="004D1E6F">
              <w:rPr>
                <w:rFonts w:ascii="Times New Roman" w:hAnsi="Times New Roman" w:cs="Times New Roman"/>
                <w:color w:val="000000" w:themeColor="text1"/>
                <w:sz w:val="20"/>
                <w:szCs w:val="20"/>
                <w:shd w:val="clear" w:color="auto" w:fill="FFFFFF"/>
              </w:rPr>
              <w:t>, Astacida, </w:t>
            </w:r>
            <w:r w:rsidRPr="004D1E6F">
              <w:rPr>
                <w:rStyle w:val="family"/>
                <w:rFonts w:ascii="Times New Roman" w:hAnsi="Times New Roman" w:cs="Times New Roman"/>
                <w:color w:val="000000" w:themeColor="text1"/>
                <w:sz w:val="20"/>
                <w:szCs w:val="20"/>
                <w:shd w:val="clear" w:color="auto" w:fill="FFFFFF"/>
              </w:rPr>
              <w:t>Cambaridae</w:t>
            </w:r>
            <w:r w:rsidRPr="004D1E6F">
              <w:rPr>
                <w:rFonts w:ascii="Times New Roman" w:hAnsi="Times New Roman" w:cs="Times New Roman"/>
                <w:color w:val="000000" w:themeColor="text1"/>
                <w:sz w:val="20"/>
                <w:szCs w:val="20"/>
                <w:shd w:val="clear" w:color="auto" w:fill="FFFFFF"/>
              </w:rPr>
              <w:t>)</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w:t>
            </w:r>
            <w:r w:rsidRPr="004D1E6F">
              <w:rPr>
                <w:rFonts w:ascii="Times New Roman" w:hAnsi="Times New Roman" w:cs="Times New Roman"/>
                <w:i/>
                <w:iCs/>
                <w:color w:val="000000" w:themeColor="text1"/>
                <w:sz w:val="20"/>
                <w:szCs w:val="20"/>
                <w:shd w:val="clear" w:color="auto" w:fill="FFFFFF"/>
              </w:rPr>
              <w:t>Knowledge and Management of Aquatic Ecosystems</w:t>
            </w:r>
            <w:r w:rsidRPr="00744980">
              <w:rPr>
                <w:rFonts w:ascii="Times New Roman" w:hAnsi="Times New Roman" w:cs="Times New Roman"/>
                <w:color w:val="000000" w:themeColor="text1"/>
                <w:sz w:val="20"/>
                <w:szCs w:val="20"/>
                <w:shd w:val="clear" w:color="auto" w:fill="FFFFFF"/>
              </w:rPr>
              <w:t xml:space="preserve">, </w:t>
            </w:r>
            <w:r w:rsidRPr="004D1E6F">
              <w:rPr>
                <w:rFonts w:ascii="Times New Roman" w:hAnsi="Times New Roman" w:cs="Times New Roman"/>
                <w:color w:val="000000" w:themeColor="text1"/>
                <w:sz w:val="20"/>
                <w:szCs w:val="20"/>
                <w:shd w:val="clear" w:color="auto" w:fill="FFFFFF"/>
              </w:rPr>
              <w:t>404: 04</w:t>
            </w:r>
            <w:r w:rsidRPr="005259F8">
              <w:rPr>
                <w:rFonts w:ascii="Times New Roman" w:hAnsi="Times New Roman" w:cs="Times New Roman"/>
                <w:color w:val="000000" w:themeColor="text1"/>
                <w:sz w:val="20"/>
                <w:szCs w:val="20"/>
                <w:shd w:val="clear" w:color="auto" w:fill="FFFFFF"/>
              </w:rPr>
              <w:t>. </w:t>
            </w:r>
            <w:hyperlink r:id="rId186" w:history="1">
              <w:r w:rsidRPr="0086127A">
                <w:rPr>
                  <w:rStyle w:val="Hyperlink"/>
                  <w:rFonts w:ascii="Times New Roman" w:hAnsi="Times New Roman" w:cs="Times New Roman"/>
                  <w:sz w:val="20"/>
                  <w:szCs w:val="20"/>
                  <w:shd w:val="clear" w:color="auto" w:fill="FFFFFF"/>
                </w:rPr>
                <w:t>https://doi.org/10.1051/kmae/2011082</w:t>
              </w:r>
            </w:hyperlink>
            <w:r w:rsidRPr="0086127A">
              <w:rPr>
                <w:rStyle w:val="Hyperlink"/>
                <w:rFonts w:ascii="Times New Roman" w:hAnsi="Times New Roman" w:cs="Times New Roman"/>
                <w:color w:val="000000" w:themeColor="text1"/>
                <w:sz w:val="20"/>
                <w:szCs w:val="20"/>
                <w:shd w:val="clear" w:color="auto" w:fill="FFFFFF"/>
              </w:rPr>
              <w:t>.</w:t>
            </w:r>
            <w:r>
              <w:rPr>
                <w:rStyle w:val="Hyperlink"/>
                <w:rFonts w:ascii="Times New Roman" w:hAnsi="Times New Roman" w:cs="Times New Roman"/>
                <w:color w:val="000000" w:themeColor="text1"/>
                <w:sz w:val="20"/>
                <w:szCs w:val="20"/>
                <w:shd w:val="clear" w:color="auto" w:fill="FFFFFF"/>
              </w:rPr>
              <w:t xml:space="preserve">  </w:t>
            </w:r>
          </w:p>
          <w:p w14:paraId="60EA9E5A" w14:textId="77777777" w:rsidR="002D7080" w:rsidRPr="004D1E6F" w:rsidRDefault="002D7080" w:rsidP="00A774C1">
            <w:pPr>
              <w:spacing w:after="160"/>
              <w:ind w:left="518" w:hanging="518"/>
              <w:contextualSpacing/>
              <w:jc w:val="both"/>
              <w:rPr>
                <w:rFonts w:ascii="Times New Roman" w:eastAsia="Times New Roman" w:hAnsi="Times New Roman" w:cs="Times New Roman"/>
                <w:iCs/>
                <w:sz w:val="20"/>
                <w:szCs w:val="20"/>
                <w:lang w:eastAsia="en-ZA"/>
              </w:rPr>
            </w:pPr>
            <w:r w:rsidRPr="004D1E6F">
              <w:rPr>
                <w:rFonts w:ascii="Times New Roman" w:hAnsi="Times New Roman" w:cs="Times New Roman"/>
                <w:color w:val="000000" w:themeColor="text1"/>
                <w:sz w:val="20"/>
                <w:szCs w:val="20"/>
                <w:shd w:val="clear" w:color="auto" w:fill="FFFFFF"/>
              </w:rPr>
              <w:t>Chuchol</w:t>
            </w:r>
            <w:r>
              <w:rPr>
                <w:rFonts w:ascii="Times New Roman" w:hAnsi="Times New Roman" w:cs="Times New Roman"/>
                <w:color w:val="000000" w:themeColor="text1"/>
                <w:sz w:val="20"/>
                <w:szCs w:val="20"/>
                <w:shd w:val="clear" w:color="auto" w:fill="FFFFFF"/>
              </w:rPr>
              <w:t xml:space="preserve">l, </w:t>
            </w:r>
            <w:r w:rsidRPr="004D1E6F">
              <w:rPr>
                <w:rFonts w:ascii="Times New Roman" w:hAnsi="Times New Roman" w:cs="Times New Roman"/>
                <w:color w:val="000000" w:themeColor="text1"/>
                <w:sz w:val="20"/>
                <w:szCs w:val="20"/>
                <w:shd w:val="clear" w:color="auto" w:fill="FFFFFF"/>
              </w:rPr>
              <w:t>F</w:t>
            </w:r>
            <w:r>
              <w:rPr>
                <w:rFonts w:ascii="Times New Roman" w:hAnsi="Times New Roman" w:cs="Times New Roman"/>
                <w:color w:val="000000" w:themeColor="text1"/>
                <w:sz w:val="20"/>
                <w:szCs w:val="20"/>
                <w:shd w:val="clear" w:color="auto" w:fill="FFFFFF"/>
              </w:rPr>
              <w:t>. &amp;</w:t>
            </w:r>
            <w:r w:rsidRPr="004D1E6F">
              <w:rPr>
                <w:rFonts w:ascii="Times New Roman" w:hAnsi="Times New Roman" w:cs="Times New Roman"/>
                <w:color w:val="000000" w:themeColor="text1"/>
                <w:sz w:val="20"/>
                <w:szCs w:val="20"/>
                <w:shd w:val="clear" w:color="auto" w:fill="FFFFFF"/>
              </w:rPr>
              <w:t xml:space="preserve"> Chucholl</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C</w:t>
            </w:r>
            <w:r>
              <w:rPr>
                <w:rFonts w:ascii="Times New Roman" w:hAnsi="Times New Roman" w:cs="Times New Roman"/>
                <w:color w:val="000000" w:themeColor="text1"/>
                <w:sz w:val="20"/>
                <w:szCs w:val="20"/>
                <w:shd w:val="clear" w:color="auto" w:fill="FFFFFF"/>
              </w:rPr>
              <w:t xml:space="preserve">., </w:t>
            </w:r>
            <w:r w:rsidRPr="004D1E6F">
              <w:rPr>
                <w:rFonts w:ascii="Times New Roman" w:hAnsi="Times New Roman" w:cs="Times New Roman"/>
                <w:color w:val="000000" w:themeColor="text1"/>
                <w:sz w:val="20"/>
                <w:szCs w:val="20"/>
                <w:shd w:val="clear" w:color="auto" w:fill="FFFFFF"/>
              </w:rPr>
              <w:t>2021</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Differences in the functional response of four invasive and one native crayfish species suggest invader-specific ecological impacts</w:t>
            </w:r>
            <w:r>
              <w:rPr>
                <w:rFonts w:ascii="Times New Roman" w:hAnsi="Times New Roman" w:cs="Times New Roman"/>
                <w:color w:val="000000" w:themeColor="text1"/>
                <w:sz w:val="20"/>
                <w:szCs w:val="20"/>
                <w:shd w:val="clear" w:color="auto" w:fill="FFFFFF"/>
              </w:rPr>
              <w:t xml:space="preserve">’, </w:t>
            </w:r>
            <w:r w:rsidRPr="00B27B53">
              <w:rPr>
                <w:rStyle w:val="source"/>
                <w:rFonts w:ascii="Times New Roman" w:hAnsi="Times New Roman" w:cs="Times New Roman"/>
                <w:i/>
                <w:iCs/>
                <w:color w:val="000000" w:themeColor="text1"/>
                <w:sz w:val="20"/>
                <w:szCs w:val="20"/>
                <w:shd w:val="clear" w:color="auto" w:fill="FFFFFF"/>
              </w:rPr>
              <w:t>Freshwater Biology</w:t>
            </w:r>
            <w:r w:rsidRPr="00B27B53">
              <w:rPr>
                <w:rStyle w:val="source"/>
                <w:rFonts w:ascii="Times New Roman" w:hAnsi="Times New Roman" w:cs="Times New Roman"/>
                <w:color w:val="000000" w:themeColor="text1"/>
                <w:sz w:val="20"/>
                <w:szCs w:val="20"/>
                <w:shd w:val="clear" w:color="auto" w:fill="FFFFFF"/>
              </w:rPr>
              <w:t>,</w:t>
            </w:r>
            <w:r>
              <w:rPr>
                <w:rStyle w:val="volume"/>
                <w:rFonts w:ascii="Times New Roman" w:hAnsi="Times New Roman" w:cs="Times New Roman"/>
                <w:color w:val="000000" w:themeColor="text1"/>
                <w:sz w:val="20"/>
                <w:szCs w:val="20"/>
                <w:shd w:val="clear" w:color="auto" w:fill="FFFFFF"/>
              </w:rPr>
              <w:t xml:space="preserve"> </w:t>
            </w:r>
            <w:r w:rsidRPr="004D1E6F">
              <w:rPr>
                <w:rStyle w:val="volume"/>
                <w:rFonts w:ascii="Times New Roman" w:hAnsi="Times New Roman" w:cs="Times New Roman"/>
                <w:color w:val="000000" w:themeColor="text1"/>
                <w:sz w:val="20"/>
                <w:szCs w:val="20"/>
                <w:shd w:val="clear" w:color="auto" w:fill="FFFFFF"/>
              </w:rPr>
              <w:t>66</w:t>
            </w:r>
            <w:r>
              <w:rPr>
                <w:rStyle w:val="volume"/>
                <w:rFonts w:ascii="Times New Roman" w:hAnsi="Times New Roman" w:cs="Times New Roman"/>
                <w:color w:val="000000" w:themeColor="text1"/>
                <w:sz w:val="20"/>
                <w:szCs w:val="20"/>
                <w:shd w:val="clear" w:color="auto" w:fill="FFFFFF"/>
              </w:rPr>
              <w:t xml:space="preserve">, </w:t>
            </w:r>
            <w:r w:rsidRPr="004D1E6F">
              <w:rPr>
                <w:rFonts w:ascii="Times New Roman" w:hAnsi="Times New Roman" w:cs="Times New Roman"/>
                <w:color w:val="000000" w:themeColor="text1"/>
                <w:sz w:val="20"/>
                <w:szCs w:val="20"/>
                <w:shd w:val="clear" w:color="auto" w:fill="FFFFFF"/>
              </w:rPr>
              <w:t>2051–2063</w:t>
            </w:r>
            <w:r w:rsidRPr="00B27B53">
              <w:rPr>
                <w:rFonts w:ascii="Times New Roman" w:hAnsi="Times New Roman" w:cs="Times New Roman"/>
                <w:color w:val="000000" w:themeColor="text1"/>
                <w:sz w:val="20"/>
                <w:szCs w:val="20"/>
                <w:shd w:val="clear" w:color="auto" w:fill="FFFFFF"/>
              </w:rPr>
              <w:t>. </w:t>
            </w:r>
            <w:hyperlink r:id="rId187" w:history="1">
              <w:r w:rsidRPr="0086127A">
                <w:rPr>
                  <w:rStyle w:val="Hyperlink"/>
                  <w:rFonts w:ascii="Times New Roman" w:hAnsi="Times New Roman" w:cs="Times New Roman"/>
                  <w:sz w:val="20"/>
                  <w:szCs w:val="20"/>
                  <w:shd w:val="clear" w:color="auto" w:fill="FFFFFF"/>
                </w:rPr>
                <w:t>https://doi.org/10.1111/fwb.13813</w:t>
              </w:r>
            </w:hyperlink>
            <w:r>
              <w:rPr>
                <w:rStyle w:val="Hyperlink"/>
                <w:rFonts w:ascii="Times New Roman" w:hAnsi="Times New Roman" w:cs="Times New Roman"/>
                <w:color w:val="000000" w:themeColor="text1"/>
                <w:sz w:val="20"/>
                <w:szCs w:val="20"/>
                <w:shd w:val="clear" w:color="auto" w:fill="FFFFFF"/>
              </w:rPr>
              <w:t xml:space="preserve"> </w:t>
            </w:r>
          </w:p>
          <w:p w14:paraId="23C9CF45" w14:textId="3ABB9B1F" w:rsidR="002D7080" w:rsidRPr="005A4674" w:rsidRDefault="002D7080" w:rsidP="00A774C1">
            <w:pPr>
              <w:spacing w:after="160"/>
              <w:ind w:left="518" w:hanging="518"/>
              <w:contextualSpacing/>
              <w:jc w:val="both"/>
              <w:rPr>
                <w:rFonts w:ascii="Times New Roman" w:hAnsi="Times New Roman" w:cs="Times New Roman"/>
                <w:color w:val="000000" w:themeColor="text1"/>
                <w:sz w:val="20"/>
                <w:szCs w:val="20"/>
              </w:rPr>
            </w:pPr>
            <w:r w:rsidRPr="004D1E6F">
              <w:rPr>
                <w:rFonts w:ascii="Times New Roman" w:hAnsi="Times New Roman" w:cs="Times New Roman"/>
                <w:color w:val="000000" w:themeColor="text1"/>
                <w:sz w:val="20"/>
                <w:szCs w:val="20"/>
                <w:shd w:val="clear" w:color="auto" w:fill="FFFFFF"/>
              </w:rPr>
              <w:t>Herrmann</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A</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Grabow</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K</w:t>
            </w:r>
            <w:r>
              <w:rPr>
                <w:rFonts w:ascii="Times New Roman" w:hAnsi="Times New Roman" w:cs="Times New Roman"/>
                <w:color w:val="000000" w:themeColor="text1"/>
                <w:sz w:val="20"/>
                <w:szCs w:val="20"/>
                <w:shd w:val="clear" w:color="auto" w:fill="FFFFFF"/>
              </w:rPr>
              <w:t xml:space="preserve">. &amp; </w:t>
            </w:r>
            <w:r w:rsidRPr="004D1E6F">
              <w:rPr>
                <w:rFonts w:ascii="Times New Roman" w:hAnsi="Times New Roman" w:cs="Times New Roman"/>
                <w:color w:val="000000" w:themeColor="text1"/>
                <w:sz w:val="20"/>
                <w:szCs w:val="20"/>
                <w:shd w:val="clear" w:color="auto" w:fill="FFFFFF"/>
              </w:rPr>
              <w:t>Martens</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A</w:t>
            </w:r>
            <w:r>
              <w:rPr>
                <w:rFonts w:ascii="Times New Roman" w:hAnsi="Times New Roman" w:cs="Times New Roman"/>
                <w:color w:val="000000" w:themeColor="text1"/>
                <w:sz w:val="20"/>
                <w:szCs w:val="20"/>
                <w:shd w:val="clear" w:color="auto" w:fill="FFFFFF"/>
              </w:rPr>
              <w:t xml:space="preserve">., </w:t>
            </w:r>
            <w:r w:rsidRPr="004D1E6F">
              <w:rPr>
                <w:rFonts w:ascii="Times New Roman" w:hAnsi="Times New Roman" w:cs="Times New Roman"/>
                <w:color w:val="000000" w:themeColor="text1"/>
                <w:sz w:val="20"/>
                <w:szCs w:val="20"/>
                <w:shd w:val="clear" w:color="auto" w:fill="FFFFFF"/>
              </w:rPr>
              <w:t>2022</w:t>
            </w:r>
            <w:r>
              <w:rPr>
                <w:rFonts w:ascii="Times New Roman" w:hAnsi="Times New Roman" w:cs="Times New Roman"/>
                <w:color w:val="000000" w:themeColor="text1"/>
                <w:sz w:val="20"/>
                <w:szCs w:val="20"/>
                <w:shd w:val="clear" w:color="auto" w:fill="FFFFFF"/>
              </w:rPr>
              <w:t>, ‘</w:t>
            </w:r>
            <w:r w:rsidRPr="004D1E6F">
              <w:rPr>
                <w:rFonts w:ascii="Times New Roman" w:hAnsi="Times New Roman" w:cs="Times New Roman"/>
                <w:color w:val="000000" w:themeColor="text1"/>
                <w:sz w:val="20"/>
                <w:szCs w:val="20"/>
                <w:shd w:val="clear" w:color="auto" w:fill="FFFFFF"/>
              </w:rPr>
              <w:t>The invasive </w:t>
            </w:r>
            <w:r w:rsidRPr="004D1E6F">
              <w:rPr>
                <w:rStyle w:val="genus"/>
                <w:rFonts w:ascii="Times New Roman" w:hAnsi="Times New Roman" w:cs="Times New Roman"/>
                <w:i/>
                <w:iCs/>
                <w:color w:val="000000" w:themeColor="text1"/>
                <w:sz w:val="20"/>
                <w:szCs w:val="20"/>
                <w:shd w:val="clear" w:color="auto" w:fill="FFFFFF"/>
              </w:rPr>
              <w:t>Faxonius</w:t>
            </w:r>
            <w:r w:rsidRPr="004D1E6F">
              <w:rPr>
                <w:rStyle w:val="tn"/>
                <w:rFonts w:ascii="Times New Roman" w:hAnsi="Times New Roman" w:cs="Times New Roman"/>
                <w:i/>
                <w:iCs/>
                <w:color w:val="000000" w:themeColor="text1"/>
                <w:sz w:val="20"/>
                <w:szCs w:val="20"/>
                <w:shd w:val="clear" w:color="auto" w:fill="FFFFFF"/>
              </w:rPr>
              <w:t> </w:t>
            </w:r>
            <w:r w:rsidRPr="004D1E6F">
              <w:rPr>
                <w:rStyle w:val="species"/>
                <w:rFonts w:ascii="Times New Roman" w:hAnsi="Times New Roman" w:cs="Times New Roman"/>
                <w:i/>
                <w:iCs/>
                <w:color w:val="000000" w:themeColor="text1"/>
                <w:sz w:val="20"/>
                <w:szCs w:val="20"/>
                <w:shd w:val="clear" w:color="auto" w:fill="FFFFFF"/>
              </w:rPr>
              <w:t>immunis</w:t>
            </w:r>
            <w:r w:rsidRPr="004D1E6F">
              <w:rPr>
                <w:rFonts w:ascii="Times New Roman" w:hAnsi="Times New Roman" w:cs="Times New Roman"/>
                <w:color w:val="000000" w:themeColor="text1"/>
                <w:sz w:val="20"/>
                <w:szCs w:val="20"/>
                <w:shd w:val="clear" w:color="auto" w:fill="FFFFFF"/>
              </w:rPr>
              <w:t> causes the collapse of macroinvertebrate communities in Central European ponds</w:t>
            </w:r>
            <w:r>
              <w:rPr>
                <w:rFonts w:ascii="Times New Roman" w:hAnsi="Times New Roman" w:cs="Times New Roman"/>
                <w:color w:val="000000" w:themeColor="text1"/>
                <w:sz w:val="20"/>
                <w:szCs w:val="20"/>
                <w:shd w:val="clear" w:color="auto" w:fill="FFFFFF"/>
              </w:rPr>
              <w:t>’,</w:t>
            </w:r>
            <w:r w:rsidRPr="002D1D19">
              <w:rPr>
                <w:rFonts w:ascii="Times New Roman" w:hAnsi="Times New Roman" w:cs="Times New Roman"/>
                <w:i/>
                <w:iCs/>
                <w:color w:val="000000" w:themeColor="text1"/>
                <w:sz w:val="20"/>
                <w:szCs w:val="20"/>
                <w:shd w:val="clear" w:color="auto" w:fill="FFFFFF"/>
              </w:rPr>
              <w:t> </w:t>
            </w:r>
            <w:r w:rsidRPr="002D1D19">
              <w:rPr>
                <w:rStyle w:val="source"/>
                <w:rFonts w:ascii="Times New Roman" w:hAnsi="Times New Roman" w:cs="Times New Roman"/>
                <w:i/>
                <w:iCs/>
                <w:color w:val="000000" w:themeColor="text1"/>
                <w:sz w:val="20"/>
                <w:szCs w:val="20"/>
                <w:shd w:val="clear" w:color="auto" w:fill="FFFFFF"/>
              </w:rPr>
              <w:t>Aquatic Ecology</w:t>
            </w:r>
            <w:r w:rsidRPr="002D1D19">
              <w:rPr>
                <w:rStyle w:val="source"/>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w:t>
            </w:r>
            <w:r w:rsidRPr="004D1E6F">
              <w:rPr>
                <w:rStyle w:val="volume"/>
                <w:rFonts w:ascii="Times New Roman" w:hAnsi="Times New Roman" w:cs="Times New Roman"/>
                <w:color w:val="000000" w:themeColor="text1"/>
                <w:sz w:val="20"/>
                <w:szCs w:val="20"/>
                <w:shd w:val="clear" w:color="auto" w:fill="FFFFFF"/>
              </w:rPr>
              <w:t>56</w:t>
            </w:r>
            <w:r>
              <w:rPr>
                <w:rStyle w:val="volume"/>
                <w:rFonts w:ascii="Times New Roman" w:hAnsi="Times New Roman" w:cs="Times New Roman"/>
                <w:color w:val="000000" w:themeColor="text1"/>
                <w:sz w:val="20"/>
                <w:szCs w:val="20"/>
                <w:shd w:val="clear" w:color="auto" w:fill="FFFFFF"/>
              </w:rPr>
              <w:t xml:space="preserve">, </w:t>
            </w:r>
            <w:r w:rsidRPr="004D1E6F">
              <w:rPr>
                <w:rFonts w:ascii="Times New Roman" w:hAnsi="Times New Roman" w:cs="Times New Roman"/>
                <w:color w:val="000000" w:themeColor="text1"/>
                <w:sz w:val="20"/>
                <w:szCs w:val="20"/>
                <w:shd w:val="clear" w:color="auto" w:fill="FFFFFF"/>
              </w:rPr>
              <w:t>741–750. </w:t>
            </w:r>
            <w:hyperlink r:id="rId188" w:history="1">
              <w:r w:rsidR="001656F7" w:rsidRPr="008A0BC6">
                <w:rPr>
                  <w:rStyle w:val="Hyperlink"/>
                  <w:rFonts w:ascii="Times New Roman" w:hAnsi="Times New Roman" w:cs="Times New Roman"/>
                  <w:sz w:val="20"/>
                  <w:szCs w:val="20"/>
                </w:rPr>
                <w:t>https://doi.org/10.1007/s10452-021-09935-5</w:t>
              </w:r>
            </w:hyperlink>
            <w:r w:rsidR="001656F7">
              <w:rPr>
                <w:rFonts w:ascii="Times New Roman" w:hAnsi="Times New Roman" w:cs="Times New Roman"/>
                <w:sz w:val="20"/>
                <w:szCs w:val="20"/>
              </w:rPr>
              <w:t xml:space="preserve">. </w:t>
            </w:r>
            <w:r>
              <w:rPr>
                <w:rStyle w:val="Hyperlink"/>
                <w:rFonts w:ascii="Times New Roman" w:hAnsi="Times New Roman" w:cs="Times New Roman"/>
                <w:color w:val="000000" w:themeColor="text1"/>
                <w:sz w:val="20"/>
                <w:szCs w:val="20"/>
                <w:shd w:val="clear" w:color="auto" w:fill="FFFFFF"/>
              </w:rPr>
              <w:t xml:space="preserve">    </w:t>
            </w:r>
          </w:p>
          <w:p w14:paraId="1021451D" w14:textId="77777777" w:rsidR="002D7080" w:rsidRPr="004D1E6F" w:rsidRDefault="002D7080" w:rsidP="00A774C1">
            <w:pPr>
              <w:spacing w:after="0"/>
              <w:ind w:left="720" w:hanging="720"/>
              <w:jc w:val="both"/>
              <w:rPr>
                <w:rFonts w:ascii="Times New Roman" w:eastAsia="Calibri" w:hAnsi="Times New Roman" w:cs="Times New Roman"/>
                <w:bCs/>
                <w:color w:val="000000" w:themeColor="text1"/>
                <w:sz w:val="20"/>
                <w:szCs w:val="20"/>
              </w:rPr>
            </w:pPr>
            <w:r w:rsidRPr="004D1E6F">
              <w:rPr>
                <w:rFonts w:ascii="Times New Roman" w:eastAsia="Calibri" w:hAnsi="Times New Roman" w:cs="Times New Roman"/>
                <w:bCs/>
                <w:color w:val="000000" w:themeColor="text1"/>
                <w:sz w:val="20"/>
                <w:szCs w:val="20"/>
              </w:rPr>
              <w:t>Holdich, D.M., Reynolds, J.D., &amp; Sibley, P.J., 2009, ‘A review of the ever increasing threat to European crayfish from non-indigenous crayfish species’,</w:t>
            </w:r>
            <w:r w:rsidRPr="004D1E6F">
              <w:rPr>
                <w:rFonts w:ascii="Times New Roman" w:eastAsia="Calibri" w:hAnsi="Times New Roman" w:cs="Times New Roman"/>
                <w:color w:val="000000" w:themeColor="text1"/>
                <w:sz w:val="20"/>
                <w:szCs w:val="20"/>
              </w:rPr>
              <w:t xml:space="preserve"> </w:t>
            </w:r>
            <w:r w:rsidRPr="004D1E6F">
              <w:rPr>
                <w:rFonts w:ascii="Times New Roman" w:eastAsia="Calibri" w:hAnsi="Times New Roman" w:cs="Times New Roman"/>
                <w:bCs/>
                <w:i/>
                <w:color w:val="000000" w:themeColor="text1"/>
                <w:sz w:val="20"/>
                <w:szCs w:val="20"/>
              </w:rPr>
              <w:t>Knowledge and Management of Aquatic Ecosystems</w:t>
            </w:r>
            <w:r w:rsidRPr="004D1E6F">
              <w:rPr>
                <w:rFonts w:ascii="Times New Roman" w:eastAsia="Calibri" w:hAnsi="Times New Roman" w:cs="Times New Roman"/>
                <w:bCs/>
                <w:color w:val="000000" w:themeColor="text1"/>
                <w:sz w:val="20"/>
                <w:szCs w:val="20"/>
              </w:rPr>
              <w:t xml:space="preserve"> 11, 394–395</w:t>
            </w:r>
            <w:r w:rsidRPr="004D1E6F">
              <w:rPr>
                <w:rFonts w:ascii="Times New Roman" w:hAnsi="Times New Roman" w:cs="Times New Roman"/>
                <w:color w:val="000000" w:themeColor="text1"/>
                <w:sz w:val="20"/>
                <w:szCs w:val="20"/>
              </w:rPr>
              <w:t xml:space="preserve">. </w:t>
            </w:r>
            <w:hyperlink r:id="rId189" w:history="1">
              <w:r w:rsidRPr="0086127A">
                <w:rPr>
                  <w:rStyle w:val="Hyperlink"/>
                  <w:rFonts w:ascii="Times New Roman" w:hAnsi="Times New Roman" w:cs="Times New Roman"/>
                  <w:sz w:val="20"/>
                  <w:szCs w:val="20"/>
                </w:rPr>
                <w:t>https://doi.org/10.1051/kmae/2009025</w:t>
              </w:r>
            </w:hyperlink>
            <w:r w:rsidRPr="0086127A">
              <w:rPr>
                <w:rFonts w:ascii="Times New Roman" w:hAnsi="Times New Roman" w:cs="Times New Roman"/>
                <w:color w:val="000000" w:themeColor="text1"/>
                <w:sz w:val="20"/>
                <w:szCs w:val="20"/>
              </w:rPr>
              <w:t xml:space="preserve"> .</w:t>
            </w:r>
          </w:p>
          <w:p w14:paraId="6765221B" w14:textId="317AE2FB" w:rsidR="002D7080" w:rsidRPr="004D1E6F" w:rsidRDefault="002D7080" w:rsidP="00A774C1">
            <w:pPr>
              <w:spacing w:after="160"/>
              <w:ind w:left="518" w:hanging="518"/>
              <w:contextualSpacing/>
              <w:jc w:val="both"/>
              <w:rPr>
                <w:rFonts w:ascii="Times New Roman" w:eastAsia="Times New Roman" w:hAnsi="Times New Roman" w:cs="Times New Roman"/>
                <w:iCs/>
                <w:sz w:val="20"/>
                <w:szCs w:val="20"/>
                <w:lang w:eastAsia="en-ZA"/>
              </w:rPr>
            </w:pPr>
            <w:r w:rsidRPr="004D1E6F">
              <w:rPr>
                <w:rFonts w:ascii="Times New Roman" w:hAnsi="Times New Roman" w:cs="Times New Roman"/>
                <w:color w:val="000000" w:themeColor="text1"/>
                <w:sz w:val="20"/>
                <w:szCs w:val="20"/>
                <w:shd w:val="clear" w:color="auto" w:fill="FFFFFF"/>
              </w:rPr>
              <w:t>Newkirk</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B</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M</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Larson</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E</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R</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Walker</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A</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D</w:t>
            </w:r>
            <w:r>
              <w:rPr>
                <w:rFonts w:ascii="Times New Roman" w:hAnsi="Times New Roman" w:cs="Times New Roman"/>
                <w:color w:val="000000" w:themeColor="text1"/>
                <w:sz w:val="20"/>
                <w:szCs w:val="20"/>
                <w:shd w:val="clear" w:color="auto" w:fill="FFFFFF"/>
              </w:rPr>
              <w:t>. &amp;</w:t>
            </w:r>
            <w:r w:rsidRPr="004D1E6F">
              <w:rPr>
                <w:rFonts w:ascii="Times New Roman" w:hAnsi="Times New Roman" w:cs="Times New Roman"/>
                <w:color w:val="000000" w:themeColor="text1"/>
                <w:sz w:val="20"/>
                <w:szCs w:val="20"/>
                <w:shd w:val="clear" w:color="auto" w:fill="FFFFFF"/>
              </w:rPr>
              <w:t xml:space="preserve"> Walters</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A</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D</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2023</w:t>
            </w:r>
            <w:r>
              <w:rPr>
                <w:rFonts w:ascii="Times New Roman" w:hAnsi="Times New Roman" w:cs="Times New Roman"/>
                <w:color w:val="000000" w:themeColor="text1"/>
                <w:sz w:val="20"/>
                <w:szCs w:val="20"/>
                <w:shd w:val="clear" w:color="auto" w:fill="FFFFFF"/>
              </w:rPr>
              <w:t>, ‘</w:t>
            </w:r>
            <w:r w:rsidRPr="004D1E6F">
              <w:rPr>
                <w:rFonts w:ascii="Times New Roman" w:hAnsi="Times New Roman" w:cs="Times New Roman"/>
                <w:color w:val="000000" w:themeColor="text1"/>
                <w:sz w:val="20"/>
                <w:szCs w:val="20"/>
                <w:shd w:val="clear" w:color="auto" w:fill="FFFFFF"/>
              </w:rPr>
              <w:t>Winners and losers over a ½ century of change in crayfish assemblages of Wyoming, USA</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w:t>
            </w:r>
            <w:r w:rsidRPr="00902A84">
              <w:rPr>
                <w:rStyle w:val="source"/>
                <w:rFonts w:ascii="Times New Roman" w:hAnsi="Times New Roman" w:cs="Times New Roman"/>
                <w:i/>
                <w:iCs/>
                <w:color w:val="000000" w:themeColor="text1"/>
                <w:sz w:val="20"/>
                <w:szCs w:val="20"/>
                <w:shd w:val="clear" w:color="auto" w:fill="FFFFFF"/>
              </w:rPr>
              <w:t>Freshwater Science</w:t>
            </w:r>
            <w:r>
              <w:rPr>
                <w:rStyle w:val="source"/>
                <w:rFonts w:ascii="Times New Roman" w:hAnsi="Times New Roman" w:cs="Times New Roman"/>
                <w:i/>
                <w:iCs/>
                <w:color w:val="000000" w:themeColor="text1"/>
                <w:sz w:val="20"/>
                <w:szCs w:val="20"/>
                <w:shd w:val="clear" w:color="auto" w:fill="FFFFFF"/>
              </w:rPr>
              <w:t>,</w:t>
            </w:r>
            <w:r>
              <w:rPr>
                <w:rStyle w:val="source"/>
                <w:i/>
                <w:iCs/>
              </w:rPr>
              <w:t xml:space="preserve"> </w:t>
            </w:r>
            <w:r w:rsidRPr="004D1E6F">
              <w:rPr>
                <w:rStyle w:val="volume"/>
                <w:rFonts w:ascii="Times New Roman" w:hAnsi="Times New Roman" w:cs="Times New Roman"/>
                <w:color w:val="000000" w:themeColor="text1"/>
                <w:sz w:val="20"/>
                <w:szCs w:val="20"/>
                <w:shd w:val="clear" w:color="auto" w:fill="FFFFFF"/>
              </w:rPr>
              <w:t>42</w:t>
            </w:r>
            <w:r>
              <w:rPr>
                <w:rStyle w:val="volume"/>
                <w:rFonts w:ascii="Times New Roman" w:hAnsi="Times New Roman" w:cs="Times New Roman"/>
                <w:color w:val="000000" w:themeColor="text1"/>
                <w:sz w:val="20"/>
                <w:szCs w:val="20"/>
                <w:shd w:val="clear" w:color="auto" w:fill="FFFFFF"/>
              </w:rPr>
              <w:t xml:space="preserve">, </w:t>
            </w:r>
            <w:r w:rsidRPr="004D1E6F">
              <w:rPr>
                <w:rFonts w:ascii="Times New Roman" w:hAnsi="Times New Roman" w:cs="Times New Roman"/>
                <w:color w:val="000000" w:themeColor="text1"/>
                <w:sz w:val="20"/>
                <w:szCs w:val="20"/>
                <w:shd w:val="clear" w:color="auto" w:fill="FFFFFF"/>
              </w:rPr>
              <w:t>146–160. </w:t>
            </w:r>
            <w:r w:rsidRPr="0086127A">
              <w:rPr>
                <w:rStyle w:val="Hyperlink"/>
                <w:rFonts w:ascii="Times New Roman" w:hAnsi="Times New Roman" w:cs="Times New Roman"/>
                <w:color w:val="0000FF"/>
                <w:sz w:val="20"/>
                <w:szCs w:val="20"/>
                <w:shd w:val="clear" w:color="auto" w:fill="FFFFFF"/>
              </w:rPr>
              <w:t xml:space="preserve"> </w:t>
            </w:r>
          </w:p>
        </w:tc>
      </w:tr>
      <w:tr w:rsidR="002D7080" w:rsidRPr="004D1E6F" w14:paraId="478F7272"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994ABCC" w14:textId="77777777" w:rsidR="002D7080" w:rsidRPr="004D1E6F" w:rsidRDefault="002D7080" w:rsidP="00A774C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BAC9 Geographic scope =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 xml:space="preserve"> under consideration</w:t>
            </w:r>
          </w:p>
        </w:tc>
      </w:tr>
      <w:tr w:rsidR="002D7080" w:rsidRPr="004D1E6F" w14:paraId="0D79CA6C" w14:textId="77777777" w:rsidTr="002E2C37">
        <w:trPr>
          <w:cantSplit/>
          <w:trHeight w:val="179"/>
        </w:trPr>
        <w:tc>
          <w:tcPr>
            <w:tcW w:w="8790" w:type="dxa"/>
            <w:gridSpan w:val="4"/>
            <w:tcBorders>
              <w:top w:val="single" w:sz="4" w:space="0" w:color="auto"/>
              <w:left w:val="single" w:sz="4" w:space="0" w:color="auto"/>
              <w:bottom w:val="single" w:sz="4" w:space="0" w:color="auto"/>
              <w:right w:val="single" w:sz="4" w:space="0" w:color="auto"/>
            </w:tcBorders>
            <w:noWrap/>
          </w:tcPr>
          <w:p w14:paraId="6526683D" w14:textId="77777777" w:rsidR="002D7080" w:rsidRPr="004D1E6F" w:rsidRDefault="002D7080" w:rsidP="00A774C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Area</w:t>
            </w:r>
            <w:r w:rsidRPr="004D1E6F">
              <w:rPr>
                <w:rFonts w:ascii="Times New Roman" w:eastAsia="Times New Roman" w:hAnsi="Times New Roman" w:cs="Times New Roman"/>
                <w:color w:val="000000"/>
                <w:sz w:val="20"/>
                <w:szCs w:val="20"/>
                <w:lang w:eastAsia="en-ZA"/>
              </w:rPr>
              <w:t xml:space="preserve"> of assessment: South Africa</w:t>
            </w:r>
          </w:p>
        </w:tc>
      </w:tr>
      <w:tr w:rsidR="002D7080" w:rsidRPr="004D1E6F" w14:paraId="75D96A6C" w14:textId="77777777" w:rsidTr="002E2C37">
        <w:trPr>
          <w:cantSplit/>
          <w:trHeight w:val="206"/>
        </w:trPr>
        <w:tc>
          <w:tcPr>
            <w:tcW w:w="8790" w:type="dxa"/>
            <w:gridSpan w:val="4"/>
            <w:tcBorders>
              <w:top w:val="single" w:sz="4" w:space="0" w:color="auto"/>
              <w:left w:val="single" w:sz="4" w:space="0" w:color="auto"/>
              <w:bottom w:val="single" w:sz="4" w:space="0" w:color="auto"/>
              <w:right w:val="single" w:sz="4" w:space="0" w:color="auto"/>
            </w:tcBorders>
            <w:noWrap/>
          </w:tcPr>
          <w:p w14:paraId="1457580B" w14:textId="77777777" w:rsidR="002D7080" w:rsidRPr="004D1E6F" w:rsidRDefault="002D7080" w:rsidP="00A774C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sidRPr="004D1E6F">
              <w:t xml:space="preserve"> </w:t>
            </w:r>
            <w:r w:rsidRPr="004D1E6F">
              <w:rPr>
                <w:rFonts w:ascii="Times New Roman" w:eastAsia="Times New Roman" w:hAnsi="Times New Roman" w:cs="Times New Roman"/>
                <w:color w:val="000000"/>
                <w:sz w:val="20"/>
                <w:szCs w:val="20"/>
                <w:lang w:eastAsia="en-ZA"/>
              </w:rPr>
              <w:t>The geographic scope of this assessment is limited to South Africa.</w:t>
            </w:r>
          </w:p>
        </w:tc>
      </w:tr>
      <w:tr w:rsidR="002D7080" w:rsidRPr="004D1E6F" w14:paraId="667A978B"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0D49591" w14:textId="77777777" w:rsidR="002D7080" w:rsidRPr="004D1E6F" w:rsidRDefault="002D7080" w:rsidP="00A774C1">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BAC10 Is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present in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w:t>
            </w:r>
          </w:p>
        </w:tc>
      </w:tr>
      <w:tr w:rsidR="002D7080" w:rsidRPr="004D1E6F" w14:paraId="58F09612" w14:textId="77777777" w:rsidTr="002E2C37">
        <w:trPr>
          <w:cantSplit/>
          <w:trHeight w:val="269"/>
        </w:trPr>
        <w:tc>
          <w:tcPr>
            <w:tcW w:w="6124" w:type="dxa"/>
            <w:gridSpan w:val="3"/>
            <w:tcBorders>
              <w:top w:val="single" w:sz="4" w:space="0" w:color="auto"/>
              <w:left w:val="single" w:sz="4" w:space="0" w:color="auto"/>
              <w:bottom w:val="single" w:sz="4" w:space="0" w:color="auto"/>
              <w:right w:val="single" w:sz="4" w:space="0" w:color="auto"/>
            </w:tcBorders>
            <w:noWrap/>
          </w:tcPr>
          <w:p w14:paraId="08148E5C" w14:textId="77777777" w:rsidR="002D7080" w:rsidRPr="004D1E6F" w:rsidRDefault="002D7080" w:rsidP="00A774C1">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Response: No</w:t>
            </w:r>
          </w:p>
        </w:tc>
        <w:tc>
          <w:tcPr>
            <w:tcW w:w="2666" w:type="dxa"/>
            <w:tcBorders>
              <w:top w:val="single" w:sz="4" w:space="0" w:color="auto"/>
              <w:left w:val="single" w:sz="4" w:space="0" w:color="auto"/>
              <w:bottom w:val="single" w:sz="4" w:space="0" w:color="auto"/>
              <w:right w:val="single" w:sz="4" w:space="0" w:color="auto"/>
            </w:tcBorders>
          </w:tcPr>
          <w:p w14:paraId="17A61141" w14:textId="77777777" w:rsidR="002D7080" w:rsidRPr="004D1E6F" w:rsidRDefault="002D7080" w:rsidP="00A774C1">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L</w:t>
            </w:r>
            <w:r w:rsidRPr="004D1E6F">
              <w:rPr>
                <w:rFonts w:ascii="Times New Roman" w:eastAsia="Times New Roman" w:hAnsi="Times New Roman" w:cs="Times New Roman"/>
                <w:color w:val="000000"/>
                <w:sz w:val="20"/>
                <w:szCs w:val="20"/>
                <w:lang w:eastAsia="en-ZA"/>
              </w:rPr>
              <w:t>ow</w:t>
            </w:r>
          </w:p>
        </w:tc>
      </w:tr>
      <w:tr w:rsidR="002D7080" w:rsidRPr="004D1E6F" w14:paraId="1E3265A2"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20BA17DE" w14:textId="77777777" w:rsidR="002D7080" w:rsidRPr="004D1E6F" w:rsidRDefault="002D7080" w:rsidP="00A774C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Comments: There are no records of </w:t>
            </w:r>
            <w:r w:rsidRPr="004D1E6F">
              <w:rPr>
                <w:rFonts w:ascii="Times New Roman" w:eastAsia="Times New Roman" w:hAnsi="Times New Roman" w:cs="Times New Roman"/>
                <w:i/>
                <w:iCs/>
                <w:color w:val="000000"/>
                <w:sz w:val="20"/>
                <w:szCs w:val="20"/>
                <w:lang w:eastAsia="en-ZA"/>
              </w:rPr>
              <w:t>Faxonius immunis</w:t>
            </w:r>
            <w:r w:rsidRPr="004D1E6F">
              <w:rPr>
                <w:rFonts w:ascii="Times New Roman" w:eastAsia="Times New Roman" w:hAnsi="Times New Roman" w:cs="Times New Roman"/>
                <w:color w:val="000000"/>
                <w:sz w:val="20"/>
                <w:szCs w:val="20"/>
                <w:lang w:eastAsia="en-ZA"/>
              </w:rPr>
              <w:t xml:space="preserve"> being in the country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Nunes et al. 2017)", "plainTextFormattedCitation" : "(Lodge et al. 2012, Nunes et al. 2017)", "previouslyFormattedCitation" : "(Lodge et al. 2012, Nunes et al. 2017)"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(Nunes et al. 2017)</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Faxonius immunis</w:t>
            </w:r>
            <w:r w:rsidRPr="004D1E6F">
              <w:rPr>
                <w:rFonts w:ascii="Times New Roman" w:eastAsia="Times New Roman" w:hAnsi="Times New Roman" w:cs="Times New Roman"/>
                <w:color w:val="000000"/>
                <w:sz w:val="20"/>
                <w:szCs w:val="20"/>
                <w:lang w:eastAsia="en-ZA"/>
              </w:rPr>
              <w:t xml:space="preserve"> might be present through the pet trade, although this needs to be assessed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(Chucholl 2012; Faulkes 2015)</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tc>
      </w:tr>
      <w:tr w:rsidR="002D7080" w:rsidRPr="004D1E6F" w14:paraId="4168F7AC"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0E71C45B" w14:textId="77777777" w:rsidR="002D7080" w:rsidRPr="00C67C06" w:rsidRDefault="002D7080" w:rsidP="00A774C1">
            <w:pPr>
              <w:spacing w:after="0"/>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lastRenderedPageBreak/>
              <w:t>References:</w:t>
            </w:r>
          </w:p>
          <w:p w14:paraId="3D869BFE" w14:textId="77777777" w:rsidR="002D7080" w:rsidRPr="00C67C06" w:rsidRDefault="002D7080" w:rsidP="00A774C1">
            <w:pPr>
              <w:spacing w:after="0"/>
              <w:ind w:left="720" w:hanging="720"/>
              <w:jc w:val="both"/>
              <w:rPr>
                <w:rFonts w:ascii="Times New Roman" w:eastAsia="Times New Roman" w:hAnsi="Times New Roman" w:cs="Times New Roman"/>
                <w:sz w:val="20"/>
                <w:szCs w:val="20"/>
                <w:lang w:eastAsia="en-ZA"/>
              </w:rPr>
            </w:pPr>
            <w:r w:rsidRPr="00C67C06">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C67C06">
              <w:rPr>
                <w:rFonts w:ascii="Times New Roman" w:eastAsia="Times New Roman" w:hAnsi="Times New Roman" w:cs="Times New Roman"/>
                <w:i/>
                <w:iCs/>
                <w:sz w:val="20"/>
                <w:szCs w:val="20"/>
                <w:lang w:eastAsia="en-ZA"/>
              </w:rPr>
              <w:t>Biological Invasions</w:t>
            </w:r>
            <w:r w:rsidRPr="00C67C06">
              <w:rPr>
                <w:rFonts w:ascii="Times New Roman" w:eastAsia="Times New Roman" w:hAnsi="Times New Roman" w:cs="Times New Roman"/>
                <w:sz w:val="20"/>
                <w:szCs w:val="20"/>
                <w:lang w:eastAsia="en-ZA"/>
              </w:rPr>
              <w:t xml:space="preserve"> </w:t>
            </w:r>
            <w:r w:rsidRPr="00C67C06">
              <w:rPr>
                <w:rFonts w:ascii="Times New Roman" w:eastAsia="Times New Roman" w:hAnsi="Times New Roman" w:cs="Times New Roman"/>
                <w:iCs/>
                <w:sz w:val="20"/>
                <w:szCs w:val="20"/>
                <w:lang w:eastAsia="en-ZA"/>
              </w:rPr>
              <w:t>15</w:t>
            </w:r>
            <w:r w:rsidRPr="00C67C06">
              <w:rPr>
                <w:rFonts w:ascii="Times New Roman" w:eastAsia="Times New Roman" w:hAnsi="Times New Roman" w:cs="Times New Roman"/>
                <w:sz w:val="20"/>
                <w:szCs w:val="20"/>
                <w:lang w:eastAsia="en-ZA"/>
              </w:rPr>
              <w:t xml:space="preserve">, 125–141. </w:t>
            </w:r>
            <w:hyperlink w:history="1">
              <w:r w:rsidRPr="00C67C06">
                <w:rPr>
                  <w:rStyle w:val="Hyperlink"/>
                  <w:rFonts w:ascii="Times New Roman" w:eastAsia="Times New Roman" w:hAnsi="Times New Roman" w:cs="Times New Roman"/>
                  <w:sz w:val="20"/>
                  <w:szCs w:val="20"/>
                  <w:lang w:eastAsia="en-ZA"/>
                </w:rPr>
                <w:t>https://doi.org/10.1007/s10530-012-0273-2</w:t>
              </w:r>
            </w:hyperlink>
            <w:r w:rsidRPr="00C67C06">
              <w:rPr>
                <w:rFonts w:ascii="Times New Roman" w:eastAsia="Times New Roman" w:hAnsi="Times New Roman" w:cs="Times New Roman"/>
                <w:sz w:val="20"/>
                <w:szCs w:val="20"/>
                <w:lang w:eastAsia="en-ZA"/>
              </w:rPr>
              <w:t>.</w:t>
            </w:r>
          </w:p>
          <w:p w14:paraId="701B3D4E" w14:textId="253955D1" w:rsidR="002D7080" w:rsidRPr="00C67C06" w:rsidRDefault="002D7080" w:rsidP="00C67C06">
            <w:pPr>
              <w:spacing w:after="0"/>
              <w:ind w:left="720" w:hanging="720"/>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Faulkes, Z., 2015, ‘The global trade in crayfish as pets’, </w:t>
            </w:r>
            <w:r w:rsidRPr="00C67C06">
              <w:rPr>
                <w:rFonts w:ascii="Times New Roman" w:eastAsia="Times New Roman" w:hAnsi="Times New Roman" w:cs="Times New Roman"/>
                <w:i/>
                <w:iCs/>
                <w:color w:val="000000"/>
                <w:sz w:val="20"/>
                <w:szCs w:val="20"/>
                <w:lang w:eastAsia="en-ZA"/>
              </w:rPr>
              <w:t>Crustacean Research</w:t>
            </w:r>
            <w:r w:rsidRPr="00C67C06">
              <w:rPr>
                <w:rFonts w:ascii="Times New Roman" w:eastAsia="Times New Roman" w:hAnsi="Times New Roman" w:cs="Times New Roman"/>
                <w:color w:val="000000"/>
                <w:sz w:val="20"/>
                <w:szCs w:val="20"/>
                <w:lang w:eastAsia="en-ZA"/>
              </w:rPr>
              <w:t xml:space="preserve"> </w:t>
            </w:r>
            <w:r w:rsidRPr="00C67C06">
              <w:rPr>
                <w:rFonts w:ascii="Times New Roman" w:eastAsia="Times New Roman" w:hAnsi="Times New Roman" w:cs="Times New Roman"/>
                <w:iCs/>
                <w:color w:val="000000"/>
                <w:sz w:val="20"/>
                <w:szCs w:val="20"/>
                <w:lang w:eastAsia="en-ZA"/>
              </w:rPr>
              <w:t>44</w:t>
            </w:r>
            <w:r w:rsidRPr="00C67C06">
              <w:rPr>
                <w:rFonts w:ascii="Times New Roman" w:eastAsia="Times New Roman" w:hAnsi="Times New Roman" w:cs="Times New Roman"/>
                <w:color w:val="000000"/>
                <w:sz w:val="20"/>
                <w:szCs w:val="20"/>
                <w:lang w:eastAsia="en-ZA"/>
              </w:rPr>
              <w:t>, 75–92.</w:t>
            </w:r>
            <w:r w:rsidR="00C67C06" w:rsidRPr="00C67C06">
              <w:rPr>
                <w:rFonts w:ascii="Times New Roman" w:eastAsia="Times New Roman" w:hAnsi="Times New Roman" w:cs="Times New Roman"/>
                <w:sz w:val="20"/>
                <w:szCs w:val="20"/>
                <w:lang w:eastAsia="en-ZA"/>
              </w:rPr>
              <w:t xml:space="preserve"> </w:t>
            </w:r>
            <w:r w:rsidR="00C67C06" w:rsidRPr="00C67C06">
              <w:rPr>
                <w:rFonts w:ascii="Times New Roman" w:eastAsia="Times New Roman" w:hAnsi="Times New Roman" w:cs="Times New Roman"/>
                <w:color w:val="000000"/>
                <w:sz w:val="20"/>
                <w:szCs w:val="20"/>
                <w:lang w:eastAsia="en-ZA"/>
              </w:rPr>
              <w:t>https://doi.org/10.18353/crustacea.44.0_75</w:t>
            </w:r>
          </w:p>
          <w:p w14:paraId="600BD7F7" w14:textId="77777777" w:rsidR="002D7080" w:rsidRPr="00C67C06" w:rsidRDefault="002D7080" w:rsidP="00A774C1">
            <w:pPr>
              <w:spacing w:after="0"/>
              <w:ind w:left="522" w:hanging="522"/>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C67C06">
              <w:rPr>
                <w:rFonts w:ascii="Times New Roman" w:eastAsia="Times New Roman" w:hAnsi="Times New Roman" w:cs="Times New Roman"/>
                <w:i/>
                <w:color w:val="000000"/>
                <w:sz w:val="20"/>
                <w:szCs w:val="20"/>
                <w:lang w:eastAsia="en-ZA"/>
              </w:rPr>
              <w:t>African Journal of Aquatic Science</w:t>
            </w:r>
            <w:r w:rsidRPr="00C67C06">
              <w:rPr>
                <w:rFonts w:ascii="Times New Roman" w:eastAsia="Times New Roman" w:hAnsi="Times New Roman" w:cs="Times New Roman"/>
                <w:color w:val="000000"/>
                <w:sz w:val="20"/>
                <w:szCs w:val="20"/>
                <w:lang w:eastAsia="en-ZA"/>
              </w:rPr>
              <w:t xml:space="preserve"> 42, 309–323. </w:t>
            </w:r>
            <w:hyperlink r:id="rId190" w:history="1">
              <w:r w:rsidRPr="00C67C06">
                <w:rPr>
                  <w:rStyle w:val="Hyperlink"/>
                  <w:rFonts w:ascii="Times New Roman" w:eastAsia="Times New Roman" w:hAnsi="Times New Roman" w:cs="Times New Roman"/>
                  <w:sz w:val="20"/>
                  <w:szCs w:val="20"/>
                  <w:lang w:eastAsia="en-ZA"/>
                </w:rPr>
                <w:t>https://doi.org/10.2989/16085914.2017.1405788</w:t>
              </w:r>
            </w:hyperlink>
            <w:r w:rsidRPr="00C67C06">
              <w:rPr>
                <w:rFonts w:ascii="Times New Roman" w:eastAsia="Times New Roman" w:hAnsi="Times New Roman" w:cs="Times New Roman"/>
                <w:color w:val="000000"/>
                <w:sz w:val="20"/>
                <w:szCs w:val="20"/>
                <w:lang w:eastAsia="en-ZA"/>
              </w:rPr>
              <w:t xml:space="preserve"> </w:t>
            </w:r>
          </w:p>
        </w:tc>
      </w:tr>
      <w:tr w:rsidR="002D7080" w:rsidRPr="004D1E6F" w14:paraId="54648AD1"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2F24C43" w14:textId="77777777" w:rsidR="002D7080" w:rsidRPr="00C67C06" w:rsidRDefault="002D7080" w:rsidP="00A774C1">
            <w:pPr>
              <w:spacing w:after="0"/>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b/>
                <w:color w:val="000000"/>
                <w:sz w:val="20"/>
                <w:szCs w:val="20"/>
                <w:lang w:eastAsia="en-ZA"/>
              </w:rPr>
              <w:t>BAC11 Availability of physical specimen</w:t>
            </w:r>
          </w:p>
        </w:tc>
      </w:tr>
      <w:tr w:rsidR="002D7080" w:rsidRPr="004D1E6F" w14:paraId="10CC932F" w14:textId="77777777" w:rsidTr="002E2C37">
        <w:trPr>
          <w:cantSplit/>
          <w:trHeight w:val="390"/>
        </w:trPr>
        <w:tc>
          <w:tcPr>
            <w:tcW w:w="6124" w:type="dxa"/>
            <w:gridSpan w:val="3"/>
            <w:tcBorders>
              <w:top w:val="single" w:sz="4" w:space="0" w:color="auto"/>
              <w:left w:val="single" w:sz="4" w:space="0" w:color="auto"/>
              <w:bottom w:val="single" w:sz="4" w:space="0" w:color="auto"/>
              <w:right w:val="single" w:sz="4" w:space="0" w:color="auto"/>
            </w:tcBorders>
            <w:noWrap/>
          </w:tcPr>
          <w:p w14:paraId="302E6418" w14:textId="77777777" w:rsidR="002D7080" w:rsidRPr="004D1E6F" w:rsidRDefault="002D7080" w:rsidP="00A774C1">
            <w:pPr>
              <w:spacing w:after="0"/>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No </w:t>
            </w:r>
          </w:p>
        </w:tc>
        <w:tc>
          <w:tcPr>
            <w:tcW w:w="2666" w:type="dxa"/>
            <w:tcBorders>
              <w:top w:val="single" w:sz="4" w:space="0" w:color="auto"/>
              <w:left w:val="single" w:sz="4" w:space="0" w:color="auto"/>
              <w:bottom w:val="single" w:sz="4" w:space="0" w:color="auto"/>
              <w:right w:val="single" w:sz="4" w:space="0" w:color="auto"/>
            </w:tcBorders>
          </w:tcPr>
          <w:p w14:paraId="7EC2C355" w14:textId="77777777" w:rsidR="002D7080" w:rsidRPr="004D1E6F" w:rsidRDefault="002D7080" w:rsidP="00A774C1">
            <w:pPr>
              <w:spacing w:after="0"/>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 in ID:</w:t>
            </w:r>
          </w:p>
        </w:tc>
      </w:tr>
      <w:tr w:rsidR="002D7080" w:rsidRPr="004D1E6F" w14:paraId="49293B8B"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13373CEE" w14:textId="77777777" w:rsidR="002D7080" w:rsidRPr="00C67C06" w:rsidRDefault="002D7080" w:rsidP="00A774C1">
            <w:pPr>
              <w:spacing w:after="0"/>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Herbarium or museum accession number: no physical specimen is lodged as present in South Africa (GBIF 2024) </w:t>
            </w:r>
          </w:p>
        </w:tc>
      </w:tr>
      <w:tr w:rsidR="002D7080" w:rsidRPr="004D1E6F" w14:paraId="449C2CF0" w14:textId="77777777" w:rsidTr="002E2C37">
        <w:trPr>
          <w:cantSplit/>
          <w:trHeight w:val="224"/>
        </w:trPr>
        <w:tc>
          <w:tcPr>
            <w:tcW w:w="8790" w:type="dxa"/>
            <w:gridSpan w:val="4"/>
            <w:tcBorders>
              <w:top w:val="single" w:sz="4" w:space="0" w:color="auto"/>
              <w:left w:val="single" w:sz="4" w:space="0" w:color="auto"/>
              <w:bottom w:val="single" w:sz="4" w:space="0" w:color="auto"/>
              <w:right w:val="single" w:sz="4" w:space="0" w:color="auto"/>
            </w:tcBorders>
            <w:noWrap/>
          </w:tcPr>
          <w:p w14:paraId="4DDE2F78" w14:textId="77777777" w:rsidR="002D7080" w:rsidRPr="00C67C06" w:rsidRDefault="002D7080" w:rsidP="00A774C1">
            <w:pPr>
              <w:spacing w:after="0"/>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References: </w:t>
            </w:r>
          </w:p>
          <w:p w14:paraId="5FCFDE9E" w14:textId="77777777" w:rsidR="002D7080" w:rsidRPr="00C67C06" w:rsidRDefault="002D7080" w:rsidP="00A774C1">
            <w:pPr>
              <w:spacing w:after="0"/>
              <w:ind w:left="604" w:hanging="567"/>
              <w:jc w:val="both"/>
              <w:rPr>
                <w:rFonts w:ascii="Times New Roman" w:eastAsia="Times New Roman" w:hAnsi="Times New Roman" w:cs="Times New Roman"/>
                <w:color w:val="000000"/>
                <w:sz w:val="20"/>
                <w:szCs w:val="20"/>
                <w:lang w:eastAsia="en-ZA"/>
              </w:rPr>
            </w:pPr>
            <w:r w:rsidRPr="00C67C06">
              <w:rPr>
                <w:rStyle w:val="ng-binding"/>
                <w:rFonts w:ascii="Times New Roman" w:hAnsi="Times New Roman" w:cs="Times New Roman"/>
                <w:i/>
                <w:iCs/>
                <w:color w:val="000000" w:themeColor="text1"/>
                <w:sz w:val="20"/>
                <w:szCs w:val="20"/>
                <w:shd w:val="clear" w:color="auto" w:fill="FFFFFF"/>
              </w:rPr>
              <w:t>Faxonius immunis </w:t>
            </w:r>
            <w:r w:rsidRPr="00C67C06">
              <w:rPr>
                <w:rStyle w:val="ng-binding"/>
                <w:rFonts w:ascii="Times New Roman" w:hAnsi="Times New Roman" w:cs="Times New Roman"/>
                <w:color w:val="000000" w:themeColor="text1"/>
                <w:sz w:val="20"/>
                <w:szCs w:val="20"/>
                <w:shd w:val="clear" w:color="auto" w:fill="FFFFFF"/>
              </w:rPr>
              <w:t>(Hagen, 1870)</w:t>
            </w:r>
            <w:r w:rsidRPr="00C67C06">
              <w:rPr>
                <w:rFonts w:ascii="Times New Roman" w:hAnsi="Times New Roman" w:cs="Times New Roman"/>
                <w:color w:val="000000" w:themeColor="text1"/>
                <w:sz w:val="20"/>
                <w:szCs w:val="20"/>
                <w:shd w:val="clear" w:color="auto" w:fill="FFFFFF"/>
              </w:rPr>
              <w:t> in </w:t>
            </w:r>
            <w:r w:rsidRPr="00C67C06">
              <w:rPr>
                <w:rStyle w:val="ng-binding"/>
                <w:rFonts w:ascii="Times New Roman" w:hAnsi="Times New Roman" w:cs="Times New Roman"/>
                <w:color w:val="000000" w:themeColor="text1"/>
                <w:sz w:val="20"/>
                <w:szCs w:val="20"/>
                <w:shd w:val="clear" w:color="auto" w:fill="FFFFFF"/>
              </w:rPr>
              <w:t>GBIF Secretariat (2023). GBIF Backbone Taxonomy. Checklist dataset </w:t>
            </w:r>
            <w:hyperlink w:tgtFrame="_blank" w:history="1">
              <w:r w:rsidRPr="00C67C06">
                <w:rPr>
                  <w:rStyle w:val="Hyperlink"/>
                  <w:rFonts w:ascii="Times New Roman" w:hAnsi="Times New Roman" w:cs="Times New Roman"/>
                  <w:color w:val="000000" w:themeColor="text1"/>
                  <w:sz w:val="20"/>
                  <w:szCs w:val="20"/>
                </w:rPr>
                <w:t>https://doi.org/10.15468/39omei</w:t>
              </w:r>
            </w:hyperlink>
            <w:r w:rsidRPr="00C67C06">
              <w:rPr>
                <w:rStyle w:val="Hyperlink"/>
                <w:rFonts w:ascii="Times New Roman" w:hAnsi="Times New Roman" w:cs="Times New Roman"/>
                <w:color w:val="000000" w:themeColor="text1"/>
                <w:sz w:val="20"/>
                <w:szCs w:val="20"/>
              </w:rPr>
              <w:t xml:space="preserve"> </w:t>
            </w:r>
            <w:r w:rsidRPr="00C67C06">
              <w:rPr>
                <w:rStyle w:val="ng-binding"/>
                <w:rFonts w:ascii="Times New Roman" w:hAnsi="Times New Roman" w:cs="Times New Roman"/>
                <w:color w:val="000000" w:themeColor="text1"/>
                <w:sz w:val="20"/>
                <w:szCs w:val="20"/>
                <w:shd w:val="clear" w:color="auto" w:fill="FFFFFF"/>
              </w:rPr>
              <w:t> accessed via GBIF.org on 2024-06-05.</w:t>
            </w:r>
          </w:p>
        </w:tc>
      </w:tr>
      <w:tr w:rsidR="002D7080" w:rsidRPr="004D1E6F" w14:paraId="3A437335"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674CF5A" w14:textId="77777777" w:rsidR="002D7080" w:rsidRPr="00C67C06" w:rsidRDefault="002D7080" w:rsidP="002E2C37">
            <w:pPr>
              <w:spacing w:after="0" w:line="240" w:lineRule="auto"/>
              <w:jc w:val="both"/>
              <w:rPr>
                <w:rFonts w:ascii="Times New Roman" w:eastAsia="Times New Roman" w:hAnsi="Times New Roman" w:cs="Times New Roman"/>
                <w:b/>
                <w:color w:val="000000"/>
                <w:sz w:val="20"/>
                <w:szCs w:val="20"/>
                <w:lang w:eastAsia="en-ZA"/>
              </w:rPr>
            </w:pPr>
            <w:r w:rsidRPr="00C67C06">
              <w:rPr>
                <w:rFonts w:ascii="Times New Roman" w:eastAsia="Times New Roman" w:hAnsi="Times New Roman" w:cs="Times New Roman"/>
                <w:b/>
                <w:color w:val="000000"/>
                <w:sz w:val="20"/>
                <w:szCs w:val="20"/>
                <w:lang w:eastAsia="en-ZA"/>
              </w:rPr>
              <w:t xml:space="preserve">BAC12 Is the </w:t>
            </w:r>
            <w:r w:rsidRPr="00C67C06">
              <w:rPr>
                <w:rFonts w:ascii="Times New Roman" w:eastAsia="Times New Roman" w:hAnsi="Times New Roman" w:cs="Times New Roman"/>
                <w:b/>
                <w:i/>
                <w:color w:val="000000"/>
                <w:sz w:val="20"/>
                <w:szCs w:val="20"/>
                <w:lang w:eastAsia="en-ZA"/>
              </w:rPr>
              <w:t>Taxon</w:t>
            </w:r>
            <w:r w:rsidRPr="00C67C06">
              <w:rPr>
                <w:rFonts w:ascii="Times New Roman" w:eastAsia="Times New Roman" w:hAnsi="Times New Roman" w:cs="Times New Roman"/>
                <w:b/>
                <w:color w:val="000000"/>
                <w:sz w:val="20"/>
                <w:szCs w:val="20"/>
                <w:lang w:eastAsia="en-ZA"/>
              </w:rPr>
              <w:t xml:space="preserve"> native to the </w:t>
            </w:r>
            <w:r w:rsidRPr="00C67C06">
              <w:rPr>
                <w:rFonts w:ascii="Times New Roman" w:eastAsia="Times New Roman" w:hAnsi="Times New Roman" w:cs="Times New Roman"/>
                <w:b/>
                <w:i/>
                <w:color w:val="000000"/>
                <w:sz w:val="20"/>
                <w:szCs w:val="20"/>
                <w:lang w:eastAsia="en-ZA"/>
              </w:rPr>
              <w:t>Area</w:t>
            </w:r>
            <w:r w:rsidRPr="00C67C06">
              <w:rPr>
                <w:rFonts w:ascii="Times New Roman" w:eastAsia="Times New Roman" w:hAnsi="Times New Roman" w:cs="Times New Roman"/>
                <w:b/>
                <w:color w:val="000000"/>
                <w:sz w:val="20"/>
                <w:szCs w:val="20"/>
                <w:lang w:eastAsia="en-ZA"/>
              </w:rPr>
              <w:t xml:space="preserve"> or part of the </w:t>
            </w:r>
            <w:r w:rsidRPr="00C67C06">
              <w:rPr>
                <w:rFonts w:ascii="Times New Roman" w:eastAsia="Times New Roman" w:hAnsi="Times New Roman" w:cs="Times New Roman"/>
                <w:b/>
                <w:i/>
                <w:color w:val="000000"/>
                <w:sz w:val="20"/>
                <w:szCs w:val="20"/>
                <w:lang w:eastAsia="en-ZA"/>
              </w:rPr>
              <w:t>Area</w:t>
            </w:r>
            <w:r w:rsidRPr="00C67C06">
              <w:rPr>
                <w:rFonts w:ascii="Times New Roman" w:eastAsia="Times New Roman" w:hAnsi="Times New Roman" w:cs="Times New Roman"/>
                <w:b/>
                <w:color w:val="000000"/>
                <w:sz w:val="20"/>
                <w:szCs w:val="20"/>
                <w:lang w:eastAsia="en-ZA"/>
              </w:rPr>
              <w:t>?</w:t>
            </w:r>
          </w:p>
        </w:tc>
      </w:tr>
      <w:tr w:rsidR="002D7080" w:rsidRPr="004D1E6F" w14:paraId="74330295" w14:textId="77777777" w:rsidTr="002E2C37">
        <w:trPr>
          <w:cantSplit/>
          <w:trHeight w:val="205"/>
        </w:trPr>
        <w:tc>
          <w:tcPr>
            <w:tcW w:w="3969" w:type="dxa"/>
            <w:gridSpan w:val="2"/>
            <w:tcBorders>
              <w:top w:val="single" w:sz="4" w:space="0" w:color="auto"/>
              <w:left w:val="single" w:sz="4" w:space="0" w:color="auto"/>
              <w:bottom w:val="single" w:sz="4" w:space="0" w:color="auto"/>
              <w:right w:val="single" w:sz="4" w:space="0" w:color="auto"/>
            </w:tcBorders>
            <w:noWrap/>
          </w:tcPr>
          <w:p w14:paraId="48A784FB"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The </w:t>
            </w:r>
            <w:r w:rsidRPr="00C67C06">
              <w:rPr>
                <w:rFonts w:ascii="Times New Roman" w:eastAsia="Times New Roman" w:hAnsi="Times New Roman" w:cs="Times New Roman"/>
                <w:i/>
                <w:color w:val="000000"/>
                <w:sz w:val="20"/>
                <w:szCs w:val="20"/>
                <w:lang w:eastAsia="en-ZA"/>
              </w:rPr>
              <w:t>Taxon</w:t>
            </w:r>
            <w:r w:rsidRPr="00C67C06">
              <w:rPr>
                <w:rFonts w:ascii="Times New Roman" w:eastAsia="Times New Roman" w:hAnsi="Times New Roman" w:cs="Times New Roman"/>
                <w:color w:val="000000"/>
                <w:sz w:val="20"/>
                <w:szCs w:val="20"/>
                <w:lang w:eastAsia="en-ZA"/>
              </w:rPr>
              <w:t xml:space="preserve"> is native to (part of) the </w:t>
            </w:r>
            <w:r w:rsidRPr="00C67C06">
              <w:rPr>
                <w:rFonts w:ascii="Times New Roman" w:eastAsia="Times New Roman" w:hAnsi="Times New Roman" w:cs="Times New Roman"/>
                <w:i/>
                <w:color w:val="000000"/>
                <w:sz w:val="20"/>
                <w:szCs w:val="20"/>
                <w:lang w:eastAsia="en-ZA"/>
              </w:rPr>
              <w:t>Area</w:t>
            </w:r>
            <w:r w:rsidRPr="00C67C06">
              <w:rPr>
                <w:rFonts w:ascii="Times New Roman" w:eastAsia="Times New Roman" w:hAnsi="Times New Roman" w:cs="Times New Roman"/>
                <w:color w:val="000000"/>
                <w:sz w:val="20"/>
                <w:szCs w:val="20"/>
                <w:lang w:eastAsia="en-ZA"/>
              </w:rPr>
              <w:t>.</w:t>
            </w:r>
          </w:p>
        </w:tc>
        <w:tc>
          <w:tcPr>
            <w:tcW w:w="2155" w:type="dxa"/>
            <w:tcBorders>
              <w:top w:val="single" w:sz="4" w:space="0" w:color="auto"/>
              <w:left w:val="nil"/>
              <w:bottom w:val="single" w:sz="4" w:space="0" w:color="auto"/>
              <w:right w:val="single" w:sz="4" w:space="0" w:color="auto"/>
            </w:tcBorders>
          </w:tcPr>
          <w:p w14:paraId="5DA56B05"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No </w:t>
            </w:r>
          </w:p>
        </w:tc>
        <w:tc>
          <w:tcPr>
            <w:tcW w:w="2666" w:type="dxa"/>
            <w:tcBorders>
              <w:top w:val="single" w:sz="4" w:space="0" w:color="auto"/>
              <w:left w:val="nil"/>
              <w:bottom w:val="single" w:sz="4" w:space="0" w:color="auto"/>
              <w:right w:val="single" w:sz="4" w:space="0" w:color="auto"/>
            </w:tcBorders>
          </w:tcPr>
          <w:p w14:paraId="2E0796DA"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 High</w:t>
            </w:r>
          </w:p>
        </w:tc>
      </w:tr>
      <w:tr w:rsidR="002D7080" w:rsidRPr="004D1E6F" w14:paraId="1A0D5BD6" w14:textId="77777777" w:rsidTr="002E2C37">
        <w:trPr>
          <w:cantSplit/>
          <w:trHeight w:val="251"/>
        </w:trPr>
        <w:tc>
          <w:tcPr>
            <w:tcW w:w="3969" w:type="dxa"/>
            <w:gridSpan w:val="2"/>
            <w:tcBorders>
              <w:top w:val="single" w:sz="4" w:space="0" w:color="auto"/>
              <w:left w:val="single" w:sz="4" w:space="0" w:color="auto"/>
              <w:bottom w:val="single" w:sz="4" w:space="0" w:color="auto"/>
              <w:right w:val="single" w:sz="4" w:space="0" w:color="auto"/>
            </w:tcBorders>
            <w:noWrap/>
          </w:tcPr>
          <w:p w14:paraId="63F702B7"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The </w:t>
            </w:r>
            <w:r w:rsidRPr="00C67C06">
              <w:rPr>
                <w:rFonts w:ascii="Times New Roman" w:eastAsia="Times New Roman" w:hAnsi="Times New Roman" w:cs="Times New Roman"/>
                <w:i/>
                <w:color w:val="000000"/>
                <w:sz w:val="20"/>
                <w:szCs w:val="20"/>
                <w:lang w:eastAsia="en-ZA"/>
              </w:rPr>
              <w:t>Taxon</w:t>
            </w:r>
            <w:r w:rsidRPr="00C67C06">
              <w:rPr>
                <w:rFonts w:ascii="Times New Roman" w:eastAsia="Times New Roman" w:hAnsi="Times New Roman" w:cs="Times New Roman"/>
                <w:color w:val="000000"/>
                <w:sz w:val="20"/>
                <w:szCs w:val="20"/>
                <w:lang w:eastAsia="en-ZA"/>
              </w:rPr>
              <w:t xml:space="preserve"> is alien in (part of) the </w:t>
            </w:r>
            <w:r w:rsidRPr="00C67C06">
              <w:rPr>
                <w:rFonts w:ascii="Times New Roman" w:eastAsia="Times New Roman" w:hAnsi="Times New Roman" w:cs="Times New Roman"/>
                <w:i/>
                <w:color w:val="000000"/>
                <w:sz w:val="20"/>
                <w:szCs w:val="20"/>
                <w:lang w:eastAsia="en-ZA"/>
              </w:rPr>
              <w:t>Area</w:t>
            </w:r>
            <w:r w:rsidRPr="00C67C06">
              <w:rPr>
                <w:rFonts w:ascii="Times New Roman" w:eastAsia="Times New Roman" w:hAnsi="Times New Roman" w:cs="Times New Roman"/>
                <w:color w:val="000000"/>
                <w:sz w:val="20"/>
                <w:szCs w:val="20"/>
                <w:lang w:eastAsia="en-ZA"/>
              </w:rPr>
              <w:t>.</w:t>
            </w:r>
          </w:p>
        </w:tc>
        <w:tc>
          <w:tcPr>
            <w:tcW w:w="2155" w:type="dxa"/>
            <w:tcBorders>
              <w:top w:val="single" w:sz="4" w:space="0" w:color="auto"/>
              <w:left w:val="nil"/>
              <w:bottom w:val="single" w:sz="4" w:space="0" w:color="auto"/>
              <w:right w:val="single" w:sz="4" w:space="0" w:color="auto"/>
            </w:tcBorders>
          </w:tcPr>
          <w:p w14:paraId="16301899"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Yes </w:t>
            </w:r>
          </w:p>
        </w:tc>
        <w:tc>
          <w:tcPr>
            <w:tcW w:w="2666" w:type="dxa"/>
            <w:tcBorders>
              <w:top w:val="single" w:sz="4" w:space="0" w:color="auto"/>
              <w:left w:val="nil"/>
              <w:bottom w:val="single" w:sz="4" w:space="0" w:color="auto"/>
              <w:right w:val="single" w:sz="4" w:space="0" w:color="auto"/>
            </w:tcBorders>
          </w:tcPr>
          <w:p w14:paraId="4E2C718F"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 High</w:t>
            </w:r>
          </w:p>
        </w:tc>
      </w:tr>
      <w:tr w:rsidR="002D7080" w:rsidRPr="004D1E6F" w14:paraId="54762332" w14:textId="77777777" w:rsidTr="002E2C37">
        <w:trPr>
          <w:cantSplit/>
          <w:trHeight w:val="287"/>
        </w:trPr>
        <w:tc>
          <w:tcPr>
            <w:tcW w:w="8790" w:type="dxa"/>
            <w:gridSpan w:val="4"/>
            <w:tcBorders>
              <w:top w:val="single" w:sz="4" w:space="0" w:color="auto"/>
              <w:left w:val="single" w:sz="4" w:space="0" w:color="auto"/>
              <w:bottom w:val="single" w:sz="4" w:space="0" w:color="auto"/>
              <w:right w:val="single" w:sz="4" w:space="0" w:color="auto"/>
            </w:tcBorders>
            <w:noWrap/>
          </w:tcPr>
          <w:p w14:paraId="0D88CEE7" w14:textId="1A260D5E"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Comments: South Africa has no indigenous freshwater crayfish </w:t>
            </w:r>
            <w:r w:rsidRPr="00C67C06">
              <w:rPr>
                <w:rFonts w:ascii="Times New Roman" w:eastAsia="Times New Roman" w:hAnsi="Times New Roman" w:cs="Times New Roman"/>
                <w:color w:val="000000"/>
                <w:sz w:val="20"/>
                <w:szCs w:val="20"/>
                <w:lang w:eastAsia="en-ZA"/>
              </w:rPr>
              <w:fldChar w:fldCharType="begin" w:fldLock="1"/>
            </w:r>
            <w:r w:rsidRPr="00C67C06">
              <w:rPr>
                <w:rFonts w:ascii="Times New Roman" w:eastAsia="Times New Roman" w:hAnsi="Times New Roman" w:cs="Times New Roman"/>
                <w:color w:val="000000"/>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C67C06">
              <w:rPr>
                <w:rFonts w:ascii="Times New Roman" w:eastAsia="Times New Roman" w:hAnsi="Times New Roman" w:cs="Times New Roman"/>
                <w:color w:val="000000"/>
                <w:sz w:val="20"/>
                <w:szCs w:val="20"/>
                <w:lang w:eastAsia="en-ZA"/>
              </w:rPr>
              <w:fldChar w:fldCharType="separate"/>
            </w:r>
            <w:r w:rsidRPr="00C67C06">
              <w:rPr>
                <w:rFonts w:ascii="Times New Roman" w:eastAsia="Times New Roman" w:hAnsi="Times New Roman" w:cs="Times New Roman"/>
                <w:color w:val="000000"/>
                <w:sz w:val="20"/>
                <w:szCs w:val="20"/>
                <w:lang w:eastAsia="en-ZA"/>
              </w:rPr>
              <w:t>(</w:t>
            </w:r>
            <w:r w:rsidR="008A0BC6">
              <w:rPr>
                <w:rFonts w:ascii="Times New Roman" w:eastAsia="Times New Roman" w:hAnsi="Times New Roman" w:cs="Times New Roman"/>
                <w:color w:val="000000"/>
                <w:sz w:val="20"/>
                <w:szCs w:val="20"/>
                <w:lang w:eastAsia="en-ZA"/>
              </w:rPr>
              <w:t>De Moor</w:t>
            </w:r>
            <w:r w:rsidRPr="00C67C06">
              <w:rPr>
                <w:rFonts w:ascii="Times New Roman" w:eastAsia="Times New Roman" w:hAnsi="Times New Roman" w:cs="Times New Roman"/>
                <w:color w:val="000000"/>
                <w:sz w:val="20"/>
                <w:szCs w:val="20"/>
                <w:lang w:eastAsia="en-ZA"/>
              </w:rPr>
              <w:t xml:space="preserve"> 2002, Nunes et al. 2017)</w:t>
            </w:r>
            <w:r w:rsidRPr="00C67C06">
              <w:rPr>
                <w:rFonts w:ascii="Times New Roman" w:eastAsia="Times New Roman" w:hAnsi="Times New Roman" w:cs="Times New Roman"/>
                <w:color w:val="000000"/>
                <w:sz w:val="20"/>
                <w:szCs w:val="20"/>
                <w:lang w:eastAsia="en-ZA"/>
              </w:rPr>
              <w:fldChar w:fldCharType="end"/>
            </w:r>
            <w:r w:rsidRPr="00C67C06">
              <w:rPr>
                <w:rFonts w:ascii="Times New Roman" w:eastAsia="Times New Roman" w:hAnsi="Times New Roman" w:cs="Times New Roman"/>
                <w:color w:val="000000"/>
                <w:sz w:val="20"/>
                <w:szCs w:val="20"/>
                <w:lang w:eastAsia="en-ZA"/>
              </w:rPr>
              <w:t>.</w:t>
            </w:r>
          </w:p>
        </w:tc>
      </w:tr>
      <w:tr w:rsidR="002D7080" w:rsidRPr="004D1E6F" w14:paraId="4294FE7E"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5331269B" w14:textId="77777777" w:rsidR="002D7080" w:rsidRPr="00C67C06" w:rsidRDefault="002D7080" w:rsidP="00A774C1">
            <w:pPr>
              <w:spacing w:after="0"/>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References:</w:t>
            </w:r>
          </w:p>
          <w:p w14:paraId="1FA2E24D" w14:textId="3F9F4C43" w:rsidR="002D7080" w:rsidRPr="00C67C06" w:rsidRDefault="008A0BC6" w:rsidP="00A774C1">
            <w:pPr>
              <w:spacing w:after="0"/>
              <w:ind w:left="720" w:hanging="720"/>
              <w:jc w:val="both"/>
              <w:rPr>
                <w:rFonts w:ascii="Times New Roman" w:eastAsia="Times New Roman" w:hAnsi="Times New Roman" w:cs="Times New Roman"/>
                <w:sz w:val="20"/>
                <w:szCs w:val="20"/>
                <w:lang w:eastAsia="en-ZA"/>
              </w:rPr>
            </w:pPr>
            <w:r>
              <w:rPr>
                <w:rFonts w:ascii="Times New Roman" w:eastAsia="Times New Roman" w:hAnsi="Times New Roman" w:cs="Times New Roman"/>
                <w:color w:val="000000"/>
                <w:sz w:val="20"/>
                <w:szCs w:val="20"/>
                <w:lang w:eastAsia="en-ZA"/>
              </w:rPr>
              <w:t>De Moor</w:t>
            </w:r>
            <w:r w:rsidR="002D7080" w:rsidRPr="00C67C06">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C67C06">
              <w:rPr>
                <w:rFonts w:ascii="Times New Roman" w:eastAsia="Times New Roman" w:hAnsi="Times New Roman" w:cs="Times New Roman"/>
                <w:i/>
                <w:color w:val="000000"/>
                <w:sz w:val="20"/>
                <w:szCs w:val="20"/>
                <w:lang w:eastAsia="en-ZA"/>
              </w:rPr>
              <w:t>African Journal of Aquatic Science</w:t>
            </w:r>
            <w:r w:rsidR="002D7080" w:rsidRPr="00C67C06">
              <w:rPr>
                <w:rFonts w:ascii="Times New Roman" w:eastAsia="Times New Roman" w:hAnsi="Times New Roman" w:cs="Times New Roman"/>
                <w:color w:val="000000"/>
                <w:sz w:val="20"/>
                <w:szCs w:val="20"/>
                <w:lang w:eastAsia="en-ZA"/>
              </w:rPr>
              <w:t xml:space="preserve"> 27, 125–139. </w:t>
            </w:r>
            <w:hyperlink r:id="rId191" w:history="1">
              <w:r w:rsidR="002D7080" w:rsidRPr="00C67C06">
                <w:rPr>
                  <w:rStyle w:val="Hyperlink"/>
                  <w:rFonts w:ascii="Times New Roman" w:eastAsia="Times New Roman" w:hAnsi="Times New Roman" w:cs="Times New Roman"/>
                  <w:sz w:val="20"/>
                  <w:szCs w:val="20"/>
                  <w:lang w:eastAsia="en-ZA"/>
                </w:rPr>
                <w:t>https://doi.org/10.2989/26085914.2002.9626584</w:t>
              </w:r>
            </w:hyperlink>
            <w:r w:rsidR="002D7080" w:rsidRPr="00C67C06">
              <w:rPr>
                <w:rFonts w:ascii="Times New Roman" w:eastAsia="Times New Roman" w:hAnsi="Times New Roman" w:cs="Times New Roman"/>
                <w:sz w:val="20"/>
                <w:szCs w:val="20"/>
                <w:lang w:eastAsia="en-ZA"/>
              </w:rPr>
              <w:t xml:space="preserve">. </w:t>
            </w:r>
          </w:p>
          <w:p w14:paraId="46D05D38" w14:textId="77777777" w:rsidR="002D7080" w:rsidRPr="00C67C06" w:rsidRDefault="002D7080" w:rsidP="00A774C1">
            <w:pPr>
              <w:spacing w:after="0"/>
              <w:ind w:left="522" w:hanging="522"/>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C67C06">
              <w:rPr>
                <w:rFonts w:ascii="Times New Roman" w:eastAsia="Times New Roman" w:hAnsi="Times New Roman" w:cs="Times New Roman"/>
                <w:i/>
                <w:color w:val="000000"/>
                <w:sz w:val="20"/>
                <w:szCs w:val="20"/>
                <w:lang w:eastAsia="en-ZA"/>
              </w:rPr>
              <w:t>African Journal of Aquatic Science</w:t>
            </w:r>
            <w:r w:rsidRPr="00C67C06">
              <w:rPr>
                <w:rFonts w:ascii="Times New Roman" w:eastAsia="Times New Roman" w:hAnsi="Times New Roman" w:cs="Times New Roman"/>
                <w:color w:val="000000"/>
                <w:sz w:val="20"/>
                <w:szCs w:val="20"/>
                <w:lang w:eastAsia="en-ZA"/>
              </w:rPr>
              <w:t xml:space="preserve"> 42, 309–323. </w:t>
            </w:r>
            <w:hyperlink r:id="rId192" w:history="1">
              <w:r w:rsidRPr="00C67C06">
                <w:rPr>
                  <w:rStyle w:val="Hyperlink"/>
                  <w:rFonts w:ascii="Times New Roman" w:eastAsia="Times New Roman" w:hAnsi="Times New Roman" w:cs="Times New Roman"/>
                  <w:sz w:val="20"/>
                  <w:szCs w:val="20"/>
                  <w:lang w:eastAsia="en-ZA"/>
                </w:rPr>
                <w:t>https://doi.org/10.2989/16085914.2017.1405788</w:t>
              </w:r>
            </w:hyperlink>
            <w:r w:rsidRPr="00C67C06">
              <w:rPr>
                <w:rFonts w:ascii="Times New Roman" w:eastAsia="Times New Roman" w:hAnsi="Times New Roman" w:cs="Times New Roman"/>
                <w:color w:val="000000"/>
                <w:sz w:val="20"/>
                <w:szCs w:val="20"/>
                <w:lang w:eastAsia="en-ZA"/>
              </w:rPr>
              <w:t xml:space="preserve">. </w:t>
            </w:r>
          </w:p>
        </w:tc>
      </w:tr>
      <w:tr w:rsidR="002D7080" w:rsidRPr="004D1E6F" w14:paraId="724DE875"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8F3F6BF"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b/>
                <w:color w:val="000000"/>
                <w:sz w:val="20"/>
                <w:szCs w:val="20"/>
                <w:lang w:eastAsia="en-ZA"/>
              </w:rPr>
              <w:t xml:space="preserve">BAC13 What is the </w:t>
            </w:r>
            <w:r w:rsidRPr="00C67C06">
              <w:rPr>
                <w:rFonts w:ascii="Times New Roman" w:eastAsia="Times New Roman" w:hAnsi="Times New Roman" w:cs="Times New Roman"/>
                <w:b/>
                <w:i/>
                <w:color w:val="000000"/>
                <w:sz w:val="20"/>
                <w:szCs w:val="20"/>
                <w:lang w:eastAsia="en-ZA"/>
              </w:rPr>
              <w:t>Taxon</w:t>
            </w:r>
            <w:r w:rsidRPr="00C67C06">
              <w:rPr>
                <w:rFonts w:ascii="Times New Roman" w:eastAsia="Times New Roman" w:hAnsi="Times New Roman" w:cs="Times New Roman"/>
                <w:b/>
                <w:color w:val="000000"/>
                <w:sz w:val="20"/>
                <w:szCs w:val="20"/>
                <w:lang w:eastAsia="en-ZA"/>
              </w:rPr>
              <w:t xml:space="preserve">’s introduction status in the </w:t>
            </w:r>
            <w:r w:rsidRPr="00C67C06">
              <w:rPr>
                <w:rFonts w:ascii="Times New Roman" w:eastAsia="Times New Roman" w:hAnsi="Times New Roman" w:cs="Times New Roman"/>
                <w:b/>
                <w:i/>
                <w:color w:val="000000"/>
                <w:sz w:val="20"/>
                <w:szCs w:val="20"/>
                <w:lang w:eastAsia="en-ZA"/>
              </w:rPr>
              <w:t>Area</w:t>
            </w:r>
            <w:r w:rsidRPr="00C67C06">
              <w:rPr>
                <w:rFonts w:ascii="Times New Roman" w:eastAsia="Times New Roman" w:hAnsi="Times New Roman" w:cs="Times New Roman"/>
                <w:b/>
                <w:color w:val="000000"/>
                <w:sz w:val="20"/>
                <w:szCs w:val="20"/>
                <w:lang w:eastAsia="en-ZA"/>
              </w:rPr>
              <w:t>?</w:t>
            </w:r>
          </w:p>
        </w:tc>
      </w:tr>
      <w:tr w:rsidR="002D7080" w:rsidRPr="004D1E6F" w14:paraId="2C3AD9EC" w14:textId="77777777" w:rsidTr="002E2C37">
        <w:trPr>
          <w:cantSplit/>
          <w:trHeight w:val="170"/>
        </w:trPr>
        <w:tc>
          <w:tcPr>
            <w:tcW w:w="3969" w:type="dxa"/>
            <w:gridSpan w:val="2"/>
            <w:tcBorders>
              <w:top w:val="single" w:sz="4" w:space="0" w:color="auto"/>
              <w:left w:val="single" w:sz="4" w:space="0" w:color="auto"/>
              <w:bottom w:val="single" w:sz="4" w:space="0" w:color="auto"/>
              <w:right w:val="single" w:sz="4" w:space="0" w:color="auto"/>
            </w:tcBorders>
            <w:noWrap/>
          </w:tcPr>
          <w:p w14:paraId="31DBC000"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The </w:t>
            </w:r>
            <w:r w:rsidRPr="00C67C06">
              <w:rPr>
                <w:rFonts w:ascii="Times New Roman" w:eastAsia="Times New Roman" w:hAnsi="Times New Roman" w:cs="Times New Roman"/>
                <w:i/>
                <w:color w:val="000000"/>
                <w:sz w:val="20"/>
                <w:szCs w:val="20"/>
                <w:lang w:eastAsia="en-ZA"/>
              </w:rPr>
              <w:t>Taxon</w:t>
            </w:r>
            <w:r w:rsidRPr="00C67C06">
              <w:rPr>
                <w:rFonts w:ascii="Times New Roman" w:eastAsia="Times New Roman" w:hAnsi="Times New Roman" w:cs="Times New Roman"/>
                <w:color w:val="000000"/>
                <w:sz w:val="20"/>
                <w:szCs w:val="20"/>
                <w:lang w:eastAsia="en-ZA"/>
              </w:rPr>
              <w:t xml:space="preserve"> is in cultivation/containment.</w:t>
            </w:r>
          </w:p>
        </w:tc>
        <w:tc>
          <w:tcPr>
            <w:tcW w:w="2155" w:type="dxa"/>
            <w:tcBorders>
              <w:top w:val="single" w:sz="4" w:space="0" w:color="auto"/>
              <w:left w:val="single" w:sz="4" w:space="0" w:color="auto"/>
              <w:bottom w:val="single" w:sz="4" w:space="0" w:color="auto"/>
              <w:right w:val="single" w:sz="4" w:space="0" w:color="auto"/>
            </w:tcBorders>
          </w:tcPr>
          <w:p w14:paraId="56617E44"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Don’t know</w:t>
            </w:r>
          </w:p>
        </w:tc>
        <w:tc>
          <w:tcPr>
            <w:tcW w:w="2666" w:type="dxa"/>
            <w:tcBorders>
              <w:top w:val="single" w:sz="4" w:space="0" w:color="auto"/>
              <w:left w:val="single" w:sz="4" w:space="0" w:color="auto"/>
              <w:bottom w:val="single" w:sz="4" w:space="0" w:color="auto"/>
              <w:right w:val="single" w:sz="4" w:space="0" w:color="auto"/>
            </w:tcBorders>
          </w:tcPr>
          <w:p w14:paraId="7535CE5E"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 Low</w:t>
            </w:r>
          </w:p>
        </w:tc>
      </w:tr>
      <w:tr w:rsidR="002D7080" w:rsidRPr="004D1E6F" w14:paraId="3E84D59B" w14:textId="77777777" w:rsidTr="002E2C37">
        <w:trPr>
          <w:cantSplit/>
          <w:trHeight w:val="87"/>
        </w:trPr>
        <w:tc>
          <w:tcPr>
            <w:tcW w:w="3969" w:type="dxa"/>
            <w:gridSpan w:val="2"/>
            <w:tcBorders>
              <w:top w:val="single" w:sz="4" w:space="0" w:color="auto"/>
              <w:left w:val="single" w:sz="4" w:space="0" w:color="auto"/>
              <w:bottom w:val="single" w:sz="4" w:space="0" w:color="auto"/>
              <w:right w:val="single" w:sz="4" w:space="0" w:color="auto"/>
            </w:tcBorders>
            <w:noWrap/>
          </w:tcPr>
          <w:p w14:paraId="68C6EA41"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The </w:t>
            </w:r>
            <w:r w:rsidRPr="00C67C06">
              <w:rPr>
                <w:rFonts w:ascii="Times New Roman" w:eastAsia="Times New Roman" w:hAnsi="Times New Roman" w:cs="Times New Roman"/>
                <w:i/>
                <w:color w:val="000000"/>
                <w:sz w:val="20"/>
                <w:szCs w:val="20"/>
                <w:lang w:eastAsia="en-ZA"/>
              </w:rPr>
              <w:t>Taxon</w:t>
            </w:r>
            <w:r w:rsidRPr="00C67C06">
              <w:rPr>
                <w:rFonts w:ascii="Times New Roman" w:eastAsia="Times New Roman" w:hAnsi="Times New Roman" w:cs="Times New Roman"/>
                <w:color w:val="000000"/>
                <w:sz w:val="20"/>
                <w:szCs w:val="20"/>
                <w:lang w:eastAsia="en-ZA"/>
              </w:rPr>
              <w:t xml:space="preserve"> is present in the wild.</w:t>
            </w:r>
          </w:p>
        </w:tc>
        <w:tc>
          <w:tcPr>
            <w:tcW w:w="2155" w:type="dxa"/>
            <w:tcBorders>
              <w:top w:val="single" w:sz="4" w:space="0" w:color="auto"/>
              <w:left w:val="single" w:sz="4" w:space="0" w:color="auto"/>
              <w:bottom w:val="single" w:sz="4" w:space="0" w:color="auto"/>
              <w:right w:val="single" w:sz="4" w:space="0" w:color="auto"/>
            </w:tcBorders>
          </w:tcPr>
          <w:p w14:paraId="3215B04E"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0519815F"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 Low</w:t>
            </w:r>
          </w:p>
        </w:tc>
      </w:tr>
      <w:tr w:rsidR="002D7080" w:rsidRPr="004D1E6F" w14:paraId="699A33AE" w14:textId="77777777" w:rsidTr="002E2C37">
        <w:trPr>
          <w:cantSplit/>
          <w:trHeight w:val="87"/>
        </w:trPr>
        <w:tc>
          <w:tcPr>
            <w:tcW w:w="3969" w:type="dxa"/>
            <w:gridSpan w:val="2"/>
            <w:tcBorders>
              <w:top w:val="single" w:sz="4" w:space="0" w:color="auto"/>
              <w:left w:val="single" w:sz="4" w:space="0" w:color="auto"/>
              <w:bottom w:val="single" w:sz="4" w:space="0" w:color="auto"/>
              <w:right w:val="single" w:sz="4" w:space="0" w:color="auto"/>
            </w:tcBorders>
            <w:noWrap/>
          </w:tcPr>
          <w:p w14:paraId="090368B7"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The </w:t>
            </w:r>
            <w:r w:rsidRPr="00C67C06">
              <w:rPr>
                <w:rFonts w:ascii="Times New Roman" w:eastAsia="Times New Roman" w:hAnsi="Times New Roman" w:cs="Times New Roman"/>
                <w:i/>
                <w:color w:val="000000"/>
                <w:sz w:val="20"/>
                <w:szCs w:val="20"/>
                <w:lang w:eastAsia="en-ZA"/>
              </w:rPr>
              <w:t>Taxon</w:t>
            </w:r>
            <w:r w:rsidRPr="00C67C06">
              <w:rPr>
                <w:rFonts w:ascii="Times New Roman" w:eastAsia="Times New Roman" w:hAnsi="Times New Roman" w:cs="Times New Roman"/>
                <w:color w:val="000000"/>
                <w:sz w:val="20"/>
                <w:szCs w:val="20"/>
                <w:lang w:eastAsia="en-ZA"/>
              </w:rPr>
              <w:t xml:space="preserve"> has established/naturalised.</w:t>
            </w:r>
          </w:p>
        </w:tc>
        <w:tc>
          <w:tcPr>
            <w:tcW w:w="2155" w:type="dxa"/>
            <w:tcBorders>
              <w:top w:val="single" w:sz="4" w:space="0" w:color="auto"/>
              <w:left w:val="single" w:sz="4" w:space="0" w:color="auto"/>
              <w:bottom w:val="single" w:sz="4" w:space="0" w:color="auto"/>
              <w:right w:val="single" w:sz="4" w:space="0" w:color="auto"/>
            </w:tcBorders>
          </w:tcPr>
          <w:p w14:paraId="62D4D9F1"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1AB9EBDD"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 Low</w:t>
            </w:r>
          </w:p>
        </w:tc>
      </w:tr>
      <w:tr w:rsidR="002D7080" w:rsidRPr="004D1E6F" w14:paraId="2535624A" w14:textId="77777777" w:rsidTr="002E2C37">
        <w:trPr>
          <w:cantSplit/>
          <w:trHeight w:val="87"/>
        </w:trPr>
        <w:tc>
          <w:tcPr>
            <w:tcW w:w="3969" w:type="dxa"/>
            <w:gridSpan w:val="2"/>
            <w:tcBorders>
              <w:top w:val="single" w:sz="4" w:space="0" w:color="auto"/>
              <w:left w:val="single" w:sz="4" w:space="0" w:color="auto"/>
              <w:bottom w:val="single" w:sz="4" w:space="0" w:color="auto"/>
              <w:right w:val="single" w:sz="4" w:space="0" w:color="auto"/>
            </w:tcBorders>
            <w:noWrap/>
          </w:tcPr>
          <w:p w14:paraId="5BBD9577"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The </w:t>
            </w:r>
            <w:r w:rsidRPr="00C67C06">
              <w:rPr>
                <w:rFonts w:ascii="Times New Roman" w:eastAsia="Times New Roman" w:hAnsi="Times New Roman" w:cs="Times New Roman"/>
                <w:i/>
                <w:color w:val="000000"/>
                <w:sz w:val="20"/>
                <w:szCs w:val="20"/>
                <w:lang w:eastAsia="en-ZA"/>
              </w:rPr>
              <w:t>Taxon</w:t>
            </w:r>
            <w:r w:rsidRPr="00C67C06">
              <w:rPr>
                <w:rFonts w:ascii="Times New Roman" w:eastAsia="Times New Roman" w:hAnsi="Times New Roman" w:cs="Times New Roman"/>
                <w:color w:val="000000"/>
                <w:sz w:val="20"/>
                <w:szCs w:val="20"/>
                <w:lang w:eastAsia="en-ZA"/>
              </w:rPr>
              <w:t xml:space="preserve"> is invasive.</w:t>
            </w:r>
          </w:p>
        </w:tc>
        <w:tc>
          <w:tcPr>
            <w:tcW w:w="2155" w:type="dxa"/>
            <w:tcBorders>
              <w:top w:val="single" w:sz="4" w:space="0" w:color="auto"/>
              <w:left w:val="single" w:sz="4" w:space="0" w:color="auto"/>
              <w:bottom w:val="single" w:sz="4" w:space="0" w:color="auto"/>
              <w:right w:val="single" w:sz="4" w:space="0" w:color="auto"/>
            </w:tcBorders>
          </w:tcPr>
          <w:p w14:paraId="131BEEB8"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None </w:t>
            </w:r>
          </w:p>
        </w:tc>
        <w:tc>
          <w:tcPr>
            <w:tcW w:w="2666" w:type="dxa"/>
            <w:tcBorders>
              <w:top w:val="single" w:sz="4" w:space="0" w:color="auto"/>
              <w:left w:val="single" w:sz="4" w:space="0" w:color="auto"/>
              <w:bottom w:val="single" w:sz="4" w:space="0" w:color="auto"/>
              <w:right w:val="single" w:sz="4" w:space="0" w:color="auto"/>
            </w:tcBorders>
          </w:tcPr>
          <w:p w14:paraId="31A1BF51"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 Low</w:t>
            </w:r>
          </w:p>
        </w:tc>
      </w:tr>
      <w:tr w:rsidR="002D7080" w:rsidRPr="004D1E6F" w14:paraId="3CF88150"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0C087EE3" w14:textId="1D7C1E9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Comments: </w:t>
            </w:r>
            <w:r w:rsidRPr="00C67C06">
              <w:rPr>
                <w:rFonts w:ascii="Times New Roman" w:eastAsia="Times New Roman" w:hAnsi="Times New Roman" w:cs="Times New Roman"/>
                <w:sz w:val="20"/>
                <w:szCs w:val="20"/>
                <w:lang w:eastAsia="en-ZA"/>
              </w:rPr>
              <w:t xml:space="preserve">There are no records of </w:t>
            </w:r>
            <w:r w:rsidRPr="00C67C06">
              <w:rPr>
                <w:rFonts w:ascii="Times New Roman" w:eastAsia="Times New Roman" w:hAnsi="Times New Roman" w:cs="Times New Roman"/>
                <w:i/>
                <w:sz w:val="20"/>
                <w:szCs w:val="20"/>
                <w:lang w:eastAsia="en-ZA"/>
              </w:rPr>
              <w:t xml:space="preserve">F. immunis  </w:t>
            </w:r>
            <w:r w:rsidRPr="00C67C06">
              <w:rPr>
                <w:rFonts w:ascii="Times New Roman" w:eastAsia="Times New Roman" w:hAnsi="Times New Roman" w:cs="Times New Roman"/>
                <w:sz w:val="20"/>
                <w:szCs w:val="20"/>
                <w:lang w:eastAsia="en-ZA"/>
              </w:rPr>
              <w:t>being present in South Africa, and, there is furthermore no evidence available that indicates it present and been traded in the pet trade industry</w:t>
            </w:r>
            <w:r w:rsidRPr="00C67C06">
              <w:rPr>
                <w:rFonts w:ascii="Times New Roman" w:eastAsia="Times New Roman" w:hAnsi="Times New Roman" w:cs="Times New Roman"/>
                <w:i/>
                <w:sz w:val="20"/>
                <w:szCs w:val="20"/>
                <w:lang w:eastAsia="en-ZA"/>
              </w:rPr>
              <w:t xml:space="preserve"> </w:t>
            </w:r>
            <w:r w:rsidRPr="00C67C06">
              <w:rPr>
                <w:rFonts w:ascii="Times New Roman" w:eastAsia="Times New Roman" w:hAnsi="Times New Roman" w:cs="Times New Roman"/>
                <w:i/>
                <w:sz w:val="20"/>
                <w:szCs w:val="20"/>
                <w:lang w:eastAsia="en-ZA"/>
              </w:rPr>
              <w:fldChar w:fldCharType="begin" w:fldLock="1"/>
            </w:r>
            <w:r w:rsidRPr="00C67C06">
              <w:rPr>
                <w:rFonts w:ascii="Times New Roman" w:eastAsia="Times New Roman" w:hAnsi="Times New Roman" w:cs="Times New Roman"/>
                <w:i/>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C67C06">
              <w:rPr>
                <w:rFonts w:ascii="Times New Roman" w:eastAsia="Times New Roman" w:hAnsi="Times New Roman" w:cs="Times New Roman"/>
                <w:i/>
                <w:sz w:val="20"/>
                <w:szCs w:val="20"/>
                <w:lang w:eastAsia="en-ZA"/>
              </w:rPr>
              <w:fldChar w:fldCharType="separate"/>
            </w:r>
            <w:r w:rsidRPr="00C67C06">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C67C06">
              <w:rPr>
                <w:rFonts w:ascii="Times New Roman" w:eastAsia="Times New Roman" w:hAnsi="Times New Roman" w:cs="Times New Roman"/>
                <w:sz w:val="20"/>
                <w:szCs w:val="20"/>
                <w:lang w:eastAsia="en-ZA"/>
              </w:rPr>
              <w:t xml:space="preserve"> 2002; Nunes et al. 2017)</w:t>
            </w:r>
            <w:r w:rsidRPr="00C67C06">
              <w:rPr>
                <w:rFonts w:ascii="Times New Roman" w:eastAsia="Times New Roman" w:hAnsi="Times New Roman" w:cs="Times New Roman"/>
                <w:sz w:val="20"/>
                <w:szCs w:val="20"/>
                <w:lang w:eastAsia="en-ZA"/>
              </w:rPr>
              <w:fldChar w:fldCharType="end"/>
            </w:r>
            <w:r w:rsidRPr="00C67C06">
              <w:rPr>
                <w:rFonts w:ascii="Times New Roman" w:eastAsia="Times New Roman" w:hAnsi="Times New Roman" w:cs="Times New Roman"/>
                <w:sz w:val="20"/>
                <w:szCs w:val="20"/>
                <w:lang w:eastAsia="en-ZA"/>
              </w:rPr>
              <w:t>.</w:t>
            </w:r>
          </w:p>
        </w:tc>
      </w:tr>
      <w:tr w:rsidR="002D7080" w:rsidRPr="004D1E6F" w14:paraId="5AC4F30E"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2485B268"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References:</w:t>
            </w:r>
          </w:p>
          <w:p w14:paraId="3819F92D" w14:textId="4A3AC363" w:rsidR="002D7080" w:rsidRPr="00C67C06" w:rsidRDefault="008A0BC6" w:rsidP="002E2C37">
            <w:pPr>
              <w:widowControl w:val="0"/>
              <w:autoSpaceDE w:val="0"/>
              <w:autoSpaceDN w:val="0"/>
              <w:adjustRightInd w:val="0"/>
              <w:spacing w:after="160" w:line="259" w:lineRule="auto"/>
              <w:ind w:left="522" w:hanging="522"/>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De Moor</w:t>
            </w:r>
            <w:r w:rsidR="002D7080" w:rsidRPr="00C67C06">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C67C06">
              <w:rPr>
                <w:rFonts w:ascii="Times New Roman" w:eastAsia="Times New Roman" w:hAnsi="Times New Roman" w:cs="Times New Roman"/>
                <w:i/>
                <w:color w:val="000000"/>
                <w:sz w:val="20"/>
                <w:szCs w:val="20"/>
                <w:lang w:eastAsia="en-ZA"/>
              </w:rPr>
              <w:t>African Journal of Aquatic Science</w:t>
            </w:r>
            <w:r w:rsidR="002D7080" w:rsidRPr="00C67C06">
              <w:rPr>
                <w:rFonts w:ascii="Times New Roman" w:eastAsia="Times New Roman" w:hAnsi="Times New Roman" w:cs="Times New Roman"/>
                <w:iCs/>
                <w:color w:val="000000"/>
                <w:sz w:val="20"/>
                <w:szCs w:val="20"/>
                <w:lang w:eastAsia="en-ZA"/>
              </w:rPr>
              <w:t>,</w:t>
            </w:r>
            <w:r w:rsidR="002D7080" w:rsidRPr="00C67C06">
              <w:rPr>
                <w:rFonts w:ascii="Times New Roman" w:eastAsia="Times New Roman" w:hAnsi="Times New Roman" w:cs="Times New Roman"/>
                <w:color w:val="000000"/>
                <w:sz w:val="20"/>
                <w:szCs w:val="20"/>
                <w:lang w:eastAsia="en-ZA"/>
              </w:rPr>
              <w:t xml:space="preserve"> 27, 125–139. </w:t>
            </w:r>
            <w:hyperlink r:id="rId193" w:history="1">
              <w:r w:rsidR="00C67C06" w:rsidRPr="008A0BC6">
                <w:rPr>
                  <w:rStyle w:val="Hyperlink"/>
                  <w:rFonts w:ascii="Times New Roman" w:hAnsi="Times New Roman" w:cs="Times New Roman"/>
                  <w:sz w:val="20"/>
                  <w:szCs w:val="20"/>
                </w:rPr>
                <w:t>https://doi.org/10.2989/26085914.2002.9626584</w:t>
              </w:r>
            </w:hyperlink>
            <w:r w:rsidR="002D7080" w:rsidRPr="00C67C06">
              <w:rPr>
                <w:rFonts w:ascii="Times New Roman" w:eastAsia="Times New Roman" w:hAnsi="Times New Roman" w:cs="Times New Roman"/>
                <w:color w:val="000000"/>
                <w:sz w:val="20"/>
                <w:szCs w:val="20"/>
                <w:lang w:eastAsia="en-ZA"/>
              </w:rPr>
              <w:t>.</w:t>
            </w:r>
          </w:p>
          <w:p w14:paraId="5779126E" w14:textId="42AF31BB" w:rsidR="002D7080" w:rsidRPr="00C67C06" w:rsidRDefault="002D7080" w:rsidP="002E2C37">
            <w:pPr>
              <w:spacing w:after="0" w:line="240" w:lineRule="auto"/>
              <w:ind w:left="522" w:hanging="522"/>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Nunes, A.L., Zengeya, T.A., Measey, G.J. &amp; Weyl, O.L.F., 2017, ‘Freshwater crayfish invasions in South Africa: past, present and potential future’, African</w:t>
            </w:r>
            <w:r w:rsidRPr="00C67C06">
              <w:rPr>
                <w:rFonts w:ascii="Times New Roman" w:eastAsia="Times New Roman" w:hAnsi="Times New Roman" w:cs="Times New Roman"/>
                <w:i/>
                <w:color w:val="000000"/>
                <w:sz w:val="20"/>
                <w:szCs w:val="20"/>
                <w:lang w:eastAsia="en-ZA"/>
              </w:rPr>
              <w:t xml:space="preserve"> Journal of Aquatic Science</w:t>
            </w:r>
            <w:r w:rsidRPr="00C67C06">
              <w:rPr>
                <w:rFonts w:ascii="Times New Roman" w:eastAsia="Times New Roman" w:hAnsi="Times New Roman" w:cs="Times New Roman"/>
                <w:color w:val="000000"/>
                <w:sz w:val="20"/>
                <w:szCs w:val="20"/>
                <w:lang w:eastAsia="en-ZA"/>
              </w:rPr>
              <w:t xml:space="preserve"> 42, 309–323.</w:t>
            </w:r>
            <w:r w:rsidR="00C67C06" w:rsidRPr="00C67C06">
              <w:rPr>
                <w:rFonts w:ascii="Times New Roman" w:hAnsi="Times New Roman" w:cs="Times New Roman"/>
              </w:rPr>
              <w:t xml:space="preserve"> </w:t>
            </w:r>
            <w:hyperlink r:id="rId194" w:history="1">
              <w:r w:rsidR="00C67C06" w:rsidRPr="00C67C06">
                <w:rPr>
                  <w:rStyle w:val="Hyperlink"/>
                  <w:rFonts w:ascii="Times New Roman" w:eastAsia="Times New Roman" w:hAnsi="Times New Roman" w:cs="Times New Roman"/>
                  <w:sz w:val="20"/>
                  <w:szCs w:val="20"/>
                  <w:lang w:eastAsia="en-ZA"/>
                </w:rPr>
                <w:t>https://doi.org/10.2989/16085914.2017.1405788</w:t>
              </w:r>
            </w:hyperlink>
          </w:p>
        </w:tc>
      </w:tr>
      <w:tr w:rsidR="002D7080" w:rsidRPr="004D1E6F" w14:paraId="4C7146B7"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0AD4BE8" w14:textId="77777777" w:rsidR="002D7080" w:rsidRPr="00C67C06" w:rsidRDefault="002D7080" w:rsidP="002E2C37">
            <w:pPr>
              <w:spacing w:after="0" w:line="240" w:lineRule="auto"/>
              <w:rPr>
                <w:rFonts w:ascii="Times New Roman" w:eastAsia="Times New Roman" w:hAnsi="Times New Roman" w:cs="Times New Roman"/>
                <w:b/>
                <w:color w:val="000000"/>
                <w:sz w:val="20"/>
                <w:szCs w:val="20"/>
                <w:lang w:eastAsia="en-ZA"/>
              </w:rPr>
            </w:pPr>
            <w:r w:rsidRPr="00C67C06">
              <w:rPr>
                <w:rFonts w:ascii="Times New Roman" w:eastAsia="Times New Roman" w:hAnsi="Times New Roman" w:cs="Times New Roman"/>
                <w:b/>
                <w:color w:val="000000"/>
                <w:sz w:val="20"/>
                <w:szCs w:val="20"/>
                <w:lang w:eastAsia="en-ZA"/>
              </w:rPr>
              <w:t>BAC14 Primary (introduction) pathways</w:t>
            </w:r>
          </w:p>
          <w:p w14:paraId="2345EBBC"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p>
        </w:tc>
      </w:tr>
      <w:tr w:rsidR="002D7080" w:rsidRPr="004D1E6F" w14:paraId="23636576" w14:textId="77777777" w:rsidTr="002E2C37">
        <w:trPr>
          <w:cantSplit/>
          <w:trHeight w:val="61"/>
        </w:trPr>
        <w:tc>
          <w:tcPr>
            <w:tcW w:w="2520" w:type="dxa"/>
            <w:tcBorders>
              <w:top w:val="single" w:sz="4" w:space="0" w:color="auto"/>
              <w:left w:val="single" w:sz="4" w:space="0" w:color="auto"/>
              <w:bottom w:val="single" w:sz="4" w:space="0" w:color="auto"/>
              <w:right w:val="single" w:sz="4" w:space="0" w:color="auto"/>
            </w:tcBorders>
            <w:noWrap/>
          </w:tcPr>
          <w:p w14:paraId="30B2B5E5"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Release</w:t>
            </w:r>
          </w:p>
        </w:tc>
        <w:tc>
          <w:tcPr>
            <w:tcW w:w="3604" w:type="dxa"/>
            <w:gridSpan w:val="2"/>
            <w:tcBorders>
              <w:top w:val="single" w:sz="4" w:space="0" w:color="auto"/>
              <w:left w:val="single" w:sz="4" w:space="0" w:color="auto"/>
              <w:bottom w:val="single" w:sz="4" w:space="0" w:color="auto"/>
              <w:right w:val="single" w:sz="4" w:space="0" w:color="auto"/>
            </w:tcBorders>
          </w:tcPr>
          <w:p w14:paraId="52F8DCBF"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30395AF6"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w:t>
            </w:r>
          </w:p>
        </w:tc>
      </w:tr>
      <w:tr w:rsidR="002D7080" w:rsidRPr="004D1E6F" w14:paraId="71877584" w14:textId="77777777" w:rsidTr="002E2C37">
        <w:trPr>
          <w:cantSplit/>
          <w:trHeight w:val="58"/>
        </w:trPr>
        <w:tc>
          <w:tcPr>
            <w:tcW w:w="2520" w:type="dxa"/>
            <w:tcBorders>
              <w:top w:val="single" w:sz="4" w:space="0" w:color="auto"/>
              <w:left w:val="single" w:sz="4" w:space="0" w:color="auto"/>
              <w:bottom w:val="single" w:sz="4" w:space="0" w:color="auto"/>
              <w:right w:val="single" w:sz="4" w:space="0" w:color="auto"/>
            </w:tcBorders>
            <w:noWrap/>
          </w:tcPr>
          <w:p w14:paraId="37382E65"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Escape</w:t>
            </w:r>
          </w:p>
        </w:tc>
        <w:tc>
          <w:tcPr>
            <w:tcW w:w="3604" w:type="dxa"/>
            <w:gridSpan w:val="2"/>
            <w:tcBorders>
              <w:top w:val="single" w:sz="4" w:space="0" w:color="auto"/>
              <w:left w:val="single" w:sz="4" w:space="0" w:color="auto"/>
              <w:bottom w:val="single" w:sz="4" w:space="0" w:color="auto"/>
              <w:right w:val="single" w:sz="4" w:space="0" w:color="auto"/>
            </w:tcBorders>
          </w:tcPr>
          <w:p w14:paraId="015899F5"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Aquarium trade | Live bait</w:t>
            </w:r>
          </w:p>
        </w:tc>
        <w:tc>
          <w:tcPr>
            <w:tcW w:w="2666" w:type="dxa"/>
            <w:tcBorders>
              <w:top w:val="single" w:sz="4" w:space="0" w:color="auto"/>
              <w:left w:val="single" w:sz="4" w:space="0" w:color="auto"/>
              <w:bottom w:val="single" w:sz="4" w:space="0" w:color="auto"/>
              <w:right w:val="single" w:sz="4" w:space="0" w:color="auto"/>
            </w:tcBorders>
          </w:tcPr>
          <w:p w14:paraId="3F17077F"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Confidence: Low </w:t>
            </w:r>
          </w:p>
        </w:tc>
      </w:tr>
      <w:tr w:rsidR="002D7080" w:rsidRPr="004D1E6F" w14:paraId="3381FDA7" w14:textId="77777777" w:rsidTr="002E2C37">
        <w:trPr>
          <w:cantSplit/>
          <w:trHeight w:val="58"/>
        </w:trPr>
        <w:tc>
          <w:tcPr>
            <w:tcW w:w="2520" w:type="dxa"/>
            <w:tcBorders>
              <w:top w:val="single" w:sz="4" w:space="0" w:color="auto"/>
              <w:left w:val="single" w:sz="4" w:space="0" w:color="auto"/>
              <w:bottom w:val="single" w:sz="4" w:space="0" w:color="auto"/>
              <w:right w:val="single" w:sz="4" w:space="0" w:color="auto"/>
            </w:tcBorders>
            <w:noWrap/>
          </w:tcPr>
          <w:p w14:paraId="74B44136"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Contaminant</w:t>
            </w:r>
          </w:p>
        </w:tc>
        <w:tc>
          <w:tcPr>
            <w:tcW w:w="3604" w:type="dxa"/>
            <w:gridSpan w:val="2"/>
            <w:tcBorders>
              <w:top w:val="single" w:sz="4" w:space="0" w:color="auto"/>
              <w:left w:val="single" w:sz="4" w:space="0" w:color="auto"/>
              <w:bottom w:val="single" w:sz="4" w:space="0" w:color="auto"/>
              <w:right w:val="single" w:sz="4" w:space="0" w:color="auto"/>
            </w:tcBorders>
          </w:tcPr>
          <w:p w14:paraId="4236A2FD"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45178CD1"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w:t>
            </w:r>
          </w:p>
        </w:tc>
      </w:tr>
      <w:tr w:rsidR="002D7080" w:rsidRPr="004D1E6F" w14:paraId="3A4AEEE6" w14:textId="77777777" w:rsidTr="002E2C37">
        <w:trPr>
          <w:cantSplit/>
          <w:trHeight w:val="58"/>
        </w:trPr>
        <w:tc>
          <w:tcPr>
            <w:tcW w:w="2520" w:type="dxa"/>
            <w:tcBorders>
              <w:top w:val="single" w:sz="4" w:space="0" w:color="auto"/>
              <w:left w:val="single" w:sz="4" w:space="0" w:color="auto"/>
              <w:bottom w:val="single" w:sz="4" w:space="0" w:color="auto"/>
              <w:right w:val="single" w:sz="4" w:space="0" w:color="auto"/>
            </w:tcBorders>
            <w:noWrap/>
          </w:tcPr>
          <w:p w14:paraId="1CECAD56"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Stowaway</w:t>
            </w:r>
          </w:p>
        </w:tc>
        <w:tc>
          <w:tcPr>
            <w:tcW w:w="3604" w:type="dxa"/>
            <w:gridSpan w:val="2"/>
            <w:tcBorders>
              <w:top w:val="single" w:sz="4" w:space="0" w:color="auto"/>
              <w:left w:val="single" w:sz="4" w:space="0" w:color="auto"/>
              <w:bottom w:val="single" w:sz="4" w:space="0" w:color="auto"/>
              <w:right w:val="single" w:sz="4" w:space="0" w:color="auto"/>
            </w:tcBorders>
          </w:tcPr>
          <w:p w14:paraId="3EC28286"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None </w:t>
            </w:r>
          </w:p>
        </w:tc>
        <w:tc>
          <w:tcPr>
            <w:tcW w:w="2666" w:type="dxa"/>
            <w:tcBorders>
              <w:top w:val="single" w:sz="4" w:space="0" w:color="auto"/>
              <w:left w:val="single" w:sz="4" w:space="0" w:color="auto"/>
              <w:bottom w:val="single" w:sz="4" w:space="0" w:color="auto"/>
              <w:right w:val="single" w:sz="4" w:space="0" w:color="auto"/>
            </w:tcBorders>
          </w:tcPr>
          <w:p w14:paraId="4716370E"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w:t>
            </w:r>
          </w:p>
        </w:tc>
      </w:tr>
      <w:tr w:rsidR="002D7080" w:rsidRPr="004D1E6F" w14:paraId="1F85D7FC" w14:textId="77777777" w:rsidTr="002E2C37">
        <w:trPr>
          <w:cantSplit/>
          <w:trHeight w:val="58"/>
        </w:trPr>
        <w:tc>
          <w:tcPr>
            <w:tcW w:w="2520" w:type="dxa"/>
            <w:tcBorders>
              <w:top w:val="single" w:sz="4" w:space="0" w:color="auto"/>
              <w:left w:val="single" w:sz="4" w:space="0" w:color="auto"/>
              <w:bottom w:val="single" w:sz="4" w:space="0" w:color="auto"/>
              <w:right w:val="single" w:sz="4" w:space="0" w:color="auto"/>
            </w:tcBorders>
            <w:noWrap/>
          </w:tcPr>
          <w:p w14:paraId="67BBCD16"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Corridor</w:t>
            </w:r>
          </w:p>
        </w:tc>
        <w:tc>
          <w:tcPr>
            <w:tcW w:w="3604" w:type="dxa"/>
            <w:gridSpan w:val="2"/>
            <w:tcBorders>
              <w:top w:val="single" w:sz="4" w:space="0" w:color="auto"/>
              <w:left w:val="single" w:sz="4" w:space="0" w:color="auto"/>
              <w:bottom w:val="single" w:sz="4" w:space="0" w:color="auto"/>
              <w:right w:val="single" w:sz="4" w:space="0" w:color="auto"/>
            </w:tcBorders>
          </w:tcPr>
          <w:p w14:paraId="2AB7B589"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64BC1BDD"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w:t>
            </w:r>
          </w:p>
        </w:tc>
      </w:tr>
      <w:tr w:rsidR="002D7080" w:rsidRPr="004D1E6F" w14:paraId="770CC9A9" w14:textId="77777777" w:rsidTr="002E2C37">
        <w:trPr>
          <w:cantSplit/>
          <w:trHeight w:val="58"/>
        </w:trPr>
        <w:tc>
          <w:tcPr>
            <w:tcW w:w="2520" w:type="dxa"/>
            <w:tcBorders>
              <w:top w:val="single" w:sz="4" w:space="0" w:color="auto"/>
              <w:left w:val="single" w:sz="4" w:space="0" w:color="auto"/>
              <w:bottom w:val="single" w:sz="4" w:space="0" w:color="auto"/>
              <w:right w:val="single" w:sz="4" w:space="0" w:color="auto"/>
            </w:tcBorders>
            <w:noWrap/>
          </w:tcPr>
          <w:p w14:paraId="6CBBAB32"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Unaided</w:t>
            </w:r>
          </w:p>
        </w:tc>
        <w:tc>
          <w:tcPr>
            <w:tcW w:w="3604" w:type="dxa"/>
            <w:gridSpan w:val="2"/>
            <w:tcBorders>
              <w:top w:val="single" w:sz="4" w:space="0" w:color="auto"/>
              <w:left w:val="single" w:sz="4" w:space="0" w:color="auto"/>
              <w:bottom w:val="single" w:sz="4" w:space="0" w:color="auto"/>
              <w:right w:val="single" w:sz="4" w:space="0" w:color="auto"/>
            </w:tcBorders>
          </w:tcPr>
          <w:p w14:paraId="76A39665"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None </w:t>
            </w:r>
          </w:p>
        </w:tc>
        <w:tc>
          <w:tcPr>
            <w:tcW w:w="2666" w:type="dxa"/>
            <w:tcBorders>
              <w:top w:val="single" w:sz="4" w:space="0" w:color="auto"/>
              <w:left w:val="single" w:sz="4" w:space="0" w:color="auto"/>
              <w:bottom w:val="single" w:sz="4" w:space="0" w:color="auto"/>
              <w:right w:val="single" w:sz="4" w:space="0" w:color="auto"/>
            </w:tcBorders>
          </w:tcPr>
          <w:p w14:paraId="7CCD9CFE" w14:textId="77777777" w:rsidR="002D7080" w:rsidRPr="00C67C06" w:rsidRDefault="002D7080" w:rsidP="002E2C37">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w:t>
            </w:r>
          </w:p>
        </w:tc>
      </w:tr>
      <w:tr w:rsidR="002D7080" w:rsidRPr="004D1E6F" w14:paraId="076C475E"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40A14F4E" w14:textId="77777777" w:rsidR="002D7080" w:rsidRPr="00C67C06" w:rsidRDefault="002D7080" w:rsidP="002E2C37">
            <w:pPr>
              <w:spacing w:after="0" w:line="240" w:lineRule="auto"/>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Comments:</w:t>
            </w:r>
            <w:r w:rsidRPr="00C67C06">
              <w:rPr>
                <w:rFonts w:ascii="Times New Roman" w:hAnsi="Times New Roman" w:cs="Times New Roman"/>
              </w:rPr>
              <w:t xml:space="preserve"> </w:t>
            </w:r>
            <w:r w:rsidRPr="00C67C06">
              <w:rPr>
                <w:rFonts w:ascii="Times New Roman" w:hAnsi="Times New Roman" w:cs="Times New Roman"/>
                <w:sz w:val="20"/>
                <w:szCs w:val="20"/>
              </w:rPr>
              <w:t xml:space="preserve">Introduced as bait in areas outside its native range in North America and the introduction pathway is unclear outside the USA but likely aquarium trade and or fishing bait (Dehus et al. 1999; Chocholl 2013, </w:t>
            </w:r>
            <w:r w:rsidRPr="00C67C06">
              <w:rPr>
                <w:rFonts w:ascii="Times New Roman" w:hAnsi="Times New Roman" w:cs="Times New Roman"/>
                <w:color w:val="222222"/>
                <w:sz w:val="20"/>
                <w:szCs w:val="20"/>
                <w:shd w:val="clear" w:color="auto" w:fill="FFFFFF"/>
              </w:rPr>
              <w:t>Schrimpf et al. 2013</w:t>
            </w:r>
            <w:r w:rsidRPr="00C67C06">
              <w:rPr>
                <w:rFonts w:ascii="Times New Roman" w:hAnsi="Times New Roman" w:cs="Times New Roman"/>
                <w:sz w:val="20"/>
                <w:szCs w:val="20"/>
              </w:rPr>
              <w:t>).</w:t>
            </w:r>
          </w:p>
        </w:tc>
      </w:tr>
      <w:tr w:rsidR="002D7080" w:rsidRPr="00C67C06" w14:paraId="31672EF1"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5FFAA76E" w14:textId="77777777" w:rsidR="002D7080" w:rsidRPr="00C67C06" w:rsidRDefault="002D7080" w:rsidP="00A774C1">
            <w:pPr>
              <w:spacing w:after="0"/>
              <w:contextualSpacing/>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lastRenderedPageBreak/>
              <w:t>References:</w:t>
            </w:r>
          </w:p>
          <w:p w14:paraId="2DF60F56" w14:textId="77777777" w:rsidR="002D7080" w:rsidRPr="00C67C06" w:rsidRDefault="002D7080" w:rsidP="00A774C1">
            <w:pPr>
              <w:spacing w:after="0"/>
              <w:ind w:left="720" w:hanging="720"/>
              <w:jc w:val="both"/>
              <w:rPr>
                <w:rFonts w:ascii="Times New Roman" w:eastAsia="Times New Roman" w:hAnsi="Times New Roman" w:cs="Times New Roman"/>
                <w:sz w:val="20"/>
                <w:szCs w:val="20"/>
                <w:lang w:eastAsia="en-ZA"/>
              </w:rPr>
            </w:pPr>
            <w:r w:rsidRPr="00C67C06">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C67C06">
              <w:rPr>
                <w:rFonts w:ascii="Times New Roman" w:eastAsia="Times New Roman" w:hAnsi="Times New Roman" w:cs="Times New Roman"/>
                <w:i/>
                <w:iCs/>
                <w:sz w:val="20"/>
                <w:szCs w:val="20"/>
                <w:lang w:eastAsia="en-ZA"/>
              </w:rPr>
              <w:t>Biological Invasions</w:t>
            </w:r>
            <w:r w:rsidRPr="00C67C06">
              <w:rPr>
                <w:rFonts w:ascii="Times New Roman" w:eastAsia="Times New Roman" w:hAnsi="Times New Roman" w:cs="Times New Roman"/>
                <w:sz w:val="20"/>
                <w:szCs w:val="20"/>
                <w:lang w:eastAsia="en-ZA"/>
              </w:rPr>
              <w:t xml:space="preserve"> </w:t>
            </w:r>
            <w:r w:rsidRPr="00C67C06">
              <w:rPr>
                <w:rFonts w:ascii="Times New Roman" w:eastAsia="Times New Roman" w:hAnsi="Times New Roman" w:cs="Times New Roman"/>
                <w:iCs/>
                <w:sz w:val="20"/>
                <w:szCs w:val="20"/>
                <w:lang w:eastAsia="en-ZA"/>
              </w:rPr>
              <w:t>15</w:t>
            </w:r>
            <w:r w:rsidRPr="00C67C06">
              <w:rPr>
                <w:rFonts w:ascii="Times New Roman" w:eastAsia="Times New Roman" w:hAnsi="Times New Roman" w:cs="Times New Roman"/>
                <w:sz w:val="20"/>
                <w:szCs w:val="20"/>
                <w:lang w:eastAsia="en-ZA"/>
              </w:rPr>
              <w:t xml:space="preserve">, 125–141. </w:t>
            </w:r>
            <w:hyperlink w:history="1">
              <w:r w:rsidRPr="00C67C06">
                <w:rPr>
                  <w:rStyle w:val="Hyperlink"/>
                  <w:rFonts w:ascii="Times New Roman" w:eastAsia="Times New Roman" w:hAnsi="Times New Roman" w:cs="Times New Roman"/>
                  <w:sz w:val="20"/>
                  <w:szCs w:val="20"/>
                  <w:lang w:eastAsia="en-ZA"/>
                </w:rPr>
                <w:t>https://doi.org/10.1007/s10530-012-0273-2</w:t>
              </w:r>
            </w:hyperlink>
            <w:r w:rsidRPr="00C67C06">
              <w:rPr>
                <w:rFonts w:ascii="Times New Roman" w:eastAsia="Times New Roman" w:hAnsi="Times New Roman" w:cs="Times New Roman"/>
                <w:sz w:val="20"/>
                <w:szCs w:val="20"/>
                <w:lang w:eastAsia="en-ZA"/>
              </w:rPr>
              <w:t>.</w:t>
            </w:r>
          </w:p>
          <w:p w14:paraId="53B7310E" w14:textId="77777777" w:rsidR="002D7080" w:rsidRPr="00C67C06" w:rsidRDefault="002D7080" w:rsidP="00A774C1">
            <w:pPr>
              <w:spacing w:after="0"/>
              <w:ind w:left="720" w:hanging="720"/>
              <w:jc w:val="both"/>
              <w:rPr>
                <w:rFonts w:ascii="Times New Roman" w:hAnsi="Times New Roman" w:cs="Times New Roman"/>
                <w:sz w:val="20"/>
                <w:szCs w:val="20"/>
              </w:rPr>
            </w:pPr>
            <w:r w:rsidRPr="00C67C06">
              <w:rPr>
                <w:rFonts w:ascii="Times New Roman" w:hAnsi="Times New Roman" w:cs="Times New Roman"/>
                <w:sz w:val="20"/>
                <w:szCs w:val="20"/>
              </w:rPr>
              <w:t>Dehus, P., Dussling, U. &amp; Hoffmann, C., 1999, ‘Notes on the occurrence of the calico crayfish (</w:t>
            </w:r>
            <w:r w:rsidRPr="00C67C06">
              <w:rPr>
                <w:rFonts w:ascii="Times New Roman" w:hAnsi="Times New Roman" w:cs="Times New Roman"/>
                <w:i/>
                <w:iCs/>
                <w:sz w:val="20"/>
                <w:szCs w:val="20"/>
              </w:rPr>
              <w:t>Orconectes immunis</w:t>
            </w:r>
            <w:r w:rsidRPr="00C67C06">
              <w:rPr>
                <w:rFonts w:ascii="Times New Roman" w:hAnsi="Times New Roman" w:cs="Times New Roman"/>
                <w:sz w:val="20"/>
                <w:szCs w:val="20"/>
              </w:rPr>
              <w:t xml:space="preserve">) in Germany’, </w:t>
            </w:r>
            <w:r w:rsidRPr="00C67C06">
              <w:rPr>
                <w:rFonts w:ascii="Times New Roman" w:hAnsi="Times New Roman" w:cs="Times New Roman"/>
                <w:i/>
                <w:iCs/>
                <w:sz w:val="20"/>
                <w:szCs w:val="20"/>
              </w:rPr>
              <w:t>Freshwater Crayfish</w:t>
            </w:r>
            <w:r w:rsidRPr="00C67C06">
              <w:rPr>
                <w:rFonts w:ascii="Times New Roman" w:hAnsi="Times New Roman" w:cs="Times New Roman"/>
                <w:sz w:val="20"/>
                <w:szCs w:val="20"/>
              </w:rPr>
              <w:t>, 12, 786–790.</w:t>
            </w:r>
          </w:p>
          <w:p w14:paraId="35E1C59F" w14:textId="54A5FBA6" w:rsidR="002D7080" w:rsidRPr="00C67C06" w:rsidRDefault="002D7080" w:rsidP="00A774C1">
            <w:pPr>
              <w:spacing w:after="0"/>
              <w:ind w:left="720" w:hanging="720"/>
              <w:jc w:val="both"/>
              <w:rPr>
                <w:rFonts w:ascii="Times New Roman" w:eastAsia="Calibri" w:hAnsi="Times New Roman" w:cs="Times New Roman"/>
                <w:bCs/>
                <w:sz w:val="20"/>
                <w:szCs w:val="20"/>
              </w:rPr>
            </w:pPr>
            <w:r w:rsidRPr="00C67C06">
              <w:rPr>
                <w:rFonts w:ascii="Times New Roman" w:hAnsi="Times New Roman" w:cs="Times New Roman"/>
                <w:color w:val="000000" w:themeColor="text1"/>
                <w:sz w:val="20"/>
                <w:szCs w:val="20"/>
                <w:shd w:val="clear" w:color="auto" w:fill="FFFFFF"/>
              </w:rPr>
              <w:t xml:space="preserve">Schrimpf, A., Chucholl, C., Schmidt, T., &amp; Schulz, R., 2013, ‘Crayfish plague agent detected in populations of the invasive North American crayfish </w:t>
            </w:r>
            <w:r w:rsidRPr="00C67C06">
              <w:rPr>
                <w:rFonts w:ascii="Times New Roman" w:hAnsi="Times New Roman" w:cs="Times New Roman"/>
                <w:i/>
                <w:iCs/>
                <w:color w:val="000000" w:themeColor="text1"/>
                <w:sz w:val="20"/>
                <w:szCs w:val="20"/>
                <w:shd w:val="clear" w:color="auto" w:fill="FFFFFF"/>
              </w:rPr>
              <w:t>Orconectes immunis</w:t>
            </w:r>
            <w:r w:rsidRPr="00C67C06">
              <w:rPr>
                <w:rFonts w:ascii="Times New Roman" w:hAnsi="Times New Roman" w:cs="Times New Roman"/>
                <w:color w:val="000000" w:themeColor="text1"/>
                <w:sz w:val="20"/>
                <w:szCs w:val="20"/>
                <w:shd w:val="clear" w:color="auto" w:fill="FFFFFF"/>
              </w:rPr>
              <w:t xml:space="preserve"> (Hagen, 1870) in the Rhine River, Germany’, </w:t>
            </w:r>
            <w:r w:rsidRPr="00C67C06">
              <w:rPr>
                <w:rFonts w:ascii="Times New Roman" w:hAnsi="Times New Roman" w:cs="Times New Roman"/>
                <w:i/>
                <w:iCs/>
                <w:color w:val="000000" w:themeColor="text1"/>
                <w:sz w:val="20"/>
                <w:szCs w:val="20"/>
                <w:shd w:val="clear" w:color="auto" w:fill="FFFFFF"/>
              </w:rPr>
              <w:t>Aquatic Invasions</w:t>
            </w:r>
            <w:r w:rsidRPr="00C67C06">
              <w:rPr>
                <w:rFonts w:ascii="Times New Roman" w:hAnsi="Times New Roman" w:cs="Times New Roman"/>
                <w:color w:val="000000" w:themeColor="text1"/>
                <w:sz w:val="20"/>
                <w:szCs w:val="20"/>
                <w:shd w:val="clear" w:color="auto" w:fill="FFFFFF"/>
              </w:rPr>
              <w:t>, 8(1).</w:t>
            </w:r>
            <w:r w:rsidR="001C35CA" w:rsidRPr="00C67C06">
              <w:rPr>
                <w:rFonts w:ascii="Times New Roman" w:hAnsi="Times New Roman" w:cs="Times New Roman"/>
              </w:rPr>
              <w:t xml:space="preserve"> </w:t>
            </w:r>
            <w:r w:rsidR="001C35CA" w:rsidRPr="00C67C06">
              <w:rPr>
                <w:rFonts w:ascii="Times New Roman" w:hAnsi="Times New Roman" w:cs="Times New Roman"/>
                <w:color w:val="000000" w:themeColor="text1"/>
                <w:sz w:val="20"/>
                <w:szCs w:val="20"/>
                <w:shd w:val="clear" w:color="auto" w:fill="FFFFFF"/>
              </w:rPr>
              <w:t>http://dx.doi.org/10.3391/ai.2013.8.1.12</w:t>
            </w:r>
          </w:p>
        </w:tc>
      </w:tr>
    </w:tbl>
    <w:p w14:paraId="5E80A6A5" w14:textId="77777777" w:rsidR="002D7080" w:rsidRPr="00C67C06" w:rsidRDefault="002D7080" w:rsidP="00A774C1">
      <w:pPr>
        <w:spacing w:after="0"/>
        <w:jc w:val="both"/>
        <w:rPr>
          <w:rFonts w:ascii="Times New Roman" w:eastAsia="Times New Roman" w:hAnsi="Times New Roman" w:cs="Times New Roman"/>
          <w:color w:val="000000"/>
          <w:sz w:val="20"/>
          <w:szCs w:val="20"/>
          <w:lang w:eastAsia="en-ZA"/>
        </w:rPr>
      </w:pPr>
    </w:p>
    <w:p w14:paraId="0885F2A5" w14:textId="77777777" w:rsidR="002D7080" w:rsidRPr="00C67C06" w:rsidRDefault="002D7080" w:rsidP="002D7080">
      <w:pPr>
        <w:spacing w:after="0" w:line="240" w:lineRule="auto"/>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b/>
          <w:color w:val="000000"/>
          <w:sz w:val="20"/>
          <w:szCs w:val="20"/>
          <w:lang w:eastAsia="en-ZA"/>
        </w:rPr>
        <w:t>2. Likelihood</w:t>
      </w:r>
    </w:p>
    <w:p w14:paraId="15BA4A3C" w14:textId="77777777" w:rsidR="002D7080" w:rsidRPr="00C67C06"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7"/>
        <w:tblW w:w="0" w:type="auto"/>
        <w:tblLook w:val="04A0" w:firstRow="1" w:lastRow="0" w:firstColumn="1" w:lastColumn="0" w:noHBand="0" w:noVBand="1"/>
      </w:tblPr>
      <w:tblGrid>
        <w:gridCol w:w="5524"/>
        <w:gridCol w:w="3492"/>
      </w:tblGrid>
      <w:tr w:rsidR="002D7080" w:rsidRPr="00C67C06" w14:paraId="77196220" w14:textId="77777777" w:rsidTr="002E2C37">
        <w:tc>
          <w:tcPr>
            <w:tcW w:w="9016" w:type="dxa"/>
            <w:gridSpan w:val="2"/>
            <w:shd w:val="clear" w:color="auto" w:fill="F2F2F2" w:themeFill="background1" w:themeFillShade="F2"/>
          </w:tcPr>
          <w:p w14:paraId="26BE8C4E" w14:textId="77777777" w:rsidR="002D7080" w:rsidRPr="00C67C06" w:rsidRDefault="002D7080" w:rsidP="00A774C1">
            <w:pPr>
              <w:contextualSpacing/>
              <w:jc w:val="both"/>
              <w:rPr>
                <w:rFonts w:ascii="Times New Roman" w:eastAsia="Times New Roman" w:hAnsi="Times New Roman" w:cs="Times New Roman"/>
                <w:b/>
                <w:color w:val="000000"/>
                <w:sz w:val="20"/>
                <w:szCs w:val="20"/>
                <w:lang w:eastAsia="en-ZA"/>
              </w:rPr>
            </w:pPr>
            <w:r w:rsidRPr="00C67C06">
              <w:rPr>
                <w:rFonts w:ascii="Times New Roman" w:eastAsia="Times New Roman" w:hAnsi="Times New Roman" w:cs="Times New Roman"/>
                <w:b/>
                <w:color w:val="000000"/>
                <w:sz w:val="20"/>
                <w:szCs w:val="20"/>
                <w:lang w:eastAsia="en-ZA"/>
              </w:rPr>
              <w:t>LIK1 Likelihood of entry via unaided primary pathways</w:t>
            </w:r>
          </w:p>
        </w:tc>
      </w:tr>
      <w:tr w:rsidR="002D7080" w:rsidRPr="00C67C06" w14:paraId="227D7788" w14:textId="77777777" w:rsidTr="002E2C37">
        <w:tc>
          <w:tcPr>
            <w:tcW w:w="5524" w:type="dxa"/>
          </w:tcPr>
          <w:p w14:paraId="23D66501" w14:textId="77777777" w:rsidR="002D7080" w:rsidRPr="00C67C06" w:rsidRDefault="002D7080" w:rsidP="00A774C1">
            <w:pPr>
              <w:contextualSpacing/>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Response: Very unlikely </w:t>
            </w:r>
            <w:r w:rsidRPr="00C67C06">
              <w:rPr>
                <w:rFonts w:ascii="Times New Roman" w:eastAsia="Times New Roman" w:hAnsi="Times New Roman" w:cs="Times New Roman"/>
                <w:sz w:val="20"/>
                <w:szCs w:val="20"/>
                <w:lang w:eastAsia="en-ZA"/>
              </w:rPr>
              <w:t>(p = 0.0027)</w:t>
            </w:r>
          </w:p>
        </w:tc>
        <w:tc>
          <w:tcPr>
            <w:tcW w:w="3492" w:type="dxa"/>
          </w:tcPr>
          <w:p w14:paraId="72EDA91B" w14:textId="77777777" w:rsidR="002D7080" w:rsidRPr="00C67C06" w:rsidRDefault="002D7080" w:rsidP="00A774C1">
            <w:pPr>
              <w:contextualSpacing/>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 Low</w:t>
            </w:r>
          </w:p>
        </w:tc>
      </w:tr>
      <w:tr w:rsidR="002D7080" w:rsidRPr="00C67C06" w14:paraId="60F23B75" w14:textId="77777777" w:rsidTr="002E2C37">
        <w:trPr>
          <w:trHeight w:val="614"/>
        </w:trPr>
        <w:tc>
          <w:tcPr>
            <w:tcW w:w="9016" w:type="dxa"/>
            <w:gridSpan w:val="2"/>
          </w:tcPr>
          <w:p w14:paraId="425F66A9" w14:textId="03260E64" w:rsidR="002D7080" w:rsidRPr="00C67C06" w:rsidRDefault="002D7080" w:rsidP="00A774C1">
            <w:pPr>
              <w:contextualSpacing/>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Rationale: There is no evidence that </w:t>
            </w:r>
            <w:r w:rsidRPr="00C67C06">
              <w:rPr>
                <w:rFonts w:ascii="Times New Roman" w:eastAsia="Times New Roman" w:hAnsi="Times New Roman" w:cs="Times New Roman"/>
                <w:i/>
                <w:iCs/>
                <w:color w:val="000000"/>
                <w:sz w:val="20"/>
                <w:szCs w:val="20"/>
                <w:lang w:eastAsia="en-ZA"/>
              </w:rPr>
              <w:t>F. immun</w:t>
            </w:r>
            <w:r w:rsidR="00B904C1">
              <w:rPr>
                <w:rFonts w:ascii="Times New Roman" w:eastAsia="Times New Roman" w:hAnsi="Times New Roman" w:cs="Times New Roman"/>
                <w:i/>
                <w:iCs/>
                <w:color w:val="000000"/>
                <w:sz w:val="20"/>
                <w:szCs w:val="20"/>
                <w:lang w:eastAsia="en-ZA"/>
              </w:rPr>
              <w:t>is</w:t>
            </w:r>
            <w:r w:rsidRPr="00C67C06">
              <w:rPr>
                <w:rFonts w:ascii="Times New Roman" w:eastAsia="Times New Roman" w:hAnsi="Times New Roman" w:cs="Times New Roman"/>
                <w:i/>
                <w:iCs/>
                <w:color w:val="000000"/>
                <w:sz w:val="20"/>
                <w:szCs w:val="20"/>
                <w:lang w:eastAsia="en-ZA"/>
              </w:rPr>
              <w:t xml:space="preserve"> </w:t>
            </w:r>
            <w:r w:rsidRPr="00C67C06">
              <w:rPr>
                <w:rFonts w:ascii="Times New Roman" w:eastAsia="Times New Roman" w:hAnsi="Times New Roman" w:cs="Times New Roman"/>
                <w:color w:val="000000"/>
                <w:sz w:val="20"/>
                <w:szCs w:val="20"/>
                <w:lang w:eastAsia="en-ZA"/>
              </w:rPr>
              <w:t xml:space="preserve">is present in South Africa or has established in the wild in neighbouring countries </w:t>
            </w:r>
            <w:r w:rsidRPr="00C67C06">
              <w:rPr>
                <w:rFonts w:ascii="Times New Roman" w:eastAsia="Times New Roman" w:hAnsi="Times New Roman" w:cs="Times New Roman"/>
                <w:color w:val="000000"/>
                <w:sz w:val="20"/>
                <w:szCs w:val="20"/>
                <w:lang w:eastAsia="en-ZA"/>
              </w:rPr>
              <w:fldChar w:fldCharType="begin" w:fldLock="1"/>
            </w:r>
            <w:r w:rsidRPr="00C67C06">
              <w:rPr>
                <w:rFonts w:ascii="Times New Roman" w:eastAsia="Times New Roman" w:hAnsi="Times New Roman" w:cs="Times New Roman"/>
                <w:color w:val="000000"/>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Madzivanzira et al. 2020)", "plainTextFormattedCitation" : "(Lodge et al. 2012, Madzivanzira et al. 2020)", "previouslyFormattedCitation" : "(Lodge et al. 2012, Madzivanzira et al. 2020)" }, "properties" : { "noteIndex" : 0 }, "schema" : "https://github.com/citation-style-language/schema/raw/master/csl-citation.json" }</w:instrText>
            </w:r>
            <w:r w:rsidRPr="00C67C06">
              <w:rPr>
                <w:rFonts w:ascii="Times New Roman" w:eastAsia="Times New Roman" w:hAnsi="Times New Roman" w:cs="Times New Roman"/>
                <w:color w:val="000000"/>
                <w:sz w:val="20"/>
                <w:szCs w:val="20"/>
                <w:lang w:eastAsia="en-ZA"/>
              </w:rPr>
              <w:fldChar w:fldCharType="separate"/>
            </w:r>
            <w:r w:rsidRPr="00C67C06">
              <w:rPr>
                <w:rFonts w:ascii="Times New Roman" w:eastAsia="Times New Roman" w:hAnsi="Times New Roman" w:cs="Times New Roman"/>
                <w:color w:val="000000"/>
                <w:sz w:val="20"/>
                <w:szCs w:val="20"/>
                <w:lang w:eastAsia="en-ZA"/>
              </w:rPr>
              <w:t>(Nunes et al. 2017; Madzivanzira et al. 2020)</w:t>
            </w:r>
            <w:r w:rsidRPr="00C67C06">
              <w:rPr>
                <w:rFonts w:ascii="Times New Roman" w:eastAsia="Times New Roman" w:hAnsi="Times New Roman" w:cs="Times New Roman"/>
                <w:color w:val="000000"/>
                <w:sz w:val="20"/>
                <w:szCs w:val="20"/>
                <w:lang w:eastAsia="en-ZA"/>
              </w:rPr>
              <w:fldChar w:fldCharType="end"/>
            </w:r>
            <w:r w:rsidRPr="00C67C06">
              <w:rPr>
                <w:rFonts w:ascii="Times New Roman" w:eastAsia="Times New Roman" w:hAnsi="Times New Roman" w:cs="Times New Roman"/>
                <w:color w:val="000000"/>
                <w:sz w:val="20"/>
                <w:szCs w:val="20"/>
                <w:lang w:eastAsia="en-ZA"/>
              </w:rPr>
              <w:t xml:space="preserve"> therefore the probability of </w:t>
            </w:r>
            <w:r w:rsidRPr="00C67C06">
              <w:rPr>
                <w:rFonts w:ascii="Times New Roman" w:eastAsia="Times New Roman" w:hAnsi="Times New Roman" w:cs="Times New Roman"/>
                <w:i/>
                <w:color w:val="000000"/>
                <w:sz w:val="20"/>
                <w:szCs w:val="20"/>
                <w:lang w:eastAsia="en-ZA"/>
              </w:rPr>
              <w:t>F. immun</w:t>
            </w:r>
            <w:r w:rsidR="00B904C1">
              <w:rPr>
                <w:rFonts w:ascii="Times New Roman" w:eastAsia="Times New Roman" w:hAnsi="Times New Roman" w:cs="Times New Roman"/>
                <w:i/>
                <w:color w:val="000000"/>
                <w:sz w:val="20"/>
                <w:szCs w:val="20"/>
                <w:lang w:eastAsia="en-ZA"/>
              </w:rPr>
              <w:t>is</w:t>
            </w:r>
            <w:r w:rsidRPr="00C67C06">
              <w:rPr>
                <w:rFonts w:ascii="Times New Roman" w:eastAsia="Times New Roman" w:hAnsi="Times New Roman" w:cs="Times New Roman"/>
                <w:color w:val="000000"/>
                <w:sz w:val="20"/>
                <w:szCs w:val="20"/>
                <w:lang w:eastAsia="en-ZA"/>
              </w:rPr>
              <w:t xml:space="preserve"> entering South Africa through unaided pathways (connected waterways) is very unlikely (p = 0.0027).</w:t>
            </w:r>
          </w:p>
        </w:tc>
      </w:tr>
      <w:tr w:rsidR="002D7080" w:rsidRPr="00C67C06" w14:paraId="754E54DC" w14:textId="77777777" w:rsidTr="002E2C37">
        <w:tc>
          <w:tcPr>
            <w:tcW w:w="9016" w:type="dxa"/>
            <w:gridSpan w:val="2"/>
          </w:tcPr>
          <w:p w14:paraId="47DFDE15" w14:textId="77777777" w:rsidR="002D7080" w:rsidRPr="00C67C06" w:rsidRDefault="002D7080" w:rsidP="00A774C1">
            <w:pPr>
              <w:contextualSpacing/>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References: </w:t>
            </w:r>
          </w:p>
          <w:p w14:paraId="725798A7" w14:textId="4B667F9C" w:rsidR="002D7080" w:rsidRPr="00C67C06" w:rsidRDefault="002D7080" w:rsidP="00A774C1">
            <w:pPr>
              <w:ind w:left="540" w:hanging="540"/>
              <w:contextualSpacing/>
              <w:jc w:val="both"/>
              <w:rPr>
                <w:rStyle w:val="Hyperlink"/>
                <w:rFonts w:ascii="Times New Roman" w:eastAsia="Times New Roman" w:hAnsi="Times New Roman" w:cs="Times New Roman"/>
                <w:iCs/>
                <w:sz w:val="20"/>
                <w:szCs w:val="20"/>
                <w:lang w:eastAsia="en-ZA"/>
              </w:rPr>
            </w:pPr>
            <w:r w:rsidRPr="00C67C06">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C67C06">
              <w:rPr>
                <w:rFonts w:ascii="Times New Roman" w:eastAsia="Times New Roman" w:hAnsi="Times New Roman" w:cs="Times New Roman"/>
                <w:i/>
                <w:sz w:val="20"/>
                <w:szCs w:val="20"/>
                <w:lang w:eastAsia="en-ZA"/>
              </w:rPr>
              <w:t xml:space="preserve">Reviews in Fisheries Science &amp; Aquaculture </w:t>
            </w:r>
            <w:r w:rsidRPr="00C67C06">
              <w:rPr>
                <w:rFonts w:ascii="Times New Roman" w:eastAsia="Times New Roman" w:hAnsi="Times New Roman" w:cs="Times New Roman"/>
                <w:sz w:val="20"/>
                <w:szCs w:val="20"/>
                <w:lang w:eastAsia="en-ZA"/>
              </w:rPr>
              <w:t>1-21</w:t>
            </w:r>
            <w:r w:rsidRPr="00C67C06">
              <w:rPr>
                <w:rFonts w:ascii="Times New Roman" w:eastAsia="Times New Roman" w:hAnsi="Times New Roman" w:cs="Times New Roman"/>
                <w:i/>
                <w:sz w:val="20"/>
                <w:szCs w:val="20"/>
                <w:lang w:eastAsia="en-ZA"/>
              </w:rPr>
              <w:t>.</w:t>
            </w:r>
            <w:r w:rsidRPr="00C67C06">
              <w:rPr>
                <w:rFonts w:ascii="Times New Roman" w:eastAsia="Times New Roman" w:hAnsi="Times New Roman" w:cs="Times New Roman"/>
                <w:iCs/>
                <w:sz w:val="20"/>
                <w:szCs w:val="20"/>
                <w:lang w:eastAsia="en-ZA"/>
              </w:rPr>
              <w:t xml:space="preserve"> </w:t>
            </w:r>
            <w:r w:rsidR="001C35CA" w:rsidRPr="008D5BFA">
              <w:rPr>
                <w:rFonts w:ascii="Times New Roman" w:hAnsi="Times New Roman" w:cs="Times New Roman"/>
                <w:sz w:val="20"/>
                <w:szCs w:val="20"/>
              </w:rPr>
              <w:t>https://doi.org/10.1080/23308249.2020.1802405</w:t>
            </w:r>
          </w:p>
          <w:p w14:paraId="25883462" w14:textId="363A6AED" w:rsidR="002D7080" w:rsidRPr="00C67C06" w:rsidRDefault="002D7080" w:rsidP="00A774C1">
            <w:pPr>
              <w:ind w:left="540" w:hanging="540"/>
              <w:contextualSpacing/>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C67C06">
              <w:rPr>
                <w:rFonts w:ascii="Times New Roman" w:eastAsia="Times New Roman" w:hAnsi="Times New Roman" w:cs="Times New Roman"/>
                <w:i/>
                <w:color w:val="000000"/>
                <w:sz w:val="20"/>
                <w:szCs w:val="20"/>
                <w:lang w:eastAsia="en-ZA"/>
              </w:rPr>
              <w:t>African Journal of Aquatic Science</w:t>
            </w:r>
            <w:r w:rsidRPr="00C67C06">
              <w:rPr>
                <w:rFonts w:ascii="Times New Roman" w:eastAsia="Times New Roman" w:hAnsi="Times New Roman" w:cs="Times New Roman"/>
                <w:color w:val="000000"/>
                <w:sz w:val="20"/>
                <w:szCs w:val="20"/>
                <w:lang w:eastAsia="en-ZA"/>
              </w:rPr>
              <w:t xml:space="preserve"> 42, 309–323. </w:t>
            </w:r>
            <w:hyperlink r:id="rId195" w:history="1">
              <w:r w:rsidR="001C35CA" w:rsidRPr="008D5BFA">
                <w:rPr>
                  <w:rStyle w:val="Hyperlink"/>
                  <w:rFonts w:ascii="Times New Roman" w:hAnsi="Times New Roman" w:cs="Times New Roman"/>
                  <w:sz w:val="20"/>
                  <w:szCs w:val="20"/>
                </w:rPr>
                <w:t>https://doi.org/10.2989/16085914.2017.1405788</w:t>
              </w:r>
            </w:hyperlink>
            <w:r w:rsidRPr="008D5BFA">
              <w:rPr>
                <w:rFonts w:ascii="Times New Roman" w:eastAsia="Times New Roman" w:hAnsi="Times New Roman" w:cs="Times New Roman"/>
                <w:color w:val="000000"/>
                <w:sz w:val="18"/>
                <w:szCs w:val="18"/>
                <w:lang w:eastAsia="en-ZA"/>
              </w:rPr>
              <w:t xml:space="preserve">. </w:t>
            </w:r>
          </w:p>
        </w:tc>
      </w:tr>
    </w:tbl>
    <w:p w14:paraId="591A8424" w14:textId="77777777" w:rsidR="002D7080" w:rsidRPr="00C67C06" w:rsidRDefault="002D7080" w:rsidP="00A774C1">
      <w:pPr>
        <w:spacing w:after="0"/>
        <w:jc w:val="both"/>
        <w:rPr>
          <w:rFonts w:ascii="Times New Roman" w:eastAsia="Times New Roman" w:hAnsi="Times New Roman" w:cs="Times New Roman"/>
          <w:b/>
          <w:color w:val="000000"/>
          <w:sz w:val="20"/>
          <w:szCs w:val="20"/>
          <w:lang w:eastAsia="en-ZA"/>
        </w:rPr>
      </w:pPr>
    </w:p>
    <w:tbl>
      <w:tblPr>
        <w:tblStyle w:val="TableGrid7"/>
        <w:tblW w:w="0" w:type="auto"/>
        <w:tblLook w:val="04A0" w:firstRow="1" w:lastRow="0" w:firstColumn="1" w:lastColumn="0" w:noHBand="0" w:noVBand="1"/>
      </w:tblPr>
      <w:tblGrid>
        <w:gridCol w:w="5524"/>
        <w:gridCol w:w="3492"/>
      </w:tblGrid>
      <w:tr w:rsidR="002D7080" w:rsidRPr="00C67C06" w14:paraId="2C97A40B" w14:textId="77777777" w:rsidTr="002E2C37">
        <w:tc>
          <w:tcPr>
            <w:tcW w:w="9016" w:type="dxa"/>
            <w:gridSpan w:val="2"/>
            <w:shd w:val="clear" w:color="auto" w:fill="F2F2F2" w:themeFill="background1" w:themeFillShade="F2"/>
          </w:tcPr>
          <w:p w14:paraId="694C3B9B" w14:textId="77777777" w:rsidR="002D7080" w:rsidRPr="00C67C06" w:rsidRDefault="002D7080" w:rsidP="00A774C1">
            <w:pPr>
              <w:jc w:val="both"/>
              <w:rPr>
                <w:rFonts w:ascii="Times New Roman" w:eastAsia="Times New Roman" w:hAnsi="Times New Roman" w:cs="Times New Roman"/>
                <w:b/>
                <w:color w:val="000000"/>
                <w:sz w:val="20"/>
                <w:szCs w:val="20"/>
                <w:lang w:eastAsia="en-ZA"/>
              </w:rPr>
            </w:pPr>
            <w:r w:rsidRPr="00C67C06">
              <w:rPr>
                <w:rFonts w:ascii="Times New Roman" w:eastAsia="Times New Roman" w:hAnsi="Times New Roman" w:cs="Times New Roman"/>
                <w:b/>
                <w:color w:val="000000"/>
                <w:sz w:val="20"/>
                <w:szCs w:val="20"/>
                <w:lang w:eastAsia="en-ZA"/>
              </w:rPr>
              <w:t>LIK2 Likelihood of entry via human aided primary pathways</w:t>
            </w:r>
          </w:p>
        </w:tc>
      </w:tr>
      <w:tr w:rsidR="002D7080" w:rsidRPr="00C67C06" w14:paraId="1BC8045C" w14:textId="77777777" w:rsidTr="002E2C37">
        <w:tc>
          <w:tcPr>
            <w:tcW w:w="5524" w:type="dxa"/>
          </w:tcPr>
          <w:p w14:paraId="507D01B4" w14:textId="77777777" w:rsidR="002D7080" w:rsidRPr="00C67C06" w:rsidRDefault="002D7080" w:rsidP="00A774C1">
            <w:pPr>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Response: Unlikely </w:t>
            </w:r>
            <w:r w:rsidRPr="00C67C06">
              <w:rPr>
                <w:rFonts w:ascii="Times New Roman" w:hAnsi="Times New Roman" w:cs="Times New Roman"/>
                <w:color w:val="000000"/>
                <w:sz w:val="20"/>
                <w:szCs w:val="20"/>
              </w:rPr>
              <w:t>(p = 0.027)</w:t>
            </w:r>
          </w:p>
        </w:tc>
        <w:tc>
          <w:tcPr>
            <w:tcW w:w="3492" w:type="dxa"/>
          </w:tcPr>
          <w:p w14:paraId="66B729B5" w14:textId="77777777" w:rsidR="002D7080" w:rsidRPr="00C67C06" w:rsidRDefault="002D7080" w:rsidP="00A774C1">
            <w:pPr>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 Low</w:t>
            </w:r>
          </w:p>
        </w:tc>
      </w:tr>
      <w:tr w:rsidR="002D7080" w:rsidRPr="00C67C06" w14:paraId="5B21031C" w14:textId="77777777" w:rsidTr="002E2C37">
        <w:tc>
          <w:tcPr>
            <w:tcW w:w="9016" w:type="dxa"/>
            <w:gridSpan w:val="2"/>
          </w:tcPr>
          <w:p w14:paraId="635BFDB5" w14:textId="77777777" w:rsidR="002D7080" w:rsidRPr="00C67C06" w:rsidRDefault="002D7080" w:rsidP="00A774C1">
            <w:pPr>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Rationale: </w:t>
            </w:r>
            <w:r w:rsidRPr="00C67C06">
              <w:rPr>
                <w:rFonts w:ascii="Times New Roman" w:eastAsia="Times New Roman" w:hAnsi="Times New Roman" w:cs="Times New Roman"/>
                <w:i/>
                <w:color w:val="000000"/>
                <w:sz w:val="20"/>
                <w:szCs w:val="20"/>
                <w:lang w:eastAsia="en-ZA"/>
              </w:rPr>
              <w:t>Faxonius immunis</w:t>
            </w:r>
            <w:r w:rsidRPr="00C67C06">
              <w:rPr>
                <w:rFonts w:ascii="Times New Roman" w:eastAsia="Times New Roman" w:hAnsi="Times New Roman" w:cs="Times New Roman"/>
                <w:color w:val="000000"/>
                <w:sz w:val="20"/>
                <w:szCs w:val="20"/>
                <w:lang w:eastAsia="en-ZA"/>
              </w:rPr>
              <w:t xml:space="preserve"> is present in the global pet trade, however it is considered rare and has only been found in the Germany and the United States of America (Chucholl 2013; Faulkes 2015). There is no evidence to show that </w:t>
            </w:r>
            <w:r w:rsidRPr="00C67C06">
              <w:rPr>
                <w:rFonts w:ascii="Times New Roman" w:eastAsia="Times New Roman" w:hAnsi="Times New Roman" w:cs="Times New Roman"/>
                <w:i/>
                <w:iCs/>
                <w:color w:val="000000"/>
                <w:sz w:val="20"/>
                <w:szCs w:val="20"/>
                <w:lang w:eastAsia="en-ZA"/>
              </w:rPr>
              <w:t xml:space="preserve">F. immunis </w:t>
            </w:r>
            <w:r w:rsidRPr="00C67C06">
              <w:rPr>
                <w:rFonts w:ascii="Times New Roman" w:eastAsia="Times New Roman" w:hAnsi="Times New Roman" w:cs="Times New Roman"/>
                <w:color w:val="000000"/>
                <w:sz w:val="20"/>
                <w:szCs w:val="20"/>
                <w:lang w:eastAsia="en-ZA"/>
              </w:rPr>
              <w:t>is currently traded in the South Africa pet trade industry, but this needs to be assessed (Nunes et al. 2017).</w:t>
            </w:r>
          </w:p>
        </w:tc>
      </w:tr>
      <w:tr w:rsidR="002D7080" w:rsidRPr="00C67C06" w14:paraId="39E2C91F" w14:textId="77777777" w:rsidTr="002E2C37">
        <w:tc>
          <w:tcPr>
            <w:tcW w:w="9016" w:type="dxa"/>
            <w:gridSpan w:val="2"/>
          </w:tcPr>
          <w:p w14:paraId="1C813AC4" w14:textId="77777777" w:rsidR="002D7080" w:rsidRPr="00C67C06" w:rsidRDefault="002D7080" w:rsidP="002E2C37">
            <w:pPr>
              <w:contextualSpacing/>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References:</w:t>
            </w:r>
          </w:p>
          <w:p w14:paraId="18E672D8" w14:textId="03B47B75" w:rsidR="00C50EE7" w:rsidRPr="00C67C06" w:rsidRDefault="002D7080" w:rsidP="00A774C1">
            <w:pPr>
              <w:ind w:left="720" w:hanging="720"/>
              <w:contextualSpacing/>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C67C06">
              <w:rPr>
                <w:rFonts w:ascii="Times New Roman" w:eastAsia="Times New Roman" w:hAnsi="Times New Roman" w:cs="Times New Roman"/>
                <w:i/>
                <w:iCs/>
                <w:sz w:val="20"/>
                <w:szCs w:val="20"/>
                <w:lang w:eastAsia="en-ZA"/>
              </w:rPr>
              <w:t>Biological Invasions</w:t>
            </w:r>
            <w:r w:rsidRPr="00C67C06">
              <w:rPr>
                <w:rFonts w:ascii="Times New Roman" w:eastAsia="Times New Roman" w:hAnsi="Times New Roman" w:cs="Times New Roman"/>
                <w:sz w:val="20"/>
                <w:szCs w:val="20"/>
                <w:lang w:eastAsia="en-ZA"/>
              </w:rPr>
              <w:t xml:space="preserve"> </w:t>
            </w:r>
            <w:r w:rsidRPr="00C67C06">
              <w:rPr>
                <w:rFonts w:ascii="Times New Roman" w:eastAsia="Times New Roman" w:hAnsi="Times New Roman" w:cs="Times New Roman"/>
                <w:iCs/>
                <w:sz w:val="20"/>
                <w:szCs w:val="20"/>
                <w:lang w:eastAsia="en-ZA"/>
              </w:rPr>
              <w:t>15</w:t>
            </w:r>
            <w:r w:rsidRPr="00C67C06">
              <w:rPr>
                <w:rFonts w:ascii="Times New Roman" w:eastAsia="Times New Roman" w:hAnsi="Times New Roman" w:cs="Times New Roman"/>
                <w:sz w:val="20"/>
                <w:szCs w:val="20"/>
                <w:lang w:eastAsia="en-ZA"/>
              </w:rPr>
              <w:t xml:space="preserve">, 125–141. </w:t>
            </w:r>
            <w:hyperlink r:id="rId196" w:history="1">
              <w:r w:rsidR="00C50EE7" w:rsidRPr="008D5BFA">
                <w:rPr>
                  <w:rStyle w:val="Hyperlink"/>
                  <w:rFonts w:ascii="Times New Roman" w:hAnsi="Times New Roman" w:cs="Times New Roman"/>
                  <w:sz w:val="20"/>
                  <w:szCs w:val="20"/>
                </w:rPr>
                <w:t>https://doi.org/10.1007/s10530-012-0273-2</w:t>
              </w:r>
            </w:hyperlink>
          </w:p>
          <w:p w14:paraId="49806092" w14:textId="50A768FD" w:rsidR="002D7080" w:rsidRPr="00C67C06" w:rsidRDefault="002D7080" w:rsidP="008A0BC6">
            <w:pPr>
              <w:ind w:left="720" w:hanging="720"/>
              <w:contextualSpacing/>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Faulkes, Z. 2015, ‘The global trade in crayfish as pets’, </w:t>
            </w:r>
            <w:r w:rsidRPr="00C67C06">
              <w:rPr>
                <w:rFonts w:ascii="Times New Roman" w:eastAsia="Times New Roman" w:hAnsi="Times New Roman" w:cs="Times New Roman"/>
                <w:i/>
                <w:iCs/>
                <w:color w:val="000000"/>
                <w:sz w:val="20"/>
                <w:szCs w:val="20"/>
                <w:lang w:eastAsia="en-ZA"/>
              </w:rPr>
              <w:t>Crustacean Research</w:t>
            </w:r>
            <w:r w:rsidRPr="00C67C06">
              <w:rPr>
                <w:rFonts w:ascii="Times New Roman" w:eastAsia="Times New Roman" w:hAnsi="Times New Roman" w:cs="Times New Roman"/>
                <w:color w:val="000000"/>
                <w:sz w:val="20"/>
                <w:szCs w:val="20"/>
                <w:lang w:eastAsia="en-ZA"/>
              </w:rPr>
              <w:t xml:space="preserve"> 44, 75–92.</w:t>
            </w:r>
            <w:r w:rsidR="008D5BFA">
              <w:rPr>
                <w:rFonts w:ascii="Times New Roman" w:eastAsia="Times New Roman" w:hAnsi="Times New Roman" w:cs="Times New Roman"/>
                <w:color w:val="000000"/>
                <w:sz w:val="20"/>
                <w:szCs w:val="20"/>
                <w:lang w:eastAsia="en-ZA"/>
              </w:rPr>
              <w:t xml:space="preserve"> </w:t>
            </w:r>
            <w:r w:rsidR="008D5BFA" w:rsidRPr="008D5BFA">
              <w:rPr>
                <w:rFonts w:ascii="Times New Roman" w:eastAsia="Times New Roman" w:hAnsi="Times New Roman" w:cs="Times New Roman"/>
                <w:sz w:val="20"/>
                <w:szCs w:val="20"/>
                <w:lang w:eastAsia="en-ZA"/>
              </w:rPr>
              <w:t>https://doi.org/10.18353/crustacea.44.0_75</w:t>
            </w:r>
          </w:p>
          <w:p w14:paraId="5D0592EF" w14:textId="5F9E6367" w:rsidR="002D7080" w:rsidRPr="00C67C06" w:rsidRDefault="002D7080" w:rsidP="00A774C1">
            <w:pPr>
              <w:ind w:left="720" w:hanging="720"/>
              <w:contextualSpacing/>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C67C06">
              <w:rPr>
                <w:rFonts w:ascii="Times New Roman" w:eastAsia="Times New Roman" w:hAnsi="Times New Roman" w:cs="Times New Roman"/>
                <w:i/>
                <w:color w:val="000000"/>
                <w:sz w:val="20"/>
                <w:szCs w:val="20"/>
                <w:lang w:eastAsia="en-ZA"/>
              </w:rPr>
              <w:t>African Journal of Aquatic Science</w:t>
            </w:r>
            <w:r w:rsidRPr="00C67C06">
              <w:rPr>
                <w:rFonts w:ascii="Times New Roman" w:eastAsia="Times New Roman" w:hAnsi="Times New Roman" w:cs="Times New Roman"/>
                <w:color w:val="000000"/>
                <w:sz w:val="20"/>
                <w:szCs w:val="20"/>
                <w:lang w:eastAsia="en-ZA"/>
              </w:rPr>
              <w:t xml:space="preserve"> 42, 309–323. </w:t>
            </w:r>
            <w:hyperlink r:id="rId197" w:history="1">
              <w:r w:rsidR="00C50EE7" w:rsidRPr="008A0BC6">
                <w:rPr>
                  <w:rStyle w:val="Hyperlink"/>
                  <w:rFonts w:ascii="Times New Roman" w:hAnsi="Times New Roman" w:cs="Times New Roman"/>
                  <w:sz w:val="20"/>
                  <w:szCs w:val="20"/>
                </w:rPr>
                <w:t>https://doi.org/10.2989/16085914.2017.1405788</w:t>
              </w:r>
            </w:hyperlink>
            <w:r w:rsidR="00C50EE7" w:rsidRPr="008A0BC6">
              <w:rPr>
                <w:rFonts w:ascii="Times New Roman" w:hAnsi="Times New Roman" w:cs="Times New Roman"/>
                <w:sz w:val="20"/>
                <w:szCs w:val="20"/>
              </w:rPr>
              <w:t>.</w:t>
            </w:r>
            <w:r w:rsidRPr="00C67C06">
              <w:rPr>
                <w:rFonts w:ascii="Times New Roman" w:eastAsia="Times New Roman" w:hAnsi="Times New Roman" w:cs="Times New Roman"/>
                <w:color w:val="000000"/>
                <w:sz w:val="20"/>
                <w:szCs w:val="20"/>
                <w:lang w:eastAsia="en-ZA"/>
              </w:rPr>
              <w:t xml:space="preserve">  </w:t>
            </w:r>
          </w:p>
        </w:tc>
      </w:tr>
    </w:tbl>
    <w:p w14:paraId="4C4A6C20" w14:textId="77777777" w:rsidR="002D7080" w:rsidRPr="00C67C06"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7"/>
        <w:tblW w:w="0" w:type="auto"/>
        <w:tblLook w:val="04A0" w:firstRow="1" w:lastRow="0" w:firstColumn="1" w:lastColumn="0" w:noHBand="0" w:noVBand="1"/>
      </w:tblPr>
      <w:tblGrid>
        <w:gridCol w:w="5524"/>
        <w:gridCol w:w="3492"/>
      </w:tblGrid>
      <w:tr w:rsidR="002D7080" w:rsidRPr="00C67C06" w14:paraId="793F1A46" w14:textId="77777777" w:rsidTr="002E2C37">
        <w:tc>
          <w:tcPr>
            <w:tcW w:w="9016" w:type="dxa"/>
            <w:gridSpan w:val="2"/>
            <w:shd w:val="clear" w:color="auto" w:fill="F2F2F2" w:themeFill="background1" w:themeFillShade="F2"/>
          </w:tcPr>
          <w:p w14:paraId="5E22D480" w14:textId="77777777" w:rsidR="002D7080" w:rsidRPr="00C67C06" w:rsidRDefault="002D7080" w:rsidP="002E2C37">
            <w:pPr>
              <w:rPr>
                <w:rFonts w:ascii="Times New Roman" w:eastAsia="Times New Roman" w:hAnsi="Times New Roman" w:cs="Times New Roman"/>
                <w:b/>
                <w:color w:val="000000"/>
                <w:sz w:val="20"/>
                <w:szCs w:val="20"/>
                <w:lang w:eastAsia="en-ZA"/>
              </w:rPr>
            </w:pPr>
            <w:r w:rsidRPr="00C67C06">
              <w:rPr>
                <w:rFonts w:ascii="Times New Roman" w:eastAsia="Times New Roman" w:hAnsi="Times New Roman" w:cs="Times New Roman"/>
                <w:b/>
                <w:color w:val="000000"/>
                <w:sz w:val="20"/>
                <w:szCs w:val="20"/>
                <w:lang w:eastAsia="en-ZA"/>
              </w:rPr>
              <w:t>LIK3 Habitat suitability</w:t>
            </w:r>
          </w:p>
        </w:tc>
      </w:tr>
      <w:tr w:rsidR="002D7080" w:rsidRPr="00C67C06" w14:paraId="1B33B704" w14:textId="77777777" w:rsidTr="002E2C37">
        <w:tc>
          <w:tcPr>
            <w:tcW w:w="5524" w:type="dxa"/>
          </w:tcPr>
          <w:p w14:paraId="04DFDF3A" w14:textId="77777777" w:rsidR="002D7080" w:rsidRPr="00C67C06" w:rsidRDefault="002D7080" w:rsidP="002E2C37">
            <w:pPr>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Response: Fairly probable (p = 0.5)</w:t>
            </w:r>
          </w:p>
        </w:tc>
        <w:tc>
          <w:tcPr>
            <w:tcW w:w="3492" w:type="dxa"/>
          </w:tcPr>
          <w:p w14:paraId="1B8367D9" w14:textId="77777777" w:rsidR="002D7080" w:rsidRPr="00C67C06" w:rsidRDefault="002D7080" w:rsidP="002E2C37">
            <w:pPr>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 Low</w:t>
            </w:r>
          </w:p>
        </w:tc>
      </w:tr>
      <w:tr w:rsidR="002D7080" w:rsidRPr="00C67C06" w14:paraId="7E38E224" w14:textId="77777777" w:rsidTr="002E2C37">
        <w:tc>
          <w:tcPr>
            <w:tcW w:w="9016" w:type="dxa"/>
            <w:gridSpan w:val="2"/>
          </w:tcPr>
          <w:p w14:paraId="2A00DD5C" w14:textId="77777777" w:rsidR="002D7080" w:rsidRPr="00C67C06" w:rsidRDefault="002D7080" w:rsidP="00A774C1">
            <w:pPr>
              <w:autoSpaceDE w:val="0"/>
              <w:autoSpaceDN w:val="0"/>
              <w:adjustRightInd w:val="0"/>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Rationale: </w:t>
            </w:r>
            <w:r w:rsidRPr="00C67C06">
              <w:rPr>
                <w:rFonts w:ascii="Times New Roman" w:eastAsia="Times New Roman" w:hAnsi="Times New Roman" w:cs="Times New Roman"/>
                <w:i/>
                <w:color w:val="000000"/>
                <w:sz w:val="20"/>
                <w:szCs w:val="20"/>
                <w:lang w:eastAsia="en-ZA"/>
              </w:rPr>
              <w:t>Faxonius immunis</w:t>
            </w:r>
            <w:r w:rsidRPr="00C67C06">
              <w:rPr>
                <w:rFonts w:ascii="Times New Roman" w:eastAsia="Times New Roman" w:hAnsi="Times New Roman" w:cs="Times New Roman"/>
                <w:color w:val="000000"/>
                <w:sz w:val="20"/>
                <w:szCs w:val="20"/>
                <w:lang w:eastAsia="en-ZA"/>
              </w:rPr>
              <w:t xml:space="preserve"> is a generalist species can occupy a variety of freshwater habitats such as ponds, floodplains, drainage ditches and small sluggish streams (Adams et al 2010). It can also occur in higher gradient gravel-bedded streams (Chucholl 2009; Soes &amp; Koese 2010). The substrate in the habitats of this species is generally soft mud or clay with abundant aquatic vegetation. </w:t>
            </w:r>
            <w:r w:rsidRPr="00C67C06">
              <w:rPr>
                <w:rFonts w:ascii="Times New Roman" w:eastAsia="Times New Roman" w:hAnsi="Times New Roman" w:cs="Times New Roman"/>
                <w:i/>
                <w:color w:val="000000"/>
                <w:sz w:val="20"/>
                <w:szCs w:val="20"/>
                <w:lang w:eastAsia="en-ZA"/>
              </w:rPr>
              <w:t>Faxonius immunis</w:t>
            </w:r>
            <w:r w:rsidRPr="00C67C06">
              <w:rPr>
                <w:rFonts w:ascii="Times New Roman" w:eastAsia="Times New Roman" w:hAnsi="Times New Roman" w:cs="Times New Roman"/>
                <w:color w:val="000000"/>
                <w:sz w:val="20"/>
                <w:szCs w:val="20"/>
                <w:lang w:eastAsia="en-ZA"/>
              </w:rPr>
              <w:t xml:space="preserve"> can travel across dry ground, especially in wet weather enabling the species to colonise new areas (Chucholl 2009; Soes &amp; Koese 2010).  Despite the broad ecological niche of </w:t>
            </w:r>
            <w:r w:rsidRPr="00C67C06">
              <w:rPr>
                <w:rFonts w:ascii="Times New Roman" w:eastAsia="Times New Roman" w:hAnsi="Times New Roman" w:cs="Times New Roman"/>
                <w:i/>
                <w:color w:val="000000"/>
                <w:sz w:val="20"/>
                <w:szCs w:val="20"/>
                <w:lang w:eastAsia="en-ZA"/>
              </w:rPr>
              <w:t>Faxonius immunis</w:t>
            </w:r>
            <w:r w:rsidRPr="00C67C06">
              <w:rPr>
                <w:rFonts w:ascii="Times New Roman" w:eastAsia="Times New Roman" w:hAnsi="Times New Roman" w:cs="Times New Roman"/>
                <w:color w:val="000000"/>
                <w:sz w:val="20"/>
                <w:szCs w:val="20"/>
                <w:lang w:eastAsia="en-ZA"/>
              </w:rPr>
              <w:t xml:space="preserve">, it is unable to colonise fast flowing streams, restricting its distribution (Chucholl 2009; Soes &amp; Koese 2010).  </w:t>
            </w:r>
            <w:r w:rsidRPr="00C67C06">
              <w:rPr>
                <w:rFonts w:ascii="Times New Roman" w:eastAsia="Times New Roman" w:hAnsi="Times New Roman" w:cs="Times New Roman"/>
                <w:i/>
                <w:color w:val="000000"/>
                <w:sz w:val="20"/>
                <w:szCs w:val="20"/>
                <w:lang w:eastAsia="en-ZA"/>
              </w:rPr>
              <w:t>Faxonius immunis</w:t>
            </w:r>
            <w:r w:rsidRPr="00C67C06">
              <w:rPr>
                <w:rFonts w:ascii="Times New Roman" w:eastAsia="Times New Roman" w:hAnsi="Times New Roman" w:cs="Times New Roman"/>
                <w:color w:val="000000"/>
                <w:sz w:val="20"/>
                <w:szCs w:val="20"/>
                <w:lang w:eastAsia="en-ZA"/>
              </w:rPr>
              <w:t xml:space="preserve"> are known to </w:t>
            </w:r>
            <w:r w:rsidRPr="00C67C06">
              <w:rPr>
                <w:rFonts w:ascii="Times New Roman" w:eastAsia="Times New Roman" w:hAnsi="Times New Roman" w:cs="Times New Roman"/>
                <w:color w:val="000000"/>
                <w:sz w:val="20"/>
                <w:szCs w:val="20"/>
                <w:lang w:eastAsia="en-ZA"/>
              </w:rPr>
              <w:lastRenderedPageBreak/>
              <w:t xml:space="preserve">dig deep burrows, which allow it to occupy shallow and temporary water bodies (Chucholl 2009; Soes &amp; Koese 2010).  </w:t>
            </w:r>
            <w:r w:rsidRPr="00C67C06">
              <w:rPr>
                <w:rFonts w:ascii="Times New Roman" w:eastAsia="Calibri" w:hAnsi="Times New Roman" w:cs="Times New Roman"/>
                <w:sz w:val="20"/>
                <w:szCs w:val="20"/>
              </w:rPr>
              <w:t>The habitats are present in most aquatic systems across South Africa.</w:t>
            </w:r>
          </w:p>
        </w:tc>
      </w:tr>
      <w:tr w:rsidR="002D7080" w:rsidRPr="00C67C06" w14:paraId="7378EADD" w14:textId="77777777" w:rsidTr="002E2C37">
        <w:tc>
          <w:tcPr>
            <w:tcW w:w="9016" w:type="dxa"/>
            <w:gridSpan w:val="2"/>
          </w:tcPr>
          <w:p w14:paraId="67488978" w14:textId="77777777" w:rsidR="002D7080" w:rsidRPr="00C67C06" w:rsidRDefault="002D7080" w:rsidP="002E2C37">
            <w:pPr>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lastRenderedPageBreak/>
              <w:t xml:space="preserve">References: </w:t>
            </w:r>
          </w:p>
          <w:p w14:paraId="64CEAD50" w14:textId="77777777" w:rsidR="002D7080" w:rsidRPr="00C67C06" w:rsidRDefault="002D7080" w:rsidP="00A774C1">
            <w:pPr>
              <w:ind w:left="539" w:hanging="539"/>
              <w:contextualSpacing/>
              <w:jc w:val="both"/>
              <w:rPr>
                <w:rFonts w:ascii="Times New Roman" w:eastAsia="Times New Roman" w:hAnsi="Times New Roman" w:cs="Times New Roman"/>
                <w:i/>
                <w:iCs/>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Adams, S., Schuster, G.A., Taylor, C.A., 2010, </w:t>
            </w:r>
            <w:r w:rsidRPr="00C67C06">
              <w:rPr>
                <w:rFonts w:ascii="Times New Roman" w:eastAsia="Times New Roman" w:hAnsi="Times New Roman" w:cs="Times New Roman"/>
                <w:i/>
                <w:iCs/>
                <w:color w:val="000000"/>
                <w:sz w:val="20"/>
                <w:szCs w:val="20"/>
                <w:lang w:eastAsia="en-ZA"/>
              </w:rPr>
              <w:t>Orconectes immunis. The IUCN Red List of Threatened Species 2010</w:t>
            </w:r>
            <w:r w:rsidRPr="00C67C06">
              <w:rPr>
                <w:rFonts w:ascii="Times New Roman" w:eastAsia="Times New Roman" w:hAnsi="Times New Roman" w:cs="Times New Roman"/>
                <w:color w:val="000000"/>
                <w:sz w:val="20"/>
                <w:szCs w:val="20"/>
                <w:lang w:eastAsia="en-ZA"/>
              </w:rPr>
              <w:t>: e.T153925A4564415.</w:t>
            </w:r>
          </w:p>
          <w:p w14:paraId="67DBC567" w14:textId="77777777" w:rsidR="002D7080" w:rsidRPr="00C67C06" w:rsidRDefault="002D7080" w:rsidP="00A774C1">
            <w:pPr>
              <w:ind w:left="539" w:hanging="539"/>
              <w:contextualSpacing/>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Chucholl, C., 2009. ‘The ‘newcomer’ </w:t>
            </w:r>
            <w:r w:rsidRPr="00C67C06">
              <w:rPr>
                <w:rFonts w:ascii="Times New Roman" w:eastAsia="Times New Roman" w:hAnsi="Times New Roman" w:cs="Times New Roman"/>
                <w:i/>
                <w:color w:val="000000"/>
                <w:sz w:val="20"/>
                <w:szCs w:val="20"/>
                <w:lang w:eastAsia="en-ZA"/>
              </w:rPr>
              <w:t>Orconectes immunis</w:t>
            </w:r>
            <w:r w:rsidRPr="00C67C06">
              <w:rPr>
                <w:rFonts w:ascii="Times New Roman" w:eastAsia="Times New Roman" w:hAnsi="Times New Roman" w:cs="Times New Roman"/>
                <w:color w:val="000000"/>
                <w:sz w:val="20"/>
                <w:szCs w:val="20"/>
                <w:lang w:eastAsia="en-ZA"/>
              </w:rPr>
              <w:t xml:space="preserve"> keeps spreading in the upper Rhine plain’, </w:t>
            </w:r>
            <w:r w:rsidRPr="00C67C06">
              <w:rPr>
                <w:rFonts w:ascii="Times New Roman" w:eastAsia="Times New Roman" w:hAnsi="Times New Roman" w:cs="Times New Roman"/>
                <w:i/>
                <w:iCs/>
                <w:color w:val="000000"/>
                <w:sz w:val="20"/>
                <w:szCs w:val="20"/>
                <w:lang w:eastAsia="en-ZA"/>
              </w:rPr>
              <w:t>Crayfish News: IAA Newsletter</w:t>
            </w:r>
            <w:r w:rsidRPr="00C67C06">
              <w:rPr>
                <w:rFonts w:ascii="Times New Roman" w:eastAsia="Times New Roman" w:hAnsi="Times New Roman" w:cs="Times New Roman"/>
                <w:color w:val="000000"/>
                <w:sz w:val="20"/>
                <w:szCs w:val="20"/>
                <w:lang w:eastAsia="en-ZA"/>
              </w:rPr>
              <w:t>,</w:t>
            </w:r>
            <w:r w:rsidRPr="00C67C06">
              <w:rPr>
                <w:rFonts w:ascii="Times New Roman" w:eastAsia="Times New Roman" w:hAnsi="Times New Roman" w:cs="Times New Roman"/>
                <w:iCs/>
                <w:color w:val="000000"/>
                <w:sz w:val="20"/>
                <w:szCs w:val="20"/>
                <w:lang w:eastAsia="en-ZA"/>
              </w:rPr>
              <w:t xml:space="preserve"> 31</w:t>
            </w:r>
            <w:r w:rsidRPr="00C67C06">
              <w:rPr>
                <w:rFonts w:ascii="Times New Roman" w:eastAsia="Times New Roman" w:hAnsi="Times New Roman" w:cs="Times New Roman"/>
                <w:color w:val="000000"/>
                <w:sz w:val="20"/>
                <w:szCs w:val="20"/>
                <w:lang w:eastAsia="en-ZA"/>
              </w:rPr>
              <w:t>: 4–5.</w:t>
            </w:r>
          </w:p>
          <w:p w14:paraId="7530FD78" w14:textId="77777777" w:rsidR="002D7080" w:rsidRPr="00C67C06" w:rsidRDefault="002D7080" w:rsidP="00A774C1">
            <w:pPr>
              <w:ind w:left="539" w:hanging="539"/>
              <w:contextualSpacing/>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Soes, M. &amp; Koese, B., 2010, Invasive freshwater crayfish in the Netherlands: a preliminary risk analysis. </w:t>
            </w:r>
            <w:r w:rsidRPr="00C67C06">
              <w:rPr>
                <w:rFonts w:ascii="Times New Roman" w:eastAsia="Times New Roman" w:hAnsi="Times New Roman" w:cs="Times New Roman"/>
                <w:iCs/>
                <w:color w:val="000000"/>
                <w:sz w:val="20"/>
                <w:szCs w:val="20"/>
                <w:lang w:eastAsia="en-ZA"/>
              </w:rPr>
              <w:t>Invasive freshwater crayfish in the Netherlands: a preliminary risk analysis</w:t>
            </w:r>
          </w:p>
        </w:tc>
      </w:tr>
    </w:tbl>
    <w:p w14:paraId="00D70D4F" w14:textId="77777777" w:rsidR="002D7080" w:rsidRPr="00C67C06"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7"/>
        <w:tblW w:w="0" w:type="auto"/>
        <w:tblLook w:val="04A0" w:firstRow="1" w:lastRow="0" w:firstColumn="1" w:lastColumn="0" w:noHBand="0" w:noVBand="1"/>
      </w:tblPr>
      <w:tblGrid>
        <w:gridCol w:w="5524"/>
        <w:gridCol w:w="3492"/>
      </w:tblGrid>
      <w:tr w:rsidR="002D7080" w:rsidRPr="00C67C06" w14:paraId="399553E2" w14:textId="77777777" w:rsidTr="002E2C37">
        <w:tc>
          <w:tcPr>
            <w:tcW w:w="9016" w:type="dxa"/>
            <w:gridSpan w:val="2"/>
            <w:shd w:val="clear" w:color="auto" w:fill="F2F2F2" w:themeFill="background1" w:themeFillShade="F2"/>
          </w:tcPr>
          <w:p w14:paraId="55264E43" w14:textId="77777777" w:rsidR="002D7080" w:rsidRPr="00C67C06" w:rsidRDefault="002D7080" w:rsidP="002E2C37">
            <w:pPr>
              <w:rPr>
                <w:rFonts w:ascii="Times New Roman" w:eastAsia="Times New Roman" w:hAnsi="Times New Roman" w:cs="Times New Roman"/>
                <w:b/>
                <w:color w:val="000000"/>
                <w:sz w:val="20"/>
                <w:szCs w:val="20"/>
                <w:lang w:eastAsia="en-ZA"/>
              </w:rPr>
            </w:pPr>
            <w:r w:rsidRPr="00C67C06">
              <w:rPr>
                <w:rFonts w:ascii="Times New Roman" w:eastAsia="Times New Roman" w:hAnsi="Times New Roman" w:cs="Times New Roman"/>
                <w:b/>
                <w:color w:val="000000"/>
                <w:sz w:val="20"/>
                <w:szCs w:val="20"/>
                <w:lang w:eastAsia="en-ZA"/>
              </w:rPr>
              <w:t>LIK4 Climate suitability</w:t>
            </w:r>
          </w:p>
        </w:tc>
      </w:tr>
      <w:tr w:rsidR="002D7080" w:rsidRPr="00C67C06" w14:paraId="7ACA0D51" w14:textId="77777777" w:rsidTr="002E2C37">
        <w:tc>
          <w:tcPr>
            <w:tcW w:w="5524" w:type="dxa"/>
          </w:tcPr>
          <w:p w14:paraId="30BFC77D" w14:textId="77777777" w:rsidR="002D7080" w:rsidRPr="00C67C06" w:rsidRDefault="002D7080" w:rsidP="002E2C37">
            <w:pPr>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Response: Fairly probable (p = 0.5)</w:t>
            </w:r>
          </w:p>
        </w:tc>
        <w:tc>
          <w:tcPr>
            <w:tcW w:w="3492" w:type="dxa"/>
          </w:tcPr>
          <w:p w14:paraId="4854DDB4" w14:textId="77777777" w:rsidR="002D7080" w:rsidRPr="00C67C06" w:rsidRDefault="002D7080" w:rsidP="002E2C37">
            <w:pPr>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 Low</w:t>
            </w:r>
          </w:p>
        </w:tc>
      </w:tr>
      <w:tr w:rsidR="002D7080" w:rsidRPr="00C67C06" w14:paraId="73A4F607" w14:textId="77777777" w:rsidTr="002E2C37">
        <w:tc>
          <w:tcPr>
            <w:tcW w:w="9016" w:type="dxa"/>
            <w:gridSpan w:val="2"/>
          </w:tcPr>
          <w:p w14:paraId="346DCED8" w14:textId="77777777" w:rsidR="002D7080" w:rsidRPr="00C67C06" w:rsidRDefault="002D7080" w:rsidP="002E2C37">
            <w:pPr>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Rationale: </w:t>
            </w:r>
            <w:r w:rsidRPr="00C67C06">
              <w:rPr>
                <w:rFonts w:ascii="Times New Roman" w:eastAsia="Times New Roman" w:hAnsi="Times New Roman" w:cs="Times New Roman"/>
                <w:i/>
                <w:iCs/>
                <w:color w:val="000000"/>
                <w:sz w:val="20"/>
                <w:szCs w:val="20"/>
                <w:lang w:eastAsia="en-ZA"/>
              </w:rPr>
              <w:t>Faxonius immunis</w:t>
            </w:r>
            <w:r w:rsidRPr="00C67C06">
              <w:rPr>
                <w:rFonts w:ascii="Times New Roman" w:hAnsi="Times New Roman" w:cs="Times New Roman"/>
                <w:sz w:val="20"/>
                <w:szCs w:val="20"/>
              </w:rPr>
              <w:t xml:space="preserve"> is native to North America, ranging from southern Quebec and New England westward across the upper Midwest to Wyoming and eastern Colorado and south to extreme northwestern Tennessee (Hobbs 1989; Hosabettu &amp; Daniel 2020). Its native range covers different climatic zones (following the classification of Köppen: oceanic; warm summer/humid continental; hot summer/humid continental; cold semi-arid; warm summer/mediterranean continental) (EU 2022). A large portion (&gt;20%) of South Africa is climatical suitable for the establishment of </w:t>
            </w:r>
            <w:r w:rsidRPr="00C67C06">
              <w:rPr>
                <w:rFonts w:ascii="Times New Roman" w:hAnsi="Times New Roman" w:cs="Times New Roman"/>
                <w:i/>
                <w:iCs/>
                <w:sz w:val="20"/>
                <w:szCs w:val="20"/>
              </w:rPr>
              <w:t>F. immunis</w:t>
            </w:r>
            <w:r w:rsidRPr="00C67C06">
              <w:rPr>
                <w:rFonts w:ascii="Times New Roman" w:hAnsi="Times New Roman" w:cs="Times New Roman"/>
                <w:sz w:val="20"/>
                <w:szCs w:val="20"/>
              </w:rPr>
              <w:t xml:space="preserve"> </w:t>
            </w:r>
          </w:p>
        </w:tc>
      </w:tr>
      <w:tr w:rsidR="002D7080" w:rsidRPr="00C67C06" w14:paraId="3C9B1AA8" w14:textId="77777777" w:rsidTr="002E2C37">
        <w:tc>
          <w:tcPr>
            <w:tcW w:w="9016" w:type="dxa"/>
            <w:gridSpan w:val="2"/>
          </w:tcPr>
          <w:p w14:paraId="1A7F6846" w14:textId="77777777" w:rsidR="002D7080" w:rsidRPr="00C67C06" w:rsidRDefault="002D7080" w:rsidP="002E2C37">
            <w:pPr>
              <w:contextualSpacing/>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References: </w:t>
            </w:r>
          </w:p>
          <w:p w14:paraId="24D0177A" w14:textId="77777777" w:rsidR="002D7080" w:rsidRPr="00C67C06" w:rsidRDefault="002D7080" w:rsidP="002E2C37">
            <w:pPr>
              <w:ind w:left="540" w:hanging="540"/>
              <w:contextualSpacing/>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Global Invasive Species Database (GISD) 2015. Species profile </w:t>
            </w:r>
            <w:r w:rsidRPr="00C67C06">
              <w:rPr>
                <w:rFonts w:ascii="Times New Roman" w:eastAsia="Times New Roman" w:hAnsi="Times New Roman" w:cs="Times New Roman"/>
                <w:i/>
                <w:iCs/>
                <w:color w:val="000000"/>
                <w:sz w:val="20"/>
                <w:szCs w:val="20"/>
                <w:lang w:eastAsia="en-ZA"/>
              </w:rPr>
              <w:t>Orconectes rusticus</w:t>
            </w:r>
            <w:r w:rsidRPr="00C67C06">
              <w:rPr>
                <w:rFonts w:ascii="Times New Roman" w:eastAsia="Times New Roman" w:hAnsi="Times New Roman" w:cs="Times New Roman"/>
                <w:color w:val="000000"/>
                <w:sz w:val="20"/>
                <w:szCs w:val="20"/>
                <w:lang w:eastAsia="en-ZA"/>
              </w:rPr>
              <w:t xml:space="preserve">.Available from: </w:t>
            </w:r>
            <w:hyperlink r:id="rId198" w:history="1">
              <w:r w:rsidRPr="00C67C06">
                <w:rPr>
                  <w:rStyle w:val="Hyperlink"/>
                  <w:rFonts w:ascii="Times New Roman" w:eastAsia="Times New Roman" w:hAnsi="Times New Roman" w:cs="Times New Roman"/>
                  <w:sz w:val="20"/>
                  <w:szCs w:val="20"/>
                  <w:lang w:eastAsia="en-ZA"/>
                </w:rPr>
                <w:t>http://www.iucngisd.org/gisd/species.php?sc=217</w:t>
              </w:r>
            </w:hyperlink>
            <w:r w:rsidRPr="00C67C06">
              <w:rPr>
                <w:rFonts w:ascii="Times New Roman" w:eastAsia="Times New Roman" w:hAnsi="Times New Roman" w:cs="Times New Roman"/>
                <w:color w:val="000000"/>
                <w:sz w:val="20"/>
                <w:szCs w:val="20"/>
                <w:lang w:eastAsia="en-ZA"/>
              </w:rPr>
              <w:t xml:space="preserve">  [Accessed 03 July2018]</w:t>
            </w:r>
          </w:p>
          <w:p w14:paraId="5E217930" w14:textId="77777777" w:rsidR="002D7080" w:rsidRPr="00C67C06" w:rsidRDefault="002D7080" w:rsidP="002E2C37">
            <w:pPr>
              <w:ind w:left="540" w:hanging="540"/>
              <w:contextualSpacing/>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European Commission 2022, Directorate-General for Environment, Study on invasive alien species – Development of risk assessments to tackle priority species and enhance prevention – Final report (and annexes), Publications Office of the European Union, 2022, </w:t>
            </w:r>
            <w:hyperlink w:history="1">
              <w:r w:rsidRPr="00C67C06">
                <w:rPr>
                  <w:rStyle w:val="Hyperlink"/>
                  <w:rFonts w:ascii="Times New Roman" w:eastAsia="Times New Roman" w:hAnsi="Times New Roman" w:cs="Times New Roman"/>
                  <w:sz w:val="20"/>
                  <w:szCs w:val="20"/>
                  <w:lang w:eastAsia="en-ZA"/>
                </w:rPr>
                <w:t>https://data.europa.eu/doi/10.2779/302048</w:t>
              </w:r>
            </w:hyperlink>
          </w:p>
          <w:p w14:paraId="4533066C" w14:textId="77777777" w:rsidR="002D7080" w:rsidRPr="00C67C06" w:rsidRDefault="002D7080" w:rsidP="002E2C37">
            <w:pPr>
              <w:ind w:left="540" w:hanging="540"/>
              <w:contextualSpacing/>
              <w:jc w:val="both"/>
              <w:rPr>
                <w:rFonts w:ascii="Times New Roman" w:hAnsi="Times New Roman" w:cs="Times New Roman"/>
                <w:sz w:val="20"/>
                <w:szCs w:val="20"/>
              </w:rPr>
            </w:pPr>
            <w:r w:rsidRPr="00C67C06">
              <w:rPr>
                <w:rFonts w:ascii="Times New Roman" w:hAnsi="Times New Roman" w:cs="Times New Roman"/>
                <w:sz w:val="20"/>
                <w:szCs w:val="20"/>
              </w:rPr>
              <w:t>Hobbs, H.H. Jr., 1989, ‘An illustrated checklist of the American crayfishes (Decapoda: Astacidae, Cambaridae, and Parastacidae)’,</w:t>
            </w:r>
            <w:r w:rsidRPr="00C67C06">
              <w:rPr>
                <w:rFonts w:ascii="Times New Roman" w:hAnsi="Times New Roman" w:cs="Times New Roman"/>
                <w:i/>
                <w:iCs/>
                <w:sz w:val="20"/>
                <w:szCs w:val="20"/>
              </w:rPr>
              <w:t xml:space="preserve"> Smithsonian Contributions to Zoology</w:t>
            </w:r>
            <w:r w:rsidRPr="00C67C06">
              <w:rPr>
                <w:rFonts w:ascii="Times New Roman" w:hAnsi="Times New Roman" w:cs="Times New Roman"/>
                <w:sz w:val="20"/>
                <w:szCs w:val="20"/>
              </w:rPr>
              <w:t>, 480, 1–236.</w:t>
            </w:r>
          </w:p>
          <w:p w14:paraId="518A2ADC" w14:textId="548D1346" w:rsidR="002D7080" w:rsidRPr="00C67C06" w:rsidRDefault="002D7080" w:rsidP="002E2C37">
            <w:pPr>
              <w:ind w:left="540" w:hanging="540"/>
              <w:contextualSpacing/>
              <w:jc w:val="both"/>
              <w:rPr>
                <w:rFonts w:ascii="Times New Roman" w:hAnsi="Times New Roman" w:cs="Times New Roman"/>
                <w:sz w:val="20"/>
                <w:szCs w:val="20"/>
              </w:rPr>
            </w:pPr>
            <w:r w:rsidRPr="00C67C06">
              <w:rPr>
                <w:rFonts w:ascii="Times New Roman" w:hAnsi="Times New Roman" w:cs="Times New Roman"/>
                <w:sz w:val="20"/>
                <w:szCs w:val="20"/>
              </w:rPr>
              <w:t xml:space="preserve">Hosabettu, M., Daniel, W.M., 2020, </w:t>
            </w:r>
            <w:r w:rsidRPr="00C67C06">
              <w:rPr>
                <w:rFonts w:ascii="Times New Roman" w:hAnsi="Times New Roman" w:cs="Times New Roman"/>
                <w:i/>
                <w:iCs/>
                <w:sz w:val="20"/>
                <w:szCs w:val="20"/>
              </w:rPr>
              <w:t>Faxonius immunis</w:t>
            </w:r>
            <w:r w:rsidRPr="00C67C06">
              <w:rPr>
                <w:rFonts w:ascii="Times New Roman" w:hAnsi="Times New Roman" w:cs="Times New Roman"/>
                <w:sz w:val="20"/>
                <w:szCs w:val="20"/>
              </w:rPr>
              <w:t xml:space="preserve"> (Hagen, 1870): U.S. Geological Survey, Nonindigenous Aquatic Species Database, Gainesville, FL,, Revision Date: 4/1/2020, Access Date: 5/29/2020</w:t>
            </w:r>
          </w:p>
        </w:tc>
      </w:tr>
    </w:tbl>
    <w:p w14:paraId="255A659E" w14:textId="77777777" w:rsidR="002D7080" w:rsidRPr="00C67C06" w:rsidRDefault="002D7080" w:rsidP="002D7080">
      <w:pPr>
        <w:spacing w:after="0" w:line="240" w:lineRule="auto"/>
        <w:contextualSpacing/>
        <w:rPr>
          <w:rFonts w:ascii="Times New Roman" w:eastAsia="Times New Roman" w:hAnsi="Times New Roman" w:cs="Times New Roman"/>
          <w:color w:val="000000"/>
          <w:sz w:val="20"/>
          <w:szCs w:val="20"/>
          <w:lang w:eastAsia="en-ZA"/>
        </w:rPr>
      </w:pPr>
    </w:p>
    <w:tbl>
      <w:tblPr>
        <w:tblStyle w:val="TableGrid7"/>
        <w:tblW w:w="0" w:type="auto"/>
        <w:tblLook w:val="04A0" w:firstRow="1" w:lastRow="0" w:firstColumn="1" w:lastColumn="0" w:noHBand="0" w:noVBand="1"/>
      </w:tblPr>
      <w:tblGrid>
        <w:gridCol w:w="5524"/>
        <w:gridCol w:w="3492"/>
      </w:tblGrid>
      <w:tr w:rsidR="002D7080" w:rsidRPr="00C67C06" w14:paraId="49CAC910" w14:textId="77777777" w:rsidTr="002E2C37">
        <w:tc>
          <w:tcPr>
            <w:tcW w:w="9016" w:type="dxa"/>
            <w:gridSpan w:val="2"/>
            <w:shd w:val="clear" w:color="auto" w:fill="F2F2F2" w:themeFill="background1" w:themeFillShade="F2"/>
          </w:tcPr>
          <w:p w14:paraId="17F915EC" w14:textId="77777777" w:rsidR="002D7080" w:rsidRPr="00C67C06" w:rsidRDefault="002D7080" w:rsidP="002E2C37">
            <w:pPr>
              <w:rPr>
                <w:rFonts w:ascii="Times New Roman" w:eastAsia="Times New Roman" w:hAnsi="Times New Roman" w:cs="Times New Roman"/>
                <w:b/>
                <w:color w:val="000000"/>
                <w:sz w:val="20"/>
                <w:szCs w:val="20"/>
                <w:lang w:eastAsia="en-ZA"/>
              </w:rPr>
            </w:pPr>
            <w:r w:rsidRPr="00C67C06">
              <w:rPr>
                <w:rFonts w:ascii="Times New Roman" w:eastAsia="Times New Roman" w:hAnsi="Times New Roman" w:cs="Times New Roman"/>
                <w:b/>
                <w:color w:val="000000"/>
                <w:sz w:val="20"/>
                <w:szCs w:val="20"/>
                <w:lang w:eastAsia="en-ZA"/>
              </w:rPr>
              <w:t>LIK5 Unaided secondary (dispersal) pathways</w:t>
            </w:r>
          </w:p>
        </w:tc>
      </w:tr>
      <w:tr w:rsidR="002D7080" w:rsidRPr="00C67C06" w14:paraId="7ACA747F" w14:textId="77777777" w:rsidTr="002E2C37">
        <w:tc>
          <w:tcPr>
            <w:tcW w:w="5524" w:type="dxa"/>
          </w:tcPr>
          <w:p w14:paraId="03904BD9" w14:textId="77777777" w:rsidR="002D7080" w:rsidRPr="00C67C06" w:rsidRDefault="002D7080" w:rsidP="002E2C37">
            <w:pPr>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Response: Unlikely (p = 0.027)</w:t>
            </w:r>
          </w:p>
        </w:tc>
        <w:tc>
          <w:tcPr>
            <w:tcW w:w="3492" w:type="dxa"/>
          </w:tcPr>
          <w:p w14:paraId="51BA7FEC" w14:textId="77777777" w:rsidR="002D7080" w:rsidRPr="00C67C06" w:rsidRDefault="002D7080" w:rsidP="002E2C37">
            <w:pPr>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 Low</w:t>
            </w:r>
          </w:p>
        </w:tc>
      </w:tr>
      <w:tr w:rsidR="002D7080" w:rsidRPr="00C67C06" w14:paraId="216C4F77" w14:textId="77777777" w:rsidTr="002E2C37">
        <w:tc>
          <w:tcPr>
            <w:tcW w:w="9016" w:type="dxa"/>
            <w:gridSpan w:val="2"/>
          </w:tcPr>
          <w:p w14:paraId="43E41E54" w14:textId="77777777" w:rsidR="002D7080" w:rsidRPr="00C67C06" w:rsidRDefault="002D7080" w:rsidP="002E2C37">
            <w:pPr>
              <w:jc w:val="both"/>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Rationale: </w:t>
            </w:r>
            <w:r w:rsidRPr="00C67C06">
              <w:rPr>
                <w:rFonts w:ascii="Times New Roman" w:eastAsia="Times New Roman" w:hAnsi="Times New Roman" w:cs="Times New Roman"/>
                <w:i/>
                <w:iCs/>
                <w:sz w:val="20"/>
                <w:szCs w:val="20"/>
                <w:lang w:eastAsia="en-ZA"/>
              </w:rPr>
              <w:t xml:space="preserve">Faxinous immunis </w:t>
            </w:r>
            <w:r w:rsidRPr="00C67C06">
              <w:rPr>
                <w:rFonts w:ascii="Times New Roman" w:eastAsia="Times New Roman" w:hAnsi="Times New Roman" w:cs="Times New Roman"/>
                <w:sz w:val="20"/>
                <w:szCs w:val="20"/>
                <w:lang w:eastAsia="en-ZA"/>
              </w:rPr>
              <w:t xml:space="preserve">can disperse naturally in aquatic environments and is known to disperse overland (Chucholl 2012; Herrmann et al. 2018). </w:t>
            </w:r>
            <w:r w:rsidRPr="00C67C06">
              <w:rPr>
                <w:rFonts w:ascii="Times New Roman" w:eastAsia="Times New Roman" w:hAnsi="Times New Roman" w:cs="Times New Roman"/>
                <w:color w:val="000000"/>
                <w:sz w:val="20"/>
                <w:szCs w:val="20"/>
                <w:lang w:eastAsia="en-ZA"/>
              </w:rPr>
              <w:t>There are no wild populations in South Africa or neighbouring countries, thus unaided secondary dispersal through connected waterways is very unlikely</w:t>
            </w:r>
            <w:r w:rsidRPr="00C67C06">
              <w:rPr>
                <w:rFonts w:ascii="Times New Roman" w:eastAsia="Calibri" w:hAnsi="Times New Roman" w:cs="Times New Roman"/>
                <w:sz w:val="20"/>
                <w:szCs w:val="20"/>
              </w:rPr>
              <w:t xml:space="preserve"> (Madzivanzira et al. 2020)</w:t>
            </w:r>
            <w:r w:rsidRPr="00C67C06">
              <w:rPr>
                <w:rFonts w:ascii="Times New Roman" w:eastAsia="Times New Roman" w:hAnsi="Times New Roman" w:cs="Times New Roman"/>
                <w:color w:val="000000"/>
                <w:sz w:val="20"/>
                <w:szCs w:val="20"/>
                <w:lang w:eastAsia="en-ZA"/>
              </w:rPr>
              <w:t xml:space="preserve">. </w:t>
            </w:r>
          </w:p>
        </w:tc>
      </w:tr>
      <w:tr w:rsidR="002D7080" w:rsidRPr="00C67C06" w14:paraId="262CAFDC" w14:textId="77777777" w:rsidTr="002E2C37">
        <w:tc>
          <w:tcPr>
            <w:tcW w:w="9016" w:type="dxa"/>
            <w:gridSpan w:val="2"/>
          </w:tcPr>
          <w:p w14:paraId="53313EA1" w14:textId="77777777" w:rsidR="002D7080" w:rsidRPr="00C67C06" w:rsidRDefault="002D7080" w:rsidP="002E2C37">
            <w:pPr>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References: </w:t>
            </w:r>
          </w:p>
          <w:p w14:paraId="233C7B62" w14:textId="23713450" w:rsidR="002D7080" w:rsidRPr="00C67C06" w:rsidRDefault="002D7080" w:rsidP="002E2C37">
            <w:pPr>
              <w:autoSpaceDE w:val="0"/>
              <w:autoSpaceDN w:val="0"/>
              <w:adjustRightInd w:val="0"/>
              <w:ind w:left="539" w:hanging="539"/>
              <w:contextualSpacing/>
              <w:jc w:val="both"/>
              <w:rPr>
                <w:rFonts w:ascii="Times New Roman" w:hAnsi="Times New Roman" w:cs="Times New Roman"/>
                <w:sz w:val="20"/>
                <w:szCs w:val="20"/>
              </w:rPr>
            </w:pPr>
            <w:r w:rsidRPr="00C67C06">
              <w:rPr>
                <w:rFonts w:ascii="Times New Roman" w:hAnsi="Times New Roman" w:cs="Times New Roman"/>
                <w:sz w:val="20"/>
                <w:szCs w:val="20"/>
              </w:rPr>
              <w:t xml:space="preserve">Chucholl, C., 2012, ‘Understanding invasion success: life-history traits and feeding habits of the alien crayfish </w:t>
            </w:r>
            <w:r w:rsidRPr="00C67C06">
              <w:rPr>
                <w:rFonts w:ascii="Times New Roman" w:hAnsi="Times New Roman" w:cs="Times New Roman"/>
                <w:i/>
                <w:iCs/>
                <w:sz w:val="20"/>
                <w:szCs w:val="20"/>
              </w:rPr>
              <w:t>Orconectes immunis</w:t>
            </w:r>
            <w:r w:rsidRPr="00C67C06">
              <w:rPr>
                <w:rFonts w:ascii="Times New Roman" w:hAnsi="Times New Roman" w:cs="Times New Roman"/>
                <w:sz w:val="20"/>
                <w:szCs w:val="20"/>
              </w:rPr>
              <w:t xml:space="preserve"> (Decapoda, Astacida, Cambaridae)’, </w:t>
            </w:r>
            <w:r w:rsidRPr="00C67C06">
              <w:rPr>
                <w:rFonts w:ascii="Times New Roman" w:hAnsi="Times New Roman" w:cs="Times New Roman"/>
                <w:i/>
                <w:iCs/>
                <w:sz w:val="20"/>
                <w:szCs w:val="20"/>
              </w:rPr>
              <w:t>Knowledge and Management of Aquatic Ecosystems</w:t>
            </w:r>
            <w:r w:rsidRPr="00C67C06">
              <w:rPr>
                <w:rFonts w:ascii="Times New Roman" w:hAnsi="Times New Roman" w:cs="Times New Roman"/>
                <w:sz w:val="20"/>
                <w:szCs w:val="20"/>
              </w:rPr>
              <w:t xml:space="preserve">, 404: 04. </w:t>
            </w:r>
            <w:r w:rsidR="00327289" w:rsidRPr="00C67C06">
              <w:rPr>
                <w:rFonts w:ascii="Times New Roman" w:hAnsi="Times New Roman" w:cs="Times New Roman"/>
                <w:sz w:val="20"/>
                <w:szCs w:val="20"/>
              </w:rPr>
              <w:t>https://doi.org/10.1051/kmae/2011082</w:t>
            </w:r>
            <w:r w:rsidRPr="00C67C06">
              <w:rPr>
                <w:rFonts w:ascii="Times New Roman" w:hAnsi="Times New Roman" w:cs="Times New Roman"/>
                <w:sz w:val="20"/>
                <w:szCs w:val="20"/>
              </w:rPr>
              <w:t xml:space="preserve">. </w:t>
            </w:r>
          </w:p>
          <w:p w14:paraId="625630B9" w14:textId="77777777" w:rsidR="002D7080" w:rsidRPr="00C67C06" w:rsidRDefault="002D7080" w:rsidP="002E2C37">
            <w:pPr>
              <w:autoSpaceDE w:val="0"/>
              <w:autoSpaceDN w:val="0"/>
              <w:adjustRightInd w:val="0"/>
              <w:ind w:left="539" w:hanging="539"/>
              <w:contextualSpacing/>
              <w:jc w:val="both"/>
              <w:rPr>
                <w:rFonts w:ascii="Times New Roman" w:hAnsi="Times New Roman" w:cs="Times New Roman"/>
              </w:rPr>
            </w:pPr>
            <w:r w:rsidRPr="00C67C06">
              <w:rPr>
                <w:rFonts w:ascii="Times New Roman" w:hAnsi="Times New Roman" w:cs="Times New Roman"/>
                <w:sz w:val="20"/>
                <w:szCs w:val="20"/>
              </w:rPr>
              <w:t xml:space="preserve">Herrmann, A., Schnabler, A. &amp; Martens, A., 2018, ‘Phenology of overland dispersal in the invasive crayfish </w:t>
            </w:r>
            <w:r w:rsidRPr="00C67C06">
              <w:rPr>
                <w:rFonts w:ascii="Times New Roman" w:hAnsi="Times New Roman" w:cs="Times New Roman"/>
                <w:i/>
                <w:iCs/>
                <w:sz w:val="20"/>
                <w:szCs w:val="20"/>
              </w:rPr>
              <w:t>Faxonius immunis</w:t>
            </w:r>
            <w:r w:rsidRPr="00C67C06">
              <w:rPr>
                <w:rFonts w:ascii="Times New Roman" w:hAnsi="Times New Roman" w:cs="Times New Roman"/>
                <w:sz w:val="20"/>
                <w:szCs w:val="20"/>
              </w:rPr>
              <w:t xml:space="preserve"> (Hagen) at the Upper Rhine River area’, </w:t>
            </w:r>
            <w:r w:rsidRPr="00C67C06">
              <w:rPr>
                <w:rFonts w:ascii="Times New Roman" w:hAnsi="Times New Roman" w:cs="Times New Roman"/>
                <w:i/>
                <w:iCs/>
                <w:sz w:val="20"/>
                <w:szCs w:val="20"/>
              </w:rPr>
              <w:t xml:space="preserve">Knowledge &amp; Management of Aquatic Ecosystems </w:t>
            </w:r>
            <w:r w:rsidRPr="00C67C06">
              <w:rPr>
                <w:rFonts w:ascii="Times New Roman" w:hAnsi="Times New Roman" w:cs="Times New Roman"/>
                <w:sz w:val="20"/>
                <w:szCs w:val="20"/>
              </w:rPr>
              <w:t>419: 30.</w:t>
            </w:r>
            <w:bookmarkStart w:id="14" w:name="_Hlk53060362"/>
            <w:r w:rsidRPr="00C67C06">
              <w:rPr>
                <w:rFonts w:ascii="Times New Roman" w:hAnsi="Times New Roman" w:cs="Times New Roman"/>
                <w:color w:val="0000FF"/>
                <w:u w:val="single"/>
              </w:rPr>
              <w:t xml:space="preserve"> </w:t>
            </w:r>
            <w:hyperlink w:history="1">
              <w:r w:rsidRPr="00C67C06">
                <w:rPr>
                  <w:rStyle w:val="Hyperlink"/>
                  <w:rFonts w:ascii="Times New Roman" w:hAnsi="Times New Roman" w:cs="Times New Roman"/>
                  <w:sz w:val="20"/>
                  <w:szCs w:val="20"/>
                </w:rPr>
                <w:t>https://doi.org/10.1007/s10452-021-09935-5</w:t>
              </w:r>
            </w:hyperlink>
            <w:r w:rsidRPr="00C67C06">
              <w:rPr>
                <w:rFonts w:ascii="Times New Roman" w:hAnsi="Times New Roman" w:cs="Times New Roman"/>
                <w:sz w:val="20"/>
                <w:szCs w:val="20"/>
              </w:rPr>
              <w:t xml:space="preserve">    </w:t>
            </w:r>
          </w:p>
          <w:bookmarkEnd w:id="14"/>
          <w:p w14:paraId="1F98060C" w14:textId="77777777" w:rsidR="002D7080" w:rsidRPr="00C67C06" w:rsidRDefault="002D7080" w:rsidP="002E2C37">
            <w:pPr>
              <w:autoSpaceDE w:val="0"/>
              <w:autoSpaceDN w:val="0"/>
              <w:adjustRightInd w:val="0"/>
              <w:ind w:left="539" w:hanging="539"/>
              <w:contextualSpacing/>
              <w:jc w:val="both"/>
              <w:rPr>
                <w:rFonts w:ascii="Times New Roman" w:hAnsi="Times New Roman" w:cs="Times New Roman"/>
              </w:rPr>
            </w:pPr>
            <w:r w:rsidRPr="00C67C06">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C67C06">
              <w:rPr>
                <w:rFonts w:ascii="Times New Roman" w:eastAsia="Times New Roman" w:hAnsi="Times New Roman" w:cs="Times New Roman"/>
                <w:i/>
                <w:sz w:val="20"/>
                <w:szCs w:val="20"/>
                <w:lang w:eastAsia="en-ZA"/>
              </w:rPr>
              <w:t xml:space="preserve">Reviews in Fisheries Science &amp; Aquaculture </w:t>
            </w:r>
            <w:r w:rsidRPr="00C67C06">
              <w:rPr>
                <w:rFonts w:ascii="Times New Roman" w:eastAsia="Times New Roman" w:hAnsi="Times New Roman" w:cs="Times New Roman"/>
                <w:sz w:val="20"/>
                <w:szCs w:val="20"/>
                <w:lang w:eastAsia="en-ZA"/>
              </w:rPr>
              <w:t>1–21</w:t>
            </w:r>
            <w:r w:rsidRPr="00C67C06">
              <w:rPr>
                <w:rFonts w:ascii="Times New Roman" w:eastAsia="Times New Roman" w:hAnsi="Times New Roman" w:cs="Times New Roman"/>
                <w:i/>
                <w:sz w:val="20"/>
                <w:szCs w:val="20"/>
                <w:lang w:eastAsia="en-ZA"/>
              </w:rPr>
              <w:t>.</w:t>
            </w:r>
            <w:r w:rsidRPr="00C67C06">
              <w:rPr>
                <w:rFonts w:ascii="Times New Roman" w:eastAsia="Times New Roman" w:hAnsi="Times New Roman" w:cs="Times New Roman"/>
                <w:iCs/>
                <w:sz w:val="20"/>
                <w:szCs w:val="20"/>
                <w:lang w:eastAsia="en-ZA"/>
              </w:rPr>
              <w:t xml:space="preserve"> </w:t>
            </w:r>
            <w:hyperlink w:history="1">
              <w:r w:rsidRPr="00C67C06">
                <w:rPr>
                  <w:rStyle w:val="Hyperlink"/>
                  <w:rFonts w:ascii="Times New Roman" w:eastAsia="Times New Roman" w:hAnsi="Times New Roman" w:cs="Times New Roman"/>
                  <w:iCs/>
                  <w:sz w:val="20"/>
                  <w:szCs w:val="20"/>
                  <w:lang w:eastAsia="en-ZA"/>
                </w:rPr>
                <w:t>https://doi.org/10.1080/23308249.2020.1802405</w:t>
              </w:r>
            </w:hyperlink>
          </w:p>
        </w:tc>
      </w:tr>
    </w:tbl>
    <w:p w14:paraId="1B6358ED" w14:textId="77777777" w:rsidR="002D7080" w:rsidRPr="00C67C06"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7"/>
        <w:tblW w:w="0" w:type="auto"/>
        <w:tblLook w:val="04A0" w:firstRow="1" w:lastRow="0" w:firstColumn="1" w:lastColumn="0" w:noHBand="0" w:noVBand="1"/>
      </w:tblPr>
      <w:tblGrid>
        <w:gridCol w:w="5524"/>
        <w:gridCol w:w="3492"/>
      </w:tblGrid>
      <w:tr w:rsidR="002D7080" w:rsidRPr="00C67C06" w14:paraId="254A4642" w14:textId="77777777" w:rsidTr="002E2C37">
        <w:tc>
          <w:tcPr>
            <w:tcW w:w="9016" w:type="dxa"/>
            <w:gridSpan w:val="2"/>
            <w:shd w:val="clear" w:color="auto" w:fill="F2F2F2" w:themeFill="background1" w:themeFillShade="F2"/>
          </w:tcPr>
          <w:p w14:paraId="4D5732F2" w14:textId="77777777" w:rsidR="002D7080" w:rsidRPr="00C67C06" w:rsidRDefault="002D7080" w:rsidP="002E2C37">
            <w:pPr>
              <w:rPr>
                <w:rFonts w:ascii="Times New Roman" w:eastAsia="Times New Roman" w:hAnsi="Times New Roman" w:cs="Times New Roman"/>
                <w:b/>
                <w:color w:val="000000"/>
                <w:sz w:val="20"/>
                <w:szCs w:val="20"/>
                <w:lang w:eastAsia="en-ZA"/>
              </w:rPr>
            </w:pPr>
            <w:r w:rsidRPr="00C67C06">
              <w:rPr>
                <w:rFonts w:ascii="Times New Roman" w:eastAsia="Times New Roman" w:hAnsi="Times New Roman" w:cs="Times New Roman"/>
                <w:b/>
                <w:color w:val="000000"/>
                <w:sz w:val="20"/>
                <w:szCs w:val="20"/>
                <w:lang w:eastAsia="en-ZA"/>
              </w:rPr>
              <w:t>LIK6 Human aided secondary (dispersal) pathways</w:t>
            </w:r>
          </w:p>
        </w:tc>
      </w:tr>
      <w:tr w:rsidR="002D7080" w:rsidRPr="00C67C06" w14:paraId="06CC2651" w14:textId="77777777" w:rsidTr="002E2C37">
        <w:tc>
          <w:tcPr>
            <w:tcW w:w="5524" w:type="dxa"/>
          </w:tcPr>
          <w:p w14:paraId="2D760B60" w14:textId="77777777" w:rsidR="002D7080" w:rsidRPr="00C67C06" w:rsidRDefault="002D7080" w:rsidP="002E2C37">
            <w:pPr>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Response: Fairly probable (p = 0.5)</w:t>
            </w:r>
          </w:p>
        </w:tc>
        <w:tc>
          <w:tcPr>
            <w:tcW w:w="3492" w:type="dxa"/>
          </w:tcPr>
          <w:p w14:paraId="249F1A99" w14:textId="77777777" w:rsidR="002D7080" w:rsidRPr="00C67C06" w:rsidRDefault="002D7080" w:rsidP="002E2C37">
            <w:pPr>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Confidence: Low</w:t>
            </w:r>
          </w:p>
        </w:tc>
      </w:tr>
      <w:tr w:rsidR="002D7080" w:rsidRPr="00C67C06" w14:paraId="0E02E48E" w14:textId="77777777" w:rsidTr="002E2C37">
        <w:tc>
          <w:tcPr>
            <w:tcW w:w="9016" w:type="dxa"/>
            <w:gridSpan w:val="2"/>
          </w:tcPr>
          <w:p w14:paraId="60E6B6E2" w14:textId="583D5D32" w:rsidR="002D7080" w:rsidRPr="00C67C06" w:rsidRDefault="002D7080" w:rsidP="002E2C37">
            <w:pPr>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Rationale: </w:t>
            </w:r>
            <w:r w:rsidRPr="00C67C06">
              <w:rPr>
                <w:rFonts w:ascii="Times New Roman" w:eastAsia="Times New Roman" w:hAnsi="Times New Roman" w:cs="Times New Roman"/>
                <w:sz w:val="20"/>
                <w:szCs w:val="20"/>
                <w:lang w:eastAsia="en-ZA"/>
              </w:rPr>
              <w:t xml:space="preserve">Intentional release into the wild through the pet/ aquarium species and live bait pathways remains a concern. </w:t>
            </w:r>
            <w:r w:rsidRPr="00C67C06">
              <w:rPr>
                <w:rFonts w:ascii="Times New Roman" w:eastAsia="Times New Roman" w:hAnsi="Times New Roman" w:cs="Times New Roman"/>
                <w:color w:val="000000"/>
                <w:sz w:val="20"/>
                <w:szCs w:val="20"/>
                <w:lang w:eastAsia="en-ZA"/>
              </w:rPr>
              <w:t xml:space="preserve">In areas of introduction, </w:t>
            </w:r>
            <w:r w:rsidRPr="00C67C06">
              <w:rPr>
                <w:rFonts w:ascii="Times New Roman" w:eastAsia="Times New Roman" w:hAnsi="Times New Roman" w:cs="Times New Roman"/>
                <w:i/>
                <w:color w:val="000000"/>
                <w:sz w:val="20"/>
                <w:szCs w:val="20"/>
                <w:lang w:eastAsia="en-ZA"/>
              </w:rPr>
              <w:t xml:space="preserve">Faxonius </w:t>
            </w:r>
            <w:r w:rsidR="00A774C1" w:rsidRPr="00C67C06">
              <w:rPr>
                <w:rFonts w:ascii="Times New Roman" w:eastAsia="Times New Roman" w:hAnsi="Times New Roman" w:cs="Times New Roman"/>
                <w:i/>
                <w:color w:val="000000"/>
                <w:sz w:val="20"/>
                <w:szCs w:val="20"/>
                <w:lang w:eastAsia="en-ZA"/>
              </w:rPr>
              <w:t xml:space="preserve">immunis </w:t>
            </w:r>
            <w:r w:rsidRPr="00C67C06">
              <w:rPr>
                <w:rFonts w:ascii="Times New Roman" w:eastAsia="Times New Roman" w:hAnsi="Times New Roman" w:cs="Times New Roman"/>
                <w:color w:val="000000"/>
                <w:sz w:val="20"/>
                <w:szCs w:val="20"/>
                <w:lang w:eastAsia="en-ZA"/>
              </w:rPr>
              <w:t xml:space="preserve">has been released into the wild by humans as unwanted pets and bucket release by anglers into waterways where they are used as bait, dispersing into new areas </w:t>
            </w:r>
            <w:r w:rsidRPr="00C67C06">
              <w:rPr>
                <w:rFonts w:ascii="Times New Roman" w:hAnsi="Times New Roman" w:cs="Times New Roman"/>
                <w:sz w:val="20"/>
                <w:szCs w:val="20"/>
              </w:rPr>
              <w:t xml:space="preserve">(Dehus et al. 1999; Chucholl 2013, </w:t>
            </w:r>
            <w:r w:rsidRPr="00C67C06">
              <w:rPr>
                <w:rFonts w:ascii="Times New Roman" w:hAnsi="Times New Roman" w:cs="Times New Roman"/>
                <w:color w:val="222222"/>
                <w:sz w:val="20"/>
                <w:szCs w:val="20"/>
                <w:shd w:val="clear" w:color="auto" w:fill="FFFFFF"/>
              </w:rPr>
              <w:t>Schrimpf et al. 2013</w:t>
            </w:r>
            <w:r w:rsidRPr="00C67C06">
              <w:rPr>
                <w:rFonts w:ascii="Times New Roman" w:hAnsi="Times New Roman" w:cs="Times New Roman"/>
                <w:sz w:val="20"/>
                <w:szCs w:val="20"/>
              </w:rPr>
              <w:t xml:space="preserve">). </w:t>
            </w:r>
          </w:p>
        </w:tc>
      </w:tr>
      <w:tr w:rsidR="002D7080" w:rsidRPr="00C67C06" w14:paraId="2BCBF806" w14:textId="77777777" w:rsidTr="002E2C37">
        <w:tc>
          <w:tcPr>
            <w:tcW w:w="9016" w:type="dxa"/>
            <w:gridSpan w:val="2"/>
          </w:tcPr>
          <w:p w14:paraId="2006D702" w14:textId="77777777" w:rsidR="002D7080" w:rsidRPr="00C67C06" w:rsidRDefault="002D7080" w:rsidP="002E2C37">
            <w:pPr>
              <w:rPr>
                <w:rFonts w:ascii="Times New Roman" w:eastAsia="Times New Roman" w:hAnsi="Times New Roman" w:cs="Times New Roman"/>
                <w:color w:val="000000"/>
                <w:sz w:val="20"/>
                <w:szCs w:val="20"/>
                <w:lang w:eastAsia="en-ZA"/>
              </w:rPr>
            </w:pPr>
            <w:r w:rsidRPr="00C67C06">
              <w:rPr>
                <w:rFonts w:ascii="Times New Roman" w:eastAsia="Times New Roman" w:hAnsi="Times New Roman" w:cs="Times New Roman"/>
                <w:color w:val="000000"/>
                <w:sz w:val="20"/>
                <w:szCs w:val="20"/>
                <w:lang w:eastAsia="en-ZA"/>
              </w:rPr>
              <w:t xml:space="preserve">References: </w:t>
            </w:r>
          </w:p>
          <w:p w14:paraId="41731CC7" w14:textId="5A585F93" w:rsidR="002D7080" w:rsidRPr="00C67C06" w:rsidRDefault="002D7080" w:rsidP="00A774C1">
            <w:pPr>
              <w:ind w:left="720" w:hanging="720"/>
              <w:contextualSpacing/>
              <w:jc w:val="both"/>
              <w:rPr>
                <w:rFonts w:ascii="Times New Roman" w:eastAsia="Times New Roman" w:hAnsi="Times New Roman" w:cs="Times New Roman"/>
                <w:sz w:val="20"/>
                <w:szCs w:val="20"/>
                <w:lang w:eastAsia="en-ZA"/>
              </w:rPr>
            </w:pPr>
            <w:r w:rsidRPr="00C67C06">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C67C06">
              <w:rPr>
                <w:rFonts w:ascii="Times New Roman" w:eastAsia="Times New Roman" w:hAnsi="Times New Roman" w:cs="Times New Roman"/>
                <w:i/>
                <w:iCs/>
                <w:sz w:val="20"/>
                <w:szCs w:val="20"/>
                <w:lang w:eastAsia="en-ZA"/>
              </w:rPr>
              <w:t>Biological Invasions</w:t>
            </w:r>
            <w:r w:rsidRPr="00C67C06">
              <w:rPr>
                <w:rFonts w:ascii="Times New Roman" w:eastAsia="Times New Roman" w:hAnsi="Times New Roman" w:cs="Times New Roman"/>
                <w:sz w:val="20"/>
                <w:szCs w:val="20"/>
                <w:lang w:eastAsia="en-ZA"/>
              </w:rPr>
              <w:t xml:space="preserve"> </w:t>
            </w:r>
            <w:r w:rsidRPr="00C67C06">
              <w:rPr>
                <w:rFonts w:ascii="Times New Roman" w:eastAsia="Times New Roman" w:hAnsi="Times New Roman" w:cs="Times New Roman"/>
                <w:iCs/>
                <w:sz w:val="20"/>
                <w:szCs w:val="20"/>
                <w:lang w:eastAsia="en-ZA"/>
              </w:rPr>
              <w:t>15</w:t>
            </w:r>
            <w:r w:rsidRPr="00C67C06">
              <w:rPr>
                <w:rFonts w:ascii="Times New Roman" w:eastAsia="Times New Roman" w:hAnsi="Times New Roman" w:cs="Times New Roman"/>
                <w:sz w:val="20"/>
                <w:szCs w:val="20"/>
                <w:lang w:eastAsia="en-ZA"/>
              </w:rPr>
              <w:t xml:space="preserve">, 125–141. </w:t>
            </w:r>
            <w:r w:rsidR="008B658F" w:rsidRPr="008A0BC6">
              <w:rPr>
                <w:rFonts w:ascii="Times New Roman" w:hAnsi="Times New Roman" w:cs="Times New Roman"/>
                <w:sz w:val="20"/>
                <w:szCs w:val="20"/>
              </w:rPr>
              <w:t>https://doi.org/10.1007/s10530-012-0273-2</w:t>
            </w:r>
            <w:r w:rsidRPr="008A0BC6">
              <w:rPr>
                <w:rFonts w:ascii="Times New Roman" w:eastAsia="Times New Roman" w:hAnsi="Times New Roman" w:cs="Times New Roman"/>
                <w:sz w:val="18"/>
                <w:szCs w:val="18"/>
                <w:lang w:eastAsia="en-ZA"/>
              </w:rPr>
              <w:t>.</w:t>
            </w:r>
          </w:p>
          <w:p w14:paraId="7823C8D8" w14:textId="77777777" w:rsidR="002D7080" w:rsidRPr="00C67C06" w:rsidRDefault="002D7080" w:rsidP="00A774C1">
            <w:pPr>
              <w:ind w:left="720" w:hanging="720"/>
              <w:contextualSpacing/>
              <w:jc w:val="both"/>
              <w:rPr>
                <w:rFonts w:ascii="Times New Roman" w:hAnsi="Times New Roman" w:cs="Times New Roman"/>
                <w:sz w:val="20"/>
                <w:szCs w:val="20"/>
              </w:rPr>
            </w:pPr>
            <w:r w:rsidRPr="00C67C06">
              <w:rPr>
                <w:rFonts w:ascii="Times New Roman" w:hAnsi="Times New Roman" w:cs="Times New Roman"/>
                <w:sz w:val="20"/>
                <w:szCs w:val="20"/>
              </w:rPr>
              <w:t>Dehus, P., Dussling, U. &amp; Hoffmann, C., 1999, ‘Notes on the occurrence of the calico crayfish (</w:t>
            </w:r>
            <w:r w:rsidRPr="00C67C06">
              <w:rPr>
                <w:rFonts w:ascii="Times New Roman" w:hAnsi="Times New Roman" w:cs="Times New Roman"/>
                <w:i/>
                <w:iCs/>
                <w:sz w:val="20"/>
                <w:szCs w:val="20"/>
              </w:rPr>
              <w:t>Orconectes immunis</w:t>
            </w:r>
            <w:r w:rsidRPr="00C67C06">
              <w:rPr>
                <w:rFonts w:ascii="Times New Roman" w:hAnsi="Times New Roman" w:cs="Times New Roman"/>
                <w:sz w:val="20"/>
                <w:szCs w:val="20"/>
              </w:rPr>
              <w:t xml:space="preserve">) in Germany’, </w:t>
            </w:r>
            <w:r w:rsidRPr="00C67C06">
              <w:rPr>
                <w:rFonts w:ascii="Times New Roman" w:hAnsi="Times New Roman" w:cs="Times New Roman"/>
                <w:i/>
                <w:iCs/>
                <w:sz w:val="20"/>
                <w:szCs w:val="20"/>
              </w:rPr>
              <w:t>Freshwater Crayfish</w:t>
            </w:r>
            <w:r w:rsidRPr="00C67C06">
              <w:rPr>
                <w:rFonts w:ascii="Times New Roman" w:hAnsi="Times New Roman" w:cs="Times New Roman"/>
                <w:sz w:val="20"/>
                <w:szCs w:val="20"/>
              </w:rPr>
              <w:t>, 12, 786–790.</w:t>
            </w:r>
          </w:p>
          <w:p w14:paraId="0FDCFC69" w14:textId="57B7CA13" w:rsidR="002D7080" w:rsidRPr="00C67C06" w:rsidRDefault="002D7080" w:rsidP="00A774C1">
            <w:pPr>
              <w:ind w:left="540" w:hanging="540"/>
              <w:contextualSpacing/>
              <w:jc w:val="both"/>
              <w:rPr>
                <w:rFonts w:ascii="Times New Roman" w:eastAsia="Times New Roman" w:hAnsi="Times New Roman" w:cs="Times New Roman"/>
                <w:color w:val="000000"/>
                <w:sz w:val="20"/>
                <w:szCs w:val="20"/>
                <w:lang w:eastAsia="en-ZA"/>
              </w:rPr>
            </w:pPr>
            <w:r w:rsidRPr="00C67C06">
              <w:rPr>
                <w:rFonts w:ascii="Times New Roman" w:hAnsi="Times New Roman" w:cs="Times New Roman"/>
                <w:color w:val="000000" w:themeColor="text1"/>
                <w:sz w:val="20"/>
                <w:szCs w:val="20"/>
                <w:shd w:val="clear" w:color="auto" w:fill="FFFFFF"/>
              </w:rPr>
              <w:t xml:space="preserve">Schrimpf, A., Chucholl, C., Schmidt, T., &amp; Schulz, R., 2013, ‘Crayfish plague agent detected in populations of the invasive North American crayfish </w:t>
            </w:r>
            <w:r w:rsidRPr="00C67C06">
              <w:rPr>
                <w:rFonts w:ascii="Times New Roman" w:hAnsi="Times New Roman" w:cs="Times New Roman"/>
                <w:i/>
                <w:iCs/>
                <w:color w:val="000000" w:themeColor="text1"/>
                <w:sz w:val="20"/>
                <w:szCs w:val="20"/>
                <w:shd w:val="clear" w:color="auto" w:fill="FFFFFF"/>
              </w:rPr>
              <w:t>Orconectes immunis</w:t>
            </w:r>
            <w:r w:rsidRPr="00C67C06">
              <w:rPr>
                <w:rFonts w:ascii="Times New Roman" w:hAnsi="Times New Roman" w:cs="Times New Roman"/>
                <w:color w:val="000000" w:themeColor="text1"/>
                <w:sz w:val="20"/>
                <w:szCs w:val="20"/>
                <w:shd w:val="clear" w:color="auto" w:fill="FFFFFF"/>
              </w:rPr>
              <w:t xml:space="preserve"> (Hagen, 1870) in the Rhine River, Germany’, </w:t>
            </w:r>
            <w:r w:rsidRPr="00C67C06">
              <w:rPr>
                <w:rFonts w:ascii="Times New Roman" w:hAnsi="Times New Roman" w:cs="Times New Roman"/>
                <w:i/>
                <w:iCs/>
                <w:color w:val="000000" w:themeColor="text1"/>
                <w:sz w:val="20"/>
                <w:szCs w:val="20"/>
                <w:shd w:val="clear" w:color="auto" w:fill="FFFFFF"/>
              </w:rPr>
              <w:t>Aquatic Invasions</w:t>
            </w:r>
            <w:r w:rsidRPr="00C67C06">
              <w:rPr>
                <w:rFonts w:ascii="Times New Roman" w:hAnsi="Times New Roman" w:cs="Times New Roman"/>
                <w:color w:val="000000" w:themeColor="text1"/>
                <w:sz w:val="20"/>
                <w:szCs w:val="20"/>
                <w:shd w:val="clear" w:color="auto" w:fill="FFFFFF"/>
              </w:rPr>
              <w:t>, </w:t>
            </w:r>
            <w:r w:rsidRPr="00C67C06">
              <w:rPr>
                <w:rFonts w:ascii="Times New Roman" w:hAnsi="Times New Roman" w:cs="Times New Roman"/>
                <w:i/>
                <w:iCs/>
                <w:color w:val="000000" w:themeColor="text1"/>
                <w:sz w:val="20"/>
                <w:szCs w:val="20"/>
                <w:shd w:val="clear" w:color="auto" w:fill="FFFFFF"/>
              </w:rPr>
              <w:t>8</w:t>
            </w:r>
            <w:r w:rsidRPr="00C67C06">
              <w:rPr>
                <w:rFonts w:ascii="Times New Roman" w:hAnsi="Times New Roman" w:cs="Times New Roman"/>
                <w:color w:val="000000" w:themeColor="text1"/>
                <w:sz w:val="20"/>
                <w:szCs w:val="20"/>
                <w:shd w:val="clear" w:color="auto" w:fill="FFFFFF"/>
              </w:rPr>
              <w:t xml:space="preserve">(1). </w:t>
            </w:r>
            <w:r w:rsidR="008D5BFA" w:rsidRPr="008D5BFA">
              <w:rPr>
                <w:rFonts w:ascii="Times New Roman" w:hAnsi="Times New Roman" w:cs="Times New Roman"/>
                <w:sz w:val="20"/>
                <w:szCs w:val="20"/>
              </w:rPr>
              <w:t>https://dx.doi.org/10.3391/ai.2013.8.1.12</w:t>
            </w:r>
            <w:r w:rsidRPr="00C67C06">
              <w:rPr>
                <w:rFonts w:ascii="Times New Roman" w:hAnsi="Times New Roman" w:cs="Times New Roman"/>
                <w:color w:val="000000" w:themeColor="text1"/>
                <w:sz w:val="20"/>
                <w:szCs w:val="20"/>
                <w:shd w:val="clear" w:color="auto" w:fill="FFFFFF"/>
              </w:rPr>
              <w:t xml:space="preserve">.  </w:t>
            </w:r>
          </w:p>
        </w:tc>
      </w:tr>
    </w:tbl>
    <w:p w14:paraId="4AF6DAA4"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7B2EA4F5" w14:textId="77777777" w:rsidR="002D7080" w:rsidRPr="004D1E6F" w:rsidRDefault="002D7080" w:rsidP="002D7080">
      <w:pPr>
        <w:spacing w:after="0" w:line="240" w:lineRule="auto"/>
        <w:rPr>
          <w:rFonts w:ascii="Times New Roman" w:eastAsia="Times New Roman" w:hAnsi="Times New Roman" w:cs="Times New Roman"/>
          <w:b/>
          <w:i/>
          <w:color w:val="FF0000"/>
          <w:sz w:val="20"/>
          <w:szCs w:val="20"/>
          <w:lang w:eastAsia="en-ZA"/>
        </w:rPr>
      </w:pPr>
      <w:r w:rsidRPr="004D1E6F">
        <w:rPr>
          <w:rFonts w:ascii="Times New Roman" w:eastAsia="Times New Roman" w:hAnsi="Times New Roman" w:cs="Times New Roman"/>
          <w:b/>
          <w:color w:val="000000"/>
          <w:sz w:val="20"/>
          <w:szCs w:val="20"/>
          <w:lang w:eastAsia="en-ZA"/>
        </w:rPr>
        <w:t>3. Consequences</w:t>
      </w:r>
      <w:r w:rsidRPr="004D1E6F">
        <w:rPr>
          <w:rFonts w:ascii="Times New Roman" w:eastAsia="Times New Roman" w:hAnsi="Times New Roman" w:cs="Times New Roman"/>
          <w:b/>
          <w:i/>
          <w:color w:val="FF0000"/>
          <w:sz w:val="20"/>
          <w:szCs w:val="20"/>
          <w:lang w:eastAsia="en-ZA"/>
        </w:rPr>
        <w:t xml:space="preserve"> </w:t>
      </w:r>
    </w:p>
    <w:p w14:paraId="477B53F9"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07E21FB3" w14:textId="77777777" w:rsidTr="002E2C37">
        <w:trPr>
          <w:trHeight w:val="343"/>
        </w:trPr>
        <w:tc>
          <w:tcPr>
            <w:tcW w:w="9016" w:type="dxa"/>
            <w:gridSpan w:val="2"/>
            <w:shd w:val="clear" w:color="auto" w:fill="F2F2F2" w:themeFill="background1" w:themeFillShade="F2"/>
          </w:tcPr>
          <w:p w14:paraId="615152C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 Environmental impact</w:t>
            </w:r>
          </w:p>
        </w:tc>
      </w:tr>
      <w:tr w:rsidR="002D7080" w:rsidRPr="004D1E6F" w14:paraId="17E17625" w14:textId="77777777" w:rsidTr="002E2C37">
        <w:tc>
          <w:tcPr>
            <w:tcW w:w="9016" w:type="dxa"/>
            <w:gridSpan w:val="2"/>
            <w:shd w:val="clear" w:color="auto" w:fill="F2F2F2" w:themeFill="background1" w:themeFillShade="F2"/>
          </w:tcPr>
          <w:p w14:paraId="08E6C35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CON1a: Competition</w:t>
            </w:r>
          </w:p>
        </w:tc>
      </w:tr>
      <w:tr w:rsidR="002D7080" w:rsidRPr="004D1E6F" w14:paraId="28ECBBC2" w14:textId="77777777" w:rsidTr="002E2C37">
        <w:tc>
          <w:tcPr>
            <w:tcW w:w="5949" w:type="dxa"/>
          </w:tcPr>
          <w:p w14:paraId="3F7E152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Moderate (MO)</w:t>
            </w:r>
          </w:p>
        </w:tc>
        <w:tc>
          <w:tcPr>
            <w:tcW w:w="3067" w:type="dxa"/>
          </w:tcPr>
          <w:p w14:paraId="62FD427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Confidence: Low </w:t>
            </w:r>
          </w:p>
        </w:tc>
      </w:tr>
      <w:tr w:rsidR="002D7080" w:rsidRPr="004D1E6F" w14:paraId="1D74F92E" w14:textId="77777777" w:rsidTr="002E2C37">
        <w:trPr>
          <w:trHeight w:val="70"/>
        </w:trPr>
        <w:tc>
          <w:tcPr>
            <w:tcW w:w="9016" w:type="dxa"/>
            <w:gridSpan w:val="2"/>
          </w:tcPr>
          <w:p w14:paraId="1CEBCF1B" w14:textId="77777777" w:rsidR="002D7080" w:rsidRPr="004D1E6F" w:rsidRDefault="002D7080" w:rsidP="002E2C37">
            <w:pPr>
              <w:jc w:val="both"/>
              <w:rPr>
                <w:rFonts w:ascii="Arial" w:hAnsi="Arial" w:cs="Arial"/>
                <w:sz w:val="20"/>
                <w:szCs w:val="20"/>
              </w:rPr>
            </w:pPr>
            <w:r w:rsidRPr="004D1E6F">
              <w:rPr>
                <w:rFonts w:ascii="Times New Roman" w:eastAsia="Times New Roman" w:hAnsi="Times New Roman" w:cs="Times New Roman"/>
                <w:sz w:val="20"/>
                <w:szCs w:val="20"/>
                <w:lang w:eastAsia="en-ZA"/>
              </w:rPr>
              <w:t xml:space="preserve">Rationale: </w:t>
            </w:r>
            <w:r w:rsidRPr="004D1E6F">
              <w:rPr>
                <w:rFonts w:ascii="Times New Roman" w:hAnsi="Times New Roman" w:cs="Times New Roman"/>
                <w:sz w:val="20"/>
                <w:szCs w:val="20"/>
              </w:rPr>
              <w:t xml:space="preserve">There is limited direct evidence for negative environmental impacts for </w:t>
            </w:r>
            <w:r w:rsidRPr="004D1E6F">
              <w:rPr>
                <w:rFonts w:ascii="Times New Roman" w:hAnsi="Times New Roman" w:cs="Times New Roman"/>
                <w:i/>
                <w:iCs/>
                <w:sz w:val="20"/>
                <w:szCs w:val="20"/>
              </w:rPr>
              <w:t>F. immunius</w:t>
            </w:r>
            <w:r w:rsidRPr="004D1E6F">
              <w:rPr>
                <w:rFonts w:ascii="Times New Roman" w:hAnsi="Times New Roman" w:cs="Times New Roman"/>
                <w:sz w:val="20"/>
                <w:szCs w:val="20"/>
              </w:rPr>
              <w:t xml:space="preserve"> in its global invasive range and most of the cited impacts are based on potential rather than observed impacts (e.g., J</w:t>
            </w:r>
            <w:r>
              <w:rPr>
                <w:rFonts w:ascii="Times New Roman" w:hAnsi="Times New Roman" w:cs="Times New Roman"/>
                <w:sz w:val="20"/>
                <w:szCs w:val="20"/>
              </w:rPr>
              <w:t>ansen</w:t>
            </w:r>
            <w:r w:rsidRPr="004D1E6F">
              <w:rPr>
                <w:rFonts w:ascii="Times New Roman" w:hAnsi="Times New Roman" w:cs="Times New Roman"/>
                <w:sz w:val="20"/>
                <w:szCs w:val="20"/>
              </w:rPr>
              <w:t xml:space="preserve"> et al. 2009; EU 2022). For example,</w:t>
            </w:r>
            <w:r w:rsidRPr="004D1E6F">
              <w:rPr>
                <w:rFonts w:ascii="Times New Roman" w:hAnsi="Times New Roman" w:cs="Times New Roman"/>
                <w:i/>
                <w:iCs/>
                <w:sz w:val="20"/>
                <w:szCs w:val="20"/>
              </w:rPr>
              <w:t xml:space="preserve"> Faxinous immunis</w:t>
            </w:r>
            <w:r w:rsidRPr="004D1E6F">
              <w:rPr>
                <w:rFonts w:ascii="Times New Roman" w:hAnsi="Times New Roman" w:cs="Times New Roman"/>
                <w:sz w:val="20"/>
                <w:szCs w:val="20"/>
              </w:rPr>
              <w:t xml:space="preserve"> is an omnivore and in its alien range in the USA it is considered as been more aggressive than native congeneric crayfish species such </w:t>
            </w:r>
            <w:r w:rsidRPr="004D1E6F">
              <w:rPr>
                <w:rFonts w:ascii="Times New Roman" w:hAnsi="Times New Roman" w:cs="Times New Roman"/>
                <w:i/>
                <w:iCs/>
                <w:sz w:val="20"/>
                <w:szCs w:val="20"/>
              </w:rPr>
              <w:t>F. limosus</w:t>
            </w:r>
            <w:r w:rsidRPr="004D1E6F">
              <w:rPr>
                <w:rFonts w:ascii="Times New Roman" w:hAnsi="Times New Roman" w:cs="Times New Roman"/>
                <w:sz w:val="20"/>
                <w:szCs w:val="20"/>
              </w:rPr>
              <w:t xml:space="preserve"> which it is likely to displace through coemption for resources (food and shelter) (Jansen et al. 2009)</w:t>
            </w:r>
          </w:p>
        </w:tc>
      </w:tr>
      <w:tr w:rsidR="002D7080" w:rsidRPr="004D1E6F" w14:paraId="61B6E13E" w14:textId="77777777" w:rsidTr="002E2C37">
        <w:trPr>
          <w:trHeight w:val="70"/>
        </w:trPr>
        <w:tc>
          <w:tcPr>
            <w:tcW w:w="9016" w:type="dxa"/>
            <w:gridSpan w:val="2"/>
          </w:tcPr>
          <w:p w14:paraId="2B88204C"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204BBB22" w14:textId="77777777" w:rsidR="002D7080" w:rsidRPr="004D1E6F" w:rsidRDefault="002D7080" w:rsidP="00327289">
            <w:pPr>
              <w:ind w:left="539" w:hanging="539"/>
              <w:contextualSpacing/>
              <w:jc w:val="both"/>
              <w:rPr>
                <w:rStyle w:val="Hyperlink"/>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European Commission 2022, Directorate-General for Environment, Study on invasive alien species – Development of risk assessments to tackle priority species and enhance prevention – Final report (and annexes), Publications Office of the European Union, 2022, </w:t>
            </w:r>
            <w:hyperlink w:history="1">
              <w:r w:rsidRPr="004D1E6F">
                <w:rPr>
                  <w:rStyle w:val="Hyperlink"/>
                  <w:rFonts w:ascii="Times New Roman" w:eastAsia="Times New Roman" w:hAnsi="Times New Roman" w:cs="Times New Roman"/>
                  <w:sz w:val="20"/>
                  <w:szCs w:val="20"/>
                  <w:lang w:eastAsia="en-ZA"/>
                </w:rPr>
                <w:t>https://data.europa.eu/doi/10.2779/302048</w:t>
              </w:r>
            </w:hyperlink>
          </w:p>
          <w:p w14:paraId="1456D1AF" w14:textId="4EF4DBD4" w:rsidR="002D7080" w:rsidRPr="004D1E6F" w:rsidRDefault="002D7080" w:rsidP="00327289">
            <w:pPr>
              <w:ind w:left="539" w:hanging="539"/>
              <w:contextualSpacing/>
              <w:jc w:val="both"/>
              <w:rPr>
                <w:rFonts w:ascii="Times New Roman" w:hAnsi="Times New Roman"/>
                <w:sz w:val="20"/>
                <w:szCs w:val="20"/>
              </w:rPr>
            </w:pPr>
            <w:r w:rsidRPr="004D1E6F">
              <w:rPr>
                <w:rFonts w:ascii="Times New Roman" w:hAnsi="Times New Roman"/>
                <w:sz w:val="20"/>
                <w:szCs w:val="20"/>
              </w:rPr>
              <w:t>Jansen</w:t>
            </w:r>
            <w:r>
              <w:rPr>
                <w:rFonts w:ascii="Times New Roman" w:hAnsi="Times New Roman"/>
                <w:sz w:val="20"/>
                <w:szCs w:val="20"/>
              </w:rPr>
              <w:t>,</w:t>
            </w:r>
            <w:r w:rsidRPr="004D1E6F">
              <w:rPr>
                <w:rFonts w:ascii="Times New Roman" w:hAnsi="Times New Roman"/>
                <w:sz w:val="20"/>
                <w:szCs w:val="20"/>
              </w:rPr>
              <w:t xml:space="preserve"> W</w:t>
            </w:r>
            <w:r>
              <w:rPr>
                <w:rFonts w:ascii="Times New Roman" w:hAnsi="Times New Roman"/>
                <w:sz w:val="20"/>
                <w:szCs w:val="20"/>
              </w:rPr>
              <w:t>.</w:t>
            </w:r>
            <w:r w:rsidRPr="004D1E6F">
              <w:rPr>
                <w:rFonts w:ascii="Times New Roman" w:hAnsi="Times New Roman"/>
                <w:sz w:val="20"/>
                <w:szCs w:val="20"/>
              </w:rPr>
              <w:t>, Geard</w:t>
            </w:r>
            <w:r>
              <w:rPr>
                <w:rFonts w:ascii="Times New Roman" w:hAnsi="Times New Roman"/>
                <w:sz w:val="20"/>
                <w:szCs w:val="20"/>
              </w:rPr>
              <w:t>,</w:t>
            </w:r>
            <w:r w:rsidRPr="004D1E6F">
              <w:rPr>
                <w:rFonts w:ascii="Times New Roman" w:hAnsi="Times New Roman"/>
                <w:sz w:val="20"/>
                <w:szCs w:val="20"/>
              </w:rPr>
              <w:t xml:space="preserve"> N</w:t>
            </w:r>
            <w:r>
              <w:rPr>
                <w:rFonts w:ascii="Times New Roman" w:hAnsi="Times New Roman"/>
                <w:sz w:val="20"/>
                <w:szCs w:val="20"/>
              </w:rPr>
              <w:t>.</w:t>
            </w:r>
            <w:r w:rsidRPr="004D1E6F">
              <w:rPr>
                <w:rFonts w:ascii="Times New Roman" w:hAnsi="Times New Roman"/>
                <w:sz w:val="20"/>
                <w:szCs w:val="20"/>
              </w:rPr>
              <w:t>, Mosindy</w:t>
            </w:r>
            <w:r>
              <w:rPr>
                <w:rFonts w:ascii="Times New Roman" w:hAnsi="Times New Roman"/>
                <w:sz w:val="20"/>
                <w:szCs w:val="20"/>
              </w:rPr>
              <w:t>,</w:t>
            </w:r>
            <w:r w:rsidRPr="004D1E6F">
              <w:rPr>
                <w:rFonts w:ascii="Times New Roman" w:hAnsi="Times New Roman"/>
                <w:sz w:val="20"/>
                <w:szCs w:val="20"/>
              </w:rPr>
              <w:t xml:space="preserve"> T</w:t>
            </w:r>
            <w:r>
              <w:rPr>
                <w:rFonts w:ascii="Times New Roman" w:hAnsi="Times New Roman"/>
                <w:sz w:val="20"/>
                <w:szCs w:val="20"/>
              </w:rPr>
              <w:t>.</w:t>
            </w:r>
            <w:r w:rsidRPr="004D1E6F">
              <w:rPr>
                <w:rFonts w:ascii="Times New Roman" w:hAnsi="Times New Roman"/>
                <w:sz w:val="20"/>
                <w:szCs w:val="20"/>
              </w:rPr>
              <w:t>, Olson</w:t>
            </w:r>
            <w:r>
              <w:rPr>
                <w:rFonts w:ascii="Times New Roman" w:hAnsi="Times New Roman"/>
                <w:sz w:val="20"/>
                <w:szCs w:val="20"/>
              </w:rPr>
              <w:t>,</w:t>
            </w:r>
            <w:r w:rsidRPr="004D1E6F">
              <w:rPr>
                <w:rFonts w:ascii="Times New Roman" w:hAnsi="Times New Roman"/>
                <w:sz w:val="20"/>
                <w:szCs w:val="20"/>
              </w:rPr>
              <w:t xml:space="preserve"> G</w:t>
            </w:r>
            <w:r>
              <w:rPr>
                <w:rFonts w:ascii="Times New Roman" w:hAnsi="Times New Roman"/>
                <w:sz w:val="20"/>
                <w:szCs w:val="20"/>
              </w:rPr>
              <w:t>. &amp;</w:t>
            </w:r>
            <w:r w:rsidRPr="004D1E6F">
              <w:rPr>
                <w:rFonts w:ascii="Times New Roman" w:hAnsi="Times New Roman"/>
                <w:sz w:val="20"/>
                <w:szCs w:val="20"/>
              </w:rPr>
              <w:t xml:space="preserve"> Turner</w:t>
            </w:r>
            <w:r>
              <w:rPr>
                <w:rFonts w:ascii="Times New Roman" w:hAnsi="Times New Roman"/>
                <w:sz w:val="20"/>
                <w:szCs w:val="20"/>
              </w:rPr>
              <w:t>,</w:t>
            </w:r>
            <w:r w:rsidRPr="004D1E6F">
              <w:rPr>
                <w:rFonts w:ascii="Times New Roman" w:hAnsi="Times New Roman"/>
                <w:sz w:val="20"/>
                <w:szCs w:val="20"/>
              </w:rPr>
              <w:t xml:space="preserve"> M.</w:t>
            </w:r>
            <w:r>
              <w:rPr>
                <w:rFonts w:ascii="Times New Roman" w:hAnsi="Times New Roman"/>
                <w:sz w:val="20"/>
                <w:szCs w:val="20"/>
              </w:rPr>
              <w:t>,</w:t>
            </w:r>
            <w:r w:rsidRPr="004D1E6F">
              <w:rPr>
                <w:rFonts w:ascii="Times New Roman" w:hAnsi="Times New Roman"/>
                <w:sz w:val="20"/>
                <w:szCs w:val="20"/>
              </w:rPr>
              <w:t xml:space="preserve"> 2009</w:t>
            </w:r>
            <w:r>
              <w:rPr>
                <w:rFonts w:ascii="Times New Roman" w:hAnsi="Times New Roman"/>
                <w:sz w:val="20"/>
                <w:szCs w:val="20"/>
              </w:rPr>
              <w:t>,</w:t>
            </w:r>
            <w:r w:rsidRPr="004D1E6F">
              <w:rPr>
                <w:rFonts w:ascii="Times New Roman" w:hAnsi="Times New Roman"/>
                <w:sz w:val="20"/>
                <w:szCs w:val="20"/>
              </w:rPr>
              <w:t xml:space="preserve"> </w:t>
            </w:r>
            <w:r>
              <w:rPr>
                <w:rFonts w:ascii="Times New Roman" w:hAnsi="Times New Roman"/>
                <w:sz w:val="20"/>
                <w:szCs w:val="20"/>
              </w:rPr>
              <w:t>‘</w:t>
            </w:r>
            <w:r w:rsidRPr="004D1E6F">
              <w:rPr>
                <w:rFonts w:ascii="Times New Roman" w:hAnsi="Times New Roman"/>
                <w:sz w:val="20"/>
                <w:szCs w:val="20"/>
              </w:rPr>
              <w:t>Relative abundance and habitat association of three crayfish (</w:t>
            </w:r>
            <w:r w:rsidRPr="004D1E6F">
              <w:rPr>
                <w:rFonts w:ascii="Times New Roman" w:hAnsi="Times New Roman"/>
                <w:i/>
                <w:iCs/>
                <w:sz w:val="20"/>
                <w:szCs w:val="20"/>
              </w:rPr>
              <w:t>Orconectes virilis</w:t>
            </w:r>
            <w:r w:rsidRPr="004D1E6F">
              <w:rPr>
                <w:rFonts w:ascii="Times New Roman" w:hAnsi="Times New Roman"/>
                <w:sz w:val="20"/>
                <w:szCs w:val="20"/>
              </w:rPr>
              <w:t xml:space="preserve">, </w:t>
            </w:r>
            <w:r w:rsidRPr="004D1E6F">
              <w:rPr>
                <w:rFonts w:ascii="Times New Roman" w:hAnsi="Times New Roman"/>
                <w:i/>
                <w:iCs/>
                <w:sz w:val="20"/>
                <w:szCs w:val="20"/>
              </w:rPr>
              <w:t>O. rusticus</w:t>
            </w:r>
            <w:r w:rsidRPr="004D1E6F">
              <w:rPr>
                <w:rFonts w:ascii="Times New Roman" w:hAnsi="Times New Roman"/>
                <w:sz w:val="20"/>
                <w:szCs w:val="20"/>
              </w:rPr>
              <w:t xml:space="preserve">, and </w:t>
            </w:r>
            <w:r w:rsidRPr="004D1E6F">
              <w:rPr>
                <w:rFonts w:ascii="Times New Roman" w:hAnsi="Times New Roman"/>
                <w:i/>
                <w:iCs/>
                <w:sz w:val="20"/>
                <w:szCs w:val="20"/>
              </w:rPr>
              <w:t>O. immunis</w:t>
            </w:r>
            <w:r w:rsidRPr="004D1E6F">
              <w:rPr>
                <w:rFonts w:ascii="Times New Roman" w:hAnsi="Times New Roman"/>
                <w:sz w:val="20"/>
                <w:szCs w:val="20"/>
              </w:rPr>
              <w:t xml:space="preserve">) near an invasion front of </w:t>
            </w:r>
            <w:r w:rsidRPr="004D1E6F">
              <w:rPr>
                <w:rFonts w:ascii="Times New Roman" w:hAnsi="Times New Roman"/>
                <w:i/>
                <w:iCs/>
                <w:sz w:val="20"/>
                <w:szCs w:val="20"/>
              </w:rPr>
              <w:t>O. rusticus</w:t>
            </w:r>
            <w:r w:rsidRPr="004D1E6F">
              <w:rPr>
                <w:rFonts w:ascii="Times New Roman" w:hAnsi="Times New Roman"/>
                <w:sz w:val="20"/>
                <w:szCs w:val="20"/>
              </w:rPr>
              <w:t>, and long-term changes in their distribution in Lake of the Woods, Canada</w:t>
            </w:r>
            <w:r>
              <w:rPr>
                <w:rFonts w:ascii="Times New Roman" w:hAnsi="Times New Roman"/>
                <w:sz w:val="20"/>
                <w:szCs w:val="20"/>
              </w:rPr>
              <w:t xml:space="preserve">’, </w:t>
            </w:r>
            <w:r w:rsidRPr="00F9362F">
              <w:rPr>
                <w:rFonts w:ascii="Times New Roman" w:hAnsi="Times New Roman"/>
                <w:i/>
                <w:iCs/>
                <w:sz w:val="20"/>
                <w:szCs w:val="20"/>
              </w:rPr>
              <w:t>Aquatic Invasions</w:t>
            </w:r>
            <w:r>
              <w:rPr>
                <w:rFonts w:ascii="Times New Roman" w:hAnsi="Times New Roman"/>
                <w:sz w:val="20"/>
                <w:szCs w:val="20"/>
              </w:rPr>
              <w:t>,</w:t>
            </w:r>
            <w:r w:rsidRPr="004D1E6F">
              <w:rPr>
                <w:rFonts w:ascii="Times New Roman" w:hAnsi="Times New Roman"/>
                <w:sz w:val="20"/>
                <w:szCs w:val="20"/>
              </w:rPr>
              <w:t xml:space="preserve"> 4</w:t>
            </w:r>
            <w:r>
              <w:rPr>
                <w:rFonts w:ascii="Times New Roman" w:hAnsi="Times New Roman"/>
                <w:sz w:val="20"/>
                <w:szCs w:val="20"/>
              </w:rPr>
              <w:t>,</w:t>
            </w:r>
            <w:r w:rsidRPr="004D1E6F">
              <w:rPr>
                <w:rFonts w:ascii="Times New Roman" w:hAnsi="Times New Roman"/>
                <w:sz w:val="20"/>
                <w:szCs w:val="20"/>
              </w:rPr>
              <w:t xml:space="preserve"> 627-649.</w:t>
            </w:r>
            <w:r>
              <w:rPr>
                <w:rFonts w:ascii="Times New Roman" w:hAnsi="Times New Roman"/>
                <w:sz w:val="20"/>
                <w:szCs w:val="20"/>
              </w:rPr>
              <w:t xml:space="preserve"> </w:t>
            </w:r>
            <w:hyperlink r:id="rId199" w:history="1">
              <w:r w:rsidRPr="00327289">
                <w:rPr>
                  <w:rStyle w:val="Hyperlink"/>
                  <w:rFonts w:ascii="Times New Roman" w:hAnsi="Times New Roman"/>
                  <w:sz w:val="20"/>
                  <w:szCs w:val="20"/>
                </w:rPr>
                <w:t>https://doi.org/</w:t>
              </w:r>
              <w:r w:rsidR="00327289" w:rsidRPr="00327289">
                <w:rPr>
                  <w:rStyle w:val="Hyperlink"/>
                  <w:rFonts w:ascii="Times New Roman" w:hAnsi="Times New Roman"/>
                  <w:sz w:val="20"/>
                  <w:szCs w:val="20"/>
                </w:rPr>
                <w:t>10.3391/ai.2009.4.4.9</w:t>
              </w:r>
            </w:hyperlink>
            <w:r>
              <w:rPr>
                <w:rFonts w:ascii="Times New Roman" w:hAnsi="Times New Roman"/>
                <w:sz w:val="20"/>
                <w:szCs w:val="20"/>
              </w:rPr>
              <w:t xml:space="preserve">. </w:t>
            </w:r>
          </w:p>
        </w:tc>
      </w:tr>
      <w:tr w:rsidR="002D7080" w:rsidRPr="004D1E6F" w14:paraId="587C0F95" w14:textId="77777777" w:rsidTr="002E2C37">
        <w:tc>
          <w:tcPr>
            <w:tcW w:w="9016" w:type="dxa"/>
            <w:gridSpan w:val="2"/>
            <w:shd w:val="clear" w:color="auto" w:fill="F2F2F2" w:themeFill="background1" w:themeFillShade="F2"/>
          </w:tcPr>
          <w:p w14:paraId="3FEBE9F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CON1b: Predation</w:t>
            </w:r>
          </w:p>
        </w:tc>
      </w:tr>
      <w:tr w:rsidR="002D7080" w:rsidRPr="004D1E6F" w14:paraId="43F4760F" w14:textId="77777777" w:rsidTr="002E2C37">
        <w:tc>
          <w:tcPr>
            <w:tcW w:w="5949" w:type="dxa"/>
          </w:tcPr>
          <w:p w14:paraId="2A6EB95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Major (MR)</w:t>
            </w:r>
          </w:p>
        </w:tc>
        <w:tc>
          <w:tcPr>
            <w:tcW w:w="3067" w:type="dxa"/>
          </w:tcPr>
          <w:p w14:paraId="74C851B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Confidence: Medium </w:t>
            </w:r>
          </w:p>
        </w:tc>
      </w:tr>
      <w:tr w:rsidR="002D7080" w:rsidRPr="004D1E6F" w14:paraId="0CA0ABD6" w14:textId="77777777" w:rsidTr="002E2C37">
        <w:trPr>
          <w:trHeight w:val="70"/>
        </w:trPr>
        <w:tc>
          <w:tcPr>
            <w:tcW w:w="9016" w:type="dxa"/>
            <w:gridSpan w:val="2"/>
          </w:tcPr>
          <w:p w14:paraId="1461F27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color w:val="000000"/>
                <w:sz w:val="20"/>
                <w:szCs w:val="20"/>
                <w:lang w:eastAsia="en-ZA"/>
              </w:rPr>
              <w:t xml:space="preserve">Faxinous immunis </w:t>
            </w:r>
            <w:r w:rsidRPr="004D1E6F">
              <w:rPr>
                <w:rFonts w:ascii="Times New Roman" w:eastAsia="Times New Roman" w:hAnsi="Times New Roman" w:cs="Times New Roman"/>
                <w:iCs/>
                <w:color w:val="000000"/>
                <w:sz w:val="20"/>
                <w:szCs w:val="20"/>
                <w:lang w:eastAsia="en-ZA"/>
              </w:rPr>
              <w:t xml:space="preserve">is a </w:t>
            </w:r>
            <w:r w:rsidRPr="004D1E6F">
              <w:rPr>
                <w:rFonts w:ascii="Times New Roman" w:hAnsi="Times New Roman" w:cs="Times New Roman"/>
                <w:iCs/>
                <w:sz w:val="20"/>
                <w:szCs w:val="20"/>
              </w:rPr>
              <w:t>facultative omnivore that consumes detritus, macrophytes and invertebrates (Chucholl 2012</w:t>
            </w:r>
            <w:r w:rsidRPr="004D1E6F">
              <w:rPr>
                <w:rFonts w:ascii="Times New Roman" w:hAnsi="Times New Roman" w:cs="Times New Roman"/>
                <w:sz w:val="20"/>
                <w:szCs w:val="20"/>
              </w:rPr>
              <w:t xml:space="preserve">). </w:t>
            </w:r>
            <w:r w:rsidRPr="004D1E6F">
              <w:rPr>
                <w:rFonts w:ascii="Times New Roman" w:eastAsia="Times New Roman" w:hAnsi="Times New Roman" w:cs="Times New Roman"/>
                <w:color w:val="000000"/>
                <w:sz w:val="20"/>
                <w:szCs w:val="20"/>
                <w:lang w:eastAsia="en-ZA"/>
              </w:rPr>
              <w:t>In areas of introduction, direct predation by</w:t>
            </w:r>
            <w:r w:rsidRPr="004D1E6F">
              <w:rPr>
                <w:rFonts w:ascii="Times New Roman" w:eastAsia="Times New Roman" w:hAnsi="Times New Roman" w:cs="Times New Roman"/>
                <w:i/>
                <w:color w:val="000000"/>
                <w:sz w:val="20"/>
                <w:szCs w:val="20"/>
                <w:lang w:eastAsia="en-ZA"/>
              </w:rPr>
              <w:t xml:space="preserve"> F. immunis </w:t>
            </w:r>
            <w:r w:rsidRPr="004D1E6F">
              <w:rPr>
                <w:rFonts w:ascii="Times New Roman" w:eastAsia="Times New Roman" w:hAnsi="Times New Roman" w:cs="Times New Roman"/>
                <w:color w:val="000000"/>
                <w:sz w:val="20"/>
                <w:szCs w:val="20"/>
                <w:lang w:eastAsia="en-ZA"/>
              </w:rPr>
              <w:t>on native fauna has resulted in a decline in population size of at least one native fish species. For example, in Germany, predation by</w:t>
            </w:r>
            <w:r w:rsidRPr="004D1E6F">
              <w:rPr>
                <w:rFonts w:ascii="Times New Roman" w:eastAsia="Times New Roman" w:hAnsi="Times New Roman" w:cs="Times New Roman"/>
                <w:i/>
                <w:color w:val="000000"/>
                <w:sz w:val="20"/>
                <w:szCs w:val="20"/>
                <w:lang w:eastAsia="en-ZA"/>
              </w:rPr>
              <w:t xml:space="preserve"> F. immunius </w:t>
            </w:r>
            <w:r w:rsidRPr="004D1E6F">
              <w:rPr>
                <w:rFonts w:ascii="Times New Roman" w:eastAsia="Times New Roman" w:hAnsi="Times New Roman" w:cs="Times New Roman"/>
                <w:color w:val="000000"/>
                <w:sz w:val="20"/>
                <w:szCs w:val="20"/>
                <w:lang w:eastAsia="en-ZA"/>
              </w:rPr>
              <w:t xml:space="preserve">has been implicated in the decline of native populations of invertebrates such as dragonflies, Coleoptera, Odonata, Mollusca and Trichoptera ((EU 2022). </w:t>
            </w:r>
          </w:p>
        </w:tc>
      </w:tr>
      <w:tr w:rsidR="002D7080" w:rsidRPr="004D1E6F" w14:paraId="7263827F" w14:textId="77777777" w:rsidTr="002E2C37">
        <w:trPr>
          <w:trHeight w:val="70"/>
        </w:trPr>
        <w:tc>
          <w:tcPr>
            <w:tcW w:w="9016" w:type="dxa"/>
            <w:gridSpan w:val="2"/>
          </w:tcPr>
          <w:p w14:paraId="0AECDEF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3C32D312" w14:textId="77777777" w:rsidR="002D7080" w:rsidRPr="004D1E6F" w:rsidRDefault="002D7080" w:rsidP="002E2C37">
            <w:pPr>
              <w:ind w:left="540" w:hanging="540"/>
              <w:jc w:val="both"/>
              <w:rPr>
                <w:rStyle w:val="Hyperlink"/>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lastRenderedPageBreak/>
              <w:t xml:space="preserve">European Commission 2022, Directorate-General for Environment, Study on invasive alien species – Development of risk assessments to tackle priority species and enhance prevention – Final report (and annexes), Publications Office of the European Union, 2022, </w:t>
            </w:r>
            <w:hyperlink w:history="1">
              <w:r w:rsidRPr="004D1E6F">
                <w:rPr>
                  <w:rStyle w:val="Hyperlink"/>
                  <w:rFonts w:ascii="Times New Roman" w:eastAsia="Times New Roman" w:hAnsi="Times New Roman" w:cs="Times New Roman"/>
                  <w:sz w:val="20"/>
                  <w:szCs w:val="20"/>
                  <w:lang w:eastAsia="en-ZA"/>
                </w:rPr>
                <w:t>https://data.europa.eu/doi/10.2779/302048</w:t>
              </w:r>
            </w:hyperlink>
          </w:p>
          <w:p w14:paraId="04D82080" w14:textId="37DA5AA0" w:rsidR="002D7080" w:rsidRPr="004D1E6F" w:rsidRDefault="002D7080" w:rsidP="002E2C37">
            <w:pPr>
              <w:ind w:left="540" w:hanging="540"/>
              <w:jc w:val="both"/>
              <w:rPr>
                <w:rFonts w:ascii="Times New Roman" w:hAnsi="Times New Roman"/>
              </w:rPr>
            </w:pPr>
            <w:r w:rsidRPr="004D1E6F">
              <w:rPr>
                <w:rFonts w:ascii="Times New Roman" w:hAnsi="Times New Roman" w:cs="Times New Roman"/>
                <w:sz w:val="20"/>
                <w:szCs w:val="20"/>
              </w:rPr>
              <w:t>Chucholl</w:t>
            </w:r>
            <w:r>
              <w:rPr>
                <w:rFonts w:ascii="Times New Roman" w:hAnsi="Times New Roman" w:cs="Times New Roman"/>
                <w:sz w:val="20"/>
                <w:szCs w:val="20"/>
              </w:rPr>
              <w:t xml:space="preserve">, </w:t>
            </w:r>
            <w:r w:rsidRPr="004D1E6F">
              <w:rPr>
                <w:rFonts w:ascii="Times New Roman" w:hAnsi="Times New Roman" w:cs="Times New Roman"/>
                <w:sz w:val="20"/>
                <w:szCs w:val="20"/>
              </w:rPr>
              <w:t>C.</w:t>
            </w:r>
            <w:r>
              <w:rPr>
                <w:rFonts w:ascii="Times New Roman" w:hAnsi="Times New Roman" w:cs="Times New Roman"/>
                <w:sz w:val="20"/>
                <w:szCs w:val="20"/>
              </w:rPr>
              <w:t>,</w:t>
            </w:r>
            <w:r w:rsidRPr="004D1E6F">
              <w:rPr>
                <w:rFonts w:ascii="Times New Roman" w:hAnsi="Times New Roman" w:cs="Times New Roman"/>
                <w:sz w:val="20"/>
                <w:szCs w:val="20"/>
              </w:rPr>
              <w:t xml:space="preserve"> 2012</w:t>
            </w:r>
            <w:r>
              <w:rPr>
                <w:rFonts w:ascii="Times New Roman" w:hAnsi="Times New Roman" w:cs="Times New Roman"/>
                <w:sz w:val="20"/>
                <w:szCs w:val="20"/>
              </w:rPr>
              <w:t>,</w:t>
            </w:r>
            <w:r w:rsidRPr="004D1E6F">
              <w:rPr>
                <w:rFonts w:ascii="Times New Roman" w:hAnsi="Times New Roman" w:cs="Times New Roman"/>
                <w:sz w:val="20"/>
                <w:szCs w:val="20"/>
              </w:rPr>
              <w:t xml:space="preserve"> </w:t>
            </w:r>
            <w:r>
              <w:rPr>
                <w:rFonts w:ascii="Times New Roman" w:hAnsi="Times New Roman" w:cs="Times New Roman"/>
                <w:sz w:val="20"/>
                <w:szCs w:val="20"/>
              </w:rPr>
              <w:t>‘</w:t>
            </w:r>
            <w:r w:rsidRPr="004D1E6F">
              <w:rPr>
                <w:rFonts w:ascii="Times New Roman" w:hAnsi="Times New Roman" w:cs="Times New Roman"/>
                <w:sz w:val="20"/>
                <w:szCs w:val="20"/>
              </w:rPr>
              <w:t xml:space="preserve">Understanding invasion success: life-history traits and feeding habits of the alien crayfish </w:t>
            </w:r>
            <w:r w:rsidRPr="004D1E6F">
              <w:rPr>
                <w:rFonts w:ascii="Times New Roman" w:hAnsi="Times New Roman" w:cs="Times New Roman"/>
                <w:i/>
                <w:iCs/>
                <w:sz w:val="20"/>
                <w:szCs w:val="20"/>
              </w:rPr>
              <w:t>Orconectes immunis</w:t>
            </w:r>
            <w:r w:rsidRPr="004D1E6F">
              <w:rPr>
                <w:rFonts w:ascii="Times New Roman" w:hAnsi="Times New Roman" w:cs="Times New Roman"/>
                <w:sz w:val="20"/>
                <w:szCs w:val="20"/>
              </w:rPr>
              <w:t xml:space="preserve"> (Decapoda, Astacida, Cambaridae)</w:t>
            </w:r>
            <w:r>
              <w:rPr>
                <w:rFonts w:ascii="Times New Roman" w:hAnsi="Times New Roman" w:cs="Times New Roman"/>
                <w:sz w:val="20"/>
                <w:szCs w:val="20"/>
              </w:rPr>
              <w:t xml:space="preserve">’, </w:t>
            </w:r>
            <w:r w:rsidRPr="004D1E6F">
              <w:rPr>
                <w:rFonts w:ascii="Times New Roman" w:hAnsi="Times New Roman" w:cs="Times New Roman"/>
                <w:i/>
                <w:iCs/>
                <w:sz w:val="20"/>
                <w:szCs w:val="20"/>
              </w:rPr>
              <w:t>Knowledge and Management of Aquatic Ecosystems</w:t>
            </w:r>
            <w:r w:rsidRPr="00DF59F5">
              <w:rPr>
                <w:rFonts w:ascii="Times New Roman" w:hAnsi="Times New Roman" w:cs="Times New Roman"/>
                <w:sz w:val="20"/>
                <w:szCs w:val="20"/>
              </w:rPr>
              <w:t>,</w:t>
            </w:r>
            <w:r>
              <w:rPr>
                <w:rFonts w:ascii="Times New Roman" w:hAnsi="Times New Roman" w:cs="Times New Roman"/>
                <w:sz w:val="20"/>
                <w:szCs w:val="20"/>
              </w:rPr>
              <w:t xml:space="preserve"> </w:t>
            </w:r>
            <w:r w:rsidRPr="004D1E6F">
              <w:rPr>
                <w:rFonts w:ascii="Times New Roman" w:hAnsi="Times New Roman" w:cs="Times New Roman"/>
                <w:sz w:val="20"/>
                <w:szCs w:val="20"/>
              </w:rPr>
              <w:t>404: 04.</w:t>
            </w:r>
            <w:r w:rsidRPr="0036683F">
              <w:rPr>
                <w:rFonts w:ascii="Times New Roman" w:hAnsi="Times New Roman" w:cs="Times New Roman"/>
                <w:sz w:val="20"/>
                <w:szCs w:val="20"/>
              </w:rPr>
              <w:t xml:space="preserve"> </w:t>
            </w:r>
            <w:r w:rsidR="00327289" w:rsidRPr="00327289">
              <w:rPr>
                <w:rFonts w:ascii="Times New Roman" w:hAnsi="Times New Roman" w:cs="Times New Roman"/>
                <w:sz w:val="20"/>
                <w:szCs w:val="20"/>
              </w:rPr>
              <w:t>https://doi.org/10.1007/s10530-012-0273-2</w:t>
            </w:r>
            <w:r w:rsidRPr="00327289">
              <w:rPr>
                <w:rFonts w:ascii="Times New Roman" w:hAnsi="Times New Roman" w:cs="Times New Roman"/>
                <w:sz w:val="18"/>
                <w:szCs w:val="18"/>
              </w:rPr>
              <w:t>.</w:t>
            </w:r>
          </w:p>
        </w:tc>
      </w:tr>
      <w:tr w:rsidR="002D7080" w:rsidRPr="004D1E6F" w14:paraId="7C5E1178" w14:textId="77777777" w:rsidTr="002E2C37">
        <w:tc>
          <w:tcPr>
            <w:tcW w:w="9016" w:type="dxa"/>
            <w:gridSpan w:val="2"/>
            <w:shd w:val="clear" w:color="auto" w:fill="F2F2F2" w:themeFill="background1" w:themeFillShade="F2"/>
          </w:tcPr>
          <w:p w14:paraId="6E924496"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lastRenderedPageBreak/>
              <w:t>CON1c: Hybridisation</w:t>
            </w:r>
          </w:p>
        </w:tc>
      </w:tr>
      <w:tr w:rsidR="002D7080" w:rsidRPr="004D1E6F" w14:paraId="153C4FC3" w14:textId="77777777" w:rsidTr="002E2C37">
        <w:tc>
          <w:tcPr>
            <w:tcW w:w="5949" w:type="dxa"/>
          </w:tcPr>
          <w:p w14:paraId="3FD126D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55CC2F3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Confidence: High </w:t>
            </w:r>
          </w:p>
        </w:tc>
      </w:tr>
      <w:tr w:rsidR="002D7080" w:rsidRPr="004D1E6F" w14:paraId="57F721DA" w14:textId="77777777" w:rsidTr="002E2C37">
        <w:trPr>
          <w:trHeight w:val="70"/>
        </w:trPr>
        <w:tc>
          <w:tcPr>
            <w:tcW w:w="9016" w:type="dxa"/>
            <w:gridSpan w:val="2"/>
          </w:tcPr>
          <w:p w14:paraId="45CCAC34" w14:textId="30317E61"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There are no native freshwater crayfish in South Africa (</w:t>
            </w:r>
            <w:r w:rsidR="008A0BC6">
              <w:rPr>
                <w:rFonts w:ascii="Times New Roman" w:eastAsia="Times New Roman" w:hAnsi="Times New Roman" w:cs="Times New Roman"/>
                <w:color w:val="000000"/>
                <w:sz w:val="20"/>
                <w:szCs w:val="20"/>
                <w:lang w:eastAsia="en-ZA"/>
              </w:rPr>
              <w:t>De Moor</w:t>
            </w:r>
            <w:r w:rsidRPr="004D1E6F">
              <w:rPr>
                <w:rFonts w:ascii="Times New Roman" w:eastAsia="Times New Roman" w:hAnsi="Times New Roman" w:cs="Times New Roman"/>
                <w:color w:val="000000"/>
                <w:sz w:val="20"/>
                <w:szCs w:val="20"/>
                <w:lang w:eastAsia="en-ZA"/>
              </w:rPr>
              <w:t xml:space="preserve"> 2002; </w:t>
            </w:r>
            <w:r w:rsidRPr="004D1E6F">
              <w:rPr>
                <w:rFonts w:ascii="Times New Roman" w:eastAsia="Times New Roman" w:hAnsi="Times New Roman" w:cs="Times New Roman"/>
                <w:sz w:val="20"/>
                <w:szCs w:val="20"/>
                <w:lang w:eastAsia="en-ZA"/>
              </w:rPr>
              <w:t>Crandall &amp; de Grave 2017</w:t>
            </w:r>
            <w:r w:rsidRPr="004D1E6F">
              <w:rPr>
                <w:rFonts w:ascii="Times New Roman" w:eastAsia="Times New Roman" w:hAnsi="Times New Roman" w:cs="Times New Roman"/>
                <w:color w:val="000000"/>
                <w:sz w:val="20"/>
                <w:szCs w:val="20"/>
                <w:lang w:eastAsia="en-ZA"/>
              </w:rPr>
              <w:t>), so there is no possibility of hybridisation with native species.</w:t>
            </w:r>
          </w:p>
        </w:tc>
      </w:tr>
      <w:tr w:rsidR="002D7080" w:rsidRPr="004D1E6F" w14:paraId="3F8DE2E7" w14:textId="77777777" w:rsidTr="002E2C37">
        <w:trPr>
          <w:trHeight w:val="70"/>
        </w:trPr>
        <w:tc>
          <w:tcPr>
            <w:tcW w:w="9016" w:type="dxa"/>
            <w:gridSpan w:val="2"/>
          </w:tcPr>
          <w:p w14:paraId="3EDA95A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62AC830E" w14:textId="36C6A0FE" w:rsidR="002D7080" w:rsidRPr="004D1E6F" w:rsidRDefault="002D7080" w:rsidP="00327289">
            <w:pPr>
              <w:ind w:left="720" w:hanging="720"/>
              <w:contextualSpacing/>
              <w:jc w:val="both"/>
              <w:rPr>
                <w:rFonts w:ascii="Times New Roman" w:eastAsia="Times New Roman" w:hAnsi="Times New Roman" w:cs="Times New Roman"/>
                <w:sz w:val="20"/>
                <w:szCs w:val="20"/>
                <w:lang w:eastAsia="en-ZA"/>
              </w:rPr>
            </w:pPr>
            <w:hyperlink w:history="1"/>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I., 2002, ‘Potential impacts of alien freshwater crayfish in South Africa’, African </w:t>
            </w:r>
            <w:r w:rsidRPr="004D1E6F">
              <w:rPr>
                <w:rFonts w:ascii="Times New Roman" w:eastAsia="Times New Roman" w:hAnsi="Times New Roman" w:cs="Times New Roman"/>
                <w:i/>
                <w:sz w:val="20"/>
                <w:szCs w:val="20"/>
                <w:lang w:eastAsia="en-ZA"/>
              </w:rPr>
              <w:t xml:space="preserve">Journal of Aquatic Science </w:t>
            </w:r>
            <w:r w:rsidRPr="004D1E6F">
              <w:rPr>
                <w:rFonts w:ascii="Times New Roman" w:eastAsia="Times New Roman" w:hAnsi="Times New Roman" w:cs="Times New Roman"/>
                <w:sz w:val="20"/>
                <w:szCs w:val="20"/>
                <w:lang w:eastAsia="en-ZA"/>
              </w:rPr>
              <w:t xml:space="preserve">27, 125–139. </w:t>
            </w:r>
            <w:hyperlink r:id="rId200" w:history="1">
              <w:r w:rsidR="008B658F" w:rsidRPr="008A0BC6">
                <w:rPr>
                  <w:rStyle w:val="Hyperlink"/>
                  <w:rFonts w:ascii="Times New Roman" w:hAnsi="Times New Roman" w:cs="Times New Roman"/>
                  <w:sz w:val="20"/>
                  <w:szCs w:val="20"/>
                </w:rPr>
                <w:t>https://doi.org/10.2989/16085914.2002.9626584</w:t>
              </w:r>
            </w:hyperlink>
            <w:r w:rsidR="008B658F" w:rsidRPr="008A0BC6">
              <w:rPr>
                <w:rFonts w:ascii="Times New Roman" w:hAnsi="Times New Roman" w:cs="Times New Roman"/>
                <w:sz w:val="20"/>
                <w:szCs w:val="20"/>
              </w:rPr>
              <w:t>.</w:t>
            </w:r>
          </w:p>
          <w:p w14:paraId="0F2CAA4C" w14:textId="611F9C78" w:rsidR="002D7080" w:rsidRPr="004D1E6F" w:rsidRDefault="002D7080" w:rsidP="00327289">
            <w:pPr>
              <w:ind w:left="720" w:hanging="720"/>
              <w:contextualSpacing/>
              <w:jc w:val="both"/>
              <w:rPr>
                <w:rFonts w:ascii="Times New Roman" w:eastAsia="Times New Roman" w:hAnsi="Times New Roman" w:cs="Times New Roman"/>
                <w:sz w:val="20"/>
                <w:szCs w:val="20"/>
                <w:lang w:eastAsia="en-ZA"/>
              </w:rPr>
            </w:pPr>
            <w:r w:rsidRPr="00C84068">
              <w:rPr>
                <w:rFonts w:ascii="Times New Roman" w:hAnsi="Times New Roman" w:cs="Times New Roman"/>
                <w:color w:val="000000" w:themeColor="text1"/>
                <w:sz w:val="20"/>
                <w:szCs w:val="20"/>
                <w:shd w:val="clear" w:color="auto" w:fill="FFFFFF"/>
              </w:rPr>
              <w:t>Crandall, K.A. &amp; De Grave, S., 2017, ‘An updated classification of the freshwater crayfishes (Decapoda: Astacidea) of the world, with a complete species list’, </w:t>
            </w:r>
            <w:r w:rsidRPr="00C84068">
              <w:rPr>
                <w:rStyle w:val="Emphasis"/>
                <w:rFonts w:ascii="Times New Roman" w:hAnsi="Times New Roman" w:cs="Times New Roman"/>
                <w:color w:val="000000" w:themeColor="text1"/>
                <w:sz w:val="20"/>
                <w:szCs w:val="20"/>
                <w:bdr w:val="none" w:sz="0" w:space="0" w:color="auto" w:frame="1"/>
                <w:shd w:val="clear" w:color="auto" w:fill="FFFFFF"/>
              </w:rPr>
              <w:t>Journal of Crustacean Biology</w:t>
            </w:r>
            <w:r w:rsidRPr="00C84068">
              <w:rPr>
                <w:rFonts w:ascii="Times New Roman" w:hAnsi="Times New Roman" w:cs="Times New Roman"/>
                <w:color w:val="000000" w:themeColor="text1"/>
                <w:sz w:val="20"/>
                <w:szCs w:val="20"/>
                <w:shd w:val="clear" w:color="auto" w:fill="FFFFFF"/>
              </w:rPr>
              <w:t>, 37(5), 615–653. </w:t>
            </w:r>
            <w:r w:rsidR="00327289" w:rsidRPr="008D5BFA">
              <w:rPr>
                <w:rFonts w:ascii="Times New Roman" w:hAnsi="Times New Roman" w:cs="Times New Roman"/>
                <w:sz w:val="20"/>
                <w:szCs w:val="20"/>
              </w:rPr>
              <w:t>https://doi.org/10.1093/jcbiol/rux070</w:t>
            </w:r>
            <w:r w:rsidRPr="00C84068">
              <w:rPr>
                <w:rFonts w:ascii="Times New Roman" w:hAnsi="Times New Roman" w:cs="Times New Roman"/>
                <w:color w:val="000000" w:themeColor="text1"/>
                <w:sz w:val="20"/>
                <w:szCs w:val="20"/>
                <w:bdr w:val="none" w:sz="0" w:space="0" w:color="auto" w:frame="1"/>
                <w:shd w:val="clear" w:color="auto" w:fill="FFFFFF"/>
              </w:rPr>
              <w:t>.</w:t>
            </w:r>
            <w:r>
              <w:rPr>
                <w:rFonts w:ascii="Times New Roman" w:hAnsi="Times New Roman" w:cs="Times New Roman"/>
                <w:color w:val="000000" w:themeColor="text1"/>
                <w:sz w:val="20"/>
                <w:szCs w:val="20"/>
                <w:bdr w:val="none" w:sz="0" w:space="0" w:color="auto" w:frame="1"/>
                <w:shd w:val="clear" w:color="auto" w:fill="FFFFFF"/>
              </w:rPr>
              <w:t xml:space="preserve"> </w:t>
            </w:r>
          </w:p>
        </w:tc>
      </w:tr>
      <w:tr w:rsidR="002D7080" w:rsidRPr="004D1E6F" w14:paraId="48EB6CD3" w14:textId="77777777" w:rsidTr="002E2C37">
        <w:tc>
          <w:tcPr>
            <w:tcW w:w="9016" w:type="dxa"/>
            <w:gridSpan w:val="2"/>
            <w:shd w:val="clear" w:color="auto" w:fill="F2F2F2" w:themeFill="background1" w:themeFillShade="F2"/>
          </w:tcPr>
          <w:p w14:paraId="414681B9"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CON1d: Transmission of disease</w:t>
            </w:r>
          </w:p>
        </w:tc>
      </w:tr>
      <w:tr w:rsidR="002D7080" w:rsidRPr="004D1E6F" w14:paraId="0E62531E" w14:textId="77777777" w:rsidTr="002E2C37">
        <w:tc>
          <w:tcPr>
            <w:tcW w:w="5949" w:type="dxa"/>
          </w:tcPr>
          <w:p w14:paraId="0ABAB39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Minor (MN)</w:t>
            </w:r>
          </w:p>
        </w:tc>
        <w:tc>
          <w:tcPr>
            <w:tcW w:w="3067" w:type="dxa"/>
          </w:tcPr>
          <w:p w14:paraId="378898F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50964323" w14:textId="77777777" w:rsidTr="002E2C37">
        <w:trPr>
          <w:trHeight w:val="70"/>
        </w:trPr>
        <w:tc>
          <w:tcPr>
            <w:tcW w:w="9016" w:type="dxa"/>
            <w:gridSpan w:val="2"/>
          </w:tcPr>
          <w:p w14:paraId="6D1B6FA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sz w:val="20"/>
                <w:szCs w:val="20"/>
                <w:lang w:eastAsia="en-ZA"/>
              </w:rPr>
              <w:t>Faxinous immunis</w:t>
            </w:r>
            <w:r w:rsidRPr="004D1E6F">
              <w:rPr>
                <w:rFonts w:ascii="Times New Roman" w:eastAsia="Times New Roman" w:hAnsi="Times New Roman" w:cs="Times New Roman"/>
                <w:sz w:val="20"/>
                <w:szCs w:val="20"/>
                <w:lang w:eastAsia="en-ZA"/>
              </w:rPr>
              <w:t xml:space="preserve"> is a known vector of pathogen such as the crayfish plague agent, </w:t>
            </w:r>
            <w:r w:rsidRPr="004D1E6F">
              <w:rPr>
                <w:rFonts w:ascii="Times New Roman" w:eastAsia="Times New Roman" w:hAnsi="Times New Roman" w:cs="Times New Roman"/>
                <w:i/>
                <w:iCs/>
                <w:sz w:val="20"/>
                <w:szCs w:val="20"/>
                <w:lang w:eastAsia="en-ZA"/>
              </w:rPr>
              <w:t>Aphanomyces astaci</w:t>
            </w:r>
            <w:r w:rsidRPr="004D1E6F">
              <w:rPr>
                <w:rFonts w:ascii="Times New Roman" w:eastAsia="Times New Roman" w:hAnsi="Times New Roman" w:cs="Times New Roman"/>
                <w:sz w:val="20"/>
                <w:szCs w:val="20"/>
                <w:lang w:eastAsia="en-ZA"/>
              </w:rPr>
              <w:t xml:space="preserve"> (Schrimpf et al. 2013</w:t>
            </w:r>
            <w:r w:rsidRPr="004D1E6F">
              <w:rPr>
                <w:rFonts w:ascii="Times New Roman" w:hAnsi="Times New Roman" w:cs="Times New Roman"/>
                <w:color w:val="000000"/>
                <w:sz w:val="20"/>
                <w:szCs w:val="20"/>
              </w:rPr>
              <w:t>)</w:t>
            </w:r>
          </w:p>
        </w:tc>
      </w:tr>
      <w:tr w:rsidR="002D7080" w:rsidRPr="004D1E6F" w14:paraId="2F7E2C8E" w14:textId="77777777" w:rsidTr="002E2C37">
        <w:trPr>
          <w:trHeight w:val="70"/>
        </w:trPr>
        <w:tc>
          <w:tcPr>
            <w:tcW w:w="9016" w:type="dxa"/>
            <w:gridSpan w:val="2"/>
          </w:tcPr>
          <w:p w14:paraId="2F9A72D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334E691" w14:textId="2A71FE1F" w:rsidR="002D7080" w:rsidRPr="004D1E6F" w:rsidRDefault="002D7080" w:rsidP="002E2C37">
            <w:pPr>
              <w:ind w:left="720" w:hanging="720"/>
              <w:rPr>
                <w:rFonts w:ascii="Times New Roman" w:eastAsia="Times New Roman" w:hAnsi="Times New Roman" w:cs="Times New Roman"/>
                <w:sz w:val="20"/>
                <w:szCs w:val="20"/>
                <w:lang w:eastAsia="en-ZA"/>
              </w:rPr>
            </w:pPr>
            <w:r w:rsidRPr="00C84068">
              <w:rPr>
                <w:rFonts w:ascii="Times New Roman" w:hAnsi="Times New Roman" w:cs="Times New Roman"/>
                <w:color w:val="000000" w:themeColor="text1"/>
                <w:sz w:val="20"/>
                <w:szCs w:val="20"/>
                <w:shd w:val="clear" w:color="auto" w:fill="FFFFFF"/>
              </w:rPr>
              <w:t xml:space="preserve">Schrimpf, A., Chucholl, C., Schmidt, T., &amp; Schulz, R., 2013, ‘Crayfish plague agent detected in populations of the invasive North American crayfish </w:t>
            </w:r>
            <w:r w:rsidRPr="00C84068">
              <w:rPr>
                <w:rFonts w:ascii="Times New Roman" w:hAnsi="Times New Roman" w:cs="Times New Roman"/>
                <w:i/>
                <w:iCs/>
                <w:color w:val="000000" w:themeColor="text1"/>
                <w:sz w:val="20"/>
                <w:szCs w:val="20"/>
                <w:shd w:val="clear" w:color="auto" w:fill="FFFFFF"/>
              </w:rPr>
              <w:t>Orconectes immunis</w:t>
            </w:r>
            <w:r w:rsidRPr="00C84068">
              <w:rPr>
                <w:rFonts w:ascii="Times New Roman" w:hAnsi="Times New Roman" w:cs="Times New Roman"/>
                <w:color w:val="000000" w:themeColor="text1"/>
                <w:sz w:val="20"/>
                <w:szCs w:val="20"/>
                <w:shd w:val="clear" w:color="auto" w:fill="FFFFFF"/>
              </w:rPr>
              <w:t xml:space="preserve"> (Hagen, 1870) in the Rhine River, Germany’, </w:t>
            </w:r>
            <w:r w:rsidRPr="00C84068">
              <w:rPr>
                <w:rFonts w:ascii="Times New Roman" w:hAnsi="Times New Roman" w:cs="Times New Roman"/>
                <w:i/>
                <w:iCs/>
                <w:color w:val="000000" w:themeColor="text1"/>
                <w:sz w:val="20"/>
                <w:szCs w:val="20"/>
                <w:shd w:val="clear" w:color="auto" w:fill="FFFFFF"/>
              </w:rPr>
              <w:t>Aquatic Invasions</w:t>
            </w:r>
            <w:r w:rsidRPr="00C84068">
              <w:rPr>
                <w:rFonts w:ascii="Times New Roman" w:hAnsi="Times New Roman" w:cs="Times New Roman"/>
                <w:color w:val="000000" w:themeColor="text1"/>
                <w:sz w:val="20"/>
                <w:szCs w:val="20"/>
                <w:shd w:val="clear" w:color="auto" w:fill="FFFFFF"/>
              </w:rPr>
              <w:t>, 8(1).</w:t>
            </w:r>
            <w:r w:rsidRPr="0036683F">
              <w:rPr>
                <w:rFonts w:ascii="Times New Roman" w:hAnsi="Times New Roman" w:cs="Times New Roman"/>
                <w:color w:val="000000" w:themeColor="text1"/>
                <w:sz w:val="20"/>
                <w:szCs w:val="20"/>
                <w:shd w:val="clear" w:color="auto" w:fill="FFFFFF"/>
              </w:rPr>
              <w:t xml:space="preserve"> </w:t>
            </w:r>
            <w:r w:rsidR="008D5BFA" w:rsidRPr="008D5BFA">
              <w:rPr>
                <w:rFonts w:ascii="Times New Roman" w:hAnsi="Times New Roman" w:cs="Times New Roman"/>
                <w:sz w:val="20"/>
                <w:szCs w:val="20"/>
              </w:rPr>
              <w:t>https://dx.doi.org/10.3391/ai.2013.8.1.12</w:t>
            </w:r>
            <w:r w:rsidRPr="00327289">
              <w:rPr>
                <w:rFonts w:ascii="Times New Roman" w:hAnsi="Times New Roman" w:cs="Times New Roman"/>
                <w:color w:val="000000" w:themeColor="text1"/>
                <w:sz w:val="18"/>
                <w:szCs w:val="18"/>
                <w:shd w:val="clear" w:color="auto" w:fill="FFFFFF"/>
              </w:rPr>
              <w:t xml:space="preserve">.  </w:t>
            </w:r>
          </w:p>
        </w:tc>
      </w:tr>
      <w:tr w:rsidR="002D7080" w:rsidRPr="004D1E6F" w14:paraId="4CB087DD" w14:textId="77777777" w:rsidTr="002E2C37">
        <w:tc>
          <w:tcPr>
            <w:tcW w:w="9016" w:type="dxa"/>
            <w:gridSpan w:val="2"/>
            <w:shd w:val="clear" w:color="auto" w:fill="F2F2F2" w:themeFill="background1" w:themeFillShade="F2"/>
          </w:tcPr>
          <w:p w14:paraId="1680224C"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CON1e: Parasitism</w:t>
            </w:r>
          </w:p>
        </w:tc>
      </w:tr>
      <w:tr w:rsidR="002D7080" w:rsidRPr="004D1E6F" w14:paraId="55B9DEAB" w14:textId="77777777" w:rsidTr="002E2C37">
        <w:tc>
          <w:tcPr>
            <w:tcW w:w="5949" w:type="dxa"/>
          </w:tcPr>
          <w:p w14:paraId="2B59035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0E253E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5C2441EE" w14:textId="77777777" w:rsidTr="002E2C37">
        <w:trPr>
          <w:trHeight w:val="70"/>
        </w:trPr>
        <w:tc>
          <w:tcPr>
            <w:tcW w:w="9016" w:type="dxa"/>
            <w:gridSpan w:val="2"/>
          </w:tcPr>
          <w:p w14:paraId="56A03BD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sz w:val="20"/>
                <w:szCs w:val="20"/>
                <w:lang w:eastAsia="en-ZA"/>
              </w:rPr>
              <w:t>Faxinous immunis</w:t>
            </w:r>
            <w:r w:rsidRPr="004D1E6F">
              <w:rPr>
                <w:rFonts w:ascii="Times New Roman" w:eastAsia="Times New Roman" w:hAnsi="Times New Roman" w:cs="Times New Roman"/>
                <w:color w:val="000000"/>
                <w:sz w:val="20"/>
                <w:szCs w:val="20"/>
                <w:lang w:eastAsia="en-ZA"/>
              </w:rPr>
              <w:t xml:space="preserve"> not a parasitic taxon (Lodge et al. 2012)</w:t>
            </w:r>
          </w:p>
        </w:tc>
      </w:tr>
      <w:tr w:rsidR="002D7080" w:rsidRPr="004D1E6F" w14:paraId="716355CC" w14:textId="77777777" w:rsidTr="002E2C37">
        <w:trPr>
          <w:trHeight w:val="70"/>
        </w:trPr>
        <w:tc>
          <w:tcPr>
            <w:tcW w:w="9016" w:type="dxa"/>
            <w:gridSpan w:val="2"/>
          </w:tcPr>
          <w:p w14:paraId="76022259"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4AEC96D5" w14:textId="101AFAD3"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Lodge, D.M., Deines, A., Gherardi, F., Yeo, D.C., Arcella, T., Baldridge, A.K., et al., 2012, ‘Global introductions of crayfishes: evaluating the impact of species invasions on ecosystem services’, </w:t>
            </w:r>
            <w:r w:rsidRPr="004D1E6F">
              <w:rPr>
                <w:rFonts w:ascii="Times New Roman" w:eastAsia="Times New Roman" w:hAnsi="Times New Roman" w:cs="Times New Roman"/>
                <w:i/>
                <w:iCs/>
                <w:sz w:val="20"/>
                <w:szCs w:val="20"/>
                <w:lang w:eastAsia="en-ZA"/>
              </w:rPr>
              <w:t>Annual Review of Ecology, Evolution, and Systematics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43</w:t>
            </w:r>
            <w:r w:rsidRPr="004D1E6F">
              <w:rPr>
                <w:rFonts w:ascii="Times New Roman" w:eastAsia="Times New Roman" w:hAnsi="Times New Roman" w:cs="Times New Roman"/>
                <w:b/>
                <w:sz w:val="20"/>
                <w:szCs w:val="20"/>
                <w:lang w:eastAsia="en-ZA"/>
              </w:rPr>
              <w:t>,</w:t>
            </w:r>
            <w:r w:rsidRPr="004D1E6F">
              <w:rPr>
                <w:rFonts w:ascii="Times New Roman" w:eastAsia="Times New Roman" w:hAnsi="Times New Roman" w:cs="Times New Roman"/>
                <w:sz w:val="20"/>
                <w:szCs w:val="20"/>
                <w:lang w:eastAsia="en-ZA"/>
              </w:rPr>
              <w:t xml:space="preserve"> 449–472. </w:t>
            </w:r>
            <w:r w:rsidR="008B658F" w:rsidRPr="008A0BC6">
              <w:rPr>
                <w:rFonts w:ascii="Times New Roman" w:hAnsi="Times New Roman" w:cs="Times New Roman"/>
                <w:sz w:val="20"/>
                <w:szCs w:val="20"/>
              </w:rPr>
              <w:t>https://doi.org/10.1146/annurev-ecolsys-111511-103919</w:t>
            </w:r>
          </w:p>
        </w:tc>
      </w:tr>
      <w:tr w:rsidR="002D7080" w:rsidRPr="004D1E6F" w14:paraId="386340E1" w14:textId="77777777" w:rsidTr="002E2C37">
        <w:tc>
          <w:tcPr>
            <w:tcW w:w="9016" w:type="dxa"/>
            <w:gridSpan w:val="2"/>
            <w:shd w:val="clear" w:color="auto" w:fill="F2F2F2" w:themeFill="background1" w:themeFillShade="F2"/>
          </w:tcPr>
          <w:p w14:paraId="0ADF6CF2"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CON1f: Poisoning/toxicity</w:t>
            </w:r>
          </w:p>
        </w:tc>
      </w:tr>
      <w:tr w:rsidR="002D7080" w:rsidRPr="004D1E6F" w14:paraId="4D57C10D" w14:textId="77777777" w:rsidTr="002E2C37">
        <w:tc>
          <w:tcPr>
            <w:tcW w:w="5949" w:type="dxa"/>
          </w:tcPr>
          <w:p w14:paraId="52BCBDB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2DC72EB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24CF03BE" w14:textId="77777777" w:rsidTr="002E2C37">
        <w:trPr>
          <w:trHeight w:val="70"/>
        </w:trPr>
        <w:tc>
          <w:tcPr>
            <w:tcW w:w="9016" w:type="dxa"/>
            <w:gridSpan w:val="2"/>
          </w:tcPr>
          <w:p w14:paraId="3A95EDC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information is available to assess the level of impact.</w:t>
            </w:r>
          </w:p>
        </w:tc>
      </w:tr>
      <w:tr w:rsidR="002D7080" w:rsidRPr="004D1E6F" w14:paraId="13F4D6C5" w14:textId="77777777" w:rsidTr="002E2C37">
        <w:trPr>
          <w:trHeight w:val="70"/>
        </w:trPr>
        <w:tc>
          <w:tcPr>
            <w:tcW w:w="9016" w:type="dxa"/>
            <w:gridSpan w:val="2"/>
          </w:tcPr>
          <w:p w14:paraId="34CF68D1"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57E99214" w14:textId="77777777" w:rsidTr="002E2C37">
        <w:tc>
          <w:tcPr>
            <w:tcW w:w="9016" w:type="dxa"/>
            <w:gridSpan w:val="2"/>
            <w:shd w:val="clear" w:color="auto" w:fill="F2F2F2" w:themeFill="background1" w:themeFillShade="F2"/>
          </w:tcPr>
          <w:p w14:paraId="32E009E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lastRenderedPageBreak/>
              <w:t>CON1g: Bio-fouling or other direct physical disturbance</w:t>
            </w:r>
          </w:p>
        </w:tc>
      </w:tr>
      <w:tr w:rsidR="002D7080" w:rsidRPr="004D1E6F" w14:paraId="3AC66CAA" w14:textId="77777777" w:rsidTr="002E2C37">
        <w:tc>
          <w:tcPr>
            <w:tcW w:w="5949" w:type="dxa"/>
          </w:tcPr>
          <w:p w14:paraId="3695DFF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Minor (MN)</w:t>
            </w:r>
          </w:p>
        </w:tc>
        <w:tc>
          <w:tcPr>
            <w:tcW w:w="3067" w:type="dxa"/>
          </w:tcPr>
          <w:p w14:paraId="2EBD99E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Confidence: Low </w:t>
            </w:r>
          </w:p>
        </w:tc>
      </w:tr>
      <w:tr w:rsidR="002D7080" w:rsidRPr="004D1E6F" w14:paraId="618F3F3E" w14:textId="77777777" w:rsidTr="002E2C37">
        <w:trPr>
          <w:trHeight w:val="70"/>
        </w:trPr>
        <w:tc>
          <w:tcPr>
            <w:tcW w:w="9016" w:type="dxa"/>
            <w:gridSpan w:val="2"/>
          </w:tcPr>
          <w:p w14:paraId="69439A9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C84068">
              <w:rPr>
                <w:rFonts w:ascii="Times New Roman" w:eastAsia="Times New Roman" w:hAnsi="Times New Roman" w:cs="Times New Roman"/>
                <w:i/>
                <w:iCs/>
                <w:color w:val="000000" w:themeColor="text1"/>
                <w:sz w:val="20"/>
                <w:szCs w:val="20"/>
                <w:lang w:eastAsia="en-ZA"/>
              </w:rPr>
              <w:t>Faxinious immunis</w:t>
            </w:r>
            <w:r w:rsidRPr="00C84068">
              <w:rPr>
                <w:rFonts w:ascii="Times New Roman" w:eastAsia="Times New Roman" w:hAnsi="Times New Roman" w:cs="Times New Roman"/>
                <w:color w:val="000000" w:themeColor="text1"/>
                <w:sz w:val="20"/>
                <w:szCs w:val="20"/>
                <w:lang w:eastAsia="en-ZA"/>
              </w:rPr>
              <w:t xml:space="preserve"> is a burrowing species and is likely to cause damages to riverbanks and impacts water quality through increased turbidity as observed from other burrowing alien crayfish species in Europe (Souty-Grosset et al. 2016)</w:t>
            </w:r>
          </w:p>
        </w:tc>
      </w:tr>
      <w:tr w:rsidR="002D7080" w:rsidRPr="004D1E6F" w14:paraId="253EC4DA" w14:textId="77777777" w:rsidTr="002E2C37">
        <w:trPr>
          <w:trHeight w:val="70"/>
        </w:trPr>
        <w:tc>
          <w:tcPr>
            <w:tcW w:w="9016" w:type="dxa"/>
            <w:gridSpan w:val="2"/>
          </w:tcPr>
          <w:p w14:paraId="4F7A0EEE"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189B9F66" w14:textId="77777777" w:rsidR="002D7080" w:rsidRPr="004D1E6F" w:rsidRDefault="002D7080" w:rsidP="002E2C37">
            <w:pPr>
              <w:snapToGrid w:val="0"/>
              <w:ind w:left="630" w:hanging="630"/>
              <w:jc w:val="both"/>
              <w:rPr>
                <w:rFonts w:ascii="Times New Roman" w:hAnsi="Times New Roman"/>
                <w:sz w:val="20"/>
                <w:szCs w:val="20"/>
              </w:rPr>
            </w:pPr>
            <w:r w:rsidRPr="004D1E6F">
              <w:rPr>
                <w:rFonts w:ascii="Times New Roman" w:hAnsi="Times New Roman"/>
                <w:sz w:val="20"/>
                <w:szCs w:val="20"/>
              </w:rPr>
              <w:t>Souty-Grosset</w:t>
            </w:r>
            <w:r>
              <w:rPr>
                <w:rFonts w:ascii="Times New Roman" w:hAnsi="Times New Roman"/>
                <w:sz w:val="20"/>
                <w:szCs w:val="20"/>
              </w:rPr>
              <w:t xml:space="preserve">, </w:t>
            </w:r>
            <w:r w:rsidRPr="004D1E6F">
              <w:rPr>
                <w:rFonts w:ascii="Times New Roman" w:hAnsi="Times New Roman"/>
                <w:sz w:val="20"/>
                <w:szCs w:val="20"/>
              </w:rPr>
              <w:t>C</w:t>
            </w:r>
            <w:r>
              <w:rPr>
                <w:rFonts w:ascii="Times New Roman" w:hAnsi="Times New Roman"/>
                <w:sz w:val="20"/>
                <w:szCs w:val="20"/>
              </w:rPr>
              <w:t>.</w:t>
            </w:r>
            <w:r w:rsidRPr="004D1E6F">
              <w:rPr>
                <w:rFonts w:ascii="Times New Roman" w:hAnsi="Times New Roman"/>
                <w:sz w:val="20"/>
                <w:szCs w:val="20"/>
              </w:rPr>
              <w:t>, Anastácio</w:t>
            </w:r>
            <w:r>
              <w:rPr>
                <w:rFonts w:ascii="Times New Roman" w:hAnsi="Times New Roman"/>
                <w:sz w:val="20"/>
                <w:szCs w:val="20"/>
              </w:rPr>
              <w:t>,</w:t>
            </w:r>
            <w:r w:rsidRPr="004D1E6F">
              <w:rPr>
                <w:rFonts w:ascii="Times New Roman" w:hAnsi="Times New Roman"/>
                <w:sz w:val="20"/>
                <w:szCs w:val="20"/>
              </w:rPr>
              <w:t xml:space="preserve"> P</w:t>
            </w:r>
            <w:r>
              <w:rPr>
                <w:rFonts w:ascii="Times New Roman" w:hAnsi="Times New Roman"/>
                <w:sz w:val="20"/>
                <w:szCs w:val="20"/>
              </w:rPr>
              <w:t>.</w:t>
            </w:r>
            <w:r w:rsidRPr="004D1E6F">
              <w:rPr>
                <w:rFonts w:ascii="Times New Roman" w:hAnsi="Times New Roman"/>
                <w:sz w:val="20"/>
                <w:szCs w:val="20"/>
              </w:rPr>
              <w:t>, Aquiloni</w:t>
            </w:r>
            <w:r>
              <w:rPr>
                <w:rFonts w:ascii="Times New Roman" w:hAnsi="Times New Roman"/>
                <w:sz w:val="20"/>
                <w:szCs w:val="20"/>
              </w:rPr>
              <w:t xml:space="preserve">, </w:t>
            </w:r>
            <w:r w:rsidRPr="004D1E6F">
              <w:rPr>
                <w:rFonts w:ascii="Times New Roman" w:hAnsi="Times New Roman"/>
                <w:sz w:val="20"/>
                <w:szCs w:val="20"/>
              </w:rPr>
              <w:t>L</w:t>
            </w:r>
            <w:r>
              <w:rPr>
                <w:rFonts w:ascii="Times New Roman" w:hAnsi="Times New Roman"/>
                <w:sz w:val="20"/>
                <w:szCs w:val="20"/>
              </w:rPr>
              <w:t>.</w:t>
            </w:r>
            <w:r w:rsidRPr="004D1E6F">
              <w:rPr>
                <w:rFonts w:ascii="Times New Roman" w:hAnsi="Times New Roman"/>
                <w:sz w:val="20"/>
                <w:szCs w:val="20"/>
              </w:rPr>
              <w:t>, Banha</w:t>
            </w:r>
            <w:r>
              <w:rPr>
                <w:rFonts w:ascii="Times New Roman" w:hAnsi="Times New Roman"/>
                <w:sz w:val="20"/>
                <w:szCs w:val="20"/>
              </w:rPr>
              <w:t>,</w:t>
            </w:r>
            <w:r w:rsidRPr="004D1E6F">
              <w:rPr>
                <w:rFonts w:ascii="Times New Roman" w:hAnsi="Times New Roman"/>
                <w:sz w:val="20"/>
                <w:szCs w:val="20"/>
              </w:rPr>
              <w:t xml:space="preserve"> F</w:t>
            </w:r>
            <w:r>
              <w:rPr>
                <w:rFonts w:ascii="Times New Roman" w:hAnsi="Times New Roman"/>
                <w:sz w:val="20"/>
                <w:szCs w:val="20"/>
              </w:rPr>
              <w:t>.</w:t>
            </w:r>
            <w:r w:rsidRPr="004D1E6F">
              <w:rPr>
                <w:rFonts w:ascii="Times New Roman" w:hAnsi="Times New Roman"/>
                <w:sz w:val="20"/>
                <w:szCs w:val="20"/>
              </w:rPr>
              <w:t>, Choquer</w:t>
            </w:r>
            <w:r>
              <w:rPr>
                <w:rFonts w:ascii="Times New Roman" w:hAnsi="Times New Roman"/>
                <w:sz w:val="20"/>
                <w:szCs w:val="20"/>
              </w:rPr>
              <w:t>,</w:t>
            </w:r>
            <w:r w:rsidRPr="004D1E6F">
              <w:rPr>
                <w:rFonts w:ascii="Times New Roman" w:hAnsi="Times New Roman"/>
                <w:sz w:val="20"/>
                <w:szCs w:val="20"/>
              </w:rPr>
              <w:t xml:space="preserve"> J</w:t>
            </w:r>
            <w:r>
              <w:rPr>
                <w:rFonts w:ascii="Times New Roman" w:hAnsi="Times New Roman"/>
                <w:sz w:val="20"/>
                <w:szCs w:val="20"/>
              </w:rPr>
              <w:t>.</w:t>
            </w:r>
            <w:r w:rsidRPr="004D1E6F">
              <w:rPr>
                <w:rFonts w:ascii="Times New Roman" w:hAnsi="Times New Roman"/>
                <w:sz w:val="20"/>
                <w:szCs w:val="20"/>
              </w:rPr>
              <w:t>, Chuc</w:t>
            </w:r>
            <w:r>
              <w:rPr>
                <w:rFonts w:ascii="Times New Roman" w:hAnsi="Times New Roman"/>
                <w:sz w:val="20"/>
                <w:szCs w:val="20"/>
              </w:rPr>
              <w:t>h</w:t>
            </w:r>
            <w:r w:rsidRPr="004D1E6F">
              <w:rPr>
                <w:rFonts w:ascii="Times New Roman" w:hAnsi="Times New Roman"/>
                <w:sz w:val="20"/>
                <w:szCs w:val="20"/>
              </w:rPr>
              <w:t>oll</w:t>
            </w:r>
            <w:r>
              <w:rPr>
                <w:rFonts w:ascii="Times New Roman" w:hAnsi="Times New Roman"/>
                <w:sz w:val="20"/>
                <w:szCs w:val="20"/>
              </w:rPr>
              <w:t>,</w:t>
            </w:r>
            <w:r w:rsidRPr="004D1E6F">
              <w:rPr>
                <w:rFonts w:ascii="Times New Roman" w:hAnsi="Times New Roman"/>
                <w:sz w:val="20"/>
                <w:szCs w:val="20"/>
              </w:rPr>
              <w:t xml:space="preserve"> C</w:t>
            </w:r>
            <w:r>
              <w:rPr>
                <w:rFonts w:ascii="Times New Roman" w:hAnsi="Times New Roman"/>
                <w:sz w:val="20"/>
                <w:szCs w:val="20"/>
              </w:rPr>
              <w:t>. &amp;</w:t>
            </w:r>
            <w:r w:rsidRPr="004D1E6F">
              <w:rPr>
                <w:rFonts w:ascii="Times New Roman" w:hAnsi="Times New Roman"/>
                <w:sz w:val="20"/>
                <w:szCs w:val="20"/>
              </w:rPr>
              <w:t xml:space="preserve"> Tricarico</w:t>
            </w:r>
            <w:r>
              <w:rPr>
                <w:rFonts w:ascii="Times New Roman" w:hAnsi="Times New Roman"/>
                <w:sz w:val="20"/>
                <w:szCs w:val="20"/>
              </w:rPr>
              <w:t>,</w:t>
            </w:r>
            <w:r w:rsidRPr="004D1E6F">
              <w:rPr>
                <w:rFonts w:ascii="Times New Roman" w:hAnsi="Times New Roman"/>
                <w:sz w:val="20"/>
                <w:szCs w:val="20"/>
              </w:rPr>
              <w:t xml:space="preserve"> E.</w:t>
            </w:r>
            <w:r>
              <w:rPr>
                <w:rFonts w:ascii="Times New Roman" w:hAnsi="Times New Roman"/>
                <w:sz w:val="20"/>
                <w:szCs w:val="20"/>
              </w:rPr>
              <w:t>,</w:t>
            </w:r>
            <w:r w:rsidRPr="004D1E6F">
              <w:rPr>
                <w:rFonts w:ascii="Times New Roman" w:hAnsi="Times New Roman"/>
                <w:sz w:val="20"/>
                <w:szCs w:val="20"/>
              </w:rPr>
              <w:t xml:space="preserve"> 2016</w:t>
            </w:r>
            <w:r>
              <w:rPr>
                <w:rFonts w:ascii="Times New Roman" w:hAnsi="Times New Roman"/>
                <w:sz w:val="20"/>
                <w:szCs w:val="20"/>
              </w:rPr>
              <w:t>,</w:t>
            </w:r>
            <w:r w:rsidRPr="004D1E6F">
              <w:rPr>
                <w:rFonts w:ascii="Times New Roman" w:hAnsi="Times New Roman"/>
                <w:sz w:val="20"/>
                <w:szCs w:val="20"/>
              </w:rPr>
              <w:t xml:space="preserve"> </w:t>
            </w:r>
            <w:r>
              <w:rPr>
                <w:rFonts w:ascii="Times New Roman" w:hAnsi="Times New Roman"/>
                <w:sz w:val="20"/>
                <w:szCs w:val="20"/>
              </w:rPr>
              <w:t>‘</w:t>
            </w:r>
            <w:r w:rsidRPr="004D1E6F">
              <w:rPr>
                <w:rFonts w:ascii="Times New Roman" w:hAnsi="Times New Roman"/>
                <w:sz w:val="20"/>
                <w:szCs w:val="20"/>
              </w:rPr>
              <w:t xml:space="preserve">Impacts of the red swamp crayfish </w:t>
            </w:r>
            <w:r w:rsidRPr="004D1E6F">
              <w:rPr>
                <w:rFonts w:ascii="Times New Roman" w:hAnsi="Times New Roman"/>
                <w:i/>
                <w:iCs/>
                <w:sz w:val="20"/>
                <w:szCs w:val="20"/>
              </w:rPr>
              <w:t>Procambarus clarkii</w:t>
            </w:r>
            <w:r w:rsidRPr="004D1E6F">
              <w:rPr>
                <w:rFonts w:ascii="Times New Roman" w:hAnsi="Times New Roman"/>
                <w:sz w:val="20"/>
                <w:szCs w:val="20"/>
              </w:rPr>
              <w:t xml:space="preserve"> on European aquatic ecosystems and human well-being</w:t>
            </w:r>
            <w:r>
              <w:rPr>
                <w:rFonts w:ascii="Times New Roman" w:hAnsi="Times New Roman"/>
                <w:sz w:val="20"/>
                <w:szCs w:val="20"/>
              </w:rPr>
              <w:t xml:space="preserve">’, </w:t>
            </w:r>
            <w:r w:rsidRPr="004D1E6F">
              <w:rPr>
                <w:rFonts w:ascii="Times New Roman" w:hAnsi="Times New Roman"/>
                <w:i/>
                <w:iCs/>
                <w:sz w:val="20"/>
                <w:szCs w:val="20"/>
              </w:rPr>
              <w:t>Limnologica</w:t>
            </w:r>
            <w:r>
              <w:rPr>
                <w:rFonts w:ascii="Times New Roman" w:hAnsi="Times New Roman"/>
                <w:sz w:val="20"/>
                <w:szCs w:val="20"/>
              </w:rPr>
              <w:t xml:space="preserve">, </w:t>
            </w:r>
            <w:r w:rsidRPr="004D1E6F">
              <w:rPr>
                <w:rFonts w:ascii="Times New Roman" w:hAnsi="Times New Roman"/>
                <w:sz w:val="20"/>
                <w:szCs w:val="20"/>
              </w:rPr>
              <w:t xml:space="preserve">58: 78-93. </w:t>
            </w:r>
            <w:hyperlink r:id="rId201" w:tgtFrame="_blank" w:tooltip="Persistent link using digital object identifier" w:history="1">
              <w:r w:rsidRPr="0036683F">
                <w:rPr>
                  <w:rStyle w:val="Hyperlink"/>
                  <w:rFonts w:ascii="Times New Roman" w:hAnsi="Times New Roman"/>
                  <w:sz w:val="20"/>
                  <w:szCs w:val="20"/>
                </w:rPr>
                <w:t>https://doi.org/10.1016/j.limno.2016.03.003</w:t>
              </w:r>
            </w:hyperlink>
            <w:r>
              <w:rPr>
                <w:rFonts w:ascii="Times New Roman" w:hAnsi="Times New Roman"/>
                <w:sz w:val="20"/>
                <w:szCs w:val="20"/>
              </w:rPr>
              <w:t>.</w:t>
            </w:r>
          </w:p>
        </w:tc>
      </w:tr>
      <w:tr w:rsidR="002D7080" w:rsidRPr="004D1E6F" w14:paraId="0B7FB4E5" w14:textId="77777777" w:rsidTr="002E2C37">
        <w:tc>
          <w:tcPr>
            <w:tcW w:w="9016" w:type="dxa"/>
            <w:gridSpan w:val="2"/>
            <w:shd w:val="clear" w:color="auto" w:fill="F2F2F2" w:themeFill="background1" w:themeFillShade="F2"/>
          </w:tcPr>
          <w:p w14:paraId="7412ACE5"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CON1h: Grazing/herbivory/browsing</w:t>
            </w:r>
          </w:p>
        </w:tc>
      </w:tr>
      <w:tr w:rsidR="002D7080" w:rsidRPr="004D1E6F" w14:paraId="37E7B445" w14:textId="77777777" w:rsidTr="002E2C37">
        <w:tc>
          <w:tcPr>
            <w:tcW w:w="5949" w:type="dxa"/>
          </w:tcPr>
          <w:p w14:paraId="3D4B77A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Minor (MN)</w:t>
            </w:r>
          </w:p>
        </w:tc>
        <w:tc>
          <w:tcPr>
            <w:tcW w:w="3067" w:type="dxa"/>
          </w:tcPr>
          <w:p w14:paraId="133A1FE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Confidence: Low </w:t>
            </w:r>
          </w:p>
        </w:tc>
      </w:tr>
      <w:tr w:rsidR="002D7080" w:rsidRPr="004D1E6F" w14:paraId="2289D11B" w14:textId="77777777" w:rsidTr="002E2C37">
        <w:trPr>
          <w:trHeight w:val="70"/>
        </w:trPr>
        <w:tc>
          <w:tcPr>
            <w:tcW w:w="9016" w:type="dxa"/>
            <w:gridSpan w:val="2"/>
          </w:tcPr>
          <w:p w14:paraId="4EFB877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sz w:val="20"/>
                <w:szCs w:val="20"/>
                <w:lang w:eastAsia="en-ZA"/>
              </w:rPr>
              <w:t>Faxonius immunis</w:t>
            </w:r>
            <w:r w:rsidRPr="004D1E6F">
              <w:rPr>
                <w:rFonts w:ascii="Times New Roman" w:eastAsia="Times New Roman" w:hAnsi="Times New Roman" w:cs="Times New Roman"/>
                <w:sz w:val="20"/>
                <w:szCs w:val="20"/>
                <w:lang w:eastAsia="en-ZA"/>
              </w:rPr>
              <w:t xml:space="preserve"> is an </w:t>
            </w:r>
            <w:r w:rsidRPr="004D1E6F">
              <w:rPr>
                <w:rFonts w:ascii="Times New Roman" w:hAnsi="Times New Roman"/>
                <w:sz w:val="20"/>
                <w:szCs w:val="20"/>
              </w:rPr>
              <w:t>omnivorous species, it can cause a decrease in macrophyte cover, macroinvertebrates abundance and diversity, changing trophic interaction and community composition (EU 2022)</w:t>
            </w:r>
          </w:p>
        </w:tc>
      </w:tr>
      <w:tr w:rsidR="002D7080" w:rsidRPr="004D1E6F" w14:paraId="032BA10F" w14:textId="77777777" w:rsidTr="002E2C37">
        <w:trPr>
          <w:trHeight w:val="70"/>
        </w:trPr>
        <w:tc>
          <w:tcPr>
            <w:tcW w:w="9016" w:type="dxa"/>
            <w:gridSpan w:val="2"/>
          </w:tcPr>
          <w:p w14:paraId="1C27B49B"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3A484FD6"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European Commission 2022, Directorate-General for Environment, Study on invasive alien species – Development of risk assessments to tackle priority species and enhance prevention – Final report (and annexes), Publications Office of the European Union, 2022, </w:t>
            </w:r>
            <w:hyperlink w:history="1">
              <w:r w:rsidRPr="004D1E6F">
                <w:rPr>
                  <w:rStyle w:val="Hyperlink"/>
                  <w:rFonts w:ascii="Times New Roman" w:eastAsia="Times New Roman" w:hAnsi="Times New Roman" w:cs="Times New Roman"/>
                  <w:sz w:val="20"/>
                  <w:szCs w:val="20"/>
                  <w:lang w:eastAsia="en-ZA"/>
                </w:rPr>
                <w:t>https://data.europa.eu/doi/10.2779/302048</w:t>
              </w:r>
            </w:hyperlink>
          </w:p>
        </w:tc>
      </w:tr>
      <w:tr w:rsidR="002D7080" w:rsidRPr="004D1E6F" w14:paraId="7866B741" w14:textId="77777777" w:rsidTr="002E2C37">
        <w:tc>
          <w:tcPr>
            <w:tcW w:w="9016" w:type="dxa"/>
            <w:gridSpan w:val="2"/>
            <w:shd w:val="clear" w:color="auto" w:fill="F2F2F2" w:themeFill="background1" w:themeFillShade="F2"/>
          </w:tcPr>
          <w:p w14:paraId="3BCE6789"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CON1i: Chemical, physical or structural impact on ecosystem</w:t>
            </w:r>
          </w:p>
        </w:tc>
      </w:tr>
      <w:tr w:rsidR="002D7080" w:rsidRPr="004D1E6F" w14:paraId="0718CD4C" w14:textId="77777777" w:rsidTr="002E2C37">
        <w:tc>
          <w:tcPr>
            <w:tcW w:w="5949" w:type="dxa"/>
          </w:tcPr>
          <w:p w14:paraId="17912A3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370CF4D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59DBBB5F" w14:textId="77777777" w:rsidTr="002E2C37">
        <w:trPr>
          <w:trHeight w:val="70"/>
        </w:trPr>
        <w:tc>
          <w:tcPr>
            <w:tcW w:w="9016" w:type="dxa"/>
            <w:gridSpan w:val="2"/>
          </w:tcPr>
          <w:p w14:paraId="5D88882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No information is available to assess the level of impact</w:t>
            </w:r>
          </w:p>
        </w:tc>
      </w:tr>
      <w:tr w:rsidR="002D7080" w:rsidRPr="004D1E6F" w14:paraId="46F20689" w14:textId="77777777" w:rsidTr="002E2C37">
        <w:trPr>
          <w:trHeight w:val="70"/>
        </w:trPr>
        <w:tc>
          <w:tcPr>
            <w:tcW w:w="9016" w:type="dxa"/>
            <w:gridSpan w:val="2"/>
          </w:tcPr>
          <w:p w14:paraId="5DB013BC"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935CD4A" w14:textId="77777777" w:rsidTr="002E2C37">
        <w:tc>
          <w:tcPr>
            <w:tcW w:w="9016" w:type="dxa"/>
            <w:gridSpan w:val="2"/>
            <w:shd w:val="clear" w:color="auto" w:fill="F2F2F2" w:themeFill="background1" w:themeFillShade="F2"/>
          </w:tcPr>
          <w:p w14:paraId="4DF19D8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CON1k: Indirect impacts through interactions with other species</w:t>
            </w:r>
          </w:p>
        </w:tc>
      </w:tr>
      <w:tr w:rsidR="002D7080" w:rsidRPr="004D1E6F" w14:paraId="25AECBB1" w14:textId="77777777" w:rsidTr="002E2C37">
        <w:tc>
          <w:tcPr>
            <w:tcW w:w="5949" w:type="dxa"/>
          </w:tcPr>
          <w:p w14:paraId="30116A0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271D2F5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66386B35" w14:textId="77777777" w:rsidTr="002E2C37">
        <w:trPr>
          <w:trHeight w:val="70"/>
        </w:trPr>
        <w:tc>
          <w:tcPr>
            <w:tcW w:w="9016" w:type="dxa"/>
            <w:gridSpan w:val="2"/>
          </w:tcPr>
          <w:p w14:paraId="3DC9150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No information is available to assess the level of impact</w:t>
            </w:r>
          </w:p>
        </w:tc>
      </w:tr>
      <w:tr w:rsidR="002D7080" w:rsidRPr="004D1E6F" w14:paraId="48DCABEE" w14:textId="77777777" w:rsidTr="002E2C37">
        <w:trPr>
          <w:trHeight w:val="70"/>
        </w:trPr>
        <w:tc>
          <w:tcPr>
            <w:tcW w:w="9016" w:type="dxa"/>
            <w:gridSpan w:val="2"/>
          </w:tcPr>
          <w:p w14:paraId="1D75BCE7"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3F6F0F6" w14:textId="77777777" w:rsidTr="002E2C37">
        <w:trPr>
          <w:trHeight w:val="343"/>
        </w:trPr>
        <w:tc>
          <w:tcPr>
            <w:tcW w:w="9016" w:type="dxa"/>
            <w:gridSpan w:val="2"/>
            <w:shd w:val="clear" w:color="auto" w:fill="F2F2F2" w:themeFill="background1" w:themeFillShade="F2"/>
          </w:tcPr>
          <w:p w14:paraId="54BCA446"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CON1 Maximum environmental impact </w:t>
            </w:r>
          </w:p>
        </w:tc>
      </w:tr>
      <w:tr w:rsidR="002D7080" w:rsidRPr="004D1E6F" w14:paraId="52548B5B" w14:textId="77777777" w:rsidTr="002E2C37">
        <w:trPr>
          <w:trHeight w:val="172"/>
        </w:trPr>
        <w:tc>
          <w:tcPr>
            <w:tcW w:w="5949" w:type="dxa"/>
          </w:tcPr>
          <w:p w14:paraId="1386FDE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Major (MR)</w:t>
            </w:r>
          </w:p>
        </w:tc>
        <w:tc>
          <w:tcPr>
            <w:tcW w:w="3067" w:type="dxa"/>
          </w:tcPr>
          <w:p w14:paraId="3CC7A6B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Confidence: Medium </w:t>
            </w:r>
          </w:p>
        </w:tc>
      </w:tr>
      <w:tr w:rsidR="002D7080" w:rsidRPr="004D1E6F" w14:paraId="29FC4CC6" w14:textId="77777777" w:rsidTr="002E2C37">
        <w:trPr>
          <w:trHeight w:val="70"/>
        </w:trPr>
        <w:tc>
          <w:tcPr>
            <w:tcW w:w="9016" w:type="dxa"/>
            <w:gridSpan w:val="2"/>
          </w:tcPr>
          <w:p w14:paraId="1073151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sz w:val="20"/>
                <w:szCs w:val="20"/>
                <w:lang w:eastAsia="en-ZA"/>
              </w:rPr>
              <w:t xml:space="preserve">Faxinous immunis is </w:t>
            </w:r>
            <w:r w:rsidRPr="004D1E6F">
              <w:rPr>
                <w:rFonts w:ascii="Times New Roman" w:hAnsi="Times New Roman"/>
                <w:sz w:val="20"/>
                <w:szCs w:val="20"/>
              </w:rPr>
              <w:t>omnivorous species, it is likely to cause a decrease in macrophyte cover, macroinvertebrates abundance and diversity, changing trophic interaction and community composition (EU 2022)</w:t>
            </w:r>
          </w:p>
        </w:tc>
      </w:tr>
      <w:tr w:rsidR="002D7080" w:rsidRPr="004D1E6F" w14:paraId="04682B75" w14:textId="77777777" w:rsidTr="002E2C37">
        <w:trPr>
          <w:trHeight w:val="70"/>
        </w:trPr>
        <w:tc>
          <w:tcPr>
            <w:tcW w:w="9016" w:type="dxa"/>
            <w:gridSpan w:val="2"/>
          </w:tcPr>
          <w:p w14:paraId="4F1A1DB9"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37F31B39" w14:textId="77777777" w:rsidR="002D7080" w:rsidRPr="004D1E6F" w:rsidRDefault="002D7080" w:rsidP="002E2C37">
            <w:pPr>
              <w:ind w:left="426" w:hanging="426"/>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European Commission 2022, Directorate-General for Environment, Study on invasive alien species – Development of risk assessments to tackle priority species and enhance prevention – Final report (and annexes), Publications Off</w:t>
            </w:r>
            <w:r>
              <w:rPr>
                <w:rFonts w:ascii="Times New Roman" w:eastAsia="Times New Roman" w:hAnsi="Times New Roman" w:cs="Times New Roman"/>
                <w:sz w:val="20"/>
                <w:szCs w:val="20"/>
                <w:lang w:eastAsia="en-ZA"/>
              </w:rPr>
              <w:t>ice of the European Union, 2022.</w:t>
            </w:r>
            <w:r w:rsidRPr="004D1E6F">
              <w:rPr>
                <w:rFonts w:ascii="Times New Roman" w:eastAsia="Times New Roman" w:hAnsi="Times New Roman" w:cs="Times New Roman"/>
                <w:sz w:val="20"/>
                <w:szCs w:val="20"/>
                <w:lang w:eastAsia="en-ZA"/>
              </w:rPr>
              <w:t xml:space="preserve"> </w:t>
            </w:r>
            <w:hyperlink r:id="rId202" w:history="1">
              <w:r w:rsidRPr="000B0DAE">
                <w:rPr>
                  <w:rStyle w:val="Hyperlink"/>
                  <w:rFonts w:ascii="Times New Roman" w:eastAsia="Times New Roman" w:hAnsi="Times New Roman" w:cs="Times New Roman"/>
                  <w:sz w:val="20"/>
                  <w:szCs w:val="20"/>
                  <w:lang w:eastAsia="en-ZA"/>
                </w:rPr>
                <w:t>https://data.europa.eu/doi/10.2779/302048</w:t>
              </w:r>
            </w:hyperlink>
            <w:r>
              <w:rPr>
                <w:rFonts w:ascii="Times New Roman" w:eastAsia="Times New Roman" w:hAnsi="Times New Roman" w:cs="Times New Roman"/>
                <w:sz w:val="20"/>
                <w:szCs w:val="20"/>
                <w:lang w:eastAsia="en-ZA"/>
              </w:rPr>
              <w:t xml:space="preserve">. </w:t>
            </w:r>
          </w:p>
        </w:tc>
      </w:tr>
    </w:tbl>
    <w:p w14:paraId="2B57E180" w14:textId="77777777" w:rsidR="002D7080" w:rsidRPr="004D1E6F" w:rsidRDefault="002D7080" w:rsidP="002D7080">
      <w:pPr>
        <w:spacing w:after="0"/>
        <w:jc w:val="both"/>
        <w:rPr>
          <w:rFonts w:ascii="Times New Roman" w:eastAsia="Times New Roman" w:hAnsi="Times New Roman" w:cs="Times New Roman"/>
          <w:color w:val="000000"/>
          <w:sz w:val="20"/>
          <w:szCs w:val="20"/>
          <w:lang w:eastAsia="en-ZA"/>
        </w:rPr>
      </w:pPr>
    </w:p>
    <w:p w14:paraId="6572B59A" w14:textId="77777777" w:rsidR="002D7080" w:rsidRPr="004D1E6F" w:rsidRDefault="002D7080" w:rsidP="002D7080">
      <w:pPr>
        <w:spacing w:after="0"/>
        <w:jc w:val="both"/>
        <w:rPr>
          <w:rFonts w:ascii="Times New Roman" w:eastAsia="Times New Roman" w:hAnsi="Times New Roman" w:cs="Times New Roman"/>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31C8DC25" w14:textId="77777777" w:rsidTr="002E2C37">
        <w:trPr>
          <w:trHeight w:val="343"/>
        </w:trPr>
        <w:tc>
          <w:tcPr>
            <w:tcW w:w="9016" w:type="dxa"/>
            <w:gridSpan w:val="2"/>
            <w:shd w:val="clear" w:color="auto" w:fill="F2F2F2" w:themeFill="background1" w:themeFillShade="F2"/>
          </w:tcPr>
          <w:p w14:paraId="7CADC76F"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 Socio-economic impact</w:t>
            </w:r>
          </w:p>
        </w:tc>
      </w:tr>
      <w:tr w:rsidR="002D7080" w:rsidRPr="004D1E6F" w14:paraId="2EDFA01C" w14:textId="77777777" w:rsidTr="002E2C37">
        <w:tc>
          <w:tcPr>
            <w:tcW w:w="9016" w:type="dxa"/>
            <w:gridSpan w:val="2"/>
            <w:shd w:val="clear" w:color="auto" w:fill="F2F2F2" w:themeFill="background1" w:themeFillShade="F2"/>
          </w:tcPr>
          <w:p w14:paraId="01B243CC"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CON2a: Safety</w:t>
            </w:r>
          </w:p>
        </w:tc>
      </w:tr>
      <w:tr w:rsidR="002D7080" w:rsidRPr="004D1E6F" w14:paraId="28F7AC5C" w14:textId="77777777" w:rsidTr="002E2C37">
        <w:tc>
          <w:tcPr>
            <w:tcW w:w="5949" w:type="dxa"/>
          </w:tcPr>
          <w:p w14:paraId="540E121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3AD8C48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Confidence: </w:t>
            </w:r>
          </w:p>
        </w:tc>
      </w:tr>
      <w:tr w:rsidR="002D7080" w:rsidRPr="004D1E6F" w14:paraId="3C9C8AB9" w14:textId="77777777" w:rsidTr="002E2C37">
        <w:trPr>
          <w:trHeight w:val="70"/>
        </w:trPr>
        <w:tc>
          <w:tcPr>
            <w:tcW w:w="9016" w:type="dxa"/>
            <w:gridSpan w:val="2"/>
          </w:tcPr>
          <w:p w14:paraId="409C05E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No information is available to assess the level of impact </w:t>
            </w:r>
          </w:p>
        </w:tc>
      </w:tr>
      <w:tr w:rsidR="002D7080" w:rsidRPr="004D1E6F" w14:paraId="1F1D4B60" w14:textId="77777777" w:rsidTr="002E2C37">
        <w:trPr>
          <w:trHeight w:val="70"/>
        </w:trPr>
        <w:tc>
          <w:tcPr>
            <w:tcW w:w="9016" w:type="dxa"/>
            <w:gridSpan w:val="2"/>
          </w:tcPr>
          <w:p w14:paraId="5C82C06F"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05FC3A9" w14:textId="77777777" w:rsidTr="002E2C37">
        <w:tc>
          <w:tcPr>
            <w:tcW w:w="9016" w:type="dxa"/>
            <w:gridSpan w:val="2"/>
            <w:shd w:val="clear" w:color="auto" w:fill="F2F2F2" w:themeFill="background1" w:themeFillShade="F2"/>
          </w:tcPr>
          <w:p w14:paraId="41E16EA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CON2b: Material and immaterial assets</w:t>
            </w:r>
          </w:p>
        </w:tc>
      </w:tr>
      <w:tr w:rsidR="002D7080" w:rsidRPr="004D1E6F" w14:paraId="1B3E9C49" w14:textId="77777777" w:rsidTr="002E2C37">
        <w:tc>
          <w:tcPr>
            <w:tcW w:w="5949" w:type="dxa"/>
          </w:tcPr>
          <w:p w14:paraId="74E1D19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Minor (MN)</w:t>
            </w:r>
          </w:p>
        </w:tc>
        <w:tc>
          <w:tcPr>
            <w:tcW w:w="3067" w:type="dxa"/>
          </w:tcPr>
          <w:p w14:paraId="16321AE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76249D3F" w14:textId="77777777" w:rsidTr="002E2C37">
        <w:trPr>
          <w:trHeight w:val="128"/>
        </w:trPr>
        <w:tc>
          <w:tcPr>
            <w:tcW w:w="9016" w:type="dxa"/>
            <w:gridSpan w:val="2"/>
          </w:tcPr>
          <w:p w14:paraId="4BFE4ED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Regarded as agricultural pest due to its burrowing and grazing activities (Souty-Grosset et al. 2006)</w:t>
            </w:r>
          </w:p>
        </w:tc>
      </w:tr>
      <w:tr w:rsidR="002D7080" w:rsidRPr="004D1E6F" w14:paraId="011C582B" w14:textId="77777777" w:rsidTr="002E2C37">
        <w:trPr>
          <w:trHeight w:val="70"/>
        </w:trPr>
        <w:tc>
          <w:tcPr>
            <w:tcW w:w="9016" w:type="dxa"/>
            <w:gridSpan w:val="2"/>
          </w:tcPr>
          <w:p w14:paraId="75B16AB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325850B1" w14:textId="77777777" w:rsidR="002D7080" w:rsidRPr="004D1E6F" w:rsidRDefault="002D7080" w:rsidP="002E2C37">
            <w:pPr>
              <w:snapToGrid w:val="0"/>
              <w:ind w:left="540" w:hanging="630"/>
              <w:rPr>
                <w:rFonts w:ascii="Times New Roman" w:hAnsi="Times New Roman"/>
                <w:sz w:val="20"/>
                <w:szCs w:val="20"/>
              </w:rPr>
            </w:pPr>
            <w:r w:rsidRPr="004D1E6F">
              <w:rPr>
                <w:rFonts w:ascii="Times New Roman" w:hAnsi="Times New Roman"/>
                <w:sz w:val="20"/>
                <w:szCs w:val="20"/>
              </w:rPr>
              <w:t>Souty Grosset</w:t>
            </w:r>
            <w:r>
              <w:rPr>
                <w:rFonts w:ascii="Times New Roman" w:hAnsi="Times New Roman"/>
                <w:sz w:val="20"/>
                <w:szCs w:val="20"/>
              </w:rPr>
              <w:t>,</w:t>
            </w:r>
            <w:r w:rsidRPr="004D1E6F">
              <w:rPr>
                <w:rFonts w:ascii="Times New Roman" w:hAnsi="Times New Roman"/>
                <w:sz w:val="20"/>
                <w:szCs w:val="20"/>
              </w:rPr>
              <w:t xml:space="preserve"> C</w:t>
            </w:r>
            <w:r>
              <w:rPr>
                <w:rFonts w:ascii="Times New Roman" w:hAnsi="Times New Roman"/>
                <w:sz w:val="20"/>
                <w:szCs w:val="20"/>
              </w:rPr>
              <w:t>.</w:t>
            </w:r>
            <w:r w:rsidRPr="004D1E6F">
              <w:rPr>
                <w:rFonts w:ascii="Times New Roman" w:hAnsi="Times New Roman"/>
                <w:sz w:val="20"/>
                <w:szCs w:val="20"/>
              </w:rPr>
              <w:t>, Holdich</w:t>
            </w:r>
            <w:r>
              <w:rPr>
                <w:rFonts w:ascii="Times New Roman" w:hAnsi="Times New Roman"/>
                <w:sz w:val="20"/>
                <w:szCs w:val="20"/>
              </w:rPr>
              <w:t>,</w:t>
            </w:r>
            <w:r w:rsidRPr="004D1E6F">
              <w:rPr>
                <w:rFonts w:ascii="Times New Roman" w:hAnsi="Times New Roman"/>
                <w:sz w:val="20"/>
                <w:szCs w:val="20"/>
              </w:rPr>
              <w:t xml:space="preserve"> D</w:t>
            </w:r>
            <w:r>
              <w:rPr>
                <w:rFonts w:ascii="Times New Roman" w:hAnsi="Times New Roman"/>
                <w:sz w:val="20"/>
                <w:szCs w:val="20"/>
              </w:rPr>
              <w:t>.</w:t>
            </w:r>
            <w:r w:rsidRPr="004D1E6F">
              <w:rPr>
                <w:rFonts w:ascii="Times New Roman" w:hAnsi="Times New Roman"/>
                <w:sz w:val="20"/>
                <w:szCs w:val="20"/>
              </w:rPr>
              <w:t>M</w:t>
            </w:r>
            <w:r>
              <w:rPr>
                <w:rFonts w:ascii="Times New Roman" w:hAnsi="Times New Roman"/>
                <w:sz w:val="20"/>
                <w:szCs w:val="20"/>
              </w:rPr>
              <w:t>.</w:t>
            </w:r>
            <w:r w:rsidRPr="004D1E6F">
              <w:rPr>
                <w:rFonts w:ascii="Times New Roman" w:hAnsi="Times New Roman"/>
                <w:sz w:val="20"/>
                <w:szCs w:val="20"/>
              </w:rPr>
              <w:t>, Noel</w:t>
            </w:r>
            <w:r>
              <w:rPr>
                <w:rFonts w:ascii="Times New Roman" w:hAnsi="Times New Roman"/>
                <w:sz w:val="20"/>
                <w:szCs w:val="20"/>
              </w:rPr>
              <w:t>,</w:t>
            </w:r>
            <w:r w:rsidRPr="004D1E6F">
              <w:rPr>
                <w:rFonts w:ascii="Times New Roman" w:hAnsi="Times New Roman"/>
                <w:sz w:val="20"/>
                <w:szCs w:val="20"/>
              </w:rPr>
              <w:t xml:space="preserve"> P</w:t>
            </w:r>
            <w:r>
              <w:rPr>
                <w:rFonts w:ascii="Times New Roman" w:hAnsi="Times New Roman"/>
                <w:sz w:val="20"/>
                <w:szCs w:val="20"/>
              </w:rPr>
              <w:t>.</w:t>
            </w:r>
            <w:r w:rsidRPr="004D1E6F">
              <w:rPr>
                <w:rFonts w:ascii="Times New Roman" w:hAnsi="Times New Roman"/>
                <w:sz w:val="20"/>
                <w:szCs w:val="20"/>
              </w:rPr>
              <w:t>Y</w:t>
            </w:r>
            <w:r>
              <w:rPr>
                <w:rFonts w:ascii="Times New Roman" w:hAnsi="Times New Roman"/>
                <w:sz w:val="20"/>
                <w:szCs w:val="20"/>
              </w:rPr>
              <w:t>.</w:t>
            </w:r>
            <w:r w:rsidRPr="004D1E6F">
              <w:rPr>
                <w:rFonts w:ascii="Times New Roman" w:hAnsi="Times New Roman"/>
                <w:sz w:val="20"/>
                <w:szCs w:val="20"/>
              </w:rPr>
              <w:t>, Reynolds</w:t>
            </w:r>
            <w:r>
              <w:rPr>
                <w:rFonts w:ascii="Times New Roman" w:hAnsi="Times New Roman"/>
                <w:sz w:val="20"/>
                <w:szCs w:val="20"/>
              </w:rPr>
              <w:t>,</w:t>
            </w:r>
            <w:r w:rsidRPr="004D1E6F">
              <w:rPr>
                <w:rFonts w:ascii="Times New Roman" w:hAnsi="Times New Roman"/>
                <w:sz w:val="20"/>
                <w:szCs w:val="20"/>
              </w:rPr>
              <w:t xml:space="preserve"> J</w:t>
            </w:r>
            <w:r>
              <w:rPr>
                <w:rFonts w:ascii="Times New Roman" w:hAnsi="Times New Roman"/>
                <w:sz w:val="20"/>
                <w:szCs w:val="20"/>
              </w:rPr>
              <w:t>.</w:t>
            </w:r>
            <w:r w:rsidRPr="004D1E6F">
              <w:rPr>
                <w:rFonts w:ascii="Times New Roman" w:hAnsi="Times New Roman"/>
                <w:sz w:val="20"/>
                <w:szCs w:val="20"/>
              </w:rPr>
              <w:t>D</w:t>
            </w:r>
            <w:r>
              <w:rPr>
                <w:rFonts w:ascii="Times New Roman" w:hAnsi="Times New Roman"/>
                <w:sz w:val="20"/>
                <w:szCs w:val="20"/>
              </w:rPr>
              <w:t>. &amp;</w:t>
            </w:r>
            <w:r w:rsidRPr="004D1E6F">
              <w:rPr>
                <w:rFonts w:ascii="Times New Roman" w:hAnsi="Times New Roman"/>
                <w:sz w:val="20"/>
                <w:szCs w:val="20"/>
              </w:rPr>
              <w:t xml:space="preserve"> Haffner</w:t>
            </w:r>
            <w:r>
              <w:rPr>
                <w:rFonts w:ascii="Times New Roman" w:hAnsi="Times New Roman"/>
                <w:sz w:val="20"/>
                <w:szCs w:val="20"/>
              </w:rPr>
              <w:t>,</w:t>
            </w:r>
            <w:r w:rsidRPr="004D1E6F">
              <w:rPr>
                <w:rFonts w:ascii="Times New Roman" w:hAnsi="Times New Roman"/>
                <w:sz w:val="20"/>
                <w:szCs w:val="20"/>
              </w:rPr>
              <w:t xml:space="preserve"> P</w:t>
            </w:r>
            <w:r>
              <w:rPr>
                <w:rFonts w:ascii="Times New Roman" w:hAnsi="Times New Roman"/>
                <w:sz w:val="20"/>
                <w:szCs w:val="20"/>
              </w:rPr>
              <w:t>.,</w:t>
            </w:r>
            <w:r w:rsidRPr="004D1E6F">
              <w:rPr>
                <w:rFonts w:ascii="Times New Roman" w:hAnsi="Times New Roman"/>
                <w:sz w:val="20"/>
                <w:szCs w:val="20"/>
              </w:rPr>
              <w:t xml:space="preserve"> (eds)</w:t>
            </w:r>
            <w:r>
              <w:rPr>
                <w:rFonts w:ascii="Times New Roman" w:hAnsi="Times New Roman"/>
                <w:sz w:val="20"/>
                <w:szCs w:val="20"/>
              </w:rPr>
              <w:t>,</w:t>
            </w:r>
            <w:r w:rsidRPr="004D1E6F">
              <w:rPr>
                <w:rFonts w:ascii="Times New Roman" w:hAnsi="Times New Roman"/>
                <w:sz w:val="20"/>
                <w:szCs w:val="20"/>
              </w:rPr>
              <w:t xml:space="preserve"> 2006</w:t>
            </w:r>
            <w:r>
              <w:rPr>
                <w:rFonts w:ascii="Times New Roman" w:hAnsi="Times New Roman"/>
                <w:sz w:val="20"/>
                <w:szCs w:val="20"/>
              </w:rPr>
              <w:t>,</w:t>
            </w:r>
            <w:r w:rsidRPr="004D1E6F">
              <w:rPr>
                <w:rFonts w:ascii="Times New Roman" w:hAnsi="Times New Roman"/>
                <w:sz w:val="20"/>
                <w:szCs w:val="20"/>
              </w:rPr>
              <w:t xml:space="preserve"> </w:t>
            </w:r>
            <w:r>
              <w:rPr>
                <w:rFonts w:ascii="Times New Roman" w:hAnsi="Times New Roman"/>
                <w:sz w:val="20"/>
                <w:szCs w:val="20"/>
              </w:rPr>
              <w:t>‘</w:t>
            </w:r>
            <w:r w:rsidRPr="004D1E6F">
              <w:rPr>
                <w:rFonts w:ascii="Times New Roman" w:hAnsi="Times New Roman"/>
                <w:sz w:val="20"/>
                <w:szCs w:val="20"/>
              </w:rPr>
              <w:t>Atlas of crayfish in Europe</w:t>
            </w:r>
            <w:r>
              <w:rPr>
                <w:rFonts w:ascii="Times New Roman" w:hAnsi="Times New Roman"/>
                <w:sz w:val="20"/>
                <w:szCs w:val="20"/>
              </w:rPr>
              <w:t>’,</w:t>
            </w:r>
            <w:r w:rsidRPr="004D1E6F">
              <w:rPr>
                <w:rFonts w:ascii="Times New Roman" w:hAnsi="Times New Roman"/>
                <w:sz w:val="20"/>
                <w:szCs w:val="20"/>
              </w:rPr>
              <w:t xml:space="preserve"> Museum national d’Histoire naturelle</w:t>
            </w:r>
            <w:r>
              <w:rPr>
                <w:rFonts w:ascii="Times New Roman" w:hAnsi="Times New Roman"/>
                <w:sz w:val="20"/>
                <w:szCs w:val="20"/>
              </w:rPr>
              <w:t>,</w:t>
            </w:r>
            <w:r w:rsidRPr="004D1E6F">
              <w:rPr>
                <w:rFonts w:ascii="Times New Roman" w:hAnsi="Times New Roman"/>
                <w:sz w:val="20"/>
                <w:szCs w:val="20"/>
              </w:rPr>
              <w:t xml:space="preserve"> Paris</w:t>
            </w:r>
            <w:r>
              <w:rPr>
                <w:rFonts w:ascii="Times New Roman" w:hAnsi="Times New Roman"/>
                <w:sz w:val="20"/>
                <w:szCs w:val="20"/>
              </w:rPr>
              <w:t>,</w:t>
            </w:r>
            <w:r w:rsidRPr="004D1E6F">
              <w:rPr>
                <w:rFonts w:ascii="Times New Roman" w:hAnsi="Times New Roman"/>
                <w:sz w:val="20"/>
                <w:szCs w:val="20"/>
              </w:rPr>
              <w:t xml:space="preserve"> 187p (Patrimoines naturels 64)</w:t>
            </w:r>
            <w:r>
              <w:rPr>
                <w:rFonts w:ascii="Times New Roman" w:hAnsi="Times New Roman"/>
                <w:sz w:val="20"/>
                <w:szCs w:val="20"/>
              </w:rPr>
              <w:t>.</w:t>
            </w:r>
          </w:p>
        </w:tc>
      </w:tr>
      <w:tr w:rsidR="002D7080" w:rsidRPr="004D1E6F" w14:paraId="3ACAD021" w14:textId="77777777" w:rsidTr="002E2C37">
        <w:tc>
          <w:tcPr>
            <w:tcW w:w="9016" w:type="dxa"/>
            <w:gridSpan w:val="2"/>
            <w:shd w:val="clear" w:color="auto" w:fill="F2F2F2" w:themeFill="background1" w:themeFillShade="F2"/>
          </w:tcPr>
          <w:p w14:paraId="376F1023"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CON2c: Health</w:t>
            </w:r>
          </w:p>
        </w:tc>
      </w:tr>
      <w:tr w:rsidR="002D7080" w:rsidRPr="004D1E6F" w14:paraId="0BC3DD8C" w14:textId="77777777" w:rsidTr="002E2C37">
        <w:tc>
          <w:tcPr>
            <w:tcW w:w="5949" w:type="dxa"/>
          </w:tcPr>
          <w:p w14:paraId="119F56E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28D4EE3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30690C6C" w14:textId="77777777" w:rsidTr="002E2C37">
        <w:trPr>
          <w:trHeight w:val="70"/>
        </w:trPr>
        <w:tc>
          <w:tcPr>
            <w:tcW w:w="9016" w:type="dxa"/>
            <w:gridSpan w:val="2"/>
          </w:tcPr>
          <w:p w14:paraId="7416F95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48CC95A0" w14:textId="77777777" w:rsidTr="002E2C37">
        <w:trPr>
          <w:trHeight w:val="70"/>
        </w:trPr>
        <w:tc>
          <w:tcPr>
            <w:tcW w:w="9016" w:type="dxa"/>
            <w:gridSpan w:val="2"/>
          </w:tcPr>
          <w:p w14:paraId="490E6885"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CCB764C" w14:textId="77777777" w:rsidTr="002E2C37">
        <w:tc>
          <w:tcPr>
            <w:tcW w:w="9016" w:type="dxa"/>
            <w:gridSpan w:val="2"/>
            <w:shd w:val="clear" w:color="auto" w:fill="F2F2F2" w:themeFill="background1" w:themeFillShade="F2"/>
          </w:tcPr>
          <w:p w14:paraId="6B94F6C3"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CON2d: Social, spiritual and cultural relations </w:t>
            </w:r>
          </w:p>
        </w:tc>
      </w:tr>
      <w:tr w:rsidR="002D7080" w:rsidRPr="004D1E6F" w14:paraId="2180B1FD" w14:textId="77777777" w:rsidTr="002E2C37">
        <w:tc>
          <w:tcPr>
            <w:tcW w:w="5949" w:type="dxa"/>
          </w:tcPr>
          <w:p w14:paraId="34862B5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A39410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63EE56CF" w14:textId="77777777" w:rsidTr="002E2C37">
        <w:trPr>
          <w:trHeight w:val="70"/>
        </w:trPr>
        <w:tc>
          <w:tcPr>
            <w:tcW w:w="9016" w:type="dxa"/>
            <w:gridSpan w:val="2"/>
          </w:tcPr>
          <w:p w14:paraId="613907D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17274739" w14:textId="77777777" w:rsidTr="002E2C37">
        <w:trPr>
          <w:trHeight w:val="70"/>
        </w:trPr>
        <w:tc>
          <w:tcPr>
            <w:tcW w:w="9016" w:type="dxa"/>
            <w:gridSpan w:val="2"/>
          </w:tcPr>
          <w:p w14:paraId="49853AA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2745CE3" w14:textId="77777777" w:rsidTr="002E2C37">
        <w:trPr>
          <w:trHeight w:val="343"/>
        </w:trPr>
        <w:tc>
          <w:tcPr>
            <w:tcW w:w="9016" w:type="dxa"/>
            <w:gridSpan w:val="2"/>
            <w:shd w:val="clear" w:color="auto" w:fill="F2F2F2" w:themeFill="background1" w:themeFillShade="F2"/>
          </w:tcPr>
          <w:p w14:paraId="58E41E89"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CON2 Maximum socio-economic impact </w:t>
            </w:r>
          </w:p>
        </w:tc>
      </w:tr>
      <w:tr w:rsidR="002D7080" w:rsidRPr="004D1E6F" w14:paraId="78A17B3B" w14:textId="77777777" w:rsidTr="002E2C37">
        <w:trPr>
          <w:trHeight w:val="208"/>
        </w:trPr>
        <w:tc>
          <w:tcPr>
            <w:tcW w:w="5949" w:type="dxa"/>
          </w:tcPr>
          <w:p w14:paraId="051C589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Minor (MN)</w:t>
            </w:r>
          </w:p>
        </w:tc>
        <w:tc>
          <w:tcPr>
            <w:tcW w:w="3067" w:type="dxa"/>
          </w:tcPr>
          <w:p w14:paraId="2B806B4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611309EE" w14:textId="77777777" w:rsidTr="002E2C37">
        <w:trPr>
          <w:trHeight w:val="70"/>
        </w:trPr>
        <w:tc>
          <w:tcPr>
            <w:tcW w:w="9016" w:type="dxa"/>
            <w:gridSpan w:val="2"/>
          </w:tcPr>
          <w:p w14:paraId="660175D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sz w:val="20"/>
                <w:szCs w:val="20"/>
                <w:lang w:eastAsia="en-ZA"/>
              </w:rPr>
              <w:t xml:space="preserve">Faxonius immunis </w:t>
            </w:r>
            <w:r w:rsidRPr="004D1E6F">
              <w:rPr>
                <w:rFonts w:ascii="Times New Roman" w:eastAsia="Times New Roman" w:hAnsi="Times New Roman" w:cs="Times New Roman"/>
                <w:sz w:val="20"/>
                <w:szCs w:val="20"/>
                <w:lang w:eastAsia="en-ZA"/>
              </w:rPr>
              <w:t>is regarded as agricultural pest due to its grazing and burrowing activities (Chucholl 2012; EU 2022).</w:t>
            </w:r>
          </w:p>
        </w:tc>
      </w:tr>
      <w:tr w:rsidR="002D7080" w:rsidRPr="004D1E6F" w14:paraId="7E959A3B" w14:textId="77777777" w:rsidTr="002E2C37">
        <w:trPr>
          <w:trHeight w:val="70"/>
        </w:trPr>
        <w:tc>
          <w:tcPr>
            <w:tcW w:w="9016" w:type="dxa"/>
            <w:gridSpan w:val="2"/>
          </w:tcPr>
          <w:p w14:paraId="3270D23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2D3D7142" w14:textId="77777777" w:rsidR="002D7080" w:rsidRPr="004D1E6F" w:rsidRDefault="002D7080" w:rsidP="002E2C37">
            <w:pPr>
              <w:ind w:left="540" w:hanging="540"/>
              <w:jc w:val="both"/>
              <w:rPr>
                <w:rStyle w:val="Hyperlink"/>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European Commission 2022, Directorate-General for Environment, Study on invasive alien species – Development of risk assessments to tackle priority species and enhance prevention – Final report (and annexes), Publications Office of the European Union, 2022, </w:t>
            </w:r>
            <w:hyperlink w:history="1">
              <w:r w:rsidRPr="004D1E6F">
                <w:rPr>
                  <w:rStyle w:val="Hyperlink"/>
                  <w:rFonts w:ascii="Times New Roman" w:eastAsia="Times New Roman" w:hAnsi="Times New Roman" w:cs="Times New Roman"/>
                  <w:sz w:val="20"/>
                  <w:szCs w:val="20"/>
                  <w:lang w:eastAsia="en-ZA"/>
                </w:rPr>
                <w:t>https://data.europa.eu/doi/10.2779/302048</w:t>
              </w:r>
            </w:hyperlink>
          </w:p>
          <w:p w14:paraId="292EAC5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lastRenderedPageBreak/>
              <w:t>Chucholl</w:t>
            </w:r>
            <w:r>
              <w:rPr>
                <w:rFonts w:ascii="Times New Roman" w:hAnsi="Times New Roman" w:cs="Times New Roman"/>
                <w:sz w:val="20"/>
                <w:szCs w:val="20"/>
              </w:rPr>
              <w:t xml:space="preserve">, </w:t>
            </w:r>
            <w:r w:rsidRPr="004D1E6F">
              <w:rPr>
                <w:rFonts w:ascii="Times New Roman" w:hAnsi="Times New Roman" w:cs="Times New Roman"/>
                <w:sz w:val="20"/>
                <w:szCs w:val="20"/>
              </w:rPr>
              <w:t>C.</w:t>
            </w:r>
            <w:r>
              <w:rPr>
                <w:rFonts w:ascii="Times New Roman" w:hAnsi="Times New Roman" w:cs="Times New Roman"/>
                <w:sz w:val="20"/>
                <w:szCs w:val="20"/>
              </w:rPr>
              <w:t>,</w:t>
            </w:r>
            <w:r w:rsidRPr="004D1E6F">
              <w:rPr>
                <w:rFonts w:ascii="Times New Roman" w:hAnsi="Times New Roman" w:cs="Times New Roman"/>
                <w:sz w:val="20"/>
                <w:szCs w:val="20"/>
              </w:rPr>
              <w:t xml:space="preserve"> 2012</w:t>
            </w:r>
            <w:r>
              <w:rPr>
                <w:rFonts w:ascii="Times New Roman" w:hAnsi="Times New Roman" w:cs="Times New Roman"/>
                <w:sz w:val="20"/>
                <w:szCs w:val="20"/>
              </w:rPr>
              <w:t>,</w:t>
            </w:r>
            <w:r w:rsidRPr="004D1E6F">
              <w:rPr>
                <w:rFonts w:ascii="Times New Roman" w:hAnsi="Times New Roman" w:cs="Times New Roman"/>
                <w:sz w:val="20"/>
                <w:szCs w:val="20"/>
              </w:rPr>
              <w:t xml:space="preserve"> </w:t>
            </w:r>
            <w:r>
              <w:rPr>
                <w:rFonts w:ascii="Times New Roman" w:hAnsi="Times New Roman" w:cs="Times New Roman"/>
                <w:sz w:val="20"/>
                <w:szCs w:val="20"/>
              </w:rPr>
              <w:t>‘</w:t>
            </w:r>
            <w:r w:rsidRPr="004D1E6F">
              <w:rPr>
                <w:rFonts w:ascii="Times New Roman" w:hAnsi="Times New Roman" w:cs="Times New Roman"/>
                <w:sz w:val="20"/>
                <w:szCs w:val="20"/>
              </w:rPr>
              <w:t xml:space="preserve">Understanding invasion success: life-history traits and feeding habits of the alien crayfish </w:t>
            </w:r>
            <w:r w:rsidRPr="004D1E6F">
              <w:rPr>
                <w:rFonts w:ascii="Times New Roman" w:hAnsi="Times New Roman" w:cs="Times New Roman"/>
                <w:i/>
                <w:iCs/>
                <w:sz w:val="20"/>
                <w:szCs w:val="20"/>
              </w:rPr>
              <w:t>Orconectes immunis</w:t>
            </w:r>
            <w:r w:rsidRPr="004D1E6F">
              <w:rPr>
                <w:rFonts w:ascii="Times New Roman" w:hAnsi="Times New Roman" w:cs="Times New Roman"/>
                <w:sz w:val="20"/>
                <w:szCs w:val="20"/>
              </w:rPr>
              <w:t xml:space="preserve"> (Decapoda, Astacida, Cambaridae)</w:t>
            </w:r>
            <w:r>
              <w:rPr>
                <w:rFonts w:ascii="Times New Roman" w:hAnsi="Times New Roman" w:cs="Times New Roman"/>
                <w:sz w:val="20"/>
                <w:szCs w:val="20"/>
              </w:rPr>
              <w:t xml:space="preserve">’, </w:t>
            </w:r>
            <w:r w:rsidRPr="004D1E6F">
              <w:rPr>
                <w:rFonts w:ascii="Times New Roman" w:hAnsi="Times New Roman" w:cs="Times New Roman"/>
                <w:i/>
                <w:iCs/>
                <w:sz w:val="20"/>
                <w:szCs w:val="20"/>
              </w:rPr>
              <w:t>Knowledge and Management of Aquatic Ecosystems</w:t>
            </w:r>
            <w:r>
              <w:rPr>
                <w:rFonts w:ascii="Times New Roman" w:hAnsi="Times New Roman" w:cs="Times New Roman"/>
                <w:sz w:val="20"/>
                <w:szCs w:val="20"/>
              </w:rPr>
              <w:t xml:space="preserve">, </w:t>
            </w:r>
            <w:r w:rsidRPr="004D1E6F">
              <w:rPr>
                <w:rFonts w:ascii="Times New Roman" w:hAnsi="Times New Roman" w:cs="Times New Roman"/>
                <w:sz w:val="20"/>
                <w:szCs w:val="20"/>
              </w:rPr>
              <w:t>404: 04.</w:t>
            </w:r>
            <w:r>
              <w:rPr>
                <w:rFonts w:ascii="Times New Roman" w:hAnsi="Times New Roman" w:cs="Times New Roman"/>
                <w:sz w:val="20"/>
                <w:szCs w:val="20"/>
              </w:rPr>
              <w:t xml:space="preserve"> </w:t>
            </w:r>
            <w:hyperlink r:id="rId203" w:history="1">
              <w:r w:rsidRPr="0036683F">
                <w:rPr>
                  <w:rStyle w:val="Hyperlink"/>
                  <w:rFonts w:ascii="Times New Roman" w:hAnsi="Times New Roman" w:cs="Times New Roman"/>
                  <w:sz w:val="20"/>
                  <w:szCs w:val="20"/>
                </w:rPr>
                <w:t>https://doi.org/10.1051/kmae/2011082</w:t>
              </w:r>
            </w:hyperlink>
            <w:r w:rsidRPr="0036683F">
              <w:rPr>
                <w:rFonts w:ascii="Times New Roman" w:hAnsi="Times New Roman" w:cs="Times New Roman"/>
                <w:sz w:val="20"/>
                <w:szCs w:val="20"/>
              </w:rPr>
              <w:t>.</w:t>
            </w:r>
          </w:p>
        </w:tc>
      </w:tr>
    </w:tbl>
    <w:p w14:paraId="4C4ABE79" w14:textId="77777777" w:rsidR="002D7080" w:rsidRPr="004D1E6F" w:rsidRDefault="002D7080" w:rsidP="002D7080">
      <w:pPr>
        <w:spacing w:after="0"/>
        <w:jc w:val="both"/>
        <w:rPr>
          <w:rFonts w:ascii="Times New Roman" w:eastAsia="Times New Roman" w:hAnsi="Times New Roman" w:cs="Times New Roman"/>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641152E3" w14:textId="77777777" w:rsidTr="002E2C37">
        <w:trPr>
          <w:trHeight w:val="343"/>
        </w:trPr>
        <w:tc>
          <w:tcPr>
            <w:tcW w:w="9016" w:type="dxa"/>
            <w:gridSpan w:val="2"/>
            <w:shd w:val="clear" w:color="auto" w:fill="F2F2F2"/>
          </w:tcPr>
          <w:p w14:paraId="6A79F74E"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CON3 Closely related species’ environmental impact</w:t>
            </w:r>
          </w:p>
        </w:tc>
      </w:tr>
      <w:tr w:rsidR="002D7080" w:rsidRPr="004D1E6F" w14:paraId="44331296" w14:textId="77777777" w:rsidTr="002E2C37">
        <w:trPr>
          <w:trHeight w:val="172"/>
        </w:trPr>
        <w:tc>
          <w:tcPr>
            <w:tcW w:w="5949" w:type="dxa"/>
          </w:tcPr>
          <w:p w14:paraId="07A5A95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Not scored as CON1 scored</w:t>
            </w:r>
            <w:r w:rsidRPr="004D1E6F">
              <w:rPr>
                <w:rFonts w:ascii="Times New Roman" w:eastAsia="Times New Roman" w:hAnsi="Times New Roman" w:cs="Times New Roman"/>
                <w:sz w:val="20"/>
                <w:szCs w:val="20"/>
                <w:lang w:eastAsia="en-ZA"/>
              </w:rPr>
              <w:tab/>
            </w:r>
          </w:p>
        </w:tc>
        <w:tc>
          <w:tcPr>
            <w:tcW w:w="3067" w:type="dxa"/>
          </w:tcPr>
          <w:p w14:paraId="795EC83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62D8BF6A" w14:textId="77777777" w:rsidTr="002E2C37">
        <w:trPr>
          <w:trHeight w:val="70"/>
        </w:trPr>
        <w:tc>
          <w:tcPr>
            <w:tcW w:w="9016" w:type="dxa"/>
            <w:gridSpan w:val="2"/>
          </w:tcPr>
          <w:p w14:paraId="765CD80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There is information to score CON1, so CON3 does not need to be scored as per the framework.</w:t>
            </w:r>
          </w:p>
        </w:tc>
      </w:tr>
      <w:tr w:rsidR="002D7080" w:rsidRPr="004D1E6F" w14:paraId="5ABA69F8" w14:textId="77777777" w:rsidTr="002E2C37">
        <w:trPr>
          <w:cantSplit/>
          <w:trHeight w:val="70"/>
        </w:trPr>
        <w:tc>
          <w:tcPr>
            <w:tcW w:w="9016" w:type="dxa"/>
            <w:gridSpan w:val="2"/>
          </w:tcPr>
          <w:p w14:paraId="30341FF3"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3C802DE1" w14:textId="77777777" w:rsidR="002D7080" w:rsidRPr="004D1E6F" w:rsidRDefault="002D7080" w:rsidP="002D7080">
      <w:pPr>
        <w:spacing w:after="0"/>
        <w:jc w:val="both"/>
        <w:rPr>
          <w:rFonts w:ascii="Times New Roman" w:eastAsia="Times New Roman" w:hAnsi="Times New Roman" w:cs="Times New Roman"/>
          <w:color w:val="000000"/>
          <w:sz w:val="20"/>
          <w:szCs w:val="20"/>
          <w:lang w:eastAsia="en-ZA"/>
        </w:rPr>
      </w:pPr>
    </w:p>
    <w:p w14:paraId="1C6CE1F7" w14:textId="77777777" w:rsidR="002D7080" w:rsidRPr="004D1E6F" w:rsidRDefault="002D7080" w:rsidP="002D7080">
      <w:pPr>
        <w:spacing w:after="0" w:line="240" w:lineRule="auto"/>
        <w:jc w:val="both"/>
        <w:rPr>
          <w:rFonts w:ascii="Times New Roman" w:eastAsia="Times New Roman" w:hAnsi="Times New Roman" w:cs="Times New Roman"/>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6F526DA6" w14:textId="77777777" w:rsidTr="002E2C37">
        <w:trPr>
          <w:trHeight w:val="343"/>
        </w:trPr>
        <w:tc>
          <w:tcPr>
            <w:tcW w:w="9016" w:type="dxa"/>
            <w:gridSpan w:val="2"/>
            <w:shd w:val="clear" w:color="auto" w:fill="F2F2F2" w:themeFill="background1" w:themeFillShade="F2"/>
          </w:tcPr>
          <w:p w14:paraId="1825705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CON4 Closely related species’ socio-economic impact</w:t>
            </w:r>
          </w:p>
        </w:tc>
      </w:tr>
      <w:tr w:rsidR="002D7080" w:rsidRPr="004D1E6F" w14:paraId="2920A1A7" w14:textId="77777777" w:rsidTr="002E2C37">
        <w:trPr>
          <w:trHeight w:val="172"/>
        </w:trPr>
        <w:tc>
          <w:tcPr>
            <w:tcW w:w="5949" w:type="dxa"/>
          </w:tcPr>
          <w:p w14:paraId="4845692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Not scored as CON1 scored </w:t>
            </w:r>
          </w:p>
        </w:tc>
        <w:tc>
          <w:tcPr>
            <w:tcW w:w="3067" w:type="dxa"/>
          </w:tcPr>
          <w:p w14:paraId="29E09E2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Confidence: </w:t>
            </w:r>
          </w:p>
        </w:tc>
      </w:tr>
      <w:tr w:rsidR="002D7080" w:rsidRPr="004D1E6F" w14:paraId="1484B998" w14:textId="77777777" w:rsidTr="002E2C37">
        <w:trPr>
          <w:trHeight w:val="70"/>
        </w:trPr>
        <w:tc>
          <w:tcPr>
            <w:tcW w:w="9016" w:type="dxa"/>
            <w:gridSpan w:val="2"/>
          </w:tcPr>
          <w:p w14:paraId="63E648D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There is information to score CON1, so CON3 does not need to be scored as per the framework.</w:t>
            </w:r>
          </w:p>
        </w:tc>
      </w:tr>
      <w:tr w:rsidR="002D7080" w:rsidRPr="004D1E6F" w14:paraId="5E9A272D" w14:textId="77777777" w:rsidTr="002E2C37">
        <w:trPr>
          <w:trHeight w:val="50"/>
        </w:trPr>
        <w:tc>
          <w:tcPr>
            <w:tcW w:w="9016" w:type="dxa"/>
            <w:gridSpan w:val="2"/>
          </w:tcPr>
          <w:p w14:paraId="42D0C81F"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5ADDC1FD" w14:textId="77777777" w:rsidR="002D7080" w:rsidRPr="004D1E6F" w:rsidRDefault="002D7080" w:rsidP="002D7080">
      <w:pPr>
        <w:spacing w:after="0" w:line="240" w:lineRule="auto"/>
        <w:jc w:val="both"/>
        <w:rPr>
          <w:rFonts w:ascii="Times New Roman" w:eastAsia="Times New Roman" w:hAnsi="Times New Roman" w:cs="Times New Roman"/>
          <w:color w:val="000000"/>
          <w:sz w:val="20"/>
          <w:szCs w:val="20"/>
          <w:lang w:eastAsia="en-ZA"/>
        </w:rPr>
      </w:pPr>
    </w:p>
    <w:p w14:paraId="0867DC2F" w14:textId="77777777" w:rsidR="002D7080" w:rsidRPr="004D1E6F" w:rsidRDefault="002D7080" w:rsidP="002D7080">
      <w:pPr>
        <w:spacing w:after="0" w:line="240" w:lineRule="auto"/>
        <w:jc w:val="both"/>
        <w:rPr>
          <w:rFonts w:ascii="Times New Roman" w:eastAsia="Calibri" w:hAnsi="Times New Roman" w:cs="Times New Roman"/>
          <w:b/>
          <w:sz w:val="24"/>
          <w:szCs w:val="24"/>
        </w:rPr>
      </w:pPr>
    </w:p>
    <w:tbl>
      <w:tblPr>
        <w:tblStyle w:val="TableGrid7"/>
        <w:tblW w:w="0" w:type="auto"/>
        <w:tblLook w:val="04A0" w:firstRow="1" w:lastRow="0" w:firstColumn="1" w:lastColumn="0" w:noHBand="0" w:noVBand="1"/>
      </w:tblPr>
      <w:tblGrid>
        <w:gridCol w:w="5949"/>
        <w:gridCol w:w="3067"/>
      </w:tblGrid>
      <w:tr w:rsidR="002D7080" w:rsidRPr="004D1E6F" w14:paraId="48CA884B" w14:textId="77777777" w:rsidTr="002E2C37">
        <w:trPr>
          <w:trHeight w:val="343"/>
        </w:trPr>
        <w:tc>
          <w:tcPr>
            <w:tcW w:w="9016" w:type="dxa"/>
            <w:gridSpan w:val="2"/>
            <w:shd w:val="clear" w:color="auto" w:fill="F2F2F2" w:themeFill="background1" w:themeFillShade="F2"/>
          </w:tcPr>
          <w:p w14:paraId="13769F50" w14:textId="77777777" w:rsidR="002D7080" w:rsidRPr="004D1E6F" w:rsidRDefault="002D7080" w:rsidP="002E2C37">
            <w:pPr>
              <w:jc w:val="both"/>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CON5 Potential impact</w:t>
            </w:r>
          </w:p>
        </w:tc>
      </w:tr>
      <w:tr w:rsidR="002D7080" w:rsidRPr="004D1E6F" w14:paraId="30B61577" w14:textId="77777777" w:rsidTr="002E2C37">
        <w:trPr>
          <w:trHeight w:val="172"/>
        </w:trPr>
        <w:tc>
          <w:tcPr>
            <w:tcW w:w="5949" w:type="dxa"/>
          </w:tcPr>
          <w:p w14:paraId="1CDB82FC"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M</w:t>
            </w:r>
            <w:r>
              <w:rPr>
                <w:rFonts w:ascii="Times New Roman" w:eastAsia="Times New Roman" w:hAnsi="Times New Roman" w:cs="Times New Roman"/>
                <w:color w:val="000000"/>
                <w:sz w:val="20"/>
                <w:szCs w:val="20"/>
                <w:lang w:eastAsia="en-ZA"/>
              </w:rPr>
              <w:t>R</w:t>
            </w:r>
          </w:p>
        </w:tc>
        <w:tc>
          <w:tcPr>
            <w:tcW w:w="3067" w:type="dxa"/>
          </w:tcPr>
          <w:p w14:paraId="2C3CB9F1"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 xml:space="preserve">Medium </w:t>
            </w:r>
          </w:p>
        </w:tc>
      </w:tr>
      <w:tr w:rsidR="002D7080" w:rsidRPr="004D1E6F" w14:paraId="5614A8D8" w14:textId="77777777" w:rsidTr="002E2C37">
        <w:trPr>
          <w:trHeight w:val="343"/>
        </w:trPr>
        <w:tc>
          <w:tcPr>
            <w:tcW w:w="9016" w:type="dxa"/>
            <w:gridSpan w:val="2"/>
          </w:tcPr>
          <w:p w14:paraId="54623193" w14:textId="76152912"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sidRPr="004D1E6F">
              <w:rPr>
                <w:rFonts w:ascii="Times New Roman" w:eastAsia="Times New Roman" w:hAnsi="Times New Roman" w:cs="Times New Roman"/>
                <w:i/>
                <w:color w:val="000000"/>
                <w:sz w:val="20"/>
                <w:szCs w:val="20"/>
                <w:lang w:eastAsia="en-ZA"/>
              </w:rPr>
              <w:t xml:space="preserve"> Faxonius immunis </w:t>
            </w:r>
            <w:r w:rsidRPr="004D1E6F">
              <w:rPr>
                <w:rFonts w:ascii="Times New Roman" w:eastAsia="Times New Roman" w:hAnsi="Times New Roman" w:cs="Times New Roman"/>
                <w:color w:val="000000"/>
                <w:sz w:val="20"/>
                <w:szCs w:val="20"/>
                <w:lang w:eastAsia="en-ZA"/>
              </w:rPr>
              <w:t>is a functional omnivore and may also have detrimental impacts on macroinvertebrates and macrophyte communities in areas where invaded (Klocker and Strayer 2004; Roth et al</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2006</w:t>
            </w:r>
            <w:r>
              <w:rPr>
                <w:rFonts w:ascii="Times New Roman" w:eastAsia="Times New Roman" w:hAnsi="Times New Roman" w:cs="Times New Roman"/>
                <w:color w:val="000000"/>
                <w:sz w:val="20"/>
                <w:szCs w:val="20"/>
                <w:lang w:eastAsia="en-ZA"/>
              </w:rPr>
              <w:t xml:space="preserve">; Holdich et al. 2009; </w:t>
            </w:r>
            <w:r w:rsidRPr="004D1E6F">
              <w:rPr>
                <w:rFonts w:ascii="Times New Roman" w:eastAsia="Times New Roman" w:hAnsi="Times New Roman" w:cs="Times New Roman"/>
                <w:color w:val="000000"/>
                <w:sz w:val="20"/>
                <w:szCs w:val="20"/>
                <w:lang w:eastAsia="en-ZA"/>
              </w:rPr>
              <w:t>Kreps et al</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2012</w:t>
            </w:r>
            <w:r>
              <w:rPr>
                <w:rFonts w:ascii="Times New Roman" w:eastAsia="Times New Roman" w:hAnsi="Times New Roman" w:cs="Times New Roman"/>
                <w:color w:val="000000"/>
                <w:sz w:val="20"/>
                <w:szCs w:val="20"/>
                <w:lang w:eastAsia="en-ZA"/>
              </w:rPr>
              <w:t>; EU 2022</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Faxonius immunis</w:t>
            </w:r>
            <w:r w:rsidRPr="004D1E6F">
              <w:rPr>
                <w:rFonts w:ascii="Times New Roman" w:eastAsia="Times New Roman" w:hAnsi="Times New Roman" w:cs="Times New Roman"/>
                <w:color w:val="000000"/>
                <w:sz w:val="20"/>
                <w:szCs w:val="20"/>
                <w:lang w:eastAsia="en-ZA"/>
              </w:rPr>
              <w:t xml:space="preserve"> can also influence the occurrence and species composition of fish communities (Keller et al. 2008). In addition, being a vector for the crayfish plague is another cause of concern because this disease may be transferable and could be detrimental for native freshwater crustaceans in South Africa (Lodge et al. 2012).</w:t>
            </w:r>
            <w:r>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i/>
                <w:color w:val="000000"/>
                <w:sz w:val="20"/>
                <w:szCs w:val="20"/>
                <w:lang w:eastAsia="en-ZA"/>
              </w:rPr>
              <w:t>Faxonius</w:t>
            </w:r>
            <w:r w:rsidRPr="004D1E6F">
              <w:rPr>
                <w:rFonts w:ascii="Times New Roman" w:eastAsia="Times New Roman" w:hAnsi="Times New Roman" w:cs="Times New Roman"/>
                <w:i/>
                <w:color w:val="000000"/>
                <w:sz w:val="20"/>
                <w:szCs w:val="20"/>
                <w:lang w:eastAsia="en-ZA"/>
              </w:rPr>
              <w:t xml:space="preserve"> immunis</w:t>
            </w:r>
            <w:r w:rsidRPr="004D1E6F">
              <w:rPr>
                <w:rFonts w:ascii="Times New Roman" w:eastAsia="Times New Roman" w:hAnsi="Times New Roman" w:cs="Times New Roman"/>
                <w:color w:val="000000"/>
                <w:sz w:val="20"/>
                <w:szCs w:val="20"/>
                <w:lang w:eastAsia="en-ZA"/>
              </w:rPr>
              <w:t xml:space="preserve"> also digs deep burrows, which allow it to occupy shallow and temporary water bodies. Burrowing activities by invasive crayfish species may destabilise riverbanks, causing erosion (Chucholl 2009; Soes &amp; Koese 2010).  </w:t>
            </w:r>
          </w:p>
        </w:tc>
      </w:tr>
      <w:tr w:rsidR="002D7080" w:rsidRPr="004D1E6F" w14:paraId="5E8AE127" w14:textId="77777777" w:rsidTr="002E2C37">
        <w:trPr>
          <w:trHeight w:val="343"/>
        </w:trPr>
        <w:tc>
          <w:tcPr>
            <w:tcW w:w="9016" w:type="dxa"/>
            <w:gridSpan w:val="2"/>
          </w:tcPr>
          <w:p w14:paraId="719E5B81" w14:textId="77777777" w:rsidR="002D7080" w:rsidRPr="00505E10" w:rsidRDefault="002D7080" w:rsidP="002E2C37">
            <w:pPr>
              <w:contextualSpacing/>
              <w:jc w:val="both"/>
              <w:rPr>
                <w:rFonts w:ascii="Times New Roman" w:eastAsia="Times New Roman" w:hAnsi="Times New Roman" w:cs="Times New Roman"/>
                <w:color w:val="000000"/>
                <w:sz w:val="20"/>
                <w:szCs w:val="20"/>
                <w:lang w:eastAsia="en-ZA"/>
              </w:rPr>
            </w:pPr>
            <w:r w:rsidRPr="00505E10">
              <w:rPr>
                <w:rFonts w:ascii="Times New Roman" w:eastAsia="Times New Roman" w:hAnsi="Times New Roman" w:cs="Times New Roman"/>
                <w:color w:val="000000"/>
                <w:sz w:val="20"/>
                <w:szCs w:val="20"/>
                <w:lang w:eastAsia="en-ZA"/>
              </w:rPr>
              <w:t>References:</w:t>
            </w:r>
          </w:p>
          <w:p w14:paraId="6329596D" w14:textId="77777777" w:rsidR="002D7080" w:rsidRPr="00505E10" w:rsidRDefault="002D7080" w:rsidP="002E2C37">
            <w:pPr>
              <w:ind w:left="540" w:hanging="540"/>
              <w:contextualSpacing/>
              <w:jc w:val="both"/>
              <w:rPr>
                <w:rFonts w:ascii="Times New Roman" w:eastAsia="Calibri" w:hAnsi="Times New Roman" w:cs="Times New Roman"/>
                <w:sz w:val="20"/>
                <w:szCs w:val="20"/>
                <w:shd w:val="clear" w:color="auto" w:fill="FFFFFF"/>
              </w:rPr>
            </w:pPr>
            <w:r w:rsidRPr="00505E10">
              <w:rPr>
                <w:rFonts w:ascii="Times New Roman" w:eastAsia="Calibri" w:hAnsi="Times New Roman" w:cs="Times New Roman"/>
                <w:sz w:val="20"/>
                <w:szCs w:val="20"/>
                <w:shd w:val="clear" w:color="auto" w:fill="FFFFFF"/>
              </w:rPr>
              <w:t xml:space="preserve">Chucholl, C., 2009, ‘The ‘newcomer’ </w:t>
            </w:r>
            <w:r w:rsidRPr="00505E10">
              <w:rPr>
                <w:rFonts w:ascii="Times New Roman" w:eastAsia="Calibri" w:hAnsi="Times New Roman" w:cs="Times New Roman"/>
                <w:i/>
                <w:sz w:val="20"/>
                <w:szCs w:val="20"/>
                <w:shd w:val="clear" w:color="auto" w:fill="FFFFFF"/>
              </w:rPr>
              <w:t>Orconectes immunis</w:t>
            </w:r>
            <w:r w:rsidRPr="00505E10">
              <w:rPr>
                <w:rFonts w:ascii="Times New Roman" w:eastAsia="Calibri" w:hAnsi="Times New Roman" w:cs="Times New Roman"/>
                <w:sz w:val="20"/>
                <w:szCs w:val="20"/>
                <w:shd w:val="clear" w:color="auto" w:fill="FFFFFF"/>
              </w:rPr>
              <w:t xml:space="preserve"> keeps spreading in the upper Rhine plain’, </w:t>
            </w:r>
            <w:r w:rsidRPr="00505E10">
              <w:rPr>
                <w:rFonts w:ascii="Times New Roman" w:eastAsia="Calibri" w:hAnsi="Times New Roman" w:cs="Times New Roman"/>
                <w:i/>
                <w:iCs/>
                <w:sz w:val="20"/>
                <w:szCs w:val="20"/>
                <w:shd w:val="clear" w:color="auto" w:fill="FFFFFF"/>
              </w:rPr>
              <w:t>Crayfish News</w:t>
            </w:r>
            <w:r w:rsidRPr="00505E10">
              <w:rPr>
                <w:rFonts w:ascii="Times New Roman" w:eastAsia="Calibri" w:hAnsi="Times New Roman" w:cs="Times New Roman"/>
                <w:sz w:val="20"/>
                <w:szCs w:val="20"/>
                <w:shd w:val="clear" w:color="auto" w:fill="FFFFFF"/>
              </w:rPr>
              <w:t>,</w:t>
            </w:r>
            <w:r w:rsidRPr="00505E10">
              <w:rPr>
                <w:rFonts w:ascii="Times New Roman" w:eastAsia="Calibri" w:hAnsi="Times New Roman" w:cs="Times New Roman"/>
                <w:i/>
                <w:iCs/>
                <w:sz w:val="20"/>
                <w:szCs w:val="20"/>
                <w:shd w:val="clear" w:color="auto" w:fill="FFFFFF"/>
              </w:rPr>
              <w:t xml:space="preserve"> IAA Newsletter</w:t>
            </w:r>
            <w:r w:rsidRPr="00505E10">
              <w:rPr>
                <w:rFonts w:ascii="Times New Roman" w:eastAsia="Calibri" w:hAnsi="Times New Roman" w:cs="Times New Roman"/>
                <w:sz w:val="20"/>
                <w:szCs w:val="20"/>
                <w:shd w:val="clear" w:color="auto" w:fill="FFFFFF"/>
              </w:rPr>
              <w:t xml:space="preserve">, </w:t>
            </w:r>
            <w:r w:rsidRPr="00505E10">
              <w:rPr>
                <w:rFonts w:ascii="Times New Roman" w:eastAsia="Calibri" w:hAnsi="Times New Roman" w:cs="Times New Roman"/>
                <w:iCs/>
                <w:sz w:val="20"/>
                <w:szCs w:val="20"/>
                <w:shd w:val="clear" w:color="auto" w:fill="FFFFFF"/>
              </w:rPr>
              <w:t xml:space="preserve">31, </w:t>
            </w:r>
            <w:r w:rsidRPr="00505E10">
              <w:rPr>
                <w:rFonts w:ascii="Times New Roman" w:eastAsia="Calibri" w:hAnsi="Times New Roman" w:cs="Times New Roman"/>
                <w:sz w:val="20"/>
                <w:szCs w:val="20"/>
                <w:shd w:val="clear" w:color="auto" w:fill="FFFFFF"/>
              </w:rPr>
              <w:t>4–5.</w:t>
            </w:r>
          </w:p>
          <w:p w14:paraId="44588449" w14:textId="77777777" w:rsidR="002D7080" w:rsidRPr="00505E10" w:rsidRDefault="002D7080" w:rsidP="002E2C37">
            <w:pPr>
              <w:ind w:left="540" w:hanging="540"/>
              <w:contextualSpacing/>
              <w:jc w:val="both"/>
              <w:rPr>
                <w:rFonts w:ascii="Times New Roman" w:eastAsia="Times New Roman" w:hAnsi="Times New Roman" w:cs="Times New Roman"/>
                <w:color w:val="467886" w:themeColor="hyperlink"/>
                <w:sz w:val="20"/>
                <w:szCs w:val="20"/>
                <w:u w:val="single"/>
                <w:lang w:eastAsia="en-ZA"/>
              </w:rPr>
            </w:pPr>
            <w:r w:rsidRPr="00505E10">
              <w:rPr>
                <w:rFonts w:ascii="Times New Roman" w:eastAsia="Times New Roman" w:hAnsi="Times New Roman" w:cs="Times New Roman"/>
                <w:color w:val="000000"/>
                <w:sz w:val="20"/>
                <w:szCs w:val="20"/>
                <w:lang w:eastAsia="en-ZA"/>
              </w:rPr>
              <w:t xml:space="preserve">European Commission 2022, Directorate-General for Environment, Study on invasive alien species – Development of risk assessments to tackle priority species and enhance prevention – Final report (and annexes), Publications Office of the European Union, 2022, </w:t>
            </w:r>
            <w:hyperlink w:history="1">
              <w:r w:rsidRPr="00505E10">
                <w:rPr>
                  <w:rStyle w:val="Hyperlink"/>
                  <w:rFonts w:ascii="Times New Roman" w:eastAsia="Times New Roman" w:hAnsi="Times New Roman" w:cs="Times New Roman"/>
                  <w:sz w:val="20"/>
                  <w:szCs w:val="20"/>
                  <w:lang w:eastAsia="en-ZA"/>
                </w:rPr>
                <w:t>https://data.europa.eu/doi/10.2779/302048</w:t>
              </w:r>
            </w:hyperlink>
          </w:p>
          <w:p w14:paraId="12D7CE9F" w14:textId="77777777" w:rsidR="002D7080" w:rsidRPr="00505E10" w:rsidRDefault="002D7080" w:rsidP="002E2C37">
            <w:pPr>
              <w:ind w:left="540" w:hanging="540"/>
              <w:contextualSpacing/>
              <w:jc w:val="both"/>
              <w:rPr>
                <w:rFonts w:ascii="Times New Roman" w:eastAsia="Times New Roman" w:hAnsi="Times New Roman" w:cs="Times New Roman"/>
                <w:color w:val="467886" w:themeColor="hyperlink"/>
                <w:sz w:val="20"/>
                <w:szCs w:val="20"/>
                <w:u w:val="single"/>
                <w:lang w:eastAsia="en-ZA"/>
              </w:rPr>
            </w:pPr>
            <w:r w:rsidRPr="00505E10">
              <w:rPr>
                <w:rFonts w:ascii="Times New Roman" w:eastAsia="Times New Roman" w:hAnsi="Times New Roman" w:cs="Times New Roman"/>
                <w:color w:val="000000"/>
                <w:sz w:val="20"/>
                <w:szCs w:val="20"/>
                <w:lang w:eastAsia="en-ZA"/>
              </w:rPr>
              <w:t xml:space="preserve">Keller, R.P., Frang, K. &amp; Lodge, D.M., 2008, ‘Preventing the spread of invasive species: Economic benefits of intervention guided by ecological predictions’, </w:t>
            </w:r>
            <w:r w:rsidRPr="00505E10">
              <w:rPr>
                <w:rFonts w:ascii="Times New Roman" w:eastAsia="Times New Roman" w:hAnsi="Times New Roman" w:cs="Times New Roman"/>
                <w:i/>
                <w:iCs/>
                <w:color w:val="000000"/>
                <w:sz w:val="20"/>
                <w:szCs w:val="20"/>
                <w:lang w:eastAsia="en-ZA"/>
              </w:rPr>
              <w:t>Conservation Biology</w:t>
            </w:r>
            <w:r w:rsidRPr="00505E10">
              <w:rPr>
                <w:rFonts w:ascii="Times New Roman" w:eastAsia="Times New Roman" w:hAnsi="Times New Roman" w:cs="Times New Roman"/>
                <w:color w:val="000000"/>
                <w:sz w:val="20"/>
                <w:szCs w:val="20"/>
                <w:lang w:eastAsia="en-ZA"/>
              </w:rPr>
              <w:t xml:space="preserve">, </w:t>
            </w:r>
            <w:r w:rsidRPr="00505E10">
              <w:rPr>
                <w:rFonts w:ascii="Times New Roman" w:eastAsia="Times New Roman" w:hAnsi="Times New Roman" w:cs="Times New Roman"/>
                <w:iCs/>
                <w:color w:val="000000"/>
                <w:sz w:val="20"/>
                <w:szCs w:val="20"/>
                <w:lang w:eastAsia="en-ZA"/>
              </w:rPr>
              <w:t xml:space="preserve">22, </w:t>
            </w:r>
            <w:r w:rsidRPr="00505E10">
              <w:rPr>
                <w:rFonts w:ascii="Times New Roman" w:eastAsia="Times New Roman" w:hAnsi="Times New Roman" w:cs="Times New Roman"/>
                <w:color w:val="000000"/>
                <w:sz w:val="20"/>
                <w:szCs w:val="20"/>
                <w:lang w:eastAsia="en-ZA"/>
              </w:rPr>
              <w:t>80–88.</w:t>
            </w:r>
            <w:r w:rsidRPr="00505E10">
              <w:rPr>
                <w:rFonts w:ascii="Times New Roman" w:hAnsi="Times New Roman" w:cs="Times New Roman"/>
                <w:sz w:val="20"/>
                <w:szCs w:val="20"/>
              </w:rPr>
              <w:t xml:space="preserve"> </w:t>
            </w:r>
            <w:hyperlink r:id="rId204" w:history="1">
              <w:r w:rsidRPr="00505E10">
                <w:rPr>
                  <w:rStyle w:val="Hyperlink"/>
                  <w:rFonts w:ascii="Times New Roman" w:eastAsia="Times New Roman" w:hAnsi="Times New Roman" w:cs="Times New Roman"/>
                  <w:bCs/>
                  <w:sz w:val="20"/>
                  <w:szCs w:val="20"/>
                  <w:lang w:eastAsia="en-ZA"/>
                </w:rPr>
                <w:t>https://doi.org/10.1111/j.1523-1739.2007.00811.x</w:t>
              </w:r>
            </w:hyperlink>
          </w:p>
          <w:p w14:paraId="7C1E6507" w14:textId="63824505" w:rsidR="002D7080" w:rsidRPr="00505E10" w:rsidRDefault="002D7080" w:rsidP="00505E10">
            <w:pPr>
              <w:ind w:left="540" w:hanging="540"/>
              <w:contextualSpacing/>
              <w:jc w:val="both"/>
              <w:rPr>
                <w:rFonts w:ascii="Times New Roman" w:hAnsi="Times New Roman" w:cs="Times New Roman"/>
                <w:sz w:val="20"/>
                <w:szCs w:val="20"/>
              </w:rPr>
            </w:pPr>
            <w:r w:rsidRPr="00505E10">
              <w:rPr>
                <w:rFonts w:ascii="Times New Roman" w:eastAsia="Times New Roman" w:hAnsi="Times New Roman" w:cs="Times New Roman"/>
                <w:color w:val="000000"/>
                <w:sz w:val="20"/>
                <w:szCs w:val="20"/>
                <w:lang w:eastAsia="en-ZA"/>
              </w:rPr>
              <w:t>Klocker, C.A. &amp; Strayer, D.L., 2004, ‘Interactions among an invasive crayfish (</w:t>
            </w:r>
            <w:r w:rsidRPr="00505E10">
              <w:rPr>
                <w:rFonts w:ascii="Times New Roman" w:eastAsia="Times New Roman" w:hAnsi="Times New Roman" w:cs="Times New Roman"/>
                <w:i/>
                <w:color w:val="000000"/>
                <w:sz w:val="20"/>
                <w:szCs w:val="20"/>
                <w:lang w:eastAsia="en-ZA"/>
              </w:rPr>
              <w:t>Orconectes rusticus</w:t>
            </w:r>
            <w:r w:rsidRPr="00505E10">
              <w:rPr>
                <w:rFonts w:ascii="Times New Roman" w:eastAsia="Times New Roman" w:hAnsi="Times New Roman" w:cs="Times New Roman"/>
                <w:color w:val="000000"/>
                <w:sz w:val="20"/>
                <w:szCs w:val="20"/>
                <w:lang w:eastAsia="en-ZA"/>
              </w:rPr>
              <w:t>), a native crayfish (</w:t>
            </w:r>
            <w:r w:rsidRPr="00505E10">
              <w:rPr>
                <w:rFonts w:ascii="Times New Roman" w:eastAsia="Times New Roman" w:hAnsi="Times New Roman" w:cs="Times New Roman"/>
                <w:i/>
                <w:color w:val="000000"/>
                <w:sz w:val="20"/>
                <w:szCs w:val="20"/>
                <w:lang w:eastAsia="en-ZA"/>
              </w:rPr>
              <w:t>Orconectes limosus</w:t>
            </w:r>
            <w:r w:rsidRPr="00505E10">
              <w:rPr>
                <w:rFonts w:ascii="Times New Roman" w:eastAsia="Times New Roman" w:hAnsi="Times New Roman" w:cs="Times New Roman"/>
                <w:color w:val="000000"/>
                <w:sz w:val="20"/>
                <w:szCs w:val="20"/>
                <w:lang w:eastAsia="en-ZA"/>
              </w:rPr>
              <w:t xml:space="preserve">), and native bivalves (Sphaeriidae and Unionidae)’, </w:t>
            </w:r>
            <w:r w:rsidRPr="00505E10">
              <w:rPr>
                <w:rFonts w:ascii="Times New Roman" w:eastAsia="Times New Roman" w:hAnsi="Times New Roman" w:cs="Times New Roman"/>
                <w:i/>
                <w:iCs/>
                <w:color w:val="000000"/>
                <w:sz w:val="20"/>
                <w:szCs w:val="20"/>
                <w:lang w:eastAsia="en-ZA"/>
              </w:rPr>
              <w:t>Northeastern Naturalist</w:t>
            </w:r>
            <w:r w:rsidRPr="00505E10">
              <w:rPr>
                <w:rFonts w:ascii="Times New Roman" w:eastAsia="Times New Roman" w:hAnsi="Times New Roman" w:cs="Times New Roman"/>
                <w:color w:val="000000"/>
                <w:sz w:val="20"/>
                <w:szCs w:val="20"/>
                <w:lang w:eastAsia="en-ZA"/>
              </w:rPr>
              <w:t xml:space="preserve">, </w:t>
            </w:r>
            <w:r w:rsidRPr="00505E10">
              <w:rPr>
                <w:rFonts w:ascii="Times New Roman" w:eastAsia="Times New Roman" w:hAnsi="Times New Roman" w:cs="Times New Roman"/>
                <w:iCs/>
                <w:color w:val="000000"/>
                <w:sz w:val="20"/>
                <w:szCs w:val="20"/>
                <w:lang w:eastAsia="en-ZA"/>
              </w:rPr>
              <w:t xml:space="preserve">11, </w:t>
            </w:r>
            <w:r w:rsidRPr="00505E10">
              <w:rPr>
                <w:rFonts w:ascii="Times New Roman" w:eastAsia="Times New Roman" w:hAnsi="Times New Roman" w:cs="Times New Roman"/>
                <w:color w:val="000000"/>
                <w:sz w:val="20"/>
                <w:szCs w:val="20"/>
                <w:lang w:eastAsia="en-ZA"/>
              </w:rPr>
              <w:t xml:space="preserve">167–178. </w:t>
            </w:r>
            <w:hyperlink r:id="rId205" w:history="1">
              <w:r w:rsidR="00505E10" w:rsidRPr="00505E10">
                <w:rPr>
                  <w:rStyle w:val="Hyperlink"/>
                  <w:rFonts w:ascii="Times New Roman" w:hAnsi="Times New Roman" w:cs="Times New Roman"/>
                  <w:sz w:val="20"/>
                  <w:szCs w:val="20"/>
                </w:rPr>
                <w:t>https://doi.org/10.1656/1092-6194(2004)011[0167:IAAICO]2.0.CO;2</w:t>
              </w:r>
            </w:hyperlink>
            <w:r w:rsidR="00505E10" w:rsidRPr="00505E10">
              <w:rPr>
                <w:rFonts w:ascii="Times New Roman" w:hAnsi="Times New Roman" w:cs="Times New Roman"/>
                <w:sz w:val="20"/>
                <w:szCs w:val="20"/>
              </w:rPr>
              <w:t xml:space="preserve">. </w:t>
            </w:r>
          </w:p>
          <w:p w14:paraId="3516B162" w14:textId="730E4399" w:rsidR="002D7080" w:rsidRPr="00505E10" w:rsidRDefault="002D7080" w:rsidP="002E2C37">
            <w:pPr>
              <w:ind w:left="540" w:hanging="540"/>
              <w:contextualSpacing/>
              <w:jc w:val="both"/>
              <w:rPr>
                <w:rFonts w:ascii="Times New Roman" w:eastAsia="Times New Roman" w:hAnsi="Times New Roman" w:cs="Times New Roman"/>
                <w:color w:val="000000"/>
                <w:sz w:val="20"/>
                <w:szCs w:val="20"/>
                <w:lang w:eastAsia="en-ZA"/>
              </w:rPr>
            </w:pPr>
            <w:r w:rsidRPr="00505E10">
              <w:rPr>
                <w:rFonts w:ascii="Times New Roman" w:eastAsia="Times New Roman" w:hAnsi="Times New Roman" w:cs="Times New Roman"/>
                <w:color w:val="000000"/>
                <w:sz w:val="20"/>
                <w:szCs w:val="20"/>
                <w:lang w:eastAsia="en-ZA"/>
              </w:rPr>
              <w:t>Kreps, T.A., Baldridge, A.K. &amp; Lodge, D.M., 2012, ‘The impact of an invasive predator (</w:t>
            </w:r>
            <w:r w:rsidRPr="00505E10">
              <w:rPr>
                <w:rFonts w:ascii="Times New Roman" w:eastAsia="Times New Roman" w:hAnsi="Times New Roman" w:cs="Times New Roman"/>
                <w:i/>
                <w:color w:val="000000"/>
                <w:sz w:val="20"/>
                <w:szCs w:val="20"/>
                <w:lang w:eastAsia="en-ZA"/>
              </w:rPr>
              <w:t xml:space="preserve">Orconectes </w:t>
            </w:r>
            <w:r w:rsidRPr="00505E10">
              <w:rPr>
                <w:rFonts w:ascii="Times New Roman" w:eastAsia="Times New Roman" w:hAnsi="Times New Roman" w:cs="Times New Roman"/>
                <w:i/>
                <w:color w:val="000000"/>
                <w:sz w:val="20"/>
                <w:szCs w:val="20"/>
                <w:lang w:eastAsia="en-ZA"/>
              </w:rPr>
              <w:tab/>
              <w:t>rusticus</w:t>
            </w:r>
            <w:r w:rsidRPr="00505E10">
              <w:rPr>
                <w:rFonts w:ascii="Times New Roman" w:eastAsia="Times New Roman" w:hAnsi="Times New Roman" w:cs="Times New Roman"/>
                <w:color w:val="000000"/>
                <w:sz w:val="20"/>
                <w:szCs w:val="20"/>
                <w:lang w:eastAsia="en-ZA"/>
              </w:rPr>
              <w:t xml:space="preserve">) on freshwater snail communities: Insights on habitat-specific effects from a multilake long-term study’, </w:t>
            </w:r>
            <w:r w:rsidRPr="00505E10">
              <w:rPr>
                <w:rFonts w:ascii="Times New Roman" w:eastAsia="Times New Roman" w:hAnsi="Times New Roman" w:cs="Times New Roman"/>
                <w:i/>
                <w:iCs/>
                <w:color w:val="000000"/>
                <w:sz w:val="20"/>
                <w:szCs w:val="20"/>
                <w:lang w:eastAsia="en-ZA"/>
              </w:rPr>
              <w:t>Canadian Journal of Fisheries and Aquatic Sciences</w:t>
            </w:r>
            <w:r w:rsidRPr="00505E10">
              <w:rPr>
                <w:rFonts w:ascii="Times New Roman" w:eastAsia="Times New Roman" w:hAnsi="Times New Roman" w:cs="Times New Roman"/>
                <w:color w:val="000000"/>
                <w:sz w:val="20"/>
                <w:szCs w:val="20"/>
                <w:lang w:eastAsia="en-ZA"/>
              </w:rPr>
              <w:t xml:space="preserve">, </w:t>
            </w:r>
            <w:r w:rsidRPr="00505E10">
              <w:rPr>
                <w:rFonts w:ascii="Times New Roman" w:eastAsia="Times New Roman" w:hAnsi="Times New Roman" w:cs="Times New Roman"/>
                <w:iCs/>
                <w:color w:val="000000"/>
                <w:sz w:val="20"/>
                <w:szCs w:val="20"/>
                <w:lang w:eastAsia="en-ZA"/>
              </w:rPr>
              <w:t xml:space="preserve">69, </w:t>
            </w:r>
            <w:r w:rsidRPr="00505E10">
              <w:rPr>
                <w:rFonts w:ascii="Times New Roman" w:eastAsia="Times New Roman" w:hAnsi="Times New Roman" w:cs="Times New Roman"/>
                <w:color w:val="000000"/>
                <w:sz w:val="20"/>
                <w:szCs w:val="20"/>
                <w:lang w:eastAsia="en-ZA"/>
              </w:rPr>
              <w:t>1164–1173.</w:t>
            </w:r>
            <w:r w:rsidRPr="00505E10">
              <w:rPr>
                <w:rFonts w:ascii="Times New Roman" w:hAnsi="Times New Roman" w:cs="Times New Roman"/>
                <w:sz w:val="20"/>
                <w:szCs w:val="20"/>
              </w:rPr>
              <w:t xml:space="preserve"> </w:t>
            </w:r>
            <w:hyperlink r:id="rId206" w:history="1">
              <w:r w:rsidR="00505E10" w:rsidRPr="00505E10">
                <w:rPr>
                  <w:rStyle w:val="Hyperlink"/>
                  <w:rFonts w:ascii="Times New Roman" w:hAnsi="Times New Roman" w:cs="Times New Roman"/>
                  <w:sz w:val="20"/>
                  <w:szCs w:val="20"/>
                </w:rPr>
                <w:t>https://doi.org/10.1139/f2012-052</w:t>
              </w:r>
            </w:hyperlink>
          </w:p>
          <w:p w14:paraId="429FCF8C" w14:textId="32C5A0B9" w:rsidR="002D7080" w:rsidRPr="00505E10" w:rsidRDefault="002D7080" w:rsidP="002E2C37">
            <w:pPr>
              <w:ind w:left="540" w:hanging="540"/>
              <w:contextualSpacing/>
              <w:jc w:val="both"/>
              <w:rPr>
                <w:rFonts w:ascii="Times New Roman" w:eastAsia="Times New Roman" w:hAnsi="Times New Roman" w:cs="Times New Roman"/>
                <w:color w:val="000000"/>
                <w:sz w:val="20"/>
                <w:szCs w:val="20"/>
                <w:lang w:eastAsia="en-ZA"/>
              </w:rPr>
            </w:pPr>
            <w:r w:rsidRPr="00505E10">
              <w:rPr>
                <w:rFonts w:ascii="Times New Roman" w:eastAsia="Calibri" w:hAnsi="Times New Roman" w:cs="Times New Roman"/>
                <w:sz w:val="20"/>
                <w:szCs w:val="20"/>
              </w:rPr>
              <w:lastRenderedPageBreak/>
              <w:t xml:space="preserve">Lodge, D.M., Deines, A., Gherardi, F., Yeo, D.C.J, Arcella, T., Baldridge, A.K., Branes, M.A., Chadderton, W.L., Feder, J.L., Grantz, C.A., Howard, G.W., Jerdde, C.L., Peters, J.A., Sargent, L.W., Turner, C.R., Wittmann, M.E. &amp; Zeng Y, 2012, ‘Global introductions of crayfishes: evaluating the impact of species invasions on ecosystem services’, </w:t>
            </w:r>
            <w:r w:rsidRPr="00505E10">
              <w:rPr>
                <w:rFonts w:ascii="Times New Roman" w:eastAsia="Calibri" w:hAnsi="Times New Roman" w:cs="Times New Roman"/>
                <w:i/>
                <w:sz w:val="20"/>
                <w:szCs w:val="20"/>
              </w:rPr>
              <w:t>Annual Review of Ecology, Evolution and Systematics</w:t>
            </w:r>
            <w:r w:rsidRPr="00505E10">
              <w:rPr>
                <w:rFonts w:ascii="Times New Roman" w:eastAsia="Calibri" w:hAnsi="Times New Roman" w:cs="Times New Roman"/>
                <w:iCs/>
                <w:sz w:val="20"/>
                <w:szCs w:val="20"/>
              </w:rPr>
              <w:t>,</w:t>
            </w:r>
            <w:r w:rsidRPr="00505E10">
              <w:rPr>
                <w:rFonts w:ascii="Times New Roman" w:eastAsia="Calibri" w:hAnsi="Times New Roman" w:cs="Times New Roman"/>
                <w:sz w:val="20"/>
                <w:szCs w:val="20"/>
              </w:rPr>
              <w:t xml:space="preserve"> 43, 449</w:t>
            </w:r>
            <w:r w:rsidRPr="00505E10">
              <w:rPr>
                <w:rFonts w:ascii="Times New Roman" w:eastAsia="Times New Roman" w:hAnsi="Times New Roman" w:cs="Times New Roman"/>
                <w:color w:val="000000"/>
                <w:sz w:val="20"/>
                <w:szCs w:val="20"/>
                <w:lang w:eastAsia="en-ZA"/>
              </w:rPr>
              <w:t>–</w:t>
            </w:r>
            <w:r w:rsidRPr="00505E10">
              <w:rPr>
                <w:rFonts w:ascii="Times New Roman" w:eastAsia="Calibri" w:hAnsi="Times New Roman" w:cs="Times New Roman"/>
                <w:sz w:val="20"/>
                <w:szCs w:val="20"/>
              </w:rPr>
              <w:t xml:space="preserve">72. </w:t>
            </w:r>
            <w:r w:rsidR="00505E10" w:rsidRPr="00505E10">
              <w:rPr>
                <w:rFonts w:ascii="Times New Roman" w:hAnsi="Times New Roman" w:cs="Times New Roman"/>
                <w:sz w:val="20"/>
                <w:szCs w:val="20"/>
              </w:rPr>
              <w:t>https://doi.org/10.1146/annurev-ecolsys-111511-103919</w:t>
            </w:r>
            <w:r w:rsidRPr="00505E10">
              <w:rPr>
                <w:rFonts w:ascii="Times New Roman" w:eastAsia="Calibri" w:hAnsi="Times New Roman" w:cs="Times New Roman"/>
                <w:sz w:val="18"/>
                <w:szCs w:val="18"/>
              </w:rPr>
              <w:t>.</w:t>
            </w:r>
          </w:p>
          <w:p w14:paraId="07EA0AA0" w14:textId="75509EE8" w:rsidR="002D7080" w:rsidRPr="00505E10" w:rsidRDefault="002D7080" w:rsidP="002E2C37">
            <w:pPr>
              <w:ind w:left="540" w:hanging="540"/>
              <w:contextualSpacing/>
              <w:jc w:val="both"/>
              <w:rPr>
                <w:rFonts w:ascii="Times New Roman" w:eastAsia="Times New Roman" w:hAnsi="Times New Roman" w:cs="Times New Roman"/>
                <w:color w:val="000000"/>
                <w:sz w:val="20"/>
                <w:szCs w:val="20"/>
                <w:lang w:eastAsia="en-ZA"/>
              </w:rPr>
            </w:pPr>
            <w:r w:rsidRPr="00505E10">
              <w:rPr>
                <w:rFonts w:ascii="Times New Roman" w:eastAsia="Times New Roman" w:hAnsi="Times New Roman" w:cs="Times New Roman"/>
                <w:color w:val="000000"/>
                <w:sz w:val="20"/>
                <w:szCs w:val="20"/>
                <w:lang w:eastAsia="en-ZA"/>
              </w:rPr>
              <w:t>Roth, B.M., Hein, C.L. &amp; Vander Zanden, M.J., 2006, ‘Using bioenergetics and stable isotopes to assess the trophic role of rusty crayfish (</w:t>
            </w:r>
            <w:r w:rsidRPr="00505E10">
              <w:rPr>
                <w:rFonts w:ascii="Times New Roman" w:eastAsia="Times New Roman" w:hAnsi="Times New Roman" w:cs="Times New Roman"/>
                <w:i/>
                <w:color w:val="000000"/>
                <w:sz w:val="20"/>
                <w:szCs w:val="20"/>
                <w:lang w:eastAsia="en-ZA"/>
              </w:rPr>
              <w:t>Orconectes rusticus</w:t>
            </w:r>
            <w:r w:rsidRPr="00505E10">
              <w:rPr>
                <w:rFonts w:ascii="Times New Roman" w:eastAsia="Times New Roman" w:hAnsi="Times New Roman" w:cs="Times New Roman"/>
                <w:color w:val="000000"/>
                <w:sz w:val="20"/>
                <w:szCs w:val="20"/>
                <w:lang w:eastAsia="en-ZA"/>
              </w:rPr>
              <w:t xml:space="preserve">) in lake littoral zones’, </w:t>
            </w:r>
            <w:r w:rsidRPr="00505E10">
              <w:rPr>
                <w:rFonts w:ascii="Times New Roman" w:eastAsia="Times New Roman" w:hAnsi="Times New Roman" w:cs="Times New Roman"/>
                <w:i/>
                <w:iCs/>
                <w:color w:val="000000"/>
                <w:sz w:val="20"/>
                <w:szCs w:val="20"/>
                <w:lang w:eastAsia="en-ZA"/>
              </w:rPr>
              <w:t>Canadian Journal of Fisheries and Aquatic Sciences</w:t>
            </w:r>
            <w:r w:rsidRPr="00505E10">
              <w:rPr>
                <w:rFonts w:ascii="Times New Roman" w:eastAsia="Times New Roman" w:hAnsi="Times New Roman" w:cs="Times New Roman"/>
                <w:color w:val="000000"/>
                <w:sz w:val="20"/>
                <w:szCs w:val="20"/>
                <w:lang w:eastAsia="en-ZA"/>
              </w:rPr>
              <w:t xml:space="preserve">, </w:t>
            </w:r>
            <w:r w:rsidRPr="00505E10">
              <w:rPr>
                <w:rFonts w:ascii="Times New Roman" w:eastAsia="Times New Roman" w:hAnsi="Times New Roman" w:cs="Times New Roman"/>
                <w:iCs/>
                <w:color w:val="000000"/>
                <w:sz w:val="20"/>
                <w:szCs w:val="20"/>
                <w:lang w:eastAsia="en-ZA"/>
              </w:rPr>
              <w:t>63,</w:t>
            </w:r>
            <w:r w:rsidRPr="00505E10">
              <w:rPr>
                <w:rFonts w:ascii="Times New Roman" w:eastAsia="Times New Roman" w:hAnsi="Times New Roman" w:cs="Times New Roman"/>
                <w:color w:val="000000"/>
                <w:sz w:val="20"/>
                <w:szCs w:val="20"/>
                <w:lang w:eastAsia="en-ZA"/>
              </w:rPr>
              <w:t xml:space="preserve"> 335–344. </w:t>
            </w:r>
            <w:hyperlink r:id="rId207" w:history="1">
              <w:r w:rsidR="00505E10" w:rsidRPr="00505E10">
                <w:rPr>
                  <w:rStyle w:val="Hyperlink"/>
                  <w:rFonts w:ascii="Times New Roman" w:hAnsi="Times New Roman" w:cs="Times New Roman"/>
                  <w:sz w:val="20"/>
                  <w:szCs w:val="20"/>
                </w:rPr>
                <w:t>https://doi.org/10.1139/f05-217</w:t>
              </w:r>
            </w:hyperlink>
            <w:r w:rsidRPr="00505E10">
              <w:rPr>
                <w:rFonts w:ascii="Times New Roman" w:eastAsia="Times New Roman" w:hAnsi="Times New Roman" w:cs="Times New Roman"/>
                <w:color w:val="000000"/>
                <w:sz w:val="18"/>
                <w:szCs w:val="18"/>
                <w:lang w:eastAsia="en-ZA"/>
              </w:rPr>
              <w:t>.</w:t>
            </w:r>
          </w:p>
          <w:p w14:paraId="38A64AA8" w14:textId="77777777" w:rsidR="002D7080" w:rsidRPr="004D1E6F" w:rsidRDefault="002D7080" w:rsidP="002E2C37">
            <w:pPr>
              <w:ind w:left="540" w:hanging="540"/>
              <w:contextualSpacing/>
              <w:jc w:val="both"/>
              <w:rPr>
                <w:rFonts w:ascii="Times New Roman" w:eastAsia="Times New Roman" w:hAnsi="Times New Roman" w:cs="Times New Roman"/>
                <w:color w:val="467886" w:themeColor="hyperlink"/>
                <w:sz w:val="20"/>
                <w:szCs w:val="20"/>
                <w:u w:val="single"/>
                <w:lang w:eastAsia="en-ZA"/>
              </w:rPr>
            </w:pPr>
            <w:r w:rsidRPr="00505E10">
              <w:rPr>
                <w:rFonts w:ascii="Times New Roman" w:eastAsia="Times New Roman" w:hAnsi="Times New Roman" w:cs="Times New Roman"/>
                <w:sz w:val="20"/>
                <w:szCs w:val="20"/>
                <w:lang w:eastAsia="en-ZA"/>
              </w:rPr>
              <w:t>Soes, M. &amp; Koese, B., 2010, Invasive freshwater crayfish in the Netherlands: a preliminary risk analysis. </w:t>
            </w:r>
            <w:r w:rsidRPr="00505E10">
              <w:rPr>
                <w:rFonts w:ascii="Times New Roman" w:eastAsia="Times New Roman" w:hAnsi="Times New Roman" w:cs="Times New Roman"/>
                <w:iCs/>
                <w:sz w:val="20"/>
                <w:szCs w:val="20"/>
                <w:lang w:eastAsia="en-ZA"/>
              </w:rPr>
              <w:t>Invasive freshwater crayfish in the Netherlands: a preliminary risk analysis</w:t>
            </w:r>
            <w:r w:rsidRPr="00505E10">
              <w:rPr>
                <w:rFonts w:ascii="Times New Roman" w:eastAsia="Times New Roman" w:hAnsi="Times New Roman" w:cs="Times New Roman"/>
                <w:color w:val="000000"/>
                <w:sz w:val="20"/>
                <w:szCs w:val="20"/>
                <w:lang w:eastAsia="en-ZA"/>
              </w:rPr>
              <w:t>.</w:t>
            </w:r>
          </w:p>
        </w:tc>
      </w:tr>
    </w:tbl>
    <w:p w14:paraId="10EC7202" w14:textId="77777777" w:rsidR="002D7080" w:rsidRPr="004D1E6F" w:rsidRDefault="002D7080" w:rsidP="002D7080">
      <w:pPr>
        <w:spacing w:after="0" w:line="240" w:lineRule="auto"/>
        <w:rPr>
          <w:rFonts w:ascii="Times New Roman" w:eastAsia="Calibri" w:hAnsi="Times New Roman" w:cs="Times New Roman"/>
          <w:b/>
          <w:sz w:val="24"/>
          <w:szCs w:val="24"/>
        </w:rPr>
      </w:pPr>
    </w:p>
    <w:p w14:paraId="59DE6C39" w14:textId="77777777" w:rsidR="002D7080" w:rsidRPr="004D1E6F" w:rsidRDefault="002D7080" w:rsidP="002D7080">
      <w:pPr>
        <w:spacing w:after="0" w:line="240" w:lineRule="auto"/>
        <w:rPr>
          <w:rFonts w:ascii="Times New Roman" w:eastAsia="Calibri" w:hAnsi="Times New Roman" w:cs="Times New Roman"/>
          <w:b/>
          <w:sz w:val="24"/>
          <w:szCs w:val="24"/>
        </w:rPr>
      </w:pPr>
      <w:r w:rsidRPr="004D1E6F">
        <w:rPr>
          <w:rFonts w:ascii="Times New Roman" w:eastAsia="Times New Roman" w:hAnsi="Times New Roman" w:cs="Times New Roman"/>
          <w:b/>
          <w:color w:val="000000"/>
          <w:sz w:val="20"/>
          <w:szCs w:val="20"/>
          <w:lang w:eastAsia="en-ZA"/>
        </w:rPr>
        <w:t>4. Management</w:t>
      </w:r>
    </w:p>
    <w:p w14:paraId="44EABB12"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7"/>
        <w:tblW w:w="9018" w:type="dxa"/>
        <w:tblLook w:val="04A0" w:firstRow="1" w:lastRow="0" w:firstColumn="1" w:lastColumn="0" w:noHBand="0" w:noVBand="1"/>
      </w:tblPr>
      <w:tblGrid>
        <w:gridCol w:w="5240"/>
        <w:gridCol w:w="3778"/>
      </w:tblGrid>
      <w:tr w:rsidR="002D7080" w:rsidRPr="004D1E6F" w14:paraId="2C666418" w14:textId="77777777" w:rsidTr="002E2C37">
        <w:trPr>
          <w:trHeight w:val="343"/>
        </w:trPr>
        <w:tc>
          <w:tcPr>
            <w:tcW w:w="9018" w:type="dxa"/>
            <w:gridSpan w:val="2"/>
            <w:shd w:val="clear" w:color="auto" w:fill="F2F2F2" w:themeFill="background1" w:themeFillShade="F2"/>
          </w:tcPr>
          <w:p w14:paraId="7C177EBF"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MAN1 What is the feasibility to stop future immigration?</w:t>
            </w:r>
          </w:p>
        </w:tc>
      </w:tr>
      <w:tr w:rsidR="002D7080" w:rsidRPr="004D1E6F" w14:paraId="2F505589" w14:textId="77777777" w:rsidTr="002E2C37">
        <w:trPr>
          <w:trHeight w:val="172"/>
        </w:trPr>
        <w:tc>
          <w:tcPr>
            <w:tcW w:w="5240" w:type="dxa"/>
          </w:tcPr>
          <w:p w14:paraId="6F1AA63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High</w:t>
            </w:r>
          </w:p>
        </w:tc>
        <w:tc>
          <w:tcPr>
            <w:tcW w:w="3778" w:type="dxa"/>
          </w:tcPr>
          <w:p w14:paraId="6C66657D"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499836B1" w14:textId="77777777" w:rsidTr="002E2C37">
        <w:trPr>
          <w:trHeight w:val="343"/>
        </w:trPr>
        <w:tc>
          <w:tcPr>
            <w:tcW w:w="9018" w:type="dxa"/>
            <w:gridSpan w:val="2"/>
          </w:tcPr>
          <w:p w14:paraId="37EE3C9D"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sidRPr="00500847">
              <w:rPr>
                <w:rFonts w:ascii="Times New Roman" w:eastAsia="Times New Roman" w:hAnsi="Times New Roman" w:cs="Times New Roman"/>
                <w:i/>
                <w:iCs/>
                <w:sz w:val="20"/>
                <w:szCs w:val="20"/>
                <w:lang w:eastAsia="en-ZA"/>
              </w:rPr>
              <w:t xml:space="preserve"> Faxonius </w:t>
            </w:r>
            <w:r>
              <w:rPr>
                <w:rFonts w:ascii="Times New Roman" w:eastAsia="Times New Roman" w:hAnsi="Times New Roman" w:cs="Times New Roman"/>
                <w:i/>
                <w:iCs/>
                <w:sz w:val="20"/>
                <w:szCs w:val="20"/>
                <w:lang w:eastAsia="en-ZA"/>
              </w:rPr>
              <w:t>immunis</w:t>
            </w:r>
            <w:r w:rsidRPr="00500847">
              <w:rPr>
                <w:rFonts w:ascii="Times New Roman" w:eastAsia="Times New Roman" w:hAnsi="Times New Roman" w:cs="Times New Roman"/>
                <w:i/>
                <w:iCs/>
                <w:sz w:val="20"/>
                <w:szCs w:val="20"/>
                <w:lang w:eastAsia="en-ZA"/>
              </w:rPr>
              <w:t xml:space="preserve"> </w:t>
            </w:r>
            <w:r w:rsidRPr="00500847">
              <w:rPr>
                <w:rFonts w:ascii="Times New Roman" w:eastAsia="Times New Roman" w:hAnsi="Times New Roman" w:cs="Times New Roman"/>
                <w:sz w:val="20"/>
                <w:szCs w:val="20"/>
                <w:lang w:eastAsia="en-ZA"/>
              </w:rPr>
              <w:t xml:space="preserve">is known to be present in the pet trade industry in Germany and the USA </w:t>
            </w:r>
            <w:r w:rsidRPr="00500847">
              <w:rPr>
                <w:rFonts w:ascii="Times New Roman" w:eastAsia="Times New Roman" w:hAnsi="Times New Roman" w:cs="Times New Roman"/>
                <w:sz w:val="20"/>
                <w:szCs w:val="20"/>
                <w:lang w:eastAsia="en-ZA"/>
              </w:rPr>
              <w:fldChar w:fldCharType="begin" w:fldLock="1"/>
            </w:r>
            <w:r w:rsidRPr="00500847">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"id" : "ITEM-2", "itemData" : { "DOI" : "10.1007/s10530-012-0273-2", "author" : [ { "dropping-particle" : "", "family" : "Chucholl", "given" : "Christoph", "non-dropping-particle" : "", "parse-names" : false, "suffix" : "" } ], "id" : "ITEM-2", "issued" : { "date-parts" : [ [ "2013" ] ] }, "page" : "125-141", "title" : "Invaders for sale : trade and determinants of introduction of ornamental freshwater crayfish", "type" : "article-journal" }, "uris" : [ "http://www.mendeley.com/documents/?uuid=a0511d26-a75d-4f96-93d3-d105f06fe13f" ] } ], "mendeley" : { "formattedCitation" : "(Chucholl 2013, Faulkes 2015)", "plainTextFormattedCitation" : "(Chucholl 2013, Faulkes 2015)" }, "properties" : { "noteIndex" : 0 }, "schema" : "https://github.com/citation-style-language/schema/raw/master/csl-citation.json" }</w:instrText>
            </w:r>
            <w:r w:rsidRPr="00500847">
              <w:rPr>
                <w:rFonts w:ascii="Times New Roman" w:eastAsia="Times New Roman" w:hAnsi="Times New Roman" w:cs="Times New Roman"/>
                <w:sz w:val="20"/>
                <w:szCs w:val="20"/>
                <w:lang w:eastAsia="en-ZA"/>
              </w:rPr>
              <w:fldChar w:fldCharType="separate"/>
            </w:r>
            <w:r w:rsidRPr="00500847">
              <w:rPr>
                <w:rFonts w:ascii="Times New Roman" w:eastAsia="Times New Roman" w:hAnsi="Times New Roman" w:cs="Times New Roman"/>
                <w:sz w:val="20"/>
                <w:szCs w:val="20"/>
                <w:lang w:eastAsia="en-ZA"/>
              </w:rPr>
              <w:t>(Chucholl 2013; Faulkes 2015)</w:t>
            </w:r>
            <w:r w:rsidRPr="00500847">
              <w:rPr>
                <w:rFonts w:ascii="Times New Roman" w:eastAsia="Times New Roman" w:hAnsi="Times New Roman" w:cs="Times New Roman"/>
                <w:sz w:val="20"/>
                <w:szCs w:val="20"/>
                <w:lang w:eastAsia="en-ZA"/>
              </w:rPr>
              <w:fldChar w:fldCharType="end"/>
            </w:r>
            <w:r w:rsidRPr="00500847">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It</w:t>
            </w:r>
            <w:r w:rsidRPr="00500847">
              <w:rPr>
                <w:rFonts w:ascii="Times New Roman" w:eastAsia="Times New Roman" w:hAnsi="Times New Roman" w:cs="Times New Roman"/>
                <w:i/>
                <w:iCs/>
                <w:sz w:val="20"/>
                <w:szCs w:val="20"/>
                <w:lang w:eastAsia="en-ZA"/>
              </w:rPr>
              <w:t xml:space="preserve"> </w:t>
            </w:r>
            <w:r w:rsidRPr="00500847">
              <w:rPr>
                <w:rFonts w:ascii="Times New Roman" w:eastAsia="Times New Roman" w:hAnsi="Times New Roman" w:cs="Times New Roman"/>
                <w:sz w:val="20"/>
                <w:szCs w:val="20"/>
                <w:lang w:eastAsia="en-ZA"/>
              </w:rPr>
              <w:t xml:space="preserve">is also a popular bait species among anglers (Kerr 2014). There are no records of </w:t>
            </w:r>
            <w:r w:rsidRPr="00500847">
              <w:rPr>
                <w:rFonts w:ascii="Times New Roman" w:eastAsia="Times New Roman" w:hAnsi="Times New Roman" w:cs="Times New Roman"/>
                <w:i/>
                <w:iCs/>
                <w:sz w:val="20"/>
                <w:szCs w:val="20"/>
                <w:lang w:eastAsia="en-ZA"/>
              </w:rPr>
              <w:t>Faxonius</w:t>
            </w:r>
            <w:r>
              <w:rPr>
                <w:rFonts w:ascii="Times New Roman" w:eastAsia="Times New Roman" w:hAnsi="Times New Roman" w:cs="Times New Roman"/>
                <w:i/>
                <w:iCs/>
                <w:sz w:val="20"/>
                <w:szCs w:val="20"/>
                <w:lang w:eastAsia="en-ZA"/>
              </w:rPr>
              <w:t xml:space="preserve"> immunis</w:t>
            </w:r>
            <w:r w:rsidRPr="00500847">
              <w:rPr>
                <w:rFonts w:ascii="Times New Roman" w:eastAsia="Times New Roman" w:hAnsi="Times New Roman" w:cs="Times New Roman"/>
                <w:i/>
                <w:iCs/>
                <w:sz w:val="20"/>
                <w:szCs w:val="20"/>
                <w:lang w:eastAsia="en-ZA"/>
              </w:rPr>
              <w:t xml:space="preserve"> </w:t>
            </w:r>
            <w:r w:rsidRPr="00500847">
              <w:rPr>
                <w:rFonts w:ascii="Times New Roman" w:eastAsia="Times New Roman" w:hAnsi="Times New Roman" w:cs="Times New Roman"/>
                <w:sz w:val="20"/>
                <w:szCs w:val="20"/>
                <w:lang w:eastAsia="en-ZA"/>
              </w:rPr>
              <w:t>in South Africa but its potential presence in the</w:t>
            </w:r>
            <w:r w:rsidRPr="00500847">
              <w:rPr>
                <w:rFonts w:ascii="Times New Roman" w:eastAsia="Times New Roman" w:hAnsi="Times New Roman" w:cs="Times New Roman"/>
                <w:i/>
                <w:iCs/>
                <w:sz w:val="20"/>
                <w:szCs w:val="20"/>
                <w:lang w:eastAsia="en-ZA"/>
              </w:rPr>
              <w:t xml:space="preserve"> </w:t>
            </w:r>
            <w:r w:rsidRPr="00500847">
              <w:rPr>
                <w:rFonts w:ascii="Times New Roman" w:eastAsia="Times New Roman" w:hAnsi="Times New Roman" w:cs="Times New Roman"/>
                <w:sz w:val="20"/>
                <w:szCs w:val="20"/>
                <w:lang w:eastAsia="en-ZA"/>
              </w:rPr>
              <w:t>pet trade needs to be checked (Madzivanzira et al. 2021; Nunes et al. 2017). The species is absent in neighbouring countries, so unaided immigration is unlikely. Moreover, i</w:t>
            </w:r>
            <w:r w:rsidRPr="00500847">
              <w:rPr>
                <w:rStyle w:val="cf01"/>
                <w:rFonts w:ascii="Times New Roman" w:hAnsi="Times New Roman" w:cs="Times New Roman"/>
                <w:sz w:val="20"/>
                <w:szCs w:val="20"/>
              </w:rPr>
              <w:t xml:space="preserve">t should be possible to regulate intentional introductions legislative </w:t>
            </w:r>
            <w:r w:rsidRPr="00CC4478">
              <w:rPr>
                <w:rStyle w:val="cf01"/>
                <w:rFonts w:ascii="Times New Roman" w:hAnsi="Times New Roman" w:cs="Times New Roman"/>
                <w:sz w:val="20"/>
                <w:szCs w:val="20"/>
              </w:rPr>
              <w:t>regulations and having an effective border surveillance and monitoring strategy (Zengeya &amp; Wilson 2020; Wilson &amp; Kumschick 2024).</w:t>
            </w:r>
            <w:r w:rsidRPr="00500847">
              <w:rPr>
                <w:rStyle w:val="cf01"/>
                <w:rFonts w:ascii="Times New Roman" w:hAnsi="Times New Roman" w:cs="Times New Roman"/>
                <w:sz w:val="20"/>
                <w:szCs w:val="20"/>
              </w:rPr>
              <w:t xml:space="preserve"> </w:t>
            </w:r>
            <w:r w:rsidRPr="00500847">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w:t>
            </w:r>
          </w:p>
        </w:tc>
      </w:tr>
      <w:tr w:rsidR="002D7080" w:rsidRPr="004D1E6F" w14:paraId="4E0594D0" w14:textId="77777777" w:rsidTr="002E2C37">
        <w:trPr>
          <w:trHeight w:val="343"/>
        </w:trPr>
        <w:tc>
          <w:tcPr>
            <w:tcW w:w="9018" w:type="dxa"/>
            <w:gridSpan w:val="2"/>
          </w:tcPr>
          <w:p w14:paraId="6F76EE1A"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4099586D" w14:textId="24D58F20"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r w:rsidR="00484ECD" w:rsidRPr="008A0BC6">
              <w:rPr>
                <w:rFonts w:ascii="Times New Roman" w:hAnsi="Times New Roman" w:cs="Times New Roman"/>
                <w:sz w:val="20"/>
                <w:szCs w:val="20"/>
              </w:rPr>
              <w:t>https://doi.org/10.1007/s10530-012-0273-2</w:t>
            </w:r>
            <w:r w:rsidRPr="008A0BC6">
              <w:rPr>
                <w:rFonts w:ascii="Times New Roman" w:eastAsia="Times New Roman" w:hAnsi="Times New Roman" w:cs="Times New Roman"/>
                <w:sz w:val="18"/>
                <w:szCs w:val="18"/>
                <w:lang w:eastAsia="en-ZA"/>
              </w:rPr>
              <w:t>.</w:t>
            </w:r>
          </w:p>
          <w:p w14:paraId="55E22689" w14:textId="77777777" w:rsidR="002D7080" w:rsidRDefault="002D7080" w:rsidP="002E2C37">
            <w:pPr>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Faulkes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Z.</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2015</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The global trade in crayfish as pets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Crustacean Research</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44</w:t>
            </w:r>
            <w:r w:rsidRPr="004D1E6F">
              <w:rPr>
                <w:rFonts w:ascii="Times New Roman" w:eastAsia="Times New Roman" w:hAnsi="Times New Roman" w:cs="Times New Roman"/>
                <w:color w:val="000000"/>
                <w:sz w:val="20"/>
                <w:szCs w:val="20"/>
                <w:lang w:eastAsia="en-ZA"/>
              </w:rPr>
              <w:t>: 75–92.</w:t>
            </w:r>
          </w:p>
          <w:p w14:paraId="5FED46E9" w14:textId="2FE09492" w:rsidR="002D7080" w:rsidRDefault="002D7080" w:rsidP="002E2C37">
            <w:pPr>
              <w:ind w:left="360" w:hanging="360"/>
              <w:contextualSpacing/>
              <w:jc w:val="both"/>
              <w:rPr>
                <w:rStyle w:val="Hyperlink"/>
                <w:rFonts w:ascii="Times New Roman" w:eastAsia="Times New Roman" w:hAnsi="Times New Roman" w:cs="Times New Roman"/>
                <w:iCs/>
                <w:sz w:val="20"/>
                <w:szCs w:val="20"/>
                <w:lang w:eastAsia="en-ZA"/>
              </w:rPr>
            </w:pPr>
            <w:r w:rsidRPr="004D1E6F">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4D1E6F">
              <w:rPr>
                <w:rFonts w:ascii="Times New Roman" w:eastAsia="Times New Roman" w:hAnsi="Times New Roman" w:cs="Times New Roman"/>
                <w:i/>
                <w:sz w:val="20"/>
                <w:szCs w:val="20"/>
                <w:lang w:eastAsia="en-ZA"/>
              </w:rPr>
              <w:t xml:space="preserve">Reviews in Fisheries Science &amp; Aquaculture </w:t>
            </w:r>
            <w:r w:rsidRPr="004D1E6F">
              <w:rPr>
                <w:rFonts w:ascii="Times New Roman" w:eastAsia="Times New Roman" w:hAnsi="Times New Roman" w:cs="Times New Roman"/>
                <w:sz w:val="20"/>
                <w:szCs w:val="20"/>
                <w:lang w:eastAsia="en-ZA"/>
              </w:rPr>
              <w:t>1-21</w:t>
            </w:r>
            <w:r w:rsidRPr="004D1E6F">
              <w:rPr>
                <w:rFonts w:ascii="Times New Roman" w:eastAsia="Times New Roman" w:hAnsi="Times New Roman" w:cs="Times New Roman"/>
                <w:i/>
                <w:sz w:val="20"/>
                <w:szCs w:val="20"/>
                <w:lang w:eastAsia="en-ZA"/>
              </w:rPr>
              <w:t>.</w:t>
            </w:r>
            <w:r w:rsidRPr="004D1E6F">
              <w:rPr>
                <w:rFonts w:ascii="Times New Roman" w:eastAsia="Times New Roman" w:hAnsi="Times New Roman" w:cs="Times New Roman"/>
                <w:iCs/>
                <w:sz w:val="20"/>
                <w:szCs w:val="20"/>
                <w:lang w:eastAsia="en-ZA"/>
              </w:rPr>
              <w:t xml:space="preserve"> </w:t>
            </w:r>
            <w:r w:rsidR="00484ECD" w:rsidRPr="008A0BC6">
              <w:rPr>
                <w:rFonts w:ascii="Times New Roman" w:hAnsi="Times New Roman" w:cs="Times New Roman"/>
                <w:sz w:val="20"/>
                <w:szCs w:val="20"/>
              </w:rPr>
              <w:t>https://doi.org/10.1080/23308249.2020.1802405</w:t>
            </w:r>
          </w:p>
          <w:p w14:paraId="2CC63D20" w14:textId="55B065A0" w:rsidR="002D7080" w:rsidRDefault="002D7080" w:rsidP="002E2C37">
            <w:pPr>
              <w:ind w:left="360" w:hanging="36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 </w:t>
            </w:r>
            <w:hyperlink r:id="rId208" w:history="1">
              <w:r w:rsidR="00484ECD" w:rsidRPr="008A0BC6">
                <w:rPr>
                  <w:rStyle w:val="Hyperlink"/>
                  <w:rFonts w:ascii="Times New Roman" w:hAnsi="Times New Roman" w:cs="Times New Roman"/>
                  <w:sz w:val="20"/>
                  <w:szCs w:val="20"/>
                </w:rPr>
                <w:t>https://doi.org/10.2989/16085914.2017.1405788</w:t>
              </w:r>
            </w:hyperlink>
            <w:r w:rsidRPr="008A0BC6">
              <w:rPr>
                <w:rFonts w:ascii="Times New Roman" w:eastAsia="Times New Roman" w:hAnsi="Times New Roman" w:cs="Times New Roman"/>
                <w:color w:val="000000"/>
                <w:sz w:val="18"/>
                <w:szCs w:val="18"/>
                <w:lang w:eastAsia="en-ZA"/>
              </w:rPr>
              <w:t xml:space="preserve">. </w:t>
            </w:r>
          </w:p>
          <w:p w14:paraId="4C23BE5B" w14:textId="77777777" w:rsidR="002D7080" w:rsidRPr="008B584E" w:rsidRDefault="002D7080" w:rsidP="002E2C37">
            <w:pPr>
              <w:ind w:left="360" w:hanging="360"/>
              <w:contextualSpacing/>
              <w:jc w:val="both"/>
              <w:rPr>
                <w:rFonts w:ascii="Times New Roman" w:hAnsi="Times New Roman" w:cs="Times New Roman"/>
                <w:b/>
                <w:bCs/>
                <w:color w:val="000000" w:themeColor="text1"/>
                <w:sz w:val="20"/>
                <w:szCs w:val="20"/>
                <w:shd w:val="clear" w:color="auto" w:fill="FFFFFF"/>
              </w:rPr>
            </w:pPr>
            <w:r w:rsidRPr="003477B4">
              <w:rPr>
                <w:rFonts w:ascii="Times New Roman" w:hAnsi="Times New Roman" w:cs="Times New Roman"/>
                <w:color w:val="000000" w:themeColor="text1"/>
                <w:sz w:val="20"/>
                <w:szCs w:val="20"/>
                <w:shd w:val="clear" w:color="auto" w:fill="FFFFFF"/>
              </w:rPr>
              <w:t>Wilson, J. R., &amp; Kumschick, S., 2024, ‘The regulation of alien species in South Africa’, </w:t>
            </w:r>
            <w:r w:rsidRPr="003477B4">
              <w:rPr>
                <w:rFonts w:ascii="Times New Roman" w:hAnsi="Times New Roman" w:cs="Times New Roman"/>
                <w:i/>
                <w:iCs/>
                <w:color w:val="000000" w:themeColor="text1"/>
                <w:sz w:val="20"/>
                <w:szCs w:val="20"/>
                <w:shd w:val="clear" w:color="auto" w:fill="FFFFFF"/>
              </w:rPr>
              <w:t>South African Journal of Science</w:t>
            </w:r>
            <w:r w:rsidRPr="003477B4">
              <w:rPr>
                <w:rFonts w:ascii="Times New Roman" w:hAnsi="Times New Roman" w:cs="Times New Roman"/>
                <w:color w:val="000000" w:themeColor="text1"/>
                <w:sz w:val="20"/>
                <w:szCs w:val="20"/>
                <w:shd w:val="clear" w:color="auto" w:fill="FFFFFF"/>
              </w:rPr>
              <w:t>, 120(5/6).</w:t>
            </w:r>
            <w:r>
              <w:rPr>
                <w:rFonts w:ascii="Segoe UI" w:eastAsia="Times New Roman" w:hAnsi="Segoe UI" w:cs="Segoe UI"/>
                <w:b/>
                <w:bCs/>
                <w:sz w:val="36"/>
                <w:szCs w:val="36"/>
                <w:lang w:eastAsia="en-ZA"/>
              </w:rPr>
              <w:t xml:space="preserve"> </w:t>
            </w:r>
            <w:hyperlink r:id="rId209" w:history="1">
              <w:r w:rsidRPr="008B584E">
                <w:rPr>
                  <w:rStyle w:val="Hyperlink"/>
                  <w:rFonts w:ascii="Times New Roman" w:hAnsi="Times New Roman" w:cs="Times New Roman"/>
                  <w:sz w:val="20"/>
                  <w:szCs w:val="20"/>
                  <w:shd w:val="clear" w:color="auto" w:fill="FFFFFF"/>
                </w:rPr>
                <w:t>https://doi.org/10.17159/sajs.2024/17002</w:t>
              </w:r>
            </w:hyperlink>
            <w:r>
              <w:rPr>
                <w:rFonts w:ascii="Times New Roman" w:hAnsi="Times New Roman" w:cs="Times New Roman"/>
                <w:color w:val="000000" w:themeColor="text1"/>
                <w:sz w:val="20"/>
                <w:szCs w:val="20"/>
                <w:shd w:val="clear" w:color="auto" w:fill="FFFFFF"/>
              </w:rPr>
              <w:t xml:space="preserve">. </w:t>
            </w:r>
          </w:p>
          <w:p w14:paraId="124A78B6" w14:textId="77777777" w:rsidR="002D7080" w:rsidRPr="00CC4478" w:rsidRDefault="002D7080" w:rsidP="002E2C37">
            <w:pPr>
              <w:ind w:left="360" w:hanging="36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Zengeya, T.A. &amp; Wilson, J.R., (eds.) 2020, </w:t>
            </w:r>
            <w:r w:rsidRPr="004D1E6F">
              <w:rPr>
                <w:rFonts w:ascii="Times New Roman" w:eastAsia="Times New Roman" w:hAnsi="Times New Roman" w:cs="Times New Roman"/>
                <w:i/>
                <w:iCs/>
                <w:sz w:val="20"/>
                <w:szCs w:val="20"/>
                <w:lang w:eastAsia="en-ZA"/>
              </w:rPr>
              <w:t>The status of biological invasions and their management in South Africa in 2019</w:t>
            </w:r>
            <w:r w:rsidRPr="004D1E6F">
              <w:rPr>
                <w:rFonts w:ascii="Times New Roman" w:eastAsia="Times New Roman" w:hAnsi="Times New Roman" w:cs="Times New Roman"/>
                <w:sz w:val="20"/>
                <w:szCs w:val="20"/>
                <w:lang w:eastAsia="en-ZA"/>
              </w:rPr>
              <w:t xml:space="preserve">, pp.71, South African National Biodiversity Institute, Kirstenbosch and DSI-NRF Centre of Excellence for Invasion Biology, Stellenbosch. </w:t>
            </w:r>
            <w:hyperlink w:history="1">
              <w:r w:rsidRPr="00EA3BA7">
                <w:rPr>
                  <w:rStyle w:val="Hyperlink"/>
                  <w:rFonts w:ascii="Times New Roman" w:eastAsia="Times New Roman" w:hAnsi="Times New Roman" w:cs="Times New Roman"/>
                  <w:sz w:val="20"/>
                  <w:szCs w:val="20"/>
                  <w:lang w:eastAsia="en-ZA"/>
                </w:rPr>
                <w:t>http://dx.doi.org/10.5281/zenodo.3947613</w:t>
              </w:r>
            </w:hyperlink>
            <w:r w:rsidRPr="004D1E6F">
              <w:rPr>
                <w:rFonts w:ascii="Times New Roman" w:eastAsia="Times New Roman" w:hAnsi="Times New Roman" w:cs="Times New Roman"/>
                <w:sz w:val="20"/>
                <w:szCs w:val="20"/>
                <w:lang w:eastAsia="en-ZA"/>
              </w:rPr>
              <w:t>.</w:t>
            </w:r>
          </w:p>
        </w:tc>
      </w:tr>
    </w:tbl>
    <w:p w14:paraId="472AE054"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7"/>
        <w:tblW w:w="9018" w:type="dxa"/>
        <w:tblLook w:val="04A0" w:firstRow="1" w:lastRow="0" w:firstColumn="1" w:lastColumn="0" w:noHBand="0" w:noVBand="1"/>
      </w:tblPr>
      <w:tblGrid>
        <w:gridCol w:w="5240"/>
        <w:gridCol w:w="3778"/>
      </w:tblGrid>
      <w:tr w:rsidR="002D7080" w:rsidRPr="004D1E6F" w14:paraId="64214C49" w14:textId="77777777" w:rsidTr="002E2C37">
        <w:trPr>
          <w:trHeight w:val="343"/>
        </w:trPr>
        <w:tc>
          <w:tcPr>
            <w:tcW w:w="9018" w:type="dxa"/>
            <w:gridSpan w:val="2"/>
            <w:shd w:val="clear" w:color="auto" w:fill="F2F2F2" w:themeFill="background1" w:themeFillShade="F2"/>
          </w:tcPr>
          <w:p w14:paraId="52ECDE84"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MAN2 Benefits of the Taxon</w:t>
            </w:r>
          </w:p>
        </w:tc>
      </w:tr>
      <w:tr w:rsidR="002D7080" w:rsidRPr="004D1E6F" w14:paraId="65EC9BB3" w14:textId="77777777" w:rsidTr="002E2C37">
        <w:trPr>
          <w:trHeight w:val="343"/>
        </w:trPr>
        <w:tc>
          <w:tcPr>
            <w:tcW w:w="9018" w:type="dxa"/>
            <w:gridSpan w:val="2"/>
            <w:shd w:val="clear" w:color="auto" w:fill="F2F2F2" w:themeFill="background1" w:themeFillShade="F2"/>
          </w:tcPr>
          <w:p w14:paraId="6C7880A8"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 xml:space="preserve">MAN2a Socio-economic benefits of the </w:t>
            </w:r>
            <w:r w:rsidRPr="004D1E6F">
              <w:rPr>
                <w:rFonts w:ascii="Times New Roman" w:eastAsia="Times New Roman" w:hAnsi="Times New Roman" w:cs="Times New Roman"/>
                <w:b/>
                <w:i/>
                <w:color w:val="000000"/>
                <w:sz w:val="20"/>
                <w:szCs w:val="20"/>
                <w:lang w:eastAsia="en-ZA"/>
              </w:rPr>
              <w:t>Taxon</w:t>
            </w:r>
          </w:p>
        </w:tc>
      </w:tr>
      <w:tr w:rsidR="002D7080" w:rsidRPr="004D1E6F" w14:paraId="3E1C9837" w14:textId="77777777" w:rsidTr="002E2C37">
        <w:trPr>
          <w:trHeight w:val="172"/>
        </w:trPr>
        <w:tc>
          <w:tcPr>
            <w:tcW w:w="5240" w:type="dxa"/>
          </w:tcPr>
          <w:p w14:paraId="411E06CE"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Low</w:t>
            </w:r>
          </w:p>
        </w:tc>
        <w:tc>
          <w:tcPr>
            <w:tcW w:w="3778" w:type="dxa"/>
          </w:tcPr>
          <w:p w14:paraId="37F7F271"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5CA014D0" w14:textId="77777777" w:rsidTr="002E2C37">
        <w:trPr>
          <w:trHeight w:val="343"/>
        </w:trPr>
        <w:tc>
          <w:tcPr>
            <w:tcW w:w="9018" w:type="dxa"/>
            <w:gridSpan w:val="2"/>
          </w:tcPr>
          <w:p w14:paraId="6A08548A"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color w:val="000000"/>
                <w:sz w:val="20"/>
                <w:szCs w:val="20"/>
                <w:lang w:eastAsia="en-ZA"/>
              </w:rPr>
              <w:t xml:space="preserve">Faxonius immunis </w:t>
            </w:r>
            <w:r w:rsidRPr="004D1E6F">
              <w:rPr>
                <w:rFonts w:ascii="Times New Roman" w:eastAsia="Times New Roman" w:hAnsi="Times New Roman" w:cs="Times New Roman"/>
                <w:iCs/>
                <w:color w:val="000000"/>
                <w:sz w:val="20"/>
                <w:szCs w:val="20"/>
                <w:lang w:eastAsia="en-ZA"/>
              </w:rPr>
              <w:t xml:space="preserve">has been introduced as </w:t>
            </w:r>
            <w:r w:rsidRPr="004D1E6F">
              <w:rPr>
                <w:rFonts w:ascii="Times New Roman" w:eastAsia="Times New Roman" w:hAnsi="Times New Roman" w:cs="Times New Roman"/>
                <w:color w:val="000000"/>
                <w:sz w:val="20"/>
                <w:szCs w:val="20"/>
                <w:lang w:eastAsia="en-ZA"/>
              </w:rPr>
              <w:t xml:space="preserve">bait by anglers for recreational fishing is present in the pet trade industry in Germany and the USA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(Dehus 1999; Chucholl 2013; Schrimpf et al. 2013)</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No socio-economic benefits have been recorded to date in South Africa and even if </w:t>
            </w:r>
            <w:r w:rsidRPr="004D1E6F">
              <w:rPr>
                <w:rFonts w:ascii="Times New Roman" w:eastAsia="Times New Roman" w:hAnsi="Times New Roman" w:cs="Times New Roman"/>
                <w:i/>
                <w:color w:val="000000"/>
                <w:sz w:val="20"/>
                <w:szCs w:val="20"/>
                <w:lang w:eastAsia="en-ZA"/>
              </w:rPr>
              <w:t xml:space="preserve">F. immunis </w:t>
            </w:r>
            <w:r w:rsidRPr="004D1E6F">
              <w:rPr>
                <w:rFonts w:ascii="Times New Roman" w:eastAsia="Times New Roman" w:hAnsi="Times New Roman" w:cs="Times New Roman"/>
                <w:color w:val="000000"/>
                <w:sz w:val="20"/>
                <w:szCs w:val="20"/>
                <w:lang w:eastAsia="en-ZA"/>
              </w:rPr>
              <w:t>is present the benefits are likely to be low (Madzivanzira et al. 2021).</w:t>
            </w:r>
          </w:p>
        </w:tc>
      </w:tr>
      <w:tr w:rsidR="002D7080" w:rsidRPr="004D1E6F" w14:paraId="211C15CA" w14:textId="77777777" w:rsidTr="002E2C37">
        <w:trPr>
          <w:trHeight w:val="343"/>
        </w:trPr>
        <w:tc>
          <w:tcPr>
            <w:tcW w:w="9018" w:type="dxa"/>
            <w:gridSpan w:val="2"/>
          </w:tcPr>
          <w:p w14:paraId="044B51DF"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References:</w:t>
            </w:r>
          </w:p>
          <w:p w14:paraId="5890977A" w14:textId="77777777" w:rsidR="002D7080" w:rsidRPr="00505E10"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Chucholl</w:t>
            </w:r>
            <w:r w:rsidRPr="00505E10">
              <w:rPr>
                <w:rFonts w:ascii="Times New Roman" w:eastAsia="Times New Roman" w:hAnsi="Times New Roman" w:cs="Times New Roman"/>
                <w:sz w:val="20"/>
                <w:szCs w:val="20"/>
                <w:lang w:eastAsia="en-ZA"/>
              </w:rPr>
              <w:t xml:space="preserve">, C., 2013, ‘Invaders for sale: trade and determinants of introduction of ornamental freshwater crayfish’, </w:t>
            </w:r>
            <w:r w:rsidRPr="00505E10">
              <w:rPr>
                <w:rFonts w:ascii="Times New Roman" w:eastAsia="Times New Roman" w:hAnsi="Times New Roman" w:cs="Times New Roman"/>
                <w:i/>
                <w:iCs/>
                <w:sz w:val="20"/>
                <w:szCs w:val="20"/>
                <w:lang w:eastAsia="en-ZA"/>
              </w:rPr>
              <w:t>Biological Invasions</w:t>
            </w:r>
            <w:r w:rsidRPr="00505E10">
              <w:rPr>
                <w:rFonts w:ascii="Times New Roman" w:eastAsia="Times New Roman" w:hAnsi="Times New Roman" w:cs="Times New Roman"/>
                <w:sz w:val="20"/>
                <w:szCs w:val="20"/>
                <w:lang w:eastAsia="en-ZA"/>
              </w:rPr>
              <w:t xml:space="preserve"> </w:t>
            </w:r>
            <w:r w:rsidRPr="00505E10">
              <w:rPr>
                <w:rFonts w:ascii="Times New Roman" w:eastAsia="Times New Roman" w:hAnsi="Times New Roman" w:cs="Times New Roman"/>
                <w:iCs/>
                <w:sz w:val="20"/>
                <w:szCs w:val="20"/>
                <w:lang w:eastAsia="en-ZA"/>
              </w:rPr>
              <w:t>15</w:t>
            </w:r>
            <w:r w:rsidRPr="00505E10">
              <w:rPr>
                <w:rFonts w:ascii="Times New Roman" w:eastAsia="Times New Roman" w:hAnsi="Times New Roman" w:cs="Times New Roman"/>
                <w:sz w:val="20"/>
                <w:szCs w:val="20"/>
                <w:lang w:eastAsia="en-ZA"/>
              </w:rPr>
              <w:t xml:space="preserve">, 125–141. </w:t>
            </w:r>
            <w:hyperlink w:history="1">
              <w:r w:rsidRPr="00505E10">
                <w:rPr>
                  <w:rStyle w:val="Hyperlink"/>
                  <w:rFonts w:ascii="Times New Roman" w:eastAsia="Times New Roman" w:hAnsi="Times New Roman" w:cs="Times New Roman"/>
                  <w:sz w:val="20"/>
                  <w:szCs w:val="20"/>
                  <w:lang w:eastAsia="en-ZA"/>
                </w:rPr>
                <w:t>https://doi.org/10.1007/s10530-012-0273-2</w:t>
              </w:r>
            </w:hyperlink>
            <w:r w:rsidRPr="00505E10">
              <w:rPr>
                <w:rFonts w:ascii="Times New Roman" w:eastAsia="Times New Roman" w:hAnsi="Times New Roman" w:cs="Times New Roman"/>
                <w:sz w:val="20"/>
                <w:szCs w:val="20"/>
                <w:lang w:eastAsia="en-ZA"/>
              </w:rPr>
              <w:t>.</w:t>
            </w:r>
          </w:p>
          <w:p w14:paraId="3E0FF764" w14:textId="77777777" w:rsidR="002D7080" w:rsidRPr="00505E10" w:rsidRDefault="002D7080" w:rsidP="002E2C37">
            <w:pPr>
              <w:ind w:left="720" w:hanging="720"/>
              <w:contextualSpacing/>
              <w:jc w:val="both"/>
              <w:rPr>
                <w:rFonts w:ascii="Times New Roman" w:hAnsi="Times New Roman" w:cs="Times New Roman"/>
                <w:sz w:val="20"/>
                <w:szCs w:val="20"/>
              </w:rPr>
            </w:pPr>
            <w:r w:rsidRPr="00505E10">
              <w:rPr>
                <w:rFonts w:ascii="Times New Roman" w:hAnsi="Times New Roman" w:cs="Times New Roman"/>
                <w:sz w:val="20"/>
                <w:szCs w:val="20"/>
              </w:rPr>
              <w:t>Dehus, P., Dussling. U. &amp; Hoffmann, C., 1999, ‘Notes on the occurrence of the calico crayfish (</w:t>
            </w:r>
            <w:r w:rsidRPr="00505E10">
              <w:rPr>
                <w:rFonts w:ascii="Times New Roman" w:hAnsi="Times New Roman" w:cs="Times New Roman"/>
                <w:i/>
                <w:iCs/>
                <w:sz w:val="20"/>
                <w:szCs w:val="20"/>
              </w:rPr>
              <w:t>Orconectes immunis</w:t>
            </w:r>
            <w:r w:rsidRPr="00505E10">
              <w:rPr>
                <w:rFonts w:ascii="Times New Roman" w:hAnsi="Times New Roman" w:cs="Times New Roman"/>
                <w:sz w:val="20"/>
                <w:szCs w:val="20"/>
              </w:rPr>
              <w:t xml:space="preserve">) in Germany’, </w:t>
            </w:r>
            <w:r w:rsidRPr="00505E10">
              <w:rPr>
                <w:rFonts w:ascii="Times New Roman" w:hAnsi="Times New Roman" w:cs="Times New Roman"/>
                <w:i/>
                <w:iCs/>
                <w:sz w:val="20"/>
                <w:szCs w:val="20"/>
              </w:rPr>
              <w:t>Freshwater Crayfish</w:t>
            </w:r>
            <w:r w:rsidRPr="00505E10">
              <w:rPr>
                <w:rFonts w:ascii="Times New Roman" w:hAnsi="Times New Roman" w:cs="Times New Roman"/>
                <w:sz w:val="20"/>
                <w:szCs w:val="20"/>
              </w:rPr>
              <w:t>, 12, 786–790.</w:t>
            </w:r>
          </w:p>
          <w:p w14:paraId="05928987" w14:textId="34E78834" w:rsidR="002D7080" w:rsidRPr="00505E10" w:rsidRDefault="002D7080" w:rsidP="002E2C37">
            <w:pPr>
              <w:ind w:left="720" w:hanging="720"/>
              <w:contextualSpacing/>
              <w:jc w:val="both"/>
              <w:rPr>
                <w:rFonts w:ascii="Times New Roman" w:hAnsi="Times New Roman" w:cs="Times New Roman"/>
                <w:color w:val="222222"/>
                <w:sz w:val="20"/>
                <w:szCs w:val="20"/>
                <w:shd w:val="clear" w:color="auto" w:fill="FFFFFF"/>
              </w:rPr>
            </w:pPr>
            <w:r w:rsidRPr="00505E10">
              <w:rPr>
                <w:rFonts w:ascii="Times New Roman" w:hAnsi="Times New Roman" w:cs="Times New Roman"/>
                <w:color w:val="222222"/>
                <w:sz w:val="20"/>
                <w:szCs w:val="20"/>
                <w:shd w:val="clear" w:color="auto" w:fill="FFFFFF"/>
              </w:rPr>
              <w:t xml:space="preserve">Schrimpf, A., Chucholl, C., Schmidt, T., &amp; Schulz, R. 2013’, ‘Crayfish plague agent detected in populations of the invasive North American crayfish </w:t>
            </w:r>
            <w:r w:rsidRPr="00505E10">
              <w:rPr>
                <w:rFonts w:ascii="Times New Roman" w:hAnsi="Times New Roman" w:cs="Times New Roman"/>
                <w:i/>
                <w:iCs/>
                <w:color w:val="222222"/>
                <w:sz w:val="20"/>
                <w:szCs w:val="20"/>
                <w:shd w:val="clear" w:color="auto" w:fill="FFFFFF"/>
              </w:rPr>
              <w:t>Orconectes immunis</w:t>
            </w:r>
            <w:r w:rsidRPr="00505E10">
              <w:rPr>
                <w:rFonts w:ascii="Times New Roman" w:hAnsi="Times New Roman" w:cs="Times New Roman"/>
                <w:color w:val="222222"/>
                <w:sz w:val="20"/>
                <w:szCs w:val="20"/>
                <w:shd w:val="clear" w:color="auto" w:fill="FFFFFF"/>
              </w:rPr>
              <w:t xml:space="preserve"> (Hagen, 1870) in the Rhine River, Germany’, </w:t>
            </w:r>
            <w:r w:rsidRPr="00505E10">
              <w:rPr>
                <w:rFonts w:ascii="Times New Roman" w:hAnsi="Times New Roman" w:cs="Times New Roman"/>
                <w:i/>
                <w:iCs/>
                <w:color w:val="222222"/>
                <w:sz w:val="20"/>
                <w:szCs w:val="20"/>
                <w:shd w:val="clear" w:color="auto" w:fill="FFFFFF"/>
              </w:rPr>
              <w:t>Aquatic Invasions</w:t>
            </w:r>
            <w:r w:rsidRPr="00505E10">
              <w:rPr>
                <w:rFonts w:ascii="Times New Roman" w:hAnsi="Times New Roman" w:cs="Times New Roman"/>
                <w:color w:val="222222"/>
                <w:sz w:val="20"/>
                <w:szCs w:val="20"/>
                <w:shd w:val="clear" w:color="auto" w:fill="FFFFFF"/>
              </w:rPr>
              <w:t xml:space="preserve">, 8(1). </w:t>
            </w:r>
            <w:hyperlink r:id="rId210" w:history="1">
              <w:r w:rsidR="00505E10" w:rsidRPr="00505E10">
                <w:rPr>
                  <w:rStyle w:val="Hyperlink"/>
                  <w:rFonts w:ascii="Times New Roman" w:hAnsi="Times New Roman" w:cs="Times New Roman"/>
                  <w:sz w:val="20"/>
                  <w:szCs w:val="20"/>
                </w:rPr>
                <w:t>http://dx.doi.org/10.3391/ai.2013.8.1.12</w:t>
              </w:r>
            </w:hyperlink>
            <w:r w:rsidRPr="00505E10">
              <w:rPr>
                <w:rFonts w:ascii="Times New Roman" w:hAnsi="Times New Roman" w:cs="Times New Roman"/>
                <w:color w:val="222222"/>
                <w:sz w:val="20"/>
                <w:szCs w:val="20"/>
                <w:shd w:val="clear" w:color="auto" w:fill="FFFFFF"/>
              </w:rPr>
              <w:t xml:space="preserve">.  </w:t>
            </w:r>
          </w:p>
          <w:p w14:paraId="61B2BD7C" w14:textId="66701F11" w:rsidR="002D7080" w:rsidRPr="004D1E6F"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505E10">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505E10">
              <w:rPr>
                <w:rFonts w:ascii="Times New Roman" w:eastAsia="Times New Roman" w:hAnsi="Times New Roman" w:cs="Times New Roman"/>
                <w:i/>
                <w:sz w:val="20"/>
                <w:szCs w:val="20"/>
                <w:lang w:eastAsia="en-ZA"/>
              </w:rPr>
              <w:t xml:space="preserve">Reviews in Fisheries Science &amp; Aquaculture </w:t>
            </w:r>
            <w:r w:rsidRPr="00505E10">
              <w:rPr>
                <w:rFonts w:ascii="Times New Roman" w:eastAsia="Times New Roman" w:hAnsi="Times New Roman" w:cs="Times New Roman"/>
                <w:sz w:val="20"/>
                <w:szCs w:val="20"/>
                <w:lang w:eastAsia="en-ZA"/>
              </w:rPr>
              <w:t>1-21</w:t>
            </w:r>
            <w:r w:rsidRPr="00505E10">
              <w:rPr>
                <w:rFonts w:ascii="Times New Roman" w:eastAsia="Times New Roman" w:hAnsi="Times New Roman" w:cs="Times New Roman"/>
                <w:i/>
                <w:sz w:val="20"/>
                <w:szCs w:val="20"/>
                <w:lang w:eastAsia="en-ZA"/>
              </w:rPr>
              <w:t>.</w:t>
            </w:r>
            <w:r w:rsidRPr="00505E10">
              <w:rPr>
                <w:rFonts w:ascii="Times New Roman" w:eastAsia="Times New Roman" w:hAnsi="Times New Roman" w:cs="Times New Roman"/>
                <w:iCs/>
                <w:sz w:val="20"/>
                <w:szCs w:val="20"/>
                <w:lang w:eastAsia="en-ZA"/>
              </w:rPr>
              <w:t xml:space="preserve"> </w:t>
            </w:r>
            <w:hyperlink w:history="1">
              <w:r w:rsidR="00505E10" w:rsidRPr="00505E10">
                <w:rPr>
                  <w:rStyle w:val="Hyperlink"/>
                  <w:rFonts w:ascii="Times New Roman" w:eastAsia="Times New Roman" w:hAnsi="Times New Roman" w:cs="Times New Roman"/>
                  <w:sz w:val="20"/>
                  <w:szCs w:val="20"/>
                  <w:lang w:eastAsia="en-ZA"/>
                </w:rPr>
                <w:t xml:space="preserve"> </w:t>
              </w:r>
              <w:r w:rsidR="00505E10" w:rsidRPr="00505E10">
                <w:rPr>
                  <w:rStyle w:val="Hyperlink"/>
                  <w:rFonts w:ascii="Times New Roman" w:eastAsia="Times New Roman" w:hAnsi="Times New Roman" w:cs="Times New Roman"/>
                  <w:iCs/>
                  <w:sz w:val="20"/>
                  <w:szCs w:val="20"/>
                  <w:lang w:eastAsia="en-ZA"/>
                </w:rPr>
                <w:t>https://doi.org/10.1080/23308249.2020.1802405</w:t>
              </w:r>
            </w:hyperlink>
          </w:p>
        </w:tc>
      </w:tr>
      <w:tr w:rsidR="002D7080" w:rsidRPr="004D1E6F" w14:paraId="442F502A" w14:textId="77777777" w:rsidTr="002E2C37">
        <w:trPr>
          <w:trHeight w:val="343"/>
        </w:trPr>
        <w:tc>
          <w:tcPr>
            <w:tcW w:w="9018" w:type="dxa"/>
            <w:gridSpan w:val="2"/>
            <w:shd w:val="clear" w:color="auto" w:fill="F2F2F2" w:themeFill="background1" w:themeFillShade="F2"/>
          </w:tcPr>
          <w:p w14:paraId="4D7CB4C2"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 xml:space="preserve">MAN2b Environmental benefits of the </w:t>
            </w:r>
            <w:r w:rsidRPr="004D1E6F">
              <w:rPr>
                <w:rFonts w:ascii="Times New Roman" w:eastAsia="Times New Roman" w:hAnsi="Times New Roman" w:cs="Times New Roman"/>
                <w:b/>
                <w:i/>
                <w:color w:val="000000"/>
                <w:sz w:val="20"/>
                <w:szCs w:val="20"/>
                <w:lang w:eastAsia="en-ZA"/>
              </w:rPr>
              <w:t>Taxon</w:t>
            </w:r>
          </w:p>
        </w:tc>
      </w:tr>
      <w:tr w:rsidR="002D7080" w:rsidRPr="004D1E6F" w14:paraId="1A0374C7" w14:textId="77777777" w:rsidTr="002E2C37">
        <w:trPr>
          <w:trHeight w:val="259"/>
        </w:trPr>
        <w:tc>
          <w:tcPr>
            <w:tcW w:w="5240" w:type="dxa"/>
          </w:tcPr>
          <w:p w14:paraId="6623455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Low </w:t>
            </w:r>
          </w:p>
        </w:tc>
        <w:tc>
          <w:tcPr>
            <w:tcW w:w="3778" w:type="dxa"/>
          </w:tcPr>
          <w:p w14:paraId="722895B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High </w:t>
            </w:r>
          </w:p>
        </w:tc>
      </w:tr>
      <w:tr w:rsidR="002D7080" w:rsidRPr="004D1E6F" w14:paraId="536C05EC" w14:textId="77777777" w:rsidTr="002E2C37">
        <w:trPr>
          <w:trHeight w:val="188"/>
        </w:trPr>
        <w:tc>
          <w:tcPr>
            <w:tcW w:w="9018" w:type="dxa"/>
            <w:gridSpan w:val="2"/>
          </w:tcPr>
          <w:p w14:paraId="11A3C93E"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 xml:space="preserve">Rationale: There are no recorded environmental benefits of </w:t>
            </w:r>
            <w:r w:rsidRPr="004D1E6F">
              <w:rPr>
                <w:rFonts w:ascii="Times New Roman" w:eastAsia="Times New Roman" w:hAnsi="Times New Roman" w:cs="Times New Roman"/>
                <w:i/>
                <w:sz w:val="20"/>
                <w:szCs w:val="20"/>
                <w:lang w:eastAsia="en-ZA"/>
              </w:rPr>
              <w:t>Faxonius immunis.</w:t>
            </w:r>
          </w:p>
        </w:tc>
      </w:tr>
      <w:tr w:rsidR="002D7080" w:rsidRPr="004D1E6F" w14:paraId="1D94099D" w14:textId="77777777" w:rsidTr="002E2C37">
        <w:trPr>
          <w:trHeight w:val="343"/>
        </w:trPr>
        <w:tc>
          <w:tcPr>
            <w:tcW w:w="9018" w:type="dxa"/>
            <w:gridSpan w:val="2"/>
          </w:tcPr>
          <w:p w14:paraId="722C03A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tc>
      </w:tr>
    </w:tbl>
    <w:p w14:paraId="53418282"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7"/>
        <w:tblW w:w="9018" w:type="dxa"/>
        <w:tblLook w:val="04A0" w:firstRow="1" w:lastRow="0" w:firstColumn="1" w:lastColumn="0" w:noHBand="0" w:noVBand="1"/>
      </w:tblPr>
      <w:tblGrid>
        <w:gridCol w:w="5240"/>
        <w:gridCol w:w="3778"/>
      </w:tblGrid>
      <w:tr w:rsidR="002D7080" w:rsidRPr="004D1E6F" w14:paraId="7C22ED5A" w14:textId="77777777" w:rsidTr="002E2C37">
        <w:trPr>
          <w:trHeight w:val="343"/>
        </w:trPr>
        <w:tc>
          <w:tcPr>
            <w:tcW w:w="9018" w:type="dxa"/>
            <w:gridSpan w:val="2"/>
            <w:shd w:val="clear" w:color="auto" w:fill="F2F2F2" w:themeFill="background1" w:themeFillShade="F2"/>
          </w:tcPr>
          <w:p w14:paraId="13389117"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 xml:space="preserve">MAN3 Ease of management </w:t>
            </w:r>
          </w:p>
        </w:tc>
      </w:tr>
      <w:tr w:rsidR="002D7080" w:rsidRPr="004D1E6F" w14:paraId="761CC467" w14:textId="77777777" w:rsidTr="002E2C37">
        <w:trPr>
          <w:trHeight w:val="343"/>
        </w:trPr>
        <w:tc>
          <w:tcPr>
            <w:tcW w:w="9018" w:type="dxa"/>
            <w:gridSpan w:val="2"/>
            <w:shd w:val="clear" w:color="auto" w:fill="F2F2F2" w:themeFill="background1" w:themeFillShade="F2"/>
          </w:tcPr>
          <w:p w14:paraId="62F89945"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MAN3a How accessible are populations?</w:t>
            </w:r>
          </w:p>
        </w:tc>
      </w:tr>
      <w:tr w:rsidR="002D7080" w:rsidRPr="004D1E6F" w14:paraId="5BA1D4D1" w14:textId="77777777" w:rsidTr="002E2C37">
        <w:trPr>
          <w:trHeight w:val="183"/>
        </w:trPr>
        <w:tc>
          <w:tcPr>
            <w:tcW w:w="5240" w:type="dxa"/>
          </w:tcPr>
          <w:p w14:paraId="48A7A98A"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2 (difficult to access)</w:t>
            </w:r>
          </w:p>
        </w:tc>
        <w:tc>
          <w:tcPr>
            <w:tcW w:w="3778" w:type="dxa"/>
          </w:tcPr>
          <w:p w14:paraId="631FF25D"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21A0F311" w14:textId="77777777" w:rsidTr="002E2C37">
        <w:trPr>
          <w:trHeight w:val="343"/>
        </w:trPr>
        <w:tc>
          <w:tcPr>
            <w:tcW w:w="9018" w:type="dxa"/>
            <w:gridSpan w:val="2"/>
          </w:tcPr>
          <w:p w14:paraId="6A6E3981"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sz w:val="20"/>
                <w:szCs w:val="20"/>
                <w:lang w:eastAsia="en-ZA"/>
              </w:rPr>
              <w:t xml:space="preserve">There are no locality records for </w:t>
            </w:r>
            <w:r w:rsidRPr="004D1E6F">
              <w:rPr>
                <w:rFonts w:ascii="Times New Roman" w:eastAsia="Times New Roman" w:hAnsi="Times New Roman" w:cs="Times New Roman"/>
                <w:i/>
                <w:sz w:val="20"/>
                <w:szCs w:val="20"/>
                <w:lang w:eastAsia="en-ZA"/>
              </w:rPr>
              <w:t xml:space="preserve">Faxonius immunis </w:t>
            </w:r>
            <w:r w:rsidRPr="004D1E6F">
              <w:rPr>
                <w:rFonts w:ascii="Times New Roman" w:eastAsia="Times New Roman" w:hAnsi="Times New Roman" w:cs="Times New Roman"/>
                <w:sz w:val="20"/>
                <w:szCs w:val="20"/>
                <w:lang w:eastAsia="en-ZA"/>
              </w:rPr>
              <w:t>in South Africa (Madzivanzira et al. 2021; Nunes et al. 2017). However, given that it is an aquatic species, accessibility is likely to be difficult.</w:t>
            </w:r>
          </w:p>
        </w:tc>
      </w:tr>
      <w:tr w:rsidR="002D7080" w:rsidRPr="004D1E6F" w14:paraId="4F98174B" w14:textId="77777777" w:rsidTr="002E2C37">
        <w:trPr>
          <w:trHeight w:val="343"/>
        </w:trPr>
        <w:tc>
          <w:tcPr>
            <w:tcW w:w="9018" w:type="dxa"/>
            <w:gridSpan w:val="2"/>
          </w:tcPr>
          <w:p w14:paraId="3699878D"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3AF204CA" w14:textId="77777777" w:rsidR="002D7080" w:rsidRPr="004D1E6F" w:rsidRDefault="002D7080" w:rsidP="002E2C37">
            <w:pPr>
              <w:ind w:left="720" w:hanging="720"/>
              <w:contextualSpacing/>
              <w:jc w:val="both"/>
              <w:rPr>
                <w:rFonts w:ascii="Times New Roman" w:hAnsi="Times New Roman" w:cs="Times New Roman"/>
                <w:sz w:val="20"/>
                <w:szCs w:val="20"/>
                <w:shd w:val="clear" w:color="auto" w:fill="FFFFFF"/>
              </w:rPr>
            </w:pPr>
            <w:r w:rsidRPr="004D1E6F">
              <w:rPr>
                <w:rStyle w:val="author"/>
                <w:rFonts w:ascii="Times New Roman" w:hAnsi="Times New Roman" w:cs="Times New Roman"/>
                <w:color w:val="1C1D1E"/>
                <w:sz w:val="20"/>
                <w:szCs w:val="20"/>
                <w:shd w:val="clear" w:color="auto" w:fill="FFFFFF"/>
              </w:rPr>
              <w:t>Madzivanzira, T.C.</w:t>
            </w:r>
            <w:r w:rsidRPr="004D1E6F">
              <w:rPr>
                <w:rFonts w:ascii="Times New Roman" w:hAnsi="Times New Roman" w:cs="Times New Roman"/>
                <w:color w:val="1C1D1E"/>
                <w:sz w:val="20"/>
                <w:szCs w:val="20"/>
                <w:shd w:val="clear" w:color="auto" w:fill="FFFFFF"/>
              </w:rPr>
              <w:t>, </w:t>
            </w:r>
            <w:r w:rsidRPr="004D1E6F">
              <w:rPr>
                <w:rStyle w:val="author"/>
                <w:rFonts w:ascii="Times New Roman" w:hAnsi="Times New Roman" w:cs="Times New Roman"/>
                <w:color w:val="1C1D1E"/>
                <w:sz w:val="20"/>
                <w:szCs w:val="20"/>
                <w:shd w:val="clear" w:color="auto" w:fill="FFFFFF"/>
              </w:rPr>
              <w:t>South, J.</w:t>
            </w:r>
            <w:r w:rsidRPr="004D1E6F">
              <w:rPr>
                <w:rFonts w:ascii="Times New Roman" w:hAnsi="Times New Roman" w:cs="Times New Roman"/>
                <w:color w:val="1C1D1E"/>
                <w:sz w:val="20"/>
                <w:szCs w:val="20"/>
                <w:shd w:val="clear" w:color="auto" w:fill="FFFFFF"/>
              </w:rPr>
              <w:t>, </w:t>
            </w:r>
            <w:r w:rsidRPr="004D1E6F">
              <w:rPr>
                <w:rStyle w:val="author"/>
                <w:rFonts w:ascii="Times New Roman" w:hAnsi="Times New Roman" w:cs="Times New Roman"/>
                <w:color w:val="1C1D1E"/>
                <w:sz w:val="20"/>
                <w:szCs w:val="20"/>
                <w:shd w:val="clear" w:color="auto" w:fill="FFFFFF"/>
              </w:rPr>
              <w:t>Weyl, O.L.F.,</w:t>
            </w:r>
            <w:r w:rsidRPr="004D1E6F">
              <w:rPr>
                <w:rFonts w:ascii="Times New Roman" w:hAnsi="Times New Roman" w:cs="Times New Roman"/>
                <w:color w:val="1C1D1E"/>
                <w:sz w:val="20"/>
                <w:szCs w:val="20"/>
                <w:shd w:val="clear" w:color="auto" w:fill="FFFFFF"/>
              </w:rPr>
              <w:t xml:space="preserve"> 2021, ‘</w:t>
            </w:r>
            <w:r w:rsidRPr="004D1E6F">
              <w:rPr>
                <w:rStyle w:val="articletitle"/>
                <w:rFonts w:ascii="Times New Roman" w:hAnsi="Times New Roman" w:cs="Times New Roman"/>
                <w:color w:val="1C1D1E"/>
                <w:sz w:val="20"/>
                <w:szCs w:val="20"/>
                <w:shd w:val="clear" w:color="auto" w:fill="FFFFFF"/>
              </w:rPr>
              <w:t>Invasive crayfish outperform potamonautid crabs at higher temperatures’,</w:t>
            </w:r>
            <w:r w:rsidRPr="004D1E6F">
              <w:rPr>
                <w:rFonts w:ascii="Times New Roman" w:hAnsi="Times New Roman" w:cs="Times New Roman"/>
                <w:color w:val="1C1D1E"/>
                <w:sz w:val="20"/>
                <w:szCs w:val="20"/>
                <w:shd w:val="clear" w:color="auto" w:fill="FFFFFF"/>
              </w:rPr>
              <w:t> </w:t>
            </w:r>
            <w:r w:rsidRPr="004D1E6F">
              <w:rPr>
                <w:rFonts w:ascii="Times New Roman" w:hAnsi="Times New Roman" w:cs="Times New Roman"/>
                <w:i/>
                <w:iCs/>
                <w:color w:val="1C1D1E"/>
                <w:sz w:val="20"/>
                <w:szCs w:val="20"/>
                <w:shd w:val="clear" w:color="auto" w:fill="FFFFFF"/>
              </w:rPr>
              <w:t>Freshwater Biology</w:t>
            </w:r>
            <w:r w:rsidRPr="004D1E6F">
              <w:rPr>
                <w:rFonts w:ascii="Times New Roman" w:hAnsi="Times New Roman" w:cs="Times New Roman"/>
                <w:color w:val="1C1D1E"/>
                <w:sz w:val="20"/>
                <w:szCs w:val="20"/>
                <w:shd w:val="clear" w:color="auto" w:fill="FFFFFF"/>
              </w:rPr>
              <w:t> </w:t>
            </w:r>
            <w:r w:rsidRPr="004D1E6F">
              <w:rPr>
                <w:rStyle w:val="vol"/>
                <w:rFonts w:ascii="Times New Roman" w:hAnsi="Times New Roman" w:cs="Times New Roman"/>
                <w:color w:val="1C1D1E"/>
                <w:sz w:val="20"/>
                <w:szCs w:val="20"/>
                <w:shd w:val="clear" w:color="auto" w:fill="FFFFFF"/>
              </w:rPr>
              <w:t>66,</w:t>
            </w:r>
            <w:r w:rsidRPr="004D1E6F">
              <w:rPr>
                <w:rFonts w:ascii="Times New Roman" w:hAnsi="Times New Roman" w:cs="Times New Roman"/>
                <w:color w:val="1C1D1E"/>
                <w:sz w:val="20"/>
                <w:szCs w:val="20"/>
                <w:shd w:val="clear" w:color="auto" w:fill="FFFFFF"/>
              </w:rPr>
              <w:t> </w:t>
            </w:r>
            <w:r w:rsidRPr="004D1E6F">
              <w:rPr>
                <w:rStyle w:val="pagefirst"/>
                <w:rFonts w:ascii="Times New Roman" w:hAnsi="Times New Roman" w:cs="Times New Roman"/>
                <w:color w:val="1C1D1E"/>
                <w:sz w:val="20"/>
                <w:szCs w:val="20"/>
                <w:shd w:val="clear" w:color="auto" w:fill="FFFFFF"/>
              </w:rPr>
              <w:t>978</w:t>
            </w:r>
            <w:r w:rsidRPr="004D1E6F">
              <w:rPr>
                <w:rFonts w:ascii="Times New Roman" w:hAnsi="Times New Roman" w:cs="Times New Roman"/>
                <w:color w:val="1C1D1E"/>
                <w:sz w:val="20"/>
                <w:szCs w:val="20"/>
                <w:shd w:val="clear" w:color="auto" w:fill="FFFFFF"/>
              </w:rPr>
              <w:t>–</w:t>
            </w:r>
            <w:r w:rsidRPr="004D1E6F">
              <w:rPr>
                <w:rStyle w:val="pagelast"/>
                <w:rFonts w:ascii="Times New Roman" w:hAnsi="Times New Roman" w:cs="Times New Roman"/>
                <w:color w:val="1C1D1E"/>
                <w:sz w:val="20"/>
                <w:szCs w:val="20"/>
                <w:shd w:val="clear" w:color="auto" w:fill="FFFFFF"/>
              </w:rPr>
              <w:t>991</w:t>
            </w:r>
            <w:r w:rsidRPr="004D1E6F">
              <w:rPr>
                <w:rFonts w:ascii="Times New Roman" w:hAnsi="Times New Roman" w:cs="Times New Roman"/>
                <w:color w:val="1C1D1E"/>
                <w:sz w:val="20"/>
                <w:szCs w:val="20"/>
                <w:shd w:val="clear" w:color="auto" w:fill="FFFFFF"/>
              </w:rPr>
              <w:t>. </w:t>
            </w:r>
            <w:hyperlink w:history="1">
              <w:r w:rsidRPr="004D1E6F">
                <w:rPr>
                  <w:rStyle w:val="Hyperlink"/>
                  <w:rFonts w:ascii="Times New Roman" w:hAnsi="Times New Roman" w:cs="Times New Roman"/>
                  <w:sz w:val="20"/>
                  <w:szCs w:val="20"/>
                  <w:shd w:val="clear" w:color="auto" w:fill="FFFFFF"/>
                </w:rPr>
                <w:t>https://doi.org/10.1111/fwb.13691</w:t>
              </w:r>
            </w:hyperlink>
          </w:p>
          <w:p w14:paraId="71AE87AE" w14:textId="702A5F88" w:rsidR="002D7080" w:rsidRPr="004D1E6F" w:rsidRDefault="002D7080" w:rsidP="002E2C37">
            <w:pPr>
              <w:spacing w:after="160" w:line="259" w:lineRule="auto"/>
              <w:ind w:left="518" w:hanging="518"/>
              <w:contextualSpacing/>
              <w:jc w:val="both"/>
              <w:rPr>
                <w:rFonts w:ascii="Times New Roman" w:hAnsi="Times New Roman" w:cs="Times New Roman"/>
                <w:color w:val="000000" w:themeColor="text1"/>
                <w:sz w:val="20"/>
                <w:szCs w:val="20"/>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211" w:history="1">
              <w:r w:rsidR="00A95EB7" w:rsidRPr="00A95EB7">
                <w:rPr>
                  <w:rStyle w:val="Hyperlink"/>
                  <w:rFonts w:ascii="Times New Roman" w:hAnsi="Times New Roman" w:cs="Times New Roman"/>
                  <w:sz w:val="20"/>
                  <w:szCs w:val="20"/>
                </w:rPr>
                <w:t>https://doi.org/10.2989/16085914.2017.1405788</w:t>
              </w:r>
            </w:hyperlink>
          </w:p>
        </w:tc>
      </w:tr>
      <w:tr w:rsidR="002D7080" w:rsidRPr="004D1E6F" w14:paraId="79AD647C" w14:textId="77777777" w:rsidTr="002E2C37">
        <w:trPr>
          <w:trHeight w:val="343"/>
        </w:trPr>
        <w:tc>
          <w:tcPr>
            <w:tcW w:w="9018" w:type="dxa"/>
            <w:gridSpan w:val="2"/>
            <w:shd w:val="clear" w:color="auto" w:fill="F2F2F2" w:themeFill="background1" w:themeFillShade="F2"/>
          </w:tcPr>
          <w:p w14:paraId="18C28678"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MAN3b Is detectability critically time-dependent?</w:t>
            </w:r>
          </w:p>
        </w:tc>
      </w:tr>
      <w:tr w:rsidR="002D7080" w:rsidRPr="004D1E6F" w14:paraId="7BA200E5" w14:textId="77777777" w:rsidTr="002E2C37">
        <w:trPr>
          <w:trHeight w:val="183"/>
        </w:trPr>
        <w:tc>
          <w:tcPr>
            <w:tcW w:w="5240" w:type="dxa"/>
          </w:tcPr>
          <w:p w14:paraId="0BF4E069"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2 (yes)</w:t>
            </w:r>
          </w:p>
        </w:tc>
        <w:tc>
          <w:tcPr>
            <w:tcW w:w="3778" w:type="dxa"/>
          </w:tcPr>
          <w:p w14:paraId="4C51DD42"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p>
        </w:tc>
      </w:tr>
      <w:tr w:rsidR="002D7080" w:rsidRPr="004D1E6F" w14:paraId="2A4886B0" w14:textId="77777777" w:rsidTr="002E2C37">
        <w:trPr>
          <w:trHeight w:val="343"/>
        </w:trPr>
        <w:tc>
          <w:tcPr>
            <w:tcW w:w="9018" w:type="dxa"/>
            <w:gridSpan w:val="2"/>
          </w:tcPr>
          <w:p w14:paraId="11093BD1"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sidRPr="004D1E6F">
              <w:rPr>
                <w:rFonts w:ascii="Times New Roman" w:eastAsia="Times New Roman" w:hAnsi="Times New Roman" w:cs="Times New Roman"/>
                <w:i/>
                <w:sz w:val="20"/>
                <w:szCs w:val="20"/>
                <w:lang w:eastAsia="en-ZA"/>
              </w:rPr>
              <w:t xml:space="preserve"> Faxonius immunis </w:t>
            </w:r>
            <w:r w:rsidRPr="004D1E6F">
              <w:rPr>
                <w:rFonts w:ascii="Times New Roman" w:eastAsia="Times New Roman" w:hAnsi="Times New Roman" w:cs="Times New Roman"/>
                <w:sz w:val="20"/>
                <w:szCs w:val="20"/>
                <w:lang w:eastAsia="en-ZA"/>
              </w:rPr>
              <w:t>is a small, largely nocturnal freshwater species that is difficult to detect (Chucholl 2012).</w:t>
            </w:r>
          </w:p>
        </w:tc>
      </w:tr>
      <w:tr w:rsidR="002D7080" w:rsidRPr="004D1E6F" w14:paraId="2E296B17" w14:textId="77777777" w:rsidTr="002E2C37">
        <w:trPr>
          <w:trHeight w:val="343"/>
        </w:trPr>
        <w:tc>
          <w:tcPr>
            <w:tcW w:w="9018" w:type="dxa"/>
            <w:gridSpan w:val="2"/>
          </w:tcPr>
          <w:p w14:paraId="3B63C589" w14:textId="77777777" w:rsidR="002D7080" w:rsidRPr="004D1E6F" w:rsidRDefault="002D7080" w:rsidP="002E2C37">
            <w:pPr>
              <w:jc w:val="both"/>
              <w:rPr>
                <w:rFonts w:ascii="Times New Roman" w:hAnsi="Times New Roman" w:cs="Times New Roman"/>
                <w:color w:val="000000" w:themeColor="text1"/>
                <w:sz w:val="20"/>
                <w:szCs w:val="20"/>
                <w:shd w:val="clear" w:color="auto" w:fill="FFFFFF"/>
              </w:rPr>
            </w:pPr>
            <w:r w:rsidRPr="004D1E6F">
              <w:rPr>
                <w:rFonts w:ascii="Times New Roman" w:eastAsia="Times New Roman" w:hAnsi="Times New Roman" w:cs="Times New Roman"/>
                <w:color w:val="000000"/>
                <w:sz w:val="20"/>
                <w:szCs w:val="20"/>
                <w:lang w:eastAsia="en-ZA"/>
              </w:rPr>
              <w:t>References:</w:t>
            </w:r>
            <w:r w:rsidRPr="004D1E6F">
              <w:rPr>
                <w:rFonts w:ascii="Times New Roman" w:hAnsi="Times New Roman" w:cs="Times New Roman"/>
                <w:color w:val="000000" w:themeColor="text1"/>
                <w:sz w:val="20"/>
                <w:szCs w:val="20"/>
                <w:shd w:val="clear" w:color="auto" w:fill="FFFFFF"/>
              </w:rPr>
              <w:t xml:space="preserve"> </w:t>
            </w:r>
          </w:p>
          <w:p w14:paraId="7D9DEA10" w14:textId="6B379AFE" w:rsidR="002D7080" w:rsidRPr="004D1E6F" w:rsidRDefault="002D7080" w:rsidP="002E2C37">
            <w:pPr>
              <w:ind w:left="540" w:hanging="540"/>
              <w:jc w:val="both"/>
              <w:rPr>
                <w:rFonts w:ascii="Times New Roman" w:eastAsia="Times New Roman" w:hAnsi="Times New Roman" w:cs="Times New Roman"/>
                <w:color w:val="000000"/>
                <w:sz w:val="20"/>
                <w:szCs w:val="20"/>
                <w:lang w:eastAsia="en-ZA"/>
              </w:rPr>
            </w:pPr>
            <w:r w:rsidRPr="004D1E6F">
              <w:rPr>
                <w:rFonts w:ascii="Times New Roman" w:hAnsi="Times New Roman" w:cs="Times New Roman"/>
                <w:color w:val="000000" w:themeColor="text1"/>
                <w:sz w:val="20"/>
                <w:szCs w:val="20"/>
                <w:shd w:val="clear" w:color="auto" w:fill="FFFFFF"/>
              </w:rPr>
              <w:t>Chucholl</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C</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2012</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 xml:space="preserve"> </w:t>
            </w:r>
            <w:r>
              <w:rPr>
                <w:rFonts w:ascii="Times New Roman" w:hAnsi="Times New Roman" w:cs="Times New Roman"/>
                <w:color w:val="000000" w:themeColor="text1"/>
                <w:sz w:val="20"/>
                <w:szCs w:val="20"/>
                <w:shd w:val="clear" w:color="auto" w:fill="FFFFFF"/>
              </w:rPr>
              <w:t>‘</w:t>
            </w:r>
            <w:r w:rsidRPr="004D1E6F">
              <w:rPr>
                <w:rFonts w:ascii="Times New Roman" w:hAnsi="Times New Roman" w:cs="Times New Roman"/>
                <w:color w:val="000000" w:themeColor="text1"/>
                <w:sz w:val="20"/>
                <w:szCs w:val="20"/>
                <w:shd w:val="clear" w:color="auto" w:fill="FFFFFF"/>
              </w:rPr>
              <w:t>Understanding invasion success: life-history traits and feeding habits of the alien crayfish </w:t>
            </w:r>
            <w:r w:rsidRPr="004D1E6F">
              <w:rPr>
                <w:rFonts w:ascii="Times New Roman" w:hAnsi="Times New Roman" w:cs="Times New Roman"/>
                <w:i/>
                <w:iCs/>
                <w:sz w:val="20"/>
                <w:szCs w:val="20"/>
              </w:rPr>
              <w:t>Orconectes </w:t>
            </w:r>
            <w:r w:rsidRPr="004D1E6F">
              <w:rPr>
                <w:rStyle w:val="species"/>
                <w:rFonts w:ascii="Times New Roman" w:hAnsi="Times New Roman" w:cs="Times New Roman"/>
                <w:i/>
                <w:iCs/>
                <w:color w:val="000000" w:themeColor="text1"/>
                <w:sz w:val="20"/>
                <w:szCs w:val="20"/>
                <w:shd w:val="clear" w:color="auto" w:fill="FFFFFF"/>
              </w:rPr>
              <w:t>immunis</w:t>
            </w:r>
            <w:r w:rsidRPr="004D1E6F">
              <w:rPr>
                <w:rFonts w:ascii="Times New Roman" w:hAnsi="Times New Roman" w:cs="Times New Roman"/>
                <w:color w:val="000000" w:themeColor="text1"/>
                <w:sz w:val="20"/>
                <w:szCs w:val="20"/>
                <w:shd w:val="clear" w:color="auto" w:fill="FFFFFF"/>
              </w:rPr>
              <w:t> (</w:t>
            </w:r>
            <w:r w:rsidRPr="004D1E6F">
              <w:rPr>
                <w:rStyle w:val="order"/>
                <w:rFonts w:ascii="Times New Roman" w:hAnsi="Times New Roman" w:cs="Times New Roman"/>
                <w:color w:val="000000" w:themeColor="text1"/>
                <w:sz w:val="20"/>
                <w:szCs w:val="20"/>
                <w:shd w:val="clear" w:color="auto" w:fill="FFFFFF"/>
              </w:rPr>
              <w:t>Decapoda</w:t>
            </w:r>
            <w:r w:rsidRPr="004D1E6F">
              <w:rPr>
                <w:rFonts w:ascii="Times New Roman" w:hAnsi="Times New Roman" w:cs="Times New Roman"/>
                <w:color w:val="000000" w:themeColor="text1"/>
                <w:sz w:val="20"/>
                <w:szCs w:val="20"/>
                <w:shd w:val="clear" w:color="auto" w:fill="FFFFFF"/>
              </w:rPr>
              <w:t>, Astacida, </w:t>
            </w:r>
            <w:r w:rsidRPr="004D1E6F">
              <w:rPr>
                <w:rStyle w:val="family"/>
                <w:rFonts w:ascii="Times New Roman" w:hAnsi="Times New Roman" w:cs="Times New Roman"/>
                <w:color w:val="000000" w:themeColor="text1"/>
                <w:sz w:val="20"/>
                <w:szCs w:val="20"/>
                <w:shd w:val="clear" w:color="auto" w:fill="FFFFFF"/>
              </w:rPr>
              <w:t>Cambaridae</w:t>
            </w:r>
            <w:r w:rsidRPr="004D1E6F">
              <w:rPr>
                <w:rFonts w:ascii="Times New Roman" w:hAnsi="Times New Roman" w:cs="Times New Roman"/>
                <w:color w:val="000000" w:themeColor="text1"/>
                <w:sz w:val="20"/>
                <w:szCs w:val="20"/>
                <w:shd w:val="clear" w:color="auto" w:fill="FFFFFF"/>
              </w:rPr>
              <w:t>)</w:t>
            </w:r>
            <w:r>
              <w:rPr>
                <w:rFonts w:ascii="Times New Roman" w:hAnsi="Times New Roman" w:cs="Times New Roman"/>
                <w:color w:val="000000" w:themeColor="text1"/>
                <w:sz w:val="20"/>
                <w:szCs w:val="20"/>
                <w:shd w:val="clear" w:color="auto" w:fill="FFFFFF"/>
              </w:rPr>
              <w:t xml:space="preserve">’, </w:t>
            </w:r>
            <w:r w:rsidRPr="004D1E6F">
              <w:rPr>
                <w:rFonts w:ascii="Times New Roman" w:hAnsi="Times New Roman" w:cs="Times New Roman"/>
                <w:i/>
                <w:iCs/>
                <w:color w:val="000000" w:themeColor="text1"/>
                <w:sz w:val="20"/>
                <w:szCs w:val="20"/>
                <w:shd w:val="clear" w:color="auto" w:fill="FFFFFF"/>
              </w:rPr>
              <w:t>Knowledge and Management of Aquatic Ecosystems</w:t>
            </w:r>
            <w:r w:rsidRPr="004D1E6F">
              <w:rPr>
                <w:rFonts w:ascii="Times New Roman" w:hAnsi="Times New Roman" w:cs="Times New Roman"/>
                <w:color w:val="000000" w:themeColor="text1"/>
                <w:sz w:val="20"/>
                <w:szCs w:val="20"/>
                <w:shd w:val="clear" w:color="auto" w:fill="FFFFFF"/>
              </w:rPr>
              <w:t xml:space="preserve"> 404: 04. </w:t>
            </w:r>
            <w:r w:rsidR="00484ECD" w:rsidRPr="008A0BC6">
              <w:rPr>
                <w:rFonts w:ascii="Times New Roman" w:hAnsi="Times New Roman" w:cs="Times New Roman"/>
                <w:sz w:val="20"/>
                <w:szCs w:val="20"/>
              </w:rPr>
              <w:t>https://doi.org/10.1051/kmae/2011082</w:t>
            </w:r>
            <w:r w:rsidRPr="008A0BC6">
              <w:rPr>
                <w:rStyle w:val="Hyperlink"/>
                <w:rFonts w:ascii="Times New Roman" w:hAnsi="Times New Roman" w:cs="Times New Roman"/>
                <w:color w:val="000000" w:themeColor="text1"/>
                <w:sz w:val="18"/>
                <w:szCs w:val="18"/>
                <w:shd w:val="clear" w:color="auto" w:fill="FFFFFF"/>
              </w:rPr>
              <w:t xml:space="preserve">.     </w:t>
            </w:r>
          </w:p>
        </w:tc>
      </w:tr>
      <w:tr w:rsidR="002D7080" w:rsidRPr="004D1E6F" w14:paraId="7E652187" w14:textId="77777777" w:rsidTr="002E2C37">
        <w:trPr>
          <w:trHeight w:val="343"/>
        </w:trPr>
        <w:tc>
          <w:tcPr>
            <w:tcW w:w="9018" w:type="dxa"/>
            <w:gridSpan w:val="2"/>
            <w:shd w:val="clear" w:color="auto" w:fill="F2F2F2" w:themeFill="background1" w:themeFillShade="F2"/>
          </w:tcPr>
          <w:p w14:paraId="05FE0DD4" w14:textId="77777777" w:rsidR="002D7080" w:rsidRPr="004D1E6F" w:rsidRDefault="002D7080" w:rsidP="002E2C37">
            <w:pPr>
              <w:jc w:val="both"/>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MAN3c Time to reproduction</w:t>
            </w:r>
          </w:p>
        </w:tc>
      </w:tr>
      <w:tr w:rsidR="002D7080" w:rsidRPr="004D1E6F" w14:paraId="512FC7BE" w14:textId="77777777" w:rsidTr="002E2C37">
        <w:trPr>
          <w:trHeight w:val="183"/>
        </w:trPr>
        <w:tc>
          <w:tcPr>
            <w:tcW w:w="5240" w:type="dxa"/>
          </w:tcPr>
          <w:p w14:paraId="08C43BFF"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1 (1-3 years)</w:t>
            </w:r>
          </w:p>
        </w:tc>
        <w:tc>
          <w:tcPr>
            <w:tcW w:w="3778" w:type="dxa"/>
          </w:tcPr>
          <w:p w14:paraId="6B3E542A"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High </w:t>
            </w:r>
          </w:p>
        </w:tc>
      </w:tr>
      <w:tr w:rsidR="002D7080" w:rsidRPr="004D1E6F" w14:paraId="193DF3C9" w14:textId="77777777" w:rsidTr="002E2C37">
        <w:trPr>
          <w:trHeight w:val="206"/>
        </w:trPr>
        <w:tc>
          <w:tcPr>
            <w:tcW w:w="9018" w:type="dxa"/>
            <w:gridSpan w:val="2"/>
          </w:tcPr>
          <w:p w14:paraId="310EA0DC"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i/>
                <w:sz w:val="20"/>
                <w:szCs w:val="20"/>
                <w:lang w:eastAsia="en-ZA"/>
              </w:rPr>
              <w:t xml:space="preserve"> Faxonius immunis </w:t>
            </w:r>
            <w:r w:rsidRPr="004D1E6F">
              <w:rPr>
                <w:rFonts w:ascii="Times New Roman" w:eastAsia="Times New Roman" w:hAnsi="Times New Roman" w:cs="Times New Roman"/>
                <w:sz w:val="20"/>
                <w:szCs w:val="20"/>
                <w:lang w:eastAsia="en-ZA"/>
              </w:rPr>
              <w:t>reach sexual maturity in one-two years (Chucholl 2012).</w:t>
            </w:r>
          </w:p>
        </w:tc>
      </w:tr>
      <w:tr w:rsidR="002D7080" w:rsidRPr="004D1E6F" w14:paraId="7A08C1E1" w14:textId="77777777" w:rsidTr="002E2C37">
        <w:trPr>
          <w:trHeight w:val="343"/>
        </w:trPr>
        <w:tc>
          <w:tcPr>
            <w:tcW w:w="9018" w:type="dxa"/>
            <w:gridSpan w:val="2"/>
          </w:tcPr>
          <w:p w14:paraId="78BE3404"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References:</w:t>
            </w:r>
          </w:p>
          <w:p w14:paraId="33DE8107" w14:textId="4F41E361" w:rsidR="002D7080" w:rsidRPr="004D1E6F" w:rsidRDefault="002D7080" w:rsidP="002E2C37">
            <w:pPr>
              <w:ind w:left="540" w:hanging="540"/>
              <w:jc w:val="both"/>
              <w:rPr>
                <w:rFonts w:ascii="Times New Roman" w:eastAsia="Times New Roman" w:hAnsi="Times New Roman" w:cs="Times New Roman"/>
                <w:color w:val="000000"/>
                <w:sz w:val="20"/>
                <w:szCs w:val="20"/>
                <w:lang w:eastAsia="en-ZA"/>
              </w:rPr>
            </w:pPr>
            <w:r w:rsidRPr="003477B4">
              <w:rPr>
                <w:rFonts w:ascii="Times New Roman" w:hAnsi="Times New Roman" w:cs="Times New Roman"/>
                <w:color w:val="000000" w:themeColor="text1"/>
                <w:sz w:val="20"/>
                <w:szCs w:val="20"/>
                <w:shd w:val="clear" w:color="auto" w:fill="FFFFFF"/>
              </w:rPr>
              <w:t xml:space="preserve">Chucholl, C., 2012, ‘Understanding invasion success: life-history traits and feeding habits of the alien crayfish </w:t>
            </w:r>
            <w:r w:rsidRPr="003477B4">
              <w:rPr>
                <w:rFonts w:ascii="Times New Roman" w:hAnsi="Times New Roman" w:cs="Times New Roman"/>
                <w:i/>
                <w:iCs/>
                <w:color w:val="000000" w:themeColor="text1"/>
                <w:sz w:val="20"/>
                <w:szCs w:val="20"/>
                <w:shd w:val="clear" w:color="auto" w:fill="FFFFFF"/>
              </w:rPr>
              <w:t>Orconectes immunis</w:t>
            </w:r>
            <w:r w:rsidRPr="003477B4">
              <w:rPr>
                <w:rFonts w:ascii="Times New Roman" w:hAnsi="Times New Roman" w:cs="Times New Roman"/>
                <w:color w:val="000000" w:themeColor="text1"/>
                <w:sz w:val="20"/>
                <w:szCs w:val="20"/>
                <w:shd w:val="clear" w:color="auto" w:fill="FFFFFF"/>
              </w:rPr>
              <w:t xml:space="preserve"> (Decapoda, Astacida, Cambaridae)’, </w:t>
            </w:r>
            <w:r w:rsidRPr="003477B4">
              <w:rPr>
                <w:rFonts w:ascii="Times New Roman" w:hAnsi="Times New Roman" w:cs="Times New Roman"/>
                <w:i/>
                <w:iCs/>
                <w:color w:val="000000" w:themeColor="text1"/>
                <w:sz w:val="20"/>
                <w:szCs w:val="20"/>
                <w:shd w:val="clear" w:color="auto" w:fill="FFFFFF"/>
              </w:rPr>
              <w:t>Knowledge and Management of Aquatic Ecosystems</w:t>
            </w:r>
            <w:r w:rsidRPr="003477B4">
              <w:rPr>
                <w:rFonts w:ascii="Times New Roman" w:hAnsi="Times New Roman" w:cs="Times New Roman"/>
                <w:color w:val="000000" w:themeColor="text1"/>
                <w:sz w:val="20"/>
                <w:szCs w:val="20"/>
                <w:shd w:val="clear" w:color="auto" w:fill="FFFFFF"/>
              </w:rPr>
              <w:t>, (404), 04</w:t>
            </w:r>
            <w:r w:rsidRPr="008A0BC6">
              <w:rPr>
                <w:rFonts w:ascii="Times New Roman" w:hAnsi="Times New Roman" w:cs="Times New Roman"/>
                <w:color w:val="000000" w:themeColor="text1"/>
                <w:sz w:val="18"/>
                <w:szCs w:val="18"/>
                <w:shd w:val="clear" w:color="auto" w:fill="FFFFFF"/>
              </w:rPr>
              <w:t xml:space="preserve">. </w:t>
            </w:r>
            <w:r w:rsidR="00484ECD" w:rsidRPr="008A0BC6">
              <w:rPr>
                <w:rFonts w:ascii="Times New Roman" w:hAnsi="Times New Roman" w:cs="Times New Roman"/>
                <w:sz w:val="20"/>
                <w:szCs w:val="20"/>
              </w:rPr>
              <w:t>https://doi.org/10.1051/kmae/2011082</w:t>
            </w:r>
            <w:r w:rsidR="00484ECD" w:rsidRPr="008A0BC6">
              <w:rPr>
                <w:rFonts w:ascii="Times New Roman" w:hAnsi="Times New Roman" w:cs="Times New Roman"/>
                <w:sz w:val="20"/>
                <w:szCs w:val="20"/>
                <w:u w:val="single"/>
              </w:rPr>
              <w:t>.</w:t>
            </w:r>
            <w:r w:rsidR="00484ECD" w:rsidRPr="008A0BC6">
              <w:rPr>
                <w:sz w:val="20"/>
                <w:szCs w:val="20"/>
                <w:u w:val="single"/>
              </w:rPr>
              <w:t xml:space="preserve">     </w:t>
            </w:r>
            <w:r w:rsidRPr="008B584E">
              <w:rPr>
                <w:rFonts w:ascii="Arial" w:hAnsi="Arial" w:cs="Arial"/>
                <w:color w:val="000000" w:themeColor="text1"/>
                <w:sz w:val="20"/>
                <w:szCs w:val="20"/>
                <w:shd w:val="clear" w:color="auto" w:fill="FFFFFF"/>
              </w:rPr>
              <w:t xml:space="preserve">   </w:t>
            </w:r>
            <w:r w:rsidRPr="008B584E">
              <w:rPr>
                <w:rFonts w:ascii="Arial" w:hAnsi="Arial" w:cs="Arial"/>
                <w:color w:val="000000" w:themeColor="text1"/>
                <w:sz w:val="20"/>
                <w:szCs w:val="20"/>
                <w:u w:val="single"/>
                <w:shd w:val="clear" w:color="auto" w:fill="FFFFFF"/>
              </w:rPr>
              <w:t xml:space="preserve"> </w:t>
            </w:r>
          </w:p>
        </w:tc>
      </w:tr>
      <w:tr w:rsidR="002D7080" w:rsidRPr="004D1E6F" w14:paraId="31930928" w14:textId="77777777" w:rsidTr="002E2C37">
        <w:trPr>
          <w:trHeight w:val="343"/>
        </w:trPr>
        <w:tc>
          <w:tcPr>
            <w:tcW w:w="9018" w:type="dxa"/>
            <w:gridSpan w:val="2"/>
            <w:shd w:val="clear" w:color="auto" w:fill="F2F2F2" w:themeFill="background1" w:themeFillShade="F2"/>
          </w:tcPr>
          <w:p w14:paraId="3D02DADC"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MAN3d Propagule persistence</w:t>
            </w:r>
          </w:p>
        </w:tc>
      </w:tr>
      <w:tr w:rsidR="002D7080" w:rsidRPr="004D1E6F" w14:paraId="542C3515" w14:textId="77777777" w:rsidTr="002E2C37">
        <w:trPr>
          <w:trHeight w:val="183"/>
        </w:trPr>
        <w:tc>
          <w:tcPr>
            <w:tcW w:w="5240" w:type="dxa"/>
          </w:tcPr>
          <w:p w14:paraId="70D31833"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0 (&lt;1 year)</w:t>
            </w:r>
          </w:p>
        </w:tc>
        <w:tc>
          <w:tcPr>
            <w:tcW w:w="3778" w:type="dxa"/>
          </w:tcPr>
          <w:p w14:paraId="6D54401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High </w:t>
            </w:r>
          </w:p>
        </w:tc>
      </w:tr>
      <w:tr w:rsidR="002D7080" w:rsidRPr="004D1E6F" w14:paraId="15CFBF8F" w14:textId="77777777" w:rsidTr="002E2C37">
        <w:trPr>
          <w:trHeight w:val="343"/>
        </w:trPr>
        <w:tc>
          <w:tcPr>
            <w:tcW w:w="9018" w:type="dxa"/>
            <w:gridSpan w:val="2"/>
          </w:tcPr>
          <w:p w14:paraId="3EFD4869"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i/>
                <w:sz w:val="20"/>
                <w:szCs w:val="20"/>
                <w:lang w:eastAsia="en-ZA"/>
              </w:rPr>
              <w:t xml:space="preserve"> Faxonius immunis</w:t>
            </w:r>
            <w:r w:rsidRPr="004D1E6F">
              <w:rPr>
                <w:rFonts w:ascii="Times New Roman" w:eastAsia="Times New Roman" w:hAnsi="Times New Roman" w:cs="Times New Roman"/>
                <w:sz w:val="20"/>
                <w:szCs w:val="20"/>
                <w:lang w:eastAsia="en-ZA"/>
              </w:rPr>
              <w:t xml:space="preserve"> are </w:t>
            </w:r>
            <w:r w:rsidRPr="004D1E6F">
              <w:rPr>
                <w:rFonts w:ascii="Times New Roman" w:eastAsia="Times New Roman" w:hAnsi="Times New Roman" w:cs="Times New Roman"/>
                <w:iCs/>
                <w:sz w:val="20"/>
                <w:szCs w:val="20"/>
                <w:lang w:eastAsia="en-ZA"/>
              </w:rPr>
              <w:t>highly fecund,</w:t>
            </w:r>
            <w:r w:rsidRPr="004D1E6F">
              <w:rPr>
                <w:rFonts w:ascii="Times New Roman" w:eastAsia="Times New Roman" w:hAnsi="Times New Roman" w:cs="Times New Roman"/>
                <w:sz w:val="20"/>
                <w:szCs w:val="20"/>
                <w:lang w:eastAsia="en-ZA"/>
              </w:rPr>
              <w:t xml:space="preserve"> a female produces up to 261 eggs, with limited parental care (Chucholl 2012). </w:t>
            </w:r>
          </w:p>
        </w:tc>
      </w:tr>
      <w:tr w:rsidR="002D7080" w:rsidRPr="004D1E6F" w14:paraId="3B9F65C8" w14:textId="77777777" w:rsidTr="002E2C37">
        <w:trPr>
          <w:trHeight w:val="343"/>
        </w:trPr>
        <w:tc>
          <w:tcPr>
            <w:tcW w:w="9018" w:type="dxa"/>
            <w:gridSpan w:val="2"/>
          </w:tcPr>
          <w:p w14:paraId="5DF49B80" w14:textId="77777777" w:rsidR="002D7080" w:rsidRPr="003477B4" w:rsidRDefault="002D7080" w:rsidP="002E2C37">
            <w:pPr>
              <w:jc w:val="both"/>
              <w:rPr>
                <w:rFonts w:ascii="Times New Roman" w:eastAsia="Times New Roman" w:hAnsi="Times New Roman" w:cs="Times New Roman"/>
                <w:color w:val="000000" w:themeColor="text1"/>
                <w:sz w:val="20"/>
                <w:szCs w:val="20"/>
                <w:lang w:eastAsia="en-ZA"/>
              </w:rPr>
            </w:pPr>
            <w:r w:rsidRPr="003477B4">
              <w:rPr>
                <w:rFonts w:ascii="Times New Roman" w:eastAsia="Times New Roman" w:hAnsi="Times New Roman" w:cs="Times New Roman"/>
                <w:color w:val="000000" w:themeColor="text1"/>
                <w:sz w:val="20"/>
                <w:szCs w:val="20"/>
                <w:lang w:eastAsia="en-ZA"/>
              </w:rPr>
              <w:t>References:</w:t>
            </w:r>
          </w:p>
          <w:p w14:paraId="0BFE7371" w14:textId="7142087B" w:rsidR="002D7080" w:rsidRPr="004D1E6F" w:rsidRDefault="002D7080" w:rsidP="002E2C37">
            <w:pPr>
              <w:ind w:left="540" w:hanging="540"/>
              <w:jc w:val="both"/>
              <w:rPr>
                <w:rFonts w:ascii="Times New Roman" w:eastAsia="Times New Roman" w:hAnsi="Times New Roman" w:cs="Times New Roman"/>
                <w:color w:val="000000"/>
                <w:sz w:val="20"/>
                <w:szCs w:val="20"/>
                <w:lang w:eastAsia="en-ZA"/>
              </w:rPr>
            </w:pPr>
            <w:r w:rsidRPr="003477B4">
              <w:rPr>
                <w:rFonts w:ascii="Times New Roman" w:hAnsi="Times New Roman" w:cs="Times New Roman"/>
                <w:color w:val="000000" w:themeColor="text1"/>
                <w:sz w:val="20"/>
                <w:szCs w:val="20"/>
                <w:shd w:val="clear" w:color="auto" w:fill="FFFFFF"/>
              </w:rPr>
              <w:t xml:space="preserve">Chucholl, C., 2012, ‘Understanding invasion success: life-history traits and feeding habits of the alien crayfish </w:t>
            </w:r>
            <w:r w:rsidRPr="003477B4">
              <w:rPr>
                <w:rFonts w:ascii="Times New Roman" w:hAnsi="Times New Roman" w:cs="Times New Roman"/>
                <w:i/>
                <w:iCs/>
                <w:color w:val="000000" w:themeColor="text1"/>
                <w:sz w:val="20"/>
                <w:szCs w:val="20"/>
                <w:shd w:val="clear" w:color="auto" w:fill="FFFFFF"/>
              </w:rPr>
              <w:t>Orconectes immunis</w:t>
            </w:r>
            <w:r w:rsidRPr="003477B4">
              <w:rPr>
                <w:rFonts w:ascii="Times New Roman" w:hAnsi="Times New Roman" w:cs="Times New Roman"/>
                <w:color w:val="000000" w:themeColor="text1"/>
                <w:sz w:val="20"/>
                <w:szCs w:val="20"/>
                <w:shd w:val="clear" w:color="auto" w:fill="FFFFFF"/>
              </w:rPr>
              <w:t xml:space="preserve"> (Decapoda, Astacida, Cambaridae)’, </w:t>
            </w:r>
            <w:r w:rsidRPr="003477B4">
              <w:rPr>
                <w:rFonts w:ascii="Times New Roman" w:hAnsi="Times New Roman" w:cs="Times New Roman"/>
                <w:i/>
                <w:iCs/>
                <w:color w:val="000000" w:themeColor="text1"/>
                <w:sz w:val="20"/>
                <w:szCs w:val="20"/>
                <w:shd w:val="clear" w:color="auto" w:fill="FFFFFF"/>
              </w:rPr>
              <w:t>Knowledge and Management of Aquatic Ecosystems</w:t>
            </w:r>
            <w:r w:rsidRPr="003477B4">
              <w:rPr>
                <w:rFonts w:ascii="Times New Roman" w:hAnsi="Times New Roman" w:cs="Times New Roman"/>
                <w:color w:val="000000" w:themeColor="text1"/>
                <w:sz w:val="20"/>
                <w:szCs w:val="20"/>
                <w:shd w:val="clear" w:color="auto" w:fill="FFFFFF"/>
              </w:rPr>
              <w:t>, (404), 04</w:t>
            </w:r>
            <w:r w:rsidRPr="003477B4">
              <w:rPr>
                <w:rFonts w:ascii="Arial" w:hAnsi="Arial" w:cs="Arial"/>
                <w:color w:val="000000" w:themeColor="text1"/>
                <w:sz w:val="20"/>
                <w:szCs w:val="20"/>
                <w:shd w:val="clear" w:color="auto" w:fill="FFFFFF"/>
              </w:rPr>
              <w:t>.</w:t>
            </w:r>
            <w:r w:rsidRPr="008B584E">
              <w:rPr>
                <w:rFonts w:ascii="Times New Roman" w:hAnsi="Times New Roman" w:cs="Times New Roman"/>
                <w:color w:val="000000" w:themeColor="text1"/>
                <w:sz w:val="20"/>
                <w:szCs w:val="20"/>
                <w:shd w:val="clear" w:color="auto" w:fill="FFFFFF"/>
              </w:rPr>
              <w:t xml:space="preserve"> </w:t>
            </w:r>
            <w:r w:rsidR="00484ECD" w:rsidRPr="008A0BC6">
              <w:rPr>
                <w:rFonts w:ascii="Times New Roman" w:hAnsi="Times New Roman" w:cs="Times New Roman"/>
                <w:sz w:val="20"/>
                <w:szCs w:val="20"/>
              </w:rPr>
              <w:t>https://doi.org/10.1051/kmae/2011082</w:t>
            </w:r>
            <w:r w:rsidR="00484ECD" w:rsidRPr="00484ECD">
              <w:rPr>
                <w:u w:val="single"/>
              </w:rPr>
              <w:t xml:space="preserve">.    </w:t>
            </w:r>
          </w:p>
        </w:tc>
      </w:tr>
      <w:tr w:rsidR="002D7080" w:rsidRPr="004D1E6F" w14:paraId="2BDF6457" w14:textId="77777777" w:rsidTr="002E2C37">
        <w:trPr>
          <w:trHeight w:val="343"/>
        </w:trPr>
        <w:tc>
          <w:tcPr>
            <w:tcW w:w="9018" w:type="dxa"/>
            <w:gridSpan w:val="2"/>
            <w:shd w:val="clear" w:color="auto" w:fill="F2F2F2" w:themeFill="background1" w:themeFillShade="F2"/>
          </w:tcPr>
          <w:p w14:paraId="6D10782E"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 xml:space="preserve">MAN3 Ease of management </w:t>
            </w:r>
            <w:r w:rsidRPr="004D1E6F">
              <w:rPr>
                <w:rFonts w:ascii="Times New Roman" w:eastAsia="Times New Roman" w:hAnsi="Times New Roman" w:cs="Times New Roman"/>
                <w:color w:val="000000"/>
                <w:sz w:val="20"/>
                <w:szCs w:val="20"/>
                <w:lang w:eastAsia="en-ZA"/>
              </w:rPr>
              <w:t>(Table 4)</w:t>
            </w:r>
          </w:p>
        </w:tc>
      </w:tr>
      <w:tr w:rsidR="002D7080" w:rsidRPr="004D1E6F" w14:paraId="6C7F238D" w14:textId="77777777" w:rsidTr="002E2C37">
        <w:trPr>
          <w:trHeight w:val="172"/>
        </w:trPr>
        <w:tc>
          <w:tcPr>
            <w:tcW w:w="5240" w:type="dxa"/>
          </w:tcPr>
          <w:p w14:paraId="3419192D"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Medium </w:t>
            </w:r>
          </w:p>
        </w:tc>
        <w:tc>
          <w:tcPr>
            <w:tcW w:w="3778" w:type="dxa"/>
          </w:tcPr>
          <w:p w14:paraId="41E7965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High </w:t>
            </w:r>
          </w:p>
        </w:tc>
      </w:tr>
      <w:tr w:rsidR="002D7080" w:rsidRPr="004D1E6F" w14:paraId="2FA58FB2" w14:textId="77777777" w:rsidTr="002E2C37">
        <w:trPr>
          <w:trHeight w:val="343"/>
        </w:trPr>
        <w:tc>
          <w:tcPr>
            <w:tcW w:w="9018" w:type="dxa"/>
            <w:gridSpan w:val="2"/>
          </w:tcPr>
          <w:p w14:paraId="6483CEE8"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iCs/>
                <w:sz w:val="20"/>
                <w:szCs w:val="20"/>
                <w:lang w:eastAsia="en-ZA"/>
              </w:rPr>
              <w:t>Faxonius immunis</w:t>
            </w:r>
            <w:r w:rsidRPr="004D1E6F">
              <w:rPr>
                <w:rFonts w:ascii="Times New Roman" w:eastAsia="Times New Roman" w:hAnsi="Times New Roman" w:cs="Times New Roman"/>
                <w:sz w:val="20"/>
                <w:szCs w:val="20"/>
                <w:lang w:eastAsia="en-ZA"/>
              </w:rPr>
              <w:t xml:space="preserve"> is a small, largely nocturnal freshwater species that is difficult to detect, reaches sexual maturity in one-two years and is highly fecund (up to 261 eggs) (Chucholl 2012).</w:t>
            </w:r>
          </w:p>
        </w:tc>
      </w:tr>
      <w:tr w:rsidR="002D7080" w:rsidRPr="004D1E6F" w14:paraId="6E6102E5" w14:textId="77777777" w:rsidTr="002E2C37">
        <w:trPr>
          <w:trHeight w:val="343"/>
        </w:trPr>
        <w:tc>
          <w:tcPr>
            <w:tcW w:w="9018" w:type="dxa"/>
            <w:gridSpan w:val="2"/>
          </w:tcPr>
          <w:p w14:paraId="7D866B5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28D0D3FB" w14:textId="0D4C4A27" w:rsidR="002D7080" w:rsidRPr="004D1E6F" w:rsidRDefault="002D7080" w:rsidP="002E2C37">
            <w:pPr>
              <w:ind w:left="450" w:hanging="540"/>
              <w:jc w:val="both"/>
              <w:rPr>
                <w:rFonts w:ascii="Times New Roman" w:eastAsia="Times New Roman" w:hAnsi="Times New Roman" w:cs="Times New Roman"/>
                <w:color w:val="000000"/>
                <w:sz w:val="20"/>
                <w:szCs w:val="20"/>
                <w:lang w:eastAsia="en-ZA"/>
              </w:rPr>
            </w:pPr>
            <w:r w:rsidRPr="003477B4">
              <w:rPr>
                <w:rFonts w:ascii="Times New Roman" w:hAnsi="Times New Roman" w:cs="Times New Roman"/>
                <w:color w:val="000000" w:themeColor="text1"/>
                <w:sz w:val="20"/>
                <w:szCs w:val="20"/>
                <w:shd w:val="clear" w:color="auto" w:fill="FFFFFF"/>
              </w:rPr>
              <w:t xml:space="preserve">Chucholl, C., 2012, ‘Understanding invasion success: life-history traits and feeding habits of the alien crayfish </w:t>
            </w:r>
            <w:r w:rsidRPr="003477B4">
              <w:rPr>
                <w:rFonts w:ascii="Times New Roman" w:hAnsi="Times New Roman" w:cs="Times New Roman"/>
                <w:i/>
                <w:iCs/>
                <w:color w:val="000000" w:themeColor="text1"/>
                <w:sz w:val="20"/>
                <w:szCs w:val="20"/>
                <w:shd w:val="clear" w:color="auto" w:fill="FFFFFF"/>
              </w:rPr>
              <w:t>Orconectes immunis</w:t>
            </w:r>
            <w:r w:rsidRPr="003477B4">
              <w:rPr>
                <w:rFonts w:ascii="Times New Roman" w:hAnsi="Times New Roman" w:cs="Times New Roman"/>
                <w:color w:val="000000" w:themeColor="text1"/>
                <w:sz w:val="20"/>
                <w:szCs w:val="20"/>
                <w:shd w:val="clear" w:color="auto" w:fill="FFFFFF"/>
              </w:rPr>
              <w:t xml:space="preserve"> (Decapoda, Astacida, Cambaridae)’, </w:t>
            </w:r>
            <w:r w:rsidRPr="003477B4">
              <w:rPr>
                <w:rFonts w:ascii="Times New Roman" w:hAnsi="Times New Roman" w:cs="Times New Roman"/>
                <w:i/>
                <w:iCs/>
                <w:color w:val="000000" w:themeColor="text1"/>
                <w:sz w:val="20"/>
                <w:szCs w:val="20"/>
                <w:shd w:val="clear" w:color="auto" w:fill="FFFFFF"/>
              </w:rPr>
              <w:t>Knowledge and Management of Aquatic Ecosystems</w:t>
            </w:r>
            <w:r w:rsidRPr="003477B4">
              <w:rPr>
                <w:rFonts w:ascii="Times New Roman" w:hAnsi="Times New Roman" w:cs="Times New Roman"/>
                <w:color w:val="000000" w:themeColor="text1"/>
                <w:sz w:val="20"/>
                <w:szCs w:val="20"/>
                <w:shd w:val="clear" w:color="auto" w:fill="FFFFFF"/>
              </w:rPr>
              <w:t>, (404), 04</w:t>
            </w:r>
            <w:r w:rsidRPr="003477B4">
              <w:rPr>
                <w:rFonts w:ascii="Arial" w:hAnsi="Arial" w:cs="Arial"/>
                <w:color w:val="000000" w:themeColor="text1"/>
                <w:sz w:val="20"/>
                <w:szCs w:val="20"/>
                <w:shd w:val="clear" w:color="auto" w:fill="FFFFFF"/>
              </w:rPr>
              <w:t>.</w:t>
            </w:r>
            <w:r>
              <w:rPr>
                <w:rFonts w:ascii="Arial" w:hAnsi="Arial" w:cs="Arial"/>
                <w:color w:val="000000" w:themeColor="text1"/>
                <w:sz w:val="20"/>
                <w:szCs w:val="20"/>
                <w:shd w:val="clear" w:color="auto" w:fill="FFFFFF"/>
              </w:rPr>
              <w:t xml:space="preserve"> </w:t>
            </w:r>
            <w:r w:rsidR="00484ECD" w:rsidRPr="008A0BC6">
              <w:rPr>
                <w:rFonts w:ascii="Times New Roman" w:hAnsi="Times New Roman" w:cs="Times New Roman"/>
                <w:sz w:val="20"/>
                <w:szCs w:val="20"/>
              </w:rPr>
              <w:t>https://doi.org/10.1051/kmae/2011082</w:t>
            </w:r>
            <w:r w:rsidR="00484ECD" w:rsidRPr="00484ECD">
              <w:rPr>
                <w:u w:val="single"/>
              </w:rPr>
              <w:t xml:space="preserve">.    </w:t>
            </w:r>
          </w:p>
        </w:tc>
      </w:tr>
    </w:tbl>
    <w:p w14:paraId="1AB90CAC"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7"/>
        <w:tblW w:w="9018" w:type="dxa"/>
        <w:tblLook w:val="04A0" w:firstRow="1" w:lastRow="0" w:firstColumn="1" w:lastColumn="0" w:noHBand="0" w:noVBand="1"/>
      </w:tblPr>
      <w:tblGrid>
        <w:gridCol w:w="5240"/>
        <w:gridCol w:w="3778"/>
      </w:tblGrid>
      <w:tr w:rsidR="002D7080" w:rsidRPr="004D1E6F" w14:paraId="3A901851" w14:textId="77777777" w:rsidTr="002E2C37">
        <w:trPr>
          <w:trHeight w:val="343"/>
        </w:trPr>
        <w:tc>
          <w:tcPr>
            <w:tcW w:w="9018" w:type="dxa"/>
            <w:gridSpan w:val="2"/>
            <w:shd w:val="clear" w:color="auto" w:fill="F2F2F2" w:themeFill="background1" w:themeFillShade="F2"/>
          </w:tcPr>
          <w:p w14:paraId="4827D12A"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MAN4 Has the feasibility of eradication been evaluated?</w:t>
            </w:r>
          </w:p>
        </w:tc>
      </w:tr>
      <w:tr w:rsidR="002D7080" w:rsidRPr="004D1E6F" w14:paraId="317A1EEB" w14:textId="77777777" w:rsidTr="002E2C37">
        <w:trPr>
          <w:trHeight w:val="172"/>
        </w:trPr>
        <w:tc>
          <w:tcPr>
            <w:tcW w:w="5240" w:type="dxa"/>
          </w:tcPr>
          <w:p w14:paraId="4501B00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No</w:t>
            </w:r>
          </w:p>
        </w:tc>
        <w:tc>
          <w:tcPr>
            <w:tcW w:w="3778" w:type="dxa"/>
          </w:tcPr>
          <w:p w14:paraId="6CCA8C6D"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Medium </w:t>
            </w:r>
          </w:p>
        </w:tc>
      </w:tr>
      <w:tr w:rsidR="002D7080" w:rsidRPr="004D1E6F" w14:paraId="012FA342" w14:textId="77777777" w:rsidTr="002E2C37">
        <w:trPr>
          <w:trHeight w:val="343"/>
        </w:trPr>
        <w:tc>
          <w:tcPr>
            <w:tcW w:w="9018" w:type="dxa"/>
            <w:gridSpan w:val="2"/>
          </w:tcPr>
          <w:p w14:paraId="3500F7CF"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sz w:val="20"/>
                <w:szCs w:val="20"/>
                <w:lang w:eastAsia="en-ZA"/>
              </w:rPr>
              <w:t>T</w:t>
            </w:r>
            <w:r w:rsidRPr="004D1E6F">
              <w:rPr>
                <w:rFonts w:ascii="Times New Roman" w:eastAsia="Times New Roman" w:hAnsi="Times New Roman" w:cs="Times New Roman"/>
                <w:sz w:val="20"/>
                <w:lang w:eastAsia="en-ZA"/>
              </w:rPr>
              <w:t xml:space="preserve">here are no known population of </w:t>
            </w:r>
            <w:r w:rsidRPr="004D1E6F">
              <w:rPr>
                <w:rFonts w:ascii="Times New Roman" w:eastAsia="Times New Roman" w:hAnsi="Times New Roman" w:cs="Times New Roman"/>
                <w:i/>
                <w:iCs/>
                <w:sz w:val="20"/>
                <w:lang w:eastAsia="en-ZA"/>
              </w:rPr>
              <w:t>F. immunis</w:t>
            </w:r>
            <w:r w:rsidRPr="004D1E6F">
              <w:rPr>
                <w:rFonts w:ascii="Times New Roman" w:eastAsia="Times New Roman" w:hAnsi="Times New Roman" w:cs="Times New Roman"/>
                <w:sz w:val="20"/>
                <w:lang w:eastAsia="en-ZA"/>
              </w:rPr>
              <w:t xml:space="preserve"> in South Africa, therefore eradication feasibility has not been no evaluated (Nunes et al. 2017) but see MAN5 for summary of control efforts used to manage invasive crayfish populations.  </w:t>
            </w:r>
          </w:p>
        </w:tc>
      </w:tr>
      <w:tr w:rsidR="002D7080" w:rsidRPr="004D1E6F" w14:paraId="105BA23E" w14:textId="77777777" w:rsidTr="002E2C37">
        <w:trPr>
          <w:trHeight w:val="343"/>
        </w:trPr>
        <w:tc>
          <w:tcPr>
            <w:tcW w:w="9018" w:type="dxa"/>
            <w:gridSpan w:val="2"/>
          </w:tcPr>
          <w:p w14:paraId="1B96D366"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0438C148" w14:textId="16790E6F" w:rsidR="002D7080" w:rsidRPr="004D1E6F" w:rsidRDefault="002D7080" w:rsidP="002E2C37">
            <w:pPr>
              <w:ind w:left="540" w:hanging="54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iCs/>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212" w:history="1">
              <w:r w:rsidR="00554142" w:rsidRPr="00554142">
                <w:rPr>
                  <w:rStyle w:val="Hyperlink"/>
                  <w:rFonts w:ascii="Times New Roman" w:hAnsi="Times New Roman" w:cs="Times New Roman"/>
                  <w:sz w:val="20"/>
                  <w:szCs w:val="20"/>
                </w:rPr>
                <w:t>https://doi.org/10.2989/16085914.2017.1405788</w:t>
              </w:r>
            </w:hyperlink>
          </w:p>
        </w:tc>
      </w:tr>
    </w:tbl>
    <w:p w14:paraId="266BCD66"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7"/>
        <w:tblW w:w="9067" w:type="dxa"/>
        <w:tblLook w:val="04A0" w:firstRow="1" w:lastRow="0" w:firstColumn="1" w:lastColumn="0" w:noHBand="0" w:noVBand="1"/>
      </w:tblPr>
      <w:tblGrid>
        <w:gridCol w:w="9067"/>
      </w:tblGrid>
      <w:tr w:rsidR="002D7080" w:rsidRPr="004D1E6F" w14:paraId="530D9D58" w14:textId="77777777" w:rsidTr="002E2C37">
        <w:trPr>
          <w:trHeight w:val="343"/>
        </w:trPr>
        <w:tc>
          <w:tcPr>
            <w:tcW w:w="9067" w:type="dxa"/>
            <w:shd w:val="clear" w:color="auto" w:fill="F2F2F2" w:themeFill="background1" w:themeFillShade="F2"/>
          </w:tcPr>
          <w:p w14:paraId="10B38BFA"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sz w:val="20"/>
                <w:szCs w:val="20"/>
                <w:lang w:eastAsia="en-ZA"/>
              </w:rPr>
              <w:t xml:space="preserve">MAN5 Control options and monitoring approaches available for the </w:t>
            </w:r>
            <w:r w:rsidRPr="004D1E6F">
              <w:rPr>
                <w:rFonts w:ascii="Times New Roman" w:eastAsia="Times New Roman" w:hAnsi="Times New Roman" w:cs="Times New Roman"/>
                <w:b/>
                <w:i/>
                <w:sz w:val="20"/>
                <w:szCs w:val="20"/>
                <w:lang w:eastAsia="en-ZA"/>
              </w:rPr>
              <w:t>Taxon</w:t>
            </w:r>
          </w:p>
        </w:tc>
      </w:tr>
      <w:tr w:rsidR="002D7080" w:rsidRPr="004D1E6F" w14:paraId="38609C06" w14:textId="77777777" w:rsidTr="002E2C37">
        <w:trPr>
          <w:trHeight w:val="70"/>
        </w:trPr>
        <w:tc>
          <w:tcPr>
            <w:tcW w:w="9067" w:type="dxa"/>
          </w:tcPr>
          <w:p w14:paraId="4C5A1EE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Several methods can be used to monitor and control invasive crayfish populations including mechanical trapping</w:t>
            </w:r>
            <w:r w:rsidRPr="004D1E6F">
              <w:rPr>
                <w:rFonts w:ascii="Times New Roman" w:eastAsia="Times New Roman" w:hAnsi="Times New Roman" w:cs="Times New Roman"/>
                <w:iCs/>
                <w:sz w:val="20"/>
                <w:szCs w:val="20"/>
                <w:lang w:eastAsia="en-ZA"/>
              </w:rPr>
              <w:t xml:space="preserve"> (e.g., </w:t>
            </w:r>
            <w:r w:rsidRPr="004D1E6F">
              <w:rPr>
                <w:rStyle w:val="cf01"/>
                <w:rFonts w:ascii="Times New Roman" w:hAnsi="Times New Roman" w:cs="Times New Roman"/>
                <w:sz w:val="20"/>
                <w:szCs w:val="20"/>
              </w:rPr>
              <w:t xml:space="preserve">Barkhuizen et al. 2022; </w:t>
            </w:r>
            <w:r w:rsidRPr="004D1E6F">
              <w:rPr>
                <w:rFonts w:ascii="Times New Roman" w:eastAsia="Times New Roman" w:hAnsi="Times New Roman" w:cs="Times New Roman"/>
                <w:iCs/>
                <w:sz w:val="20"/>
                <w:szCs w:val="20"/>
                <w:lang w:eastAsia="en-ZA"/>
              </w:rPr>
              <w:t>Madzivanzira et al. 2021)</w:t>
            </w:r>
            <w:r w:rsidRPr="004D1E6F">
              <w:rPr>
                <w:rFonts w:ascii="Times New Roman" w:eastAsia="Times New Roman" w:hAnsi="Times New Roman" w:cs="Times New Roman"/>
                <w:sz w:val="20"/>
                <w:szCs w:val="20"/>
                <w:lang w:eastAsia="en-ZA"/>
              </w:rPr>
              <w:t xml:space="preserve">, electrofishing (Nunes et al. 2017), use of biocides, and biological control (Aquiloni et al 2010; Stebbing et al. 2014). </w:t>
            </w:r>
            <w:r w:rsidRPr="004D1E6F">
              <w:rPr>
                <w:rFonts w:ascii="Times New Roman" w:hAnsi="Times New Roman" w:cs="Times New Roman"/>
                <w:sz w:val="20"/>
                <w:szCs w:val="20"/>
              </w:rPr>
              <w:t xml:space="preserve">However, there are several issues that make management of crayfish invasions challenging (Gherardi et al. 2011). For example, the use of biocides is often effective for localised populations in dams and ponds (Peay et al. 2019) but they are non-specific and need to be applied with caution (Gherardi et al. 2011). Mechanical control methods are also </w:t>
            </w:r>
            <w:r w:rsidRPr="004D1E6F">
              <w:rPr>
                <w:rFonts w:ascii="Times New Roman" w:hAnsi="Times New Roman" w:cs="Times New Roman"/>
                <w:sz w:val="20"/>
                <w:szCs w:val="20"/>
              </w:rPr>
              <w:lastRenderedPageBreak/>
              <w:t>effective in small discrete water bodies but are expensive and require commitment to follow on to complete eradication (Loureiro et al. 2018). In addition, alien crayfish species are regarded as potential conflict-generating species in South Africa and potential management interventions should consider the concerns of stakeholders to avoid conflict (Zengeya et al. 2017).</w:t>
            </w:r>
          </w:p>
        </w:tc>
      </w:tr>
      <w:tr w:rsidR="002D7080" w:rsidRPr="004D1E6F" w14:paraId="01B009F8" w14:textId="77777777" w:rsidTr="002E2C37">
        <w:trPr>
          <w:trHeight w:val="203"/>
        </w:trPr>
        <w:tc>
          <w:tcPr>
            <w:tcW w:w="9067" w:type="dxa"/>
          </w:tcPr>
          <w:p w14:paraId="6D4E61AD"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60CF7E7A" w14:textId="77777777" w:rsidR="00554142" w:rsidRPr="00554142" w:rsidRDefault="00554142" w:rsidP="00554142">
            <w:pPr>
              <w:ind w:left="720" w:hanging="720"/>
              <w:contextualSpacing/>
              <w:jc w:val="both"/>
              <w:rPr>
                <w:rFonts w:ascii="Times New Roman" w:eastAsia="Times New Roman" w:hAnsi="Times New Roman" w:cs="Times New Roman"/>
                <w:bCs/>
                <w:sz w:val="20"/>
                <w:szCs w:val="20"/>
                <w:lang w:eastAsia="en-ZA"/>
              </w:rPr>
            </w:pPr>
            <w:r w:rsidRPr="00554142">
              <w:rPr>
                <w:rFonts w:ascii="Times New Roman" w:eastAsia="Times New Roman" w:hAnsi="Times New Roman" w:cs="Times New Roman"/>
                <w:sz w:val="20"/>
                <w:szCs w:val="20"/>
                <w:lang w:eastAsia="en-ZA"/>
              </w:rPr>
              <w:t>Aquiloni, L., Brusconi, S., Cecchinelli, E., Tricarico, E., Mazza, G., Paglianti, A. &amp; Gherardi, F. 2010, ‘Biological control of invasive populations of crayfish: the European eel (</w:t>
            </w:r>
            <w:r w:rsidRPr="00554142">
              <w:rPr>
                <w:rFonts w:ascii="Times New Roman" w:eastAsia="Times New Roman" w:hAnsi="Times New Roman" w:cs="Times New Roman"/>
                <w:i/>
                <w:iCs/>
                <w:sz w:val="20"/>
                <w:szCs w:val="20"/>
                <w:lang w:eastAsia="en-ZA"/>
              </w:rPr>
              <w:t>Anguilla anguilla</w:t>
            </w:r>
            <w:r w:rsidRPr="00554142">
              <w:rPr>
                <w:rFonts w:ascii="Times New Roman" w:eastAsia="Times New Roman" w:hAnsi="Times New Roman" w:cs="Times New Roman"/>
                <w:sz w:val="20"/>
                <w:szCs w:val="20"/>
                <w:lang w:eastAsia="en-ZA"/>
              </w:rPr>
              <w:t xml:space="preserve">) as a predator of </w:t>
            </w:r>
            <w:r w:rsidRPr="00554142">
              <w:rPr>
                <w:rFonts w:ascii="Times New Roman" w:eastAsia="Times New Roman" w:hAnsi="Times New Roman" w:cs="Times New Roman"/>
                <w:i/>
                <w:iCs/>
                <w:sz w:val="20"/>
                <w:szCs w:val="20"/>
                <w:lang w:eastAsia="en-ZA"/>
              </w:rPr>
              <w:t>Procambarus clarkii</w:t>
            </w:r>
            <w:r w:rsidRPr="00554142">
              <w:rPr>
                <w:rFonts w:ascii="Times New Roman" w:eastAsia="Times New Roman" w:hAnsi="Times New Roman" w:cs="Times New Roman"/>
                <w:sz w:val="20"/>
                <w:szCs w:val="20"/>
                <w:lang w:eastAsia="en-ZA"/>
              </w:rPr>
              <w:t xml:space="preserve">’, </w:t>
            </w:r>
            <w:r w:rsidRPr="00554142">
              <w:rPr>
                <w:rFonts w:ascii="Times New Roman" w:eastAsia="Times New Roman" w:hAnsi="Times New Roman" w:cs="Times New Roman"/>
                <w:i/>
                <w:iCs/>
                <w:sz w:val="20"/>
                <w:szCs w:val="20"/>
                <w:lang w:eastAsia="en-ZA"/>
              </w:rPr>
              <w:t>Biological Invasions</w:t>
            </w:r>
            <w:r w:rsidRPr="00554142">
              <w:rPr>
                <w:rFonts w:ascii="Times New Roman" w:eastAsia="Times New Roman" w:hAnsi="Times New Roman" w:cs="Times New Roman"/>
                <w:sz w:val="20"/>
                <w:szCs w:val="20"/>
                <w:lang w:eastAsia="en-ZA"/>
              </w:rPr>
              <w:t xml:space="preserve"> 12 3817-3824. </w:t>
            </w:r>
            <w:hyperlink r:id="rId213" w:history="1">
              <w:r w:rsidRPr="00554142">
                <w:rPr>
                  <w:rStyle w:val="Hyperlink"/>
                  <w:rFonts w:ascii="Times New Roman" w:eastAsia="Times New Roman" w:hAnsi="Times New Roman" w:cs="Times New Roman"/>
                  <w:bCs/>
                  <w:sz w:val="20"/>
                  <w:szCs w:val="20"/>
                  <w:lang w:eastAsia="en-ZA"/>
                </w:rPr>
                <w:t>https://doi.org/10.1007/s10530-007-9094-0</w:t>
              </w:r>
            </w:hyperlink>
            <w:r w:rsidRPr="00554142">
              <w:rPr>
                <w:rFonts w:ascii="Times New Roman" w:eastAsia="Times New Roman" w:hAnsi="Times New Roman" w:cs="Times New Roman"/>
                <w:bCs/>
                <w:sz w:val="20"/>
                <w:szCs w:val="20"/>
                <w:lang w:eastAsia="en-ZA"/>
              </w:rPr>
              <w:t>.</w:t>
            </w:r>
          </w:p>
          <w:p w14:paraId="1333F281" w14:textId="77777777" w:rsidR="00554142" w:rsidRPr="00554142" w:rsidRDefault="00554142" w:rsidP="00554142">
            <w:pPr>
              <w:ind w:left="720" w:hanging="720"/>
              <w:contextualSpacing/>
              <w:jc w:val="both"/>
              <w:rPr>
                <w:rFonts w:ascii="Times New Roman" w:eastAsia="Times New Roman" w:hAnsi="Times New Roman" w:cs="Times New Roman"/>
                <w:sz w:val="20"/>
                <w:szCs w:val="20"/>
                <w:lang w:eastAsia="en-ZA"/>
              </w:rPr>
            </w:pPr>
            <w:r w:rsidRPr="00554142">
              <w:rPr>
                <w:rFonts w:ascii="Times New Roman" w:eastAsia="Times New Roman" w:hAnsi="Times New Roman" w:cs="Times New Roman"/>
                <w:sz w:val="20"/>
                <w:szCs w:val="20"/>
                <w:lang w:eastAsia="en-ZA"/>
              </w:rPr>
              <w:t xml:space="preserve">Barkhuizen, L.M, Madzivanzira, T.C., South, J., 2022, ‘Population ecology of a wild population of red swamp crayfish </w:t>
            </w:r>
            <w:r w:rsidRPr="00554142">
              <w:rPr>
                <w:rFonts w:ascii="Times New Roman" w:eastAsia="Times New Roman" w:hAnsi="Times New Roman" w:cs="Times New Roman"/>
                <w:i/>
                <w:iCs/>
                <w:sz w:val="20"/>
                <w:szCs w:val="20"/>
                <w:lang w:eastAsia="en-ZA"/>
              </w:rPr>
              <w:t>Procambarus clarkii</w:t>
            </w:r>
            <w:r w:rsidRPr="00554142">
              <w:rPr>
                <w:rFonts w:ascii="Times New Roman" w:eastAsia="Times New Roman" w:hAnsi="Times New Roman" w:cs="Times New Roman"/>
                <w:sz w:val="20"/>
                <w:szCs w:val="20"/>
                <w:lang w:eastAsia="en-ZA"/>
              </w:rPr>
              <w:t xml:space="preserve"> (Girard, 1852) in the Free State Province, South Africa and implications for eradication efforts’, </w:t>
            </w:r>
            <w:r w:rsidRPr="00554142">
              <w:rPr>
                <w:rFonts w:ascii="Times New Roman" w:eastAsia="Times New Roman" w:hAnsi="Times New Roman" w:cs="Times New Roman"/>
                <w:i/>
                <w:iCs/>
                <w:sz w:val="20"/>
                <w:szCs w:val="20"/>
                <w:lang w:eastAsia="en-ZA"/>
              </w:rPr>
              <w:t>BioInvasions Records</w:t>
            </w:r>
            <w:r w:rsidRPr="00554142">
              <w:rPr>
                <w:rFonts w:ascii="Times New Roman" w:eastAsia="Times New Roman" w:hAnsi="Times New Roman" w:cs="Times New Roman"/>
                <w:sz w:val="20"/>
                <w:szCs w:val="20"/>
                <w:lang w:eastAsia="en-ZA"/>
              </w:rPr>
              <w:t xml:space="preserve"> 11, 181–191. </w:t>
            </w:r>
            <w:hyperlink r:id="rId214" w:history="1">
              <w:r w:rsidRPr="00554142">
                <w:rPr>
                  <w:rStyle w:val="Hyperlink"/>
                  <w:rFonts w:ascii="Times New Roman" w:eastAsia="Times New Roman" w:hAnsi="Times New Roman" w:cs="Times New Roman"/>
                  <w:iCs/>
                  <w:sz w:val="20"/>
                  <w:szCs w:val="20"/>
                  <w:lang w:eastAsia="en-ZA"/>
                </w:rPr>
                <w:t>https://doi.org/10.3391/bir.2022</w:t>
              </w:r>
            </w:hyperlink>
            <w:r w:rsidRPr="00554142">
              <w:rPr>
                <w:rFonts w:ascii="Times New Roman" w:eastAsia="Times New Roman" w:hAnsi="Times New Roman" w:cs="Times New Roman"/>
                <w:sz w:val="20"/>
                <w:szCs w:val="20"/>
                <w:lang w:eastAsia="en-ZA"/>
              </w:rPr>
              <w:t>.</w:t>
            </w:r>
          </w:p>
          <w:p w14:paraId="4AEAECB8" w14:textId="77777777" w:rsidR="00554142" w:rsidRPr="00554142" w:rsidRDefault="00554142" w:rsidP="00554142">
            <w:pPr>
              <w:ind w:left="720" w:hanging="720"/>
              <w:contextualSpacing/>
              <w:jc w:val="both"/>
              <w:rPr>
                <w:rFonts w:ascii="Times New Roman" w:eastAsia="Times New Roman" w:hAnsi="Times New Roman" w:cs="Times New Roman"/>
                <w:sz w:val="20"/>
                <w:szCs w:val="20"/>
                <w:lang w:eastAsia="en-ZA"/>
              </w:rPr>
            </w:pPr>
            <w:r w:rsidRPr="00554142">
              <w:rPr>
                <w:rFonts w:ascii="Times New Roman" w:eastAsia="Times New Roman" w:hAnsi="Times New Roman" w:cs="Times New Roman"/>
                <w:sz w:val="20"/>
                <w:szCs w:val="20"/>
                <w:lang w:eastAsia="en-ZA"/>
              </w:rPr>
              <w:t xml:space="preserve">Gherardi, F., Aquiloni, L., Diéguez-Uribeondo, J. &amp; Tricarico E., 2011, ‘Managing invasive crayfish: is there a hope? </w:t>
            </w:r>
            <w:r w:rsidRPr="00554142">
              <w:rPr>
                <w:rFonts w:ascii="Times New Roman" w:eastAsia="Times New Roman" w:hAnsi="Times New Roman" w:cs="Times New Roman"/>
                <w:i/>
                <w:iCs/>
                <w:sz w:val="20"/>
                <w:szCs w:val="20"/>
                <w:lang w:eastAsia="en-ZA"/>
              </w:rPr>
              <w:t>Aquatic Sciences</w:t>
            </w:r>
            <w:r w:rsidRPr="00554142">
              <w:rPr>
                <w:rFonts w:ascii="Times New Roman" w:eastAsia="Times New Roman" w:hAnsi="Times New Roman" w:cs="Times New Roman"/>
                <w:sz w:val="20"/>
                <w:szCs w:val="20"/>
                <w:lang w:eastAsia="en-ZA"/>
              </w:rPr>
              <w:t xml:space="preserve"> </w:t>
            </w:r>
            <w:r w:rsidRPr="00554142">
              <w:rPr>
                <w:rFonts w:ascii="Times New Roman" w:eastAsia="Times New Roman" w:hAnsi="Times New Roman" w:cs="Times New Roman"/>
                <w:iCs/>
                <w:sz w:val="20"/>
                <w:szCs w:val="20"/>
                <w:lang w:eastAsia="en-ZA"/>
              </w:rPr>
              <w:t>73,</w:t>
            </w:r>
            <w:r w:rsidRPr="00554142">
              <w:rPr>
                <w:rFonts w:ascii="Times New Roman" w:eastAsia="Times New Roman" w:hAnsi="Times New Roman" w:cs="Times New Roman"/>
                <w:sz w:val="20"/>
                <w:szCs w:val="20"/>
                <w:lang w:eastAsia="en-ZA"/>
              </w:rPr>
              <w:t xml:space="preserve"> 185–200. https://doi.org/10.1007/s00027-011-0181-z.</w:t>
            </w:r>
          </w:p>
          <w:p w14:paraId="31882EFA" w14:textId="77777777" w:rsidR="00554142" w:rsidRPr="00554142" w:rsidRDefault="00554142" w:rsidP="00554142">
            <w:pPr>
              <w:ind w:left="720" w:hanging="720"/>
              <w:contextualSpacing/>
              <w:jc w:val="both"/>
              <w:rPr>
                <w:rFonts w:ascii="Times New Roman" w:eastAsia="Times New Roman" w:hAnsi="Times New Roman" w:cs="Times New Roman"/>
                <w:bCs/>
                <w:sz w:val="20"/>
                <w:szCs w:val="20"/>
                <w:lang w:eastAsia="en-ZA"/>
              </w:rPr>
            </w:pPr>
            <w:r w:rsidRPr="00554142">
              <w:rPr>
                <w:rFonts w:ascii="Times New Roman" w:eastAsia="Times New Roman" w:hAnsi="Times New Roman" w:cs="Times New Roman"/>
                <w:bCs/>
                <w:sz w:val="20"/>
                <w:szCs w:val="20"/>
                <w:lang w:eastAsia="en-ZA"/>
              </w:rPr>
              <w:t xml:space="preserve">Loureiro, T.G, Anastácio, P.M, de Siqueira Bueno, S.L. &amp; Araujo, P.B., 2018, ‘Management of invasive populations of the freshwater crayfish </w:t>
            </w:r>
            <w:r w:rsidRPr="00554142">
              <w:rPr>
                <w:rFonts w:ascii="Times New Roman" w:eastAsia="Times New Roman" w:hAnsi="Times New Roman" w:cs="Times New Roman"/>
                <w:bCs/>
                <w:i/>
                <w:sz w:val="20"/>
                <w:szCs w:val="20"/>
                <w:lang w:eastAsia="en-ZA"/>
              </w:rPr>
              <w:t>Procambarus clarkii</w:t>
            </w:r>
            <w:r w:rsidRPr="00554142">
              <w:rPr>
                <w:rFonts w:ascii="Times New Roman" w:eastAsia="Times New Roman" w:hAnsi="Times New Roman" w:cs="Times New Roman"/>
                <w:bCs/>
                <w:sz w:val="20"/>
                <w:szCs w:val="20"/>
                <w:lang w:eastAsia="en-ZA"/>
              </w:rPr>
              <w:t xml:space="preserve"> (Decapoda, Cambaridae): test of a population-control method and proposal of a standard monitoring approach’, </w:t>
            </w:r>
            <w:r w:rsidRPr="00554142">
              <w:rPr>
                <w:rFonts w:ascii="Times New Roman" w:eastAsia="Times New Roman" w:hAnsi="Times New Roman" w:cs="Times New Roman"/>
                <w:bCs/>
                <w:i/>
                <w:sz w:val="20"/>
                <w:szCs w:val="20"/>
                <w:lang w:eastAsia="en-ZA"/>
              </w:rPr>
              <w:t>Environmental Monitoring Assessment</w:t>
            </w:r>
            <w:r w:rsidRPr="00554142">
              <w:rPr>
                <w:rFonts w:ascii="Times New Roman" w:eastAsia="Times New Roman" w:hAnsi="Times New Roman" w:cs="Times New Roman"/>
                <w:bCs/>
                <w:sz w:val="20"/>
                <w:szCs w:val="20"/>
                <w:lang w:eastAsia="en-ZA"/>
              </w:rPr>
              <w:t xml:space="preserve"> 190, 559, https://doi.org/10.1007/s10661-018-6942-6.</w:t>
            </w:r>
          </w:p>
          <w:p w14:paraId="507F0862" w14:textId="77777777" w:rsidR="00554142" w:rsidRPr="00554142" w:rsidRDefault="00554142" w:rsidP="00554142">
            <w:pPr>
              <w:ind w:left="720" w:hanging="720"/>
              <w:contextualSpacing/>
              <w:jc w:val="both"/>
              <w:rPr>
                <w:rFonts w:ascii="Times New Roman" w:eastAsia="Times New Roman" w:hAnsi="Times New Roman" w:cs="Times New Roman"/>
                <w:sz w:val="20"/>
                <w:szCs w:val="20"/>
                <w:lang w:eastAsia="en-ZA"/>
              </w:rPr>
            </w:pPr>
            <w:r w:rsidRPr="00554142">
              <w:rPr>
                <w:rFonts w:ascii="Times New Roman" w:eastAsia="Times New Roman" w:hAnsi="Times New Roman" w:cs="Times New Roman"/>
                <w:sz w:val="20"/>
                <w:szCs w:val="20"/>
                <w:lang w:eastAsia="en-ZA"/>
              </w:rPr>
              <w:t xml:space="preserve">Madzivanzira, T.C., South, J., Nhiwatiwa, T. &amp; Weyl, O.L.F., 2021, ‘Standardisation of Australian redclaw crayfish </w:t>
            </w:r>
            <w:r w:rsidRPr="00554142">
              <w:rPr>
                <w:rFonts w:ascii="Times New Roman" w:eastAsia="Times New Roman" w:hAnsi="Times New Roman" w:cs="Times New Roman"/>
                <w:i/>
                <w:iCs/>
                <w:sz w:val="20"/>
                <w:szCs w:val="20"/>
                <w:lang w:eastAsia="en-ZA"/>
              </w:rPr>
              <w:t>Cherax quadricarinatus</w:t>
            </w:r>
            <w:r w:rsidRPr="00554142">
              <w:rPr>
                <w:rFonts w:ascii="Times New Roman" w:eastAsia="Times New Roman" w:hAnsi="Times New Roman" w:cs="Times New Roman"/>
                <w:sz w:val="20"/>
                <w:szCs w:val="20"/>
                <w:lang w:eastAsia="en-ZA"/>
              </w:rPr>
              <w:t xml:space="preserve"> sampling gear in southern Africa’, </w:t>
            </w:r>
            <w:r w:rsidRPr="00554142">
              <w:rPr>
                <w:rFonts w:ascii="Times New Roman" w:eastAsia="Times New Roman" w:hAnsi="Times New Roman" w:cs="Times New Roman"/>
                <w:i/>
                <w:iCs/>
                <w:sz w:val="20"/>
                <w:szCs w:val="20"/>
                <w:lang w:eastAsia="en-ZA"/>
              </w:rPr>
              <w:t>Water SA</w:t>
            </w:r>
            <w:r w:rsidRPr="00554142">
              <w:rPr>
                <w:rFonts w:ascii="Times New Roman" w:eastAsia="Times New Roman" w:hAnsi="Times New Roman" w:cs="Times New Roman"/>
                <w:sz w:val="20"/>
                <w:szCs w:val="20"/>
                <w:lang w:eastAsia="en-ZA"/>
              </w:rPr>
              <w:t xml:space="preserve"> 47, 380–384. https://hdl.handle.net/10520/ejc-waters-v47-n3-a10.</w:t>
            </w:r>
          </w:p>
          <w:p w14:paraId="34717018" w14:textId="77777777" w:rsidR="00554142" w:rsidRPr="00554142" w:rsidRDefault="00554142" w:rsidP="00554142">
            <w:pPr>
              <w:ind w:left="720" w:hanging="720"/>
              <w:contextualSpacing/>
              <w:jc w:val="both"/>
              <w:rPr>
                <w:rFonts w:ascii="Times New Roman" w:eastAsia="Times New Roman" w:hAnsi="Times New Roman" w:cs="Times New Roman"/>
                <w:sz w:val="20"/>
                <w:szCs w:val="20"/>
                <w:lang w:eastAsia="en-ZA"/>
              </w:rPr>
            </w:pPr>
            <w:r w:rsidRPr="00554142">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554142">
              <w:rPr>
                <w:rFonts w:ascii="Times New Roman" w:eastAsia="Times New Roman" w:hAnsi="Times New Roman" w:cs="Times New Roman"/>
                <w:i/>
                <w:sz w:val="20"/>
                <w:szCs w:val="20"/>
                <w:lang w:eastAsia="en-ZA"/>
              </w:rPr>
              <w:t>Cherax quadricarinatus</w:t>
            </w:r>
            <w:r w:rsidRPr="00554142">
              <w:rPr>
                <w:rFonts w:ascii="Times New Roman" w:eastAsia="Times New Roman" w:hAnsi="Times New Roman" w:cs="Times New Roman"/>
                <w:sz w:val="20"/>
                <w:szCs w:val="20"/>
                <w:lang w:eastAsia="en-ZA"/>
              </w:rPr>
              <w:t xml:space="preserve">, in South Africa and Swaziland’, </w:t>
            </w:r>
            <w:r w:rsidRPr="00554142">
              <w:rPr>
                <w:rFonts w:ascii="Times New Roman" w:eastAsia="Times New Roman" w:hAnsi="Times New Roman" w:cs="Times New Roman"/>
                <w:i/>
                <w:iCs/>
                <w:sz w:val="20"/>
                <w:szCs w:val="20"/>
                <w:lang w:eastAsia="en-ZA"/>
              </w:rPr>
              <w:t>PeerJ</w:t>
            </w:r>
            <w:r w:rsidRPr="00554142">
              <w:rPr>
                <w:rFonts w:ascii="Times New Roman" w:eastAsia="Times New Roman" w:hAnsi="Times New Roman" w:cs="Times New Roman"/>
                <w:sz w:val="20"/>
                <w:szCs w:val="20"/>
                <w:lang w:eastAsia="en-ZA"/>
              </w:rPr>
              <w:t xml:space="preserve"> </w:t>
            </w:r>
            <w:r w:rsidRPr="00554142">
              <w:rPr>
                <w:rFonts w:ascii="Times New Roman" w:eastAsia="Times New Roman" w:hAnsi="Times New Roman" w:cs="Times New Roman"/>
                <w:iCs/>
                <w:sz w:val="20"/>
                <w:szCs w:val="20"/>
                <w:lang w:eastAsia="en-ZA"/>
              </w:rPr>
              <w:t>5,</w:t>
            </w:r>
            <w:r w:rsidRPr="00554142">
              <w:rPr>
                <w:rFonts w:ascii="Times New Roman" w:eastAsia="Times New Roman" w:hAnsi="Times New Roman" w:cs="Times New Roman"/>
                <w:sz w:val="20"/>
                <w:szCs w:val="20"/>
                <w:lang w:eastAsia="en-ZA"/>
              </w:rPr>
              <w:t xml:space="preserve"> 1-21. </w:t>
            </w:r>
            <w:hyperlink r:id="rId215" w:history="1">
              <w:r w:rsidRPr="00554142">
                <w:rPr>
                  <w:rStyle w:val="Hyperlink"/>
                  <w:rFonts w:ascii="Times New Roman" w:eastAsia="Times New Roman" w:hAnsi="Times New Roman" w:cs="Times New Roman"/>
                  <w:sz w:val="20"/>
                  <w:szCs w:val="20"/>
                  <w:lang w:eastAsia="en-ZA"/>
                </w:rPr>
                <w:t>https://doi.org/10.7717/peerj.3135</w:t>
              </w:r>
            </w:hyperlink>
            <w:r w:rsidRPr="00554142">
              <w:rPr>
                <w:rFonts w:ascii="Times New Roman" w:eastAsia="Times New Roman" w:hAnsi="Times New Roman" w:cs="Times New Roman"/>
                <w:sz w:val="20"/>
                <w:szCs w:val="20"/>
                <w:lang w:eastAsia="en-ZA"/>
              </w:rPr>
              <w:t xml:space="preserve">.  </w:t>
            </w:r>
          </w:p>
          <w:p w14:paraId="7EE6100C" w14:textId="77777777" w:rsidR="00554142" w:rsidRPr="00554142" w:rsidRDefault="00554142" w:rsidP="00554142">
            <w:pPr>
              <w:ind w:left="720" w:hanging="720"/>
              <w:contextualSpacing/>
              <w:jc w:val="both"/>
              <w:rPr>
                <w:rFonts w:ascii="Times New Roman" w:eastAsia="Times New Roman" w:hAnsi="Times New Roman" w:cs="Times New Roman"/>
                <w:bCs/>
                <w:sz w:val="20"/>
                <w:szCs w:val="20"/>
                <w:lang w:eastAsia="en-ZA"/>
              </w:rPr>
            </w:pPr>
            <w:r w:rsidRPr="00554142">
              <w:rPr>
                <w:rFonts w:ascii="Times New Roman" w:eastAsia="Times New Roman" w:hAnsi="Times New Roman" w:cs="Times New Roman"/>
                <w:bCs/>
                <w:sz w:val="20"/>
                <w:szCs w:val="20"/>
                <w:lang w:eastAsia="en-ZA"/>
              </w:rPr>
              <w:t xml:space="preserve">Peay, S., Johnsen, S.I, Bean, S.W., Dunn, A.M., Sandodden, R. &amp; Edsman, L, 2019, ‘Biocide treatment of invasive signal crayfish: Successes, failures and lessons learned’, </w:t>
            </w:r>
            <w:r w:rsidRPr="00554142">
              <w:rPr>
                <w:rFonts w:ascii="Times New Roman" w:eastAsia="Times New Roman" w:hAnsi="Times New Roman" w:cs="Times New Roman"/>
                <w:bCs/>
                <w:i/>
                <w:sz w:val="20"/>
                <w:szCs w:val="20"/>
                <w:lang w:eastAsia="en-ZA"/>
              </w:rPr>
              <w:t>Diversity</w:t>
            </w:r>
            <w:r w:rsidRPr="00554142">
              <w:rPr>
                <w:rFonts w:ascii="Times New Roman" w:eastAsia="Times New Roman" w:hAnsi="Times New Roman" w:cs="Times New Roman"/>
                <w:bCs/>
                <w:sz w:val="20"/>
                <w:szCs w:val="20"/>
                <w:lang w:eastAsia="en-ZA"/>
              </w:rPr>
              <w:t xml:space="preserve"> 11, 29. </w:t>
            </w:r>
            <w:hyperlink r:id="rId216" w:history="1">
              <w:r w:rsidRPr="00554142">
                <w:rPr>
                  <w:rStyle w:val="Hyperlink"/>
                  <w:rFonts w:ascii="Times New Roman" w:eastAsia="Times New Roman" w:hAnsi="Times New Roman" w:cs="Times New Roman"/>
                  <w:bCs/>
                  <w:sz w:val="20"/>
                  <w:szCs w:val="20"/>
                  <w:lang w:eastAsia="en-ZA"/>
                </w:rPr>
                <w:t>https://doi.org/10.3390/d11030029</w:t>
              </w:r>
            </w:hyperlink>
            <w:r w:rsidRPr="00554142">
              <w:rPr>
                <w:rFonts w:ascii="Times New Roman" w:eastAsia="Times New Roman" w:hAnsi="Times New Roman" w:cs="Times New Roman"/>
                <w:bCs/>
                <w:sz w:val="20"/>
                <w:szCs w:val="20"/>
                <w:lang w:eastAsia="en-ZA"/>
              </w:rPr>
              <w:t xml:space="preserve">  </w:t>
            </w:r>
          </w:p>
          <w:p w14:paraId="5B029990" w14:textId="2DBCE9AA" w:rsidR="00554142" w:rsidRPr="00554142" w:rsidRDefault="00554142" w:rsidP="00554142">
            <w:pPr>
              <w:ind w:left="720" w:hanging="720"/>
              <w:contextualSpacing/>
              <w:jc w:val="both"/>
              <w:rPr>
                <w:rFonts w:ascii="Times New Roman" w:eastAsia="Times New Roman" w:hAnsi="Times New Roman" w:cs="Times New Roman"/>
                <w:sz w:val="20"/>
                <w:szCs w:val="20"/>
                <w:lang w:eastAsia="en-ZA"/>
              </w:rPr>
            </w:pPr>
            <w:r w:rsidRPr="00554142">
              <w:rPr>
                <w:rFonts w:ascii="Times New Roman" w:eastAsia="Times New Roman" w:hAnsi="Times New Roman" w:cs="Times New Roman"/>
                <w:sz w:val="20"/>
                <w:szCs w:val="20"/>
                <w:lang w:eastAsia="en-ZA"/>
              </w:rPr>
              <w:t xml:space="preserve">Stebbing, P., Longshaw, M., Scott, A., 2014, ‘Review of methods for the management of nonindigenous crayfish, with particular reference to Great Britain’, </w:t>
            </w:r>
            <w:r w:rsidRPr="00554142">
              <w:rPr>
                <w:rFonts w:ascii="Times New Roman" w:eastAsia="Times New Roman" w:hAnsi="Times New Roman" w:cs="Times New Roman"/>
                <w:i/>
                <w:iCs/>
                <w:sz w:val="20"/>
                <w:szCs w:val="20"/>
                <w:lang w:eastAsia="en-ZA"/>
              </w:rPr>
              <w:t>Ethology Ecology &amp; Evolution</w:t>
            </w:r>
            <w:r w:rsidRPr="00554142">
              <w:rPr>
                <w:rFonts w:ascii="Times New Roman" w:eastAsia="Times New Roman" w:hAnsi="Times New Roman" w:cs="Times New Roman"/>
                <w:sz w:val="20"/>
                <w:szCs w:val="20"/>
                <w:lang w:eastAsia="en-ZA"/>
              </w:rPr>
              <w:t xml:space="preserve"> 26, 204-231. https://doi.org/10.1080/03949370.2014.908326.</w:t>
            </w:r>
          </w:p>
          <w:p w14:paraId="091B91AB" w14:textId="0DCA173C" w:rsidR="002D7080" w:rsidRPr="004D1E6F" w:rsidRDefault="00554142" w:rsidP="00554142">
            <w:pPr>
              <w:ind w:left="720" w:hanging="720"/>
              <w:contextualSpacing/>
              <w:jc w:val="both"/>
              <w:rPr>
                <w:rFonts w:ascii="Times New Roman" w:eastAsia="Times New Roman" w:hAnsi="Times New Roman" w:cs="Times New Roman"/>
                <w:sz w:val="20"/>
                <w:szCs w:val="20"/>
                <w:lang w:eastAsia="en-ZA"/>
              </w:rPr>
            </w:pPr>
            <w:r w:rsidRPr="00E36901">
              <w:rPr>
                <w:rFonts w:ascii="Times New Roman" w:eastAsia="Times New Roman" w:hAnsi="Times New Roman" w:cs="Times New Roman"/>
                <w:iCs/>
                <w:sz w:val="20"/>
                <w:szCs w:val="20"/>
                <w:lang w:eastAsia="en-ZA"/>
              </w:rPr>
              <w:t>Woodford, D.J., Ivey, P., Novoa, A., Shackleton, R., Richardson, D., Weyl, O., Van Wilgen, B. and Zengeya, T</w:t>
            </w:r>
            <w:r w:rsidRPr="00554142">
              <w:rPr>
                <w:rFonts w:ascii="Times New Roman" w:eastAsia="Times New Roman" w:hAnsi="Times New Roman" w:cs="Times New Roman"/>
                <w:sz w:val="20"/>
                <w:szCs w:val="20"/>
                <w:lang w:eastAsia="en-ZA"/>
              </w:rPr>
              <w:t xml:space="preserve">., 2017, ‘Managing conflict-generating invasive species in South Africa: Challenges and trade-offs’, </w:t>
            </w:r>
            <w:r w:rsidRPr="00554142">
              <w:rPr>
                <w:rFonts w:ascii="Times New Roman" w:eastAsia="Times New Roman" w:hAnsi="Times New Roman" w:cs="Times New Roman"/>
                <w:i/>
                <w:iCs/>
                <w:sz w:val="20"/>
                <w:szCs w:val="20"/>
                <w:lang w:eastAsia="en-ZA"/>
              </w:rPr>
              <w:t xml:space="preserve">Bothalia </w:t>
            </w:r>
            <w:r w:rsidRPr="00554142">
              <w:rPr>
                <w:rFonts w:ascii="Times New Roman" w:eastAsia="Times New Roman" w:hAnsi="Times New Roman" w:cs="Times New Roman"/>
                <w:sz w:val="20"/>
                <w:szCs w:val="20"/>
                <w:lang w:eastAsia="en-ZA"/>
              </w:rPr>
              <w:t>47, a2160. https://doi. org/10.4102/abc.v47i2.2160</w:t>
            </w:r>
          </w:p>
        </w:tc>
      </w:tr>
    </w:tbl>
    <w:p w14:paraId="597B0F16"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7"/>
        <w:tblW w:w="9067" w:type="dxa"/>
        <w:tblLook w:val="04A0" w:firstRow="1" w:lastRow="0" w:firstColumn="1" w:lastColumn="0" w:noHBand="0" w:noVBand="1"/>
      </w:tblPr>
      <w:tblGrid>
        <w:gridCol w:w="1696"/>
        <w:gridCol w:w="7371"/>
      </w:tblGrid>
      <w:tr w:rsidR="002D7080" w:rsidRPr="004D1E6F" w14:paraId="257306F0" w14:textId="77777777" w:rsidTr="002E2C37">
        <w:trPr>
          <w:trHeight w:val="343"/>
        </w:trPr>
        <w:tc>
          <w:tcPr>
            <w:tcW w:w="9067" w:type="dxa"/>
            <w:gridSpan w:val="2"/>
            <w:shd w:val="clear" w:color="auto" w:fill="F2F2F2" w:themeFill="background1" w:themeFillShade="F2"/>
          </w:tcPr>
          <w:p w14:paraId="60FEAE56"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sz w:val="20"/>
                <w:szCs w:val="20"/>
                <w:lang w:eastAsia="en-ZA"/>
              </w:rPr>
              <w:t xml:space="preserve">MAN6 Any other management considerations to highlight? </w:t>
            </w:r>
            <w:r w:rsidRPr="004D1E6F">
              <w:rPr>
                <w:rFonts w:ascii="Times New Roman" w:eastAsia="Times New Roman" w:hAnsi="Times New Roman" w:cs="Times New Roman"/>
                <w:sz w:val="20"/>
                <w:szCs w:val="20"/>
                <w:lang w:eastAsia="en-ZA"/>
              </w:rPr>
              <w:t>(if yes, fill in Appendix MAN6)</w:t>
            </w:r>
          </w:p>
        </w:tc>
      </w:tr>
      <w:tr w:rsidR="002D7080" w:rsidRPr="004D1E6F" w14:paraId="1FA268BF" w14:textId="77777777" w:rsidTr="002E2C37">
        <w:trPr>
          <w:trHeight w:val="70"/>
        </w:trPr>
        <w:tc>
          <w:tcPr>
            <w:tcW w:w="1696" w:type="dxa"/>
          </w:tcPr>
          <w:p w14:paraId="48DDFC0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w:t>
            </w:r>
          </w:p>
        </w:tc>
        <w:tc>
          <w:tcPr>
            <w:tcW w:w="7371" w:type="dxa"/>
          </w:tcPr>
          <w:p w14:paraId="071A866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r>
    </w:tbl>
    <w:p w14:paraId="349926A1"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726BADA6" w14:textId="77777777" w:rsidR="002D7080" w:rsidRPr="004D1E6F" w:rsidRDefault="002D7080" w:rsidP="002D7080">
      <w:pPr>
        <w:spacing w:after="160" w:line="259"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5. Calculations</w:t>
      </w:r>
    </w:p>
    <w:p w14:paraId="27F1BE3B"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Likelihood = Unlikely</w:t>
      </w:r>
    </w:p>
    <w:p w14:paraId="001B99E8"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7"/>
        <w:tblW w:w="0" w:type="auto"/>
        <w:tblLook w:val="04A0" w:firstRow="1" w:lastRow="0" w:firstColumn="1" w:lastColumn="0" w:noHBand="0" w:noVBand="1"/>
      </w:tblPr>
      <w:tblGrid>
        <w:gridCol w:w="1195"/>
        <w:gridCol w:w="2628"/>
        <w:gridCol w:w="2939"/>
        <w:gridCol w:w="2254"/>
      </w:tblGrid>
      <w:tr w:rsidR="002D7080" w:rsidRPr="004D1E6F" w14:paraId="0169007F" w14:textId="77777777" w:rsidTr="002E2C37">
        <w:tc>
          <w:tcPr>
            <w:tcW w:w="1195" w:type="dxa"/>
            <w:shd w:val="clear" w:color="auto" w:fill="D9D9D9" w:themeFill="background1" w:themeFillShade="D9"/>
            <w:vAlign w:val="center"/>
          </w:tcPr>
          <w:p w14:paraId="3DEBFCCC"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Parameter</w:t>
            </w:r>
          </w:p>
        </w:tc>
        <w:tc>
          <w:tcPr>
            <w:tcW w:w="2628" w:type="dxa"/>
            <w:shd w:val="clear" w:color="auto" w:fill="D9D9D9" w:themeFill="background1" w:themeFillShade="D9"/>
            <w:vAlign w:val="center"/>
          </w:tcPr>
          <w:p w14:paraId="214DFBB3"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Likelihood</w:t>
            </w:r>
          </w:p>
        </w:tc>
        <w:tc>
          <w:tcPr>
            <w:tcW w:w="2939" w:type="dxa"/>
            <w:shd w:val="clear" w:color="auto" w:fill="D9D9D9" w:themeFill="background1" w:themeFillShade="D9"/>
            <w:vAlign w:val="center"/>
          </w:tcPr>
          <w:p w14:paraId="47BDBEDE"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Stages</w:t>
            </w:r>
          </w:p>
        </w:tc>
        <w:tc>
          <w:tcPr>
            <w:tcW w:w="2254" w:type="dxa"/>
            <w:shd w:val="clear" w:color="auto" w:fill="D9D9D9" w:themeFill="background1" w:themeFillShade="D9"/>
            <w:vAlign w:val="center"/>
          </w:tcPr>
          <w:p w14:paraId="5550375E"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Final assessment</w:t>
            </w:r>
          </w:p>
        </w:tc>
      </w:tr>
      <w:tr w:rsidR="002D7080" w:rsidRPr="004D1E6F" w14:paraId="76E43D86" w14:textId="77777777" w:rsidTr="002E2C37">
        <w:tc>
          <w:tcPr>
            <w:tcW w:w="1195" w:type="dxa"/>
            <w:shd w:val="clear" w:color="auto" w:fill="D9D9D9" w:themeFill="background1" w:themeFillShade="D9"/>
            <w:vAlign w:val="center"/>
          </w:tcPr>
          <w:p w14:paraId="3444B87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LIK1</w:t>
            </w:r>
          </w:p>
        </w:tc>
        <w:tc>
          <w:tcPr>
            <w:tcW w:w="2628" w:type="dxa"/>
            <w:shd w:val="clear" w:color="auto" w:fill="D9D9D9" w:themeFill="background1" w:themeFillShade="D9"/>
            <w:vAlign w:val="center"/>
          </w:tcPr>
          <w:p w14:paraId="4B658D24"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Very unlikely </w:t>
            </w:r>
          </w:p>
        </w:tc>
        <w:tc>
          <w:tcPr>
            <w:tcW w:w="2939" w:type="dxa"/>
            <w:vMerge w:val="restart"/>
            <w:vAlign w:val="center"/>
          </w:tcPr>
          <w:p w14:paraId="11E4703D"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P(entry) = 0.027</w:t>
            </w:r>
          </w:p>
        </w:tc>
        <w:tc>
          <w:tcPr>
            <w:tcW w:w="2254" w:type="dxa"/>
            <w:vMerge w:val="restart"/>
            <w:vAlign w:val="center"/>
          </w:tcPr>
          <w:p w14:paraId="03B2A15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 (invasion) = 0.00</w:t>
            </w:r>
            <w:r>
              <w:rPr>
                <w:rFonts w:ascii="Times New Roman" w:eastAsia="Times New Roman" w:hAnsi="Times New Roman" w:cs="Times New Roman"/>
                <w:color w:val="000000"/>
                <w:sz w:val="20"/>
                <w:szCs w:val="20"/>
                <w:lang w:eastAsia="en-ZA"/>
              </w:rPr>
              <w:t>3</w:t>
            </w:r>
          </w:p>
        </w:tc>
      </w:tr>
      <w:tr w:rsidR="002D7080" w:rsidRPr="004D1E6F" w14:paraId="5AF32C24" w14:textId="77777777" w:rsidTr="002E2C37">
        <w:tc>
          <w:tcPr>
            <w:tcW w:w="1195" w:type="dxa"/>
            <w:shd w:val="clear" w:color="auto" w:fill="D9D9D9" w:themeFill="background1" w:themeFillShade="D9"/>
            <w:vAlign w:val="center"/>
          </w:tcPr>
          <w:p w14:paraId="2D19435A"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LIK2</w:t>
            </w:r>
          </w:p>
        </w:tc>
        <w:tc>
          <w:tcPr>
            <w:tcW w:w="2628" w:type="dxa"/>
            <w:shd w:val="clear" w:color="auto" w:fill="D9D9D9" w:themeFill="background1" w:themeFillShade="D9"/>
            <w:vAlign w:val="center"/>
          </w:tcPr>
          <w:p w14:paraId="3D39AF5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Unlikely</w:t>
            </w:r>
          </w:p>
        </w:tc>
        <w:tc>
          <w:tcPr>
            <w:tcW w:w="2939" w:type="dxa"/>
            <w:vMerge/>
            <w:vAlign w:val="center"/>
          </w:tcPr>
          <w:p w14:paraId="69082F56"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7A0CDFD0"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4E15EA9A" w14:textId="77777777" w:rsidTr="002E2C37">
        <w:tc>
          <w:tcPr>
            <w:tcW w:w="1195" w:type="dxa"/>
            <w:shd w:val="clear" w:color="auto" w:fill="D9D9D9" w:themeFill="background1" w:themeFillShade="D9"/>
            <w:vAlign w:val="center"/>
          </w:tcPr>
          <w:p w14:paraId="3DF14B6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LIK3</w:t>
            </w:r>
          </w:p>
        </w:tc>
        <w:tc>
          <w:tcPr>
            <w:tcW w:w="2628" w:type="dxa"/>
            <w:shd w:val="clear" w:color="auto" w:fill="D9D9D9" w:themeFill="background1" w:themeFillShade="D9"/>
            <w:vAlign w:val="center"/>
          </w:tcPr>
          <w:p w14:paraId="6CE67E9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Fairly Probable </w:t>
            </w:r>
          </w:p>
        </w:tc>
        <w:tc>
          <w:tcPr>
            <w:tcW w:w="2939" w:type="dxa"/>
            <w:vMerge w:val="restart"/>
            <w:vAlign w:val="center"/>
          </w:tcPr>
          <w:p w14:paraId="61934E54"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P(establishment) = 0.5</w:t>
            </w:r>
          </w:p>
        </w:tc>
        <w:tc>
          <w:tcPr>
            <w:tcW w:w="2254" w:type="dxa"/>
            <w:vMerge/>
            <w:vAlign w:val="center"/>
          </w:tcPr>
          <w:p w14:paraId="6B30E6DF"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7F351A2A" w14:textId="77777777" w:rsidTr="002E2C37">
        <w:tc>
          <w:tcPr>
            <w:tcW w:w="1195" w:type="dxa"/>
            <w:shd w:val="clear" w:color="auto" w:fill="D9D9D9" w:themeFill="background1" w:themeFillShade="D9"/>
            <w:vAlign w:val="center"/>
          </w:tcPr>
          <w:p w14:paraId="39D5FDDF"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LIK4</w:t>
            </w:r>
          </w:p>
        </w:tc>
        <w:tc>
          <w:tcPr>
            <w:tcW w:w="2628" w:type="dxa"/>
            <w:shd w:val="clear" w:color="auto" w:fill="D9D9D9" w:themeFill="background1" w:themeFillShade="D9"/>
            <w:vAlign w:val="center"/>
          </w:tcPr>
          <w:p w14:paraId="61792B6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Fairly Probable </w:t>
            </w:r>
          </w:p>
        </w:tc>
        <w:tc>
          <w:tcPr>
            <w:tcW w:w="2939" w:type="dxa"/>
            <w:vMerge/>
            <w:vAlign w:val="center"/>
          </w:tcPr>
          <w:p w14:paraId="0081FA24"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1565D8A6"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67D83683" w14:textId="77777777" w:rsidTr="002E2C37">
        <w:tc>
          <w:tcPr>
            <w:tcW w:w="1195" w:type="dxa"/>
            <w:shd w:val="clear" w:color="auto" w:fill="D9D9D9" w:themeFill="background1" w:themeFillShade="D9"/>
            <w:vAlign w:val="center"/>
          </w:tcPr>
          <w:p w14:paraId="3339BC0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LIK5</w:t>
            </w:r>
          </w:p>
        </w:tc>
        <w:tc>
          <w:tcPr>
            <w:tcW w:w="2628" w:type="dxa"/>
            <w:shd w:val="clear" w:color="auto" w:fill="D9D9D9" w:themeFill="background1" w:themeFillShade="D9"/>
            <w:vAlign w:val="center"/>
          </w:tcPr>
          <w:p w14:paraId="48EE1C19"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Unlikely</w:t>
            </w:r>
          </w:p>
        </w:tc>
        <w:tc>
          <w:tcPr>
            <w:tcW w:w="2939" w:type="dxa"/>
            <w:vMerge w:val="restart"/>
            <w:vAlign w:val="center"/>
          </w:tcPr>
          <w:p w14:paraId="71B8CB96"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 (spread) = 0.5</w:t>
            </w:r>
          </w:p>
        </w:tc>
        <w:tc>
          <w:tcPr>
            <w:tcW w:w="2254" w:type="dxa"/>
            <w:vMerge/>
            <w:vAlign w:val="center"/>
          </w:tcPr>
          <w:p w14:paraId="596737E5"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43FCF3B8" w14:textId="77777777" w:rsidTr="002E2C37">
        <w:tc>
          <w:tcPr>
            <w:tcW w:w="1195" w:type="dxa"/>
            <w:shd w:val="clear" w:color="auto" w:fill="D9D9D9" w:themeFill="background1" w:themeFillShade="D9"/>
            <w:vAlign w:val="center"/>
          </w:tcPr>
          <w:p w14:paraId="6CB0362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LIK6</w:t>
            </w:r>
          </w:p>
        </w:tc>
        <w:tc>
          <w:tcPr>
            <w:tcW w:w="2628" w:type="dxa"/>
            <w:shd w:val="clear" w:color="auto" w:fill="D9D9D9" w:themeFill="background1" w:themeFillShade="D9"/>
            <w:vAlign w:val="center"/>
          </w:tcPr>
          <w:p w14:paraId="3F19511A"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Fairly probable </w:t>
            </w:r>
          </w:p>
        </w:tc>
        <w:tc>
          <w:tcPr>
            <w:tcW w:w="2939" w:type="dxa"/>
            <w:vMerge/>
            <w:vAlign w:val="center"/>
          </w:tcPr>
          <w:p w14:paraId="49492671"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16548848" w14:textId="77777777" w:rsidR="002D7080" w:rsidRPr="004D1E6F" w:rsidRDefault="002D7080" w:rsidP="002E2C37">
            <w:pPr>
              <w:rPr>
                <w:rFonts w:ascii="Times New Roman" w:eastAsia="Times New Roman" w:hAnsi="Times New Roman" w:cs="Times New Roman"/>
                <w:color w:val="000000"/>
                <w:sz w:val="20"/>
                <w:szCs w:val="20"/>
                <w:lang w:eastAsia="en-ZA"/>
              </w:rPr>
            </w:pPr>
          </w:p>
        </w:tc>
      </w:tr>
    </w:tbl>
    <w:p w14:paraId="5A1EB135" w14:textId="77777777" w:rsidR="002D7080" w:rsidRDefault="002D7080" w:rsidP="002D7080">
      <w:pPr>
        <w:spacing w:after="0" w:line="240" w:lineRule="auto"/>
        <w:rPr>
          <w:rFonts w:ascii="Times New Roman" w:eastAsia="Times New Roman" w:hAnsi="Times New Roman" w:cs="Times New Roman"/>
          <w:b/>
          <w:color w:val="000000"/>
          <w:sz w:val="20"/>
          <w:szCs w:val="20"/>
          <w:lang w:eastAsia="en-ZA"/>
        </w:rPr>
      </w:pPr>
    </w:p>
    <w:p w14:paraId="66813683" w14:textId="77777777" w:rsidR="002D7080" w:rsidRDefault="002D7080" w:rsidP="002D7080">
      <w:pPr>
        <w:rPr>
          <w:rFonts w:ascii="Times New Roman" w:eastAsia="Times New Roman" w:hAnsi="Times New Roman" w:cs="Times New Roman"/>
          <w:b/>
          <w:color w:val="000000"/>
          <w:sz w:val="20"/>
          <w:szCs w:val="20"/>
          <w:lang w:eastAsia="en-ZA"/>
        </w:rPr>
      </w:pPr>
      <w:r>
        <w:rPr>
          <w:rFonts w:ascii="Times New Roman" w:eastAsia="Times New Roman" w:hAnsi="Times New Roman" w:cs="Times New Roman"/>
          <w:b/>
          <w:color w:val="000000"/>
          <w:sz w:val="20"/>
          <w:szCs w:val="20"/>
          <w:lang w:eastAsia="en-ZA"/>
        </w:rPr>
        <w:br w:type="page"/>
      </w:r>
    </w:p>
    <w:p w14:paraId="06152DE3"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758E1F53" w14:textId="77777777" w:rsidR="002D7080" w:rsidRDefault="002D7080" w:rsidP="002D7080">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Consequence = </w:t>
      </w:r>
      <w:r w:rsidRPr="002E57ED">
        <w:rPr>
          <w:rFonts w:ascii="Times New Roman" w:eastAsia="Times New Roman" w:hAnsi="Times New Roman" w:cs="Times New Roman"/>
          <w:b/>
          <w:bCs/>
          <w:color w:val="000000"/>
          <w:sz w:val="20"/>
          <w:szCs w:val="20"/>
          <w:lang w:eastAsia="en-ZA"/>
        </w:rPr>
        <w:t>Major (MR)</w:t>
      </w:r>
    </w:p>
    <w:p w14:paraId="6854A664"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21"/>
        <w:tblW w:w="0" w:type="auto"/>
        <w:tblLook w:val="04A0" w:firstRow="1" w:lastRow="0" w:firstColumn="1" w:lastColumn="0" w:noHBand="0" w:noVBand="1"/>
      </w:tblPr>
      <w:tblGrid>
        <w:gridCol w:w="1555"/>
        <w:gridCol w:w="5123"/>
        <w:gridCol w:w="2338"/>
      </w:tblGrid>
      <w:tr w:rsidR="002D7080" w:rsidRPr="004D1E6F" w14:paraId="0E6B6E90" w14:textId="77777777" w:rsidTr="002E2C37">
        <w:tc>
          <w:tcPr>
            <w:tcW w:w="1555" w:type="dxa"/>
            <w:shd w:val="clear" w:color="auto" w:fill="D9D9D9" w:themeFill="background1" w:themeFillShade="D9"/>
          </w:tcPr>
          <w:p w14:paraId="12803242" w14:textId="77777777" w:rsidR="002D7080" w:rsidRPr="004D1E6F" w:rsidRDefault="002D7080" w:rsidP="002E2C37">
            <w:pPr>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Parameter</w:t>
            </w:r>
          </w:p>
        </w:tc>
        <w:tc>
          <w:tcPr>
            <w:tcW w:w="5123" w:type="dxa"/>
            <w:shd w:val="clear" w:color="auto" w:fill="D9D9D9" w:themeFill="background1" w:themeFillShade="D9"/>
          </w:tcPr>
          <w:p w14:paraId="5B14BEFA" w14:textId="77777777" w:rsidR="002D7080" w:rsidRPr="004D1E6F" w:rsidRDefault="002D7080" w:rsidP="002E2C37">
            <w:pPr>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Mechanism/sector</w:t>
            </w:r>
          </w:p>
        </w:tc>
        <w:tc>
          <w:tcPr>
            <w:tcW w:w="2338" w:type="dxa"/>
            <w:shd w:val="clear" w:color="auto" w:fill="D9D9D9" w:themeFill="background1" w:themeFillShade="D9"/>
          </w:tcPr>
          <w:p w14:paraId="45EF7515" w14:textId="77777777" w:rsidR="002D7080" w:rsidRPr="004D1E6F" w:rsidRDefault="002D7080" w:rsidP="002E2C37">
            <w:pPr>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Response</w:t>
            </w:r>
          </w:p>
        </w:tc>
      </w:tr>
      <w:tr w:rsidR="002D7080" w:rsidRPr="004D1E6F" w14:paraId="019F677B" w14:textId="77777777" w:rsidTr="002E2C37">
        <w:tc>
          <w:tcPr>
            <w:tcW w:w="1555" w:type="dxa"/>
            <w:shd w:val="clear" w:color="auto" w:fill="D9D9D9" w:themeFill="background1" w:themeFillShade="D9"/>
          </w:tcPr>
          <w:p w14:paraId="4A7D4C2D"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CON1a</w:t>
            </w:r>
          </w:p>
        </w:tc>
        <w:tc>
          <w:tcPr>
            <w:tcW w:w="5123" w:type="dxa"/>
            <w:shd w:val="clear" w:color="auto" w:fill="D9D9D9" w:themeFill="background1" w:themeFillShade="D9"/>
          </w:tcPr>
          <w:p w14:paraId="43E02739"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Competition</w:t>
            </w:r>
          </w:p>
        </w:tc>
        <w:tc>
          <w:tcPr>
            <w:tcW w:w="2338" w:type="dxa"/>
          </w:tcPr>
          <w:p w14:paraId="094D9D7D"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color w:val="000000"/>
                <w:sz w:val="20"/>
                <w:szCs w:val="20"/>
                <w:lang w:eastAsia="en-ZA"/>
              </w:rPr>
              <w:t>MO</w:t>
            </w:r>
          </w:p>
        </w:tc>
      </w:tr>
      <w:tr w:rsidR="002D7080" w:rsidRPr="004D1E6F" w14:paraId="28C1126D" w14:textId="77777777" w:rsidTr="002E2C37">
        <w:tc>
          <w:tcPr>
            <w:tcW w:w="1555" w:type="dxa"/>
            <w:shd w:val="clear" w:color="auto" w:fill="D9D9D9" w:themeFill="background1" w:themeFillShade="D9"/>
          </w:tcPr>
          <w:p w14:paraId="5B518D75"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CON1b</w:t>
            </w:r>
          </w:p>
        </w:tc>
        <w:tc>
          <w:tcPr>
            <w:tcW w:w="5123" w:type="dxa"/>
            <w:shd w:val="clear" w:color="auto" w:fill="D9D9D9" w:themeFill="background1" w:themeFillShade="D9"/>
          </w:tcPr>
          <w:p w14:paraId="62ACAF0C"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Predation</w:t>
            </w:r>
          </w:p>
        </w:tc>
        <w:tc>
          <w:tcPr>
            <w:tcW w:w="2338" w:type="dxa"/>
          </w:tcPr>
          <w:p w14:paraId="15C45A18"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color w:val="000000"/>
                <w:sz w:val="20"/>
                <w:szCs w:val="20"/>
                <w:lang w:eastAsia="en-ZA"/>
              </w:rPr>
              <w:t>MR</w:t>
            </w:r>
          </w:p>
        </w:tc>
      </w:tr>
      <w:tr w:rsidR="002D7080" w:rsidRPr="004D1E6F" w14:paraId="190D1926" w14:textId="77777777" w:rsidTr="002E2C37">
        <w:tc>
          <w:tcPr>
            <w:tcW w:w="1555" w:type="dxa"/>
            <w:shd w:val="clear" w:color="auto" w:fill="D9D9D9" w:themeFill="background1" w:themeFillShade="D9"/>
          </w:tcPr>
          <w:p w14:paraId="11ECB2EC"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CON1c</w:t>
            </w:r>
          </w:p>
        </w:tc>
        <w:tc>
          <w:tcPr>
            <w:tcW w:w="5123" w:type="dxa"/>
            <w:shd w:val="clear" w:color="auto" w:fill="D9D9D9" w:themeFill="background1" w:themeFillShade="D9"/>
          </w:tcPr>
          <w:p w14:paraId="4098BA9C"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Hybridisation</w:t>
            </w:r>
          </w:p>
        </w:tc>
        <w:tc>
          <w:tcPr>
            <w:tcW w:w="2338" w:type="dxa"/>
          </w:tcPr>
          <w:p w14:paraId="3E3BD953"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DD</w:t>
            </w:r>
          </w:p>
        </w:tc>
      </w:tr>
      <w:tr w:rsidR="002D7080" w:rsidRPr="004D1E6F" w14:paraId="05412F4A" w14:textId="77777777" w:rsidTr="002E2C37">
        <w:tc>
          <w:tcPr>
            <w:tcW w:w="1555" w:type="dxa"/>
            <w:shd w:val="clear" w:color="auto" w:fill="D9D9D9" w:themeFill="background1" w:themeFillShade="D9"/>
          </w:tcPr>
          <w:p w14:paraId="268A9209"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CON1d</w:t>
            </w:r>
          </w:p>
        </w:tc>
        <w:tc>
          <w:tcPr>
            <w:tcW w:w="5123" w:type="dxa"/>
            <w:shd w:val="clear" w:color="auto" w:fill="D9D9D9" w:themeFill="background1" w:themeFillShade="D9"/>
          </w:tcPr>
          <w:p w14:paraId="2D1124D5"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Disease transmission</w:t>
            </w:r>
          </w:p>
        </w:tc>
        <w:tc>
          <w:tcPr>
            <w:tcW w:w="2338" w:type="dxa"/>
          </w:tcPr>
          <w:p w14:paraId="05BED6C0"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MN</w:t>
            </w:r>
          </w:p>
        </w:tc>
      </w:tr>
      <w:tr w:rsidR="002D7080" w:rsidRPr="004D1E6F" w14:paraId="5D718DEF" w14:textId="77777777" w:rsidTr="002E2C37">
        <w:tc>
          <w:tcPr>
            <w:tcW w:w="1555" w:type="dxa"/>
            <w:shd w:val="clear" w:color="auto" w:fill="D9D9D9" w:themeFill="background1" w:themeFillShade="D9"/>
          </w:tcPr>
          <w:p w14:paraId="30BFCB74"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CON1e</w:t>
            </w:r>
          </w:p>
        </w:tc>
        <w:tc>
          <w:tcPr>
            <w:tcW w:w="5123" w:type="dxa"/>
            <w:shd w:val="clear" w:color="auto" w:fill="D9D9D9" w:themeFill="background1" w:themeFillShade="D9"/>
          </w:tcPr>
          <w:p w14:paraId="48ECE301"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Parasitism</w:t>
            </w:r>
          </w:p>
        </w:tc>
        <w:tc>
          <w:tcPr>
            <w:tcW w:w="2338" w:type="dxa"/>
          </w:tcPr>
          <w:p w14:paraId="42CD6A3D"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DD</w:t>
            </w:r>
          </w:p>
        </w:tc>
      </w:tr>
      <w:tr w:rsidR="002D7080" w:rsidRPr="004D1E6F" w14:paraId="655A4954" w14:textId="77777777" w:rsidTr="002E2C37">
        <w:tc>
          <w:tcPr>
            <w:tcW w:w="1555" w:type="dxa"/>
            <w:shd w:val="clear" w:color="auto" w:fill="D9D9D9" w:themeFill="background1" w:themeFillShade="D9"/>
          </w:tcPr>
          <w:p w14:paraId="685EF99D"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CON1f</w:t>
            </w:r>
          </w:p>
        </w:tc>
        <w:tc>
          <w:tcPr>
            <w:tcW w:w="5123" w:type="dxa"/>
            <w:shd w:val="clear" w:color="auto" w:fill="D9D9D9" w:themeFill="background1" w:themeFillShade="D9"/>
          </w:tcPr>
          <w:p w14:paraId="1E9AFC8A"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Poisoning/toxicity</w:t>
            </w:r>
          </w:p>
        </w:tc>
        <w:tc>
          <w:tcPr>
            <w:tcW w:w="2338" w:type="dxa"/>
          </w:tcPr>
          <w:p w14:paraId="3AD70151"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color w:val="000000"/>
                <w:sz w:val="20"/>
                <w:szCs w:val="20"/>
                <w:lang w:eastAsia="en-ZA"/>
              </w:rPr>
              <w:t>DD</w:t>
            </w:r>
          </w:p>
        </w:tc>
      </w:tr>
      <w:tr w:rsidR="002D7080" w:rsidRPr="004D1E6F" w14:paraId="29EB3AF9" w14:textId="77777777" w:rsidTr="002E2C37">
        <w:tc>
          <w:tcPr>
            <w:tcW w:w="1555" w:type="dxa"/>
            <w:shd w:val="clear" w:color="auto" w:fill="D9D9D9" w:themeFill="background1" w:themeFillShade="D9"/>
          </w:tcPr>
          <w:p w14:paraId="53BC119A"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CON1g</w:t>
            </w:r>
          </w:p>
        </w:tc>
        <w:tc>
          <w:tcPr>
            <w:tcW w:w="5123" w:type="dxa"/>
            <w:shd w:val="clear" w:color="auto" w:fill="D9D9D9" w:themeFill="background1" w:themeFillShade="D9"/>
          </w:tcPr>
          <w:p w14:paraId="70FC24F9"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Bio-fouling or other direct physical disturbance</w:t>
            </w:r>
          </w:p>
        </w:tc>
        <w:tc>
          <w:tcPr>
            <w:tcW w:w="2338" w:type="dxa"/>
          </w:tcPr>
          <w:p w14:paraId="1423511B"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MN</w:t>
            </w:r>
          </w:p>
        </w:tc>
      </w:tr>
      <w:tr w:rsidR="002D7080" w:rsidRPr="004D1E6F" w14:paraId="10E9B99F" w14:textId="77777777" w:rsidTr="002E2C37">
        <w:tc>
          <w:tcPr>
            <w:tcW w:w="1555" w:type="dxa"/>
            <w:shd w:val="clear" w:color="auto" w:fill="D9D9D9" w:themeFill="background1" w:themeFillShade="D9"/>
          </w:tcPr>
          <w:p w14:paraId="404224D8"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CON1h</w:t>
            </w:r>
          </w:p>
        </w:tc>
        <w:tc>
          <w:tcPr>
            <w:tcW w:w="5123" w:type="dxa"/>
            <w:shd w:val="clear" w:color="auto" w:fill="D9D9D9" w:themeFill="background1" w:themeFillShade="D9"/>
          </w:tcPr>
          <w:p w14:paraId="448C49C3"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Grazing/herbivory/browsing</w:t>
            </w:r>
          </w:p>
        </w:tc>
        <w:tc>
          <w:tcPr>
            <w:tcW w:w="2338" w:type="dxa"/>
          </w:tcPr>
          <w:p w14:paraId="54F688C4"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MN</w:t>
            </w:r>
          </w:p>
        </w:tc>
      </w:tr>
      <w:tr w:rsidR="002D7080" w:rsidRPr="004D1E6F" w14:paraId="1BD30695" w14:textId="77777777" w:rsidTr="002E2C37">
        <w:tc>
          <w:tcPr>
            <w:tcW w:w="1555" w:type="dxa"/>
            <w:shd w:val="clear" w:color="auto" w:fill="D9D9D9" w:themeFill="background1" w:themeFillShade="D9"/>
          </w:tcPr>
          <w:p w14:paraId="7182CA3F"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CON1i</w:t>
            </w:r>
          </w:p>
        </w:tc>
        <w:tc>
          <w:tcPr>
            <w:tcW w:w="5123" w:type="dxa"/>
            <w:shd w:val="clear" w:color="auto" w:fill="D9D9D9" w:themeFill="background1" w:themeFillShade="D9"/>
          </w:tcPr>
          <w:p w14:paraId="4195C9A6"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Chemical, physical, structural impact</w:t>
            </w:r>
          </w:p>
        </w:tc>
        <w:tc>
          <w:tcPr>
            <w:tcW w:w="2338" w:type="dxa"/>
          </w:tcPr>
          <w:p w14:paraId="2A65BB66"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color w:val="000000"/>
                <w:sz w:val="20"/>
                <w:szCs w:val="20"/>
                <w:lang w:eastAsia="en-ZA"/>
              </w:rPr>
              <w:t>DD</w:t>
            </w:r>
          </w:p>
        </w:tc>
      </w:tr>
      <w:tr w:rsidR="002D7080" w:rsidRPr="004D1E6F" w14:paraId="021A04F1" w14:textId="77777777" w:rsidTr="002E2C37">
        <w:tc>
          <w:tcPr>
            <w:tcW w:w="1555" w:type="dxa"/>
            <w:shd w:val="clear" w:color="auto" w:fill="D9D9D9" w:themeFill="background1" w:themeFillShade="D9"/>
          </w:tcPr>
          <w:p w14:paraId="09B04365"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CON1k</w:t>
            </w:r>
          </w:p>
        </w:tc>
        <w:tc>
          <w:tcPr>
            <w:tcW w:w="5123" w:type="dxa"/>
            <w:shd w:val="clear" w:color="auto" w:fill="D9D9D9" w:themeFill="background1" w:themeFillShade="D9"/>
          </w:tcPr>
          <w:p w14:paraId="4A16352F"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Indirect impacts through interactions with other species</w:t>
            </w:r>
          </w:p>
        </w:tc>
        <w:tc>
          <w:tcPr>
            <w:tcW w:w="2338" w:type="dxa"/>
          </w:tcPr>
          <w:p w14:paraId="51032E74"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DD</w:t>
            </w:r>
          </w:p>
        </w:tc>
      </w:tr>
      <w:tr w:rsidR="002D7080" w:rsidRPr="004D1E6F" w14:paraId="1D262A45" w14:textId="77777777" w:rsidTr="002E2C37">
        <w:tc>
          <w:tcPr>
            <w:tcW w:w="1555" w:type="dxa"/>
            <w:shd w:val="clear" w:color="auto" w:fill="D9D9D9" w:themeFill="background1" w:themeFillShade="D9"/>
          </w:tcPr>
          <w:p w14:paraId="3B3C3B23" w14:textId="77777777" w:rsidR="002D7080" w:rsidRPr="005A0578" w:rsidRDefault="002D7080" w:rsidP="002E2C37">
            <w:pPr>
              <w:jc w:val="both"/>
              <w:rPr>
                <w:rFonts w:ascii="Times New Roman" w:eastAsia="Times New Roman" w:hAnsi="Times New Roman" w:cs="Times New Roman"/>
                <w:b/>
                <w:bCs/>
                <w:sz w:val="20"/>
                <w:szCs w:val="20"/>
                <w:lang w:eastAsia="en-ZA"/>
              </w:rPr>
            </w:pPr>
            <w:r w:rsidRPr="005A0578">
              <w:rPr>
                <w:rFonts w:ascii="Times New Roman" w:eastAsia="Times New Roman" w:hAnsi="Times New Roman" w:cs="Times New Roman"/>
                <w:b/>
                <w:bCs/>
                <w:sz w:val="20"/>
                <w:szCs w:val="20"/>
                <w:lang w:eastAsia="en-ZA"/>
              </w:rPr>
              <w:t>CON1</w:t>
            </w:r>
          </w:p>
        </w:tc>
        <w:tc>
          <w:tcPr>
            <w:tcW w:w="5123" w:type="dxa"/>
            <w:shd w:val="clear" w:color="auto" w:fill="D9D9D9" w:themeFill="background1" w:themeFillShade="D9"/>
          </w:tcPr>
          <w:p w14:paraId="10B5804B" w14:textId="77777777" w:rsidR="002D7080" w:rsidRPr="005A0578" w:rsidRDefault="002D7080" w:rsidP="002E2C37">
            <w:pPr>
              <w:jc w:val="both"/>
              <w:rPr>
                <w:rFonts w:ascii="Times New Roman" w:eastAsia="Times New Roman" w:hAnsi="Times New Roman" w:cs="Times New Roman"/>
                <w:b/>
                <w:bCs/>
                <w:sz w:val="20"/>
                <w:szCs w:val="20"/>
                <w:lang w:eastAsia="en-ZA"/>
              </w:rPr>
            </w:pPr>
            <w:r w:rsidRPr="005A0578">
              <w:rPr>
                <w:rFonts w:ascii="Times New Roman" w:eastAsia="Times New Roman" w:hAnsi="Times New Roman" w:cs="Times New Roman"/>
                <w:b/>
                <w:bCs/>
                <w:sz w:val="20"/>
                <w:szCs w:val="20"/>
                <w:lang w:eastAsia="en-ZA"/>
              </w:rPr>
              <w:t xml:space="preserve">Maximum environmental impact </w:t>
            </w:r>
          </w:p>
        </w:tc>
        <w:tc>
          <w:tcPr>
            <w:tcW w:w="2338" w:type="dxa"/>
          </w:tcPr>
          <w:p w14:paraId="1E0767CF" w14:textId="77777777" w:rsidR="002D7080" w:rsidRPr="005A0578" w:rsidRDefault="002D7080" w:rsidP="002E2C37">
            <w:pPr>
              <w:jc w:val="both"/>
              <w:rPr>
                <w:rFonts w:ascii="Times New Roman" w:eastAsia="Times New Roman" w:hAnsi="Times New Roman" w:cs="Times New Roman"/>
                <w:b/>
                <w:bCs/>
                <w:sz w:val="20"/>
                <w:szCs w:val="20"/>
                <w:lang w:eastAsia="en-ZA"/>
              </w:rPr>
            </w:pPr>
            <w:r w:rsidRPr="005A0578">
              <w:rPr>
                <w:rFonts w:ascii="Times New Roman" w:eastAsia="Times New Roman" w:hAnsi="Times New Roman" w:cs="Times New Roman"/>
                <w:b/>
                <w:bCs/>
                <w:sz w:val="20"/>
                <w:szCs w:val="20"/>
                <w:lang w:eastAsia="en-ZA"/>
              </w:rPr>
              <w:t>MR</w:t>
            </w:r>
          </w:p>
        </w:tc>
      </w:tr>
      <w:tr w:rsidR="002D7080" w:rsidRPr="004D1E6F" w14:paraId="103C1269" w14:textId="77777777" w:rsidTr="002E2C37">
        <w:tc>
          <w:tcPr>
            <w:tcW w:w="1555" w:type="dxa"/>
            <w:shd w:val="clear" w:color="auto" w:fill="D9D9D9" w:themeFill="background1" w:themeFillShade="D9"/>
          </w:tcPr>
          <w:p w14:paraId="5C306A23"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CON2a</w:t>
            </w:r>
          </w:p>
        </w:tc>
        <w:tc>
          <w:tcPr>
            <w:tcW w:w="5123" w:type="dxa"/>
            <w:shd w:val="clear" w:color="auto" w:fill="D9D9D9" w:themeFill="background1" w:themeFillShade="D9"/>
          </w:tcPr>
          <w:p w14:paraId="4864AF16"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Calibri" w:hAnsi="Times New Roman" w:cs="Times New Roman"/>
                <w:sz w:val="20"/>
                <w:szCs w:val="20"/>
              </w:rPr>
              <w:t>Safety</w:t>
            </w:r>
          </w:p>
        </w:tc>
        <w:tc>
          <w:tcPr>
            <w:tcW w:w="2338" w:type="dxa"/>
          </w:tcPr>
          <w:p w14:paraId="599DA7D2"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color w:val="000000"/>
                <w:sz w:val="20"/>
                <w:szCs w:val="20"/>
                <w:lang w:eastAsia="en-ZA"/>
              </w:rPr>
              <w:t>DD</w:t>
            </w:r>
          </w:p>
        </w:tc>
      </w:tr>
      <w:tr w:rsidR="002D7080" w:rsidRPr="004D1E6F" w14:paraId="2B380A4E" w14:textId="77777777" w:rsidTr="002E2C37">
        <w:tc>
          <w:tcPr>
            <w:tcW w:w="1555" w:type="dxa"/>
            <w:shd w:val="clear" w:color="auto" w:fill="D9D9D9" w:themeFill="background1" w:themeFillShade="D9"/>
          </w:tcPr>
          <w:p w14:paraId="6B9B07EE"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CON2b</w:t>
            </w:r>
          </w:p>
        </w:tc>
        <w:tc>
          <w:tcPr>
            <w:tcW w:w="5123" w:type="dxa"/>
            <w:shd w:val="clear" w:color="auto" w:fill="D9D9D9" w:themeFill="background1" w:themeFillShade="D9"/>
          </w:tcPr>
          <w:p w14:paraId="358C21BC"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Calibri" w:hAnsi="Times New Roman" w:cs="Times New Roman"/>
                <w:sz w:val="20"/>
                <w:szCs w:val="20"/>
              </w:rPr>
              <w:t>Material and immaterial assets</w:t>
            </w:r>
          </w:p>
        </w:tc>
        <w:tc>
          <w:tcPr>
            <w:tcW w:w="2338" w:type="dxa"/>
          </w:tcPr>
          <w:p w14:paraId="5BF6EEE7"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color w:val="000000"/>
                <w:sz w:val="20"/>
                <w:szCs w:val="20"/>
                <w:lang w:eastAsia="en-ZA"/>
              </w:rPr>
              <w:t>DD</w:t>
            </w:r>
          </w:p>
        </w:tc>
      </w:tr>
      <w:tr w:rsidR="002D7080" w:rsidRPr="004D1E6F" w14:paraId="1046FFAC" w14:textId="77777777" w:rsidTr="002E2C37">
        <w:tc>
          <w:tcPr>
            <w:tcW w:w="1555" w:type="dxa"/>
            <w:shd w:val="clear" w:color="auto" w:fill="D9D9D9" w:themeFill="background1" w:themeFillShade="D9"/>
          </w:tcPr>
          <w:p w14:paraId="1FF02BE1"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CON2c</w:t>
            </w:r>
          </w:p>
        </w:tc>
        <w:tc>
          <w:tcPr>
            <w:tcW w:w="5123" w:type="dxa"/>
            <w:shd w:val="clear" w:color="auto" w:fill="D9D9D9" w:themeFill="background1" w:themeFillShade="D9"/>
          </w:tcPr>
          <w:p w14:paraId="5BD00C89"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Calibri" w:hAnsi="Times New Roman" w:cs="Times New Roman"/>
                <w:sz w:val="20"/>
                <w:szCs w:val="20"/>
              </w:rPr>
              <w:t>Health</w:t>
            </w:r>
          </w:p>
        </w:tc>
        <w:tc>
          <w:tcPr>
            <w:tcW w:w="2338" w:type="dxa"/>
          </w:tcPr>
          <w:p w14:paraId="577DCDA4"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color w:val="000000"/>
                <w:sz w:val="20"/>
                <w:szCs w:val="20"/>
                <w:lang w:eastAsia="en-ZA"/>
              </w:rPr>
              <w:t>DD</w:t>
            </w:r>
          </w:p>
        </w:tc>
      </w:tr>
      <w:tr w:rsidR="002D7080" w:rsidRPr="004D1E6F" w14:paraId="3586FC68" w14:textId="77777777" w:rsidTr="002E2C37">
        <w:tc>
          <w:tcPr>
            <w:tcW w:w="1555" w:type="dxa"/>
            <w:shd w:val="clear" w:color="auto" w:fill="D9D9D9" w:themeFill="background1" w:themeFillShade="D9"/>
          </w:tcPr>
          <w:p w14:paraId="0ECB1CF7"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CON2d</w:t>
            </w:r>
          </w:p>
        </w:tc>
        <w:tc>
          <w:tcPr>
            <w:tcW w:w="5123" w:type="dxa"/>
            <w:shd w:val="clear" w:color="auto" w:fill="D9D9D9" w:themeFill="background1" w:themeFillShade="D9"/>
          </w:tcPr>
          <w:p w14:paraId="2122DB0B" w14:textId="77777777" w:rsidR="002D7080" w:rsidRPr="005168D4" w:rsidRDefault="002D7080" w:rsidP="002E2C37">
            <w:pPr>
              <w:jc w:val="both"/>
              <w:rPr>
                <w:rFonts w:ascii="Times New Roman" w:eastAsia="Calibri" w:hAnsi="Times New Roman" w:cs="Times New Roman"/>
                <w:sz w:val="20"/>
                <w:szCs w:val="20"/>
              </w:rPr>
            </w:pPr>
            <w:r w:rsidRPr="005168D4">
              <w:rPr>
                <w:rFonts w:ascii="Times New Roman" w:eastAsia="Calibri" w:hAnsi="Times New Roman" w:cs="Times New Roman"/>
                <w:sz w:val="20"/>
                <w:szCs w:val="20"/>
              </w:rPr>
              <w:t>Social, spiritual and cultural relations</w:t>
            </w:r>
          </w:p>
        </w:tc>
        <w:tc>
          <w:tcPr>
            <w:tcW w:w="2338" w:type="dxa"/>
          </w:tcPr>
          <w:p w14:paraId="5139E806" w14:textId="77777777" w:rsidR="002D7080" w:rsidRPr="005168D4" w:rsidRDefault="002D7080" w:rsidP="002E2C37">
            <w:pPr>
              <w:jc w:val="both"/>
              <w:rPr>
                <w:rFonts w:ascii="Times New Roman" w:eastAsia="Times New Roman" w:hAnsi="Times New Roman" w:cs="Times New Roman"/>
                <w:color w:val="000000"/>
                <w:sz w:val="20"/>
                <w:szCs w:val="20"/>
                <w:lang w:eastAsia="en-ZA"/>
              </w:rPr>
            </w:pPr>
            <w:r w:rsidRPr="005168D4">
              <w:rPr>
                <w:rFonts w:ascii="Times New Roman" w:eastAsia="Times New Roman" w:hAnsi="Times New Roman" w:cs="Times New Roman"/>
                <w:color w:val="000000"/>
                <w:sz w:val="20"/>
                <w:szCs w:val="20"/>
                <w:lang w:eastAsia="en-ZA"/>
              </w:rPr>
              <w:t>MN</w:t>
            </w:r>
          </w:p>
        </w:tc>
      </w:tr>
      <w:tr w:rsidR="002D7080" w:rsidRPr="004D1E6F" w14:paraId="1F897796" w14:textId="77777777" w:rsidTr="002E2C37">
        <w:tc>
          <w:tcPr>
            <w:tcW w:w="1555" w:type="dxa"/>
            <w:shd w:val="clear" w:color="auto" w:fill="D9D9D9" w:themeFill="background1" w:themeFillShade="D9"/>
          </w:tcPr>
          <w:p w14:paraId="168DED89" w14:textId="77777777" w:rsidR="002D7080" w:rsidRPr="005A0578" w:rsidRDefault="002D7080" w:rsidP="002E2C37">
            <w:pPr>
              <w:jc w:val="both"/>
              <w:rPr>
                <w:rFonts w:ascii="Times New Roman" w:eastAsia="Times New Roman" w:hAnsi="Times New Roman" w:cs="Times New Roman"/>
                <w:b/>
                <w:bCs/>
                <w:sz w:val="20"/>
                <w:szCs w:val="20"/>
                <w:lang w:eastAsia="en-ZA"/>
              </w:rPr>
            </w:pPr>
            <w:r w:rsidRPr="005A0578">
              <w:rPr>
                <w:rFonts w:ascii="Times New Roman" w:eastAsia="Times New Roman" w:hAnsi="Times New Roman" w:cs="Times New Roman"/>
                <w:b/>
                <w:bCs/>
                <w:sz w:val="20"/>
                <w:szCs w:val="20"/>
                <w:lang w:eastAsia="en-ZA"/>
              </w:rPr>
              <w:t>CON2</w:t>
            </w:r>
          </w:p>
        </w:tc>
        <w:tc>
          <w:tcPr>
            <w:tcW w:w="5123" w:type="dxa"/>
            <w:shd w:val="clear" w:color="auto" w:fill="D9D9D9" w:themeFill="background1" w:themeFillShade="D9"/>
          </w:tcPr>
          <w:p w14:paraId="5DDE6CBF" w14:textId="77777777" w:rsidR="002D7080" w:rsidRPr="005A0578" w:rsidRDefault="002D7080" w:rsidP="002E2C37">
            <w:pPr>
              <w:jc w:val="both"/>
              <w:rPr>
                <w:rFonts w:ascii="Times New Roman" w:eastAsia="Times New Roman" w:hAnsi="Times New Roman" w:cs="Times New Roman"/>
                <w:b/>
                <w:bCs/>
                <w:sz w:val="20"/>
                <w:szCs w:val="20"/>
                <w:lang w:eastAsia="en-ZA"/>
              </w:rPr>
            </w:pPr>
            <w:r w:rsidRPr="005A0578">
              <w:rPr>
                <w:rFonts w:ascii="Times New Roman" w:eastAsia="Times New Roman" w:hAnsi="Times New Roman" w:cs="Times New Roman"/>
                <w:b/>
                <w:bCs/>
                <w:sz w:val="20"/>
                <w:szCs w:val="20"/>
                <w:lang w:eastAsia="en-ZA"/>
              </w:rPr>
              <w:t>Maximum socio-economic impact</w:t>
            </w:r>
          </w:p>
        </w:tc>
        <w:tc>
          <w:tcPr>
            <w:tcW w:w="2338" w:type="dxa"/>
          </w:tcPr>
          <w:p w14:paraId="38FEBC45" w14:textId="77777777" w:rsidR="002D7080" w:rsidRPr="005A0578" w:rsidRDefault="002D7080" w:rsidP="002E2C37">
            <w:pPr>
              <w:jc w:val="both"/>
              <w:rPr>
                <w:rFonts w:ascii="Times New Roman" w:eastAsia="Times New Roman" w:hAnsi="Times New Roman" w:cs="Times New Roman"/>
                <w:b/>
                <w:bCs/>
                <w:sz w:val="20"/>
                <w:szCs w:val="20"/>
                <w:lang w:eastAsia="en-ZA"/>
              </w:rPr>
            </w:pPr>
            <w:r w:rsidRPr="005A0578">
              <w:rPr>
                <w:rFonts w:ascii="Times New Roman" w:eastAsia="Times New Roman" w:hAnsi="Times New Roman" w:cs="Times New Roman"/>
                <w:b/>
                <w:bCs/>
                <w:sz w:val="20"/>
                <w:szCs w:val="20"/>
                <w:lang w:eastAsia="en-ZA"/>
              </w:rPr>
              <w:t>MN</w:t>
            </w:r>
          </w:p>
        </w:tc>
      </w:tr>
      <w:tr w:rsidR="002D7080" w:rsidRPr="004D1E6F" w14:paraId="2B3EA4A6" w14:textId="77777777" w:rsidTr="002E2C37">
        <w:tc>
          <w:tcPr>
            <w:tcW w:w="1555" w:type="dxa"/>
            <w:shd w:val="clear" w:color="auto" w:fill="D9D9D9" w:themeFill="background1" w:themeFillShade="D9"/>
          </w:tcPr>
          <w:p w14:paraId="77BD8B22"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CON3</w:t>
            </w:r>
          </w:p>
        </w:tc>
        <w:tc>
          <w:tcPr>
            <w:tcW w:w="5123" w:type="dxa"/>
            <w:shd w:val="clear" w:color="auto" w:fill="D9D9D9" w:themeFill="background1" w:themeFillShade="D9"/>
          </w:tcPr>
          <w:p w14:paraId="3D8F88CB"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Maximum environmental impact (closely related taxa)</w:t>
            </w:r>
          </w:p>
        </w:tc>
        <w:tc>
          <w:tcPr>
            <w:tcW w:w="2338" w:type="dxa"/>
          </w:tcPr>
          <w:p w14:paraId="467FADE2"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Not scored as CON1 scored</w:t>
            </w:r>
          </w:p>
        </w:tc>
      </w:tr>
      <w:tr w:rsidR="002D7080" w:rsidRPr="004D1E6F" w14:paraId="1896DC80" w14:textId="77777777" w:rsidTr="002E2C37">
        <w:tc>
          <w:tcPr>
            <w:tcW w:w="1555" w:type="dxa"/>
            <w:shd w:val="clear" w:color="auto" w:fill="D9D9D9" w:themeFill="background1" w:themeFillShade="D9"/>
          </w:tcPr>
          <w:p w14:paraId="1D3F3D36"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CON4</w:t>
            </w:r>
          </w:p>
        </w:tc>
        <w:tc>
          <w:tcPr>
            <w:tcW w:w="5123" w:type="dxa"/>
            <w:shd w:val="clear" w:color="auto" w:fill="D9D9D9" w:themeFill="background1" w:themeFillShade="D9"/>
          </w:tcPr>
          <w:p w14:paraId="1E1C1058"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Maximum socio-economic impact (closely related taxa)</w:t>
            </w:r>
          </w:p>
        </w:tc>
        <w:tc>
          <w:tcPr>
            <w:tcW w:w="2338" w:type="dxa"/>
          </w:tcPr>
          <w:p w14:paraId="35ABBDA3" w14:textId="77777777" w:rsidR="002D7080" w:rsidRPr="005168D4" w:rsidRDefault="002D7080" w:rsidP="002E2C37">
            <w:pPr>
              <w:jc w:val="both"/>
              <w:rPr>
                <w:rFonts w:ascii="Times New Roman" w:eastAsia="Times New Roman" w:hAnsi="Times New Roman" w:cs="Times New Roman"/>
                <w:sz w:val="20"/>
                <w:szCs w:val="20"/>
                <w:lang w:eastAsia="en-ZA"/>
              </w:rPr>
            </w:pPr>
            <w:r w:rsidRPr="005168D4">
              <w:rPr>
                <w:rFonts w:ascii="Times New Roman" w:eastAsia="Times New Roman" w:hAnsi="Times New Roman" w:cs="Times New Roman"/>
                <w:sz w:val="20"/>
                <w:szCs w:val="20"/>
                <w:lang w:eastAsia="en-ZA"/>
              </w:rPr>
              <w:t>Not scored as CON2 scored</w:t>
            </w:r>
          </w:p>
        </w:tc>
      </w:tr>
      <w:tr w:rsidR="002D7080" w:rsidRPr="004D1E6F" w14:paraId="04E858D3" w14:textId="77777777" w:rsidTr="002E2C37">
        <w:tc>
          <w:tcPr>
            <w:tcW w:w="1555" w:type="dxa"/>
            <w:shd w:val="clear" w:color="auto" w:fill="D9D9D9" w:themeFill="background1" w:themeFillShade="D9"/>
          </w:tcPr>
          <w:p w14:paraId="6E95DC82" w14:textId="77777777" w:rsidR="002D7080" w:rsidRPr="00D310E1" w:rsidRDefault="002D7080" w:rsidP="002E2C37">
            <w:pPr>
              <w:jc w:val="both"/>
              <w:rPr>
                <w:rFonts w:ascii="Times New Roman" w:eastAsia="Times New Roman" w:hAnsi="Times New Roman" w:cs="Times New Roman"/>
                <w:sz w:val="20"/>
                <w:szCs w:val="20"/>
                <w:lang w:eastAsia="en-ZA"/>
              </w:rPr>
            </w:pPr>
            <w:r w:rsidRPr="00D310E1">
              <w:rPr>
                <w:rFonts w:ascii="Times New Roman" w:eastAsia="Times New Roman" w:hAnsi="Times New Roman" w:cs="Times New Roman"/>
                <w:sz w:val="20"/>
                <w:szCs w:val="20"/>
                <w:lang w:eastAsia="en-ZA"/>
              </w:rPr>
              <w:t>CON5</w:t>
            </w:r>
          </w:p>
        </w:tc>
        <w:tc>
          <w:tcPr>
            <w:tcW w:w="5123" w:type="dxa"/>
            <w:shd w:val="clear" w:color="auto" w:fill="D9D9D9" w:themeFill="background1" w:themeFillShade="D9"/>
          </w:tcPr>
          <w:p w14:paraId="06396868" w14:textId="77777777" w:rsidR="002D7080" w:rsidRPr="00D310E1" w:rsidRDefault="002D7080" w:rsidP="002E2C37">
            <w:pPr>
              <w:jc w:val="both"/>
              <w:rPr>
                <w:rFonts w:ascii="Times New Roman" w:eastAsia="Times New Roman" w:hAnsi="Times New Roman" w:cs="Times New Roman"/>
                <w:sz w:val="20"/>
                <w:szCs w:val="20"/>
                <w:lang w:eastAsia="en-ZA"/>
              </w:rPr>
            </w:pPr>
            <w:r w:rsidRPr="00D310E1">
              <w:rPr>
                <w:rFonts w:ascii="Times New Roman" w:eastAsia="Times New Roman" w:hAnsi="Times New Roman" w:cs="Times New Roman"/>
                <w:sz w:val="20"/>
                <w:szCs w:val="20"/>
                <w:lang w:eastAsia="en-ZA"/>
              </w:rPr>
              <w:t>Potential impact based on traits, experiments, or models</w:t>
            </w:r>
          </w:p>
        </w:tc>
        <w:tc>
          <w:tcPr>
            <w:tcW w:w="2338" w:type="dxa"/>
          </w:tcPr>
          <w:p w14:paraId="636716F3" w14:textId="77777777" w:rsidR="002D7080" w:rsidRPr="00D310E1" w:rsidRDefault="002D7080" w:rsidP="002E2C37">
            <w:pPr>
              <w:jc w:val="both"/>
              <w:rPr>
                <w:rFonts w:ascii="Times New Roman" w:eastAsia="Times New Roman" w:hAnsi="Times New Roman" w:cs="Times New Roman"/>
                <w:sz w:val="20"/>
                <w:szCs w:val="20"/>
                <w:lang w:eastAsia="en-ZA"/>
              </w:rPr>
            </w:pPr>
            <w:r w:rsidRPr="00D310E1">
              <w:rPr>
                <w:rFonts w:ascii="Times New Roman" w:eastAsia="Times New Roman" w:hAnsi="Times New Roman" w:cs="Times New Roman"/>
                <w:sz w:val="20"/>
                <w:szCs w:val="20"/>
                <w:lang w:eastAsia="en-ZA"/>
              </w:rPr>
              <w:t>MR</w:t>
            </w:r>
          </w:p>
        </w:tc>
      </w:tr>
    </w:tbl>
    <w:p w14:paraId="60A44362"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18B9F14D"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Risk score</w:t>
      </w:r>
      <w:r>
        <w:rPr>
          <w:rFonts w:ascii="Times New Roman" w:eastAsia="Times New Roman" w:hAnsi="Times New Roman" w:cs="Times New Roman"/>
          <w:b/>
          <w:sz w:val="20"/>
          <w:szCs w:val="20"/>
          <w:lang w:eastAsia="en-ZA"/>
        </w:rPr>
        <w:t>: High</w:t>
      </w:r>
      <w:r w:rsidRPr="004D1E6F">
        <w:rPr>
          <w:rFonts w:ascii="Times New Roman" w:eastAsia="Times New Roman" w:hAnsi="Times New Roman" w:cs="Times New Roman"/>
          <w:b/>
          <w:sz w:val="20"/>
          <w:szCs w:val="20"/>
          <w:lang w:eastAsia="en-ZA"/>
        </w:rPr>
        <w:t xml:space="preserve"> </w:t>
      </w:r>
    </w:p>
    <w:p w14:paraId="306AE3A0"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W w:w="7700" w:type="dxa"/>
        <w:tblInd w:w="55" w:type="dxa"/>
        <w:tblCellMar>
          <w:left w:w="70" w:type="dxa"/>
          <w:right w:w="70" w:type="dxa"/>
        </w:tblCellMar>
        <w:tblLook w:val="04A0" w:firstRow="1" w:lastRow="0" w:firstColumn="1" w:lastColumn="0" w:noHBand="0" w:noVBand="1"/>
      </w:tblPr>
      <w:tblGrid>
        <w:gridCol w:w="440"/>
        <w:gridCol w:w="2060"/>
        <w:gridCol w:w="1004"/>
        <w:gridCol w:w="953"/>
        <w:gridCol w:w="1223"/>
        <w:gridCol w:w="953"/>
        <w:gridCol w:w="1067"/>
      </w:tblGrid>
      <w:tr w:rsidR="002D7080" w:rsidRPr="004D1E6F" w14:paraId="21F28792" w14:textId="77777777" w:rsidTr="002E2C37">
        <w:trPr>
          <w:trHeight w:val="312"/>
        </w:trPr>
        <w:tc>
          <w:tcPr>
            <w:tcW w:w="440" w:type="dxa"/>
            <w:vMerge w:val="restart"/>
            <w:tcBorders>
              <w:top w:val="nil"/>
              <w:left w:val="nil"/>
              <w:bottom w:val="single" w:sz="4" w:space="0" w:color="000000"/>
              <w:right w:val="nil"/>
            </w:tcBorders>
            <w:shd w:val="clear" w:color="000000" w:fill="F2F2F2"/>
            <w:noWrap/>
            <w:vAlign w:val="bottom"/>
            <w:hideMark/>
          </w:tcPr>
          <w:p w14:paraId="0FAB4400"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 </w:t>
            </w:r>
          </w:p>
        </w:tc>
        <w:tc>
          <w:tcPr>
            <w:tcW w:w="2060" w:type="dxa"/>
            <w:vMerge w:val="restart"/>
            <w:tcBorders>
              <w:top w:val="nil"/>
              <w:left w:val="nil"/>
              <w:bottom w:val="single" w:sz="4" w:space="0" w:color="000000"/>
              <w:right w:val="single" w:sz="4" w:space="0" w:color="auto"/>
            </w:tcBorders>
            <w:shd w:val="clear" w:color="000000" w:fill="F2F2F2"/>
            <w:noWrap/>
            <w:vAlign w:val="bottom"/>
            <w:hideMark/>
          </w:tcPr>
          <w:p w14:paraId="385C636E"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 </w:t>
            </w:r>
          </w:p>
        </w:tc>
        <w:tc>
          <w:tcPr>
            <w:tcW w:w="5200" w:type="dxa"/>
            <w:gridSpan w:val="5"/>
            <w:tcBorders>
              <w:top w:val="nil"/>
              <w:left w:val="nil"/>
              <w:bottom w:val="single" w:sz="4" w:space="0" w:color="auto"/>
              <w:right w:val="nil"/>
            </w:tcBorders>
            <w:shd w:val="clear" w:color="auto" w:fill="D9D9D9" w:themeFill="background1" w:themeFillShade="D9"/>
            <w:noWrap/>
            <w:vAlign w:val="bottom"/>
            <w:hideMark/>
          </w:tcPr>
          <w:p w14:paraId="4B5F4BFA"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Consequences</w:t>
            </w:r>
          </w:p>
        </w:tc>
      </w:tr>
      <w:tr w:rsidR="002D7080" w:rsidRPr="004D1E6F" w14:paraId="5AC40686" w14:textId="77777777" w:rsidTr="002E2C37">
        <w:trPr>
          <w:trHeight w:val="312"/>
        </w:trPr>
        <w:tc>
          <w:tcPr>
            <w:tcW w:w="440" w:type="dxa"/>
            <w:vMerge/>
            <w:tcBorders>
              <w:top w:val="nil"/>
              <w:left w:val="nil"/>
              <w:bottom w:val="single" w:sz="4" w:space="0" w:color="000000"/>
              <w:right w:val="nil"/>
            </w:tcBorders>
            <w:vAlign w:val="center"/>
            <w:hideMark/>
          </w:tcPr>
          <w:p w14:paraId="7047A608"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vMerge/>
            <w:tcBorders>
              <w:top w:val="nil"/>
              <w:left w:val="nil"/>
              <w:bottom w:val="single" w:sz="4" w:space="0" w:color="auto"/>
              <w:right w:val="single" w:sz="4" w:space="0" w:color="auto"/>
            </w:tcBorders>
            <w:vAlign w:val="center"/>
            <w:hideMark/>
          </w:tcPr>
          <w:p w14:paraId="07B97161"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100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03F3C13"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MC</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4F09AB1"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MN</w:t>
            </w:r>
          </w:p>
        </w:tc>
        <w:tc>
          <w:tcPr>
            <w:tcW w:w="1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D6B4075"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MO</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76949F45"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MR</w:t>
            </w:r>
          </w:p>
        </w:tc>
        <w:tc>
          <w:tcPr>
            <w:tcW w:w="1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EAF00F2"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MV</w:t>
            </w:r>
          </w:p>
        </w:tc>
      </w:tr>
      <w:tr w:rsidR="002D7080" w:rsidRPr="004D1E6F" w14:paraId="3319ED59" w14:textId="77777777" w:rsidTr="002E2C37">
        <w:trPr>
          <w:trHeight w:val="348"/>
        </w:trPr>
        <w:tc>
          <w:tcPr>
            <w:tcW w:w="440" w:type="dxa"/>
            <w:vMerge w:val="restart"/>
            <w:tcBorders>
              <w:top w:val="nil"/>
              <w:left w:val="nil"/>
              <w:bottom w:val="nil"/>
              <w:right w:val="single" w:sz="4" w:space="0" w:color="auto"/>
            </w:tcBorders>
            <w:shd w:val="clear" w:color="auto" w:fill="D9D9D9" w:themeFill="background1" w:themeFillShade="D9"/>
            <w:noWrap/>
            <w:textDirection w:val="btLr"/>
            <w:vAlign w:val="center"/>
            <w:hideMark/>
          </w:tcPr>
          <w:p w14:paraId="2D3B2EE1"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Likelihood</w:t>
            </w: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2822C4D"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Extremely unlikely</w:t>
            </w:r>
          </w:p>
        </w:tc>
        <w:tc>
          <w:tcPr>
            <w:tcW w:w="1004" w:type="dxa"/>
            <w:tcBorders>
              <w:top w:val="single" w:sz="4" w:space="0" w:color="auto"/>
              <w:left w:val="nil"/>
              <w:bottom w:val="single" w:sz="4" w:space="0" w:color="auto"/>
              <w:right w:val="single" w:sz="4" w:space="0" w:color="auto"/>
            </w:tcBorders>
            <w:noWrap/>
            <w:vAlign w:val="center"/>
            <w:hideMark/>
          </w:tcPr>
          <w:p w14:paraId="66EA7983"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C4473E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791E37AE"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174B1037"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5B9C727"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r>
      <w:tr w:rsidR="002D7080" w:rsidRPr="004D1E6F" w14:paraId="5557CE4E"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04B3426E"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C083A4B"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Very unlikely</w:t>
            </w:r>
          </w:p>
        </w:tc>
        <w:tc>
          <w:tcPr>
            <w:tcW w:w="1004" w:type="dxa"/>
            <w:tcBorders>
              <w:top w:val="single" w:sz="4" w:space="0" w:color="auto"/>
              <w:left w:val="nil"/>
              <w:bottom w:val="single" w:sz="4" w:space="0" w:color="auto"/>
              <w:right w:val="single" w:sz="4" w:space="0" w:color="auto"/>
            </w:tcBorders>
            <w:noWrap/>
            <w:vAlign w:val="center"/>
            <w:hideMark/>
          </w:tcPr>
          <w:p w14:paraId="12B14244"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547D749"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201AE848"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34DE70D"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1EA5AFD9"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3BC73106"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24926233"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FFFF00"/>
            <w:noWrap/>
            <w:vAlign w:val="center"/>
            <w:hideMark/>
          </w:tcPr>
          <w:p w14:paraId="1ECE0C88"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Unlikely</w:t>
            </w:r>
          </w:p>
        </w:tc>
        <w:tc>
          <w:tcPr>
            <w:tcW w:w="1004" w:type="dxa"/>
            <w:tcBorders>
              <w:top w:val="single" w:sz="4" w:space="0" w:color="auto"/>
              <w:left w:val="nil"/>
              <w:bottom w:val="single" w:sz="4" w:space="0" w:color="auto"/>
              <w:right w:val="single" w:sz="4" w:space="0" w:color="auto"/>
            </w:tcBorders>
            <w:noWrap/>
            <w:vAlign w:val="center"/>
            <w:hideMark/>
          </w:tcPr>
          <w:p w14:paraId="61C37441"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24FB9F5"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679DA566"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5DF1924" w14:textId="77777777" w:rsidR="002D7080" w:rsidRPr="00457932" w:rsidRDefault="002D7080" w:rsidP="002E2C37">
            <w:pPr>
              <w:spacing w:after="0" w:line="240" w:lineRule="auto"/>
              <w:jc w:val="center"/>
              <w:rPr>
                <w:rFonts w:ascii="Times New Roman" w:eastAsia="Times New Roman" w:hAnsi="Times New Roman" w:cs="Times New Roman"/>
                <w:color w:val="000000"/>
                <w:sz w:val="20"/>
                <w:szCs w:val="20"/>
                <w:highlight w:val="yellow"/>
                <w:lang w:eastAsia="de-CH"/>
              </w:rPr>
            </w:pPr>
            <w:r w:rsidRPr="00457932">
              <w:rPr>
                <w:rFonts w:ascii="Times New Roman" w:eastAsia="Times New Roman" w:hAnsi="Times New Roman" w:cs="Times New Roman"/>
                <w:color w:val="000000"/>
                <w:sz w:val="20"/>
                <w:szCs w:val="20"/>
                <w:highlight w:val="yellow"/>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AD440CF"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2B1C95DC"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63B07557"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392735C"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Fairly probable</w:t>
            </w:r>
          </w:p>
        </w:tc>
        <w:tc>
          <w:tcPr>
            <w:tcW w:w="1004" w:type="dxa"/>
            <w:tcBorders>
              <w:top w:val="single" w:sz="4" w:space="0" w:color="auto"/>
              <w:left w:val="nil"/>
              <w:bottom w:val="single" w:sz="4" w:space="0" w:color="auto"/>
              <w:right w:val="single" w:sz="4" w:space="0" w:color="auto"/>
            </w:tcBorders>
            <w:noWrap/>
            <w:vAlign w:val="center"/>
            <w:hideMark/>
          </w:tcPr>
          <w:p w14:paraId="2460415A"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1BB7E4A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78CA9A2D"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F899834"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CA0AD14"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03D46BE9"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02ADD83E"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24D624B"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Probable</w:t>
            </w:r>
          </w:p>
        </w:tc>
        <w:tc>
          <w:tcPr>
            <w:tcW w:w="1004" w:type="dxa"/>
            <w:tcBorders>
              <w:top w:val="single" w:sz="4" w:space="0" w:color="auto"/>
              <w:left w:val="nil"/>
              <w:bottom w:val="single" w:sz="4" w:space="0" w:color="auto"/>
              <w:right w:val="single" w:sz="4" w:space="0" w:color="auto"/>
            </w:tcBorders>
            <w:noWrap/>
            <w:vAlign w:val="center"/>
            <w:hideMark/>
          </w:tcPr>
          <w:p w14:paraId="4DC0B1B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746D80A1"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27EC9C92"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B3F5F16"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92FA4DD"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bl>
    <w:p w14:paraId="073C70E9" w14:textId="77777777" w:rsidR="002D7080" w:rsidRDefault="002D7080" w:rsidP="002D7080">
      <w:pPr>
        <w:spacing w:after="0" w:line="240" w:lineRule="auto"/>
        <w:rPr>
          <w:rFonts w:ascii="Times New Roman" w:eastAsia="Times New Roman" w:hAnsi="Times New Roman" w:cs="Times New Roman"/>
          <w:b/>
          <w:sz w:val="20"/>
          <w:szCs w:val="20"/>
          <w:lang w:eastAsia="en-ZA"/>
        </w:rPr>
      </w:pPr>
    </w:p>
    <w:p w14:paraId="34C45504"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Ease of management</w:t>
      </w:r>
      <w:r>
        <w:rPr>
          <w:rFonts w:ascii="Times New Roman" w:eastAsia="Times New Roman" w:hAnsi="Times New Roman" w:cs="Times New Roman"/>
          <w:b/>
          <w:sz w:val="20"/>
          <w:szCs w:val="20"/>
          <w:lang w:eastAsia="en-ZA"/>
        </w:rPr>
        <w:t xml:space="preserve">: Medium </w:t>
      </w:r>
    </w:p>
    <w:p w14:paraId="6AFE4109"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pPr w:leftFromText="180" w:rightFromText="180" w:vertAnchor="text" w:tblpY="1"/>
        <w:tblOverlap w:val="never"/>
        <w:tblW w:w="8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4667"/>
        <w:gridCol w:w="2013"/>
      </w:tblGrid>
      <w:tr w:rsidR="002D7080" w:rsidRPr="004D1E6F" w14:paraId="4B8F80FD" w14:textId="77777777" w:rsidTr="002E2C37">
        <w:trPr>
          <w:trHeight w:val="272"/>
        </w:trPr>
        <w:tc>
          <w:tcPr>
            <w:tcW w:w="1678" w:type="dxa"/>
            <w:shd w:val="clear" w:color="auto" w:fill="D9D9D9" w:themeFill="background1" w:themeFillShade="D9"/>
            <w:vAlign w:val="center"/>
          </w:tcPr>
          <w:p w14:paraId="3711D428"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Parameter</w:t>
            </w:r>
          </w:p>
        </w:tc>
        <w:tc>
          <w:tcPr>
            <w:tcW w:w="4667" w:type="dxa"/>
            <w:shd w:val="clear" w:color="auto" w:fill="D9D9D9" w:themeFill="background1" w:themeFillShade="D9"/>
            <w:vAlign w:val="center"/>
          </w:tcPr>
          <w:p w14:paraId="4204CCEF"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Question</w:t>
            </w:r>
          </w:p>
        </w:tc>
        <w:tc>
          <w:tcPr>
            <w:tcW w:w="2013" w:type="dxa"/>
            <w:shd w:val="clear" w:color="auto" w:fill="D9D9D9" w:themeFill="background1" w:themeFillShade="D9"/>
            <w:vAlign w:val="center"/>
          </w:tcPr>
          <w:p w14:paraId="4D36D4D3"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Response</w:t>
            </w:r>
          </w:p>
        </w:tc>
      </w:tr>
      <w:tr w:rsidR="002D7080" w:rsidRPr="004D1E6F" w14:paraId="38021DB5" w14:textId="77777777" w:rsidTr="002E2C37">
        <w:trPr>
          <w:trHeight w:val="305"/>
        </w:trPr>
        <w:tc>
          <w:tcPr>
            <w:tcW w:w="1678" w:type="dxa"/>
            <w:shd w:val="clear" w:color="auto" w:fill="D9D9D9" w:themeFill="background1" w:themeFillShade="D9"/>
            <w:vAlign w:val="center"/>
          </w:tcPr>
          <w:p w14:paraId="5B5437AF"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MAN3a</w:t>
            </w:r>
          </w:p>
        </w:tc>
        <w:tc>
          <w:tcPr>
            <w:tcW w:w="4667" w:type="dxa"/>
            <w:shd w:val="clear" w:color="auto" w:fill="D9D9D9" w:themeFill="background1" w:themeFillShade="D9"/>
            <w:vAlign w:val="center"/>
          </w:tcPr>
          <w:p w14:paraId="48E9233E" w14:textId="77777777" w:rsidR="002D7080" w:rsidRPr="004D1E6F" w:rsidRDefault="002D7080" w:rsidP="002E2C37">
            <w:pPr>
              <w:tabs>
                <w:tab w:val="left" w:pos="1223"/>
              </w:tabs>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How accessible are populations? </w:t>
            </w:r>
          </w:p>
        </w:tc>
        <w:tc>
          <w:tcPr>
            <w:tcW w:w="2013" w:type="dxa"/>
            <w:vAlign w:val="center"/>
          </w:tcPr>
          <w:p w14:paraId="32F9E63A" w14:textId="77777777" w:rsidR="002D7080" w:rsidRPr="004D1E6F" w:rsidRDefault="002D7080" w:rsidP="002E2C37">
            <w:pPr>
              <w:tabs>
                <w:tab w:val="left" w:pos="1250"/>
              </w:tabs>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2</w:t>
            </w:r>
          </w:p>
        </w:tc>
      </w:tr>
      <w:tr w:rsidR="002D7080" w:rsidRPr="004D1E6F" w14:paraId="43E63B89" w14:textId="77777777" w:rsidTr="002E2C37">
        <w:trPr>
          <w:trHeight w:val="274"/>
        </w:trPr>
        <w:tc>
          <w:tcPr>
            <w:tcW w:w="1678" w:type="dxa"/>
            <w:shd w:val="clear" w:color="auto" w:fill="D9D9D9" w:themeFill="background1" w:themeFillShade="D9"/>
            <w:vAlign w:val="center"/>
          </w:tcPr>
          <w:p w14:paraId="443A6C0A"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MAN3b</w:t>
            </w:r>
          </w:p>
        </w:tc>
        <w:tc>
          <w:tcPr>
            <w:tcW w:w="4667" w:type="dxa"/>
            <w:shd w:val="clear" w:color="auto" w:fill="D9D9D9" w:themeFill="background1" w:themeFillShade="D9"/>
            <w:vAlign w:val="center"/>
          </w:tcPr>
          <w:p w14:paraId="104F99D2"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Is detectability critically time-dependent?</w:t>
            </w:r>
          </w:p>
        </w:tc>
        <w:tc>
          <w:tcPr>
            <w:tcW w:w="2013" w:type="dxa"/>
            <w:vAlign w:val="center"/>
          </w:tcPr>
          <w:p w14:paraId="58CCCD20"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2</w:t>
            </w:r>
          </w:p>
        </w:tc>
      </w:tr>
      <w:tr w:rsidR="002D7080" w:rsidRPr="004D1E6F" w14:paraId="639E59E4" w14:textId="77777777" w:rsidTr="002E2C37">
        <w:trPr>
          <w:trHeight w:val="274"/>
        </w:trPr>
        <w:tc>
          <w:tcPr>
            <w:tcW w:w="1678" w:type="dxa"/>
            <w:shd w:val="clear" w:color="auto" w:fill="D9D9D9" w:themeFill="background1" w:themeFillShade="D9"/>
            <w:vAlign w:val="center"/>
          </w:tcPr>
          <w:p w14:paraId="7286DAB9"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MAN3c</w:t>
            </w:r>
          </w:p>
        </w:tc>
        <w:tc>
          <w:tcPr>
            <w:tcW w:w="4667" w:type="dxa"/>
            <w:shd w:val="clear" w:color="auto" w:fill="D9D9D9" w:themeFill="background1" w:themeFillShade="D9"/>
            <w:vAlign w:val="center"/>
          </w:tcPr>
          <w:p w14:paraId="3A81D0E3"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Time to reproduction</w:t>
            </w:r>
          </w:p>
        </w:tc>
        <w:tc>
          <w:tcPr>
            <w:tcW w:w="2013" w:type="dxa"/>
            <w:vAlign w:val="center"/>
          </w:tcPr>
          <w:p w14:paraId="21375AAD"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1</w:t>
            </w:r>
          </w:p>
        </w:tc>
      </w:tr>
      <w:tr w:rsidR="002D7080" w:rsidRPr="004D1E6F" w14:paraId="0109E1CF" w14:textId="77777777" w:rsidTr="002E2C37">
        <w:trPr>
          <w:trHeight w:val="280"/>
        </w:trPr>
        <w:tc>
          <w:tcPr>
            <w:tcW w:w="1678" w:type="dxa"/>
            <w:shd w:val="clear" w:color="auto" w:fill="D9D9D9" w:themeFill="background1" w:themeFillShade="D9"/>
            <w:vAlign w:val="center"/>
          </w:tcPr>
          <w:p w14:paraId="4CEB5EC3"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MAN3d</w:t>
            </w:r>
          </w:p>
        </w:tc>
        <w:tc>
          <w:tcPr>
            <w:tcW w:w="4667" w:type="dxa"/>
            <w:shd w:val="clear" w:color="auto" w:fill="D9D9D9" w:themeFill="background1" w:themeFillShade="D9"/>
            <w:vAlign w:val="center"/>
          </w:tcPr>
          <w:p w14:paraId="7C9F3DFF"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Propagule persistence</w:t>
            </w:r>
          </w:p>
        </w:tc>
        <w:tc>
          <w:tcPr>
            <w:tcW w:w="2013" w:type="dxa"/>
            <w:vAlign w:val="center"/>
          </w:tcPr>
          <w:p w14:paraId="041A53B4"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0</w:t>
            </w:r>
          </w:p>
        </w:tc>
      </w:tr>
      <w:tr w:rsidR="002D7080" w:rsidRPr="004D1E6F" w14:paraId="7AF29F99" w14:textId="77777777" w:rsidTr="002E2C37">
        <w:trPr>
          <w:trHeight w:val="248"/>
        </w:trPr>
        <w:tc>
          <w:tcPr>
            <w:tcW w:w="1678" w:type="dxa"/>
            <w:tcBorders>
              <w:top w:val="double" w:sz="4" w:space="0" w:color="auto"/>
            </w:tcBorders>
            <w:shd w:val="clear" w:color="auto" w:fill="D9D9D9" w:themeFill="background1" w:themeFillShade="D9"/>
            <w:vAlign w:val="center"/>
          </w:tcPr>
          <w:p w14:paraId="73286543"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MAN3</w:t>
            </w:r>
          </w:p>
        </w:tc>
        <w:tc>
          <w:tcPr>
            <w:tcW w:w="4667" w:type="dxa"/>
            <w:tcBorders>
              <w:top w:val="double" w:sz="4" w:space="0" w:color="auto"/>
            </w:tcBorders>
            <w:shd w:val="clear" w:color="auto" w:fill="D9D9D9" w:themeFill="background1" w:themeFillShade="D9"/>
            <w:vAlign w:val="center"/>
          </w:tcPr>
          <w:p w14:paraId="6FC1BBD7" w14:textId="77777777" w:rsidR="002D7080" w:rsidRPr="004D1E6F" w:rsidRDefault="002D7080" w:rsidP="002E2C37">
            <w:pPr>
              <w:spacing w:after="0" w:line="240" w:lineRule="auto"/>
              <w:rPr>
                <w:rFonts w:ascii="Times New Roman" w:eastAsia="Calibri" w:hAnsi="Times New Roman" w:cs="Times New Roman"/>
                <w:b/>
                <w:sz w:val="20"/>
                <w:szCs w:val="20"/>
              </w:rPr>
            </w:pPr>
            <w:r w:rsidRPr="004D1E6F">
              <w:rPr>
                <w:rFonts w:ascii="Times New Roman" w:eastAsia="Calibri" w:hAnsi="Times New Roman" w:cs="Times New Roman"/>
                <w:b/>
                <w:sz w:val="20"/>
                <w:szCs w:val="20"/>
              </w:rPr>
              <w:t>SUM</w:t>
            </w:r>
          </w:p>
        </w:tc>
        <w:tc>
          <w:tcPr>
            <w:tcW w:w="2013" w:type="dxa"/>
            <w:tcBorders>
              <w:top w:val="double" w:sz="4" w:space="0" w:color="auto"/>
            </w:tcBorders>
            <w:vAlign w:val="center"/>
          </w:tcPr>
          <w:p w14:paraId="76502043"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5</w:t>
            </w:r>
          </w:p>
        </w:tc>
      </w:tr>
    </w:tbl>
    <w:p w14:paraId="48E1BB20" w14:textId="77777777" w:rsidR="002D7080" w:rsidRPr="004D1E6F" w:rsidRDefault="002D7080" w:rsidP="002D7080">
      <w:pPr>
        <w:spacing w:after="0" w:line="240" w:lineRule="auto"/>
        <w:rPr>
          <w:rFonts w:ascii="Times New Roman" w:eastAsia="Calibri" w:hAnsi="Times New Roman" w:cs="Times New Roman"/>
          <w:sz w:val="24"/>
          <w:szCs w:val="24"/>
        </w:rPr>
      </w:pPr>
    </w:p>
    <w:p w14:paraId="16D48EEC" w14:textId="77777777" w:rsidR="002D7080" w:rsidRPr="004D1E6F" w:rsidRDefault="002D7080" w:rsidP="002D7080">
      <w:pPr>
        <w:spacing w:after="0" w:line="240" w:lineRule="auto"/>
        <w:rPr>
          <w:rFonts w:ascii="Times New Roman" w:eastAsia="Calibri" w:hAnsi="Times New Roman" w:cs="Times New Roman"/>
          <w:sz w:val="24"/>
          <w:szCs w:val="24"/>
        </w:rPr>
      </w:pPr>
    </w:p>
    <w:p w14:paraId="737BB478" w14:textId="77777777" w:rsidR="002D7080" w:rsidRPr="004D1E6F" w:rsidRDefault="002D7080" w:rsidP="002D7080">
      <w:pPr>
        <w:spacing w:after="0" w:line="240" w:lineRule="auto"/>
        <w:rPr>
          <w:rFonts w:ascii="Times New Roman" w:eastAsia="Calibri" w:hAnsi="Times New Roman" w:cs="Times New Roman"/>
          <w:b/>
          <w:sz w:val="24"/>
          <w:szCs w:val="24"/>
        </w:rPr>
      </w:pPr>
    </w:p>
    <w:p w14:paraId="6BC75D65" w14:textId="77777777" w:rsidR="002D7080" w:rsidRPr="004D1E6F" w:rsidRDefault="002D7080" w:rsidP="002D7080">
      <w:pPr>
        <w:spacing w:after="0" w:line="240" w:lineRule="auto"/>
        <w:rPr>
          <w:rFonts w:ascii="Times New Roman" w:eastAsia="Calibri" w:hAnsi="Times New Roman" w:cs="Times New Roman"/>
          <w:b/>
          <w:sz w:val="24"/>
          <w:szCs w:val="24"/>
        </w:rPr>
      </w:pPr>
    </w:p>
    <w:p w14:paraId="5A56EAFE" w14:textId="77777777" w:rsidR="002D7080" w:rsidRPr="004D1E6F" w:rsidRDefault="002D7080" w:rsidP="002D7080">
      <w:pPr>
        <w:spacing w:after="0" w:line="240" w:lineRule="auto"/>
        <w:rPr>
          <w:rFonts w:ascii="Times New Roman" w:eastAsia="Calibri" w:hAnsi="Times New Roman" w:cs="Times New Roman"/>
          <w:b/>
          <w:sz w:val="24"/>
          <w:szCs w:val="24"/>
        </w:rPr>
      </w:pPr>
    </w:p>
    <w:p w14:paraId="5382037D" w14:textId="77777777" w:rsidR="002D7080" w:rsidRPr="004D1E6F" w:rsidRDefault="002D7080" w:rsidP="002D7080">
      <w:pPr>
        <w:spacing w:after="0" w:line="240" w:lineRule="auto"/>
        <w:rPr>
          <w:rFonts w:ascii="Times New Roman" w:eastAsia="Calibri" w:hAnsi="Times New Roman" w:cs="Times New Roman"/>
          <w:b/>
          <w:sz w:val="24"/>
          <w:szCs w:val="24"/>
        </w:rPr>
      </w:pPr>
    </w:p>
    <w:p w14:paraId="3DCCBDDC"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729C6687"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75163F6D" w14:textId="77777777" w:rsidR="002D7080" w:rsidRDefault="002D7080" w:rsidP="002D7080">
      <w:pPr>
        <w:rPr>
          <w:rFonts w:ascii="Times New Roman" w:eastAsia="Times New Roman" w:hAnsi="Times New Roman" w:cs="Times New Roman"/>
          <w:b/>
          <w:color w:val="000000"/>
          <w:sz w:val="20"/>
          <w:szCs w:val="20"/>
          <w:lang w:eastAsia="en-ZA"/>
        </w:rPr>
      </w:pPr>
      <w:r>
        <w:rPr>
          <w:rFonts w:ascii="Times New Roman" w:eastAsia="Times New Roman" w:hAnsi="Times New Roman" w:cs="Times New Roman"/>
          <w:b/>
          <w:color w:val="000000"/>
          <w:sz w:val="20"/>
          <w:szCs w:val="20"/>
          <w:lang w:eastAsia="en-ZA"/>
        </w:rPr>
        <w:br w:type="page"/>
      </w:r>
    </w:p>
    <w:p w14:paraId="718C387F" w14:textId="77777777" w:rsidR="002D7080" w:rsidRPr="004D1E6F" w:rsidRDefault="002D7080" w:rsidP="002D7080">
      <w:pPr>
        <w:spacing w:after="0" w:line="240" w:lineRule="auto"/>
        <w:rPr>
          <w:rFonts w:ascii="Times New Roman" w:eastAsia="Times New Roman" w:hAnsi="Times New Roman" w:cs="Times New Roman"/>
          <w:i/>
          <w:color w:val="000000"/>
          <w:sz w:val="20"/>
          <w:szCs w:val="20"/>
          <w:lang w:eastAsia="en-ZA"/>
        </w:rPr>
      </w:pPr>
      <w:r w:rsidRPr="004D1E6F">
        <w:rPr>
          <w:rFonts w:ascii="Times New Roman" w:eastAsia="Times New Roman" w:hAnsi="Times New Roman" w:cs="Times New Roman"/>
          <w:b/>
          <w:color w:val="000000"/>
          <w:sz w:val="20"/>
          <w:szCs w:val="20"/>
          <w:lang w:eastAsia="en-ZA"/>
        </w:rPr>
        <w:lastRenderedPageBreak/>
        <w:t>Appendix BAC7</w:t>
      </w:r>
      <w:r w:rsidRPr="004D1E6F">
        <w:rPr>
          <w:rFonts w:ascii="Times New Roman" w:eastAsia="Times New Roman" w:hAnsi="Times New Roman" w:cs="Times New Roman"/>
          <w:color w:val="000000"/>
          <w:sz w:val="20"/>
          <w:szCs w:val="20"/>
          <w:lang w:eastAsia="en-ZA"/>
        </w:rPr>
        <w:t xml:space="preserve">: Global alien range for </w:t>
      </w:r>
      <w:r w:rsidRPr="004D1E6F">
        <w:rPr>
          <w:rFonts w:ascii="Times New Roman" w:eastAsia="Times New Roman" w:hAnsi="Times New Roman" w:cs="Times New Roman"/>
          <w:i/>
          <w:color w:val="000000"/>
          <w:sz w:val="20"/>
          <w:szCs w:val="20"/>
          <w:lang w:eastAsia="en-ZA"/>
        </w:rPr>
        <w:t>Orconectes immunis</w:t>
      </w:r>
    </w:p>
    <w:p w14:paraId="2B6062BD"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Calibri" w:hAnsi="Times New Roman" w:cs="Times New Roman"/>
          <w:sz w:val="20"/>
          <w:szCs w:val="20"/>
        </w:rPr>
        <w:t xml:space="preserve">Map from GBIF: </w:t>
      </w:r>
      <w:hyperlink w:history="1">
        <w:r w:rsidRPr="004D1E6F">
          <w:rPr>
            <w:rFonts w:ascii="Times New Roman" w:eastAsia="Calibri" w:hAnsi="Times New Roman" w:cs="Times New Roman"/>
            <w:color w:val="0563C1"/>
            <w:sz w:val="20"/>
            <w:szCs w:val="20"/>
            <w:u w:val="single"/>
          </w:rPr>
          <w:t>https://www.gbif.org/species/2227004</w:t>
        </w:r>
      </w:hyperlink>
    </w:p>
    <w:p w14:paraId="2BB8B737"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6859888D" w14:textId="77777777" w:rsidR="002D7080" w:rsidRPr="004D1E6F" w:rsidRDefault="002D7080" w:rsidP="002D7080">
      <w:pPr>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noProof/>
          <w:sz w:val="20"/>
          <w:szCs w:val="20"/>
          <w:lang w:eastAsia="en-ZA"/>
        </w:rPr>
        <w:drawing>
          <wp:inline distT="0" distB="0" distL="0" distR="0" wp14:anchorId="3C494B38" wp14:editId="08E434EF">
            <wp:extent cx="4596765" cy="2023745"/>
            <wp:effectExtent l="0" t="0" r="0" b="0"/>
            <wp:docPr id="1182205562" name="Picture 1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205562" name="Picture 16" descr="A map of the world&#10;&#10;AI-generated content may be incorrect."/>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596765" cy="2023745"/>
                    </a:xfrm>
                    <a:prstGeom prst="rect">
                      <a:avLst/>
                    </a:prstGeom>
                    <a:noFill/>
                  </pic:spPr>
                </pic:pic>
              </a:graphicData>
            </a:graphic>
          </wp:inline>
        </w:drawing>
      </w:r>
    </w:p>
    <w:p w14:paraId="4DD885AE"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068D32BD" w14:textId="77777777" w:rsidR="002D7080" w:rsidRPr="004D1E6F" w:rsidRDefault="002D7080" w:rsidP="002D7080">
      <w:pPr>
        <w:spacing w:after="160" w:line="360" w:lineRule="auto"/>
        <w:jc w:val="both"/>
        <w:rPr>
          <w:rFonts w:ascii="Times New Roman" w:eastAsia="Calibri" w:hAnsi="Times New Roman" w:cs="Times New Roman"/>
          <w:b/>
          <w:bCs/>
          <w:sz w:val="24"/>
          <w:szCs w:val="24"/>
        </w:rPr>
      </w:pPr>
    </w:p>
    <w:p w14:paraId="71E03DEC" w14:textId="77777777" w:rsidR="002D7080" w:rsidRPr="004D1E6F" w:rsidRDefault="002D7080" w:rsidP="002D7080">
      <w:pPr>
        <w:spacing w:after="160" w:line="360" w:lineRule="auto"/>
        <w:jc w:val="both"/>
        <w:rPr>
          <w:rFonts w:ascii="Times New Roman" w:eastAsia="Calibri" w:hAnsi="Times New Roman" w:cs="Times New Roman"/>
          <w:b/>
          <w:bCs/>
          <w:sz w:val="24"/>
          <w:szCs w:val="24"/>
        </w:rPr>
      </w:pPr>
    </w:p>
    <w:p w14:paraId="42B46897" w14:textId="77777777" w:rsidR="002D7080" w:rsidRPr="004D1E6F" w:rsidRDefault="002D7080" w:rsidP="002D7080">
      <w:pPr>
        <w:spacing w:after="160" w:line="360" w:lineRule="auto"/>
        <w:jc w:val="both"/>
        <w:rPr>
          <w:rFonts w:ascii="Times New Roman" w:eastAsia="Calibri" w:hAnsi="Times New Roman" w:cs="Times New Roman"/>
          <w:b/>
          <w:bCs/>
          <w:sz w:val="24"/>
          <w:szCs w:val="24"/>
        </w:rPr>
      </w:pPr>
    </w:p>
    <w:p w14:paraId="1E1D4B63" w14:textId="77777777" w:rsidR="002D7080" w:rsidRPr="004D1E6F" w:rsidRDefault="002D7080" w:rsidP="002D7080">
      <w:pPr>
        <w:spacing w:after="160" w:line="360" w:lineRule="auto"/>
        <w:jc w:val="both"/>
        <w:rPr>
          <w:rFonts w:ascii="Times New Roman" w:eastAsia="Calibri" w:hAnsi="Times New Roman" w:cs="Times New Roman"/>
          <w:b/>
          <w:bCs/>
          <w:sz w:val="24"/>
          <w:szCs w:val="24"/>
        </w:rPr>
      </w:pPr>
    </w:p>
    <w:p w14:paraId="64E1E955" w14:textId="77777777" w:rsidR="002D7080" w:rsidRPr="004D1E6F" w:rsidRDefault="002D7080" w:rsidP="002D7080">
      <w:pPr>
        <w:spacing w:after="160" w:line="360" w:lineRule="auto"/>
        <w:jc w:val="both"/>
        <w:rPr>
          <w:rFonts w:ascii="Times New Roman" w:eastAsia="Calibri" w:hAnsi="Times New Roman" w:cs="Times New Roman"/>
          <w:b/>
          <w:bCs/>
          <w:sz w:val="24"/>
          <w:szCs w:val="24"/>
        </w:rPr>
      </w:pPr>
    </w:p>
    <w:p w14:paraId="49C14FF3" w14:textId="77777777" w:rsidR="002D7080" w:rsidRPr="004D1E6F" w:rsidRDefault="002D7080" w:rsidP="002D7080">
      <w:pPr>
        <w:spacing w:after="160" w:line="360" w:lineRule="auto"/>
        <w:jc w:val="both"/>
        <w:rPr>
          <w:rFonts w:ascii="Times New Roman" w:eastAsia="Calibri" w:hAnsi="Times New Roman" w:cs="Times New Roman"/>
          <w:b/>
          <w:bCs/>
          <w:sz w:val="24"/>
          <w:szCs w:val="24"/>
        </w:rPr>
      </w:pPr>
    </w:p>
    <w:p w14:paraId="1824F09A" w14:textId="77777777" w:rsidR="002D7080" w:rsidRPr="004D1E6F" w:rsidRDefault="002D7080" w:rsidP="002D7080">
      <w:pPr>
        <w:spacing w:after="160" w:line="259" w:lineRule="auto"/>
        <w:rPr>
          <w:rFonts w:ascii="Times New Roman" w:eastAsia="Calibri" w:hAnsi="Times New Roman" w:cs="Times New Roman"/>
          <w:b/>
          <w:bCs/>
          <w:sz w:val="24"/>
          <w:szCs w:val="24"/>
        </w:rPr>
      </w:pPr>
      <w:r w:rsidRPr="004D1E6F">
        <w:rPr>
          <w:rFonts w:ascii="Times New Roman" w:eastAsia="Calibri" w:hAnsi="Times New Roman" w:cs="Times New Roman"/>
          <w:b/>
          <w:bCs/>
          <w:sz w:val="24"/>
          <w:szCs w:val="24"/>
        </w:rPr>
        <w:br w:type="page"/>
      </w:r>
    </w:p>
    <w:p w14:paraId="5C2EF6D2" w14:textId="435CE80A" w:rsidR="002D7080" w:rsidRPr="005A2F10" w:rsidRDefault="005D67FD" w:rsidP="002D7080">
      <w:pPr>
        <w:pStyle w:val="Heading2"/>
        <w:rPr>
          <w:rFonts w:ascii="Times New Roman" w:hAnsi="Times New Roman" w:cs="Times New Roman"/>
          <w:iCs/>
          <w:color w:val="auto"/>
          <w:sz w:val="28"/>
          <w:szCs w:val="28"/>
        </w:rPr>
      </w:pPr>
      <w:r>
        <w:rPr>
          <w:rFonts w:ascii="Times New Roman" w:hAnsi="Times New Roman" w:cs="Times New Roman"/>
          <w:color w:val="auto"/>
          <w:sz w:val="28"/>
          <w:szCs w:val="28"/>
        </w:rPr>
        <w:lastRenderedPageBreak/>
        <w:t>1</w:t>
      </w:r>
      <w:r w:rsidR="002D7080" w:rsidRPr="005A2F10">
        <w:rPr>
          <w:rFonts w:ascii="Times New Roman" w:hAnsi="Times New Roman" w:cs="Times New Roman"/>
          <w:color w:val="auto"/>
          <w:sz w:val="28"/>
          <w:szCs w:val="28"/>
        </w:rPr>
        <w:t>.6 Risk analysis report for Kentucky River crayfish (</w:t>
      </w:r>
      <w:r w:rsidR="002D7080" w:rsidRPr="005A2F10">
        <w:rPr>
          <w:rFonts w:ascii="Times New Roman" w:hAnsi="Times New Roman" w:cs="Times New Roman"/>
          <w:i/>
          <w:color w:val="auto"/>
          <w:sz w:val="28"/>
          <w:szCs w:val="28"/>
        </w:rPr>
        <w:t>Faxonius juvenilis</w:t>
      </w:r>
      <w:r w:rsidR="002D7080" w:rsidRPr="005A2F10">
        <w:rPr>
          <w:rFonts w:ascii="Times New Roman" w:hAnsi="Times New Roman" w:cs="Times New Roman"/>
          <w:iCs/>
          <w:color w:val="auto"/>
          <w:sz w:val="28"/>
          <w:szCs w:val="28"/>
        </w:rPr>
        <w:t>)</w:t>
      </w:r>
    </w:p>
    <w:p w14:paraId="10BFBCF2" w14:textId="77777777" w:rsidR="002D7080" w:rsidRPr="004D1E6F" w:rsidRDefault="002D7080" w:rsidP="002D7080">
      <w:pPr>
        <w:spacing w:after="0" w:line="240" w:lineRule="auto"/>
        <w:rPr>
          <w:rFonts w:ascii="Times New Roman" w:eastAsia="Calibri" w:hAnsi="Times New Roman" w:cs="Times New Roman"/>
          <w:sz w:val="16"/>
          <w:szCs w:val="16"/>
        </w:rPr>
      </w:pPr>
    </w:p>
    <w:tbl>
      <w:tblPr>
        <w:tblStyle w:val="TableGrid8"/>
        <w:tblW w:w="0" w:type="auto"/>
        <w:tblLook w:val="04A0" w:firstRow="1" w:lastRow="0" w:firstColumn="1" w:lastColumn="0" w:noHBand="0" w:noVBand="1"/>
      </w:tblPr>
      <w:tblGrid>
        <w:gridCol w:w="3870"/>
        <w:gridCol w:w="3075"/>
        <w:gridCol w:w="2071"/>
      </w:tblGrid>
      <w:tr w:rsidR="002D7080" w:rsidRPr="004D1E6F" w14:paraId="56B206EB" w14:textId="77777777" w:rsidTr="002E2C37">
        <w:tc>
          <w:tcPr>
            <w:tcW w:w="4003" w:type="dxa"/>
          </w:tcPr>
          <w:p w14:paraId="26C03D8C"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i/>
                <w:sz w:val="20"/>
                <w:szCs w:val="20"/>
              </w:rPr>
              <w:t>Taxon</w:t>
            </w:r>
            <w:r w:rsidRPr="004D1E6F">
              <w:rPr>
                <w:rFonts w:ascii="Times New Roman" w:eastAsia="Calibri" w:hAnsi="Times New Roman" w:cs="Times New Roman"/>
                <w:b/>
                <w:sz w:val="20"/>
                <w:szCs w:val="20"/>
              </w:rPr>
              <w:t xml:space="preserve">: </w:t>
            </w:r>
            <w:r w:rsidRPr="004D1E6F">
              <w:rPr>
                <w:rFonts w:ascii="Times New Roman" w:eastAsia="Calibri" w:hAnsi="Times New Roman" w:cs="Times New Roman"/>
                <w:i/>
                <w:iCs/>
                <w:sz w:val="20"/>
                <w:szCs w:val="20"/>
              </w:rPr>
              <w:t xml:space="preserve">Faxonius juvenilis </w:t>
            </w:r>
            <w:r w:rsidRPr="004D1E6F">
              <w:rPr>
                <w:rFonts w:ascii="Times New Roman" w:eastAsia="Calibri" w:hAnsi="Times New Roman" w:cs="Times New Roman"/>
                <w:sz w:val="20"/>
                <w:szCs w:val="20"/>
              </w:rPr>
              <w:t xml:space="preserve"> </w:t>
            </w:r>
            <w:r w:rsidRPr="004D1E6F">
              <w:rPr>
                <w:rFonts w:ascii="Times New Roman" w:eastAsia="Calibri" w:hAnsi="Times New Roman" w:cs="Times New Roman"/>
                <w:color w:val="000000"/>
                <w:sz w:val="20"/>
                <w:szCs w:val="20"/>
                <w:shd w:val="clear" w:color="auto" w:fill="FFFFFF"/>
              </w:rPr>
              <w:t>(Hagen, 1870) </w:t>
            </w:r>
          </w:p>
        </w:tc>
        <w:tc>
          <w:tcPr>
            <w:tcW w:w="5239" w:type="dxa"/>
            <w:gridSpan w:val="2"/>
          </w:tcPr>
          <w:p w14:paraId="3805EF17"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i/>
                <w:sz w:val="20"/>
                <w:szCs w:val="20"/>
              </w:rPr>
              <w:t>Area</w:t>
            </w:r>
            <w:r w:rsidRPr="004D1E6F">
              <w:rPr>
                <w:rFonts w:ascii="Times New Roman" w:eastAsia="Calibri" w:hAnsi="Times New Roman" w:cs="Times New Roman"/>
                <w:b/>
                <w:sz w:val="20"/>
                <w:szCs w:val="20"/>
              </w:rPr>
              <w:t xml:space="preserve">: </w:t>
            </w:r>
            <w:r w:rsidRPr="004D1E6F">
              <w:rPr>
                <w:rFonts w:ascii="Times New Roman" w:eastAsia="Calibri" w:hAnsi="Times New Roman" w:cs="Times New Roman"/>
                <w:sz w:val="20"/>
                <w:szCs w:val="20"/>
              </w:rPr>
              <w:t>South Africa</w:t>
            </w:r>
          </w:p>
        </w:tc>
      </w:tr>
      <w:tr w:rsidR="002D7080" w:rsidRPr="0087162A" w14:paraId="4214760F" w14:textId="77777777" w:rsidTr="002E2C37">
        <w:trPr>
          <w:trHeight w:val="2789"/>
        </w:trPr>
        <w:tc>
          <w:tcPr>
            <w:tcW w:w="4003" w:type="dxa"/>
          </w:tcPr>
          <w:p w14:paraId="06C03CBE" w14:textId="77777777" w:rsidR="002D7080" w:rsidRPr="004D1E6F" w:rsidRDefault="002D7080" w:rsidP="002E2C37">
            <w:pPr>
              <w:rPr>
                <w:rFonts w:ascii="Times New Roman" w:eastAsia="Calibri" w:hAnsi="Times New Roman" w:cs="Times New Roman"/>
                <w:b/>
                <w:i/>
                <w:sz w:val="20"/>
                <w:szCs w:val="20"/>
              </w:rPr>
            </w:pPr>
            <w:r w:rsidRPr="004D1E6F">
              <w:rPr>
                <w:rFonts w:ascii="Times New Roman" w:eastAsia="Calibri" w:hAnsi="Times New Roman" w:cs="Times New Roman"/>
                <w:b/>
                <w:sz w:val="20"/>
                <w:szCs w:val="20"/>
              </w:rPr>
              <w:t xml:space="preserve">Picture of </w:t>
            </w:r>
            <w:r w:rsidRPr="004D1E6F">
              <w:rPr>
                <w:rFonts w:ascii="Times New Roman" w:eastAsia="Calibri" w:hAnsi="Times New Roman" w:cs="Times New Roman"/>
                <w:b/>
                <w:i/>
                <w:sz w:val="20"/>
                <w:szCs w:val="20"/>
              </w:rPr>
              <w:t>Taxon</w:t>
            </w:r>
          </w:p>
          <w:p w14:paraId="17E6F08F" w14:textId="77777777" w:rsidR="002D7080" w:rsidRPr="004D1E6F" w:rsidRDefault="002D7080" w:rsidP="002E2C37">
            <w:pPr>
              <w:rPr>
                <w:rFonts w:ascii="Times New Roman" w:eastAsia="Calibri" w:hAnsi="Times New Roman" w:cs="Times New Roman"/>
                <w:b/>
                <w:sz w:val="20"/>
                <w:szCs w:val="20"/>
              </w:rPr>
            </w:pPr>
            <w:r w:rsidRPr="003D3ECB">
              <w:rPr>
                <w:rFonts w:ascii="Times New Roman" w:eastAsia="Calibri" w:hAnsi="Times New Roman" w:cs="Times New Roman"/>
                <w:b/>
                <w:noProof/>
                <w:sz w:val="20"/>
                <w:szCs w:val="20"/>
                <w:lang w:eastAsia="en-ZA"/>
              </w:rPr>
              <w:drawing>
                <wp:anchor distT="0" distB="0" distL="114300" distR="114300" simplePos="0" relativeHeight="251660288" behindDoc="1" locked="0" layoutInCell="1" allowOverlap="1" wp14:anchorId="7EF310DD" wp14:editId="5F718D1F">
                  <wp:simplePos x="0" y="0"/>
                  <wp:positionH relativeFrom="column">
                    <wp:posOffset>-6985</wp:posOffset>
                  </wp:positionH>
                  <wp:positionV relativeFrom="paragraph">
                    <wp:posOffset>139065</wp:posOffset>
                  </wp:positionV>
                  <wp:extent cx="1905000" cy="1275080"/>
                  <wp:effectExtent l="0" t="0" r="0" b="1270"/>
                  <wp:wrapTight wrapText="bothSides">
                    <wp:wrapPolygon edited="0">
                      <wp:start x="0" y="0"/>
                      <wp:lineTo x="0" y="21299"/>
                      <wp:lineTo x="21384" y="21299"/>
                      <wp:lineTo x="21384" y="0"/>
                      <wp:lineTo x="0" y="0"/>
                    </wp:wrapPolygon>
                  </wp:wrapTight>
                  <wp:docPr id="28" name="Picture 28" descr="A lobster on the s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lobster on the sand&#10;&#10;AI-generated content may be incorrect."/>
                          <pic:cNvPicPr>
                            <a:picLocks noChangeAspect="1" noChangeArrowheads="1"/>
                          </pic:cNvPicPr>
                        </pic:nvPicPr>
                        <pic:blipFill>
                          <a:blip r:embed="rId218" cstate="print">
                            <a:extLst>
                              <a:ext uri="{28A0092B-C50C-407E-A947-70E740481C1C}">
                                <a14:useLocalDpi xmlns:a14="http://schemas.microsoft.com/office/drawing/2010/main" val="0"/>
                              </a:ext>
                            </a:extLst>
                          </a:blip>
                          <a:stretch>
                            <a:fillRect/>
                          </a:stretch>
                        </pic:blipFill>
                        <pic:spPr bwMode="auto">
                          <a:xfrm>
                            <a:off x="0" y="0"/>
                            <a:ext cx="1905000" cy="1275080"/>
                          </a:xfrm>
                          <a:prstGeom prst="rect">
                            <a:avLst/>
                          </a:prstGeom>
                          <a:noFill/>
                        </pic:spPr>
                      </pic:pic>
                    </a:graphicData>
                  </a:graphic>
                  <wp14:sizeRelH relativeFrom="margin">
                    <wp14:pctWidth>0</wp14:pctWidth>
                  </wp14:sizeRelH>
                  <wp14:sizeRelV relativeFrom="margin">
                    <wp14:pctHeight>0</wp14:pctHeight>
                  </wp14:sizeRelV>
                </wp:anchor>
              </w:drawing>
            </w:r>
          </w:p>
          <w:p w14:paraId="11A765E2" w14:textId="77777777" w:rsidR="002D7080" w:rsidRPr="004D1E6F" w:rsidRDefault="002D7080" w:rsidP="002E2C37">
            <w:pPr>
              <w:rPr>
                <w:rFonts w:ascii="Times New Roman" w:eastAsia="Calibri" w:hAnsi="Times New Roman" w:cs="Times New Roman"/>
                <w:sz w:val="20"/>
                <w:szCs w:val="20"/>
              </w:rPr>
            </w:pPr>
          </w:p>
          <w:p w14:paraId="5DFC50F6" w14:textId="77777777" w:rsidR="002D7080" w:rsidRPr="004D1E6F" w:rsidRDefault="002D7080" w:rsidP="002E2C37">
            <w:pPr>
              <w:rPr>
                <w:rFonts w:ascii="Times New Roman" w:eastAsia="Calibri" w:hAnsi="Times New Roman" w:cs="Times New Roman"/>
                <w:b/>
                <w:color w:val="222222"/>
                <w:sz w:val="20"/>
                <w:szCs w:val="20"/>
                <w:shd w:val="clear" w:color="auto" w:fill="FFFFFF"/>
              </w:rPr>
            </w:pPr>
          </w:p>
          <w:p w14:paraId="33BAE09C" w14:textId="77777777" w:rsidR="002D7080" w:rsidRPr="004D1E6F" w:rsidRDefault="002D7080" w:rsidP="002E2C37">
            <w:pPr>
              <w:rPr>
                <w:rFonts w:ascii="Times New Roman" w:eastAsia="Calibri" w:hAnsi="Times New Roman" w:cs="Times New Roman"/>
                <w:b/>
                <w:color w:val="222222"/>
                <w:sz w:val="20"/>
                <w:szCs w:val="20"/>
                <w:shd w:val="clear" w:color="auto" w:fill="FFFFFF"/>
              </w:rPr>
            </w:pPr>
          </w:p>
          <w:p w14:paraId="23478216"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color w:val="222222"/>
                <w:sz w:val="20"/>
                <w:szCs w:val="20"/>
                <w:shd w:val="clear" w:color="auto" w:fill="FFFFFF"/>
              </w:rPr>
              <w:t>Chuchol</w:t>
            </w:r>
            <w:r w:rsidRPr="003477B4">
              <w:rPr>
                <w:rFonts w:ascii="Times New Roman" w:eastAsia="Calibri" w:hAnsi="Times New Roman" w:cs="Times New Roman"/>
                <w:color w:val="222222"/>
                <w:sz w:val="20"/>
                <w:szCs w:val="20"/>
                <w:shd w:val="clear" w:color="auto" w:fill="FFFFFF"/>
              </w:rPr>
              <w:t>l</w:t>
            </w:r>
            <w:r>
              <w:rPr>
                <w:rFonts w:ascii="Times New Roman" w:eastAsia="Calibri" w:hAnsi="Times New Roman" w:cs="Times New Roman"/>
                <w:color w:val="222222"/>
                <w:sz w:val="20"/>
                <w:szCs w:val="20"/>
                <w:shd w:val="clear" w:color="auto" w:fill="FFFFFF"/>
              </w:rPr>
              <w:t xml:space="preserve"> &amp; Daudey</w:t>
            </w:r>
            <w:r w:rsidRPr="004D1E6F">
              <w:rPr>
                <w:rFonts w:ascii="Times New Roman" w:eastAsia="Calibri" w:hAnsi="Times New Roman" w:cs="Times New Roman"/>
                <w:color w:val="222222"/>
                <w:sz w:val="20"/>
                <w:szCs w:val="20"/>
                <w:shd w:val="clear" w:color="auto" w:fill="FFFFFF"/>
              </w:rPr>
              <w:t xml:space="preserve"> 2008. </w:t>
            </w:r>
          </w:p>
        </w:tc>
        <w:tc>
          <w:tcPr>
            <w:tcW w:w="5239" w:type="dxa"/>
            <w:gridSpan w:val="2"/>
          </w:tcPr>
          <w:p w14:paraId="09564F6D" w14:textId="77777777" w:rsidR="002D7080" w:rsidRPr="000E6BA8" w:rsidRDefault="002D7080" w:rsidP="002E2C37">
            <w:pPr>
              <w:rPr>
                <w:rFonts w:ascii="Times New Roman" w:eastAsia="Calibri" w:hAnsi="Times New Roman" w:cs="Times New Roman"/>
                <w:sz w:val="20"/>
                <w:szCs w:val="20"/>
                <w:lang w:val="fr-FR"/>
              </w:rPr>
            </w:pPr>
            <w:r w:rsidRPr="000E6BA8">
              <w:rPr>
                <w:rFonts w:ascii="Times New Roman" w:eastAsia="Calibri" w:hAnsi="Times New Roman" w:cs="Times New Roman"/>
                <w:b/>
                <w:sz w:val="20"/>
                <w:szCs w:val="20"/>
                <w:lang w:val="fr-FR"/>
              </w:rPr>
              <w:t>Alien distribution map</w:t>
            </w:r>
          </w:p>
          <w:p w14:paraId="4F31BC5F" w14:textId="77777777" w:rsidR="002D7080" w:rsidRPr="000E6BA8" w:rsidRDefault="002D7080" w:rsidP="002E2C37">
            <w:pPr>
              <w:rPr>
                <w:rFonts w:ascii="Times New Roman" w:eastAsia="Calibri" w:hAnsi="Times New Roman" w:cs="Times New Roman"/>
                <w:b/>
                <w:sz w:val="20"/>
                <w:szCs w:val="20"/>
                <w:lang w:val="fr-FR"/>
              </w:rPr>
            </w:pPr>
            <w:r w:rsidRPr="003D3ECB">
              <w:rPr>
                <w:rFonts w:ascii="Times New Roman" w:eastAsia="Calibri" w:hAnsi="Times New Roman" w:cs="Times New Roman"/>
                <w:b/>
                <w:noProof/>
                <w:sz w:val="20"/>
                <w:szCs w:val="20"/>
                <w:lang w:eastAsia="en-ZA"/>
              </w:rPr>
              <w:drawing>
                <wp:anchor distT="0" distB="0" distL="114300" distR="114300" simplePos="0" relativeHeight="251661312" behindDoc="1" locked="0" layoutInCell="1" allowOverlap="1" wp14:anchorId="64497427" wp14:editId="736506AC">
                  <wp:simplePos x="0" y="0"/>
                  <wp:positionH relativeFrom="column">
                    <wp:posOffset>-8890</wp:posOffset>
                  </wp:positionH>
                  <wp:positionV relativeFrom="paragraph">
                    <wp:posOffset>139065</wp:posOffset>
                  </wp:positionV>
                  <wp:extent cx="2828925" cy="1303020"/>
                  <wp:effectExtent l="0" t="0" r="9525" b="0"/>
                  <wp:wrapTight wrapText="bothSides">
                    <wp:wrapPolygon edited="0">
                      <wp:start x="0" y="0"/>
                      <wp:lineTo x="0" y="21158"/>
                      <wp:lineTo x="21527" y="21158"/>
                      <wp:lineTo x="21527" y="0"/>
                      <wp:lineTo x="0" y="0"/>
                    </wp:wrapPolygon>
                  </wp:wrapTight>
                  <wp:docPr id="29" name="Picture 2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map of the world&#10;&#10;AI-generated content may be incorrect."/>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r="-1137" b="-1068"/>
                          <a:stretch/>
                        </pic:blipFill>
                        <pic:spPr bwMode="auto">
                          <a:xfrm>
                            <a:off x="0" y="0"/>
                            <a:ext cx="2828925" cy="1303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E6BA8">
              <w:rPr>
                <w:rFonts w:ascii="Times New Roman" w:eastAsia="Calibri" w:hAnsi="Times New Roman" w:cs="Times New Roman"/>
                <w:b/>
                <w:sz w:val="20"/>
                <w:szCs w:val="20"/>
                <w:lang w:val="fr-FR"/>
              </w:rPr>
              <w:t>https://www.gbif.org/species/5789975</w:t>
            </w:r>
          </w:p>
        </w:tc>
      </w:tr>
      <w:tr w:rsidR="002D7080" w:rsidRPr="004D1E6F" w14:paraId="72CD2BBB" w14:textId="77777777" w:rsidTr="002E2C37">
        <w:trPr>
          <w:trHeight w:val="1445"/>
        </w:trPr>
        <w:tc>
          <w:tcPr>
            <w:tcW w:w="7128" w:type="dxa"/>
            <w:gridSpan w:val="2"/>
          </w:tcPr>
          <w:p w14:paraId="2601E65B" w14:textId="77777777" w:rsidR="002D7080" w:rsidRPr="00526D3D" w:rsidRDefault="002D7080" w:rsidP="002E2C37">
            <w:pPr>
              <w:rPr>
                <w:rFonts w:ascii="Times New Roman" w:eastAsia="Calibri" w:hAnsi="Times New Roman" w:cs="Times New Roman"/>
                <w:b/>
                <w:color w:val="000000" w:themeColor="text1"/>
                <w:sz w:val="20"/>
                <w:szCs w:val="20"/>
              </w:rPr>
            </w:pPr>
            <w:r w:rsidRPr="00526D3D">
              <w:rPr>
                <w:rFonts w:ascii="Times New Roman" w:eastAsia="Calibri" w:hAnsi="Times New Roman" w:cs="Times New Roman"/>
                <w:b/>
                <w:color w:val="000000" w:themeColor="text1"/>
                <w:sz w:val="20"/>
                <w:szCs w:val="20"/>
              </w:rPr>
              <w:t>Risk Assessment summary:</w:t>
            </w:r>
          </w:p>
          <w:p w14:paraId="31EF00C9" w14:textId="77777777" w:rsidR="002D7080" w:rsidRPr="008B6B94" w:rsidRDefault="002D7080" w:rsidP="002E2C37">
            <w:pPr>
              <w:contextualSpacing/>
              <w:jc w:val="both"/>
              <w:rPr>
                <w:rFonts w:ascii="Times New Roman" w:eastAsia="Times New Roman" w:hAnsi="Times New Roman" w:cs="Times New Roman"/>
                <w:sz w:val="20"/>
                <w:szCs w:val="20"/>
                <w:lang w:eastAsia="en-ZA"/>
              </w:rPr>
            </w:pPr>
            <w:r w:rsidRPr="00526D3D">
              <w:rPr>
                <w:rFonts w:ascii="Times New Roman" w:eastAsia="Calibri" w:hAnsi="Times New Roman" w:cs="Times New Roman"/>
                <w:color w:val="000000" w:themeColor="text1"/>
                <w:sz w:val="20"/>
                <w:szCs w:val="20"/>
              </w:rPr>
              <w:t>Kentucky River crayfish (</w:t>
            </w:r>
            <w:r w:rsidRPr="00526D3D">
              <w:rPr>
                <w:rFonts w:ascii="Times New Roman" w:eastAsia="Times New Roman" w:hAnsi="Times New Roman" w:cs="Times New Roman"/>
                <w:i/>
                <w:color w:val="000000" w:themeColor="text1"/>
                <w:sz w:val="20"/>
                <w:szCs w:val="20"/>
                <w:lang w:eastAsia="en-ZA"/>
              </w:rPr>
              <w:t>Faxonius juvenilis</w:t>
            </w:r>
            <w:r w:rsidRPr="00526D3D">
              <w:rPr>
                <w:rFonts w:ascii="Times New Roman" w:eastAsia="Times New Roman" w:hAnsi="Times New Roman" w:cs="Times New Roman"/>
                <w:color w:val="000000" w:themeColor="text1"/>
                <w:sz w:val="20"/>
                <w:szCs w:val="20"/>
                <w:lang w:eastAsia="en-ZA"/>
              </w:rPr>
              <w:t xml:space="preserve">) are native to the Ohio River basin, USA but have been introduced to several states outside it natural range. </w:t>
            </w:r>
            <w:r w:rsidRPr="00526D3D">
              <w:rPr>
                <w:rFonts w:ascii="Times New Roman" w:eastAsia="Times New Roman" w:hAnsi="Times New Roman" w:cs="Times New Roman"/>
                <w:i/>
                <w:color w:val="000000" w:themeColor="text1"/>
                <w:sz w:val="20"/>
                <w:szCs w:val="20"/>
                <w:lang w:eastAsia="en-ZA"/>
              </w:rPr>
              <w:t>Faxonius juvenilis</w:t>
            </w:r>
            <w:r w:rsidRPr="00526D3D">
              <w:rPr>
                <w:rFonts w:ascii="Times New Roman" w:eastAsia="Times New Roman" w:hAnsi="Times New Roman" w:cs="Times New Roman"/>
                <w:color w:val="000000" w:themeColor="text1"/>
                <w:sz w:val="20"/>
                <w:szCs w:val="20"/>
                <w:lang w:eastAsia="en-ZA"/>
              </w:rPr>
              <w:t xml:space="preserve"> have also been introduced to France. </w:t>
            </w:r>
            <w:r w:rsidRPr="00526D3D">
              <w:rPr>
                <w:rFonts w:ascii="Times New Roman" w:hAnsi="Times New Roman" w:cs="Times New Roman"/>
                <w:color w:val="000000" w:themeColor="text1"/>
                <w:sz w:val="20"/>
                <w:szCs w:val="20"/>
              </w:rPr>
              <w:t xml:space="preserve">There are no know populations of </w:t>
            </w:r>
            <w:r w:rsidRPr="00526D3D">
              <w:rPr>
                <w:rFonts w:ascii="Times New Roman" w:hAnsi="Times New Roman" w:cs="Times New Roman"/>
                <w:i/>
                <w:iCs/>
                <w:color w:val="000000" w:themeColor="text1"/>
                <w:sz w:val="20"/>
                <w:szCs w:val="20"/>
              </w:rPr>
              <w:t xml:space="preserve">F. juvenilis </w:t>
            </w:r>
            <w:r w:rsidRPr="00526D3D">
              <w:rPr>
                <w:rFonts w:ascii="Times New Roman" w:hAnsi="Times New Roman" w:cs="Times New Roman"/>
                <w:color w:val="000000" w:themeColor="text1"/>
                <w:sz w:val="20"/>
                <w:szCs w:val="20"/>
              </w:rPr>
              <w:t>in South Africa</w:t>
            </w:r>
            <w:r w:rsidRPr="00526D3D">
              <w:rPr>
                <w:rFonts w:ascii="Times New Roman" w:hAnsi="Times New Roman" w:cs="Times New Roman"/>
                <w:i/>
                <w:iCs/>
                <w:color w:val="000000" w:themeColor="text1"/>
                <w:sz w:val="20"/>
                <w:szCs w:val="20"/>
              </w:rPr>
              <w:t xml:space="preserve"> </w:t>
            </w:r>
            <w:r w:rsidRPr="00526D3D">
              <w:rPr>
                <w:rFonts w:ascii="Times New Roman" w:hAnsi="Times New Roman" w:cs="Times New Roman"/>
                <w:color w:val="000000" w:themeColor="text1"/>
                <w:sz w:val="20"/>
                <w:szCs w:val="20"/>
              </w:rPr>
              <w:t>and</w:t>
            </w:r>
            <w:r w:rsidRPr="00526D3D">
              <w:rPr>
                <w:rFonts w:ascii="Times New Roman" w:hAnsi="Times New Roman" w:cs="Times New Roman"/>
                <w:i/>
                <w:iCs/>
                <w:color w:val="000000" w:themeColor="text1"/>
                <w:sz w:val="20"/>
                <w:szCs w:val="20"/>
              </w:rPr>
              <w:t xml:space="preserve"> </w:t>
            </w:r>
            <w:r w:rsidRPr="00526D3D">
              <w:rPr>
                <w:rFonts w:ascii="Times New Roman" w:hAnsi="Times New Roman" w:cs="Times New Roman"/>
                <w:color w:val="000000" w:themeColor="text1"/>
                <w:sz w:val="20"/>
                <w:szCs w:val="20"/>
              </w:rPr>
              <w:t xml:space="preserve">in neighbouring countries, therefore via unaided pathways is unlikely. The illegal pet trade industry remains a concern because </w:t>
            </w:r>
            <w:r w:rsidRPr="00526D3D">
              <w:rPr>
                <w:rFonts w:ascii="Times New Roman" w:hAnsi="Times New Roman" w:cs="Times New Roman"/>
                <w:i/>
                <w:iCs/>
                <w:color w:val="000000" w:themeColor="text1"/>
                <w:sz w:val="20"/>
                <w:szCs w:val="20"/>
              </w:rPr>
              <w:t xml:space="preserve">F. juvenilis </w:t>
            </w:r>
            <w:r w:rsidRPr="00526D3D">
              <w:rPr>
                <w:rFonts w:ascii="Times New Roman" w:hAnsi="Times New Roman" w:cs="Times New Roman"/>
                <w:color w:val="000000" w:themeColor="text1"/>
                <w:sz w:val="20"/>
                <w:szCs w:val="20"/>
              </w:rPr>
              <w:t xml:space="preserve">may be moved around by humans and there is a high risk of release of unwanted pets.  </w:t>
            </w:r>
            <w:r w:rsidRPr="00526D3D">
              <w:rPr>
                <w:rFonts w:ascii="Times New Roman" w:eastAsia="Times New Roman" w:hAnsi="Times New Roman" w:cs="Times New Roman"/>
                <w:color w:val="000000" w:themeColor="text1"/>
                <w:sz w:val="20"/>
                <w:szCs w:val="20"/>
                <w:lang w:eastAsia="en-ZA"/>
              </w:rPr>
              <w:t xml:space="preserve">There is no information on impacts caused by </w:t>
            </w:r>
            <w:r w:rsidRPr="00526D3D">
              <w:rPr>
                <w:rFonts w:ascii="Times New Roman" w:eastAsia="Times New Roman" w:hAnsi="Times New Roman" w:cs="Times New Roman"/>
                <w:i/>
                <w:iCs/>
                <w:color w:val="000000" w:themeColor="text1"/>
                <w:sz w:val="20"/>
                <w:szCs w:val="20"/>
                <w:lang w:eastAsia="en-ZA"/>
              </w:rPr>
              <w:t>F. juvenilis</w:t>
            </w:r>
            <w:r w:rsidRPr="00526D3D">
              <w:rPr>
                <w:rFonts w:ascii="Times New Roman" w:eastAsia="Times New Roman" w:hAnsi="Times New Roman" w:cs="Times New Roman"/>
                <w:color w:val="000000" w:themeColor="text1"/>
                <w:sz w:val="20"/>
                <w:szCs w:val="20"/>
                <w:lang w:eastAsia="en-ZA"/>
              </w:rPr>
              <w:t xml:space="preserve"> and therefore impacts were inferred from </w:t>
            </w:r>
            <w:r w:rsidRPr="00526D3D">
              <w:rPr>
                <w:rFonts w:ascii="Times New Roman" w:eastAsia="Calibri" w:hAnsi="Times New Roman" w:cs="Times New Roman"/>
                <w:i/>
                <w:color w:val="000000" w:themeColor="text1"/>
                <w:sz w:val="20"/>
                <w:szCs w:val="20"/>
              </w:rPr>
              <w:t>F. rusticus</w:t>
            </w:r>
            <w:r w:rsidRPr="00526D3D">
              <w:rPr>
                <w:rFonts w:ascii="Times New Roman" w:eastAsia="Calibri" w:hAnsi="Times New Roman" w:cs="Times New Roman"/>
                <w:color w:val="000000" w:themeColor="text1"/>
                <w:sz w:val="20"/>
                <w:szCs w:val="20"/>
              </w:rPr>
              <w:t xml:space="preserve">, a closely related species, that has been implicated in causing detrimental impacts in its invaded range. </w:t>
            </w:r>
            <w:r w:rsidRPr="00526D3D">
              <w:rPr>
                <w:rFonts w:ascii="Times New Roman" w:hAnsi="Times New Roman" w:cs="Times New Roman"/>
                <w:i/>
                <w:color w:val="000000" w:themeColor="text1"/>
                <w:sz w:val="20"/>
                <w:szCs w:val="20"/>
              </w:rPr>
              <w:t>Faxonius rusticus</w:t>
            </w:r>
            <w:r w:rsidRPr="00526D3D">
              <w:rPr>
                <w:rFonts w:ascii="Times New Roman" w:hAnsi="Times New Roman" w:cs="Times New Roman"/>
                <w:color w:val="000000" w:themeColor="text1"/>
                <w:sz w:val="20"/>
                <w:szCs w:val="20"/>
              </w:rPr>
              <w:t xml:space="preserve"> is an aggressive competitor and in its introduced range it has been implicated in causing the decline of native freshwater crayfish and fish species through competition and predation. In addition, it is an omnivore and intensive grazing have contributed to a decline in freshwater invertebrate populations and macrophyte communities. </w:t>
            </w:r>
            <w:r w:rsidRPr="00526D3D">
              <w:rPr>
                <w:rFonts w:ascii="Times New Roman" w:eastAsia="Calibri" w:hAnsi="Times New Roman" w:cs="Times New Roman"/>
                <w:i/>
                <w:color w:val="000000" w:themeColor="text1"/>
                <w:sz w:val="20"/>
                <w:szCs w:val="20"/>
              </w:rPr>
              <w:t>Faxonius juvenilis</w:t>
            </w:r>
            <w:r w:rsidRPr="00526D3D">
              <w:rPr>
                <w:rFonts w:ascii="Times New Roman" w:eastAsia="Calibri" w:hAnsi="Times New Roman" w:cs="Times New Roman"/>
                <w:color w:val="000000" w:themeColor="text1"/>
                <w:sz w:val="20"/>
                <w:szCs w:val="20"/>
              </w:rPr>
              <w:t xml:space="preserve"> is likely to have similar impacts in areas of introduction</w:t>
            </w:r>
            <w:r w:rsidRPr="008B6B94">
              <w:rPr>
                <w:rFonts w:ascii="Times New Roman" w:eastAsia="Calibri" w:hAnsi="Times New Roman" w:cs="Times New Roman"/>
                <w:sz w:val="20"/>
                <w:szCs w:val="20"/>
              </w:rPr>
              <w:t xml:space="preserve">. </w:t>
            </w:r>
          </w:p>
        </w:tc>
        <w:tc>
          <w:tcPr>
            <w:tcW w:w="2114" w:type="dxa"/>
          </w:tcPr>
          <w:p w14:paraId="38FDDCB0" w14:textId="77777777" w:rsidR="002D7080" w:rsidRPr="008B6B94" w:rsidRDefault="002D7080" w:rsidP="002E2C37">
            <w:pPr>
              <w:rPr>
                <w:rFonts w:ascii="Times New Roman" w:eastAsia="Calibri" w:hAnsi="Times New Roman" w:cs="Times New Roman"/>
                <w:sz w:val="20"/>
                <w:szCs w:val="20"/>
              </w:rPr>
            </w:pPr>
            <w:r w:rsidRPr="008B6B94">
              <w:rPr>
                <w:rFonts w:ascii="Times New Roman" w:eastAsia="Calibri" w:hAnsi="Times New Roman" w:cs="Times New Roman"/>
                <w:b/>
                <w:sz w:val="20"/>
                <w:szCs w:val="20"/>
              </w:rPr>
              <w:t>Risk score:</w:t>
            </w:r>
            <w:r w:rsidRPr="008B6B94">
              <w:rPr>
                <w:rFonts w:ascii="Times New Roman" w:eastAsia="Calibri" w:hAnsi="Times New Roman" w:cs="Times New Roman"/>
                <w:b/>
                <w:sz w:val="20"/>
                <w:szCs w:val="20"/>
              </w:rPr>
              <w:br/>
            </w:r>
          </w:p>
          <w:p w14:paraId="7E081237" w14:textId="77777777" w:rsidR="002D7080" w:rsidRPr="008B6B94" w:rsidRDefault="002D7080" w:rsidP="002E2C37">
            <w:pPr>
              <w:rPr>
                <w:rFonts w:ascii="Times New Roman" w:eastAsia="Calibri" w:hAnsi="Times New Roman" w:cs="Times New Roman"/>
                <w:sz w:val="20"/>
                <w:szCs w:val="20"/>
              </w:rPr>
            </w:pPr>
          </w:p>
          <w:p w14:paraId="16AFD6B9" w14:textId="77777777" w:rsidR="002D7080" w:rsidRPr="008B6B94" w:rsidRDefault="002D7080" w:rsidP="002E2C37">
            <w:pPr>
              <w:rPr>
                <w:rFonts w:ascii="Times New Roman" w:eastAsia="Calibri" w:hAnsi="Times New Roman" w:cs="Times New Roman"/>
                <w:b/>
                <w:sz w:val="20"/>
                <w:szCs w:val="20"/>
              </w:rPr>
            </w:pPr>
            <w:r w:rsidRPr="008B6B94">
              <w:rPr>
                <w:rFonts w:ascii="Times New Roman" w:eastAsia="Calibri" w:hAnsi="Times New Roman" w:cs="Times New Roman"/>
                <w:sz w:val="20"/>
                <w:szCs w:val="20"/>
              </w:rPr>
              <w:t xml:space="preserve"> High</w:t>
            </w:r>
          </w:p>
        </w:tc>
      </w:tr>
      <w:tr w:rsidR="002D7080" w:rsidRPr="004D1E6F" w14:paraId="7C928D92" w14:textId="77777777" w:rsidTr="002E2C37">
        <w:trPr>
          <w:trHeight w:val="1358"/>
        </w:trPr>
        <w:tc>
          <w:tcPr>
            <w:tcW w:w="7128" w:type="dxa"/>
            <w:gridSpan w:val="2"/>
          </w:tcPr>
          <w:p w14:paraId="44138B70" w14:textId="77777777" w:rsidR="002D7080" w:rsidRPr="008B6B94" w:rsidRDefault="002D7080" w:rsidP="002E2C37">
            <w:pPr>
              <w:rPr>
                <w:rFonts w:ascii="Times New Roman" w:eastAsia="Calibri" w:hAnsi="Times New Roman" w:cs="Times New Roman"/>
                <w:b/>
                <w:sz w:val="20"/>
                <w:szCs w:val="20"/>
              </w:rPr>
            </w:pPr>
            <w:r w:rsidRPr="008B6B94">
              <w:rPr>
                <w:rFonts w:ascii="Times New Roman" w:eastAsia="Calibri" w:hAnsi="Times New Roman" w:cs="Times New Roman"/>
                <w:b/>
                <w:sz w:val="20"/>
                <w:szCs w:val="20"/>
              </w:rPr>
              <w:t>Management options summary:</w:t>
            </w:r>
          </w:p>
          <w:p w14:paraId="3CD90DBF" w14:textId="77777777" w:rsidR="002D7080" w:rsidRPr="008B6B94" w:rsidRDefault="002D7080" w:rsidP="002E2C37">
            <w:pPr>
              <w:jc w:val="both"/>
              <w:rPr>
                <w:rFonts w:ascii="Times New Roman" w:eastAsia="Calibri" w:hAnsi="Times New Roman" w:cs="Times New Roman"/>
                <w:sz w:val="20"/>
                <w:szCs w:val="20"/>
              </w:rPr>
            </w:pPr>
            <w:r w:rsidRPr="008B6B94">
              <w:rPr>
                <w:rFonts w:ascii="Times New Roman" w:hAnsi="Times New Roman" w:cs="Times New Roman"/>
                <w:i/>
                <w:sz w:val="20"/>
                <w:szCs w:val="20"/>
              </w:rPr>
              <w:t>Faxonius juvenilis</w:t>
            </w:r>
            <w:r w:rsidRPr="008B6B94">
              <w:rPr>
                <w:rFonts w:ascii="Times New Roman" w:hAnsi="Times New Roman" w:cs="Times New Roman"/>
                <w:sz w:val="20"/>
                <w:szCs w:val="20"/>
              </w:rPr>
              <w:t xml:space="preserve"> is a small, largely nocturnal freshwater species that is difficult to detect. Several methods can be used to control </w:t>
            </w:r>
            <w:r w:rsidRPr="008B6B94">
              <w:rPr>
                <w:rFonts w:ascii="Times New Roman" w:hAnsi="Times New Roman" w:cs="Times New Roman"/>
                <w:i/>
                <w:sz w:val="20"/>
                <w:szCs w:val="20"/>
              </w:rPr>
              <w:t xml:space="preserve">F. juvenilis </w:t>
            </w:r>
            <w:r w:rsidRPr="008B6B94">
              <w:rPr>
                <w:rFonts w:ascii="Times New Roman" w:hAnsi="Times New Roman" w:cs="Times New Roman"/>
                <w:sz w:val="20"/>
                <w:szCs w:val="20"/>
              </w:rPr>
              <w:t xml:space="preserve">such as </w:t>
            </w:r>
            <w:r w:rsidRPr="008B6B94">
              <w:rPr>
                <w:rFonts w:ascii="Times New Roman" w:eastAsia="Times New Roman" w:hAnsi="Times New Roman" w:cs="Times New Roman"/>
                <w:sz w:val="20"/>
                <w:szCs w:val="20"/>
                <w:lang w:eastAsia="en-ZA"/>
              </w:rPr>
              <w:t xml:space="preserve">mechanical removal using traps and electrofishing, biocides, and biological control. </w:t>
            </w:r>
            <w:r w:rsidRPr="008B6B94">
              <w:rPr>
                <w:rFonts w:ascii="Times New Roman" w:hAnsi="Times New Roman" w:cs="Times New Roman"/>
                <w:sz w:val="20"/>
                <w:szCs w:val="20"/>
              </w:rPr>
              <w:t xml:space="preserve">However, there are several issues that make the use of these methods challenging. The benefits of </w:t>
            </w:r>
            <w:r w:rsidRPr="008B6B94">
              <w:rPr>
                <w:rFonts w:ascii="Times New Roman" w:hAnsi="Times New Roman" w:cs="Times New Roman"/>
                <w:i/>
                <w:iCs/>
                <w:sz w:val="20"/>
                <w:szCs w:val="20"/>
              </w:rPr>
              <w:t xml:space="preserve">F. juvenilis </w:t>
            </w:r>
            <w:r w:rsidRPr="008B6B94">
              <w:rPr>
                <w:rFonts w:ascii="Times New Roman" w:hAnsi="Times New Roman" w:cs="Times New Roman"/>
                <w:sz w:val="20"/>
                <w:szCs w:val="20"/>
              </w:rPr>
              <w:t>were scored as low.</w:t>
            </w:r>
          </w:p>
        </w:tc>
        <w:tc>
          <w:tcPr>
            <w:tcW w:w="2114" w:type="dxa"/>
          </w:tcPr>
          <w:p w14:paraId="6DF12BDB" w14:textId="77777777" w:rsidR="002D7080" w:rsidRPr="008B6B94" w:rsidRDefault="002D7080" w:rsidP="002E2C37">
            <w:pPr>
              <w:rPr>
                <w:rFonts w:ascii="Times New Roman" w:eastAsia="Calibri" w:hAnsi="Times New Roman" w:cs="Times New Roman"/>
                <w:b/>
                <w:sz w:val="20"/>
                <w:szCs w:val="20"/>
              </w:rPr>
            </w:pPr>
            <w:r w:rsidRPr="008B6B94">
              <w:rPr>
                <w:rFonts w:ascii="Times New Roman" w:eastAsia="Calibri" w:hAnsi="Times New Roman" w:cs="Times New Roman"/>
                <w:b/>
                <w:sz w:val="20"/>
                <w:szCs w:val="20"/>
              </w:rPr>
              <w:t>Ease of management:</w:t>
            </w:r>
          </w:p>
          <w:p w14:paraId="582C57BC" w14:textId="77777777" w:rsidR="002D7080" w:rsidRPr="008B6B94" w:rsidRDefault="002D7080" w:rsidP="002E2C37">
            <w:pPr>
              <w:rPr>
                <w:rFonts w:ascii="Times New Roman" w:eastAsia="Calibri" w:hAnsi="Times New Roman" w:cs="Times New Roman"/>
                <w:b/>
                <w:sz w:val="20"/>
                <w:szCs w:val="20"/>
              </w:rPr>
            </w:pPr>
          </w:p>
          <w:p w14:paraId="382EA5C8" w14:textId="77777777" w:rsidR="002D7080" w:rsidRPr="008B6B94" w:rsidRDefault="002D7080" w:rsidP="002E2C37">
            <w:pPr>
              <w:rPr>
                <w:rFonts w:ascii="Times New Roman" w:eastAsia="Calibri" w:hAnsi="Times New Roman" w:cs="Times New Roman"/>
                <w:bCs/>
                <w:sz w:val="20"/>
                <w:szCs w:val="20"/>
              </w:rPr>
            </w:pPr>
          </w:p>
          <w:p w14:paraId="709AC55E" w14:textId="77777777" w:rsidR="002D7080" w:rsidRPr="008B6B94" w:rsidRDefault="002D7080" w:rsidP="002E2C37">
            <w:pPr>
              <w:rPr>
                <w:rFonts w:ascii="Times New Roman" w:eastAsia="Calibri" w:hAnsi="Times New Roman" w:cs="Times New Roman"/>
                <w:sz w:val="20"/>
                <w:szCs w:val="20"/>
              </w:rPr>
            </w:pPr>
            <w:r w:rsidRPr="008B6B94">
              <w:rPr>
                <w:rFonts w:ascii="Times New Roman" w:eastAsia="Calibri" w:hAnsi="Times New Roman" w:cs="Times New Roman"/>
                <w:bCs/>
                <w:sz w:val="20"/>
                <w:szCs w:val="20"/>
              </w:rPr>
              <w:t xml:space="preserve"> Medium</w:t>
            </w:r>
          </w:p>
        </w:tc>
      </w:tr>
      <w:tr w:rsidR="002D7080" w:rsidRPr="004D1E6F" w14:paraId="1308450D" w14:textId="77777777" w:rsidTr="002E2C37">
        <w:trPr>
          <w:trHeight w:val="660"/>
        </w:trPr>
        <w:tc>
          <w:tcPr>
            <w:tcW w:w="7128" w:type="dxa"/>
            <w:gridSpan w:val="2"/>
            <w:vMerge w:val="restart"/>
          </w:tcPr>
          <w:p w14:paraId="1D4E25EF" w14:textId="77777777" w:rsidR="002D7080" w:rsidRPr="008B6B94" w:rsidRDefault="002D7080" w:rsidP="002E2C37">
            <w:pPr>
              <w:rPr>
                <w:rFonts w:ascii="Times New Roman" w:eastAsia="Calibri" w:hAnsi="Times New Roman" w:cs="Times New Roman"/>
                <w:sz w:val="20"/>
                <w:szCs w:val="20"/>
              </w:rPr>
            </w:pPr>
            <w:r w:rsidRPr="008B6B94">
              <w:rPr>
                <w:rFonts w:ascii="Times New Roman" w:eastAsia="Calibri" w:hAnsi="Times New Roman" w:cs="Times New Roman"/>
                <w:b/>
                <w:sz w:val="20"/>
                <w:szCs w:val="20"/>
              </w:rPr>
              <w:t>Recommendations:</w:t>
            </w:r>
          </w:p>
          <w:p w14:paraId="5A11FA18" w14:textId="77777777" w:rsidR="002D7080" w:rsidRPr="008B6B94" w:rsidRDefault="002D7080" w:rsidP="002E2C37">
            <w:pPr>
              <w:spacing w:after="160" w:line="259" w:lineRule="auto"/>
              <w:jc w:val="both"/>
              <w:rPr>
                <w:rFonts w:ascii="Times New Roman" w:eastAsia="Calibri" w:hAnsi="Times New Roman" w:cs="Times New Roman"/>
                <w:sz w:val="20"/>
                <w:szCs w:val="20"/>
              </w:rPr>
            </w:pPr>
            <w:r w:rsidRPr="008B6B94">
              <w:rPr>
                <w:rFonts w:ascii="Times New Roman" w:eastAsia="Calibri" w:hAnsi="Times New Roman" w:cs="Times New Roman"/>
                <w:i/>
                <w:iCs/>
                <w:sz w:val="20"/>
                <w:szCs w:val="20"/>
              </w:rPr>
              <w:t xml:space="preserve">Faxonius juvenilis </w:t>
            </w:r>
            <w:r w:rsidRPr="008B6B94">
              <w:rPr>
                <w:rFonts w:ascii="Times New Roman" w:eastAsia="Calibri" w:hAnsi="Times New Roman" w:cs="Times New Roman"/>
                <w:sz w:val="20"/>
                <w:szCs w:val="20"/>
              </w:rPr>
              <w:t xml:space="preserve">poses a high risk to South Africa. If </w:t>
            </w:r>
            <w:r w:rsidRPr="008B6B94">
              <w:rPr>
                <w:rFonts w:ascii="Times New Roman" w:eastAsia="Times New Roman" w:hAnsi="Times New Roman" w:cs="Times New Roman"/>
                <w:i/>
                <w:sz w:val="20"/>
                <w:szCs w:val="20"/>
                <w:lang w:eastAsia="en-ZA"/>
              </w:rPr>
              <w:t xml:space="preserve">F. juvenilis </w:t>
            </w:r>
            <w:r w:rsidRPr="008B6B94">
              <w:rPr>
                <w:rFonts w:ascii="Times New Roman" w:eastAsia="Calibri" w:hAnsi="Times New Roman" w:cs="Times New Roman"/>
                <w:sz w:val="20"/>
                <w:szCs w:val="20"/>
              </w:rPr>
              <w:t>were to establish outside of captivity,</w:t>
            </w:r>
            <w:r w:rsidRPr="008B6B94">
              <w:rPr>
                <w:rFonts w:ascii="Times New Roman" w:eastAsia="Calibri" w:hAnsi="Times New Roman" w:cs="Times New Roman"/>
                <w:iCs/>
                <w:sz w:val="20"/>
                <w:szCs w:val="20"/>
              </w:rPr>
              <w:t xml:space="preserve"> </w:t>
            </w:r>
            <w:r w:rsidRPr="008B6B94">
              <w:rPr>
                <w:rFonts w:ascii="Times New Roman" w:eastAsia="Times New Roman" w:hAnsi="Times New Roman" w:cs="Times New Roman"/>
                <w:iCs/>
                <w:sz w:val="20"/>
                <w:szCs w:val="20"/>
                <w:lang w:eastAsia="en-ZA"/>
              </w:rPr>
              <w:t xml:space="preserve">such populations </w:t>
            </w:r>
            <w:r w:rsidRPr="008B6B94">
              <w:rPr>
                <w:rFonts w:ascii="Times New Roman" w:eastAsia="Calibri" w:hAnsi="Times New Roman" w:cs="Times New Roman"/>
                <w:sz w:val="20"/>
                <w:szCs w:val="20"/>
              </w:rPr>
              <w:t xml:space="preserve">would likely be very difficult to extirpate. </w:t>
            </w:r>
          </w:p>
          <w:p w14:paraId="7EB4545D" w14:textId="77777777" w:rsidR="002D7080" w:rsidRPr="008B6B94" w:rsidRDefault="002D7080" w:rsidP="002E2C37">
            <w:pPr>
              <w:jc w:val="both"/>
              <w:rPr>
                <w:rFonts w:ascii="Times New Roman" w:eastAsia="Calibri" w:hAnsi="Times New Roman" w:cs="Times New Roman"/>
                <w:sz w:val="20"/>
                <w:szCs w:val="20"/>
              </w:rPr>
            </w:pPr>
            <w:r w:rsidRPr="008B6B94">
              <w:rPr>
                <w:rFonts w:ascii="Times New Roman" w:hAnsi="Times New Roman" w:cs="Times New Roman"/>
                <w:i/>
                <w:iCs/>
                <w:sz w:val="20"/>
                <w:szCs w:val="20"/>
              </w:rPr>
              <w:t xml:space="preserve">Faxonius juvenilis </w:t>
            </w:r>
            <w:r w:rsidRPr="008B6B94">
              <w:rPr>
                <w:rFonts w:ascii="Times New Roman" w:hAnsi="Times New Roman" w:cs="Times New Roman"/>
                <w:sz w:val="20"/>
                <w:szCs w:val="20"/>
              </w:rPr>
              <w:t>is recommended to be added to a future prohibited species list</w:t>
            </w:r>
            <w:r w:rsidRPr="008B6B94">
              <w:rPr>
                <w:rFonts w:ascii="Times New Roman" w:eastAsia="Times New Roman" w:hAnsi="Times New Roman" w:cs="Times New Roman"/>
                <w:iCs/>
                <w:sz w:val="20"/>
                <w:szCs w:val="20"/>
                <w:lang w:eastAsia="en-ZA"/>
              </w:rPr>
              <w:t xml:space="preserve">, active efforts made to confirm that the species is absent in the country, and that any individuals found are controlled. This would likely require </w:t>
            </w:r>
            <w:r w:rsidRPr="008B6B94">
              <w:rPr>
                <w:rFonts w:ascii="Times New Roman" w:eastAsia="Times New Roman" w:hAnsi="Times New Roman" w:cs="Times New Roman"/>
                <w:sz w:val="20"/>
                <w:szCs w:val="20"/>
                <w:lang w:eastAsia="en-ZA"/>
              </w:rPr>
              <w:t>a dedicated assessment of the ornamental t</w:t>
            </w:r>
            <w:r w:rsidRPr="008B6B94">
              <w:rPr>
                <w:rFonts w:ascii="Times New Roman" w:eastAsia="Calibri" w:hAnsi="Times New Roman" w:cs="Times New Roman"/>
                <w:sz w:val="20"/>
                <w:szCs w:val="20"/>
              </w:rPr>
              <w:t xml:space="preserve">rade. A reassessment in five years is thus required and, if present in the country, </w:t>
            </w:r>
            <w:r w:rsidRPr="008B6B94">
              <w:rPr>
                <w:rFonts w:ascii="Times New Roman" w:eastAsia="Times New Roman" w:hAnsi="Times New Roman" w:cs="Times New Roman"/>
                <w:i/>
                <w:sz w:val="20"/>
                <w:szCs w:val="20"/>
                <w:lang w:eastAsia="en-ZA"/>
              </w:rPr>
              <w:t xml:space="preserve">F. juvenilis </w:t>
            </w:r>
            <w:r w:rsidRPr="008B6B94">
              <w:rPr>
                <w:rFonts w:ascii="Times New Roman" w:eastAsia="Times New Roman" w:hAnsi="Times New Roman" w:cs="Times New Roman"/>
                <w:iCs/>
                <w:sz w:val="20"/>
                <w:szCs w:val="20"/>
                <w:lang w:eastAsia="en-ZA"/>
              </w:rPr>
              <w:t>should be listed under category 1a</w:t>
            </w:r>
            <w:r w:rsidRPr="008B6B94">
              <w:rPr>
                <w:rFonts w:ascii="Times New Roman" w:eastAsia="Calibri" w:hAnsi="Times New Roman" w:cs="Times New Roman"/>
                <w:iCs/>
                <w:sz w:val="20"/>
                <w:szCs w:val="20"/>
              </w:rPr>
              <w:t>.</w:t>
            </w:r>
          </w:p>
        </w:tc>
        <w:tc>
          <w:tcPr>
            <w:tcW w:w="2114" w:type="dxa"/>
          </w:tcPr>
          <w:p w14:paraId="67157855" w14:textId="77777777" w:rsidR="002D7080" w:rsidRPr="008B6B94" w:rsidRDefault="002D7080" w:rsidP="002E2C37">
            <w:pPr>
              <w:rPr>
                <w:rFonts w:ascii="Times New Roman" w:hAnsi="Times New Roman" w:cs="Times New Roman"/>
                <w:b/>
                <w:sz w:val="20"/>
                <w:szCs w:val="20"/>
              </w:rPr>
            </w:pPr>
            <w:r w:rsidRPr="008B6B94">
              <w:rPr>
                <w:rFonts w:ascii="Times New Roman" w:hAnsi="Times New Roman" w:cs="Times New Roman"/>
                <w:b/>
                <w:sz w:val="20"/>
                <w:szCs w:val="20"/>
              </w:rPr>
              <w:t>Listing under NEM:BA A&amp;IS lists of 2020:</w:t>
            </w:r>
          </w:p>
          <w:p w14:paraId="3DB63B28" w14:textId="77777777" w:rsidR="002D7080" w:rsidRPr="008B6B94" w:rsidRDefault="002D7080" w:rsidP="002E2C37">
            <w:pPr>
              <w:rPr>
                <w:rFonts w:ascii="Times New Roman" w:eastAsia="Calibri" w:hAnsi="Times New Roman" w:cs="Times New Roman"/>
                <w:sz w:val="20"/>
                <w:szCs w:val="20"/>
              </w:rPr>
            </w:pPr>
            <w:r w:rsidRPr="008B6B94">
              <w:rPr>
                <w:rFonts w:ascii="Times New Roman" w:eastAsia="Calibri" w:hAnsi="Times New Roman" w:cs="Times New Roman"/>
                <w:sz w:val="20"/>
                <w:szCs w:val="20"/>
              </w:rPr>
              <w:t xml:space="preserve">Not listed </w:t>
            </w:r>
          </w:p>
        </w:tc>
      </w:tr>
      <w:tr w:rsidR="002D7080" w:rsidRPr="004D1E6F" w14:paraId="6D9FB1DA" w14:textId="77777777" w:rsidTr="002E2C37">
        <w:trPr>
          <w:trHeight w:val="467"/>
        </w:trPr>
        <w:tc>
          <w:tcPr>
            <w:tcW w:w="7128" w:type="dxa"/>
            <w:gridSpan w:val="2"/>
            <w:vMerge/>
          </w:tcPr>
          <w:p w14:paraId="3F4DBD31" w14:textId="77777777" w:rsidR="002D7080" w:rsidRPr="008B6B94" w:rsidRDefault="002D7080" w:rsidP="002E2C37">
            <w:pPr>
              <w:rPr>
                <w:rFonts w:ascii="Times New Roman" w:eastAsia="Calibri" w:hAnsi="Times New Roman" w:cs="Times New Roman"/>
                <w:b/>
                <w:sz w:val="20"/>
                <w:szCs w:val="20"/>
              </w:rPr>
            </w:pPr>
          </w:p>
        </w:tc>
        <w:tc>
          <w:tcPr>
            <w:tcW w:w="2114" w:type="dxa"/>
          </w:tcPr>
          <w:p w14:paraId="245FE6DB" w14:textId="77777777" w:rsidR="002D7080" w:rsidRPr="008B6B94" w:rsidRDefault="002D7080" w:rsidP="002E2C37">
            <w:pPr>
              <w:rPr>
                <w:rFonts w:ascii="Times New Roman" w:hAnsi="Times New Roman" w:cs="Times New Roman"/>
                <w:b/>
                <w:sz w:val="20"/>
                <w:szCs w:val="20"/>
              </w:rPr>
            </w:pPr>
            <w:r w:rsidRPr="008B6B94">
              <w:rPr>
                <w:rFonts w:ascii="Times New Roman" w:hAnsi="Times New Roman" w:cs="Times New Roman"/>
                <w:b/>
                <w:sz w:val="20"/>
                <w:szCs w:val="20"/>
              </w:rPr>
              <w:t xml:space="preserve">Recommended listing category: </w:t>
            </w:r>
          </w:p>
          <w:p w14:paraId="34B3B7D2" w14:textId="2ED73CF8" w:rsidR="002D7080" w:rsidRPr="008B6B94" w:rsidRDefault="002D7080" w:rsidP="002E2C37">
            <w:pPr>
              <w:rPr>
                <w:rFonts w:ascii="Times New Roman" w:eastAsia="Calibri" w:hAnsi="Times New Roman" w:cs="Times New Roman"/>
                <w:b/>
                <w:sz w:val="20"/>
                <w:szCs w:val="20"/>
              </w:rPr>
            </w:pPr>
            <w:r w:rsidRPr="008B6B94">
              <w:rPr>
                <w:rFonts w:ascii="Times New Roman" w:hAnsi="Times New Roman" w:cs="Times New Roman"/>
                <w:sz w:val="20"/>
                <w:szCs w:val="20"/>
              </w:rPr>
              <w:t>Prohibited list</w:t>
            </w:r>
            <w:r w:rsidRPr="008B6B94">
              <w:rPr>
                <w:rStyle w:val="FootnoteReference"/>
                <w:rFonts w:ascii="Times New Roman" w:hAnsi="Times New Roman" w:cs="Times New Roman"/>
              </w:rPr>
              <w:footnoteReference w:id="4"/>
            </w:r>
          </w:p>
        </w:tc>
      </w:tr>
    </w:tbl>
    <w:p w14:paraId="4044BB2E" w14:textId="77777777" w:rsidR="002D7080" w:rsidRPr="004D1E6F" w:rsidRDefault="002D7080" w:rsidP="002D7080">
      <w:pPr>
        <w:spacing w:after="160" w:line="259" w:lineRule="auto"/>
        <w:rPr>
          <w:rFonts w:ascii="Times New Roman" w:eastAsia="Times New Roman" w:hAnsi="Times New Roman" w:cs="Times New Roman"/>
          <w:b/>
          <w:color w:val="000000"/>
          <w:sz w:val="20"/>
          <w:szCs w:val="20"/>
          <w:lang w:eastAsia="en-ZA"/>
        </w:rPr>
      </w:pPr>
    </w:p>
    <w:p w14:paraId="27CDA71C"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1. Background</w:t>
      </w:r>
    </w:p>
    <w:p w14:paraId="17909705"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W w:w="8790" w:type="dxa"/>
        <w:tblInd w:w="108" w:type="dxa"/>
        <w:tblLook w:val="04A0" w:firstRow="1" w:lastRow="0" w:firstColumn="1" w:lastColumn="0" w:noHBand="0" w:noVBand="1"/>
      </w:tblPr>
      <w:tblGrid>
        <w:gridCol w:w="2250"/>
        <w:gridCol w:w="1350"/>
        <w:gridCol w:w="2524"/>
        <w:gridCol w:w="2666"/>
      </w:tblGrid>
      <w:tr w:rsidR="002D7080" w:rsidRPr="004D1E6F" w14:paraId="585BD5EA" w14:textId="77777777" w:rsidTr="002E2C37">
        <w:trPr>
          <w:cantSplit/>
          <w:trHeight w:val="197"/>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20FE56FC"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BAC1 Name of assessor(s)</w:t>
            </w:r>
          </w:p>
        </w:tc>
      </w:tr>
      <w:tr w:rsidR="002D7080" w:rsidRPr="004D1E6F" w14:paraId="5933FDBB" w14:textId="77777777" w:rsidTr="002E2C37">
        <w:trPr>
          <w:cantSplit/>
          <w:trHeight w:val="278"/>
        </w:trPr>
        <w:tc>
          <w:tcPr>
            <w:tcW w:w="2250" w:type="dxa"/>
            <w:tcBorders>
              <w:top w:val="nil"/>
              <w:left w:val="single" w:sz="4" w:space="0" w:color="auto"/>
              <w:bottom w:val="single" w:sz="4" w:space="0" w:color="auto"/>
              <w:right w:val="single" w:sz="4" w:space="0" w:color="auto"/>
            </w:tcBorders>
            <w:noWrap/>
          </w:tcPr>
          <w:p w14:paraId="562A6014" w14:textId="77777777" w:rsidR="002D7080" w:rsidRPr="004D1E6F" w:rsidRDefault="002D7080" w:rsidP="000149CE">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Name of lead assessor</w:t>
            </w:r>
          </w:p>
        </w:tc>
        <w:tc>
          <w:tcPr>
            <w:tcW w:w="6540" w:type="dxa"/>
            <w:gridSpan w:val="3"/>
            <w:tcBorders>
              <w:top w:val="nil"/>
              <w:left w:val="single" w:sz="4" w:space="0" w:color="auto"/>
              <w:bottom w:val="single" w:sz="4" w:space="0" w:color="auto"/>
              <w:right w:val="single" w:sz="4" w:space="0" w:color="auto"/>
            </w:tcBorders>
          </w:tcPr>
          <w:p w14:paraId="32B4B296" w14:textId="77777777" w:rsidR="002D7080" w:rsidRPr="001D5ADB" w:rsidRDefault="002D7080" w:rsidP="000149CE">
            <w:pPr>
              <w:spacing w:after="0"/>
              <w:rPr>
                <w:rFonts w:ascii="Times New Roman" w:eastAsia="Times New Roman" w:hAnsi="Times New Roman" w:cs="Times New Roman"/>
                <w:bCs/>
                <w:color w:val="000000"/>
                <w:sz w:val="20"/>
                <w:szCs w:val="20"/>
                <w:lang w:eastAsia="en-ZA"/>
              </w:rPr>
            </w:pPr>
            <w:r w:rsidRPr="001D5ADB">
              <w:rPr>
                <w:rFonts w:ascii="Times New Roman" w:eastAsia="Times New Roman" w:hAnsi="Times New Roman" w:cs="Times New Roman"/>
                <w:bCs/>
                <w:color w:val="000000"/>
                <w:sz w:val="20"/>
                <w:szCs w:val="20"/>
                <w:lang w:eastAsia="en-ZA"/>
              </w:rPr>
              <w:t>Lee-Anne Botha</w:t>
            </w:r>
          </w:p>
        </w:tc>
      </w:tr>
      <w:tr w:rsidR="002D7080" w:rsidRPr="004D1E6F" w14:paraId="349019A4" w14:textId="77777777" w:rsidTr="002E2C37">
        <w:trPr>
          <w:cantSplit/>
          <w:trHeight w:val="242"/>
        </w:trPr>
        <w:tc>
          <w:tcPr>
            <w:tcW w:w="2250" w:type="dxa"/>
            <w:tcBorders>
              <w:top w:val="nil"/>
              <w:left w:val="single" w:sz="4" w:space="0" w:color="auto"/>
              <w:bottom w:val="single" w:sz="4" w:space="0" w:color="auto"/>
              <w:right w:val="single" w:sz="4" w:space="0" w:color="auto"/>
            </w:tcBorders>
            <w:shd w:val="clear" w:color="auto" w:fill="F2F2F2" w:themeFill="background1" w:themeFillShade="F2"/>
            <w:noWrap/>
          </w:tcPr>
          <w:p w14:paraId="3A99D596" w14:textId="77777777" w:rsidR="002D7080" w:rsidRPr="004D1E6F" w:rsidRDefault="002D7080" w:rsidP="000149CE">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Additional assessor (1)</w:t>
            </w:r>
          </w:p>
        </w:tc>
        <w:tc>
          <w:tcPr>
            <w:tcW w:w="6540" w:type="dxa"/>
            <w:gridSpan w:val="3"/>
            <w:tcBorders>
              <w:top w:val="nil"/>
              <w:left w:val="single" w:sz="4" w:space="0" w:color="auto"/>
              <w:bottom w:val="single" w:sz="4" w:space="0" w:color="auto"/>
              <w:right w:val="single" w:sz="4" w:space="0" w:color="auto"/>
            </w:tcBorders>
          </w:tcPr>
          <w:p w14:paraId="3AA3AF7D" w14:textId="77777777" w:rsidR="002D7080" w:rsidRPr="004D1E6F" w:rsidRDefault="002D7080" w:rsidP="000149CE">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 xml:space="preserve">Tsungai Zengeya </w:t>
            </w:r>
          </w:p>
        </w:tc>
      </w:tr>
      <w:tr w:rsidR="002D7080" w:rsidRPr="004D1E6F" w14:paraId="260EED50" w14:textId="77777777" w:rsidTr="002E2C37">
        <w:trPr>
          <w:cantSplit/>
          <w:trHeight w:val="260"/>
        </w:trPr>
        <w:tc>
          <w:tcPr>
            <w:tcW w:w="2250" w:type="dxa"/>
            <w:tcBorders>
              <w:top w:val="nil"/>
              <w:left w:val="single" w:sz="4" w:space="0" w:color="auto"/>
              <w:bottom w:val="single" w:sz="4" w:space="0" w:color="auto"/>
              <w:right w:val="single" w:sz="4" w:space="0" w:color="auto"/>
            </w:tcBorders>
            <w:shd w:val="clear" w:color="auto" w:fill="F2F2F2" w:themeFill="background1" w:themeFillShade="F2"/>
            <w:noWrap/>
          </w:tcPr>
          <w:p w14:paraId="17346A25" w14:textId="77777777" w:rsidR="002D7080" w:rsidRPr="004D1E6F" w:rsidRDefault="002D7080" w:rsidP="000149CE">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Additional assessor (2)</w:t>
            </w:r>
          </w:p>
        </w:tc>
        <w:tc>
          <w:tcPr>
            <w:tcW w:w="6540" w:type="dxa"/>
            <w:gridSpan w:val="3"/>
            <w:tcBorders>
              <w:top w:val="nil"/>
              <w:left w:val="single" w:sz="4" w:space="0" w:color="auto"/>
              <w:bottom w:val="single" w:sz="4" w:space="0" w:color="auto"/>
              <w:right w:val="single" w:sz="4" w:space="0" w:color="auto"/>
            </w:tcBorders>
          </w:tcPr>
          <w:p w14:paraId="50D8BE72" w14:textId="77777777" w:rsidR="002D7080" w:rsidRPr="004D1E6F" w:rsidRDefault="002D7080" w:rsidP="000149CE">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 xml:space="preserve">Christian Chimimba </w:t>
            </w:r>
          </w:p>
        </w:tc>
      </w:tr>
      <w:tr w:rsidR="002D7080" w:rsidRPr="004D1E6F" w14:paraId="59FB417F" w14:textId="77777777" w:rsidTr="002E2C37">
        <w:trPr>
          <w:cantSplit/>
          <w:trHeight w:val="390"/>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25B2DDFF"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BAC2 Contact details of assessor (s)</w:t>
            </w:r>
          </w:p>
        </w:tc>
      </w:tr>
      <w:tr w:rsidR="002D7080" w:rsidRPr="004D1E6F" w14:paraId="4E270A19" w14:textId="77777777" w:rsidTr="002E2C37">
        <w:trPr>
          <w:cantSplit/>
          <w:trHeight w:val="70"/>
        </w:trPr>
        <w:tc>
          <w:tcPr>
            <w:tcW w:w="2250" w:type="dxa"/>
            <w:vMerge w:val="restart"/>
            <w:tcBorders>
              <w:top w:val="nil"/>
              <w:left w:val="single" w:sz="4" w:space="0" w:color="auto"/>
              <w:right w:val="single" w:sz="4" w:space="0" w:color="auto"/>
            </w:tcBorders>
            <w:shd w:val="clear" w:color="auto" w:fill="F2F2F2" w:themeFill="background1" w:themeFillShade="F2"/>
            <w:noWrap/>
            <w:hideMark/>
          </w:tcPr>
          <w:p w14:paraId="170C9861" w14:textId="77777777" w:rsidR="002D7080" w:rsidRPr="004D1E6F" w:rsidRDefault="002D7080" w:rsidP="000149CE">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Lead assessor</w:t>
            </w:r>
          </w:p>
        </w:tc>
        <w:tc>
          <w:tcPr>
            <w:tcW w:w="6540" w:type="dxa"/>
            <w:gridSpan w:val="3"/>
            <w:tcBorders>
              <w:top w:val="nil"/>
              <w:left w:val="nil"/>
              <w:bottom w:val="single" w:sz="4" w:space="0" w:color="auto"/>
              <w:right w:val="single" w:sz="4" w:space="0" w:color="auto"/>
            </w:tcBorders>
          </w:tcPr>
          <w:p w14:paraId="593E82A6" w14:textId="77777777" w:rsidR="002D7080" w:rsidRPr="004D1E6F" w:rsidRDefault="002D7080" w:rsidP="000149CE">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Organisational affiliation: Department of Zoology and Entomology, University of Pretoria and The South African National Biodiversity Institute (SANBI).</w:t>
            </w:r>
          </w:p>
        </w:tc>
      </w:tr>
      <w:tr w:rsidR="002D7080" w:rsidRPr="004D1E6F" w14:paraId="0883B3BD" w14:textId="77777777" w:rsidTr="002E2C37">
        <w:trPr>
          <w:cantSplit/>
          <w:trHeight w:val="70"/>
        </w:trPr>
        <w:tc>
          <w:tcPr>
            <w:tcW w:w="2250" w:type="dxa"/>
            <w:vMerge/>
            <w:tcBorders>
              <w:left w:val="single" w:sz="4" w:space="0" w:color="auto"/>
              <w:right w:val="single" w:sz="4" w:space="0" w:color="auto"/>
            </w:tcBorders>
            <w:shd w:val="clear" w:color="auto" w:fill="F2F2F2" w:themeFill="background1" w:themeFillShade="F2"/>
            <w:noWrap/>
          </w:tcPr>
          <w:p w14:paraId="4ABB3B38" w14:textId="77777777" w:rsidR="002D7080" w:rsidRPr="004D1E6F" w:rsidRDefault="002D7080" w:rsidP="000149CE">
            <w:pPr>
              <w:spacing w:after="0"/>
              <w:jc w:val="both"/>
              <w:rPr>
                <w:rFonts w:ascii="Times New Roman" w:hAnsi="Times New Roman" w:cs="Times New Roman"/>
                <w:bCs/>
                <w:iCs/>
                <w:sz w:val="20"/>
                <w:szCs w:val="20"/>
              </w:rPr>
            </w:pPr>
          </w:p>
        </w:tc>
        <w:tc>
          <w:tcPr>
            <w:tcW w:w="6540" w:type="dxa"/>
            <w:gridSpan w:val="3"/>
            <w:tcBorders>
              <w:top w:val="nil"/>
              <w:left w:val="nil"/>
              <w:bottom w:val="single" w:sz="4" w:space="0" w:color="auto"/>
              <w:right w:val="single" w:sz="4" w:space="0" w:color="auto"/>
            </w:tcBorders>
          </w:tcPr>
          <w:p w14:paraId="0BDBC0E4" w14:textId="77777777" w:rsidR="002D7080" w:rsidRPr="004D1E6F" w:rsidRDefault="002D7080" w:rsidP="000149CE">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email: </w:t>
            </w:r>
            <w:r w:rsidRPr="004D1E6F">
              <w:rPr>
                <w:rFonts w:ascii="Times New Roman" w:eastAsia="Times New Roman" w:hAnsi="Times New Roman" w:cs="Times New Roman"/>
                <w:color w:val="000000"/>
                <w:sz w:val="20"/>
                <w:szCs w:val="20"/>
                <w:lang w:eastAsia="en-ZA"/>
              </w:rPr>
              <w:t>leeannebth782@gmail.com</w:t>
            </w:r>
          </w:p>
        </w:tc>
      </w:tr>
      <w:tr w:rsidR="002D7080" w:rsidRPr="004D1E6F" w14:paraId="25F7DD1E" w14:textId="77777777" w:rsidTr="002E2C37">
        <w:trPr>
          <w:cantSplit/>
          <w:trHeight w:val="70"/>
        </w:trPr>
        <w:tc>
          <w:tcPr>
            <w:tcW w:w="2250" w:type="dxa"/>
            <w:tcBorders>
              <w:left w:val="single" w:sz="4" w:space="0" w:color="auto"/>
              <w:bottom w:val="single" w:sz="4" w:space="0" w:color="auto"/>
              <w:right w:val="single" w:sz="4" w:space="0" w:color="auto"/>
            </w:tcBorders>
            <w:shd w:val="clear" w:color="auto" w:fill="F2F2F2" w:themeFill="background1" w:themeFillShade="F2"/>
            <w:noWrap/>
          </w:tcPr>
          <w:p w14:paraId="3F930305" w14:textId="77777777" w:rsidR="002D7080" w:rsidRPr="004D1E6F" w:rsidRDefault="002D7080" w:rsidP="000149CE">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(1)</w:t>
            </w:r>
          </w:p>
        </w:tc>
        <w:tc>
          <w:tcPr>
            <w:tcW w:w="6540" w:type="dxa"/>
            <w:gridSpan w:val="3"/>
            <w:tcBorders>
              <w:top w:val="nil"/>
              <w:left w:val="nil"/>
              <w:bottom w:val="single" w:sz="4" w:space="0" w:color="auto"/>
              <w:right w:val="single" w:sz="4" w:space="0" w:color="auto"/>
            </w:tcBorders>
          </w:tcPr>
          <w:p w14:paraId="05E7BAD9" w14:textId="77777777" w:rsidR="002D7080" w:rsidRPr="004D1E6F" w:rsidRDefault="002D7080" w:rsidP="000149CE">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Organisational affiliation: Department of Zoology and Entomology, University of Pretoria and The South African National Biodiversity Institute (SANBI).</w:t>
            </w:r>
          </w:p>
        </w:tc>
      </w:tr>
      <w:tr w:rsidR="002D7080" w:rsidRPr="004D1E6F" w14:paraId="59018A09" w14:textId="77777777" w:rsidTr="002E2C37">
        <w:trPr>
          <w:cantSplit/>
          <w:trHeight w:val="70"/>
        </w:trPr>
        <w:tc>
          <w:tcPr>
            <w:tcW w:w="2250" w:type="dxa"/>
            <w:tcBorders>
              <w:left w:val="single" w:sz="4" w:space="0" w:color="auto"/>
              <w:bottom w:val="single" w:sz="4" w:space="0" w:color="auto"/>
              <w:right w:val="single" w:sz="4" w:space="0" w:color="auto"/>
            </w:tcBorders>
            <w:shd w:val="clear" w:color="auto" w:fill="F2F2F2" w:themeFill="background1" w:themeFillShade="F2"/>
            <w:noWrap/>
          </w:tcPr>
          <w:p w14:paraId="30EA89E9" w14:textId="77777777" w:rsidR="002D7080" w:rsidRPr="004D1E6F" w:rsidRDefault="002D7080" w:rsidP="000149CE">
            <w:pPr>
              <w:spacing w:after="0"/>
              <w:jc w:val="both"/>
              <w:rPr>
                <w:rFonts w:ascii="Times New Roman" w:hAnsi="Times New Roman" w:cs="Times New Roman"/>
                <w:bCs/>
                <w:iCs/>
                <w:sz w:val="20"/>
                <w:szCs w:val="20"/>
              </w:rPr>
            </w:pPr>
          </w:p>
        </w:tc>
        <w:tc>
          <w:tcPr>
            <w:tcW w:w="6540" w:type="dxa"/>
            <w:gridSpan w:val="3"/>
            <w:tcBorders>
              <w:top w:val="nil"/>
              <w:left w:val="nil"/>
              <w:bottom w:val="single" w:sz="4" w:space="0" w:color="auto"/>
              <w:right w:val="single" w:sz="4" w:space="0" w:color="auto"/>
            </w:tcBorders>
          </w:tcPr>
          <w:p w14:paraId="30B98A75" w14:textId="77777777" w:rsidR="002D7080" w:rsidRPr="004D1E6F" w:rsidRDefault="002D7080" w:rsidP="000149CE">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email: T.Zengeya@sanbi.org.za</w:t>
            </w:r>
          </w:p>
        </w:tc>
      </w:tr>
      <w:tr w:rsidR="002D7080" w:rsidRPr="004D1E6F" w14:paraId="71C960BA" w14:textId="77777777" w:rsidTr="002E2C37">
        <w:trPr>
          <w:cantSplit/>
          <w:trHeight w:val="70"/>
        </w:trPr>
        <w:tc>
          <w:tcPr>
            <w:tcW w:w="2250" w:type="dxa"/>
            <w:tcBorders>
              <w:left w:val="single" w:sz="4" w:space="0" w:color="auto"/>
              <w:bottom w:val="single" w:sz="4" w:space="0" w:color="auto"/>
              <w:right w:val="single" w:sz="4" w:space="0" w:color="auto"/>
            </w:tcBorders>
            <w:shd w:val="clear" w:color="auto" w:fill="F2F2F2" w:themeFill="background1" w:themeFillShade="F2"/>
            <w:noWrap/>
          </w:tcPr>
          <w:p w14:paraId="2B196BD0" w14:textId="77777777" w:rsidR="002D7080" w:rsidRPr="004D1E6F" w:rsidRDefault="002D7080" w:rsidP="000149CE">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(2)</w:t>
            </w:r>
          </w:p>
        </w:tc>
        <w:tc>
          <w:tcPr>
            <w:tcW w:w="6540" w:type="dxa"/>
            <w:gridSpan w:val="3"/>
            <w:tcBorders>
              <w:top w:val="nil"/>
              <w:left w:val="nil"/>
              <w:bottom w:val="single" w:sz="4" w:space="0" w:color="auto"/>
              <w:right w:val="single" w:sz="4" w:space="0" w:color="auto"/>
            </w:tcBorders>
          </w:tcPr>
          <w:p w14:paraId="0949DDA9" w14:textId="77777777" w:rsidR="002D7080" w:rsidRPr="004D1E6F" w:rsidRDefault="002D7080" w:rsidP="000149CE">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Organisational affiliation: Department of Zoology and Entomology, University of Pretoria and The South African National Biodiversity Institute (SANBI).</w:t>
            </w:r>
          </w:p>
        </w:tc>
      </w:tr>
      <w:tr w:rsidR="002D7080" w:rsidRPr="004D1E6F" w14:paraId="04646074" w14:textId="77777777" w:rsidTr="002E2C37">
        <w:trPr>
          <w:cantSplit/>
          <w:trHeight w:val="70"/>
        </w:trPr>
        <w:tc>
          <w:tcPr>
            <w:tcW w:w="2250" w:type="dxa"/>
            <w:tcBorders>
              <w:left w:val="single" w:sz="4" w:space="0" w:color="auto"/>
              <w:bottom w:val="single" w:sz="4" w:space="0" w:color="auto"/>
              <w:right w:val="single" w:sz="4" w:space="0" w:color="auto"/>
            </w:tcBorders>
            <w:shd w:val="clear" w:color="auto" w:fill="F2F2F2" w:themeFill="background1" w:themeFillShade="F2"/>
            <w:noWrap/>
          </w:tcPr>
          <w:p w14:paraId="5590B296" w14:textId="77777777" w:rsidR="002D7080" w:rsidRPr="004D1E6F" w:rsidRDefault="002D7080" w:rsidP="000149CE">
            <w:pPr>
              <w:spacing w:after="0"/>
              <w:jc w:val="both"/>
              <w:rPr>
                <w:rFonts w:ascii="Times New Roman" w:hAnsi="Times New Roman" w:cs="Times New Roman"/>
                <w:bCs/>
                <w:iCs/>
                <w:sz w:val="20"/>
                <w:szCs w:val="20"/>
              </w:rPr>
            </w:pPr>
          </w:p>
        </w:tc>
        <w:tc>
          <w:tcPr>
            <w:tcW w:w="6540" w:type="dxa"/>
            <w:gridSpan w:val="3"/>
            <w:tcBorders>
              <w:top w:val="nil"/>
              <w:left w:val="nil"/>
              <w:bottom w:val="single" w:sz="4" w:space="0" w:color="auto"/>
              <w:right w:val="single" w:sz="4" w:space="0" w:color="auto"/>
            </w:tcBorders>
          </w:tcPr>
          <w:p w14:paraId="2B1FF770" w14:textId="77777777" w:rsidR="002D7080" w:rsidRPr="004D1E6F" w:rsidRDefault="002D7080" w:rsidP="000149CE">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email: ctchimimbaa@up.ac.za</w:t>
            </w:r>
          </w:p>
        </w:tc>
      </w:tr>
      <w:tr w:rsidR="002D7080" w:rsidRPr="004D1E6F" w14:paraId="1921C89C" w14:textId="77777777" w:rsidTr="002E2C37">
        <w:trPr>
          <w:cantSplit/>
          <w:trHeight w:val="357"/>
        </w:trPr>
        <w:tc>
          <w:tcPr>
            <w:tcW w:w="8790" w:type="dxa"/>
            <w:gridSpan w:val="4"/>
            <w:tcBorders>
              <w:left w:val="single" w:sz="4" w:space="0" w:color="auto"/>
              <w:bottom w:val="single" w:sz="4" w:space="0" w:color="auto"/>
              <w:right w:val="single" w:sz="4" w:space="0" w:color="auto"/>
            </w:tcBorders>
            <w:shd w:val="clear" w:color="auto" w:fill="F2F2F2" w:themeFill="background1" w:themeFillShade="F2"/>
            <w:noWrap/>
          </w:tcPr>
          <w:p w14:paraId="19D4F0AC"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BAC3 Name(s) and contact details of expert(s) consulted</w:t>
            </w:r>
          </w:p>
        </w:tc>
      </w:tr>
      <w:tr w:rsidR="002D7080" w:rsidRPr="004D1E6F" w14:paraId="034BE057" w14:textId="77777777" w:rsidTr="002E2C37">
        <w:trPr>
          <w:cantSplit/>
          <w:trHeight w:val="188"/>
        </w:trPr>
        <w:tc>
          <w:tcPr>
            <w:tcW w:w="2250" w:type="dxa"/>
            <w:vMerge w:val="restart"/>
            <w:tcBorders>
              <w:left w:val="single" w:sz="4" w:space="0" w:color="auto"/>
              <w:right w:val="single" w:sz="4" w:space="0" w:color="auto"/>
            </w:tcBorders>
            <w:noWrap/>
          </w:tcPr>
          <w:p w14:paraId="4019BF25"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Expert (1)</w:t>
            </w:r>
          </w:p>
        </w:tc>
        <w:tc>
          <w:tcPr>
            <w:tcW w:w="6540" w:type="dxa"/>
            <w:gridSpan w:val="3"/>
            <w:tcBorders>
              <w:top w:val="nil"/>
              <w:left w:val="nil"/>
              <w:bottom w:val="single" w:sz="4" w:space="0" w:color="auto"/>
              <w:right w:val="single" w:sz="4" w:space="0" w:color="auto"/>
            </w:tcBorders>
          </w:tcPr>
          <w:p w14:paraId="36C6CA4E"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Name: </w:t>
            </w:r>
          </w:p>
        </w:tc>
      </w:tr>
      <w:tr w:rsidR="002D7080" w:rsidRPr="004D1E6F" w14:paraId="73299771" w14:textId="77777777" w:rsidTr="002E2C37">
        <w:trPr>
          <w:cantSplit/>
          <w:trHeight w:val="125"/>
        </w:trPr>
        <w:tc>
          <w:tcPr>
            <w:tcW w:w="2250" w:type="dxa"/>
            <w:vMerge/>
            <w:tcBorders>
              <w:left w:val="single" w:sz="4" w:space="0" w:color="auto"/>
              <w:right w:val="single" w:sz="4" w:space="0" w:color="auto"/>
            </w:tcBorders>
            <w:noWrap/>
          </w:tcPr>
          <w:p w14:paraId="10EA2075"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p>
        </w:tc>
        <w:tc>
          <w:tcPr>
            <w:tcW w:w="6540" w:type="dxa"/>
            <w:gridSpan w:val="3"/>
            <w:tcBorders>
              <w:top w:val="nil"/>
              <w:left w:val="nil"/>
              <w:bottom w:val="single" w:sz="4" w:space="0" w:color="auto"/>
              <w:right w:val="single" w:sz="4" w:space="0" w:color="auto"/>
            </w:tcBorders>
          </w:tcPr>
          <w:p w14:paraId="00EBDA7D"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email: </w:t>
            </w:r>
          </w:p>
        </w:tc>
      </w:tr>
      <w:tr w:rsidR="002D7080" w:rsidRPr="004D1E6F" w14:paraId="3CF2EA92" w14:textId="77777777" w:rsidTr="002E2C37">
        <w:trPr>
          <w:cantSplit/>
          <w:trHeight w:val="152"/>
        </w:trPr>
        <w:tc>
          <w:tcPr>
            <w:tcW w:w="2250" w:type="dxa"/>
            <w:vMerge/>
            <w:tcBorders>
              <w:left w:val="single" w:sz="4" w:space="0" w:color="auto"/>
              <w:bottom w:val="single" w:sz="4" w:space="0" w:color="auto"/>
              <w:right w:val="single" w:sz="4" w:space="0" w:color="auto"/>
            </w:tcBorders>
            <w:noWrap/>
          </w:tcPr>
          <w:p w14:paraId="1DA3C66F"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p>
        </w:tc>
        <w:tc>
          <w:tcPr>
            <w:tcW w:w="6540" w:type="dxa"/>
            <w:gridSpan w:val="3"/>
            <w:tcBorders>
              <w:top w:val="nil"/>
              <w:left w:val="nil"/>
              <w:bottom w:val="single" w:sz="4" w:space="0" w:color="auto"/>
              <w:right w:val="single" w:sz="4" w:space="0" w:color="auto"/>
            </w:tcBorders>
          </w:tcPr>
          <w:p w14:paraId="2F00636C"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Phone: </w:t>
            </w:r>
          </w:p>
        </w:tc>
      </w:tr>
      <w:tr w:rsidR="002D7080" w:rsidRPr="004D1E6F" w14:paraId="201629C8" w14:textId="77777777" w:rsidTr="002E2C37">
        <w:trPr>
          <w:cantSplit/>
          <w:trHeight w:val="188"/>
        </w:trPr>
        <w:tc>
          <w:tcPr>
            <w:tcW w:w="2250" w:type="dxa"/>
            <w:vMerge w:val="restart"/>
            <w:tcBorders>
              <w:left w:val="single" w:sz="4" w:space="0" w:color="auto"/>
              <w:right w:val="single" w:sz="4" w:space="0" w:color="auto"/>
            </w:tcBorders>
            <w:noWrap/>
          </w:tcPr>
          <w:p w14:paraId="4E1DAFB1"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Expert (2)</w:t>
            </w:r>
          </w:p>
        </w:tc>
        <w:tc>
          <w:tcPr>
            <w:tcW w:w="6540" w:type="dxa"/>
            <w:gridSpan w:val="3"/>
            <w:tcBorders>
              <w:top w:val="nil"/>
              <w:left w:val="nil"/>
              <w:bottom w:val="single" w:sz="4" w:space="0" w:color="auto"/>
              <w:right w:val="single" w:sz="4" w:space="0" w:color="auto"/>
            </w:tcBorders>
          </w:tcPr>
          <w:p w14:paraId="63E9EC2B"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Name:</w:t>
            </w:r>
          </w:p>
        </w:tc>
      </w:tr>
      <w:tr w:rsidR="002D7080" w:rsidRPr="004D1E6F" w14:paraId="41390DC6" w14:textId="77777777" w:rsidTr="002E2C37">
        <w:trPr>
          <w:cantSplit/>
          <w:trHeight w:val="215"/>
        </w:trPr>
        <w:tc>
          <w:tcPr>
            <w:tcW w:w="2250" w:type="dxa"/>
            <w:vMerge/>
            <w:tcBorders>
              <w:left w:val="single" w:sz="4" w:space="0" w:color="auto"/>
              <w:right w:val="single" w:sz="4" w:space="0" w:color="auto"/>
            </w:tcBorders>
            <w:noWrap/>
          </w:tcPr>
          <w:p w14:paraId="0D4D9050"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p>
        </w:tc>
        <w:tc>
          <w:tcPr>
            <w:tcW w:w="6540" w:type="dxa"/>
            <w:gridSpan w:val="3"/>
            <w:tcBorders>
              <w:top w:val="nil"/>
              <w:left w:val="nil"/>
              <w:bottom w:val="single" w:sz="4" w:space="0" w:color="auto"/>
              <w:right w:val="single" w:sz="4" w:space="0" w:color="auto"/>
            </w:tcBorders>
          </w:tcPr>
          <w:p w14:paraId="73A5F871"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email:</w:t>
            </w:r>
          </w:p>
        </w:tc>
      </w:tr>
      <w:tr w:rsidR="002D7080" w:rsidRPr="004D1E6F" w14:paraId="2C043D4B" w14:textId="77777777" w:rsidTr="002E2C37">
        <w:trPr>
          <w:cantSplit/>
          <w:trHeight w:val="242"/>
        </w:trPr>
        <w:tc>
          <w:tcPr>
            <w:tcW w:w="2250" w:type="dxa"/>
            <w:vMerge/>
            <w:tcBorders>
              <w:left w:val="single" w:sz="4" w:space="0" w:color="auto"/>
              <w:bottom w:val="single" w:sz="4" w:space="0" w:color="auto"/>
              <w:right w:val="single" w:sz="4" w:space="0" w:color="auto"/>
            </w:tcBorders>
            <w:noWrap/>
          </w:tcPr>
          <w:p w14:paraId="44D22F2F"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p>
        </w:tc>
        <w:tc>
          <w:tcPr>
            <w:tcW w:w="6540" w:type="dxa"/>
            <w:gridSpan w:val="3"/>
            <w:tcBorders>
              <w:top w:val="nil"/>
              <w:left w:val="nil"/>
              <w:bottom w:val="single" w:sz="4" w:space="0" w:color="auto"/>
              <w:right w:val="single" w:sz="4" w:space="0" w:color="auto"/>
            </w:tcBorders>
          </w:tcPr>
          <w:p w14:paraId="4E68F823"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Phone:</w:t>
            </w:r>
          </w:p>
        </w:tc>
      </w:tr>
      <w:tr w:rsidR="002D7080" w:rsidRPr="004D1E6F" w14:paraId="37ABD3C8" w14:textId="77777777" w:rsidTr="002E2C37">
        <w:trPr>
          <w:cantSplit/>
          <w:trHeight w:val="260"/>
        </w:trPr>
        <w:tc>
          <w:tcPr>
            <w:tcW w:w="8790" w:type="dxa"/>
            <w:gridSpan w:val="4"/>
            <w:tcBorders>
              <w:top w:val="nil"/>
              <w:left w:val="single" w:sz="4" w:space="0" w:color="auto"/>
              <w:bottom w:val="single" w:sz="4" w:space="0" w:color="auto"/>
              <w:right w:val="single" w:sz="4" w:space="0" w:color="auto"/>
            </w:tcBorders>
            <w:noWrap/>
          </w:tcPr>
          <w:p w14:paraId="39B03346"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none </w:t>
            </w:r>
          </w:p>
        </w:tc>
      </w:tr>
      <w:tr w:rsidR="002D7080" w:rsidRPr="004D1E6F" w14:paraId="4ED8195B" w14:textId="77777777" w:rsidTr="002E2C37">
        <w:trPr>
          <w:cantSplit/>
          <w:trHeight w:val="365"/>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55E860D8"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BAC4 Scientific name of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under assessment</w:t>
            </w:r>
          </w:p>
        </w:tc>
      </w:tr>
      <w:tr w:rsidR="002D7080" w:rsidRPr="004D1E6F" w14:paraId="1EACCFFC" w14:textId="77777777" w:rsidTr="002E2C37">
        <w:trPr>
          <w:cantSplit/>
          <w:trHeight w:val="233"/>
        </w:trPr>
        <w:tc>
          <w:tcPr>
            <w:tcW w:w="6124" w:type="dxa"/>
            <w:gridSpan w:val="3"/>
            <w:tcBorders>
              <w:top w:val="nil"/>
              <w:left w:val="single" w:sz="4" w:space="0" w:color="auto"/>
              <w:bottom w:val="single" w:sz="4" w:space="0" w:color="auto"/>
              <w:right w:val="single" w:sz="4" w:space="0" w:color="auto"/>
            </w:tcBorders>
            <w:noWrap/>
          </w:tcPr>
          <w:p w14:paraId="53519E8F"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name: </w:t>
            </w:r>
            <w:r w:rsidRPr="004D1E6F">
              <w:rPr>
                <w:rFonts w:ascii="Times New Roman" w:eastAsia="Times New Roman" w:hAnsi="Times New Roman" w:cs="Times New Roman"/>
                <w:i/>
                <w:iCs/>
                <w:color w:val="000000"/>
                <w:sz w:val="20"/>
                <w:szCs w:val="20"/>
                <w:lang w:eastAsia="en-ZA"/>
              </w:rPr>
              <w:t>Faxonius juvenilis</w:t>
            </w:r>
          </w:p>
        </w:tc>
        <w:tc>
          <w:tcPr>
            <w:tcW w:w="2666" w:type="dxa"/>
            <w:tcBorders>
              <w:top w:val="nil"/>
              <w:left w:val="nil"/>
              <w:bottom w:val="single" w:sz="4" w:space="0" w:color="auto"/>
              <w:right w:val="single" w:sz="4" w:space="0" w:color="auto"/>
            </w:tcBorders>
            <w:hideMark/>
          </w:tcPr>
          <w:p w14:paraId="7D3CC05E"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Authority: </w:t>
            </w:r>
            <w:r w:rsidRPr="004D1E6F">
              <w:rPr>
                <w:rFonts w:ascii="Times New Roman" w:eastAsia="Calibri" w:hAnsi="Times New Roman" w:cs="Times New Roman"/>
                <w:color w:val="000000"/>
                <w:sz w:val="20"/>
                <w:szCs w:val="18"/>
                <w:shd w:val="clear" w:color="auto" w:fill="FFFFFF"/>
              </w:rPr>
              <w:t>(Hagen,1870</w:t>
            </w:r>
            <w:r w:rsidRPr="004D1E6F">
              <w:rPr>
                <w:rFonts w:ascii="Times New Roman" w:eastAsia="Times New Roman" w:hAnsi="Times New Roman" w:cs="Times New Roman"/>
                <w:color w:val="000000"/>
                <w:szCs w:val="20"/>
                <w:lang w:eastAsia="en-ZA"/>
              </w:rPr>
              <w:t>)</w:t>
            </w:r>
          </w:p>
        </w:tc>
      </w:tr>
      <w:tr w:rsidR="002D7080" w:rsidRPr="004D1E6F" w14:paraId="1793E293" w14:textId="77777777" w:rsidTr="002E2C37">
        <w:trPr>
          <w:cantSplit/>
          <w:trHeight w:val="424"/>
        </w:trPr>
        <w:tc>
          <w:tcPr>
            <w:tcW w:w="8790" w:type="dxa"/>
            <w:gridSpan w:val="4"/>
            <w:tcBorders>
              <w:top w:val="nil"/>
              <w:left w:val="single" w:sz="4" w:space="0" w:color="auto"/>
              <w:bottom w:val="single" w:sz="4" w:space="0" w:color="auto"/>
              <w:right w:val="single" w:sz="4" w:space="0" w:color="auto"/>
            </w:tcBorders>
            <w:noWrap/>
          </w:tcPr>
          <w:p w14:paraId="66B3B782" w14:textId="77777777" w:rsidR="002D7080" w:rsidRPr="004D1E6F" w:rsidRDefault="002D7080" w:rsidP="000149CE">
            <w:pPr>
              <w:spacing w:after="0"/>
              <w:jc w:val="both"/>
              <w:rPr>
                <w:rFonts w:ascii="Times New Roman" w:eastAsia="Calibri" w:hAnsi="Times New Roman" w:cs="Times New Roman"/>
                <w:color w:val="0E101A"/>
                <w:sz w:val="20"/>
              </w:rPr>
            </w:pPr>
            <w:r w:rsidRPr="004D1E6F">
              <w:rPr>
                <w:rFonts w:ascii="Times New Roman" w:eastAsia="Calibri" w:hAnsi="Times New Roman" w:cs="Times New Roman"/>
                <w:color w:val="0E101A"/>
                <w:sz w:val="20"/>
              </w:rPr>
              <w:t xml:space="preserve">Comments: The group of surface-dwelling crayfish in the </w:t>
            </w:r>
            <w:r w:rsidRPr="004D1E6F">
              <w:rPr>
                <w:rFonts w:ascii="Times New Roman" w:eastAsia="Calibri" w:hAnsi="Times New Roman" w:cs="Times New Roman"/>
                <w:i/>
                <w:iCs/>
                <w:color w:val="0E101A"/>
                <w:sz w:val="20"/>
              </w:rPr>
              <w:t>Orconectes</w:t>
            </w:r>
            <w:r w:rsidRPr="004D1E6F">
              <w:rPr>
                <w:rFonts w:ascii="Times New Roman" w:eastAsia="Calibri" w:hAnsi="Times New Roman" w:cs="Times New Roman"/>
                <w:color w:val="0E101A"/>
                <w:sz w:val="20"/>
              </w:rPr>
              <w:t xml:space="preserve"> genus was moved to </w:t>
            </w:r>
            <w:r w:rsidRPr="004D1E6F">
              <w:rPr>
                <w:rFonts w:ascii="Times New Roman" w:eastAsia="Calibri" w:hAnsi="Times New Roman" w:cs="Times New Roman"/>
                <w:i/>
                <w:iCs/>
                <w:color w:val="0E101A"/>
                <w:sz w:val="20"/>
              </w:rPr>
              <w:t xml:space="preserve">Faxonius </w:t>
            </w:r>
            <w:r w:rsidRPr="004D1E6F">
              <w:rPr>
                <w:rFonts w:ascii="Times New Roman" w:eastAsia="Calibri" w:hAnsi="Times New Roman" w:cs="Times New Roman"/>
                <w:color w:val="0E101A"/>
                <w:sz w:val="20"/>
              </w:rPr>
              <w:t xml:space="preserve">(Crandall &amp; De Grave 2017). The taxonomic status of </w:t>
            </w:r>
            <w:r w:rsidRPr="004D1E6F">
              <w:rPr>
                <w:rFonts w:ascii="Times New Roman" w:eastAsia="Calibri" w:hAnsi="Times New Roman" w:cs="Times New Roman"/>
                <w:i/>
                <w:iCs/>
                <w:color w:val="0E101A"/>
                <w:sz w:val="20"/>
              </w:rPr>
              <w:t>Faxonius juvenilis</w:t>
            </w:r>
            <w:r w:rsidRPr="004D1E6F">
              <w:rPr>
                <w:rFonts w:ascii="Times New Roman" w:eastAsia="Calibri" w:hAnsi="Times New Roman" w:cs="Times New Roman"/>
                <w:color w:val="0E101A"/>
                <w:sz w:val="20"/>
              </w:rPr>
              <w:t xml:space="preserve"> has been verified (GBIF 2024).</w:t>
            </w:r>
          </w:p>
        </w:tc>
      </w:tr>
      <w:tr w:rsidR="002D7080" w:rsidRPr="004D1E6F" w14:paraId="6087CFCB" w14:textId="77777777" w:rsidTr="002E2C37">
        <w:trPr>
          <w:cantSplit/>
          <w:trHeight w:val="402"/>
        </w:trPr>
        <w:tc>
          <w:tcPr>
            <w:tcW w:w="8790" w:type="dxa"/>
            <w:gridSpan w:val="4"/>
            <w:tcBorders>
              <w:top w:val="nil"/>
              <w:left w:val="single" w:sz="4" w:space="0" w:color="auto"/>
              <w:bottom w:val="single" w:sz="4" w:space="0" w:color="auto"/>
              <w:right w:val="single" w:sz="4" w:space="0" w:color="auto"/>
            </w:tcBorders>
            <w:noWrap/>
          </w:tcPr>
          <w:p w14:paraId="1F67EDE8"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711EA236" w14:textId="26414C87" w:rsidR="002D7080" w:rsidRPr="004D1E6F" w:rsidRDefault="002D7080" w:rsidP="000149CE">
            <w:pPr>
              <w:spacing w:after="0"/>
              <w:ind w:left="522" w:hanging="522"/>
              <w:jc w:val="both"/>
              <w:rPr>
                <w:rFonts w:ascii="Times New Roman" w:eastAsia="Times New Roman" w:hAnsi="Times New Roman" w:cs="Times New Roman"/>
                <w:color w:val="000000"/>
                <w:sz w:val="20"/>
                <w:lang w:eastAsia="en-ZA"/>
              </w:rPr>
            </w:pPr>
            <w:r w:rsidRPr="004D1E6F">
              <w:rPr>
                <w:rFonts w:ascii="Times New Roman" w:eastAsia="Times New Roman" w:hAnsi="Times New Roman" w:cs="Times New Roman"/>
                <w:color w:val="000000"/>
                <w:sz w:val="20"/>
                <w:lang w:eastAsia="en-ZA"/>
              </w:rPr>
              <w:t>Crandall</w:t>
            </w:r>
            <w:r>
              <w:rPr>
                <w:rFonts w:ascii="Times New Roman" w:eastAsia="Times New Roman" w:hAnsi="Times New Roman" w:cs="Times New Roman"/>
                <w:color w:val="000000"/>
                <w:sz w:val="20"/>
                <w:lang w:eastAsia="en-ZA"/>
              </w:rPr>
              <w:t>,</w:t>
            </w:r>
            <w:r w:rsidRPr="004D1E6F">
              <w:rPr>
                <w:rFonts w:ascii="Times New Roman" w:eastAsia="Times New Roman" w:hAnsi="Times New Roman" w:cs="Times New Roman"/>
                <w:color w:val="000000"/>
                <w:sz w:val="20"/>
                <w:lang w:eastAsia="en-ZA"/>
              </w:rPr>
              <w:t xml:space="preserve"> K</w:t>
            </w:r>
            <w:r>
              <w:rPr>
                <w:rFonts w:ascii="Times New Roman" w:eastAsia="Times New Roman" w:hAnsi="Times New Roman" w:cs="Times New Roman"/>
                <w:color w:val="000000"/>
                <w:sz w:val="20"/>
                <w:lang w:eastAsia="en-ZA"/>
              </w:rPr>
              <w:t>.</w:t>
            </w:r>
            <w:r w:rsidRPr="004D1E6F">
              <w:rPr>
                <w:rFonts w:ascii="Times New Roman" w:eastAsia="Times New Roman" w:hAnsi="Times New Roman" w:cs="Times New Roman"/>
                <w:color w:val="000000"/>
                <w:sz w:val="20"/>
                <w:lang w:eastAsia="en-ZA"/>
              </w:rPr>
              <w:t>A</w:t>
            </w:r>
            <w:r>
              <w:rPr>
                <w:rFonts w:ascii="Times New Roman" w:eastAsia="Times New Roman" w:hAnsi="Times New Roman" w:cs="Times New Roman"/>
                <w:color w:val="000000"/>
                <w:sz w:val="20"/>
                <w:lang w:eastAsia="en-ZA"/>
              </w:rPr>
              <w:t>. &amp;</w:t>
            </w:r>
            <w:r w:rsidRPr="004D1E6F">
              <w:rPr>
                <w:rFonts w:ascii="Times New Roman" w:eastAsia="Times New Roman" w:hAnsi="Times New Roman" w:cs="Times New Roman"/>
                <w:color w:val="000000"/>
                <w:sz w:val="20"/>
                <w:lang w:eastAsia="en-ZA"/>
              </w:rPr>
              <w:t xml:space="preserve"> De Grave</w:t>
            </w:r>
            <w:r>
              <w:rPr>
                <w:rFonts w:ascii="Times New Roman" w:eastAsia="Times New Roman" w:hAnsi="Times New Roman" w:cs="Times New Roman"/>
                <w:color w:val="000000"/>
                <w:sz w:val="20"/>
                <w:lang w:eastAsia="en-ZA"/>
              </w:rPr>
              <w:t>,</w:t>
            </w:r>
            <w:r w:rsidRPr="004D1E6F">
              <w:rPr>
                <w:rFonts w:ascii="Times New Roman" w:eastAsia="Times New Roman" w:hAnsi="Times New Roman" w:cs="Times New Roman"/>
                <w:color w:val="000000"/>
                <w:sz w:val="20"/>
                <w:lang w:eastAsia="en-ZA"/>
              </w:rPr>
              <w:t xml:space="preserve"> S</w:t>
            </w:r>
            <w:r>
              <w:rPr>
                <w:rFonts w:ascii="Times New Roman" w:eastAsia="Times New Roman" w:hAnsi="Times New Roman" w:cs="Times New Roman"/>
                <w:color w:val="000000"/>
                <w:sz w:val="20"/>
                <w:lang w:eastAsia="en-ZA"/>
              </w:rPr>
              <w:t>.</w:t>
            </w:r>
            <w:r w:rsidRPr="004D1E6F">
              <w:rPr>
                <w:rFonts w:ascii="Times New Roman" w:eastAsia="Times New Roman" w:hAnsi="Times New Roman" w:cs="Times New Roman"/>
                <w:color w:val="000000"/>
                <w:sz w:val="20"/>
                <w:lang w:eastAsia="en-ZA"/>
              </w:rPr>
              <w:t>, 2017</w:t>
            </w:r>
            <w:r>
              <w:rPr>
                <w:rFonts w:ascii="Times New Roman" w:eastAsia="Times New Roman" w:hAnsi="Times New Roman" w:cs="Times New Roman"/>
                <w:color w:val="000000"/>
                <w:sz w:val="20"/>
                <w:lang w:eastAsia="en-ZA"/>
              </w:rPr>
              <w:t>, ‘</w:t>
            </w:r>
            <w:r w:rsidRPr="004D1E6F">
              <w:rPr>
                <w:rFonts w:ascii="Times New Roman" w:eastAsia="Times New Roman" w:hAnsi="Times New Roman" w:cs="Times New Roman"/>
                <w:color w:val="000000"/>
                <w:sz w:val="20"/>
                <w:lang w:eastAsia="en-ZA"/>
              </w:rPr>
              <w:t>An updated classification of the freshwater crayfishes (Decapoda: Astacidea) of the world, with a complete species list</w:t>
            </w:r>
            <w:r>
              <w:rPr>
                <w:rFonts w:ascii="Times New Roman" w:eastAsia="Times New Roman" w:hAnsi="Times New Roman" w:cs="Times New Roman"/>
                <w:color w:val="000000"/>
                <w:sz w:val="20"/>
                <w:lang w:eastAsia="en-ZA"/>
              </w:rPr>
              <w:t>’,</w:t>
            </w:r>
            <w:r w:rsidRPr="004D1E6F">
              <w:rPr>
                <w:rFonts w:ascii="Times New Roman" w:eastAsia="Times New Roman" w:hAnsi="Times New Roman" w:cs="Times New Roman"/>
                <w:color w:val="000000"/>
                <w:sz w:val="20"/>
                <w:lang w:eastAsia="en-ZA"/>
              </w:rPr>
              <w:t xml:space="preserve"> </w:t>
            </w:r>
            <w:r w:rsidRPr="004D1E6F">
              <w:rPr>
                <w:rFonts w:ascii="Times New Roman" w:eastAsia="Times New Roman" w:hAnsi="Times New Roman" w:cs="Times New Roman"/>
                <w:i/>
                <w:color w:val="000000"/>
                <w:sz w:val="20"/>
                <w:lang w:eastAsia="en-ZA"/>
              </w:rPr>
              <w:t>Journal of Crustacean Biology</w:t>
            </w:r>
            <w:r>
              <w:rPr>
                <w:rFonts w:ascii="Times New Roman" w:eastAsia="Times New Roman" w:hAnsi="Times New Roman" w:cs="Times New Roman"/>
                <w:color w:val="000000"/>
                <w:sz w:val="20"/>
                <w:lang w:eastAsia="en-ZA"/>
              </w:rPr>
              <w:t xml:space="preserve">, </w:t>
            </w:r>
            <w:r w:rsidRPr="004D1E6F">
              <w:rPr>
                <w:rFonts w:ascii="Times New Roman" w:eastAsia="Times New Roman" w:hAnsi="Times New Roman" w:cs="Times New Roman"/>
                <w:color w:val="000000"/>
                <w:sz w:val="20"/>
                <w:lang w:eastAsia="en-ZA"/>
              </w:rPr>
              <w:t>27</w:t>
            </w:r>
            <w:r>
              <w:rPr>
                <w:rFonts w:ascii="Times New Roman" w:eastAsia="Times New Roman" w:hAnsi="Times New Roman" w:cs="Times New Roman"/>
                <w:color w:val="000000"/>
                <w:sz w:val="20"/>
                <w:lang w:eastAsia="en-ZA"/>
              </w:rPr>
              <w:t xml:space="preserve">, </w:t>
            </w:r>
            <w:r w:rsidRPr="004D1E6F">
              <w:rPr>
                <w:rFonts w:ascii="Times New Roman" w:eastAsia="Times New Roman" w:hAnsi="Times New Roman" w:cs="Times New Roman"/>
                <w:color w:val="000000"/>
                <w:sz w:val="20"/>
                <w:lang w:eastAsia="en-ZA"/>
              </w:rPr>
              <w:t>615</w:t>
            </w:r>
            <w:r w:rsidRPr="004D1E6F">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lang w:eastAsia="en-ZA"/>
              </w:rPr>
              <w:t>653.</w:t>
            </w:r>
            <w:r w:rsidR="00506D1D" w:rsidRPr="00506D1D">
              <w:rPr>
                <w:rFonts w:ascii="Times New Roman" w:eastAsia="Calibri" w:hAnsi="Times New Roman" w:cs="Times New Roman"/>
                <w:sz w:val="20"/>
                <w:szCs w:val="20"/>
              </w:rPr>
              <w:t xml:space="preserve"> </w:t>
            </w:r>
            <w:hyperlink r:id="rId220" w:history="1">
              <w:r w:rsidR="00506D1D" w:rsidRPr="00506D1D">
                <w:rPr>
                  <w:rStyle w:val="Hyperlink"/>
                  <w:rFonts w:ascii="Times New Roman" w:eastAsia="Times New Roman" w:hAnsi="Times New Roman" w:cs="Times New Roman"/>
                  <w:sz w:val="20"/>
                  <w:lang w:eastAsia="en-ZA"/>
                </w:rPr>
                <w:t>https://doi.org/10.1093/jcbiol/rux070</w:t>
              </w:r>
            </w:hyperlink>
            <w:r w:rsidR="00506D1D">
              <w:rPr>
                <w:rFonts w:ascii="Times New Roman" w:eastAsia="Times New Roman" w:hAnsi="Times New Roman" w:cs="Times New Roman"/>
                <w:color w:val="000000"/>
                <w:sz w:val="20"/>
                <w:lang w:eastAsia="en-ZA"/>
              </w:rPr>
              <w:t xml:space="preserve">. </w:t>
            </w:r>
          </w:p>
          <w:p w14:paraId="3F41F604" w14:textId="77777777" w:rsidR="002D7080" w:rsidRPr="004D1E6F" w:rsidRDefault="002D7080" w:rsidP="000149CE">
            <w:pPr>
              <w:spacing w:after="0"/>
              <w:ind w:left="522" w:hanging="522"/>
              <w:jc w:val="both"/>
              <w:rPr>
                <w:rFonts w:ascii="Times New Roman" w:eastAsia="Times New Roman" w:hAnsi="Times New Roman" w:cs="Times New Roman"/>
                <w:color w:val="000000"/>
                <w:sz w:val="20"/>
                <w:lang w:eastAsia="en-ZA"/>
              </w:rPr>
            </w:pPr>
            <w:r w:rsidRPr="004D1E6F">
              <w:rPr>
                <w:rFonts w:ascii="Times New Roman" w:eastAsia="Times New Roman" w:hAnsi="Times New Roman" w:cs="Times New Roman"/>
                <w:i/>
                <w:iCs/>
                <w:color w:val="000000"/>
                <w:sz w:val="20"/>
                <w:lang w:eastAsia="en-ZA"/>
              </w:rPr>
              <w:t>Faxonius juvenilis</w:t>
            </w:r>
            <w:r w:rsidRPr="004D1E6F">
              <w:rPr>
                <w:rFonts w:ascii="Times New Roman" w:eastAsia="Times New Roman" w:hAnsi="Times New Roman" w:cs="Times New Roman"/>
                <w:color w:val="000000"/>
                <w:sz w:val="20"/>
                <w:lang w:eastAsia="en-ZA"/>
              </w:rPr>
              <w:t xml:space="preserve"> (Hagen, 1870) in GBIF Secretariat (2023). GBIF Backbone Taxonomy. Checklist dataset https://doi.org/10.15468/39omei accessed via GBIF.org on 2024-07-09.</w:t>
            </w:r>
          </w:p>
        </w:tc>
      </w:tr>
      <w:tr w:rsidR="002D7080" w:rsidRPr="004D1E6F" w14:paraId="6670F9F2" w14:textId="77777777" w:rsidTr="002E2C37">
        <w:trPr>
          <w:cantSplit/>
          <w:trHeight w:val="278"/>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53B7E81"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BAC5 Synonym(s) considered</w:t>
            </w:r>
          </w:p>
        </w:tc>
      </w:tr>
      <w:tr w:rsidR="002D7080" w:rsidRPr="004D1E6F" w14:paraId="66BA868C" w14:textId="77777777" w:rsidTr="002E2C37">
        <w:trPr>
          <w:cantSplit/>
          <w:trHeight w:val="242"/>
        </w:trPr>
        <w:tc>
          <w:tcPr>
            <w:tcW w:w="8790" w:type="dxa"/>
            <w:gridSpan w:val="4"/>
            <w:tcBorders>
              <w:top w:val="single" w:sz="4" w:space="0" w:color="auto"/>
              <w:left w:val="single" w:sz="4" w:space="0" w:color="auto"/>
              <w:bottom w:val="single" w:sz="4" w:space="0" w:color="auto"/>
              <w:right w:val="single" w:sz="4" w:space="0" w:color="auto"/>
            </w:tcBorders>
            <w:noWrap/>
          </w:tcPr>
          <w:p w14:paraId="1731A603" w14:textId="77777777" w:rsidR="002D7080" w:rsidRPr="004D1E6F" w:rsidRDefault="002D7080" w:rsidP="000149CE">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Synonyms: </w:t>
            </w:r>
            <w:r w:rsidRPr="004D1E6F">
              <w:rPr>
                <w:rFonts w:ascii="Times New Roman" w:eastAsia="Times New Roman" w:hAnsi="Times New Roman" w:cs="Times New Roman"/>
                <w:i/>
                <w:iCs/>
                <w:color w:val="000000"/>
                <w:sz w:val="20"/>
                <w:szCs w:val="20"/>
                <w:lang w:eastAsia="en-ZA"/>
              </w:rPr>
              <w:t>Cambarus juvenilis</w:t>
            </w:r>
            <w:r w:rsidRPr="004D1E6F">
              <w:rPr>
                <w:rFonts w:ascii="Times New Roman" w:eastAsia="Times New Roman" w:hAnsi="Times New Roman" w:cs="Times New Roman"/>
                <w:color w:val="000000"/>
                <w:sz w:val="20"/>
                <w:szCs w:val="20"/>
                <w:lang w:eastAsia="en-ZA"/>
              </w:rPr>
              <w:t xml:space="preserve"> Hagen, 1870</w:t>
            </w:r>
          </w:p>
        </w:tc>
      </w:tr>
      <w:tr w:rsidR="002D7080" w:rsidRPr="004D1E6F" w14:paraId="79F0FB18"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1CC89150"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p>
          <w:p w14:paraId="557B657B" w14:textId="77777777" w:rsidR="002D7080" w:rsidRPr="004D1E6F" w:rsidRDefault="002D7080" w:rsidP="000149CE">
            <w:pPr>
              <w:spacing w:after="0"/>
              <w:jc w:val="both"/>
              <w:rPr>
                <w:rFonts w:ascii="Times New Roman" w:eastAsia="Times New Roman" w:hAnsi="Times New Roman" w:cs="Times New Roman"/>
                <w:i/>
                <w:color w:val="000000"/>
                <w:sz w:val="20"/>
                <w:szCs w:val="20"/>
                <w:lang w:eastAsia="en-ZA"/>
              </w:rPr>
            </w:pPr>
            <w:r w:rsidRPr="004D1E6F">
              <w:rPr>
                <w:rFonts w:ascii="Times New Roman" w:eastAsia="Times New Roman" w:hAnsi="Times New Roman" w:cs="Times New Roman"/>
                <w:color w:val="000000"/>
                <w:sz w:val="20"/>
                <w:szCs w:val="20"/>
                <w:lang w:eastAsia="en-ZA"/>
              </w:rPr>
              <w:t>The genus</w:t>
            </w:r>
            <w:r w:rsidRPr="004D1E6F">
              <w:rPr>
                <w:rFonts w:ascii="Times New Roman" w:eastAsia="Times New Roman" w:hAnsi="Times New Roman" w:cs="Times New Roman"/>
                <w:i/>
                <w:iCs/>
                <w:color w:val="000000"/>
                <w:sz w:val="20"/>
                <w:szCs w:val="20"/>
                <w:lang w:eastAsia="en-ZA"/>
              </w:rPr>
              <w:t xml:space="preserve"> Orconectes</w:t>
            </w:r>
            <w:r w:rsidRPr="004D1E6F">
              <w:rPr>
                <w:rFonts w:ascii="Times New Roman" w:eastAsia="Times New Roman" w:hAnsi="Times New Roman" w:cs="Times New Roman"/>
                <w:color w:val="000000"/>
                <w:sz w:val="20"/>
                <w:szCs w:val="20"/>
                <w:lang w:eastAsia="en-ZA"/>
              </w:rPr>
              <w:t xml:space="preserve"> previously included cave-dwelling and surface-dwelling crayfish (Crandall &amp; De Grave 2017). The non-cave dwelling crayfish in the </w:t>
            </w:r>
            <w:r w:rsidRPr="004D1E6F">
              <w:rPr>
                <w:rFonts w:ascii="Times New Roman" w:eastAsia="Times New Roman" w:hAnsi="Times New Roman" w:cs="Times New Roman"/>
                <w:i/>
                <w:iCs/>
                <w:color w:val="000000"/>
                <w:sz w:val="20"/>
                <w:szCs w:val="20"/>
                <w:lang w:eastAsia="en-ZA"/>
              </w:rPr>
              <w:t xml:space="preserve">Orconectes </w:t>
            </w:r>
            <w:r w:rsidRPr="004D1E6F">
              <w:rPr>
                <w:rFonts w:ascii="Times New Roman" w:eastAsia="Times New Roman" w:hAnsi="Times New Roman" w:cs="Times New Roman"/>
                <w:color w:val="000000"/>
                <w:sz w:val="20"/>
                <w:szCs w:val="20"/>
                <w:lang w:eastAsia="en-ZA"/>
              </w:rPr>
              <w:t xml:space="preserve">genus were moved to </w:t>
            </w:r>
            <w:r w:rsidRPr="004D1E6F">
              <w:rPr>
                <w:rFonts w:ascii="Times New Roman" w:eastAsia="Times New Roman" w:hAnsi="Times New Roman" w:cs="Times New Roman"/>
                <w:i/>
                <w:iCs/>
                <w:color w:val="000000"/>
                <w:sz w:val="20"/>
                <w:szCs w:val="20"/>
                <w:lang w:eastAsia="en-ZA"/>
              </w:rPr>
              <w:t>Faxonius</w:t>
            </w:r>
            <w:r w:rsidRPr="004D1E6F">
              <w:rPr>
                <w:rFonts w:ascii="Times New Roman" w:eastAsia="Times New Roman" w:hAnsi="Times New Roman" w:cs="Times New Roman"/>
                <w:color w:val="000000"/>
                <w:sz w:val="20"/>
                <w:szCs w:val="20"/>
                <w:lang w:eastAsia="en-ZA"/>
              </w:rPr>
              <w:t xml:space="preserve"> (Crandall &amp; De Grave 2017). </w:t>
            </w:r>
            <w:r w:rsidRPr="004D1E6F">
              <w:rPr>
                <w:rFonts w:ascii="Times New Roman" w:eastAsia="Times New Roman" w:hAnsi="Times New Roman" w:cs="Times New Roman"/>
                <w:iCs/>
                <w:sz w:val="20"/>
                <w:szCs w:val="20"/>
                <w:lang w:eastAsia="en-ZA"/>
              </w:rPr>
              <w:t>Therefore, the abovementioned synonym was used in the literature search of this risk analysis.</w:t>
            </w:r>
          </w:p>
        </w:tc>
      </w:tr>
      <w:tr w:rsidR="002D7080" w:rsidRPr="004D1E6F" w14:paraId="1FAD03BD"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2CDDB8A3"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510114DD" w14:textId="026F61C8" w:rsidR="002D7080" w:rsidRPr="004D1E6F" w:rsidRDefault="002D7080" w:rsidP="000149CE">
            <w:pPr>
              <w:spacing w:after="0"/>
              <w:ind w:left="522" w:hanging="522"/>
              <w:jc w:val="both"/>
              <w:rPr>
                <w:rFonts w:ascii="Times New Roman" w:eastAsia="Times New Roman" w:hAnsi="Times New Roman" w:cs="Times New Roman"/>
                <w:color w:val="000000"/>
                <w:sz w:val="20"/>
                <w:lang w:eastAsia="en-ZA"/>
              </w:rPr>
            </w:pPr>
            <w:bookmarkStart w:id="15" w:name="_Hlk213665591"/>
            <w:r w:rsidRPr="004D1E6F">
              <w:rPr>
                <w:rFonts w:ascii="Times New Roman" w:eastAsia="Times New Roman" w:hAnsi="Times New Roman" w:cs="Times New Roman"/>
                <w:color w:val="000000"/>
                <w:sz w:val="20"/>
                <w:lang w:eastAsia="en-ZA"/>
              </w:rPr>
              <w:t>Crandall</w:t>
            </w:r>
            <w:r>
              <w:rPr>
                <w:rFonts w:ascii="Times New Roman" w:eastAsia="Times New Roman" w:hAnsi="Times New Roman" w:cs="Times New Roman"/>
                <w:color w:val="000000"/>
                <w:sz w:val="20"/>
                <w:lang w:eastAsia="en-ZA"/>
              </w:rPr>
              <w:t>,</w:t>
            </w:r>
            <w:r w:rsidRPr="004D1E6F">
              <w:rPr>
                <w:rFonts w:ascii="Times New Roman" w:eastAsia="Times New Roman" w:hAnsi="Times New Roman" w:cs="Times New Roman"/>
                <w:color w:val="000000"/>
                <w:sz w:val="20"/>
                <w:lang w:eastAsia="en-ZA"/>
              </w:rPr>
              <w:t xml:space="preserve"> K</w:t>
            </w:r>
            <w:r>
              <w:rPr>
                <w:rFonts w:ascii="Times New Roman" w:eastAsia="Times New Roman" w:hAnsi="Times New Roman" w:cs="Times New Roman"/>
                <w:color w:val="000000"/>
                <w:sz w:val="20"/>
                <w:lang w:eastAsia="en-ZA"/>
              </w:rPr>
              <w:t>.</w:t>
            </w:r>
            <w:r w:rsidRPr="004D1E6F">
              <w:rPr>
                <w:rFonts w:ascii="Times New Roman" w:eastAsia="Times New Roman" w:hAnsi="Times New Roman" w:cs="Times New Roman"/>
                <w:color w:val="000000"/>
                <w:sz w:val="20"/>
                <w:lang w:eastAsia="en-ZA"/>
              </w:rPr>
              <w:t>A</w:t>
            </w:r>
            <w:r>
              <w:rPr>
                <w:rFonts w:ascii="Times New Roman" w:eastAsia="Times New Roman" w:hAnsi="Times New Roman" w:cs="Times New Roman"/>
                <w:color w:val="000000"/>
                <w:sz w:val="20"/>
                <w:lang w:eastAsia="en-ZA"/>
              </w:rPr>
              <w:t>. &amp;</w:t>
            </w:r>
            <w:r w:rsidRPr="004D1E6F">
              <w:rPr>
                <w:rFonts w:ascii="Times New Roman" w:eastAsia="Times New Roman" w:hAnsi="Times New Roman" w:cs="Times New Roman"/>
                <w:color w:val="000000"/>
                <w:sz w:val="20"/>
                <w:lang w:eastAsia="en-ZA"/>
              </w:rPr>
              <w:t xml:space="preserve"> De Grave</w:t>
            </w:r>
            <w:r>
              <w:rPr>
                <w:rFonts w:ascii="Times New Roman" w:eastAsia="Times New Roman" w:hAnsi="Times New Roman" w:cs="Times New Roman"/>
                <w:color w:val="000000"/>
                <w:sz w:val="20"/>
                <w:lang w:eastAsia="en-ZA"/>
              </w:rPr>
              <w:t>,</w:t>
            </w:r>
            <w:r w:rsidRPr="004D1E6F">
              <w:rPr>
                <w:rFonts w:ascii="Times New Roman" w:eastAsia="Times New Roman" w:hAnsi="Times New Roman" w:cs="Times New Roman"/>
                <w:color w:val="000000"/>
                <w:sz w:val="20"/>
                <w:lang w:eastAsia="en-ZA"/>
              </w:rPr>
              <w:t xml:space="preserve"> S</w:t>
            </w:r>
            <w:r>
              <w:rPr>
                <w:rFonts w:ascii="Times New Roman" w:eastAsia="Times New Roman" w:hAnsi="Times New Roman" w:cs="Times New Roman"/>
                <w:color w:val="000000"/>
                <w:sz w:val="20"/>
                <w:lang w:eastAsia="en-ZA"/>
              </w:rPr>
              <w:t>.</w:t>
            </w:r>
            <w:r w:rsidRPr="004D1E6F">
              <w:rPr>
                <w:rFonts w:ascii="Times New Roman" w:eastAsia="Times New Roman" w:hAnsi="Times New Roman" w:cs="Times New Roman"/>
                <w:color w:val="000000"/>
                <w:sz w:val="20"/>
                <w:lang w:eastAsia="en-ZA"/>
              </w:rPr>
              <w:t>, 2017</w:t>
            </w:r>
            <w:r>
              <w:rPr>
                <w:rFonts w:ascii="Times New Roman" w:eastAsia="Times New Roman" w:hAnsi="Times New Roman" w:cs="Times New Roman"/>
                <w:color w:val="000000"/>
                <w:sz w:val="20"/>
                <w:lang w:eastAsia="en-ZA"/>
              </w:rPr>
              <w:t>, ‘</w:t>
            </w:r>
            <w:r w:rsidRPr="004D1E6F">
              <w:rPr>
                <w:rFonts w:ascii="Times New Roman" w:eastAsia="Times New Roman" w:hAnsi="Times New Roman" w:cs="Times New Roman"/>
                <w:color w:val="000000"/>
                <w:sz w:val="20"/>
                <w:lang w:eastAsia="en-ZA"/>
              </w:rPr>
              <w:t>An updated classification of the freshwater crayfishes (Decapoda: Astacidea) of the world, with a complete species list</w:t>
            </w:r>
            <w:r>
              <w:rPr>
                <w:rFonts w:ascii="Times New Roman" w:eastAsia="Times New Roman" w:hAnsi="Times New Roman" w:cs="Times New Roman"/>
                <w:color w:val="000000"/>
                <w:sz w:val="20"/>
                <w:lang w:eastAsia="en-ZA"/>
              </w:rPr>
              <w:t>’,</w:t>
            </w:r>
            <w:r w:rsidRPr="004D1E6F">
              <w:rPr>
                <w:rFonts w:ascii="Times New Roman" w:eastAsia="Times New Roman" w:hAnsi="Times New Roman" w:cs="Times New Roman"/>
                <w:color w:val="000000"/>
                <w:sz w:val="20"/>
                <w:lang w:eastAsia="en-ZA"/>
              </w:rPr>
              <w:t xml:space="preserve"> </w:t>
            </w:r>
            <w:r w:rsidRPr="004D1E6F">
              <w:rPr>
                <w:rFonts w:ascii="Times New Roman" w:eastAsia="Times New Roman" w:hAnsi="Times New Roman" w:cs="Times New Roman"/>
                <w:i/>
                <w:color w:val="000000"/>
                <w:sz w:val="20"/>
                <w:lang w:eastAsia="en-ZA"/>
              </w:rPr>
              <w:t>Journal of Crustacean Biology</w:t>
            </w:r>
            <w:r>
              <w:rPr>
                <w:rFonts w:ascii="Times New Roman" w:eastAsia="Times New Roman" w:hAnsi="Times New Roman" w:cs="Times New Roman"/>
                <w:color w:val="000000"/>
                <w:sz w:val="20"/>
                <w:lang w:eastAsia="en-ZA"/>
              </w:rPr>
              <w:t xml:space="preserve">, </w:t>
            </w:r>
            <w:r w:rsidRPr="004D1E6F">
              <w:rPr>
                <w:rFonts w:ascii="Times New Roman" w:eastAsia="Times New Roman" w:hAnsi="Times New Roman" w:cs="Times New Roman"/>
                <w:color w:val="000000"/>
                <w:sz w:val="20"/>
                <w:lang w:eastAsia="en-ZA"/>
              </w:rPr>
              <w:t>27</w:t>
            </w:r>
            <w:r>
              <w:rPr>
                <w:rFonts w:ascii="Times New Roman" w:eastAsia="Times New Roman" w:hAnsi="Times New Roman" w:cs="Times New Roman"/>
                <w:color w:val="000000"/>
                <w:sz w:val="20"/>
                <w:lang w:eastAsia="en-ZA"/>
              </w:rPr>
              <w:t xml:space="preserve">, </w:t>
            </w:r>
            <w:r w:rsidRPr="004D1E6F">
              <w:rPr>
                <w:rFonts w:ascii="Times New Roman" w:eastAsia="Times New Roman" w:hAnsi="Times New Roman" w:cs="Times New Roman"/>
                <w:color w:val="000000"/>
                <w:sz w:val="20"/>
                <w:lang w:eastAsia="en-ZA"/>
              </w:rPr>
              <w:t>615</w:t>
            </w:r>
            <w:r w:rsidRPr="004D1E6F">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lang w:eastAsia="en-ZA"/>
              </w:rPr>
              <w:t>653.</w:t>
            </w:r>
            <w:r w:rsidRPr="00585E12">
              <w:rPr>
                <w:rFonts w:ascii="Times New Roman" w:hAnsi="Times New Roman" w:cs="Times New Roman"/>
                <w:sz w:val="20"/>
                <w:szCs w:val="20"/>
              </w:rPr>
              <w:t xml:space="preserve"> </w:t>
            </w:r>
            <w:hyperlink r:id="rId221" w:history="1">
              <w:r w:rsidR="00F1238C" w:rsidRPr="00F1238C">
                <w:rPr>
                  <w:rFonts w:ascii="Times New Roman" w:eastAsia="Calibri" w:hAnsi="Times New Roman" w:cs="Times New Roman"/>
                  <w:color w:val="0563C1"/>
                  <w:sz w:val="20"/>
                  <w:szCs w:val="20"/>
                  <w:u w:val="single"/>
                </w:rPr>
                <w:t>https://doi.org/10.1093/jcbiol/rux070</w:t>
              </w:r>
            </w:hyperlink>
          </w:p>
          <w:bookmarkEnd w:id="15"/>
          <w:p w14:paraId="318A3F59" w14:textId="77777777" w:rsidR="002D7080" w:rsidRPr="004D1E6F" w:rsidRDefault="002D7080" w:rsidP="000149CE">
            <w:pPr>
              <w:spacing w:after="0"/>
              <w:ind w:left="522" w:hanging="522"/>
              <w:jc w:val="both"/>
              <w:rPr>
                <w:rFonts w:ascii="Times New Roman" w:eastAsia="Times New Roman" w:hAnsi="Times New Roman" w:cs="Times New Roman"/>
                <w:color w:val="000000"/>
                <w:sz w:val="20"/>
                <w:lang w:eastAsia="en-ZA"/>
              </w:rPr>
            </w:pPr>
            <w:r w:rsidRPr="004D1E6F">
              <w:rPr>
                <w:rFonts w:ascii="Times New Roman" w:eastAsia="Times New Roman" w:hAnsi="Times New Roman" w:cs="Times New Roman"/>
                <w:i/>
                <w:iCs/>
                <w:color w:val="000000"/>
                <w:sz w:val="20"/>
                <w:lang w:eastAsia="en-ZA"/>
              </w:rPr>
              <w:t>Faxonius juvenilis</w:t>
            </w:r>
            <w:r w:rsidRPr="004D1E6F">
              <w:rPr>
                <w:rFonts w:ascii="Times New Roman" w:eastAsia="Times New Roman" w:hAnsi="Times New Roman" w:cs="Times New Roman"/>
                <w:color w:val="000000"/>
                <w:sz w:val="20"/>
                <w:lang w:eastAsia="en-ZA"/>
              </w:rPr>
              <w:t xml:space="preserve"> (Hagen, 1870) in GBIF Secretariat (2023). GBIF Backbone Taxonomy. Checklist dataset </w:t>
            </w:r>
            <w:hyperlink r:id="rId222" w:history="1">
              <w:r w:rsidRPr="000B0DAE">
                <w:rPr>
                  <w:rStyle w:val="Hyperlink"/>
                  <w:rFonts w:ascii="Times New Roman" w:eastAsia="Times New Roman" w:hAnsi="Times New Roman" w:cs="Times New Roman"/>
                  <w:sz w:val="20"/>
                  <w:lang w:eastAsia="en-ZA"/>
                </w:rPr>
                <w:t>https://doi.org/10.15468/39omei</w:t>
              </w:r>
            </w:hyperlink>
            <w:r>
              <w:rPr>
                <w:rFonts w:ascii="Times New Roman" w:eastAsia="Times New Roman" w:hAnsi="Times New Roman" w:cs="Times New Roman"/>
                <w:color w:val="000000"/>
                <w:sz w:val="20"/>
                <w:lang w:eastAsia="en-ZA"/>
              </w:rPr>
              <w:t xml:space="preserve"> </w:t>
            </w:r>
            <w:r w:rsidRPr="004D1E6F">
              <w:rPr>
                <w:rFonts w:ascii="Times New Roman" w:eastAsia="Times New Roman" w:hAnsi="Times New Roman" w:cs="Times New Roman"/>
                <w:color w:val="000000"/>
                <w:sz w:val="20"/>
                <w:lang w:eastAsia="en-ZA"/>
              </w:rPr>
              <w:t xml:space="preserve"> accessed via GBIF.org on 2024-07-09.</w:t>
            </w:r>
          </w:p>
        </w:tc>
      </w:tr>
      <w:tr w:rsidR="002D7080" w:rsidRPr="004D1E6F" w14:paraId="690AE0F1" w14:textId="77777777" w:rsidTr="002E2C37">
        <w:trPr>
          <w:cantSplit/>
          <w:trHeight w:val="197"/>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B752B4C" w14:textId="77777777" w:rsidR="002D7080" w:rsidRPr="004D1E6F" w:rsidRDefault="002D7080" w:rsidP="000149CE">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lastRenderedPageBreak/>
              <w:t>BAC6 Common name(s) considered</w:t>
            </w:r>
          </w:p>
        </w:tc>
      </w:tr>
      <w:tr w:rsidR="002D7080" w:rsidRPr="004D1E6F" w14:paraId="656A5B9B"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616471B0" w14:textId="77777777" w:rsidR="002D7080" w:rsidRPr="004D1E6F" w:rsidRDefault="002D7080" w:rsidP="000149CE">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Common names: Kentucky River crayfish</w:t>
            </w:r>
          </w:p>
        </w:tc>
      </w:tr>
      <w:tr w:rsidR="002D7080" w:rsidRPr="004D1E6F" w14:paraId="5E7707B9"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3C492E03" w14:textId="77777777" w:rsidR="002D7080" w:rsidRPr="004D1E6F" w:rsidRDefault="002D7080" w:rsidP="000D205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Comments: </w:t>
            </w:r>
            <w:r w:rsidRPr="004D1E6F">
              <w:rPr>
                <w:rFonts w:ascii="Times New Roman" w:eastAsia="Times New Roman" w:hAnsi="Times New Roman" w:cs="Times New Roman"/>
                <w:sz w:val="20"/>
                <w:szCs w:val="20"/>
                <w:lang w:eastAsia="en-ZA"/>
              </w:rPr>
              <w:t xml:space="preserve">Literature indicates that this the common name for </w:t>
            </w:r>
            <w:r w:rsidRPr="004D1E6F">
              <w:rPr>
                <w:rFonts w:ascii="Times New Roman" w:eastAsia="Times New Roman" w:hAnsi="Times New Roman" w:cs="Times New Roman"/>
                <w:i/>
                <w:iCs/>
                <w:sz w:val="20"/>
                <w:szCs w:val="20"/>
                <w:lang w:eastAsia="en-ZA"/>
              </w:rPr>
              <w:t xml:space="preserve">F. juvenilis </w:t>
            </w:r>
            <w:r w:rsidRPr="004D1E6F">
              <w:rPr>
                <w:rFonts w:ascii="Times New Roman" w:eastAsia="Times New Roman" w:hAnsi="Times New Roman" w:cs="Times New Roman"/>
                <w:sz w:val="20"/>
                <w:szCs w:val="20"/>
                <w:lang w:eastAsia="en-ZA"/>
              </w:rPr>
              <w:t>and therefore it was used in the literature search of this risk analysis (Adams et al. 2010; GBIF 2023)</w:t>
            </w:r>
          </w:p>
        </w:tc>
      </w:tr>
      <w:tr w:rsidR="002D7080" w:rsidRPr="004D1E6F" w14:paraId="6EA14C9E"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17702DDC" w14:textId="77777777" w:rsidR="002D7080" w:rsidRPr="004D1E6F" w:rsidRDefault="002D7080" w:rsidP="000D205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459C08BE" w14:textId="4E8D80E4" w:rsidR="002D7080" w:rsidRPr="004D1E6F" w:rsidRDefault="002D7080" w:rsidP="000D2051">
            <w:pPr>
              <w:spacing w:after="0"/>
              <w:ind w:left="457" w:hanging="457"/>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Adams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Schuster</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G</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w:t>
            </w:r>
            <w:r>
              <w:rPr>
                <w:rFonts w:ascii="Times New Roman" w:eastAsia="Times New Roman" w:hAnsi="Times New Roman" w:cs="Times New Roman"/>
                <w:color w:val="000000"/>
                <w:sz w:val="20"/>
                <w:szCs w:val="20"/>
                <w:lang w:eastAsia="en-ZA"/>
              </w:rPr>
              <w:t xml:space="preserve">. &amp; </w:t>
            </w:r>
            <w:r w:rsidRPr="004D1E6F">
              <w:rPr>
                <w:rFonts w:ascii="Times New Roman" w:eastAsia="Times New Roman" w:hAnsi="Times New Roman" w:cs="Times New Roman"/>
                <w:color w:val="000000"/>
                <w:sz w:val="20"/>
                <w:szCs w:val="20"/>
                <w:lang w:eastAsia="en-ZA"/>
              </w:rPr>
              <w:t>Taylor</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C</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 2010</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i/>
                <w:iCs/>
                <w:color w:val="000000"/>
                <w:sz w:val="20"/>
                <w:szCs w:val="20"/>
                <w:lang w:eastAsia="en-ZA"/>
              </w:rPr>
              <w:t>Orconectes juvenilis</w:t>
            </w:r>
            <w:r>
              <w:rPr>
                <w:rFonts w:ascii="Times New Roman" w:eastAsia="Times New Roman" w:hAnsi="Times New Roman" w:cs="Times New Roman"/>
                <w:i/>
                <w:iCs/>
                <w:color w:val="000000"/>
                <w:sz w:val="20"/>
                <w:szCs w:val="20"/>
                <w:lang w:eastAsia="en-ZA"/>
              </w:rPr>
              <w:t>’</w:t>
            </w:r>
            <w:r w:rsidRPr="004D1E6F">
              <w:rPr>
                <w:rFonts w:ascii="Times New Roman" w:eastAsia="Times New Roman" w:hAnsi="Times New Roman" w:cs="Times New Roman"/>
                <w:color w:val="000000"/>
                <w:sz w:val="20"/>
                <w:szCs w:val="20"/>
                <w:lang w:eastAsia="en-ZA"/>
              </w:rPr>
              <w:t>. </w:t>
            </w:r>
            <w:r w:rsidRPr="004D1E6F">
              <w:rPr>
                <w:rFonts w:ascii="Times New Roman" w:eastAsia="Times New Roman" w:hAnsi="Times New Roman" w:cs="Times New Roman"/>
                <w:i/>
                <w:iCs/>
                <w:color w:val="000000"/>
                <w:sz w:val="20"/>
                <w:szCs w:val="20"/>
                <w:lang w:eastAsia="en-ZA"/>
              </w:rPr>
              <w:t>The IUCN Red List of Threatened Species</w:t>
            </w:r>
            <w:r w:rsidRPr="004D1E6F">
              <w:rPr>
                <w:rFonts w:ascii="Times New Roman" w:eastAsia="Times New Roman" w:hAnsi="Times New Roman" w:cs="Times New Roman"/>
                <w:color w:val="000000"/>
                <w:sz w:val="20"/>
                <w:szCs w:val="20"/>
                <w:lang w:eastAsia="en-ZA"/>
              </w:rPr>
              <w:t xml:space="preserve"> 2010:</w:t>
            </w:r>
            <w:r w:rsidR="00506D1D">
              <w:rPr>
                <w:rFonts w:ascii="Times New Roman" w:eastAsia="Times New Roman" w:hAnsi="Times New Roman" w:cs="Times New Roman"/>
                <w:color w:val="000000"/>
                <w:sz w:val="20"/>
                <w:szCs w:val="20"/>
                <w:lang w:eastAsia="en-ZA"/>
              </w:rPr>
              <w:t xml:space="preserve"> </w:t>
            </w:r>
            <w:r w:rsidR="00506D1D" w:rsidRPr="00506D1D">
              <w:rPr>
                <w:rFonts w:ascii="Times New Roman" w:eastAsia="Times New Roman" w:hAnsi="Times New Roman" w:cs="Times New Roman"/>
                <w:color w:val="000000"/>
                <w:sz w:val="20"/>
                <w:szCs w:val="20"/>
                <w:lang w:eastAsia="en-ZA"/>
              </w:rPr>
              <w:t>https://www.iucnredlist.org/species/153954/4568495</w:t>
            </w:r>
            <w:r w:rsidRPr="004D1E6F">
              <w:rPr>
                <w:rFonts w:ascii="Times New Roman" w:eastAsia="Times New Roman" w:hAnsi="Times New Roman" w:cs="Times New Roman"/>
                <w:color w:val="000000"/>
                <w:sz w:val="20"/>
                <w:szCs w:val="20"/>
                <w:lang w:eastAsia="en-ZA"/>
              </w:rPr>
              <w:t>.</w:t>
            </w:r>
          </w:p>
          <w:p w14:paraId="0E08473B" w14:textId="77777777" w:rsidR="002D7080" w:rsidRPr="004D1E6F" w:rsidRDefault="002D7080" w:rsidP="000D2051">
            <w:pPr>
              <w:spacing w:after="0"/>
              <w:ind w:left="457" w:hanging="457"/>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iCs/>
                <w:color w:val="000000"/>
                <w:sz w:val="20"/>
                <w:lang w:eastAsia="en-ZA"/>
              </w:rPr>
              <w:t>Faxonius juvenilis</w:t>
            </w:r>
            <w:r w:rsidRPr="004D1E6F">
              <w:rPr>
                <w:rFonts w:ascii="Times New Roman" w:eastAsia="Times New Roman" w:hAnsi="Times New Roman" w:cs="Times New Roman"/>
                <w:color w:val="000000"/>
                <w:sz w:val="20"/>
                <w:lang w:eastAsia="en-ZA"/>
              </w:rPr>
              <w:t xml:space="preserve"> (Hagen, 1870) in GBIF Secretariat (2023). GBIF Backbone Taxonomy. Checklist dataset </w:t>
            </w:r>
            <w:hyperlink r:id="rId223" w:history="1">
              <w:r w:rsidRPr="000B0DAE">
                <w:rPr>
                  <w:rStyle w:val="Hyperlink"/>
                  <w:rFonts w:ascii="Times New Roman" w:eastAsia="Times New Roman" w:hAnsi="Times New Roman" w:cs="Times New Roman"/>
                  <w:sz w:val="20"/>
                  <w:lang w:eastAsia="en-ZA"/>
                </w:rPr>
                <w:t>https://doi.org/10.15468/39omei</w:t>
              </w:r>
            </w:hyperlink>
            <w:r>
              <w:rPr>
                <w:rFonts w:ascii="Times New Roman" w:eastAsia="Times New Roman" w:hAnsi="Times New Roman" w:cs="Times New Roman"/>
                <w:color w:val="000000"/>
                <w:sz w:val="20"/>
                <w:lang w:eastAsia="en-ZA"/>
              </w:rPr>
              <w:t xml:space="preserve"> </w:t>
            </w:r>
            <w:r w:rsidRPr="004D1E6F">
              <w:rPr>
                <w:rFonts w:ascii="Times New Roman" w:eastAsia="Times New Roman" w:hAnsi="Times New Roman" w:cs="Times New Roman"/>
                <w:color w:val="000000"/>
                <w:sz w:val="20"/>
                <w:lang w:eastAsia="en-ZA"/>
              </w:rPr>
              <w:t xml:space="preserve"> accessed via GBIF.org on 2024-07-09.</w:t>
            </w:r>
            <w:r w:rsidRPr="004D1E6F">
              <w:rPr>
                <w:rFonts w:ascii="Times New Roman" w:eastAsia="Times New Roman" w:hAnsi="Times New Roman" w:cs="Times New Roman"/>
                <w:color w:val="000000"/>
                <w:sz w:val="20"/>
                <w:szCs w:val="20"/>
                <w:lang w:eastAsia="en-ZA"/>
              </w:rPr>
              <w:tab/>
              <w:t xml:space="preserve"> </w:t>
            </w:r>
          </w:p>
        </w:tc>
      </w:tr>
      <w:tr w:rsidR="002D7080" w:rsidRPr="004D1E6F" w14:paraId="0AA9BB87"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D052D5A" w14:textId="77777777" w:rsidR="002D7080" w:rsidRPr="004D1E6F" w:rsidRDefault="002D7080" w:rsidP="000D205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BAC7 What is the native range of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(add map in Appendix BAC7)</w:t>
            </w:r>
          </w:p>
        </w:tc>
      </w:tr>
      <w:tr w:rsidR="002D7080" w:rsidRPr="004D1E6F" w14:paraId="463DD1B8" w14:textId="77777777" w:rsidTr="002E2C37">
        <w:trPr>
          <w:cantSplit/>
          <w:trHeight w:val="134"/>
        </w:trPr>
        <w:tc>
          <w:tcPr>
            <w:tcW w:w="6124" w:type="dxa"/>
            <w:gridSpan w:val="3"/>
            <w:tcBorders>
              <w:top w:val="single" w:sz="4" w:space="0" w:color="auto"/>
              <w:left w:val="single" w:sz="4" w:space="0" w:color="auto"/>
              <w:bottom w:val="single" w:sz="4" w:space="0" w:color="auto"/>
              <w:right w:val="single" w:sz="4" w:space="0" w:color="auto"/>
            </w:tcBorders>
            <w:noWrap/>
          </w:tcPr>
          <w:p w14:paraId="2C8BD7C0" w14:textId="77777777" w:rsidR="002D7080" w:rsidRPr="004D1E6F" w:rsidRDefault="002D7080" w:rsidP="000D2051">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w:t>
            </w:r>
            <w:r w:rsidRPr="004D1E6F">
              <w:rPr>
                <w:rFonts w:ascii="Times New Roman" w:eastAsia="Calibri" w:hAnsi="Times New Roman" w:cs="Times New Roman"/>
                <w:sz w:val="20"/>
              </w:rPr>
              <w:t>United States of America (Indiana, Kentucky)</w:t>
            </w:r>
          </w:p>
        </w:tc>
        <w:tc>
          <w:tcPr>
            <w:tcW w:w="2666" w:type="dxa"/>
            <w:tcBorders>
              <w:top w:val="single" w:sz="4" w:space="0" w:color="auto"/>
              <w:left w:val="single" w:sz="4" w:space="0" w:color="auto"/>
              <w:bottom w:val="single" w:sz="4" w:space="0" w:color="auto"/>
              <w:right w:val="single" w:sz="4" w:space="0" w:color="auto"/>
            </w:tcBorders>
          </w:tcPr>
          <w:p w14:paraId="0BE0B2F3"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3163E3DE"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4CA35796" w14:textId="77777777" w:rsidR="002D7080" w:rsidRPr="004D1E6F" w:rsidRDefault="002D7080" w:rsidP="000D205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Comments: </w:t>
            </w:r>
            <w:r w:rsidRPr="004D1E6F">
              <w:rPr>
                <w:rFonts w:ascii="Times New Roman" w:eastAsia="Times New Roman" w:hAnsi="Times New Roman" w:cs="Times New Roman"/>
                <w:sz w:val="20"/>
                <w:szCs w:val="20"/>
                <w:lang w:eastAsia="en-ZA"/>
              </w:rPr>
              <w:t xml:space="preserve">The native range of </w:t>
            </w:r>
            <w:r w:rsidRPr="004D1E6F">
              <w:rPr>
                <w:rFonts w:ascii="Times New Roman" w:eastAsia="Times New Roman" w:hAnsi="Times New Roman" w:cs="Times New Roman"/>
                <w:i/>
                <w:iCs/>
                <w:sz w:val="20"/>
                <w:szCs w:val="20"/>
                <w:lang w:eastAsia="en-ZA"/>
              </w:rPr>
              <w:t xml:space="preserve">F. juvenilis </w:t>
            </w:r>
            <w:r w:rsidRPr="004D1E6F">
              <w:rPr>
                <w:rFonts w:ascii="Times New Roman" w:eastAsia="Times New Roman" w:hAnsi="Times New Roman" w:cs="Times New Roman"/>
                <w:sz w:val="20"/>
                <w:szCs w:val="20"/>
                <w:lang w:eastAsia="en-ZA"/>
              </w:rPr>
              <w:t>comprises the Ohio river basin, spanning tributaries in northcentral Kentucky and southeastern Indiana (Taylor 2000; Adams et al. 2010, Daniel 2024).</w:t>
            </w:r>
          </w:p>
        </w:tc>
      </w:tr>
      <w:tr w:rsidR="002D7080" w:rsidRPr="004D1E6F" w14:paraId="764AF602"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60299556" w14:textId="77777777" w:rsidR="002D7080" w:rsidRPr="004D1E6F" w:rsidRDefault="002D7080" w:rsidP="000D205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3652EE57" w14:textId="33A8EB63" w:rsidR="002D7080" w:rsidRPr="004D1E6F" w:rsidRDefault="002D7080" w:rsidP="00B904C1">
            <w:pPr>
              <w:spacing w:after="0"/>
              <w:ind w:left="457" w:hanging="457"/>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Adams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Schuster</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G</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w:t>
            </w:r>
            <w:r>
              <w:rPr>
                <w:rFonts w:ascii="Times New Roman" w:eastAsia="Times New Roman" w:hAnsi="Times New Roman" w:cs="Times New Roman"/>
                <w:color w:val="000000"/>
                <w:sz w:val="20"/>
                <w:szCs w:val="20"/>
                <w:lang w:eastAsia="en-ZA"/>
              </w:rPr>
              <w:t xml:space="preserve">. &amp; </w:t>
            </w:r>
            <w:r w:rsidRPr="004D1E6F">
              <w:rPr>
                <w:rFonts w:ascii="Times New Roman" w:eastAsia="Times New Roman" w:hAnsi="Times New Roman" w:cs="Times New Roman"/>
                <w:color w:val="000000"/>
                <w:sz w:val="20"/>
                <w:szCs w:val="20"/>
                <w:lang w:eastAsia="en-ZA"/>
              </w:rPr>
              <w:t>Taylor</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C</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 2010</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i/>
                <w:iCs/>
                <w:color w:val="000000"/>
                <w:sz w:val="20"/>
                <w:szCs w:val="20"/>
                <w:lang w:eastAsia="en-ZA"/>
              </w:rPr>
              <w:t>Orconectes juvenilis</w:t>
            </w:r>
            <w:r>
              <w:rPr>
                <w:rFonts w:ascii="Times New Roman" w:eastAsia="Times New Roman" w:hAnsi="Times New Roman" w:cs="Times New Roman"/>
                <w:i/>
                <w:iCs/>
                <w:color w:val="000000"/>
                <w:sz w:val="20"/>
                <w:szCs w:val="20"/>
                <w:lang w:eastAsia="en-ZA"/>
              </w:rPr>
              <w:t>’</w:t>
            </w:r>
            <w:r w:rsidRPr="004D1E6F">
              <w:rPr>
                <w:rFonts w:ascii="Times New Roman" w:eastAsia="Times New Roman" w:hAnsi="Times New Roman" w:cs="Times New Roman"/>
                <w:color w:val="000000"/>
                <w:sz w:val="20"/>
                <w:szCs w:val="20"/>
                <w:lang w:eastAsia="en-ZA"/>
              </w:rPr>
              <w:t>. </w:t>
            </w:r>
            <w:r w:rsidRPr="004D1E6F">
              <w:rPr>
                <w:rFonts w:ascii="Times New Roman" w:eastAsia="Times New Roman" w:hAnsi="Times New Roman" w:cs="Times New Roman"/>
                <w:i/>
                <w:iCs/>
                <w:color w:val="000000"/>
                <w:sz w:val="20"/>
                <w:szCs w:val="20"/>
                <w:lang w:eastAsia="en-ZA"/>
              </w:rPr>
              <w:t>The IUCN Red List of Threatened Species</w:t>
            </w:r>
            <w:r w:rsidRPr="004D1E6F">
              <w:rPr>
                <w:rFonts w:ascii="Times New Roman" w:eastAsia="Times New Roman" w:hAnsi="Times New Roman" w:cs="Times New Roman"/>
                <w:color w:val="000000"/>
                <w:sz w:val="20"/>
                <w:szCs w:val="20"/>
                <w:lang w:eastAsia="en-ZA"/>
              </w:rPr>
              <w:t xml:space="preserve"> 2010:</w:t>
            </w:r>
            <w:r w:rsidR="00506D1D">
              <w:rPr>
                <w:rFonts w:ascii="Times New Roman" w:eastAsia="Times New Roman" w:hAnsi="Times New Roman" w:cs="Times New Roman"/>
                <w:color w:val="000000"/>
                <w:sz w:val="20"/>
                <w:szCs w:val="20"/>
                <w:lang w:eastAsia="en-ZA"/>
              </w:rPr>
              <w:t xml:space="preserve"> </w:t>
            </w:r>
            <w:r w:rsidR="00506D1D" w:rsidRPr="00506D1D">
              <w:rPr>
                <w:rFonts w:ascii="Times New Roman" w:eastAsia="Times New Roman" w:hAnsi="Times New Roman" w:cs="Times New Roman"/>
                <w:color w:val="000000"/>
                <w:sz w:val="20"/>
                <w:szCs w:val="20"/>
                <w:lang w:eastAsia="en-ZA"/>
              </w:rPr>
              <w:t>https://www.iucnredlist.org/species/153954/4568495</w:t>
            </w:r>
            <w:r w:rsidRPr="004D1E6F">
              <w:rPr>
                <w:rFonts w:ascii="Times New Roman" w:eastAsia="Times New Roman" w:hAnsi="Times New Roman" w:cs="Times New Roman"/>
                <w:color w:val="000000"/>
                <w:sz w:val="20"/>
                <w:szCs w:val="20"/>
                <w:lang w:eastAsia="en-ZA"/>
              </w:rPr>
              <w:t>.</w:t>
            </w:r>
          </w:p>
          <w:p w14:paraId="268E613D" w14:textId="77777777" w:rsidR="002D7080" w:rsidRPr="004D1E6F" w:rsidRDefault="002D7080" w:rsidP="00B904C1">
            <w:pPr>
              <w:spacing w:after="0"/>
              <w:ind w:left="525" w:hanging="525"/>
              <w:jc w:val="both"/>
              <w:rPr>
                <w:rFonts w:ascii="Times New Roman" w:eastAsia="Times New Roman" w:hAnsi="Times New Roman" w:cs="Times New Roman"/>
                <w:color w:val="000000"/>
                <w:sz w:val="20"/>
                <w:szCs w:val="20"/>
                <w:lang w:eastAsia="en-ZA"/>
              </w:rPr>
            </w:pPr>
            <w:r w:rsidRPr="004D1E6F">
              <w:rPr>
                <w:rFonts w:ascii="Times New Roman" w:hAnsi="Times New Roman" w:cs="Times New Roman"/>
                <w:color w:val="000000"/>
                <w:sz w:val="20"/>
                <w:szCs w:val="20"/>
              </w:rPr>
              <w:t>Daniel, W.M., 2024, </w:t>
            </w:r>
            <w:r w:rsidRPr="004D1E6F">
              <w:rPr>
                <w:rFonts w:ascii="Times New Roman" w:hAnsi="Times New Roman" w:cs="Times New Roman"/>
                <w:i/>
                <w:iCs/>
                <w:color w:val="000000"/>
                <w:sz w:val="20"/>
                <w:szCs w:val="20"/>
              </w:rPr>
              <w:t>Faxonius juvenilis</w:t>
            </w:r>
            <w:r w:rsidRPr="004D1E6F">
              <w:rPr>
                <w:rFonts w:ascii="Times New Roman" w:hAnsi="Times New Roman" w:cs="Times New Roman"/>
                <w:color w:val="000000"/>
                <w:sz w:val="20"/>
                <w:szCs w:val="20"/>
              </w:rPr>
              <w:t xml:space="preserve"> (Hagen, 1870): U.S. Geological Survey, Nonindigenous Aquatic Species Database, Gainesville, FL, </w:t>
            </w:r>
            <w:hyperlink r:id="rId224" w:history="1">
              <w:r w:rsidRPr="000B0DAE">
                <w:rPr>
                  <w:rStyle w:val="Hyperlink"/>
                  <w:rFonts w:ascii="Times New Roman" w:hAnsi="Times New Roman" w:cs="Times New Roman"/>
                  <w:sz w:val="20"/>
                  <w:szCs w:val="20"/>
                </w:rPr>
                <w:t>https://nas.er.usgs.gov/queries/FactSheet.aspx?SpeciesID=2904</w:t>
              </w:r>
            </w:hyperlink>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 Revision Date: 6/14/2017, Access Date: 7/9/2024</w:t>
            </w:r>
          </w:p>
          <w:p w14:paraId="3F352EA3" w14:textId="77777777" w:rsidR="002D7080" w:rsidRPr="004D1E6F" w:rsidRDefault="002D7080" w:rsidP="00B904C1">
            <w:pPr>
              <w:spacing w:after="0"/>
              <w:ind w:left="525" w:hanging="525"/>
              <w:jc w:val="both"/>
              <w:rPr>
                <w:rFonts w:ascii="Times New Roman" w:eastAsia="Times New Roman" w:hAnsi="Times New Roman" w:cs="Times New Roman"/>
                <w:color w:val="000000"/>
                <w:sz w:val="20"/>
                <w:szCs w:val="20"/>
                <w:lang w:eastAsia="en-ZA"/>
              </w:rPr>
            </w:pPr>
            <w:r w:rsidRPr="004D1E6F">
              <w:rPr>
                <w:rFonts w:ascii="Times New Roman" w:hAnsi="Times New Roman" w:cs="Times New Roman"/>
                <w:color w:val="000000"/>
                <w:sz w:val="20"/>
                <w:szCs w:val="20"/>
              </w:rPr>
              <w:t>Taylor, C.A.</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2000</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Systematic studies of the </w:t>
            </w:r>
            <w:r w:rsidRPr="004D1E6F">
              <w:rPr>
                <w:rStyle w:val="Emphasis"/>
                <w:rFonts w:ascii="Times New Roman" w:hAnsi="Times New Roman" w:cs="Times New Roman"/>
                <w:color w:val="000000"/>
                <w:sz w:val="20"/>
                <w:szCs w:val="20"/>
              </w:rPr>
              <w:t>Orconectes juvenilis</w:t>
            </w:r>
            <w:r w:rsidRPr="004D1E6F">
              <w:rPr>
                <w:rFonts w:ascii="Times New Roman" w:hAnsi="Times New Roman" w:cs="Times New Roman"/>
                <w:color w:val="000000"/>
                <w:sz w:val="20"/>
                <w:szCs w:val="20"/>
              </w:rPr>
              <w:t> complex (Decapoda: Cambaridae), with descriptions of two new species</w:t>
            </w:r>
            <w:r>
              <w:rPr>
                <w:rFonts w:ascii="Times New Roman" w:hAnsi="Times New Roman" w:cs="Times New Roman"/>
                <w:color w:val="000000"/>
                <w:sz w:val="20"/>
                <w:szCs w:val="20"/>
              </w:rPr>
              <w:t xml:space="preserve">’, </w:t>
            </w:r>
            <w:r w:rsidRPr="004D1E6F">
              <w:rPr>
                <w:rFonts w:ascii="Times New Roman" w:hAnsi="Times New Roman" w:cs="Times New Roman"/>
                <w:i/>
                <w:iCs/>
                <w:color w:val="000000"/>
                <w:sz w:val="20"/>
                <w:szCs w:val="20"/>
              </w:rPr>
              <w:t>Journal of Crustacean Biology</w:t>
            </w:r>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20(1)</w:t>
            </w:r>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132-152.</w:t>
            </w:r>
          </w:p>
        </w:tc>
      </w:tr>
      <w:tr w:rsidR="002D7080" w:rsidRPr="004D1E6F" w14:paraId="291FB125" w14:textId="77777777" w:rsidTr="002E2C37">
        <w:trPr>
          <w:cantSplit/>
          <w:trHeight w:val="101"/>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4CC9FEA" w14:textId="77777777" w:rsidR="002D7080" w:rsidRPr="004D1E6F" w:rsidRDefault="002D7080" w:rsidP="000D205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BAC8 What is the global alien range of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(add map in Appendix BAC8)</w:t>
            </w:r>
          </w:p>
        </w:tc>
      </w:tr>
      <w:tr w:rsidR="002D7080" w:rsidRPr="004D1E6F" w14:paraId="6A95F1C2" w14:textId="77777777" w:rsidTr="002E2C37">
        <w:trPr>
          <w:cantSplit/>
          <w:trHeight w:val="269"/>
        </w:trPr>
        <w:tc>
          <w:tcPr>
            <w:tcW w:w="6124" w:type="dxa"/>
            <w:gridSpan w:val="3"/>
            <w:tcBorders>
              <w:top w:val="single" w:sz="4" w:space="0" w:color="auto"/>
              <w:left w:val="single" w:sz="4" w:space="0" w:color="auto"/>
              <w:bottom w:val="single" w:sz="4" w:space="0" w:color="auto"/>
              <w:right w:val="single" w:sz="4" w:space="0" w:color="auto"/>
            </w:tcBorders>
            <w:noWrap/>
          </w:tcPr>
          <w:p w14:paraId="3FDBA9D0" w14:textId="77777777" w:rsidR="002D7080" w:rsidRPr="004D1E6F" w:rsidRDefault="002D7080" w:rsidP="000D205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w:t>
            </w:r>
            <w:r>
              <w:rPr>
                <w:rFonts w:ascii="Times New Roman" w:eastAsia="Times New Roman" w:hAnsi="Times New Roman" w:cs="Times New Roman"/>
                <w:color w:val="000000"/>
                <w:sz w:val="20"/>
                <w:szCs w:val="20"/>
                <w:lang w:eastAsia="en-ZA"/>
              </w:rPr>
              <w:t xml:space="preserve">tranlocated to several states in the USA and introduced </w:t>
            </w:r>
            <w:r w:rsidRPr="004D1E6F">
              <w:rPr>
                <w:rFonts w:ascii="Times New Roman" w:eastAsia="Times New Roman" w:hAnsi="Times New Roman" w:cs="Times New Roman"/>
                <w:color w:val="000000"/>
                <w:sz w:val="20"/>
                <w:szCs w:val="20"/>
                <w:lang w:eastAsia="en-ZA"/>
              </w:rPr>
              <w:t>France</w:t>
            </w:r>
          </w:p>
        </w:tc>
        <w:tc>
          <w:tcPr>
            <w:tcW w:w="2666" w:type="dxa"/>
            <w:tcBorders>
              <w:top w:val="single" w:sz="4" w:space="0" w:color="auto"/>
              <w:left w:val="single" w:sz="4" w:space="0" w:color="auto"/>
              <w:bottom w:val="single" w:sz="4" w:space="0" w:color="auto"/>
              <w:right w:val="single" w:sz="4" w:space="0" w:color="auto"/>
            </w:tcBorders>
          </w:tcPr>
          <w:p w14:paraId="690E7471" w14:textId="77777777" w:rsidR="002D7080" w:rsidRPr="004D1E6F" w:rsidRDefault="002D7080" w:rsidP="000D2051">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676CC2C8"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15689019" w14:textId="77777777" w:rsidR="002D7080" w:rsidRPr="004D1E6F" w:rsidRDefault="002D7080" w:rsidP="000D205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sidRPr="004D1E6F">
              <w:t xml:space="preserve"> </w:t>
            </w:r>
            <w:r w:rsidRPr="004D1E6F">
              <w:rPr>
                <w:rFonts w:ascii="Times New Roman" w:eastAsia="Times New Roman" w:hAnsi="Times New Roman" w:cs="Times New Roman"/>
                <w:i/>
                <w:iCs/>
                <w:color w:val="000000"/>
                <w:sz w:val="20"/>
                <w:szCs w:val="20"/>
                <w:lang w:eastAsia="en-ZA"/>
              </w:rPr>
              <w:t>Faxonius juvenilis</w:t>
            </w:r>
            <w:r w:rsidRPr="004D1E6F">
              <w:rPr>
                <w:rFonts w:ascii="Times New Roman" w:eastAsia="Times New Roman" w:hAnsi="Times New Roman" w:cs="Times New Roman"/>
                <w:color w:val="000000"/>
                <w:sz w:val="20"/>
                <w:szCs w:val="20"/>
                <w:lang w:eastAsia="en-ZA"/>
              </w:rPr>
              <w:t xml:space="preserve"> has been translocated outside its native range to several states </w:t>
            </w:r>
            <w:r>
              <w:rPr>
                <w:rFonts w:ascii="Times New Roman" w:eastAsia="Times New Roman" w:hAnsi="Times New Roman" w:cs="Times New Roman"/>
                <w:color w:val="000000"/>
                <w:sz w:val="20"/>
                <w:szCs w:val="20"/>
                <w:lang w:eastAsia="en-ZA"/>
              </w:rPr>
              <w:t xml:space="preserve">in the USA </w:t>
            </w:r>
            <w:r w:rsidRPr="004D1E6F">
              <w:rPr>
                <w:rFonts w:ascii="Times New Roman" w:eastAsia="Times New Roman" w:hAnsi="Times New Roman" w:cs="Times New Roman"/>
                <w:color w:val="000000"/>
                <w:sz w:val="20"/>
                <w:szCs w:val="20"/>
                <w:lang w:eastAsia="en-ZA"/>
              </w:rPr>
              <w:t>(Daniels 2024) and there are known introductions in France (Chucholl &amp; Daude 2008).</w:t>
            </w:r>
          </w:p>
        </w:tc>
      </w:tr>
      <w:tr w:rsidR="002D7080" w:rsidRPr="004D1E6F" w14:paraId="67A9348C"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5279593B" w14:textId="77777777" w:rsidR="002D7080" w:rsidRPr="004D1E6F" w:rsidRDefault="002D7080" w:rsidP="000D205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14611FD3" w14:textId="77777777" w:rsidR="002D7080" w:rsidRPr="004D1E6F" w:rsidRDefault="002D7080" w:rsidP="000D2051">
            <w:pPr>
              <w:spacing w:after="0"/>
              <w:ind w:left="525" w:hanging="525"/>
              <w:rPr>
                <w:rFonts w:ascii="Times New Roman" w:eastAsia="Times New Roman" w:hAnsi="Times New Roman" w:cs="Times New Roman"/>
                <w:color w:val="000000"/>
                <w:sz w:val="20"/>
                <w:szCs w:val="20"/>
                <w:lang w:eastAsia="en-ZA"/>
              </w:rPr>
            </w:pPr>
            <w:r w:rsidRPr="004D1E6F">
              <w:rPr>
                <w:rFonts w:ascii="Times New Roman" w:hAnsi="Times New Roman" w:cs="Times New Roman"/>
                <w:color w:val="000000"/>
                <w:sz w:val="20"/>
                <w:szCs w:val="20"/>
              </w:rPr>
              <w:t>Daniel, W.M., 2024, </w:t>
            </w:r>
            <w:r w:rsidRPr="004D1E6F">
              <w:rPr>
                <w:rFonts w:ascii="Times New Roman" w:hAnsi="Times New Roman" w:cs="Times New Roman"/>
                <w:i/>
                <w:iCs/>
                <w:color w:val="000000"/>
                <w:sz w:val="20"/>
                <w:szCs w:val="20"/>
              </w:rPr>
              <w:t>Faxonius juvenilis</w:t>
            </w:r>
            <w:r w:rsidRPr="004D1E6F">
              <w:rPr>
                <w:rFonts w:ascii="Times New Roman" w:hAnsi="Times New Roman" w:cs="Times New Roman"/>
                <w:color w:val="000000"/>
                <w:sz w:val="20"/>
                <w:szCs w:val="20"/>
              </w:rPr>
              <w:t xml:space="preserve"> (Hagen, 1870): U.S. Geological Survey, Nonindigenous Aquatic Species Database, Gainesville, FL, </w:t>
            </w:r>
            <w:hyperlink r:id="rId225" w:history="1">
              <w:r w:rsidRPr="000B0DAE">
                <w:rPr>
                  <w:rStyle w:val="Hyperlink"/>
                  <w:rFonts w:ascii="Times New Roman" w:hAnsi="Times New Roman" w:cs="Times New Roman"/>
                  <w:sz w:val="20"/>
                  <w:szCs w:val="20"/>
                </w:rPr>
                <w:t>https://nas.er.usgs.gov/queries/FactSheet.aspx?SpeciesID=2904</w:t>
              </w:r>
            </w:hyperlink>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 Revision Date: 6/14/2017, Access Date: 7/9/2024</w:t>
            </w:r>
          </w:p>
          <w:p w14:paraId="6D0EB100" w14:textId="64738378" w:rsidR="002D7080" w:rsidRPr="004D1E6F" w:rsidRDefault="002D7080" w:rsidP="000D2051">
            <w:pPr>
              <w:spacing w:after="0"/>
              <w:ind w:left="522" w:hanging="522"/>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Chucholl</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C</w:t>
            </w:r>
            <w:r>
              <w:rPr>
                <w:rFonts w:ascii="Times New Roman" w:eastAsia="Times New Roman" w:hAnsi="Times New Roman" w:cs="Times New Roman"/>
                <w:sz w:val="20"/>
                <w:szCs w:val="20"/>
                <w:lang w:eastAsia="en-ZA"/>
              </w:rPr>
              <w:t>. &amp;</w:t>
            </w:r>
            <w:r w:rsidRPr="004D1E6F">
              <w:rPr>
                <w:rFonts w:ascii="Times New Roman" w:eastAsia="Times New Roman" w:hAnsi="Times New Roman" w:cs="Times New Roman"/>
                <w:sz w:val="20"/>
                <w:szCs w:val="20"/>
                <w:lang w:eastAsia="en-ZA"/>
              </w:rPr>
              <w:t xml:space="preserve"> Daude, T.</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2008</w:t>
            </w:r>
            <w:r>
              <w:rPr>
                <w:rFonts w:ascii="Times New Roman" w:eastAsia="Times New Roman" w:hAnsi="Times New Roman" w:cs="Times New Roman"/>
                <w:sz w:val="20"/>
                <w:szCs w:val="20"/>
                <w:lang w:eastAsia="en-ZA"/>
              </w:rPr>
              <w:t>, ‘</w:t>
            </w:r>
            <w:r w:rsidRPr="004D1E6F">
              <w:rPr>
                <w:rFonts w:ascii="Times New Roman" w:eastAsia="Times New Roman" w:hAnsi="Times New Roman" w:cs="Times New Roman"/>
                <w:sz w:val="20"/>
                <w:szCs w:val="20"/>
                <w:lang w:eastAsia="en-ZA"/>
              </w:rPr>
              <w:t xml:space="preserve">First record of </w:t>
            </w:r>
            <w:r w:rsidRPr="004D1E6F">
              <w:rPr>
                <w:rFonts w:ascii="Times New Roman" w:eastAsia="Times New Roman" w:hAnsi="Times New Roman" w:cs="Times New Roman"/>
                <w:i/>
                <w:sz w:val="20"/>
                <w:szCs w:val="20"/>
                <w:lang w:eastAsia="en-ZA"/>
              </w:rPr>
              <w:t>Orconectes juvenilis</w:t>
            </w:r>
            <w:r w:rsidRPr="004D1E6F">
              <w:rPr>
                <w:rFonts w:ascii="Times New Roman" w:eastAsia="Times New Roman" w:hAnsi="Times New Roman" w:cs="Times New Roman"/>
                <w:sz w:val="20"/>
                <w:szCs w:val="20"/>
                <w:lang w:eastAsia="en-ZA"/>
              </w:rPr>
              <w:t xml:space="preserve"> (Hagen, 1870) in eastern France: update to the species identity of a recently introduced orconectid crayfish (Crustacea: Astacida)</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Aquatic Invasions</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3</w:t>
            </w:r>
            <w:r>
              <w:rPr>
                <w:rFonts w:ascii="Times New Roman" w:eastAsia="Times New Roman" w:hAnsi="Times New Roman" w:cs="Times New Roman"/>
                <w:iCs/>
                <w:sz w:val="20"/>
                <w:szCs w:val="20"/>
                <w:lang w:eastAsia="en-ZA"/>
              </w:rPr>
              <w:t xml:space="preserve">, </w:t>
            </w:r>
            <w:r w:rsidRPr="004D1E6F">
              <w:rPr>
                <w:rFonts w:ascii="Times New Roman" w:eastAsia="Times New Roman" w:hAnsi="Times New Roman" w:cs="Times New Roman"/>
                <w:sz w:val="20"/>
                <w:szCs w:val="20"/>
                <w:lang w:eastAsia="en-ZA"/>
              </w:rPr>
              <w:t>105–107.</w:t>
            </w:r>
            <w:r>
              <w:rPr>
                <w:rFonts w:ascii="Times New Roman" w:eastAsia="Times New Roman" w:hAnsi="Times New Roman" w:cs="Times New Roman"/>
                <w:sz w:val="20"/>
                <w:szCs w:val="20"/>
                <w:lang w:eastAsia="en-ZA"/>
              </w:rPr>
              <w:t xml:space="preserve"> </w:t>
            </w:r>
            <w:hyperlink r:id="rId226" w:history="1">
              <w:r w:rsidR="00F1238C" w:rsidRPr="00F1238C">
                <w:rPr>
                  <w:rStyle w:val="Hyperlink"/>
                  <w:rFonts w:ascii="Times New Roman" w:eastAsia="Times New Roman" w:hAnsi="Times New Roman" w:cs="Times New Roman"/>
                  <w:sz w:val="20"/>
                  <w:szCs w:val="20"/>
                  <w:lang w:eastAsia="en-ZA"/>
                </w:rPr>
                <w:t>https://doi.org/10.3391/ai.2008.3.1.19</w:t>
              </w:r>
            </w:hyperlink>
            <w:r>
              <w:rPr>
                <w:rFonts w:ascii="Times New Roman" w:eastAsia="Times New Roman" w:hAnsi="Times New Roman" w:cs="Times New Roman"/>
                <w:sz w:val="20"/>
                <w:szCs w:val="20"/>
                <w:lang w:eastAsia="en-ZA"/>
              </w:rPr>
              <w:t xml:space="preserve">. </w:t>
            </w:r>
          </w:p>
        </w:tc>
      </w:tr>
      <w:tr w:rsidR="002D7080" w:rsidRPr="004D1E6F" w14:paraId="1D15386B" w14:textId="77777777" w:rsidTr="002E2C37">
        <w:trPr>
          <w:cantSplit/>
          <w:trHeight w:val="188"/>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151E042" w14:textId="77777777" w:rsidR="002D7080" w:rsidRPr="004D1E6F" w:rsidRDefault="002D7080" w:rsidP="000D205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BAC9 Geographic scope =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 xml:space="preserve"> under consideration</w:t>
            </w:r>
          </w:p>
        </w:tc>
      </w:tr>
      <w:tr w:rsidR="002D7080" w:rsidRPr="004D1E6F" w14:paraId="02001A29" w14:textId="77777777" w:rsidTr="002E2C37">
        <w:trPr>
          <w:cantSplit/>
          <w:trHeight w:val="170"/>
        </w:trPr>
        <w:tc>
          <w:tcPr>
            <w:tcW w:w="8790" w:type="dxa"/>
            <w:gridSpan w:val="4"/>
            <w:tcBorders>
              <w:top w:val="single" w:sz="4" w:space="0" w:color="auto"/>
              <w:left w:val="single" w:sz="4" w:space="0" w:color="auto"/>
              <w:bottom w:val="single" w:sz="4" w:space="0" w:color="auto"/>
              <w:right w:val="single" w:sz="4" w:space="0" w:color="auto"/>
            </w:tcBorders>
            <w:noWrap/>
          </w:tcPr>
          <w:p w14:paraId="52221EB0" w14:textId="77777777" w:rsidR="002D7080" w:rsidRPr="004D1E6F" w:rsidRDefault="002D7080" w:rsidP="000D205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Area</w:t>
            </w:r>
            <w:r w:rsidRPr="004D1E6F">
              <w:rPr>
                <w:rFonts w:ascii="Times New Roman" w:eastAsia="Times New Roman" w:hAnsi="Times New Roman" w:cs="Times New Roman"/>
                <w:color w:val="000000"/>
                <w:sz w:val="20"/>
                <w:szCs w:val="20"/>
                <w:lang w:eastAsia="en-ZA"/>
              </w:rPr>
              <w:t xml:space="preserve"> of assessment: South Africa</w:t>
            </w:r>
          </w:p>
        </w:tc>
      </w:tr>
      <w:tr w:rsidR="002D7080" w:rsidRPr="004D1E6F" w14:paraId="493B6553" w14:textId="77777777" w:rsidTr="002E2C37">
        <w:trPr>
          <w:cantSplit/>
          <w:trHeight w:val="206"/>
        </w:trPr>
        <w:tc>
          <w:tcPr>
            <w:tcW w:w="8790" w:type="dxa"/>
            <w:gridSpan w:val="4"/>
            <w:tcBorders>
              <w:top w:val="single" w:sz="4" w:space="0" w:color="auto"/>
              <w:left w:val="single" w:sz="4" w:space="0" w:color="auto"/>
              <w:bottom w:val="single" w:sz="4" w:space="0" w:color="auto"/>
              <w:right w:val="single" w:sz="4" w:space="0" w:color="auto"/>
            </w:tcBorders>
            <w:noWrap/>
          </w:tcPr>
          <w:p w14:paraId="58F850AA" w14:textId="77777777" w:rsidR="002D7080" w:rsidRPr="004D1E6F" w:rsidRDefault="002D7080" w:rsidP="000D205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Comments: The geographic scope of this assessment is limited to South Africa.</w:t>
            </w:r>
          </w:p>
        </w:tc>
      </w:tr>
      <w:tr w:rsidR="002D7080" w:rsidRPr="004D1E6F" w14:paraId="65EAB0C8" w14:textId="77777777" w:rsidTr="002E2C37">
        <w:trPr>
          <w:cantSplit/>
          <w:trHeight w:val="26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6AAEA49" w14:textId="77777777" w:rsidR="002D7080" w:rsidRPr="004D1E6F" w:rsidRDefault="002D7080" w:rsidP="000D2051">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BAC10 Is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present in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w:t>
            </w:r>
          </w:p>
        </w:tc>
      </w:tr>
      <w:tr w:rsidR="002D7080" w:rsidRPr="004D1E6F" w14:paraId="458BCEDB" w14:textId="77777777" w:rsidTr="002E2C37">
        <w:trPr>
          <w:cantSplit/>
          <w:trHeight w:val="197"/>
        </w:trPr>
        <w:tc>
          <w:tcPr>
            <w:tcW w:w="6124" w:type="dxa"/>
            <w:gridSpan w:val="3"/>
            <w:tcBorders>
              <w:top w:val="single" w:sz="4" w:space="0" w:color="auto"/>
              <w:left w:val="single" w:sz="4" w:space="0" w:color="auto"/>
              <w:bottom w:val="single" w:sz="4" w:space="0" w:color="auto"/>
              <w:right w:val="single" w:sz="4" w:space="0" w:color="auto"/>
            </w:tcBorders>
            <w:noWrap/>
          </w:tcPr>
          <w:p w14:paraId="778CE6AF" w14:textId="77777777" w:rsidR="002D7080" w:rsidRPr="004D1E6F" w:rsidRDefault="002D7080" w:rsidP="000D2051">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Response: No</w:t>
            </w:r>
          </w:p>
        </w:tc>
        <w:tc>
          <w:tcPr>
            <w:tcW w:w="2666" w:type="dxa"/>
            <w:tcBorders>
              <w:top w:val="single" w:sz="4" w:space="0" w:color="auto"/>
              <w:left w:val="single" w:sz="4" w:space="0" w:color="auto"/>
              <w:bottom w:val="single" w:sz="4" w:space="0" w:color="auto"/>
              <w:right w:val="single" w:sz="4" w:space="0" w:color="auto"/>
            </w:tcBorders>
          </w:tcPr>
          <w:p w14:paraId="737AB557" w14:textId="77777777" w:rsidR="002D7080" w:rsidRPr="004D1E6F" w:rsidRDefault="002D7080" w:rsidP="000D2051">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439FD25E"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1F8B71F7" w14:textId="77777777" w:rsidR="002D7080" w:rsidRPr="004D1E6F" w:rsidRDefault="002D7080" w:rsidP="000D2051">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Comments: There are no records of species being in the country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Nunes et al. 2017)", "plainTextFormattedCitation" : "(Lodge et al. 2012, Nunes et al. 2017)", "previouslyFormattedCitation" : "(Lodge et al. 2012, Nunes et al. 2017)"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(Nunes et al. 2017)</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Faxonius juvenilis</w:t>
            </w:r>
            <w:r w:rsidRPr="004D1E6F">
              <w:rPr>
                <w:rFonts w:ascii="Times New Roman" w:eastAsia="Times New Roman" w:hAnsi="Times New Roman" w:cs="Times New Roman"/>
                <w:color w:val="000000"/>
                <w:sz w:val="20"/>
                <w:szCs w:val="20"/>
                <w:lang w:eastAsia="en-ZA"/>
              </w:rPr>
              <w:t xml:space="preserve"> is present in pet trade globally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(Chucholl 2013; Faulkes 2015)</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but there are no verified records of its presence in South Africa.</w:t>
            </w:r>
          </w:p>
        </w:tc>
      </w:tr>
      <w:tr w:rsidR="002D7080" w:rsidRPr="004D1E6F" w14:paraId="10E0EB64"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65563E7B" w14:textId="77777777" w:rsidR="002D7080" w:rsidRPr="004D1E6F" w:rsidRDefault="002D7080" w:rsidP="00B904C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38A7E8D3" w14:textId="6DE73E04" w:rsidR="002D7080" w:rsidRPr="004D1E6F" w:rsidRDefault="002D7080" w:rsidP="00B904C1">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r w:rsidR="00F1238C" w:rsidRPr="00F1238C">
              <w:rPr>
                <w:rFonts w:ascii="Times New Roman" w:eastAsia="Times New Roman" w:hAnsi="Times New Roman" w:cs="Times New Roman"/>
                <w:sz w:val="20"/>
                <w:szCs w:val="20"/>
                <w:lang w:eastAsia="en-ZA"/>
              </w:rPr>
              <w:t>https://doi.org/10.1007/s10530-012-0273-2</w:t>
            </w:r>
          </w:p>
          <w:p w14:paraId="1C9BAEF6" w14:textId="640F48FA" w:rsidR="002D7080" w:rsidRPr="004D1E6F" w:rsidRDefault="002D7080" w:rsidP="00B904C1">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Faulkes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Z.</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2015</w:t>
            </w:r>
            <w:r>
              <w:rPr>
                <w:rFonts w:ascii="Times New Roman" w:eastAsia="Times New Roman" w:hAnsi="Times New Roman" w:cs="Times New Roman"/>
                <w:color w:val="000000"/>
                <w:sz w:val="20"/>
                <w:szCs w:val="20"/>
                <w:lang w:eastAsia="en-ZA"/>
              </w:rPr>
              <w:t>, ‘</w:t>
            </w:r>
            <w:r w:rsidRPr="004D1E6F">
              <w:rPr>
                <w:rFonts w:ascii="Times New Roman" w:eastAsia="Times New Roman" w:hAnsi="Times New Roman" w:cs="Times New Roman"/>
                <w:color w:val="000000"/>
                <w:sz w:val="20"/>
                <w:szCs w:val="20"/>
                <w:lang w:eastAsia="en-ZA"/>
              </w:rPr>
              <w:t>The global trade in crayfish as pets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Crustacean Research</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44</w:t>
            </w:r>
            <w:r>
              <w:rPr>
                <w:rFonts w:ascii="Times New Roman" w:eastAsia="Times New Roman" w:hAnsi="Times New Roman" w:cs="Times New Roman"/>
                <w:iCs/>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75–92.</w:t>
            </w:r>
            <w:r w:rsidR="00F1238C" w:rsidRPr="00F1238C">
              <w:rPr>
                <w:rFonts w:ascii="Times New Roman" w:eastAsia="Times New Roman" w:hAnsi="Times New Roman" w:cs="Times New Roman"/>
                <w:sz w:val="20"/>
                <w:szCs w:val="20"/>
                <w:lang w:eastAsia="en-ZA"/>
              </w:rPr>
              <w:t xml:space="preserve"> https://doi.org/10.18353/crustacea.44.0_75</w:t>
            </w:r>
          </w:p>
          <w:p w14:paraId="1B93D1B6" w14:textId="49E38E1D" w:rsidR="002D7080" w:rsidRPr="004D1E6F" w:rsidRDefault="002D7080" w:rsidP="00B904C1">
            <w:pPr>
              <w:spacing w:after="0"/>
              <w:ind w:left="612" w:hanging="612"/>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Nunes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L</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Zengeya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T</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Measey</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G</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J</w:t>
            </w:r>
            <w:r>
              <w:rPr>
                <w:rFonts w:ascii="Times New Roman" w:eastAsia="Times New Roman" w:hAnsi="Times New Roman" w:cs="Times New Roman"/>
                <w:color w:val="000000"/>
                <w:sz w:val="20"/>
                <w:szCs w:val="20"/>
                <w:lang w:eastAsia="en-ZA"/>
              </w:rPr>
              <w:t xml:space="preserve">. &amp; </w:t>
            </w:r>
            <w:r w:rsidRPr="004D1E6F">
              <w:rPr>
                <w:rFonts w:ascii="Times New Roman" w:eastAsia="Times New Roman" w:hAnsi="Times New Roman" w:cs="Times New Roman"/>
                <w:color w:val="000000"/>
                <w:sz w:val="20"/>
                <w:szCs w:val="20"/>
                <w:lang w:eastAsia="en-ZA"/>
              </w:rPr>
              <w:t>Weyl</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O</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L</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F. 2017</w:t>
            </w:r>
            <w:r>
              <w:rPr>
                <w:rFonts w:ascii="Times New Roman" w:eastAsia="Times New Roman" w:hAnsi="Times New Roman" w:cs="Times New Roman"/>
                <w:color w:val="000000"/>
                <w:sz w:val="20"/>
                <w:szCs w:val="20"/>
                <w:lang w:eastAsia="en-ZA"/>
              </w:rPr>
              <w:t>, ‘</w:t>
            </w:r>
            <w:r w:rsidRPr="004D1E6F">
              <w:rPr>
                <w:rFonts w:ascii="Times New Roman" w:eastAsia="Times New Roman" w:hAnsi="Times New Roman" w:cs="Times New Roman"/>
                <w:color w:val="000000"/>
                <w:sz w:val="20"/>
                <w:szCs w:val="20"/>
                <w:lang w:eastAsia="en-ZA"/>
              </w:rPr>
              <w:t>Freshwater crayfish invasions in South Africa: past, present and potential future</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42</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309–323</w:t>
            </w:r>
            <w:r>
              <w:rPr>
                <w:rFonts w:ascii="Times New Roman" w:eastAsia="Times New Roman" w:hAnsi="Times New Roman" w:cs="Times New Roman"/>
                <w:color w:val="000000"/>
                <w:sz w:val="20"/>
                <w:szCs w:val="20"/>
                <w:lang w:eastAsia="en-ZA"/>
              </w:rPr>
              <w:t>.</w:t>
            </w:r>
            <w:r w:rsidRPr="00585E12">
              <w:t xml:space="preserve"> </w:t>
            </w:r>
            <w:hyperlink r:id="rId227" w:history="1">
              <w:r w:rsidR="00F1238C" w:rsidRPr="00F1238C">
                <w:rPr>
                  <w:rFonts w:ascii="Times New Roman" w:eastAsia="Times New Roman" w:hAnsi="Times New Roman" w:cs="Times New Roman"/>
                  <w:color w:val="467886"/>
                  <w:sz w:val="20"/>
                  <w:szCs w:val="20"/>
                  <w:u w:val="single"/>
                  <w:lang w:eastAsia="en-ZA"/>
                </w:rPr>
                <w:t>https://doi.org/10.2989/16085914.2017.1405788</w:t>
              </w:r>
            </w:hyperlink>
            <w:r w:rsidR="00F1238C">
              <w:rPr>
                <w:rFonts w:ascii="Aptos" w:eastAsia="Aptos" w:hAnsi="Aptos" w:cs="Times New Roman"/>
                <w:kern w:val="2"/>
                <w14:ligatures w14:val="standardContextual"/>
              </w:rPr>
              <w:t>.</w:t>
            </w:r>
          </w:p>
        </w:tc>
      </w:tr>
      <w:tr w:rsidR="002D7080" w:rsidRPr="004D1E6F" w14:paraId="35AA4B39"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FB31E9E" w14:textId="77777777" w:rsidR="002D7080" w:rsidRPr="004D1E6F" w:rsidRDefault="002D7080" w:rsidP="00B904C1">
            <w:pPr>
              <w:spacing w:after="0" w:line="240" w:lineRule="auto"/>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BAC11 Availability of physical specimen</w:t>
            </w:r>
          </w:p>
        </w:tc>
      </w:tr>
      <w:tr w:rsidR="002D7080" w:rsidRPr="004D1E6F" w14:paraId="13C9C9BD" w14:textId="77777777" w:rsidTr="002E2C37">
        <w:trPr>
          <w:cantSplit/>
          <w:trHeight w:val="179"/>
        </w:trPr>
        <w:tc>
          <w:tcPr>
            <w:tcW w:w="6124" w:type="dxa"/>
            <w:gridSpan w:val="3"/>
            <w:tcBorders>
              <w:top w:val="single" w:sz="4" w:space="0" w:color="auto"/>
              <w:left w:val="single" w:sz="4" w:space="0" w:color="auto"/>
              <w:bottom w:val="single" w:sz="4" w:space="0" w:color="auto"/>
              <w:right w:val="single" w:sz="4" w:space="0" w:color="auto"/>
            </w:tcBorders>
            <w:noWrap/>
          </w:tcPr>
          <w:p w14:paraId="6114898B"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No </w:t>
            </w:r>
          </w:p>
        </w:tc>
        <w:tc>
          <w:tcPr>
            <w:tcW w:w="2666" w:type="dxa"/>
            <w:tcBorders>
              <w:top w:val="single" w:sz="4" w:space="0" w:color="auto"/>
              <w:left w:val="single" w:sz="4" w:space="0" w:color="auto"/>
              <w:bottom w:val="single" w:sz="4" w:space="0" w:color="auto"/>
              <w:right w:val="single" w:sz="4" w:space="0" w:color="auto"/>
            </w:tcBorders>
          </w:tcPr>
          <w:p w14:paraId="6BED9068"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 in ID:</w:t>
            </w:r>
          </w:p>
        </w:tc>
      </w:tr>
      <w:tr w:rsidR="002D7080" w:rsidRPr="004D1E6F" w14:paraId="0B7CFAB3"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3F4D1720"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 xml:space="preserve">Herbarium or museum accession number: </w:t>
            </w:r>
            <w:r w:rsidRPr="004D1E6F">
              <w:rPr>
                <w:rFonts w:ascii="Times New Roman" w:eastAsia="Times New Roman" w:hAnsi="Times New Roman" w:cs="Times New Roman"/>
                <w:sz w:val="20"/>
                <w:szCs w:val="20"/>
                <w:lang w:eastAsia="en-ZA"/>
              </w:rPr>
              <w:t xml:space="preserve">No </w:t>
            </w:r>
            <w:r w:rsidRPr="004D1E6F">
              <w:rPr>
                <w:rFonts w:ascii="Times New Roman" w:eastAsia="Times New Roman" w:hAnsi="Times New Roman" w:cs="Times New Roman"/>
                <w:i/>
                <w:iCs/>
                <w:sz w:val="20"/>
                <w:szCs w:val="20"/>
                <w:lang w:eastAsia="en-ZA"/>
              </w:rPr>
              <w:t xml:space="preserve">Faxonius juvenilis </w:t>
            </w:r>
            <w:r w:rsidRPr="004D1E6F">
              <w:rPr>
                <w:rFonts w:ascii="Times New Roman" w:eastAsia="Times New Roman" w:hAnsi="Times New Roman" w:cs="Times New Roman"/>
                <w:iCs/>
                <w:sz w:val="20"/>
                <w:szCs w:val="20"/>
                <w:lang w:eastAsia="en-ZA"/>
              </w:rPr>
              <w:t xml:space="preserve">specimens have been found in South Africa and it is assumed the species </w:t>
            </w:r>
            <w:r w:rsidRPr="004D1E6F">
              <w:rPr>
                <w:rFonts w:ascii="Times New Roman" w:eastAsia="Times New Roman" w:hAnsi="Times New Roman" w:cs="Times New Roman"/>
                <w:sz w:val="20"/>
                <w:szCs w:val="20"/>
                <w:lang w:eastAsia="en-ZA"/>
              </w:rPr>
              <w:t>is not present in South Africa, although it requires further assessment, especially linked to the pet trade industry (Nunes et al. 2017).</w:t>
            </w:r>
          </w:p>
        </w:tc>
      </w:tr>
      <w:tr w:rsidR="002D7080" w:rsidRPr="004D1E6F" w14:paraId="301C1650"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54AA50DC" w14:textId="77777777" w:rsidR="002D7080" w:rsidRPr="000D2051" w:rsidRDefault="002D7080" w:rsidP="002E2C37">
            <w:pPr>
              <w:spacing w:after="0" w:line="240" w:lineRule="auto"/>
              <w:rPr>
                <w:rFonts w:ascii="Times New Roman" w:eastAsia="Times New Roman" w:hAnsi="Times New Roman" w:cs="Times New Roman"/>
                <w:color w:val="000000"/>
                <w:sz w:val="20"/>
                <w:szCs w:val="20"/>
                <w:lang w:eastAsia="en-ZA"/>
              </w:rPr>
            </w:pPr>
            <w:r w:rsidRPr="000D2051">
              <w:rPr>
                <w:rFonts w:ascii="Times New Roman" w:eastAsia="Times New Roman" w:hAnsi="Times New Roman" w:cs="Times New Roman"/>
                <w:color w:val="000000"/>
                <w:sz w:val="20"/>
                <w:szCs w:val="20"/>
                <w:lang w:eastAsia="en-ZA"/>
              </w:rPr>
              <w:t>References:</w:t>
            </w:r>
          </w:p>
          <w:p w14:paraId="24ECEBBA" w14:textId="77777777" w:rsidR="002D7080" w:rsidRPr="000D2051" w:rsidRDefault="002D7080" w:rsidP="00B904C1">
            <w:pPr>
              <w:spacing w:after="0" w:line="240" w:lineRule="auto"/>
              <w:ind w:left="525" w:hanging="525"/>
              <w:jc w:val="both"/>
              <w:rPr>
                <w:rFonts w:ascii="Times New Roman" w:eastAsia="Times New Roman" w:hAnsi="Times New Roman" w:cs="Times New Roman"/>
                <w:color w:val="000000"/>
                <w:sz w:val="20"/>
                <w:szCs w:val="20"/>
                <w:lang w:eastAsia="en-ZA"/>
              </w:rPr>
            </w:pPr>
            <w:r w:rsidRPr="000D2051">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0D2051">
              <w:rPr>
                <w:rFonts w:ascii="Times New Roman" w:eastAsia="Times New Roman" w:hAnsi="Times New Roman" w:cs="Times New Roman"/>
                <w:i/>
                <w:color w:val="000000"/>
                <w:sz w:val="20"/>
                <w:szCs w:val="20"/>
                <w:lang w:eastAsia="en-ZA"/>
              </w:rPr>
              <w:t>African Journal of Aquatic Science</w:t>
            </w:r>
            <w:r w:rsidRPr="000D2051">
              <w:rPr>
                <w:rFonts w:ascii="Times New Roman" w:eastAsia="Times New Roman" w:hAnsi="Times New Roman" w:cs="Times New Roman"/>
                <w:color w:val="000000"/>
                <w:sz w:val="20"/>
                <w:szCs w:val="20"/>
                <w:lang w:eastAsia="en-ZA"/>
              </w:rPr>
              <w:t>, 42, 309–323.</w:t>
            </w:r>
            <w:r w:rsidRPr="000D2051">
              <w:rPr>
                <w:rFonts w:ascii="Times New Roman" w:hAnsi="Times New Roman" w:cs="Times New Roman"/>
              </w:rPr>
              <w:t xml:space="preserve"> </w:t>
            </w:r>
            <w:hyperlink w:history="1">
              <w:r w:rsidRPr="000D2051">
                <w:rPr>
                  <w:rStyle w:val="Hyperlink"/>
                  <w:rFonts w:ascii="Times New Roman" w:eastAsia="Times New Roman" w:hAnsi="Times New Roman" w:cs="Times New Roman"/>
                  <w:sz w:val="20"/>
                  <w:szCs w:val="20"/>
                  <w:lang w:eastAsia="en-ZA"/>
                </w:rPr>
                <w:t>https://doi.org/10.2989/16085914.2017.1405788</w:t>
              </w:r>
            </w:hyperlink>
            <w:r w:rsidRPr="000D2051">
              <w:rPr>
                <w:rFonts w:ascii="Times New Roman" w:eastAsia="Times New Roman" w:hAnsi="Times New Roman" w:cs="Times New Roman"/>
                <w:color w:val="000000"/>
                <w:sz w:val="20"/>
                <w:szCs w:val="20"/>
                <w:lang w:eastAsia="en-ZA"/>
              </w:rPr>
              <w:t>.</w:t>
            </w:r>
          </w:p>
        </w:tc>
      </w:tr>
      <w:tr w:rsidR="002D7080" w:rsidRPr="004D1E6F" w14:paraId="0D8CA761" w14:textId="77777777" w:rsidTr="002E2C37">
        <w:trPr>
          <w:cantSplit/>
          <w:trHeight w:val="233"/>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090C970" w14:textId="77777777" w:rsidR="002D7080" w:rsidRPr="000D2051" w:rsidRDefault="002D7080" w:rsidP="002E2C37">
            <w:pPr>
              <w:spacing w:after="0" w:line="240" w:lineRule="auto"/>
              <w:rPr>
                <w:rFonts w:ascii="Times New Roman" w:eastAsia="Times New Roman" w:hAnsi="Times New Roman" w:cs="Times New Roman"/>
                <w:b/>
                <w:color w:val="000000"/>
                <w:sz w:val="20"/>
                <w:szCs w:val="20"/>
                <w:lang w:eastAsia="en-ZA"/>
              </w:rPr>
            </w:pPr>
            <w:r w:rsidRPr="000D2051">
              <w:rPr>
                <w:rFonts w:ascii="Times New Roman" w:eastAsia="Times New Roman" w:hAnsi="Times New Roman" w:cs="Times New Roman"/>
                <w:b/>
                <w:color w:val="000000"/>
                <w:sz w:val="20"/>
                <w:szCs w:val="20"/>
                <w:lang w:eastAsia="en-ZA"/>
              </w:rPr>
              <w:t xml:space="preserve">BAC12 Is the </w:t>
            </w:r>
            <w:r w:rsidRPr="000D2051">
              <w:rPr>
                <w:rFonts w:ascii="Times New Roman" w:eastAsia="Times New Roman" w:hAnsi="Times New Roman" w:cs="Times New Roman"/>
                <w:b/>
                <w:i/>
                <w:color w:val="000000"/>
                <w:sz w:val="20"/>
                <w:szCs w:val="20"/>
                <w:lang w:eastAsia="en-ZA"/>
              </w:rPr>
              <w:t>Taxon</w:t>
            </w:r>
            <w:r w:rsidRPr="000D2051">
              <w:rPr>
                <w:rFonts w:ascii="Times New Roman" w:eastAsia="Times New Roman" w:hAnsi="Times New Roman" w:cs="Times New Roman"/>
                <w:b/>
                <w:color w:val="000000"/>
                <w:sz w:val="20"/>
                <w:szCs w:val="20"/>
                <w:lang w:eastAsia="en-ZA"/>
              </w:rPr>
              <w:t xml:space="preserve"> native to the </w:t>
            </w:r>
            <w:r w:rsidRPr="000D2051">
              <w:rPr>
                <w:rFonts w:ascii="Times New Roman" w:eastAsia="Times New Roman" w:hAnsi="Times New Roman" w:cs="Times New Roman"/>
                <w:b/>
                <w:i/>
                <w:color w:val="000000"/>
                <w:sz w:val="20"/>
                <w:szCs w:val="20"/>
                <w:lang w:eastAsia="en-ZA"/>
              </w:rPr>
              <w:t>Area</w:t>
            </w:r>
            <w:r w:rsidRPr="000D2051">
              <w:rPr>
                <w:rFonts w:ascii="Times New Roman" w:eastAsia="Times New Roman" w:hAnsi="Times New Roman" w:cs="Times New Roman"/>
                <w:b/>
                <w:color w:val="000000"/>
                <w:sz w:val="20"/>
                <w:szCs w:val="20"/>
                <w:lang w:eastAsia="en-ZA"/>
              </w:rPr>
              <w:t xml:space="preserve"> or part of the </w:t>
            </w:r>
            <w:r w:rsidRPr="000D2051">
              <w:rPr>
                <w:rFonts w:ascii="Times New Roman" w:eastAsia="Times New Roman" w:hAnsi="Times New Roman" w:cs="Times New Roman"/>
                <w:b/>
                <w:i/>
                <w:color w:val="000000"/>
                <w:sz w:val="20"/>
                <w:szCs w:val="20"/>
                <w:lang w:eastAsia="en-ZA"/>
              </w:rPr>
              <w:t>Area</w:t>
            </w:r>
            <w:r w:rsidRPr="000D2051">
              <w:rPr>
                <w:rFonts w:ascii="Times New Roman" w:eastAsia="Times New Roman" w:hAnsi="Times New Roman" w:cs="Times New Roman"/>
                <w:b/>
                <w:color w:val="000000"/>
                <w:sz w:val="20"/>
                <w:szCs w:val="20"/>
                <w:lang w:eastAsia="en-ZA"/>
              </w:rPr>
              <w:t>?</w:t>
            </w:r>
          </w:p>
        </w:tc>
      </w:tr>
      <w:tr w:rsidR="002D7080" w:rsidRPr="004D1E6F" w14:paraId="16AEB62D" w14:textId="77777777" w:rsidTr="002E2C37">
        <w:trPr>
          <w:cantSplit/>
          <w:trHeight w:val="260"/>
        </w:trPr>
        <w:tc>
          <w:tcPr>
            <w:tcW w:w="3600" w:type="dxa"/>
            <w:gridSpan w:val="2"/>
            <w:tcBorders>
              <w:top w:val="single" w:sz="4" w:space="0" w:color="auto"/>
              <w:left w:val="single" w:sz="4" w:space="0" w:color="auto"/>
              <w:bottom w:val="single" w:sz="4" w:space="0" w:color="auto"/>
              <w:right w:val="single" w:sz="4" w:space="0" w:color="auto"/>
            </w:tcBorders>
            <w:noWrap/>
          </w:tcPr>
          <w:p w14:paraId="67FDF7F9" w14:textId="77777777" w:rsidR="002D7080" w:rsidRPr="000D2051" w:rsidRDefault="002D7080" w:rsidP="002E2C37">
            <w:pPr>
              <w:spacing w:after="0" w:line="240" w:lineRule="auto"/>
              <w:rPr>
                <w:rFonts w:ascii="Times New Roman" w:eastAsia="Times New Roman" w:hAnsi="Times New Roman" w:cs="Times New Roman"/>
                <w:color w:val="000000"/>
                <w:sz w:val="20"/>
                <w:szCs w:val="20"/>
                <w:lang w:eastAsia="en-ZA"/>
              </w:rPr>
            </w:pPr>
            <w:r w:rsidRPr="000D2051">
              <w:rPr>
                <w:rFonts w:ascii="Times New Roman" w:eastAsia="Times New Roman" w:hAnsi="Times New Roman" w:cs="Times New Roman"/>
                <w:color w:val="000000"/>
                <w:sz w:val="20"/>
                <w:szCs w:val="20"/>
                <w:lang w:eastAsia="en-ZA"/>
              </w:rPr>
              <w:t xml:space="preserve">The </w:t>
            </w:r>
            <w:r w:rsidRPr="000D2051">
              <w:rPr>
                <w:rFonts w:ascii="Times New Roman" w:eastAsia="Times New Roman" w:hAnsi="Times New Roman" w:cs="Times New Roman"/>
                <w:i/>
                <w:color w:val="000000"/>
                <w:sz w:val="20"/>
                <w:szCs w:val="20"/>
                <w:lang w:eastAsia="en-ZA"/>
              </w:rPr>
              <w:t>Taxon</w:t>
            </w:r>
            <w:r w:rsidRPr="000D2051">
              <w:rPr>
                <w:rFonts w:ascii="Times New Roman" w:eastAsia="Times New Roman" w:hAnsi="Times New Roman" w:cs="Times New Roman"/>
                <w:color w:val="000000"/>
                <w:sz w:val="20"/>
                <w:szCs w:val="20"/>
                <w:lang w:eastAsia="en-ZA"/>
              </w:rPr>
              <w:t xml:space="preserve"> is native to (part of) the </w:t>
            </w:r>
            <w:r w:rsidRPr="000D2051">
              <w:rPr>
                <w:rFonts w:ascii="Times New Roman" w:eastAsia="Times New Roman" w:hAnsi="Times New Roman" w:cs="Times New Roman"/>
                <w:i/>
                <w:color w:val="000000"/>
                <w:sz w:val="20"/>
                <w:szCs w:val="20"/>
                <w:lang w:eastAsia="en-ZA"/>
              </w:rPr>
              <w:t>Area</w:t>
            </w:r>
            <w:r w:rsidRPr="000D2051">
              <w:rPr>
                <w:rFonts w:ascii="Times New Roman" w:eastAsia="Times New Roman" w:hAnsi="Times New Roman" w:cs="Times New Roman"/>
                <w:color w:val="000000"/>
                <w:sz w:val="20"/>
                <w:szCs w:val="20"/>
                <w:lang w:eastAsia="en-ZA"/>
              </w:rPr>
              <w:t>.</w:t>
            </w:r>
          </w:p>
        </w:tc>
        <w:tc>
          <w:tcPr>
            <w:tcW w:w="2524" w:type="dxa"/>
            <w:tcBorders>
              <w:top w:val="single" w:sz="4" w:space="0" w:color="auto"/>
              <w:left w:val="nil"/>
              <w:bottom w:val="single" w:sz="4" w:space="0" w:color="auto"/>
              <w:right w:val="single" w:sz="4" w:space="0" w:color="auto"/>
            </w:tcBorders>
          </w:tcPr>
          <w:p w14:paraId="151EED17" w14:textId="77777777" w:rsidR="002D7080" w:rsidRPr="000D2051" w:rsidRDefault="002D7080" w:rsidP="002E2C37">
            <w:pPr>
              <w:spacing w:after="0" w:line="240" w:lineRule="auto"/>
              <w:rPr>
                <w:rFonts w:ascii="Times New Roman" w:eastAsia="Times New Roman" w:hAnsi="Times New Roman" w:cs="Times New Roman"/>
                <w:color w:val="000000"/>
                <w:sz w:val="20"/>
                <w:szCs w:val="20"/>
                <w:lang w:eastAsia="en-ZA"/>
              </w:rPr>
            </w:pPr>
            <w:r w:rsidRPr="000D2051">
              <w:rPr>
                <w:rFonts w:ascii="Times New Roman" w:eastAsia="Times New Roman" w:hAnsi="Times New Roman" w:cs="Times New Roman"/>
                <w:color w:val="000000"/>
                <w:sz w:val="20"/>
                <w:szCs w:val="20"/>
                <w:lang w:eastAsia="en-ZA"/>
              </w:rPr>
              <w:t xml:space="preserve">No </w:t>
            </w:r>
          </w:p>
        </w:tc>
        <w:tc>
          <w:tcPr>
            <w:tcW w:w="2666" w:type="dxa"/>
            <w:tcBorders>
              <w:top w:val="single" w:sz="4" w:space="0" w:color="auto"/>
              <w:left w:val="nil"/>
              <w:bottom w:val="single" w:sz="4" w:space="0" w:color="auto"/>
              <w:right w:val="single" w:sz="4" w:space="0" w:color="auto"/>
            </w:tcBorders>
          </w:tcPr>
          <w:p w14:paraId="5E7A58D4" w14:textId="77777777" w:rsidR="002D7080" w:rsidRPr="000D2051" w:rsidRDefault="002D7080" w:rsidP="002E2C37">
            <w:pPr>
              <w:spacing w:after="0" w:line="240" w:lineRule="auto"/>
              <w:rPr>
                <w:rFonts w:ascii="Times New Roman" w:eastAsia="Times New Roman" w:hAnsi="Times New Roman" w:cs="Times New Roman"/>
                <w:color w:val="000000"/>
                <w:sz w:val="20"/>
                <w:szCs w:val="20"/>
                <w:lang w:eastAsia="en-ZA"/>
              </w:rPr>
            </w:pPr>
            <w:r w:rsidRPr="000D2051">
              <w:rPr>
                <w:rFonts w:ascii="Times New Roman" w:eastAsia="Times New Roman" w:hAnsi="Times New Roman" w:cs="Times New Roman"/>
                <w:color w:val="000000"/>
                <w:sz w:val="20"/>
                <w:szCs w:val="20"/>
                <w:lang w:eastAsia="en-ZA"/>
              </w:rPr>
              <w:t>Confidence: High</w:t>
            </w:r>
          </w:p>
        </w:tc>
      </w:tr>
      <w:tr w:rsidR="002D7080" w:rsidRPr="004D1E6F" w14:paraId="070F3CE2" w14:textId="77777777" w:rsidTr="002E2C37">
        <w:trPr>
          <w:cantSplit/>
          <w:trHeight w:val="170"/>
        </w:trPr>
        <w:tc>
          <w:tcPr>
            <w:tcW w:w="3600" w:type="dxa"/>
            <w:gridSpan w:val="2"/>
            <w:tcBorders>
              <w:top w:val="single" w:sz="4" w:space="0" w:color="auto"/>
              <w:left w:val="single" w:sz="4" w:space="0" w:color="auto"/>
              <w:bottom w:val="single" w:sz="4" w:space="0" w:color="auto"/>
              <w:right w:val="single" w:sz="4" w:space="0" w:color="auto"/>
            </w:tcBorders>
            <w:noWrap/>
          </w:tcPr>
          <w:p w14:paraId="478FAB2C" w14:textId="77777777" w:rsidR="002D7080" w:rsidRPr="000D2051" w:rsidRDefault="002D7080" w:rsidP="002E2C37">
            <w:pPr>
              <w:spacing w:after="0" w:line="240" w:lineRule="auto"/>
              <w:rPr>
                <w:rFonts w:ascii="Times New Roman" w:eastAsia="Times New Roman" w:hAnsi="Times New Roman" w:cs="Times New Roman"/>
                <w:color w:val="000000"/>
                <w:sz w:val="20"/>
                <w:szCs w:val="20"/>
                <w:lang w:eastAsia="en-ZA"/>
              </w:rPr>
            </w:pPr>
            <w:r w:rsidRPr="000D2051">
              <w:rPr>
                <w:rFonts w:ascii="Times New Roman" w:eastAsia="Times New Roman" w:hAnsi="Times New Roman" w:cs="Times New Roman"/>
                <w:color w:val="000000"/>
                <w:sz w:val="20"/>
                <w:szCs w:val="20"/>
                <w:lang w:eastAsia="en-ZA"/>
              </w:rPr>
              <w:t xml:space="preserve">The </w:t>
            </w:r>
            <w:r w:rsidRPr="000D2051">
              <w:rPr>
                <w:rFonts w:ascii="Times New Roman" w:eastAsia="Times New Roman" w:hAnsi="Times New Roman" w:cs="Times New Roman"/>
                <w:i/>
                <w:color w:val="000000"/>
                <w:sz w:val="20"/>
                <w:szCs w:val="20"/>
                <w:lang w:eastAsia="en-ZA"/>
              </w:rPr>
              <w:t>Taxon</w:t>
            </w:r>
            <w:r w:rsidRPr="000D2051">
              <w:rPr>
                <w:rFonts w:ascii="Times New Roman" w:eastAsia="Times New Roman" w:hAnsi="Times New Roman" w:cs="Times New Roman"/>
                <w:color w:val="000000"/>
                <w:sz w:val="20"/>
                <w:szCs w:val="20"/>
                <w:lang w:eastAsia="en-ZA"/>
              </w:rPr>
              <w:t xml:space="preserve"> is alien in (part of) the </w:t>
            </w:r>
            <w:r w:rsidRPr="000D2051">
              <w:rPr>
                <w:rFonts w:ascii="Times New Roman" w:eastAsia="Times New Roman" w:hAnsi="Times New Roman" w:cs="Times New Roman"/>
                <w:i/>
                <w:color w:val="000000"/>
                <w:sz w:val="20"/>
                <w:szCs w:val="20"/>
                <w:lang w:eastAsia="en-ZA"/>
              </w:rPr>
              <w:t>Area</w:t>
            </w:r>
            <w:r w:rsidRPr="000D2051">
              <w:rPr>
                <w:rFonts w:ascii="Times New Roman" w:eastAsia="Times New Roman" w:hAnsi="Times New Roman" w:cs="Times New Roman"/>
                <w:color w:val="000000"/>
                <w:sz w:val="20"/>
                <w:szCs w:val="20"/>
                <w:lang w:eastAsia="en-ZA"/>
              </w:rPr>
              <w:t>.</w:t>
            </w:r>
          </w:p>
        </w:tc>
        <w:tc>
          <w:tcPr>
            <w:tcW w:w="2524" w:type="dxa"/>
            <w:tcBorders>
              <w:top w:val="single" w:sz="4" w:space="0" w:color="auto"/>
              <w:left w:val="nil"/>
              <w:bottom w:val="single" w:sz="4" w:space="0" w:color="auto"/>
              <w:right w:val="single" w:sz="4" w:space="0" w:color="auto"/>
            </w:tcBorders>
          </w:tcPr>
          <w:p w14:paraId="6DA6941E" w14:textId="77777777" w:rsidR="002D7080" w:rsidRPr="000D2051" w:rsidRDefault="002D7080" w:rsidP="002E2C37">
            <w:pPr>
              <w:spacing w:after="0" w:line="240" w:lineRule="auto"/>
              <w:rPr>
                <w:rFonts w:ascii="Times New Roman" w:eastAsia="Times New Roman" w:hAnsi="Times New Roman" w:cs="Times New Roman"/>
                <w:color w:val="000000"/>
                <w:sz w:val="20"/>
                <w:szCs w:val="20"/>
                <w:lang w:eastAsia="en-ZA"/>
              </w:rPr>
            </w:pPr>
            <w:r w:rsidRPr="000D2051">
              <w:rPr>
                <w:rFonts w:ascii="Times New Roman" w:eastAsia="Times New Roman" w:hAnsi="Times New Roman" w:cs="Times New Roman"/>
                <w:color w:val="000000"/>
                <w:sz w:val="20"/>
                <w:szCs w:val="20"/>
                <w:lang w:eastAsia="en-ZA"/>
              </w:rPr>
              <w:t>No</w:t>
            </w:r>
          </w:p>
        </w:tc>
        <w:tc>
          <w:tcPr>
            <w:tcW w:w="2666" w:type="dxa"/>
            <w:tcBorders>
              <w:top w:val="single" w:sz="4" w:space="0" w:color="auto"/>
              <w:left w:val="nil"/>
              <w:bottom w:val="single" w:sz="4" w:space="0" w:color="auto"/>
              <w:right w:val="single" w:sz="4" w:space="0" w:color="auto"/>
            </w:tcBorders>
          </w:tcPr>
          <w:p w14:paraId="2A8D3AA3" w14:textId="77777777" w:rsidR="002D7080" w:rsidRPr="000D2051" w:rsidRDefault="002D7080" w:rsidP="002E2C37">
            <w:pPr>
              <w:spacing w:after="0" w:line="240" w:lineRule="auto"/>
              <w:rPr>
                <w:rFonts w:ascii="Times New Roman" w:eastAsia="Times New Roman" w:hAnsi="Times New Roman" w:cs="Times New Roman"/>
                <w:color w:val="000000"/>
                <w:sz w:val="20"/>
                <w:szCs w:val="20"/>
                <w:lang w:eastAsia="en-ZA"/>
              </w:rPr>
            </w:pPr>
            <w:r w:rsidRPr="000D2051">
              <w:rPr>
                <w:rFonts w:ascii="Times New Roman" w:eastAsia="Times New Roman" w:hAnsi="Times New Roman" w:cs="Times New Roman"/>
                <w:color w:val="000000"/>
                <w:sz w:val="20"/>
                <w:szCs w:val="20"/>
                <w:lang w:eastAsia="en-ZA"/>
              </w:rPr>
              <w:t>Confidence: High</w:t>
            </w:r>
          </w:p>
        </w:tc>
      </w:tr>
      <w:tr w:rsidR="002D7080" w:rsidRPr="004D1E6F" w14:paraId="75A747F9" w14:textId="77777777" w:rsidTr="002E2C37">
        <w:trPr>
          <w:cantSplit/>
          <w:trHeight w:val="287"/>
        </w:trPr>
        <w:tc>
          <w:tcPr>
            <w:tcW w:w="8790" w:type="dxa"/>
            <w:gridSpan w:val="4"/>
            <w:tcBorders>
              <w:top w:val="single" w:sz="4" w:space="0" w:color="auto"/>
              <w:left w:val="single" w:sz="4" w:space="0" w:color="auto"/>
              <w:bottom w:val="single" w:sz="4" w:space="0" w:color="auto"/>
              <w:right w:val="single" w:sz="4" w:space="0" w:color="auto"/>
            </w:tcBorders>
            <w:noWrap/>
          </w:tcPr>
          <w:p w14:paraId="6E9F7062" w14:textId="61B6329C" w:rsidR="002D7080" w:rsidRPr="000D2051" w:rsidRDefault="002D7080" w:rsidP="004D0B09">
            <w:pPr>
              <w:spacing w:after="0"/>
              <w:rPr>
                <w:rFonts w:ascii="Times New Roman" w:eastAsia="Times New Roman" w:hAnsi="Times New Roman" w:cs="Times New Roman"/>
                <w:color w:val="000000"/>
                <w:sz w:val="20"/>
                <w:szCs w:val="20"/>
                <w:lang w:eastAsia="en-ZA"/>
              </w:rPr>
            </w:pPr>
            <w:r w:rsidRPr="000D2051">
              <w:rPr>
                <w:rFonts w:ascii="Times New Roman" w:eastAsia="Times New Roman" w:hAnsi="Times New Roman" w:cs="Times New Roman"/>
                <w:color w:val="000000"/>
                <w:sz w:val="20"/>
                <w:szCs w:val="20"/>
                <w:lang w:eastAsia="en-ZA"/>
              </w:rPr>
              <w:t xml:space="preserve">Comments: </w:t>
            </w:r>
            <w:r w:rsidRPr="000D2051">
              <w:rPr>
                <w:rFonts w:ascii="Times New Roman" w:eastAsia="Times New Roman" w:hAnsi="Times New Roman" w:cs="Times New Roman"/>
                <w:sz w:val="20"/>
                <w:szCs w:val="20"/>
                <w:lang w:eastAsia="en-ZA"/>
              </w:rPr>
              <w:t xml:space="preserve">There are no native freshwater crayfish species native in South Africa </w:t>
            </w:r>
            <w:r w:rsidRPr="000D2051">
              <w:rPr>
                <w:rFonts w:ascii="Times New Roman" w:eastAsia="Times New Roman" w:hAnsi="Times New Roman" w:cs="Times New Roman"/>
                <w:sz w:val="20"/>
                <w:szCs w:val="20"/>
                <w:lang w:eastAsia="en-ZA"/>
              </w:rPr>
              <w:fldChar w:fldCharType="begin" w:fldLock="1"/>
            </w:r>
            <w:r w:rsidRPr="000D2051">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0D2051">
              <w:rPr>
                <w:rFonts w:ascii="Times New Roman" w:eastAsia="Times New Roman" w:hAnsi="Times New Roman" w:cs="Times New Roman"/>
                <w:sz w:val="20"/>
                <w:szCs w:val="20"/>
                <w:lang w:eastAsia="en-ZA"/>
              </w:rPr>
              <w:fldChar w:fldCharType="separate"/>
            </w:r>
            <w:r w:rsidRPr="000D2051">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0D2051">
              <w:rPr>
                <w:rFonts w:ascii="Times New Roman" w:eastAsia="Times New Roman" w:hAnsi="Times New Roman" w:cs="Times New Roman"/>
                <w:sz w:val="20"/>
                <w:szCs w:val="20"/>
                <w:lang w:eastAsia="en-ZA"/>
              </w:rPr>
              <w:t xml:space="preserve"> 2002; Nunes et al. 2017)</w:t>
            </w:r>
            <w:r w:rsidRPr="000D2051">
              <w:rPr>
                <w:rFonts w:ascii="Times New Roman" w:eastAsia="Times New Roman" w:hAnsi="Times New Roman" w:cs="Times New Roman"/>
                <w:sz w:val="20"/>
                <w:szCs w:val="20"/>
                <w:lang w:eastAsia="en-ZA"/>
              </w:rPr>
              <w:fldChar w:fldCharType="end"/>
            </w:r>
            <w:r w:rsidRPr="000D2051">
              <w:rPr>
                <w:rFonts w:ascii="Times New Roman" w:eastAsia="Times New Roman" w:hAnsi="Times New Roman" w:cs="Times New Roman"/>
                <w:sz w:val="20"/>
                <w:szCs w:val="20"/>
                <w:lang w:eastAsia="en-ZA"/>
              </w:rPr>
              <w:t xml:space="preserve">. </w:t>
            </w:r>
            <w:r w:rsidRPr="000D2051">
              <w:rPr>
                <w:rFonts w:ascii="Times New Roman" w:eastAsia="Times New Roman" w:hAnsi="Times New Roman" w:cs="Times New Roman"/>
                <w:i/>
                <w:iCs/>
                <w:sz w:val="20"/>
                <w:szCs w:val="20"/>
                <w:lang w:eastAsia="en-ZA"/>
              </w:rPr>
              <w:t xml:space="preserve">Faxonius juvenilis </w:t>
            </w:r>
            <w:r w:rsidRPr="000D2051">
              <w:rPr>
                <w:rFonts w:ascii="Times New Roman" w:eastAsia="Times New Roman" w:hAnsi="Times New Roman" w:cs="Times New Roman"/>
                <w:sz w:val="20"/>
                <w:szCs w:val="20"/>
                <w:lang w:eastAsia="en-ZA"/>
              </w:rPr>
              <w:t>is native to the Ohio river basin in the USA (Taylor et al. 2000) and has been introduced globally through the pet trade (Chucholl &amp; Daude 2008, Chucholl 2013). However, there are no verified records of its presence in South Africa (Nunes et al. 2017).</w:t>
            </w:r>
          </w:p>
        </w:tc>
      </w:tr>
      <w:tr w:rsidR="002D7080" w:rsidRPr="004D1E6F" w14:paraId="12439090"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2D811CB6" w14:textId="77777777" w:rsidR="002D7080" w:rsidRDefault="002D7080" w:rsidP="004D0B09">
            <w:pPr>
              <w:spacing w:after="0"/>
              <w:rPr>
                <w:rFonts w:ascii="Times New Roman" w:eastAsia="Times New Roman" w:hAnsi="Times New Roman" w:cs="Times New Roman"/>
                <w:color w:val="000000"/>
                <w:sz w:val="20"/>
                <w:szCs w:val="20"/>
                <w:lang w:eastAsia="en-ZA"/>
              </w:rPr>
            </w:pPr>
            <w:r w:rsidRPr="000D2051">
              <w:rPr>
                <w:rFonts w:ascii="Times New Roman" w:eastAsia="Times New Roman" w:hAnsi="Times New Roman" w:cs="Times New Roman"/>
                <w:color w:val="000000"/>
                <w:sz w:val="20"/>
                <w:szCs w:val="20"/>
                <w:lang w:eastAsia="en-ZA"/>
              </w:rPr>
              <w:t>References:</w:t>
            </w:r>
          </w:p>
          <w:p w14:paraId="2D02F336" w14:textId="651B5660" w:rsidR="000D2051" w:rsidRPr="000D2051" w:rsidRDefault="008A0BC6" w:rsidP="004D0B09">
            <w:pPr>
              <w:spacing w:after="0"/>
              <w:ind w:left="720" w:hanging="720"/>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De Moor</w:t>
            </w:r>
            <w:r w:rsidR="000D2051" w:rsidRPr="000D2051">
              <w:rPr>
                <w:rFonts w:ascii="Times New Roman" w:eastAsia="Times New Roman" w:hAnsi="Times New Roman" w:cs="Times New Roman"/>
                <w:color w:val="000000"/>
                <w:sz w:val="20"/>
                <w:szCs w:val="20"/>
                <w:lang w:eastAsia="en-ZA"/>
              </w:rPr>
              <w:t xml:space="preserve">, I., 2002, ‘Potential impacts of alien freshwater crayfish in South Africa’, </w:t>
            </w:r>
            <w:r w:rsidR="000D2051" w:rsidRPr="000D2051">
              <w:rPr>
                <w:rFonts w:ascii="Times New Roman" w:eastAsia="Times New Roman" w:hAnsi="Times New Roman" w:cs="Times New Roman"/>
                <w:i/>
                <w:color w:val="000000"/>
                <w:sz w:val="20"/>
                <w:szCs w:val="20"/>
                <w:lang w:eastAsia="en-ZA"/>
              </w:rPr>
              <w:t>African Journal of Aquatic Science</w:t>
            </w:r>
            <w:r w:rsidR="000D2051" w:rsidRPr="000D2051">
              <w:rPr>
                <w:rFonts w:ascii="Times New Roman" w:eastAsia="Times New Roman" w:hAnsi="Times New Roman" w:cs="Times New Roman"/>
                <w:color w:val="000000"/>
                <w:sz w:val="20"/>
                <w:szCs w:val="20"/>
                <w:lang w:eastAsia="en-ZA"/>
              </w:rPr>
              <w:t xml:space="preserve"> 27, 125–139. </w:t>
            </w:r>
            <w:hyperlink r:id="rId228" w:history="1">
              <w:r w:rsidR="000D2051" w:rsidRPr="000D2051">
                <w:rPr>
                  <w:rStyle w:val="Hyperlink"/>
                  <w:rFonts w:ascii="Times New Roman" w:eastAsia="Times New Roman" w:hAnsi="Times New Roman" w:cs="Times New Roman"/>
                  <w:sz w:val="20"/>
                  <w:szCs w:val="20"/>
                  <w:lang w:eastAsia="en-ZA"/>
                </w:rPr>
                <w:t>https://doi.org/10.2989/16085914.2002.9626584</w:t>
              </w:r>
            </w:hyperlink>
          </w:p>
          <w:p w14:paraId="472DA365" w14:textId="5B4321D4" w:rsidR="000D2051" w:rsidRPr="000D2051" w:rsidRDefault="000D2051" w:rsidP="004D0B09">
            <w:pPr>
              <w:spacing w:after="0"/>
              <w:ind w:left="522" w:hanging="522"/>
              <w:jc w:val="both"/>
              <w:rPr>
                <w:rFonts w:ascii="Times New Roman" w:eastAsia="Times New Roman" w:hAnsi="Times New Roman" w:cs="Times New Roman"/>
                <w:sz w:val="20"/>
                <w:szCs w:val="20"/>
                <w:lang w:eastAsia="en-ZA"/>
              </w:rPr>
            </w:pPr>
            <w:r w:rsidRPr="000D2051">
              <w:rPr>
                <w:rFonts w:ascii="Times New Roman" w:eastAsia="Times New Roman" w:hAnsi="Times New Roman" w:cs="Times New Roman"/>
                <w:sz w:val="20"/>
                <w:szCs w:val="20"/>
                <w:lang w:eastAsia="en-ZA"/>
              </w:rPr>
              <w:t xml:space="preserve">Chucholl, C. &amp; Daude, T., 2008, ‘First record of </w:t>
            </w:r>
            <w:r w:rsidRPr="000D2051">
              <w:rPr>
                <w:rFonts w:ascii="Times New Roman" w:eastAsia="Times New Roman" w:hAnsi="Times New Roman" w:cs="Times New Roman"/>
                <w:i/>
                <w:sz w:val="20"/>
                <w:szCs w:val="20"/>
                <w:lang w:eastAsia="en-ZA"/>
              </w:rPr>
              <w:t>Orconectes juvenilis</w:t>
            </w:r>
            <w:r w:rsidRPr="000D2051">
              <w:rPr>
                <w:rFonts w:ascii="Times New Roman" w:eastAsia="Times New Roman" w:hAnsi="Times New Roman" w:cs="Times New Roman"/>
                <w:sz w:val="20"/>
                <w:szCs w:val="20"/>
                <w:lang w:eastAsia="en-ZA"/>
              </w:rPr>
              <w:t xml:space="preserve"> (Hagen, 1870) in eastern France: update to the species identity of a recently introduced orconectid crayfish (Crustacea: Astacida)’, </w:t>
            </w:r>
            <w:r w:rsidRPr="000D2051">
              <w:rPr>
                <w:rFonts w:ascii="Times New Roman" w:eastAsia="Times New Roman" w:hAnsi="Times New Roman" w:cs="Times New Roman"/>
                <w:i/>
                <w:iCs/>
                <w:sz w:val="20"/>
                <w:szCs w:val="20"/>
                <w:lang w:eastAsia="en-ZA"/>
              </w:rPr>
              <w:t>Aquatic Invasions</w:t>
            </w:r>
            <w:r w:rsidRPr="000D2051">
              <w:rPr>
                <w:rFonts w:ascii="Times New Roman" w:eastAsia="Times New Roman" w:hAnsi="Times New Roman" w:cs="Times New Roman"/>
                <w:sz w:val="20"/>
                <w:szCs w:val="20"/>
                <w:lang w:eastAsia="en-ZA"/>
              </w:rPr>
              <w:t xml:space="preserve">, </w:t>
            </w:r>
            <w:r w:rsidRPr="000D2051">
              <w:rPr>
                <w:rFonts w:ascii="Times New Roman" w:eastAsia="Times New Roman" w:hAnsi="Times New Roman" w:cs="Times New Roman"/>
                <w:iCs/>
                <w:sz w:val="20"/>
                <w:szCs w:val="20"/>
                <w:lang w:eastAsia="en-ZA"/>
              </w:rPr>
              <w:t>3,</w:t>
            </w:r>
            <w:r w:rsidRPr="000D2051">
              <w:rPr>
                <w:rFonts w:ascii="Times New Roman" w:eastAsia="Times New Roman" w:hAnsi="Times New Roman" w:cs="Times New Roman"/>
                <w:sz w:val="20"/>
                <w:szCs w:val="20"/>
                <w:lang w:eastAsia="en-ZA"/>
              </w:rPr>
              <w:t>105–107.</w:t>
            </w:r>
            <w:r w:rsidRPr="00F1238C">
              <w:rPr>
                <w:rFonts w:ascii="Times New Roman" w:hAnsi="Times New Roman" w:cs="Times New Roman"/>
                <w:sz w:val="18"/>
                <w:szCs w:val="18"/>
              </w:rPr>
              <w:t xml:space="preserve"> </w:t>
            </w:r>
            <w:hyperlink r:id="rId229" w:history="1">
              <w:r w:rsidR="00F1238C" w:rsidRPr="00F1238C">
                <w:rPr>
                  <w:rStyle w:val="Hyperlink"/>
                  <w:rFonts w:ascii="Times New Roman" w:hAnsi="Times New Roman" w:cs="Times New Roman"/>
                  <w:sz w:val="20"/>
                  <w:szCs w:val="20"/>
                </w:rPr>
                <w:t>https://doi.org/10.3391/ai.2008.3.1.19</w:t>
              </w:r>
            </w:hyperlink>
            <w:r w:rsidRPr="000D2051">
              <w:rPr>
                <w:rFonts w:ascii="Times New Roman" w:eastAsia="Times New Roman" w:hAnsi="Times New Roman" w:cs="Times New Roman"/>
                <w:sz w:val="20"/>
                <w:szCs w:val="20"/>
                <w:lang w:eastAsia="en-ZA"/>
              </w:rPr>
              <w:t>.</w:t>
            </w:r>
          </w:p>
          <w:p w14:paraId="4B364D38" w14:textId="1BD364AF" w:rsidR="000D2051" w:rsidRPr="000D2051" w:rsidRDefault="000D2051" w:rsidP="004D0B09">
            <w:pPr>
              <w:spacing w:after="0"/>
              <w:ind w:left="720" w:hanging="720"/>
              <w:jc w:val="both"/>
              <w:rPr>
                <w:rFonts w:ascii="Times New Roman" w:eastAsia="Times New Roman" w:hAnsi="Times New Roman" w:cs="Times New Roman"/>
                <w:sz w:val="20"/>
                <w:szCs w:val="20"/>
                <w:lang w:eastAsia="en-ZA"/>
              </w:rPr>
            </w:pPr>
            <w:r w:rsidRPr="000D2051">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0D2051">
              <w:rPr>
                <w:rFonts w:ascii="Times New Roman" w:eastAsia="Times New Roman" w:hAnsi="Times New Roman" w:cs="Times New Roman"/>
                <w:i/>
                <w:iCs/>
                <w:sz w:val="20"/>
                <w:szCs w:val="20"/>
                <w:lang w:eastAsia="en-ZA"/>
              </w:rPr>
              <w:t>Biological Invasions</w:t>
            </w:r>
            <w:r w:rsidRPr="000D2051">
              <w:rPr>
                <w:rFonts w:ascii="Times New Roman" w:eastAsia="Times New Roman" w:hAnsi="Times New Roman" w:cs="Times New Roman"/>
                <w:sz w:val="20"/>
                <w:szCs w:val="20"/>
                <w:lang w:eastAsia="en-ZA"/>
              </w:rPr>
              <w:t xml:space="preserve"> </w:t>
            </w:r>
            <w:r w:rsidRPr="000D2051">
              <w:rPr>
                <w:rFonts w:ascii="Times New Roman" w:eastAsia="Times New Roman" w:hAnsi="Times New Roman" w:cs="Times New Roman"/>
                <w:iCs/>
                <w:sz w:val="20"/>
                <w:szCs w:val="20"/>
                <w:lang w:eastAsia="en-ZA"/>
              </w:rPr>
              <w:t>15</w:t>
            </w:r>
            <w:r w:rsidRPr="000D2051">
              <w:rPr>
                <w:rFonts w:ascii="Times New Roman" w:eastAsia="Times New Roman" w:hAnsi="Times New Roman" w:cs="Times New Roman"/>
                <w:sz w:val="20"/>
                <w:szCs w:val="20"/>
                <w:lang w:eastAsia="en-ZA"/>
              </w:rPr>
              <w:t xml:space="preserve">, 125–141. </w:t>
            </w:r>
            <w:hyperlink w:history="1">
              <w:r w:rsidRPr="006F4B2A">
                <w:rPr>
                  <w:rStyle w:val="Hyperlink"/>
                  <w:rFonts w:ascii="Times New Roman" w:hAnsi="Times New Roman" w:cs="Times New Roman"/>
                  <w:iCs/>
                  <w:sz w:val="20"/>
                  <w:szCs w:val="20"/>
                </w:rPr>
                <w:t>https://doi.org/10.1007/s10530-012-0273-2</w:t>
              </w:r>
            </w:hyperlink>
            <w:r w:rsidRPr="000D2051">
              <w:rPr>
                <w:rFonts w:ascii="Times New Roman" w:eastAsia="Times New Roman" w:hAnsi="Times New Roman" w:cs="Times New Roman"/>
                <w:sz w:val="20"/>
                <w:szCs w:val="20"/>
                <w:lang w:eastAsia="en-ZA"/>
              </w:rPr>
              <w:t>.</w:t>
            </w:r>
          </w:p>
          <w:p w14:paraId="7D3D32D5" w14:textId="4DA5987F" w:rsidR="000D2051" w:rsidRPr="000D2051" w:rsidRDefault="000D2051" w:rsidP="004D0B09">
            <w:pPr>
              <w:spacing w:after="0"/>
              <w:ind w:left="522" w:hanging="522"/>
              <w:jc w:val="both"/>
              <w:rPr>
                <w:rFonts w:ascii="Times New Roman" w:eastAsia="Times New Roman" w:hAnsi="Times New Roman" w:cs="Times New Roman"/>
                <w:color w:val="000000"/>
                <w:sz w:val="20"/>
                <w:szCs w:val="20"/>
                <w:lang w:eastAsia="en-ZA"/>
              </w:rPr>
            </w:pPr>
            <w:r w:rsidRPr="000D2051">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0D2051">
              <w:rPr>
                <w:rFonts w:ascii="Times New Roman" w:eastAsia="Times New Roman" w:hAnsi="Times New Roman" w:cs="Times New Roman"/>
                <w:i/>
                <w:color w:val="000000"/>
                <w:sz w:val="20"/>
                <w:szCs w:val="20"/>
                <w:lang w:eastAsia="en-ZA"/>
              </w:rPr>
              <w:t>African Journal of Aquatic Science</w:t>
            </w:r>
            <w:r w:rsidRPr="000D2051">
              <w:rPr>
                <w:rFonts w:ascii="Times New Roman" w:eastAsia="Times New Roman" w:hAnsi="Times New Roman" w:cs="Times New Roman"/>
                <w:color w:val="000000"/>
                <w:sz w:val="20"/>
                <w:szCs w:val="20"/>
                <w:lang w:eastAsia="en-ZA"/>
              </w:rPr>
              <w:t xml:space="preserve"> 42, 309–323. </w:t>
            </w:r>
            <w:hyperlink r:id="rId230" w:history="1">
              <w:r w:rsidR="004D0B09" w:rsidRPr="004D0B09">
                <w:rPr>
                  <w:rStyle w:val="Hyperlink"/>
                  <w:rFonts w:ascii="Times New Roman" w:hAnsi="Times New Roman" w:cs="Times New Roman"/>
                  <w:sz w:val="20"/>
                  <w:szCs w:val="20"/>
                </w:rPr>
                <w:t>https://doi.org/10.2989/16085914.2017.1405788</w:t>
              </w:r>
            </w:hyperlink>
            <w:r w:rsidRPr="000D2051">
              <w:rPr>
                <w:rFonts w:ascii="Times New Roman" w:eastAsia="Times New Roman" w:hAnsi="Times New Roman" w:cs="Times New Roman"/>
                <w:color w:val="000000"/>
                <w:sz w:val="20"/>
                <w:szCs w:val="20"/>
                <w:lang w:eastAsia="en-ZA"/>
              </w:rPr>
              <w:t xml:space="preserve">. </w:t>
            </w:r>
          </w:p>
          <w:p w14:paraId="00492CAD" w14:textId="2FD41F40" w:rsidR="002D7080" w:rsidRPr="000D2051" w:rsidRDefault="000D2051" w:rsidP="004D0B09">
            <w:pPr>
              <w:spacing w:after="0"/>
              <w:ind w:left="720" w:hanging="720"/>
              <w:jc w:val="both"/>
              <w:rPr>
                <w:rFonts w:ascii="Times New Roman" w:eastAsia="Times New Roman" w:hAnsi="Times New Roman" w:cs="Times New Roman"/>
                <w:sz w:val="20"/>
                <w:szCs w:val="20"/>
                <w:lang w:eastAsia="en-ZA"/>
              </w:rPr>
            </w:pPr>
            <w:r w:rsidRPr="000D2051">
              <w:rPr>
                <w:rFonts w:ascii="Times New Roman" w:hAnsi="Times New Roman" w:cs="Times New Roman"/>
                <w:color w:val="000000"/>
                <w:sz w:val="20"/>
                <w:szCs w:val="20"/>
              </w:rPr>
              <w:t>Taylor, C.A. 2000, ‘Systematic studies of the </w:t>
            </w:r>
            <w:r w:rsidRPr="000D2051">
              <w:rPr>
                <w:rStyle w:val="Emphasis"/>
                <w:rFonts w:ascii="Times New Roman" w:hAnsi="Times New Roman" w:cs="Times New Roman"/>
                <w:color w:val="000000"/>
                <w:sz w:val="20"/>
                <w:szCs w:val="20"/>
              </w:rPr>
              <w:t>Orconectes juvenilis</w:t>
            </w:r>
            <w:r w:rsidRPr="000D2051">
              <w:rPr>
                <w:rFonts w:ascii="Times New Roman" w:hAnsi="Times New Roman" w:cs="Times New Roman"/>
                <w:color w:val="000000"/>
                <w:sz w:val="20"/>
                <w:szCs w:val="20"/>
              </w:rPr>
              <w:t xml:space="preserve"> complex (Decapoda: Cambaridae), with descriptions of two new species’, </w:t>
            </w:r>
            <w:r w:rsidRPr="000D2051">
              <w:rPr>
                <w:rFonts w:ascii="Times New Roman" w:hAnsi="Times New Roman" w:cs="Times New Roman"/>
                <w:i/>
                <w:iCs/>
                <w:color w:val="000000"/>
                <w:sz w:val="20"/>
                <w:szCs w:val="20"/>
              </w:rPr>
              <w:t>Journal of Crustacean Biology</w:t>
            </w:r>
            <w:r w:rsidRPr="000D2051">
              <w:rPr>
                <w:rFonts w:ascii="Times New Roman" w:hAnsi="Times New Roman" w:cs="Times New Roman"/>
                <w:color w:val="000000"/>
                <w:sz w:val="20"/>
                <w:szCs w:val="20"/>
              </w:rPr>
              <w:t>, 20(1), 132-152.</w:t>
            </w:r>
            <w:r w:rsidRPr="000D2051">
              <w:rPr>
                <w:rFonts w:ascii="Times New Roman" w:hAnsi="Times New Roman" w:cs="Times New Roman"/>
                <w:sz w:val="20"/>
                <w:szCs w:val="20"/>
              </w:rPr>
              <w:t xml:space="preserve"> </w:t>
            </w:r>
            <w:hyperlink r:id="rId231" w:history="1">
              <w:r w:rsidRPr="000D2051">
                <w:rPr>
                  <w:rStyle w:val="Hyperlink"/>
                  <w:rFonts w:ascii="Times New Roman" w:hAnsi="Times New Roman" w:cs="Times New Roman"/>
                  <w:sz w:val="20"/>
                  <w:szCs w:val="20"/>
                </w:rPr>
                <w:t>https://doi.org/10.1163/20021975-99990023</w:t>
              </w:r>
            </w:hyperlink>
            <w:r w:rsidRPr="000D2051">
              <w:rPr>
                <w:rFonts w:ascii="Times New Roman" w:hAnsi="Times New Roman" w:cs="Times New Roman"/>
                <w:color w:val="000000"/>
                <w:sz w:val="20"/>
                <w:szCs w:val="20"/>
              </w:rPr>
              <w:t>.</w:t>
            </w:r>
          </w:p>
        </w:tc>
      </w:tr>
      <w:tr w:rsidR="002D7080" w:rsidRPr="004D1E6F" w14:paraId="3711AE93" w14:textId="77777777" w:rsidTr="002E2C37">
        <w:trPr>
          <w:cantSplit/>
          <w:trHeight w:val="233"/>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50DA221" w14:textId="77777777" w:rsidR="002D7080" w:rsidRPr="004D1E6F" w:rsidRDefault="002D7080" w:rsidP="004D0B0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BAC13 What is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’s introduction status in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w:t>
            </w:r>
          </w:p>
        </w:tc>
      </w:tr>
      <w:tr w:rsidR="002D7080" w:rsidRPr="004D1E6F" w14:paraId="1AA24929" w14:textId="77777777" w:rsidTr="002E2C37">
        <w:trPr>
          <w:cantSplit/>
          <w:trHeight w:val="260"/>
        </w:trPr>
        <w:tc>
          <w:tcPr>
            <w:tcW w:w="3600" w:type="dxa"/>
            <w:gridSpan w:val="2"/>
            <w:tcBorders>
              <w:top w:val="single" w:sz="4" w:space="0" w:color="auto"/>
              <w:left w:val="single" w:sz="4" w:space="0" w:color="auto"/>
              <w:bottom w:val="single" w:sz="4" w:space="0" w:color="auto"/>
              <w:right w:val="single" w:sz="4" w:space="0" w:color="auto"/>
            </w:tcBorders>
            <w:noWrap/>
          </w:tcPr>
          <w:p w14:paraId="3C63209C" w14:textId="77777777" w:rsidR="002D7080" w:rsidRPr="004D1E6F" w:rsidRDefault="002D7080" w:rsidP="004D0B0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in cultivation/containment.</w:t>
            </w:r>
          </w:p>
        </w:tc>
        <w:tc>
          <w:tcPr>
            <w:tcW w:w="2524" w:type="dxa"/>
            <w:tcBorders>
              <w:top w:val="single" w:sz="4" w:space="0" w:color="auto"/>
              <w:left w:val="single" w:sz="4" w:space="0" w:color="auto"/>
              <w:bottom w:val="single" w:sz="4" w:space="0" w:color="auto"/>
              <w:right w:val="single" w:sz="4" w:space="0" w:color="auto"/>
            </w:tcBorders>
          </w:tcPr>
          <w:p w14:paraId="41E6C708" w14:textId="77777777" w:rsidR="002D7080" w:rsidRPr="004D1E6F" w:rsidRDefault="002D7080" w:rsidP="004D0B0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Don’t know </w:t>
            </w:r>
          </w:p>
        </w:tc>
        <w:tc>
          <w:tcPr>
            <w:tcW w:w="2666" w:type="dxa"/>
            <w:tcBorders>
              <w:top w:val="single" w:sz="4" w:space="0" w:color="auto"/>
              <w:left w:val="single" w:sz="4" w:space="0" w:color="auto"/>
              <w:bottom w:val="single" w:sz="4" w:space="0" w:color="auto"/>
              <w:right w:val="single" w:sz="4" w:space="0" w:color="auto"/>
            </w:tcBorders>
          </w:tcPr>
          <w:p w14:paraId="4D6E46E3" w14:textId="77777777" w:rsidR="002D7080" w:rsidRPr="004D1E6F" w:rsidRDefault="002D7080" w:rsidP="004D0B0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15E4A708" w14:textId="77777777" w:rsidTr="002E2C37">
        <w:trPr>
          <w:cantSplit/>
          <w:trHeight w:val="87"/>
        </w:trPr>
        <w:tc>
          <w:tcPr>
            <w:tcW w:w="3600" w:type="dxa"/>
            <w:gridSpan w:val="2"/>
            <w:tcBorders>
              <w:top w:val="single" w:sz="4" w:space="0" w:color="auto"/>
              <w:left w:val="single" w:sz="4" w:space="0" w:color="auto"/>
              <w:bottom w:val="single" w:sz="4" w:space="0" w:color="auto"/>
              <w:right w:val="single" w:sz="4" w:space="0" w:color="auto"/>
            </w:tcBorders>
            <w:noWrap/>
          </w:tcPr>
          <w:p w14:paraId="5EDD6370" w14:textId="77777777" w:rsidR="002D7080" w:rsidRPr="004D1E6F" w:rsidRDefault="002D7080" w:rsidP="004D0B0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present in the wild.</w:t>
            </w:r>
          </w:p>
        </w:tc>
        <w:tc>
          <w:tcPr>
            <w:tcW w:w="2524" w:type="dxa"/>
            <w:tcBorders>
              <w:top w:val="single" w:sz="4" w:space="0" w:color="auto"/>
              <w:left w:val="single" w:sz="4" w:space="0" w:color="auto"/>
              <w:bottom w:val="single" w:sz="4" w:space="0" w:color="auto"/>
              <w:right w:val="single" w:sz="4" w:space="0" w:color="auto"/>
            </w:tcBorders>
          </w:tcPr>
          <w:p w14:paraId="6E3CACB5" w14:textId="77777777" w:rsidR="002D7080" w:rsidRPr="004D1E6F" w:rsidRDefault="002D7080" w:rsidP="004D0B0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No</w:t>
            </w:r>
          </w:p>
        </w:tc>
        <w:tc>
          <w:tcPr>
            <w:tcW w:w="2666" w:type="dxa"/>
            <w:tcBorders>
              <w:top w:val="single" w:sz="4" w:space="0" w:color="auto"/>
              <w:left w:val="single" w:sz="4" w:space="0" w:color="auto"/>
              <w:bottom w:val="single" w:sz="4" w:space="0" w:color="auto"/>
              <w:right w:val="single" w:sz="4" w:space="0" w:color="auto"/>
            </w:tcBorders>
          </w:tcPr>
          <w:p w14:paraId="28BA809C" w14:textId="77777777" w:rsidR="002D7080" w:rsidRPr="004D1E6F" w:rsidRDefault="002D7080" w:rsidP="004D0B0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25A36C95" w14:textId="77777777" w:rsidTr="002E2C37">
        <w:trPr>
          <w:cantSplit/>
          <w:trHeight w:val="87"/>
        </w:trPr>
        <w:tc>
          <w:tcPr>
            <w:tcW w:w="3600" w:type="dxa"/>
            <w:gridSpan w:val="2"/>
            <w:tcBorders>
              <w:top w:val="single" w:sz="4" w:space="0" w:color="auto"/>
              <w:left w:val="single" w:sz="4" w:space="0" w:color="auto"/>
              <w:bottom w:val="single" w:sz="4" w:space="0" w:color="auto"/>
              <w:right w:val="single" w:sz="4" w:space="0" w:color="auto"/>
            </w:tcBorders>
            <w:noWrap/>
          </w:tcPr>
          <w:p w14:paraId="7FE8A6E2" w14:textId="77777777" w:rsidR="002D7080" w:rsidRPr="004D1E6F" w:rsidRDefault="002D7080" w:rsidP="004D0B0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has established/naturalised.</w:t>
            </w:r>
          </w:p>
        </w:tc>
        <w:tc>
          <w:tcPr>
            <w:tcW w:w="2524" w:type="dxa"/>
            <w:tcBorders>
              <w:top w:val="single" w:sz="4" w:space="0" w:color="auto"/>
              <w:left w:val="single" w:sz="4" w:space="0" w:color="auto"/>
              <w:bottom w:val="single" w:sz="4" w:space="0" w:color="auto"/>
              <w:right w:val="single" w:sz="4" w:space="0" w:color="auto"/>
            </w:tcBorders>
          </w:tcPr>
          <w:p w14:paraId="1B572929" w14:textId="77777777" w:rsidR="002D7080" w:rsidRPr="004D1E6F" w:rsidRDefault="002D7080" w:rsidP="004D0B0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No</w:t>
            </w:r>
          </w:p>
        </w:tc>
        <w:tc>
          <w:tcPr>
            <w:tcW w:w="2666" w:type="dxa"/>
            <w:tcBorders>
              <w:top w:val="single" w:sz="4" w:space="0" w:color="auto"/>
              <w:left w:val="single" w:sz="4" w:space="0" w:color="auto"/>
              <w:bottom w:val="single" w:sz="4" w:space="0" w:color="auto"/>
              <w:right w:val="single" w:sz="4" w:space="0" w:color="auto"/>
            </w:tcBorders>
          </w:tcPr>
          <w:p w14:paraId="79D2C383" w14:textId="77777777" w:rsidR="002D7080" w:rsidRPr="004D1E6F" w:rsidRDefault="002D7080" w:rsidP="004D0B0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6EDA785B" w14:textId="77777777" w:rsidTr="002E2C37">
        <w:trPr>
          <w:cantSplit/>
          <w:trHeight w:val="87"/>
        </w:trPr>
        <w:tc>
          <w:tcPr>
            <w:tcW w:w="3600" w:type="dxa"/>
            <w:gridSpan w:val="2"/>
            <w:tcBorders>
              <w:top w:val="single" w:sz="4" w:space="0" w:color="auto"/>
              <w:left w:val="single" w:sz="4" w:space="0" w:color="auto"/>
              <w:bottom w:val="single" w:sz="4" w:space="0" w:color="auto"/>
              <w:right w:val="single" w:sz="4" w:space="0" w:color="auto"/>
            </w:tcBorders>
            <w:noWrap/>
          </w:tcPr>
          <w:p w14:paraId="09894A80" w14:textId="77777777" w:rsidR="002D7080" w:rsidRPr="004D1E6F" w:rsidRDefault="002D7080" w:rsidP="004D0B0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invasive.</w:t>
            </w:r>
          </w:p>
        </w:tc>
        <w:tc>
          <w:tcPr>
            <w:tcW w:w="2524" w:type="dxa"/>
            <w:tcBorders>
              <w:top w:val="single" w:sz="4" w:space="0" w:color="auto"/>
              <w:left w:val="single" w:sz="4" w:space="0" w:color="auto"/>
              <w:bottom w:val="single" w:sz="4" w:space="0" w:color="auto"/>
              <w:right w:val="single" w:sz="4" w:space="0" w:color="auto"/>
            </w:tcBorders>
          </w:tcPr>
          <w:p w14:paraId="72FBD714" w14:textId="77777777" w:rsidR="002D7080" w:rsidRPr="004D1E6F" w:rsidRDefault="002D7080" w:rsidP="004D0B0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No </w:t>
            </w:r>
          </w:p>
        </w:tc>
        <w:tc>
          <w:tcPr>
            <w:tcW w:w="2666" w:type="dxa"/>
            <w:tcBorders>
              <w:top w:val="single" w:sz="4" w:space="0" w:color="auto"/>
              <w:left w:val="single" w:sz="4" w:space="0" w:color="auto"/>
              <w:bottom w:val="single" w:sz="4" w:space="0" w:color="auto"/>
              <w:right w:val="single" w:sz="4" w:space="0" w:color="auto"/>
            </w:tcBorders>
          </w:tcPr>
          <w:p w14:paraId="42771E84" w14:textId="77777777" w:rsidR="002D7080" w:rsidRPr="004D1E6F" w:rsidRDefault="002D7080" w:rsidP="004D0B0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4075D4C9"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4E48230F" w14:textId="77777777" w:rsidR="002D7080" w:rsidRPr="004D1E6F" w:rsidRDefault="002D7080" w:rsidP="004D0B09">
            <w:pPr>
              <w:spacing w:after="0"/>
              <w:rPr>
                <w:rFonts w:ascii="Times New Roman" w:eastAsia="Times New Roman" w:hAnsi="Times New Roman" w:cs="Times New Roman"/>
                <w:i/>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Comments: </w:t>
            </w:r>
            <w:r w:rsidRPr="004D1E6F">
              <w:rPr>
                <w:rFonts w:ascii="Times New Roman" w:eastAsia="Times New Roman" w:hAnsi="Times New Roman" w:cs="Times New Roman"/>
                <w:i/>
                <w:iCs/>
                <w:sz w:val="20"/>
                <w:szCs w:val="20"/>
                <w:lang w:eastAsia="en-ZA"/>
              </w:rPr>
              <w:t xml:space="preserve">Faxonius </w:t>
            </w:r>
            <w:r>
              <w:rPr>
                <w:rFonts w:ascii="Times New Roman" w:eastAsia="Times New Roman" w:hAnsi="Times New Roman" w:cs="Times New Roman"/>
                <w:i/>
                <w:iCs/>
                <w:sz w:val="20"/>
                <w:szCs w:val="20"/>
                <w:lang w:eastAsia="en-ZA"/>
              </w:rPr>
              <w:t>juvenilis</w:t>
            </w:r>
            <w:r w:rsidRPr="004D1E6F">
              <w:rPr>
                <w:rFonts w:ascii="Times New Roman" w:eastAsia="Times New Roman" w:hAnsi="Times New Roman" w:cs="Times New Roman"/>
                <w:i/>
                <w:iCs/>
                <w:sz w:val="20"/>
                <w:szCs w:val="20"/>
                <w:lang w:eastAsia="en-ZA"/>
              </w:rPr>
              <w:t xml:space="preserve"> </w:t>
            </w:r>
            <w:r w:rsidRPr="004D1E6F">
              <w:rPr>
                <w:rFonts w:ascii="Times New Roman" w:eastAsia="Times New Roman" w:hAnsi="Times New Roman" w:cs="Times New Roman"/>
                <w:sz w:val="20"/>
                <w:szCs w:val="20"/>
                <w:lang w:eastAsia="en-ZA"/>
              </w:rPr>
              <w:t>is present in the pet trade globally (Chucholl &amp; Daude 2008, Chucholl 2013) but there are no verified records of its presence in South Africa (Nunes et al. 2017).</w:t>
            </w:r>
          </w:p>
        </w:tc>
      </w:tr>
      <w:tr w:rsidR="002D7080" w:rsidRPr="004D1E6F" w14:paraId="63A7CFE6"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0370F0CD" w14:textId="77777777" w:rsidR="002D7080" w:rsidRPr="004D1E6F" w:rsidRDefault="002D7080" w:rsidP="004D0B0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1ED28A6B" w14:textId="39759DF4" w:rsidR="002D7080" w:rsidRPr="004D1E6F" w:rsidRDefault="002D7080" w:rsidP="004D0B09">
            <w:pPr>
              <w:spacing w:after="0"/>
              <w:ind w:left="522" w:hanging="522"/>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Chucholl</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C</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 xml:space="preserve">&amp; </w:t>
            </w:r>
            <w:r w:rsidRPr="004D1E6F">
              <w:rPr>
                <w:rFonts w:ascii="Times New Roman" w:eastAsia="Times New Roman" w:hAnsi="Times New Roman" w:cs="Times New Roman"/>
                <w:sz w:val="20"/>
                <w:szCs w:val="20"/>
                <w:lang w:eastAsia="en-ZA"/>
              </w:rPr>
              <w:t>Daude, T.</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2008</w:t>
            </w:r>
            <w:r>
              <w:rPr>
                <w:rFonts w:ascii="Times New Roman" w:eastAsia="Times New Roman" w:hAnsi="Times New Roman" w:cs="Times New Roman"/>
                <w:sz w:val="20"/>
                <w:szCs w:val="20"/>
                <w:lang w:eastAsia="en-ZA"/>
              </w:rPr>
              <w:t>, ‘</w:t>
            </w:r>
            <w:r w:rsidRPr="004D1E6F">
              <w:rPr>
                <w:rFonts w:ascii="Times New Roman" w:eastAsia="Times New Roman" w:hAnsi="Times New Roman" w:cs="Times New Roman"/>
                <w:sz w:val="20"/>
                <w:szCs w:val="20"/>
                <w:lang w:eastAsia="en-ZA"/>
              </w:rPr>
              <w:t xml:space="preserve">First record of </w:t>
            </w:r>
            <w:r w:rsidRPr="004D1E6F">
              <w:rPr>
                <w:rFonts w:ascii="Times New Roman" w:eastAsia="Times New Roman" w:hAnsi="Times New Roman" w:cs="Times New Roman"/>
                <w:i/>
                <w:sz w:val="20"/>
                <w:szCs w:val="20"/>
                <w:lang w:eastAsia="en-ZA"/>
              </w:rPr>
              <w:t>Orconectes juvenilis</w:t>
            </w:r>
            <w:r w:rsidRPr="004D1E6F">
              <w:rPr>
                <w:rFonts w:ascii="Times New Roman" w:eastAsia="Times New Roman" w:hAnsi="Times New Roman" w:cs="Times New Roman"/>
                <w:sz w:val="20"/>
                <w:szCs w:val="20"/>
                <w:lang w:eastAsia="en-ZA"/>
              </w:rPr>
              <w:t xml:space="preserve"> (Hagen, 1870) in eastern France: update to the species identity of a recently introduced orconectid crayfish (Crustacea: Astacida)</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Aquatic Invasions</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3</w:t>
            </w:r>
            <w:r>
              <w:rPr>
                <w:rFonts w:ascii="Times New Roman" w:eastAsia="Times New Roman" w:hAnsi="Times New Roman" w:cs="Times New Roman"/>
                <w:iCs/>
                <w:sz w:val="20"/>
                <w:szCs w:val="20"/>
                <w:lang w:eastAsia="en-ZA"/>
              </w:rPr>
              <w:t>,</w:t>
            </w:r>
            <w:r w:rsidRPr="004D1E6F">
              <w:rPr>
                <w:rFonts w:ascii="Times New Roman" w:eastAsia="Times New Roman" w:hAnsi="Times New Roman" w:cs="Times New Roman"/>
                <w:sz w:val="20"/>
                <w:szCs w:val="20"/>
                <w:lang w:eastAsia="en-ZA"/>
              </w:rPr>
              <w:t>105–107.</w:t>
            </w:r>
            <w:r w:rsidRPr="00AB1443">
              <w:rPr>
                <w:rFonts w:ascii="Times New Roman" w:eastAsia="Times New Roman" w:hAnsi="Times New Roman" w:cs="Times New Roman"/>
                <w:sz w:val="20"/>
                <w:szCs w:val="20"/>
                <w:lang w:eastAsia="en-ZA"/>
              </w:rPr>
              <w:t xml:space="preserve"> </w:t>
            </w:r>
            <w:hyperlink r:id="rId232" w:history="1">
              <w:r w:rsidR="00F1238C" w:rsidRPr="00F1238C">
                <w:rPr>
                  <w:rStyle w:val="Hyperlink"/>
                  <w:rFonts w:ascii="Times New Roman" w:hAnsi="Times New Roman" w:cs="Times New Roman"/>
                  <w:sz w:val="20"/>
                  <w:szCs w:val="20"/>
                </w:rPr>
                <w:t>https://doi.org/10.3391/ai.2008.3.1.19</w:t>
              </w:r>
            </w:hyperlink>
            <w:r w:rsidRPr="00AB1443">
              <w:rPr>
                <w:rFonts w:ascii="Times New Roman" w:eastAsia="Times New Roman" w:hAnsi="Times New Roman" w:cs="Times New Roman"/>
                <w:sz w:val="20"/>
                <w:szCs w:val="20"/>
                <w:lang w:eastAsia="en-ZA"/>
              </w:rPr>
              <w:t>.</w:t>
            </w:r>
          </w:p>
          <w:p w14:paraId="0E14E937" w14:textId="77777777" w:rsidR="002D7080" w:rsidRPr="004D1E6F" w:rsidRDefault="002D7080" w:rsidP="004D0B09">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hyperlink w:history="1">
              <w:r w:rsidRPr="004D1E6F">
                <w:rPr>
                  <w:rStyle w:val="Hyperlink"/>
                  <w:rFonts w:ascii="Times New Roman" w:eastAsia="Times New Roman" w:hAnsi="Times New Roman" w:cs="Times New Roman"/>
                  <w:sz w:val="20"/>
                  <w:szCs w:val="20"/>
                  <w:lang w:eastAsia="en-ZA"/>
                </w:rPr>
                <w:t>https://doi.org/10.1007/s10530-012-0273-2</w:t>
              </w:r>
            </w:hyperlink>
            <w:r w:rsidRPr="004D1E6F">
              <w:rPr>
                <w:rFonts w:ascii="Times New Roman" w:eastAsia="Times New Roman" w:hAnsi="Times New Roman" w:cs="Times New Roman"/>
                <w:sz w:val="20"/>
                <w:szCs w:val="20"/>
                <w:lang w:eastAsia="en-ZA"/>
              </w:rPr>
              <w:t>.</w:t>
            </w:r>
          </w:p>
          <w:p w14:paraId="53439B40" w14:textId="77777777" w:rsidR="002D7080" w:rsidRPr="004D1E6F" w:rsidRDefault="002D7080" w:rsidP="004D0B09">
            <w:pPr>
              <w:spacing w:after="0"/>
              <w:ind w:left="522" w:hanging="522"/>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w:t>
            </w:r>
            <w:r w:rsidRPr="00AB1443">
              <w:rPr>
                <w:rFonts w:ascii="Times New Roman" w:eastAsia="Times New Roman" w:hAnsi="Times New Roman" w:cs="Times New Roman"/>
                <w:color w:val="000000"/>
                <w:sz w:val="20"/>
                <w:szCs w:val="20"/>
                <w:lang w:eastAsia="en-ZA"/>
              </w:rPr>
              <w:t xml:space="preserve"> </w:t>
            </w:r>
            <w:hyperlink w:history="1">
              <w:r w:rsidRPr="00AB1443">
                <w:rPr>
                  <w:rStyle w:val="Hyperlink"/>
                  <w:rFonts w:ascii="Times New Roman" w:eastAsia="Times New Roman" w:hAnsi="Times New Roman" w:cs="Times New Roman"/>
                  <w:sz w:val="20"/>
                  <w:szCs w:val="20"/>
                  <w:lang w:eastAsia="en-ZA"/>
                </w:rPr>
                <w:t>https://doi.org/10.2989/16085914.2017.1405788</w:t>
              </w:r>
            </w:hyperlink>
            <w:r>
              <w:rPr>
                <w:rFonts w:ascii="Times New Roman" w:eastAsia="Times New Roman" w:hAnsi="Times New Roman" w:cs="Times New Roman"/>
                <w:color w:val="000000"/>
                <w:sz w:val="20"/>
                <w:szCs w:val="20"/>
                <w:lang w:eastAsia="en-ZA"/>
              </w:rPr>
              <w:t xml:space="preserve"> </w:t>
            </w:r>
          </w:p>
        </w:tc>
      </w:tr>
      <w:tr w:rsidR="002D7080" w:rsidRPr="004D1E6F" w14:paraId="158DA0DE" w14:textId="77777777" w:rsidTr="002E2C37">
        <w:trPr>
          <w:cantSplit/>
          <w:trHeight w:val="17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7DF88BE" w14:textId="77777777" w:rsidR="002D7080" w:rsidRPr="004D1E6F" w:rsidRDefault="002D7080" w:rsidP="004D0B09">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BAC14 Primary (introduction) pathways</w:t>
            </w:r>
          </w:p>
        </w:tc>
      </w:tr>
      <w:tr w:rsidR="002D7080" w:rsidRPr="004D1E6F" w14:paraId="455A9AD3" w14:textId="77777777" w:rsidTr="002E2C37">
        <w:trPr>
          <w:cantSplit/>
          <w:trHeight w:val="61"/>
        </w:trPr>
        <w:tc>
          <w:tcPr>
            <w:tcW w:w="2250" w:type="dxa"/>
            <w:tcBorders>
              <w:top w:val="single" w:sz="4" w:space="0" w:color="auto"/>
              <w:left w:val="single" w:sz="4" w:space="0" w:color="auto"/>
              <w:bottom w:val="single" w:sz="4" w:space="0" w:color="auto"/>
              <w:right w:val="single" w:sz="4" w:space="0" w:color="auto"/>
            </w:tcBorders>
            <w:noWrap/>
          </w:tcPr>
          <w:p w14:paraId="75610ED5"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Release</w:t>
            </w:r>
          </w:p>
        </w:tc>
        <w:tc>
          <w:tcPr>
            <w:tcW w:w="3874" w:type="dxa"/>
            <w:gridSpan w:val="2"/>
            <w:tcBorders>
              <w:top w:val="single" w:sz="4" w:space="0" w:color="auto"/>
              <w:left w:val="single" w:sz="4" w:space="0" w:color="auto"/>
              <w:bottom w:val="single" w:sz="4" w:space="0" w:color="auto"/>
              <w:right w:val="single" w:sz="4" w:space="0" w:color="auto"/>
            </w:tcBorders>
          </w:tcPr>
          <w:p w14:paraId="2782E556"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63A4D3B4"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568DCB61" w14:textId="77777777" w:rsidTr="002E2C37">
        <w:trPr>
          <w:cantSplit/>
          <w:trHeight w:val="58"/>
        </w:trPr>
        <w:tc>
          <w:tcPr>
            <w:tcW w:w="2250" w:type="dxa"/>
            <w:tcBorders>
              <w:top w:val="single" w:sz="4" w:space="0" w:color="auto"/>
              <w:left w:val="single" w:sz="4" w:space="0" w:color="auto"/>
              <w:bottom w:val="single" w:sz="4" w:space="0" w:color="auto"/>
              <w:right w:val="single" w:sz="4" w:space="0" w:color="auto"/>
            </w:tcBorders>
            <w:noWrap/>
          </w:tcPr>
          <w:p w14:paraId="3FF262D9"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Escape</w:t>
            </w:r>
          </w:p>
        </w:tc>
        <w:tc>
          <w:tcPr>
            <w:tcW w:w="3874" w:type="dxa"/>
            <w:gridSpan w:val="2"/>
            <w:tcBorders>
              <w:top w:val="single" w:sz="4" w:space="0" w:color="auto"/>
              <w:left w:val="single" w:sz="4" w:space="0" w:color="auto"/>
              <w:bottom w:val="single" w:sz="4" w:space="0" w:color="auto"/>
              <w:right w:val="single" w:sz="4" w:space="0" w:color="auto"/>
            </w:tcBorders>
          </w:tcPr>
          <w:p w14:paraId="50C702A3"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Pet/aquarium/terrarium species (including live food for such species)</w:t>
            </w:r>
          </w:p>
        </w:tc>
        <w:tc>
          <w:tcPr>
            <w:tcW w:w="2666" w:type="dxa"/>
            <w:tcBorders>
              <w:top w:val="single" w:sz="4" w:space="0" w:color="auto"/>
              <w:left w:val="single" w:sz="4" w:space="0" w:color="auto"/>
              <w:bottom w:val="single" w:sz="4" w:space="0" w:color="auto"/>
              <w:right w:val="single" w:sz="4" w:space="0" w:color="auto"/>
            </w:tcBorders>
          </w:tcPr>
          <w:p w14:paraId="7DBCFEF4"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730985FD" w14:textId="77777777" w:rsidTr="002E2C37">
        <w:trPr>
          <w:cantSplit/>
          <w:trHeight w:val="58"/>
        </w:trPr>
        <w:tc>
          <w:tcPr>
            <w:tcW w:w="2250" w:type="dxa"/>
            <w:tcBorders>
              <w:top w:val="single" w:sz="4" w:space="0" w:color="auto"/>
              <w:left w:val="single" w:sz="4" w:space="0" w:color="auto"/>
              <w:bottom w:val="single" w:sz="4" w:space="0" w:color="auto"/>
              <w:right w:val="single" w:sz="4" w:space="0" w:color="auto"/>
            </w:tcBorders>
            <w:noWrap/>
          </w:tcPr>
          <w:p w14:paraId="18C02214"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Contaminant</w:t>
            </w:r>
          </w:p>
        </w:tc>
        <w:tc>
          <w:tcPr>
            <w:tcW w:w="3874" w:type="dxa"/>
            <w:gridSpan w:val="2"/>
            <w:tcBorders>
              <w:top w:val="single" w:sz="4" w:space="0" w:color="auto"/>
              <w:left w:val="single" w:sz="4" w:space="0" w:color="auto"/>
              <w:bottom w:val="single" w:sz="4" w:space="0" w:color="auto"/>
              <w:right w:val="single" w:sz="4" w:space="0" w:color="auto"/>
            </w:tcBorders>
          </w:tcPr>
          <w:p w14:paraId="1DE82AF1"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Live food and bait </w:t>
            </w:r>
          </w:p>
        </w:tc>
        <w:tc>
          <w:tcPr>
            <w:tcW w:w="2666" w:type="dxa"/>
            <w:tcBorders>
              <w:top w:val="single" w:sz="4" w:space="0" w:color="auto"/>
              <w:left w:val="single" w:sz="4" w:space="0" w:color="auto"/>
              <w:bottom w:val="single" w:sz="4" w:space="0" w:color="auto"/>
              <w:right w:val="single" w:sz="4" w:space="0" w:color="auto"/>
            </w:tcBorders>
          </w:tcPr>
          <w:p w14:paraId="6EC41293"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Medium </w:t>
            </w:r>
          </w:p>
        </w:tc>
      </w:tr>
      <w:tr w:rsidR="002D7080" w:rsidRPr="004D1E6F" w14:paraId="587D8EF0" w14:textId="77777777" w:rsidTr="002E2C37">
        <w:trPr>
          <w:cantSplit/>
          <w:trHeight w:val="58"/>
        </w:trPr>
        <w:tc>
          <w:tcPr>
            <w:tcW w:w="2250" w:type="dxa"/>
            <w:tcBorders>
              <w:top w:val="single" w:sz="4" w:space="0" w:color="auto"/>
              <w:left w:val="single" w:sz="4" w:space="0" w:color="auto"/>
              <w:bottom w:val="single" w:sz="4" w:space="0" w:color="auto"/>
              <w:right w:val="single" w:sz="4" w:space="0" w:color="auto"/>
            </w:tcBorders>
            <w:noWrap/>
          </w:tcPr>
          <w:p w14:paraId="4F662D06"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Stowaway</w:t>
            </w:r>
          </w:p>
        </w:tc>
        <w:tc>
          <w:tcPr>
            <w:tcW w:w="3874" w:type="dxa"/>
            <w:gridSpan w:val="2"/>
            <w:tcBorders>
              <w:top w:val="single" w:sz="4" w:space="0" w:color="auto"/>
              <w:left w:val="single" w:sz="4" w:space="0" w:color="auto"/>
              <w:bottom w:val="single" w:sz="4" w:space="0" w:color="auto"/>
              <w:right w:val="single" w:sz="4" w:space="0" w:color="auto"/>
            </w:tcBorders>
          </w:tcPr>
          <w:p w14:paraId="1DDA3199"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56AD7C11"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78A2BC65" w14:textId="77777777" w:rsidTr="002E2C37">
        <w:trPr>
          <w:cantSplit/>
          <w:trHeight w:val="58"/>
        </w:trPr>
        <w:tc>
          <w:tcPr>
            <w:tcW w:w="2250" w:type="dxa"/>
            <w:tcBorders>
              <w:top w:val="single" w:sz="4" w:space="0" w:color="auto"/>
              <w:left w:val="single" w:sz="4" w:space="0" w:color="auto"/>
              <w:bottom w:val="single" w:sz="4" w:space="0" w:color="auto"/>
              <w:right w:val="single" w:sz="4" w:space="0" w:color="auto"/>
            </w:tcBorders>
            <w:noWrap/>
          </w:tcPr>
          <w:p w14:paraId="63E16334"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Corridor</w:t>
            </w:r>
          </w:p>
        </w:tc>
        <w:tc>
          <w:tcPr>
            <w:tcW w:w="3874" w:type="dxa"/>
            <w:gridSpan w:val="2"/>
            <w:tcBorders>
              <w:top w:val="single" w:sz="4" w:space="0" w:color="auto"/>
              <w:left w:val="single" w:sz="4" w:space="0" w:color="auto"/>
              <w:bottom w:val="single" w:sz="4" w:space="0" w:color="auto"/>
              <w:right w:val="single" w:sz="4" w:space="0" w:color="auto"/>
            </w:tcBorders>
          </w:tcPr>
          <w:p w14:paraId="58A7AFCF"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341083F2"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489956E7" w14:textId="77777777" w:rsidTr="002E2C37">
        <w:trPr>
          <w:cantSplit/>
          <w:trHeight w:val="58"/>
        </w:trPr>
        <w:tc>
          <w:tcPr>
            <w:tcW w:w="2250" w:type="dxa"/>
            <w:tcBorders>
              <w:top w:val="single" w:sz="4" w:space="0" w:color="auto"/>
              <w:left w:val="single" w:sz="4" w:space="0" w:color="auto"/>
              <w:bottom w:val="single" w:sz="4" w:space="0" w:color="auto"/>
              <w:right w:val="single" w:sz="4" w:space="0" w:color="auto"/>
            </w:tcBorders>
            <w:noWrap/>
          </w:tcPr>
          <w:p w14:paraId="16225499"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Unaided</w:t>
            </w:r>
          </w:p>
        </w:tc>
        <w:tc>
          <w:tcPr>
            <w:tcW w:w="3874" w:type="dxa"/>
            <w:gridSpan w:val="2"/>
            <w:tcBorders>
              <w:top w:val="single" w:sz="4" w:space="0" w:color="auto"/>
              <w:left w:val="single" w:sz="4" w:space="0" w:color="auto"/>
              <w:bottom w:val="single" w:sz="4" w:space="0" w:color="auto"/>
              <w:right w:val="single" w:sz="4" w:space="0" w:color="auto"/>
            </w:tcBorders>
          </w:tcPr>
          <w:p w14:paraId="3E142642"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260C800E"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651D0ED9"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3DA7B023" w14:textId="77777777" w:rsidR="002D7080" w:rsidRPr="004D1E6F" w:rsidRDefault="002D7080" w:rsidP="006D3942">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 xml:space="preserve">Comments: </w:t>
            </w:r>
            <w:r w:rsidRPr="004D1E6F">
              <w:rPr>
                <w:rFonts w:ascii="Times New Roman" w:eastAsia="Times New Roman" w:hAnsi="Times New Roman" w:cs="Times New Roman"/>
                <w:i/>
                <w:iCs/>
                <w:sz w:val="20"/>
                <w:szCs w:val="20"/>
                <w:lang w:eastAsia="en-ZA"/>
              </w:rPr>
              <w:t xml:space="preserve">Faxonius juvenilis </w:t>
            </w:r>
            <w:r w:rsidRPr="004D1E6F">
              <w:rPr>
                <w:rFonts w:ascii="Times New Roman" w:eastAsia="Times New Roman" w:hAnsi="Times New Roman" w:cs="Times New Roman"/>
                <w:sz w:val="20"/>
                <w:szCs w:val="20"/>
                <w:lang w:eastAsia="en-ZA"/>
              </w:rPr>
              <w:t xml:space="preserve">is known to be present in the pet trade industry globally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"id" : "ITEM-2", "itemData" : { "DOI" : "10.1007/s10530-012-0273-2", "author" : [ { "dropping-particle" : "", "family" : "Chucholl", "given" : "Christoph", "non-dropping-particle" : "", "parse-names" : false, "suffix" : "" } ], "id" : "ITEM-2", "issued" : { "date-parts" : [ [ "2013" ] ] }, "page" : "125-141", "title" : "Invaders for sale : trade and determinants of introduction of ornamental freshwater crayfish", "type" : "article-journal" }, "uris" : [ "http://www.mendeley.com/documents/?uuid=a0511d26-a75d-4f96-93d3-d105f06fe13f" ] } ], "mendeley" : { "formattedCitation" : "(Chucholl 2013, Faulkes 2015)", "plainTextFormattedCitation" : "(Chucholl 2013, Faulkes 2015)"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(Chucholl 2013; Faulkes 2015)</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It has also been introduced through accidental release of live individual kept for food and as bait (</w:t>
            </w:r>
            <w:r w:rsidRPr="004D1E6F">
              <w:rPr>
                <w:rFonts w:ascii="Times New Roman" w:eastAsia="Times New Roman" w:hAnsi="Times New Roman" w:cs="Times New Roman"/>
                <w:color w:val="000000"/>
                <w:sz w:val="20"/>
                <w:szCs w:val="20"/>
                <w:lang w:eastAsia="en-ZA"/>
              </w:rPr>
              <w:t>Holdich et al. 2009; Chucholl &amp; Daude 2008, Daniels 2024)</w:t>
            </w:r>
            <w:r w:rsidRPr="004D1E6F">
              <w:rPr>
                <w:rFonts w:ascii="Times New Roman" w:eastAsia="Times New Roman" w:hAnsi="Times New Roman" w:cs="Times New Roman"/>
                <w:sz w:val="20"/>
                <w:szCs w:val="20"/>
                <w:lang w:eastAsia="en-ZA"/>
              </w:rPr>
              <w:t>. For example, in France i</w:t>
            </w:r>
            <w:r w:rsidRPr="004D1E6F">
              <w:rPr>
                <w:rFonts w:ascii="Times New Roman" w:eastAsia="Times New Roman" w:hAnsi="Times New Roman" w:cs="Times New Roman"/>
                <w:color w:val="000000"/>
                <w:sz w:val="20"/>
                <w:szCs w:val="20"/>
                <w:lang w:eastAsia="en-ZA"/>
              </w:rPr>
              <w:t xml:space="preserve">t is suspected that individuals escaped from a breeding population in ponds at a restaurant advertising crayfish as a delicacy into the Dessoubre river in eastern France where it was discovered in 2005 and has since become established (Chucholl &amp; Daude 2008). </w:t>
            </w:r>
          </w:p>
        </w:tc>
      </w:tr>
      <w:tr w:rsidR="002D7080" w:rsidRPr="004D1E6F" w14:paraId="411A70AC"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26CF7665" w14:textId="77777777" w:rsidR="002D7080" w:rsidRPr="004D1E6F" w:rsidRDefault="002D7080" w:rsidP="006D3942">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7FFDD92E" w14:textId="77777777" w:rsidR="002D7080" w:rsidRPr="004D1E6F" w:rsidRDefault="002D7080" w:rsidP="006D3942">
            <w:pPr>
              <w:spacing w:after="0"/>
              <w:ind w:left="522" w:hanging="522"/>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Chucholl</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C</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 xml:space="preserve">&amp; </w:t>
            </w:r>
            <w:r w:rsidRPr="004D1E6F">
              <w:rPr>
                <w:rFonts w:ascii="Times New Roman" w:eastAsia="Times New Roman" w:hAnsi="Times New Roman" w:cs="Times New Roman"/>
                <w:sz w:val="20"/>
                <w:szCs w:val="20"/>
                <w:lang w:eastAsia="en-ZA"/>
              </w:rPr>
              <w:t>Daude, T.</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2008</w:t>
            </w:r>
            <w:r>
              <w:rPr>
                <w:rFonts w:ascii="Times New Roman" w:eastAsia="Times New Roman" w:hAnsi="Times New Roman" w:cs="Times New Roman"/>
                <w:sz w:val="20"/>
                <w:szCs w:val="20"/>
                <w:lang w:eastAsia="en-ZA"/>
              </w:rPr>
              <w:t>, ‘</w:t>
            </w:r>
            <w:r w:rsidRPr="004D1E6F">
              <w:rPr>
                <w:rFonts w:ascii="Times New Roman" w:eastAsia="Times New Roman" w:hAnsi="Times New Roman" w:cs="Times New Roman"/>
                <w:sz w:val="20"/>
                <w:szCs w:val="20"/>
                <w:lang w:eastAsia="en-ZA"/>
              </w:rPr>
              <w:t xml:space="preserve">First record of </w:t>
            </w:r>
            <w:r w:rsidRPr="004D1E6F">
              <w:rPr>
                <w:rFonts w:ascii="Times New Roman" w:eastAsia="Times New Roman" w:hAnsi="Times New Roman" w:cs="Times New Roman"/>
                <w:i/>
                <w:sz w:val="20"/>
                <w:szCs w:val="20"/>
                <w:lang w:eastAsia="en-ZA"/>
              </w:rPr>
              <w:t>Orconectes juvenilis</w:t>
            </w:r>
            <w:r w:rsidRPr="004D1E6F">
              <w:rPr>
                <w:rFonts w:ascii="Times New Roman" w:eastAsia="Times New Roman" w:hAnsi="Times New Roman" w:cs="Times New Roman"/>
                <w:sz w:val="20"/>
                <w:szCs w:val="20"/>
                <w:lang w:eastAsia="en-ZA"/>
              </w:rPr>
              <w:t xml:space="preserve"> (Hagen, 1870) in eastern France: update to the species identity of a recently introduced orconectid crayfish (Crustacea: Astacida)</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Aquatic Invasions</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3</w:t>
            </w:r>
            <w:r>
              <w:rPr>
                <w:rFonts w:ascii="Times New Roman" w:eastAsia="Times New Roman" w:hAnsi="Times New Roman" w:cs="Times New Roman"/>
                <w:iCs/>
                <w:sz w:val="20"/>
                <w:szCs w:val="20"/>
                <w:lang w:eastAsia="en-ZA"/>
              </w:rPr>
              <w:t>,</w:t>
            </w:r>
            <w:r w:rsidRPr="004D1E6F">
              <w:rPr>
                <w:rFonts w:ascii="Times New Roman" w:eastAsia="Times New Roman" w:hAnsi="Times New Roman" w:cs="Times New Roman"/>
                <w:sz w:val="20"/>
                <w:szCs w:val="20"/>
                <w:lang w:eastAsia="en-ZA"/>
              </w:rPr>
              <w:t>105–107.</w:t>
            </w:r>
            <w:r w:rsidRPr="00AB1443">
              <w:rPr>
                <w:rFonts w:ascii="Times New Roman" w:eastAsia="Times New Roman" w:hAnsi="Times New Roman" w:cs="Times New Roman"/>
                <w:sz w:val="20"/>
                <w:szCs w:val="20"/>
                <w:lang w:eastAsia="en-ZA"/>
              </w:rPr>
              <w:t xml:space="preserve"> </w:t>
            </w:r>
            <w:hyperlink r:id="rId233" w:history="1">
              <w:r w:rsidRPr="00AB1443">
                <w:rPr>
                  <w:rStyle w:val="Hyperlink"/>
                  <w:rFonts w:ascii="Times New Roman" w:eastAsia="Times New Roman" w:hAnsi="Times New Roman" w:cs="Times New Roman"/>
                  <w:sz w:val="20"/>
                  <w:szCs w:val="20"/>
                  <w:lang w:eastAsia="en-ZA"/>
                </w:rPr>
                <w:t>https://doi.org/10.3391/ai.2008.3.1.19</w:t>
              </w:r>
            </w:hyperlink>
            <w:r w:rsidRPr="00AB1443">
              <w:rPr>
                <w:rFonts w:ascii="Times New Roman" w:eastAsia="Times New Roman" w:hAnsi="Times New Roman" w:cs="Times New Roman"/>
                <w:sz w:val="20"/>
                <w:szCs w:val="20"/>
                <w:lang w:eastAsia="en-ZA"/>
              </w:rPr>
              <w:t>.</w:t>
            </w:r>
          </w:p>
          <w:p w14:paraId="4881A768" w14:textId="77777777" w:rsidR="002D7080" w:rsidRPr="004D1E6F" w:rsidRDefault="002D7080" w:rsidP="006D3942">
            <w:pPr>
              <w:tabs>
                <w:tab w:val="left" w:pos="180"/>
              </w:tabs>
              <w:spacing w:after="0"/>
              <w:ind w:left="525" w:hanging="525"/>
              <w:jc w:val="both"/>
              <w:rPr>
                <w:rFonts w:ascii="Times New Roman" w:eastAsia="Calibri" w:hAnsi="Times New Roman" w:cs="Times New Roman"/>
                <w:bCs/>
                <w:sz w:val="20"/>
                <w:szCs w:val="20"/>
              </w:rPr>
            </w:pPr>
            <w:r w:rsidRPr="004D1E6F">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hyperlink w:history="1">
              <w:r w:rsidRPr="004D1E6F">
                <w:rPr>
                  <w:rStyle w:val="Hyperlink"/>
                  <w:rFonts w:ascii="Times New Roman" w:eastAsia="Times New Roman" w:hAnsi="Times New Roman" w:cs="Times New Roman"/>
                  <w:sz w:val="20"/>
                  <w:szCs w:val="20"/>
                  <w:lang w:eastAsia="en-ZA"/>
                </w:rPr>
                <w:t>https://doi.org/10.1007/s10530-012-0273-2</w:t>
              </w:r>
            </w:hyperlink>
          </w:p>
          <w:p w14:paraId="310017A0" w14:textId="77777777" w:rsidR="002D7080" w:rsidRPr="004D1E6F" w:rsidRDefault="002D7080" w:rsidP="006D3942">
            <w:pPr>
              <w:tabs>
                <w:tab w:val="left" w:pos="180"/>
              </w:tabs>
              <w:spacing w:after="0"/>
              <w:ind w:left="525" w:hanging="525"/>
              <w:jc w:val="both"/>
              <w:rPr>
                <w:rFonts w:ascii="Times New Roman" w:eastAsia="Times New Roman" w:hAnsi="Times New Roman" w:cs="Times New Roman"/>
                <w:color w:val="000000"/>
                <w:sz w:val="20"/>
                <w:szCs w:val="20"/>
                <w:lang w:eastAsia="en-ZA"/>
              </w:rPr>
            </w:pPr>
            <w:r w:rsidRPr="004D1E6F">
              <w:rPr>
                <w:rFonts w:ascii="Times New Roman" w:hAnsi="Times New Roman" w:cs="Times New Roman"/>
                <w:color w:val="000000"/>
                <w:sz w:val="20"/>
                <w:szCs w:val="20"/>
              </w:rPr>
              <w:t>Daniel, W.M., 2024, </w:t>
            </w:r>
            <w:r w:rsidRPr="004D1E6F">
              <w:rPr>
                <w:rFonts w:ascii="Times New Roman" w:hAnsi="Times New Roman" w:cs="Times New Roman"/>
                <w:i/>
                <w:iCs/>
                <w:color w:val="000000"/>
                <w:sz w:val="20"/>
                <w:szCs w:val="20"/>
              </w:rPr>
              <w:t>Faxonius juvenilis</w:t>
            </w:r>
            <w:r w:rsidRPr="004D1E6F">
              <w:rPr>
                <w:rFonts w:ascii="Times New Roman" w:hAnsi="Times New Roman" w:cs="Times New Roman"/>
                <w:color w:val="000000"/>
                <w:sz w:val="20"/>
                <w:szCs w:val="20"/>
              </w:rPr>
              <w:t xml:space="preserve"> (Hagen, 1870): U.S. Geological Survey, Nonindigenous Aquatic Species Database, Gainesville, FL, </w:t>
            </w:r>
            <w:hyperlink r:id="rId234" w:history="1">
              <w:r w:rsidRPr="000B0DAE">
                <w:rPr>
                  <w:rStyle w:val="Hyperlink"/>
                  <w:rFonts w:ascii="Times New Roman" w:hAnsi="Times New Roman" w:cs="Times New Roman"/>
                  <w:sz w:val="20"/>
                  <w:szCs w:val="20"/>
                </w:rPr>
                <w:t>https://nas.er.usgs.gov/queries/FactSheet.aspx?SpeciesID=2904</w:t>
              </w:r>
            </w:hyperlink>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 Revision Date: 6/14/2017, Access Date: 7/9/2024</w:t>
            </w:r>
          </w:p>
          <w:p w14:paraId="4A7116A3" w14:textId="1643CD00" w:rsidR="00506D1D" w:rsidRPr="00506D1D" w:rsidRDefault="002D7080" w:rsidP="006D3942">
            <w:pPr>
              <w:tabs>
                <w:tab w:val="left" w:pos="180"/>
              </w:tabs>
              <w:spacing w:after="0"/>
              <w:ind w:left="525" w:hanging="525"/>
              <w:jc w:val="both"/>
              <w:rPr>
                <w:rFonts w:ascii="Times New Roman" w:hAnsi="Times New Roman" w:cs="Times New Roman"/>
                <w:sz w:val="20"/>
                <w:szCs w:val="20"/>
              </w:rPr>
            </w:pPr>
            <w:r w:rsidRPr="004D1E6F">
              <w:rPr>
                <w:rFonts w:ascii="Times New Roman" w:eastAsia="Times New Roman" w:hAnsi="Times New Roman" w:cs="Times New Roman"/>
                <w:color w:val="000000"/>
                <w:sz w:val="20"/>
                <w:szCs w:val="20"/>
                <w:lang w:eastAsia="en-ZA"/>
              </w:rPr>
              <w:t>Faulkes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Z</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2015</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The global trade in crayfish as pets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Crustacean Research</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44</w:t>
            </w:r>
            <w:r>
              <w:rPr>
                <w:rFonts w:ascii="Times New Roman" w:eastAsia="Times New Roman" w:hAnsi="Times New Roman" w:cs="Times New Roman"/>
                <w:iCs/>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75–92.</w:t>
            </w:r>
            <w:r w:rsidRPr="00AB1443">
              <w:t xml:space="preserve"> </w:t>
            </w:r>
            <w:hyperlink r:id="rId235" w:history="1">
              <w:r w:rsidR="00506D1D" w:rsidRPr="00506D1D">
                <w:rPr>
                  <w:rStyle w:val="Hyperlink"/>
                  <w:rFonts w:ascii="Times New Roman" w:hAnsi="Times New Roman" w:cs="Times New Roman"/>
                  <w:sz w:val="20"/>
                  <w:szCs w:val="20"/>
                </w:rPr>
                <w:t>https://doi.org/10.18353/crustacea.44.0_75</w:t>
              </w:r>
            </w:hyperlink>
            <w:r w:rsidR="00506D1D" w:rsidRPr="00506D1D">
              <w:rPr>
                <w:rFonts w:ascii="Times New Roman" w:hAnsi="Times New Roman" w:cs="Times New Roman"/>
                <w:sz w:val="20"/>
                <w:szCs w:val="20"/>
              </w:rPr>
              <w:t>.</w:t>
            </w:r>
          </w:p>
          <w:p w14:paraId="1F314B17" w14:textId="6C7E7590" w:rsidR="002D7080" w:rsidRPr="004D1E6F" w:rsidRDefault="002D7080" w:rsidP="006D3942">
            <w:pPr>
              <w:tabs>
                <w:tab w:val="left" w:pos="180"/>
              </w:tabs>
              <w:spacing w:after="0"/>
              <w:ind w:left="525" w:hanging="525"/>
              <w:jc w:val="both"/>
              <w:rPr>
                <w:rFonts w:ascii="Times New Roman" w:hAnsi="Times New Roman" w:cs="Times New Roman"/>
                <w:sz w:val="20"/>
                <w:szCs w:val="20"/>
              </w:rPr>
            </w:pPr>
            <w:r w:rsidRPr="004D1E6F">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4D1E6F">
              <w:rPr>
                <w:rFonts w:ascii="Times New Roman" w:eastAsia="Calibri" w:hAnsi="Times New Roman" w:cs="Times New Roman"/>
                <w:sz w:val="20"/>
                <w:szCs w:val="20"/>
              </w:rPr>
              <w:t xml:space="preserve"> </w:t>
            </w:r>
            <w:r w:rsidRPr="004D1E6F">
              <w:rPr>
                <w:rFonts w:ascii="Times New Roman" w:eastAsia="Calibri" w:hAnsi="Times New Roman" w:cs="Times New Roman"/>
                <w:bCs/>
                <w:i/>
                <w:sz w:val="20"/>
                <w:szCs w:val="20"/>
              </w:rPr>
              <w:t>Knowledge and Management of Aquatic Ecosystems</w:t>
            </w:r>
            <w:r w:rsidRPr="004D1E6F">
              <w:rPr>
                <w:rFonts w:ascii="Times New Roman" w:eastAsia="Calibri" w:hAnsi="Times New Roman" w:cs="Times New Roman"/>
                <w:bCs/>
                <w:sz w:val="20"/>
                <w:szCs w:val="20"/>
              </w:rPr>
              <w:t xml:space="preserve"> 11, 394–395</w:t>
            </w:r>
            <w:r w:rsidRPr="004D1E6F">
              <w:rPr>
                <w:rFonts w:ascii="Times New Roman" w:hAnsi="Times New Roman" w:cs="Times New Roman"/>
                <w:sz w:val="20"/>
                <w:szCs w:val="20"/>
              </w:rPr>
              <w:t xml:space="preserve">. </w:t>
            </w:r>
            <w:hyperlink w:history="1">
              <w:r w:rsidRPr="004D1E6F">
                <w:rPr>
                  <w:rStyle w:val="Hyperlink"/>
                  <w:rFonts w:ascii="Times New Roman" w:hAnsi="Times New Roman" w:cs="Times New Roman"/>
                  <w:sz w:val="20"/>
                  <w:szCs w:val="20"/>
                </w:rPr>
                <w:t>https://doi.org/10.1051/kmae/2009025</w:t>
              </w:r>
            </w:hyperlink>
            <w:r w:rsidRPr="004D1E6F">
              <w:rPr>
                <w:rFonts w:ascii="Times New Roman" w:hAnsi="Times New Roman" w:cs="Times New Roman"/>
                <w:sz w:val="20"/>
                <w:szCs w:val="20"/>
              </w:rPr>
              <w:t>.</w:t>
            </w:r>
          </w:p>
        </w:tc>
      </w:tr>
    </w:tbl>
    <w:p w14:paraId="2E613C9E" w14:textId="77777777" w:rsidR="002D7080" w:rsidRPr="004D1E6F" w:rsidRDefault="002D7080" w:rsidP="006D3942">
      <w:pPr>
        <w:spacing w:after="0"/>
        <w:rPr>
          <w:rFonts w:ascii="Times New Roman" w:eastAsia="Times New Roman" w:hAnsi="Times New Roman" w:cs="Times New Roman"/>
          <w:color w:val="000000"/>
          <w:sz w:val="20"/>
          <w:szCs w:val="20"/>
          <w:lang w:eastAsia="en-ZA"/>
        </w:rPr>
      </w:pPr>
    </w:p>
    <w:p w14:paraId="635F53D6" w14:textId="77777777" w:rsidR="002D7080" w:rsidRPr="004D1E6F" w:rsidRDefault="002D7080" w:rsidP="006D3942">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2. Likelihood</w:t>
      </w:r>
    </w:p>
    <w:p w14:paraId="5B201BCC" w14:textId="77777777" w:rsidR="002D7080" w:rsidRPr="004D1E6F" w:rsidRDefault="002D7080" w:rsidP="006D3942">
      <w:pPr>
        <w:spacing w:after="0"/>
        <w:rPr>
          <w:rFonts w:ascii="Times New Roman" w:eastAsia="Times New Roman" w:hAnsi="Times New Roman" w:cs="Times New Roman"/>
          <w:b/>
          <w:color w:val="000000"/>
          <w:sz w:val="20"/>
          <w:szCs w:val="20"/>
          <w:lang w:eastAsia="en-ZA"/>
        </w:rPr>
      </w:pPr>
    </w:p>
    <w:tbl>
      <w:tblPr>
        <w:tblStyle w:val="TableGrid8"/>
        <w:tblW w:w="0" w:type="auto"/>
        <w:tblLook w:val="04A0" w:firstRow="1" w:lastRow="0" w:firstColumn="1" w:lastColumn="0" w:noHBand="0" w:noVBand="1"/>
      </w:tblPr>
      <w:tblGrid>
        <w:gridCol w:w="5524"/>
        <w:gridCol w:w="3492"/>
      </w:tblGrid>
      <w:tr w:rsidR="002D7080" w:rsidRPr="004D1E6F" w14:paraId="51BB056A" w14:textId="77777777" w:rsidTr="002E2C37">
        <w:tc>
          <w:tcPr>
            <w:tcW w:w="9016" w:type="dxa"/>
            <w:gridSpan w:val="2"/>
            <w:shd w:val="clear" w:color="auto" w:fill="F2F2F2" w:themeFill="background1" w:themeFillShade="F2"/>
          </w:tcPr>
          <w:p w14:paraId="79D73FE4" w14:textId="77777777" w:rsidR="002D7080" w:rsidRPr="004D1E6F" w:rsidRDefault="002D7080" w:rsidP="006D3942">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LIK1 Likelihood of entry via unaided primary pathways</w:t>
            </w:r>
          </w:p>
        </w:tc>
      </w:tr>
      <w:tr w:rsidR="002D7080" w:rsidRPr="004D1E6F" w14:paraId="071ABA71" w14:textId="77777777" w:rsidTr="002E2C37">
        <w:tc>
          <w:tcPr>
            <w:tcW w:w="5524" w:type="dxa"/>
          </w:tcPr>
          <w:p w14:paraId="0ECB8974" w14:textId="77777777" w:rsidR="002D7080" w:rsidRPr="004D1E6F" w:rsidRDefault="002D7080" w:rsidP="006D3942">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Very unlikely (p = 0.0027)</w:t>
            </w:r>
          </w:p>
        </w:tc>
        <w:tc>
          <w:tcPr>
            <w:tcW w:w="3492" w:type="dxa"/>
          </w:tcPr>
          <w:p w14:paraId="3164E7BB" w14:textId="77777777" w:rsidR="002D7080" w:rsidRPr="004D1E6F" w:rsidRDefault="002D7080" w:rsidP="006D3942">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7155C42B" w14:textId="77777777" w:rsidTr="002E2C37">
        <w:trPr>
          <w:trHeight w:val="512"/>
        </w:trPr>
        <w:tc>
          <w:tcPr>
            <w:tcW w:w="9016" w:type="dxa"/>
            <w:gridSpan w:val="2"/>
          </w:tcPr>
          <w:p w14:paraId="276F3BCC" w14:textId="77777777" w:rsidR="002D7080" w:rsidRPr="004D1E6F" w:rsidRDefault="002D7080" w:rsidP="005D1D6C">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There is no evidence that </w:t>
            </w:r>
            <w:r w:rsidRPr="004D1E6F">
              <w:rPr>
                <w:rFonts w:ascii="Times New Roman" w:eastAsia="Times New Roman" w:hAnsi="Times New Roman" w:cs="Times New Roman"/>
                <w:i/>
                <w:iCs/>
                <w:color w:val="000000"/>
                <w:sz w:val="20"/>
                <w:szCs w:val="20"/>
                <w:lang w:eastAsia="en-ZA"/>
              </w:rPr>
              <w:t xml:space="preserve">F. juvenilis </w:t>
            </w:r>
            <w:r w:rsidRPr="004D1E6F">
              <w:rPr>
                <w:rFonts w:ascii="Times New Roman" w:eastAsia="Times New Roman" w:hAnsi="Times New Roman" w:cs="Times New Roman"/>
                <w:color w:val="000000"/>
                <w:sz w:val="20"/>
                <w:szCs w:val="20"/>
                <w:lang w:eastAsia="en-ZA"/>
              </w:rPr>
              <w:t xml:space="preserve">is present in South Africa or has established in the wild in neighbouring countries in the SADC Region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Madzivanzira et al. 2020)", "plainTextFormattedCitation" : "(Lodge et al. 2012, Madzivanzira et al. 2020)", "previouslyFormattedCitation" : "(Lodge et al. 2012, Madzivanzira et al. 2020)"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(Lodge et al. 2012; Nunes et al. 2017; Madzivanzira et al. 2020)</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therefore the probability of </w:t>
            </w:r>
            <w:r w:rsidRPr="004D1E6F">
              <w:rPr>
                <w:rFonts w:ascii="Times New Roman" w:eastAsia="Times New Roman" w:hAnsi="Times New Roman" w:cs="Times New Roman"/>
                <w:i/>
                <w:color w:val="000000"/>
                <w:sz w:val="20"/>
                <w:szCs w:val="20"/>
                <w:lang w:eastAsia="en-ZA"/>
              </w:rPr>
              <w:t>F. juvenilis</w:t>
            </w:r>
            <w:r w:rsidRPr="004D1E6F">
              <w:rPr>
                <w:rFonts w:ascii="Times New Roman" w:eastAsia="Times New Roman" w:hAnsi="Times New Roman" w:cs="Times New Roman"/>
                <w:color w:val="000000"/>
                <w:sz w:val="20"/>
                <w:szCs w:val="20"/>
                <w:lang w:eastAsia="en-ZA"/>
              </w:rPr>
              <w:t xml:space="preserve"> entering South Africa through unaided pathways (connected waterways) is very unlikely (p = 0.0027).</w:t>
            </w:r>
          </w:p>
        </w:tc>
      </w:tr>
      <w:tr w:rsidR="002D7080" w:rsidRPr="004D1E6F" w14:paraId="6B67C11D" w14:textId="77777777" w:rsidTr="002E2C37">
        <w:tc>
          <w:tcPr>
            <w:tcW w:w="9016" w:type="dxa"/>
            <w:gridSpan w:val="2"/>
          </w:tcPr>
          <w:p w14:paraId="02539545" w14:textId="77777777" w:rsidR="002D7080" w:rsidRPr="004D1E6F" w:rsidRDefault="002D7080" w:rsidP="006D3942">
            <w:pPr>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5B921E0E" w14:textId="0758EFA6" w:rsidR="002D7080" w:rsidRPr="00506D1D" w:rsidRDefault="00506D1D" w:rsidP="00506D1D">
            <w:pPr>
              <w:ind w:left="540" w:hanging="540"/>
              <w:contextualSpacing/>
              <w:jc w:val="both"/>
              <w:rPr>
                <w:rFonts w:ascii="Times New Roman" w:eastAsia="Times New Roman" w:hAnsi="Times New Roman" w:cs="Times New Roman"/>
                <w:sz w:val="20"/>
                <w:szCs w:val="20"/>
                <w:lang w:eastAsia="en-ZA"/>
              </w:rPr>
            </w:pPr>
            <w:r w:rsidRPr="00506D1D">
              <w:rPr>
                <w:rFonts w:ascii="Times New Roman" w:eastAsia="Times New Roman" w:hAnsi="Times New Roman" w:cs="Times New Roman"/>
                <w:sz w:val="20"/>
                <w:szCs w:val="20"/>
                <w:lang w:eastAsia="en-ZA"/>
              </w:rPr>
              <w:t xml:space="preserve">Lodge, D.M., Deines, A., Gherardi, F., Yeo, D.C.J., Arcella, T., Baldridge, A.K., Branes, M.A., Chadderton, W.L., Feder, J.L., Grantz, C.A., Howard, G.W., Jerdde, C.L., Peters, J.A., Sargent, L.W., Turner, C.R., Wittmann, M.E. &amp; Zeng, Y., 2012, ‘Global introductions of crayfishes: evaluating the impact of species invasions on ecosystem services’, </w:t>
            </w:r>
            <w:r w:rsidRPr="00506D1D">
              <w:rPr>
                <w:rFonts w:ascii="Times New Roman" w:eastAsia="Times New Roman" w:hAnsi="Times New Roman" w:cs="Times New Roman"/>
                <w:i/>
                <w:sz w:val="20"/>
                <w:szCs w:val="20"/>
                <w:lang w:eastAsia="en-ZA"/>
              </w:rPr>
              <w:t>Annual Review of Ecology Evolution Systematics</w:t>
            </w:r>
            <w:r w:rsidRPr="00506D1D">
              <w:rPr>
                <w:rFonts w:ascii="Times New Roman" w:eastAsia="Times New Roman" w:hAnsi="Times New Roman" w:cs="Times New Roman"/>
                <w:sz w:val="20"/>
                <w:szCs w:val="20"/>
                <w:lang w:eastAsia="en-ZA"/>
              </w:rPr>
              <w:t xml:space="preserve"> 43, 449–472, , </w:t>
            </w:r>
            <w:hyperlink r:id="rId236" w:history="1">
              <w:r w:rsidRPr="00506D1D">
                <w:rPr>
                  <w:rStyle w:val="Hyperlink"/>
                  <w:rFonts w:ascii="Times New Roman" w:eastAsia="Times New Roman" w:hAnsi="Times New Roman" w:cs="Times New Roman"/>
                  <w:sz w:val="20"/>
                  <w:szCs w:val="20"/>
                  <w:lang w:eastAsia="en-ZA"/>
                </w:rPr>
                <w:t>https://doi.org/10.1146/annurev-ecolsys-111511-103919</w:t>
              </w:r>
            </w:hyperlink>
            <w:r>
              <w:rPr>
                <w:rFonts w:ascii="Times New Roman" w:eastAsia="Times New Roman" w:hAnsi="Times New Roman" w:cs="Times New Roman"/>
                <w:sz w:val="20"/>
                <w:szCs w:val="20"/>
                <w:lang w:eastAsia="en-ZA"/>
              </w:rPr>
              <w:t xml:space="preserve">. </w:t>
            </w:r>
          </w:p>
          <w:p w14:paraId="639B36BD" w14:textId="34EE37D0" w:rsidR="00094725" w:rsidRDefault="002D7080" w:rsidP="006D3942">
            <w:pPr>
              <w:ind w:left="540" w:hanging="540"/>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4D1E6F">
              <w:rPr>
                <w:rFonts w:ascii="Times New Roman" w:eastAsia="Times New Roman" w:hAnsi="Times New Roman" w:cs="Times New Roman"/>
                <w:i/>
                <w:sz w:val="20"/>
                <w:szCs w:val="20"/>
                <w:lang w:eastAsia="en-ZA"/>
              </w:rPr>
              <w:t xml:space="preserve">Reviews in Fisheries Science &amp; Aquaculture </w:t>
            </w:r>
            <w:r w:rsidRPr="004D1E6F">
              <w:rPr>
                <w:rFonts w:ascii="Times New Roman" w:eastAsia="Times New Roman" w:hAnsi="Times New Roman" w:cs="Times New Roman"/>
                <w:sz w:val="20"/>
                <w:szCs w:val="20"/>
                <w:lang w:eastAsia="en-ZA"/>
              </w:rPr>
              <w:t>1-21</w:t>
            </w:r>
            <w:r w:rsidRPr="004D1E6F">
              <w:rPr>
                <w:rFonts w:ascii="Times New Roman" w:eastAsia="Times New Roman" w:hAnsi="Times New Roman" w:cs="Times New Roman"/>
                <w:i/>
                <w:sz w:val="20"/>
                <w:szCs w:val="20"/>
                <w:lang w:eastAsia="en-ZA"/>
              </w:rPr>
              <w:t>.</w:t>
            </w:r>
            <w:r w:rsidRPr="004D1E6F">
              <w:rPr>
                <w:rFonts w:ascii="Times New Roman" w:eastAsia="Times New Roman" w:hAnsi="Times New Roman" w:cs="Times New Roman"/>
                <w:iCs/>
                <w:sz w:val="20"/>
                <w:szCs w:val="20"/>
                <w:lang w:eastAsia="en-ZA"/>
              </w:rPr>
              <w:t xml:space="preserve"> </w:t>
            </w:r>
            <w:hyperlink r:id="rId237" w:history="1">
              <w:r w:rsidR="00506D1D" w:rsidRPr="00A22D6D">
                <w:rPr>
                  <w:rStyle w:val="Hyperlink"/>
                  <w:rFonts w:ascii="Times New Roman" w:eastAsia="Times New Roman" w:hAnsi="Times New Roman" w:cs="Times New Roman"/>
                  <w:sz w:val="20"/>
                  <w:szCs w:val="20"/>
                  <w:lang w:eastAsia="en-ZA"/>
                </w:rPr>
                <w:t>https://doi.org/10.1080/23308249.2020.1802405</w:t>
              </w:r>
            </w:hyperlink>
            <w:r w:rsidR="00506D1D">
              <w:rPr>
                <w:rFonts w:ascii="Times New Roman" w:eastAsia="Times New Roman" w:hAnsi="Times New Roman" w:cs="Times New Roman"/>
                <w:color w:val="000000"/>
                <w:sz w:val="20"/>
                <w:szCs w:val="20"/>
                <w:lang w:eastAsia="en-ZA"/>
              </w:rPr>
              <w:t xml:space="preserve">. </w:t>
            </w:r>
          </w:p>
          <w:p w14:paraId="4FF0FEB2" w14:textId="47E6280C" w:rsidR="002D7080" w:rsidRPr="004D1E6F" w:rsidRDefault="002D7080" w:rsidP="006D3942">
            <w:pPr>
              <w:ind w:left="540" w:hanging="540"/>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 </w:t>
            </w:r>
            <w:hyperlink w:history="1">
              <w:r w:rsidRPr="0071018C">
                <w:rPr>
                  <w:rStyle w:val="Hyperlink"/>
                  <w:rFonts w:ascii="Times New Roman" w:eastAsia="Times New Roman" w:hAnsi="Times New Roman" w:cs="Times New Roman"/>
                  <w:sz w:val="20"/>
                  <w:szCs w:val="20"/>
                  <w:lang w:eastAsia="en-ZA"/>
                </w:rPr>
                <w:t>https://doi.org/10.2989/16085914.2017.1405788</w:t>
              </w:r>
            </w:hyperlink>
            <w:r>
              <w:rPr>
                <w:rFonts w:ascii="Times New Roman" w:eastAsia="Times New Roman" w:hAnsi="Times New Roman" w:cs="Times New Roman"/>
                <w:color w:val="000000"/>
                <w:sz w:val="20"/>
                <w:szCs w:val="20"/>
                <w:lang w:eastAsia="en-ZA"/>
              </w:rPr>
              <w:t>.</w:t>
            </w:r>
          </w:p>
        </w:tc>
      </w:tr>
    </w:tbl>
    <w:p w14:paraId="06685632" w14:textId="77777777" w:rsidR="002D7080" w:rsidRPr="004D1E6F" w:rsidRDefault="002D7080" w:rsidP="006D3942">
      <w:pPr>
        <w:spacing w:after="0"/>
        <w:contextualSpacing/>
        <w:rPr>
          <w:rFonts w:ascii="Times New Roman" w:eastAsia="Times New Roman" w:hAnsi="Times New Roman" w:cs="Times New Roman"/>
          <w:b/>
          <w:color w:val="000000"/>
          <w:sz w:val="20"/>
          <w:szCs w:val="20"/>
          <w:lang w:eastAsia="en-ZA"/>
        </w:rPr>
      </w:pPr>
    </w:p>
    <w:tbl>
      <w:tblPr>
        <w:tblStyle w:val="TableGrid8"/>
        <w:tblW w:w="0" w:type="auto"/>
        <w:tblLook w:val="04A0" w:firstRow="1" w:lastRow="0" w:firstColumn="1" w:lastColumn="0" w:noHBand="0" w:noVBand="1"/>
      </w:tblPr>
      <w:tblGrid>
        <w:gridCol w:w="5524"/>
        <w:gridCol w:w="3492"/>
      </w:tblGrid>
      <w:tr w:rsidR="002D7080" w:rsidRPr="004D1E6F" w14:paraId="2C02230B" w14:textId="77777777" w:rsidTr="002E2C37">
        <w:tc>
          <w:tcPr>
            <w:tcW w:w="9016" w:type="dxa"/>
            <w:gridSpan w:val="2"/>
            <w:shd w:val="clear" w:color="auto" w:fill="F2F2F2" w:themeFill="background1" w:themeFillShade="F2"/>
          </w:tcPr>
          <w:p w14:paraId="6BBF7BED"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LIK2 Likelihood of entry via human aided primary pathways</w:t>
            </w:r>
          </w:p>
        </w:tc>
      </w:tr>
      <w:tr w:rsidR="002D7080" w:rsidRPr="004D1E6F" w14:paraId="5FA03BE2" w14:textId="77777777" w:rsidTr="002E2C37">
        <w:tc>
          <w:tcPr>
            <w:tcW w:w="5524" w:type="dxa"/>
          </w:tcPr>
          <w:p w14:paraId="69071ED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 (p = 0.5)</w:t>
            </w:r>
          </w:p>
        </w:tc>
        <w:tc>
          <w:tcPr>
            <w:tcW w:w="3492" w:type="dxa"/>
          </w:tcPr>
          <w:p w14:paraId="5137AACC"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52FAF754" w14:textId="77777777" w:rsidTr="002E2C37">
        <w:tc>
          <w:tcPr>
            <w:tcW w:w="9016" w:type="dxa"/>
            <w:gridSpan w:val="2"/>
          </w:tcPr>
          <w:p w14:paraId="21263CE6"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iCs/>
                <w:color w:val="000000"/>
                <w:sz w:val="20"/>
                <w:szCs w:val="20"/>
                <w:lang w:eastAsia="en-ZA"/>
              </w:rPr>
              <w:t>Faxonius juvenilis</w:t>
            </w:r>
            <w:r w:rsidRPr="004D1E6F">
              <w:rPr>
                <w:rFonts w:ascii="Times New Roman" w:eastAsia="Times New Roman" w:hAnsi="Times New Roman" w:cs="Times New Roman"/>
                <w:color w:val="000000"/>
                <w:sz w:val="20"/>
                <w:szCs w:val="20"/>
                <w:lang w:eastAsia="en-ZA"/>
              </w:rPr>
              <w:t xml:space="preserve"> is present in the global trade (Holdich et al. 2009; Chucholl 2013), it is likely that it could be introduced in the pet trade in South Africa.</w:t>
            </w:r>
          </w:p>
        </w:tc>
      </w:tr>
      <w:tr w:rsidR="002D7080" w:rsidRPr="004D1E6F" w14:paraId="181F9D3F" w14:textId="77777777" w:rsidTr="002E2C37">
        <w:tc>
          <w:tcPr>
            <w:tcW w:w="9016" w:type="dxa"/>
            <w:gridSpan w:val="2"/>
          </w:tcPr>
          <w:p w14:paraId="00EF3F11"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 xml:space="preserve">References: </w:t>
            </w:r>
          </w:p>
          <w:p w14:paraId="755311B7" w14:textId="0D05A45F"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r w:rsidR="00506D1D" w:rsidRPr="00506D1D">
              <w:rPr>
                <w:rFonts w:ascii="Times New Roman" w:hAnsi="Times New Roman" w:cs="Times New Roman"/>
                <w:sz w:val="20"/>
                <w:szCs w:val="20"/>
              </w:rPr>
              <w:t>https://doi.org/10.1007/s10530-012-0273-2.</w:t>
            </w:r>
          </w:p>
          <w:p w14:paraId="0EDB8F92" w14:textId="3937CF66" w:rsidR="002D7080" w:rsidRPr="004D1E6F" w:rsidRDefault="002D7080" w:rsidP="002E2C37">
            <w:pPr>
              <w:ind w:left="720" w:hanging="720"/>
              <w:contextualSpacing/>
              <w:rPr>
                <w:rFonts w:ascii="Times New Roman" w:eastAsia="Calibri" w:hAnsi="Times New Roman" w:cs="Times New Roman"/>
                <w:bCs/>
                <w:sz w:val="20"/>
                <w:szCs w:val="20"/>
              </w:rPr>
            </w:pPr>
            <w:r w:rsidRPr="004D1E6F">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4D1E6F">
              <w:rPr>
                <w:rFonts w:ascii="Times New Roman" w:eastAsia="Calibri" w:hAnsi="Times New Roman" w:cs="Times New Roman"/>
                <w:sz w:val="20"/>
                <w:szCs w:val="20"/>
              </w:rPr>
              <w:t xml:space="preserve"> </w:t>
            </w:r>
            <w:r w:rsidRPr="004D1E6F">
              <w:rPr>
                <w:rFonts w:ascii="Times New Roman" w:eastAsia="Calibri" w:hAnsi="Times New Roman" w:cs="Times New Roman"/>
                <w:bCs/>
                <w:i/>
                <w:sz w:val="20"/>
                <w:szCs w:val="20"/>
              </w:rPr>
              <w:t>Knowledge and Management of Aquatic Ecosystems</w:t>
            </w:r>
            <w:r w:rsidRPr="004D1E6F">
              <w:rPr>
                <w:rFonts w:ascii="Times New Roman" w:eastAsia="Calibri" w:hAnsi="Times New Roman" w:cs="Times New Roman"/>
                <w:bCs/>
                <w:sz w:val="20"/>
                <w:szCs w:val="20"/>
              </w:rPr>
              <w:t xml:space="preserve"> 11, 394–395</w:t>
            </w:r>
            <w:r w:rsidRPr="004D1E6F">
              <w:rPr>
                <w:rFonts w:ascii="Times New Roman" w:hAnsi="Times New Roman" w:cs="Times New Roman"/>
                <w:sz w:val="20"/>
                <w:szCs w:val="20"/>
              </w:rPr>
              <w:t xml:space="preserve">. </w:t>
            </w:r>
            <w:hyperlink r:id="rId238" w:history="1">
              <w:r w:rsidR="00506D1D" w:rsidRPr="00506D1D">
                <w:rPr>
                  <w:rStyle w:val="Hyperlink"/>
                  <w:rFonts w:ascii="Times New Roman" w:hAnsi="Times New Roman" w:cs="Times New Roman"/>
                  <w:bCs/>
                  <w:sz w:val="20"/>
                  <w:szCs w:val="20"/>
                </w:rPr>
                <w:t>https://doi.org/10.1051/kmae/2009025</w:t>
              </w:r>
            </w:hyperlink>
            <w:r w:rsidRPr="00506D1D">
              <w:rPr>
                <w:rFonts w:ascii="Times New Roman" w:hAnsi="Times New Roman" w:cs="Times New Roman"/>
                <w:sz w:val="18"/>
                <w:szCs w:val="18"/>
              </w:rPr>
              <w:t xml:space="preserve">. </w:t>
            </w:r>
          </w:p>
        </w:tc>
      </w:tr>
    </w:tbl>
    <w:p w14:paraId="0FE03F20"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8"/>
        <w:tblW w:w="0" w:type="auto"/>
        <w:tblLook w:val="04A0" w:firstRow="1" w:lastRow="0" w:firstColumn="1" w:lastColumn="0" w:noHBand="0" w:noVBand="1"/>
      </w:tblPr>
      <w:tblGrid>
        <w:gridCol w:w="5524"/>
        <w:gridCol w:w="3492"/>
      </w:tblGrid>
      <w:tr w:rsidR="002D7080" w:rsidRPr="004D1E6F" w14:paraId="0EE8DBFC" w14:textId="77777777" w:rsidTr="002E2C37">
        <w:tc>
          <w:tcPr>
            <w:tcW w:w="9016" w:type="dxa"/>
            <w:gridSpan w:val="2"/>
            <w:shd w:val="clear" w:color="auto" w:fill="F2F2F2" w:themeFill="background1" w:themeFillShade="F2"/>
          </w:tcPr>
          <w:p w14:paraId="28E25BCF"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LIK3 Habitat suitability</w:t>
            </w:r>
          </w:p>
        </w:tc>
      </w:tr>
      <w:tr w:rsidR="002D7080" w:rsidRPr="004D1E6F" w14:paraId="2A1830EE" w14:textId="77777777" w:rsidTr="002E2C37">
        <w:tc>
          <w:tcPr>
            <w:tcW w:w="5524" w:type="dxa"/>
          </w:tcPr>
          <w:p w14:paraId="164C067A"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 (p = 0.5)</w:t>
            </w:r>
          </w:p>
        </w:tc>
        <w:tc>
          <w:tcPr>
            <w:tcW w:w="3492" w:type="dxa"/>
          </w:tcPr>
          <w:p w14:paraId="7DA12512"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66598FAE" w14:textId="77777777" w:rsidTr="002E2C37">
        <w:tc>
          <w:tcPr>
            <w:tcW w:w="9016" w:type="dxa"/>
            <w:gridSpan w:val="2"/>
          </w:tcPr>
          <w:p w14:paraId="7D19EB01" w14:textId="77777777" w:rsidR="002D7080" w:rsidRPr="004D1E6F" w:rsidRDefault="002D7080" w:rsidP="002E2C37">
            <w:pPr>
              <w:autoSpaceDE w:val="0"/>
              <w:autoSpaceDN w:val="0"/>
              <w:adjustRightInd w:val="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iCs/>
                <w:sz w:val="20"/>
                <w:szCs w:val="20"/>
                <w:lang w:eastAsia="en-ZA"/>
              </w:rPr>
              <w:t xml:space="preserve">Faxonius juvenilis </w:t>
            </w:r>
            <w:r w:rsidRPr="004D1E6F">
              <w:rPr>
                <w:rFonts w:ascii="Times New Roman" w:eastAsia="Calibri" w:hAnsi="Times New Roman" w:cs="Times New Roman"/>
                <w:sz w:val="20"/>
                <w:szCs w:val="20"/>
              </w:rPr>
              <w:t xml:space="preserve">is a habitat generalist that inhabits small streams to rivers with a range of substrates such as mud, gravel and bedrock substrates (Daniels 2024). </w:t>
            </w:r>
            <w:r w:rsidRPr="004D1E6F">
              <w:rPr>
                <w:rFonts w:ascii="Times New Roman" w:eastAsia="Calibri" w:hAnsi="Times New Roman" w:cs="Times New Roman"/>
                <w:i/>
                <w:iCs/>
                <w:sz w:val="20"/>
                <w:szCs w:val="20"/>
              </w:rPr>
              <w:t xml:space="preserve">Faxonius juvenilis </w:t>
            </w:r>
            <w:r w:rsidRPr="004D1E6F">
              <w:rPr>
                <w:rFonts w:ascii="Times New Roman" w:eastAsia="Calibri" w:hAnsi="Times New Roman" w:cs="Times New Roman"/>
                <w:sz w:val="20"/>
                <w:szCs w:val="20"/>
              </w:rPr>
              <w:t>prefers areas that consist of rocks, logs or undercut banks that provide shelter (Taylor 2000).</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Calibri" w:hAnsi="Times New Roman" w:cs="Times New Roman"/>
                <w:sz w:val="20"/>
                <w:szCs w:val="20"/>
              </w:rPr>
              <w:t>These habitats are present in most aquatic systems across South Africa.</w:t>
            </w:r>
          </w:p>
        </w:tc>
      </w:tr>
      <w:tr w:rsidR="002D7080" w:rsidRPr="004D1E6F" w14:paraId="4C31E45F" w14:textId="77777777" w:rsidTr="002E2C37">
        <w:tc>
          <w:tcPr>
            <w:tcW w:w="9016" w:type="dxa"/>
            <w:gridSpan w:val="2"/>
          </w:tcPr>
          <w:p w14:paraId="14E9EC0B"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6D110FB3" w14:textId="77777777" w:rsidR="002D7080" w:rsidRPr="004D1E6F" w:rsidRDefault="002D7080" w:rsidP="006D3942">
            <w:pPr>
              <w:ind w:left="527" w:hanging="527"/>
              <w:contextualSpacing/>
              <w:rPr>
                <w:rFonts w:ascii="Times New Roman" w:hAnsi="Times New Roman" w:cs="Times New Roman"/>
                <w:color w:val="000000"/>
                <w:sz w:val="20"/>
                <w:szCs w:val="20"/>
              </w:rPr>
            </w:pPr>
            <w:r w:rsidRPr="004D1E6F">
              <w:rPr>
                <w:rFonts w:ascii="Times New Roman" w:hAnsi="Times New Roman" w:cs="Times New Roman"/>
                <w:color w:val="000000"/>
                <w:sz w:val="20"/>
                <w:szCs w:val="20"/>
              </w:rPr>
              <w:t>Daniel, W.M., 2024, </w:t>
            </w:r>
            <w:r w:rsidRPr="004D1E6F">
              <w:rPr>
                <w:rFonts w:ascii="Times New Roman" w:hAnsi="Times New Roman" w:cs="Times New Roman"/>
                <w:i/>
                <w:iCs/>
                <w:color w:val="000000"/>
                <w:sz w:val="20"/>
                <w:szCs w:val="20"/>
              </w:rPr>
              <w:t>Faxonius juvenilis</w:t>
            </w:r>
            <w:r w:rsidRPr="004D1E6F">
              <w:rPr>
                <w:rFonts w:ascii="Times New Roman" w:hAnsi="Times New Roman" w:cs="Times New Roman"/>
                <w:color w:val="000000"/>
                <w:sz w:val="20"/>
                <w:szCs w:val="20"/>
              </w:rPr>
              <w:t xml:space="preserve"> (Hagen, 1870): U.S. Geological Survey, Nonindigenous Aquatic Species Database, Gainesville, FL, </w:t>
            </w:r>
            <w:hyperlink r:id="rId239" w:history="1">
              <w:r w:rsidRPr="000B0DAE">
                <w:rPr>
                  <w:rStyle w:val="Hyperlink"/>
                  <w:rFonts w:ascii="Times New Roman" w:hAnsi="Times New Roman" w:cs="Times New Roman"/>
                  <w:sz w:val="20"/>
                  <w:szCs w:val="20"/>
                </w:rPr>
                <w:t>https://nas.er.usgs.gov/queries/FactSheet.aspx?SpeciesID=2904</w:t>
              </w:r>
            </w:hyperlink>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 Revision Date: 6/14/2017, Access Date: 7/9/2024</w:t>
            </w:r>
          </w:p>
          <w:p w14:paraId="42943E96" w14:textId="77777777" w:rsidR="002D7080" w:rsidRPr="004D1E6F" w:rsidRDefault="002D7080" w:rsidP="006D3942">
            <w:pPr>
              <w:ind w:left="527" w:hanging="527"/>
              <w:contextualSpacing/>
              <w:rPr>
                <w:rFonts w:ascii="Times New Roman" w:eastAsia="Times New Roman" w:hAnsi="Times New Roman" w:cs="Times New Roman"/>
                <w:color w:val="000000"/>
                <w:sz w:val="20"/>
                <w:szCs w:val="20"/>
                <w:lang w:eastAsia="en-ZA"/>
              </w:rPr>
            </w:pPr>
            <w:r w:rsidRPr="004D1E6F">
              <w:rPr>
                <w:rFonts w:ascii="Times New Roman" w:hAnsi="Times New Roman" w:cs="Times New Roman"/>
                <w:color w:val="000000"/>
                <w:sz w:val="20"/>
                <w:szCs w:val="20"/>
              </w:rPr>
              <w:t>Taylor, C.A.</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2000</w:t>
            </w:r>
            <w:r>
              <w:rPr>
                <w:rFonts w:ascii="Times New Roman" w:hAnsi="Times New Roman" w:cs="Times New Roman"/>
                <w:color w:val="000000"/>
                <w:sz w:val="20"/>
                <w:szCs w:val="20"/>
              </w:rPr>
              <w:t>, ‘</w:t>
            </w:r>
            <w:r w:rsidRPr="004D1E6F">
              <w:rPr>
                <w:rFonts w:ascii="Times New Roman" w:hAnsi="Times New Roman" w:cs="Times New Roman"/>
                <w:color w:val="000000"/>
                <w:sz w:val="20"/>
                <w:szCs w:val="20"/>
              </w:rPr>
              <w:t>Systematic studies of the </w:t>
            </w:r>
            <w:r w:rsidRPr="004D1E6F">
              <w:rPr>
                <w:rStyle w:val="Emphasis"/>
                <w:rFonts w:ascii="Times New Roman" w:hAnsi="Times New Roman" w:cs="Times New Roman"/>
                <w:color w:val="000000"/>
                <w:sz w:val="20"/>
                <w:szCs w:val="20"/>
              </w:rPr>
              <w:t>Orconectes juvenilis</w:t>
            </w:r>
            <w:r w:rsidRPr="004D1E6F">
              <w:rPr>
                <w:rFonts w:ascii="Times New Roman" w:hAnsi="Times New Roman" w:cs="Times New Roman"/>
                <w:color w:val="000000"/>
                <w:sz w:val="20"/>
                <w:szCs w:val="20"/>
              </w:rPr>
              <w:t> complex (Decapoda: Cambaridae), with descriptions of two new species</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w:t>
            </w:r>
            <w:r w:rsidRPr="004D1E6F">
              <w:rPr>
                <w:rFonts w:ascii="Times New Roman" w:hAnsi="Times New Roman" w:cs="Times New Roman"/>
                <w:i/>
                <w:iCs/>
                <w:color w:val="000000"/>
                <w:sz w:val="20"/>
                <w:szCs w:val="20"/>
              </w:rPr>
              <w:t>Journal of Crustacean Biology</w:t>
            </w:r>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20(1)</w:t>
            </w:r>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132-152</w:t>
            </w:r>
            <w:r>
              <w:rPr>
                <w:rFonts w:ascii="Times New Roman" w:hAnsi="Times New Roman" w:cs="Times New Roman"/>
                <w:color w:val="000000"/>
                <w:sz w:val="20"/>
                <w:szCs w:val="20"/>
              </w:rPr>
              <w:t>.</w:t>
            </w:r>
            <w:r w:rsidRPr="0071018C">
              <w:rPr>
                <w:rFonts w:ascii="Times New Roman" w:hAnsi="Times New Roman" w:cs="Times New Roman"/>
                <w:sz w:val="20"/>
                <w:szCs w:val="20"/>
              </w:rPr>
              <w:t xml:space="preserve"> </w:t>
            </w:r>
            <w:hyperlink r:id="rId240" w:history="1">
              <w:r w:rsidRPr="0071018C">
                <w:rPr>
                  <w:rStyle w:val="Hyperlink"/>
                  <w:rFonts w:ascii="Times New Roman" w:hAnsi="Times New Roman" w:cs="Times New Roman"/>
                  <w:sz w:val="20"/>
                  <w:szCs w:val="20"/>
                </w:rPr>
                <w:t>https://doi.org/10.1163/20021975-99990023</w:t>
              </w:r>
            </w:hyperlink>
          </w:p>
        </w:tc>
      </w:tr>
    </w:tbl>
    <w:p w14:paraId="3112EF39"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8"/>
        <w:tblW w:w="0" w:type="auto"/>
        <w:tblLook w:val="04A0" w:firstRow="1" w:lastRow="0" w:firstColumn="1" w:lastColumn="0" w:noHBand="0" w:noVBand="1"/>
      </w:tblPr>
      <w:tblGrid>
        <w:gridCol w:w="5524"/>
        <w:gridCol w:w="3492"/>
      </w:tblGrid>
      <w:tr w:rsidR="002D7080" w:rsidRPr="004D1E6F" w14:paraId="6FB9E26E" w14:textId="77777777" w:rsidTr="002E2C37">
        <w:tc>
          <w:tcPr>
            <w:tcW w:w="9016" w:type="dxa"/>
            <w:gridSpan w:val="2"/>
            <w:shd w:val="clear" w:color="auto" w:fill="F2F2F2" w:themeFill="background1" w:themeFillShade="F2"/>
          </w:tcPr>
          <w:p w14:paraId="3E7027F6"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LIK4 Climate suitability</w:t>
            </w:r>
          </w:p>
        </w:tc>
      </w:tr>
      <w:tr w:rsidR="002D7080" w:rsidRPr="004D1E6F" w14:paraId="351EDF1E" w14:textId="77777777" w:rsidTr="002E2C37">
        <w:tc>
          <w:tcPr>
            <w:tcW w:w="5524" w:type="dxa"/>
          </w:tcPr>
          <w:p w14:paraId="49307C8A"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 (p = 0.5)</w:t>
            </w:r>
          </w:p>
        </w:tc>
        <w:tc>
          <w:tcPr>
            <w:tcW w:w="3492" w:type="dxa"/>
          </w:tcPr>
          <w:p w14:paraId="6426873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601664FE" w14:textId="77777777" w:rsidTr="002E2C37">
        <w:tc>
          <w:tcPr>
            <w:tcW w:w="9016" w:type="dxa"/>
            <w:gridSpan w:val="2"/>
          </w:tcPr>
          <w:p w14:paraId="7C623EF6"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Suitable climates are present in South Africa for </w:t>
            </w:r>
            <w:r w:rsidRPr="004D1E6F">
              <w:rPr>
                <w:rFonts w:ascii="Times New Roman" w:eastAsia="Times New Roman" w:hAnsi="Times New Roman" w:cs="Times New Roman"/>
                <w:i/>
                <w:iCs/>
                <w:color w:val="000000"/>
                <w:sz w:val="20"/>
                <w:szCs w:val="20"/>
                <w:lang w:eastAsia="en-ZA"/>
              </w:rPr>
              <w:t>F. juvenilis</w:t>
            </w:r>
            <w:r w:rsidRPr="004D1E6F">
              <w:rPr>
                <w:rFonts w:ascii="Times New Roman" w:eastAsia="Times New Roman" w:hAnsi="Times New Roman" w:cs="Times New Roman"/>
                <w:color w:val="000000"/>
                <w:sz w:val="20"/>
                <w:szCs w:val="20"/>
                <w:lang w:eastAsia="en-ZA"/>
              </w:rPr>
              <w:t xml:space="preserve"> to establish. There is no study that has assessed the climate suitability of South Africa for </w:t>
            </w:r>
            <w:r w:rsidRPr="004D1E6F">
              <w:rPr>
                <w:rFonts w:ascii="Times New Roman" w:eastAsia="Times New Roman" w:hAnsi="Times New Roman" w:cs="Times New Roman"/>
                <w:i/>
                <w:iCs/>
                <w:color w:val="000000"/>
                <w:sz w:val="20"/>
                <w:szCs w:val="20"/>
                <w:lang w:eastAsia="en-ZA"/>
              </w:rPr>
              <w:t xml:space="preserve">F. juvenilis </w:t>
            </w:r>
            <w:r w:rsidRPr="004D1E6F">
              <w:rPr>
                <w:rFonts w:ascii="Times New Roman" w:eastAsia="Times New Roman" w:hAnsi="Times New Roman" w:cs="Times New Roman"/>
                <w:color w:val="000000"/>
                <w:sz w:val="20"/>
                <w:szCs w:val="20"/>
                <w:lang w:eastAsia="en-ZA"/>
              </w:rPr>
              <w:t xml:space="preserve">however its ecological traits are assumed to be similar to </w:t>
            </w:r>
            <w:r w:rsidRPr="004D1E6F">
              <w:rPr>
                <w:rFonts w:ascii="Times New Roman" w:eastAsia="Times New Roman" w:hAnsi="Times New Roman" w:cs="Times New Roman"/>
                <w:i/>
                <w:iCs/>
                <w:color w:val="000000"/>
                <w:sz w:val="20"/>
                <w:szCs w:val="20"/>
                <w:lang w:eastAsia="en-ZA"/>
              </w:rPr>
              <w:t xml:space="preserve">F. rusticus </w:t>
            </w:r>
            <w:r w:rsidRPr="004D1E6F">
              <w:rPr>
                <w:rFonts w:ascii="Times New Roman" w:eastAsia="Times New Roman" w:hAnsi="Times New Roman" w:cs="Times New Roman"/>
                <w:color w:val="000000"/>
                <w:sz w:val="20"/>
                <w:szCs w:val="20"/>
                <w:lang w:eastAsia="en-ZA"/>
              </w:rPr>
              <w:t xml:space="preserve">which is known to prefer well oxygenated water and an optimal temperature range of 20-25°C and but can withstand seasonal water temperatures of 0-39°C within its native range (GISD 2015). In temperatures over 30°C, adults have been observed digging burrows to escape the heat (GISD 2015). </w:t>
            </w:r>
          </w:p>
        </w:tc>
      </w:tr>
      <w:tr w:rsidR="002D7080" w:rsidRPr="004D1E6F" w14:paraId="38F40516" w14:textId="77777777" w:rsidTr="002E2C37">
        <w:trPr>
          <w:trHeight w:val="665"/>
        </w:trPr>
        <w:tc>
          <w:tcPr>
            <w:tcW w:w="9016" w:type="dxa"/>
            <w:gridSpan w:val="2"/>
          </w:tcPr>
          <w:p w14:paraId="562D476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2219202C" w14:textId="77777777" w:rsidR="002D7080" w:rsidRPr="004D1E6F" w:rsidRDefault="002D7080" w:rsidP="002E2C37">
            <w:pPr>
              <w:ind w:left="540" w:hanging="540"/>
              <w:jc w:val="both"/>
              <w:rPr>
                <w:rFonts w:ascii="Times New Roman" w:eastAsia="Times New Roman" w:hAnsi="Times New Roman" w:cs="Times New Roman"/>
                <w:color w:val="000000"/>
                <w:sz w:val="20"/>
                <w:szCs w:val="20"/>
                <w:lang w:eastAsia="en-ZA"/>
              </w:rPr>
            </w:pPr>
            <w:r w:rsidRPr="00BB0F9B">
              <w:rPr>
                <w:rFonts w:ascii="Times New Roman" w:eastAsia="Times New Roman" w:hAnsi="Times New Roman" w:cs="Times New Roman"/>
                <w:bCs/>
                <w:color w:val="000000"/>
                <w:sz w:val="20"/>
                <w:szCs w:val="20"/>
                <w:lang w:eastAsia="en-ZA"/>
              </w:rPr>
              <w:t>Global Invasive Species Database</w:t>
            </w:r>
            <w:r w:rsidRPr="004D1E6F">
              <w:rPr>
                <w:rFonts w:ascii="Times New Roman" w:eastAsia="Times New Roman" w:hAnsi="Times New Roman" w:cs="Times New Roman"/>
                <w:color w:val="000000"/>
                <w:sz w:val="20"/>
                <w:szCs w:val="20"/>
                <w:lang w:eastAsia="en-ZA"/>
              </w:rPr>
              <w:t xml:space="preserve"> (GISD) 2015. Species profile </w:t>
            </w:r>
            <w:r w:rsidRPr="004D1E6F">
              <w:rPr>
                <w:rFonts w:ascii="Times New Roman" w:eastAsia="Times New Roman" w:hAnsi="Times New Roman" w:cs="Times New Roman"/>
                <w:i/>
                <w:iCs/>
                <w:color w:val="000000"/>
                <w:sz w:val="20"/>
                <w:szCs w:val="20"/>
                <w:lang w:eastAsia="en-ZA"/>
              </w:rPr>
              <w:t>Orconectes rusticus</w:t>
            </w:r>
            <w:r w:rsidRPr="004D1E6F">
              <w:rPr>
                <w:rFonts w:ascii="Times New Roman" w:eastAsia="Times New Roman" w:hAnsi="Times New Roman" w:cs="Times New Roman"/>
                <w:color w:val="000000"/>
                <w:sz w:val="20"/>
                <w:szCs w:val="20"/>
                <w:lang w:eastAsia="en-ZA"/>
              </w:rPr>
              <w:t>. Available from: http://www.iucngisd.org/gisd/species.php?sc=217 [Accessed 03 July2018].</w:t>
            </w:r>
          </w:p>
        </w:tc>
      </w:tr>
    </w:tbl>
    <w:p w14:paraId="0473F350"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8"/>
        <w:tblW w:w="0" w:type="auto"/>
        <w:tblLook w:val="04A0" w:firstRow="1" w:lastRow="0" w:firstColumn="1" w:lastColumn="0" w:noHBand="0" w:noVBand="1"/>
      </w:tblPr>
      <w:tblGrid>
        <w:gridCol w:w="5524"/>
        <w:gridCol w:w="3492"/>
      </w:tblGrid>
      <w:tr w:rsidR="002D7080" w:rsidRPr="004D1E6F" w14:paraId="051A2A41" w14:textId="77777777" w:rsidTr="002E2C37">
        <w:tc>
          <w:tcPr>
            <w:tcW w:w="9016" w:type="dxa"/>
            <w:gridSpan w:val="2"/>
            <w:shd w:val="clear" w:color="auto" w:fill="F2F2F2" w:themeFill="background1" w:themeFillShade="F2"/>
          </w:tcPr>
          <w:p w14:paraId="6F4A0120"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LIK5 Unaided secondary (dispersal) pathways</w:t>
            </w:r>
          </w:p>
        </w:tc>
      </w:tr>
      <w:tr w:rsidR="002D7080" w:rsidRPr="004D1E6F" w14:paraId="11886F61" w14:textId="77777777" w:rsidTr="002E2C37">
        <w:tc>
          <w:tcPr>
            <w:tcW w:w="5524" w:type="dxa"/>
          </w:tcPr>
          <w:p w14:paraId="57D3BC61"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Very unlikely (p = 0.0027)</w:t>
            </w:r>
          </w:p>
        </w:tc>
        <w:tc>
          <w:tcPr>
            <w:tcW w:w="3492" w:type="dxa"/>
          </w:tcPr>
          <w:p w14:paraId="70EEBAFD"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4D82F71A" w14:textId="77777777" w:rsidTr="002E2C37">
        <w:tc>
          <w:tcPr>
            <w:tcW w:w="9016" w:type="dxa"/>
            <w:gridSpan w:val="2"/>
          </w:tcPr>
          <w:p w14:paraId="3A258C4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Currently this is very unlikely due to no feral populations present in neighbouring countries that could disperse naturally through connected waterways (Nunes et al. 2019; Madzivanzira et al. 2020). </w:t>
            </w:r>
          </w:p>
        </w:tc>
      </w:tr>
      <w:tr w:rsidR="002D7080" w:rsidRPr="004D1E6F" w14:paraId="6AAE5FB9" w14:textId="77777777" w:rsidTr="002E2C37">
        <w:tc>
          <w:tcPr>
            <w:tcW w:w="9016" w:type="dxa"/>
            <w:gridSpan w:val="2"/>
          </w:tcPr>
          <w:p w14:paraId="344E7797" w14:textId="77777777" w:rsidR="002D7080" w:rsidRPr="004D1E6F" w:rsidRDefault="002D7080" w:rsidP="002E2C37">
            <w:pPr>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414E98D9" w14:textId="77777777" w:rsidR="002D7080" w:rsidRPr="004D1E6F" w:rsidRDefault="002D7080" w:rsidP="002E2C37">
            <w:pPr>
              <w:ind w:left="540" w:hanging="540"/>
              <w:contextualSpacing/>
              <w:rPr>
                <w:rStyle w:val="Hyperlink"/>
                <w:rFonts w:ascii="Times New Roman" w:eastAsia="Times New Roman" w:hAnsi="Times New Roman" w:cs="Times New Roman"/>
                <w:iCs/>
                <w:sz w:val="20"/>
                <w:szCs w:val="20"/>
                <w:lang w:eastAsia="en-ZA"/>
              </w:rPr>
            </w:pPr>
            <w:r w:rsidRPr="004D1E6F">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4D1E6F">
              <w:rPr>
                <w:rFonts w:ascii="Times New Roman" w:eastAsia="Times New Roman" w:hAnsi="Times New Roman" w:cs="Times New Roman"/>
                <w:i/>
                <w:sz w:val="20"/>
                <w:szCs w:val="20"/>
                <w:lang w:eastAsia="en-ZA"/>
              </w:rPr>
              <w:t xml:space="preserve">Reviews in Fisheries Science &amp; Aquaculture </w:t>
            </w:r>
            <w:r w:rsidRPr="004D1E6F">
              <w:rPr>
                <w:rFonts w:ascii="Times New Roman" w:eastAsia="Times New Roman" w:hAnsi="Times New Roman" w:cs="Times New Roman"/>
                <w:sz w:val="20"/>
                <w:szCs w:val="20"/>
                <w:lang w:eastAsia="en-ZA"/>
              </w:rPr>
              <w:t>1-21</w:t>
            </w:r>
            <w:r w:rsidRPr="004D1E6F">
              <w:rPr>
                <w:rFonts w:ascii="Times New Roman" w:eastAsia="Times New Roman" w:hAnsi="Times New Roman" w:cs="Times New Roman"/>
                <w:i/>
                <w:sz w:val="20"/>
                <w:szCs w:val="20"/>
                <w:lang w:eastAsia="en-ZA"/>
              </w:rPr>
              <w:t>.</w:t>
            </w:r>
            <w:r w:rsidRPr="004D1E6F">
              <w:rPr>
                <w:rFonts w:ascii="Times New Roman" w:eastAsia="Times New Roman" w:hAnsi="Times New Roman" w:cs="Times New Roman"/>
                <w:iCs/>
                <w:sz w:val="20"/>
                <w:szCs w:val="20"/>
                <w:lang w:eastAsia="en-ZA"/>
              </w:rPr>
              <w:t xml:space="preserve"> </w:t>
            </w:r>
            <w:hyperlink w:history="1">
              <w:r w:rsidRPr="004D1E6F">
                <w:rPr>
                  <w:rStyle w:val="Hyperlink"/>
                  <w:rFonts w:ascii="Times New Roman" w:eastAsia="Times New Roman" w:hAnsi="Times New Roman" w:cs="Times New Roman"/>
                  <w:iCs/>
                  <w:sz w:val="20"/>
                  <w:szCs w:val="20"/>
                  <w:lang w:eastAsia="en-ZA"/>
                </w:rPr>
                <w:t>https://doi.org/10.1080/23308249.2020.1802405</w:t>
              </w:r>
            </w:hyperlink>
          </w:p>
          <w:p w14:paraId="7F4A911F" w14:textId="08DA586A" w:rsidR="002D7080" w:rsidRPr="004D1E6F" w:rsidRDefault="002D7080" w:rsidP="002E2C37">
            <w:pPr>
              <w:ind w:left="540" w:hanging="540"/>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 </w:t>
            </w:r>
            <w:hyperlink r:id="rId241" w:history="1">
              <w:r w:rsidR="00094725" w:rsidRPr="00094725">
                <w:rPr>
                  <w:rFonts w:ascii="Times New Roman" w:eastAsia="Times New Roman" w:hAnsi="Times New Roman" w:cs="Times New Roman"/>
                  <w:color w:val="467886"/>
                  <w:sz w:val="20"/>
                  <w:szCs w:val="20"/>
                  <w:u w:val="single"/>
                  <w:lang w:eastAsia="en-ZA"/>
                </w:rPr>
                <w:t>https://doi.org/10.2989/16085914.2017.1405788</w:t>
              </w:r>
            </w:hyperlink>
          </w:p>
        </w:tc>
      </w:tr>
    </w:tbl>
    <w:p w14:paraId="3E9B3A03"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8"/>
        <w:tblW w:w="0" w:type="auto"/>
        <w:tblLook w:val="04A0" w:firstRow="1" w:lastRow="0" w:firstColumn="1" w:lastColumn="0" w:noHBand="0" w:noVBand="1"/>
      </w:tblPr>
      <w:tblGrid>
        <w:gridCol w:w="5524"/>
        <w:gridCol w:w="3492"/>
      </w:tblGrid>
      <w:tr w:rsidR="002D7080" w:rsidRPr="004D1E6F" w14:paraId="6FDA43D0" w14:textId="77777777" w:rsidTr="002E2C37">
        <w:tc>
          <w:tcPr>
            <w:tcW w:w="9016" w:type="dxa"/>
            <w:gridSpan w:val="2"/>
            <w:shd w:val="clear" w:color="auto" w:fill="F2F2F2" w:themeFill="background1" w:themeFillShade="F2"/>
          </w:tcPr>
          <w:p w14:paraId="640D5DF4"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LIK6 Human aided secondary (dispersal) pathways</w:t>
            </w:r>
          </w:p>
        </w:tc>
      </w:tr>
      <w:tr w:rsidR="002D7080" w:rsidRPr="004D1E6F" w14:paraId="7F05A134" w14:textId="77777777" w:rsidTr="002E2C37">
        <w:tc>
          <w:tcPr>
            <w:tcW w:w="5524" w:type="dxa"/>
          </w:tcPr>
          <w:p w14:paraId="23686B2A"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 (p = 0.5)</w:t>
            </w:r>
          </w:p>
        </w:tc>
        <w:tc>
          <w:tcPr>
            <w:tcW w:w="3492" w:type="dxa"/>
          </w:tcPr>
          <w:p w14:paraId="77E3F39C"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07E0AB4D" w14:textId="77777777" w:rsidTr="002E2C37">
        <w:tc>
          <w:tcPr>
            <w:tcW w:w="9016" w:type="dxa"/>
            <w:gridSpan w:val="2"/>
          </w:tcPr>
          <w:p w14:paraId="160639B6"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sz w:val="20"/>
                <w:szCs w:val="20"/>
                <w:lang w:eastAsia="en-ZA"/>
              </w:rPr>
              <w:t xml:space="preserve">Intentional release into the wild through the pet/ aquarium/ terrarium species and live bait pathways remains a concern. </w:t>
            </w:r>
            <w:r w:rsidRPr="004D1E6F">
              <w:rPr>
                <w:rFonts w:ascii="Times New Roman" w:eastAsia="Times New Roman" w:hAnsi="Times New Roman" w:cs="Times New Roman"/>
                <w:color w:val="000000"/>
                <w:sz w:val="20"/>
                <w:szCs w:val="20"/>
                <w:lang w:eastAsia="en-ZA"/>
              </w:rPr>
              <w:t xml:space="preserve">In areas of introduction, </w:t>
            </w:r>
            <w:r w:rsidRPr="004D1E6F">
              <w:rPr>
                <w:rFonts w:ascii="Times New Roman" w:eastAsia="Times New Roman" w:hAnsi="Times New Roman" w:cs="Times New Roman"/>
                <w:i/>
                <w:color w:val="000000"/>
                <w:sz w:val="20"/>
                <w:szCs w:val="20"/>
                <w:lang w:eastAsia="en-ZA"/>
              </w:rPr>
              <w:t>Faxonius juvenilis</w:t>
            </w:r>
            <w:r w:rsidRPr="004D1E6F">
              <w:rPr>
                <w:rFonts w:ascii="Times New Roman" w:eastAsia="Times New Roman" w:hAnsi="Times New Roman" w:cs="Times New Roman"/>
                <w:color w:val="000000"/>
                <w:sz w:val="20"/>
                <w:szCs w:val="20"/>
                <w:lang w:eastAsia="en-ZA"/>
              </w:rPr>
              <w:t xml:space="preserve"> has been released into the wild through deliberate stocking for human consumption and bucket release by anglers into waterways where they are used as bait, dispersing into new areas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"manualFormatting" : "(Faulkes 2015, Olden et al. 2009)", "plainTextFormattedCitation" : "(Faulkes 2015)", "previouslyFormattedCitation" : "(Faulkes 2015)"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(Taylor 2000; Chuchol &amp; Daudely 2008)</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tc>
      </w:tr>
      <w:tr w:rsidR="002D7080" w:rsidRPr="004D1E6F" w14:paraId="305CFC8F" w14:textId="77777777" w:rsidTr="002E2C37">
        <w:trPr>
          <w:trHeight w:val="350"/>
        </w:trPr>
        <w:tc>
          <w:tcPr>
            <w:tcW w:w="9016" w:type="dxa"/>
            <w:gridSpan w:val="2"/>
          </w:tcPr>
          <w:p w14:paraId="51185495"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2D71A708" w14:textId="77777777" w:rsidR="002D7080" w:rsidRPr="004D1E6F" w:rsidRDefault="002D7080" w:rsidP="006D3942">
            <w:pPr>
              <w:tabs>
                <w:tab w:val="left" w:pos="180"/>
              </w:tabs>
              <w:ind w:left="527" w:hanging="527"/>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Chucholl</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C</w:t>
            </w:r>
            <w:r>
              <w:rPr>
                <w:rFonts w:ascii="Times New Roman" w:eastAsia="Times New Roman" w:hAnsi="Times New Roman" w:cs="Times New Roman"/>
                <w:sz w:val="20"/>
                <w:szCs w:val="20"/>
                <w:lang w:eastAsia="en-ZA"/>
              </w:rPr>
              <w:t>. &amp;</w:t>
            </w:r>
            <w:r w:rsidRPr="004D1E6F">
              <w:rPr>
                <w:rFonts w:ascii="Times New Roman" w:eastAsia="Times New Roman" w:hAnsi="Times New Roman" w:cs="Times New Roman"/>
                <w:sz w:val="20"/>
                <w:szCs w:val="20"/>
                <w:lang w:eastAsia="en-ZA"/>
              </w:rPr>
              <w:t xml:space="preserve"> Daude, T.</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2008</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First record of </w:t>
            </w:r>
            <w:r w:rsidRPr="004D1E6F">
              <w:rPr>
                <w:rFonts w:ascii="Times New Roman" w:eastAsia="Times New Roman" w:hAnsi="Times New Roman" w:cs="Times New Roman"/>
                <w:i/>
                <w:sz w:val="20"/>
                <w:szCs w:val="20"/>
                <w:lang w:eastAsia="en-ZA"/>
              </w:rPr>
              <w:t>Orconectes juvenilis</w:t>
            </w:r>
            <w:r w:rsidRPr="004D1E6F">
              <w:rPr>
                <w:rFonts w:ascii="Times New Roman" w:eastAsia="Times New Roman" w:hAnsi="Times New Roman" w:cs="Times New Roman"/>
                <w:sz w:val="20"/>
                <w:szCs w:val="20"/>
                <w:lang w:eastAsia="en-ZA"/>
              </w:rPr>
              <w:t xml:space="preserve"> (Hagen, 1870) in eastern France: update to the species identity of a recently introduced orconectid crayfish (Crustacea: Astacida)</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Aquatic Invasions</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3</w:t>
            </w:r>
            <w:r>
              <w:rPr>
                <w:rFonts w:ascii="Times New Roman" w:eastAsia="Times New Roman" w:hAnsi="Times New Roman" w:cs="Times New Roman"/>
                <w:iCs/>
                <w:sz w:val="20"/>
                <w:szCs w:val="20"/>
                <w:lang w:eastAsia="en-ZA"/>
              </w:rPr>
              <w:t xml:space="preserve">, </w:t>
            </w:r>
            <w:r w:rsidRPr="004D1E6F">
              <w:rPr>
                <w:rFonts w:ascii="Times New Roman" w:eastAsia="Times New Roman" w:hAnsi="Times New Roman" w:cs="Times New Roman"/>
                <w:sz w:val="20"/>
                <w:szCs w:val="20"/>
                <w:lang w:eastAsia="en-ZA"/>
              </w:rPr>
              <w:t>105–107.</w:t>
            </w:r>
            <w:r w:rsidRPr="0071018C">
              <w:rPr>
                <w:rFonts w:ascii="Times New Roman" w:hAnsi="Times New Roman" w:cs="Times New Roman"/>
                <w:sz w:val="20"/>
                <w:szCs w:val="20"/>
              </w:rPr>
              <w:t xml:space="preserve"> </w:t>
            </w:r>
            <w:hyperlink r:id="rId242" w:history="1">
              <w:r w:rsidRPr="0071018C">
                <w:rPr>
                  <w:rStyle w:val="Hyperlink"/>
                  <w:rFonts w:ascii="Times New Roman" w:eastAsia="Times New Roman" w:hAnsi="Times New Roman" w:cs="Times New Roman"/>
                  <w:sz w:val="20"/>
                  <w:szCs w:val="20"/>
                  <w:lang w:eastAsia="en-ZA"/>
                </w:rPr>
                <w:t>https://doi.org/10.3391/ai.2008.3.1.19</w:t>
              </w:r>
            </w:hyperlink>
          </w:p>
          <w:p w14:paraId="7C219BA5" w14:textId="77777777" w:rsidR="002D7080" w:rsidRPr="004D1E6F" w:rsidRDefault="002D7080" w:rsidP="006D3942">
            <w:pPr>
              <w:tabs>
                <w:tab w:val="left" w:pos="180"/>
              </w:tabs>
              <w:ind w:left="527" w:hanging="527"/>
              <w:contextualSpacing/>
              <w:jc w:val="both"/>
              <w:rPr>
                <w:rFonts w:ascii="Times New Roman" w:eastAsia="Times New Roman" w:hAnsi="Times New Roman" w:cs="Times New Roman"/>
                <w:color w:val="000000"/>
                <w:sz w:val="20"/>
                <w:szCs w:val="20"/>
                <w:lang w:eastAsia="en-ZA"/>
              </w:rPr>
            </w:pPr>
            <w:r w:rsidRPr="004D1E6F">
              <w:rPr>
                <w:rFonts w:ascii="Times New Roman" w:hAnsi="Times New Roman" w:cs="Times New Roman"/>
                <w:color w:val="000000"/>
                <w:sz w:val="20"/>
                <w:szCs w:val="20"/>
              </w:rPr>
              <w:t>Taylor, C.A.</w:t>
            </w:r>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2000</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Systematic studies of the </w:t>
            </w:r>
            <w:r w:rsidRPr="004D1E6F">
              <w:rPr>
                <w:rStyle w:val="Emphasis"/>
                <w:rFonts w:ascii="Times New Roman" w:hAnsi="Times New Roman" w:cs="Times New Roman"/>
                <w:color w:val="000000"/>
                <w:sz w:val="20"/>
                <w:szCs w:val="20"/>
              </w:rPr>
              <w:t>Orconectes juvenilis</w:t>
            </w:r>
            <w:r w:rsidRPr="004D1E6F">
              <w:rPr>
                <w:rFonts w:ascii="Times New Roman" w:hAnsi="Times New Roman" w:cs="Times New Roman"/>
                <w:color w:val="000000"/>
                <w:sz w:val="20"/>
                <w:szCs w:val="20"/>
              </w:rPr>
              <w:t> complex (Decapoda: Cambaridae), with descriptions of two new species</w:t>
            </w:r>
            <w:r>
              <w:rPr>
                <w:rFonts w:ascii="Times New Roman" w:hAnsi="Times New Roman" w:cs="Times New Roman"/>
                <w:color w:val="000000"/>
                <w:sz w:val="20"/>
                <w:szCs w:val="20"/>
              </w:rPr>
              <w:t xml:space="preserve">’, </w:t>
            </w:r>
            <w:r w:rsidRPr="004D1E6F">
              <w:rPr>
                <w:rFonts w:ascii="Times New Roman" w:hAnsi="Times New Roman" w:cs="Times New Roman"/>
                <w:i/>
                <w:iCs/>
                <w:color w:val="000000"/>
                <w:sz w:val="20"/>
                <w:szCs w:val="20"/>
              </w:rPr>
              <w:t>Journal of Crustacean Biology</w:t>
            </w:r>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20(1)</w:t>
            </w:r>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132-152</w:t>
            </w:r>
            <w:r>
              <w:rPr>
                <w:rFonts w:ascii="Times New Roman" w:hAnsi="Times New Roman" w:cs="Times New Roman"/>
                <w:color w:val="000000"/>
                <w:sz w:val="20"/>
                <w:szCs w:val="20"/>
              </w:rPr>
              <w:t xml:space="preserve">. </w:t>
            </w:r>
            <w:hyperlink r:id="rId243" w:history="1">
              <w:r w:rsidRPr="0071018C">
                <w:rPr>
                  <w:rStyle w:val="Hyperlink"/>
                  <w:rFonts w:ascii="Times New Roman" w:hAnsi="Times New Roman" w:cs="Times New Roman"/>
                  <w:sz w:val="20"/>
                  <w:szCs w:val="20"/>
                </w:rPr>
                <w:t>https://doi.org/10.1163/20021975-99990023</w:t>
              </w:r>
            </w:hyperlink>
          </w:p>
        </w:tc>
      </w:tr>
    </w:tbl>
    <w:p w14:paraId="7A51B7E9" w14:textId="77777777" w:rsidR="002D7080" w:rsidRPr="004D1E6F" w:rsidRDefault="002D7080" w:rsidP="002D7080">
      <w:pPr>
        <w:spacing w:after="0" w:line="240" w:lineRule="auto"/>
        <w:jc w:val="both"/>
        <w:rPr>
          <w:rFonts w:ascii="Times New Roman" w:eastAsia="Times New Roman" w:hAnsi="Times New Roman" w:cs="Times New Roman"/>
          <w:color w:val="000000"/>
          <w:sz w:val="20"/>
          <w:szCs w:val="20"/>
          <w:lang w:eastAsia="en-ZA"/>
        </w:rPr>
      </w:pPr>
    </w:p>
    <w:p w14:paraId="2C096E2A"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3. Consequences </w:t>
      </w:r>
    </w:p>
    <w:p w14:paraId="00D4194E"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726C5B20" w14:textId="77777777" w:rsidTr="002E2C37">
        <w:trPr>
          <w:trHeight w:val="305"/>
        </w:trPr>
        <w:tc>
          <w:tcPr>
            <w:tcW w:w="9016" w:type="dxa"/>
            <w:gridSpan w:val="2"/>
            <w:shd w:val="clear" w:color="auto" w:fill="F2F2F2" w:themeFill="background1" w:themeFillShade="F2"/>
          </w:tcPr>
          <w:p w14:paraId="63DB62D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 Environmental impact</w:t>
            </w:r>
          </w:p>
        </w:tc>
      </w:tr>
      <w:tr w:rsidR="002D7080" w:rsidRPr="004D1E6F" w14:paraId="4EA9188A" w14:textId="77777777" w:rsidTr="002E2C37">
        <w:tc>
          <w:tcPr>
            <w:tcW w:w="9016" w:type="dxa"/>
            <w:gridSpan w:val="2"/>
            <w:shd w:val="clear" w:color="auto" w:fill="F2F2F2" w:themeFill="background1" w:themeFillShade="F2"/>
          </w:tcPr>
          <w:p w14:paraId="41F0D1B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CON1a: Competition</w:t>
            </w:r>
          </w:p>
        </w:tc>
      </w:tr>
      <w:tr w:rsidR="002D7080" w:rsidRPr="004D1E6F" w14:paraId="5D27EEF6" w14:textId="77777777" w:rsidTr="002E2C37">
        <w:tc>
          <w:tcPr>
            <w:tcW w:w="5949" w:type="dxa"/>
          </w:tcPr>
          <w:p w14:paraId="481F4A8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37B52E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ED116C2" w14:textId="77777777" w:rsidTr="002E2C37">
        <w:trPr>
          <w:trHeight w:val="70"/>
        </w:trPr>
        <w:tc>
          <w:tcPr>
            <w:tcW w:w="9016" w:type="dxa"/>
            <w:gridSpan w:val="2"/>
          </w:tcPr>
          <w:p w14:paraId="6007303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143E0DC0" w14:textId="77777777" w:rsidTr="002E2C37">
        <w:trPr>
          <w:trHeight w:val="70"/>
        </w:trPr>
        <w:tc>
          <w:tcPr>
            <w:tcW w:w="9016" w:type="dxa"/>
            <w:gridSpan w:val="2"/>
          </w:tcPr>
          <w:p w14:paraId="0662B81E"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8342F55" w14:textId="77777777" w:rsidTr="002E2C37">
        <w:tc>
          <w:tcPr>
            <w:tcW w:w="9016" w:type="dxa"/>
            <w:gridSpan w:val="2"/>
            <w:shd w:val="clear" w:color="auto" w:fill="F2F2F2" w:themeFill="background1" w:themeFillShade="F2"/>
          </w:tcPr>
          <w:p w14:paraId="2BA230B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CON1b: Predation</w:t>
            </w:r>
          </w:p>
        </w:tc>
      </w:tr>
      <w:tr w:rsidR="002D7080" w:rsidRPr="004D1E6F" w14:paraId="51A3D2AB" w14:textId="77777777" w:rsidTr="002E2C37">
        <w:tc>
          <w:tcPr>
            <w:tcW w:w="5949" w:type="dxa"/>
          </w:tcPr>
          <w:p w14:paraId="5508889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436D42A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69FC0CD1" w14:textId="77777777" w:rsidTr="002E2C37">
        <w:trPr>
          <w:trHeight w:val="70"/>
        </w:trPr>
        <w:tc>
          <w:tcPr>
            <w:tcW w:w="9016" w:type="dxa"/>
            <w:gridSpan w:val="2"/>
          </w:tcPr>
          <w:p w14:paraId="14D5D29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4E5556F2" w14:textId="77777777" w:rsidTr="002E2C37">
        <w:trPr>
          <w:trHeight w:val="70"/>
        </w:trPr>
        <w:tc>
          <w:tcPr>
            <w:tcW w:w="9016" w:type="dxa"/>
            <w:gridSpan w:val="2"/>
          </w:tcPr>
          <w:p w14:paraId="0584AFB5"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7043FE80" w14:textId="77777777" w:rsidTr="002E2C37">
        <w:tc>
          <w:tcPr>
            <w:tcW w:w="9016" w:type="dxa"/>
            <w:gridSpan w:val="2"/>
            <w:shd w:val="clear" w:color="auto" w:fill="F2F2F2" w:themeFill="background1" w:themeFillShade="F2"/>
          </w:tcPr>
          <w:p w14:paraId="3AF5517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CON1c: Hybridisation</w:t>
            </w:r>
          </w:p>
        </w:tc>
      </w:tr>
      <w:tr w:rsidR="002D7080" w:rsidRPr="004D1E6F" w14:paraId="5F1B9CC9" w14:textId="77777777" w:rsidTr="002E2C37">
        <w:tc>
          <w:tcPr>
            <w:tcW w:w="5949" w:type="dxa"/>
          </w:tcPr>
          <w:p w14:paraId="7B87696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4E2E29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4FC662D3" w14:textId="77777777" w:rsidTr="002E2C37">
        <w:trPr>
          <w:trHeight w:val="70"/>
        </w:trPr>
        <w:tc>
          <w:tcPr>
            <w:tcW w:w="9016" w:type="dxa"/>
            <w:gridSpan w:val="2"/>
          </w:tcPr>
          <w:p w14:paraId="415AB45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49C72DDF" w14:textId="77777777" w:rsidTr="002E2C37">
        <w:trPr>
          <w:trHeight w:val="70"/>
        </w:trPr>
        <w:tc>
          <w:tcPr>
            <w:tcW w:w="9016" w:type="dxa"/>
            <w:gridSpan w:val="2"/>
          </w:tcPr>
          <w:p w14:paraId="08CA08FB"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3903E4F" w14:textId="77777777" w:rsidTr="002E2C37">
        <w:tc>
          <w:tcPr>
            <w:tcW w:w="9016" w:type="dxa"/>
            <w:gridSpan w:val="2"/>
            <w:shd w:val="clear" w:color="auto" w:fill="F2F2F2" w:themeFill="background1" w:themeFillShade="F2"/>
          </w:tcPr>
          <w:p w14:paraId="79378FB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CON1d: Transmission of disease</w:t>
            </w:r>
          </w:p>
        </w:tc>
      </w:tr>
      <w:tr w:rsidR="002D7080" w:rsidRPr="004D1E6F" w14:paraId="19064CD4" w14:textId="77777777" w:rsidTr="002E2C37">
        <w:tc>
          <w:tcPr>
            <w:tcW w:w="5949" w:type="dxa"/>
          </w:tcPr>
          <w:p w14:paraId="2FB341C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AEF4A6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5138CB7" w14:textId="77777777" w:rsidTr="002E2C37">
        <w:trPr>
          <w:trHeight w:val="70"/>
        </w:trPr>
        <w:tc>
          <w:tcPr>
            <w:tcW w:w="9016" w:type="dxa"/>
            <w:gridSpan w:val="2"/>
          </w:tcPr>
          <w:p w14:paraId="21BE1AB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5C7E12E4" w14:textId="77777777" w:rsidTr="002E2C37">
        <w:trPr>
          <w:trHeight w:val="70"/>
        </w:trPr>
        <w:tc>
          <w:tcPr>
            <w:tcW w:w="9016" w:type="dxa"/>
            <w:gridSpan w:val="2"/>
          </w:tcPr>
          <w:p w14:paraId="2A09FEBB"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tc>
      </w:tr>
      <w:tr w:rsidR="002D7080" w:rsidRPr="004D1E6F" w14:paraId="162D26E4" w14:textId="77777777" w:rsidTr="002E2C37">
        <w:tc>
          <w:tcPr>
            <w:tcW w:w="9016" w:type="dxa"/>
            <w:gridSpan w:val="2"/>
            <w:shd w:val="clear" w:color="auto" w:fill="F2F2F2" w:themeFill="background1" w:themeFillShade="F2"/>
          </w:tcPr>
          <w:p w14:paraId="6BA78F3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CON1e: Parasitism</w:t>
            </w:r>
          </w:p>
        </w:tc>
      </w:tr>
      <w:tr w:rsidR="002D7080" w:rsidRPr="004D1E6F" w14:paraId="3E12E2C7" w14:textId="77777777" w:rsidTr="002E2C37">
        <w:tc>
          <w:tcPr>
            <w:tcW w:w="5949" w:type="dxa"/>
          </w:tcPr>
          <w:p w14:paraId="5D39B57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9F2AE3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A23FF66" w14:textId="77777777" w:rsidTr="002E2C37">
        <w:trPr>
          <w:trHeight w:val="70"/>
        </w:trPr>
        <w:tc>
          <w:tcPr>
            <w:tcW w:w="9016" w:type="dxa"/>
            <w:gridSpan w:val="2"/>
          </w:tcPr>
          <w:p w14:paraId="7592C1D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76E0AE93" w14:textId="77777777" w:rsidTr="002E2C37">
        <w:trPr>
          <w:trHeight w:val="70"/>
        </w:trPr>
        <w:tc>
          <w:tcPr>
            <w:tcW w:w="9016" w:type="dxa"/>
            <w:gridSpan w:val="2"/>
          </w:tcPr>
          <w:p w14:paraId="7209A3E0"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3161C518" w14:textId="77777777" w:rsidTr="002E2C37">
        <w:tc>
          <w:tcPr>
            <w:tcW w:w="9016" w:type="dxa"/>
            <w:gridSpan w:val="2"/>
            <w:shd w:val="clear" w:color="auto" w:fill="F2F2F2" w:themeFill="background1" w:themeFillShade="F2"/>
          </w:tcPr>
          <w:p w14:paraId="24963451"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CON1f: Poisoning/toxicity</w:t>
            </w:r>
          </w:p>
        </w:tc>
      </w:tr>
      <w:tr w:rsidR="002D7080" w:rsidRPr="004D1E6F" w14:paraId="4809F5B0" w14:textId="77777777" w:rsidTr="002E2C37">
        <w:tc>
          <w:tcPr>
            <w:tcW w:w="5949" w:type="dxa"/>
          </w:tcPr>
          <w:p w14:paraId="0ED2F00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4D4E186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06D2C24" w14:textId="77777777" w:rsidTr="002E2C37">
        <w:trPr>
          <w:trHeight w:val="70"/>
        </w:trPr>
        <w:tc>
          <w:tcPr>
            <w:tcW w:w="9016" w:type="dxa"/>
            <w:gridSpan w:val="2"/>
          </w:tcPr>
          <w:p w14:paraId="4123407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6275A8E6" w14:textId="77777777" w:rsidTr="002E2C37">
        <w:trPr>
          <w:trHeight w:val="70"/>
        </w:trPr>
        <w:tc>
          <w:tcPr>
            <w:tcW w:w="9016" w:type="dxa"/>
            <w:gridSpan w:val="2"/>
          </w:tcPr>
          <w:p w14:paraId="77430DCF"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47C0C36" w14:textId="77777777" w:rsidTr="002E2C37">
        <w:tc>
          <w:tcPr>
            <w:tcW w:w="9016" w:type="dxa"/>
            <w:gridSpan w:val="2"/>
            <w:shd w:val="clear" w:color="auto" w:fill="F2F2F2" w:themeFill="background1" w:themeFillShade="F2"/>
          </w:tcPr>
          <w:p w14:paraId="56DD57BF"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CON1g: Bio-fouling or other direct physical disturbance</w:t>
            </w:r>
          </w:p>
        </w:tc>
      </w:tr>
      <w:tr w:rsidR="002D7080" w:rsidRPr="004D1E6F" w14:paraId="5F4F6B09" w14:textId="77777777" w:rsidTr="002E2C37">
        <w:tc>
          <w:tcPr>
            <w:tcW w:w="5949" w:type="dxa"/>
          </w:tcPr>
          <w:p w14:paraId="25ED349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806FE1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59C34FB6" w14:textId="77777777" w:rsidTr="002E2C37">
        <w:trPr>
          <w:trHeight w:val="70"/>
        </w:trPr>
        <w:tc>
          <w:tcPr>
            <w:tcW w:w="9016" w:type="dxa"/>
            <w:gridSpan w:val="2"/>
          </w:tcPr>
          <w:p w14:paraId="04CA239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09CE7565" w14:textId="77777777" w:rsidTr="002E2C37">
        <w:trPr>
          <w:trHeight w:val="70"/>
        </w:trPr>
        <w:tc>
          <w:tcPr>
            <w:tcW w:w="9016" w:type="dxa"/>
            <w:gridSpan w:val="2"/>
          </w:tcPr>
          <w:p w14:paraId="34D5D16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1D62E22" w14:textId="77777777" w:rsidTr="002E2C37">
        <w:tc>
          <w:tcPr>
            <w:tcW w:w="9016" w:type="dxa"/>
            <w:gridSpan w:val="2"/>
            <w:shd w:val="clear" w:color="auto" w:fill="F2F2F2" w:themeFill="background1" w:themeFillShade="F2"/>
          </w:tcPr>
          <w:p w14:paraId="507A608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CON1h: Grazing/herbivory/browsing</w:t>
            </w:r>
          </w:p>
        </w:tc>
      </w:tr>
      <w:tr w:rsidR="002D7080" w:rsidRPr="004D1E6F" w14:paraId="4CB105EE" w14:textId="77777777" w:rsidTr="002E2C37">
        <w:tc>
          <w:tcPr>
            <w:tcW w:w="5949" w:type="dxa"/>
          </w:tcPr>
          <w:p w14:paraId="10B470F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55EB0C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53852B0E" w14:textId="77777777" w:rsidTr="002E2C37">
        <w:trPr>
          <w:trHeight w:val="70"/>
        </w:trPr>
        <w:tc>
          <w:tcPr>
            <w:tcW w:w="9016" w:type="dxa"/>
            <w:gridSpan w:val="2"/>
          </w:tcPr>
          <w:p w14:paraId="3E3D5F7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2305A9AF" w14:textId="77777777" w:rsidTr="002E2C37">
        <w:trPr>
          <w:trHeight w:val="70"/>
        </w:trPr>
        <w:tc>
          <w:tcPr>
            <w:tcW w:w="9016" w:type="dxa"/>
            <w:gridSpan w:val="2"/>
          </w:tcPr>
          <w:p w14:paraId="36D1A076"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4720492" w14:textId="77777777" w:rsidTr="002E2C37">
        <w:tc>
          <w:tcPr>
            <w:tcW w:w="9016" w:type="dxa"/>
            <w:gridSpan w:val="2"/>
            <w:shd w:val="clear" w:color="auto" w:fill="F2F2F2" w:themeFill="background1" w:themeFillShade="F2"/>
          </w:tcPr>
          <w:p w14:paraId="2B4B57BF"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CON1i: Chemical, physical or structural impact on ecosystem</w:t>
            </w:r>
          </w:p>
        </w:tc>
      </w:tr>
      <w:tr w:rsidR="002D7080" w:rsidRPr="004D1E6F" w14:paraId="3EB5765B" w14:textId="77777777" w:rsidTr="002E2C37">
        <w:tc>
          <w:tcPr>
            <w:tcW w:w="5949" w:type="dxa"/>
          </w:tcPr>
          <w:p w14:paraId="252601C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3E1ECD4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FC2A742" w14:textId="77777777" w:rsidTr="002E2C37">
        <w:trPr>
          <w:trHeight w:val="70"/>
        </w:trPr>
        <w:tc>
          <w:tcPr>
            <w:tcW w:w="9016" w:type="dxa"/>
            <w:gridSpan w:val="2"/>
          </w:tcPr>
          <w:p w14:paraId="528A53E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0ABD8F3D" w14:textId="77777777" w:rsidTr="002E2C37">
        <w:trPr>
          <w:trHeight w:val="70"/>
        </w:trPr>
        <w:tc>
          <w:tcPr>
            <w:tcW w:w="9016" w:type="dxa"/>
            <w:gridSpan w:val="2"/>
          </w:tcPr>
          <w:p w14:paraId="099741A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360B5A3" w14:textId="77777777" w:rsidTr="002E2C37">
        <w:tc>
          <w:tcPr>
            <w:tcW w:w="9016" w:type="dxa"/>
            <w:gridSpan w:val="2"/>
            <w:shd w:val="clear" w:color="auto" w:fill="F2F2F2" w:themeFill="background1" w:themeFillShade="F2"/>
          </w:tcPr>
          <w:p w14:paraId="252CD12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CON1k: Indirect impacts through interactions with other species</w:t>
            </w:r>
          </w:p>
        </w:tc>
      </w:tr>
      <w:tr w:rsidR="002D7080" w:rsidRPr="004D1E6F" w14:paraId="2DF683F3" w14:textId="77777777" w:rsidTr="002E2C37">
        <w:tc>
          <w:tcPr>
            <w:tcW w:w="5949" w:type="dxa"/>
          </w:tcPr>
          <w:p w14:paraId="7024FA5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55A4CA6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ED9F97F" w14:textId="77777777" w:rsidTr="002E2C37">
        <w:trPr>
          <w:trHeight w:val="70"/>
        </w:trPr>
        <w:tc>
          <w:tcPr>
            <w:tcW w:w="9016" w:type="dxa"/>
            <w:gridSpan w:val="2"/>
          </w:tcPr>
          <w:p w14:paraId="6530DEA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180DACB8" w14:textId="77777777" w:rsidTr="002E2C37">
        <w:trPr>
          <w:trHeight w:val="70"/>
        </w:trPr>
        <w:tc>
          <w:tcPr>
            <w:tcW w:w="9016" w:type="dxa"/>
            <w:gridSpan w:val="2"/>
          </w:tcPr>
          <w:p w14:paraId="2B452E4B"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3AB2062" w14:textId="77777777" w:rsidTr="002E2C37">
        <w:trPr>
          <w:trHeight w:val="197"/>
        </w:trPr>
        <w:tc>
          <w:tcPr>
            <w:tcW w:w="9016" w:type="dxa"/>
            <w:gridSpan w:val="2"/>
            <w:shd w:val="clear" w:color="auto" w:fill="F2F2F2" w:themeFill="background1" w:themeFillShade="F2"/>
          </w:tcPr>
          <w:p w14:paraId="5FA7CE8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CON1 Maximum environmental impact </w:t>
            </w:r>
          </w:p>
        </w:tc>
      </w:tr>
      <w:tr w:rsidR="002D7080" w:rsidRPr="004D1E6F" w14:paraId="132212CB" w14:textId="77777777" w:rsidTr="002E2C37">
        <w:trPr>
          <w:trHeight w:val="172"/>
        </w:trPr>
        <w:tc>
          <w:tcPr>
            <w:tcW w:w="5949" w:type="dxa"/>
          </w:tcPr>
          <w:p w14:paraId="1706157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5F71284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7BE7FB6D" w14:textId="77777777" w:rsidTr="002E2C37">
        <w:trPr>
          <w:trHeight w:val="70"/>
        </w:trPr>
        <w:tc>
          <w:tcPr>
            <w:tcW w:w="9016" w:type="dxa"/>
            <w:gridSpan w:val="2"/>
          </w:tcPr>
          <w:p w14:paraId="1D37ACA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22297B1E" w14:textId="77777777" w:rsidTr="002E2C37">
        <w:trPr>
          <w:trHeight w:val="70"/>
        </w:trPr>
        <w:tc>
          <w:tcPr>
            <w:tcW w:w="9016" w:type="dxa"/>
            <w:gridSpan w:val="2"/>
          </w:tcPr>
          <w:p w14:paraId="0DA5869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2C64F814"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3764B61F" w14:textId="77777777" w:rsidTr="002E2C37">
        <w:trPr>
          <w:trHeight w:val="343"/>
        </w:trPr>
        <w:tc>
          <w:tcPr>
            <w:tcW w:w="9016" w:type="dxa"/>
            <w:gridSpan w:val="2"/>
            <w:shd w:val="clear" w:color="auto" w:fill="F2F2F2" w:themeFill="background1" w:themeFillShade="F2"/>
          </w:tcPr>
          <w:p w14:paraId="388DEA5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 Socio-economic impact</w:t>
            </w:r>
          </w:p>
        </w:tc>
      </w:tr>
      <w:tr w:rsidR="002D7080" w:rsidRPr="004D1E6F" w14:paraId="29BCD6E1" w14:textId="77777777" w:rsidTr="002E2C37">
        <w:tc>
          <w:tcPr>
            <w:tcW w:w="9016" w:type="dxa"/>
            <w:gridSpan w:val="2"/>
            <w:shd w:val="clear" w:color="auto" w:fill="F2F2F2" w:themeFill="background1" w:themeFillShade="F2"/>
          </w:tcPr>
          <w:p w14:paraId="2DAB8FEA"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CON2a: Safety</w:t>
            </w:r>
          </w:p>
        </w:tc>
      </w:tr>
      <w:tr w:rsidR="002D7080" w:rsidRPr="004D1E6F" w14:paraId="0750F5FC" w14:textId="77777777" w:rsidTr="002E2C37">
        <w:tc>
          <w:tcPr>
            <w:tcW w:w="5949" w:type="dxa"/>
          </w:tcPr>
          <w:p w14:paraId="4C8C4B8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3D3A796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4978649A" w14:textId="77777777" w:rsidTr="002E2C37">
        <w:trPr>
          <w:trHeight w:val="70"/>
        </w:trPr>
        <w:tc>
          <w:tcPr>
            <w:tcW w:w="9016" w:type="dxa"/>
            <w:gridSpan w:val="2"/>
          </w:tcPr>
          <w:p w14:paraId="47F97E8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77B2855B" w14:textId="77777777" w:rsidTr="002E2C37">
        <w:trPr>
          <w:trHeight w:val="70"/>
        </w:trPr>
        <w:tc>
          <w:tcPr>
            <w:tcW w:w="9016" w:type="dxa"/>
            <w:gridSpan w:val="2"/>
          </w:tcPr>
          <w:p w14:paraId="2AB83413"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8493791" w14:textId="77777777" w:rsidTr="002E2C37">
        <w:tc>
          <w:tcPr>
            <w:tcW w:w="9016" w:type="dxa"/>
            <w:gridSpan w:val="2"/>
            <w:shd w:val="clear" w:color="auto" w:fill="F2F2F2" w:themeFill="background1" w:themeFillShade="F2"/>
          </w:tcPr>
          <w:p w14:paraId="16B2E6B4"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CON2b: Material and immaterial assets</w:t>
            </w:r>
          </w:p>
        </w:tc>
      </w:tr>
      <w:tr w:rsidR="002D7080" w:rsidRPr="004D1E6F" w14:paraId="71750903" w14:textId="77777777" w:rsidTr="002E2C37">
        <w:tc>
          <w:tcPr>
            <w:tcW w:w="5949" w:type="dxa"/>
          </w:tcPr>
          <w:p w14:paraId="5BE5AE0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55177F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FB2FCB9" w14:textId="77777777" w:rsidTr="002E2C37">
        <w:trPr>
          <w:trHeight w:val="128"/>
        </w:trPr>
        <w:tc>
          <w:tcPr>
            <w:tcW w:w="9016" w:type="dxa"/>
            <w:gridSpan w:val="2"/>
          </w:tcPr>
          <w:p w14:paraId="31E7ABB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05B134E5" w14:textId="77777777" w:rsidTr="002E2C37">
        <w:trPr>
          <w:trHeight w:val="70"/>
        </w:trPr>
        <w:tc>
          <w:tcPr>
            <w:tcW w:w="9016" w:type="dxa"/>
            <w:gridSpan w:val="2"/>
          </w:tcPr>
          <w:p w14:paraId="30960100"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DB79587" w14:textId="77777777" w:rsidTr="002E2C37">
        <w:tc>
          <w:tcPr>
            <w:tcW w:w="9016" w:type="dxa"/>
            <w:gridSpan w:val="2"/>
            <w:shd w:val="clear" w:color="auto" w:fill="F2F2F2" w:themeFill="background1" w:themeFillShade="F2"/>
          </w:tcPr>
          <w:p w14:paraId="7A46EB23"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CON2c: Health</w:t>
            </w:r>
          </w:p>
        </w:tc>
      </w:tr>
      <w:tr w:rsidR="002D7080" w:rsidRPr="004D1E6F" w14:paraId="37B73C5F" w14:textId="77777777" w:rsidTr="002E2C37">
        <w:tc>
          <w:tcPr>
            <w:tcW w:w="5949" w:type="dxa"/>
          </w:tcPr>
          <w:p w14:paraId="56F0209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551F958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42EF4D69" w14:textId="77777777" w:rsidTr="002E2C37">
        <w:trPr>
          <w:trHeight w:val="70"/>
        </w:trPr>
        <w:tc>
          <w:tcPr>
            <w:tcW w:w="9016" w:type="dxa"/>
            <w:gridSpan w:val="2"/>
          </w:tcPr>
          <w:p w14:paraId="0B93DF6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6074BF73" w14:textId="77777777" w:rsidTr="002E2C37">
        <w:trPr>
          <w:trHeight w:val="70"/>
        </w:trPr>
        <w:tc>
          <w:tcPr>
            <w:tcW w:w="9016" w:type="dxa"/>
            <w:gridSpan w:val="2"/>
          </w:tcPr>
          <w:p w14:paraId="717995CD"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5B1948D8" w14:textId="77777777" w:rsidTr="002E2C37">
        <w:tc>
          <w:tcPr>
            <w:tcW w:w="9016" w:type="dxa"/>
            <w:gridSpan w:val="2"/>
            <w:shd w:val="clear" w:color="auto" w:fill="F2F2F2" w:themeFill="background1" w:themeFillShade="F2"/>
          </w:tcPr>
          <w:p w14:paraId="79E180DB"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CON2d: Social, spiritual and cultural relations </w:t>
            </w:r>
          </w:p>
        </w:tc>
      </w:tr>
      <w:tr w:rsidR="002D7080" w:rsidRPr="004D1E6F" w14:paraId="64CBE46D" w14:textId="77777777" w:rsidTr="002E2C37">
        <w:tc>
          <w:tcPr>
            <w:tcW w:w="5949" w:type="dxa"/>
          </w:tcPr>
          <w:p w14:paraId="740C66E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AD47CF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6659473" w14:textId="77777777" w:rsidTr="002E2C37">
        <w:trPr>
          <w:trHeight w:val="70"/>
        </w:trPr>
        <w:tc>
          <w:tcPr>
            <w:tcW w:w="9016" w:type="dxa"/>
            <w:gridSpan w:val="2"/>
          </w:tcPr>
          <w:p w14:paraId="7D0726B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68BA3C29" w14:textId="77777777" w:rsidTr="002E2C37">
        <w:trPr>
          <w:trHeight w:val="70"/>
        </w:trPr>
        <w:tc>
          <w:tcPr>
            <w:tcW w:w="9016" w:type="dxa"/>
            <w:gridSpan w:val="2"/>
          </w:tcPr>
          <w:p w14:paraId="51FCC263"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0F1CCD4" w14:textId="77777777" w:rsidTr="002E2C37">
        <w:trPr>
          <w:trHeight w:val="260"/>
        </w:trPr>
        <w:tc>
          <w:tcPr>
            <w:tcW w:w="9016" w:type="dxa"/>
            <w:gridSpan w:val="2"/>
            <w:shd w:val="clear" w:color="auto" w:fill="F2F2F2" w:themeFill="background1" w:themeFillShade="F2"/>
          </w:tcPr>
          <w:p w14:paraId="4BA2D5D3"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CON2 Maximum socio-economic impact </w:t>
            </w:r>
          </w:p>
        </w:tc>
      </w:tr>
      <w:tr w:rsidR="002D7080" w:rsidRPr="004D1E6F" w14:paraId="0A49F8CC" w14:textId="77777777" w:rsidTr="002E2C37">
        <w:trPr>
          <w:trHeight w:val="208"/>
        </w:trPr>
        <w:tc>
          <w:tcPr>
            <w:tcW w:w="5949" w:type="dxa"/>
          </w:tcPr>
          <w:p w14:paraId="174BBE4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4FD06F4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F1CAB78" w14:textId="77777777" w:rsidTr="002E2C37">
        <w:trPr>
          <w:trHeight w:val="70"/>
        </w:trPr>
        <w:tc>
          <w:tcPr>
            <w:tcW w:w="9016" w:type="dxa"/>
            <w:gridSpan w:val="2"/>
          </w:tcPr>
          <w:p w14:paraId="52DA633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2F8BBEBD" w14:textId="77777777" w:rsidTr="002E2C37">
        <w:trPr>
          <w:trHeight w:val="70"/>
        </w:trPr>
        <w:tc>
          <w:tcPr>
            <w:tcW w:w="9016" w:type="dxa"/>
            <w:gridSpan w:val="2"/>
          </w:tcPr>
          <w:p w14:paraId="29EACB73"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1F2128D6"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6532577A" w14:textId="77777777" w:rsidTr="002E2C37">
        <w:trPr>
          <w:trHeight w:val="343"/>
        </w:trPr>
        <w:tc>
          <w:tcPr>
            <w:tcW w:w="9016" w:type="dxa"/>
            <w:gridSpan w:val="2"/>
            <w:shd w:val="clear" w:color="auto" w:fill="F2F2F2"/>
          </w:tcPr>
          <w:p w14:paraId="56285ADB"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CON3 Closely related species’ environmental impact</w:t>
            </w:r>
          </w:p>
        </w:tc>
      </w:tr>
      <w:tr w:rsidR="002D7080" w:rsidRPr="004D1E6F" w14:paraId="67A5FE92" w14:textId="77777777" w:rsidTr="002E2C37">
        <w:trPr>
          <w:trHeight w:val="172"/>
        </w:trPr>
        <w:tc>
          <w:tcPr>
            <w:tcW w:w="5949" w:type="dxa"/>
          </w:tcPr>
          <w:p w14:paraId="5752CDF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Major (MR)</w:t>
            </w:r>
          </w:p>
        </w:tc>
        <w:tc>
          <w:tcPr>
            <w:tcW w:w="3067" w:type="dxa"/>
          </w:tcPr>
          <w:p w14:paraId="1EB3829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1358AED4" w14:textId="77777777" w:rsidTr="002E2C37">
        <w:trPr>
          <w:trHeight w:val="70"/>
        </w:trPr>
        <w:tc>
          <w:tcPr>
            <w:tcW w:w="9016" w:type="dxa"/>
            <w:gridSpan w:val="2"/>
          </w:tcPr>
          <w:p w14:paraId="662422D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There are no recorded environmental impacts for </w:t>
            </w:r>
            <w:r w:rsidRPr="004D1E6F">
              <w:rPr>
                <w:rFonts w:ascii="Times New Roman" w:eastAsia="Times New Roman" w:hAnsi="Times New Roman" w:cs="Times New Roman"/>
                <w:i/>
                <w:iCs/>
                <w:sz w:val="20"/>
                <w:szCs w:val="20"/>
                <w:lang w:eastAsia="en-ZA"/>
              </w:rPr>
              <w:t>F. juvenilis</w:t>
            </w:r>
            <w:r w:rsidRPr="004D1E6F">
              <w:rPr>
                <w:rFonts w:ascii="Times New Roman" w:eastAsia="Times New Roman" w:hAnsi="Times New Roman" w:cs="Times New Roman"/>
                <w:sz w:val="20"/>
                <w:szCs w:val="20"/>
                <w:lang w:eastAsia="en-ZA"/>
              </w:rPr>
              <w:t xml:space="preserve">, therefore impacts were inferred from a closely related taxon, </w:t>
            </w:r>
            <w:r w:rsidRPr="004D1E6F">
              <w:rPr>
                <w:rFonts w:ascii="Times New Roman" w:eastAsia="Times New Roman" w:hAnsi="Times New Roman" w:cs="Times New Roman"/>
                <w:i/>
                <w:iCs/>
                <w:sz w:val="20"/>
                <w:szCs w:val="20"/>
                <w:lang w:eastAsia="en-ZA"/>
              </w:rPr>
              <w:t xml:space="preserve">Faxonius rusticus. </w:t>
            </w:r>
            <w:r w:rsidRPr="004D1E6F">
              <w:rPr>
                <w:rFonts w:ascii="Times New Roman" w:eastAsia="Times New Roman" w:hAnsi="Times New Roman" w:cs="Times New Roman"/>
                <w:color w:val="000000"/>
                <w:sz w:val="20"/>
                <w:szCs w:val="20"/>
                <w:lang w:eastAsia="en-ZA"/>
              </w:rPr>
              <w:t xml:space="preserve">In introduced areas, direct predation on native invertebrates, competition for food, shelter and spawning sites have led to local extinctions and a decrease in the abundance of native crayfish and fish species (e.g., Garvey &amp; Stein 1993; Klocker &amp; Strayer 2004; Lodge et al. 2012). </w:t>
            </w:r>
            <w:r w:rsidRPr="004D1E6F">
              <w:rPr>
                <w:rFonts w:ascii="Times New Roman" w:eastAsia="Times New Roman" w:hAnsi="Times New Roman" w:cs="Times New Roman"/>
                <w:i/>
                <w:color w:val="000000"/>
                <w:sz w:val="20"/>
                <w:szCs w:val="20"/>
                <w:lang w:eastAsia="en-ZA"/>
              </w:rPr>
              <w:t>Faxonius rusticus</w:t>
            </w:r>
            <w:r w:rsidRPr="004D1E6F">
              <w:rPr>
                <w:rFonts w:ascii="Times New Roman" w:eastAsia="Times New Roman" w:hAnsi="Times New Roman" w:cs="Times New Roman"/>
                <w:color w:val="000000"/>
                <w:sz w:val="20"/>
                <w:szCs w:val="20"/>
                <w:lang w:eastAsia="en-ZA"/>
              </w:rPr>
              <w:t xml:space="preserve"> feeds on macrophytes leading to changes in structural communities (e.g., Hobb et al. 1989, Lodge et al. 1994; Wilson et al. 2004,</w:t>
            </w:r>
            <w:r w:rsidRPr="004D1E6F">
              <w:rPr>
                <w:rFonts w:eastAsia="Times New Roman"/>
                <w:color w:val="000000"/>
                <w:lang w:eastAsia="en-ZA"/>
              </w:rPr>
              <w:t xml:space="preserve"> </w:t>
            </w:r>
            <w:r w:rsidRPr="004D1E6F">
              <w:rPr>
                <w:rFonts w:ascii="Times New Roman" w:eastAsia="Times New Roman" w:hAnsi="Times New Roman" w:cs="Times New Roman"/>
                <w:color w:val="000000"/>
                <w:sz w:val="20"/>
                <w:szCs w:val="20"/>
                <w:lang w:eastAsia="en-ZA"/>
              </w:rPr>
              <w:t xml:space="preserve">Roth et al. 2006; Rosenthal et al. 2006; Baldridge &amp; Lodge 2014). </w:t>
            </w:r>
            <w:r w:rsidRPr="00BA1673">
              <w:rPr>
                <w:rFonts w:ascii="Times New Roman" w:eastAsia="Times New Roman" w:hAnsi="Times New Roman" w:cs="Times New Roman"/>
                <w:i/>
                <w:color w:val="000000"/>
                <w:sz w:val="20"/>
                <w:szCs w:val="20"/>
                <w:lang w:eastAsia="en-ZA"/>
              </w:rPr>
              <w:t>Faxinous rusticus</w:t>
            </w:r>
            <w:r w:rsidRPr="004D1E6F">
              <w:rPr>
                <w:rFonts w:ascii="Times New Roman" w:eastAsia="Times New Roman" w:hAnsi="Times New Roman" w:cs="Times New Roman"/>
                <w:color w:val="000000"/>
                <w:sz w:val="20"/>
                <w:szCs w:val="20"/>
                <w:lang w:eastAsia="en-ZA"/>
              </w:rPr>
              <w:t xml:space="preserve"> is a known vector of pathogen such as the crayfish plague agent, Aphanomyces astaci (Panteleit et al. 2019; Butler et al. 2020) and microsporidia (Cambaraspora sp.) (Stratton et al. 2023). </w:t>
            </w:r>
            <w:r w:rsidRPr="004D1E6F">
              <w:rPr>
                <w:rFonts w:ascii="Times New Roman" w:eastAsia="Times New Roman" w:hAnsi="Times New Roman" w:cs="Times New Roman"/>
                <w:i/>
                <w:color w:val="000000"/>
                <w:sz w:val="20"/>
                <w:szCs w:val="20"/>
                <w:lang w:eastAsia="en-ZA"/>
              </w:rPr>
              <w:t xml:space="preserve">Faxonius </w:t>
            </w:r>
            <w:r w:rsidRPr="004D1E6F">
              <w:rPr>
                <w:rFonts w:ascii="Times New Roman" w:eastAsia="Times New Roman" w:hAnsi="Times New Roman" w:cs="Times New Roman"/>
                <w:i/>
                <w:color w:val="000000"/>
                <w:sz w:val="20"/>
                <w:szCs w:val="20"/>
                <w:lang w:eastAsia="en-ZA"/>
              </w:rPr>
              <w:lastRenderedPageBreak/>
              <w:t>rusticus</w:t>
            </w:r>
            <w:r w:rsidRPr="004D1E6F">
              <w:rPr>
                <w:rFonts w:ascii="Times New Roman" w:eastAsia="Times New Roman" w:hAnsi="Times New Roman" w:cs="Times New Roman"/>
                <w:color w:val="000000"/>
                <w:sz w:val="20"/>
                <w:szCs w:val="20"/>
                <w:lang w:eastAsia="en-ZA"/>
              </w:rPr>
              <w:t xml:space="preserve"> invasions have caused disruption in recreational activities by reducing sport fish populations though egg predation and/or competition with juveniles (Keller et al. 2008).</w:t>
            </w:r>
          </w:p>
        </w:tc>
      </w:tr>
      <w:tr w:rsidR="002D7080" w:rsidRPr="004D1E6F" w14:paraId="3920F240" w14:textId="77777777" w:rsidTr="002E2C37">
        <w:trPr>
          <w:cantSplit/>
          <w:trHeight w:val="70"/>
        </w:trPr>
        <w:tc>
          <w:tcPr>
            <w:tcW w:w="9016" w:type="dxa"/>
            <w:gridSpan w:val="2"/>
          </w:tcPr>
          <w:p w14:paraId="4C37BB01"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110DF3DA" w14:textId="77777777" w:rsidR="002D7080" w:rsidRPr="004D1E6F" w:rsidRDefault="002D7080" w:rsidP="002E2C37">
            <w:pPr>
              <w:ind w:left="720" w:hanging="720"/>
              <w:contextualSpacing/>
              <w:jc w:val="both"/>
              <w:rPr>
                <w:rFonts w:ascii="Times New Roman" w:hAnsi="Times New Roman" w:cs="Times New Roman"/>
                <w:sz w:val="20"/>
                <w:szCs w:val="20"/>
              </w:rPr>
            </w:pPr>
            <w:r w:rsidRPr="004D1E6F">
              <w:rPr>
                <w:rFonts w:ascii="Times New Roman" w:hAnsi="Times New Roman" w:cs="Times New Roman"/>
                <w:sz w:val="20"/>
                <w:szCs w:val="20"/>
              </w:rPr>
              <w:t>Baldridge, A. K., &amp; Lodge, D. M.</w:t>
            </w:r>
            <w:r>
              <w:rPr>
                <w:rFonts w:ascii="Times New Roman" w:hAnsi="Times New Roman" w:cs="Times New Roman"/>
                <w:sz w:val="20"/>
                <w:szCs w:val="20"/>
              </w:rPr>
              <w:t xml:space="preserve">, </w:t>
            </w:r>
            <w:r w:rsidRPr="004D1E6F">
              <w:rPr>
                <w:rFonts w:ascii="Times New Roman" w:hAnsi="Times New Roman" w:cs="Times New Roman"/>
                <w:sz w:val="20"/>
                <w:szCs w:val="20"/>
              </w:rPr>
              <w:t>2014</w:t>
            </w:r>
            <w:r>
              <w:rPr>
                <w:rFonts w:ascii="Times New Roman" w:hAnsi="Times New Roman" w:cs="Times New Roman"/>
                <w:sz w:val="20"/>
                <w:szCs w:val="20"/>
              </w:rPr>
              <w:t>, ‘</w:t>
            </w:r>
            <w:r w:rsidRPr="004D1E6F">
              <w:rPr>
                <w:rFonts w:ascii="Times New Roman" w:hAnsi="Times New Roman" w:cs="Times New Roman"/>
                <w:sz w:val="20"/>
                <w:szCs w:val="20"/>
              </w:rPr>
              <w:t>Long-term studies of crayfish invaded lakes reveal limited potential for macrophyte recovery from the seed bank</w:t>
            </w:r>
            <w:r>
              <w:rPr>
                <w:rFonts w:ascii="Times New Roman" w:hAnsi="Times New Roman" w:cs="Times New Roman"/>
                <w:sz w:val="20"/>
                <w:szCs w:val="20"/>
              </w:rPr>
              <w:t xml:space="preserve">’, </w:t>
            </w:r>
            <w:r w:rsidRPr="004D1E6F">
              <w:rPr>
                <w:rFonts w:ascii="Times New Roman" w:hAnsi="Times New Roman" w:cs="Times New Roman"/>
                <w:i/>
                <w:iCs/>
                <w:sz w:val="20"/>
                <w:szCs w:val="20"/>
              </w:rPr>
              <w:t>Freshwater Science</w:t>
            </w:r>
            <w:r w:rsidRPr="004D1E6F">
              <w:rPr>
                <w:rFonts w:ascii="Times New Roman" w:hAnsi="Times New Roman" w:cs="Times New Roman"/>
                <w:sz w:val="20"/>
                <w:szCs w:val="20"/>
              </w:rPr>
              <w:t xml:space="preserve">, 33, 788–797. </w:t>
            </w:r>
            <w:hyperlink r:id="rId244" w:history="1">
              <w:r w:rsidRPr="000B0DAE">
                <w:rPr>
                  <w:rStyle w:val="Hyperlink"/>
                  <w:rFonts w:ascii="Times New Roman" w:hAnsi="Times New Roman" w:cs="Times New Roman"/>
                  <w:sz w:val="20"/>
                  <w:szCs w:val="20"/>
                </w:rPr>
                <w:t>https://doi.org/10.1086/677070</w:t>
              </w:r>
            </w:hyperlink>
            <w:r>
              <w:rPr>
                <w:rFonts w:ascii="Times New Roman" w:hAnsi="Times New Roman" w:cs="Times New Roman"/>
                <w:sz w:val="20"/>
                <w:szCs w:val="20"/>
              </w:rPr>
              <w:t xml:space="preserve">. </w:t>
            </w:r>
          </w:p>
          <w:p w14:paraId="5F50A78B" w14:textId="77777777" w:rsidR="002D7080" w:rsidRPr="004D1E6F" w:rsidRDefault="002D7080" w:rsidP="002E2C37">
            <w:pPr>
              <w:ind w:left="720" w:hanging="720"/>
              <w:contextualSpacing/>
              <w:jc w:val="both"/>
              <w:rPr>
                <w:rFonts w:ascii="Times New Roman" w:hAnsi="Times New Roman" w:cs="Times New Roman"/>
                <w:color w:val="000000"/>
                <w:sz w:val="20"/>
                <w:szCs w:val="20"/>
              </w:rPr>
            </w:pPr>
            <w:r w:rsidRPr="004D1E6F">
              <w:rPr>
                <w:rFonts w:ascii="Times New Roman" w:hAnsi="Times New Roman" w:cs="Times New Roman"/>
                <w:color w:val="000000"/>
                <w:sz w:val="20"/>
                <w:szCs w:val="20"/>
              </w:rPr>
              <w:t>Butler, E.,</w:t>
            </w:r>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Crigler,</w:t>
            </w:r>
            <w:r>
              <w:rPr>
                <w:rFonts w:ascii="Times New Roman" w:hAnsi="Times New Roman" w:cs="Times New Roman"/>
                <w:color w:val="000000"/>
                <w:sz w:val="20"/>
                <w:szCs w:val="20"/>
              </w:rPr>
              <w:t xml:space="preserve"> P., </w:t>
            </w:r>
            <w:r w:rsidRPr="004D1E6F">
              <w:rPr>
                <w:rFonts w:ascii="Times New Roman" w:hAnsi="Times New Roman" w:cs="Times New Roman"/>
                <w:color w:val="000000"/>
                <w:sz w:val="20"/>
                <w:szCs w:val="20"/>
              </w:rPr>
              <w:t xml:space="preserve">Robbins, </w:t>
            </w:r>
            <w:r>
              <w:rPr>
                <w:rFonts w:ascii="Times New Roman" w:hAnsi="Times New Roman" w:cs="Times New Roman"/>
                <w:color w:val="000000"/>
                <w:sz w:val="20"/>
                <w:szCs w:val="20"/>
              </w:rPr>
              <w:t xml:space="preserve">G. &amp; </w:t>
            </w:r>
            <w:r w:rsidRPr="004D1E6F">
              <w:rPr>
                <w:rFonts w:ascii="Times New Roman" w:hAnsi="Times New Roman" w:cs="Times New Roman"/>
                <w:color w:val="000000"/>
                <w:sz w:val="20"/>
                <w:szCs w:val="20"/>
              </w:rPr>
              <w:t>Blair</w:t>
            </w:r>
            <w:r>
              <w:rPr>
                <w:rFonts w:ascii="Times New Roman" w:hAnsi="Times New Roman" w:cs="Times New Roman"/>
                <w:color w:val="000000"/>
                <w:sz w:val="20"/>
                <w:szCs w:val="20"/>
              </w:rPr>
              <w:t>, J.E</w:t>
            </w:r>
            <w:r w:rsidRPr="004D1E6F">
              <w:rPr>
                <w:rFonts w:ascii="Times New Roman" w:hAnsi="Times New Roman" w:cs="Times New Roman"/>
                <w:color w:val="000000"/>
                <w:sz w:val="20"/>
                <w:szCs w:val="20"/>
              </w:rPr>
              <w:t>.</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2020</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Preliminary survey of </w:t>
            </w:r>
            <w:r w:rsidRPr="004D1E6F">
              <w:rPr>
                <w:rStyle w:val="Emphasis"/>
                <w:rFonts w:ascii="Times New Roman" w:hAnsi="Times New Roman" w:cs="Times New Roman"/>
                <w:color w:val="000000"/>
                <w:sz w:val="20"/>
                <w:szCs w:val="20"/>
              </w:rPr>
              <w:t>Aphanomyces</w:t>
            </w:r>
            <w:r w:rsidRPr="004D1E6F">
              <w:rPr>
                <w:rFonts w:ascii="Times New Roman" w:hAnsi="Times New Roman" w:cs="Times New Roman"/>
                <w:color w:val="000000"/>
                <w:sz w:val="20"/>
                <w:szCs w:val="20"/>
              </w:rPr>
              <w:t> sp. associated with native and invasive crayfish in the lower Susquehanna watershed of south central Pennsylvania</w:t>
            </w:r>
            <w:r>
              <w:rPr>
                <w:rFonts w:ascii="Times New Roman" w:hAnsi="Times New Roman" w:cs="Times New Roman"/>
                <w:color w:val="000000"/>
                <w:sz w:val="20"/>
                <w:szCs w:val="20"/>
              </w:rPr>
              <w:t xml:space="preserve">’, </w:t>
            </w:r>
            <w:r w:rsidRPr="004D1E6F">
              <w:rPr>
                <w:rFonts w:ascii="Times New Roman" w:hAnsi="Times New Roman" w:cs="Times New Roman"/>
                <w:i/>
                <w:iCs/>
                <w:color w:val="000000"/>
                <w:sz w:val="20"/>
                <w:szCs w:val="20"/>
              </w:rPr>
              <w:t>Journal of Freshwater Ecology</w:t>
            </w:r>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 xml:space="preserve">35(1), 223-233. </w:t>
            </w:r>
            <w:hyperlink w:history="1">
              <w:r w:rsidRPr="004D1E6F">
                <w:rPr>
                  <w:rStyle w:val="Hyperlink"/>
                  <w:rFonts w:ascii="Times New Roman" w:hAnsi="Times New Roman" w:cs="Times New Roman"/>
                  <w:sz w:val="20"/>
                  <w:szCs w:val="20"/>
                </w:rPr>
                <w:t>https://doi.org/10.1080/02705060.2020.1779141</w:t>
              </w:r>
            </w:hyperlink>
            <w:r w:rsidRPr="004D1E6F">
              <w:rPr>
                <w:rFonts w:ascii="Times New Roman" w:hAnsi="Times New Roman" w:cs="Times New Roman"/>
                <w:color w:val="000000"/>
                <w:sz w:val="20"/>
                <w:szCs w:val="20"/>
              </w:rPr>
              <w:t>.</w:t>
            </w:r>
          </w:p>
          <w:p w14:paraId="343865ED" w14:textId="77777777" w:rsidR="002D7080" w:rsidRPr="004D1E6F"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Garvey, J.E. &amp; Stein, R.A, 1993, ‘Evaluating how chela size influences the invasion potential of an introduced crayfish (</w:t>
            </w:r>
            <w:r w:rsidRPr="004D1E6F">
              <w:rPr>
                <w:rFonts w:ascii="Times New Roman" w:eastAsia="Times New Roman" w:hAnsi="Times New Roman" w:cs="Times New Roman"/>
                <w:i/>
                <w:color w:val="000000"/>
                <w:sz w:val="20"/>
                <w:szCs w:val="20"/>
                <w:lang w:eastAsia="en-ZA"/>
              </w:rPr>
              <w:t>Orconectes rusticus</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 xml:space="preserve">American Midland Naturalist </w:t>
            </w:r>
            <w:r w:rsidRPr="005B783E">
              <w:rPr>
                <w:rFonts w:ascii="Times New Roman" w:eastAsia="Times New Roman" w:hAnsi="Times New Roman" w:cs="Times New Roman"/>
                <w:color w:val="000000"/>
                <w:sz w:val="20"/>
                <w:szCs w:val="20"/>
                <w:lang w:eastAsia="en-ZA"/>
              </w:rPr>
              <w:t>129,</w:t>
            </w:r>
            <w:r w:rsidRPr="004D1E6F">
              <w:rPr>
                <w:rFonts w:ascii="Times New Roman" w:eastAsia="Times New Roman" w:hAnsi="Times New Roman" w:cs="Times New Roman"/>
                <w:color w:val="000000"/>
                <w:sz w:val="20"/>
                <w:szCs w:val="20"/>
                <w:lang w:eastAsia="en-ZA"/>
              </w:rPr>
              <w:t xml:space="preserve"> 172–181. </w:t>
            </w:r>
            <w:hyperlink r:id="rId245" w:history="1">
              <w:r w:rsidRPr="000B0DAE">
                <w:rPr>
                  <w:rStyle w:val="Hyperlink"/>
                  <w:rFonts w:ascii="Times New Roman" w:eastAsia="Times New Roman" w:hAnsi="Times New Roman" w:cs="Times New Roman"/>
                  <w:sz w:val="20"/>
                  <w:szCs w:val="20"/>
                  <w:lang w:eastAsia="en-ZA"/>
                </w:rPr>
                <w:t>https://doi.org/10.2307/2426446</w:t>
              </w:r>
            </w:hyperlink>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p w14:paraId="72AAF42F" w14:textId="78F562F9" w:rsidR="002D7080" w:rsidRPr="004D1E6F" w:rsidRDefault="002D7080" w:rsidP="002E2C37">
            <w:pPr>
              <w:ind w:left="720" w:hanging="720"/>
              <w:contextualSpacing/>
              <w:jc w:val="both"/>
              <w:rPr>
                <w:rFonts w:ascii="Times New Roman" w:hAnsi="Times New Roman" w:cs="Times New Roman"/>
                <w:color w:val="212529"/>
                <w:sz w:val="20"/>
                <w:szCs w:val="20"/>
                <w:shd w:val="clear" w:color="auto" w:fill="FFFFFF"/>
              </w:rPr>
            </w:pPr>
            <w:r w:rsidRPr="004D1E6F">
              <w:rPr>
                <w:rFonts w:ascii="Times New Roman" w:hAnsi="Times New Roman" w:cs="Times New Roman"/>
                <w:color w:val="212529"/>
                <w:sz w:val="20"/>
                <w:szCs w:val="20"/>
                <w:shd w:val="clear" w:color="auto" w:fill="FFFFFF"/>
              </w:rPr>
              <w:t>Hobbs, H.H., Jass, J.P.</w:t>
            </w:r>
            <w:r>
              <w:rPr>
                <w:rFonts w:ascii="Times New Roman" w:hAnsi="Times New Roman" w:cs="Times New Roman"/>
                <w:color w:val="212529"/>
                <w:sz w:val="20"/>
                <w:szCs w:val="20"/>
                <w:shd w:val="clear" w:color="auto" w:fill="FFFFFF"/>
              </w:rPr>
              <w:t xml:space="preserve"> &amp; </w:t>
            </w:r>
            <w:r w:rsidRPr="004D1E6F">
              <w:rPr>
                <w:rFonts w:ascii="Times New Roman" w:hAnsi="Times New Roman" w:cs="Times New Roman"/>
                <w:color w:val="212529"/>
                <w:sz w:val="20"/>
                <w:szCs w:val="20"/>
                <w:shd w:val="clear" w:color="auto" w:fill="FFFFFF"/>
              </w:rPr>
              <w:t>Huner, J.V., 1989, ‘A review of global crayfish introductions with particular emphasis on two North American species (Decapoda, Cambaridae)</w:t>
            </w:r>
            <w:r>
              <w:rPr>
                <w:rFonts w:ascii="Times New Roman" w:hAnsi="Times New Roman" w:cs="Times New Roman"/>
                <w:color w:val="212529"/>
                <w:sz w:val="20"/>
                <w:szCs w:val="20"/>
                <w:shd w:val="clear" w:color="auto" w:fill="FFFFFF"/>
              </w:rPr>
              <w:t>’</w:t>
            </w:r>
            <w:r w:rsidRPr="004D1E6F">
              <w:rPr>
                <w:rFonts w:ascii="Times New Roman" w:hAnsi="Times New Roman" w:cs="Times New Roman"/>
                <w:color w:val="212529"/>
                <w:sz w:val="20"/>
                <w:szCs w:val="20"/>
                <w:shd w:val="clear" w:color="auto" w:fill="FFFFFF"/>
              </w:rPr>
              <w:t>, </w:t>
            </w:r>
            <w:r w:rsidRPr="004D1E6F">
              <w:rPr>
                <w:rStyle w:val="Emphasis"/>
                <w:rFonts w:ascii="Times New Roman" w:hAnsi="Times New Roman" w:cs="Times New Roman"/>
                <w:color w:val="212529"/>
                <w:sz w:val="20"/>
                <w:szCs w:val="20"/>
                <w:shd w:val="clear" w:color="auto" w:fill="FFFFFF"/>
              </w:rPr>
              <w:t>Crustaceana</w:t>
            </w:r>
            <w:r w:rsidRPr="004D1E6F">
              <w:rPr>
                <w:rFonts w:ascii="Times New Roman" w:hAnsi="Times New Roman" w:cs="Times New Roman"/>
                <w:color w:val="212529"/>
                <w:sz w:val="20"/>
                <w:szCs w:val="20"/>
                <w:shd w:val="clear" w:color="auto" w:fill="FFFFFF"/>
              </w:rPr>
              <w:t xml:space="preserve"> 56(3), 299-316. </w:t>
            </w:r>
            <w:r w:rsidR="00094725" w:rsidRPr="00094725">
              <w:rPr>
                <w:rFonts w:ascii="Times New Roman" w:hAnsi="Times New Roman" w:cs="Times New Roman"/>
                <w:sz w:val="20"/>
                <w:szCs w:val="20"/>
              </w:rPr>
              <w:t>https://www.jstor.org/stable/20104461</w:t>
            </w:r>
            <w:r w:rsidRPr="004D1E6F">
              <w:rPr>
                <w:rFonts w:ascii="Times New Roman" w:hAnsi="Times New Roman" w:cs="Times New Roman"/>
                <w:color w:val="343332"/>
                <w:spacing w:val="-5"/>
                <w:sz w:val="20"/>
                <w:szCs w:val="20"/>
              </w:rPr>
              <w:t xml:space="preserve">. </w:t>
            </w:r>
          </w:p>
          <w:p w14:paraId="2366AD08" w14:textId="286079CA" w:rsidR="002D7080" w:rsidRPr="00094725" w:rsidRDefault="002D7080" w:rsidP="00094725">
            <w:pPr>
              <w:ind w:left="720" w:hanging="720"/>
              <w:contextualSpacing/>
              <w:jc w:val="both"/>
              <w:rPr>
                <w:rFonts w:ascii="Times New Roman" w:hAnsi="Times New Roman" w:cs="Times New Roman"/>
                <w:sz w:val="20"/>
                <w:szCs w:val="20"/>
              </w:rPr>
            </w:pPr>
            <w:r w:rsidRPr="004D1E6F">
              <w:rPr>
                <w:rFonts w:ascii="Times New Roman" w:eastAsia="Times New Roman" w:hAnsi="Times New Roman" w:cs="Times New Roman"/>
                <w:color w:val="000000"/>
                <w:sz w:val="20"/>
                <w:szCs w:val="20"/>
                <w:lang w:eastAsia="en-ZA"/>
              </w:rPr>
              <w:t>Klocker, C.A. &amp; Strayer, D.L., 2004, ‘Interactions among an invasive crayfish (</w:t>
            </w:r>
            <w:r w:rsidRPr="004D1E6F">
              <w:rPr>
                <w:rFonts w:ascii="Times New Roman" w:eastAsia="Times New Roman" w:hAnsi="Times New Roman" w:cs="Times New Roman"/>
                <w:i/>
                <w:color w:val="000000"/>
                <w:sz w:val="20"/>
                <w:szCs w:val="20"/>
                <w:lang w:eastAsia="en-ZA"/>
              </w:rPr>
              <w:t>Orconectes rusticus</w:t>
            </w:r>
            <w:r w:rsidRPr="004D1E6F">
              <w:rPr>
                <w:rFonts w:ascii="Times New Roman" w:eastAsia="Times New Roman" w:hAnsi="Times New Roman" w:cs="Times New Roman"/>
                <w:color w:val="000000"/>
                <w:sz w:val="20"/>
                <w:szCs w:val="20"/>
                <w:lang w:eastAsia="en-ZA"/>
              </w:rPr>
              <w:t>), a native crayfish (</w:t>
            </w:r>
            <w:r w:rsidRPr="004D1E6F">
              <w:rPr>
                <w:rFonts w:ascii="Times New Roman" w:eastAsia="Times New Roman" w:hAnsi="Times New Roman" w:cs="Times New Roman"/>
                <w:i/>
                <w:color w:val="000000"/>
                <w:sz w:val="20"/>
                <w:szCs w:val="20"/>
                <w:lang w:eastAsia="en-ZA"/>
              </w:rPr>
              <w:t>Orconectes limosus</w:t>
            </w:r>
            <w:r w:rsidRPr="004D1E6F">
              <w:rPr>
                <w:rFonts w:ascii="Times New Roman" w:eastAsia="Times New Roman" w:hAnsi="Times New Roman" w:cs="Times New Roman"/>
                <w:color w:val="000000"/>
                <w:sz w:val="20"/>
                <w:szCs w:val="20"/>
                <w:lang w:eastAsia="en-ZA"/>
              </w:rPr>
              <w:t xml:space="preserve">), and native bivalves (Sphaeriidae and Unionidae)’, </w:t>
            </w:r>
            <w:r w:rsidRPr="004D1E6F">
              <w:rPr>
                <w:rFonts w:ascii="Times New Roman" w:eastAsia="Times New Roman" w:hAnsi="Times New Roman" w:cs="Times New Roman"/>
                <w:i/>
                <w:iCs/>
                <w:color w:val="000000"/>
                <w:sz w:val="20"/>
                <w:szCs w:val="20"/>
                <w:lang w:eastAsia="en-ZA"/>
              </w:rPr>
              <w:t>Northeastern Naturalist</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11</w:t>
            </w:r>
            <w:r w:rsidRPr="00C14699">
              <w:rPr>
                <w:rFonts w:ascii="Times New Roman" w:eastAsia="Times New Roman" w:hAnsi="Times New Roman" w:cs="Times New Roman"/>
                <w:bCs/>
                <w:color w:val="000000"/>
                <w:sz w:val="20"/>
                <w:szCs w:val="20"/>
                <w:lang w:eastAsia="en-ZA"/>
              </w:rPr>
              <w:t>,</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167–178.</w:t>
            </w:r>
            <w:r w:rsidRPr="004D1E6F">
              <w:rPr>
                <w:rFonts w:ascii="Times New Roman" w:hAnsi="Times New Roman" w:cs="Times New Roman"/>
              </w:rPr>
              <w:t xml:space="preserve"> </w:t>
            </w:r>
            <w:hyperlink r:id="rId246" w:history="1">
              <w:r w:rsidR="00094725" w:rsidRPr="00094725">
                <w:rPr>
                  <w:rStyle w:val="Hyperlink"/>
                  <w:rFonts w:ascii="Times New Roman" w:hAnsi="Times New Roman" w:cs="Times New Roman"/>
                  <w:sz w:val="20"/>
                  <w:szCs w:val="20"/>
                </w:rPr>
                <w:t>https://doi.org/10.1656/1092-6194(2004)011[0167:IAAICO]2.0.CO;2</w:t>
              </w:r>
            </w:hyperlink>
            <w:r w:rsidR="00094725" w:rsidRPr="00094725">
              <w:rPr>
                <w:rFonts w:ascii="Times New Roman" w:hAnsi="Times New Roman" w:cs="Times New Roman"/>
                <w:sz w:val="20"/>
                <w:szCs w:val="20"/>
              </w:rPr>
              <w:t xml:space="preserve">. </w:t>
            </w:r>
          </w:p>
          <w:p w14:paraId="3508CC6C" w14:textId="071F8147" w:rsidR="002D7080" w:rsidRPr="004D1E6F"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Keller, R.P., Frang, K. &amp; Lodge, D.M., 2008, ‘Preventing the spread of invasive species: Economic benefits of intervention guided by ecological predictions’ </w:t>
            </w:r>
            <w:r w:rsidRPr="004D1E6F">
              <w:rPr>
                <w:rFonts w:ascii="Times New Roman" w:eastAsia="Times New Roman" w:hAnsi="Times New Roman" w:cs="Times New Roman"/>
                <w:i/>
                <w:iCs/>
                <w:color w:val="000000"/>
                <w:sz w:val="20"/>
                <w:szCs w:val="20"/>
                <w:lang w:eastAsia="en-ZA"/>
              </w:rPr>
              <w:t>Conservation Biology</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22</w:t>
            </w:r>
            <w:r w:rsidRPr="004D1E6F">
              <w:rPr>
                <w:rFonts w:ascii="Times New Roman" w:eastAsia="Times New Roman" w:hAnsi="Times New Roman" w:cs="Times New Roman"/>
                <w:color w:val="000000"/>
                <w:sz w:val="20"/>
                <w:szCs w:val="20"/>
                <w:lang w:eastAsia="en-ZA"/>
              </w:rPr>
              <w:t xml:space="preserve">, 80–88. </w:t>
            </w:r>
            <w:r w:rsidR="00094725" w:rsidRPr="00094725">
              <w:rPr>
                <w:rFonts w:ascii="Times New Roman" w:hAnsi="Times New Roman" w:cs="Times New Roman"/>
                <w:color w:val="000000"/>
              </w:rPr>
              <w:t>https://doi.org/10.1111/j.1523-1739.2007.00811</w:t>
            </w:r>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p w14:paraId="298BFF6C" w14:textId="28BE48D6" w:rsidR="00544E5D"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 xml:space="preserve">Lodge, D.M., Deines, A., Gherardi, F., Yeo, D.C.J., Arcella. T, Baldridge, A.K., et al., 2012, ‘Global introductions of crayfishes: Evaluating the impact of species invasions on ecosystem services’, </w:t>
            </w:r>
            <w:r w:rsidRPr="004D1E6F">
              <w:rPr>
                <w:rFonts w:ascii="Times New Roman" w:eastAsia="Times New Roman" w:hAnsi="Times New Roman" w:cs="Times New Roman"/>
                <w:i/>
                <w:sz w:val="20"/>
                <w:szCs w:val="20"/>
                <w:lang w:eastAsia="en-ZA"/>
              </w:rPr>
              <w:t>Annual Review of Ecology Evolution Systematics</w:t>
            </w:r>
            <w:r w:rsidRPr="004D1E6F">
              <w:rPr>
                <w:rFonts w:ascii="Times New Roman" w:eastAsia="Times New Roman" w:hAnsi="Times New Roman" w:cs="Times New Roman"/>
                <w:sz w:val="20"/>
                <w:szCs w:val="20"/>
                <w:lang w:eastAsia="en-ZA"/>
              </w:rPr>
              <w:t xml:space="preserve"> 43, 449–472. </w:t>
            </w:r>
            <w:hyperlink r:id="rId247" w:history="1">
              <w:r w:rsidR="00544E5D" w:rsidRPr="00110E6A">
                <w:rPr>
                  <w:rStyle w:val="Hyperlink"/>
                  <w:rFonts w:ascii="Times New Roman" w:eastAsia="Times New Roman" w:hAnsi="Times New Roman" w:cs="Times New Roman"/>
                  <w:sz w:val="20"/>
                  <w:szCs w:val="20"/>
                  <w:lang w:eastAsia="en-ZA"/>
                </w:rPr>
                <w:t>https://doi.org/10.1146/annurev-ecolsys-111511-103919</w:t>
              </w:r>
            </w:hyperlink>
            <w:r w:rsidR="00544E5D">
              <w:rPr>
                <w:rFonts w:ascii="Times New Roman" w:eastAsia="Times New Roman" w:hAnsi="Times New Roman" w:cs="Times New Roman"/>
                <w:color w:val="000000"/>
                <w:sz w:val="20"/>
                <w:szCs w:val="20"/>
                <w:lang w:eastAsia="en-ZA"/>
              </w:rPr>
              <w:t>.</w:t>
            </w:r>
          </w:p>
          <w:p w14:paraId="16F823CC" w14:textId="4BB63E97" w:rsidR="002D7080" w:rsidRPr="004D1E6F" w:rsidRDefault="002D7080" w:rsidP="002E2C37">
            <w:pPr>
              <w:ind w:left="720" w:hanging="720"/>
              <w:contextualSpacing/>
              <w:jc w:val="both"/>
              <w:rPr>
                <w:rFonts w:ascii="Times New Roman" w:hAnsi="Times New Roman" w:cs="Times New Roman"/>
                <w:sz w:val="20"/>
                <w:szCs w:val="20"/>
              </w:rPr>
            </w:pPr>
            <w:r w:rsidRPr="004D1E6F">
              <w:rPr>
                <w:rFonts w:ascii="Times New Roman" w:hAnsi="Times New Roman" w:cs="Times New Roman"/>
                <w:color w:val="1C1D1E"/>
                <w:sz w:val="20"/>
                <w:szCs w:val="20"/>
                <w:shd w:val="clear" w:color="auto" w:fill="FFFFFF"/>
              </w:rPr>
              <w:t xml:space="preserve">Lodge, D.M., Kershner, M.W., Aloi, J.E. </w:t>
            </w:r>
            <w:r>
              <w:rPr>
                <w:rFonts w:ascii="Times New Roman" w:hAnsi="Times New Roman" w:cs="Times New Roman"/>
                <w:color w:val="1C1D1E"/>
                <w:sz w:val="20"/>
                <w:szCs w:val="20"/>
                <w:shd w:val="clear" w:color="auto" w:fill="FFFFFF"/>
              </w:rPr>
              <w:t xml:space="preserve">&amp; </w:t>
            </w:r>
            <w:r w:rsidRPr="004D1E6F">
              <w:rPr>
                <w:rFonts w:ascii="Times New Roman" w:hAnsi="Times New Roman" w:cs="Times New Roman"/>
                <w:color w:val="1C1D1E"/>
                <w:sz w:val="20"/>
                <w:szCs w:val="20"/>
                <w:shd w:val="clear" w:color="auto" w:fill="FFFFFF"/>
              </w:rPr>
              <w:t>Covich, A.P.</w:t>
            </w:r>
            <w:r>
              <w:rPr>
                <w:rFonts w:ascii="Times New Roman" w:hAnsi="Times New Roman" w:cs="Times New Roman"/>
                <w:color w:val="1C1D1E"/>
                <w:sz w:val="20"/>
                <w:szCs w:val="20"/>
                <w:shd w:val="clear" w:color="auto" w:fill="FFFFFF"/>
              </w:rPr>
              <w:t xml:space="preserve">, </w:t>
            </w:r>
            <w:r w:rsidRPr="004D1E6F">
              <w:rPr>
                <w:rFonts w:ascii="Times New Roman" w:hAnsi="Times New Roman" w:cs="Times New Roman"/>
                <w:color w:val="1C1D1E"/>
                <w:sz w:val="20"/>
                <w:szCs w:val="20"/>
                <w:shd w:val="clear" w:color="auto" w:fill="FFFFFF"/>
              </w:rPr>
              <w:t xml:space="preserve">1994, </w:t>
            </w:r>
            <w:r>
              <w:rPr>
                <w:rFonts w:ascii="Times New Roman" w:hAnsi="Times New Roman" w:cs="Times New Roman"/>
                <w:color w:val="1C1D1E"/>
                <w:sz w:val="20"/>
                <w:szCs w:val="20"/>
                <w:shd w:val="clear" w:color="auto" w:fill="FFFFFF"/>
              </w:rPr>
              <w:t>‘</w:t>
            </w:r>
            <w:r w:rsidRPr="004D1E6F">
              <w:rPr>
                <w:rFonts w:ascii="Times New Roman" w:hAnsi="Times New Roman" w:cs="Times New Roman"/>
                <w:color w:val="1C1D1E"/>
                <w:sz w:val="20"/>
                <w:szCs w:val="20"/>
                <w:shd w:val="clear" w:color="auto" w:fill="FFFFFF"/>
              </w:rPr>
              <w:t>Effects of an omnivorous crayfish (</w:t>
            </w:r>
            <w:r w:rsidRPr="004D1E6F">
              <w:rPr>
                <w:rFonts w:ascii="Times New Roman" w:hAnsi="Times New Roman" w:cs="Times New Roman"/>
                <w:i/>
                <w:iCs/>
                <w:color w:val="1C1D1E"/>
                <w:sz w:val="20"/>
                <w:szCs w:val="20"/>
                <w:shd w:val="clear" w:color="auto" w:fill="FFFFFF"/>
              </w:rPr>
              <w:t>Orconectes rusticus</w:t>
            </w:r>
            <w:r w:rsidRPr="004D1E6F">
              <w:rPr>
                <w:rFonts w:ascii="Times New Roman" w:hAnsi="Times New Roman" w:cs="Times New Roman"/>
                <w:color w:val="1C1D1E"/>
                <w:sz w:val="20"/>
                <w:szCs w:val="20"/>
                <w:shd w:val="clear" w:color="auto" w:fill="FFFFFF"/>
              </w:rPr>
              <w:t>) on a freshwater littoral food web</w:t>
            </w:r>
            <w:r>
              <w:rPr>
                <w:rFonts w:ascii="Times New Roman" w:hAnsi="Times New Roman" w:cs="Times New Roman"/>
                <w:color w:val="1C1D1E"/>
                <w:sz w:val="20"/>
                <w:szCs w:val="20"/>
                <w:shd w:val="clear" w:color="auto" w:fill="FFFFFF"/>
              </w:rPr>
              <w:t xml:space="preserve">’, </w:t>
            </w:r>
            <w:r w:rsidRPr="004D1E6F">
              <w:rPr>
                <w:rFonts w:ascii="Times New Roman" w:hAnsi="Times New Roman" w:cs="Times New Roman"/>
                <w:i/>
                <w:iCs/>
                <w:color w:val="1C1D1E"/>
                <w:sz w:val="20"/>
                <w:szCs w:val="20"/>
                <w:shd w:val="clear" w:color="auto" w:fill="FFFFFF"/>
              </w:rPr>
              <w:t>Ecology</w:t>
            </w:r>
            <w:r w:rsidRPr="004D1E6F">
              <w:rPr>
                <w:rFonts w:ascii="Times New Roman" w:hAnsi="Times New Roman" w:cs="Times New Roman"/>
                <w:color w:val="1C1D1E"/>
                <w:sz w:val="20"/>
                <w:szCs w:val="20"/>
                <w:shd w:val="clear" w:color="auto" w:fill="FFFFFF"/>
              </w:rPr>
              <w:t>, 75</w:t>
            </w:r>
            <w:r>
              <w:rPr>
                <w:rFonts w:ascii="Times New Roman" w:hAnsi="Times New Roman" w:cs="Times New Roman"/>
                <w:color w:val="1C1D1E"/>
                <w:sz w:val="20"/>
                <w:szCs w:val="20"/>
                <w:shd w:val="clear" w:color="auto" w:fill="FFFFFF"/>
              </w:rPr>
              <w:t xml:space="preserve">, </w:t>
            </w:r>
            <w:r w:rsidRPr="004D1E6F">
              <w:rPr>
                <w:rFonts w:ascii="Times New Roman" w:hAnsi="Times New Roman" w:cs="Times New Roman"/>
                <w:color w:val="1C1D1E"/>
                <w:sz w:val="20"/>
                <w:szCs w:val="20"/>
                <w:shd w:val="clear" w:color="auto" w:fill="FFFFFF"/>
              </w:rPr>
              <w:t>1265-1281. </w:t>
            </w:r>
            <w:hyperlink w:history="1">
              <w:r w:rsidRPr="004D1E6F">
                <w:rPr>
                  <w:rStyle w:val="Hyperlink"/>
                  <w:rFonts w:ascii="Times New Roman" w:hAnsi="Times New Roman" w:cs="Times New Roman"/>
                  <w:sz w:val="20"/>
                  <w:szCs w:val="20"/>
                  <w:shd w:val="clear" w:color="auto" w:fill="FFFFFF"/>
                </w:rPr>
                <w:t>https://doi.org/10.2307/1937452</w:t>
              </w:r>
            </w:hyperlink>
          </w:p>
          <w:p w14:paraId="48820BCC"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 Panteleit, J., Horvath,</w:t>
            </w:r>
            <w:r>
              <w:rPr>
                <w:rFonts w:ascii="Times New Roman" w:eastAsia="Times New Roman" w:hAnsi="Times New Roman" w:cs="Times New Roman"/>
                <w:sz w:val="20"/>
                <w:szCs w:val="20"/>
                <w:lang w:eastAsia="en-ZA"/>
              </w:rPr>
              <w:t xml:space="preserve"> T.,</w:t>
            </w:r>
            <w:r w:rsidRPr="004D1E6F">
              <w:rPr>
                <w:rFonts w:ascii="Times New Roman" w:eastAsia="Times New Roman" w:hAnsi="Times New Roman" w:cs="Times New Roman"/>
                <w:sz w:val="20"/>
                <w:szCs w:val="20"/>
                <w:lang w:eastAsia="en-ZA"/>
              </w:rPr>
              <w:t xml:space="preserve"> Jussila, J.</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Makkonen,</w:t>
            </w:r>
            <w:r>
              <w:rPr>
                <w:rFonts w:ascii="Times New Roman" w:eastAsia="Times New Roman" w:hAnsi="Times New Roman" w:cs="Times New Roman"/>
                <w:sz w:val="20"/>
                <w:szCs w:val="20"/>
                <w:lang w:eastAsia="en-ZA"/>
              </w:rPr>
              <w:t xml:space="preserve"> J.,</w:t>
            </w:r>
            <w:r w:rsidRPr="004D1E6F">
              <w:rPr>
                <w:rFonts w:ascii="Times New Roman" w:eastAsia="Times New Roman" w:hAnsi="Times New Roman" w:cs="Times New Roman"/>
                <w:sz w:val="20"/>
                <w:szCs w:val="20"/>
                <w:lang w:eastAsia="en-ZA"/>
              </w:rPr>
              <w:t xml:space="preserve"> Perry,</w:t>
            </w:r>
            <w:r>
              <w:rPr>
                <w:rFonts w:ascii="Times New Roman" w:eastAsia="Times New Roman" w:hAnsi="Times New Roman" w:cs="Times New Roman"/>
                <w:sz w:val="20"/>
                <w:szCs w:val="20"/>
                <w:lang w:eastAsia="en-ZA"/>
              </w:rPr>
              <w:t xml:space="preserve"> W., </w:t>
            </w:r>
            <w:r w:rsidRPr="004D1E6F">
              <w:rPr>
                <w:rFonts w:ascii="Times New Roman" w:eastAsia="Times New Roman" w:hAnsi="Times New Roman" w:cs="Times New Roman"/>
                <w:sz w:val="20"/>
                <w:szCs w:val="20"/>
                <w:lang w:eastAsia="en-ZA"/>
              </w:rPr>
              <w:t>Schulz,</w:t>
            </w:r>
            <w:r>
              <w:rPr>
                <w:rFonts w:ascii="Times New Roman" w:eastAsia="Times New Roman" w:hAnsi="Times New Roman" w:cs="Times New Roman"/>
                <w:sz w:val="20"/>
                <w:szCs w:val="20"/>
                <w:lang w:eastAsia="en-ZA"/>
              </w:rPr>
              <w:t xml:space="preserve"> R., </w:t>
            </w:r>
            <w:r w:rsidRPr="004D1E6F">
              <w:rPr>
                <w:rFonts w:ascii="Times New Roman" w:eastAsia="Times New Roman" w:hAnsi="Times New Roman" w:cs="Times New Roman"/>
                <w:sz w:val="20"/>
                <w:szCs w:val="20"/>
                <w:lang w:eastAsia="en-ZA"/>
              </w:rPr>
              <w:t>Theissinger,</w:t>
            </w:r>
            <w:r>
              <w:rPr>
                <w:rFonts w:ascii="Times New Roman" w:eastAsia="Times New Roman" w:hAnsi="Times New Roman" w:cs="Times New Roman"/>
                <w:sz w:val="20"/>
                <w:szCs w:val="20"/>
                <w:lang w:eastAsia="en-ZA"/>
              </w:rPr>
              <w:t xml:space="preserve"> K. &amp;</w:t>
            </w:r>
            <w:r w:rsidRPr="004D1E6F">
              <w:rPr>
                <w:rFonts w:ascii="Times New Roman" w:eastAsia="Times New Roman" w:hAnsi="Times New Roman" w:cs="Times New Roman"/>
                <w:sz w:val="20"/>
                <w:szCs w:val="20"/>
                <w:lang w:eastAsia="en-ZA"/>
              </w:rPr>
              <w:t xml:space="preserve"> Schrimpf</w:t>
            </w:r>
            <w:r>
              <w:rPr>
                <w:rFonts w:ascii="Times New Roman" w:eastAsia="Times New Roman" w:hAnsi="Times New Roman" w:cs="Times New Roman"/>
                <w:sz w:val="20"/>
                <w:szCs w:val="20"/>
                <w:lang w:eastAsia="en-ZA"/>
              </w:rPr>
              <w:t xml:space="preserve">, A., </w:t>
            </w:r>
            <w:r w:rsidRPr="004D1E6F">
              <w:rPr>
                <w:rFonts w:ascii="Times New Roman" w:eastAsia="Times New Roman" w:hAnsi="Times New Roman" w:cs="Times New Roman"/>
                <w:sz w:val="20"/>
                <w:szCs w:val="20"/>
                <w:lang w:eastAsia="en-ZA"/>
              </w:rPr>
              <w:t>2019. Invasive rusty crayfish (</w:t>
            </w:r>
            <w:r w:rsidRPr="004D1E6F">
              <w:rPr>
                <w:rFonts w:ascii="Times New Roman" w:eastAsia="Times New Roman" w:hAnsi="Times New Roman" w:cs="Times New Roman"/>
                <w:i/>
                <w:iCs/>
                <w:sz w:val="20"/>
                <w:szCs w:val="20"/>
                <w:lang w:eastAsia="en-ZA"/>
              </w:rPr>
              <w:t>Faxonius rusticus</w:t>
            </w:r>
            <w:r w:rsidRPr="004D1E6F">
              <w:rPr>
                <w:rFonts w:ascii="Times New Roman" w:eastAsia="Times New Roman" w:hAnsi="Times New Roman" w:cs="Times New Roman"/>
                <w:sz w:val="20"/>
                <w:szCs w:val="20"/>
                <w:lang w:eastAsia="en-ZA"/>
              </w:rPr>
              <w:t>) populations in North America are infected with the crayfish plague disease agent (</w:t>
            </w:r>
            <w:r w:rsidRPr="004D1E6F">
              <w:rPr>
                <w:rFonts w:ascii="Times New Roman" w:eastAsia="Times New Roman" w:hAnsi="Times New Roman" w:cs="Times New Roman"/>
                <w:i/>
                <w:iCs/>
                <w:sz w:val="20"/>
                <w:szCs w:val="20"/>
                <w:lang w:eastAsia="en-ZA"/>
              </w:rPr>
              <w:t>Aphanomyces astaci</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Freshwater Science</w:t>
            </w:r>
            <w:r w:rsidRPr="004D1E6F">
              <w:rPr>
                <w:rFonts w:ascii="Times New Roman" w:eastAsia="Times New Roman" w:hAnsi="Times New Roman" w:cs="Times New Roman"/>
                <w:sz w:val="20"/>
                <w:szCs w:val="20"/>
                <w:lang w:eastAsia="en-ZA"/>
              </w:rPr>
              <w:t xml:space="preserve">, 38(2), 425-433. </w:t>
            </w:r>
            <w:hyperlink w:history="1">
              <w:r w:rsidRPr="004D1E6F">
                <w:rPr>
                  <w:rStyle w:val="Hyperlink"/>
                  <w:rFonts w:ascii="Times New Roman" w:eastAsia="Times New Roman" w:hAnsi="Times New Roman" w:cs="Times New Roman"/>
                  <w:sz w:val="20"/>
                  <w:szCs w:val="20"/>
                  <w:lang w:eastAsia="en-ZA"/>
                </w:rPr>
                <w:t>https://doi.org/10.1086/703417</w:t>
              </w:r>
            </w:hyperlink>
            <w:r w:rsidRPr="004D1E6F">
              <w:rPr>
                <w:rFonts w:ascii="Times New Roman" w:eastAsia="Times New Roman" w:hAnsi="Times New Roman" w:cs="Times New Roman"/>
                <w:sz w:val="20"/>
                <w:szCs w:val="20"/>
                <w:lang w:eastAsia="en-ZA"/>
              </w:rPr>
              <w:t xml:space="preserve"> </w:t>
            </w:r>
          </w:p>
          <w:p w14:paraId="400B5DE9" w14:textId="77777777"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Perry, W.L., Feder, J.L., Dwyer, G. &amp; Lodge, D.M., 2001, ‘Hybrid zone dynamics and species replacement between </w:t>
            </w:r>
            <w:r w:rsidRPr="004D1E6F">
              <w:rPr>
                <w:rFonts w:ascii="Times New Roman" w:eastAsia="Times New Roman" w:hAnsi="Times New Roman" w:cs="Times New Roman"/>
                <w:i/>
                <w:sz w:val="20"/>
                <w:szCs w:val="20"/>
                <w:lang w:eastAsia="en-ZA"/>
              </w:rPr>
              <w:t>Orconectes</w:t>
            </w:r>
            <w:r w:rsidRPr="004D1E6F">
              <w:rPr>
                <w:rFonts w:ascii="Times New Roman" w:eastAsia="Times New Roman" w:hAnsi="Times New Roman" w:cs="Times New Roman"/>
                <w:sz w:val="20"/>
                <w:szCs w:val="20"/>
                <w:lang w:eastAsia="en-ZA"/>
              </w:rPr>
              <w:t xml:space="preserve"> crayfishes in a northern Wisconsin lake’, </w:t>
            </w:r>
            <w:r w:rsidRPr="004D1E6F">
              <w:rPr>
                <w:rFonts w:ascii="Times New Roman" w:eastAsia="Times New Roman" w:hAnsi="Times New Roman" w:cs="Times New Roman"/>
                <w:i/>
                <w:iCs/>
                <w:sz w:val="20"/>
                <w:szCs w:val="20"/>
                <w:lang w:eastAsia="en-ZA"/>
              </w:rPr>
              <w:t>Evolution</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55</w:t>
            </w:r>
            <w:r w:rsidRPr="004D1E6F">
              <w:rPr>
                <w:rFonts w:ascii="Times New Roman" w:eastAsia="Times New Roman" w:hAnsi="Times New Roman" w:cs="Times New Roman"/>
                <w:sz w:val="20"/>
                <w:szCs w:val="20"/>
                <w:lang w:eastAsia="en-ZA"/>
              </w:rPr>
              <w:t xml:space="preserve">, 1153–1166. </w:t>
            </w:r>
            <w:hyperlink w:history="1">
              <w:r w:rsidRPr="004D1E6F">
                <w:rPr>
                  <w:rStyle w:val="Hyperlink"/>
                  <w:rFonts w:ascii="Times New Roman" w:eastAsia="Times New Roman" w:hAnsi="Times New Roman" w:cs="Times New Roman"/>
                  <w:sz w:val="20"/>
                  <w:szCs w:val="20"/>
                  <w:lang w:eastAsia="en-ZA"/>
                </w:rPr>
                <w:t>https://doi.org/10.1111/j.0014-3820.2001.tb00635.x</w:t>
              </w:r>
            </w:hyperlink>
            <w:r w:rsidRPr="004D1E6F">
              <w:rPr>
                <w:rFonts w:ascii="Times New Roman" w:eastAsia="Times New Roman" w:hAnsi="Times New Roman" w:cs="Times New Roman"/>
                <w:sz w:val="20"/>
                <w:szCs w:val="20"/>
                <w:lang w:eastAsia="en-ZA"/>
              </w:rPr>
              <w:t>.</w:t>
            </w:r>
          </w:p>
          <w:p w14:paraId="0F1E9475" w14:textId="77777777" w:rsidR="002D7080" w:rsidRPr="004D1E6F" w:rsidRDefault="002D7080" w:rsidP="002E2C37">
            <w:pPr>
              <w:spacing w:after="160"/>
              <w:ind w:left="720" w:hanging="720"/>
              <w:contextualSpacing/>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Rosenthal, S. K., Stevens, S. S., &amp; Lodge, D. M.</w:t>
            </w:r>
            <w:r>
              <w:rPr>
                <w:rFonts w:ascii="Times New Roman" w:hAnsi="Times New Roman" w:cs="Times New Roman"/>
                <w:sz w:val="20"/>
                <w:szCs w:val="20"/>
              </w:rPr>
              <w:t xml:space="preserve">, </w:t>
            </w:r>
            <w:r w:rsidRPr="004D1E6F">
              <w:rPr>
                <w:rFonts w:ascii="Times New Roman" w:hAnsi="Times New Roman" w:cs="Times New Roman"/>
                <w:sz w:val="20"/>
                <w:szCs w:val="20"/>
              </w:rPr>
              <w:t>2006</w:t>
            </w:r>
            <w:r>
              <w:rPr>
                <w:rFonts w:ascii="Times New Roman" w:hAnsi="Times New Roman" w:cs="Times New Roman"/>
                <w:sz w:val="20"/>
                <w:szCs w:val="20"/>
              </w:rPr>
              <w:t>, ‘</w:t>
            </w:r>
            <w:r w:rsidRPr="004D1E6F">
              <w:rPr>
                <w:rFonts w:ascii="Times New Roman" w:hAnsi="Times New Roman" w:cs="Times New Roman"/>
                <w:sz w:val="20"/>
                <w:szCs w:val="20"/>
              </w:rPr>
              <w:t>Whole-lake effects of invasive crayfish (</w:t>
            </w:r>
            <w:r w:rsidRPr="004D1E6F">
              <w:rPr>
                <w:rFonts w:ascii="Times New Roman" w:hAnsi="Times New Roman" w:cs="Times New Roman"/>
                <w:i/>
                <w:iCs/>
                <w:sz w:val="20"/>
                <w:szCs w:val="20"/>
              </w:rPr>
              <w:t xml:space="preserve">Orconectes </w:t>
            </w:r>
            <w:r w:rsidRPr="004D1E6F">
              <w:rPr>
                <w:rFonts w:ascii="Times New Roman" w:hAnsi="Times New Roman" w:cs="Times New Roman"/>
                <w:sz w:val="20"/>
                <w:szCs w:val="20"/>
              </w:rPr>
              <w:t>spp.) and the potential for restoration</w:t>
            </w:r>
            <w:r>
              <w:rPr>
                <w:rFonts w:ascii="Times New Roman" w:hAnsi="Times New Roman" w:cs="Times New Roman"/>
                <w:sz w:val="20"/>
                <w:szCs w:val="20"/>
              </w:rPr>
              <w:t>’,</w:t>
            </w:r>
            <w:r w:rsidRPr="004D1E6F">
              <w:rPr>
                <w:rFonts w:ascii="Times New Roman" w:hAnsi="Times New Roman" w:cs="Times New Roman"/>
                <w:sz w:val="20"/>
                <w:szCs w:val="20"/>
              </w:rPr>
              <w:t xml:space="preserve"> </w:t>
            </w:r>
            <w:r w:rsidRPr="004D1E6F">
              <w:rPr>
                <w:rFonts w:ascii="Times New Roman" w:hAnsi="Times New Roman" w:cs="Times New Roman"/>
                <w:i/>
                <w:iCs/>
                <w:sz w:val="20"/>
                <w:szCs w:val="20"/>
              </w:rPr>
              <w:t>Canadian Journal of Fisheries and Aquatic Sciences</w:t>
            </w:r>
            <w:r w:rsidRPr="004D1E6F">
              <w:rPr>
                <w:rFonts w:ascii="Times New Roman" w:hAnsi="Times New Roman" w:cs="Times New Roman"/>
                <w:sz w:val="20"/>
                <w:szCs w:val="20"/>
              </w:rPr>
              <w:t xml:space="preserve">, 63, 1276– 1285. </w:t>
            </w:r>
            <w:hyperlink r:id="rId248" w:history="1">
              <w:r w:rsidRPr="000B0DAE">
                <w:rPr>
                  <w:rStyle w:val="Hyperlink"/>
                  <w:rFonts w:ascii="Times New Roman" w:hAnsi="Times New Roman" w:cs="Times New Roman"/>
                  <w:sz w:val="20"/>
                  <w:szCs w:val="20"/>
                </w:rPr>
                <w:t>https://doi.org/10.1139/f06-037</w:t>
              </w:r>
            </w:hyperlink>
            <w:r>
              <w:rPr>
                <w:rFonts w:ascii="Times New Roman" w:hAnsi="Times New Roman" w:cs="Times New Roman"/>
                <w:sz w:val="20"/>
                <w:szCs w:val="20"/>
              </w:rPr>
              <w:t xml:space="preserve">. </w:t>
            </w:r>
          </w:p>
          <w:p w14:paraId="2331F3B2" w14:textId="4B30229C" w:rsidR="002D7080" w:rsidRPr="004D1E6F"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Roth, B.M, Hein, C.L. &amp; Vander Zanden, M.J., 2006, ‘Using bioenergetics and stable isotopes to assess the trophic role of rusty crayfish (</w:t>
            </w:r>
            <w:r w:rsidRPr="004D1E6F">
              <w:rPr>
                <w:rFonts w:ascii="Times New Roman" w:eastAsia="Times New Roman" w:hAnsi="Times New Roman" w:cs="Times New Roman"/>
                <w:i/>
                <w:color w:val="000000"/>
                <w:sz w:val="20"/>
                <w:szCs w:val="20"/>
                <w:lang w:eastAsia="en-ZA"/>
              </w:rPr>
              <w:t>Orconectes rusticus</w:t>
            </w:r>
            <w:r w:rsidRPr="004D1E6F">
              <w:rPr>
                <w:rFonts w:ascii="Times New Roman" w:eastAsia="Times New Roman" w:hAnsi="Times New Roman" w:cs="Times New Roman"/>
                <w:color w:val="000000"/>
                <w:sz w:val="20"/>
                <w:szCs w:val="20"/>
                <w:lang w:eastAsia="en-ZA"/>
              </w:rPr>
              <w:t xml:space="preserve">) in lake littoral zones,’ </w:t>
            </w:r>
            <w:r w:rsidRPr="004D1E6F">
              <w:rPr>
                <w:rFonts w:ascii="Times New Roman" w:eastAsia="Times New Roman" w:hAnsi="Times New Roman" w:cs="Times New Roman"/>
                <w:i/>
                <w:iCs/>
                <w:color w:val="000000"/>
                <w:sz w:val="20"/>
                <w:szCs w:val="20"/>
                <w:lang w:eastAsia="en-ZA"/>
              </w:rPr>
              <w:t>Canadian Journal of Fisheries and Aquatic Sciences</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63</w:t>
            </w:r>
            <w:r w:rsidRPr="004D1E6F">
              <w:rPr>
                <w:rFonts w:ascii="Times New Roman" w:eastAsia="Times New Roman" w:hAnsi="Times New Roman" w:cs="Times New Roman"/>
                <w:color w:val="000000"/>
                <w:sz w:val="20"/>
                <w:szCs w:val="20"/>
                <w:lang w:eastAsia="en-ZA"/>
              </w:rPr>
              <w:t xml:space="preserve">, 335–344. </w:t>
            </w:r>
            <w:hyperlink r:id="rId249" w:history="1">
              <w:r w:rsidR="00544E5D" w:rsidRPr="00544E5D">
                <w:rPr>
                  <w:rStyle w:val="Hyperlink"/>
                  <w:rFonts w:ascii="Times New Roman" w:hAnsi="Times New Roman" w:cs="Times New Roman"/>
                  <w:sz w:val="20"/>
                  <w:szCs w:val="20"/>
                </w:rPr>
                <w:t>https://doi.org/10.1139/f05-217</w:t>
              </w:r>
            </w:hyperlink>
            <w:r>
              <w:rPr>
                <w:rFonts w:ascii="Times New Roman" w:eastAsia="Times New Roman" w:hAnsi="Times New Roman" w:cs="Times New Roman"/>
                <w:color w:val="000000"/>
                <w:sz w:val="20"/>
                <w:szCs w:val="20"/>
                <w:lang w:eastAsia="en-ZA"/>
              </w:rPr>
              <w:t xml:space="preserve"> </w:t>
            </w:r>
          </w:p>
          <w:p w14:paraId="4E5EA710" w14:textId="77777777" w:rsidR="002D7080" w:rsidRPr="00F50C9C" w:rsidRDefault="002D7080" w:rsidP="002E2C37">
            <w:pPr>
              <w:ind w:left="720" w:hanging="720"/>
              <w:contextualSpacing/>
              <w:rPr>
                <w:rFonts w:ascii="Times New Roman" w:hAnsi="Times New Roman" w:cs="Times New Roman"/>
                <w:color w:val="000000"/>
                <w:sz w:val="20"/>
                <w:szCs w:val="20"/>
              </w:rPr>
            </w:pPr>
            <w:r w:rsidRPr="00F50C9C">
              <w:rPr>
                <w:rFonts w:ascii="Times New Roman" w:hAnsi="Times New Roman" w:cs="Times New Roman"/>
                <w:color w:val="000000"/>
                <w:sz w:val="20"/>
                <w:szCs w:val="20"/>
              </w:rPr>
              <w:t>Stratton, C. E., Kabalan, B. A., Bolds, S. A., Reisinger, L. S., Behringer, D. C. &amp; Bojko, J., 2023, ‘</w:t>
            </w:r>
            <w:r w:rsidRPr="00F50C9C">
              <w:rPr>
                <w:rStyle w:val="Emphasis"/>
                <w:rFonts w:ascii="Times New Roman" w:hAnsi="Times New Roman" w:cs="Times New Roman"/>
                <w:color w:val="000000"/>
                <w:sz w:val="20"/>
                <w:szCs w:val="20"/>
              </w:rPr>
              <w:t>Cambaraspora faxoni</w:t>
            </w:r>
            <w:r w:rsidRPr="00F50C9C">
              <w:rPr>
                <w:rFonts w:ascii="Times New Roman" w:hAnsi="Times New Roman" w:cs="Times New Roman"/>
                <w:color w:val="000000"/>
                <w:sz w:val="20"/>
                <w:szCs w:val="20"/>
              </w:rPr>
              <w:t> n. sp. (Microsporidia: Glugeida) from native and invasive crayfish in the USA and a novel host of </w:t>
            </w:r>
            <w:r w:rsidRPr="00F50C9C">
              <w:rPr>
                <w:rStyle w:val="Emphasis"/>
                <w:rFonts w:ascii="Times New Roman" w:hAnsi="Times New Roman" w:cs="Times New Roman"/>
                <w:color w:val="000000"/>
                <w:sz w:val="20"/>
                <w:szCs w:val="20"/>
              </w:rPr>
              <w:t>Cambaraspora floridanus’</w:t>
            </w:r>
            <w:r w:rsidRPr="00F50C9C">
              <w:rPr>
                <w:rStyle w:val="Emphasis"/>
                <w:rFonts w:ascii="Times New Roman" w:hAnsi="Times New Roman" w:cs="Times New Roman"/>
                <w:sz w:val="20"/>
                <w:szCs w:val="20"/>
              </w:rPr>
              <w:t xml:space="preserve">, </w:t>
            </w:r>
            <w:r w:rsidRPr="00F50C9C">
              <w:rPr>
                <w:rFonts w:ascii="Times New Roman" w:hAnsi="Times New Roman" w:cs="Times New Roman"/>
                <w:i/>
                <w:iCs/>
                <w:color w:val="000000"/>
                <w:sz w:val="20"/>
                <w:szCs w:val="20"/>
              </w:rPr>
              <w:t>Journal of Invertebrate Pathology</w:t>
            </w:r>
            <w:r w:rsidRPr="00F50C9C">
              <w:rPr>
                <w:rFonts w:ascii="Times New Roman" w:hAnsi="Times New Roman" w:cs="Times New Roman"/>
                <w:color w:val="000000"/>
                <w:sz w:val="20"/>
                <w:szCs w:val="20"/>
              </w:rPr>
              <w:t xml:space="preserve"> 199:107949. </w:t>
            </w:r>
            <w:hyperlink w:history="1">
              <w:r w:rsidRPr="00F50C9C">
                <w:rPr>
                  <w:rStyle w:val="Hyperlink"/>
                  <w:rFonts w:ascii="Times New Roman" w:hAnsi="Times New Roman" w:cs="Times New Roman"/>
                  <w:sz w:val="20"/>
                  <w:szCs w:val="20"/>
                </w:rPr>
                <w:t>https://doi.org/10.1016/j.jip.2023.107949</w:t>
              </w:r>
            </w:hyperlink>
            <w:r w:rsidRPr="00F50C9C">
              <w:rPr>
                <w:rFonts w:ascii="Times New Roman" w:hAnsi="Times New Roman" w:cs="Times New Roman"/>
                <w:color w:val="000000"/>
                <w:sz w:val="20"/>
                <w:szCs w:val="20"/>
              </w:rPr>
              <w:t>.</w:t>
            </w:r>
          </w:p>
          <w:p w14:paraId="203C01E2" w14:textId="77777777" w:rsidR="002D7080" w:rsidRPr="004D1E6F" w:rsidRDefault="002D7080" w:rsidP="002E2C37">
            <w:pPr>
              <w:ind w:left="720" w:hanging="720"/>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Wilson, K.A., Magnuson, J.J., Lodge, D.M., Hill, A.M., Kratz, T.K., Perry, W.L., et al., 2004, ‘A long-term rusty crayfish (</w:t>
            </w:r>
            <w:r w:rsidRPr="004D1E6F">
              <w:rPr>
                <w:rFonts w:ascii="Times New Roman" w:eastAsia="Times New Roman" w:hAnsi="Times New Roman" w:cs="Times New Roman"/>
                <w:i/>
                <w:color w:val="000000"/>
                <w:sz w:val="20"/>
                <w:szCs w:val="20"/>
                <w:lang w:eastAsia="en-ZA"/>
              </w:rPr>
              <w:t>Orconectes rusticus</w:t>
            </w:r>
            <w:r w:rsidRPr="004D1E6F">
              <w:rPr>
                <w:rFonts w:ascii="Times New Roman" w:eastAsia="Times New Roman" w:hAnsi="Times New Roman" w:cs="Times New Roman"/>
                <w:color w:val="000000"/>
                <w:sz w:val="20"/>
                <w:szCs w:val="20"/>
                <w:lang w:eastAsia="en-ZA"/>
              </w:rPr>
              <w:t>) invasion: Dispersal patterns and community change in a north temperate lake’, </w:t>
            </w:r>
            <w:r w:rsidRPr="004D1E6F">
              <w:rPr>
                <w:rFonts w:ascii="Times New Roman" w:eastAsia="Times New Roman" w:hAnsi="Times New Roman" w:cs="Times New Roman"/>
                <w:i/>
                <w:iCs/>
                <w:color w:val="000000"/>
                <w:sz w:val="20"/>
                <w:szCs w:val="20"/>
                <w:lang w:eastAsia="en-ZA"/>
              </w:rPr>
              <w:t>Canadian Journal of Fisheries and Aquatic Sciences</w:t>
            </w:r>
            <w:r w:rsidRPr="004D1E6F">
              <w:rPr>
                <w:rFonts w:ascii="Times New Roman" w:eastAsia="Times New Roman" w:hAnsi="Times New Roman" w:cs="Times New Roman"/>
                <w:color w:val="000000"/>
                <w:sz w:val="20"/>
                <w:szCs w:val="20"/>
                <w:lang w:eastAsia="en-ZA"/>
              </w:rPr>
              <w:t> </w:t>
            </w:r>
            <w:r w:rsidRPr="004D1E6F">
              <w:rPr>
                <w:rFonts w:ascii="Times New Roman" w:eastAsia="Times New Roman" w:hAnsi="Times New Roman" w:cs="Times New Roman"/>
                <w:iCs/>
                <w:color w:val="000000"/>
                <w:sz w:val="20"/>
                <w:szCs w:val="20"/>
                <w:lang w:eastAsia="en-ZA"/>
              </w:rPr>
              <w:t>61</w:t>
            </w:r>
            <w:r w:rsidRPr="004D1E6F">
              <w:rPr>
                <w:rFonts w:ascii="Times New Roman" w:eastAsia="Times New Roman" w:hAnsi="Times New Roman" w:cs="Times New Roman"/>
                <w:color w:val="000000"/>
                <w:sz w:val="20"/>
                <w:szCs w:val="20"/>
                <w:lang w:eastAsia="en-ZA"/>
              </w:rPr>
              <w:t xml:space="preserve">, 2255–2266. </w:t>
            </w:r>
            <w:hyperlink w:history="1">
              <w:r w:rsidRPr="004D1E6F">
                <w:rPr>
                  <w:rStyle w:val="Hyperlink"/>
                  <w:rFonts w:ascii="Times New Roman" w:eastAsia="Times New Roman" w:hAnsi="Times New Roman" w:cs="Times New Roman"/>
                  <w:sz w:val="20"/>
                  <w:szCs w:val="20"/>
                  <w:lang w:eastAsia="en-ZA"/>
                </w:rPr>
                <w:t>https://doi.org/10.1139/F04-170</w:t>
              </w:r>
            </w:hyperlink>
            <w:r w:rsidRPr="004D1E6F">
              <w:rPr>
                <w:rFonts w:ascii="Times New Roman" w:eastAsia="Times New Roman" w:hAnsi="Times New Roman" w:cs="Times New Roman"/>
                <w:color w:val="000000"/>
                <w:sz w:val="20"/>
                <w:szCs w:val="20"/>
                <w:lang w:eastAsia="en-ZA"/>
              </w:rPr>
              <w:t>.</w:t>
            </w:r>
          </w:p>
        </w:tc>
      </w:tr>
    </w:tbl>
    <w:p w14:paraId="3FFA4F1A"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63CCDE6D" w14:textId="77777777" w:rsidTr="002E2C37">
        <w:trPr>
          <w:trHeight w:val="233"/>
        </w:trPr>
        <w:tc>
          <w:tcPr>
            <w:tcW w:w="9016" w:type="dxa"/>
            <w:gridSpan w:val="2"/>
            <w:shd w:val="clear" w:color="auto" w:fill="F2F2F2" w:themeFill="background1" w:themeFillShade="F2"/>
          </w:tcPr>
          <w:p w14:paraId="00B967B9"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lastRenderedPageBreak/>
              <w:t>CON4 Closely related species’ socio-economic impact</w:t>
            </w:r>
          </w:p>
        </w:tc>
      </w:tr>
      <w:tr w:rsidR="002D7080" w:rsidRPr="004D1E6F" w14:paraId="7577287A" w14:textId="77777777" w:rsidTr="002E2C37">
        <w:trPr>
          <w:trHeight w:val="172"/>
        </w:trPr>
        <w:tc>
          <w:tcPr>
            <w:tcW w:w="5949" w:type="dxa"/>
          </w:tcPr>
          <w:p w14:paraId="457DDA9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Moderate (MO)</w:t>
            </w:r>
          </w:p>
        </w:tc>
        <w:tc>
          <w:tcPr>
            <w:tcW w:w="3067" w:type="dxa"/>
          </w:tcPr>
          <w:p w14:paraId="08385DE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24E59AC5" w14:textId="77777777" w:rsidTr="002E2C37">
        <w:trPr>
          <w:trHeight w:val="70"/>
        </w:trPr>
        <w:tc>
          <w:tcPr>
            <w:tcW w:w="9016" w:type="dxa"/>
            <w:gridSpan w:val="2"/>
          </w:tcPr>
          <w:p w14:paraId="7758CE0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Rationale: There are no recorded socio-economic impacts for </w:t>
            </w:r>
            <w:r w:rsidRPr="004D1E6F">
              <w:rPr>
                <w:rFonts w:ascii="Times New Roman" w:eastAsia="Times New Roman" w:hAnsi="Times New Roman" w:cs="Times New Roman"/>
                <w:i/>
                <w:iCs/>
                <w:color w:val="000000"/>
                <w:sz w:val="20"/>
                <w:szCs w:val="20"/>
                <w:lang w:eastAsia="en-ZA"/>
              </w:rPr>
              <w:t>F. juvenilis</w:t>
            </w:r>
            <w:r w:rsidRPr="004D1E6F">
              <w:rPr>
                <w:rFonts w:ascii="Times New Roman" w:eastAsia="Times New Roman" w:hAnsi="Times New Roman" w:cs="Times New Roman"/>
                <w:color w:val="000000"/>
                <w:sz w:val="20"/>
                <w:szCs w:val="20"/>
                <w:lang w:eastAsia="en-ZA"/>
              </w:rPr>
              <w:t>, therefore impacts were inferred from a closely related taxon</w:t>
            </w:r>
            <w:r w:rsidRPr="00BA1673">
              <w:rPr>
                <w:rFonts w:ascii="Times New Roman" w:eastAsia="Times New Roman" w:hAnsi="Times New Roman" w:cs="Times New Roman"/>
                <w:color w:val="000000" w:themeColor="text1"/>
                <w:sz w:val="20"/>
                <w:szCs w:val="20"/>
                <w:lang w:eastAsia="en-ZA"/>
              </w:rPr>
              <w:t xml:space="preserve">, </w:t>
            </w:r>
            <w:r w:rsidRPr="00BA1673">
              <w:rPr>
                <w:rFonts w:ascii="Times New Roman" w:eastAsia="Times New Roman" w:hAnsi="Times New Roman" w:cs="Times New Roman"/>
                <w:i/>
                <w:iCs/>
                <w:color w:val="000000" w:themeColor="text1"/>
                <w:sz w:val="20"/>
                <w:szCs w:val="20"/>
                <w:lang w:eastAsia="en-ZA"/>
              </w:rPr>
              <w:t xml:space="preserve">Faxonius rusticus. </w:t>
            </w:r>
            <w:r w:rsidRPr="00BA1673">
              <w:rPr>
                <w:rFonts w:ascii="Times New Roman" w:eastAsia="Times New Roman" w:hAnsi="Times New Roman" w:cs="Times New Roman"/>
                <w:i/>
                <w:color w:val="000000" w:themeColor="text1"/>
                <w:sz w:val="20"/>
                <w:szCs w:val="20"/>
                <w:lang w:eastAsia="en-ZA"/>
              </w:rPr>
              <w:t xml:space="preserve">Faxonius rusticus </w:t>
            </w:r>
            <w:r w:rsidRPr="00BA1673">
              <w:rPr>
                <w:rFonts w:ascii="Times New Roman" w:eastAsia="Times New Roman" w:hAnsi="Times New Roman" w:cs="Times New Roman"/>
                <w:iCs/>
                <w:color w:val="000000" w:themeColor="text1"/>
                <w:sz w:val="20"/>
                <w:szCs w:val="20"/>
                <w:lang w:eastAsia="en-ZA"/>
              </w:rPr>
              <w:t xml:space="preserve">invasions </w:t>
            </w:r>
            <w:r w:rsidRPr="004D1E6F">
              <w:rPr>
                <w:rFonts w:ascii="Times New Roman" w:eastAsia="Times New Roman" w:hAnsi="Times New Roman" w:cs="Times New Roman"/>
                <w:iCs/>
                <w:color w:val="000000"/>
                <w:sz w:val="20"/>
                <w:szCs w:val="20"/>
                <w:lang w:eastAsia="en-ZA"/>
              </w:rPr>
              <w:t>have caused disruption in recreational activities by reducing sport fish populations though egg predation and/or competition with juveniles (Keller et al. 2008).</w:t>
            </w:r>
          </w:p>
        </w:tc>
      </w:tr>
      <w:tr w:rsidR="002D7080" w:rsidRPr="004D1E6F" w14:paraId="499FBD37" w14:textId="77777777" w:rsidTr="002E2C37">
        <w:trPr>
          <w:trHeight w:val="50"/>
        </w:trPr>
        <w:tc>
          <w:tcPr>
            <w:tcW w:w="9016" w:type="dxa"/>
            <w:gridSpan w:val="2"/>
          </w:tcPr>
          <w:p w14:paraId="176F4D83"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23FD5B2E" w14:textId="77777777" w:rsidR="002D7080" w:rsidRPr="004D1E6F" w:rsidRDefault="002D7080" w:rsidP="002E2C37">
            <w:pPr>
              <w:ind w:left="567" w:hanging="567"/>
              <w:rPr>
                <w:rFonts w:ascii="Times New Roman" w:eastAsia="Calibri" w:hAnsi="Times New Roman" w:cs="Times New Roman"/>
                <w:sz w:val="20"/>
                <w:szCs w:val="20"/>
              </w:rPr>
            </w:pPr>
            <w:r w:rsidRPr="004D1E6F">
              <w:rPr>
                <w:rFonts w:ascii="Times New Roman" w:eastAsia="Times New Roman" w:hAnsi="Times New Roman" w:cs="Times New Roman"/>
                <w:color w:val="000000"/>
                <w:sz w:val="20"/>
                <w:szCs w:val="20"/>
                <w:lang w:eastAsia="en-ZA"/>
              </w:rPr>
              <w:t xml:space="preserve">Keller, R.P., Frang, K. &amp; Lodge, D.M., 2008, ‘Preventing the spread of invasive species: Economic benefits of intervention guided by ecological predictions’ </w:t>
            </w:r>
            <w:r w:rsidRPr="004D1E6F">
              <w:rPr>
                <w:rFonts w:ascii="Times New Roman" w:eastAsia="Times New Roman" w:hAnsi="Times New Roman" w:cs="Times New Roman"/>
                <w:i/>
                <w:iCs/>
                <w:color w:val="000000"/>
                <w:sz w:val="20"/>
                <w:szCs w:val="20"/>
                <w:lang w:eastAsia="en-ZA"/>
              </w:rPr>
              <w:t>Conservation Biology</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22</w:t>
            </w:r>
            <w:r w:rsidRPr="004D1E6F">
              <w:rPr>
                <w:rFonts w:ascii="Times New Roman" w:eastAsia="Times New Roman" w:hAnsi="Times New Roman" w:cs="Times New Roman"/>
                <w:color w:val="000000"/>
                <w:sz w:val="20"/>
                <w:szCs w:val="20"/>
                <w:lang w:eastAsia="en-ZA"/>
              </w:rPr>
              <w:t xml:space="preserve">, 80–88. </w:t>
            </w:r>
            <w:hyperlink r:id="rId250" w:history="1">
              <w:r w:rsidRPr="000B0DAE">
                <w:rPr>
                  <w:rStyle w:val="Hyperlink"/>
                  <w:rFonts w:ascii="Times New Roman" w:eastAsia="Times New Roman" w:hAnsi="Times New Roman" w:cs="Times New Roman"/>
                  <w:sz w:val="20"/>
                  <w:szCs w:val="20"/>
                  <w:lang w:eastAsia="en-ZA"/>
                </w:rPr>
                <w:t>https://doi.org/10.1111/j.1523-1739.2007.00811.x</w:t>
              </w:r>
            </w:hyperlink>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tc>
      </w:tr>
    </w:tbl>
    <w:p w14:paraId="102AC817" w14:textId="77777777" w:rsidR="002D7080" w:rsidRPr="004D1E6F" w:rsidRDefault="002D7080" w:rsidP="002D7080">
      <w:pPr>
        <w:spacing w:after="0" w:line="240" w:lineRule="auto"/>
        <w:rPr>
          <w:rFonts w:ascii="Times New Roman" w:eastAsia="Calibri" w:hAnsi="Times New Roman" w:cs="Times New Roman"/>
          <w:b/>
          <w:sz w:val="24"/>
          <w:szCs w:val="24"/>
        </w:rPr>
      </w:pPr>
    </w:p>
    <w:p w14:paraId="544ADD6A" w14:textId="77777777" w:rsidR="002D7080" w:rsidRPr="004D1E6F" w:rsidRDefault="002D7080" w:rsidP="002D7080">
      <w:pPr>
        <w:spacing w:after="0" w:line="240" w:lineRule="auto"/>
        <w:rPr>
          <w:rFonts w:ascii="Times New Roman" w:eastAsia="Calibri" w:hAnsi="Times New Roman" w:cs="Times New Roman"/>
          <w:b/>
          <w:sz w:val="24"/>
          <w:szCs w:val="24"/>
        </w:rPr>
      </w:pPr>
    </w:p>
    <w:tbl>
      <w:tblPr>
        <w:tblStyle w:val="TableGrid8"/>
        <w:tblW w:w="0" w:type="auto"/>
        <w:tblLook w:val="04A0" w:firstRow="1" w:lastRow="0" w:firstColumn="1" w:lastColumn="0" w:noHBand="0" w:noVBand="1"/>
      </w:tblPr>
      <w:tblGrid>
        <w:gridCol w:w="5949"/>
        <w:gridCol w:w="3067"/>
      </w:tblGrid>
      <w:tr w:rsidR="002D7080" w:rsidRPr="004D1E6F" w14:paraId="12A77360" w14:textId="77777777" w:rsidTr="002E2C37">
        <w:trPr>
          <w:trHeight w:val="260"/>
        </w:trPr>
        <w:tc>
          <w:tcPr>
            <w:tcW w:w="9016" w:type="dxa"/>
            <w:gridSpan w:val="2"/>
            <w:shd w:val="clear" w:color="auto" w:fill="F2F2F2" w:themeFill="background1" w:themeFillShade="F2"/>
          </w:tcPr>
          <w:p w14:paraId="571D1B26"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CON5 Potential impact</w:t>
            </w:r>
          </w:p>
        </w:tc>
      </w:tr>
      <w:tr w:rsidR="002D7080" w:rsidRPr="004D1E6F" w14:paraId="24A14BBD" w14:textId="77777777" w:rsidTr="002E2C37">
        <w:trPr>
          <w:trHeight w:val="172"/>
        </w:trPr>
        <w:tc>
          <w:tcPr>
            <w:tcW w:w="5949" w:type="dxa"/>
          </w:tcPr>
          <w:p w14:paraId="3D01D2F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MR</w:t>
            </w:r>
          </w:p>
        </w:tc>
        <w:tc>
          <w:tcPr>
            <w:tcW w:w="3067" w:type="dxa"/>
          </w:tcPr>
          <w:p w14:paraId="0A060959"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5DD44AE2" w14:textId="77777777" w:rsidTr="002E2C37">
        <w:trPr>
          <w:trHeight w:val="343"/>
        </w:trPr>
        <w:tc>
          <w:tcPr>
            <w:tcW w:w="9016" w:type="dxa"/>
            <w:gridSpan w:val="2"/>
          </w:tcPr>
          <w:p w14:paraId="5AE3522C"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sz w:val="20"/>
                <w:szCs w:val="20"/>
                <w:lang w:eastAsia="en-ZA"/>
              </w:rPr>
              <w:t xml:space="preserve">There are no recorded environmental impacts for </w:t>
            </w:r>
            <w:r w:rsidRPr="004D1E6F">
              <w:rPr>
                <w:rFonts w:ascii="Times New Roman" w:eastAsia="Times New Roman" w:hAnsi="Times New Roman" w:cs="Times New Roman"/>
                <w:i/>
                <w:iCs/>
                <w:sz w:val="20"/>
                <w:szCs w:val="20"/>
                <w:lang w:eastAsia="en-ZA"/>
              </w:rPr>
              <w:t>F. juvenilis</w:t>
            </w:r>
            <w:r w:rsidRPr="004D1E6F">
              <w:rPr>
                <w:rFonts w:ascii="Times New Roman" w:eastAsia="Times New Roman" w:hAnsi="Times New Roman" w:cs="Times New Roman"/>
                <w:sz w:val="20"/>
                <w:szCs w:val="20"/>
                <w:lang w:eastAsia="en-ZA"/>
              </w:rPr>
              <w:t xml:space="preserve">, therefore potential impacts were inferred from a closely related taxon, </w:t>
            </w:r>
            <w:r w:rsidRPr="004D1E6F">
              <w:rPr>
                <w:rFonts w:ascii="Times New Roman" w:eastAsia="Times New Roman" w:hAnsi="Times New Roman" w:cs="Times New Roman"/>
                <w:i/>
                <w:iCs/>
                <w:sz w:val="20"/>
                <w:szCs w:val="20"/>
                <w:lang w:eastAsia="en-ZA"/>
              </w:rPr>
              <w:t>Faxonius rusticus</w:t>
            </w:r>
            <w:r w:rsidRPr="004D1E6F">
              <w:rPr>
                <w:rFonts w:ascii="Times New Roman" w:hAnsi="Times New Roman" w:cs="Times New Roman"/>
                <w:iCs/>
                <w:sz w:val="20"/>
              </w:rPr>
              <w:t xml:space="preserve"> that </w:t>
            </w:r>
            <w:r w:rsidRPr="004D1E6F">
              <w:rPr>
                <w:rFonts w:ascii="Times New Roman" w:hAnsi="Times New Roman" w:cs="Times New Roman"/>
                <w:sz w:val="20"/>
              </w:rPr>
              <w:t xml:space="preserve">is known to cause impacts in introduced areas, mainly through competition, predation and excessive grazing (Lodge et al. 2012). </w:t>
            </w:r>
            <w:r w:rsidRPr="004D1E6F">
              <w:rPr>
                <w:rFonts w:ascii="Times New Roman" w:hAnsi="Times New Roman" w:cs="Times New Roman"/>
                <w:i/>
                <w:sz w:val="20"/>
              </w:rPr>
              <w:t>Faxonius rusticus</w:t>
            </w:r>
            <w:r w:rsidRPr="004D1E6F">
              <w:rPr>
                <w:rFonts w:ascii="Times New Roman" w:hAnsi="Times New Roman" w:cs="Times New Roman"/>
                <w:sz w:val="20"/>
              </w:rPr>
              <w:t xml:space="preserve"> is highly fecund and an aggressive competitor (Garvey &amp; Stein 1993). </w:t>
            </w:r>
            <w:r w:rsidRPr="004D1E6F">
              <w:rPr>
                <w:rFonts w:ascii="Times New Roman" w:hAnsi="Times New Roman" w:cs="Times New Roman"/>
                <w:i/>
                <w:iCs/>
                <w:sz w:val="20"/>
              </w:rPr>
              <w:t xml:space="preserve">Faxonius rusticus </w:t>
            </w:r>
            <w:r w:rsidRPr="004D1E6F">
              <w:rPr>
                <w:rFonts w:ascii="Times New Roman" w:hAnsi="Times New Roman" w:cs="Times New Roman"/>
                <w:sz w:val="20"/>
              </w:rPr>
              <w:t xml:space="preserve">may out-compete native freshwater crab species in South Africa </w:t>
            </w:r>
            <w:r w:rsidRPr="004D1E6F">
              <w:rPr>
                <w:rFonts w:ascii="Times New Roman" w:hAnsi="Times New Roman" w:cs="Times New Roman"/>
                <w:sz w:val="20"/>
              </w:rPr>
              <w:fldChar w:fldCharType="begin" w:fldLock="1"/>
            </w:r>
            <w:r w:rsidRPr="004D1E6F">
              <w:rPr>
                <w:rFonts w:ascii="Times New Roman" w:hAnsi="Times New Roman" w:cs="Times New Roman"/>
                <w:sz w:val="20"/>
              </w:rPr>
              <w:instrText>ADDIN CSL_CITATION { "citationItems" : [ { "id" : "ITEM-1", "itemData" : { "DOI" : "10.1111/1365-2656.12533", "ISBN" : "1365-2656 (Electronic)\\r0021-8790 (Linking)", "ISSN" : "13652656", "PMID" : "27084460", "abstract" : "1. Invasive species are a key driver of global environmental change, with frequently strong negative consequences for native biodiversity and ecosystem processes. Understanding com- petitive interactions between invaders and functionally similar native species provides an important benchmark for predicting the consequences of invasion. However, even though having a broad dietary niche is widely considered a key factor determining invasion success, little is known about the effects of competition with functionally similar native competitors on the dietary niche breadths of invasive species. 2. We used a combination of field experiments and field surveys to examine the impacts of competition with a functionally similar native crab species on the population densities, growth rates and diet of the globally widespread invasive red swamp crayfish in an African river ecosystem. 3. The presence of native crabs triggered significant dietary niche constriction within the inva- sive crayfish population. Further, growth rates of both species were reduced significantly, and by a similar extent, in the presence of one another. In spite of this, crayfish maintained posi- tive growth rates in the presence of crabs, whereas crabs lost mass in the presence of crayfish. Consequently, over the 3-year duration of the study, crab abundance declined at those sites invaded by the crayfish, becoming locally extinct at one. 4. The invasive crayfish had a dramatic effect on ecosystem structure and functioning, halv- ing benthic invertebrate densities and increasing decomposition rates fourfold compared to the crabs. This indicates that replacement of native crabs by invasive crayfish likely alters the structure and functioning of African river ecosystems significantly. 5. This study provides a novel example of the constriction of the dietary niche of a successful invasive population in the presence of competition from a functionally similar native species. This finding highlights the importance of considering both environmental and ecological contexts in order to predict and manage the impacts of invasive species on ecosystems.", "author" : [ { "dropping-particle" : "", "family" : "Jackson", "given" : "Michelle C.", "non-dropping-particle" : "", "parse-names" : false, "suffix" : "" }, { "dropping-particle" : "", "family" : "Grey", "given" : "Jonathan", "non-dropping-particle" : "", "parse-names" : false, "suffix" : "" }, { "dropping-particle" : "", "family" : "Miller", "given" : "Katie", "non-dropping-particle" : "", "parse-names" : false, "suffix" : "" }, { "dropping-particle" : "", "family" : "Britton", "given" : "J. Robert", "non-dropping-particle" : "", "parse-names" : false, "suffix" : "" }, { "dropping-particle" : "", "family" : "Donohue", "given" : "Ian", "non-dropping-particle" : "", "parse-names" : false, "suffix" : "" } ], "container-title" : "Journal of Animal Ecology", "id" : "ITEM-1", "issued" : { "date-parts" : [ [ "2016" ] ] }, "page" : "1098-1107", "title" : "Dietary niche constriction when invaders meet natives: Evidence from freshwater decapods", "type" : "article-journal" }, "uris" : [ "http://www.mendeley.com/documents/?uuid=4d1dad2a-af96-4ee7-a254-3fb10d7453b1" ] }, { "id" : "ITEM-2", "itemData" : { "DOI" : "10.1899/12-203.1", "author" : [ { "dropping-particle" : "", "family" : "Twardochleb", "given" : "Laura A", "non-dropping-particle" : "", "parse-names" : false, "suffix" : "" }, { "dropping-particle" : "", "family" : "Olden", "given" : "Julian D", "non-dropping-particle" : "", "parse-names" : false, "suffix" : "" }, { "dropping-particle" : "", "family" : "Larson", "given" : "Eric R", "non-dropping-particle" : "", "parse-names" : false, "suffix" : "" }, { "dropping-particle" : "", "family" : "Twardochleb", "given" : "Laura A", "non-dropping-particle" : "", "parse-names" : false, "suffix" : "" }, { "dropping-particle" : "", "family" : "Olden", "given" : "Julian D", "non-dropping-particle" : "", "parse-names" : false, "suffix" : "" }, { "dropping-particle" : "", "family" : "Larson", "given" : "Eric R", "non-dropping-particle" : "", "parse-names" : false, "suffix" : "" } ], "id" : "ITEM-2", "issue" : "4", "issued" : { "date-parts" : [ [ "2018" ] ] }, "page" : "1367-1382", "title" : "A global meta-analysis of the ecological impacts of nonnative crayfish Published by : The University of Chicago Press on behalf of Society for Freshwater Science Stable URL : http://www.jstor.org/stable/10.1899/12-203.1 A global meta-analysis of the ecolo", "type" : "article-journal", "volume" : "32" }, "uris" : [ "http://www.mendeley.com/documents/?uuid=54b5a62f-259e-44a1-b335-4cbdec7c8d82" ] } ], "mendeley" : { "formattedCitation" : "(Jackson et al. 2016, Twardochleb et al. 2018)", "plainTextFormattedCitation" : "(Jackson et al. 2016, Twardochleb et al. 2018)", "previouslyFormattedCitation" : "(Jackson et al. 2016, Twardochleb et al. 2018)" }, "properties" : { "noteIndex" : 0 }, "schema" : "https://github.com/citation-style-language/schema/raw/master/csl-citation.json" }</w:instrText>
            </w:r>
            <w:r w:rsidRPr="004D1E6F">
              <w:rPr>
                <w:rFonts w:ascii="Times New Roman" w:hAnsi="Times New Roman" w:cs="Times New Roman"/>
                <w:sz w:val="20"/>
              </w:rPr>
              <w:fldChar w:fldCharType="separate"/>
            </w:r>
            <w:r w:rsidRPr="004D1E6F">
              <w:rPr>
                <w:rFonts w:ascii="Times New Roman" w:hAnsi="Times New Roman" w:cs="Times New Roman"/>
                <w:sz w:val="20"/>
              </w:rPr>
              <w:t>(Jackson et al. 2016; Twardochleb et al. 2018)</w:t>
            </w:r>
            <w:r w:rsidRPr="004D1E6F">
              <w:rPr>
                <w:rFonts w:ascii="Times New Roman" w:hAnsi="Times New Roman" w:cs="Times New Roman"/>
                <w:sz w:val="20"/>
              </w:rPr>
              <w:fldChar w:fldCharType="end"/>
            </w:r>
            <w:r w:rsidRPr="004D1E6F">
              <w:rPr>
                <w:rFonts w:ascii="Times New Roman" w:hAnsi="Times New Roman" w:cs="Times New Roman"/>
                <w:sz w:val="20"/>
              </w:rPr>
              <w:t xml:space="preserve">. Being a functional omnivore, </w:t>
            </w:r>
            <w:r w:rsidRPr="004D1E6F">
              <w:rPr>
                <w:rFonts w:ascii="Times New Roman" w:hAnsi="Times New Roman" w:cs="Times New Roman"/>
                <w:i/>
                <w:sz w:val="20"/>
              </w:rPr>
              <w:t>F. rusticus</w:t>
            </w:r>
            <w:r w:rsidRPr="004D1E6F">
              <w:rPr>
                <w:rFonts w:ascii="Times New Roman" w:hAnsi="Times New Roman" w:cs="Times New Roman"/>
                <w:sz w:val="20"/>
              </w:rPr>
              <w:t xml:space="preserve"> may also have detrimental impacts on macroinvertebrates and macrophyte communities when occurring in high densities </w:t>
            </w:r>
            <w:r w:rsidRPr="004D1E6F">
              <w:rPr>
                <w:rFonts w:ascii="Times New Roman" w:hAnsi="Times New Roman" w:cs="Times New Roman"/>
                <w:sz w:val="20"/>
              </w:rPr>
              <w:fldChar w:fldCharType="begin" w:fldLock="1"/>
            </w:r>
            <w:r w:rsidRPr="004D1E6F">
              <w:rPr>
                <w:rFonts w:ascii="Times New Roman" w:hAnsi="Times New Roman" w:cs="Times New Roman"/>
                <w:sz w:val="20"/>
              </w:rPr>
              <w:instrText>ADDIN CSL_CITATION { "citationItems" : [ { "id" : "ITEM-1", "itemData" : { "DOI" : "10.1139/f05-217", "ISBN" : "0706-652X", "ISSN" : "0706-652X", "PMID" : "732163", "abstract" : "Abstract: Crayfish often dominate freshwater ecosystems and can have strong effects on littoral habitat and biota through foraging. However, there is substantial debate regarding the trophic role of crayfish and implications of their foraging behavior on littoral ecosystems. We created a bioenergetics model for rusty crayfish (Orconectes rusticus)to determine how growth and prey choice constrain crayfish consumption, which affects littoral ecosystems. We simulated over 6400 potential rusty crayfish diets by varying the abundance of important prey. We judged how crayfish prey choice affects the amount and identity of prey that crayfish must consume to match observed growth. We compared our model predictions with stable isotope evidence from 10 northern Wisconsin lakes to determine energy sources and trophic position of rusty crayfish relative to other invertebrates. Our diet simulations and stable isotope analysis con- curred that crayfish of all ages are primarily predators. Individuals that do not feed on zoobenthos must therefore con- sume large quantities of less desirable food such as macrophytes, which are an important component of littoral habitat.", "author" : [ { "dropping-particle" : "", "family" : "Roth", "given" : "Brian M", "non-dropping-particle" : "", "parse-names" : false, "suffix" : "" }, { "dropping-particle" : "", "family" : "Hein", "given" : "Catherine L", "non-dropping-particle" : "", "parse-names" : false, "suffix" : "" }, { "dropping-particle" : "", "family" : "Zanden", "given" : "M Jake", "non-dropping-particle" : "Vander", "parse-names" : false, "suffix" : "" } ], "container-title" : "Canadian Journal of Fisheries and Aquatic Sciences", "id" : "ITEM-1", "issue" : "2", "issued" : { "date-parts" : [ [ "2006" ] ] }, "page" : "335-344", "title" : "Using bioenergetics and stable isotopes to assess the trophic role of rusty crayfish ( &lt;i&gt;Orconectes rusticus&lt;/i&gt; ) in lake littoral zones", "type" : "article-journal", "volume" : "63" }, "uris" : [ "http://www.mendeley.com/documents/?uuid=c0f0f0ad-f2ea-42b0-91ff-4710ba5c445d" ] }, { "id" : "ITEM-2", "itemData" : { "author" : [ { "dropping-particle" : "", "family" : "Wilson", "given" : "Karen A", "non-dropping-particle" : "", "parse-names" : false, "suffix" : "" }, { "dropping-particle" : "", "family" : "Magnuson", "given" : "John J", "non-dropping-particle" : "", "parse-names" : false, "suffix" : "" }, { "dropping-particle" : "", "family" : "Lodge", "given" : "David M", "non-dropping-particle" : "", "parse-names" : false, "suffix" : "" }, { "dropping-particle" : "", "family" : "Hill", "given" : "Anna M", "non-dropping-particle" : "", "parse-names" : false, "suffix" : "" } ], "id" : "ITEM-2", "issued" : { "date-parts" : [ [ "2004" ] ] }, "title" : "A long-term rusty crayfish ( Orconectes rusticus ) invasion : dispersal patterns ...", "type" : "article-journal" }, "uris" : [ "http://www.mendeley.com/documents/?uuid=9c7afb1b-2608-44a3-b11e-dde6213197d8" ] } ], "mendeley" : { "formattedCitation" : "(Wilson et al. 2004, Roth et al. 2006)", "plainTextFormattedCitation" : "(Wilson et al. 2004, Roth et al. 2006)", "previouslyFormattedCitation" : "(Wilson et al. 2004, Roth et al. 2006)" }, "properties" : { "noteIndex" : 0 }, "schema" : "https://github.com/citation-style-language/schema/raw/master/csl-citation.json" }</w:instrText>
            </w:r>
            <w:r w:rsidRPr="004D1E6F">
              <w:rPr>
                <w:rFonts w:ascii="Times New Roman" w:hAnsi="Times New Roman" w:cs="Times New Roman"/>
                <w:sz w:val="20"/>
              </w:rPr>
              <w:fldChar w:fldCharType="separate"/>
            </w:r>
            <w:r w:rsidRPr="004D1E6F">
              <w:rPr>
                <w:rFonts w:ascii="Times New Roman" w:hAnsi="Times New Roman" w:cs="Times New Roman"/>
                <w:sz w:val="20"/>
              </w:rPr>
              <w:t>(Wilson et al. 2004; Roth et al. 2006)</w:t>
            </w:r>
            <w:r w:rsidRPr="004D1E6F">
              <w:rPr>
                <w:rFonts w:ascii="Times New Roman" w:hAnsi="Times New Roman" w:cs="Times New Roman"/>
                <w:sz w:val="20"/>
              </w:rPr>
              <w:fldChar w:fldCharType="end"/>
            </w:r>
            <w:r w:rsidRPr="004D1E6F">
              <w:rPr>
                <w:rFonts w:ascii="Times New Roman" w:hAnsi="Times New Roman" w:cs="Times New Roman"/>
                <w:sz w:val="20"/>
              </w:rPr>
              <w:t xml:space="preserve">. </w:t>
            </w:r>
            <w:r w:rsidRPr="004D1E6F">
              <w:rPr>
                <w:rFonts w:ascii="Times New Roman" w:hAnsi="Times New Roman" w:cs="Times New Roman"/>
                <w:i/>
                <w:sz w:val="20"/>
              </w:rPr>
              <w:t>Faxonius rusticus</w:t>
            </w:r>
            <w:r w:rsidRPr="004D1E6F">
              <w:rPr>
                <w:rFonts w:ascii="Times New Roman" w:hAnsi="Times New Roman" w:cs="Times New Roman"/>
                <w:sz w:val="20"/>
              </w:rPr>
              <w:t xml:space="preserve"> can reduce invertebrate communities, changing their composition in invaded areas (Klocker &amp; Strayer 2004; Johnson et al. 2009). Furthermore, being a vector for the crayfish plague is another cause of concern, as it may be transferable and could be detrimental to native freshwater crustaceans in South Africa </w:t>
            </w:r>
            <w:r w:rsidRPr="004D1E6F">
              <w:rPr>
                <w:rFonts w:ascii="Times New Roman" w:hAnsi="Times New Roman" w:cs="Times New Roman"/>
                <w:sz w:val="20"/>
              </w:rPr>
              <w:fldChar w:fldCharType="begin" w:fldLock="1"/>
            </w:r>
            <w:r w:rsidRPr="004D1E6F">
              <w:rPr>
                <w:rFonts w:ascii="Times New Roman" w:hAnsi="Times New Roman" w:cs="Times New Roman"/>
                <w:sz w:val="20"/>
              </w:rPr>
              <w:instrText>ADDIN CSL_CITATION { "citationItems" : [ { "id" : "ITEM-1", "itemData" : { "DOI" : "10.1899/12-203.1", "ISSN" : "2161-9549", "abstract" : "Nonnative crayfish have been widely introduced and are a major threat to freshwater biodiversity and ecosystem functioning. Despite documentation of the ecological effects of nonnative crayfish from &gt;3 decades of case studies, no comprehensive synthesis has been done to test quantitatively for their general or species-specific effects on recipient ecosystems. We provide the first global meta-analysis of the ecological effects of nonnative crayfish under experimental settings to compare effects among species and across levels of ecological organization. Our meta-analysis revealed strong, but variable, negative ecological impacts of nonnative crayfish with strikingly consistent effects among introduced species. In experimental settings, nonnative crayfish generally affect all levels of freshwater food webs. Nonnative crayfish reduce the abundance of basal resources like aquatic macrophytes, prey on invertebrates like snails and mayflies, and reduce abundances and growth of amphibians and fish, but they do not consistently increase algal biomass. Nonnative crayfish tend to have larger positive effects on growth of algae and larger negative effects on invertebrates and fish than native crayfish, but effect sizes vary considerably. Our study supports the assessment of crayfish as strong interactors in food webs that have significant effects across native taxa via polytrophic, generalist feeding habits. Nonnative crayfish species identity may be less important than extrinsic attributes of the recipient ecosystems in determining effects of nonnative crayfish. We identify some understudied and emerging nonnative crayfish that should be studied further and suggest expanding research to encompass more comparisons of native vs nonnative crayfish and different geographic regions. The consistent and general negative effects of nonnative crayfish warrant efforts to discourage their introduction beyond native ranges.", "author" : [ { "dropping-particle" : "", "family" : "Twardochleb", "given" : "Laura A.", "non-dropping-particle" : "", "parse-names" : false, "suffix" : "" }, { "dropping-particle" : "", "family" : "Olden", "given" : "Julian D.", "non-dropping-particle" : "", "parse-names" : false, "suffix" : "" }, { "dropping-particle" : "", "family" : "Larson", "given" : "Eric R.", "non-dropping-particle" : "", "parse-names" : false, "suffix" : "" } ], "container-title" : "Freshwater Science", "id" : "ITEM-1", "issue" : "4", "issued" : { "date-parts" : [ [ "2013" ] ] }, "page" : "1367-1382", "title" : "A global meta-analysis of the ecological impacts of nonnative crayfish", "type" : "article-journal", "volume" : "32" }, "uris" : [ "http://www.mendeley.com/documents/?uuid=aa454fc3-ac9d-49d7-8e94-5b2e5f824a0e" ] } ], "mendeley" : { "formattedCitation" : "(Twardochleb et al. 2013)", "plainTextFormattedCitation" : "(Twardochleb et al. 2013)", "previouslyFormattedCitation" : "(Twardochleb et al. 2013)" }, "properties" : { "noteIndex" : 0 }, "schema" : "https://github.com/citation-style-language/schema/raw/master/csl-citation.json" }</w:instrText>
            </w:r>
            <w:r w:rsidRPr="004D1E6F">
              <w:rPr>
                <w:rFonts w:ascii="Times New Roman" w:hAnsi="Times New Roman" w:cs="Times New Roman"/>
                <w:sz w:val="20"/>
              </w:rPr>
              <w:fldChar w:fldCharType="separate"/>
            </w:r>
            <w:r w:rsidRPr="004D1E6F">
              <w:rPr>
                <w:rFonts w:ascii="Times New Roman" w:hAnsi="Times New Roman" w:cs="Times New Roman"/>
                <w:sz w:val="20"/>
              </w:rPr>
              <w:t xml:space="preserve">(Twardochleb et al. 2013; </w:t>
            </w:r>
            <w:r w:rsidRPr="004D1E6F">
              <w:rPr>
                <w:rFonts w:ascii="Times New Roman" w:eastAsia="Times New Roman" w:hAnsi="Times New Roman" w:cs="Times New Roman"/>
                <w:sz w:val="20"/>
                <w:szCs w:val="20"/>
                <w:lang w:eastAsia="en-ZA"/>
              </w:rPr>
              <w:t>Panteleit et al. 2019; Butler et al. 2020)</w:t>
            </w:r>
            <w:r w:rsidRPr="004D1E6F">
              <w:rPr>
                <w:rFonts w:ascii="Times New Roman" w:hAnsi="Times New Roman" w:cs="Times New Roman"/>
                <w:sz w:val="20"/>
              </w:rPr>
              <w:t>)</w:t>
            </w:r>
            <w:r w:rsidRPr="004D1E6F">
              <w:rPr>
                <w:rFonts w:ascii="Times New Roman" w:hAnsi="Times New Roman" w:cs="Times New Roman"/>
                <w:sz w:val="20"/>
              </w:rPr>
              <w:fldChar w:fldCharType="end"/>
            </w:r>
            <w:r w:rsidRPr="004D1E6F">
              <w:rPr>
                <w:rFonts w:ascii="Times New Roman" w:hAnsi="Times New Roman" w:cs="Times New Roman"/>
                <w:sz w:val="20"/>
              </w:rPr>
              <w:t xml:space="preserve">. Although </w:t>
            </w:r>
            <w:r w:rsidRPr="004D1E6F">
              <w:rPr>
                <w:rFonts w:ascii="Times New Roman" w:hAnsi="Times New Roman" w:cs="Times New Roman"/>
                <w:i/>
                <w:sz w:val="20"/>
              </w:rPr>
              <w:t>F. rusticus</w:t>
            </w:r>
            <w:r w:rsidRPr="004D1E6F">
              <w:rPr>
                <w:rFonts w:ascii="Times New Roman" w:hAnsi="Times New Roman" w:cs="Times New Roman"/>
                <w:sz w:val="20"/>
              </w:rPr>
              <w:t xml:space="preserve"> has not been implicated as an active vector, all north American crayfish are immune to the disease and can easily infect other species.</w:t>
            </w:r>
          </w:p>
        </w:tc>
      </w:tr>
      <w:tr w:rsidR="002D7080" w:rsidRPr="004D1E6F" w14:paraId="1F729E93" w14:textId="77777777" w:rsidTr="002E2C37">
        <w:trPr>
          <w:trHeight w:val="343"/>
        </w:trPr>
        <w:tc>
          <w:tcPr>
            <w:tcW w:w="9016" w:type="dxa"/>
            <w:gridSpan w:val="2"/>
          </w:tcPr>
          <w:p w14:paraId="3449A555" w14:textId="77777777" w:rsidR="002D7080" w:rsidRPr="004D1E6F" w:rsidRDefault="002D7080" w:rsidP="002E2C37">
            <w:pPr>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08587092" w14:textId="77777777" w:rsidR="002D7080" w:rsidRPr="004D1E6F" w:rsidRDefault="002D7080" w:rsidP="002E2C37">
            <w:pPr>
              <w:ind w:left="720" w:hanging="720"/>
              <w:contextualSpacing/>
              <w:jc w:val="both"/>
              <w:rPr>
                <w:rFonts w:ascii="Times New Roman" w:hAnsi="Times New Roman" w:cs="Times New Roman"/>
                <w:color w:val="000000"/>
                <w:sz w:val="20"/>
                <w:szCs w:val="20"/>
              </w:rPr>
            </w:pPr>
            <w:r w:rsidRPr="004D1E6F">
              <w:rPr>
                <w:rFonts w:ascii="Times New Roman" w:hAnsi="Times New Roman" w:cs="Times New Roman"/>
                <w:color w:val="000000"/>
                <w:sz w:val="20"/>
                <w:szCs w:val="20"/>
              </w:rPr>
              <w:t>Butler, E., Crigler, P.</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Robbins, G. </w:t>
            </w:r>
            <w:r>
              <w:rPr>
                <w:rFonts w:ascii="Times New Roman" w:hAnsi="Times New Roman" w:cs="Times New Roman"/>
                <w:color w:val="000000"/>
                <w:sz w:val="20"/>
                <w:szCs w:val="20"/>
              </w:rPr>
              <w:t>&amp;</w:t>
            </w:r>
            <w:r w:rsidRPr="004D1E6F">
              <w:rPr>
                <w:rFonts w:ascii="Times New Roman" w:hAnsi="Times New Roman" w:cs="Times New Roman"/>
                <w:color w:val="000000"/>
                <w:sz w:val="20"/>
                <w:szCs w:val="20"/>
              </w:rPr>
              <w:t xml:space="preserve"> Blair</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J. E.</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2020</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Preliminary survey of </w:t>
            </w:r>
            <w:r w:rsidRPr="004D1E6F">
              <w:rPr>
                <w:rStyle w:val="Emphasis"/>
                <w:rFonts w:ascii="Times New Roman" w:hAnsi="Times New Roman" w:cs="Times New Roman"/>
                <w:color w:val="000000"/>
                <w:sz w:val="20"/>
                <w:szCs w:val="20"/>
              </w:rPr>
              <w:t>Aphanomyces</w:t>
            </w:r>
            <w:r w:rsidRPr="004D1E6F">
              <w:rPr>
                <w:rFonts w:ascii="Times New Roman" w:hAnsi="Times New Roman" w:cs="Times New Roman"/>
                <w:color w:val="000000"/>
                <w:sz w:val="20"/>
                <w:szCs w:val="20"/>
              </w:rPr>
              <w:t> sp. associated with native and invasive crayfish in the lower Susquehanna watershed of south central Pennsylvania</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w:t>
            </w:r>
            <w:r w:rsidRPr="004D1E6F">
              <w:rPr>
                <w:rFonts w:ascii="Times New Roman" w:hAnsi="Times New Roman" w:cs="Times New Roman"/>
                <w:i/>
                <w:iCs/>
                <w:color w:val="000000"/>
                <w:sz w:val="20"/>
                <w:szCs w:val="20"/>
              </w:rPr>
              <w:t>Journal of Freshwater Ecology</w:t>
            </w:r>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 xml:space="preserve">35(1), 223-233. </w:t>
            </w:r>
            <w:hyperlink w:history="1">
              <w:r w:rsidRPr="004D1E6F">
                <w:rPr>
                  <w:rStyle w:val="Hyperlink"/>
                  <w:rFonts w:ascii="Times New Roman" w:hAnsi="Times New Roman" w:cs="Times New Roman"/>
                  <w:sz w:val="20"/>
                  <w:szCs w:val="20"/>
                </w:rPr>
                <w:t>https://doi.org/10.1080/02705060.2020.1779141</w:t>
              </w:r>
            </w:hyperlink>
            <w:r w:rsidRPr="004D1E6F">
              <w:rPr>
                <w:rFonts w:ascii="Times New Roman" w:hAnsi="Times New Roman" w:cs="Times New Roman"/>
                <w:color w:val="000000"/>
                <w:sz w:val="20"/>
                <w:szCs w:val="20"/>
              </w:rPr>
              <w:t>.</w:t>
            </w:r>
          </w:p>
          <w:p w14:paraId="43E3377A" w14:textId="77777777" w:rsidR="002D7080" w:rsidRPr="004D1E6F"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Garvey, J.E. &amp; Stein, R.A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1993, ‘Evaluating how chela size influences the invasion potential of an introduced crayfish (</w:t>
            </w:r>
            <w:r w:rsidRPr="004D1E6F">
              <w:rPr>
                <w:rFonts w:ascii="Times New Roman" w:eastAsia="Times New Roman" w:hAnsi="Times New Roman" w:cs="Times New Roman"/>
                <w:i/>
                <w:color w:val="000000"/>
                <w:sz w:val="20"/>
                <w:szCs w:val="20"/>
                <w:lang w:eastAsia="en-ZA"/>
              </w:rPr>
              <w:t>Orconectes rusticus</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American Midland Naturalist 129,</w:t>
            </w:r>
            <w:r w:rsidRPr="004D1E6F">
              <w:rPr>
                <w:rFonts w:ascii="Times New Roman" w:eastAsia="Times New Roman" w:hAnsi="Times New Roman" w:cs="Times New Roman"/>
                <w:color w:val="000000"/>
                <w:sz w:val="20"/>
                <w:szCs w:val="20"/>
                <w:lang w:eastAsia="en-ZA"/>
              </w:rPr>
              <w:t xml:space="preserve"> 172–181. </w:t>
            </w:r>
            <w:hyperlink r:id="rId251" w:history="1">
              <w:r w:rsidRPr="000B0DAE">
                <w:rPr>
                  <w:rStyle w:val="Hyperlink"/>
                  <w:rFonts w:ascii="Times New Roman" w:eastAsia="Times New Roman" w:hAnsi="Times New Roman" w:cs="Times New Roman"/>
                  <w:sz w:val="20"/>
                  <w:szCs w:val="20"/>
                  <w:lang w:eastAsia="en-ZA"/>
                </w:rPr>
                <w:t>https://doi.org/10.2307/2426446</w:t>
              </w:r>
            </w:hyperlink>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p w14:paraId="4F1279BD" w14:textId="77777777" w:rsidR="00544E5D" w:rsidRDefault="002D7080" w:rsidP="002E2C37">
            <w:pPr>
              <w:ind w:left="720" w:hanging="720"/>
              <w:contextualSpacing/>
              <w:jc w:val="both"/>
            </w:pPr>
            <w:r w:rsidRPr="004D1E6F">
              <w:rPr>
                <w:rFonts w:ascii="Times New Roman" w:hAnsi="Times New Roman" w:cs="Times New Roman"/>
                <w:sz w:val="20"/>
                <w:szCs w:val="20"/>
              </w:rPr>
              <w:t xml:space="preserve">Holdich, D.M. &amp; Reeve, I.D., 1991, ‘Distribution of freshwater crayfish in the British Isles, with particular reference to crayfish plague, alien introductions and water quality’, </w:t>
            </w:r>
            <w:r w:rsidRPr="004D1E6F">
              <w:rPr>
                <w:rFonts w:ascii="Times New Roman" w:hAnsi="Times New Roman" w:cs="Times New Roman"/>
                <w:i/>
                <w:iCs/>
                <w:sz w:val="20"/>
                <w:szCs w:val="20"/>
              </w:rPr>
              <w:t>Aquatic Conservation: Marine and Freshwater Ecosystems</w:t>
            </w:r>
            <w:r w:rsidRPr="004D1E6F">
              <w:rPr>
                <w:rFonts w:ascii="Times New Roman" w:hAnsi="Times New Roman" w:cs="Times New Roman"/>
                <w:sz w:val="20"/>
                <w:szCs w:val="20"/>
              </w:rPr>
              <w:t xml:space="preserve"> </w:t>
            </w:r>
            <w:r w:rsidRPr="004D1E6F">
              <w:rPr>
                <w:rFonts w:ascii="Times New Roman" w:hAnsi="Times New Roman" w:cs="Times New Roman"/>
                <w:iCs/>
                <w:sz w:val="20"/>
                <w:szCs w:val="20"/>
              </w:rPr>
              <w:t>1,</w:t>
            </w:r>
            <w:r w:rsidRPr="004D1E6F">
              <w:rPr>
                <w:rFonts w:ascii="Times New Roman" w:hAnsi="Times New Roman" w:cs="Times New Roman"/>
                <w:sz w:val="20"/>
                <w:szCs w:val="20"/>
              </w:rPr>
              <w:t xml:space="preserve"> 139–158. </w:t>
            </w:r>
            <w:hyperlink r:id="rId252" w:history="1">
              <w:r w:rsidR="00544E5D" w:rsidRPr="00544E5D">
                <w:rPr>
                  <w:rStyle w:val="Hyperlink"/>
                  <w:rFonts w:ascii="Times New Roman" w:hAnsi="Times New Roman" w:cs="Times New Roman"/>
                  <w:sz w:val="20"/>
                  <w:szCs w:val="20"/>
                </w:rPr>
                <w:t>https://doi.org/10.1002/aqc.3270010204</w:t>
              </w:r>
            </w:hyperlink>
            <w:r w:rsidR="00544E5D" w:rsidRPr="00544E5D">
              <w:t>.</w:t>
            </w:r>
          </w:p>
          <w:p w14:paraId="2B7AD38A" w14:textId="2E640B4E" w:rsidR="002D7080" w:rsidRPr="004D1E6F" w:rsidRDefault="002D7080" w:rsidP="002E2C37">
            <w:pPr>
              <w:ind w:left="720" w:hanging="720"/>
              <w:contextualSpacing/>
              <w:jc w:val="both"/>
              <w:rPr>
                <w:rFonts w:ascii="Times New Roman" w:hAnsi="Times New Roman" w:cs="Times New Roman"/>
                <w:sz w:val="20"/>
                <w:szCs w:val="20"/>
              </w:rPr>
            </w:pPr>
            <w:r w:rsidRPr="004D1E6F">
              <w:rPr>
                <w:rFonts w:ascii="Times New Roman" w:eastAsia="Times New Roman" w:hAnsi="Times New Roman" w:cs="Times New Roman"/>
                <w:color w:val="000000"/>
                <w:sz w:val="20"/>
                <w:szCs w:val="20"/>
                <w:lang w:eastAsia="en-ZA"/>
              </w:rPr>
              <w:t xml:space="preserve">Johnson, P.T., Olden, J.D., Solomon, C.T. &amp; Vander Zanden, M.J., 2009, ‘Interactions among Invaders: Community and ecosystem effects of multiple invasive species in an experimental aquatic system’, </w:t>
            </w:r>
            <w:r w:rsidRPr="004D1E6F">
              <w:rPr>
                <w:rFonts w:ascii="Times New Roman" w:eastAsia="Times New Roman" w:hAnsi="Times New Roman" w:cs="Times New Roman"/>
                <w:i/>
                <w:iCs/>
                <w:color w:val="000000"/>
                <w:sz w:val="20"/>
                <w:szCs w:val="20"/>
                <w:lang w:eastAsia="en-ZA"/>
              </w:rPr>
              <w:t>Oecologia</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159</w:t>
            </w:r>
            <w:r w:rsidRPr="004D1E6F">
              <w:rPr>
                <w:rFonts w:ascii="Times New Roman" w:eastAsia="Times New Roman" w:hAnsi="Times New Roman" w:cs="Times New Roman"/>
                <w:color w:val="000000"/>
                <w:sz w:val="20"/>
                <w:szCs w:val="20"/>
                <w:lang w:eastAsia="en-ZA"/>
              </w:rPr>
              <w:t xml:space="preserve">, 161–170. </w:t>
            </w:r>
            <w:hyperlink r:id="rId253" w:history="1">
              <w:r w:rsidRPr="000B0DAE">
                <w:rPr>
                  <w:rStyle w:val="Hyperlink"/>
                  <w:rFonts w:ascii="Times New Roman" w:eastAsia="Times New Roman" w:hAnsi="Times New Roman" w:cs="Times New Roman"/>
                  <w:sz w:val="20"/>
                  <w:szCs w:val="20"/>
                  <w:lang w:eastAsia="en-ZA"/>
                </w:rPr>
                <w:t>https://doi.org/10.1007/s00442-008-1176-x</w:t>
              </w:r>
            </w:hyperlink>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p w14:paraId="22122EF9" w14:textId="77777777" w:rsidR="002D7080" w:rsidRPr="004D1E6F"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Klocker, C.A. &amp; Strayer, D.L., 2004, ‘Interactions among an invasive crayfish (</w:t>
            </w:r>
            <w:r w:rsidRPr="004D1E6F">
              <w:rPr>
                <w:rFonts w:ascii="Times New Roman" w:eastAsia="Times New Roman" w:hAnsi="Times New Roman" w:cs="Times New Roman"/>
                <w:i/>
                <w:color w:val="000000"/>
                <w:sz w:val="20"/>
                <w:szCs w:val="20"/>
                <w:lang w:eastAsia="en-ZA"/>
              </w:rPr>
              <w:t>Orconectes rusticus</w:t>
            </w:r>
            <w:r w:rsidRPr="004D1E6F">
              <w:rPr>
                <w:rFonts w:ascii="Times New Roman" w:eastAsia="Times New Roman" w:hAnsi="Times New Roman" w:cs="Times New Roman"/>
                <w:color w:val="000000"/>
                <w:sz w:val="20"/>
                <w:szCs w:val="20"/>
                <w:lang w:eastAsia="en-ZA"/>
              </w:rPr>
              <w:t>), a native crayfish (</w:t>
            </w:r>
            <w:r w:rsidRPr="004D1E6F">
              <w:rPr>
                <w:rFonts w:ascii="Times New Roman" w:eastAsia="Times New Roman" w:hAnsi="Times New Roman" w:cs="Times New Roman"/>
                <w:i/>
                <w:color w:val="000000"/>
                <w:sz w:val="20"/>
                <w:szCs w:val="20"/>
                <w:lang w:eastAsia="en-ZA"/>
              </w:rPr>
              <w:t>Orconectes limosus</w:t>
            </w:r>
            <w:r w:rsidRPr="004D1E6F">
              <w:rPr>
                <w:rFonts w:ascii="Times New Roman" w:eastAsia="Times New Roman" w:hAnsi="Times New Roman" w:cs="Times New Roman"/>
                <w:color w:val="000000"/>
                <w:sz w:val="20"/>
                <w:szCs w:val="20"/>
                <w:lang w:eastAsia="en-ZA"/>
              </w:rPr>
              <w:t xml:space="preserve">), and native bivalves (Sphaeriidae and Unionidae)’, </w:t>
            </w:r>
            <w:r w:rsidRPr="004D1E6F">
              <w:rPr>
                <w:rFonts w:ascii="Times New Roman" w:eastAsia="Times New Roman" w:hAnsi="Times New Roman" w:cs="Times New Roman"/>
                <w:i/>
                <w:iCs/>
                <w:color w:val="000000"/>
                <w:sz w:val="20"/>
                <w:szCs w:val="20"/>
                <w:lang w:eastAsia="en-ZA"/>
              </w:rPr>
              <w:t>Northeastern Naturalist</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11</w:t>
            </w:r>
            <w:r w:rsidRPr="004D1E6F">
              <w:rPr>
                <w:rFonts w:ascii="Times New Roman" w:eastAsia="Times New Roman" w:hAnsi="Times New Roman" w:cs="Times New Roman"/>
                <w:b/>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167–178. </w:t>
            </w:r>
            <w:hyperlink r:id="rId254" w:history="1">
              <w:r w:rsidRPr="00CE22A1">
                <w:rPr>
                  <w:rStyle w:val="Hyperlink"/>
                  <w:rFonts w:ascii="Times New Roman" w:eastAsia="Times New Roman" w:hAnsi="Times New Roman" w:cs="Times New Roman"/>
                  <w:sz w:val="20"/>
                  <w:szCs w:val="20"/>
                  <w:lang w:eastAsia="en-ZA"/>
                </w:rPr>
                <w:t>https://doi.org/10.1656/1092-6194(2004)011[0167:IAAICO]2.0.CO;2</w:t>
              </w:r>
            </w:hyperlink>
            <w:r>
              <w:rPr>
                <w:rFonts w:ascii="Times New Roman" w:eastAsia="Times New Roman" w:hAnsi="Times New Roman" w:cs="Times New Roman"/>
                <w:color w:val="000000"/>
                <w:sz w:val="20"/>
                <w:szCs w:val="20"/>
                <w:lang w:eastAsia="en-ZA"/>
              </w:rPr>
              <w:t>.</w:t>
            </w:r>
          </w:p>
          <w:p w14:paraId="2EA0D821" w14:textId="77777777" w:rsidR="002D7080" w:rsidRPr="004D1E6F" w:rsidRDefault="002D7080" w:rsidP="002E2C37">
            <w:pPr>
              <w:spacing w:line="259" w:lineRule="auto"/>
              <w:ind w:left="720" w:hanging="720"/>
              <w:contextualSpacing/>
              <w:jc w:val="both"/>
              <w:rPr>
                <w:rFonts w:ascii="Times New Roman" w:hAnsi="Times New Roman" w:cs="Times New Roman"/>
                <w:sz w:val="20"/>
                <w:szCs w:val="20"/>
              </w:rPr>
            </w:pPr>
            <w:r w:rsidRPr="00950CF7">
              <w:rPr>
                <w:rFonts w:ascii="Times New Roman" w:hAnsi="Times New Roman" w:cs="Times New Roman"/>
                <w:color w:val="000000" w:themeColor="text1"/>
                <w:sz w:val="20"/>
                <w:szCs w:val="20"/>
                <w:shd w:val="clear" w:color="auto" w:fill="FFFFFF"/>
              </w:rPr>
              <w:t>Lodge, D.M., Kershner, M.W., Aloi, J.E. &amp; Covich, A.P., 1994, Effects of an omnivorous crayfish (</w:t>
            </w:r>
            <w:r w:rsidRPr="00950CF7">
              <w:rPr>
                <w:rFonts w:ascii="Times New Roman" w:hAnsi="Times New Roman" w:cs="Times New Roman"/>
                <w:i/>
                <w:iCs/>
                <w:color w:val="000000" w:themeColor="text1"/>
                <w:sz w:val="20"/>
                <w:szCs w:val="20"/>
                <w:shd w:val="clear" w:color="auto" w:fill="FFFFFF"/>
              </w:rPr>
              <w:t>Orconectes rusticus</w:t>
            </w:r>
            <w:r w:rsidRPr="00950CF7">
              <w:rPr>
                <w:rFonts w:ascii="Times New Roman" w:hAnsi="Times New Roman" w:cs="Times New Roman"/>
                <w:color w:val="000000" w:themeColor="text1"/>
                <w:sz w:val="20"/>
                <w:szCs w:val="20"/>
                <w:shd w:val="clear" w:color="auto" w:fill="FFFFFF"/>
              </w:rPr>
              <w:t xml:space="preserve">) on a freshwater littoral food web. </w:t>
            </w:r>
            <w:r w:rsidRPr="00950CF7">
              <w:rPr>
                <w:rFonts w:ascii="Times New Roman" w:hAnsi="Times New Roman" w:cs="Times New Roman"/>
                <w:i/>
                <w:iCs/>
                <w:color w:val="000000" w:themeColor="text1"/>
                <w:sz w:val="20"/>
                <w:szCs w:val="20"/>
                <w:shd w:val="clear" w:color="auto" w:fill="FFFFFF"/>
              </w:rPr>
              <w:t>Ecology</w:t>
            </w:r>
            <w:r w:rsidRPr="00950CF7">
              <w:rPr>
                <w:rFonts w:ascii="Times New Roman" w:hAnsi="Times New Roman" w:cs="Times New Roman"/>
                <w:color w:val="000000" w:themeColor="text1"/>
                <w:sz w:val="20"/>
                <w:szCs w:val="20"/>
                <w:shd w:val="clear" w:color="auto" w:fill="FFFFFF"/>
              </w:rPr>
              <w:t xml:space="preserve">, </w:t>
            </w:r>
            <w:r w:rsidRPr="004D1E6F">
              <w:rPr>
                <w:rFonts w:ascii="Times New Roman" w:hAnsi="Times New Roman" w:cs="Times New Roman"/>
                <w:color w:val="1C1D1E"/>
                <w:sz w:val="20"/>
                <w:szCs w:val="20"/>
                <w:shd w:val="clear" w:color="auto" w:fill="FFFFFF"/>
              </w:rPr>
              <w:t>75</w:t>
            </w:r>
            <w:r>
              <w:rPr>
                <w:rFonts w:ascii="Times New Roman" w:hAnsi="Times New Roman" w:cs="Times New Roman"/>
                <w:color w:val="1C1D1E"/>
                <w:sz w:val="20"/>
                <w:szCs w:val="20"/>
                <w:shd w:val="clear" w:color="auto" w:fill="FFFFFF"/>
              </w:rPr>
              <w:t>,</w:t>
            </w:r>
            <w:r w:rsidRPr="004D1E6F">
              <w:rPr>
                <w:rFonts w:ascii="Times New Roman" w:hAnsi="Times New Roman" w:cs="Times New Roman"/>
                <w:color w:val="1C1D1E"/>
                <w:sz w:val="20"/>
                <w:szCs w:val="20"/>
                <w:shd w:val="clear" w:color="auto" w:fill="FFFFFF"/>
              </w:rPr>
              <w:t xml:space="preserve"> 1265-1281. </w:t>
            </w:r>
            <w:hyperlink w:history="1">
              <w:r w:rsidRPr="004D1E6F">
                <w:rPr>
                  <w:rStyle w:val="Hyperlink"/>
                  <w:rFonts w:ascii="Times New Roman" w:hAnsi="Times New Roman" w:cs="Times New Roman"/>
                  <w:sz w:val="20"/>
                  <w:szCs w:val="20"/>
                  <w:shd w:val="clear" w:color="auto" w:fill="FFFFFF"/>
                </w:rPr>
                <w:t>https://doi.org/10.2307/1937452</w:t>
              </w:r>
            </w:hyperlink>
          </w:p>
          <w:p w14:paraId="6B904360"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 Panteleit, J., Horvath, T.</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Jussila, J.</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Makkonen, J.</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Perry, W.</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Schulz, R.</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Theissinger, K.</w:t>
            </w:r>
            <w:r>
              <w:rPr>
                <w:rFonts w:ascii="Times New Roman" w:eastAsia="Times New Roman" w:hAnsi="Times New Roman" w:cs="Times New Roman"/>
                <w:sz w:val="20"/>
                <w:szCs w:val="20"/>
                <w:lang w:eastAsia="en-ZA"/>
              </w:rPr>
              <w:t xml:space="preserve"> &amp; </w:t>
            </w:r>
            <w:r w:rsidRPr="004D1E6F">
              <w:rPr>
                <w:rFonts w:ascii="Times New Roman" w:eastAsia="Times New Roman" w:hAnsi="Times New Roman" w:cs="Times New Roman"/>
                <w:sz w:val="20"/>
                <w:szCs w:val="20"/>
                <w:lang w:eastAsia="en-ZA"/>
              </w:rPr>
              <w:t>Schrimpf</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A.</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2019</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Invasive rusty crayfish (</w:t>
            </w:r>
            <w:r w:rsidRPr="00133103">
              <w:rPr>
                <w:rFonts w:ascii="Times New Roman" w:eastAsia="Times New Roman" w:hAnsi="Times New Roman" w:cs="Times New Roman"/>
                <w:i/>
                <w:iCs/>
                <w:sz w:val="20"/>
                <w:szCs w:val="20"/>
                <w:lang w:eastAsia="en-ZA"/>
              </w:rPr>
              <w:t>Faxonius rusticus</w:t>
            </w:r>
            <w:r w:rsidRPr="004D1E6F">
              <w:rPr>
                <w:rFonts w:ascii="Times New Roman" w:eastAsia="Times New Roman" w:hAnsi="Times New Roman" w:cs="Times New Roman"/>
                <w:sz w:val="20"/>
                <w:szCs w:val="20"/>
                <w:lang w:eastAsia="en-ZA"/>
              </w:rPr>
              <w:t xml:space="preserve">) populations in North America are infected with the </w:t>
            </w:r>
            <w:r w:rsidRPr="004D1E6F">
              <w:rPr>
                <w:rFonts w:ascii="Times New Roman" w:eastAsia="Times New Roman" w:hAnsi="Times New Roman" w:cs="Times New Roman"/>
                <w:sz w:val="20"/>
                <w:szCs w:val="20"/>
                <w:lang w:eastAsia="en-ZA"/>
              </w:rPr>
              <w:lastRenderedPageBreak/>
              <w:t>crayfish plague disease agent (</w:t>
            </w:r>
            <w:r w:rsidRPr="004D1E6F">
              <w:rPr>
                <w:rFonts w:ascii="Times New Roman" w:eastAsia="Times New Roman" w:hAnsi="Times New Roman" w:cs="Times New Roman"/>
                <w:i/>
                <w:iCs/>
                <w:sz w:val="20"/>
                <w:szCs w:val="20"/>
                <w:lang w:eastAsia="en-ZA"/>
              </w:rPr>
              <w:t>Aphanomyces astaci</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Pr="00133103">
              <w:rPr>
                <w:rFonts w:ascii="Times New Roman" w:eastAsia="Times New Roman" w:hAnsi="Times New Roman" w:cs="Times New Roman"/>
                <w:i/>
                <w:iCs/>
                <w:sz w:val="20"/>
                <w:szCs w:val="20"/>
                <w:lang w:eastAsia="en-ZA"/>
              </w:rPr>
              <w:t>Freshwater Science</w:t>
            </w:r>
            <w:r w:rsidRPr="004D1E6F">
              <w:rPr>
                <w:rFonts w:ascii="Times New Roman" w:eastAsia="Times New Roman" w:hAnsi="Times New Roman" w:cs="Times New Roman"/>
                <w:sz w:val="20"/>
                <w:szCs w:val="20"/>
                <w:lang w:eastAsia="en-ZA"/>
              </w:rPr>
              <w:t xml:space="preserve">, 38(2), 425-433. </w:t>
            </w:r>
            <w:hyperlink w:history="1">
              <w:r w:rsidRPr="005E452D">
                <w:rPr>
                  <w:rStyle w:val="Hyperlink"/>
                  <w:rFonts w:ascii="Times New Roman" w:eastAsia="Times New Roman" w:hAnsi="Times New Roman" w:cs="Times New Roman"/>
                  <w:sz w:val="20"/>
                  <w:szCs w:val="20"/>
                  <w:lang w:eastAsia="en-ZA"/>
                </w:rPr>
                <w:t>https://doi.org/10.1086/703417</w:t>
              </w:r>
            </w:hyperlink>
            <w:r>
              <w:rPr>
                <w:rFonts w:ascii="Times New Roman" w:eastAsia="Times New Roman" w:hAnsi="Times New Roman" w:cs="Times New Roman"/>
                <w:sz w:val="20"/>
                <w:szCs w:val="20"/>
                <w:lang w:eastAsia="en-ZA"/>
              </w:rPr>
              <w:t xml:space="preserve"> </w:t>
            </w:r>
          </w:p>
          <w:p w14:paraId="1875AE77" w14:textId="77777777" w:rsidR="002D7080" w:rsidRPr="004D1E6F" w:rsidRDefault="002D7080" w:rsidP="002E2C37">
            <w:pPr>
              <w:ind w:left="720" w:hanging="720"/>
              <w:contextualSpacing/>
              <w:jc w:val="both"/>
              <w:rPr>
                <w:rFonts w:ascii="Times New Roman" w:hAnsi="Times New Roman" w:cs="Times New Roman"/>
                <w:sz w:val="20"/>
                <w:szCs w:val="20"/>
              </w:rPr>
            </w:pPr>
            <w:r w:rsidRPr="004D1E6F">
              <w:rPr>
                <w:rFonts w:ascii="Times New Roman" w:eastAsia="Times New Roman" w:hAnsi="Times New Roman" w:cs="Times New Roman"/>
                <w:color w:val="000000"/>
                <w:sz w:val="20"/>
                <w:szCs w:val="20"/>
                <w:lang w:eastAsia="en-ZA"/>
              </w:rPr>
              <w:t>Roth, B.M, Hein, C.L. &amp; Vander Zanden, M.J., 2006, ‘Using bioenergetics and stable isotopes to assess the trophic role of rusty crayfish (</w:t>
            </w:r>
            <w:r w:rsidRPr="004D1E6F">
              <w:rPr>
                <w:rFonts w:ascii="Times New Roman" w:eastAsia="Times New Roman" w:hAnsi="Times New Roman" w:cs="Times New Roman"/>
                <w:i/>
                <w:color w:val="000000"/>
                <w:sz w:val="20"/>
                <w:szCs w:val="20"/>
                <w:lang w:eastAsia="en-ZA"/>
              </w:rPr>
              <w:t>Orconectes rusticus</w:t>
            </w:r>
            <w:r w:rsidRPr="004D1E6F">
              <w:rPr>
                <w:rFonts w:ascii="Times New Roman" w:eastAsia="Times New Roman" w:hAnsi="Times New Roman" w:cs="Times New Roman"/>
                <w:color w:val="000000"/>
                <w:sz w:val="20"/>
                <w:szCs w:val="20"/>
                <w:lang w:eastAsia="en-ZA"/>
              </w:rPr>
              <w:t xml:space="preserve">) in lake littoral zones,’ </w:t>
            </w:r>
            <w:r w:rsidRPr="004D1E6F">
              <w:rPr>
                <w:rFonts w:ascii="Times New Roman" w:eastAsia="Times New Roman" w:hAnsi="Times New Roman" w:cs="Times New Roman"/>
                <w:i/>
                <w:iCs/>
                <w:color w:val="000000"/>
                <w:sz w:val="20"/>
                <w:szCs w:val="20"/>
                <w:lang w:eastAsia="en-ZA"/>
              </w:rPr>
              <w:t>Canadian Journal of Fisheries and Aquatic Sciences</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63</w:t>
            </w:r>
            <w:r w:rsidRPr="004D1E6F">
              <w:rPr>
                <w:rFonts w:ascii="Times New Roman" w:eastAsia="Times New Roman" w:hAnsi="Times New Roman" w:cs="Times New Roman"/>
                <w:color w:val="000000"/>
                <w:sz w:val="20"/>
                <w:szCs w:val="20"/>
                <w:lang w:eastAsia="en-ZA"/>
              </w:rPr>
              <w:t xml:space="preserve">, 335–344. </w:t>
            </w:r>
            <w:hyperlink r:id="rId255" w:history="1">
              <w:r w:rsidRPr="000B0DAE">
                <w:rPr>
                  <w:rStyle w:val="Hyperlink"/>
                  <w:rFonts w:ascii="Times New Roman" w:eastAsia="Times New Roman" w:hAnsi="Times New Roman" w:cs="Times New Roman"/>
                  <w:sz w:val="20"/>
                  <w:szCs w:val="20"/>
                  <w:lang w:eastAsia="en-ZA"/>
                </w:rPr>
                <w:t>https://doi.org/10.1139/F05-217</w:t>
              </w:r>
            </w:hyperlink>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p w14:paraId="75B2D6FB" w14:textId="631FD964" w:rsidR="002D7080" w:rsidRPr="004D1E6F" w:rsidRDefault="002D7080" w:rsidP="002E2C37">
            <w:pPr>
              <w:ind w:left="720" w:hanging="720"/>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Twardochleb, L.A, Olden, J.D. &amp; Larson, E.R., 2013, ‘A global meta-analysis of the ecological impacts of nonnative crayfish’, </w:t>
            </w:r>
            <w:r w:rsidRPr="004D1E6F">
              <w:rPr>
                <w:rFonts w:ascii="Times New Roman" w:hAnsi="Times New Roman" w:cs="Times New Roman"/>
                <w:i/>
                <w:iCs/>
                <w:sz w:val="20"/>
                <w:szCs w:val="20"/>
              </w:rPr>
              <w:t>Freshwater Science</w:t>
            </w:r>
            <w:r w:rsidRPr="004D1E6F">
              <w:rPr>
                <w:rFonts w:ascii="Times New Roman" w:hAnsi="Times New Roman" w:cs="Times New Roman"/>
                <w:sz w:val="20"/>
                <w:szCs w:val="20"/>
              </w:rPr>
              <w:t xml:space="preserve"> </w:t>
            </w:r>
            <w:r w:rsidRPr="004D1E6F">
              <w:rPr>
                <w:rFonts w:ascii="Times New Roman" w:hAnsi="Times New Roman" w:cs="Times New Roman"/>
                <w:iCs/>
                <w:sz w:val="20"/>
                <w:szCs w:val="20"/>
              </w:rPr>
              <w:t>32</w:t>
            </w:r>
            <w:r w:rsidRPr="004D1E6F">
              <w:rPr>
                <w:rFonts w:ascii="Times New Roman" w:hAnsi="Times New Roman" w:cs="Times New Roman"/>
                <w:sz w:val="20"/>
                <w:szCs w:val="20"/>
              </w:rPr>
              <w:t>, 1367–1382.</w:t>
            </w:r>
            <w:r w:rsidRPr="004D1E6F">
              <w:rPr>
                <w:rFonts w:ascii="Times New Roman" w:hAnsi="Times New Roman" w:cs="Times New Roman"/>
                <w:color w:val="000000"/>
                <w:sz w:val="20"/>
                <w:szCs w:val="20"/>
              </w:rPr>
              <w:t xml:space="preserve"> </w:t>
            </w:r>
          </w:p>
          <w:p w14:paraId="68EE4D86" w14:textId="77777777" w:rsidR="002D7080" w:rsidRPr="004D1E6F" w:rsidRDefault="002D7080" w:rsidP="002E2C37">
            <w:pPr>
              <w:spacing w:line="259" w:lineRule="auto"/>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Wilson, K.A., Magnuson, J.J., Lodge, D.M., Hill, A.M., Kratz, T.K., Perry, W.L., et al., 2004, ‘A long-term rusty crayfish (</w:t>
            </w:r>
            <w:r w:rsidRPr="004D1E6F">
              <w:rPr>
                <w:rFonts w:ascii="Times New Roman" w:eastAsia="Times New Roman" w:hAnsi="Times New Roman" w:cs="Times New Roman"/>
                <w:i/>
                <w:color w:val="000000"/>
                <w:sz w:val="20"/>
                <w:szCs w:val="20"/>
                <w:lang w:eastAsia="en-ZA"/>
              </w:rPr>
              <w:t>Orconectes rusticus</w:t>
            </w:r>
            <w:r w:rsidRPr="004D1E6F">
              <w:rPr>
                <w:rFonts w:ascii="Times New Roman" w:eastAsia="Times New Roman" w:hAnsi="Times New Roman" w:cs="Times New Roman"/>
                <w:color w:val="000000"/>
                <w:sz w:val="20"/>
                <w:szCs w:val="20"/>
                <w:lang w:eastAsia="en-ZA"/>
              </w:rPr>
              <w:t>) invasion: Dispersal patterns and community change in a north temperate lake’, </w:t>
            </w:r>
            <w:r w:rsidRPr="004D1E6F">
              <w:rPr>
                <w:rFonts w:ascii="Times New Roman" w:eastAsia="Times New Roman" w:hAnsi="Times New Roman" w:cs="Times New Roman"/>
                <w:i/>
                <w:iCs/>
                <w:color w:val="000000"/>
                <w:sz w:val="20"/>
                <w:szCs w:val="20"/>
                <w:lang w:eastAsia="en-ZA"/>
              </w:rPr>
              <w:t>Canadian Journal of Fisheries and Aquatic Sciences</w:t>
            </w:r>
            <w:r w:rsidRPr="004D1E6F">
              <w:rPr>
                <w:rFonts w:ascii="Times New Roman" w:eastAsia="Times New Roman" w:hAnsi="Times New Roman" w:cs="Times New Roman"/>
                <w:color w:val="000000"/>
                <w:sz w:val="20"/>
                <w:szCs w:val="20"/>
                <w:lang w:eastAsia="en-ZA"/>
              </w:rPr>
              <w:t> </w:t>
            </w:r>
            <w:r w:rsidRPr="004D1E6F">
              <w:rPr>
                <w:rFonts w:ascii="Times New Roman" w:eastAsia="Times New Roman" w:hAnsi="Times New Roman" w:cs="Times New Roman"/>
                <w:iCs/>
                <w:color w:val="000000"/>
                <w:sz w:val="20"/>
                <w:szCs w:val="20"/>
                <w:lang w:eastAsia="en-ZA"/>
              </w:rPr>
              <w:t>61</w:t>
            </w:r>
            <w:r w:rsidRPr="004D1E6F">
              <w:rPr>
                <w:rFonts w:ascii="Times New Roman" w:eastAsia="Times New Roman" w:hAnsi="Times New Roman" w:cs="Times New Roman"/>
                <w:color w:val="000000"/>
                <w:sz w:val="20"/>
                <w:szCs w:val="20"/>
                <w:lang w:eastAsia="en-ZA"/>
              </w:rPr>
              <w:t xml:space="preserve">, 2255–2266. </w:t>
            </w:r>
            <w:hyperlink w:history="1">
              <w:r w:rsidRPr="004D1E6F">
                <w:rPr>
                  <w:rStyle w:val="Hyperlink"/>
                  <w:rFonts w:ascii="Times New Roman" w:eastAsia="Times New Roman" w:hAnsi="Times New Roman" w:cs="Times New Roman"/>
                  <w:sz w:val="20"/>
                  <w:szCs w:val="20"/>
                  <w:lang w:eastAsia="en-ZA"/>
                </w:rPr>
                <w:t>https://doi.org/10.1139/f04-170</w:t>
              </w:r>
            </w:hyperlink>
            <w:r w:rsidRPr="004D1E6F">
              <w:rPr>
                <w:rFonts w:ascii="Times New Roman" w:eastAsia="Times New Roman" w:hAnsi="Times New Roman" w:cs="Times New Roman"/>
                <w:color w:val="000000"/>
                <w:sz w:val="20"/>
                <w:szCs w:val="20"/>
                <w:lang w:eastAsia="en-ZA"/>
              </w:rPr>
              <w:t>.</w:t>
            </w:r>
          </w:p>
          <w:p w14:paraId="1920EEB7" w14:textId="77777777" w:rsidR="002D7080" w:rsidRPr="004D1E6F" w:rsidRDefault="002D7080" w:rsidP="002E2C37">
            <w:pPr>
              <w:ind w:left="540" w:hanging="540"/>
              <w:jc w:val="both"/>
              <w:rPr>
                <w:rFonts w:ascii="Times New Roman" w:eastAsia="Times New Roman" w:hAnsi="Times New Roman" w:cs="Times New Roman"/>
                <w:color w:val="000000"/>
                <w:sz w:val="20"/>
                <w:szCs w:val="20"/>
                <w:lang w:eastAsia="en-ZA"/>
              </w:rPr>
            </w:pPr>
          </w:p>
        </w:tc>
      </w:tr>
    </w:tbl>
    <w:p w14:paraId="0B3A3ACF" w14:textId="77777777" w:rsidR="002D7080" w:rsidRPr="004D1E6F" w:rsidRDefault="002D7080" w:rsidP="002D7080">
      <w:pPr>
        <w:spacing w:after="0" w:line="240" w:lineRule="auto"/>
        <w:rPr>
          <w:rFonts w:ascii="Times New Roman" w:eastAsia="Calibri" w:hAnsi="Times New Roman" w:cs="Times New Roman"/>
          <w:b/>
          <w:sz w:val="24"/>
          <w:szCs w:val="24"/>
        </w:rPr>
      </w:pPr>
    </w:p>
    <w:p w14:paraId="53EEBCAA" w14:textId="77777777" w:rsidR="002D7080" w:rsidRDefault="002D7080" w:rsidP="002D7080">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08C898B5" w14:textId="77777777" w:rsidR="002D7080" w:rsidRPr="004D1E6F" w:rsidRDefault="002D7080" w:rsidP="002D7080">
      <w:pPr>
        <w:spacing w:after="0" w:line="240" w:lineRule="auto"/>
        <w:rPr>
          <w:rFonts w:ascii="Times New Roman" w:eastAsia="Calibri" w:hAnsi="Times New Roman" w:cs="Times New Roman"/>
          <w:b/>
          <w:sz w:val="24"/>
          <w:szCs w:val="24"/>
        </w:rPr>
      </w:pPr>
    </w:p>
    <w:p w14:paraId="12970E28" w14:textId="77777777" w:rsidR="002D7080" w:rsidRPr="004D1E6F" w:rsidRDefault="002D7080" w:rsidP="002D7080">
      <w:pPr>
        <w:spacing w:after="0" w:line="240" w:lineRule="auto"/>
        <w:rPr>
          <w:rFonts w:ascii="Times New Roman" w:eastAsia="Calibri" w:hAnsi="Times New Roman" w:cs="Times New Roman"/>
          <w:b/>
          <w:sz w:val="24"/>
          <w:szCs w:val="24"/>
        </w:rPr>
      </w:pPr>
      <w:r w:rsidRPr="004D1E6F">
        <w:rPr>
          <w:rFonts w:ascii="Times New Roman" w:eastAsia="Times New Roman" w:hAnsi="Times New Roman" w:cs="Times New Roman"/>
          <w:b/>
          <w:color w:val="000000"/>
          <w:sz w:val="20"/>
          <w:szCs w:val="20"/>
          <w:lang w:eastAsia="en-ZA"/>
        </w:rPr>
        <w:t>4. Management</w:t>
      </w:r>
    </w:p>
    <w:p w14:paraId="4806C310"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8"/>
        <w:tblW w:w="8928" w:type="dxa"/>
        <w:tblLook w:val="04A0" w:firstRow="1" w:lastRow="0" w:firstColumn="1" w:lastColumn="0" w:noHBand="0" w:noVBand="1"/>
      </w:tblPr>
      <w:tblGrid>
        <w:gridCol w:w="5240"/>
        <w:gridCol w:w="3688"/>
      </w:tblGrid>
      <w:tr w:rsidR="002D7080" w:rsidRPr="004D1E6F" w14:paraId="3A27C3A9" w14:textId="77777777" w:rsidTr="002E2C37">
        <w:trPr>
          <w:trHeight w:val="242"/>
        </w:trPr>
        <w:tc>
          <w:tcPr>
            <w:tcW w:w="8928" w:type="dxa"/>
            <w:gridSpan w:val="2"/>
            <w:shd w:val="clear" w:color="auto" w:fill="F2F2F2" w:themeFill="background1" w:themeFillShade="F2"/>
          </w:tcPr>
          <w:p w14:paraId="46760EEF"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MAN1 What is the feasibility to stop future immigration?</w:t>
            </w:r>
          </w:p>
        </w:tc>
      </w:tr>
      <w:tr w:rsidR="002D7080" w:rsidRPr="004D1E6F" w14:paraId="4F835708" w14:textId="77777777" w:rsidTr="002E2C37">
        <w:trPr>
          <w:trHeight w:val="172"/>
        </w:trPr>
        <w:tc>
          <w:tcPr>
            <w:tcW w:w="5240" w:type="dxa"/>
          </w:tcPr>
          <w:p w14:paraId="228A0642"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High</w:t>
            </w:r>
          </w:p>
        </w:tc>
        <w:tc>
          <w:tcPr>
            <w:tcW w:w="3688" w:type="dxa"/>
          </w:tcPr>
          <w:p w14:paraId="241EDFF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532C9EA5" w14:textId="77777777" w:rsidTr="002E2C37">
        <w:trPr>
          <w:trHeight w:val="343"/>
        </w:trPr>
        <w:tc>
          <w:tcPr>
            <w:tcW w:w="8928" w:type="dxa"/>
            <w:gridSpan w:val="2"/>
          </w:tcPr>
          <w:p w14:paraId="7CAEA63E"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iCs/>
                <w:sz w:val="20"/>
                <w:szCs w:val="20"/>
                <w:lang w:eastAsia="en-ZA"/>
              </w:rPr>
              <w:t xml:space="preserve">Faxonius juvenilis </w:t>
            </w:r>
            <w:r w:rsidRPr="004D1E6F">
              <w:rPr>
                <w:rFonts w:ascii="Times New Roman" w:eastAsia="Times New Roman" w:hAnsi="Times New Roman" w:cs="Times New Roman"/>
                <w:sz w:val="20"/>
                <w:szCs w:val="20"/>
                <w:lang w:eastAsia="en-ZA"/>
              </w:rPr>
              <w:t>is absent in neighbouring countries, so unaided immigration is unlikely. Moreover, it should be possible to regulate intentional introductions through legislative regulations and having an effective border surveillance and monitoring strategy (Zengeya &amp; Wilson 2020</w:t>
            </w:r>
            <w:r>
              <w:rPr>
                <w:rFonts w:ascii="Times New Roman" w:eastAsia="Times New Roman" w:hAnsi="Times New Roman" w:cs="Times New Roman"/>
                <w:sz w:val="20"/>
                <w:szCs w:val="20"/>
                <w:lang w:eastAsia="en-ZA"/>
              </w:rPr>
              <w:t>, Wilson and Kumschick 2024</w:t>
            </w:r>
            <w:r w:rsidRPr="004D1E6F">
              <w:rPr>
                <w:rFonts w:ascii="Times New Roman" w:eastAsia="Times New Roman" w:hAnsi="Times New Roman" w:cs="Times New Roman"/>
                <w:sz w:val="20"/>
                <w:szCs w:val="20"/>
                <w:lang w:eastAsia="en-ZA"/>
              </w:rPr>
              <w:t>).</w:t>
            </w:r>
          </w:p>
        </w:tc>
      </w:tr>
      <w:tr w:rsidR="002D7080" w:rsidRPr="004D1E6F" w14:paraId="6FB0AAD8" w14:textId="77777777" w:rsidTr="002E2C37">
        <w:trPr>
          <w:trHeight w:val="343"/>
        </w:trPr>
        <w:tc>
          <w:tcPr>
            <w:tcW w:w="8928" w:type="dxa"/>
            <w:gridSpan w:val="2"/>
          </w:tcPr>
          <w:p w14:paraId="71CEFF2C" w14:textId="77777777" w:rsidR="002D7080" w:rsidRPr="004D1E6F" w:rsidRDefault="002D7080" w:rsidP="006770EA">
            <w:pPr>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2D203605" w14:textId="77777777" w:rsidR="002D7080" w:rsidRDefault="002D7080" w:rsidP="006770EA">
            <w:pPr>
              <w:ind w:left="450" w:hanging="45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Zengeya, T.A. &amp; Wilson, J.R., (eds.) 2020, </w:t>
            </w:r>
            <w:r w:rsidRPr="004D1E6F">
              <w:rPr>
                <w:rFonts w:ascii="Times New Roman" w:eastAsia="Times New Roman" w:hAnsi="Times New Roman" w:cs="Times New Roman"/>
                <w:i/>
                <w:iCs/>
                <w:sz w:val="20"/>
                <w:szCs w:val="20"/>
                <w:lang w:eastAsia="en-ZA"/>
              </w:rPr>
              <w:t>The status of biological invasions and their management in South Africa in 2019</w:t>
            </w:r>
            <w:r w:rsidRPr="004D1E6F">
              <w:rPr>
                <w:rFonts w:ascii="Times New Roman" w:eastAsia="Times New Roman" w:hAnsi="Times New Roman" w:cs="Times New Roman"/>
                <w:sz w:val="20"/>
                <w:szCs w:val="20"/>
                <w:lang w:eastAsia="en-ZA"/>
              </w:rPr>
              <w:t xml:space="preserve">, pp.71, South African National Biodiversity Institute, Kirstenbosch and DSI-NRF Centre of Excellence for Invasion Biology, Stellenbosch. </w:t>
            </w:r>
            <w:hyperlink w:history="1">
              <w:r w:rsidRPr="00EA3BA7">
                <w:rPr>
                  <w:rStyle w:val="Hyperlink"/>
                  <w:rFonts w:ascii="Times New Roman" w:eastAsia="Times New Roman" w:hAnsi="Times New Roman" w:cs="Times New Roman"/>
                  <w:sz w:val="20"/>
                  <w:szCs w:val="20"/>
                  <w:lang w:eastAsia="en-ZA"/>
                </w:rPr>
                <w:t>http://dx.doi.org/10.5281/zenodo.3947613</w:t>
              </w:r>
            </w:hyperlink>
            <w:r w:rsidRPr="004D1E6F">
              <w:rPr>
                <w:rFonts w:ascii="Times New Roman" w:eastAsia="Times New Roman" w:hAnsi="Times New Roman" w:cs="Times New Roman"/>
                <w:sz w:val="20"/>
                <w:szCs w:val="20"/>
                <w:lang w:eastAsia="en-ZA"/>
              </w:rPr>
              <w:t>.</w:t>
            </w:r>
          </w:p>
          <w:p w14:paraId="47C51B2F" w14:textId="77777777" w:rsidR="002D7080" w:rsidRPr="00060AF7" w:rsidRDefault="002D7080" w:rsidP="006770EA">
            <w:pPr>
              <w:ind w:left="450" w:hanging="450"/>
              <w:contextualSpacing/>
              <w:jc w:val="both"/>
              <w:rPr>
                <w:rFonts w:ascii="Times New Roman" w:eastAsia="Times New Roman" w:hAnsi="Times New Roman" w:cs="Times New Roman"/>
                <w:color w:val="000000"/>
                <w:sz w:val="20"/>
                <w:szCs w:val="20"/>
                <w:lang w:eastAsia="en-ZA"/>
              </w:rPr>
            </w:pPr>
            <w:r w:rsidRPr="009048FD">
              <w:rPr>
                <w:rFonts w:ascii="Times New Roman" w:hAnsi="Times New Roman" w:cs="Times New Roman"/>
                <w:sz w:val="20"/>
                <w:szCs w:val="20"/>
                <w:shd w:val="clear" w:color="auto" w:fill="FFFFFF"/>
              </w:rPr>
              <w:t xml:space="preserve">Wilson, J. R., &amp; Kumschick, S., 2024, ‘The regulation of alien species in South Africa’, </w:t>
            </w:r>
            <w:r w:rsidRPr="009048FD">
              <w:rPr>
                <w:rFonts w:ascii="Times New Roman" w:hAnsi="Times New Roman" w:cs="Times New Roman"/>
                <w:i/>
                <w:iCs/>
                <w:sz w:val="20"/>
                <w:szCs w:val="20"/>
                <w:shd w:val="clear" w:color="auto" w:fill="FFFFFF"/>
              </w:rPr>
              <w:t>South African Journal of Science</w:t>
            </w:r>
            <w:r w:rsidRPr="009048FD">
              <w:rPr>
                <w:rFonts w:ascii="Times New Roman" w:hAnsi="Times New Roman" w:cs="Times New Roman"/>
                <w:sz w:val="20"/>
                <w:szCs w:val="20"/>
                <w:shd w:val="clear" w:color="auto" w:fill="FFFFFF"/>
              </w:rPr>
              <w:t>, 120(5/6).</w:t>
            </w:r>
            <w:r>
              <w:rPr>
                <w:rFonts w:ascii="Times New Roman" w:hAnsi="Times New Roman" w:cs="Times New Roman"/>
                <w:sz w:val="20"/>
                <w:szCs w:val="20"/>
                <w:shd w:val="clear" w:color="auto" w:fill="FFFFFF"/>
              </w:rPr>
              <w:t xml:space="preserve"> </w:t>
            </w:r>
            <w:hyperlink r:id="rId256" w:history="1">
              <w:r w:rsidRPr="009048FD">
                <w:rPr>
                  <w:rStyle w:val="Hyperlink"/>
                  <w:rFonts w:ascii="Times New Roman" w:hAnsi="Times New Roman" w:cs="Times New Roman"/>
                  <w:sz w:val="20"/>
                  <w:szCs w:val="20"/>
                  <w:shd w:val="clear" w:color="auto" w:fill="FFFFFF"/>
                </w:rPr>
                <w:t>https://doi.org/10.17159/sajs.2024/17002</w:t>
              </w:r>
            </w:hyperlink>
            <w:r>
              <w:rPr>
                <w:rFonts w:ascii="Times New Roman" w:hAnsi="Times New Roman" w:cs="Times New Roman"/>
                <w:sz w:val="20"/>
                <w:szCs w:val="20"/>
                <w:shd w:val="clear" w:color="auto" w:fill="FFFFFF"/>
              </w:rPr>
              <w:t>.</w:t>
            </w:r>
          </w:p>
        </w:tc>
      </w:tr>
    </w:tbl>
    <w:p w14:paraId="67971953"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8"/>
        <w:tblW w:w="8928" w:type="dxa"/>
        <w:tblLook w:val="04A0" w:firstRow="1" w:lastRow="0" w:firstColumn="1" w:lastColumn="0" w:noHBand="0" w:noVBand="1"/>
      </w:tblPr>
      <w:tblGrid>
        <w:gridCol w:w="5240"/>
        <w:gridCol w:w="3688"/>
      </w:tblGrid>
      <w:tr w:rsidR="002D7080" w:rsidRPr="004D1E6F" w14:paraId="43FE8682" w14:textId="77777777" w:rsidTr="002E2C37">
        <w:trPr>
          <w:trHeight w:val="152"/>
        </w:trPr>
        <w:tc>
          <w:tcPr>
            <w:tcW w:w="8928" w:type="dxa"/>
            <w:gridSpan w:val="2"/>
            <w:shd w:val="clear" w:color="auto" w:fill="F2F2F2" w:themeFill="background1" w:themeFillShade="F2"/>
          </w:tcPr>
          <w:p w14:paraId="2AB384E8"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MAN2 Benefits of the Taxon</w:t>
            </w:r>
          </w:p>
        </w:tc>
      </w:tr>
      <w:tr w:rsidR="002D7080" w:rsidRPr="004D1E6F" w14:paraId="06150D2A" w14:textId="77777777" w:rsidTr="002E2C37">
        <w:trPr>
          <w:trHeight w:val="188"/>
        </w:trPr>
        <w:tc>
          <w:tcPr>
            <w:tcW w:w="8928" w:type="dxa"/>
            <w:gridSpan w:val="2"/>
            <w:shd w:val="clear" w:color="auto" w:fill="F2F2F2" w:themeFill="background1" w:themeFillShade="F2"/>
          </w:tcPr>
          <w:p w14:paraId="167AF4FB"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 xml:space="preserve">MAN2a Socio-economic benefits of the </w:t>
            </w:r>
            <w:r w:rsidRPr="004D1E6F">
              <w:rPr>
                <w:rFonts w:ascii="Times New Roman" w:eastAsia="Times New Roman" w:hAnsi="Times New Roman" w:cs="Times New Roman"/>
                <w:b/>
                <w:i/>
                <w:color w:val="000000"/>
                <w:sz w:val="20"/>
                <w:szCs w:val="20"/>
                <w:lang w:eastAsia="en-ZA"/>
              </w:rPr>
              <w:t>Taxon</w:t>
            </w:r>
          </w:p>
        </w:tc>
      </w:tr>
      <w:tr w:rsidR="002D7080" w:rsidRPr="004D1E6F" w14:paraId="1D7F7D35" w14:textId="77777777" w:rsidTr="002E2C37">
        <w:trPr>
          <w:trHeight w:val="172"/>
        </w:trPr>
        <w:tc>
          <w:tcPr>
            <w:tcW w:w="5240" w:type="dxa"/>
          </w:tcPr>
          <w:p w14:paraId="70A6BEC6"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Low</w:t>
            </w:r>
          </w:p>
        </w:tc>
        <w:tc>
          <w:tcPr>
            <w:tcW w:w="3688" w:type="dxa"/>
          </w:tcPr>
          <w:p w14:paraId="47F1ACD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Low </w:t>
            </w:r>
          </w:p>
        </w:tc>
      </w:tr>
      <w:tr w:rsidR="002D7080" w:rsidRPr="004D1E6F" w14:paraId="10EC07DF" w14:textId="77777777" w:rsidTr="002E2C37">
        <w:trPr>
          <w:trHeight w:val="343"/>
        </w:trPr>
        <w:tc>
          <w:tcPr>
            <w:tcW w:w="8928" w:type="dxa"/>
            <w:gridSpan w:val="2"/>
          </w:tcPr>
          <w:p w14:paraId="3EF32555" w14:textId="339127CB"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iCs/>
                <w:sz w:val="20"/>
                <w:szCs w:val="20"/>
                <w:lang w:eastAsia="en-ZA"/>
              </w:rPr>
              <w:t xml:space="preserve">Faxonius juvenilis </w:t>
            </w:r>
            <w:r w:rsidRPr="004D1E6F">
              <w:rPr>
                <w:rFonts w:ascii="Times New Roman" w:eastAsia="Times New Roman" w:hAnsi="Times New Roman" w:cs="Times New Roman"/>
                <w:sz w:val="20"/>
                <w:szCs w:val="20"/>
                <w:lang w:eastAsia="en-ZA"/>
              </w:rPr>
              <w:t xml:space="preserve">is used as a bait species among anglers in the USA and it was intentional introduced for human consumption in France (Taylor 2000; Chucholl &amp; Daude 2008). </w:t>
            </w:r>
            <w:r w:rsidRPr="004D1E6F">
              <w:rPr>
                <w:rFonts w:ascii="Times New Roman" w:eastAsia="Times New Roman" w:hAnsi="Times New Roman" w:cs="Times New Roman"/>
                <w:color w:val="000000"/>
                <w:sz w:val="20"/>
                <w:szCs w:val="20"/>
                <w:lang w:eastAsia="en-ZA"/>
              </w:rPr>
              <w:t xml:space="preserve">No socio-economic benefits have been recorded to date in South Africa and even if </w:t>
            </w:r>
            <w:r w:rsidRPr="004D1E6F">
              <w:rPr>
                <w:rFonts w:ascii="Times New Roman" w:eastAsia="Times New Roman" w:hAnsi="Times New Roman" w:cs="Times New Roman"/>
                <w:i/>
                <w:color w:val="000000"/>
                <w:sz w:val="20"/>
                <w:szCs w:val="20"/>
                <w:lang w:eastAsia="en-ZA"/>
              </w:rPr>
              <w:t>F.</w:t>
            </w:r>
            <w:r w:rsidR="00A63A27">
              <w:rPr>
                <w:rFonts w:ascii="Times New Roman" w:eastAsia="Times New Roman" w:hAnsi="Times New Roman" w:cs="Times New Roman"/>
                <w:i/>
                <w:color w:val="000000"/>
                <w:sz w:val="20"/>
                <w:szCs w:val="20"/>
                <w:lang w:eastAsia="en-ZA"/>
              </w:rPr>
              <w:t>juvenilis</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is present the benefits are likely to be low (Madzivanzira et al. 2021).</w:t>
            </w:r>
          </w:p>
        </w:tc>
      </w:tr>
      <w:tr w:rsidR="002D7080" w:rsidRPr="004D1E6F" w14:paraId="6566C029" w14:textId="77777777" w:rsidTr="002E2C37">
        <w:trPr>
          <w:trHeight w:val="343"/>
        </w:trPr>
        <w:tc>
          <w:tcPr>
            <w:tcW w:w="8928" w:type="dxa"/>
            <w:gridSpan w:val="2"/>
          </w:tcPr>
          <w:p w14:paraId="49F6AF42"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17AE4820" w14:textId="56713E44" w:rsidR="002D7080" w:rsidRPr="004D1E6F" w:rsidRDefault="002D7080" w:rsidP="002E2C37">
            <w:pPr>
              <w:tabs>
                <w:tab w:val="left" w:pos="180"/>
              </w:tabs>
              <w:ind w:left="525" w:hanging="525"/>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Chucholl</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C</w:t>
            </w:r>
            <w:r>
              <w:rPr>
                <w:rFonts w:ascii="Times New Roman" w:eastAsia="Times New Roman" w:hAnsi="Times New Roman" w:cs="Times New Roman"/>
                <w:sz w:val="20"/>
                <w:szCs w:val="20"/>
                <w:lang w:eastAsia="en-ZA"/>
              </w:rPr>
              <w:t>. &amp;</w:t>
            </w:r>
            <w:r w:rsidRPr="004D1E6F">
              <w:rPr>
                <w:rFonts w:ascii="Times New Roman" w:eastAsia="Times New Roman" w:hAnsi="Times New Roman" w:cs="Times New Roman"/>
                <w:sz w:val="20"/>
                <w:szCs w:val="20"/>
                <w:lang w:eastAsia="en-ZA"/>
              </w:rPr>
              <w:t xml:space="preserve"> Daude, T.</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2008</w:t>
            </w:r>
            <w:r>
              <w:rPr>
                <w:rFonts w:ascii="Times New Roman" w:eastAsia="Times New Roman" w:hAnsi="Times New Roman" w:cs="Times New Roman"/>
                <w:sz w:val="20"/>
                <w:szCs w:val="20"/>
                <w:lang w:eastAsia="en-ZA"/>
              </w:rPr>
              <w:t>, ‘</w:t>
            </w:r>
            <w:r w:rsidRPr="004D1E6F">
              <w:rPr>
                <w:rFonts w:ascii="Times New Roman" w:eastAsia="Times New Roman" w:hAnsi="Times New Roman" w:cs="Times New Roman"/>
                <w:sz w:val="20"/>
                <w:szCs w:val="20"/>
                <w:lang w:eastAsia="en-ZA"/>
              </w:rPr>
              <w:t xml:space="preserve">First record of </w:t>
            </w:r>
            <w:r w:rsidRPr="004D1E6F">
              <w:rPr>
                <w:rFonts w:ascii="Times New Roman" w:eastAsia="Times New Roman" w:hAnsi="Times New Roman" w:cs="Times New Roman"/>
                <w:i/>
                <w:sz w:val="20"/>
                <w:szCs w:val="20"/>
                <w:lang w:eastAsia="en-ZA"/>
              </w:rPr>
              <w:t>Orconectes juvenilis</w:t>
            </w:r>
            <w:r w:rsidRPr="004D1E6F">
              <w:rPr>
                <w:rFonts w:ascii="Times New Roman" w:eastAsia="Times New Roman" w:hAnsi="Times New Roman" w:cs="Times New Roman"/>
                <w:sz w:val="20"/>
                <w:szCs w:val="20"/>
                <w:lang w:eastAsia="en-ZA"/>
              </w:rPr>
              <w:t xml:space="preserve"> (Hagen, 1870) in eastern France: update to the species identity of a recently introduced orconectid crayfish (Crustacea: Astacida)</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Aquatic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3</w:t>
            </w:r>
            <w:r w:rsidRPr="004D1E6F">
              <w:rPr>
                <w:rFonts w:ascii="Times New Roman" w:eastAsia="Times New Roman" w:hAnsi="Times New Roman" w:cs="Times New Roman"/>
                <w:sz w:val="20"/>
                <w:szCs w:val="20"/>
                <w:lang w:eastAsia="en-ZA"/>
              </w:rPr>
              <w:t>:105–107</w:t>
            </w:r>
            <w:r w:rsidR="00084285">
              <w:rPr>
                <w:rFonts w:ascii="Times New Roman" w:eastAsia="Times New Roman" w:hAnsi="Times New Roman" w:cs="Times New Roman"/>
                <w:sz w:val="20"/>
                <w:szCs w:val="20"/>
                <w:lang w:eastAsia="en-ZA"/>
              </w:rPr>
              <w:t>,</w:t>
            </w:r>
            <w:r>
              <w:rPr>
                <w:rFonts w:ascii="Times New Roman" w:eastAsia="Times New Roman" w:hAnsi="Times New Roman" w:cs="Times New Roman"/>
                <w:color w:val="0000FF"/>
                <w:sz w:val="20"/>
                <w:szCs w:val="20"/>
                <w:lang w:eastAsia="en-ZA"/>
              </w:rPr>
              <w:t xml:space="preserve"> </w:t>
            </w:r>
            <w:r w:rsidR="00084285">
              <w:rPr>
                <w:rFonts w:ascii="Times New Roman" w:eastAsia="Times New Roman" w:hAnsi="Times New Roman" w:cs="Times New Roman"/>
                <w:color w:val="0000FF"/>
                <w:sz w:val="20"/>
                <w:szCs w:val="20"/>
                <w:lang w:eastAsia="en-ZA"/>
              </w:rPr>
              <w:t xml:space="preserve"> </w:t>
            </w:r>
            <w:hyperlink r:id="rId257" w:history="1">
              <w:r w:rsidR="00084285" w:rsidRPr="00110E6A">
                <w:rPr>
                  <w:rStyle w:val="Hyperlink"/>
                  <w:rFonts w:ascii="Times New Roman" w:eastAsia="Times New Roman" w:hAnsi="Times New Roman" w:cs="Times New Roman"/>
                  <w:sz w:val="20"/>
                  <w:szCs w:val="20"/>
                  <w:lang w:eastAsia="en-ZA"/>
                </w:rPr>
                <w:t>https://doi.org/</w:t>
              </w:r>
              <w:r w:rsidR="00084285" w:rsidRPr="00110E6A">
                <w:rPr>
                  <w:rStyle w:val="Hyperlink"/>
                  <w:rFonts w:ascii="Times New Roman" w:hAnsi="Times New Roman" w:cs="Times New Roman"/>
                  <w:sz w:val="20"/>
                  <w:szCs w:val="20"/>
                </w:rPr>
                <w:t>10.3391/ai.2008.3.1.19</w:t>
              </w:r>
            </w:hyperlink>
            <w:r w:rsidR="00084285">
              <w:rPr>
                <w:rFonts w:ascii="Times New Roman" w:hAnsi="Times New Roman" w:cs="Times New Roman"/>
                <w:sz w:val="20"/>
                <w:szCs w:val="20"/>
              </w:rPr>
              <w:t xml:space="preserve"> </w:t>
            </w:r>
          </w:p>
          <w:p w14:paraId="1411C29A" w14:textId="77777777" w:rsidR="002D7080" w:rsidRPr="004D1E6F" w:rsidRDefault="002D7080" w:rsidP="002E2C37">
            <w:pPr>
              <w:ind w:left="450" w:hanging="450"/>
              <w:contextualSpacing/>
              <w:jc w:val="both"/>
              <w:rPr>
                <w:rFonts w:ascii="Times New Roman" w:hAnsi="Times New Roman" w:cs="Times New Roman"/>
                <w:color w:val="000000"/>
                <w:sz w:val="20"/>
                <w:szCs w:val="20"/>
              </w:rPr>
            </w:pPr>
            <w:r w:rsidRPr="004D1E6F">
              <w:rPr>
                <w:rFonts w:ascii="Times New Roman" w:hAnsi="Times New Roman" w:cs="Times New Roman"/>
                <w:color w:val="000000"/>
                <w:sz w:val="20"/>
                <w:szCs w:val="20"/>
              </w:rPr>
              <w:t>Taylor, C.A.</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2000</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Systematic studies of the </w:t>
            </w:r>
            <w:r w:rsidRPr="004D1E6F">
              <w:rPr>
                <w:rStyle w:val="Emphasis"/>
                <w:rFonts w:ascii="Times New Roman" w:hAnsi="Times New Roman" w:cs="Times New Roman"/>
                <w:color w:val="000000"/>
                <w:sz w:val="20"/>
                <w:szCs w:val="20"/>
              </w:rPr>
              <w:t>Orconectes juvenilis</w:t>
            </w:r>
            <w:r w:rsidRPr="004D1E6F">
              <w:rPr>
                <w:rFonts w:ascii="Times New Roman" w:hAnsi="Times New Roman" w:cs="Times New Roman"/>
                <w:color w:val="000000"/>
                <w:sz w:val="20"/>
                <w:szCs w:val="20"/>
              </w:rPr>
              <w:t> complex (Decapoda: Cambaridae), with descriptions of two new species</w:t>
            </w:r>
            <w:r>
              <w:rPr>
                <w:rFonts w:ascii="Times New Roman" w:hAnsi="Times New Roman" w:cs="Times New Roman"/>
                <w:color w:val="000000"/>
                <w:sz w:val="20"/>
                <w:szCs w:val="20"/>
              </w:rPr>
              <w:t>’,</w:t>
            </w:r>
            <w:r w:rsidRPr="004D1E6F">
              <w:rPr>
                <w:rFonts w:ascii="Times New Roman" w:hAnsi="Times New Roman" w:cs="Times New Roman"/>
                <w:color w:val="000000"/>
                <w:sz w:val="20"/>
                <w:szCs w:val="20"/>
              </w:rPr>
              <w:t xml:space="preserve"> </w:t>
            </w:r>
            <w:r w:rsidRPr="004D1E6F">
              <w:rPr>
                <w:rFonts w:ascii="Times New Roman" w:hAnsi="Times New Roman" w:cs="Times New Roman"/>
                <w:i/>
                <w:iCs/>
                <w:color w:val="000000"/>
                <w:sz w:val="20"/>
                <w:szCs w:val="20"/>
              </w:rPr>
              <w:t>Journal of Crustacean Biology</w:t>
            </w:r>
            <w:r w:rsidRPr="00A7564E">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20(1)</w:t>
            </w:r>
            <w:r>
              <w:rPr>
                <w:rFonts w:ascii="Times New Roman" w:hAnsi="Times New Roman" w:cs="Times New Roman"/>
                <w:color w:val="000000"/>
                <w:sz w:val="20"/>
                <w:szCs w:val="20"/>
              </w:rPr>
              <w:t xml:space="preserve">, </w:t>
            </w:r>
            <w:r w:rsidRPr="004D1E6F">
              <w:rPr>
                <w:rFonts w:ascii="Times New Roman" w:hAnsi="Times New Roman" w:cs="Times New Roman"/>
                <w:color w:val="000000"/>
                <w:sz w:val="20"/>
                <w:szCs w:val="20"/>
              </w:rPr>
              <w:t>132-152</w:t>
            </w:r>
            <w:r>
              <w:rPr>
                <w:rFonts w:ascii="Times New Roman" w:hAnsi="Times New Roman" w:cs="Times New Roman"/>
                <w:color w:val="000000"/>
                <w:sz w:val="20"/>
                <w:szCs w:val="20"/>
              </w:rPr>
              <w:t xml:space="preserve">.  </w:t>
            </w:r>
            <w:hyperlink r:id="rId258" w:history="1">
              <w:r w:rsidRPr="009048FD">
                <w:rPr>
                  <w:rStyle w:val="Hyperlink"/>
                  <w:rFonts w:ascii="Times New Roman" w:hAnsi="Times New Roman" w:cs="Times New Roman"/>
                  <w:sz w:val="20"/>
                  <w:szCs w:val="20"/>
                </w:rPr>
                <w:t>https://doi.org/10.1163/20021975-99990023</w:t>
              </w:r>
            </w:hyperlink>
            <w:r>
              <w:rPr>
                <w:rFonts w:ascii="Times New Roman" w:hAnsi="Times New Roman" w:cs="Times New Roman"/>
                <w:color w:val="000000"/>
                <w:sz w:val="20"/>
                <w:szCs w:val="20"/>
              </w:rPr>
              <w:t xml:space="preserve">.  </w:t>
            </w:r>
          </w:p>
          <w:p w14:paraId="086352A9" w14:textId="77777777" w:rsidR="002D7080" w:rsidRPr="004D1E6F" w:rsidRDefault="002D7080" w:rsidP="002E2C37">
            <w:pPr>
              <w:ind w:left="450" w:hanging="450"/>
              <w:contextualSpacing/>
              <w:jc w:val="both"/>
              <w:rPr>
                <w:rFonts w:ascii="Times New Roman" w:eastAsia="Times New Roman" w:hAnsi="Times New Roman" w:cs="Times New Roman"/>
                <w:color w:val="000000"/>
                <w:sz w:val="20"/>
                <w:szCs w:val="20"/>
                <w:lang w:eastAsia="en-ZA"/>
              </w:rPr>
            </w:pPr>
            <w:r w:rsidRPr="004D1E6F">
              <w:rPr>
                <w:rFonts w:ascii="Times New Roman" w:eastAsia="Calibri" w:hAnsi="Times New Roman" w:cs="Times New Roman"/>
                <w:sz w:val="20"/>
                <w:szCs w:val="20"/>
              </w:rPr>
              <w:t>Madzivanzira, T.C., South, J., Wood, L.E., Nunes, A.L.</w:t>
            </w:r>
            <w:r w:rsidRPr="004D1E6F">
              <w:rPr>
                <w:rFonts w:ascii="Times New Roman" w:eastAsia="Times New Roman" w:hAnsi="Times New Roman" w:cs="Times New Roman"/>
                <w:color w:val="000000"/>
                <w:sz w:val="20"/>
                <w:szCs w:val="20"/>
                <w:lang w:eastAsia="en-ZA"/>
              </w:rPr>
              <w:t xml:space="preserve"> &amp; </w:t>
            </w:r>
            <w:r w:rsidRPr="004D1E6F">
              <w:rPr>
                <w:rFonts w:ascii="Times New Roman" w:eastAsia="Calibri" w:hAnsi="Times New Roman" w:cs="Times New Roman"/>
                <w:sz w:val="20"/>
                <w:szCs w:val="20"/>
              </w:rPr>
              <w:t xml:space="preserve">Weyl, O.L.F., 2020, ‘A review of freshwater crayfish introductions in Africa’, </w:t>
            </w:r>
            <w:r w:rsidRPr="004D1E6F">
              <w:rPr>
                <w:rFonts w:ascii="Times New Roman" w:eastAsia="Calibri" w:hAnsi="Times New Roman" w:cs="Times New Roman"/>
                <w:i/>
                <w:sz w:val="20"/>
                <w:szCs w:val="20"/>
              </w:rPr>
              <w:t>Reviews in</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Calibri" w:hAnsi="Times New Roman" w:cs="Times New Roman"/>
                <w:i/>
                <w:sz w:val="20"/>
                <w:szCs w:val="20"/>
              </w:rPr>
              <w:t>Fisheries Science &amp; Aquaculture</w:t>
            </w:r>
            <w:r w:rsidRPr="004D1E6F">
              <w:rPr>
                <w:rFonts w:ascii="Times New Roman" w:eastAsia="Calibri" w:hAnsi="Times New Roman" w:cs="Times New Roman"/>
                <w:sz w:val="20"/>
                <w:szCs w:val="20"/>
              </w:rPr>
              <w:t>,</w:t>
            </w:r>
            <w:r w:rsidRPr="004D1E6F">
              <w:rPr>
                <w:rFonts w:ascii="Times New Roman" w:eastAsia="Calibri" w:hAnsi="Times New Roman" w:cs="Times New Roman"/>
                <w:i/>
                <w:sz w:val="20"/>
                <w:szCs w:val="20"/>
              </w:rPr>
              <w:t xml:space="preserve"> </w:t>
            </w:r>
            <w:r w:rsidRPr="004D1E6F">
              <w:rPr>
                <w:rFonts w:ascii="Times New Roman" w:eastAsia="Calibri" w:hAnsi="Times New Roman" w:cs="Times New Roman"/>
                <w:sz w:val="20"/>
                <w:szCs w:val="20"/>
              </w:rPr>
              <w:t xml:space="preserve">1-21. </w:t>
            </w:r>
            <w:hyperlink r:id="rId259" w:history="1">
              <w:r w:rsidRPr="000B0DAE">
                <w:rPr>
                  <w:rStyle w:val="Hyperlink"/>
                  <w:rFonts w:ascii="Times New Roman" w:eastAsia="Calibri" w:hAnsi="Times New Roman" w:cs="Times New Roman"/>
                  <w:sz w:val="20"/>
                  <w:szCs w:val="20"/>
                </w:rPr>
                <w:t>https://doi.org/</w:t>
              </w:r>
              <w:r w:rsidRPr="000B0DAE">
                <w:rPr>
                  <w:rStyle w:val="Hyperlink"/>
                  <w:rFonts w:ascii="Times New Roman" w:eastAsia="Times New Roman" w:hAnsi="Times New Roman" w:cs="Times New Roman"/>
                  <w:sz w:val="20"/>
                  <w:szCs w:val="20"/>
                  <w:lang w:eastAsia="en-ZA"/>
                </w:rPr>
                <w:t>10.1080/23308249.2020.1802405</w:t>
              </w:r>
            </w:hyperlink>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tc>
      </w:tr>
      <w:tr w:rsidR="002D7080" w:rsidRPr="004D1E6F" w14:paraId="7DCDF158" w14:textId="77777777" w:rsidTr="002E2C37">
        <w:trPr>
          <w:trHeight w:val="197"/>
        </w:trPr>
        <w:tc>
          <w:tcPr>
            <w:tcW w:w="8928" w:type="dxa"/>
            <w:gridSpan w:val="2"/>
            <w:shd w:val="clear" w:color="auto" w:fill="F2F2F2" w:themeFill="background1" w:themeFillShade="F2"/>
          </w:tcPr>
          <w:p w14:paraId="31E6C986" w14:textId="77777777" w:rsidR="002D7080" w:rsidRPr="004D1E6F" w:rsidRDefault="002D7080" w:rsidP="002E2C37">
            <w:pPr>
              <w:jc w:val="both"/>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 xml:space="preserve">MAN2b Environmental benefits of the </w:t>
            </w:r>
            <w:r w:rsidRPr="004D1E6F">
              <w:rPr>
                <w:rFonts w:ascii="Times New Roman" w:eastAsia="Times New Roman" w:hAnsi="Times New Roman" w:cs="Times New Roman"/>
                <w:b/>
                <w:i/>
                <w:color w:val="000000"/>
                <w:sz w:val="20"/>
                <w:szCs w:val="20"/>
                <w:lang w:eastAsia="en-ZA"/>
              </w:rPr>
              <w:t>Taxon</w:t>
            </w:r>
          </w:p>
        </w:tc>
      </w:tr>
      <w:tr w:rsidR="002D7080" w:rsidRPr="004D1E6F" w14:paraId="446FAF30" w14:textId="77777777" w:rsidTr="002E2C37">
        <w:trPr>
          <w:trHeight w:val="259"/>
        </w:trPr>
        <w:tc>
          <w:tcPr>
            <w:tcW w:w="5240" w:type="dxa"/>
          </w:tcPr>
          <w:p w14:paraId="60B0AABD"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Low </w:t>
            </w:r>
          </w:p>
        </w:tc>
        <w:tc>
          <w:tcPr>
            <w:tcW w:w="3688" w:type="dxa"/>
          </w:tcPr>
          <w:p w14:paraId="7492F28B"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High </w:t>
            </w:r>
          </w:p>
        </w:tc>
      </w:tr>
      <w:tr w:rsidR="002D7080" w:rsidRPr="004D1E6F" w14:paraId="2CF8CF0D" w14:textId="77777777" w:rsidTr="002E2C37">
        <w:trPr>
          <w:trHeight w:val="188"/>
        </w:trPr>
        <w:tc>
          <w:tcPr>
            <w:tcW w:w="8928" w:type="dxa"/>
            <w:gridSpan w:val="2"/>
          </w:tcPr>
          <w:p w14:paraId="0BA0A579"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sz w:val="20"/>
                <w:szCs w:val="20"/>
                <w:lang w:eastAsia="en-ZA"/>
              </w:rPr>
              <w:t xml:space="preserve">There are no recorded environmental benefits of </w:t>
            </w:r>
            <w:r w:rsidRPr="004D1E6F">
              <w:rPr>
                <w:rFonts w:ascii="Times New Roman" w:eastAsia="Times New Roman" w:hAnsi="Times New Roman" w:cs="Times New Roman"/>
                <w:i/>
                <w:sz w:val="20"/>
                <w:szCs w:val="20"/>
                <w:lang w:eastAsia="en-ZA"/>
              </w:rPr>
              <w:t>Faxonius juvenilis.</w:t>
            </w:r>
          </w:p>
        </w:tc>
      </w:tr>
      <w:tr w:rsidR="002D7080" w:rsidRPr="004D1E6F" w14:paraId="111ADE75" w14:textId="77777777" w:rsidTr="002E2C37">
        <w:trPr>
          <w:trHeight w:val="197"/>
        </w:trPr>
        <w:tc>
          <w:tcPr>
            <w:tcW w:w="8928" w:type="dxa"/>
            <w:gridSpan w:val="2"/>
          </w:tcPr>
          <w:p w14:paraId="602BF31F"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tc>
      </w:tr>
    </w:tbl>
    <w:p w14:paraId="4ED4DB16" w14:textId="77777777" w:rsidR="002D7080" w:rsidRPr="004D1E6F" w:rsidRDefault="002D7080" w:rsidP="002D7080">
      <w:pPr>
        <w:spacing w:after="0" w:line="240" w:lineRule="auto"/>
        <w:jc w:val="both"/>
        <w:rPr>
          <w:rFonts w:ascii="Times New Roman" w:eastAsia="Times New Roman" w:hAnsi="Times New Roman" w:cs="Times New Roman"/>
          <w:color w:val="000000"/>
          <w:sz w:val="20"/>
          <w:szCs w:val="20"/>
          <w:lang w:eastAsia="en-ZA"/>
        </w:rPr>
      </w:pPr>
    </w:p>
    <w:tbl>
      <w:tblPr>
        <w:tblStyle w:val="TableGrid8"/>
        <w:tblW w:w="8928" w:type="dxa"/>
        <w:tblLook w:val="04A0" w:firstRow="1" w:lastRow="0" w:firstColumn="1" w:lastColumn="0" w:noHBand="0" w:noVBand="1"/>
      </w:tblPr>
      <w:tblGrid>
        <w:gridCol w:w="5240"/>
        <w:gridCol w:w="3688"/>
      </w:tblGrid>
      <w:tr w:rsidR="002D7080" w:rsidRPr="004D1E6F" w14:paraId="45C73C02" w14:textId="77777777" w:rsidTr="002E2C37">
        <w:trPr>
          <w:trHeight w:val="197"/>
        </w:trPr>
        <w:tc>
          <w:tcPr>
            <w:tcW w:w="8928" w:type="dxa"/>
            <w:gridSpan w:val="2"/>
            <w:shd w:val="clear" w:color="auto" w:fill="F2F2F2" w:themeFill="background1" w:themeFillShade="F2"/>
          </w:tcPr>
          <w:p w14:paraId="56E5B7C1" w14:textId="77777777" w:rsidR="002D7080" w:rsidRPr="004D1E6F" w:rsidRDefault="002D7080" w:rsidP="002E2C37">
            <w:pPr>
              <w:jc w:val="both"/>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MAN3 Ease of management</w:t>
            </w:r>
          </w:p>
        </w:tc>
      </w:tr>
      <w:tr w:rsidR="002D7080" w:rsidRPr="004D1E6F" w14:paraId="061F63AC" w14:textId="77777777" w:rsidTr="002E2C37">
        <w:trPr>
          <w:trHeight w:val="143"/>
        </w:trPr>
        <w:tc>
          <w:tcPr>
            <w:tcW w:w="8928" w:type="dxa"/>
            <w:gridSpan w:val="2"/>
            <w:shd w:val="clear" w:color="auto" w:fill="F2F2F2" w:themeFill="background1" w:themeFillShade="F2"/>
          </w:tcPr>
          <w:p w14:paraId="0755EADA" w14:textId="77777777" w:rsidR="002D7080" w:rsidRPr="004D1E6F" w:rsidRDefault="002D7080" w:rsidP="002E2C37">
            <w:pPr>
              <w:jc w:val="both"/>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MAN3a How accessible are populations?</w:t>
            </w:r>
          </w:p>
        </w:tc>
      </w:tr>
      <w:tr w:rsidR="002D7080" w:rsidRPr="004D1E6F" w14:paraId="3A010725" w14:textId="77777777" w:rsidTr="002E2C37">
        <w:trPr>
          <w:trHeight w:val="183"/>
        </w:trPr>
        <w:tc>
          <w:tcPr>
            <w:tcW w:w="5240" w:type="dxa"/>
          </w:tcPr>
          <w:p w14:paraId="7D3F72FB"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2 (difficult to access)</w:t>
            </w:r>
          </w:p>
        </w:tc>
        <w:tc>
          <w:tcPr>
            <w:tcW w:w="3688" w:type="dxa"/>
          </w:tcPr>
          <w:p w14:paraId="062AFB8D"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328FA263" w14:textId="77777777" w:rsidTr="002E2C37">
        <w:trPr>
          <w:trHeight w:val="343"/>
        </w:trPr>
        <w:tc>
          <w:tcPr>
            <w:tcW w:w="8928" w:type="dxa"/>
            <w:gridSpan w:val="2"/>
          </w:tcPr>
          <w:p w14:paraId="547BF5C0"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Rationale:</w:t>
            </w:r>
            <w:r w:rsidRPr="004D1E6F">
              <w:rPr>
                <w:rFonts w:ascii="Times New Roman" w:eastAsia="Times New Roman" w:hAnsi="Times New Roman" w:cs="Times New Roman"/>
                <w:i/>
                <w:sz w:val="20"/>
                <w:szCs w:val="20"/>
                <w:lang w:eastAsia="en-ZA"/>
              </w:rPr>
              <w:t xml:space="preserve"> </w:t>
            </w:r>
            <w:r w:rsidRPr="004D1E6F">
              <w:rPr>
                <w:rFonts w:ascii="Times New Roman" w:eastAsia="Times New Roman" w:hAnsi="Times New Roman" w:cs="Times New Roman"/>
                <w:sz w:val="20"/>
                <w:szCs w:val="20"/>
                <w:lang w:eastAsia="en-ZA"/>
              </w:rPr>
              <w:t xml:space="preserve">There are no locality records for </w:t>
            </w:r>
            <w:r w:rsidRPr="004D1E6F">
              <w:rPr>
                <w:rFonts w:ascii="Times New Roman" w:eastAsia="Times New Roman" w:hAnsi="Times New Roman" w:cs="Times New Roman"/>
                <w:i/>
                <w:sz w:val="20"/>
                <w:szCs w:val="20"/>
                <w:lang w:eastAsia="en-ZA"/>
              </w:rPr>
              <w:t xml:space="preserve">Faxonius </w:t>
            </w:r>
            <w:r>
              <w:rPr>
                <w:rFonts w:ascii="Times New Roman" w:eastAsia="Times New Roman" w:hAnsi="Times New Roman" w:cs="Times New Roman"/>
                <w:i/>
                <w:sz w:val="20"/>
                <w:szCs w:val="20"/>
                <w:lang w:eastAsia="en-ZA"/>
              </w:rPr>
              <w:t>juvenilis</w:t>
            </w:r>
            <w:r w:rsidRPr="004D1E6F">
              <w:rPr>
                <w:rFonts w:ascii="Times New Roman" w:eastAsia="Times New Roman" w:hAnsi="Times New Roman" w:cs="Times New Roman"/>
                <w:sz w:val="20"/>
                <w:szCs w:val="20"/>
                <w:lang w:eastAsia="en-ZA"/>
              </w:rPr>
              <w:t xml:space="preserve"> in South Africa (Nunes et al. 2017). However, given that it is </w:t>
            </w:r>
            <w:r>
              <w:rPr>
                <w:rFonts w:ascii="Times New Roman" w:eastAsia="Times New Roman" w:hAnsi="Times New Roman" w:cs="Times New Roman"/>
                <w:sz w:val="20"/>
                <w:szCs w:val="20"/>
                <w:lang w:eastAsia="en-ZA"/>
              </w:rPr>
              <w:t xml:space="preserve">a small and </w:t>
            </w:r>
            <w:r w:rsidRPr="004D1E6F">
              <w:rPr>
                <w:rFonts w:ascii="Times New Roman" w:eastAsia="Times New Roman" w:hAnsi="Times New Roman" w:cs="Times New Roman"/>
                <w:sz w:val="20"/>
                <w:szCs w:val="20"/>
                <w:lang w:eastAsia="en-ZA"/>
              </w:rPr>
              <w:t>largely nocturnal aquatic species, accessibility is likely to be difficult</w:t>
            </w:r>
            <w:r>
              <w:rPr>
                <w:rFonts w:ascii="Times New Roman" w:eastAsia="Times New Roman" w:hAnsi="Times New Roman" w:cs="Times New Roman"/>
                <w:sz w:val="20"/>
                <w:szCs w:val="20"/>
                <w:lang w:eastAsia="en-ZA"/>
              </w:rPr>
              <w:t xml:space="preserve"> (Taylor et al. 2000)</w:t>
            </w:r>
            <w:r w:rsidRPr="004D1E6F">
              <w:rPr>
                <w:rFonts w:ascii="Times New Roman" w:eastAsia="Times New Roman" w:hAnsi="Times New Roman" w:cs="Times New Roman"/>
                <w:sz w:val="20"/>
                <w:szCs w:val="20"/>
                <w:lang w:eastAsia="en-ZA"/>
              </w:rPr>
              <w:t>.</w:t>
            </w:r>
          </w:p>
        </w:tc>
      </w:tr>
      <w:tr w:rsidR="002D7080" w:rsidRPr="004D1E6F" w14:paraId="480DDB6A" w14:textId="77777777" w:rsidTr="002E2C37">
        <w:trPr>
          <w:trHeight w:val="343"/>
        </w:trPr>
        <w:tc>
          <w:tcPr>
            <w:tcW w:w="8928" w:type="dxa"/>
            <w:gridSpan w:val="2"/>
          </w:tcPr>
          <w:p w14:paraId="4B558F6C" w14:textId="77777777" w:rsidR="002D7080" w:rsidRPr="004D1E6F" w:rsidRDefault="002D7080" w:rsidP="002E2C37">
            <w:pPr>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2C6C0BCF" w14:textId="77777777" w:rsidR="002D7080" w:rsidRPr="004D1E6F"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260" w:history="1">
              <w:r w:rsidRPr="000B0DAE">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tc>
      </w:tr>
      <w:tr w:rsidR="002D7080" w:rsidRPr="004D1E6F" w14:paraId="6D7ACA8D" w14:textId="77777777" w:rsidTr="002E2C37">
        <w:trPr>
          <w:trHeight w:val="242"/>
        </w:trPr>
        <w:tc>
          <w:tcPr>
            <w:tcW w:w="8928" w:type="dxa"/>
            <w:gridSpan w:val="2"/>
            <w:shd w:val="clear" w:color="auto" w:fill="F2F2F2" w:themeFill="background1" w:themeFillShade="F2"/>
          </w:tcPr>
          <w:p w14:paraId="56A75BD4"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MAN3b Is detectability critically time-dependent?</w:t>
            </w:r>
          </w:p>
        </w:tc>
      </w:tr>
      <w:tr w:rsidR="002D7080" w:rsidRPr="004D1E6F" w14:paraId="50159668" w14:textId="77777777" w:rsidTr="002E2C37">
        <w:trPr>
          <w:trHeight w:val="183"/>
        </w:trPr>
        <w:tc>
          <w:tcPr>
            <w:tcW w:w="5240" w:type="dxa"/>
          </w:tcPr>
          <w:p w14:paraId="1AB96AB4"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2 (yes)</w:t>
            </w:r>
          </w:p>
        </w:tc>
        <w:tc>
          <w:tcPr>
            <w:tcW w:w="3688" w:type="dxa"/>
          </w:tcPr>
          <w:p w14:paraId="563F290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High </w:t>
            </w:r>
          </w:p>
        </w:tc>
      </w:tr>
      <w:tr w:rsidR="002D7080" w:rsidRPr="004D1E6F" w14:paraId="69C0261E" w14:textId="77777777" w:rsidTr="002E2C37">
        <w:trPr>
          <w:trHeight w:val="343"/>
        </w:trPr>
        <w:tc>
          <w:tcPr>
            <w:tcW w:w="8928" w:type="dxa"/>
            <w:gridSpan w:val="2"/>
          </w:tcPr>
          <w:p w14:paraId="6737FBB4"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sz w:val="20"/>
                <w:szCs w:val="20"/>
                <w:lang w:eastAsia="en-ZA"/>
              </w:rPr>
              <w:t xml:space="preserve">Faxonius juvenilis </w:t>
            </w:r>
            <w:r w:rsidRPr="004D1E6F">
              <w:rPr>
                <w:rFonts w:ascii="Times New Roman" w:eastAsia="Times New Roman" w:hAnsi="Times New Roman" w:cs="Times New Roman"/>
                <w:sz w:val="20"/>
                <w:szCs w:val="20"/>
                <w:lang w:eastAsia="en-ZA"/>
              </w:rPr>
              <w:t>is a small, largely nocturnal freshwater species that is difficult to detect (</w:t>
            </w:r>
            <w:r w:rsidRPr="004D1E6F">
              <w:rPr>
                <w:rFonts w:ascii="Times New Roman" w:hAnsi="Times New Roman" w:cs="Times New Roman"/>
                <w:sz w:val="20"/>
                <w:szCs w:val="20"/>
                <w:shd w:val="clear" w:color="auto" w:fill="FFFFFF"/>
              </w:rPr>
              <w:t>Taylor &amp; Schuster 2004).</w:t>
            </w:r>
          </w:p>
        </w:tc>
      </w:tr>
      <w:tr w:rsidR="002D7080" w:rsidRPr="004D1E6F" w14:paraId="2F166FE1" w14:textId="77777777" w:rsidTr="002E2C37">
        <w:trPr>
          <w:trHeight w:val="440"/>
        </w:trPr>
        <w:tc>
          <w:tcPr>
            <w:tcW w:w="8928" w:type="dxa"/>
            <w:gridSpan w:val="2"/>
          </w:tcPr>
          <w:p w14:paraId="0B834529" w14:textId="77777777" w:rsidR="002D7080" w:rsidRPr="004D1E6F" w:rsidRDefault="002D7080" w:rsidP="002E2C37">
            <w:pPr>
              <w:ind w:left="450" w:hanging="45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4600FDD3" w14:textId="77777777" w:rsidR="002D7080" w:rsidRPr="004D1E6F" w:rsidRDefault="002D7080" w:rsidP="002E2C37">
            <w:pPr>
              <w:ind w:left="450" w:hanging="450"/>
              <w:jc w:val="both"/>
              <w:rPr>
                <w:rFonts w:ascii="Times New Roman" w:hAnsi="Times New Roman" w:cs="Times New Roman"/>
                <w:color w:val="000000"/>
                <w:sz w:val="20"/>
                <w:szCs w:val="20"/>
              </w:rPr>
            </w:pPr>
            <w:r w:rsidRPr="004D1E6F">
              <w:rPr>
                <w:rFonts w:ascii="Times New Roman" w:hAnsi="Times New Roman" w:cs="Times New Roman"/>
                <w:sz w:val="20"/>
                <w:szCs w:val="20"/>
                <w:shd w:val="clear" w:color="auto" w:fill="FFFFFF"/>
              </w:rPr>
              <w:t>Taylor</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 xml:space="preserve"> C</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A</w:t>
            </w:r>
            <w:r>
              <w:rPr>
                <w:rFonts w:ascii="Times New Roman" w:hAnsi="Times New Roman" w:cs="Times New Roman"/>
                <w:sz w:val="20"/>
                <w:szCs w:val="20"/>
                <w:shd w:val="clear" w:color="auto" w:fill="FFFFFF"/>
              </w:rPr>
              <w:t xml:space="preserve">. &amp; </w:t>
            </w:r>
            <w:r w:rsidRPr="004D1E6F">
              <w:rPr>
                <w:rFonts w:ascii="Times New Roman" w:hAnsi="Times New Roman" w:cs="Times New Roman"/>
                <w:sz w:val="20"/>
                <w:szCs w:val="20"/>
                <w:shd w:val="clear" w:color="auto" w:fill="FFFFFF"/>
              </w:rPr>
              <w:t>Schuster</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 xml:space="preserve"> G</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A</w:t>
            </w:r>
            <w:r>
              <w:rPr>
                <w:rFonts w:ascii="Times New Roman" w:hAnsi="Times New Roman" w:cs="Times New Roman"/>
                <w:sz w:val="20"/>
                <w:szCs w:val="20"/>
                <w:shd w:val="clear" w:color="auto" w:fill="FFFFFF"/>
              </w:rPr>
              <w:t xml:space="preserve">. </w:t>
            </w:r>
            <w:r w:rsidRPr="004D1E6F">
              <w:rPr>
                <w:rFonts w:ascii="Times New Roman" w:hAnsi="Times New Roman" w:cs="Times New Roman"/>
                <w:sz w:val="20"/>
                <w:szCs w:val="20"/>
                <w:shd w:val="clear" w:color="auto" w:fill="FFFFFF"/>
              </w:rPr>
              <w:t>2004</w:t>
            </w:r>
            <w:r>
              <w:rPr>
                <w:rFonts w:ascii="Times New Roman" w:hAnsi="Times New Roman" w:cs="Times New Roman"/>
                <w:sz w:val="20"/>
                <w:szCs w:val="20"/>
                <w:shd w:val="clear" w:color="auto" w:fill="FFFFFF"/>
              </w:rPr>
              <w:t>, ‘</w:t>
            </w:r>
            <w:r w:rsidRPr="004D1E6F">
              <w:rPr>
                <w:rFonts w:ascii="Times New Roman" w:hAnsi="Times New Roman" w:cs="Times New Roman"/>
                <w:sz w:val="20"/>
                <w:szCs w:val="20"/>
                <w:shd w:val="clear" w:color="auto" w:fill="FFFFFF"/>
              </w:rPr>
              <w:t>Crayfishes of Kentucky</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 xml:space="preserve"> Illinois Natural History Survey, Special Publication 28</w:t>
            </w:r>
            <w:r>
              <w:rPr>
                <w:rFonts w:ascii="Times New Roman" w:hAnsi="Times New Roman" w:cs="Times New Roman"/>
                <w:sz w:val="20"/>
                <w:szCs w:val="20"/>
                <w:shd w:val="clear" w:color="auto" w:fill="FFFFFF"/>
              </w:rPr>
              <w:t>.</w:t>
            </w:r>
          </w:p>
        </w:tc>
      </w:tr>
      <w:tr w:rsidR="002D7080" w:rsidRPr="004D1E6F" w14:paraId="3C3289D0" w14:textId="77777777" w:rsidTr="002E2C37">
        <w:trPr>
          <w:trHeight w:val="170"/>
        </w:trPr>
        <w:tc>
          <w:tcPr>
            <w:tcW w:w="8928" w:type="dxa"/>
            <w:gridSpan w:val="2"/>
            <w:shd w:val="clear" w:color="auto" w:fill="F2F2F2" w:themeFill="background1" w:themeFillShade="F2"/>
          </w:tcPr>
          <w:p w14:paraId="0ACED79E"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MAN3c Time to reproduction</w:t>
            </w:r>
          </w:p>
        </w:tc>
      </w:tr>
      <w:tr w:rsidR="002D7080" w:rsidRPr="004D1E6F" w14:paraId="7302ECC3" w14:textId="77777777" w:rsidTr="002E2C37">
        <w:trPr>
          <w:trHeight w:val="183"/>
        </w:trPr>
        <w:tc>
          <w:tcPr>
            <w:tcW w:w="5240" w:type="dxa"/>
          </w:tcPr>
          <w:p w14:paraId="79DDB9FD"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1 (1-3 years)</w:t>
            </w:r>
          </w:p>
        </w:tc>
        <w:tc>
          <w:tcPr>
            <w:tcW w:w="3688" w:type="dxa"/>
          </w:tcPr>
          <w:p w14:paraId="4A351F69"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45E42A05" w14:textId="77777777" w:rsidTr="002E2C37">
        <w:trPr>
          <w:trHeight w:val="287"/>
        </w:trPr>
        <w:tc>
          <w:tcPr>
            <w:tcW w:w="8928" w:type="dxa"/>
            <w:gridSpan w:val="2"/>
          </w:tcPr>
          <w:p w14:paraId="5241EB13" w14:textId="66552FC2"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sz w:val="20"/>
                <w:szCs w:val="20"/>
                <w:lang w:eastAsia="en-ZA"/>
              </w:rPr>
              <w:t xml:space="preserve">Faxonius </w:t>
            </w:r>
            <w:r w:rsidR="00405845">
              <w:rPr>
                <w:rFonts w:ascii="Times New Roman" w:eastAsia="Times New Roman" w:hAnsi="Times New Roman" w:cs="Times New Roman"/>
                <w:i/>
                <w:sz w:val="20"/>
                <w:szCs w:val="20"/>
                <w:lang w:eastAsia="en-ZA"/>
              </w:rPr>
              <w:t>juvenilis</w:t>
            </w:r>
            <w:r w:rsidR="00405845"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reach sexual maturity in one-two years (</w:t>
            </w:r>
            <w:r w:rsidRPr="004D1E6F">
              <w:rPr>
                <w:rFonts w:ascii="Times New Roman" w:hAnsi="Times New Roman" w:cs="Times New Roman"/>
                <w:sz w:val="20"/>
                <w:szCs w:val="20"/>
                <w:shd w:val="clear" w:color="auto" w:fill="FFFFFF"/>
              </w:rPr>
              <w:t>Taylor &amp; Schuster 2004)</w:t>
            </w:r>
            <w:r w:rsidRPr="004D1E6F">
              <w:rPr>
                <w:rFonts w:ascii="Times New Roman" w:eastAsia="Times New Roman" w:hAnsi="Times New Roman" w:cs="Times New Roman"/>
                <w:sz w:val="20"/>
                <w:szCs w:val="20"/>
                <w:lang w:eastAsia="en-ZA"/>
              </w:rPr>
              <w:t>.</w:t>
            </w:r>
          </w:p>
        </w:tc>
      </w:tr>
      <w:tr w:rsidR="002D7080" w:rsidRPr="004D1E6F" w14:paraId="15AD8603" w14:textId="77777777" w:rsidTr="002E2C37">
        <w:trPr>
          <w:trHeight w:val="343"/>
        </w:trPr>
        <w:tc>
          <w:tcPr>
            <w:tcW w:w="8928" w:type="dxa"/>
            <w:gridSpan w:val="2"/>
          </w:tcPr>
          <w:p w14:paraId="5D2CCDC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1ADFC5A2"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hAnsi="Times New Roman" w:cs="Times New Roman"/>
                <w:sz w:val="20"/>
                <w:szCs w:val="20"/>
                <w:shd w:val="clear" w:color="auto" w:fill="FFFFFF"/>
              </w:rPr>
              <w:t>Taylor</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 xml:space="preserve"> C</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A</w:t>
            </w:r>
            <w:r>
              <w:rPr>
                <w:rFonts w:ascii="Times New Roman" w:hAnsi="Times New Roman" w:cs="Times New Roman"/>
                <w:sz w:val="20"/>
                <w:szCs w:val="20"/>
                <w:shd w:val="clear" w:color="auto" w:fill="FFFFFF"/>
              </w:rPr>
              <w:t xml:space="preserve">. &amp; </w:t>
            </w:r>
            <w:r w:rsidRPr="004D1E6F">
              <w:rPr>
                <w:rFonts w:ascii="Times New Roman" w:hAnsi="Times New Roman" w:cs="Times New Roman"/>
                <w:sz w:val="20"/>
                <w:szCs w:val="20"/>
                <w:shd w:val="clear" w:color="auto" w:fill="FFFFFF"/>
              </w:rPr>
              <w:t>Schuster</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 xml:space="preserve"> G</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A</w:t>
            </w:r>
            <w:r>
              <w:rPr>
                <w:rFonts w:ascii="Times New Roman" w:hAnsi="Times New Roman" w:cs="Times New Roman"/>
                <w:sz w:val="20"/>
                <w:szCs w:val="20"/>
                <w:shd w:val="clear" w:color="auto" w:fill="FFFFFF"/>
              </w:rPr>
              <w:t xml:space="preserve">. </w:t>
            </w:r>
            <w:r w:rsidRPr="004D1E6F">
              <w:rPr>
                <w:rFonts w:ascii="Times New Roman" w:hAnsi="Times New Roman" w:cs="Times New Roman"/>
                <w:sz w:val="20"/>
                <w:szCs w:val="20"/>
                <w:shd w:val="clear" w:color="auto" w:fill="FFFFFF"/>
              </w:rPr>
              <w:t>2004</w:t>
            </w:r>
            <w:r>
              <w:rPr>
                <w:rFonts w:ascii="Times New Roman" w:hAnsi="Times New Roman" w:cs="Times New Roman"/>
                <w:sz w:val="20"/>
                <w:szCs w:val="20"/>
                <w:shd w:val="clear" w:color="auto" w:fill="FFFFFF"/>
              </w:rPr>
              <w:t>, ‘</w:t>
            </w:r>
            <w:r w:rsidRPr="004D1E6F">
              <w:rPr>
                <w:rFonts w:ascii="Times New Roman" w:hAnsi="Times New Roman" w:cs="Times New Roman"/>
                <w:sz w:val="20"/>
                <w:szCs w:val="20"/>
                <w:shd w:val="clear" w:color="auto" w:fill="FFFFFF"/>
              </w:rPr>
              <w:t>Crayfishes of Kentucky</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 xml:space="preserve"> Illinois Natural History Survey, Special Publication 28</w:t>
            </w:r>
            <w:r>
              <w:rPr>
                <w:rFonts w:ascii="Times New Roman" w:hAnsi="Times New Roman" w:cs="Times New Roman"/>
                <w:sz w:val="20"/>
                <w:szCs w:val="20"/>
                <w:shd w:val="clear" w:color="auto" w:fill="FFFFFF"/>
              </w:rPr>
              <w:t>.</w:t>
            </w:r>
          </w:p>
        </w:tc>
      </w:tr>
      <w:tr w:rsidR="002D7080" w:rsidRPr="004D1E6F" w14:paraId="7D189796" w14:textId="77777777" w:rsidTr="002E2C37">
        <w:trPr>
          <w:trHeight w:val="143"/>
        </w:trPr>
        <w:tc>
          <w:tcPr>
            <w:tcW w:w="8928" w:type="dxa"/>
            <w:gridSpan w:val="2"/>
            <w:shd w:val="clear" w:color="auto" w:fill="F2F2F2" w:themeFill="background1" w:themeFillShade="F2"/>
          </w:tcPr>
          <w:p w14:paraId="3CFAD05F"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MAN3d Propagule persistence</w:t>
            </w:r>
          </w:p>
        </w:tc>
      </w:tr>
      <w:tr w:rsidR="002D7080" w:rsidRPr="004D1E6F" w14:paraId="5415F348" w14:textId="77777777" w:rsidTr="002E2C37">
        <w:trPr>
          <w:trHeight w:val="183"/>
        </w:trPr>
        <w:tc>
          <w:tcPr>
            <w:tcW w:w="5240" w:type="dxa"/>
          </w:tcPr>
          <w:p w14:paraId="337C55D8"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0 (&lt; 1 year)</w:t>
            </w:r>
          </w:p>
        </w:tc>
        <w:tc>
          <w:tcPr>
            <w:tcW w:w="3688" w:type="dxa"/>
          </w:tcPr>
          <w:p w14:paraId="43F61F2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High </w:t>
            </w:r>
          </w:p>
        </w:tc>
      </w:tr>
      <w:tr w:rsidR="002D7080" w:rsidRPr="004D1E6F" w14:paraId="7F1EE1F5" w14:textId="77777777" w:rsidTr="002E2C37">
        <w:trPr>
          <w:trHeight w:val="343"/>
        </w:trPr>
        <w:tc>
          <w:tcPr>
            <w:tcW w:w="8928" w:type="dxa"/>
            <w:gridSpan w:val="2"/>
          </w:tcPr>
          <w:p w14:paraId="6923025F"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i/>
                <w:sz w:val="20"/>
                <w:szCs w:val="20"/>
                <w:lang w:eastAsia="en-ZA"/>
              </w:rPr>
              <w:t xml:space="preserve"> Faxonius juvenilis</w:t>
            </w:r>
            <w:r w:rsidRPr="004D1E6F">
              <w:rPr>
                <w:rFonts w:ascii="Times New Roman" w:eastAsia="Times New Roman" w:hAnsi="Times New Roman" w:cs="Times New Roman"/>
                <w:sz w:val="20"/>
                <w:szCs w:val="20"/>
                <w:lang w:eastAsia="en-ZA"/>
              </w:rPr>
              <w:t xml:space="preserve"> are </w:t>
            </w:r>
            <w:r w:rsidRPr="004D1E6F">
              <w:rPr>
                <w:rFonts w:ascii="Times New Roman" w:eastAsia="Times New Roman" w:hAnsi="Times New Roman" w:cs="Times New Roman"/>
                <w:iCs/>
                <w:sz w:val="20"/>
                <w:szCs w:val="20"/>
                <w:lang w:eastAsia="en-ZA"/>
              </w:rPr>
              <w:t>highly fecund,</w:t>
            </w:r>
            <w:r w:rsidRPr="004D1E6F">
              <w:rPr>
                <w:rFonts w:ascii="Times New Roman" w:eastAsia="Times New Roman" w:hAnsi="Times New Roman" w:cs="Times New Roman"/>
                <w:sz w:val="20"/>
                <w:szCs w:val="20"/>
                <w:lang w:eastAsia="en-ZA"/>
              </w:rPr>
              <w:t xml:space="preserve"> a female produces up to 141 eggs, and with some parental care of eggs and hatchlings (</w:t>
            </w:r>
            <w:r w:rsidRPr="004D1E6F">
              <w:rPr>
                <w:rFonts w:ascii="Times New Roman" w:hAnsi="Times New Roman" w:cs="Times New Roman"/>
                <w:sz w:val="20"/>
                <w:szCs w:val="20"/>
                <w:shd w:val="clear" w:color="auto" w:fill="FFFFFF"/>
              </w:rPr>
              <w:t>Taylor &amp; Schuster 2004)</w:t>
            </w:r>
            <w:r w:rsidRPr="004D1E6F">
              <w:rPr>
                <w:rFonts w:ascii="Times New Roman" w:eastAsia="Times New Roman" w:hAnsi="Times New Roman" w:cs="Times New Roman"/>
                <w:sz w:val="20"/>
                <w:szCs w:val="20"/>
                <w:lang w:eastAsia="en-ZA"/>
              </w:rPr>
              <w:t>.</w:t>
            </w:r>
          </w:p>
        </w:tc>
      </w:tr>
      <w:tr w:rsidR="002D7080" w:rsidRPr="004D1E6F" w14:paraId="5DCC1CE1" w14:textId="77777777" w:rsidTr="002E2C37">
        <w:trPr>
          <w:trHeight w:val="343"/>
        </w:trPr>
        <w:tc>
          <w:tcPr>
            <w:tcW w:w="8928" w:type="dxa"/>
            <w:gridSpan w:val="2"/>
          </w:tcPr>
          <w:p w14:paraId="5ECF5FF9"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54A1C9EB"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hAnsi="Times New Roman" w:cs="Times New Roman"/>
                <w:sz w:val="20"/>
                <w:szCs w:val="20"/>
                <w:shd w:val="clear" w:color="auto" w:fill="FFFFFF"/>
              </w:rPr>
              <w:t>Taylor</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 xml:space="preserve"> C</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A</w:t>
            </w:r>
            <w:r>
              <w:rPr>
                <w:rFonts w:ascii="Times New Roman" w:hAnsi="Times New Roman" w:cs="Times New Roman"/>
                <w:sz w:val="20"/>
                <w:szCs w:val="20"/>
                <w:shd w:val="clear" w:color="auto" w:fill="FFFFFF"/>
              </w:rPr>
              <w:t xml:space="preserve">. &amp; </w:t>
            </w:r>
            <w:r w:rsidRPr="004D1E6F">
              <w:rPr>
                <w:rFonts w:ascii="Times New Roman" w:hAnsi="Times New Roman" w:cs="Times New Roman"/>
                <w:sz w:val="20"/>
                <w:szCs w:val="20"/>
                <w:shd w:val="clear" w:color="auto" w:fill="FFFFFF"/>
              </w:rPr>
              <w:t>Schuster</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 xml:space="preserve"> G</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A</w:t>
            </w:r>
            <w:r>
              <w:rPr>
                <w:rFonts w:ascii="Times New Roman" w:hAnsi="Times New Roman" w:cs="Times New Roman"/>
                <w:sz w:val="20"/>
                <w:szCs w:val="20"/>
                <w:shd w:val="clear" w:color="auto" w:fill="FFFFFF"/>
              </w:rPr>
              <w:t xml:space="preserve">. </w:t>
            </w:r>
            <w:r w:rsidRPr="004D1E6F">
              <w:rPr>
                <w:rFonts w:ascii="Times New Roman" w:hAnsi="Times New Roman" w:cs="Times New Roman"/>
                <w:sz w:val="20"/>
                <w:szCs w:val="20"/>
                <w:shd w:val="clear" w:color="auto" w:fill="FFFFFF"/>
              </w:rPr>
              <w:t>2004</w:t>
            </w:r>
            <w:r>
              <w:rPr>
                <w:rFonts w:ascii="Times New Roman" w:hAnsi="Times New Roman" w:cs="Times New Roman"/>
                <w:sz w:val="20"/>
                <w:szCs w:val="20"/>
                <w:shd w:val="clear" w:color="auto" w:fill="FFFFFF"/>
              </w:rPr>
              <w:t>, ‘</w:t>
            </w:r>
            <w:r w:rsidRPr="004D1E6F">
              <w:rPr>
                <w:rFonts w:ascii="Times New Roman" w:hAnsi="Times New Roman" w:cs="Times New Roman"/>
                <w:sz w:val="20"/>
                <w:szCs w:val="20"/>
                <w:shd w:val="clear" w:color="auto" w:fill="FFFFFF"/>
              </w:rPr>
              <w:t>Crayfishes of Kentucky</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 xml:space="preserve"> Illinois Natural History Survey, Special Publication 28</w:t>
            </w:r>
            <w:r>
              <w:rPr>
                <w:rFonts w:ascii="Times New Roman" w:hAnsi="Times New Roman" w:cs="Times New Roman"/>
                <w:sz w:val="20"/>
                <w:szCs w:val="20"/>
                <w:shd w:val="clear" w:color="auto" w:fill="FFFFFF"/>
              </w:rPr>
              <w:t>.</w:t>
            </w:r>
          </w:p>
        </w:tc>
      </w:tr>
      <w:tr w:rsidR="002D7080" w:rsidRPr="004D1E6F" w14:paraId="1E3CAB8B" w14:textId="77777777" w:rsidTr="002E2C37">
        <w:trPr>
          <w:trHeight w:val="287"/>
        </w:trPr>
        <w:tc>
          <w:tcPr>
            <w:tcW w:w="8928" w:type="dxa"/>
            <w:gridSpan w:val="2"/>
            <w:shd w:val="clear" w:color="auto" w:fill="F2F2F2" w:themeFill="background1" w:themeFillShade="F2"/>
          </w:tcPr>
          <w:p w14:paraId="7A7CBBC7"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t xml:space="preserve">MAN3 Ease of management </w:t>
            </w:r>
            <w:r w:rsidRPr="004D1E6F">
              <w:rPr>
                <w:rFonts w:ascii="Times New Roman" w:eastAsia="Times New Roman" w:hAnsi="Times New Roman" w:cs="Times New Roman"/>
                <w:color w:val="000000"/>
                <w:sz w:val="20"/>
                <w:szCs w:val="20"/>
                <w:lang w:eastAsia="en-ZA"/>
              </w:rPr>
              <w:t>(Table 4)</w:t>
            </w:r>
          </w:p>
        </w:tc>
      </w:tr>
      <w:tr w:rsidR="002D7080" w:rsidRPr="004D1E6F" w14:paraId="6A6A4373" w14:textId="77777777" w:rsidTr="002E2C37">
        <w:trPr>
          <w:trHeight w:val="172"/>
        </w:trPr>
        <w:tc>
          <w:tcPr>
            <w:tcW w:w="5240" w:type="dxa"/>
          </w:tcPr>
          <w:p w14:paraId="188DBCD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Medium </w:t>
            </w:r>
          </w:p>
        </w:tc>
        <w:tc>
          <w:tcPr>
            <w:tcW w:w="3688" w:type="dxa"/>
          </w:tcPr>
          <w:p w14:paraId="1092CA5E"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6D3D76BA" w14:textId="77777777" w:rsidTr="002E2C37">
        <w:trPr>
          <w:trHeight w:val="343"/>
        </w:trPr>
        <w:tc>
          <w:tcPr>
            <w:tcW w:w="8928" w:type="dxa"/>
            <w:gridSpan w:val="2"/>
          </w:tcPr>
          <w:p w14:paraId="09AA81AD"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iCs/>
                <w:sz w:val="20"/>
                <w:szCs w:val="20"/>
                <w:lang w:eastAsia="en-ZA"/>
              </w:rPr>
              <w:t>Faxonius juvenilis</w:t>
            </w:r>
            <w:r w:rsidRPr="004D1E6F">
              <w:rPr>
                <w:rFonts w:ascii="Times New Roman" w:eastAsia="Times New Roman" w:hAnsi="Times New Roman" w:cs="Times New Roman"/>
                <w:sz w:val="20"/>
                <w:szCs w:val="20"/>
                <w:lang w:eastAsia="en-ZA"/>
              </w:rPr>
              <w:t xml:space="preserve"> is a small, largely nocturnal freshwater species that is difficult to detect, it reaches sexual maturity in one-two years and is highly fecund (up to 141 eggs) (</w:t>
            </w:r>
            <w:r w:rsidRPr="004D1E6F">
              <w:rPr>
                <w:rFonts w:ascii="Times New Roman" w:hAnsi="Times New Roman" w:cs="Times New Roman"/>
                <w:sz w:val="20"/>
                <w:szCs w:val="20"/>
                <w:shd w:val="clear" w:color="auto" w:fill="FFFFFF"/>
              </w:rPr>
              <w:t>Taylor &amp; Schuster 2004</w:t>
            </w:r>
            <w:r w:rsidRPr="004D1E6F">
              <w:rPr>
                <w:rFonts w:ascii="Times New Roman" w:eastAsia="Times New Roman" w:hAnsi="Times New Roman" w:cs="Times New Roman"/>
                <w:sz w:val="20"/>
                <w:szCs w:val="20"/>
                <w:lang w:eastAsia="en-ZA"/>
              </w:rPr>
              <w:t>).</w:t>
            </w:r>
          </w:p>
        </w:tc>
      </w:tr>
      <w:tr w:rsidR="002D7080" w:rsidRPr="004D1E6F" w14:paraId="0F7CB41F" w14:textId="77777777" w:rsidTr="002E2C37">
        <w:trPr>
          <w:trHeight w:val="343"/>
        </w:trPr>
        <w:tc>
          <w:tcPr>
            <w:tcW w:w="8928" w:type="dxa"/>
            <w:gridSpan w:val="2"/>
          </w:tcPr>
          <w:p w14:paraId="6A00B634"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385AD3D0"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hAnsi="Times New Roman" w:cs="Times New Roman"/>
                <w:sz w:val="20"/>
                <w:szCs w:val="20"/>
                <w:shd w:val="clear" w:color="auto" w:fill="FFFFFF"/>
              </w:rPr>
              <w:t>Taylor</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 xml:space="preserve"> C</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A</w:t>
            </w:r>
            <w:r>
              <w:rPr>
                <w:rFonts w:ascii="Times New Roman" w:hAnsi="Times New Roman" w:cs="Times New Roman"/>
                <w:sz w:val="20"/>
                <w:szCs w:val="20"/>
                <w:shd w:val="clear" w:color="auto" w:fill="FFFFFF"/>
              </w:rPr>
              <w:t xml:space="preserve">. &amp; </w:t>
            </w:r>
            <w:r w:rsidRPr="004D1E6F">
              <w:rPr>
                <w:rFonts w:ascii="Times New Roman" w:hAnsi="Times New Roman" w:cs="Times New Roman"/>
                <w:sz w:val="20"/>
                <w:szCs w:val="20"/>
                <w:shd w:val="clear" w:color="auto" w:fill="FFFFFF"/>
              </w:rPr>
              <w:t>Schuster</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 xml:space="preserve"> G</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A</w:t>
            </w:r>
            <w:r>
              <w:rPr>
                <w:rFonts w:ascii="Times New Roman" w:hAnsi="Times New Roman" w:cs="Times New Roman"/>
                <w:sz w:val="20"/>
                <w:szCs w:val="20"/>
                <w:shd w:val="clear" w:color="auto" w:fill="FFFFFF"/>
              </w:rPr>
              <w:t xml:space="preserve">. </w:t>
            </w:r>
            <w:r w:rsidRPr="004D1E6F">
              <w:rPr>
                <w:rFonts w:ascii="Times New Roman" w:hAnsi="Times New Roman" w:cs="Times New Roman"/>
                <w:sz w:val="20"/>
                <w:szCs w:val="20"/>
                <w:shd w:val="clear" w:color="auto" w:fill="FFFFFF"/>
              </w:rPr>
              <w:t>2004</w:t>
            </w:r>
            <w:r>
              <w:rPr>
                <w:rFonts w:ascii="Times New Roman" w:hAnsi="Times New Roman" w:cs="Times New Roman"/>
                <w:sz w:val="20"/>
                <w:szCs w:val="20"/>
                <w:shd w:val="clear" w:color="auto" w:fill="FFFFFF"/>
              </w:rPr>
              <w:t>, ‘</w:t>
            </w:r>
            <w:r w:rsidRPr="004D1E6F">
              <w:rPr>
                <w:rFonts w:ascii="Times New Roman" w:hAnsi="Times New Roman" w:cs="Times New Roman"/>
                <w:sz w:val="20"/>
                <w:szCs w:val="20"/>
                <w:shd w:val="clear" w:color="auto" w:fill="FFFFFF"/>
              </w:rPr>
              <w:t>Crayfishes of Kentucky</w:t>
            </w:r>
            <w:r>
              <w:rPr>
                <w:rFonts w:ascii="Times New Roman" w:hAnsi="Times New Roman" w:cs="Times New Roman"/>
                <w:sz w:val="20"/>
                <w:szCs w:val="20"/>
                <w:shd w:val="clear" w:color="auto" w:fill="FFFFFF"/>
              </w:rPr>
              <w:t>’,</w:t>
            </w:r>
            <w:r w:rsidRPr="004D1E6F">
              <w:rPr>
                <w:rFonts w:ascii="Times New Roman" w:hAnsi="Times New Roman" w:cs="Times New Roman"/>
                <w:sz w:val="20"/>
                <w:szCs w:val="20"/>
                <w:shd w:val="clear" w:color="auto" w:fill="FFFFFF"/>
              </w:rPr>
              <w:t xml:space="preserve"> Illinois Natural History Survey, Special Publication 28</w:t>
            </w:r>
            <w:r>
              <w:rPr>
                <w:rFonts w:ascii="Times New Roman" w:hAnsi="Times New Roman" w:cs="Times New Roman"/>
                <w:sz w:val="20"/>
                <w:szCs w:val="20"/>
                <w:shd w:val="clear" w:color="auto" w:fill="FFFFFF"/>
              </w:rPr>
              <w:t>.</w:t>
            </w:r>
          </w:p>
        </w:tc>
      </w:tr>
    </w:tbl>
    <w:p w14:paraId="3E16CFC5"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8"/>
        <w:tblW w:w="9018" w:type="dxa"/>
        <w:tblLook w:val="04A0" w:firstRow="1" w:lastRow="0" w:firstColumn="1" w:lastColumn="0" w:noHBand="0" w:noVBand="1"/>
      </w:tblPr>
      <w:tblGrid>
        <w:gridCol w:w="5240"/>
        <w:gridCol w:w="3778"/>
      </w:tblGrid>
      <w:tr w:rsidR="002D7080" w:rsidRPr="004D1E6F" w14:paraId="4AE6567F" w14:textId="77777777" w:rsidTr="002E2C37">
        <w:trPr>
          <w:trHeight w:val="343"/>
        </w:trPr>
        <w:tc>
          <w:tcPr>
            <w:tcW w:w="9018" w:type="dxa"/>
            <w:gridSpan w:val="2"/>
            <w:shd w:val="clear" w:color="auto" w:fill="F2F2F2" w:themeFill="background1" w:themeFillShade="F2"/>
          </w:tcPr>
          <w:p w14:paraId="0C2D8F7D"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lastRenderedPageBreak/>
              <w:t>MAN4 Has the feasibility of eradication been evaluated?</w:t>
            </w:r>
          </w:p>
        </w:tc>
      </w:tr>
      <w:tr w:rsidR="002D7080" w:rsidRPr="004D1E6F" w14:paraId="25EFDE37" w14:textId="77777777" w:rsidTr="002E2C37">
        <w:trPr>
          <w:trHeight w:val="172"/>
        </w:trPr>
        <w:tc>
          <w:tcPr>
            <w:tcW w:w="5240" w:type="dxa"/>
          </w:tcPr>
          <w:p w14:paraId="019126CC"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No</w:t>
            </w:r>
          </w:p>
        </w:tc>
        <w:tc>
          <w:tcPr>
            <w:tcW w:w="3778" w:type="dxa"/>
          </w:tcPr>
          <w:p w14:paraId="388A1FB9"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14D15A98" w14:textId="77777777" w:rsidTr="002E2C37">
        <w:trPr>
          <w:trHeight w:val="343"/>
        </w:trPr>
        <w:tc>
          <w:tcPr>
            <w:tcW w:w="9018" w:type="dxa"/>
            <w:gridSpan w:val="2"/>
          </w:tcPr>
          <w:p w14:paraId="7E2CB965" w14:textId="058817B2"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sz w:val="20"/>
                <w:szCs w:val="20"/>
                <w:lang w:eastAsia="en-ZA"/>
              </w:rPr>
              <w:t>T</w:t>
            </w:r>
            <w:r w:rsidRPr="004D1E6F">
              <w:rPr>
                <w:rFonts w:ascii="Times New Roman" w:eastAsia="Times New Roman" w:hAnsi="Times New Roman" w:cs="Times New Roman"/>
                <w:sz w:val="20"/>
                <w:lang w:eastAsia="en-ZA"/>
              </w:rPr>
              <w:t xml:space="preserve">here are no known population of </w:t>
            </w:r>
            <w:r w:rsidRPr="004D1E6F">
              <w:rPr>
                <w:rFonts w:ascii="Times New Roman" w:eastAsia="Times New Roman" w:hAnsi="Times New Roman" w:cs="Times New Roman"/>
                <w:i/>
                <w:iCs/>
                <w:sz w:val="20"/>
                <w:lang w:eastAsia="en-ZA"/>
              </w:rPr>
              <w:t xml:space="preserve">F. </w:t>
            </w:r>
            <w:r w:rsidR="00405845">
              <w:rPr>
                <w:rFonts w:ascii="Times New Roman" w:eastAsia="Times New Roman" w:hAnsi="Times New Roman" w:cs="Times New Roman"/>
                <w:i/>
                <w:iCs/>
                <w:sz w:val="20"/>
                <w:lang w:eastAsia="en-ZA"/>
              </w:rPr>
              <w:t>juvenilis</w:t>
            </w:r>
            <w:r w:rsidR="00405845" w:rsidRPr="004D1E6F">
              <w:rPr>
                <w:rFonts w:ascii="Times New Roman" w:eastAsia="Times New Roman" w:hAnsi="Times New Roman" w:cs="Times New Roman"/>
                <w:sz w:val="20"/>
                <w:lang w:eastAsia="en-ZA"/>
              </w:rPr>
              <w:t xml:space="preserve"> </w:t>
            </w:r>
            <w:r w:rsidRPr="004D1E6F">
              <w:rPr>
                <w:rFonts w:ascii="Times New Roman" w:eastAsia="Times New Roman" w:hAnsi="Times New Roman" w:cs="Times New Roman"/>
                <w:sz w:val="20"/>
                <w:lang w:eastAsia="en-ZA"/>
              </w:rPr>
              <w:t xml:space="preserve">in South Africa, therefore eradication feasibility has not been no evaluated (Nunes et al. 2017) but see MAN5 for summary of control efforts used to manage invasive crayfish populations.  </w:t>
            </w:r>
          </w:p>
        </w:tc>
      </w:tr>
      <w:tr w:rsidR="002D7080" w:rsidRPr="004D1E6F" w14:paraId="5DAF8C43" w14:textId="77777777" w:rsidTr="002E2C37">
        <w:trPr>
          <w:trHeight w:val="343"/>
        </w:trPr>
        <w:tc>
          <w:tcPr>
            <w:tcW w:w="9018" w:type="dxa"/>
            <w:gridSpan w:val="2"/>
          </w:tcPr>
          <w:p w14:paraId="3E8D3948"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4ADB649C" w14:textId="77777777" w:rsidR="002D7080" w:rsidRPr="004D1E6F" w:rsidRDefault="002D7080" w:rsidP="006770EA">
            <w:pPr>
              <w:ind w:left="539" w:hanging="539"/>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261" w:history="1">
              <w:r w:rsidRPr="000B0DAE">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tc>
      </w:tr>
    </w:tbl>
    <w:p w14:paraId="32A4CD25" w14:textId="77777777" w:rsidR="002D7080" w:rsidRPr="004D1E6F" w:rsidRDefault="002D7080" w:rsidP="002D7080">
      <w:pPr>
        <w:spacing w:after="0" w:line="240" w:lineRule="auto"/>
        <w:rPr>
          <w:rFonts w:ascii="Times New Roman" w:eastAsia="Calibri" w:hAnsi="Times New Roman" w:cs="Times New Roman"/>
          <w:b/>
          <w:sz w:val="24"/>
          <w:szCs w:val="24"/>
        </w:rPr>
      </w:pPr>
    </w:p>
    <w:tbl>
      <w:tblPr>
        <w:tblStyle w:val="TableGrid8"/>
        <w:tblW w:w="9067" w:type="dxa"/>
        <w:tblLook w:val="04A0" w:firstRow="1" w:lastRow="0" w:firstColumn="1" w:lastColumn="0" w:noHBand="0" w:noVBand="1"/>
      </w:tblPr>
      <w:tblGrid>
        <w:gridCol w:w="9067"/>
      </w:tblGrid>
      <w:tr w:rsidR="002D7080" w:rsidRPr="004D1E6F" w14:paraId="08F8F614" w14:textId="77777777" w:rsidTr="002E2C37">
        <w:trPr>
          <w:trHeight w:val="343"/>
        </w:trPr>
        <w:tc>
          <w:tcPr>
            <w:tcW w:w="9067" w:type="dxa"/>
            <w:shd w:val="clear" w:color="auto" w:fill="F2F2F2" w:themeFill="background1" w:themeFillShade="F2"/>
          </w:tcPr>
          <w:p w14:paraId="775EC002"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sz w:val="20"/>
                <w:szCs w:val="20"/>
                <w:lang w:eastAsia="en-ZA"/>
              </w:rPr>
              <w:t xml:space="preserve">MAN5 Control options and monitoring approaches available for the </w:t>
            </w:r>
            <w:r w:rsidRPr="004D1E6F">
              <w:rPr>
                <w:rFonts w:ascii="Times New Roman" w:eastAsia="Times New Roman" w:hAnsi="Times New Roman" w:cs="Times New Roman"/>
                <w:b/>
                <w:i/>
                <w:sz w:val="20"/>
                <w:szCs w:val="20"/>
                <w:lang w:eastAsia="en-ZA"/>
              </w:rPr>
              <w:t>Taxon</w:t>
            </w:r>
          </w:p>
        </w:tc>
      </w:tr>
      <w:tr w:rsidR="002D7080" w:rsidRPr="004D1E6F" w14:paraId="299F00D5" w14:textId="77777777" w:rsidTr="002E2C37">
        <w:trPr>
          <w:trHeight w:val="70"/>
        </w:trPr>
        <w:tc>
          <w:tcPr>
            <w:tcW w:w="9067" w:type="dxa"/>
          </w:tcPr>
          <w:p w14:paraId="52051FB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Several methods can be used to monitor and control invasive crayfish populations including mechanical trapping</w:t>
            </w:r>
            <w:r w:rsidRPr="004D1E6F">
              <w:rPr>
                <w:rFonts w:ascii="Times New Roman" w:eastAsia="Times New Roman" w:hAnsi="Times New Roman" w:cs="Times New Roman"/>
                <w:iCs/>
                <w:sz w:val="20"/>
                <w:szCs w:val="20"/>
                <w:lang w:eastAsia="en-ZA"/>
              </w:rPr>
              <w:t xml:space="preserve"> (e.g., </w:t>
            </w:r>
            <w:r w:rsidRPr="004D1E6F">
              <w:rPr>
                <w:rStyle w:val="cf01"/>
                <w:rFonts w:ascii="Times New Roman" w:hAnsi="Times New Roman" w:cs="Times New Roman"/>
                <w:sz w:val="20"/>
                <w:szCs w:val="20"/>
              </w:rPr>
              <w:t xml:space="preserve">Barkhuizen et al. 2022; </w:t>
            </w:r>
            <w:r w:rsidRPr="004D1E6F">
              <w:rPr>
                <w:rFonts w:ascii="Times New Roman" w:eastAsia="Times New Roman" w:hAnsi="Times New Roman" w:cs="Times New Roman"/>
                <w:iCs/>
                <w:sz w:val="20"/>
                <w:szCs w:val="20"/>
                <w:lang w:eastAsia="en-ZA"/>
              </w:rPr>
              <w:t>Madzivanzira et al. 2021)</w:t>
            </w:r>
            <w:r w:rsidRPr="004D1E6F">
              <w:rPr>
                <w:rFonts w:ascii="Times New Roman" w:eastAsia="Times New Roman" w:hAnsi="Times New Roman" w:cs="Times New Roman"/>
                <w:sz w:val="20"/>
                <w:szCs w:val="20"/>
                <w:lang w:eastAsia="en-ZA"/>
              </w:rPr>
              <w:t xml:space="preserve">, electrofishing (Nunes et al. 2017), use of biocides, and biological control (Aquiloni et al 2010; Stebbing et al. 2014). </w:t>
            </w:r>
            <w:r w:rsidRPr="004D1E6F">
              <w:rPr>
                <w:rFonts w:ascii="Times New Roman" w:hAnsi="Times New Roman" w:cs="Times New Roman"/>
                <w:sz w:val="20"/>
                <w:szCs w:val="20"/>
              </w:rPr>
              <w:t>However, there are several issues that make management of crayfish invasions challenging (Gherardi et al. 2011). For example, the use of biocides is often effective for localised populations in dams and ponds (Peay et al. 2019) but they are non-specific and need to be applied with caution (Gherardi et al. 2011). Mechanical control methods are also effective in small discrete water bodies but are expensive and require commitment to follow on to complete eradication (Loureiro et al. 2018). In addition, alien crayfish species are regarded as potential conflict-generating species in South Africa and potential management interventions should consider the concerns of stakeholders to avoid conflict (Zengeya et al. 2017).</w:t>
            </w:r>
          </w:p>
        </w:tc>
      </w:tr>
      <w:tr w:rsidR="002D7080" w:rsidRPr="004D1E6F" w14:paraId="1E7D073F" w14:textId="77777777" w:rsidTr="002E2C37">
        <w:trPr>
          <w:trHeight w:val="203"/>
        </w:trPr>
        <w:tc>
          <w:tcPr>
            <w:tcW w:w="9067" w:type="dxa"/>
          </w:tcPr>
          <w:p w14:paraId="53EFB22F"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043F68B5" w14:textId="77777777" w:rsidR="00084285" w:rsidRPr="000F453E" w:rsidRDefault="00084285" w:rsidP="00084285">
            <w:pPr>
              <w:ind w:left="510" w:hanging="510"/>
              <w:contextualSpacing/>
              <w:jc w:val="both"/>
              <w:rPr>
                <w:rFonts w:ascii="Times New Roman" w:eastAsia="Times New Roman" w:hAnsi="Times New Roman" w:cs="Times New Roman"/>
                <w:bCs/>
                <w:sz w:val="20"/>
                <w:szCs w:val="20"/>
                <w:lang w:eastAsia="en-ZA"/>
              </w:rPr>
            </w:pPr>
            <w:r w:rsidRPr="000F453E">
              <w:rPr>
                <w:rFonts w:ascii="Times New Roman" w:eastAsia="Times New Roman" w:hAnsi="Times New Roman" w:cs="Times New Roman"/>
                <w:sz w:val="20"/>
                <w:szCs w:val="20"/>
                <w:lang w:eastAsia="en-ZA"/>
              </w:rPr>
              <w:t>Aquiloni, L., Brusconi, S., Cecchinelli, E., Tricarico, E., Mazza, G., Paglianti, A. &amp; Gherardi, F. 2010, ‘Biological control of invasive populations of crayfish: the European eel (</w:t>
            </w:r>
            <w:r w:rsidRPr="000F453E">
              <w:rPr>
                <w:rFonts w:ascii="Times New Roman" w:eastAsia="Times New Roman" w:hAnsi="Times New Roman" w:cs="Times New Roman"/>
                <w:i/>
                <w:iCs/>
                <w:sz w:val="20"/>
                <w:szCs w:val="20"/>
                <w:lang w:eastAsia="en-ZA"/>
              </w:rPr>
              <w:t>Anguilla anguilla</w:t>
            </w:r>
            <w:r w:rsidRPr="000F453E">
              <w:rPr>
                <w:rFonts w:ascii="Times New Roman" w:eastAsia="Times New Roman" w:hAnsi="Times New Roman" w:cs="Times New Roman"/>
                <w:sz w:val="20"/>
                <w:szCs w:val="20"/>
                <w:lang w:eastAsia="en-ZA"/>
              </w:rPr>
              <w:t xml:space="preserve">) as a predator of </w:t>
            </w:r>
            <w:r w:rsidRPr="000F453E">
              <w:rPr>
                <w:rFonts w:ascii="Times New Roman" w:eastAsia="Times New Roman" w:hAnsi="Times New Roman" w:cs="Times New Roman"/>
                <w:i/>
                <w:iCs/>
                <w:sz w:val="20"/>
                <w:szCs w:val="20"/>
                <w:lang w:eastAsia="en-ZA"/>
              </w:rPr>
              <w:t>Procambarus clarkii</w:t>
            </w:r>
            <w:r w:rsidRPr="000F453E">
              <w:rPr>
                <w:rFonts w:ascii="Times New Roman" w:eastAsia="Times New Roman" w:hAnsi="Times New Roman" w:cs="Times New Roman"/>
                <w:sz w:val="20"/>
                <w:szCs w:val="20"/>
                <w:lang w:eastAsia="en-ZA"/>
              </w:rPr>
              <w:t xml:space="preserve">’, </w:t>
            </w:r>
            <w:r w:rsidRPr="000F453E">
              <w:rPr>
                <w:rFonts w:ascii="Times New Roman" w:eastAsia="Times New Roman" w:hAnsi="Times New Roman" w:cs="Times New Roman"/>
                <w:i/>
                <w:iCs/>
                <w:sz w:val="20"/>
                <w:szCs w:val="20"/>
                <w:lang w:eastAsia="en-ZA"/>
              </w:rPr>
              <w:t>Biological Invasions</w:t>
            </w:r>
            <w:r w:rsidRPr="000F453E">
              <w:rPr>
                <w:rFonts w:ascii="Times New Roman" w:eastAsia="Times New Roman" w:hAnsi="Times New Roman" w:cs="Times New Roman"/>
                <w:sz w:val="20"/>
                <w:szCs w:val="20"/>
                <w:lang w:eastAsia="en-ZA"/>
              </w:rPr>
              <w:t xml:space="preserve"> 12 3817-3824. </w:t>
            </w:r>
            <w:hyperlink r:id="rId262" w:history="1">
              <w:r w:rsidRPr="000F453E">
                <w:rPr>
                  <w:rStyle w:val="Hyperlink"/>
                  <w:rFonts w:ascii="Times New Roman" w:eastAsia="Times New Roman" w:hAnsi="Times New Roman" w:cs="Times New Roman"/>
                  <w:bCs/>
                  <w:sz w:val="20"/>
                  <w:szCs w:val="20"/>
                  <w:lang w:eastAsia="en-ZA"/>
                </w:rPr>
                <w:t>https://doi.org/10.1007/s10530-007-9094-0</w:t>
              </w:r>
            </w:hyperlink>
            <w:r w:rsidRPr="000F453E">
              <w:rPr>
                <w:rFonts w:ascii="Times New Roman" w:eastAsia="Times New Roman" w:hAnsi="Times New Roman" w:cs="Times New Roman"/>
                <w:bCs/>
                <w:sz w:val="20"/>
                <w:szCs w:val="20"/>
                <w:lang w:eastAsia="en-ZA"/>
              </w:rPr>
              <w:t>.</w:t>
            </w:r>
          </w:p>
          <w:p w14:paraId="0FA08ECB" w14:textId="77777777" w:rsidR="00084285" w:rsidRPr="000F453E" w:rsidRDefault="00084285" w:rsidP="00084285">
            <w:pPr>
              <w:ind w:left="510" w:hanging="510"/>
              <w:contextualSpacing/>
              <w:jc w:val="both"/>
              <w:rPr>
                <w:rFonts w:ascii="Times New Roman" w:eastAsia="Times New Roman" w:hAnsi="Times New Roman" w:cs="Times New Roman"/>
                <w:sz w:val="20"/>
                <w:szCs w:val="20"/>
                <w:lang w:eastAsia="en-ZA"/>
              </w:rPr>
            </w:pPr>
            <w:r w:rsidRPr="000F453E">
              <w:rPr>
                <w:rFonts w:ascii="Times New Roman" w:eastAsia="Times New Roman" w:hAnsi="Times New Roman" w:cs="Times New Roman"/>
                <w:sz w:val="20"/>
                <w:szCs w:val="20"/>
                <w:lang w:eastAsia="en-ZA"/>
              </w:rPr>
              <w:t xml:space="preserve">Barkhuizen, L.M, Madzivanzira, T.C., South, J., 2022, ‘Population ecology of a wild population of red swamp crayfish </w:t>
            </w:r>
            <w:r w:rsidRPr="000F453E">
              <w:rPr>
                <w:rFonts w:ascii="Times New Roman" w:eastAsia="Times New Roman" w:hAnsi="Times New Roman" w:cs="Times New Roman"/>
                <w:i/>
                <w:iCs/>
                <w:sz w:val="20"/>
                <w:szCs w:val="20"/>
                <w:lang w:eastAsia="en-ZA"/>
              </w:rPr>
              <w:t>Procambarus clarkii</w:t>
            </w:r>
            <w:r w:rsidRPr="000F453E">
              <w:rPr>
                <w:rFonts w:ascii="Times New Roman" w:eastAsia="Times New Roman" w:hAnsi="Times New Roman" w:cs="Times New Roman"/>
                <w:sz w:val="20"/>
                <w:szCs w:val="20"/>
                <w:lang w:eastAsia="en-ZA"/>
              </w:rPr>
              <w:t xml:space="preserve"> (Girard, 1852) in the Free State Province, South Africa and implications for eradication efforts’, </w:t>
            </w:r>
            <w:r w:rsidRPr="000F453E">
              <w:rPr>
                <w:rFonts w:ascii="Times New Roman" w:eastAsia="Times New Roman" w:hAnsi="Times New Roman" w:cs="Times New Roman"/>
                <w:i/>
                <w:iCs/>
                <w:sz w:val="20"/>
                <w:szCs w:val="20"/>
                <w:lang w:eastAsia="en-ZA"/>
              </w:rPr>
              <w:t>BioInvasions Records</w:t>
            </w:r>
            <w:r w:rsidRPr="000F453E">
              <w:rPr>
                <w:rFonts w:ascii="Times New Roman" w:eastAsia="Times New Roman" w:hAnsi="Times New Roman" w:cs="Times New Roman"/>
                <w:sz w:val="20"/>
                <w:szCs w:val="20"/>
                <w:lang w:eastAsia="en-ZA"/>
              </w:rPr>
              <w:t xml:space="preserve"> 11, 181–191. </w:t>
            </w:r>
            <w:hyperlink r:id="rId263" w:history="1">
              <w:r w:rsidRPr="000F453E">
                <w:rPr>
                  <w:rStyle w:val="Hyperlink"/>
                  <w:rFonts w:ascii="Times New Roman" w:eastAsia="Times New Roman" w:hAnsi="Times New Roman" w:cs="Times New Roman"/>
                  <w:iCs/>
                  <w:sz w:val="20"/>
                  <w:szCs w:val="20"/>
                  <w:lang w:eastAsia="en-ZA"/>
                </w:rPr>
                <w:t>https://doi.org/10.3391/bir.2022</w:t>
              </w:r>
            </w:hyperlink>
            <w:r w:rsidRPr="000F453E">
              <w:rPr>
                <w:rFonts w:ascii="Times New Roman" w:eastAsia="Times New Roman" w:hAnsi="Times New Roman" w:cs="Times New Roman"/>
                <w:sz w:val="20"/>
                <w:szCs w:val="20"/>
                <w:lang w:eastAsia="en-ZA"/>
              </w:rPr>
              <w:t>.</w:t>
            </w:r>
          </w:p>
          <w:p w14:paraId="1D92CD93" w14:textId="77777777" w:rsidR="00084285" w:rsidRPr="000F453E" w:rsidRDefault="00084285" w:rsidP="00084285">
            <w:pPr>
              <w:ind w:left="510" w:hanging="510"/>
              <w:contextualSpacing/>
              <w:jc w:val="both"/>
              <w:rPr>
                <w:rFonts w:ascii="Times New Roman" w:eastAsia="Times New Roman" w:hAnsi="Times New Roman" w:cs="Times New Roman"/>
                <w:sz w:val="20"/>
                <w:szCs w:val="20"/>
                <w:lang w:eastAsia="en-ZA"/>
              </w:rPr>
            </w:pPr>
            <w:r w:rsidRPr="000F453E">
              <w:rPr>
                <w:rFonts w:ascii="Times New Roman" w:eastAsia="Times New Roman" w:hAnsi="Times New Roman" w:cs="Times New Roman"/>
                <w:sz w:val="20"/>
                <w:szCs w:val="20"/>
                <w:lang w:eastAsia="en-ZA"/>
              </w:rPr>
              <w:t xml:space="preserve">Gherardi, F., Aquiloni, L., Diéguez-Uribeondo, J. &amp; Tricarico E., 2011, ‘Managing invasive crayfish: is there a hope? </w:t>
            </w:r>
            <w:r w:rsidRPr="000F453E">
              <w:rPr>
                <w:rFonts w:ascii="Times New Roman" w:eastAsia="Times New Roman" w:hAnsi="Times New Roman" w:cs="Times New Roman"/>
                <w:i/>
                <w:iCs/>
                <w:sz w:val="20"/>
                <w:szCs w:val="20"/>
                <w:lang w:eastAsia="en-ZA"/>
              </w:rPr>
              <w:t>Aquatic Sciences</w:t>
            </w:r>
            <w:r w:rsidRPr="000F453E">
              <w:rPr>
                <w:rFonts w:ascii="Times New Roman" w:eastAsia="Times New Roman" w:hAnsi="Times New Roman" w:cs="Times New Roman"/>
                <w:sz w:val="20"/>
                <w:szCs w:val="20"/>
                <w:lang w:eastAsia="en-ZA"/>
              </w:rPr>
              <w:t xml:space="preserve"> </w:t>
            </w:r>
            <w:r w:rsidRPr="000F453E">
              <w:rPr>
                <w:rFonts w:ascii="Times New Roman" w:eastAsia="Times New Roman" w:hAnsi="Times New Roman" w:cs="Times New Roman"/>
                <w:iCs/>
                <w:sz w:val="20"/>
                <w:szCs w:val="20"/>
                <w:lang w:eastAsia="en-ZA"/>
              </w:rPr>
              <w:t>73,</w:t>
            </w:r>
            <w:r w:rsidRPr="000F453E">
              <w:rPr>
                <w:rFonts w:ascii="Times New Roman" w:eastAsia="Times New Roman" w:hAnsi="Times New Roman" w:cs="Times New Roman"/>
                <w:sz w:val="20"/>
                <w:szCs w:val="20"/>
                <w:lang w:eastAsia="en-ZA"/>
              </w:rPr>
              <w:t xml:space="preserve"> 185–200. https://doi.org/10.1007/s00027-011-0181-z.</w:t>
            </w:r>
          </w:p>
          <w:p w14:paraId="23E5535A" w14:textId="77777777" w:rsidR="00084285" w:rsidRPr="000F453E" w:rsidRDefault="00084285" w:rsidP="00084285">
            <w:pPr>
              <w:ind w:left="510" w:hanging="510"/>
              <w:contextualSpacing/>
              <w:jc w:val="both"/>
              <w:rPr>
                <w:rFonts w:ascii="Times New Roman" w:eastAsia="Times New Roman" w:hAnsi="Times New Roman" w:cs="Times New Roman"/>
                <w:bCs/>
                <w:sz w:val="20"/>
                <w:szCs w:val="20"/>
                <w:lang w:eastAsia="en-ZA"/>
              </w:rPr>
            </w:pPr>
            <w:r w:rsidRPr="000F453E">
              <w:rPr>
                <w:rFonts w:ascii="Times New Roman" w:eastAsia="Times New Roman" w:hAnsi="Times New Roman" w:cs="Times New Roman"/>
                <w:bCs/>
                <w:sz w:val="20"/>
                <w:szCs w:val="20"/>
                <w:lang w:eastAsia="en-ZA"/>
              </w:rPr>
              <w:t xml:space="preserve">Loureiro, T.G, Anastácio, P.M, de Siqueira Bueno, S.L. &amp; Araujo, P.B., 2018, ‘Management of invasive populations of the freshwater crayfish </w:t>
            </w:r>
            <w:r w:rsidRPr="000F453E">
              <w:rPr>
                <w:rFonts w:ascii="Times New Roman" w:eastAsia="Times New Roman" w:hAnsi="Times New Roman" w:cs="Times New Roman"/>
                <w:bCs/>
                <w:i/>
                <w:sz w:val="20"/>
                <w:szCs w:val="20"/>
                <w:lang w:eastAsia="en-ZA"/>
              </w:rPr>
              <w:t>Procambarus clarkii</w:t>
            </w:r>
            <w:r w:rsidRPr="000F453E">
              <w:rPr>
                <w:rFonts w:ascii="Times New Roman" w:eastAsia="Times New Roman" w:hAnsi="Times New Roman" w:cs="Times New Roman"/>
                <w:bCs/>
                <w:sz w:val="20"/>
                <w:szCs w:val="20"/>
                <w:lang w:eastAsia="en-ZA"/>
              </w:rPr>
              <w:t xml:space="preserve"> (Decapoda, Cambaridae): test of a population-control method and proposal of a standard monitoring approach’, </w:t>
            </w:r>
            <w:r w:rsidRPr="000F453E">
              <w:rPr>
                <w:rFonts w:ascii="Times New Roman" w:eastAsia="Times New Roman" w:hAnsi="Times New Roman" w:cs="Times New Roman"/>
                <w:bCs/>
                <w:i/>
                <w:sz w:val="20"/>
                <w:szCs w:val="20"/>
                <w:lang w:eastAsia="en-ZA"/>
              </w:rPr>
              <w:t>Environmental Monitoring Assessment</w:t>
            </w:r>
            <w:r w:rsidRPr="000F453E">
              <w:rPr>
                <w:rFonts w:ascii="Times New Roman" w:eastAsia="Times New Roman" w:hAnsi="Times New Roman" w:cs="Times New Roman"/>
                <w:bCs/>
                <w:sz w:val="20"/>
                <w:szCs w:val="20"/>
                <w:lang w:eastAsia="en-ZA"/>
              </w:rPr>
              <w:t xml:space="preserve"> 190, 559, https://doi.org/10.1007/s10661-018-6942-6.</w:t>
            </w:r>
          </w:p>
          <w:p w14:paraId="2FBB5A18" w14:textId="77777777" w:rsidR="00084285" w:rsidRPr="000F453E" w:rsidRDefault="00084285" w:rsidP="00084285">
            <w:pPr>
              <w:ind w:left="510" w:hanging="510"/>
              <w:contextualSpacing/>
              <w:jc w:val="both"/>
              <w:rPr>
                <w:rFonts w:ascii="Times New Roman" w:eastAsia="Times New Roman" w:hAnsi="Times New Roman" w:cs="Times New Roman"/>
                <w:sz w:val="20"/>
                <w:szCs w:val="20"/>
                <w:lang w:eastAsia="en-ZA"/>
              </w:rPr>
            </w:pPr>
            <w:r w:rsidRPr="000F453E">
              <w:rPr>
                <w:rFonts w:ascii="Times New Roman" w:eastAsia="Times New Roman" w:hAnsi="Times New Roman" w:cs="Times New Roman"/>
                <w:sz w:val="20"/>
                <w:szCs w:val="20"/>
                <w:lang w:eastAsia="en-ZA"/>
              </w:rPr>
              <w:t xml:space="preserve">Madzivanzira, T.C., South, J., Nhiwatiwa, T. &amp; Weyl, O.L.F., 2021, ‘Standardisation of Australian redclaw crayfish </w:t>
            </w:r>
            <w:r w:rsidRPr="000F453E">
              <w:rPr>
                <w:rFonts w:ascii="Times New Roman" w:eastAsia="Times New Roman" w:hAnsi="Times New Roman" w:cs="Times New Roman"/>
                <w:i/>
                <w:iCs/>
                <w:sz w:val="20"/>
                <w:szCs w:val="20"/>
                <w:lang w:eastAsia="en-ZA"/>
              </w:rPr>
              <w:t>Cherax quadricarinatus</w:t>
            </w:r>
            <w:r w:rsidRPr="000F453E">
              <w:rPr>
                <w:rFonts w:ascii="Times New Roman" w:eastAsia="Times New Roman" w:hAnsi="Times New Roman" w:cs="Times New Roman"/>
                <w:sz w:val="20"/>
                <w:szCs w:val="20"/>
                <w:lang w:eastAsia="en-ZA"/>
              </w:rPr>
              <w:t xml:space="preserve"> sampling gear in southern Africa’, </w:t>
            </w:r>
            <w:r w:rsidRPr="000F453E">
              <w:rPr>
                <w:rFonts w:ascii="Times New Roman" w:eastAsia="Times New Roman" w:hAnsi="Times New Roman" w:cs="Times New Roman"/>
                <w:i/>
                <w:iCs/>
                <w:sz w:val="20"/>
                <w:szCs w:val="20"/>
                <w:lang w:eastAsia="en-ZA"/>
              </w:rPr>
              <w:t>Water SA</w:t>
            </w:r>
            <w:r w:rsidRPr="000F453E">
              <w:rPr>
                <w:rFonts w:ascii="Times New Roman" w:eastAsia="Times New Roman" w:hAnsi="Times New Roman" w:cs="Times New Roman"/>
                <w:sz w:val="20"/>
                <w:szCs w:val="20"/>
                <w:lang w:eastAsia="en-ZA"/>
              </w:rPr>
              <w:t xml:space="preserve"> 47, 380–384. https://hdl.handle.net/10520/ejc-waters-v47-n3-a10.</w:t>
            </w:r>
          </w:p>
          <w:p w14:paraId="417C1F9D" w14:textId="77777777" w:rsidR="00084285" w:rsidRPr="000F453E" w:rsidRDefault="00084285" w:rsidP="00084285">
            <w:pPr>
              <w:ind w:left="510" w:hanging="510"/>
              <w:contextualSpacing/>
              <w:jc w:val="both"/>
              <w:rPr>
                <w:rFonts w:ascii="Times New Roman" w:eastAsia="Times New Roman" w:hAnsi="Times New Roman" w:cs="Times New Roman"/>
                <w:sz w:val="20"/>
                <w:szCs w:val="20"/>
                <w:lang w:eastAsia="en-ZA"/>
              </w:rPr>
            </w:pPr>
            <w:r w:rsidRPr="000F453E">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0F453E">
              <w:rPr>
                <w:rFonts w:ascii="Times New Roman" w:eastAsia="Times New Roman" w:hAnsi="Times New Roman" w:cs="Times New Roman"/>
                <w:i/>
                <w:sz w:val="20"/>
                <w:szCs w:val="20"/>
                <w:lang w:eastAsia="en-ZA"/>
              </w:rPr>
              <w:t>Cherax quadricarinatus</w:t>
            </w:r>
            <w:r w:rsidRPr="000F453E">
              <w:rPr>
                <w:rFonts w:ascii="Times New Roman" w:eastAsia="Times New Roman" w:hAnsi="Times New Roman" w:cs="Times New Roman"/>
                <w:sz w:val="20"/>
                <w:szCs w:val="20"/>
                <w:lang w:eastAsia="en-ZA"/>
              </w:rPr>
              <w:t xml:space="preserve">, in South Africa and Swaziland’, </w:t>
            </w:r>
            <w:r w:rsidRPr="000F453E">
              <w:rPr>
                <w:rFonts w:ascii="Times New Roman" w:eastAsia="Times New Roman" w:hAnsi="Times New Roman" w:cs="Times New Roman"/>
                <w:i/>
                <w:iCs/>
                <w:sz w:val="20"/>
                <w:szCs w:val="20"/>
                <w:lang w:eastAsia="en-ZA"/>
              </w:rPr>
              <w:t>PeerJ</w:t>
            </w:r>
            <w:r w:rsidRPr="000F453E">
              <w:rPr>
                <w:rFonts w:ascii="Times New Roman" w:eastAsia="Times New Roman" w:hAnsi="Times New Roman" w:cs="Times New Roman"/>
                <w:sz w:val="20"/>
                <w:szCs w:val="20"/>
                <w:lang w:eastAsia="en-ZA"/>
              </w:rPr>
              <w:t xml:space="preserve"> </w:t>
            </w:r>
            <w:r w:rsidRPr="000F453E">
              <w:rPr>
                <w:rFonts w:ascii="Times New Roman" w:eastAsia="Times New Roman" w:hAnsi="Times New Roman" w:cs="Times New Roman"/>
                <w:iCs/>
                <w:sz w:val="20"/>
                <w:szCs w:val="20"/>
                <w:lang w:eastAsia="en-ZA"/>
              </w:rPr>
              <w:t>5,</w:t>
            </w:r>
            <w:r w:rsidRPr="000F453E">
              <w:rPr>
                <w:rFonts w:ascii="Times New Roman" w:eastAsia="Times New Roman" w:hAnsi="Times New Roman" w:cs="Times New Roman"/>
                <w:sz w:val="20"/>
                <w:szCs w:val="20"/>
                <w:lang w:eastAsia="en-ZA"/>
              </w:rPr>
              <w:t xml:space="preserve"> 1-21. </w:t>
            </w:r>
            <w:hyperlink r:id="rId264" w:history="1">
              <w:r w:rsidRPr="000F453E">
                <w:rPr>
                  <w:rStyle w:val="Hyperlink"/>
                  <w:rFonts w:ascii="Times New Roman" w:eastAsia="Times New Roman" w:hAnsi="Times New Roman" w:cs="Times New Roman"/>
                  <w:sz w:val="20"/>
                  <w:szCs w:val="20"/>
                  <w:lang w:eastAsia="en-ZA"/>
                </w:rPr>
                <w:t>https://doi.org/10.7717/peerj.3135</w:t>
              </w:r>
            </w:hyperlink>
            <w:r w:rsidRPr="000F453E">
              <w:rPr>
                <w:rFonts w:ascii="Times New Roman" w:eastAsia="Times New Roman" w:hAnsi="Times New Roman" w:cs="Times New Roman"/>
                <w:sz w:val="20"/>
                <w:szCs w:val="20"/>
                <w:lang w:eastAsia="en-ZA"/>
              </w:rPr>
              <w:t xml:space="preserve">.  </w:t>
            </w:r>
          </w:p>
          <w:p w14:paraId="51D59C28" w14:textId="77777777" w:rsidR="00084285" w:rsidRPr="000F453E" w:rsidRDefault="00084285" w:rsidP="00084285">
            <w:pPr>
              <w:ind w:left="510" w:hanging="510"/>
              <w:contextualSpacing/>
              <w:jc w:val="both"/>
              <w:rPr>
                <w:rFonts w:ascii="Times New Roman" w:eastAsia="Times New Roman" w:hAnsi="Times New Roman" w:cs="Times New Roman"/>
                <w:bCs/>
                <w:sz w:val="20"/>
                <w:szCs w:val="20"/>
                <w:lang w:eastAsia="en-ZA"/>
              </w:rPr>
            </w:pPr>
            <w:r w:rsidRPr="000F453E">
              <w:rPr>
                <w:rFonts w:ascii="Times New Roman" w:eastAsia="Times New Roman" w:hAnsi="Times New Roman" w:cs="Times New Roman"/>
                <w:bCs/>
                <w:sz w:val="20"/>
                <w:szCs w:val="20"/>
                <w:lang w:eastAsia="en-ZA"/>
              </w:rPr>
              <w:t xml:space="preserve">Peay, S., Johnsen, S.I, Bean, S.W., Dunn, A.M., Sandodden, R. &amp; Edsman, L, 2019, ‘Biocide treatment of invasive signal crayfish: Successes, failures and lessons learned’, </w:t>
            </w:r>
            <w:r w:rsidRPr="000F453E">
              <w:rPr>
                <w:rFonts w:ascii="Times New Roman" w:eastAsia="Times New Roman" w:hAnsi="Times New Roman" w:cs="Times New Roman"/>
                <w:bCs/>
                <w:i/>
                <w:sz w:val="20"/>
                <w:szCs w:val="20"/>
                <w:lang w:eastAsia="en-ZA"/>
              </w:rPr>
              <w:t>Diversity</w:t>
            </w:r>
            <w:r w:rsidRPr="000F453E">
              <w:rPr>
                <w:rFonts w:ascii="Times New Roman" w:eastAsia="Times New Roman" w:hAnsi="Times New Roman" w:cs="Times New Roman"/>
                <w:bCs/>
                <w:sz w:val="20"/>
                <w:szCs w:val="20"/>
                <w:lang w:eastAsia="en-ZA"/>
              </w:rPr>
              <w:t xml:space="preserve"> 11, 29. </w:t>
            </w:r>
            <w:hyperlink r:id="rId265" w:history="1">
              <w:r w:rsidRPr="000F453E">
                <w:rPr>
                  <w:rStyle w:val="Hyperlink"/>
                  <w:rFonts w:ascii="Times New Roman" w:eastAsia="Times New Roman" w:hAnsi="Times New Roman" w:cs="Times New Roman"/>
                  <w:bCs/>
                  <w:sz w:val="20"/>
                  <w:szCs w:val="20"/>
                  <w:lang w:eastAsia="en-ZA"/>
                </w:rPr>
                <w:t>https://doi.org/10.3390/d11030029</w:t>
              </w:r>
            </w:hyperlink>
            <w:r w:rsidRPr="000F453E">
              <w:rPr>
                <w:rFonts w:ascii="Times New Roman" w:eastAsia="Times New Roman" w:hAnsi="Times New Roman" w:cs="Times New Roman"/>
                <w:bCs/>
                <w:sz w:val="20"/>
                <w:szCs w:val="20"/>
                <w:lang w:eastAsia="en-ZA"/>
              </w:rPr>
              <w:t xml:space="preserve">  </w:t>
            </w:r>
          </w:p>
          <w:p w14:paraId="0AD4875F" w14:textId="77777777" w:rsidR="00084285" w:rsidRPr="000F453E" w:rsidRDefault="00084285" w:rsidP="00084285">
            <w:pPr>
              <w:ind w:left="510" w:hanging="510"/>
              <w:contextualSpacing/>
              <w:jc w:val="both"/>
              <w:rPr>
                <w:rFonts w:ascii="Times New Roman" w:eastAsia="Times New Roman" w:hAnsi="Times New Roman" w:cs="Times New Roman"/>
                <w:sz w:val="20"/>
                <w:szCs w:val="20"/>
                <w:lang w:eastAsia="en-ZA"/>
              </w:rPr>
            </w:pPr>
            <w:r w:rsidRPr="000F453E">
              <w:rPr>
                <w:rFonts w:ascii="Times New Roman" w:eastAsia="Times New Roman" w:hAnsi="Times New Roman" w:cs="Times New Roman"/>
                <w:sz w:val="20"/>
                <w:szCs w:val="20"/>
                <w:lang w:eastAsia="en-ZA"/>
              </w:rPr>
              <w:t xml:space="preserve">Stebbing, P., Longshaw, M., Scott, A., 2014, ‘Review of methods for the management of nonindigenous crayfish, with particular reference to Great Britain’, </w:t>
            </w:r>
            <w:r w:rsidRPr="000F453E">
              <w:rPr>
                <w:rFonts w:ascii="Times New Roman" w:eastAsia="Times New Roman" w:hAnsi="Times New Roman" w:cs="Times New Roman"/>
                <w:i/>
                <w:iCs/>
                <w:sz w:val="20"/>
                <w:szCs w:val="20"/>
                <w:lang w:eastAsia="en-ZA"/>
              </w:rPr>
              <w:t>Ethology Ecology &amp; Evolution</w:t>
            </w:r>
            <w:r w:rsidRPr="000F453E">
              <w:rPr>
                <w:rFonts w:ascii="Times New Roman" w:eastAsia="Times New Roman" w:hAnsi="Times New Roman" w:cs="Times New Roman"/>
                <w:sz w:val="20"/>
                <w:szCs w:val="20"/>
                <w:lang w:eastAsia="en-ZA"/>
              </w:rPr>
              <w:t xml:space="preserve"> 26, 204-231. https://doi.org/10.1080/03949370.2014.908326.</w:t>
            </w:r>
          </w:p>
          <w:p w14:paraId="4E9E0044" w14:textId="0DD220AA" w:rsidR="002D7080" w:rsidRPr="004D1E6F" w:rsidRDefault="00084285" w:rsidP="00084285">
            <w:pPr>
              <w:ind w:left="720" w:hanging="720"/>
              <w:contextualSpacing/>
              <w:jc w:val="both"/>
              <w:rPr>
                <w:rFonts w:ascii="Times New Roman" w:eastAsia="Times New Roman" w:hAnsi="Times New Roman" w:cs="Times New Roman"/>
                <w:sz w:val="20"/>
                <w:szCs w:val="20"/>
                <w:lang w:eastAsia="en-ZA"/>
              </w:rPr>
            </w:pPr>
            <w:r w:rsidRPr="000F453E">
              <w:rPr>
                <w:rFonts w:ascii="Times New Roman" w:eastAsia="Times New Roman" w:hAnsi="Times New Roman" w:cs="Times New Roman"/>
                <w:iCs/>
                <w:sz w:val="20"/>
                <w:szCs w:val="20"/>
                <w:lang w:eastAsia="en-ZA"/>
              </w:rPr>
              <w:lastRenderedPageBreak/>
              <w:t>Woodford, D.J., Ivey, P., Novoa, A., Shackleton, R., Richardson, D., Weyl, O., Van Wilgen, B. and Zengeya, T</w:t>
            </w:r>
            <w:r w:rsidRPr="000F453E">
              <w:rPr>
                <w:rFonts w:ascii="Times New Roman" w:eastAsia="Times New Roman" w:hAnsi="Times New Roman" w:cs="Times New Roman"/>
                <w:sz w:val="20"/>
                <w:szCs w:val="20"/>
                <w:lang w:eastAsia="en-ZA"/>
              </w:rPr>
              <w:t xml:space="preserve">., 2017, ‘Managing conflict-generating invasive species in South Africa: Challenges and trade-offs’, </w:t>
            </w:r>
            <w:r w:rsidRPr="000F453E">
              <w:rPr>
                <w:rFonts w:ascii="Times New Roman" w:eastAsia="Times New Roman" w:hAnsi="Times New Roman" w:cs="Times New Roman"/>
                <w:i/>
                <w:iCs/>
                <w:sz w:val="20"/>
                <w:szCs w:val="20"/>
                <w:lang w:eastAsia="en-ZA"/>
              </w:rPr>
              <w:t xml:space="preserve">Bothalia </w:t>
            </w:r>
            <w:r w:rsidRPr="000F453E">
              <w:rPr>
                <w:rFonts w:ascii="Times New Roman" w:eastAsia="Times New Roman" w:hAnsi="Times New Roman" w:cs="Times New Roman"/>
                <w:sz w:val="20"/>
                <w:szCs w:val="20"/>
                <w:lang w:eastAsia="en-ZA"/>
              </w:rPr>
              <w:t>47, a2160. https://doi. org/10.4102/abc.v47i2.2160.</w:t>
            </w:r>
          </w:p>
        </w:tc>
      </w:tr>
    </w:tbl>
    <w:p w14:paraId="3D8BCDDC"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8"/>
        <w:tblW w:w="9067" w:type="dxa"/>
        <w:tblLook w:val="04A0" w:firstRow="1" w:lastRow="0" w:firstColumn="1" w:lastColumn="0" w:noHBand="0" w:noVBand="1"/>
      </w:tblPr>
      <w:tblGrid>
        <w:gridCol w:w="1696"/>
        <w:gridCol w:w="7371"/>
      </w:tblGrid>
      <w:tr w:rsidR="002D7080" w:rsidRPr="004D1E6F" w14:paraId="424E3F65" w14:textId="77777777" w:rsidTr="002E2C37">
        <w:trPr>
          <w:trHeight w:val="343"/>
        </w:trPr>
        <w:tc>
          <w:tcPr>
            <w:tcW w:w="9067" w:type="dxa"/>
            <w:gridSpan w:val="2"/>
            <w:shd w:val="clear" w:color="auto" w:fill="F2F2F2" w:themeFill="background1" w:themeFillShade="F2"/>
          </w:tcPr>
          <w:p w14:paraId="37653FD2"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sz w:val="20"/>
                <w:szCs w:val="20"/>
                <w:lang w:eastAsia="en-ZA"/>
              </w:rPr>
              <w:t xml:space="preserve">MAN6 Any other management considerations to highlight? </w:t>
            </w:r>
            <w:r w:rsidRPr="004D1E6F">
              <w:rPr>
                <w:rFonts w:ascii="Times New Roman" w:eastAsia="Times New Roman" w:hAnsi="Times New Roman" w:cs="Times New Roman"/>
                <w:sz w:val="20"/>
                <w:szCs w:val="20"/>
                <w:lang w:eastAsia="en-ZA"/>
              </w:rPr>
              <w:t>(if yes, fill in Appendix MAN6)</w:t>
            </w:r>
          </w:p>
        </w:tc>
      </w:tr>
      <w:tr w:rsidR="002D7080" w:rsidRPr="004D1E6F" w14:paraId="553FF906" w14:textId="77777777" w:rsidTr="002E2C37">
        <w:trPr>
          <w:trHeight w:val="70"/>
        </w:trPr>
        <w:tc>
          <w:tcPr>
            <w:tcW w:w="1696" w:type="dxa"/>
          </w:tcPr>
          <w:p w14:paraId="4EE2D2F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w:t>
            </w:r>
          </w:p>
        </w:tc>
        <w:tc>
          <w:tcPr>
            <w:tcW w:w="7371" w:type="dxa"/>
          </w:tcPr>
          <w:p w14:paraId="6EC34BC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r>
    </w:tbl>
    <w:p w14:paraId="12413745" w14:textId="77777777" w:rsidR="002D7080" w:rsidRPr="004D1E6F" w:rsidRDefault="002D7080" w:rsidP="002D7080">
      <w:pPr>
        <w:spacing w:after="160" w:line="259" w:lineRule="auto"/>
        <w:rPr>
          <w:rFonts w:ascii="Times New Roman" w:eastAsia="Times New Roman" w:hAnsi="Times New Roman" w:cs="Times New Roman"/>
          <w:b/>
          <w:color w:val="000000"/>
          <w:sz w:val="20"/>
          <w:szCs w:val="20"/>
          <w:lang w:eastAsia="en-ZA"/>
        </w:rPr>
      </w:pPr>
    </w:p>
    <w:p w14:paraId="6AF20E9B"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5. Calculations</w:t>
      </w:r>
    </w:p>
    <w:p w14:paraId="63274785"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74EF92DA"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Likelihood = Very unlikely</w:t>
      </w:r>
    </w:p>
    <w:p w14:paraId="25E1B7B9"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8"/>
        <w:tblW w:w="0" w:type="auto"/>
        <w:tblLook w:val="04A0" w:firstRow="1" w:lastRow="0" w:firstColumn="1" w:lastColumn="0" w:noHBand="0" w:noVBand="1"/>
      </w:tblPr>
      <w:tblGrid>
        <w:gridCol w:w="1195"/>
        <w:gridCol w:w="2628"/>
        <w:gridCol w:w="2939"/>
        <w:gridCol w:w="2254"/>
      </w:tblGrid>
      <w:tr w:rsidR="002D7080" w:rsidRPr="004D1E6F" w14:paraId="337F9546" w14:textId="77777777" w:rsidTr="002E2C37">
        <w:tc>
          <w:tcPr>
            <w:tcW w:w="1195" w:type="dxa"/>
            <w:shd w:val="clear" w:color="auto" w:fill="D9D9D9" w:themeFill="background1" w:themeFillShade="D9"/>
            <w:vAlign w:val="center"/>
          </w:tcPr>
          <w:p w14:paraId="5F51F7DE"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Parameter</w:t>
            </w:r>
          </w:p>
        </w:tc>
        <w:tc>
          <w:tcPr>
            <w:tcW w:w="2628" w:type="dxa"/>
            <w:shd w:val="clear" w:color="auto" w:fill="D9D9D9" w:themeFill="background1" w:themeFillShade="D9"/>
            <w:vAlign w:val="center"/>
          </w:tcPr>
          <w:p w14:paraId="669EDA4F"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Likelihood</w:t>
            </w:r>
          </w:p>
        </w:tc>
        <w:tc>
          <w:tcPr>
            <w:tcW w:w="2939" w:type="dxa"/>
            <w:shd w:val="clear" w:color="auto" w:fill="D9D9D9" w:themeFill="background1" w:themeFillShade="D9"/>
            <w:vAlign w:val="center"/>
          </w:tcPr>
          <w:p w14:paraId="772A00A8"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Stages</w:t>
            </w:r>
          </w:p>
        </w:tc>
        <w:tc>
          <w:tcPr>
            <w:tcW w:w="2254" w:type="dxa"/>
            <w:shd w:val="clear" w:color="auto" w:fill="D9D9D9" w:themeFill="background1" w:themeFillShade="D9"/>
            <w:vAlign w:val="center"/>
          </w:tcPr>
          <w:p w14:paraId="216825D1"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Final assessment</w:t>
            </w:r>
          </w:p>
        </w:tc>
      </w:tr>
      <w:tr w:rsidR="002D7080" w:rsidRPr="004D1E6F" w14:paraId="4AE5E3D0" w14:textId="77777777" w:rsidTr="002E2C37">
        <w:tc>
          <w:tcPr>
            <w:tcW w:w="1195" w:type="dxa"/>
            <w:shd w:val="clear" w:color="auto" w:fill="D9D9D9" w:themeFill="background1" w:themeFillShade="D9"/>
            <w:vAlign w:val="center"/>
          </w:tcPr>
          <w:p w14:paraId="408E69CF"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LIK1</w:t>
            </w:r>
          </w:p>
        </w:tc>
        <w:tc>
          <w:tcPr>
            <w:tcW w:w="2628" w:type="dxa"/>
            <w:shd w:val="clear" w:color="auto" w:fill="D9D9D9" w:themeFill="background1" w:themeFillShade="D9"/>
            <w:vAlign w:val="center"/>
          </w:tcPr>
          <w:p w14:paraId="327DF9B3"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0.0027 </w:t>
            </w:r>
          </w:p>
        </w:tc>
        <w:tc>
          <w:tcPr>
            <w:tcW w:w="2939" w:type="dxa"/>
            <w:vMerge w:val="restart"/>
            <w:vAlign w:val="center"/>
          </w:tcPr>
          <w:p w14:paraId="25E1172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P(entry) = 0.5</w:t>
            </w:r>
          </w:p>
        </w:tc>
        <w:tc>
          <w:tcPr>
            <w:tcW w:w="2254" w:type="dxa"/>
            <w:vMerge w:val="restart"/>
            <w:vAlign w:val="center"/>
          </w:tcPr>
          <w:p w14:paraId="474205D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 (invasion) = 0.125</w:t>
            </w:r>
          </w:p>
        </w:tc>
      </w:tr>
      <w:tr w:rsidR="002D7080" w:rsidRPr="004D1E6F" w14:paraId="7E19DE9C" w14:textId="77777777" w:rsidTr="002E2C37">
        <w:tc>
          <w:tcPr>
            <w:tcW w:w="1195" w:type="dxa"/>
            <w:shd w:val="clear" w:color="auto" w:fill="D9D9D9" w:themeFill="background1" w:themeFillShade="D9"/>
            <w:vAlign w:val="center"/>
          </w:tcPr>
          <w:p w14:paraId="706187F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LIK2</w:t>
            </w:r>
          </w:p>
        </w:tc>
        <w:tc>
          <w:tcPr>
            <w:tcW w:w="2628" w:type="dxa"/>
            <w:shd w:val="clear" w:color="auto" w:fill="D9D9D9" w:themeFill="background1" w:themeFillShade="D9"/>
            <w:vAlign w:val="center"/>
          </w:tcPr>
          <w:p w14:paraId="68A8F92C"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0.5</w:t>
            </w:r>
          </w:p>
        </w:tc>
        <w:tc>
          <w:tcPr>
            <w:tcW w:w="2939" w:type="dxa"/>
            <w:vMerge/>
            <w:vAlign w:val="center"/>
          </w:tcPr>
          <w:p w14:paraId="356BF7E8"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0A1260D7"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167B3C30" w14:textId="77777777" w:rsidTr="002E2C37">
        <w:tc>
          <w:tcPr>
            <w:tcW w:w="1195" w:type="dxa"/>
            <w:shd w:val="clear" w:color="auto" w:fill="D9D9D9" w:themeFill="background1" w:themeFillShade="D9"/>
            <w:vAlign w:val="center"/>
          </w:tcPr>
          <w:p w14:paraId="417E03F4"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LIK3</w:t>
            </w:r>
          </w:p>
        </w:tc>
        <w:tc>
          <w:tcPr>
            <w:tcW w:w="2628" w:type="dxa"/>
            <w:shd w:val="clear" w:color="auto" w:fill="D9D9D9" w:themeFill="background1" w:themeFillShade="D9"/>
            <w:vAlign w:val="center"/>
          </w:tcPr>
          <w:p w14:paraId="1A6A7618"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0.5 </w:t>
            </w:r>
          </w:p>
        </w:tc>
        <w:tc>
          <w:tcPr>
            <w:tcW w:w="2939" w:type="dxa"/>
            <w:vMerge w:val="restart"/>
            <w:vAlign w:val="center"/>
          </w:tcPr>
          <w:p w14:paraId="01413104"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P(establishment) = 0.5</w:t>
            </w:r>
          </w:p>
        </w:tc>
        <w:tc>
          <w:tcPr>
            <w:tcW w:w="2254" w:type="dxa"/>
            <w:vMerge/>
            <w:vAlign w:val="center"/>
          </w:tcPr>
          <w:p w14:paraId="3D022611"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500140F7" w14:textId="77777777" w:rsidTr="002E2C37">
        <w:tc>
          <w:tcPr>
            <w:tcW w:w="1195" w:type="dxa"/>
            <w:shd w:val="clear" w:color="auto" w:fill="D9D9D9" w:themeFill="background1" w:themeFillShade="D9"/>
            <w:vAlign w:val="center"/>
          </w:tcPr>
          <w:p w14:paraId="10C0AC7F"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LIK4</w:t>
            </w:r>
          </w:p>
        </w:tc>
        <w:tc>
          <w:tcPr>
            <w:tcW w:w="2628" w:type="dxa"/>
            <w:shd w:val="clear" w:color="auto" w:fill="D9D9D9" w:themeFill="background1" w:themeFillShade="D9"/>
            <w:vAlign w:val="center"/>
          </w:tcPr>
          <w:p w14:paraId="4AA63A4F"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0.5 </w:t>
            </w:r>
          </w:p>
        </w:tc>
        <w:tc>
          <w:tcPr>
            <w:tcW w:w="2939" w:type="dxa"/>
            <w:vMerge/>
            <w:vAlign w:val="center"/>
          </w:tcPr>
          <w:p w14:paraId="6617CF0D"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3A6F0435"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652586E2" w14:textId="77777777" w:rsidTr="002E2C37">
        <w:tc>
          <w:tcPr>
            <w:tcW w:w="1195" w:type="dxa"/>
            <w:shd w:val="clear" w:color="auto" w:fill="D9D9D9" w:themeFill="background1" w:themeFillShade="D9"/>
            <w:vAlign w:val="center"/>
          </w:tcPr>
          <w:p w14:paraId="5B262A28"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LIK5</w:t>
            </w:r>
          </w:p>
        </w:tc>
        <w:tc>
          <w:tcPr>
            <w:tcW w:w="2628" w:type="dxa"/>
            <w:shd w:val="clear" w:color="auto" w:fill="D9D9D9" w:themeFill="background1" w:themeFillShade="D9"/>
            <w:vAlign w:val="center"/>
          </w:tcPr>
          <w:p w14:paraId="622C25F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0.0027</w:t>
            </w:r>
          </w:p>
        </w:tc>
        <w:tc>
          <w:tcPr>
            <w:tcW w:w="2939" w:type="dxa"/>
            <w:vMerge w:val="restart"/>
            <w:vAlign w:val="center"/>
          </w:tcPr>
          <w:p w14:paraId="52BA0C23"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 (spread) = 0.5</w:t>
            </w:r>
          </w:p>
        </w:tc>
        <w:tc>
          <w:tcPr>
            <w:tcW w:w="2254" w:type="dxa"/>
            <w:vMerge/>
            <w:vAlign w:val="center"/>
          </w:tcPr>
          <w:p w14:paraId="46708184"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3C940EBA" w14:textId="77777777" w:rsidTr="002E2C37">
        <w:tc>
          <w:tcPr>
            <w:tcW w:w="1195" w:type="dxa"/>
            <w:shd w:val="clear" w:color="auto" w:fill="D9D9D9" w:themeFill="background1" w:themeFillShade="D9"/>
            <w:vAlign w:val="center"/>
          </w:tcPr>
          <w:p w14:paraId="6BB47573"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LIK6</w:t>
            </w:r>
          </w:p>
        </w:tc>
        <w:tc>
          <w:tcPr>
            <w:tcW w:w="2628" w:type="dxa"/>
            <w:shd w:val="clear" w:color="auto" w:fill="D9D9D9" w:themeFill="background1" w:themeFillShade="D9"/>
            <w:vAlign w:val="center"/>
          </w:tcPr>
          <w:p w14:paraId="050AA57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0.5</w:t>
            </w:r>
          </w:p>
        </w:tc>
        <w:tc>
          <w:tcPr>
            <w:tcW w:w="2939" w:type="dxa"/>
            <w:vMerge/>
            <w:vAlign w:val="center"/>
          </w:tcPr>
          <w:p w14:paraId="047A238B"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5CB23B26" w14:textId="77777777" w:rsidR="002D7080" w:rsidRPr="004D1E6F" w:rsidRDefault="002D7080" w:rsidP="002E2C37">
            <w:pPr>
              <w:rPr>
                <w:rFonts w:ascii="Times New Roman" w:eastAsia="Times New Roman" w:hAnsi="Times New Roman" w:cs="Times New Roman"/>
                <w:color w:val="000000"/>
                <w:sz w:val="20"/>
                <w:szCs w:val="20"/>
                <w:lang w:eastAsia="en-ZA"/>
              </w:rPr>
            </w:pPr>
          </w:p>
        </w:tc>
      </w:tr>
    </w:tbl>
    <w:p w14:paraId="1705BAF5"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51E2041F"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Consequence = </w:t>
      </w:r>
      <w:r w:rsidRPr="003B0237">
        <w:rPr>
          <w:rFonts w:ascii="Times New Roman" w:eastAsia="Times New Roman" w:hAnsi="Times New Roman" w:cs="Times New Roman"/>
          <w:b/>
          <w:bCs/>
          <w:color w:val="000000"/>
          <w:sz w:val="20"/>
          <w:szCs w:val="20"/>
          <w:lang w:eastAsia="en-ZA"/>
        </w:rPr>
        <w:t>Major (MR)</w:t>
      </w:r>
    </w:p>
    <w:p w14:paraId="66C4FF2A"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22"/>
        <w:tblW w:w="0" w:type="auto"/>
        <w:tblLook w:val="04A0" w:firstRow="1" w:lastRow="0" w:firstColumn="1" w:lastColumn="0" w:noHBand="0" w:noVBand="1"/>
      </w:tblPr>
      <w:tblGrid>
        <w:gridCol w:w="1555"/>
        <w:gridCol w:w="5953"/>
        <w:gridCol w:w="1508"/>
      </w:tblGrid>
      <w:tr w:rsidR="002D7080" w:rsidRPr="004D1E6F" w14:paraId="5055AF55" w14:textId="77777777" w:rsidTr="002E2C37">
        <w:tc>
          <w:tcPr>
            <w:tcW w:w="1555" w:type="dxa"/>
            <w:shd w:val="clear" w:color="auto" w:fill="D9D9D9" w:themeFill="background1" w:themeFillShade="D9"/>
          </w:tcPr>
          <w:p w14:paraId="2E7DC94C" w14:textId="77777777" w:rsidR="002D7080" w:rsidRPr="00905722" w:rsidRDefault="002D7080" w:rsidP="002E2C37">
            <w:pPr>
              <w:jc w:val="both"/>
              <w:rPr>
                <w:rFonts w:ascii="Times New Roman" w:eastAsia="Times New Roman" w:hAnsi="Times New Roman" w:cs="Times New Roman"/>
                <w:b/>
                <w:sz w:val="20"/>
                <w:szCs w:val="20"/>
                <w:lang w:eastAsia="en-ZA"/>
              </w:rPr>
            </w:pPr>
            <w:r w:rsidRPr="00905722">
              <w:rPr>
                <w:rFonts w:ascii="Times New Roman" w:eastAsia="Times New Roman" w:hAnsi="Times New Roman" w:cs="Times New Roman"/>
                <w:b/>
                <w:sz w:val="20"/>
                <w:szCs w:val="20"/>
                <w:lang w:eastAsia="en-ZA"/>
              </w:rPr>
              <w:t>Parameter</w:t>
            </w:r>
          </w:p>
        </w:tc>
        <w:tc>
          <w:tcPr>
            <w:tcW w:w="5953" w:type="dxa"/>
            <w:shd w:val="clear" w:color="auto" w:fill="D9D9D9" w:themeFill="background1" w:themeFillShade="D9"/>
          </w:tcPr>
          <w:p w14:paraId="2AA036B0" w14:textId="77777777" w:rsidR="002D7080" w:rsidRPr="00905722" w:rsidRDefault="002D7080" w:rsidP="002E2C37">
            <w:pPr>
              <w:jc w:val="both"/>
              <w:rPr>
                <w:rFonts w:ascii="Times New Roman" w:eastAsia="Times New Roman" w:hAnsi="Times New Roman" w:cs="Times New Roman"/>
                <w:b/>
                <w:sz w:val="20"/>
                <w:szCs w:val="20"/>
                <w:lang w:eastAsia="en-ZA"/>
              </w:rPr>
            </w:pPr>
            <w:r w:rsidRPr="00905722">
              <w:rPr>
                <w:rFonts w:ascii="Times New Roman" w:eastAsia="Times New Roman" w:hAnsi="Times New Roman" w:cs="Times New Roman"/>
                <w:b/>
                <w:sz w:val="20"/>
                <w:szCs w:val="20"/>
                <w:lang w:eastAsia="en-ZA"/>
              </w:rPr>
              <w:t>Mechanism/sector</w:t>
            </w:r>
          </w:p>
        </w:tc>
        <w:tc>
          <w:tcPr>
            <w:tcW w:w="1508" w:type="dxa"/>
            <w:shd w:val="clear" w:color="auto" w:fill="D9D9D9" w:themeFill="background1" w:themeFillShade="D9"/>
          </w:tcPr>
          <w:p w14:paraId="5F5EBBC0" w14:textId="77777777" w:rsidR="002D7080" w:rsidRPr="00905722" w:rsidRDefault="002D7080" w:rsidP="002E2C37">
            <w:pPr>
              <w:jc w:val="both"/>
              <w:rPr>
                <w:rFonts w:ascii="Times New Roman" w:eastAsia="Times New Roman" w:hAnsi="Times New Roman" w:cs="Times New Roman"/>
                <w:b/>
                <w:sz w:val="20"/>
                <w:szCs w:val="20"/>
                <w:lang w:eastAsia="en-ZA"/>
              </w:rPr>
            </w:pPr>
            <w:r w:rsidRPr="00905722">
              <w:rPr>
                <w:rFonts w:ascii="Times New Roman" w:eastAsia="Times New Roman" w:hAnsi="Times New Roman" w:cs="Times New Roman"/>
                <w:b/>
                <w:sz w:val="20"/>
                <w:szCs w:val="20"/>
                <w:lang w:eastAsia="en-ZA"/>
              </w:rPr>
              <w:t>Response</w:t>
            </w:r>
          </w:p>
        </w:tc>
      </w:tr>
      <w:tr w:rsidR="002D7080" w:rsidRPr="004D1E6F" w14:paraId="397C343B" w14:textId="77777777" w:rsidTr="002E2C37">
        <w:tc>
          <w:tcPr>
            <w:tcW w:w="1555" w:type="dxa"/>
            <w:shd w:val="clear" w:color="auto" w:fill="D9D9D9" w:themeFill="background1" w:themeFillShade="D9"/>
          </w:tcPr>
          <w:p w14:paraId="02343004"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CON1</w:t>
            </w:r>
          </w:p>
        </w:tc>
        <w:tc>
          <w:tcPr>
            <w:tcW w:w="5953" w:type="dxa"/>
            <w:shd w:val="clear" w:color="auto" w:fill="D9D9D9" w:themeFill="background1" w:themeFillShade="D9"/>
          </w:tcPr>
          <w:p w14:paraId="2722BEA7"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 xml:space="preserve">Maximum environmental impact </w:t>
            </w:r>
          </w:p>
        </w:tc>
        <w:tc>
          <w:tcPr>
            <w:tcW w:w="1508" w:type="dxa"/>
          </w:tcPr>
          <w:p w14:paraId="7AF8E528"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DD</w:t>
            </w:r>
          </w:p>
        </w:tc>
      </w:tr>
      <w:tr w:rsidR="002D7080" w:rsidRPr="004D1E6F" w14:paraId="0C707545" w14:textId="77777777" w:rsidTr="002E2C37">
        <w:tc>
          <w:tcPr>
            <w:tcW w:w="1555" w:type="dxa"/>
            <w:shd w:val="clear" w:color="auto" w:fill="D9D9D9" w:themeFill="background1" w:themeFillShade="D9"/>
          </w:tcPr>
          <w:p w14:paraId="6CEC8948"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CON2</w:t>
            </w:r>
          </w:p>
        </w:tc>
        <w:tc>
          <w:tcPr>
            <w:tcW w:w="5953" w:type="dxa"/>
            <w:shd w:val="clear" w:color="auto" w:fill="D9D9D9" w:themeFill="background1" w:themeFillShade="D9"/>
          </w:tcPr>
          <w:p w14:paraId="495B84CB"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Maximum socio-economic impact</w:t>
            </w:r>
          </w:p>
        </w:tc>
        <w:tc>
          <w:tcPr>
            <w:tcW w:w="1508" w:type="dxa"/>
          </w:tcPr>
          <w:p w14:paraId="5702407A"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DD</w:t>
            </w:r>
          </w:p>
        </w:tc>
      </w:tr>
      <w:tr w:rsidR="002D7080" w:rsidRPr="004D1E6F" w14:paraId="4B697857" w14:textId="77777777" w:rsidTr="002E2C37">
        <w:tc>
          <w:tcPr>
            <w:tcW w:w="1555" w:type="dxa"/>
            <w:shd w:val="clear" w:color="auto" w:fill="D9D9D9" w:themeFill="background1" w:themeFillShade="D9"/>
          </w:tcPr>
          <w:p w14:paraId="514F8F96"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CON3a</w:t>
            </w:r>
          </w:p>
        </w:tc>
        <w:tc>
          <w:tcPr>
            <w:tcW w:w="5953" w:type="dxa"/>
            <w:shd w:val="clear" w:color="auto" w:fill="D9D9D9" w:themeFill="background1" w:themeFillShade="D9"/>
          </w:tcPr>
          <w:p w14:paraId="74445E2E"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Competition</w:t>
            </w:r>
          </w:p>
        </w:tc>
        <w:tc>
          <w:tcPr>
            <w:tcW w:w="1508" w:type="dxa"/>
          </w:tcPr>
          <w:p w14:paraId="7DDE121A"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DD</w:t>
            </w:r>
          </w:p>
        </w:tc>
      </w:tr>
      <w:tr w:rsidR="002D7080" w:rsidRPr="004D1E6F" w14:paraId="79422639" w14:textId="77777777" w:rsidTr="002E2C37">
        <w:tc>
          <w:tcPr>
            <w:tcW w:w="1555" w:type="dxa"/>
            <w:shd w:val="clear" w:color="auto" w:fill="D9D9D9" w:themeFill="background1" w:themeFillShade="D9"/>
          </w:tcPr>
          <w:p w14:paraId="283A760D"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CON3b</w:t>
            </w:r>
          </w:p>
        </w:tc>
        <w:tc>
          <w:tcPr>
            <w:tcW w:w="5953" w:type="dxa"/>
            <w:shd w:val="clear" w:color="auto" w:fill="D9D9D9" w:themeFill="background1" w:themeFillShade="D9"/>
          </w:tcPr>
          <w:p w14:paraId="65CF9F65"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Predation</w:t>
            </w:r>
          </w:p>
        </w:tc>
        <w:tc>
          <w:tcPr>
            <w:tcW w:w="1508" w:type="dxa"/>
          </w:tcPr>
          <w:p w14:paraId="6922DB40"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DD</w:t>
            </w:r>
          </w:p>
        </w:tc>
      </w:tr>
      <w:tr w:rsidR="002D7080" w:rsidRPr="004D1E6F" w14:paraId="7FB5230D" w14:textId="77777777" w:rsidTr="002E2C37">
        <w:tc>
          <w:tcPr>
            <w:tcW w:w="1555" w:type="dxa"/>
            <w:shd w:val="clear" w:color="auto" w:fill="D9D9D9" w:themeFill="background1" w:themeFillShade="D9"/>
          </w:tcPr>
          <w:p w14:paraId="79C16232"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CON3c</w:t>
            </w:r>
          </w:p>
        </w:tc>
        <w:tc>
          <w:tcPr>
            <w:tcW w:w="5953" w:type="dxa"/>
            <w:shd w:val="clear" w:color="auto" w:fill="D9D9D9" w:themeFill="background1" w:themeFillShade="D9"/>
          </w:tcPr>
          <w:p w14:paraId="0AE1245C"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Hybridisation</w:t>
            </w:r>
          </w:p>
        </w:tc>
        <w:tc>
          <w:tcPr>
            <w:tcW w:w="1508" w:type="dxa"/>
          </w:tcPr>
          <w:p w14:paraId="7A3C8B33"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DD</w:t>
            </w:r>
          </w:p>
        </w:tc>
      </w:tr>
      <w:tr w:rsidR="002D7080" w:rsidRPr="004D1E6F" w14:paraId="5AAE2F57" w14:textId="77777777" w:rsidTr="002E2C37">
        <w:tc>
          <w:tcPr>
            <w:tcW w:w="1555" w:type="dxa"/>
            <w:shd w:val="clear" w:color="auto" w:fill="D9D9D9" w:themeFill="background1" w:themeFillShade="D9"/>
          </w:tcPr>
          <w:p w14:paraId="630EAFEB"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CON3d</w:t>
            </w:r>
          </w:p>
        </w:tc>
        <w:tc>
          <w:tcPr>
            <w:tcW w:w="5953" w:type="dxa"/>
            <w:shd w:val="clear" w:color="auto" w:fill="D9D9D9" w:themeFill="background1" w:themeFillShade="D9"/>
          </w:tcPr>
          <w:p w14:paraId="457FB080"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Disease transmission</w:t>
            </w:r>
          </w:p>
        </w:tc>
        <w:tc>
          <w:tcPr>
            <w:tcW w:w="1508" w:type="dxa"/>
          </w:tcPr>
          <w:p w14:paraId="4EA2E814"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color w:val="000000"/>
                <w:sz w:val="20"/>
                <w:szCs w:val="20"/>
                <w:lang w:eastAsia="en-ZA"/>
              </w:rPr>
              <w:t>DD</w:t>
            </w:r>
          </w:p>
        </w:tc>
      </w:tr>
      <w:tr w:rsidR="002D7080" w:rsidRPr="004D1E6F" w14:paraId="5C0F0AD9" w14:textId="77777777" w:rsidTr="002E2C37">
        <w:tc>
          <w:tcPr>
            <w:tcW w:w="1555" w:type="dxa"/>
            <w:shd w:val="clear" w:color="auto" w:fill="D9D9D9" w:themeFill="background1" w:themeFillShade="D9"/>
          </w:tcPr>
          <w:p w14:paraId="675B01E8"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CON3e</w:t>
            </w:r>
          </w:p>
        </w:tc>
        <w:tc>
          <w:tcPr>
            <w:tcW w:w="5953" w:type="dxa"/>
            <w:shd w:val="clear" w:color="auto" w:fill="D9D9D9" w:themeFill="background1" w:themeFillShade="D9"/>
          </w:tcPr>
          <w:p w14:paraId="2965114D"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Parasitism</w:t>
            </w:r>
          </w:p>
        </w:tc>
        <w:tc>
          <w:tcPr>
            <w:tcW w:w="1508" w:type="dxa"/>
          </w:tcPr>
          <w:p w14:paraId="25557FA8"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color w:val="000000"/>
                <w:sz w:val="20"/>
                <w:szCs w:val="20"/>
                <w:lang w:eastAsia="en-ZA"/>
              </w:rPr>
              <w:t>DD</w:t>
            </w:r>
          </w:p>
        </w:tc>
      </w:tr>
      <w:tr w:rsidR="002D7080" w:rsidRPr="004D1E6F" w14:paraId="3DD1EBFE" w14:textId="77777777" w:rsidTr="002E2C37">
        <w:tc>
          <w:tcPr>
            <w:tcW w:w="1555" w:type="dxa"/>
            <w:shd w:val="clear" w:color="auto" w:fill="D9D9D9" w:themeFill="background1" w:themeFillShade="D9"/>
          </w:tcPr>
          <w:p w14:paraId="48201739"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CON3f</w:t>
            </w:r>
          </w:p>
        </w:tc>
        <w:tc>
          <w:tcPr>
            <w:tcW w:w="5953" w:type="dxa"/>
            <w:shd w:val="clear" w:color="auto" w:fill="D9D9D9" w:themeFill="background1" w:themeFillShade="D9"/>
          </w:tcPr>
          <w:p w14:paraId="1227D13B"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Poisoning/toxicity</w:t>
            </w:r>
          </w:p>
        </w:tc>
        <w:tc>
          <w:tcPr>
            <w:tcW w:w="1508" w:type="dxa"/>
          </w:tcPr>
          <w:p w14:paraId="1C929103"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color w:val="000000"/>
                <w:sz w:val="20"/>
                <w:szCs w:val="20"/>
                <w:lang w:eastAsia="en-ZA"/>
              </w:rPr>
              <w:t>DD</w:t>
            </w:r>
          </w:p>
        </w:tc>
      </w:tr>
      <w:tr w:rsidR="002D7080" w:rsidRPr="004D1E6F" w14:paraId="4833A15E" w14:textId="77777777" w:rsidTr="002E2C37">
        <w:tc>
          <w:tcPr>
            <w:tcW w:w="1555" w:type="dxa"/>
            <w:shd w:val="clear" w:color="auto" w:fill="D9D9D9" w:themeFill="background1" w:themeFillShade="D9"/>
          </w:tcPr>
          <w:p w14:paraId="39574930"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CON3g</w:t>
            </w:r>
          </w:p>
        </w:tc>
        <w:tc>
          <w:tcPr>
            <w:tcW w:w="5953" w:type="dxa"/>
            <w:shd w:val="clear" w:color="auto" w:fill="D9D9D9" w:themeFill="background1" w:themeFillShade="D9"/>
          </w:tcPr>
          <w:p w14:paraId="649F8F13"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Bio-fouling or other direct physical disturbance</w:t>
            </w:r>
          </w:p>
        </w:tc>
        <w:tc>
          <w:tcPr>
            <w:tcW w:w="1508" w:type="dxa"/>
          </w:tcPr>
          <w:p w14:paraId="5840C788"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color w:val="000000"/>
                <w:sz w:val="20"/>
                <w:szCs w:val="20"/>
                <w:lang w:eastAsia="en-ZA"/>
              </w:rPr>
              <w:t>DD</w:t>
            </w:r>
          </w:p>
        </w:tc>
      </w:tr>
      <w:tr w:rsidR="002D7080" w:rsidRPr="004D1E6F" w14:paraId="7C3BAC93" w14:textId="77777777" w:rsidTr="002E2C37">
        <w:tc>
          <w:tcPr>
            <w:tcW w:w="1555" w:type="dxa"/>
            <w:shd w:val="clear" w:color="auto" w:fill="D9D9D9" w:themeFill="background1" w:themeFillShade="D9"/>
          </w:tcPr>
          <w:p w14:paraId="7FC281BD"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CON3h</w:t>
            </w:r>
          </w:p>
        </w:tc>
        <w:tc>
          <w:tcPr>
            <w:tcW w:w="5953" w:type="dxa"/>
            <w:shd w:val="clear" w:color="auto" w:fill="D9D9D9" w:themeFill="background1" w:themeFillShade="D9"/>
          </w:tcPr>
          <w:p w14:paraId="63F833C2"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Grazing/herbivory/browsing</w:t>
            </w:r>
          </w:p>
        </w:tc>
        <w:tc>
          <w:tcPr>
            <w:tcW w:w="1508" w:type="dxa"/>
          </w:tcPr>
          <w:p w14:paraId="43E67C4F"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DD</w:t>
            </w:r>
          </w:p>
        </w:tc>
      </w:tr>
      <w:tr w:rsidR="002D7080" w:rsidRPr="004D1E6F" w14:paraId="46A7F9A8" w14:textId="77777777" w:rsidTr="002E2C37">
        <w:tc>
          <w:tcPr>
            <w:tcW w:w="1555" w:type="dxa"/>
            <w:shd w:val="clear" w:color="auto" w:fill="D9D9D9" w:themeFill="background1" w:themeFillShade="D9"/>
          </w:tcPr>
          <w:p w14:paraId="1858875B"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CON3i</w:t>
            </w:r>
          </w:p>
        </w:tc>
        <w:tc>
          <w:tcPr>
            <w:tcW w:w="5953" w:type="dxa"/>
            <w:shd w:val="clear" w:color="auto" w:fill="D9D9D9" w:themeFill="background1" w:themeFillShade="D9"/>
          </w:tcPr>
          <w:p w14:paraId="174D5C98"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Chemical, physical, structural impact</w:t>
            </w:r>
          </w:p>
        </w:tc>
        <w:tc>
          <w:tcPr>
            <w:tcW w:w="1508" w:type="dxa"/>
          </w:tcPr>
          <w:p w14:paraId="0DE5DEFB"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color w:val="000000"/>
                <w:sz w:val="20"/>
                <w:szCs w:val="20"/>
                <w:lang w:eastAsia="en-ZA"/>
              </w:rPr>
              <w:t>DD</w:t>
            </w:r>
          </w:p>
        </w:tc>
      </w:tr>
      <w:tr w:rsidR="002D7080" w:rsidRPr="004D1E6F" w14:paraId="6E74546E" w14:textId="77777777" w:rsidTr="002E2C37">
        <w:tc>
          <w:tcPr>
            <w:tcW w:w="1555" w:type="dxa"/>
            <w:shd w:val="clear" w:color="auto" w:fill="D9D9D9" w:themeFill="background1" w:themeFillShade="D9"/>
          </w:tcPr>
          <w:p w14:paraId="35217DE5"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CON3k</w:t>
            </w:r>
          </w:p>
        </w:tc>
        <w:tc>
          <w:tcPr>
            <w:tcW w:w="5953" w:type="dxa"/>
            <w:shd w:val="clear" w:color="auto" w:fill="D9D9D9" w:themeFill="background1" w:themeFillShade="D9"/>
          </w:tcPr>
          <w:p w14:paraId="60E78831"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Indirect impacts through interactions with other species</w:t>
            </w:r>
          </w:p>
        </w:tc>
        <w:tc>
          <w:tcPr>
            <w:tcW w:w="1508" w:type="dxa"/>
          </w:tcPr>
          <w:p w14:paraId="2D609D03"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DD</w:t>
            </w:r>
          </w:p>
        </w:tc>
      </w:tr>
      <w:tr w:rsidR="002D7080" w:rsidRPr="004D1E6F" w14:paraId="78A01845" w14:textId="77777777" w:rsidTr="002E2C37">
        <w:tc>
          <w:tcPr>
            <w:tcW w:w="1555" w:type="dxa"/>
            <w:shd w:val="clear" w:color="auto" w:fill="D9D9D9" w:themeFill="background1" w:themeFillShade="D9"/>
          </w:tcPr>
          <w:p w14:paraId="7FD7DFB7"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lastRenderedPageBreak/>
              <w:t>CON3</w:t>
            </w:r>
          </w:p>
        </w:tc>
        <w:tc>
          <w:tcPr>
            <w:tcW w:w="5953" w:type="dxa"/>
            <w:shd w:val="clear" w:color="auto" w:fill="D9D9D9" w:themeFill="background1" w:themeFillShade="D9"/>
          </w:tcPr>
          <w:p w14:paraId="17AE7515"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Maximum environmental impact (closely related taxa)</w:t>
            </w:r>
          </w:p>
        </w:tc>
        <w:tc>
          <w:tcPr>
            <w:tcW w:w="1508" w:type="dxa"/>
          </w:tcPr>
          <w:p w14:paraId="1ACE5503"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color w:val="000000"/>
                <w:sz w:val="20"/>
                <w:szCs w:val="20"/>
                <w:lang w:eastAsia="en-ZA"/>
              </w:rPr>
              <w:t>MR</w:t>
            </w:r>
          </w:p>
        </w:tc>
      </w:tr>
      <w:tr w:rsidR="002D7080" w:rsidRPr="004D1E6F" w14:paraId="0507D842" w14:textId="77777777" w:rsidTr="002E2C37">
        <w:tc>
          <w:tcPr>
            <w:tcW w:w="1555" w:type="dxa"/>
            <w:shd w:val="clear" w:color="auto" w:fill="D9D9D9" w:themeFill="background1" w:themeFillShade="D9"/>
          </w:tcPr>
          <w:p w14:paraId="30D01A82"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CON4a</w:t>
            </w:r>
          </w:p>
        </w:tc>
        <w:tc>
          <w:tcPr>
            <w:tcW w:w="5953" w:type="dxa"/>
            <w:shd w:val="clear" w:color="auto" w:fill="D9D9D9" w:themeFill="background1" w:themeFillShade="D9"/>
          </w:tcPr>
          <w:p w14:paraId="3A95C86A"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Calibri" w:hAnsi="Times New Roman" w:cs="Times New Roman"/>
                <w:bCs/>
                <w:sz w:val="20"/>
                <w:szCs w:val="20"/>
              </w:rPr>
              <w:t>Safety</w:t>
            </w:r>
          </w:p>
        </w:tc>
        <w:tc>
          <w:tcPr>
            <w:tcW w:w="1508" w:type="dxa"/>
          </w:tcPr>
          <w:p w14:paraId="1F366686"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color w:val="000000"/>
                <w:sz w:val="20"/>
                <w:szCs w:val="20"/>
                <w:lang w:eastAsia="en-ZA"/>
              </w:rPr>
              <w:t>DD</w:t>
            </w:r>
          </w:p>
        </w:tc>
      </w:tr>
      <w:tr w:rsidR="002D7080" w:rsidRPr="004D1E6F" w14:paraId="357BCBB0" w14:textId="77777777" w:rsidTr="002E2C37">
        <w:tc>
          <w:tcPr>
            <w:tcW w:w="1555" w:type="dxa"/>
            <w:shd w:val="clear" w:color="auto" w:fill="D9D9D9" w:themeFill="background1" w:themeFillShade="D9"/>
          </w:tcPr>
          <w:p w14:paraId="19000A96"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CON4b</w:t>
            </w:r>
          </w:p>
        </w:tc>
        <w:tc>
          <w:tcPr>
            <w:tcW w:w="5953" w:type="dxa"/>
            <w:shd w:val="clear" w:color="auto" w:fill="D9D9D9" w:themeFill="background1" w:themeFillShade="D9"/>
          </w:tcPr>
          <w:p w14:paraId="31A2CF38"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Calibri" w:hAnsi="Times New Roman" w:cs="Times New Roman"/>
                <w:bCs/>
                <w:sz w:val="20"/>
                <w:szCs w:val="20"/>
              </w:rPr>
              <w:t>Material and immaterial assets</w:t>
            </w:r>
          </w:p>
        </w:tc>
        <w:tc>
          <w:tcPr>
            <w:tcW w:w="1508" w:type="dxa"/>
          </w:tcPr>
          <w:p w14:paraId="4DF4700F"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color w:val="000000"/>
                <w:sz w:val="20"/>
                <w:szCs w:val="20"/>
                <w:lang w:eastAsia="en-ZA"/>
              </w:rPr>
              <w:t>DD</w:t>
            </w:r>
          </w:p>
        </w:tc>
      </w:tr>
      <w:tr w:rsidR="002D7080" w:rsidRPr="004D1E6F" w14:paraId="2ABB55EC" w14:textId="77777777" w:rsidTr="002E2C37">
        <w:tc>
          <w:tcPr>
            <w:tcW w:w="1555" w:type="dxa"/>
            <w:shd w:val="clear" w:color="auto" w:fill="D9D9D9" w:themeFill="background1" w:themeFillShade="D9"/>
          </w:tcPr>
          <w:p w14:paraId="6941E96A"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CON4c</w:t>
            </w:r>
          </w:p>
        </w:tc>
        <w:tc>
          <w:tcPr>
            <w:tcW w:w="5953" w:type="dxa"/>
            <w:shd w:val="clear" w:color="auto" w:fill="D9D9D9" w:themeFill="background1" w:themeFillShade="D9"/>
          </w:tcPr>
          <w:p w14:paraId="20A4767B"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Calibri" w:hAnsi="Times New Roman" w:cs="Times New Roman"/>
                <w:bCs/>
                <w:sz w:val="20"/>
                <w:szCs w:val="20"/>
              </w:rPr>
              <w:t>Health</w:t>
            </w:r>
          </w:p>
        </w:tc>
        <w:tc>
          <w:tcPr>
            <w:tcW w:w="1508" w:type="dxa"/>
          </w:tcPr>
          <w:p w14:paraId="60620088"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color w:val="000000"/>
                <w:sz w:val="20"/>
                <w:szCs w:val="20"/>
                <w:lang w:eastAsia="en-ZA"/>
              </w:rPr>
              <w:t>DD</w:t>
            </w:r>
          </w:p>
        </w:tc>
      </w:tr>
      <w:tr w:rsidR="002D7080" w:rsidRPr="004D1E6F" w14:paraId="7F14655C" w14:textId="77777777" w:rsidTr="002E2C37">
        <w:tc>
          <w:tcPr>
            <w:tcW w:w="1555" w:type="dxa"/>
            <w:shd w:val="clear" w:color="auto" w:fill="D9D9D9" w:themeFill="background1" w:themeFillShade="D9"/>
          </w:tcPr>
          <w:p w14:paraId="6FDC0384"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CON4d</w:t>
            </w:r>
          </w:p>
        </w:tc>
        <w:tc>
          <w:tcPr>
            <w:tcW w:w="5953" w:type="dxa"/>
            <w:shd w:val="clear" w:color="auto" w:fill="D9D9D9" w:themeFill="background1" w:themeFillShade="D9"/>
          </w:tcPr>
          <w:p w14:paraId="667FD56A"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Calibri" w:hAnsi="Times New Roman" w:cs="Times New Roman"/>
                <w:bCs/>
                <w:sz w:val="20"/>
                <w:szCs w:val="20"/>
              </w:rPr>
              <w:t>Social, spiritual and cultural relations</w:t>
            </w:r>
          </w:p>
        </w:tc>
        <w:tc>
          <w:tcPr>
            <w:tcW w:w="1508" w:type="dxa"/>
          </w:tcPr>
          <w:p w14:paraId="512B2417"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DD</w:t>
            </w:r>
          </w:p>
        </w:tc>
      </w:tr>
      <w:tr w:rsidR="002D7080" w:rsidRPr="004D1E6F" w14:paraId="198B6BDF" w14:textId="77777777" w:rsidTr="002E2C37">
        <w:tc>
          <w:tcPr>
            <w:tcW w:w="1555" w:type="dxa"/>
            <w:shd w:val="clear" w:color="auto" w:fill="D9D9D9" w:themeFill="background1" w:themeFillShade="D9"/>
          </w:tcPr>
          <w:p w14:paraId="4C8186E9"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CON4</w:t>
            </w:r>
          </w:p>
        </w:tc>
        <w:tc>
          <w:tcPr>
            <w:tcW w:w="5953" w:type="dxa"/>
            <w:shd w:val="clear" w:color="auto" w:fill="D9D9D9" w:themeFill="background1" w:themeFillShade="D9"/>
          </w:tcPr>
          <w:p w14:paraId="202188AA"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Maximum socio-economic impact (closely related taxa)</w:t>
            </w:r>
          </w:p>
        </w:tc>
        <w:tc>
          <w:tcPr>
            <w:tcW w:w="1508" w:type="dxa"/>
          </w:tcPr>
          <w:p w14:paraId="4184AA70"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color w:val="000000"/>
                <w:sz w:val="20"/>
                <w:szCs w:val="20"/>
                <w:lang w:eastAsia="en-ZA"/>
              </w:rPr>
              <w:t>MO</w:t>
            </w:r>
          </w:p>
        </w:tc>
      </w:tr>
      <w:tr w:rsidR="002D7080" w:rsidRPr="004D1E6F" w14:paraId="16862414" w14:textId="77777777" w:rsidTr="002E2C37">
        <w:tc>
          <w:tcPr>
            <w:tcW w:w="1555" w:type="dxa"/>
            <w:shd w:val="clear" w:color="auto" w:fill="D9D9D9" w:themeFill="background1" w:themeFillShade="D9"/>
          </w:tcPr>
          <w:p w14:paraId="14B6140B"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CON5</w:t>
            </w:r>
          </w:p>
        </w:tc>
        <w:tc>
          <w:tcPr>
            <w:tcW w:w="5953" w:type="dxa"/>
            <w:shd w:val="clear" w:color="auto" w:fill="D9D9D9" w:themeFill="background1" w:themeFillShade="D9"/>
          </w:tcPr>
          <w:p w14:paraId="282BAF28"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Potential impact based on traits, experiments, or models</w:t>
            </w:r>
          </w:p>
        </w:tc>
        <w:tc>
          <w:tcPr>
            <w:tcW w:w="1508" w:type="dxa"/>
          </w:tcPr>
          <w:p w14:paraId="2EEB5E1C" w14:textId="77777777" w:rsidR="002D7080" w:rsidRPr="00905722" w:rsidRDefault="002D7080" w:rsidP="002E2C37">
            <w:pPr>
              <w:jc w:val="both"/>
              <w:rPr>
                <w:rFonts w:ascii="Times New Roman" w:eastAsia="Times New Roman" w:hAnsi="Times New Roman" w:cs="Times New Roman"/>
                <w:bCs/>
                <w:sz w:val="20"/>
                <w:szCs w:val="20"/>
                <w:lang w:eastAsia="en-ZA"/>
              </w:rPr>
            </w:pPr>
            <w:r w:rsidRPr="00905722">
              <w:rPr>
                <w:rFonts w:ascii="Times New Roman" w:eastAsia="Times New Roman" w:hAnsi="Times New Roman" w:cs="Times New Roman"/>
                <w:bCs/>
                <w:sz w:val="20"/>
                <w:szCs w:val="20"/>
                <w:lang w:eastAsia="en-ZA"/>
              </w:rPr>
              <w:t>MR</w:t>
            </w:r>
          </w:p>
        </w:tc>
      </w:tr>
    </w:tbl>
    <w:p w14:paraId="3322C6D1"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58321891"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14E547F2" w14:textId="77777777" w:rsidR="002D7080" w:rsidRDefault="002D7080" w:rsidP="002D7080">
      <w:pPr>
        <w:rPr>
          <w:rFonts w:ascii="Times New Roman" w:eastAsia="Times New Roman" w:hAnsi="Times New Roman" w:cs="Times New Roman"/>
          <w:b/>
          <w:color w:val="000000"/>
          <w:sz w:val="20"/>
          <w:szCs w:val="20"/>
          <w:lang w:eastAsia="en-ZA"/>
        </w:rPr>
      </w:pPr>
      <w:r>
        <w:rPr>
          <w:rFonts w:ascii="Times New Roman" w:eastAsia="Times New Roman" w:hAnsi="Times New Roman" w:cs="Times New Roman"/>
          <w:b/>
          <w:color w:val="000000"/>
          <w:sz w:val="20"/>
          <w:szCs w:val="20"/>
          <w:lang w:eastAsia="en-ZA"/>
        </w:rPr>
        <w:br w:type="page"/>
      </w:r>
    </w:p>
    <w:p w14:paraId="3B05DD84"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lastRenderedPageBreak/>
        <w:t xml:space="preserve">Risk = </w:t>
      </w:r>
      <w:r>
        <w:rPr>
          <w:rFonts w:ascii="Times New Roman" w:eastAsia="Times New Roman" w:hAnsi="Times New Roman" w:cs="Times New Roman"/>
          <w:b/>
          <w:color w:val="000000"/>
          <w:sz w:val="20"/>
          <w:szCs w:val="20"/>
          <w:lang w:eastAsia="en-ZA"/>
        </w:rPr>
        <w:t>High</w:t>
      </w:r>
    </w:p>
    <w:p w14:paraId="6B0FD92F"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W w:w="7700" w:type="dxa"/>
        <w:tblInd w:w="55" w:type="dxa"/>
        <w:tblCellMar>
          <w:left w:w="70" w:type="dxa"/>
          <w:right w:w="70" w:type="dxa"/>
        </w:tblCellMar>
        <w:tblLook w:val="04A0" w:firstRow="1" w:lastRow="0" w:firstColumn="1" w:lastColumn="0" w:noHBand="0" w:noVBand="1"/>
      </w:tblPr>
      <w:tblGrid>
        <w:gridCol w:w="440"/>
        <w:gridCol w:w="2060"/>
        <w:gridCol w:w="1004"/>
        <w:gridCol w:w="953"/>
        <w:gridCol w:w="1223"/>
        <w:gridCol w:w="953"/>
        <w:gridCol w:w="1067"/>
      </w:tblGrid>
      <w:tr w:rsidR="002D7080" w:rsidRPr="004D1E6F" w14:paraId="0F4B619C" w14:textId="77777777" w:rsidTr="002E2C37">
        <w:trPr>
          <w:trHeight w:val="312"/>
        </w:trPr>
        <w:tc>
          <w:tcPr>
            <w:tcW w:w="440" w:type="dxa"/>
            <w:vMerge w:val="restart"/>
            <w:tcBorders>
              <w:top w:val="nil"/>
              <w:left w:val="nil"/>
              <w:bottom w:val="single" w:sz="4" w:space="0" w:color="000000"/>
              <w:right w:val="nil"/>
            </w:tcBorders>
            <w:shd w:val="clear" w:color="000000" w:fill="F2F2F2"/>
            <w:noWrap/>
            <w:vAlign w:val="bottom"/>
            <w:hideMark/>
          </w:tcPr>
          <w:p w14:paraId="5A0BBDCF"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 </w:t>
            </w:r>
          </w:p>
        </w:tc>
        <w:tc>
          <w:tcPr>
            <w:tcW w:w="2060" w:type="dxa"/>
            <w:vMerge w:val="restart"/>
            <w:tcBorders>
              <w:top w:val="nil"/>
              <w:left w:val="nil"/>
              <w:bottom w:val="single" w:sz="4" w:space="0" w:color="000000"/>
              <w:right w:val="single" w:sz="4" w:space="0" w:color="auto"/>
            </w:tcBorders>
            <w:shd w:val="clear" w:color="000000" w:fill="F2F2F2"/>
            <w:noWrap/>
            <w:vAlign w:val="bottom"/>
            <w:hideMark/>
          </w:tcPr>
          <w:p w14:paraId="0F7D9108"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 </w:t>
            </w:r>
          </w:p>
        </w:tc>
        <w:tc>
          <w:tcPr>
            <w:tcW w:w="5200" w:type="dxa"/>
            <w:gridSpan w:val="5"/>
            <w:tcBorders>
              <w:top w:val="nil"/>
              <w:left w:val="nil"/>
              <w:bottom w:val="single" w:sz="4" w:space="0" w:color="auto"/>
              <w:right w:val="nil"/>
            </w:tcBorders>
            <w:shd w:val="clear" w:color="auto" w:fill="D9D9D9" w:themeFill="background1" w:themeFillShade="D9"/>
            <w:noWrap/>
            <w:vAlign w:val="bottom"/>
            <w:hideMark/>
          </w:tcPr>
          <w:p w14:paraId="5F31A9C9"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Consequences</w:t>
            </w:r>
          </w:p>
        </w:tc>
      </w:tr>
      <w:tr w:rsidR="002D7080" w:rsidRPr="004D1E6F" w14:paraId="2B434DAD" w14:textId="77777777" w:rsidTr="002E2C37">
        <w:trPr>
          <w:trHeight w:val="312"/>
        </w:trPr>
        <w:tc>
          <w:tcPr>
            <w:tcW w:w="440" w:type="dxa"/>
            <w:vMerge/>
            <w:tcBorders>
              <w:top w:val="nil"/>
              <w:left w:val="nil"/>
              <w:bottom w:val="single" w:sz="4" w:space="0" w:color="000000"/>
              <w:right w:val="nil"/>
            </w:tcBorders>
            <w:vAlign w:val="center"/>
            <w:hideMark/>
          </w:tcPr>
          <w:p w14:paraId="59EC4C20"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vMerge/>
            <w:tcBorders>
              <w:top w:val="nil"/>
              <w:left w:val="nil"/>
              <w:bottom w:val="single" w:sz="4" w:space="0" w:color="auto"/>
              <w:right w:val="single" w:sz="4" w:space="0" w:color="auto"/>
            </w:tcBorders>
            <w:vAlign w:val="center"/>
            <w:hideMark/>
          </w:tcPr>
          <w:p w14:paraId="59315924"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100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5359B09"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MC</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48983C3"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MN</w:t>
            </w:r>
          </w:p>
        </w:tc>
        <w:tc>
          <w:tcPr>
            <w:tcW w:w="1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A907B0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MO</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3CB7A75"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MR</w:t>
            </w:r>
          </w:p>
        </w:tc>
        <w:tc>
          <w:tcPr>
            <w:tcW w:w="1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0258A9C"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MV</w:t>
            </w:r>
          </w:p>
        </w:tc>
      </w:tr>
      <w:tr w:rsidR="002D7080" w:rsidRPr="004D1E6F" w14:paraId="2827BED8" w14:textId="77777777" w:rsidTr="002E2C37">
        <w:trPr>
          <w:trHeight w:val="348"/>
        </w:trPr>
        <w:tc>
          <w:tcPr>
            <w:tcW w:w="440" w:type="dxa"/>
            <w:vMerge w:val="restart"/>
            <w:tcBorders>
              <w:top w:val="nil"/>
              <w:left w:val="nil"/>
              <w:bottom w:val="nil"/>
              <w:right w:val="single" w:sz="4" w:space="0" w:color="auto"/>
            </w:tcBorders>
            <w:shd w:val="clear" w:color="auto" w:fill="D9D9D9" w:themeFill="background1" w:themeFillShade="D9"/>
            <w:noWrap/>
            <w:textDirection w:val="btLr"/>
            <w:vAlign w:val="center"/>
            <w:hideMark/>
          </w:tcPr>
          <w:p w14:paraId="5007B8DE"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Likelihood</w:t>
            </w: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34C0061"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Extremely unlikely</w:t>
            </w:r>
          </w:p>
        </w:tc>
        <w:tc>
          <w:tcPr>
            <w:tcW w:w="100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5B75A03"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604F797"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79B0ECF"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293E274"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E63726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r>
      <w:tr w:rsidR="002D7080" w:rsidRPr="004D1E6F" w14:paraId="671D1BEA"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17D12283"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D25BE5A"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Very unlikely</w:t>
            </w:r>
          </w:p>
        </w:tc>
        <w:tc>
          <w:tcPr>
            <w:tcW w:w="1004" w:type="dxa"/>
            <w:tcBorders>
              <w:top w:val="single" w:sz="4" w:space="0" w:color="auto"/>
              <w:left w:val="nil"/>
              <w:bottom w:val="single" w:sz="4" w:space="0" w:color="auto"/>
              <w:right w:val="single" w:sz="4" w:space="0" w:color="auto"/>
            </w:tcBorders>
            <w:noWrap/>
            <w:vAlign w:val="center"/>
            <w:hideMark/>
          </w:tcPr>
          <w:p w14:paraId="3C045677"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0D75EFEC"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0081D84D"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1053B1DB"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5DAD4A8"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68277D22"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62C4D15F"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3A122E6"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Unlikely</w:t>
            </w:r>
          </w:p>
        </w:tc>
        <w:tc>
          <w:tcPr>
            <w:tcW w:w="1004" w:type="dxa"/>
            <w:tcBorders>
              <w:top w:val="single" w:sz="4" w:space="0" w:color="auto"/>
              <w:left w:val="nil"/>
              <w:bottom w:val="single" w:sz="4" w:space="0" w:color="auto"/>
              <w:right w:val="single" w:sz="4" w:space="0" w:color="auto"/>
            </w:tcBorders>
            <w:noWrap/>
            <w:vAlign w:val="center"/>
            <w:hideMark/>
          </w:tcPr>
          <w:p w14:paraId="47C48EEC"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AABC481"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0A9E81BA"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7DE36F85"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193A2EF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035D1A84"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4DF87A49"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FFFF00"/>
            <w:noWrap/>
            <w:vAlign w:val="center"/>
            <w:hideMark/>
          </w:tcPr>
          <w:p w14:paraId="507822CD"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Fairly probable</w:t>
            </w:r>
          </w:p>
        </w:tc>
        <w:tc>
          <w:tcPr>
            <w:tcW w:w="1004" w:type="dxa"/>
            <w:tcBorders>
              <w:top w:val="single" w:sz="4" w:space="0" w:color="auto"/>
              <w:left w:val="nil"/>
              <w:bottom w:val="single" w:sz="4" w:space="0" w:color="auto"/>
              <w:right w:val="single" w:sz="4" w:space="0" w:color="auto"/>
            </w:tcBorders>
            <w:noWrap/>
            <w:vAlign w:val="center"/>
            <w:hideMark/>
          </w:tcPr>
          <w:p w14:paraId="2BDBFBF9"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15E4FB5"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0A249AD7"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3954D38B"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6444022"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7D5E0520"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25CEFC57"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0B36CE6"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Probable</w:t>
            </w:r>
          </w:p>
        </w:tc>
        <w:tc>
          <w:tcPr>
            <w:tcW w:w="1004" w:type="dxa"/>
            <w:tcBorders>
              <w:top w:val="single" w:sz="4" w:space="0" w:color="auto"/>
              <w:left w:val="nil"/>
              <w:bottom w:val="single" w:sz="4" w:space="0" w:color="auto"/>
              <w:right w:val="single" w:sz="4" w:space="0" w:color="auto"/>
            </w:tcBorders>
            <w:noWrap/>
            <w:vAlign w:val="center"/>
            <w:hideMark/>
          </w:tcPr>
          <w:p w14:paraId="4E657E7C"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6B2271A"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1B92D1EF"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A8C8E38"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D38F6BA"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bl>
    <w:p w14:paraId="1AF78860"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25378625"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5E2206EA" w14:textId="77777777" w:rsidR="002D7080" w:rsidRPr="004D1E6F" w:rsidRDefault="002D7080" w:rsidP="002D7080">
      <w:pPr>
        <w:spacing w:before="240"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Ease of management</w:t>
      </w:r>
      <w:r>
        <w:rPr>
          <w:rFonts w:ascii="Times New Roman" w:eastAsia="Times New Roman" w:hAnsi="Times New Roman" w:cs="Times New Roman"/>
          <w:b/>
          <w:sz w:val="20"/>
          <w:szCs w:val="20"/>
          <w:lang w:eastAsia="en-ZA"/>
        </w:rPr>
        <w:t xml:space="preserve">: Medium </w:t>
      </w:r>
      <w:r w:rsidRPr="004D1E6F">
        <w:rPr>
          <w:rFonts w:ascii="Times New Roman" w:eastAsia="Times New Roman" w:hAnsi="Times New Roman" w:cs="Times New Roman"/>
          <w:b/>
          <w:sz w:val="20"/>
          <w:szCs w:val="20"/>
          <w:lang w:eastAsia="en-ZA"/>
        </w:rPr>
        <w:t xml:space="preserve"> </w:t>
      </w:r>
    </w:p>
    <w:p w14:paraId="5A70382A"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pPr w:leftFromText="180" w:rightFromText="180" w:vertAnchor="text" w:tblpXSpec="center" w:tblpY="1"/>
        <w:tblOverlap w:val="never"/>
        <w:tblW w:w="59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7"/>
        <w:gridCol w:w="3571"/>
        <w:gridCol w:w="1260"/>
      </w:tblGrid>
      <w:tr w:rsidR="002D7080" w:rsidRPr="004D1E6F" w14:paraId="42178F40" w14:textId="77777777" w:rsidTr="002E2C37">
        <w:trPr>
          <w:trHeight w:val="272"/>
        </w:trPr>
        <w:tc>
          <w:tcPr>
            <w:tcW w:w="1127" w:type="dxa"/>
            <w:shd w:val="clear" w:color="auto" w:fill="D9D9D9" w:themeFill="background1" w:themeFillShade="D9"/>
            <w:vAlign w:val="center"/>
          </w:tcPr>
          <w:p w14:paraId="1E279873"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Parameter</w:t>
            </w:r>
          </w:p>
        </w:tc>
        <w:tc>
          <w:tcPr>
            <w:tcW w:w="3571" w:type="dxa"/>
            <w:shd w:val="clear" w:color="auto" w:fill="D9D9D9" w:themeFill="background1" w:themeFillShade="D9"/>
            <w:vAlign w:val="center"/>
          </w:tcPr>
          <w:p w14:paraId="70102A8C"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Question</w:t>
            </w:r>
          </w:p>
        </w:tc>
        <w:tc>
          <w:tcPr>
            <w:tcW w:w="1260" w:type="dxa"/>
            <w:shd w:val="clear" w:color="auto" w:fill="D9D9D9" w:themeFill="background1" w:themeFillShade="D9"/>
            <w:vAlign w:val="center"/>
          </w:tcPr>
          <w:p w14:paraId="373D3498"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Response</w:t>
            </w:r>
          </w:p>
        </w:tc>
      </w:tr>
      <w:tr w:rsidR="002D7080" w:rsidRPr="004D1E6F" w14:paraId="22E36321" w14:textId="77777777" w:rsidTr="002E2C37">
        <w:trPr>
          <w:trHeight w:val="305"/>
        </w:trPr>
        <w:tc>
          <w:tcPr>
            <w:tcW w:w="1127" w:type="dxa"/>
            <w:shd w:val="clear" w:color="auto" w:fill="D9D9D9" w:themeFill="background1" w:themeFillShade="D9"/>
            <w:vAlign w:val="center"/>
          </w:tcPr>
          <w:p w14:paraId="1CDF5089"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MAN3a</w:t>
            </w:r>
          </w:p>
        </w:tc>
        <w:tc>
          <w:tcPr>
            <w:tcW w:w="3571" w:type="dxa"/>
            <w:shd w:val="clear" w:color="auto" w:fill="D9D9D9" w:themeFill="background1" w:themeFillShade="D9"/>
            <w:vAlign w:val="center"/>
          </w:tcPr>
          <w:p w14:paraId="3E2159C8" w14:textId="77777777" w:rsidR="002D7080" w:rsidRPr="004D1E6F" w:rsidRDefault="002D7080" w:rsidP="002E2C37">
            <w:pPr>
              <w:tabs>
                <w:tab w:val="left" w:pos="1223"/>
              </w:tabs>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How accessible are populations? </w:t>
            </w:r>
          </w:p>
        </w:tc>
        <w:tc>
          <w:tcPr>
            <w:tcW w:w="1260" w:type="dxa"/>
            <w:vAlign w:val="center"/>
          </w:tcPr>
          <w:p w14:paraId="207E2879" w14:textId="77777777" w:rsidR="002D7080" w:rsidRPr="004D1E6F" w:rsidRDefault="002D7080" w:rsidP="002E2C37">
            <w:pPr>
              <w:tabs>
                <w:tab w:val="left" w:pos="1250"/>
              </w:tabs>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2</w:t>
            </w:r>
          </w:p>
        </w:tc>
      </w:tr>
      <w:tr w:rsidR="002D7080" w:rsidRPr="004D1E6F" w14:paraId="5BAB2F5C" w14:textId="77777777" w:rsidTr="002E2C37">
        <w:trPr>
          <w:trHeight w:val="274"/>
        </w:trPr>
        <w:tc>
          <w:tcPr>
            <w:tcW w:w="1127" w:type="dxa"/>
            <w:shd w:val="clear" w:color="auto" w:fill="D9D9D9" w:themeFill="background1" w:themeFillShade="D9"/>
            <w:vAlign w:val="center"/>
          </w:tcPr>
          <w:p w14:paraId="085EB32C"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MAN3b</w:t>
            </w:r>
          </w:p>
        </w:tc>
        <w:tc>
          <w:tcPr>
            <w:tcW w:w="3571" w:type="dxa"/>
            <w:shd w:val="clear" w:color="auto" w:fill="D9D9D9" w:themeFill="background1" w:themeFillShade="D9"/>
            <w:vAlign w:val="center"/>
          </w:tcPr>
          <w:p w14:paraId="340C4BB8"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Is detectability critically time-dependent?</w:t>
            </w:r>
          </w:p>
        </w:tc>
        <w:tc>
          <w:tcPr>
            <w:tcW w:w="1260" w:type="dxa"/>
            <w:vAlign w:val="center"/>
          </w:tcPr>
          <w:p w14:paraId="56C1962D"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2</w:t>
            </w:r>
          </w:p>
        </w:tc>
      </w:tr>
      <w:tr w:rsidR="002D7080" w:rsidRPr="004D1E6F" w14:paraId="5E0967DE" w14:textId="77777777" w:rsidTr="002E2C37">
        <w:trPr>
          <w:trHeight w:val="274"/>
        </w:trPr>
        <w:tc>
          <w:tcPr>
            <w:tcW w:w="1127" w:type="dxa"/>
            <w:shd w:val="clear" w:color="auto" w:fill="D9D9D9" w:themeFill="background1" w:themeFillShade="D9"/>
            <w:vAlign w:val="center"/>
          </w:tcPr>
          <w:p w14:paraId="5144D5A8"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MAN3c</w:t>
            </w:r>
          </w:p>
        </w:tc>
        <w:tc>
          <w:tcPr>
            <w:tcW w:w="3571" w:type="dxa"/>
            <w:shd w:val="clear" w:color="auto" w:fill="D9D9D9" w:themeFill="background1" w:themeFillShade="D9"/>
            <w:vAlign w:val="center"/>
          </w:tcPr>
          <w:p w14:paraId="58C563D3"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Time to reproduction</w:t>
            </w:r>
          </w:p>
        </w:tc>
        <w:tc>
          <w:tcPr>
            <w:tcW w:w="1260" w:type="dxa"/>
            <w:vAlign w:val="center"/>
          </w:tcPr>
          <w:p w14:paraId="27936EAB"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1</w:t>
            </w:r>
          </w:p>
        </w:tc>
      </w:tr>
      <w:tr w:rsidR="002D7080" w:rsidRPr="004D1E6F" w14:paraId="6FF9D4AE" w14:textId="77777777" w:rsidTr="002E2C37">
        <w:trPr>
          <w:trHeight w:val="280"/>
        </w:trPr>
        <w:tc>
          <w:tcPr>
            <w:tcW w:w="1127" w:type="dxa"/>
            <w:shd w:val="clear" w:color="auto" w:fill="D9D9D9" w:themeFill="background1" w:themeFillShade="D9"/>
            <w:vAlign w:val="center"/>
          </w:tcPr>
          <w:p w14:paraId="29E29002"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MAN3d</w:t>
            </w:r>
          </w:p>
        </w:tc>
        <w:tc>
          <w:tcPr>
            <w:tcW w:w="3571" w:type="dxa"/>
            <w:shd w:val="clear" w:color="auto" w:fill="D9D9D9" w:themeFill="background1" w:themeFillShade="D9"/>
            <w:vAlign w:val="center"/>
          </w:tcPr>
          <w:p w14:paraId="73BB66D4"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Propagule persistence</w:t>
            </w:r>
          </w:p>
        </w:tc>
        <w:tc>
          <w:tcPr>
            <w:tcW w:w="1260" w:type="dxa"/>
            <w:vAlign w:val="center"/>
          </w:tcPr>
          <w:p w14:paraId="7764C581"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0</w:t>
            </w:r>
          </w:p>
        </w:tc>
      </w:tr>
      <w:tr w:rsidR="002D7080" w:rsidRPr="004D1E6F" w14:paraId="69598610" w14:textId="77777777" w:rsidTr="002E2C37">
        <w:trPr>
          <w:trHeight w:val="248"/>
        </w:trPr>
        <w:tc>
          <w:tcPr>
            <w:tcW w:w="1127" w:type="dxa"/>
            <w:tcBorders>
              <w:top w:val="double" w:sz="4" w:space="0" w:color="auto"/>
            </w:tcBorders>
            <w:shd w:val="clear" w:color="auto" w:fill="D9D9D9" w:themeFill="background1" w:themeFillShade="D9"/>
            <w:vAlign w:val="center"/>
          </w:tcPr>
          <w:p w14:paraId="5E6109ED"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MAN3</w:t>
            </w:r>
          </w:p>
        </w:tc>
        <w:tc>
          <w:tcPr>
            <w:tcW w:w="3571" w:type="dxa"/>
            <w:tcBorders>
              <w:top w:val="double" w:sz="4" w:space="0" w:color="auto"/>
            </w:tcBorders>
            <w:shd w:val="clear" w:color="auto" w:fill="D9D9D9" w:themeFill="background1" w:themeFillShade="D9"/>
            <w:vAlign w:val="center"/>
          </w:tcPr>
          <w:p w14:paraId="4BC6A688" w14:textId="77777777" w:rsidR="002D7080" w:rsidRPr="004D1E6F" w:rsidRDefault="002D7080" w:rsidP="002E2C37">
            <w:pPr>
              <w:spacing w:after="0" w:line="240" w:lineRule="auto"/>
              <w:rPr>
                <w:rFonts w:ascii="Times New Roman" w:eastAsia="Calibri" w:hAnsi="Times New Roman" w:cs="Times New Roman"/>
                <w:b/>
                <w:sz w:val="20"/>
                <w:szCs w:val="20"/>
              </w:rPr>
            </w:pPr>
            <w:r w:rsidRPr="004D1E6F">
              <w:rPr>
                <w:rFonts w:ascii="Times New Roman" w:eastAsia="Calibri" w:hAnsi="Times New Roman" w:cs="Times New Roman"/>
                <w:b/>
                <w:sz w:val="20"/>
                <w:szCs w:val="20"/>
              </w:rPr>
              <w:t>SUM</w:t>
            </w:r>
          </w:p>
        </w:tc>
        <w:tc>
          <w:tcPr>
            <w:tcW w:w="1260" w:type="dxa"/>
            <w:tcBorders>
              <w:top w:val="double" w:sz="4" w:space="0" w:color="auto"/>
            </w:tcBorders>
            <w:vAlign w:val="center"/>
          </w:tcPr>
          <w:p w14:paraId="1EEF9CA7"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5</w:t>
            </w:r>
          </w:p>
        </w:tc>
      </w:tr>
    </w:tbl>
    <w:p w14:paraId="2A78F406" w14:textId="77777777" w:rsidR="002D7080" w:rsidRPr="004D1E6F" w:rsidRDefault="002D7080" w:rsidP="002D7080">
      <w:pPr>
        <w:spacing w:after="0" w:line="240" w:lineRule="auto"/>
        <w:rPr>
          <w:rFonts w:ascii="Times New Roman" w:eastAsia="Calibri" w:hAnsi="Times New Roman" w:cs="Times New Roman"/>
          <w:sz w:val="24"/>
          <w:szCs w:val="24"/>
        </w:rPr>
      </w:pPr>
    </w:p>
    <w:p w14:paraId="7D364658" w14:textId="77777777" w:rsidR="002D7080" w:rsidRPr="004D1E6F" w:rsidRDefault="002D7080" w:rsidP="002D7080">
      <w:pPr>
        <w:spacing w:after="0" w:line="240" w:lineRule="auto"/>
        <w:rPr>
          <w:rFonts w:ascii="Times New Roman" w:eastAsia="Calibri" w:hAnsi="Times New Roman" w:cs="Times New Roman"/>
          <w:sz w:val="24"/>
          <w:szCs w:val="24"/>
        </w:rPr>
      </w:pPr>
    </w:p>
    <w:p w14:paraId="263598B4" w14:textId="77777777" w:rsidR="002D7080" w:rsidRPr="004D1E6F" w:rsidRDefault="002D7080" w:rsidP="002D7080">
      <w:pPr>
        <w:spacing w:after="0" w:line="240" w:lineRule="auto"/>
        <w:rPr>
          <w:rFonts w:ascii="Times New Roman" w:eastAsia="Calibri" w:hAnsi="Times New Roman" w:cs="Times New Roman"/>
          <w:b/>
          <w:sz w:val="24"/>
          <w:szCs w:val="24"/>
        </w:rPr>
      </w:pPr>
    </w:p>
    <w:p w14:paraId="712FF93F" w14:textId="77777777" w:rsidR="002D7080" w:rsidRPr="004D1E6F" w:rsidRDefault="002D7080" w:rsidP="002D7080">
      <w:pPr>
        <w:spacing w:after="0" w:line="240" w:lineRule="auto"/>
        <w:rPr>
          <w:rFonts w:ascii="Times New Roman" w:eastAsia="Calibri" w:hAnsi="Times New Roman" w:cs="Times New Roman"/>
          <w:b/>
          <w:sz w:val="24"/>
          <w:szCs w:val="24"/>
        </w:rPr>
      </w:pPr>
    </w:p>
    <w:p w14:paraId="5879C724" w14:textId="77777777" w:rsidR="002D7080" w:rsidRPr="004D1E6F" w:rsidRDefault="002D7080" w:rsidP="002D7080">
      <w:pPr>
        <w:spacing w:after="0" w:line="240" w:lineRule="auto"/>
        <w:rPr>
          <w:rFonts w:ascii="Times New Roman" w:eastAsia="Calibri" w:hAnsi="Times New Roman" w:cs="Times New Roman"/>
          <w:b/>
          <w:sz w:val="24"/>
          <w:szCs w:val="24"/>
        </w:rPr>
      </w:pPr>
    </w:p>
    <w:p w14:paraId="52D9A797" w14:textId="77777777" w:rsidR="002D7080" w:rsidRPr="004D1E6F" w:rsidRDefault="002D7080" w:rsidP="002D7080">
      <w:pPr>
        <w:spacing w:after="0" w:line="240" w:lineRule="auto"/>
        <w:rPr>
          <w:rFonts w:ascii="Times New Roman" w:eastAsia="Calibri" w:hAnsi="Times New Roman" w:cs="Times New Roman"/>
          <w:b/>
          <w:sz w:val="24"/>
          <w:szCs w:val="24"/>
        </w:rPr>
      </w:pPr>
    </w:p>
    <w:p w14:paraId="02FF1AD5"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0FB52217"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Appendix BAC7</w:t>
      </w:r>
      <w:r w:rsidRPr="004D1E6F">
        <w:rPr>
          <w:rFonts w:ascii="Times New Roman" w:eastAsia="Times New Roman" w:hAnsi="Times New Roman" w:cs="Times New Roman"/>
          <w:color w:val="000000"/>
          <w:sz w:val="20"/>
          <w:szCs w:val="20"/>
          <w:lang w:eastAsia="en-ZA"/>
        </w:rPr>
        <w:t xml:space="preserve">: Global alien range of </w:t>
      </w:r>
      <w:r w:rsidRPr="004D1E6F">
        <w:rPr>
          <w:rFonts w:ascii="Times New Roman" w:eastAsia="Times New Roman" w:hAnsi="Times New Roman" w:cs="Times New Roman"/>
          <w:i/>
          <w:iCs/>
          <w:color w:val="000000"/>
          <w:sz w:val="20"/>
          <w:szCs w:val="20"/>
          <w:lang w:eastAsia="en-ZA"/>
        </w:rPr>
        <w:t>Orconectes juvenilis</w:t>
      </w:r>
    </w:p>
    <w:p w14:paraId="32E9957D"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Map from GBIF: </w:t>
      </w:r>
      <w:hyperlink w:history="1">
        <w:r w:rsidRPr="004D1E6F">
          <w:rPr>
            <w:rFonts w:ascii="Times New Roman" w:eastAsia="Times New Roman" w:hAnsi="Times New Roman" w:cs="Times New Roman"/>
            <w:color w:val="0563C1"/>
            <w:sz w:val="20"/>
            <w:szCs w:val="20"/>
            <w:u w:val="single"/>
            <w:lang w:eastAsia="en-ZA"/>
          </w:rPr>
          <w:t>https://www.gbif.org/species/5789975</w:t>
        </w:r>
      </w:hyperlink>
      <w:r w:rsidRPr="004D1E6F">
        <w:rPr>
          <w:rFonts w:ascii="Times New Roman" w:eastAsia="Times New Roman" w:hAnsi="Times New Roman" w:cs="Times New Roman"/>
          <w:color w:val="000000"/>
          <w:sz w:val="20"/>
          <w:szCs w:val="20"/>
          <w:lang w:eastAsia="en-ZA"/>
        </w:rPr>
        <w:t xml:space="preserve"> </w:t>
      </w:r>
    </w:p>
    <w:p w14:paraId="4618B1AE" w14:textId="77777777" w:rsidR="002D7080" w:rsidRPr="004D1E6F" w:rsidRDefault="002D7080" w:rsidP="002D7080">
      <w:pPr>
        <w:spacing w:after="0" w:line="240" w:lineRule="auto"/>
        <w:rPr>
          <w:rFonts w:ascii="Times New Roman" w:eastAsia="Calibri" w:hAnsi="Times New Roman" w:cs="Times New Roman"/>
          <w:sz w:val="20"/>
          <w:szCs w:val="20"/>
        </w:rPr>
      </w:pPr>
    </w:p>
    <w:p w14:paraId="3C652ED0"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10C1A9CC" w14:textId="77777777" w:rsidR="002D7080" w:rsidRPr="004D1E6F" w:rsidRDefault="002D7080" w:rsidP="002D7080">
      <w:pPr>
        <w:spacing w:after="160" w:line="360" w:lineRule="auto"/>
        <w:jc w:val="both"/>
        <w:rPr>
          <w:rFonts w:ascii="Times New Roman" w:eastAsia="Calibri" w:hAnsi="Times New Roman" w:cs="Times New Roman"/>
          <w:b/>
          <w:bCs/>
          <w:sz w:val="24"/>
          <w:szCs w:val="24"/>
        </w:rPr>
      </w:pPr>
      <w:r>
        <w:rPr>
          <w:rFonts w:ascii="Times New Roman" w:eastAsia="Calibri" w:hAnsi="Times New Roman" w:cs="Times New Roman"/>
          <w:b/>
          <w:bCs/>
          <w:noProof/>
          <w:sz w:val="24"/>
          <w:szCs w:val="24"/>
          <w:lang w:eastAsia="en-ZA"/>
        </w:rPr>
        <w:drawing>
          <wp:inline distT="0" distB="0" distL="0" distR="0" wp14:anchorId="3FA74D74" wp14:editId="05BDF1D8">
            <wp:extent cx="5462270" cy="2517775"/>
            <wp:effectExtent l="0" t="0" r="0" b="0"/>
            <wp:docPr id="675118278" name="Picture 17"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118278" name="Picture 17" descr="A map of the world&#10;&#10;AI-generated content may be incorrect."/>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62270" cy="2517775"/>
                    </a:xfrm>
                    <a:prstGeom prst="rect">
                      <a:avLst/>
                    </a:prstGeom>
                    <a:noFill/>
                  </pic:spPr>
                </pic:pic>
              </a:graphicData>
            </a:graphic>
          </wp:inline>
        </w:drawing>
      </w:r>
    </w:p>
    <w:p w14:paraId="709BAE7B" w14:textId="77777777" w:rsidR="002D7080" w:rsidRPr="004D1E6F" w:rsidRDefault="002D7080" w:rsidP="002D7080">
      <w:pPr>
        <w:spacing w:after="160" w:line="360" w:lineRule="auto"/>
        <w:jc w:val="both"/>
        <w:rPr>
          <w:rFonts w:ascii="Times New Roman" w:eastAsia="Calibri" w:hAnsi="Times New Roman" w:cs="Times New Roman"/>
          <w:b/>
          <w:bCs/>
          <w:sz w:val="24"/>
          <w:szCs w:val="24"/>
        </w:rPr>
      </w:pPr>
    </w:p>
    <w:p w14:paraId="1F818771" w14:textId="77777777" w:rsidR="002D7080" w:rsidRPr="004D1E6F" w:rsidRDefault="002D7080" w:rsidP="002D7080">
      <w:pPr>
        <w:spacing w:after="160" w:line="360" w:lineRule="auto"/>
        <w:jc w:val="both"/>
        <w:rPr>
          <w:rFonts w:ascii="Times New Roman" w:eastAsia="Calibri" w:hAnsi="Times New Roman" w:cs="Times New Roman"/>
          <w:b/>
          <w:bCs/>
          <w:sz w:val="24"/>
          <w:szCs w:val="24"/>
        </w:rPr>
      </w:pPr>
    </w:p>
    <w:p w14:paraId="4735BD1D" w14:textId="77777777" w:rsidR="002D7080" w:rsidRPr="004D1E6F" w:rsidRDefault="002D7080" w:rsidP="002D7080">
      <w:pPr>
        <w:rPr>
          <w:rFonts w:ascii="Times New Roman" w:eastAsia="Calibri" w:hAnsi="Times New Roman" w:cs="Times New Roman"/>
          <w:b/>
          <w:bCs/>
          <w:sz w:val="24"/>
          <w:szCs w:val="24"/>
        </w:rPr>
      </w:pPr>
      <w:r w:rsidRPr="004D1E6F">
        <w:rPr>
          <w:rFonts w:ascii="Times New Roman" w:eastAsia="Calibri" w:hAnsi="Times New Roman" w:cs="Times New Roman"/>
          <w:b/>
          <w:bCs/>
          <w:sz w:val="24"/>
          <w:szCs w:val="24"/>
        </w:rPr>
        <w:br w:type="page"/>
      </w:r>
    </w:p>
    <w:p w14:paraId="73A4CAD0" w14:textId="5101CE05" w:rsidR="002D7080" w:rsidRPr="005A2F10" w:rsidRDefault="006E464D" w:rsidP="002D7080">
      <w:pPr>
        <w:pStyle w:val="Heading2"/>
        <w:rPr>
          <w:rFonts w:ascii="Times New Roman" w:hAnsi="Times New Roman" w:cs="Times New Roman"/>
          <w:color w:val="auto"/>
          <w:sz w:val="28"/>
          <w:szCs w:val="28"/>
        </w:rPr>
      </w:pPr>
      <w:r>
        <w:rPr>
          <w:rFonts w:ascii="Times New Roman" w:hAnsi="Times New Roman" w:cs="Times New Roman"/>
          <w:color w:val="auto"/>
          <w:sz w:val="28"/>
          <w:szCs w:val="28"/>
        </w:rPr>
        <w:lastRenderedPageBreak/>
        <w:t>1</w:t>
      </w:r>
      <w:r w:rsidR="002D7080" w:rsidRPr="005A2F10">
        <w:rPr>
          <w:rFonts w:ascii="Times New Roman" w:hAnsi="Times New Roman" w:cs="Times New Roman"/>
          <w:color w:val="auto"/>
          <w:sz w:val="28"/>
          <w:szCs w:val="28"/>
        </w:rPr>
        <w:t>.7 Risk analysis report for Spinycheek crayfish (</w:t>
      </w:r>
      <w:r w:rsidR="002D7080" w:rsidRPr="005A2F10">
        <w:rPr>
          <w:rFonts w:ascii="Times New Roman" w:hAnsi="Times New Roman" w:cs="Times New Roman"/>
          <w:i/>
          <w:iCs/>
          <w:color w:val="auto"/>
          <w:sz w:val="28"/>
          <w:szCs w:val="28"/>
        </w:rPr>
        <w:t>Faxonius limosus</w:t>
      </w:r>
      <w:r w:rsidR="002D7080" w:rsidRPr="005A2F10">
        <w:rPr>
          <w:rFonts w:ascii="Times New Roman" w:hAnsi="Times New Roman" w:cs="Times New Roman"/>
          <w:color w:val="auto"/>
          <w:sz w:val="28"/>
          <w:szCs w:val="28"/>
        </w:rPr>
        <w:t>)</w:t>
      </w:r>
    </w:p>
    <w:p w14:paraId="14058022" w14:textId="77777777" w:rsidR="002D7080" w:rsidRPr="004D1E6F" w:rsidRDefault="002D7080" w:rsidP="002D7080">
      <w:pPr>
        <w:spacing w:after="0" w:line="240" w:lineRule="auto"/>
        <w:rPr>
          <w:rFonts w:ascii="Times New Roman" w:eastAsia="Calibri" w:hAnsi="Times New Roman" w:cs="Times New Roman"/>
          <w:b/>
          <w:i/>
          <w:sz w:val="20"/>
          <w:szCs w:val="20"/>
        </w:rPr>
      </w:pPr>
    </w:p>
    <w:tbl>
      <w:tblPr>
        <w:tblStyle w:val="TableGrid10"/>
        <w:tblW w:w="0" w:type="auto"/>
        <w:tblLook w:val="04A0" w:firstRow="1" w:lastRow="0" w:firstColumn="1" w:lastColumn="0" w:noHBand="0" w:noVBand="1"/>
      </w:tblPr>
      <w:tblGrid>
        <w:gridCol w:w="4428"/>
        <w:gridCol w:w="2655"/>
        <w:gridCol w:w="1933"/>
      </w:tblGrid>
      <w:tr w:rsidR="002D7080" w:rsidRPr="004D1E6F" w14:paraId="2F9B856B" w14:textId="77777777" w:rsidTr="002E2C37">
        <w:trPr>
          <w:trHeight w:val="140"/>
        </w:trPr>
        <w:tc>
          <w:tcPr>
            <w:tcW w:w="4428" w:type="dxa"/>
          </w:tcPr>
          <w:p w14:paraId="3211417D"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i/>
                <w:sz w:val="20"/>
                <w:szCs w:val="20"/>
              </w:rPr>
              <w:t xml:space="preserve">Taxon: </w:t>
            </w:r>
            <w:r w:rsidRPr="004D1E6F">
              <w:rPr>
                <w:rFonts w:ascii="Times New Roman" w:eastAsia="Calibri" w:hAnsi="Times New Roman" w:cs="Times New Roman"/>
                <w:i/>
                <w:sz w:val="20"/>
                <w:szCs w:val="20"/>
              </w:rPr>
              <w:t xml:space="preserve">Faxonius limosus </w:t>
            </w:r>
            <w:r w:rsidRPr="004D1E6F">
              <w:rPr>
                <w:rFonts w:ascii="Times New Roman" w:eastAsia="Calibri" w:hAnsi="Times New Roman" w:cs="Times New Roman"/>
                <w:iCs/>
                <w:sz w:val="20"/>
                <w:szCs w:val="20"/>
              </w:rPr>
              <w:t>(Rafinesque,1817)</w:t>
            </w:r>
          </w:p>
        </w:tc>
        <w:tc>
          <w:tcPr>
            <w:tcW w:w="4588" w:type="dxa"/>
            <w:gridSpan w:val="2"/>
          </w:tcPr>
          <w:p w14:paraId="5B0A2788"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i/>
                <w:sz w:val="20"/>
                <w:szCs w:val="20"/>
              </w:rPr>
              <w:t xml:space="preserve">Area: </w:t>
            </w:r>
            <w:r w:rsidRPr="004D1E6F">
              <w:rPr>
                <w:rFonts w:ascii="Times New Roman" w:eastAsia="Calibri" w:hAnsi="Times New Roman" w:cs="Times New Roman"/>
                <w:sz w:val="20"/>
                <w:szCs w:val="20"/>
              </w:rPr>
              <w:t>South Africa</w:t>
            </w:r>
          </w:p>
        </w:tc>
      </w:tr>
      <w:tr w:rsidR="002D7080" w:rsidRPr="004D1E6F" w14:paraId="6CD6D8F4" w14:textId="77777777" w:rsidTr="002E2C37">
        <w:trPr>
          <w:trHeight w:val="2217"/>
        </w:trPr>
        <w:tc>
          <w:tcPr>
            <w:tcW w:w="4428" w:type="dxa"/>
          </w:tcPr>
          <w:p w14:paraId="7C5A1AC1"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 xml:space="preserve">Picture of </w:t>
            </w:r>
            <w:r w:rsidRPr="004D1E6F">
              <w:rPr>
                <w:rFonts w:ascii="Times New Roman" w:eastAsia="Calibri" w:hAnsi="Times New Roman" w:cs="Times New Roman"/>
                <w:b/>
                <w:i/>
                <w:sz w:val="20"/>
                <w:szCs w:val="20"/>
              </w:rPr>
              <w:t>Taxon</w:t>
            </w:r>
          </w:p>
          <w:p w14:paraId="27C169DB" w14:textId="77777777" w:rsidR="002D7080" w:rsidRPr="004D1E6F" w:rsidRDefault="002D7080" w:rsidP="002E2C37">
            <w:pPr>
              <w:jc w:val="center"/>
              <w:rPr>
                <w:rFonts w:ascii="Times New Roman" w:eastAsia="Calibri" w:hAnsi="Times New Roman" w:cs="Times New Roman"/>
                <w:sz w:val="20"/>
                <w:szCs w:val="20"/>
              </w:rPr>
            </w:pPr>
            <w:r>
              <w:rPr>
                <w:rFonts w:ascii="Times New Roman" w:eastAsia="Calibri" w:hAnsi="Times New Roman" w:cs="Times New Roman"/>
                <w:noProof/>
                <w:sz w:val="20"/>
                <w:szCs w:val="20"/>
                <w:lang w:eastAsia="en-ZA"/>
              </w:rPr>
              <w:drawing>
                <wp:inline distT="0" distB="0" distL="0" distR="0" wp14:anchorId="631E931D" wp14:editId="62F39A99">
                  <wp:extent cx="2261870" cy="1359535"/>
                  <wp:effectExtent l="0" t="0" r="5080" b="0"/>
                  <wp:docPr id="1184045301" name="Picture 18" descr="A close-up of a lob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045301" name="Picture 18" descr="A close-up of a lobster&#10;&#10;AI-generated content may be incorrect."/>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261870" cy="1359535"/>
                          </a:xfrm>
                          <a:prstGeom prst="rect">
                            <a:avLst/>
                          </a:prstGeom>
                          <a:noFill/>
                        </pic:spPr>
                      </pic:pic>
                    </a:graphicData>
                  </a:graphic>
                </wp:inline>
              </w:drawing>
            </w:r>
          </w:p>
          <w:p w14:paraId="4206C742"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sz w:val="20"/>
                <w:szCs w:val="20"/>
              </w:rPr>
              <w:t>Photo:</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Calibri" w:hAnsi="Times New Roman" w:cs="Times New Roman"/>
                <w:sz w:val="20"/>
                <w:szCs w:val="20"/>
              </w:rPr>
              <w:t xml:space="preserve">Alekhnovich A, Buřič M. 2017: NOBANIS – Invasive Alien Species Fact Sheet – </w:t>
            </w:r>
            <w:r w:rsidRPr="004D1E6F">
              <w:rPr>
                <w:rFonts w:ascii="Times New Roman" w:eastAsia="Calibri" w:hAnsi="Times New Roman" w:cs="Times New Roman"/>
                <w:i/>
                <w:sz w:val="20"/>
                <w:szCs w:val="20"/>
              </w:rPr>
              <w:t>Orconectes limosus</w:t>
            </w:r>
            <w:r w:rsidRPr="004D1E6F">
              <w:rPr>
                <w:rFonts w:ascii="Times New Roman" w:eastAsia="Calibri" w:hAnsi="Times New Roman" w:cs="Times New Roman"/>
                <w:sz w:val="20"/>
                <w:szCs w:val="20"/>
              </w:rPr>
              <w:t xml:space="preserve">. – From : Online Database of the European Network on Invasive Alien Species – NOBANIS </w:t>
            </w:r>
            <w:hyperlink w:history="1">
              <w:r w:rsidRPr="004D1E6F">
                <w:rPr>
                  <w:rFonts w:ascii="Times New Roman" w:eastAsia="Calibri" w:hAnsi="Times New Roman" w:cs="Times New Roman"/>
                  <w:color w:val="0563C1"/>
                  <w:sz w:val="20"/>
                  <w:szCs w:val="20"/>
                  <w:u w:val="single"/>
                </w:rPr>
                <w:t>www.nobanis.org</w:t>
              </w:r>
            </w:hyperlink>
            <w:r w:rsidRPr="004D1E6F">
              <w:rPr>
                <w:rFonts w:ascii="Times New Roman" w:eastAsia="Calibri" w:hAnsi="Times New Roman" w:cs="Times New Roman"/>
                <w:sz w:val="20"/>
                <w:szCs w:val="20"/>
              </w:rPr>
              <w:t xml:space="preserve"> </w:t>
            </w:r>
          </w:p>
        </w:tc>
        <w:tc>
          <w:tcPr>
            <w:tcW w:w="4588" w:type="dxa"/>
            <w:gridSpan w:val="2"/>
          </w:tcPr>
          <w:p w14:paraId="1916FA82"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Alien distribution map</w:t>
            </w:r>
          </w:p>
          <w:p w14:paraId="2195044D" w14:textId="77777777" w:rsidR="002D7080" w:rsidRPr="004D1E6F" w:rsidRDefault="002D7080" w:rsidP="002E2C37">
            <w:pPr>
              <w:rPr>
                <w:rFonts w:ascii="Times New Roman" w:eastAsia="Calibri" w:hAnsi="Times New Roman" w:cs="Times New Roman"/>
                <w:b/>
                <w:sz w:val="20"/>
                <w:szCs w:val="20"/>
              </w:rPr>
            </w:pPr>
            <w:r>
              <w:rPr>
                <w:rFonts w:ascii="Times New Roman" w:eastAsia="Calibri" w:hAnsi="Times New Roman" w:cs="Times New Roman"/>
                <w:b/>
                <w:noProof/>
                <w:sz w:val="20"/>
                <w:szCs w:val="20"/>
                <w:lang w:eastAsia="en-ZA"/>
              </w:rPr>
              <w:drawing>
                <wp:inline distT="0" distB="0" distL="0" distR="0" wp14:anchorId="1179BC1A" wp14:editId="367EC316">
                  <wp:extent cx="2676525" cy="1414145"/>
                  <wp:effectExtent l="0" t="0" r="9525" b="0"/>
                  <wp:docPr id="1521062244" name="Picture 1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062244" name="Picture 19" descr="A map of the world&#10;&#10;AI-generated content may be incorrect."/>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676525" cy="1414145"/>
                          </a:xfrm>
                          <a:prstGeom prst="rect">
                            <a:avLst/>
                          </a:prstGeom>
                          <a:noFill/>
                        </pic:spPr>
                      </pic:pic>
                    </a:graphicData>
                  </a:graphic>
                </wp:inline>
              </w:drawing>
            </w:r>
          </w:p>
          <w:p w14:paraId="6CD2C4DA"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Reference: CABI, 2021. </w:t>
            </w:r>
            <w:r w:rsidRPr="004D1E6F">
              <w:rPr>
                <w:rFonts w:ascii="Times New Roman" w:eastAsia="Calibri" w:hAnsi="Times New Roman" w:cs="Times New Roman"/>
                <w:i/>
                <w:sz w:val="20"/>
                <w:szCs w:val="20"/>
              </w:rPr>
              <w:t xml:space="preserve">Faxonius limosus </w:t>
            </w:r>
            <w:r w:rsidRPr="004D1E6F">
              <w:rPr>
                <w:rFonts w:ascii="Times New Roman" w:eastAsia="Calibri" w:hAnsi="Times New Roman" w:cs="Times New Roman"/>
                <w:sz w:val="20"/>
                <w:szCs w:val="20"/>
              </w:rPr>
              <w:t xml:space="preserve">[original text by Elena Tricarico]. In: Invasive Species Compendium. Wallingford, UK: CAB International. </w:t>
            </w:r>
            <w:hyperlink w:history="1">
              <w:r w:rsidRPr="004D1E6F">
                <w:rPr>
                  <w:rFonts w:ascii="Times New Roman" w:eastAsia="Calibri" w:hAnsi="Times New Roman" w:cs="Times New Roman"/>
                  <w:color w:val="0563C1"/>
                  <w:sz w:val="20"/>
                  <w:szCs w:val="20"/>
                  <w:u w:val="single"/>
                </w:rPr>
                <w:t>www.cabi.org/isc</w:t>
              </w:r>
            </w:hyperlink>
            <w:r w:rsidRPr="004D1E6F">
              <w:rPr>
                <w:rFonts w:ascii="Times New Roman" w:eastAsia="Calibri" w:hAnsi="Times New Roman" w:cs="Times New Roman"/>
                <w:sz w:val="20"/>
                <w:szCs w:val="20"/>
              </w:rPr>
              <w:t>.</w:t>
            </w:r>
          </w:p>
        </w:tc>
      </w:tr>
      <w:tr w:rsidR="002D7080" w:rsidRPr="004D1E6F" w14:paraId="613E5C0D" w14:textId="77777777" w:rsidTr="002E2C37">
        <w:trPr>
          <w:trHeight w:val="746"/>
        </w:trPr>
        <w:tc>
          <w:tcPr>
            <w:tcW w:w="7083" w:type="dxa"/>
            <w:gridSpan w:val="2"/>
          </w:tcPr>
          <w:p w14:paraId="094DE8ED" w14:textId="77777777" w:rsidR="002D7080" w:rsidRPr="004C56B1" w:rsidRDefault="002D7080" w:rsidP="002E2C37">
            <w:pPr>
              <w:jc w:val="both"/>
              <w:rPr>
                <w:rFonts w:ascii="Times New Roman" w:eastAsia="Calibri" w:hAnsi="Times New Roman" w:cs="Times New Roman"/>
                <w:b/>
                <w:sz w:val="20"/>
                <w:szCs w:val="20"/>
              </w:rPr>
            </w:pPr>
            <w:r w:rsidRPr="004C56B1">
              <w:rPr>
                <w:rFonts w:ascii="Times New Roman" w:eastAsia="Calibri" w:hAnsi="Times New Roman" w:cs="Times New Roman"/>
                <w:b/>
                <w:sz w:val="20"/>
                <w:szCs w:val="20"/>
              </w:rPr>
              <w:t>Risk Assessment summary:</w:t>
            </w:r>
          </w:p>
          <w:p w14:paraId="0CED8F50" w14:textId="77777777" w:rsidR="002D7080" w:rsidRPr="004C56B1" w:rsidRDefault="002D7080" w:rsidP="002E2C37">
            <w:pPr>
              <w:jc w:val="both"/>
              <w:rPr>
                <w:rFonts w:ascii="Times New Roman" w:eastAsia="Calibri" w:hAnsi="Times New Roman" w:cs="Times New Roman"/>
                <w:iCs/>
                <w:sz w:val="20"/>
                <w:szCs w:val="20"/>
                <w:highlight w:val="yellow"/>
              </w:rPr>
            </w:pPr>
            <w:r w:rsidRPr="004C56B1">
              <w:rPr>
                <w:rFonts w:ascii="Times New Roman" w:eastAsia="Calibri" w:hAnsi="Times New Roman" w:cs="Times New Roman"/>
                <w:sz w:val="20"/>
                <w:szCs w:val="20"/>
              </w:rPr>
              <w:t>Spiny-cheek crayfish (</w:t>
            </w:r>
            <w:r w:rsidRPr="004C56B1">
              <w:rPr>
                <w:rFonts w:ascii="Times New Roman" w:eastAsia="Calibri" w:hAnsi="Times New Roman" w:cs="Times New Roman"/>
                <w:i/>
                <w:sz w:val="20"/>
                <w:szCs w:val="20"/>
              </w:rPr>
              <w:t>Faxonius limosus</w:t>
            </w:r>
            <w:r w:rsidRPr="004C56B1">
              <w:rPr>
                <w:rFonts w:ascii="Times New Roman" w:eastAsia="Calibri" w:hAnsi="Times New Roman" w:cs="Times New Roman"/>
                <w:sz w:val="20"/>
                <w:szCs w:val="20"/>
              </w:rPr>
              <w:t xml:space="preserve">) are native to North America but have been widely distributed in Europe. </w:t>
            </w:r>
            <w:r w:rsidRPr="004C56B1">
              <w:rPr>
                <w:rFonts w:ascii="Times New Roman" w:hAnsi="Times New Roman" w:cs="Times New Roman"/>
                <w:sz w:val="20"/>
                <w:szCs w:val="20"/>
              </w:rPr>
              <w:t xml:space="preserve">There are no know populations of </w:t>
            </w:r>
            <w:r w:rsidRPr="004C56B1">
              <w:rPr>
                <w:rFonts w:ascii="Times New Roman" w:hAnsi="Times New Roman" w:cs="Times New Roman"/>
                <w:i/>
                <w:iCs/>
                <w:sz w:val="20"/>
                <w:szCs w:val="20"/>
              </w:rPr>
              <w:t xml:space="preserve">F. limosus </w:t>
            </w:r>
            <w:r w:rsidRPr="004C56B1">
              <w:rPr>
                <w:rFonts w:ascii="Times New Roman" w:hAnsi="Times New Roman" w:cs="Times New Roman"/>
                <w:sz w:val="20"/>
                <w:szCs w:val="20"/>
              </w:rPr>
              <w:t xml:space="preserve">in South Africa but there is anecdotal evidence that it is present in the ornamental trade and this needs to be verified. There are no known populations in neighbouring countries, therefore via unaided pathways is unlikely. The illegal pet trade industry remains a concern because </w:t>
            </w:r>
            <w:r w:rsidRPr="004C56B1">
              <w:rPr>
                <w:rFonts w:ascii="Times New Roman" w:hAnsi="Times New Roman" w:cs="Times New Roman"/>
                <w:i/>
                <w:iCs/>
                <w:sz w:val="20"/>
                <w:szCs w:val="20"/>
              </w:rPr>
              <w:t xml:space="preserve">F. limosus </w:t>
            </w:r>
            <w:r w:rsidRPr="004C56B1">
              <w:rPr>
                <w:rFonts w:ascii="Times New Roman" w:hAnsi="Times New Roman" w:cs="Times New Roman"/>
                <w:sz w:val="20"/>
                <w:szCs w:val="20"/>
              </w:rPr>
              <w:t xml:space="preserve">may be moved around by humans and there is a high risk of release of unwanted pets.  </w:t>
            </w:r>
            <w:r w:rsidRPr="004C56B1">
              <w:rPr>
                <w:rFonts w:ascii="Times New Roman" w:hAnsi="Times New Roman" w:cs="Times New Roman"/>
                <w:i/>
                <w:iCs/>
                <w:sz w:val="20"/>
                <w:szCs w:val="20"/>
              </w:rPr>
              <w:t>Faxonius limosus</w:t>
            </w:r>
            <w:r w:rsidRPr="004C56B1">
              <w:rPr>
                <w:rFonts w:ascii="Times New Roman" w:hAnsi="Times New Roman" w:cs="Times New Roman"/>
                <w:sz w:val="20"/>
                <w:szCs w:val="20"/>
              </w:rPr>
              <w:t xml:space="preserve"> </w:t>
            </w:r>
            <w:r w:rsidRPr="004C56B1">
              <w:rPr>
                <w:rFonts w:ascii="Times New Roman" w:hAnsi="Times New Roman" w:cs="Times New Roman"/>
                <w:iCs/>
                <w:sz w:val="20"/>
                <w:szCs w:val="20"/>
              </w:rPr>
              <w:t xml:space="preserve">has displaced native crayfish in Europe through the competition for resources and transmission of crayfish plague. </w:t>
            </w:r>
            <w:r w:rsidRPr="004C56B1">
              <w:rPr>
                <w:rFonts w:ascii="Times New Roman" w:eastAsia="Times New Roman" w:hAnsi="Times New Roman" w:cs="Times New Roman"/>
                <w:sz w:val="20"/>
                <w:szCs w:val="20"/>
                <w:lang w:eastAsia="en-ZA"/>
              </w:rPr>
              <w:t xml:space="preserve">The decrease in native population of crayfish in Europe because of </w:t>
            </w:r>
            <w:r w:rsidRPr="004C56B1">
              <w:rPr>
                <w:rFonts w:ascii="Times New Roman" w:eastAsia="Times New Roman" w:hAnsi="Times New Roman" w:cs="Times New Roman"/>
                <w:i/>
                <w:iCs/>
                <w:sz w:val="20"/>
                <w:szCs w:val="20"/>
                <w:lang w:eastAsia="en-ZA"/>
              </w:rPr>
              <w:t>F. limosus</w:t>
            </w:r>
            <w:r w:rsidRPr="004C56B1">
              <w:rPr>
                <w:rFonts w:ascii="Times New Roman" w:eastAsia="Times New Roman" w:hAnsi="Times New Roman" w:cs="Times New Roman"/>
                <w:sz w:val="20"/>
                <w:szCs w:val="20"/>
                <w:lang w:eastAsia="en-ZA"/>
              </w:rPr>
              <w:t xml:space="preserve"> invasions also led to loss of livelihoods for communities’ dependent harvesting native crayfish. </w:t>
            </w:r>
            <w:r w:rsidRPr="004C56B1">
              <w:rPr>
                <w:rFonts w:ascii="Times New Roman" w:hAnsi="Times New Roman" w:cs="Times New Roman"/>
                <w:iCs/>
                <w:sz w:val="20"/>
                <w:szCs w:val="20"/>
              </w:rPr>
              <w:t xml:space="preserve"> </w:t>
            </w:r>
            <w:r w:rsidRPr="004C56B1">
              <w:rPr>
                <w:rFonts w:ascii="Times New Roman" w:eastAsia="Calibri" w:hAnsi="Times New Roman" w:cs="Times New Roman"/>
                <w:sz w:val="20"/>
                <w:szCs w:val="20"/>
              </w:rPr>
              <w:t xml:space="preserve"> </w:t>
            </w:r>
          </w:p>
        </w:tc>
        <w:tc>
          <w:tcPr>
            <w:tcW w:w="1933" w:type="dxa"/>
          </w:tcPr>
          <w:p w14:paraId="109FA0EB"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b/>
                <w:sz w:val="20"/>
                <w:szCs w:val="20"/>
              </w:rPr>
              <w:t>Risk score:</w:t>
            </w:r>
            <w:r w:rsidRPr="004D1E6F">
              <w:rPr>
                <w:rFonts w:ascii="Times New Roman" w:eastAsia="Calibri" w:hAnsi="Times New Roman" w:cs="Times New Roman"/>
                <w:b/>
                <w:sz w:val="20"/>
                <w:szCs w:val="20"/>
              </w:rPr>
              <w:br/>
            </w:r>
          </w:p>
          <w:p w14:paraId="56ED1B54"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sz w:val="20"/>
                <w:szCs w:val="20"/>
              </w:rPr>
              <w:t>High</w:t>
            </w:r>
          </w:p>
        </w:tc>
      </w:tr>
      <w:tr w:rsidR="002D7080" w:rsidRPr="004D1E6F" w14:paraId="50B3A34A" w14:textId="77777777" w:rsidTr="002E2C37">
        <w:trPr>
          <w:trHeight w:val="852"/>
        </w:trPr>
        <w:tc>
          <w:tcPr>
            <w:tcW w:w="7083" w:type="dxa"/>
            <w:gridSpan w:val="2"/>
          </w:tcPr>
          <w:p w14:paraId="305E4633" w14:textId="77777777" w:rsidR="002D7080" w:rsidRPr="00403FA0" w:rsidRDefault="002D7080" w:rsidP="002E2C37">
            <w:pPr>
              <w:rPr>
                <w:rFonts w:ascii="Times New Roman" w:eastAsia="Calibri" w:hAnsi="Times New Roman" w:cs="Times New Roman"/>
                <w:b/>
                <w:sz w:val="20"/>
                <w:szCs w:val="20"/>
              </w:rPr>
            </w:pPr>
            <w:r w:rsidRPr="00403FA0">
              <w:rPr>
                <w:rFonts w:ascii="Times New Roman" w:eastAsia="Calibri" w:hAnsi="Times New Roman" w:cs="Times New Roman"/>
                <w:b/>
                <w:sz w:val="20"/>
                <w:szCs w:val="20"/>
              </w:rPr>
              <w:t>Management options summary:</w:t>
            </w:r>
          </w:p>
          <w:p w14:paraId="2BB7E673" w14:textId="77777777" w:rsidR="002D7080" w:rsidRPr="00403FA0" w:rsidRDefault="002D7080" w:rsidP="002E2C37">
            <w:pPr>
              <w:jc w:val="both"/>
              <w:rPr>
                <w:rFonts w:ascii="Times New Roman" w:eastAsia="Calibri" w:hAnsi="Times New Roman" w:cs="Times New Roman"/>
                <w:sz w:val="20"/>
                <w:szCs w:val="20"/>
              </w:rPr>
            </w:pPr>
            <w:r w:rsidRPr="00403FA0">
              <w:rPr>
                <w:rFonts w:ascii="Times New Roman" w:hAnsi="Times New Roman" w:cs="Times New Roman"/>
                <w:i/>
                <w:sz w:val="20"/>
                <w:szCs w:val="20"/>
              </w:rPr>
              <w:t xml:space="preserve">Faxonius limosus </w:t>
            </w:r>
            <w:r w:rsidRPr="00403FA0">
              <w:rPr>
                <w:rFonts w:ascii="Times New Roman" w:hAnsi="Times New Roman" w:cs="Times New Roman"/>
                <w:sz w:val="20"/>
                <w:szCs w:val="20"/>
              </w:rPr>
              <w:t xml:space="preserve">is a small, largely nocturnal, burrowing freshwater species that is difficult to detect. Several methods can be used to control </w:t>
            </w:r>
            <w:r w:rsidRPr="00403FA0">
              <w:rPr>
                <w:rFonts w:ascii="Times New Roman" w:hAnsi="Times New Roman" w:cs="Times New Roman"/>
                <w:i/>
                <w:sz w:val="20"/>
                <w:szCs w:val="20"/>
              </w:rPr>
              <w:t xml:space="preserve">F. limosus </w:t>
            </w:r>
            <w:r w:rsidRPr="00403FA0">
              <w:rPr>
                <w:rFonts w:ascii="Times New Roman" w:hAnsi="Times New Roman" w:cs="Times New Roman"/>
                <w:sz w:val="20"/>
                <w:szCs w:val="20"/>
              </w:rPr>
              <w:t xml:space="preserve">such as </w:t>
            </w:r>
            <w:r w:rsidRPr="00403FA0">
              <w:rPr>
                <w:rFonts w:ascii="Times New Roman" w:eastAsia="Times New Roman" w:hAnsi="Times New Roman" w:cs="Times New Roman"/>
                <w:sz w:val="20"/>
                <w:szCs w:val="20"/>
                <w:lang w:eastAsia="en-ZA"/>
              </w:rPr>
              <w:t xml:space="preserve">mechanical removal using traps and electrofishing, biocides, and biological control. </w:t>
            </w:r>
            <w:r w:rsidRPr="00403FA0">
              <w:rPr>
                <w:rFonts w:ascii="Times New Roman" w:hAnsi="Times New Roman" w:cs="Times New Roman"/>
                <w:sz w:val="20"/>
                <w:szCs w:val="20"/>
              </w:rPr>
              <w:t xml:space="preserve">However, there are several issues that make the use of these methods challenging. The benefits of </w:t>
            </w:r>
            <w:r w:rsidRPr="00403FA0">
              <w:rPr>
                <w:rFonts w:ascii="Times New Roman" w:hAnsi="Times New Roman" w:cs="Times New Roman"/>
                <w:i/>
                <w:iCs/>
                <w:sz w:val="20"/>
                <w:szCs w:val="20"/>
              </w:rPr>
              <w:t xml:space="preserve">F. limosus </w:t>
            </w:r>
            <w:r w:rsidRPr="00403FA0">
              <w:rPr>
                <w:rFonts w:ascii="Times New Roman" w:hAnsi="Times New Roman" w:cs="Times New Roman"/>
                <w:sz w:val="20"/>
                <w:szCs w:val="20"/>
              </w:rPr>
              <w:t>were scored as low.</w:t>
            </w:r>
          </w:p>
        </w:tc>
        <w:tc>
          <w:tcPr>
            <w:tcW w:w="1933" w:type="dxa"/>
          </w:tcPr>
          <w:p w14:paraId="49108E09"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Ease of management:</w:t>
            </w:r>
          </w:p>
          <w:p w14:paraId="1B25DB52" w14:textId="77777777" w:rsidR="002D7080" w:rsidRPr="004D1E6F" w:rsidRDefault="002D7080" w:rsidP="002E2C37">
            <w:pPr>
              <w:rPr>
                <w:rFonts w:ascii="Times New Roman" w:eastAsia="Calibri" w:hAnsi="Times New Roman" w:cs="Times New Roman"/>
                <w:sz w:val="20"/>
                <w:szCs w:val="20"/>
              </w:rPr>
            </w:pPr>
          </w:p>
          <w:p w14:paraId="165B896C" w14:textId="77777777" w:rsidR="002D7080" w:rsidRPr="004D1E6F" w:rsidRDefault="002D7080" w:rsidP="002E2C37">
            <w:pPr>
              <w:rPr>
                <w:rFonts w:ascii="Times New Roman" w:eastAsia="Calibri" w:hAnsi="Times New Roman" w:cs="Times New Roman"/>
                <w:sz w:val="20"/>
                <w:szCs w:val="20"/>
              </w:rPr>
            </w:pPr>
            <w:r>
              <w:rPr>
                <w:rFonts w:ascii="Times New Roman" w:eastAsia="Calibri" w:hAnsi="Times New Roman" w:cs="Times New Roman"/>
                <w:sz w:val="20"/>
                <w:szCs w:val="20"/>
              </w:rPr>
              <w:t xml:space="preserve">Medium </w:t>
            </w:r>
          </w:p>
        </w:tc>
      </w:tr>
      <w:tr w:rsidR="002D7080" w:rsidRPr="004D1E6F" w14:paraId="5167FFE8" w14:textId="77777777" w:rsidTr="002E2C37">
        <w:trPr>
          <w:trHeight w:val="690"/>
        </w:trPr>
        <w:tc>
          <w:tcPr>
            <w:tcW w:w="7083" w:type="dxa"/>
            <w:gridSpan w:val="2"/>
            <w:vMerge w:val="restart"/>
          </w:tcPr>
          <w:p w14:paraId="168C2A6C" w14:textId="77777777" w:rsidR="002D7080" w:rsidRPr="00403FA0" w:rsidRDefault="002D7080" w:rsidP="002E2C37">
            <w:pPr>
              <w:rPr>
                <w:rFonts w:ascii="Times New Roman" w:eastAsia="Calibri" w:hAnsi="Times New Roman" w:cs="Times New Roman"/>
                <w:b/>
                <w:sz w:val="20"/>
                <w:szCs w:val="20"/>
              </w:rPr>
            </w:pPr>
            <w:r w:rsidRPr="00403FA0">
              <w:rPr>
                <w:rFonts w:ascii="Times New Roman" w:eastAsia="Calibri" w:hAnsi="Times New Roman" w:cs="Times New Roman"/>
                <w:b/>
                <w:sz w:val="20"/>
                <w:szCs w:val="20"/>
              </w:rPr>
              <w:t>Recommendations:</w:t>
            </w:r>
          </w:p>
          <w:p w14:paraId="1A44313A" w14:textId="77777777" w:rsidR="002D7080" w:rsidRPr="00131DBB" w:rsidRDefault="002D7080" w:rsidP="002E2C37">
            <w:pPr>
              <w:spacing w:after="160" w:line="259" w:lineRule="auto"/>
              <w:jc w:val="both"/>
              <w:rPr>
                <w:rFonts w:ascii="Times New Roman" w:eastAsia="Calibri" w:hAnsi="Times New Roman" w:cs="Times New Roman"/>
                <w:sz w:val="20"/>
                <w:szCs w:val="20"/>
              </w:rPr>
            </w:pPr>
            <w:r w:rsidRPr="00131DBB">
              <w:rPr>
                <w:rFonts w:ascii="Times New Roman" w:eastAsia="Calibri" w:hAnsi="Times New Roman" w:cs="Times New Roman"/>
                <w:i/>
                <w:iCs/>
                <w:sz w:val="20"/>
                <w:szCs w:val="20"/>
              </w:rPr>
              <w:t xml:space="preserve">Faxonius </w:t>
            </w:r>
            <w:r w:rsidRPr="00403FA0">
              <w:rPr>
                <w:rFonts w:ascii="Times New Roman" w:eastAsia="Calibri" w:hAnsi="Times New Roman" w:cs="Times New Roman"/>
                <w:i/>
                <w:iCs/>
                <w:sz w:val="20"/>
                <w:szCs w:val="20"/>
              </w:rPr>
              <w:t>limosus</w:t>
            </w:r>
            <w:r w:rsidRPr="00131DBB">
              <w:rPr>
                <w:rFonts w:ascii="Times New Roman" w:eastAsia="Calibri" w:hAnsi="Times New Roman" w:cs="Times New Roman"/>
                <w:i/>
                <w:iCs/>
                <w:sz w:val="20"/>
                <w:szCs w:val="20"/>
              </w:rPr>
              <w:t xml:space="preserve"> </w:t>
            </w:r>
            <w:r w:rsidRPr="00131DBB">
              <w:rPr>
                <w:rFonts w:ascii="Times New Roman" w:eastAsia="Calibri" w:hAnsi="Times New Roman" w:cs="Times New Roman"/>
                <w:sz w:val="20"/>
                <w:szCs w:val="20"/>
              </w:rPr>
              <w:t xml:space="preserve">poses a high risk to South Africa. If </w:t>
            </w:r>
            <w:r w:rsidRPr="00131DBB">
              <w:rPr>
                <w:rFonts w:ascii="Times New Roman" w:eastAsia="Times New Roman" w:hAnsi="Times New Roman" w:cs="Times New Roman"/>
                <w:i/>
                <w:sz w:val="20"/>
                <w:szCs w:val="20"/>
                <w:lang w:eastAsia="en-ZA"/>
              </w:rPr>
              <w:t xml:space="preserve">F. </w:t>
            </w:r>
            <w:r w:rsidRPr="00403FA0">
              <w:rPr>
                <w:rFonts w:ascii="Times New Roman" w:eastAsia="Times New Roman" w:hAnsi="Times New Roman" w:cs="Times New Roman"/>
                <w:i/>
                <w:sz w:val="20"/>
                <w:szCs w:val="20"/>
                <w:lang w:eastAsia="en-ZA"/>
              </w:rPr>
              <w:t>limosus</w:t>
            </w:r>
            <w:r w:rsidRPr="00131DBB">
              <w:rPr>
                <w:rFonts w:ascii="Times New Roman" w:eastAsia="Times New Roman" w:hAnsi="Times New Roman" w:cs="Times New Roman"/>
                <w:i/>
                <w:sz w:val="20"/>
                <w:szCs w:val="20"/>
                <w:lang w:eastAsia="en-ZA"/>
              </w:rPr>
              <w:t xml:space="preserve"> </w:t>
            </w:r>
            <w:r w:rsidRPr="00131DBB">
              <w:rPr>
                <w:rFonts w:ascii="Times New Roman" w:eastAsia="Calibri" w:hAnsi="Times New Roman" w:cs="Times New Roman"/>
                <w:sz w:val="20"/>
                <w:szCs w:val="20"/>
              </w:rPr>
              <w:t>were to establish outside of captivity,</w:t>
            </w:r>
            <w:r w:rsidRPr="00131DBB">
              <w:rPr>
                <w:rFonts w:ascii="Times New Roman" w:eastAsia="Calibri" w:hAnsi="Times New Roman" w:cs="Times New Roman"/>
                <w:iCs/>
                <w:sz w:val="20"/>
                <w:szCs w:val="20"/>
              </w:rPr>
              <w:t xml:space="preserve"> </w:t>
            </w:r>
            <w:r w:rsidRPr="00131DBB">
              <w:rPr>
                <w:rFonts w:ascii="Times New Roman" w:eastAsia="Times New Roman" w:hAnsi="Times New Roman" w:cs="Times New Roman"/>
                <w:iCs/>
                <w:sz w:val="20"/>
                <w:szCs w:val="20"/>
                <w:lang w:eastAsia="en-ZA"/>
              </w:rPr>
              <w:t xml:space="preserve">such populations </w:t>
            </w:r>
            <w:r w:rsidRPr="00131DBB">
              <w:rPr>
                <w:rFonts w:ascii="Times New Roman" w:eastAsia="Calibri" w:hAnsi="Times New Roman" w:cs="Times New Roman"/>
                <w:sz w:val="20"/>
                <w:szCs w:val="20"/>
              </w:rPr>
              <w:t>would likely be very difficult to extirpate.</w:t>
            </w:r>
          </w:p>
          <w:p w14:paraId="45213631" w14:textId="77777777" w:rsidR="002D7080" w:rsidRPr="00403FA0" w:rsidRDefault="002D7080" w:rsidP="002E2C37">
            <w:pPr>
              <w:jc w:val="both"/>
              <w:rPr>
                <w:rFonts w:ascii="Times New Roman" w:eastAsia="Calibri" w:hAnsi="Times New Roman" w:cs="Times New Roman"/>
                <w:sz w:val="20"/>
                <w:szCs w:val="20"/>
              </w:rPr>
            </w:pPr>
            <w:r w:rsidRPr="00403FA0">
              <w:rPr>
                <w:rFonts w:ascii="Times New Roman" w:eastAsia="Calibri" w:hAnsi="Times New Roman" w:cs="Times New Roman"/>
                <w:sz w:val="20"/>
                <w:szCs w:val="20"/>
              </w:rPr>
              <w:lastRenderedPageBreak/>
              <w:t xml:space="preserve"> As such it is recommended that </w:t>
            </w:r>
            <w:r w:rsidRPr="00403FA0">
              <w:rPr>
                <w:rFonts w:ascii="Times New Roman" w:eastAsia="Calibri" w:hAnsi="Times New Roman" w:cs="Times New Roman"/>
                <w:i/>
                <w:iCs/>
                <w:sz w:val="20"/>
                <w:szCs w:val="20"/>
              </w:rPr>
              <w:t xml:space="preserve">F. limosus </w:t>
            </w:r>
            <w:r w:rsidRPr="00403FA0">
              <w:rPr>
                <w:rFonts w:ascii="Times New Roman" w:eastAsia="Times New Roman" w:hAnsi="Times New Roman" w:cs="Times New Roman"/>
                <w:iCs/>
                <w:sz w:val="20"/>
                <w:szCs w:val="20"/>
                <w:lang w:eastAsia="en-ZA"/>
              </w:rPr>
              <w:t>remains listed as category 1a, active efforts made to establish whether the species is prese</w:t>
            </w:r>
            <w:r>
              <w:rPr>
                <w:rFonts w:ascii="Times New Roman" w:eastAsia="Times New Roman" w:hAnsi="Times New Roman" w:cs="Times New Roman"/>
                <w:iCs/>
                <w:sz w:val="20"/>
                <w:szCs w:val="20"/>
                <w:lang w:eastAsia="en-ZA"/>
              </w:rPr>
              <w:t>n</w:t>
            </w:r>
            <w:r w:rsidRPr="00403FA0">
              <w:rPr>
                <w:rFonts w:ascii="Times New Roman" w:eastAsia="Times New Roman" w:hAnsi="Times New Roman" w:cs="Times New Roman"/>
                <w:iCs/>
                <w:sz w:val="20"/>
                <w:szCs w:val="20"/>
                <w:lang w:eastAsia="en-ZA"/>
              </w:rPr>
              <w:t xml:space="preserve">t in the country, and that any individuals found are controlled. This would likely require </w:t>
            </w:r>
            <w:r w:rsidRPr="00403FA0">
              <w:rPr>
                <w:rFonts w:ascii="Times New Roman" w:eastAsia="Times New Roman" w:hAnsi="Times New Roman" w:cs="Times New Roman"/>
                <w:sz w:val="20"/>
                <w:szCs w:val="20"/>
                <w:lang w:eastAsia="en-ZA"/>
              </w:rPr>
              <w:t>a dedicated assessment of the ornamental t</w:t>
            </w:r>
            <w:r w:rsidRPr="00403FA0">
              <w:rPr>
                <w:rFonts w:ascii="Times New Roman" w:eastAsia="Calibri" w:hAnsi="Times New Roman" w:cs="Times New Roman"/>
                <w:sz w:val="20"/>
                <w:szCs w:val="20"/>
              </w:rPr>
              <w:t xml:space="preserve">rade. A reassessment in five years is thus required and, if absent from the country, </w:t>
            </w:r>
            <w:r w:rsidRPr="00403FA0">
              <w:rPr>
                <w:rFonts w:ascii="Times New Roman" w:eastAsia="Times New Roman" w:hAnsi="Times New Roman" w:cs="Times New Roman"/>
                <w:i/>
                <w:sz w:val="20"/>
                <w:szCs w:val="20"/>
                <w:lang w:eastAsia="en-ZA"/>
              </w:rPr>
              <w:t>F. limosus s</w:t>
            </w:r>
            <w:r w:rsidRPr="00403FA0">
              <w:rPr>
                <w:rFonts w:ascii="Times New Roman" w:eastAsia="Calibri" w:hAnsi="Times New Roman" w:cs="Times New Roman"/>
                <w:sz w:val="20"/>
                <w:szCs w:val="20"/>
              </w:rPr>
              <w:t>hould be added to a future prohibited list.</w:t>
            </w:r>
          </w:p>
        </w:tc>
        <w:tc>
          <w:tcPr>
            <w:tcW w:w="1933" w:type="dxa"/>
          </w:tcPr>
          <w:p w14:paraId="2628D184" w14:textId="77777777" w:rsidR="002D7080" w:rsidRPr="00233C97" w:rsidRDefault="002D7080" w:rsidP="002E2C37">
            <w:pPr>
              <w:rPr>
                <w:rFonts w:ascii="Times New Roman" w:hAnsi="Times New Roman" w:cs="Times New Roman"/>
                <w:b/>
                <w:sz w:val="20"/>
                <w:szCs w:val="20"/>
              </w:rPr>
            </w:pPr>
            <w:r w:rsidRPr="00233C97">
              <w:rPr>
                <w:rFonts w:ascii="Times New Roman" w:hAnsi="Times New Roman" w:cs="Times New Roman"/>
                <w:b/>
                <w:sz w:val="20"/>
                <w:szCs w:val="20"/>
              </w:rPr>
              <w:lastRenderedPageBreak/>
              <w:t>Listing under NEM:BA A&amp;IS lists of 2020:</w:t>
            </w:r>
          </w:p>
          <w:p w14:paraId="06FA7505" w14:textId="77777777" w:rsidR="002D7080" w:rsidRPr="004D1E6F" w:rsidRDefault="002D7080" w:rsidP="002E2C37">
            <w:pPr>
              <w:rPr>
                <w:rFonts w:ascii="Times New Roman" w:eastAsia="Calibri" w:hAnsi="Times New Roman" w:cs="Times New Roman"/>
                <w:sz w:val="20"/>
                <w:szCs w:val="20"/>
              </w:rPr>
            </w:pPr>
            <w:r w:rsidRPr="00233C97">
              <w:rPr>
                <w:rFonts w:ascii="Times New Roman" w:hAnsi="Times New Roman" w:cs="Times New Roman"/>
                <w:sz w:val="20"/>
                <w:szCs w:val="20"/>
              </w:rPr>
              <w:t>1a</w:t>
            </w:r>
            <w:r w:rsidRPr="00233C97">
              <w:rPr>
                <w:rStyle w:val="FootnoteReference"/>
                <w:rFonts w:ascii="Times New Roman" w:hAnsi="Times New Roman" w:cs="Times New Roman"/>
              </w:rPr>
              <w:footnoteReference w:id="5"/>
            </w:r>
          </w:p>
        </w:tc>
      </w:tr>
      <w:tr w:rsidR="002D7080" w:rsidRPr="004D1E6F" w14:paraId="7DE794CE" w14:textId="77777777" w:rsidTr="002E2C37">
        <w:trPr>
          <w:trHeight w:val="690"/>
        </w:trPr>
        <w:tc>
          <w:tcPr>
            <w:tcW w:w="7083" w:type="dxa"/>
            <w:gridSpan w:val="2"/>
            <w:vMerge/>
          </w:tcPr>
          <w:p w14:paraId="1DD13EE0" w14:textId="77777777" w:rsidR="002D7080" w:rsidRPr="004D1E6F" w:rsidRDefault="002D7080" w:rsidP="002E2C37">
            <w:pPr>
              <w:rPr>
                <w:rFonts w:ascii="Times New Roman" w:eastAsia="Calibri" w:hAnsi="Times New Roman" w:cs="Times New Roman"/>
                <w:b/>
                <w:sz w:val="20"/>
                <w:szCs w:val="20"/>
              </w:rPr>
            </w:pPr>
          </w:p>
        </w:tc>
        <w:tc>
          <w:tcPr>
            <w:tcW w:w="1933" w:type="dxa"/>
          </w:tcPr>
          <w:p w14:paraId="7F65D7CF" w14:textId="77777777" w:rsidR="002D7080" w:rsidRPr="00233C97" w:rsidRDefault="002D7080" w:rsidP="002E2C37">
            <w:pPr>
              <w:rPr>
                <w:rFonts w:ascii="Times New Roman" w:hAnsi="Times New Roman" w:cs="Times New Roman"/>
                <w:b/>
                <w:sz w:val="20"/>
                <w:szCs w:val="20"/>
              </w:rPr>
            </w:pPr>
            <w:r w:rsidRPr="00233C97">
              <w:rPr>
                <w:rFonts w:ascii="Times New Roman" w:hAnsi="Times New Roman" w:cs="Times New Roman"/>
                <w:b/>
                <w:sz w:val="20"/>
                <w:szCs w:val="20"/>
              </w:rPr>
              <w:t xml:space="preserve">Recommended listing category: </w:t>
            </w:r>
          </w:p>
          <w:p w14:paraId="0115287F" w14:textId="77777777" w:rsidR="002D7080" w:rsidRPr="00233C97" w:rsidRDefault="002D7080" w:rsidP="002E2C37">
            <w:pPr>
              <w:rPr>
                <w:rFonts w:ascii="Times New Roman" w:hAnsi="Times New Roman" w:cs="Times New Roman"/>
                <w:sz w:val="20"/>
                <w:szCs w:val="20"/>
              </w:rPr>
            </w:pPr>
            <w:r>
              <w:rPr>
                <w:rFonts w:ascii="Times New Roman" w:hAnsi="Times New Roman" w:cs="Times New Roman"/>
                <w:sz w:val="20"/>
                <w:szCs w:val="20"/>
              </w:rPr>
              <w:t>1a</w:t>
            </w:r>
            <w:r w:rsidRPr="00233C97">
              <w:rPr>
                <w:rStyle w:val="FootnoteReference"/>
                <w:rFonts w:ascii="Times New Roman" w:hAnsi="Times New Roman" w:cs="Times New Roman"/>
              </w:rPr>
              <w:footnoteReference w:id="6"/>
            </w:r>
          </w:p>
          <w:p w14:paraId="23BF5333" w14:textId="77777777" w:rsidR="002D7080" w:rsidRPr="004D1E6F" w:rsidRDefault="002D7080" w:rsidP="002E2C37">
            <w:pPr>
              <w:rPr>
                <w:rFonts w:ascii="Times New Roman" w:eastAsia="Calibri" w:hAnsi="Times New Roman" w:cs="Times New Roman"/>
                <w:sz w:val="20"/>
                <w:szCs w:val="20"/>
              </w:rPr>
            </w:pPr>
          </w:p>
        </w:tc>
      </w:tr>
    </w:tbl>
    <w:p w14:paraId="3844A0E7" w14:textId="77777777" w:rsidR="002D7080" w:rsidRPr="004D1E6F" w:rsidRDefault="002D7080" w:rsidP="002D7080">
      <w:pPr>
        <w:spacing w:after="0" w:line="240" w:lineRule="auto"/>
        <w:rPr>
          <w:rFonts w:ascii="Times New Roman" w:eastAsia="Calibri" w:hAnsi="Times New Roman" w:cs="Times New Roman"/>
          <w:b/>
          <w:sz w:val="20"/>
          <w:szCs w:val="20"/>
        </w:rPr>
      </w:pPr>
    </w:p>
    <w:p w14:paraId="3BDD9C1A" w14:textId="77777777" w:rsidR="002D7080" w:rsidRPr="004D1E6F" w:rsidRDefault="002D7080" w:rsidP="002D7080">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br w:type="page"/>
      </w:r>
    </w:p>
    <w:p w14:paraId="3FBA77A6" w14:textId="77777777" w:rsidR="002D7080" w:rsidRPr="004D1E6F" w:rsidRDefault="002D7080" w:rsidP="002D7080">
      <w:pPr>
        <w:spacing w:after="0" w:line="240" w:lineRule="auto"/>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lastRenderedPageBreak/>
        <w:t>1. Background</w:t>
      </w:r>
    </w:p>
    <w:p w14:paraId="6F8CEBDA"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W w:w="9122" w:type="dxa"/>
        <w:tblInd w:w="108" w:type="dxa"/>
        <w:tblLook w:val="04A0" w:firstRow="1" w:lastRow="0" w:firstColumn="1" w:lastColumn="0" w:noHBand="0" w:noVBand="1"/>
      </w:tblPr>
      <w:tblGrid>
        <w:gridCol w:w="2430"/>
        <w:gridCol w:w="1576"/>
        <w:gridCol w:w="1906"/>
        <w:gridCol w:w="3210"/>
      </w:tblGrid>
      <w:tr w:rsidR="002D7080" w:rsidRPr="004D1E6F" w14:paraId="31FD0DA2" w14:textId="77777777" w:rsidTr="002E2C37">
        <w:trPr>
          <w:cantSplit/>
          <w:trHeight w:val="358"/>
        </w:trPr>
        <w:tc>
          <w:tcPr>
            <w:tcW w:w="9122"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0C40EE27" w14:textId="77777777" w:rsidR="002D7080" w:rsidRPr="004D1E6F" w:rsidRDefault="002D7080" w:rsidP="002E2C37">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BAC1 Name of assessor(s)</w:t>
            </w:r>
          </w:p>
        </w:tc>
      </w:tr>
      <w:tr w:rsidR="002D7080" w:rsidRPr="004D1E6F" w14:paraId="20184C45" w14:textId="77777777" w:rsidTr="002E2C37">
        <w:trPr>
          <w:cantSplit/>
          <w:trHeight w:val="251"/>
        </w:trPr>
        <w:tc>
          <w:tcPr>
            <w:tcW w:w="2430" w:type="dxa"/>
            <w:tcBorders>
              <w:top w:val="nil"/>
              <w:left w:val="single" w:sz="4" w:space="0" w:color="auto"/>
              <w:bottom w:val="single" w:sz="4" w:space="0" w:color="auto"/>
              <w:right w:val="single" w:sz="4" w:space="0" w:color="auto"/>
            </w:tcBorders>
            <w:shd w:val="clear" w:color="auto" w:fill="F2F2F2" w:themeFill="background1" w:themeFillShade="F2"/>
            <w:noWrap/>
          </w:tcPr>
          <w:p w14:paraId="5400D3EC"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Name of lead assessor</w:t>
            </w:r>
          </w:p>
        </w:tc>
        <w:tc>
          <w:tcPr>
            <w:tcW w:w="6692" w:type="dxa"/>
            <w:gridSpan w:val="3"/>
            <w:tcBorders>
              <w:top w:val="nil"/>
              <w:left w:val="single" w:sz="4" w:space="0" w:color="auto"/>
              <w:bottom w:val="single" w:sz="4" w:space="0" w:color="auto"/>
              <w:right w:val="single" w:sz="4" w:space="0" w:color="auto"/>
            </w:tcBorders>
          </w:tcPr>
          <w:p w14:paraId="3ECED6EE"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Lee-Anne Botha</w:t>
            </w:r>
          </w:p>
        </w:tc>
      </w:tr>
      <w:tr w:rsidR="002D7080" w:rsidRPr="004D1E6F" w14:paraId="628F5A12" w14:textId="77777777" w:rsidTr="002E2C37">
        <w:trPr>
          <w:cantSplit/>
          <w:trHeight w:val="242"/>
        </w:trPr>
        <w:tc>
          <w:tcPr>
            <w:tcW w:w="2430" w:type="dxa"/>
            <w:tcBorders>
              <w:top w:val="nil"/>
              <w:left w:val="single" w:sz="4" w:space="0" w:color="auto"/>
              <w:bottom w:val="single" w:sz="4" w:space="0" w:color="auto"/>
              <w:right w:val="single" w:sz="4" w:space="0" w:color="auto"/>
            </w:tcBorders>
            <w:shd w:val="clear" w:color="auto" w:fill="F2F2F2" w:themeFill="background1" w:themeFillShade="F2"/>
            <w:noWrap/>
          </w:tcPr>
          <w:p w14:paraId="5F32A471" w14:textId="77777777" w:rsidR="002D7080" w:rsidRPr="004D1E6F" w:rsidRDefault="002D7080" w:rsidP="006B6D52">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Additional assessor (1)</w:t>
            </w:r>
          </w:p>
        </w:tc>
        <w:tc>
          <w:tcPr>
            <w:tcW w:w="6692" w:type="dxa"/>
            <w:gridSpan w:val="3"/>
            <w:tcBorders>
              <w:top w:val="nil"/>
              <w:left w:val="single" w:sz="4" w:space="0" w:color="auto"/>
              <w:bottom w:val="single" w:sz="4" w:space="0" w:color="auto"/>
              <w:right w:val="single" w:sz="4" w:space="0" w:color="auto"/>
            </w:tcBorders>
          </w:tcPr>
          <w:p w14:paraId="34DB77CA" w14:textId="77777777" w:rsidR="002D7080" w:rsidRPr="004D1E6F" w:rsidRDefault="002D7080" w:rsidP="006B6D52">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 xml:space="preserve">Tsungai Zengeya </w:t>
            </w:r>
          </w:p>
        </w:tc>
      </w:tr>
      <w:tr w:rsidR="002D7080" w:rsidRPr="004D1E6F" w14:paraId="43D8E64F" w14:textId="77777777" w:rsidTr="002E2C37">
        <w:trPr>
          <w:cantSplit/>
          <w:trHeight w:val="260"/>
        </w:trPr>
        <w:tc>
          <w:tcPr>
            <w:tcW w:w="2430" w:type="dxa"/>
            <w:tcBorders>
              <w:top w:val="nil"/>
              <w:left w:val="single" w:sz="4" w:space="0" w:color="auto"/>
              <w:bottom w:val="single" w:sz="4" w:space="0" w:color="auto"/>
              <w:right w:val="single" w:sz="4" w:space="0" w:color="auto"/>
            </w:tcBorders>
            <w:shd w:val="clear" w:color="auto" w:fill="F2F2F2" w:themeFill="background1" w:themeFillShade="F2"/>
            <w:noWrap/>
          </w:tcPr>
          <w:p w14:paraId="307F4EA4" w14:textId="77777777" w:rsidR="002D7080" w:rsidRPr="004D1E6F" w:rsidRDefault="002D7080" w:rsidP="006B6D52">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Additional assessor (2)</w:t>
            </w:r>
          </w:p>
        </w:tc>
        <w:tc>
          <w:tcPr>
            <w:tcW w:w="6692" w:type="dxa"/>
            <w:gridSpan w:val="3"/>
            <w:tcBorders>
              <w:top w:val="nil"/>
              <w:left w:val="single" w:sz="4" w:space="0" w:color="auto"/>
              <w:bottom w:val="single" w:sz="4" w:space="0" w:color="auto"/>
              <w:right w:val="single" w:sz="4" w:space="0" w:color="auto"/>
            </w:tcBorders>
          </w:tcPr>
          <w:p w14:paraId="1EF8A4D9" w14:textId="77777777" w:rsidR="002D7080" w:rsidRPr="004D1E6F" w:rsidRDefault="002D7080" w:rsidP="006B6D52">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 xml:space="preserve">Christian Chimimba </w:t>
            </w:r>
          </w:p>
        </w:tc>
      </w:tr>
      <w:tr w:rsidR="002D7080" w:rsidRPr="004D1E6F" w14:paraId="1D45D1F7" w14:textId="77777777" w:rsidTr="002E2C37">
        <w:trPr>
          <w:cantSplit/>
          <w:trHeight w:val="390"/>
        </w:trPr>
        <w:tc>
          <w:tcPr>
            <w:tcW w:w="9122"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7308377E"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BAC2 Contact details of assessor (s)</w:t>
            </w:r>
          </w:p>
        </w:tc>
      </w:tr>
      <w:tr w:rsidR="002D7080" w:rsidRPr="004D1E6F" w14:paraId="7269CEAC" w14:textId="77777777" w:rsidTr="002E2C37">
        <w:trPr>
          <w:cantSplit/>
          <w:trHeight w:val="70"/>
        </w:trPr>
        <w:tc>
          <w:tcPr>
            <w:tcW w:w="2430" w:type="dxa"/>
            <w:vMerge w:val="restart"/>
            <w:tcBorders>
              <w:top w:val="nil"/>
              <w:left w:val="single" w:sz="4" w:space="0" w:color="auto"/>
              <w:right w:val="single" w:sz="4" w:space="0" w:color="auto"/>
            </w:tcBorders>
            <w:shd w:val="clear" w:color="auto" w:fill="F2F2F2" w:themeFill="background1" w:themeFillShade="F2"/>
            <w:noWrap/>
            <w:hideMark/>
          </w:tcPr>
          <w:p w14:paraId="1A94A781" w14:textId="77777777" w:rsidR="002D7080" w:rsidRPr="004D1E6F" w:rsidRDefault="002D7080" w:rsidP="006B6D52">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Lead assessor</w:t>
            </w:r>
          </w:p>
        </w:tc>
        <w:tc>
          <w:tcPr>
            <w:tcW w:w="6692" w:type="dxa"/>
            <w:gridSpan w:val="3"/>
            <w:tcBorders>
              <w:top w:val="nil"/>
              <w:left w:val="nil"/>
              <w:bottom w:val="single" w:sz="4" w:space="0" w:color="auto"/>
              <w:right w:val="single" w:sz="4" w:space="0" w:color="auto"/>
            </w:tcBorders>
          </w:tcPr>
          <w:p w14:paraId="53EAD13C" w14:textId="77777777" w:rsidR="002D7080" w:rsidRPr="004D1E6F" w:rsidRDefault="002D7080" w:rsidP="006B6D52">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Organisational affiliation: Department of Zoology and Entomology, University of Pretoria and The South African National Biodiversity Institute (SANBI).</w:t>
            </w:r>
          </w:p>
        </w:tc>
      </w:tr>
      <w:tr w:rsidR="002D7080" w:rsidRPr="004D1E6F" w14:paraId="242865F5" w14:textId="77777777" w:rsidTr="002E2C37">
        <w:trPr>
          <w:cantSplit/>
          <w:trHeight w:val="70"/>
        </w:trPr>
        <w:tc>
          <w:tcPr>
            <w:tcW w:w="2430" w:type="dxa"/>
            <w:vMerge/>
            <w:tcBorders>
              <w:left w:val="single" w:sz="4" w:space="0" w:color="auto"/>
              <w:right w:val="single" w:sz="4" w:space="0" w:color="auto"/>
            </w:tcBorders>
            <w:shd w:val="clear" w:color="auto" w:fill="F2F2F2" w:themeFill="background1" w:themeFillShade="F2"/>
            <w:noWrap/>
          </w:tcPr>
          <w:p w14:paraId="602AA18E" w14:textId="77777777" w:rsidR="002D7080" w:rsidRPr="004D1E6F" w:rsidRDefault="002D7080" w:rsidP="006B6D52">
            <w:pPr>
              <w:spacing w:after="0"/>
              <w:jc w:val="both"/>
              <w:rPr>
                <w:rFonts w:ascii="Times New Roman" w:hAnsi="Times New Roman" w:cs="Times New Roman"/>
                <w:bCs/>
                <w:iCs/>
                <w:sz w:val="20"/>
                <w:szCs w:val="24"/>
              </w:rPr>
            </w:pPr>
          </w:p>
        </w:tc>
        <w:tc>
          <w:tcPr>
            <w:tcW w:w="6692" w:type="dxa"/>
            <w:gridSpan w:val="3"/>
            <w:tcBorders>
              <w:top w:val="nil"/>
              <w:left w:val="nil"/>
              <w:bottom w:val="single" w:sz="4" w:space="0" w:color="auto"/>
              <w:right w:val="single" w:sz="4" w:space="0" w:color="auto"/>
            </w:tcBorders>
          </w:tcPr>
          <w:p w14:paraId="5E84B534" w14:textId="77777777" w:rsidR="002D7080" w:rsidRPr="004D1E6F" w:rsidRDefault="002D7080" w:rsidP="006B6D52">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 xml:space="preserve">email: </w:t>
            </w:r>
            <w:r w:rsidRPr="004D1E6F">
              <w:rPr>
                <w:rFonts w:ascii="Times New Roman" w:eastAsia="Times New Roman" w:hAnsi="Times New Roman" w:cs="Times New Roman"/>
                <w:color w:val="000000"/>
                <w:sz w:val="20"/>
                <w:szCs w:val="20"/>
                <w:lang w:eastAsia="en-ZA"/>
              </w:rPr>
              <w:t>leeannebth782@gmail.com</w:t>
            </w:r>
          </w:p>
        </w:tc>
      </w:tr>
      <w:tr w:rsidR="002D7080" w:rsidRPr="004D1E6F" w14:paraId="417740DC" w14:textId="77777777" w:rsidTr="002E2C37">
        <w:trPr>
          <w:cantSplit/>
          <w:trHeight w:val="70"/>
        </w:trPr>
        <w:tc>
          <w:tcPr>
            <w:tcW w:w="2430" w:type="dxa"/>
            <w:vMerge w:val="restart"/>
            <w:tcBorders>
              <w:left w:val="single" w:sz="4" w:space="0" w:color="auto"/>
              <w:right w:val="single" w:sz="4" w:space="0" w:color="auto"/>
            </w:tcBorders>
            <w:shd w:val="clear" w:color="auto" w:fill="F2F2F2" w:themeFill="background1" w:themeFillShade="F2"/>
            <w:noWrap/>
          </w:tcPr>
          <w:p w14:paraId="3CDC2838" w14:textId="77777777" w:rsidR="002D7080" w:rsidRPr="004D1E6F" w:rsidRDefault="002D7080" w:rsidP="006B6D52">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Additional assessor (1)</w:t>
            </w:r>
          </w:p>
        </w:tc>
        <w:tc>
          <w:tcPr>
            <w:tcW w:w="6692" w:type="dxa"/>
            <w:gridSpan w:val="3"/>
            <w:tcBorders>
              <w:top w:val="nil"/>
              <w:left w:val="nil"/>
              <w:bottom w:val="single" w:sz="4" w:space="0" w:color="auto"/>
              <w:right w:val="single" w:sz="4" w:space="0" w:color="auto"/>
            </w:tcBorders>
          </w:tcPr>
          <w:p w14:paraId="64FFB95E" w14:textId="77777777" w:rsidR="002D7080" w:rsidRPr="004D1E6F" w:rsidRDefault="002D7080" w:rsidP="006B6D52">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Organisational affiliation: Department of Zoology and Entomology, University of Pretoria and The South African National Biodiversity Institute (SANBI).</w:t>
            </w:r>
          </w:p>
        </w:tc>
      </w:tr>
      <w:tr w:rsidR="002D7080" w:rsidRPr="004D1E6F" w14:paraId="55D227F8" w14:textId="77777777" w:rsidTr="002E2C37">
        <w:trPr>
          <w:cantSplit/>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17001F7A" w14:textId="77777777" w:rsidR="002D7080" w:rsidRPr="004D1E6F" w:rsidRDefault="002D7080" w:rsidP="006B6D52">
            <w:pPr>
              <w:spacing w:after="0"/>
              <w:jc w:val="both"/>
              <w:rPr>
                <w:rFonts w:ascii="Times New Roman" w:hAnsi="Times New Roman" w:cs="Times New Roman"/>
                <w:bCs/>
                <w:iCs/>
                <w:sz w:val="20"/>
                <w:szCs w:val="24"/>
              </w:rPr>
            </w:pPr>
          </w:p>
        </w:tc>
        <w:tc>
          <w:tcPr>
            <w:tcW w:w="6692" w:type="dxa"/>
            <w:gridSpan w:val="3"/>
            <w:tcBorders>
              <w:top w:val="nil"/>
              <w:left w:val="nil"/>
              <w:bottom w:val="single" w:sz="4" w:space="0" w:color="auto"/>
              <w:right w:val="single" w:sz="4" w:space="0" w:color="auto"/>
            </w:tcBorders>
          </w:tcPr>
          <w:p w14:paraId="7AC43FD7" w14:textId="77777777" w:rsidR="002D7080" w:rsidRPr="004D1E6F" w:rsidRDefault="002D7080" w:rsidP="006B6D52">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email: T.Zengeya@sanbi.org.za</w:t>
            </w:r>
          </w:p>
        </w:tc>
      </w:tr>
      <w:tr w:rsidR="002D7080" w:rsidRPr="004D1E6F" w14:paraId="0C1B6E90" w14:textId="77777777" w:rsidTr="002E2C37">
        <w:trPr>
          <w:cantSplit/>
          <w:trHeight w:val="70"/>
        </w:trPr>
        <w:tc>
          <w:tcPr>
            <w:tcW w:w="2430" w:type="dxa"/>
            <w:vMerge w:val="restart"/>
            <w:tcBorders>
              <w:left w:val="single" w:sz="4" w:space="0" w:color="auto"/>
              <w:right w:val="single" w:sz="4" w:space="0" w:color="auto"/>
            </w:tcBorders>
            <w:shd w:val="clear" w:color="auto" w:fill="F2F2F2" w:themeFill="background1" w:themeFillShade="F2"/>
            <w:noWrap/>
          </w:tcPr>
          <w:p w14:paraId="7A544183" w14:textId="77777777" w:rsidR="002D7080" w:rsidRPr="004D1E6F" w:rsidRDefault="002D7080" w:rsidP="006B6D52">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Additional assessor (2)</w:t>
            </w:r>
          </w:p>
        </w:tc>
        <w:tc>
          <w:tcPr>
            <w:tcW w:w="6692" w:type="dxa"/>
            <w:gridSpan w:val="3"/>
            <w:tcBorders>
              <w:top w:val="nil"/>
              <w:left w:val="nil"/>
              <w:bottom w:val="single" w:sz="4" w:space="0" w:color="auto"/>
              <w:right w:val="single" w:sz="4" w:space="0" w:color="auto"/>
            </w:tcBorders>
          </w:tcPr>
          <w:p w14:paraId="0D62386D" w14:textId="77777777" w:rsidR="002D7080" w:rsidRPr="004D1E6F" w:rsidRDefault="002D7080" w:rsidP="006B6D52">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Organisational affiliation: Department of Zoology and Entomology, University of Pretoria and The South African National Biodiversity Institute (SANBI).</w:t>
            </w:r>
          </w:p>
        </w:tc>
      </w:tr>
      <w:tr w:rsidR="002D7080" w:rsidRPr="004D1E6F" w14:paraId="2EDE5D78" w14:textId="77777777" w:rsidTr="002E2C37">
        <w:trPr>
          <w:cantSplit/>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136D504C" w14:textId="77777777" w:rsidR="002D7080" w:rsidRPr="004D1E6F" w:rsidRDefault="002D7080" w:rsidP="006B6D52">
            <w:pPr>
              <w:spacing w:after="0"/>
              <w:jc w:val="both"/>
              <w:rPr>
                <w:rFonts w:ascii="Times New Roman" w:hAnsi="Times New Roman" w:cs="Times New Roman"/>
                <w:bCs/>
                <w:iCs/>
                <w:sz w:val="20"/>
                <w:szCs w:val="24"/>
              </w:rPr>
            </w:pPr>
          </w:p>
        </w:tc>
        <w:tc>
          <w:tcPr>
            <w:tcW w:w="6692" w:type="dxa"/>
            <w:gridSpan w:val="3"/>
            <w:tcBorders>
              <w:top w:val="nil"/>
              <w:left w:val="nil"/>
              <w:bottom w:val="single" w:sz="4" w:space="0" w:color="auto"/>
              <w:right w:val="single" w:sz="4" w:space="0" w:color="auto"/>
            </w:tcBorders>
          </w:tcPr>
          <w:p w14:paraId="63AE401C" w14:textId="77777777" w:rsidR="002D7080" w:rsidRPr="004D1E6F" w:rsidRDefault="002D7080" w:rsidP="006B6D52">
            <w:pPr>
              <w:spacing w:after="0"/>
              <w:jc w:val="both"/>
              <w:rPr>
                <w:rFonts w:ascii="Times New Roman" w:hAnsi="Times New Roman" w:cs="Times New Roman"/>
                <w:bCs/>
                <w:iCs/>
                <w:sz w:val="20"/>
                <w:szCs w:val="24"/>
              </w:rPr>
            </w:pPr>
            <w:r w:rsidRPr="004D1E6F">
              <w:rPr>
                <w:rFonts w:ascii="Times New Roman" w:hAnsi="Times New Roman" w:cs="Times New Roman"/>
                <w:bCs/>
                <w:iCs/>
                <w:sz w:val="20"/>
                <w:szCs w:val="24"/>
              </w:rPr>
              <w:t>email: ctchimimba@up.ac.za</w:t>
            </w:r>
          </w:p>
        </w:tc>
      </w:tr>
      <w:tr w:rsidR="002D7080" w:rsidRPr="004D1E6F" w14:paraId="63CFD2C0" w14:textId="77777777" w:rsidTr="002E2C37">
        <w:trPr>
          <w:cantSplit/>
          <w:trHeight w:val="260"/>
        </w:trPr>
        <w:tc>
          <w:tcPr>
            <w:tcW w:w="9122" w:type="dxa"/>
            <w:gridSpan w:val="4"/>
            <w:tcBorders>
              <w:left w:val="single" w:sz="4" w:space="0" w:color="auto"/>
              <w:bottom w:val="single" w:sz="4" w:space="0" w:color="auto"/>
              <w:right w:val="single" w:sz="4" w:space="0" w:color="auto"/>
            </w:tcBorders>
            <w:shd w:val="clear" w:color="auto" w:fill="F2F2F2" w:themeFill="background1" w:themeFillShade="F2"/>
            <w:noWrap/>
          </w:tcPr>
          <w:p w14:paraId="23B4A2A1"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BAC3 Name(s) and contact details of expert(s) consulted</w:t>
            </w:r>
          </w:p>
        </w:tc>
      </w:tr>
      <w:tr w:rsidR="002D7080" w:rsidRPr="004D1E6F" w14:paraId="53176CFB" w14:textId="77777777" w:rsidTr="002E2C37">
        <w:trPr>
          <w:cantSplit/>
          <w:trHeight w:val="70"/>
        </w:trPr>
        <w:tc>
          <w:tcPr>
            <w:tcW w:w="2430" w:type="dxa"/>
            <w:vMerge w:val="restart"/>
            <w:tcBorders>
              <w:left w:val="single" w:sz="4" w:space="0" w:color="auto"/>
              <w:right w:val="single" w:sz="4" w:space="0" w:color="auto"/>
            </w:tcBorders>
            <w:shd w:val="clear" w:color="auto" w:fill="F2F2F2" w:themeFill="background1" w:themeFillShade="F2"/>
            <w:noWrap/>
          </w:tcPr>
          <w:p w14:paraId="36D50EE7"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Expert (1)</w:t>
            </w:r>
          </w:p>
        </w:tc>
        <w:tc>
          <w:tcPr>
            <w:tcW w:w="6692" w:type="dxa"/>
            <w:gridSpan w:val="3"/>
            <w:tcBorders>
              <w:top w:val="nil"/>
              <w:left w:val="nil"/>
              <w:bottom w:val="single" w:sz="4" w:space="0" w:color="auto"/>
              <w:right w:val="single" w:sz="4" w:space="0" w:color="auto"/>
            </w:tcBorders>
          </w:tcPr>
          <w:p w14:paraId="26A99720"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Name: </w:t>
            </w:r>
          </w:p>
        </w:tc>
      </w:tr>
      <w:tr w:rsidR="002D7080" w:rsidRPr="004D1E6F" w14:paraId="6E934134" w14:textId="77777777" w:rsidTr="002E2C37">
        <w:trPr>
          <w:cantSplit/>
          <w:trHeight w:val="70"/>
        </w:trPr>
        <w:tc>
          <w:tcPr>
            <w:tcW w:w="2430" w:type="dxa"/>
            <w:vMerge/>
            <w:tcBorders>
              <w:left w:val="single" w:sz="4" w:space="0" w:color="auto"/>
              <w:right w:val="single" w:sz="4" w:space="0" w:color="auto"/>
            </w:tcBorders>
            <w:shd w:val="clear" w:color="auto" w:fill="F2F2F2" w:themeFill="background1" w:themeFillShade="F2"/>
            <w:noWrap/>
          </w:tcPr>
          <w:p w14:paraId="44BCC887" w14:textId="77777777" w:rsidR="002D7080" w:rsidRPr="004D1E6F" w:rsidRDefault="002D7080" w:rsidP="006B6D52">
            <w:pPr>
              <w:spacing w:after="0"/>
              <w:jc w:val="both"/>
              <w:rPr>
                <w:rFonts w:ascii="Times New Roman" w:eastAsia="Times New Roman" w:hAnsi="Times New Roman" w:cs="Times New Roman"/>
                <w:sz w:val="20"/>
                <w:szCs w:val="20"/>
                <w:lang w:eastAsia="en-ZA"/>
              </w:rPr>
            </w:pPr>
          </w:p>
        </w:tc>
        <w:tc>
          <w:tcPr>
            <w:tcW w:w="6692" w:type="dxa"/>
            <w:gridSpan w:val="3"/>
            <w:tcBorders>
              <w:top w:val="nil"/>
              <w:left w:val="nil"/>
              <w:bottom w:val="single" w:sz="4" w:space="0" w:color="auto"/>
              <w:right w:val="single" w:sz="4" w:space="0" w:color="auto"/>
            </w:tcBorders>
          </w:tcPr>
          <w:p w14:paraId="1965B9BD"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email: </w:t>
            </w:r>
          </w:p>
        </w:tc>
      </w:tr>
      <w:tr w:rsidR="002D7080" w:rsidRPr="004D1E6F" w14:paraId="7241FB93" w14:textId="77777777" w:rsidTr="002E2C37">
        <w:trPr>
          <w:cantSplit/>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223954EA" w14:textId="77777777" w:rsidR="002D7080" w:rsidRPr="004D1E6F" w:rsidRDefault="002D7080" w:rsidP="006B6D52">
            <w:pPr>
              <w:spacing w:after="0"/>
              <w:jc w:val="both"/>
              <w:rPr>
                <w:rFonts w:ascii="Times New Roman" w:eastAsia="Times New Roman" w:hAnsi="Times New Roman" w:cs="Times New Roman"/>
                <w:sz w:val="20"/>
                <w:szCs w:val="20"/>
                <w:lang w:eastAsia="en-ZA"/>
              </w:rPr>
            </w:pPr>
          </w:p>
        </w:tc>
        <w:tc>
          <w:tcPr>
            <w:tcW w:w="6692" w:type="dxa"/>
            <w:gridSpan w:val="3"/>
            <w:tcBorders>
              <w:top w:val="nil"/>
              <w:left w:val="nil"/>
              <w:bottom w:val="single" w:sz="4" w:space="0" w:color="auto"/>
              <w:right w:val="single" w:sz="4" w:space="0" w:color="auto"/>
            </w:tcBorders>
          </w:tcPr>
          <w:p w14:paraId="0C7B5394"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Phone: </w:t>
            </w:r>
          </w:p>
        </w:tc>
      </w:tr>
      <w:tr w:rsidR="002D7080" w:rsidRPr="004D1E6F" w14:paraId="2DA3C26A" w14:textId="77777777" w:rsidTr="002E2C37">
        <w:trPr>
          <w:cantSplit/>
          <w:trHeight w:val="70"/>
        </w:trPr>
        <w:tc>
          <w:tcPr>
            <w:tcW w:w="2430" w:type="dxa"/>
            <w:vMerge w:val="restart"/>
            <w:tcBorders>
              <w:left w:val="single" w:sz="4" w:space="0" w:color="auto"/>
              <w:right w:val="single" w:sz="4" w:space="0" w:color="auto"/>
            </w:tcBorders>
            <w:shd w:val="clear" w:color="auto" w:fill="F2F2F2" w:themeFill="background1" w:themeFillShade="F2"/>
            <w:noWrap/>
          </w:tcPr>
          <w:p w14:paraId="685D3A0D"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Expert (2)</w:t>
            </w:r>
          </w:p>
        </w:tc>
        <w:tc>
          <w:tcPr>
            <w:tcW w:w="6692" w:type="dxa"/>
            <w:gridSpan w:val="3"/>
            <w:tcBorders>
              <w:top w:val="nil"/>
              <w:left w:val="nil"/>
              <w:bottom w:val="single" w:sz="4" w:space="0" w:color="auto"/>
              <w:right w:val="single" w:sz="4" w:space="0" w:color="auto"/>
            </w:tcBorders>
          </w:tcPr>
          <w:p w14:paraId="5B88E41B"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Name:</w:t>
            </w:r>
          </w:p>
        </w:tc>
      </w:tr>
      <w:tr w:rsidR="002D7080" w:rsidRPr="004D1E6F" w14:paraId="711C33B7" w14:textId="77777777" w:rsidTr="002E2C37">
        <w:trPr>
          <w:cantSplit/>
          <w:trHeight w:val="70"/>
        </w:trPr>
        <w:tc>
          <w:tcPr>
            <w:tcW w:w="2430" w:type="dxa"/>
            <w:vMerge/>
            <w:tcBorders>
              <w:left w:val="single" w:sz="4" w:space="0" w:color="auto"/>
              <w:right w:val="single" w:sz="4" w:space="0" w:color="auto"/>
            </w:tcBorders>
            <w:shd w:val="clear" w:color="auto" w:fill="F2F2F2" w:themeFill="background1" w:themeFillShade="F2"/>
            <w:noWrap/>
          </w:tcPr>
          <w:p w14:paraId="7E6637D8" w14:textId="77777777" w:rsidR="002D7080" w:rsidRPr="004D1E6F" w:rsidRDefault="002D7080" w:rsidP="006B6D52">
            <w:pPr>
              <w:spacing w:after="0"/>
              <w:jc w:val="both"/>
              <w:rPr>
                <w:rFonts w:ascii="Times New Roman" w:eastAsia="Times New Roman" w:hAnsi="Times New Roman" w:cs="Times New Roman"/>
                <w:sz w:val="20"/>
                <w:szCs w:val="20"/>
                <w:lang w:eastAsia="en-ZA"/>
              </w:rPr>
            </w:pPr>
          </w:p>
        </w:tc>
        <w:tc>
          <w:tcPr>
            <w:tcW w:w="6692" w:type="dxa"/>
            <w:gridSpan w:val="3"/>
            <w:tcBorders>
              <w:top w:val="nil"/>
              <w:left w:val="nil"/>
              <w:bottom w:val="single" w:sz="4" w:space="0" w:color="auto"/>
              <w:right w:val="single" w:sz="4" w:space="0" w:color="auto"/>
            </w:tcBorders>
          </w:tcPr>
          <w:p w14:paraId="3279436B"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email:</w:t>
            </w:r>
          </w:p>
        </w:tc>
      </w:tr>
      <w:tr w:rsidR="002D7080" w:rsidRPr="004D1E6F" w14:paraId="29FF3BAD" w14:textId="77777777" w:rsidTr="002E2C37">
        <w:trPr>
          <w:cantSplit/>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61F8D722" w14:textId="77777777" w:rsidR="002D7080" w:rsidRPr="004D1E6F" w:rsidRDefault="002D7080" w:rsidP="006B6D52">
            <w:pPr>
              <w:spacing w:after="0"/>
              <w:jc w:val="both"/>
              <w:rPr>
                <w:rFonts w:ascii="Times New Roman" w:eastAsia="Times New Roman" w:hAnsi="Times New Roman" w:cs="Times New Roman"/>
                <w:sz w:val="20"/>
                <w:szCs w:val="20"/>
                <w:lang w:eastAsia="en-ZA"/>
              </w:rPr>
            </w:pPr>
          </w:p>
        </w:tc>
        <w:tc>
          <w:tcPr>
            <w:tcW w:w="6692" w:type="dxa"/>
            <w:gridSpan w:val="3"/>
            <w:tcBorders>
              <w:top w:val="nil"/>
              <w:left w:val="nil"/>
              <w:bottom w:val="single" w:sz="4" w:space="0" w:color="auto"/>
              <w:right w:val="single" w:sz="4" w:space="0" w:color="auto"/>
            </w:tcBorders>
          </w:tcPr>
          <w:p w14:paraId="226223AC"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Phone:</w:t>
            </w:r>
          </w:p>
        </w:tc>
      </w:tr>
      <w:tr w:rsidR="002D7080" w:rsidRPr="004D1E6F" w14:paraId="2536C264" w14:textId="77777777" w:rsidTr="002E2C37">
        <w:trPr>
          <w:cantSplit/>
          <w:trHeight w:val="70"/>
        </w:trPr>
        <w:tc>
          <w:tcPr>
            <w:tcW w:w="9122" w:type="dxa"/>
            <w:gridSpan w:val="4"/>
            <w:tcBorders>
              <w:top w:val="nil"/>
              <w:left w:val="single" w:sz="4" w:space="0" w:color="auto"/>
              <w:bottom w:val="single" w:sz="4" w:space="0" w:color="auto"/>
              <w:right w:val="single" w:sz="4" w:space="0" w:color="auto"/>
            </w:tcBorders>
            <w:noWrap/>
          </w:tcPr>
          <w:p w14:paraId="3FA12C8C"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Pr>
                <w:rFonts w:ascii="Times New Roman" w:eastAsia="Times New Roman" w:hAnsi="Times New Roman" w:cs="Times New Roman"/>
                <w:sz w:val="20"/>
                <w:szCs w:val="20"/>
                <w:lang w:eastAsia="en-ZA"/>
              </w:rPr>
              <w:t xml:space="preserve"> none</w:t>
            </w:r>
          </w:p>
        </w:tc>
      </w:tr>
      <w:tr w:rsidR="002D7080" w:rsidRPr="004D1E6F" w14:paraId="73F68F4C" w14:textId="77777777" w:rsidTr="002E2C37">
        <w:trPr>
          <w:cantSplit/>
          <w:trHeight w:val="70"/>
        </w:trPr>
        <w:tc>
          <w:tcPr>
            <w:tcW w:w="9122"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40CC2D67"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BAC4 Scientific name of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under assessment</w:t>
            </w:r>
          </w:p>
        </w:tc>
      </w:tr>
      <w:tr w:rsidR="002D7080" w:rsidRPr="004D1E6F" w14:paraId="5ABF9375" w14:textId="77777777" w:rsidTr="002E2C37">
        <w:trPr>
          <w:cantSplit/>
          <w:trHeight w:val="215"/>
        </w:trPr>
        <w:tc>
          <w:tcPr>
            <w:tcW w:w="5912" w:type="dxa"/>
            <w:gridSpan w:val="3"/>
            <w:tcBorders>
              <w:top w:val="nil"/>
              <w:left w:val="single" w:sz="4" w:space="0" w:color="auto"/>
              <w:bottom w:val="single" w:sz="4" w:space="0" w:color="auto"/>
              <w:right w:val="single" w:sz="4" w:space="0" w:color="auto"/>
            </w:tcBorders>
            <w:noWrap/>
          </w:tcPr>
          <w:p w14:paraId="54E4505E"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name:</w:t>
            </w:r>
            <w:r w:rsidRPr="004D1E6F">
              <w:rPr>
                <w:rFonts w:ascii="Times New Roman" w:eastAsia="Times New Roman" w:hAnsi="Times New Roman" w:cs="Times New Roman"/>
                <w:i/>
                <w:iCs/>
                <w:color w:val="000000"/>
                <w:sz w:val="20"/>
                <w:szCs w:val="20"/>
                <w:lang w:eastAsia="en-ZA"/>
              </w:rPr>
              <w:t xml:space="preserve"> </w:t>
            </w:r>
            <w:r w:rsidRPr="004D1E6F">
              <w:rPr>
                <w:rFonts w:ascii="Times New Roman" w:eastAsia="Times New Roman" w:hAnsi="Times New Roman" w:cs="Times New Roman"/>
                <w:i/>
                <w:iCs/>
                <w:sz w:val="20"/>
                <w:szCs w:val="20"/>
                <w:lang w:eastAsia="en-ZA"/>
              </w:rPr>
              <w:t>Faxonius limosus</w:t>
            </w:r>
          </w:p>
        </w:tc>
        <w:tc>
          <w:tcPr>
            <w:tcW w:w="3210" w:type="dxa"/>
            <w:tcBorders>
              <w:top w:val="nil"/>
              <w:left w:val="nil"/>
              <w:bottom w:val="single" w:sz="4" w:space="0" w:color="auto"/>
              <w:right w:val="single" w:sz="4" w:space="0" w:color="auto"/>
            </w:tcBorders>
            <w:hideMark/>
          </w:tcPr>
          <w:p w14:paraId="55EC066E"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Authority: (Rafinesque,1817)</w:t>
            </w:r>
          </w:p>
        </w:tc>
      </w:tr>
      <w:tr w:rsidR="002D7080" w:rsidRPr="004D1E6F" w14:paraId="58F0D4FA" w14:textId="77777777" w:rsidTr="002E2C37">
        <w:trPr>
          <w:cantSplit/>
          <w:trHeight w:val="70"/>
        </w:trPr>
        <w:tc>
          <w:tcPr>
            <w:tcW w:w="9122" w:type="dxa"/>
            <w:gridSpan w:val="4"/>
            <w:tcBorders>
              <w:top w:val="nil"/>
              <w:left w:val="single" w:sz="4" w:space="0" w:color="auto"/>
              <w:bottom w:val="single" w:sz="4" w:space="0" w:color="auto"/>
              <w:right w:val="single" w:sz="4" w:space="0" w:color="auto"/>
            </w:tcBorders>
            <w:noWrap/>
          </w:tcPr>
          <w:p w14:paraId="0288E61F"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 The genus</w:t>
            </w:r>
            <w:r w:rsidRPr="004D1E6F">
              <w:rPr>
                <w:rFonts w:ascii="Times New Roman" w:eastAsia="Times New Roman" w:hAnsi="Times New Roman" w:cs="Times New Roman"/>
                <w:i/>
                <w:iCs/>
                <w:sz w:val="20"/>
                <w:szCs w:val="20"/>
                <w:lang w:eastAsia="en-ZA"/>
              </w:rPr>
              <w:t xml:space="preserve"> Orconectes </w:t>
            </w:r>
            <w:r w:rsidRPr="004D1E6F">
              <w:rPr>
                <w:rFonts w:ascii="Times New Roman" w:eastAsia="Times New Roman" w:hAnsi="Times New Roman" w:cs="Times New Roman"/>
                <w:sz w:val="20"/>
                <w:szCs w:val="20"/>
                <w:lang w:eastAsia="en-ZA"/>
              </w:rPr>
              <w:t xml:space="preserve">previously included cave-dwelling and surface-dwelling crayfish (Crandall &amp; De Grave 2017). The non-cave dwelling crayfish in the </w:t>
            </w:r>
            <w:r w:rsidRPr="004D1E6F">
              <w:rPr>
                <w:rFonts w:ascii="Times New Roman" w:eastAsia="Times New Roman" w:hAnsi="Times New Roman" w:cs="Times New Roman"/>
                <w:i/>
                <w:sz w:val="20"/>
                <w:szCs w:val="20"/>
                <w:lang w:eastAsia="en-ZA"/>
              </w:rPr>
              <w:t>Orconectes</w:t>
            </w:r>
            <w:r w:rsidRPr="004D1E6F">
              <w:rPr>
                <w:rFonts w:ascii="Times New Roman" w:eastAsia="Times New Roman" w:hAnsi="Times New Roman" w:cs="Times New Roman"/>
                <w:sz w:val="20"/>
                <w:szCs w:val="20"/>
                <w:lang w:eastAsia="en-ZA"/>
              </w:rPr>
              <w:t xml:space="preserve"> genus were moved to </w:t>
            </w:r>
            <w:r w:rsidRPr="004D1E6F">
              <w:rPr>
                <w:rFonts w:ascii="Times New Roman" w:eastAsia="Times New Roman" w:hAnsi="Times New Roman" w:cs="Times New Roman"/>
                <w:i/>
                <w:sz w:val="20"/>
                <w:szCs w:val="20"/>
                <w:lang w:eastAsia="en-ZA"/>
              </w:rPr>
              <w:t>Faxonius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 xml:space="preserve">(Crandall &amp; De Grave 2017). The taxonomic status of </w:t>
            </w:r>
            <w:r w:rsidRPr="004D1E6F">
              <w:rPr>
                <w:rFonts w:ascii="Times New Roman" w:eastAsia="Times New Roman" w:hAnsi="Times New Roman" w:cs="Times New Roman"/>
                <w:i/>
                <w:sz w:val="20"/>
                <w:szCs w:val="20"/>
                <w:lang w:eastAsia="en-ZA"/>
              </w:rPr>
              <w:t xml:space="preserve">F. rusticus </w:t>
            </w:r>
            <w:r w:rsidRPr="004D1E6F">
              <w:rPr>
                <w:rFonts w:ascii="Times New Roman" w:eastAsia="Times New Roman" w:hAnsi="Times New Roman" w:cs="Times New Roman"/>
                <w:iCs/>
                <w:sz w:val="20"/>
                <w:szCs w:val="20"/>
                <w:lang w:eastAsia="en-ZA"/>
              </w:rPr>
              <w:t>has been verified (GBIF 2023).</w:t>
            </w:r>
          </w:p>
        </w:tc>
      </w:tr>
      <w:tr w:rsidR="002D7080" w:rsidRPr="004D1E6F" w14:paraId="338053FB" w14:textId="77777777" w:rsidTr="002E2C37">
        <w:trPr>
          <w:cantSplit/>
          <w:trHeight w:val="70"/>
        </w:trPr>
        <w:tc>
          <w:tcPr>
            <w:tcW w:w="9122" w:type="dxa"/>
            <w:gridSpan w:val="4"/>
            <w:tcBorders>
              <w:top w:val="nil"/>
              <w:left w:val="single" w:sz="4" w:space="0" w:color="auto"/>
              <w:bottom w:val="single" w:sz="4" w:space="0" w:color="auto"/>
              <w:right w:val="single" w:sz="4" w:space="0" w:color="auto"/>
            </w:tcBorders>
            <w:noWrap/>
          </w:tcPr>
          <w:p w14:paraId="2A2770FC"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46264F2F"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Crandall</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K</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A</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De Grave</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S</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2017</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An updated classification of the freshwater crayfishes (Decapoda: Astacidea) of the world, with a complete species list</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Journal of Crustacean Biolog</w:t>
            </w:r>
            <w:r>
              <w:rPr>
                <w:rFonts w:ascii="Times New Roman" w:eastAsia="Times New Roman" w:hAnsi="Times New Roman" w:cs="Times New Roman"/>
                <w:i/>
                <w:sz w:val="20"/>
                <w:szCs w:val="20"/>
                <w:lang w:eastAsia="en-ZA"/>
              </w:rPr>
              <w:t>y</w:t>
            </w:r>
            <w:r w:rsidRPr="00B8503D">
              <w:rPr>
                <w:rFonts w:ascii="Times New Roman" w:eastAsia="Times New Roman" w:hAnsi="Times New Roman" w:cs="Times New Roman"/>
                <w:iCs/>
                <w:sz w:val="20"/>
                <w:szCs w:val="20"/>
                <w:lang w:eastAsia="en-ZA"/>
              </w:rPr>
              <w:t>,</w:t>
            </w:r>
            <w:r w:rsidRPr="004D1E6F">
              <w:rPr>
                <w:rFonts w:ascii="Times New Roman" w:eastAsia="Times New Roman" w:hAnsi="Times New Roman" w:cs="Times New Roman"/>
                <w:sz w:val="20"/>
                <w:szCs w:val="20"/>
                <w:lang w:eastAsia="en-ZA"/>
              </w:rPr>
              <w:t xml:space="preserve"> 27</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615–653.</w:t>
            </w:r>
          </w:p>
          <w:p w14:paraId="46B89D88"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hAnsi="Times New Roman" w:cs="Times New Roman"/>
                <w:i/>
                <w:iCs/>
                <w:sz w:val="20"/>
                <w:szCs w:val="20"/>
                <w:shd w:val="clear" w:color="auto" w:fill="FFFFFF"/>
              </w:rPr>
              <w:t>Faxonius limosus </w:t>
            </w:r>
            <w:r w:rsidRPr="004D1E6F">
              <w:rPr>
                <w:rFonts w:ascii="Times New Roman" w:hAnsi="Times New Roman" w:cs="Times New Roman"/>
                <w:sz w:val="20"/>
                <w:szCs w:val="20"/>
                <w:shd w:val="clear" w:color="auto" w:fill="FFFFFF"/>
              </w:rPr>
              <w:t>(Rafinesque, 1817) in GBIF Secretariat (2023). GBIF Backbone Taxonomy. Checklist dataset </w:t>
            </w:r>
            <w:hyperlink w:tgtFrame="_blank" w:history="1">
              <w:r w:rsidRPr="004D1E6F">
                <w:rPr>
                  <w:rFonts w:ascii="Times New Roman" w:hAnsi="Times New Roman" w:cs="Times New Roman"/>
                  <w:sz w:val="20"/>
                  <w:szCs w:val="20"/>
                  <w:u w:val="single"/>
                </w:rPr>
                <w:t>https://doi.org/10.15468/39omei</w:t>
              </w:r>
            </w:hyperlink>
            <w:r w:rsidRPr="004D1E6F">
              <w:rPr>
                <w:rFonts w:ascii="Times New Roman" w:hAnsi="Times New Roman" w:cs="Times New Roman"/>
                <w:sz w:val="20"/>
                <w:szCs w:val="20"/>
                <w:shd w:val="clear" w:color="auto" w:fill="FFFFFF"/>
              </w:rPr>
              <w:t> accessed via GBIF.org on 2024-07-10.</w:t>
            </w:r>
          </w:p>
        </w:tc>
      </w:tr>
      <w:tr w:rsidR="002D7080" w:rsidRPr="004D1E6F" w14:paraId="13B08262" w14:textId="77777777" w:rsidTr="002E2C37">
        <w:trPr>
          <w:cantSplit/>
          <w:trHeight w:val="260"/>
        </w:trPr>
        <w:tc>
          <w:tcPr>
            <w:tcW w:w="9122"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D229B66"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BAC5 Synonym(s) considered</w:t>
            </w:r>
          </w:p>
        </w:tc>
      </w:tr>
      <w:tr w:rsidR="002D7080" w:rsidRPr="0087162A" w14:paraId="46D20A9F"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75869369" w14:textId="77777777" w:rsidR="002D7080" w:rsidRPr="000E6BA8" w:rsidRDefault="002D7080" w:rsidP="006B6D52">
            <w:pPr>
              <w:spacing w:after="0"/>
              <w:jc w:val="both"/>
              <w:rPr>
                <w:rFonts w:ascii="Times New Roman" w:eastAsia="Times New Roman" w:hAnsi="Times New Roman" w:cs="Times New Roman"/>
                <w:b/>
                <w:sz w:val="20"/>
                <w:szCs w:val="20"/>
                <w:lang w:val="fr-FR" w:eastAsia="en-ZA"/>
              </w:rPr>
            </w:pPr>
            <w:r w:rsidRPr="000E6BA8">
              <w:rPr>
                <w:rFonts w:ascii="Times New Roman" w:eastAsia="Times New Roman" w:hAnsi="Times New Roman" w:cs="Times New Roman"/>
                <w:sz w:val="20"/>
                <w:szCs w:val="20"/>
                <w:lang w:val="fr-FR" w:eastAsia="en-ZA"/>
              </w:rPr>
              <w:t xml:space="preserve">Synonyms: </w:t>
            </w:r>
            <w:r w:rsidRPr="000E6BA8">
              <w:rPr>
                <w:rFonts w:ascii="Times New Roman" w:eastAsia="Times New Roman" w:hAnsi="Times New Roman" w:cs="Times New Roman"/>
                <w:i/>
                <w:sz w:val="20"/>
                <w:szCs w:val="20"/>
                <w:lang w:val="fr-FR" w:eastAsia="en-ZA"/>
              </w:rPr>
              <w:t>Cambarus affinis | Cambarus limosus | Orconectes limosus | Astacus limosus</w:t>
            </w:r>
          </w:p>
        </w:tc>
      </w:tr>
      <w:tr w:rsidR="002D7080" w:rsidRPr="004D1E6F" w14:paraId="0A9062B5"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02EE49C3"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 T</w:t>
            </w:r>
            <w:r w:rsidRPr="004D1E6F">
              <w:rPr>
                <w:rFonts w:ascii="Times New Roman" w:eastAsia="Times New Roman" w:hAnsi="Times New Roman" w:cs="Times New Roman"/>
                <w:iCs/>
                <w:sz w:val="20"/>
                <w:szCs w:val="20"/>
                <w:lang w:eastAsia="en-ZA"/>
              </w:rPr>
              <w:t xml:space="preserve">he abovementioned synonyms are known for </w:t>
            </w:r>
            <w:r w:rsidRPr="004D1E6F">
              <w:rPr>
                <w:rFonts w:ascii="Times New Roman" w:eastAsia="Times New Roman" w:hAnsi="Times New Roman" w:cs="Times New Roman"/>
                <w:i/>
                <w:sz w:val="20"/>
                <w:szCs w:val="20"/>
                <w:lang w:eastAsia="en-ZA"/>
              </w:rPr>
              <w:t>F. limosus</w:t>
            </w:r>
            <w:r w:rsidRPr="004D1E6F">
              <w:rPr>
                <w:rFonts w:ascii="Times New Roman" w:eastAsia="Times New Roman" w:hAnsi="Times New Roman" w:cs="Times New Roman"/>
                <w:iCs/>
                <w:sz w:val="20"/>
                <w:szCs w:val="20"/>
                <w:lang w:eastAsia="en-ZA"/>
              </w:rPr>
              <w:t xml:space="preserve"> (Crandall and de Grave 2017, </w:t>
            </w:r>
            <w:r>
              <w:rPr>
                <w:rFonts w:ascii="Times New Roman" w:eastAsia="Times New Roman" w:hAnsi="Times New Roman" w:cs="Times New Roman"/>
                <w:iCs/>
                <w:sz w:val="20"/>
                <w:szCs w:val="20"/>
                <w:lang w:eastAsia="en-ZA"/>
              </w:rPr>
              <w:t xml:space="preserve">GBIF, </w:t>
            </w:r>
            <w:r w:rsidRPr="004D1E6F">
              <w:rPr>
                <w:rFonts w:ascii="Times New Roman" w:eastAsia="Times New Roman" w:hAnsi="Times New Roman" w:cs="Times New Roman"/>
                <w:iCs/>
                <w:sz w:val="20"/>
                <w:szCs w:val="20"/>
                <w:lang w:eastAsia="en-ZA"/>
              </w:rPr>
              <w:t>2023) and were used in the literature search of this risk analysis.</w:t>
            </w:r>
          </w:p>
        </w:tc>
      </w:tr>
      <w:tr w:rsidR="002D7080" w:rsidRPr="004D1E6F" w14:paraId="6C9B771E"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60277B51"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65B2C0C9"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Crandall</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K</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A</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De Grave</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S</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2017</w:t>
            </w:r>
            <w:r>
              <w:rPr>
                <w:rFonts w:ascii="Times New Roman" w:eastAsia="Times New Roman" w:hAnsi="Times New Roman" w:cs="Times New Roman"/>
                <w:sz w:val="20"/>
                <w:szCs w:val="20"/>
                <w:lang w:eastAsia="en-ZA"/>
              </w:rPr>
              <w:t>, ‘</w:t>
            </w:r>
            <w:r w:rsidRPr="004D1E6F">
              <w:rPr>
                <w:rFonts w:ascii="Times New Roman" w:eastAsia="Times New Roman" w:hAnsi="Times New Roman" w:cs="Times New Roman"/>
                <w:sz w:val="20"/>
                <w:szCs w:val="20"/>
                <w:lang w:eastAsia="en-ZA"/>
              </w:rPr>
              <w:t>An updated classification of the freshwater crayfishes (Decapoda: Astacidea) of the world, with a complete species list</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Journal of Crustacean Biology</w:t>
            </w:r>
            <w:r w:rsidRPr="005D0A66">
              <w:rPr>
                <w:rFonts w:ascii="Times New Roman" w:eastAsia="Times New Roman" w:hAnsi="Times New Roman" w:cs="Times New Roman"/>
                <w:iCs/>
                <w:sz w:val="20"/>
                <w:szCs w:val="20"/>
                <w:lang w:eastAsia="en-ZA"/>
              </w:rPr>
              <w:t xml:space="preserve">, </w:t>
            </w:r>
            <w:r w:rsidRPr="004D1E6F">
              <w:rPr>
                <w:rFonts w:ascii="Times New Roman" w:eastAsia="Times New Roman" w:hAnsi="Times New Roman" w:cs="Times New Roman"/>
                <w:sz w:val="20"/>
                <w:szCs w:val="20"/>
                <w:lang w:eastAsia="en-ZA"/>
              </w:rPr>
              <w:t>27</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615–653.</w:t>
            </w:r>
            <w:r>
              <w:rPr>
                <w:rFonts w:ascii="Times New Roman" w:eastAsia="Times New Roman" w:hAnsi="Times New Roman" w:cs="Times New Roman"/>
                <w:sz w:val="20"/>
                <w:szCs w:val="20"/>
                <w:lang w:eastAsia="en-ZA"/>
              </w:rPr>
              <w:t xml:space="preserve"> </w:t>
            </w:r>
            <w:hyperlink r:id="rId269" w:history="1">
              <w:r w:rsidRPr="00337652">
                <w:rPr>
                  <w:rStyle w:val="Hyperlink"/>
                  <w:rFonts w:ascii="Times New Roman" w:eastAsia="Times New Roman" w:hAnsi="Times New Roman" w:cs="Times New Roman"/>
                  <w:sz w:val="20"/>
                  <w:szCs w:val="20"/>
                  <w:lang w:eastAsia="en-ZA"/>
                </w:rPr>
                <w:t>https://doi.org/10.1093/jcbiol/rux070</w:t>
              </w:r>
            </w:hyperlink>
            <w:r>
              <w:rPr>
                <w:rFonts w:ascii="Times New Roman" w:eastAsia="Times New Roman" w:hAnsi="Times New Roman" w:cs="Times New Roman"/>
                <w:sz w:val="20"/>
                <w:szCs w:val="20"/>
                <w:lang w:eastAsia="en-ZA"/>
              </w:rPr>
              <w:t>.</w:t>
            </w:r>
          </w:p>
          <w:p w14:paraId="159ABEEE"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hAnsi="Times New Roman" w:cs="Times New Roman"/>
                <w:i/>
                <w:iCs/>
                <w:sz w:val="20"/>
                <w:szCs w:val="20"/>
                <w:shd w:val="clear" w:color="auto" w:fill="FFFFFF"/>
              </w:rPr>
              <w:t>Faxonius limosus </w:t>
            </w:r>
            <w:r w:rsidRPr="004D1E6F">
              <w:rPr>
                <w:rFonts w:ascii="Times New Roman" w:hAnsi="Times New Roman" w:cs="Times New Roman"/>
                <w:sz w:val="20"/>
                <w:szCs w:val="20"/>
                <w:shd w:val="clear" w:color="auto" w:fill="FFFFFF"/>
              </w:rPr>
              <w:t>(Rafinesque, 1817) in GBIF Secretariat (2023). GBIF Backbone Taxonomy. Checklist dataset </w:t>
            </w:r>
            <w:hyperlink w:tgtFrame="_blank" w:history="1">
              <w:r w:rsidRPr="004D1E6F">
                <w:rPr>
                  <w:rFonts w:ascii="Times New Roman" w:hAnsi="Times New Roman" w:cs="Times New Roman"/>
                  <w:sz w:val="20"/>
                  <w:szCs w:val="20"/>
                  <w:u w:val="single"/>
                </w:rPr>
                <w:t>https://doi.org/10.15468/39omei</w:t>
              </w:r>
            </w:hyperlink>
            <w:r w:rsidRPr="004D1E6F">
              <w:rPr>
                <w:rFonts w:ascii="Times New Roman" w:hAnsi="Times New Roman" w:cs="Times New Roman"/>
                <w:sz w:val="20"/>
                <w:szCs w:val="20"/>
                <w:shd w:val="clear" w:color="auto" w:fill="FFFFFF"/>
              </w:rPr>
              <w:t> accessed via GBIF.org on 2024-07-10.</w:t>
            </w:r>
          </w:p>
        </w:tc>
      </w:tr>
      <w:tr w:rsidR="002D7080" w:rsidRPr="004D1E6F" w14:paraId="5B181878" w14:textId="77777777" w:rsidTr="002E2C37">
        <w:trPr>
          <w:cantSplit/>
          <w:trHeight w:val="305"/>
        </w:trPr>
        <w:tc>
          <w:tcPr>
            <w:tcW w:w="9122"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3359EC1"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BAC6 Common name(s) considered</w:t>
            </w:r>
          </w:p>
        </w:tc>
      </w:tr>
      <w:tr w:rsidR="002D7080" w:rsidRPr="004D1E6F" w14:paraId="43CAA7E1"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466FA2F0"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 xml:space="preserve">Common names: spiny-cheek crayfish </w:t>
            </w:r>
          </w:p>
        </w:tc>
      </w:tr>
      <w:tr w:rsidR="002D7080" w:rsidRPr="004D1E6F" w14:paraId="55E4A0F6"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509742A5"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 T</w:t>
            </w:r>
            <w:r w:rsidRPr="004D1E6F">
              <w:rPr>
                <w:rFonts w:ascii="Times New Roman" w:eastAsia="Times New Roman" w:hAnsi="Times New Roman" w:cs="Times New Roman"/>
                <w:iCs/>
                <w:sz w:val="20"/>
                <w:szCs w:val="20"/>
                <w:lang w:eastAsia="en-ZA"/>
              </w:rPr>
              <w:t xml:space="preserve">he abovementioned common name is known for </w:t>
            </w:r>
            <w:r w:rsidRPr="004D1E6F">
              <w:rPr>
                <w:rFonts w:ascii="Times New Roman" w:eastAsia="Times New Roman" w:hAnsi="Times New Roman" w:cs="Times New Roman"/>
                <w:i/>
                <w:sz w:val="20"/>
                <w:szCs w:val="20"/>
                <w:lang w:eastAsia="en-ZA"/>
              </w:rPr>
              <w:t>F. limosus</w:t>
            </w:r>
            <w:r w:rsidRPr="004D1E6F">
              <w:rPr>
                <w:rFonts w:ascii="Times New Roman" w:eastAsia="Times New Roman" w:hAnsi="Times New Roman" w:cs="Times New Roman"/>
                <w:iCs/>
                <w:sz w:val="20"/>
                <w:szCs w:val="20"/>
                <w:lang w:eastAsia="en-ZA"/>
              </w:rPr>
              <w:t xml:space="preserve"> (GBIF 2023) and were used in the literature search of this risk analysis</w:t>
            </w:r>
          </w:p>
        </w:tc>
      </w:tr>
      <w:tr w:rsidR="002D7080" w:rsidRPr="004D1E6F" w14:paraId="1A90746B"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3EFFE239"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79966AE9"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hAnsi="Times New Roman" w:cs="Times New Roman"/>
                <w:i/>
                <w:iCs/>
                <w:sz w:val="20"/>
                <w:szCs w:val="20"/>
                <w:shd w:val="clear" w:color="auto" w:fill="FFFFFF"/>
              </w:rPr>
              <w:t>Faxonius limosus </w:t>
            </w:r>
            <w:r w:rsidRPr="004D1E6F">
              <w:rPr>
                <w:rFonts w:ascii="Times New Roman" w:hAnsi="Times New Roman" w:cs="Times New Roman"/>
                <w:sz w:val="20"/>
                <w:szCs w:val="20"/>
                <w:shd w:val="clear" w:color="auto" w:fill="FFFFFF"/>
              </w:rPr>
              <w:t>(Rafinesque, 1817) in GBIF Secretariat (2023). GBIF Backbone Taxonomy. Checklist dataset </w:t>
            </w:r>
            <w:hyperlink w:tgtFrame="_blank" w:history="1">
              <w:r w:rsidRPr="004D1E6F">
                <w:rPr>
                  <w:rFonts w:ascii="Times New Roman" w:hAnsi="Times New Roman" w:cs="Times New Roman"/>
                  <w:sz w:val="20"/>
                  <w:szCs w:val="20"/>
                  <w:u w:val="single"/>
                </w:rPr>
                <w:t>https://doi.org/10.15468/39omei</w:t>
              </w:r>
            </w:hyperlink>
            <w:r w:rsidRPr="004D1E6F">
              <w:rPr>
                <w:rFonts w:ascii="Times New Roman" w:hAnsi="Times New Roman" w:cs="Times New Roman"/>
                <w:sz w:val="20"/>
                <w:szCs w:val="20"/>
                <w:shd w:val="clear" w:color="auto" w:fill="FFFFFF"/>
              </w:rPr>
              <w:t> accessed via GBIF.org on 2024-07-10.</w:t>
            </w:r>
          </w:p>
        </w:tc>
      </w:tr>
      <w:tr w:rsidR="002D7080" w:rsidRPr="004D1E6F" w14:paraId="4644FF36" w14:textId="77777777" w:rsidTr="002E2C37">
        <w:trPr>
          <w:cantSplit/>
          <w:trHeight w:val="390"/>
        </w:trPr>
        <w:tc>
          <w:tcPr>
            <w:tcW w:w="9122"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2CEE571"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BAC7 What is the native range of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w:t>
            </w:r>
          </w:p>
        </w:tc>
      </w:tr>
      <w:tr w:rsidR="002D7080" w:rsidRPr="004D1E6F" w14:paraId="244AC90A" w14:textId="77777777" w:rsidTr="002E2C37">
        <w:trPr>
          <w:cantSplit/>
          <w:trHeight w:val="70"/>
        </w:trPr>
        <w:tc>
          <w:tcPr>
            <w:tcW w:w="5912" w:type="dxa"/>
            <w:gridSpan w:val="3"/>
            <w:tcBorders>
              <w:top w:val="single" w:sz="4" w:space="0" w:color="auto"/>
              <w:left w:val="single" w:sz="4" w:space="0" w:color="auto"/>
              <w:bottom w:val="single" w:sz="4" w:space="0" w:color="auto"/>
              <w:right w:val="single" w:sz="4" w:space="0" w:color="auto"/>
            </w:tcBorders>
            <w:noWrap/>
          </w:tcPr>
          <w:p w14:paraId="5FFF8851" w14:textId="77777777" w:rsidR="002D7080"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sidRPr="00B7331E">
              <w:rPr>
                <w:rFonts w:ascii="Times New Roman" w:eastAsia="Times New Roman" w:hAnsi="Times New Roman" w:cs="Times New Roman"/>
                <w:b/>
                <w:bCs/>
                <w:sz w:val="20"/>
                <w:szCs w:val="20"/>
                <w:lang w:eastAsia="en-ZA"/>
              </w:rPr>
              <w:t>Canada</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New Brunswick</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Quebec</w:t>
            </w:r>
          </w:p>
          <w:p w14:paraId="691D7320"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B7331E">
              <w:rPr>
                <w:rFonts w:ascii="Times New Roman" w:eastAsia="Times New Roman" w:hAnsi="Times New Roman" w:cs="Times New Roman"/>
                <w:b/>
                <w:bCs/>
                <w:sz w:val="20"/>
                <w:szCs w:val="20"/>
                <w:lang w:eastAsia="en-ZA"/>
              </w:rPr>
              <w:t>United States</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Connecticut</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Delaware</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District of Columbia</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Maine</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Maryland</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Massachusetts</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New Hampshire</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New Jersey</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New York</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Pennsylvania</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Rhode Island</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Vermont</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Virginia</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West Virginia</w:t>
            </w:r>
          </w:p>
        </w:tc>
        <w:tc>
          <w:tcPr>
            <w:tcW w:w="3210" w:type="dxa"/>
            <w:tcBorders>
              <w:top w:val="single" w:sz="4" w:space="0" w:color="auto"/>
              <w:left w:val="single" w:sz="4" w:space="0" w:color="auto"/>
              <w:bottom w:val="single" w:sz="4" w:space="0" w:color="auto"/>
              <w:right w:val="single" w:sz="4" w:space="0" w:color="auto"/>
            </w:tcBorders>
          </w:tcPr>
          <w:p w14:paraId="29D67B74"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 xml:space="preserve">Confidence: </w:t>
            </w:r>
            <w:r>
              <w:rPr>
                <w:rFonts w:ascii="Times New Roman" w:eastAsia="Times New Roman" w:hAnsi="Times New Roman" w:cs="Times New Roman"/>
                <w:sz w:val="20"/>
                <w:szCs w:val="20"/>
                <w:lang w:eastAsia="en-ZA"/>
              </w:rPr>
              <w:t>High</w:t>
            </w:r>
          </w:p>
        </w:tc>
      </w:tr>
      <w:tr w:rsidR="002D7080" w:rsidRPr="004D1E6F" w14:paraId="39CDFA7A"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640F4B70"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Pr>
                <w:rFonts w:ascii="Times New Roman" w:eastAsia="Times New Roman" w:hAnsi="Times New Roman" w:cs="Times New Roman"/>
                <w:sz w:val="20"/>
                <w:szCs w:val="20"/>
                <w:lang w:eastAsia="en-ZA"/>
              </w:rPr>
              <w:t xml:space="preserve"> Native to Canada and several states in the USA (Pilotto et al. 2008; Adams et al. 2010)</w:t>
            </w:r>
          </w:p>
        </w:tc>
      </w:tr>
      <w:tr w:rsidR="002D7080" w:rsidRPr="004D1E6F" w14:paraId="62BEE4C9"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2E0EFEA7"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104C0877" w14:textId="332A087F" w:rsidR="002D7080" w:rsidRPr="004D1E6F" w:rsidRDefault="002D7080" w:rsidP="006B6D52">
            <w:pPr>
              <w:spacing w:after="0"/>
              <w:ind w:left="720" w:hanging="720"/>
              <w:jc w:val="both"/>
              <w:rPr>
                <w:rFonts w:ascii="Times New Roman" w:eastAsia="Times New Roman" w:hAnsi="Times New Roman" w:cs="Times New Roman"/>
                <w:i/>
                <w:iCs/>
                <w:sz w:val="20"/>
                <w:szCs w:val="20"/>
                <w:lang w:eastAsia="en-ZA"/>
              </w:rPr>
            </w:pPr>
            <w:r w:rsidRPr="004D1E6F">
              <w:rPr>
                <w:rFonts w:ascii="Times New Roman" w:eastAsia="Times New Roman" w:hAnsi="Times New Roman" w:cs="Times New Roman"/>
                <w:sz w:val="20"/>
                <w:szCs w:val="20"/>
                <w:lang w:eastAsia="en-ZA"/>
              </w:rPr>
              <w:t>Adams</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S</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Schuster</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G</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A</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Taylo</w:t>
            </w:r>
            <w:r>
              <w:rPr>
                <w:rFonts w:ascii="Times New Roman" w:eastAsia="Times New Roman" w:hAnsi="Times New Roman" w:cs="Times New Roman"/>
                <w:sz w:val="20"/>
                <w:szCs w:val="20"/>
                <w:lang w:eastAsia="en-ZA"/>
              </w:rPr>
              <w:t>r</w:t>
            </w:r>
            <w:r w:rsidRPr="004D1E6F">
              <w:rPr>
                <w:rFonts w:ascii="Times New Roman" w:eastAsia="Times New Roman" w:hAnsi="Times New Roman" w:cs="Times New Roman"/>
                <w:sz w:val="20"/>
                <w:szCs w:val="20"/>
                <w:lang w:eastAsia="en-ZA"/>
              </w:rPr>
              <w:t>, C</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A.</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2010</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Orconectes limosus. The IUCN Red List of Threatened Species 2010</w:t>
            </w:r>
            <w:r w:rsidRPr="004D1E6F">
              <w:rPr>
                <w:rFonts w:ascii="Times New Roman" w:eastAsia="Times New Roman" w:hAnsi="Times New Roman" w:cs="Times New Roman"/>
                <w:sz w:val="20"/>
                <w:szCs w:val="20"/>
                <w:lang w:eastAsia="en-ZA"/>
              </w:rPr>
              <w:t>:</w:t>
            </w:r>
            <w:r w:rsidR="00DC5E42">
              <w:rPr>
                <w:rFonts w:ascii="Times New Roman" w:eastAsia="Times New Roman" w:hAnsi="Times New Roman" w:cs="Times New Roman"/>
                <w:sz w:val="20"/>
                <w:szCs w:val="20"/>
                <w:lang w:eastAsia="en-ZA"/>
              </w:rPr>
              <w:t xml:space="preserve"> </w:t>
            </w:r>
            <w:hyperlink r:id="rId270" w:history="1">
              <w:r w:rsidR="00DC5E42" w:rsidRPr="00A22D6D">
                <w:rPr>
                  <w:rStyle w:val="Hyperlink"/>
                  <w:rFonts w:ascii="Times New Roman" w:eastAsia="Times New Roman" w:hAnsi="Times New Roman" w:cs="Times New Roman"/>
                  <w:sz w:val="20"/>
                  <w:szCs w:val="20"/>
                  <w:lang w:eastAsia="en-ZA"/>
                </w:rPr>
                <w:t>https://www.iucnredlist.org/species/153764/4541724</w:t>
              </w:r>
            </w:hyperlink>
            <w:r w:rsidR="00DC5E42">
              <w:rPr>
                <w:rFonts w:ascii="Times New Roman" w:eastAsia="Times New Roman" w:hAnsi="Times New Roman" w:cs="Times New Roman"/>
                <w:sz w:val="20"/>
                <w:szCs w:val="20"/>
                <w:lang w:eastAsia="en-ZA"/>
              </w:rPr>
              <w:t xml:space="preserve">. </w:t>
            </w:r>
          </w:p>
          <w:p w14:paraId="4FED6EC2" w14:textId="05C9FCEE"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Pilotto</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F</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Free</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G</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Crosa</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G</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Sena</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F</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Ghiani</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M</w:t>
            </w:r>
            <w:r>
              <w:rPr>
                <w:rFonts w:ascii="Times New Roman" w:eastAsia="Times New Roman" w:hAnsi="Times New Roman" w:cs="Times New Roman"/>
                <w:sz w:val="20"/>
                <w:szCs w:val="20"/>
                <w:lang w:eastAsia="en-ZA"/>
              </w:rPr>
              <w:t xml:space="preserve">. &amp; </w:t>
            </w:r>
            <w:r w:rsidRPr="004D1E6F">
              <w:rPr>
                <w:rFonts w:ascii="Times New Roman" w:eastAsia="Times New Roman" w:hAnsi="Times New Roman" w:cs="Times New Roman"/>
                <w:sz w:val="20"/>
                <w:szCs w:val="20"/>
                <w:lang w:eastAsia="en-ZA"/>
              </w:rPr>
              <w:t>Cardoso</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A</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C</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2008</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The invasive crayfish </w:t>
            </w:r>
            <w:r w:rsidRPr="004D1E6F">
              <w:rPr>
                <w:rFonts w:ascii="Times New Roman" w:eastAsia="Times New Roman" w:hAnsi="Times New Roman" w:cs="Times New Roman"/>
                <w:i/>
                <w:sz w:val="20"/>
                <w:szCs w:val="20"/>
                <w:lang w:eastAsia="en-ZA"/>
              </w:rPr>
              <w:t xml:space="preserve">Orconectes limosus </w:t>
            </w:r>
            <w:r w:rsidRPr="004D1E6F">
              <w:rPr>
                <w:rFonts w:ascii="Times New Roman" w:eastAsia="Times New Roman" w:hAnsi="Times New Roman" w:cs="Times New Roman"/>
                <w:sz w:val="20"/>
                <w:szCs w:val="20"/>
                <w:lang w:eastAsia="en-ZA"/>
              </w:rPr>
              <w:t>in Lake Varese: estimating abundance and population size structure in the context of habitat and methodological constraints</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Journal of Crustacean Biology</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28</w:t>
            </w:r>
            <w:r>
              <w:rPr>
                <w:rFonts w:ascii="Times New Roman" w:eastAsia="Times New Roman" w:hAnsi="Times New Roman" w:cs="Times New Roman"/>
                <w:iCs/>
                <w:sz w:val="20"/>
                <w:szCs w:val="20"/>
                <w:lang w:eastAsia="en-ZA"/>
              </w:rPr>
              <w:t xml:space="preserve">, </w:t>
            </w:r>
            <w:r w:rsidRPr="004D1E6F">
              <w:rPr>
                <w:rFonts w:ascii="Times New Roman" w:eastAsia="Times New Roman" w:hAnsi="Times New Roman" w:cs="Times New Roman"/>
                <w:sz w:val="20"/>
                <w:szCs w:val="20"/>
                <w:lang w:eastAsia="en-ZA"/>
              </w:rPr>
              <w:t>633–640.</w:t>
            </w:r>
            <w:r>
              <w:rPr>
                <w:rFonts w:ascii="Times New Roman" w:eastAsia="Times New Roman" w:hAnsi="Times New Roman" w:cs="Times New Roman"/>
                <w:sz w:val="20"/>
                <w:szCs w:val="20"/>
                <w:lang w:eastAsia="en-ZA"/>
              </w:rPr>
              <w:t xml:space="preserve"> </w:t>
            </w:r>
            <w:r w:rsidR="006B6D52" w:rsidRPr="006B6D52">
              <w:rPr>
                <w:rFonts w:ascii="Times New Roman" w:hAnsi="Times New Roman" w:cs="Times New Roman"/>
                <w:sz w:val="20"/>
                <w:szCs w:val="20"/>
              </w:rPr>
              <w:t>https://doi.org/10.1651/07-2967.1</w:t>
            </w:r>
            <w:r w:rsidRPr="006B6D52">
              <w:rPr>
                <w:rFonts w:ascii="Times New Roman" w:eastAsia="Times New Roman" w:hAnsi="Times New Roman" w:cs="Times New Roman"/>
                <w:sz w:val="18"/>
                <w:szCs w:val="18"/>
                <w:lang w:eastAsia="en-ZA"/>
              </w:rPr>
              <w:t xml:space="preserve"> </w:t>
            </w:r>
          </w:p>
        </w:tc>
      </w:tr>
      <w:tr w:rsidR="002D7080" w:rsidRPr="004D1E6F" w14:paraId="714CB1DC" w14:textId="77777777" w:rsidTr="002E2C37">
        <w:trPr>
          <w:cantSplit/>
          <w:trHeight w:val="170"/>
        </w:trPr>
        <w:tc>
          <w:tcPr>
            <w:tcW w:w="9122"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05BEAD4"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BAC8 What is the global alien range of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w:t>
            </w:r>
          </w:p>
        </w:tc>
      </w:tr>
      <w:tr w:rsidR="002D7080" w:rsidRPr="004D1E6F" w14:paraId="2F8675C7" w14:textId="77777777" w:rsidTr="002E2C37">
        <w:trPr>
          <w:cantSplit/>
          <w:trHeight w:val="70"/>
        </w:trPr>
        <w:tc>
          <w:tcPr>
            <w:tcW w:w="5912" w:type="dxa"/>
            <w:gridSpan w:val="3"/>
            <w:tcBorders>
              <w:top w:val="single" w:sz="4" w:space="0" w:color="auto"/>
              <w:left w:val="single" w:sz="4" w:space="0" w:color="auto"/>
              <w:bottom w:val="single" w:sz="4" w:space="0" w:color="auto"/>
              <w:right w:val="single" w:sz="4" w:space="0" w:color="auto"/>
            </w:tcBorders>
            <w:noWrap/>
          </w:tcPr>
          <w:p w14:paraId="265045E0"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 Austria; Belgium; Czech Republic; France; Germany; Hungary; Italy; Lithuania; Luxembourg; Montenegro; Morocco; Netherlands; Poland; Russian Federation (Kaliningrad); Switzerland; United Kingdom (Great Britain)</w:t>
            </w:r>
          </w:p>
        </w:tc>
        <w:tc>
          <w:tcPr>
            <w:tcW w:w="3210" w:type="dxa"/>
            <w:tcBorders>
              <w:top w:val="single" w:sz="4" w:space="0" w:color="auto"/>
              <w:left w:val="single" w:sz="4" w:space="0" w:color="auto"/>
              <w:bottom w:val="single" w:sz="4" w:space="0" w:color="auto"/>
              <w:right w:val="single" w:sz="4" w:space="0" w:color="auto"/>
            </w:tcBorders>
          </w:tcPr>
          <w:p w14:paraId="70956D13"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High</w:t>
            </w:r>
          </w:p>
        </w:tc>
      </w:tr>
      <w:tr w:rsidR="002D7080" w:rsidRPr="004D1E6F" w14:paraId="2D4157B8"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54612124"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Pr>
                <w:rFonts w:ascii="Times New Roman" w:eastAsia="Times New Roman" w:hAnsi="Times New Roman" w:cs="Times New Roman"/>
                <w:sz w:val="20"/>
                <w:szCs w:val="20"/>
                <w:lang w:eastAsia="en-ZA"/>
              </w:rPr>
              <w:t xml:space="preserve"> Widely introduced to several countries in Europe (Adams et al. 2010; CABI 2024)</w:t>
            </w:r>
          </w:p>
        </w:tc>
      </w:tr>
      <w:tr w:rsidR="002D7080" w:rsidRPr="004D1E6F" w14:paraId="67A9E473"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3ECEE810"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22A98CD3" w14:textId="7D4AFA72" w:rsidR="002D7080" w:rsidRPr="009412EF" w:rsidRDefault="002D7080" w:rsidP="006B6D52">
            <w:pPr>
              <w:spacing w:after="0"/>
              <w:ind w:left="720" w:hanging="720"/>
              <w:jc w:val="both"/>
              <w:rPr>
                <w:rFonts w:ascii="Times New Roman" w:eastAsia="Times New Roman" w:hAnsi="Times New Roman" w:cs="Times New Roman"/>
                <w:sz w:val="20"/>
                <w:szCs w:val="20"/>
                <w:lang w:eastAsia="en-ZA"/>
              </w:rPr>
            </w:pPr>
            <w:r w:rsidRPr="009412EF">
              <w:rPr>
                <w:rFonts w:ascii="Times New Roman" w:eastAsia="Times New Roman" w:hAnsi="Times New Roman" w:cs="Times New Roman"/>
                <w:sz w:val="20"/>
                <w:szCs w:val="20"/>
                <w:lang w:eastAsia="en-ZA"/>
              </w:rPr>
              <w:t>Adams</w:t>
            </w:r>
            <w:r>
              <w:rPr>
                <w:rFonts w:ascii="Times New Roman" w:eastAsia="Times New Roman" w:hAnsi="Times New Roman" w:cs="Times New Roman"/>
                <w:sz w:val="20"/>
                <w:szCs w:val="20"/>
                <w:lang w:eastAsia="en-ZA"/>
              </w:rPr>
              <w:t>,</w:t>
            </w:r>
            <w:r w:rsidRPr="009412EF">
              <w:rPr>
                <w:rFonts w:ascii="Times New Roman" w:eastAsia="Times New Roman" w:hAnsi="Times New Roman" w:cs="Times New Roman"/>
                <w:sz w:val="20"/>
                <w:szCs w:val="20"/>
                <w:lang w:eastAsia="en-ZA"/>
              </w:rPr>
              <w:t xml:space="preserve"> S</w:t>
            </w:r>
            <w:r>
              <w:rPr>
                <w:rFonts w:ascii="Times New Roman" w:eastAsia="Times New Roman" w:hAnsi="Times New Roman" w:cs="Times New Roman"/>
                <w:sz w:val="20"/>
                <w:szCs w:val="20"/>
                <w:lang w:eastAsia="en-ZA"/>
              </w:rPr>
              <w:t>.</w:t>
            </w:r>
            <w:r w:rsidRPr="009412EF">
              <w:rPr>
                <w:rFonts w:ascii="Times New Roman" w:eastAsia="Times New Roman" w:hAnsi="Times New Roman" w:cs="Times New Roman"/>
                <w:sz w:val="20"/>
                <w:szCs w:val="20"/>
                <w:lang w:eastAsia="en-ZA"/>
              </w:rPr>
              <w:t>, Schuster</w:t>
            </w:r>
            <w:r>
              <w:rPr>
                <w:rFonts w:ascii="Times New Roman" w:eastAsia="Times New Roman" w:hAnsi="Times New Roman" w:cs="Times New Roman"/>
                <w:sz w:val="20"/>
                <w:szCs w:val="20"/>
                <w:lang w:eastAsia="en-ZA"/>
              </w:rPr>
              <w:t>,</w:t>
            </w:r>
            <w:r w:rsidRPr="009412EF">
              <w:rPr>
                <w:rFonts w:ascii="Times New Roman" w:eastAsia="Times New Roman" w:hAnsi="Times New Roman" w:cs="Times New Roman"/>
                <w:sz w:val="20"/>
                <w:szCs w:val="20"/>
                <w:lang w:eastAsia="en-ZA"/>
              </w:rPr>
              <w:t xml:space="preserve"> G</w:t>
            </w:r>
            <w:r>
              <w:rPr>
                <w:rFonts w:ascii="Times New Roman" w:eastAsia="Times New Roman" w:hAnsi="Times New Roman" w:cs="Times New Roman"/>
                <w:sz w:val="20"/>
                <w:szCs w:val="20"/>
                <w:lang w:eastAsia="en-ZA"/>
              </w:rPr>
              <w:t>.</w:t>
            </w:r>
            <w:r w:rsidRPr="009412EF">
              <w:rPr>
                <w:rFonts w:ascii="Times New Roman" w:eastAsia="Times New Roman" w:hAnsi="Times New Roman" w:cs="Times New Roman"/>
                <w:sz w:val="20"/>
                <w:szCs w:val="20"/>
                <w:lang w:eastAsia="en-ZA"/>
              </w:rPr>
              <w:t>A</w:t>
            </w:r>
            <w:r>
              <w:rPr>
                <w:rFonts w:ascii="Times New Roman" w:eastAsia="Times New Roman" w:hAnsi="Times New Roman" w:cs="Times New Roman"/>
                <w:sz w:val="20"/>
                <w:szCs w:val="20"/>
                <w:lang w:eastAsia="en-ZA"/>
              </w:rPr>
              <w:t>. &amp;</w:t>
            </w:r>
            <w:r w:rsidRPr="009412EF">
              <w:rPr>
                <w:rFonts w:ascii="Times New Roman" w:eastAsia="Times New Roman" w:hAnsi="Times New Roman" w:cs="Times New Roman"/>
                <w:sz w:val="20"/>
                <w:szCs w:val="20"/>
                <w:lang w:eastAsia="en-ZA"/>
              </w:rPr>
              <w:t xml:space="preserve"> Taylo</w:t>
            </w:r>
            <w:r>
              <w:rPr>
                <w:rFonts w:ascii="Times New Roman" w:eastAsia="Times New Roman" w:hAnsi="Times New Roman" w:cs="Times New Roman"/>
                <w:sz w:val="20"/>
                <w:szCs w:val="20"/>
                <w:lang w:eastAsia="en-ZA"/>
              </w:rPr>
              <w:t>r</w:t>
            </w:r>
            <w:r w:rsidRPr="009412EF">
              <w:rPr>
                <w:rFonts w:ascii="Times New Roman" w:eastAsia="Times New Roman" w:hAnsi="Times New Roman" w:cs="Times New Roman"/>
                <w:sz w:val="20"/>
                <w:szCs w:val="20"/>
                <w:lang w:eastAsia="en-ZA"/>
              </w:rPr>
              <w:t>, C</w:t>
            </w:r>
            <w:r>
              <w:rPr>
                <w:rFonts w:ascii="Times New Roman" w:eastAsia="Times New Roman" w:hAnsi="Times New Roman" w:cs="Times New Roman"/>
                <w:sz w:val="20"/>
                <w:szCs w:val="20"/>
                <w:lang w:eastAsia="en-ZA"/>
              </w:rPr>
              <w:t>.</w:t>
            </w:r>
            <w:r w:rsidRPr="009412EF">
              <w:rPr>
                <w:rFonts w:ascii="Times New Roman" w:eastAsia="Times New Roman" w:hAnsi="Times New Roman" w:cs="Times New Roman"/>
                <w:sz w:val="20"/>
                <w:szCs w:val="20"/>
                <w:lang w:eastAsia="en-ZA"/>
              </w:rPr>
              <w:t>A</w:t>
            </w:r>
            <w:r>
              <w:rPr>
                <w:rFonts w:ascii="Times New Roman" w:eastAsia="Times New Roman" w:hAnsi="Times New Roman" w:cs="Times New Roman"/>
                <w:sz w:val="20"/>
                <w:szCs w:val="20"/>
                <w:lang w:eastAsia="en-ZA"/>
              </w:rPr>
              <w:t xml:space="preserve">., </w:t>
            </w:r>
            <w:r w:rsidRPr="009412EF">
              <w:rPr>
                <w:rFonts w:ascii="Times New Roman" w:eastAsia="Times New Roman" w:hAnsi="Times New Roman" w:cs="Times New Roman"/>
                <w:sz w:val="20"/>
                <w:szCs w:val="20"/>
                <w:lang w:eastAsia="en-ZA"/>
              </w:rPr>
              <w:t>2010</w:t>
            </w:r>
            <w:r>
              <w:rPr>
                <w:rFonts w:ascii="Times New Roman" w:eastAsia="Times New Roman" w:hAnsi="Times New Roman" w:cs="Times New Roman"/>
                <w:sz w:val="20"/>
                <w:szCs w:val="20"/>
                <w:lang w:eastAsia="en-ZA"/>
              </w:rPr>
              <w:t>,</w:t>
            </w:r>
            <w:r w:rsidRPr="009412EF">
              <w:rPr>
                <w:rFonts w:ascii="Times New Roman" w:eastAsia="Times New Roman" w:hAnsi="Times New Roman" w:cs="Times New Roman"/>
                <w:sz w:val="20"/>
                <w:szCs w:val="20"/>
                <w:lang w:eastAsia="en-ZA"/>
              </w:rPr>
              <w:t xml:space="preserve"> </w:t>
            </w:r>
            <w:r w:rsidRPr="009412EF">
              <w:rPr>
                <w:rFonts w:ascii="Times New Roman" w:eastAsia="Times New Roman" w:hAnsi="Times New Roman" w:cs="Times New Roman"/>
                <w:i/>
                <w:iCs/>
                <w:sz w:val="20"/>
                <w:szCs w:val="20"/>
                <w:lang w:eastAsia="en-ZA"/>
              </w:rPr>
              <w:t>Orconectes limosus. The IUCN Red List of Threatened Species 2010</w:t>
            </w:r>
            <w:r w:rsidR="00DC5E42">
              <w:rPr>
                <w:rFonts w:ascii="Times New Roman" w:eastAsia="Times New Roman" w:hAnsi="Times New Roman" w:cs="Times New Roman"/>
                <w:sz w:val="20"/>
                <w:szCs w:val="20"/>
                <w:lang w:eastAsia="en-ZA"/>
              </w:rPr>
              <w:t xml:space="preserve">. </w:t>
            </w:r>
            <w:hyperlink r:id="rId271" w:history="1">
              <w:r w:rsidR="00DC5E42" w:rsidRPr="00A22D6D">
                <w:rPr>
                  <w:rStyle w:val="Hyperlink"/>
                  <w:rFonts w:ascii="Times New Roman" w:eastAsia="Times New Roman" w:hAnsi="Times New Roman" w:cs="Times New Roman"/>
                  <w:sz w:val="20"/>
                  <w:szCs w:val="20"/>
                  <w:lang w:eastAsia="en-ZA"/>
                </w:rPr>
                <w:t>https://www.iucnredlist.org/species/153764/4541724</w:t>
              </w:r>
            </w:hyperlink>
            <w:r w:rsidR="00DC5E42">
              <w:rPr>
                <w:rFonts w:ascii="Times New Roman" w:eastAsia="Times New Roman" w:hAnsi="Times New Roman" w:cs="Times New Roman"/>
                <w:sz w:val="20"/>
                <w:szCs w:val="20"/>
                <w:lang w:eastAsia="en-ZA"/>
              </w:rPr>
              <w:t xml:space="preserve">. </w:t>
            </w:r>
          </w:p>
          <w:p w14:paraId="5D8C3A6A"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9412EF">
              <w:rPr>
                <w:rFonts w:ascii="Times New Roman" w:hAnsi="Times New Roman" w:cs="Times New Roman"/>
                <w:sz w:val="20"/>
                <w:szCs w:val="20"/>
              </w:rPr>
              <w:t xml:space="preserve">CABI, 2024. </w:t>
            </w:r>
            <w:r w:rsidRPr="009412EF">
              <w:rPr>
                <w:rFonts w:ascii="Times New Roman" w:hAnsi="Times New Roman" w:cs="Times New Roman"/>
                <w:i/>
                <w:iCs/>
                <w:sz w:val="20"/>
                <w:szCs w:val="20"/>
              </w:rPr>
              <w:t>Faxonius limosus</w:t>
            </w:r>
            <w:r w:rsidRPr="009412EF">
              <w:rPr>
                <w:rFonts w:ascii="Times New Roman" w:hAnsi="Times New Roman" w:cs="Times New Roman"/>
                <w:sz w:val="20"/>
                <w:szCs w:val="20"/>
              </w:rPr>
              <w:t xml:space="preserve"> (Spiny-cheek crayfish). Invasive Species Compendium, </w:t>
            </w:r>
            <w:r w:rsidRPr="009412EF">
              <w:rPr>
                <w:rFonts w:ascii="Times New Roman" w:hAnsi="Times New Roman" w:cs="Times New Roman"/>
                <w:color w:val="000000"/>
                <w:sz w:val="20"/>
                <w:szCs w:val="20"/>
                <w:shd w:val="clear" w:color="auto" w:fill="FFFFFF"/>
              </w:rPr>
              <w:t>CABI Publishing, Wallingford, UK.</w:t>
            </w:r>
            <w:r w:rsidRPr="009412EF">
              <w:rPr>
                <w:rFonts w:ascii="Times New Roman" w:hAnsi="Times New Roman" w:cs="Times New Roman"/>
                <w:sz w:val="20"/>
                <w:szCs w:val="20"/>
              </w:rPr>
              <w:t xml:space="preserve"> https://www. cabi.org/isc/datasheet/72033 (accessed 10 July 2024)</w:t>
            </w:r>
          </w:p>
        </w:tc>
      </w:tr>
      <w:tr w:rsidR="002D7080" w:rsidRPr="004D1E6F" w14:paraId="5C0A4B7F" w14:textId="77777777" w:rsidTr="002E2C37">
        <w:trPr>
          <w:cantSplit/>
          <w:trHeight w:val="242"/>
        </w:trPr>
        <w:tc>
          <w:tcPr>
            <w:tcW w:w="9122"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BADF7D9"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BAC9 Geographic scope =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 xml:space="preserve"> under consideration</w:t>
            </w:r>
          </w:p>
        </w:tc>
      </w:tr>
      <w:tr w:rsidR="002D7080" w:rsidRPr="004D1E6F" w14:paraId="06F3C237"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11FF3728"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 xml:space="preserve"> of assessment:</w:t>
            </w:r>
            <w:r>
              <w:rPr>
                <w:rFonts w:ascii="Times New Roman" w:eastAsia="Times New Roman" w:hAnsi="Times New Roman" w:cs="Times New Roman"/>
                <w:sz w:val="20"/>
                <w:szCs w:val="20"/>
                <w:lang w:eastAsia="en-ZA"/>
              </w:rPr>
              <w:t xml:space="preserve"> South Africa</w:t>
            </w:r>
          </w:p>
        </w:tc>
      </w:tr>
      <w:tr w:rsidR="002D7080" w:rsidRPr="004D1E6F" w14:paraId="3836EC81"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506E72CC"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 The geographic scope of this assessment is limited to South Africa</w:t>
            </w:r>
          </w:p>
        </w:tc>
      </w:tr>
      <w:tr w:rsidR="002D7080" w:rsidRPr="004D1E6F" w14:paraId="7CEE70C1" w14:textId="77777777" w:rsidTr="002E2C37">
        <w:trPr>
          <w:cantSplit/>
          <w:trHeight w:val="233"/>
        </w:trPr>
        <w:tc>
          <w:tcPr>
            <w:tcW w:w="9122"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E1BD606"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BAC10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present in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6BA805AD" w14:textId="77777777" w:rsidTr="002E2C37">
        <w:trPr>
          <w:cantSplit/>
          <w:trHeight w:val="70"/>
        </w:trPr>
        <w:tc>
          <w:tcPr>
            <w:tcW w:w="5912" w:type="dxa"/>
            <w:gridSpan w:val="3"/>
            <w:tcBorders>
              <w:top w:val="single" w:sz="4" w:space="0" w:color="auto"/>
              <w:left w:val="single" w:sz="4" w:space="0" w:color="auto"/>
              <w:bottom w:val="single" w:sz="4" w:space="0" w:color="auto"/>
              <w:right w:val="single" w:sz="4" w:space="0" w:color="auto"/>
            </w:tcBorders>
            <w:noWrap/>
          </w:tcPr>
          <w:p w14:paraId="62688E61"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 No</w:t>
            </w:r>
          </w:p>
        </w:tc>
        <w:tc>
          <w:tcPr>
            <w:tcW w:w="3210" w:type="dxa"/>
            <w:tcBorders>
              <w:top w:val="single" w:sz="4" w:space="0" w:color="auto"/>
              <w:left w:val="single" w:sz="4" w:space="0" w:color="auto"/>
              <w:bottom w:val="single" w:sz="4" w:space="0" w:color="auto"/>
              <w:right w:val="single" w:sz="4" w:space="0" w:color="auto"/>
            </w:tcBorders>
          </w:tcPr>
          <w:p w14:paraId="602AF93A"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0BB0597A"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27EEB55C"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
                <w:sz w:val="20"/>
                <w:szCs w:val="20"/>
                <w:lang w:eastAsia="en-ZA"/>
              </w:rPr>
              <w:t>Faxonius</w:t>
            </w:r>
            <w:r>
              <w:rPr>
                <w:rFonts w:ascii="Times New Roman" w:eastAsia="Times New Roman" w:hAnsi="Times New Roman" w:cs="Times New Roman"/>
                <w:i/>
                <w:sz w:val="20"/>
                <w:szCs w:val="20"/>
                <w:lang w:eastAsia="en-ZA"/>
              </w:rPr>
              <w:t xml:space="preserve"> limosus</w:t>
            </w:r>
            <w:r w:rsidRPr="00233C97">
              <w:rPr>
                <w:rFonts w:ascii="Times New Roman" w:eastAsia="Times New Roman" w:hAnsi="Times New Roman" w:cs="Times New Roman"/>
                <w:sz w:val="20"/>
                <w:szCs w:val="20"/>
                <w:lang w:eastAsia="en-ZA"/>
              </w:rPr>
              <w:t xml:space="preserve"> is present  in the pet trade globally </w:t>
            </w:r>
            <w:r w:rsidRPr="00233C97">
              <w:rPr>
                <w:rFonts w:ascii="Times New Roman" w:eastAsia="Times New Roman" w:hAnsi="Times New Roman" w:cs="Times New Roman"/>
                <w:sz w:val="20"/>
                <w:szCs w:val="20"/>
                <w:lang w:eastAsia="en-ZA"/>
              </w:rPr>
              <w:fldChar w:fldCharType="begin" w:fldLock="1"/>
            </w:r>
            <w:r w:rsidRPr="00233C97">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233C97">
              <w:rPr>
                <w:rFonts w:ascii="Times New Roman" w:eastAsia="Times New Roman" w:hAnsi="Times New Roman" w:cs="Times New Roman"/>
                <w:sz w:val="20"/>
                <w:szCs w:val="20"/>
                <w:lang w:eastAsia="en-ZA"/>
              </w:rPr>
              <w:fldChar w:fldCharType="separate"/>
            </w:r>
            <w:r w:rsidRPr="00233C97">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Chucholl 2013; </w:t>
            </w:r>
            <w:r w:rsidRPr="00233C97">
              <w:rPr>
                <w:rFonts w:ascii="Times New Roman" w:eastAsia="Times New Roman" w:hAnsi="Times New Roman" w:cs="Times New Roman"/>
                <w:sz w:val="20"/>
                <w:szCs w:val="20"/>
                <w:lang w:eastAsia="en-ZA"/>
              </w:rPr>
              <w:t>Faulkes 2015)</w:t>
            </w:r>
            <w:r w:rsidRPr="00233C97">
              <w:rPr>
                <w:rFonts w:ascii="Times New Roman" w:eastAsia="Times New Roman" w:hAnsi="Times New Roman" w:cs="Times New Roman"/>
                <w:sz w:val="20"/>
                <w:szCs w:val="20"/>
                <w:lang w:eastAsia="en-ZA"/>
              </w:rPr>
              <w:fldChar w:fldCharType="end"/>
            </w:r>
            <w:r w:rsidRPr="00233C97">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but there are</w:t>
            </w:r>
            <w:r w:rsidRPr="00233C97">
              <w:rPr>
                <w:rFonts w:ascii="Times New Roman" w:eastAsia="Times New Roman" w:hAnsi="Times New Roman" w:cs="Times New Roman"/>
                <w:sz w:val="20"/>
                <w:szCs w:val="20"/>
                <w:lang w:eastAsia="en-ZA"/>
              </w:rPr>
              <w:t xml:space="preserve"> no records </w:t>
            </w:r>
            <w:r>
              <w:rPr>
                <w:rFonts w:ascii="Times New Roman" w:eastAsia="Times New Roman" w:hAnsi="Times New Roman" w:cs="Times New Roman"/>
                <w:sz w:val="20"/>
                <w:szCs w:val="20"/>
                <w:lang w:eastAsia="en-ZA"/>
              </w:rPr>
              <w:t xml:space="preserve">that it is present </w:t>
            </w:r>
            <w:r w:rsidRPr="00233C97">
              <w:rPr>
                <w:rFonts w:ascii="Times New Roman" w:eastAsia="Times New Roman" w:hAnsi="Times New Roman" w:cs="Times New Roman"/>
                <w:sz w:val="20"/>
                <w:szCs w:val="20"/>
                <w:lang w:eastAsia="en-ZA"/>
              </w:rPr>
              <w:t xml:space="preserve">in South Africa </w:t>
            </w:r>
            <w:r w:rsidRPr="00233C97">
              <w:rPr>
                <w:rFonts w:ascii="Times New Roman" w:eastAsia="Times New Roman" w:hAnsi="Times New Roman" w:cs="Times New Roman"/>
                <w:sz w:val="20"/>
                <w:szCs w:val="20"/>
                <w:lang w:eastAsia="en-ZA"/>
              </w:rPr>
              <w:fldChar w:fldCharType="begin" w:fldLock="1"/>
            </w:r>
            <w:r w:rsidRPr="00233C97">
              <w:rPr>
                <w:rFonts w:ascii="Times New Roman" w:eastAsia="Times New Roman" w:hAnsi="Times New Roman" w:cs="Times New Roman"/>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Nunes et al. 2017)", "plainTextFormattedCitation" : "(Lodge et al. 2012, Nunes et al. 2017)", "previouslyFormattedCitation" : "(Lodge et al. 2012, Nunes et al. 2017)" }, "properties" : { "noteIndex" : 0 }, "schema" : "https://github.com/citation-style-language/schema/raw/master/csl-citation.json" }</w:instrText>
            </w:r>
            <w:r w:rsidRPr="00233C97">
              <w:rPr>
                <w:rFonts w:ascii="Times New Roman" w:eastAsia="Times New Roman" w:hAnsi="Times New Roman" w:cs="Times New Roman"/>
                <w:sz w:val="20"/>
                <w:szCs w:val="20"/>
                <w:lang w:eastAsia="en-ZA"/>
              </w:rPr>
              <w:fldChar w:fldCharType="separate"/>
            </w:r>
            <w:r w:rsidRPr="00233C97">
              <w:rPr>
                <w:rFonts w:ascii="Times New Roman" w:eastAsia="Times New Roman" w:hAnsi="Times New Roman" w:cs="Times New Roman"/>
                <w:sz w:val="20"/>
                <w:szCs w:val="20"/>
                <w:lang w:eastAsia="en-ZA"/>
              </w:rPr>
              <w:t>(Nunes et al. 2017)</w:t>
            </w:r>
            <w:r w:rsidRPr="00233C97">
              <w:rPr>
                <w:rFonts w:ascii="Times New Roman" w:eastAsia="Times New Roman" w:hAnsi="Times New Roman" w:cs="Times New Roman"/>
                <w:sz w:val="20"/>
                <w:szCs w:val="20"/>
                <w:lang w:eastAsia="en-ZA"/>
              </w:rPr>
              <w:fldChar w:fldCharType="end"/>
            </w:r>
            <w:r>
              <w:rPr>
                <w:rFonts w:ascii="Times New Roman" w:eastAsia="Times New Roman" w:hAnsi="Times New Roman" w:cs="Times New Roman"/>
                <w:sz w:val="20"/>
                <w:szCs w:val="20"/>
                <w:lang w:eastAsia="en-ZA"/>
              </w:rPr>
              <w:t>.</w:t>
            </w:r>
          </w:p>
        </w:tc>
      </w:tr>
      <w:tr w:rsidR="002D7080" w:rsidRPr="004D1E6F" w14:paraId="284E5882"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076542A3"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2BA2C39" w14:textId="6519579F"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r w:rsidR="0038576C" w:rsidRPr="0038576C">
              <w:rPr>
                <w:rFonts w:ascii="Times New Roman" w:hAnsi="Times New Roman" w:cs="Times New Roman"/>
                <w:sz w:val="20"/>
                <w:szCs w:val="20"/>
              </w:rPr>
              <w:t>https://doi.org/10.1007/s10530-012-0273-2</w:t>
            </w:r>
          </w:p>
          <w:p w14:paraId="4B3F6BB6" w14:textId="3B95EA51"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Faulkes, Z</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2015</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The global trade in crayfish as pets</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Crustacean Research</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44</w:t>
            </w:r>
            <w:r>
              <w:rPr>
                <w:rFonts w:ascii="Times New Roman" w:eastAsia="Times New Roman" w:hAnsi="Times New Roman" w:cs="Times New Roman"/>
                <w:iCs/>
                <w:sz w:val="20"/>
                <w:szCs w:val="20"/>
                <w:lang w:eastAsia="en-ZA"/>
              </w:rPr>
              <w:t xml:space="preserve">, </w:t>
            </w:r>
            <w:r w:rsidRPr="004D1E6F">
              <w:rPr>
                <w:rFonts w:ascii="Times New Roman" w:eastAsia="Times New Roman" w:hAnsi="Times New Roman" w:cs="Times New Roman"/>
                <w:sz w:val="20"/>
                <w:szCs w:val="20"/>
                <w:lang w:eastAsia="en-ZA"/>
              </w:rPr>
              <w:t>75–92.</w:t>
            </w:r>
            <w:r w:rsidR="006B6D52" w:rsidRPr="006B6D52">
              <w:rPr>
                <w:rFonts w:ascii="Times New Roman" w:eastAsia="Times New Roman" w:hAnsi="Times New Roman" w:cs="Times New Roman"/>
                <w:sz w:val="20"/>
                <w:szCs w:val="20"/>
                <w:lang w:eastAsia="en-ZA"/>
              </w:rPr>
              <w:t xml:space="preserve"> https://doi.org/10.18353/crustacea.44.0_75</w:t>
            </w:r>
          </w:p>
          <w:p w14:paraId="5B13F943" w14:textId="7971E83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w:t>
            </w:r>
            <w:r w:rsidRPr="004D1E6F">
              <w:rPr>
                <w:rFonts w:ascii="Times New Roman" w:eastAsia="Times New Roman" w:hAnsi="Times New Roman" w:cs="Times New Roman"/>
                <w:color w:val="000000"/>
                <w:sz w:val="20"/>
                <w:szCs w:val="20"/>
                <w:lang w:eastAsia="en-ZA"/>
              </w:rPr>
              <w:t xml:space="preserve"> </w:t>
            </w:r>
            <w:hyperlink r:id="rId272" w:history="1">
              <w:r w:rsidR="006B6D52" w:rsidRPr="006B6D52">
                <w:rPr>
                  <w:rStyle w:val="Hyperlink"/>
                  <w:rFonts w:ascii="Times New Roman" w:hAnsi="Times New Roman" w:cs="Times New Roman"/>
                  <w:sz w:val="20"/>
                  <w:szCs w:val="20"/>
                </w:rPr>
                <w:t>https://doi.org/10.2989/16085914.2017.1405788</w:t>
              </w:r>
            </w:hyperlink>
          </w:p>
        </w:tc>
      </w:tr>
      <w:tr w:rsidR="002D7080" w:rsidRPr="004D1E6F" w14:paraId="6207CEF9" w14:textId="77777777" w:rsidTr="002E2C37">
        <w:trPr>
          <w:cantSplit/>
          <w:trHeight w:val="278"/>
        </w:trPr>
        <w:tc>
          <w:tcPr>
            <w:tcW w:w="9122"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0A62C8C"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BAC11 Availability of physical specimen</w:t>
            </w:r>
          </w:p>
        </w:tc>
      </w:tr>
      <w:tr w:rsidR="002D7080" w:rsidRPr="004D1E6F" w14:paraId="770DF26E" w14:textId="77777777" w:rsidTr="002E2C37">
        <w:trPr>
          <w:cantSplit/>
          <w:trHeight w:val="70"/>
        </w:trPr>
        <w:tc>
          <w:tcPr>
            <w:tcW w:w="5912" w:type="dxa"/>
            <w:gridSpan w:val="3"/>
            <w:tcBorders>
              <w:top w:val="single" w:sz="4" w:space="0" w:color="auto"/>
              <w:left w:val="single" w:sz="4" w:space="0" w:color="auto"/>
              <w:bottom w:val="single" w:sz="4" w:space="0" w:color="auto"/>
              <w:right w:val="single" w:sz="4" w:space="0" w:color="auto"/>
            </w:tcBorders>
            <w:noWrap/>
          </w:tcPr>
          <w:p w14:paraId="609C17AC"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w:t>
            </w:r>
            <w:r>
              <w:rPr>
                <w:rFonts w:ascii="Times New Roman" w:eastAsia="Times New Roman" w:hAnsi="Times New Roman" w:cs="Times New Roman"/>
                <w:sz w:val="20"/>
                <w:szCs w:val="20"/>
                <w:lang w:eastAsia="en-ZA"/>
              </w:rPr>
              <w:t xml:space="preserve"> No  </w:t>
            </w:r>
          </w:p>
        </w:tc>
        <w:tc>
          <w:tcPr>
            <w:tcW w:w="3210" w:type="dxa"/>
            <w:tcBorders>
              <w:top w:val="single" w:sz="4" w:space="0" w:color="auto"/>
              <w:left w:val="single" w:sz="4" w:space="0" w:color="auto"/>
              <w:bottom w:val="single" w:sz="4" w:space="0" w:color="auto"/>
              <w:right w:val="single" w:sz="4" w:space="0" w:color="auto"/>
            </w:tcBorders>
          </w:tcPr>
          <w:p w14:paraId="5F450CEE"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in ID:</w:t>
            </w:r>
          </w:p>
        </w:tc>
      </w:tr>
      <w:tr w:rsidR="002D7080" w:rsidRPr="004D1E6F" w14:paraId="27559BE0" w14:textId="77777777" w:rsidTr="002E2C37">
        <w:trPr>
          <w:cantSplit/>
          <w:trHeight w:val="148"/>
        </w:trPr>
        <w:tc>
          <w:tcPr>
            <w:tcW w:w="9122" w:type="dxa"/>
            <w:gridSpan w:val="4"/>
            <w:tcBorders>
              <w:top w:val="single" w:sz="4" w:space="0" w:color="auto"/>
              <w:left w:val="single" w:sz="4" w:space="0" w:color="auto"/>
              <w:bottom w:val="single" w:sz="4" w:space="0" w:color="auto"/>
              <w:right w:val="single" w:sz="4" w:space="0" w:color="auto"/>
            </w:tcBorders>
            <w:noWrap/>
          </w:tcPr>
          <w:p w14:paraId="6D1A5C58"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Herbarium or museum accession number:</w:t>
            </w:r>
            <w:r>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sz w:val="20"/>
                <w:szCs w:val="20"/>
                <w:lang w:eastAsia="en-ZA"/>
              </w:rPr>
              <w:t xml:space="preserve">No </w:t>
            </w:r>
            <w:r w:rsidRPr="00233C97">
              <w:rPr>
                <w:rFonts w:ascii="Times New Roman" w:eastAsia="Times New Roman" w:hAnsi="Times New Roman" w:cs="Times New Roman"/>
                <w:i/>
                <w:iCs/>
                <w:sz w:val="20"/>
                <w:szCs w:val="20"/>
                <w:lang w:eastAsia="en-ZA"/>
              </w:rPr>
              <w:t>Faxonius</w:t>
            </w:r>
            <w:r>
              <w:rPr>
                <w:rFonts w:ascii="Times New Roman" w:eastAsia="Times New Roman" w:hAnsi="Times New Roman" w:cs="Times New Roman"/>
                <w:i/>
                <w:iCs/>
                <w:sz w:val="20"/>
                <w:szCs w:val="20"/>
                <w:lang w:eastAsia="en-ZA"/>
              </w:rPr>
              <w:t xml:space="preserve"> limosus</w:t>
            </w:r>
            <w:r w:rsidRPr="00233C97">
              <w:rPr>
                <w:rFonts w:ascii="Times New Roman" w:eastAsia="Times New Roman" w:hAnsi="Times New Roman" w:cs="Times New Roman"/>
                <w:i/>
                <w:iCs/>
                <w:sz w:val="20"/>
                <w:szCs w:val="20"/>
                <w:lang w:eastAsia="en-ZA"/>
              </w:rPr>
              <w:t xml:space="preserve"> </w:t>
            </w:r>
            <w:r w:rsidRPr="00233C97">
              <w:rPr>
                <w:rFonts w:ascii="Times New Roman" w:eastAsia="Times New Roman" w:hAnsi="Times New Roman" w:cs="Times New Roman"/>
                <w:iCs/>
                <w:sz w:val="20"/>
                <w:szCs w:val="20"/>
                <w:lang w:eastAsia="en-ZA"/>
              </w:rPr>
              <w:t xml:space="preserve">specimens have been found in South Africa and it is assumed the species </w:t>
            </w:r>
            <w:r w:rsidRPr="00233C97">
              <w:rPr>
                <w:rFonts w:ascii="Times New Roman" w:eastAsia="Times New Roman" w:hAnsi="Times New Roman" w:cs="Times New Roman"/>
                <w:sz w:val="20"/>
                <w:szCs w:val="20"/>
                <w:lang w:eastAsia="en-ZA"/>
              </w:rPr>
              <w:t>is not present in South Africa, although it requires further assessment, especially linked to the pet trade industry</w:t>
            </w:r>
            <w:r>
              <w:rPr>
                <w:rFonts w:ascii="Times New Roman" w:eastAsia="Times New Roman" w:hAnsi="Times New Roman" w:cs="Times New Roman"/>
                <w:sz w:val="20"/>
                <w:szCs w:val="20"/>
                <w:lang w:eastAsia="en-ZA"/>
              </w:rPr>
              <w:t xml:space="preserve"> (Nunes et al. 2017)</w:t>
            </w:r>
            <w:r w:rsidRPr="00233C97">
              <w:rPr>
                <w:rFonts w:ascii="Times New Roman" w:eastAsia="Times New Roman" w:hAnsi="Times New Roman" w:cs="Times New Roman"/>
                <w:sz w:val="20"/>
                <w:szCs w:val="20"/>
                <w:lang w:eastAsia="en-ZA"/>
              </w:rPr>
              <w:t>.</w:t>
            </w:r>
          </w:p>
        </w:tc>
      </w:tr>
      <w:tr w:rsidR="002D7080" w:rsidRPr="004D1E6F" w14:paraId="2634D18A"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1A499640" w14:textId="77777777" w:rsidR="002D7080"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1415DFBB" w14:textId="70C8AF33"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 </w:t>
            </w:r>
            <w:hyperlink r:id="rId273" w:history="1">
              <w:r w:rsidR="0038576C" w:rsidRPr="0038576C">
                <w:rPr>
                  <w:rFonts w:ascii="Times New Roman" w:eastAsia="Times New Roman" w:hAnsi="Times New Roman" w:cs="Times New Roman"/>
                  <w:color w:val="467886"/>
                  <w:sz w:val="20"/>
                  <w:szCs w:val="20"/>
                  <w:u w:val="single"/>
                  <w:lang w:eastAsia="en-ZA"/>
                </w:rPr>
                <w:t>https://doi.org/10.2989/16085914.2017.1405788</w:t>
              </w:r>
            </w:hyperlink>
          </w:p>
        </w:tc>
      </w:tr>
      <w:tr w:rsidR="002D7080" w:rsidRPr="004D1E6F" w14:paraId="5D3DA57B" w14:textId="77777777" w:rsidTr="002E2C37">
        <w:trPr>
          <w:cantSplit/>
          <w:trHeight w:val="233"/>
        </w:trPr>
        <w:tc>
          <w:tcPr>
            <w:tcW w:w="9122"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3577558"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 xml:space="preserve">BAC12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native to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 xml:space="preserve"> or part of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63776A0E" w14:textId="77777777" w:rsidTr="002E2C37">
        <w:trPr>
          <w:cantSplit/>
          <w:trHeight w:val="70"/>
        </w:trPr>
        <w:tc>
          <w:tcPr>
            <w:tcW w:w="400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1024AD5"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native to (part of) the </w:t>
            </w: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w:t>
            </w:r>
          </w:p>
        </w:tc>
        <w:tc>
          <w:tcPr>
            <w:tcW w:w="1906" w:type="dxa"/>
            <w:tcBorders>
              <w:top w:val="single" w:sz="4" w:space="0" w:color="auto"/>
              <w:left w:val="nil"/>
              <w:bottom w:val="single" w:sz="4" w:space="0" w:color="auto"/>
              <w:right w:val="single" w:sz="4" w:space="0" w:color="auto"/>
            </w:tcBorders>
          </w:tcPr>
          <w:p w14:paraId="6FFD9D7A"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No </w:t>
            </w:r>
          </w:p>
        </w:tc>
        <w:tc>
          <w:tcPr>
            <w:tcW w:w="3210" w:type="dxa"/>
            <w:tcBorders>
              <w:top w:val="single" w:sz="4" w:space="0" w:color="auto"/>
              <w:left w:val="nil"/>
              <w:bottom w:val="single" w:sz="4" w:space="0" w:color="auto"/>
              <w:right w:val="single" w:sz="4" w:space="0" w:color="auto"/>
            </w:tcBorders>
          </w:tcPr>
          <w:p w14:paraId="6F8F31D3"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36565895" w14:textId="77777777" w:rsidTr="002E2C37">
        <w:trPr>
          <w:cantSplit/>
          <w:trHeight w:val="70"/>
        </w:trPr>
        <w:tc>
          <w:tcPr>
            <w:tcW w:w="400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72C8568"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alien in (part of) the </w:t>
            </w: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w:t>
            </w:r>
          </w:p>
        </w:tc>
        <w:tc>
          <w:tcPr>
            <w:tcW w:w="1906" w:type="dxa"/>
            <w:tcBorders>
              <w:top w:val="single" w:sz="4" w:space="0" w:color="auto"/>
              <w:left w:val="nil"/>
              <w:bottom w:val="single" w:sz="4" w:space="0" w:color="auto"/>
              <w:right w:val="single" w:sz="4" w:space="0" w:color="auto"/>
            </w:tcBorders>
          </w:tcPr>
          <w:p w14:paraId="0206DD52"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Yes </w:t>
            </w:r>
          </w:p>
        </w:tc>
        <w:tc>
          <w:tcPr>
            <w:tcW w:w="3210" w:type="dxa"/>
            <w:tcBorders>
              <w:top w:val="single" w:sz="4" w:space="0" w:color="auto"/>
              <w:left w:val="nil"/>
              <w:bottom w:val="single" w:sz="4" w:space="0" w:color="auto"/>
              <w:right w:val="single" w:sz="4" w:space="0" w:color="auto"/>
            </w:tcBorders>
          </w:tcPr>
          <w:p w14:paraId="5C65540D"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3F64D889"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29911F27" w14:textId="3C1CF6CE" w:rsidR="002D7080" w:rsidRPr="00031090" w:rsidRDefault="002D7080" w:rsidP="006B6D52">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Comments:</w:t>
            </w:r>
            <w:r w:rsidRPr="004D1E6F">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sz w:val="20"/>
                <w:szCs w:val="20"/>
                <w:lang w:eastAsia="en-ZA"/>
              </w:rPr>
              <w:t xml:space="preserve">There are no native freshwater crayfish species native in South Africa </w:t>
            </w:r>
            <w:r w:rsidRPr="00233C97">
              <w:rPr>
                <w:rFonts w:ascii="Times New Roman" w:eastAsia="Times New Roman" w:hAnsi="Times New Roman" w:cs="Times New Roman"/>
                <w:sz w:val="20"/>
                <w:szCs w:val="20"/>
                <w:lang w:eastAsia="en-ZA"/>
              </w:rPr>
              <w:fldChar w:fldCharType="begin" w:fldLock="1"/>
            </w:r>
            <w:r w:rsidRPr="00233C97">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233C97">
              <w:rPr>
                <w:rFonts w:ascii="Times New Roman" w:eastAsia="Times New Roman" w:hAnsi="Times New Roman" w:cs="Times New Roman"/>
                <w:sz w:val="20"/>
                <w:szCs w:val="20"/>
                <w:lang w:eastAsia="en-ZA"/>
              </w:rPr>
              <w:fldChar w:fldCharType="separate"/>
            </w:r>
            <w:r w:rsidRPr="00233C97">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233C97">
              <w:rPr>
                <w:rFonts w:ascii="Times New Roman" w:eastAsia="Times New Roman" w:hAnsi="Times New Roman" w:cs="Times New Roman"/>
                <w:sz w:val="20"/>
                <w:szCs w:val="20"/>
                <w:lang w:eastAsia="en-ZA"/>
              </w:rPr>
              <w:t xml:space="preserve"> 2002; Nunes et al. 2017)</w:t>
            </w:r>
            <w:r w:rsidRPr="00233C97">
              <w:rPr>
                <w:rFonts w:ascii="Times New Roman" w:eastAsia="Times New Roman" w:hAnsi="Times New Roman" w:cs="Times New Roman"/>
                <w:sz w:val="20"/>
                <w:szCs w:val="20"/>
                <w:lang w:eastAsia="en-ZA"/>
              </w:rPr>
              <w:fldChar w:fldCharType="end"/>
            </w:r>
            <w:r w:rsidRPr="00233C97">
              <w:rPr>
                <w:rFonts w:ascii="Times New Roman" w:eastAsia="Times New Roman" w:hAnsi="Times New Roman" w:cs="Times New Roman"/>
                <w:sz w:val="20"/>
                <w:szCs w:val="20"/>
                <w:lang w:eastAsia="en-ZA"/>
              </w:rPr>
              <w:t xml:space="preserve">. </w:t>
            </w:r>
          </w:p>
        </w:tc>
      </w:tr>
      <w:tr w:rsidR="002D7080" w:rsidRPr="004D1E6F" w14:paraId="7AD4731C"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1AD3D08B"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4AF436FE" w14:textId="155200EB" w:rsidR="002D7080" w:rsidRPr="004D1E6F" w:rsidRDefault="008A0BC6" w:rsidP="006B6D52">
            <w:pPr>
              <w:spacing w:after="0"/>
              <w:ind w:left="720" w:hanging="720"/>
              <w:jc w:val="both"/>
              <w:rPr>
                <w:rFonts w:ascii="Times New Roman" w:eastAsia="Times New Roman" w:hAnsi="Times New Roman" w:cs="Times New Roman"/>
                <w:sz w:val="20"/>
                <w:szCs w:val="20"/>
                <w:lang w:eastAsia="en-ZA"/>
              </w:rPr>
            </w:pPr>
            <w:r>
              <w:rPr>
                <w:rFonts w:ascii="Times New Roman" w:eastAsia="Times New Roman" w:hAnsi="Times New Roman" w:cs="Times New Roman"/>
                <w:color w:val="000000"/>
                <w:sz w:val="20"/>
                <w:szCs w:val="20"/>
                <w:lang w:eastAsia="en-ZA"/>
              </w:rPr>
              <w:t>De Moor</w:t>
            </w:r>
            <w:r w:rsidR="002D7080" w:rsidRPr="004D1E6F">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Pr>
                <w:rFonts w:ascii="Times New Roman" w:eastAsia="Times New Roman" w:hAnsi="Times New Roman" w:cs="Times New Roman"/>
                <w:color w:val="000000"/>
                <w:sz w:val="20"/>
                <w:szCs w:val="20"/>
                <w:lang w:eastAsia="en-ZA"/>
              </w:rPr>
              <w:t xml:space="preserve"> 27, 125–139. </w:t>
            </w:r>
            <w:r w:rsidR="006B6D52" w:rsidRPr="006B6D52">
              <w:t xml:space="preserve">, </w:t>
            </w:r>
            <w:hyperlink r:id="rId274" w:history="1">
              <w:r w:rsidR="0038576C" w:rsidRPr="0038576C">
                <w:rPr>
                  <w:rStyle w:val="Hyperlink"/>
                  <w:rFonts w:ascii="Times New Roman" w:hAnsi="Times New Roman" w:cs="Times New Roman"/>
                  <w:sz w:val="20"/>
                  <w:szCs w:val="20"/>
                </w:rPr>
                <w:t>https://doi.org/10.2989/16085914.2002.9626584</w:t>
              </w:r>
            </w:hyperlink>
            <w:r w:rsidR="0038576C" w:rsidRPr="0038576C">
              <w:t>.</w:t>
            </w:r>
          </w:p>
          <w:p w14:paraId="15EE8797" w14:textId="7D2B9BF0"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Measey GJ, Weyl OLF. 2017.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w:t>
            </w:r>
            <w:r>
              <w:rPr>
                <w:rFonts w:ascii="Times New Roman" w:eastAsia="Times New Roman" w:hAnsi="Times New Roman" w:cs="Times New Roman"/>
                <w:sz w:val="20"/>
                <w:szCs w:val="20"/>
                <w:lang w:eastAsia="en-ZA"/>
              </w:rPr>
              <w:t xml:space="preserve"> </w:t>
            </w:r>
            <w:hyperlink r:id="rId275" w:history="1">
              <w:r w:rsidR="0038576C" w:rsidRPr="0038576C">
                <w:rPr>
                  <w:rStyle w:val="Hyperlink"/>
                  <w:rFonts w:ascii="Times New Roman" w:hAnsi="Times New Roman" w:cs="Times New Roman"/>
                  <w:sz w:val="20"/>
                  <w:szCs w:val="20"/>
                </w:rPr>
                <w:t>https://doi.org/10.2989/16085914.2017.1405788</w:t>
              </w:r>
            </w:hyperlink>
            <w:r w:rsidRPr="0038576C">
              <w:rPr>
                <w:rFonts w:ascii="Times New Roman" w:eastAsia="Times New Roman" w:hAnsi="Times New Roman" w:cs="Times New Roman"/>
                <w:sz w:val="16"/>
                <w:szCs w:val="16"/>
                <w:lang w:eastAsia="en-ZA"/>
              </w:rPr>
              <w:t>.</w:t>
            </w:r>
          </w:p>
        </w:tc>
      </w:tr>
      <w:tr w:rsidR="002D7080" w:rsidRPr="004D1E6F" w14:paraId="12FD5AE6" w14:textId="77777777" w:rsidTr="002E2C37">
        <w:trPr>
          <w:cantSplit/>
          <w:trHeight w:val="215"/>
        </w:trPr>
        <w:tc>
          <w:tcPr>
            <w:tcW w:w="9122"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350EF69"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BAC13 What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’s introduction status in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75D63F0F" w14:textId="77777777" w:rsidTr="002E2C37">
        <w:trPr>
          <w:cantSplit/>
          <w:trHeight w:val="90"/>
        </w:trPr>
        <w:tc>
          <w:tcPr>
            <w:tcW w:w="400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C94F589"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in cultivation/containment.</w:t>
            </w:r>
          </w:p>
        </w:tc>
        <w:tc>
          <w:tcPr>
            <w:tcW w:w="1906" w:type="dxa"/>
            <w:tcBorders>
              <w:top w:val="single" w:sz="4" w:space="0" w:color="auto"/>
              <w:left w:val="single" w:sz="4" w:space="0" w:color="auto"/>
              <w:bottom w:val="single" w:sz="4" w:space="0" w:color="auto"/>
              <w:right w:val="single" w:sz="4" w:space="0" w:color="auto"/>
            </w:tcBorders>
          </w:tcPr>
          <w:p w14:paraId="199C434B"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 xml:space="preserve">Don’t know </w:t>
            </w:r>
          </w:p>
        </w:tc>
        <w:tc>
          <w:tcPr>
            <w:tcW w:w="3210" w:type="dxa"/>
            <w:tcBorders>
              <w:top w:val="single" w:sz="4" w:space="0" w:color="auto"/>
              <w:left w:val="single" w:sz="4" w:space="0" w:color="auto"/>
              <w:bottom w:val="single" w:sz="4" w:space="0" w:color="auto"/>
              <w:right w:val="single" w:sz="4" w:space="0" w:color="auto"/>
            </w:tcBorders>
          </w:tcPr>
          <w:p w14:paraId="1ACE4268"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2BEE7CB3" w14:textId="77777777" w:rsidTr="002E2C37">
        <w:trPr>
          <w:cantSplit/>
          <w:trHeight w:val="87"/>
        </w:trPr>
        <w:tc>
          <w:tcPr>
            <w:tcW w:w="400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73E13E4"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present outside of cultivation/containment.</w:t>
            </w:r>
          </w:p>
        </w:tc>
        <w:tc>
          <w:tcPr>
            <w:tcW w:w="1906" w:type="dxa"/>
            <w:tcBorders>
              <w:top w:val="single" w:sz="4" w:space="0" w:color="auto"/>
              <w:left w:val="single" w:sz="4" w:space="0" w:color="auto"/>
              <w:bottom w:val="single" w:sz="4" w:space="0" w:color="auto"/>
              <w:right w:val="single" w:sz="4" w:space="0" w:color="auto"/>
            </w:tcBorders>
          </w:tcPr>
          <w:p w14:paraId="638DEBF7"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w:t>
            </w:r>
            <w:r>
              <w:rPr>
                <w:rFonts w:ascii="Times New Roman" w:eastAsia="Times New Roman" w:hAnsi="Times New Roman" w:cs="Times New Roman"/>
                <w:color w:val="000000"/>
                <w:sz w:val="20"/>
                <w:szCs w:val="20"/>
                <w:lang w:eastAsia="en-ZA"/>
              </w:rPr>
              <w:t>ne</w:t>
            </w:r>
          </w:p>
        </w:tc>
        <w:tc>
          <w:tcPr>
            <w:tcW w:w="3210" w:type="dxa"/>
            <w:tcBorders>
              <w:top w:val="single" w:sz="4" w:space="0" w:color="auto"/>
              <w:left w:val="single" w:sz="4" w:space="0" w:color="auto"/>
              <w:bottom w:val="single" w:sz="4" w:space="0" w:color="auto"/>
              <w:right w:val="single" w:sz="4" w:space="0" w:color="auto"/>
            </w:tcBorders>
          </w:tcPr>
          <w:p w14:paraId="56A25046"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5456DC82" w14:textId="77777777" w:rsidTr="002E2C37">
        <w:trPr>
          <w:cantSplit/>
          <w:trHeight w:val="87"/>
        </w:trPr>
        <w:tc>
          <w:tcPr>
            <w:tcW w:w="400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732AEBF"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has established/naturalised.</w:t>
            </w:r>
          </w:p>
        </w:tc>
        <w:tc>
          <w:tcPr>
            <w:tcW w:w="1906" w:type="dxa"/>
            <w:tcBorders>
              <w:top w:val="single" w:sz="4" w:space="0" w:color="auto"/>
              <w:left w:val="single" w:sz="4" w:space="0" w:color="auto"/>
              <w:bottom w:val="single" w:sz="4" w:space="0" w:color="auto"/>
              <w:right w:val="single" w:sz="4" w:space="0" w:color="auto"/>
            </w:tcBorders>
          </w:tcPr>
          <w:p w14:paraId="6E66DFC7"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w:t>
            </w:r>
            <w:r>
              <w:rPr>
                <w:rFonts w:ascii="Times New Roman" w:eastAsia="Times New Roman" w:hAnsi="Times New Roman" w:cs="Times New Roman"/>
                <w:color w:val="000000"/>
                <w:sz w:val="20"/>
                <w:szCs w:val="20"/>
                <w:lang w:eastAsia="en-ZA"/>
              </w:rPr>
              <w:t>ne</w:t>
            </w:r>
          </w:p>
        </w:tc>
        <w:tc>
          <w:tcPr>
            <w:tcW w:w="3210" w:type="dxa"/>
            <w:tcBorders>
              <w:top w:val="single" w:sz="4" w:space="0" w:color="auto"/>
              <w:left w:val="single" w:sz="4" w:space="0" w:color="auto"/>
              <w:bottom w:val="single" w:sz="4" w:space="0" w:color="auto"/>
              <w:right w:val="single" w:sz="4" w:space="0" w:color="auto"/>
            </w:tcBorders>
          </w:tcPr>
          <w:p w14:paraId="7BA3C203"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0235137B" w14:textId="77777777" w:rsidTr="002E2C37">
        <w:trPr>
          <w:cantSplit/>
          <w:trHeight w:val="87"/>
        </w:trPr>
        <w:tc>
          <w:tcPr>
            <w:tcW w:w="400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35644F7"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invasive.</w:t>
            </w:r>
          </w:p>
        </w:tc>
        <w:tc>
          <w:tcPr>
            <w:tcW w:w="1906" w:type="dxa"/>
            <w:tcBorders>
              <w:top w:val="single" w:sz="4" w:space="0" w:color="auto"/>
              <w:left w:val="single" w:sz="4" w:space="0" w:color="auto"/>
              <w:bottom w:val="single" w:sz="4" w:space="0" w:color="auto"/>
              <w:right w:val="single" w:sz="4" w:space="0" w:color="auto"/>
            </w:tcBorders>
          </w:tcPr>
          <w:p w14:paraId="3FA0741F"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w:t>
            </w:r>
            <w:r>
              <w:rPr>
                <w:rFonts w:ascii="Times New Roman" w:eastAsia="Times New Roman" w:hAnsi="Times New Roman" w:cs="Times New Roman"/>
                <w:color w:val="000000"/>
                <w:sz w:val="20"/>
                <w:szCs w:val="20"/>
                <w:lang w:eastAsia="en-ZA"/>
              </w:rPr>
              <w:t>ne</w:t>
            </w:r>
            <w:r w:rsidRPr="004D1E6F">
              <w:rPr>
                <w:rFonts w:ascii="Times New Roman" w:eastAsia="Times New Roman" w:hAnsi="Times New Roman" w:cs="Times New Roman"/>
                <w:color w:val="000000"/>
                <w:sz w:val="20"/>
                <w:szCs w:val="20"/>
                <w:lang w:eastAsia="en-ZA"/>
              </w:rPr>
              <w:t xml:space="preserve"> </w:t>
            </w:r>
          </w:p>
        </w:tc>
        <w:tc>
          <w:tcPr>
            <w:tcW w:w="3210" w:type="dxa"/>
            <w:tcBorders>
              <w:top w:val="single" w:sz="4" w:space="0" w:color="auto"/>
              <w:left w:val="single" w:sz="4" w:space="0" w:color="auto"/>
              <w:bottom w:val="single" w:sz="4" w:space="0" w:color="auto"/>
              <w:right w:val="single" w:sz="4" w:space="0" w:color="auto"/>
            </w:tcBorders>
          </w:tcPr>
          <w:p w14:paraId="0993B28A"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2B5244E2"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493903C4" w14:textId="63622E15"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sidRPr="00233C97">
              <w:rPr>
                <w:rFonts w:ascii="Times New Roman" w:eastAsia="Times New Roman" w:hAnsi="Times New Roman" w:cs="Times New Roman"/>
                <w:sz w:val="20"/>
                <w:szCs w:val="20"/>
                <w:lang w:eastAsia="en-ZA"/>
              </w:rPr>
              <w:t xml:space="preserve"> There are no records of </w:t>
            </w:r>
            <w:r w:rsidRPr="00233C97">
              <w:rPr>
                <w:rFonts w:ascii="Times New Roman" w:eastAsia="Times New Roman" w:hAnsi="Times New Roman" w:cs="Times New Roman"/>
                <w:i/>
                <w:sz w:val="20"/>
                <w:szCs w:val="20"/>
                <w:lang w:eastAsia="en-ZA"/>
              </w:rPr>
              <w:t xml:space="preserve">F. </w:t>
            </w:r>
            <w:r>
              <w:rPr>
                <w:rFonts w:ascii="Times New Roman" w:eastAsia="Times New Roman" w:hAnsi="Times New Roman" w:cs="Times New Roman"/>
                <w:i/>
                <w:sz w:val="20"/>
                <w:szCs w:val="20"/>
                <w:lang w:eastAsia="en-ZA"/>
              </w:rPr>
              <w:t>limosus</w:t>
            </w:r>
            <w:r w:rsidRPr="00233C97">
              <w:rPr>
                <w:rFonts w:ascii="Times New Roman" w:eastAsia="Times New Roman" w:hAnsi="Times New Roman" w:cs="Times New Roman"/>
                <w:i/>
                <w:sz w:val="20"/>
                <w:szCs w:val="20"/>
                <w:lang w:eastAsia="en-ZA"/>
              </w:rPr>
              <w:t xml:space="preserve"> </w:t>
            </w:r>
            <w:r w:rsidRPr="00233C97">
              <w:rPr>
                <w:rFonts w:ascii="Times New Roman" w:eastAsia="Times New Roman" w:hAnsi="Times New Roman" w:cs="Times New Roman"/>
                <w:sz w:val="20"/>
                <w:szCs w:val="20"/>
                <w:lang w:eastAsia="en-ZA"/>
              </w:rPr>
              <w:t>being present in South Africa</w:t>
            </w:r>
            <w:r>
              <w:rPr>
                <w:rFonts w:ascii="Times New Roman" w:eastAsia="Times New Roman" w:hAnsi="Times New Roman" w:cs="Times New Roman"/>
                <w:sz w:val="20"/>
                <w:szCs w:val="20"/>
                <w:lang w:eastAsia="en-ZA"/>
              </w:rPr>
              <w:t xml:space="preserve"> (</w:t>
            </w:r>
            <w:r w:rsidR="008A0BC6">
              <w:rPr>
                <w:rFonts w:ascii="Times New Roman" w:eastAsia="Times New Roman" w:hAnsi="Times New Roman" w:cs="Times New Roman"/>
                <w:sz w:val="20"/>
                <w:szCs w:val="20"/>
                <w:lang w:eastAsia="en-ZA"/>
              </w:rPr>
              <w:t>De Moor</w:t>
            </w:r>
            <w:r>
              <w:rPr>
                <w:rFonts w:ascii="Times New Roman" w:eastAsia="Times New Roman" w:hAnsi="Times New Roman" w:cs="Times New Roman"/>
                <w:sz w:val="20"/>
                <w:szCs w:val="20"/>
                <w:lang w:eastAsia="en-ZA"/>
              </w:rPr>
              <w:t xml:space="preserve"> 2002; Nunes et al. 2017)</w:t>
            </w:r>
            <w:r w:rsidRPr="00233C97">
              <w:rPr>
                <w:rFonts w:ascii="Times New Roman" w:eastAsia="Times New Roman" w:hAnsi="Times New Roman" w:cs="Times New Roman"/>
                <w:sz w:val="20"/>
                <w:szCs w:val="20"/>
                <w:lang w:eastAsia="en-ZA"/>
              </w:rPr>
              <w:t xml:space="preserve">. It is present in the pet trade in </w:t>
            </w:r>
            <w:r>
              <w:rPr>
                <w:rFonts w:ascii="Times New Roman" w:eastAsia="Times New Roman" w:hAnsi="Times New Roman" w:cs="Times New Roman"/>
                <w:sz w:val="20"/>
                <w:szCs w:val="20"/>
                <w:lang w:eastAsia="en-ZA"/>
              </w:rPr>
              <w:t xml:space="preserve">several countries in Europe </w:t>
            </w:r>
            <w:r w:rsidRPr="00233C97">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Chucholl 2013; </w:t>
            </w:r>
            <w:r w:rsidRPr="00233C97">
              <w:rPr>
                <w:rFonts w:ascii="Times New Roman" w:eastAsia="Times New Roman" w:hAnsi="Times New Roman" w:cs="Times New Roman"/>
                <w:sz w:val="20"/>
                <w:szCs w:val="20"/>
                <w:lang w:eastAsia="en-ZA"/>
              </w:rPr>
              <w:t>Faulkes 2015</w:t>
            </w:r>
            <w:r>
              <w:rPr>
                <w:rFonts w:ascii="Times New Roman" w:eastAsia="Times New Roman" w:hAnsi="Times New Roman" w:cs="Times New Roman"/>
                <w:sz w:val="20"/>
                <w:szCs w:val="20"/>
                <w:lang w:eastAsia="en-ZA"/>
              </w:rPr>
              <w:t>)</w:t>
            </w:r>
            <w:r w:rsidRPr="00233C97">
              <w:rPr>
                <w:rFonts w:ascii="Times New Roman" w:eastAsia="Times New Roman" w:hAnsi="Times New Roman" w:cs="Times New Roman"/>
                <w:sz w:val="20"/>
                <w:szCs w:val="20"/>
                <w:lang w:eastAsia="en-ZA"/>
              </w:rPr>
              <w:t xml:space="preserve"> and could likely be traded in South Africa but this needs to be assessed</w:t>
            </w:r>
            <w:r>
              <w:rPr>
                <w:rFonts w:ascii="Times New Roman" w:eastAsia="Times New Roman" w:hAnsi="Times New Roman" w:cs="Times New Roman"/>
                <w:sz w:val="20"/>
                <w:szCs w:val="20"/>
                <w:lang w:eastAsia="en-ZA"/>
              </w:rPr>
              <w:t>.</w:t>
            </w:r>
          </w:p>
        </w:tc>
      </w:tr>
      <w:tr w:rsidR="002D7080" w:rsidRPr="004D1E6F" w14:paraId="512B2E95"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0E2951F2"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0AA2FBD5" w14:textId="69AD8B2E" w:rsidR="006B6D52" w:rsidRDefault="002D7080" w:rsidP="006B6D52">
            <w:pPr>
              <w:spacing w:after="0"/>
              <w:ind w:left="720" w:hanging="720"/>
              <w:jc w:val="both"/>
            </w:pPr>
            <w:r w:rsidRPr="004D1E6F">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hyperlink r:id="rId276" w:history="1">
              <w:r w:rsidR="006B6D52" w:rsidRPr="006B6D52">
                <w:rPr>
                  <w:rStyle w:val="Hyperlink"/>
                  <w:rFonts w:ascii="Times New Roman" w:hAnsi="Times New Roman" w:cs="Times New Roman"/>
                  <w:sz w:val="20"/>
                  <w:szCs w:val="20"/>
                </w:rPr>
                <w:t>https://doi.org/10.1007/s10530-012-0273-</w:t>
              </w:r>
              <w:r w:rsidR="006B6D52" w:rsidRPr="00110E6A">
                <w:rPr>
                  <w:rStyle w:val="Hyperlink"/>
                </w:rPr>
                <w:t>2</w:t>
              </w:r>
            </w:hyperlink>
            <w:r w:rsidR="006B6D52">
              <w:t>.</w:t>
            </w:r>
          </w:p>
          <w:p w14:paraId="4D68B209" w14:textId="2A2A1C59" w:rsidR="002D7080" w:rsidRPr="00337652" w:rsidRDefault="008A0BC6" w:rsidP="006B6D52">
            <w:pPr>
              <w:spacing w:after="0"/>
              <w:ind w:left="720" w:hanging="720"/>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De Moor</w:t>
            </w:r>
            <w:r w:rsidR="002D7080" w:rsidRPr="004D1E6F">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Pr>
                <w:rFonts w:ascii="Times New Roman" w:eastAsia="Times New Roman" w:hAnsi="Times New Roman" w:cs="Times New Roman"/>
                <w:color w:val="000000"/>
                <w:sz w:val="20"/>
                <w:szCs w:val="20"/>
                <w:lang w:eastAsia="en-ZA"/>
              </w:rPr>
              <w:t xml:space="preserve"> 27, 125–139</w:t>
            </w:r>
            <w:r w:rsidR="006B6D52">
              <w:rPr>
                <w:rFonts w:ascii="Times New Roman" w:eastAsia="Times New Roman" w:hAnsi="Times New Roman" w:cs="Times New Roman"/>
                <w:color w:val="000000"/>
                <w:sz w:val="20"/>
                <w:szCs w:val="20"/>
                <w:lang w:eastAsia="en-ZA"/>
              </w:rPr>
              <w:t xml:space="preserve">, </w:t>
            </w:r>
            <w:hyperlink r:id="rId277" w:history="1">
              <w:r w:rsidR="00415023" w:rsidRPr="00110E6A">
                <w:rPr>
                  <w:rStyle w:val="Hyperlink"/>
                  <w:rFonts w:ascii="Times New Roman" w:eastAsia="Times New Roman" w:hAnsi="Times New Roman" w:cs="Times New Roman"/>
                  <w:sz w:val="20"/>
                  <w:szCs w:val="20"/>
                  <w:lang w:eastAsia="en-ZA"/>
                </w:rPr>
                <w:t>https://doi.org/10.2989/16085914.2002.9626584</w:t>
              </w:r>
            </w:hyperlink>
            <w:r w:rsidR="002D7080">
              <w:rPr>
                <w:rFonts w:ascii="Times New Roman" w:eastAsia="Times New Roman" w:hAnsi="Times New Roman" w:cs="Times New Roman"/>
                <w:sz w:val="20"/>
                <w:szCs w:val="20"/>
                <w:lang w:eastAsia="en-ZA"/>
              </w:rPr>
              <w:t xml:space="preserve">. </w:t>
            </w:r>
          </w:p>
          <w:p w14:paraId="4482E8F3"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Faulkes, Z</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2015</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The global trade in crayfish as pets</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Crustacean Research</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44</w:t>
            </w:r>
            <w:r>
              <w:rPr>
                <w:rFonts w:ascii="Times New Roman" w:eastAsia="Times New Roman" w:hAnsi="Times New Roman" w:cs="Times New Roman"/>
                <w:iCs/>
                <w:sz w:val="20"/>
                <w:szCs w:val="20"/>
                <w:lang w:eastAsia="en-ZA"/>
              </w:rPr>
              <w:t xml:space="preserve">, </w:t>
            </w:r>
            <w:r w:rsidRPr="004D1E6F">
              <w:rPr>
                <w:rFonts w:ascii="Times New Roman" w:eastAsia="Times New Roman" w:hAnsi="Times New Roman" w:cs="Times New Roman"/>
                <w:sz w:val="20"/>
                <w:szCs w:val="20"/>
                <w:lang w:eastAsia="en-ZA"/>
              </w:rPr>
              <w:t>75–92.</w:t>
            </w:r>
            <w:r w:rsidRPr="00337652">
              <w:rPr>
                <w:rFonts w:ascii="Times New Roman" w:hAnsi="Times New Roman" w:cs="Times New Roman"/>
                <w:sz w:val="20"/>
                <w:szCs w:val="20"/>
              </w:rPr>
              <w:t xml:space="preserve"> </w:t>
            </w:r>
            <w:hyperlink r:id="rId278" w:history="1">
              <w:r w:rsidRPr="00337652">
                <w:rPr>
                  <w:rStyle w:val="Hyperlink"/>
                  <w:rFonts w:ascii="Times New Roman" w:eastAsia="Times New Roman" w:hAnsi="Times New Roman" w:cs="Times New Roman"/>
                  <w:sz w:val="20"/>
                  <w:szCs w:val="20"/>
                  <w:lang w:eastAsia="en-ZA"/>
                </w:rPr>
                <w:t>https://doi.org/10.18353/crustacea.44.0_75</w:t>
              </w:r>
            </w:hyperlink>
            <w:r>
              <w:rPr>
                <w:rFonts w:ascii="Times New Roman" w:eastAsia="Times New Roman" w:hAnsi="Times New Roman" w:cs="Times New Roman"/>
                <w:sz w:val="20"/>
                <w:szCs w:val="20"/>
                <w:lang w:eastAsia="en-ZA"/>
              </w:rPr>
              <w:t xml:space="preserve">. </w:t>
            </w:r>
          </w:p>
          <w:p w14:paraId="6D2F7868" w14:textId="481FE824" w:rsidR="002D7080" w:rsidRPr="00415023" w:rsidRDefault="002D7080" w:rsidP="00415023">
            <w:pPr>
              <w:spacing w:after="0"/>
              <w:ind w:left="720" w:hanging="720"/>
              <w:jc w:val="both"/>
              <w:rPr>
                <w:rFonts w:ascii="Times New Roman" w:hAnsi="Times New Roman" w:cs="Times New Roman"/>
                <w:sz w:val="20"/>
                <w:szCs w:val="20"/>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 </w:t>
            </w:r>
            <w:hyperlink r:id="rId279" w:history="1">
              <w:r w:rsidR="00415023" w:rsidRPr="00415023">
                <w:rPr>
                  <w:rStyle w:val="Hyperlink"/>
                  <w:rFonts w:ascii="Times New Roman" w:hAnsi="Times New Roman" w:cs="Times New Roman"/>
                  <w:sz w:val="20"/>
                  <w:szCs w:val="20"/>
                </w:rPr>
                <w:t>https://doi.org/10.2989/16085914.2017.1405788</w:t>
              </w:r>
            </w:hyperlink>
            <w:r w:rsidR="00415023">
              <w:rPr>
                <w:rFonts w:ascii="Times New Roman" w:hAnsi="Times New Roman" w:cs="Times New Roman"/>
                <w:sz w:val="20"/>
                <w:szCs w:val="20"/>
              </w:rPr>
              <w:t xml:space="preserve">. </w:t>
            </w:r>
          </w:p>
        </w:tc>
      </w:tr>
      <w:tr w:rsidR="002D7080" w:rsidRPr="004D1E6F" w14:paraId="1EE8E2BB" w14:textId="77777777" w:rsidTr="002E2C37">
        <w:trPr>
          <w:cantSplit/>
          <w:trHeight w:val="242"/>
        </w:trPr>
        <w:tc>
          <w:tcPr>
            <w:tcW w:w="9122"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0A6ED43"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BAC14 Primary (introduction) pathways</w:t>
            </w:r>
          </w:p>
        </w:tc>
      </w:tr>
      <w:tr w:rsidR="002D7080" w:rsidRPr="004D1E6F" w14:paraId="22969848" w14:textId="77777777" w:rsidTr="002E2C37">
        <w:trPr>
          <w:cantSplit/>
          <w:trHeight w:val="61"/>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74EED09"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Release</w:t>
            </w:r>
          </w:p>
        </w:tc>
        <w:tc>
          <w:tcPr>
            <w:tcW w:w="3482" w:type="dxa"/>
            <w:gridSpan w:val="2"/>
            <w:tcBorders>
              <w:top w:val="single" w:sz="4" w:space="0" w:color="auto"/>
              <w:left w:val="single" w:sz="4" w:space="0" w:color="auto"/>
              <w:bottom w:val="single" w:sz="4" w:space="0" w:color="auto"/>
              <w:right w:val="single" w:sz="4" w:space="0" w:color="auto"/>
            </w:tcBorders>
          </w:tcPr>
          <w:p w14:paraId="59E85416"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3210" w:type="dxa"/>
            <w:tcBorders>
              <w:top w:val="single" w:sz="4" w:space="0" w:color="auto"/>
              <w:left w:val="single" w:sz="4" w:space="0" w:color="auto"/>
              <w:bottom w:val="single" w:sz="4" w:space="0" w:color="auto"/>
              <w:right w:val="single" w:sz="4" w:space="0" w:color="auto"/>
            </w:tcBorders>
          </w:tcPr>
          <w:p w14:paraId="40EEC209"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BD405FB"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65CC0CD"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Escape</w:t>
            </w:r>
          </w:p>
        </w:tc>
        <w:tc>
          <w:tcPr>
            <w:tcW w:w="3482" w:type="dxa"/>
            <w:gridSpan w:val="2"/>
            <w:tcBorders>
              <w:top w:val="single" w:sz="4" w:space="0" w:color="auto"/>
              <w:left w:val="single" w:sz="4" w:space="0" w:color="auto"/>
              <w:bottom w:val="single" w:sz="4" w:space="0" w:color="auto"/>
              <w:right w:val="single" w:sz="4" w:space="0" w:color="auto"/>
            </w:tcBorders>
          </w:tcPr>
          <w:p w14:paraId="2F5D2641"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Pr>
                <w:rFonts w:ascii="Times New Roman" w:eastAsia="Times New Roman" w:hAnsi="Times New Roman" w:cs="Times New Roman"/>
                <w:color w:val="000000"/>
                <w:sz w:val="20"/>
                <w:szCs w:val="20"/>
                <w:lang w:eastAsia="en-ZA"/>
              </w:rPr>
              <w:t>Aquaculture/bait/</w:t>
            </w:r>
            <w:r w:rsidRPr="00B3294F">
              <w:rPr>
                <w:rFonts w:ascii="Times New Roman" w:eastAsia="Times New Roman" w:hAnsi="Times New Roman" w:cs="Times New Roman"/>
                <w:color w:val="000000"/>
                <w:sz w:val="20"/>
                <w:szCs w:val="20"/>
                <w:lang w:eastAsia="en-ZA"/>
              </w:rPr>
              <w:t>Pet/aquarium/terrarium species (including live food for such species)</w:t>
            </w:r>
          </w:p>
        </w:tc>
        <w:tc>
          <w:tcPr>
            <w:tcW w:w="3210" w:type="dxa"/>
            <w:tcBorders>
              <w:top w:val="single" w:sz="4" w:space="0" w:color="auto"/>
              <w:left w:val="single" w:sz="4" w:space="0" w:color="auto"/>
              <w:bottom w:val="single" w:sz="4" w:space="0" w:color="auto"/>
              <w:right w:val="single" w:sz="4" w:space="0" w:color="auto"/>
            </w:tcBorders>
          </w:tcPr>
          <w:p w14:paraId="239164C8"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6EB7B73C"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FF61FF0"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Contaminant</w:t>
            </w:r>
          </w:p>
        </w:tc>
        <w:tc>
          <w:tcPr>
            <w:tcW w:w="3482" w:type="dxa"/>
            <w:gridSpan w:val="2"/>
            <w:tcBorders>
              <w:top w:val="single" w:sz="4" w:space="0" w:color="auto"/>
              <w:left w:val="single" w:sz="4" w:space="0" w:color="auto"/>
              <w:bottom w:val="single" w:sz="4" w:space="0" w:color="auto"/>
              <w:right w:val="single" w:sz="4" w:space="0" w:color="auto"/>
            </w:tcBorders>
          </w:tcPr>
          <w:p w14:paraId="1034050B"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 xml:space="preserve">Live food and live bait </w:t>
            </w:r>
          </w:p>
        </w:tc>
        <w:tc>
          <w:tcPr>
            <w:tcW w:w="3210" w:type="dxa"/>
            <w:tcBorders>
              <w:top w:val="single" w:sz="4" w:space="0" w:color="auto"/>
              <w:left w:val="single" w:sz="4" w:space="0" w:color="auto"/>
              <w:bottom w:val="single" w:sz="4" w:space="0" w:color="auto"/>
              <w:right w:val="single" w:sz="4" w:space="0" w:color="auto"/>
            </w:tcBorders>
          </w:tcPr>
          <w:p w14:paraId="36B23C15"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High</w:t>
            </w:r>
          </w:p>
        </w:tc>
      </w:tr>
      <w:tr w:rsidR="002D7080" w:rsidRPr="004D1E6F" w14:paraId="649B8E09"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8FD6F30"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Stowaway</w:t>
            </w:r>
          </w:p>
        </w:tc>
        <w:tc>
          <w:tcPr>
            <w:tcW w:w="3482" w:type="dxa"/>
            <w:gridSpan w:val="2"/>
            <w:tcBorders>
              <w:top w:val="single" w:sz="4" w:space="0" w:color="auto"/>
              <w:left w:val="single" w:sz="4" w:space="0" w:color="auto"/>
              <w:bottom w:val="single" w:sz="4" w:space="0" w:color="auto"/>
              <w:right w:val="single" w:sz="4" w:space="0" w:color="auto"/>
            </w:tcBorders>
          </w:tcPr>
          <w:p w14:paraId="4D9F379D"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 xml:space="preserve">one </w:t>
            </w:r>
          </w:p>
        </w:tc>
        <w:tc>
          <w:tcPr>
            <w:tcW w:w="3210" w:type="dxa"/>
            <w:tcBorders>
              <w:top w:val="single" w:sz="4" w:space="0" w:color="auto"/>
              <w:left w:val="single" w:sz="4" w:space="0" w:color="auto"/>
              <w:bottom w:val="single" w:sz="4" w:space="0" w:color="auto"/>
              <w:right w:val="single" w:sz="4" w:space="0" w:color="auto"/>
            </w:tcBorders>
          </w:tcPr>
          <w:p w14:paraId="70255E32"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3958EDAF"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EA4E26F"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Corridor</w:t>
            </w:r>
          </w:p>
        </w:tc>
        <w:tc>
          <w:tcPr>
            <w:tcW w:w="3482" w:type="dxa"/>
            <w:gridSpan w:val="2"/>
            <w:tcBorders>
              <w:top w:val="single" w:sz="4" w:space="0" w:color="auto"/>
              <w:left w:val="single" w:sz="4" w:space="0" w:color="auto"/>
              <w:bottom w:val="single" w:sz="4" w:space="0" w:color="auto"/>
              <w:right w:val="single" w:sz="4" w:space="0" w:color="auto"/>
            </w:tcBorders>
          </w:tcPr>
          <w:p w14:paraId="568F9D21"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3210" w:type="dxa"/>
            <w:tcBorders>
              <w:top w:val="single" w:sz="4" w:space="0" w:color="auto"/>
              <w:left w:val="single" w:sz="4" w:space="0" w:color="auto"/>
              <w:bottom w:val="single" w:sz="4" w:space="0" w:color="auto"/>
              <w:right w:val="single" w:sz="4" w:space="0" w:color="auto"/>
            </w:tcBorders>
          </w:tcPr>
          <w:p w14:paraId="5E8BEEE7"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7C36A0B5"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3A31D48"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Unaided</w:t>
            </w:r>
          </w:p>
        </w:tc>
        <w:tc>
          <w:tcPr>
            <w:tcW w:w="3482" w:type="dxa"/>
            <w:gridSpan w:val="2"/>
            <w:tcBorders>
              <w:top w:val="single" w:sz="4" w:space="0" w:color="auto"/>
              <w:left w:val="single" w:sz="4" w:space="0" w:color="auto"/>
              <w:bottom w:val="single" w:sz="4" w:space="0" w:color="auto"/>
              <w:right w:val="single" w:sz="4" w:space="0" w:color="auto"/>
            </w:tcBorders>
          </w:tcPr>
          <w:p w14:paraId="43A70A4E"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3210" w:type="dxa"/>
            <w:tcBorders>
              <w:top w:val="single" w:sz="4" w:space="0" w:color="auto"/>
              <w:left w:val="single" w:sz="4" w:space="0" w:color="auto"/>
              <w:bottom w:val="single" w:sz="4" w:space="0" w:color="auto"/>
              <w:right w:val="single" w:sz="4" w:space="0" w:color="auto"/>
            </w:tcBorders>
          </w:tcPr>
          <w:p w14:paraId="7A43202F"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296ADFDB"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56C046D9"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Pr>
                <w:rFonts w:ascii="Times New Roman" w:eastAsia="Times New Roman" w:hAnsi="Times New Roman" w:cs="Times New Roman"/>
                <w:sz w:val="20"/>
                <w:szCs w:val="20"/>
                <w:lang w:eastAsia="en-ZA"/>
              </w:rPr>
              <w:t xml:space="preserve"> </w:t>
            </w:r>
            <w:r w:rsidRPr="00B3294F">
              <w:rPr>
                <w:rFonts w:ascii="Times New Roman" w:eastAsia="Times New Roman" w:hAnsi="Times New Roman" w:cs="Times New Roman"/>
                <w:i/>
                <w:iCs/>
                <w:sz w:val="20"/>
                <w:szCs w:val="20"/>
                <w:lang w:eastAsia="en-ZA"/>
              </w:rPr>
              <w:t>Faxonius limosus</w:t>
            </w:r>
            <w:r w:rsidRPr="00B3294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 xml:space="preserve">has been </w:t>
            </w:r>
            <w:r w:rsidRPr="00B3294F">
              <w:rPr>
                <w:rFonts w:ascii="Times New Roman" w:eastAsia="Times New Roman" w:hAnsi="Times New Roman" w:cs="Times New Roman"/>
                <w:sz w:val="20"/>
                <w:szCs w:val="20"/>
                <w:lang w:eastAsia="en-ZA"/>
              </w:rPr>
              <w:t xml:space="preserve">introduced as live bait, </w:t>
            </w:r>
            <w:r>
              <w:rPr>
                <w:rFonts w:ascii="Times New Roman" w:eastAsia="Times New Roman" w:hAnsi="Times New Roman" w:cs="Times New Roman"/>
                <w:sz w:val="20"/>
                <w:szCs w:val="20"/>
                <w:lang w:eastAsia="en-ZA"/>
              </w:rPr>
              <w:t xml:space="preserve">unwanted </w:t>
            </w:r>
            <w:r w:rsidRPr="00B3294F">
              <w:rPr>
                <w:rFonts w:ascii="Times New Roman" w:eastAsia="Times New Roman" w:hAnsi="Times New Roman" w:cs="Times New Roman"/>
                <w:sz w:val="20"/>
                <w:szCs w:val="20"/>
                <w:lang w:eastAsia="en-ZA"/>
              </w:rPr>
              <w:t>aquarium species</w:t>
            </w:r>
            <w:r>
              <w:rPr>
                <w:rFonts w:ascii="Times New Roman" w:eastAsia="Times New Roman" w:hAnsi="Times New Roman" w:cs="Times New Roman"/>
                <w:sz w:val="20"/>
                <w:szCs w:val="20"/>
                <w:lang w:eastAsia="en-ZA"/>
              </w:rPr>
              <w:t xml:space="preserve">, and as </w:t>
            </w:r>
            <w:r w:rsidRPr="00B3294F">
              <w:rPr>
                <w:rFonts w:ascii="Times New Roman" w:eastAsia="Times New Roman" w:hAnsi="Times New Roman" w:cs="Times New Roman"/>
                <w:sz w:val="20"/>
                <w:szCs w:val="20"/>
                <w:lang w:eastAsia="en-ZA"/>
              </w:rPr>
              <w:t>contaminant</w:t>
            </w:r>
            <w:r>
              <w:rPr>
                <w:rFonts w:ascii="Times New Roman" w:eastAsia="Times New Roman" w:hAnsi="Times New Roman" w:cs="Times New Roman"/>
                <w:sz w:val="20"/>
                <w:szCs w:val="20"/>
                <w:lang w:eastAsia="en-ZA"/>
              </w:rPr>
              <w:t>s</w:t>
            </w:r>
            <w:r w:rsidRPr="00B3294F">
              <w:rPr>
                <w:rFonts w:ascii="Times New Roman" w:eastAsia="Times New Roman" w:hAnsi="Times New Roman" w:cs="Times New Roman"/>
                <w:sz w:val="20"/>
                <w:szCs w:val="20"/>
                <w:lang w:eastAsia="en-ZA"/>
              </w:rPr>
              <w:t xml:space="preserve"> of fish stock</w:t>
            </w:r>
            <w:r>
              <w:rPr>
                <w:rFonts w:ascii="Times New Roman" w:eastAsia="Times New Roman" w:hAnsi="Times New Roman" w:cs="Times New Roman"/>
                <w:sz w:val="20"/>
                <w:szCs w:val="20"/>
                <w:lang w:eastAsia="en-ZA"/>
              </w:rPr>
              <w:t xml:space="preserve">s </w:t>
            </w:r>
            <w:r w:rsidRPr="00B3294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Holdich et al. 2006; </w:t>
            </w:r>
            <w:r w:rsidRPr="00B3294F">
              <w:rPr>
                <w:rFonts w:ascii="Times New Roman" w:eastAsia="Times New Roman" w:hAnsi="Times New Roman" w:cs="Times New Roman"/>
                <w:sz w:val="20"/>
                <w:szCs w:val="20"/>
                <w:lang w:eastAsia="en-ZA"/>
              </w:rPr>
              <w:t>Holdich</w:t>
            </w:r>
            <w:r>
              <w:rPr>
                <w:rFonts w:ascii="Times New Roman" w:eastAsia="Times New Roman" w:hAnsi="Times New Roman" w:cs="Times New Roman"/>
                <w:sz w:val="20"/>
                <w:szCs w:val="20"/>
                <w:lang w:eastAsia="en-ZA"/>
              </w:rPr>
              <w:t xml:space="preserve"> &amp;</w:t>
            </w:r>
            <w:r w:rsidRPr="00B3294F">
              <w:rPr>
                <w:rFonts w:ascii="Times New Roman" w:eastAsia="Times New Roman" w:hAnsi="Times New Roman" w:cs="Times New Roman"/>
                <w:sz w:val="20"/>
                <w:szCs w:val="20"/>
                <w:lang w:eastAsia="en-ZA"/>
              </w:rPr>
              <w:t xml:space="preserve"> Black 2007</w:t>
            </w:r>
            <w:r>
              <w:rPr>
                <w:rFonts w:ascii="Times New Roman" w:eastAsia="Times New Roman" w:hAnsi="Times New Roman" w:cs="Times New Roman"/>
                <w:sz w:val="20"/>
                <w:szCs w:val="20"/>
                <w:lang w:eastAsia="en-ZA"/>
              </w:rPr>
              <w:t xml:space="preserve">; </w:t>
            </w:r>
            <w:r w:rsidRPr="00B3294F">
              <w:rPr>
                <w:rFonts w:ascii="Times New Roman" w:eastAsia="Times New Roman" w:hAnsi="Times New Roman" w:cs="Times New Roman"/>
                <w:sz w:val="20"/>
                <w:szCs w:val="20"/>
                <w:lang w:eastAsia="en-ZA"/>
              </w:rPr>
              <w:t>Aquiloni et al. 2010).</w:t>
            </w:r>
            <w:r>
              <w:rPr>
                <w:rFonts w:ascii="Times New Roman" w:eastAsia="Times New Roman" w:hAnsi="Times New Roman" w:cs="Times New Roman"/>
                <w:sz w:val="20"/>
                <w:szCs w:val="20"/>
                <w:lang w:eastAsia="en-ZA"/>
              </w:rPr>
              <w:t xml:space="preserve"> </w:t>
            </w:r>
          </w:p>
        </w:tc>
      </w:tr>
      <w:tr w:rsidR="002D7080" w:rsidRPr="004D1E6F" w14:paraId="52B4A849" w14:textId="77777777" w:rsidTr="002E2C37">
        <w:trPr>
          <w:cantSplit/>
          <w:trHeight w:val="70"/>
        </w:trPr>
        <w:tc>
          <w:tcPr>
            <w:tcW w:w="9122" w:type="dxa"/>
            <w:gridSpan w:val="4"/>
            <w:tcBorders>
              <w:top w:val="single" w:sz="4" w:space="0" w:color="auto"/>
              <w:left w:val="single" w:sz="4" w:space="0" w:color="auto"/>
              <w:bottom w:val="single" w:sz="4" w:space="0" w:color="auto"/>
              <w:right w:val="single" w:sz="4" w:space="0" w:color="auto"/>
            </w:tcBorders>
            <w:noWrap/>
          </w:tcPr>
          <w:p w14:paraId="041A930E" w14:textId="77777777" w:rsidR="002D7080" w:rsidRPr="004D1E6F" w:rsidRDefault="002D7080" w:rsidP="006B6D52">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0A881FEF" w14:textId="04211398" w:rsidR="002D7080" w:rsidRPr="00B3294F" w:rsidRDefault="002D7080" w:rsidP="006B6D52">
            <w:pPr>
              <w:spacing w:after="0"/>
              <w:ind w:left="720" w:hanging="720"/>
              <w:jc w:val="both"/>
              <w:rPr>
                <w:rFonts w:ascii="Times New Roman" w:hAnsi="Times New Roman" w:cs="Times New Roman"/>
                <w:sz w:val="20"/>
                <w:szCs w:val="20"/>
              </w:rPr>
            </w:pPr>
            <w:r w:rsidRPr="00B3294F">
              <w:rPr>
                <w:rFonts w:ascii="Times New Roman" w:hAnsi="Times New Roman" w:cs="Times New Roman"/>
                <w:sz w:val="20"/>
                <w:szCs w:val="20"/>
                <w:shd w:val="clear" w:color="auto" w:fill="FFFFFF"/>
              </w:rPr>
              <w:t>Aquiloni, L., Tricarico, E.</w:t>
            </w:r>
            <w:r>
              <w:rPr>
                <w:rFonts w:ascii="Times New Roman" w:hAnsi="Times New Roman" w:cs="Times New Roman"/>
                <w:sz w:val="20"/>
                <w:szCs w:val="20"/>
                <w:shd w:val="clear" w:color="auto" w:fill="FFFFFF"/>
              </w:rPr>
              <w:t xml:space="preserve"> &amp; </w:t>
            </w:r>
            <w:r w:rsidRPr="00B3294F">
              <w:rPr>
                <w:rFonts w:ascii="Times New Roman" w:hAnsi="Times New Roman" w:cs="Times New Roman"/>
                <w:sz w:val="20"/>
                <w:szCs w:val="20"/>
                <w:shd w:val="clear" w:color="auto" w:fill="FFFFFF"/>
              </w:rPr>
              <w:t>Gherardi, F., 2010</w:t>
            </w:r>
            <w:r>
              <w:rPr>
                <w:rFonts w:ascii="Times New Roman" w:hAnsi="Times New Roman" w:cs="Times New Roman"/>
                <w:sz w:val="20"/>
                <w:szCs w:val="20"/>
                <w:shd w:val="clear" w:color="auto" w:fill="FFFFFF"/>
              </w:rPr>
              <w:t>, ‘</w:t>
            </w:r>
            <w:r w:rsidRPr="00B3294F">
              <w:rPr>
                <w:rFonts w:ascii="Times New Roman" w:hAnsi="Times New Roman" w:cs="Times New Roman"/>
                <w:sz w:val="20"/>
                <w:szCs w:val="20"/>
                <w:shd w:val="clear" w:color="auto" w:fill="FFFFFF"/>
              </w:rPr>
              <w:t>Crayfish in Italy: distribution, threats and management</w:t>
            </w:r>
            <w:r>
              <w:rPr>
                <w:rFonts w:ascii="Times New Roman" w:hAnsi="Times New Roman" w:cs="Times New Roman"/>
                <w:sz w:val="20"/>
                <w:szCs w:val="20"/>
                <w:shd w:val="clear" w:color="auto" w:fill="FFFFFF"/>
              </w:rPr>
              <w:t xml:space="preserve">’, </w:t>
            </w:r>
            <w:r w:rsidRPr="00B3294F">
              <w:rPr>
                <w:rStyle w:val="Emphasis"/>
                <w:rFonts w:ascii="Times New Roman" w:hAnsi="Times New Roman" w:cs="Times New Roman"/>
                <w:sz w:val="20"/>
                <w:szCs w:val="20"/>
                <w:shd w:val="clear" w:color="auto" w:fill="FFFFFF"/>
              </w:rPr>
              <w:t>International Aquatic Research</w:t>
            </w:r>
            <w:r w:rsidRPr="00B3294F">
              <w:rPr>
                <w:rFonts w:ascii="Times New Roman" w:hAnsi="Times New Roman" w:cs="Times New Roman"/>
                <w:sz w:val="20"/>
                <w:szCs w:val="20"/>
                <w:shd w:val="clear" w:color="auto" w:fill="FFFFFF"/>
              </w:rPr>
              <w:t>, 2(1) 1-14</w:t>
            </w:r>
            <w:r w:rsidR="00DC5E42">
              <w:rPr>
                <w:rFonts w:ascii="Times New Roman" w:hAnsi="Times New Roman" w:cs="Times New Roman"/>
                <w:sz w:val="20"/>
                <w:szCs w:val="20"/>
                <w:shd w:val="clear" w:color="auto" w:fill="FFFFFF"/>
              </w:rPr>
              <w:t xml:space="preserve">. </w:t>
            </w:r>
            <w:r>
              <w:rPr>
                <w:rStyle w:val="Hyperlink"/>
                <w:rFonts w:ascii="Times New Roman" w:hAnsi="Times New Roman" w:cs="Times New Roman"/>
                <w:sz w:val="20"/>
                <w:szCs w:val="20"/>
                <w:shd w:val="clear" w:color="auto" w:fill="FFFFFF"/>
              </w:rPr>
              <w:t xml:space="preserve"> </w:t>
            </w:r>
          </w:p>
          <w:p w14:paraId="233DCEDF" w14:textId="77777777" w:rsidR="002D7080" w:rsidRDefault="002D7080" w:rsidP="006B6D52">
            <w:pPr>
              <w:spacing w:after="0"/>
              <w:ind w:left="720" w:hanging="720"/>
              <w:jc w:val="both"/>
              <w:rPr>
                <w:rFonts w:ascii="Times New Roman" w:hAnsi="Times New Roman" w:cs="Times New Roman"/>
                <w:sz w:val="20"/>
                <w:szCs w:val="20"/>
              </w:rPr>
            </w:pPr>
            <w:r w:rsidRPr="00B3294F">
              <w:rPr>
                <w:rFonts w:ascii="Times New Roman" w:hAnsi="Times New Roman" w:cs="Times New Roman"/>
                <w:sz w:val="20"/>
                <w:szCs w:val="20"/>
                <w:shd w:val="clear" w:color="auto" w:fill="FFFFFF"/>
              </w:rPr>
              <w:t>Holdich, D.</w:t>
            </w:r>
            <w:r>
              <w:rPr>
                <w:rFonts w:ascii="Times New Roman" w:hAnsi="Times New Roman" w:cs="Times New Roman"/>
                <w:sz w:val="20"/>
                <w:szCs w:val="20"/>
                <w:shd w:val="clear" w:color="auto" w:fill="FFFFFF"/>
              </w:rPr>
              <w:t xml:space="preserve"> &amp;</w:t>
            </w:r>
            <w:r w:rsidRPr="00B3294F">
              <w:rPr>
                <w:rFonts w:ascii="Times New Roman" w:hAnsi="Times New Roman" w:cs="Times New Roman"/>
                <w:sz w:val="20"/>
                <w:szCs w:val="20"/>
                <w:shd w:val="clear" w:color="auto" w:fill="FFFFFF"/>
              </w:rPr>
              <w:t xml:space="preserve"> Black, J., 2007</w:t>
            </w:r>
            <w:r>
              <w:rPr>
                <w:rFonts w:ascii="Times New Roman" w:hAnsi="Times New Roman" w:cs="Times New Roman"/>
                <w:sz w:val="20"/>
                <w:szCs w:val="20"/>
                <w:shd w:val="clear" w:color="auto" w:fill="FFFFFF"/>
              </w:rPr>
              <w:t>, ‘</w:t>
            </w:r>
            <w:r w:rsidRPr="00B3294F">
              <w:rPr>
                <w:rFonts w:ascii="Times New Roman" w:hAnsi="Times New Roman" w:cs="Times New Roman"/>
                <w:sz w:val="20"/>
                <w:szCs w:val="20"/>
                <w:shd w:val="clear" w:color="auto" w:fill="FFFFFF"/>
              </w:rPr>
              <w:t xml:space="preserve">The spiny-cheek crayfish, </w:t>
            </w:r>
            <w:r w:rsidRPr="00AD6923">
              <w:rPr>
                <w:rFonts w:ascii="Times New Roman" w:hAnsi="Times New Roman" w:cs="Times New Roman"/>
                <w:i/>
                <w:iCs/>
                <w:sz w:val="20"/>
                <w:szCs w:val="20"/>
                <w:shd w:val="clear" w:color="auto" w:fill="FFFFFF"/>
              </w:rPr>
              <w:t>Orconectes limosus</w:t>
            </w:r>
            <w:r w:rsidRPr="00B3294F">
              <w:rPr>
                <w:rFonts w:ascii="Times New Roman" w:hAnsi="Times New Roman" w:cs="Times New Roman"/>
                <w:sz w:val="20"/>
                <w:szCs w:val="20"/>
                <w:shd w:val="clear" w:color="auto" w:fill="FFFFFF"/>
              </w:rPr>
              <w:t xml:space="preserve"> (Rafinesque, 1817) [Crustacea: Decapoda: Cambaridae], digs into the UK</w:t>
            </w:r>
            <w:r>
              <w:rPr>
                <w:rFonts w:ascii="Times New Roman" w:hAnsi="Times New Roman" w:cs="Times New Roman"/>
                <w:sz w:val="20"/>
                <w:szCs w:val="20"/>
                <w:shd w:val="clear" w:color="auto" w:fill="FFFFFF"/>
              </w:rPr>
              <w:t xml:space="preserve">’, </w:t>
            </w:r>
            <w:r w:rsidRPr="00B3294F">
              <w:rPr>
                <w:rStyle w:val="Emphasis"/>
                <w:rFonts w:ascii="Times New Roman" w:hAnsi="Times New Roman" w:cs="Times New Roman"/>
                <w:sz w:val="20"/>
                <w:szCs w:val="20"/>
                <w:shd w:val="clear" w:color="auto" w:fill="FFFFFF"/>
              </w:rPr>
              <w:t>Aquatic Invasions</w:t>
            </w:r>
            <w:r w:rsidRPr="00B3294F">
              <w:rPr>
                <w:rFonts w:ascii="Times New Roman" w:hAnsi="Times New Roman" w:cs="Times New Roman"/>
                <w:sz w:val="20"/>
                <w:szCs w:val="20"/>
                <w:shd w:val="clear" w:color="auto" w:fill="FFFFFF"/>
              </w:rPr>
              <w:t>, 2(1)</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 1-16. </w:t>
            </w:r>
            <w:hyperlink w:tgtFrame="_blank" w:history="1">
              <w:r w:rsidRPr="00B3294F">
                <w:rPr>
                  <w:rStyle w:val="Hyperlink"/>
                  <w:rFonts w:ascii="Times New Roman" w:hAnsi="Times New Roman" w:cs="Times New Roman"/>
                  <w:sz w:val="20"/>
                  <w:szCs w:val="20"/>
                  <w:shd w:val="clear" w:color="auto" w:fill="FFFFFF"/>
                </w:rPr>
                <w:t>http://www.aquaticinvasions.ru/2007/AI_2007_2_1_Holdich_Black.pdf</w:t>
              </w:r>
            </w:hyperlink>
          </w:p>
          <w:p w14:paraId="1535F996" w14:textId="77777777" w:rsidR="002D7080" w:rsidRPr="007F1D8D" w:rsidRDefault="002D7080" w:rsidP="006B6D52">
            <w:pPr>
              <w:spacing w:after="0"/>
              <w:ind w:left="720" w:hanging="720"/>
              <w:jc w:val="both"/>
              <w:rPr>
                <w:rFonts w:ascii="Times New Roman" w:eastAsia="Times New Roman" w:hAnsi="Times New Roman" w:cs="Times New Roman"/>
                <w:sz w:val="20"/>
                <w:szCs w:val="20"/>
                <w:lang w:eastAsia="en-ZA"/>
              </w:rPr>
            </w:pPr>
            <w:r w:rsidRPr="00337652">
              <w:rPr>
                <w:rFonts w:ascii="Times New Roman" w:hAnsi="Times New Roman" w:cs="Times New Roman"/>
                <w:sz w:val="20"/>
                <w:szCs w:val="20"/>
                <w:shd w:val="clear" w:color="auto" w:fill="FFFFFF"/>
              </w:rPr>
              <w:t>Holdich, D.M., Haffner, P. &amp; Noël, P., 2006, Species files. In: </w:t>
            </w:r>
            <w:r w:rsidRPr="00337652">
              <w:rPr>
                <w:rStyle w:val="Emphasis"/>
                <w:rFonts w:ascii="Times New Roman" w:hAnsi="Times New Roman" w:cs="Times New Roman"/>
                <w:sz w:val="20"/>
                <w:szCs w:val="20"/>
                <w:shd w:val="clear" w:color="auto" w:fill="FFFFFF"/>
              </w:rPr>
              <w:t>Atlas of Crayfish in Europe</w:t>
            </w:r>
            <w:r w:rsidRPr="00337652">
              <w:rPr>
                <w:rFonts w:ascii="Times New Roman" w:hAnsi="Times New Roman" w:cs="Times New Roman"/>
                <w:sz w:val="20"/>
                <w:szCs w:val="20"/>
                <w:shd w:val="clear" w:color="auto" w:fill="FFFFFF"/>
              </w:rPr>
              <w:t xml:space="preserve">, [ed. by Souty-Grosset, C., Holdich, D.M., Noël. P.Y., Reynolds. </w:t>
            </w:r>
            <w:r w:rsidRPr="000E6BA8">
              <w:rPr>
                <w:rFonts w:ascii="Times New Roman" w:hAnsi="Times New Roman" w:cs="Times New Roman"/>
                <w:sz w:val="20"/>
                <w:szCs w:val="20"/>
                <w:shd w:val="clear" w:color="auto" w:fill="FFFFFF"/>
                <w:lang w:val="fr-FR"/>
              </w:rPr>
              <w:t xml:space="preserve">J.D. &amp; Haffner, P.]. Paris, France: Museum national d’Histoire naturelle. </w:t>
            </w:r>
            <w:r w:rsidRPr="00337652">
              <w:rPr>
                <w:rFonts w:ascii="Times New Roman" w:hAnsi="Times New Roman" w:cs="Times New Roman"/>
                <w:sz w:val="20"/>
                <w:szCs w:val="20"/>
                <w:shd w:val="clear" w:color="auto" w:fill="FFFFFF"/>
              </w:rPr>
              <w:t>50-129.</w:t>
            </w:r>
          </w:p>
        </w:tc>
      </w:tr>
    </w:tbl>
    <w:p w14:paraId="77A8EC95" w14:textId="77777777" w:rsidR="002D7080" w:rsidRPr="004D1E6F" w:rsidRDefault="002D7080" w:rsidP="006B6D52">
      <w:pPr>
        <w:spacing w:after="0"/>
        <w:jc w:val="both"/>
        <w:rPr>
          <w:rFonts w:ascii="Times New Roman" w:eastAsia="Times New Roman" w:hAnsi="Times New Roman" w:cs="Times New Roman"/>
          <w:sz w:val="20"/>
          <w:szCs w:val="20"/>
          <w:lang w:eastAsia="en-ZA"/>
        </w:rPr>
      </w:pPr>
    </w:p>
    <w:p w14:paraId="2688F7D5" w14:textId="77777777" w:rsidR="002D7080" w:rsidRPr="004D1E6F" w:rsidRDefault="002D7080" w:rsidP="006B6D52">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br w:type="page"/>
      </w:r>
    </w:p>
    <w:p w14:paraId="6F9868D6"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2. Likelihood</w:t>
      </w:r>
    </w:p>
    <w:p w14:paraId="44FADE5E" w14:textId="77777777" w:rsidR="002D7080" w:rsidRPr="004D1E6F" w:rsidRDefault="002D7080" w:rsidP="006B6D52">
      <w:pPr>
        <w:spacing w:after="0"/>
        <w:jc w:val="both"/>
        <w:rPr>
          <w:rFonts w:ascii="Times New Roman" w:eastAsia="Times New Roman" w:hAnsi="Times New Roman" w:cs="Times New Roman"/>
          <w:b/>
          <w:sz w:val="20"/>
          <w:szCs w:val="20"/>
          <w:lang w:eastAsia="en-ZA"/>
        </w:rPr>
      </w:pPr>
    </w:p>
    <w:tbl>
      <w:tblPr>
        <w:tblStyle w:val="TableGrid10"/>
        <w:tblW w:w="0" w:type="auto"/>
        <w:tblLook w:val="04A0" w:firstRow="1" w:lastRow="0" w:firstColumn="1" w:lastColumn="0" w:noHBand="0" w:noVBand="1"/>
      </w:tblPr>
      <w:tblGrid>
        <w:gridCol w:w="5524"/>
        <w:gridCol w:w="3492"/>
      </w:tblGrid>
      <w:tr w:rsidR="002D7080" w:rsidRPr="004D1E6F" w14:paraId="717F7D2B" w14:textId="77777777" w:rsidTr="002E2C37">
        <w:tc>
          <w:tcPr>
            <w:tcW w:w="9016" w:type="dxa"/>
            <w:gridSpan w:val="2"/>
            <w:shd w:val="clear" w:color="auto" w:fill="F2F2F2" w:themeFill="background1" w:themeFillShade="F2"/>
          </w:tcPr>
          <w:p w14:paraId="6731831A" w14:textId="77777777" w:rsidR="002D7080" w:rsidRPr="004D1E6F" w:rsidRDefault="002D7080" w:rsidP="006B6D52">
            <w:pPr>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LIK1 Likelihood of entry via unaided primary pathways</w:t>
            </w:r>
          </w:p>
        </w:tc>
      </w:tr>
      <w:tr w:rsidR="002D7080" w:rsidRPr="004D1E6F" w14:paraId="42F76C22" w14:textId="77777777" w:rsidTr="002E2C37">
        <w:tc>
          <w:tcPr>
            <w:tcW w:w="5524" w:type="dxa"/>
          </w:tcPr>
          <w:p w14:paraId="42F1DD12" w14:textId="77777777" w:rsidR="002D7080" w:rsidRPr="004D1E6F" w:rsidRDefault="002D7080" w:rsidP="006B6D52">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Very unlikely</w:t>
            </w:r>
            <w:r>
              <w:rPr>
                <w:rFonts w:ascii="Times New Roman" w:eastAsia="Times New Roman" w:hAnsi="Times New Roman" w:cs="Times New Roman"/>
                <w:color w:val="000000"/>
                <w:sz w:val="20"/>
                <w:szCs w:val="20"/>
                <w:lang w:eastAsia="en-ZA"/>
              </w:rPr>
              <w:t xml:space="preserve"> (p =0.0027)</w:t>
            </w:r>
          </w:p>
        </w:tc>
        <w:tc>
          <w:tcPr>
            <w:tcW w:w="3492" w:type="dxa"/>
          </w:tcPr>
          <w:p w14:paraId="53BADE85" w14:textId="77777777" w:rsidR="002D7080" w:rsidRPr="004D1E6F" w:rsidRDefault="002D7080" w:rsidP="006B6D52">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Medium</w:t>
            </w:r>
          </w:p>
        </w:tc>
      </w:tr>
      <w:tr w:rsidR="002D7080" w:rsidRPr="004D1E6F" w14:paraId="6CD8673B" w14:textId="77777777" w:rsidTr="002E2C37">
        <w:trPr>
          <w:trHeight w:val="614"/>
        </w:trPr>
        <w:tc>
          <w:tcPr>
            <w:tcW w:w="9016" w:type="dxa"/>
            <w:gridSpan w:val="2"/>
          </w:tcPr>
          <w:p w14:paraId="28FC29B2" w14:textId="18864C97" w:rsidR="002D7080" w:rsidRPr="004D1E6F" w:rsidRDefault="002D7080" w:rsidP="006B6D52">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color w:val="000000"/>
                <w:sz w:val="20"/>
                <w:szCs w:val="20"/>
                <w:lang w:eastAsia="en-ZA"/>
              </w:rPr>
              <w:t xml:space="preserve">There is no evidence that </w:t>
            </w:r>
            <w:r w:rsidRPr="00233C97">
              <w:rPr>
                <w:rFonts w:ascii="Times New Roman" w:eastAsia="Times New Roman" w:hAnsi="Times New Roman" w:cs="Times New Roman"/>
                <w:i/>
                <w:iCs/>
                <w:color w:val="000000"/>
                <w:sz w:val="20"/>
                <w:szCs w:val="20"/>
                <w:lang w:eastAsia="en-ZA"/>
              </w:rPr>
              <w:t>F.</w:t>
            </w:r>
            <w:r>
              <w:rPr>
                <w:rFonts w:ascii="Times New Roman" w:eastAsia="Times New Roman" w:hAnsi="Times New Roman" w:cs="Times New Roman"/>
                <w:i/>
                <w:iCs/>
                <w:color w:val="000000"/>
                <w:sz w:val="20"/>
                <w:szCs w:val="20"/>
                <w:lang w:eastAsia="en-ZA"/>
              </w:rPr>
              <w:t xml:space="preserve"> limosus</w:t>
            </w:r>
            <w:r w:rsidRPr="00233C97">
              <w:rPr>
                <w:rFonts w:ascii="Times New Roman" w:eastAsia="Times New Roman" w:hAnsi="Times New Roman" w:cs="Times New Roman"/>
                <w:i/>
                <w:iCs/>
                <w:color w:val="000000"/>
                <w:sz w:val="20"/>
                <w:szCs w:val="20"/>
                <w:lang w:eastAsia="en-ZA"/>
              </w:rPr>
              <w:t xml:space="preserve"> </w:t>
            </w:r>
            <w:r w:rsidRPr="00233C97">
              <w:rPr>
                <w:rFonts w:ascii="Times New Roman" w:eastAsia="Times New Roman" w:hAnsi="Times New Roman" w:cs="Times New Roman"/>
                <w:color w:val="000000"/>
                <w:sz w:val="20"/>
                <w:szCs w:val="20"/>
                <w:lang w:eastAsia="en-ZA"/>
              </w:rPr>
              <w:t xml:space="preserve">is present in South Africa or has established in the wild in neighbouring countries in the SADC Region </w:t>
            </w:r>
            <w:r w:rsidRPr="00233C97">
              <w:rPr>
                <w:rFonts w:ascii="Times New Roman" w:eastAsia="Times New Roman" w:hAnsi="Times New Roman" w:cs="Times New Roman"/>
                <w:color w:val="000000"/>
                <w:sz w:val="20"/>
                <w:szCs w:val="20"/>
                <w:lang w:eastAsia="en-ZA"/>
              </w:rPr>
              <w:fldChar w:fldCharType="begin" w:fldLock="1"/>
            </w:r>
            <w:r w:rsidRPr="00233C97">
              <w:rPr>
                <w:rFonts w:ascii="Times New Roman" w:eastAsia="Times New Roman" w:hAnsi="Times New Roman" w:cs="Times New Roman"/>
                <w:color w:val="000000"/>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Madzivanzira et al. 2020)", "plainTextFormattedCitation" : "(Lodge et al. 2012, Madzivanzira et al. 2020)", "previouslyFormattedCitation" : "(Lodge et al. 2012, Madzivanzira et al. 2020)" }, "properties" : { "noteIndex" : 0 }, "schema" : "https://github.com/citation-style-language/schema/raw/master/csl-citation.json" }</w:instrText>
            </w:r>
            <w:r w:rsidRPr="00233C97">
              <w:rPr>
                <w:rFonts w:ascii="Times New Roman" w:eastAsia="Times New Roman" w:hAnsi="Times New Roman" w:cs="Times New Roman"/>
                <w:color w:val="000000"/>
                <w:sz w:val="20"/>
                <w:szCs w:val="20"/>
                <w:lang w:eastAsia="en-ZA"/>
              </w:rPr>
              <w:fldChar w:fldCharType="separate"/>
            </w:r>
            <w:r w:rsidRPr="00233C97">
              <w:rPr>
                <w:rFonts w:ascii="Times New Roman" w:eastAsia="Times New Roman" w:hAnsi="Times New Roman" w:cs="Times New Roman"/>
                <w:noProof/>
                <w:color w:val="000000"/>
                <w:sz w:val="20"/>
                <w:szCs w:val="20"/>
                <w:lang w:eastAsia="en-ZA"/>
              </w:rPr>
              <w:t>(</w:t>
            </w:r>
            <w:r>
              <w:rPr>
                <w:rFonts w:ascii="Times New Roman" w:eastAsia="Times New Roman" w:hAnsi="Times New Roman" w:cs="Times New Roman"/>
                <w:noProof/>
                <w:color w:val="000000"/>
                <w:sz w:val="20"/>
                <w:szCs w:val="20"/>
                <w:lang w:eastAsia="en-ZA"/>
              </w:rPr>
              <w:t xml:space="preserve">Nunes et al. 2017; </w:t>
            </w:r>
            <w:r w:rsidRPr="00233C97">
              <w:rPr>
                <w:rFonts w:ascii="Times New Roman" w:eastAsia="Times New Roman" w:hAnsi="Times New Roman" w:cs="Times New Roman"/>
                <w:noProof/>
                <w:color w:val="000000"/>
                <w:sz w:val="20"/>
                <w:szCs w:val="20"/>
                <w:lang w:eastAsia="en-ZA"/>
              </w:rPr>
              <w:t>Madzivanzira et al. 2020)</w:t>
            </w:r>
            <w:r w:rsidRPr="00233C97">
              <w:rPr>
                <w:rFonts w:ascii="Times New Roman" w:eastAsia="Times New Roman" w:hAnsi="Times New Roman" w:cs="Times New Roman"/>
                <w:color w:val="000000"/>
                <w:sz w:val="20"/>
                <w:szCs w:val="20"/>
                <w:lang w:eastAsia="en-ZA"/>
              </w:rPr>
              <w:fldChar w:fldCharType="end"/>
            </w:r>
            <w:r w:rsidRPr="00233C97">
              <w:rPr>
                <w:rFonts w:ascii="Times New Roman" w:eastAsia="Times New Roman" w:hAnsi="Times New Roman" w:cs="Times New Roman"/>
                <w:color w:val="000000"/>
                <w:sz w:val="20"/>
                <w:szCs w:val="20"/>
                <w:lang w:eastAsia="en-ZA"/>
              </w:rPr>
              <w:t xml:space="preserve"> therefore the probability of </w:t>
            </w:r>
            <w:r w:rsidRPr="00233C97">
              <w:rPr>
                <w:rFonts w:ascii="Times New Roman" w:eastAsia="Times New Roman" w:hAnsi="Times New Roman" w:cs="Times New Roman"/>
                <w:i/>
                <w:color w:val="000000"/>
                <w:sz w:val="20"/>
                <w:szCs w:val="20"/>
                <w:lang w:eastAsia="en-ZA"/>
              </w:rPr>
              <w:t xml:space="preserve">F. </w:t>
            </w:r>
            <w:r w:rsidR="005C56FC">
              <w:rPr>
                <w:rFonts w:ascii="Times New Roman" w:eastAsia="Times New Roman" w:hAnsi="Times New Roman" w:cs="Times New Roman"/>
                <w:i/>
                <w:color w:val="000000"/>
                <w:sz w:val="20"/>
                <w:szCs w:val="20"/>
                <w:lang w:eastAsia="en-ZA"/>
              </w:rPr>
              <w:t>limosus</w:t>
            </w:r>
            <w:r w:rsidR="005C56FC"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color w:val="000000"/>
                <w:sz w:val="20"/>
                <w:szCs w:val="20"/>
                <w:lang w:eastAsia="en-ZA"/>
              </w:rPr>
              <w:t>entering South Africa through unaided pathways (connected waterways) is very unlikely (p = 0.0027).</w:t>
            </w:r>
          </w:p>
        </w:tc>
      </w:tr>
      <w:tr w:rsidR="002D7080" w:rsidRPr="004D1E6F" w14:paraId="4D5B6FDF" w14:textId="77777777" w:rsidTr="002E2C37">
        <w:tc>
          <w:tcPr>
            <w:tcW w:w="9016" w:type="dxa"/>
            <w:gridSpan w:val="2"/>
          </w:tcPr>
          <w:p w14:paraId="44FD2CE8" w14:textId="77777777" w:rsidR="002D7080" w:rsidRPr="004D1E6F" w:rsidRDefault="002D7080" w:rsidP="006B6D52">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3FB09E77" w14:textId="77777777" w:rsidR="002D7080" w:rsidRPr="00415023" w:rsidRDefault="002D7080" w:rsidP="00415023">
            <w:pPr>
              <w:ind w:left="539" w:hanging="539"/>
              <w:contextualSpacing/>
              <w:jc w:val="both"/>
              <w:rPr>
                <w:rFonts w:ascii="Times New Roman" w:eastAsia="Calibri" w:hAnsi="Times New Roman" w:cs="Times New Roman"/>
                <w:i/>
                <w:sz w:val="20"/>
                <w:szCs w:val="20"/>
              </w:rPr>
            </w:pPr>
            <w:r w:rsidRPr="00415023">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415023">
              <w:rPr>
                <w:rFonts w:ascii="Times New Roman" w:eastAsia="Times New Roman" w:hAnsi="Times New Roman" w:cs="Times New Roman"/>
                <w:i/>
                <w:sz w:val="20"/>
                <w:szCs w:val="20"/>
                <w:lang w:eastAsia="en-ZA"/>
              </w:rPr>
              <w:t xml:space="preserve">Reviews in Fisheries Science &amp; Aquaculture </w:t>
            </w:r>
            <w:r w:rsidRPr="00415023">
              <w:rPr>
                <w:rFonts w:ascii="Times New Roman" w:eastAsia="Times New Roman" w:hAnsi="Times New Roman" w:cs="Times New Roman"/>
                <w:sz w:val="20"/>
                <w:szCs w:val="20"/>
                <w:lang w:eastAsia="en-ZA"/>
              </w:rPr>
              <w:t>1-21</w:t>
            </w:r>
            <w:r w:rsidRPr="00415023">
              <w:rPr>
                <w:rFonts w:ascii="Times New Roman" w:eastAsia="Times New Roman" w:hAnsi="Times New Roman" w:cs="Times New Roman"/>
                <w:i/>
                <w:sz w:val="20"/>
                <w:szCs w:val="20"/>
                <w:lang w:eastAsia="en-ZA"/>
              </w:rPr>
              <w:t>.</w:t>
            </w:r>
            <w:r w:rsidRPr="00415023">
              <w:rPr>
                <w:rFonts w:ascii="Times New Roman" w:eastAsia="Times New Roman" w:hAnsi="Times New Roman" w:cs="Times New Roman"/>
                <w:iCs/>
                <w:sz w:val="20"/>
                <w:szCs w:val="20"/>
                <w:lang w:eastAsia="en-ZA"/>
              </w:rPr>
              <w:t xml:space="preserve"> </w:t>
            </w:r>
            <w:hyperlink w:history="1">
              <w:r w:rsidRPr="00415023">
                <w:rPr>
                  <w:rStyle w:val="Hyperlink"/>
                  <w:rFonts w:ascii="Times New Roman" w:eastAsia="Times New Roman" w:hAnsi="Times New Roman" w:cs="Times New Roman"/>
                  <w:iCs/>
                  <w:sz w:val="20"/>
                  <w:szCs w:val="20"/>
                  <w:lang w:eastAsia="en-ZA"/>
                </w:rPr>
                <w:t>https://doi.org/10.1080/23308249.2020.1802405</w:t>
              </w:r>
            </w:hyperlink>
            <w:r w:rsidRPr="00415023">
              <w:rPr>
                <w:rFonts w:ascii="Times New Roman" w:eastAsia="Calibri" w:hAnsi="Times New Roman" w:cs="Times New Roman"/>
                <w:i/>
                <w:sz w:val="20"/>
                <w:szCs w:val="20"/>
              </w:rPr>
              <w:t>.</w:t>
            </w:r>
          </w:p>
          <w:p w14:paraId="75BC216E" w14:textId="77777777" w:rsidR="002D7080" w:rsidRPr="004D1E6F" w:rsidRDefault="002D7080" w:rsidP="00415023">
            <w:pPr>
              <w:ind w:left="539" w:hanging="539"/>
              <w:contextualSpacing/>
              <w:jc w:val="both"/>
              <w:rPr>
                <w:rFonts w:ascii="Times New Roman" w:eastAsia="Times New Roman" w:hAnsi="Times New Roman" w:cs="Times New Roman"/>
                <w:color w:val="000000"/>
                <w:sz w:val="20"/>
                <w:szCs w:val="20"/>
                <w:lang w:eastAsia="en-ZA"/>
              </w:rPr>
            </w:pPr>
            <w:r w:rsidRPr="00415023">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15023">
              <w:rPr>
                <w:rFonts w:ascii="Times New Roman" w:eastAsia="Times New Roman" w:hAnsi="Times New Roman" w:cs="Times New Roman"/>
                <w:i/>
                <w:color w:val="000000"/>
                <w:sz w:val="20"/>
                <w:szCs w:val="20"/>
                <w:lang w:eastAsia="en-ZA"/>
              </w:rPr>
              <w:t>African Journal of Aquatic Science</w:t>
            </w:r>
            <w:r w:rsidRPr="00415023">
              <w:rPr>
                <w:rFonts w:ascii="Times New Roman" w:eastAsia="Times New Roman" w:hAnsi="Times New Roman" w:cs="Times New Roman"/>
                <w:color w:val="000000"/>
                <w:sz w:val="20"/>
                <w:szCs w:val="20"/>
                <w:lang w:eastAsia="en-ZA"/>
              </w:rPr>
              <w:t xml:space="preserve"> 42, 309–323. </w:t>
            </w:r>
            <w:hyperlink w:history="1">
              <w:r w:rsidRPr="00415023">
                <w:rPr>
                  <w:rStyle w:val="Hyperlink"/>
                  <w:rFonts w:ascii="Times New Roman" w:eastAsia="Times New Roman" w:hAnsi="Times New Roman" w:cs="Times New Roman"/>
                  <w:sz w:val="20"/>
                  <w:szCs w:val="20"/>
                  <w:lang w:eastAsia="en-ZA"/>
                </w:rPr>
                <w:t>https://doi.org/10.2989/16085914.2017.1405788</w:t>
              </w:r>
            </w:hyperlink>
          </w:p>
        </w:tc>
      </w:tr>
    </w:tbl>
    <w:p w14:paraId="47DFA20A" w14:textId="77777777" w:rsidR="002D7080" w:rsidRPr="004D1E6F" w:rsidRDefault="002D7080" w:rsidP="006B6D52">
      <w:pPr>
        <w:spacing w:after="0"/>
        <w:jc w:val="both"/>
        <w:rPr>
          <w:rFonts w:ascii="Times New Roman" w:eastAsia="Times New Roman" w:hAnsi="Times New Roman" w:cs="Times New Roman"/>
          <w:b/>
          <w:color w:val="000000"/>
          <w:sz w:val="20"/>
          <w:szCs w:val="20"/>
          <w:lang w:eastAsia="en-ZA"/>
        </w:rPr>
      </w:pPr>
    </w:p>
    <w:tbl>
      <w:tblPr>
        <w:tblStyle w:val="TableGrid10"/>
        <w:tblW w:w="0" w:type="auto"/>
        <w:tblLook w:val="04A0" w:firstRow="1" w:lastRow="0" w:firstColumn="1" w:lastColumn="0" w:noHBand="0" w:noVBand="1"/>
      </w:tblPr>
      <w:tblGrid>
        <w:gridCol w:w="5524"/>
        <w:gridCol w:w="3492"/>
      </w:tblGrid>
      <w:tr w:rsidR="002D7080" w:rsidRPr="004D1E6F" w14:paraId="7A8CFA2A" w14:textId="77777777" w:rsidTr="002E2C37">
        <w:tc>
          <w:tcPr>
            <w:tcW w:w="9016" w:type="dxa"/>
            <w:gridSpan w:val="2"/>
            <w:shd w:val="clear" w:color="auto" w:fill="F2F2F2" w:themeFill="background1" w:themeFillShade="F2"/>
          </w:tcPr>
          <w:p w14:paraId="69584647" w14:textId="77777777" w:rsidR="002D7080" w:rsidRPr="004D1E6F" w:rsidRDefault="002D7080" w:rsidP="006B6D52">
            <w:pPr>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LIK2 Likelihood of entry via human aided primary pathways</w:t>
            </w:r>
          </w:p>
        </w:tc>
      </w:tr>
      <w:tr w:rsidR="002D7080" w:rsidRPr="004D1E6F" w14:paraId="215F2D1A" w14:textId="77777777" w:rsidTr="002E2C37">
        <w:tc>
          <w:tcPr>
            <w:tcW w:w="5524" w:type="dxa"/>
          </w:tcPr>
          <w:p w14:paraId="0D661E70" w14:textId="77777777" w:rsidR="002D7080" w:rsidRPr="004D1E6F" w:rsidRDefault="002D7080" w:rsidP="006B6D52">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w:t>
            </w:r>
            <w:r>
              <w:rPr>
                <w:rFonts w:ascii="Times New Roman" w:eastAsia="Times New Roman" w:hAnsi="Times New Roman" w:cs="Times New Roman"/>
                <w:color w:val="000000"/>
                <w:sz w:val="20"/>
                <w:szCs w:val="20"/>
                <w:lang w:eastAsia="en-ZA"/>
              </w:rPr>
              <w:t xml:space="preserve"> (p = 0.5)</w:t>
            </w:r>
          </w:p>
        </w:tc>
        <w:tc>
          <w:tcPr>
            <w:tcW w:w="3492" w:type="dxa"/>
          </w:tcPr>
          <w:p w14:paraId="21AA67DC" w14:textId="77777777" w:rsidR="002D7080" w:rsidRPr="004D1E6F" w:rsidRDefault="002D7080" w:rsidP="006B6D52">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7677C5D4" w14:textId="77777777" w:rsidTr="002E2C37">
        <w:tc>
          <w:tcPr>
            <w:tcW w:w="9016" w:type="dxa"/>
            <w:gridSpan w:val="2"/>
          </w:tcPr>
          <w:p w14:paraId="5B52118A" w14:textId="77777777" w:rsidR="002D7080" w:rsidRPr="004D1E6F" w:rsidRDefault="002D7080" w:rsidP="006B6D52">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
                <w:color w:val="000000"/>
                <w:sz w:val="20"/>
                <w:szCs w:val="20"/>
                <w:lang w:eastAsia="en-ZA"/>
              </w:rPr>
              <w:t xml:space="preserve">Faxonius </w:t>
            </w:r>
            <w:r>
              <w:rPr>
                <w:rFonts w:ascii="Times New Roman" w:eastAsia="Times New Roman" w:hAnsi="Times New Roman" w:cs="Times New Roman"/>
                <w:i/>
                <w:color w:val="000000"/>
                <w:sz w:val="20"/>
                <w:szCs w:val="20"/>
                <w:lang w:eastAsia="en-ZA"/>
              </w:rPr>
              <w:t>limosus</w:t>
            </w:r>
            <w:r>
              <w:rPr>
                <w:rFonts w:ascii="Times New Roman" w:eastAsia="Times New Roman" w:hAnsi="Times New Roman" w:cs="Times New Roman"/>
                <w:sz w:val="20"/>
                <w:szCs w:val="20"/>
                <w:lang w:eastAsia="en-ZA"/>
              </w:rPr>
              <w:t xml:space="preserve"> has been </w:t>
            </w:r>
            <w:r w:rsidRPr="00B3294F">
              <w:rPr>
                <w:rFonts w:ascii="Times New Roman" w:eastAsia="Times New Roman" w:hAnsi="Times New Roman" w:cs="Times New Roman"/>
                <w:sz w:val="20"/>
                <w:szCs w:val="20"/>
                <w:lang w:eastAsia="en-ZA"/>
              </w:rPr>
              <w:t xml:space="preserve">introduced as live bait, </w:t>
            </w:r>
            <w:r>
              <w:rPr>
                <w:rFonts w:ascii="Times New Roman" w:eastAsia="Times New Roman" w:hAnsi="Times New Roman" w:cs="Times New Roman"/>
                <w:sz w:val="20"/>
                <w:szCs w:val="20"/>
                <w:lang w:eastAsia="en-ZA"/>
              </w:rPr>
              <w:t xml:space="preserve">unwanted </w:t>
            </w:r>
            <w:r w:rsidRPr="00B3294F">
              <w:rPr>
                <w:rFonts w:ascii="Times New Roman" w:eastAsia="Times New Roman" w:hAnsi="Times New Roman" w:cs="Times New Roman"/>
                <w:sz w:val="20"/>
                <w:szCs w:val="20"/>
                <w:lang w:eastAsia="en-ZA"/>
              </w:rPr>
              <w:t>aquarium species</w:t>
            </w:r>
            <w:r>
              <w:rPr>
                <w:rFonts w:ascii="Times New Roman" w:eastAsia="Times New Roman" w:hAnsi="Times New Roman" w:cs="Times New Roman"/>
                <w:sz w:val="20"/>
                <w:szCs w:val="20"/>
                <w:lang w:eastAsia="en-ZA"/>
              </w:rPr>
              <w:t xml:space="preserve">, and as </w:t>
            </w:r>
            <w:r w:rsidRPr="00B3294F">
              <w:rPr>
                <w:rFonts w:ascii="Times New Roman" w:eastAsia="Times New Roman" w:hAnsi="Times New Roman" w:cs="Times New Roman"/>
                <w:sz w:val="20"/>
                <w:szCs w:val="20"/>
                <w:lang w:eastAsia="en-ZA"/>
              </w:rPr>
              <w:t>contaminant</w:t>
            </w:r>
            <w:r>
              <w:rPr>
                <w:rFonts w:ascii="Times New Roman" w:eastAsia="Times New Roman" w:hAnsi="Times New Roman" w:cs="Times New Roman"/>
                <w:sz w:val="20"/>
                <w:szCs w:val="20"/>
                <w:lang w:eastAsia="en-ZA"/>
              </w:rPr>
              <w:t>s</w:t>
            </w:r>
            <w:r w:rsidRPr="00B3294F">
              <w:rPr>
                <w:rFonts w:ascii="Times New Roman" w:eastAsia="Times New Roman" w:hAnsi="Times New Roman" w:cs="Times New Roman"/>
                <w:sz w:val="20"/>
                <w:szCs w:val="20"/>
                <w:lang w:eastAsia="en-ZA"/>
              </w:rPr>
              <w:t xml:space="preserve"> of fish stock</w:t>
            </w:r>
            <w:r>
              <w:rPr>
                <w:rFonts w:ascii="Times New Roman" w:eastAsia="Times New Roman" w:hAnsi="Times New Roman" w:cs="Times New Roman"/>
                <w:sz w:val="20"/>
                <w:szCs w:val="20"/>
                <w:lang w:eastAsia="en-ZA"/>
              </w:rPr>
              <w:t xml:space="preserve">s </w:t>
            </w:r>
            <w:r w:rsidRPr="00B3294F">
              <w:rPr>
                <w:rFonts w:ascii="Times New Roman" w:eastAsia="Times New Roman" w:hAnsi="Times New Roman" w:cs="Times New Roman"/>
                <w:sz w:val="20"/>
                <w:szCs w:val="20"/>
                <w:lang w:eastAsia="en-ZA"/>
              </w:rPr>
              <w:t>(Holdich</w:t>
            </w:r>
            <w:r>
              <w:rPr>
                <w:rFonts w:ascii="Times New Roman" w:eastAsia="Times New Roman" w:hAnsi="Times New Roman" w:cs="Times New Roman"/>
                <w:sz w:val="20"/>
                <w:szCs w:val="20"/>
                <w:lang w:eastAsia="en-ZA"/>
              </w:rPr>
              <w:t xml:space="preserve"> &amp;</w:t>
            </w:r>
            <w:r w:rsidRPr="00B3294F">
              <w:rPr>
                <w:rFonts w:ascii="Times New Roman" w:eastAsia="Times New Roman" w:hAnsi="Times New Roman" w:cs="Times New Roman"/>
                <w:sz w:val="20"/>
                <w:szCs w:val="20"/>
                <w:lang w:eastAsia="en-ZA"/>
              </w:rPr>
              <w:t xml:space="preserve"> Black 2007</w:t>
            </w:r>
            <w:r>
              <w:rPr>
                <w:rFonts w:ascii="Times New Roman" w:eastAsia="Times New Roman" w:hAnsi="Times New Roman" w:cs="Times New Roman"/>
                <w:sz w:val="20"/>
                <w:szCs w:val="20"/>
                <w:lang w:eastAsia="en-ZA"/>
              </w:rPr>
              <w:t xml:space="preserve">, </w:t>
            </w:r>
            <w:r w:rsidRPr="00B3294F">
              <w:rPr>
                <w:rFonts w:ascii="Times New Roman" w:eastAsia="Times New Roman" w:hAnsi="Times New Roman" w:cs="Times New Roman"/>
                <w:sz w:val="20"/>
                <w:szCs w:val="20"/>
                <w:lang w:eastAsia="en-ZA"/>
              </w:rPr>
              <w:t>Aquiloni et al. 2010).</w:t>
            </w:r>
            <w:r>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color w:val="000000"/>
                <w:sz w:val="20"/>
                <w:szCs w:val="20"/>
                <w:lang w:eastAsia="en-ZA"/>
              </w:rPr>
              <w:t>It is likely that it could be present in the pet trade in South Africa, but this needs to be assessed.</w:t>
            </w:r>
          </w:p>
        </w:tc>
      </w:tr>
      <w:tr w:rsidR="002D7080" w:rsidRPr="004D1E6F" w14:paraId="3725D0C5" w14:textId="77777777" w:rsidTr="002E2C37">
        <w:tc>
          <w:tcPr>
            <w:tcW w:w="9016" w:type="dxa"/>
            <w:gridSpan w:val="2"/>
          </w:tcPr>
          <w:p w14:paraId="6BED4907" w14:textId="77777777" w:rsidR="002D7080" w:rsidRPr="004D1E6F" w:rsidRDefault="002D7080" w:rsidP="006B6D52">
            <w:pPr>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09178ADB" w14:textId="7DECE8E5" w:rsidR="002D7080" w:rsidRDefault="002D7080" w:rsidP="006B6D52">
            <w:pPr>
              <w:ind w:left="720" w:hanging="720"/>
              <w:contextualSpacing/>
              <w:jc w:val="both"/>
              <w:rPr>
                <w:rFonts w:ascii="Times New Roman" w:hAnsi="Times New Roman" w:cs="Times New Roman"/>
                <w:sz w:val="20"/>
                <w:szCs w:val="20"/>
              </w:rPr>
            </w:pPr>
            <w:r w:rsidRPr="00B3294F">
              <w:rPr>
                <w:rFonts w:ascii="Times New Roman" w:hAnsi="Times New Roman" w:cs="Times New Roman"/>
                <w:sz w:val="20"/>
                <w:szCs w:val="20"/>
                <w:shd w:val="clear" w:color="auto" w:fill="FFFFFF"/>
              </w:rPr>
              <w:t>Aquiloni, L., Tricarico, E.</w:t>
            </w:r>
            <w:r>
              <w:rPr>
                <w:rFonts w:ascii="Times New Roman" w:hAnsi="Times New Roman" w:cs="Times New Roman"/>
                <w:sz w:val="20"/>
                <w:szCs w:val="20"/>
                <w:shd w:val="clear" w:color="auto" w:fill="FFFFFF"/>
              </w:rPr>
              <w:t xml:space="preserve"> &amp;</w:t>
            </w:r>
            <w:r w:rsidRPr="00B3294F">
              <w:rPr>
                <w:rFonts w:ascii="Times New Roman" w:hAnsi="Times New Roman" w:cs="Times New Roman"/>
                <w:sz w:val="20"/>
                <w:szCs w:val="20"/>
                <w:shd w:val="clear" w:color="auto" w:fill="FFFFFF"/>
              </w:rPr>
              <w:t xml:space="preserve"> Gherardi, F., 2010</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Crayfish in Italy: distribution, threats and management.</w:t>
            </w:r>
            <w:r>
              <w:rPr>
                <w:rFonts w:ascii="Times New Roman" w:hAnsi="Times New Roman" w:cs="Times New Roman"/>
                <w:sz w:val="20"/>
                <w:szCs w:val="20"/>
                <w:shd w:val="clear" w:color="auto" w:fill="FFFFFF"/>
              </w:rPr>
              <w:t xml:space="preserve"> </w:t>
            </w:r>
            <w:r w:rsidRPr="00B3294F">
              <w:rPr>
                <w:rStyle w:val="Emphasis"/>
                <w:rFonts w:ascii="Times New Roman" w:hAnsi="Times New Roman" w:cs="Times New Roman"/>
                <w:sz w:val="20"/>
                <w:szCs w:val="20"/>
                <w:shd w:val="clear" w:color="auto" w:fill="FFFFFF"/>
              </w:rPr>
              <w:t>International Aquatic Research</w:t>
            </w:r>
            <w:r w:rsidRPr="00B3294F">
              <w:rPr>
                <w:rFonts w:ascii="Times New Roman" w:hAnsi="Times New Roman" w:cs="Times New Roman"/>
                <w:sz w:val="20"/>
                <w:szCs w:val="20"/>
                <w:shd w:val="clear" w:color="auto" w:fill="FFFFFF"/>
              </w:rPr>
              <w:t>, 2(1)</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 1-14</w:t>
            </w:r>
            <w:r w:rsidR="00DC5E42">
              <w:rPr>
                <w:rFonts w:ascii="Times New Roman" w:hAnsi="Times New Roman" w:cs="Times New Roman"/>
                <w:sz w:val="20"/>
                <w:szCs w:val="20"/>
                <w:shd w:val="clear" w:color="auto" w:fill="FFFFFF"/>
              </w:rPr>
              <w:t xml:space="preserve">. </w:t>
            </w:r>
            <w:r w:rsidR="00DC5E42">
              <w:rPr>
                <w:rFonts w:ascii="Times New Roman" w:hAnsi="Times New Roman" w:cs="Times New Roman"/>
                <w:sz w:val="20"/>
                <w:szCs w:val="20"/>
              </w:rPr>
              <w:t xml:space="preserve"> </w:t>
            </w:r>
          </w:p>
          <w:p w14:paraId="6736AA08" w14:textId="77777777" w:rsidR="002D7080" w:rsidRPr="004D1E6F" w:rsidRDefault="002D7080" w:rsidP="006B6D52">
            <w:pPr>
              <w:ind w:left="720" w:hanging="720"/>
              <w:contextualSpacing/>
              <w:jc w:val="both"/>
              <w:rPr>
                <w:rFonts w:ascii="Times New Roman" w:eastAsia="Times New Roman" w:hAnsi="Times New Roman" w:cs="Times New Roman"/>
                <w:color w:val="000000"/>
                <w:sz w:val="20"/>
                <w:szCs w:val="20"/>
                <w:lang w:eastAsia="en-ZA"/>
              </w:rPr>
            </w:pPr>
            <w:r w:rsidRPr="00B3294F">
              <w:rPr>
                <w:rFonts w:ascii="Times New Roman" w:hAnsi="Times New Roman" w:cs="Times New Roman"/>
                <w:sz w:val="20"/>
                <w:szCs w:val="20"/>
                <w:shd w:val="clear" w:color="auto" w:fill="FFFFFF"/>
              </w:rPr>
              <w:t>Holdich, D.</w:t>
            </w:r>
            <w:r>
              <w:rPr>
                <w:rFonts w:ascii="Times New Roman" w:hAnsi="Times New Roman" w:cs="Times New Roman"/>
                <w:sz w:val="20"/>
                <w:szCs w:val="20"/>
                <w:shd w:val="clear" w:color="auto" w:fill="FFFFFF"/>
              </w:rPr>
              <w:t xml:space="preserve"> &amp;</w:t>
            </w:r>
            <w:r w:rsidRPr="00B3294F">
              <w:rPr>
                <w:rFonts w:ascii="Times New Roman" w:hAnsi="Times New Roman" w:cs="Times New Roman"/>
                <w:sz w:val="20"/>
                <w:szCs w:val="20"/>
                <w:shd w:val="clear" w:color="auto" w:fill="FFFFFF"/>
              </w:rPr>
              <w:t xml:space="preserve"> Black, J., 2007</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The spiny-cheek crayfish, </w:t>
            </w:r>
            <w:r w:rsidRPr="00AD6923">
              <w:rPr>
                <w:rFonts w:ascii="Times New Roman" w:hAnsi="Times New Roman" w:cs="Times New Roman"/>
                <w:i/>
                <w:iCs/>
                <w:sz w:val="20"/>
                <w:szCs w:val="20"/>
                <w:shd w:val="clear" w:color="auto" w:fill="FFFFFF"/>
              </w:rPr>
              <w:t>Orconectes limosus</w:t>
            </w:r>
            <w:r w:rsidRPr="00B3294F">
              <w:rPr>
                <w:rFonts w:ascii="Times New Roman" w:hAnsi="Times New Roman" w:cs="Times New Roman"/>
                <w:sz w:val="20"/>
                <w:szCs w:val="20"/>
                <w:shd w:val="clear" w:color="auto" w:fill="FFFFFF"/>
              </w:rPr>
              <w:t xml:space="preserve"> (Rafinesque, 1817) [Crustacea: Decapoda: Cambaridae], digs into the UK</w:t>
            </w:r>
            <w:r>
              <w:rPr>
                <w:rFonts w:ascii="Times New Roman" w:hAnsi="Times New Roman" w:cs="Times New Roman"/>
                <w:sz w:val="20"/>
                <w:szCs w:val="20"/>
                <w:shd w:val="clear" w:color="auto" w:fill="FFFFFF"/>
              </w:rPr>
              <w:t xml:space="preserve">’, </w:t>
            </w:r>
            <w:r w:rsidRPr="00B3294F">
              <w:rPr>
                <w:rStyle w:val="Emphasis"/>
                <w:rFonts w:ascii="Times New Roman" w:hAnsi="Times New Roman" w:cs="Times New Roman"/>
                <w:sz w:val="20"/>
                <w:szCs w:val="20"/>
                <w:shd w:val="clear" w:color="auto" w:fill="FFFFFF"/>
              </w:rPr>
              <w:t>Aquatic Invasions</w:t>
            </w:r>
            <w:r w:rsidRPr="00B3294F">
              <w:rPr>
                <w:rFonts w:ascii="Times New Roman" w:hAnsi="Times New Roman" w:cs="Times New Roman"/>
                <w:sz w:val="20"/>
                <w:szCs w:val="20"/>
                <w:shd w:val="clear" w:color="auto" w:fill="FFFFFF"/>
              </w:rPr>
              <w:t>, 2(1)</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 1-16. </w:t>
            </w:r>
            <w:hyperlink w:tgtFrame="_blank" w:history="1">
              <w:r w:rsidRPr="00B3294F">
                <w:rPr>
                  <w:rStyle w:val="Hyperlink"/>
                  <w:rFonts w:ascii="Times New Roman" w:hAnsi="Times New Roman" w:cs="Times New Roman"/>
                  <w:sz w:val="20"/>
                  <w:szCs w:val="20"/>
                  <w:shd w:val="clear" w:color="auto" w:fill="FFFFFF"/>
                </w:rPr>
                <w:t>http://www.aquaticinvasions.ru/2007/AI_2007_2_1_Holdich_Black.pdf</w:t>
              </w:r>
            </w:hyperlink>
          </w:p>
        </w:tc>
      </w:tr>
    </w:tbl>
    <w:p w14:paraId="40C6E391" w14:textId="77777777" w:rsidR="002D7080" w:rsidRPr="004D1E6F" w:rsidRDefault="002D7080" w:rsidP="002D7080">
      <w:pPr>
        <w:spacing w:after="0" w:line="240" w:lineRule="auto"/>
        <w:jc w:val="both"/>
        <w:rPr>
          <w:rFonts w:ascii="Times New Roman" w:eastAsia="Times New Roman" w:hAnsi="Times New Roman" w:cs="Times New Roman"/>
          <w:color w:val="000000"/>
          <w:sz w:val="20"/>
          <w:szCs w:val="20"/>
          <w:lang w:eastAsia="en-ZA"/>
        </w:rPr>
      </w:pPr>
    </w:p>
    <w:tbl>
      <w:tblPr>
        <w:tblStyle w:val="TableGrid10"/>
        <w:tblW w:w="0" w:type="auto"/>
        <w:tblLook w:val="04A0" w:firstRow="1" w:lastRow="0" w:firstColumn="1" w:lastColumn="0" w:noHBand="0" w:noVBand="1"/>
      </w:tblPr>
      <w:tblGrid>
        <w:gridCol w:w="5524"/>
        <w:gridCol w:w="3492"/>
      </w:tblGrid>
      <w:tr w:rsidR="002D7080" w:rsidRPr="004D1E6F" w14:paraId="27E8F2CF" w14:textId="77777777" w:rsidTr="002E2C37">
        <w:tc>
          <w:tcPr>
            <w:tcW w:w="9016" w:type="dxa"/>
            <w:gridSpan w:val="2"/>
            <w:shd w:val="clear" w:color="auto" w:fill="F2F2F2" w:themeFill="background1" w:themeFillShade="F2"/>
          </w:tcPr>
          <w:p w14:paraId="29150EE3" w14:textId="77777777" w:rsidR="002D7080" w:rsidRPr="004D1E6F" w:rsidRDefault="002D7080" w:rsidP="002E2C37">
            <w:pPr>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LIK3 Habitat suitability</w:t>
            </w:r>
          </w:p>
        </w:tc>
      </w:tr>
      <w:tr w:rsidR="002D7080" w:rsidRPr="004D1E6F" w14:paraId="5EEAAD11" w14:textId="77777777" w:rsidTr="002E2C37">
        <w:tc>
          <w:tcPr>
            <w:tcW w:w="5524" w:type="dxa"/>
          </w:tcPr>
          <w:p w14:paraId="2EB7A898"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w:t>
            </w:r>
            <w:r>
              <w:rPr>
                <w:rFonts w:ascii="Times New Roman" w:eastAsia="Times New Roman" w:hAnsi="Times New Roman" w:cs="Times New Roman"/>
                <w:color w:val="000000"/>
                <w:sz w:val="20"/>
                <w:szCs w:val="20"/>
                <w:lang w:eastAsia="en-ZA"/>
              </w:rPr>
              <w:t xml:space="preserve"> (p = 0.5)</w:t>
            </w:r>
          </w:p>
        </w:tc>
        <w:tc>
          <w:tcPr>
            <w:tcW w:w="3492" w:type="dxa"/>
          </w:tcPr>
          <w:p w14:paraId="56CBAE4D"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16762F17" w14:textId="77777777" w:rsidTr="002E2C37">
        <w:tc>
          <w:tcPr>
            <w:tcW w:w="9016" w:type="dxa"/>
            <w:gridSpan w:val="2"/>
          </w:tcPr>
          <w:p w14:paraId="6BFE50FF" w14:textId="77777777" w:rsidR="002D7080" w:rsidRPr="004D1E6F" w:rsidRDefault="002D7080" w:rsidP="002E2C37">
            <w:pPr>
              <w:autoSpaceDE w:val="0"/>
              <w:autoSpaceDN w:val="0"/>
              <w:adjustRightInd w:val="0"/>
              <w:jc w:val="both"/>
              <w:rPr>
                <w:rFonts w:ascii="Times New Roman" w:eastAsia="Calibri" w:hAnsi="Times New Roman" w:cs="Times New Roman"/>
                <w:sz w:val="20"/>
                <w:szCs w:val="20"/>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
                <w:iCs/>
                <w:sz w:val="20"/>
                <w:szCs w:val="20"/>
                <w:lang w:eastAsia="en-ZA"/>
              </w:rPr>
              <w:t>Faxonius</w:t>
            </w:r>
            <w:r>
              <w:rPr>
                <w:rFonts w:ascii="Times New Roman" w:eastAsia="Times New Roman" w:hAnsi="Times New Roman" w:cs="Times New Roman"/>
                <w:i/>
                <w:iCs/>
                <w:sz w:val="20"/>
                <w:szCs w:val="20"/>
                <w:lang w:eastAsia="en-ZA"/>
              </w:rPr>
              <w:t xml:space="preserve"> limosus </w:t>
            </w:r>
            <w:r w:rsidRPr="00233C97">
              <w:rPr>
                <w:rFonts w:ascii="Times New Roman" w:eastAsia="Calibri" w:hAnsi="Times New Roman" w:cs="Times New Roman"/>
                <w:sz w:val="20"/>
                <w:szCs w:val="20"/>
              </w:rPr>
              <w:t>is a habitat generalist that inhabits permanent streams and lakes with a range of substrates such as clay, silt, sand and gravel</w:t>
            </w:r>
            <w:r>
              <w:rPr>
                <w:rFonts w:ascii="Times New Roman" w:eastAsia="Calibri" w:hAnsi="Times New Roman" w:cs="Times New Roman"/>
                <w:sz w:val="20"/>
                <w:szCs w:val="20"/>
              </w:rPr>
              <w:t xml:space="preserve"> </w:t>
            </w:r>
            <w:r w:rsidRPr="004D1E6F">
              <w:rPr>
                <w:rFonts w:ascii="Times New Roman" w:eastAsia="Calibri" w:hAnsi="Times New Roman" w:cs="Times New Roman"/>
                <w:sz w:val="20"/>
                <w:szCs w:val="20"/>
              </w:rPr>
              <w:t>(</w:t>
            </w:r>
            <w:r>
              <w:rPr>
                <w:rFonts w:ascii="Times New Roman" w:eastAsia="Calibri" w:hAnsi="Times New Roman" w:cs="Times New Roman"/>
                <w:sz w:val="20"/>
                <w:szCs w:val="20"/>
              </w:rPr>
              <w:t xml:space="preserve">Hamr 2002; </w:t>
            </w:r>
            <w:r w:rsidRPr="004D1E6F">
              <w:rPr>
                <w:rFonts w:ascii="Times New Roman" w:eastAsia="Calibri" w:hAnsi="Times New Roman" w:cs="Times New Roman"/>
                <w:sz w:val="20"/>
                <w:szCs w:val="20"/>
              </w:rPr>
              <w:t>Adams et al</w:t>
            </w:r>
            <w:r>
              <w:rPr>
                <w:rFonts w:ascii="Times New Roman" w:eastAsia="Calibri" w:hAnsi="Times New Roman" w:cs="Times New Roman"/>
                <w:sz w:val="20"/>
                <w:szCs w:val="20"/>
              </w:rPr>
              <w:t>.</w:t>
            </w:r>
            <w:r w:rsidRPr="004D1E6F">
              <w:rPr>
                <w:rFonts w:ascii="Times New Roman" w:eastAsia="Calibri" w:hAnsi="Times New Roman" w:cs="Times New Roman"/>
                <w:sz w:val="20"/>
                <w:szCs w:val="20"/>
              </w:rPr>
              <w:t xml:space="preserve"> 2010</w:t>
            </w:r>
            <w:r>
              <w:rPr>
                <w:rFonts w:ascii="Times New Roman" w:eastAsia="Calibri" w:hAnsi="Times New Roman" w:cs="Times New Roman"/>
                <w:sz w:val="20"/>
                <w:szCs w:val="20"/>
              </w:rPr>
              <w:t>, Kouba et al. 2016</w:t>
            </w:r>
            <w:r w:rsidRPr="004D1E6F">
              <w:rPr>
                <w:rFonts w:ascii="Times New Roman" w:eastAsia="Calibri" w:hAnsi="Times New Roman" w:cs="Times New Roman"/>
                <w:sz w:val="20"/>
                <w:szCs w:val="20"/>
              </w:rPr>
              <w:t xml:space="preserve">). Individuals are often found in lakes, shallow depressions in pools and have rarely been captured where silt is absent from the substrate (Holdich et al. 2009; Adams et al. 2010). Generally, it is very tolerant to a wide range of environmental conditions and is able to cope with polluted canals and organically enriched lakes and ponds (Holdich et al 2009). </w:t>
            </w:r>
          </w:p>
        </w:tc>
      </w:tr>
      <w:tr w:rsidR="002D7080" w:rsidRPr="004D1E6F" w14:paraId="40BC3818" w14:textId="77777777" w:rsidTr="002E2C37">
        <w:tc>
          <w:tcPr>
            <w:tcW w:w="9016" w:type="dxa"/>
            <w:gridSpan w:val="2"/>
          </w:tcPr>
          <w:p w14:paraId="4EF940EC"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4B3C8715" w14:textId="636CB2A0" w:rsidR="002D7080" w:rsidRPr="00795475" w:rsidRDefault="002D7080" w:rsidP="002E2C37">
            <w:pPr>
              <w:ind w:left="540" w:hanging="540"/>
              <w:contextualSpacing/>
              <w:jc w:val="both"/>
              <w:rPr>
                <w:rFonts w:ascii="Times New Roman" w:eastAsia="Times New Roman" w:hAnsi="Times New Roman" w:cs="Times New Roman"/>
                <w:i/>
                <w:iCs/>
                <w:sz w:val="20"/>
                <w:szCs w:val="20"/>
                <w:lang w:eastAsia="en-ZA"/>
              </w:rPr>
            </w:pPr>
            <w:r w:rsidRPr="00795475">
              <w:rPr>
                <w:rFonts w:ascii="Times New Roman" w:eastAsia="Times New Roman" w:hAnsi="Times New Roman" w:cs="Times New Roman"/>
                <w:sz w:val="20"/>
                <w:szCs w:val="20"/>
                <w:lang w:eastAsia="en-ZA"/>
              </w:rPr>
              <w:t>Adams</w:t>
            </w:r>
            <w:r>
              <w:rPr>
                <w:rFonts w:ascii="Times New Roman" w:eastAsia="Times New Roman" w:hAnsi="Times New Roman" w:cs="Times New Roman"/>
                <w:sz w:val="20"/>
                <w:szCs w:val="20"/>
                <w:lang w:eastAsia="en-ZA"/>
              </w:rPr>
              <w:t>,</w:t>
            </w:r>
            <w:r w:rsidRPr="00795475">
              <w:rPr>
                <w:rFonts w:ascii="Times New Roman" w:eastAsia="Times New Roman" w:hAnsi="Times New Roman" w:cs="Times New Roman"/>
                <w:sz w:val="20"/>
                <w:szCs w:val="20"/>
                <w:lang w:eastAsia="en-ZA"/>
              </w:rPr>
              <w:t xml:space="preserve"> S</w:t>
            </w:r>
            <w:r>
              <w:rPr>
                <w:rFonts w:ascii="Times New Roman" w:eastAsia="Times New Roman" w:hAnsi="Times New Roman" w:cs="Times New Roman"/>
                <w:sz w:val="20"/>
                <w:szCs w:val="20"/>
                <w:lang w:eastAsia="en-ZA"/>
              </w:rPr>
              <w:t>.</w:t>
            </w:r>
            <w:r w:rsidRPr="00795475">
              <w:rPr>
                <w:rFonts w:ascii="Times New Roman" w:eastAsia="Times New Roman" w:hAnsi="Times New Roman" w:cs="Times New Roman"/>
                <w:sz w:val="20"/>
                <w:szCs w:val="20"/>
                <w:lang w:eastAsia="en-ZA"/>
              </w:rPr>
              <w:t>, Schuster</w:t>
            </w:r>
            <w:r>
              <w:rPr>
                <w:rFonts w:ascii="Times New Roman" w:eastAsia="Times New Roman" w:hAnsi="Times New Roman" w:cs="Times New Roman"/>
                <w:sz w:val="20"/>
                <w:szCs w:val="20"/>
                <w:lang w:eastAsia="en-ZA"/>
              </w:rPr>
              <w:t>,</w:t>
            </w:r>
            <w:r w:rsidRPr="00795475">
              <w:rPr>
                <w:rFonts w:ascii="Times New Roman" w:eastAsia="Times New Roman" w:hAnsi="Times New Roman" w:cs="Times New Roman"/>
                <w:sz w:val="20"/>
                <w:szCs w:val="20"/>
                <w:lang w:eastAsia="en-ZA"/>
              </w:rPr>
              <w:t xml:space="preserve"> G</w:t>
            </w:r>
            <w:r>
              <w:rPr>
                <w:rFonts w:ascii="Times New Roman" w:eastAsia="Times New Roman" w:hAnsi="Times New Roman" w:cs="Times New Roman"/>
                <w:sz w:val="20"/>
                <w:szCs w:val="20"/>
                <w:lang w:eastAsia="en-ZA"/>
              </w:rPr>
              <w:t>.</w:t>
            </w:r>
            <w:r w:rsidRPr="00795475">
              <w:rPr>
                <w:rFonts w:ascii="Times New Roman" w:eastAsia="Times New Roman" w:hAnsi="Times New Roman" w:cs="Times New Roman"/>
                <w:sz w:val="20"/>
                <w:szCs w:val="20"/>
                <w:lang w:eastAsia="en-ZA"/>
              </w:rPr>
              <w:t>A</w:t>
            </w:r>
            <w:r>
              <w:rPr>
                <w:rFonts w:ascii="Times New Roman" w:eastAsia="Times New Roman" w:hAnsi="Times New Roman" w:cs="Times New Roman"/>
                <w:sz w:val="20"/>
                <w:szCs w:val="20"/>
                <w:lang w:eastAsia="en-ZA"/>
              </w:rPr>
              <w:t>. &amp;</w:t>
            </w:r>
            <w:r w:rsidRPr="00795475">
              <w:rPr>
                <w:rFonts w:ascii="Times New Roman" w:eastAsia="Times New Roman" w:hAnsi="Times New Roman" w:cs="Times New Roman"/>
                <w:sz w:val="20"/>
                <w:szCs w:val="20"/>
                <w:lang w:eastAsia="en-ZA"/>
              </w:rPr>
              <w:t xml:space="preserve"> Taylo</w:t>
            </w:r>
            <w:r>
              <w:rPr>
                <w:rFonts w:ascii="Times New Roman" w:eastAsia="Times New Roman" w:hAnsi="Times New Roman" w:cs="Times New Roman"/>
                <w:sz w:val="20"/>
                <w:szCs w:val="20"/>
                <w:lang w:eastAsia="en-ZA"/>
              </w:rPr>
              <w:t>r</w:t>
            </w:r>
            <w:r w:rsidRPr="00795475">
              <w:rPr>
                <w:rFonts w:ascii="Times New Roman" w:eastAsia="Times New Roman" w:hAnsi="Times New Roman" w:cs="Times New Roman"/>
                <w:sz w:val="20"/>
                <w:szCs w:val="20"/>
                <w:lang w:eastAsia="en-ZA"/>
              </w:rPr>
              <w:t>, C</w:t>
            </w:r>
            <w:r>
              <w:rPr>
                <w:rFonts w:ascii="Times New Roman" w:eastAsia="Times New Roman" w:hAnsi="Times New Roman" w:cs="Times New Roman"/>
                <w:sz w:val="20"/>
                <w:szCs w:val="20"/>
                <w:lang w:eastAsia="en-ZA"/>
              </w:rPr>
              <w:t>.</w:t>
            </w:r>
            <w:r w:rsidRPr="00795475">
              <w:rPr>
                <w:rFonts w:ascii="Times New Roman" w:eastAsia="Times New Roman" w:hAnsi="Times New Roman" w:cs="Times New Roman"/>
                <w:sz w:val="20"/>
                <w:szCs w:val="20"/>
                <w:lang w:eastAsia="en-ZA"/>
              </w:rPr>
              <w:t>A. 2010</w:t>
            </w:r>
            <w:r>
              <w:rPr>
                <w:rFonts w:ascii="Times New Roman" w:eastAsia="Times New Roman" w:hAnsi="Times New Roman" w:cs="Times New Roman"/>
                <w:sz w:val="20"/>
                <w:szCs w:val="20"/>
                <w:lang w:eastAsia="en-ZA"/>
              </w:rPr>
              <w:t>,</w:t>
            </w:r>
            <w:r w:rsidRPr="00795475">
              <w:rPr>
                <w:rFonts w:ascii="Times New Roman" w:eastAsia="Times New Roman" w:hAnsi="Times New Roman" w:cs="Times New Roman"/>
                <w:sz w:val="20"/>
                <w:szCs w:val="20"/>
                <w:lang w:eastAsia="en-ZA"/>
              </w:rPr>
              <w:t xml:space="preserve"> </w:t>
            </w:r>
            <w:r w:rsidRPr="00795475">
              <w:rPr>
                <w:rFonts w:ascii="Times New Roman" w:eastAsia="Times New Roman" w:hAnsi="Times New Roman" w:cs="Times New Roman"/>
                <w:i/>
                <w:iCs/>
                <w:sz w:val="20"/>
                <w:szCs w:val="20"/>
                <w:lang w:eastAsia="en-ZA"/>
              </w:rPr>
              <w:t>Orconectes limosus. The IUCN Red List of Threatened Species 2010</w:t>
            </w:r>
            <w:r w:rsidRPr="00795475">
              <w:rPr>
                <w:rFonts w:ascii="Times New Roman" w:eastAsia="Times New Roman" w:hAnsi="Times New Roman" w:cs="Times New Roman"/>
                <w:sz w:val="20"/>
                <w:szCs w:val="20"/>
                <w:lang w:eastAsia="en-ZA"/>
              </w:rPr>
              <w:t xml:space="preserve">: </w:t>
            </w:r>
            <w:hyperlink r:id="rId280" w:history="1">
              <w:r w:rsidR="00DC5E42" w:rsidRPr="00A22D6D">
                <w:rPr>
                  <w:rStyle w:val="Hyperlink"/>
                  <w:rFonts w:ascii="Times New Roman" w:eastAsia="Times New Roman" w:hAnsi="Times New Roman" w:cs="Times New Roman"/>
                  <w:sz w:val="20"/>
                  <w:szCs w:val="20"/>
                  <w:lang w:eastAsia="en-ZA"/>
                </w:rPr>
                <w:t>https://www.iucnredlist.org/species/153764/4541724</w:t>
              </w:r>
            </w:hyperlink>
            <w:r w:rsidR="00DC5E42">
              <w:rPr>
                <w:rFonts w:ascii="Times New Roman" w:eastAsia="Times New Roman" w:hAnsi="Times New Roman" w:cs="Times New Roman"/>
                <w:sz w:val="20"/>
                <w:szCs w:val="20"/>
                <w:lang w:eastAsia="en-ZA"/>
              </w:rPr>
              <w:t xml:space="preserve">. </w:t>
            </w:r>
          </w:p>
          <w:p w14:paraId="6C17194D" w14:textId="77777777" w:rsidR="002D7080" w:rsidRPr="004D1E6F" w:rsidRDefault="002D7080" w:rsidP="002E2C37">
            <w:pPr>
              <w:ind w:left="720" w:hanging="720"/>
              <w:contextualSpacing/>
              <w:jc w:val="both"/>
              <w:rPr>
                <w:rFonts w:ascii="Times New Roman" w:eastAsia="Calibri" w:hAnsi="Times New Roman" w:cs="Times New Roman"/>
                <w:bCs/>
                <w:sz w:val="20"/>
                <w:szCs w:val="20"/>
              </w:rPr>
            </w:pPr>
            <w:r w:rsidRPr="00795475">
              <w:rPr>
                <w:rFonts w:ascii="Times New Roman" w:hAnsi="Times New Roman" w:cs="Times New Roman"/>
                <w:sz w:val="20"/>
                <w:szCs w:val="20"/>
                <w:shd w:val="clear" w:color="auto" w:fill="FFFFFF"/>
              </w:rPr>
              <w:t xml:space="preserve">Hamr, P., 2002. </w:t>
            </w:r>
            <w:r w:rsidRPr="00C0256B">
              <w:rPr>
                <w:rFonts w:ascii="Times New Roman" w:hAnsi="Times New Roman" w:cs="Times New Roman"/>
                <w:i/>
                <w:iCs/>
                <w:sz w:val="20"/>
                <w:szCs w:val="20"/>
                <w:shd w:val="clear" w:color="auto" w:fill="FFFFFF"/>
              </w:rPr>
              <w:t>Orconectes</w:t>
            </w:r>
            <w:r w:rsidRPr="00795475">
              <w:rPr>
                <w:rFonts w:ascii="Times New Roman" w:hAnsi="Times New Roman" w:cs="Times New Roman"/>
                <w:sz w:val="20"/>
                <w:szCs w:val="20"/>
                <w:shd w:val="clear" w:color="auto" w:fill="FFFFFF"/>
              </w:rPr>
              <w:t>. In: </w:t>
            </w:r>
            <w:r w:rsidRPr="00795475">
              <w:rPr>
                <w:rStyle w:val="Emphasis"/>
                <w:rFonts w:ascii="Times New Roman" w:hAnsi="Times New Roman" w:cs="Times New Roman"/>
                <w:sz w:val="20"/>
                <w:szCs w:val="20"/>
                <w:shd w:val="clear" w:color="auto" w:fill="FFFFFF"/>
              </w:rPr>
              <w:t>Biology of freshwater crayfish</w:t>
            </w:r>
            <w:r w:rsidRPr="00795475">
              <w:rPr>
                <w:rFonts w:ascii="Times New Roman" w:hAnsi="Times New Roman" w:cs="Times New Roman"/>
                <w:sz w:val="20"/>
                <w:szCs w:val="20"/>
                <w:shd w:val="clear" w:color="auto" w:fill="FFFFFF"/>
              </w:rPr>
              <w:t>, [ed. by Holdich, D. M.]. Oxford, UK: Blackwell Science. 585-608.</w:t>
            </w:r>
          </w:p>
          <w:p w14:paraId="4D3295A9" w14:textId="77777777" w:rsidR="002D7080" w:rsidRPr="00795475" w:rsidRDefault="002D7080" w:rsidP="002E2C37">
            <w:pPr>
              <w:ind w:left="720" w:hanging="720"/>
              <w:contextualSpacing/>
              <w:jc w:val="both"/>
              <w:rPr>
                <w:rFonts w:ascii="Times New Roman" w:hAnsi="Times New Roman" w:cs="Times New Roman"/>
                <w:sz w:val="20"/>
                <w:szCs w:val="20"/>
              </w:rPr>
            </w:pPr>
            <w:r w:rsidRPr="00795475">
              <w:rPr>
                <w:rFonts w:ascii="Times New Roman" w:eastAsia="Calibri" w:hAnsi="Times New Roman" w:cs="Times New Roman"/>
                <w:bCs/>
                <w:sz w:val="20"/>
                <w:szCs w:val="20"/>
              </w:rPr>
              <w:t>Holdich, D.M., Reynolds, J.D., &amp; Sibley, P.J., 2009, ‘A review of the ever-increasing threat to European crayfish from non-indigenous crayfish species’,</w:t>
            </w:r>
            <w:r w:rsidRPr="00795475">
              <w:rPr>
                <w:rFonts w:ascii="Times New Roman" w:eastAsia="Calibri" w:hAnsi="Times New Roman" w:cs="Times New Roman"/>
                <w:sz w:val="20"/>
                <w:szCs w:val="20"/>
              </w:rPr>
              <w:t xml:space="preserve"> </w:t>
            </w:r>
            <w:r w:rsidRPr="00795475">
              <w:rPr>
                <w:rFonts w:ascii="Times New Roman" w:eastAsia="Calibri" w:hAnsi="Times New Roman" w:cs="Times New Roman"/>
                <w:bCs/>
                <w:i/>
                <w:sz w:val="20"/>
                <w:szCs w:val="20"/>
              </w:rPr>
              <w:t>Knowledge and Management of Aquatic Ecosystems</w:t>
            </w:r>
            <w:r w:rsidRPr="00795475">
              <w:rPr>
                <w:rFonts w:ascii="Times New Roman" w:eastAsia="Calibri" w:hAnsi="Times New Roman" w:cs="Times New Roman"/>
                <w:bCs/>
                <w:sz w:val="20"/>
                <w:szCs w:val="20"/>
              </w:rPr>
              <w:t xml:space="preserve"> 11, 394–395</w:t>
            </w:r>
            <w:r w:rsidRPr="00795475">
              <w:rPr>
                <w:rFonts w:ascii="Times New Roman" w:hAnsi="Times New Roman" w:cs="Times New Roman"/>
                <w:sz w:val="20"/>
                <w:szCs w:val="20"/>
              </w:rPr>
              <w:t>.</w:t>
            </w:r>
            <w:r w:rsidRPr="002E40C3">
              <w:rPr>
                <w:rFonts w:ascii="Times New Roman" w:hAnsi="Times New Roman" w:cs="Times New Roman"/>
                <w:sz w:val="20"/>
                <w:szCs w:val="20"/>
              </w:rPr>
              <w:t xml:space="preserve"> </w:t>
            </w:r>
            <w:hyperlink r:id="rId281" w:history="1">
              <w:r w:rsidRPr="002E40C3">
                <w:rPr>
                  <w:rStyle w:val="Hyperlink"/>
                  <w:rFonts w:ascii="Times New Roman" w:hAnsi="Times New Roman" w:cs="Times New Roman"/>
                  <w:sz w:val="20"/>
                  <w:szCs w:val="20"/>
                </w:rPr>
                <w:t>https://doi.org/10.1051/kmae/2009025</w:t>
              </w:r>
            </w:hyperlink>
            <w:r w:rsidRPr="002E40C3">
              <w:rPr>
                <w:rFonts w:ascii="Times New Roman" w:hAnsi="Times New Roman" w:cs="Times New Roman"/>
                <w:sz w:val="20"/>
                <w:szCs w:val="20"/>
              </w:rPr>
              <w:t xml:space="preserve">. </w:t>
            </w:r>
          </w:p>
          <w:p w14:paraId="28A44372" w14:textId="77777777" w:rsidR="002D7080" w:rsidRPr="004D1E6F" w:rsidRDefault="002D7080" w:rsidP="002E2C37">
            <w:pPr>
              <w:ind w:left="720" w:hanging="720"/>
              <w:contextualSpacing/>
              <w:jc w:val="both"/>
              <w:rPr>
                <w:rFonts w:ascii="Times New Roman" w:eastAsia="Calibri" w:hAnsi="Times New Roman" w:cs="Times New Roman"/>
                <w:bCs/>
                <w:sz w:val="20"/>
                <w:szCs w:val="20"/>
              </w:rPr>
            </w:pPr>
            <w:r w:rsidRPr="00795475">
              <w:rPr>
                <w:rFonts w:ascii="Times New Roman" w:hAnsi="Times New Roman" w:cs="Times New Roman"/>
                <w:sz w:val="20"/>
                <w:szCs w:val="20"/>
                <w:shd w:val="clear" w:color="auto" w:fill="FFFFFF"/>
              </w:rPr>
              <w:lastRenderedPageBreak/>
              <w:t>Kouba</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xml:space="preserve"> A</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Tíkal</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xml:space="preserve"> J</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Císar</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xml:space="preserve"> P</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Veselý</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xml:space="preserve"> L</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Fort</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xml:space="preserve"> M</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Príborský</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xml:space="preserve"> J</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Patoka</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xml:space="preserve"> J</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Buřič</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xml:space="preserve"> M</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2016</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w:t>
            </w:r>
            <w:r w:rsidRPr="00795475">
              <w:rPr>
                <w:rFonts w:ascii="Times New Roman" w:hAnsi="Times New Roman" w:cs="Times New Roman"/>
                <w:sz w:val="20"/>
                <w:szCs w:val="20"/>
                <w:shd w:val="clear" w:color="auto" w:fill="FFFFFF"/>
              </w:rPr>
              <w:t>The significance of droughts for hyporheic dwellers: evidence from freshwater crayfish</w:t>
            </w:r>
            <w:r>
              <w:rPr>
                <w:rFonts w:ascii="Times New Roman" w:hAnsi="Times New Roman" w:cs="Times New Roman"/>
                <w:sz w:val="20"/>
                <w:szCs w:val="20"/>
                <w:shd w:val="clear" w:color="auto" w:fill="FFFFFF"/>
              </w:rPr>
              <w:t xml:space="preserve">’, </w:t>
            </w:r>
            <w:r w:rsidRPr="00795475">
              <w:rPr>
                <w:rStyle w:val="Emphasis"/>
                <w:rFonts w:ascii="Times New Roman" w:hAnsi="Times New Roman" w:cs="Times New Roman"/>
                <w:sz w:val="20"/>
                <w:szCs w:val="20"/>
                <w:shd w:val="clear" w:color="auto" w:fill="FFFFFF"/>
              </w:rPr>
              <w:t>Scientific Reports</w:t>
            </w:r>
            <w:r w:rsidRPr="00795475">
              <w:rPr>
                <w:rFonts w:ascii="Times New Roman" w:hAnsi="Times New Roman" w:cs="Times New Roman"/>
                <w:sz w:val="20"/>
                <w:szCs w:val="20"/>
                <w:shd w:val="clear" w:color="auto" w:fill="FFFFFF"/>
              </w:rPr>
              <w:t>, 6265-269.</w:t>
            </w:r>
            <w:r>
              <w:rPr>
                <w:rFonts w:ascii="Times New Roman" w:hAnsi="Times New Roman" w:cs="Times New Roman"/>
                <w:sz w:val="20"/>
                <w:szCs w:val="20"/>
                <w:shd w:val="clear" w:color="auto" w:fill="FFFFFF"/>
              </w:rPr>
              <w:t xml:space="preserve"> </w:t>
            </w:r>
            <w:hyperlink r:id="rId282" w:history="1">
              <w:r w:rsidRPr="002E40C3">
                <w:rPr>
                  <w:rStyle w:val="Hyperlink"/>
                  <w:rFonts w:ascii="Times New Roman" w:hAnsi="Times New Roman" w:cs="Times New Roman"/>
                  <w:sz w:val="20"/>
                  <w:szCs w:val="20"/>
                  <w:shd w:val="clear" w:color="auto" w:fill="FFFFFF"/>
                </w:rPr>
                <w:t>https://doi.org/10.1038/srep26569</w:t>
              </w:r>
            </w:hyperlink>
            <w:r>
              <w:rPr>
                <w:rFonts w:ascii="Times New Roman" w:hAnsi="Times New Roman" w:cs="Times New Roman"/>
                <w:sz w:val="20"/>
                <w:szCs w:val="20"/>
                <w:shd w:val="clear" w:color="auto" w:fill="FFFFFF"/>
              </w:rPr>
              <w:t xml:space="preserve">. </w:t>
            </w:r>
          </w:p>
        </w:tc>
      </w:tr>
    </w:tbl>
    <w:p w14:paraId="0FC0B5BB"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0"/>
        <w:tblW w:w="0" w:type="auto"/>
        <w:tblLook w:val="04A0" w:firstRow="1" w:lastRow="0" w:firstColumn="1" w:lastColumn="0" w:noHBand="0" w:noVBand="1"/>
      </w:tblPr>
      <w:tblGrid>
        <w:gridCol w:w="5524"/>
        <w:gridCol w:w="3492"/>
      </w:tblGrid>
      <w:tr w:rsidR="002D7080" w:rsidRPr="004D1E6F" w14:paraId="34F92C8C" w14:textId="77777777" w:rsidTr="002E2C37">
        <w:tc>
          <w:tcPr>
            <w:tcW w:w="9016" w:type="dxa"/>
            <w:gridSpan w:val="2"/>
            <w:shd w:val="clear" w:color="auto" w:fill="F2F2F2" w:themeFill="background1" w:themeFillShade="F2"/>
          </w:tcPr>
          <w:p w14:paraId="6F088592"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LIK4 Climate suitability</w:t>
            </w:r>
          </w:p>
        </w:tc>
      </w:tr>
      <w:tr w:rsidR="002D7080" w:rsidRPr="004D1E6F" w14:paraId="5304414A" w14:textId="77777777" w:rsidTr="002E2C37">
        <w:tc>
          <w:tcPr>
            <w:tcW w:w="5524" w:type="dxa"/>
          </w:tcPr>
          <w:p w14:paraId="562ED019"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w:t>
            </w:r>
            <w:r>
              <w:rPr>
                <w:rFonts w:ascii="Times New Roman" w:eastAsia="Times New Roman" w:hAnsi="Times New Roman" w:cs="Times New Roman"/>
                <w:color w:val="000000"/>
                <w:sz w:val="20"/>
                <w:szCs w:val="20"/>
                <w:lang w:eastAsia="en-ZA"/>
              </w:rPr>
              <w:t xml:space="preserve"> (p = 0.5)</w:t>
            </w:r>
          </w:p>
        </w:tc>
        <w:tc>
          <w:tcPr>
            <w:tcW w:w="3492" w:type="dxa"/>
          </w:tcPr>
          <w:p w14:paraId="5CF235BB"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555DFAE2" w14:textId="77777777" w:rsidTr="002E2C37">
        <w:tc>
          <w:tcPr>
            <w:tcW w:w="9016" w:type="dxa"/>
            <w:gridSpan w:val="2"/>
          </w:tcPr>
          <w:p w14:paraId="6549A579"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color w:val="000000"/>
                <w:sz w:val="20"/>
                <w:szCs w:val="20"/>
                <w:lang w:eastAsia="en-ZA"/>
              </w:rPr>
              <w:t>F</w:t>
            </w:r>
            <w:r>
              <w:rPr>
                <w:rFonts w:ascii="Times New Roman" w:eastAsia="Times New Roman" w:hAnsi="Times New Roman" w:cs="Times New Roman"/>
                <w:i/>
                <w:color w:val="000000"/>
                <w:sz w:val="20"/>
                <w:szCs w:val="20"/>
                <w:lang w:eastAsia="en-ZA"/>
              </w:rPr>
              <w:t xml:space="preserve">axonius </w:t>
            </w:r>
            <w:r w:rsidRPr="004D1E6F">
              <w:rPr>
                <w:rFonts w:ascii="Times New Roman" w:eastAsia="Times New Roman" w:hAnsi="Times New Roman" w:cs="Times New Roman"/>
                <w:i/>
                <w:color w:val="000000"/>
                <w:sz w:val="20"/>
                <w:szCs w:val="20"/>
                <w:lang w:eastAsia="en-ZA"/>
              </w:rPr>
              <w:t>limosus</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is known to prefer a temperate mesothermal climate were the average temperature of coldest month &gt; 0</w:t>
            </w:r>
            <w:r w:rsidRPr="004D1E6F">
              <w:rPr>
                <w:rFonts w:ascii="Times New Roman" w:eastAsia="Times New Roman" w:hAnsi="Times New Roman" w:cs="Times New Roman"/>
                <w:color w:val="000000"/>
                <w:sz w:val="20"/>
                <w:szCs w:val="20"/>
                <w:lang w:eastAsia="en-ZA"/>
              </w:rPr>
              <w:t xml:space="preserve">°C </w:t>
            </w:r>
            <w:r>
              <w:rPr>
                <w:rFonts w:ascii="Times New Roman" w:eastAsia="Times New Roman" w:hAnsi="Times New Roman" w:cs="Times New Roman"/>
                <w:color w:val="000000"/>
                <w:sz w:val="20"/>
                <w:szCs w:val="20"/>
                <w:lang w:eastAsia="en-ZA"/>
              </w:rPr>
              <w:t>and &lt; 18</w:t>
            </w:r>
            <w:r w:rsidRPr="004D1E6F">
              <w:rPr>
                <w:rFonts w:ascii="Times New Roman" w:eastAsia="Times New Roman" w:hAnsi="Times New Roman" w:cs="Times New Roman"/>
                <w:color w:val="000000"/>
                <w:sz w:val="20"/>
                <w:szCs w:val="20"/>
                <w:lang w:eastAsia="en-ZA"/>
              </w:rPr>
              <w:t xml:space="preserve">°C </w:t>
            </w:r>
            <w:r>
              <w:rPr>
                <w:rFonts w:ascii="Times New Roman" w:eastAsia="Times New Roman" w:hAnsi="Times New Roman" w:cs="Times New Roman"/>
                <w:color w:val="000000"/>
                <w:sz w:val="20"/>
                <w:szCs w:val="20"/>
                <w:lang w:eastAsia="en-ZA"/>
              </w:rPr>
              <w:t>and the mean warmest mouth is &gt; 10</w:t>
            </w:r>
            <w:r w:rsidRPr="004D1E6F">
              <w:rPr>
                <w:rFonts w:ascii="Times New Roman" w:eastAsia="Times New Roman" w:hAnsi="Times New Roman" w:cs="Times New Roman"/>
                <w:color w:val="000000"/>
                <w:sz w:val="20"/>
                <w:szCs w:val="20"/>
                <w:lang w:eastAsia="en-ZA"/>
              </w:rPr>
              <w:t>°C</w:t>
            </w:r>
            <w:r>
              <w:rPr>
                <w:rFonts w:ascii="Times New Roman" w:eastAsia="Times New Roman" w:hAnsi="Times New Roman" w:cs="Times New Roman"/>
                <w:color w:val="000000"/>
                <w:sz w:val="20"/>
                <w:szCs w:val="20"/>
                <w:lang w:eastAsia="en-ZA"/>
              </w:rPr>
              <w:t>. it also prefers a continental microthermal climate where the average temperatures in the coldest month are &lt;0</w:t>
            </w:r>
            <w:r w:rsidRPr="004D1E6F">
              <w:rPr>
                <w:rFonts w:ascii="Times New Roman" w:eastAsia="Times New Roman" w:hAnsi="Times New Roman" w:cs="Times New Roman"/>
                <w:color w:val="000000"/>
                <w:sz w:val="20"/>
                <w:szCs w:val="20"/>
                <w:lang w:eastAsia="en-ZA"/>
              </w:rPr>
              <w:t>°C</w:t>
            </w:r>
            <w:r>
              <w:rPr>
                <w:rFonts w:ascii="Times New Roman" w:eastAsia="Times New Roman" w:hAnsi="Times New Roman" w:cs="Times New Roman"/>
                <w:color w:val="000000"/>
                <w:sz w:val="20"/>
                <w:szCs w:val="20"/>
                <w:lang w:eastAsia="en-ZA"/>
              </w:rPr>
              <w:t xml:space="preserve"> and in the mean warmest month are &gt;10</w:t>
            </w:r>
            <w:r w:rsidRPr="004D1E6F">
              <w:rPr>
                <w:rFonts w:ascii="Times New Roman" w:eastAsia="Times New Roman" w:hAnsi="Times New Roman" w:cs="Times New Roman"/>
                <w:color w:val="000000"/>
                <w:sz w:val="20"/>
                <w:szCs w:val="20"/>
                <w:lang w:eastAsia="en-ZA"/>
              </w:rPr>
              <w:t>°C</w:t>
            </w:r>
            <w:r>
              <w:rPr>
                <w:rFonts w:ascii="Times New Roman" w:eastAsia="Times New Roman" w:hAnsi="Times New Roman" w:cs="Times New Roman"/>
                <w:color w:val="000000"/>
                <w:sz w:val="20"/>
                <w:szCs w:val="20"/>
                <w:lang w:eastAsia="en-ZA"/>
              </w:rPr>
              <w:t xml:space="preserve"> (CABI 2024). These climatic conditions are available in South Africa. </w:t>
            </w:r>
          </w:p>
        </w:tc>
      </w:tr>
      <w:tr w:rsidR="002D7080" w:rsidRPr="004D1E6F" w14:paraId="0A3121B5" w14:textId="77777777" w:rsidTr="002E2C37">
        <w:tc>
          <w:tcPr>
            <w:tcW w:w="9016" w:type="dxa"/>
            <w:gridSpan w:val="2"/>
          </w:tcPr>
          <w:p w14:paraId="116E8779"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584FD87D" w14:textId="77777777" w:rsidR="002D7080" w:rsidRPr="004D1E6F" w:rsidRDefault="002D7080" w:rsidP="002E2C37">
            <w:pPr>
              <w:ind w:left="540" w:hanging="540"/>
              <w:jc w:val="both"/>
              <w:rPr>
                <w:rFonts w:ascii="Times New Roman" w:eastAsia="Times New Roman" w:hAnsi="Times New Roman" w:cs="Times New Roman"/>
                <w:color w:val="000000"/>
                <w:sz w:val="20"/>
                <w:szCs w:val="20"/>
                <w:lang w:eastAsia="en-ZA"/>
              </w:rPr>
            </w:pPr>
            <w:r w:rsidRPr="009412EF">
              <w:rPr>
                <w:rFonts w:ascii="Times New Roman" w:hAnsi="Times New Roman" w:cs="Times New Roman"/>
                <w:sz w:val="20"/>
                <w:szCs w:val="20"/>
              </w:rPr>
              <w:t xml:space="preserve">CABI, 2024. </w:t>
            </w:r>
            <w:r w:rsidRPr="009412EF">
              <w:rPr>
                <w:rFonts w:ascii="Times New Roman" w:hAnsi="Times New Roman" w:cs="Times New Roman"/>
                <w:i/>
                <w:iCs/>
                <w:sz w:val="20"/>
                <w:szCs w:val="20"/>
              </w:rPr>
              <w:t>Faxonius limosus</w:t>
            </w:r>
            <w:r w:rsidRPr="009412EF">
              <w:rPr>
                <w:rFonts w:ascii="Times New Roman" w:hAnsi="Times New Roman" w:cs="Times New Roman"/>
                <w:sz w:val="20"/>
                <w:szCs w:val="20"/>
              </w:rPr>
              <w:t xml:space="preserve"> (Spiny-cheek crayfish). Invasive Species Compendium, </w:t>
            </w:r>
            <w:r w:rsidRPr="009412EF">
              <w:rPr>
                <w:rFonts w:ascii="Times New Roman" w:hAnsi="Times New Roman" w:cs="Times New Roman"/>
                <w:color w:val="000000"/>
                <w:sz w:val="20"/>
                <w:szCs w:val="20"/>
                <w:shd w:val="clear" w:color="auto" w:fill="FFFFFF"/>
              </w:rPr>
              <w:t>CABI Publishing, Wallingford, UK.</w:t>
            </w:r>
            <w:r w:rsidRPr="009412EF">
              <w:rPr>
                <w:rFonts w:ascii="Times New Roman" w:hAnsi="Times New Roman" w:cs="Times New Roman"/>
                <w:sz w:val="20"/>
                <w:szCs w:val="20"/>
              </w:rPr>
              <w:t xml:space="preserve"> https://www. cabi.org/isc/datasheet/72033 (accessed 10 July 2024)</w:t>
            </w:r>
          </w:p>
        </w:tc>
      </w:tr>
    </w:tbl>
    <w:p w14:paraId="19E6DE9E" w14:textId="77777777" w:rsidR="002D7080" w:rsidRPr="004D1E6F" w:rsidRDefault="002D7080" w:rsidP="002D7080">
      <w:pPr>
        <w:spacing w:after="0" w:line="240" w:lineRule="auto"/>
        <w:jc w:val="both"/>
        <w:rPr>
          <w:rFonts w:ascii="Times New Roman" w:eastAsia="Times New Roman" w:hAnsi="Times New Roman" w:cs="Times New Roman"/>
          <w:color w:val="000000"/>
          <w:sz w:val="20"/>
          <w:szCs w:val="20"/>
          <w:lang w:eastAsia="en-ZA"/>
        </w:rPr>
      </w:pPr>
    </w:p>
    <w:tbl>
      <w:tblPr>
        <w:tblStyle w:val="TableGrid10"/>
        <w:tblW w:w="0" w:type="auto"/>
        <w:tblLook w:val="04A0" w:firstRow="1" w:lastRow="0" w:firstColumn="1" w:lastColumn="0" w:noHBand="0" w:noVBand="1"/>
      </w:tblPr>
      <w:tblGrid>
        <w:gridCol w:w="5524"/>
        <w:gridCol w:w="3492"/>
      </w:tblGrid>
      <w:tr w:rsidR="002D7080" w:rsidRPr="004D1E6F" w14:paraId="4B9E0534" w14:textId="77777777" w:rsidTr="002E2C37">
        <w:tc>
          <w:tcPr>
            <w:tcW w:w="9016" w:type="dxa"/>
            <w:gridSpan w:val="2"/>
            <w:shd w:val="clear" w:color="auto" w:fill="F2F2F2" w:themeFill="background1" w:themeFillShade="F2"/>
          </w:tcPr>
          <w:p w14:paraId="48F72046" w14:textId="77777777" w:rsidR="002D7080" w:rsidRPr="004D1E6F" w:rsidRDefault="002D7080" w:rsidP="002E2C37">
            <w:pPr>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LIK5 Unaided secondary (dispersal) pathways</w:t>
            </w:r>
          </w:p>
        </w:tc>
      </w:tr>
      <w:tr w:rsidR="002D7080" w:rsidRPr="004D1E6F" w14:paraId="28C23DAA" w14:textId="77777777" w:rsidTr="002E2C37">
        <w:tc>
          <w:tcPr>
            <w:tcW w:w="5524" w:type="dxa"/>
          </w:tcPr>
          <w:p w14:paraId="083A8BB0"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Very unlikely</w:t>
            </w:r>
            <w:r>
              <w:rPr>
                <w:rFonts w:ascii="Times New Roman" w:eastAsia="Times New Roman" w:hAnsi="Times New Roman" w:cs="Times New Roman"/>
                <w:color w:val="000000"/>
                <w:sz w:val="20"/>
                <w:szCs w:val="20"/>
                <w:lang w:eastAsia="en-ZA"/>
              </w:rPr>
              <w:t xml:space="preserve"> (p = 0.0027)</w:t>
            </w:r>
          </w:p>
        </w:tc>
        <w:tc>
          <w:tcPr>
            <w:tcW w:w="3492" w:type="dxa"/>
          </w:tcPr>
          <w:p w14:paraId="490D92B6"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1063287C" w14:textId="77777777" w:rsidTr="002E2C37">
        <w:tc>
          <w:tcPr>
            <w:tcW w:w="9016" w:type="dxa"/>
            <w:gridSpan w:val="2"/>
          </w:tcPr>
          <w:p w14:paraId="3EC46BAA"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EB792B">
              <w:rPr>
                <w:rFonts w:ascii="Times New Roman" w:eastAsia="Times New Roman" w:hAnsi="Times New Roman" w:cs="Times New Roman"/>
                <w:i/>
                <w:iCs/>
                <w:sz w:val="20"/>
                <w:szCs w:val="20"/>
                <w:lang w:eastAsia="en-ZA"/>
              </w:rPr>
              <w:t>Faxinous</w:t>
            </w:r>
            <w:r>
              <w:rPr>
                <w:rFonts w:ascii="Times New Roman" w:eastAsia="Times New Roman" w:hAnsi="Times New Roman" w:cs="Times New Roman"/>
                <w:i/>
                <w:iCs/>
                <w:sz w:val="20"/>
                <w:szCs w:val="20"/>
                <w:lang w:eastAsia="en-ZA"/>
              </w:rPr>
              <w:t xml:space="preserve"> limosus</w:t>
            </w:r>
            <w:r w:rsidRPr="00EB792B">
              <w:rPr>
                <w:rFonts w:ascii="Times New Roman" w:eastAsia="Times New Roman" w:hAnsi="Times New Roman" w:cs="Times New Roman"/>
                <w:i/>
                <w:iCs/>
                <w:sz w:val="20"/>
                <w:szCs w:val="20"/>
                <w:lang w:eastAsia="en-ZA"/>
              </w:rPr>
              <w:t xml:space="preserve"> </w:t>
            </w:r>
            <w:r w:rsidRPr="00EB792B">
              <w:rPr>
                <w:rFonts w:ascii="Times New Roman" w:eastAsia="Times New Roman" w:hAnsi="Times New Roman" w:cs="Times New Roman"/>
                <w:sz w:val="20"/>
                <w:szCs w:val="20"/>
                <w:lang w:eastAsia="en-ZA"/>
              </w:rPr>
              <w:t>can disperse naturally in aquatic environments but has limited ability to disperse overland (</w:t>
            </w:r>
            <w:r w:rsidRPr="004D1E6F">
              <w:rPr>
                <w:rFonts w:ascii="Times New Roman" w:eastAsia="Times New Roman" w:hAnsi="Times New Roman" w:cs="Times New Roman"/>
                <w:color w:val="000000"/>
                <w:sz w:val="20"/>
                <w:szCs w:val="20"/>
                <w:lang w:eastAsia="en-ZA"/>
              </w:rPr>
              <w:t>Holdich et al 2009; Soes &amp; Koese 2010</w:t>
            </w:r>
            <w:r w:rsidRPr="00EB792B">
              <w:rPr>
                <w:rFonts w:ascii="Times New Roman" w:eastAsia="Times New Roman" w:hAnsi="Times New Roman" w:cs="Times New Roman"/>
                <w:sz w:val="20"/>
                <w:szCs w:val="20"/>
                <w:lang w:eastAsia="en-ZA"/>
              </w:rPr>
              <w:t xml:space="preserve">). </w:t>
            </w:r>
            <w:r w:rsidRPr="00EB792B">
              <w:rPr>
                <w:rFonts w:ascii="Times New Roman" w:eastAsia="Times New Roman" w:hAnsi="Times New Roman" w:cs="Times New Roman"/>
                <w:color w:val="000000"/>
                <w:sz w:val="20"/>
                <w:szCs w:val="20"/>
                <w:lang w:eastAsia="en-ZA"/>
              </w:rPr>
              <w:t xml:space="preserve">There are no known populations of </w:t>
            </w:r>
            <w:r w:rsidRPr="00EB792B">
              <w:rPr>
                <w:rFonts w:ascii="Times New Roman" w:eastAsia="Times New Roman" w:hAnsi="Times New Roman" w:cs="Times New Roman"/>
                <w:i/>
                <w:iCs/>
                <w:color w:val="000000"/>
                <w:sz w:val="20"/>
                <w:szCs w:val="20"/>
                <w:lang w:eastAsia="en-ZA"/>
              </w:rPr>
              <w:t xml:space="preserve">F. </w:t>
            </w:r>
            <w:r>
              <w:rPr>
                <w:rFonts w:ascii="Times New Roman" w:eastAsia="Times New Roman" w:hAnsi="Times New Roman" w:cs="Times New Roman"/>
                <w:i/>
                <w:iCs/>
                <w:color w:val="000000"/>
                <w:sz w:val="20"/>
                <w:szCs w:val="20"/>
                <w:lang w:eastAsia="en-ZA"/>
              </w:rPr>
              <w:t>limosus</w:t>
            </w:r>
            <w:r w:rsidRPr="00EB792B">
              <w:rPr>
                <w:rFonts w:ascii="Times New Roman" w:eastAsia="Times New Roman" w:hAnsi="Times New Roman" w:cs="Times New Roman"/>
                <w:i/>
                <w:iCs/>
                <w:color w:val="000000"/>
                <w:sz w:val="20"/>
                <w:szCs w:val="20"/>
                <w:lang w:eastAsia="en-ZA"/>
              </w:rPr>
              <w:t xml:space="preserve"> </w:t>
            </w:r>
            <w:r w:rsidRPr="00EB792B">
              <w:rPr>
                <w:rFonts w:ascii="Times New Roman" w:eastAsia="Times New Roman" w:hAnsi="Times New Roman" w:cs="Times New Roman"/>
                <w:color w:val="000000"/>
                <w:sz w:val="20"/>
                <w:szCs w:val="20"/>
                <w:lang w:eastAsia="en-ZA"/>
              </w:rPr>
              <w:t xml:space="preserve">present in countries neighbouring South Africa that could lead to secondary dispersal events through connected waterways </w:t>
            </w:r>
            <w:r w:rsidRPr="00EB792B">
              <w:rPr>
                <w:rFonts w:ascii="Times New Roman" w:eastAsia="Times New Roman" w:hAnsi="Times New Roman" w:cs="Times New Roman"/>
                <w:color w:val="000000"/>
                <w:sz w:val="20"/>
                <w:szCs w:val="20"/>
                <w:lang w:eastAsia="en-ZA"/>
              </w:rPr>
              <w:fldChar w:fldCharType="begin" w:fldLock="1"/>
            </w:r>
            <w:r w:rsidRPr="00EB792B">
              <w:rPr>
                <w:rFonts w:ascii="Times New Roman" w:eastAsia="Times New Roman" w:hAnsi="Times New Roman" w:cs="Times New Roman"/>
                <w:color w:val="000000"/>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"mendeley" : { "formattedCitation" : "(Madzivanzira et al. 2020)", "plainTextFormattedCitation" : "(Madzivanzira et al. 2020)", "previouslyFormattedCitation" : "(Madzivanzira et al. 2020)" }, "properties" : { "noteIndex" : 0 }, "schema" : "https://github.com/citation-style-language/schema/raw/master/csl-citation.json" }</w:instrText>
            </w:r>
            <w:r w:rsidRPr="00EB792B">
              <w:rPr>
                <w:rFonts w:ascii="Times New Roman" w:eastAsia="Times New Roman" w:hAnsi="Times New Roman" w:cs="Times New Roman"/>
                <w:color w:val="000000"/>
                <w:sz w:val="20"/>
                <w:szCs w:val="20"/>
                <w:lang w:eastAsia="en-ZA"/>
              </w:rPr>
              <w:fldChar w:fldCharType="separate"/>
            </w:r>
            <w:r w:rsidRPr="00EB792B">
              <w:rPr>
                <w:rFonts w:ascii="Times New Roman" w:eastAsia="Times New Roman" w:hAnsi="Times New Roman" w:cs="Times New Roman"/>
                <w:noProof/>
                <w:color w:val="000000"/>
                <w:sz w:val="20"/>
                <w:szCs w:val="20"/>
                <w:lang w:eastAsia="en-ZA"/>
              </w:rPr>
              <w:t>(</w:t>
            </w:r>
            <w:r>
              <w:rPr>
                <w:rFonts w:ascii="Times New Roman" w:eastAsia="Times New Roman" w:hAnsi="Times New Roman" w:cs="Times New Roman"/>
                <w:noProof/>
                <w:color w:val="000000"/>
                <w:sz w:val="20"/>
                <w:szCs w:val="20"/>
                <w:lang w:eastAsia="en-ZA"/>
              </w:rPr>
              <w:t xml:space="preserve">Nunes et al. 2017; </w:t>
            </w:r>
            <w:r w:rsidRPr="00EB792B">
              <w:rPr>
                <w:rFonts w:ascii="Times New Roman" w:eastAsia="Times New Roman" w:hAnsi="Times New Roman" w:cs="Times New Roman"/>
                <w:noProof/>
                <w:color w:val="000000"/>
                <w:sz w:val="20"/>
                <w:szCs w:val="20"/>
                <w:lang w:eastAsia="en-ZA"/>
              </w:rPr>
              <w:t>Madzivanzira et al. 2020)</w:t>
            </w:r>
            <w:r w:rsidRPr="00EB792B">
              <w:rPr>
                <w:rFonts w:ascii="Times New Roman" w:eastAsia="Times New Roman" w:hAnsi="Times New Roman" w:cs="Times New Roman"/>
                <w:color w:val="000000"/>
                <w:sz w:val="20"/>
                <w:szCs w:val="20"/>
                <w:lang w:eastAsia="en-ZA"/>
              </w:rPr>
              <w:fldChar w:fldCharType="end"/>
            </w:r>
            <w:r w:rsidRPr="00EB792B">
              <w:rPr>
                <w:rFonts w:ascii="Times New Roman" w:eastAsia="Times New Roman" w:hAnsi="Times New Roman" w:cs="Times New Roman"/>
                <w:color w:val="000000"/>
                <w:sz w:val="20"/>
                <w:szCs w:val="20"/>
                <w:lang w:eastAsia="en-ZA"/>
              </w:rPr>
              <w:t>.</w:t>
            </w:r>
          </w:p>
        </w:tc>
      </w:tr>
      <w:tr w:rsidR="002D7080" w:rsidRPr="004D1E6F" w14:paraId="2C2AF456" w14:textId="77777777" w:rsidTr="002E2C37">
        <w:tc>
          <w:tcPr>
            <w:tcW w:w="9016" w:type="dxa"/>
            <w:gridSpan w:val="2"/>
          </w:tcPr>
          <w:p w14:paraId="4714DAB6" w14:textId="77777777" w:rsidR="002D7080" w:rsidRPr="004D1E6F" w:rsidRDefault="002D7080" w:rsidP="002E2C37">
            <w:pPr>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061764C4" w14:textId="75668201" w:rsidR="002D7080" w:rsidRPr="004D1E6F" w:rsidRDefault="002D7080" w:rsidP="002E2C37">
            <w:pPr>
              <w:ind w:left="720" w:hanging="720"/>
              <w:contextualSpacing/>
              <w:rPr>
                <w:rFonts w:ascii="Times New Roman" w:eastAsia="Calibri" w:hAnsi="Times New Roman" w:cs="Times New Roman"/>
                <w:bCs/>
                <w:sz w:val="20"/>
                <w:szCs w:val="20"/>
              </w:rPr>
            </w:pPr>
            <w:r w:rsidRPr="004D1E6F">
              <w:rPr>
                <w:rFonts w:ascii="Times New Roman" w:eastAsia="Calibri" w:hAnsi="Times New Roman" w:cs="Times New Roman"/>
                <w:bCs/>
                <w:sz w:val="20"/>
                <w:szCs w:val="20"/>
              </w:rPr>
              <w:t>Holdich, D.M., Reynolds, J.D., &amp; Sibley, P.J., 2009, ‘A review of the ever-increasing threat to European crayfish from non-indigenous crayfish species’,</w:t>
            </w:r>
            <w:r w:rsidRPr="004D1E6F">
              <w:rPr>
                <w:rFonts w:ascii="Times New Roman" w:eastAsia="Calibri" w:hAnsi="Times New Roman" w:cs="Times New Roman"/>
                <w:sz w:val="20"/>
                <w:szCs w:val="20"/>
              </w:rPr>
              <w:t xml:space="preserve"> </w:t>
            </w:r>
            <w:r w:rsidRPr="004D1E6F">
              <w:rPr>
                <w:rFonts w:ascii="Times New Roman" w:eastAsia="Calibri" w:hAnsi="Times New Roman" w:cs="Times New Roman"/>
                <w:bCs/>
                <w:i/>
                <w:sz w:val="20"/>
                <w:szCs w:val="20"/>
              </w:rPr>
              <w:t>Knowledge and Management of Aquatic Ecosystems</w:t>
            </w:r>
            <w:r w:rsidRPr="004D1E6F">
              <w:rPr>
                <w:rFonts w:ascii="Times New Roman" w:eastAsia="Calibri" w:hAnsi="Times New Roman" w:cs="Times New Roman"/>
                <w:bCs/>
                <w:sz w:val="20"/>
                <w:szCs w:val="20"/>
              </w:rPr>
              <w:t xml:space="preserve"> 11, 394–395</w:t>
            </w:r>
            <w:r w:rsidRPr="004D1E6F">
              <w:rPr>
                <w:rFonts w:ascii="Times New Roman" w:hAnsi="Times New Roman" w:cs="Times New Roman"/>
                <w:sz w:val="20"/>
                <w:szCs w:val="20"/>
              </w:rPr>
              <w:t xml:space="preserve">. </w:t>
            </w:r>
            <w:hyperlink r:id="rId283" w:history="1">
              <w:r w:rsidR="007C1DAC" w:rsidRPr="007C1DAC">
                <w:rPr>
                  <w:rStyle w:val="Hyperlink"/>
                  <w:rFonts w:ascii="Times New Roman" w:hAnsi="Times New Roman" w:cs="Times New Roman"/>
                  <w:bCs/>
                  <w:sz w:val="20"/>
                  <w:szCs w:val="20"/>
                </w:rPr>
                <w:t>https://doi.org/10.1051/kmae/2009025</w:t>
              </w:r>
            </w:hyperlink>
            <w:r w:rsidR="007C1DAC">
              <w:rPr>
                <w:rFonts w:ascii="Times New Roman" w:hAnsi="Times New Roman" w:cs="Times New Roman"/>
                <w:sz w:val="20"/>
                <w:szCs w:val="20"/>
              </w:rPr>
              <w:t xml:space="preserve">. </w:t>
            </w:r>
          </w:p>
          <w:p w14:paraId="4A817537" w14:textId="77777777" w:rsidR="002D7080" w:rsidRPr="004D1E6F" w:rsidRDefault="002D7080" w:rsidP="002E2C37">
            <w:pPr>
              <w:ind w:left="540" w:hanging="540"/>
              <w:contextualSpacing/>
              <w:jc w:val="both"/>
              <w:rPr>
                <w:rStyle w:val="Hyperlink"/>
                <w:rFonts w:ascii="Times New Roman" w:eastAsia="Times New Roman" w:hAnsi="Times New Roman" w:cs="Times New Roman"/>
                <w:iCs/>
                <w:sz w:val="20"/>
                <w:szCs w:val="20"/>
                <w:lang w:eastAsia="en-ZA"/>
              </w:rPr>
            </w:pPr>
            <w:r w:rsidRPr="004D1E6F">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4D1E6F">
              <w:rPr>
                <w:rFonts w:ascii="Times New Roman" w:eastAsia="Times New Roman" w:hAnsi="Times New Roman" w:cs="Times New Roman"/>
                <w:i/>
                <w:sz w:val="20"/>
                <w:szCs w:val="20"/>
                <w:lang w:eastAsia="en-ZA"/>
              </w:rPr>
              <w:t xml:space="preserve">Reviews in Fisheries Science &amp; Aquaculture </w:t>
            </w:r>
            <w:r w:rsidRPr="004D1E6F">
              <w:rPr>
                <w:rFonts w:ascii="Times New Roman" w:eastAsia="Times New Roman" w:hAnsi="Times New Roman" w:cs="Times New Roman"/>
                <w:sz w:val="20"/>
                <w:szCs w:val="20"/>
                <w:lang w:eastAsia="en-ZA"/>
              </w:rPr>
              <w:t>1-21</w:t>
            </w:r>
            <w:r w:rsidRPr="004D1E6F">
              <w:rPr>
                <w:rFonts w:ascii="Times New Roman" w:eastAsia="Times New Roman" w:hAnsi="Times New Roman" w:cs="Times New Roman"/>
                <w:i/>
                <w:sz w:val="20"/>
                <w:szCs w:val="20"/>
                <w:lang w:eastAsia="en-ZA"/>
              </w:rPr>
              <w:t>.</w:t>
            </w:r>
            <w:r w:rsidRPr="004D1E6F">
              <w:rPr>
                <w:rFonts w:ascii="Times New Roman" w:eastAsia="Times New Roman" w:hAnsi="Times New Roman" w:cs="Times New Roman"/>
                <w:iCs/>
                <w:sz w:val="20"/>
                <w:szCs w:val="20"/>
                <w:lang w:eastAsia="en-ZA"/>
              </w:rPr>
              <w:t xml:space="preserve"> </w:t>
            </w:r>
            <w:hyperlink w:history="1">
              <w:r w:rsidRPr="004D1E6F">
                <w:rPr>
                  <w:rStyle w:val="Hyperlink"/>
                  <w:rFonts w:ascii="Times New Roman" w:eastAsia="Times New Roman" w:hAnsi="Times New Roman" w:cs="Times New Roman"/>
                  <w:iCs/>
                  <w:sz w:val="20"/>
                  <w:szCs w:val="20"/>
                  <w:lang w:eastAsia="en-ZA"/>
                </w:rPr>
                <w:t>https://doi.org/10.1080/23308249.2020.1802405</w:t>
              </w:r>
            </w:hyperlink>
          </w:p>
          <w:p w14:paraId="637A99CB" w14:textId="5D0CD365" w:rsidR="002D7080" w:rsidRPr="007C1DAC" w:rsidRDefault="002D7080" w:rsidP="007C1DAC">
            <w:pPr>
              <w:ind w:left="540" w:hanging="540"/>
              <w:contextualSpacing/>
              <w:jc w:val="both"/>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 </w:t>
            </w:r>
            <w:r w:rsidRPr="004D1E6F">
              <w:rPr>
                <w:rFonts w:ascii="Times New Roman" w:eastAsia="Times New Roman" w:hAnsi="Times New Roman" w:cs="Times New Roman"/>
                <w:color w:val="000000"/>
                <w:sz w:val="20"/>
                <w:szCs w:val="20"/>
                <w:lang w:eastAsia="en-ZA"/>
              </w:rPr>
              <w:t xml:space="preserve"> </w:t>
            </w:r>
            <w:hyperlink r:id="rId284" w:history="1">
              <w:r w:rsidR="007C1DAC" w:rsidRPr="007C1DAC">
                <w:rPr>
                  <w:rStyle w:val="Hyperlink"/>
                  <w:rFonts w:ascii="Times New Roman" w:hAnsi="Times New Roman" w:cs="Times New Roman"/>
                  <w:sz w:val="20"/>
                  <w:szCs w:val="20"/>
                </w:rPr>
                <w:t>https://doi.org/10.2989/16085914.2017.1405788</w:t>
              </w:r>
            </w:hyperlink>
            <w:r w:rsidR="007C1DAC">
              <w:rPr>
                <w:rFonts w:ascii="Times New Roman" w:hAnsi="Times New Roman" w:cs="Times New Roman"/>
                <w:sz w:val="20"/>
                <w:szCs w:val="20"/>
              </w:rPr>
              <w:t xml:space="preserve">. </w:t>
            </w:r>
          </w:p>
          <w:p w14:paraId="716AE047" w14:textId="77777777" w:rsidR="002D7080" w:rsidRPr="004D1E6F" w:rsidRDefault="002D7080" w:rsidP="002E2C37">
            <w:pPr>
              <w:ind w:left="540" w:hanging="540"/>
              <w:contextualSpacing/>
              <w:jc w:val="both"/>
              <w:rPr>
                <w:rFonts w:ascii="Times New Roman" w:eastAsia="Times New Roman" w:hAnsi="Times New Roman" w:cs="Times New Roman"/>
                <w:iCs/>
                <w:sz w:val="20"/>
                <w:szCs w:val="20"/>
                <w:lang w:eastAsia="en-ZA"/>
              </w:rPr>
            </w:pPr>
            <w:r w:rsidRPr="004D1E6F">
              <w:rPr>
                <w:rFonts w:ascii="Times New Roman" w:eastAsia="Times New Roman" w:hAnsi="Times New Roman" w:cs="Times New Roman"/>
                <w:sz w:val="20"/>
                <w:szCs w:val="20"/>
                <w:lang w:eastAsia="en-ZA"/>
              </w:rPr>
              <w:t xml:space="preserve">Soes, D.M. &amp; Koese, B., 2010, ‘Invasive crayfish in the Netherlands: A preliminary risk analysis. </w:t>
            </w:r>
            <w:r w:rsidRPr="004D1E6F">
              <w:rPr>
                <w:rFonts w:ascii="Times New Roman" w:eastAsia="Times New Roman" w:hAnsi="Times New Roman" w:cs="Times New Roman"/>
                <w:i/>
                <w:iCs/>
                <w:sz w:val="20"/>
                <w:szCs w:val="20"/>
                <w:lang w:eastAsia="en-ZA"/>
              </w:rPr>
              <w:t>Interim report, Bureau Waardenburg bv, Stichting EIS-Nederland’</w:t>
            </w:r>
            <w:r w:rsidRPr="004D1E6F">
              <w:rPr>
                <w:rFonts w:ascii="Times New Roman" w:eastAsia="Times New Roman" w:hAnsi="Times New Roman" w:cs="Times New Roman"/>
                <w:sz w:val="20"/>
                <w:szCs w:val="20"/>
                <w:lang w:eastAsia="en-ZA"/>
              </w:rPr>
              <w:t>, Invasive Alien Species Team, Waardenburg</w:t>
            </w:r>
          </w:p>
        </w:tc>
      </w:tr>
    </w:tbl>
    <w:p w14:paraId="06EC5A7E"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0"/>
        <w:tblW w:w="0" w:type="auto"/>
        <w:tblLook w:val="04A0" w:firstRow="1" w:lastRow="0" w:firstColumn="1" w:lastColumn="0" w:noHBand="0" w:noVBand="1"/>
      </w:tblPr>
      <w:tblGrid>
        <w:gridCol w:w="5524"/>
        <w:gridCol w:w="3492"/>
      </w:tblGrid>
      <w:tr w:rsidR="002D7080" w:rsidRPr="004D1E6F" w14:paraId="388FE0FC" w14:textId="77777777" w:rsidTr="002E2C37">
        <w:tc>
          <w:tcPr>
            <w:tcW w:w="9016" w:type="dxa"/>
            <w:gridSpan w:val="2"/>
            <w:shd w:val="clear" w:color="auto" w:fill="F2F2F2" w:themeFill="background1" w:themeFillShade="F2"/>
          </w:tcPr>
          <w:p w14:paraId="34583FAF"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LIK6 Human aided secondary (dispersal) pathways</w:t>
            </w:r>
          </w:p>
        </w:tc>
      </w:tr>
      <w:tr w:rsidR="002D7080" w:rsidRPr="004D1E6F" w14:paraId="4B9C41AE" w14:textId="77777777" w:rsidTr="002E2C37">
        <w:tc>
          <w:tcPr>
            <w:tcW w:w="5524" w:type="dxa"/>
          </w:tcPr>
          <w:p w14:paraId="02B6F72C"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w:t>
            </w:r>
            <w:r>
              <w:rPr>
                <w:rFonts w:ascii="Times New Roman" w:eastAsia="Times New Roman" w:hAnsi="Times New Roman" w:cs="Times New Roman"/>
                <w:color w:val="000000"/>
                <w:sz w:val="20"/>
                <w:szCs w:val="20"/>
                <w:lang w:eastAsia="en-ZA"/>
              </w:rPr>
              <w:t>Fairly probable (p = 0.5)</w:t>
            </w:r>
          </w:p>
        </w:tc>
        <w:tc>
          <w:tcPr>
            <w:tcW w:w="3492" w:type="dxa"/>
          </w:tcPr>
          <w:p w14:paraId="4034FB5F"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646C88DB" w14:textId="77777777" w:rsidTr="002E2C37">
        <w:tc>
          <w:tcPr>
            <w:tcW w:w="9016" w:type="dxa"/>
            <w:gridSpan w:val="2"/>
          </w:tcPr>
          <w:p w14:paraId="44909CB5" w14:textId="77777777" w:rsidR="002D7080"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p>
          <w:p w14:paraId="7AD8A630"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sz w:val="20"/>
                <w:szCs w:val="20"/>
                <w:lang w:eastAsia="en-ZA"/>
              </w:rPr>
              <w:t xml:space="preserve">Intentional release into the wild through the pet/ aquarium/ terrarium species and live bait pathways remains a concern. </w:t>
            </w:r>
            <w:r w:rsidRPr="00233C97">
              <w:rPr>
                <w:rFonts w:ascii="Times New Roman" w:eastAsia="Times New Roman" w:hAnsi="Times New Roman" w:cs="Times New Roman"/>
                <w:color w:val="000000"/>
                <w:sz w:val="20"/>
                <w:szCs w:val="20"/>
                <w:lang w:eastAsia="en-ZA"/>
              </w:rPr>
              <w:t xml:space="preserve">In areas of introduction, </w:t>
            </w:r>
            <w:r w:rsidRPr="00233C97">
              <w:rPr>
                <w:rFonts w:ascii="Times New Roman" w:eastAsia="Times New Roman" w:hAnsi="Times New Roman" w:cs="Times New Roman"/>
                <w:i/>
                <w:color w:val="000000"/>
                <w:sz w:val="20"/>
                <w:szCs w:val="20"/>
                <w:lang w:eastAsia="en-ZA"/>
              </w:rPr>
              <w:t>Faxonius</w:t>
            </w:r>
            <w:r>
              <w:rPr>
                <w:rFonts w:ascii="Times New Roman" w:eastAsia="Times New Roman" w:hAnsi="Times New Roman" w:cs="Times New Roman"/>
                <w:i/>
                <w:color w:val="000000"/>
                <w:sz w:val="20"/>
                <w:szCs w:val="20"/>
                <w:lang w:eastAsia="en-ZA"/>
              </w:rPr>
              <w:t xml:space="preserve"> limosus</w:t>
            </w:r>
            <w:r w:rsidRPr="00233C97">
              <w:rPr>
                <w:rFonts w:ascii="Times New Roman" w:eastAsia="Times New Roman" w:hAnsi="Times New Roman" w:cs="Times New Roman"/>
                <w:color w:val="000000"/>
                <w:sz w:val="20"/>
                <w:szCs w:val="20"/>
                <w:lang w:eastAsia="en-ZA"/>
              </w:rPr>
              <w:t xml:space="preserve"> has been released into the wild by humans </w:t>
            </w:r>
            <w:r>
              <w:rPr>
                <w:rFonts w:ascii="Times New Roman" w:eastAsia="Times New Roman" w:hAnsi="Times New Roman" w:cs="Times New Roman"/>
                <w:color w:val="000000"/>
                <w:sz w:val="20"/>
                <w:szCs w:val="20"/>
                <w:lang w:eastAsia="en-ZA"/>
              </w:rPr>
              <w:t xml:space="preserve">as </w:t>
            </w:r>
            <w:r w:rsidRPr="00B3294F">
              <w:rPr>
                <w:rFonts w:ascii="Times New Roman" w:eastAsia="Times New Roman" w:hAnsi="Times New Roman" w:cs="Times New Roman"/>
                <w:sz w:val="20"/>
                <w:szCs w:val="20"/>
                <w:lang w:eastAsia="en-ZA"/>
              </w:rPr>
              <w:t xml:space="preserve">live bait, </w:t>
            </w:r>
            <w:r>
              <w:rPr>
                <w:rFonts w:ascii="Times New Roman" w:eastAsia="Times New Roman" w:hAnsi="Times New Roman" w:cs="Times New Roman"/>
                <w:sz w:val="20"/>
                <w:szCs w:val="20"/>
                <w:lang w:eastAsia="en-ZA"/>
              </w:rPr>
              <w:t xml:space="preserve">unwanted </w:t>
            </w:r>
            <w:r w:rsidRPr="00B3294F">
              <w:rPr>
                <w:rFonts w:ascii="Times New Roman" w:eastAsia="Times New Roman" w:hAnsi="Times New Roman" w:cs="Times New Roman"/>
                <w:sz w:val="20"/>
                <w:szCs w:val="20"/>
                <w:lang w:eastAsia="en-ZA"/>
              </w:rPr>
              <w:t>aquarium species</w:t>
            </w:r>
            <w:r>
              <w:rPr>
                <w:rFonts w:ascii="Times New Roman" w:eastAsia="Times New Roman" w:hAnsi="Times New Roman" w:cs="Times New Roman"/>
                <w:sz w:val="20"/>
                <w:szCs w:val="20"/>
                <w:lang w:eastAsia="en-ZA"/>
              </w:rPr>
              <w:t xml:space="preserve">, and as </w:t>
            </w:r>
            <w:r w:rsidRPr="00B3294F">
              <w:rPr>
                <w:rFonts w:ascii="Times New Roman" w:eastAsia="Times New Roman" w:hAnsi="Times New Roman" w:cs="Times New Roman"/>
                <w:sz w:val="20"/>
                <w:szCs w:val="20"/>
                <w:lang w:eastAsia="en-ZA"/>
              </w:rPr>
              <w:t>contaminant</w:t>
            </w:r>
            <w:r>
              <w:rPr>
                <w:rFonts w:ascii="Times New Roman" w:eastAsia="Times New Roman" w:hAnsi="Times New Roman" w:cs="Times New Roman"/>
                <w:sz w:val="20"/>
                <w:szCs w:val="20"/>
                <w:lang w:eastAsia="en-ZA"/>
              </w:rPr>
              <w:t>s</w:t>
            </w:r>
            <w:r w:rsidRPr="00B3294F">
              <w:rPr>
                <w:rFonts w:ascii="Times New Roman" w:eastAsia="Times New Roman" w:hAnsi="Times New Roman" w:cs="Times New Roman"/>
                <w:sz w:val="20"/>
                <w:szCs w:val="20"/>
                <w:lang w:eastAsia="en-ZA"/>
              </w:rPr>
              <w:t xml:space="preserve"> of fish stock</w:t>
            </w:r>
            <w:r>
              <w:rPr>
                <w:rFonts w:ascii="Times New Roman" w:eastAsia="Times New Roman" w:hAnsi="Times New Roman" w:cs="Times New Roman"/>
                <w:sz w:val="20"/>
                <w:szCs w:val="20"/>
                <w:lang w:eastAsia="en-ZA"/>
              </w:rPr>
              <w:t xml:space="preserve">s </w:t>
            </w:r>
            <w:r w:rsidRPr="00B3294F">
              <w:rPr>
                <w:rFonts w:ascii="Times New Roman" w:eastAsia="Times New Roman" w:hAnsi="Times New Roman" w:cs="Times New Roman"/>
                <w:sz w:val="20"/>
                <w:szCs w:val="20"/>
                <w:lang w:eastAsia="en-ZA"/>
              </w:rPr>
              <w:t>(Holdich</w:t>
            </w:r>
            <w:r>
              <w:rPr>
                <w:rFonts w:ascii="Times New Roman" w:eastAsia="Times New Roman" w:hAnsi="Times New Roman" w:cs="Times New Roman"/>
                <w:sz w:val="20"/>
                <w:szCs w:val="20"/>
                <w:lang w:eastAsia="en-ZA"/>
              </w:rPr>
              <w:t xml:space="preserve"> &amp;</w:t>
            </w:r>
            <w:r w:rsidRPr="00B3294F">
              <w:rPr>
                <w:rFonts w:ascii="Times New Roman" w:eastAsia="Times New Roman" w:hAnsi="Times New Roman" w:cs="Times New Roman"/>
                <w:sz w:val="20"/>
                <w:szCs w:val="20"/>
                <w:lang w:eastAsia="en-ZA"/>
              </w:rPr>
              <w:t xml:space="preserve"> Black 2007</w:t>
            </w:r>
            <w:r>
              <w:rPr>
                <w:rFonts w:ascii="Times New Roman" w:eastAsia="Times New Roman" w:hAnsi="Times New Roman" w:cs="Times New Roman"/>
                <w:sz w:val="20"/>
                <w:szCs w:val="20"/>
                <w:lang w:eastAsia="en-ZA"/>
              </w:rPr>
              <w:t xml:space="preserve">, </w:t>
            </w:r>
            <w:r w:rsidRPr="00B3294F">
              <w:rPr>
                <w:rFonts w:ascii="Times New Roman" w:eastAsia="Times New Roman" w:hAnsi="Times New Roman" w:cs="Times New Roman"/>
                <w:sz w:val="20"/>
                <w:szCs w:val="20"/>
                <w:lang w:eastAsia="en-ZA"/>
              </w:rPr>
              <w:t>Aquiloni et al. 2010).</w:t>
            </w:r>
            <w:r>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color w:val="000000"/>
                <w:sz w:val="20"/>
                <w:szCs w:val="20"/>
                <w:lang w:eastAsia="en-ZA"/>
              </w:rPr>
              <w:t>It is likely that it could be present in the pet trade in South Africa, but this needs to be assessed.</w:t>
            </w:r>
          </w:p>
        </w:tc>
      </w:tr>
      <w:tr w:rsidR="002D7080" w:rsidRPr="004D1E6F" w14:paraId="20A39A62" w14:textId="77777777" w:rsidTr="002E2C37">
        <w:tc>
          <w:tcPr>
            <w:tcW w:w="9016" w:type="dxa"/>
            <w:gridSpan w:val="2"/>
          </w:tcPr>
          <w:p w14:paraId="32CB187E"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347778EF" w14:textId="61C3B25D" w:rsidR="002D7080" w:rsidRDefault="002D7080" w:rsidP="002E2C37">
            <w:pPr>
              <w:ind w:left="720" w:hanging="720"/>
              <w:contextualSpacing/>
              <w:jc w:val="both"/>
              <w:rPr>
                <w:rFonts w:ascii="Times New Roman" w:hAnsi="Times New Roman" w:cs="Times New Roman"/>
                <w:sz w:val="20"/>
                <w:szCs w:val="20"/>
              </w:rPr>
            </w:pPr>
            <w:r w:rsidRPr="00B3294F">
              <w:rPr>
                <w:rFonts w:ascii="Times New Roman" w:hAnsi="Times New Roman" w:cs="Times New Roman"/>
                <w:sz w:val="20"/>
                <w:szCs w:val="20"/>
                <w:shd w:val="clear" w:color="auto" w:fill="FFFFFF"/>
              </w:rPr>
              <w:lastRenderedPageBreak/>
              <w:t>Aquiloni, L., Tricarico, E.</w:t>
            </w:r>
            <w:r>
              <w:rPr>
                <w:rFonts w:ascii="Times New Roman" w:hAnsi="Times New Roman" w:cs="Times New Roman"/>
                <w:sz w:val="20"/>
                <w:szCs w:val="20"/>
                <w:shd w:val="clear" w:color="auto" w:fill="FFFFFF"/>
              </w:rPr>
              <w:t xml:space="preserve"> &amp;</w:t>
            </w:r>
            <w:r w:rsidRPr="00B3294F">
              <w:rPr>
                <w:rFonts w:ascii="Times New Roman" w:hAnsi="Times New Roman" w:cs="Times New Roman"/>
                <w:sz w:val="20"/>
                <w:szCs w:val="20"/>
                <w:shd w:val="clear" w:color="auto" w:fill="FFFFFF"/>
              </w:rPr>
              <w:t xml:space="preserve"> Gherardi, F., 2010</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Crayfish in Italy: distribution, threats and management</w:t>
            </w:r>
            <w:r>
              <w:rPr>
                <w:rFonts w:ascii="Times New Roman" w:hAnsi="Times New Roman" w:cs="Times New Roman"/>
                <w:sz w:val="20"/>
                <w:szCs w:val="20"/>
                <w:shd w:val="clear" w:color="auto" w:fill="FFFFFF"/>
              </w:rPr>
              <w:t xml:space="preserve">’, </w:t>
            </w:r>
            <w:r w:rsidRPr="00B3294F">
              <w:rPr>
                <w:rStyle w:val="Emphasis"/>
                <w:rFonts w:ascii="Times New Roman" w:hAnsi="Times New Roman" w:cs="Times New Roman"/>
                <w:sz w:val="20"/>
                <w:szCs w:val="20"/>
                <w:shd w:val="clear" w:color="auto" w:fill="FFFFFF"/>
              </w:rPr>
              <w:t>International Aquatic Research</w:t>
            </w:r>
            <w:r w:rsidRPr="00B3294F">
              <w:rPr>
                <w:rFonts w:ascii="Times New Roman" w:hAnsi="Times New Roman" w:cs="Times New Roman"/>
                <w:sz w:val="20"/>
                <w:szCs w:val="20"/>
                <w:shd w:val="clear" w:color="auto" w:fill="FFFFFF"/>
              </w:rPr>
              <w:t>, 2(1)</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 1-14. </w:t>
            </w:r>
            <w:r w:rsidR="007C1DAC">
              <w:rPr>
                <w:rFonts w:ascii="Times New Roman" w:hAnsi="Times New Roman" w:cs="Times New Roman"/>
                <w:sz w:val="20"/>
                <w:szCs w:val="20"/>
              </w:rPr>
              <w:t xml:space="preserve"> </w:t>
            </w:r>
          </w:p>
          <w:p w14:paraId="66673686" w14:textId="77777777" w:rsidR="002D7080" w:rsidRPr="00884A44" w:rsidRDefault="002D7080" w:rsidP="002E2C37">
            <w:pPr>
              <w:ind w:left="720" w:hanging="720"/>
              <w:contextualSpacing/>
              <w:jc w:val="both"/>
              <w:rPr>
                <w:rFonts w:ascii="Times New Roman" w:hAnsi="Times New Roman" w:cs="Times New Roman"/>
                <w:sz w:val="20"/>
                <w:szCs w:val="20"/>
              </w:rPr>
            </w:pPr>
            <w:r w:rsidRPr="00B3294F">
              <w:rPr>
                <w:rFonts w:ascii="Times New Roman" w:hAnsi="Times New Roman" w:cs="Times New Roman"/>
                <w:sz w:val="20"/>
                <w:szCs w:val="20"/>
                <w:shd w:val="clear" w:color="auto" w:fill="FFFFFF"/>
              </w:rPr>
              <w:t>Holdich, D.</w:t>
            </w:r>
            <w:r>
              <w:rPr>
                <w:rFonts w:ascii="Times New Roman" w:hAnsi="Times New Roman" w:cs="Times New Roman"/>
                <w:sz w:val="20"/>
                <w:szCs w:val="20"/>
                <w:shd w:val="clear" w:color="auto" w:fill="FFFFFF"/>
              </w:rPr>
              <w:t xml:space="preserve"> &amp;</w:t>
            </w:r>
            <w:r w:rsidRPr="00B3294F">
              <w:rPr>
                <w:rFonts w:ascii="Times New Roman" w:hAnsi="Times New Roman" w:cs="Times New Roman"/>
                <w:sz w:val="20"/>
                <w:szCs w:val="20"/>
                <w:shd w:val="clear" w:color="auto" w:fill="FFFFFF"/>
              </w:rPr>
              <w:t xml:space="preserve"> Black, J., 2007</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The spiny-cheek crayfish, </w:t>
            </w:r>
            <w:r w:rsidRPr="00847BD5">
              <w:rPr>
                <w:rFonts w:ascii="Times New Roman" w:hAnsi="Times New Roman" w:cs="Times New Roman"/>
                <w:i/>
                <w:iCs/>
                <w:sz w:val="20"/>
                <w:szCs w:val="20"/>
                <w:shd w:val="clear" w:color="auto" w:fill="FFFFFF"/>
              </w:rPr>
              <w:t>Orconectes limosus</w:t>
            </w:r>
            <w:r w:rsidRPr="00B3294F">
              <w:rPr>
                <w:rFonts w:ascii="Times New Roman" w:hAnsi="Times New Roman" w:cs="Times New Roman"/>
                <w:sz w:val="20"/>
                <w:szCs w:val="20"/>
                <w:shd w:val="clear" w:color="auto" w:fill="FFFFFF"/>
              </w:rPr>
              <w:t xml:space="preserve"> (Rafinesque, 1817) [Crustacea: Decapoda: Cambaridae], digs into the UK</w:t>
            </w:r>
            <w:r>
              <w:rPr>
                <w:rFonts w:ascii="Times New Roman" w:hAnsi="Times New Roman" w:cs="Times New Roman"/>
                <w:sz w:val="20"/>
                <w:szCs w:val="20"/>
                <w:shd w:val="clear" w:color="auto" w:fill="FFFFFF"/>
              </w:rPr>
              <w:t xml:space="preserve">’, </w:t>
            </w:r>
            <w:r w:rsidRPr="00B3294F">
              <w:rPr>
                <w:rStyle w:val="Emphasis"/>
                <w:rFonts w:ascii="Times New Roman" w:hAnsi="Times New Roman" w:cs="Times New Roman"/>
                <w:sz w:val="20"/>
                <w:szCs w:val="20"/>
                <w:shd w:val="clear" w:color="auto" w:fill="FFFFFF"/>
              </w:rPr>
              <w:t>Aquatic Invasions</w:t>
            </w:r>
            <w:r w:rsidRPr="00B3294F">
              <w:rPr>
                <w:rFonts w:ascii="Times New Roman" w:hAnsi="Times New Roman" w:cs="Times New Roman"/>
                <w:sz w:val="20"/>
                <w:szCs w:val="20"/>
                <w:shd w:val="clear" w:color="auto" w:fill="FFFFFF"/>
              </w:rPr>
              <w:t>, 2(1)</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 1-16. </w:t>
            </w:r>
            <w:hyperlink w:tgtFrame="_blank" w:history="1">
              <w:r w:rsidRPr="00B3294F">
                <w:rPr>
                  <w:rStyle w:val="Hyperlink"/>
                  <w:rFonts w:ascii="Times New Roman" w:hAnsi="Times New Roman" w:cs="Times New Roman"/>
                  <w:sz w:val="20"/>
                  <w:szCs w:val="20"/>
                  <w:shd w:val="clear" w:color="auto" w:fill="FFFFFF"/>
                </w:rPr>
                <w:t>http://www.aquaticinvasions.ru/2007/AI_2007_2_1_Holdich_Black.pdf</w:t>
              </w:r>
            </w:hyperlink>
            <w:r w:rsidRPr="004D1E6F">
              <w:rPr>
                <w:rFonts w:ascii="Times New Roman" w:eastAsia="Times New Roman" w:hAnsi="Times New Roman" w:cs="Times New Roman"/>
                <w:color w:val="000000"/>
                <w:sz w:val="20"/>
                <w:szCs w:val="20"/>
                <w:lang w:eastAsia="en-ZA"/>
              </w:rPr>
              <w:t xml:space="preserve"> </w:t>
            </w:r>
          </w:p>
        </w:tc>
      </w:tr>
    </w:tbl>
    <w:p w14:paraId="3F666410"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56199812"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3. Consequences</w:t>
      </w:r>
    </w:p>
    <w:p w14:paraId="2EEBD7B6"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494311D3" w14:textId="77777777" w:rsidTr="002E2C37">
        <w:trPr>
          <w:trHeight w:val="278"/>
        </w:trPr>
        <w:tc>
          <w:tcPr>
            <w:tcW w:w="9016" w:type="dxa"/>
            <w:gridSpan w:val="2"/>
            <w:shd w:val="clear" w:color="auto" w:fill="F2F2F2" w:themeFill="background1" w:themeFillShade="F2"/>
          </w:tcPr>
          <w:p w14:paraId="28BF2D8C"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 Environmental impact</w:t>
            </w:r>
          </w:p>
        </w:tc>
      </w:tr>
      <w:tr w:rsidR="002D7080" w:rsidRPr="004D1E6F" w14:paraId="4D8BB617" w14:textId="77777777" w:rsidTr="002E2C37">
        <w:tc>
          <w:tcPr>
            <w:tcW w:w="9016" w:type="dxa"/>
            <w:gridSpan w:val="2"/>
            <w:shd w:val="clear" w:color="auto" w:fill="F2F2F2" w:themeFill="background1" w:themeFillShade="F2"/>
          </w:tcPr>
          <w:p w14:paraId="2D0FADCF"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CON1a: Competition</w:t>
            </w:r>
          </w:p>
        </w:tc>
      </w:tr>
      <w:tr w:rsidR="002D7080" w:rsidRPr="004D1E6F" w14:paraId="542D7E86" w14:textId="77777777" w:rsidTr="002E2C37">
        <w:tc>
          <w:tcPr>
            <w:tcW w:w="5949" w:type="dxa"/>
          </w:tcPr>
          <w:p w14:paraId="03D56CA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Major</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MR</w:t>
            </w:r>
            <w:r w:rsidRPr="004D1E6F">
              <w:rPr>
                <w:rFonts w:ascii="Times New Roman" w:eastAsia="Times New Roman" w:hAnsi="Times New Roman" w:cs="Times New Roman"/>
                <w:sz w:val="20"/>
                <w:szCs w:val="20"/>
                <w:lang w:eastAsia="en-ZA"/>
              </w:rPr>
              <w:t>)</w:t>
            </w:r>
          </w:p>
        </w:tc>
        <w:tc>
          <w:tcPr>
            <w:tcW w:w="3067" w:type="dxa"/>
          </w:tcPr>
          <w:p w14:paraId="2DB6AD9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Medium </w:t>
            </w:r>
          </w:p>
        </w:tc>
      </w:tr>
      <w:tr w:rsidR="002D7080" w:rsidRPr="004D1E6F" w14:paraId="0945E2B3" w14:textId="77777777" w:rsidTr="002E2C37">
        <w:trPr>
          <w:trHeight w:val="70"/>
        </w:trPr>
        <w:tc>
          <w:tcPr>
            <w:tcW w:w="9016" w:type="dxa"/>
            <w:gridSpan w:val="2"/>
          </w:tcPr>
          <w:p w14:paraId="705BB54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313D9E">
              <w:rPr>
                <w:rFonts w:ascii="Times New Roman" w:eastAsia="Times New Roman" w:hAnsi="Times New Roman" w:cs="Times New Roman"/>
                <w:i/>
                <w:iCs/>
                <w:sz w:val="20"/>
                <w:szCs w:val="20"/>
                <w:lang w:eastAsia="en-ZA"/>
              </w:rPr>
              <w:t>Faxonius limosus</w:t>
            </w:r>
            <w:r>
              <w:rPr>
                <w:rFonts w:ascii="Times New Roman" w:eastAsia="Times New Roman" w:hAnsi="Times New Roman" w:cs="Times New Roman"/>
                <w:sz w:val="20"/>
                <w:szCs w:val="20"/>
                <w:lang w:eastAsia="en-ZA"/>
              </w:rPr>
              <w:t xml:space="preserve"> has displaced native crayfish in Europe through the competition for resources </w:t>
            </w:r>
            <w:r w:rsidRPr="00313D9E">
              <w:rPr>
                <w:rFonts w:ascii="Times New Roman" w:eastAsia="Times New Roman" w:hAnsi="Times New Roman" w:cs="Times New Roman"/>
                <w:sz w:val="20"/>
                <w:szCs w:val="20"/>
                <w:lang w:eastAsia="en-ZA"/>
              </w:rPr>
              <w:t>(Holdich et al., 2006; Holdich and Black, 2007; Kozák et al., 2007; Musil et al., 2010; Pârvulescu et al., 2012)</w:t>
            </w:r>
            <w:r>
              <w:rPr>
                <w:rFonts w:ascii="Times New Roman" w:eastAsia="Times New Roman" w:hAnsi="Times New Roman" w:cs="Times New Roman"/>
                <w:sz w:val="20"/>
                <w:szCs w:val="20"/>
                <w:lang w:eastAsia="en-ZA"/>
              </w:rPr>
              <w:t xml:space="preserve">. For example, in Hungary </w:t>
            </w:r>
            <w:r w:rsidRPr="00313D9E">
              <w:rPr>
                <w:rFonts w:ascii="Times New Roman" w:eastAsia="Times New Roman" w:hAnsi="Times New Roman" w:cs="Times New Roman"/>
                <w:i/>
                <w:iCs/>
                <w:sz w:val="20"/>
                <w:szCs w:val="20"/>
                <w:lang w:eastAsia="en-ZA"/>
              </w:rPr>
              <w:t>F. limosus</w:t>
            </w:r>
            <w:r w:rsidRPr="00313D9E">
              <w:rPr>
                <w:rFonts w:ascii="Times New Roman" w:eastAsia="Times New Roman" w:hAnsi="Times New Roman" w:cs="Times New Roman"/>
                <w:sz w:val="20"/>
                <w:szCs w:val="20"/>
                <w:lang w:eastAsia="en-ZA"/>
              </w:rPr>
              <w:t xml:space="preserve"> is now the most abundant crayfish after </w:t>
            </w:r>
            <w:r>
              <w:rPr>
                <w:rFonts w:ascii="Times New Roman" w:eastAsia="Times New Roman" w:hAnsi="Times New Roman" w:cs="Times New Roman"/>
                <w:sz w:val="20"/>
                <w:szCs w:val="20"/>
                <w:lang w:eastAsia="en-ZA"/>
              </w:rPr>
              <w:t xml:space="preserve">supplanting the native crayfish </w:t>
            </w:r>
            <w:r w:rsidRPr="00313D9E">
              <w:rPr>
                <w:rFonts w:ascii="Times New Roman" w:eastAsia="Times New Roman" w:hAnsi="Times New Roman" w:cs="Times New Roman"/>
                <w:i/>
                <w:iCs/>
                <w:sz w:val="20"/>
                <w:szCs w:val="20"/>
                <w:lang w:eastAsia="en-ZA"/>
              </w:rPr>
              <w:t>Astacus astacus</w:t>
            </w:r>
            <w:r>
              <w:rPr>
                <w:rFonts w:ascii="Times New Roman" w:eastAsia="Times New Roman" w:hAnsi="Times New Roman" w:cs="Times New Roman"/>
                <w:sz w:val="20"/>
                <w:szCs w:val="20"/>
                <w:lang w:eastAsia="en-ZA"/>
              </w:rPr>
              <w:t xml:space="preserve"> (</w:t>
            </w:r>
            <w:r w:rsidRPr="00313D9E">
              <w:rPr>
                <w:rFonts w:ascii="Times New Roman" w:eastAsia="Times New Roman" w:hAnsi="Times New Roman" w:cs="Times New Roman"/>
                <w:sz w:val="20"/>
                <w:szCs w:val="20"/>
                <w:lang w:eastAsia="en-ZA"/>
              </w:rPr>
              <w:t>Holdich et al., 2006</w:t>
            </w:r>
            <w:r>
              <w:rPr>
                <w:rFonts w:ascii="Times New Roman" w:eastAsia="Times New Roman" w:hAnsi="Times New Roman" w:cs="Times New Roman"/>
                <w:sz w:val="20"/>
                <w:szCs w:val="20"/>
                <w:lang w:eastAsia="en-ZA"/>
              </w:rPr>
              <w:t>).</w:t>
            </w:r>
          </w:p>
        </w:tc>
      </w:tr>
      <w:tr w:rsidR="002D7080" w:rsidRPr="004D1E6F" w14:paraId="48E57E0C" w14:textId="77777777" w:rsidTr="002E2C37">
        <w:trPr>
          <w:trHeight w:val="70"/>
        </w:trPr>
        <w:tc>
          <w:tcPr>
            <w:tcW w:w="9016" w:type="dxa"/>
            <w:gridSpan w:val="2"/>
          </w:tcPr>
          <w:p w14:paraId="59169D34" w14:textId="77777777" w:rsidR="002D7080" w:rsidRPr="00313D9E" w:rsidRDefault="002D7080" w:rsidP="002E2C37">
            <w:pPr>
              <w:ind w:left="720" w:hanging="720"/>
              <w:contextualSpacing/>
              <w:jc w:val="both"/>
              <w:rPr>
                <w:rFonts w:ascii="Times New Roman" w:eastAsia="Times New Roman" w:hAnsi="Times New Roman" w:cs="Times New Roman"/>
                <w:sz w:val="20"/>
                <w:szCs w:val="20"/>
                <w:lang w:eastAsia="en-ZA"/>
              </w:rPr>
            </w:pPr>
            <w:r w:rsidRPr="00313D9E">
              <w:rPr>
                <w:rFonts w:ascii="Times New Roman" w:eastAsia="Times New Roman" w:hAnsi="Times New Roman" w:cs="Times New Roman"/>
                <w:sz w:val="20"/>
                <w:szCs w:val="20"/>
                <w:lang w:eastAsia="en-ZA"/>
              </w:rPr>
              <w:t>References:</w:t>
            </w:r>
          </w:p>
          <w:p w14:paraId="5399CC39" w14:textId="77777777" w:rsidR="002D7080" w:rsidRPr="00E45D46" w:rsidRDefault="002D7080" w:rsidP="002E2C37">
            <w:pPr>
              <w:ind w:left="720" w:hanging="720"/>
              <w:contextualSpacing/>
              <w:jc w:val="both"/>
              <w:rPr>
                <w:rFonts w:ascii="Times New Roman" w:hAnsi="Times New Roman" w:cs="Times New Roman"/>
                <w:sz w:val="20"/>
                <w:szCs w:val="20"/>
                <w:shd w:val="clear" w:color="auto" w:fill="FFFFFF"/>
              </w:rPr>
            </w:pPr>
            <w:r w:rsidRPr="00E45D46">
              <w:rPr>
                <w:rFonts w:ascii="Times New Roman" w:hAnsi="Times New Roman" w:cs="Times New Roman"/>
                <w:sz w:val="20"/>
                <w:szCs w:val="20"/>
                <w:shd w:val="clear" w:color="auto" w:fill="FFFFFF"/>
              </w:rPr>
              <w:t>Holdich</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xml:space="preserve"> D</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M</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Haffner</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xml:space="preserve"> P</w:t>
            </w:r>
            <w:r>
              <w:rPr>
                <w:rFonts w:ascii="Times New Roman" w:hAnsi="Times New Roman" w:cs="Times New Roman"/>
                <w:sz w:val="20"/>
                <w:szCs w:val="20"/>
                <w:shd w:val="clear" w:color="auto" w:fill="FFFFFF"/>
              </w:rPr>
              <w:t>. &amp;</w:t>
            </w:r>
            <w:r w:rsidRPr="00E45D46">
              <w:rPr>
                <w:rFonts w:ascii="Times New Roman" w:hAnsi="Times New Roman" w:cs="Times New Roman"/>
                <w:sz w:val="20"/>
                <w:szCs w:val="20"/>
                <w:shd w:val="clear" w:color="auto" w:fill="FFFFFF"/>
              </w:rPr>
              <w:t xml:space="preserve"> Noël</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xml:space="preserve"> P</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2006</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xml:space="preserve"> Species files. In: </w:t>
            </w:r>
            <w:r w:rsidRPr="00E45D46">
              <w:rPr>
                <w:rStyle w:val="Emphasis"/>
                <w:rFonts w:ascii="Times New Roman" w:hAnsi="Times New Roman" w:cs="Times New Roman"/>
                <w:sz w:val="20"/>
                <w:szCs w:val="20"/>
                <w:shd w:val="clear" w:color="auto" w:fill="FFFFFF"/>
              </w:rPr>
              <w:t>Atlas of Crayfish in Europe</w:t>
            </w:r>
            <w:r w:rsidRPr="00E45D46">
              <w:rPr>
                <w:rFonts w:ascii="Times New Roman" w:hAnsi="Times New Roman" w:cs="Times New Roman"/>
                <w:sz w:val="20"/>
                <w:szCs w:val="20"/>
                <w:shd w:val="clear" w:color="auto" w:fill="FFFFFF"/>
              </w:rPr>
              <w:t>, [ed. by Souty-Grosset</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xml:space="preserve"> C</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Holdich</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xml:space="preserve"> D</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M</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Noël</w:t>
            </w:r>
            <w:r>
              <w:rPr>
                <w:rFonts w:ascii="Times New Roman" w:hAnsi="Times New Roman" w:cs="Times New Roman"/>
                <w:sz w:val="20"/>
                <w:szCs w:val="20"/>
                <w:shd w:val="clear" w:color="auto" w:fill="FFFFFF"/>
              </w:rPr>
              <w:t xml:space="preserve">, </w:t>
            </w:r>
            <w:r w:rsidRPr="00E45D46">
              <w:rPr>
                <w:rFonts w:ascii="Times New Roman" w:hAnsi="Times New Roman" w:cs="Times New Roman"/>
                <w:sz w:val="20"/>
                <w:szCs w:val="20"/>
                <w:shd w:val="clear" w:color="auto" w:fill="FFFFFF"/>
              </w:rPr>
              <w:t>P</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Y</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Reynolds</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xml:space="preserve"> J</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D</w:t>
            </w:r>
            <w:r>
              <w:rPr>
                <w:rFonts w:ascii="Times New Roman" w:hAnsi="Times New Roman" w:cs="Times New Roman"/>
                <w:sz w:val="20"/>
                <w:szCs w:val="20"/>
                <w:shd w:val="clear" w:color="auto" w:fill="FFFFFF"/>
              </w:rPr>
              <w:t>. &amp;</w:t>
            </w:r>
            <w:r w:rsidRPr="00E45D46">
              <w:rPr>
                <w:rFonts w:ascii="Times New Roman" w:hAnsi="Times New Roman" w:cs="Times New Roman"/>
                <w:sz w:val="20"/>
                <w:szCs w:val="20"/>
                <w:shd w:val="clear" w:color="auto" w:fill="FFFFFF"/>
              </w:rPr>
              <w:t xml:space="preserve"> Haffner</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xml:space="preserve"> P</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Paris, France: Museum national d’Histoire naturelle. 50-129.</w:t>
            </w:r>
          </w:p>
          <w:p w14:paraId="4E3C9BF8" w14:textId="77777777" w:rsidR="002D7080"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B3294F">
              <w:rPr>
                <w:rFonts w:ascii="Times New Roman" w:hAnsi="Times New Roman" w:cs="Times New Roman"/>
                <w:sz w:val="20"/>
                <w:szCs w:val="20"/>
                <w:shd w:val="clear" w:color="auto" w:fill="FFFFFF"/>
              </w:rPr>
              <w:t>Holdich, D.</w:t>
            </w:r>
            <w:r>
              <w:rPr>
                <w:rFonts w:ascii="Times New Roman" w:hAnsi="Times New Roman" w:cs="Times New Roman"/>
                <w:sz w:val="20"/>
                <w:szCs w:val="20"/>
                <w:shd w:val="clear" w:color="auto" w:fill="FFFFFF"/>
              </w:rPr>
              <w:t xml:space="preserve"> &amp;</w:t>
            </w:r>
            <w:r w:rsidRPr="00B3294F">
              <w:rPr>
                <w:rFonts w:ascii="Times New Roman" w:hAnsi="Times New Roman" w:cs="Times New Roman"/>
                <w:sz w:val="20"/>
                <w:szCs w:val="20"/>
                <w:shd w:val="clear" w:color="auto" w:fill="FFFFFF"/>
              </w:rPr>
              <w:t xml:space="preserve"> Black, J., 2007</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The spiny-cheek crayfish, </w:t>
            </w:r>
            <w:r w:rsidRPr="00847BD5">
              <w:rPr>
                <w:rFonts w:ascii="Times New Roman" w:hAnsi="Times New Roman" w:cs="Times New Roman"/>
                <w:i/>
                <w:iCs/>
                <w:sz w:val="20"/>
                <w:szCs w:val="20"/>
                <w:shd w:val="clear" w:color="auto" w:fill="FFFFFF"/>
              </w:rPr>
              <w:t>Orconectes limosus</w:t>
            </w:r>
            <w:r w:rsidRPr="00B3294F">
              <w:rPr>
                <w:rFonts w:ascii="Times New Roman" w:hAnsi="Times New Roman" w:cs="Times New Roman"/>
                <w:sz w:val="20"/>
                <w:szCs w:val="20"/>
                <w:shd w:val="clear" w:color="auto" w:fill="FFFFFF"/>
              </w:rPr>
              <w:t xml:space="preserve"> (Rafinesque, 1817) [Crustacea: Decapoda: Cambaridae], digs into the UK</w:t>
            </w:r>
            <w:r>
              <w:rPr>
                <w:rFonts w:ascii="Times New Roman" w:hAnsi="Times New Roman" w:cs="Times New Roman"/>
                <w:sz w:val="20"/>
                <w:szCs w:val="20"/>
                <w:shd w:val="clear" w:color="auto" w:fill="FFFFFF"/>
              </w:rPr>
              <w:t xml:space="preserve">’, </w:t>
            </w:r>
            <w:r w:rsidRPr="00B3294F">
              <w:rPr>
                <w:rStyle w:val="Emphasis"/>
                <w:rFonts w:ascii="Times New Roman" w:hAnsi="Times New Roman" w:cs="Times New Roman"/>
                <w:sz w:val="20"/>
                <w:szCs w:val="20"/>
                <w:shd w:val="clear" w:color="auto" w:fill="FFFFFF"/>
              </w:rPr>
              <w:t>Aquatic Invasions</w:t>
            </w:r>
            <w:r w:rsidRPr="00B3294F">
              <w:rPr>
                <w:rFonts w:ascii="Times New Roman" w:hAnsi="Times New Roman" w:cs="Times New Roman"/>
                <w:sz w:val="20"/>
                <w:szCs w:val="20"/>
                <w:shd w:val="clear" w:color="auto" w:fill="FFFFFF"/>
              </w:rPr>
              <w:t>, 2(1)</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 1-16. </w:t>
            </w:r>
            <w:hyperlink w:tgtFrame="_blank" w:history="1">
              <w:r w:rsidRPr="00B3294F">
                <w:rPr>
                  <w:rStyle w:val="Hyperlink"/>
                  <w:rFonts w:ascii="Times New Roman" w:hAnsi="Times New Roman" w:cs="Times New Roman"/>
                  <w:sz w:val="20"/>
                  <w:szCs w:val="20"/>
                  <w:shd w:val="clear" w:color="auto" w:fill="FFFFFF"/>
                </w:rPr>
                <w:t>http://www.aquaticinvasions.ru/2007/AI_2007_2_1_Holdich_Black.pdf</w:t>
              </w:r>
            </w:hyperlink>
            <w:r w:rsidRPr="004D1E6F">
              <w:rPr>
                <w:rFonts w:ascii="Times New Roman" w:eastAsia="Times New Roman" w:hAnsi="Times New Roman" w:cs="Times New Roman"/>
                <w:color w:val="000000"/>
                <w:sz w:val="20"/>
                <w:szCs w:val="20"/>
                <w:lang w:eastAsia="en-ZA"/>
              </w:rPr>
              <w:t xml:space="preserve"> </w:t>
            </w:r>
          </w:p>
          <w:p w14:paraId="06385D34" w14:textId="77777777" w:rsidR="002D7080" w:rsidRPr="00E45D46" w:rsidRDefault="002D7080" w:rsidP="002E2C37">
            <w:pPr>
              <w:ind w:left="720" w:hanging="720"/>
              <w:contextualSpacing/>
              <w:jc w:val="both"/>
              <w:rPr>
                <w:rFonts w:ascii="Times New Roman" w:hAnsi="Times New Roman" w:cs="Times New Roman"/>
                <w:sz w:val="20"/>
                <w:szCs w:val="20"/>
                <w:shd w:val="clear" w:color="auto" w:fill="FFFFFF"/>
              </w:rPr>
            </w:pPr>
            <w:r w:rsidRPr="00E45D46">
              <w:rPr>
                <w:rFonts w:ascii="Times New Roman" w:hAnsi="Times New Roman" w:cs="Times New Roman"/>
                <w:sz w:val="20"/>
                <w:szCs w:val="20"/>
                <w:shd w:val="clear" w:color="auto" w:fill="FFFFFF"/>
              </w:rPr>
              <w:t>Kozák, P., Buřič, M., Policar, T., Hamáčková, J.</w:t>
            </w:r>
            <w:r>
              <w:rPr>
                <w:rFonts w:ascii="Times New Roman" w:hAnsi="Times New Roman" w:cs="Times New Roman"/>
                <w:sz w:val="20"/>
                <w:szCs w:val="20"/>
                <w:shd w:val="clear" w:color="auto" w:fill="FFFFFF"/>
              </w:rPr>
              <w:t xml:space="preserve"> &amp;</w:t>
            </w:r>
            <w:r w:rsidRPr="00E45D46">
              <w:rPr>
                <w:rFonts w:ascii="Times New Roman" w:hAnsi="Times New Roman" w:cs="Times New Roman"/>
                <w:sz w:val="20"/>
                <w:szCs w:val="20"/>
                <w:shd w:val="clear" w:color="auto" w:fill="FFFFFF"/>
              </w:rPr>
              <w:t xml:space="preserve"> Lepičová, A., 2007</w:t>
            </w:r>
            <w:r>
              <w:rPr>
                <w:rFonts w:ascii="Times New Roman" w:hAnsi="Times New Roman" w:cs="Times New Roman"/>
                <w:sz w:val="20"/>
                <w:szCs w:val="20"/>
                <w:shd w:val="clear" w:color="auto" w:fill="FFFFFF"/>
              </w:rPr>
              <w:t>, ‘</w:t>
            </w:r>
            <w:r w:rsidRPr="00E45D46">
              <w:rPr>
                <w:rFonts w:ascii="Times New Roman" w:hAnsi="Times New Roman" w:cs="Times New Roman"/>
                <w:sz w:val="20"/>
                <w:szCs w:val="20"/>
                <w:shd w:val="clear" w:color="auto" w:fill="FFFFFF"/>
              </w:rPr>
              <w:t xml:space="preserve">The effect of inter- and intra-specific competition on survival and growth rate of native juvenile noble crayfish </w:t>
            </w:r>
            <w:r w:rsidRPr="00E45D46">
              <w:rPr>
                <w:rFonts w:ascii="Times New Roman" w:hAnsi="Times New Roman" w:cs="Times New Roman"/>
                <w:i/>
                <w:iCs/>
                <w:sz w:val="20"/>
                <w:szCs w:val="20"/>
                <w:shd w:val="clear" w:color="auto" w:fill="FFFFFF"/>
              </w:rPr>
              <w:t>Astacus astacus</w:t>
            </w:r>
            <w:r w:rsidRPr="00E45D46">
              <w:rPr>
                <w:rFonts w:ascii="Times New Roman" w:hAnsi="Times New Roman" w:cs="Times New Roman"/>
                <w:sz w:val="20"/>
                <w:szCs w:val="20"/>
                <w:shd w:val="clear" w:color="auto" w:fill="FFFFFF"/>
              </w:rPr>
              <w:t xml:space="preserve"> and alien spiny-cheek crayfish </w:t>
            </w:r>
            <w:r w:rsidRPr="008B0808">
              <w:rPr>
                <w:rFonts w:ascii="Times New Roman" w:hAnsi="Times New Roman" w:cs="Times New Roman"/>
                <w:i/>
                <w:iCs/>
                <w:sz w:val="20"/>
                <w:szCs w:val="20"/>
                <w:shd w:val="clear" w:color="auto" w:fill="FFFFFF"/>
              </w:rPr>
              <w:t>Orconectes limosus’</w:t>
            </w:r>
            <w:r>
              <w:rPr>
                <w:rFonts w:ascii="Times New Roman" w:hAnsi="Times New Roman" w:cs="Times New Roman"/>
                <w:sz w:val="20"/>
                <w:szCs w:val="20"/>
                <w:shd w:val="clear" w:color="auto" w:fill="FFFFFF"/>
              </w:rPr>
              <w:t xml:space="preserve">, </w:t>
            </w:r>
            <w:r w:rsidRPr="00E45D46">
              <w:rPr>
                <w:rStyle w:val="Emphasis"/>
                <w:rFonts w:ascii="Times New Roman" w:hAnsi="Times New Roman" w:cs="Times New Roman"/>
                <w:sz w:val="20"/>
                <w:szCs w:val="20"/>
                <w:shd w:val="clear" w:color="auto" w:fill="FFFFFF"/>
              </w:rPr>
              <w:t>Hydrobiologia</w:t>
            </w:r>
            <w:r w:rsidRPr="00E45D46">
              <w:rPr>
                <w:rFonts w:ascii="Times New Roman" w:hAnsi="Times New Roman" w:cs="Times New Roman"/>
                <w:sz w:val="20"/>
                <w:szCs w:val="20"/>
                <w:shd w:val="clear" w:color="auto" w:fill="FFFFFF"/>
              </w:rPr>
              <w:t>, 59085-94.</w:t>
            </w:r>
            <w:r>
              <w:rPr>
                <w:rFonts w:ascii="Times New Roman" w:hAnsi="Times New Roman" w:cs="Times New Roman"/>
                <w:sz w:val="20"/>
                <w:szCs w:val="20"/>
                <w:shd w:val="clear" w:color="auto" w:fill="FFFFFF"/>
              </w:rPr>
              <w:t xml:space="preserve"> </w:t>
            </w:r>
            <w:hyperlink r:id="rId285" w:history="1">
              <w:r w:rsidRPr="002E40C3">
                <w:rPr>
                  <w:rStyle w:val="Hyperlink"/>
                  <w:rFonts w:ascii="Times New Roman" w:hAnsi="Times New Roman" w:cs="Times New Roman"/>
                  <w:sz w:val="20"/>
                  <w:szCs w:val="20"/>
                  <w:shd w:val="clear" w:color="auto" w:fill="FFFFFF"/>
                </w:rPr>
                <w:t>https://doi.org/10.1007/s10750-007-0760-0</w:t>
              </w:r>
            </w:hyperlink>
            <w:r w:rsidRPr="002E40C3">
              <w:rPr>
                <w:rFonts w:ascii="Times New Roman" w:hAnsi="Times New Roman" w:cs="Times New Roman"/>
                <w:sz w:val="20"/>
                <w:szCs w:val="20"/>
                <w:shd w:val="clear" w:color="auto" w:fill="FFFFFF"/>
              </w:rPr>
              <w:t>.</w:t>
            </w:r>
          </w:p>
          <w:p w14:paraId="3B5C3AC7" w14:textId="77777777" w:rsidR="002D7080" w:rsidRDefault="002D7080" w:rsidP="002E2C37">
            <w:pPr>
              <w:ind w:left="720" w:hanging="720"/>
              <w:contextualSpacing/>
              <w:jc w:val="both"/>
              <w:rPr>
                <w:rFonts w:ascii="Times New Roman" w:hAnsi="Times New Roman" w:cs="Times New Roman"/>
                <w:sz w:val="20"/>
                <w:szCs w:val="20"/>
                <w:shd w:val="clear" w:color="auto" w:fill="FFFFFF"/>
              </w:rPr>
            </w:pPr>
            <w:r w:rsidRPr="00E45D46">
              <w:rPr>
                <w:rFonts w:ascii="Times New Roman" w:hAnsi="Times New Roman" w:cs="Times New Roman"/>
                <w:sz w:val="20"/>
                <w:szCs w:val="20"/>
                <w:shd w:val="clear" w:color="auto" w:fill="FFFFFF"/>
              </w:rPr>
              <w:t>Musil</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xml:space="preserve"> M</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Buřič</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xml:space="preserve"> M</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Policar</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xml:space="preserve"> T</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Kouba</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xml:space="preserve"> A</w:t>
            </w:r>
            <w:r>
              <w:rPr>
                <w:rFonts w:ascii="Times New Roman" w:hAnsi="Times New Roman" w:cs="Times New Roman"/>
                <w:sz w:val="20"/>
                <w:szCs w:val="20"/>
                <w:shd w:val="clear" w:color="auto" w:fill="FFFFFF"/>
              </w:rPr>
              <w:t>. &amp;</w:t>
            </w:r>
            <w:r w:rsidRPr="00E45D46">
              <w:rPr>
                <w:rFonts w:ascii="Times New Roman" w:hAnsi="Times New Roman" w:cs="Times New Roman"/>
                <w:sz w:val="20"/>
                <w:szCs w:val="20"/>
                <w:shd w:val="clear" w:color="auto" w:fill="FFFFFF"/>
              </w:rPr>
              <w:t xml:space="preserve"> Kozák</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xml:space="preserve"> P</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2010</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Comparison of diurnal and nocturnal activity between noble crayfish (</w:t>
            </w:r>
            <w:r w:rsidRPr="00E45D46">
              <w:rPr>
                <w:rFonts w:ascii="Times New Roman" w:hAnsi="Times New Roman" w:cs="Times New Roman"/>
                <w:i/>
                <w:iCs/>
                <w:sz w:val="20"/>
                <w:szCs w:val="20"/>
                <w:shd w:val="clear" w:color="auto" w:fill="FFFFFF"/>
              </w:rPr>
              <w:t>Astacus astacus</w:t>
            </w:r>
            <w:r w:rsidRPr="00E45D46">
              <w:rPr>
                <w:rFonts w:ascii="Times New Roman" w:hAnsi="Times New Roman" w:cs="Times New Roman"/>
                <w:sz w:val="20"/>
                <w:szCs w:val="20"/>
                <w:shd w:val="clear" w:color="auto" w:fill="FFFFFF"/>
              </w:rPr>
              <w:t>) and spinycheek crayfish (</w:t>
            </w:r>
            <w:r w:rsidRPr="00E45D46">
              <w:rPr>
                <w:rFonts w:ascii="Times New Roman" w:hAnsi="Times New Roman" w:cs="Times New Roman"/>
                <w:i/>
                <w:iCs/>
                <w:sz w:val="20"/>
                <w:szCs w:val="20"/>
                <w:shd w:val="clear" w:color="auto" w:fill="FFFFFF"/>
              </w:rPr>
              <w:t>Orconectes limosus</w:t>
            </w:r>
            <w:r w:rsidRPr="00E45D46">
              <w:rPr>
                <w:rFonts w:ascii="Times New Roman" w:hAnsi="Times New Roman" w:cs="Times New Roman"/>
                <w:sz w:val="20"/>
                <w:szCs w:val="20"/>
                <w:shd w:val="clear" w:color="auto" w:fill="FFFFFF"/>
              </w:rPr>
              <w:t>)</w:t>
            </w:r>
            <w:r>
              <w:rPr>
                <w:rFonts w:ascii="Times New Roman" w:hAnsi="Times New Roman" w:cs="Times New Roman"/>
                <w:sz w:val="20"/>
                <w:szCs w:val="20"/>
                <w:shd w:val="clear" w:color="auto" w:fill="FFFFFF"/>
              </w:rPr>
              <w:t>’,</w:t>
            </w:r>
            <w:r w:rsidRPr="00E45D46">
              <w:rPr>
                <w:rFonts w:ascii="Times New Roman" w:hAnsi="Times New Roman" w:cs="Times New Roman"/>
                <w:sz w:val="20"/>
                <w:szCs w:val="20"/>
                <w:shd w:val="clear" w:color="auto" w:fill="FFFFFF"/>
              </w:rPr>
              <w:t> </w:t>
            </w:r>
            <w:r w:rsidRPr="00E45D46">
              <w:rPr>
                <w:rStyle w:val="Emphasis"/>
                <w:rFonts w:ascii="Times New Roman" w:hAnsi="Times New Roman" w:cs="Times New Roman"/>
                <w:sz w:val="20"/>
                <w:szCs w:val="20"/>
                <w:shd w:val="clear" w:color="auto" w:fill="FFFFFF"/>
              </w:rPr>
              <w:t>Freshwater Crayfish</w:t>
            </w:r>
            <w:r w:rsidRPr="00E45D46">
              <w:rPr>
                <w:rFonts w:ascii="Times New Roman" w:hAnsi="Times New Roman" w:cs="Times New Roman"/>
                <w:sz w:val="20"/>
                <w:szCs w:val="20"/>
                <w:shd w:val="clear" w:color="auto" w:fill="FFFFFF"/>
              </w:rPr>
              <w:t>, 17189-193.</w:t>
            </w:r>
          </w:p>
          <w:p w14:paraId="5C47C88C" w14:textId="77777777" w:rsidR="002D7080" w:rsidRPr="00C77D0C" w:rsidRDefault="002D7080" w:rsidP="002E2C37">
            <w:pPr>
              <w:ind w:left="720" w:hanging="720"/>
              <w:contextualSpacing/>
              <w:rPr>
                <w:rFonts w:ascii="Times New Roman" w:hAnsi="Times New Roman" w:cs="Times New Roman"/>
                <w:sz w:val="20"/>
                <w:szCs w:val="20"/>
                <w:shd w:val="clear" w:color="auto" w:fill="FFFFFF"/>
              </w:rPr>
            </w:pPr>
            <w:r w:rsidRPr="008438DF">
              <w:rPr>
                <w:rFonts w:ascii="Times New Roman" w:hAnsi="Times New Roman" w:cs="Times New Roman"/>
                <w:sz w:val="20"/>
                <w:szCs w:val="20"/>
                <w:shd w:val="clear" w:color="auto" w:fill="FFFFFF"/>
              </w:rPr>
              <w:t>Pârvulescu, L., Schrimpf, A., Kozubíková, E., Resino, S. C., Vrålstad, T., Petrusek, A.</w:t>
            </w:r>
            <w:r>
              <w:rPr>
                <w:rFonts w:ascii="Times New Roman" w:hAnsi="Times New Roman" w:cs="Times New Roman"/>
                <w:sz w:val="20"/>
                <w:szCs w:val="20"/>
                <w:shd w:val="clear" w:color="auto" w:fill="FFFFFF"/>
              </w:rPr>
              <w:t xml:space="preserve"> &amp;</w:t>
            </w:r>
            <w:r w:rsidRPr="008438DF">
              <w:rPr>
                <w:rFonts w:ascii="Times New Roman" w:hAnsi="Times New Roman" w:cs="Times New Roman"/>
                <w:sz w:val="20"/>
                <w:szCs w:val="20"/>
                <w:shd w:val="clear" w:color="auto" w:fill="FFFFFF"/>
              </w:rPr>
              <w:t xml:space="preserve"> Schulz, R., 2012</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Invasive crayfish and crayfish plague on the move: first detection of the plague agent </w:t>
            </w:r>
            <w:r w:rsidRPr="008438DF">
              <w:rPr>
                <w:rFonts w:ascii="Times New Roman" w:hAnsi="Times New Roman" w:cs="Times New Roman"/>
                <w:i/>
                <w:iCs/>
                <w:sz w:val="20"/>
                <w:szCs w:val="20"/>
                <w:shd w:val="clear" w:color="auto" w:fill="FFFFFF"/>
              </w:rPr>
              <w:t>Aphanomyces astaci</w:t>
            </w:r>
            <w:r w:rsidRPr="008438DF">
              <w:rPr>
                <w:rFonts w:ascii="Times New Roman" w:hAnsi="Times New Roman" w:cs="Times New Roman"/>
                <w:sz w:val="20"/>
                <w:szCs w:val="20"/>
                <w:shd w:val="clear" w:color="auto" w:fill="FFFFFF"/>
              </w:rPr>
              <w:t xml:space="preserve"> in the Romanian Danube</w:t>
            </w:r>
            <w:r>
              <w:rPr>
                <w:rFonts w:ascii="Times New Roman" w:hAnsi="Times New Roman" w:cs="Times New Roman"/>
                <w:sz w:val="20"/>
                <w:szCs w:val="20"/>
                <w:shd w:val="clear" w:color="auto" w:fill="FFFFFF"/>
              </w:rPr>
              <w:t xml:space="preserve">’, </w:t>
            </w:r>
            <w:r w:rsidRPr="008438DF">
              <w:rPr>
                <w:rStyle w:val="Emphasis"/>
                <w:rFonts w:ascii="Times New Roman" w:hAnsi="Times New Roman" w:cs="Times New Roman"/>
                <w:sz w:val="20"/>
                <w:szCs w:val="20"/>
                <w:shd w:val="clear" w:color="auto" w:fill="FFFFFF"/>
              </w:rPr>
              <w:t>Diseases of Aquatic Organisms</w:t>
            </w:r>
            <w:r w:rsidRPr="008438DF">
              <w:rPr>
                <w:rFonts w:ascii="Times New Roman" w:hAnsi="Times New Roman" w:cs="Times New Roman"/>
                <w:sz w:val="20"/>
                <w:szCs w:val="20"/>
                <w:shd w:val="clear" w:color="auto" w:fill="FFFFFF"/>
              </w:rPr>
              <w:t>, 98(1)</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85-94. </w:t>
            </w:r>
            <w:hyperlink r:id="rId286" w:history="1">
              <w:r w:rsidRPr="00695C0E">
                <w:rPr>
                  <w:rStyle w:val="Hyperlink"/>
                  <w:rFonts w:ascii="Times New Roman" w:hAnsi="Times New Roman" w:cs="Times New Roman"/>
                  <w:sz w:val="20"/>
                  <w:szCs w:val="20"/>
                  <w:shd w:val="clear" w:color="auto" w:fill="FFFFFF"/>
                </w:rPr>
                <w:t>https://doi.org/10.3354/dao02432</w:t>
              </w:r>
            </w:hyperlink>
            <w:r>
              <w:rPr>
                <w:rFonts w:ascii="Times New Roman" w:hAnsi="Times New Roman" w:cs="Times New Roman"/>
                <w:sz w:val="20"/>
                <w:szCs w:val="20"/>
                <w:shd w:val="clear" w:color="auto" w:fill="FFFFFF"/>
              </w:rPr>
              <w:t xml:space="preserve">. </w:t>
            </w:r>
          </w:p>
        </w:tc>
      </w:tr>
      <w:tr w:rsidR="002D7080" w:rsidRPr="004D1E6F" w14:paraId="48940E73" w14:textId="77777777" w:rsidTr="002E2C37">
        <w:tc>
          <w:tcPr>
            <w:tcW w:w="9016" w:type="dxa"/>
            <w:gridSpan w:val="2"/>
            <w:shd w:val="clear" w:color="auto" w:fill="F2F2F2" w:themeFill="background1" w:themeFillShade="F2"/>
          </w:tcPr>
          <w:p w14:paraId="27216E6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CON1b: Predation</w:t>
            </w:r>
          </w:p>
        </w:tc>
      </w:tr>
      <w:tr w:rsidR="002D7080" w:rsidRPr="004D1E6F" w14:paraId="2D3E8F1D" w14:textId="77777777" w:rsidTr="002E2C37">
        <w:tc>
          <w:tcPr>
            <w:tcW w:w="5949" w:type="dxa"/>
          </w:tcPr>
          <w:p w14:paraId="72FB26B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Moderate (MO)</w:t>
            </w:r>
          </w:p>
        </w:tc>
        <w:tc>
          <w:tcPr>
            <w:tcW w:w="3067" w:type="dxa"/>
          </w:tcPr>
          <w:p w14:paraId="280A467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Low </w:t>
            </w:r>
          </w:p>
        </w:tc>
      </w:tr>
      <w:tr w:rsidR="002D7080" w:rsidRPr="004D1E6F" w14:paraId="601F3798" w14:textId="77777777" w:rsidTr="002E2C37">
        <w:trPr>
          <w:trHeight w:val="70"/>
        </w:trPr>
        <w:tc>
          <w:tcPr>
            <w:tcW w:w="9016" w:type="dxa"/>
            <w:gridSpan w:val="2"/>
          </w:tcPr>
          <w:p w14:paraId="54050860" w14:textId="77777777" w:rsidR="002D7080" w:rsidRPr="00E355AD" w:rsidRDefault="002D7080" w:rsidP="002E2C37">
            <w:pPr>
              <w:jc w:val="both"/>
              <w:rPr>
                <w:rFonts w:ascii="Times New Roman" w:eastAsia="Times New Roman" w:hAnsi="Times New Roman" w:cs="Times New Roman"/>
                <w:sz w:val="20"/>
                <w:szCs w:val="20"/>
                <w:lang w:eastAsia="en-ZA"/>
              </w:rPr>
            </w:pPr>
            <w:r w:rsidRPr="00E355AD">
              <w:rPr>
                <w:rFonts w:ascii="Times New Roman" w:eastAsia="Times New Roman" w:hAnsi="Times New Roman" w:cs="Times New Roman"/>
                <w:sz w:val="20"/>
                <w:szCs w:val="20"/>
                <w:lang w:eastAsia="en-ZA"/>
              </w:rPr>
              <w:t xml:space="preserve">Rationale: </w:t>
            </w:r>
            <w:r w:rsidRPr="00E355AD">
              <w:rPr>
                <w:rFonts w:ascii="Times New Roman" w:eastAsia="Times New Roman" w:hAnsi="Times New Roman" w:cs="Times New Roman"/>
                <w:i/>
                <w:iCs/>
                <w:sz w:val="20"/>
                <w:szCs w:val="20"/>
                <w:lang w:eastAsia="en-ZA"/>
              </w:rPr>
              <w:t xml:space="preserve">Faxinous </w:t>
            </w:r>
            <w:r>
              <w:rPr>
                <w:rFonts w:ascii="Times New Roman" w:eastAsia="Times New Roman" w:hAnsi="Times New Roman" w:cs="Times New Roman"/>
                <w:i/>
                <w:iCs/>
                <w:sz w:val="20"/>
                <w:szCs w:val="20"/>
                <w:lang w:eastAsia="en-ZA"/>
              </w:rPr>
              <w:t xml:space="preserve">limosus </w:t>
            </w:r>
            <w:r w:rsidRPr="00DE094B">
              <w:rPr>
                <w:rFonts w:ascii="Times New Roman" w:eastAsia="Times New Roman" w:hAnsi="Times New Roman" w:cs="Times New Roman"/>
                <w:sz w:val="20"/>
                <w:szCs w:val="20"/>
                <w:lang w:eastAsia="en-ZA"/>
              </w:rPr>
              <w:t>is</w:t>
            </w:r>
            <w:r w:rsidRPr="00E355AD">
              <w:rPr>
                <w:rFonts w:ascii="Times New Roman" w:eastAsia="Times New Roman" w:hAnsi="Times New Roman" w:cs="Times New Roman"/>
                <w:i/>
                <w:iCs/>
                <w:sz w:val="20"/>
                <w:szCs w:val="20"/>
                <w:lang w:eastAsia="en-ZA"/>
              </w:rPr>
              <w:t xml:space="preserve"> </w:t>
            </w:r>
            <w:r w:rsidRPr="00E355AD">
              <w:rPr>
                <w:rFonts w:ascii="Times New Roman" w:hAnsi="Times New Roman" w:cs="Times New Roman"/>
                <w:sz w:val="20"/>
                <w:szCs w:val="20"/>
              </w:rPr>
              <w:t>omnivorous species, it is likely to cause a decrease in macrophyte cover, macroinvertebrates abundance and diversity, changing trophic interaction and community composition (</w:t>
            </w:r>
            <w:r w:rsidRPr="00E355AD">
              <w:rPr>
                <w:rFonts w:ascii="Times New Roman" w:hAnsi="Times New Roman" w:cs="Times New Roman"/>
                <w:color w:val="333333"/>
                <w:sz w:val="20"/>
                <w:szCs w:val="20"/>
                <w:shd w:val="clear" w:color="auto" w:fill="FFFFFF"/>
              </w:rPr>
              <w:t>Vojkovská</w:t>
            </w:r>
            <w:r w:rsidRPr="00E355AD">
              <w:rPr>
                <w:rFonts w:ascii="Times New Roman" w:hAnsi="Times New Roman" w:cs="Times New Roman"/>
                <w:sz w:val="20"/>
                <w:szCs w:val="20"/>
              </w:rPr>
              <w:t xml:space="preserve"> et al. 2014</w:t>
            </w:r>
            <w:r>
              <w:rPr>
                <w:rFonts w:ascii="Times New Roman" w:hAnsi="Times New Roman" w:cs="Times New Roman"/>
                <w:sz w:val="20"/>
                <w:szCs w:val="20"/>
              </w:rPr>
              <w:t>;</w:t>
            </w:r>
            <w:r w:rsidRPr="00E355AD">
              <w:rPr>
                <w:rFonts w:ascii="Times New Roman" w:hAnsi="Times New Roman" w:cs="Times New Roman"/>
                <w:color w:val="222222"/>
                <w:sz w:val="20"/>
                <w:szCs w:val="20"/>
                <w:shd w:val="clear" w:color="auto" w:fill="FFFFFF"/>
              </w:rPr>
              <w:t xml:space="preserve"> Šidagytė</w:t>
            </w:r>
            <w:r w:rsidRPr="00E355AD">
              <w:rPr>
                <w:rFonts w:ascii="Times New Roman" w:hAnsi="Times New Roman" w:cs="Times New Roman"/>
                <w:sz w:val="20"/>
                <w:szCs w:val="20"/>
              </w:rPr>
              <w:t xml:space="preserve"> et al. 2017)</w:t>
            </w:r>
            <w:r>
              <w:rPr>
                <w:rFonts w:ascii="Times New Roman" w:hAnsi="Times New Roman" w:cs="Times New Roman"/>
                <w:sz w:val="20"/>
                <w:szCs w:val="20"/>
              </w:rPr>
              <w:t>.</w:t>
            </w:r>
          </w:p>
        </w:tc>
      </w:tr>
      <w:tr w:rsidR="002D7080" w:rsidRPr="004D1E6F" w14:paraId="423AEA16" w14:textId="77777777" w:rsidTr="002E2C37">
        <w:trPr>
          <w:trHeight w:val="70"/>
        </w:trPr>
        <w:tc>
          <w:tcPr>
            <w:tcW w:w="9016" w:type="dxa"/>
            <w:gridSpan w:val="2"/>
          </w:tcPr>
          <w:p w14:paraId="28A4B190" w14:textId="77777777" w:rsidR="002D7080" w:rsidRPr="00E355AD" w:rsidRDefault="002D7080" w:rsidP="002E2C37">
            <w:pPr>
              <w:ind w:left="720" w:hanging="720"/>
              <w:contextualSpacing/>
              <w:jc w:val="both"/>
              <w:rPr>
                <w:rFonts w:ascii="Times New Roman" w:eastAsia="Times New Roman" w:hAnsi="Times New Roman" w:cs="Times New Roman"/>
                <w:sz w:val="20"/>
                <w:szCs w:val="20"/>
                <w:lang w:eastAsia="en-ZA"/>
              </w:rPr>
            </w:pPr>
            <w:r w:rsidRPr="00E355AD">
              <w:rPr>
                <w:rFonts w:ascii="Times New Roman" w:eastAsia="Times New Roman" w:hAnsi="Times New Roman" w:cs="Times New Roman"/>
                <w:sz w:val="20"/>
                <w:szCs w:val="20"/>
                <w:lang w:eastAsia="en-ZA"/>
              </w:rPr>
              <w:t>References:</w:t>
            </w:r>
          </w:p>
          <w:p w14:paraId="513CB801" w14:textId="77777777" w:rsidR="002D7080" w:rsidRPr="00695C0E" w:rsidRDefault="002D7080" w:rsidP="002E2C37">
            <w:pPr>
              <w:ind w:left="720" w:hanging="720"/>
              <w:contextualSpacing/>
              <w:jc w:val="both"/>
              <w:rPr>
                <w:rFonts w:ascii="Times New Roman" w:hAnsi="Times New Roman" w:cs="Times New Roman"/>
                <w:sz w:val="20"/>
                <w:szCs w:val="20"/>
                <w:shd w:val="clear" w:color="auto" w:fill="FFFFFF"/>
              </w:rPr>
            </w:pPr>
            <w:r w:rsidRPr="00695C0E">
              <w:rPr>
                <w:rFonts w:ascii="Times New Roman" w:hAnsi="Times New Roman" w:cs="Times New Roman"/>
                <w:sz w:val="20"/>
                <w:szCs w:val="20"/>
                <w:shd w:val="clear" w:color="auto" w:fill="FFFFFF"/>
              </w:rPr>
              <w:t xml:space="preserve">Šidagytė, E., Razlutskij, V., Alekhnovich, A., Rybakovas, A., Moroz, M., Šniaukštaitė, V., Gintaitas, V. &amp; Arbačiauskas, K., 2017, ‘Predatory diet and potential effects of </w:t>
            </w:r>
            <w:r w:rsidRPr="00695C0E">
              <w:rPr>
                <w:rFonts w:ascii="Times New Roman" w:hAnsi="Times New Roman" w:cs="Times New Roman"/>
                <w:i/>
                <w:iCs/>
                <w:sz w:val="20"/>
                <w:szCs w:val="20"/>
                <w:shd w:val="clear" w:color="auto" w:fill="FFFFFF"/>
              </w:rPr>
              <w:t>Orconectes limosus</w:t>
            </w:r>
            <w:r w:rsidRPr="00695C0E">
              <w:rPr>
                <w:rFonts w:ascii="Times New Roman" w:hAnsi="Times New Roman" w:cs="Times New Roman"/>
                <w:sz w:val="20"/>
                <w:szCs w:val="20"/>
                <w:shd w:val="clear" w:color="auto" w:fill="FFFFFF"/>
              </w:rPr>
              <w:t xml:space="preserve"> on river macroinvertebrate assemblages of the southeastern Baltic Sea basin: implications for ecological assessment’, </w:t>
            </w:r>
            <w:r w:rsidRPr="00695C0E">
              <w:rPr>
                <w:rFonts w:ascii="Times New Roman" w:hAnsi="Times New Roman" w:cs="Times New Roman"/>
                <w:i/>
                <w:iCs/>
                <w:sz w:val="20"/>
                <w:szCs w:val="20"/>
                <w:shd w:val="clear" w:color="auto" w:fill="FFFFFF"/>
              </w:rPr>
              <w:t>Aquatic Invasions</w:t>
            </w:r>
            <w:r w:rsidRPr="00695C0E">
              <w:rPr>
                <w:rFonts w:ascii="Times New Roman" w:hAnsi="Times New Roman" w:cs="Times New Roman"/>
                <w:sz w:val="20"/>
                <w:szCs w:val="20"/>
                <w:shd w:val="clear" w:color="auto" w:fill="FFFFFF"/>
              </w:rPr>
              <w:t>, 12(4).</w:t>
            </w:r>
            <w:r>
              <w:rPr>
                <w:rFonts w:ascii="Times New Roman" w:hAnsi="Times New Roman" w:cs="Times New Roman"/>
                <w:sz w:val="20"/>
                <w:szCs w:val="20"/>
                <w:shd w:val="clear" w:color="auto" w:fill="FFFFFF"/>
              </w:rPr>
              <w:t xml:space="preserve"> </w:t>
            </w:r>
            <w:hyperlink r:id="rId287" w:history="1">
              <w:r w:rsidRPr="000B0DAE">
                <w:rPr>
                  <w:rStyle w:val="Hyperlink"/>
                  <w:rFonts w:ascii="Times New Roman" w:hAnsi="Times New Roman" w:cs="Times New Roman"/>
                  <w:sz w:val="20"/>
                  <w:szCs w:val="20"/>
                  <w:shd w:val="clear" w:color="auto" w:fill="FFFFFF"/>
                </w:rPr>
                <w:t>https://doi.org/10.3391/ai.2017.12.4.09</w:t>
              </w:r>
            </w:hyperlink>
            <w:r>
              <w:rPr>
                <w:rFonts w:ascii="Times New Roman" w:hAnsi="Times New Roman" w:cs="Times New Roman"/>
                <w:sz w:val="20"/>
                <w:szCs w:val="20"/>
                <w:shd w:val="clear" w:color="auto" w:fill="FFFFFF"/>
              </w:rPr>
              <w:t xml:space="preserve">. </w:t>
            </w:r>
          </w:p>
          <w:p w14:paraId="216BDE46" w14:textId="77777777" w:rsidR="002D7080" w:rsidRPr="00E355AD" w:rsidRDefault="002D7080" w:rsidP="002E2C37">
            <w:pPr>
              <w:ind w:left="720" w:hanging="720"/>
              <w:contextualSpacing/>
              <w:jc w:val="both"/>
              <w:rPr>
                <w:rFonts w:ascii="Times New Roman" w:eastAsia="Times New Roman" w:hAnsi="Times New Roman" w:cs="Times New Roman"/>
                <w:sz w:val="20"/>
                <w:szCs w:val="20"/>
                <w:lang w:eastAsia="en-ZA"/>
              </w:rPr>
            </w:pPr>
            <w:r w:rsidRPr="00695C0E">
              <w:rPr>
                <w:rFonts w:ascii="Times New Roman" w:hAnsi="Times New Roman" w:cs="Times New Roman"/>
                <w:sz w:val="20"/>
                <w:szCs w:val="20"/>
                <w:shd w:val="clear" w:color="auto" w:fill="FFFFFF"/>
              </w:rPr>
              <w:t xml:space="preserve">Vojkovská, R., Horká, I. &amp; Ďuriš, Z., 2014, ‘The diet of the spiny-cheek crayfish </w:t>
            </w:r>
            <w:r w:rsidRPr="00695C0E">
              <w:rPr>
                <w:rFonts w:ascii="Times New Roman" w:hAnsi="Times New Roman" w:cs="Times New Roman"/>
                <w:i/>
                <w:iCs/>
                <w:sz w:val="20"/>
                <w:szCs w:val="20"/>
                <w:shd w:val="clear" w:color="auto" w:fill="FFFFFF"/>
              </w:rPr>
              <w:t>Orconectes limosus</w:t>
            </w:r>
            <w:r w:rsidRPr="00695C0E">
              <w:rPr>
                <w:rFonts w:ascii="Times New Roman" w:hAnsi="Times New Roman" w:cs="Times New Roman"/>
                <w:sz w:val="20"/>
                <w:szCs w:val="20"/>
                <w:shd w:val="clear" w:color="auto" w:fill="FFFFFF"/>
              </w:rPr>
              <w:t xml:space="preserve"> in the Czech Republic’, </w:t>
            </w:r>
            <w:r w:rsidRPr="00695C0E">
              <w:rPr>
                <w:rStyle w:val="Emphasis"/>
                <w:rFonts w:ascii="Times New Roman" w:hAnsi="Times New Roman" w:cs="Times New Roman"/>
                <w:sz w:val="20"/>
                <w:szCs w:val="20"/>
                <w:shd w:val="clear" w:color="auto" w:fill="FFFFFF"/>
              </w:rPr>
              <w:t>Central European Journal of Biology</w:t>
            </w:r>
            <w:r w:rsidRPr="00695C0E">
              <w:rPr>
                <w:rFonts w:ascii="Times New Roman" w:hAnsi="Times New Roman" w:cs="Times New Roman"/>
                <w:sz w:val="20"/>
                <w:szCs w:val="20"/>
                <w:shd w:val="clear" w:color="auto" w:fill="FFFFFF"/>
              </w:rPr>
              <w:t>, 9(1), 58-69. </w:t>
            </w:r>
            <w:hyperlink w:tgtFrame="_blank" w:history="1">
              <w:r w:rsidRPr="00695C0E">
                <w:rPr>
                  <w:rStyle w:val="Hyperlink"/>
                  <w:rFonts w:ascii="Times New Roman" w:hAnsi="Times New Roman" w:cs="Times New Roman"/>
                  <w:sz w:val="20"/>
                  <w:szCs w:val="20"/>
                  <w:shd w:val="clear" w:color="auto" w:fill="FFFFFF"/>
                </w:rPr>
                <w:t>http://rd.springer.com/article/10.2478/s11535-013-0189-y</w:t>
              </w:r>
            </w:hyperlink>
          </w:p>
        </w:tc>
      </w:tr>
      <w:tr w:rsidR="002D7080" w:rsidRPr="004D1E6F" w14:paraId="6C32750A" w14:textId="77777777" w:rsidTr="002E2C37">
        <w:tc>
          <w:tcPr>
            <w:tcW w:w="9016" w:type="dxa"/>
            <w:gridSpan w:val="2"/>
            <w:shd w:val="clear" w:color="auto" w:fill="F2F2F2" w:themeFill="background1" w:themeFillShade="F2"/>
          </w:tcPr>
          <w:p w14:paraId="693332D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lastRenderedPageBreak/>
              <w:t>CON1c: Hybridisation</w:t>
            </w:r>
          </w:p>
        </w:tc>
      </w:tr>
      <w:tr w:rsidR="002D7080" w:rsidRPr="004D1E6F" w14:paraId="439A31D6" w14:textId="77777777" w:rsidTr="002E2C37">
        <w:tc>
          <w:tcPr>
            <w:tcW w:w="5949" w:type="dxa"/>
          </w:tcPr>
          <w:p w14:paraId="66C0E20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(DD)</w:t>
            </w:r>
          </w:p>
        </w:tc>
        <w:tc>
          <w:tcPr>
            <w:tcW w:w="3067" w:type="dxa"/>
          </w:tcPr>
          <w:p w14:paraId="10AC789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High </w:t>
            </w:r>
          </w:p>
        </w:tc>
      </w:tr>
      <w:tr w:rsidR="002D7080" w:rsidRPr="004D1E6F" w14:paraId="1CC252C1" w14:textId="77777777" w:rsidTr="002E2C37">
        <w:trPr>
          <w:trHeight w:val="70"/>
        </w:trPr>
        <w:tc>
          <w:tcPr>
            <w:tcW w:w="9016" w:type="dxa"/>
            <w:gridSpan w:val="2"/>
          </w:tcPr>
          <w:p w14:paraId="0D76AC7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Hybridisation is unlikely in South Africa because there are no native freshwater crayfish species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2017b)", "plainTextFormattedCitation" : "(de Moor 2002, Nunes et al. 2017b)", "previouslyFormattedCitation" : "(de Moor 2002, Nunes et al. 2017b)"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w:t>
            </w:r>
            <w:r w:rsidRPr="004D1E6F">
              <w:rPr>
                <w:rFonts w:ascii="Times New Roman" w:eastAsia="Times New Roman" w:hAnsi="Times New Roman" w:cs="Times New Roman"/>
                <w:sz w:val="20"/>
                <w:szCs w:val="20"/>
                <w:lang w:eastAsia="en-ZA"/>
              </w:rPr>
              <w:fldChar w:fldCharType="end"/>
            </w:r>
          </w:p>
        </w:tc>
      </w:tr>
      <w:tr w:rsidR="002D7080" w:rsidRPr="004D1E6F" w14:paraId="05DCA992" w14:textId="77777777" w:rsidTr="002E2C37">
        <w:trPr>
          <w:trHeight w:val="70"/>
        </w:trPr>
        <w:tc>
          <w:tcPr>
            <w:tcW w:w="9016" w:type="dxa"/>
            <w:gridSpan w:val="2"/>
          </w:tcPr>
          <w:p w14:paraId="65ED7893" w14:textId="77777777" w:rsidR="002D7080"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62377DA9" w14:textId="77777777" w:rsidR="002D7080" w:rsidRPr="00E355AD" w:rsidRDefault="002D7080" w:rsidP="002E2C37">
            <w:pPr>
              <w:ind w:left="540" w:hanging="54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 </w:t>
            </w:r>
            <w:hyperlink w:history="1">
              <w:r w:rsidRPr="00695C0E">
                <w:rPr>
                  <w:rStyle w:val="Hyperlink"/>
                  <w:rFonts w:ascii="Times New Roman" w:eastAsia="Times New Roman" w:hAnsi="Times New Roman" w:cs="Times New Roman"/>
                  <w:sz w:val="20"/>
                  <w:szCs w:val="20"/>
                  <w:lang w:eastAsia="en-ZA"/>
                </w:rPr>
                <w:t>https://doi.org/10.2989/16085914.2017.1405788</w:t>
              </w:r>
            </w:hyperlink>
            <w:r w:rsidRPr="00695C0E">
              <w:rPr>
                <w:rFonts w:ascii="Times New Roman" w:eastAsia="Times New Roman" w:hAnsi="Times New Roman" w:cs="Times New Roman"/>
                <w:color w:val="000000"/>
                <w:sz w:val="20"/>
                <w:szCs w:val="20"/>
                <w:lang w:eastAsia="en-ZA"/>
              </w:rPr>
              <w:t>.</w:t>
            </w:r>
          </w:p>
        </w:tc>
      </w:tr>
      <w:tr w:rsidR="002D7080" w:rsidRPr="004D1E6F" w14:paraId="30AB85C7" w14:textId="77777777" w:rsidTr="002E2C37">
        <w:tc>
          <w:tcPr>
            <w:tcW w:w="9016" w:type="dxa"/>
            <w:gridSpan w:val="2"/>
            <w:shd w:val="clear" w:color="auto" w:fill="F2F2F2" w:themeFill="background1" w:themeFillShade="F2"/>
          </w:tcPr>
          <w:p w14:paraId="7D61EC19"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CON1d: Transmission of disease</w:t>
            </w:r>
          </w:p>
        </w:tc>
      </w:tr>
      <w:tr w:rsidR="002D7080" w:rsidRPr="004D1E6F" w14:paraId="0704F24F" w14:textId="77777777" w:rsidTr="002E2C37">
        <w:tc>
          <w:tcPr>
            <w:tcW w:w="5949" w:type="dxa"/>
          </w:tcPr>
          <w:p w14:paraId="3F37DF2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Major</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MR</w:t>
            </w:r>
            <w:r w:rsidRPr="004D1E6F">
              <w:rPr>
                <w:rFonts w:ascii="Times New Roman" w:eastAsia="Times New Roman" w:hAnsi="Times New Roman" w:cs="Times New Roman"/>
                <w:sz w:val="20"/>
                <w:szCs w:val="20"/>
                <w:lang w:eastAsia="en-ZA"/>
              </w:rPr>
              <w:t>)</w:t>
            </w:r>
          </w:p>
        </w:tc>
        <w:tc>
          <w:tcPr>
            <w:tcW w:w="3067" w:type="dxa"/>
          </w:tcPr>
          <w:p w14:paraId="5D7906C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Medium</w:t>
            </w:r>
          </w:p>
        </w:tc>
      </w:tr>
      <w:tr w:rsidR="002D7080" w:rsidRPr="004D1E6F" w14:paraId="4DD221DB" w14:textId="77777777" w:rsidTr="002E2C37">
        <w:trPr>
          <w:trHeight w:val="70"/>
        </w:trPr>
        <w:tc>
          <w:tcPr>
            <w:tcW w:w="9016" w:type="dxa"/>
            <w:gridSpan w:val="2"/>
          </w:tcPr>
          <w:p w14:paraId="63D06C2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313D9E">
              <w:rPr>
                <w:rFonts w:ascii="Times New Roman" w:eastAsia="Times New Roman" w:hAnsi="Times New Roman" w:cs="Times New Roman"/>
                <w:i/>
                <w:iCs/>
                <w:sz w:val="20"/>
                <w:szCs w:val="20"/>
                <w:lang w:eastAsia="en-ZA"/>
              </w:rPr>
              <w:t>Faxonius limosus</w:t>
            </w:r>
            <w:r>
              <w:rPr>
                <w:rFonts w:ascii="Times New Roman" w:eastAsia="Times New Roman" w:hAnsi="Times New Roman" w:cs="Times New Roman"/>
                <w:sz w:val="20"/>
                <w:szCs w:val="20"/>
                <w:lang w:eastAsia="en-ZA"/>
              </w:rPr>
              <w:t xml:space="preserve"> has displaced native crayfish in Europe through the competition for resources and transmission of crayfish plague </w:t>
            </w:r>
            <w:r w:rsidRPr="00313D9E">
              <w:rPr>
                <w:rFonts w:ascii="Times New Roman" w:eastAsia="Times New Roman" w:hAnsi="Times New Roman" w:cs="Times New Roman"/>
                <w:sz w:val="20"/>
                <w:szCs w:val="20"/>
                <w:lang w:eastAsia="en-ZA"/>
              </w:rPr>
              <w:t>(Holdich et al., 2006; Holdich and Black, 2007; Kozák et al., 2007; Musil et al., 2010; Pârvulescu et al., 2012)</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There are no native crayfish species in South Africa, but crayfish plague pathogen has been shown to infect other freshwater decapods such as native potamonautid crabs (Svoboda et al. 2014)</w:t>
            </w:r>
          </w:p>
        </w:tc>
      </w:tr>
      <w:tr w:rsidR="002D7080" w:rsidRPr="004D1E6F" w14:paraId="343F2390" w14:textId="77777777" w:rsidTr="002E2C37">
        <w:trPr>
          <w:trHeight w:val="70"/>
        </w:trPr>
        <w:tc>
          <w:tcPr>
            <w:tcW w:w="9016" w:type="dxa"/>
            <w:gridSpan w:val="2"/>
          </w:tcPr>
          <w:p w14:paraId="1169BAE8" w14:textId="77777777" w:rsidR="002D7080" w:rsidRDefault="002D7080"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203422C9" w14:textId="77777777" w:rsidR="002D7080" w:rsidRPr="008438DF" w:rsidRDefault="002D7080" w:rsidP="002E2C37">
            <w:pPr>
              <w:ind w:left="720" w:hanging="720"/>
              <w:contextualSpacing/>
              <w:jc w:val="both"/>
              <w:rPr>
                <w:rFonts w:ascii="Times New Roman" w:hAnsi="Times New Roman" w:cs="Times New Roman"/>
                <w:sz w:val="20"/>
                <w:szCs w:val="20"/>
                <w:shd w:val="clear" w:color="auto" w:fill="FFFFFF"/>
              </w:rPr>
            </w:pPr>
            <w:r w:rsidRPr="008438DF">
              <w:rPr>
                <w:rFonts w:ascii="Times New Roman" w:hAnsi="Times New Roman" w:cs="Times New Roman"/>
                <w:sz w:val="20"/>
                <w:szCs w:val="20"/>
                <w:shd w:val="clear" w:color="auto" w:fill="FFFFFF"/>
              </w:rPr>
              <w:t>Holdich</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D</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M</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Haffner</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P</w:t>
            </w:r>
            <w:r>
              <w:rPr>
                <w:rFonts w:ascii="Times New Roman" w:hAnsi="Times New Roman" w:cs="Times New Roman"/>
                <w:sz w:val="20"/>
                <w:szCs w:val="20"/>
                <w:shd w:val="clear" w:color="auto" w:fill="FFFFFF"/>
              </w:rPr>
              <w:t>. &amp;</w:t>
            </w:r>
            <w:r w:rsidRPr="008438DF">
              <w:rPr>
                <w:rFonts w:ascii="Times New Roman" w:hAnsi="Times New Roman" w:cs="Times New Roman"/>
                <w:sz w:val="20"/>
                <w:szCs w:val="20"/>
                <w:shd w:val="clear" w:color="auto" w:fill="FFFFFF"/>
              </w:rPr>
              <w:t xml:space="preserve"> Noël</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P</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2006</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Species files. In: </w:t>
            </w:r>
            <w:r w:rsidRPr="008438DF">
              <w:rPr>
                <w:rStyle w:val="Emphasis"/>
                <w:rFonts w:ascii="Times New Roman" w:hAnsi="Times New Roman" w:cs="Times New Roman"/>
                <w:sz w:val="20"/>
                <w:szCs w:val="20"/>
                <w:shd w:val="clear" w:color="auto" w:fill="FFFFFF"/>
              </w:rPr>
              <w:t>Atlas of Crayfish in Europe</w:t>
            </w:r>
            <w:r w:rsidRPr="008438DF">
              <w:rPr>
                <w:rFonts w:ascii="Times New Roman" w:hAnsi="Times New Roman" w:cs="Times New Roman"/>
                <w:sz w:val="20"/>
                <w:szCs w:val="20"/>
                <w:shd w:val="clear" w:color="auto" w:fill="FFFFFF"/>
              </w:rPr>
              <w:t>, [ed. by Souty-Grosset</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C</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Holdich</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D</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M</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Noël</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P</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Y</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Reynolds</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J</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D</w:t>
            </w:r>
            <w:r>
              <w:rPr>
                <w:rFonts w:ascii="Times New Roman" w:hAnsi="Times New Roman" w:cs="Times New Roman"/>
                <w:sz w:val="20"/>
                <w:szCs w:val="20"/>
                <w:shd w:val="clear" w:color="auto" w:fill="FFFFFF"/>
              </w:rPr>
              <w:t>. &amp;</w:t>
            </w:r>
            <w:r w:rsidRPr="008438DF">
              <w:rPr>
                <w:rFonts w:ascii="Times New Roman" w:hAnsi="Times New Roman" w:cs="Times New Roman"/>
                <w:sz w:val="20"/>
                <w:szCs w:val="20"/>
                <w:shd w:val="clear" w:color="auto" w:fill="FFFFFF"/>
              </w:rPr>
              <w:t xml:space="preserve"> Haffner</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P</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Paris, France: Museum national d’Histoire naturelle. 50-129.</w:t>
            </w:r>
          </w:p>
          <w:p w14:paraId="0B273DF5" w14:textId="77777777" w:rsidR="002D7080" w:rsidRPr="008438DF" w:rsidRDefault="002D7080" w:rsidP="002E2C37">
            <w:pPr>
              <w:ind w:left="720" w:hanging="720"/>
              <w:contextualSpacing/>
              <w:jc w:val="both"/>
              <w:rPr>
                <w:rFonts w:ascii="Times New Roman" w:hAnsi="Times New Roman" w:cs="Times New Roman"/>
                <w:sz w:val="20"/>
                <w:szCs w:val="20"/>
              </w:rPr>
            </w:pPr>
            <w:r w:rsidRPr="008438DF">
              <w:rPr>
                <w:rFonts w:ascii="Times New Roman" w:hAnsi="Times New Roman" w:cs="Times New Roman"/>
                <w:sz w:val="20"/>
                <w:szCs w:val="20"/>
                <w:shd w:val="clear" w:color="auto" w:fill="FFFFFF"/>
              </w:rPr>
              <w:t>Holdich, D.</w:t>
            </w:r>
            <w:r>
              <w:rPr>
                <w:rFonts w:ascii="Times New Roman" w:hAnsi="Times New Roman" w:cs="Times New Roman"/>
                <w:sz w:val="20"/>
                <w:szCs w:val="20"/>
                <w:shd w:val="clear" w:color="auto" w:fill="FFFFFF"/>
              </w:rPr>
              <w:t xml:space="preserve"> &amp;</w:t>
            </w:r>
            <w:r w:rsidRPr="008438DF">
              <w:rPr>
                <w:rFonts w:ascii="Times New Roman" w:hAnsi="Times New Roman" w:cs="Times New Roman"/>
                <w:sz w:val="20"/>
                <w:szCs w:val="20"/>
                <w:shd w:val="clear" w:color="auto" w:fill="FFFFFF"/>
              </w:rPr>
              <w:t xml:space="preserve"> Black, J., 2007</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The spiny-cheek crayfish, </w:t>
            </w:r>
            <w:r w:rsidRPr="008438DF">
              <w:rPr>
                <w:rFonts w:ascii="Times New Roman" w:hAnsi="Times New Roman" w:cs="Times New Roman"/>
                <w:i/>
                <w:iCs/>
                <w:sz w:val="20"/>
                <w:szCs w:val="20"/>
                <w:shd w:val="clear" w:color="auto" w:fill="FFFFFF"/>
              </w:rPr>
              <w:t>Orconectes limosus</w:t>
            </w:r>
            <w:r w:rsidRPr="008438DF">
              <w:rPr>
                <w:rFonts w:ascii="Times New Roman" w:hAnsi="Times New Roman" w:cs="Times New Roman"/>
                <w:sz w:val="20"/>
                <w:szCs w:val="20"/>
                <w:shd w:val="clear" w:color="auto" w:fill="FFFFFF"/>
              </w:rPr>
              <w:t xml:space="preserve"> (Rafinesque, 1817) [Crustacea: Decapoda: Cambaridae], digs into the UK</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w:t>
            </w:r>
            <w:r w:rsidRPr="008438DF">
              <w:rPr>
                <w:rStyle w:val="Emphasis"/>
                <w:rFonts w:ascii="Times New Roman" w:hAnsi="Times New Roman" w:cs="Times New Roman"/>
                <w:sz w:val="20"/>
                <w:szCs w:val="20"/>
                <w:shd w:val="clear" w:color="auto" w:fill="FFFFFF"/>
              </w:rPr>
              <w:t>Aquatic Invasions</w:t>
            </w:r>
            <w:r w:rsidRPr="008438DF">
              <w:rPr>
                <w:rFonts w:ascii="Times New Roman" w:hAnsi="Times New Roman" w:cs="Times New Roman"/>
                <w:sz w:val="20"/>
                <w:szCs w:val="20"/>
                <w:shd w:val="clear" w:color="auto" w:fill="FFFFFF"/>
              </w:rPr>
              <w:t>, 2(1)</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1-16. </w:t>
            </w:r>
            <w:hyperlink w:tgtFrame="_blank" w:history="1">
              <w:r w:rsidRPr="008438DF">
                <w:rPr>
                  <w:rStyle w:val="Hyperlink"/>
                  <w:rFonts w:ascii="Times New Roman" w:hAnsi="Times New Roman" w:cs="Times New Roman"/>
                  <w:sz w:val="20"/>
                  <w:szCs w:val="20"/>
                  <w:shd w:val="clear" w:color="auto" w:fill="FFFFFF"/>
                </w:rPr>
                <w:t>http://www.aquaticinvasions.ru/2007/AI_2007_2_1_Holdich_Black.pdf</w:t>
              </w:r>
            </w:hyperlink>
          </w:p>
          <w:p w14:paraId="7B8097AC" w14:textId="77777777" w:rsidR="002D7080" w:rsidRPr="008438DF" w:rsidRDefault="002D7080" w:rsidP="002E2C37">
            <w:pPr>
              <w:ind w:left="720" w:hanging="720"/>
              <w:contextualSpacing/>
              <w:jc w:val="both"/>
              <w:rPr>
                <w:rFonts w:ascii="Times New Roman" w:hAnsi="Times New Roman" w:cs="Times New Roman"/>
                <w:sz w:val="20"/>
                <w:szCs w:val="20"/>
                <w:shd w:val="clear" w:color="auto" w:fill="FFFFFF"/>
              </w:rPr>
            </w:pPr>
            <w:r w:rsidRPr="008438DF">
              <w:rPr>
                <w:rFonts w:ascii="Times New Roman" w:hAnsi="Times New Roman" w:cs="Times New Roman"/>
                <w:sz w:val="20"/>
                <w:szCs w:val="20"/>
                <w:shd w:val="clear" w:color="auto" w:fill="FFFFFF"/>
              </w:rPr>
              <w:t>Kozák, P., Buřič, M., Policar, T., Hamáčková, J., Lepičová, A., 2007</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The effect of inter- and intra-specific competition on survival and growth rate of native juvenile noble crayfish </w:t>
            </w:r>
            <w:r w:rsidRPr="008438DF">
              <w:rPr>
                <w:rFonts w:ascii="Times New Roman" w:hAnsi="Times New Roman" w:cs="Times New Roman"/>
                <w:i/>
                <w:iCs/>
                <w:sz w:val="20"/>
                <w:szCs w:val="20"/>
                <w:shd w:val="clear" w:color="auto" w:fill="FFFFFF"/>
              </w:rPr>
              <w:t>Astacus astacus</w:t>
            </w:r>
            <w:r w:rsidRPr="008438DF">
              <w:rPr>
                <w:rFonts w:ascii="Times New Roman" w:hAnsi="Times New Roman" w:cs="Times New Roman"/>
                <w:sz w:val="20"/>
                <w:szCs w:val="20"/>
                <w:shd w:val="clear" w:color="auto" w:fill="FFFFFF"/>
              </w:rPr>
              <w:t xml:space="preserve"> and alien spiny-cheek crayfish </w:t>
            </w:r>
            <w:r w:rsidRPr="002F3944">
              <w:rPr>
                <w:rFonts w:ascii="Times New Roman" w:hAnsi="Times New Roman" w:cs="Times New Roman"/>
                <w:i/>
                <w:iCs/>
                <w:sz w:val="20"/>
                <w:szCs w:val="20"/>
                <w:shd w:val="clear" w:color="auto" w:fill="FFFFFF"/>
              </w:rPr>
              <w:t>Orconectes limosus</w:t>
            </w:r>
            <w:r>
              <w:rPr>
                <w:rFonts w:ascii="Times New Roman" w:hAnsi="Times New Roman" w:cs="Times New Roman"/>
                <w:sz w:val="20"/>
                <w:szCs w:val="20"/>
                <w:shd w:val="clear" w:color="auto" w:fill="FFFFFF"/>
              </w:rPr>
              <w:t xml:space="preserve">’, </w:t>
            </w:r>
            <w:r w:rsidRPr="008438DF">
              <w:rPr>
                <w:rStyle w:val="Emphasis"/>
                <w:rFonts w:ascii="Times New Roman" w:hAnsi="Times New Roman" w:cs="Times New Roman"/>
                <w:sz w:val="20"/>
                <w:szCs w:val="20"/>
                <w:shd w:val="clear" w:color="auto" w:fill="FFFFFF"/>
              </w:rPr>
              <w:t>Hydrobiologia</w:t>
            </w:r>
            <w:r w:rsidRPr="008438DF">
              <w:rPr>
                <w:rFonts w:ascii="Times New Roman" w:hAnsi="Times New Roman" w:cs="Times New Roman"/>
                <w:sz w:val="20"/>
                <w:szCs w:val="20"/>
                <w:shd w:val="clear" w:color="auto" w:fill="FFFFFF"/>
              </w:rPr>
              <w:t>, 59085-94.</w:t>
            </w:r>
            <w:r w:rsidRPr="00695C0E">
              <w:rPr>
                <w:rFonts w:ascii="Times New Roman" w:hAnsi="Times New Roman" w:cs="Times New Roman"/>
                <w:sz w:val="20"/>
                <w:szCs w:val="20"/>
              </w:rPr>
              <w:t xml:space="preserve"> </w:t>
            </w:r>
            <w:hyperlink r:id="rId288" w:history="1">
              <w:r w:rsidRPr="00695C0E">
                <w:rPr>
                  <w:rStyle w:val="Hyperlink"/>
                  <w:rFonts w:ascii="Times New Roman" w:hAnsi="Times New Roman" w:cs="Times New Roman"/>
                  <w:sz w:val="20"/>
                  <w:szCs w:val="20"/>
                  <w:shd w:val="clear" w:color="auto" w:fill="FFFFFF"/>
                </w:rPr>
                <w:t>https://doi.org/10.1007/s10750-007-0760-0</w:t>
              </w:r>
            </w:hyperlink>
            <w:r w:rsidRPr="00695C0E">
              <w:rPr>
                <w:rFonts w:ascii="Times New Roman" w:hAnsi="Times New Roman" w:cs="Times New Roman"/>
                <w:sz w:val="20"/>
                <w:szCs w:val="20"/>
                <w:shd w:val="clear" w:color="auto" w:fill="FFFFFF"/>
              </w:rPr>
              <w:t>.</w:t>
            </w:r>
          </w:p>
          <w:p w14:paraId="0F47A01E" w14:textId="77777777" w:rsidR="002D7080" w:rsidRPr="008438DF" w:rsidRDefault="002D7080" w:rsidP="002E2C37">
            <w:pPr>
              <w:ind w:left="720" w:hanging="720"/>
              <w:contextualSpacing/>
              <w:jc w:val="both"/>
              <w:rPr>
                <w:rFonts w:ascii="Times New Roman" w:hAnsi="Times New Roman" w:cs="Times New Roman"/>
                <w:sz w:val="20"/>
                <w:szCs w:val="20"/>
                <w:shd w:val="clear" w:color="auto" w:fill="FFFFFF"/>
              </w:rPr>
            </w:pPr>
            <w:r w:rsidRPr="008438DF">
              <w:rPr>
                <w:rFonts w:ascii="Times New Roman" w:hAnsi="Times New Roman" w:cs="Times New Roman"/>
                <w:sz w:val="20"/>
                <w:szCs w:val="20"/>
                <w:shd w:val="clear" w:color="auto" w:fill="FFFFFF"/>
              </w:rPr>
              <w:t>Musil</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M</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Buřič</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M</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Policar</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T</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Kouba</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A</w:t>
            </w:r>
            <w:r>
              <w:rPr>
                <w:rFonts w:ascii="Times New Roman" w:hAnsi="Times New Roman" w:cs="Times New Roman"/>
                <w:sz w:val="20"/>
                <w:szCs w:val="20"/>
                <w:shd w:val="clear" w:color="auto" w:fill="FFFFFF"/>
              </w:rPr>
              <w:t xml:space="preserve">. &amp; </w:t>
            </w:r>
            <w:r w:rsidRPr="008438DF">
              <w:rPr>
                <w:rFonts w:ascii="Times New Roman" w:hAnsi="Times New Roman" w:cs="Times New Roman"/>
                <w:sz w:val="20"/>
                <w:szCs w:val="20"/>
                <w:shd w:val="clear" w:color="auto" w:fill="FFFFFF"/>
              </w:rPr>
              <w:t>Kozák</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P</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2010</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Comparison of diurnal and nocturnal activity between noble crayfish (</w:t>
            </w:r>
            <w:r w:rsidRPr="008438DF">
              <w:rPr>
                <w:rFonts w:ascii="Times New Roman" w:hAnsi="Times New Roman" w:cs="Times New Roman"/>
                <w:i/>
                <w:iCs/>
                <w:sz w:val="20"/>
                <w:szCs w:val="20"/>
                <w:shd w:val="clear" w:color="auto" w:fill="FFFFFF"/>
              </w:rPr>
              <w:t>Astacus astacus</w:t>
            </w:r>
            <w:r w:rsidRPr="008438DF">
              <w:rPr>
                <w:rFonts w:ascii="Times New Roman" w:hAnsi="Times New Roman" w:cs="Times New Roman"/>
                <w:sz w:val="20"/>
                <w:szCs w:val="20"/>
                <w:shd w:val="clear" w:color="auto" w:fill="FFFFFF"/>
              </w:rPr>
              <w:t>) and spinycheek crayfish (</w:t>
            </w:r>
            <w:r w:rsidRPr="008438DF">
              <w:rPr>
                <w:rFonts w:ascii="Times New Roman" w:hAnsi="Times New Roman" w:cs="Times New Roman"/>
                <w:i/>
                <w:iCs/>
                <w:sz w:val="20"/>
                <w:szCs w:val="20"/>
                <w:shd w:val="clear" w:color="auto" w:fill="FFFFFF"/>
              </w:rPr>
              <w:t>Orconectes limosus</w:t>
            </w:r>
            <w:r w:rsidRPr="008438DF">
              <w:rPr>
                <w:rFonts w:ascii="Times New Roman" w:hAnsi="Times New Roman" w:cs="Times New Roman"/>
                <w:sz w:val="20"/>
                <w:szCs w:val="20"/>
                <w:shd w:val="clear" w:color="auto" w:fill="FFFFFF"/>
              </w:rPr>
              <w:t>)</w:t>
            </w:r>
            <w:r>
              <w:rPr>
                <w:rFonts w:ascii="Times New Roman" w:hAnsi="Times New Roman" w:cs="Times New Roman"/>
                <w:sz w:val="20"/>
                <w:szCs w:val="20"/>
                <w:shd w:val="clear" w:color="auto" w:fill="FFFFFF"/>
              </w:rPr>
              <w:t xml:space="preserve">’, </w:t>
            </w:r>
            <w:r w:rsidRPr="008438DF">
              <w:rPr>
                <w:rStyle w:val="Emphasis"/>
                <w:rFonts w:ascii="Times New Roman" w:hAnsi="Times New Roman" w:cs="Times New Roman"/>
                <w:sz w:val="20"/>
                <w:szCs w:val="20"/>
                <w:shd w:val="clear" w:color="auto" w:fill="FFFFFF"/>
              </w:rPr>
              <w:t>Freshwater Crayfish</w:t>
            </w:r>
            <w:r w:rsidRPr="008438DF">
              <w:rPr>
                <w:rFonts w:ascii="Times New Roman" w:hAnsi="Times New Roman" w:cs="Times New Roman"/>
                <w:sz w:val="20"/>
                <w:szCs w:val="20"/>
                <w:shd w:val="clear" w:color="auto" w:fill="FFFFFF"/>
              </w:rPr>
              <w:t>, 17189-193.</w:t>
            </w:r>
          </w:p>
          <w:p w14:paraId="49D6517A" w14:textId="77777777" w:rsidR="002D7080" w:rsidRPr="008438DF" w:rsidRDefault="002D7080" w:rsidP="002E2C37">
            <w:pPr>
              <w:ind w:left="720" w:hanging="720"/>
              <w:contextualSpacing/>
              <w:rPr>
                <w:rFonts w:ascii="Times New Roman" w:hAnsi="Times New Roman" w:cs="Times New Roman"/>
                <w:sz w:val="20"/>
                <w:szCs w:val="20"/>
                <w:shd w:val="clear" w:color="auto" w:fill="FFFFFF"/>
              </w:rPr>
            </w:pPr>
            <w:r w:rsidRPr="008438DF">
              <w:rPr>
                <w:rFonts w:ascii="Times New Roman" w:hAnsi="Times New Roman" w:cs="Times New Roman"/>
                <w:sz w:val="20"/>
                <w:szCs w:val="20"/>
                <w:shd w:val="clear" w:color="auto" w:fill="FFFFFF"/>
              </w:rPr>
              <w:t>Pârvulescu, L., Schrimpf, A., Kozubíková, E., Resino, S. C., Vrålstad, T., Petrusek, A.</w:t>
            </w:r>
            <w:r>
              <w:rPr>
                <w:rFonts w:ascii="Times New Roman" w:hAnsi="Times New Roman" w:cs="Times New Roman"/>
                <w:sz w:val="20"/>
                <w:szCs w:val="20"/>
                <w:shd w:val="clear" w:color="auto" w:fill="FFFFFF"/>
              </w:rPr>
              <w:t xml:space="preserve"> &amp;</w:t>
            </w:r>
            <w:r w:rsidRPr="008438DF">
              <w:rPr>
                <w:rFonts w:ascii="Times New Roman" w:hAnsi="Times New Roman" w:cs="Times New Roman"/>
                <w:sz w:val="20"/>
                <w:szCs w:val="20"/>
                <w:shd w:val="clear" w:color="auto" w:fill="FFFFFF"/>
              </w:rPr>
              <w:t xml:space="preserve"> Schulz, R., 2012</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Invasive crayfish and crayfish plague on the move: first detection of the plague agent </w:t>
            </w:r>
            <w:r w:rsidRPr="008438DF">
              <w:rPr>
                <w:rFonts w:ascii="Times New Roman" w:hAnsi="Times New Roman" w:cs="Times New Roman"/>
                <w:i/>
                <w:iCs/>
                <w:sz w:val="20"/>
                <w:szCs w:val="20"/>
                <w:shd w:val="clear" w:color="auto" w:fill="FFFFFF"/>
              </w:rPr>
              <w:t>Aphanomyces astaci</w:t>
            </w:r>
            <w:r w:rsidRPr="008438DF">
              <w:rPr>
                <w:rFonts w:ascii="Times New Roman" w:hAnsi="Times New Roman" w:cs="Times New Roman"/>
                <w:sz w:val="20"/>
                <w:szCs w:val="20"/>
                <w:shd w:val="clear" w:color="auto" w:fill="FFFFFF"/>
              </w:rPr>
              <w:t xml:space="preserve"> in the Romanian Danube</w:t>
            </w:r>
            <w:r>
              <w:rPr>
                <w:rFonts w:ascii="Times New Roman" w:hAnsi="Times New Roman" w:cs="Times New Roman"/>
                <w:sz w:val="20"/>
                <w:szCs w:val="20"/>
                <w:shd w:val="clear" w:color="auto" w:fill="FFFFFF"/>
              </w:rPr>
              <w:t xml:space="preserve">’, </w:t>
            </w:r>
            <w:r w:rsidRPr="008438DF">
              <w:rPr>
                <w:rStyle w:val="Emphasis"/>
                <w:rFonts w:ascii="Times New Roman" w:hAnsi="Times New Roman" w:cs="Times New Roman"/>
                <w:sz w:val="20"/>
                <w:szCs w:val="20"/>
                <w:shd w:val="clear" w:color="auto" w:fill="FFFFFF"/>
              </w:rPr>
              <w:t>Diseases of Aquatic Organisms</w:t>
            </w:r>
            <w:r w:rsidRPr="008438DF">
              <w:rPr>
                <w:rFonts w:ascii="Times New Roman" w:hAnsi="Times New Roman" w:cs="Times New Roman"/>
                <w:sz w:val="20"/>
                <w:szCs w:val="20"/>
                <w:shd w:val="clear" w:color="auto" w:fill="FFFFFF"/>
              </w:rPr>
              <w:t>, 98(1)</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85-94. </w:t>
            </w:r>
            <w:hyperlink r:id="rId289" w:history="1">
              <w:r w:rsidRPr="00695C0E">
                <w:rPr>
                  <w:rStyle w:val="Hyperlink"/>
                  <w:rFonts w:ascii="Times New Roman" w:hAnsi="Times New Roman" w:cs="Times New Roman"/>
                  <w:sz w:val="20"/>
                  <w:szCs w:val="20"/>
                  <w:shd w:val="clear" w:color="auto" w:fill="FFFFFF"/>
                </w:rPr>
                <w:t>https://doi.org/10.3354/dao02432</w:t>
              </w:r>
            </w:hyperlink>
            <w:r>
              <w:rPr>
                <w:rFonts w:ascii="Times New Roman" w:hAnsi="Times New Roman" w:cs="Times New Roman"/>
                <w:sz w:val="20"/>
                <w:szCs w:val="20"/>
                <w:shd w:val="clear" w:color="auto" w:fill="FFFFFF"/>
              </w:rPr>
              <w:t>.</w:t>
            </w:r>
          </w:p>
          <w:p w14:paraId="3E008019" w14:textId="77777777"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8438DF">
              <w:rPr>
                <w:rFonts w:ascii="Times New Roman" w:hAnsi="Times New Roman" w:cs="Times New Roman"/>
                <w:sz w:val="20"/>
                <w:szCs w:val="20"/>
                <w:shd w:val="clear" w:color="auto" w:fill="FFFFFF"/>
              </w:rPr>
              <w:t xml:space="preserve">Svoboda, J., Strand, D.A., Vrålstad, T., Grandjean, F., Edsman, L., Kozák, P., et al., 2014, ‘The crayfish plague pathogen can infect freshwater–inhabiting crabs’, </w:t>
            </w:r>
            <w:r w:rsidRPr="008438DF">
              <w:rPr>
                <w:rFonts w:ascii="Times New Roman" w:hAnsi="Times New Roman" w:cs="Times New Roman"/>
                <w:i/>
                <w:iCs/>
                <w:sz w:val="20"/>
                <w:szCs w:val="20"/>
                <w:shd w:val="clear" w:color="auto" w:fill="FFFFFF"/>
              </w:rPr>
              <w:t>Freshwater Biology</w:t>
            </w:r>
            <w:r w:rsidRPr="008438DF">
              <w:rPr>
                <w:rFonts w:ascii="Times New Roman" w:hAnsi="Times New Roman" w:cs="Times New Roman"/>
                <w:sz w:val="20"/>
                <w:szCs w:val="20"/>
                <w:shd w:val="clear" w:color="auto" w:fill="FFFFFF"/>
              </w:rPr>
              <w:t xml:space="preserve"> 59, 918–929. </w:t>
            </w:r>
            <w:hyperlink r:id="rId290" w:history="1">
              <w:r w:rsidRPr="000B0DAE">
                <w:rPr>
                  <w:rStyle w:val="Hyperlink"/>
                  <w:rFonts w:ascii="Times New Roman" w:hAnsi="Times New Roman" w:cs="Times New Roman"/>
                  <w:sz w:val="20"/>
                  <w:szCs w:val="20"/>
                  <w:shd w:val="clear" w:color="auto" w:fill="FFFFFF"/>
                </w:rPr>
                <w:t>https://doi–org.uplib.idm.oclc.org/10.1111/fwb.12315</w:t>
              </w:r>
            </w:hyperlink>
            <w:r>
              <w:rPr>
                <w:rFonts w:ascii="Times New Roman" w:hAnsi="Times New Roman" w:cs="Times New Roman"/>
                <w:sz w:val="20"/>
                <w:szCs w:val="20"/>
                <w:shd w:val="clear" w:color="auto" w:fill="FFFFFF"/>
              </w:rPr>
              <w:t xml:space="preserve">. </w:t>
            </w:r>
          </w:p>
        </w:tc>
      </w:tr>
      <w:tr w:rsidR="002D7080" w:rsidRPr="004D1E6F" w14:paraId="4FE816A5" w14:textId="77777777" w:rsidTr="002E2C37">
        <w:tc>
          <w:tcPr>
            <w:tcW w:w="9016" w:type="dxa"/>
            <w:gridSpan w:val="2"/>
            <w:shd w:val="clear" w:color="auto" w:fill="F2F2F2" w:themeFill="background1" w:themeFillShade="F2"/>
          </w:tcPr>
          <w:p w14:paraId="7544150A"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CON1e: Parasitism</w:t>
            </w:r>
          </w:p>
        </w:tc>
      </w:tr>
      <w:tr w:rsidR="002D7080" w:rsidRPr="004D1E6F" w14:paraId="057ADE19" w14:textId="77777777" w:rsidTr="002E2C37">
        <w:tc>
          <w:tcPr>
            <w:tcW w:w="5949" w:type="dxa"/>
          </w:tcPr>
          <w:p w14:paraId="15B99515" w14:textId="77777777" w:rsidR="002D7080" w:rsidRPr="00B417D6" w:rsidRDefault="002D7080" w:rsidP="002E2C37">
            <w:pPr>
              <w:jc w:val="both"/>
              <w:rPr>
                <w:rFonts w:ascii="Times New Roman" w:eastAsia="Times New Roman" w:hAnsi="Times New Roman" w:cs="Times New Roman"/>
                <w:sz w:val="20"/>
                <w:szCs w:val="20"/>
                <w:lang w:eastAsia="en-ZA"/>
              </w:rPr>
            </w:pPr>
            <w:r w:rsidRPr="00B417D6">
              <w:rPr>
                <w:rFonts w:ascii="Times New Roman" w:eastAsia="Times New Roman" w:hAnsi="Times New Roman" w:cs="Times New Roman"/>
                <w:sz w:val="20"/>
                <w:szCs w:val="20"/>
                <w:lang w:eastAsia="en-ZA"/>
              </w:rPr>
              <w:t>Response: Data Deficient (DD)</w:t>
            </w:r>
          </w:p>
        </w:tc>
        <w:tc>
          <w:tcPr>
            <w:tcW w:w="3067" w:type="dxa"/>
          </w:tcPr>
          <w:p w14:paraId="0B98F1A4" w14:textId="77777777" w:rsidR="002D7080" w:rsidRPr="00B417D6" w:rsidRDefault="002D7080" w:rsidP="002E2C37">
            <w:pPr>
              <w:jc w:val="both"/>
              <w:rPr>
                <w:rFonts w:ascii="Times New Roman" w:eastAsia="Times New Roman" w:hAnsi="Times New Roman" w:cs="Times New Roman"/>
                <w:sz w:val="20"/>
                <w:szCs w:val="20"/>
                <w:lang w:eastAsia="en-ZA"/>
              </w:rPr>
            </w:pPr>
            <w:r w:rsidRPr="00B417D6">
              <w:rPr>
                <w:rFonts w:ascii="Times New Roman" w:eastAsia="Times New Roman" w:hAnsi="Times New Roman" w:cs="Times New Roman"/>
                <w:sz w:val="20"/>
                <w:szCs w:val="20"/>
                <w:lang w:eastAsia="en-ZA"/>
              </w:rPr>
              <w:t xml:space="preserve">Confidence: High </w:t>
            </w:r>
          </w:p>
        </w:tc>
      </w:tr>
      <w:tr w:rsidR="002D7080" w:rsidRPr="004D1E6F" w14:paraId="0720CF38" w14:textId="77777777" w:rsidTr="002E2C37">
        <w:trPr>
          <w:trHeight w:val="70"/>
        </w:trPr>
        <w:tc>
          <w:tcPr>
            <w:tcW w:w="9016" w:type="dxa"/>
            <w:gridSpan w:val="2"/>
          </w:tcPr>
          <w:p w14:paraId="55A71D6D" w14:textId="77777777" w:rsidR="002D7080" w:rsidRPr="00B417D6" w:rsidRDefault="002D7080" w:rsidP="002E2C37">
            <w:pPr>
              <w:jc w:val="both"/>
              <w:rPr>
                <w:rFonts w:ascii="Times New Roman" w:eastAsia="Times New Roman" w:hAnsi="Times New Roman" w:cs="Times New Roman"/>
                <w:sz w:val="20"/>
                <w:szCs w:val="20"/>
                <w:lang w:eastAsia="en-ZA"/>
              </w:rPr>
            </w:pPr>
            <w:r w:rsidRPr="00B417D6">
              <w:rPr>
                <w:rFonts w:ascii="Times New Roman" w:eastAsia="Times New Roman" w:hAnsi="Times New Roman" w:cs="Times New Roman"/>
                <w:sz w:val="20"/>
                <w:szCs w:val="20"/>
                <w:lang w:eastAsia="en-ZA"/>
              </w:rPr>
              <w:t xml:space="preserve">Rationale: </w:t>
            </w:r>
            <w:r w:rsidRPr="00B417D6">
              <w:rPr>
                <w:rFonts w:ascii="Times New Roman" w:eastAsia="Times New Roman" w:hAnsi="Times New Roman" w:cs="Times New Roman"/>
                <w:i/>
                <w:iCs/>
                <w:sz w:val="20"/>
                <w:szCs w:val="20"/>
                <w:lang w:eastAsia="en-ZA"/>
              </w:rPr>
              <w:t xml:space="preserve">Faxonius limosus </w:t>
            </w:r>
            <w:r w:rsidRPr="00B417D6">
              <w:rPr>
                <w:rFonts w:ascii="Times New Roman" w:eastAsia="Times New Roman" w:hAnsi="Times New Roman" w:cs="Times New Roman"/>
                <w:sz w:val="20"/>
                <w:szCs w:val="20"/>
                <w:lang w:eastAsia="en-ZA"/>
              </w:rPr>
              <w:t>is not a parasitic taxon (Hamr 2002)</w:t>
            </w:r>
          </w:p>
        </w:tc>
      </w:tr>
      <w:tr w:rsidR="002D7080" w:rsidRPr="004D1E6F" w14:paraId="38D7936E" w14:textId="77777777" w:rsidTr="002E2C37">
        <w:trPr>
          <w:trHeight w:val="70"/>
        </w:trPr>
        <w:tc>
          <w:tcPr>
            <w:tcW w:w="9016" w:type="dxa"/>
            <w:gridSpan w:val="2"/>
          </w:tcPr>
          <w:p w14:paraId="10BA4B0C" w14:textId="77777777" w:rsidR="002D7080" w:rsidRPr="00B417D6" w:rsidRDefault="002D7080" w:rsidP="002E2C37">
            <w:pPr>
              <w:ind w:left="720" w:hanging="720"/>
              <w:rPr>
                <w:rFonts w:ascii="Times New Roman" w:eastAsia="Times New Roman" w:hAnsi="Times New Roman" w:cs="Times New Roman"/>
                <w:sz w:val="20"/>
                <w:szCs w:val="20"/>
                <w:lang w:eastAsia="en-ZA"/>
              </w:rPr>
            </w:pPr>
            <w:r w:rsidRPr="00B417D6">
              <w:rPr>
                <w:rFonts w:ascii="Times New Roman" w:eastAsia="Times New Roman" w:hAnsi="Times New Roman" w:cs="Times New Roman"/>
                <w:sz w:val="20"/>
                <w:szCs w:val="20"/>
                <w:lang w:eastAsia="en-ZA"/>
              </w:rPr>
              <w:t>References:</w:t>
            </w:r>
          </w:p>
          <w:p w14:paraId="55DDCB92" w14:textId="77777777" w:rsidR="002D7080" w:rsidRPr="00B417D6" w:rsidRDefault="002D7080" w:rsidP="002E2C37">
            <w:pPr>
              <w:ind w:left="720" w:hanging="720"/>
              <w:rPr>
                <w:rFonts w:ascii="Times New Roman" w:eastAsia="Times New Roman" w:hAnsi="Times New Roman" w:cs="Times New Roman"/>
                <w:sz w:val="20"/>
                <w:szCs w:val="20"/>
                <w:lang w:eastAsia="en-ZA"/>
              </w:rPr>
            </w:pPr>
            <w:r w:rsidRPr="00B417D6">
              <w:rPr>
                <w:rFonts w:ascii="Times New Roman" w:hAnsi="Times New Roman" w:cs="Times New Roman"/>
                <w:sz w:val="20"/>
                <w:szCs w:val="20"/>
                <w:shd w:val="clear" w:color="auto" w:fill="FFFFFF"/>
              </w:rPr>
              <w:t xml:space="preserve">Hamr, P., 2002. </w:t>
            </w:r>
            <w:r w:rsidRPr="00B417D6">
              <w:rPr>
                <w:rFonts w:ascii="Times New Roman" w:hAnsi="Times New Roman" w:cs="Times New Roman"/>
                <w:i/>
                <w:iCs/>
                <w:sz w:val="20"/>
                <w:szCs w:val="20"/>
                <w:shd w:val="clear" w:color="auto" w:fill="FFFFFF"/>
              </w:rPr>
              <w:t>Orconectes</w:t>
            </w:r>
            <w:r w:rsidRPr="00B417D6">
              <w:rPr>
                <w:rFonts w:ascii="Times New Roman" w:hAnsi="Times New Roman" w:cs="Times New Roman"/>
                <w:sz w:val="20"/>
                <w:szCs w:val="20"/>
                <w:shd w:val="clear" w:color="auto" w:fill="FFFFFF"/>
              </w:rPr>
              <w:t>. In: </w:t>
            </w:r>
            <w:r w:rsidRPr="00B417D6">
              <w:rPr>
                <w:rStyle w:val="Emphasis"/>
                <w:rFonts w:ascii="Times New Roman" w:hAnsi="Times New Roman" w:cs="Times New Roman"/>
                <w:sz w:val="20"/>
                <w:szCs w:val="20"/>
                <w:shd w:val="clear" w:color="auto" w:fill="FFFFFF"/>
              </w:rPr>
              <w:t>Biology of freshwater crayfish</w:t>
            </w:r>
            <w:r w:rsidRPr="00B417D6">
              <w:rPr>
                <w:rFonts w:ascii="Times New Roman" w:hAnsi="Times New Roman" w:cs="Times New Roman"/>
                <w:sz w:val="20"/>
                <w:szCs w:val="20"/>
                <w:shd w:val="clear" w:color="auto" w:fill="FFFFFF"/>
              </w:rPr>
              <w:t>, [ed. by Holdich, D. M.]. Oxford, UK: Blackwell Science. 585-608.</w:t>
            </w:r>
          </w:p>
        </w:tc>
      </w:tr>
      <w:tr w:rsidR="002D7080" w:rsidRPr="004D1E6F" w14:paraId="43A86840" w14:textId="77777777" w:rsidTr="002E2C37">
        <w:tc>
          <w:tcPr>
            <w:tcW w:w="9016" w:type="dxa"/>
            <w:gridSpan w:val="2"/>
            <w:shd w:val="clear" w:color="auto" w:fill="F2F2F2" w:themeFill="background1" w:themeFillShade="F2"/>
          </w:tcPr>
          <w:p w14:paraId="413FB24F"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lastRenderedPageBreak/>
              <w:t>CON1f: Poisoning/toxicity</w:t>
            </w:r>
          </w:p>
        </w:tc>
      </w:tr>
      <w:tr w:rsidR="002D7080" w:rsidRPr="004D1E6F" w14:paraId="227E2567" w14:textId="77777777" w:rsidTr="002E2C37">
        <w:tc>
          <w:tcPr>
            <w:tcW w:w="5949" w:type="dxa"/>
          </w:tcPr>
          <w:p w14:paraId="2EB43A2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5327373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779AF2A3" w14:textId="77777777" w:rsidTr="002E2C37">
        <w:trPr>
          <w:trHeight w:val="70"/>
        </w:trPr>
        <w:tc>
          <w:tcPr>
            <w:tcW w:w="9016" w:type="dxa"/>
            <w:gridSpan w:val="2"/>
          </w:tcPr>
          <w:p w14:paraId="5C6DB3E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61E4CDA7" w14:textId="77777777" w:rsidTr="002E2C37">
        <w:trPr>
          <w:trHeight w:val="70"/>
        </w:trPr>
        <w:tc>
          <w:tcPr>
            <w:tcW w:w="9016" w:type="dxa"/>
            <w:gridSpan w:val="2"/>
          </w:tcPr>
          <w:p w14:paraId="0E5B5BFE"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54A1A50F" w14:textId="77777777" w:rsidTr="002E2C37">
        <w:tc>
          <w:tcPr>
            <w:tcW w:w="9016" w:type="dxa"/>
            <w:gridSpan w:val="2"/>
            <w:shd w:val="clear" w:color="auto" w:fill="F2F2F2" w:themeFill="background1" w:themeFillShade="F2"/>
          </w:tcPr>
          <w:p w14:paraId="21B26A3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CON1g: Bio-fouling or other direct physical disturbance</w:t>
            </w:r>
          </w:p>
        </w:tc>
      </w:tr>
      <w:tr w:rsidR="002D7080" w:rsidRPr="004D1E6F" w14:paraId="4C4E4B1E" w14:textId="77777777" w:rsidTr="002E2C37">
        <w:tc>
          <w:tcPr>
            <w:tcW w:w="5949" w:type="dxa"/>
          </w:tcPr>
          <w:p w14:paraId="58460B9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236685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2E94C863" w14:textId="77777777" w:rsidTr="002E2C37">
        <w:trPr>
          <w:trHeight w:val="70"/>
        </w:trPr>
        <w:tc>
          <w:tcPr>
            <w:tcW w:w="9016" w:type="dxa"/>
            <w:gridSpan w:val="2"/>
          </w:tcPr>
          <w:p w14:paraId="72A4927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2FD8EC19" w14:textId="77777777" w:rsidTr="002E2C37">
        <w:trPr>
          <w:trHeight w:val="70"/>
        </w:trPr>
        <w:tc>
          <w:tcPr>
            <w:tcW w:w="9016" w:type="dxa"/>
            <w:gridSpan w:val="2"/>
          </w:tcPr>
          <w:p w14:paraId="1CD844ED"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32AAEF87" w14:textId="77777777" w:rsidTr="002E2C37">
        <w:tc>
          <w:tcPr>
            <w:tcW w:w="9016" w:type="dxa"/>
            <w:gridSpan w:val="2"/>
            <w:shd w:val="clear" w:color="auto" w:fill="F2F2F2" w:themeFill="background1" w:themeFillShade="F2"/>
          </w:tcPr>
          <w:p w14:paraId="2FE6572C"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CON1h: Grazing/herbivory/browsing</w:t>
            </w:r>
          </w:p>
        </w:tc>
      </w:tr>
      <w:tr w:rsidR="002D7080" w:rsidRPr="004D1E6F" w14:paraId="61E3D470" w14:textId="77777777" w:rsidTr="002E2C37">
        <w:tc>
          <w:tcPr>
            <w:tcW w:w="5949" w:type="dxa"/>
          </w:tcPr>
          <w:p w14:paraId="62B3DEE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 xml:space="preserve">Minor </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MN</w:t>
            </w:r>
            <w:r w:rsidRPr="004D1E6F">
              <w:rPr>
                <w:rFonts w:ascii="Times New Roman" w:eastAsia="Times New Roman" w:hAnsi="Times New Roman" w:cs="Times New Roman"/>
                <w:sz w:val="20"/>
                <w:szCs w:val="20"/>
                <w:lang w:eastAsia="en-ZA"/>
              </w:rPr>
              <w:t>)</w:t>
            </w:r>
          </w:p>
        </w:tc>
        <w:tc>
          <w:tcPr>
            <w:tcW w:w="3067" w:type="dxa"/>
          </w:tcPr>
          <w:p w14:paraId="297AAA4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Medium </w:t>
            </w:r>
          </w:p>
        </w:tc>
      </w:tr>
      <w:tr w:rsidR="002D7080" w:rsidRPr="004D1E6F" w14:paraId="195B97EE" w14:textId="77777777" w:rsidTr="002E2C37">
        <w:trPr>
          <w:trHeight w:val="70"/>
        </w:trPr>
        <w:tc>
          <w:tcPr>
            <w:tcW w:w="9016" w:type="dxa"/>
            <w:gridSpan w:val="2"/>
          </w:tcPr>
          <w:p w14:paraId="7C59BAA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 xml:space="preserve">Faxinous </w:t>
            </w:r>
            <w:r>
              <w:rPr>
                <w:rFonts w:ascii="Times New Roman" w:eastAsia="Times New Roman" w:hAnsi="Times New Roman" w:cs="Times New Roman"/>
                <w:i/>
                <w:iCs/>
                <w:sz w:val="20"/>
                <w:szCs w:val="20"/>
                <w:lang w:eastAsia="en-ZA"/>
              </w:rPr>
              <w:t>limosus</w:t>
            </w:r>
            <w:r w:rsidRPr="004D1E6F">
              <w:rPr>
                <w:rFonts w:ascii="Times New Roman" w:eastAsia="Times New Roman" w:hAnsi="Times New Roman" w:cs="Times New Roman"/>
                <w:i/>
                <w:iCs/>
                <w:sz w:val="20"/>
                <w:szCs w:val="20"/>
                <w:lang w:eastAsia="en-ZA"/>
              </w:rPr>
              <w:t xml:space="preserve"> is </w:t>
            </w:r>
            <w:r w:rsidRPr="004D1E6F">
              <w:rPr>
                <w:rFonts w:ascii="Times New Roman" w:hAnsi="Times New Roman"/>
                <w:sz w:val="20"/>
                <w:szCs w:val="20"/>
              </w:rPr>
              <w:t>omnivorous species, it is likely to cause a decrease in macrophyte cover, macroinvertebrates abundance and diversity, changing trophic interaction and community composition</w:t>
            </w:r>
            <w:r>
              <w:rPr>
                <w:rFonts w:ascii="Times New Roman" w:hAnsi="Times New Roman"/>
                <w:sz w:val="20"/>
                <w:szCs w:val="20"/>
              </w:rPr>
              <w:t xml:space="preserve"> </w:t>
            </w:r>
            <w:r w:rsidRPr="00E355AD">
              <w:rPr>
                <w:rFonts w:ascii="Times New Roman" w:hAnsi="Times New Roman" w:cs="Times New Roman"/>
                <w:sz w:val="20"/>
                <w:szCs w:val="20"/>
              </w:rPr>
              <w:t>(</w:t>
            </w:r>
            <w:r w:rsidRPr="00E355AD">
              <w:rPr>
                <w:rFonts w:ascii="Times New Roman" w:hAnsi="Times New Roman" w:cs="Times New Roman"/>
                <w:color w:val="333333"/>
                <w:sz w:val="20"/>
                <w:szCs w:val="20"/>
                <w:shd w:val="clear" w:color="auto" w:fill="FFFFFF"/>
              </w:rPr>
              <w:t>Vojkovská</w:t>
            </w:r>
            <w:r w:rsidRPr="00E355AD">
              <w:rPr>
                <w:rFonts w:ascii="Times New Roman" w:hAnsi="Times New Roman" w:cs="Times New Roman"/>
                <w:sz w:val="20"/>
                <w:szCs w:val="20"/>
              </w:rPr>
              <w:t xml:space="preserve"> et al. 2014</w:t>
            </w:r>
            <w:r>
              <w:rPr>
                <w:rFonts w:ascii="Times New Roman" w:hAnsi="Times New Roman" w:cs="Times New Roman"/>
                <w:sz w:val="20"/>
                <w:szCs w:val="20"/>
              </w:rPr>
              <w:t>;</w:t>
            </w:r>
            <w:r w:rsidRPr="00E355AD">
              <w:rPr>
                <w:rFonts w:ascii="Times New Roman" w:hAnsi="Times New Roman" w:cs="Times New Roman"/>
                <w:color w:val="222222"/>
                <w:sz w:val="20"/>
                <w:szCs w:val="20"/>
                <w:shd w:val="clear" w:color="auto" w:fill="FFFFFF"/>
              </w:rPr>
              <w:t xml:space="preserve"> Šidagytė</w:t>
            </w:r>
            <w:r w:rsidRPr="00E355AD">
              <w:rPr>
                <w:rFonts w:ascii="Times New Roman" w:hAnsi="Times New Roman" w:cs="Times New Roman"/>
                <w:sz w:val="20"/>
                <w:szCs w:val="20"/>
              </w:rPr>
              <w:t xml:space="preserve"> et al. 2017)</w:t>
            </w:r>
          </w:p>
        </w:tc>
      </w:tr>
      <w:tr w:rsidR="002D7080" w:rsidRPr="004D1E6F" w14:paraId="6028E205" w14:textId="77777777" w:rsidTr="002E2C37">
        <w:trPr>
          <w:trHeight w:val="70"/>
        </w:trPr>
        <w:tc>
          <w:tcPr>
            <w:tcW w:w="9016" w:type="dxa"/>
            <w:gridSpan w:val="2"/>
          </w:tcPr>
          <w:p w14:paraId="69E03C88" w14:textId="77777777" w:rsidR="002D7080" w:rsidRDefault="002D7080"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A7F1AA7" w14:textId="77777777" w:rsidR="002D7080" w:rsidRPr="007D452F" w:rsidRDefault="002D7080" w:rsidP="002E2C37">
            <w:pPr>
              <w:ind w:left="720" w:hanging="720"/>
              <w:contextualSpacing/>
              <w:jc w:val="both"/>
              <w:rPr>
                <w:rFonts w:ascii="Times New Roman" w:hAnsi="Times New Roman" w:cs="Times New Roman"/>
                <w:sz w:val="20"/>
                <w:szCs w:val="20"/>
                <w:shd w:val="clear" w:color="auto" w:fill="FFFFFF"/>
              </w:rPr>
            </w:pPr>
            <w:r w:rsidRPr="007D452F">
              <w:rPr>
                <w:rFonts w:ascii="Times New Roman" w:hAnsi="Times New Roman" w:cs="Times New Roman"/>
                <w:sz w:val="20"/>
                <w:szCs w:val="20"/>
                <w:shd w:val="clear" w:color="auto" w:fill="FFFFFF"/>
              </w:rPr>
              <w:t xml:space="preserve">Šidagytė, E., Razlutskij, V., Alekhnovich, A., Rybakovas, A., Moroz, M., Šniaukštaitė, V., Gintaitas, V. &amp; Arbačiauskas, K., 2017, ‘Predatory diet and potential effects of </w:t>
            </w:r>
            <w:r w:rsidRPr="007D452F">
              <w:rPr>
                <w:rFonts w:ascii="Times New Roman" w:hAnsi="Times New Roman" w:cs="Times New Roman"/>
                <w:i/>
                <w:iCs/>
                <w:sz w:val="20"/>
                <w:szCs w:val="20"/>
                <w:shd w:val="clear" w:color="auto" w:fill="FFFFFF"/>
              </w:rPr>
              <w:t>Orconectes limosus</w:t>
            </w:r>
            <w:r w:rsidRPr="007D452F">
              <w:rPr>
                <w:rFonts w:ascii="Times New Roman" w:hAnsi="Times New Roman" w:cs="Times New Roman"/>
                <w:sz w:val="20"/>
                <w:szCs w:val="20"/>
                <w:shd w:val="clear" w:color="auto" w:fill="FFFFFF"/>
              </w:rPr>
              <w:t xml:space="preserve"> on river macroinvertebrate assemblages of the southeastern Baltic Sea basin: implications for ecological assessment’, </w:t>
            </w:r>
            <w:r w:rsidRPr="007D452F">
              <w:rPr>
                <w:rFonts w:ascii="Times New Roman" w:hAnsi="Times New Roman" w:cs="Times New Roman"/>
                <w:i/>
                <w:iCs/>
                <w:sz w:val="20"/>
                <w:szCs w:val="20"/>
                <w:shd w:val="clear" w:color="auto" w:fill="FFFFFF"/>
              </w:rPr>
              <w:t>Aquatic Invasions</w:t>
            </w:r>
            <w:r w:rsidRPr="007D452F">
              <w:rPr>
                <w:rFonts w:ascii="Times New Roman" w:hAnsi="Times New Roman" w:cs="Times New Roman"/>
                <w:sz w:val="20"/>
                <w:szCs w:val="20"/>
                <w:shd w:val="clear" w:color="auto" w:fill="FFFFFF"/>
              </w:rPr>
              <w:t>, 12(4).</w:t>
            </w:r>
          </w:p>
          <w:p w14:paraId="592E4C10"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7D452F">
              <w:rPr>
                <w:rFonts w:ascii="Times New Roman" w:hAnsi="Times New Roman" w:cs="Times New Roman"/>
                <w:sz w:val="20"/>
                <w:szCs w:val="20"/>
                <w:shd w:val="clear" w:color="auto" w:fill="FFFFFF"/>
              </w:rPr>
              <w:t xml:space="preserve">Vojkovská, R., Horká, I. &amp; Ďuriš, Z., 2014, ‘The diet of the spiny-cheek crayfish </w:t>
            </w:r>
            <w:r w:rsidRPr="007D452F">
              <w:rPr>
                <w:rFonts w:ascii="Times New Roman" w:hAnsi="Times New Roman" w:cs="Times New Roman"/>
                <w:i/>
                <w:iCs/>
                <w:sz w:val="20"/>
                <w:szCs w:val="20"/>
                <w:shd w:val="clear" w:color="auto" w:fill="FFFFFF"/>
              </w:rPr>
              <w:t>Orconectes limosus</w:t>
            </w:r>
            <w:r w:rsidRPr="007D452F">
              <w:rPr>
                <w:rFonts w:ascii="Times New Roman" w:hAnsi="Times New Roman" w:cs="Times New Roman"/>
                <w:sz w:val="20"/>
                <w:szCs w:val="20"/>
                <w:shd w:val="clear" w:color="auto" w:fill="FFFFFF"/>
              </w:rPr>
              <w:t xml:space="preserve"> in the Czech Republic’, </w:t>
            </w:r>
            <w:r w:rsidRPr="007D452F">
              <w:rPr>
                <w:rStyle w:val="Emphasis"/>
                <w:rFonts w:ascii="Times New Roman" w:hAnsi="Times New Roman" w:cs="Times New Roman"/>
                <w:sz w:val="20"/>
                <w:szCs w:val="20"/>
                <w:shd w:val="clear" w:color="auto" w:fill="FFFFFF"/>
              </w:rPr>
              <w:t>Central European Journal of Biology</w:t>
            </w:r>
            <w:r w:rsidRPr="007D452F">
              <w:rPr>
                <w:rFonts w:ascii="Times New Roman" w:hAnsi="Times New Roman" w:cs="Times New Roman"/>
                <w:sz w:val="20"/>
                <w:szCs w:val="20"/>
                <w:shd w:val="clear" w:color="auto" w:fill="FFFFFF"/>
              </w:rPr>
              <w:t>, 9(1) 58-69</w:t>
            </w:r>
            <w:r w:rsidRPr="00E355AD">
              <w:rPr>
                <w:rFonts w:ascii="Times New Roman" w:hAnsi="Times New Roman" w:cs="Times New Roman"/>
                <w:color w:val="333333"/>
                <w:sz w:val="20"/>
                <w:szCs w:val="20"/>
                <w:shd w:val="clear" w:color="auto" w:fill="FFFFFF"/>
              </w:rPr>
              <w:t>. </w:t>
            </w:r>
            <w:hyperlink w:tgtFrame="_blank" w:history="1">
              <w:r w:rsidRPr="00E355AD">
                <w:rPr>
                  <w:rStyle w:val="Hyperlink"/>
                  <w:rFonts w:ascii="Times New Roman" w:hAnsi="Times New Roman" w:cs="Times New Roman"/>
                  <w:color w:val="155BC3"/>
                  <w:sz w:val="20"/>
                  <w:szCs w:val="20"/>
                  <w:shd w:val="clear" w:color="auto" w:fill="FFFFFF"/>
                </w:rPr>
                <w:t>http://rd.springer.com/article/10.2478/s11535-013-0189-y</w:t>
              </w:r>
            </w:hyperlink>
          </w:p>
        </w:tc>
      </w:tr>
      <w:tr w:rsidR="002D7080" w:rsidRPr="004D1E6F" w14:paraId="420D76B4" w14:textId="77777777" w:rsidTr="002E2C37">
        <w:tc>
          <w:tcPr>
            <w:tcW w:w="9016" w:type="dxa"/>
            <w:gridSpan w:val="2"/>
            <w:shd w:val="clear" w:color="auto" w:fill="F2F2F2" w:themeFill="background1" w:themeFillShade="F2"/>
          </w:tcPr>
          <w:p w14:paraId="1B73BC5A"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CON1i: Chemical, physical or structural impact on ecosystem</w:t>
            </w:r>
          </w:p>
        </w:tc>
      </w:tr>
      <w:tr w:rsidR="002D7080" w:rsidRPr="004D1E6F" w14:paraId="20F429A9" w14:textId="77777777" w:rsidTr="002E2C37">
        <w:tc>
          <w:tcPr>
            <w:tcW w:w="5949" w:type="dxa"/>
          </w:tcPr>
          <w:p w14:paraId="198F9F1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 xml:space="preserve">Minor </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MN</w:t>
            </w:r>
            <w:r w:rsidRPr="004D1E6F">
              <w:rPr>
                <w:rFonts w:ascii="Times New Roman" w:eastAsia="Times New Roman" w:hAnsi="Times New Roman" w:cs="Times New Roman"/>
                <w:sz w:val="20"/>
                <w:szCs w:val="20"/>
                <w:lang w:eastAsia="en-ZA"/>
              </w:rPr>
              <w:t>)</w:t>
            </w:r>
          </w:p>
        </w:tc>
        <w:tc>
          <w:tcPr>
            <w:tcW w:w="3067" w:type="dxa"/>
          </w:tcPr>
          <w:p w14:paraId="35D7556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Low</w:t>
            </w:r>
          </w:p>
        </w:tc>
      </w:tr>
      <w:tr w:rsidR="002D7080" w:rsidRPr="004D1E6F" w14:paraId="57C72591" w14:textId="77777777" w:rsidTr="002E2C37">
        <w:trPr>
          <w:trHeight w:val="70"/>
        </w:trPr>
        <w:tc>
          <w:tcPr>
            <w:tcW w:w="9016" w:type="dxa"/>
            <w:gridSpan w:val="2"/>
          </w:tcPr>
          <w:p w14:paraId="51EEF8A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Bioturbation by </w:t>
            </w:r>
            <w:r w:rsidRPr="008438DF">
              <w:rPr>
                <w:rFonts w:ascii="Times New Roman" w:eastAsia="Times New Roman" w:hAnsi="Times New Roman" w:cs="Times New Roman"/>
                <w:i/>
                <w:iCs/>
                <w:sz w:val="20"/>
                <w:szCs w:val="20"/>
                <w:lang w:eastAsia="en-ZA"/>
              </w:rPr>
              <w:t>F. limosus</w:t>
            </w:r>
            <w:r>
              <w:rPr>
                <w:rFonts w:ascii="Times New Roman" w:eastAsia="Times New Roman" w:hAnsi="Times New Roman" w:cs="Times New Roman"/>
                <w:sz w:val="20"/>
                <w:szCs w:val="20"/>
                <w:lang w:eastAsia="en-ZA"/>
              </w:rPr>
              <w:t xml:space="preserve"> has been shown to change the structure of bottom substrate and this can lead to changes in the abundance and structure of benthic communities (Statzner et al. 2000). Burrowing behaviour may destabilize riverbanks, increase erosion and damage nearby infrastructure (Aldridge 2011)</w:t>
            </w:r>
          </w:p>
        </w:tc>
      </w:tr>
      <w:tr w:rsidR="002D7080" w:rsidRPr="004D1E6F" w14:paraId="79A4C774" w14:textId="77777777" w:rsidTr="002E2C37">
        <w:trPr>
          <w:trHeight w:val="70"/>
        </w:trPr>
        <w:tc>
          <w:tcPr>
            <w:tcW w:w="9016" w:type="dxa"/>
            <w:gridSpan w:val="2"/>
          </w:tcPr>
          <w:p w14:paraId="0DF91D45" w14:textId="77777777" w:rsidR="002D7080" w:rsidRDefault="002D7080"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28E4A1A1" w14:textId="77777777" w:rsidR="002D7080" w:rsidRPr="00950CF7" w:rsidRDefault="002D7080" w:rsidP="002E2C37">
            <w:pPr>
              <w:ind w:left="720" w:hanging="720"/>
              <w:contextualSpacing/>
              <w:jc w:val="both"/>
              <w:rPr>
                <w:rFonts w:ascii="Times New Roman" w:hAnsi="Times New Roman" w:cs="Times New Roman"/>
                <w:color w:val="000000" w:themeColor="text1"/>
                <w:sz w:val="20"/>
                <w:szCs w:val="20"/>
                <w:shd w:val="clear" w:color="auto" w:fill="FFFFFF"/>
              </w:rPr>
            </w:pPr>
            <w:r w:rsidRPr="00950CF7">
              <w:rPr>
                <w:rFonts w:ascii="Times New Roman" w:hAnsi="Times New Roman" w:cs="Times New Roman"/>
                <w:color w:val="000000" w:themeColor="text1"/>
                <w:sz w:val="20"/>
                <w:szCs w:val="20"/>
                <w:shd w:val="clear" w:color="auto" w:fill="FFFFFF"/>
              </w:rPr>
              <w:t xml:space="preserve">Statzner, B., Fièvet, E., Champagne, J. Y., Morel, R. &amp; Herouin, E., 2000, ‘Crayfish as geomorphic agents and ecosystem engineers: biological behavior affects sand and gravel erosion in experimental streams’, </w:t>
            </w:r>
            <w:r w:rsidRPr="00950CF7">
              <w:rPr>
                <w:rStyle w:val="Emphasis"/>
                <w:rFonts w:ascii="Times New Roman" w:hAnsi="Times New Roman" w:cs="Times New Roman"/>
                <w:color w:val="000000" w:themeColor="text1"/>
                <w:sz w:val="20"/>
                <w:szCs w:val="20"/>
                <w:shd w:val="clear" w:color="auto" w:fill="FFFFFF"/>
              </w:rPr>
              <w:t>Limnology and Oceanography</w:t>
            </w:r>
            <w:r w:rsidRPr="00950CF7">
              <w:rPr>
                <w:rFonts w:ascii="Times New Roman" w:hAnsi="Times New Roman" w:cs="Times New Roman"/>
                <w:color w:val="000000" w:themeColor="text1"/>
                <w:sz w:val="20"/>
                <w:szCs w:val="20"/>
                <w:shd w:val="clear" w:color="auto" w:fill="FFFFFF"/>
              </w:rPr>
              <w:t>, 45(5), 1030-1040.</w:t>
            </w:r>
            <w:r>
              <w:rPr>
                <w:rFonts w:ascii="Times New Roman" w:hAnsi="Times New Roman" w:cs="Times New Roman"/>
                <w:color w:val="000000" w:themeColor="text1"/>
                <w:sz w:val="20"/>
                <w:szCs w:val="20"/>
                <w:shd w:val="clear" w:color="auto" w:fill="FFFFFF"/>
              </w:rPr>
              <w:t xml:space="preserve"> </w:t>
            </w:r>
            <w:hyperlink r:id="rId291" w:history="1">
              <w:r w:rsidRPr="007067B6">
                <w:rPr>
                  <w:rStyle w:val="Hyperlink"/>
                  <w:rFonts w:ascii="Times New Roman" w:hAnsi="Times New Roman" w:cs="Times New Roman"/>
                  <w:sz w:val="20"/>
                  <w:szCs w:val="20"/>
                  <w:shd w:val="clear" w:color="auto" w:fill="FFFFFF"/>
                </w:rPr>
                <w:t>https://doi.org/10.4319/lo.2000.45.5.1030</w:t>
              </w:r>
            </w:hyperlink>
            <w:r>
              <w:rPr>
                <w:rFonts w:ascii="Times New Roman" w:hAnsi="Times New Roman" w:cs="Times New Roman"/>
                <w:color w:val="000000" w:themeColor="text1"/>
                <w:sz w:val="20"/>
                <w:szCs w:val="20"/>
                <w:shd w:val="clear" w:color="auto" w:fill="FFFFFF"/>
              </w:rPr>
              <w:t xml:space="preserve"> </w:t>
            </w:r>
          </w:p>
          <w:p w14:paraId="661974DA" w14:textId="77777777" w:rsidR="002D7080" w:rsidRPr="008438DF" w:rsidRDefault="002D7080" w:rsidP="002E2C37">
            <w:pPr>
              <w:ind w:left="720" w:hanging="720"/>
              <w:contextualSpacing/>
              <w:jc w:val="both"/>
              <w:rPr>
                <w:rFonts w:ascii="Times New Roman" w:eastAsia="Times New Roman" w:hAnsi="Times New Roman" w:cs="Times New Roman"/>
                <w:sz w:val="20"/>
                <w:szCs w:val="20"/>
                <w:lang w:eastAsia="en-ZA"/>
              </w:rPr>
            </w:pPr>
            <w:r w:rsidRPr="008438DF">
              <w:rPr>
                <w:rFonts w:ascii="Times New Roman" w:hAnsi="Times New Roman" w:cs="Times New Roman"/>
                <w:sz w:val="20"/>
                <w:szCs w:val="20"/>
                <w:shd w:val="clear" w:color="auto" w:fill="FFFFFF"/>
              </w:rPr>
              <w:t>Aldridge</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D</w:t>
            </w:r>
            <w:r>
              <w:rPr>
                <w:rFonts w:ascii="Times New Roman" w:hAnsi="Times New Roman" w:cs="Times New Roman"/>
                <w:sz w:val="20"/>
                <w:szCs w:val="20"/>
                <w:shd w:val="clear" w:color="auto" w:fill="FFFFFF"/>
              </w:rPr>
              <w:t>.</w:t>
            </w:r>
            <w:r w:rsidRPr="008438DF">
              <w:rPr>
                <w:rFonts w:ascii="Times New Roman" w:hAnsi="Times New Roman" w:cs="Times New Roman"/>
                <w:sz w:val="20"/>
                <w:szCs w:val="20"/>
                <w:shd w:val="clear" w:color="auto" w:fill="FFFFFF"/>
              </w:rPr>
              <w:t xml:space="preserve">, 2011. Spinycheek Crayfish, </w:t>
            </w:r>
            <w:r w:rsidRPr="001950A5">
              <w:rPr>
                <w:rFonts w:ascii="Times New Roman" w:hAnsi="Times New Roman" w:cs="Times New Roman"/>
                <w:i/>
                <w:iCs/>
                <w:sz w:val="20"/>
                <w:szCs w:val="20"/>
                <w:shd w:val="clear" w:color="auto" w:fill="FFFFFF"/>
              </w:rPr>
              <w:t>Orconectes limosus</w:t>
            </w:r>
            <w:r w:rsidRPr="008438DF">
              <w:rPr>
                <w:rFonts w:ascii="Times New Roman" w:hAnsi="Times New Roman" w:cs="Times New Roman"/>
                <w:sz w:val="20"/>
                <w:szCs w:val="20"/>
                <w:shd w:val="clear" w:color="auto" w:fill="FFFFFF"/>
              </w:rPr>
              <w:t>. Sand Hutton, UK: GB Non-native Species Secretariat. </w:t>
            </w:r>
            <w:hyperlink w:tgtFrame="_blank" w:history="1">
              <w:r w:rsidRPr="008438DF">
                <w:rPr>
                  <w:rFonts w:ascii="Times New Roman" w:hAnsi="Times New Roman" w:cs="Times New Roman"/>
                  <w:sz w:val="20"/>
                  <w:szCs w:val="20"/>
                  <w:u w:val="single"/>
                  <w:shd w:val="clear" w:color="auto" w:fill="FFFFFF"/>
                </w:rPr>
                <w:t>http://www.nonnativespecies.org/factsheet/factsheet.cfm?speciesId=2441</w:t>
              </w:r>
            </w:hyperlink>
          </w:p>
        </w:tc>
      </w:tr>
      <w:tr w:rsidR="002D7080" w:rsidRPr="004D1E6F" w14:paraId="174BD98D" w14:textId="77777777" w:rsidTr="002E2C37">
        <w:tc>
          <w:tcPr>
            <w:tcW w:w="9016" w:type="dxa"/>
            <w:gridSpan w:val="2"/>
            <w:shd w:val="clear" w:color="auto" w:fill="F2F2F2" w:themeFill="background1" w:themeFillShade="F2"/>
          </w:tcPr>
          <w:p w14:paraId="41849B6F"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CON1k: Indirect impacts through interactions with other species</w:t>
            </w:r>
          </w:p>
        </w:tc>
      </w:tr>
      <w:tr w:rsidR="002D7080" w:rsidRPr="004D1E6F" w14:paraId="663B2A59" w14:textId="77777777" w:rsidTr="002E2C37">
        <w:tc>
          <w:tcPr>
            <w:tcW w:w="5949" w:type="dxa"/>
          </w:tcPr>
          <w:p w14:paraId="53E5C31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307A7DD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24F810ED" w14:textId="77777777" w:rsidTr="002E2C37">
        <w:trPr>
          <w:trHeight w:val="70"/>
        </w:trPr>
        <w:tc>
          <w:tcPr>
            <w:tcW w:w="9016" w:type="dxa"/>
            <w:gridSpan w:val="2"/>
          </w:tcPr>
          <w:p w14:paraId="06D498D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419B7F16" w14:textId="77777777" w:rsidTr="002E2C37">
        <w:trPr>
          <w:trHeight w:val="70"/>
        </w:trPr>
        <w:tc>
          <w:tcPr>
            <w:tcW w:w="9016" w:type="dxa"/>
            <w:gridSpan w:val="2"/>
          </w:tcPr>
          <w:p w14:paraId="5BAE1D00"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7E8D376" w14:textId="77777777" w:rsidTr="002E2C37">
        <w:trPr>
          <w:trHeight w:val="343"/>
        </w:trPr>
        <w:tc>
          <w:tcPr>
            <w:tcW w:w="9016" w:type="dxa"/>
            <w:gridSpan w:val="2"/>
            <w:shd w:val="clear" w:color="auto" w:fill="F2F2F2" w:themeFill="background1" w:themeFillShade="F2"/>
          </w:tcPr>
          <w:p w14:paraId="05675306"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CON1 Maximum environmental impact </w:t>
            </w:r>
          </w:p>
        </w:tc>
      </w:tr>
      <w:tr w:rsidR="002D7080" w:rsidRPr="004D1E6F" w14:paraId="1A86E1C7" w14:textId="77777777" w:rsidTr="002E2C37">
        <w:trPr>
          <w:trHeight w:val="172"/>
        </w:trPr>
        <w:tc>
          <w:tcPr>
            <w:tcW w:w="5949" w:type="dxa"/>
          </w:tcPr>
          <w:p w14:paraId="6A053E3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Response: </w:t>
            </w:r>
            <w:r>
              <w:rPr>
                <w:rFonts w:ascii="Times New Roman" w:eastAsia="Times New Roman" w:hAnsi="Times New Roman" w:cs="Times New Roman"/>
                <w:sz w:val="20"/>
                <w:szCs w:val="20"/>
                <w:lang w:eastAsia="en-ZA"/>
              </w:rPr>
              <w:t>Major (MR)</w:t>
            </w:r>
          </w:p>
        </w:tc>
        <w:tc>
          <w:tcPr>
            <w:tcW w:w="3067" w:type="dxa"/>
          </w:tcPr>
          <w:p w14:paraId="6631AB5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Medium </w:t>
            </w:r>
          </w:p>
        </w:tc>
      </w:tr>
      <w:tr w:rsidR="002D7080" w:rsidRPr="004D1E6F" w14:paraId="13C54A0E" w14:textId="77777777" w:rsidTr="002E2C37">
        <w:trPr>
          <w:trHeight w:val="70"/>
        </w:trPr>
        <w:tc>
          <w:tcPr>
            <w:tcW w:w="9016" w:type="dxa"/>
            <w:gridSpan w:val="2"/>
          </w:tcPr>
          <w:p w14:paraId="4390597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313D9E">
              <w:rPr>
                <w:rFonts w:ascii="Times New Roman" w:eastAsia="Times New Roman" w:hAnsi="Times New Roman" w:cs="Times New Roman"/>
                <w:i/>
                <w:iCs/>
                <w:sz w:val="20"/>
                <w:szCs w:val="20"/>
                <w:lang w:eastAsia="en-ZA"/>
              </w:rPr>
              <w:t>Faxonius limosus</w:t>
            </w:r>
            <w:r>
              <w:rPr>
                <w:rFonts w:ascii="Times New Roman" w:eastAsia="Times New Roman" w:hAnsi="Times New Roman" w:cs="Times New Roman"/>
                <w:sz w:val="20"/>
                <w:szCs w:val="20"/>
                <w:lang w:eastAsia="en-ZA"/>
              </w:rPr>
              <w:t xml:space="preserve"> has displaced native crayfish in Europe through the competition for resources and transmission of crayfish plague </w:t>
            </w:r>
            <w:r w:rsidRPr="00313D9E">
              <w:rPr>
                <w:rFonts w:ascii="Times New Roman" w:eastAsia="Times New Roman" w:hAnsi="Times New Roman" w:cs="Times New Roman"/>
                <w:sz w:val="20"/>
                <w:szCs w:val="20"/>
                <w:lang w:eastAsia="en-ZA"/>
              </w:rPr>
              <w:t xml:space="preserve">(Holdich et al., 2006; Holdich </w:t>
            </w:r>
            <w:r>
              <w:rPr>
                <w:rFonts w:ascii="Times New Roman" w:eastAsia="Times New Roman" w:hAnsi="Times New Roman" w:cs="Times New Roman"/>
                <w:sz w:val="20"/>
                <w:szCs w:val="20"/>
                <w:lang w:eastAsia="en-ZA"/>
              </w:rPr>
              <w:t>&amp;</w:t>
            </w:r>
            <w:r w:rsidRPr="00313D9E">
              <w:rPr>
                <w:rFonts w:ascii="Times New Roman" w:eastAsia="Times New Roman" w:hAnsi="Times New Roman" w:cs="Times New Roman"/>
                <w:sz w:val="20"/>
                <w:szCs w:val="20"/>
                <w:lang w:eastAsia="en-ZA"/>
              </w:rPr>
              <w:t xml:space="preserve"> Black, 2007; Kozák et al., 2007; Musil et al., 2010; Pârvulescu et al., 2012)</w:t>
            </w:r>
            <w:r>
              <w:rPr>
                <w:rFonts w:ascii="Times New Roman" w:eastAsia="Times New Roman" w:hAnsi="Times New Roman" w:cs="Times New Roman"/>
                <w:sz w:val="20"/>
                <w:szCs w:val="20"/>
                <w:lang w:eastAsia="en-ZA"/>
              </w:rPr>
              <w:t>.</w:t>
            </w:r>
          </w:p>
        </w:tc>
      </w:tr>
      <w:tr w:rsidR="002D7080" w:rsidRPr="004D1E6F" w14:paraId="0B8BF710" w14:textId="77777777" w:rsidTr="002E2C37">
        <w:trPr>
          <w:trHeight w:val="70"/>
        </w:trPr>
        <w:tc>
          <w:tcPr>
            <w:tcW w:w="9016" w:type="dxa"/>
            <w:gridSpan w:val="2"/>
          </w:tcPr>
          <w:p w14:paraId="12B6BF6C" w14:textId="77777777" w:rsidR="002D7080" w:rsidRDefault="002D7080"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07DA5EE4" w14:textId="77777777" w:rsidR="002D7080" w:rsidRPr="00950CF7" w:rsidRDefault="002D7080" w:rsidP="002E2C37">
            <w:pPr>
              <w:ind w:left="720" w:hanging="720"/>
              <w:contextualSpacing/>
              <w:jc w:val="both"/>
              <w:rPr>
                <w:rFonts w:ascii="Times New Roman" w:hAnsi="Times New Roman" w:cs="Times New Roman"/>
                <w:color w:val="000000" w:themeColor="text1"/>
                <w:sz w:val="20"/>
                <w:szCs w:val="20"/>
                <w:shd w:val="clear" w:color="auto" w:fill="FFFFFF"/>
              </w:rPr>
            </w:pPr>
            <w:r w:rsidRPr="00950CF7">
              <w:rPr>
                <w:rFonts w:ascii="Times New Roman" w:hAnsi="Times New Roman" w:cs="Times New Roman"/>
                <w:color w:val="000000" w:themeColor="text1"/>
                <w:sz w:val="20"/>
                <w:szCs w:val="20"/>
                <w:shd w:val="clear" w:color="auto" w:fill="FFFFFF"/>
              </w:rPr>
              <w:t>Holdich, D.M., Haffner, P. &amp; Noël, P., 2006, Species files. In: </w:t>
            </w:r>
            <w:r w:rsidRPr="00950CF7">
              <w:rPr>
                <w:rStyle w:val="Emphasis"/>
                <w:rFonts w:ascii="Times New Roman" w:hAnsi="Times New Roman" w:cs="Times New Roman"/>
                <w:color w:val="000000" w:themeColor="text1"/>
                <w:sz w:val="20"/>
                <w:szCs w:val="20"/>
                <w:shd w:val="clear" w:color="auto" w:fill="FFFFFF"/>
              </w:rPr>
              <w:t>Atlas of Crayfish in Europe</w:t>
            </w:r>
            <w:r w:rsidRPr="00950CF7">
              <w:rPr>
                <w:rFonts w:ascii="Times New Roman" w:hAnsi="Times New Roman" w:cs="Times New Roman"/>
                <w:color w:val="000000" w:themeColor="text1"/>
                <w:sz w:val="20"/>
                <w:szCs w:val="20"/>
                <w:shd w:val="clear" w:color="auto" w:fill="FFFFFF"/>
              </w:rPr>
              <w:t>, [ed. by Souty-Grosset, C., Holdich. D.M., Noël, P.Y., Reynolds, J.D. &amp; Haffner, P]. Paris, France: Museum national d’Histoire naturelle. 50-129.</w:t>
            </w:r>
          </w:p>
          <w:p w14:paraId="5F76FD55" w14:textId="77777777" w:rsidR="002D7080" w:rsidRPr="00950CF7" w:rsidRDefault="002D7080" w:rsidP="002E2C37">
            <w:pPr>
              <w:ind w:left="720" w:hanging="720"/>
              <w:contextualSpacing/>
              <w:jc w:val="both"/>
              <w:rPr>
                <w:rFonts w:ascii="Times New Roman" w:hAnsi="Times New Roman" w:cs="Times New Roman"/>
                <w:color w:val="000000" w:themeColor="text1"/>
                <w:sz w:val="20"/>
                <w:szCs w:val="20"/>
              </w:rPr>
            </w:pPr>
            <w:r w:rsidRPr="00950CF7">
              <w:rPr>
                <w:rFonts w:ascii="Times New Roman" w:hAnsi="Times New Roman" w:cs="Times New Roman"/>
                <w:color w:val="000000" w:themeColor="text1"/>
                <w:sz w:val="20"/>
                <w:szCs w:val="20"/>
                <w:shd w:val="clear" w:color="auto" w:fill="FFFFFF"/>
              </w:rPr>
              <w:t xml:space="preserve">Holdich, D. &amp; Black, J., 2007, ‘The spiny-cheek crayfish, </w:t>
            </w:r>
            <w:r w:rsidRPr="00950CF7">
              <w:rPr>
                <w:rFonts w:ascii="Times New Roman" w:hAnsi="Times New Roman" w:cs="Times New Roman"/>
                <w:i/>
                <w:iCs/>
                <w:color w:val="000000" w:themeColor="text1"/>
                <w:sz w:val="20"/>
                <w:szCs w:val="20"/>
                <w:shd w:val="clear" w:color="auto" w:fill="FFFFFF"/>
              </w:rPr>
              <w:t>Orconectes limosus</w:t>
            </w:r>
            <w:r w:rsidRPr="00950CF7">
              <w:rPr>
                <w:rFonts w:ascii="Times New Roman" w:hAnsi="Times New Roman" w:cs="Times New Roman"/>
                <w:color w:val="000000" w:themeColor="text1"/>
                <w:sz w:val="20"/>
                <w:szCs w:val="20"/>
                <w:shd w:val="clear" w:color="auto" w:fill="FFFFFF"/>
              </w:rPr>
              <w:t xml:space="preserve"> (Rafinesque, 1817) [Crustacea: Decapoda: Cambaridae], digs into the UK’, </w:t>
            </w:r>
            <w:r w:rsidRPr="00950CF7">
              <w:rPr>
                <w:rStyle w:val="Emphasis"/>
                <w:rFonts w:ascii="Times New Roman" w:hAnsi="Times New Roman" w:cs="Times New Roman"/>
                <w:color w:val="000000" w:themeColor="text1"/>
                <w:sz w:val="20"/>
                <w:szCs w:val="20"/>
                <w:shd w:val="clear" w:color="auto" w:fill="FFFFFF"/>
              </w:rPr>
              <w:t>Aquatic Invasions</w:t>
            </w:r>
            <w:r w:rsidRPr="00950CF7">
              <w:rPr>
                <w:rFonts w:ascii="Times New Roman" w:hAnsi="Times New Roman" w:cs="Times New Roman"/>
                <w:color w:val="000000" w:themeColor="text1"/>
                <w:sz w:val="20"/>
                <w:szCs w:val="20"/>
                <w:shd w:val="clear" w:color="auto" w:fill="FFFFFF"/>
              </w:rPr>
              <w:t>, 2(1), 1-16. </w:t>
            </w:r>
            <w:hyperlink w:tgtFrame="_blank" w:history="1">
              <w:r w:rsidRPr="00950CF7">
                <w:rPr>
                  <w:rStyle w:val="Hyperlink"/>
                  <w:rFonts w:ascii="Times New Roman" w:hAnsi="Times New Roman" w:cs="Times New Roman"/>
                  <w:color w:val="000000" w:themeColor="text1"/>
                  <w:sz w:val="20"/>
                  <w:szCs w:val="20"/>
                  <w:shd w:val="clear" w:color="auto" w:fill="FFFFFF"/>
                </w:rPr>
                <w:t>http://www.aquaticinvasions.ru/2007/AI_2007_2_1_Holdich_Black.pdf</w:t>
              </w:r>
            </w:hyperlink>
          </w:p>
          <w:p w14:paraId="72E1A208" w14:textId="77777777" w:rsidR="002D7080" w:rsidRPr="00950CF7" w:rsidRDefault="002D7080" w:rsidP="002E2C37">
            <w:pPr>
              <w:ind w:left="720" w:hanging="720"/>
              <w:contextualSpacing/>
              <w:jc w:val="both"/>
              <w:rPr>
                <w:rFonts w:ascii="Times New Roman" w:hAnsi="Times New Roman" w:cs="Times New Roman"/>
                <w:color w:val="000000" w:themeColor="text1"/>
                <w:sz w:val="20"/>
                <w:szCs w:val="20"/>
                <w:shd w:val="clear" w:color="auto" w:fill="FFFFFF"/>
              </w:rPr>
            </w:pPr>
            <w:r w:rsidRPr="00950CF7">
              <w:rPr>
                <w:rFonts w:ascii="Times New Roman" w:hAnsi="Times New Roman" w:cs="Times New Roman"/>
                <w:color w:val="000000" w:themeColor="text1"/>
                <w:sz w:val="20"/>
                <w:szCs w:val="20"/>
                <w:shd w:val="clear" w:color="auto" w:fill="FFFFFF"/>
              </w:rPr>
              <w:t xml:space="preserve">Kozák, P., Buřič, M., Policar, T., Hamáčková, J., Lepičová, A., 2007, ‘The effect of inter- and intra-specific competition on survival and growth rate of native juvenile noble crayfish </w:t>
            </w:r>
            <w:r w:rsidRPr="00950CF7">
              <w:rPr>
                <w:rFonts w:ascii="Times New Roman" w:hAnsi="Times New Roman" w:cs="Times New Roman"/>
                <w:i/>
                <w:iCs/>
                <w:color w:val="000000" w:themeColor="text1"/>
                <w:sz w:val="20"/>
                <w:szCs w:val="20"/>
                <w:shd w:val="clear" w:color="auto" w:fill="FFFFFF"/>
              </w:rPr>
              <w:t>Astacus astacus</w:t>
            </w:r>
            <w:r w:rsidRPr="00950CF7">
              <w:rPr>
                <w:rFonts w:ascii="Times New Roman" w:hAnsi="Times New Roman" w:cs="Times New Roman"/>
                <w:color w:val="000000" w:themeColor="text1"/>
                <w:sz w:val="20"/>
                <w:szCs w:val="20"/>
                <w:shd w:val="clear" w:color="auto" w:fill="FFFFFF"/>
              </w:rPr>
              <w:t xml:space="preserve"> and alien spiny-cheek crayfish </w:t>
            </w:r>
            <w:r w:rsidRPr="00950CF7">
              <w:rPr>
                <w:rFonts w:ascii="Times New Roman" w:hAnsi="Times New Roman" w:cs="Times New Roman"/>
                <w:i/>
                <w:iCs/>
                <w:color w:val="000000" w:themeColor="text1"/>
                <w:sz w:val="20"/>
                <w:szCs w:val="20"/>
                <w:shd w:val="clear" w:color="auto" w:fill="FFFFFF"/>
              </w:rPr>
              <w:t>Orconectes limosus</w:t>
            </w:r>
            <w:r w:rsidRPr="00950CF7">
              <w:rPr>
                <w:rFonts w:ascii="Times New Roman" w:hAnsi="Times New Roman" w:cs="Times New Roman"/>
                <w:color w:val="000000" w:themeColor="text1"/>
                <w:sz w:val="20"/>
                <w:szCs w:val="20"/>
                <w:shd w:val="clear" w:color="auto" w:fill="FFFFFF"/>
              </w:rPr>
              <w:t xml:space="preserve">’, </w:t>
            </w:r>
            <w:r w:rsidRPr="00950CF7">
              <w:rPr>
                <w:rStyle w:val="Emphasis"/>
                <w:rFonts w:ascii="Times New Roman" w:hAnsi="Times New Roman" w:cs="Times New Roman"/>
                <w:color w:val="000000" w:themeColor="text1"/>
                <w:sz w:val="20"/>
                <w:szCs w:val="20"/>
                <w:shd w:val="clear" w:color="auto" w:fill="FFFFFF"/>
              </w:rPr>
              <w:t>Hydrobiologia</w:t>
            </w:r>
            <w:r w:rsidRPr="00950CF7">
              <w:rPr>
                <w:rFonts w:ascii="Times New Roman" w:hAnsi="Times New Roman" w:cs="Times New Roman"/>
                <w:color w:val="000000" w:themeColor="text1"/>
                <w:sz w:val="20"/>
                <w:szCs w:val="20"/>
                <w:shd w:val="clear" w:color="auto" w:fill="FFFFFF"/>
              </w:rPr>
              <w:t>, 59085-94.</w:t>
            </w:r>
            <w:r>
              <w:rPr>
                <w:rFonts w:ascii="Times New Roman" w:hAnsi="Times New Roman" w:cs="Times New Roman"/>
                <w:color w:val="000000" w:themeColor="text1"/>
                <w:sz w:val="20"/>
                <w:szCs w:val="20"/>
                <w:shd w:val="clear" w:color="auto" w:fill="FFFFFF"/>
              </w:rPr>
              <w:t xml:space="preserve"> </w:t>
            </w:r>
            <w:hyperlink r:id="rId292" w:history="1">
              <w:r w:rsidRPr="007D452F">
                <w:rPr>
                  <w:rStyle w:val="Hyperlink"/>
                  <w:rFonts w:ascii="Times New Roman" w:hAnsi="Times New Roman" w:cs="Times New Roman"/>
                  <w:sz w:val="20"/>
                  <w:szCs w:val="20"/>
                  <w:shd w:val="clear" w:color="auto" w:fill="FFFFFF"/>
                </w:rPr>
                <w:t>https://doi.org/10.1007/s10750-007-0760-0</w:t>
              </w:r>
            </w:hyperlink>
            <w:r w:rsidRPr="007D452F">
              <w:rPr>
                <w:rFonts w:ascii="Times New Roman" w:hAnsi="Times New Roman" w:cs="Times New Roman"/>
                <w:color w:val="000000" w:themeColor="text1"/>
                <w:sz w:val="20"/>
                <w:szCs w:val="20"/>
                <w:shd w:val="clear" w:color="auto" w:fill="FFFFFF"/>
              </w:rPr>
              <w:t>.</w:t>
            </w:r>
          </w:p>
          <w:p w14:paraId="55120C49" w14:textId="77777777" w:rsidR="002D7080" w:rsidRPr="00950CF7" w:rsidRDefault="002D7080" w:rsidP="002E2C37">
            <w:pPr>
              <w:ind w:left="720" w:hanging="720"/>
              <w:contextualSpacing/>
              <w:jc w:val="both"/>
              <w:rPr>
                <w:rFonts w:ascii="Times New Roman" w:hAnsi="Times New Roman" w:cs="Times New Roman"/>
                <w:color w:val="000000" w:themeColor="text1"/>
                <w:sz w:val="20"/>
                <w:szCs w:val="20"/>
                <w:shd w:val="clear" w:color="auto" w:fill="FFFFFF"/>
              </w:rPr>
            </w:pPr>
            <w:r w:rsidRPr="00950CF7">
              <w:rPr>
                <w:rFonts w:ascii="Times New Roman" w:hAnsi="Times New Roman" w:cs="Times New Roman"/>
                <w:color w:val="000000" w:themeColor="text1"/>
                <w:sz w:val="20"/>
                <w:szCs w:val="20"/>
                <w:shd w:val="clear" w:color="auto" w:fill="FFFFFF"/>
              </w:rPr>
              <w:t>Musil, M., Buřič, M., Policar, T., Kouba, A. &amp; Kozák, P., 2010, ‘Comparison of diurnal and nocturnal activity between noble crayfish (</w:t>
            </w:r>
            <w:r w:rsidRPr="00950CF7">
              <w:rPr>
                <w:rFonts w:ascii="Times New Roman" w:hAnsi="Times New Roman" w:cs="Times New Roman"/>
                <w:i/>
                <w:iCs/>
                <w:color w:val="000000" w:themeColor="text1"/>
                <w:sz w:val="20"/>
                <w:szCs w:val="20"/>
                <w:shd w:val="clear" w:color="auto" w:fill="FFFFFF"/>
              </w:rPr>
              <w:t>Astacus astacus</w:t>
            </w:r>
            <w:r w:rsidRPr="00950CF7">
              <w:rPr>
                <w:rFonts w:ascii="Times New Roman" w:hAnsi="Times New Roman" w:cs="Times New Roman"/>
                <w:color w:val="000000" w:themeColor="text1"/>
                <w:sz w:val="20"/>
                <w:szCs w:val="20"/>
                <w:shd w:val="clear" w:color="auto" w:fill="FFFFFF"/>
              </w:rPr>
              <w:t>) and spinycheek crayfish (</w:t>
            </w:r>
            <w:r w:rsidRPr="00950CF7">
              <w:rPr>
                <w:rFonts w:ascii="Times New Roman" w:hAnsi="Times New Roman" w:cs="Times New Roman"/>
                <w:i/>
                <w:iCs/>
                <w:color w:val="000000" w:themeColor="text1"/>
                <w:sz w:val="20"/>
                <w:szCs w:val="20"/>
                <w:shd w:val="clear" w:color="auto" w:fill="FFFFFF"/>
              </w:rPr>
              <w:t>Orconectes limosus</w:t>
            </w:r>
            <w:r w:rsidRPr="00950CF7">
              <w:rPr>
                <w:rFonts w:ascii="Times New Roman" w:hAnsi="Times New Roman" w:cs="Times New Roman"/>
                <w:color w:val="000000" w:themeColor="text1"/>
                <w:sz w:val="20"/>
                <w:szCs w:val="20"/>
                <w:shd w:val="clear" w:color="auto" w:fill="FFFFFF"/>
              </w:rPr>
              <w:t>)’, </w:t>
            </w:r>
            <w:r w:rsidRPr="00950CF7">
              <w:rPr>
                <w:rStyle w:val="Emphasis"/>
                <w:rFonts w:ascii="Times New Roman" w:hAnsi="Times New Roman" w:cs="Times New Roman"/>
                <w:color w:val="000000" w:themeColor="text1"/>
                <w:sz w:val="20"/>
                <w:szCs w:val="20"/>
                <w:shd w:val="clear" w:color="auto" w:fill="FFFFFF"/>
              </w:rPr>
              <w:t>Freshwater Crayfish</w:t>
            </w:r>
            <w:r w:rsidRPr="00950CF7">
              <w:rPr>
                <w:rFonts w:ascii="Times New Roman" w:hAnsi="Times New Roman" w:cs="Times New Roman"/>
                <w:color w:val="000000" w:themeColor="text1"/>
                <w:sz w:val="20"/>
                <w:szCs w:val="20"/>
                <w:shd w:val="clear" w:color="auto" w:fill="FFFFFF"/>
              </w:rPr>
              <w:t>, 17189-193.</w:t>
            </w:r>
          </w:p>
          <w:p w14:paraId="306E1E44" w14:textId="77777777"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950CF7">
              <w:rPr>
                <w:rFonts w:ascii="Times New Roman" w:hAnsi="Times New Roman" w:cs="Times New Roman"/>
                <w:color w:val="000000" w:themeColor="text1"/>
                <w:sz w:val="20"/>
                <w:szCs w:val="20"/>
                <w:shd w:val="clear" w:color="auto" w:fill="FFFFFF"/>
              </w:rPr>
              <w:t xml:space="preserve">Pârvulescu, L., Schrimpf, A., Kozubíková, E., Resino, S. C., Vrålstad, T., Petrusek, A., Schulz, R., 2012, ‘Invasive crayfish and crayfish plague on the move: first detection of the plague agent </w:t>
            </w:r>
            <w:r w:rsidRPr="00950CF7">
              <w:rPr>
                <w:rFonts w:ascii="Times New Roman" w:hAnsi="Times New Roman" w:cs="Times New Roman"/>
                <w:i/>
                <w:iCs/>
                <w:color w:val="000000" w:themeColor="text1"/>
                <w:sz w:val="20"/>
                <w:szCs w:val="20"/>
                <w:shd w:val="clear" w:color="auto" w:fill="FFFFFF"/>
              </w:rPr>
              <w:t>Aphanomyces astaci</w:t>
            </w:r>
            <w:r w:rsidRPr="00950CF7">
              <w:rPr>
                <w:rFonts w:ascii="Times New Roman" w:hAnsi="Times New Roman" w:cs="Times New Roman"/>
                <w:color w:val="000000" w:themeColor="text1"/>
                <w:sz w:val="20"/>
                <w:szCs w:val="20"/>
                <w:shd w:val="clear" w:color="auto" w:fill="FFFFFF"/>
              </w:rPr>
              <w:t xml:space="preserve"> in the Romanian Danube’, </w:t>
            </w:r>
            <w:r w:rsidRPr="00950CF7">
              <w:rPr>
                <w:rStyle w:val="Emphasis"/>
                <w:rFonts w:ascii="Times New Roman" w:hAnsi="Times New Roman" w:cs="Times New Roman"/>
                <w:color w:val="000000" w:themeColor="text1"/>
                <w:sz w:val="20"/>
                <w:szCs w:val="20"/>
                <w:shd w:val="clear" w:color="auto" w:fill="FFFFFF"/>
              </w:rPr>
              <w:t>Diseases of Aquatic Organisms</w:t>
            </w:r>
            <w:r w:rsidRPr="00950CF7">
              <w:rPr>
                <w:rFonts w:ascii="Times New Roman" w:hAnsi="Times New Roman" w:cs="Times New Roman"/>
                <w:color w:val="000000" w:themeColor="text1"/>
                <w:sz w:val="20"/>
                <w:szCs w:val="20"/>
                <w:shd w:val="clear" w:color="auto" w:fill="FFFFFF"/>
              </w:rPr>
              <w:t>, 98(1), 85-94. </w:t>
            </w:r>
            <w:hyperlink r:id="rId293" w:history="1">
              <w:r w:rsidRPr="00A26A65">
                <w:rPr>
                  <w:rStyle w:val="Hyperlink"/>
                  <w:rFonts w:ascii="Times New Roman" w:hAnsi="Times New Roman" w:cs="Times New Roman"/>
                  <w:sz w:val="20"/>
                  <w:szCs w:val="20"/>
                  <w:shd w:val="clear" w:color="auto" w:fill="FFFFFF"/>
                </w:rPr>
                <w:t>https://doi.org/10.3354/dao02432</w:t>
              </w:r>
            </w:hyperlink>
            <w:r>
              <w:rPr>
                <w:rFonts w:ascii="Times New Roman" w:hAnsi="Times New Roman" w:cs="Times New Roman"/>
                <w:color w:val="000000" w:themeColor="text1"/>
                <w:sz w:val="20"/>
                <w:szCs w:val="20"/>
                <w:shd w:val="clear" w:color="auto" w:fill="FFFFFF"/>
              </w:rPr>
              <w:t>.</w:t>
            </w:r>
          </w:p>
        </w:tc>
      </w:tr>
    </w:tbl>
    <w:p w14:paraId="1391EAEB"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4955C7F5" w14:textId="77777777" w:rsidTr="002E2C37">
        <w:trPr>
          <w:trHeight w:val="343"/>
        </w:trPr>
        <w:tc>
          <w:tcPr>
            <w:tcW w:w="9016" w:type="dxa"/>
            <w:gridSpan w:val="2"/>
            <w:shd w:val="clear" w:color="auto" w:fill="F2F2F2" w:themeFill="background1" w:themeFillShade="F2"/>
          </w:tcPr>
          <w:p w14:paraId="5FEE057F"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 Socio-economic impact</w:t>
            </w:r>
          </w:p>
        </w:tc>
      </w:tr>
      <w:tr w:rsidR="002D7080" w:rsidRPr="004D1E6F" w14:paraId="36CA768D" w14:textId="77777777" w:rsidTr="002E2C37">
        <w:tc>
          <w:tcPr>
            <w:tcW w:w="9016" w:type="dxa"/>
            <w:gridSpan w:val="2"/>
            <w:shd w:val="clear" w:color="auto" w:fill="F2F2F2" w:themeFill="background1" w:themeFillShade="F2"/>
          </w:tcPr>
          <w:p w14:paraId="7AE4CE47"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CON2a: Safety</w:t>
            </w:r>
          </w:p>
        </w:tc>
      </w:tr>
      <w:tr w:rsidR="002D7080" w:rsidRPr="004D1E6F" w14:paraId="6F2DD624" w14:textId="77777777" w:rsidTr="002E2C37">
        <w:tc>
          <w:tcPr>
            <w:tcW w:w="5949" w:type="dxa"/>
          </w:tcPr>
          <w:p w14:paraId="1032C35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67C71F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76F8FBE6" w14:textId="77777777" w:rsidTr="002E2C37">
        <w:trPr>
          <w:trHeight w:val="70"/>
        </w:trPr>
        <w:tc>
          <w:tcPr>
            <w:tcW w:w="9016" w:type="dxa"/>
            <w:gridSpan w:val="2"/>
          </w:tcPr>
          <w:p w14:paraId="4C7D1E1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058261F3" w14:textId="77777777" w:rsidTr="002E2C37">
        <w:trPr>
          <w:trHeight w:val="70"/>
        </w:trPr>
        <w:tc>
          <w:tcPr>
            <w:tcW w:w="9016" w:type="dxa"/>
            <w:gridSpan w:val="2"/>
          </w:tcPr>
          <w:p w14:paraId="48E49DB1"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3C4CF8A3" w14:textId="77777777" w:rsidTr="002E2C37">
        <w:tc>
          <w:tcPr>
            <w:tcW w:w="9016" w:type="dxa"/>
            <w:gridSpan w:val="2"/>
            <w:shd w:val="clear" w:color="auto" w:fill="F2F2F2" w:themeFill="background1" w:themeFillShade="F2"/>
          </w:tcPr>
          <w:p w14:paraId="75F4682A"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CON2b: Material and immaterial assets</w:t>
            </w:r>
          </w:p>
        </w:tc>
      </w:tr>
      <w:tr w:rsidR="002D7080" w:rsidRPr="004D1E6F" w14:paraId="1EB30E35" w14:textId="77777777" w:rsidTr="002E2C37">
        <w:tc>
          <w:tcPr>
            <w:tcW w:w="5949" w:type="dxa"/>
          </w:tcPr>
          <w:p w14:paraId="6FEB55E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Moderate (MO)</w:t>
            </w:r>
          </w:p>
        </w:tc>
        <w:tc>
          <w:tcPr>
            <w:tcW w:w="3067" w:type="dxa"/>
          </w:tcPr>
          <w:p w14:paraId="324BBD8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Medium </w:t>
            </w:r>
          </w:p>
        </w:tc>
      </w:tr>
      <w:tr w:rsidR="002D7080" w:rsidRPr="004D1E6F" w14:paraId="42D4E81C" w14:textId="77777777" w:rsidTr="002E2C37">
        <w:trPr>
          <w:trHeight w:val="128"/>
        </w:trPr>
        <w:tc>
          <w:tcPr>
            <w:tcW w:w="9016" w:type="dxa"/>
            <w:gridSpan w:val="2"/>
          </w:tcPr>
          <w:p w14:paraId="5634CE23" w14:textId="77777777" w:rsidR="002D7080" w:rsidRPr="0018347F" w:rsidRDefault="002D7080" w:rsidP="002E2C37">
            <w:pPr>
              <w:jc w:val="both"/>
              <w:rPr>
                <w:rFonts w:ascii="Times New Roman" w:eastAsia="Times New Roman" w:hAnsi="Times New Roman" w:cs="Times New Roman"/>
                <w:iCs/>
                <w:color w:val="000000"/>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18347F">
              <w:rPr>
                <w:rFonts w:ascii="Times New Roman" w:eastAsia="Times New Roman" w:hAnsi="Times New Roman" w:cs="Times New Roman"/>
                <w:sz w:val="20"/>
                <w:szCs w:val="20"/>
                <w:lang w:eastAsia="en-ZA"/>
              </w:rPr>
              <w:t xml:space="preserve">The decrease in native population of crayfish in Europe because of </w:t>
            </w:r>
            <w:r w:rsidRPr="0018347F">
              <w:rPr>
                <w:rFonts w:ascii="Times New Roman" w:eastAsia="Times New Roman" w:hAnsi="Times New Roman" w:cs="Times New Roman"/>
                <w:i/>
                <w:iCs/>
                <w:sz w:val="20"/>
                <w:szCs w:val="20"/>
                <w:lang w:eastAsia="en-ZA"/>
              </w:rPr>
              <w:t>F. limosus</w:t>
            </w:r>
            <w:r w:rsidRPr="0018347F">
              <w:rPr>
                <w:rFonts w:ascii="Times New Roman" w:eastAsia="Times New Roman" w:hAnsi="Times New Roman" w:cs="Times New Roman"/>
                <w:sz w:val="20"/>
                <w:szCs w:val="20"/>
                <w:lang w:eastAsia="en-ZA"/>
              </w:rPr>
              <w:t xml:space="preserve"> invasions led to economic losses to the crayfish industry dependent on the native crayfish (Laurent 1998). In addition, the burrowing activities of </w:t>
            </w:r>
            <w:r w:rsidRPr="0018347F">
              <w:rPr>
                <w:rFonts w:ascii="Times New Roman" w:eastAsia="Times New Roman" w:hAnsi="Times New Roman" w:cs="Times New Roman"/>
                <w:i/>
                <w:iCs/>
                <w:sz w:val="20"/>
                <w:szCs w:val="20"/>
                <w:lang w:eastAsia="en-ZA"/>
              </w:rPr>
              <w:t>F. limosus</w:t>
            </w:r>
            <w:r w:rsidRPr="0018347F">
              <w:rPr>
                <w:rFonts w:ascii="Times New Roman" w:eastAsia="Times New Roman" w:hAnsi="Times New Roman" w:cs="Times New Roman"/>
                <w:sz w:val="20"/>
                <w:szCs w:val="20"/>
                <w:lang w:eastAsia="en-ZA"/>
              </w:rPr>
              <w:t xml:space="preserve"> can cause structural damage to riverbanks, increase bank erosion and damage nearby infrastructure (Aldridge 2011). </w:t>
            </w:r>
            <w:r w:rsidRPr="0018347F">
              <w:rPr>
                <w:rFonts w:ascii="Times New Roman" w:eastAsia="Times New Roman" w:hAnsi="Times New Roman" w:cs="Times New Roman"/>
                <w:i/>
                <w:color w:val="000000"/>
                <w:sz w:val="20"/>
                <w:szCs w:val="20"/>
                <w:lang w:eastAsia="en-ZA"/>
              </w:rPr>
              <w:t xml:space="preserve">Faxonius limosus </w:t>
            </w:r>
            <w:r w:rsidRPr="0018347F">
              <w:rPr>
                <w:rFonts w:ascii="Times New Roman" w:eastAsia="Times New Roman" w:hAnsi="Times New Roman" w:cs="Times New Roman"/>
                <w:iCs/>
                <w:color w:val="000000"/>
                <w:sz w:val="20"/>
                <w:szCs w:val="20"/>
                <w:lang w:eastAsia="en-ZA"/>
              </w:rPr>
              <w:t>can also cause disruptions to recreational activities by reducing sport fish populations though egg predation and/or competition with juveniles (</w:t>
            </w:r>
            <w:r w:rsidRPr="0018347F">
              <w:rPr>
                <w:rFonts w:ascii="Times New Roman" w:hAnsi="Times New Roman" w:cs="Times New Roman"/>
                <w:color w:val="333333"/>
                <w:sz w:val="20"/>
                <w:szCs w:val="20"/>
                <w:shd w:val="clear" w:color="auto" w:fill="FAFAFA"/>
              </w:rPr>
              <w:t xml:space="preserve">Souty-Grosset et al. 2006; </w:t>
            </w:r>
            <w:r w:rsidRPr="0018347F">
              <w:rPr>
                <w:rFonts w:ascii="Times New Roman" w:eastAsia="Times New Roman" w:hAnsi="Times New Roman" w:cs="Times New Roman"/>
                <w:sz w:val="20"/>
                <w:szCs w:val="20"/>
                <w:lang w:eastAsia="en-ZA"/>
              </w:rPr>
              <w:t>Aldridge 2011</w:t>
            </w:r>
            <w:r w:rsidRPr="0018347F">
              <w:rPr>
                <w:rFonts w:ascii="Times New Roman" w:eastAsia="Times New Roman" w:hAnsi="Times New Roman" w:cs="Times New Roman"/>
                <w:iCs/>
                <w:color w:val="000000"/>
                <w:sz w:val="20"/>
                <w:szCs w:val="20"/>
                <w:lang w:eastAsia="en-ZA"/>
              </w:rPr>
              <w:t>).</w:t>
            </w:r>
          </w:p>
        </w:tc>
      </w:tr>
      <w:tr w:rsidR="002D7080" w:rsidRPr="004D1E6F" w14:paraId="6A1D0666" w14:textId="77777777" w:rsidTr="002E2C37">
        <w:trPr>
          <w:trHeight w:val="70"/>
        </w:trPr>
        <w:tc>
          <w:tcPr>
            <w:tcW w:w="9016" w:type="dxa"/>
            <w:gridSpan w:val="2"/>
          </w:tcPr>
          <w:p w14:paraId="7CD95A60" w14:textId="77777777" w:rsidR="002D7080"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r>
              <w:rPr>
                <w:rFonts w:ascii="Times New Roman" w:eastAsia="Times New Roman" w:hAnsi="Times New Roman" w:cs="Times New Roman"/>
                <w:sz w:val="20"/>
                <w:szCs w:val="20"/>
                <w:lang w:eastAsia="en-ZA"/>
              </w:rPr>
              <w:t xml:space="preserve"> </w:t>
            </w:r>
          </w:p>
          <w:p w14:paraId="396D1DC5" w14:textId="77777777" w:rsidR="002D7080" w:rsidRPr="0018347F" w:rsidRDefault="002D7080" w:rsidP="002E2C37">
            <w:pPr>
              <w:ind w:left="720" w:hanging="720"/>
              <w:contextualSpacing/>
              <w:jc w:val="both"/>
              <w:rPr>
                <w:rFonts w:ascii="Times New Roman" w:hAnsi="Times New Roman" w:cs="Times New Roman"/>
                <w:sz w:val="20"/>
                <w:szCs w:val="20"/>
                <w:shd w:val="clear" w:color="auto" w:fill="FFFFFF"/>
              </w:rPr>
            </w:pPr>
            <w:r w:rsidRPr="0018347F">
              <w:rPr>
                <w:rFonts w:ascii="Times New Roman" w:hAnsi="Times New Roman" w:cs="Times New Roman"/>
                <w:sz w:val="20"/>
                <w:szCs w:val="20"/>
                <w:shd w:val="clear" w:color="auto" w:fill="FFFFFF"/>
              </w:rPr>
              <w:t>Laurent</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xml:space="preserve"> P</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J</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1988</w:t>
            </w:r>
            <w:r>
              <w:rPr>
                <w:rFonts w:ascii="Times New Roman" w:hAnsi="Times New Roman" w:cs="Times New Roman"/>
                <w:sz w:val="20"/>
                <w:szCs w:val="20"/>
                <w:shd w:val="clear" w:color="auto" w:fill="FFFFFF"/>
              </w:rPr>
              <w:t>, ‘</w:t>
            </w:r>
            <w:r w:rsidRPr="0018347F">
              <w:rPr>
                <w:rFonts w:ascii="Times New Roman" w:hAnsi="Times New Roman" w:cs="Times New Roman"/>
                <w:i/>
                <w:iCs/>
                <w:sz w:val="20"/>
                <w:szCs w:val="20"/>
                <w:shd w:val="clear" w:color="auto" w:fill="FFFFFF"/>
              </w:rPr>
              <w:t>Austropotamobius pallipes</w:t>
            </w:r>
            <w:r w:rsidRPr="0018347F">
              <w:rPr>
                <w:rFonts w:ascii="Times New Roman" w:hAnsi="Times New Roman" w:cs="Times New Roman"/>
                <w:sz w:val="20"/>
                <w:szCs w:val="20"/>
                <w:shd w:val="clear" w:color="auto" w:fill="FFFFFF"/>
              </w:rPr>
              <w:t xml:space="preserve"> and </w:t>
            </w:r>
            <w:r w:rsidRPr="0018347F">
              <w:rPr>
                <w:rFonts w:ascii="Times New Roman" w:hAnsi="Times New Roman" w:cs="Times New Roman"/>
                <w:i/>
                <w:iCs/>
                <w:sz w:val="20"/>
                <w:szCs w:val="20"/>
                <w:shd w:val="clear" w:color="auto" w:fill="FFFFFF"/>
              </w:rPr>
              <w:t>A. torrentium</w:t>
            </w:r>
            <w:r w:rsidRPr="0018347F">
              <w:rPr>
                <w:rFonts w:ascii="Times New Roman" w:hAnsi="Times New Roman" w:cs="Times New Roman"/>
                <w:sz w:val="20"/>
                <w:szCs w:val="20"/>
                <w:shd w:val="clear" w:color="auto" w:fill="FFFFFF"/>
              </w:rPr>
              <w:t>, with observations on their interactions with other species in Europe. In: </w:t>
            </w:r>
            <w:r w:rsidRPr="0018347F">
              <w:rPr>
                <w:rStyle w:val="Emphasis"/>
                <w:rFonts w:ascii="Times New Roman" w:hAnsi="Times New Roman" w:cs="Times New Roman"/>
                <w:sz w:val="20"/>
                <w:szCs w:val="20"/>
                <w:shd w:val="clear" w:color="auto" w:fill="FFFFFF"/>
              </w:rPr>
              <w:t>Biology of freshwater crayfish: biology, management and exploitation</w:t>
            </w:r>
            <w:r w:rsidRPr="0018347F">
              <w:rPr>
                <w:rFonts w:ascii="Times New Roman" w:hAnsi="Times New Roman" w:cs="Times New Roman"/>
                <w:sz w:val="20"/>
                <w:szCs w:val="20"/>
                <w:shd w:val="clear" w:color="auto" w:fill="FFFFFF"/>
              </w:rPr>
              <w:t>, [ed. by Holdich</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xml:space="preserve"> D</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M</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Lowery</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xml:space="preserve"> R</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S]. London, UK: Croom Helm. 341-364.</w:t>
            </w:r>
          </w:p>
          <w:p w14:paraId="2A1BE303" w14:textId="77777777" w:rsidR="002D7080" w:rsidRPr="0018347F" w:rsidRDefault="002D7080" w:rsidP="002E2C37">
            <w:pPr>
              <w:ind w:left="720" w:hanging="720"/>
              <w:contextualSpacing/>
              <w:jc w:val="both"/>
              <w:rPr>
                <w:rFonts w:ascii="Times New Roman" w:hAnsi="Times New Roman" w:cs="Times New Roman"/>
                <w:sz w:val="20"/>
                <w:szCs w:val="20"/>
              </w:rPr>
            </w:pPr>
            <w:r w:rsidRPr="0018347F">
              <w:rPr>
                <w:rFonts w:ascii="Times New Roman" w:hAnsi="Times New Roman" w:cs="Times New Roman"/>
                <w:sz w:val="20"/>
                <w:szCs w:val="20"/>
                <w:shd w:val="clear" w:color="auto" w:fill="FFFFFF"/>
              </w:rPr>
              <w:t>Aldridge D</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xml:space="preserve">, 2011. Spinycheek Crayfish, </w:t>
            </w:r>
            <w:r w:rsidRPr="0018347F">
              <w:rPr>
                <w:rFonts w:ascii="Times New Roman" w:hAnsi="Times New Roman" w:cs="Times New Roman"/>
                <w:i/>
                <w:iCs/>
                <w:sz w:val="20"/>
                <w:szCs w:val="20"/>
                <w:shd w:val="clear" w:color="auto" w:fill="FFFFFF"/>
              </w:rPr>
              <w:t>Orconectes limosus</w:t>
            </w:r>
            <w:r w:rsidRPr="0018347F">
              <w:rPr>
                <w:rFonts w:ascii="Times New Roman" w:hAnsi="Times New Roman" w:cs="Times New Roman"/>
                <w:sz w:val="20"/>
                <w:szCs w:val="20"/>
                <w:shd w:val="clear" w:color="auto" w:fill="FFFFFF"/>
              </w:rPr>
              <w:t>. Sand Hutton, UK: GB Non-native Species Secretariat. </w:t>
            </w:r>
            <w:hyperlink w:tgtFrame="_blank" w:history="1">
              <w:r w:rsidRPr="0018347F">
                <w:rPr>
                  <w:rFonts w:ascii="Times New Roman" w:hAnsi="Times New Roman" w:cs="Times New Roman"/>
                  <w:sz w:val="20"/>
                  <w:szCs w:val="20"/>
                  <w:u w:val="single"/>
                  <w:shd w:val="clear" w:color="auto" w:fill="FFFFFF"/>
                </w:rPr>
                <w:t>http://www.nonnativespecies.org/factsheet/factsheet.cfm?speciesId=2441</w:t>
              </w:r>
            </w:hyperlink>
          </w:p>
          <w:p w14:paraId="0AE0B8C5" w14:textId="77777777"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18347F">
              <w:rPr>
                <w:rFonts w:ascii="Times New Roman" w:hAnsi="Times New Roman" w:cs="Times New Roman"/>
                <w:sz w:val="20"/>
                <w:szCs w:val="20"/>
                <w:shd w:val="clear" w:color="auto" w:fill="FFFFFF"/>
              </w:rPr>
              <w:t>Souty-Grosset, C., Holdich, D. M., Noel, P. Y., Reynolds, J. D.</w:t>
            </w:r>
            <w:r>
              <w:rPr>
                <w:rFonts w:ascii="Times New Roman" w:hAnsi="Times New Roman" w:cs="Times New Roman"/>
                <w:sz w:val="20"/>
                <w:szCs w:val="20"/>
                <w:shd w:val="clear" w:color="auto" w:fill="FFFFFF"/>
              </w:rPr>
              <w:t xml:space="preserve"> &amp;</w:t>
            </w:r>
            <w:r w:rsidRPr="0018347F">
              <w:rPr>
                <w:rFonts w:ascii="Times New Roman" w:hAnsi="Times New Roman" w:cs="Times New Roman"/>
                <w:sz w:val="20"/>
                <w:szCs w:val="20"/>
                <w:shd w:val="clear" w:color="auto" w:fill="FFFFFF"/>
              </w:rPr>
              <w:t xml:space="preserve"> Haffner, P. (ed), 2006. </w:t>
            </w:r>
            <w:r w:rsidRPr="0018347F">
              <w:rPr>
                <w:rStyle w:val="Emphasis"/>
                <w:rFonts w:ascii="Times New Roman" w:hAnsi="Times New Roman" w:cs="Times New Roman"/>
                <w:sz w:val="20"/>
                <w:szCs w:val="20"/>
                <w:shd w:val="clear" w:color="auto" w:fill="FFFFFF"/>
              </w:rPr>
              <w:t>Atlas of crayfish in Europe</w:t>
            </w:r>
            <w:r w:rsidRPr="0018347F">
              <w:rPr>
                <w:rFonts w:ascii="Times New Roman" w:hAnsi="Times New Roman" w:cs="Times New Roman"/>
                <w:sz w:val="20"/>
                <w:szCs w:val="20"/>
                <w:shd w:val="clear" w:color="auto" w:fill="FFFFFF"/>
              </w:rPr>
              <w:t>, Paris, France: Muséum national d'Histoire naturelle. 187 pp.</w:t>
            </w:r>
          </w:p>
        </w:tc>
      </w:tr>
      <w:tr w:rsidR="002D7080" w:rsidRPr="004D1E6F" w14:paraId="5F625109" w14:textId="77777777" w:rsidTr="002E2C37">
        <w:tc>
          <w:tcPr>
            <w:tcW w:w="9016" w:type="dxa"/>
            <w:gridSpan w:val="2"/>
            <w:shd w:val="clear" w:color="auto" w:fill="F2F2F2" w:themeFill="background1" w:themeFillShade="F2"/>
          </w:tcPr>
          <w:p w14:paraId="768B7707"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lastRenderedPageBreak/>
              <w:t>CON2c: Health</w:t>
            </w:r>
          </w:p>
        </w:tc>
      </w:tr>
      <w:tr w:rsidR="002D7080" w:rsidRPr="004D1E6F" w14:paraId="18D01D5E" w14:textId="77777777" w:rsidTr="002E2C37">
        <w:tc>
          <w:tcPr>
            <w:tcW w:w="5949" w:type="dxa"/>
          </w:tcPr>
          <w:p w14:paraId="59CBAC1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5960F2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Medium</w:t>
            </w:r>
          </w:p>
        </w:tc>
      </w:tr>
      <w:tr w:rsidR="002D7080" w:rsidRPr="004D1E6F" w14:paraId="3306C478" w14:textId="77777777" w:rsidTr="002E2C37">
        <w:trPr>
          <w:trHeight w:val="70"/>
        </w:trPr>
        <w:tc>
          <w:tcPr>
            <w:tcW w:w="9016" w:type="dxa"/>
            <w:gridSpan w:val="2"/>
          </w:tcPr>
          <w:p w14:paraId="03035CA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519CEAE6" w14:textId="77777777" w:rsidTr="002E2C37">
        <w:trPr>
          <w:trHeight w:val="70"/>
        </w:trPr>
        <w:tc>
          <w:tcPr>
            <w:tcW w:w="9016" w:type="dxa"/>
            <w:gridSpan w:val="2"/>
          </w:tcPr>
          <w:p w14:paraId="25ABF9D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4D4F508" w14:textId="77777777" w:rsidTr="002E2C37">
        <w:tc>
          <w:tcPr>
            <w:tcW w:w="9016" w:type="dxa"/>
            <w:gridSpan w:val="2"/>
            <w:shd w:val="clear" w:color="auto" w:fill="F2F2F2" w:themeFill="background1" w:themeFillShade="F2"/>
          </w:tcPr>
          <w:p w14:paraId="0BEC5712"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CON2d: Social, spiritual and cultural relations </w:t>
            </w:r>
          </w:p>
        </w:tc>
      </w:tr>
      <w:tr w:rsidR="002D7080" w:rsidRPr="004D1E6F" w14:paraId="4DBB404F" w14:textId="77777777" w:rsidTr="002E2C37">
        <w:tc>
          <w:tcPr>
            <w:tcW w:w="5949" w:type="dxa"/>
          </w:tcPr>
          <w:p w14:paraId="78C8DCD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Minor (MN)</w:t>
            </w:r>
          </w:p>
        </w:tc>
        <w:tc>
          <w:tcPr>
            <w:tcW w:w="3067" w:type="dxa"/>
          </w:tcPr>
          <w:p w14:paraId="4CCC1E8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Low</w:t>
            </w:r>
          </w:p>
        </w:tc>
      </w:tr>
      <w:tr w:rsidR="002D7080" w:rsidRPr="004D1E6F" w14:paraId="26616E92" w14:textId="77777777" w:rsidTr="002E2C37">
        <w:trPr>
          <w:trHeight w:val="70"/>
        </w:trPr>
        <w:tc>
          <w:tcPr>
            <w:tcW w:w="9016" w:type="dxa"/>
            <w:gridSpan w:val="2"/>
          </w:tcPr>
          <w:p w14:paraId="239F03CC" w14:textId="77777777" w:rsidR="002D7080" w:rsidRPr="003A7F42" w:rsidRDefault="002D7080" w:rsidP="002E2C37">
            <w:pPr>
              <w:jc w:val="both"/>
              <w:rPr>
                <w:rFonts w:eastAsia="Times New Roman"/>
                <w:lang w:eastAsia="en-ZA"/>
              </w:rPr>
            </w:pPr>
            <w:r w:rsidRPr="004D1E6F">
              <w:rPr>
                <w:rFonts w:ascii="Times New Roman" w:eastAsia="Times New Roman" w:hAnsi="Times New Roman" w:cs="Times New Roman"/>
                <w:sz w:val="20"/>
                <w:szCs w:val="20"/>
                <w:lang w:eastAsia="en-ZA"/>
              </w:rPr>
              <w:t>Rationale:</w:t>
            </w:r>
            <w:r>
              <w:t xml:space="preserve"> </w:t>
            </w:r>
            <w:r w:rsidRPr="0018347F">
              <w:rPr>
                <w:rFonts w:ascii="Times New Roman" w:eastAsia="Times New Roman" w:hAnsi="Times New Roman" w:cs="Times New Roman"/>
                <w:sz w:val="20"/>
                <w:szCs w:val="20"/>
                <w:lang w:eastAsia="en-ZA"/>
              </w:rPr>
              <w:t xml:space="preserve">The decrease in native population of crayfish in Europe because of </w:t>
            </w:r>
            <w:r w:rsidRPr="0018347F">
              <w:rPr>
                <w:rFonts w:ascii="Times New Roman" w:eastAsia="Times New Roman" w:hAnsi="Times New Roman" w:cs="Times New Roman"/>
                <w:i/>
                <w:iCs/>
                <w:sz w:val="20"/>
                <w:szCs w:val="20"/>
                <w:lang w:eastAsia="en-ZA"/>
              </w:rPr>
              <w:t>F. limosus</w:t>
            </w:r>
            <w:r w:rsidRPr="0018347F">
              <w:rPr>
                <w:rFonts w:ascii="Times New Roman" w:eastAsia="Times New Roman" w:hAnsi="Times New Roman" w:cs="Times New Roman"/>
                <w:sz w:val="20"/>
                <w:szCs w:val="20"/>
                <w:lang w:eastAsia="en-ZA"/>
              </w:rPr>
              <w:t xml:space="preserve"> invasions led to </w:t>
            </w:r>
            <w:r>
              <w:rPr>
                <w:rFonts w:ascii="Times New Roman" w:eastAsia="Times New Roman" w:hAnsi="Times New Roman" w:cs="Times New Roman"/>
                <w:sz w:val="20"/>
                <w:szCs w:val="20"/>
                <w:lang w:eastAsia="en-ZA"/>
              </w:rPr>
              <w:t xml:space="preserve">loss of livelihoods for communities dependent harvesting native crayfish </w:t>
            </w:r>
            <w:r w:rsidRPr="0018347F">
              <w:rPr>
                <w:rFonts w:ascii="Times New Roman" w:eastAsia="Times New Roman" w:hAnsi="Times New Roman" w:cs="Times New Roman"/>
                <w:iCs/>
                <w:color w:val="000000"/>
                <w:sz w:val="20"/>
                <w:szCs w:val="20"/>
                <w:lang w:eastAsia="en-ZA"/>
              </w:rPr>
              <w:t>(</w:t>
            </w:r>
            <w:r>
              <w:rPr>
                <w:rFonts w:ascii="Times New Roman" w:eastAsia="Times New Roman" w:hAnsi="Times New Roman" w:cs="Times New Roman"/>
                <w:iCs/>
                <w:color w:val="000000"/>
                <w:sz w:val="20"/>
                <w:szCs w:val="20"/>
                <w:lang w:eastAsia="en-ZA"/>
              </w:rPr>
              <w:t xml:space="preserve">Laurent 1988; </w:t>
            </w:r>
            <w:r w:rsidRPr="0018347F">
              <w:rPr>
                <w:rFonts w:ascii="Times New Roman" w:hAnsi="Times New Roman" w:cs="Times New Roman"/>
                <w:color w:val="333333"/>
                <w:sz w:val="20"/>
                <w:szCs w:val="20"/>
                <w:shd w:val="clear" w:color="auto" w:fill="FAFAFA"/>
              </w:rPr>
              <w:t xml:space="preserve">Souty-Grosset et al. 2006; </w:t>
            </w:r>
            <w:r w:rsidRPr="0018347F">
              <w:rPr>
                <w:rFonts w:ascii="Times New Roman" w:eastAsia="Times New Roman" w:hAnsi="Times New Roman" w:cs="Times New Roman"/>
                <w:sz w:val="20"/>
                <w:szCs w:val="20"/>
                <w:lang w:eastAsia="en-ZA"/>
              </w:rPr>
              <w:t>Aldridge 2011</w:t>
            </w:r>
            <w:r w:rsidRPr="0018347F">
              <w:rPr>
                <w:rFonts w:ascii="Times New Roman" w:eastAsia="Times New Roman" w:hAnsi="Times New Roman" w:cs="Times New Roman"/>
                <w:iCs/>
                <w:color w:val="000000"/>
                <w:sz w:val="20"/>
                <w:szCs w:val="20"/>
                <w:lang w:eastAsia="en-ZA"/>
              </w:rPr>
              <w:t>).</w:t>
            </w:r>
            <w:r w:rsidRPr="0018347F">
              <w:rPr>
                <w:rFonts w:ascii="Times New Roman" w:eastAsia="Times New Roman" w:hAnsi="Times New Roman" w:cs="Times New Roman"/>
                <w:sz w:val="20"/>
                <w:szCs w:val="20"/>
                <w:lang w:eastAsia="en-ZA"/>
              </w:rPr>
              <w:t xml:space="preserve"> </w:t>
            </w:r>
          </w:p>
        </w:tc>
      </w:tr>
      <w:tr w:rsidR="002D7080" w:rsidRPr="004D1E6F" w14:paraId="4CC205B7" w14:textId="77777777" w:rsidTr="002E2C37">
        <w:trPr>
          <w:trHeight w:val="70"/>
        </w:trPr>
        <w:tc>
          <w:tcPr>
            <w:tcW w:w="9016" w:type="dxa"/>
            <w:gridSpan w:val="2"/>
          </w:tcPr>
          <w:p w14:paraId="02DB9921" w14:textId="77777777" w:rsidR="002D7080" w:rsidRDefault="002D7080"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3D8E4268" w14:textId="77777777" w:rsidR="002D7080" w:rsidRDefault="002D7080" w:rsidP="002E2C37">
            <w:pPr>
              <w:ind w:left="720" w:hanging="720"/>
              <w:contextualSpacing/>
              <w:jc w:val="both"/>
              <w:rPr>
                <w:rFonts w:ascii="Times New Roman" w:hAnsi="Times New Roman" w:cs="Times New Roman"/>
                <w:sz w:val="20"/>
                <w:szCs w:val="20"/>
                <w:shd w:val="clear" w:color="auto" w:fill="FFFFFF"/>
              </w:rPr>
            </w:pPr>
            <w:r w:rsidRPr="0018347F">
              <w:rPr>
                <w:rFonts w:ascii="Times New Roman" w:hAnsi="Times New Roman" w:cs="Times New Roman"/>
                <w:sz w:val="20"/>
                <w:szCs w:val="20"/>
                <w:shd w:val="clear" w:color="auto" w:fill="FFFFFF"/>
              </w:rPr>
              <w:t>Laurent</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xml:space="preserve"> P</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J</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1988</w:t>
            </w:r>
            <w:r>
              <w:rPr>
                <w:rFonts w:ascii="Times New Roman" w:hAnsi="Times New Roman" w:cs="Times New Roman"/>
                <w:sz w:val="20"/>
                <w:szCs w:val="20"/>
                <w:shd w:val="clear" w:color="auto" w:fill="FFFFFF"/>
              </w:rPr>
              <w:t>, ‘</w:t>
            </w:r>
            <w:r w:rsidRPr="0018347F">
              <w:rPr>
                <w:rFonts w:ascii="Times New Roman" w:hAnsi="Times New Roman" w:cs="Times New Roman"/>
                <w:i/>
                <w:iCs/>
                <w:sz w:val="20"/>
                <w:szCs w:val="20"/>
                <w:shd w:val="clear" w:color="auto" w:fill="FFFFFF"/>
              </w:rPr>
              <w:t>Austropotamobius pallipes</w:t>
            </w:r>
            <w:r w:rsidRPr="0018347F">
              <w:rPr>
                <w:rFonts w:ascii="Times New Roman" w:hAnsi="Times New Roman" w:cs="Times New Roman"/>
                <w:sz w:val="20"/>
                <w:szCs w:val="20"/>
                <w:shd w:val="clear" w:color="auto" w:fill="FFFFFF"/>
              </w:rPr>
              <w:t xml:space="preserve"> and </w:t>
            </w:r>
            <w:r w:rsidRPr="0018347F">
              <w:rPr>
                <w:rFonts w:ascii="Times New Roman" w:hAnsi="Times New Roman" w:cs="Times New Roman"/>
                <w:i/>
                <w:iCs/>
                <w:sz w:val="20"/>
                <w:szCs w:val="20"/>
                <w:shd w:val="clear" w:color="auto" w:fill="FFFFFF"/>
              </w:rPr>
              <w:t>A. torrentium</w:t>
            </w:r>
            <w:r w:rsidRPr="0018347F">
              <w:rPr>
                <w:rFonts w:ascii="Times New Roman" w:hAnsi="Times New Roman" w:cs="Times New Roman"/>
                <w:sz w:val="20"/>
                <w:szCs w:val="20"/>
                <w:shd w:val="clear" w:color="auto" w:fill="FFFFFF"/>
              </w:rPr>
              <w:t>, with observations on their interactions with other species in Europe. In: </w:t>
            </w:r>
            <w:r w:rsidRPr="0018347F">
              <w:rPr>
                <w:rStyle w:val="Emphasis"/>
                <w:rFonts w:ascii="Times New Roman" w:hAnsi="Times New Roman" w:cs="Times New Roman"/>
                <w:sz w:val="20"/>
                <w:szCs w:val="20"/>
                <w:shd w:val="clear" w:color="auto" w:fill="FFFFFF"/>
              </w:rPr>
              <w:t>Biology of freshwater crayfish: biology, management and exploitation</w:t>
            </w:r>
            <w:r w:rsidRPr="0018347F">
              <w:rPr>
                <w:rFonts w:ascii="Times New Roman" w:hAnsi="Times New Roman" w:cs="Times New Roman"/>
                <w:sz w:val="20"/>
                <w:szCs w:val="20"/>
                <w:shd w:val="clear" w:color="auto" w:fill="FFFFFF"/>
              </w:rPr>
              <w:t>, [ed. by Holdich</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xml:space="preserve"> D</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M</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Lowery</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xml:space="preserve"> R</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S]. London, UK: Croom Helm. 341-364</w:t>
            </w:r>
            <w:r>
              <w:rPr>
                <w:rFonts w:ascii="Times New Roman" w:hAnsi="Times New Roman" w:cs="Times New Roman"/>
                <w:sz w:val="20"/>
                <w:szCs w:val="20"/>
                <w:shd w:val="clear" w:color="auto" w:fill="FFFFFF"/>
              </w:rPr>
              <w:t>.</w:t>
            </w:r>
          </w:p>
          <w:p w14:paraId="15966B33" w14:textId="77777777" w:rsidR="002D7080" w:rsidRPr="0018347F" w:rsidRDefault="002D7080" w:rsidP="002E2C37">
            <w:pPr>
              <w:ind w:left="720" w:hanging="720"/>
              <w:contextualSpacing/>
              <w:jc w:val="both"/>
              <w:rPr>
                <w:rFonts w:ascii="Times New Roman" w:hAnsi="Times New Roman" w:cs="Times New Roman"/>
                <w:sz w:val="20"/>
                <w:szCs w:val="20"/>
              </w:rPr>
            </w:pPr>
            <w:r w:rsidRPr="0018347F">
              <w:rPr>
                <w:rFonts w:ascii="Times New Roman" w:hAnsi="Times New Roman" w:cs="Times New Roman"/>
                <w:sz w:val="20"/>
                <w:szCs w:val="20"/>
                <w:shd w:val="clear" w:color="auto" w:fill="FFFFFF"/>
              </w:rPr>
              <w:t>Aldridge D</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xml:space="preserve">, 2011. Spinycheek Crayfish, </w:t>
            </w:r>
            <w:r w:rsidRPr="0018347F">
              <w:rPr>
                <w:rFonts w:ascii="Times New Roman" w:hAnsi="Times New Roman" w:cs="Times New Roman"/>
                <w:i/>
                <w:iCs/>
                <w:sz w:val="20"/>
                <w:szCs w:val="20"/>
                <w:shd w:val="clear" w:color="auto" w:fill="FFFFFF"/>
              </w:rPr>
              <w:t>Orconectes limosus</w:t>
            </w:r>
            <w:r w:rsidRPr="0018347F">
              <w:rPr>
                <w:rFonts w:ascii="Times New Roman" w:hAnsi="Times New Roman" w:cs="Times New Roman"/>
                <w:sz w:val="20"/>
                <w:szCs w:val="20"/>
                <w:shd w:val="clear" w:color="auto" w:fill="FFFFFF"/>
              </w:rPr>
              <w:t>. Sand Hutton, UK: GB Non-native Species Secretariat. </w:t>
            </w:r>
            <w:hyperlink w:tgtFrame="_blank" w:history="1">
              <w:r w:rsidRPr="0018347F">
                <w:rPr>
                  <w:rFonts w:ascii="Times New Roman" w:hAnsi="Times New Roman" w:cs="Times New Roman"/>
                  <w:sz w:val="20"/>
                  <w:szCs w:val="20"/>
                  <w:u w:val="single"/>
                  <w:shd w:val="clear" w:color="auto" w:fill="FFFFFF"/>
                </w:rPr>
                <w:t>http://www.nonnativespecies.org/factsheet/factsheet.cfm?speciesId=2441</w:t>
              </w:r>
            </w:hyperlink>
            <w:r>
              <w:rPr>
                <w:rFonts w:ascii="Times New Roman" w:hAnsi="Times New Roman" w:cs="Times New Roman"/>
                <w:sz w:val="20"/>
                <w:szCs w:val="20"/>
                <w:u w:val="single"/>
                <w:shd w:val="clear" w:color="auto" w:fill="FFFFFF"/>
              </w:rPr>
              <w:t>.</w:t>
            </w:r>
          </w:p>
          <w:p w14:paraId="469B3EB8" w14:textId="77777777"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18347F">
              <w:rPr>
                <w:rFonts w:ascii="Times New Roman" w:hAnsi="Times New Roman" w:cs="Times New Roman"/>
                <w:sz w:val="20"/>
                <w:szCs w:val="20"/>
                <w:shd w:val="clear" w:color="auto" w:fill="FFFFFF"/>
              </w:rPr>
              <w:t>Souty-Grosset, C., Holdich, D. M., Noel, P. Y., Reynolds, J. D.</w:t>
            </w:r>
            <w:r>
              <w:rPr>
                <w:rFonts w:ascii="Times New Roman" w:hAnsi="Times New Roman" w:cs="Times New Roman"/>
                <w:sz w:val="20"/>
                <w:szCs w:val="20"/>
                <w:shd w:val="clear" w:color="auto" w:fill="FFFFFF"/>
              </w:rPr>
              <w:t xml:space="preserve"> &amp;</w:t>
            </w:r>
            <w:r w:rsidRPr="0018347F">
              <w:rPr>
                <w:rFonts w:ascii="Times New Roman" w:hAnsi="Times New Roman" w:cs="Times New Roman"/>
                <w:sz w:val="20"/>
                <w:szCs w:val="20"/>
                <w:shd w:val="clear" w:color="auto" w:fill="FFFFFF"/>
              </w:rPr>
              <w:t xml:space="preserve"> Haffner, P. (ed), 2006. </w:t>
            </w:r>
            <w:r w:rsidRPr="0018347F">
              <w:rPr>
                <w:rStyle w:val="Emphasis"/>
                <w:rFonts w:ascii="Times New Roman" w:hAnsi="Times New Roman" w:cs="Times New Roman"/>
                <w:sz w:val="20"/>
                <w:szCs w:val="20"/>
                <w:shd w:val="clear" w:color="auto" w:fill="FFFFFF"/>
              </w:rPr>
              <w:t>Atlas of crayfish in Europe</w:t>
            </w:r>
            <w:r w:rsidRPr="0018347F">
              <w:rPr>
                <w:rFonts w:ascii="Times New Roman" w:hAnsi="Times New Roman" w:cs="Times New Roman"/>
                <w:sz w:val="20"/>
                <w:szCs w:val="20"/>
                <w:shd w:val="clear" w:color="auto" w:fill="FFFFFF"/>
              </w:rPr>
              <w:t>, Paris, France: Muséum national d'Histoire naturelle. 187 pp.</w:t>
            </w:r>
          </w:p>
        </w:tc>
      </w:tr>
      <w:tr w:rsidR="002D7080" w:rsidRPr="004D1E6F" w14:paraId="2FB55B82" w14:textId="77777777" w:rsidTr="002E2C37">
        <w:trPr>
          <w:trHeight w:val="116"/>
        </w:trPr>
        <w:tc>
          <w:tcPr>
            <w:tcW w:w="9016" w:type="dxa"/>
            <w:gridSpan w:val="2"/>
            <w:shd w:val="clear" w:color="auto" w:fill="F2F2F2" w:themeFill="background1" w:themeFillShade="F2"/>
          </w:tcPr>
          <w:p w14:paraId="4A621466"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CON2 Maximum socio-economic impact </w:t>
            </w:r>
          </w:p>
        </w:tc>
      </w:tr>
      <w:tr w:rsidR="002D7080" w:rsidRPr="004D1E6F" w14:paraId="128A8741" w14:textId="77777777" w:rsidTr="002E2C37">
        <w:trPr>
          <w:trHeight w:val="208"/>
        </w:trPr>
        <w:tc>
          <w:tcPr>
            <w:tcW w:w="5949" w:type="dxa"/>
          </w:tcPr>
          <w:p w14:paraId="5B84448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 xml:space="preserve">Moderate </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MO</w:t>
            </w:r>
            <w:r w:rsidRPr="004D1E6F">
              <w:rPr>
                <w:rFonts w:ascii="Times New Roman" w:eastAsia="Times New Roman" w:hAnsi="Times New Roman" w:cs="Times New Roman"/>
                <w:sz w:val="20"/>
                <w:szCs w:val="20"/>
                <w:lang w:eastAsia="en-ZA"/>
              </w:rPr>
              <w:t>)</w:t>
            </w:r>
          </w:p>
        </w:tc>
        <w:tc>
          <w:tcPr>
            <w:tcW w:w="3067" w:type="dxa"/>
          </w:tcPr>
          <w:p w14:paraId="7C45884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Medium </w:t>
            </w:r>
          </w:p>
        </w:tc>
      </w:tr>
      <w:tr w:rsidR="002D7080" w:rsidRPr="004D1E6F" w14:paraId="57CAA93A" w14:textId="77777777" w:rsidTr="002E2C37">
        <w:trPr>
          <w:trHeight w:val="70"/>
        </w:trPr>
        <w:tc>
          <w:tcPr>
            <w:tcW w:w="9016" w:type="dxa"/>
            <w:gridSpan w:val="2"/>
          </w:tcPr>
          <w:p w14:paraId="6773929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18347F">
              <w:rPr>
                <w:rFonts w:ascii="Times New Roman" w:eastAsia="Times New Roman" w:hAnsi="Times New Roman" w:cs="Times New Roman"/>
                <w:i/>
                <w:color w:val="000000"/>
                <w:sz w:val="20"/>
                <w:szCs w:val="20"/>
                <w:lang w:eastAsia="en-ZA"/>
              </w:rPr>
              <w:t xml:space="preserve">Faxonius limosus </w:t>
            </w:r>
            <w:r w:rsidRPr="00FE0433">
              <w:rPr>
                <w:rFonts w:ascii="Times New Roman" w:eastAsia="Times New Roman" w:hAnsi="Times New Roman" w:cs="Times New Roman"/>
                <w:iCs/>
                <w:color w:val="000000"/>
                <w:sz w:val="20"/>
                <w:szCs w:val="20"/>
                <w:lang w:eastAsia="en-ZA"/>
              </w:rPr>
              <w:t>has caused a</w:t>
            </w:r>
            <w:r>
              <w:rPr>
                <w:rFonts w:ascii="Times New Roman" w:eastAsia="Times New Roman" w:hAnsi="Times New Roman" w:cs="Times New Roman"/>
                <w:i/>
                <w:color w:val="000000"/>
                <w:sz w:val="20"/>
                <w:szCs w:val="20"/>
                <w:lang w:eastAsia="en-ZA"/>
              </w:rPr>
              <w:t xml:space="preserve"> </w:t>
            </w:r>
            <w:r w:rsidRPr="0018347F">
              <w:rPr>
                <w:rFonts w:ascii="Times New Roman" w:eastAsia="Times New Roman" w:hAnsi="Times New Roman" w:cs="Times New Roman"/>
                <w:sz w:val="20"/>
                <w:szCs w:val="20"/>
                <w:lang w:eastAsia="en-ZA"/>
              </w:rPr>
              <w:t>decrease in native population of crayfish in Europe le</w:t>
            </w:r>
            <w:r>
              <w:rPr>
                <w:rFonts w:ascii="Times New Roman" w:eastAsia="Times New Roman" w:hAnsi="Times New Roman" w:cs="Times New Roman"/>
                <w:sz w:val="20"/>
                <w:szCs w:val="20"/>
                <w:lang w:eastAsia="en-ZA"/>
              </w:rPr>
              <w:t>ading</w:t>
            </w:r>
            <w:r w:rsidRPr="0018347F">
              <w:rPr>
                <w:rFonts w:ascii="Times New Roman" w:eastAsia="Times New Roman" w:hAnsi="Times New Roman" w:cs="Times New Roman"/>
                <w:sz w:val="20"/>
                <w:szCs w:val="20"/>
                <w:lang w:eastAsia="en-ZA"/>
              </w:rPr>
              <w:t xml:space="preserve"> to economic losses to the crayfish industry (Laurent 1998). </w:t>
            </w:r>
          </w:p>
        </w:tc>
      </w:tr>
      <w:tr w:rsidR="002D7080" w:rsidRPr="004D1E6F" w14:paraId="0766412D" w14:textId="77777777" w:rsidTr="002E2C37">
        <w:trPr>
          <w:trHeight w:val="70"/>
        </w:trPr>
        <w:tc>
          <w:tcPr>
            <w:tcW w:w="9016" w:type="dxa"/>
            <w:gridSpan w:val="2"/>
          </w:tcPr>
          <w:p w14:paraId="14CB0D22" w14:textId="77777777" w:rsidR="002D7080"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4CC39CE1" w14:textId="77777777" w:rsidR="002D7080" w:rsidRPr="00FE0433" w:rsidRDefault="002D7080" w:rsidP="002E2C37">
            <w:pPr>
              <w:ind w:left="720" w:hanging="720"/>
              <w:jc w:val="both"/>
              <w:rPr>
                <w:rFonts w:ascii="Times New Roman" w:hAnsi="Times New Roman" w:cs="Times New Roman"/>
                <w:sz w:val="20"/>
                <w:szCs w:val="20"/>
                <w:shd w:val="clear" w:color="auto" w:fill="FFFFFF"/>
              </w:rPr>
            </w:pPr>
            <w:r w:rsidRPr="0018347F">
              <w:rPr>
                <w:rFonts w:ascii="Times New Roman" w:hAnsi="Times New Roman" w:cs="Times New Roman"/>
                <w:sz w:val="20"/>
                <w:szCs w:val="20"/>
                <w:shd w:val="clear" w:color="auto" w:fill="FFFFFF"/>
              </w:rPr>
              <w:t>Laurent</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xml:space="preserve"> P</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J</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1988</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w:t>
            </w:r>
            <w:r w:rsidRPr="0018347F">
              <w:rPr>
                <w:rFonts w:ascii="Times New Roman" w:hAnsi="Times New Roman" w:cs="Times New Roman"/>
                <w:i/>
                <w:iCs/>
                <w:sz w:val="20"/>
                <w:szCs w:val="20"/>
                <w:shd w:val="clear" w:color="auto" w:fill="FFFFFF"/>
              </w:rPr>
              <w:t>Austropotamobius pallipes</w:t>
            </w:r>
            <w:r w:rsidRPr="0018347F">
              <w:rPr>
                <w:rFonts w:ascii="Times New Roman" w:hAnsi="Times New Roman" w:cs="Times New Roman"/>
                <w:sz w:val="20"/>
                <w:szCs w:val="20"/>
                <w:shd w:val="clear" w:color="auto" w:fill="FFFFFF"/>
              </w:rPr>
              <w:t xml:space="preserve"> and </w:t>
            </w:r>
            <w:r w:rsidRPr="0018347F">
              <w:rPr>
                <w:rFonts w:ascii="Times New Roman" w:hAnsi="Times New Roman" w:cs="Times New Roman"/>
                <w:i/>
                <w:iCs/>
                <w:sz w:val="20"/>
                <w:szCs w:val="20"/>
                <w:shd w:val="clear" w:color="auto" w:fill="FFFFFF"/>
              </w:rPr>
              <w:t>A. torrentium</w:t>
            </w:r>
            <w:r w:rsidRPr="0018347F">
              <w:rPr>
                <w:rFonts w:ascii="Times New Roman" w:hAnsi="Times New Roman" w:cs="Times New Roman"/>
                <w:sz w:val="20"/>
                <w:szCs w:val="20"/>
                <w:shd w:val="clear" w:color="auto" w:fill="FFFFFF"/>
              </w:rPr>
              <w:t>, with observations on their interactions with other species in Europe</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xml:space="preserve"> In: </w:t>
            </w:r>
            <w:r w:rsidRPr="0018347F">
              <w:rPr>
                <w:rStyle w:val="Emphasis"/>
                <w:rFonts w:ascii="Times New Roman" w:hAnsi="Times New Roman" w:cs="Times New Roman"/>
                <w:sz w:val="20"/>
                <w:szCs w:val="20"/>
                <w:shd w:val="clear" w:color="auto" w:fill="FFFFFF"/>
              </w:rPr>
              <w:t>Biology of freshwater crayfish: biology, management and exploitation</w:t>
            </w:r>
            <w:r w:rsidRPr="0018347F">
              <w:rPr>
                <w:rFonts w:ascii="Times New Roman" w:hAnsi="Times New Roman" w:cs="Times New Roman"/>
                <w:sz w:val="20"/>
                <w:szCs w:val="20"/>
                <w:shd w:val="clear" w:color="auto" w:fill="FFFFFF"/>
              </w:rPr>
              <w:t>, [ed. by Holdich</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xml:space="preserve"> D</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M</w:t>
            </w:r>
            <w:r>
              <w:rPr>
                <w:rFonts w:ascii="Times New Roman" w:hAnsi="Times New Roman" w:cs="Times New Roman"/>
                <w:sz w:val="20"/>
                <w:szCs w:val="20"/>
                <w:shd w:val="clear" w:color="auto" w:fill="FFFFFF"/>
              </w:rPr>
              <w:t>. &amp;</w:t>
            </w:r>
            <w:r w:rsidRPr="0018347F">
              <w:rPr>
                <w:rFonts w:ascii="Times New Roman" w:hAnsi="Times New Roman" w:cs="Times New Roman"/>
                <w:sz w:val="20"/>
                <w:szCs w:val="20"/>
                <w:shd w:val="clear" w:color="auto" w:fill="FFFFFF"/>
              </w:rPr>
              <w:t xml:space="preserve"> Lowery</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 xml:space="preserve"> R</w:t>
            </w:r>
            <w:r>
              <w:rPr>
                <w:rFonts w:ascii="Times New Roman" w:hAnsi="Times New Roman" w:cs="Times New Roman"/>
                <w:sz w:val="20"/>
                <w:szCs w:val="20"/>
                <w:shd w:val="clear" w:color="auto" w:fill="FFFFFF"/>
              </w:rPr>
              <w:t>.</w:t>
            </w:r>
            <w:r w:rsidRPr="0018347F">
              <w:rPr>
                <w:rFonts w:ascii="Times New Roman" w:hAnsi="Times New Roman" w:cs="Times New Roman"/>
                <w:sz w:val="20"/>
                <w:szCs w:val="20"/>
                <w:shd w:val="clear" w:color="auto" w:fill="FFFFFF"/>
              </w:rPr>
              <w:t>S]. London, UK: Croom Helm. 341-364.</w:t>
            </w:r>
          </w:p>
        </w:tc>
      </w:tr>
    </w:tbl>
    <w:p w14:paraId="78DF223A"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233104D5"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683E621B" w14:textId="77777777" w:rsidTr="002E2C37">
        <w:trPr>
          <w:trHeight w:val="260"/>
        </w:trPr>
        <w:tc>
          <w:tcPr>
            <w:tcW w:w="9016" w:type="dxa"/>
            <w:gridSpan w:val="2"/>
            <w:shd w:val="clear" w:color="auto" w:fill="F2F2F2"/>
          </w:tcPr>
          <w:p w14:paraId="2A93194D"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CON3 Closely related species’ environmental impact</w:t>
            </w:r>
          </w:p>
        </w:tc>
      </w:tr>
      <w:tr w:rsidR="002D7080" w:rsidRPr="004D1E6F" w14:paraId="19E52A3A" w14:textId="77777777" w:rsidTr="002E2C37">
        <w:trPr>
          <w:trHeight w:val="172"/>
        </w:trPr>
        <w:tc>
          <w:tcPr>
            <w:tcW w:w="5949" w:type="dxa"/>
          </w:tcPr>
          <w:p w14:paraId="3C469C6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Not scored as CON1 scored</w:t>
            </w:r>
          </w:p>
        </w:tc>
        <w:tc>
          <w:tcPr>
            <w:tcW w:w="3067" w:type="dxa"/>
          </w:tcPr>
          <w:p w14:paraId="7BEBA35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7C443CC8" w14:textId="77777777" w:rsidTr="002E2C37">
        <w:trPr>
          <w:trHeight w:val="70"/>
        </w:trPr>
        <w:tc>
          <w:tcPr>
            <w:tcW w:w="9016" w:type="dxa"/>
            <w:gridSpan w:val="2"/>
          </w:tcPr>
          <w:p w14:paraId="0791B7C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There is information to score CON1, so CON3 does not need to be scored as per the framework.</w:t>
            </w:r>
          </w:p>
        </w:tc>
      </w:tr>
      <w:tr w:rsidR="002D7080" w:rsidRPr="004D1E6F" w14:paraId="1216EB0D" w14:textId="77777777" w:rsidTr="002E2C37">
        <w:trPr>
          <w:cantSplit/>
          <w:trHeight w:val="70"/>
        </w:trPr>
        <w:tc>
          <w:tcPr>
            <w:tcW w:w="9016" w:type="dxa"/>
            <w:gridSpan w:val="2"/>
          </w:tcPr>
          <w:p w14:paraId="60DCCFA6" w14:textId="77777777" w:rsidR="002D7080" w:rsidRPr="004D1E6F" w:rsidRDefault="002D7080" w:rsidP="002E2C37">
            <w:pPr>
              <w:ind w:left="720" w:hanging="72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References:</w:t>
            </w:r>
          </w:p>
        </w:tc>
      </w:tr>
    </w:tbl>
    <w:p w14:paraId="1443F9BD"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6F0AFFA5" w14:textId="77777777" w:rsidTr="002E2C37">
        <w:trPr>
          <w:trHeight w:val="343"/>
        </w:trPr>
        <w:tc>
          <w:tcPr>
            <w:tcW w:w="9016" w:type="dxa"/>
            <w:gridSpan w:val="2"/>
            <w:shd w:val="clear" w:color="auto" w:fill="F2F2F2" w:themeFill="background1" w:themeFillShade="F2"/>
          </w:tcPr>
          <w:p w14:paraId="0ED07AF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CON4 Closely related species’ socio-economic impact</w:t>
            </w:r>
          </w:p>
        </w:tc>
      </w:tr>
      <w:tr w:rsidR="002D7080" w:rsidRPr="004D1E6F" w14:paraId="4AB51C68" w14:textId="77777777" w:rsidTr="002E2C37">
        <w:trPr>
          <w:trHeight w:val="172"/>
        </w:trPr>
        <w:tc>
          <w:tcPr>
            <w:tcW w:w="5949" w:type="dxa"/>
          </w:tcPr>
          <w:p w14:paraId="13FE3E9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Not scored as CON</w:t>
            </w:r>
            <w:r>
              <w:rPr>
                <w:rFonts w:ascii="Times New Roman" w:eastAsia="Times New Roman" w:hAnsi="Times New Roman" w:cs="Times New Roman"/>
                <w:sz w:val="20"/>
                <w:szCs w:val="20"/>
                <w:lang w:eastAsia="en-ZA"/>
              </w:rPr>
              <w:t>2</w:t>
            </w:r>
            <w:r w:rsidRPr="004D1E6F">
              <w:rPr>
                <w:rFonts w:ascii="Times New Roman" w:eastAsia="Times New Roman" w:hAnsi="Times New Roman" w:cs="Times New Roman"/>
                <w:sz w:val="20"/>
                <w:szCs w:val="20"/>
                <w:lang w:eastAsia="en-ZA"/>
              </w:rPr>
              <w:t xml:space="preserve"> scored</w:t>
            </w:r>
          </w:p>
        </w:tc>
        <w:tc>
          <w:tcPr>
            <w:tcW w:w="3067" w:type="dxa"/>
          </w:tcPr>
          <w:p w14:paraId="1BB35AF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6C8D4E8E" w14:textId="77777777" w:rsidTr="002E2C37">
        <w:trPr>
          <w:trHeight w:val="70"/>
        </w:trPr>
        <w:tc>
          <w:tcPr>
            <w:tcW w:w="9016" w:type="dxa"/>
            <w:gridSpan w:val="2"/>
          </w:tcPr>
          <w:p w14:paraId="210F8C7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There is information to score CON</w:t>
            </w:r>
            <w:r>
              <w:rPr>
                <w:rFonts w:ascii="Times New Roman" w:eastAsia="Times New Roman" w:hAnsi="Times New Roman" w:cs="Times New Roman"/>
                <w:sz w:val="20"/>
                <w:szCs w:val="20"/>
                <w:lang w:eastAsia="en-ZA"/>
              </w:rPr>
              <w:t>2</w:t>
            </w:r>
            <w:r w:rsidRPr="004D1E6F">
              <w:rPr>
                <w:rFonts w:ascii="Times New Roman" w:eastAsia="Times New Roman" w:hAnsi="Times New Roman" w:cs="Times New Roman"/>
                <w:sz w:val="20"/>
                <w:szCs w:val="20"/>
                <w:lang w:eastAsia="en-ZA"/>
              </w:rPr>
              <w:t>, so CON</w:t>
            </w:r>
            <w:r>
              <w:rPr>
                <w:rFonts w:ascii="Times New Roman" w:eastAsia="Times New Roman" w:hAnsi="Times New Roman" w:cs="Times New Roman"/>
                <w:sz w:val="20"/>
                <w:szCs w:val="20"/>
                <w:lang w:eastAsia="en-ZA"/>
              </w:rPr>
              <w:t>4</w:t>
            </w:r>
            <w:r w:rsidRPr="004D1E6F">
              <w:rPr>
                <w:rFonts w:ascii="Times New Roman" w:eastAsia="Times New Roman" w:hAnsi="Times New Roman" w:cs="Times New Roman"/>
                <w:sz w:val="20"/>
                <w:szCs w:val="20"/>
                <w:lang w:eastAsia="en-ZA"/>
              </w:rPr>
              <w:t xml:space="preserve"> does not need to be scored as per the framework.</w:t>
            </w:r>
          </w:p>
        </w:tc>
      </w:tr>
      <w:tr w:rsidR="002D7080" w:rsidRPr="004D1E6F" w14:paraId="4AE534D2" w14:textId="77777777" w:rsidTr="002E2C37">
        <w:trPr>
          <w:trHeight w:val="50"/>
        </w:trPr>
        <w:tc>
          <w:tcPr>
            <w:tcW w:w="9016" w:type="dxa"/>
            <w:gridSpan w:val="2"/>
          </w:tcPr>
          <w:p w14:paraId="040B91CE" w14:textId="77777777" w:rsidR="002D7080" w:rsidRPr="004D1E6F" w:rsidRDefault="002D7080" w:rsidP="002E2C37">
            <w:pPr>
              <w:ind w:left="567" w:hanging="567"/>
              <w:rPr>
                <w:rFonts w:ascii="Times New Roman" w:eastAsia="Calibri" w:hAnsi="Times New Roman" w:cs="Times New Roman"/>
                <w:sz w:val="20"/>
                <w:szCs w:val="20"/>
              </w:rPr>
            </w:pPr>
            <w:r w:rsidRPr="004D1E6F">
              <w:rPr>
                <w:rFonts w:ascii="Times New Roman" w:eastAsia="Times New Roman" w:hAnsi="Times New Roman" w:cs="Times New Roman"/>
                <w:sz w:val="20"/>
                <w:szCs w:val="20"/>
                <w:lang w:eastAsia="en-ZA"/>
              </w:rPr>
              <w:t>References:</w:t>
            </w:r>
          </w:p>
        </w:tc>
      </w:tr>
    </w:tbl>
    <w:p w14:paraId="562843D7" w14:textId="77777777" w:rsidR="002D7080" w:rsidRPr="004D1E6F" w:rsidRDefault="002D7080" w:rsidP="002D7080">
      <w:pPr>
        <w:spacing w:after="0" w:line="240" w:lineRule="auto"/>
        <w:rPr>
          <w:rFonts w:ascii="Times New Roman" w:eastAsia="Calibri" w:hAnsi="Times New Roman" w:cs="Times New Roman"/>
          <w:b/>
          <w:sz w:val="24"/>
          <w:szCs w:val="24"/>
        </w:rPr>
      </w:pPr>
    </w:p>
    <w:tbl>
      <w:tblPr>
        <w:tblStyle w:val="TableGrid8"/>
        <w:tblW w:w="0" w:type="auto"/>
        <w:tblLook w:val="04A0" w:firstRow="1" w:lastRow="0" w:firstColumn="1" w:lastColumn="0" w:noHBand="0" w:noVBand="1"/>
      </w:tblPr>
      <w:tblGrid>
        <w:gridCol w:w="5949"/>
        <w:gridCol w:w="3067"/>
      </w:tblGrid>
      <w:tr w:rsidR="002D7080" w:rsidRPr="004D1E6F" w14:paraId="07521BC7" w14:textId="77777777" w:rsidTr="002E2C37">
        <w:trPr>
          <w:trHeight w:val="197"/>
        </w:trPr>
        <w:tc>
          <w:tcPr>
            <w:tcW w:w="9016" w:type="dxa"/>
            <w:gridSpan w:val="2"/>
            <w:shd w:val="clear" w:color="auto" w:fill="F2F2F2" w:themeFill="background1" w:themeFillShade="F2"/>
          </w:tcPr>
          <w:p w14:paraId="61BF69FE" w14:textId="77777777" w:rsidR="002D7080" w:rsidRPr="004D1E6F" w:rsidRDefault="002D7080" w:rsidP="002E2C37">
            <w:pPr>
              <w:rPr>
                <w:rFonts w:ascii="Times New Roman" w:eastAsia="Calibri" w:hAnsi="Times New Roman" w:cs="Times New Roman"/>
              </w:rPr>
            </w:pPr>
            <w:r w:rsidRPr="004D1E6F">
              <w:rPr>
                <w:rFonts w:ascii="Times New Roman" w:eastAsia="Times New Roman" w:hAnsi="Times New Roman" w:cs="Times New Roman"/>
                <w:b/>
                <w:color w:val="000000"/>
                <w:sz w:val="20"/>
                <w:szCs w:val="20"/>
                <w:lang w:eastAsia="en-ZA"/>
              </w:rPr>
              <w:lastRenderedPageBreak/>
              <w:t>CON5 Potential impact</w:t>
            </w:r>
          </w:p>
        </w:tc>
      </w:tr>
      <w:tr w:rsidR="002D7080" w:rsidRPr="004D1E6F" w14:paraId="14DE2196" w14:textId="77777777" w:rsidTr="002E2C37">
        <w:trPr>
          <w:trHeight w:val="172"/>
        </w:trPr>
        <w:tc>
          <w:tcPr>
            <w:tcW w:w="5949" w:type="dxa"/>
          </w:tcPr>
          <w:p w14:paraId="74006759"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MR</w:t>
            </w:r>
          </w:p>
        </w:tc>
        <w:tc>
          <w:tcPr>
            <w:tcW w:w="3067" w:type="dxa"/>
          </w:tcPr>
          <w:p w14:paraId="4E89BB2A"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32323DD3" w14:textId="77777777" w:rsidTr="002E2C37">
        <w:trPr>
          <w:trHeight w:val="343"/>
        </w:trPr>
        <w:tc>
          <w:tcPr>
            <w:tcW w:w="9016" w:type="dxa"/>
            <w:gridSpan w:val="2"/>
          </w:tcPr>
          <w:p w14:paraId="28BB3D7A"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Faxonius</w:t>
            </w:r>
            <w:r>
              <w:rPr>
                <w:rFonts w:ascii="Times New Roman" w:eastAsia="Times New Roman" w:hAnsi="Times New Roman" w:cs="Times New Roman"/>
                <w:i/>
                <w:color w:val="000000"/>
                <w:sz w:val="20"/>
                <w:szCs w:val="20"/>
                <w:lang w:eastAsia="en-ZA"/>
              </w:rPr>
              <w:t xml:space="preserve"> limosus</w:t>
            </w:r>
            <w:r w:rsidRPr="004D1E6F">
              <w:rPr>
                <w:rFonts w:ascii="Times New Roman" w:eastAsia="Times New Roman" w:hAnsi="Times New Roman" w:cs="Times New Roman"/>
                <w:color w:val="000000"/>
                <w:sz w:val="20"/>
                <w:szCs w:val="20"/>
                <w:lang w:eastAsia="en-ZA"/>
              </w:rPr>
              <w:t xml:space="preserve"> may outcompete native freshwater crab species in South Africa, displacing it in freshwater ecosystems (Jackson et al. 2016). Being a functional omnivore, this species may also have detrimental impacts on macroinvertebrates and macrophyte communities in areas where invaded (Klocker and Strayer 2004; Roth et al. 2006; Kreps et al 2012). They can also influence occurrence and species composition of fish communities (Keller et al. 2008). In addition, being a vector for the crayfish plague is another cause of concern (Lodge et al. 2012). This disease may be transferable and could be detrimental to native freshwater crustaceans in South Africa. </w:t>
            </w:r>
          </w:p>
        </w:tc>
      </w:tr>
      <w:tr w:rsidR="002D7080" w:rsidRPr="004D1E6F" w14:paraId="71DBC287" w14:textId="77777777" w:rsidTr="002E2C37">
        <w:trPr>
          <w:trHeight w:val="343"/>
        </w:trPr>
        <w:tc>
          <w:tcPr>
            <w:tcW w:w="9016" w:type="dxa"/>
            <w:gridSpan w:val="2"/>
          </w:tcPr>
          <w:p w14:paraId="4C7A8C96"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14703488" w14:textId="77777777" w:rsidR="002D7080" w:rsidRPr="004D1E6F" w:rsidRDefault="002D7080" w:rsidP="00415023">
            <w:pPr>
              <w:ind w:left="539" w:hanging="539"/>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Keller</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R</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P</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Frang</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K</w:t>
            </w:r>
            <w:r>
              <w:rPr>
                <w:rFonts w:ascii="Times New Roman" w:eastAsia="Times New Roman" w:hAnsi="Times New Roman" w:cs="Times New Roman"/>
                <w:color w:val="000000"/>
                <w:sz w:val="20"/>
                <w:szCs w:val="20"/>
                <w:lang w:eastAsia="en-ZA"/>
              </w:rPr>
              <w:t>. &amp;</w:t>
            </w:r>
            <w:r w:rsidRPr="004D1E6F">
              <w:rPr>
                <w:rFonts w:ascii="Times New Roman" w:eastAsia="Times New Roman" w:hAnsi="Times New Roman" w:cs="Times New Roman"/>
                <w:color w:val="000000"/>
                <w:sz w:val="20"/>
                <w:szCs w:val="20"/>
                <w:lang w:eastAsia="en-ZA"/>
              </w:rPr>
              <w:t xml:space="preserve"> Lodge</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D</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M</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2008</w:t>
            </w:r>
            <w:r>
              <w:rPr>
                <w:rFonts w:ascii="Times New Roman" w:eastAsia="Times New Roman" w:hAnsi="Times New Roman" w:cs="Times New Roman"/>
                <w:color w:val="000000"/>
                <w:sz w:val="20"/>
                <w:szCs w:val="20"/>
                <w:lang w:eastAsia="en-ZA"/>
              </w:rPr>
              <w:t>, ‘</w:t>
            </w:r>
            <w:r w:rsidRPr="004D1E6F">
              <w:rPr>
                <w:rFonts w:ascii="Times New Roman" w:eastAsia="Times New Roman" w:hAnsi="Times New Roman" w:cs="Times New Roman"/>
                <w:color w:val="000000"/>
                <w:sz w:val="20"/>
                <w:szCs w:val="20"/>
                <w:lang w:eastAsia="en-ZA"/>
              </w:rPr>
              <w:t>Preventing the spread of invasive species: Economic benefits of intervention guided by ecological predictions</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Conservation Biology</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22</w:t>
            </w:r>
            <w:r>
              <w:rPr>
                <w:rFonts w:ascii="Times New Roman" w:eastAsia="Times New Roman" w:hAnsi="Times New Roman" w:cs="Times New Roman"/>
                <w:iCs/>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80–88</w:t>
            </w:r>
            <w:r>
              <w:rPr>
                <w:rFonts w:ascii="Times New Roman" w:eastAsia="Times New Roman" w:hAnsi="Times New Roman" w:cs="Times New Roman"/>
                <w:color w:val="000000"/>
                <w:sz w:val="20"/>
                <w:szCs w:val="20"/>
                <w:lang w:eastAsia="en-ZA"/>
              </w:rPr>
              <w:t xml:space="preserve">. </w:t>
            </w:r>
            <w:hyperlink r:id="rId294" w:history="1">
              <w:r w:rsidRPr="00A26A65">
                <w:rPr>
                  <w:rStyle w:val="Hyperlink"/>
                  <w:rFonts w:ascii="Times New Roman" w:eastAsia="Times New Roman" w:hAnsi="Times New Roman" w:cs="Times New Roman"/>
                  <w:bCs/>
                  <w:sz w:val="20"/>
                  <w:szCs w:val="20"/>
                  <w:lang w:eastAsia="en-ZA"/>
                </w:rPr>
                <w:t>https://doi.org/10.1111/j.1523-1739.2007.00811.x</w:t>
              </w:r>
            </w:hyperlink>
          </w:p>
          <w:p w14:paraId="2F9BF74F" w14:textId="77777777" w:rsidR="002D7080" w:rsidRPr="004D1E6F" w:rsidRDefault="002D7080" w:rsidP="00415023">
            <w:pPr>
              <w:ind w:left="539" w:hanging="539"/>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Klocker</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C</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w:t>
            </w:r>
            <w:r>
              <w:rPr>
                <w:rFonts w:ascii="Times New Roman" w:eastAsia="Times New Roman" w:hAnsi="Times New Roman" w:cs="Times New Roman"/>
                <w:color w:val="000000"/>
                <w:sz w:val="20"/>
                <w:szCs w:val="20"/>
                <w:lang w:eastAsia="en-ZA"/>
              </w:rPr>
              <w:t>. &amp;</w:t>
            </w:r>
            <w:r w:rsidRPr="004D1E6F">
              <w:rPr>
                <w:rFonts w:ascii="Times New Roman" w:eastAsia="Times New Roman" w:hAnsi="Times New Roman" w:cs="Times New Roman"/>
                <w:color w:val="000000"/>
                <w:sz w:val="20"/>
                <w:szCs w:val="20"/>
                <w:lang w:eastAsia="en-ZA"/>
              </w:rPr>
              <w:t xml:space="preserve"> Strayer, D</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L.</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2004</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Interactions among an invasive crayfish (</w:t>
            </w:r>
            <w:r w:rsidRPr="004D1E6F">
              <w:rPr>
                <w:rFonts w:ascii="Times New Roman" w:eastAsia="Times New Roman" w:hAnsi="Times New Roman" w:cs="Times New Roman"/>
                <w:i/>
                <w:color w:val="000000"/>
                <w:sz w:val="20"/>
                <w:szCs w:val="20"/>
                <w:lang w:eastAsia="en-ZA"/>
              </w:rPr>
              <w:t>Orconectes rusticus</w:t>
            </w:r>
            <w:r w:rsidRPr="004D1E6F">
              <w:rPr>
                <w:rFonts w:ascii="Times New Roman" w:eastAsia="Times New Roman" w:hAnsi="Times New Roman" w:cs="Times New Roman"/>
                <w:color w:val="000000"/>
                <w:sz w:val="20"/>
                <w:szCs w:val="20"/>
                <w:lang w:eastAsia="en-ZA"/>
              </w:rPr>
              <w:t xml:space="preserve">), a </w:t>
            </w:r>
            <w:r w:rsidRPr="004D1E6F">
              <w:rPr>
                <w:rFonts w:ascii="Times New Roman" w:eastAsia="Times New Roman" w:hAnsi="Times New Roman" w:cs="Times New Roman"/>
                <w:color w:val="000000"/>
                <w:sz w:val="20"/>
                <w:szCs w:val="20"/>
                <w:lang w:eastAsia="en-ZA"/>
              </w:rPr>
              <w:tab/>
              <w:t>native crayfish (</w:t>
            </w:r>
            <w:r w:rsidRPr="004D1E6F">
              <w:rPr>
                <w:rFonts w:ascii="Times New Roman" w:eastAsia="Times New Roman" w:hAnsi="Times New Roman" w:cs="Times New Roman"/>
                <w:i/>
                <w:color w:val="000000"/>
                <w:sz w:val="20"/>
                <w:szCs w:val="20"/>
                <w:lang w:eastAsia="en-ZA"/>
              </w:rPr>
              <w:t>Orconectes limosus</w:t>
            </w:r>
            <w:r w:rsidRPr="004D1E6F">
              <w:rPr>
                <w:rFonts w:ascii="Times New Roman" w:eastAsia="Times New Roman" w:hAnsi="Times New Roman" w:cs="Times New Roman"/>
                <w:color w:val="000000"/>
                <w:sz w:val="20"/>
                <w:szCs w:val="20"/>
                <w:lang w:eastAsia="en-ZA"/>
              </w:rPr>
              <w:t>), and native bivalves (Sphaeriidae and Unionidae)</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w:t>
            </w:r>
            <w:r w:rsidRPr="004D1E6F">
              <w:rPr>
                <w:rFonts w:ascii="Times New Roman" w:eastAsia="Times New Roman" w:hAnsi="Times New Roman" w:cs="Times New Roman"/>
                <w:i/>
                <w:iCs/>
                <w:color w:val="000000"/>
                <w:sz w:val="20"/>
                <w:szCs w:val="20"/>
                <w:lang w:eastAsia="en-ZA"/>
              </w:rPr>
              <w:t>Northeastern Naturalist</w:t>
            </w:r>
            <w:r w:rsidRPr="00067839">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11</w:t>
            </w:r>
            <w:r>
              <w:rPr>
                <w:rFonts w:ascii="Times New Roman" w:eastAsia="Times New Roman" w:hAnsi="Times New Roman" w:cs="Times New Roman"/>
                <w:iCs/>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167–178.</w:t>
            </w:r>
            <w:r>
              <w:rPr>
                <w:rFonts w:ascii="Times New Roman" w:eastAsia="Times New Roman" w:hAnsi="Times New Roman" w:cs="Times New Roman"/>
                <w:color w:val="000000"/>
                <w:sz w:val="20"/>
                <w:szCs w:val="20"/>
                <w:lang w:eastAsia="en-ZA"/>
              </w:rPr>
              <w:t xml:space="preserve"> </w:t>
            </w:r>
            <w:hyperlink r:id="rId295" w:history="1">
              <w:r w:rsidRPr="00A26A65">
                <w:rPr>
                  <w:rStyle w:val="Hyperlink"/>
                  <w:rFonts w:ascii="Times New Roman" w:eastAsia="Times New Roman" w:hAnsi="Times New Roman" w:cs="Times New Roman"/>
                  <w:sz w:val="20"/>
                  <w:szCs w:val="20"/>
                  <w:lang w:eastAsia="en-ZA"/>
                </w:rPr>
                <w:t>https://doi.org/10.1656/1092-6194(2004)011[0167:IAAICO]2.0.CO;2</w:t>
              </w:r>
            </w:hyperlink>
          </w:p>
          <w:p w14:paraId="0D6B6A7E" w14:textId="77777777" w:rsidR="002D7080" w:rsidRPr="004D1E6F" w:rsidRDefault="002D7080" w:rsidP="00415023">
            <w:pPr>
              <w:ind w:left="539" w:hanging="539"/>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Kreps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T</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Baldridge</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K</w:t>
            </w:r>
            <w:r>
              <w:rPr>
                <w:rFonts w:ascii="Times New Roman" w:eastAsia="Times New Roman" w:hAnsi="Times New Roman" w:cs="Times New Roman"/>
                <w:color w:val="000000"/>
                <w:sz w:val="20"/>
                <w:szCs w:val="20"/>
                <w:lang w:eastAsia="en-ZA"/>
              </w:rPr>
              <w:t>. &amp;</w:t>
            </w:r>
            <w:r w:rsidRPr="004D1E6F">
              <w:rPr>
                <w:rFonts w:ascii="Times New Roman" w:eastAsia="Times New Roman" w:hAnsi="Times New Roman" w:cs="Times New Roman"/>
                <w:color w:val="000000"/>
                <w:sz w:val="20"/>
                <w:szCs w:val="20"/>
                <w:lang w:eastAsia="en-ZA"/>
              </w:rPr>
              <w:t xml:space="preserve"> Lodge</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D</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M.</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2012</w:t>
            </w:r>
            <w:r>
              <w:rPr>
                <w:rFonts w:ascii="Times New Roman" w:eastAsia="Times New Roman" w:hAnsi="Times New Roman" w:cs="Times New Roman"/>
                <w:color w:val="000000"/>
                <w:sz w:val="20"/>
                <w:szCs w:val="20"/>
                <w:lang w:eastAsia="en-ZA"/>
              </w:rPr>
              <w:t>, ‘</w:t>
            </w:r>
            <w:r w:rsidRPr="004D1E6F">
              <w:rPr>
                <w:rFonts w:ascii="Times New Roman" w:eastAsia="Times New Roman" w:hAnsi="Times New Roman" w:cs="Times New Roman"/>
                <w:color w:val="000000"/>
                <w:sz w:val="20"/>
                <w:szCs w:val="20"/>
                <w:lang w:eastAsia="en-ZA"/>
              </w:rPr>
              <w:t>The impact of an invasive predator (</w:t>
            </w:r>
            <w:r w:rsidRPr="004D1E6F">
              <w:rPr>
                <w:rFonts w:ascii="Times New Roman" w:eastAsia="Times New Roman" w:hAnsi="Times New Roman" w:cs="Times New Roman"/>
                <w:i/>
                <w:color w:val="000000"/>
                <w:sz w:val="20"/>
                <w:szCs w:val="20"/>
                <w:lang w:eastAsia="en-ZA"/>
              </w:rPr>
              <w:t>Orconectes rusticus</w:t>
            </w:r>
            <w:r w:rsidRPr="004D1E6F">
              <w:rPr>
                <w:rFonts w:ascii="Times New Roman" w:eastAsia="Times New Roman" w:hAnsi="Times New Roman" w:cs="Times New Roman"/>
                <w:color w:val="000000"/>
                <w:sz w:val="20"/>
                <w:szCs w:val="20"/>
                <w:lang w:eastAsia="en-ZA"/>
              </w:rPr>
              <w:t>) on freshwater snail communities: Insights on habitat-specific effects from a multilake long-term study</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Canadian Journal of Fisheries and Aquatic Sciences</w:t>
            </w:r>
            <w:r w:rsidRPr="00952EBC">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69</w:t>
            </w:r>
            <w:r>
              <w:rPr>
                <w:rFonts w:ascii="Times New Roman" w:eastAsia="Times New Roman" w:hAnsi="Times New Roman" w:cs="Times New Roman"/>
                <w:iCs/>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1164–1173.</w:t>
            </w:r>
            <w:r w:rsidRPr="00A26A65">
              <w:t xml:space="preserve"> </w:t>
            </w:r>
            <w:hyperlink r:id="rId296" w:history="1">
              <w:r w:rsidRPr="00A26A65">
                <w:rPr>
                  <w:rStyle w:val="Hyperlink"/>
                  <w:rFonts w:ascii="Times New Roman" w:eastAsia="Times New Roman" w:hAnsi="Times New Roman" w:cs="Times New Roman"/>
                  <w:sz w:val="20"/>
                  <w:szCs w:val="20"/>
                  <w:lang w:eastAsia="en-ZA"/>
                </w:rPr>
                <w:t>https://doi.org/10.1139/f2012-052</w:t>
              </w:r>
            </w:hyperlink>
          </w:p>
          <w:p w14:paraId="6CE1209D" w14:textId="77777777" w:rsidR="002D7080" w:rsidRPr="004D1E6F" w:rsidRDefault="002D7080" w:rsidP="00415023">
            <w:pPr>
              <w:ind w:left="539" w:hanging="539"/>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Lodge</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D</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M</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Deines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Gherardi, F</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Yeo</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D</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C</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J</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Arcella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T</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Baldridge</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K</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Branes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M</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Chadderton</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L</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Feder</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J</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L</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Grantz</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C</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Howard</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G</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W</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Jerdde</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C</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L</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Peters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J</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Sargent</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L</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W</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Turner</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C</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R</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Wittmann</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M</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E</w:t>
            </w:r>
            <w:r>
              <w:rPr>
                <w:rFonts w:ascii="Times New Roman" w:eastAsia="Times New Roman" w:hAnsi="Times New Roman" w:cs="Times New Roman"/>
                <w:color w:val="000000"/>
                <w:sz w:val="20"/>
                <w:szCs w:val="20"/>
                <w:lang w:eastAsia="en-ZA"/>
              </w:rPr>
              <w:t>. &amp;</w:t>
            </w:r>
            <w:r w:rsidRPr="004D1E6F">
              <w:rPr>
                <w:rFonts w:ascii="Times New Roman" w:eastAsia="Times New Roman" w:hAnsi="Times New Roman" w:cs="Times New Roman"/>
                <w:color w:val="000000"/>
                <w:sz w:val="20"/>
                <w:szCs w:val="20"/>
                <w:lang w:eastAsia="en-ZA"/>
              </w:rPr>
              <w:t xml:space="preserve"> Zeng</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Y. 2012</w:t>
            </w:r>
            <w:r>
              <w:rPr>
                <w:rFonts w:ascii="Times New Roman" w:eastAsia="Times New Roman" w:hAnsi="Times New Roman" w:cs="Times New Roman"/>
                <w:color w:val="000000"/>
                <w:sz w:val="20"/>
                <w:szCs w:val="20"/>
                <w:lang w:eastAsia="en-ZA"/>
              </w:rPr>
              <w:t>, ‘</w:t>
            </w:r>
            <w:r w:rsidRPr="004D1E6F">
              <w:rPr>
                <w:rFonts w:ascii="Times New Roman" w:eastAsia="Times New Roman" w:hAnsi="Times New Roman" w:cs="Times New Roman"/>
                <w:color w:val="000000"/>
                <w:sz w:val="20"/>
                <w:szCs w:val="20"/>
                <w:lang w:eastAsia="en-ZA"/>
              </w:rPr>
              <w:t>Global introductions of crayfishes: evaluating the impact of species invasions on ecosystem services</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Annual Review of Ecology, Evolution and Systematics</w:t>
            </w:r>
            <w:r w:rsidRPr="002C401F">
              <w:rPr>
                <w:rFonts w:ascii="Times New Roman" w:eastAsia="Times New Roman" w:hAnsi="Times New Roman" w:cs="Times New Roman"/>
                <w:iCs/>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43</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449–72.</w:t>
            </w:r>
            <w:r w:rsidRPr="00A26A65">
              <w:t xml:space="preserve"> </w:t>
            </w:r>
            <w:hyperlink r:id="rId297" w:history="1">
              <w:r w:rsidRPr="00A26A65">
                <w:rPr>
                  <w:rStyle w:val="Hyperlink"/>
                  <w:rFonts w:ascii="Times New Roman" w:eastAsia="Times New Roman" w:hAnsi="Times New Roman" w:cs="Times New Roman"/>
                  <w:bCs/>
                  <w:sz w:val="20"/>
                  <w:szCs w:val="20"/>
                  <w:lang w:eastAsia="en-ZA"/>
                </w:rPr>
                <w:t>https://doi.org/10.1146/annurev-ecolsys-111511-103919</w:t>
              </w:r>
            </w:hyperlink>
            <w:r w:rsidRPr="00A26A65">
              <w:rPr>
                <w:rFonts w:ascii="Times New Roman" w:eastAsia="Times New Roman" w:hAnsi="Times New Roman" w:cs="Times New Roman"/>
                <w:color w:val="000000"/>
                <w:sz w:val="20"/>
                <w:szCs w:val="20"/>
                <w:lang w:eastAsia="en-ZA"/>
              </w:rPr>
              <w:t>.</w:t>
            </w:r>
          </w:p>
          <w:p w14:paraId="13AD13C2" w14:textId="43AA4EF6" w:rsidR="002D7080" w:rsidRPr="004D1E6F" w:rsidRDefault="002D7080" w:rsidP="00415023">
            <w:pPr>
              <w:ind w:left="539" w:hanging="539"/>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Roth</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B</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M</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Hein, C</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L</w:t>
            </w:r>
            <w:r>
              <w:rPr>
                <w:rFonts w:ascii="Times New Roman" w:eastAsia="Times New Roman" w:hAnsi="Times New Roman" w:cs="Times New Roman"/>
                <w:color w:val="000000"/>
                <w:sz w:val="20"/>
                <w:szCs w:val="20"/>
                <w:lang w:eastAsia="en-ZA"/>
              </w:rPr>
              <w:t>. &amp;</w:t>
            </w:r>
            <w:r w:rsidRPr="004D1E6F">
              <w:rPr>
                <w:rFonts w:ascii="Times New Roman" w:eastAsia="Times New Roman" w:hAnsi="Times New Roman" w:cs="Times New Roman"/>
                <w:color w:val="000000"/>
                <w:sz w:val="20"/>
                <w:szCs w:val="20"/>
                <w:lang w:eastAsia="en-ZA"/>
              </w:rPr>
              <w:t xml:space="preserve"> Vander Zanden</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M</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J</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2006</w:t>
            </w:r>
            <w:r>
              <w:rPr>
                <w:rFonts w:ascii="Times New Roman" w:eastAsia="Times New Roman" w:hAnsi="Times New Roman" w:cs="Times New Roman"/>
                <w:color w:val="000000"/>
                <w:sz w:val="20"/>
                <w:szCs w:val="20"/>
                <w:lang w:eastAsia="en-ZA"/>
              </w:rPr>
              <w:t>, ‘</w:t>
            </w:r>
            <w:r w:rsidRPr="004D1E6F">
              <w:rPr>
                <w:rFonts w:ascii="Times New Roman" w:eastAsia="Times New Roman" w:hAnsi="Times New Roman" w:cs="Times New Roman"/>
                <w:color w:val="000000"/>
                <w:sz w:val="20"/>
                <w:szCs w:val="20"/>
                <w:lang w:eastAsia="en-ZA"/>
              </w:rPr>
              <w:t>Using bioenergetics and stable isotopes to assess the trophic role of rusty crayfish (</w:t>
            </w:r>
            <w:r w:rsidRPr="004D1E6F">
              <w:rPr>
                <w:rFonts w:ascii="Times New Roman" w:eastAsia="Times New Roman" w:hAnsi="Times New Roman" w:cs="Times New Roman"/>
                <w:i/>
                <w:color w:val="000000"/>
                <w:sz w:val="20"/>
                <w:szCs w:val="20"/>
                <w:lang w:eastAsia="en-ZA"/>
              </w:rPr>
              <w:t>Orconectes rusticus</w:t>
            </w:r>
            <w:r w:rsidRPr="004D1E6F">
              <w:rPr>
                <w:rFonts w:ascii="Times New Roman" w:eastAsia="Times New Roman" w:hAnsi="Times New Roman" w:cs="Times New Roman"/>
                <w:color w:val="000000"/>
                <w:sz w:val="20"/>
                <w:szCs w:val="20"/>
                <w:lang w:eastAsia="en-ZA"/>
              </w:rPr>
              <w:t>) in lake littoral zones</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Canadian Journal of Fisheries and Aquatic Sciences</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63</w:t>
            </w:r>
            <w:r>
              <w:rPr>
                <w:rFonts w:ascii="Times New Roman" w:eastAsia="Times New Roman" w:hAnsi="Times New Roman" w:cs="Times New Roman"/>
                <w:iCs/>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335–344.</w:t>
            </w:r>
            <w:r>
              <w:rPr>
                <w:rFonts w:ascii="Times New Roman" w:eastAsia="Times New Roman" w:hAnsi="Times New Roman" w:cs="Times New Roman"/>
                <w:color w:val="000000"/>
                <w:sz w:val="20"/>
                <w:szCs w:val="20"/>
                <w:lang w:eastAsia="en-ZA"/>
              </w:rPr>
              <w:t xml:space="preserve"> </w:t>
            </w:r>
            <w:hyperlink r:id="rId298" w:history="1">
              <w:r w:rsidR="0024145A" w:rsidRPr="0024145A">
                <w:rPr>
                  <w:rStyle w:val="Hyperlink"/>
                  <w:rFonts w:ascii="Times New Roman" w:hAnsi="Times New Roman" w:cs="Times New Roman"/>
                  <w:sz w:val="20"/>
                  <w:szCs w:val="20"/>
                </w:rPr>
                <w:t>https://doi.org/10.1139/f05-217</w:t>
              </w:r>
            </w:hyperlink>
          </w:p>
        </w:tc>
      </w:tr>
    </w:tbl>
    <w:p w14:paraId="16C2B912" w14:textId="77777777" w:rsidR="002D7080" w:rsidRPr="004D1E6F" w:rsidRDefault="002D7080" w:rsidP="002D7080">
      <w:pPr>
        <w:spacing w:after="0" w:line="240" w:lineRule="auto"/>
        <w:rPr>
          <w:rFonts w:ascii="Times New Roman" w:eastAsia="Calibri" w:hAnsi="Times New Roman" w:cs="Times New Roman"/>
          <w:b/>
          <w:sz w:val="20"/>
          <w:szCs w:val="20"/>
        </w:rPr>
      </w:pPr>
    </w:p>
    <w:p w14:paraId="47429D1D"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4. Management</w:t>
      </w:r>
    </w:p>
    <w:p w14:paraId="61923681"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Style w:val="TableGrid10"/>
        <w:tblW w:w="9018" w:type="dxa"/>
        <w:tblLook w:val="04A0" w:firstRow="1" w:lastRow="0" w:firstColumn="1" w:lastColumn="0" w:noHBand="0" w:noVBand="1"/>
      </w:tblPr>
      <w:tblGrid>
        <w:gridCol w:w="5240"/>
        <w:gridCol w:w="3778"/>
      </w:tblGrid>
      <w:tr w:rsidR="002D7080" w:rsidRPr="004D1E6F" w14:paraId="143A285C" w14:textId="77777777" w:rsidTr="002E2C37">
        <w:trPr>
          <w:trHeight w:val="188"/>
        </w:trPr>
        <w:tc>
          <w:tcPr>
            <w:tcW w:w="9018" w:type="dxa"/>
            <w:gridSpan w:val="2"/>
            <w:shd w:val="clear" w:color="auto" w:fill="F2F2F2" w:themeFill="background1" w:themeFillShade="F2"/>
          </w:tcPr>
          <w:p w14:paraId="4141CBF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MAN1 What is the feasibility to stop future immigration?</w:t>
            </w:r>
          </w:p>
        </w:tc>
      </w:tr>
      <w:tr w:rsidR="002D7080" w:rsidRPr="004D1E6F" w14:paraId="6EA06FF5" w14:textId="77777777" w:rsidTr="002E2C37">
        <w:trPr>
          <w:trHeight w:val="172"/>
        </w:trPr>
        <w:tc>
          <w:tcPr>
            <w:tcW w:w="5240" w:type="dxa"/>
          </w:tcPr>
          <w:p w14:paraId="162B074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Response: High</w:t>
            </w:r>
          </w:p>
        </w:tc>
        <w:tc>
          <w:tcPr>
            <w:tcW w:w="3778" w:type="dxa"/>
          </w:tcPr>
          <w:p w14:paraId="0BC3B91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7C46C447" w14:textId="77777777" w:rsidTr="002E2C37">
        <w:trPr>
          <w:trHeight w:val="343"/>
        </w:trPr>
        <w:tc>
          <w:tcPr>
            <w:tcW w:w="9018" w:type="dxa"/>
            <w:gridSpan w:val="2"/>
          </w:tcPr>
          <w:p w14:paraId="1BF40A9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iCs/>
                <w:sz w:val="20"/>
                <w:szCs w:val="20"/>
                <w:lang w:eastAsia="en-ZA"/>
              </w:rPr>
              <w:t>Faxonius</w:t>
            </w:r>
            <w:r>
              <w:rPr>
                <w:rFonts w:ascii="Times New Roman" w:eastAsia="Times New Roman" w:hAnsi="Times New Roman" w:cs="Times New Roman"/>
                <w:i/>
                <w:iCs/>
                <w:sz w:val="20"/>
                <w:szCs w:val="20"/>
                <w:lang w:eastAsia="en-ZA"/>
              </w:rPr>
              <w:t xml:space="preserve"> limosus</w:t>
            </w:r>
            <w:r w:rsidRPr="004D1E6F">
              <w:rPr>
                <w:rFonts w:ascii="Times New Roman" w:eastAsia="Times New Roman" w:hAnsi="Times New Roman" w:cs="Times New Roman"/>
                <w:i/>
                <w:iCs/>
                <w:sz w:val="20"/>
                <w:szCs w:val="20"/>
                <w:lang w:eastAsia="en-ZA"/>
              </w:rPr>
              <w:t xml:space="preserve"> </w:t>
            </w:r>
            <w:r w:rsidRPr="004D1E6F">
              <w:rPr>
                <w:rFonts w:ascii="Times New Roman" w:eastAsia="Times New Roman" w:hAnsi="Times New Roman" w:cs="Times New Roman"/>
                <w:sz w:val="20"/>
                <w:szCs w:val="20"/>
                <w:lang w:eastAsia="en-ZA"/>
              </w:rPr>
              <w:t>is absent in neighbouring countries, so unaided immigration is unlikely. Moreover, it should be possible to regulate intentional introductions through legislative regulations and having an effective border surveillance and monitoring strategy (Zengeya &amp; Wilson 2020</w:t>
            </w:r>
            <w:r>
              <w:rPr>
                <w:rFonts w:ascii="Times New Roman" w:eastAsia="Times New Roman" w:hAnsi="Times New Roman" w:cs="Times New Roman"/>
                <w:sz w:val="20"/>
                <w:szCs w:val="20"/>
                <w:lang w:eastAsia="en-ZA"/>
              </w:rPr>
              <w:t>; Wilson &amp; Kumschick 2024</w:t>
            </w:r>
            <w:r w:rsidRPr="004D1E6F">
              <w:rPr>
                <w:rFonts w:ascii="Times New Roman" w:eastAsia="Times New Roman" w:hAnsi="Times New Roman" w:cs="Times New Roman"/>
                <w:sz w:val="20"/>
                <w:szCs w:val="20"/>
                <w:lang w:eastAsia="en-ZA"/>
              </w:rPr>
              <w:t>).</w:t>
            </w:r>
          </w:p>
        </w:tc>
      </w:tr>
      <w:tr w:rsidR="002D7080" w:rsidRPr="004D1E6F" w14:paraId="215A7663" w14:textId="77777777" w:rsidTr="002E2C37">
        <w:trPr>
          <w:trHeight w:val="343"/>
        </w:trPr>
        <w:tc>
          <w:tcPr>
            <w:tcW w:w="9018" w:type="dxa"/>
            <w:gridSpan w:val="2"/>
          </w:tcPr>
          <w:p w14:paraId="41E4C2F1"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001767CE" w14:textId="77777777" w:rsidR="002D7080" w:rsidRDefault="002D7080" w:rsidP="00415023">
            <w:pPr>
              <w:ind w:left="357" w:hanging="357"/>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Zengeya, T.A. &amp; Wilson, J.R., (eds.) 2020, </w:t>
            </w:r>
            <w:r w:rsidRPr="004D1E6F">
              <w:rPr>
                <w:rFonts w:ascii="Times New Roman" w:eastAsia="Times New Roman" w:hAnsi="Times New Roman" w:cs="Times New Roman"/>
                <w:i/>
                <w:iCs/>
                <w:sz w:val="20"/>
                <w:szCs w:val="20"/>
                <w:lang w:eastAsia="en-ZA"/>
              </w:rPr>
              <w:t>The status of biological invasions and their management in South Africa in 2019</w:t>
            </w:r>
            <w:r w:rsidRPr="004D1E6F">
              <w:rPr>
                <w:rFonts w:ascii="Times New Roman" w:eastAsia="Times New Roman" w:hAnsi="Times New Roman" w:cs="Times New Roman"/>
                <w:sz w:val="20"/>
                <w:szCs w:val="20"/>
                <w:lang w:eastAsia="en-ZA"/>
              </w:rPr>
              <w:t xml:space="preserve">, pp.71, South African National Biodiversity Institute, Kirstenbosch and DSI-NRF Centre of Excellence for Invasion Biology, Stellenbosch. </w:t>
            </w:r>
            <w:hyperlink w:history="1">
              <w:r w:rsidRPr="00EA3BA7">
                <w:rPr>
                  <w:rStyle w:val="Hyperlink"/>
                  <w:rFonts w:ascii="Times New Roman" w:eastAsia="Times New Roman" w:hAnsi="Times New Roman" w:cs="Times New Roman"/>
                  <w:sz w:val="20"/>
                  <w:szCs w:val="20"/>
                  <w:lang w:eastAsia="en-ZA"/>
                </w:rPr>
                <w:t>http://dx.doi.org/10.5281/zenodo.3947613</w:t>
              </w:r>
            </w:hyperlink>
            <w:r w:rsidRPr="004D1E6F">
              <w:rPr>
                <w:rFonts w:ascii="Times New Roman" w:eastAsia="Times New Roman" w:hAnsi="Times New Roman" w:cs="Times New Roman"/>
                <w:sz w:val="20"/>
                <w:szCs w:val="20"/>
                <w:lang w:eastAsia="en-ZA"/>
              </w:rPr>
              <w:t>.</w:t>
            </w:r>
          </w:p>
          <w:p w14:paraId="1CF5EB8E" w14:textId="77777777" w:rsidR="002D7080" w:rsidRPr="0002275A" w:rsidRDefault="002D7080" w:rsidP="00415023">
            <w:pPr>
              <w:ind w:left="357" w:hanging="357"/>
              <w:contextualSpacing/>
              <w:jc w:val="both"/>
              <w:rPr>
                <w:rFonts w:ascii="Times New Roman" w:eastAsia="Times New Roman" w:hAnsi="Times New Roman" w:cs="Times New Roman"/>
                <w:sz w:val="20"/>
                <w:szCs w:val="20"/>
                <w:lang w:eastAsia="en-ZA"/>
              </w:rPr>
            </w:pPr>
            <w:r w:rsidRPr="00950CF7">
              <w:rPr>
                <w:rFonts w:ascii="Times New Roman" w:hAnsi="Times New Roman" w:cs="Times New Roman"/>
                <w:color w:val="000000" w:themeColor="text1"/>
                <w:sz w:val="20"/>
                <w:szCs w:val="20"/>
                <w:shd w:val="clear" w:color="auto" w:fill="FFFFFF"/>
              </w:rPr>
              <w:t xml:space="preserve">Wilson, J. R., &amp; Kumschick, S., 2024, ‘The regulation of alien species in South Africa’, </w:t>
            </w:r>
            <w:r w:rsidRPr="00950CF7">
              <w:rPr>
                <w:rFonts w:ascii="Times New Roman" w:hAnsi="Times New Roman" w:cs="Times New Roman"/>
                <w:i/>
                <w:iCs/>
                <w:color w:val="000000" w:themeColor="text1"/>
                <w:sz w:val="20"/>
                <w:szCs w:val="20"/>
                <w:shd w:val="clear" w:color="auto" w:fill="FFFFFF"/>
              </w:rPr>
              <w:t>South African Journal of Science</w:t>
            </w:r>
            <w:r w:rsidRPr="00950CF7">
              <w:rPr>
                <w:rFonts w:ascii="Times New Roman" w:hAnsi="Times New Roman" w:cs="Times New Roman"/>
                <w:color w:val="000000" w:themeColor="text1"/>
                <w:sz w:val="20"/>
                <w:szCs w:val="20"/>
                <w:shd w:val="clear" w:color="auto" w:fill="FFFFFF"/>
              </w:rPr>
              <w:t>, 120(5/6).</w:t>
            </w:r>
            <w:r>
              <w:rPr>
                <w:rFonts w:ascii="Times New Roman" w:hAnsi="Times New Roman" w:cs="Times New Roman"/>
                <w:color w:val="000000" w:themeColor="text1"/>
                <w:sz w:val="20"/>
                <w:szCs w:val="20"/>
                <w:shd w:val="clear" w:color="auto" w:fill="FFFFFF"/>
              </w:rPr>
              <w:t xml:space="preserve"> </w:t>
            </w:r>
            <w:hyperlink r:id="rId299" w:history="1">
              <w:r w:rsidRPr="00A26A65">
                <w:rPr>
                  <w:rStyle w:val="Hyperlink"/>
                  <w:rFonts w:ascii="Times New Roman" w:hAnsi="Times New Roman" w:cs="Times New Roman"/>
                  <w:sz w:val="20"/>
                  <w:szCs w:val="20"/>
                  <w:shd w:val="clear" w:color="auto" w:fill="FFFFFF"/>
                </w:rPr>
                <w:t>https://doi.org/10.17159/sajs.2024/17002</w:t>
              </w:r>
            </w:hyperlink>
            <w:r w:rsidRPr="00A26A65">
              <w:rPr>
                <w:rFonts w:ascii="Times New Roman" w:hAnsi="Times New Roman" w:cs="Times New Roman"/>
                <w:color w:val="000000" w:themeColor="text1"/>
                <w:sz w:val="20"/>
                <w:szCs w:val="20"/>
                <w:shd w:val="clear" w:color="auto" w:fill="FFFFFF"/>
              </w:rPr>
              <w:t>.</w:t>
            </w:r>
          </w:p>
        </w:tc>
      </w:tr>
    </w:tbl>
    <w:p w14:paraId="267C863D"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0"/>
        <w:tblW w:w="9067" w:type="dxa"/>
        <w:tblLook w:val="04A0" w:firstRow="1" w:lastRow="0" w:firstColumn="1" w:lastColumn="0" w:noHBand="0" w:noVBand="1"/>
      </w:tblPr>
      <w:tblGrid>
        <w:gridCol w:w="5240"/>
        <w:gridCol w:w="3827"/>
      </w:tblGrid>
      <w:tr w:rsidR="002D7080" w:rsidRPr="004D1E6F" w14:paraId="533B32A8" w14:textId="77777777" w:rsidTr="002E2C37">
        <w:trPr>
          <w:trHeight w:val="206"/>
        </w:trPr>
        <w:tc>
          <w:tcPr>
            <w:tcW w:w="9067" w:type="dxa"/>
            <w:gridSpan w:val="2"/>
            <w:shd w:val="clear" w:color="auto" w:fill="F2F2F2" w:themeFill="background1" w:themeFillShade="F2"/>
          </w:tcPr>
          <w:p w14:paraId="12369693"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MAN2 Benefits of the Taxon</w:t>
            </w:r>
          </w:p>
        </w:tc>
      </w:tr>
      <w:tr w:rsidR="002D7080" w:rsidRPr="004D1E6F" w14:paraId="7C5CFD9B" w14:textId="77777777" w:rsidTr="002E2C37">
        <w:trPr>
          <w:trHeight w:val="242"/>
        </w:trPr>
        <w:tc>
          <w:tcPr>
            <w:tcW w:w="9067" w:type="dxa"/>
            <w:gridSpan w:val="2"/>
            <w:shd w:val="clear" w:color="auto" w:fill="F2F2F2" w:themeFill="background1" w:themeFillShade="F2"/>
          </w:tcPr>
          <w:p w14:paraId="21134C25"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MAN2a Socio-economic benefits of the </w:t>
            </w:r>
            <w:r w:rsidRPr="004D1E6F">
              <w:rPr>
                <w:rFonts w:ascii="Times New Roman" w:eastAsia="Times New Roman" w:hAnsi="Times New Roman" w:cs="Times New Roman"/>
                <w:b/>
                <w:i/>
                <w:sz w:val="20"/>
                <w:szCs w:val="20"/>
                <w:lang w:eastAsia="en-ZA"/>
              </w:rPr>
              <w:t>Taxon</w:t>
            </w:r>
          </w:p>
        </w:tc>
      </w:tr>
      <w:tr w:rsidR="002D7080" w:rsidRPr="004D1E6F" w14:paraId="39BE07F1" w14:textId="77777777" w:rsidTr="002E2C37">
        <w:trPr>
          <w:trHeight w:val="172"/>
        </w:trPr>
        <w:tc>
          <w:tcPr>
            <w:tcW w:w="5240" w:type="dxa"/>
          </w:tcPr>
          <w:p w14:paraId="167A1F2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lastRenderedPageBreak/>
              <w:t>Response: Low</w:t>
            </w:r>
          </w:p>
        </w:tc>
        <w:tc>
          <w:tcPr>
            <w:tcW w:w="3827" w:type="dxa"/>
          </w:tcPr>
          <w:p w14:paraId="660A71D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Confidence: Low </w:t>
            </w:r>
          </w:p>
        </w:tc>
      </w:tr>
      <w:tr w:rsidR="002D7080" w:rsidRPr="004D1E6F" w14:paraId="1B108673" w14:textId="77777777" w:rsidTr="002E2C37">
        <w:trPr>
          <w:trHeight w:val="70"/>
        </w:trPr>
        <w:tc>
          <w:tcPr>
            <w:tcW w:w="9067" w:type="dxa"/>
            <w:gridSpan w:val="2"/>
          </w:tcPr>
          <w:p w14:paraId="4A43834A" w14:textId="7334F666"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B3294F">
              <w:rPr>
                <w:rFonts w:ascii="Times New Roman" w:eastAsia="Times New Roman" w:hAnsi="Times New Roman" w:cs="Times New Roman"/>
                <w:i/>
                <w:iCs/>
                <w:sz w:val="20"/>
                <w:szCs w:val="20"/>
                <w:lang w:eastAsia="en-ZA"/>
              </w:rPr>
              <w:t>Faxonius limosus</w:t>
            </w:r>
            <w:r w:rsidRPr="00B3294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has been used</w:t>
            </w:r>
            <w:r w:rsidRPr="00B3294F">
              <w:rPr>
                <w:rFonts w:ascii="Times New Roman" w:eastAsia="Times New Roman" w:hAnsi="Times New Roman" w:cs="Times New Roman"/>
                <w:sz w:val="20"/>
                <w:szCs w:val="20"/>
                <w:lang w:eastAsia="en-ZA"/>
              </w:rPr>
              <w:t xml:space="preserve"> as live bait</w:t>
            </w:r>
            <w:r>
              <w:rPr>
                <w:rFonts w:ascii="Times New Roman" w:eastAsia="Times New Roman" w:hAnsi="Times New Roman" w:cs="Times New Roman"/>
                <w:sz w:val="20"/>
                <w:szCs w:val="20"/>
                <w:lang w:eastAsia="en-ZA"/>
              </w:rPr>
              <w:t xml:space="preserve"> and the </w:t>
            </w:r>
            <w:r w:rsidRPr="00B3294F">
              <w:rPr>
                <w:rFonts w:ascii="Times New Roman" w:eastAsia="Times New Roman" w:hAnsi="Times New Roman" w:cs="Times New Roman"/>
                <w:sz w:val="20"/>
                <w:szCs w:val="20"/>
                <w:lang w:eastAsia="en-ZA"/>
              </w:rPr>
              <w:t xml:space="preserve">aquarium </w:t>
            </w:r>
            <w:r>
              <w:rPr>
                <w:rFonts w:ascii="Times New Roman" w:eastAsia="Times New Roman" w:hAnsi="Times New Roman" w:cs="Times New Roman"/>
                <w:sz w:val="20"/>
                <w:szCs w:val="20"/>
                <w:lang w:eastAsia="en-ZA"/>
              </w:rPr>
              <w:t xml:space="preserve">trade </w:t>
            </w:r>
            <w:r w:rsidRPr="00B3294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Holdich et al. 2006; </w:t>
            </w:r>
            <w:r w:rsidRPr="00B3294F">
              <w:rPr>
                <w:rFonts w:ascii="Times New Roman" w:eastAsia="Times New Roman" w:hAnsi="Times New Roman" w:cs="Times New Roman"/>
                <w:sz w:val="20"/>
                <w:szCs w:val="20"/>
                <w:lang w:eastAsia="en-ZA"/>
              </w:rPr>
              <w:t>Holdich</w:t>
            </w:r>
            <w:r>
              <w:rPr>
                <w:rFonts w:ascii="Times New Roman" w:eastAsia="Times New Roman" w:hAnsi="Times New Roman" w:cs="Times New Roman"/>
                <w:sz w:val="20"/>
                <w:szCs w:val="20"/>
                <w:lang w:eastAsia="en-ZA"/>
              </w:rPr>
              <w:t xml:space="preserve"> &amp;</w:t>
            </w:r>
            <w:r w:rsidRPr="00B3294F">
              <w:rPr>
                <w:rFonts w:ascii="Times New Roman" w:eastAsia="Times New Roman" w:hAnsi="Times New Roman" w:cs="Times New Roman"/>
                <w:sz w:val="20"/>
                <w:szCs w:val="20"/>
                <w:lang w:eastAsia="en-ZA"/>
              </w:rPr>
              <w:t xml:space="preserve"> Black 2007</w:t>
            </w:r>
            <w:r>
              <w:rPr>
                <w:rFonts w:ascii="Times New Roman" w:eastAsia="Times New Roman" w:hAnsi="Times New Roman" w:cs="Times New Roman"/>
                <w:sz w:val="20"/>
                <w:szCs w:val="20"/>
                <w:lang w:eastAsia="en-ZA"/>
              </w:rPr>
              <w:t xml:space="preserve">; </w:t>
            </w:r>
            <w:r w:rsidRPr="00B3294F">
              <w:rPr>
                <w:rFonts w:ascii="Times New Roman" w:eastAsia="Times New Roman" w:hAnsi="Times New Roman" w:cs="Times New Roman"/>
                <w:sz w:val="20"/>
                <w:szCs w:val="20"/>
                <w:lang w:eastAsia="en-ZA"/>
              </w:rPr>
              <w:t>Aquiloni et al. 2010).</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No socio-economic benefits have been recorded to date in South Africa and even if </w:t>
            </w:r>
            <w:r w:rsidRPr="004D1E6F">
              <w:rPr>
                <w:rFonts w:ascii="Times New Roman" w:eastAsia="Times New Roman" w:hAnsi="Times New Roman" w:cs="Times New Roman"/>
                <w:i/>
                <w:color w:val="000000"/>
                <w:sz w:val="20"/>
                <w:szCs w:val="20"/>
                <w:lang w:eastAsia="en-ZA"/>
              </w:rPr>
              <w:t>F.</w:t>
            </w:r>
            <w:r w:rsidR="0024145A">
              <w:rPr>
                <w:rFonts w:ascii="Times New Roman" w:eastAsia="Times New Roman" w:hAnsi="Times New Roman" w:cs="Times New Roman"/>
                <w:i/>
                <w:color w:val="000000"/>
                <w:sz w:val="20"/>
                <w:szCs w:val="20"/>
                <w:lang w:eastAsia="en-ZA"/>
              </w:rPr>
              <w:t xml:space="preserve"> </w:t>
            </w:r>
            <w:r w:rsidR="005C56FC">
              <w:rPr>
                <w:rFonts w:ascii="Times New Roman" w:eastAsia="Times New Roman" w:hAnsi="Times New Roman" w:cs="Times New Roman"/>
                <w:i/>
                <w:color w:val="000000"/>
                <w:sz w:val="20"/>
                <w:szCs w:val="20"/>
                <w:lang w:eastAsia="en-ZA"/>
              </w:rPr>
              <w:t>limosus</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is present the benefits are likely to be low (Madzivanzira et al. 2021).</w:t>
            </w:r>
          </w:p>
        </w:tc>
      </w:tr>
      <w:tr w:rsidR="002D7080" w:rsidRPr="004D1E6F" w14:paraId="0172D6B1" w14:textId="77777777" w:rsidTr="002E2C37">
        <w:trPr>
          <w:trHeight w:val="70"/>
        </w:trPr>
        <w:tc>
          <w:tcPr>
            <w:tcW w:w="9067" w:type="dxa"/>
            <w:gridSpan w:val="2"/>
          </w:tcPr>
          <w:p w14:paraId="6402B813"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575CA9FC" w14:textId="77777777" w:rsidR="002D7080" w:rsidRPr="00B3294F" w:rsidRDefault="002D7080" w:rsidP="002E2C37">
            <w:pPr>
              <w:ind w:left="720" w:hanging="720"/>
              <w:contextualSpacing/>
              <w:jc w:val="both"/>
              <w:rPr>
                <w:rFonts w:ascii="Times New Roman" w:hAnsi="Times New Roman" w:cs="Times New Roman"/>
                <w:sz w:val="20"/>
                <w:szCs w:val="20"/>
              </w:rPr>
            </w:pPr>
            <w:r w:rsidRPr="00B3294F">
              <w:rPr>
                <w:rFonts w:ascii="Times New Roman" w:hAnsi="Times New Roman" w:cs="Times New Roman"/>
                <w:sz w:val="20"/>
                <w:szCs w:val="20"/>
                <w:shd w:val="clear" w:color="auto" w:fill="FFFFFF"/>
              </w:rPr>
              <w:t>Aquiloni, L., Tricarico, E.</w:t>
            </w:r>
            <w:r>
              <w:rPr>
                <w:rFonts w:ascii="Times New Roman" w:hAnsi="Times New Roman" w:cs="Times New Roman"/>
                <w:sz w:val="20"/>
                <w:szCs w:val="20"/>
                <w:shd w:val="clear" w:color="auto" w:fill="FFFFFF"/>
              </w:rPr>
              <w:t xml:space="preserve"> &amp; </w:t>
            </w:r>
            <w:r w:rsidRPr="00B3294F">
              <w:rPr>
                <w:rFonts w:ascii="Times New Roman" w:hAnsi="Times New Roman" w:cs="Times New Roman"/>
                <w:sz w:val="20"/>
                <w:szCs w:val="20"/>
                <w:shd w:val="clear" w:color="auto" w:fill="FFFFFF"/>
              </w:rPr>
              <w:t>Gherardi, F., 2010</w:t>
            </w:r>
            <w:r>
              <w:rPr>
                <w:rFonts w:ascii="Times New Roman" w:hAnsi="Times New Roman" w:cs="Times New Roman"/>
                <w:sz w:val="20"/>
                <w:szCs w:val="20"/>
                <w:shd w:val="clear" w:color="auto" w:fill="FFFFFF"/>
              </w:rPr>
              <w:t>, ‘</w:t>
            </w:r>
            <w:r w:rsidRPr="00B3294F">
              <w:rPr>
                <w:rFonts w:ascii="Times New Roman" w:hAnsi="Times New Roman" w:cs="Times New Roman"/>
                <w:sz w:val="20"/>
                <w:szCs w:val="20"/>
                <w:shd w:val="clear" w:color="auto" w:fill="FFFFFF"/>
              </w:rPr>
              <w:t>Crayfish in Italy: distribution, threats and management</w:t>
            </w:r>
            <w:r>
              <w:rPr>
                <w:rFonts w:ascii="Times New Roman" w:hAnsi="Times New Roman" w:cs="Times New Roman"/>
                <w:sz w:val="20"/>
                <w:szCs w:val="20"/>
                <w:shd w:val="clear" w:color="auto" w:fill="FFFFFF"/>
              </w:rPr>
              <w:t xml:space="preserve">, </w:t>
            </w:r>
            <w:r w:rsidRPr="00B3294F">
              <w:rPr>
                <w:rStyle w:val="Emphasis"/>
                <w:rFonts w:ascii="Times New Roman" w:hAnsi="Times New Roman" w:cs="Times New Roman"/>
                <w:sz w:val="20"/>
                <w:szCs w:val="20"/>
                <w:shd w:val="clear" w:color="auto" w:fill="FFFFFF"/>
              </w:rPr>
              <w:t>International Aquatic Research</w:t>
            </w:r>
            <w:r w:rsidRPr="00B3294F">
              <w:rPr>
                <w:rFonts w:ascii="Times New Roman" w:hAnsi="Times New Roman" w:cs="Times New Roman"/>
                <w:sz w:val="20"/>
                <w:szCs w:val="20"/>
                <w:shd w:val="clear" w:color="auto" w:fill="FFFFFF"/>
              </w:rPr>
              <w:t>, 2(1)</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 1-14. </w:t>
            </w:r>
            <w:hyperlink w:tgtFrame="_blank" w:history="1">
              <w:r w:rsidRPr="00B3294F">
                <w:rPr>
                  <w:rStyle w:val="Hyperlink"/>
                  <w:rFonts w:ascii="Times New Roman" w:hAnsi="Times New Roman" w:cs="Times New Roman"/>
                  <w:sz w:val="20"/>
                  <w:szCs w:val="20"/>
                  <w:shd w:val="clear" w:color="auto" w:fill="FFFFFF"/>
                </w:rPr>
                <w:t>http://www.intelaquares.com/doc/1b.pdf</w:t>
              </w:r>
            </w:hyperlink>
          </w:p>
          <w:p w14:paraId="18F216C5" w14:textId="77777777" w:rsidR="002D7080" w:rsidRDefault="002D7080" w:rsidP="002E2C37">
            <w:pPr>
              <w:ind w:left="720" w:hanging="720"/>
              <w:contextualSpacing/>
              <w:jc w:val="both"/>
              <w:rPr>
                <w:rFonts w:ascii="Times New Roman" w:hAnsi="Times New Roman" w:cs="Times New Roman"/>
                <w:sz w:val="20"/>
                <w:szCs w:val="20"/>
              </w:rPr>
            </w:pPr>
            <w:r w:rsidRPr="00B3294F">
              <w:rPr>
                <w:rFonts w:ascii="Times New Roman" w:hAnsi="Times New Roman" w:cs="Times New Roman"/>
                <w:sz w:val="20"/>
                <w:szCs w:val="20"/>
                <w:shd w:val="clear" w:color="auto" w:fill="FFFFFF"/>
              </w:rPr>
              <w:t>Holdich, D.</w:t>
            </w:r>
            <w:r>
              <w:rPr>
                <w:rFonts w:ascii="Times New Roman" w:hAnsi="Times New Roman" w:cs="Times New Roman"/>
                <w:sz w:val="20"/>
                <w:szCs w:val="20"/>
                <w:shd w:val="clear" w:color="auto" w:fill="FFFFFF"/>
              </w:rPr>
              <w:t xml:space="preserve"> </w:t>
            </w:r>
            <w:r>
              <w:t>&amp;</w:t>
            </w:r>
            <w:r w:rsidRPr="00B3294F">
              <w:rPr>
                <w:rFonts w:ascii="Times New Roman" w:hAnsi="Times New Roman" w:cs="Times New Roman"/>
                <w:sz w:val="20"/>
                <w:szCs w:val="20"/>
                <w:shd w:val="clear" w:color="auto" w:fill="FFFFFF"/>
              </w:rPr>
              <w:t xml:space="preserve"> Black, J., 2007</w:t>
            </w:r>
            <w:r>
              <w:rPr>
                <w:rFonts w:ascii="Times New Roman" w:hAnsi="Times New Roman" w:cs="Times New Roman"/>
                <w:sz w:val="20"/>
                <w:szCs w:val="20"/>
                <w:shd w:val="clear" w:color="auto" w:fill="FFFFFF"/>
              </w:rPr>
              <w:t>, ‘</w:t>
            </w:r>
            <w:r w:rsidRPr="00B3294F">
              <w:rPr>
                <w:rFonts w:ascii="Times New Roman" w:hAnsi="Times New Roman" w:cs="Times New Roman"/>
                <w:sz w:val="20"/>
                <w:szCs w:val="20"/>
                <w:shd w:val="clear" w:color="auto" w:fill="FFFFFF"/>
              </w:rPr>
              <w:t xml:space="preserve">The spiny-cheek crayfish, </w:t>
            </w:r>
            <w:r w:rsidRPr="00B04D8E">
              <w:rPr>
                <w:rFonts w:ascii="Times New Roman" w:hAnsi="Times New Roman" w:cs="Times New Roman"/>
                <w:i/>
                <w:iCs/>
                <w:sz w:val="20"/>
                <w:szCs w:val="20"/>
                <w:shd w:val="clear" w:color="auto" w:fill="FFFFFF"/>
              </w:rPr>
              <w:t>Orconectes limosus</w:t>
            </w:r>
            <w:r w:rsidRPr="00B3294F">
              <w:rPr>
                <w:rFonts w:ascii="Times New Roman" w:hAnsi="Times New Roman" w:cs="Times New Roman"/>
                <w:sz w:val="20"/>
                <w:szCs w:val="20"/>
                <w:shd w:val="clear" w:color="auto" w:fill="FFFFFF"/>
              </w:rPr>
              <w:t xml:space="preserve"> (Rafinesque, 1817) [Crustacea: Decapoda: Cambaridae], digs into the UK</w:t>
            </w:r>
            <w:r>
              <w:rPr>
                <w:rFonts w:ascii="Times New Roman" w:hAnsi="Times New Roman" w:cs="Times New Roman"/>
                <w:sz w:val="20"/>
                <w:szCs w:val="20"/>
                <w:shd w:val="clear" w:color="auto" w:fill="FFFFFF"/>
              </w:rPr>
              <w:t xml:space="preserve">’, </w:t>
            </w:r>
            <w:r w:rsidRPr="00B3294F">
              <w:rPr>
                <w:rStyle w:val="Emphasis"/>
                <w:rFonts w:ascii="Times New Roman" w:hAnsi="Times New Roman" w:cs="Times New Roman"/>
                <w:sz w:val="20"/>
                <w:szCs w:val="20"/>
                <w:shd w:val="clear" w:color="auto" w:fill="FFFFFF"/>
              </w:rPr>
              <w:t>Aquatic Invasions</w:t>
            </w:r>
            <w:r w:rsidRPr="00B3294F">
              <w:rPr>
                <w:rFonts w:ascii="Times New Roman" w:hAnsi="Times New Roman" w:cs="Times New Roman"/>
                <w:sz w:val="20"/>
                <w:szCs w:val="20"/>
                <w:shd w:val="clear" w:color="auto" w:fill="FFFFFF"/>
              </w:rPr>
              <w:t>, 2(1)</w:t>
            </w:r>
            <w:r>
              <w:rPr>
                <w:rFonts w:ascii="Times New Roman" w:hAnsi="Times New Roman" w:cs="Times New Roman"/>
                <w:sz w:val="20"/>
                <w:szCs w:val="20"/>
                <w:shd w:val="clear" w:color="auto" w:fill="FFFFFF"/>
              </w:rPr>
              <w:t>,</w:t>
            </w:r>
            <w:r w:rsidRPr="00B3294F">
              <w:rPr>
                <w:rFonts w:ascii="Times New Roman" w:hAnsi="Times New Roman" w:cs="Times New Roman"/>
                <w:sz w:val="20"/>
                <w:szCs w:val="20"/>
                <w:shd w:val="clear" w:color="auto" w:fill="FFFFFF"/>
              </w:rPr>
              <w:t xml:space="preserve"> 1-16. </w:t>
            </w:r>
            <w:hyperlink w:tgtFrame="_blank" w:history="1">
              <w:r w:rsidRPr="00B3294F">
                <w:rPr>
                  <w:rStyle w:val="Hyperlink"/>
                  <w:rFonts w:ascii="Times New Roman" w:hAnsi="Times New Roman" w:cs="Times New Roman"/>
                  <w:sz w:val="20"/>
                  <w:szCs w:val="20"/>
                  <w:shd w:val="clear" w:color="auto" w:fill="FFFFFF"/>
                </w:rPr>
                <w:t>http://www.aquaticinvasions.ru/2007/AI_2007_2_1_Holdich_Black.pdf</w:t>
              </w:r>
            </w:hyperlink>
          </w:p>
          <w:p w14:paraId="1A603E76" w14:textId="77777777" w:rsidR="002D7080" w:rsidRPr="00950CF7" w:rsidRDefault="002D7080" w:rsidP="002E2C37">
            <w:pPr>
              <w:ind w:left="720" w:hanging="720"/>
              <w:contextualSpacing/>
              <w:rPr>
                <w:rFonts w:ascii="Times New Roman" w:hAnsi="Times New Roman" w:cs="Times New Roman"/>
                <w:color w:val="000000" w:themeColor="text1"/>
                <w:sz w:val="20"/>
                <w:szCs w:val="20"/>
                <w:shd w:val="clear" w:color="auto" w:fill="FFFFFF"/>
              </w:rPr>
            </w:pPr>
            <w:r w:rsidRPr="00950CF7">
              <w:rPr>
                <w:rFonts w:ascii="Times New Roman" w:hAnsi="Times New Roman" w:cs="Times New Roman"/>
                <w:color w:val="000000" w:themeColor="text1"/>
                <w:sz w:val="20"/>
                <w:szCs w:val="20"/>
                <w:shd w:val="clear" w:color="auto" w:fill="FFFFFF"/>
              </w:rPr>
              <w:t>Holdich, D.M., Haffner, P. &amp; Noël, P., 2006, Species files. In: </w:t>
            </w:r>
            <w:r w:rsidRPr="00950CF7">
              <w:rPr>
                <w:rStyle w:val="Emphasis"/>
                <w:rFonts w:ascii="Times New Roman" w:hAnsi="Times New Roman" w:cs="Times New Roman"/>
                <w:color w:val="000000" w:themeColor="text1"/>
                <w:sz w:val="20"/>
                <w:szCs w:val="20"/>
                <w:shd w:val="clear" w:color="auto" w:fill="FFFFFF"/>
              </w:rPr>
              <w:t>Atlas of Crayfish in Europe</w:t>
            </w:r>
            <w:r w:rsidRPr="00950CF7">
              <w:rPr>
                <w:rFonts w:ascii="Times New Roman" w:hAnsi="Times New Roman" w:cs="Times New Roman"/>
                <w:color w:val="000000" w:themeColor="text1"/>
                <w:sz w:val="20"/>
                <w:szCs w:val="20"/>
                <w:shd w:val="clear" w:color="auto" w:fill="FFFFFF"/>
              </w:rPr>
              <w:t>, [ed. by Souty-Grosset, C., Holdich, D.M., Noël, P.Y., Reynolds, J.D., Haffner, P]. Paris, France: Museum national d’Histoire naturelle. 50-129.</w:t>
            </w:r>
          </w:p>
          <w:p w14:paraId="794905DD" w14:textId="77777777"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950CF7">
              <w:rPr>
                <w:rFonts w:ascii="Times New Roman" w:eastAsia="Calibri" w:hAnsi="Times New Roman" w:cs="Times New Roman"/>
                <w:color w:val="000000" w:themeColor="text1"/>
                <w:sz w:val="20"/>
                <w:szCs w:val="20"/>
              </w:rPr>
              <w:t>Madzivanzira, T.C., South, J., Wood, L.E., Nunes, A.L.</w:t>
            </w:r>
            <w:r w:rsidRPr="00950CF7">
              <w:rPr>
                <w:rFonts w:ascii="Times New Roman" w:eastAsia="Times New Roman" w:hAnsi="Times New Roman" w:cs="Times New Roman"/>
                <w:color w:val="000000" w:themeColor="text1"/>
                <w:sz w:val="20"/>
                <w:szCs w:val="20"/>
                <w:lang w:eastAsia="en-ZA"/>
              </w:rPr>
              <w:t xml:space="preserve"> &amp; </w:t>
            </w:r>
            <w:r w:rsidRPr="00950CF7">
              <w:rPr>
                <w:rFonts w:ascii="Times New Roman" w:eastAsia="Calibri" w:hAnsi="Times New Roman" w:cs="Times New Roman"/>
                <w:color w:val="000000" w:themeColor="text1"/>
                <w:sz w:val="20"/>
                <w:szCs w:val="20"/>
              </w:rPr>
              <w:t xml:space="preserve">Weyl, O.L.F., 2020, ‘A review of freshwater crayfish introductions in Africa’, </w:t>
            </w:r>
            <w:r w:rsidRPr="00950CF7">
              <w:rPr>
                <w:rFonts w:ascii="Times New Roman" w:eastAsia="Calibri" w:hAnsi="Times New Roman" w:cs="Times New Roman"/>
                <w:i/>
                <w:color w:val="000000" w:themeColor="text1"/>
                <w:sz w:val="20"/>
                <w:szCs w:val="20"/>
              </w:rPr>
              <w:t>Reviews in</w:t>
            </w:r>
            <w:r w:rsidRPr="00950CF7">
              <w:rPr>
                <w:rFonts w:ascii="Times New Roman" w:eastAsia="Times New Roman" w:hAnsi="Times New Roman" w:cs="Times New Roman"/>
                <w:i/>
                <w:color w:val="000000" w:themeColor="text1"/>
                <w:sz w:val="20"/>
                <w:szCs w:val="20"/>
                <w:lang w:eastAsia="en-ZA"/>
              </w:rPr>
              <w:t xml:space="preserve"> </w:t>
            </w:r>
            <w:r w:rsidRPr="00950CF7">
              <w:rPr>
                <w:rFonts w:ascii="Times New Roman" w:eastAsia="Calibri" w:hAnsi="Times New Roman" w:cs="Times New Roman"/>
                <w:i/>
                <w:color w:val="000000" w:themeColor="text1"/>
                <w:sz w:val="20"/>
                <w:szCs w:val="20"/>
              </w:rPr>
              <w:t>Fisheries Science &amp; Aquaculture</w:t>
            </w:r>
            <w:r w:rsidRPr="00950CF7">
              <w:rPr>
                <w:rFonts w:ascii="Times New Roman" w:eastAsia="Calibri" w:hAnsi="Times New Roman" w:cs="Times New Roman"/>
                <w:color w:val="000000" w:themeColor="text1"/>
                <w:sz w:val="20"/>
                <w:szCs w:val="20"/>
              </w:rPr>
              <w:t>,</w:t>
            </w:r>
            <w:r w:rsidRPr="00950CF7">
              <w:rPr>
                <w:rFonts w:ascii="Times New Roman" w:eastAsia="Calibri" w:hAnsi="Times New Roman" w:cs="Times New Roman"/>
                <w:i/>
                <w:color w:val="000000" w:themeColor="text1"/>
                <w:sz w:val="20"/>
                <w:szCs w:val="20"/>
              </w:rPr>
              <w:t xml:space="preserve"> </w:t>
            </w:r>
            <w:r w:rsidRPr="00950CF7">
              <w:rPr>
                <w:rFonts w:ascii="Times New Roman" w:eastAsia="Calibri" w:hAnsi="Times New Roman" w:cs="Times New Roman"/>
                <w:color w:val="000000" w:themeColor="text1"/>
                <w:sz w:val="20"/>
                <w:szCs w:val="20"/>
              </w:rPr>
              <w:t xml:space="preserve">1-21. </w:t>
            </w:r>
            <w:hyperlink r:id="rId300" w:history="1">
              <w:r w:rsidRPr="000B0DAE">
                <w:rPr>
                  <w:rStyle w:val="Hyperlink"/>
                  <w:rFonts w:ascii="Times New Roman" w:eastAsia="Calibri" w:hAnsi="Times New Roman" w:cs="Times New Roman"/>
                  <w:sz w:val="20"/>
                  <w:szCs w:val="20"/>
                </w:rPr>
                <w:t>https://doi.org/</w:t>
              </w:r>
              <w:r w:rsidRPr="000B0DAE">
                <w:rPr>
                  <w:rStyle w:val="Hyperlink"/>
                  <w:rFonts w:ascii="Times New Roman" w:eastAsia="Times New Roman" w:hAnsi="Times New Roman" w:cs="Times New Roman"/>
                  <w:sz w:val="20"/>
                  <w:szCs w:val="20"/>
                  <w:lang w:eastAsia="en-ZA"/>
                </w:rPr>
                <w:t>10.1080/23308249.2020.1802405</w:t>
              </w:r>
            </w:hyperlink>
            <w:r w:rsidRPr="00950CF7">
              <w:rPr>
                <w:rFonts w:ascii="Times New Roman" w:eastAsia="Times New Roman" w:hAnsi="Times New Roman" w:cs="Times New Roman"/>
                <w:color w:val="000000" w:themeColor="text1"/>
                <w:sz w:val="20"/>
                <w:szCs w:val="20"/>
                <w:lang w:eastAsia="en-ZA"/>
              </w:rPr>
              <w:t>.</w:t>
            </w:r>
            <w:r>
              <w:rPr>
                <w:rFonts w:ascii="Times New Roman" w:eastAsia="Times New Roman" w:hAnsi="Times New Roman" w:cs="Times New Roman"/>
                <w:color w:val="000000" w:themeColor="text1"/>
                <w:sz w:val="20"/>
                <w:szCs w:val="20"/>
                <w:lang w:eastAsia="en-ZA"/>
              </w:rPr>
              <w:t xml:space="preserve"> </w:t>
            </w:r>
          </w:p>
        </w:tc>
      </w:tr>
      <w:tr w:rsidR="002D7080" w:rsidRPr="004D1E6F" w14:paraId="5E19F535" w14:textId="77777777" w:rsidTr="002E2C37">
        <w:trPr>
          <w:trHeight w:val="242"/>
        </w:trPr>
        <w:tc>
          <w:tcPr>
            <w:tcW w:w="9067" w:type="dxa"/>
            <w:gridSpan w:val="2"/>
            <w:shd w:val="clear" w:color="auto" w:fill="F2F2F2" w:themeFill="background1" w:themeFillShade="F2"/>
          </w:tcPr>
          <w:p w14:paraId="2DA2EAE4"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 xml:space="preserve">MAN2b Environmental benefits of the </w:t>
            </w:r>
            <w:r w:rsidRPr="004D1E6F">
              <w:rPr>
                <w:rFonts w:ascii="Times New Roman" w:eastAsia="Times New Roman" w:hAnsi="Times New Roman" w:cs="Times New Roman"/>
                <w:b/>
                <w:i/>
                <w:color w:val="000000"/>
                <w:sz w:val="20"/>
                <w:szCs w:val="20"/>
                <w:lang w:eastAsia="en-ZA"/>
              </w:rPr>
              <w:t>Taxon</w:t>
            </w:r>
          </w:p>
        </w:tc>
      </w:tr>
      <w:tr w:rsidR="002D7080" w:rsidRPr="004D1E6F" w14:paraId="239AE3D9" w14:textId="77777777" w:rsidTr="002E2C37">
        <w:trPr>
          <w:trHeight w:val="259"/>
        </w:trPr>
        <w:tc>
          <w:tcPr>
            <w:tcW w:w="5240" w:type="dxa"/>
          </w:tcPr>
          <w:p w14:paraId="24E0E96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Response: Low </w:t>
            </w:r>
          </w:p>
        </w:tc>
        <w:tc>
          <w:tcPr>
            <w:tcW w:w="3827" w:type="dxa"/>
          </w:tcPr>
          <w:p w14:paraId="6367E3C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Confidence: High </w:t>
            </w:r>
          </w:p>
        </w:tc>
      </w:tr>
      <w:tr w:rsidR="002D7080" w:rsidRPr="004D1E6F" w14:paraId="61981B5A" w14:textId="77777777" w:rsidTr="002E2C37">
        <w:trPr>
          <w:trHeight w:val="70"/>
        </w:trPr>
        <w:tc>
          <w:tcPr>
            <w:tcW w:w="9067" w:type="dxa"/>
            <w:gridSpan w:val="2"/>
          </w:tcPr>
          <w:p w14:paraId="0823D46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sz w:val="20"/>
                <w:szCs w:val="20"/>
                <w:lang w:eastAsia="en-ZA"/>
              </w:rPr>
              <w:t xml:space="preserve">There are no recorded environmental benefits of </w:t>
            </w:r>
            <w:r w:rsidRPr="004D1E6F">
              <w:rPr>
                <w:rFonts w:ascii="Times New Roman" w:eastAsia="Times New Roman" w:hAnsi="Times New Roman" w:cs="Times New Roman"/>
                <w:i/>
                <w:sz w:val="20"/>
                <w:szCs w:val="20"/>
                <w:lang w:eastAsia="en-ZA"/>
              </w:rPr>
              <w:t xml:space="preserve">Faxonius </w:t>
            </w:r>
            <w:r>
              <w:rPr>
                <w:rFonts w:ascii="Times New Roman" w:eastAsia="Times New Roman" w:hAnsi="Times New Roman" w:cs="Times New Roman"/>
                <w:i/>
                <w:sz w:val="20"/>
                <w:szCs w:val="20"/>
                <w:lang w:eastAsia="en-ZA"/>
              </w:rPr>
              <w:t>limosus</w:t>
            </w:r>
            <w:r w:rsidRPr="004D1E6F">
              <w:rPr>
                <w:rFonts w:ascii="Times New Roman" w:eastAsia="Times New Roman" w:hAnsi="Times New Roman" w:cs="Times New Roman"/>
                <w:i/>
                <w:sz w:val="20"/>
                <w:szCs w:val="20"/>
                <w:lang w:eastAsia="en-ZA"/>
              </w:rPr>
              <w:t>.</w:t>
            </w:r>
          </w:p>
        </w:tc>
      </w:tr>
      <w:tr w:rsidR="002D7080" w:rsidRPr="004D1E6F" w14:paraId="72817482" w14:textId="77777777" w:rsidTr="002E2C37">
        <w:trPr>
          <w:trHeight w:val="70"/>
        </w:trPr>
        <w:tc>
          <w:tcPr>
            <w:tcW w:w="9067" w:type="dxa"/>
            <w:gridSpan w:val="2"/>
          </w:tcPr>
          <w:p w14:paraId="235E44C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References:</w:t>
            </w:r>
          </w:p>
        </w:tc>
      </w:tr>
    </w:tbl>
    <w:p w14:paraId="6B5FA6D8"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0"/>
        <w:tblW w:w="9067" w:type="dxa"/>
        <w:tblLook w:val="04A0" w:firstRow="1" w:lastRow="0" w:firstColumn="1" w:lastColumn="0" w:noHBand="0" w:noVBand="1"/>
      </w:tblPr>
      <w:tblGrid>
        <w:gridCol w:w="5240"/>
        <w:gridCol w:w="3827"/>
      </w:tblGrid>
      <w:tr w:rsidR="002D7080" w:rsidRPr="004D1E6F" w14:paraId="7AEFA33B" w14:textId="77777777" w:rsidTr="002E2C37">
        <w:trPr>
          <w:trHeight w:val="161"/>
        </w:trPr>
        <w:tc>
          <w:tcPr>
            <w:tcW w:w="9067" w:type="dxa"/>
            <w:gridSpan w:val="2"/>
            <w:shd w:val="clear" w:color="auto" w:fill="F2F2F2" w:themeFill="background1" w:themeFillShade="F2"/>
          </w:tcPr>
          <w:p w14:paraId="4F90A3FB"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MAN3 Ease of management</w:t>
            </w:r>
          </w:p>
        </w:tc>
      </w:tr>
      <w:tr w:rsidR="002D7080" w:rsidRPr="004D1E6F" w14:paraId="3C5D0D7B" w14:textId="77777777" w:rsidTr="002E2C37">
        <w:trPr>
          <w:trHeight w:val="197"/>
        </w:trPr>
        <w:tc>
          <w:tcPr>
            <w:tcW w:w="9067" w:type="dxa"/>
            <w:gridSpan w:val="2"/>
            <w:shd w:val="clear" w:color="auto" w:fill="F2F2F2" w:themeFill="background1" w:themeFillShade="F2"/>
          </w:tcPr>
          <w:p w14:paraId="56560079"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MAN3a How accessible are populations?</w:t>
            </w:r>
          </w:p>
        </w:tc>
      </w:tr>
      <w:tr w:rsidR="002D7080" w:rsidRPr="004D1E6F" w14:paraId="4C337670" w14:textId="77777777" w:rsidTr="002E2C37">
        <w:trPr>
          <w:trHeight w:val="183"/>
        </w:trPr>
        <w:tc>
          <w:tcPr>
            <w:tcW w:w="5240" w:type="dxa"/>
          </w:tcPr>
          <w:p w14:paraId="58DAF44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Response: 2 (difficult to access)</w:t>
            </w:r>
          </w:p>
        </w:tc>
        <w:tc>
          <w:tcPr>
            <w:tcW w:w="3827" w:type="dxa"/>
          </w:tcPr>
          <w:p w14:paraId="62D97A3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37488EC9" w14:textId="77777777" w:rsidTr="002E2C37">
        <w:trPr>
          <w:trHeight w:val="163"/>
        </w:trPr>
        <w:tc>
          <w:tcPr>
            <w:tcW w:w="9067" w:type="dxa"/>
            <w:gridSpan w:val="2"/>
          </w:tcPr>
          <w:p w14:paraId="6D537F5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Rationale:</w:t>
            </w:r>
            <w:r w:rsidRPr="004D1E6F">
              <w:rPr>
                <w:rFonts w:ascii="Times New Roman" w:eastAsia="Times New Roman" w:hAnsi="Times New Roman" w:cs="Times New Roman"/>
                <w:i/>
                <w:sz w:val="20"/>
                <w:szCs w:val="20"/>
                <w:lang w:eastAsia="en-ZA"/>
              </w:rPr>
              <w:t xml:space="preserve"> </w:t>
            </w:r>
            <w:r w:rsidRPr="004D1E6F">
              <w:rPr>
                <w:rFonts w:ascii="Times New Roman" w:eastAsia="Times New Roman" w:hAnsi="Times New Roman" w:cs="Times New Roman"/>
                <w:sz w:val="20"/>
                <w:szCs w:val="20"/>
                <w:lang w:eastAsia="en-ZA"/>
              </w:rPr>
              <w:t xml:space="preserve">There are no locality records for </w:t>
            </w:r>
            <w:r w:rsidRPr="004D1E6F">
              <w:rPr>
                <w:rFonts w:ascii="Times New Roman" w:eastAsia="Times New Roman" w:hAnsi="Times New Roman" w:cs="Times New Roman"/>
                <w:i/>
                <w:sz w:val="20"/>
                <w:szCs w:val="20"/>
                <w:lang w:eastAsia="en-ZA"/>
              </w:rPr>
              <w:t xml:space="preserve">Faxonius </w:t>
            </w:r>
            <w:r>
              <w:rPr>
                <w:rFonts w:ascii="Times New Roman" w:eastAsia="Times New Roman" w:hAnsi="Times New Roman" w:cs="Times New Roman"/>
                <w:i/>
                <w:sz w:val="20"/>
                <w:szCs w:val="20"/>
                <w:lang w:eastAsia="en-ZA"/>
              </w:rPr>
              <w:t>limosus</w:t>
            </w:r>
            <w:r w:rsidRPr="004D1E6F">
              <w:rPr>
                <w:rFonts w:ascii="Times New Roman" w:eastAsia="Times New Roman" w:hAnsi="Times New Roman" w:cs="Times New Roman"/>
                <w:sz w:val="20"/>
                <w:szCs w:val="20"/>
                <w:lang w:eastAsia="en-ZA"/>
              </w:rPr>
              <w:t xml:space="preserve"> in South Africa (Madzivanzira et al. 202</w:t>
            </w:r>
            <w:r>
              <w:rPr>
                <w:rFonts w:ascii="Times New Roman" w:eastAsia="Times New Roman" w:hAnsi="Times New Roman" w:cs="Times New Roman"/>
                <w:sz w:val="20"/>
                <w:szCs w:val="20"/>
                <w:lang w:eastAsia="en-ZA"/>
              </w:rPr>
              <w:t>0</w:t>
            </w:r>
            <w:r w:rsidRPr="004D1E6F">
              <w:rPr>
                <w:rFonts w:ascii="Times New Roman" w:eastAsia="Times New Roman" w:hAnsi="Times New Roman" w:cs="Times New Roman"/>
                <w:sz w:val="20"/>
                <w:szCs w:val="20"/>
                <w:lang w:eastAsia="en-ZA"/>
              </w:rPr>
              <w:t>; Nunes et al. 2017). However, given that it is an aquatic species, accessibility is likely to be difficult.</w:t>
            </w:r>
          </w:p>
        </w:tc>
      </w:tr>
      <w:tr w:rsidR="002D7080" w:rsidRPr="004D1E6F" w14:paraId="090947A2" w14:textId="77777777" w:rsidTr="002E2C37">
        <w:trPr>
          <w:trHeight w:val="70"/>
        </w:trPr>
        <w:tc>
          <w:tcPr>
            <w:tcW w:w="9067" w:type="dxa"/>
            <w:gridSpan w:val="2"/>
          </w:tcPr>
          <w:p w14:paraId="759A83C4"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43BDF2BC" w14:textId="77777777" w:rsidR="002D7080"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Calibri" w:hAnsi="Times New Roman" w:cs="Times New Roman"/>
                <w:sz w:val="20"/>
                <w:szCs w:val="20"/>
              </w:rPr>
              <w:t>Madzivanzira, T.C., South, J., Wood, L.E., Nunes, A.L.</w:t>
            </w:r>
            <w:r w:rsidRPr="004D1E6F">
              <w:rPr>
                <w:rFonts w:ascii="Times New Roman" w:eastAsia="Times New Roman" w:hAnsi="Times New Roman" w:cs="Times New Roman"/>
                <w:color w:val="000000"/>
                <w:sz w:val="20"/>
                <w:szCs w:val="20"/>
                <w:lang w:eastAsia="en-ZA"/>
              </w:rPr>
              <w:t xml:space="preserve"> &amp; </w:t>
            </w:r>
            <w:r w:rsidRPr="004D1E6F">
              <w:rPr>
                <w:rFonts w:ascii="Times New Roman" w:eastAsia="Calibri" w:hAnsi="Times New Roman" w:cs="Times New Roman"/>
                <w:sz w:val="20"/>
                <w:szCs w:val="20"/>
              </w:rPr>
              <w:t xml:space="preserve">Weyl, O.L.F., 2020, ‘A review of freshwater crayfish introductions in Africa’, </w:t>
            </w:r>
            <w:r w:rsidRPr="004D1E6F">
              <w:rPr>
                <w:rFonts w:ascii="Times New Roman" w:eastAsia="Calibri" w:hAnsi="Times New Roman" w:cs="Times New Roman"/>
                <w:i/>
                <w:sz w:val="20"/>
                <w:szCs w:val="20"/>
              </w:rPr>
              <w:t>Reviews in</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Calibri" w:hAnsi="Times New Roman" w:cs="Times New Roman"/>
                <w:i/>
                <w:sz w:val="20"/>
                <w:szCs w:val="20"/>
              </w:rPr>
              <w:t>Fisheries Science &amp; Aquaculture</w:t>
            </w:r>
            <w:r w:rsidRPr="004D1E6F">
              <w:rPr>
                <w:rFonts w:ascii="Times New Roman" w:eastAsia="Calibri" w:hAnsi="Times New Roman" w:cs="Times New Roman"/>
                <w:sz w:val="20"/>
                <w:szCs w:val="20"/>
              </w:rPr>
              <w:t>,</w:t>
            </w:r>
            <w:r w:rsidRPr="004D1E6F">
              <w:rPr>
                <w:rFonts w:ascii="Times New Roman" w:eastAsia="Calibri" w:hAnsi="Times New Roman" w:cs="Times New Roman"/>
                <w:i/>
                <w:sz w:val="20"/>
                <w:szCs w:val="20"/>
              </w:rPr>
              <w:t xml:space="preserve"> </w:t>
            </w:r>
            <w:r w:rsidRPr="004D1E6F">
              <w:rPr>
                <w:rFonts w:ascii="Times New Roman" w:eastAsia="Calibri" w:hAnsi="Times New Roman" w:cs="Times New Roman"/>
                <w:sz w:val="20"/>
                <w:szCs w:val="20"/>
              </w:rPr>
              <w:t xml:space="preserve">1-21. </w:t>
            </w:r>
            <w:hyperlink w:history="1">
              <w:r w:rsidRPr="00491FC0">
                <w:rPr>
                  <w:rStyle w:val="Hyperlink"/>
                  <w:rFonts w:ascii="Times New Roman" w:eastAsia="Calibri" w:hAnsi="Times New Roman" w:cs="Times New Roman"/>
                  <w:sz w:val="20"/>
                  <w:szCs w:val="20"/>
                </w:rPr>
                <w:t>https://doi.org/</w:t>
              </w:r>
              <w:r w:rsidRPr="00491FC0">
                <w:rPr>
                  <w:rStyle w:val="Hyperlink"/>
                  <w:rFonts w:ascii="Times New Roman" w:eastAsia="Times New Roman" w:hAnsi="Times New Roman" w:cs="Times New Roman"/>
                  <w:sz w:val="20"/>
                  <w:szCs w:val="20"/>
                  <w:lang w:eastAsia="en-ZA"/>
                </w:rPr>
                <w:t>10.1080/23308249.2020.1802405</w:t>
              </w:r>
            </w:hyperlink>
            <w:r w:rsidRPr="004D1E6F">
              <w:rPr>
                <w:rFonts w:ascii="Times New Roman" w:eastAsia="Times New Roman" w:hAnsi="Times New Roman" w:cs="Times New Roman"/>
                <w:color w:val="000000"/>
                <w:sz w:val="20"/>
                <w:szCs w:val="20"/>
                <w:lang w:eastAsia="en-ZA"/>
              </w:rPr>
              <w:t>.</w:t>
            </w:r>
          </w:p>
          <w:p w14:paraId="6915EBF0"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w:t>
            </w:r>
            <w:r w:rsidRPr="004D1E6F">
              <w:rPr>
                <w:rFonts w:ascii="Times New Roman" w:eastAsia="Times New Roman" w:hAnsi="Times New Roman" w:cs="Times New Roman"/>
                <w:color w:val="000000"/>
                <w:sz w:val="20"/>
                <w:szCs w:val="20"/>
                <w:lang w:eastAsia="en-ZA"/>
              </w:rPr>
              <w:t xml:space="preserve"> </w:t>
            </w:r>
            <w:hyperlink r:id="rId301" w:history="1">
              <w:r w:rsidRPr="000B0DAE">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tc>
      </w:tr>
      <w:tr w:rsidR="002D7080" w:rsidRPr="004D1E6F" w14:paraId="5F5DB8ED" w14:textId="77777777" w:rsidTr="002E2C37">
        <w:trPr>
          <w:trHeight w:val="242"/>
        </w:trPr>
        <w:tc>
          <w:tcPr>
            <w:tcW w:w="9067" w:type="dxa"/>
            <w:gridSpan w:val="2"/>
            <w:shd w:val="clear" w:color="auto" w:fill="F2F2F2" w:themeFill="background1" w:themeFillShade="F2"/>
          </w:tcPr>
          <w:p w14:paraId="440DC57A"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MAN3b Is detectability critically time-dependent?</w:t>
            </w:r>
          </w:p>
        </w:tc>
      </w:tr>
      <w:tr w:rsidR="002D7080" w:rsidRPr="004D1E6F" w14:paraId="7BB8E303" w14:textId="77777777" w:rsidTr="002E2C37">
        <w:trPr>
          <w:trHeight w:val="183"/>
        </w:trPr>
        <w:tc>
          <w:tcPr>
            <w:tcW w:w="5240" w:type="dxa"/>
          </w:tcPr>
          <w:p w14:paraId="298C539C" w14:textId="77777777" w:rsidR="002D7080" w:rsidRPr="004D1E6F" w:rsidRDefault="002D7080" w:rsidP="002E2C37">
            <w:pPr>
              <w:tabs>
                <w:tab w:val="left" w:pos="1481"/>
              </w:tabs>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Response: 2 (yes)</w:t>
            </w:r>
          </w:p>
        </w:tc>
        <w:tc>
          <w:tcPr>
            <w:tcW w:w="3827" w:type="dxa"/>
          </w:tcPr>
          <w:p w14:paraId="077056A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Confidence: High </w:t>
            </w:r>
          </w:p>
        </w:tc>
      </w:tr>
      <w:tr w:rsidR="002D7080" w:rsidRPr="004D1E6F" w14:paraId="6C4D0DC1" w14:textId="77777777" w:rsidTr="002E2C37">
        <w:trPr>
          <w:trHeight w:val="70"/>
        </w:trPr>
        <w:tc>
          <w:tcPr>
            <w:tcW w:w="9067" w:type="dxa"/>
            <w:gridSpan w:val="2"/>
          </w:tcPr>
          <w:p w14:paraId="7EE9D99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sz w:val="20"/>
                <w:szCs w:val="20"/>
                <w:lang w:eastAsia="en-ZA"/>
              </w:rPr>
              <w:t>Faxonius</w:t>
            </w:r>
            <w:r>
              <w:rPr>
                <w:rFonts w:ascii="Times New Roman" w:eastAsia="Times New Roman" w:hAnsi="Times New Roman" w:cs="Times New Roman"/>
                <w:i/>
                <w:sz w:val="20"/>
                <w:szCs w:val="20"/>
                <w:lang w:eastAsia="en-ZA"/>
              </w:rPr>
              <w:t xml:space="preserve"> limosus</w:t>
            </w:r>
            <w:r w:rsidRPr="004D1E6F">
              <w:rPr>
                <w:rFonts w:ascii="Times New Roman" w:eastAsia="Times New Roman" w:hAnsi="Times New Roman" w:cs="Times New Roman"/>
                <w:i/>
                <w:sz w:val="20"/>
                <w:szCs w:val="20"/>
                <w:lang w:eastAsia="en-ZA"/>
              </w:rPr>
              <w:t xml:space="preserve"> </w:t>
            </w:r>
            <w:r w:rsidRPr="004D1E6F">
              <w:rPr>
                <w:rFonts w:ascii="Times New Roman" w:eastAsia="Times New Roman" w:hAnsi="Times New Roman" w:cs="Times New Roman"/>
                <w:sz w:val="20"/>
                <w:szCs w:val="20"/>
                <w:lang w:eastAsia="en-ZA"/>
              </w:rPr>
              <w:t>is a small, largely nocturnal freshwater species that is difficult to detect (</w:t>
            </w:r>
            <w:r>
              <w:rPr>
                <w:rFonts w:ascii="Times New Roman" w:eastAsia="Times New Roman" w:hAnsi="Times New Roman" w:cs="Times New Roman"/>
                <w:sz w:val="20"/>
                <w:szCs w:val="20"/>
                <w:lang w:eastAsia="en-ZA"/>
              </w:rPr>
              <w:t xml:space="preserve">Hamr </w:t>
            </w:r>
            <w:r w:rsidRPr="004D1E6F">
              <w:rPr>
                <w:rFonts w:ascii="Times New Roman" w:hAnsi="Times New Roman" w:cs="Times New Roman"/>
                <w:sz w:val="20"/>
                <w:szCs w:val="20"/>
                <w:shd w:val="clear" w:color="auto" w:fill="FFFFFF"/>
              </w:rPr>
              <w:t>200</w:t>
            </w:r>
            <w:r>
              <w:rPr>
                <w:rFonts w:ascii="Times New Roman" w:hAnsi="Times New Roman" w:cs="Times New Roman"/>
                <w:sz w:val="20"/>
                <w:szCs w:val="20"/>
                <w:shd w:val="clear" w:color="auto" w:fill="FFFFFF"/>
              </w:rPr>
              <w:t>2</w:t>
            </w:r>
            <w:r w:rsidRPr="004D1E6F">
              <w:rPr>
                <w:rFonts w:ascii="Times New Roman" w:hAnsi="Times New Roman" w:cs="Times New Roman"/>
                <w:sz w:val="20"/>
                <w:szCs w:val="20"/>
                <w:shd w:val="clear" w:color="auto" w:fill="FFFFFF"/>
              </w:rPr>
              <w:t>).</w:t>
            </w:r>
          </w:p>
        </w:tc>
      </w:tr>
      <w:tr w:rsidR="002D7080" w:rsidRPr="004D1E6F" w14:paraId="799E7167" w14:textId="77777777" w:rsidTr="002E2C37">
        <w:trPr>
          <w:trHeight w:val="70"/>
        </w:trPr>
        <w:tc>
          <w:tcPr>
            <w:tcW w:w="9067" w:type="dxa"/>
            <w:gridSpan w:val="2"/>
          </w:tcPr>
          <w:p w14:paraId="6315A337" w14:textId="77777777" w:rsidR="002D7080" w:rsidRPr="00A8240A" w:rsidRDefault="002D7080" w:rsidP="002E2C37">
            <w:pPr>
              <w:ind w:left="450" w:hanging="450"/>
              <w:jc w:val="both"/>
              <w:rPr>
                <w:rFonts w:ascii="Times New Roman" w:eastAsia="Times New Roman" w:hAnsi="Times New Roman" w:cs="Times New Roman"/>
                <w:color w:val="000000"/>
                <w:sz w:val="20"/>
                <w:szCs w:val="20"/>
                <w:lang w:eastAsia="en-ZA"/>
              </w:rPr>
            </w:pPr>
            <w:r w:rsidRPr="00A8240A">
              <w:rPr>
                <w:rFonts w:ascii="Times New Roman" w:eastAsia="Times New Roman" w:hAnsi="Times New Roman" w:cs="Times New Roman"/>
                <w:color w:val="000000"/>
                <w:sz w:val="20"/>
                <w:szCs w:val="20"/>
                <w:lang w:eastAsia="en-ZA"/>
              </w:rPr>
              <w:t xml:space="preserve">References: </w:t>
            </w:r>
          </w:p>
          <w:p w14:paraId="502369CB" w14:textId="77777777" w:rsidR="002D7080" w:rsidRPr="00A8240A" w:rsidRDefault="002D7080" w:rsidP="002E2C37">
            <w:pPr>
              <w:ind w:left="720" w:hanging="720"/>
              <w:jc w:val="both"/>
              <w:rPr>
                <w:rFonts w:ascii="Times New Roman" w:eastAsia="Times New Roman" w:hAnsi="Times New Roman" w:cs="Times New Roman"/>
                <w:sz w:val="20"/>
                <w:szCs w:val="20"/>
                <w:lang w:eastAsia="en-ZA"/>
              </w:rPr>
            </w:pPr>
            <w:r w:rsidRPr="00950CF7">
              <w:rPr>
                <w:rFonts w:ascii="Times New Roman" w:hAnsi="Times New Roman" w:cs="Times New Roman"/>
                <w:color w:val="000000" w:themeColor="text1"/>
                <w:sz w:val="20"/>
                <w:szCs w:val="20"/>
                <w:shd w:val="clear" w:color="auto" w:fill="FFFFFF"/>
              </w:rPr>
              <w:lastRenderedPageBreak/>
              <w:t xml:space="preserve">Hamr, P., 2002. </w:t>
            </w:r>
            <w:r w:rsidRPr="00950CF7">
              <w:rPr>
                <w:rFonts w:ascii="Times New Roman" w:hAnsi="Times New Roman" w:cs="Times New Roman"/>
                <w:i/>
                <w:iCs/>
                <w:color w:val="000000" w:themeColor="text1"/>
                <w:sz w:val="20"/>
                <w:szCs w:val="20"/>
                <w:shd w:val="clear" w:color="auto" w:fill="FFFFFF"/>
              </w:rPr>
              <w:t>Orconectes</w:t>
            </w:r>
            <w:r w:rsidRPr="00950CF7">
              <w:rPr>
                <w:rFonts w:ascii="Times New Roman" w:hAnsi="Times New Roman" w:cs="Times New Roman"/>
                <w:color w:val="000000" w:themeColor="text1"/>
                <w:sz w:val="20"/>
                <w:szCs w:val="20"/>
                <w:shd w:val="clear" w:color="auto" w:fill="FFFFFF"/>
              </w:rPr>
              <w:t>. In: </w:t>
            </w:r>
            <w:r w:rsidRPr="00950CF7">
              <w:rPr>
                <w:rStyle w:val="Emphasis"/>
                <w:rFonts w:ascii="Times New Roman" w:hAnsi="Times New Roman" w:cs="Times New Roman"/>
                <w:color w:val="000000" w:themeColor="text1"/>
                <w:sz w:val="20"/>
                <w:szCs w:val="20"/>
                <w:shd w:val="clear" w:color="auto" w:fill="FFFFFF"/>
              </w:rPr>
              <w:t>Biology of freshwater crayfish</w:t>
            </w:r>
            <w:r w:rsidRPr="00950CF7">
              <w:rPr>
                <w:rFonts w:ascii="Times New Roman" w:hAnsi="Times New Roman" w:cs="Times New Roman"/>
                <w:color w:val="000000" w:themeColor="text1"/>
                <w:sz w:val="20"/>
                <w:szCs w:val="20"/>
                <w:shd w:val="clear" w:color="auto" w:fill="FFFFFF"/>
              </w:rPr>
              <w:t>, [ed. by Holdich, D.M.]. Oxford, UK: Blackwell Science. 585-608.</w:t>
            </w:r>
          </w:p>
        </w:tc>
      </w:tr>
      <w:tr w:rsidR="002D7080" w:rsidRPr="004D1E6F" w14:paraId="6ED89EC5" w14:textId="77777777" w:rsidTr="002E2C37">
        <w:trPr>
          <w:trHeight w:val="116"/>
        </w:trPr>
        <w:tc>
          <w:tcPr>
            <w:tcW w:w="9067" w:type="dxa"/>
            <w:gridSpan w:val="2"/>
            <w:shd w:val="clear" w:color="auto" w:fill="F2F2F2" w:themeFill="background1" w:themeFillShade="F2"/>
          </w:tcPr>
          <w:p w14:paraId="4E716265"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lastRenderedPageBreak/>
              <w:t>MAN3c Time to reproduction</w:t>
            </w:r>
          </w:p>
        </w:tc>
      </w:tr>
      <w:tr w:rsidR="002D7080" w:rsidRPr="004D1E6F" w14:paraId="12E4E290" w14:textId="77777777" w:rsidTr="002E2C37">
        <w:trPr>
          <w:trHeight w:val="183"/>
        </w:trPr>
        <w:tc>
          <w:tcPr>
            <w:tcW w:w="5240" w:type="dxa"/>
          </w:tcPr>
          <w:p w14:paraId="074FE2D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Response: 1 (1-3 years)</w:t>
            </w:r>
          </w:p>
        </w:tc>
        <w:tc>
          <w:tcPr>
            <w:tcW w:w="3827" w:type="dxa"/>
          </w:tcPr>
          <w:p w14:paraId="1EBEA5A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7ECBF09E" w14:textId="77777777" w:rsidTr="002E2C37">
        <w:trPr>
          <w:trHeight w:val="70"/>
        </w:trPr>
        <w:tc>
          <w:tcPr>
            <w:tcW w:w="9067" w:type="dxa"/>
            <w:gridSpan w:val="2"/>
          </w:tcPr>
          <w:p w14:paraId="71D4765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9E7247">
              <w:rPr>
                <w:rFonts w:ascii="Times New Roman" w:eastAsia="Times New Roman" w:hAnsi="Times New Roman" w:cs="Times New Roman"/>
                <w:i/>
                <w:sz w:val="20"/>
                <w:szCs w:val="20"/>
                <w:lang w:eastAsia="en-ZA"/>
              </w:rPr>
              <w:t>Faxonius</w:t>
            </w:r>
            <w:r>
              <w:rPr>
                <w:rFonts w:ascii="Times New Roman" w:eastAsia="Times New Roman" w:hAnsi="Times New Roman" w:cs="Times New Roman"/>
                <w:i/>
                <w:sz w:val="20"/>
                <w:szCs w:val="20"/>
                <w:lang w:eastAsia="en-ZA"/>
              </w:rPr>
              <w:t xml:space="preserve"> limosus</w:t>
            </w:r>
            <w:r w:rsidRPr="009E7247">
              <w:rPr>
                <w:rFonts w:ascii="Times New Roman" w:eastAsia="Times New Roman" w:hAnsi="Times New Roman" w:cs="Times New Roman"/>
                <w:sz w:val="20"/>
                <w:szCs w:val="20"/>
                <w:lang w:eastAsia="en-ZA"/>
              </w:rPr>
              <w:t xml:space="preserve"> reach sexual maturity in one-two years (Hamr 2002; </w:t>
            </w:r>
            <w:r w:rsidRPr="009E7247">
              <w:rPr>
                <w:rFonts w:ascii="Times New Roman" w:hAnsi="Times New Roman" w:cs="Times New Roman"/>
                <w:color w:val="333333"/>
                <w:sz w:val="20"/>
                <w:szCs w:val="20"/>
                <w:shd w:val="clear" w:color="auto" w:fill="FFFFFF"/>
              </w:rPr>
              <w:t>Alekhnovich</w:t>
            </w:r>
            <w:r w:rsidRPr="009E7247">
              <w:rPr>
                <w:rFonts w:ascii="Times New Roman" w:hAnsi="Times New Roman" w:cs="Times New Roman"/>
                <w:sz w:val="20"/>
                <w:szCs w:val="20"/>
                <w:shd w:val="clear" w:color="auto" w:fill="FFFFFF"/>
              </w:rPr>
              <w:t xml:space="preserve"> &amp; </w:t>
            </w:r>
            <w:r w:rsidRPr="009E7247">
              <w:rPr>
                <w:rFonts w:ascii="Times New Roman" w:hAnsi="Times New Roman" w:cs="Times New Roman"/>
                <w:color w:val="333333"/>
                <w:sz w:val="20"/>
                <w:szCs w:val="20"/>
                <w:shd w:val="clear" w:color="auto" w:fill="FFFFFF"/>
              </w:rPr>
              <w:t>Buřič 2017</w:t>
            </w:r>
            <w:r w:rsidRPr="009E7247">
              <w:rPr>
                <w:rFonts w:ascii="Times New Roman" w:hAnsi="Times New Roman" w:cs="Times New Roman"/>
                <w:sz w:val="20"/>
                <w:szCs w:val="20"/>
                <w:shd w:val="clear" w:color="auto" w:fill="FFFFFF"/>
              </w:rPr>
              <w:t>)</w:t>
            </w:r>
            <w:r w:rsidRPr="009E7247">
              <w:rPr>
                <w:rFonts w:ascii="Times New Roman" w:eastAsia="Times New Roman" w:hAnsi="Times New Roman" w:cs="Times New Roman"/>
                <w:sz w:val="20"/>
                <w:szCs w:val="20"/>
                <w:lang w:eastAsia="en-ZA"/>
              </w:rPr>
              <w:t>.</w:t>
            </w:r>
          </w:p>
        </w:tc>
      </w:tr>
      <w:tr w:rsidR="002D7080" w:rsidRPr="004D1E6F" w14:paraId="63D3BB23" w14:textId="77777777" w:rsidTr="002E2C37">
        <w:trPr>
          <w:trHeight w:val="70"/>
        </w:trPr>
        <w:tc>
          <w:tcPr>
            <w:tcW w:w="9067" w:type="dxa"/>
            <w:gridSpan w:val="2"/>
          </w:tcPr>
          <w:p w14:paraId="70DACC84" w14:textId="77777777" w:rsidR="002D7080" w:rsidRPr="004D1E6F" w:rsidRDefault="002D7080" w:rsidP="002E2C37">
            <w:pPr>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14E4CC2E" w14:textId="77777777" w:rsidR="002D7080" w:rsidRPr="00A26A65" w:rsidRDefault="002D7080" w:rsidP="002E2C37">
            <w:pPr>
              <w:ind w:left="720" w:hanging="720"/>
              <w:contextualSpacing/>
              <w:jc w:val="both"/>
              <w:rPr>
                <w:rFonts w:ascii="Times New Roman" w:hAnsi="Times New Roman" w:cs="Times New Roman"/>
                <w:sz w:val="20"/>
                <w:szCs w:val="20"/>
              </w:rPr>
            </w:pPr>
            <w:r w:rsidRPr="00A26A65">
              <w:rPr>
                <w:rFonts w:ascii="Times New Roman" w:hAnsi="Times New Roman" w:cs="Times New Roman"/>
                <w:sz w:val="20"/>
                <w:szCs w:val="20"/>
                <w:shd w:val="clear" w:color="auto" w:fill="FFFFFF"/>
              </w:rPr>
              <w:t xml:space="preserve">Alekhnovich, A. &amp; Buřič, M., 2017, NOBANIS – Invasive Alien Species Fact Sheet: </w:t>
            </w:r>
            <w:r w:rsidRPr="00A26A65">
              <w:rPr>
                <w:rFonts w:ascii="Times New Roman" w:hAnsi="Times New Roman" w:cs="Times New Roman"/>
                <w:i/>
                <w:iCs/>
                <w:sz w:val="20"/>
                <w:szCs w:val="20"/>
                <w:shd w:val="clear" w:color="auto" w:fill="FFFFFF"/>
              </w:rPr>
              <w:t>Orconectes limosus</w:t>
            </w:r>
            <w:r w:rsidRPr="00A26A65">
              <w:rPr>
                <w:rFonts w:ascii="Times New Roman" w:hAnsi="Times New Roman" w:cs="Times New Roman"/>
                <w:sz w:val="20"/>
                <w:szCs w:val="20"/>
                <w:shd w:val="clear" w:color="auto" w:fill="FFFFFF"/>
              </w:rPr>
              <w:t>. European Network on Invasive Alien Species (NOBANIS). </w:t>
            </w:r>
            <w:hyperlink w:tgtFrame="_blank" w:history="1">
              <w:r w:rsidRPr="00A26A65">
                <w:rPr>
                  <w:rStyle w:val="Hyperlink"/>
                  <w:rFonts w:ascii="Times New Roman" w:hAnsi="Times New Roman" w:cs="Times New Roman"/>
                  <w:sz w:val="20"/>
                  <w:szCs w:val="20"/>
                  <w:shd w:val="clear" w:color="auto" w:fill="FFFFFF"/>
                </w:rPr>
                <w:t>https://www.nobanis.org/globalassets/speciesinfo/o/orconectes-limosus/orconectes-limosus.pdf</w:t>
              </w:r>
            </w:hyperlink>
          </w:p>
          <w:p w14:paraId="2879CDAA"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A26A65">
              <w:rPr>
                <w:rFonts w:ascii="Times New Roman" w:hAnsi="Times New Roman" w:cs="Times New Roman"/>
                <w:sz w:val="20"/>
                <w:szCs w:val="20"/>
                <w:shd w:val="clear" w:color="auto" w:fill="FFFFFF"/>
              </w:rPr>
              <w:t xml:space="preserve">Hamr, P., 2002. </w:t>
            </w:r>
            <w:r w:rsidRPr="00A26A65">
              <w:rPr>
                <w:rFonts w:ascii="Times New Roman" w:hAnsi="Times New Roman" w:cs="Times New Roman"/>
                <w:i/>
                <w:iCs/>
                <w:sz w:val="20"/>
                <w:szCs w:val="20"/>
                <w:shd w:val="clear" w:color="auto" w:fill="FFFFFF"/>
              </w:rPr>
              <w:t>Orconectes</w:t>
            </w:r>
            <w:r w:rsidRPr="00A26A65">
              <w:rPr>
                <w:rFonts w:ascii="Times New Roman" w:hAnsi="Times New Roman" w:cs="Times New Roman"/>
                <w:sz w:val="20"/>
                <w:szCs w:val="20"/>
                <w:shd w:val="clear" w:color="auto" w:fill="FFFFFF"/>
              </w:rPr>
              <w:t>. In: </w:t>
            </w:r>
            <w:r w:rsidRPr="00A26A65">
              <w:rPr>
                <w:rStyle w:val="Emphasis"/>
                <w:rFonts w:ascii="Times New Roman" w:hAnsi="Times New Roman" w:cs="Times New Roman"/>
                <w:sz w:val="20"/>
                <w:szCs w:val="20"/>
                <w:shd w:val="clear" w:color="auto" w:fill="FFFFFF"/>
              </w:rPr>
              <w:t>Biology of freshwater crayfish</w:t>
            </w:r>
            <w:r w:rsidRPr="00A26A65">
              <w:rPr>
                <w:rFonts w:ascii="Times New Roman" w:hAnsi="Times New Roman" w:cs="Times New Roman"/>
                <w:sz w:val="20"/>
                <w:szCs w:val="20"/>
                <w:shd w:val="clear" w:color="auto" w:fill="FFFFFF"/>
              </w:rPr>
              <w:t>, [ed. by Holdich, D. M.]. Oxford, UK: Blackwell Science. 585-608.</w:t>
            </w:r>
          </w:p>
        </w:tc>
      </w:tr>
      <w:tr w:rsidR="002D7080" w:rsidRPr="004D1E6F" w14:paraId="5A3DC57A" w14:textId="77777777" w:rsidTr="002E2C37">
        <w:trPr>
          <w:trHeight w:val="251"/>
        </w:trPr>
        <w:tc>
          <w:tcPr>
            <w:tcW w:w="9067" w:type="dxa"/>
            <w:gridSpan w:val="2"/>
            <w:shd w:val="clear" w:color="auto" w:fill="F2F2F2" w:themeFill="background1" w:themeFillShade="F2"/>
          </w:tcPr>
          <w:p w14:paraId="4CBF1963"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MAN3d Propagule persistence</w:t>
            </w:r>
          </w:p>
        </w:tc>
      </w:tr>
      <w:tr w:rsidR="002D7080" w:rsidRPr="004D1E6F" w14:paraId="569BD573" w14:textId="77777777" w:rsidTr="002E2C37">
        <w:trPr>
          <w:trHeight w:val="183"/>
        </w:trPr>
        <w:tc>
          <w:tcPr>
            <w:tcW w:w="5240" w:type="dxa"/>
          </w:tcPr>
          <w:p w14:paraId="0ECDC35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Response: 0 (&lt; 1 year)</w:t>
            </w:r>
          </w:p>
        </w:tc>
        <w:tc>
          <w:tcPr>
            <w:tcW w:w="3827" w:type="dxa"/>
          </w:tcPr>
          <w:p w14:paraId="06CBE1A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Confidence: High </w:t>
            </w:r>
          </w:p>
        </w:tc>
      </w:tr>
      <w:tr w:rsidR="002D7080" w:rsidRPr="004D1E6F" w14:paraId="62AEC9DF" w14:textId="77777777" w:rsidTr="002E2C37">
        <w:trPr>
          <w:trHeight w:val="195"/>
        </w:trPr>
        <w:tc>
          <w:tcPr>
            <w:tcW w:w="9067" w:type="dxa"/>
            <w:gridSpan w:val="2"/>
          </w:tcPr>
          <w:p w14:paraId="33586F3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i/>
                <w:sz w:val="20"/>
                <w:szCs w:val="20"/>
                <w:lang w:eastAsia="en-ZA"/>
              </w:rPr>
              <w:t xml:space="preserve"> </w:t>
            </w:r>
            <w:r w:rsidRPr="009E7247">
              <w:rPr>
                <w:rFonts w:ascii="Times New Roman" w:eastAsia="Times New Roman" w:hAnsi="Times New Roman" w:cs="Times New Roman"/>
                <w:i/>
                <w:sz w:val="20"/>
                <w:szCs w:val="20"/>
                <w:lang w:eastAsia="en-ZA"/>
              </w:rPr>
              <w:t>Faxonius</w:t>
            </w:r>
            <w:r>
              <w:rPr>
                <w:rFonts w:ascii="Times New Roman" w:eastAsia="Times New Roman" w:hAnsi="Times New Roman" w:cs="Times New Roman"/>
                <w:i/>
                <w:sz w:val="20"/>
                <w:szCs w:val="20"/>
                <w:lang w:eastAsia="en-ZA"/>
              </w:rPr>
              <w:t xml:space="preserve"> limosus</w:t>
            </w:r>
            <w:r w:rsidRPr="009E7247">
              <w:rPr>
                <w:rFonts w:ascii="Times New Roman" w:eastAsia="Times New Roman" w:hAnsi="Times New Roman" w:cs="Times New Roman"/>
                <w:sz w:val="20"/>
                <w:szCs w:val="20"/>
                <w:lang w:eastAsia="en-ZA"/>
              </w:rPr>
              <w:t xml:space="preserve"> are </w:t>
            </w:r>
            <w:r w:rsidRPr="009E7247">
              <w:rPr>
                <w:rFonts w:ascii="Times New Roman" w:eastAsia="Times New Roman" w:hAnsi="Times New Roman" w:cs="Times New Roman"/>
                <w:iCs/>
                <w:sz w:val="20"/>
                <w:szCs w:val="20"/>
                <w:lang w:eastAsia="en-ZA"/>
              </w:rPr>
              <w:t>highly fecund,</w:t>
            </w:r>
            <w:r w:rsidRPr="009E7247">
              <w:rPr>
                <w:rFonts w:ascii="Times New Roman" w:eastAsia="Times New Roman" w:hAnsi="Times New Roman" w:cs="Times New Roman"/>
                <w:sz w:val="20"/>
                <w:szCs w:val="20"/>
                <w:lang w:eastAsia="en-ZA"/>
              </w:rPr>
              <w:t xml:space="preserve"> a female produces up to 440 eggs, and with some parental care of eggs and hatchlings (Hamr 2002; </w:t>
            </w:r>
            <w:r w:rsidRPr="009E7247">
              <w:rPr>
                <w:rFonts w:ascii="Times New Roman" w:hAnsi="Times New Roman" w:cs="Times New Roman"/>
                <w:color w:val="333333"/>
                <w:sz w:val="20"/>
                <w:szCs w:val="20"/>
                <w:shd w:val="clear" w:color="auto" w:fill="FFFFFF"/>
              </w:rPr>
              <w:t>Alekhnovich</w:t>
            </w:r>
            <w:r w:rsidRPr="009E7247">
              <w:rPr>
                <w:rFonts w:ascii="Times New Roman" w:hAnsi="Times New Roman" w:cs="Times New Roman"/>
                <w:sz w:val="20"/>
                <w:szCs w:val="20"/>
                <w:shd w:val="clear" w:color="auto" w:fill="FFFFFF"/>
              </w:rPr>
              <w:t xml:space="preserve"> &amp; </w:t>
            </w:r>
            <w:r w:rsidRPr="009E7247">
              <w:rPr>
                <w:rFonts w:ascii="Times New Roman" w:hAnsi="Times New Roman" w:cs="Times New Roman"/>
                <w:color w:val="333333"/>
                <w:sz w:val="20"/>
                <w:szCs w:val="20"/>
                <w:shd w:val="clear" w:color="auto" w:fill="FFFFFF"/>
              </w:rPr>
              <w:t>Buřič 2017</w:t>
            </w:r>
            <w:r w:rsidRPr="009E7247">
              <w:rPr>
                <w:rFonts w:ascii="Times New Roman" w:hAnsi="Times New Roman" w:cs="Times New Roman"/>
                <w:sz w:val="20"/>
                <w:szCs w:val="20"/>
                <w:shd w:val="clear" w:color="auto" w:fill="FFFFFF"/>
              </w:rPr>
              <w:t>)</w:t>
            </w:r>
            <w:r w:rsidRPr="009E7247">
              <w:rPr>
                <w:rFonts w:ascii="Times New Roman" w:eastAsia="Times New Roman" w:hAnsi="Times New Roman" w:cs="Times New Roman"/>
                <w:sz w:val="20"/>
                <w:szCs w:val="20"/>
                <w:lang w:eastAsia="en-ZA"/>
              </w:rPr>
              <w:t xml:space="preserve">. </w:t>
            </w:r>
            <w:r w:rsidRPr="009E7247">
              <w:rPr>
                <w:rFonts w:ascii="Times New Roman" w:hAnsi="Times New Roman" w:cs="Times New Roman"/>
                <w:sz w:val="20"/>
                <w:szCs w:val="20"/>
              </w:rPr>
              <w:t>Females can reproduce by facultative parthenogenesis and are able store sperm (Buřič et al., 2011, 2013).</w:t>
            </w:r>
          </w:p>
        </w:tc>
      </w:tr>
      <w:tr w:rsidR="002D7080" w:rsidRPr="004D1E6F" w14:paraId="7EE6AE61" w14:textId="77777777" w:rsidTr="002E2C37">
        <w:trPr>
          <w:trHeight w:val="99"/>
        </w:trPr>
        <w:tc>
          <w:tcPr>
            <w:tcW w:w="9067" w:type="dxa"/>
            <w:gridSpan w:val="2"/>
          </w:tcPr>
          <w:p w14:paraId="668361C0" w14:textId="77777777" w:rsidR="002D7080" w:rsidRPr="00A26A65" w:rsidRDefault="002D7080" w:rsidP="002E2C37">
            <w:pPr>
              <w:rPr>
                <w:rFonts w:ascii="Times New Roman" w:eastAsia="Times New Roman" w:hAnsi="Times New Roman" w:cs="Times New Roman"/>
                <w:sz w:val="20"/>
                <w:szCs w:val="20"/>
                <w:lang w:eastAsia="en-ZA"/>
              </w:rPr>
            </w:pPr>
            <w:r w:rsidRPr="00A26A65">
              <w:rPr>
                <w:rFonts w:ascii="Times New Roman" w:eastAsia="Times New Roman" w:hAnsi="Times New Roman" w:cs="Times New Roman"/>
                <w:sz w:val="20"/>
                <w:szCs w:val="20"/>
                <w:lang w:eastAsia="en-ZA"/>
              </w:rPr>
              <w:t>References:</w:t>
            </w:r>
          </w:p>
          <w:p w14:paraId="5949F89C" w14:textId="77777777" w:rsidR="002D7080" w:rsidRPr="00A26A65" w:rsidRDefault="002D7080" w:rsidP="002E2C37">
            <w:pPr>
              <w:ind w:left="720" w:hanging="720"/>
              <w:contextualSpacing/>
              <w:jc w:val="both"/>
              <w:rPr>
                <w:rFonts w:ascii="Times New Roman" w:hAnsi="Times New Roman" w:cs="Times New Roman"/>
                <w:sz w:val="20"/>
                <w:szCs w:val="20"/>
              </w:rPr>
            </w:pPr>
            <w:r w:rsidRPr="00A26A65">
              <w:rPr>
                <w:rFonts w:ascii="Times New Roman" w:hAnsi="Times New Roman" w:cs="Times New Roman"/>
                <w:sz w:val="20"/>
                <w:szCs w:val="20"/>
                <w:shd w:val="clear" w:color="auto" w:fill="FFFFFF"/>
              </w:rPr>
              <w:t xml:space="preserve">Alekhnovich, A., Buřič, M., 2017, NOBANIS – Invasive Alien Species Fact Sheet: </w:t>
            </w:r>
            <w:r w:rsidRPr="00A26A65">
              <w:rPr>
                <w:rFonts w:ascii="Times New Roman" w:hAnsi="Times New Roman" w:cs="Times New Roman"/>
                <w:i/>
                <w:iCs/>
                <w:sz w:val="20"/>
                <w:szCs w:val="20"/>
                <w:shd w:val="clear" w:color="auto" w:fill="FFFFFF"/>
              </w:rPr>
              <w:t>Orconectes limosus</w:t>
            </w:r>
            <w:r w:rsidRPr="00A26A65">
              <w:rPr>
                <w:rFonts w:ascii="Times New Roman" w:hAnsi="Times New Roman" w:cs="Times New Roman"/>
                <w:sz w:val="20"/>
                <w:szCs w:val="20"/>
                <w:shd w:val="clear" w:color="auto" w:fill="FFFFFF"/>
              </w:rPr>
              <w:t>. European Network on Invasive Alien Species (NOBANIS). </w:t>
            </w:r>
            <w:hyperlink w:tgtFrame="_blank" w:history="1">
              <w:r w:rsidRPr="00A26A65">
                <w:rPr>
                  <w:rStyle w:val="Hyperlink"/>
                  <w:rFonts w:ascii="Times New Roman" w:hAnsi="Times New Roman" w:cs="Times New Roman"/>
                  <w:sz w:val="20"/>
                  <w:szCs w:val="20"/>
                  <w:shd w:val="clear" w:color="auto" w:fill="FFFFFF"/>
                </w:rPr>
                <w:t>https://www.nobanis.org/globalassets/speciesinfo/o/orconectes-limosus/orconectes-limosus.pdf</w:t>
              </w:r>
            </w:hyperlink>
          </w:p>
          <w:p w14:paraId="05D36E2A" w14:textId="77777777" w:rsidR="002D7080" w:rsidRPr="00A26A65" w:rsidRDefault="002D7080" w:rsidP="002E2C37">
            <w:pPr>
              <w:ind w:left="720" w:hanging="720"/>
              <w:contextualSpacing/>
              <w:jc w:val="both"/>
              <w:rPr>
                <w:rFonts w:ascii="Times New Roman" w:hAnsi="Times New Roman" w:cs="Times New Roman"/>
                <w:sz w:val="20"/>
                <w:szCs w:val="20"/>
                <w:shd w:val="clear" w:color="auto" w:fill="FFFFFF"/>
              </w:rPr>
            </w:pPr>
            <w:r w:rsidRPr="00A26A65">
              <w:rPr>
                <w:rFonts w:ascii="Times New Roman" w:hAnsi="Times New Roman" w:cs="Times New Roman"/>
                <w:sz w:val="20"/>
                <w:szCs w:val="20"/>
                <w:shd w:val="clear" w:color="auto" w:fill="FFFFFF"/>
              </w:rPr>
              <w:t>Buřič, M., Hulák, M., Kouba, A., Petrusek, A., &amp; Kozák, P., 2011, ‘A successful crayfish invader is capable of facultative parthenogenesis: a novel reproductive mode in decapod crustaceans’, </w:t>
            </w:r>
            <w:r w:rsidRPr="00A26A65">
              <w:rPr>
                <w:rStyle w:val="Emphasis"/>
                <w:rFonts w:ascii="Times New Roman" w:hAnsi="Times New Roman" w:cs="Times New Roman"/>
                <w:sz w:val="20"/>
                <w:szCs w:val="20"/>
                <w:shd w:val="clear" w:color="auto" w:fill="FFFFFF"/>
              </w:rPr>
              <w:t>PLoS ONE</w:t>
            </w:r>
            <w:r w:rsidRPr="00A26A65">
              <w:rPr>
                <w:rFonts w:ascii="Times New Roman" w:hAnsi="Times New Roman" w:cs="Times New Roman"/>
                <w:sz w:val="20"/>
                <w:szCs w:val="20"/>
                <w:shd w:val="clear" w:color="auto" w:fill="FFFFFF"/>
              </w:rPr>
              <w:t xml:space="preserve">, 6e20281. </w:t>
            </w:r>
            <w:hyperlink r:id="rId302" w:history="1">
              <w:r w:rsidRPr="00A26A65">
                <w:rPr>
                  <w:rStyle w:val="Hyperlink"/>
                  <w:rFonts w:ascii="Times New Roman" w:hAnsi="Times New Roman" w:cs="Times New Roman"/>
                  <w:sz w:val="20"/>
                  <w:szCs w:val="20"/>
                  <w:shd w:val="clear" w:color="auto" w:fill="FFFFFF"/>
                </w:rPr>
                <w:t>https://doi.org/10.1371/journal.pone.0077597</w:t>
              </w:r>
            </w:hyperlink>
          </w:p>
          <w:p w14:paraId="1B35ED8B" w14:textId="77777777" w:rsidR="002D7080" w:rsidRPr="00A26A65" w:rsidRDefault="002D7080" w:rsidP="002E2C37">
            <w:pPr>
              <w:ind w:left="720" w:hanging="720"/>
              <w:contextualSpacing/>
              <w:jc w:val="both"/>
              <w:rPr>
                <w:rFonts w:ascii="Times New Roman" w:hAnsi="Times New Roman" w:cs="Times New Roman"/>
                <w:sz w:val="20"/>
                <w:szCs w:val="20"/>
                <w:shd w:val="clear" w:color="auto" w:fill="FFFFFF"/>
              </w:rPr>
            </w:pPr>
            <w:r w:rsidRPr="00A26A65">
              <w:rPr>
                <w:rFonts w:ascii="Times New Roman" w:hAnsi="Times New Roman" w:cs="Times New Roman"/>
                <w:sz w:val="20"/>
                <w:szCs w:val="20"/>
                <w:shd w:val="clear" w:color="auto" w:fill="FFFFFF"/>
              </w:rPr>
              <w:t xml:space="preserve">Hamr, P., 2002. </w:t>
            </w:r>
            <w:r w:rsidRPr="00A26A65">
              <w:rPr>
                <w:rFonts w:ascii="Times New Roman" w:hAnsi="Times New Roman" w:cs="Times New Roman"/>
                <w:i/>
                <w:iCs/>
                <w:sz w:val="20"/>
                <w:szCs w:val="20"/>
                <w:shd w:val="clear" w:color="auto" w:fill="FFFFFF"/>
              </w:rPr>
              <w:t>Orconectes</w:t>
            </w:r>
            <w:r w:rsidRPr="00A26A65">
              <w:rPr>
                <w:rFonts w:ascii="Times New Roman" w:hAnsi="Times New Roman" w:cs="Times New Roman"/>
                <w:sz w:val="20"/>
                <w:szCs w:val="20"/>
                <w:shd w:val="clear" w:color="auto" w:fill="FFFFFF"/>
              </w:rPr>
              <w:t>. In: </w:t>
            </w:r>
            <w:r w:rsidRPr="00A26A65">
              <w:rPr>
                <w:rStyle w:val="Emphasis"/>
                <w:rFonts w:ascii="Times New Roman" w:hAnsi="Times New Roman" w:cs="Times New Roman"/>
                <w:sz w:val="20"/>
                <w:szCs w:val="20"/>
                <w:shd w:val="clear" w:color="auto" w:fill="FFFFFF"/>
              </w:rPr>
              <w:t>Biology of freshwater crayfish</w:t>
            </w:r>
            <w:r w:rsidRPr="00A26A65">
              <w:rPr>
                <w:rFonts w:ascii="Times New Roman" w:hAnsi="Times New Roman" w:cs="Times New Roman"/>
                <w:sz w:val="20"/>
                <w:szCs w:val="20"/>
                <w:shd w:val="clear" w:color="auto" w:fill="FFFFFF"/>
              </w:rPr>
              <w:t>, [ed. by Holdich, D. M.]. Oxford, UK: Blackwell Science. 585-608.</w:t>
            </w:r>
          </w:p>
        </w:tc>
      </w:tr>
      <w:tr w:rsidR="002D7080" w:rsidRPr="004D1E6F" w14:paraId="4FC3CFE1" w14:textId="77777777" w:rsidTr="002E2C37">
        <w:trPr>
          <w:trHeight w:val="152"/>
        </w:trPr>
        <w:tc>
          <w:tcPr>
            <w:tcW w:w="9067" w:type="dxa"/>
            <w:gridSpan w:val="2"/>
            <w:shd w:val="clear" w:color="auto" w:fill="F2F2F2" w:themeFill="background1" w:themeFillShade="F2"/>
          </w:tcPr>
          <w:p w14:paraId="72BCCAFA"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 xml:space="preserve">MAN3 Ease of management </w:t>
            </w:r>
          </w:p>
        </w:tc>
      </w:tr>
      <w:tr w:rsidR="002D7080" w:rsidRPr="004D1E6F" w14:paraId="6A6759DE" w14:textId="77777777" w:rsidTr="002E2C37">
        <w:trPr>
          <w:trHeight w:val="172"/>
        </w:trPr>
        <w:tc>
          <w:tcPr>
            <w:tcW w:w="5240" w:type="dxa"/>
          </w:tcPr>
          <w:p w14:paraId="260ADCB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Response: Medium </w:t>
            </w:r>
          </w:p>
        </w:tc>
        <w:tc>
          <w:tcPr>
            <w:tcW w:w="3827" w:type="dxa"/>
          </w:tcPr>
          <w:p w14:paraId="09C1C9C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17053C58" w14:textId="77777777" w:rsidTr="002E2C37">
        <w:trPr>
          <w:trHeight w:val="70"/>
        </w:trPr>
        <w:tc>
          <w:tcPr>
            <w:tcW w:w="9067" w:type="dxa"/>
            <w:gridSpan w:val="2"/>
          </w:tcPr>
          <w:p w14:paraId="19EF93C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iCs/>
                <w:sz w:val="20"/>
                <w:szCs w:val="20"/>
                <w:lang w:eastAsia="en-ZA"/>
              </w:rPr>
              <w:t xml:space="preserve">Faxonius </w:t>
            </w:r>
            <w:r>
              <w:rPr>
                <w:rFonts w:ascii="Times New Roman" w:eastAsia="Times New Roman" w:hAnsi="Times New Roman" w:cs="Times New Roman"/>
                <w:i/>
                <w:iCs/>
                <w:sz w:val="20"/>
                <w:szCs w:val="20"/>
                <w:lang w:eastAsia="en-ZA"/>
              </w:rPr>
              <w:t>limosus</w:t>
            </w:r>
            <w:r w:rsidRPr="004D1E6F">
              <w:rPr>
                <w:rFonts w:ascii="Times New Roman" w:eastAsia="Times New Roman" w:hAnsi="Times New Roman" w:cs="Times New Roman"/>
                <w:sz w:val="20"/>
                <w:szCs w:val="20"/>
                <w:lang w:eastAsia="en-ZA"/>
              </w:rPr>
              <w:t xml:space="preserve"> is a small, largely nocturnal freshwater species that is difficult to detect, it reaches sexual maturity in one-two years</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is highly fecund (up to </w:t>
            </w:r>
            <w:r>
              <w:rPr>
                <w:rFonts w:ascii="Times New Roman" w:eastAsia="Times New Roman" w:hAnsi="Times New Roman" w:cs="Times New Roman"/>
                <w:sz w:val="20"/>
                <w:szCs w:val="20"/>
                <w:lang w:eastAsia="en-ZA"/>
              </w:rPr>
              <w:t>4</w:t>
            </w:r>
            <w:r w:rsidRPr="004D1E6F">
              <w:rPr>
                <w:rFonts w:ascii="Times New Roman" w:eastAsia="Times New Roman" w:hAnsi="Times New Roman" w:cs="Times New Roman"/>
                <w:sz w:val="20"/>
                <w:szCs w:val="20"/>
                <w:lang w:eastAsia="en-ZA"/>
              </w:rPr>
              <w:t>4</w:t>
            </w:r>
            <w:r>
              <w:rPr>
                <w:rFonts w:ascii="Times New Roman" w:eastAsia="Times New Roman" w:hAnsi="Times New Roman" w:cs="Times New Roman"/>
                <w:sz w:val="20"/>
                <w:szCs w:val="20"/>
                <w:lang w:eastAsia="en-ZA"/>
              </w:rPr>
              <w:t>0</w:t>
            </w:r>
            <w:r w:rsidRPr="004D1E6F">
              <w:rPr>
                <w:rFonts w:ascii="Times New Roman" w:eastAsia="Times New Roman" w:hAnsi="Times New Roman" w:cs="Times New Roman"/>
                <w:sz w:val="20"/>
                <w:szCs w:val="20"/>
                <w:lang w:eastAsia="en-ZA"/>
              </w:rPr>
              <w:t xml:space="preserve"> eggs)</w:t>
            </w:r>
            <w:r>
              <w:rPr>
                <w:rFonts w:ascii="Times New Roman" w:eastAsia="Times New Roman" w:hAnsi="Times New Roman" w:cs="Times New Roman"/>
                <w:sz w:val="20"/>
                <w:szCs w:val="20"/>
                <w:lang w:eastAsia="en-ZA"/>
              </w:rPr>
              <w:t xml:space="preserve"> and can reproduce parthenogenetically</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Hamr 2002</w:t>
            </w:r>
            <w:r w:rsidRPr="004D1E6F">
              <w:rPr>
                <w:rFonts w:ascii="Times New Roman" w:eastAsia="Times New Roman" w:hAnsi="Times New Roman" w:cs="Times New Roman"/>
                <w:sz w:val="20"/>
                <w:szCs w:val="20"/>
                <w:lang w:eastAsia="en-ZA"/>
              </w:rPr>
              <w:t>).</w:t>
            </w:r>
          </w:p>
        </w:tc>
      </w:tr>
      <w:tr w:rsidR="002D7080" w:rsidRPr="004D1E6F" w14:paraId="33337AC9" w14:textId="77777777" w:rsidTr="002E2C37">
        <w:trPr>
          <w:trHeight w:val="70"/>
        </w:trPr>
        <w:tc>
          <w:tcPr>
            <w:tcW w:w="9067" w:type="dxa"/>
            <w:gridSpan w:val="2"/>
          </w:tcPr>
          <w:p w14:paraId="3EE8C9E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03962C70" w14:textId="77777777" w:rsidR="002D7080" w:rsidRPr="003A7F42" w:rsidRDefault="002D7080" w:rsidP="002E2C37">
            <w:pPr>
              <w:ind w:left="720" w:hanging="720"/>
              <w:jc w:val="both"/>
              <w:rPr>
                <w:rFonts w:ascii="Times New Roman" w:hAnsi="Times New Roman" w:cs="Times New Roman"/>
                <w:color w:val="333333"/>
                <w:sz w:val="20"/>
                <w:szCs w:val="20"/>
                <w:shd w:val="clear" w:color="auto" w:fill="FFFFFF"/>
              </w:rPr>
            </w:pPr>
            <w:r w:rsidRPr="00950CF7">
              <w:rPr>
                <w:rFonts w:ascii="Times New Roman" w:hAnsi="Times New Roman" w:cs="Times New Roman"/>
                <w:color w:val="000000" w:themeColor="text1"/>
                <w:sz w:val="20"/>
                <w:szCs w:val="20"/>
                <w:shd w:val="clear" w:color="auto" w:fill="FFFFFF"/>
              </w:rPr>
              <w:t xml:space="preserve">Hamr, P., 2002. </w:t>
            </w:r>
            <w:r w:rsidRPr="00950CF7">
              <w:rPr>
                <w:rFonts w:ascii="Times New Roman" w:hAnsi="Times New Roman" w:cs="Times New Roman"/>
                <w:i/>
                <w:iCs/>
                <w:color w:val="000000" w:themeColor="text1"/>
                <w:sz w:val="20"/>
                <w:szCs w:val="20"/>
                <w:shd w:val="clear" w:color="auto" w:fill="FFFFFF"/>
              </w:rPr>
              <w:t>Orconectes</w:t>
            </w:r>
            <w:r w:rsidRPr="00950CF7">
              <w:rPr>
                <w:rFonts w:ascii="Times New Roman" w:hAnsi="Times New Roman" w:cs="Times New Roman"/>
                <w:color w:val="000000" w:themeColor="text1"/>
                <w:sz w:val="20"/>
                <w:szCs w:val="20"/>
                <w:shd w:val="clear" w:color="auto" w:fill="FFFFFF"/>
              </w:rPr>
              <w:t>. In: </w:t>
            </w:r>
            <w:r w:rsidRPr="00950CF7">
              <w:rPr>
                <w:rStyle w:val="Emphasis"/>
                <w:rFonts w:ascii="Times New Roman" w:hAnsi="Times New Roman" w:cs="Times New Roman"/>
                <w:color w:val="000000" w:themeColor="text1"/>
                <w:sz w:val="20"/>
                <w:szCs w:val="20"/>
                <w:shd w:val="clear" w:color="auto" w:fill="FFFFFF"/>
              </w:rPr>
              <w:t>Biology of freshwater crayfish</w:t>
            </w:r>
            <w:r w:rsidRPr="00950CF7">
              <w:rPr>
                <w:rFonts w:ascii="Times New Roman" w:hAnsi="Times New Roman" w:cs="Times New Roman"/>
                <w:color w:val="000000" w:themeColor="text1"/>
                <w:sz w:val="20"/>
                <w:szCs w:val="20"/>
                <w:shd w:val="clear" w:color="auto" w:fill="FFFFFF"/>
              </w:rPr>
              <w:t>, [ed. by Holdich, D.M.]. Oxford, UK: Blackwell Science. 585-608.</w:t>
            </w:r>
          </w:p>
        </w:tc>
      </w:tr>
    </w:tbl>
    <w:p w14:paraId="58FA5067"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0"/>
        <w:tblW w:w="9018" w:type="dxa"/>
        <w:tblLook w:val="04A0" w:firstRow="1" w:lastRow="0" w:firstColumn="1" w:lastColumn="0" w:noHBand="0" w:noVBand="1"/>
      </w:tblPr>
      <w:tblGrid>
        <w:gridCol w:w="5240"/>
        <w:gridCol w:w="3778"/>
      </w:tblGrid>
      <w:tr w:rsidR="002D7080" w:rsidRPr="004D1E6F" w14:paraId="021C5B85" w14:textId="77777777" w:rsidTr="002E2C37">
        <w:trPr>
          <w:trHeight w:val="188"/>
        </w:trPr>
        <w:tc>
          <w:tcPr>
            <w:tcW w:w="9018" w:type="dxa"/>
            <w:gridSpan w:val="2"/>
            <w:shd w:val="clear" w:color="auto" w:fill="F2F2F2" w:themeFill="background1" w:themeFillShade="F2"/>
          </w:tcPr>
          <w:p w14:paraId="15EB6207"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MAN4 Has the feasibility of eradication been evaluated?</w:t>
            </w:r>
          </w:p>
        </w:tc>
      </w:tr>
      <w:tr w:rsidR="002D7080" w:rsidRPr="004D1E6F" w14:paraId="372440C2" w14:textId="77777777" w:rsidTr="002E2C37">
        <w:trPr>
          <w:trHeight w:val="172"/>
        </w:trPr>
        <w:tc>
          <w:tcPr>
            <w:tcW w:w="5240" w:type="dxa"/>
          </w:tcPr>
          <w:p w14:paraId="14EFC0E8"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No</w:t>
            </w:r>
          </w:p>
        </w:tc>
        <w:tc>
          <w:tcPr>
            <w:tcW w:w="3778" w:type="dxa"/>
          </w:tcPr>
          <w:p w14:paraId="4CC8319D"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7E8B2E31" w14:textId="77777777" w:rsidTr="002E2C37">
        <w:trPr>
          <w:trHeight w:val="343"/>
        </w:trPr>
        <w:tc>
          <w:tcPr>
            <w:tcW w:w="9018" w:type="dxa"/>
            <w:gridSpan w:val="2"/>
          </w:tcPr>
          <w:p w14:paraId="04D51B76" w14:textId="3C8681D5"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 xml:space="preserve">Rationale: </w:t>
            </w:r>
            <w:r w:rsidRPr="004D1E6F">
              <w:rPr>
                <w:rFonts w:ascii="Times New Roman" w:eastAsia="Times New Roman" w:hAnsi="Times New Roman" w:cs="Times New Roman"/>
                <w:sz w:val="20"/>
                <w:szCs w:val="20"/>
                <w:lang w:eastAsia="en-ZA"/>
              </w:rPr>
              <w:t>T</w:t>
            </w:r>
            <w:r w:rsidRPr="004D1E6F">
              <w:rPr>
                <w:rFonts w:ascii="Times New Roman" w:eastAsia="Times New Roman" w:hAnsi="Times New Roman" w:cs="Times New Roman"/>
                <w:sz w:val="20"/>
                <w:lang w:eastAsia="en-ZA"/>
              </w:rPr>
              <w:t xml:space="preserve">here are no known population of </w:t>
            </w:r>
            <w:r w:rsidRPr="004D1E6F">
              <w:rPr>
                <w:rFonts w:ascii="Times New Roman" w:eastAsia="Times New Roman" w:hAnsi="Times New Roman" w:cs="Times New Roman"/>
                <w:i/>
                <w:iCs/>
                <w:sz w:val="20"/>
                <w:lang w:eastAsia="en-ZA"/>
              </w:rPr>
              <w:t xml:space="preserve">F. </w:t>
            </w:r>
            <w:r w:rsidR="005C56FC">
              <w:rPr>
                <w:rFonts w:ascii="Times New Roman" w:eastAsia="Times New Roman" w:hAnsi="Times New Roman" w:cs="Times New Roman"/>
                <w:i/>
                <w:iCs/>
                <w:sz w:val="20"/>
                <w:lang w:eastAsia="en-ZA"/>
              </w:rPr>
              <w:t>limosus</w:t>
            </w:r>
            <w:r w:rsidR="005C56FC" w:rsidRPr="004D1E6F">
              <w:rPr>
                <w:rFonts w:ascii="Times New Roman" w:eastAsia="Times New Roman" w:hAnsi="Times New Roman" w:cs="Times New Roman"/>
                <w:sz w:val="20"/>
                <w:lang w:eastAsia="en-ZA"/>
              </w:rPr>
              <w:t xml:space="preserve"> </w:t>
            </w:r>
            <w:r w:rsidRPr="004D1E6F">
              <w:rPr>
                <w:rFonts w:ascii="Times New Roman" w:eastAsia="Times New Roman" w:hAnsi="Times New Roman" w:cs="Times New Roman"/>
                <w:sz w:val="20"/>
                <w:lang w:eastAsia="en-ZA"/>
              </w:rPr>
              <w:t xml:space="preserve">in South Africa, therefore eradication feasibility has not been no evaluated (Nunes et al. 2017) but see MAN5 for summary of control efforts used to manage invasive crayfish populations.  </w:t>
            </w:r>
          </w:p>
        </w:tc>
      </w:tr>
      <w:tr w:rsidR="002D7080" w:rsidRPr="004D1E6F" w14:paraId="4E74C9CD" w14:textId="77777777" w:rsidTr="002E2C37">
        <w:trPr>
          <w:trHeight w:val="343"/>
        </w:trPr>
        <w:tc>
          <w:tcPr>
            <w:tcW w:w="9018" w:type="dxa"/>
            <w:gridSpan w:val="2"/>
          </w:tcPr>
          <w:p w14:paraId="3C781413"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65A6E38F" w14:textId="77777777" w:rsidR="002D7080" w:rsidRPr="004D1E6F" w:rsidRDefault="002D7080" w:rsidP="002E2C37">
            <w:pPr>
              <w:ind w:left="540" w:hanging="54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303" w:history="1">
              <w:r w:rsidRPr="000B0DAE">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tc>
      </w:tr>
    </w:tbl>
    <w:p w14:paraId="716EAA0B"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3D7E4967"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30D2D35A"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0"/>
        <w:tblW w:w="9067" w:type="dxa"/>
        <w:tblLook w:val="04A0" w:firstRow="1" w:lastRow="0" w:firstColumn="1" w:lastColumn="0" w:noHBand="0" w:noVBand="1"/>
      </w:tblPr>
      <w:tblGrid>
        <w:gridCol w:w="9067"/>
      </w:tblGrid>
      <w:tr w:rsidR="002D7080" w:rsidRPr="004D1E6F" w14:paraId="45915942" w14:textId="77777777" w:rsidTr="002E2C37">
        <w:trPr>
          <w:trHeight w:val="278"/>
        </w:trPr>
        <w:tc>
          <w:tcPr>
            <w:tcW w:w="9067" w:type="dxa"/>
            <w:shd w:val="clear" w:color="auto" w:fill="F2F2F2" w:themeFill="background1" w:themeFillShade="F2"/>
          </w:tcPr>
          <w:p w14:paraId="230302DB"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MAN5 Control options and monitoring approaches available for the </w:t>
            </w:r>
            <w:r w:rsidRPr="004D1E6F">
              <w:rPr>
                <w:rFonts w:ascii="Times New Roman" w:eastAsia="Times New Roman" w:hAnsi="Times New Roman" w:cs="Times New Roman"/>
                <w:b/>
                <w:i/>
                <w:sz w:val="20"/>
                <w:szCs w:val="20"/>
                <w:lang w:eastAsia="en-ZA"/>
              </w:rPr>
              <w:t>Taxon</w:t>
            </w:r>
          </w:p>
        </w:tc>
      </w:tr>
      <w:tr w:rsidR="002D7080" w:rsidRPr="004D1E6F" w14:paraId="296475AD" w14:textId="77777777" w:rsidTr="002E2C37">
        <w:trPr>
          <w:trHeight w:val="70"/>
        </w:trPr>
        <w:tc>
          <w:tcPr>
            <w:tcW w:w="9067" w:type="dxa"/>
          </w:tcPr>
          <w:p w14:paraId="741A20A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Several methods can be used to monitor and control invasive crayfish populations including mechanical trapping</w:t>
            </w:r>
            <w:r w:rsidRPr="004D1E6F">
              <w:rPr>
                <w:rFonts w:ascii="Times New Roman" w:eastAsia="Times New Roman" w:hAnsi="Times New Roman" w:cs="Times New Roman"/>
                <w:iCs/>
                <w:sz w:val="20"/>
                <w:szCs w:val="20"/>
                <w:lang w:eastAsia="en-ZA"/>
              </w:rPr>
              <w:t xml:space="preserve"> (e.g., </w:t>
            </w:r>
            <w:r w:rsidRPr="004D1E6F">
              <w:rPr>
                <w:rStyle w:val="cf01"/>
                <w:rFonts w:ascii="Times New Roman" w:hAnsi="Times New Roman" w:cs="Times New Roman"/>
                <w:sz w:val="20"/>
                <w:szCs w:val="20"/>
              </w:rPr>
              <w:t xml:space="preserve">Barkhuizen et al. 2022; </w:t>
            </w:r>
            <w:r w:rsidRPr="004D1E6F">
              <w:rPr>
                <w:rFonts w:ascii="Times New Roman" w:eastAsia="Times New Roman" w:hAnsi="Times New Roman" w:cs="Times New Roman"/>
                <w:iCs/>
                <w:sz w:val="20"/>
                <w:szCs w:val="20"/>
                <w:lang w:eastAsia="en-ZA"/>
              </w:rPr>
              <w:t>Madzivanzira et al. 2021)</w:t>
            </w:r>
            <w:r w:rsidRPr="004D1E6F">
              <w:rPr>
                <w:rFonts w:ascii="Times New Roman" w:eastAsia="Times New Roman" w:hAnsi="Times New Roman" w:cs="Times New Roman"/>
                <w:sz w:val="20"/>
                <w:szCs w:val="20"/>
                <w:lang w:eastAsia="en-ZA"/>
              </w:rPr>
              <w:t xml:space="preserve">, electrofishing (Nunes et al. 2017), use of biocides, and biological control (Aquiloni et al 2010; Stebbing et al. 2014). </w:t>
            </w:r>
            <w:r w:rsidRPr="004D1E6F">
              <w:rPr>
                <w:rFonts w:ascii="Times New Roman" w:hAnsi="Times New Roman" w:cs="Times New Roman"/>
                <w:sz w:val="20"/>
                <w:szCs w:val="20"/>
              </w:rPr>
              <w:t>However, there are several issues that make management of crayfish invasions challenging (Gherardi et al. 2011). For example, the use of biocides is often effective for localised populations in dams and ponds (Peay et al. 2019) but they are non-specific and need to be applied with caution (Gherardi et al. 2011). Mechanical control methods are also effective in small discrete water bodies but are expensive and require commitment to follow on to complete eradication (Loureiro et al. 2018). In addition, alien crayfish species are regarded as potential conflict-generating species in South Africa and potential management interventions should consider the concerns of stakeholders to avoid conflict (Zengeya et al. 2017).</w:t>
            </w:r>
          </w:p>
        </w:tc>
      </w:tr>
      <w:tr w:rsidR="002D7080" w:rsidRPr="004D1E6F" w14:paraId="702049FC" w14:textId="77777777" w:rsidTr="002E2C37">
        <w:trPr>
          <w:trHeight w:val="203"/>
        </w:trPr>
        <w:tc>
          <w:tcPr>
            <w:tcW w:w="9067" w:type="dxa"/>
          </w:tcPr>
          <w:p w14:paraId="0E0325D3"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44B353C1" w14:textId="100DF0D4" w:rsidR="00276013" w:rsidRPr="00276013" w:rsidRDefault="00276013" w:rsidP="00276013">
            <w:pPr>
              <w:ind w:left="720" w:hanging="720"/>
              <w:contextualSpacing/>
              <w:jc w:val="both"/>
              <w:rPr>
                <w:rFonts w:ascii="Times New Roman" w:eastAsia="Times New Roman" w:hAnsi="Times New Roman" w:cs="Times New Roman"/>
                <w:bCs/>
                <w:sz w:val="20"/>
                <w:szCs w:val="20"/>
                <w:lang w:eastAsia="en-ZA"/>
              </w:rPr>
            </w:pPr>
            <w:r w:rsidRPr="00554142">
              <w:rPr>
                <w:rFonts w:ascii="Times New Roman" w:eastAsia="Times New Roman" w:hAnsi="Times New Roman" w:cs="Times New Roman"/>
                <w:sz w:val="20"/>
                <w:szCs w:val="20"/>
                <w:lang w:eastAsia="en-ZA"/>
              </w:rPr>
              <w:t>Aquiloni</w:t>
            </w:r>
            <w:r w:rsidRPr="00276013">
              <w:rPr>
                <w:rFonts w:ascii="Times New Roman" w:eastAsia="Times New Roman" w:hAnsi="Times New Roman" w:cs="Times New Roman"/>
                <w:sz w:val="20"/>
                <w:szCs w:val="20"/>
                <w:lang w:eastAsia="en-ZA"/>
              </w:rPr>
              <w:t>, L., Brusconi, S., Cecchinelli, E., Tricarico, E., Mazza, G., Paglianti, A. &amp; Gherardi, F. 2010, ‘Biological control of invasive populations of crayfish: the European eel (</w:t>
            </w:r>
            <w:r w:rsidRPr="00276013">
              <w:rPr>
                <w:rFonts w:ascii="Times New Roman" w:eastAsia="Times New Roman" w:hAnsi="Times New Roman" w:cs="Times New Roman"/>
                <w:i/>
                <w:iCs/>
                <w:sz w:val="20"/>
                <w:szCs w:val="20"/>
                <w:lang w:eastAsia="en-ZA"/>
              </w:rPr>
              <w:t>Anguilla anguilla</w:t>
            </w:r>
            <w:r w:rsidRPr="00276013">
              <w:rPr>
                <w:rFonts w:ascii="Times New Roman" w:eastAsia="Times New Roman" w:hAnsi="Times New Roman" w:cs="Times New Roman"/>
                <w:sz w:val="20"/>
                <w:szCs w:val="20"/>
                <w:lang w:eastAsia="en-ZA"/>
              </w:rPr>
              <w:t xml:space="preserve">) as a predator of </w:t>
            </w:r>
            <w:r w:rsidRPr="00276013">
              <w:rPr>
                <w:rFonts w:ascii="Times New Roman" w:eastAsia="Times New Roman" w:hAnsi="Times New Roman" w:cs="Times New Roman"/>
                <w:i/>
                <w:iCs/>
                <w:sz w:val="20"/>
                <w:szCs w:val="20"/>
                <w:lang w:eastAsia="en-ZA"/>
              </w:rPr>
              <w:t>Procambarus clarkii</w:t>
            </w:r>
            <w:r w:rsidRPr="00276013">
              <w:rPr>
                <w:rFonts w:ascii="Times New Roman" w:eastAsia="Times New Roman" w:hAnsi="Times New Roman" w:cs="Times New Roman"/>
                <w:sz w:val="20"/>
                <w:szCs w:val="20"/>
                <w:lang w:eastAsia="en-ZA"/>
              </w:rPr>
              <w:t xml:space="preserve">’, </w:t>
            </w:r>
            <w:r w:rsidRPr="00276013">
              <w:rPr>
                <w:rFonts w:ascii="Times New Roman" w:eastAsia="Times New Roman" w:hAnsi="Times New Roman" w:cs="Times New Roman"/>
                <w:i/>
                <w:iCs/>
                <w:sz w:val="20"/>
                <w:szCs w:val="20"/>
                <w:lang w:eastAsia="en-ZA"/>
              </w:rPr>
              <w:t>Biological Invasions</w:t>
            </w:r>
            <w:r w:rsidRPr="00276013">
              <w:rPr>
                <w:rFonts w:ascii="Times New Roman" w:eastAsia="Times New Roman" w:hAnsi="Times New Roman" w:cs="Times New Roman"/>
                <w:sz w:val="20"/>
                <w:szCs w:val="20"/>
                <w:lang w:eastAsia="en-ZA"/>
              </w:rPr>
              <w:t xml:space="preserve"> 12 3817-3824. </w:t>
            </w:r>
            <w:hyperlink r:id="rId304" w:history="1">
              <w:r w:rsidRPr="00276013">
                <w:rPr>
                  <w:rStyle w:val="Hyperlink"/>
                  <w:rFonts w:ascii="Times New Roman" w:eastAsia="Times New Roman" w:hAnsi="Times New Roman" w:cs="Times New Roman"/>
                  <w:bCs/>
                  <w:sz w:val="20"/>
                  <w:szCs w:val="20"/>
                  <w:lang w:eastAsia="en-ZA"/>
                </w:rPr>
                <w:t>https://doi.org/10.1007/s10530-007-9094-0</w:t>
              </w:r>
            </w:hyperlink>
            <w:r w:rsidRPr="00276013">
              <w:rPr>
                <w:rFonts w:ascii="Times New Roman" w:eastAsia="Times New Roman" w:hAnsi="Times New Roman" w:cs="Times New Roman"/>
                <w:bCs/>
                <w:sz w:val="20"/>
                <w:szCs w:val="20"/>
                <w:lang w:eastAsia="en-ZA"/>
              </w:rPr>
              <w:t>.</w:t>
            </w:r>
          </w:p>
          <w:p w14:paraId="2EA0E7C9" w14:textId="77777777" w:rsidR="00276013" w:rsidRPr="00276013" w:rsidRDefault="00276013" w:rsidP="00276013">
            <w:pPr>
              <w:ind w:left="720" w:hanging="720"/>
              <w:contextualSpacing/>
              <w:jc w:val="both"/>
              <w:rPr>
                <w:rFonts w:ascii="Times New Roman" w:eastAsia="Times New Roman" w:hAnsi="Times New Roman" w:cs="Times New Roman"/>
                <w:sz w:val="20"/>
                <w:szCs w:val="20"/>
                <w:lang w:eastAsia="en-ZA"/>
              </w:rPr>
            </w:pPr>
            <w:r w:rsidRPr="00276013">
              <w:rPr>
                <w:rFonts w:ascii="Times New Roman" w:eastAsia="Times New Roman" w:hAnsi="Times New Roman" w:cs="Times New Roman"/>
                <w:sz w:val="20"/>
                <w:szCs w:val="20"/>
                <w:lang w:eastAsia="en-ZA"/>
              </w:rPr>
              <w:t xml:space="preserve">Barkhuizen, L.M, Madzivanzira, T.C., South, J., 2022, ‘Population ecology of a wild population of red swamp crayfish </w:t>
            </w:r>
            <w:r w:rsidRPr="00276013">
              <w:rPr>
                <w:rFonts w:ascii="Times New Roman" w:eastAsia="Times New Roman" w:hAnsi="Times New Roman" w:cs="Times New Roman"/>
                <w:i/>
                <w:iCs/>
                <w:sz w:val="20"/>
                <w:szCs w:val="20"/>
                <w:lang w:eastAsia="en-ZA"/>
              </w:rPr>
              <w:t>Procambarus clarkii</w:t>
            </w:r>
            <w:r w:rsidRPr="00276013">
              <w:rPr>
                <w:rFonts w:ascii="Times New Roman" w:eastAsia="Times New Roman" w:hAnsi="Times New Roman" w:cs="Times New Roman"/>
                <w:sz w:val="20"/>
                <w:szCs w:val="20"/>
                <w:lang w:eastAsia="en-ZA"/>
              </w:rPr>
              <w:t xml:space="preserve"> (Girard, 1852) in the Free State Province, South Africa and implications for eradication efforts’, </w:t>
            </w:r>
            <w:r w:rsidRPr="00276013">
              <w:rPr>
                <w:rFonts w:ascii="Times New Roman" w:eastAsia="Times New Roman" w:hAnsi="Times New Roman" w:cs="Times New Roman"/>
                <w:i/>
                <w:iCs/>
                <w:sz w:val="20"/>
                <w:szCs w:val="20"/>
                <w:lang w:eastAsia="en-ZA"/>
              </w:rPr>
              <w:t>BioInvasions Records</w:t>
            </w:r>
            <w:r w:rsidRPr="00276013">
              <w:rPr>
                <w:rFonts w:ascii="Times New Roman" w:eastAsia="Times New Roman" w:hAnsi="Times New Roman" w:cs="Times New Roman"/>
                <w:sz w:val="20"/>
                <w:szCs w:val="20"/>
                <w:lang w:eastAsia="en-ZA"/>
              </w:rPr>
              <w:t xml:space="preserve"> 11, 181–191. </w:t>
            </w:r>
            <w:hyperlink r:id="rId305" w:history="1">
              <w:r w:rsidRPr="00276013">
                <w:rPr>
                  <w:rStyle w:val="Hyperlink"/>
                  <w:rFonts w:ascii="Times New Roman" w:eastAsia="Times New Roman" w:hAnsi="Times New Roman" w:cs="Times New Roman"/>
                  <w:iCs/>
                  <w:sz w:val="20"/>
                  <w:szCs w:val="20"/>
                  <w:lang w:eastAsia="en-ZA"/>
                </w:rPr>
                <w:t>https://doi.org/10.3391/bir.2022</w:t>
              </w:r>
            </w:hyperlink>
            <w:r w:rsidRPr="00276013">
              <w:rPr>
                <w:rFonts w:ascii="Times New Roman" w:eastAsia="Times New Roman" w:hAnsi="Times New Roman" w:cs="Times New Roman"/>
                <w:sz w:val="20"/>
                <w:szCs w:val="20"/>
                <w:lang w:eastAsia="en-ZA"/>
              </w:rPr>
              <w:t>.</w:t>
            </w:r>
          </w:p>
          <w:p w14:paraId="6DE8C73C" w14:textId="77777777" w:rsidR="00276013" w:rsidRPr="00276013" w:rsidRDefault="00276013" w:rsidP="00276013">
            <w:pPr>
              <w:ind w:left="720" w:hanging="720"/>
              <w:contextualSpacing/>
              <w:jc w:val="both"/>
              <w:rPr>
                <w:rFonts w:ascii="Times New Roman" w:eastAsia="Times New Roman" w:hAnsi="Times New Roman" w:cs="Times New Roman"/>
                <w:sz w:val="20"/>
                <w:szCs w:val="20"/>
                <w:lang w:eastAsia="en-ZA"/>
              </w:rPr>
            </w:pPr>
            <w:r w:rsidRPr="00276013">
              <w:rPr>
                <w:rFonts w:ascii="Times New Roman" w:eastAsia="Times New Roman" w:hAnsi="Times New Roman" w:cs="Times New Roman"/>
                <w:sz w:val="20"/>
                <w:szCs w:val="20"/>
                <w:lang w:eastAsia="en-ZA"/>
              </w:rPr>
              <w:t xml:space="preserve">Gherardi, F., Aquiloni, L., Diéguez-Uribeondo, J. &amp; Tricarico E., 2011, ‘Managing invasive crayfish: is there a hope? </w:t>
            </w:r>
            <w:r w:rsidRPr="00276013">
              <w:rPr>
                <w:rFonts w:ascii="Times New Roman" w:eastAsia="Times New Roman" w:hAnsi="Times New Roman" w:cs="Times New Roman"/>
                <w:i/>
                <w:iCs/>
                <w:sz w:val="20"/>
                <w:szCs w:val="20"/>
                <w:lang w:eastAsia="en-ZA"/>
              </w:rPr>
              <w:t>Aquatic Sciences</w:t>
            </w:r>
            <w:r w:rsidRPr="00276013">
              <w:rPr>
                <w:rFonts w:ascii="Times New Roman" w:eastAsia="Times New Roman" w:hAnsi="Times New Roman" w:cs="Times New Roman"/>
                <w:sz w:val="20"/>
                <w:szCs w:val="20"/>
                <w:lang w:eastAsia="en-ZA"/>
              </w:rPr>
              <w:t xml:space="preserve"> </w:t>
            </w:r>
            <w:r w:rsidRPr="00276013">
              <w:rPr>
                <w:rFonts w:ascii="Times New Roman" w:eastAsia="Times New Roman" w:hAnsi="Times New Roman" w:cs="Times New Roman"/>
                <w:iCs/>
                <w:sz w:val="20"/>
                <w:szCs w:val="20"/>
                <w:lang w:eastAsia="en-ZA"/>
              </w:rPr>
              <w:t>73,</w:t>
            </w:r>
            <w:r w:rsidRPr="00276013">
              <w:rPr>
                <w:rFonts w:ascii="Times New Roman" w:eastAsia="Times New Roman" w:hAnsi="Times New Roman" w:cs="Times New Roman"/>
                <w:sz w:val="20"/>
                <w:szCs w:val="20"/>
                <w:lang w:eastAsia="en-ZA"/>
              </w:rPr>
              <w:t xml:space="preserve"> 185–200. https://doi.org/10.1007/s00027-011-0181-z.</w:t>
            </w:r>
          </w:p>
          <w:p w14:paraId="16303200" w14:textId="77777777" w:rsidR="00276013" w:rsidRPr="00276013" w:rsidRDefault="00276013" w:rsidP="00276013">
            <w:pPr>
              <w:ind w:left="720" w:hanging="720"/>
              <w:contextualSpacing/>
              <w:jc w:val="both"/>
              <w:rPr>
                <w:rFonts w:ascii="Times New Roman" w:eastAsia="Times New Roman" w:hAnsi="Times New Roman" w:cs="Times New Roman"/>
                <w:bCs/>
                <w:sz w:val="20"/>
                <w:szCs w:val="20"/>
                <w:lang w:eastAsia="en-ZA"/>
              </w:rPr>
            </w:pPr>
            <w:r w:rsidRPr="00276013">
              <w:rPr>
                <w:rFonts w:ascii="Times New Roman" w:eastAsia="Times New Roman" w:hAnsi="Times New Roman" w:cs="Times New Roman"/>
                <w:bCs/>
                <w:sz w:val="20"/>
                <w:szCs w:val="20"/>
                <w:lang w:eastAsia="en-ZA"/>
              </w:rPr>
              <w:t xml:space="preserve">Loureiro, T.G, Anastácio, P.M, de Siqueira Bueno, S.L. &amp; Araujo, P.B., 2018, ‘Management of invasive populations of the freshwater crayfish </w:t>
            </w:r>
            <w:r w:rsidRPr="00276013">
              <w:rPr>
                <w:rFonts w:ascii="Times New Roman" w:eastAsia="Times New Roman" w:hAnsi="Times New Roman" w:cs="Times New Roman"/>
                <w:bCs/>
                <w:i/>
                <w:sz w:val="20"/>
                <w:szCs w:val="20"/>
                <w:lang w:eastAsia="en-ZA"/>
              </w:rPr>
              <w:t>Procambarus clarkii</w:t>
            </w:r>
            <w:r w:rsidRPr="00276013">
              <w:rPr>
                <w:rFonts w:ascii="Times New Roman" w:eastAsia="Times New Roman" w:hAnsi="Times New Roman" w:cs="Times New Roman"/>
                <w:bCs/>
                <w:sz w:val="20"/>
                <w:szCs w:val="20"/>
                <w:lang w:eastAsia="en-ZA"/>
              </w:rPr>
              <w:t xml:space="preserve"> (Decapoda, Cambaridae): test of a population-control method and proposal of a standard monitoring approach’, </w:t>
            </w:r>
            <w:r w:rsidRPr="00276013">
              <w:rPr>
                <w:rFonts w:ascii="Times New Roman" w:eastAsia="Times New Roman" w:hAnsi="Times New Roman" w:cs="Times New Roman"/>
                <w:bCs/>
                <w:i/>
                <w:sz w:val="20"/>
                <w:szCs w:val="20"/>
                <w:lang w:eastAsia="en-ZA"/>
              </w:rPr>
              <w:t>Environmental Monitoring Assessment</w:t>
            </w:r>
            <w:r w:rsidRPr="00276013">
              <w:rPr>
                <w:rFonts w:ascii="Times New Roman" w:eastAsia="Times New Roman" w:hAnsi="Times New Roman" w:cs="Times New Roman"/>
                <w:bCs/>
                <w:sz w:val="20"/>
                <w:szCs w:val="20"/>
                <w:lang w:eastAsia="en-ZA"/>
              </w:rPr>
              <w:t xml:space="preserve"> 190, 559, https://doi.org/10.1007/s10661-018-6942-6.</w:t>
            </w:r>
          </w:p>
          <w:p w14:paraId="51FADE60" w14:textId="77777777" w:rsidR="00276013" w:rsidRPr="00276013" w:rsidRDefault="00276013" w:rsidP="00276013">
            <w:pPr>
              <w:ind w:left="720" w:hanging="720"/>
              <w:contextualSpacing/>
              <w:jc w:val="both"/>
              <w:rPr>
                <w:rFonts w:ascii="Times New Roman" w:eastAsia="Times New Roman" w:hAnsi="Times New Roman" w:cs="Times New Roman"/>
                <w:sz w:val="20"/>
                <w:szCs w:val="20"/>
                <w:lang w:eastAsia="en-ZA"/>
              </w:rPr>
            </w:pPr>
            <w:r w:rsidRPr="00276013">
              <w:rPr>
                <w:rFonts w:ascii="Times New Roman" w:eastAsia="Times New Roman" w:hAnsi="Times New Roman" w:cs="Times New Roman"/>
                <w:sz w:val="20"/>
                <w:szCs w:val="20"/>
                <w:lang w:eastAsia="en-ZA"/>
              </w:rPr>
              <w:t xml:space="preserve">Madzivanzira, T.C., South, J., Nhiwatiwa, T. &amp; Weyl, O.L.F., 2021, ‘Standardisation of Australian redclaw crayfish </w:t>
            </w:r>
            <w:r w:rsidRPr="00276013">
              <w:rPr>
                <w:rFonts w:ascii="Times New Roman" w:eastAsia="Times New Roman" w:hAnsi="Times New Roman" w:cs="Times New Roman"/>
                <w:i/>
                <w:iCs/>
                <w:sz w:val="20"/>
                <w:szCs w:val="20"/>
                <w:lang w:eastAsia="en-ZA"/>
              </w:rPr>
              <w:t>Cherax quadricarinatus</w:t>
            </w:r>
            <w:r w:rsidRPr="00276013">
              <w:rPr>
                <w:rFonts w:ascii="Times New Roman" w:eastAsia="Times New Roman" w:hAnsi="Times New Roman" w:cs="Times New Roman"/>
                <w:sz w:val="20"/>
                <w:szCs w:val="20"/>
                <w:lang w:eastAsia="en-ZA"/>
              </w:rPr>
              <w:t xml:space="preserve"> sampling gear in southern Africa’, </w:t>
            </w:r>
            <w:r w:rsidRPr="00276013">
              <w:rPr>
                <w:rFonts w:ascii="Times New Roman" w:eastAsia="Times New Roman" w:hAnsi="Times New Roman" w:cs="Times New Roman"/>
                <w:i/>
                <w:iCs/>
                <w:sz w:val="20"/>
                <w:szCs w:val="20"/>
                <w:lang w:eastAsia="en-ZA"/>
              </w:rPr>
              <w:t>Water SA</w:t>
            </w:r>
            <w:r w:rsidRPr="00276013">
              <w:rPr>
                <w:rFonts w:ascii="Times New Roman" w:eastAsia="Times New Roman" w:hAnsi="Times New Roman" w:cs="Times New Roman"/>
                <w:sz w:val="20"/>
                <w:szCs w:val="20"/>
                <w:lang w:eastAsia="en-ZA"/>
              </w:rPr>
              <w:t xml:space="preserve"> 47, 380–384. https://hdl.handle.net/10520/ejc-waters-v47-n3-a10.</w:t>
            </w:r>
          </w:p>
          <w:p w14:paraId="2031E171" w14:textId="77777777" w:rsidR="00276013" w:rsidRPr="00276013" w:rsidRDefault="00276013" w:rsidP="00276013">
            <w:pPr>
              <w:ind w:left="720" w:hanging="720"/>
              <w:contextualSpacing/>
              <w:jc w:val="both"/>
              <w:rPr>
                <w:rFonts w:ascii="Times New Roman" w:eastAsia="Times New Roman" w:hAnsi="Times New Roman" w:cs="Times New Roman"/>
                <w:sz w:val="20"/>
                <w:szCs w:val="20"/>
                <w:lang w:eastAsia="en-ZA"/>
              </w:rPr>
            </w:pPr>
            <w:r w:rsidRPr="00276013">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276013">
              <w:rPr>
                <w:rFonts w:ascii="Times New Roman" w:eastAsia="Times New Roman" w:hAnsi="Times New Roman" w:cs="Times New Roman"/>
                <w:i/>
                <w:sz w:val="20"/>
                <w:szCs w:val="20"/>
                <w:lang w:eastAsia="en-ZA"/>
              </w:rPr>
              <w:t>Cherax quadricarinatus</w:t>
            </w:r>
            <w:r w:rsidRPr="00276013">
              <w:rPr>
                <w:rFonts w:ascii="Times New Roman" w:eastAsia="Times New Roman" w:hAnsi="Times New Roman" w:cs="Times New Roman"/>
                <w:sz w:val="20"/>
                <w:szCs w:val="20"/>
                <w:lang w:eastAsia="en-ZA"/>
              </w:rPr>
              <w:t xml:space="preserve">, in South Africa and Swaziland’, </w:t>
            </w:r>
            <w:r w:rsidRPr="00276013">
              <w:rPr>
                <w:rFonts w:ascii="Times New Roman" w:eastAsia="Times New Roman" w:hAnsi="Times New Roman" w:cs="Times New Roman"/>
                <w:i/>
                <w:iCs/>
                <w:sz w:val="20"/>
                <w:szCs w:val="20"/>
                <w:lang w:eastAsia="en-ZA"/>
              </w:rPr>
              <w:t>PeerJ</w:t>
            </w:r>
            <w:r w:rsidRPr="00276013">
              <w:rPr>
                <w:rFonts w:ascii="Times New Roman" w:eastAsia="Times New Roman" w:hAnsi="Times New Roman" w:cs="Times New Roman"/>
                <w:sz w:val="20"/>
                <w:szCs w:val="20"/>
                <w:lang w:eastAsia="en-ZA"/>
              </w:rPr>
              <w:t xml:space="preserve"> </w:t>
            </w:r>
            <w:r w:rsidRPr="00276013">
              <w:rPr>
                <w:rFonts w:ascii="Times New Roman" w:eastAsia="Times New Roman" w:hAnsi="Times New Roman" w:cs="Times New Roman"/>
                <w:iCs/>
                <w:sz w:val="20"/>
                <w:szCs w:val="20"/>
                <w:lang w:eastAsia="en-ZA"/>
              </w:rPr>
              <w:t>5,</w:t>
            </w:r>
            <w:r w:rsidRPr="00276013">
              <w:rPr>
                <w:rFonts w:ascii="Times New Roman" w:eastAsia="Times New Roman" w:hAnsi="Times New Roman" w:cs="Times New Roman"/>
                <w:sz w:val="20"/>
                <w:szCs w:val="20"/>
                <w:lang w:eastAsia="en-ZA"/>
              </w:rPr>
              <w:t xml:space="preserve"> 1-21. </w:t>
            </w:r>
            <w:hyperlink r:id="rId306" w:history="1">
              <w:r w:rsidRPr="00276013">
                <w:rPr>
                  <w:rStyle w:val="Hyperlink"/>
                  <w:rFonts w:ascii="Times New Roman" w:eastAsia="Times New Roman" w:hAnsi="Times New Roman" w:cs="Times New Roman"/>
                  <w:sz w:val="20"/>
                  <w:szCs w:val="20"/>
                  <w:lang w:eastAsia="en-ZA"/>
                </w:rPr>
                <w:t>https://doi.org/10.7717/peerj.3135</w:t>
              </w:r>
            </w:hyperlink>
            <w:r w:rsidRPr="00276013">
              <w:rPr>
                <w:rFonts w:ascii="Times New Roman" w:eastAsia="Times New Roman" w:hAnsi="Times New Roman" w:cs="Times New Roman"/>
                <w:sz w:val="20"/>
                <w:szCs w:val="20"/>
                <w:lang w:eastAsia="en-ZA"/>
              </w:rPr>
              <w:t xml:space="preserve">.  </w:t>
            </w:r>
          </w:p>
          <w:p w14:paraId="34A27A5A" w14:textId="77777777" w:rsidR="00276013" w:rsidRPr="00276013" w:rsidRDefault="00276013" w:rsidP="00276013">
            <w:pPr>
              <w:ind w:left="720" w:hanging="720"/>
              <w:contextualSpacing/>
              <w:jc w:val="both"/>
              <w:rPr>
                <w:rFonts w:ascii="Times New Roman" w:eastAsia="Times New Roman" w:hAnsi="Times New Roman" w:cs="Times New Roman"/>
                <w:bCs/>
                <w:sz w:val="20"/>
                <w:szCs w:val="20"/>
                <w:lang w:eastAsia="en-ZA"/>
              </w:rPr>
            </w:pPr>
            <w:r w:rsidRPr="00276013">
              <w:rPr>
                <w:rFonts w:ascii="Times New Roman" w:eastAsia="Times New Roman" w:hAnsi="Times New Roman" w:cs="Times New Roman"/>
                <w:bCs/>
                <w:sz w:val="20"/>
                <w:szCs w:val="20"/>
                <w:lang w:eastAsia="en-ZA"/>
              </w:rPr>
              <w:t xml:space="preserve">Peay, S., Johnsen, S.I, Bean, S.W., Dunn, A.M., Sandodden, R. &amp; Edsman, L, 2019, ‘Biocide treatment of invasive signal crayfish: Successes, failures and lessons learned’, </w:t>
            </w:r>
            <w:r w:rsidRPr="00276013">
              <w:rPr>
                <w:rFonts w:ascii="Times New Roman" w:eastAsia="Times New Roman" w:hAnsi="Times New Roman" w:cs="Times New Roman"/>
                <w:bCs/>
                <w:i/>
                <w:sz w:val="20"/>
                <w:szCs w:val="20"/>
                <w:lang w:eastAsia="en-ZA"/>
              </w:rPr>
              <w:t>Diversity</w:t>
            </w:r>
            <w:r w:rsidRPr="00276013">
              <w:rPr>
                <w:rFonts w:ascii="Times New Roman" w:eastAsia="Times New Roman" w:hAnsi="Times New Roman" w:cs="Times New Roman"/>
                <w:bCs/>
                <w:sz w:val="20"/>
                <w:szCs w:val="20"/>
                <w:lang w:eastAsia="en-ZA"/>
              </w:rPr>
              <w:t xml:space="preserve"> 11, 29. </w:t>
            </w:r>
            <w:hyperlink r:id="rId307" w:history="1">
              <w:r w:rsidRPr="00276013">
                <w:rPr>
                  <w:rStyle w:val="Hyperlink"/>
                  <w:rFonts w:ascii="Times New Roman" w:eastAsia="Times New Roman" w:hAnsi="Times New Roman" w:cs="Times New Roman"/>
                  <w:bCs/>
                  <w:sz w:val="20"/>
                  <w:szCs w:val="20"/>
                  <w:lang w:eastAsia="en-ZA"/>
                </w:rPr>
                <w:t>https://doi.org/10.3390/d11030029</w:t>
              </w:r>
            </w:hyperlink>
            <w:r w:rsidRPr="00276013">
              <w:rPr>
                <w:rFonts w:ascii="Times New Roman" w:eastAsia="Times New Roman" w:hAnsi="Times New Roman" w:cs="Times New Roman"/>
                <w:bCs/>
                <w:sz w:val="20"/>
                <w:szCs w:val="20"/>
                <w:lang w:eastAsia="en-ZA"/>
              </w:rPr>
              <w:t xml:space="preserve">  </w:t>
            </w:r>
          </w:p>
          <w:p w14:paraId="583CA16A" w14:textId="0F2F958F" w:rsidR="00276013" w:rsidRPr="00276013" w:rsidRDefault="00276013" w:rsidP="00276013">
            <w:pPr>
              <w:ind w:left="720" w:hanging="720"/>
              <w:contextualSpacing/>
              <w:jc w:val="both"/>
              <w:rPr>
                <w:rFonts w:ascii="Times New Roman" w:eastAsia="Times New Roman" w:hAnsi="Times New Roman" w:cs="Times New Roman"/>
                <w:sz w:val="20"/>
                <w:szCs w:val="20"/>
                <w:lang w:eastAsia="en-ZA"/>
              </w:rPr>
            </w:pPr>
            <w:r w:rsidRPr="00276013">
              <w:rPr>
                <w:rFonts w:ascii="Times New Roman" w:eastAsia="Times New Roman" w:hAnsi="Times New Roman" w:cs="Times New Roman"/>
                <w:sz w:val="20"/>
                <w:szCs w:val="20"/>
                <w:lang w:eastAsia="en-ZA"/>
              </w:rPr>
              <w:t xml:space="preserve">Stebbing, P., Longshaw, M., Scott, A., 2014, ‘Review of methods for the management of nonindigenous crayfish, with particular reference to Great Britain’, </w:t>
            </w:r>
            <w:r w:rsidRPr="00276013">
              <w:rPr>
                <w:rFonts w:ascii="Times New Roman" w:eastAsia="Times New Roman" w:hAnsi="Times New Roman" w:cs="Times New Roman"/>
                <w:i/>
                <w:iCs/>
                <w:sz w:val="20"/>
                <w:szCs w:val="20"/>
                <w:lang w:eastAsia="en-ZA"/>
              </w:rPr>
              <w:t>Ethology Ecology &amp; Evolution</w:t>
            </w:r>
            <w:r w:rsidRPr="00276013">
              <w:rPr>
                <w:rFonts w:ascii="Times New Roman" w:eastAsia="Times New Roman" w:hAnsi="Times New Roman" w:cs="Times New Roman"/>
                <w:sz w:val="20"/>
                <w:szCs w:val="20"/>
                <w:lang w:eastAsia="en-ZA"/>
              </w:rPr>
              <w:t xml:space="preserve"> 26, 204-231. https://doi.org/10.1080/03949370.2014.908326.</w:t>
            </w:r>
          </w:p>
          <w:p w14:paraId="375C6F22" w14:textId="29094DBB" w:rsidR="002D7080" w:rsidRPr="004D1E6F" w:rsidRDefault="00276013" w:rsidP="00276013">
            <w:pPr>
              <w:ind w:left="720" w:hanging="720"/>
              <w:contextualSpacing/>
              <w:rPr>
                <w:rFonts w:ascii="Times New Roman" w:eastAsia="Times New Roman" w:hAnsi="Times New Roman" w:cs="Times New Roman"/>
                <w:sz w:val="20"/>
                <w:szCs w:val="20"/>
                <w:lang w:eastAsia="en-ZA"/>
              </w:rPr>
            </w:pPr>
            <w:r w:rsidRPr="00E36901">
              <w:rPr>
                <w:rFonts w:ascii="Times New Roman" w:eastAsia="Times New Roman" w:hAnsi="Times New Roman" w:cs="Times New Roman"/>
                <w:iCs/>
                <w:sz w:val="20"/>
                <w:szCs w:val="20"/>
                <w:lang w:eastAsia="en-ZA"/>
              </w:rPr>
              <w:lastRenderedPageBreak/>
              <w:t>Woodford, D.J., Ivey, P., Novoa, A., Shackleton, R., Richardson, D., Weyl, O., Van Wilgen, B. and Zengeya, T</w:t>
            </w:r>
            <w:r w:rsidRPr="00276013">
              <w:rPr>
                <w:rFonts w:ascii="Times New Roman" w:eastAsia="Times New Roman" w:hAnsi="Times New Roman" w:cs="Times New Roman"/>
                <w:sz w:val="20"/>
                <w:szCs w:val="20"/>
                <w:lang w:eastAsia="en-ZA"/>
              </w:rPr>
              <w:t xml:space="preserve">., 2017, ‘Managing conflict-generating invasive species in South Africa: Challenges and trade-offs’, </w:t>
            </w:r>
            <w:r w:rsidRPr="00276013">
              <w:rPr>
                <w:rFonts w:ascii="Times New Roman" w:eastAsia="Times New Roman" w:hAnsi="Times New Roman" w:cs="Times New Roman"/>
                <w:i/>
                <w:iCs/>
                <w:sz w:val="20"/>
                <w:szCs w:val="20"/>
                <w:lang w:eastAsia="en-ZA"/>
              </w:rPr>
              <w:t xml:space="preserve">Bothalia </w:t>
            </w:r>
            <w:r w:rsidRPr="00276013">
              <w:rPr>
                <w:rFonts w:ascii="Times New Roman" w:eastAsia="Times New Roman" w:hAnsi="Times New Roman" w:cs="Times New Roman"/>
                <w:sz w:val="20"/>
                <w:szCs w:val="20"/>
                <w:lang w:eastAsia="en-ZA"/>
              </w:rPr>
              <w:t>47, a2160. https://doi. org/10.4102/abc.v47i2.2160.</w:t>
            </w:r>
          </w:p>
        </w:tc>
      </w:tr>
    </w:tbl>
    <w:p w14:paraId="21C33233" w14:textId="77777777" w:rsidR="002D7080" w:rsidRPr="004D1E6F" w:rsidRDefault="002D7080" w:rsidP="002D7080">
      <w:pPr>
        <w:spacing w:after="0" w:line="240" w:lineRule="auto"/>
        <w:rPr>
          <w:rFonts w:ascii="Times New Roman" w:eastAsia="Calibri" w:hAnsi="Times New Roman" w:cs="Times New Roman"/>
          <w:b/>
          <w:sz w:val="20"/>
          <w:szCs w:val="20"/>
        </w:rPr>
      </w:pPr>
    </w:p>
    <w:tbl>
      <w:tblPr>
        <w:tblStyle w:val="TableGrid10"/>
        <w:tblW w:w="9067" w:type="dxa"/>
        <w:tblLook w:val="04A0" w:firstRow="1" w:lastRow="0" w:firstColumn="1" w:lastColumn="0" w:noHBand="0" w:noVBand="1"/>
      </w:tblPr>
      <w:tblGrid>
        <w:gridCol w:w="1696"/>
        <w:gridCol w:w="7371"/>
      </w:tblGrid>
      <w:tr w:rsidR="002D7080" w:rsidRPr="004D1E6F" w14:paraId="6359AA46" w14:textId="77777777" w:rsidTr="002E2C37">
        <w:trPr>
          <w:trHeight w:val="343"/>
        </w:trPr>
        <w:tc>
          <w:tcPr>
            <w:tcW w:w="9067" w:type="dxa"/>
            <w:gridSpan w:val="2"/>
            <w:shd w:val="clear" w:color="auto" w:fill="F2F2F2" w:themeFill="background1" w:themeFillShade="F2"/>
          </w:tcPr>
          <w:p w14:paraId="5869867F"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MAN6 Any other management considerations to highlight? </w:t>
            </w:r>
          </w:p>
        </w:tc>
      </w:tr>
      <w:tr w:rsidR="002D7080" w:rsidRPr="004D1E6F" w14:paraId="281852A8" w14:textId="77777777" w:rsidTr="002E2C37">
        <w:trPr>
          <w:trHeight w:val="70"/>
        </w:trPr>
        <w:tc>
          <w:tcPr>
            <w:tcW w:w="1696" w:type="dxa"/>
          </w:tcPr>
          <w:p w14:paraId="01E62E1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w:t>
            </w:r>
          </w:p>
        </w:tc>
        <w:tc>
          <w:tcPr>
            <w:tcW w:w="7371" w:type="dxa"/>
          </w:tcPr>
          <w:p w14:paraId="768359C8" w14:textId="77777777" w:rsidR="002D7080" w:rsidRPr="004D1E6F" w:rsidRDefault="002D7080" w:rsidP="002E2C37">
            <w:pPr>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 xml:space="preserve">No </w:t>
            </w:r>
          </w:p>
        </w:tc>
      </w:tr>
    </w:tbl>
    <w:p w14:paraId="4827D152"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3A960BE9" w14:textId="77777777" w:rsidR="002D7080" w:rsidRDefault="002D7080" w:rsidP="002D7080">
      <w:pPr>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br w:type="page"/>
      </w:r>
    </w:p>
    <w:p w14:paraId="2953AA4F"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09B9692D"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5. Calculations</w:t>
      </w:r>
    </w:p>
    <w:p w14:paraId="290499F9"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3093A8E5"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Likelihood = Very unlikely</w:t>
      </w:r>
    </w:p>
    <w:p w14:paraId="2BC31EF4"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0"/>
        <w:tblW w:w="0" w:type="auto"/>
        <w:tblLook w:val="04A0" w:firstRow="1" w:lastRow="0" w:firstColumn="1" w:lastColumn="0" w:noHBand="0" w:noVBand="1"/>
      </w:tblPr>
      <w:tblGrid>
        <w:gridCol w:w="1195"/>
        <w:gridCol w:w="2628"/>
        <w:gridCol w:w="2939"/>
        <w:gridCol w:w="2254"/>
      </w:tblGrid>
      <w:tr w:rsidR="002D7080" w:rsidRPr="004D1E6F" w14:paraId="15347261" w14:textId="77777777" w:rsidTr="002E2C37">
        <w:tc>
          <w:tcPr>
            <w:tcW w:w="1195" w:type="dxa"/>
            <w:shd w:val="clear" w:color="auto" w:fill="D9D9D9" w:themeFill="background1" w:themeFillShade="D9"/>
            <w:vAlign w:val="center"/>
          </w:tcPr>
          <w:p w14:paraId="77872E3C"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Parameter</w:t>
            </w:r>
          </w:p>
        </w:tc>
        <w:tc>
          <w:tcPr>
            <w:tcW w:w="2628" w:type="dxa"/>
            <w:shd w:val="clear" w:color="auto" w:fill="D9D9D9" w:themeFill="background1" w:themeFillShade="D9"/>
            <w:vAlign w:val="center"/>
          </w:tcPr>
          <w:p w14:paraId="1805AB76"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Likelihood</w:t>
            </w:r>
          </w:p>
        </w:tc>
        <w:tc>
          <w:tcPr>
            <w:tcW w:w="2939" w:type="dxa"/>
            <w:shd w:val="clear" w:color="auto" w:fill="D9D9D9" w:themeFill="background1" w:themeFillShade="D9"/>
            <w:vAlign w:val="center"/>
          </w:tcPr>
          <w:p w14:paraId="2C8F847E"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Stages</w:t>
            </w:r>
          </w:p>
        </w:tc>
        <w:tc>
          <w:tcPr>
            <w:tcW w:w="2254" w:type="dxa"/>
            <w:shd w:val="clear" w:color="auto" w:fill="D9D9D9" w:themeFill="background1" w:themeFillShade="D9"/>
            <w:vAlign w:val="center"/>
          </w:tcPr>
          <w:p w14:paraId="18DA9936"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Final assessment</w:t>
            </w:r>
          </w:p>
        </w:tc>
      </w:tr>
      <w:tr w:rsidR="002D7080" w:rsidRPr="004D1E6F" w14:paraId="5F325065" w14:textId="77777777" w:rsidTr="002E2C37">
        <w:tc>
          <w:tcPr>
            <w:tcW w:w="1195" w:type="dxa"/>
            <w:shd w:val="clear" w:color="auto" w:fill="D9D9D9" w:themeFill="background1" w:themeFillShade="D9"/>
            <w:vAlign w:val="center"/>
          </w:tcPr>
          <w:p w14:paraId="1814AAD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LIK1</w:t>
            </w:r>
          </w:p>
        </w:tc>
        <w:tc>
          <w:tcPr>
            <w:tcW w:w="2628" w:type="dxa"/>
            <w:vAlign w:val="center"/>
          </w:tcPr>
          <w:p w14:paraId="6BEAA50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0.0027 </w:t>
            </w:r>
          </w:p>
        </w:tc>
        <w:tc>
          <w:tcPr>
            <w:tcW w:w="2939" w:type="dxa"/>
            <w:vMerge w:val="restart"/>
            <w:vAlign w:val="center"/>
          </w:tcPr>
          <w:p w14:paraId="23CA4D8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P(entry) = 0.</w:t>
            </w:r>
            <w:r>
              <w:rPr>
                <w:rFonts w:ascii="Times New Roman" w:eastAsia="Times New Roman" w:hAnsi="Times New Roman" w:cs="Times New Roman"/>
                <w:sz w:val="20"/>
                <w:szCs w:val="20"/>
                <w:lang w:eastAsia="en-ZA"/>
              </w:rPr>
              <w:t>5</w:t>
            </w:r>
          </w:p>
        </w:tc>
        <w:tc>
          <w:tcPr>
            <w:tcW w:w="2254" w:type="dxa"/>
            <w:vMerge w:val="restart"/>
            <w:vAlign w:val="center"/>
          </w:tcPr>
          <w:p w14:paraId="230DB05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 (invasion) = 0.</w:t>
            </w:r>
            <w:r>
              <w:rPr>
                <w:rFonts w:ascii="Times New Roman" w:eastAsia="Times New Roman" w:hAnsi="Times New Roman" w:cs="Times New Roman"/>
                <w:sz w:val="20"/>
                <w:szCs w:val="20"/>
                <w:lang w:eastAsia="en-ZA"/>
              </w:rPr>
              <w:t>125</w:t>
            </w:r>
          </w:p>
        </w:tc>
      </w:tr>
      <w:tr w:rsidR="002D7080" w:rsidRPr="004D1E6F" w14:paraId="59865254" w14:textId="77777777" w:rsidTr="002E2C37">
        <w:tc>
          <w:tcPr>
            <w:tcW w:w="1195" w:type="dxa"/>
            <w:shd w:val="clear" w:color="auto" w:fill="D9D9D9" w:themeFill="background1" w:themeFillShade="D9"/>
            <w:vAlign w:val="center"/>
          </w:tcPr>
          <w:p w14:paraId="2843104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LIK2</w:t>
            </w:r>
          </w:p>
        </w:tc>
        <w:tc>
          <w:tcPr>
            <w:tcW w:w="2628" w:type="dxa"/>
            <w:vAlign w:val="center"/>
          </w:tcPr>
          <w:p w14:paraId="2FD4489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0.</w:t>
            </w:r>
            <w:r>
              <w:rPr>
                <w:rFonts w:ascii="Times New Roman" w:eastAsia="Times New Roman" w:hAnsi="Times New Roman" w:cs="Times New Roman"/>
                <w:color w:val="000000"/>
                <w:sz w:val="20"/>
                <w:szCs w:val="20"/>
                <w:lang w:eastAsia="en-ZA"/>
              </w:rPr>
              <w:t>5</w:t>
            </w:r>
          </w:p>
        </w:tc>
        <w:tc>
          <w:tcPr>
            <w:tcW w:w="2939" w:type="dxa"/>
            <w:vMerge/>
            <w:vAlign w:val="center"/>
          </w:tcPr>
          <w:p w14:paraId="7DF27A2F"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5A466465"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6FDEA8AA" w14:textId="77777777" w:rsidTr="002E2C37">
        <w:tc>
          <w:tcPr>
            <w:tcW w:w="1195" w:type="dxa"/>
            <w:shd w:val="clear" w:color="auto" w:fill="D9D9D9" w:themeFill="background1" w:themeFillShade="D9"/>
            <w:vAlign w:val="center"/>
          </w:tcPr>
          <w:p w14:paraId="11113FF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LIK3</w:t>
            </w:r>
          </w:p>
        </w:tc>
        <w:tc>
          <w:tcPr>
            <w:tcW w:w="2628" w:type="dxa"/>
            <w:vAlign w:val="center"/>
          </w:tcPr>
          <w:p w14:paraId="5DD01D0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0.5 </w:t>
            </w:r>
          </w:p>
        </w:tc>
        <w:tc>
          <w:tcPr>
            <w:tcW w:w="2939" w:type="dxa"/>
            <w:vMerge w:val="restart"/>
            <w:vAlign w:val="center"/>
          </w:tcPr>
          <w:p w14:paraId="13F6932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P(establishment) = 0.5</w:t>
            </w:r>
          </w:p>
        </w:tc>
        <w:tc>
          <w:tcPr>
            <w:tcW w:w="2254" w:type="dxa"/>
            <w:vMerge/>
            <w:vAlign w:val="center"/>
          </w:tcPr>
          <w:p w14:paraId="7576F695"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5949C1B4" w14:textId="77777777" w:rsidTr="002E2C37">
        <w:tc>
          <w:tcPr>
            <w:tcW w:w="1195" w:type="dxa"/>
            <w:shd w:val="clear" w:color="auto" w:fill="D9D9D9" w:themeFill="background1" w:themeFillShade="D9"/>
            <w:vAlign w:val="center"/>
          </w:tcPr>
          <w:p w14:paraId="4BF9696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LIK4</w:t>
            </w:r>
          </w:p>
        </w:tc>
        <w:tc>
          <w:tcPr>
            <w:tcW w:w="2628" w:type="dxa"/>
            <w:vAlign w:val="center"/>
          </w:tcPr>
          <w:p w14:paraId="3A4CB68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0.5 </w:t>
            </w:r>
          </w:p>
        </w:tc>
        <w:tc>
          <w:tcPr>
            <w:tcW w:w="2939" w:type="dxa"/>
            <w:vMerge/>
            <w:vAlign w:val="center"/>
          </w:tcPr>
          <w:p w14:paraId="2C0368C2"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19D69CCA"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437D774F" w14:textId="77777777" w:rsidTr="002E2C37">
        <w:tc>
          <w:tcPr>
            <w:tcW w:w="1195" w:type="dxa"/>
            <w:shd w:val="clear" w:color="auto" w:fill="D9D9D9" w:themeFill="background1" w:themeFillShade="D9"/>
            <w:vAlign w:val="center"/>
          </w:tcPr>
          <w:p w14:paraId="7D990BC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LIK5</w:t>
            </w:r>
          </w:p>
        </w:tc>
        <w:tc>
          <w:tcPr>
            <w:tcW w:w="2628" w:type="dxa"/>
            <w:vAlign w:val="center"/>
          </w:tcPr>
          <w:p w14:paraId="7366A98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0.0027</w:t>
            </w:r>
          </w:p>
        </w:tc>
        <w:tc>
          <w:tcPr>
            <w:tcW w:w="2939" w:type="dxa"/>
            <w:vMerge w:val="restart"/>
            <w:vAlign w:val="center"/>
          </w:tcPr>
          <w:p w14:paraId="4481F21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 (spread) = 0.</w:t>
            </w:r>
            <w:r>
              <w:rPr>
                <w:rFonts w:ascii="Times New Roman" w:eastAsia="Times New Roman" w:hAnsi="Times New Roman" w:cs="Times New Roman"/>
                <w:sz w:val="20"/>
                <w:szCs w:val="20"/>
                <w:lang w:eastAsia="en-ZA"/>
              </w:rPr>
              <w:t>5</w:t>
            </w:r>
          </w:p>
        </w:tc>
        <w:tc>
          <w:tcPr>
            <w:tcW w:w="2254" w:type="dxa"/>
            <w:vMerge/>
            <w:vAlign w:val="center"/>
          </w:tcPr>
          <w:p w14:paraId="48320F30"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0F61B270" w14:textId="77777777" w:rsidTr="002E2C37">
        <w:tc>
          <w:tcPr>
            <w:tcW w:w="1195" w:type="dxa"/>
            <w:shd w:val="clear" w:color="auto" w:fill="D9D9D9" w:themeFill="background1" w:themeFillShade="D9"/>
            <w:vAlign w:val="center"/>
          </w:tcPr>
          <w:p w14:paraId="3F56E77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LIK6</w:t>
            </w:r>
          </w:p>
        </w:tc>
        <w:tc>
          <w:tcPr>
            <w:tcW w:w="2628" w:type="dxa"/>
            <w:vAlign w:val="center"/>
          </w:tcPr>
          <w:p w14:paraId="03FBA5C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0.</w:t>
            </w:r>
            <w:r>
              <w:rPr>
                <w:rFonts w:ascii="Times New Roman" w:eastAsia="Times New Roman" w:hAnsi="Times New Roman" w:cs="Times New Roman"/>
                <w:color w:val="000000"/>
                <w:sz w:val="20"/>
                <w:szCs w:val="20"/>
                <w:lang w:eastAsia="en-ZA"/>
              </w:rPr>
              <w:t>5</w:t>
            </w:r>
          </w:p>
        </w:tc>
        <w:tc>
          <w:tcPr>
            <w:tcW w:w="2939" w:type="dxa"/>
            <w:vMerge/>
            <w:vAlign w:val="center"/>
          </w:tcPr>
          <w:p w14:paraId="68140821"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6388BA58" w14:textId="77777777" w:rsidR="002D7080" w:rsidRPr="004D1E6F" w:rsidRDefault="002D7080" w:rsidP="002E2C37">
            <w:pPr>
              <w:rPr>
                <w:rFonts w:ascii="Times New Roman" w:eastAsia="Times New Roman" w:hAnsi="Times New Roman" w:cs="Times New Roman"/>
                <w:sz w:val="20"/>
                <w:szCs w:val="20"/>
                <w:lang w:eastAsia="en-ZA"/>
              </w:rPr>
            </w:pPr>
          </w:p>
        </w:tc>
      </w:tr>
    </w:tbl>
    <w:p w14:paraId="32073ED1"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5B01A061"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Consequence = </w:t>
      </w:r>
      <w:r>
        <w:rPr>
          <w:rFonts w:ascii="Times New Roman" w:eastAsia="Times New Roman" w:hAnsi="Times New Roman" w:cs="Times New Roman"/>
          <w:b/>
          <w:sz w:val="20"/>
          <w:szCs w:val="20"/>
          <w:lang w:eastAsia="en-ZA"/>
        </w:rPr>
        <w:t>Major (</w:t>
      </w:r>
      <w:r w:rsidRPr="004D1E6F">
        <w:rPr>
          <w:rFonts w:ascii="Times New Roman" w:eastAsia="Times New Roman" w:hAnsi="Times New Roman" w:cs="Times New Roman"/>
          <w:b/>
          <w:sz w:val="20"/>
          <w:szCs w:val="20"/>
          <w:lang w:eastAsia="en-ZA"/>
        </w:rPr>
        <w:t>MR</w:t>
      </w:r>
      <w:r>
        <w:rPr>
          <w:rFonts w:ascii="Times New Roman" w:eastAsia="Times New Roman" w:hAnsi="Times New Roman" w:cs="Times New Roman"/>
          <w:b/>
          <w:sz w:val="20"/>
          <w:szCs w:val="20"/>
          <w:lang w:eastAsia="en-ZA"/>
        </w:rPr>
        <w:t>)</w:t>
      </w:r>
    </w:p>
    <w:p w14:paraId="68729BE0" w14:textId="77777777" w:rsidR="002D7080" w:rsidRPr="004D1E6F" w:rsidRDefault="002D7080" w:rsidP="002D7080">
      <w:pPr>
        <w:spacing w:after="0" w:line="240" w:lineRule="auto"/>
        <w:rPr>
          <w:rFonts w:ascii="Times New Roman" w:eastAsia="Times New Roman" w:hAnsi="Times New Roman" w:cs="Times New Roman"/>
          <w:bCs/>
          <w:sz w:val="20"/>
          <w:szCs w:val="20"/>
          <w:lang w:eastAsia="en-ZA"/>
        </w:rPr>
      </w:pPr>
    </w:p>
    <w:tbl>
      <w:tblPr>
        <w:tblStyle w:val="TableGrid10"/>
        <w:tblW w:w="0" w:type="auto"/>
        <w:tblLook w:val="04A0" w:firstRow="1" w:lastRow="0" w:firstColumn="1" w:lastColumn="0" w:noHBand="0" w:noVBand="1"/>
      </w:tblPr>
      <w:tblGrid>
        <w:gridCol w:w="1555"/>
        <w:gridCol w:w="5123"/>
        <w:gridCol w:w="2338"/>
      </w:tblGrid>
      <w:tr w:rsidR="002D7080" w:rsidRPr="004D1E6F" w14:paraId="5704D52A" w14:textId="77777777" w:rsidTr="002E2C37">
        <w:tc>
          <w:tcPr>
            <w:tcW w:w="1555" w:type="dxa"/>
            <w:shd w:val="clear" w:color="auto" w:fill="D9D9D9" w:themeFill="background1" w:themeFillShade="D9"/>
          </w:tcPr>
          <w:p w14:paraId="0FD2DD22"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Parameter</w:t>
            </w:r>
          </w:p>
        </w:tc>
        <w:tc>
          <w:tcPr>
            <w:tcW w:w="5123" w:type="dxa"/>
            <w:shd w:val="clear" w:color="auto" w:fill="D9D9D9" w:themeFill="background1" w:themeFillShade="D9"/>
          </w:tcPr>
          <w:p w14:paraId="277A2563"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Mechanism/sector</w:t>
            </w:r>
          </w:p>
        </w:tc>
        <w:tc>
          <w:tcPr>
            <w:tcW w:w="2338" w:type="dxa"/>
            <w:shd w:val="clear" w:color="auto" w:fill="D9D9D9" w:themeFill="background1" w:themeFillShade="D9"/>
          </w:tcPr>
          <w:p w14:paraId="13F91E1C"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Response</w:t>
            </w:r>
          </w:p>
        </w:tc>
      </w:tr>
      <w:tr w:rsidR="002D7080" w:rsidRPr="004D1E6F" w14:paraId="3AB93316" w14:textId="77777777" w:rsidTr="002E2C37">
        <w:tc>
          <w:tcPr>
            <w:tcW w:w="1555" w:type="dxa"/>
            <w:shd w:val="clear" w:color="auto" w:fill="D9D9D9" w:themeFill="background1" w:themeFillShade="D9"/>
          </w:tcPr>
          <w:p w14:paraId="6F72808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w:t>
            </w:r>
            <w:r>
              <w:rPr>
                <w:rFonts w:ascii="Times New Roman" w:eastAsia="Times New Roman" w:hAnsi="Times New Roman" w:cs="Times New Roman"/>
                <w:sz w:val="20"/>
                <w:szCs w:val="20"/>
                <w:lang w:eastAsia="en-ZA"/>
              </w:rPr>
              <w:t>1</w:t>
            </w:r>
            <w:r w:rsidRPr="004D1E6F">
              <w:rPr>
                <w:rFonts w:ascii="Times New Roman" w:eastAsia="Times New Roman" w:hAnsi="Times New Roman" w:cs="Times New Roman"/>
                <w:sz w:val="20"/>
                <w:szCs w:val="20"/>
                <w:lang w:eastAsia="en-ZA"/>
              </w:rPr>
              <w:t>a</w:t>
            </w:r>
          </w:p>
        </w:tc>
        <w:tc>
          <w:tcPr>
            <w:tcW w:w="5123" w:type="dxa"/>
            <w:shd w:val="clear" w:color="auto" w:fill="D9D9D9" w:themeFill="background1" w:themeFillShade="D9"/>
          </w:tcPr>
          <w:p w14:paraId="16BA8854"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Competition</w:t>
            </w:r>
          </w:p>
        </w:tc>
        <w:tc>
          <w:tcPr>
            <w:tcW w:w="2338" w:type="dxa"/>
          </w:tcPr>
          <w:p w14:paraId="0D0CAF99"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color w:val="000000"/>
                <w:sz w:val="20"/>
                <w:szCs w:val="20"/>
                <w:lang w:eastAsia="en-ZA"/>
              </w:rPr>
              <w:t>MR</w:t>
            </w:r>
          </w:p>
        </w:tc>
      </w:tr>
      <w:tr w:rsidR="002D7080" w:rsidRPr="004D1E6F" w14:paraId="30AEE826" w14:textId="77777777" w:rsidTr="002E2C37">
        <w:tc>
          <w:tcPr>
            <w:tcW w:w="1555" w:type="dxa"/>
            <w:shd w:val="clear" w:color="auto" w:fill="D9D9D9" w:themeFill="background1" w:themeFillShade="D9"/>
          </w:tcPr>
          <w:p w14:paraId="6DE996C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w:t>
            </w:r>
            <w:r>
              <w:rPr>
                <w:rFonts w:ascii="Times New Roman" w:eastAsia="Times New Roman" w:hAnsi="Times New Roman" w:cs="Times New Roman"/>
                <w:sz w:val="20"/>
                <w:szCs w:val="20"/>
                <w:lang w:eastAsia="en-ZA"/>
              </w:rPr>
              <w:t>1</w:t>
            </w:r>
            <w:r w:rsidRPr="004D1E6F">
              <w:rPr>
                <w:rFonts w:ascii="Times New Roman" w:eastAsia="Times New Roman" w:hAnsi="Times New Roman" w:cs="Times New Roman"/>
                <w:sz w:val="20"/>
                <w:szCs w:val="20"/>
                <w:lang w:eastAsia="en-ZA"/>
              </w:rPr>
              <w:t>b</w:t>
            </w:r>
          </w:p>
        </w:tc>
        <w:tc>
          <w:tcPr>
            <w:tcW w:w="5123" w:type="dxa"/>
            <w:shd w:val="clear" w:color="auto" w:fill="D9D9D9" w:themeFill="background1" w:themeFillShade="D9"/>
          </w:tcPr>
          <w:p w14:paraId="354B1F13"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Predation</w:t>
            </w:r>
          </w:p>
        </w:tc>
        <w:tc>
          <w:tcPr>
            <w:tcW w:w="2338" w:type="dxa"/>
          </w:tcPr>
          <w:p w14:paraId="1DF3E542"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color w:val="000000"/>
                <w:sz w:val="20"/>
                <w:szCs w:val="20"/>
                <w:lang w:eastAsia="en-ZA"/>
              </w:rPr>
              <w:t>MO</w:t>
            </w:r>
          </w:p>
        </w:tc>
      </w:tr>
      <w:tr w:rsidR="002D7080" w:rsidRPr="004D1E6F" w14:paraId="4DF07E7C" w14:textId="77777777" w:rsidTr="002E2C37">
        <w:tc>
          <w:tcPr>
            <w:tcW w:w="1555" w:type="dxa"/>
            <w:shd w:val="clear" w:color="auto" w:fill="D9D9D9" w:themeFill="background1" w:themeFillShade="D9"/>
          </w:tcPr>
          <w:p w14:paraId="410CC51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w:t>
            </w:r>
            <w:r>
              <w:rPr>
                <w:rFonts w:ascii="Times New Roman" w:eastAsia="Times New Roman" w:hAnsi="Times New Roman" w:cs="Times New Roman"/>
                <w:sz w:val="20"/>
                <w:szCs w:val="20"/>
                <w:lang w:eastAsia="en-ZA"/>
              </w:rPr>
              <w:t>1</w:t>
            </w:r>
            <w:r w:rsidRPr="004D1E6F">
              <w:rPr>
                <w:rFonts w:ascii="Times New Roman" w:eastAsia="Times New Roman" w:hAnsi="Times New Roman" w:cs="Times New Roman"/>
                <w:sz w:val="20"/>
                <w:szCs w:val="20"/>
                <w:lang w:eastAsia="en-ZA"/>
              </w:rPr>
              <w:t>c</w:t>
            </w:r>
          </w:p>
        </w:tc>
        <w:tc>
          <w:tcPr>
            <w:tcW w:w="5123" w:type="dxa"/>
            <w:shd w:val="clear" w:color="auto" w:fill="D9D9D9" w:themeFill="background1" w:themeFillShade="D9"/>
          </w:tcPr>
          <w:p w14:paraId="21F28BB4"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Hybridisation</w:t>
            </w:r>
          </w:p>
        </w:tc>
        <w:tc>
          <w:tcPr>
            <w:tcW w:w="2338" w:type="dxa"/>
          </w:tcPr>
          <w:p w14:paraId="70E64BA2"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sz w:val="20"/>
                <w:szCs w:val="20"/>
                <w:lang w:eastAsia="en-ZA"/>
              </w:rPr>
              <w:t>DD</w:t>
            </w:r>
          </w:p>
        </w:tc>
      </w:tr>
      <w:tr w:rsidR="002D7080" w:rsidRPr="004D1E6F" w14:paraId="09850A45" w14:textId="77777777" w:rsidTr="002E2C37">
        <w:tc>
          <w:tcPr>
            <w:tcW w:w="1555" w:type="dxa"/>
            <w:shd w:val="clear" w:color="auto" w:fill="D9D9D9" w:themeFill="background1" w:themeFillShade="D9"/>
          </w:tcPr>
          <w:p w14:paraId="1E3145F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w:t>
            </w:r>
            <w:r>
              <w:rPr>
                <w:rFonts w:ascii="Times New Roman" w:eastAsia="Times New Roman" w:hAnsi="Times New Roman" w:cs="Times New Roman"/>
                <w:sz w:val="20"/>
                <w:szCs w:val="20"/>
                <w:lang w:eastAsia="en-ZA"/>
              </w:rPr>
              <w:t>1</w:t>
            </w:r>
            <w:r w:rsidRPr="004D1E6F">
              <w:rPr>
                <w:rFonts w:ascii="Times New Roman" w:eastAsia="Times New Roman" w:hAnsi="Times New Roman" w:cs="Times New Roman"/>
                <w:sz w:val="20"/>
                <w:szCs w:val="20"/>
                <w:lang w:eastAsia="en-ZA"/>
              </w:rPr>
              <w:t>d</w:t>
            </w:r>
          </w:p>
        </w:tc>
        <w:tc>
          <w:tcPr>
            <w:tcW w:w="5123" w:type="dxa"/>
            <w:shd w:val="clear" w:color="auto" w:fill="D9D9D9" w:themeFill="background1" w:themeFillShade="D9"/>
          </w:tcPr>
          <w:p w14:paraId="63561CA6"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Disease transmission</w:t>
            </w:r>
          </w:p>
        </w:tc>
        <w:tc>
          <w:tcPr>
            <w:tcW w:w="2338" w:type="dxa"/>
          </w:tcPr>
          <w:p w14:paraId="7995F92C"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sz w:val="20"/>
                <w:szCs w:val="20"/>
                <w:lang w:eastAsia="en-ZA"/>
              </w:rPr>
              <w:t>MR</w:t>
            </w:r>
          </w:p>
        </w:tc>
      </w:tr>
      <w:tr w:rsidR="002D7080" w:rsidRPr="004D1E6F" w14:paraId="29C1937F" w14:textId="77777777" w:rsidTr="002E2C37">
        <w:tc>
          <w:tcPr>
            <w:tcW w:w="1555" w:type="dxa"/>
            <w:shd w:val="clear" w:color="auto" w:fill="D9D9D9" w:themeFill="background1" w:themeFillShade="D9"/>
          </w:tcPr>
          <w:p w14:paraId="4FE7A12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w:t>
            </w:r>
            <w:r>
              <w:rPr>
                <w:rFonts w:ascii="Times New Roman" w:eastAsia="Times New Roman" w:hAnsi="Times New Roman" w:cs="Times New Roman"/>
                <w:sz w:val="20"/>
                <w:szCs w:val="20"/>
                <w:lang w:eastAsia="en-ZA"/>
              </w:rPr>
              <w:t>1</w:t>
            </w:r>
            <w:r w:rsidRPr="004D1E6F">
              <w:rPr>
                <w:rFonts w:ascii="Times New Roman" w:eastAsia="Times New Roman" w:hAnsi="Times New Roman" w:cs="Times New Roman"/>
                <w:sz w:val="20"/>
                <w:szCs w:val="20"/>
                <w:lang w:eastAsia="en-ZA"/>
              </w:rPr>
              <w:t>e</w:t>
            </w:r>
          </w:p>
        </w:tc>
        <w:tc>
          <w:tcPr>
            <w:tcW w:w="5123" w:type="dxa"/>
            <w:shd w:val="clear" w:color="auto" w:fill="D9D9D9" w:themeFill="background1" w:themeFillShade="D9"/>
          </w:tcPr>
          <w:p w14:paraId="041E35D4"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Parasitism</w:t>
            </w:r>
          </w:p>
        </w:tc>
        <w:tc>
          <w:tcPr>
            <w:tcW w:w="2338" w:type="dxa"/>
          </w:tcPr>
          <w:p w14:paraId="1603C5A2"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color w:val="000000"/>
                <w:sz w:val="20"/>
                <w:szCs w:val="20"/>
                <w:lang w:eastAsia="en-ZA"/>
              </w:rPr>
              <w:t>DD</w:t>
            </w:r>
          </w:p>
        </w:tc>
      </w:tr>
      <w:tr w:rsidR="002D7080" w:rsidRPr="004D1E6F" w14:paraId="5D61A47F" w14:textId="77777777" w:rsidTr="002E2C37">
        <w:tc>
          <w:tcPr>
            <w:tcW w:w="1555" w:type="dxa"/>
            <w:shd w:val="clear" w:color="auto" w:fill="D9D9D9" w:themeFill="background1" w:themeFillShade="D9"/>
          </w:tcPr>
          <w:p w14:paraId="0244391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w:t>
            </w:r>
            <w:r>
              <w:rPr>
                <w:rFonts w:ascii="Times New Roman" w:eastAsia="Times New Roman" w:hAnsi="Times New Roman" w:cs="Times New Roman"/>
                <w:sz w:val="20"/>
                <w:szCs w:val="20"/>
                <w:lang w:eastAsia="en-ZA"/>
              </w:rPr>
              <w:t>1</w:t>
            </w:r>
            <w:r w:rsidRPr="004D1E6F">
              <w:rPr>
                <w:rFonts w:ascii="Times New Roman" w:eastAsia="Times New Roman" w:hAnsi="Times New Roman" w:cs="Times New Roman"/>
                <w:sz w:val="20"/>
                <w:szCs w:val="20"/>
                <w:lang w:eastAsia="en-ZA"/>
              </w:rPr>
              <w:t>f</w:t>
            </w:r>
          </w:p>
        </w:tc>
        <w:tc>
          <w:tcPr>
            <w:tcW w:w="5123" w:type="dxa"/>
            <w:shd w:val="clear" w:color="auto" w:fill="D9D9D9" w:themeFill="background1" w:themeFillShade="D9"/>
          </w:tcPr>
          <w:p w14:paraId="0E4F0BEA"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Poisoning/toxicity</w:t>
            </w:r>
          </w:p>
        </w:tc>
        <w:tc>
          <w:tcPr>
            <w:tcW w:w="2338" w:type="dxa"/>
          </w:tcPr>
          <w:p w14:paraId="0988BA59"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color w:val="000000"/>
                <w:sz w:val="20"/>
                <w:szCs w:val="20"/>
                <w:lang w:eastAsia="en-ZA"/>
              </w:rPr>
              <w:t>DD</w:t>
            </w:r>
          </w:p>
        </w:tc>
      </w:tr>
      <w:tr w:rsidR="002D7080" w:rsidRPr="004D1E6F" w14:paraId="6CF6627F" w14:textId="77777777" w:rsidTr="002E2C37">
        <w:tc>
          <w:tcPr>
            <w:tcW w:w="1555" w:type="dxa"/>
            <w:shd w:val="clear" w:color="auto" w:fill="D9D9D9" w:themeFill="background1" w:themeFillShade="D9"/>
          </w:tcPr>
          <w:p w14:paraId="05F096E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w:t>
            </w:r>
            <w:r>
              <w:rPr>
                <w:rFonts w:ascii="Times New Roman" w:eastAsia="Times New Roman" w:hAnsi="Times New Roman" w:cs="Times New Roman"/>
                <w:sz w:val="20"/>
                <w:szCs w:val="20"/>
                <w:lang w:eastAsia="en-ZA"/>
              </w:rPr>
              <w:t>1</w:t>
            </w:r>
            <w:r w:rsidRPr="004D1E6F">
              <w:rPr>
                <w:rFonts w:ascii="Times New Roman" w:eastAsia="Times New Roman" w:hAnsi="Times New Roman" w:cs="Times New Roman"/>
                <w:sz w:val="20"/>
                <w:szCs w:val="20"/>
                <w:lang w:eastAsia="en-ZA"/>
              </w:rPr>
              <w:t>g</w:t>
            </w:r>
          </w:p>
        </w:tc>
        <w:tc>
          <w:tcPr>
            <w:tcW w:w="5123" w:type="dxa"/>
            <w:shd w:val="clear" w:color="auto" w:fill="D9D9D9" w:themeFill="background1" w:themeFillShade="D9"/>
          </w:tcPr>
          <w:p w14:paraId="79D8B0B7"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Bio-fouling or other direct physical disturbance</w:t>
            </w:r>
          </w:p>
        </w:tc>
        <w:tc>
          <w:tcPr>
            <w:tcW w:w="2338" w:type="dxa"/>
          </w:tcPr>
          <w:p w14:paraId="0900562B"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color w:val="000000"/>
                <w:sz w:val="20"/>
                <w:szCs w:val="20"/>
                <w:lang w:eastAsia="en-ZA"/>
              </w:rPr>
              <w:t>DD</w:t>
            </w:r>
          </w:p>
        </w:tc>
      </w:tr>
      <w:tr w:rsidR="002D7080" w:rsidRPr="004D1E6F" w14:paraId="26805DF0" w14:textId="77777777" w:rsidTr="002E2C37">
        <w:tc>
          <w:tcPr>
            <w:tcW w:w="1555" w:type="dxa"/>
            <w:shd w:val="clear" w:color="auto" w:fill="D9D9D9" w:themeFill="background1" w:themeFillShade="D9"/>
          </w:tcPr>
          <w:p w14:paraId="432D88C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w:t>
            </w:r>
            <w:r>
              <w:rPr>
                <w:rFonts w:ascii="Times New Roman" w:eastAsia="Times New Roman" w:hAnsi="Times New Roman" w:cs="Times New Roman"/>
                <w:sz w:val="20"/>
                <w:szCs w:val="20"/>
                <w:lang w:eastAsia="en-ZA"/>
              </w:rPr>
              <w:t>1</w:t>
            </w:r>
            <w:r w:rsidRPr="004D1E6F">
              <w:rPr>
                <w:rFonts w:ascii="Times New Roman" w:eastAsia="Times New Roman" w:hAnsi="Times New Roman" w:cs="Times New Roman"/>
                <w:sz w:val="20"/>
                <w:szCs w:val="20"/>
                <w:lang w:eastAsia="en-ZA"/>
              </w:rPr>
              <w:t>h</w:t>
            </w:r>
          </w:p>
        </w:tc>
        <w:tc>
          <w:tcPr>
            <w:tcW w:w="5123" w:type="dxa"/>
            <w:shd w:val="clear" w:color="auto" w:fill="D9D9D9" w:themeFill="background1" w:themeFillShade="D9"/>
          </w:tcPr>
          <w:p w14:paraId="44E58187"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Grazing/herbivory/browsing</w:t>
            </w:r>
          </w:p>
        </w:tc>
        <w:tc>
          <w:tcPr>
            <w:tcW w:w="2338" w:type="dxa"/>
          </w:tcPr>
          <w:p w14:paraId="33A6F135"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color w:val="000000"/>
                <w:sz w:val="20"/>
                <w:szCs w:val="20"/>
                <w:lang w:eastAsia="en-ZA"/>
              </w:rPr>
              <w:t>MN</w:t>
            </w:r>
          </w:p>
        </w:tc>
      </w:tr>
      <w:tr w:rsidR="002D7080" w:rsidRPr="004D1E6F" w14:paraId="068F8114" w14:textId="77777777" w:rsidTr="002E2C37">
        <w:tc>
          <w:tcPr>
            <w:tcW w:w="1555" w:type="dxa"/>
            <w:shd w:val="clear" w:color="auto" w:fill="D9D9D9" w:themeFill="background1" w:themeFillShade="D9"/>
          </w:tcPr>
          <w:p w14:paraId="25A0984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w:t>
            </w:r>
            <w:r>
              <w:rPr>
                <w:rFonts w:ascii="Times New Roman" w:eastAsia="Times New Roman" w:hAnsi="Times New Roman" w:cs="Times New Roman"/>
                <w:sz w:val="20"/>
                <w:szCs w:val="20"/>
                <w:lang w:eastAsia="en-ZA"/>
              </w:rPr>
              <w:t>1</w:t>
            </w:r>
            <w:r w:rsidRPr="004D1E6F">
              <w:rPr>
                <w:rFonts w:ascii="Times New Roman" w:eastAsia="Times New Roman" w:hAnsi="Times New Roman" w:cs="Times New Roman"/>
                <w:sz w:val="20"/>
                <w:szCs w:val="20"/>
                <w:lang w:eastAsia="en-ZA"/>
              </w:rPr>
              <w:t>i</w:t>
            </w:r>
          </w:p>
        </w:tc>
        <w:tc>
          <w:tcPr>
            <w:tcW w:w="5123" w:type="dxa"/>
            <w:shd w:val="clear" w:color="auto" w:fill="D9D9D9" w:themeFill="background1" w:themeFillShade="D9"/>
          </w:tcPr>
          <w:p w14:paraId="1CFFB331"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Chemical, physical, structural impact</w:t>
            </w:r>
          </w:p>
        </w:tc>
        <w:tc>
          <w:tcPr>
            <w:tcW w:w="2338" w:type="dxa"/>
          </w:tcPr>
          <w:p w14:paraId="188A23E3"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sz w:val="20"/>
                <w:szCs w:val="20"/>
                <w:lang w:eastAsia="en-ZA"/>
              </w:rPr>
              <w:t>MN</w:t>
            </w:r>
          </w:p>
        </w:tc>
      </w:tr>
      <w:tr w:rsidR="002D7080" w:rsidRPr="004D1E6F" w14:paraId="63BC6FBF" w14:textId="77777777" w:rsidTr="002E2C37">
        <w:tc>
          <w:tcPr>
            <w:tcW w:w="1555" w:type="dxa"/>
            <w:shd w:val="clear" w:color="auto" w:fill="D9D9D9" w:themeFill="background1" w:themeFillShade="D9"/>
          </w:tcPr>
          <w:p w14:paraId="4A5785E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w:t>
            </w:r>
            <w:r>
              <w:rPr>
                <w:rFonts w:ascii="Times New Roman" w:eastAsia="Times New Roman" w:hAnsi="Times New Roman" w:cs="Times New Roman"/>
                <w:sz w:val="20"/>
                <w:szCs w:val="20"/>
                <w:lang w:eastAsia="en-ZA"/>
              </w:rPr>
              <w:t>1</w:t>
            </w:r>
            <w:r w:rsidRPr="004D1E6F">
              <w:rPr>
                <w:rFonts w:ascii="Times New Roman" w:eastAsia="Times New Roman" w:hAnsi="Times New Roman" w:cs="Times New Roman"/>
                <w:sz w:val="20"/>
                <w:szCs w:val="20"/>
                <w:lang w:eastAsia="en-ZA"/>
              </w:rPr>
              <w:t>k</w:t>
            </w:r>
          </w:p>
        </w:tc>
        <w:tc>
          <w:tcPr>
            <w:tcW w:w="5123" w:type="dxa"/>
            <w:shd w:val="clear" w:color="auto" w:fill="D9D9D9" w:themeFill="background1" w:themeFillShade="D9"/>
          </w:tcPr>
          <w:p w14:paraId="1AB9AEA4"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Indirect impacts through interactions with other species</w:t>
            </w:r>
          </w:p>
        </w:tc>
        <w:tc>
          <w:tcPr>
            <w:tcW w:w="2338" w:type="dxa"/>
          </w:tcPr>
          <w:p w14:paraId="606D7F60"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sz w:val="20"/>
                <w:szCs w:val="20"/>
                <w:lang w:eastAsia="en-ZA"/>
              </w:rPr>
              <w:t>DD</w:t>
            </w:r>
          </w:p>
        </w:tc>
      </w:tr>
      <w:tr w:rsidR="002D7080" w:rsidRPr="004D1E6F" w14:paraId="5C751D10" w14:textId="77777777" w:rsidTr="002E2C37">
        <w:tc>
          <w:tcPr>
            <w:tcW w:w="1555" w:type="dxa"/>
            <w:shd w:val="clear" w:color="auto" w:fill="D9D9D9" w:themeFill="background1" w:themeFillShade="D9"/>
          </w:tcPr>
          <w:p w14:paraId="4F17E57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CON1</w:t>
            </w:r>
          </w:p>
        </w:tc>
        <w:tc>
          <w:tcPr>
            <w:tcW w:w="5123" w:type="dxa"/>
            <w:shd w:val="clear" w:color="auto" w:fill="D9D9D9" w:themeFill="background1" w:themeFillShade="D9"/>
          </w:tcPr>
          <w:p w14:paraId="62CB5328"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 xml:space="preserve">Maximum environmental impact </w:t>
            </w:r>
          </w:p>
        </w:tc>
        <w:tc>
          <w:tcPr>
            <w:tcW w:w="2338" w:type="dxa"/>
          </w:tcPr>
          <w:p w14:paraId="2D421D91"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sz w:val="20"/>
                <w:szCs w:val="20"/>
                <w:lang w:eastAsia="en-ZA"/>
              </w:rPr>
              <w:t>MR</w:t>
            </w:r>
          </w:p>
        </w:tc>
      </w:tr>
      <w:tr w:rsidR="002D7080" w:rsidRPr="004D1E6F" w14:paraId="658C773F" w14:textId="77777777" w:rsidTr="002E2C37">
        <w:tc>
          <w:tcPr>
            <w:tcW w:w="1555" w:type="dxa"/>
            <w:shd w:val="clear" w:color="auto" w:fill="D9D9D9" w:themeFill="background1" w:themeFillShade="D9"/>
          </w:tcPr>
          <w:p w14:paraId="13E8E36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w:t>
            </w:r>
            <w:r>
              <w:rPr>
                <w:rFonts w:ascii="Times New Roman" w:eastAsia="Times New Roman" w:hAnsi="Times New Roman" w:cs="Times New Roman"/>
                <w:sz w:val="20"/>
                <w:szCs w:val="20"/>
                <w:lang w:eastAsia="en-ZA"/>
              </w:rPr>
              <w:t>2</w:t>
            </w:r>
            <w:r w:rsidRPr="004D1E6F">
              <w:rPr>
                <w:rFonts w:ascii="Times New Roman" w:eastAsia="Times New Roman" w:hAnsi="Times New Roman" w:cs="Times New Roman"/>
                <w:sz w:val="20"/>
                <w:szCs w:val="20"/>
                <w:lang w:eastAsia="en-ZA"/>
              </w:rPr>
              <w:t>a</w:t>
            </w:r>
          </w:p>
        </w:tc>
        <w:tc>
          <w:tcPr>
            <w:tcW w:w="5123" w:type="dxa"/>
            <w:shd w:val="clear" w:color="auto" w:fill="D9D9D9" w:themeFill="background1" w:themeFillShade="D9"/>
          </w:tcPr>
          <w:p w14:paraId="6868B22B"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Calibri" w:hAnsi="Times New Roman" w:cs="Times New Roman"/>
                <w:bCs/>
                <w:sz w:val="20"/>
                <w:szCs w:val="20"/>
              </w:rPr>
              <w:t>Safety</w:t>
            </w:r>
          </w:p>
        </w:tc>
        <w:tc>
          <w:tcPr>
            <w:tcW w:w="2338" w:type="dxa"/>
          </w:tcPr>
          <w:p w14:paraId="13880DF7"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color w:val="000000"/>
                <w:sz w:val="20"/>
                <w:szCs w:val="20"/>
                <w:lang w:eastAsia="en-ZA"/>
              </w:rPr>
              <w:t>DD</w:t>
            </w:r>
          </w:p>
        </w:tc>
      </w:tr>
      <w:tr w:rsidR="002D7080" w:rsidRPr="004D1E6F" w14:paraId="115051CE" w14:textId="77777777" w:rsidTr="002E2C37">
        <w:tc>
          <w:tcPr>
            <w:tcW w:w="1555" w:type="dxa"/>
            <w:shd w:val="clear" w:color="auto" w:fill="D9D9D9" w:themeFill="background1" w:themeFillShade="D9"/>
          </w:tcPr>
          <w:p w14:paraId="58C7A6C5"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w:t>
            </w:r>
            <w:r>
              <w:rPr>
                <w:rFonts w:ascii="Times New Roman" w:eastAsia="Times New Roman" w:hAnsi="Times New Roman" w:cs="Times New Roman"/>
                <w:sz w:val="20"/>
                <w:szCs w:val="20"/>
                <w:lang w:eastAsia="en-ZA"/>
              </w:rPr>
              <w:t>2</w:t>
            </w:r>
            <w:r w:rsidRPr="004D1E6F">
              <w:rPr>
                <w:rFonts w:ascii="Times New Roman" w:eastAsia="Times New Roman" w:hAnsi="Times New Roman" w:cs="Times New Roman"/>
                <w:sz w:val="20"/>
                <w:szCs w:val="20"/>
                <w:lang w:eastAsia="en-ZA"/>
              </w:rPr>
              <w:t>b</w:t>
            </w:r>
          </w:p>
        </w:tc>
        <w:tc>
          <w:tcPr>
            <w:tcW w:w="5123" w:type="dxa"/>
            <w:shd w:val="clear" w:color="auto" w:fill="D9D9D9" w:themeFill="background1" w:themeFillShade="D9"/>
          </w:tcPr>
          <w:p w14:paraId="7E55A935"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Calibri" w:hAnsi="Times New Roman" w:cs="Times New Roman"/>
                <w:bCs/>
                <w:sz w:val="20"/>
                <w:szCs w:val="20"/>
              </w:rPr>
              <w:t>Material and immaterial assets</w:t>
            </w:r>
          </w:p>
        </w:tc>
        <w:tc>
          <w:tcPr>
            <w:tcW w:w="2338" w:type="dxa"/>
          </w:tcPr>
          <w:p w14:paraId="374947B2"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sz w:val="20"/>
                <w:szCs w:val="20"/>
                <w:lang w:eastAsia="en-ZA"/>
              </w:rPr>
              <w:t>MO</w:t>
            </w:r>
          </w:p>
        </w:tc>
      </w:tr>
      <w:tr w:rsidR="002D7080" w:rsidRPr="004D1E6F" w14:paraId="36D51D7E" w14:textId="77777777" w:rsidTr="002E2C37">
        <w:tc>
          <w:tcPr>
            <w:tcW w:w="1555" w:type="dxa"/>
            <w:shd w:val="clear" w:color="auto" w:fill="D9D9D9" w:themeFill="background1" w:themeFillShade="D9"/>
          </w:tcPr>
          <w:p w14:paraId="515F130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w:t>
            </w:r>
            <w:r>
              <w:rPr>
                <w:rFonts w:ascii="Times New Roman" w:eastAsia="Times New Roman" w:hAnsi="Times New Roman" w:cs="Times New Roman"/>
                <w:sz w:val="20"/>
                <w:szCs w:val="20"/>
                <w:lang w:eastAsia="en-ZA"/>
              </w:rPr>
              <w:t>2</w:t>
            </w:r>
            <w:r w:rsidRPr="004D1E6F">
              <w:rPr>
                <w:rFonts w:ascii="Times New Roman" w:eastAsia="Times New Roman" w:hAnsi="Times New Roman" w:cs="Times New Roman"/>
                <w:sz w:val="20"/>
                <w:szCs w:val="20"/>
                <w:lang w:eastAsia="en-ZA"/>
              </w:rPr>
              <w:t>c</w:t>
            </w:r>
          </w:p>
        </w:tc>
        <w:tc>
          <w:tcPr>
            <w:tcW w:w="5123" w:type="dxa"/>
            <w:shd w:val="clear" w:color="auto" w:fill="D9D9D9" w:themeFill="background1" w:themeFillShade="D9"/>
          </w:tcPr>
          <w:p w14:paraId="47696FB9"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Calibri" w:hAnsi="Times New Roman" w:cs="Times New Roman"/>
                <w:bCs/>
                <w:sz w:val="20"/>
                <w:szCs w:val="20"/>
              </w:rPr>
              <w:t>Health</w:t>
            </w:r>
          </w:p>
        </w:tc>
        <w:tc>
          <w:tcPr>
            <w:tcW w:w="2338" w:type="dxa"/>
          </w:tcPr>
          <w:p w14:paraId="32EFDBEF"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color w:val="000000"/>
                <w:sz w:val="20"/>
                <w:szCs w:val="20"/>
                <w:lang w:eastAsia="en-ZA"/>
              </w:rPr>
              <w:t>DD</w:t>
            </w:r>
          </w:p>
        </w:tc>
      </w:tr>
      <w:tr w:rsidR="002D7080" w:rsidRPr="004D1E6F" w14:paraId="6C9F75BE" w14:textId="77777777" w:rsidTr="002E2C37">
        <w:tc>
          <w:tcPr>
            <w:tcW w:w="1555" w:type="dxa"/>
            <w:shd w:val="clear" w:color="auto" w:fill="D9D9D9" w:themeFill="background1" w:themeFillShade="D9"/>
          </w:tcPr>
          <w:p w14:paraId="28D9310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w:t>
            </w:r>
            <w:r>
              <w:rPr>
                <w:rFonts w:ascii="Times New Roman" w:eastAsia="Times New Roman" w:hAnsi="Times New Roman" w:cs="Times New Roman"/>
                <w:sz w:val="20"/>
                <w:szCs w:val="20"/>
                <w:lang w:eastAsia="en-ZA"/>
              </w:rPr>
              <w:t>2</w:t>
            </w:r>
            <w:r w:rsidRPr="004D1E6F">
              <w:rPr>
                <w:rFonts w:ascii="Times New Roman" w:eastAsia="Times New Roman" w:hAnsi="Times New Roman" w:cs="Times New Roman"/>
                <w:sz w:val="20"/>
                <w:szCs w:val="20"/>
                <w:lang w:eastAsia="en-ZA"/>
              </w:rPr>
              <w:t>d</w:t>
            </w:r>
          </w:p>
        </w:tc>
        <w:tc>
          <w:tcPr>
            <w:tcW w:w="5123" w:type="dxa"/>
            <w:shd w:val="clear" w:color="auto" w:fill="D9D9D9" w:themeFill="background1" w:themeFillShade="D9"/>
          </w:tcPr>
          <w:p w14:paraId="2F3BCE76"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Calibri" w:hAnsi="Times New Roman" w:cs="Times New Roman"/>
                <w:bCs/>
                <w:sz w:val="20"/>
                <w:szCs w:val="20"/>
              </w:rPr>
              <w:t>Social, spiritual and cultural relations</w:t>
            </w:r>
          </w:p>
        </w:tc>
        <w:tc>
          <w:tcPr>
            <w:tcW w:w="2338" w:type="dxa"/>
          </w:tcPr>
          <w:p w14:paraId="246C5FAF"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color w:val="000000"/>
                <w:sz w:val="20"/>
                <w:szCs w:val="20"/>
                <w:lang w:eastAsia="en-ZA"/>
              </w:rPr>
              <w:t>MN</w:t>
            </w:r>
          </w:p>
        </w:tc>
      </w:tr>
      <w:tr w:rsidR="002D7080" w:rsidRPr="004D1E6F" w14:paraId="0900C84A" w14:textId="77777777" w:rsidTr="002E2C37">
        <w:tc>
          <w:tcPr>
            <w:tcW w:w="1555" w:type="dxa"/>
            <w:shd w:val="clear" w:color="auto" w:fill="D9D9D9" w:themeFill="background1" w:themeFillShade="D9"/>
          </w:tcPr>
          <w:p w14:paraId="3C74EA91"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CON2</w:t>
            </w:r>
          </w:p>
        </w:tc>
        <w:tc>
          <w:tcPr>
            <w:tcW w:w="5123" w:type="dxa"/>
            <w:shd w:val="clear" w:color="auto" w:fill="D9D9D9" w:themeFill="background1" w:themeFillShade="D9"/>
          </w:tcPr>
          <w:p w14:paraId="6C578FEB"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Maximum socio-economic impact</w:t>
            </w:r>
          </w:p>
        </w:tc>
        <w:tc>
          <w:tcPr>
            <w:tcW w:w="2338" w:type="dxa"/>
          </w:tcPr>
          <w:p w14:paraId="76392301" w14:textId="77777777" w:rsidR="002D7080" w:rsidRPr="00EF5E2E" w:rsidRDefault="002D7080" w:rsidP="002E2C37">
            <w:pPr>
              <w:rPr>
                <w:rFonts w:ascii="Times New Roman" w:eastAsia="Times New Roman" w:hAnsi="Times New Roman" w:cs="Times New Roman"/>
                <w:color w:val="000000"/>
                <w:sz w:val="20"/>
                <w:szCs w:val="20"/>
                <w:lang w:eastAsia="en-ZA"/>
              </w:rPr>
            </w:pPr>
            <w:r w:rsidRPr="00EF5E2E">
              <w:rPr>
                <w:rFonts w:ascii="Times New Roman" w:eastAsia="Times New Roman" w:hAnsi="Times New Roman" w:cs="Times New Roman"/>
                <w:sz w:val="20"/>
                <w:szCs w:val="20"/>
                <w:lang w:eastAsia="en-ZA"/>
              </w:rPr>
              <w:t>MO</w:t>
            </w:r>
          </w:p>
        </w:tc>
      </w:tr>
      <w:tr w:rsidR="002D7080" w:rsidRPr="004D1E6F" w14:paraId="0EB1AC3B" w14:textId="77777777" w:rsidTr="002E2C37">
        <w:tc>
          <w:tcPr>
            <w:tcW w:w="1555" w:type="dxa"/>
            <w:shd w:val="clear" w:color="auto" w:fill="D9D9D9" w:themeFill="background1" w:themeFillShade="D9"/>
          </w:tcPr>
          <w:p w14:paraId="7E107A26" w14:textId="77777777" w:rsidR="002D7080" w:rsidRPr="007D2796" w:rsidRDefault="002D7080" w:rsidP="002E2C37">
            <w:pPr>
              <w:rPr>
                <w:rFonts w:ascii="Times New Roman" w:eastAsia="Times New Roman" w:hAnsi="Times New Roman" w:cs="Times New Roman"/>
                <w:bCs/>
                <w:sz w:val="20"/>
                <w:szCs w:val="20"/>
                <w:lang w:eastAsia="en-ZA"/>
              </w:rPr>
            </w:pPr>
            <w:r w:rsidRPr="007D2796">
              <w:rPr>
                <w:rFonts w:ascii="Times New Roman" w:eastAsia="Times New Roman" w:hAnsi="Times New Roman" w:cs="Times New Roman"/>
                <w:bCs/>
                <w:sz w:val="20"/>
                <w:szCs w:val="20"/>
                <w:lang w:eastAsia="en-ZA"/>
              </w:rPr>
              <w:lastRenderedPageBreak/>
              <w:t>CON3</w:t>
            </w:r>
          </w:p>
        </w:tc>
        <w:tc>
          <w:tcPr>
            <w:tcW w:w="5123" w:type="dxa"/>
            <w:shd w:val="clear" w:color="auto" w:fill="D9D9D9" w:themeFill="background1" w:themeFillShade="D9"/>
          </w:tcPr>
          <w:p w14:paraId="592AF7A5"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Maximum environmental impact of closely related species</w:t>
            </w:r>
          </w:p>
        </w:tc>
        <w:tc>
          <w:tcPr>
            <w:tcW w:w="2338" w:type="dxa"/>
          </w:tcPr>
          <w:p w14:paraId="606B47E3" w14:textId="77777777" w:rsidR="002D7080" w:rsidRPr="00EF5E2E" w:rsidRDefault="002D7080" w:rsidP="002E2C37">
            <w:pPr>
              <w:rPr>
                <w:rFonts w:ascii="Times New Roman" w:eastAsia="Times New Roman" w:hAnsi="Times New Roman" w:cs="Times New Roman"/>
                <w:color w:val="000000"/>
                <w:sz w:val="20"/>
                <w:szCs w:val="20"/>
                <w:lang w:eastAsia="en-ZA"/>
              </w:rPr>
            </w:pPr>
            <w:r w:rsidRPr="00EF5E2E">
              <w:rPr>
                <w:rFonts w:ascii="Times New Roman" w:eastAsia="Times New Roman" w:hAnsi="Times New Roman" w:cs="Times New Roman"/>
                <w:color w:val="000000"/>
                <w:sz w:val="20"/>
                <w:szCs w:val="20"/>
                <w:lang w:eastAsia="en-ZA"/>
              </w:rPr>
              <w:t>Not scored as CON1 scored</w:t>
            </w:r>
          </w:p>
        </w:tc>
      </w:tr>
      <w:tr w:rsidR="002D7080" w:rsidRPr="004D1E6F" w14:paraId="3DBEB8C5" w14:textId="77777777" w:rsidTr="002E2C37">
        <w:tc>
          <w:tcPr>
            <w:tcW w:w="1555" w:type="dxa"/>
            <w:shd w:val="clear" w:color="auto" w:fill="D9D9D9" w:themeFill="background1" w:themeFillShade="D9"/>
          </w:tcPr>
          <w:p w14:paraId="512901F7" w14:textId="77777777" w:rsidR="002D7080" w:rsidRPr="007D2796" w:rsidRDefault="002D7080" w:rsidP="002E2C37">
            <w:pPr>
              <w:rPr>
                <w:rFonts w:ascii="Times New Roman" w:eastAsia="Times New Roman" w:hAnsi="Times New Roman" w:cs="Times New Roman"/>
                <w:bCs/>
                <w:sz w:val="20"/>
                <w:szCs w:val="20"/>
                <w:lang w:eastAsia="en-ZA"/>
              </w:rPr>
            </w:pPr>
            <w:r w:rsidRPr="007D2796">
              <w:rPr>
                <w:rFonts w:ascii="Times New Roman" w:eastAsia="Times New Roman" w:hAnsi="Times New Roman" w:cs="Times New Roman"/>
                <w:bCs/>
                <w:sz w:val="20"/>
                <w:szCs w:val="20"/>
                <w:lang w:eastAsia="en-ZA"/>
              </w:rPr>
              <w:t>CON4</w:t>
            </w:r>
          </w:p>
        </w:tc>
        <w:tc>
          <w:tcPr>
            <w:tcW w:w="5123" w:type="dxa"/>
            <w:shd w:val="clear" w:color="auto" w:fill="D9D9D9" w:themeFill="background1" w:themeFillShade="D9"/>
          </w:tcPr>
          <w:p w14:paraId="2D3D32DA"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Maximum socio-economic impact of closely related species</w:t>
            </w:r>
          </w:p>
        </w:tc>
        <w:tc>
          <w:tcPr>
            <w:tcW w:w="2338" w:type="dxa"/>
          </w:tcPr>
          <w:p w14:paraId="1FD4B209"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color w:val="000000"/>
                <w:sz w:val="20"/>
                <w:szCs w:val="20"/>
                <w:lang w:eastAsia="en-ZA"/>
              </w:rPr>
              <w:t>Not scored as CON2 scored</w:t>
            </w:r>
          </w:p>
        </w:tc>
      </w:tr>
      <w:tr w:rsidR="002D7080" w:rsidRPr="004D1E6F" w14:paraId="16E51099" w14:textId="77777777" w:rsidTr="002E2C37">
        <w:tc>
          <w:tcPr>
            <w:tcW w:w="1555" w:type="dxa"/>
            <w:shd w:val="clear" w:color="auto" w:fill="D9D9D9" w:themeFill="background1" w:themeFillShade="D9"/>
          </w:tcPr>
          <w:p w14:paraId="58C32B91" w14:textId="77777777" w:rsidR="002D7080" w:rsidRPr="007D2796" w:rsidRDefault="002D7080" w:rsidP="002E2C37">
            <w:pPr>
              <w:rPr>
                <w:rFonts w:ascii="Times New Roman" w:eastAsia="Times New Roman" w:hAnsi="Times New Roman" w:cs="Times New Roman"/>
                <w:b/>
                <w:sz w:val="20"/>
                <w:szCs w:val="20"/>
                <w:lang w:eastAsia="en-ZA"/>
              </w:rPr>
            </w:pPr>
            <w:r w:rsidRPr="007D2796">
              <w:rPr>
                <w:rFonts w:ascii="Times New Roman" w:eastAsia="Times New Roman" w:hAnsi="Times New Roman" w:cs="Times New Roman"/>
                <w:b/>
                <w:sz w:val="20"/>
                <w:szCs w:val="20"/>
                <w:lang w:eastAsia="en-ZA"/>
              </w:rPr>
              <w:t>CON5</w:t>
            </w:r>
          </w:p>
        </w:tc>
        <w:tc>
          <w:tcPr>
            <w:tcW w:w="5123" w:type="dxa"/>
            <w:shd w:val="clear" w:color="auto" w:fill="D9D9D9" w:themeFill="background1" w:themeFillShade="D9"/>
          </w:tcPr>
          <w:p w14:paraId="526B36E3" w14:textId="77777777" w:rsidR="002D7080" w:rsidRPr="00EF5E2E" w:rsidRDefault="002D7080" w:rsidP="002E2C37">
            <w:pPr>
              <w:rPr>
                <w:rFonts w:ascii="Times New Roman" w:eastAsia="Times New Roman" w:hAnsi="Times New Roman" w:cs="Times New Roman"/>
                <w:bCs/>
                <w:sz w:val="20"/>
                <w:szCs w:val="20"/>
                <w:lang w:eastAsia="en-ZA"/>
              </w:rPr>
            </w:pPr>
            <w:r w:rsidRPr="00EF5E2E">
              <w:rPr>
                <w:rFonts w:ascii="Times New Roman" w:eastAsia="Times New Roman" w:hAnsi="Times New Roman" w:cs="Times New Roman"/>
                <w:bCs/>
                <w:sz w:val="20"/>
                <w:szCs w:val="20"/>
                <w:lang w:eastAsia="en-ZA"/>
              </w:rPr>
              <w:t>Potential impact based on traits, experiments, or models</w:t>
            </w:r>
          </w:p>
        </w:tc>
        <w:tc>
          <w:tcPr>
            <w:tcW w:w="2338" w:type="dxa"/>
          </w:tcPr>
          <w:p w14:paraId="76257ACD" w14:textId="77777777" w:rsidR="002D7080" w:rsidRPr="00EF5E2E" w:rsidRDefault="002D7080" w:rsidP="002E2C37">
            <w:pPr>
              <w:rPr>
                <w:rFonts w:ascii="Times New Roman" w:eastAsia="Times New Roman" w:hAnsi="Times New Roman" w:cs="Times New Roman"/>
                <w:sz w:val="20"/>
                <w:szCs w:val="20"/>
                <w:lang w:eastAsia="en-ZA"/>
              </w:rPr>
            </w:pPr>
            <w:r w:rsidRPr="00EF5E2E">
              <w:rPr>
                <w:rFonts w:ascii="Times New Roman" w:eastAsia="Times New Roman" w:hAnsi="Times New Roman" w:cs="Times New Roman"/>
                <w:sz w:val="20"/>
                <w:szCs w:val="20"/>
                <w:lang w:eastAsia="en-ZA"/>
              </w:rPr>
              <w:t>MR</w:t>
            </w:r>
          </w:p>
        </w:tc>
      </w:tr>
    </w:tbl>
    <w:p w14:paraId="6CBA7673"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485F14CF"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Risk score = </w:t>
      </w:r>
      <w:r>
        <w:rPr>
          <w:rFonts w:ascii="Times New Roman" w:eastAsia="Times New Roman" w:hAnsi="Times New Roman" w:cs="Times New Roman"/>
          <w:b/>
          <w:sz w:val="20"/>
          <w:szCs w:val="20"/>
          <w:lang w:eastAsia="en-ZA"/>
        </w:rPr>
        <w:t xml:space="preserve">High </w:t>
      </w:r>
    </w:p>
    <w:p w14:paraId="02AE2CEF" w14:textId="77777777" w:rsidR="002D7080" w:rsidRPr="004D1E6F" w:rsidRDefault="002D7080" w:rsidP="002D7080">
      <w:pPr>
        <w:spacing w:after="0" w:line="240" w:lineRule="auto"/>
        <w:rPr>
          <w:rFonts w:ascii="Times New Roman" w:eastAsia="Calibri" w:hAnsi="Times New Roman" w:cs="Times New Roman"/>
          <w:sz w:val="20"/>
          <w:szCs w:val="20"/>
        </w:rPr>
      </w:pPr>
    </w:p>
    <w:tbl>
      <w:tblPr>
        <w:tblW w:w="7700" w:type="dxa"/>
        <w:tblInd w:w="55" w:type="dxa"/>
        <w:tblCellMar>
          <w:left w:w="70" w:type="dxa"/>
          <w:right w:w="70" w:type="dxa"/>
        </w:tblCellMar>
        <w:tblLook w:val="04A0" w:firstRow="1" w:lastRow="0" w:firstColumn="1" w:lastColumn="0" w:noHBand="0" w:noVBand="1"/>
      </w:tblPr>
      <w:tblGrid>
        <w:gridCol w:w="440"/>
        <w:gridCol w:w="2060"/>
        <w:gridCol w:w="1004"/>
        <w:gridCol w:w="953"/>
        <w:gridCol w:w="1223"/>
        <w:gridCol w:w="953"/>
        <w:gridCol w:w="1067"/>
      </w:tblGrid>
      <w:tr w:rsidR="002D7080" w:rsidRPr="004D1E6F" w14:paraId="253974DE" w14:textId="77777777" w:rsidTr="002E2C37">
        <w:trPr>
          <w:trHeight w:val="231"/>
        </w:trPr>
        <w:tc>
          <w:tcPr>
            <w:tcW w:w="440" w:type="dxa"/>
            <w:vMerge w:val="restart"/>
            <w:tcBorders>
              <w:top w:val="nil"/>
              <w:left w:val="nil"/>
              <w:bottom w:val="single" w:sz="4" w:space="0" w:color="000000"/>
              <w:right w:val="nil"/>
            </w:tcBorders>
            <w:shd w:val="clear" w:color="000000" w:fill="F2F2F2"/>
            <w:noWrap/>
            <w:vAlign w:val="bottom"/>
            <w:hideMark/>
          </w:tcPr>
          <w:p w14:paraId="6EFE773B"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 </w:t>
            </w:r>
          </w:p>
        </w:tc>
        <w:tc>
          <w:tcPr>
            <w:tcW w:w="2060" w:type="dxa"/>
            <w:vMerge w:val="restart"/>
            <w:tcBorders>
              <w:top w:val="nil"/>
              <w:left w:val="nil"/>
              <w:bottom w:val="single" w:sz="4" w:space="0" w:color="000000"/>
              <w:right w:val="single" w:sz="4" w:space="0" w:color="auto"/>
            </w:tcBorders>
            <w:shd w:val="clear" w:color="000000" w:fill="F2F2F2"/>
            <w:noWrap/>
            <w:vAlign w:val="bottom"/>
            <w:hideMark/>
          </w:tcPr>
          <w:p w14:paraId="33310B4C"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 </w:t>
            </w:r>
          </w:p>
        </w:tc>
        <w:tc>
          <w:tcPr>
            <w:tcW w:w="5200" w:type="dxa"/>
            <w:gridSpan w:val="5"/>
            <w:tcBorders>
              <w:top w:val="nil"/>
              <w:left w:val="nil"/>
              <w:bottom w:val="single" w:sz="4" w:space="0" w:color="auto"/>
              <w:right w:val="nil"/>
            </w:tcBorders>
            <w:shd w:val="clear" w:color="auto" w:fill="D9D9D9" w:themeFill="background1" w:themeFillShade="D9"/>
            <w:noWrap/>
            <w:vAlign w:val="bottom"/>
            <w:hideMark/>
          </w:tcPr>
          <w:p w14:paraId="7B8B2C8F"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Consequences</w:t>
            </w:r>
          </w:p>
        </w:tc>
      </w:tr>
      <w:tr w:rsidR="002D7080" w:rsidRPr="004D1E6F" w14:paraId="131AA458" w14:textId="77777777" w:rsidTr="002E2C37">
        <w:trPr>
          <w:trHeight w:val="281"/>
        </w:trPr>
        <w:tc>
          <w:tcPr>
            <w:tcW w:w="440" w:type="dxa"/>
            <w:vMerge/>
            <w:tcBorders>
              <w:top w:val="nil"/>
              <w:left w:val="nil"/>
              <w:bottom w:val="single" w:sz="4" w:space="0" w:color="000000"/>
              <w:right w:val="nil"/>
            </w:tcBorders>
            <w:vAlign w:val="center"/>
            <w:hideMark/>
          </w:tcPr>
          <w:p w14:paraId="2845397F"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vMerge/>
            <w:tcBorders>
              <w:top w:val="nil"/>
              <w:left w:val="nil"/>
              <w:bottom w:val="single" w:sz="4" w:space="0" w:color="auto"/>
              <w:right w:val="single" w:sz="4" w:space="0" w:color="auto"/>
            </w:tcBorders>
            <w:vAlign w:val="center"/>
            <w:hideMark/>
          </w:tcPr>
          <w:p w14:paraId="02BB969B"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100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18D672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MC</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8BA97B6"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MN</w:t>
            </w:r>
          </w:p>
        </w:tc>
        <w:tc>
          <w:tcPr>
            <w:tcW w:w="1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95B048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MO</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03CA4A20"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MR</w:t>
            </w:r>
          </w:p>
        </w:tc>
        <w:tc>
          <w:tcPr>
            <w:tcW w:w="1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28A6A3F"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MV</w:t>
            </w:r>
          </w:p>
        </w:tc>
      </w:tr>
      <w:tr w:rsidR="002D7080" w:rsidRPr="004D1E6F" w14:paraId="083896A4" w14:textId="77777777" w:rsidTr="002E2C37">
        <w:trPr>
          <w:trHeight w:val="271"/>
        </w:trPr>
        <w:tc>
          <w:tcPr>
            <w:tcW w:w="440" w:type="dxa"/>
            <w:vMerge w:val="restart"/>
            <w:tcBorders>
              <w:top w:val="nil"/>
              <w:left w:val="nil"/>
              <w:bottom w:val="nil"/>
              <w:right w:val="single" w:sz="4" w:space="0" w:color="auto"/>
            </w:tcBorders>
            <w:shd w:val="clear" w:color="auto" w:fill="D9D9D9" w:themeFill="background1" w:themeFillShade="D9"/>
            <w:noWrap/>
            <w:textDirection w:val="btLr"/>
            <w:vAlign w:val="center"/>
            <w:hideMark/>
          </w:tcPr>
          <w:p w14:paraId="001F72F5"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Likelihood</w:t>
            </w: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189C0D9"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Extremely unlikely</w:t>
            </w:r>
          </w:p>
        </w:tc>
        <w:tc>
          <w:tcPr>
            <w:tcW w:w="1004" w:type="dxa"/>
            <w:tcBorders>
              <w:top w:val="single" w:sz="4" w:space="0" w:color="auto"/>
              <w:left w:val="nil"/>
              <w:bottom w:val="single" w:sz="4" w:space="0" w:color="auto"/>
              <w:right w:val="single" w:sz="4" w:space="0" w:color="auto"/>
            </w:tcBorders>
            <w:noWrap/>
            <w:vAlign w:val="center"/>
            <w:hideMark/>
          </w:tcPr>
          <w:p w14:paraId="2CB8263E"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F9FDF7B"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234D4C0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76B4472"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192DAC52"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r>
      <w:tr w:rsidR="002D7080" w:rsidRPr="004D1E6F" w14:paraId="3B304B96" w14:textId="77777777" w:rsidTr="002E2C37">
        <w:trPr>
          <w:trHeight w:val="275"/>
        </w:trPr>
        <w:tc>
          <w:tcPr>
            <w:tcW w:w="440" w:type="dxa"/>
            <w:vMerge/>
            <w:tcBorders>
              <w:top w:val="nil"/>
              <w:left w:val="nil"/>
              <w:bottom w:val="nil"/>
              <w:right w:val="single" w:sz="4" w:space="0" w:color="auto"/>
            </w:tcBorders>
            <w:shd w:val="clear" w:color="auto" w:fill="D9D9D9" w:themeFill="background1" w:themeFillShade="D9"/>
            <w:vAlign w:val="center"/>
            <w:hideMark/>
          </w:tcPr>
          <w:p w14:paraId="7DF7C4AD"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5411C68"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Very unlikely</w:t>
            </w:r>
          </w:p>
        </w:tc>
        <w:tc>
          <w:tcPr>
            <w:tcW w:w="1004" w:type="dxa"/>
            <w:tcBorders>
              <w:top w:val="single" w:sz="4" w:space="0" w:color="auto"/>
              <w:left w:val="nil"/>
              <w:bottom w:val="single" w:sz="4" w:space="0" w:color="auto"/>
              <w:right w:val="single" w:sz="4" w:space="0" w:color="auto"/>
            </w:tcBorders>
            <w:noWrap/>
            <w:vAlign w:val="center"/>
            <w:hideMark/>
          </w:tcPr>
          <w:p w14:paraId="4DEB897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00653BB"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6DC7062C"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0744ACA4"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09FBD5B"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42EF480B" w14:textId="77777777" w:rsidTr="002E2C37">
        <w:trPr>
          <w:trHeight w:val="265"/>
        </w:trPr>
        <w:tc>
          <w:tcPr>
            <w:tcW w:w="440" w:type="dxa"/>
            <w:vMerge/>
            <w:tcBorders>
              <w:top w:val="nil"/>
              <w:left w:val="nil"/>
              <w:bottom w:val="nil"/>
              <w:right w:val="single" w:sz="4" w:space="0" w:color="auto"/>
            </w:tcBorders>
            <w:shd w:val="clear" w:color="auto" w:fill="D9D9D9" w:themeFill="background1" w:themeFillShade="D9"/>
            <w:vAlign w:val="center"/>
            <w:hideMark/>
          </w:tcPr>
          <w:p w14:paraId="46D09953"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B96EB34"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Unlikely</w:t>
            </w:r>
          </w:p>
        </w:tc>
        <w:tc>
          <w:tcPr>
            <w:tcW w:w="1004" w:type="dxa"/>
            <w:tcBorders>
              <w:top w:val="single" w:sz="4" w:space="0" w:color="auto"/>
              <w:left w:val="nil"/>
              <w:bottom w:val="single" w:sz="4" w:space="0" w:color="auto"/>
              <w:right w:val="single" w:sz="4" w:space="0" w:color="auto"/>
            </w:tcBorders>
            <w:noWrap/>
            <w:vAlign w:val="center"/>
            <w:hideMark/>
          </w:tcPr>
          <w:p w14:paraId="77CA12D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1E42947C"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7B47179C"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7161AF35"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B8B880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17A3F955" w14:textId="77777777" w:rsidTr="002E2C37">
        <w:trPr>
          <w:trHeight w:val="283"/>
        </w:trPr>
        <w:tc>
          <w:tcPr>
            <w:tcW w:w="440" w:type="dxa"/>
            <w:vMerge/>
            <w:tcBorders>
              <w:top w:val="nil"/>
              <w:left w:val="nil"/>
              <w:bottom w:val="nil"/>
              <w:right w:val="single" w:sz="4" w:space="0" w:color="auto"/>
            </w:tcBorders>
            <w:shd w:val="clear" w:color="auto" w:fill="D9D9D9" w:themeFill="background1" w:themeFillShade="D9"/>
            <w:vAlign w:val="center"/>
            <w:hideMark/>
          </w:tcPr>
          <w:p w14:paraId="70ABA85B"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FFFF00"/>
            <w:noWrap/>
            <w:vAlign w:val="center"/>
            <w:hideMark/>
          </w:tcPr>
          <w:p w14:paraId="0466AD83" w14:textId="77777777" w:rsidR="002D7080" w:rsidRPr="00FD0B26" w:rsidRDefault="002D7080" w:rsidP="002E2C37">
            <w:pPr>
              <w:spacing w:after="0" w:line="240" w:lineRule="auto"/>
              <w:jc w:val="center"/>
              <w:rPr>
                <w:rFonts w:ascii="Times New Roman" w:eastAsia="Times New Roman" w:hAnsi="Times New Roman" w:cs="Times New Roman"/>
                <w:sz w:val="20"/>
                <w:szCs w:val="20"/>
                <w:lang w:eastAsia="de-CH"/>
              </w:rPr>
            </w:pPr>
            <w:r w:rsidRPr="00FD0B26">
              <w:rPr>
                <w:rFonts w:ascii="Times New Roman" w:eastAsia="Times New Roman" w:hAnsi="Times New Roman" w:cs="Times New Roman"/>
                <w:sz w:val="20"/>
                <w:szCs w:val="20"/>
                <w:lang w:eastAsia="de-CH"/>
              </w:rPr>
              <w:t>Fairly probable</w:t>
            </w:r>
          </w:p>
        </w:tc>
        <w:tc>
          <w:tcPr>
            <w:tcW w:w="1004" w:type="dxa"/>
            <w:tcBorders>
              <w:top w:val="single" w:sz="4" w:space="0" w:color="auto"/>
              <w:left w:val="nil"/>
              <w:bottom w:val="single" w:sz="4" w:space="0" w:color="auto"/>
              <w:right w:val="single" w:sz="4" w:space="0" w:color="auto"/>
            </w:tcBorders>
            <w:noWrap/>
            <w:vAlign w:val="center"/>
            <w:hideMark/>
          </w:tcPr>
          <w:p w14:paraId="721B3734"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1921C41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3F6BBBE2"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2313A2AC"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3546498"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01191F3B" w14:textId="77777777" w:rsidTr="002E2C37">
        <w:trPr>
          <w:trHeight w:val="273"/>
        </w:trPr>
        <w:tc>
          <w:tcPr>
            <w:tcW w:w="440" w:type="dxa"/>
            <w:vMerge/>
            <w:tcBorders>
              <w:top w:val="nil"/>
              <w:left w:val="nil"/>
              <w:bottom w:val="nil"/>
              <w:right w:val="single" w:sz="4" w:space="0" w:color="auto"/>
            </w:tcBorders>
            <w:shd w:val="clear" w:color="auto" w:fill="D9D9D9" w:themeFill="background1" w:themeFillShade="D9"/>
            <w:vAlign w:val="center"/>
            <w:hideMark/>
          </w:tcPr>
          <w:p w14:paraId="08A0EAC1"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05A9C6C" w14:textId="77777777" w:rsidR="002D7080" w:rsidRPr="00FD0B26" w:rsidRDefault="002D7080" w:rsidP="002E2C37">
            <w:pPr>
              <w:spacing w:after="0" w:line="240" w:lineRule="auto"/>
              <w:jc w:val="center"/>
              <w:rPr>
                <w:rFonts w:ascii="Times New Roman" w:eastAsia="Times New Roman" w:hAnsi="Times New Roman" w:cs="Times New Roman"/>
                <w:sz w:val="20"/>
                <w:szCs w:val="20"/>
                <w:lang w:eastAsia="de-CH"/>
              </w:rPr>
            </w:pPr>
            <w:r w:rsidRPr="00FD0B26">
              <w:rPr>
                <w:rFonts w:ascii="Times New Roman" w:eastAsia="Times New Roman" w:hAnsi="Times New Roman" w:cs="Times New Roman"/>
                <w:sz w:val="20"/>
                <w:szCs w:val="20"/>
                <w:lang w:eastAsia="de-CH"/>
              </w:rPr>
              <w:t>Probable</w:t>
            </w:r>
          </w:p>
        </w:tc>
        <w:tc>
          <w:tcPr>
            <w:tcW w:w="1004" w:type="dxa"/>
            <w:tcBorders>
              <w:top w:val="single" w:sz="4" w:space="0" w:color="auto"/>
              <w:left w:val="nil"/>
              <w:bottom w:val="single" w:sz="4" w:space="0" w:color="auto"/>
              <w:right w:val="single" w:sz="4" w:space="0" w:color="auto"/>
            </w:tcBorders>
            <w:noWrap/>
            <w:vAlign w:val="center"/>
            <w:hideMark/>
          </w:tcPr>
          <w:p w14:paraId="4F2F987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FF85CF9"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2613BD8F"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E5BEF96"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08034921"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bl>
    <w:p w14:paraId="3BCFBC4D" w14:textId="77777777" w:rsidR="002D7080" w:rsidRPr="004D1E6F" w:rsidRDefault="002D7080" w:rsidP="002D7080">
      <w:pPr>
        <w:spacing w:after="0" w:line="240" w:lineRule="auto"/>
        <w:rPr>
          <w:rFonts w:ascii="Times New Roman" w:eastAsia="Calibri" w:hAnsi="Times New Roman" w:cs="Times New Roman"/>
          <w:sz w:val="20"/>
          <w:szCs w:val="20"/>
        </w:rPr>
      </w:pPr>
    </w:p>
    <w:p w14:paraId="2B77B3B6"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Ease of management = </w:t>
      </w:r>
      <w:r>
        <w:rPr>
          <w:rFonts w:ascii="Times New Roman" w:eastAsia="Times New Roman" w:hAnsi="Times New Roman" w:cs="Times New Roman"/>
          <w:b/>
          <w:sz w:val="20"/>
          <w:szCs w:val="20"/>
          <w:lang w:eastAsia="en-ZA"/>
        </w:rPr>
        <w:t xml:space="preserve">Medium </w:t>
      </w:r>
    </w:p>
    <w:p w14:paraId="2A3614FA"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pPr w:leftFromText="180" w:rightFromText="180" w:vertAnchor="text" w:tblpY="1"/>
        <w:tblOverlap w:val="never"/>
        <w:tblW w:w="8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4667"/>
        <w:gridCol w:w="2013"/>
      </w:tblGrid>
      <w:tr w:rsidR="002D7080" w:rsidRPr="004D1E6F" w14:paraId="7A8FA71A" w14:textId="77777777" w:rsidTr="002E2C37">
        <w:trPr>
          <w:trHeight w:val="272"/>
        </w:trPr>
        <w:tc>
          <w:tcPr>
            <w:tcW w:w="1678" w:type="dxa"/>
            <w:shd w:val="clear" w:color="auto" w:fill="D9D9D9" w:themeFill="background1" w:themeFillShade="D9"/>
            <w:vAlign w:val="center"/>
          </w:tcPr>
          <w:p w14:paraId="77CF75B6"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Parameter</w:t>
            </w:r>
          </w:p>
        </w:tc>
        <w:tc>
          <w:tcPr>
            <w:tcW w:w="4667" w:type="dxa"/>
            <w:shd w:val="clear" w:color="auto" w:fill="D9D9D9" w:themeFill="background1" w:themeFillShade="D9"/>
            <w:vAlign w:val="center"/>
          </w:tcPr>
          <w:p w14:paraId="6CE3BE7A"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Question</w:t>
            </w:r>
          </w:p>
        </w:tc>
        <w:tc>
          <w:tcPr>
            <w:tcW w:w="2013" w:type="dxa"/>
            <w:shd w:val="clear" w:color="auto" w:fill="D9D9D9" w:themeFill="background1" w:themeFillShade="D9"/>
            <w:vAlign w:val="center"/>
          </w:tcPr>
          <w:p w14:paraId="780F35CB"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Response</w:t>
            </w:r>
          </w:p>
        </w:tc>
      </w:tr>
      <w:tr w:rsidR="002D7080" w:rsidRPr="004D1E6F" w14:paraId="4AAA4144" w14:textId="77777777" w:rsidTr="002E2C37">
        <w:trPr>
          <w:trHeight w:val="305"/>
        </w:trPr>
        <w:tc>
          <w:tcPr>
            <w:tcW w:w="1678" w:type="dxa"/>
            <w:shd w:val="clear" w:color="auto" w:fill="D9D9D9" w:themeFill="background1" w:themeFillShade="D9"/>
            <w:vAlign w:val="center"/>
          </w:tcPr>
          <w:p w14:paraId="740A821C"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MAN3a</w:t>
            </w:r>
          </w:p>
        </w:tc>
        <w:tc>
          <w:tcPr>
            <w:tcW w:w="4667" w:type="dxa"/>
            <w:shd w:val="clear" w:color="auto" w:fill="D9D9D9" w:themeFill="background1" w:themeFillShade="D9"/>
            <w:vAlign w:val="center"/>
          </w:tcPr>
          <w:p w14:paraId="522E5B24" w14:textId="77777777" w:rsidR="002D7080" w:rsidRPr="004D1E6F" w:rsidRDefault="002D7080" w:rsidP="002E2C37">
            <w:pPr>
              <w:tabs>
                <w:tab w:val="left" w:pos="1223"/>
              </w:tabs>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How accessible are populations? </w:t>
            </w:r>
          </w:p>
        </w:tc>
        <w:tc>
          <w:tcPr>
            <w:tcW w:w="2013" w:type="dxa"/>
            <w:vAlign w:val="center"/>
          </w:tcPr>
          <w:p w14:paraId="576B4E5E" w14:textId="77777777" w:rsidR="002D7080" w:rsidRPr="004D1E6F" w:rsidRDefault="002D7080" w:rsidP="002E2C37">
            <w:pPr>
              <w:tabs>
                <w:tab w:val="left" w:pos="1250"/>
              </w:tab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2</w:t>
            </w:r>
          </w:p>
        </w:tc>
      </w:tr>
      <w:tr w:rsidR="002D7080" w:rsidRPr="004D1E6F" w14:paraId="6C0B4880" w14:textId="77777777" w:rsidTr="002E2C37">
        <w:trPr>
          <w:trHeight w:val="274"/>
        </w:trPr>
        <w:tc>
          <w:tcPr>
            <w:tcW w:w="1678" w:type="dxa"/>
            <w:shd w:val="clear" w:color="auto" w:fill="D9D9D9" w:themeFill="background1" w:themeFillShade="D9"/>
            <w:vAlign w:val="center"/>
          </w:tcPr>
          <w:p w14:paraId="0096B4BC"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MAN3b</w:t>
            </w:r>
          </w:p>
        </w:tc>
        <w:tc>
          <w:tcPr>
            <w:tcW w:w="4667" w:type="dxa"/>
            <w:shd w:val="clear" w:color="auto" w:fill="D9D9D9" w:themeFill="background1" w:themeFillShade="D9"/>
            <w:vAlign w:val="center"/>
          </w:tcPr>
          <w:p w14:paraId="30A03A68"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Is detectability critically time-dependent?</w:t>
            </w:r>
          </w:p>
        </w:tc>
        <w:tc>
          <w:tcPr>
            <w:tcW w:w="2013" w:type="dxa"/>
            <w:vAlign w:val="center"/>
          </w:tcPr>
          <w:p w14:paraId="0DED84C6"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2</w:t>
            </w:r>
          </w:p>
        </w:tc>
      </w:tr>
      <w:tr w:rsidR="002D7080" w:rsidRPr="004D1E6F" w14:paraId="26217541" w14:textId="77777777" w:rsidTr="002E2C37">
        <w:trPr>
          <w:trHeight w:val="274"/>
        </w:trPr>
        <w:tc>
          <w:tcPr>
            <w:tcW w:w="1678" w:type="dxa"/>
            <w:shd w:val="clear" w:color="auto" w:fill="D9D9D9" w:themeFill="background1" w:themeFillShade="D9"/>
            <w:vAlign w:val="center"/>
          </w:tcPr>
          <w:p w14:paraId="07E95146"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MAN3c</w:t>
            </w:r>
          </w:p>
        </w:tc>
        <w:tc>
          <w:tcPr>
            <w:tcW w:w="4667" w:type="dxa"/>
            <w:shd w:val="clear" w:color="auto" w:fill="D9D9D9" w:themeFill="background1" w:themeFillShade="D9"/>
            <w:vAlign w:val="center"/>
          </w:tcPr>
          <w:p w14:paraId="1CDFA28E"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Time to reproduction</w:t>
            </w:r>
          </w:p>
        </w:tc>
        <w:tc>
          <w:tcPr>
            <w:tcW w:w="2013" w:type="dxa"/>
            <w:vAlign w:val="center"/>
          </w:tcPr>
          <w:p w14:paraId="4A6BD6EF"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1</w:t>
            </w:r>
          </w:p>
        </w:tc>
      </w:tr>
      <w:tr w:rsidR="002D7080" w:rsidRPr="004D1E6F" w14:paraId="66875D59" w14:textId="77777777" w:rsidTr="002E2C37">
        <w:trPr>
          <w:trHeight w:val="280"/>
        </w:trPr>
        <w:tc>
          <w:tcPr>
            <w:tcW w:w="1678" w:type="dxa"/>
            <w:shd w:val="clear" w:color="auto" w:fill="D9D9D9" w:themeFill="background1" w:themeFillShade="D9"/>
            <w:vAlign w:val="center"/>
          </w:tcPr>
          <w:p w14:paraId="6C9BFDB3"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MAN3d</w:t>
            </w:r>
          </w:p>
        </w:tc>
        <w:tc>
          <w:tcPr>
            <w:tcW w:w="4667" w:type="dxa"/>
            <w:shd w:val="clear" w:color="auto" w:fill="D9D9D9" w:themeFill="background1" w:themeFillShade="D9"/>
            <w:vAlign w:val="center"/>
          </w:tcPr>
          <w:p w14:paraId="3760B9FC"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Propagule persistence</w:t>
            </w:r>
          </w:p>
        </w:tc>
        <w:tc>
          <w:tcPr>
            <w:tcW w:w="2013" w:type="dxa"/>
            <w:vAlign w:val="center"/>
          </w:tcPr>
          <w:p w14:paraId="14CBB910"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0</w:t>
            </w:r>
          </w:p>
        </w:tc>
      </w:tr>
      <w:tr w:rsidR="002D7080" w:rsidRPr="004D1E6F" w14:paraId="57D9D805" w14:textId="77777777" w:rsidTr="002E2C37">
        <w:trPr>
          <w:trHeight w:val="248"/>
        </w:trPr>
        <w:tc>
          <w:tcPr>
            <w:tcW w:w="1678" w:type="dxa"/>
            <w:tcBorders>
              <w:top w:val="double" w:sz="4" w:space="0" w:color="auto"/>
            </w:tcBorders>
            <w:shd w:val="clear" w:color="auto" w:fill="D9D9D9" w:themeFill="background1" w:themeFillShade="D9"/>
            <w:vAlign w:val="center"/>
          </w:tcPr>
          <w:p w14:paraId="7215048F"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MAN3</w:t>
            </w:r>
          </w:p>
        </w:tc>
        <w:tc>
          <w:tcPr>
            <w:tcW w:w="4667" w:type="dxa"/>
            <w:tcBorders>
              <w:top w:val="double" w:sz="4" w:space="0" w:color="auto"/>
            </w:tcBorders>
            <w:shd w:val="clear" w:color="auto" w:fill="D9D9D9" w:themeFill="background1" w:themeFillShade="D9"/>
            <w:vAlign w:val="center"/>
          </w:tcPr>
          <w:p w14:paraId="2B5CCB00" w14:textId="77777777" w:rsidR="002D7080" w:rsidRPr="004D1E6F" w:rsidRDefault="002D7080" w:rsidP="002E2C37">
            <w:pPr>
              <w:spacing w:after="0" w:line="240" w:lineRule="auto"/>
              <w:rPr>
                <w:rFonts w:ascii="Times New Roman" w:eastAsia="Calibri" w:hAnsi="Times New Roman" w:cs="Times New Roman"/>
                <w:b/>
                <w:sz w:val="20"/>
                <w:szCs w:val="20"/>
              </w:rPr>
            </w:pPr>
            <w:r w:rsidRPr="004D1E6F">
              <w:rPr>
                <w:rFonts w:ascii="Times New Roman" w:eastAsia="Calibri" w:hAnsi="Times New Roman" w:cs="Times New Roman"/>
                <w:b/>
                <w:sz w:val="20"/>
                <w:szCs w:val="20"/>
              </w:rPr>
              <w:t>SUM</w:t>
            </w:r>
          </w:p>
        </w:tc>
        <w:tc>
          <w:tcPr>
            <w:tcW w:w="2013" w:type="dxa"/>
            <w:tcBorders>
              <w:top w:val="double" w:sz="4" w:space="0" w:color="auto"/>
            </w:tcBorders>
            <w:vAlign w:val="center"/>
          </w:tcPr>
          <w:p w14:paraId="21E48BF4"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5</w:t>
            </w:r>
          </w:p>
        </w:tc>
      </w:tr>
    </w:tbl>
    <w:p w14:paraId="5B41237D" w14:textId="77777777" w:rsidR="002D7080" w:rsidRPr="004D1E6F" w:rsidRDefault="002D7080" w:rsidP="002D7080">
      <w:pPr>
        <w:shd w:val="clear" w:color="auto" w:fill="F2F2F2"/>
        <w:spacing w:after="0" w:line="240" w:lineRule="auto"/>
        <w:rPr>
          <w:rFonts w:ascii="Times New Roman" w:eastAsia="Calibri" w:hAnsi="Times New Roman" w:cs="Times New Roman"/>
          <w:sz w:val="20"/>
          <w:szCs w:val="20"/>
        </w:rPr>
      </w:pPr>
    </w:p>
    <w:p w14:paraId="6CFB4CEC" w14:textId="77777777" w:rsidR="002D7080" w:rsidRPr="004D1E6F" w:rsidRDefault="002D7080" w:rsidP="002D7080">
      <w:pPr>
        <w:spacing w:after="0" w:line="240" w:lineRule="auto"/>
        <w:rPr>
          <w:rFonts w:ascii="Times New Roman" w:eastAsia="Calibri" w:hAnsi="Times New Roman" w:cs="Times New Roman"/>
          <w:sz w:val="20"/>
          <w:szCs w:val="20"/>
        </w:rPr>
      </w:pPr>
    </w:p>
    <w:p w14:paraId="7FC2E3C1" w14:textId="77777777" w:rsidR="002D7080" w:rsidRPr="004D1E6F" w:rsidRDefault="002D7080" w:rsidP="002D7080">
      <w:pPr>
        <w:spacing w:after="0" w:line="240" w:lineRule="auto"/>
        <w:rPr>
          <w:rFonts w:ascii="Times New Roman" w:eastAsia="Calibri" w:hAnsi="Times New Roman" w:cs="Times New Roman"/>
          <w:b/>
          <w:sz w:val="20"/>
          <w:szCs w:val="20"/>
        </w:rPr>
      </w:pPr>
    </w:p>
    <w:p w14:paraId="72A86436" w14:textId="77777777" w:rsidR="002D7080" w:rsidRPr="004D1E6F" w:rsidRDefault="002D7080" w:rsidP="002D7080">
      <w:pPr>
        <w:spacing w:after="0" w:line="240" w:lineRule="auto"/>
        <w:rPr>
          <w:rFonts w:ascii="Times New Roman" w:eastAsia="Calibri" w:hAnsi="Times New Roman" w:cs="Times New Roman"/>
          <w:b/>
          <w:sz w:val="20"/>
          <w:szCs w:val="20"/>
        </w:rPr>
      </w:pPr>
    </w:p>
    <w:p w14:paraId="41196A9F" w14:textId="77777777" w:rsidR="002D7080" w:rsidRPr="004D1E6F" w:rsidRDefault="002D7080" w:rsidP="002D7080">
      <w:pPr>
        <w:spacing w:after="0" w:line="240" w:lineRule="auto"/>
        <w:rPr>
          <w:rFonts w:ascii="Times New Roman" w:eastAsia="Calibri" w:hAnsi="Times New Roman" w:cs="Times New Roman"/>
          <w:b/>
          <w:sz w:val="20"/>
          <w:szCs w:val="20"/>
        </w:rPr>
      </w:pPr>
    </w:p>
    <w:p w14:paraId="071C2B1C" w14:textId="77777777" w:rsidR="002D7080" w:rsidRPr="004D1E6F" w:rsidRDefault="002D7080" w:rsidP="002D7080">
      <w:pPr>
        <w:spacing w:after="0" w:line="240" w:lineRule="auto"/>
        <w:rPr>
          <w:rFonts w:ascii="Times New Roman" w:eastAsia="Calibri" w:hAnsi="Times New Roman" w:cs="Times New Roman"/>
          <w:b/>
          <w:sz w:val="20"/>
          <w:szCs w:val="20"/>
        </w:rPr>
      </w:pPr>
    </w:p>
    <w:p w14:paraId="5EAE8060" w14:textId="77777777" w:rsidR="002D7080" w:rsidRPr="004D1E6F" w:rsidRDefault="002D7080" w:rsidP="002D7080">
      <w:pPr>
        <w:spacing w:after="160" w:line="259"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br w:type="page"/>
      </w:r>
    </w:p>
    <w:p w14:paraId="677FCD59" w14:textId="77777777" w:rsidR="002D7080" w:rsidRPr="004D1E6F" w:rsidRDefault="002D7080" w:rsidP="002D7080">
      <w:pPr>
        <w:spacing w:after="0" w:line="240" w:lineRule="auto"/>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lastRenderedPageBreak/>
        <w:t>Appendix BAC7</w:t>
      </w:r>
      <w:r w:rsidRPr="004D1E6F">
        <w:rPr>
          <w:rFonts w:ascii="Times New Roman" w:eastAsia="Times New Roman" w:hAnsi="Times New Roman" w:cs="Times New Roman"/>
          <w:sz w:val="20"/>
          <w:szCs w:val="20"/>
          <w:lang w:eastAsia="en-ZA"/>
        </w:rPr>
        <w:t xml:space="preserve">: </w:t>
      </w:r>
    </w:p>
    <w:p w14:paraId="2CF5AD72" w14:textId="77777777" w:rsidR="002D7080" w:rsidRPr="004D1E6F" w:rsidRDefault="002D7080" w:rsidP="002D7080">
      <w:pPr>
        <w:spacing w:after="0" w:line="240" w:lineRule="auto"/>
        <w:rPr>
          <w:rFonts w:ascii="Times New Roman" w:eastAsia="Calibri" w:hAnsi="Times New Roman" w:cs="Times New Roman"/>
          <w:sz w:val="20"/>
          <w:szCs w:val="20"/>
        </w:rPr>
      </w:pPr>
    </w:p>
    <w:p w14:paraId="680BA748"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221D7031" w14:textId="77777777" w:rsidR="002D7080" w:rsidRDefault="002D7080" w:rsidP="002D7080">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Appendix BAC8(a)</w:t>
      </w:r>
      <w:r w:rsidRPr="004D1E6F">
        <w:rPr>
          <w:rFonts w:ascii="Times New Roman" w:eastAsia="Times New Roman" w:hAnsi="Times New Roman" w:cs="Times New Roman"/>
          <w:sz w:val="20"/>
          <w:szCs w:val="20"/>
          <w:lang w:eastAsia="en-ZA"/>
        </w:rPr>
        <w:t xml:space="preserve">: Global alien distribution of </w:t>
      </w:r>
      <w:r w:rsidRPr="004D1E6F">
        <w:rPr>
          <w:rFonts w:ascii="Times New Roman" w:eastAsia="Times New Roman" w:hAnsi="Times New Roman" w:cs="Times New Roman"/>
          <w:i/>
          <w:sz w:val="20"/>
          <w:szCs w:val="20"/>
          <w:lang w:eastAsia="en-ZA"/>
        </w:rPr>
        <w:t>Faxonius limosus</w:t>
      </w:r>
      <w:r w:rsidRPr="004D1E6F">
        <w:rPr>
          <w:rFonts w:ascii="Times New Roman" w:eastAsia="Times New Roman" w:hAnsi="Times New Roman" w:cs="Times New Roman"/>
          <w:sz w:val="20"/>
          <w:szCs w:val="20"/>
          <w:lang w:eastAsia="en-ZA"/>
        </w:rPr>
        <w:t xml:space="preserve">. Source: CABI, 2021. </w:t>
      </w:r>
      <w:r w:rsidRPr="004D1E6F">
        <w:rPr>
          <w:rFonts w:ascii="Times New Roman" w:eastAsia="Times New Roman" w:hAnsi="Times New Roman" w:cs="Times New Roman"/>
          <w:i/>
          <w:sz w:val="20"/>
          <w:szCs w:val="20"/>
          <w:lang w:eastAsia="en-ZA"/>
        </w:rPr>
        <w:t xml:space="preserve">Faxonius limosus </w:t>
      </w:r>
      <w:r w:rsidRPr="004D1E6F">
        <w:rPr>
          <w:rFonts w:ascii="Times New Roman" w:eastAsia="Times New Roman" w:hAnsi="Times New Roman" w:cs="Times New Roman"/>
          <w:sz w:val="20"/>
          <w:szCs w:val="20"/>
          <w:lang w:eastAsia="en-ZA"/>
        </w:rPr>
        <w:t xml:space="preserve">[original text by Elena Tricarico]. In: Invasive Species Compendium. Wallingford, UK: CAB International. </w:t>
      </w:r>
      <w:hyperlink w:history="1">
        <w:r w:rsidRPr="004D1E6F">
          <w:rPr>
            <w:rFonts w:ascii="Times New Roman" w:eastAsia="Times New Roman" w:hAnsi="Times New Roman" w:cs="Times New Roman"/>
            <w:color w:val="0563C1"/>
            <w:sz w:val="20"/>
            <w:szCs w:val="20"/>
            <w:u w:val="single"/>
            <w:lang w:eastAsia="en-ZA"/>
          </w:rPr>
          <w:t>www.cabi.org/isc</w:t>
        </w:r>
      </w:hyperlink>
      <w:r w:rsidRPr="004D1E6F">
        <w:rPr>
          <w:rFonts w:ascii="Times New Roman" w:eastAsia="Times New Roman" w:hAnsi="Times New Roman" w:cs="Times New Roman"/>
          <w:sz w:val="20"/>
          <w:szCs w:val="20"/>
          <w:lang w:eastAsia="en-ZA"/>
        </w:rPr>
        <w:t>.</w:t>
      </w:r>
    </w:p>
    <w:p w14:paraId="5E65C504"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014413A8" w14:textId="77777777" w:rsidR="002D7080" w:rsidRPr="004D1E6F" w:rsidRDefault="002D7080" w:rsidP="002D7080">
      <w:pPr>
        <w:spacing w:after="0" w:line="240" w:lineRule="auto"/>
        <w:jc w:val="center"/>
        <w:rPr>
          <w:rFonts w:ascii="Times New Roman" w:eastAsia="Calibri" w:hAnsi="Times New Roman" w:cs="Times New Roman"/>
          <w:sz w:val="20"/>
          <w:szCs w:val="20"/>
        </w:rPr>
      </w:pPr>
      <w:r w:rsidRPr="003D3ECB">
        <w:rPr>
          <w:rFonts w:ascii="Times New Roman" w:eastAsia="Calibri" w:hAnsi="Times New Roman" w:cs="Times New Roman"/>
          <w:b/>
          <w:noProof/>
          <w:sz w:val="20"/>
          <w:szCs w:val="20"/>
          <w:lang w:eastAsia="en-ZA"/>
        </w:rPr>
        <w:drawing>
          <wp:inline distT="0" distB="0" distL="0" distR="0" wp14:anchorId="4219CF90" wp14:editId="380F0539">
            <wp:extent cx="4699221" cy="2487432"/>
            <wp:effectExtent l="0" t="0" r="6350" b="8255"/>
            <wp:docPr id="513" name="Picture 51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descr="A map of the world&#10;&#10;AI-generated content may be incorrect."/>
                    <pic:cNvPicPr/>
                  </pic:nvPicPr>
                  <pic:blipFill rotWithShape="1">
                    <a:blip r:embed="rId308" cstate="print">
                      <a:extLst>
                        <a:ext uri="{28A0092B-C50C-407E-A947-70E740481C1C}">
                          <a14:useLocalDpi xmlns:a14="http://schemas.microsoft.com/office/drawing/2010/main" val="0"/>
                        </a:ext>
                      </a:extLst>
                    </a:blip>
                    <a:srcRect/>
                    <a:stretch/>
                  </pic:blipFill>
                  <pic:spPr bwMode="auto">
                    <a:xfrm>
                      <a:off x="0" y="0"/>
                      <a:ext cx="4716154" cy="2496395"/>
                    </a:xfrm>
                    <a:prstGeom prst="rect">
                      <a:avLst/>
                    </a:prstGeom>
                    <a:ln>
                      <a:noFill/>
                    </a:ln>
                    <a:extLst>
                      <a:ext uri="{53640926-AAD7-44D8-BBD7-CCE9431645EC}">
                        <a14:shadowObscured xmlns:a14="http://schemas.microsoft.com/office/drawing/2010/main"/>
                      </a:ext>
                    </a:extLst>
                  </pic:spPr>
                </pic:pic>
              </a:graphicData>
            </a:graphic>
          </wp:inline>
        </w:drawing>
      </w:r>
    </w:p>
    <w:p w14:paraId="2BB2C868" w14:textId="77777777" w:rsidR="002D7080" w:rsidRPr="004D1E6F" w:rsidRDefault="002D7080" w:rsidP="002D7080">
      <w:pPr>
        <w:spacing w:after="0" w:line="240" w:lineRule="auto"/>
        <w:rPr>
          <w:rFonts w:ascii="Times New Roman" w:eastAsia="Calibri" w:hAnsi="Times New Roman" w:cs="Times New Roman"/>
          <w:sz w:val="20"/>
          <w:szCs w:val="20"/>
        </w:rPr>
      </w:pPr>
    </w:p>
    <w:p w14:paraId="04BF165A" w14:textId="77777777" w:rsidR="002D7080" w:rsidRPr="004D1E6F" w:rsidRDefault="002D7080" w:rsidP="002D7080">
      <w:pPr>
        <w:spacing w:after="0" w:line="240" w:lineRule="auto"/>
        <w:rPr>
          <w:rFonts w:ascii="Times New Roman" w:eastAsia="Calibri" w:hAnsi="Times New Roman" w:cs="Times New Roman"/>
          <w:sz w:val="20"/>
          <w:szCs w:val="20"/>
        </w:rPr>
      </w:pPr>
    </w:p>
    <w:p w14:paraId="31C92E23" w14:textId="77777777" w:rsidR="002D7080" w:rsidRPr="004D1E6F" w:rsidRDefault="002D7080" w:rsidP="002D7080">
      <w:pPr>
        <w:spacing w:after="0" w:line="240" w:lineRule="auto"/>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Appendix BAC8(b)</w:t>
      </w:r>
      <w:r w:rsidRPr="004D1E6F">
        <w:rPr>
          <w:rFonts w:ascii="Times New Roman" w:eastAsia="Times New Roman" w:hAnsi="Times New Roman" w:cs="Times New Roman"/>
          <w:sz w:val="20"/>
          <w:szCs w:val="20"/>
          <w:lang w:eastAsia="en-ZA"/>
        </w:rPr>
        <w:t xml:space="preserve">: </w:t>
      </w:r>
    </w:p>
    <w:p w14:paraId="0DFBAFB9" w14:textId="77777777" w:rsidR="002D7080" w:rsidRPr="004D1E6F" w:rsidRDefault="002D7080" w:rsidP="002D7080">
      <w:pPr>
        <w:spacing w:after="0" w:line="240" w:lineRule="auto"/>
        <w:rPr>
          <w:rFonts w:ascii="Times New Roman" w:eastAsia="Calibri" w:hAnsi="Times New Roman" w:cs="Times New Roman"/>
          <w:sz w:val="20"/>
          <w:szCs w:val="20"/>
        </w:rPr>
      </w:pPr>
    </w:p>
    <w:p w14:paraId="0B91147B" w14:textId="77777777" w:rsidR="002D7080" w:rsidRPr="004D1E6F" w:rsidRDefault="002D7080" w:rsidP="002D7080">
      <w:pPr>
        <w:spacing w:after="0" w:line="240" w:lineRule="auto"/>
        <w:rPr>
          <w:rFonts w:ascii="Times New Roman" w:eastAsia="Calibri" w:hAnsi="Times New Roman" w:cs="Times New Roman"/>
          <w:b/>
          <w:bCs/>
          <w:sz w:val="20"/>
          <w:szCs w:val="20"/>
        </w:rPr>
      </w:pPr>
    </w:p>
    <w:p w14:paraId="57CB5A5B" w14:textId="77777777" w:rsidR="002D7080" w:rsidRPr="004D1E6F" w:rsidRDefault="002D7080" w:rsidP="002D7080">
      <w:pPr>
        <w:spacing w:after="160" w:line="259" w:lineRule="auto"/>
        <w:rPr>
          <w:rFonts w:ascii="Times New Roman" w:eastAsia="Calibri" w:hAnsi="Times New Roman" w:cs="Times New Roman"/>
          <w:b/>
          <w:bCs/>
          <w:sz w:val="20"/>
          <w:szCs w:val="20"/>
        </w:rPr>
      </w:pPr>
      <w:r w:rsidRPr="004D1E6F">
        <w:rPr>
          <w:rFonts w:ascii="Times New Roman" w:eastAsia="Calibri" w:hAnsi="Times New Roman" w:cs="Times New Roman"/>
          <w:b/>
          <w:bCs/>
          <w:sz w:val="20"/>
          <w:szCs w:val="20"/>
        </w:rPr>
        <w:br w:type="page"/>
      </w:r>
    </w:p>
    <w:p w14:paraId="2F5648F0" w14:textId="2F8945DF" w:rsidR="002D7080" w:rsidRPr="005A2F10" w:rsidRDefault="005C56FC" w:rsidP="002D7080">
      <w:pPr>
        <w:pStyle w:val="Heading2"/>
        <w:rPr>
          <w:rFonts w:ascii="Times New Roman" w:hAnsi="Times New Roman" w:cs="Times New Roman"/>
          <w:iCs/>
          <w:color w:val="auto"/>
          <w:sz w:val="28"/>
          <w:szCs w:val="28"/>
        </w:rPr>
      </w:pPr>
      <w:r>
        <w:rPr>
          <w:rFonts w:ascii="Times New Roman" w:hAnsi="Times New Roman" w:cs="Times New Roman"/>
          <w:color w:val="auto"/>
          <w:sz w:val="28"/>
          <w:szCs w:val="28"/>
        </w:rPr>
        <w:lastRenderedPageBreak/>
        <w:t>1</w:t>
      </w:r>
      <w:r w:rsidR="002D7080" w:rsidRPr="005A2F10">
        <w:rPr>
          <w:rFonts w:ascii="Times New Roman" w:hAnsi="Times New Roman" w:cs="Times New Roman"/>
          <w:color w:val="auto"/>
          <w:sz w:val="28"/>
          <w:szCs w:val="28"/>
        </w:rPr>
        <w:t>.8 Risk analysis report for rusty crayfish (</w:t>
      </w:r>
      <w:r w:rsidR="002D7080" w:rsidRPr="005A2F10">
        <w:rPr>
          <w:rFonts w:ascii="Times New Roman" w:hAnsi="Times New Roman" w:cs="Times New Roman"/>
          <w:i/>
          <w:color w:val="auto"/>
          <w:sz w:val="28"/>
          <w:szCs w:val="28"/>
        </w:rPr>
        <w:t>Faxonius rusticus</w:t>
      </w:r>
      <w:r w:rsidR="002D7080" w:rsidRPr="005A2F10">
        <w:rPr>
          <w:rFonts w:ascii="Times New Roman" w:hAnsi="Times New Roman" w:cs="Times New Roman"/>
          <w:iCs/>
          <w:color w:val="auto"/>
          <w:sz w:val="28"/>
          <w:szCs w:val="28"/>
        </w:rPr>
        <w:t>)</w:t>
      </w:r>
    </w:p>
    <w:p w14:paraId="1C38E253" w14:textId="77777777" w:rsidR="002D7080" w:rsidRPr="00233C97" w:rsidRDefault="002D7080" w:rsidP="002D7080">
      <w:pPr>
        <w:spacing w:after="0" w:line="240" w:lineRule="auto"/>
        <w:rPr>
          <w:rFonts w:ascii="Times New Roman" w:hAnsi="Times New Roman" w:cs="Times New Roman"/>
          <w:b/>
          <w:i/>
          <w:sz w:val="24"/>
          <w:szCs w:val="24"/>
        </w:rPr>
      </w:pPr>
      <w:r w:rsidRPr="00233C97">
        <w:rPr>
          <w:rFonts w:ascii="Times New Roman" w:hAnsi="Times New Roman" w:cs="Times New Roman"/>
          <w:b/>
          <w:i/>
          <w:sz w:val="24"/>
          <w:szCs w:val="24"/>
        </w:rPr>
        <w:t>Risk Analysis Report</w:t>
      </w:r>
    </w:p>
    <w:p w14:paraId="4D4F5A66" w14:textId="77777777" w:rsidR="002D7080" w:rsidRPr="00233C97" w:rsidRDefault="002D7080" w:rsidP="002D7080">
      <w:pPr>
        <w:spacing w:after="0" w:line="240" w:lineRule="auto"/>
        <w:rPr>
          <w:rFonts w:ascii="Times New Roman" w:hAnsi="Times New Roman" w:cs="Times New Roman"/>
          <w:b/>
          <w:i/>
          <w:sz w:val="24"/>
          <w:szCs w:val="24"/>
        </w:rPr>
      </w:pPr>
    </w:p>
    <w:tbl>
      <w:tblPr>
        <w:tblStyle w:val="TableGrid"/>
        <w:tblW w:w="0" w:type="auto"/>
        <w:tblLayout w:type="fixed"/>
        <w:tblLook w:val="04A0" w:firstRow="1" w:lastRow="0" w:firstColumn="1" w:lastColumn="0" w:noHBand="0" w:noVBand="1"/>
      </w:tblPr>
      <w:tblGrid>
        <w:gridCol w:w="4815"/>
        <w:gridCol w:w="2576"/>
        <w:gridCol w:w="1625"/>
      </w:tblGrid>
      <w:tr w:rsidR="002D7080" w:rsidRPr="00592486" w14:paraId="0B0A85AF" w14:textId="77777777" w:rsidTr="002E2C37">
        <w:trPr>
          <w:trHeight w:val="140"/>
        </w:trPr>
        <w:tc>
          <w:tcPr>
            <w:tcW w:w="4815" w:type="dxa"/>
          </w:tcPr>
          <w:p w14:paraId="784BE97F" w14:textId="77777777" w:rsidR="002D7080" w:rsidRPr="00233C97" w:rsidRDefault="002D7080" w:rsidP="002E2C37">
            <w:pPr>
              <w:rPr>
                <w:rFonts w:ascii="Times New Roman" w:hAnsi="Times New Roman" w:cs="Times New Roman"/>
                <w:b/>
                <w:iCs/>
                <w:sz w:val="20"/>
                <w:szCs w:val="20"/>
              </w:rPr>
            </w:pPr>
            <w:r w:rsidRPr="00233C97">
              <w:rPr>
                <w:rFonts w:ascii="Times New Roman" w:hAnsi="Times New Roman" w:cs="Times New Roman"/>
                <w:b/>
                <w:i/>
                <w:sz w:val="20"/>
                <w:szCs w:val="20"/>
              </w:rPr>
              <w:t xml:space="preserve">Taxon: </w:t>
            </w:r>
            <w:r w:rsidRPr="00233C97">
              <w:rPr>
                <w:rFonts w:ascii="Times New Roman" w:eastAsia="Times New Roman" w:hAnsi="Times New Roman" w:cs="Times New Roman"/>
                <w:i/>
                <w:sz w:val="20"/>
                <w:szCs w:val="20"/>
                <w:lang w:eastAsia="en-ZA"/>
              </w:rPr>
              <w:t xml:space="preserve">Faxonius rusticus </w:t>
            </w:r>
            <w:r w:rsidRPr="00233C97">
              <w:rPr>
                <w:rFonts w:ascii="Times New Roman" w:eastAsia="Times New Roman" w:hAnsi="Times New Roman" w:cs="Times New Roman"/>
                <w:sz w:val="20"/>
                <w:szCs w:val="20"/>
                <w:lang w:eastAsia="en-ZA"/>
              </w:rPr>
              <w:t>(Girard, 1852) </w:t>
            </w:r>
          </w:p>
        </w:tc>
        <w:tc>
          <w:tcPr>
            <w:tcW w:w="4201" w:type="dxa"/>
            <w:gridSpan w:val="2"/>
          </w:tcPr>
          <w:p w14:paraId="1349A34D" w14:textId="77777777" w:rsidR="002D7080" w:rsidRPr="00233C97" w:rsidRDefault="002D7080" w:rsidP="002E2C37">
            <w:pPr>
              <w:rPr>
                <w:rFonts w:ascii="Times New Roman" w:hAnsi="Times New Roman" w:cs="Times New Roman"/>
                <w:bCs/>
                <w:iCs/>
                <w:sz w:val="20"/>
                <w:szCs w:val="20"/>
              </w:rPr>
            </w:pPr>
            <w:r w:rsidRPr="00233C97">
              <w:rPr>
                <w:rFonts w:ascii="Times New Roman" w:hAnsi="Times New Roman" w:cs="Times New Roman"/>
                <w:b/>
                <w:i/>
                <w:sz w:val="20"/>
                <w:szCs w:val="20"/>
              </w:rPr>
              <w:t xml:space="preserve">Area: </w:t>
            </w:r>
            <w:r w:rsidRPr="00233C97">
              <w:rPr>
                <w:rFonts w:ascii="Times New Roman" w:hAnsi="Times New Roman" w:cs="Times New Roman"/>
                <w:bCs/>
                <w:iCs/>
                <w:sz w:val="20"/>
                <w:szCs w:val="20"/>
              </w:rPr>
              <w:t>South Africa</w:t>
            </w:r>
          </w:p>
        </w:tc>
      </w:tr>
      <w:tr w:rsidR="002D7080" w:rsidRPr="00592486" w14:paraId="0DB4687C" w14:textId="77777777" w:rsidTr="002E2C37">
        <w:trPr>
          <w:trHeight w:val="232"/>
        </w:trPr>
        <w:tc>
          <w:tcPr>
            <w:tcW w:w="4815" w:type="dxa"/>
          </w:tcPr>
          <w:p w14:paraId="2DB753B5" w14:textId="77777777" w:rsidR="002D7080" w:rsidRPr="00233C97" w:rsidRDefault="002D7080" w:rsidP="002E2C37">
            <w:pPr>
              <w:rPr>
                <w:rFonts w:ascii="Times New Roman" w:hAnsi="Times New Roman" w:cs="Times New Roman"/>
                <w:b/>
                <w:sz w:val="20"/>
                <w:szCs w:val="20"/>
              </w:rPr>
            </w:pPr>
            <w:r w:rsidRPr="00233C97">
              <w:rPr>
                <w:rFonts w:ascii="Times New Roman" w:hAnsi="Times New Roman" w:cs="Times New Roman"/>
                <w:b/>
                <w:sz w:val="20"/>
                <w:szCs w:val="20"/>
              </w:rPr>
              <w:t xml:space="preserve">Compiled by: </w:t>
            </w:r>
            <w:r w:rsidRPr="00233C97">
              <w:rPr>
                <w:rFonts w:ascii="Times New Roman" w:hAnsi="Times New Roman" w:cs="Times New Roman"/>
                <w:bCs/>
                <w:sz w:val="20"/>
                <w:szCs w:val="20"/>
              </w:rPr>
              <w:t>Lee-Anne Botha</w:t>
            </w:r>
          </w:p>
        </w:tc>
        <w:tc>
          <w:tcPr>
            <w:tcW w:w="4201" w:type="dxa"/>
            <w:gridSpan w:val="2"/>
          </w:tcPr>
          <w:p w14:paraId="6D130504" w14:textId="77777777" w:rsidR="002D7080" w:rsidRPr="00233C97" w:rsidRDefault="002D7080" w:rsidP="002E2C37">
            <w:pPr>
              <w:rPr>
                <w:rFonts w:ascii="Times New Roman" w:hAnsi="Times New Roman" w:cs="Times New Roman"/>
                <w:b/>
                <w:sz w:val="20"/>
                <w:szCs w:val="20"/>
              </w:rPr>
            </w:pPr>
            <w:r w:rsidRPr="00233C97">
              <w:rPr>
                <w:rFonts w:ascii="Times New Roman" w:hAnsi="Times New Roman" w:cs="Times New Roman"/>
                <w:b/>
                <w:sz w:val="20"/>
                <w:szCs w:val="20"/>
              </w:rPr>
              <w:t>Approved by:</w:t>
            </w:r>
          </w:p>
        </w:tc>
      </w:tr>
      <w:tr w:rsidR="002D7080" w:rsidRPr="00592486" w14:paraId="5809AEBA" w14:textId="77777777" w:rsidTr="002E2C37">
        <w:trPr>
          <w:trHeight w:val="2217"/>
        </w:trPr>
        <w:tc>
          <w:tcPr>
            <w:tcW w:w="4815" w:type="dxa"/>
          </w:tcPr>
          <w:p w14:paraId="5D19249A" w14:textId="77777777" w:rsidR="002D7080" w:rsidRPr="00233C97" w:rsidRDefault="002D7080" w:rsidP="002E2C37">
            <w:pPr>
              <w:rPr>
                <w:rFonts w:ascii="Times New Roman" w:hAnsi="Times New Roman" w:cs="Times New Roman"/>
                <w:b/>
                <w:i/>
                <w:sz w:val="20"/>
                <w:szCs w:val="20"/>
              </w:rPr>
            </w:pPr>
            <w:r w:rsidRPr="00233C97">
              <w:rPr>
                <w:rFonts w:ascii="Times New Roman" w:hAnsi="Times New Roman" w:cs="Times New Roman"/>
                <w:b/>
                <w:sz w:val="20"/>
                <w:szCs w:val="20"/>
              </w:rPr>
              <w:t xml:space="preserve">Picture of </w:t>
            </w:r>
            <w:r w:rsidRPr="00233C97">
              <w:rPr>
                <w:rFonts w:ascii="Times New Roman" w:hAnsi="Times New Roman" w:cs="Times New Roman"/>
                <w:b/>
                <w:i/>
                <w:sz w:val="20"/>
                <w:szCs w:val="20"/>
              </w:rPr>
              <w:t>Taxon</w:t>
            </w:r>
          </w:p>
          <w:p w14:paraId="289E13B2" w14:textId="77777777" w:rsidR="002D7080" w:rsidRPr="00233C97" w:rsidRDefault="002D7080" w:rsidP="002E2C37">
            <w:pPr>
              <w:jc w:val="center"/>
              <w:rPr>
                <w:rFonts w:ascii="Times New Roman" w:hAnsi="Times New Roman" w:cs="Times New Roman"/>
                <w:sz w:val="20"/>
                <w:szCs w:val="20"/>
              </w:rPr>
            </w:pPr>
            <w:r>
              <w:rPr>
                <w:rFonts w:ascii="Times New Roman" w:hAnsi="Times New Roman" w:cs="Times New Roman"/>
                <w:noProof/>
                <w:sz w:val="20"/>
                <w:szCs w:val="20"/>
                <w:lang w:eastAsia="en-ZA"/>
              </w:rPr>
              <w:drawing>
                <wp:inline distT="0" distB="0" distL="0" distR="0" wp14:anchorId="787DA125" wp14:editId="069C12D6">
                  <wp:extent cx="2115185" cy="1237615"/>
                  <wp:effectExtent l="0" t="0" r="0" b="635"/>
                  <wp:docPr id="1021867884" name="Picture 1" descr="A close-up of a lob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867884" name="Picture 1" descr="A close-up of a lobster&#10;&#10;Description automatically generated"/>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115185" cy="1237615"/>
                          </a:xfrm>
                          <a:prstGeom prst="rect">
                            <a:avLst/>
                          </a:prstGeom>
                          <a:noFill/>
                        </pic:spPr>
                      </pic:pic>
                    </a:graphicData>
                  </a:graphic>
                </wp:inline>
              </w:drawing>
            </w:r>
          </w:p>
          <w:p w14:paraId="53664EC8" w14:textId="77777777" w:rsidR="002D7080" w:rsidRPr="00233C97" w:rsidRDefault="002D7080" w:rsidP="002E2C37">
            <w:pPr>
              <w:rPr>
                <w:rFonts w:ascii="Times New Roman" w:hAnsi="Times New Roman" w:cs="Times New Roman"/>
                <w:sz w:val="20"/>
                <w:szCs w:val="20"/>
              </w:rPr>
            </w:pPr>
            <w:r w:rsidRPr="00233C97">
              <w:rPr>
                <w:rFonts w:ascii="Times New Roman" w:hAnsi="Times New Roman" w:cs="Times New Roman"/>
                <w:sz w:val="20"/>
                <w:szCs w:val="20"/>
              </w:rPr>
              <w:t>Photo:</w:t>
            </w:r>
            <w:r w:rsidRPr="00233C97">
              <w:rPr>
                <w:rFonts w:ascii="Times New Roman" w:hAnsi="Times New Roman" w:cs="Times New Roman"/>
                <w:color w:val="000000"/>
                <w:sz w:val="27"/>
                <w:szCs w:val="27"/>
              </w:rPr>
              <w:t xml:space="preserve"> </w:t>
            </w:r>
            <w:r w:rsidRPr="00233C97">
              <w:rPr>
                <w:rFonts w:ascii="Times New Roman" w:hAnsi="Times New Roman" w:cs="Times New Roman"/>
                <w:sz w:val="20"/>
                <w:szCs w:val="20"/>
              </w:rPr>
              <w:t>Tennessee Wildlife Resources Agency, NAS - Nonindigenous Aquatic Species. https://nas.er.usgs.gov/queries/FactSheet.aspx?speciesID=214</w:t>
            </w:r>
          </w:p>
        </w:tc>
        <w:tc>
          <w:tcPr>
            <w:tcW w:w="4201" w:type="dxa"/>
            <w:gridSpan w:val="2"/>
          </w:tcPr>
          <w:p w14:paraId="16E93490" w14:textId="77777777" w:rsidR="002D7080" w:rsidRPr="00233C97" w:rsidRDefault="002D7080" w:rsidP="002E2C37">
            <w:pPr>
              <w:rPr>
                <w:rFonts w:ascii="Times New Roman" w:hAnsi="Times New Roman" w:cs="Times New Roman"/>
                <w:b/>
                <w:sz w:val="20"/>
                <w:szCs w:val="20"/>
              </w:rPr>
            </w:pPr>
            <w:r w:rsidRPr="00233C97">
              <w:rPr>
                <w:rFonts w:ascii="Times New Roman" w:hAnsi="Times New Roman" w:cs="Times New Roman"/>
                <w:b/>
                <w:sz w:val="20"/>
                <w:szCs w:val="20"/>
              </w:rPr>
              <w:t>Alien distribution map</w:t>
            </w:r>
          </w:p>
          <w:p w14:paraId="0B922CFE" w14:textId="77777777" w:rsidR="002D7080" w:rsidRPr="00233C97" w:rsidRDefault="002D7080" w:rsidP="002E2C37">
            <w:pPr>
              <w:jc w:val="center"/>
              <w:rPr>
                <w:rFonts w:ascii="Times New Roman" w:hAnsi="Times New Roman" w:cs="Times New Roman"/>
                <w:b/>
                <w:sz w:val="20"/>
                <w:szCs w:val="20"/>
              </w:rPr>
            </w:pPr>
            <w:r>
              <w:rPr>
                <w:rFonts w:ascii="Times New Roman" w:hAnsi="Times New Roman" w:cs="Times New Roman"/>
                <w:b/>
                <w:noProof/>
                <w:sz w:val="20"/>
                <w:szCs w:val="20"/>
                <w:lang w:eastAsia="en-ZA"/>
              </w:rPr>
              <w:drawing>
                <wp:inline distT="0" distB="0" distL="0" distR="0" wp14:anchorId="2C8B621A" wp14:editId="7A3F486C">
                  <wp:extent cx="2341245" cy="1243965"/>
                  <wp:effectExtent l="0" t="0" r="1905" b="0"/>
                  <wp:docPr id="1837278064" name="Picture 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278064" name="Picture 2" descr="A map of the world&#10;&#10;Description automatically generated"/>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341245" cy="1243965"/>
                          </a:xfrm>
                          <a:prstGeom prst="rect">
                            <a:avLst/>
                          </a:prstGeom>
                          <a:noFill/>
                        </pic:spPr>
                      </pic:pic>
                    </a:graphicData>
                  </a:graphic>
                </wp:inline>
              </w:drawing>
            </w:r>
          </w:p>
          <w:p w14:paraId="01D4B3FD" w14:textId="77777777" w:rsidR="002D7080" w:rsidRPr="00233C97" w:rsidRDefault="002D7080" w:rsidP="002E2C37">
            <w:pPr>
              <w:rPr>
                <w:rFonts w:ascii="Times New Roman" w:hAnsi="Times New Roman" w:cs="Times New Roman"/>
                <w:sz w:val="20"/>
                <w:szCs w:val="20"/>
              </w:rPr>
            </w:pPr>
            <w:r w:rsidRPr="00233C97">
              <w:rPr>
                <w:rFonts w:ascii="Times New Roman" w:hAnsi="Times New Roman" w:cs="Times New Roman"/>
                <w:sz w:val="20"/>
                <w:szCs w:val="20"/>
                <w:lang w:val="pt-PT"/>
              </w:rPr>
              <w:t xml:space="preserve">Reference: CABI, 2021. </w:t>
            </w:r>
            <w:r w:rsidRPr="00233C97">
              <w:rPr>
                <w:rFonts w:ascii="Times New Roman" w:hAnsi="Times New Roman" w:cs="Times New Roman"/>
                <w:i/>
                <w:sz w:val="20"/>
                <w:szCs w:val="20"/>
                <w:lang w:val="pt-PT"/>
              </w:rPr>
              <w:t xml:space="preserve">Faxonius rusticus </w:t>
            </w:r>
            <w:r w:rsidRPr="00233C97">
              <w:rPr>
                <w:rFonts w:ascii="Times New Roman" w:hAnsi="Times New Roman" w:cs="Times New Roman"/>
                <w:sz w:val="20"/>
                <w:szCs w:val="20"/>
                <w:lang w:val="pt-PT"/>
              </w:rPr>
              <w:t xml:space="preserve">[original text by Elena Tricarico]. </w:t>
            </w:r>
            <w:r w:rsidRPr="00233C97">
              <w:rPr>
                <w:rFonts w:ascii="Times New Roman" w:hAnsi="Times New Roman" w:cs="Times New Roman"/>
                <w:sz w:val="20"/>
                <w:szCs w:val="20"/>
              </w:rPr>
              <w:t>In: Invasive Species Compendium. Wallingford, UK: CAB International. www.cabi.org/isc.</w:t>
            </w:r>
          </w:p>
        </w:tc>
      </w:tr>
      <w:tr w:rsidR="002D7080" w:rsidRPr="00592486" w14:paraId="385C6DE1" w14:textId="77777777" w:rsidTr="002E2C37">
        <w:trPr>
          <w:trHeight w:val="746"/>
        </w:trPr>
        <w:tc>
          <w:tcPr>
            <w:tcW w:w="7391" w:type="dxa"/>
            <w:gridSpan w:val="2"/>
          </w:tcPr>
          <w:p w14:paraId="0680E9CC" w14:textId="77777777" w:rsidR="002D7080" w:rsidRPr="006036FA" w:rsidRDefault="002D7080" w:rsidP="002E2C37">
            <w:pPr>
              <w:jc w:val="both"/>
              <w:rPr>
                <w:rFonts w:ascii="Times New Roman" w:hAnsi="Times New Roman" w:cs="Times New Roman"/>
                <w:b/>
                <w:sz w:val="20"/>
                <w:szCs w:val="20"/>
              </w:rPr>
            </w:pPr>
            <w:r w:rsidRPr="006036FA">
              <w:rPr>
                <w:rFonts w:ascii="Times New Roman" w:hAnsi="Times New Roman" w:cs="Times New Roman"/>
                <w:b/>
                <w:sz w:val="20"/>
                <w:szCs w:val="20"/>
              </w:rPr>
              <w:t>Risk Assessment summary:</w:t>
            </w:r>
          </w:p>
          <w:p w14:paraId="1A95E185" w14:textId="77777777" w:rsidR="002D7080" w:rsidRPr="006036FA" w:rsidRDefault="002D7080" w:rsidP="002E2C37">
            <w:pPr>
              <w:jc w:val="both"/>
              <w:rPr>
                <w:rFonts w:ascii="Times New Roman" w:hAnsi="Times New Roman" w:cs="Times New Roman"/>
                <w:bCs/>
                <w:sz w:val="20"/>
                <w:szCs w:val="20"/>
              </w:rPr>
            </w:pPr>
            <w:r w:rsidRPr="006036FA">
              <w:rPr>
                <w:rFonts w:ascii="Times New Roman" w:hAnsi="Times New Roman" w:cs="Times New Roman"/>
                <w:sz w:val="20"/>
                <w:szCs w:val="20"/>
              </w:rPr>
              <w:t>Rusty crayfish (</w:t>
            </w:r>
            <w:r w:rsidRPr="006036FA">
              <w:rPr>
                <w:rFonts w:ascii="Times New Roman" w:hAnsi="Times New Roman" w:cs="Times New Roman"/>
                <w:i/>
                <w:sz w:val="20"/>
                <w:szCs w:val="20"/>
              </w:rPr>
              <w:t>Faxonius rusticus</w:t>
            </w:r>
            <w:r w:rsidRPr="006036FA">
              <w:rPr>
                <w:rFonts w:ascii="Times New Roman" w:hAnsi="Times New Roman" w:cs="Times New Roman"/>
                <w:sz w:val="20"/>
                <w:szCs w:val="20"/>
              </w:rPr>
              <w:t xml:space="preserve">) has been widely introduced outside its native range in the USA and Canada. It has also been established in France and </w:t>
            </w:r>
            <w:r>
              <w:rPr>
                <w:rFonts w:ascii="Times New Roman" w:hAnsi="Times New Roman" w:cs="Times New Roman"/>
                <w:sz w:val="20"/>
                <w:szCs w:val="20"/>
              </w:rPr>
              <w:t>is</w:t>
            </w:r>
            <w:r w:rsidRPr="006036FA">
              <w:rPr>
                <w:rFonts w:ascii="Times New Roman" w:hAnsi="Times New Roman" w:cs="Times New Roman"/>
                <w:sz w:val="20"/>
                <w:szCs w:val="20"/>
              </w:rPr>
              <w:t xml:space="preserve"> present in the ornamental trade in Europe. There are no know populations of </w:t>
            </w:r>
            <w:r w:rsidRPr="006036FA">
              <w:rPr>
                <w:rFonts w:ascii="Times New Roman" w:hAnsi="Times New Roman" w:cs="Times New Roman"/>
                <w:i/>
                <w:iCs/>
                <w:sz w:val="20"/>
                <w:szCs w:val="20"/>
              </w:rPr>
              <w:t>F. rusticus</w:t>
            </w:r>
            <w:r w:rsidRPr="006036FA">
              <w:rPr>
                <w:rFonts w:ascii="Times New Roman" w:hAnsi="Times New Roman" w:cs="Times New Roman"/>
                <w:sz w:val="20"/>
                <w:szCs w:val="20"/>
              </w:rPr>
              <w:t xml:space="preserve"> in South Africa but there is anecdotal evidence that it is present in the ornamental trade and this needs to be verified. There are no known populations in neighbouring countries, therefore via unaided pathways is unlikely.</w:t>
            </w:r>
            <w:r>
              <w:rPr>
                <w:rFonts w:ascii="Times New Roman" w:hAnsi="Times New Roman" w:cs="Times New Roman"/>
                <w:sz w:val="20"/>
                <w:szCs w:val="20"/>
              </w:rPr>
              <w:t xml:space="preserve"> </w:t>
            </w:r>
            <w:r w:rsidRPr="006036FA">
              <w:rPr>
                <w:rFonts w:ascii="Times New Roman" w:hAnsi="Times New Roman" w:cs="Times New Roman"/>
                <w:sz w:val="20"/>
                <w:szCs w:val="20"/>
              </w:rPr>
              <w:t xml:space="preserve">The illegal pet trade industry remains a concern because </w:t>
            </w:r>
            <w:r>
              <w:rPr>
                <w:rFonts w:ascii="Times New Roman" w:hAnsi="Times New Roman" w:cs="Times New Roman"/>
                <w:i/>
                <w:iCs/>
                <w:sz w:val="20"/>
                <w:szCs w:val="20"/>
              </w:rPr>
              <w:t>F. rusticus</w:t>
            </w:r>
            <w:r w:rsidRPr="006036FA">
              <w:rPr>
                <w:rFonts w:ascii="Times New Roman" w:hAnsi="Times New Roman" w:cs="Times New Roman"/>
                <w:sz w:val="20"/>
                <w:szCs w:val="20"/>
              </w:rPr>
              <w:t xml:space="preserve"> may be moved around by humans and there is a high risk of release of unwanted pets</w:t>
            </w:r>
            <w:r>
              <w:rPr>
                <w:rFonts w:ascii="Times New Roman" w:hAnsi="Times New Roman" w:cs="Times New Roman"/>
                <w:sz w:val="20"/>
                <w:szCs w:val="20"/>
              </w:rPr>
              <w:t xml:space="preserve">. </w:t>
            </w:r>
            <w:r w:rsidRPr="006036FA">
              <w:rPr>
                <w:rFonts w:ascii="Times New Roman" w:hAnsi="Times New Roman" w:cs="Times New Roman"/>
                <w:sz w:val="20"/>
                <w:szCs w:val="20"/>
              </w:rPr>
              <w:t xml:space="preserve"> </w:t>
            </w:r>
            <w:r w:rsidRPr="006036FA">
              <w:rPr>
                <w:rFonts w:ascii="Times New Roman" w:hAnsi="Times New Roman" w:cs="Times New Roman"/>
                <w:i/>
                <w:sz w:val="20"/>
                <w:szCs w:val="20"/>
              </w:rPr>
              <w:t>Faxonius rusticus</w:t>
            </w:r>
            <w:r w:rsidRPr="006036FA">
              <w:rPr>
                <w:rFonts w:ascii="Times New Roman" w:hAnsi="Times New Roman" w:cs="Times New Roman"/>
                <w:sz w:val="20"/>
                <w:szCs w:val="20"/>
              </w:rPr>
              <w:t xml:space="preserve"> is an aggressive competitor and </w:t>
            </w:r>
            <w:r>
              <w:rPr>
                <w:rFonts w:ascii="Times New Roman" w:hAnsi="Times New Roman" w:cs="Times New Roman"/>
                <w:sz w:val="20"/>
                <w:szCs w:val="20"/>
              </w:rPr>
              <w:t xml:space="preserve">in its introduced range it has been implicated in causing the decline of </w:t>
            </w:r>
            <w:r w:rsidRPr="006036FA">
              <w:rPr>
                <w:rFonts w:ascii="Times New Roman" w:hAnsi="Times New Roman" w:cs="Times New Roman"/>
                <w:sz w:val="20"/>
                <w:szCs w:val="20"/>
              </w:rPr>
              <w:t>native freshwater crayfish and fish species through competition</w:t>
            </w:r>
            <w:r>
              <w:rPr>
                <w:rFonts w:ascii="Times New Roman" w:hAnsi="Times New Roman" w:cs="Times New Roman"/>
                <w:sz w:val="20"/>
                <w:szCs w:val="20"/>
              </w:rPr>
              <w:t xml:space="preserve"> and predation</w:t>
            </w:r>
            <w:r w:rsidRPr="006036FA">
              <w:rPr>
                <w:rFonts w:ascii="Times New Roman" w:hAnsi="Times New Roman" w:cs="Times New Roman"/>
                <w:sz w:val="20"/>
                <w:szCs w:val="20"/>
              </w:rPr>
              <w:t>.</w:t>
            </w:r>
            <w:r>
              <w:rPr>
                <w:rFonts w:ascii="Times New Roman" w:hAnsi="Times New Roman" w:cs="Times New Roman"/>
                <w:sz w:val="20"/>
                <w:szCs w:val="20"/>
              </w:rPr>
              <w:t xml:space="preserve"> In addition, it </w:t>
            </w:r>
            <w:r w:rsidRPr="006036FA">
              <w:rPr>
                <w:rFonts w:ascii="Times New Roman" w:hAnsi="Times New Roman" w:cs="Times New Roman"/>
                <w:sz w:val="20"/>
                <w:szCs w:val="20"/>
              </w:rPr>
              <w:t xml:space="preserve">is an omnivore and intensive grazing have contributed to a decline in freshwater invertebrate populations and macrophyte communities. </w:t>
            </w:r>
            <w:r w:rsidRPr="006036FA">
              <w:rPr>
                <w:rFonts w:ascii="Times New Roman" w:hAnsi="Times New Roman" w:cs="Times New Roman"/>
                <w:i/>
                <w:sz w:val="20"/>
                <w:szCs w:val="20"/>
              </w:rPr>
              <w:t>Faxonius rusticus</w:t>
            </w:r>
            <w:r w:rsidRPr="006036FA">
              <w:rPr>
                <w:rFonts w:ascii="Times New Roman" w:hAnsi="Times New Roman" w:cs="Times New Roman"/>
                <w:sz w:val="20"/>
                <w:szCs w:val="20"/>
              </w:rPr>
              <w:t xml:space="preserve"> has also been implicated in the decline of native fish populations that has adversely affecting recreational fishing. </w:t>
            </w:r>
          </w:p>
        </w:tc>
        <w:tc>
          <w:tcPr>
            <w:tcW w:w="1625" w:type="dxa"/>
          </w:tcPr>
          <w:p w14:paraId="02F97DD1" w14:textId="77777777" w:rsidR="002D7080" w:rsidRPr="00233C97" w:rsidRDefault="002D7080" w:rsidP="002E2C37">
            <w:pPr>
              <w:rPr>
                <w:rFonts w:ascii="Times New Roman" w:hAnsi="Times New Roman" w:cs="Times New Roman"/>
                <w:sz w:val="20"/>
                <w:szCs w:val="20"/>
              </w:rPr>
            </w:pPr>
            <w:r w:rsidRPr="00233C97">
              <w:rPr>
                <w:rFonts w:ascii="Times New Roman" w:hAnsi="Times New Roman" w:cs="Times New Roman"/>
                <w:b/>
                <w:sz w:val="20"/>
                <w:szCs w:val="20"/>
              </w:rPr>
              <w:t>Risk score:</w:t>
            </w:r>
            <w:r w:rsidRPr="00233C97">
              <w:rPr>
                <w:rFonts w:ascii="Times New Roman" w:hAnsi="Times New Roman" w:cs="Times New Roman"/>
                <w:b/>
                <w:sz w:val="20"/>
                <w:szCs w:val="20"/>
              </w:rPr>
              <w:br/>
            </w:r>
            <w:r w:rsidRPr="00233C97">
              <w:rPr>
                <w:rFonts w:ascii="Times New Roman" w:hAnsi="Times New Roman" w:cs="Times New Roman"/>
                <w:sz w:val="20"/>
                <w:szCs w:val="20"/>
              </w:rPr>
              <w:t>High</w:t>
            </w:r>
          </w:p>
        </w:tc>
      </w:tr>
      <w:tr w:rsidR="002D7080" w:rsidRPr="00592486" w14:paraId="16BC2844" w14:textId="77777777" w:rsidTr="002E2C37">
        <w:trPr>
          <w:trHeight w:val="852"/>
        </w:trPr>
        <w:tc>
          <w:tcPr>
            <w:tcW w:w="7391" w:type="dxa"/>
            <w:gridSpan w:val="2"/>
          </w:tcPr>
          <w:p w14:paraId="4CF017FF" w14:textId="77777777" w:rsidR="002D7080" w:rsidRPr="006036FA" w:rsidRDefault="002D7080" w:rsidP="002E2C37">
            <w:pPr>
              <w:jc w:val="both"/>
              <w:rPr>
                <w:rFonts w:ascii="Times New Roman" w:hAnsi="Times New Roman" w:cs="Times New Roman"/>
                <w:b/>
                <w:sz w:val="20"/>
                <w:szCs w:val="20"/>
              </w:rPr>
            </w:pPr>
            <w:r w:rsidRPr="006036FA">
              <w:rPr>
                <w:rFonts w:ascii="Times New Roman" w:hAnsi="Times New Roman" w:cs="Times New Roman"/>
                <w:b/>
                <w:sz w:val="20"/>
                <w:szCs w:val="20"/>
              </w:rPr>
              <w:t>Management options summary:</w:t>
            </w:r>
          </w:p>
          <w:p w14:paraId="31D57884" w14:textId="77777777" w:rsidR="002D7080" w:rsidRPr="006036FA" w:rsidRDefault="002D7080" w:rsidP="002E2C37">
            <w:pPr>
              <w:jc w:val="both"/>
              <w:rPr>
                <w:rFonts w:ascii="Times New Roman" w:hAnsi="Times New Roman" w:cs="Times New Roman"/>
                <w:sz w:val="20"/>
                <w:szCs w:val="20"/>
                <w:highlight w:val="yellow"/>
              </w:rPr>
            </w:pPr>
            <w:r w:rsidRPr="006036FA">
              <w:rPr>
                <w:rFonts w:ascii="Times New Roman" w:hAnsi="Times New Roman" w:cs="Times New Roman"/>
                <w:i/>
                <w:sz w:val="20"/>
                <w:szCs w:val="20"/>
              </w:rPr>
              <w:t>Faxonius rusticus</w:t>
            </w:r>
            <w:r w:rsidRPr="006036FA">
              <w:rPr>
                <w:rFonts w:ascii="Times New Roman" w:hAnsi="Times New Roman" w:cs="Times New Roman"/>
                <w:sz w:val="20"/>
                <w:szCs w:val="20"/>
              </w:rPr>
              <w:t xml:space="preserve"> is a small, largely nocturnal, non-burrowing freshwater species that is difficult to detect. Several methods have been used to control alien populations of </w:t>
            </w:r>
            <w:r w:rsidRPr="006036FA">
              <w:rPr>
                <w:rFonts w:ascii="Times New Roman" w:hAnsi="Times New Roman" w:cs="Times New Roman"/>
                <w:i/>
                <w:sz w:val="20"/>
                <w:szCs w:val="20"/>
              </w:rPr>
              <w:t>F. rusticus</w:t>
            </w:r>
            <w:r w:rsidRPr="006036FA">
              <w:rPr>
                <w:rFonts w:ascii="Times New Roman" w:hAnsi="Times New Roman" w:cs="Times New Roman"/>
                <w:sz w:val="20"/>
                <w:szCs w:val="20"/>
              </w:rPr>
              <w:t xml:space="preserve"> such as intensive trapping and fish predation. However, there are several issues that make the use of these methods challenging. The benefits of </w:t>
            </w:r>
            <w:r w:rsidRPr="006036FA">
              <w:rPr>
                <w:rFonts w:ascii="Times New Roman" w:hAnsi="Times New Roman" w:cs="Times New Roman"/>
                <w:i/>
                <w:iCs/>
                <w:sz w:val="20"/>
                <w:szCs w:val="20"/>
              </w:rPr>
              <w:t>F. rusticus</w:t>
            </w:r>
            <w:r w:rsidRPr="006036FA">
              <w:rPr>
                <w:rFonts w:ascii="Times New Roman" w:hAnsi="Times New Roman" w:cs="Times New Roman"/>
                <w:sz w:val="20"/>
                <w:szCs w:val="20"/>
              </w:rPr>
              <w:t xml:space="preserve"> were scored as low.</w:t>
            </w:r>
          </w:p>
        </w:tc>
        <w:tc>
          <w:tcPr>
            <w:tcW w:w="1625" w:type="dxa"/>
          </w:tcPr>
          <w:p w14:paraId="657D227D" w14:textId="77777777" w:rsidR="002D7080" w:rsidRPr="00233C97" w:rsidRDefault="002D7080" w:rsidP="002E2C37">
            <w:pPr>
              <w:rPr>
                <w:rFonts w:ascii="Times New Roman" w:hAnsi="Times New Roman" w:cs="Times New Roman"/>
                <w:b/>
                <w:sz w:val="20"/>
                <w:szCs w:val="20"/>
              </w:rPr>
            </w:pPr>
            <w:r w:rsidRPr="00233C97">
              <w:rPr>
                <w:rFonts w:ascii="Times New Roman" w:hAnsi="Times New Roman" w:cs="Times New Roman"/>
                <w:b/>
                <w:sz w:val="20"/>
                <w:szCs w:val="20"/>
              </w:rPr>
              <w:t>Ease of management:</w:t>
            </w:r>
          </w:p>
          <w:p w14:paraId="0CA0FAA4" w14:textId="77777777" w:rsidR="002D7080" w:rsidRPr="00233C97" w:rsidRDefault="002D7080" w:rsidP="002E2C37">
            <w:pPr>
              <w:rPr>
                <w:rFonts w:ascii="Times New Roman" w:hAnsi="Times New Roman" w:cs="Times New Roman"/>
                <w:sz w:val="20"/>
                <w:szCs w:val="20"/>
              </w:rPr>
            </w:pPr>
            <w:r>
              <w:rPr>
                <w:rFonts w:ascii="Times New Roman" w:hAnsi="Times New Roman" w:cs="Times New Roman"/>
                <w:sz w:val="20"/>
                <w:szCs w:val="20"/>
              </w:rPr>
              <w:t xml:space="preserve">Medium </w:t>
            </w:r>
          </w:p>
        </w:tc>
      </w:tr>
      <w:tr w:rsidR="002D7080" w:rsidRPr="00592486" w14:paraId="6C8DA3DB" w14:textId="77777777" w:rsidTr="002E2C37">
        <w:trPr>
          <w:trHeight w:val="690"/>
        </w:trPr>
        <w:tc>
          <w:tcPr>
            <w:tcW w:w="7391" w:type="dxa"/>
            <w:gridSpan w:val="2"/>
            <w:vMerge w:val="restart"/>
          </w:tcPr>
          <w:p w14:paraId="4B618581" w14:textId="77777777" w:rsidR="002D7080" w:rsidRPr="006036FA" w:rsidRDefault="002D7080" w:rsidP="002E2C37">
            <w:pPr>
              <w:jc w:val="both"/>
              <w:rPr>
                <w:rFonts w:ascii="Times New Roman" w:hAnsi="Times New Roman" w:cs="Times New Roman"/>
                <w:b/>
                <w:sz w:val="20"/>
                <w:szCs w:val="20"/>
              </w:rPr>
            </w:pPr>
            <w:r w:rsidRPr="006036FA">
              <w:rPr>
                <w:rFonts w:ascii="Times New Roman" w:hAnsi="Times New Roman" w:cs="Times New Roman"/>
                <w:b/>
                <w:sz w:val="20"/>
                <w:szCs w:val="20"/>
              </w:rPr>
              <w:t>Recommendations:</w:t>
            </w:r>
          </w:p>
          <w:p w14:paraId="774B86AB" w14:textId="77777777" w:rsidR="002D7080" w:rsidRPr="006036FA" w:rsidRDefault="002D7080" w:rsidP="002E2C37">
            <w:pPr>
              <w:jc w:val="both"/>
              <w:rPr>
                <w:rFonts w:ascii="Times New Roman" w:hAnsi="Times New Roman" w:cs="Times New Roman"/>
                <w:sz w:val="20"/>
                <w:szCs w:val="20"/>
              </w:rPr>
            </w:pPr>
            <w:r w:rsidRPr="006036FA">
              <w:rPr>
                <w:rFonts w:ascii="Times New Roman" w:hAnsi="Times New Roman" w:cs="Times New Roman"/>
                <w:i/>
                <w:iCs/>
                <w:sz w:val="20"/>
                <w:szCs w:val="20"/>
              </w:rPr>
              <w:lastRenderedPageBreak/>
              <w:t xml:space="preserve">Faxonius rusticus </w:t>
            </w:r>
            <w:r w:rsidRPr="006036FA">
              <w:rPr>
                <w:rFonts w:ascii="Times New Roman" w:hAnsi="Times New Roman" w:cs="Times New Roman"/>
                <w:sz w:val="20"/>
                <w:szCs w:val="20"/>
              </w:rPr>
              <w:t xml:space="preserve">poses a high risk to South Africa. If </w:t>
            </w:r>
            <w:r w:rsidRPr="006036FA">
              <w:rPr>
                <w:rFonts w:ascii="Times New Roman" w:eastAsia="Times New Roman" w:hAnsi="Times New Roman" w:cs="Times New Roman"/>
                <w:i/>
                <w:sz w:val="20"/>
                <w:szCs w:val="20"/>
                <w:lang w:eastAsia="en-ZA"/>
              </w:rPr>
              <w:t xml:space="preserve">F. rusticus </w:t>
            </w:r>
            <w:r w:rsidRPr="006036FA">
              <w:rPr>
                <w:rFonts w:ascii="Times New Roman" w:hAnsi="Times New Roman" w:cs="Times New Roman"/>
                <w:sz w:val="20"/>
                <w:szCs w:val="20"/>
              </w:rPr>
              <w:t>were to establish outside of captivity,</w:t>
            </w:r>
            <w:r w:rsidRPr="006036FA">
              <w:rPr>
                <w:rFonts w:ascii="Times New Roman" w:hAnsi="Times New Roman" w:cs="Times New Roman"/>
                <w:iCs/>
                <w:sz w:val="20"/>
                <w:szCs w:val="20"/>
              </w:rPr>
              <w:t xml:space="preserve"> </w:t>
            </w:r>
            <w:r w:rsidRPr="006036FA">
              <w:rPr>
                <w:rFonts w:ascii="Times New Roman" w:eastAsia="Times New Roman" w:hAnsi="Times New Roman" w:cs="Times New Roman"/>
                <w:iCs/>
                <w:sz w:val="20"/>
                <w:szCs w:val="20"/>
                <w:lang w:eastAsia="en-ZA"/>
              </w:rPr>
              <w:t xml:space="preserve">such populations </w:t>
            </w:r>
            <w:r w:rsidRPr="006036FA">
              <w:rPr>
                <w:rFonts w:ascii="Times New Roman" w:hAnsi="Times New Roman" w:cs="Times New Roman"/>
                <w:sz w:val="20"/>
                <w:szCs w:val="20"/>
              </w:rPr>
              <w:t>would likely be very difficult to extirpate.</w:t>
            </w:r>
          </w:p>
          <w:p w14:paraId="277A4209" w14:textId="77777777" w:rsidR="002D7080" w:rsidRPr="006036FA" w:rsidRDefault="002D7080" w:rsidP="002E2C37">
            <w:pPr>
              <w:jc w:val="both"/>
              <w:rPr>
                <w:rFonts w:ascii="Times New Roman" w:hAnsi="Times New Roman" w:cs="Times New Roman"/>
                <w:b/>
                <w:sz w:val="20"/>
                <w:szCs w:val="20"/>
              </w:rPr>
            </w:pPr>
            <w:r w:rsidRPr="006036FA">
              <w:rPr>
                <w:rFonts w:ascii="Times New Roman" w:hAnsi="Times New Roman" w:cs="Times New Roman"/>
                <w:sz w:val="20"/>
                <w:szCs w:val="20"/>
              </w:rPr>
              <w:t xml:space="preserve"> As such it is recommended that </w:t>
            </w:r>
            <w:r w:rsidRPr="006036FA">
              <w:rPr>
                <w:rFonts w:ascii="Times New Roman" w:hAnsi="Times New Roman" w:cs="Times New Roman"/>
                <w:i/>
                <w:iCs/>
                <w:sz w:val="20"/>
                <w:szCs w:val="20"/>
              </w:rPr>
              <w:t>F. rusticus</w:t>
            </w:r>
            <w:r w:rsidRPr="006036FA">
              <w:rPr>
                <w:rFonts w:ascii="Times New Roman" w:hAnsi="Times New Roman" w:cs="Times New Roman"/>
                <w:sz w:val="20"/>
                <w:szCs w:val="20"/>
              </w:rPr>
              <w:t xml:space="preserve"> </w:t>
            </w:r>
            <w:r w:rsidRPr="006036FA">
              <w:rPr>
                <w:rFonts w:ascii="Times New Roman" w:eastAsia="Times New Roman" w:hAnsi="Times New Roman" w:cs="Times New Roman"/>
                <w:iCs/>
                <w:sz w:val="20"/>
                <w:szCs w:val="20"/>
                <w:lang w:eastAsia="en-ZA"/>
              </w:rPr>
              <w:t xml:space="preserve">remains listed as category 1a, active efforts made to establish whether the species is preset in the country, and that any individuals found are controlled. This would likely require </w:t>
            </w:r>
            <w:r w:rsidRPr="006036FA">
              <w:rPr>
                <w:rFonts w:ascii="Times New Roman" w:eastAsia="Times New Roman" w:hAnsi="Times New Roman" w:cs="Times New Roman"/>
                <w:sz w:val="20"/>
                <w:szCs w:val="20"/>
                <w:lang w:eastAsia="en-ZA"/>
              </w:rPr>
              <w:t>a dedicated assessment of the ornamental t</w:t>
            </w:r>
            <w:r w:rsidRPr="006036FA">
              <w:rPr>
                <w:rFonts w:ascii="Times New Roman" w:hAnsi="Times New Roman" w:cs="Times New Roman"/>
                <w:sz w:val="20"/>
                <w:szCs w:val="20"/>
              </w:rPr>
              <w:t>rade.</w:t>
            </w:r>
            <w:r w:rsidRPr="006036FA">
              <w:rPr>
                <w:rStyle w:val="cf01"/>
                <w:rFonts w:ascii="Times New Roman" w:hAnsi="Times New Roman" w:cs="Times New Roman"/>
                <w:sz w:val="20"/>
                <w:szCs w:val="20"/>
              </w:rPr>
              <w:t xml:space="preserve"> A reassessment in five years is thus required and, if absent from the country, </w:t>
            </w:r>
            <w:r w:rsidRPr="006036FA">
              <w:rPr>
                <w:rFonts w:ascii="Times New Roman" w:eastAsia="Times New Roman" w:hAnsi="Times New Roman" w:cs="Times New Roman"/>
                <w:i/>
                <w:sz w:val="20"/>
                <w:szCs w:val="20"/>
                <w:lang w:eastAsia="en-ZA"/>
              </w:rPr>
              <w:t>F. rusticus s</w:t>
            </w:r>
            <w:r w:rsidRPr="006036FA">
              <w:rPr>
                <w:rStyle w:val="cf01"/>
                <w:rFonts w:ascii="Times New Roman" w:hAnsi="Times New Roman" w:cs="Times New Roman"/>
                <w:sz w:val="20"/>
                <w:szCs w:val="20"/>
              </w:rPr>
              <w:t>hould be added to a future prohibited list.</w:t>
            </w:r>
          </w:p>
        </w:tc>
        <w:tc>
          <w:tcPr>
            <w:tcW w:w="1625" w:type="dxa"/>
          </w:tcPr>
          <w:p w14:paraId="18442D1C" w14:textId="77777777" w:rsidR="002D7080" w:rsidRPr="00233C97" w:rsidRDefault="002D7080" w:rsidP="002E2C37">
            <w:pPr>
              <w:rPr>
                <w:rFonts w:ascii="Times New Roman" w:hAnsi="Times New Roman" w:cs="Times New Roman"/>
                <w:b/>
                <w:sz w:val="20"/>
                <w:szCs w:val="20"/>
              </w:rPr>
            </w:pPr>
            <w:r w:rsidRPr="00233C97">
              <w:rPr>
                <w:rFonts w:ascii="Times New Roman" w:hAnsi="Times New Roman" w:cs="Times New Roman"/>
                <w:b/>
                <w:sz w:val="20"/>
                <w:szCs w:val="20"/>
              </w:rPr>
              <w:lastRenderedPageBreak/>
              <w:t>Listing under NEM:BA A&amp;IS lists of 2020:</w:t>
            </w:r>
          </w:p>
          <w:p w14:paraId="0A835CD9" w14:textId="77777777" w:rsidR="002D7080" w:rsidRPr="00233C97" w:rsidRDefault="002D7080" w:rsidP="002E2C37">
            <w:pPr>
              <w:rPr>
                <w:rFonts w:ascii="Times New Roman" w:hAnsi="Times New Roman" w:cs="Times New Roman"/>
                <w:sz w:val="20"/>
                <w:szCs w:val="20"/>
              </w:rPr>
            </w:pPr>
            <w:r w:rsidRPr="00233C97">
              <w:rPr>
                <w:rFonts w:ascii="Times New Roman" w:hAnsi="Times New Roman" w:cs="Times New Roman"/>
                <w:sz w:val="20"/>
                <w:szCs w:val="20"/>
              </w:rPr>
              <w:lastRenderedPageBreak/>
              <w:t>1a</w:t>
            </w:r>
            <w:r w:rsidRPr="00233C97">
              <w:rPr>
                <w:rStyle w:val="FootnoteReference"/>
                <w:rFonts w:ascii="Times New Roman" w:hAnsi="Times New Roman" w:cs="Times New Roman"/>
              </w:rPr>
              <w:footnoteReference w:id="7"/>
            </w:r>
          </w:p>
        </w:tc>
      </w:tr>
      <w:tr w:rsidR="002D7080" w:rsidRPr="00592486" w14:paraId="6B7384B3" w14:textId="77777777" w:rsidTr="002E2C37">
        <w:trPr>
          <w:trHeight w:val="690"/>
        </w:trPr>
        <w:tc>
          <w:tcPr>
            <w:tcW w:w="7391" w:type="dxa"/>
            <w:gridSpan w:val="2"/>
            <w:vMerge/>
          </w:tcPr>
          <w:p w14:paraId="10D3FD26" w14:textId="77777777" w:rsidR="002D7080" w:rsidRPr="00233C97" w:rsidRDefault="002D7080" w:rsidP="002E2C37">
            <w:pPr>
              <w:rPr>
                <w:rFonts w:ascii="Times New Roman" w:hAnsi="Times New Roman" w:cs="Times New Roman"/>
                <w:b/>
                <w:sz w:val="20"/>
                <w:szCs w:val="20"/>
              </w:rPr>
            </w:pPr>
          </w:p>
        </w:tc>
        <w:tc>
          <w:tcPr>
            <w:tcW w:w="1625" w:type="dxa"/>
          </w:tcPr>
          <w:p w14:paraId="2FA3668F" w14:textId="77777777" w:rsidR="002D7080" w:rsidRPr="00233C97" w:rsidRDefault="002D7080" w:rsidP="002E2C37">
            <w:pPr>
              <w:rPr>
                <w:rFonts w:ascii="Times New Roman" w:hAnsi="Times New Roman" w:cs="Times New Roman"/>
                <w:b/>
                <w:sz w:val="20"/>
                <w:szCs w:val="20"/>
              </w:rPr>
            </w:pPr>
            <w:r w:rsidRPr="00233C97">
              <w:rPr>
                <w:rFonts w:ascii="Times New Roman" w:hAnsi="Times New Roman" w:cs="Times New Roman"/>
                <w:b/>
                <w:sz w:val="20"/>
                <w:szCs w:val="20"/>
              </w:rPr>
              <w:t xml:space="preserve">Recommended listing category: </w:t>
            </w:r>
          </w:p>
          <w:p w14:paraId="2AA247EE" w14:textId="77777777" w:rsidR="002D7080" w:rsidRPr="00233C97" w:rsidRDefault="002D7080" w:rsidP="002E2C37">
            <w:pPr>
              <w:rPr>
                <w:rFonts w:ascii="Times New Roman" w:hAnsi="Times New Roman" w:cs="Times New Roman"/>
                <w:sz w:val="20"/>
                <w:szCs w:val="20"/>
              </w:rPr>
            </w:pPr>
            <w:r>
              <w:rPr>
                <w:rFonts w:ascii="Times New Roman" w:hAnsi="Times New Roman" w:cs="Times New Roman"/>
                <w:sz w:val="20"/>
                <w:szCs w:val="20"/>
              </w:rPr>
              <w:t>1a</w:t>
            </w:r>
            <w:r w:rsidRPr="00233C97">
              <w:rPr>
                <w:rStyle w:val="FootnoteReference"/>
                <w:rFonts w:ascii="Times New Roman" w:hAnsi="Times New Roman" w:cs="Times New Roman"/>
              </w:rPr>
              <w:footnoteReference w:id="8"/>
            </w:r>
          </w:p>
          <w:p w14:paraId="2EAE2FFB" w14:textId="77777777" w:rsidR="002D7080" w:rsidRPr="00233C97" w:rsidRDefault="002D7080" w:rsidP="002E2C37">
            <w:pPr>
              <w:rPr>
                <w:rFonts w:ascii="Times New Roman" w:hAnsi="Times New Roman" w:cs="Times New Roman"/>
                <w:bCs/>
                <w:sz w:val="20"/>
                <w:szCs w:val="20"/>
              </w:rPr>
            </w:pPr>
          </w:p>
        </w:tc>
      </w:tr>
    </w:tbl>
    <w:p w14:paraId="49B6C309" w14:textId="77777777" w:rsidR="002D7080" w:rsidRPr="00233C97" w:rsidRDefault="002D7080" w:rsidP="002D7080">
      <w:pPr>
        <w:spacing w:after="0" w:line="240" w:lineRule="auto"/>
        <w:rPr>
          <w:rFonts w:ascii="Times New Roman" w:hAnsi="Times New Roman" w:cs="Times New Roman"/>
          <w:b/>
          <w:sz w:val="24"/>
          <w:szCs w:val="24"/>
        </w:rPr>
      </w:pPr>
    </w:p>
    <w:p w14:paraId="0364FB6D" w14:textId="77777777" w:rsidR="002D7080" w:rsidRPr="00233C97" w:rsidRDefault="002D7080" w:rsidP="002D7080">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br w:type="page"/>
      </w:r>
    </w:p>
    <w:p w14:paraId="540E3F31" w14:textId="77777777" w:rsidR="002D7080" w:rsidRPr="00233C97" w:rsidRDefault="002D7080" w:rsidP="002D7080">
      <w:pPr>
        <w:spacing w:after="0" w:line="240" w:lineRule="auto"/>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lastRenderedPageBreak/>
        <w:t>1. Background</w:t>
      </w:r>
    </w:p>
    <w:p w14:paraId="419B164A" w14:textId="77777777" w:rsidR="002D7080" w:rsidRPr="00233C97" w:rsidRDefault="002D7080" w:rsidP="002D7080">
      <w:pPr>
        <w:spacing w:after="0" w:line="240" w:lineRule="auto"/>
        <w:rPr>
          <w:rFonts w:ascii="Times New Roman" w:eastAsia="Times New Roman" w:hAnsi="Times New Roman" w:cs="Times New Roman"/>
          <w:b/>
          <w:sz w:val="20"/>
          <w:szCs w:val="20"/>
          <w:lang w:eastAsia="en-ZA"/>
        </w:rPr>
      </w:pPr>
    </w:p>
    <w:tbl>
      <w:tblPr>
        <w:tblW w:w="8908" w:type="dxa"/>
        <w:tblInd w:w="108" w:type="dxa"/>
        <w:tblLook w:val="04A0" w:firstRow="1" w:lastRow="0" w:firstColumn="1" w:lastColumn="0" w:noHBand="0" w:noVBand="1"/>
      </w:tblPr>
      <w:tblGrid>
        <w:gridCol w:w="2340"/>
        <w:gridCol w:w="1417"/>
        <w:gridCol w:w="2450"/>
        <w:gridCol w:w="2701"/>
      </w:tblGrid>
      <w:tr w:rsidR="002D7080" w:rsidRPr="00592486" w14:paraId="6B3DEF3B" w14:textId="77777777" w:rsidTr="002E2C37">
        <w:trPr>
          <w:cantSplit/>
          <w:trHeight w:val="358"/>
        </w:trPr>
        <w:tc>
          <w:tcPr>
            <w:tcW w:w="89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75B2E667" w14:textId="77777777" w:rsidR="002D7080" w:rsidRPr="00233C97" w:rsidRDefault="002D7080" w:rsidP="002E2C37">
            <w:pPr>
              <w:spacing w:after="0" w:line="240" w:lineRule="auto"/>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BAC1 Name of assessor(s)</w:t>
            </w:r>
          </w:p>
        </w:tc>
      </w:tr>
      <w:tr w:rsidR="002D7080" w:rsidRPr="00592486" w14:paraId="4FA18A89" w14:textId="77777777" w:rsidTr="002E2C37">
        <w:trPr>
          <w:cantSplit/>
          <w:trHeight w:val="251"/>
        </w:trPr>
        <w:tc>
          <w:tcPr>
            <w:tcW w:w="2340" w:type="dxa"/>
            <w:tcBorders>
              <w:top w:val="nil"/>
              <w:left w:val="single" w:sz="4" w:space="0" w:color="auto"/>
              <w:bottom w:val="single" w:sz="4" w:space="0" w:color="auto"/>
              <w:right w:val="single" w:sz="4" w:space="0" w:color="auto"/>
            </w:tcBorders>
            <w:shd w:val="clear" w:color="auto" w:fill="F2F2F2" w:themeFill="background1" w:themeFillShade="F2"/>
            <w:noWrap/>
          </w:tcPr>
          <w:p w14:paraId="420FA757" w14:textId="77777777" w:rsidR="002D7080" w:rsidRPr="00233C97" w:rsidRDefault="002D7080" w:rsidP="006728DB">
            <w:pPr>
              <w:spacing w:after="0"/>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sz w:val="20"/>
                <w:szCs w:val="20"/>
                <w:lang w:eastAsia="en-ZA"/>
              </w:rPr>
              <w:t>Name of lead assessor</w:t>
            </w:r>
          </w:p>
        </w:tc>
        <w:tc>
          <w:tcPr>
            <w:tcW w:w="6568" w:type="dxa"/>
            <w:gridSpan w:val="3"/>
            <w:tcBorders>
              <w:top w:val="nil"/>
              <w:left w:val="single" w:sz="4" w:space="0" w:color="auto"/>
              <w:bottom w:val="single" w:sz="4" w:space="0" w:color="auto"/>
              <w:right w:val="single" w:sz="4" w:space="0" w:color="auto"/>
            </w:tcBorders>
          </w:tcPr>
          <w:p w14:paraId="6D9386A6" w14:textId="77777777" w:rsidR="002D7080" w:rsidRPr="00233C97" w:rsidRDefault="002D7080" w:rsidP="006728DB">
            <w:pPr>
              <w:spacing w:after="0"/>
              <w:jc w:val="both"/>
              <w:rPr>
                <w:rFonts w:ascii="Times New Roman" w:eastAsia="Times New Roman" w:hAnsi="Times New Roman" w:cs="Times New Roman"/>
                <w:bCs/>
                <w:sz w:val="20"/>
                <w:szCs w:val="20"/>
                <w:lang w:eastAsia="en-ZA"/>
              </w:rPr>
            </w:pPr>
            <w:r w:rsidRPr="00233C97">
              <w:rPr>
                <w:rFonts w:ascii="Times New Roman" w:eastAsia="Times New Roman" w:hAnsi="Times New Roman" w:cs="Times New Roman"/>
                <w:sz w:val="20"/>
                <w:szCs w:val="20"/>
                <w:lang w:eastAsia="en-ZA"/>
              </w:rPr>
              <w:t>Lee-Anne Botha</w:t>
            </w:r>
          </w:p>
        </w:tc>
      </w:tr>
      <w:tr w:rsidR="002D7080" w:rsidRPr="00592486" w14:paraId="5690CD2D" w14:textId="77777777" w:rsidTr="002E2C37">
        <w:trPr>
          <w:cantSplit/>
          <w:trHeight w:val="287"/>
        </w:trPr>
        <w:tc>
          <w:tcPr>
            <w:tcW w:w="2340" w:type="dxa"/>
            <w:tcBorders>
              <w:top w:val="nil"/>
              <w:left w:val="single" w:sz="4" w:space="0" w:color="auto"/>
              <w:bottom w:val="single" w:sz="4" w:space="0" w:color="auto"/>
              <w:right w:val="single" w:sz="4" w:space="0" w:color="auto"/>
            </w:tcBorders>
            <w:shd w:val="clear" w:color="auto" w:fill="F2F2F2" w:themeFill="background1" w:themeFillShade="F2"/>
            <w:noWrap/>
          </w:tcPr>
          <w:p w14:paraId="034C89E8"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Additional assessor (1)</w:t>
            </w:r>
          </w:p>
        </w:tc>
        <w:tc>
          <w:tcPr>
            <w:tcW w:w="6568" w:type="dxa"/>
            <w:gridSpan w:val="3"/>
            <w:tcBorders>
              <w:top w:val="nil"/>
              <w:left w:val="single" w:sz="4" w:space="0" w:color="auto"/>
              <w:bottom w:val="single" w:sz="4" w:space="0" w:color="auto"/>
              <w:right w:val="single" w:sz="4" w:space="0" w:color="auto"/>
            </w:tcBorders>
          </w:tcPr>
          <w:p w14:paraId="2A533E7B" w14:textId="77777777" w:rsidR="002D7080" w:rsidRPr="00233C97" w:rsidRDefault="002D7080" w:rsidP="006728DB">
            <w:pPr>
              <w:spacing w:after="0"/>
              <w:jc w:val="both"/>
              <w:rPr>
                <w:rFonts w:ascii="Times New Roman" w:eastAsia="Times New Roman" w:hAnsi="Times New Roman" w:cs="Times New Roman"/>
                <w:bCs/>
                <w:sz w:val="20"/>
                <w:szCs w:val="20"/>
                <w:lang w:eastAsia="en-ZA"/>
              </w:rPr>
            </w:pPr>
            <w:r w:rsidRPr="00233C97">
              <w:rPr>
                <w:rFonts w:ascii="Times New Roman" w:eastAsia="Times New Roman" w:hAnsi="Times New Roman" w:cs="Times New Roman"/>
                <w:color w:val="000000"/>
                <w:sz w:val="20"/>
                <w:szCs w:val="20"/>
                <w:lang w:eastAsia="en-ZA"/>
              </w:rPr>
              <w:t>Tsungai Zengeya</w:t>
            </w:r>
          </w:p>
        </w:tc>
      </w:tr>
      <w:tr w:rsidR="002D7080" w:rsidRPr="00592486" w14:paraId="2BDF4D01" w14:textId="77777777" w:rsidTr="002E2C37">
        <w:trPr>
          <w:cantSplit/>
          <w:trHeight w:val="260"/>
        </w:trPr>
        <w:tc>
          <w:tcPr>
            <w:tcW w:w="2340" w:type="dxa"/>
            <w:tcBorders>
              <w:top w:val="nil"/>
              <w:left w:val="single" w:sz="4" w:space="0" w:color="auto"/>
              <w:bottom w:val="single" w:sz="4" w:space="0" w:color="auto"/>
              <w:right w:val="single" w:sz="4" w:space="0" w:color="auto"/>
            </w:tcBorders>
            <w:shd w:val="clear" w:color="auto" w:fill="F2F2F2" w:themeFill="background1" w:themeFillShade="F2"/>
            <w:noWrap/>
          </w:tcPr>
          <w:p w14:paraId="0C1C15B0"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Additional assessor (2)</w:t>
            </w:r>
          </w:p>
        </w:tc>
        <w:tc>
          <w:tcPr>
            <w:tcW w:w="6568" w:type="dxa"/>
            <w:gridSpan w:val="3"/>
            <w:tcBorders>
              <w:top w:val="nil"/>
              <w:left w:val="single" w:sz="4" w:space="0" w:color="auto"/>
              <w:bottom w:val="single" w:sz="4" w:space="0" w:color="auto"/>
              <w:right w:val="single" w:sz="4" w:space="0" w:color="auto"/>
            </w:tcBorders>
          </w:tcPr>
          <w:p w14:paraId="2C78A85A" w14:textId="77777777" w:rsidR="002D7080" w:rsidRPr="003870AA" w:rsidRDefault="002D7080" w:rsidP="006728DB">
            <w:pPr>
              <w:spacing w:after="0"/>
              <w:jc w:val="both"/>
              <w:rPr>
                <w:rFonts w:ascii="Times New Roman" w:eastAsia="Times New Roman" w:hAnsi="Times New Roman" w:cs="Times New Roman"/>
                <w:bCs/>
                <w:sz w:val="20"/>
                <w:szCs w:val="20"/>
                <w:lang w:eastAsia="en-ZA"/>
              </w:rPr>
            </w:pPr>
            <w:r w:rsidRPr="003870AA">
              <w:rPr>
                <w:rFonts w:ascii="Times New Roman" w:eastAsia="Times New Roman" w:hAnsi="Times New Roman" w:cs="Times New Roman"/>
                <w:bCs/>
                <w:sz w:val="20"/>
                <w:szCs w:val="20"/>
                <w:lang w:eastAsia="en-ZA"/>
              </w:rPr>
              <w:t>C</w:t>
            </w:r>
            <w:r>
              <w:rPr>
                <w:rFonts w:ascii="Times New Roman" w:eastAsia="Times New Roman" w:hAnsi="Times New Roman" w:cs="Times New Roman"/>
                <w:bCs/>
                <w:sz w:val="20"/>
                <w:szCs w:val="20"/>
                <w:lang w:eastAsia="en-ZA"/>
              </w:rPr>
              <w:t>h</w:t>
            </w:r>
            <w:r w:rsidRPr="003870AA">
              <w:rPr>
                <w:rFonts w:ascii="Times New Roman" w:eastAsia="Times New Roman" w:hAnsi="Times New Roman" w:cs="Times New Roman"/>
                <w:bCs/>
                <w:sz w:val="20"/>
                <w:szCs w:val="20"/>
                <w:lang w:eastAsia="en-ZA"/>
              </w:rPr>
              <w:t>ris</w:t>
            </w:r>
            <w:r>
              <w:rPr>
                <w:rFonts w:ascii="Times New Roman" w:eastAsia="Times New Roman" w:hAnsi="Times New Roman" w:cs="Times New Roman"/>
                <w:bCs/>
                <w:sz w:val="20"/>
                <w:szCs w:val="20"/>
                <w:lang w:eastAsia="en-ZA"/>
              </w:rPr>
              <w:t>tian</w:t>
            </w:r>
            <w:r w:rsidRPr="003870AA">
              <w:rPr>
                <w:rFonts w:ascii="Times New Roman" w:eastAsia="Times New Roman" w:hAnsi="Times New Roman" w:cs="Times New Roman"/>
                <w:bCs/>
                <w:sz w:val="20"/>
                <w:szCs w:val="20"/>
                <w:lang w:eastAsia="en-ZA"/>
              </w:rPr>
              <w:t xml:space="preserve"> Chimimba </w:t>
            </w:r>
          </w:p>
        </w:tc>
      </w:tr>
      <w:tr w:rsidR="002D7080" w:rsidRPr="00592486" w14:paraId="19DB2107" w14:textId="77777777" w:rsidTr="002E2C37">
        <w:trPr>
          <w:cantSplit/>
          <w:trHeight w:val="206"/>
        </w:trPr>
        <w:tc>
          <w:tcPr>
            <w:tcW w:w="8908"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3099DDB4"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b/>
                <w:sz w:val="20"/>
                <w:szCs w:val="20"/>
                <w:lang w:eastAsia="en-ZA"/>
              </w:rPr>
              <w:t>BAC2 Contact details of assessor (s)</w:t>
            </w:r>
          </w:p>
        </w:tc>
      </w:tr>
      <w:tr w:rsidR="002D7080" w:rsidRPr="00592486" w14:paraId="6137EDBA" w14:textId="77777777" w:rsidTr="002E2C37">
        <w:trPr>
          <w:cantSplit/>
          <w:trHeight w:val="70"/>
        </w:trPr>
        <w:tc>
          <w:tcPr>
            <w:tcW w:w="2340" w:type="dxa"/>
            <w:vMerge w:val="restart"/>
            <w:tcBorders>
              <w:top w:val="nil"/>
              <w:left w:val="single" w:sz="4" w:space="0" w:color="auto"/>
              <w:right w:val="single" w:sz="4" w:space="0" w:color="auto"/>
            </w:tcBorders>
            <w:shd w:val="clear" w:color="auto" w:fill="F2F2F2" w:themeFill="background1" w:themeFillShade="F2"/>
            <w:noWrap/>
            <w:hideMark/>
          </w:tcPr>
          <w:p w14:paraId="068ECCD5"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Lead assessor</w:t>
            </w:r>
          </w:p>
        </w:tc>
        <w:tc>
          <w:tcPr>
            <w:tcW w:w="6568" w:type="dxa"/>
            <w:gridSpan w:val="3"/>
            <w:tcBorders>
              <w:top w:val="nil"/>
              <w:left w:val="nil"/>
              <w:bottom w:val="single" w:sz="4" w:space="0" w:color="auto"/>
              <w:right w:val="single" w:sz="4" w:space="0" w:color="auto"/>
            </w:tcBorders>
          </w:tcPr>
          <w:p w14:paraId="2F54BF34"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Organisational affiliation: </w:t>
            </w:r>
            <w:r w:rsidRPr="00233C97">
              <w:rPr>
                <w:rFonts w:ascii="Times New Roman" w:eastAsia="Times New Roman" w:hAnsi="Times New Roman" w:cs="Times New Roman"/>
                <w:color w:val="000000"/>
                <w:sz w:val="20"/>
                <w:szCs w:val="20"/>
                <w:lang w:eastAsia="en-ZA"/>
              </w:rPr>
              <w:t>Department of Zoology and Entomology, University of Pretoria/South African National Biodiversity Institute (SANBI).</w:t>
            </w:r>
          </w:p>
        </w:tc>
      </w:tr>
      <w:tr w:rsidR="002D7080" w:rsidRPr="00592486" w14:paraId="2CFFC3E5" w14:textId="77777777" w:rsidTr="002E2C37">
        <w:trPr>
          <w:cantSplit/>
          <w:trHeight w:val="70"/>
        </w:trPr>
        <w:tc>
          <w:tcPr>
            <w:tcW w:w="2340" w:type="dxa"/>
            <w:vMerge/>
            <w:tcBorders>
              <w:left w:val="single" w:sz="4" w:space="0" w:color="auto"/>
              <w:bottom w:val="single" w:sz="4" w:space="0" w:color="auto"/>
              <w:right w:val="single" w:sz="4" w:space="0" w:color="auto"/>
            </w:tcBorders>
            <w:shd w:val="clear" w:color="auto" w:fill="F2F2F2" w:themeFill="background1" w:themeFillShade="F2"/>
            <w:noWrap/>
          </w:tcPr>
          <w:p w14:paraId="39A7EF7B" w14:textId="77777777" w:rsidR="002D7080" w:rsidRPr="00233C97" w:rsidRDefault="002D7080" w:rsidP="006728DB">
            <w:pPr>
              <w:spacing w:after="0"/>
              <w:jc w:val="both"/>
              <w:rPr>
                <w:rFonts w:ascii="Times New Roman" w:eastAsia="Times New Roman" w:hAnsi="Times New Roman" w:cs="Times New Roman"/>
                <w:sz w:val="20"/>
                <w:szCs w:val="20"/>
                <w:lang w:eastAsia="en-ZA"/>
              </w:rPr>
            </w:pPr>
          </w:p>
        </w:tc>
        <w:tc>
          <w:tcPr>
            <w:tcW w:w="6568" w:type="dxa"/>
            <w:gridSpan w:val="3"/>
            <w:tcBorders>
              <w:top w:val="nil"/>
              <w:left w:val="nil"/>
              <w:bottom w:val="single" w:sz="4" w:space="0" w:color="auto"/>
              <w:right w:val="single" w:sz="4" w:space="0" w:color="auto"/>
            </w:tcBorders>
          </w:tcPr>
          <w:p w14:paraId="7A9B25A2"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email: </w:t>
            </w:r>
            <w:r w:rsidRPr="004D1E6F">
              <w:rPr>
                <w:rFonts w:ascii="Times New Roman" w:eastAsia="Times New Roman" w:hAnsi="Times New Roman" w:cs="Times New Roman"/>
                <w:color w:val="000000"/>
                <w:sz w:val="20"/>
                <w:szCs w:val="20"/>
                <w:lang w:eastAsia="en-ZA"/>
              </w:rPr>
              <w:t>leeannebth782@gmail.com</w:t>
            </w:r>
          </w:p>
        </w:tc>
      </w:tr>
      <w:tr w:rsidR="002D7080" w:rsidRPr="00592486" w14:paraId="51E0ADCD" w14:textId="77777777" w:rsidTr="002E2C37">
        <w:trPr>
          <w:cantSplit/>
          <w:trHeight w:val="70"/>
        </w:trPr>
        <w:tc>
          <w:tcPr>
            <w:tcW w:w="234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B0AEE66"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Additional assessor (1)</w:t>
            </w:r>
          </w:p>
        </w:tc>
        <w:tc>
          <w:tcPr>
            <w:tcW w:w="6568" w:type="dxa"/>
            <w:gridSpan w:val="3"/>
            <w:tcBorders>
              <w:top w:val="nil"/>
              <w:left w:val="nil"/>
              <w:bottom w:val="single" w:sz="4" w:space="0" w:color="auto"/>
              <w:right w:val="single" w:sz="4" w:space="0" w:color="auto"/>
            </w:tcBorders>
          </w:tcPr>
          <w:p w14:paraId="1D68A077"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Organisational affiliation:  </w:t>
            </w:r>
            <w:r w:rsidRPr="00233C97">
              <w:rPr>
                <w:rFonts w:ascii="Times New Roman" w:eastAsia="Times New Roman" w:hAnsi="Times New Roman" w:cs="Times New Roman"/>
                <w:color w:val="000000"/>
                <w:sz w:val="20"/>
                <w:szCs w:val="20"/>
                <w:lang w:eastAsia="en-ZA"/>
              </w:rPr>
              <w:t>Department of Zoology and Entomology, University of Pretoria/South African National Biodiversity Institute (SANBI).</w:t>
            </w:r>
          </w:p>
        </w:tc>
      </w:tr>
      <w:tr w:rsidR="002D7080" w:rsidRPr="00592486" w14:paraId="5CD23CEC" w14:textId="77777777" w:rsidTr="002E2C37">
        <w:trPr>
          <w:cantSplit/>
          <w:trHeight w:val="70"/>
        </w:trPr>
        <w:tc>
          <w:tcPr>
            <w:tcW w:w="234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37870A2" w14:textId="77777777" w:rsidR="002D7080" w:rsidRPr="00233C97" w:rsidRDefault="002D7080" w:rsidP="006728DB">
            <w:pPr>
              <w:spacing w:after="0"/>
              <w:jc w:val="both"/>
              <w:rPr>
                <w:rFonts w:ascii="Times New Roman" w:eastAsia="Times New Roman" w:hAnsi="Times New Roman" w:cs="Times New Roman"/>
                <w:sz w:val="20"/>
                <w:szCs w:val="20"/>
                <w:lang w:eastAsia="en-ZA"/>
              </w:rPr>
            </w:pPr>
          </w:p>
        </w:tc>
        <w:tc>
          <w:tcPr>
            <w:tcW w:w="6568" w:type="dxa"/>
            <w:gridSpan w:val="3"/>
            <w:tcBorders>
              <w:top w:val="nil"/>
              <w:left w:val="nil"/>
              <w:bottom w:val="single" w:sz="4" w:space="0" w:color="auto"/>
              <w:right w:val="single" w:sz="4" w:space="0" w:color="auto"/>
            </w:tcBorders>
          </w:tcPr>
          <w:p w14:paraId="2E85C48E"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email:</w:t>
            </w:r>
            <w:r>
              <w:rPr>
                <w:rFonts w:ascii="Times New Roman" w:eastAsia="Times New Roman" w:hAnsi="Times New Roman" w:cs="Times New Roman"/>
                <w:sz w:val="20"/>
                <w:szCs w:val="20"/>
                <w:lang w:eastAsia="en-ZA"/>
              </w:rPr>
              <w:t xml:space="preserve"> t.zengeya@sanbi.org.za</w:t>
            </w:r>
          </w:p>
        </w:tc>
      </w:tr>
      <w:tr w:rsidR="002D7080" w:rsidRPr="00592486" w14:paraId="47629C6D" w14:textId="77777777" w:rsidTr="002E2C37">
        <w:trPr>
          <w:cantSplit/>
          <w:trHeight w:val="70"/>
        </w:trPr>
        <w:tc>
          <w:tcPr>
            <w:tcW w:w="2340" w:type="dxa"/>
            <w:vMerge w:val="restart"/>
            <w:tcBorders>
              <w:top w:val="single" w:sz="4" w:space="0" w:color="auto"/>
              <w:left w:val="single" w:sz="4" w:space="0" w:color="auto"/>
              <w:right w:val="single" w:sz="4" w:space="0" w:color="auto"/>
            </w:tcBorders>
            <w:shd w:val="clear" w:color="auto" w:fill="F2F2F2" w:themeFill="background1" w:themeFillShade="F2"/>
            <w:noWrap/>
          </w:tcPr>
          <w:p w14:paraId="08781290"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Additional assessor (2)</w:t>
            </w:r>
          </w:p>
        </w:tc>
        <w:tc>
          <w:tcPr>
            <w:tcW w:w="6568" w:type="dxa"/>
            <w:gridSpan w:val="3"/>
            <w:tcBorders>
              <w:top w:val="nil"/>
              <w:left w:val="nil"/>
              <w:bottom w:val="single" w:sz="4" w:space="0" w:color="auto"/>
              <w:right w:val="single" w:sz="4" w:space="0" w:color="auto"/>
            </w:tcBorders>
          </w:tcPr>
          <w:p w14:paraId="016CD637"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Organisational affiliation:  </w:t>
            </w:r>
            <w:r w:rsidRPr="00233C97">
              <w:rPr>
                <w:rFonts w:ascii="Times New Roman" w:eastAsia="Times New Roman" w:hAnsi="Times New Roman" w:cs="Times New Roman"/>
                <w:color w:val="000000"/>
                <w:sz w:val="20"/>
                <w:szCs w:val="20"/>
                <w:lang w:eastAsia="en-ZA"/>
              </w:rPr>
              <w:t>Department of Zoology and Entomology, University of Pretori</w:t>
            </w:r>
            <w:r>
              <w:rPr>
                <w:rFonts w:ascii="Times New Roman" w:eastAsia="Times New Roman" w:hAnsi="Times New Roman" w:cs="Times New Roman"/>
                <w:color w:val="000000"/>
                <w:sz w:val="20"/>
                <w:szCs w:val="20"/>
                <w:lang w:eastAsia="en-ZA"/>
              </w:rPr>
              <w:t>a</w:t>
            </w:r>
          </w:p>
        </w:tc>
      </w:tr>
      <w:tr w:rsidR="002D7080" w:rsidRPr="00592486" w14:paraId="299D4999" w14:textId="77777777" w:rsidTr="002E2C37">
        <w:trPr>
          <w:cantSplit/>
          <w:trHeight w:val="70"/>
        </w:trPr>
        <w:tc>
          <w:tcPr>
            <w:tcW w:w="2340" w:type="dxa"/>
            <w:vMerge/>
            <w:tcBorders>
              <w:left w:val="single" w:sz="4" w:space="0" w:color="auto"/>
              <w:right w:val="single" w:sz="4" w:space="0" w:color="auto"/>
            </w:tcBorders>
            <w:shd w:val="clear" w:color="auto" w:fill="F2F2F2" w:themeFill="background1" w:themeFillShade="F2"/>
            <w:noWrap/>
          </w:tcPr>
          <w:p w14:paraId="2D17CE07" w14:textId="77777777" w:rsidR="002D7080" w:rsidRPr="00233C97" w:rsidRDefault="002D7080" w:rsidP="006728DB">
            <w:pPr>
              <w:spacing w:after="0"/>
              <w:jc w:val="both"/>
              <w:rPr>
                <w:rFonts w:ascii="Times New Roman" w:eastAsia="Times New Roman" w:hAnsi="Times New Roman" w:cs="Times New Roman"/>
                <w:sz w:val="20"/>
                <w:szCs w:val="20"/>
                <w:lang w:eastAsia="en-ZA"/>
              </w:rPr>
            </w:pPr>
          </w:p>
        </w:tc>
        <w:tc>
          <w:tcPr>
            <w:tcW w:w="6568" w:type="dxa"/>
            <w:gridSpan w:val="3"/>
            <w:tcBorders>
              <w:top w:val="nil"/>
              <w:left w:val="nil"/>
              <w:bottom w:val="single" w:sz="4" w:space="0" w:color="auto"/>
              <w:right w:val="single" w:sz="4" w:space="0" w:color="auto"/>
            </w:tcBorders>
          </w:tcPr>
          <w:p w14:paraId="0547ABFA"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email:</w:t>
            </w:r>
            <w:r>
              <w:rPr>
                <w:rFonts w:ascii="Times New Roman" w:eastAsia="Times New Roman" w:hAnsi="Times New Roman" w:cs="Times New Roman"/>
                <w:sz w:val="20"/>
                <w:szCs w:val="20"/>
                <w:lang w:eastAsia="en-ZA"/>
              </w:rPr>
              <w:t xml:space="preserve"> t.zengeya@sanbi.org.za</w:t>
            </w:r>
          </w:p>
        </w:tc>
      </w:tr>
      <w:tr w:rsidR="002D7080" w:rsidRPr="00592486" w14:paraId="0E584AE6" w14:textId="77777777" w:rsidTr="002E2C37">
        <w:trPr>
          <w:cantSplit/>
          <w:trHeight w:val="70"/>
        </w:trPr>
        <w:tc>
          <w:tcPr>
            <w:tcW w:w="2340" w:type="dxa"/>
            <w:vMerge/>
            <w:tcBorders>
              <w:left w:val="single" w:sz="4" w:space="0" w:color="auto"/>
              <w:bottom w:val="single" w:sz="4" w:space="0" w:color="auto"/>
              <w:right w:val="single" w:sz="4" w:space="0" w:color="auto"/>
            </w:tcBorders>
            <w:shd w:val="clear" w:color="auto" w:fill="F2F2F2" w:themeFill="background1" w:themeFillShade="F2"/>
            <w:noWrap/>
          </w:tcPr>
          <w:p w14:paraId="121D39C4" w14:textId="77777777" w:rsidR="002D7080" w:rsidRPr="00233C97" w:rsidRDefault="002D7080" w:rsidP="006728DB">
            <w:pPr>
              <w:spacing w:after="0"/>
              <w:jc w:val="both"/>
              <w:rPr>
                <w:rFonts w:ascii="Times New Roman" w:eastAsia="Times New Roman" w:hAnsi="Times New Roman" w:cs="Times New Roman"/>
                <w:sz w:val="20"/>
                <w:szCs w:val="20"/>
                <w:lang w:eastAsia="en-ZA"/>
              </w:rPr>
            </w:pPr>
          </w:p>
        </w:tc>
        <w:tc>
          <w:tcPr>
            <w:tcW w:w="6568" w:type="dxa"/>
            <w:gridSpan w:val="3"/>
            <w:tcBorders>
              <w:top w:val="nil"/>
              <w:left w:val="nil"/>
              <w:bottom w:val="single" w:sz="4" w:space="0" w:color="auto"/>
              <w:right w:val="single" w:sz="4" w:space="0" w:color="auto"/>
            </w:tcBorders>
          </w:tcPr>
          <w:p w14:paraId="063DDD1D"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Phone:</w:t>
            </w:r>
            <w:r>
              <w:rPr>
                <w:rFonts w:ascii="Times New Roman" w:eastAsia="Times New Roman" w:hAnsi="Times New Roman" w:cs="Times New Roman"/>
                <w:sz w:val="20"/>
                <w:szCs w:val="20"/>
                <w:lang w:eastAsia="en-ZA"/>
              </w:rPr>
              <w:t xml:space="preserve"> c.chimimba@zoology.up.ac.za</w:t>
            </w:r>
          </w:p>
        </w:tc>
      </w:tr>
      <w:tr w:rsidR="002D7080" w:rsidRPr="00592486" w14:paraId="250DABFE" w14:textId="77777777" w:rsidTr="002E2C37">
        <w:trPr>
          <w:cantSplit/>
          <w:trHeight w:val="357"/>
        </w:trPr>
        <w:tc>
          <w:tcPr>
            <w:tcW w:w="8908" w:type="dxa"/>
            <w:gridSpan w:val="4"/>
            <w:tcBorders>
              <w:left w:val="single" w:sz="4" w:space="0" w:color="auto"/>
              <w:bottom w:val="single" w:sz="4" w:space="0" w:color="auto"/>
              <w:right w:val="single" w:sz="4" w:space="0" w:color="auto"/>
            </w:tcBorders>
            <w:shd w:val="clear" w:color="auto" w:fill="F2F2F2" w:themeFill="background1" w:themeFillShade="F2"/>
            <w:noWrap/>
          </w:tcPr>
          <w:p w14:paraId="6C3E1738"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b/>
                <w:sz w:val="20"/>
                <w:szCs w:val="20"/>
                <w:lang w:eastAsia="en-ZA"/>
              </w:rPr>
              <w:t>BAC3 Name(s) and contact details of expert(s) consulted</w:t>
            </w:r>
          </w:p>
        </w:tc>
      </w:tr>
      <w:tr w:rsidR="002D7080" w:rsidRPr="00592486" w14:paraId="3D3A6832" w14:textId="77777777" w:rsidTr="002E2C37">
        <w:trPr>
          <w:cantSplit/>
          <w:trHeight w:val="70"/>
        </w:trPr>
        <w:tc>
          <w:tcPr>
            <w:tcW w:w="2340" w:type="dxa"/>
            <w:vMerge w:val="restart"/>
            <w:tcBorders>
              <w:left w:val="single" w:sz="4" w:space="0" w:color="auto"/>
              <w:right w:val="single" w:sz="4" w:space="0" w:color="auto"/>
            </w:tcBorders>
            <w:shd w:val="clear" w:color="auto" w:fill="F2F2F2" w:themeFill="background1" w:themeFillShade="F2"/>
            <w:noWrap/>
          </w:tcPr>
          <w:p w14:paraId="188BF170"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Expert (1)</w:t>
            </w:r>
          </w:p>
        </w:tc>
        <w:tc>
          <w:tcPr>
            <w:tcW w:w="6568" w:type="dxa"/>
            <w:gridSpan w:val="3"/>
            <w:tcBorders>
              <w:top w:val="nil"/>
              <w:left w:val="nil"/>
              <w:bottom w:val="single" w:sz="4" w:space="0" w:color="auto"/>
              <w:right w:val="single" w:sz="4" w:space="0" w:color="auto"/>
            </w:tcBorders>
          </w:tcPr>
          <w:p w14:paraId="4BBA1813"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Name</w:t>
            </w:r>
          </w:p>
        </w:tc>
      </w:tr>
      <w:tr w:rsidR="002D7080" w:rsidRPr="00592486" w14:paraId="1E2D1A6B" w14:textId="77777777" w:rsidTr="002E2C37">
        <w:trPr>
          <w:cantSplit/>
          <w:trHeight w:val="70"/>
        </w:trPr>
        <w:tc>
          <w:tcPr>
            <w:tcW w:w="2340" w:type="dxa"/>
            <w:vMerge/>
            <w:tcBorders>
              <w:left w:val="single" w:sz="4" w:space="0" w:color="auto"/>
              <w:right w:val="single" w:sz="4" w:space="0" w:color="auto"/>
            </w:tcBorders>
            <w:shd w:val="clear" w:color="auto" w:fill="F2F2F2" w:themeFill="background1" w:themeFillShade="F2"/>
            <w:noWrap/>
          </w:tcPr>
          <w:p w14:paraId="04BC1119" w14:textId="77777777" w:rsidR="002D7080" w:rsidRPr="00233C97" w:rsidRDefault="002D7080" w:rsidP="006728DB">
            <w:pPr>
              <w:spacing w:after="0"/>
              <w:jc w:val="both"/>
              <w:rPr>
                <w:rFonts w:ascii="Times New Roman" w:eastAsia="Times New Roman" w:hAnsi="Times New Roman" w:cs="Times New Roman"/>
                <w:sz w:val="20"/>
                <w:szCs w:val="20"/>
                <w:lang w:eastAsia="en-ZA"/>
              </w:rPr>
            </w:pPr>
          </w:p>
        </w:tc>
        <w:tc>
          <w:tcPr>
            <w:tcW w:w="6568" w:type="dxa"/>
            <w:gridSpan w:val="3"/>
            <w:tcBorders>
              <w:top w:val="nil"/>
              <w:left w:val="nil"/>
              <w:bottom w:val="single" w:sz="4" w:space="0" w:color="auto"/>
              <w:right w:val="single" w:sz="4" w:space="0" w:color="auto"/>
            </w:tcBorders>
          </w:tcPr>
          <w:p w14:paraId="3DE891C5"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email: </w:t>
            </w:r>
          </w:p>
        </w:tc>
      </w:tr>
      <w:tr w:rsidR="002D7080" w:rsidRPr="00592486" w14:paraId="21364F8D" w14:textId="77777777" w:rsidTr="002E2C37">
        <w:trPr>
          <w:cantSplit/>
          <w:trHeight w:val="70"/>
        </w:trPr>
        <w:tc>
          <w:tcPr>
            <w:tcW w:w="2340" w:type="dxa"/>
            <w:vMerge/>
            <w:tcBorders>
              <w:left w:val="single" w:sz="4" w:space="0" w:color="auto"/>
              <w:bottom w:val="single" w:sz="4" w:space="0" w:color="auto"/>
              <w:right w:val="single" w:sz="4" w:space="0" w:color="auto"/>
            </w:tcBorders>
            <w:shd w:val="clear" w:color="auto" w:fill="F2F2F2" w:themeFill="background1" w:themeFillShade="F2"/>
            <w:noWrap/>
          </w:tcPr>
          <w:p w14:paraId="435B4B45" w14:textId="77777777" w:rsidR="002D7080" w:rsidRPr="00233C97" w:rsidRDefault="002D7080" w:rsidP="006728DB">
            <w:pPr>
              <w:spacing w:after="0"/>
              <w:jc w:val="both"/>
              <w:rPr>
                <w:rFonts w:ascii="Times New Roman" w:eastAsia="Times New Roman" w:hAnsi="Times New Roman" w:cs="Times New Roman"/>
                <w:sz w:val="20"/>
                <w:szCs w:val="20"/>
                <w:lang w:eastAsia="en-ZA"/>
              </w:rPr>
            </w:pPr>
          </w:p>
        </w:tc>
        <w:tc>
          <w:tcPr>
            <w:tcW w:w="6568" w:type="dxa"/>
            <w:gridSpan w:val="3"/>
            <w:tcBorders>
              <w:top w:val="nil"/>
              <w:left w:val="nil"/>
              <w:bottom w:val="single" w:sz="4" w:space="0" w:color="auto"/>
              <w:right w:val="single" w:sz="4" w:space="0" w:color="auto"/>
            </w:tcBorders>
          </w:tcPr>
          <w:p w14:paraId="20636C16"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Phone:</w:t>
            </w:r>
          </w:p>
        </w:tc>
      </w:tr>
      <w:tr w:rsidR="002D7080" w:rsidRPr="00592486" w14:paraId="727E1B48" w14:textId="77777777" w:rsidTr="002E2C37">
        <w:trPr>
          <w:cantSplit/>
          <w:trHeight w:val="70"/>
        </w:trPr>
        <w:tc>
          <w:tcPr>
            <w:tcW w:w="2340" w:type="dxa"/>
            <w:vMerge w:val="restart"/>
            <w:tcBorders>
              <w:left w:val="single" w:sz="4" w:space="0" w:color="auto"/>
              <w:right w:val="single" w:sz="4" w:space="0" w:color="auto"/>
            </w:tcBorders>
            <w:shd w:val="clear" w:color="auto" w:fill="F2F2F2" w:themeFill="background1" w:themeFillShade="F2"/>
            <w:noWrap/>
          </w:tcPr>
          <w:p w14:paraId="3B96999B"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Expert (2)</w:t>
            </w:r>
          </w:p>
        </w:tc>
        <w:tc>
          <w:tcPr>
            <w:tcW w:w="6568" w:type="dxa"/>
            <w:gridSpan w:val="3"/>
            <w:tcBorders>
              <w:top w:val="nil"/>
              <w:left w:val="nil"/>
              <w:bottom w:val="single" w:sz="4" w:space="0" w:color="auto"/>
              <w:right w:val="single" w:sz="4" w:space="0" w:color="auto"/>
            </w:tcBorders>
          </w:tcPr>
          <w:p w14:paraId="1B8FB0CB"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Name:</w:t>
            </w:r>
          </w:p>
        </w:tc>
      </w:tr>
      <w:tr w:rsidR="002D7080" w:rsidRPr="00592486" w14:paraId="5984604E" w14:textId="77777777" w:rsidTr="002E2C37">
        <w:trPr>
          <w:cantSplit/>
          <w:trHeight w:val="70"/>
        </w:trPr>
        <w:tc>
          <w:tcPr>
            <w:tcW w:w="2340" w:type="dxa"/>
            <w:vMerge/>
            <w:tcBorders>
              <w:left w:val="single" w:sz="4" w:space="0" w:color="auto"/>
              <w:right w:val="single" w:sz="4" w:space="0" w:color="auto"/>
            </w:tcBorders>
            <w:shd w:val="clear" w:color="auto" w:fill="F2F2F2" w:themeFill="background1" w:themeFillShade="F2"/>
            <w:noWrap/>
          </w:tcPr>
          <w:p w14:paraId="6AE99A8E" w14:textId="77777777" w:rsidR="002D7080" w:rsidRPr="00233C97" w:rsidRDefault="002D7080" w:rsidP="006728DB">
            <w:pPr>
              <w:spacing w:after="0"/>
              <w:jc w:val="both"/>
              <w:rPr>
                <w:rFonts w:ascii="Times New Roman" w:eastAsia="Times New Roman" w:hAnsi="Times New Roman" w:cs="Times New Roman"/>
                <w:sz w:val="20"/>
                <w:szCs w:val="20"/>
                <w:lang w:eastAsia="en-ZA"/>
              </w:rPr>
            </w:pPr>
          </w:p>
        </w:tc>
        <w:tc>
          <w:tcPr>
            <w:tcW w:w="6568" w:type="dxa"/>
            <w:gridSpan w:val="3"/>
            <w:tcBorders>
              <w:top w:val="nil"/>
              <w:left w:val="nil"/>
              <w:bottom w:val="single" w:sz="4" w:space="0" w:color="auto"/>
              <w:right w:val="single" w:sz="4" w:space="0" w:color="auto"/>
            </w:tcBorders>
          </w:tcPr>
          <w:p w14:paraId="1EDB2E1A"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email:</w:t>
            </w:r>
          </w:p>
        </w:tc>
      </w:tr>
      <w:tr w:rsidR="002D7080" w:rsidRPr="00592486" w14:paraId="0D17D541" w14:textId="77777777" w:rsidTr="002E2C37">
        <w:trPr>
          <w:cantSplit/>
          <w:trHeight w:val="70"/>
        </w:trPr>
        <w:tc>
          <w:tcPr>
            <w:tcW w:w="2340" w:type="dxa"/>
            <w:vMerge/>
            <w:tcBorders>
              <w:left w:val="single" w:sz="4" w:space="0" w:color="auto"/>
              <w:bottom w:val="single" w:sz="4" w:space="0" w:color="auto"/>
              <w:right w:val="single" w:sz="4" w:space="0" w:color="auto"/>
            </w:tcBorders>
            <w:shd w:val="clear" w:color="auto" w:fill="F2F2F2" w:themeFill="background1" w:themeFillShade="F2"/>
            <w:noWrap/>
          </w:tcPr>
          <w:p w14:paraId="466F6767" w14:textId="77777777" w:rsidR="002D7080" w:rsidRPr="00233C97" w:rsidRDefault="002D7080" w:rsidP="006728DB">
            <w:pPr>
              <w:spacing w:after="0"/>
              <w:jc w:val="both"/>
              <w:rPr>
                <w:rFonts w:ascii="Times New Roman" w:eastAsia="Times New Roman" w:hAnsi="Times New Roman" w:cs="Times New Roman"/>
                <w:sz w:val="20"/>
                <w:szCs w:val="20"/>
                <w:lang w:eastAsia="en-ZA"/>
              </w:rPr>
            </w:pPr>
          </w:p>
        </w:tc>
        <w:tc>
          <w:tcPr>
            <w:tcW w:w="6568" w:type="dxa"/>
            <w:gridSpan w:val="3"/>
            <w:tcBorders>
              <w:top w:val="nil"/>
              <w:left w:val="nil"/>
              <w:bottom w:val="single" w:sz="4" w:space="0" w:color="auto"/>
              <w:right w:val="single" w:sz="4" w:space="0" w:color="auto"/>
            </w:tcBorders>
          </w:tcPr>
          <w:p w14:paraId="3ADEB6CE"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Phone:</w:t>
            </w:r>
          </w:p>
        </w:tc>
      </w:tr>
      <w:tr w:rsidR="002D7080" w:rsidRPr="00592486" w14:paraId="13E2F7C9" w14:textId="77777777" w:rsidTr="002E2C37">
        <w:trPr>
          <w:cantSplit/>
          <w:trHeight w:val="70"/>
        </w:trPr>
        <w:tc>
          <w:tcPr>
            <w:tcW w:w="8908" w:type="dxa"/>
            <w:gridSpan w:val="4"/>
            <w:tcBorders>
              <w:top w:val="nil"/>
              <w:left w:val="single" w:sz="4" w:space="0" w:color="auto"/>
              <w:bottom w:val="single" w:sz="4" w:space="0" w:color="auto"/>
              <w:right w:val="single" w:sz="4" w:space="0" w:color="auto"/>
            </w:tcBorders>
            <w:noWrap/>
          </w:tcPr>
          <w:p w14:paraId="665CDEFA"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Comments: </w:t>
            </w:r>
            <w:r>
              <w:rPr>
                <w:rFonts w:ascii="Times New Roman" w:eastAsia="Times New Roman" w:hAnsi="Times New Roman" w:cs="Times New Roman"/>
                <w:sz w:val="20"/>
                <w:szCs w:val="20"/>
                <w:lang w:eastAsia="en-ZA"/>
              </w:rPr>
              <w:t>none.</w:t>
            </w:r>
          </w:p>
        </w:tc>
      </w:tr>
      <w:tr w:rsidR="002D7080" w:rsidRPr="00592486" w14:paraId="4E5A30ED" w14:textId="77777777" w:rsidTr="002E2C37">
        <w:trPr>
          <w:cantSplit/>
          <w:trHeight w:val="242"/>
        </w:trPr>
        <w:tc>
          <w:tcPr>
            <w:tcW w:w="8908"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0548A121"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b/>
                <w:sz w:val="20"/>
                <w:szCs w:val="20"/>
                <w:lang w:eastAsia="en-ZA"/>
              </w:rPr>
              <w:t xml:space="preserve">BAC4 Scientific name of </w:t>
            </w:r>
            <w:r w:rsidRPr="00233C97">
              <w:rPr>
                <w:rFonts w:ascii="Times New Roman" w:eastAsia="Times New Roman" w:hAnsi="Times New Roman" w:cs="Times New Roman"/>
                <w:b/>
                <w:i/>
                <w:sz w:val="20"/>
                <w:szCs w:val="20"/>
                <w:lang w:eastAsia="en-ZA"/>
              </w:rPr>
              <w:t>Taxon</w:t>
            </w:r>
            <w:r w:rsidRPr="00233C97">
              <w:rPr>
                <w:rFonts w:ascii="Times New Roman" w:eastAsia="Times New Roman" w:hAnsi="Times New Roman" w:cs="Times New Roman"/>
                <w:b/>
                <w:sz w:val="20"/>
                <w:szCs w:val="20"/>
                <w:lang w:eastAsia="en-ZA"/>
              </w:rPr>
              <w:t xml:space="preserve"> under assessment</w:t>
            </w:r>
          </w:p>
        </w:tc>
      </w:tr>
      <w:tr w:rsidR="002D7080" w:rsidRPr="00592486" w14:paraId="417A5735" w14:textId="77777777" w:rsidTr="002E2C37">
        <w:trPr>
          <w:cantSplit/>
          <w:trHeight w:val="70"/>
        </w:trPr>
        <w:tc>
          <w:tcPr>
            <w:tcW w:w="6207" w:type="dxa"/>
            <w:gridSpan w:val="3"/>
            <w:tcBorders>
              <w:top w:val="nil"/>
              <w:left w:val="single" w:sz="4" w:space="0" w:color="auto"/>
              <w:bottom w:val="single" w:sz="4" w:space="0" w:color="auto"/>
              <w:right w:val="single" w:sz="4" w:space="0" w:color="auto"/>
            </w:tcBorders>
            <w:noWrap/>
          </w:tcPr>
          <w:p w14:paraId="7513C7F1"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i/>
                <w:sz w:val="20"/>
                <w:szCs w:val="20"/>
                <w:lang w:eastAsia="en-ZA"/>
              </w:rPr>
              <w:t>Taxon</w:t>
            </w:r>
            <w:r w:rsidRPr="00233C97">
              <w:rPr>
                <w:rFonts w:ascii="Times New Roman" w:eastAsia="Times New Roman" w:hAnsi="Times New Roman" w:cs="Times New Roman"/>
                <w:sz w:val="20"/>
                <w:szCs w:val="20"/>
                <w:lang w:eastAsia="en-ZA"/>
              </w:rPr>
              <w:t xml:space="preserve"> name: </w:t>
            </w:r>
            <w:r w:rsidRPr="00233C97">
              <w:rPr>
                <w:rFonts w:ascii="Times New Roman" w:eastAsia="Times New Roman" w:hAnsi="Times New Roman" w:cs="Times New Roman"/>
                <w:i/>
                <w:sz w:val="20"/>
                <w:szCs w:val="20"/>
                <w:lang w:eastAsia="en-ZA"/>
              </w:rPr>
              <w:t>Faxonius rusticus</w:t>
            </w:r>
          </w:p>
        </w:tc>
        <w:tc>
          <w:tcPr>
            <w:tcW w:w="2701" w:type="dxa"/>
            <w:tcBorders>
              <w:top w:val="nil"/>
              <w:left w:val="nil"/>
              <w:bottom w:val="single" w:sz="4" w:space="0" w:color="auto"/>
              <w:right w:val="single" w:sz="4" w:space="0" w:color="auto"/>
            </w:tcBorders>
            <w:hideMark/>
          </w:tcPr>
          <w:p w14:paraId="12EA4C35"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Authority: (Girard, 1852) </w:t>
            </w:r>
          </w:p>
        </w:tc>
      </w:tr>
      <w:tr w:rsidR="002D7080" w:rsidRPr="00592486" w14:paraId="2DA485E6" w14:textId="77777777" w:rsidTr="002E2C37">
        <w:trPr>
          <w:cantSplit/>
          <w:trHeight w:val="70"/>
        </w:trPr>
        <w:tc>
          <w:tcPr>
            <w:tcW w:w="8908" w:type="dxa"/>
            <w:gridSpan w:val="4"/>
            <w:tcBorders>
              <w:top w:val="nil"/>
              <w:left w:val="single" w:sz="4" w:space="0" w:color="auto"/>
              <w:bottom w:val="single" w:sz="4" w:space="0" w:color="auto"/>
              <w:right w:val="single" w:sz="4" w:space="0" w:color="auto"/>
            </w:tcBorders>
            <w:noWrap/>
          </w:tcPr>
          <w:p w14:paraId="0D7070D0"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Comments: The genus</w:t>
            </w:r>
            <w:r w:rsidRPr="00233C97">
              <w:rPr>
                <w:rFonts w:ascii="Times New Roman" w:eastAsia="Times New Roman" w:hAnsi="Times New Roman" w:cs="Times New Roman"/>
                <w:i/>
                <w:iCs/>
                <w:sz w:val="20"/>
                <w:szCs w:val="20"/>
                <w:lang w:eastAsia="en-ZA"/>
              </w:rPr>
              <w:t xml:space="preserve"> Orconectes </w:t>
            </w:r>
            <w:r w:rsidRPr="00E36EE7">
              <w:rPr>
                <w:rFonts w:ascii="Times New Roman" w:eastAsia="Times New Roman" w:hAnsi="Times New Roman" w:cs="Times New Roman"/>
                <w:sz w:val="20"/>
                <w:szCs w:val="20"/>
                <w:lang w:eastAsia="en-ZA"/>
              </w:rPr>
              <w:t>previously included cave</w:t>
            </w:r>
            <w:r w:rsidRPr="00233C97">
              <w:rPr>
                <w:rFonts w:ascii="Times New Roman" w:eastAsia="Times New Roman" w:hAnsi="Times New Roman" w:cs="Times New Roman"/>
                <w:sz w:val="20"/>
                <w:szCs w:val="20"/>
                <w:lang w:eastAsia="en-ZA"/>
              </w:rPr>
              <w:t xml:space="preserve">-dwelling and surface-dwelling crayfish (Crandall &amp; De Grave 2017). The non-cave dwelling crayfish in the </w:t>
            </w:r>
            <w:r w:rsidRPr="00233C97">
              <w:rPr>
                <w:rFonts w:ascii="Times New Roman" w:eastAsia="Times New Roman" w:hAnsi="Times New Roman" w:cs="Times New Roman"/>
                <w:i/>
                <w:sz w:val="20"/>
                <w:szCs w:val="20"/>
                <w:lang w:eastAsia="en-ZA"/>
              </w:rPr>
              <w:t>Orconectes</w:t>
            </w:r>
            <w:r w:rsidRPr="00233C97">
              <w:rPr>
                <w:rFonts w:ascii="Times New Roman" w:eastAsia="Times New Roman" w:hAnsi="Times New Roman" w:cs="Times New Roman"/>
                <w:sz w:val="20"/>
                <w:szCs w:val="20"/>
                <w:lang w:eastAsia="en-ZA"/>
              </w:rPr>
              <w:t xml:space="preserve"> genus were moved to </w:t>
            </w:r>
            <w:r w:rsidRPr="00233C97">
              <w:rPr>
                <w:rFonts w:ascii="Times New Roman" w:eastAsia="Times New Roman" w:hAnsi="Times New Roman" w:cs="Times New Roman"/>
                <w:i/>
                <w:sz w:val="20"/>
                <w:szCs w:val="20"/>
                <w:lang w:eastAsia="en-ZA"/>
              </w:rPr>
              <w:t>Faxonius</w:t>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Cs/>
                <w:sz w:val="20"/>
                <w:szCs w:val="20"/>
                <w:lang w:eastAsia="en-ZA"/>
              </w:rPr>
              <w:t xml:space="preserve">(Centre for Agriculture and Bioscience International 2019; Crandall &amp; De Grave 2017). The taxonomic status of </w:t>
            </w:r>
            <w:r w:rsidRPr="00233C97">
              <w:rPr>
                <w:rFonts w:ascii="Times New Roman" w:eastAsia="Times New Roman" w:hAnsi="Times New Roman" w:cs="Times New Roman"/>
                <w:i/>
                <w:sz w:val="20"/>
                <w:szCs w:val="20"/>
                <w:lang w:eastAsia="en-ZA"/>
              </w:rPr>
              <w:t xml:space="preserve">F. rusticus </w:t>
            </w:r>
            <w:r w:rsidRPr="00233C97">
              <w:rPr>
                <w:rFonts w:ascii="Times New Roman" w:eastAsia="Times New Roman" w:hAnsi="Times New Roman" w:cs="Times New Roman"/>
                <w:iCs/>
                <w:sz w:val="20"/>
                <w:szCs w:val="20"/>
                <w:lang w:eastAsia="en-ZA"/>
              </w:rPr>
              <w:t>has been verified (Integrated Taxonomic Information System 2022).</w:t>
            </w:r>
          </w:p>
        </w:tc>
      </w:tr>
      <w:tr w:rsidR="002D7080" w:rsidRPr="00592486" w14:paraId="39CFD6AD" w14:textId="77777777" w:rsidTr="002E2C37">
        <w:trPr>
          <w:cantSplit/>
          <w:trHeight w:val="70"/>
        </w:trPr>
        <w:tc>
          <w:tcPr>
            <w:tcW w:w="8908" w:type="dxa"/>
            <w:gridSpan w:val="4"/>
            <w:tcBorders>
              <w:top w:val="nil"/>
              <w:left w:val="single" w:sz="4" w:space="0" w:color="auto"/>
              <w:bottom w:val="single" w:sz="4" w:space="0" w:color="auto"/>
              <w:right w:val="single" w:sz="4" w:space="0" w:color="auto"/>
            </w:tcBorders>
            <w:noWrap/>
          </w:tcPr>
          <w:p w14:paraId="1BB19416"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068AC711"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Centre for Agriculture and Bioscience International (CABI), 2021, ‘</w:t>
            </w:r>
            <w:r w:rsidRPr="00233C97">
              <w:rPr>
                <w:rFonts w:ascii="Times New Roman" w:eastAsia="Times New Roman" w:hAnsi="Times New Roman" w:cs="Times New Roman"/>
                <w:i/>
                <w:sz w:val="20"/>
                <w:szCs w:val="20"/>
                <w:lang w:eastAsia="en-ZA"/>
              </w:rPr>
              <w:t>Faxonius rusticus</w:t>
            </w:r>
            <w:r w:rsidRPr="00233C97">
              <w:rPr>
                <w:rFonts w:ascii="Times New Roman" w:eastAsia="Times New Roman" w:hAnsi="Times New Roman" w:cs="Times New Roman"/>
                <w:iCs/>
                <w:sz w:val="20"/>
                <w:szCs w:val="20"/>
                <w:lang w:eastAsia="en-ZA"/>
              </w:rPr>
              <w:t>’,</w:t>
            </w:r>
            <w:r w:rsidRPr="00233C97">
              <w:rPr>
                <w:rFonts w:ascii="Times New Roman" w:eastAsia="Times New Roman" w:hAnsi="Times New Roman" w:cs="Times New Roman"/>
                <w:sz w:val="20"/>
                <w:szCs w:val="20"/>
                <w:lang w:eastAsia="en-ZA"/>
              </w:rPr>
              <w:t xml:space="preserve"> In: Invasive Species Compendium. Wallingford, UK: CAB International. www.cabi.org/isc.</w:t>
            </w:r>
          </w:p>
          <w:p w14:paraId="15039E10" w14:textId="098A6129"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Crandall, K.A. &amp; De Grave, S., 2017, ‘An updated classification of the freshwater crayfishes (Decapoda: Astacidea) of the world, with a complete species list’, </w:t>
            </w:r>
            <w:r w:rsidRPr="00233C97">
              <w:rPr>
                <w:rFonts w:ascii="Times New Roman" w:eastAsia="Times New Roman" w:hAnsi="Times New Roman" w:cs="Times New Roman"/>
                <w:i/>
                <w:sz w:val="20"/>
                <w:szCs w:val="20"/>
                <w:lang w:eastAsia="en-ZA"/>
              </w:rPr>
              <w:t>Journal of Crustacean Biology</w:t>
            </w:r>
            <w:r w:rsidRPr="00233C97">
              <w:rPr>
                <w:rFonts w:ascii="Times New Roman" w:eastAsia="Times New Roman" w:hAnsi="Times New Roman" w:cs="Times New Roman"/>
                <w:sz w:val="20"/>
                <w:szCs w:val="20"/>
                <w:lang w:eastAsia="en-ZA"/>
              </w:rPr>
              <w:t xml:space="preserve"> 27, 615–653. </w:t>
            </w:r>
            <w:hyperlink r:id="rId311" w:history="1">
              <w:r w:rsidR="00141353" w:rsidRPr="00F215B9">
                <w:rPr>
                  <w:rStyle w:val="Hyperlink"/>
                  <w:rFonts w:ascii="Times New Roman" w:hAnsi="Times New Roman" w:cs="Times New Roman"/>
                  <w:sz w:val="20"/>
                  <w:szCs w:val="20"/>
                </w:rPr>
                <w:t>https://doi.org/10.1093/jcbiol/rux070</w:t>
              </w:r>
            </w:hyperlink>
            <w:r w:rsidRPr="00233C97">
              <w:rPr>
                <w:rFonts w:ascii="Times New Roman" w:eastAsia="Times New Roman" w:hAnsi="Times New Roman" w:cs="Times New Roman"/>
                <w:sz w:val="20"/>
                <w:szCs w:val="20"/>
                <w:lang w:eastAsia="en-ZA"/>
              </w:rPr>
              <w:t>.</w:t>
            </w:r>
            <w:r w:rsidR="00141353">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sz w:val="20"/>
                <w:szCs w:val="20"/>
                <w:lang w:eastAsia="en-ZA"/>
              </w:rPr>
              <w:t xml:space="preserve"> </w:t>
            </w:r>
          </w:p>
          <w:p w14:paraId="46D378D8"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Integrated Taxonomic Information System (ITIS), 2022, ‘</w:t>
            </w:r>
            <w:r w:rsidRPr="00233C97">
              <w:rPr>
                <w:rFonts w:ascii="Times New Roman" w:eastAsia="Times New Roman" w:hAnsi="Times New Roman" w:cs="Times New Roman"/>
                <w:i/>
                <w:iCs/>
                <w:sz w:val="20"/>
                <w:szCs w:val="20"/>
                <w:lang w:eastAsia="en-ZA"/>
              </w:rPr>
              <w:t>Faxonius rusticus</w:t>
            </w:r>
            <w:r w:rsidRPr="00233C97">
              <w:rPr>
                <w:rFonts w:ascii="Times New Roman" w:eastAsia="Times New Roman" w:hAnsi="Times New Roman" w:cs="Times New Roman"/>
                <w:sz w:val="20"/>
                <w:szCs w:val="20"/>
                <w:lang w:eastAsia="en-ZA"/>
              </w:rPr>
              <w:t xml:space="preserve"> (Girard, 1852)’, viewed 13 October 2022, from: </w:t>
            </w:r>
            <w:r w:rsidRPr="00233C97">
              <w:rPr>
                <w:rFonts w:ascii="Times New Roman" w:hAnsi="Times New Roman" w:cs="Times New Roman"/>
                <w:sz w:val="20"/>
                <w:szCs w:val="20"/>
              </w:rPr>
              <w:t>https://www.itis.gov/servlet/SingleRpt/SingleRpt?search_topic=TSN&amp;search_value=1133773#null</w:t>
            </w:r>
          </w:p>
        </w:tc>
      </w:tr>
      <w:tr w:rsidR="002D7080" w:rsidRPr="00592486" w14:paraId="3A1B969C" w14:textId="77777777" w:rsidTr="002E2C37">
        <w:trPr>
          <w:cantSplit/>
          <w:trHeight w:val="116"/>
        </w:trPr>
        <w:tc>
          <w:tcPr>
            <w:tcW w:w="89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56B8D60"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b/>
                <w:sz w:val="20"/>
                <w:szCs w:val="20"/>
                <w:lang w:eastAsia="en-ZA"/>
              </w:rPr>
              <w:t>BAC5 Synonym(s) considered</w:t>
            </w:r>
          </w:p>
        </w:tc>
      </w:tr>
      <w:tr w:rsidR="002D7080" w:rsidRPr="00592486" w14:paraId="3C9A6A4D"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4F6DA687" w14:textId="77777777" w:rsidR="002D7080" w:rsidRPr="00233C97" w:rsidRDefault="002D7080" w:rsidP="006728DB">
            <w:pPr>
              <w:spacing w:after="0"/>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sz w:val="20"/>
                <w:szCs w:val="20"/>
                <w:lang w:eastAsia="en-ZA"/>
              </w:rPr>
              <w:t xml:space="preserve">Synonyms: </w:t>
            </w:r>
            <w:r w:rsidRPr="00233C97">
              <w:rPr>
                <w:rFonts w:ascii="Times New Roman" w:eastAsia="Times New Roman" w:hAnsi="Times New Roman" w:cs="Times New Roman"/>
                <w:i/>
                <w:sz w:val="20"/>
                <w:szCs w:val="20"/>
                <w:lang w:eastAsia="en-ZA"/>
              </w:rPr>
              <w:t>Orconectes rusticus</w:t>
            </w:r>
          </w:p>
        </w:tc>
      </w:tr>
      <w:tr w:rsidR="002D7080" w:rsidRPr="00592486" w14:paraId="3BE5FD7F"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0AECDCF9"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Comments: The genus </w:t>
            </w:r>
            <w:r w:rsidRPr="00233C97">
              <w:rPr>
                <w:rFonts w:ascii="Times New Roman" w:eastAsia="Times New Roman" w:hAnsi="Times New Roman" w:cs="Times New Roman"/>
                <w:i/>
                <w:iCs/>
                <w:sz w:val="20"/>
                <w:szCs w:val="20"/>
                <w:lang w:eastAsia="en-ZA"/>
              </w:rPr>
              <w:t>Orconectes</w:t>
            </w:r>
            <w:r w:rsidRPr="00233C97">
              <w:rPr>
                <w:rFonts w:ascii="Times New Roman" w:eastAsia="Times New Roman" w:hAnsi="Times New Roman" w:cs="Times New Roman"/>
                <w:sz w:val="20"/>
                <w:szCs w:val="20"/>
                <w:lang w:eastAsia="en-ZA"/>
              </w:rPr>
              <w:t xml:space="preserve"> previously included cave-dwelling and surface-dwelling crayfish (Crandall &amp; De Grave 2017).  The non-cave dwelling crayfish in the </w:t>
            </w:r>
            <w:r w:rsidRPr="00233C97">
              <w:rPr>
                <w:rFonts w:ascii="Times New Roman" w:eastAsia="Times New Roman" w:hAnsi="Times New Roman" w:cs="Times New Roman"/>
                <w:i/>
                <w:sz w:val="20"/>
                <w:szCs w:val="20"/>
                <w:lang w:eastAsia="en-ZA"/>
              </w:rPr>
              <w:t>Orconectes</w:t>
            </w:r>
            <w:r w:rsidRPr="00233C97">
              <w:rPr>
                <w:rFonts w:ascii="Times New Roman" w:eastAsia="Times New Roman" w:hAnsi="Times New Roman" w:cs="Times New Roman"/>
                <w:sz w:val="20"/>
                <w:szCs w:val="20"/>
                <w:lang w:eastAsia="en-ZA"/>
              </w:rPr>
              <w:t xml:space="preserve"> genus were moved to </w:t>
            </w:r>
            <w:r w:rsidRPr="00233C97">
              <w:rPr>
                <w:rFonts w:ascii="Times New Roman" w:eastAsia="Times New Roman" w:hAnsi="Times New Roman" w:cs="Times New Roman"/>
                <w:i/>
                <w:sz w:val="20"/>
                <w:szCs w:val="20"/>
                <w:lang w:eastAsia="en-ZA"/>
              </w:rPr>
              <w:t>Faxonius</w:t>
            </w:r>
            <w:r w:rsidRPr="00233C97">
              <w:rPr>
                <w:rFonts w:ascii="Times New Roman" w:eastAsia="Times New Roman" w:hAnsi="Times New Roman" w:cs="Times New Roman"/>
                <w:sz w:val="20"/>
                <w:szCs w:val="20"/>
                <w:lang w:eastAsia="en-ZA"/>
              </w:rPr>
              <w:t xml:space="preserve"> (Crandall &amp; De Grave 2017)</w:t>
            </w:r>
            <w:r w:rsidRPr="00233C97">
              <w:rPr>
                <w:rFonts w:ascii="Times New Roman" w:eastAsia="Times New Roman" w:hAnsi="Times New Roman" w:cs="Times New Roman"/>
                <w:i/>
                <w:sz w:val="20"/>
                <w:szCs w:val="20"/>
                <w:lang w:eastAsia="en-ZA"/>
              </w:rPr>
              <w:t xml:space="preserve">. </w:t>
            </w:r>
            <w:r w:rsidRPr="00233C97">
              <w:rPr>
                <w:rFonts w:ascii="Times New Roman" w:eastAsia="Times New Roman" w:hAnsi="Times New Roman" w:cs="Times New Roman"/>
                <w:iCs/>
                <w:sz w:val="20"/>
                <w:szCs w:val="20"/>
                <w:lang w:eastAsia="en-ZA"/>
              </w:rPr>
              <w:t xml:space="preserve">Therefore, the abovementioned synonym was used in the literature search of this risk analysis. </w:t>
            </w:r>
          </w:p>
        </w:tc>
      </w:tr>
      <w:tr w:rsidR="002D7080" w:rsidRPr="00592486" w14:paraId="700F57F8"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013ABE18"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459B40BC" w14:textId="16120899"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Crandall, K.A. &amp; De Grave, S., 2017, ‘An updated classification of the freshwater crayfishes (Decapoda: Astacidea) of the world, with a complete species list’, </w:t>
            </w:r>
            <w:r w:rsidRPr="00233C97">
              <w:rPr>
                <w:rFonts w:ascii="Times New Roman" w:eastAsia="Times New Roman" w:hAnsi="Times New Roman" w:cs="Times New Roman"/>
                <w:i/>
                <w:sz w:val="20"/>
                <w:szCs w:val="20"/>
                <w:lang w:eastAsia="en-ZA"/>
              </w:rPr>
              <w:t>Journal of Crustacean Biology</w:t>
            </w:r>
            <w:r w:rsidRPr="00233C97">
              <w:rPr>
                <w:rFonts w:ascii="Times New Roman" w:eastAsia="Times New Roman" w:hAnsi="Times New Roman" w:cs="Times New Roman"/>
                <w:sz w:val="20"/>
                <w:szCs w:val="20"/>
                <w:lang w:eastAsia="en-ZA"/>
              </w:rPr>
              <w:t xml:space="preserve"> 27, 615–653. </w:t>
            </w:r>
            <w:hyperlink r:id="rId312" w:history="1">
              <w:r w:rsidR="00141353" w:rsidRPr="00F215B9">
                <w:rPr>
                  <w:rStyle w:val="Hyperlink"/>
                  <w:rFonts w:ascii="Times New Roman" w:hAnsi="Times New Roman" w:cs="Times New Roman"/>
                  <w:sz w:val="20"/>
                  <w:szCs w:val="20"/>
                </w:rPr>
                <w:t>https://doi.org/10.1093/jcbiol/rux070</w:t>
              </w:r>
            </w:hyperlink>
            <w:r w:rsidRPr="00233C97">
              <w:rPr>
                <w:rFonts w:ascii="Times New Roman" w:hAnsi="Times New Roman" w:cs="Times New Roman"/>
                <w:sz w:val="20"/>
                <w:szCs w:val="20"/>
              </w:rPr>
              <w:t>.</w:t>
            </w:r>
            <w:r w:rsidR="00141353">
              <w:rPr>
                <w:rFonts w:ascii="Times New Roman" w:hAnsi="Times New Roman" w:cs="Times New Roman"/>
                <w:sz w:val="20"/>
                <w:szCs w:val="20"/>
              </w:rPr>
              <w:t xml:space="preserve"> </w:t>
            </w:r>
          </w:p>
        </w:tc>
      </w:tr>
      <w:tr w:rsidR="002D7080" w:rsidRPr="00592486" w14:paraId="22E5B39F" w14:textId="77777777" w:rsidTr="002E2C37">
        <w:trPr>
          <w:cantSplit/>
          <w:trHeight w:val="107"/>
        </w:trPr>
        <w:tc>
          <w:tcPr>
            <w:tcW w:w="89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7AEAB13"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b/>
                <w:sz w:val="20"/>
                <w:szCs w:val="20"/>
                <w:lang w:eastAsia="en-ZA"/>
              </w:rPr>
              <w:t>BAC6 Common name(s) considered</w:t>
            </w:r>
          </w:p>
        </w:tc>
      </w:tr>
      <w:tr w:rsidR="002D7080" w:rsidRPr="00592486" w14:paraId="704F3901"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6128ABAF" w14:textId="77777777" w:rsidR="002D7080" w:rsidRPr="00233C97" w:rsidRDefault="002D7080" w:rsidP="006728DB">
            <w:pPr>
              <w:spacing w:after="0"/>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sz w:val="20"/>
                <w:szCs w:val="20"/>
                <w:lang w:eastAsia="en-ZA"/>
              </w:rPr>
              <w:lastRenderedPageBreak/>
              <w:t>Common names: Rusty crayfish</w:t>
            </w:r>
          </w:p>
        </w:tc>
      </w:tr>
      <w:tr w:rsidR="002D7080" w:rsidRPr="00592486" w14:paraId="1385CAA2"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2A4AD2CD"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Comments: Literature indicates that this is the only common name for </w:t>
            </w:r>
            <w:r w:rsidRPr="00233C97">
              <w:rPr>
                <w:rFonts w:ascii="Times New Roman" w:eastAsia="Times New Roman" w:hAnsi="Times New Roman" w:cs="Times New Roman"/>
                <w:i/>
                <w:iCs/>
                <w:sz w:val="20"/>
                <w:szCs w:val="20"/>
                <w:lang w:eastAsia="en-ZA"/>
              </w:rPr>
              <w:t xml:space="preserve">F. rusticus </w:t>
            </w:r>
            <w:r w:rsidRPr="00233C97">
              <w:rPr>
                <w:rFonts w:ascii="Times New Roman" w:eastAsia="Times New Roman" w:hAnsi="Times New Roman" w:cs="Times New Roman"/>
                <w:sz w:val="20"/>
                <w:szCs w:val="20"/>
                <w:lang w:eastAsia="en-ZA"/>
              </w:rPr>
              <w:t xml:space="preserve">that was used in the literature search of this risk analysis. </w:t>
            </w:r>
          </w:p>
        </w:tc>
      </w:tr>
      <w:tr w:rsidR="002D7080" w:rsidRPr="00592486" w14:paraId="177F1950"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0EBB5942"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445BF97D"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Centre for Agriculture and Bioscience International (CABI), 2021, ‘</w:t>
            </w:r>
            <w:r w:rsidRPr="00233C97">
              <w:rPr>
                <w:rFonts w:ascii="Times New Roman" w:eastAsia="Times New Roman" w:hAnsi="Times New Roman" w:cs="Times New Roman"/>
                <w:i/>
                <w:sz w:val="20"/>
                <w:szCs w:val="20"/>
                <w:lang w:eastAsia="en-ZA"/>
              </w:rPr>
              <w:t>Faxonius rusticus</w:t>
            </w:r>
            <w:r w:rsidRPr="00233C97">
              <w:rPr>
                <w:rFonts w:ascii="Times New Roman" w:eastAsia="Times New Roman" w:hAnsi="Times New Roman" w:cs="Times New Roman"/>
                <w:iCs/>
                <w:sz w:val="20"/>
                <w:szCs w:val="20"/>
                <w:lang w:eastAsia="en-ZA"/>
              </w:rPr>
              <w:t>’,</w:t>
            </w:r>
            <w:r w:rsidRPr="00233C97">
              <w:rPr>
                <w:rFonts w:ascii="Times New Roman" w:eastAsia="Times New Roman" w:hAnsi="Times New Roman" w:cs="Times New Roman"/>
                <w:sz w:val="20"/>
                <w:szCs w:val="20"/>
                <w:lang w:eastAsia="en-ZA"/>
              </w:rPr>
              <w:t xml:space="preserve"> In: Invasive Species Compendium. Wallingford, UK: CAB International. www.cabi.org/isc.</w:t>
            </w:r>
          </w:p>
        </w:tc>
      </w:tr>
      <w:tr w:rsidR="002D7080" w:rsidRPr="00592486" w14:paraId="0E2DFD27" w14:textId="77777777" w:rsidTr="002E2C37">
        <w:trPr>
          <w:cantSplit/>
          <w:trHeight w:val="260"/>
        </w:trPr>
        <w:tc>
          <w:tcPr>
            <w:tcW w:w="89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1FAD0EE"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b/>
                <w:sz w:val="20"/>
                <w:szCs w:val="20"/>
                <w:lang w:eastAsia="en-ZA"/>
              </w:rPr>
              <w:t xml:space="preserve">BAC7 What is the native range of the </w:t>
            </w:r>
            <w:r w:rsidRPr="00233C97">
              <w:rPr>
                <w:rFonts w:ascii="Times New Roman" w:eastAsia="Times New Roman" w:hAnsi="Times New Roman" w:cs="Times New Roman"/>
                <w:b/>
                <w:i/>
                <w:sz w:val="20"/>
                <w:szCs w:val="20"/>
                <w:lang w:eastAsia="en-ZA"/>
              </w:rPr>
              <w:t>Taxon</w:t>
            </w:r>
            <w:r w:rsidRPr="00233C97">
              <w:rPr>
                <w:rFonts w:ascii="Times New Roman" w:eastAsia="Times New Roman" w:hAnsi="Times New Roman" w:cs="Times New Roman"/>
                <w:b/>
                <w:sz w:val="20"/>
                <w:szCs w:val="20"/>
                <w:lang w:eastAsia="en-ZA"/>
              </w:rPr>
              <w:t xml:space="preserve">? </w:t>
            </w:r>
          </w:p>
        </w:tc>
      </w:tr>
      <w:tr w:rsidR="002D7080" w:rsidRPr="00592486" w14:paraId="7CBC72BE" w14:textId="77777777" w:rsidTr="002E2C37">
        <w:trPr>
          <w:cantSplit/>
          <w:trHeight w:val="70"/>
        </w:trPr>
        <w:tc>
          <w:tcPr>
            <w:tcW w:w="6207" w:type="dxa"/>
            <w:gridSpan w:val="3"/>
            <w:tcBorders>
              <w:top w:val="single" w:sz="4" w:space="0" w:color="auto"/>
              <w:left w:val="single" w:sz="4" w:space="0" w:color="auto"/>
              <w:bottom w:val="single" w:sz="4" w:space="0" w:color="auto"/>
              <w:right w:val="single" w:sz="4" w:space="0" w:color="auto"/>
            </w:tcBorders>
            <w:noWrap/>
          </w:tcPr>
          <w:p w14:paraId="1555679D" w14:textId="77777777" w:rsidR="002D7080" w:rsidRPr="00233C97" w:rsidRDefault="002D7080" w:rsidP="006728DB">
            <w:pPr>
              <w:spacing w:after="0"/>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sz w:val="20"/>
                <w:szCs w:val="20"/>
                <w:lang w:eastAsia="en-ZA"/>
              </w:rPr>
              <w:t>Response: United States of America</w:t>
            </w:r>
          </w:p>
        </w:tc>
        <w:tc>
          <w:tcPr>
            <w:tcW w:w="2701" w:type="dxa"/>
            <w:tcBorders>
              <w:top w:val="single" w:sz="4" w:space="0" w:color="auto"/>
              <w:left w:val="single" w:sz="4" w:space="0" w:color="auto"/>
              <w:bottom w:val="single" w:sz="4" w:space="0" w:color="auto"/>
              <w:right w:val="single" w:sz="4" w:space="0" w:color="auto"/>
            </w:tcBorders>
          </w:tcPr>
          <w:p w14:paraId="08749D1F" w14:textId="77777777" w:rsidR="002D7080" w:rsidRPr="00233C97" w:rsidRDefault="002D7080" w:rsidP="006728DB">
            <w:pPr>
              <w:spacing w:after="0"/>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sz w:val="20"/>
                <w:szCs w:val="20"/>
                <w:lang w:eastAsia="en-ZA"/>
              </w:rPr>
              <w:t>Confidence: High</w:t>
            </w:r>
          </w:p>
        </w:tc>
      </w:tr>
      <w:tr w:rsidR="002D7080" w:rsidRPr="00592486" w14:paraId="3F58B886"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648AE3F9"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Comments: The native range of </w:t>
            </w:r>
            <w:r w:rsidRPr="00233C97">
              <w:rPr>
                <w:rFonts w:ascii="Times New Roman" w:eastAsia="Times New Roman" w:hAnsi="Times New Roman" w:cs="Times New Roman"/>
                <w:i/>
                <w:iCs/>
                <w:sz w:val="20"/>
                <w:szCs w:val="20"/>
                <w:lang w:eastAsia="en-ZA"/>
              </w:rPr>
              <w:t xml:space="preserve">F. rusticus </w:t>
            </w:r>
            <w:r w:rsidRPr="00233C97">
              <w:rPr>
                <w:rFonts w:ascii="Times New Roman" w:eastAsia="Times New Roman" w:hAnsi="Times New Roman" w:cs="Times New Roman"/>
                <w:sz w:val="20"/>
                <w:szCs w:val="20"/>
                <w:lang w:eastAsia="en-ZA"/>
              </w:rPr>
              <w:t>comprises the Ohio river basin, spanning tributaries in Western Ohio, Indiana, Kentucky, and Northern Tennessee (</w:t>
            </w:r>
            <w:r>
              <w:rPr>
                <w:rFonts w:ascii="Times New Roman" w:eastAsia="Times New Roman" w:hAnsi="Times New Roman" w:cs="Times New Roman"/>
                <w:sz w:val="20"/>
                <w:szCs w:val="20"/>
                <w:lang w:eastAsia="en-ZA"/>
              </w:rPr>
              <w:t xml:space="preserve">Olden et al. 2006; </w:t>
            </w:r>
            <w:r w:rsidRPr="00233C97">
              <w:rPr>
                <w:rFonts w:ascii="Times New Roman" w:eastAsia="Times New Roman" w:hAnsi="Times New Roman" w:cs="Times New Roman"/>
                <w:sz w:val="20"/>
                <w:szCs w:val="20"/>
                <w:lang w:eastAsia="en-ZA"/>
              </w:rPr>
              <w:t>GISD 2015).</w:t>
            </w:r>
          </w:p>
        </w:tc>
      </w:tr>
      <w:tr w:rsidR="002D7080" w:rsidRPr="00592486" w14:paraId="76DA5E21"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49ABCA31"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5E7887A6"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Global Invasive Species Database (GISD) 2015. Species profile </w:t>
            </w:r>
            <w:r w:rsidRPr="00233C97">
              <w:rPr>
                <w:rFonts w:ascii="Times New Roman" w:eastAsia="Times New Roman" w:hAnsi="Times New Roman" w:cs="Times New Roman"/>
                <w:i/>
                <w:iCs/>
                <w:sz w:val="20"/>
                <w:szCs w:val="20"/>
                <w:lang w:eastAsia="en-ZA"/>
              </w:rPr>
              <w:t>Orconectes rusticus</w:t>
            </w:r>
            <w:r w:rsidRPr="00233C97">
              <w:rPr>
                <w:rFonts w:ascii="Times New Roman" w:eastAsia="Times New Roman" w:hAnsi="Times New Roman" w:cs="Times New Roman"/>
                <w:sz w:val="20"/>
                <w:szCs w:val="20"/>
                <w:lang w:eastAsia="en-ZA"/>
              </w:rPr>
              <w:t>. Available from: http://www.iucngisd.org/gisd/species.php?sc=217 [Accessed 03 July2018]</w:t>
            </w:r>
          </w:p>
          <w:p w14:paraId="50F8E0F1" w14:textId="7C39419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Olden, J.D., McCarthy, J.M., Maxted, J.T., Fetzer, W.W. &amp; Van der Zanden, M.J., 2006, ‘The rapid spread of rusty crayfish (</w:t>
            </w:r>
            <w:r w:rsidRPr="00233C97">
              <w:rPr>
                <w:rFonts w:ascii="Times New Roman" w:eastAsia="Times New Roman" w:hAnsi="Times New Roman" w:cs="Times New Roman"/>
                <w:i/>
                <w:sz w:val="20"/>
                <w:szCs w:val="20"/>
                <w:lang w:eastAsia="en-ZA"/>
              </w:rPr>
              <w:t>Orconectes rusticus</w:t>
            </w:r>
            <w:r w:rsidRPr="00233C97">
              <w:rPr>
                <w:rFonts w:ascii="Times New Roman" w:eastAsia="Times New Roman" w:hAnsi="Times New Roman" w:cs="Times New Roman"/>
                <w:sz w:val="20"/>
                <w:szCs w:val="20"/>
                <w:lang w:eastAsia="en-ZA"/>
              </w:rPr>
              <w:t xml:space="preserve">) with observations on native crayfish declines in Wisconsin (USA.) over the past 130 years’, </w:t>
            </w:r>
            <w:r w:rsidRPr="00233C97">
              <w:rPr>
                <w:rFonts w:ascii="Times New Roman" w:eastAsia="Times New Roman" w:hAnsi="Times New Roman" w:cs="Times New Roman"/>
                <w:i/>
                <w:iCs/>
                <w:sz w:val="20"/>
                <w:szCs w:val="20"/>
                <w:lang w:eastAsia="en-ZA"/>
              </w:rPr>
              <w:t>Biological Invasions</w:t>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Cs/>
                <w:sz w:val="20"/>
                <w:szCs w:val="20"/>
                <w:lang w:eastAsia="en-ZA"/>
              </w:rPr>
              <w:t>8</w:t>
            </w:r>
            <w:r w:rsidRPr="00233C97">
              <w:rPr>
                <w:rFonts w:ascii="Times New Roman" w:eastAsia="Times New Roman" w:hAnsi="Times New Roman" w:cs="Times New Roman"/>
                <w:sz w:val="20"/>
                <w:szCs w:val="20"/>
                <w:lang w:eastAsia="en-ZA"/>
              </w:rPr>
              <w:t>, 1621–1628.</w:t>
            </w:r>
            <w:r w:rsidRPr="00233C97">
              <w:rPr>
                <w:rFonts w:ascii="Times New Roman" w:hAnsi="Times New Roman" w:cs="Times New Roman"/>
                <w:color w:val="000000"/>
                <w:sz w:val="20"/>
                <w:szCs w:val="20"/>
              </w:rPr>
              <w:t xml:space="preserve"> </w:t>
            </w:r>
            <w:hyperlink r:id="rId313" w:history="1">
              <w:r w:rsidR="00FF7C89" w:rsidRPr="00A22D6D">
                <w:rPr>
                  <w:rStyle w:val="Hyperlink"/>
                  <w:rFonts w:ascii="Times New Roman" w:eastAsia="Times New Roman" w:hAnsi="Times New Roman" w:cs="Times New Roman"/>
                  <w:sz w:val="20"/>
                  <w:szCs w:val="20"/>
                  <w:lang w:eastAsia="en-ZA"/>
                </w:rPr>
                <w:t>https://doi.org/10.1007/s10530-005-7854-2</w:t>
              </w:r>
            </w:hyperlink>
            <w:r w:rsidR="00FF7C89">
              <w:rPr>
                <w:rFonts w:ascii="Times New Roman" w:eastAsia="Times New Roman" w:hAnsi="Times New Roman" w:cs="Times New Roman"/>
                <w:sz w:val="20"/>
                <w:szCs w:val="20"/>
                <w:lang w:eastAsia="en-ZA"/>
              </w:rPr>
              <w:t xml:space="preserve">. </w:t>
            </w:r>
          </w:p>
        </w:tc>
      </w:tr>
      <w:tr w:rsidR="002D7080" w:rsidRPr="00592486" w14:paraId="4625388D" w14:textId="77777777" w:rsidTr="002E2C37">
        <w:trPr>
          <w:cantSplit/>
          <w:trHeight w:val="224"/>
        </w:trPr>
        <w:tc>
          <w:tcPr>
            <w:tcW w:w="89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25A1D5D"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b/>
                <w:sz w:val="20"/>
                <w:szCs w:val="20"/>
                <w:lang w:eastAsia="en-ZA"/>
              </w:rPr>
              <w:t xml:space="preserve">BAC8 What is the global alien range of the </w:t>
            </w:r>
            <w:r w:rsidRPr="00233C97">
              <w:rPr>
                <w:rFonts w:ascii="Times New Roman" w:eastAsia="Times New Roman" w:hAnsi="Times New Roman" w:cs="Times New Roman"/>
                <w:b/>
                <w:i/>
                <w:sz w:val="20"/>
                <w:szCs w:val="20"/>
                <w:lang w:eastAsia="en-ZA"/>
              </w:rPr>
              <w:t>Taxon</w:t>
            </w:r>
            <w:r w:rsidRPr="00233C97">
              <w:rPr>
                <w:rFonts w:ascii="Times New Roman" w:eastAsia="Times New Roman" w:hAnsi="Times New Roman" w:cs="Times New Roman"/>
                <w:b/>
                <w:sz w:val="20"/>
                <w:szCs w:val="20"/>
                <w:lang w:eastAsia="en-ZA"/>
              </w:rPr>
              <w:t xml:space="preserve">? </w:t>
            </w:r>
          </w:p>
        </w:tc>
      </w:tr>
      <w:tr w:rsidR="002D7080" w:rsidRPr="00592486" w14:paraId="7B97D229" w14:textId="77777777" w:rsidTr="002E2C37">
        <w:trPr>
          <w:cantSplit/>
          <w:trHeight w:val="70"/>
        </w:trPr>
        <w:tc>
          <w:tcPr>
            <w:tcW w:w="6207" w:type="dxa"/>
            <w:gridSpan w:val="3"/>
            <w:tcBorders>
              <w:top w:val="single" w:sz="4" w:space="0" w:color="auto"/>
              <w:left w:val="single" w:sz="4" w:space="0" w:color="auto"/>
              <w:bottom w:val="single" w:sz="4" w:space="0" w:color="auto"/>
              <w:right w:val="single" w:sz="4" w:space="0" w:color="auto"/>
            </w:tcBorders>
            <w:noWrap/>
          </w:tcPr>
          <w:p w14:paraId="1CF742CE" w14:textId="77777777" w:rsidR="002D7080" w:rsidRPr="00233C97" w:rsidRDefault="002D7080" w:rsidP="006728DB">
            <w:pPr>
              <w:spacing w:after="0"/>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sz w:val="20"/>
                <w:szCs w:val="20"/>
                <w:lang w:eastAsia="en-ZA"/>
              </w:rPr>
              <w:t>Response:</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sz w:val="20"/>
                <w:szCs w:val="20"/>
                <w:lang w:eastAsia="en-ZA"/>
              </w:rPr>
              <w:t>Canada and widespread across several states in the USA</w:t>
            </w:r>
          </w:p>
        </w:tc>
        <w:tc>
          <w:tcPr>
            <w:tcW w:w="2701" w:type="dxa"/>
            <w:tcBorders>
              <w:top w:val="single" w:sz="4" w:space="0" w:color="auto"/>
              <w:left w:val="single" w:sz="4" w:space="0" w:color="auto"/>
              <w:bottom w:val="single" w:sz="4" w:space="0" w:color="auto"/>
              <w:right w:val="single" w:sz="4" w:space="0" w:color="auto"/>
            </w:tcBorders>
          </w:tcPr>
          <w:p w14:paraId="54CA9A8C" w14:textId="77777777" w:rsidR="002D7080" w:rsidRPr="00233C97" w:rsidRDefault="002D7080" w:rsidP="006728DB">
            <w:pPr>
              <w:spacing w:after="0"/>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sz w:val="20"/>
                <w:szCs w:val="20"/>
                <w:lang w:eastAsia="en-ZA"/>
              </w:rPr>
              <w:t>Confidence: High</w:t>
            </w:r>
          </w:p>
        </w:tc>
      </w:tr>
      <w:tr w:rsidR="002D7080" w:rsidRPr="00592486" w14:paraId="1453FFC4"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0A665EEA"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Comments: </w:t>
            </w:r>
            <w:r w:rsidRPr="00233C97">
              <w:rPr>
                <w:rFonts w:ascii="Times New Roman" w:eastAsia="Times New Roman" w:hAnsi="Times New Roman" w:cs="Times New Roman"/>
                <w:i/>
                <w:sz w:val="20"/>
                <w:szCs w:val="20"/>
                <w:lang w:eastAsia="en-ZA"/>
              </w:rPr>
              <w:t>Faxonius rusticus</w:t>
            </w:r>
            <w:r w:rsidRPr="00233C97">
              <w:rPr>
                <w:rFonts w:ascii="Times New Roman" w:eastAsia="Times New Roman" w:hAnsi="Times New Roman" w:cs="Times New Roman"/>
                <w:sz w:val="20"/>
                <w:szCs w:val="20"/>
                <w:lang w:eastAsia="en-ZA"/>
              </w:rPr>
              <w:t xml:space="preserve"> has been translocated outside its native range to 20 states in the USA and there are known introductions in Canada and France  </w:t>
            </w:r>
            <w:r w:rsidRPr="00233C97">
              <w:rPr>
                <w:rFonts w:ascii="Times New Roman" w:eastAsia="Times New Roman" w:hAnsi="Times New Roman" w:cs="Times New Roman"/>
                <w:sz w:val="20"/>
                <w:szCs w:val="20"/>
                <w:lang w:eastAsia="en-ZA"/>
              </w:rPr>
              <w:fldChar w:fldCharType="begin" w:fldLock="1"/>
            </w:r>
            <w:r w:rsidRPr="00233C97">
              <w:rPr>
                <w:rFonts w:ascii="Times New Roman" w:eastAsia="Times New Roman" w:hAnsi="Times New Roman" w:cs="Times New Roman"/>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"plainTextFormattedCitation" : "(Lodge et al. 2012)", "previouslyFormattedCitation" : "(Lodge et al. 2012)" }, "properties" : { "noteIndex" : 0 }, "schema" : "https://github.com/citation-style-language/schema/raw/master/csl-citation.json" }</w:instrText>
            </w:r>
            <w:r w:rsidRPr="00233C97">
              <w:rPr>
                <w:rFonts w:ascii="Times New Roman" w:eastAsia="Times New Roman" w:hAnsi="Times New Roman" w:cs="Times New Roman"/>
                <w:sz w:val="20"/>
                <w:szCs w:val="20"/>
                <w:lang w:eastAsia="en-ZA"/>
              </w:rPr>
              <w:fldChar w:fldCharType="separate"/>
            </w:r>
            <w:r w:rsidRPr="00233C97">
              <w:rPr>
                <w:rFonts w:ascii="Times New Roman" w:eastAsia="Times New Roman" w:hAnsi="Times New Roman" w:cs="Times New Roman"/>
                <w:sz w:val="20"/>
                <w:szCs w:val="20"/>
                <w:lang w:eastAsia="en-ZA"/>
              </w:rPr>
              <w:t>(GISD 2015; Lodge et al. 2012; Laffitte et al. 2023)</w:t>
            </w:r>
            <w:r w:rsidRPr="00233C97">
              <w:rPr>
                <w:rFonts w:ascii="Times New Roman" w:eastAsia="Times New Roman" w:hAnsi="Times New Roman" w:cs="Times New Roman"/>
                <w:sz w:val="20"/>
                <w:szCs w:val="20"/>
                <w:lang w:eastAsia="en-ZA"/>
              </w:rPr>
              <w:fldChar w:fldCharType="end"/>
            </w:r>
            <w:r w:rsidRPr="00233C97">
              <w:rPr>
                <w:rFonts w:ascii="Times New Roman" w:eastAsia="Times New Roman" w:hAnsi="Times New Roman" w:cs="Times New Roman"/>
                <w:sz w:val="20"/>
                <w:szCs w:val="20"/>
                <w:lang w:eastAsia="en-ZA"/>
              </w:rPr>
              <w:t>.</w:t>
            </w:r>
          </w:p>
        </w:tc>
      </w:tr>
      <w:tr w:rsidR="002D7080" w:rsidRPr="00592486" w14:paraId="758D9450"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7587C3FD"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7476AD2E" w14:textId="77777777" w:rsidR="002D7080" w:rsidRPr="00233C97" w:rsidRDefault="002D7080" w:rsidP="006728DB">
            <w:pPr>
              <w:spacing w:after="0"/>
              <w:ind w:left="720" w:hanging="720"/>
              <w:contextualSpacing/>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Global Invasive Species Database (GISD) 2015. Species profile </w:t>
            </w:r>
            <w:r w:rsidRPr="00233C97">
              <w:rPr>
                <w:rFonts w:ascii="Times New Roman" w:eastAsia="Times New Roman" w:hAnsi="Times New Roman" w:cs="Times New Roman"/>
                <w:i/>
                <w:iCs/>
                <w:sz w:val="20"/>
                <w:szCs w:val="20"/>
                <w:lang w:eastAsia="en-ZA"/>
              </w:rPr>
              <w:t>Orconectes rusticus</w:t>
            </w:r>
            <w:r w:rsidRPr="00233C97">
              <w:rPr>
                <w:rFonts w:ascii="Times New Roman" w:eastAsia="Times New Roman" w:hAnsi="Times New Roman" w:cs="Times New Roman"/>
                <w:sz w:val="20"/>
                <w:szCs w:val="20"/>
                <w:lang w:eastAsia="en-ZA"/>
              </w:rPr>
              <w:t>. Available from: http://www.iucngisd.org/gisd/species.php?sc=217 [Accessed 03 July2018]</w:t>
            </w:r>
          </w:p>
          <w:p w14:paraId="69DFFDDE" w14:textId="734E190E" w:rsidR="00141353" w:rsidRDefault="002D7080" w:rsidP="006728DB">
            <w:pPr>
              <w:spacing w:after="0"/>
              <w:ind w:left="720" w:hanging="720"/>
              <w:jc w:val="both"/>
              <w:rPr>
                <w:rStyle w:val="cf01"/>
                <w:rFonts w:ascii="Times New Roman" w:hAnsi="Times New Roman" w:cs="Times New Roman"/>
                <w:sz w:val="20"/>
                <w:szCs w:val="20"/>
              </w:rPr>
            </w:pPr>
            <w:r w:rsidRPr="00233C97">
              <w:rPr>
                <w:rFonts w:ascii="Times New Roman" w:eastAsia="Times New Roman" w:hAnsi="Times New Roman" w:cs="Times New Roman"/>
                <w:sz w:val="20"/>
                <w:szCs w:val="20"/>
                <w:lang w:eastAsia="en-ZA"/>
              </w:rPr>
              <w:t xml:space="preserve">Lodge, D.M., Deines, A., Gherardi, F., Yeo, D.C.J., Arcella. T, Baldridge, A.K., et al., 2012, ‘Global introductions of crayfishes: Evaluating the impact of species invasions on ecosystem services’, </w:t>
            </w:r>
            <w:r w:rsidRPr="00233C97">
              <w:rPr>
                <w:rFonts w:ascii="Times New Roman" w:eastAsia="Times New Roman" w:hAnsi="Times New Roman" w:cs="Times New Roman"/>
                <w:i/>
                <w:sz w:val="20"/>
                <w:szCs w:val="20"/>
                <w:lang w:eastAsia="en-ZA"/>
              </w:rPr>
              <w:t>Annual Review of Ecology Evolution Systematics</w:t>
            </w:r>
            <w:r w:rsidRPr="00233C97">
              <w:rPr>
                <w:rFonts w:ascii="Times New Roman" w:eastAsia="Times New Roman" w:hAnsi="Times New Roman" w:cs="Times New Roman"/>
                <w:sz w:val="20"/>
                <w:szCs w:val="20"/>
                <w:lang w:eastAsia="en-ZA"/>
              </w:rPr>
              <w:t xml:space="preserve"> 43, 449–472.</w:t>
            </w:r>
            <w:r w:rsidRPr="00233C97">
              <w:rPr>
                <w:rFonts w:ascii="Times New Roman" w:eastAsia="Times New Roman" w:hAnsi="Times New Roman" w:cs="Times New Roman"/>
                <w:bCs/>
                <w:sz w:val="20"/>
                <w:szCs w:val="20"/>
                <w:lang w:eastAsia="en-ZA"/>
              </w:rPr>
              <w:t xml:space="preserve"> </w:t>
            </w:r>
            <w:r w:rsidR="00141353" w:rsidRPr="008A0BC6">
              <w:rPr>
                <w:rFonts w:ascii="Times New Roman" w:hAnsi="Times New Roman" w:cs="Times New Roman"/>
                <w:sz w:val="20"/>
                <w:szCs w:val="20"/>
              </w:rPr>
              <w:t>https://doi.org/10.1146/annurev-ecolsys-111511-103919</w:t>
            </w:r>
          </w:p>
          <w:p w14:paraId="04206EAD" w14:textId="162417D0" w:rsidR="002D7080" w:rsidRPr="00950CF7" w:rsidRDefault="002D7080" w:rsidP="006728DB">
            <w:pPr>
              <w:spacing w:after="0"/>
              <w:ind w:left="720" w:hanging="720"/>
              <w:jc w:val="both"/>
              <w:rPr>
                <w:rFonts w:ascii="Times New Roman" w:hAnsi="Times New Roman" w:cs="Times New Roman"/>
                <w:sz w:val="20"/>
                <w:szCs w:val="20"/>
              </w:rPr>
            </w:pPr>
            <w:r w:rsidRPr="00233C97">
              <w:rPr>
                <w:rStyle w:val="cf01"/>
                <w:rFonts w:ascii="Times New Roman" w:hAnsi="Times New Roman" w:cs="Times New Roman"/>
                <w:sz w:val="20"/>
                <w:szCs w:val="20"/>
              </w:rPr>
              <w:t>Laffitte</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xml:space="preserve"> M</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Baudry</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xml:space="preserve"> T</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Guilmet</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xml:space="preserve"> M</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Andrieu</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xml:space="preserve"> T</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Poulet</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xml:space="preserve"> N</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Duperray</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xml:space="preserve"> T</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Carine</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xml:space="preserve"> D</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Collas</w:t>
            </w:r>
            <w:r>
              <w:rPr>
                <w:rStyle w:val="cf01"/>
                <w:rFonts w:ascii="Times New Roman" w:hAnsi="Times New Roman" w:cs="Times New Roman"/>
                <w:sz w:val="20"/>
                <w:szCs w:val="20"/>
              </w:rPr>
              <w:t>,</w:t>
            </w:r>
            <w:r w:rsidRPr="00233C97">
              <w:rPr>
                <w:rStyle w:val="cf01"/>
                <w:rFonts w:ascii="Times New Roman" w:hAnsi="Times New Roman" w:cs="Times New Roman"/>
                <w:sz w:val="20"/>
                <w:szCs w:val="20"/>
              </w:rPr>
              <w:t xml:space="preserve"> </w:t>
            </w:r>
            <w:r w:rsidRPr="00233C97">
              <w:rPr>
                <w:rStyle w:val="cf11"/>
                <w:rFonts w:ascii="Times New Roman" w:hAnsi="Times New Roman" w:cs="Times New Roman"/>
                <w:sz w:val="20"/>
                <w:szCs w:val="20"/>
              </w:rPr>
              <w:t>М</w:t>
            </w:r>
            <w:r>
              <w:rPr>
                <w:rStyle w:val="cf11"/>
                <w:rFonts w:ascii="Times New Roman" w:hAnsi="Times New Roman" w:cs="Times New Roman"/>
                <w:sz w:val="20"/>
                <w:szCs w:val="20"/>
              </w:rPr>
              <w:t>.</w:t>
            </w:r>
            <w:r w:rsidRPr="00233C97">
              <w:rPr>
                <w:rStyle w:val="cf11"/>
                <w:rFonts w:ascii="Times New Roman" w:hAnsi="Times New Roman" w:cs="Times New Roman"/>
                <w:sz w:val="20"/>
                <w:szCs w:val="20"/>
              </w:rPr>
              <w:t>, Moumen</w:t>
            </w:r>
            <w:r>
              <w:rPr>
                <w:rStyle w:val="cf11"/>
                <w:rFonts w:ascii="Times New Roman" w:hAnsi="Times New Roman" w:cs="Times New Roman"/>
                <w:sz w:val="20"/>
                <w:szCs w:val="20"/>
              </w:rPr>
              <w:t>, B. &amp; Grandjean F., 2023,‘</w:t>
            </w:r>
            <w:r w:rsidRPr="00233C97">
              <w:rPr>
                <w:rStyle w:val="cf11"/>
                <w:rFonts w:ascii="Times New Roman" w:hAnsi="Times New Roman" w:cs="Times New Roman"/>
                <w:sz w:val="20"/>
                <w:szCs w:val="20"/>
              </w:rPr>
              <w:t xml:space="preserve">A new invader in freshwater ecosystems in France: the rusty crayfish </w:t>
            </w:r>
            <w:r w:rsidRPr="00B30A82">
              <w:rPr>
                <w:rStyle w:val="cf11"/>
                <w:rFonts w:ascii="Times New Roman" w:hAnsi="Times New Roman" w:cs="Times New Roman"/>
                <w:i/>
                <w:iCs/>
                <w:sz w:val="20"/>
                <w:szCs w:val="20"/>
              </w:rPr>
              <w:t>Faxonius rusticus</w:t>
            </w:r>
            <w:r>
              <w:rPr>
                <w:rStyle w:val="cf11"/>
                <w:rFonts w:ascii="Times New Roman" w:hAnsi="Times New Roman" w:cs="Times New Roman"/>
                <w:sz w:val="20"/>
                <w:szCs w:val="20"/>
              </w:rPr>
              <w:t xml:space="preserve"> (Girard, 1852)’,</w:t>
            </w:r>
            <w:r w:rsidRPr="00233C97">
              <w:rPr>
                <w:rStyle w:val="cf11"/>
                <w:rFonts w:ascii="Times New Roman" w:hAnsi="Times New Roman" w:cs="Times New Roman"/>
                <w:sz w:val="20"/>
                <w:szCs w:val="20"/>
              </w:rPr>
              <w:t xml:space="preserve"> </w:t>
            </w:r>
            <w:r w:rsidRPr="004A4A70">
              <w:rPr>
                <w:rStyle w:val="cf11"/>
                <w:rFonts w:ascii="Times New Roman" w:hAnsi="Times New Roman" w:cs="Times New Roman"/>
                <w:i/>
                <w:iCs/>
                <w:color w:val="000000" w:themeColor="text1"/>
                <w:sz w:val="20"/>
                <w:szCs w:val="20"/>
              </w:rPr>
              <w:t>BioInvasions Records,</w:t>
            </w:r>
            <w:r w:rsidRPr="004A4A70">
              <w:rPr>
                <w:rStyle w:val="cf11"/>
                <w:rFonts w:ascii="Times New Roman" w:hAnsi="Times New Roman" w:cs="Times New Roman"/>
                <w:color w:val="000000" w:themeColor="text1"/>
                <w:sz w:val="20"/>
                <w:szCs w:val="20"/>
              </w:rPr>
              <w:t xml:space="preserve"> </w:t>
            </w:r>
            <w:r>
              <w:rPr>
                <w:rStyle w:val="cf11"/>
                <w:rFonts w:ascii="Times New Roman" w:hAnsi="Times New Roman" w:cs="Times New Roman"/>
                <w:sz w:val="20"/>
                <w:szCs w:val="20"/>
              </w:rPr>
              <w:t xml:space="preserve">12(2), </w:t>
            </w:r>
            <w:r w:rsidRPr="00233C97">
              <w:rPr>
                <w:rStyle w:val="cf11"/>
                <w:rFonts w:ascii="Times New Roman" w:hAnsi="Times New Roman" w:cs="Times New Roman"/>
                <w:sz w:val="20"/>
                <w:szCs w:val="20"/>
              </w:rPr>
              <w:t>457–468</w:t>
            </w:r>
            <w:r w:rsidRPr="008D600C">
              <w:rPr>
                <w:rStyle w:val="cf11"/>
                <w:rFonts w:ascii="Times New Roman" w:hAnsi="Times New Roman" w:cs="Times New Roman"/>
                <w:sz w:val="20"/>
                <w:szCs w:val="20"/>
              </w:rPr>
              <w:t xml:space="preserve">. </w:t>
            </w:r>
            <w:hyperlink r:id="rId314" w:history="1">
              <w:r w:rsidR="00FE6D7A" w:rsidRPr="00F215B9">
                <w:rPr>
                  <w:rStyle w:val="Hyperlink"/>
                  <w:rFonts w:ascii="Times New Roman" w:hAnsi="Times New Roman" w:cs="Times New Roman"/>
                  <w:sz w:val="20"/>
                  <w:szCs w:val="20"/>
                </w:rPr>
                <w:t>https://doi.org/10.3391/bir.2023.12.2.10</w:t>
              </w:r>
            </w:hyperlink>
            <w:r w:rsidR="00FE6D7A">
              <w:rPr>
                <w:rStyle w:val="cf11"/>
                <w:rFonts w:ascii="Times New Roman" w:hAnsi="Times New Roman" w:cs="Times New Roman"/>
                <w:sz w:val="20"/>
                <w:szCs w:val="20"/>
              </w:rPr>
              <w:t xml:space="preserve">. </w:t>
            </w:r>
            <w:r w:rsidR="00141353">
              <w:rPr>
                <w:rStyle w:val="cf11"/>
              </w:rPr>
              <w:t xml:space="preserve"> </w:t>
            </w:r>
          </w:p>
          <w:p w14:paraId="6B429CFD"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hyperlink w:history="1">
              <w:r w:rsidRPr="00233C97">
                <w:rPr>
                  <w:rStyle w:val="Hyperlink"/>
                  <w:rFonts w:ascii="Times New Roman" w:eastAsia="Times New Roman" w:hAnsi="Times New Roman" w:cs="Times New Roman"/>
                  <w:sz w:val="20"/>
                  <w:szCs w:val="20"/>
                  <w:lang w:eastAsia="en-ZA"/>
                </w:rPr>
                <w:t>https://nas.er.usgs.gov/queries/SpeciesAnimatedMap.aspx?SpeciesID=214</w:t>
              </w:r>
            </w:hyperlink>
            <w:r w:rsidRPr="00233C97">
              <w:rPr>
                <w:rFonts w:ascii="Times New Roman" w:eastAsia="Times New Roman" w:hAnsi="Times New Roman" w:cs="Times New Roman"/>
                <w:sz w:val="20"/>
                <w:szCs w:val="20"/>
                <w:lang w:eastAsia="en-ZA"/>
              </w:rPr>
              <w:t xml:space="preserve"> (accessed 22 Sept 2023)</w:t>
            </w:r>
          </w:p>
        </w:tc>
      </w:tr>
      <w:tr w:rsidR="002D7080" w:rsidRPr="00592486" w14:paraId="63DEC536" w14:textId="77777777" w:rsidTr="002E2C37">
        <w:trPr>
          <w:cantSplit/>
          <w:trHeight w:val="206"/>
        </w:trPr>
        <w:tc>
          <w:tcPr>
            <w:tcW w:w="89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37FAB63"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b/>
                <w:sz w:val="20"/>
                <w:szCs w:val="20"/>
                <w:lang w:eastAsia="en-ZA"/>
              </w:rPr>
              <w:t xml:space="preserve">BAC9 Geographic scope = the </w:t>
            </w:r>
            <w:r w:rsidRPr="00233C97">
              <w:rPr>
                <w:rFonts w:ascii="Times New Roman" w:eastAsia="Times New Roman" w:hAnsi="Times New Roman" w:cs="Times New Roman"/>
                <w:b/>
                <w:i/>
                <w:sz w:val="20"/>
                <w:szCs w:val="20"/>
                <w:lang w:eastAsia="en-ZA"/>
              </w:rPr>
              <w:t>Area</w:t>
            </w:r>
            <w:r w:rsidRPr="00233C97">
              <w:rPr>
                <w:rFonts w:ascii="Times New Roman" w:eastAsia="Times New Roman" w:hAnsi="Times New Roman" w:cs="Times New Roman"/>
                <w:b/>
                <w:sz w:val="20"/>
                <w:szCs w:val="20"/>
                <w:lang w:eastAsia="en-ZA"/>
              </w:rPr>
              <w:t xml:space="preserve"> under consideration</w:t>
            </w:r>
          </w:p>
        </w:tc>
      </w:tr>
      <w:tr w:rsidR="002D7080" w:rsidRPr="00592486" w14:paraId="6CF0109C"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7440970F"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i/>
                <w:sz w:val="20"/>
                <w:szCs w:val="20"/>
                <w:lang w:eastAsia="en-ZA"/>
              </w:rPr>
              <w:t>Area</w:t>
            </w:r>
            <w:r w:rsidRPr="00233C97">
              <w:rPr>
                <w:rFonts w:ascii="Times New Roman" w:eastAsia="Times New Roman" w:hAnsi="Times New Roman" w:cs="Times New Roman"/>
                <w:sz w:val="20"/>
                <w:szCs w:val="20"/>
                <w:lang w:eastAsia="en-ZA"/>
              </w:rPr>
              <w:t xml:space="preserve"> of assessment: South Africa</w:t>
            </w:r>
          </w:p>
        </w:tc>
      </w:tr>
      <w:tr w:rsidR="002D7080" w:rsidRPr="00592486" w14:paraId="0EC73798"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50BA1BBE"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Comments: The geographic scope of this assessment is limited to South Africa.</w:t>
            </w:r>
          </w:p>
        </w:tc>
      </w:tr>
      <w:tr w:rsidR="002D7080" w:rsidRPr="00592486" w14:paraId="74D540AF" w14:textId="77777777" w:rsidTr="002E2C37">
        <w:trPr>
          <w:cantSplit/>
          <w:trHeight w:val="215"/>
        </w:trPr>
        <w:tc>
          <w:tcPr>
            <w:tcW w:w="89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BAC8775" w14:textId="77777777" w:rsidR="002D7080" w:rsidRPr="00233C97" w:rsidRDefault="002D7080" w:rsidP="006728DB">
            <w:pPr>
              <w:spacing w:after="0"/>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 xml:space="preserve">BAC10 Is the </w:t>
            </w:r>
            <w:r w:rsidRPr="00233C97">
              <w:rPr>
                <w:rFonts w:ascii="Times New Roman" w:eastAsia="Times New Roman" w:hAnsi="Times New Roman" w:cs="Times New Roman"/>
                <w:b/>
                <w:i/>
                <w:sz w:val="20"/>
                <w:szCs w:val="20"/>
                <w:lang w:eastAsia="en-ZA"/>
              </w:rPr>
              <w:t>Taxon</w:t>
            </w:r>
            <w:r w:rsidRPr="00233C97">
              <w:rPr>
                <w:rFonts w:ascii="Times New Roman" w:eastAsia="Times New Roman" w:hAnsi="Times New Roman" w:cs="Times New Roman"/>
                <w:b/>
                <w:sz w:val="20"/>
                <w:szCs w:val="20"/>
                <w:lang w:eastAsia="en-ZA"/>
              </w:rPr>
              <w:t xml:space="preserve"> present in the </w:t>
            </w:r>
            <w:r w:rsidRPr="00233C97">
              <w:rPr>
                <w:rFonts w:ascii="Times New Roman" w:eastAsia="Times New Roman" w:hAnsi="Times New Roman" w:cs="Times New Roman"/>
                <w:b/>
                <w:i/>
                <w:sz w:val="20"/>
                <w:szCs w:val="20"/>
                <w:lang w:eastAsia="en-ZA"/>
              </w:rPr>
              <w:t>Area</w:t>
            </w:r>
            <w:r w:rsidRPr="00233C97">
              <w:rPr>
                <w:rFonts w:ascii="Times New Roman" w:eastAsia="Times New Roman" w:hAnsi="Times New Roman" w:cs="Times New Roman"/>
                <w:b/>
                <w:sz w:val="20"/>
                <w:szCs w:val="20"/>
                <w:lang w:eastAsia="en-ZA"/>
              </w:rPr>
              <w:t>?</w:t>
            </w:r>
          </w:p>
        </w:tc>
      </w:tr>
      <w:tr w:rsidR="002D7080" w:rsidRPr="00592486" w14:paraId="6DA82536" w14:textId="77777777" w:rsidTr="002E2C37">
        <w:trPr>
          <w:cantSplit/>
          <w:trHeight w:val="70"/>
        </w:trPr>
        <w:tc>
          <w:tcPr>
            <w:tcW w:w="6207" w:type="dxa"/>
            <w:gridSpan w:val="3"/>
            <w:tcBorders>
              <w:top w:val="single" w:sz="4" w:space="0" w:color="auto"/>
              <w:left w:val="single" w:sz="4" w:space="0" w:color="auto"/>
              <w:bottom w:val="single" w:sz="4" w:space="0" w:color="auto"/>
              <w:right w:val="single" w:sz="4" w:space="0" w:color="auto"/>
            </w:tcBorders>
            <w:noWrap/>
          </w:tcPr>
          <w:p w14:paraId="341F67B8" w14:textId="77777777" w:rsidR="002D7080" w:rsidRPr="00233C97" w:rsidRDefault="002D7080" w:rsidP="006728DB">
            <w:pPr>
              <w:spacing w:after="0"/>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sz w:val="20"/>
                <w:szCs w:val="20"/>
                <w:lang w:eastAsia="en-ZA"/>
              </w:rPr>
              <w:t>Response: No</w:t>
            </w:r>
          </w:p>
        </w:tc>
        <w:tc>
          <w:tcPr>
            <w:tcW w:w="2701" w:type="dxa"/>
            <w:tcBorders>
              <w:top w:val="single" w:sz="4" w:space="0" w:color="auto"/>
              <w:left w:val="single" w:sz="4" w:space="0" w:color="auto"/>
              <w:bottom w:val="single" w:sz="4" w:space="0" w:color="auto"/>
              <w:right w:val="single" w:sz="4" w:space="0" w:color="auto"/>
            </w:tcBorders>
          </w:tcPr>
          <w:p w14:paraId="33DAD849" w14:textId="77777777" w:rsidR="002D7080" w:rsidRPr="00233C97" w:rsidRDefault="002D7080" w:rsidP="006728DB">
            <w:pPr>
              <w:spacing w:after="0"/>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sz w:val="20"/>
                <w:szCs w:val="20"/>
                <w:lang w:eastAsia="en-ZA"/>
              </w:rPr>
              <w:t>Confidence: Low</w:t>
            </w:r>
          </w:p>
        </w:tc>
      </w:tr>
      <w:tr w:rsidR="002D7080" w:rsidRPr="00592486" w14:paraId="6593ABB7"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66A86766"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Comments: There are no records of </w:t>
            </w:r>
            <w:r w:rsidRPr="00233C97">
              <w:rPr>
                <w:rFonts w:ascii="Times New Roman" w:eastAsia="Times New Roman" w:hAnsi="Times New Roman" w:cs="Times New Roman"/>
                <w:i/>
                <w:sz w:val="20"/>
                <w:szCs w:val="20"/>
                <w:lang w:eastAsia="en-ZA"/>
              </w:rPr>
              <w:t>F. rusticus</w:t>
            </w:r>
            <w:r w:rsidRPr="00233C97">
              <w:rPr>
                <w:rFonts w:ascii="Times New Roman" w:eastAsia="Times New Roman" w:hAnsi="Times New Roman" w:cs="Times New Roman"/>
                <w:sz w:val="20"/>
                <w:szCs w:val="20"/>
                <w:lang w:eastAsia="en-ZA"/>
              </w:rPr>
              <w:t xml:space="preserve"> species being in South Africa </w:t>
            </w:r>
            <w:r w:rsidRPr="00233C97">
              <w:rPr>
                <w:rFonts w:ascii="Times New Roman" w:eastAsia="Times New Roman" w:hAnsi="Times New Roman" w:cs="Times New Roman"/>
                <w:sz w:val="20"/>
                <w:szCs w:val="20"/>
                <w:lang w:eastAsia="en-ZA"/>
              </w:rPr>
              <w:fldChar w:fldCharType="begin" w:fldLock="1"/>
            </w:r>
            <w:r w:rsidRPr="00233C97">
              <w:rPr>
                <w:rFonts w:ascii="Times New Roman" w:eastAsia="Times New Roman" w:hAnsi="Times New Roman" w:cs="Times New Roman"/>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Nunes et al. 2017)", "plainTextFormattedCitation" : "(Lodge et al. 2012, Nunes et al. 2017)", "previouslyFormattedCitation" : "(Lodge et al. 2012, Nunes et al. 2017)" }, "properties" : { "noteIndex" : 0 }, "schema" : "https://github.com/citation-style-language/schema/raw/master/csl-citation.json" }</w:instrText>
            </w:r>
            <w:r w:rsidRPr="00233C97">
              <w:rPr>
                <w:rFonts w:ascii="Times New Roman" w:eastAsia="Times New Roman" w:hAnsi="Times New Roman" w:cs="Times New Roman"/>
                <w:sz w:val="20"/>
                <w:szCs w:val="20"/>
                <w:lang w:eastAsia="en-ZA"/>
              </w:rPr>
              <w:fldChar w:fldCharType="separate"/>
            </w:r>
            <w:r w:rsidRPr="00233C97">
              <w:rPr>
                <w:rFonts w:ascii="Times New Roman" w:eastAsia="Times New Roman" w:hAnsi="Times New Roman" w:cs="Times New Roman"/>
                <w:sz w:val="20"/>
                <w:szCs w:val="20"/>
                <w:lang w:eastAsia="en-ZA"/>
              </w:rPr>
              <w:t>; Nunes et al. 2017)</w:t>
            </w:r>
            <w:r w:rsidRPr="00233C97">
              <w:rPr>
                <w:rFonts w:ascii="Times New Roman" w:eastAsia="Times New Roman" w:hAnsi="Times New Roman" w:cs="Times New Roman"/>
                <w:sz w:val="20"/>
                <w:szCs w:val="20"/>
                <w:lang w:eastAsia="en-ZA"/>
              </w:rPr>
              <w:fldChar w:fldCharType="end"/>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
                <w:sz w:val="20"/>
                <w:szCs w:val="20"/>
                <w:lang w:eastAsia="en-ZA"/>
              </w:rPr>
              <w:t>Faxonius rusticus</w:t>
            </w:r>
            <w:r w:rsidRPr="00233C97">
              <w:rPr>
                <w:rFonts w:ascii="Times New Roman" w:eastAsia="Times New Roman" w:hAnsi="Times New Roman" w:cs="Times New Roman"/>
                <w:sz w:val="20"/>
                <w:szCs w:val="20"/>
                <w:lang w:eastAsia="en-ZA"/>
              </w:rPr>
              <w:t xml:space="preserve">  is present  in the pet trade globally </w:t>
            </w:r>
            <w:r w:rsidRPr="00233C97">
              <w:rPr>
                <w:rFonts w:ascii="Times New Roman" w:eastAsia="Times New Roman" w:hAnsi="Times New Roman" w:cs="Times New Roman"/>
                <w:sz w:val="20"/>
                <w:szCs w:val="20"/>
                <w:lang w:eastAsia="en-ZA"/>
              </w:rPr>
              <w:fldChar w:fldCharType="begin" w:fldLock="1"/>
            </w:r>
            <w:r w:rsidRPr="00233C97">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233C97">
              <w:rPr>
                <w:rFonts w:ascii="Times New Roman" w:eastAsia="Times New Roman" w:hAnsi="Times New Roman" w:cs="Times New Roman"/>
                <w:sz w:val="20"/>
                <w:szCs w:val="20"/>
                <w:lang w:eastAsia="en-ZA"/>
              </w:rPr>
              <w:fldChar w:fldCharType="separate"/>
            </w:r>
            <w:r w:rsidRPr="00233C97">
              <w:rPr>
                <w:rFonts w:ascii="Times New Roman" w:eastAsia="Times New Roman" w:hAnsi="Times New Roman" w:cs="Times New Roman"/>
                <w:sz w:val="20"/>
                <w:szCs w:val="20"/>
                <w:lang w:eastAsia="en-ZA"/>
              </w:rPr>
              <w:t>((Lodge et al. 2012</w:t>
            </w:r>
            <w:r>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sz w:val="20"/>
                <w:szCs w:val="20"/>
                <w:lang w:eastAsia="en-ZA"/>
              </w:rPr>
              <w:t>Faulkes 2015)</w:t>
            </w:r>
            <w:r w:rsidRPr="00233C97">
              <w:rPr>
                <w:rFonts w:ascii="Times New Roman" w:eastAsia="Times New Roman" w:hAnsi="Times New Roman" w:cs="Times New Roman"/>
                <w:sz w:val="20"/>
                <w:szCs w:val="20"/>
                <w:lang w:eastAsia="en-ZA"/>
              </w:rPr>
              <w:fldChar w:fldCharType="end"/>
            </w:r>
            <w:r w:rsidRPr="00233C97">
              <w:rPr>
                <w:rFonts w:ascii="Times New Roman" w:eastAsia="Times New Roman" w:hAnsi="Times New Roman" w:cs="Times New Roman"/>
                <w:sz w:val="20"/>
                <w:szCs w:val="20"/>
                <w:lang w:eastAsia="en-ZA"/>
              </w:rPr>
              <w:t xml:space="preserve">, and it might be present in industry in South Africa but this needs to be assessed (Nunes et al. 2017). </w:t>
            </w:r>
          </w:p>
        </w:tc>
      </w:tr>
      <w:tr w:rsidR="002D7080" w:rsidRPr="00592486" w14:paraId="5712ECA9"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6D2F6864"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4EC4A728" w14:textId="0D8FA118" w:rsidR="002D7080" w:rsidRPr="00233C97" w:rsidRDefault="002D7080" w:rsidP="006728DB">
            <w:pPr>
              <w:ind w:left="720" w:hanging="720"/>
              <w:contextualSpacing/>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Faulkes, Z, 2015, ‘The global trade in crayfish as pets’, </w:t>
            </w:r>
            <w:r w:rsidRPr="00233C97">
              <w:rPr>
                <w:rFonts w:ascii="Times New Roman" w:eastAsia="Times New Roman" w:hAnsi="Times New Roman" w:cs="Times New Roman"/>
                <w:i/>
                <w:iCs/>
                <w:sz w:val="20"/>
                <w:szCs w:val="20"/>
                <w:lang w:eastAsia="en-ZA"/>
              </w:rPr>
              <w:t>Crustacean Research</w:t>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Cs/>
                <w:sz w:val="20"/>
                <w:szCs w:val="20"/>
                <w:lang w:eastAsia="en-ZA"/>
              </w:rPr>
              <w:t>44</w:t>
            </w:r>
            <w:r w:rsidRPr="00233C97">
              <w:rPr>
                <w:rFonts w:ascii="Times New Roman" w:eastAsia="Times New Roman" w:hAnsi="Times New Roman" w:cs="Times New Roman"/>
                <w:sz w:val="20"/>
                <w:szCs w:val="20"/>
                <w:lang w:eastAsia="en-ZA"/>
              </w:rPr>
              <w:t xml:space="preserve">, 75–92. </w:t>
            </w:r>
            <w:hyperlink r:id="rId315" w:history="1">
              <w:r w:rsidR="00FF7C89" w:rsidRPr="00A22D6D">
                <w:rPr>
                  <w:rStyle w:val="Hyperlink"/>
                  <w:rFonts w:ascii="Times New Roman" w:eastAsia="Times New Roman" w:hAnsi="Times New Roman" w:cs="Times New Roman"/>
                  <w:sz w:val="20"/>
                  <w:szCs w:val="20"/>
                  <w:lang w:eastAsia="en-ZA"/>
                </w:rPr>
                <w:t>https://doi.org/10.18353/crustacea.44.0_75</w:t>
              </w:r>
            </w:hyperlink>
            <w:r w:rsidRPr="00233C97">
              <w:rPr>
                <w:rFonts w:ascii="Times New Roman" w:eastAsia="Times New Roman" w:hAnsi="Times New Roman" w:cs="Times New Roman"/>
                <w:sz w:val="20"/>
                <w:szCs w:val="20"/>
                <w:lang w:eastAsia="en-ZA"/>
              </w:rPr>
              <w:t>.</w:t>
            </w:r>
            <w:r w:rsidR="00FE6D7A">
              <w:rPr>
                <w:rFonts w:ascii="Times New Roman" w:eastAsia="Times New Roman" w:hAnsi="Times New Roman" w:cs="Times New Roman"/>
                <w:sz w:val="20"/>
                <w:szCs w:val="20"/>
                <w:lang w:eastAsia="en-ZA"/>
              </w:rPr>
              <w:t xml:space="preserve"> </w:t>
            </w:r>
            <w:r w:rsidR="00FF7C89">
              <w:rPr>
                <w:rFonts w:ascii="Times New Roman" w:eastAsia="Times New Roman" w:hAnsi="Times New Roman" w:cs="Times New Roman"/>
                <w:sz w:val="20"/>
                <w:szCs w:val="20"/>
                <w:lang w:eastAsia="en-ZA"/>
              </w:rPr>
              <w:t xml:space="preserve"> </w:t>
            </w:r>
          </w:p>
          <w:p w14:paraId="5FD1DE38" w14:textId="77777777" w:rsidR="00FE6D7A" w:rsidRPr="00FE6D7A" w:rsidRDefault="002D7080" w:rsidP="006728DB">
            <w:pPr>
              <w:spacing w:after="0"/>
              <w:ind w:left="720" w:hanging="720"/>
              <w:contextualSpacing/>
              <w:jc w:val="both"/>
              <w:rPr>
                <w:rFonts w:ascii="Times New Roman" w:hAnsi="Times New Roman" w:cs="Times New Roman"/>
                <w:sz w:val="20"/>
                <w:szCs w:val="20"/>
              </w:rPr>
            </w:pPr>
            <w:r w:rsidRPr="00233C97">
              <w:rPr>
                <w:rFonts w:ascii="Times New Roman" w:eastAsia="Times New Roman" w:hAnsi="Times New Roman" w:cs="Times New Roman"/>
                <w:sz w:val="20"/>
                <w:szCs w:val="20"/>
                <w:lang w:eastAsia="en-ZA"/>
              </w:rPr>
              <w:t xml:space="preserve">Lodge, D.M., Deines, A., Gherardi, F., Yeo, D.C.J., Arcella. T, Baldridge, A.K., et al., 2012, ‘Global introductions of crayfishes: Evaluating the impact of species invasions on ecosystem services’, </w:t>
            </w:r>
            <w:r w:rsidRPr="00233C97">
              <w:rPr>
                <w:rFonts w:ascii="Times New Roman" w:eastAsia="Times New Roman" w:hAnsi="Times New Roman" w:cs="Times New Roman"/>
                <w:i/>
                <w:sz w:val="20"/>
                <w:szCs w:val="20"/>
                <w:lang w:eastAsia="en-ZA"/>
              </w:rPr>
              <w:t>Annual Review of Ecology Evolution Systematics</w:t>
            </w:r>
            <w:r w:rsidRPr="00233C97">
              <w:rPr>
                <w:rFonts w:ascii="Times New Roman" w:eastAsia="Times New Roman" w:hAnsi="Times New Roman" w:cs="Times New Roman"/>
                <w:sz w:val="20"/>
                <w:szCs w:val="20"/>
                <w:lang w:eastAsia="en-ZA"/>
              </w:rPr>
              <w:t xml:space="preserve"> 43, 449–472.</w:t>
            </w:r>
            <w:r w:rsidRPr="00233C97">
              <w:rPr>
                <w:rFonts w:ascii="Times New Roman" w:hAnsi="Times New Roman" w:cs="Times New Roman"/>
                <w:sz w:val="20"/>
                <w:szCs w:val="20"/>
              </w:rPr>
              <w:t xml:space="preserve"> </w:t>
            </w:r>
            <w:r w:rsidR="00FE6D7A" w:rsidRPr="00FE6D7A">
              <w:rPr>
                <w:rFonts w:ascii="Times New Roman" w:hAnsi="Times New Roman" w:cs="Times New Roman"/>
                <w:sz w:val="20"/>
                <w:szCs w:val="20"/>
              </w:rPr>
              <w:t>https://doi.org/10.1146/annurev-ecolsys-111511-103919</w:t>
            </w:r>
          </w:p>
          <w:p w14:paraId="6113FE62" w14:textId="61620F3F"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233C97">
              <w:rPr>
                <w:rFonts w:ascii="Times New Roman" w:eastAsia="Times New Roman" w:hAnsi="Times New Roman" w:cs="Times New Roman"/>
                <w:i/>
                <w:color w:val="000000"/>
                <w:sz w:val="20"/>
                <w:szCs w:val="20"/>
                <w:lang w:eastAsia="en-ZA"/>
              </w:rPr>
              <w:t>African Journal of Aquatic Science</w:t>
            </w:r>
            <w:r w:rsidRPr="00233C97">
              <w:rPr>
                <w:rFonts w:ascii="Times New Roman" w:eastAsia="Times New Roman" w:hAnsi="Times New Roman" w:cs="Times New Roman"/>
                <w:color w:val="000000"/>
                <w:sz w:val="20"/>
                <w:szCs w:val="20"/>
                <w:lang w:eastAsia="en-ZA"/>
              </w:rPr>
              <w:t xml:space="preserve"> 42, 309–323. </w:t>
            </w:r>
            <w:hyperlink r:id="rId316" w:history="1">
              <w:r w:rsidR="00FE6D7A" w:rsidRPr="00FE6D7A">
                <w:rPr>
                  <w:rStyle w:val="Hyperlink"/>
                  <w:rFonts w:ascii="Times New Roman" w:eastAsia="Times New Roman" w:hAnsi="Times New Roman" w:cs="Times New Roman"/>
                  <w:sz w:val="20"/>
                  <w:szCs w:val="20"/>
                  <w:lang w:eastAsia="en-ZA"/>
                </w:rPr>
                <w:t>https://doi.org/10.2989/16085914.2017.1405788</w:t>
              </w:r>
            </w:hyperlink>
            <w:r w:rsidRPr="00233C97">
              <w:rPr>
                <w:rFonts w:ascii="Times New Roman" w:eastAsia="Times New Roman" w:hAnsi="Times New Roman" w:cs="Times New Roman"/>
                <w:color w:val="000000"/>
                <w:sz w:val="20"/>
                <w:szCs w:val="20"/>
                <w:lang w:eastAsia="en-ZA"/>
              </w:rPr>
              <w:t>.</w:t>
            </w:r>
          </w:p>
        </w:tc>
      </w:tr>
      <w:tr w:rsidR="002D7080" w:rsidRPr="00592486" w14:paraId="10542AF5" w14:textId="77777777" w:rsidTr="002E2C37">
        <w:trPr>
          <w:cantSplit/>
          <w:trHeight w:val="143"/>
        </w:trPr>
        <w:tc>
          <w:tcPr>
            <w:tcW w:w="89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C0E014A" w14:textId="77777777" w:rsidR="002D7080" w:rsidRPr="00233C97" w:rsidRDefault="002D7080" w:rsidP="002E2C37">
            <w:pPr>
              <w:spacing w:after="0" w:line="240" w:lineRule="auto"/>
              <w:rPr>
                <w:rFonts w:ascii="Times New Roman" w:eastAsia="Times New Roman" w:hAnsi="Times New Roman" w:cs="Times New Roman"/>
                <w:sz w:val="20"/>
                <w:szCs w:val="20"/>
                <w:lang w:eastAsia="en-ZA"/>
              </w:rPr>
            </w:pPr>
            <w:r w:rsidRPr="00233C97">
              <w:rPr>
                <w:rFonts w:ascii="Times New Roman" w:eastAsia="Times New Roman" w:hAnsi="Times New Roman" w:cs="Times New Roman"/>
                <w:b/>
                <w:sz w:val="20"/>
                <w:szCs w:val="20"/>
                <w:lang w:eastAsia="en-ZA"/>
              </w:rPr>
              <w:t>BAC11 Availability of physical specimen</w:t>
            </w:r>
          </w:p>
        </w:tc>
      </w:tr>
      <w:tr w:rsidR="002D7080" w:rsidRPr="00592486" w14:paraId="45B4EA21" w14:textId="77777777" w:rsidTr="002E2C37">
        <w:trPr>
          <w:cantSplit/>
          <w:trHeight w:val="70"/>
        </w:trPr>
        <w:tc>
          <w:tcPr>
            <w:tcW w:w="6207" w:type="dxa"/>
            <w:gridSpan w:val="3"/>
            <w:tcBorders>
              <w:top w:val="single" w:sz="4" w:space="0" w:color="auto"/>
              <w:left w:val="single" w:sz="4" w:space="0" w:color="auto"/>
              <w:bottom w:val="single" w:sz="4" w:space="0" w:color="auto"/>
              <w:right w:val="single" w:sz="4" w:space="0" w:color="auto"/>
            </w:tcBorders>
            <w:noWrap/>
          </w:tcPr>
          <w:p w14:paraId="0800BFE4" w14:textId="77777777" w:rsidR="002D7080" w:rsidRPr="00233C97" w:rsidRDefault="002D7080" w:rsidP="002E2C37">
            <w:pPr>
              <w:spacing w:after="0" w:line="240" w:lineRule="auto"/>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sz w:val="20"/>
                <w:szCs w:val="20"/>
                <w:lang w:eastAsia="en-ZA"/>
              </w:rPr>
              <w:lastRenderedPageBreak/>
              <w:t>Response: No</w:t>
            </w:r>
          </w:p>
        </w:tc>
        <w:tc>
          <w:tcPr>
            <w:tcW w:w="2701" w:type="dxa"/>
            <w:tcBorders>
              <w:top w:val="single" w:sz="4" w:space="0" w:color="auto"/>
              <w:left w:val="single" w:sz="4" w:space="0" w:color="auto"/>
              <w:bottom w:val="single" w:sz="4" w:space="0" w:color="auto"/>
              <w:right w:val="single" w:sz="4" w:space="0" w:color="auto"/>
            </w:tcBorders>
          </w:tcPr>
          <w:p w14:paraId="1FCE3ADD" w14:textId="77777777" w:rsidR="002D7080" w:rsidRPr="00233C97" w:rsidRDefault="002D7080" w:rsidP="002E2C37">
            <w:pPr>
              <w:spacing w:after="0" w:line="240" w:lineRule="auto"/>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sz w:val="20"/>
                <w:szCs w:val="20"/>
                <w:lang w:eastAsia="en-ZA"/>
              </w:rPr>
              <w:t>Confidence in ID:</w:t>
            </w:r>
          </w:p>
        </w:tc>
      </w:tr>
      <w:tr w:rsidR="002D7080" w:rsidRPr="00592486" w14:paraId="77E080AF" w14:textId="77777777" w:rsidTr="002E2C37">
        <w:trPr>
          <w:cantSplit/>
          <w:trHeight w:val="148"/>
        </w:trPr>
        <w:tc>
          <w:tcPr>
            <w:tcW w:w="8908" w:type="dxa"/>
            <w:gridSpan w:val="4"/>
            <w:tcBorders>
              <w:top w:val="single" w:sz="4" w:space="0" w:color="auto"/>
              <w:left w:val="single" w:sz="4" w:space="0" w:color="auto"/>
              <w:bottom w:val="single" w:sz="4" w:space="0" w:color="auto"/>
              <w:right w:val="single" w:sz="4" w:space="0" w:color="auto"/>
            </w:tcBorders>
            <w:noWrap/>
          </w:tcPr>
          <w:p w14:paraId="4886D685"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Herbarium or museum accession number: No </w:t>
            </w:r>
            <w:r w:rsidRPr="00233C97">
              <w:rPr>
                <w:rFonts w:ascii="Times New Roman" w:eastAsia="Times New Roman" w:hAnsi="Times New Roman" w:cs="Times New Roman"/>
                <w:i/>
                <w:iCs/>
                <w:sz w:val="20"/>
                <w:szCs w:val="20"/>
                <w:lang w:eastAsia="en-ZA"/>
              </w:rPr>
              <w:t xml:space="preserve">Faxonius </w:t>
            </w:r>
            <w:r>
              <w:rPr>
                <w:rFonts w:ascii="Times New Roman" w:eastAsia="Times New Roman" w:hAnsi="Times New Roman" w:cs="Times New Roman"/>
                <w:i/>
                <w:iCs/>
                <w:sz w:val="20"/>
                <w:szCs w:val="20"/>
                <w:lang w:eastAsia="en-ZA"/>
              </w:rPr>
              <w:t>rusticus</w:t>
            </w:r>
            <w:r w:rsidRPr="00233C97">
              <w:rPr>
                <w:rFonts w:ascii="Times New Roman" w:eastAsia="Times New Roman" w:hAnsi="Times New Roman" w:cs="Times New Roman"/>
                <w:i/>
                <w:iCs/>
                <w:sz w:val="20"/>
                <w:szCs w:val="20"/>
                <w:lang w:eastAsia="en-ZA"/>
              </w:rPr>
              <w:t xml:space="preserve"> </w:t>
            </w:r>
            <w:r w:rsidRPr="00233C97">
              <w:rPr>
                <w:rFonts w:ascii="Times New Roman" w:eastAsia="Times New Roman" w:hAnsi="Times New Roman" w:cs="Times New Roman"/>
                <w:iCs/>
                <w:sz w:val="20"/>
                <w:szCs w:val="20"/>
                <w:lang w:eastAsia="en-ZA"/>
              </w:rPr>
              <w:t xml:space="preserve">specimens have been found in South Africa and it is assumed the species </w:t>
            </w:r>
            <w:r w:rsidRPr="00233C97">
              <w:rPr>
                <w:rFonts w:ascii="Times New Roman" w:eastAsia="Times New Roman" w:hAnsi="Times New Roman" w:cs="Times New Roman"/>
                <w:sz w:val="20"/>
                <w:szCs w:val="20"/>
                <w:lang w:eastAsia="en-ZA"/>
              </w:rPr>
              <w:t>is not present in South Africa, although it requires further assessment, especially linked to the pet trade industry</w:t>
            </w:r>
            <w:r>
              <w:rPr>
                <w:rFonts w:ascii="Times New Roman" w:eastAsia="Times New Roman" w:hAnsi="Times New Roman" w:cs="Times New Roman"/>
                <w:sz w:val="20"/>
                <w:szCs w:val="20"/>
                <w:lang w:eastAsia="en-ZA"/>
              </w:rPr>
              <w:t xml:space="preserve"> (Nunes et al. 2017)</w:t>
            </w:r>
            <w:r w:rsidRPr="00233C97">
              <w:rPr>
                <w:rFonts w:ascii="Times New Roman" w:eastAsia="Times New Roman" w:hAnsi="Times New Roman" w:cs="Times New Roman"/>
                <w:sz w:val="20"/>
                <w:szCs w:val="20"/>
                <w:lang w:eastAsia="en-ZA"/>
              </w:rPr>
              <w:t xml:space="preserve">. </w:t>
            </w:r>
          </w:p>
        </w:tc>
      </w:tr>
      <w:tr w:rsidR="002D7080" w:rsidRPr="00592486" w14:paraId="18971B87"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7AB5A7A4" w14:textId="77777777" w:rsidR="002D7080"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25ED3857" w14:textId="5A00CEF8"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CC2219">
              <w:rPr>
                <w:rFonts w:ascii="Times New Roman" w:eastAsia="Times New Roman" w:hAnsi="Times New Roman" w:cs="Times New Roman"/>
                <w:color w:val="000000"/>
                <w:sz w:val="20"/>
                <w:szCs w:val="20"/>
                <w:lang w:val="en-US" w:eastAsia="en-ZA"/>
              </w:rPr>
              <w:t xml:space="preserve">Nunes AL, Zengeya TA, Measey GJ,   Weyl OLF. 2017. Freshwater crayfish invasions in South Africa: past, present and potential future. </w:t>
            </w:r>
            <w:r w:rsidRPr="00CC2219">
              <w:rPr>
                <w:rFonts w:ascii="Times New Roman" w:eastAsia="Times New Roman" w:hAnsi="Times New Roman" w:cs="Times New Roman"/>
                <w:i/>
                <w:color w:val="000000"/>
                <w:sz w:val="20"/>
                <w:szCs w:val="20"/>
                <w:lang w:val="en-US" w:eastAsia="en-ZA"/>
              </w:rPr>
              <w:t>African Journal of Aquatic Science</w:t>
            </w:r>
            <w:r w:rsidRPr="00CC2219">
              <w:rPr>
                <w:rFonts w:ascii="Times New Roman" w:eastAsia="Times New Roman" w:hAnsi="Times New Roman" w:cs="Times New Roman"/>
                <w:color w:val="000000"/>
                <w:sz w:val="20"/>
                <w:szCs w:val="20"/>
                <w:lang w:val="en-US" w:eastAsia="en-ZA"/>
              </w:rPr>
              <w:t xml:space="preserve"> 42: 309–323</w:t>
            </w:r>
            <w:r w:rsidR="00FE6D7A">
              <w:rPr>
                <w:rFonts w:ascii="Times New Roman" w:eastAsia="Times New Roman" w:hAnsi="Times New Roman" w:cs="Times New Roman"/>
                <w:color w:val="000000"/>
                <w:sz w:val="20"/>
                <w:szCs w:val="20"/>
                <w:lang w:val="en-US" w:eastAsia="en-ZA"/>
              </w:rPr>
              <w:t>,</w:t>
            </w:r>
            <w:r w:rsidR="00FE6D7A">
              <w:rPr>
                <w:rFonts w:eastAsia="Times New Roman"/>
                <w:color w:val="000000"/>
                <w:lang w:val="en-US" w:eastAsia="en-ZA"/>
              </w:rPr>
              <w:t xml:space="preserve"> </w:t>
            </w:r>
            <w:hyperlink r:id="rId317" w:history="1">
              <w:r w:rsidR="00FE6D7A" w:rsidRPr="008A0BC6">
                <w:rPr>
                  <w:rStyle w:val="Hyperlink"/>
                  <w:rFonts w:ascii="Times New Roman" w:eastAsia="Times New Roman" w:hAnsi="Times New Roman" w:cs="Times New Roman"/>
                  <w:sz w:val="20"/>
                  <w:szCs w:val="20"/>
                  <w:lang w:eastAsia="en-ZA"/>
                </w:rPr>
                <w:t>https://doi.org/10.2989/16085914.2017.1405788</w:t>
              </w:r>
            </w:hyperlink>
          </w:p>
        </w:tc>
      </w:tr>
      <w:tr w:rsidR="002D7080" w:rsidRPr="00592486" w14:paraId="5E572DF5" w14:textId="77777777" w:rsidTr="002E2C37">
        <w:trPr>
          <w:cantSplit/>
          <w:trHeight w:val="260"/>
        </w:trPr>
        <w:tc>
          <w:tcPr>
            <w:tcW w:w="89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807CD2D" w14:textId="77777777" w:rsidR="002D7080" w:rsidRPr="00233C97" w:rsidRDefault="002D7080" w:rsidP="006728DB">
            <w:pPr>
              <w:spacing w:after="0"/>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 xml:space="preserve">BAC12 Is the </w:t>
            </w:r>
            <w:r w:rsidRPr="00233C97">
              <w:rPr>
                <w:rFonts w:ascii="Times New Roman" w:eastAsia="Times New Roman" w:hAnsi="Times New Roman" w:cs="Times New Roman"/>
                <w:b/>
                <w:i/>
                <w:sz w:val="20"/>
                <w:szCs w:val="20"/>
                <w:lang w:eastAsia="en-ZA"/>
              </w:rPr>
              <w:t>Taxon</w:t>
            </w:r>
            <w:r w:rsidRPr="00233C97">
              <w:rPr>
                <w:rFonts w:ascii="Times New Roman" w:eastAsia="Times New Roman" w:hAnsi="Times New Roman" w:cs="Times New Roman"/>
                <w:b/>
                <w:sz w:val="20"/>
                <w:szCs w:val="20"/>
                <w:lang w:eastAsia="en-ZA"/>
              </w:rPr>
              <w:t xml:space="preserve"> native to the </w:t>
            </w:r>
            <w:r w:rsidRPr="00233C97">
              <w:rPr>
                <w:rFonts w:ascii="Times New Roman" w:eastAsia="Times New Roman" w:hAnsi="Times New Roman" w:cs="Times New Roman"/>
                <w:b/>
                <w:i/>
                <w:sz w:val="20"/>
                <w:szCs w:val="20"/>
                <w:lang w:eastAsia="en-ZA"/>
              </w:rPr>
              <w:t>Area</w:t>
            </w:r>
            <w:r w:rsidRPr="00233C97">
              <w:rPr>
                <w:rFonts w:ascii="Times New Roman" w:eastAsia="Times New Roman" w:hAnsi="Times New Roman" w:cs="Times New Roman"/>
                <w:b/>
                <w:sz w:val="20"/>
                <w:szCs w:val="20"/>
                <w:lang w:eastAsia="en-ZA"/>
              </w:rPr>
              <w:t xml:space="preserve"> or part of the </w:t>
            </w:r>
            <w:r w:rsidRPr="00233C97">
              <w:rPr>
                <w:rFonts w:ascii="Times New Roman" w:eastAsia="Times New Roman" w:hAnsi="Times New Roman" w:cs="Times New Roman"/>
                <w:b/>
                <w:i/>
                <w:sz w:val="20"/>
                <w:szCs w:val="20"/>
                <w:lang w:eastAsia="en-ZA"/>
              </w:rPr>
              <w:t>Area</w:t>
            </w:r>
            <w:r w:rsidRPr="00233C97">
              <w:rPr>
                <w:rFonts w:ascii="Times New Roman" w:eastAsia="Times New Roman" w:hAnsi="Times New Roman" w:cs="Times New Roman"/>
                <w:b/>
                <w:sz w:val="20"/>
                <w:szCs w:val="20"/>
                <w:lang w:eastAsia="en-ZA"/>
              </w:rPr>
              <w:t>?</w:t>
            </w:r>
          </w:p>
        </w:tc>
      </w:tr>
      <w:tr w:rsidR="002D7080" w:rsidRPr="00592486" w14:paraId="5FE304C8" w14:textId="77777777" w:rsidTr="002E2C37">
        <w:trPr>
          <w:cantSplit/>
          <w:trHeight w:val="70"/>
        </w:trPr>
        <w:tc>
          <w:tcPr>
            <w:tcW w:w="375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18AFE86"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The </w:t>
            </w:r>
            <w:r w:rsidRPr="00233C97">
              <w:rPr>
                <w:rFonts w:ascii="Times New Roman" w:eastAsia="Times New Roman" w:hAnsi="Times New Roman" w:cs="Times New Roman"/>
                <w:i/>
                <w:sz w:val="20"/>
                <w:szCs w:val="20"/>
                <w:lang w:eastAsia="en-ZA"/>
              </w:rPr>
              <w:t>Taxon</w:t>
            </w:r>
            <w:r w:rsidRPr="00233C97">
              <w:rPr>
                <w:rFonts w:ascii="Times New Roman" w:eastAsia="Times New Roman" w:hAnsi="Times New Roman" w:cs="Times New Roman"/>
                <w:sz w:val="20"/>
                <w:szCs w:val="20"/>
                <w:lang w:eastAsia="en-ZA"/>
              </w:rPr>
              <w:t xml:space="preserve"> is native to (part of) the </w:t>
            </w:r>
            <w:r w:rsidRPr="00233C97">
              <w:rPr>
                <w:rFonts w:ascii="Times New Roman" w:eastAsia="Times New Roman" w:hAnsi="Times New Roman" w:cs="Times New Roman"/>
                <w:i/>
                <w:sz w:val="20"/>
                <w:szCs w:val="20"/>
                <w:lang w:eastAsia="en-ZA"/>
              </w:rPr>
              <w:t>Area</w:t>
            </w:r>
            <w:r w:rsidRPr="00233C97">
              <w:rPr>
                <w:rFonts w:ascii="Times New Roman" w:eastAsia="Times New Roman" w:hAnsi="Times New Roman" w:cs="Times New Roman"/>
                <w:sz w:val="20"/>
                <w:szCs w:val="20"/>
                <w:lang w:eastAsia="en-ZA"/>
              </w:rPr>
              <w:t>.</w:t>
            </w:r>
          </w:p>
        </w:tc>
        <w:tc>
          <w:tcPr>
            <w:tcW w:w="2450" w:type="dxa"/>
            <w:tcBorders>
              <w:top w:val="single" w:sz="4" w:space="0" w:color="auto"/>
              <w:left w:val="nil"/>
              <w:bottom w:val="single" w:sz="4" w:space="0" w:color="auto"/>
              <w:right w:val="single" w:sz="4" w:space="0" w:color="auto"/>
            </w:tcBorders>
          </w:tcPr>
          <w:p w14:paraId="5C533172"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No</w:t>
            </w:r>
          </w:p>
        </w:tc>
        <w:tc>
          <w:tcPr>
            <w:tcW w:w="2701" w:type="dxa"/>
            <w:tcBorders>
              <w:top w:val="single" w:sz="4" w:space="0" w:color="auto"/>
              <w:left w:val="nil"/>
              <w:bottom w:val="single" w:sz="4" w:space="0" w:color="auto"/>
              <w:right w:val="single" w:sz="4" w:space="0" w:color="auto"/>
            </w:tcBorders>
          </w:tcPr>
          <w:p w14:paraId="7E9CC94A"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High</w:t>
            </w:r>
          </w:p>
        </w:tc>
      </w:tr>
      <w:tr w:rsidR="002D7080" w:rsidRPr="00592486" w14:paraId="596572E6" w14:textId="77777777" w:rsidTr="002E2C37">
        <w:trPr>
          <w:cantSplit/>
          <w:trHeight w:val="70"/>
        </w:trPr>
        <w:tc>
          <w:tcPr>
            <w:tcW w:w="375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33B51E3"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The </w:t>
            </w:r>
            <w:r w:rsidRPr="00233C97">
              <w:rPr>
                <w:rFonts w:ascii="Times New Roman" w:eastAsia="Times New Roman" w:hAnsi="Times New Roman" w:cs="Times New Roman"/>
                <w:i/>
                <w:sz w:val="20"/>
                <w:szCs w:val="20"/>
                <w:lang w:eastAsia="en-ZA"/>
              </w:rPr>
              <w:t>Taxon</w:t>
            </w:r>
            <w:r w:rsidRPr="00233C97">
              <w:rPr>
                <w:rFonts w:ascii="Times New Roman" w:eastAsia="Times New Roman" w:hAnsi="Times New Roman" w:cs="Times New Roman"/>
                <w:sz w:val="20"/>
                <w:szCs w:val="20"/>
                <w:lang w:eastAsia="en-ZA"/>
              </w:rPr>
              <w:t xml:space="preserve"> is alien in (part of) the </w:t>
            </w:r>
            <w:r w:rsidRPr="00233C97">
              <w:rPr>
                <w:rFonts w:ascii="Times New Roman" w:eastAsia="Times New Roman" w:hAnsi="Times New Roman" w:cs="Times New Roman"/>
                <w:i/>
                <w:sz w:val="20"/>
                <w:szCs w:val="20"/>
                <w:lang w:eastAsia="en-ZA"/>
              </w:rPr>
              <w:t>Area</w:t>
            </w:r>
            <w:r w:rsidRPr="00233C97">
              <w:rPr>
                <w:rFonts w:ascii="Times New Roman" w:eastAsia="Times New Roman" w:hAnsi="Times New Roman" w:cs="Times New Roman"/>
                <w:sz w:val="20"/>
                <w:szCs w:val="20"/>
                <w:lang w:eastAsia="en-ZA"/>
              </w:rPr>
              <w:t>.</w:t>
            </w:r>
          </w:p>
        </w:tc>
        <w:tc>
          <w:tcPr>
            <w:tcW w:w="2450" w:type="dxa"/>
            <w:tcBorders>
              <w:top w:val="single" w:sz="4" w:space="0" w:color="auto"/>
              <w:left w:val="nil"/>
              <w:bottom w:val="single" w:sz="4" w:space="0" w:color="auto"/>
              <w:right w:val="single" w:sz="4" w:space="0" w:color="auto"/>
            </w:tcBorders>
          </w:tcPr>
          <w:p w14:paraId="35C13427"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 xml:space="preserve">Yes </w:t>
            </w:r>
          </w:p>
        </w:tc>
        <w:tc>
          <w:tcPr>
            <w:tcW w:w="2701" w:type="dxa"/>
            <w:tcBorders>
              <w:top w:val="single" w:sz="4" w:space="0" w:color="auto"/>
              <w:left w:val="nil"/>
              <w:bottom w:val="single" w:sz="4" w:space="0" w:color="auto"/>
              <w:right w:val="single" w:sz="4" w:space="0" w:color="auto"/>
            </w:tcBorders>
          </w:tcPr>
          <w:p w14:paraId="4FFA88F8"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High</w:t>
            </w:r>
          </w:p>
        </w:tc>
      </w:tr>
      <w:tr w:rsidR="002D7080" w:rsidRPr="00592486" w14:paraId="290B365C"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23F5D579" w14:textId="69B57536"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Comments: There are no native freshwater crayfish species native in South Africa </w:t>
            </w:r>
            <w:r w:rsidRPr="00233C97">
              <w:rPr>
                <w:rFonts w:ascii="Times New Roman" w:eastAsia="Times New Roman" w:hAnsi="Times New Roman" w:cs="Times New Roman"/>
                <w:sz w:val="20"/>
                <w:szCs w:val="20"/>
                <w:lang w:eastAsia="en-ZA"/>
              </w:rPr>
              <w:fldChar w:fldCharType="begin" w:fldLock="1"/>
            </w:r>
            <w:r w:rsidRPr="00233C97">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233C97">
              <w:rPr>
                <w:rFonts w:ascii="Times New Roman" w:eastAsia="Times New Roman" w:hAnsi="Times New Roman" w:cs="Times New Roman"/>
                <w:sz w:val="20"/>
                <w:szCs w:val="20"/>
                <w:lang w:eastAsia="en-ZA"/>
              </w:rPr>
              <w:fldChar w:fldCharType="separate"/>
            </w:r>
            <w:r w:rsidRPr="00233C97">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233C97">
              <w:rPr>
                <w:rFonts w:ascii="Times New Roman" w:eastAsia="Times New Roman" w:hAnsi="Times New Roman" w:cs="Times New Roman"/>
                <w:sz w:val="20"/>
                <w:szCs w:val="20"/>
                <w:lang w:eastAsia="en-ZA"/>
              </w:rPr>
              <w:t xml:space="preserve"> 2002; Nunes et al. 2017)</w:t>
            </w:r>
            <w:r w:rsidRPr="00233C97">
              <w:rPr>
                <w:rFonts w:ascii="Times New Roman" w:eastAsia="Times New Roman" w:hAnsi="Times New Roman" w:cs="Times New Roman"/>
                <w:sz w:val="20"/>
                <w:szCs w:val="20"/>
                <w:lang w:eastAsia="en-ZA"/>
              </w:rPr>
              <w:fldChar w:fldCharType="end"/>
            </w:r>
            <w:r w:rsidRPr="00233C97">
              <w:rPr>
                <w:rFonts w:ascii="Times New Roman" w:eastAsia="Times New Roman" w:hAnsi="Times New Roman" w:cs="Times New Roman"/>
                <w:sz w:val="20"/>
                <w:szCs w:val="20"/>
                <w:lang w:eastAsia="en-ZA"/>
              </w:rPr>
              <w:t xml:space="preserve">. </w:t>
            </w:r>
          </w:p>
        </w:tc>
      </w:tr>
      <w:tr w:rsidR="002D7080" w:rsidRPr="00592486" w14:paraId="0C2190F4"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2E313220"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305CD323" w14:textId="507EF6FC" w:rsidR="002D7080" w:rsidRPr="00233C97" w:rsidRDefault="008A0BC6" w:rsidP="006728DB">
            <w:pPr>
              <w:widowControl w:val="0"/>
              <w:autoSpaceDE w:val="0"/>
              <w:autoSpaceDN w:val="0"/>
              <w:adjustRightInd w:val="0"/>
              <w:ind w:left="720" w:hanging="720"/>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De Moor</w:t>
            </w:r>
            <w:r w:rsidR="002D7080" w:rsidRPr="00233C97">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233C97">
              <w:rPr>
                <w:rFonts w:ascii="Times New Roman" w:eastAsia="Times New Roman" w:hAnsi="Times New Roman" w:cs="Times New Roman"/>
                <w:i/>
                <w:color w:val="000000"/>
                <w:sz w:val="20"/>
                <w:szCs w:val="20"/>
                <w:lang w:eastAsia="en-ZA"/>
              </w:rPr>
              <w:t>African Journal of Aquatic Science</w:t>
            </w:r>
            <w:r w:rsidR="002D7080" w:rsidRPr="00233C97">
              <w:rPr>
                <w:rFonts w:ascii="Times New Roman" w:eastAsia="Times New Roman" w:hAnsi="Times New Roman" w:cs="Times New Roman"/>
                <w:color w:val="000000"/>
                <w:sz w:val="20"/>
                <w:szCs w:val="20"/>
                <w:lang w:eastAsia="en-ZA"/>
              </w:rPr>
              <w:t xml:space="preserve"> 27, 125–139. </w:t>
            </w:r>
            <w:hyperlink r:id="rId318" w:history="1">
              <w:r w:rsidR="00FE6D7A" w:rsidRPr="00D66918">
                <w:rPr>
                  <w:rStyle w:val="Hyperlink"/>
                  <w:rFonts w:ascii="Times New Roman" w:eastAsia="Times New Roman" w:hAnsi="Times New Roman" w:cs="Times New Roman"/>
                  <w:sz w:val="20"/>
                  <w:szCs w:val="20"/>
                  <w:lang w:eastAsia="en-ZA"/>
                </w:rPr>
                <w:t>https://doi.org/10.2989/16085914.2002.9626584</w:t>
              </w:r>
            </w:hyperlink>
            <w:r w:rsidR="00FE6D7A" w:rsidRPr="00D66918">
              <w:rPr>
                <w:rFonts w:ascii="Times New Roman" w:eastAsia="Times New Roman" w:hAnsi="Times New Roman" w:cs="Times New Roman"/>
                <w:color w:val="000000"/>
                <w:sz w:val="20"/>
                <w:szCs w:val="20"/>
                <w:lang w:eastAsia="en-ZA"/>
              </w:rPr>
              <w:t>.</w:t>
            </w:r>
            <w:r w:rsidR="00FE6D7A">
              <w:rPr>
                <w:rFonts w:ascii="Times New Roman" w:eastAsia="Times New Roman" w:hAnsi="Times New Roman" w:cs="Times New Roman"/>
                <w:color w:val="000000"/>
                <w:sz w:val="20"/>
                <w:szCs w:val="20"/>
                <w:lang w:eastAsia="en-ZA"/>
              </w:rPr>
              <w:t xml:space="preserve"> </w:t>
            </w:r>
          </w:p>
          <w:p w14:paraId="741CB390" w14:textId="09EFBE7B"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233C97">
              <w:rPr>
                <w:rFonts w:ascii="Times New Roman" w:eastAsia="Times New Roman" w:hAnsi="Times New Roman" w:cs="Times New Roman"/>
                <w:i/>
                <w:color w:val="000000"/>
                <w:sz w:val="20"/>
                <w:szCs w:val="20"/>
                <w:lang w:eastAsia="en-ZA"/>
              </w:rPr>
              <w:t>African Journal of Aquatic Science</w:t>
            </w:r>
            <w:r w:rsidRPr="00233C97">
              <w:rPr>
                <w:rFonts w:ascii="Times New Roman" w:eastAsia="Times New Roman" w:hAnsi="Times New Roman" w:cs="Times New Roman"/>
                <w:color w:val="000000"/>
                <w:sz w:val="20"/>
                <w:szCs w:val="20"/>
                <w:lang w:eastAsia="en-ZA"/>
              </w:rPr>
              <w:t xml:space="preserve"> 42, 309–323. </w:t>
            </w:r>
            <w:hyperlink r:id="rId319" w:history="1">
              <w:r w:rsidR="00FE6D7A" w:rsidRPr="00FE6D7A">
                <w:rPr>
                  <w:rStyle w:val="Hyperlink"/>
                  <w:rFonts w:ascii="Times New Roman" w:eastAsia="Times New Roman" w:hAnsi="Times New Roman" w:cs="Times New Roman"/>
                  <w:sz w:val="20"/>
                  <w:szCs w:val="20"/>
                  <w:lang w:eastAsia="en-ZA"/>
                </w:rPr>
                <w:t>https://doi.org/10.2989/16085914.2017.1405788</w:t>
              </w:r>
            </w:hyperlink>
            <w:r w:rsidRPr="00233C97">
              <w:rPr>
                <w:rFonts w:ascii="Times New Roman" w:eastAsia="Times New Roman" w:hAnsi="Times New Roman" w:cs="Times New Roman"/>
                <w:color w:val="000000"/>
                <w:sz w:val="20"/>
                <w:szCs w:val="20"/>
                <w:lang w:eastAsia="en-ZA"/>
              </w:rPr>
              <w:t>.</w:t>
            </w:r>
          </w:p>
        </w:tc>
      </w:tr>
      <w:tr w:rsidR="002D7080" w:rsidRPr="00592486" w14:paraId="0AC188AD" w14:textId="77777777" w:rsidTr="002E2C37">
        <w:trPr>
          <w:cantSplit/>
          <w:trHeight w:val="197"/>
        </w:trPr>
        <w:tc>
          <w:tcPr>
            <w:tcW w:w="89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EC29B02"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b/>
                <w:sz w:val="20"/>
                <w:szCs w:val="20"/>
                <w:lang w:eastAsia="en-ZA"/>
              </w:rPr>
              <w:t xml:space="preserve">BAC13 What is the </w:t>
            </w:r>
            <w:r w:rsidRPr="00233C97">
              <w:rPr>
                <w:rFonts w:ascii="Times New Roman" w:eastAsia="Times New Roman" w:hAnsi="Times New Roman" w:cs="Times New Roman"/>
                <w:b/>
                <w:i/>
                <w:sz w:val="20"/>
                <w:szCs w:val="20"/>
                <w:lang w:eastAsia="en-ZA"/>
              </w:rPr>
              <w:t>Taxon</w:t>
            </w:r>
            <w:r w:rsidRPr="00233C97">
              <w:rPr>
                <w:rFonts w:ascii="Times New Roman" w:eastAsia="Times New Roman" w:hAnsi="Times New Roman" w:cs="Times New Roman"/>
                <w:b/>
                <w:sz w:val="20"/>
                <w:szCs w:val="20"/>
                <w:lang w:eastAsia="en-ZA"/>
              </w:rPr>
              <w:t xml:space="preserve">’s introduction status in the </w:t>
            </w:r>
            <w:r w:rsidRPr="00233C97">
              <w:rPr>
                <w:rFonts w:ascii="Times New Roman" w:eastAsia="Times New Roman" w:hAnsi="Times New Roman" w:cs="Times New Roman"/>
                <w:b/>
                <w:i/>
                <w:sz w:val="20"/>
                <w:szCs w:val="20"/>
                <w:lang w:eastAsia="en-ZA"/>
              </w:rPr>
              <w:t>Area</w:t>
            </w:r>
            <w:r w:rsidRPr="00233C97">
              <w:rPr>
                <w:rFonts w:ascii="Times New Roman" w:eastAsia="Times New Roman" w:hAnsi="Times New Roman" w:cs="Times New Roman"/>
                <w:b/>
                <w:sz w:val="20"/>
                <w:szCs w:val="20"/>
                <w:lang w:eastAsia="en-ZA"/>
              </w:rPr>
              <w:t>?</w:t>
            </w:r>
          </w:p>
        </w:tc>
      </w:tr>
      <w:tr w:rsidR="002D7080" w:rsidRPr="00592486" w14:paraId="7201C8A6" w14:textId="77777777" w:rsidTr="002E2C37">
        <w:trPr>
          <w:cantSplit/>
          <w:trHeight w:val="90"/>
        </w:trPr>
        <w:tc>
          <w:tcPr>
            <w:tcW w:w="375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DA50C85"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The </w:t>
            </w:r>
            <w:r w:rsidRPr="00233C97">
              <w:rPr>
                <w:rFonts w:ascii="Times New Roman" w:eastAsia="Times New Roman" w:hAnsi="Times New Roman" w:cs="Times New Roman"/>
                <w:i/>
                <w:sz w:val="20"/>
                <w:szCs w:val="20"/>
                <w:lang w:eastAsia="en-ZA"/>
              </w:rPr>
              <w:t>Taxon</w:t>
            </w:r>
            <w:r w:rsidRPr="00233C97">
              <w:rPr>
                <w:rFonts w:ascii="Times New Roman" w:eastAsia="Times New Roman" w:hAnsi="Times New Roman" w:cs="Times New Roman"/>
                <w:sz w:val="20"/>
                <w:szCs w:val="20"/>
                <w:lang w:eastAsia="en-ZA"/>
              </w:rPr>
              <w:t xml:space="preserve"> is in cultivation/containment.</w:t>
            </w:r>
          </w:p>
        </w:tc>
        <w:tc>
          <w:tcPr>
            <w:tcW w:w="2450" w:type="dxa"/>
            <w:tcBorders>
              <w:top w:val="single" w:sz="4" w:space="0" w:color="auto"/>
              <w:left w:val="single" w:sz="4" w:space="0" w:color="auto"/>
              <w:bottom w:val="single" w:sz="4" w:space="0" w:color="auto"/>
              <w:right w:val="single" w:sz="4" w:space="0" w:color="auto"/>
            </w:tcBorders>
          </w:tcPr>
          <w:p w14:paraId="7FDE2294"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Don’t know</w:t>
            </w:r>
          </w:p>
        </w:tc>
        <w:tc>
          <w:tcPr>
            <w:tcW w:w="2701" w:type="dxa"/>
            <w:tcBorders>
              <w:top w:val="single" w:sz="4" w:space="0" w:color="auto"/>
              <w:left w:val="single" w:sz="4" w:space="0" w:color="auto"/>
              <w:bottom w:val="single" w:sz="4" w:space="0" w:color="auto"/>
              <w:right w:val="single" w:sz="4" w:space="0" w:color="auto"/>
            </w:tcBorders>
          </w:tcPr>
          <w:p w14:paraId="07E186EC"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Low</w:t>
            </w:r>
          </w:p>
        </w:tc>
      </w:tr>
      <w:tr w:rsidR="002D7080" w:rsidRPr="00592486" w14:paraId="3C9A2447" w14:textId="77777777" w:rsidTr="002E2C37">
        <w:trPr>
          <w:cantSplit/>
          <w:trHeight w:val="87"/>
        </w:trPr>
        <w:tc>
          <w:tcPr>
            <w:tcW w:w="375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97B7BFE"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The </w:t>
            </w:r>
            <w:r w:rsidRPr="00233C97">
              <w:rPr>
                <w:rFonts w:ascii="Times New Roman" w:eastAsia="Times New Roman" w:hAnsi="Times New Roman" w:cs="Times New Roman"/>
                <w:i/>
                <w:sz w:val="20"/>
                <w:szCs w:val="20"/>
                <w:lang w:eastAsia="en-ZA"/>
              </w:rPr>
              <w:t>Taxon</w:t>
            </w:r>
            <w:r w:rsidRPr="00233C97">
              <w:rPr>
                <w:rFonts w:ascii="Times New Roman" w:eastAsia="Times New Roman" w:hAnsi="Times New Roman" w:cs="Times New Roman"/>
                <w:sz w:val="20"/>
                <w:szCs w:val="20"/>
                <w:lang w:eastAsia="en-ZA"/>
              </w:rPr>
              <w:t xml:space="preserve"> is present outside of cultivation/containment.</w:t>
            </w:r>
          </w:p>
        </w:tc>
        <w:tc>
          <w:tcPr>
            <w:tcW w:w="2450" w:type="dxa"/>
            <w:tcBorders>
              <w:top w:val="single" w:sz="4" w:space="0" w:color="auto"/>
              <w:left w:val="single" w:sz="4" w:space="0" w:color="auto"/>
              <w:bottom w:val="single" w:sz="4" w:space="0" w:color="auto"/>
              <w:right w:val="single" w:sz="4" w:space="0" w:color="auto"/>
            </w:tcBorders>
          </w:tcPr>
          <w:p w14:paraId="2150AA7F"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No</w:t>
            </w:r>
            <w:r>
              <w:rPr>
                <w:rFonts w:ascii="Times New Roman" w:eastAsia="Times New Roman" w:hAnsi="Times New Roman" w:cs="Times New Roman"/>
                <w:color w:val="000000"/>
                <w:sz w:val="20"/>
                <w:szCs w:val="20"/>
                <w:lang w:eastAsia="en-ZA"/>
              </w:rPr>
              <w:t>ne</w:t>
            </w:r>
          </w:p>
        </w:tc>
        <w:tc>
          <w:tcPr>
            <w:tcW w:w="2701" w:type="dxa"/>
            <w:tcBorders>
              <w:top w:val="single" w:sz="4" w:space="0" w:color="auto"/>
              <w:left w:val="single" w:sz="4" w:space="0" w:color="auto"/>
              <w:bottom w:val="single" w:sz="4" w:space="0" w:color="auto"/>
              <w:right w:val="single" w:sz="4" w:space="0" w:color="auto"/>
            </w:tcBorders>
          </w:tcPr>
          <w:p w14:paraId="2EA9A134"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Low</w:t>
            </w:r>
          </w:p>
        </w:tc>
      </w:tr>
      <w:tr w:rsidR="002D7080" w:rsidRPr="00592486" w14:paraId="1BF8BB6A" w14:textId="77777777" w:rsidTr="002E2C37">
        <w:trPr>
          <w:cantSplit/>
          <w:trHeight w:val="87"/>
        </w:trPr>
        <w:tc>
          <w:tcPr>
            <w:tcW w:w="375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06E9036"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The </w:t>
            </w:r>
            <w:r w:rsidRPr="00233C97">
              <w:rPr>
                <w:rFonts w:ascii="Times New Roman" w:eastAsia="Times New Roman" w:hAnsi="Times New Roman" w:cs="Times New Roman"/>
                <w:i/>
                <w:sz w:val="20"/>
                <w:szCs w:val="20"/>
                <w:lang w:eastAsia="en-ZA"/>
              </w:rPr>
              <w:t>Taxon</w:t>
            </w:r>
            <w:r w:rsidRPr="00233C97">
              <w:rPr>
                <w:rFonts w:ascii="Times New Roman" w:eastAsia="Times New Roman" w:hAnsi="Times New Roman" w:cs="Times New Roman"/>
                <w:sz w:val="20"/>
                <w:szCs w:val="20"/>
                <w:lang w:eastAsia="en-ZA"/>
              </w:rPr>
              <w:t xml:space="preserve"> has established/naturalised.</w:t>
            </w:r>
          </w:p>
        </w:tc>
        <w:tc>
          <w:tcPr>
            <w:tcW w:w="2450" w:type="dxa"/>
            <w:tcBorders>
              <w:top w:val="single" w:sz="4" w:space="0" w:color="auto"/>
              <w:left w:val="single" w:sz="4" w:space="0" w:color="auto"/>
              <w:bottom w:val="single" w:sz="4" w:space="0" w:color="auto"/>
              <w:right w:val="single" w:sz="4" w:space="0" w:color="auto"/>
            </w:tcBorders>
          </w:tcPr>
          <w:p w14:paraId="2C9F27FB"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No</w:t>
            </w:r>
            <w:r>
              <w:rPr>
                <w:rFonts w:ascii="Times New Roman" w:eastAsia="Times New Roman" w:hAnsi="Times New Roman" w:cs="Times New Roman"/>
                <w:color w:val="000000"/>
                <w:sz w:val="20"/>
                <w:szCs w:val="20"/>
                <w:lang w:eastAsia="en-ZA"/>
              </w:rPr>
              <w:t>ne</w:t>
            </w:r>
          </w:p>
        </w:tc>
        <w:tc>
          <w:tcPr>
            <w:tcW w:w="2701" w:type="dxa"/>
            <w:tcBorders>
              <w:top w:val="single" w:sz="4" w:space="0" w:color="auto"/>
              <w:left w:val="single" w:sz="4" w:space="0" w:color="auto"/>
              <w:bottom w:val="single" w:sz="4" w:space="0" w:color="auto"/>
              <w:right w:val="single" w:sz="4" w:space="0" w:color="auto"/>
            </w:tcBorders>
          </w:tcPr>
          <w:p w14:paraId="70CDA325"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Low</w:t>
            </w:r>
          </w:p>
        </w:tc>
      </w:tr>
      <w:tr w:rsidR="002D7080" w:rsidRPr="00592486" w14:paraId="712CE399" w14:textId="77777777" w:rsidTr="002E2C37">
        <w:trPr>
          <w:cantSplit/>
          <w:trHeight w:val="87"/>
        </w:trPr>
        <w:tc>
          <w:tcPr>
            <w:tcW w:w="375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03AA235"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The </w:t>
            </w:r>
            <w:r w:rsidRPr="00233C97">
              <w:rPr>
                <w:rFonts w:ascii="Times New Roman" w:eastAsia="Times New Roman" w:hAnsi="Times New Roman" w:cs="Times New Roman"/>
                <w:i/>
                <w:sz w:val="20"/>
                <w:szCs w:val="20"/>
                <w:lang w:eastAsia="en-ZA"/>
              </w:rPr>
              <w:t>Taxon</w:t>
            </w:r>
            <w:r w:rsidRPr="00233C97">
              <w:rPr>
                <w:rFonts w:ascii="Times New Roman" w:eastAsia="Times New Roman" w:hAnsi="Times New Roman" w:cs="Times New Roman"/>
                <w:sz w:val="20"/>
                <w:szCs w:val="20"/>
                <w:lang w:eastAsia="en-ZA"/>
              </w:rPr>
              <w:t xml:space="preserve"> is invasive.</w:t>
            </w:r>
          </w:p>
        </w:tc>
        <w:tc>
          <w:tcPr>
            <w:tcW w:w="2450" w:type="dxa"/>
            <w:tcBorders>
              <w:top w:val="single" w:sz="4" w:space="0" w:color="auto"/>
              <w:left w:val="single" w:sz="4" w:space="0" w:color="auto"/>
              <w:bottom w:val="single" w:sz="4" w:space="0" w:color="auto"/>
              <w:right w:val="single" w:sz="4" w:space="0" w:color="auto"/>
            </w:tcBorders>
          </w:tcPr>
          <w:p w14:paraId="546D96C8"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No</w:t>
            </w:r>
            <w:r>
              <w:rPr>
                <w:rFonts w:ascii="Times New Roman" w:eastAsia="Times New Roman" w:hAnsi="Times New Roman" w:cs="Times New Roman"/>
                <w:color w:val="000000"/>
                <w:sz w:val="20"/>
                <w:szCs w:val="20"/>
                <w:lang w:eastAsia="en-ZA"/>
              </w:rPr>
              <w:t>ne</w:t>
            </w:r>
            <w:r w:rsidRPr="00233C97">
              <w:rPr>
                <w:rFonts w:ascii="Times New Roman" w:eastAsia="Times New Roman" w:hAnsi="Times New Roman" w:cs="Times New Roman"/>
                <w:color w:val="000000"/>
                <w:sz w:val="20"/>
                <w:szCs w:val="20"/>
                <w:lang w:eastAsia="en-ZA"/>
              </w:rPr>
              <w:t xml:space="preserve"> </w:t>
            </w:r>
          </w:p>
        </w:tc>
        <w:tc>
          <w:tcPr>
            <w:tcW w:w="2701" w:type="dxa"/>
            <w:tcBorders>
              <w:top w:val="single" w:sz="4" w:space="0" w:color="auto"/>
              <w:left w:val="single" w:sz="4" w:space="0" w:color="auto"/>
              <w:bottom w:val="single" w:sz="4" w:space="0" w:color="auto"/>
              <w:right w:val="single" w:sz="4" w:space="0" w:color="auto"/>
            </w:tcBorders>
          </w:tcPr>
          <w:p w14:paraId="0B3E5418"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Low</w:t>
            </w:r>
          </w:p>
        </w:tc>
      </w:tr>
      <w:tr w:rsidR="002D7080" w:rsidRPr="00592486" w14:paraId="28440FE4"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62245E57" w14:textId="7947D490"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Comments: There are no records of </w:t>
            </w:r>
            <w:r w:rsidRPr="00233C97">
              <w:rPr>
                <w:rFonts w:ascii="Times New Roman" w:eastAsia="Times New Roman" w:hAnsi="Times New Roman" w:cs="Times New Roman"/>
                <w:i/>
                <w:sz w:val="20"/>
                <w:szCs w:val="20"/>
                <w:lang w:eastAsia="en-ZA"/>
              </w:rPr>
              <w:t xml:space="preserve">F. rusticus </w:t>
            </w:r>
            <w:r w:rsidRPr="00233C97">
              <w:rPr>
                <w:rFonts w:ascii="Times New Roman" w:eastAsia="Times New Roman" w:hAnsi="Times New Roman" w:cs="Times New Roman"/>
                <w:sz w:val="20"/>
                <w:szCs w:val="20"/>
                <w:lang w:eastAsia="en-ZA"/>
              </w:rPr>
              <w:t xml:space="preserve">being present in South Africa. It is present in the pet trade in Germany and the USA , and could likely be traded in South Africa but this needs to be assessed </w:t>
            </w:r>
            <w:r w:rsidRPr="00233C97">
              <w:rPr>
                <w:rFonts w:ascii="Times New Roman" w:eastAsia="Times New Roman" w:hAnsi="Times New Roman" w:cs="Times New Roman"/>
                <w:i/>
                <w:sz w:val="20"/>
                <w:szCs w:val="20"/>
                <w:lang w:eastAsia="en-ZA"/>
              </w:rPr>
              <w:t xml:space="preserve"> </w:t>
            </w:r>
            <w:r w:rsidRPr="00233C97">
              <w:rPr>
                <w:rFonts w:ascii="Times New Roman" w:eastAsia="Times New Roman" w:hAnsi="Times New Roman" w:cs="Times New Roman"/>
                <w:i/>
                <w:sz w:val="20"/>
                <w:szCs w:val="20"/>
                <w:lang w:eastAsia="en-ZA"/>
              </w:rPr>
              <w:fldChar w:fldCharType="begin" w:fldLock="1"/>
            </w:r>
            <w:r w:rsidRPr="00233C97">
              <w:rPr>
                <w:rFonts w:ascii="Times New Roman" w:eastAsia="Times New Roman" w:hAnsi="Times New Roman" w:cs="Times New Roman"/>
                <w:i/>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233C97">
              <w:rPr>
                <w:rFonts w:ascii="Times New Roman" w:eastAsia="Times New Roman" w:hAnsi="Times New Roman" w:cs="Times New Roman"/>
                <w:i/>
                <w:sz w:val="20"/>
                <w:szCs w:val="20"/>
                <w:lang w:eastAsia="en-ZA"/>
              </w:rPr>
              <w:fldChar w:fldCharType="separate"/>
            </w:r>
            <w:r w:rsidRPr="00233C97">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233C97">
              <w:rPr>
                <w:rFonts w:ascii="Times New Roman" w:eastAsia="Times New Roman" w:hAnsi="Times New Roman" w:cs="Times New Roman"/>
                <w:sz w:val="20"/>
                <w:szCs w:val="20"/>
                <w:lang w:eastAsia="en-ZA"/>
              </w:rPr>
              <w:t xml:space="preserve"> 2002; Nunes et al. 2017)</w:t>
            </w:r>
            <w:r w:rsidRPr="00233C97">
              <w:rPr>
                <w:rFonts w:ascii="Times New Roman" w:eastAsia="Times New Roman" w:hAnsi="Times New Roman" w:cs="Times New Roman"/>
                <w:sz w:val="20"/>
                <w:szCs w:val="20"/>
                <w:lang w:eastAsia="en-ZA"/>
              </w:rPr>
              <w:fldChar w:fldCharType="end"/>
            </w:r>
            <w:r w:rsidRPr="00233C97">
              <w:rPr>
                <w:rFonts w:ascii="Times New Roman" w:eastAsia="Times New Roman" w:hAnsi="Times New Roman" w:cs="Times New Roman"/>
                <w:sz w:val="20"/>
                <w:szCs w:val="20"/>
                <w:lang w:eastAsia="en-ZA"/>
              </w:rPr>
              <w:t>.</w:t>
            </w:r>
          </w:p>
        </w:tc>
      </w:tr>
      <w:tr w:rsidR="002D7080" w:rsidRPr="00592486" w14:paraId="30F53CA7"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562260F6"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695B93E9" w14:textId="071E7FDB" w:rsidR="00FE6D7A" w:rsidRPr="00FE6D7A" w:rsidRDefault="008A0BC6" w:rsidP="006728DB">
            <w:pPr>
              <w:widowControl w:val="0"/>
              <w:autoSpaceDE w:val="0"/>
              <w:autoSpaceDN w:val="0"/>
              <w:adjustRightInd w:val="0"/>
              <w:ind w:left="720" w:hanging="720"/>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De Moor</w:t>
            </w:r>
            <w:r w:rsidR="00FE6D7A" w:rsidRPr="00FE6D7A">
              <w:rPr>
                <w:rFonts w:ascii="Times New Roman" w:eastAsia="Times New Roman" w:hAnsi="Times New Roman" w:cs="Times New Roman"/>
                <w:color w:val="000000"/>
                <w:sz w:val="20"/>
                <w:szCs w:val="20"/>
                <w:lang w:eastAsia="en-ZA"/>
              </w:rPr>
              <w:t xml:space="preserve">, I., 2002, ‘Potential impacts of alien freshwater crayfish in South Africa’, </w:t>
            </w:r>
            <w:r w:rsidR="00FE6D7A" w:rsidRPr="00FE6D7A">
              <w:rPr>
                <w:rFonts w:ascii="Times New Roman" w:eastAsia="Times New Roman" w:hAnsi="Times New Roman" w:cs="Times New Roman"/>
                <w:i/>
                <w:color w:val="000000"/>
                <w:sz w:val="20"/>
                <w:szCs w:val="20"/>
                <w:lang w:eastAsia="en-ZA"/>
              </w:rPr>
              <w:t>African Journal of Aquatic Science</w:t>
            </w:r>
            <w:r w:rsidR="00FE6D7A" w:rsidRPr="00FE6D7A">
              <w:rPr>
                <w:rFonts w:ascii="Times New Roman" w:eastAsia="Times New Roman" w:hAnsi="Times New Roman" w:cs="Times New Roman"/>
                <w:color w:val="000000"/>
                <w:sz w:val="20"/>
                <w:szCs w:val="20"/>
                <w:lang w:eastAsia="en-ZA"/>
              </w:rPr>
              <w:t xml:space="preserve"> 27, 125–139. </w:t>
            </w:r>
            <w:hyperlink r:id="rId320" w:history="1">
              <w:r w:rsidR="00FE6D7A" w:rsidRPr="00FE6D7A">
                <w:rPr>
                  <w:rStyle w:val="Hyperlink"/>
                  <w:rFonts w:ascii="Times New Roman" w:eastAsia="Times New Roman" w:hAnsi="Times New Roman" w:cs="Times New Roman"/>
                  <w:sz w:val="20"/>
                  <w:szCs w:val="20"/>
                  <w:lang w:eastAsia="en-ZA"/>
                </w:rPr>
                <w:t>https://doi.org/10.2989/16085914.2002.9626584</w:t>
              </w:r>
            </w:hyperlink>
            <w:r w:rsidR="00FE6D7A" w:rsidRPr="00FE6D7A">
              <w:rPr>
                <w:rFonts w:ascii="Times New Roman" w:eastAsia="Times New Roman" w:hAnsi="Times New Roman" w:cs="Times New Roman"/>
                <w:color w:val="000000"/>
                <w:sz w:val="20"/>
                <w:szCs w:val="20"/>
                <w:lang w:eastAsia="en-ZA"/>
              </w:rPr>
              <w:t>.</w:t>
            </w:r>
          </w:p>
          <w:p w14:paraId="037B6C45" w14:textId="23E86541" w:rsidR="002D7080" w:rsidRPr="00233C97" w:rsidRDefault="00FE6D7A" w:rsidP="006728DB">
            <w:pPr>
              <w:spacing w:after="0"/>
              <w:ind w:left="720" w:hanging="720"/>
              <w:jc w:val="both"/>
              <w:rPr>
                <w:rFonts w:ascii="Times New Roman" w:eastAsia="Times New Roman" w:hAnsi="Times New Roman" w:cs="Times New Roman"/>
                <w:sz w:val="20"/>
                <w:szCs w:val="20"/>
                <w:lang w:eastAsia="en-ZA"/>
              </w:rPr>
            </w:pPr>
            <w:r w:rsidRPr="00FE6D7A">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FE6D7A">
              <w:rPr>
                <w:rFonts w:ascii="Times New Roman" w:eastAsia="Times New Roman" w:hAnsi="Times New Roman" w:cs="Times New Roman"/>
                <w:i/>
                <w:color w:val="000000"/>
                <w:sz w:val="20"/>
                <w:szCs w:val="20"/>
                <w:lang w:eastAsia="en-ZA"/>
              </w:rPr>
              <w:t>African Journal of Aquatic Science</w:t>
            </w:r>
            <w:r w:rsidRPr="00FE6D7A">
              <w:rPr>
                <w:rFonts w:ascii="Times New Roman" w:eastAsia="Times New Roman" w:hAnsi="Times New Roman" w:cs="Times New Roman"/>
                <w:color w:val="000000"/>
                <w:sz w:val="20"/>
                <w:szCs w:val="20"/>
                <w:lang w:eastAsia="en-ZA"/>
              </w:rPr>
              <w:t xml:space="preserve"> 42, 309–323. </w:t>
            </w:r>
            <w:hyperlink r:id="rId321" w:history="1">
              <w:r w:rsidRPr="00FE6D7A">
                <w:rPr>
                  <w:rStyle w:val="Hyperlink"/>
                  <w:rFonts w:ascii="Times New Roman" w:eastAsia="Times New Roman" w:hAnsi="Times New Roman" w:cs="Times New Roman"/>
                  <w:sz w:val="20"/>
                  <w:szCs w:val="20"/>
                  <w:lang w:eastAsia="en-ZA"/>
                </w:rPr>
                <w:t>https://doi.org/10.2989/16085914.2017.1405788</w:t>
              </w:r>
            </w:hyperlink>
            <w:r w:rsidR="002D7080" w:rsidRPr="00233C97">
              <w:rPr>
                <w:rFonts w:ascii="Times New Roman" w:eastAsia="Times New Roman" w:hAnsi="Times New Roman" w:cs="Times New Roman"/>
                <w:color w:val="000000"/>
                <w:sz w:val="20"/>
                <w:szCs w:val="20"/>
                <w:lang w:eastAsia="en-ZA"/>
              </w:rPr>
              <w:t>.</w:t>
            </w:r>
          </w:p>
        </w:tc>
      </w:tr>
      <w:tr w:rsidR="002D7080" w:rsidRPr="00592486" w14:paraId="57E3F571" w14:textId="77777777" w:rsidTr="002E2C37">
        <w:trPr>
          <w:cantSplit/>
          <w:trHeight w:val="224"/>
        </w:trPr>
        <w:tc>
          <w:tcPr>
            <w:tcW w:w="8908"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B24A53D" w14:textId="77777777" w:rsidR="002D7080" w:rsidRPr="00233C97" w:rsidRDefault="002D7080" w:rsidP="002E2C37">
            <w:pPr>
              <w:spacing w:after="0" w:line="240" w:lineRule="auto"/>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BAC14 Primary (introduction) pathways</w:t>
            </w:r>
          </w:p>
        </w:tc>
      </w:tr>
      <w:tr w:rsidR="002D7080" w:rsidRPr="00592486" w14:paraId="309BC795" w14:textId="77777777" w:rsidTr="002E2C37">
        <w:trPr>
          <w:cantSplit/>
          <w:trHeight w:val="61"/>
        </w:trPr>
        <w:tc>
          <w:tcPr>
            <w:tcW w:w="234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F4BD98C"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Release</w:t>
            </w:r>
          </w:p>
        </w:tc>
        <w:tc>
          <w:tcPr>
            <w:tcW w:w="3867" w:type="dxa"/>
            <w:gridSpan w:val="2"/>
            <w:tcBorders>
              <w:top w:val="single" w:sz="4" w:space="0" w:color="auto"/>
              <w:left w:val="single" w:sz="4" w:space="0" w:color="auto"/>
              <w:bottom w:val="single" w:sz="4" w:space="0" w:color="auto"/>
              <w:right w:val="single" w:sz="4" w:space="0" w:color="auto"/>
            </w:tcBorders>
          </w:tcPr>
          <w:p w14:paraId="7BE5C678"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None</w:t>
            </w:r>
          </w:p>
        </w:tc>
        <w:tc>
          <w:tcPr>
            <w:tcW w:w="2701" w:type="dxa"/>
            <w:tcBorders>
              <w:top w:val="single" w:sz="4" w:space="0" w:color="auto"/>
              <w:left w:val="single" w:sz="4" w:space="0" w:color="auto"/>
              <w:bottom w:val="single" w:sz="4" w:space="0" w:color="auto"/>
              <w:right w:val="single" w:sz="4" w:space="0" w:color="auto"/>
            </w:tcBorders>
          </w:tcPr>
          <w:p w14:paraId="38FBD80A"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Medium</w:t>
            </w:r>
          </w:p>
        </w:tc>
      </w:tr>
      <w:tr w:rsidR="002D7080" w:rsidRPr="00592486" w14:paraId="5982F4C6" w14:textId="77777777" w:rsidTr="002E2C37">
        <w:trPr>
          <w:cantSplit/>
          <w:trHeight w:val="58"/>
        </w:trPr>
        <w:tc>
          <w:tcPr>
            <w:tcW w:w="234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34471B3"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Escape</w:t>
            </w:r>
          </w:p>
        </w:tc>
        <w:tc>
          <w:tcPr>
            <w:tcW w:w="3867" w:type="dxa"/>
            <w:gridSpan w:val="2"/>
            <w:tcBorders>
              <w:top w:val="single" w:sz="4" w:space="0" w:color="auto"/>
              <w:left w:val="single" w:sz="4" w:space="0" w:color="auto"/>
              <w:bottom w:val="single" w:sz="4" w:space="0" w:color="auto"/>
              <w:right w:val="single" w:sz="4" w:space="0" w:color="auto"/>
            </w:tcBorders>
          </w:tcPr>
          <w:p w14:paraId="53CAC04F"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Pet/aquarium/terrarium species (including live food for such species)</w:t>
            </w:r>
          </w:p>
        </w:tc>
        <w:tc>
          <w:tcPr>
            <w:tcW w:w="2701" w:type="dxa"/>
            <w:tcBorders>
              <w:top w:val="single" w:sz="4" w:space="0" w:color="auto"/>
              <w:left w:val="single" w:sz="4" w:space="0" w:color="auto"/>
              <w:bottom w:val="single" w:sz="4" w:space="0" w:color="auto"/>
              <w:right w:val="single" w:sz="4" w:space="0" w:color="auto"/>
            </w:tcBorders>
          </w:tcPr>
          <w:p w14:paraId="24408033"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Medium</w:t>
            </w:r>
          </w:p>
        </w:tc>
      </w:tr>
      <w:tr w:rsidR="002D7080" w:rsidRPr="00592486" w14:paraId="62F21C35" w14:textId="77777777" w:rsidTr="002E2C37">
        <w:trPr>
          <w:cantSplit/>
          <w:trHeight w:val="58"/>
        </w:trPr>
        <w:tc>
          <w:tcPr>
            <w:tcW w:w="234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FF53E61"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Contaminant</w:t>
            </w:r>
          </w:p>
        </w:tc>
        <w:tc>
          <w:tcPr>
            <w:tcW w:w="3867" w:type="dxa"/>
            <w:gridSpan w:val="2"/>
            <w:tcBorders>
              <w:top w:val="single" w:sz="4" w:space="0" w:color="auto"/>
              <w:left w:val="single" w:sz="4" w:space="0" w:color="auto"/>
              <w:bottom w:val="single" w:sz="4" w:space="0" w:color="auto"/>
              <w:right w:val="single" w:sz="4" w:space="0" w:color="auto"/>
            </w:tcBorders>
          </w:tcPr>
          <w:p w14:paraId="4E66B8AC"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 xml:space="preserve">Live food and live bait </w:t>
            </w:r>
          </w:p>
        </w:tc>
        <w:tc>
          <w:tcPr>
            <w:tcW w:w="2701" w:type="dxa"/>
            <w:tcBorders>
              <w:top w:val="single" w:sz="4" w:space="0" w:color="auto"/>
              <w:left w:val="single" w:sz="4" w:space="0" w:color="auto"/>
              <w:bottom w:val="single" w:sz="4" w:space="0" w:color="auto"/>
              <w:right w:val="single" w:sz="4" w:space="0" w:color="auto"/>
            </w:tcBorders>
          </w:tcPr>
          <w:p w14:paraId="55C7897B"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Medium</w:t>
            </w:r>
          </w:p>
        </w:tc>
      </w:tr>
      <w:tr w:rsidR="002D7080" w:rsidRPr="00592486" w14:paraId="624A074A" w14:textId="77777777" w:rsidTr="002E2C37">
        <w:trPr>
          <w:cantSplit/>
          <w:trHeight w:val="58"/>
        </w:trPr>
        <w:tc>
          <w:tcPr>
            <w:tcW w:w="234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D310600"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Stowaway</w:t>
            </w:r>
          </w:p>
        </w:tc>
        <w:tc>
          <w:tcPr>
            <w:tcW w:w="3867" w:type="dxa"/>
            <w:gridSpan w:val="2"/>
            <w:tcBorders>
              <w:top w:val="single" w:sz="4" w:space="0" w:color="auto"/>
              <w:left w:val="single" w:sz="4" w:space="0" w:color="auto"/>
              <w:bottom w:val="single" w:sz="4" w:space="0" w:color="auto"/>
              <w:right w:val="single" w:sz="4" w:space="0" w:color="auto"/>
            </w:tcBorders>
          </w:tcPr>
          <w:p w14:paraId="5CC02BA7"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None</w:t>
            </w:r>
          </w:p>
        </w:tc>
        <w:tc>
          <w:tcPr>
            <w:tcW w:w="2701" w:type="dxa"/>
            <w:tcBorders>
              <w:top w:val="single" w:sz="4" w:space="0" w:color="auto"/>
              <w:left w:val="single" w:sz="4" w:space="0" w:color="auto"/>
              <w:bottom w:val="single" w:sz="4" w:space="0" w:color="auto"/>
              <w:right w:val="single" w:sz="4" w:space="0" w:color="auto"/>
            </w:tcBorders>
          </w:tcPr>
          <w:p w14:paraId="53579709"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Confidence: </w:t>
            </w:r>
            <w:r>
              <w:rPr>
                <w:rFonts w:ascii="Times New Roman" w:eastAsia="Times New Roman" w:hAnsi="Times New Roman" w:cs="Times New Roman"/>
                <w:sz w:val="20"/>
                <w:szCs w:val="20"/>
                <w:lang w:eastAsia="en-ZA"/>
              </w:rPr>
              <w:t>Low</w:t>
            </w:r>
          </w:p>
        </w:tc>
      </w:tr>
      <w:tr w:rsidR="002D7080" w:rsidRPr="00592486" w14:paraId="40CA88FB" w14:textId="77777777" w:rsidTr="002E2C37">
        <w:trPr>
          <w:cantSplit/>
          <w:trHeight w:val="58"/>
        </w:trPr>
        <w:tc>
          <w:tcPr>
            <w:tcW w:w="234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D06859D"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Corridor</w:t>
            </w:r>
          </w:p>
        </w:tc>
        <w:tc>
          <w:tcPr>
            <w:tcW w:w="3867" w:type="dxa"/>
            <w:gridSpan w:val="2"/>
            <w:tcBorders>
              <w:top w:val="single" w:sz="4" w:space="0" w:color="auto"/>
              <w:left w:val="single" w:sz="4" w:space="0" w:color="auto"/>
              <w:bottom w:val="single" w:sz="4" w:space="0" w:color="auto"/>
              <w:right w:val="single" w:sz="4" w:space="0" w:color="auto"/>
            </w:tcBorders>
          </w:tcPr>
          <w:p w14:paraId="0E40A8D0"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None</w:t>
            </w:r>
          </w:p>
        </w:tc>
        <w:tc>
          <w:tcPr>
            <w:tcW w:w="2701" w:type="dxa"/>
            <w:tcBorders>
              <w:top w:val="single" w:sz="4" w:space="0" w:color="auto"/>
              <w:left w:val="single" w:sz="4" w:space="0" w:color="auto"/>
              <w:bottom w:val="single" w:sz="4" w:space="0" w:color="auto"/>
              <w:right w:val="single" w:sz="4" w:space="0" w:color="auto"/>
            </w:tcBorders>
          </w:tcPr>
          <w:p w14:paraId="6198DFB2"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Confidence: </w:t>
            </w:r>
            <w:r>
              <w:rPr>
                <w:rFonts w:ascii="Times New Roman" w:eastAsia="Times New Roman" w:hAnsi="Times New Roman" w:cs="Times New Roman"/>
                <w:sz w:val="20"/>
                <w:szCs w:val="20"/>
                <w:lang w:eastAsia="en-ZA"/>
              </w:rPr>
              <w:t>Low</w:t>
            </w:r>
          </w:p>
        </w:tc>
      </w:tr>
      <w:tr w:rsidR="002D7080" w:rsidRPr="00592486" w14:paraId="5D3B946E" w14:textId="77777777" w:rsidTr="002E2C37">
        <w:trPr>
          <w:cantSplit/>
          <w:trHeight w:val="58"/>
        </w:trPr>
        <w:tc>
          <w:tcPr>
            <w:tcW w:w="234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4F5CC71"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Unaided</w:t>
            </w:r>
          </w:p>
        </w:tc>
        <w:tc>
          <w:tcPr>
            <w:tcW w:w="3867" w:type="dxa"/>
            <w:gridSpan w:val="2"/>
            <w:tcBorders>
              <w:top w:val="single" w:sz="4" w:space="0" w:color="auto"/>
              <w:left w:val="single" w:sz="4" w:space="0" w:color="auto"/>
              <w:bottom w:val="single" w:sz="4" w:space="0" w:color="auto"/>
              <w:right w:val="single" w:sz="4" w:space="0" w:color="auto"/>
            </w:tcBorders>
          </w:tcPr>
          <w:p w14:paraId="54B0DAEC"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None</w:t>
            </w:r>
          </w:p>
        </w:tc>
        <w:tc>
          <w:tcPr>
            <w:tcW w:w="2701" w:type="dxa"/>
            <w:tcBorders>
              <w:top w:val="single" w:sz="4" w:space="0" w:color="auto"/>
              <w:left w:val="single" w:sz="4" w:space="0" w:color="auto"/>
              <w:bottom w:val="single" w:sz="4" w:space="0" w:color="auto"/>
              <w:right w:val="single" w:sz="4" w:space="0" w:color="auto"/>
            </w:tcBorders>
          </w:tcPr>
          <w:p w14:paraId="1FCB81B4" w14:textId="77777777" w:rsidR="002D7080" w:rsidRPr="00233C97" w:rsidRDefault="002D7080" w:rsidP="002E2C37">
            <w:pPr>
              <w:spacing w:after="0" w:line="240" w:lineRule="auto"/>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Confidence: </w:t>
            </w:r>
            <w:r>
              <w:rPr>
                <w:rFonts w:ascii="Times New Roman" w:eastAsia="Times New Roman" w:hAnsi="Times New Roman" w:cs="Times New Roman"/>
                <w:sz w:val="20"/>
                <w:szCs w:val="20"/>
                <w:lang w:eastAsia="en-ZA"/>
              </w:rPr>
              <w:t>Low</w:t>
            </w:r>
          </w:p>
        </w:tc>
      </w:tr>
      <w:tr w:rsidR="002D7080" w:rsidRPr="00592486" w14:paraId="6DC704C2"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51BA2916" w14:textId="77777777" w:rsidR="002D7080" w:rsidRPr="00233C97" w:rsidRDefault="002D7080" w:rsidP="006728DB">
            <w:pPr>
              <w:spacing w:after="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Comments: </w:t>
            </w:r>
            <w:r w:rsidRPr="00233C97">
              <w:rPr>
                <w:rFonts w:ascii="Times New Roman" w:eastAsia="Times New Roman" w:hAnsi="Times New Roman" w:cs="Times New Roman"/>
                <w:i/>
                <w:iCs/>
                <w:sz w:val="20"/>
                <w:szCs w:val="20"/>
                <w:lang w:eastAsia="en-ZA"/>
              </w:rPr>
              <w:t xml:space="preserve">Faxonius rusticus </w:t>
            </w:r>
            <w:r w:rsidRPr="00233C97">
              <w:rPr>
                <w:rFonts w:ascii="Times New Roman" w:eastAsia="Times New Roman" w:hAnsi="Times New Roman" w:cs="Times New Roman"/>
                <w:sz w:val="20"/>
                <w:szCs w:val="20"/>
                <w:lang w:eastAsia="en-ZA"/>
              </w:rPr>
              <w:t xml:space="preserve">is known to be present in the pet trade industry in Germany and the USA </w:t>
            </w:r>
            <w:r w:rsidRPr="00233C97">
              <w:rPr>
                <w:rFonts w:ascii="Times New Roman" w:eastAsia="Times New Roman" w:hAnsi="Times New Roman" w:cs="Times New Roman"/>
                <w:sz w:val="20"/>
                <w:szCs w:val="20"/>
                <w:lang w:eastAsia="en-ZA"/>
              </w:rPr>
              <w:fldChar w:fldCharType="begin" w:fldLock="1"/>
            </w:r>
            <w:r w:rsidRPr="00233C97">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"id" : "ITEM-2", "itemData" : { "DOI" : "10.1007/s10530-012-0273-2", "author" : [ { "dropping-particle" : "", "family" : "Chucholl", "given" : "Christoph", "non-dropping-particle" : "", "parse-names" : false, "suffix" : "" } ], "id" : "ITEM-2", "issued" : { "date-parts" : [ [ "2013" ] ] }, "page" : "125-141", "title" : "Invaders for sale : trade and determinants of introduction of ornamental freshwater crayfish", "type" : "article-journal" }, "uris" : [ "http://www.mendeley.com/documents/?uuid=a0511d26-a75d-4f96-93d3-d105f06fe13f" ] } ], "mendeley" : { "formattedCitation" : "(Chucholl 2013, Faulkes 2015)", "plainTextFormattedCitation" : "(Chucholl 2013, Faulkes 2015)" }, "properties" : { "noteIndex" : 0 }, "schema" : "https://github.com/citation-style-language/schema/raw/master/csl-citation.json" }</w:instrText>
            </w:r>
            <w:r w:rsidRPr="00233C97">
              <w:rPr>
                <w:rFonts w:ascii="Times New Roman" w:eastAsia="Times New Roman" w:hAnsi="Times New Roman" w:cs="Times New Roman"/>
                <w:sz w:val="20"/>
                <w:szCs w:val="20"/>
                <w:lang w:eastAsia="en-ZA"/>
              </w:rPr>
              <w:fldChar w:fldCharType="separate"/>
            </w:r>
            <w:r w:rsidRPr="00233C97">
              <w:rPr>
                <w:rFonts w:ascii="Times New Roman" w:eastAsia="Times New Roman" w:hAnsi="Times New Roman" w:cs="Times New Roman"/>
                <w:sz w:val="20"/>
                <w:szCs w:val="20"/>
                <w:lang w:eastAsia="en-ZA"/>
              </w:rPr>
              <w:t>(Chucholl 2013; Faulkes 2015)</w:t>
            </w:r>
            <w:r w:rsidRPr="00233C97">
              <w:rPr>
                <w:rFonts w:ascii="Times New Roman" w:eastAsia="Times New Roman" w:hAnsi="Times New Roman" w:cs="Times New Roman"/>
                <w:sz w:val="20"/>
                <w:szCs w:val="20"/>
                <w:lang w:eastAsia="en-ZA"/>
              </w:rPr>
              <w:fldChar w:fldCharType="end"/>
            </w:r>
            <w:r w:rsidRPr="00233C97">
              <w:rPr>
                <w:rFonts w:ascii="Times New Roman" w:eastAsia="Times New Roman" w:hAnsi="Times New Roman" w:cs="Times New Roman"/>
                <w:sz w:val="20"/>
                <w:szCs w:val="20"/>
                <w:lang w:eastAsia="en-ZA"/>
              </w:rPr>
              <w:t>. In these areas, crayfish have established populations after accidental or intentional release by owners as unwanted pets (Faulkes 2015).</w:t>
            </w:r>
            <w:r w:rsidRPr="00233C97">
              <w:rPr>
                <w:rFonts w:ascii="Times New Roman" w:eastAsia="Times New Roman" w:hAnsi="Times New Roman" w:cs="Times New Roman"/>
                <w:i/>
                <w:iCs/>
                <w:sz w:val="20"/>
                <w:szCs w:val="20"/>
                <w:lang w:eastAsia="en-ZA"/>
              </w:rPr>
              <w:t xml:space="preserve"> Faxonius rusticus </w:t>
            </w:r>
            <w:r w:rsidRPr="00233C97">
              <w:rPr>
                <w:rFonts w:ascii="Times New Roman" w:eastAsia="Times New Roman" w:hAnsi="Times New Roman" w:cs="Times New Roman"/>
                <w:sz w:val="20"/>
                <w:szCs w:val="20"/>
                <w:lang w:eastAsia="en-ZA"/>
              </w:rPr>
              <w:t xml:space="preserve">is furthermore a popular bait species among anglers (Kerr 2014) and is stocked by fishermen that could also lead to the unintentional release of </w:t>
            </w:r>
            <w:r w:rsidRPr="00233C97">
              <w:rPr>
                <w:rFonts w:ascii="Times New Roman" w:eastAsia="Times New Roman" w:hAnsi="Times New Roman" w:cs="Times New Roman"/>
                <w:i/>
                <w:sz w:val="20"/>
                <w:szCs w:val="20"/>
                <w:lang w:eastAsia="en-ZA"/>
              </w:rPr>
              <w:t>F. rusticus</w:t>
            </w:r>
            <w:r w:rsidRPr="00233C97">
              <w:rPr>
                <w:rFonts w:ascii="Times New Roman" w:eastAsia="Times New Roman" w:hAnsi="Times New Roman" w:cs="Times New Roman"/>
                <w:sz w:val="20"/>
                <w:szCs w:val="20"/>
                <w:lang w:eastAsia="en-ZA"/>
              </w:rPr>
              <w:t xml:space="preserve">. </w:t>
            </w:r>
          </w:p>
        </w:tc>
      </w:tr>
      <w:tr w:rsidR="002D7080" w:rsidRPr="00592486" w14:paraId="374C8CFA" w14:textId="77777777" w:rsidTr="002E2C37">
        <w:trPr>
          <w:cantSplit/>
          <w:trHeight w:val="70"/>
        </w:trPr>
        <w:tc>
          <w:tcPr>
            <w:tcW w:w="8908" w:type="dxa"/>
            <w:gridSpan w:val="4"/>
            <w:tcBorders>
              <w:top w:val="single" w:sz="4" w:space="0" w:color="auto"/>
              <w:left w:val="single" w:sz="4" w:space="0" w:color="auto"/>
              <w:bottom w:val="single" w:sz="4" w:space="0" w:color="auto"/>
              <w:right w:val="single" w:sz="4" w:space="0" w:color="auto"/>
            </w:tcBorders>
            <w:noWrap/>
          </w:tcPr>
          <w:p w14:paraId="070E8988"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lastRenderedPageBreak/>
              <w:t>References:</w:t>
            </w:r>
          </w:p>
          <w:p w14:paraId="53BECE0B" w14:textId="25812430"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233C97">
              <w:rPr>
                <w:rFonts w:ascii="Times New Roman" w:eastAsia="Times New Roman" w:hAnsi="Times New Roman" w:cs="Times New Roman"/>
                <w:i/>
                <w:iCs/>
                <w:sz w:val="20"/>
                <w:szCs w:val="20"/>
                <w:lang w:eastAsia="en-ZA"/>
              </w:rPr>
              <w:t>Biological Invasions</w:t>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Cs/>
                <w:sz w:val="20"/>
                <w:szCs w:val="20"/>
                <w:lang w:eastAsia="en-ZA"/>
              </w:rPr>
              <w:t>15</w:t>
            </w:r>
            <w:r w:rsidRPr="00233C97">
              <w:rPr>
                <w:rFonts w:ascii="Times New Roman" w:eastAsia="Times New Roman" w:hAnsi="Times New Roman" w:cs="Times New Roman"/>
                <w:sz w:val="20"/>
                <w:szCs w:val="20"/>
                <w:lang w:eastAsia="en-ZA"/>
              </w:rPr>
              <w:t xml:space="preserve">, 125–141. </w:t>
            </w:r>
            <w:r w:rsidR="00FE6D7A" w:rsidRPr="00FE6D7A">
              <w:rPr>
                <w:rFonts w:ascii="Times New Roman" w:eastAsia="Times New Roman" w:hAnsi="Times New Roman" w:cs="Times New Roman"/>
                <w:sz w:val="20"/>
                <w:szCs w:val="20"/>
                <w:lang w:eastAsia="en-ZA"/>
              </w:rPr>
              <w:t>https://doi.org/10.1007/s10530-012-0273-2</w:t>
            </w:r>
          </w:p>
          <w:p w14:paraId="59F35935" w14:textId="66561A67" w:rsidR="002D7080" w:rsidRPr="00233C97" w:rsidRDefault="002D7080" w:rsidP="006728DB">
            <w:pPr>
              <w:ind w:left="720" w:hanging="720"/>
              <w:contextualSpacing/>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Faulkes, Z, 2015, ‘The global trade in crayfish as pets’, </w:t>
            </w:r>
            <w:r w:rsidRPr="00233C97">
              <w:rPr>
                <w:rFonts w:ascii="Times New Roman" w:eastAsia="Times New Roman" w:hAnsi="Times New Roman" w:cs="Times New Roman"/>
                <w:i/>
                <w:iCs/>
                <w:sz w:val="20"/>
                <w:szCs w:val="20"/>
                <w:lang w:eastAsia="en-ZA"/>
              </w:rPr>
              <w:t>Crustacean Research</w:t>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Cs/>
                <w:sz w:val="20"/>
                <w:szCs w:val="20"/>
                <w:lang w:eastAsia="en-ZA"/>
              </w:rPr>
              <w:t>44</w:t>
            </w:r>
            <w:r w:rsidRPr="00233C97">
              <w:rPr>
                <w:rFonts w:ascii="Times New Roman" w:eastAsia="Times New Roman" w:hAnsi="Times New Roman" w:cs="Times New Roman"/>
                <w:sz w:val="20"/>
                <w:szCs w:val="20"/>
                <w:lang w:eastAsia="en-ZA"/>
              </w:rPr>
              <w:t xml:space="preserve">, 75–92. </w:t>
            </w:r>
            <w:hyperlink r:id="rId322" w:history="1">
              <w:r w:rsidR="00FE6D7A" w:rsidRPr="00FE6D7A">
                <w:rPr>
                  <w:rStyle w:val="Hyperlink"/>
                  <w:rFonts w:ascii="Times New Roman" w:eastAsia="Times New Roman" w:hAnsi="Times New Roman" w:cs="Times New Roman"/>
                  <w:sz w:val="20"/>
                  <w:szCs w:val="20"/>
                  <w:lang w:eastAsia="en-ZA"/>
                </w:rPr>
                <w:t>https://doi.org/10.18353/crustacea.44.0_75</w:t>
              </w:r>
            </w:hyperlink>
            <w:r w:rsidR="00FE6D7A" w:rsidRPr="00FE6D7A">
              <w:rPr>
                <w:rFonts w:ascii="Times New Roman" w:eastAsia="Times New Roman" w:hAnsi="Times New Roman" w:cs="Times New Roman"/>
                <w:sz w:val="20"/>
                <w:szCs w:val="20"/>
                <w:lang w:eastAsia="en-ZA"/>
              </w:rPr>
              <w:t>.</w:t>
            </w:r>
          </w:p>
          <w:p w14:paraId="67B21E98" w14:textId="77777777" w:rsidR="002D7080" w:rsidRPr="00233C97"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Kerr, S.J., 2014, ‘The introduction and spread of aquatic invasive species through the recreational use of bait: A literature review”, Report prepared for Biodiversity Branch. Ontario Ministry of Natural Resources. Peterborough’, Ontario, Canada.</w:t>
            </w:r>
          </w:p>
        </w:tc>
      </w:tr>
    </w:tbl>
    <w:p w14:paraId="0EC931E8" w14:textId="77777777" w:rsidR="002D7080" w:rsidRPr="00233C97" w:rsidRDefault="002D7080" w:rsidP="006728DB">
      <w:pPr>
        <w:spacing w:after="0"/>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2. Likelihood</w:t>
      </w:r>
    </w:p>
    <w:p w14:paraId="578C5803" w14:textId="77777777" w:rsidR="002D7080" w:rsidRPr="00233C97" w:rsidRDefault="002D7080" w:rsidP="006728DB">
      <w:pPr>
        <w:spacing w:after="0"/>
        <w:jc w:val="both"/>
        <w:rPr>
          <w:rFonts w:ascii="Times New Roman" w:eastAsia="Times New Roman" w:hAnsi="Times New Roman" w:cs="Times New Roman"/>
          <w:b/>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592486" w14:paraId="6D281118" w14:textId="77777777" w:rsidTr="002E2C37">
        <w:tc>
          <w:tcPr>
            <w:tcW w:w="9016" w:type="dxa"/>
            <w:gridSpan w:val="2"/>
            <w:shd w:val="clear" w:color="auto" w:fill="F2F2F2" w:themeFill="background1" w:themeFillShade="F2"/>
          </w:tcPr>
          <w:p w14:paraId="3E1956E9" w14:textId="77777777" w:rsidR="002D7080" w:rsidRPr="00233C97" w:rsidRDefault="002D7080" w:rsidP="006728DB">
            <w:pPr>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LIK1 Likelihood of entry via unaided primary pathways</w:t>
            </w:r>
          </w:p>
        </w:tc>
      </w:tr>
      <w:tr w:rsidR="002D7080" w:rsidRPr="00592486" w14:paraId="193E1F6F" w14:textId="77777777" w:rsidTr="002E2C37">
        <w:tc>
          <w:tcPr>
            <w:tcW w:w="5524" w:type="dxa"/>
          </w:tcPr>
          <w:p w14:paraId="3524A780" w14:textId="77777777" w:rsidR="002D7080" w:rsidRPr="00233C97" w:rsidRDefault="002D7080" w:rsidP="006728DB">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w:t>
            </w:r>
            <w:r w:rsidRPr="00233C97">
              <w:rPr>
                <w:rFonts w:ascii="Times New Roman" w:eastAsia="Times New Roman" w:hAnsi="Times New Roman" w:cs="Times New Roman"/>
                <w:color w:val="000000"/>
                <w:sz w:val="20"/>
                <w:szCs w:val="20"/>
                <w:lang w:eastAsia="en-ZA"/>
              </w:rPr>
              <w:t>Very unlikely (p = 0.0027)</w:t>
            </w:r>
          </w:p>
        </w:tc>
        <w:tc>
          <w:tcPr>
            <w:tcW w:w="3492" w:type="dxa"/>
          </w:tcPr>
          <w:p w14:paraId="5A3AB4FC" w14:textId="77777777" w:rsidR="002D7080" w:rsidRPr="00233C97" w:rsidRDefault="002D7080" w:rsidP="006728DB">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w:t>
            </w:r>
            <w:r w:rsidRPr="00233C97">
              <w:rPr>
                <w:rFonts w:ascii="Times New Roman" w:eastAsia="Times New Roman" w:hAnsi="Times New Roman" w:cs="Times New Roman"/>
                <w:color w:val="000000"/>
                <w:sz w:val="20"/>
                <w:szCs w:val="20"/>
                <w:lang w:eastAsia="en-ZA"/>
              </w:rPr>
              <w:t xml:space="preserve"> Medium</w:t>
            </w:r>
          </w:p>
        </w:tc>
      </w:tr>
      <w:tr w:rsidR="002D7080" w:rsidRPr="00592486" w14:paraId="22B298C3" w14:textId="77777777" w:rsidTr="002E2C37">
        <w:trPr>
          <w:trHeight w:val="70"/>
        </w:trPr>
        <w:tc>
          <w:tcPr>
            <w:tcW w:w="9016" w:type="dxa"/>
            <w:gridSpan w:val="2"/>
          </w:tcPr>
          <w:p w14:paraId="7F48B0C6" w14:textId="77777777" w:rsidR="002D7080" w:rsidRPr="00233C97" w:rsidRDefault="002D7080" w:rsidP="006728DB">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Rationale: </w:t>
            </w:r>
            <w:r w:rsidRPr="00233C97">
              <w:rPr>
                <w:rFonts w:ascii="Times New Roman" w:eastAsia="Times New Roman" w:hAnsi="Times New Roman" w:cs="Times New Roman"/>
                <w:color w:val="000000"/>
                <w:sz w:val="20"/>
                <w:szCs w:val="20"/>
                <w:lang w:eastAsia="en-ZA"/>
              </w:rPr>
              <w:t xml:space="preserve">There is no evidence that </w:t>
            </w:r>
            <w:r w:rsidRPr="00233C97">
              <w:rPr>
                <w:rFonts w:ascii="Times New Roman" w:eastAsia="Times New Roman" w:hAnsi="Times New Roman" w:cs="Times New Roman"/>
                <w:i/>
                <w:iCs/>
                <w:color w:val="000000"/>
                <w:sz w:val="20"/>
                <w:szCs w:val="20"/>
                <w:lang w:eastAsia="en-ZA"/>
              </w:rPr>
              <w:t xml:space="preserve">F. rusticus </w:t>
            </w:r>
            <w:r w:rsidRPr="00233C97">
              <w:rPr>
                <w:rFonts w:ascii="Times New Roman" w:eastAsia="Times New Roman" w:hAnsi="Times New Roman" w:cs="Times New Roman"/>
                <w:color w:val="000000"/>
                <w:sz w:val="20"/>
                <w:szCs w:val="20"/>
                <w:lang w:eastAsia="en-ZA"/>
              </w:rPr>
              <w:t xml:space="preserve">is present in South Africa or has established in the wild in neighbouring countries in the SADC Region </w:t>
            </w:r>
            <w:r w:rsidRPr="00233C97">
              <w:rPr>
                <w:rFonts w:ascii="Times New Roman" w:eastAsia="Times New Roman" w:hAnsi="Times New Roman" w:cs="Times New Roman"/>
                <w:color w:val="000000"/>
                <w:sz w:val="20"/>
                <w:szCs w:val="20"/>
                <w:lang w:eastAsia="en-ZA"/>
              </w:rPr>
              <w:fldChar w:fldCharType="begin" w:fldLock="1"/>
            </w:r>
            <w:r w:rsidRPr="00233C97">
              <w:rPr>
                <w:rFonts w:ascii="Times New Roman" w:eastAsia="Times New Roman" w:hAnsi="Times New Roman" w:cs="Times New Roman"/>
                <w:color w:val="000000"/>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Madzivanzira et al. 2020)", "plainTextFormattedCitation" : "(Lodge et al. 2012, Madzivanzira et al. 2020)", "previouslyFormattedCitation" : "(Lodge et al. 2012, Madzivanzira et al. 2020)" }, "properties" : { "noteIndex" : 0 }, "schema" : "https://github.com/citation-style-language/schema/raw/master/csl-citation.json" }</w:instrText>
            </w:r>
            <w:r w:rsidRPr="00233C97">
              <w:rPr>
                <w:rFonts w:ascii="Times New Roman" w:eastAsia="Times New Roman" w:hAnsi="Times New Roman" w:cs="Times New Roman"/>
                <w:color w:val="000000"/>
                <w:sz w:val="20"/>
                <w:szCs w:val="20"/>
                <w:lang w:eastAsia="en-ZA"/>
              </w:rPr>
              <w:fldChar w:fldCharType="separate"/>
            </w:r>
            <w:r w:rsidRPr="00233C97">
              <w:rPr>
                <w:rFonts w:ascii="Times New Roman" w:eastAsia="Times New Roman" w:hAnsi="Times New Roman" w:cs="Times New Roman"/>
                <w:noProof/>
                <w:color w:val="000000"/>
                <w:sz w:val="20"/>
                <w:szCs w:val="20"/>
                <w:lang w:eastAsia="en-ZA"/>
              </w:rPr>
              <w:t>(Lodge et al. 2012; Madzivanzira et al. 2020)</w:t>
            </w:r>
            <w:r w:rsidRPr="00233C97">
              <w:rPr>
                <w:rFonts w:ascii="Times New Roman" w:eastAsia="Times New Roman" w:hAnsi="Times New Roman" w:cs="Times New Roman"/>
                <w:color w:val="000000"/>
                <w:sz w:val="20"/>
                <w:szCs w:val="20"/>
                <w:lang w:eastAsia="en-ZA"/>
              </w:rPr>
              <w:fldChar w:fldCharType="end"/>
            </w:r>
            <w:r w:rsidRPr="00233C97">
              <w:rPr>
                <w:rFonts w:ascii="Times New Roman" w:eastAsia="Times New Roman" w:hAnsi="Times New Roman" w:cs="Times New Roman"/>
                <w:color w:val="000000"/>
                <w:sz w:val="20"/>
                <w:szCs w:val="20"/>
                <w:lang w:eastAsia="en-ZA"/>
              </w:rPr>
              <w:t xml:space="preserve"> therefore the probability of </w:t>
            </w:r>
            <w:r w:rsidRPr="00233C97">
              <w:rPr>
                <w:rFonts w:ascii="Times New Roman" w:eastAsia="Times New Roman" w:hAnsi="Times New Roman" w:cs="Times New Roman"/>
                <w:i/>
                <w:color w:val="000000"/>
                <w:sz w:val="20"/>
                <w:szCs w:val="20"/>
                <w:lang w:eastAsia="en-ZA"/>
              </w:rPr>
              <w:t>F. rusticus</w:t>
            </w:r>
            <w:r w:rsidRPr="00233C97">
              <w:rPr>
                <w:rFonts w:ascii="Times New Roman" w:eastAsia="Times New Roman" w:hAnsi="Times New Roman" w:cs="Times New Roman"/>
                <w:color w:val="000000"/>
                <w:sz w:val="20"/>
                <w:szCs w:val="20"/>
                <w:lang w:eastAsia="en-ZA"/>
              </w:rPr>
              <w:t xml:space="preserve"> entering South Africa through unaided pathways (connected waterways) is very unlikely (p = 0.0027).</w:t>
            </w:r>
          </w:p>
        </w:tc>
      </w:tr>
      <w:tr w:rsidR="002D7080" w:rsidRPr="00592486" w14:paraId="728A3941" w14:textId="77777777" w:rsidTr="002E2C37">
        <w:tc>
          <w:tcPr>
            <w:tcW w:w="9016" w:type="dxa"/>
            <w:gridSpan w:val="2"/>
          </w:tcPr>
          <w:p w14:paraId="389B3BFE" w14:textId="77777777" w:rsidR="002D7080" w:rsidRPr="00233C97" w:rsidRDefault="002D7080" w:rsidP="006728DB">
            <w:pPr>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References: </w:t>
            </w:r>
          </w:p>
          <w:p w14:paraId="3659603B" w14:textId="7DA2A3B9" w:rsidR="002D7080" w:rsidRPr="00233C97" w:rsidRDefault="002D7080" w:rsidP="006728DB">
            <w:pPr>
              <w:spacing w:after="160"/>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Calibri" w:hAnsi="Times New Roman" w:cs="Times New Roman"/>
                <w:sz w:val="20"/>
                <w:szCs w:val="20"/>
              </w:rPr>
              <w:t>Madzivanzira, T.C., South, J., Wood, L.E., Nunes, A.L.</w:t>
            </w:r>
            <w:r w:rsidRPr="00233C97">
              <w:rPr>
                <w:rFonts w:ascii="Times New Roman" w:eastAsia="Times New Roman" w:hAnsi="Times New Roman" w:cs="Times New Roman"/>
                <w:color w:val="000000"/>
                <w:sz w:val="20"/>
                <w:szCs w:val="20"/>
                <w:lang w:eastAsia="en-ZA"/>
              </w:rPr>
              <w:t xml:space="preserve"> &amp; </w:t>
            </w:r>
            <w:r w:rsidRPr="00233C97">
              <w:rPr>
                <w:rFonts w:ascii="Times New Roman" w:eastAsia="Calibri" w:hAnsi="Times New Roman" w:cs="Times New Roman"/>
                <w:sz w:val="20"/>
                <w:szCs w:val="20"/>
              </w:rPr>
              <w:t xml:space="preserve">Weyl, O.L.F., 2020, ‘A review of freshwater crayfish introductions in Africa’, </w:t>
            </w:r>
            <w:r w:rsidRPr="00233C97">
              <w:rPr>
                <w:rFonts w:ascii="Times New Roman" w:eastAsia="Calibri" w:hAnsi="Times New Roman" w:cs="Times New Roman"/>
                <w:i/>
                <w:sz w:val="20"/>
                <w:szCs w:val="20"/>
              </w:rPr>
              <w:t>Reviews in</w:t>
            </w:r>
            <w:r w:rsidRPr="00233C97">
              <w:rPr>
                <w:rFonts w:ascii="Times New Roman" w:eastAsia="Times New Roman" w:hAnsi="Times New Roman" w:cs="Times New Roman"/>
                <w:i/>
                <w:color w:val="000000"/>
                <w:sz w:val="20"/>
                <w:szCs w:val="20"/>
                <w:lang w:eastAsia="en-ZA"/>
              </w:rPr>
              <w:t xml:space="preserve"> </w:t>
            </w:r>
            <w:r w:rsidRPr="00233C97">
              <w:rPr>
                <w:rFonts w:ascii="Times New Roman" w:eastAsia="Calibri" w:hAnsi="Times New Roman" w:cs="Times New Roman"/>
                <w:i/>
                <w:sz w:val="20"/>
                <w:szCs w:val="20"/>
              </w:rPr>
              <w:t>Fisheries Science &amp; Aquaculture</w:t>
            </w:r>
            <w:r w:rsidRPr="00233C97">
              <w:rPr>
                <w:rFonts w:ascii="Times New Roman" w:eastAsia="Calibri" w:hAnsi="Times New Roman" w:cs="Times New Roman"/>
                <w:sz w:val="20"/>
                <w:szCs w:val="20"/>
              </w:rPr>
              <w:t>,</w:t>
            </w:r>
            <w:r w:rsidRPr="00233C97">
              <w:rPr>
                <w:rFonts w:ascii="Times New Roman" w:eastAsia="Calibri" w:hAnsi="Times New Roman" w:cs="Times New Roman"/>
                <w:i/>
                <w:sz w:val="20"/>
                <w:szCs w:val="20"/>
              </w:rPr>
              <w:t xml:space="preserve"> </w:t>
            </w:r>
            <w:r w:rsidRPr="00233C97">
              <w:rPr>
                <w:rFonts w:ascii="Times New Roman" w:eastAsia="Calibri" w:hAnsi="Times New Roman" w:cs="Times New Roman"/>
                <w:sz w:val="20"/>
                <w:szCs w:val="20"/>
              </w:rPr>
              <w:t xml:space="preserve">1-21. </w:t>
            </w:r>
            <w:r w:rsidR="00FE6D7A" w:rsidRPr="00D66918">
              <w:rPr>
                <w:rFonts w:ascii="Times New Roman" w:eastAsia="Calibri" w:hAnsi="Times New Roman" w:cs="Times New Roman"/>
                <w:sz w:val="20"/>
                <w:szCs w:val="20"/>
              </w:rPr>
              <w:t>https://doi.org/10.1080/23308249.2020.1802405</w:t>
            </w:r>
            <w:r w:rsidRPr="00233C97">
              <w:rPr>
                <w:rFonts w:ascii="Times New Roman" w:eastAsia="Calibri" w:hAnsi="Times New Roman" w:cs="Times New Roman"/>
                <w:sz w:val="20"/>
                <w:szCs w:val="20"/>
              </w:rPr>
              <w:t>.</w:t>
            </w:r>
          </w:p>
          <w:p w14:paraId="1DCD92EC" w14:textId="415CF0B0" w:rsidR="002D7080" w:rsidRPr="00233C97" w:rsidRDefault="002D7080" w:rsidP="006728DB">
            <w:pPr>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Lodge, D.M., Deines, A., Gherardi, F., Yeo, D.C.J., Arcella. T, Baldridge, A.K., et al., 2012, ‘Global introductions of crayfishes: Evaluating the impact of species invasions on ecosystem services’, </w:t>
            </w:r>
            <w:r w:rsidRPr="00233C97">
              <w:rPr>
                <w:rFonts w:ascii="Times New Roman" w:eastAsia="Times New Roman" w:hAnsi="Times New Roman" w:cs="Times New Roman"/>
                <w:i/>
                <w:sz w:val="20"/>
                <w:szCs w:val="20"/>
                <w:lang w:eastAsia="en-ZA"/>
              </w:rPr>
              <w:t>Annual Review of Ecology Evolution Systematics</w:t>
            </w:r>
            <w:r w:rsidRPr="00233C97">
              <w:rPr>
                <w:rFonts w:ascii="Times New Roman" w:eastAsia="Times New Roman" w:hAnsi="Times New Roman" w:cs="Times New Roman"/>
                <w:sz w:val="20"/>
                <w:szCs w:val="20"/>
                <w:lang w:eastAsia="en-ZA"/>
              </w:rPr>
              <w:t xml:space="preserve"> 43, 449–472. </w:t>
            </w:r>
            <w:r w:rsidR="00FE6D7A" w:rsidRPr="00D66918">
              <w:rPr>
                <w:rFonts w:ascii="Times New Roman" w:eastAsia="Times New Roman" w:hAnsi="Times New Roman" w:cs="Times New Roman"/>
                <w:sz w:val="20"/>
                <w:szCs w:val="20"/>
                <w:lang w:eastAsia="en-ZA"/>
              </w:rPr>
              <w:t>https://doi.org/10.1146/annurev-ecolsys-111511-103919</w:t>
            </w:r>
          </w:p>
        </w:tc>
      </w:tr>
    </w:tbl>
    <w:p w14:paraId="3BC3646E" w14:textId="77777777" w:rsidR="002D7080" w:rsidRPr="00233C97" w:rsidRDefault="002D7080" w:rsidP="006728DB">
      <w:pPr>
        <w:spacing w:after="0"/>
        <w:jc w:val="both"/>
        <w:rPr>
          <w:rFonts w:ascii="Times New Roman" w:eastAsia="Times New Roman" w:hAnsi="Times New Roman" w:cs="Times New Roman"/>
          <w:b/>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592486" w14:paraId="183074D6" w14:textId="77777777" w:rsidTr="002E2C37">
        <w:tc>
          <w:tcPr>
            <w:tcW w:w="9016" w:type="dxa"/>
            <w:gridSpan w:val="2"/>
            <w:shd w:val="clear" w:color="auto" w:fill="F2F2F2" w:themeFill="background1" w:themeFillShade="F2"/>
          </w:tcPr>
          <w:p w14:paraId="51F0A681" w14:textId="77777777" w:rsidR="002D7080" w:rsidRPr="00233C97" w:rsidRDefault="002D7080" w:rsidP="006728DB">
            <w:pPr>
              <w:jc w:val="both"/>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LIK2 Likelihood of entry via human aided primary pathways</w:t>
            </w:r>
          </w:p>
        </w:tc>
      </w:tr>
      <w:tr w:rsidR="002D7080" w:rsidRPr="00592486" w14:paraId="0E9B65D4" w14:textId="77777777" w:rsidTr="002E2C37">
        <w:tc>
          <w:tcPr>
            <w:tcW w:w="5524" w:type="dxa"/>
          </w:tcPr>
          <w:p w14:paraId="15FF04A5" w14:textId="77777777" w:rsidR="002D7080" w:rsidRPr="00233C97" w:rsidRDefault="002D7080" w:rsidP="006728DB">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w:t>
            </w:r>
            <w:r w:rsidRPr="00233C97">
              <w:rPr>
                <w:rFonts w:ascii="Times New Roman" w:eastAsia="Times New Roman" w:hAnsi="Times New Roman" w:cs="Times New Roman"/>
                <w:color w:val="000000"/>
                <w:sz w:val="20"/>
                <w:szCs w:val="20"/>
                <w:lang w:eastAsia="en-ZA"/>
              </w:rPr>
              <w:t>Fairly probable (p = 0.5)</w:t>
            </w:r>
          </w:p>
        </w:tc>
        <w:tc>
          <w:tcPr>
            <w:tcW w:w="3492" w:type="dxa"/>
          </w:tcPr>
          <w:p w14:paraId="7361EBAE" w14:textId="77777777" w:rsidR="002D7080" w:rsidRPr="00233C97" w:rsidRDefault="002D7080" w:rsidP="006728DB">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Medium</w:t>
            </w:r>
          </w:p>
        </w:tc>
      </w:tr>
      <w:tr w:rsidR="002D7080" w:rsidRPr="00592486" w14:paraId="223D0658" w14:textId="77777777" w:rsidTr="002E2C37">
        <w:tc>
          <w:tcPr>
            <w:tcW w:w="9016" w:type="dxa"/>
            <w:gridSpan w:val="2"/>
          </w:tcPr>
          <w:p w14:paraId="7A9E33FA" w14:textId="77777777" w:rsidR="002D7080" w:rsidRPr="00233C97" w:rsidRDefault="002D7080" w:rsidP="006728DB">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Rationale: </w:t>
            </w:r>
            <w:r w:rsidRPr="00233C97">
              <w:rPr>
                <w:rFonts w:ascii="Times New Roman" w:eastAsia="Times New Roman" w:hAnsi="Times New Roman" w:cs="Times New Roman"/>
                <w:i/>
                <w:color w:val="000000"/>
                <w:sz w:val="20"/>
                <w:szCs w:val="20"/>
                <w:lang w:eastAsia="en-ZA"/>
              </w:rPr>
              <w:t xml:space="preserve">Faxonius rusticus </w:t>
            </w:r>
            <w:r w:rsidRPr="00233C97">
              <w:rPr>
                <w:rFonts w:ascii="Times New Roman" w:eastAsia="Times New Roman" w:hAnsi="Times New Roman" w:cs="Times New Roman"/>
                <w:color w:val="000000"/>
                <w:sz w:val="20"/>
                <w:szCs w:val="20"/>
                <w:lang w:eastAsia="en-ZA"/>
              </w:rPr>
              <w:t>is popular as a live bait used by anglers for recreational fishing (Olden et al. 2009</w:t>
            </w:r>
            <w:r>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color w:val="000000"/>
                <w:sz w:val="20"/>
                <w:szCs w:val="20"/>
                <w:lang w:eastAsia="en-ZA"/>
              </w:rPr>
              <w:t xml:space="preserve">Kerr 2014). </w:t>
            </w:r>
            <w:r w:rsidRPr="00233C97">
              <w:rPr>
                <w:rFonts w:ascii="Times New Roman" w:eastAsia="Times New Roman" w:hAnsi="Times New Roman" w:cs="Times New Roman"/>
                <w:i/>
                <w:color w:val="000000"/>
                <w:sz w:val="20"/>
                <w:szCs w:val="20"/>
                <w:lang w:eastAsia="en-ZA"/>
              </w:rPr>
              <w:t>Faxonius rusticus</w:t>
            </w:r>
            <w:r w:rsidRPr="00233C97">
              <w:rPr>
                <w:rFonts w:ascii="Times New Roman" w:eastAsia="Times New Roman" w:hAnsi="Times New Roman" w:cs="Times New Roman"/>
                <w:color w:val="000000"/>
                <w:sz w:val="20"/>
                <w:szCs w:val="20"/>
                <w:lang w:eastAsia="en-ZA"/>
              </w:rPr>
              <w:t xml:space="preserve"> is present in the pet trade industry in Germany and the USA </w:t>
            </w:r>
            <w:r w:rsidRPr="00233C97">
              <w:rPr>
                <w:rFonts w:ascii="Times New Roman" w:eastAsia="Times New Roman" w:hAnsi="Times New Roman" w:cs="Times New Roman"/>
                <w:color w:val="000000"/>
                <w:sz w:val="20"/>
                <w:szCs w:val="20"/>
                <w:lang w:eastAsia="en-ZA"/>
              </w:rPr>
              <w:fldChar w:fldCharType="begin" w:fldLock="1"/>
            </w:r>
            <w:r w:rsidRPr="00233C97">
              <w:rPr>
                <w:rFonts w:ascii="Times New Roman" w:eastAsia="Times New Roman" w:hAnsi="Times New Roman" w:cs="Times New Roman"/>
                <w:color w:val="000000"/>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233C97">
              <w:rPr>
                <w:rFonts w:ascii="Times New Roman" w:eastAsia="Times New Roman" w:hAnsi="Times New Roman" w:cs="Times New Roman"/>
                <w:color w:val="000000"/>
                <w:sz w:val="20"/>
                <w:szCs w:val="20"/>
                <w:lang w:eastAsia="en-ZA"/>
              </w:rPr>
              <w:fldChar w:fldCharType="separate"/>
            </w:r>
            <w:r w:rsidRPr="00233C97">
              <w:rPr>
                <w:rFonts w:ascii="Times New Roman" w:eastAsia="Times New Roman" w:hAnsi="Times New Roman" w:cs="Times New Roman"/>
                <w:noProof/>
                <w:color w:val="000000"/>
                <w:sz w:val="20"/>
                <w:szCs w:val="20"/>
                <w:lang w:eastAsia="en-ZA"/>
              </w:rPr>
              <w:t>(Faulkes 2015)</w:t>
            </w:r>
            <w:r w:rsidRPr="00233C97">
              <w:rPr>
                <w:rFonts w:ascii="Times New Roman" w:eastAsia="Times New Roman" w:hAnsi="Times New Roman" w:cs="Times New Roman"/>
                <w:color w:val="000000"/>
                <w:sz w:val="20"/>
                <w:szCs w:val="20"/>
                <w:lang w:eastAsia="en-ZA"/>
              </w:rPr>
              <w:fldChar w:fldCharType="end"/>
            </w:r>
            <w:r w:rsidRPr="00233C97">
              <w:rPr>
                <w:rFonts w:ascii="Times New Roman" w:eastAsia="Times New Roman" w:hAnsi="Times New Roman" w:cs="Times New Roman"/>
                <w:color w:val="000000"/>
                <w:sz w:val="20"/>
                <w:szCs w:val="20"/>
                <w:lang w:eastAsia="en-ZA"/>
              </w:rPr>
              <w:t xml:space="preserve">. It is likely that it could be present in the pet trade in South Africa but this needs to be assessed. </w:t>
            </w:r>
          </w:p>
        </w:tc>
      </w:tr>
      <w:tr w:rsidR="002D7080" w:rsidRPr="00592486" w14:paraId="7A0C39E9" w14:textId="77777777" w:rsidTr="002E2C37">
        <w:tc>
          <w:tcPr>
            <w:tcW w:w="9016" w:type="dxa"/>
            <w:gridSpan w:val="2"/>
          </w:tcPr>
          <w:p w14:paraId="1A290FA6"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References: </w:t>
            </w:r>
          </w:p>
          <w:p w14:paraId="344A1731" w14:textId="258A6608" w:rsidR="002D7080" w:rsidRPr="00233C97" w:rsidRDefault="002D7080" w:rsidP="002E2C37">
            <w:pPr>
              <w:ind w:left="720" w:hanging="720"/>
              <w:contextualSpacing/>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Faulkes, Z, 2015, ‘The global trade in crayfish as pets’, </w:t>
            </w:r>
            <w:r w:rsidRPr="00233C97">
              <w:rPr>
                <w:rFonts w:ascii="Times New Roman" w:eastAsia="Times New Roman" w:hAnsi="Times New Roman" w:cs="Times New Roman"/>
                <w:i/>
                <w:iCs/>
                <w:sz w:val="20"/>
                <w:szCs w:val="20"/>
                <w:lang w:eastAsia="en-ZA"/>
              </w:rPr>
              <w:t>Crustacean Research</w:t>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Cs/>
                <w:sz w:val="20"/>
                <w:szCs w:val="20"/>
                <w:lang w:eastAsia="en-ZA"/>
              </w:rPr>
              <w:t>44</w:t>
            </w:r>
            <w:r w:rsidRPr="00233C97">
              <w:rPr>
                <w:rFonts w:ascii="Times New Roman" w:eastAsia="Times New Roman" w:hAnsi="Times New Roman" w:cs="Times New Roman"/>
                <w:sz w:val="20"/>
                <w:szCs w:val="20"/>
                <w:lang w:eastAsia="en-ZA"/>
              </w:rPr>
              <w:t xml:space="preserve">, 75–92. </w:t>
            </w:r>
            <w:hyperlink r:id="rId323" w:history="1">
              <w:r w:rsidR="007A6D39" w:rsidRPr="007A6D39">
                <w:rPr>
                  <w:rStyle w:val="Hyperlink"/>
                  <w:rFonts w:ascii="Times New Roman" w:eastAsia="Times New Roman" w:hAnsi="Times New Roman" w:cs="Times New Roman"/>
                  <w:sz w:val="20"/>
                  <w:szCs w:val="20"/>
                  <w:lang w:eastAsia="en-ZA"/>
                </w:rPr>
                <w:t>https://doi.org/10.18353/crustacea.44.0_75</w:t>
              </w:r>
            </w:hyperlink>
            <w:r w:rsidRPr="00233C97">
              <w:rPr>
                <w:rFonts w:ascii="Times New Roman" w:eastAsia="Times New Roman" w:hAnsi="Times New Roman" w:cs="Times New Roman"/>
                <w:sz w:val="20"/>
                <w:szCs w:val="20"/>
                <w:lang w:eastAsia="en-ZA"/>
              </w:rPr>
              <w:t>.</w:t>
            </w:r>
          </w:p>
          <w:p w14:paraId="19687C02" w14:textId="77777777" w:rsidR="002D7080" w:rsidRPr="00233C97"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color w:val="000000"/>
                <w:sz w:val="20"/>
                <w:szCs w:val="20"/>
                <w:lang w:eastAsia="en-ZA"/>
              </w:rPr>
              <w:t>Kerr, S.J., 2014, ‘The introduction and spread of aquatic invasive species through the recreational use of bait: A literature review”, Report prepared for Biodiversity Branch. Ontario Ministry of Natural Resources. Peterborough’, Ontario, Canada.</w:t>
            </w:r>
          </w:p>
          <w:p w14:paraId="586A1DF6" w14:textId="4451D696" w:rsidR="002D7080" w:rsidRPr="00233C97" w:rsidRDefault="002D7080" w:rsidP="002E2C37">
            <w:pPr>
              <w:ind w:left="720" w:hanging="720"/>
              <w:contextualSpacing/>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 xml:space="preserve">Olden, J.D., Adams, J.W. &amp; Larson, E.R., 2009, ‘First record of </w:t>
            </w:r>
            <w:r w:rsidRPr="00233C97">
              <w:rPr>
                <w:rFonts w:ascii="Times New Roman" w:eastAsia="Times New Roman" w:hAnsi="Times New Roman" w:cs="Times New Roman"/>
                <w:i/>
                <w:color w:val="000000"/>
                <w:sz w:val="20"/>
                <w:szCs w:val="20"/>
                <w:lang w:eastAsia="en-ZA"/>
              </w:rPr>
              <w:t>Orconectes rusticus</w:t>
            </w:r>
            <w:r w:rsidRPr="00233C97">
              <w:rPr>
                <w:rFonts w:ascii="Times New Roman" w:eastAsia="Times New Roman" w:hAnsi="Times New Roman" w:cs="Times New Roman"/>
                <w:color w:val="000000"/>
                <w:sz w:val="20"/>
                <w:szCs w:val="20"/>
                <w:lang w:eastAsia="en-ZA"/>
              </w:rPr>
              <w:t xml:space="preserve"> (Girard, 1852) (Decapoda, Cambaridae) west of the great continental divide in North America’, </w:t>
            </w:r>
            <w:r w:rsidRPr="00233C97">
              <w:rPr>
                <w:rFonts w:ascii="Times New Roman" w:eastAsia="Times New Roman" w:hAnsi="Times New Roman" w:cs="Times New Roman"/>
                <w:i/>
                <w:iCs/>
                <w:color w:val="000000"/>
                <w:sz w:val="20"/>
                <w:szCs w:val="20"/>
                <w:lang w:eastAsia="en-ZA"/>
              </w:rPr>
              <w:t>Crustaceana</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Cs/>
                <w:color w:val="000000"/>
                <w:sz w:val="20"/>
                <w:szCs w:val="20"/>
                <w:lang w:eastAsia="en-ZA"/>
              </w:rPr>
              <w:t>82</w:t>
            </w:r>
            <w:r w:rsidRPr="00233C97">
              <w:rPr>
                <w:rFonts w:ascii="Times New Roman" w:eastAsia="Times New Roman" w:hAnsi="Times New Roman" w:cs="Times New Roman"/>
                <w:color w:val="000000"/>
                <w:sz w:val="20"/>
                <w:szCs w:val="20"/>
                <w:lang w:eastAsia="en-ZA"/>
              </w:rPr>
              <w:t>, 1347–1351.</w:t>
            </w:r>
            <w:r w:rsidRPr="00233C97">
              <w:rPr>
                <w:rFonts w:ascii="Times New Roman" w:hAnsi="Times New Roman" w:cs="Times New Roman"/>
                <w:color w:val="000000"/>
                <w:sz w:val="20"/>
                <w:szCs w:val="20"/>
              </w:rPr>
              <w:t xml:space="preserve"> </w:t>
            </w:r>
            <w:r w:rsidR="00FE6D7A">
              <w:rPr>
                <w:rFonts w:ascii="Times New Roman" w:hAnsi="Times New Roman" w:cs="Times New Roman"/>
                <w:color w:val="000000"/>
                <w:sz w:val="20"/>
                <w:szCs w:val="20"/>
              </w:rPr>
              <w:t>https://doi.org/</w:t>
            </w:r>
            <w:r w:rsidR="00FE6D7A" w:rsidRPr="00FE6D7A">
              <w:rPr>
                <w:rFonts w:ascii="Times New Roman" w:hAnsi="Times New Roman" w:cs="Times New Roman"/>
                <w:color w:val="000000"/>
                <w:sz w:val="20"/>
                <w:szCs w:val="20"/>
              </w:rPr>
              <w:t>10.1163/156854009X448934</w:t>
            </w:r>
            <w:r w:rsidRPr="00233C97">
              <w:rPr>
                <w:rFonts w:ascii="Times New Roman" w:eastAsia="Times New Roman" w:hAnsi="Times New Roman" w:cs="Times New Roman"/>
                <w:color w:val="000000"/>
                <w:sz w:val="20"/>
                <w:szCs w:val="20"/>
                <w:lang w:eastAsia="en-ZA"/>
              </w:rPr>
              <w:t>.</w:t>
            </w:r>
          </w:p>
        </w:tc>
      </w:tr>
    </w:tbl>
    <w:p w14:paraId="42168DCA" w14:textId="77777777" w:rsidR="002D7080" w:rsidRPr="00233C97"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592486" w14:paraId="1D3E5359" w14:textId="77777777" w:rsidTr="002E2C37">
        <w:tc>
          <w:tcPr>
            <w:tcW w:w="9016" w:type="dxa"/>
            <w:gridSpan w:val="2"/>
            <w:shd w:val="clear" w:color="auto" w:fill="F2F2F2" w:themeFill="background1" w:themeFillShade="F2"/>
          </w:tcPr>
          <w:p w14:paraId="764A58D1" w14:textId="77777777" w:rsidR="002D7080" w:rsidRPr="00233C97" w:rsidRDefault="002D7080" w:rsidP="002E2C37">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LIK3 Habitat suitability</w:t>
            </w:r>
          </w:p>
        </w:tc>
      </w:tr>
      <w:tr w:rsidR="002D7080" w:rsidRPr="00592486" w14:paraId="29B8D31E" w14:textId="77777777" w:rsidTr="002E2C37">
        <w:tc>
          <w:tcPr>
            <w:tcW w:w="5524" w:type="dxa"/>
          </w:tcPr>
          <w:p w14:paraId="7B1035E6"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w:t>
            </w:r>
            <w:r w:rsidRPr="00233C97">
              <w:rPr>
                <w:rFonts w:ascii="Times New Roman" w:eastAsia="Times New Roman" w:hAnsi="Times New Roman" w:cs="Times New Roman"/>
                <w:color w:val="000000"/>
                <w:sz w:val="20"/>
                <w:szCs w:val="20"/>
                <w:lang w:eastAsia="en-ZA"/>
              </w:rPr>
              <w:t>Fairy probable (p = 0.5)</w:t>
            </w:r>
          </w:p>
        </w:tc>
        <w:tc>
          <w:tcPr>
            <w:tcW w:w="3492" w:type="dxa"/>
          </w:tcPr>
          <w:p w14:paraId="37F0BE14"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Confidence: </w:t>
            </w:r>
            <w:r>
              <w:rPr>
                <w:rFonts w:ascii="Times New Roman" w:eastAsia="Times New Roman" w:hAnsi="Times New Roman" w:cs="Times New Roman"/>
                <w:sz w:val="20"/>
                <w:szCs w:val="20"/>
                <w:lang w:eastAsia="en-ZA"/>
              </w:rPr>
              <w:t>Medium</w:t>
            </w:r>
          </w:p>
        </w:tc>
      </w:tr>
      <w:tr w:rsidR="002D7080" w:rsidRPr="00592486" w14:paraId="24D57992" w14:textId="77777777" w:rsidTr="002E2C37">
        <w:tc>
          <w:tcPr>
            <w:tcW w:w="9016" w:type="dxa"/>
            <w:gridSpan w:val="2"/>
          </w:tcPr>
          <w:p w14:paraId="3287F52C"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lastRenderedPageBreak/>
              <w:t xml:space="preserve">Rationale: </w:t>
            </w:r>
            <w:r w:rsidRPr="00233C97">
              <w:rPr>
                <w:rFonts w:ascii="Times New Roman" w:eastAsia="Times New Roman" w:hAnsi="Times New Roman" w:cs="Times New Roman"/>
                <w:i/>
                <w:iCs/>
                <w:sz w:val="20"/>
                <w:szCs w:val="20"/>
                <w:lang w:eastAsia="en-ZA"/>
              </w:rPr>
              <w:t xml:space="preserve">Faxonius rusticus </w:t>
            </w:r>
            <w:r w:rsidRPr="00233C97">
              <w:rPr>
                <w:rFonts w:ascii="Times New Roman" w:eastAsia="Calibri" w:hAnsi="Times New Roman" w:cs="Times New Roman"/>
                <w:sz w:val="20"/>
                <w:szCs w:val="20"/>
              </w:rPr>
              <w:t xml:space="preserve">is a habitat generalist that inhabits permanent streams and lakes with a range of substrates such as clay, silt, sand and gravel (GISD 2015). </w:t>
            </w:r>
            <w:r w:rsidRPr="00233C97">
              <w:rPr>
                <w:rFonts w:ascii="Times New Roman" w:eastAsia="Calibri" w:hAnsi="Times New Roman" w:cs="Times New Roman"/>
                <w:i/>
                <w:iCs/>
                <w:sz w:val="20"/>
                <w:szCs w:val="20"/>
              </w:rPr>
              <w:t xml:space="preserve">Faxonius rusticus </w:t>
            </w:r>
            <w:r w:rsidRPr="00233C97">
              <w:rPr>
                <w:rFonts w:ascii="Times New Roman" w:eastAsia="Calibri" w:hAnsi="Times New Roman" w:cs="Times New Roman"/>
                <w:sz w:val="20"/>
                <w:szCs w:val="20"/>
              </w:rPr>
              <w:t>prefers areas that consist of rocks, logs or other debris used to construct shallow excavations underneath (GISD 2015).</w:t>
            </w:r>
            <w:r w:rsidRPr="00233C97">
              <w:rPr>
                <w:rFonts w:ascii="Times New Roman" w:eastAsia="Times New Roman" w:hAnsi="Times New Roman" w:cs="Times New Roman"/>
                <w:i/>
                <w:color w:val="000000"/>
                <w:sz w:val="20"/>
                <w:szCs w:val="20"/>
                <w:lang w:eastAsia="en-ZA"/>
              </w:rPr>
              <w:t xml:space="preserve"> Faxonius</w:t>
            </w:r>
            <w:r w:rsidRPr="00233C97">
              <w:rPr>
                <w:rFonts w:ascii="Times New Roman" w:eastAsia="Calibri" w:hAnsi="Times New Roman" w:cs="Times New Roman"/>
                <w:i/>
                <w:iCs/>
                <w:color w:val="0E101A"/>
                <w:sz w:val="20"/>
                <w:szCs w:val="20"/>
              </w:rPr>
              <w:t xml:space="preserve"> rusticus</w:t>
            </w:r>
            <w:r w:rsidRPr="00233C97">
              <w:rPr>
                <w:rFonts w:ascii="Times New Roman" w:eastAsia="Calibri" w:hAnsi="Times New Roman" w:cs="Times New Roman"/>
                <w:sz w:val="20"/>
                <w:szCs w:val="20"/>
              </w:rPr>
              <w:t xml:space="preserve"> lives in open water during most life stages and burrows only under extreme adverse conditions (GISD 2015). The habitats are present in most aquatic systems across South Africa. </w:t>
            </w:r>
          </w:p>
        </w:tc>
      </w:tr>
      <w:tr w:rsidR="002D7080" w:rsidRPr="00592486" w14:paraId="00CA83F9" w14:textId="77777777" w:rsidTr="002E2C37">
        <w:tc>
          <w:tcPr>
            <w:tcW w:w="9016" w:type="dxa"/>
            <w:gridSpan w:val="2"/>
          </w:tcPr>
          <w:p w14:paraId="2CA58EB0" w14:textId="77777777" w:rsidR="002D7080" w:rsidRPr="00233C97" w:rsidRDefault="002D7080" w:rsidP="002E2C37">
            <w:pPr>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References: </w:t>
            </w:r>
          </w:p>
          <w:p w14:paraId="665FB5B3" w14:textId="77777777" w:rsidR="002D7080" w:rsidRPr="00233C97" w:rsidRDefault="002D7080" w:rsidP="002E2C37">
            <w:pPr>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 xml:space="preserve">Global Invasive Species Database (GISD) 2015. Species profile </w:t>
            </w:r>
            <w:r w:rsidRPr="00233C97">
              <w:rPr>
                <w:rFonts w:ascii="Times New Roman" w:eastAsia="Times New Roman" w:hAnsi="Times New Roman" w:cs="Times New Roman"/>
                <w:i/>
                <w:iCs/>
                <w:color w:val="000000"/>
                <w:sz w:val="20"/>
                <w:szCs w:val="20"/>
                <w:lang w:eastAsia="en-ZA"/>
              </w:rPr>
              <w:t>Orconectes rusticus</w:t>
            </w:r>
            <w:r w:rsidRPr="00233C97">
              <w:rPr>
                <w:rFonts w:ascii="Times New Roman" w:eastAsia="Times New Roman" w:hAnsi="Times New Roman" w:cs="Times New Roman"/>
                <w:color w:val="000000"/>
                <w:sz w:val="20"/>
                <w:szCs w:val="20"/>
                <w:lang w:eastAsia="en-ZA"/>
              </w:rPr>
              <w:t>. Available from: http://www.iucngisd.org/gisd/species.php?sc=217 [Accessed 03 July2018].</w:t>
            </w:r>
          </w:p>
        </w:tc>
      </w:tr>
    </w:tbl>
    <w:p w14:paraId="7435A92B" w14:textId="77777777" w:rsidR="002D7080" w:rsidRPr="00233C97"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592486" w14:paraId="42E1484B" w14:textId="77777777" w:rsidTr="002E2C37">
        <w:tc>
          <w:tcPr>
            <w:tcW w:w="9016" w:type="dxa"/>
            <w:gridSpan w:val="2"/>
            <w:shd w:val="clear" w:color="auto" w:fill="F2F2F2" w:themeFill="background1" w:themeFillShade="F2"/>
          </w:tcPr>
          <w:p w14:paraId="49A7BBED" w14:textId="77777777" w:rsidR="002D7080" w:rsidRPr="00233C97" w:rsidRDefault="002D7080" w:rsidP="002E2C37">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LIK4 Climate suitability</w:t>
            </w:r>
          </w:p>
        </w:tc>
      </w:tr>
      <w:tr w:rsidR="002D7080" w:rsidRPr="00592486" w14:paraId="0603CFB8" w14:textId="77777777" w:rsidTr="002E2C37">
        <w:tc>
          <w:tcPr>
            <w:tcW w:w="5524" w:type="dxa"/>
          </w:tcPr>
          <w:p w14:paraId="579F2CE0"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w:t>
            </w:r>
            <w:r w:rsidRPr="00233C97">
              <w:rPr>
                <w:rFonts w:ascii="Times New Roman" w:eastAsia="Times New Roman" w:hAnsi="Times New Roman" w:cs="Times New Roman"/>
                <w:color w:val="000000"/>
                <w:sz w:val="20"/>
                <w:szCs w:val="20"/>
                <w:lang w:eastAsia="en-ZA"/>
              </w:rPr>
              <w:t>Fairy probable (p = 0.5)</w:t>
            </w:r>
          </w:p>
        </w:tc>
        <w:tc>
          <w:tcPr>
            <w:tcW w:w="3492" w:type="dxa"/>
          </w:tcPr>
          <w:p w14:paraId="10898018"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Confidence: </w:t>
            </w:r>
            <w:r>
              <w:rPr>
                <w:rFonts w:ascii="Times New Roman" w:eastAsia="Times New Roman" w:hAnsi="Times New Roman" w:cs="Times New Roman"/>
                <w:sz w:val="20"/>
                <w:szCs w:val="20"/>
                <w:lang w:eastAsia="en-ZA"/>
              </w:rPr>
              <w:t>Medium</w:t>
            </w:r>
          </w:p>
        </w:tc>
      </w:tr>
      <w:tr w:rsidR="002D7080" w:rsidRPr="00592486" w14:paraId="6ECC3AFE" w14:textId="77777777" w:rsidTr="002E2C37">
        <w:trPr>
          <w:trHeight w:val="70"/>
        </w:trPr>
        <w:tc>
          <w:tcPr>
            <w:tcW w:w="9016" w:type="dxa"/>
            <w:gridSpan w:val="2"/>
          </w:tcPr>
          <w:p w14:paraId="5B4485C2"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Rationale: Based on the Koppen-Geiger climate classification map, </w:t>
            </w:r>
            <w:r w:rsidRPr="00233C97">
              <w:rPr>
                <w:rFonts w:ascii="Times New Roman" w:eastAsia="Times New Roman" w:hAnsi="Times New Roman" w:cs="Times New Roman"/>
                <w:i/>
                <w:iCs/>
                <w:sz w:val="20"/>
                <w:szCs w:val="20"/>
                <w:lang w:eastAsia="en-ZA"/>
              </w:rPr>
              <w:t>F. rusticus</w:t>
            </w:r>
            <w:r w:rsidRPr="00233C97">
              <w:rPr>
                <w:rFonts w:ascii="Times New Roman" w:eastAsia="Times New Roman" w:hAnsi="Times New Roman" w:cs="Times New Roman"/>
                <w:sz w:val="20"/>
                <w:szCs w:val="20"/>
                <w:lang w:eastAsia="en-ZA"/>
              </w:rPr>
              <w:t xml:space="preserve"> predominantly occurs in cold D and arid B regions (Peel et al. 2007). South Africa’s main climate type is arid B, therefore, </w:t>
            </w:r>
            <w:r w:rsidRPr="00233C97">
              <w:rPr>
                <w:rFonts w:ascii="Times New Roman" w:eastAsia="Times New Roman" w:hAnsi="Times New Roman" w:cs="Times New Roman"/>
                <w:i/>
                <w:iCs/>
                <w:sz w:val="20"/>
                <w:szCs w:val="20"/>
                <w:lang w:eastAsia="en-ZA"/>
              </w:rPr>
              <w:t>F. rusticus</w:t>
            </w:r>
            <w:r w:rsidRPr="00233C97">
              <w:rPr>
                <w:rFonts w:ascii="Times New Roman" w:eastAsia="Times New Roman" w:hAnsi="Times New Roman" w:cs="Times New Roman"/>
                <w:sz w:val="20"/>
                <w:szCs w:val="20"/>
                <w:lang w:eastAsia="en-ZA"/>
              </w:rPr>
              <w:t xml:space="preserve"> is likely to survive in these areas (Peel et al. 2007). </w:t>
            </w:r>
            <w:r w:rsidRPr="00233C97">
              <w:rPr>
                <w:rFonts w:ascii="Times New Roman" w:eastAsia="Times New Roman" w:hAnsi="Times New Roman" w:cs="Times New Roman"/>
                <w:i/>
                <w:iCs/>
                <w:color w:val="000000"/>
                <w:sz w:val="20"/>
                <w:szCs w:val="20"/>
                <w:lang w:eastAsia="en-ZA"/>
              </w:rPr>
              <w:t xml:space="preserve">Faxonius rusticus </w:t>
            </w:r>
            <w:r w:rsidRPr="00233C97">
              <w:rPr>
                <w:rFonts w:ascii="Times New Roman" w:eastAsia="Times New Roman" w:hAnsi="Times New Roman" w:cs="Times New Roman"/>
                <w:color w:val="000000"/>
                <w:sz w:val="20"/>
                <w:szCs w:val="20"/>
                <w:lang w:eastAsia="en-ZA"/>
              </w:rPr>
              <w:t xml:space="preserve">prefers well-oxygenated water and optimal water temperature is 20-25°C, but can endure a wide range of temperatures (0–39°C) within the native range (GISD 2015). When temperatures exceed 30° C, adults have been observed digging burrows to escape the heat (GISD 2015). </w:t>
            </w:r>
          </w:p>
        </w:tc>
      </w:tr>
      <w:tr w:rsidR="002D7080" w:rsidRPr="00592486" w14:paraId="4D2A4A47" w14:textId="77777777" w:rsidTr="002E2C37">
        <w:tc>
          <w:tcPr>
            <w:tcW w:w="9016" w:type="dxa"/>
            <w:gridSpan w:val="2"/>
          </w:tcPr>
          <w:p w14:paraId="2C00021C" w14:textId="77777777" w:rsidR="002D7080" w:rsidRPr="00233C97" w:rsidRDefault="002D7080" w:rsidP="002E2C37">
            <w:pPr>
              <w:ind w:left="720" w:hanging="720"/>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References: </w:t>
            </w:r>
          </w:p>
          <w:p w14:paraId="175DABF0" w14:textId="77777777" w:rsidR="002D7080" w:rsidRPr="00233C97" w:rsidRDefault="002D7080" w:rsidP="0024145A">
            <w:pPr>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color w:val="000000"/>
                <w:sz w:val="20"/>
                <w:szCs w:val="20"/>
                <w:lang w:eastAsia="en-ZA"/>
              </w:rPr>
              <w:t xml:space="preserve">Global Invasive Species Database (GISD) 2015. Species profile </w:t>
            </w:r>
            <w:r w:rsidRPr="00233C97">
              <w:rPr>
                <w:rFonts w:ascii="Times New Roman" w:eastAsia="Times New Roman" w:hAnsi="Times New Roman" w:cs="Times New Roman"/>
                <w:i/>
                <w:iCs/>
                <w:color w:val="000000"/>
                <w:sz w:val="20"/>
                <w:szCs w:val="20"/>
                <w:lang w:eastAsia="en-ZA"/>
              </w:rPr>
              <w:t>Orconectes rusticus</w:t>
            </w:r>
            <w:r w:rsidRPr="00233C97">
              <w:rPr>
                <w:rFonts w:ascii="Times New Roman" w:eastAsia="Times New Roman" w:hAnsi="Times New Roman" w:cs="Times New Roman"/>
                <w:color w:val="000000"/>
                <w:sz w:val="20"/>
                <w:szCs w:val="20"/>
                <w:lang w:eastAsia="en-ZA"/>
              </w:rPr>
              <w:t>. Available from: http://www.iucngisd.org/gisd/species.php?sc=217 [Accessed 03 July 2018]</w:t>
            </w:r>
          </w:p>
          <w:p w14:paraId="7F99DFC3" w14:textId="76B3BECC" w:rsidR="00FE6D7A" w:rsidRPr="008A0BC6" w:rsidRDefault="002D7080" w:rsidP="0024145A">
            <w:pPr>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color w:val="000000"/>
                <w:sz w:val="20"/>
                <w:szCs w:val="20"/>
                <w:lang w:eastAsia="en-ZA"/>
              </w:rPr>
              <w:t xml:space="preserve">Peel, M.C., Finlayson, B.L. &amp; McMahon, T.A., 2007, ‘Updated world map of the Koppen-Geiger climate classification’, </w:t>
            </w:r>
            <w:r w:rsidRPr="00233C97">
              <w:rPr>
                <w:rFonts w:ascii="Times New Roman" w:eastAsia="Times New Roman" w:hAnsi="Times New Roman" w:cs="Times New Roman"/>
                <w:i/>
                <w:iCs/>
                <w:color w:val="000000"/>
                <w:sz w:val="20"/>
                <w:szCs w:val="20"/>
                <w:lang w:eastAsia="en-ZA"/>
              </w:rPr>
              <w:t>Hydrology and Earth System Sciences</w:t>
            </w:r>
            <w:r w:rsidRPr="00233C97">
              <w:rPr>
                <w:rFonts w:ascii="Times New Roman" w:eastAsia="Times New Roman" w:hAnsi="Times New Roman" w:cs="Times New Roman"/>
                <w:color w:val="000000"/>
                <w:sz w:val="20"/>
                <w:szCs w:val="20"/>
                <w:lang w:eastAsia="en-ZA"/>
              </w:rPr>
              <w:t xml:space="preserve"> 11, 1633–1644. </w:t>
            </w:r>
            <w:hyperlink r:id="rId324" w:history="1">
              <w:r w:rsidR="00FE6D7A" w:rsidRPr="00F215B9">
                <w:rPr>
                  <w:rStyle w:val="Hyperlink"/>
                  <w:rFonts w:ascii="Times New Roman" w:eastAsia="Times New Roman" w:hAnsi="Times New Roman" w:cs="Times New Roman"/>
                  <w:sz w:val="20"/>
                  <w:szCs w:val="20"/>
                  <w:lang w:eastAsia="en-ZA"/>
                </w:rPr>
                <w:t>https://doi.org/10.5194/hess-11-1633-2007</w:t>
              </w:r>
            </w:hyperlink>
            <w:r w:rsidRPr="00233C97">
              <w:rPr>
                <w:rFonts w:ascii="Times New Roman" w:eastAsia="Times New Roman" w:hAnsi="Times New Roman" w:cs="Times New Roman"/>
                <w:color w:val="000000"/>
                <w:sz w:val="20"/>
                <w:szCs w:val="20"/>
                <w:lang w:eastAsia="en-ZA"/>
              </w:rPr>
              <w:t>.</w:t>
            </w:r>
          </w:p>
        </w:tc>
      </w:tr>
    </w:tbl>
    <w:p w14:paraId="6A706B2B" w14:textId="77777777" w:rsidR="002D7080"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592486" w14:paraId="38E3F03B" w14:textId="77777777" w:rsidTr="002E2C37">
        <w:tc>
          <w:tcPr>
            <w:tcW w:w="9016" w:type="dxa"/>
            <w:gridSpan w:val="2"/>
            <w:shd w:val="clear" w:color="auto" w:fill="F2F2F2" w:themeFill="background1" w:themeFillShade="F2"/>
          </w:tcPr>
          <w:p w14:paraId="75CC479B" w14:textId="77777777" w:rsidR="002D7080" w:rsidRPr="00233C97" w:rsidRDefault="002D7080" w:rsidP="002E2C37">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LIK5 Unaided secondary (dispersal) pathways</w:t>
            </w:r>
          </w:p>
        </w:tc>
      </w:tr>
      <w:tr w:rsidR="002D7080" w:rsidRPr="00592486" w14:paraId="0B861F78" w14:textId="77777777" w:rsidTr="002E2C37">
        <w:tc>
          <w:tcPr>
            <w:tcW w:w="5524" w:type="dxa"/>
          </w:tcPr>
          <w:p w14:paraId="1B83E911"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w:t>
            </w:r>
            <w:r w:rsidRPr="00233C97">
              <w:rPr>
                <w:rFonts w:ascii="Times New Roman" w:eastAsia="Times New Roman" w:hAnsi="Times New Roman" w:cs="Times New Roman"/>
                <w:color w:val="000000"/>
                <w:sz w:val="20"/>
                <w:szCs w:val="20"/>
                <w:lang w:eastAsia="en-ZA"/>
              </w:rPr>
              <w:t>Fairly probable (p = 0.5)</w:t>
            </w:r>
          </w:p>
        </w:tc>
        <w:tc>
          <w:tcPr>
            <w:tcW w:w="3492" w:type="dxa"/>
          </w:tcPr>
          <w:p w14:paraId="2E90FEA7"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Medium</w:t>
            </w:r>
          </w:p>
        </w:tc>
      </w:tr>
      <w:tr w:rsidR="002D7080" w:rsidRPr="00592486" w14:paraId="33B9E139" w14:textId="77777777" w:rsidTr="002E2C37">
        <w:trPr>
          <w:trHeight w:val="70"/>
        </w:trPr>
        <w:tc>
          <w:tcPr>
            <w:tcW w:w="9016" w:type="dxa"/>
            <w:gridSpan w:val="2"/>
          </w:tcPr>
          <w:p w14:paraId="3371E70E"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color w:val="000000"/>
                <w:sz w:val="20"/>
                <w:szCs w:val="20"/>
                <w:lang w:eastAsia="en-ZA"/>
              </w:rPr>
              <w:t xml:space="preserve"> </w:t>
            </w:r>
            <w:r w:rsidRPr="00EB792B">
              <w:rPr>
                <w:rFonts w:ascii="Times New Roman" w:eastAsia="Times New Roman" w:hAnsi="Times New Roman" w:cs="Times New Roman"/>
                <w:i/>
                <w:iCs/>
                <w:sz w:val="20"/>
                <w:szCs w:val="20"/>
                <w:lang w:eastAsia="en-ZA"/>
              </w:rPr>
              <w:t xml:space="preserve">Faxinous rusticus </w:t>
            </w:r>
            <w:r w:rsidRPr="00EB792B">
              <w:rPr>
                <w:rFonts w:ascii="Times New Roman" w:eastAsia="Times New Roman" w:hAnsi="Times New Roman" w:cs="Times New Roman"/>
                <w:sz w:val="20"/>
                <w:szCs w:val="20"/>
                <w:lang w:eastAsia="en-ZA"/>
              </w:rPr>
              <w:t xml:space="preserve">can disperse naturally in aquatic environments but has limited ability to disperse overland (Claussen et al. 2000; Byron &amp; Wilson 2001; Hamr 2002). </w:t>
            </w:r>
            <w:r w:rsidRPr="00EB792B">
              <w:rPr>
                <w:rFonts w:ascii="Times New Roman" w:eastAsia="Times New Roman" w:hAnsi="Times New Roman" w:cs="Times New Roman"/>
                <w:color w:val="000000"/>
                <w:sz w:val="20"/>
                <w:szCs w:val="20"/>
                <w:lang w:eastAsia="en-ZA"/>
              </w:rPr>
              <w:t xml:space="preserve">There are no known populations of </w:t>
            </w:r>
            <w:r w:rsidRPr="00EB792B">
              <w:rPr>
                <w:rFonts w:ascii="Times New Roman" w:eastAsia="Times New Roman" w:hAnsi="Times New Roman" w:cs="Times New Roman"/>
                <w:i/>
                <w:iCs/>
                <w:color w:val="000000"/>
                <w:sz w:val="20"/>
                <w:szCs w:val="20"/>
                <w:lang w:eastAsia="en-ZA"/>
              </w:rPr>
              <w:t xml:space="preserve">F. rusticus </w:t>
            </w:r>
            <w:r w:rsidRPr="00EB792B">
              <w:rPr>
                <w:rFonts w:ascii="Times New Roman" w:eastAsia="Times New Roman" w:hAnsi="Times New Roman" w:cs="Times New Roman"/>
                <w:color w:val="000000"/>
                <w:sz w:val="20"/>
                <w:szCs w:val="20"/>
                <w:lang w:eastAsia="en-ZA"/>
              </w:rPr>
              <w:t xml:space="preserve">present in countries neighbouring South Africa that could lead to secondary dispersal events through connected waterways </w:t>
            </w:r>
            <w:r w:rsidRPr="00EB792B">
              <w:rPr>
                <w:rFonts w:ascii="Times New Roman" w:eastAsia="Times New Roman" w:hAnsi="Times New Roman" w:cs="Times New Roman"/>
                <w:color w:val="000000"/>
                <w:sz w:val="20"/>
                <w:szCs w:val="20"/>
                <w:lang w:eastAsia="en-ZA"/>
              </w:rPr>
              <w:fldChar w:fldCharType="begin" w:fldLock="1"/>
            </w:r>
            <w:r w:rsidRPr="00EB792B">
              <w:rPr>
                <w:rFonts w:ascii="Times New Roman" w:eastAsia="Times New Roman" w:hAnsi="Times New Roman" w:cs="Times New Roman"/>
                <w:color w:val="000000"/>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"mendeley" : { "formattedCitation" : "(Madzivanzira et al. 2020)", "plainTextFormattedCitation" : "(Madzivanzira et al. 2020)", "previouslyFormattedCitation" : "(Madzivanzira et al. 2020)" }, "properties" : { "noteIndex" : 0 }, "schema" : "https://github.com/citation-style-language/schema/raw/master/csl-citation.json" }</w:instrText>
            </w:r>
            <w:r w:rsidRPr="00EB792B">
              <w:rPr>
                <w:rFonts w:ascii="Times New Roman" w:eastAsia="Times New Roman" w:hAnsi="Times New Roman" w:cs="Times New Roman"/>
                <w:color w:val="000000"/>
                <w:sz w:val="20"/>
                <w:szCs w:val="20"/>
                <w:lang w:eastAsia="en-ZA"/>
              </w:rPr>
              <w:fldChar w:fldCharType="separate"/>
            </w:r>
            <w:r w:rsidRPr="00EB792B">
              <w:rPr>
                <w:rFonts w:ascii="Times New Roman" w:eastAsia="Times New Roman" w:hAnsi="Times New Roman" w:cs="Times New Roman"/>
                <w:noProof/>
                <w:color w:val="000000"/>
                <w:sz w:val="20"/>
                <w:szCs w:val="20"/>
                <w:lang w:eastAsia="en-ZA"/>
              </w:rPr>
              <w:t>(Madzivanzira et al. 2020)</w:t>
            </w:r>
            <w:r w:rsidRPr="00EB792B">
              <w:rPr>
                <w:rFonts w:ascii="Times New Roman" w:eastAsia="Times New Roman" w:hAnsi="Times New Roman" w:cs="Times New Roman"/>
                <w:color w:val="000000"/>
                <w:sz w:val="20"/>
                <w:szCs w:val="20"/>
                <w:lang w:eastAsia="en-ZA"/>
              </w:rPr>
              <w:fldChar w:fldCharType="end"/>
            </w:r>
            <w:r w:rsidRPr="00EB792B">
              <w:rPr>
                <w:rFonts w:ascii="Times New Roman" w:eastAsia="Times New Roman" w:hAnsi="Times New Roman" w:cs="Times New Roman"/>
                <w:color w:val="000000"/>
                <w:sz w:val="20"/>
                <w:szCs w:val="20"/>
                <w:lang w:eastAsia="en-ZA"/>
              </w:rPr>
              <w:t>.</w:t>
            </w:r>
            <w:r w:rsidRPr="00233C97">
              <w:rPr>
                <w:rFonts w:ascii="Times New Roman" w:eastAsia="Times New Roman" w:hAnsi="Times New Roman" w:cs="Times New Roman"/>
                <w:color w:val="000000"/>
                <w:sz w:val="20"/>
                <w:szCs w:val="20"/>
                <w:lang w:eastAsia="en-ZA"/>
              </w:rPr>
              <w:t xml:space="preserve"> </w:t>
            </w:r>
          </w:p>
        </w:tc>
      </w:tr>
      <w:tr w:rsidR="002D7080" w:rsidRPr="00592486" w14:paraId="10489B64" w14:textId="77777777" w:rsidTr="002E2C37">
        <w:tc>
          <w:tcPr>
            <w:tcW w:w="9016" w:type="dxa"/>
            <w:gridSpan w:val="2"/>
          </w:tcPr>
          <w:p w14:paraId="7D021913" w14:textId="77777777" w:rsidR="002D7080" w:rsidRPr="0030237C" w:rsidRDefault="002D7080" w:rsidP="002E2C37">
            <w:pPr>
              <w:contextualSpacing/>
              <w:rPr>
                <w:rFonts w:ascii="Times New Roman" w:eastAsia="Times New Roman" w:hAnsi="Times New Roman" w:cs="Times New Roman"/>
                <w:color w:val="000000" w:themeColor="text1"/>
                <w:sz w:val="20"/>
                <w:szCs w:val="20"/>
                <w:lang w:eastAsia="en-ZA"/>
              </w:rPr>
            </w:pPr>
            <w:r w:rsidRPr="0030237C">
              <w:rPr>
                <w:rFonts w:ascii="Times New Roman" w:eastAsia="Times New Roman" w:hAnsi="Times New Roman" w:cs="Times New Roman"/>
                <w:color w:val="000000" w:themeColor="text1"/>
                <w:sz w:val="20"/>
                <w:szCs w:val="20"/>
                <w:lang w:eastAsia="en-ZA"/>
              </w:rPr>
              <w:t xml:space="preserve">References: </w:t>
            </w:r>
          </w:p>
          <w:p w14:paraId="5488F825" w14:textId="0C76F4EB" w:rsidR="002D7080" w:rsidRPr="0030237C" w:rsidRDefault="002D7080" w:rsidP="002E2C37">
            <w:pPr>
              <w:ind w:left="720" w:hanging="720"/>
              <w:contextualSpacing/>
              <w:jc w:val="both"/>
              <w:rPr>
                <w:rFonts w:ascii="Times New Roman" w:eastAsia="Calibri" w:hAnsi="Times New Roman" w:cs="Times New Roman"/>
                <w:color w:val="000000" w:themeColor="text1"/>
                <w:sz w:val="20"/>
                <w:szCs w:val="20"/>
              </w:rPr>
            </w:pPr>
            <w:r w:rsidRPr="0030237C">
              <w:rPr>
                <w:rFonts w:ascii="Times New Roman" w:eastAsia="Calibri" w:hAnsi="Times New Roman" w:cs="Times New Roman"/>
                <w:color w:val="000000" w:themeColor="text1"/>
                <w:sz w:val="20"/>
                <w:szCs w:val="20"/>
              </w:rPr>
              <w:t>Byron, C.J. &amp; Wilson, K.A., 2001, ‘Rusty crayfish (</w:t>
            </w:r>
            <w:r w:rsidRPr="0030237C">
              <w:rPr>
                <w:rFonts w:ascii="Times New Roman" w:eastAsia="Calibri" w:hAnsi="Times New Roman" w:cs="Times New Roman"/>
                <w:i/>
                <w:iCs/>
                <w:color w:val="000000" w:themeColor="text1"/>
                <w:sz w:val="20"/>
                <w:szCs w:val="20"/>
              </w:rPr>
              <w:t>Orconectes rusticus</w:t>
            </w:r>
            <w:r w:rsidRPr="0030237C">
              <w:rPr>
                <w:rFonts w:ascii="Times New Roman" w:eastAsia="Calibri" w:hAnsi="Times New Roman" w:cs="Times New Roman"/>
                <w:color w:val="000000" w:themeColor="text1"/>
                <w:sz w:val="20"/>
                <w:szCs w:val="20"/>
              </w:rPr>
              <w:t>) movement within and between habitats in Trout Lake, Vilas County, Wisconsin’, </w:t>
            </w:r>
            <w:r w:rsidRPr="0030237C">
              <w:rPr>
                <w:rFonts w:ascii="Times New Roman" w:eastAsia="Calibri" w:hAnsi="Times New Roman" w:cs="Times New Roman"/>
                <w:i/>
                <w:iCs/>
                <w:color w:val="000000" w:themeColor="text1"/>
                <w:sz w:val="20"/>
                <w:szCs w:val="20"/>
              </w:rPr>
              <w:t>Journal of the North American Benthological Society</w:t>
            </w:r>
            <w:r w:rsidRPr="0030237C">
              <w:rPr>
                <w:rFonts w:ascii="Times New Roman" w:eastAsia="Calibri" w:hAnsi="Times New Roman" w:cs="Times New Roman"/>
                <w:color w:val="000000" w:themeColor="text1"/>
                <w:sz w:val="20"/>
                <w:szCs w:val="20"/>
              </w:rPr>
              <w:t> 20, 606–614.</w:t>
            </w:r>
            <w:r w:rsidR="007A6D39">
              <w:rPr>
                <w:rFonts w:ascii="Times New Roman" w:eastAsia="Calibri" w:hAnsi="Times New Roman" w:cs="Times New Roman"/>
                <w:color w:val="000000" w:themeColor="text1"/>
                <w:sz w:val="20"/>
                <w:szCs w:val="20"/>
              </w:rPr>
              <w:t xml:space="preserve"> </w:t>
            </w:r>
          </w:p>
          <w:p w14:paraId="25A4823A" w14:textId="77777777" w:rsidR="002D7080" w:rsidRPr="0030237C" w:rsidRDefault="002D7080" w:rsidP="002E2C37">
            <w:pPr>
              <w:ind w:left="720" w:hanging="720"/>
              <w:contextualSpacing/>
              <w:jc w:val="both"/>
              <w:rPr>
                <w:rFonts w:ascii="Times New Roman" w:hAnsi="Times New Roman" w:cs="Times New Roman"/>
                <w:color w:val="000000" w:themeColor="text1"/>
                <w:sz w:val="20"/>
                <w:szCs w:val="20"/>
                <w:shd w:val="clear" w:color="auto" w:fill="FFFFFF"/>
              </w:rPr>
            </w:pPr>
            <w:r w:rsidRPr="0030237C">
              <w:rPr>
                <w:rFonts w:ascii="Times New Roman" w:hAnsi="Times New Roman" w:cs="Times New Roman"/>
                <w:color w:val="000000" w:themeColor="text1"/>
                <w:sz w:val="20"/>
                <w:szCs w:val="20"/>
                <w:shd w:val="clear" w:color="auto" w:fill="FFFFFF"/>
              </w:rPr>
              <w:t>Hamr, P., 2002. Orconectes. In: </w:t>
            </w:r>
            <w:r w:rsidRPr="0030237C">
              <w:rPr>
                <w:rStyle w:val="Emphasis"/>
                <w:rFonts w:ascii="Times New Roman" w:hAnsi="Times New Roman" w:cs="Times New Roman"/>
                <w:color w:val="000000" w:themeColor="text1"/>
                <w:sz w:val="20"/>
                <w:szCs w:val="20"/>
                <w:shd w:val="clear" w:color="auto" w:fill="FFFFFF"/>
              </w:rPr>
              <w:t>Biology of freshwater crayfish</w:t>
            </w:r>
            <w:r w:rsidRPr="0030237C">
              <w:rPr>
                <w:rFonts w:ascii="Times New Roman" w:hAnsi="Times New Roman" w:cs="Times New Roman"/>
                <w:color w:val="000000" w:themeColor="text1"/>
                <w:sz w:val="20"/>
                <w:szCs w:val="20"/>
                <w:shd w:val="clear" w:color="auto" w:fill="FFFFFF"/>
              </w:rPr>
              <w:t>, [ed. by Holdich, D. M.]. Oxford, UK: Blackwell Science. 585-608.</w:t>
            </w:r>
          </w:p>
          <w:p w14:paraId="3324BC4B" w14:textId="77777777" w:rsidR="002D7080" w:rsidRPr="0030237C" w:rsidRDefault="002D7080" w:rsidP="002E2C37">
            <w:pPr>
              <w:ind w:left="720" w:hanging="720"/>
              <w:contextualSpacing/>
              <w:jc w:val="both"/>
              <w:rPr>
                <w:rFonts w:ascii="Times New Roman" w:eastAsia="Calibri" w:hAnsi="Times New Roman" w:cs="Times New Roman"/>
                <w:color w:val="000000" w:themeColor="text1"/>
                <w:sz w:val="20"/>
                <w:szCs w:val="20"/>
              </w:rPr>
            </w:pPr>
            <w:r w:rsidRPr="0030237C">
              <w:rPr>
                <w:rFonts w:ascii="Times New Roman" w:hAnsi="Times New Roman" w:cs="Times New Roman"/>
                <w:color w:val="000000" w:themeColor="text1"/>
                <w:sz w:val="20"/>
                <w:szCs w:val="20"/>
                <w:shd w:val="clear" w:color="auto" w:fill="FFFFFF"/>
              </w:rPr>
              <w:t xml:space="preserve">Claussen DL, Hopper RA, Sanker AM, 2000. The effects of temperature, body size, and hydration state on the terrestrial locomotion of the crayfish </w:t>
            </w:r>
            <w:r w:rsidRPr="0030237C">
              <w:rPr>
                <w:rFonts w:ascii="Times New Roman" w:hAnsi="Times New Roman" w:cs="Times New Roman"/>
                <w:i/>
                <w:iCs/>
                <w:color w:val="000000" w:themeColor="text1"/>
                <w:sz w:val="20"/>
                <w:szCs w:val="20"/>
                <w:shd w:val="clear" w:color="auto" w:fill="FFFFFF"/>
              </w:rPr>
              <w:t>Orconectes rusticus</w:t>
            </w:r>
            <w:r w:rsidRPr="0030237C">
              <w:rPr>
                <w:rFonts w:ascii="Times New Roman" w:hAnsi="Times New Roman" w:cs="Times New Roman"/>
                <w:color w:val="000000" w:themeColor="text1"/>
                <w:sz w:val="20"/>
                <w:szCs w:val="20"/>
                <w:shd w:val="clear" w:color="auto" w:fill="FFFFFF"/>
              </w:rPr>
              <w:t>. </w:t>
            </w:r>
            <w:r w:rsidRPr="0030237C">
              <w:rPr>
                <w:rStyle w:val="Emphasis"/>
                <w:rFonts w:ascii="Times New Roman" w:hAnsi="Times New Roman" w:cs="Times New Roman"/>
                <w:color w:val="000000" w:themeColor="text1"/>
                <w:sz w:val="20"/>
                <w:szCs w:val="20"/>
                <w:shd w:val="clear" w:color="auto" w:fill="FFFFFF"/>
              </w:rPr>
              <w:t>Journal of Crustacean Biology</w:t>
            </w:r>
            <w:r w:rsidRPr="0030237C">
              <w:rPr>
                <w:rFonts w:ascii="Times New Roman" w:hAnsi="Times New Roman" w:cs="Times New Roman"/>
                <w:color w:val="000000" w:themeColor="text1"/>
                <w:sz w:val="20"/>
                <w:szCs w:val="20"/>
                <w:shd w:val="clear" w:color="auto" w:fill="FFFFFF"/>
              </w:rPr>
              <w:t>, 20218-223</w:t>
            </w:r>
          </w:p>
          <w:p w14:paraId="23585F31" w14:textId="3E5F7D93" w:rsidR="002D7080" w:rsidRPr="0030237C" w:rsidRDefault="002D7080" w:rsidP="002E2C37">
            <w:pPr>
              <w:ind w:left="720" w:hanging="720"/>
              <w:contextualSpacing/>
              <w:jc w:val="both"/>
              <w:rPr>
                <w:rFonts w:ascii="Times New Roman" w:eastAsia="Times New Roman" w:hAnsi="Times New Roman" w:cs="Times New Roman"/>
                <w:color w:val="000000" w:themeColor="text1"/>
                <w:sz w:val="20"/>
                <w:szCs w:val="20"/>
                <w:lang w:eastAsia="en-ZA"/>
              </w:rPr>
            </w:pPr>
            <w:r w:rsidRPr="0030237C">
              <w:rPr>
                <w:rFonts w:ascii="Times New Roman" w:eastAsia="Calibri" w:hAnsi="Times New Roman" w:cs="Times New Roman"/>
                <w:color w:val="000000" w:themeColor="text1"/>
                <w:sz w:val="20"/>
                <w:szCs w:val="20"/>
              </w:rPr>
              <w:t>Madzivanzira, T.C., South, J., Wood, L.E., Nunes, A.L.</w:t>
            </w:r>
            <w:r w:rsidRPr="0030237C">
              <w:rPr>
                <w:rFonts w:ascii="Times New Roman" w:eastAsia="Times New Roman" w:hAnsi="Times New Roman" w:cs="Times New Roman"/>
                <w:color w:val="000000" w:themeColor="text1"/>
                <w:sz w:val="20"/>
                <w:szCs w:val="20"/>
                <w:lang w:eastAsia="en-ZA"/>
              </w:rPr>
              <w:t xml:space="preserve"> &amp; </w:t>
            </w:r>
            <w:r w:rsidRPr="0030237C">
              <w:rPr>
                <w:rFonts w:ascii="Times New Roman" w:eastAsia="Calibri" w:hAnsi="Times New Roman" w:cs="Times New Roman"/>
                <w:color w:val="000000" w:themeColor="text1"/>
                <w:sz w:val="20"/>
                <w:szCs w:val="20"/>
              </w:rPr>
              <w:t xml:space="preserve">Weyl, O.L.F., 2020, ‘A review of freshwater crayfish introductions in Africa’, </w:t>
            </w:r>
            <w:r w:rsidRPr="0030237C">
              <w:rPr>
                <w:rFonts w:ascii="Times New Roman" w:eastAsia="Calibri" w:hAnsi="Times New Roman" w:cs="Times New Roman"/>
                <w:i/>
                <w:color w:val="000000" w:themeColor="text1"/>
                <w:sz w:val="20"/>
                <w:szCs w:val="20"/>
              </w:rPr>
              <w:t>Reviews in</w:t>
            </w:r>
            <w:r w:rsidRPr="0030237C">
              <w:rPr>
                <w:rFonts w:ascii="Times New Roman" w:eastAsia="Times New Roman" w:hAnsi="Times New Roman" w:cs="Times New Roman"/>
                <w:i/>
                <w:color w:val="000000" w:themeColor="text1"/>
                <w:sz w:val="20"/>
                <w:szCs w:val="20"/>
                <w:lang w:eastAsia="en-ZA"/>
              </w:rPr>
              <w:t xml:space="preserve"> </w:t>
            </w:r>
            <w:r w:rsidRPr="0030237C">
              <w:rPr>
                <w:rFonts w:ascii="Times New Roman" w:eastAsia="Calibri" w:hAnsi="Times New Roman" w:cs="Times New Roman"/>
                <w:i/>
                <w:color w:val="000000" w:themeColor="text1"/>
                <w:sz w:val="20"/>
                <w:szCs w:val="20"/>
              </w:rPr>
              <w:t>Fisheries Science &amp; Aquaculture</w:t>
            </w:r>
            <w:r w:rsidRPr="0030237C">
              <w:rPr>
                <w:rFonts w:ascii="Times New Roman" w:eastAsia="Calibri" w:hAnsi="Times New Roman" w:cs="Times New Roman"/>
                <w:color w:val="000000" w:themeColor="text1"/>
                <w:sz w:val="20"/>
                <w:szCs w:val="20"/>
              </w:rPr>
              <w:t>,</w:t>
            </w:r>
            <w:r w:rsidRPr="0030237C">
              <w:rPr>
                <w:rFonts w:ascii="Times New Roman" w:eastAsia="Calibri" w:hAnsi="Times New Roman" w:cs="Times New Roman"/>
                <w:i/>
                <w:color w:val="000000" w:themeColor="text1"/>
                <w:sz w:val="20"/>
                <w:szCs w:val="20"/>
              </w:rPr>
              <w:t xml:space="preserve"> </w:t>
            </w:r>
            <w:r w:rsidRPr="0030237C">
              <w:rPr>
                <w:rFonts w:ascii="Times New Roman" w:eastAsia="Calibri" w:hAnsi="Times New Roman" w:cs="Times New Roman"/>
                <w:color w:val="000000" w:themeColor="text1"/>
                <w:sz w:val="20"/>
                <w:szCs w:val="20"/>
              </w:rPr>
              <w:t xml:space="preserve">1-21. </w:t>
            </w:r>
            <w:r w:rsidR="007A6D39" w:rsidRPr="00D66918">
              <w:rPr>
                <w:rFonts w:ascii="Times New Roman" w:eastAsia="Calibri" w:hAnsi="Times New Roman" w:cs="Times New Roman"/>
                <w:color w:val="000000" w:themeColor="text1"/>
                <w:sz w:val="20"/>
                <w:szCs w:val="20"/>
              </w:rPr>
              <w:t>https://doi.org/10.1080/23308249.2020.1802405</w:t>
            </w:r>
            <w:r w:rsidRPr="0030237C">
              <w:rPr>
                <w:rFonts w:ascii="Times New Roman" w:eastAsia="Times New Roman" w:hAnsi="Times New Roman" w:cs="Times New Roman"/>
                <w:color w:val="000000" w:themeColor="text1"/>
                <w:sz w:val="20"/>
                <w:szCs w:val="20"/>
                <w:lang w:eastAsia="en-ZA"/>
              </w:rPr>
              <w:t>.</w:t>
            </w:r>
          </w:p>
        </w:tc>
      </w:tr>
    </w:tbl>
    <w:p w14:paraId="4C7E14D5" w14:textId="77777777" w:rsidR="002D7080" w:rsidRPr="00233C97"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592486" w14:paraId="306F4E79" w14:textId="77777777" w:rsidTr="002E2C37">
        <w:tc>
          <w:tcPr>
            <w:tcW w:w="9016" w:type="dxa"/>
            <w:gridSpan w:val="2"/>
            <w:shd w:val="clear" w:color="auto" w:fill="F2F2F2" w:themeFill="background1" w:themeFillShade="F2"/>
          </w:tcPr>
          <w:p w14:paraId="1BF2107D" w14:textId="77777777" w:rsidR="002D7080" w:rsidRPr="00233C97" w:rsidRDefault="002D7080" w:rsidP="002E2C37">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LIK6 Human aided secondary (dispersal) pathways</w:t>
            </w:r>
          </w:p>
        </w:tc>
      </w:tr>
      <w:tr w:rsidR="002D7080" w:rsidRPr="00592486" w14:paraId="5894F835" w14:textId="77777777" w:rsidTr="002E2C37">
        <w:tc>
          <w:tcPr>
            <w:tcW w:w="5524" w:type="dxa"/>
          </w:tcPr>
          <w:p w14:paraId="3922413D"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lastRenderedPageBreak/>
              <w:t xml:space="preserve">Response: </w:t>
            </w:r>
            <w:r w:rsidRPr="00233C97">
              <w:rPr>
                <w:rFonts w:ascii="Times New Roman" w:eastAsia="Times New Roman" w:hAnsi="Times New Roman" w:cs="Times New Roman"/>
                <w:color w:val="000000"/>
                <w:sz w:val="20"/>
                <w:szCs w:val="20"/>
                <w:lang w:eastAsia="en-ZA"/>
              </w:rPr>
              <w:t>Fairly probable (p = 0.5)</w:t>
            </w:r>
          </w:p>
        </w:tc>
        <w:tc>
          <w:tcPr>
            <w:tcW w:w="3492" w:type="dxa"/>
          </w:tcPr>
          <w:p w14:paraId="722D8D5C"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Medium</w:t>
            </w:r>
          </w:p>
        </w:tc>
      </w:tr>
      <w:tr w:rsidR="002D7080" w:rsidRPr="00592486" w14:paraId="1AE83DB3" w14:textId="77777777" w:rsidTr="002E2C37">
        <w:tc>
          <w:tcPr>
            <w:tcW w:w="9016" w:type="dxa"/>
            <w:gridSpan w:val="2"/>
          </w:tcPr>
          <w:p w14:paraId="6602F7C5"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Rationale: Intentional release into the wild through the pet/ aquarium/ terrarium species and live bait pathways remains a concern. </w:t>
            </w:r>
            <w:r w:rsidRPr="00233C97">
              <w:rPr>
                <w:rFonts w:ascii="Times New Roman" w:eastAsia="Times New Roman" w:hAnsi="Times New Roman" w:cs="Times New Roman"/>
                <w:color w:val="000000"/>
                <w:sz w:val="20"/>
                <w:szCs w:val="20"/>
                <w:lang w:eastAsia="en-ZA"/>
              </w:rPr>
              <w:t xml:space="preserve">In areas of introduction, </w:t>
            </w:r>
            <w:r w:rsidRPr="00233C97">
              <w:rPr>
                <w:rFonts w:ascii="Times New Roman" w:eastAsia="Times New Roman" w:hAnsi="Times New Roman" w:cs="Times New Roman"/>
                <w:i/>
                <w:color w:val="000000"/>
                <w:sz w:val="20"/>
                <w:szCs w:val="20"/>
                <w:lang w:eastAsia="en-ZA"/>
              </w:rPr>
              <w:t>Faxonius rusticus</w:t>
            </w:r>
            <w:r w:rsidRPr="00233C97">
              <w:rPr>
                <w:rFonts w:ascii="Times New Roman" w:eastAsia="Times New Roman" w:hAnsi="Times New Roman" w:cs="Times New Roman"/>
                <w:color w:val="000000"/>
                <w:sz w:val="20"/>
                <w:szCs w:val="20"/>
                <w:lang w:eastAsia="en-ZA"/>
              </w:rPr>
              <w:t xml:space="preserve"> has been released into the wild by humans as unwanted pets and bucket release by anglers into waterways where they are used as bait, dispersing into new areas </w:t>
            </w:r>
            <w:r w:rsidRPr="00233C97">
              <w:rPr>
                <w:rFonts w:ascii="Times New Roman" w:eastAsia="Times New Roman" w:hAnsi="Times New Roman" w:cs="Times New Roman"/>
                <w:color w:val="000000"/>
                <w:sz w:val="20"/>
                <w:szCs w:val="20"/>
                <w:lang w:eastAsia="en-ZA"/>
              </w:rPr>
              <w:fldChar w:fldCharType="begin" w:fldLock="1"/>
            </w:r>
            <w:r w:rsidRPr="00233C97">
              <w:rPr>
                <w:rFonts w:ascii="Times New Roman" w:eastAsia="Times New Roman" w:hAnsi="Times New Roman" w:cs="Times New Roman"/>
                <w:color w:val="000000"/>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"manualFormatting" : "(Faulkes 2015, Olden et al. 2009)", "plainTextFormattedCitation" : "(Faulkes 2015)", "previouslyFormattedCitation" : "(Faulkes 2015)" }, "properties" : { "noteIndex" : 0 }, "schema" : "https://github.com/citation-style-language/schema/raw/master/csl-citation.json" }</w:instrText>
            </w:r>
            <w:r w:rsidRPr="00233C97">
              <w:rPr>
                <w:rFonts w:ascii="Times New Roman" w:eastAsia="Times New Roman" w:hAnsi="Times New Roman" w:cs="Times New Roman"/>
                <w:color w:val="000000"/>
                <w:sz w:val="20"/>
                <w:szCs w:val="20"/>
                <w:lang w:eastAsia="en-ZA"/>
              </w:rPr>
              <w:fldChar w:fldCharType="separate"/>
            </w:r>
            <w:r w:rsidRPr="00233C97">
              <w:rPr>
                <w:rFonts w:ascii="Times New Roman" w:eastAsia="Times New Roman" w:hAnsi="Times New Roman" w:cs="Times New Roman"/>
                <w:noProof/>
                <w:color w:val="000000"/>
                <w:sz w:val="20"/>
                <w:szCs w:val="20"/>
                <w:lang w:eastAsia="en-ZA"/>
              </w:rPr>
              <w:t>(Faulkes 2015; Olden et al. 2009)</w:t>
            </w:r>
            <w:r w:rsidRPr="00233C97">
              <w:rPr>
                <w:rFonts w:ascii="Times New Roman" w:eastAsia="Times New Roman" w:hAnsi="Times New Roman" w:cs="Times New Roman"/>
                <w:color w:val="000000"/>
                <w:sz w:val="20"/>
                <w:szCs w:val="20"/>
                <w:lang w:eastAsia="en-ZA"/>
              </w:rPr>
              <w:fldChar w:fldCharType="end"/>
            </w:r>
            <w:r w:rsidRPr="00233C97">
              <w:rPr>
                <w:rFonts w:ascii="Times New Roman" w:eastAsia="Times New Roman" w:hAnsi="Times New Roman" w:cs="Times New Roman"/>
                <w:color w:val="000000"/>
                <w:sz w:val="20"/>
                <w:szCs w:val="20"/>
                <w:lang w:eastAsia="en-ZA"/>
              </w:rPr>
              <w:t>.</w:t>
            </w:r>
          </w:p>
        </w:tc>
      </w:tr>
      <w:tr w:rsidR="002D7080" w:rsidRPr="00592486" w14:paraId="6D5DF479" w14:textId="77777777" w:rsidTr="002E2C37">
        <w:tc>
          <w:tcPr>
            <w:tcW w:w="9016" w:type="dxa"/>
            <w:gridSpan w:val="2"/>
          </w:tcPr>
          <w:p w14:paraId="5A93BC8A" w14:textId="77777777" w:rsidR="002D7080" w:rsidRPr="00233C97" w:rsidRDefault="002D7080" w:rsidP="002E2C37">
            <w:pPr>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References: </w:t>
            </w:r>
          </w:p>
          <w:p w14:paraId="70B4E308" w14:textId="706150AF" w:rsidR="002D7080" w:rsidRPr="00233C97" w:rsidRDefault="002D7080" w:rsidP="002E2C37">
            <w:pPr>
              <w:ind w:left="720" w:hanging="720"/>
              <w:contextualSpacing/>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Faulkes, Z., 2015, ‘The global trade in crayfish as pets’, </w:t>
            </w:r>
            <w:r w:rsidRPr="00233C97">
              <w:rPr>
                <w:rFonts w:ascii="Times New Roman" w:eastAsia="Times New Roman" w:hAnsi="Times New Roman" w:cs="Times New Roman"/>
                <w:i/>
                <w:iCs/>
                <w:sz w:val="20"/>
                <w:szCs w:val="20"/>
                <w:lang w:eastAsia="en-ZA"/>
              </w:rPr>
              <w:t>Crustacean Research</w:t>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Cs/>
                <w:sz w:val="20"/>
                <w:szCs w:val="20"/>
                <w:lang w:eastAsia="en-ZA"/>
              </w:rPr>
              <w:t>44</w:t>
            </w:r>
            <w:r w:rsidRPr="00233C97">
              <w:rPr>
                <w:rFonts w:ascii="Times New Roman" w:eastAsia="Times New Roman" w:hAnsi="Times New Roman" w:cs="Times New Roman"/>
                <w:sz w:val="20"/>
                <w:szCs w:val="20"/>
                <w:lang w:eastAsia="en-ZA"/>
              </w:rPr>
              <w:t xml:space="preserve">, 75–92. </w:t>
            </w:r>
            <w:hyperlink r:id="rId325" w:history="1">
              <w:r w:rsidR="007A6D39" w:rsidRPr="007A6D39">
                <w:rPr>
                  <w:rStyle w:val="Hyperlink"/>
                  <w:rFonts w:ascii="Times New Roman" w:eastAsia="Times New Roman" w:hAnsi="Times New Roman" w:cs="Times New Roman"/>
                  <w:sz w:val="20"/>
                  <w:szCs w:val="20"/>
                  <w:lang w:eastAsia="en-ZA"/>
                </w:rPr>
                <w:t>https://doi.org/10.18353/crustacea.44.0_75</w:t>
              </w:r>
            </w:hyperlink>
            <w:r w:rsidRPr="00233C97">
              <w:rPr>
                <w:rFonts w:ascii="Times New Roman" w:eastAsia="Times New Roman" w:hAnsi="Times New Roman" w:cs="Times New Roman"/>
                <w:sz w:val="20"/>
                <w:szCs w:val="20"/>
                <w:lang w:eastAsia="en-ZA"/>
              </w:rPr>
              <w:t>.</w:t>
            </w:r>
          </w:p>
          <w:p w14:paraId="66768F22" w14:textId="0BF13027" w:rsidR="002D7080" w:rsidRPr="00233C97" w:rsidRDefault="002D7080" w:rsidP="002E2C37">
            <w:pPr>
              <w:ind w:left="720" w:hanging="720"/>
              <w:contextualSpacing/>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 xml:space="preserve">Olden, J.D., Adams, J.W. &amp; Larson, E.R., 2009, ‘First record of </w:t>
            </w:r>
            <w:r w:rsidRPr="00233C97">
              <w:rPr>
                <w:rFonts w:ascii="Times New Roman" w:eastAsia="Times New Roman" w:hAnsi="Times New Roman" w:cs="Times New Roman"/>
                <w:i/>
                <w:color w:val="000000"/>
                <w:sz w:val="20"/>
                <w:szCs w:val="20"/>
                <w:lang w:eastAsia="en-ZA"/>
              </w:rPr>
              <w:t>Orconectes rusticus</w:t>
            </w:r>
            <w:r w:rsidRPr="00233C97">
              <w:rPr>
                <w:rFonts w:ascii="Times New Roman" w:eastAsia="Times New Roman" w:hAnsi="Times New Roman" w:cs="Times New Roman"/>
                <w:color w:val="000000"/>
                <w:sz w:val="20"/>
                <w:szCs w:val="20"/>
                <w:lang w:eastAsia="en-ZA"/>
              </w:rPr>
              <w:t xml:space="preserve"> (Girard, 1852) (Decapoda, Cambaridae) west of the great continental divide in North America’, </w:t>
            </w:r>
            <w:r w:rsidRPr="00233C97">
              <w:rPr>
                <w:rFonts w:ascii="Times New Roman" w:eastAsia="Times New Roman" w:hAnsi="Times New Roman" w:cs="Times New Roman"/>
                <w:i/>
                <w:iCs/>
                <w:color w:val="000000"/>
                <w:sz w:val="20"/>
                <w:szCs w:val="20"/>
                <w:lang w:eastAsia="en-ZA"/>
              </w:rPr>
              <w:t>Crustaceana</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Cs/>
                <w:color w:val="000000"/>
                <w:sz w:val="20"/>
                <w:szCs w:val="20"/>
                <w:lang w:eastAsia="en-ZA"/>
              </w:rPr>
              <w:t>82</w:t>
            </w:r>
            <w:r w:rsidRPr="00233C97">
              <w:rPr>
                <w:rFonts w:ascii="Times New Roman" w:eastAsia="Times New Roman" w:hAnsi="Times New Roman" w:cs="Times New Roman"/>
                <w:color w:val="000000"/>
                <w:sz w:val="20"/>
                <w:szCs w:val="20"/>
                <w:lang w:eastAsia="en-ZA"/>
              </w:rPr>
              <w:t>, 1347–1351.</w:t>
            </w:r>
            <w:r w:rsidR="007A6D39" w:rsidRPr="007A6D39">
              <w:rPr>
                <w:rFonts w:ascii="Times New Roman" w:hAnsi="Times New Roman" w:cs="Times New Roman"/>
                <w:color w:val="000000"/>
                <w:sz w:val="20"/>
                <w:szCs w:val="20"/>
              </w:rPr>
              <w:t xml:space="preserve"> https://doi.org/10.1163/156854009X448934</w:t>
            </w:r>
            <w:r w:rsidRPr="00233C97">
              <w:rPr>
                <w:rFonts w:ascii="Times New Roman" w:eastAsia="Times New Roman" w:hAnsi="Times New Roman" w:cs="Times New Roman"/>
                <w:color w:val="000000"/>
                <w:sz w:val="20"/>
                <w:szCs w:val="20"/>
                <w:lang w:eastAsia="en-ZA"/>
              </w:rPr>
              <w:t>.</w:t>
            </w:r>
          </w:p>
        </w:tc>
      </w:tr>
    </w:tbl>
    <w:p w14:paraId="4878C017" w14:textId="77777777" w:rsidR="002D7080" w:rsidRPr="00233C97" w:rsidRDefault="002D7080" w:rsidP="002D7080">
      <w:pPr>
        <w:spacing w:after="0" w:line="240" w:lineRule="auto"/>
        <w:jc w:val="both"/>
        <w:rPr>
          <w:rFonts w:ascii="Times New Roman" w:eastAsia="Times New Roman" w:hAnsi="Times New Roman" w:cs="Times New Roman"/>
          <w:sz w:val="20"/>
          <w:szCs w:val="20"/>
          <w:lang w:eastAsia="en-ZA"/>
        </w:rPr>
      </w:pPr>
    </w:p>
    <w:p w14:paraId="5B6E0F31" w14:textId="77777777" w:rsidR="002D7080" w:rsidRPr="00233C97" w:rsidRDefault="002D7080" w:rsidP="002D7080">
      <w:pPr>
        <w:spacing w:after="0" w:line="240" w:lineRule="auto"/>
        <w:rPr>
          <w:rFonts w:ascii="Times New Roman" w:eastAsia="Times New Roman" w:hAnsi="Times New Roman" w:cs="Times New Roman"/>
          <w:b/>
          <w:sz w:val="20"/>
          <w:szCs w:val="20"/>
          <w:lang w:eastAsia="en-ZA"/>
        </w:rPr>
      </w:pPr>
    </w:p>
    <w:p w14:paraId="2849A6AA" w14:textId="77777777" w:rsidR="002D7080" w:rsidRPr="00233C97" w:rsidRDefault="002D7080" w:rsidP="002D7080">
      <w:pPr>
        <w:spacing w:after="0" w:line="240" w:lineRule="auto"/>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3. Consequences</w:t>
      </w:r>
    </w:p>
    <w:p w14:paraId="2C8B95C2" w14:textId="77777777" w:rsidR="002D7080" w:rsidRPr="00233C97"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592486" w14:paraId="64760847" w14:textId="77777777" w:rsidTr="002E2C37">
        <w:trPr>
          <w:trHeight w:val="343"/>
        </w:trPr>
        <w:tc>
          <w:tcPr>
            <w:tcW w:w="9016" w:type="dxa"/>
            <w:gridSpan w:val="2"/>
            <w:shd w:val="clear" w:color="auto" w:fill="F2F2F2" w:themeFill="background1" w:themeFillShade="F2"/>
          </w:tcPr>
          <w:p w14:paraId="01FD10B1"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CON1 Environmental impact</w:t>
            </w:r>
          </w:p>
        </w:tc>
      </w:tr>
      <w:tr w:rsidR="002D7080" w:rsidRPr="00592486" w14:paraId="6CB2F64F" w14:textId="77777777" w:rsidTr="002E2C37">
        <w:tc>
          <w:tcPr>
            <w:tcW w:w="9016" w:type="dxa"/>
            <w:gridSpan w:val="2"/>
            <w:shd w:val="clear" w:color="auto" w:fill="F2F2F2" w:themeFill="background1" w:themeFillShade="F2"/>
          </w:tcPr>
          <w:p w14:paraId="1F286B8E"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CON1a: Competition</w:t>
            </w:r>
          </w:p>
        </w:tc>
      </w:tr>
      <w:tr w:rsidR="002D7080" w:rsidRPr="00592486" w14:paraId="069CFA3B" w14:textId="77777777" w:rsidTr="002E2C37">
        <w:tc>
          <w:tcPr>
            <w:tcW w:w="5949" w:type="dxa"/>
          </w:tcPr>
          <w:p w14:paraId="28A018BB"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w:t>
            </w:r>
            <w:r w:rsidRPr="00233C97">
              <w:rPr>
                <w:rFonts w:ascii="Times New Roman" w:eastAsia="Times New Roman" w:hAnsi="Times New Roman" w:cs="Times New Roman"/>
                <w:color w:val="000000"/>
                <w:sz w:val="20"/>
                <w:szCs w:val="20"/>
                <w:lang w:eastAsia="en-ZA"/>
              </w:rPr>
              <w:t xml:space="preserve"> Major (MR)</w:t>
            </w:r>
          </w:p>
        </w:tc>
        <w:tc>
          <w:tcPr>
            <w:tcW w:w="3067" w:type="dxa"/>
          </w:tcPr>
          <w:p w14:paraId="20E1844B"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w:t>
            </w:r>
            <w:r w:rsidRPr="00233C97">
              <w:rPr>
                <w:rFonts w:ascii="Times New Roman" w:eastAsia="Times New Roman" w:hAnsi="Times New Roman" w:cs="Times New Roman"/>
                <w:color w:val="000000"/>
                <w:sz w:val="20"/>
                <w:szCs w:val="20"/>
                <w:lang w:eastAsia="en-ZA"/>
              </w:rPr>
              <w:t xml:space="preserve"> High </w:t>
            </w:r>
          </w:p>
        </w:tc>
      </w:tr>
      <w:tr w:rsidR="002D7080" w:rsidRPr="00592486" w14:paraId="3FD86DC0" w14:textId="77777777" w:rsidTr="002E2C37">
        <w:trPr>
          <w:trHeight w:val="70"/>
        </w:trPr>
        <w:tc>
          <w:tcPr>
            <w:tcW w:w="9016" w:type="dxa"/>
            <w:gridSpan w:val="2"/>
          </w:tcPr>
          <w:p w14:paraId="4F3859C3" w14:textId="77777777" w:rsidR="002D7080" w:rsidRPr="0049045F" w:rsidRDefault="002D7080" w:rsidP="002E2C37">
            <w:pPr>
              <w:jc w:val="both"/>
              <w:rPr>
                <w:rFonts w:ascii="Times New Roman" w:hAnsi="Times New Roman" w:cs="Times New Roman"/>
                <w:color w:val="212529"/>
                <w:sz w:val="20"/>
                <w:szCs w:val="20"/>
                <w:shd w:val="clear" w:color="auto" w:fill="FFFFFF"/>
              </w:rPr>
            </w:pPr>
            <w:r w:rsidRPr="0049045F">
              <w:rPr>
                <w:rFonts w:ascii="Times New Roman" w:eastAsia="Times New Roman" w:hAnsi="Times New Roman" w:cs="Times New Roman"/>
                <w:sz w:val="20"/>
                <w:szCs w:val="20"/>
                <w:lang w:eastAsia="en-ZA"/>
              </w:rPr>
              <w:t xml:space="preserve">Rationale: </w:t>
            </w:r>
            <w:r w:rsidRPr="0049045F">
              <w:rPr>
                <w:rFonts w:ascii="Times New Roman" w:eastAsia="Times New Roman" w:hAnsi="Times New Roman" w:cs="Times New Roman"/>
                <w:i/>
                <w:color w:val="000000"/>
                <w:sz w:val="20"/>
                <w:szCs w:val="20"/>
                <w:lang w:eastAsia="en-ZA"/>
              </w:rPr>
              <w:t xml:space="preserve">Faxonius rusticus </w:t>
            </w:r>
            <w:r w:rsidRPr="0049045F">
              <w:rPr>
                <w:rFonts w:ascii="Times New Roman" w:eastAsia="Times New Roman" w:hAnsi="Times New Roman" w:cs="Times New Roman"/>
                <w:iCs/>
                <w:color w:val="000000"/>
                <w:sz w:val="20"/>
                <w:szCs w:val="20"/>
                <w:lang w:eastAsia="en-ZA"/>
              </w:rPr>
              <w:t xml:space="preserve">invasions have been implicated in the decline and or disappearance of native crayfish mainly through competition for resources. </w:t>
            </w:r>
            <w:r w:rsidRPr="0049045F">
              <w:rPr>
                <w:rFonts w:ascii="Times New Roman" w:eastAsia="Times New Roman" w:hAnsi="Times New Roman" w:cs="Times New Roman"/>
                <w:color w:val="000000"/>
                <w:sz w:val="20"/>
                <w:szCs w:val="20"/>
                <w:lang w:eastAsia="en-ZA"/>
              </w:rPr>
              <w:t xml:space="preserve">For example, </w:t>
            </w:r>
            <w:r w:rsidRPr="0049045F">
              <w:rPr>
                <w:rFonts w:ascii="Times New Roman" w:eastAsia="Times New Roman" w:hAnsi="Times New Roman" w:cs="Times New Roman"/>
                <w:i/>
                <w:color w:val="000000"/>
                <w:sz w:val="20"/>
                <w:szCs w:val="20"/>
                <w:lang w:eastAsia="en-ZA"/>
              </w:rPr>
              <w:t>F. rusticus</w:t>
            </w:r>
            <w:r w:rsidRPr="0049045F">
              <w:rPr>
                <w:rFonts w:ascii="Times New Roman" w:eastAsia="Times New Roman" w:hAnsi="Times New Roman" w:cs="Times New Roman"/>
                <w:color w:val="000000"/>
                <w:sz w:val="20"/>
                <w:szCs w:val="20"/>
                <w:lang w:eastAsia="en-ZA"/>
              </w:rPr>
              <w:t xml:space="preserve"> has displaced native crayfish (</w:t>
            </w:r>
            <w:r w:rsidRPr="0049045F">
              <w:rPr>
                <w:rFonts w:ascii="Times New Roman" w:eastAsia="Times New Roman" w:hAnsi="Times New Roman" w:cs="Times New Roman"/>
                <w:i/>
                <w:color w:val="000000"/>
                <w:sz w:val="20"/>
                <w:szCs w:val="20"/>
                <w:lang w:eastAsia="en-ZA"/>
              </w:rPr>
              <w:t>F. propinquus, F. sanborni</w:t>
            </w:r>
            <w:r w:rsidRPr="0049045F">
              <w:rPr>
                <w:rFonts w:ascii="Times New Roman" w:eastAsia="Times New Roman" w:hAnsi="Times New Roman" w:cs="Times New Roman"/>
                <w:color w:val="000000"/>
                <w:sz w:val="20"/>
                <w:szCs w:val="20"/>
                <w:lang w:eastAsia="en-ZA"/>
              </w:rPr>
              <w:t xml:space="preserve"> and</w:t>
            </w:r>
            <w:r w:rsidRPr="0049045F">
              <w:rPr>
                <w:rFonts w:ascii="Times New Roman" w:eastAsia="Times New Roman" w:hAnsi="Times New Roman" w:cs="Times New Roman"/>
                <w:i/>
                <w:color w:val="000000"/>
                <w:sz w:val="20"/>
                <w:szCs w:val="20"/>
                <w:lang w:eastAsia="en-ZA"/>
              </w:rPr>
              <w:t xml:space="preserve"> F. virilis</w:t>
            </w:r>
            <w:r w:rsidRPr="0049045F">
              <w:rPr>
                <w:rFonts w:ascii="Times New Roman" w:eastAsia="Times New Roman" w:hAnsi="Times New Roman" w:cs="Times New Roman"/>
                <w:color w:val="000000"/>
                <w:sz w:val="20"/>
                <w:szCs w:val="20"/>
                <w:lang w:eastAsia="en-ZA"/>
              </w:rPr>
              <w:t xml:space="preserve">) in the invaded range in the USA through direct competition for food and shelter (Lodge et al. </w:t>
            </w:r>
            <w:r>
              <w:rPr>
                <w:rFonts w:ascii="Times New Roman" w:eastAsia="Times New Roman" w:hAnsi="Times New Roman" w:cs="Times New Roman"/>
                <w:color w:val="000000"/>
                <w:sz w:val="20"/>
                <w:szCs w:val="20"/>
                <w:lang w:eastAsia="en-ZA"/>
              </w:rPr>
              <w:t>1995</w:t>
            </w:r>
            <w:r w:rsidRPr="0049045F">
              <w:rPr>
                <w:rFonts w:ascii="Times New Roman" w:eastAsia="Times New Roman" w:hAnsi="Times New Roman" w:cs="Times New Roman"/>
                <w:color w:val="000000"/>
                <w:sz w:val="20"/>
                <w:szCs w:val="20"/>
                <w:lang w:eastAsia="en-ZA"/>
              </w:rPr>
              <w:t xml:space="preserve">). </w:t>
            </w:r>
            <w:r w:rsidRPr="0049045F">
              <w:rPr>
                <w:rFonts w:ascii="Times New Roman" w:eastAsia="Times New Roman" w:hAnsi="Times New Roman" w:cs="Times New Roman"/>
                <w:iCs/>
                <w:color w:val="000000"/>
                <w:sz w:val="20"/>
                <w:szCs w:val="20"/>
                <w:lang w:eastAsia="en-ZA"/>
              </w:rPr>
              <w:t xml:space="preserve">This competitive displacement of congeners is facilitated by adaptive life history traits such as earlier recruitment, higher fecundity, faster growth rate, </w:t>
            </w:r>
            <w:r w:rsidRPr="0049045F">
              <w:rPr>
                <w:rFonts w:ascii="Times New Roman" w:eastAsia="Times New Roman" w:hAnsi="Times New Roman" w:cs="Times New Roman"/>
                <w:color w:val="000000"/>
                <w:sz w:val="20"/>
                <w:szCs w:val="20"/>
                <w:lang w:eastAsia="en-ZA"/>
              </w:rPr>
              <w:t xml:space="preserve">relatively larger body sizes, </w:t>
            </w:r>
            <w:r w:rsidRPr="0049045F">
              <w:rPr>
                <w:rFonts w:ascii="Times New Roman" w:eastAsia="Times New Roman" w:hAnsi="Times New Roman" w:cs="Times New Roman"/>
                <w:iCs/>
                <w:color w:val="000000"/>
                <w:sz w:val="20"/>
                <w:szCs w:val="20"/>
                <w:lang w:eastAsia="en-ZA"/>
              </w:rPr>
              <w:t>interference reproduction, and wider habitat preferences (</w:t>
            </w:r>
            <w:r w:rsidRPr="0024145A">
              <w:rPr>
                <w:rFonts w:ascii="Times New Roman" w:hAnsi="Times New Roman" w:cs="Times New Roman"/>
                <w:sz w:val="20"/>
                <w:szCs w:val="20"/>
                <w:shd w:val="clear" w:color="auto" w:fill="FFFFFF"/>
              </w:rPr>
              <w:t>Butler and Stein 1985; Hobbs et al. 1989; Hill and Lodge 1994;</w:t>
            </w:r>
            <w:r w:rsidRPr="0024145A">
              <w:rPr>
                <w:rFonts w:ascii="Times New Roman" w:eastAsia="Times New Roman" w:hAnsi="Times New Roman" w:cs="Times New Roman"/>
                <w:sz w:val="20"/>
                <w:szCs w:val="20"/>
                <w:lang w:eastAsia="en-ZA"/>
              </w:rPr>
              <w:t xml:space="preserve"> Garvey &amp; Stein 1993; Klocker &amp; Strayer 2</w:t>
            </w:r>
            <w:r w:rsidRPr="0049045F">
              <w:rPr>
                <w:rFonts w:ascii="Times New Roman" w:eastAsia="Times New Roman" w:hAnsi="Times New Roman" w:cs="Times New Roman"/>
                <w:color w:val="000000"/>
                <w:sz w:val="20"/>
                <w:szCs w:val="20"/>
                <w:lang w:eastAsia="en-ZA"/>
              </w:rPr>
              <w:t>004; Roth &amp; Kitchell 2005; Lodge et al. 2012</w:t>
            </w:r>
            <w:r w:rsidRPr="0049045F">
              <w:rPr>
                <w:rFonts w:ascii="Times New Roman" w:hAnsi="Times New Roman" w:cs="Times New Roman"/>
                <w:color w:val="212529"/>
                <w:sz w:val="20"/>
                <w:szCs w:val="20"/>
                <w:shd w:val="clear" w:color="auto" w:fill="FFFFFF"/>
              </w:rPr>
              <w:t xml:space="preserve">). </w:t>
            </w:r>
            <w:r w:rsidRPr="0049045F">
              <w:rPr>
                <w:rFonts w:ascii="Times New Roman" w:eastAsia="Times New Roman" w:hAnsi="Times New Roman" w:cs="Times New Roman"/>
                <w:color w:val="000000"/>
                <w:sz w:val="20"/>
                <w:szCs w:val="20"/>
                <w:lang w:eastAsia="en-ZA"/>
              </w:rPr>
              <w:t xml:space="preserve">In addition, the displaced native species become more susceptible to predation because of a lack of shelter (Byron &amp; Wilson 2001, Garvey &amp; Stein 1993, Lodge et al. 2012). </w:t>
            </w:r>
          </w:p>
        </w:tc>
      </w:tr>
      <w:tr w:rsidR="002D7080" w:rsidRPr="00592486" w14:paraId="12040DE8" w14:textId="77777777" w:rsidTr="002E2C37">
        <w:trPr>
          <w:trHeight w:val="70"/>
        </w:trPr>
        <w:tc>
          <w:tcPr>
            <w:tcW w:w="9016" w:type="dxa"/>
            <w:gridSpan w:val="2"/>
          </w:tcPr>
          <w:p w14:paraId="6CF72568" w14:textId="77777777" w:rsidR="002D7080" w:rsidRPr="005E0386" w:rsidRDefault="002D7080" w:rsidP="002E2C37">
            <w:pPr>
              <w:contextualSpacing/>
              <w:rPr>
                <w:rFonts w:ascii="Times New Roman" w:eastAsia="Times New Roman" w:hAnsi="Times New Roman" w:cs="Times New Roman"/>
                <w:sz w:val="20"/>
                <w:szCs w:val="20"/>
                <w:lang w:eastAsia="en-ZA"/>
              </w:rPr>
            </w:pPr>
            <w:r w:rsidRPr="005E0386">
              <w:rPr>
                <w:rFonts w:ascii="Times New Roman" w:eastAsia="Times New Roman" w:hAnsi="Times New Roman" w:cs="Times New Roman"/>
                <w:sz w:val="20"/>
                <w:szCs w:val="20"/>
                <w:lang w:eastAsia="en-ZA"/>
              </w:rPr>
              <w:t>References:</w:t>
            </w:r>
          </w:p>
          <w:p w14:paraId="6062EBA2" w14:textId="3ED11040" w:rsidR="002D7080" w:rsidRPr="0030237C" w:rsidRDefault="002D7080" w:rsidP="002E2C37">
            <w:pPr>
              <w:ind w:left="720" w:hanging="720"/>
              <w:contextualSpacing/>
              <w:jc w:val="both"/>
              <w:rPr>
                <w:rFonts w:ascii="Times New Roman" w:eastAsia="Times New Roman" w:hAnsi="Times New Roman" w:cs="Times New Roman"/>
                <w:color w:val="000000" w:themeColor="text1"/>
                <w:sz w:val="20"/>
                <w:szCs w:val="20"/>
                <w:lang w:eastAsia="en-ZA"/>
              </w:rPr>
            </w:pPr>
            <w:r w:rsidRPr="0030237C">
              <w:rPr>
                <w:rFonts w:ascii="Times New Roman" w:hAnsi="Times New Roman" w:cs="Times New Roman"/>
                <w:color w:val="000000" w:themeColor="text1"/>
                <w:sz w:val="20"/>
                <w:szCs w:val="20"/>
                <w:shd w:val="clear" w:color="auto" w:fill="FFFFFF"/>
              </w:rPr>
              <w:t>Butler, M.J. &amp; Stein, R.A., 1985, ‘An analysis of the mechanisms governing species replacements in crayfish’, </w:t>
            </w:r>
            <w:r w:rsidRPr="0030237C">
              <w:rPr>
                <w:rStyle w:val="Emphasis"/>
                <w:rFonts w:ascii="Times New Roman" w:hAnsi="Times New Roman" w:cs="Times New Roman"/>
                <w:color w:val="000000" w:themeColor="text1"/>
                <w:sz w:val="20"/>
                <w:szCs w:val="20"/>
                <w:shd w:val="clear" w:color="auto" w:fill="FFFFFF"/>
              </w:rPr>
              <w:t>Oecologia</w:t>
            </w:r>
            <w:r w:rsidRPr="0030237C">
              <w:rPr>
                <w:rFonts w:ascii="Times New Roman" w:hAnsi="Times New Roman" w:cs="Times New Roman"/>
                <w:color w:val="000000" w:themeColor="text1"/>
                <w:sz w:val="20"/>
                <w:szCs w:val="20"/>
                <w:shd w:val="clear" w:color="auto" w:fill="FFFFFF"/>
              </w:rPr>
              <w:t xml:space="preserve"> 66, 168-177. </w:t>
            </w:r>
            <w:r w:rsidR="007A6D39" w:rsidRPr="008A0BC6">
              <w:rPr>
                <w:rFonts w:ascii="Times New Roman" w:hAnsi="Times New Roman" w:cs="Times New Roman"/>
                <w:sz w:val="20"/>
                <w:szCs w:val="20"/>
              </w:rPr>
              <w:t>https://doi.org/10.1007/BF00379851</w:t>
            </w:r>
            <w:r w:rsidRPr="0030237C">
              <w:rPr>
                <w:rFonts w:ascii="Times New Roman" w:hAnsi="Times New Roman" w:cs="Times New Roman"/>
                <w:color w:val="000000" w:themeColor="text1"/>
                <w:sz w:val="20"/>
                <w:szCs w:val="20"/>
                <w:shd w:val="clear" w:color="auto" w:fill="FFFFFF"/>
              </w:rPr>
              <w:t xml:space="preserve">. </w:t>
            </w:r>
          </w:p>
          <w:p w14:paraId="4DF69292" w14:textId="77777777" w:rsidR="002D7080" w:rsidRPr="0030237C" w:rsidRDefault="002D7080" w:rsidP="002E2C37">
            <w:pPr>
              <w:ind w:left="720" w:hanging="720"/>
              <w:contextualSpacing/>
              <w:jc w:val="both"/>
              <w:rPr>
                <w:rFonts w:ascii="Times New Roman" w:eastAsia="Times New Roman" w:hAnsi="Times New Roman" w:cs="Times New Roman"/>
                <w:color w:val="000000" w:themeColor="text1"/>
                <w:sz w:val="20"/>
                <w:szCs w:val="20"/>
                <w:lang w:eastAsia="en-ZA"/>
              </w:rPr>
            </w:pPr>
            <w:r w:rsidRPr="0030237C">
              <w:rPr>
                <w:rFonts w:ascii="Times New Roman" w:eastAsia="Times New Roman" w:hAnsi="Times New Roman" w:cs="Times New Roman"/>
                <w:color w:val="000000" w:themeColor="text1"/>
                <w:sz w:val="20"/>
                <w:szCs w:val="20"/>
                <w:lang w:eastAsia="en-ZA"/>
              </w:rPr>
              <w:t>Byron, C.J. &amp; Wilson, K.A., 2001, ‘Rusty crayfish (</w:t>
            </w:r>
            <w:r w:rsidRPr="0030237C">
              <w:rPr>
                <w:rFonts w:ascii="Times New Roman" w:eastAsia="Times New Roman" w:hAnsi="Times New Roman" w:cs="Times New Roman"/>
                <w:i/>
                <w:color w:val="000000" w:themeColor="text1"/>
                <w:sz w:val="20"/>
                <w:szCs w:val="20"/>
                <w:lang w:eastAsia="en-ZA"/>
              </w:rPr>
              <w:t>Orconectes rusticus</w:t>
            </w:r>
            <w:r w:rsidRPr="0030237C">
              <w:rPr>
                <w:rFonts w:ascii="Times New Roman" w:eastAsia="Times New Roman" w:hAnsi="Times New Roman" w:cs="Times New Roman"/>
                <w:color w:val="000000" w:themeColor="text1"/>
                <w:sz w:val="20"/>
                <w:szCs w:val="20"/>
                <w:lang w:eastAsia="en-ZA"/>
              </w:rPr>
              <w:t xml:space="preserve">) movement within and between habitats in Trout Lake, Vilas County, Wisconsin’, </w:t>
            </w:r>
            <w:r w:rsidRPr="0030237C">
              <w:rPr>
                <w:rFonts w:ascii="Times New Roman" w:eastAsia="Times New Roman" w:hAnsi="Times New Roman" w:cs="Times New Roman"/>
                <w:i/>
                <w:iCs/>
                <w:color w:val="000000" w:themeColor="text1"/>
                <w:sz w:val="20"/>
                <w:szCs w:val="20"/>
                <w:lang w:eastAsia="en-ZA"/>
              </w:rPr>
              <w:t>Journal of the North American Benthological Society</w:t>
            </w:r>
            <w:r w:rsidRPr="0030237C">
              <w:rPr>
                <w:rFonts w:ascii="Times New Roman" w:eastAsia="Times New Roman" w:hAnsi="Times New Roman" w:cs="Times New Roman"/>
                <w:color w:val="000000" w:themeColor="text1"/>
                <w:sz w:val="20"/>
                <w:szCs w:val="20"/>
                <w:lang w:eastAsia="en-ZA"/>
              </w:rPr>
              <w:t xml:space="preserve"> </w:t>
            </w:r>
            <w:r w:rsidRPr="0030237C">
              <w:rPr>
                <w:rFonts w:ascii="Times New Roman" w:eastAsia="Times New Roman" w:hAnsi="Times New Roman" w:cs="Times New Roman"/>
                <w:iCs/>
                <w:color w:val="000000" w:themeColor="text1"/>
                <w:sz w:val="20"/>
                <w:szCs w:val="20"/>
                <w:lang w:eastAsia="en-ZA"/>
              </w:rPr>
              <w:t>20</w:t>
            </w:r>
            <w:r w:rsidRPr="0030237C">
              <w:rPr>
                <w:rFonts w:ascii="Times New Roman" w:eastAsia="Times New Roman" w:hAnsi="Times New Roman" w:cs="Times New Roman"/>
                <w:color w:val="000000" w:themeColor="text1"/>
                <w:sz w:val="20"/>
                <w:szCs w:val="20"/>
                <w:lang w:eastAsia="en-ZA"/>
              </w:rPr>
              <w:t xml:space="preserve">, 606–614. </w:t>
            </w:r>
            <w:hyperlink w:history="1">
              <w:r w:rsidRPr="0030237C">
                <w:rPr>
                  <w:rStyle w:val="Hyperlink"/>
                  <w:rFonts w:ascii="Times New Roman" w:eastAsia="Times New Roman" w:hAnsi="Times New Roman" w:cs="Times New Roman"/>
                  <w:color w:val="000000" w:themeColor="text1"/>
                  <w:sz w:val="20"/>
                  <w:szCs w:val="20"/>
                  <w:lang w:eastAsia="en-ZA"/>
                </w:rPr>
                <w:t>https://doi.org/10.2307/1468091</w:t>
              </w:r>
            </w:hyperlink>
            <w:r w:rsidRPr="0030237C">
              <w:rPr>
                <w:rFonts w:ascii="Times New Roman" w:eastAsia="Times New Roman" w:hAnsi="Times New Roman" w:cs="Times New Roman"/>
                <w:color w:val="000000" w:themeColor="text1"/>
                <w:sz w:val="20"/>
                <w:szCs w:val="20"/>
                <w:lang w:eastAsia="en-ZA"/>
              </w:rPr>
              <w:t xml:space="preserve">. </w:t>
            </w:r>
          </w:p>
          <w:p w14:paraId="0761DA63" w14:textId="7569370C" w:rsidR="002D7080" w:rsidRPr="0030237C" w:rsidRDefault="002D7080" w:rsidP="002E2C37">
            <w:pPr>
              <w:ind w:left="720" w:hanging="720"/>
              <w:contextualSpacing/>
              <w:jc w:val="both"/>
              <w:rPr>
                <w:rFonts w:ascii="Times New Roman" w:eastAsia="Times New Roman" w:hAnsi="Times New Roman" w:cs="Times New Roman"/>
                <w:color w:val="000000" w:themeColor="text1"/>
                <w:sz w:val="20"/>
                <w:szCs w:val="20"/>
                <w:lang w:eastAsia="en-ZA"/>
              </w:rPr>
            </w:pPr>
            <w:r w:rsidRPr="0030237C">
              <w:rPr>
                <w:rFonts w:ascii="Times New Roman" w:eastAsia="Times New Roman" w:hAnsi="Times New Roman" w:cs="Times New Roman"/>
                <w:color w:val="000000" w:themeColor="text1"/>
                <w:sz w:val="20"/>
                <w:szCs w:val="20"/>
                <w:lang w:eastAsia="en-ZA"/>
              </w:rPr>
              <w:t>Garvey, J.E. &amp; Stein, R.A, 1993, ‘Evaluating how chela size influences the invasion potential of an introduced crayfish (</w:t>
            </w:r>
            <w:r w:rsidRPr="0030237C">
              <w:rPr>
                <w:rFonts w:ascii="Times New Roman" w:eastAsia="Times New Roman" w:hAnsi="Times New Roman" w:cs="Times New Roman"/>
                <w:i/>
                <w:color w:val="000000" w:themeColor="text1"/>
                <w:sz w:val="20"/>
                <w:szCs w:val="20"/>
                <w:lang w:eastAsia="en-ZA"/>
              </w:rPr>
              <w:t>Orconectes rusticus</w:t>
            </w:r>
            <w:r w:rsidRPr="0030237C">
              <w:rPr>
                <w:rFonts w:ascii="Times New Roman" w:eastAsia="Times New Roman" w:hAnsi="Times New Roman" w:cs="Times New Roman"/>
                <w:color w:val="000000" w:themeColor="text1"/>
                <w:sz w:val="20"/>
                <w:szCs w:val="20"/>
                <w:lang w:eastAsia="en-ZA"/>
              </w:rPr>
              <w:t xml:space="preserve">)’, </w:t>
            </w:r>
            <w:r w:rsidRPr="0030237C">
              <w:rPr>
                <w:rFonts w:ascii="Times New Roman" w:eastAsia="Times New Roman" w:hAnsi="Times New Roman" w:cs="Times New Roman"/>
                <w:i/>
                <w:iCs/>
                <w:color w:val="000000" w:themeColor="text1"/>
                <w:sz w:val="20"/>
                <w:szCs w:val="20"/>
                <w:lang w:eastAsia="en-ZA"/>
              </w:rPr>
              <w:t>American Midland Naturalist 129,</w:t>
            </w:r>
            <w:r w:rsidRPr="0030237C">
              <w:rPr>
                <w:rFonts w:ascii="Times New Roman" w:eastAsia="Times New Roman" w:hAnsi="Times New Roman" w:cs="Times New Roman"/>
                <w:color w:val="000000" w:themeColor="text1"/>
                <w:sz w:val="20"/>
                <w:szCs w:val="20"/>
                <w:lang w:eastAsia="en-ZA"/>
              </w:rPr>
              <w:t xml:space="preserve"> 172–181. </w:t>
            </w:r>
            <w:r w:rsidR="007A6D39" w:rsidRPr="008A0BC6">
              <w:rPr>
                <w:rFonts w:ascii="Times New Roman" w:hAnsi="Times New Roman" w:cs="Times New Roman"/>
                <w:sz w:val="20"/>
                <w:szCs w:val="20"/>
              </w:rPr>
              <w:t xml:space="preserve">https://doi.org/10.2307/2426446 </w:t>
            </w:r>
            <w:r w:rsidRPr="008A0BC6">
              <w:rPr>
                <w:rFonts w:ascii="Times New Roman" w:eastAsia="Times New Roman" w:hAnsi="Times New Roman" w:cs="Times New Roman"/>
                <w:color w:val="000000" w:themeColor="text1"/>
                <w:sz w:val="18"/>
                <w:szCs w:val="18"/>
                <w:lang w:eastAsia="en-ZA"/>
              </w:rPr>
              <w:t>.</w:t>
            </w:r>
            <w:r w:rsidR="007A6D39" w:rsidRPr="008A0BC6">
              <w:rPr>
                <w:rFonts w:ascii="Times New Roman" w:eastAsia="Times New Roman" w:hAnsi="Times New Roman" w:cs="Times New Roman"/>
                <w:color w:val="000000" w:themeColor="text1"/>
                <w:sz w:val="18"/>
                <w:szCs w:val="18"/>
                <w:lang w:eastAsia="en-ZA"/>
              </w:rPr>
              <w:t xml:space="preserve"> </w:t>
            </w:r>
            <w:r w:rsidRPr="008A0BC6">
              <w:rPr>
                <w:rFonts w:ascii="Times New Roman" w:eastAsia="Times New Roman" w:hAnsi="Times New Roman" w:cs="Times New Roman"/>
                <w:color w:val="000000" w:themeColor="text1"/>
                <w:sz w:val="18"/>
                <w:szCs w:val="18"/>
                <w:lang w:eastAsia="en-ZA"/>
              </w:rPr>
              <w:t xml:space="preserve"> </w:t>
            </w:r>
            <w:r w:rsidR="007A6D39" w:rsidRPr="008A0BC6">
              <w:rPr>
                <w:rFonts w:ascii="Times New Roman" w:eastAsia="Times New Roman" w:hAnsi="Times New Roman" w:cs="Times New Roman"/>
                <w:color w:val="000000" w:themeColor="text1"/>
                <w:sz w:val="18"/>
                <w:szCs w:val="18"/>
                <w:lang w:eastAsia="en-ZA"/>
              </w:rPr>
              <w:t xml:space="preserve"> </w:t>
            </w:r>
          </w:p>
          <w:p w14:paraId="5003B84B" w14:textId="6071B25B" w:rsidR="002D7080" w:rsidRPr="0030237C" w:rsidRDefault="002D7080" w:rsidP="002E2C37">
            <w:pPr>
              <w:ind w:left="720" w:hanging="720"/>
              <w:contextualSpacing/>
              <w:jc w:val="both"/>
              <w:rPr>
                <w:rFonts w:ascii="Times New Roman" w:hAnsi="Times New Roman" w:cs="Times New Roman"/>
                <w:color w:val="000000" w:themeColor="text1"/>
                <w:sz w:val="20"/>
                <w:szCs w:val="20"/>
                <w:shd w:val="clear" w:color="auto" w:fill="FFFFFF"/>
              </w:rPr>
            </w:pPr>
            <w:r w:rsidRPr="0030237C">
              <w:rPr>
                <w:rFonts w:ascii="Times New Roman" w:hAnsi="Times New Roman" w:cs="Times New Roman"/>
                <w:color w:val="000000" w:themeColor="text1"/>
                <w:sz w:val="20"/>
                <w:szCs w:val="20"/>
                <w:shd w:val="clear" w:color="auto" w:fill="FFFFFF"/>
              </w:rPr>
              <w:t>Hill, A.M. &amp; Lodge, D.M., 1994, ‘Diel changes in resource demand: Competition and predation in species replacement among crayfish, </w:t>
            </w:r>
            <w:r w:rsidRPr="0030237C">
              <w:rPr>
                <w:rStyle w:val="Emphasis"/>
                <w:rFonts w:ascii="Times New Roman" w:hAnsi="Times New Roman" w:cs="Times New Roman"/>
                <w:color w:val="000000" w:themeColor="text1"/>
                <w:sz w:val="20"/>
                <w:szCs w:val="20"/>
                <w:shd w:val="clear" w:color="auto" w:fill="FFFFFF"/>
              </w:rPr>
              <w:t>Ecology</w:t>
            </w:r>
            <w:r w:rsidRPr="0030237C">
              <w:rPr>
                <w:rFonts w:ascii="Times New Roman" w:hAnsi="Times New Roman" w:cs="Times New Roman"/>
                <w:color w:val="000000" w:themeColor="text1"/>
                <w:sz w:val="20"/>
                <w:szCs w:val="20"/>
                <w:shd w:val="clear" w:color="auto" w:fill="FFFFFF"/>
              </w:rPr>
              <w:t> 75(7), 2118-2126.  </w:t>
            </w:r>
            <w:r w:rsidR="007A6D39" w:rsidRPr="008A0BC6">
              <w:rPr>
                <w:rFonts w:ascii="Times New Roman" w:hAnsi="Times New Roman" w:cs="Times New Roman"/>
                <w:sz w:val="20"/>
                <w:szCs w:val="20"/>
              </w:rPr>
              <w:t>https://doi.org/10.2307/1941615</w:t>
            </w:r>
            <w:r w:rsidRPr="0030237C">
              <w:rPr>
                <w:rFonts w:ascii="Times New Roman" w:hAnsi="Times New Roman" w:cs="Times New Roman"/>
                <w:color w:val="000000" w:themeColor="text1"/>
                <w:sz w:val="20"/>
                <w:szCs w:val="20"/>
              </w:rPr>
              <w:t>.</w:t>
            </w:r>
          </w:p>
          <w:p w14:paraId="39C1F528" w14:textId="04D43596" w:rsidR="002D7080" w:rsidRPr="0030237C" w:rsidRDefault="002D7080" w:rsidP="002E2C37">
            <w:pPr>
              <w:ind w:left="720" w:hanging="720"/>
              <w:contextualSpacing/>
              <w:jc w:val="both"/>
              <w:rPr>
                <w:rFonts w:ascii="Times New Roman" w:hAnsi="Times New Roman" w:cs="Times New Roman"/>
                <w:color w:val="000000" w:themeColor="text1"/>
                <w:sz w:val="20"/>
                <w:szCs w:val="20"/>
                <w:shd w:val="clear" w:color="auto" w:fill="FFFFFF"/>
              </w:rPr>
            </w:pPr>
            <w:r w:rsidRPr="0030237C">
              <w:rPr>
                <w:rFonts w:ascii="Times New Roman" w:hAnsi="Times New Roman" w:cs="Times New Roman"/>
                <w:color w:val="000000" w:themeColor="text1"/>
                <w:sz w:val="20"/>
                <w:szCs w:val="20"/>
                <w:shd w:val="clear" w:color="auto" w:fill="FFFFFF"/>
              </w:rPr>
              <w:t>Hobbs, H.H., Jass, J.P., Huner, J.V., 1989, ‘A review of global crayfish introductions with particular emphasis on two North American species (Decapoda, Cambaridae), </w:t>
            </w:r>
            <w:r w:rsidRPr="0030237C">
              <w:rPr>
                <w:rStyle w:val="Emphasis"/>
                <w:rFonts w:ascii="Times New Roman" w:hAnsi="Times New Roman" w:cs="Times New Roman"/>
                <w:color w:val="000000" w:themeColor="text1"/>
                <w:sz w:val="20"/>
                <w:szCs w:val="20"/>
                <w:shd w:val="clear" w:color="auto" w:fill="FFFFFF"/>
              </w:rPr>
              <w:t>Crustaceana</w:t>
            </w:r>
            <w:r w:rsidRPr="0030237C">
              <w:rPr>
                <w:rFonts w:ascii="Times New Roman" w:hAnsi="Times New Roman" w:cs="Times New Roman"/>
                <w:color w:val="000000" w:themeColor="text1"/>
                <w:sz w:val="20"/>
                <w:szCs w:val="20"/>
                <w:shd w:val="clear" w:color="auto" w:fill="FFFFFF"/>
              </w:rPr>
              <w:t xml:space="preserve"> 56(3), 299-316. </w:t>
            </w:r>
            <w:r w:rsidR="007A6D39" w:rsidRPr="008A0BC6">
              <w:rPr>
                <w:rFonts w:ascii="Times New Roman" w:hAnsi="Times New Roman" w:cs="Times New Roman"/>
                <w:sz w:val="20"/>
                <w:szCs w:val="20"/>
              </w:rPr>
              <w:t>https://www.jstor.org/stable/20104461</w:t>
            </w:r>
            <w:r w:rsidRPr="0030237C">
              <w:rPr>
                <w:rFonts w:ascii="Times New Roman" w:hAnsi="Times New Roman" w:cs="Times New Roman"/>
                <w:color w:val="000000" w:themeColor="text1"/>
                <w:spacing w:val="-5"/>
                <w:sz w:val="20"/>
                <w:szCs w:val="20"/>
              </w:rPr>
              <w:t xml:space="preserve">. </w:t>
            </w:r>
          </w:p>
          <w:p w14:paraId="60E6C630" w14:textId="0AB515D7" w:rsidR="002D7080" w:rsidRPr="005E0386" w:rsidRDefault="002D7080" w:rsidP="007A6D39">
            <w:pPr>
              <w:ind w:left="720" w:hanging="720"/>
              <w:contextualSpacing/>
              <w:jc w:val="both"/>
              <w:rPr>
                <w:rFonts w:ascii="Times New Roman" w:eastAsia="Times New Roman" w:hAnsi="Times New Roman" w:cs="Times New Roman"/>
                <w:color w:val="000000"/>
                <w:sz w:val="20"/>
                <w:szCs w:val="20"/>
                <w:lang w:eastAsia="en-ZA"/>
              </w:rPr>
            </w:pPr>
            <w:r w:rsidRPr="005E0386">
              <w:rPr>
                <w:rFonts w:ascii="Times New Roman" w:eastAsia="Times New Roman" w:hAnsi="Times New Roman" w:cs="Times New Roman"/>
                <w:color w:val="000000"/>
                <w:sz w:val="20"/>
                <w:szCs w:val="20"/>
                <w:lang w:eastAsia="en-ZA"/>
              </w:rPr>
              <w:t>Klocker, C.A. &amp; Strayer, D.L., 2004, ‘Interactions among an invasive crayfish (</w:t>
            </w:r>
            <w:r w:rsidRPr="005E0386">
              <w:rPr>
                <w:rFonts w:ascii="Times New Roman" w:eastAsia="Times New Roman" w:hAnsi="Times New Roman" w:cs="Times New Roman"/>
                <w:i/>
                <w:color w:val="000000"/>
                <w:sz w:val="20"/>
                <w:szCs w:val="20"/>
                <w:lang w:eastAsia="en-ZA"/>
              </w:rPr>
              <w:t>Orconectes rusticus</w:t>
            </w:r>
            <w:r w:rsidRPr="005E0386">
              <w:rPr>
                <w:rFonts w:ascii="Times New Roman" w:eastAsia="Times New Roman" w:hAnsi="Times New Roman" w:cs="Times New Roman"/>
                <w:color w:val="000000"/>
                <w:sz w:val="20"/>
                <w:szCs w:val="20"/>
                <w:lang w:eastAsia="en-ZA"/>
              </w:rPr>
              <w:t>), a native crayfish (</w:t>
            </w:r>
            <w:r w:rsidRPr="005E0386">
              <w:rPr>
                <w:rFonts w:ascii="Times New Roman" w:eastAsia="Times New Roman" w:hAnsi="Times New Roman" w:cs="Times New Roman"/>
                <w:i/>
                <w:color w:val="000000"/>
                <w:sz w:val="20"/>
                <w:szCs w:val="20"/>
                <w:lang w:eastAsia="en-ZA"/>
              </w:rPr>
              <w:t>Orconectes limosus</w:t>
            </w:r>
            <w:r w:rsidRPr="005E0386">
              <w:rPr>
                <w:rFonts w:ascii="Times New Roman" w:eastAsia="Times New Roman" w:hAnsi="Times New Roman" w:cs="Times New Roman"/>
                <w:color w:val="000000"/>
                <w:sz w:val="20"/>
                <w:szCs w:val="20"/>
                <w:lang w:eastAsia="en-ZA"/>
              </w:rPr>
              <w:t xml:space="preserve">), and native bivalves (Sphaeriidae and Unionidae)’, </w:t>
            </w:r>
            <w:r w:rsidRPr="005E0386">
              <w:rPr>
                <w:rFonts w:ascii="Times New Roman" w:eastAsia="Times New Roman" w:hAnsi="Times New Roman" w:cs="Times New Roman"/>
                <w:i/>
                <w:iCs/>
                <w:color w:val="000000"/>
                <w:sz w:val="20"/>
                <w:szCs w:val="20"/>
                <w:lang w:eastAsia="en-ZA"/>
              </w:rPr>
              <w:t>Northeastern Naturalist</w:t>
            </w:r>
            <w:r w:rsidRPr="005E0386">
              <w:rPr>
                <w:rFonts w:ascii="Times New Roman" w:eastAsia="Times New Roman" w:hAnsi="Times New Roman" w:cs="Times New Roman"/>
                <w:color w:val="000000"/>
                <w:sz w:val="20"/>
                <w:szCs w:val="20"/>
                <w:lang w:eastAsia="en-ZA"/>
              </w:rPr>
              <w:t xml:space="preserve"> </w:t>
            </w:r>
            <w:r w:rsidRPr="005E0386">
              <w:rPr>
                <w:rFonts w:ascii="Times New Roman" w:eastAsia="Times New Roman" w:hAnsi="Times New Roman" w:cs="Times New Roman"/>
                <w:iCs/>
                <w:color w:val="000000"/>
                <w:sz w:val="20"/>
                <w:szCs w:val="20"/>
                <w:lang w:eastAsia="en-ZA"/>
              </w:rPr>
              <w:t>11</w:t>
            </w:r>
            <w:r w:rsidRPr="005E0386">
              <w:rPr>
                <w:rFonts w:ascii="Times New Roman" w:eastAsia="Times New Roman" w:hAnsi="Times New Roman" w:cs="Times New Roman"/>
                <w:b/>
                <w:color w:val="000000"/>
                <w:sz w:val="20"/>
                <w:szCs w:val="20"/>
                <w:lang w:eastAsia="en-ZA"/>
              </w:rPr>
              <w:t xml:space="preserve">, </w:t>
            </w:r>
            <w:r w:rsidRPr="005E0386">
              <w:rPr>
                <w:rFonts w:ascii="Times New Roman" w:eastAsia="Times New Roman" w:hAnsi="Times New Roman" w:cs="Times New Roman"/>
                <w:color w:val="000000"/>
                <w:sz w:val="20"/>
                <w:szCs w:val="20"/>
                <w:lang w:eastAsia="en-ZA"/>
              </w:rPr>
              <w:t xml:space="preserve">167–178. </w:t>
            </w:r>
            <w:hyperlink r:id="rId326" w:history="1">
              <w:r w:rsidR="007A6D39" w:rsidRPr="007A6D39">
                <w:rPr>
                  <w:rStyle w:val="Hyperlink"/>
                  <w:rFonts w:ascii="Times New Roman" w:eastAsia="Times New Roman" w:hAnsi="Times New Roman" w:cs="Times New Roman"/>
                  <w:sz w:val="20"/>
                  <w:szCs w:val="20"/>
                  <w:lang w:eastAsia="en-ZA"/>
                </w:rPr>
                <w:t>https://doi.org/10.1656/1092-6194(2004)011[0167:IAAICO]2.0.CO;2</w:t>
              </w:r>
            </w:hyperlink>
            <w:r w:rsidR="007A6D39" w:rsidRPr="007A6D39">
              <w:rPr>
                <w:rFonts w:ascii="Times New Roman" w:eastAsia="Times New Roman" w:hAnsi="Times New Roman" w:cs="Times New Roman"/>
                <w:color w:val="000000"/>
                <w:sz w:val="20"/>
                <w:szCs w:val="20"/>
                <w:lang w:eastAsia="en-ZA"/>
              </w:rPr>
              <w:t xml:space="preserve">. </w:t>
            </w:r>
          </w:p>
          <w:p w14:paraId="03964B43" w14:textId="7858BD33" w:rsidR="007A6D39" w:rsidRDefault="002D7080" w:rsidP="002E2C37">
            <w:pPr>
              <w:ind w:left="720" w:hanging="720"/>
              <w:contextualSpacing/>
              <w:jc w:val="both"/>
              <w:rPr>
                <w:rFonts w:ascii="Times New Roman" w:eastAsia="Calibri" w:hAnsi="Times New Roman" w:cs="Times New Roman"/>
                <w:sz w:val="20"/>
                <w:szCs w:val="20"/>
              </w:rPr>
            </w:pPr>
            <w:r w:rsidRPr="005E0386">
              <w:rPr>
                <w:rFonts w:ascii="Times New Roman" w:eastAsia="Times New Roman" w:hAnsi="Times New Roman" w:cs="Times New Roman"/>
                <w:sz w:val="20"/>
                <w:szCs w:val="20"/>
                <w:lang w:eastAsia="en-ZA"/>
              </w:rPr>
              <w:t xml:space="preserve">Lodge, D.M., Deines, A., Gherardi, F., Yeo, D.C.J., Arcella. T, Baldridge, A.K., et al., 2012, ‘Global introductions of crayfishes: Evaluating the impact of species invasions on ecosystem services’, </w:t>
            </w:r>
            <w:r w:rsidRPr="005E0386">
              <w:rPr>
                <w:rFonts w:ascii="Times New Roman" w:eastAsia="Times New Roman" w:hAnsi="Times New Roman" w:cs="Times New Roman"/>
                <w:i/>
                <w:sz w:val="20"/>
                <w:szCs w:val="20"/>
                <w:lang w:eastAsia="en-ZA"/>
              </w:rPr>
              <w:t xml:space="preserve">Annual </w:t>
            </w:r>
            <w:r w:rsidRPr="005E0386">
              <w:rPr>
                <w:rFonts w:ascii="Times New Roman" w:eastAsia="Times New Roman" w:hAnsi="Times New Roman" w:cs="Times New Roman"/>
                <w:i/>
                <w:sz w:val="20"/>
                <w:szCs w:val="20"/>
                <w:lang w:eastAsia="en-ZA"/>
              </w:rPr>
              <w:lastRenderedPageBreak/>
              <w:t>Review of Ecology Evolution Systematics</w:t>
            </w:r>
            <w:r w:rsidRPr="005E0386">
              <w:rPr>
                <w:rFonts w:ascii="Times New Roman" w:eastAsia="Times New Roman" w:hAnsi="Times New Roman" w:cs="Times New Roman"/>
                <w:sz w:val="20"/>
                <w:szCs w:val="20"/>
                <w:lang w:eastAsia="en-ZA"/>
              </w:rPr>
              <w:t xml:space="preserve"> 43, 449–472. </w:t>
            </w:r>
            <w:r w:rsidR="007A6D39" w:rsidRPr="00D66918">
              <w:rPr>
                <w:rFonts w:ascii="Times New Roman" w:eastAsia="Times New Roman" w:hAnsi="Times New Roman" w:cs="Times New Roman"/>
                <w:sz w:val="20"/>
                <w:szCs w:val="20"/>
                <w:lang w:eastAsia="en-ZA"/>
              </w:rPr>
              <w:t>https://doi.org/10.1146/annurev-ecolsys-111511-103919</w:t>
            </w:r>
          </w:p>
          <w:p w14:paraId="1C077775" w14:textId="7F5F3B72" w:rsidR="002D7080" w:rsidRPr="005E0386" w:rsidRDefault="002D7080" w:rsidP="002E2C37">
            <w:pPr>
              <w:ind w:left="720" w:hanging="720"/>
              <w:contextualSpacing/>
              <w:jc w:val="both"/>
              <w:rPr>
                <w:rFonts w:ascii="Times New Roman" w:eastAsia="Calibri" w:hAnsi="Times New Roman" w:cs="Times New Roman"/>
                <w:sz w:val="20"/>
                <w:szCs w:val="20"/>
              </w:rPr>
            </w:pPr>
            <w:r w:rsidRPr="005E0386">
              <w:rPr>
                <w:rFonts w:ascii="Times New Roman" w:eastAsia="Calibri" w:hAnsi="Times New Roman" w:cs="Times New Roman"/>
                <w:sz w:val="20"/>
                <w:szCs w:val="20"/>
              </w:rPr>
              <w:t>Lodge, D.M., Kershner, M.W. &amp; Aloi, J.E., 1995, ‘Effects of an omnivorous crayfish (</w:t>
            </w:r>
            <w:r w:rsidRPr="005E0386">
              <w:rPr>
                <w:rFonts w:ascii="Times New Roman" w:eastAsia="Calibri" w:hAnsi="Times New Roman" w:cs="Times New Roman"/>
                <w:i/>
                <w:sz w:val="20"/>
                <w:szCs w:val="20"/>
              </w:rPr>
              <w:t>Orconectes rusticus</w:t>
            </w:r>
            <w:r w:rsidRPr="005E0386">
              <w:rPr>
                <w:rFonts w:ascii="Times New Roman" w:eastAsia="Calibri" w:hAnsi="Times New Roman" w:cs="Times New Roman"/>
                <w:sz w:val="20"/>
                <w:szCs w:val="20"/>
              </w:rPr>
              <w:t>) on a freshwater littoral food web’,</w:t>
            </w:r>
            <w:r w:rsidRPr="005E0386">
              <w:rPr>
                <w:rFonts w:ascii="Times New Roman" w:eastAsia="Calibri" w:hAnsi="Times New Roman" w:cs="Times New Roman"/>
                <w:i/>
                <w:sz w:val="20"/>
                <w:szCs w:val="20"/>
              </w:rPr>
              <w:t xml:space="preserve"> Ecology</w:t>
            </w:r>
            <w:r w:rsidRPr="005E0386">
              <w:rPr>
                <w:rFonts w:ascii="Times New Roman" w:eastAsia="Calibri" w:hAnsi="Times New Roman" w:cs="Times New Roman"/>
                <w:sz w:val="20"/>
                <w:szCs w:val="20"/>
              </w:rPr>
              <w:t xml:space="preserve"> 75, 1265–1281. </w:t>
            </w:r>
            <w:hyperlink r:id="rId327" w:history="1">
              <w:r w:rsidR="007A6D39" w:rsidRPr="007A6D39">
                <w:rPr>
                  <w:rStyle w:val="Hyperlink"/>
                  <w:rFonts w:ascii="Times New Roman" w:eastAsia="Calibri" w:hAnsi="Times New Roman" w:cs="Times New Roman"/>
                  <w:sz w:val="20"/>
                  <w:szCs w:val="20"/>
                </w:rPr>
                <w:t>https://doi.org/10.2307/1937452</w:t>
              </w:r>
            </w:hyperlink>
            <w:r w:rsidR="007A6D39" w:rsidRPr="007A6D39">
              <w:rPr>
                <w:rFonts w:ascii="Times New Roman" w:eastAsia="Calibri" w:hAnsi="Times New Roman" w:cs="Times New Roman"/>
                <w:sz w:val="20"/>
                <w:szCs w:val="20"/>
              </w:rPr>
              <w:t>.</w:t>
            </w:r>
          </w:p>
          <w:p w14:paraId="657E7E8C" w14:textId="3E769652" w:rsidR="002D7080" w:rsidRPr="005E0386" w:rsidRDefault="002D7080" w:rsidP="002E2C37">
            <w:pPr>
              <w:ind w:left="720" w:hanging="720"/>
              <w:contextualSpacing/>
              <w:jc w:val="both"/>
              <w:rPr>
                <w:rFonts w:ascii="Times New Roman" w:eastAsia="Times New Roman" w:hAnsi="Times New Roman" w:cs="Times New Roman"/>
                <w:bCs/>
                <w:sz w:val="20"/>
                <w:szCs w:val="20"/>
                <w:lang w:eastAsia="en-ZA"/>
              </w:rPr>
            </w:pPr>
            <w:r w:rsidRPr="005E0386">
              <w:rPr>
                <w:rFonts w:ascii="Times New Roman" w:eastAsia="Times New Roman" w:hAnsi="Times New Roman" w:cs="Times New Roman"/>
                <w:bCs/>
                <w:sz w:val="20"/>
                <w:szCs w:val="20"/>
                <w:lang w:eastAsia="en-ZA"/>
              </w:rPr>
              <w:t xml:space="preserve">Roth, B.M. &amp; Kitchell, J.F., 2005, ‘The role of size-selective predation in the displacement of </w:t>
            </w:r>
            <w:r w:rsidRPr="005E0386">
              <w:rPr>
                <w:rFonts w:ascii="Times New Roman" w:eastAsia="Times New Roman" w:hAnsi="Times New Roman" w:cs="Times New Roman"/>
                <w:bCs/>
                <w:i/>
                <w:iCs/>
                <w:sz w:val="20"/>
                <w:szCs w:val="20"/>
                <w:lang w:eastAsia="en-ZA"/>
              </w:rPr>
              <w:t xml:space="preserve">Orconectes </w:t>
            </w:r>
            <w:r w:rsidRPr="005E0386">
              <w:rPr>
                <w:rFonts w:ascii="Times New Roman" w:eastAsia="Times New Roman" w:hAnsi="Times New Roman" w:cs="Times New Roman"/>
                <w:bCs/>
                <w:sz w:val="20"/>
                <w:szCs w:val="20"/>
                <w:lang w:eastAsia="en-ZA"/>
              </w:rPr>
              <w:t xml:space="preserve">crayfishes following rusty crayfish invasion’, </w:t>
            </w:r>
            <w:r w:rsidRPr="005E0386">
              <w:rPr>
                <w:rFonts w:ascii="Times New Roman" w:hAnsi="Times New Roman" w:cs="Times New Roman"/>
                <w:i/>
                <w:sz w:val="20"/>
                <w:szCs w:val="20"/>
              </w:rPr>
              <w:t>Crustaceana</w:t>
            </w:r>
            <w:r w:rsidRPr="005E0386">
              <w:rPr>
                <w:rFonts w:ascii="Times New Roman" w:eastAsia="Times New Roman" w:hAnsi="Times New Roman" w:cs="Times New Roman"/>
                <w:bCs/>
                <w:sz w:val="20"/>
                <w:szCs w:val="20"/>
                <w:lang w:eastAsia="en-ZA"/>
              </w:rPr>
              <w:t xml:space="preserve"> 78, 297-310. </w:t>
            </w:r>
            <w:hyperlink r:id="rId328" w:history="1">
              <w:r w:rsidR="007A6D39" w:rsidRPr="008A0BC6">
                <w:rPr>
                  <w:rStyle w:val="Hyperlink"/>
                  <w:rFonts w:ascii="Times New Roman" w:hAnsi="Times New Roman" w:cs="Times New Roman"/>
                  <w:sz w:val="20"/>
                  <w:szCs w:val="20"/>
                </w:rPr>
                <w:t>https://doi.org/10.1139/f05-217</w:t>
              </w:r>
            </w:hyperlink>
            <w:r w:rsidR="007A6D39" w:rsidRPr="007A6D39">
              <w:rPr>
                <w:u w:val="single"/>
              </w:rPr>
              <w:t>.</w:t>
            </w:r>
            <w:r w:rsidR="00145A36">
              <w:rPr>
                <w:u w:val="single"/>
              </w:rPr>
              <w:t xml:space="preserve"> </w:t>
            </w:r>
          </w:p>
          <w:p w14:paraId="40C99FCB" w14:textId="6671B089" w:rsidR="002D7080" w:rsidRPr="005E0386" w:rsidRDefault="002D7080" w:rsidP="002E2C37">
            <w:pPr>
              <w:ind w:left="720" w:hanging="720"/>
              <w:contextualSpacing/>
              <w:jc w:val="both"/>
              <w:rPr>
                <w:rFonts w:ascii="Times New Roman" w:eastAsia="Times New Roman" w:hAnsi="Times New Roman" w:cs="Times New Roman"/>
                <w:sz w:val="20"/>
                <w:szCs w:val="20"/>
                <w:lang w:eastAsia="en-ZA"/>
              </w:rPr>
            </w:pPr>
            <w:r w:rsidRPr="005E0386">
              <w:rPr>
                <w:rFonts w:ascii="Times New Roman" w:eastAsia="Times New Roman" w:hAnsi="Times New Roman" w:cs="Times New Roman"/>
                <w:color w:val="000000"/>
                <w:sz w:val="20"/>
                <w:szCs w:val="20"/>
                <w:lang w:eastAsia="en-ZA"/>
              </w:rPr>
              <w:t>Wilson, K.A., Magnuson, J.J., Lodge, D.M., Hill, A.M., Kratz, T.K., Perry, W.L., et al., 2004, ‘A long-term rusty crayfish (</w:t>
            </w:r>
            <w:r w:rsidRPr="005E0386">
              <w:rPr>
                <w:rFonts w:ascii="Times New Roman" w:eastAsia="Times New Roman" w:hAnsi="Times New Roman" w:cs="Times New Roman"/>
                <w:i/>
                <w:color w:val="000000"/>
                <w:sz w:val="20"/>
                <w:szCs w:val="20"/>
                <w:lang w:eastAsia="en-ZA"/>
              </w:rPr>
              <w:t>Orconectes rusticus</w:t>
            </w:r>
            <w:r w:rsidRPr="005E0386">
              <w:rPr>
                <w:rFonts w:ascii="Times New Roman" w:eastAsia="Times New Roman" w:hAnsi="Times New Roman" w:cs="Times New Roman"/>
                <w:color w:val="000000"/>
                <w:sz w:val="20"/>
                <w:szCs w:val="20"/>
                <w:lang w:eastAsia="en-ZA"/>
              </w:rPr>
              <w:t>) invasion: Dispersal patterns and community change in a north temperate lake’, </w:t>
            </w:r>
            <w:r w:rsidRPr="005E0386">
              <w:rPr>
                <w:rFonts w:ascii="Times New Roman" w:eastAsia="Times New Roman" w:hAnsi="Times New Roman" w:cs="Times New Roman"/>
                <w:i/>
                <w:iCs/>
                <w:color w:val="000000"/>
                <w:sz w:val="20"/>
                <w:szCs w:val="20"/>
                <w:lang w:eastAsia="en-ZA"/>
              </w:rPr>
              <w:t>Canadian Journal of Fisheries and Aquatic Sciences</w:t>
            </w:r>
            <w:r w:rsidRPr="005E0386">
              <w:rPr>
                <w:rFonts w:ascii="Times New Roman" w:eastAsia="Times New Roman" w:hAnsi="Times New Roman" w:cs="Times New Roman"/>
                <w:color w:val="000000"/>
                <w:sz w:val="20"/>
                <w:szCs w:val="20"/>
                <w:lang w:eastAsia="en-ZA"/>
              </w:rPr>
              <w:t> </w:t>
            </w:r>
            <w:r w:rsidRPr="005E0386">
              <w:rPr>
                <w:rFonts w:ascii="Times New Roman" w:eastAsia="Times New Roman" w:hAnsi="Times New Roman" w:cs="Times New Roman"/>
                <w:iCs/>
                <w:color w:val="000000"/>
                <w:sz w:val="20"/>
                <w:szCs w:val="20"/>
                <w:lang w:eastAsia="en-ZA"/>
              </w:rPr>
              <w:t>61</w:t>
            </w:r>
            <w:r w:rsidRPr="005E0386">
              <w:rPr>
                <w:rFonts w:ascii="Times New Roman" w:eastAsia="Times New Roman" w:hAnsi="Times New Roman" w:cs="Times New Roman"/>
                <w:color w:val="000000"/>
                <w:sz w:val="20"/>
                <w:szCs w:val="20"/>
                <w:lang w:eastAsia="en-ZA"/>
              </w:rPr>
              <w:t xml:space="preserve">, 2255–2266. </w:t>
            </w:r>
            <w:hyperlink r:id="rId329" w:history="1">
              <w:r w:rsidR="00145A36" w:rsidRPr="00145A36">
                <w:rPr>
                  <w:rStyle w:val="Hyperlink"/>
                  <w:rFonts w:ascii="Times New Roman" w:eastAsia="Times New Roman" w:hAnsi="Times New Roman" w:cs="Times New Roman"/>
                  <w:sz w:val="20"/>
                  <w:szCs w:val="20"/>
                  <w:lang w:eastAsia="en-ZA"/>
                </w:rPr>
                <w:t>https://doi.org/10.1139/f04-170</w:t>
              </w:r>
            </w:hyperlink>
            <w:r w:rsidRPr="005E0386">
              <w:rPr>
                <w:rFonts w:ascii="Times New Roman" w:eastAsia="Times New Roman" w:hAnsi="Times New Roman" w:cs="Times New Roman"/>
                <w:color w:val="000000"/>
                <w:sz w:val="20"/>
                <w:szCs w:val="20"/>
                <w:lang w:eastAsia="en-ZA"/>
              </w:rPr>
              <w:t>.</w:t>
            </w:r>
            <w:r w:rsidR="00145A36">
              <w:rPr>
                <w:rFonts w:ascii="Times New Roman" w:eastAsia="Times New Roman" w:hAnsi="Times New Roman" w:cs="Times New Roman"/>
                <w:color w:val="000000"/>
                <w:sz w:val="20"/>
                <w:szCs w:val="20"/>
                <w:lang w:eastAsia="en-ZA"/>
              </w:rPr>
              <w:t xml:space="preserve"> </w:t>
            </w:r>
          </w:p>
        </w:tc>
      </w:tr>
      <w:tr w:rsidR="002D7080" w:rsidRPr="00592486" w14:paraId="60C766E2" w14:textId="77777777" w:rsidTr="002E2C37">
        <w:tc>
          <w:tcPr>
            <w:tcW w:w="9016" w:type="dxa"/>
            <w:gridSpan w:val="2"/>
            <w:shd w:val="clear" w:color="auto" w:fill="F2F2F2" w:themeFill="background1" w:themeFillShade="F2"/>
          </w:tcPr>
          <w:p w14:paraId="40964AFB"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lastRenderedPageBreak/>
              <w:t>CON1b: Predation</w:t>
            </w:r>
          </w:p>
        </w:tc>
      </w:tr>
      <w:tr w:rsidR="002D7080" w:rsidRPr="00592486" w14:paraId="01B69E3C" w14:textId="77777777" w:rsidTr="002E2C37">
        <w:tc>
          <w:tcPr>
            <w:tcW w:w="5949" w:type="dxa"/>
          </w:tcPr>
          <w:p w14:paraId="5CC2D4ED"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 Major (MR)</w:t>
            </w:r>
          </w:p>
        </w:tc>
        <w:tc>
          <w:tcPr>
            <w:tcW w:w="3067" w:type="dxa"/>
          </w:tcPr>
          <w:p w14:paraId="396F665C"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w:t>
            </w:r>
            <w:r w:rsidRPr="00233C97">
              <w:rPr>
                <w:rFonts w:ascii="Times New Roman" w:eastAsia="Times New Roman" w:hAnsi="Times New Roman" w:cs="Times New Roman"/>
                <w:color w:val="000000"/>
                <w:sz w:val="20"/>
                <w:szCs w:val="20"/>
                <w:lang w:eastAsia="en-ZA"/>
              </w:rPr>
              <w:t xml:space="preserve"> High</w:t>
            </w:r>
          </w:p>
        </w:tc>
      </w:tr>
      <w:tr w:rsidR="002D7080" w:rsidRPr="00592486" w14:paraId="35442141" w14:textId="77777777" w:rsidTr="002E2C37">
        <w:trPr>
          <w:trHeight w:val="70"/>
        </w:trPr>
        <w:tc>
          <w:tcPr>
            <w:tcW w:w="9016" w:type="dxa"/>
            <w:gridSpan w:val="2"/>
          </w:tcPr>
          <w:p w14:paraId="55E109DC" w14:textId="77777777" w:rsidR="002D7080" w:rsidRPr="007B4CD2"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color w:val="000000"/>
                <w:sz w:val="20"/>
                <w:szCs w:val="20"/>
                <w:lang w:eastAsia="en-ZA"/>
              </w:rPr>
              <w:t xml:space="preserve"> </w:t>
            </w:r>
            <w:r w:rsidRPr="007B4CD2">
              <w:rPr>
                <w:rFonts w:ascii="Times New Roman" w:eastAsia="Times New Roman" w:hAnsi="Times New Roman" w:cs="Times New Roman"/>
                <w:i/>
                <w:color w:val="000000"/>
                <w:sz w:val="20"/>
                <w:szCs w:val="20"/>
                <w:lang w:eastAsia="en-ZA"/>
              </w:rPr>
              <w:t>Faxinous rasticus</w:t>
            </w:r>
            <w:r w:rsidRPr="007B4CD2">
              <w:rPr>
                <w:rFonts w:ascii="Times New Roman" w:eastAsia="Times New Roman" w:hAnsi="Times New Roman" w:cs="Times New Roman"/>
                <w:iCs/>
                <w:color w:val="000000"/>
                <w:sz w:val="20"/>
                <w:szCs w:val="20"/>
                <w:lang w:eastAsia="en-ZA"/>
              </w:rPr>
              <w:t xml:space="preserve"> is a </w:t>
            </w:r>
            <w:r w:rsidRPr="007B4CD2">
              <w:rPr>
                <w:rFonts w:ascii="Times New Roman" w:hAnsi="Times New Roman" w:cs="Times New Roman"/>
                <w:iCs/>
                <w:sz w:val="20"/>
                <w:szCs w:val="20"/>
              </w:rPr>
              <w:t>facultative omnivore that consumes detritus, macrophytes and invertebrates (Lodge et al. 1995, Wilson et al.</w:t>
            </w:r>
            <w:r w:rsidRPr="007B4CD2">
              <w:rPr>
                <w:rFonts w:ascii="Times New Roman" w:hAnsi="Times New Roman" w:cs="Times New Roman"/>
                <w:sz w:val="20"/>
                <w:szCs w:val="20"/>
              </w:rPr>
              <w:t xml:space="preserve"> 2004). </w:t>
            </w:r>
            <w:r w:rsidRPr="007B4CD2">
              <w:rPr>
                <w:rFonts w:ascii="Times New Roman" w:eastAsia="Times New Roman" w:hAnsi="Times New Roman" w:cs="Times New Roman"/>
                <w:color w:val="000000"/>
                <w:sz w:val="20"/>
                <w:szCs w:val="20"/>
                <w:lang w:eastAsia="en-ZA"/>
              </w:rPr>
              <w:t>In areas of introduction, direct predation by</w:t>
            </w:r>
            <w:r w:rsidRPr="007B4CD2">
              <w:rPr>
                <w:rFonts w:ascii="Times New Roman" w:eastAsia="Times New Roman" w:hAnsi="Times New Roman" w:cs="Times New Roman"/>
                <w:i/>
                <w:color w:val="000000"/>
                <w:sz w:val="20"/>
                <w:szCs w:val="20"/>
                <w:lang w:eastAsia="en-ZA"/>
              </w:rPr>
              <w:t xml:space="preserve"> F. rusticus</w:t>
            </w:r>
            <w:r w:rsidRPr="007B4CD2">
              <w:rPr>
                <w:rFonts w:ascii="Times New Roman" w:eastAsia="Times New Roman" w:hAnsi="Times New Roman" w:cs="Times New Roman"/>
                <w:color w:val="000000"/>
                <w:sz w:val="20"/>
                <w:szCs w:val="20"/>
                <w:lang w:eastAsia="en-ZA"/>
              </w:rPr>
              <w:t xml:space="preserve"> on native fauna has resulted in a decline in population size of at least one native fish species (</w:t>
            </w:r>
            <w:r>
              <w:rPr>
                <w:rFonts w:ascii="Times New Roman" w:eastAsia="Times New Roman" w:hAnsi="Times New Roman" w:cs="Times New Roman"/>
                <w:color w:val="000000"/>
                <w:sz w:val="20"/>
                <w:szCs w:val="20"/>
                <w:lang w:eastAsia="en-ZA"/>
              </w:rPr>
              <w:t xml:space="preserve">Willis &amp; Magnuson 2006; </w:t>
            </w:r>
            <w:r w:rsidRPr="007B4CD2">
              <w:rPr>
                <w:rFonts w:ascii="Times New Roman" w:eastAsia="Times New Roman" w:hAnsi="Times New Roman" w:cs="Times New Roman"/>
                <w:color w:val="000000"/>
                <w:sz w:val="20"/>
                <w:szCs w:val="20"/>
                <w:lang w:eastAsia="en-ZA"/>
              </w:rPr>
              <w:t>Lodge et al. 2012). For example, in Wisconsin, USA, predation by</w:t>
            </w:r>
            <w:r w:rsidRPr="007B4CD2">
              <w:rPr>
                <w:rFonts w:ascii="Times New Roman" w:eastAsia="Times New Roman" w:hAnsi="Times New Roman" w:cs="Times New Roman"/>
                <w:i/>
                <w:color w:val="000000"/>
                <w:sz w:val="20"/>
                <w:szCs w:val="20"/>
                <w:lang w:eastAsia="en-ZA"/>
              </w:rPr>
              <w:t xml:space="preserve"> F. rusticus</w:t>
            </w:r>
            <w:r w:rsidRPr="007B4CD2">
              <w:rPr>
                <w:rFonts w:ascii="Times New Roman" w:eastAsia="Times New Roman" w:hAnsi="Times New Roman" w:cs="Times New Roman"/>
                <w:color w:val="000000"/>
                <w:sz w:val="20"/>
                <w:szCs w:val="20"/>
                <w:lang w:eastAsia="en-ZA"/>
              </w:rPr>
              <w:t xml:space="preserve"> has been implicated in the decline of native fish populations of bluegill sunfish</w:t>
            </w:r>
            <w:r>
              <w:rPr>
                <w:rFonts w:ascii="Times New Roman" w:eastAsia="Times New Roman" w:hAnsi="Times New Roman" w:cs="Times New Roman"/>
                <w:color w:val="000000"/>
                <w:sz w:val="20"/>
                <w:szCs w:val="20"/>
                <w:lang w:eastAsia="en-ZA"/>
              </w:rPr>
              <w:t xml:space="preserve"> </w:t>
            </w:r>
            <w:r w:rsidRPr="007B4CD2">
              <w:rPr>
                <w:rFonts w:ascii="Times New Roman" w:eastAsia="Times New Roman" w:hAnsi="Times New Roman" w:cs="Times New Roman"/>
                <w:color w:val="000000"/>
                <w:sz w:val="20"/>
                <w:szCs w:val="20"/>
                <w:lang w:eastAsia="en-ZA"/>
              </w:rPr>
              <w:t>(</w:t>
            </w:r>
            <w:r w:rsidRPr="007B4CD2">
              <w:rPr>
                <w:rFonts w:ascii="Times New Roman" w:eastAsia="Times New Roman" w:hAnsi="Times New Roman" w:cs="Times New Roman"/>
                <w:i/>
                <w:color w:val="000000"/>
                <w:sz w:val="20"/>
                <w:szCs w:val="20"/>
                <w:lang w:eastAsia="en-ZA"/>
              </w:rPr>
              <w:t>Lepomis macrochirus</w:t>
            </w:r>
            <w:r w:rsidRPr="007B4CD2">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r w:rsidRPr="007B4CD2">
              <w:rPr>
                <w:rFonts w:ascii="Times New Roman" w:eastAsia="Times New Roman" w:hAnsi="Times New Roman" w:cs="Times New Roman"/>
                <w:color w:val="000000"/>
                <w:sz w:val="20"/>
                <w:szCs w:val="20"/>
                <w:lang w:eastAsia="en-ZA"/>
              </w:rPr>
              <w:t>(Wilson et al. 2004), and lake trout (</w:t>
            </w:r>
            <w:r w:rsidRPr="007B4CD2">
              <w:rPr>
                <w:rFonts w:ascii="Times New Roman" w:eastAsia="Times New Roman" w:hAnsi="Times New Roman" w:cs="Times New Roman"/>
                <w:i/>
                <w:color w:val="000000"/>
                <w:sz w:val="20"/>
                <w:szCs w:val="20"/>
                <w:lang w:eastAsia="en-ZA"/>
              </w:rPr>
              <w:t>Salvelinus namaycush</w:t>
            </w:r>
            <w:r w:rsidRPr="007B4CD2">
              <w:rPr>
                <w:rFonts w:ascii="Times New Roman" w:eastAsia="Times New Roman" w:hAnsi="Times New Roman" w:cs="Times New Roman"/>
                <w:color w:val="000000"/>
                <w:sz w:val="20"/>
                <w:szCs w:val="20"/>
                <w:lang w:eastAsia="en-ZA"/>
              </w:rPr>
              <w:t xml:space="preserve">) (Jonas et al. 2005). </w:t>
            </w:r>
            <w:r w:rsidRPr="007B4CD2">
              <w:rPr>
                <w:rFonts w:ascii="Times New Roman" w:eastAsia="Times New Roman" w:hAnsi="Times New Roman" w:cs="Times New Roman"/>
                <w:i/>
                <w:color w:val="000000"/>
                <w:sz w:val="20"/>
                <w:szCs w:val="20"/>
                <w:lang w:eastAsia="en-ZA"/>
              </w:rPr>
              <w:t>Faxonius rusticus</w:t>
            </w:r>
            <w:r w:rsidRPr="007B4CD2">
              <w:rPr>
                <w:rFonts w:ascii="Times New Roman" w:eastAsia="Times New Roman" w:hAnsi="Times New Roman" w:cs="Times New Roman"/>
                <w:color w:val="000000"/>
                <w:sz w:val="20"/>
                <w:szCs w:val="20"/>
                <w:lang w:eastAsia="en-ZA"/>
              </w:rPr>
              <w:t xml:space="preserve"> is also known to feed on invertebrates, and in</w:t>
            </w:r>
            <w:r w:rsidRPr="007B4CD2">
              <w:rPr>
                <w:rFonts w:ascii="Times New Roman" w:eastAsia="Times New Roman" w:hAnsi="Times New Roman" w:cs="Times New Roman"/>
                <w:i/>
                <w:color w:val="000000"/>
                <w:sz w:val="20"/>
                <w:szCs w:val="20"/>
                <w:lang w:eastAsia="en-ZA"/>
              </w:rPr>
              <w:t xml:space="preserve"> </w:t>
            </w:r>
            <w:r w:rsidRPr="007B4CD2">
              <w:rPr>
                <w:rFonts w:ascii="Times New Roman" w:eastAsia="Times New Roman" w:hAnsi="Times New Roman" w:cs="Times New Roman"/>
                <w:color w:val="000000"/>
                <w:sz w:val="20"/>
                <w:szCs w:val="20"/>
                <w:lang w:eastAsia="en-ZA"/>
              </w:rPr>
              <w:t xml:space="preserve">Trout Lake, Wisconsin, USA, direct predation on invertebrate communities has led to a decrease in the mean abundance of several invertebrates (Klocker &amp; Strayer 2004, Kreps et al. 2012, Lodge et al. </w:t>
            </w:r>
            <w:r>
              <w:rPr>
                <w:rFonts w:ascii="Times New Roman" w:eastAsia="Times New Roman" w:hAnsi="Times New Roman" w:cs="Times New Roman"/>
                <w:color w:val="000000"/>
                <w:sz w:val="20"/>
                <w:szCs w:val="20"/>
                <w:lang w:eastAsia="en-ZA"/>
              </w:rPr>
              <w:t>1995</w:t>
            </w:r>
            <w:r w:rsidRPr="007B4CD2">
              <w:rPr>
                <w:rFonts w:ascii="Times New Roman" w:eastAsia="Times New Roman" w:hAnsi="Times New Roman" w:cs="Times New Roman"/>
                <w:color w:val="000000"/>
                <w:sz w:val="20"/>
                <w:szCs w:val="20"/>
                <w:lang w:eastAsia="en-ZA"/>
              </w:rPr>
              <w:t>; Wilson et al. 2004).</w:t>
            </w:r>
          </w:p>
        </w:tc>
      </w:tr>
      <w:tr w:rsidR="002D7080" w:rsidRPr="00592486" w14:paraId="30A45C5F" w14:textId="77777777" w:rsidTr="002E2C37">
        <w:trPr>
          <w:trHeight w:val="70"/>
        </w:trPr>
        <w:tc>
          <w:tcPr>
            <w:tcW w:w="9016" w:type="dxa"/>
            <w:gridSpan w:val="2"/>
          </w:tcPr>
          <w:p w14:paraId="11BC8D6A" w14:textId="77777777" w:rsidR="002D7080" w:rsidRPr="005D5C77" w:rsidRDefault="002D7080" w:rsidP="002E2C37">
            <w:pPr>
              <w:ind w:left="720" w:hanging="720"/>
              <w:contextualSpacing/>
              <w:rPr>
                <w:rFonts w:ascii="Times New Roman" w:eastAsia="Times New Roman" w:hAnsi="Times New Roman" w:cs="Times New Roman"/>
                <w:sz w:val="20"/>
                <w:szCs w:val="20"/>
                <w:lang w:eastAsia="en-ZA"/>
              </w:rPr>
            </w:pPr>
            <w:r w:rsidRPr="005D5C77">
              <w:rPr>
                <w:rFonts w:ascii="Times New Roman" w:eastAsia="Times New Roman" w:hAnsi="Times New Roman" w:cs="Times New Roman"/>
                <w:sz w:val="20"/>
                <w:szCs w:val="20"/>
                <w:lang w:eastAsia="en-ZA"/>
              </w:rPr>
              <w:t>References:</w:t>
            </w:r>
          </w:p>
          <w:p w14:paraId="0989C3F9" w14:textId="328E756D" w:rsidR="002D7080" w:rsidRPr="005D5C77" w:rsidRDefault="002D7080" w:rsidP="00145A36">
            <w:pPr>
              <w:ind w:left="720" w:hanging="720"/>
              <w:contextualSpacing/>
              <w:jc w:val="both"/>
              <w:rPr>
                <w:rFonts w:ascii="Times New Roman" w:eastAsia="Times New Roman" w:hAnsi="Times New Roman" w:cs="Times New Roman"/>
                <w:color w:val="000000"/>
                <w:sz w:val="20"/>
                <w:szCs w:val="20"/>
                <w:lang w:eastAsia="en-ZA"/>
              </w:rPr>
            </w:pPr>
            <w:r w:rsidRPr="005D5C77">
              <w:rPr>
                <w:rFonts w:ascii="Times New Roman" w:eastAsia="Times New Roman" w:hAnsi="Times New Roman" w:cs="Times New Roman"/>
                <w:color w:val="000000"/>
                <w:sz w:val="20"/>
                <w:szCs w:val="20"/>
                <w:lang w:eastAsia="en-ZA"/>
              </w:rPr>
              <w:t xml:space="preserve">Johnson, P.T., Olden, J.D., Solomon, C.T. &amp; Vander Zanden, M.J., 2009, ‘Interactions among invaders: community and ecosystem effects of multiple invasive species in an experimental aquatic system’, </w:t>
            </w:r>
            <w:r w:rsidRPr="005D5C77">
              <w:rPr>
                <w:rFonts w:ascii="Times New Roman" w:eastAsia="Times New Roman" w:hAnsi="Times New Roman" w:cs="Times New Roman"/>
                <w:i/>
                <w:iCs/>
                <w:color w:val="000000"/>
                <w:sz w:val="20"/>
                <w:szCs w:val="20"/>
                <w:lang w:eastAsia="en-ZA"/>
              </w:rPr>
              <w:t>Oecologia</w:t>
            </w:r>
            <w:r w:rsidRPr="005D5C77">
              <w:rPr>
                <w:rFonts w:ascii="Times New Roman" w:eastAsia="Times New Roman" w:hAnsi="Times New Roman" w:cs="Times New Roman"/>
                <w:color w:val="000000"/>
                <w:sz w:val="20"/>
                <w:szCs w:val="20"/>
                <w:lang w:eastAsia="en-ZA"/>
              </w:rPr>
              <w:t xml:space="preserve"> </w:t>
            </w:r>
            <w:r w:rsidRPr="005D5C77">
              <w:rPr>
                <w:rFonts w:ascii="Times New Roman" w:eastAsia="Times New Roman" w:hAnsi="Times New Roman" w:cs="Times New Roman"/>
                <w:iCs/>
                <w:color w:val="000000"/>
                <w:sz w:val="20"/>
                <w:szCs w:val="20"/>
                <w:lang w:eastAsia="en-ZA"/>
              </w:rPr>
              <w:t>159</w:t>
            </w:r>
            <w:r w:rsidRPr="005D5C77">
              <w:rPr>
                <w:rFonts w:ascii="Times New Roman" w:eastAsia="Times New Roman" w:hAnsi="Times New Roman" w:cs="Times New Roman"/>
                <w:color w:val="000000"/>
                <w:sz w:val="20"/>
                <w:szCs w:val="20"/>
                <w:lang w:eastAsia="en-ZA"/>
              </w:rPr>
              <w:t xml:space="preserve">, 161–170. </w:t>
            </w:r>
            <w:hyperlink r:id="rId330" w:history="1">
              <w:r w:rsidR="00145A36" w:rsidRPr="00145A36">
                <w:rPr>
                  <w:rStyle w:val="Hyperlink"/>
                  <w:rFonts w:ascii="Times New Roman" w:eastAsia="Times New Roman" w:hAnsi="Times New Roman" w:cs="Times New Roman"/>
                  <w:sz w:val="20"/>
                  <w:szCs w:val="20"/>
                  <w:lang w:eastAsia="en-ZA"/>
                </w:rPr>
                <w:t>https://doi.org/10.1007/s00442-008-1176-x</w:t>
              </w:r>
            </w:hyperlink>
            <w:r w:rsidR="00145A36" w:rsidRPr="00145A36">
              <w:rPr>
                <w:rFonts w:ascii="Times New Roman" w:eastAsia="Times New Roman" w:hAnsi="Times New Roman" w:cs="Times New Roman"/>
                <w:color w:val="000000"/>
                <w:sz w:val="20"/>
                <w:szCs w:val="20"/>
                <w:lang w:eastAsia="en-ZA"/>
              </w:rPr>
              <w:t xml:space="preserve">. </w:t>
            </w:r>
          </w:p>
          <w:p w14:paraId="052FDE3C" w14:textId="70B08418" w:rsidR="002D7080" w:rsidRPr="005D5C77"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5D5C77">
              <w:rPr>
                <w:rFonts w:ascii="Times New Roman" w:eastAsia="Times New Roman" w:hAnsi="Times New Roman" w:cs="Times New Roman"/>
                <w:color w:val="000000"/>
                <w:sz w:val="20"/>
                <w:szCs w:val="20"/>
                <w:lang w:eastAsia="en-ZA"/>
              </w:rPr>
              <w:t>Jonas, J.L., Claramunt, R.M., Fitzsimons, J.D., Marsden, J.E. &amp; Ellrott, B.J., 2005, ‘Estimates of egg deposition and effects of lake trout (</w:t>
            </w:r>
            <w:r w:rsidRPr="005D5C77">
              <w:rPr>
                <w:rFonts w:ascii="Times New Roman" w:eastAsia="Times New Roman" w:hAnsi="Times New Roman" w:cs="Times New Roman"/>
                <w:i/>
                <w:color w:val="000000"/>
                <w:sz w:val="20"/>
                <w:szCs w:val="20"/>
                <w:lang w:eastAsia="en-ZA"/>
              </w:rPr>
              <w:t>Salvelinus namaycush</w:t>
            </w:r>
            <w:r w:rsidRPr="005D5C77">
              <w:rPr>
                <w:rFonts w:ascii="Times New Roman" w:eastAsia="Times New Roman" w:hAnsi="Times New Roman" w:cs="Times New Roman"/>
                <w:color w:val="000000"/>
                <w:sz w:val="20"/>
                <w:szCs w:val="20"/>
                <w:lang w:eastAsia="en-ZA"/>
              </w:rPr>
              <w:t xml:space="preserve">) egg predators in three regions of the Great Lakes’, </w:t>
            </w:r>
            <w:r w:rsidRPr="005D5C77">
              <w:rPr>
                <w:rFonts w:ascii="Times New Roman" w:eastAsia="Times New Roman" w:hAnsi="Times New Roman" w:cs="Times New Roman"/>
                <w:i/>
                <w:iCs/>
                <w:color w:val="000000"/>
                <w:sz w:val="20"/>
                <w:szCs w:val="20"/>
                <w:lang w:eastAsia="en-ZA"/>
              </w:rPr>
              <w:t>Canadian Journal of Fisheries and Aquatic Sciences</w:t>
            </w:r>
            <w:r w:rsidRPr="005D5C77">
              <w:rPr>
                <w:rFonts w:ascii="Times New Roman" w:eastAsia="Times New Roman" w:hAnsi="Times New Roman" w:cs="Times New Roman"/>
                <w:color w:val="000000"/>
                <w:sz w:val="20"/>
                <w:szCs w:val="20"/>
                <w:lang w:eastAsia="en-ZA"/>
              </w:rPr>
              <w:t xml:space="preserve"> </w:t>
            </w:r>
            <w:r w:rsidRPr="005D5C77">
              <w:rPr>
                <w:rFonts w:ascii="Times New Roman" w:eastAsia="Times New Roman" w:hAnsi="Times New Roman" w:cs="Times New Roman"/>
                <w:iCs/>
                <w:color w:val="000000"/>
                <w:sz w:val="20"/>
                <w:szCs w:val="20"/>
                <w:lang w:eastAsia="en-ZA"/>
              </w:rPr>
              <w:t>62</w:t>
            </w:r>
            <w:r w:rsidRPr="005D5C77">
              <w:rPr>
                <w:rFonts w:ascii="Times New Roman" w:eastAsia="Times New Roman" w:hAnsi="Times New Roman" w:cs="Times New Roman"/>
                <w:color w:val="000000"/>
                <w:sz w:val="20"/>
                <w:szCs w:val="20"/>
                <w:lang w:eastAsia="en-ZA"/>
              </w:rPr>
              <w:t>, 2254–2264.</w:t>
            </w:r>
            <w:r w:rsidRPr="005D5C77">
              <w:rPr>
                <w:rFonts w:ascii="Times New Roman" w:hAnsi="Times New Roman" w:cs="Times New Roman"/>
                <w:color w:val="231F20"/>
                <w:sz w:val="20"/>
                <w:szCs w:val="20"/>
              </w:rPr>
              <w:t xml:space="preserve"> </w:t>
            </w:r>
            <w:hyperlink r:id="rId331" w:history="1">
              <w:r w:rsidR="00145A36" w:rsidRPr="00145A36">
                <w:rPr>
                  <w:rStyle w:val="Hyperlink"/>
                  <w:rFonts w:ascii="Times New Roman" w:hAnsi="Times New Roman" w:cs="Times New Roman"/>
                  <w:bCs/>
                  <w:sz w:val="20"/>
                  <w:szCs w:val="20"/>
                </w:rPr>
                <w:t>https://doi.org/10.1139/f05-141</w:t>
              </w:r>
            </w:hyperlink>
            <w:r w:rsidR="00145A36" w:rsidRPr="00145A36">
              <w:rPr>
                <w:rFonts w:ascii="Times New Roman" w:hAnsi="Times New Roman" w:cs="Times New Roman"/>
                <w:bCs/>
                <w:color w:val="231F20"/>
                <w:sz w:val="20"/>
                <w:szCs w:val="20"/>
              </w:rPr>
              <w:t>.</w:t>
            </w:r>
          </w:p>
          <w:p w14:paraId="186D4ECF" w14:textId="3EC87492" w:rsidR="002D7080" w:rsidRPr="005D5C77"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5D5C77">
              <w:rPr>
                <w:rFonts w:ascii="Times New Roman" w:eastAsia="Times New Roman" w:hAnsi="Times New Roman" w:cs="Times New Roman"/>
                <w:color w:val="000000"/>
                <w:sz w:val="20"/>
                <w:szCs w:val="20"/>
                <w:lang w:eastAsia="en-ZA"/>
              </w:rPr>
              <w:t>Kreps, T.A., Baldridge, A.K. &amp; Lodge, D.M., 2012, ‘The impact of an invasive predator (</w:t>
            </w:r>
            <w:r w:rsidRPr="005D5C77">
              <w:rPr>
                <w:rFonts w:ascii="Times New Roman" w:eastAsia="Times New Roman" w:hAnsi="Times New Roman" w:cs="Times New Roman"/>
                <w:i/>
                <w:color w:val="000000"/>
                <w:sz w:val="20"/>
                <w:szCs w:val="20"/>
                <w:lang w:eastAsia="en-ZA"/>
              </w:rPr>
              <w:t>Orconectes rusticus</w:t>
            </w:r>
            <w:r w:rsidRPr="005D5C77">
              <w:rPr>
                <w:rFonts w:ascii="Times New Roman" w:eastAsia="Times New Roman" w:hAnsi="Times New Roman" w:cs="Times New Roman"/>
                <w:color w:val="000000"/>
                <w:sz w:val="20"/>
                <w:szCs w:val="20"/>
                <w:lang w:eastAsia="en-ZA"/>
              </w:rPr>
              <w:t xml:space="preserve">) on freshwater snail communities: Insights on habitat-specific effects from a multilake long-term study’, </w:t>
            </w:r>
            <w:r w:rsidRPr="005D5C77">
              <w:rPr>
                <w:rFonts w:ascii="Times New Roman" w:eastAsia="Times New Roman" w:hAnsi="Times New Roman" w:cs="Times New Roman"/>
                <w:i/>
                <w:iCs/>
                <w:color w:val="000000"/>
                <w:sz w:val="20"/>
                <w:szCs w:val="20"/>
                <w:lang w:eastAsia="en-ZA"/>
              </w:rPr>
              <w:t>Canadian Journal of Fisheries and Aquatic Sciences</w:t>
            </w:r>
            <w:r w:rsidRPr="005D5C77">
              <w:rPr>
                <w:rFonts w:ascii="Times New Roman" w:eastAsia="Times New Roman" w:hAnsi="Times New Roman" w:cs="Times New Roman"/>
                <w:color w:val="000000"/>
                <w:sz w:val="20"/>
                <w:szCs w:val="20"/>
                <w:lang w:eastAsia="en-ZA"/>
              </w:rPr>
              <w:t xml:space="preserve"> </w:t>
            </w:r>
            <w:r w:rsidRPr="005D5C77">
              <w:rPr>
                <w:rFonts w:ascii="Times New Roman" w:eastAsia="Times New Roman" w:hAnsi="Times New Roman" w:cs="Times New Roman"/>
                <w:iCs/>
                <w:color w:val="000000"/>
                <w:sz w:val="20"/>
                <w:szCs w:val="20"/>
                <w:lang w:eastAsia="en-ZA"/>
              </w:rPr>
              <w:t>69</w:t>
            </w:r>
            <w:r w:rsidRPr="005D5C77">
              <w:rPr>
                <w:rFonts w:ascii="Times New Roman" w:eastAsia="Times New Roman" w:hAnsi="Times New Roman" w:cs="Times New Roman"/>
                <w:color w:val="000000"/>
                <w:sz w:val="20"/>
                <w:szCs w:val="20"/>
                <w:lang w:eastAsia="en-ZA"/>
              </w:rPr>
              <w:t xml:space="preserve">, 1164–1173. </w:t>
            </w:r>
            <w:hyperlink r:id="rId332" w:history="1">
              <w:r w:rsidR="00145A36" w:rsidRPr="00145A36">
                <w:rPr>
                  <w:rStyle w:val="Hyperlink"/>
                  <w:rFonts w:ascii="Times New Roman" w:eastAsia="Times New Roman" w:hAnsi="Times New Roman" w:cs="Times New Roman"/>
                  <w:sz w:val="20"/>
                  <w:szCs w:val="20"/>
                  <w:lang w:eastAsia="en-ZA"/>
                </w:rPr>
                <w:t>https://doi.org/10.1139/f2012-052</w:t>
              </w:r>
            </w:hyperlink>
            <w:r w:rsidRPr="005D5C77">
              <w:rPr>
                <w:rFonts w:ascii="Times New Roman" w:eastAsia="Times New Roman" w:hAnsi="Times New Roman" w:cs="Times New Roman"/>
                <w:color w:val="000000"/>
                <w:sz w:val="20"/>
                <w:szCs w:val="20"/>
                <w:lang w:eastAsia="en-ZA"/>
              </w:rPr>
              <w:t>.</w:t>
            </w:r>
          </w:p>
          <w:p w14:paraId="347518B7" w14:textId="215F5E18" w:rsidR="002D7080" w:rsidRPr="005D5C77" w:rsidRDefault="002D7080" w:rsidP="00145A36">
            <w:pPr>
              <w:ind w:left="720" w:hanging="720"/>
              <w:contextualSpacing/>
              <w:jc w:val="both"/>
              <w:rPr>
                <w:rFonts w:ascii="Times New Roman" w:eastAsia="Times New Roman" w:hAnsi="Times New Roman" w:cs="Times New Roman"/>
                <w:color w:val="000000"/>
                <w:sz w:val="20"/>
                <w:szCs w:val="20"/>
                <w:lang w:eastAsia="en-ZA"/>
              </w:rPr>
            </w:pPr>
            <w:r w:rsidRPr="005D5C77">
              <w:rPr>
                <w:rFonts w:ascii="Times New Roman" w:eastAsia="Times New Roman" w:hAnsi="Times New Roman" w:cs="Times New Roman"/>
                <w:color w:val="000000"/>
                <w:sz w:val="20"/>
                <w:szCs w:val="20"/>
                <w:lang w:eastAsia="en-ZA"/>
              </w:rPr>
              <w:t>Klocker, C.A. &amp; Strayer, D.L., 2004, ‘Interactions among an invasive crayfish (</w:t>
            </w:r>
            <w:r w:rsidRPr="005D5C77">
              <w:rPr>
                <w:rFonts w:ascii="Times New Roman" w:eastAsia="Times New Roman" w:hAnsi="Times New Roman" w:cs="Times New Roman"/>
                <w:i/>
                <w:color w:val="000000"/>
                <w:sz w:val="20"/>
                <w:szCs w:val="20"/>
                <w:lang w:eastAsia="en-ZA"/>
              </w:rPr>
              <w:t>Orconectes rusticus</w:t>
            </w:r>
            <w:r w:rsidRPr="005D5C77">
              <w:rPr>
                <w:rFonts w:ascii="Times New Roman" w:eastAsia="Times New Roman" w:hAnsi="Times New Roman" w:cs="Times New Roman"/>
                <w:color w:val="000000"/>
                <w:sz w:val="20"/>
                <w:szCs w:val="20"/>
                <w:lang w:eastAsia="en-ZA"/>
              </w:rPr>
              <w:t>), a native crayfish (</w:t>
            </w:r>
            <w:r w:rsidRPr="005D5C77">
              <w:rPr>
                <w:rFonts w:ascii="Times New Roman" w:eastAsia="Times New Roman" w:hAnsi="Times New Roman" w:cs="Times New Roman"/>
                <w:i/>
                <w:color w:val="000000"/>
                <w:sz w:val="20"/>
                <w:szCs w:val="20"/>
                <w:lang w:eastAsia="en-ZA"/>
              </w:rPr>
              <w:t>Orconectes limosus</w:t>
            </w:r>
            <w:r w:rsidRPr="005D5C77">
              <w:rPr>
                <w:rFonts w:ascii="Times New Roman" w:eastAsia="Times New Roman" w:hAnsi="Times New Roman" w:cs="Times New Roman"/>
                <w:color w:val="000000"/>
                <w:sz w:val="20"/>
                <w:szCs w:val="20"/>
                <w:lang w:eastAsia="en-ZA"/>
              </w:rPr>
              <w:t xml:space="preserve">), and native bivalves (Sphaeriidae and Unionidae)’, </w:t>
            </w:r>
            <w:r w:rsidRPr="005D5C77">
              <w:rPr>
                <w:rFonts w:ascii="Times New Roman" w:eastAsia="Times New Roman" w:hAnsi="Times New Roman" w:cs="Times New Roman"/>
                <w:i/>
                <w:iCs/>
                <w:color w:val="000000"/>
                <w:sz w:val="20"/>
                <w:szCs w:val="20"/>
                <w:lang w:eastAsia="en-ZA"/>
              </w:rPr>
              <w:t>Northeastern Naturalist</w:t>
            </w:r>
            <w:r w:rsidRPr="005D5C77">
              <w:rPr>
                <w:rFonts w:ascii="Times New Roman" w:eastAsia="Times New Roman" w:hAnsi="Times New Roman" w:cs="Times New Roman"/>
                <w:color w:val="000000"/>
                <w:sz w:val="20"/>
                <w:szCs w:val="20"/>
                <w:lang w:eastAsia="en-ZA"/>
              </w:rPr>
              <w:t xml:space="preserve"> </w:t>
            </w:r>
            <w:r w:rsidRPr="005D5C77">
              <w:rPr>
                <w:rFonts w:ascii="Times New Roman" w:eastAsia="Times New Roman" w:hAnsi="Times New Roman" w:cs="Times New Roman"/>
                <w:iCs/>
                <w:color w:val="000000"/>
                <w:sz w:val="20"/>
                <w:szCs w:val="20"/>
                <w:lang w:eastAsia="en-ZA"/>
              </w:rPr>
              <w:t>11</w:t>
            </w:r>
            <w:r w:rsidRPr="005D5C77">
              <w:rPr>
                <w:rFonts w:ascii="Times New Roman" w:eastAsia="Times New Roman" w:hAnsi="Times New Roman" w:cs="Times New Roman"/>
                <w:b/>
                <w:color w:val="000000"/>
                <w:sz w:val="20"/>
                <w:szCs w:val="20"/>
                <w:lang w:eastAsia="en-ZA"/>
              </w:rPr>
              <w:t xml:space="preserve">, </w:t>
            </w:r>
            <w:r w:rsidRPr="005D5C77">
              <w:rPr>
                <w:rFonts w:ascii="Times New Roman" w:eastAsia="Times New Roman" w:hAnsi="Times New Roman" w:cs="Times New Roman"/>
                <w:color w:val="000000"/>
                <w:sz w:val="20"/>
                <w:szCs w:val="20"/>
                <w:lang w:eastAsia="en-ZA"/>
              </w:rPr>
              <w:t xml:space="preserve">167–178. </w:t>
            </w:r>
            <w:hyperlink r:id="rId333" w:history="1">
              <w:r w:rsidR="00145A36" w:rsidRPr="00145A36">
                <w:rPr>
                  <w:rStyle w:val="Hyperlink"/>
                  <w:rFonts w:ascii="Times New Roman" w:eastAsia="Times New Roman" w:hAnsi="Times New Roman" w:cs="Times New Roman"/>
                  <w:sz w:val="20"/>
                  <w:szCs w:val="20"/>
                  <w:lang w:eastAsia="en-ZA"/>
                </w:rPr>
                <w:t>https://doi.org/10.1656/1092-6194(2004)011[0167:IAAICO]2.0.CO;2</w:t>
              </w:r>
            </w:hyperlink>
            <w:r w:rsidR="00145A36" w:rsidRPr="00145A36">
              <w:rPr>
                <w:rFonts w:ascii="Times New Roman" w:eastAsia="Times New Roman" w:hAnsi="Times New Roman" w:cs="Times New Roman"/>
                <w:color w:val="000000"/>
                <w:sz w:val="20"/>
                <w:szCs w:val="20"/>
                <w:lang w:eastAsia="en-ZA"/>
              </w:rPr>
              <w:t>.</w:t>
            </w:r>
          </w:p>
          <w:p w14:paraId="0B420332" w14:textId="1C5D5982" w:rsidR="002D7080" w:rsidRPr="005D5C77" w:rsidRDefault="002D7080" w:rsidP="002E2C37">
            <w:pPr>
              <w:ind w:left="720" w:hanging="720"/>
              <w:contextualSpacing/>
              <w:jc w:val="both"/>
              <w:rPr>
                <w:rFonts w:ascii="Times New Roman" w:eastAsia="Calibri" w:hAnsi="Times New Roman" w:cs="Times New Roman"/>
                <w:sz w:val="20"/>
                <w:szCs w:val="20"/>
              </w:rPr>
            </w:pPr>
            <w:r w:rsidRPr="005D5C77">
              <w:rPr>
                <w:rFonts w:ascii="Times New Roman" w:eastAsia="Calibri" w:hAnsi="Times New Roman" w:cs="Times New Roman"/>
                <w:sz w:val="20"/>
                <w:szCs w:val="20"/>
              </w:rPr>
              <w:t>Lodge, D.M., Kershner, M.W. &amp; Aloi, J.E., 1995, ‘Effects of an omnivorous crayfish (</w:t>
            </w:r>
            <w:r w:rsidRPr="005D5C77">
              <w:rPr>
                <w:rFonts w:ascii="Times New Roman" w:eastAsia="Calibri" w:hAnsi="Times New Roman" w:cs="Times New Roman"/>
                <w:i/>
                <w:sz w:val="20"/>
                <w:szCs w:val="20"/>
              </w:rPr>
              <w:t>Orconectes rusticus</w:t>
            </w:r>
            <w:r w:rsidRPr="005D5C77">
              <w:rPr>
                <w:rFonts w:ascii="Times New Roman" w:eastAsia="Calibri" w:hAnsi="Times New Roman" w:cs="Times New Roman"/>
                <w:sz w:val="20"/>
                <w:szCs w:val="20"/>
              </w:rPr>
              <w:t>) on a freshwater littoral food web’,</w:t>
            </w:r>
            <w:r w:rsidRPr="005D5C77">
              <w:rPr>
                <w:rFonts w:ascii="Times New Roman" w:eastAsia="Calibri" w:hAnsi="Times New Roman" w:cs="Times New Roman"/>
                <w:i/>
                <w:sz w:val="20"/>
                <w:szCs w:val="20"/>
              </w:rPr>
              <w:t xml:space="preserve"> Ecology</w:t>
            </w:r>
            <w:r w:rsidRPr="005D5C77">
              <w:rPr>
                <w:rFonts w:ascii="Times New Roman" w:eastAsia="Calibri" w:hAnsi="Times New Roman" w:cs="Times New Roman"/>
                <w:sz w:val="20"/>
                <w:szCs w:val="20"/>
              </w:rPr>
              <w:t xml:space="preserve"> 75, 1265–1281. </w:t>
            </w:r>
            <w:hyperlink r:id="rId334" w:history="1">
              <w:r w:rsidR="00145A36" w:rsidRPr="008A0BC6">
                <w:rPr>
                  <w:rStyle w:val="Hyperlink"/>
                  <w:rFonts w:ascii="Times New Roman" w:hAnsi="Times New Roman" w:cs="Times New Roman"/>
                  <w:sz w:val="20"/>
                  <w:szCs w:val="20"/>
                </w:rPr>
                <w:t>https://doi.org/10.2307/1937452</w:t>
              </w:r>
            </w:hyperlink>
            <w:r w:rsidR="00145A36" w:rsidRPr="00145A36">
              <w:t>.</w:t>
            </w:r>
          </w:p>
          <w:p w14:paraId="7E81390D" w14:textId="77777777" w:rsidR="002D7080" w:rsidRPr="005D5C77" w:rsidRDefault="002D7080" w:rsidP="002E2C37">
            <w:pPr>
              <w:ind w:left="720" w:hanging="720"/>
              <w:contextualSpacing/>
              <w:jc w:val="both"/>
              <w:rPr>
                <w:rFonts w:ascii="Times New Roman" w:eastAsia="Times New Roman" w:hAnsi="Times New Roman" w:cs="Times New Roman"/>
                <w:sz w:val="20"/>
                <w:szCs w:val="20"/>
                <w:lang w:eastAsia="en-ZA"/>
              </w:rPr>
            </w:pPr>
            <w:r w:rsidRPr="005D5C77">
              <w:rPr>
                <w:rFonts w:ascii="Times New Roman" w:eastAsia="Times New Roman" w:hAnsi="Times New Roman" w:cs="Times New Roman"/>
                <w:sz w:val="20"/>
                <w:szCs w:val="20"/>
                <w:lang w:eastAsia="en-ZA"/>
              </w:rPr>
              <w:t xml:space="preserve">Lodge, D.M., Deines, A., Gherardi, F., Yeo, D.C., Arcella, T., Baldridge, A.K., et al., 2012, ‘Global introductions of crayfishes: evaluating the impact of species invasions on ecosystem services’, </w:t>
            </w:r>
            <w:r w:rsidRPr="005D5C77">
              <w:rPr>
                <w:rFonts w:ascii="Times New Roman" w:eastAsia="Times New Roman" w:hAnsi="Times New Roman" w:cs="Times New Roman"/>
                <w:i/>
                <w:iCs/>
                <w:sz w:val="20"/>
                <w:szCs w:val="20"/>
                <w:lang w:eastAsia="en-ZA"/>
              </w:rPr>
              <w:t>Annual Review of Ecology, Evolution, and Systematics</w:t>
            </w:r>
            <w:r w:rsidRPr="005D5C77">
              <w:rPr>
                <w:rFonts w:ascii="Times New Roman" w:eastAsia="Times New Roman" w:hAnsi="Times New Roman" w:cs="Times New Roman"/>
                <w:sz w:val="20"/>
                <w:szCs w:val="20"/>
                <w:lang w:eastAsia="en-ZA"/>
              </w:rPr>
              <w:t xml:space="preserve"> </w:t>
            </w:r>
            <w:r w:rsidRPr="005D5C77">
              <w:rPr>
                <w:rFonts w:ascii="Times New Roman" w:eastAsia="Times New Roman" w:hAnsi="Times New Roman" w:cs="Times New Roman"/>
                <w:iCs/>
                <w:sz w:val="20"/>
                <w:szCs w:val="20"/>
                <w:lang w:eastAsia="en-ZA"/>
              </w:rPr>
              <w:t>43</w:t>
            </w:r>
            <w:r w:rsidRPr="005D5C77">
              <w:rPr>
                <w:rFonts w:ascii="Times New Roman" w:eastAsia="Times New Roman" w:hAnsi="Times New Roman" w:cs="Times New Roman"/>
                <w:bCs/>
                <w:sz w:val="20"/>
                <w:szCs w:val="20"/>
                <w:lang w:eastAsia="en-ZA"/>
              </w:rPr>
              <w:t>,</w:t>
            </w:r>
            <w:r w:rsidRPr="005D5C77">
              <w:rPr>
                <w:rFonts w:ascii="Times New Roman" w:eastAsia="Times New Roman" w:hAnsi="Times New Roman" w:cs="Times New Roman"/>
                <w:sz w:val="20"/>
                <w:szCs w:val="20"/>
                <w:lang w:eastAsia="en-ZA"/>
              </w:rPr>
              <w:t xml:space="preserve"> 449–472. </w:t>
            </w:r>
            <w:hyperlink w:history="1">
              <w:r w:rsidRPr="005D5C77">
                <w:rPr>
                  <w:rStyle w:val="Hyperlink"/>
                  <w:rFonts w:ascii="Times New Roman" w:eastAsia="Times New Roman" w:hAnsi="Times New Roman" w:cs="Times New Roman"/>
                  <w:sz w:val="20"/>
                  <w:szCs w:val="20"/>
                  <w:lang w:eastAsia="en-ZA"/>
                </w:rPr>
                <w:t>https://doi.org/10.1146/annurev-ecolsys-111511-103919</w:t>
              </w:r>
            </w:hyperlink>
            <w:r w:rsidRPr="005D5C77">
              <w:rPr>
                <w:rFonts w:ascii="Times New Roman" w:eastAsia="Times New Roman" w:hAnsi="Times New Roman" w:cs="Times New Roman"/>
                <w:sz w:val="20"/>
                <w:szCs w:val="20"/>
                <w:lang w:eastAsia="en-ZA"/>
              </w:rPr>
              <w:t>.</w:t>
            </w:r>
          </w:p>
          <w:p w14:paraId="3E76A826" w14:textId="443F88CC" w:rsidR="002D7080" w:rsidRPr="005D5C77"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5D5C77">
              <w:rPr>
                <w:rFonts w:ascii="Times New Roman" w:eastAsia="Times New Roman" w:hAnsi="Times New Roman" w:cs="Times New Roman"/>
                <w:color w:val="000000"/>
                <w:sz w:val="20"/>
                <w:szCs w:val="20"/>
                <w:lang w:eastAsia="en-ZA"/>
              </w:rPr>
              <w:t>Wilson, K.A., Magnuson, J.J., Lodge, D.M., Hill, A.M., Kratz, T.K., Perry, W.L., et al., 2004, ‘A long-term rusty crayfish (</w:t>
            </w:r>
            <w:r w:rsidRPr="005D5C77">
              <w:rPr>
                <w:rFonts w:ascii="Times New Roman" w:eastAsia="Times New Roman" w:hAnsi="Times New Roman" w:cs="Times New Roman"/>
                <w:i/>
                <w:color w:val="000000"/>
                <w:sz w:val="20"/>
                <w:szCs w:val="20"/>
                <w:lang w:eastAsia="en-ZA"/>
              </w:rPr>
              <w:t>Orconectes rusticus</w:t>
            </w:r>
            <w:r w:rsidRPr="005D5C77">
              <w:rPr>
                <w:rFonts w:ascii="Times New Roman" w:eastAsia="Times New Roman" w:hAnsi="Times New Roman" w:cs="Times New Roman"/>
                <w:color w:val="000000"/>
                <w:sz w:val="20"/>
                <w:szCs w:val="20"/>
                <w:lang w:eastAsia="en-ZA"/>
              </w:rPr>
              <w:t>) invasion: Dispersal patterns and community change in a north temperate lake’, </w:t>
            </w:r>
            <w:r w:rsidRPr="005D5C77">
              <w:rPr>
                <w:rFonts w:ascii="Times New Roman" w:eastAsia="Times New Roman" w:hAnsi="Times New Roman" w:cs="Times New Roman"/>
                <w:i/>
                <w:iCs/>
                <w:color w:val="000000"/>
                <w:sz w:val="20"/>
                <w:szCs w:val="20"/>
                <w:lang w:eastAsia="en-ZA"/>
              </w:rPr>
              <w:t>Canadian Journal of Fisheries and Aquatic Sciences</w:t>
            </w:r>
            <w:r w:rsidRPr="005D5C77">
              <w:rPr>
                <w:rFonts w:ascii="Times New Roman" w:eastAsia="Times New Roman" w:hAnsi="Times New Roman" w:cs="Times New Roman"/>
                <w:color w:val="000000"/>
                <w:sz w:val="20"/>
                <w:szCs w:val="20"/>
                <w:lang w:eastAsia="en-ZA"/>
              </w:rPr>
              <w:t> </w:t>
            </w:r>
            <w:r w:rsidRPr="005D5C77">
              <w:rPr>
                <w:rFonts w:ascii="Times New Roman" w:eastAsia="Times New Roman" w:hAnsi="Times New Roman" w:cs="Times New Roman"/>
                <w:iCs/>
                <w:color w:val="000000"/>
                <w:sz w:val="20"/>
                <w:szCs w:val="20"/>
                <w:lang w:eastAsia="en-ZA"/>
              </w:rPr>
              <w:t>61</w:t>
            </w:r>
            <w:r w:rsidRPr="005D5C77">
              <w:rPr>
                <w:rFonts w:ascii="Times New Roman" w:eastAsia="Times New Roman" w:hAnsi="Times New Roman" w:cs="Times New Roman"/>
                <w:color w:val="000000"/>
                <w:sz w:val="20"/>
                <w:szCs w:val="20"/>
                <w:lang w:eastAsia="en-ZA"/>
              </w:rPr>
              <w:t xml:space="preserve">, 2255–2266. </w:t>
            </w:r>
            <w:hyperlink r:id="rId335" w:history="1">
              <w:r w:rsidR="00145A36" w:rsidRPr="008A0BC6">
                <w:rPr>
                  <w:rStyle w:val="Hyperlink"/>
                  <w:rFonts w:ascii="Times New Roman" w:hAnsi="Times New Roman" w:cs="Times New Roman"/>
                  <w:sz w:val="20"/>
                  <w:szCs w:val="20"/>
                </w:rPr>
                <w:t>https://doi.org/10.1139/f04-170</w:t>
              </w:r>
            </w:hyperlink>
            <w:r w:rsidRPr="005D5C77">
              <w:rPr>
                <w:rFonts w:ascii="Times New Roman" w:eastAsia="Times New Roman" w:hAnsi="Times New Roman" w:cs="Times New Roman"/>
                <w:color w:val="000000"/>
                <w:sz w:val="20"/>
                <w:szCs w:val="20"/>
                <w:lang w:eastAsia="en-ZA"/>
              </w:rPr>
              <w:t>.</w:t>
            </w:r>
          </w:p>
          <w:p w14:paraId="691DA087" w14:textId="2462D849" w:rsidR="002D7080" w:rsidRPr="005D5C77" w:rsidRDefault="002D7080" w:rsidP="002E2C37">
            <w:pPr>
              <w:ind w:left="720" w:hanging="720"/>
              <w:contextualSpacing/>
              <w:jc w:val="both"/>
              <w:rPr>
                <w:rFonts w:ascii="Times New Roman" w:eastAsia="Times New Roman" w:hAnsi="Times New Roman" w:cs="Times New Roman"/>
                <w:sz w:val="20"/>
                <w:szCs w:val="20"/>
                <w:lang w:eastAsia="en-ZA"/>
              </w:rPr>
            </w:pPr>
            <w:r w:rsidRPr="0030237C">
              <w:rPr>
                <w:rStyle w:val="author"/>
                <w:rFonts w:ascii="Times New Roman" w:hAnsi="Times New Roman" w:cs="Times New Roman"/>
                <w:color w:val="000000" w:themeColor="text1"/>
                <w:sz w:val="20"/>
                <w:szCs w:val="20"/>
                <w:shd w:val="clear" w:color="auto" w:fill="FFFFFF"/>
              </w:rPr>
              <w:t>Willis, T.V. &amp; Magnuson, J.J.</w:t>
            </w:r>
            <w:r w:rsidRPr="0030237C">
              <w:rPr>
                <w:rFonts w:ascii="Times New Roman" w:hAnsi="Times New Roman" w:cs="Times New Roman"/>
                <w:color w:val="000000" w:themeColor="text1"/>
                <w:sz w:val="20"/>
                <w:szCs w:val="20"/>
                <w:shd w:val="clear" w:color="auto" w:fill="FFFFFF"/>
              </w:rPr>
              <w:t xml:space="preserve">, </w:t>
            </w:r>
            <w:r w:rsidRPr="0030237C">
              <w:rPr>
                <w:rStyle w:val="pubyear"/>
                <w:rFonts w:ascii="Times New Roman" w:hAnsi="Times New Roman" w:cs="Times New Roman"/>
                <w:color w:val="000000" w:themeColor="text1"/>
                <w:sz w:val="20"/>
                <w:szCs w:val="20"/>
                <w:shd w:val="clear" w:color="auto" w:fill="FFFFFF"/>
              </w:rPr>
              <w:t>2006</w:t>
            </w:r>
            <w:r w:rsidRPr="0030237C">
              <w:rPr>
                <w:rFonts w:ascii="Times New Roman" w:hAnsi="Times New Roman" w:cs="Times New Roman"/>
                <w:color w:val="000000" w:themeColor="text1"/>
                <w:sz w:val="20"/>
                <w:szCs w:val="20"/>
                <w:shd w:val="clear" w:color="auto" w:fill="FFFFFF"/>
              </w:rPr>
              <w:t>, ‘</w:t>
            </w:r>
            <w:r w:rsidRPr="0030237C">
              <w:rPr>
                <w:rStyle w:val="articletitle"/>
                <w:rFonts w:ascii="Times New Roman" w:hAnsi="Times New Roman" w:cs="Times New Roman"/>
                <w:color w:val="000000" w:themeColor="text1"/>
                <w:sz w:val="20"/>
                <w:szCs w:val="20"/>
                <w:shd w:val="clear" w:color="auto" w:fill="FFFFFF"/>
              </w:rPr>
              <w:t>Responses of fish communities in five north temperate lakes to exotic species and climate’</w:t>
            </w:r>
            <w:r w:rsidRPr="0030237C">
              <w:rPr>
                <w:rFonts w:ascii="Times New Roman" w:hAnsi="Times New Roman" w:cs="Times New Roman"/>
                <w:color w:val="000000" w:themeColor="text1"/>
                <w:sz w:val="20"/>
                <w:szCs w:val="20"/>
                <w:shd w:val="clear" w:color="auto" w:fill="FFFFFF"/>
              </w:rPr>
              <w:t>, </w:t>
            </w:r>
            <w:r w:rsidRPr="0030237C">
              <w:rPr>
                <w:rFonts w:ascii="Times New Roman" w:hAnsi="Times New Roman" w:cs="Times New Roman"/>
                <w:i/>
                <w:iCs/>
                <w:color w:val="000000" w:themeColor="text1"/>
                <w:sz w:val="20"/>
                <w:szCs w:val="20"/>
                <w:shd w:val="clear" w:color="auto" w:fill="FFFFFF"/>
              </w:rPr>
              <w:t>Limnology and Oceanography</w:t>
            </w:r>
            <w:r w:rsidRPr="0030237C">
              <w:rPr>
                <w:rFonts w:ascii="Times New Roman" w:hAnsi="Times New Roman" w:cs="Times New Roman"/>
                <w:color w:val="000000" w:themeColor="text1"/>
                <w:sz w:val="20"/>
                <w:szCs w:val="20"/>
                <w:shd w:val="clear" w:color="auto" w:fill="FFFFFF"/>
              </w:rPr>
              <w:t>, </w:t>
            </w:r>
            <w:r w:rsidRPr="0030237C">
              <w:rPr>
                <w:rStyle w:val="vol"/>
                <w:rFonts w:ascii="Times New Roman" w:hAnsi="Times New Roman" w:cs="Times New Roman"/>
                <w:color w:val="000000" w:themeColor="text1"/>
                <w:sz w:val="20"/>
                <w:szCs w:val="20"/>
                <w:shd w:val="clear" w:color="auto" w:fill="FFFFFF"/>
              </w:rPr>
              <w:t>51</w:t>
            </w:r>
            <w:r w:rsidRPr="0030237C">
              <w:rPr>
                <w:rFonts w:ascii="Times New Roman" w:hAnsi="Times New Roman" w:cs="Times New Roman"/>
                <w:color w:val="000000" w:themeColor="text1"/>
                <w:sz w:val="20"/>
                <w:szCs w:val="20"/>
                <w:shd w:val="clear" w:color="auto" w:fill="FFFFFF"/>
              </w:rPr>
              <w:t xml:space="preserve">, </w:t>
            </w:r>
            <w:r w:rsidR="00145A36" w:rsidRPr="00145A36">
              <w:rPr>
                <w:rFonts w:ascii="Times New Roman" w:hAnsi="Times New Roman" w:cs="Times New Roman"/>
                <w:color w:val="000000" w:themeColor="text1"/>
                <w:sz w:val="20"/>
                <w:szCs w:val="20"/>
                <w:shd w:val="clear" w:color="auto" w:fill="FFFFFF"/>
              </w:rPr>
              <w:t>https://doi.org/10.4319/lo.2006.51.6.2808</w:t>
            </w:r>
            <w:r w:rsidRPr="0030237C">
              <w:rPr>
                <w:rFonts w:ascii="Times New Roman" w:hAnsi="Times New Roman" w:cs="Times New Roman"/>
                <w:color w:val="000000" w:themeColor="text1"/>
                <w:sz w:val="20"/>
                <w:szCs w:val="20"/>
                <w:shd w:val="clear" w:color="auto" w:fill="FFFFFF"/>
              </w:rPr>
              <w:t>.</w:t>
            </w:r>
          </w:p>
        </w:tc>
      </w:tr>
      <w:tr w:rsidR="002D7080" w:rsidRPr="00592486" w14:paraId="235EE8B3" w14:textId="77777777" w:rsidTr="002E2C37">
        <w:tc>
          <w:tcPr>
            <w:tcW w:w="9016" w:type="dxa"/>
            <w:gridSpan w:val="2"/>
            <w:shd w:val="clear" w:color="auto" w:fill="F2F2F2" w:themeFill="background1" w:themeFillShade="F2"/>
          </w:tcPr>
          <w:p w14:paraId="2C786F9F"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CON1c: Hybridisation</w:t>
            </w:r>
          </w:p>
        </w:tc>
      </w:tr>
      <w:tr w:rsidR="002D7080" w:rsidRPr="00592486" w14:paraId="5A569DED" w14:textId="77777777" w:rsidTr="002E2C37">
        <w:tc>
          <w:tcPr>
            <w:tcW w:w="5949" w:type="dxa"/>
          </w:tcPr>
          <w:p w14:paraId="0B11EEE0"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lastRenderedPageBreak/>
              <w:t xml:space="preserve">Response: </w:t>
            </w:r>
            <w:r>
              <w:rPr>
                <w:rFonts w:ascii="Times New Roman" w:eastAsia="Times New Roman" w:hAnsi="Times New Roman" w:cs="Times New Roman"/>
                <w:sz w:val="20"/>
                <w:szCs w:val="20"/>
                <w:lang w:eastAsia="en-ZA"/>
              </w:rPr>
              <w:t>Data Deficient (DD)</w:t>
            </w:r>
          </w:p>
        </w:tc>
        <w:tc>
          <w:tcPr>
            <w:tcW w:w="3067" w:type="dxa"/>
          </w:tcPr>
          <w:p w14:paraId="4A05C4AB"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w:t>
            </w:r>
            <w:r w:rsidRPr="00233C97">
              <w:rPr>
                <w:rFonts w:ascii="Times New Roman" w:eastAsia="Times New Roman" w:hAnsi="Times New Roman" w:cs="Times New Roman"/>
                <w:color w:val="000000"/>
                <w:sz w:val="20"/>
                <w:szCs w:val="20"/>
                <w:lang w:eastAsia="en-ZA"/>
              </w:rPr>
              <w:t xml:space="preserve"> High</w:t>
            </w:r>
          </w:p>
        </w:tc>
      </w:tr>
      <w:tr w:rsidR="002D7080" w:rsidRPr="00592486" w14:paraId="2BFF3C6C" w14:textId="77777777" w:rsidTr="002E2C37">
        <w:trPr>
          <w:trHeight w:val="70"/>
        </w:trPr>
        <w:tc>
          <w:tcPr>
            <w:tcW w:w="9016" w:type="dxa"/>
            <w:gridSpan w:val="2"/>
          </w:tcPr>
          <w:p w14:paraId="47F563B7" w14:textId="1A06FC0E"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color w:val="000000"/>
                <w:sz w:val="20"/>
                <w:szCs w:val="20"/>
                <w:lang w:eastAsia="en-ZA"/>
              </w:rPr>
              <w:t xml:space="preserve"> </w:t>
            </w:r>
            <w:r w:rsidRPr="00DC65F7">
              <w:rPr>
                <w:rFonts w:ascii="Times New Roman" w:eastAsia="Times New Roman" w:hAnsi="Times New Roman" w:cs="Times New Roman"/>
                <w:color w:val="000000"/>
                <w:sz w:val="20"/>
                <w:szCs w:val="20"/>
                <w:lang w:eastAsia="en-ZA"/>
              </w:rPr>
              <w:t>There are no native freshwater crayfish in South Africa (</w:t>
            </w:r>
            <w:r w:rsidR="008A0BC6">
              <w:rPr>
                <w:rFonts w:ascii="Times New Roman" w:eastAsia="Times New Roman" w:hAnsi="Times New Roman" w:cs="Times New Roman"/>
                <w:color w:val="000000"/>
                <w:sz w:val="20"/>
                <w:szCs w:val="20"/>
                <w:lang w:eastAsia="en-ZA"/>
              </w:rPr>
              <w:t>De Moor</w:t>
            </w:r>
            <w:r w:rsidRPr="00DC65F7">
              <w:rPr>
                <w:rFonts w:ascii="Times New Roman" w:eastAsia="Times New Roman" w:hAnsi="Times New Roman" w:cs="Times New Roman"/>
                <w:color w:val="000000"/>
                <w:sz w:val="20"/>
                <w:szCs w:val="20"/>
                <w:lang w:eastAsia="en-ZA"/>
              </w:rPr>
              <w:t xml:space="preserve"> 2002; </w:t>
            </w:r>
            <w:r w:rsidRPr="00DC65F7">
              <w:rPr>
                <w:rFonts w:ascii="Times New Roman" w:eastAsia="Times New Roman" w:hAnsi="Times New Roman" w:cs="Times New Roman"/>
                <w:sz w:val="20"/>
                <w:szCs w:val="20"/>
                <w:lang w:eastAsia="en-ZA"/>
              </w:rPr>
              <w:t>Crandall &amp; de Grave 2017</w:t>
            </w:r>
            <w:r w:rsidRPr="00DC65F7">
              <w:rPr>
                <w:rFonts w:ascii="Times New Roman" w:eastAsia="Times New Roman" w:hAnsi="Times New Roman" w:cs="Times New Roman"/>
                <w:color w:val="000000"/>
                <w:sz w:val="20"/>
                <w:szCs w:val="20"/>
                <w:lang w:eastAsia="en-ZA"/>
              </w:rPr>
              <w:t>), so there is no possibility of hybridisation with native species</w:t>
            </w:r>
            <w:r w:rsidRPr="00823E07">
              <w:rPr>
                <w:rFonts w:ascii="Times New Roman" w:eastAsia="Times New Roman" w:hAnsi="Times New Roman" w:cs="Times New Roman"/>
                <w:color w:val="000000"/>
                <w:sz w:val="20"/>
                <w:szCs w:val="20"/>
                <w:lang w:eastAsia="en-ZA"/>
              </w:rPr>
              <w:t>.</w:t>
            </w:r>
          </w:p>
        </w:tc>
      </w:tr>
      <w:tr w:rsidR="002D7080" w:rsidRPr="00592486" w14:paraId="711A2416" w14:textId="77777777" w:rsidTr="002E2C37">
        <w:trPr>
          <w:trHeight w:val="70"/>
        </w:trPr>
        <w:tc>
          <w:tcPr>
            <w:tcW w:w="9016" w:type="dxa"/>
            <w:gridSpan w:val="2"/>
          </w:tcPr>
          <w:p w14:paraId="79BDC602"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00624593" w14:textId="7F102F53" w:rsidR="002D7080" w:rsidRPr="0088317B" w:rsidRDefault="002D7080" w:rsidP="002E2C37">
            <w:pPr>
              <w:ind w:left="720" w:hanging="720"/>
              <w:contextualSpacing/>
              <w:jc w:val="both"/>
              <w:rPr>
                <w:rFonts w:ascii="Times New Roman" w:eastAsia="Times New Roman" w:hAnsi="Times New Roman" w:cs="Times New Roman"/>
                <w:sz w:val="20"/>
                <w:szCs w:val="20"/>
                <w:lang w:eastAsia="en-ZA"/>
              </w:rPr>
            </w:pPr>
            <w:hyperlink w:history="1"/>
            <w:r w:rsidR="008A0BC6">
              <w:rPr>
                <w:rFonts w:ascii="Times New Roman" w:eastAsia="Times New Roman" w:hAnsi="Times New Roman" w:cs="Times New Roman"/>
                <w:sz w:val="20"/>
                <w:szCs w:val="20"/>
                <w:lang w:eastAsia="en-ZA"/>
              </w:rPr>
              <w:t>De Moor</w:t>
            </w:r>
            <w:r w:rsidRPr="0088317B">
              <w:rPr>
                <w:rFonts w:ascii="Times New Roman" w:eastAsia="Times New Roman" w:hAnsi="Times New Roman" w:cs="Times New Roman"/>
                <w:sz w:val="20"/>
                <w:szCs w:val="20"/>
                <w:lang w:eastAsia="en-ZA"/>
              </w:rPr>
              <w:t xml:space="preserve">, I., 2002, ‘Potential impacts of alien freshwater crayfish in South Africa’, African </w:t>
            </w:r>
            <w:r w:rsidRPr="0088317B">
              <w:rPr>
                <w:rFonts w:ascii="Times New Roman" w:eastAsia="Times New Roman" w:hAnsi="Times New Roman" w:cs="Times New Roman"/>
                <w:i/>
                <w:sz w:val="20"/>
                <w:szCs w:val="20"/>
                <w:lang w:eastAsia="en-ZA"/>
              </w:rPr>
              <w:t xml:space="preserve">Journal of Aquatic Science </w:t>
            </w:r>
            <w:r w:rsidRPr="0088317B">
              <w:rPr>
                <w:rFonts w:ascii="Times New Roman" w:eastAsia="Times New Roman" w:hAnsi="Times New Roman" w:cs="Times New Roman"/>
                <w:sz w:val="20"/>
                <w:szCs w:val="20"/>
                <w:lang w:eastAsia="en-ZA"/>
              </w:rPr>
              <w:t xml:space="preserve">27, 125–139. </w:t>
            </w:r>
            <w:hyperlink r:id="rId336" w:history="1">
              <w:r w:rsidR="00145A36" w:rsidRPr="008A0BC6">
                <w:rPr>
                  <w:rStyle w:val="Hyperlink"/>
                  <w:rFonts w:ascii="Times New Roman" w:hAnsi="Times New Roman" w:cs="Times New Roman"/>
                  <w:sz w:val="20"/>
                  <w:szCs w:val="20"/>
                </w:rPr>
                <w:t>https://doi.org/10.2989/16085914.2002.9626584</w:t>
              </w:r>
            </w:hyperlink>
            <w:r w:rsidRPr="008A0BC6">
              <w:rPr>
                <w:rFonts w:ascii="Times New Roman" w:eastAsia="Times New Roman" w:hAnsi="Times New Roman" w:cs="Times New Roman"/>
                <w:sz w:val="18"/>
                <w:szCs w:val="18"/>
                <w:lang w:eastAsia="en-ZA"/>
              </w:rPr>
              <w:t>.</w:t>
            </w:r>
          </w:p>
          <w:p w14:paraId="5513BBD8" w14:textId="46010BB9" w:rsidR="00145A36" w:rsidRPr="008A0BC6" w:rsidRDefault="002D7080" w:rsidP="00145A36">
            <w:pPr>
              <w:ind w:left="720" w:hanging="720"/>
              <w:contextualSpacing/>
              <w:jc w:val="both"/>
              <w:rPr>
                <w:rFonts w:ascii="Times New Roman" w:hAnsi="Times New Roman" w:cs="Times New Roman"/>
                <w:sz w:val="20"/>
                <w:szCs w:val="20"/>
                <w:bdr w:val="none" w:sz="0" w:space="0" w:color="auto" w:frame="1"/>
                <w:shd w:val="clear" w:color="auto" w:fill="FFFFFF"/>
              </w:rPr>
            </w:pPr>
            <w:r w:rsidRPr="0088317B">
              <w:rPr>
                <w:rFonts w:ascii="Times New Roman" w:hAnsi="Times New Roman" w:cs="Times New Roman"/>
                <w:color w:val="2A2A2A"/>
                <w:sz w:val="20"/>
                <w:szCs w:val="20"/>
                <w:shd w:val="clear" w:color="auto" w:fill="FFFFFF"/>
              </w:rPr>
              <w:t>Crandall, K.A. &amp; De Grave, S., 2017, ‘An updated classification of the freshwater crayfishes (Decapoda: Astacidea) of the world, with a complete species list’, </w:t>
            </w:r>
            <w:r w:rsidRPr="0088317B">
              <w:rPr>
                <w:rStyle w:val="Emphasis"/>
                <w:rFonts w:ascii="Times New Roman" w:hAnsi="Times New Roman" w:cs="Times New Roman"/>
                <w:color w:val="2A2A2A"/>
                <w:sz w:val="20"/>
                <w:szCs w:val="20"/>
                <w:bdr w:val="none" w:sz="0" w:space="0" w:color="auto" w:frame="1"/>
                <w:shd w:val="clear" w:color="auto" w:fill="FFFFFF"/>
              </w:rPr>
              <w:t>Journal of Crustacean Biology</w:t>
            </w:r>
            <w:r w:rsidRPr="0088317B">
              <w:rPr>
                <w:rFonts w:ascii="Times New Roman" w:hAnsi="Times New Roman" w:cs="Times New Roman"/>
                <w:color w:val="2A2A2A"/>
                <w:sz w:val="20"/>
                <w:szCs w:val="20"/>
                <w:shd w:val="clear" w:color="auto" w:fill="FFFFFF"/>
              </w:rPr>
              <w:t>, 37(5), 615–653. </w:t>
            </w:r>
            <w:r w:rsidR="00145A36" w:rsidRPr="00145A36">
              <w:rPr>
                <w:rFonts w:ascii="Times New Roman" w:hAnsi="Times New Roman" w:cs="Times New Roman"/>
                <w:sz w:val="20"/>
                <w:szCs w:val="20"/>
                <w:bdr w:val="none" w:sz="0" w:space="0" w:color="auto" w:frame="1"/>
                <w:shd w:val="clear" w:color="auto" w:fill="FFFFFF"/>
              </w:rPr>
              <w:t>https://doi.org/10.1093/jcbiol/rux070</w:t>
            </w:r>
            <w:r w:rsidRPr="0088317B">
              <w:rPr>
                <w:rFonts w:ascii="Times New Roman" w:hAnsi="Times New Roman" w:cs="Times New Roman"/>
                <w:sz w:val="20"/>
                <w:szCs w:val="20"/>
                <w:bdr w:val="none" w:sz="0" w:space="0" w:color="auto" w:frame="1"/>
                <w:shd w:val="clear" w:color="auto" w:fill="FFFFFF"/>
              </w:rPr>
              <w:t>.</w:t>
            </w:r>
          </w:p>
        </w:tc>
      </w:tr>
      <w:tr w:rsidR="002D7080" w:rsidRPr="00592486" w14:paraId="4DA7DAD9" w14:textId="77777777" w:rsidTr="002E2C37">
        <w:tc>
          <w:tcPr>
            <w:tcW w:w="9016" w:type="dxa"/>
            <w:gridSpan w:val="2"/>
            <w:shd w:val="clear" w:color="auto" w:fill="F2F2F2" w:themeFill="background1" w:themeFillShade="F2"/>
          </w:tcPr>
          <w:p w14:paraId="12E74752"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CON1d: Transmission of disease</w:t>
            </w:r>
          </w:p>
        </w:tc>
      </w:tr>
      <w:tr w:rsidR="002D7080" w:rsidRPr="00592486" w14:paraId="60E2F736" w14:textId="77777777" w:rsidTr="002E2C37">
        <w:tc>
          <w:tcPr>
            <w:tcW w:w="5949" w:type="dxa"/>
          </w:tcPr>
          <w:p w14:paraId="3B838A4E"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w:t>
            </w:r>
            <w:r w:rsidRPr="00233C97">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Minor (MN)</w:t>
            </w:r>
          </w:p>
        </w:tc>
        <w:tc>
          <w:tcPr>
            <w:tcW w:w="3067" w:type="dxa"/>
          </w:tcPr>
          <w:p w14:paraId="405D9326"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Confidence: </w:t>
            </w:r>
            <w:r>
              <w:rPr>
                <w:rFonts w:ascii="Times New Roman" w:eastAsia="Times New Roman" w:hAnsi="Times New Roman" w:cs="Times New Roman"/>
                <w:sz w:val="20"/>
                <w:szCs w:val="20"/>
                <w:lang w:eastAsia="en-ZA"/>
              </w:rPr>
              <w:t xml:space="preserve">Low </w:t>
            </w:r>
          </w:p>
        </w:tc>
      </w:tr>
      <w:tr w:rsidR="002D7080" w:rsidRPr="00592486" w14:paraId="7E0B1CC0" w14:textId="77777777" w:rsidTr="002E2C37">
        <w:trPr>
          <w:trHeight w:val="70"/>
        </w:trPr>
        <w:tc>
          <w:tcPr>
            <w:tcW w:w="9016" w:type="dxa"/>
            <w:gridSpan w:val="2"/>
          </w:tcPr>
          <w:p w14:paraId="7E32CDB9" w14:textId="77777777" w:rsidR="002D7080" w:rsidRPr="005D5C77" w:rsidRDefault="002D7080" w:rsidP="002E2C37">
            <w:pPr>
              <w:jc w:val="both"/>
              <w:rPr>
                <w:rFonts w:ascii="Times New Roman" w:eastAsia="Times New Roman" w:hAnsi="Times New Roman" w:cs="Times New Roman"/>
                <w:sz w:val="20"/>
                <w:szCs w:val="20"/>
                <w:lang w:eastAsia="en-ZA"/>
              </w:rPr>
            </w:pPr>
            <w:r w:rsidRPr="005D5C77">
              <w:rPr>
                <w:rFonts w:ascii="Times New Roman" w:eastAsia="Times New Roman" w:hAnsi="Times New Roman" w:cs="Times New Roman"/>
                <w:sz w:val="20"/>
                <w:szCs w:val="20"/>
                <w:lang w:eastAsia="en-ZA"/>
              </w:rPr>
              <w:t xml:space="preserve">Rationale: </w:t>
            </w:r>
            <w:r w:rsidRPr="005D5C77">
              <w:rPr>
                <w:rFonts w:ascii="Times New Roman" w:eastAsia="Times New Roman" w:hAnsi="Times New Roman" w:cs="Times New Roman"/>
                <w:i/>
                <w:iCs/>
                <w:sz w:val="20"/>
                <w:szCs w:val="20"/>
                <w:lang w:eastAsia="en-ZA"/>
              </w:rPr>
              <w:t>Faxinous rusticus</w:t>
            </w:r>
            <w:r w:rsidRPr="005D5C77">
              <w:rPr>
                <w:rFonts w:ascii="Times New Roman" w:eastAsia="Times New Roman" w:hAnsi="Times New Roman" w:cs="Times New Roman"/>
                <w:sz w:val="20"/>
                <w:szCs w:val="20"/>
                <w:lang w:eastAsia="en-ZA"/>
              </w:rPr>
              <w:t xml:space="preserve"> is a known vector of pathogen such as the crayfish plague agent, </w:t>
            </w:r>
            <w:r w:rsidRPr="005D5C77">
              <w:rPr>
                <w:rFonts w:ascii="Times New Roman" w:eastAsia="Times New Roman" w:hAnsi="Times New Roman" w:cs="Times New Roman"/>
                <w:i/>
                <w:iCs/>
                <w:sz w:val="20"/>
                <w:szCs w:val="20"/>
                <w:lang w:eastAsia="en-ZA"/>
              </w:rPr>
              <w:t>Aphanomyces astaci</w:t>
            </w:r>
            <w:r w:rsidRPr="005D5C77">
              <w:rPr>
                <w:rFonts w:ascii="Times New Roman" w:eastAsia="Times New Roman" w:hAnsi="Times New Roman" w:cs="Times New Roman"/>
                <w:sz w:val="20"/>
                <w:szCs w:val="20"/>
                <w:lang w:eastAsia="en-ZA"/>
              </w:rPr>
              <w:t xml:space="preserve"> (Panteleit et al. 2019; Butler et al. 2020) and m</w:t>
            </w:r>
            <w:r w:rsidRPr="005D5C77">
              <w:rPr>
                <w:rFonts w:ascii="Times New Roman" w:hAnsi="Times New Roman" w:cs="Times New Roman"/>
                <w:sz w:val="20"/>
                <w:szCs w:val="20"/>
              </w:rPr>
              <w:t>icrosporidia (</w:t>
            </w:r>
            <w:r w:rsidRPr="005D5C77">
              <w:rPr>
                <w:rFonts w:ascii="Times New Roman" w:hAnsi="Times New Roman" w:cs="Times New Roman"/>
                <w:i/>
                <w:iCs/>
                <w:sz w:val="20"/>
                <w:szCs w:val="20"/>
              </w:rPr>
              <w:t>Cambaraspora</w:t>
            </w:r>
            <w:r w:rsidRPr="005D5C77">
              <w:rPr>
                <w:rFonts w:ascii="Times New Roman" w:hAnsi="Times New Roman" w:cs="Times New Roman"/>
                <w:sz w:val="20"/>
                <w:szCs w:val="20"/>
              </w:rPr>
              <w:t xml:space="preserve"> sp.) (</w:t>
            </w:r>
            <w:r w:rsidRPr="005D5C77">
              <w:rPr>
                <w:rFonts w:ascii="Times New Roman" w:hAnsi="Times New Roman" w:cs="Times New Roman"/>
                <w:color w:val="000000"/>
                <w:sz w:val="20"/>
                <w:szCs w:val="20"/>
              </w:rPr>
              <w:t xml:space="preserve">Stratton et al. 2023). </w:t>
            </w:r>
            <w:r w:rsidRPr="005D5C77">
              <w:rPr>
                <w:rFonts w:ascii="Times New Roman" w:eastAsia="Times New Roman" w:hAnsi="Times New Roman" w:cs="Times New Roman"/>
                <w:iCs/>
                <w:sz w:val="20"/>
                <w:szCs w:val="20"/>
                <w:lang w:eastAsia="en-ZA"/>
              </w:rPr>
              <w:t>There are no native crayfish species in South Africa but crayfish plague pathogen has been shown to infect other freshwater decapods such as native potamonautid crabs (Svoboda et al. 2014)</w:t>
            </w:r>
          </w:p>
        </w:tc>
      </w:tr>
      <w:tr w:rsidR="002D7080" w:rsidRPr="00592486" w14:paraId="156DB50C" w14:textId="77777777" w:rsidTr="002E2C37">
        <w:trPr>
          <w:trHeight w:val="70"/>
        </w:trPr>
        <w:tc>
          <w:tcPr>
            <w:tcW w:w="9016" w:type="dxa"/>
            <w:gridSpan w:val="2"/>
          </w:tcPr>
          <w:p w14:paraId="0B5AFD58" w14:textId="77777777" w:rsidR="002D7080" w:rsidRPr="00233C97" w:rsidRDefault="002D7080" w:rsidP="002E2C37">
            <w:pPr>
              <w:ind w:left="720" w:hanging="720"/>
              <w:contextualSpacing/>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3CB5DBBB" w14:textId="77777777" w:rsidR="002D7080" w:rsidRPr="005D5C77" w:rsidRDefault="002D7080" w:rsidP="002E2C37">
            <w:pPr>
              <w:ind w:left="720" w:hanging="720"/>
              <w:contextualSpacing/>
              <w:jc w:val="both"/>
              <w:rPr>
                <w:rFonts w:ascii="Times New Roman" w:hAnsi="Times New Roman" w:cs="Times New Roman"/>
                <w:color w:val="000000"/>
                <w:sz w:val="20"/>
                <w:szCs w:val="20"/>
              </w:rPr>
            </w:pPr>
            <w:r w:rsidRPr="005D5C77">
              <w:rPr>
                <w:rFonts w:ascii="Times New Roman" w:hAnsi="Times New Roman" w:cs="Times New Roman"/>
                <w:color w:val="000000"/>
                <w:sz w:val="20"/>
                <w:szCs w:val="20"/>
              </w:rPr>
              <w:t>Butler, E., P. Crigler, G. Robbins, and J. E. Blair. 2020. Preliminary survey of </w:t>
            </w:r>
            <w:r w:rsidRPr="005D5C77">
              <w:rPr>
                <w:rStyle w:val="Emphasis"/>
                <w:rFonts w:ascii="Times New Roman" w:hAnsi="Times New Roman" w:cs="Times New Roman"/>
                <w:color w:val="000000"/>
                <w:sz w:val="20"/>
                <w:szCs w:val="20"/>
              </w:rPr>
              <w:t>Aphanomyces</w:t>
            </w:r>
            <w:r w:rsidRPr="005D5C77">
              <w:rPr>
                <w:rFonts w:ascii="Times New Roman" w:hAnsi="Times New Roman" w:cs="Times New Roman"/>
                <w:color w:val="000000"/>
                <w:sz w:val="20"/>
                <w:szCs w:val="20"/>
              </w:rPr>
              <w:t xml:space="preserve"> sp. associated with native and invasive crayfish in the lower Susquehanna watershed of south central Pennsylvania. </w:t>
            </w:r>
            <w:r w:rsidRPr="005D5C77">
              <w:rPr>
                <w:rFonts w:ascii="Times New Roman" w:hAnsi="Times New Roman" w:cs="Times New Roman"/>
                <w:i/>
                <w:iCs/>
                <w:color w:val="000000"/>
                <w:sz w:val="20"/>
                <w:szCs w:val="20"/>
              </w:rPr>
              <w:t>Journal of Freshwater Ecology</w:t>
            </w:r>
            <w:r w:rsidRPr="005D5C77">
              <w:rPr>
                <w:rFonts w:ascii="Times New Roman" w:hAnsi="Times New Roman" w:cs="Times New Roman"/>
                <w:color w:val="000000"/>
                <w:sz w:val="20"/>
                <w:szCs w:val="20"/>
              </w:rPr>
              <w:t xml:space="preserve"> 35(1), 223-233. </w:t>
            </w:r>
            <w:hyperlink w:history="1">
              <w:r w:rsidRPr="005D5C77">
                <w:rPr>
                  <w:rStyle w:val="Hyperlink"/>
                  <w:rFonts w:ascii="Times New Roman" w:hAnsi="Times New Roman" w:cs="Times New Roman"/>
                  <w:sz w:val="20"/>
                  <w:szCs w:val="20"/>
                </w:rPr>
                <w:t>https://doi.org/10.1080/02705060.2020.1779141</w:t>
              </w:r>
            </w:hyperlink>
            <w:r w:rsidRPr="005D5C77">
              <w:rPr>
                <w:rFonts w:ascii="Times New Roman" w:hAnsi="Times New Roman" w:cs="Times New Roman"/>
                <w:color w:val="000000"/>
                <w:sz w:val="20"/>
                <w:szCs w:val="20"/>
              </w:rPr>
              <w:t>.</w:t>
            </w:r>
          </w:p>
          <w:p w14:paraId="27BB68B5" w14:textId="77777777" w:rsidR="002D7080" w:rsidRPr="005D5C77" w:rsidRDefault="002D7080" w:rsidP="002E2C37">
            <w:pPr>
              <w:ind w:left="720" w:hanging="720"/>
              <w:contextualSpacing/>
              <w:jc w:val="both"/>
              <w:rPr>
                <w:rFonts w:ascii="Times New Roman" w:eastAsia="Times New Roman" w:hAnsi="Times New Roman" w:cs="Times New Roman"/>
                <w:sz w:val="20"/>
                <w:szCs w:val="20"/>
                <w:lang w:eastAsia="en-ZA"/>
              </w:rPr>
            </w:pPr>
            <w:r w:rsidRPr="005D5C77">
              <w:rPr>
                <w:rFonts w:ascii="Times New Roman" w:eastAsia="Times New Roman" w:hAnsi="Times New Roman" w:cs="Times New Roman"/>
                <w:sz w:val="20"/>
                <w:szCs w:val="20"/>
                <w:lang w:eastAsia="en-ZA"/>
              </w:rPr>
              <w:t xml:space="preserve"> Panteleit, J., T. Horvath, J. Jussila, J. Makkonen, W. Perry, R. Schulz, K. Theissinger, and A. Schrimpf. 2019. Invasive rusty crayfish (</w:t>
            </w:r>
            <w:r w:rsidRPr="005D5C77">
              <w:rPr>
                <w:rFonts w:ascii="Times New Roman" w:eastAsia="Times New Roman" w:hAnsi="Times New Roman" w:cs="Times New Roman"/>
                <w:i/>
                <w:iCs/>
                <w:sz w:val="20"/>
                <w:szCs w:val="20"/>
                <w:lang w:eastAsia="en-ZA"/>
              </w:rPr>
              <w:t>Faxonius rusticus</w:t>
            </w:r>
            <w:r w:rsidRPr="005D5C77">
              <w:rPr>
                <w:rFonts w:ascii="Times New Roman" w:eastAsia="Times New Roman" w:hAnsi="Times New Roman" w:cs="Times New Roman"/>
                <w:sz w:val="20"/>
                <w:szCs w:val="20"/>
                <w:lang w:eastAsia="en-ZA"/>
              </w:rPr>
              <w:t>) populations in North America are infected with the crayfish plague disease agent (</w:t>
            </w:r>
            <w:r w:rsidRPr="005D5C77">
              <w:rPr>
                <w:rFonts w:ascii="Times New Roman" w:eastAsia="Times New Roman" w:hAnsi="Times New Roman" w:cs="Times New Roman"/>
                <w:i/>
                <w:iCs/>
                <w:sz w:val="20"/>
                <w:szCs w:val="20"/>
                <w:lang w:eastAsia="en-ZA"/>
              </w:rPr>
              <w:t>Aphanomyces astaci</w:t>
            </w:r>
            <w:r w:rsidRPr="005D5C77">
              <w:rPr>
                <w:rFonts w:ascii="Times New Roman" w:eastAsia="Times New Roman" w:hAnsi="Times New Roman" w:cs="Times New Roman"/>
                <w:sz w:val="20"/>
                <w:szCs w:val="20"/>
                <w:lang w:eastAsia="en-ZA"/>
              </w:rPr>
              <w:t xml:space="preserve">). </w:t>
            </w:r>
            <w:r w:rsidRPr="005D5C77">
              <w:rPr>
                <w:rFonts w:ascii="Times New Roman" w:eastAsia="Times New Roman" w:hAnsi="Times New Roman" w:cs="Times New Roman"/>
                <w:i/>
                <w:iCs/>
                <w:sz w:val="20"/>
                <w:szCs w:val="20"/>
                <w:lang w:eastAsia="en-ZA"/>
              </w:rPr>
              <w:t>Freshwater Science</w:t>
            </w:r>
            <w:r w:rsidRPr="005D5C77">
              <w:rPr>
                <w:rFonts w:ascii="Times New Roman" w:eastAsia="Times New Roman" w:hAnsi="Times New Roman" w:cs="Times New Roman"/>
                <w:sz w:val="20"/>
                <w:szCs w:val="20"/>
                <w:lang w:eastAsia="en-ZA"/>
              </w:rPr>
              <w:t xml:space="preserve">, 38(2), 425-433. </w:t>
            </w:r>
            <w:hyperlink w:history="1">
              <w:r w:rsidRPr="005D5C77">
                <w:rPr>
                  <w:rStyle w:val="Hyperlink"/>
                  <w:rFonts w:ascii="Times New Roman" w:eastAsia="Times New Roman" w:hAnsi="Times New Roman" w:cs="Times New Roman"/>
                  <w:sz w:val="20"/>
                  <w:szCs w:val="20"/>
                  <w:lang w:eastAsia="en-ZA"/>
                </w:rPr>
                <w:t>https://doi.org/10.1086/703417</w:t>
              </w:r>
            </w:hyperlink>
            <w:r w:rsidRPr="005D5C77">
              <w:rPr>
                <w:rFonts w:ascii="Times New Roman" w:eastAsia="Times New Roman" w:hAnsi="Times New Roman" w:cs="Times New Roman"/>
                <w:sz w:val="20"/>
                <w:szCs w:val="20"/>
                <w:lang w:eastAsia="en-ZA"/>
              </w:rPr>
              <w:t xml:space="preserve"> </w:t>
            </w:r>
          </w:p>
          <w:p w14:paraId="5BAC9E13" w14:textId="77777777" w:rsidR="002D7080" w:rsidRPr="005D5C77" w:rsidRDefault="002D7080" w:rsidP="002E2C37">
            <w:pPr>
              <w:ind w:left="720" w:hanging="720"/>
              <w:contextualSpacing/>
              <w:jc w:val="both"/>
              <w:rPr>
                <w:rFonts w:ascii="Times New Roman" w:hAnsi="Times New Roman" w:cs="Times New Roman"/>
                <w:color w:val="000000"/>
                <w:sz w:val="20"/>
                <w:szCs w:val="20"/>
              </w:rPr>
            </w:pPr>
            <w:r w:rsidRPr="005D5C77">
              <w:rPr>
                <w:rFonts w:ascii="Times New Roman" w:hAnsi="Times New Roman" w:cs="Times New Roman"/>
                <w:color w:val="000000"/>
                <w:sz w:val="20"/>
                <w:szCs w:val="20"/>
              </w:rPr>
              <w:t>Stratton, C. E., B. A. Kabalan, S. A. Bolds, L. S. Reisinger, D. C. Behringer, and J. Bojko. 2023. </w:t>
            </w:r>
            <w:r w:rsidRPr="005D5C77">
              <w:rPr>
                <w:rStyle w:val="Emphasis"/>
                <w:rFonts w:ascii="Times New Roman" w:hAnsi="Times New Roman" w:cs="Times New Roman"/>
                <w:color w:val="000000"/>
                <w:sz w:val="20"/>
                <w:szCs w:val="20"/>
              </w:rPr>
              <w:t>Cambaraspora faxoni</w:t>
            </w:r>
            <w:r w:rsidRPr="005D5C77">
              <w:rPr>
                <w:rFonts w:ascii="Times New Roman" w:hAnsi="Times New Roman" w:cs="Times New Roman"/>
                <w:color w:val="000000"/>
                <w:sz w:val="20"/>
                <w:szCs w:val="20"/>
              </w:rPr>
              <w:t> n. sp. (Microsporidia: Glugeida) from native and invasive crayfish in the USA and a novel host of </w:t>
            </w:r>
            <w:r w:rsidRPr="005D5C77">
              <w:rPr>
                <w:rStyle w:val="Emphasis"/>
                <w:rFonts w:ascii="Times New Roman" w:hAnsi="Times New Roman" w:cs="Times New Roman"/>
                <w:color w:val="000000"/>
                <w:sz w:val="20"/>
                <w:szCs w:val="20"/>
              </w:rPr>
              <w:t>Cambaraspora floridanus</w:t>
            </w:r>
            <w:r w:rsidRPr="005D5C77">
              <w:rPr>
                <w:rFonts w:ascii="Times New Roman" w:hAnsi="Times New Roman" w:cs="Times New Roman"/>
                <w:color w:val="000000"/>
                <w:sz w:val="20"/>
                <w:szCs w:val="20"/>
              </w:rPr>
              <w:t xml:space="preserve">. </w:t>
            </w:r>
            <w:r w:rsidRPr="005D5C77">
              <w:rPr>
                <w:rFonts w:ascii="Times New Roman" w:hAnsi="Times New Roman" w:cs="Times New Roman"/>
                <w:i/>
                <w:iCs/>
                <w:color w:val="000000"/>
                <w:sz w:val="20"/>
                <w:szCs w:val="20"/>
              </w:rPr>
              <w:t>Journal of Invertebrate Pathology</w:t>
            </w:r>
            <w:r w:rsidRPr="005D5C77">
              <w:rPr>
                <w:rFonts w:ascii="Times New Roman" w:hAnsi="Times New Roman" w:cs="Times New Roman"/>
                <w:color w:val="000000"/>
                <w:sz w:val="20"/>
                <w:szCs w:val="20"/>
              </w:rPr>
              <w:t xml:space="preserve"> 199:107949. </w:t>
            </w:r>
            <w:hyperlink w:history="1">
              <w:r w:rsidRPr="005D5C77">
                <w:rPr>
                  <w:rStyle w:val="Hyperlink"/>
                  <w:rFonts w:ascii="Times New Roman" w:hAnsi="Times New Roman" w:cs="Times New Roman"/>
                  <w:sz w:val="20"/>
                  <w:szCs w:val="20"/>
                </w:rPr>
                <w:t>https://doi.org/10.1016/j.jip.2023.107949</w:t>
              </w:r>
            </w:hyperlink>
            <w:r w:rsidRPr="005D5C77">
              <w:rPr>
                <w:rFonts w:ascii="Times New Roman" w:hAnsi="Times New Roman" w:cs="Times New Roman"/>
                <w:color w:val="000000"/>
                <w:sz w:val="20"/>
                <w:szCs w:val="20"/>
              </w:rPr>
              <w:t>.</w:t>
            </w:r>
          </w:p>
          <w:p w14:paraId="08393332" w14:textId="7F5D82E0" w:rsidR="002D7080" w:rsidRPr="00233C97" w:rsidRDefault="002D7080" w:rsidP="002E2C37">
            <w:pPr>
              <w:ind w:left="720" w:hanging="720"/>
              <w:contextualSpacing/>
              <w:jc w:val="both"/>
              <w:rPr>
                <w:rFonts w:ascii="Times New Roman" w:eastAsia="Times New Roman" w:hAnsi="Times New Roman" w:cs="Times New Roman"/>
                <w:sz w:val="20"/>
                <w:szCs w:val="20"/>
                <w:lang w:eastAsia="en-ZA"/>
              </w:rPr>
            </w:pPr>
            <w:r w:rsidRPr="005D5C77">
              <w:rPr>
                <w:rFonts w:ascii="Times New Roman" w:hAnsi="Times New Roman" w:cs="Times New Roman"/>
                <w:color w:val="1C1D1E"/>
                <w:sz w:val="20"/>
                <w:szCs w:val="20"/>
                <w:shd w:val="clear" w:color="auto" w:fill="FFFFFF"/>
              </w:rPr>
              <w:t xml:space="preserve">Svoboda, J., Strand, D.A., Vrålstad, T., Grandjean, F., Edsman, L., Kozák, P., Kouba, A., Fristad, R.F., Bahadir Koca, S. and Petrusek, A. 2014, ‘The crayfish plague pathogen can infect freshwater-inhabiting crabs’, </w:t>
            </w:r>
            <w:r w:rsidRPr="005D5C77">
              <w:rPr>
                <w:rFonts w:ascii="Times New Roman" w:hAnsi="Times New Roman" w:cs="Times New Roman"/>
                <w:i/>
                <w:iCs/>
                <w:color w:val="1C1D1E"/>
                <w:sz w:val="20"/>
                <w:szCs w:val="20"/>
                <w:shd w:val="clear" w:color="auto" w:fill="FFFFFF"/>
              </w:rPr>
              <w:t>Freshwater Biology</w:t>
            </w:r>
            <w:r w:rsidRPr="005D5C77">
              <w:rPr>
                <w:rFonts w:ascii="Times New Roman" w:hAnsi="Times New Roman" w:cs="Times New Roman"/>
                <w:color w:val="1C1D1E"/>
                <w:sz w:val="20"/>
                <w:szCs w:val="20"/>
                <w:shd w:val="clear" w:color="auto" w:fill="FFFFFF"/>
              </w:rPr>
              <w:t>, 59, 918-929</w:t>
            </w:r>
            <w:r w:rsidR="00F01349">
              <w:rPr>
                <w:rFonts w:ascii="Times New Roman" w:hAnsi="Times New Roman" w:cs="Times New Roman"/>
                <w:color w:val="1C1D1E"/>
                <w:sz w:val="20"/>
                <w:szCs w:val="20"/>
                <w:shd w:val="clear" w:color="auto" w:fill="FFFFFF"/>
              </w:rPr>
              <w:t>,</w:t>
            </w:r>
            <w:r w:rsidR="00F01349">
              <w:t xml:space="preserve"> </w:t>
            </w:r>
            <w:r w:rsidR="00F01349" w:rsidRPr="00F01349">
              <w:rPr>
                <w:rFonts w:ascii="Times New Roman" w:hAnsi="Times New Roman" w:cs="Times New Roman"/>
                <w:color w:val="1C1D1E"/>
                <w:sz w:val="20"/>
                <w:szCs w:val="20"/>
                <w:shd w:val="clear" w:color="auto" w:fill="FFFFFF"/>
              </w:rPr>
              <w:t>https://doi.org/10.1111/fwb.12315</w:t>
            </w:r>
          </w:p>
        </w:tc>
      </w:tr>
      <w:tr w:rsidR="002D7080" w:rsidRPr="00592486" w14:paraId="7373BEE3" w14:textId="77777777" w:rsidTr="002E2C37">
        <w:tc>
          <w:tcPr>
            <w:tcW w:w="9016" w:type="dxa"/>
            <w:gridSpan w:val="2"/>
            <w:shd w:val="clear" w:color="auto" w:fill="F2F2F2" w:themeFill="background1" w:themeFillShade="F2"/>
          </w:tcPr>
          <w:p w14:paraId="2CC74376"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CON1e: Parasitism</w:t>
            </w:r>
          </w:p>
        </w:tc>
      </w:tr>
      <w:tr w:rsidR="002D7080" w:rsidRPr="00592486" w14:paraId="57D3C953" w14:textId="77777777" w:rsidTr="002E2C37">
        <w:tc>
          <w:tcPr>
            <w:tcW w:w="5949" w:type="dxa"/>
          </w:tcPr>
          <w:p w14:paraId="3A6EED12"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 Data Deficient (DD)</w:t>
            </w:r>
          </w:p>
        </w:tc>
        <w:tc>
          <w:tcPr>
            <w:tcW w:w="3067" w:type="dxa"/>
          </w:tcPr>
          <w:p w14:paraId="4C89A6E0"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w:t>
            </w:r>
            <w:r w:rsidRPr="00233C97">
              <w:rPr>
                <w:rFonts w:ascii="Times New Roman" w:eastAsia="Times New Roman" w:hAnsi="Times New Roman" w:cs="Times New Roman"/>
                <w:color w:val="000000"/>
                <w:sz w:val="20"/>
                <w:szCs w:val="20"/>
                <w:lang w:eastAsia="en-ZA"/>
              </w:rPr>
              <w:t xml:space="preserve"> Medium</w:t>
            </w:r>
          </w:p>
        </w:tc>
      </w:tr>
      <w:tr w:rsidR="002D7080" w:rsidRPr="00592486" w14:paraId="7AFA828C" w14:textId="77777777" w:rsidTr="002E2C37">
        <w:trPr>
          <w:trHeight w:val="70"/>
        </w:trPr>
        <w:tc>
          <w:tcPr>
            <w:tcW w:w="9016" w:type="dxa"/>
            <w:gridSpan w:val="2"/>
          </w:tcPr>
          <w:p w14:paraId="72DF48D8"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color w:val="000000"/>
                <w:sz w:val="20"/>
                <w:szCs w:val="20"/>
                <w:lang w:eastAsia="en-ZA"/>
              </w:rPr>
              <w:t xml:space="preserve"> </w:t>
            </w:r>
            <w:r w:rsidRPr="009A75FB">
              <w:rPr>
                <w:rFonts w:ascii="Times New Roman" w:eastAsia="Times New Roman" w:hAnsi="Times New Roman" w:cs="Times New Roman"/>
                <w:i/>
                <w:iCs/>
                <w:sz w:val="20"/>
                <w:szCs w:val="20"/>
                <w:lang w:eastAsia="en-ZA"/>
              </w:rPr>
              <w:t>Faxinous rusticus</w:t>
            </w:r>
            <w:r>
              <w:rPr>
                <w:rFonts w:ascii="Times New Roman" w:eastAsia="Times New Roman" w:hAnsi="Times New Roman" w:cs="Times New Roman"/>
                <w:color w:val="000000"/>
                <w:sz w:val="20"/>
                <w:szCs w:val="20"/>
                <w:lang w:eastAsia="en-ZA"/>
              </w:rPr>
              <w:t>is not a parasitic taxon (Lodge et al. 2012).</w:t>
            </w:r>
          </w:p>
        </w:tc>
      </w:tr>
      <w:tr w:rsidR="002D7080" w:rsidRPr="00592486" w14:paraId="50A9E1C1" w14:textId="77777777" w:rsidTr="002E2C37">
        <w:trPr>
          <w:trHeight w:val="70"/>
        </w:trPr>
        <w:tc>
          <w:tcPr>
            <w:tcW w:w="9016" w:type="dxa"/>
            <w:gridSpan w:val="2"/>
          </w:tcPr>
          <w:p w14:paraId="776F2D44" w14:textId="77777777" w:rsidR="002D7080" w:rsidRDefault="002D7080" w:rsidP="002E2C37">
            <w:pPr>
              <w:ind w:left="720" w:hanging="720"/>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7F288601" w14:textId="6D37D03B" w:rsidR="002D7080" w:rsidRPr="00233C97" w:rsidRDefault="002D7080" w:rsidP="002E2C37">
            <w:pPr>
              <w:ind w:left="720" w:hanging="720"/>
              <w:jc w:val="both"/>
              <w:rPr>
                <w:rFonts w:ascii="Times New Roman" w:eastAsia="Times New Roman" w:hAnsi="Times New Roman" w:cs="Times New Roman"/>
                <w:sz w:val="20"/>
                <w:szCs w:val="20"/>
                <w:lang w:eastAsia="en-ZA"/>
              </w:rPr>
            </w:pPr>
            <w:r w:rsidRPr="008D600C">
              <w:rPr>
                <w:rFonts w:ascii="Times New Roman" w:eastAsia="Times New Roman" w:hAnsi="Times New Roman" w:cs="Times New Roman"/>
                <w:sz w:val="20"/>
                <w:szCs w:val="20"/>
                <w:lang w:eastAsia="en-ZA"/>
              </w:rPr>
              <w:t xml:space="preserve">Lodge, D.M., Deines, A., Gherardi, F., Yeo, D.C., Arcella, T., Baldridge, A.K., et al., 2012, ‘Global introductions of crayfishes: evaluating the impact of species invasions on ecosystem services’, </w:t>
            </w:r>
            <w:r w:rsidRPr="008D600C">
              <w:rPr>
                <w:rFonts w:ascii="Times New Roman" w:eastAsia="Times New Roman" w:hAnsi="Times New Roman" w:cs="Times New Roman"/>
                <w:i/>
                <w:iCs/>
                <w:sz w:val="20"/>
                <w:szCs w:val="20"/>
                <w:lang w:eastAsia="en-ZA"/>
              </w:rPr>
              <w:t>Annual Review of Ecology, Evolution, and Systematics</w:t>
            </w:r>
            <w:r w:rsidRPr="008D600C">
              <w:rPr>
                <w:rFonts w:ascii="Times New Roman" w:eastAsia="Times New Roman" w:hAnsi="Times New Roman" w:cs="Times New Roman"/>
                <w:sz w:val="20"/>
                <w:szCs w:val="20"/>
                <w:lang w:eastAsia="en-ZA"/>
              </w:rPr>
              <w:t xml:space="preserve"> </w:t>
            </w:r>
            <w:r w:rsidRPr="008D600C">
              <w:rPr>
                <w:rFonts w:ascii="Times New Roman" w:eastAsia="Times New Roman" w:hAnsi="Times New Roman" w:cs="Times New Roman"/>
                <w:iCs/>
                <w:sz w:val="20"/>
                <w:szCs w:val="20"/>
                <w:lang w:eastAsia="en-ZA"/>
              </w:rPr>
              <w:t>43</w:t>
            </w:r>
            <w:r w:rsidRPr="008D600C">
              <w:rPr>
                <w:rFonts w:ascii="Times New Roman" w:eastAsia="Times New Roman" w:hAnsi="Times New Roman" w:cs="Times New Roman"/>
                <w:b/>
                <w:sz w:val="20"/>
                <w:szCs w:val="20"/>
                <w:lang w:eastAsia="en-ZA"/>
              </w:rPr>
              <w:t>,</w:t>
            </w:r>
            <w:r w:rsidRPr="008D600C">
              <w:rPr>
                <w:rFonts w:ascii="Times New Roman" w:eastAsia="Times New Roman" w:hAnsi="Times New Roman" w:cs="Times New Roman"/>
                <w:sz w:val="20"/>
                <w:szCs w:val="20"/>
                <w:lang w:eastAsia="en-ZA"/>
              </w:rPr>
              <w:t xml:space="preserve"> 449–472. </w:t>
            </w:r>
            <w:r w:rsidR="00F01349" w:rsidRPr="008A0BC6">
              <w:rPr>
                <w:rFonts w:ascii="Times New Roman" w:hAnsi="Times New Roman" w:cs="Times New Roman"/>
                <w:sz w:val="20"/>
                <w:szCs w:val="20"/>
              </w:rPr>
              <w:t>https://doi.org/10.1146/annurev-ecolsys-111511-103919</w:t>
            </w:r>
          </w:p>
        </w:tc>
      </w:tr>
      <w:tr w:rsidR="002D7080" w:rsidRPr="00592486" w14:paraId="4AB62C59" w14:textId="77777777" w:rsidTr="002E2C37">
        <w:tc>
          <w:tcPr>
            <w:tcW w:w="9016" w:type="dxa"/>
            <w:gridSpan w:val="2"/>
            <w:shd w:val="clear" w:color="auto" w:fill="F2F2F2" w:themeFill="background1" w:themeFillShade="F2"/>
          </w:tcPr>
          <w:p w14:paraId="204679AA"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CON1f: Poisoning/toxicity</w:t>
            </w:r>
          </w:p>
        </w:tc>
      </w:tr>
      <w:tr w:rsidR="002D7080" w:rsidRPr="00592486" w14:paraId="5B2D1225" w14:textId="77777777" w:rsidTr="002E2C37">
        <w:tc>
          <w:tcPr>
            <w:tcW w:w="5949" w:type="dxa"/>
          </w:tcPr>
          <w:p w14:paraId="49D03802"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 Data Deficient (DD)</w:t>
            </w:r>
          </w:p>
        </w:tc>
        <w:tc>
          <w:tcPr>
            <w:tcW w:w="3067" w:type="dxa"/>
          </w:tcPr>
          <w:p w14:paraId="54019139"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w:t>
            </w:r>
            <w:r w:rsidRPr="00233C97">
              <w:rPr>
                <w:rFonts w:ascii="Times New Roman" w:eastAsia="Times New Roman" w:hAnsi="Times New Roman" w:cs="Times New Roman"/>
                <w:color w:val="000000"/>
                <w:sz w:val="20"/>
                <w:szCs w:val="20"/>
                <w:lang w:eastAsia="en-ZA"/>
              </w:rPr>
              <w:t xml:space="preserve"> Medium</w:t>
            </w:r>
          </w:p>
        </w:tc>
      </w:tr>
      <w:tr w:rsidR="002D7080" w:rsidRPr="00592486" w14:paraId="77D2FEEB" w14:textId="77777777" w:rsidTr="002E2C37">
        <w:trPr>
          <w:trHeight w:val="70"/>
        </w:trPr>
        <w:tc>
          <w:tcPr>
            <w:tcW w:w="9016" w:type="dxa"/>
            <w:gridSpan w:val="2"/>
          </w:tcPr>
          <w:p w14:paraId="6B1DF87F"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color w:val="000000"/>
                <w:sz w:val="20"/>
                <w:szCs w:val="20"/>
                <w:lang w:eastAsia="en-ZA"/>
              </w:rPr>
              <w:t xml:space="preserve"> No information is available to assess the level of impact.</w:t>
            </w:r>
          </w:p>
        </w:tc>
      </w:tr>
      <w:tr w:rsidR="002D7080" w:rsidRPr="00592486" w14:paraId="7EB890E4" w14:textId="77777777" w:rsidTr="002E2C37">
        <w:trPr>
          <w:trHeight w:val="70"/>
        </w:trPr>
        <w:tc>
          <w:tcPr>
            <w:tcW w:w="9016" w:type="dxa"/>
            <w:gridSpan w:val="2"/>
          </w:tcPr>
          <w:p w14:paraId="748A7507" w14:textId="77777777" w:rsidR="002D7080" w:rsidRPr="00233C97" w:rsidRDefault="002D7080" w:rsidP="002E2C37">
            <w:pPr>
              <w:ind w:left="720" w:hanging="720"/>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lastRenderedPageBreak/>
              <w:t>References:</w:t>
            </w:r>
          </w:p>
        </w:tc>
      </w:tr>
      <w:tr w:rsidR="002D7080" w:rsidRPr="00592486" w14:paraId="29731A32" w14:textId="77777777" w:rsidTr="002E2C37">
        <w:tc>
          <w:tcPr>
            <w:tcW w:w="9016" w:type="dxa"/>
            <w:gridSpan w:val="2"/>
            <w:shd w:val="clear" w:color="auto" w:fill="F2F2F2" w:themeFill="background1" w:themeFillShade="F2"/>
          </w:tcPr>
          <w:p w14:paraId="099B64B5"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CON1g: Bio-fouling or other direct physical disturbance</w:t>
            </w:r>
          </w:p>
        </w:tc>
      </w:tr>
      <w:tr w:rsidR="002D7080" w:rsidRPr="00592486" w14:paraId="77D59478" w14:textId="77777777" w:rsidTr="002E2C37">
        <w:tc>
          <w:tcPr>
            <w:tcW w:w="5949" w:type="dxa"/>
          </w:tcPr>
          <w:p w14:paraId="3FC0AA9C"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 Data Deficient (DD)</w:t>
            </w:r>
          </w:p>
        </w:tc>
        <w:tc>
          <w:tcPr>
            <w:tcW w:w="3067" w:type="dxa"/>
          </w:tcPr>
          <w:p w14:paraId="5D5DF039"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w:t>
            </w:r>
            <w:r w:rsidRPr="00233C97">
              <w:rPr>
                <w:rFonts w:ascii="Times New Roman" w:eastAsia="Times New Roman" w:hAnsi="Times New Roman" w:cs="Times New Roman"/>
                <w:color w:val="000000"/>
                <w:sz w:val="20"/>
                <w:szCs w:val="20"/>
                <w:lang w:eastAsia="en-ZA"/>
              </w:rPr>
              <w:t xml:space="preserve"> Medium</w:t>
            </w:r>
          </w:p>
        </w:tc>
      </w:tr>
      <w:tr w:rsidR="002D7080" w:rsidRPr="00592486" w14:paraId="3D5F20FB" w14:textId="77777777" w:rsidTr="002E2C37">
        <w:trPr>
          <w:trHeight w:val="70"/>
        </w:trPr>
        <w:tc>
          <w:tcPr>
            <w:tcW w:w="9016" w:type="dxa"/>
            <w:gridSpan w:val="2"/>
          </w:tcPr>
          <w:p w14:paraId="57ADB0A9"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color w:val="000000"/>
                <w:sz w:val="20"/>
                <w:szCs w:val="20"/>
                <w:lang w:eastAsia="en-ZA"/>
              </w:rPr>
              <w:t xml:space="preserve"> No information is available to assess the level of impact.</w:t>
            </w:r>
          </w:p>
        </w:tc>
      </w:tr>
      <w:tr w:rsidR="002D7080" w:rsidRPr="00592486" w14:paraId="439C7B84" w14:textId="77777777" w:rsidTr="002E2C37">
        <w:trPr>
          <w:trHeight w:val="70"/>
        </w:trPr>
        <w:tc>
          <w:tcPr>
            <w:tcW w:w="9016" w:type="dxa"/>
            <w:gridSpan w:val="2"/>
          </w:tcPr>
          <w:p w14:paraId="05811202" w14:textId="77777777" w:rsidR="002D7080" w:rsidRPr="00233C97" w:rsidRDefault="002D7080" w:rsidP="002E2C37">
            <w:pPr>
              <w:ind w:left="720" w:hanging="720"/>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tc>
      </w:tr>
      <w:tr w:rsidR="002D7080" w:rsidRPr="00592486" w14:paraId="30A86122" w14:textId="77777777" w:rsidTr="002E2C37">
        <w:tc>
          <w:tcPr>
            <w:tcW w:w="9016" w:type="dxa"/>
            <w:gridSpan w:val="2"/>
            <w:shd w:val="clear" w:color="auto" w:fill="F2F2F2" w:themeFill="background1" w:themeFillShade="F2"/>
          </w:tcPr>
          <w:p w14:paraId="653B57E9"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CON1h: Grazing/herbivory/browsing</w:t>
            </w:r>
          </w:p>
        </w:tc>
      </w:tr>
      <w:tr w:rsidR="002D7080" w:rsidRPr="00592486" w14:paraId="1FD2DD7C" w14:textId="77777777" w:rsidTr="002E2C37">
        <w:tc>
          <w:tcPr>
            <w:tcW w:w="5949" w:type="dxa"/>
          </w:tcPr>
          <w:p w14:paraId="46A326E0"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w:t>
            </w:r>
            <w:r w:rsidRPr="00233C97">
              <w:rPr>
                <w:rFonts w:ascii="Times New Roman" w:eastAsia="Times New Roman" w:hAnsi="Times New Roman" w:cs="Times New Roman"/>
                <w:color w:val="000000"/>
                <w:sz w:val="20"/>
                <w:szCs w:val="20"/>
                <w:lang w:eastAsia="en-ZA"/>
              </w:rPr>
              <w:t xml:space="preserve"> Major (MR)</w:t>
            </w:r>
          </w:p>
        </w:tc>
        <w:tc>
          <w:tcPr>
            <w:tcW w:w="3067" w:type="dxa"/>
          </w:tcPr>
          <w:p w14:paraId="7C172AD3"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Medium</w:t>
            </w:r>
          </w:p>
        </w:tc>
      </w:tr>
      <w:tr w:rsidR="002D7080" w:rsidRPr="00592486" w14:paraId="2A72EA7C" w14:textId="77777777" w:rsidTr="002E2C37">
        <w:trPr>
          <w:trHeight w:val="70"/>
        </w:trPr>
        <w:tc>
          <w:tcPr>
            <w:tcW w:w="9016" w:type="dxa"/>
            <w:gridSpan w:val="2"/>
          </w:tcPr>
          <w:p w14:paraId="7787A932" w14:textId="77777777" w:rsidR="002D7080" w:rsidRPr="00317962" w:rsidRDefault="002D7080" w:rsidP="002E2C37">
            <w:pPr>
              <w:jc w:val="both"/>
              <w:rPr>
                <w:rFonts w:ascii="Times New Roman" w:eastAsia="Times New Roman" w:hAnsi="Times New Roman" w:cs="Times New Roman"/>
                <w:sz w:val="20"/>
                <w:szCs w:val="20"/>
                <w:lang w:eastAsia="en-ZA"/>
              </w:rPr>
            </w:pPr>
            <w:r w:rsidRPr="00317962">
              <w:rPr>
                <w:rFonts w:ascii="Times New Roman" w:eastAsia="Times New Roman" w:hAnsi="Times New Roman" w:cs="Times New Roman"/>
                <w:sz w:val="20"/>
                <w:szCs w:val="20"/>
                <w:lang w:eastAsia="en-ZA"/>
              </w:rPr>
              <w:t xml:space="preserve">Rationale: </w:t>
            </w:r>
            <w:r w:rsidRPr="00317962">
              <w:rPr>
                <w:rFonts w:ascii="Times New Roman" w:eastAsia="Times New Roman" w:hAnsi="Times New Roman" w:cs="Times New Roman"/>
                <w:i/>
                <w:color w:val="000000"/>
                <w:sz w:val="20"/>
                <w:szCs w:val="20"/>
                <w:lang w:eastAsia="en-ZA"/>
              </w:rPr>
              <w:t>Faxonius rusticus</w:t>
            </w:r>
            <w:r w:rsidRPr="00317962">
              <w:rPr>
                <w:rFonts w:ascii="Times New Roman" w:eastAsia="Times New Roman" w:hAnsi="Times New Roman" w:cs="Times New Roman"/>
                <w:color w:val="000000"/>
                <w:sz w:val="20"/>
                <w:szCs w:val="20"/>
                <w:lang w:eastAsia="en-ZA"/>
              </w:rPr>
              <w:t xml:space="preserve"> is a functional omnivore and </w:t>
            </w:r>
            <w:r w:rsidRPr="00317962">
              <w:rPr>
                <w:rFonts w:ascii="Times New Roman" w:hAnsi="Times New Roman" w:cs="Times New Roman"/>
                <w:sz w:val="20"/>
                <w:szCs w:val="20"/>
              </w:rPr>
              <w:t>feeds on plant and animal material and is known to cause major impacts on invaded ecosystems through grazing on macrophytes</w:t>
            </w:r>
            <w:r w:rsidRPr="00317962">
              <w:rPr>
                <w:rFonts w:ascii="Times New Roman" w:eastAsia="Times New Roman" w:hAnsi="Times New Roman" w:cs="Times New Roman"/>
                <w:color w:val="000000"/>
                <w:sz w:val="20"/>
                <w:szCs w:val="20"/>
                <w:lang w:eastAsia="en-ZA"/>
              </w:rPr>
              <w:t xml:space="preserve"> (e.g., Hobb et al. 1989, Lodge et al. 1994; </w:t>
            </w:r>
            <w:r w:rsidRPr="00317962">
              <w:rPr>
                <w:rFonts w:ascii="Times New Roman" w:eastAsia="Times New Roman" w:hAnsi="Times New Roman" w:cs="Times New Roman"/>
                <w:noProof/>
                <w:color w:val="000000"/>
                <w:sz w:val="20"/>
                <w:szCs w:val="20"/>
                <w:lang w:eastAsia="en-ZA"/>
              </w:rPr>
              <w:t>Wilson et al. 2004</w:t>
            </w:r>
            <w:r>
              <w:rPr>
                <w:rFonts w:ascii="Times New Roman" w:eastAsia="Times New Roman" w:hAnsi="Times New Roman" w:cs="Times New Roman"/>
                <w:noProof/>
                <w:color w:val="000000"/>
                <w:sz w:val="20"/>
                <w:szCs w:val="20"/>
                <w:lang w:eastAsia="en-ZA"/>
              </w:rPr>
              <w:t>,</w:t>
            </w:r>
            <w:r>
              <w:rPr>
                <w:rFonts w:eastAsia="Times New Roman"/>
                <w:noProof/>
                <w:color w:val="000000"/>
                <w:lang w:eastAsia="en-ZA"/>
              </w:rPr>
              <w:t xml:space="preserve"> </w:t>
            </w:r>
            <w:r w:rsidRPr="00317962">
              <w:rPr>
                <w:rFonts w:ascii="Times New Roman" w:eastAsia="Times New Roman" w:hAnsi="Times New Roman" w:cs="Times New Roman"/>
                <w:color w:val="000000"/>
                <w:sz w:val="20"/>
                <w:szCs w:val="20"/>
                <w:lang w:eastAsia="en-ZA"/>
              </w:rPr>
              <w:t>Roth et al. 2006</w:t>
            </w:r>
            <w:r>
              <w:rPr>
                <w:rFonts w:ascii="Times New Roman" w:eastAsia="Times New Roman" w:hAnsi="Times New Roman" w:cs="Times New Roman"/>
                <w:color w:val="000000"/>
                <w:sz w:val="20"/>
                <w:szCs w:val="20"/>
                <w:lang w:eastAsia="en-ZA"/>
              </w:rPr>
              <w:t>; Rosenthal et al. 2006; Baldridge &amp; Lodge 2014</w:t>
            </w:r>
            <w:r w:rsidRPr="00317962">
              <w:rPr>
                <w:rFonts w:ascii="Times New Roman" w:eastAsia="Times New Roman" w:hAnsi="Times New Roman" w:cs="Times New Roman"/>
                <w:color w:val="000000"/>
                <w:sz w:val="20"/>
                <w:szCs w:val="20"/>
                <w:lang w:eastAsia="en-ZA"/>
              </w:rPr>
              <w:t xml:space="preserve">). </w:t>
            </w:r>
          </w:p>
        </w:tc>
      </w:tr>
      <w:tr w:rsidR="002D7080" w:rsidRPr="00592486" w14:paraId="1E69B342" w14:textId="77777777" w:rsidTr="002E2C37">
        <w:trPr>
          <w:trHeight w:val="70"/>
        </w:trPr>
        <w:tc>
          <w:tcPr>
            <w:tcW w:w="9016" w:type="dxa"/>
            <w:gridSpan w:val="2"/>
          </w:tcPr>
          <w:p w14:paraId="159A72B0" w14:textId="77777777" w:rsidR="002D7080" w:rsidRPr="00233C97" w:rsidRDefault="002D7080" w:rsidP="002E2C37">
            <w:pPr>
              <w:contextualSpacing/>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4D9DF23C" w14:textId="41D0D0A2" w:rsidR="00F01349" w:rsidRDefault="002D7080" w:rsidP="002E2C37">
            <w:pPr>
              <w:ind w:left="720" w:hanging="720"/>
              <w:contextualSpacing/>
              <w:jc w:val="both"/>
              <w:rPr>
                <w:rFonts w:ascii="Times New Roman" w:hAnsi="Times New Roman" w:cs="Times New Roman"/>
                <w:color w:val="212529"/>
                <w:sz w:val="20"/>
                <w:szCs w:val="20"/>
                <w:shd w:val="clear" w:color="auto" w:fill="FFFFFF"/>
              </w:rPr>
            </w:pPr>
            <w:r w:rsidRPr="00FA295E">
              <w:rPr>
                <w:rFonts w:ascii="Times New Roman" w:hAnsi="Times New Roman" w:cs="Times New Roman"/>
                <w:sz w:val="20"/>
                <w:szCs w:val="20"/>
              </w:rPr>
              <w:t>Baldridge, A. K., &amp; Lodge, D. M.</w:t>
            </w:r>
            <w:r>
              <w:rPr>
                <w:rFonts w:ascii="Times New Roman" w:hAnsi="Times New Roman" w:cs="Times New Roman"/>
                <w:sz w:val="20"/>
                <w:szCs w:val="20"/>
              </w:rPr>
              <w:t xml:space="preserve">, </w:t>
            </w:r>
            <w:r w:rsidRPr="00FA295E">
              <w:rPr>
                <w:rFonts w:ascii="Times New Roman" w:hAnsi="Times New Roman" w:cs="Times New Roman"/>
                <w:sz w:val="20"/>
                <w:szCs w:val="20"/>
              </w:rPr>
              <w:t>2014</w:t>
            </w:r>
            <w:r>
              <w:rPr>
                <w:rFonts w:ascii="Times New Roman" w:hAnsi="Times New Roman" w:cs="Times New Roman"/>
                <w:sz w:val="20"/>
                <w:szCs w:val="20"/>
              </w:rPr>
              <w:t>,</w:t>
            </w:r>
            <w:r w:rsidRPr="00FA295E">
              <w:rPr>
                <w:rFonts w:ascii="Times New Roman" w:hAnsi="Times New Roman" w:cs="Times New Roman"/>
                <w:sz w:val="20"/>
                <w:szCs w:val="20"/>
              </w:rPr>
              <w:t xml:space="preserve"> </w:t>
            </w:r>
            <w:r>
              <w:rPr>
                <w:rFonts w:ascii="Times New Roman" w:hAnsi="Times New Roman" w:cs="Times New Roman"/>
                <w:sz w:val="20"/>
                <w:szCs w:val="20"/>
              </w:rPr>
              <w:t>‘</w:t>
            </w:r>
            <w:r w:rsidRPr="00FA295E">
              <w:rPr>
                <w:rFonts w:ascii="Times New Roman" w:hAnsi="Times New Roman" w:cs="Times New Roman"/>
                <w:sz w:val="20"/>
                <w:szCs w:val="20"/>
              </w:rPr>
              <w:t>Long-term studies of crayfish</w:t>
            </w:r>
            <w:r>
              <w:rPr>
                <w:rFonts w:ascii="Times New Roman" w:hAnsi="Times New Roman" w:cs="Times New Roman"/>
                <w:sz w:val="20"/>
                <w:szCs w:val="20"/>
              </w:rPr>
              <w:t xml:space="preserve"> </w:t>
            </w:r>
            <w:r w:rsidRPr="00FA295E">
              <w:rPr>
                <w:rFonts w:ascii="Times New Roman" w:hAnsi="Times New Roman" w:cs="Times New Roman"/>
                <w:sz w:val="20"/>
                <w:szCs w:val="20"/>
              </w:rPr>
              <w:t>invaded lakes reveal limited potential for macrophyte recovery from the seed bank</w:t>
            </w:r>
            <w:r>
              <w:rPr>
                <w:rFonts w:ascii="Times New Roman" w:hAnsi="Times New Roman" w:cs="Times New Roman"/>
                <w:sz w:val="20"/>
                <w:szCs w:val="20"/>
              </w:rPr>
              <w:t xml:space="preserve">’, </w:t>
            </w:r>
            <w:r w:rsidRPr="00FA295E">
              <w:rPr>
                <w:rFonts w:ascii="Times New Roman" w:hAnsi="Times New Roman" w:cs="Times New Roman"/>
                <w:i/>
                <w:iCs/>
                <w:sz w:val="20"/>
                <w:szCs w:val="20"/>
              </w:rPr>
              <w:t>Freshwater Science</w:t>
            </w:r>
            <w:r w:rsidRPr="00FA295E">
              <w:rPr>
                <w:rFonts w:ascii="Times New Roman" w:hAnsi="Times New Roman" w:cs="Times New Roman"/>
                <w:sz w:val="20"/>
                <w:szCs w:val="20"/>
              </w:rPr>
              <w:t xml:space="preserve">, 33, 788–797. </w:t>
            </w:r>
            <w:r w:rsidR="00F01349" w:rsidRPr="00F01349">
              <w:rPr>
                <w:rFonts w:ascii="Times New Roman" w:hAnsi="Times New Roman" w:cs="Times New Roman"/>
                <w:sz w:val="20"/>
                <w:szCs w:val="20"/>
              </w:rPr>
              <w:t>https://doi.org/10.1086/677070</w:t>
            </w:r>
          </w:p>
          <w:p w14:paraId="5065B37B" w14:textId="5AF03E96" w:rsidR="002D7080" w:rsidRPr="00317962" w:rsidRDefault="002D7080" w:rsidP="002E2C37">
            <w:pPr>
              <w:ind w:left="720" w:hanging="720"/>
              <w:contextualSpacing/>
              <w:jc w:val="both"/>
              <w:rPr>
                <w:rFonts w:ascii="Times New Roman" w:hAnsi="Times New Roman" w:cs="Times New Roman"/>
                <w:color w:val="212529"/>
                <w:sz w:val="20"/>
                <w:szCs w:val="20"/>
                <w:shd w:val="clear" w:color="auto" w:fill="FFFFFF"/>
              </w:rPr>
            </w:pPr>
            <w:r w:rsidRPr="00317962">
              <w:rPr>
                <w:rFonts w:ascii="Times New Roman" w:hAnsi="Times New Roman" w:cs="Times New Roman"/>
                <w:color w:val="212529"/>
                <w:sz w:val="20"/>
                <w:szCs w:val="20"/>
                <w:shd w:val="clear" w:color="auto" w:fill="FFFFFF"/>
              </w:rPr>
              <w:t>Hobbs, H.H., Jass, J.P.</w:t>
            </w:r>
            <w:r>
              <w:rPr>
                <w:rFonts w:ascii="Times New Roman" w:hAnsi="Times New Roman" w:cs="Times New Roman"/>
                <w:color w:val="212529"/>
                <w:sz w:val="20"/>
                <w:szCs w:val="20"/>
                <w:shd w:val="clear" w:color="auto" w:fill="FFFFFF"/>
              </w:rPr>
              <w:t xml:space="preserve"> &amp;</w:t>
            </w:r>
            <w:r w:rsidRPr="00317962">
              <w:rPr>
                <w:rFonts w:ascii="Times New Roman" w:hAnsi="Times New Roman" w:cs="Times New Roman"/>
                <w:color w:val="212529"/>
                <w:sz w:val="20"/>
                <w:szCs w:val="20"/>
                <w:shd w:val="clear" w:color="auto" w:fill="FFFFFF"/>
              </w:rPr>
              <w:t xml:space="preserve"> Huner, J.V., 1989, ‘A review of global crayfish introductions with particular emphasis on two North American species (Decapoda, Cambaridae)</w:t>
            </w:r>
            <w:r>
              <w:rPr>
                <w:rFonts w:ascii="Times New Roman" w:hAnsi="Times New Roman" w:cs="Times New Roman"/>
                <w:color w:val="212529"/>
                <w:sz w:val="20"/>
                <w:szCs w:val="20"/>
                <w:shd w:val="clear" w:color="auto" w:fill="FFFFFF"/>
              </w:rPr>
              <w:t>’</w:t>
            </w:r>
            <w:r w:rsidRPr="00317962">
              <w:rPr>
                <w:rFonts w:ascii="Times New Roman" w:hAnsi="Times New Roman" w:cs="Times New Roman"/>
                <w:color w:val="212529"/>
                <w:sz w:val="20"/>
                <w:szCs w:val="20"/>
                <w:shd w:val="clear" w:color="auto" w:fill="FFFFFF"/>
              </w:rPr>
              <w:t>, </w:t>
            </w:r>
            <w:r w:rsidRPr="00317962">
              <w:rPr>
                <w:rStyle w:val="Emphasis"/>
                <w:rFonts w:ascii="Times New Roman" w:hAnsi="Times New Roman" w:cs="Times New Roman"/>
                <w:color w:val="212529"/>
                <w:sz w:val="20"/>
                <w:szCs w:val="20"/>
                <w:shd w:val="clear" w:color="auto" w:fill="FFFFFF"/>
              </w:rPr>
              <w:t>Crustaceana</w:t>
            </w:r>
            <w:r w:rsidRPr="00317962">
              <w:rPr>
                <w:rFonts w:ascii="Times New Roman" w:hAnsi="Times New Roman" w:cs="Times New Roman"/>
                <w:color w:val="212529"/>
                <w:sz w:val="20"/>
                <w:szCs w:val="20"/>
                <w:shd w:val="clear" w:color="auto" w:fill="FFFFFF"/>
              </w:rPr>
              <w:t xml:space="preserve"> 56(3), 299-316. </w:t>
            </w:r>
            <w:hyperlink w:history="1">
              <w:r w:rsidRPr="00317962">
                <w:rPr>
                  <w:rStyle w:val="Hyperlink"/>
                  <w:rFonts w:ascii="Times New Roman" w:hAnsi="Times New Roman" w:cs="Times New Roman"/>
                  <w:spacing w:val="-5"/>
                  <w:sz w:val="20"/>
                  <w:szCs w:val="20"/>
                </w:rPr>
                <w:t>https://www.jstor.org/stable/20104461</w:t>
              </w:r>
            </w:hyperlink>
            <w:r w:rsidRPr="00317962">
              <w:rPr>
                <w:rFonts w:ascii="Times New Roman" w:hAnsi="Times New Roman" w:cs="Times New Roman"/>
                <w:color w:val="343332"/>
                <w:spacing w:val="-5"/>
                <w:sz w:val="20"/>
                <w:szCs w:val="20"/>
              </w:rPr>
              <w:t xml:space="preserve">. </w:t>
            </w:r>
          </w:p>
          <w:p w14:paraId="68A34CE6" w14:textId="7EB9A10F" w:rsidR="002D7080" w:rsidRDefault="002D7080" w:rsidP="002E2C37">
            <w:pPr>
              <w:ind w:left="720" w:hanging="720"/>
              <w:contextualSpacing/>
              <w:jc w:val="both"/>
              <w:rPr>
                <w:rFonts w:ascii="Times New Roman" w:hAnsi="Times New Roman" w:cs="Times New Roman"/>
                <w:sz w:val="20"/>
                <w:szCs w:val="20"/>
              </w:rPr>
            </w:pPr>
            <w:r w:rsidRPr="00317962">
              <w:rPr>
                <w:rFonts w:ascii="Times New Roman" w:hAnsi="Times New Roman" w:cs="Times New Roman"/>
                <w:color w:val="1C1D1E"/>
                <w:sz w:val="20"/>
                <w:szCs w:val="20"/>
                <w:shd w:val="clear" w:color="auto" w:fill="FFFFFF"/>
              </w:rPr>
              <w:t xml:space="preserve">Lodge, D.M., Kershner, M.W., Aloi, J.E. </w:t>
            </w:r>
            <w:r>
              <w:rPr>
                <w:rFonts w:ascii="Times New Roman" w:hAnsi="Times New Roman" w:cs="Times New Roman"/>
                <w:color w:val="1C1D1E"/>
                <w:sz w:val="20"/>
                <w:szCs w:val="20"/>
                <w:shd w:val="clear" w:color="auto" w:fill="FFFFFF"/>
              </w:rPr>
              <w:t xml:space="preserve">&amp; </w:t>
            </w:r>
            <w:r w:rsidRPr="00317962">
              <w:rPr>
                <w:rFonts w:ascii="Times New Roman" w:hAnsi="Times New Roman" w:cs="Times New Roman"/>
                <w:color w:val="1C1D1E"/>
                <w:sz w:val="20"/>
                <w:szCs w:val="20"/>
                <w:shd w:val="clear" w:color="auto" w:fill="FFFFFF"/>
              </w:rPr>
              <w:t>Covich, A.P.</w:t>
            </w:r>
            <w:r>
              <w:rPr>
                <w:rFonts w:ascii="Times New Roman" w:hAnsi="Times New Roman" w:cs="Times New Roman"/>
                <w:color w:val="1C1D1E"/>
                <w:sz w:val="20"/>
                <w:szCs w:val="20"/>
                <w:shd w:val="clear" w:color="auto" w:fill="FFFFFF"/>
              </w:rPr>
              <w:t xml:space="preserve">, </w:t>
            </w:r>
            <w:r w:rsidR="00F01349" w:rsidRPr="00317962">
              <w:rPr>
                <w:rFonts w:ascii="Times New Roman" w:hAnsi="Times New Roman" w:cs="Times New Roman"/>
                <w:color w:val="1C1D1E"/>
                <w:sz w:val="20"/>
                <w:szCs w:val="20"/>
                <w:shd w:val="clear" w:color="auto" w:fill="FFFFFF"/>
              </w:rPr>
              <w:t>199</w:t>
            </w:r>
            <w:r w:rsidR="00F01349">
              <w:rPr>
                <w:rFonts w:ascii="Times New Roman" w:hAnsi="Times New Roman" w:cs="Times New Roman"/>
                <w:color w:val="1C1D1E"/>
                <w:sz w:val="20"/>
                <w:szCs w:val="20"/>
                <w:shd w:val="clear" w:color="auto" w:fill="FFFFFF"/>
              </w:rPr>
              <w:t>5</w:t>
            </w:r>
            <w:r w:rsidRPr="00317962">
              <w:rPr>
                <w:rFonts w:ascii="Times New Roman" w:hAnsi="Times New Roman" w:cs="Times New Roman"/>
                <w:color w:val="1C1D1E"/>
                <w:sz w:val="20"/>
                <w:szCs w:val="20"/>
                <w:shd w:val="clear" w:color="auto" w:fill="FFFFFF"/>
              </w:rPr>
              <w:t xml:space="preserve">, </w:t>
            </w:r>
            <w:r>
              <w:rPr>
                <w:rFonts w:ascii="Times New Roman" w:hAnsi="Times New Roman" w:cs="Times New Roman"/>
                <w:color w:val="1C1D1E"/>
                <w:sz w:val="20"/>
                <w:szCs w:val="20"/>
                <w:shd w:val="clear" w:color="auto" w:fill="FFFFFF"/>
              </w:rPr>
              <w:t>‘</w:t>
            </w:r>
            <w:r w:rsidRPr="00317962">
              <w:rPr>
                <w:rFonts w:ascii="Times New Roman" w:hAnsi="Times New Roman" w:cs="Times New Roman"/>
                <w:color w:val="1C1D1E"/>
                <w:sz w:val="20"/>
                <w:szCs w:val="20"/>
                <w:shd w:val="clear" w:color="auto" w:fill="FFFFFF"/>
              </w:rPr>
              <w:t>Effects of an omnivorous crayfish (</w:t>
            </w:r>
            <w:r w:rsidRPr="009E1DBA">
              <w:rPr>
                <w:rFonts w:ascii="Times New Roman" w:hAnsi="Times New Roman" w:cs="Times New Roman"/>
                <w:i/>
                <w:iCs/>
                <w:color w:val="1C1D1E"/>
                <w:sz w:val="20"/>
                <w:szCs w:val="20"/>
                <w:shd w:val="clear" w:color="auto" w:fill="FFFFFF"/>
              </w:rPr>
              <w:t xml:space="preserve">Orconectes </w:t>
            </w:r>
            <w:r>
              <w:rPr>
                <w:rFonts w:ascii="Times New Roman" w:hAnsi="Times New Roman" w:cs="Times New Roman"/>
                <w:i/>
                <w:iCs/>
                <w:color w:val="1C1D1E"/>
                <w:sz w:val="20"/>
                <w:szCs w:val="20"/>
                <w:shd w:val="clear" w:color="auto" w:fill="FFFFFF"/>
              </w:rPr>
              <w:t>r</w:t>
            </w:r>
            <w:r w:rsidRPr="009E1DBA">
              <w:rPr>
                <w:rFonts w:ascii="Times New Roman" w:hAnsi="Times New Roman" w:cs="Times New Roman"/>
                <w:i/>
                <w:iCs/>
                <w:color w:val="1C1D1E"/>
                <w:sz w:val="20"/>
                <w:szCs w:val="20"/>
                <w:shd w:val="clear" w:color="auto" w:fill="FFFFFF"/>
              </w:rPr>
              <w:t>usticus</w:t>
            </w:r>
            <w:r w:rsidRPr="00317962">
              <w:rPr>
                <w:rFonts w:ascii="Times New Roman" w:hAnsi="Times New Roman" w:cs="Times New Roman"/>
                <w:color w:val="1C1D1E"/>
                <w:sz w:val="20"/>
                <w:szCs w:val="20"/>
                <w:shd w:val="clear" w:color="auto" w:fill="FFFFFF"/>
              </w:rPr>
              <w:t>) on a freshwater littoral food web</w:t>
            </w:r>
            <w:r>
              <w:rPr>
                <w:rFonts w:ascii="Times New Roman" w:hAnsi="Times New Roman" w:cs="Times New Roman"/>
                <w:color w:val="1C1D1E"/>
                <w:sz w:val="20"/>
                <w:szCs w:val="20"/>
                <w:shd w:val="clear" w:color="auto" w:fill="FFFFFF"/>
              </w:rPr>
              <w:t xml:space="preserve">’, </w:t>
            </w:r>
            <w:r w:rsidRPr="009E1DBA">
              <w:rPr>
                <w:rFonts w:ascii="Times New Roman" w:hAnsi="Times New Roman" w:cs="Times New Roman"/>
                <w:i/>
                <w:iCs/>
                <w:color w:val="1C1D1E"/>
                <w:sz w:val="20"/>
                <w:szCs w:val="20"/>
                <w:shd w:val="clear" w:color="auto" w:fill="FFFFFF"/>
              </w:rPr>
              <w:t>Ecology</w:t>
            </w:r>
            <w:r w:rsidRPr="00317962">
              <w:rPr>
                <w:rFonts w:ascii="Times New Roman" w:hAnsi="Times New Roman" w:cs="Times New Roman"/>
                <w:color w:val="1C1D1E"/>
                <w:sz w:val="20"/>
                <w:szCs w:val="20"/>
                <w:shd w:val="clear" w:color="auto" w:fill="FFFFFF"/>
              </w:rPr>
              <w:t>, 75: 1265-1281.</w:t>
            </w:r>
            <w:r w:rsidRPr="008A0BC6">
              <w:rPr>
                <w:rFonts w:ascii="Times New Roman" w:hAnsi="Times New Roman" w:cs="Times New Roman"/>
                <w:color w:val="1C1D1E"/>
                <w:sz w:val="18"/>
                <w:szCs w:val="18"/>
                <w:shd w:val="clear" w:color="auto" w:fill="FFFFFF"/>
              </w:rPr>
              <w:t> </w:t>
            </w:r>
            <w:hyperlink r:id="rId337" w:history="1">
              <w:r w:rsidR="00F01349" w:rsidRPr="008A0BC6">
                <w:rPr>
                  <w:rStyle w:val="Hyperlink"/>
                  <w:rFonts w:ascii="Times New Roman" w:hAnsi="Times New Roman" w:cs="Times New Roman"/>
                  <w:sz w:val="20"/>
                  <w:szCs w:val="20"/>
                </w:rPr>
                <w:t>https://doi.org/10.2307/1937452</w:t>
              </w:r>
            </w:hyperlink>
          </w:p>
          <w:p w14:paraId="5BC9FDE0" w14:textId="3264B610" w:rsidR="002D7080" w:rsidRPr="00233C97" w:rsidRDefault="002D7080" w:rsidP="002E2C37">
            <w:pPr>
              <w:spacing w:after="160"/>
              <w:ind w:left="720" w:hanging="720"/>
              <w:contextualSpacing/>
              <w:jc w:val="both"/>
              <w:rPr>
                <w:rFonts w:ascii="Times New Roman" w:eastAsia="Times New Roman" w:hAnsi="Times New Roman" w:cs="Times New Roman"/>
                <w:sz w:val="20"/>
                <w:szCs w:val="20"/>
                <w:lang w:eastAsia="en-ZA"/>
              </w:rPr>
            </w:pPr>
            <w:r w:rsidRPr="00FA295E">
              <w:rPr>
                <w:rFonts w:ascii="Times New Roman" w:hAnsi="Times New Roman" w:cs="Times New Roman"/>
                <w:sz w:val="20"/>
                <w:szCs w:val="20"/>
              </w:rPr>
              <w:t>Rosenthal, S. K., Stevens, S. S., &amp; Lodge, D. M.</w:t>
            </w:r>
            <w:r>
              <w:rPr>
                <w:rFonts w:ascii="Times New Roman" w:hAnsi="Times New Roman" w:cs="Times New Roman"/>
                <w:sz w:val="20"/>
                <w:szCs w:val="20"/>
              </w:rPr>
              <w:t xml:space="preserve">, </w:t>
            </w:r>
            <w:r w:rsidRPr="00FA295E">
              <w:rPr>
                <w:rFonts w:ascii="Times New Roman" w:hAnsi="Times New Roman" w:cs="Times New Roman"/>
                <w:sz w:val="20"/>
                <w:szCs w:val="20"/>
              </w:rPr>
              <w:t>2006</w:t>
            </w:r>
            <w:r>
              <w:rPr>
                <w:rFonts w:ascii="Times New Roman" w:hAnsi="Times New Roman" w:cs="Times New Roman"/>
                <w:sz w:val="20"/>
                <w:szCs w:val="20"/>
              </w:rPr>
              <w:t>, ‘</w:t>
            </w:r>
            <w:r w:rsidRPr="00FA295E">
              <w:rPr>
                <w:rFonts w:ascii="Times New Roman" w:hAnsi="Times New Roman" w:cs="Times New Roman"/>
                <w:sz w:val="20"/>
                <w:szCs w:val="20"/>
              </w:rPr>
              <w:t>Whole-lake effects of invasive crayfish (</w:t>
            </w:r>
            <w:r w:rsidRPr="00FA295E">
              <w:rPr>
                <w:rFonts w:ascii="Times New Roman" w:hAnsi="Times New Roman" w:cs="Times New Roman"/>
                <w:i/>
                <w:iCs/>
                <w:sz w:val="20"/>
                <w:szCs w:val="20"/>
              </w:rPr>
              <w:t xml:space="preserve">Orconectes </w:t>
            </w:r>
            <w:r w:rsidRPr="00FA295E">
              <w:rPr>
                <w:rFonts w:ascii="Times New Roman" w:hAnsi="Times New Roman" w:cs="Times New Roman"/>
                <w:sz w:val="20"/>
                <w:szCs w:val="20"/>
              </w:rPr>
              <w:t>spp.) and the potential for restoration</w:t>
            </w:r>
            <w:r>
              <w:rPr>
                <w:rFonts w:ascii="Times New Roman" w:hAnsi="Times New Roman" w:cs="Times New Roman"/>
                <w:sz w:val="20"/>
                <w:szCs w:val="20"/>
              </w:rPr>
              <w:t xml:space="preserve">’, </w:t>
            </w:r>
            <w:r w:rsidRPr="003C7468">
              <w:rPr>
                <w:rFonts w:ascii="Times New Roman" w:hAnsi="Times New Roman" w:cs="Times New Roman"/>
                <w:i/>
                <w:iCs/>
                <w:sz w:val="20"/>
                <w:szCs w:val="20"/>
              </w:rPr>
              <w:t>Canadian Journal of Fisheries and Aquatic Sciences</w:t>
            </w:r>
            <w:r w:rsidRPr="00FA295E">
              <w:rPr>
                <w:rFonts w:ascii="Times New Roman" w:hAnsi="Times New Roman" w:cs="Times New Roman"/>
                <w:sz w:val="20"/>
                <w:szCs w:val="20"/>
              </w:rPr>
              <w:t xml:space="preserve">, 63, 1276– 1285. </w:t>
            </w:r>
            <w:r w:rsidR="00F01349" w:rsidRPr="00F01349">
              <w:rPr>
                <w:rFonts w:ascii="Times New Roman" w:hAnsi="Times New Roman" w:cs="Times New Roman"/>
                <w:sz w:val="20"/>
                <w:szCs w:val="20"/>
              </w:rPr>
              <w:t>https://doi.org/10.1139/f06-037</w:t>
            </w:r>
          </w:p>
          <w:p w14:paraId="6F1D70E9" w14:textId="5CA946B9" w:rsidR="002D7080" w:rsidRPr="00317962"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317962">
              <w:rPr>
                <w:rFonts w:ascii="Times New Roman" w:eastAsia="Times New Roman" w:hAnsi="Times New Roman" w:cs="Times New Roman"/>
                <w:color w:val="000000"/>
                <w:sz w:val="20"/>
                <w:szCs w:val="20"/>
                <w:lang w:eastAsia="en-ZA"/>
              </w:rPr>
              <w:t>Roth, B.M, Hein, C.L. &amp; Vander Zanden, M.J., 2006, ‘Using bioenergetics and stable isotopes to assess the trophic role of rusty crayfish (</w:t>
            </w:r>
            <w:r w:rsidRPr="00317962">
              <w:rPr>
                <w:rFonts w:ascii="Times New Roman" w:eastAsia="Times New Roman" w:hAnsi="Times New Roman" w:cs="Times New Roman"/>
                <w:i/>
                <w:color w:val="000000"/>
                <w:sz w:val="20"/>
                <w:szCs w:val="20"/>
                <w:lang w:eastAsia="en-ZA"/>
              </w:rPr>
              <w:t>Orconectes rusticus</w:t>
            </w:r>
            <w:r w:rsidRPr="00317962">
              <w:rPr>
                <w:rFonts w:ascii="Times New Roman" w:eastAsia="Times New Roman" w:hAnsi="Times New Roman" w:cs="Times New Roman"/>
                <w:color w:val="000000"/>
                <w:sz w:val="20"/>
                <w:szCs w:val="20"/>
                <w:lang w:eastAsia="en-ZA"/>
              </w:rPr>
              <w:t>) in lake littoral zones’</w:t>
            </w:r>
            <w:r>
              <w:rPr>
                <w:rFonts w:ascii="Times New Roman" w:eastAsia="Times New Roman" w:hAnsi="Times New Roman" w:cs="Times New Roman"/>
                <w:color w:val="000000"/>
                <w:sz w:val="20"/>
                <w:szCs w:val="20"/>
                <w:lang w:eastAsia="en-ZA"/>
              </w:rPr>
              <w:t>,</w:t>
            </w:r>
            <w:r w:rsidRPr="00317962">
              <w:rPr>
                <w:rFonts w:ascii="Times New Roman" w:eastAsia="Times New Roman" w:hAnsi="Times New Roman" w:cs="Times New Roman"/>
                <w:color w:val="000000"/>
                <w:sz w:val="20"/>
                <w:szCs w:val="20"/>
                <w:lang w:eastAsia="en-ZA"/>
              </w:rPr>
              <w:t xml:space="preserve"> </w:t>
            </w:r>
            <w:r w:rsidRPr="00317962">
              <w:rPr>
                <w:rFonts w:ascii="Times New Roman" w:eastAsia="Times New Roman" w:hAnsi="Times New Roman" w:cs="Times New Roman"/>
                <w:i/>
                <w:iCs/>
                <w:color w:val="000000"/>
                <w:sz w:val="20"/>
                <w:szCs w:val="20"/>
                <w:lang w:eastAsia="en-ZA"/>
              </w:rPr>
              <w:t>Canadian Journal of Fisheries and Aquatic Sciences</w:t>
            </w:r>
            <w:r w:rsidRPr="00317962">
              <w:rPr>
                <w:rFonts w:ascii="Times New Roman" w:eastAsia="Times New Roman" w:hAnsi="Times New Roman" w:cs="Times New Roman"/>
                <w:color w:val="000000"/>
                <w:sz w:val="20"/>
                <w:szCs w:val="20"/>
                <w:lang w:eastAsia="en-ZA"/>
              </w:rPr>
              <w:t xml:space="preserve"> </w:t>
            </w:r>
            <w:r w:rsidRPr="00317962">
              <w:rPr>
                <w:rFonts w:ascii="Times New Roman" w:eastAsia="Times New Roman" w:hAnsi="Times New Roman" w:cs="Times New Roman"/>
                <w:iCs/>
                <w:color w:val="000000"/>
                <w:sz w:val="20"/>
                <w:szCs w:val="20"/>
                <w:lang w:eastAsia="en-ZA"/>
              </w:rPr>
              <w:t>63</w:t>
            </w:r>
            <w:r w:rsidRPr="00317962">
              <w:rPr>
                <w:rFonts w:ascii="Times New Roman" w:eastAsia="Times New Roman" w:hAnsi="Times New Roman" w:cs="Times New Roman"/>
                <w:color w:val="000000"/>
                <w:sz w:val="20"/>
                <w:szCs w:val="20"/>
                <w:lang w:eastAsia="en-ZA"/>
              </w:rPr>
              <w:t xml:space="preserve">, 335–344. </w:t>
            </w:r>
            <w:hyperlink r:id="rId338" w:history="1">
              <w:r w:rsidR="00F01349" w:rsidRPr="00F01349">
                <w:rPr>
                  <w:rStyle w:val="Hyperlink"/>
                  <w:rFonts w:ascii="Times New Roman" w:eastAsia="Times New Roman" w:hAnsi="Times New Roman" w:cs="Times New Roman"/>
                  <w:sz w:val="20"/>
                  <w:szCs w:val="20"/>
                  <w:lang w:eastAsia="en-ZA"/>
                </w:rPr>
                <w:t>https://doi.org/10.1139/f05-217</w:t>
              </w:r>
            </w:hyperlink>
            <w:r w:rsidRPr="00317962">
              <w:rPr>
                <w:rFonts w:ascii="Times New Roman" w:eastAsia="Times New Roman" w:hAnsi="Times New Roman" w:cs="Times New Roman"/>
                <w:color w:val="000000"/>
                <w:sz w:val="20"/>
                <w:szCs w:val="20"/>
                <w:lang w:eastAsia="en-ZA"/>
              </w:rPr>
              <w:t>.</w:t>
            </w:r>
          </w:p>
          <w:p w14:paraId="5781821F" w14:textId="7361CD73" w:rsidR="002D7080" w:rsidRPr="00233C97" w:rsidRDefault="002D7080" w:rsidP="002E2C37">
            <w:pPr>
              <w:ind w:left="720" w:hanging="720"/>
              <w:contextualSpacing/>
              <w:jc w:val="both"/>
              <w:rPr>
                <w:rFonts w:ascii="Times New Roman" w:eastAsia="Times New Roman" w:hAnsi="Times New Roman" w:cs="Times New Roman"/>
                <w:sz w:val="20"/>
                <w:szCs w:val="20"/>
                <w:lang w:eastAsia="en-ZA"/>
              </w:rPr>
            </w:pPr>
            <w:r w:rsidRPr="00317962">
              <w:rPr>
                <w:rFonts w:ascii="Times New Roman" w:eastAsia="Times New Roman" w:hAnsi="Times New Roman" w:cs="Times New Roman"/>
                <w:color w:val="000000"/>
                <w:sz w:val="20"/>
                <w:szCs w:val="20"/>
                <w:lang w:eastAsia="en-ZA"/>
              </w:rPr>
              <w:t>Wilson, K.A., Magnuson, J.J., Lodge, D.M., Hill, A.M., Kratz, T.K., Perry, W.L., et al., 2004, ‘A long-term rusty crayfish (</w:t>
            </w:r>
            <w:r w:rsidRPr="00317962">
              <w:rPr>
                <w:rFonts w:ascii="Times New Roman" w:eastAsia="Times New Roman" w:hAnsi="Times New Roman" w:cs="Times New Roman"/>
                <w:i/>
                <w:color w:val="000000"/>
                <w:sz w:val="20"/>
                <w:szCs w:val="20"/>
                <w:lang w:eastAsia="en-ZA"/>
              </w:rPr>
              <w:t>Orconectes rusticus</w:t>
            </w:r>
            <w:r w:rsidRPr="00317962">
              <w:rPr>
                <w:rFonts w:ascii="Times New Roman" w:eastAsia="Times New Roman" w:hAnsi="Times New Roman" w:cs="Times New Roman"/>
                <w:color w:val="000000"/>
                <w:sz w:val="20"/>
                <w:szCs w:val="20"/>
                <w:lang w:eastAsia="en-ZA"/>
              </w:rPr>
              <w:t>) invasion: Dispersal patterns and community change in a north temperate lake’, </w:t>
            </w:r>
            <w:r w:rsidRPr="00317962">
              <w:rPr>
                <w:rFonts w:ascii="Times New Roman" w:eastAsia="Times New Roman" w:hAnsi="Times New Roman" w:cs="Times New Roman"/>
                <w:i/>
                <w:iCs/>
                <w:color w:val="000000"/>
                <w:sz w:val="20"/>
                <w:szCs w:val="20"/>
                <w:lang w:eastAsia="en-ZA"/>
              </w:rPr>
              <w:t>Canadian Journal of Fisheries and Aquatic Sciences</w:t>
            </w:r>
            <w:r w:rsidRPr="00317962">
              <w:rPr>
                <w:rFonts w:ascii="Times New Roman" w:eastAsia="Times New Roman" w:hAnsi="Times New Roman" w:cs="Times New Roman"/>
                <w:color w:val="000000"/>
                <w:sz w:val="20"/>
                <w:szCs w:val="20"/>
                <w:lang w:eastAsia="en-ZA"/>
              </w:rPr>
              <w:t> </w:t>
            </w:r>
            <w:r w:rsidRPr="00317962">
              <w:rPr>
                <w:rFonts w:ascii="Times New Roman" w:eastAsia="Times New Roman" w:hAnsi="Times New Roman" w:cs="Times New Roman"/>
                <w:iCs/>
                <w:color w:val="000000"/>
                <w:sz w:val="20"/>
                <w:szCs w:val="20"/>
                <w:lang w:eastAsia="en-ZA"/>
              </w:rPr>
              <w:t>61</w:t>
            </w:r>
            <w:r w:rsidRPr="00317962">
              <w:rPr>
                <w:rFonts w:ascii="Times New Roman" w:eastAsia="Times New Roman" w:hAnsi="Times New Roman" w:cs="Times New Roman"/>
                <w:color w:val="000000"/>
                <w:sz w:val="20"/>
                <w:szCs w:val="20"/>
                <w:lang w:eastAsia="en-ZA"/>
              </w:rPr>
              <w:t xml:space="preserve">, 2255–2266. </w:t>
            </w:r>
            <w:hyperlink r:id="rId339" w:history="1">
              <w:r w:rsidR="00F01349" w:rsidRPr="008A0BC6">
                <w:rPr>
                  <w:rStyle w:val="Hyperlink"/>
                  <w:rFonts w:ascii="Times New Roman" w:hAnsi="Times New Roman" w:cs="Times New Roman"/>
                  <w:sz w:val="20"/>
                  <w:szCs w:val="20"/>
                </w:rPr>
                <w:t>https://doi.org/10.1139/f04-170</w:t>
              </w:r>
            </w:hyperlink>
          </w:p>
        </w:tc>
      </w:tr>
      <w:tr w:rsidR="002D7080" w:rsidRPr="00592486" w14:paraId="4770D0D1" w14:textId="77777777" w:rsidTr="002E2C37">
        <w:tc>
          <w:tcPr>
            <w:tcW w:w="9016" w:type="dxa"/>
            <w:gridSpan w:val="2"/>
            <w:shd w:val="clear" w:color="auto" w:fill="F2F2F2" w:themeFill="background1" w:themeFillShade="F2"/>
          </w:tcPr>
          <w:p w14:paraId="580EB634"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CON1i: Chemical, physical or structural impact on ecosystem</w:t>
            </w:r>
          </w:p>
        </w:tc>
      </w:tr>
      <w:tr w:rsidR="002D7080" w:rsidRPr="00592486" w14:paraId="03AF0760" w14:textId="77777777" w:rsidTr="002E2C37">
        <w:tc>
          <w:tcPr>
            <w:tcW w:w="5949" w:type="dxa"/>
          </w:tcPr>
          <w:p w14:paraId="4E07B94B"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 Data Deficient (DD)</w:t>
            </w:r>
          </w:p>
        </w:tc>
        <w:tc>
          <w:tcPr>
            <w:tcW w:w="3067" w:type="dxa"/>
          </w:tcPr>
          <w:p w14:paraId="195C4425"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Low</w:t>
            </w:r>
          </w:p>
        </w:tc>
      </w:tr>
      <w:tr w:rsidR="002D7080" w:rsidRPr="00592486" w14:paraId="50F4B289" w14:textId="77777777" w:rsidTr="002E2C37">
        <w:trPr>
          <w:trHeight w:val="70"/>
        </w:trPr>
        <w:tc>
          <w:tcPr>
            <w:tcW w:w="9016" w:type="dxa"/>
            <w:gridSpan w:val="2"/>
          </w:tcPr>
          <w:p w14:paraId="6CBAAFBC"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
                <w:color w:val="000000"/>
                <w:sz w:val="20"/>
                <w:szCs w:val="20"/>
                <w:lang w:eastAsia="en-ZA"/>
              </w:rPr>
              <w:t>Faxonius</w:t>
            </w:r>
            <w:r w:rsidRPr="00233C97">
              <w:rPr>
                <w:rFonts w:ascii="Times New Roman" w:eastAsia="Calibri" w:hAnsi="Times New Roman" w:cs="Times New Roman"/>
                <w:i/>
                <w:iCs/>
                <w:color w:val="0E101A"/>
                <w:sz w:val="20"/>
                <w:szCs w:val="20"/>
              </w:rPr>
              <w:t xml:space="preserve"> rusticus</w:t>
            </w:r>
            <w:r w:rsidRPr="00233C97">
              <w:rPr>
                <w:rFonts w:ascii="Times New Roman" w:eastAsia="Calibri" w:hAnsi="Times New Roman" w:cs="Times New Roman"/>
                <w:sz w:val="20"/>
                <w:szCs w:val="20"/>
              </w:rPr>
              <w:t xml:space="preserve"> lives in open water during most life stages and burrows only under extreme adverse conditions (GISD 2015).</w:t>
            </w:r>
            <w:r w:rsidRPr="00233C97">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There is no information on this burrowing behaviour having a chemical, physical and or structural impact on ecosystems</w:t>
            </w:r>
            <w:r w:rsidRPr="00233C97">
              <w:rPr>
                <w:rFonts w:ascii="Times New Roman" w:eastAsia="Times New Roman" w:hAnsi="Times New Roman" w:cs="Times New Roman"/>
                <w:color w:val="000000"/>
                <w:sz w:val="20"/>
                <w:szCs w:val="20"/>
                <w:lang w:eastAsia="en-ZA"/>
              </w:rPr>
              <w:t>.</w:t>
            </w:r>
          </w:p>
        </w:tc>
      </w:tr>
      <w:tr w:rsidR="002D7080" w:rsidRPr="00592486" w14:paraId="190B99CE" w14:textId="77777777" w:rsidTr="002E2C37">
        <w:trPr>
          <w:trHeight w:val="70"/>
        </w:trPr>
        <w:tc>
          <w:tcPr>
            <w:tcW w:w="9016" w:type="dxa"/>
            <w:gridSpan w:val="2"/>
          </w:tcPr>
          <w:p w14:paraId="567219B2" w14:textId="77777777" w:rsidR="002D7080" w:rsidRDefault="002D7080" w:rsidP="002E2C37">
            <w:pPr>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72509907" w14:textId="77777777" w:rsidR="002D7080" w:rsidRPr="00233C97" w:rsidRDefault="002D7080" w:rsidP="002E2C37">
            <w:pPr>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 xml:space="preserve">Global Invasive Species Database (GISD) 2015. Species profile </w:t>
            </w:r>
            <w:r w:rsidRPr="00233C97">
              <w:rPr>
                <w:rFonts w:ascii="Times New Roman" w:eastAsia="Times New Roman" w:hAnsi="Times New Roman" w:cs="Times New Roman"/>
                <w:i/>
                <w:iCs/>
                <w:color w:val="000000"/>
                <w:sz w:val="20"/>
                <w:szCs w:val="20"/>
                <w:lang w:eastAsia="en-ZA"/>
              </w:rPr>
              <w:t>Orconectes rusticus</w:t>
            </w:r>
            <w:r w:rsidRPr="00233C97">
              <w:rPr>
                <w:rFonts w:ascii="Times New Roman" w:eastAsia="Times New Roman" w:hAnsi="Times New Roman" w:cs="Times New Roman"/>
                <w:color w:val="000000"/>
                <w:sz w:val="20"/>
                <w:szCs w:val="20"/>
                <w:lang w:eastAsia="en-ZA"/>
              </w:rPr>
              <w:t>. Available from: http://www.iucngisd.org/gisd/species.php?sc=217 [Accessed 03 July2018].</w:t>
            </w:r>
          </w:p>
        </w:tc>
      </w:tr>
      <w:tr w:rsidR="002D7080" w:rsidRPr="00592486" w14:paraId="55BC964C" w14:textId="77777777" w:rsidTr="002E2C37">
        <w:tc>
          <w:tcPr>
            <w:tcW w:w="9016" w:type="dxa"/>
            <w:gridSpan w:val="2"/>
            <w:shd w:val="clear" w:color="auto" w:fill="F2F2F2" w:themeFill="background1" w:themeFillShade="F2"/>
          </w:tcPr>
          <w:p w14:paraId="6D183BD7"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CON1k: Indirect impacts through interactions with other species</w:t>
            </w:r>
          </w:p>
        </w:tc>
      </w:tr>
      <w:tr w:rsidR="002D7080" w:rsidRPr="00592486" w14:paraId="13041A1E" w14:textId="77777777" w:rsidTr="002E2C37">
        <w:tc>
          <w:tcPr>
            <w:tcW w:w="5949" w:type="dxa"/>
          </w:tcPr>
          <w:p w14:paraId="3EDED0BA"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w:t>
            </w:r>
            <w:r w:rsidRPr="00233C97">
              <w:rPr>
                <w:rFonts w:ascii="Times New Roman" w:eastAsia="Times New Roman" w:hAnsi="Times New Roman" w:cs="Times New Roman"/>
                <w:color w:val="000000"/>
                <w:sz w:val="20"/>
                <w:szCs w:val="20"/>
                <w:lang w:eastAsia="en-ZA"/>
              </w:rPr>
              <w:t xml:space="preserve"> Moderate (MO)</w:t>
            </w:r>
          </w:p>
        </w:tc>
        <w:tc>
          <w:tcPr>
            <w:tcW w:w="3067" w:type="dxa"/>
          </w:tcPr>
          <w:p w14:paraId="04FA57B9"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Medium</w:t>
            </w:r>
          </w:p>
        </w:tc>
      </w:tr>
      <w:tr w:rsidR="002D7080" w:rsidRPr="00592486" w14:paraId="5BE58961" w14:textId="77777777" w:rsidTr="002E2C37">
        <w:trPr>
          <w:trHeight w:val="70"/>
        </w:trPr>
        <w:tc>
          <w:tcPr>
            <w:tcW w:w="9016" w:type="dxa"/>
            <w:gridSpan w:val="2"/>
          </w:tcPr>
          <w:p w14:paraId="1F6AB66F"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lastRenderedPageBreak/>
              <w:t>Rationale:</w:t>
            </w:r>
            <w:r w:rsidRPr="00233C97">
              <w:rPr>
                <w:rFonts w:ascii="Times New Roman" w:eastAsia="Times New Roman" w:hAnsi="Times New Roman" w:cs="Times New Roman"/>
                <w:color w:val="000000"/>
                <w:sz w:val="20"/>
                <w:szCs w:val="20"/>
                <w:lang w:eastAsia="en-ZA"/>
              </w:rPr>
              <w:t xml:space="preserve"> In its invasive range, </w:t>
            </w:r>
            <w:r w:rsidRPr="00233C97">
              <w:rPr>
                <w:rFonts w:ascii="Times New Roman" w:eastAsia="Times New Roman" w:hAnsi="Times New Roman" w:cs="Times New Roman"/>
                <w:i/>
                <w:color w:val="000000"/>
                <w:sz w:val="20"/>
                <w:szCs w:val="20"/>
                <w:lang w:eastAsia="en-ZA"/>
              </w:rPr>
              <w:t>Faxonius rusticus</w:t>
            </w:r>
            <w:r w:rsidRPr="00233C97">
              <w:rPr>
                <w:rFonts w:ascii="Times New Roman" w:eastAsia="Times New Roman" w:hAnsi="Times New Roman" w:cs="Times New Roman"/>
                <w:color w:val="000000"/>
                <w:sz w:val="20"/>
                <w:szCs w:val="20"/>
                <w:lang w:eastAsia="en-ZA"/>
              </w:rPr>
              <w:t xml:space="preserve"> may occur with other alien species, and interactions with other these species could facilitate impacts that ultimately lead to a decline in population size of native fauna (Jonson et al. 2009; Lodge et al 2012). In USA,</w:t>
            </w:r>
            <w:r w:rsidRPr="00233C97">
              <w:rPr>
                <w:rFonts w:ascii="Times New Roman" w:eastAsia="Times New Roman" w:hAnsi="Times New Roman" w:cs="Times New Roman"/>
                <w:i/>
                <w:color w:val="000000"/>
                <w:sz w:val="20"/>
                <w:szCs w:val="20"/>
                <w:lang w:eastAsia="en-ZA"/>
              </w:rPr>
              <w:t xml:space="preserve"> F. rusticus </w:t>
            </w:r>
            <w:r w:rsidRPr="00233C97">
              <w:rPr>
                <w:rFonts w:ascii="Times New Roman" w:eastAsia="Times New Roman" w:hAnsi="Times New Roman" w:cs="Times New Roman"/>
                <w:color w:val="000000"/>
                <w:sz w:val="20"/>
                <w:szCs w:val="20"/>
                <w:lang w:eastAsia="en-ZA"/>
              </w:rPr>
              <w:t>occurs with the invasive snail</w:t>
            </w:r>
            <w:r w:rsidRPr="00233C97">
              <w:rPr>
                <w:rFonts w:ascii="Times New Roman" w:eastAsia="Times New Roman" w:hAnsi="Times New Roman" w:cs="Times New Roman"/>
                <w:i/>
                <w:color w:val="000000"/>
                <w:sz w:val="20"/>
                <w:szCs w:val="20"/>
                <w:lang w:eastAsia="en-ZA"/>
              </w:rPr>
              <w:t xml:space="preserve"> Bellamya chinesis</w:t>
            </w:r>
            <w:r w:rsidRPr="00233C97">
              <w:rPr>
                <w:rFonts w:ascii="Times New Roman" w:eastAsia="Times New Roman" w:hAnsi="Times New Roman" w:cs="Times New Roman"/>
                <w:color w:val="000000"/>
                <w:sz w:val="20"/>
                <w:szCs w:val="20"/>
                <w:lang w:eastAsia="en-ZA"/>
              </w:rPr>
              <w:t xml:space="preserve"> that has a thick shell that prevents predation by </w:t>
            </w:r>
            <w:r w:rsidRPr="00233C97">
              <w:rPr>
                <w:rFonts w:ascii="Times New Roman" w:eastAsia="Times New Roman" w:hAnsi="Times New Roman" w:cs="Times New Roman"/>
                <w:i/>
                <w:iCs/>
                <w:color w:val="000000"/>
                <w:sz w:val="20"/>
                <w:szCs w:val="20"/>
                <w:lang w:eastAsia="en-ZA"/>
              </w:rPr>
              <w:t>F. rusticus</w:t>
            </w:r>
            <w:r w:rsidRPr="00233C97">
              <w:rPr>
                <w:rFonts w:ascii="Times New Roman" w:eastAsia="Times New Roman" w:hAnsi="Times New Roman" w:cs="Times New Roman"/>
                <w:color w:val="000000"/>
                <w:sz w:val="20"/>
                <w:szCs w:val="20"/>
                <w:lang w:eastAsia="en-ZA"/>
              </w:rPr>
              <w:t xml:space="preserve"> (Johnson et al. 2009). However, competition and predation pressure from both invasive species have reduced native snail biomass (Johnson et al. 2009).</w:t>
            </w:r>
          </w:p>
        </w:tc>
      </w:tr>
      <w:tr w:rsidR="002D7080" w:rsidRPr="00592486" w14:paraId="27F1E101" w14:textId="77777777" w:rsidTr="002E2C37">
        <w:trPr>
          <w:trHeight w:val="70"/>
        </w:trPr>
        <w:tc>
          <w:tcPr>
            <w:tcW w:w="9016" w:type="dxa"/>
            <w:gridSpan w:val="2"/>
          </w:tcPr>
          <w:p w14:paraId="0FD42BE7" w14:textId="77777777" w:rsidR="002D7080" w:rsidRPr="00233C97" w:rsidRDefault="002D7080" w:rsidP="002E2C37">
            <w:pPr>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sz w:val="20"/>
                <w:szCs w:val="20"/>
                <w:lang w:eastAsia="en-ZA"/>
              </w:rPr>
              <w:t>References:</w:t>
            </w:r>
            <w:r w:rsidRPr="00233C97">
              <w:rPr>
                <w:rFonts w:ascii="Times New Roman" w:eastAsia="Times New Roman" w:hAnsi="Times New Roman" w:cs="Times New Roman"/>
                <w:color w:val="000000"/>
                <w:sz w:val="20"/>
                <w:szCs w:val="20"/>
                <w:lang w:eastAsia="en-ZA"/>
              </w:rPr>
              <w:t xml:space="preserve"> </w:t>
            </w:r>
          </w:p>
          <w:p w14:paraId="59A4F257" w14:textId="0A13A9D2" w:rsidR="002D7080" w:rsidRPr="00233C97" w:rsidRDefault="002D7080" w:rsidP="0024145A">
            <w:pPr>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 xml:space="preserve">Johnson, P.T., Olden, J.D., Solomon, C.T. &amp; Vander Zanden, M.J., 2009, ‘Interactions among </w:t>
            </w:r>
            <w:r>
              <w:rPr>
                <w:rFonts w:ascii="Times New Roman" w:eastAsia="Times New Roman" w:hAnsi="Times New Roman" w:cs="Times New Roman"/>
                <w:color w:val="000000"/>
                <w:sz w:val="20"/>
                <w:szCs w:val="20"/>
                <w:lang w:eastAsia="en-ZA"/>
              </w:rPr>
              <w:t>i</w:t>
            </w:r>
            <w:r w:rsidRPr="00233C97">
              <w:rPr>
                <w:rFonts w:ascii="Times New Roman" w:eastAsia="Times New Roman" w:hAnsi="Times New Roman" w:cs="Times New Roman"/>
                <w:color w:val="000000"/>
                <w:sz w:val="20"/>
                <w:szCs w:val="20"/>
                <w:lang w:eastAsia="en-ZA"/>
              </w:rPr>
              <w:t xml:space="preserve">nvaders: </w:t>
            </w:r>
            <w:r>
              <w:rPr>
                <w:rFonts w:ascii="Times New Roman" w:eastAsia="Times New Roman" w:hAnsi="Times New Roman" w:cs="Times New Roman"/>
                <w:color w:val="000000"/>
                <w:sz w:val="20"/>
                <w:szCs w:val="20"/>
                <w:lang w:eastAsia="en-ZA"/>
              </w:rPr>
              <w:t>c</w:t>
            </w:r>
            <w:r w:rsidRPr="00233C97">
              <w:rPr>
                <w:rFonts w:ascii="Times New Roman" w:eastAsia="Times New Roman" w:hAnsi="Times New Roman" w:cs="Times New Roman"/>
                <w:color w:val="000000"/>
                <w:sz w:val="20"/>
                <w:szCs w:val="20"/>
                <w:lang w:eastAsia="en-ZA"/>
              </w:rPr>
              <w:t xml:space="preserve">ommunity and ecosystem effects of multiple invasive species in an experimental aquatic system’, </w:t>
            </w:r>
            <w:r w:rsidRPr="00233C97">
              <w:rPr>
                <w:rFonts w:ascii="Times New Roman" w:eastAsia="Times New Roman" w:hAnsi="Times New Roman" w:cs="Times New Roman"/>
                <w:i/>
                <w:iCs/>
                <w:color w:val="000000"/>
                <w:sz w:val="20"/>
                <w:szCs w:val="20"/>
                <w:lang w:eastAsia="en-ZA"/>
              </w:rPr>
              <w:t>Oecologia</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Cs/>
                <w:color w:val="000000"/>
                <w:sz w:val="20"/>
                <w:szCs w:val="20"/>
                <w:lang w:eastAsia="en-ZA"/>
              </w:rPr>
              <w:t>159</w:t>
            </w:r>
            <w:r w:rsidRPr="00233C97">
              <w:rPr>
                <w:rFonts w:ascii="Times New Roman" w:eastAsia="Times New Roman" w:hAnsi="Times New Roman" w:cs="Times New Roman"/>
                <w:color w:val="000000"/>
                <w:sz w:val="20"/>
                <w:szCs w:val="20"/>
                <w:lang w:eastAsia="en-ZA"/>
              </w:rPr>
              <w:t xml:space="preserve">, 161–170. </w:t>
            </w:r>
            <w:hyperlink r:id="rId340" w:history="1">
              <w:r w:rsidR="00F01349" w:rsidRPr="00F01349">
                <w:rPr>
                  <w:rStyle w:val="Hyperlink"/>
                  <w:rFonts w:ascii="Times New Roman" w:eastAsia="Times New Roman" w:hAnsi="Times New Roman" w:cs="Times New Roman"/>
                  <w:sz w:val="20"/>
                  <w:szCs w:val="20"/>
                  <w:lang w:eastAsia="en-ZA"/>
                </w:rPr>
                <w:t>https://doi.org/10.1007/s00442-008-1176-x</w:t>
              </w:r>
            </w:hyperlink>
            <w:r w:rsidRPr="00233C97">
              <w:rPr>
                <w:rFonts w:ascii="Times New Roman" w:eastAsia="Times New Roman" w:hAnsi="Times New Roman" w:cs="Times New Roman"/>
                <w:color w:val="000000"/>
                <w:sz w:val="20"/>
                <w:szCs w:val="20"/>
                <w:lang w:eastAsia="en-ZA"/>
              </w:rPr>
              <w:t>.</w:t>
            </w:r>
          </w:p>
        </w:tc>
      </w:tr>
      <w:tr w:rsidR="002D7080" w:rsidRPr="00592486" w14:paraId="2733FAD9" w14:textId="77777777" w:rsidTr="002E2C37">
        <w:trPr>
          <w:trHeight w:val="143"/>
        </w:trPr>
        <w:tc>
          <w:tcPr>
            <w:tcW w:w="9016" w:type="dxa"/>
            <w:gridSpan w:val="2"/>
            <w:shd w:val="clear" w:color="auto" w:fill="F2F2F2" w:themeFill="background1" w:themeFillShade="F2"/>
          </w:tcPr>
          <w:p w14:paraId="05519E56"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 xml:space="preserve">CON1 Maximum environmental impact </w:t>
            </w:r>
          </w:p>
        </w:tc>
      </w:tr>
      <w:tr w:rsidR="002D7080" w:rsidRPr="00592486" w14:paraId="50D51620" w14:textId="77777777" w:rsidTr="002E2C37">
        <w:trPr>
          <w:trHeight w:val="172"/>
        </w:trPr>
        <w:tc>
          <w:tcPr>
            <w:tcW w:w="5949" w:type="dxa"/>
          </w:tcPr>
          <w:p w14:paraId="102B13C1"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w:t>
            </w:r>
            <w:r w:rsidRPr="00233C97">
              <w:rPr>
                <w:rFonts w:ascii="Times New Roman" w:eastAsia="Times New Roman" w:hAnsi="Times New Roman" w:cs="Times New Roman"/>
                <w:color w:val="000000"/>
                <w:sz w:val="20"/>
                <w:szCs w:val="20"/>
                <w:lang w:eastAsia="en-ZA"/>
              </w:rPr>
              <w:t xml:space="preserve"> Major</w:t>
            </w:r>
            <w:r>
              <w:rPr>
                <w:rFonts w:ascii="Times New Roman" w:eastAsia="Times New Roman" w:hAnsi="Times New Roman" w:cs="Times New Roman"/>
                <w:color w:val="000000"/>
                <w:sz w:val="20"/>
                <w:szCs w:val="20"/>
                <w:lang w:eastAsia="en-ZA"/>
              </w:rPr>
              <w:t xml:space="preserve"> (MR)</w:t>
            </w:r>
          </w:p>
        </w:tc>
        <w:tc>
          <w:tcPr>
            <w:tcW w:w="3067" w:type="dxa"/>
          </w:tcPr>
          <w:p w14:paraId="5FA17A13"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High</w:t>
            </w:r>
          </w:p>
        </w:tc>
      </w:tr>
      <w:tr w:rsidR="002D7080" w:rsidRPr="00592486" w14:paraId="412782B0" w14:textId="77777777" w:rsidTr="002E2C37">
        <w:trPr>
          <w:trHeight w:val="70"/>
        </w:trPr>
        <w:tc>
          <w:tcPr>
            <w:tcW w:w="9016" w:type="dxa"/>
            <w:gridSpan w:val="2"/>
          </w:tcPr>
          <w:p w14:paraId="19BEA0B2"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color w:val="000000"/>
                <w:sz w:val="20"/>
                <w:szCs w:val="20"/>
                <w:lang w:eastAsia="en-ZA"/>
              </w:rPr>
              <w:t xml:space="preserve"> In introduced areas, direct predation on native invertebrates, competition for food, shelter and spawning sites have led to local extinctions and a decrease in the abundance of native crayfish and fish species (Garvey &amp; Stein 1993; Klocker &amp; Strayer 2004; Lodge et al. 2012). </w:t>
            </w:r>
            <w:r w:rsidRPr="00233C97">
              <w:rPr>
                <w:rFonts w:ascii="Times New Roman" w:eastAsia="Times New Roman" w:hAnsi="Times New Roman" w:cs="Times New Roman"/>
                <w:i/>
                <w:color w:val="000000"/>
                <w:sz w:val="20"/>
                <w:szCs w:val="20"/>
                <w:lang w:eastAsia="en-ZA"/>
              </w:rPr>
              <w:t>Faxonius rusticus</w:t>
            </w:r>
            <w:r w:rsidRPr="00233C97">
              <w:rPr>
                <w:rFonts w:ascii="Times New Roman" w:eastAsia="Times New Roman" w:hAnsi="Times New Roman" w:cs="Times New Roman"/>
                <w:color w:val="000000"/>
                <w:sz w:val="20"/>
                <w:szCs w:val="20"/>
                <w:lang w:eastAsia="en-ZA"/>
              </w:rPr>
              <w:t xml:space="preserve"> feeds on macrophytes leading to changes in structural communities. There are also records of hybridisation in the alien range, threatening indigenous crayfish populations (Perry et al. 2001). </w:t>
            </w:r>
          </w:p>
        </w:tc>
      </w:tr>
      <w:tr w:rsidR="002D7080" w:rsidRPr="00592486" w14:paraId="3C415103" w14:textId="77777777" w:rsidTr="002E2C37">
        <w:trPr>
          <w:trHeight w:val="70"/>
        </w:trPr>
        <w:tc>
          <w:tcPr>
            <w:tcW w:w="9016" w:type="dxa"/>
            <w:gridSpan w:val="2"/>
          </w:tcPr>
          <w:p w14:paraId="23CD725B" w14:textId="77777777" w:rsidR="002D7080" w:rsidRPr="00233C97" w:rsidRDefault="002D7080" w:rsidP="002E2C37">
            <w:pPr>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sz w:val="20"/>
                <w:szCs w:val="20"/>
                <w:lang w:eastAsia="en-ZA"/>
              </w:rPr>
              <w:t>References:</w:t>
            </w:r>
            <w:r w:rsidRPr="00233C97">
              <w:rPr>
                <w:rFonts w:ascii="Times New Roman" w:eastAsia="Times New Roman" w:hAnsi="Times New Roman" w:cs="Times New Roman"/>
                <w:color w:val="000000"/>
                <w:sz w:val="20"/>
                <w:szCs w:val="20"/>
                <w:lang w:eastAsia="en-ZA"/>
              </w:rPr>
              <w:t xml:space="preserve"> </w:t>
            </w:r>
          </w:p>
          <w:p w14:paraId="1BA8CD6D" w14:textId="2F668647" w:rsidR="002D7080" w:rsidRPr="00233C97"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color w:val="000000"/>
                <w:sz w:val="20"/>
                <w:szCs w:val="20"/>
                <w:lang w:eastAsia="en-ZA"/>
              </w:rPr>
              <w:t>Garvey, J.E. &amp; Stein, R.A, 1993, ‘Evaluating how chela size influences the invasion potential of an introduced crayfish (</w:t>
            </w:r>
            <w:r w:rsidRPr="00233C97">
              <w:rPr>
                <w:rFonts w:ascii="Times New Roman" w:eastAsia="Times New Roman" w:hAnsi="Times New Roman" w:cs="Times New Roman"/>
                <w:i/>
                <w:color w:val="000000"/>
                <w:sz w:val="20"/>
                <w:szCs w:val="20"/>
                <w:lang w:eastAsia="en-ZA"/>
              </w:rPr>
              <w:t>Orconectes rusticus</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
                <w:iCs/>
                <w:color w:val="000000"/>
                <w:sz w:val="20"/>
                <w:szCs w:val="20"/>
                <w:lang w:eastAsia="en-ZA"/>
              </w:rPr>
              <w:t>American Midland Naturalist 129,</w:t>
            </w:r>
            <w:r w:rsidRPr="00233C97">
              <w:rPr>
                <w:rFonts w:ascii="Times New Roman" w:eastAsia="Times New Roman" w:hAnsi="Times New Roman" w:cs="Times New Roman"/>
                <w:color w:val="000000"/>
                <w:sz w:val="20"/>
                <w:szCs w:val="20"/>
                <w:lang w:eastAsia="en-ZA"/>
              </w:rPr>
              <w:t xml:space="preserve"> 172–181. </w:t>
            </w:r>
            <w:r w:rsidR="00F01349" w:rsidRPr="00F01349">
              <w:rPr>
                <w:rFonts w:ascii="Times New Roman" w:eastAsia="Times New Roman" w:hAnsi="Times New Roman" w:cs="Times New Roman"/>
                <w:color w:val="000000"/>
                <w:sz w:val="20"/>
                <w:szCs w:val="20"/>
                <w:lang w:eastAsia="en-ZA"/>
              </w:rPr>
              <w:t xml:space="preserve">, </w:t>
            </w:r>
            <w:hyperlink r:id="rId341" w:history="1">
              <w:r w:rsidR="00F01349" w:rsidRPr="00F01349">
                <w:rPr>
                  <w:rStyle w:val="Hyperlink"/>
                  <w:rFonts w:ascii="Times New Roman" w:eastAsia="Times New Roman" w:hAnsi="Times New Roman" w:cs="Times New Roman"/>
                  <w:sz w:val="20"/>
                  <w:szCs w:val="20"/>
                  <w:lang w:eastAsia="en-ZA"/>
                </w:rPr>
                <w:t>https://doi.org/10.1046/j.1523-1739.1996.10041155.x</w:t>
              </w:r>
            </w:hyperlink>
            <w:r w:rsidRPr="00233C97">
              <w:rPr>
                <w:rFonts w:ascii="Times New Roman" w:eastAsia="Times New Roman" w:hAnsi="Times New Roman" w:cs="Times New Roman"/>
                <w:color w:val="000000"/>
                <w:sz w:val="20"/>
                <w:szCs w:val="20"/>
                <w:lang w:eastAsia="en-ZA"/>
              </w:rPr>
              <w:t>.</w:t>
            </w:r>
          </w:p>
          <w:p w14:paraId="35DD8333" w14:textId="1817530B" w:rsidR="002D7080" w:rsidRPr="00233C97"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color w:val="000000"/>
                <w:sz w:val="20"/>
                <w:szCs w:val="20"/>
                <w:lang w:eastAsia="en-ZA"/>
              </w:rPr>
              <w:t>Klocker, C.A. &amp; Strayer, D.L., 2004, ‘Interactions among an invasive crayfish (</w:t>
            </w:r>
            <w:r w:rsidRPr="00233C97">
              <w:rPr>
                <w:rFonts w:ascii="Times New Roman" w:eastAsia="Times New Roman" w:hAnsi="Times New Roman" w:cs="Times New Roman"/>
                <w:i/>
                <w:color w:val="000000"/>
                <w:sz w:val="20"/>
                <w:szCs w:val="20"/>
                <w:lang w:eastAsia="en-ZA"/>
              </w:rPr>
              <w:t>Orconectes rusticus</w:t>
            </w:r>
            <w:r w:rsidRPr="00233C97">
              <w:rPr>
                <w:rFonts w:ascii="Times New Roman" w:eastAsia="Times New Roman" w:hAnsi="Times New Roman" w:cs="Times New Roman"/>
                <w:color w:val="000000"/>
                <w:sz w:val="20"/>
                <w:szCs w:val="20"/>
                <w:lang w:eastAsia="en-ZA"/>
              </w:rPr>
              <w:t>), a native crayfish (</w:t>
            </w:r>
            <w:r w:rsidRPr="00233C97">
              <w:rPr>
                <w:rFonts w:ascii="Times New Roman" w:eastAsia="Times New Roman" w:hAnsi="Times New Roman" w:cs="Times New Roman"/>
                <w:i/>
                <w:color w:val="000000"/>
                <w:sz w:val="20"/>
                <w:szCs w:val="20"/>
                <w:lang w:eastAsia="en-ZA"/>
              </w:rPr>
              <w:t>Orconectes limosus</w:t>
            </w:r>
            <w:r w:rsidRPr="00233C97">
              <w:rPr>
                <w:rFonts w:ascii="Times New Roman" w:eastAsia="Times New Roman" w:hAnsi="Times New Roman" w:cs="Times New Roman"/>
                <w:color w:val="000000"/>
                <w:sz w:val="20"/>
                <w:szCs w:val="20"/>
                <w:lang w:eastAsia="en-ZA"/>
              </w:rPr>
              <w:t xml:space="preserve">), and native bivalves (Sphaeriidae and Unionidae)’, </w:t>
            </w:r>
            <w:r w:rsidRPr="00233C97">
              <w:rPr>
                <w:rFonts w:ascii="Times New Roman" w:eastAsia="Times New Roman" w:hAnsi="Times New Roman" w:cs="Times New Roman"/>
                <w:i/>
                <w:iCs/>
                <w:color w:val="000000"/>
                <w:sz w:val="20"/>
                <w:szCs w:val="20"/>
                <w:lang w:eastAsia="en-ZA"/>
              </w:rPr>
              <w:t>Northeastern Naturalist</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Cs/>
                <w:color w:val="000000"/>
                <w:sz w:val="20"/>
                <w:szCs w:val="20"/>
                <w:lang w:eastAsia="en-ZA"/>
              </w:rPr>
              <w:t>11</w:t>
            </w:r>
            <w:r w:rsidRPr="00233C97">
              <w:rPr>
                <w:rFonts w:ascii="Times New Roman" w:eastAsia="Times New Roman" w:hAnsi="Times New Roman" w:cs="Times New Roman"/>
                <w:b/>
                <w:color w:val="000000"/>
                <w:sz w:val="20"/>
                <w:szCs w:val="20"/>
                <w:lang w:eastAsia="en-ZA"/>
              </w:rPr>
              <w:t>,</w:t>
            </w:r>
            <w:r w:rsidRPr="00233C97">
              <w:rPr>
                <w:rFonts w:ascii="Times New Roman" w:eastAsia="Times New Roman" w:hAnsi="Times New Roman" w:cs="Times New Roman"/>
                <w:color w:val="000000"/>
                <w:sz w:val="20"/>
                <w:szCs w:val="20"/>
                <w:lang w:eastAsia="en-ZA"/>
              </w:rPr>
              <w:t>167–178</w:t>
            </w:r>
            <w:hyperlink r:id="rId342" w:history="1">
              <w:r w:rsidR="003B2CA5" w:rsidRPr="003B2CA5">
                <w:rPr>
                  <w:rStyle w:val="Hyperlink"/>
                  <w:rFonts w:ascii="Times New Roman" w:eastAsia="Times New Roman" w:hAnsi="Times New Roman" w:cs="Times New Roman"/>
                  <w:sz w:val="20"/>
                  <w:szCs w:val="20"/>
                  <w:lang w:eastAsia="en-ZA"/>
                </w:rPr>
                <w:t>https://doi.org/10.1656/1092-6194(2004)011[0167:IAAICO]2.0.CO;2</w:t>
              </w:r>
            </w:hyperlink>
            <w:r w:rsidRPr="00233C97">
              <w:rPr>
                <w:rFonts w:ascii="Times New Roman" w:eastAsia="Times New Roman" w:hAnsi="Times New Roman" w:cs="Times New Roman"/>
                <w:bCs/>
                <w:sz w:val="20"/>
                <w:szCs w:val="20"/>
                <w:lang w:eastAsia="en-ZA"/>
              </w:rPr>
              <w:t>.</w:t>
            </w:r>
          </w:p>
          <w:p w14:paraId="57708182" w14:textId="1D73F840" w:rsidR="003B2CA5" w:rsidRDefault="002D7080" w:rsidP="002E2C37">
            <w:pPr>
              <w:ind w:left="720" w:hanging="720"/>
              <w:contextualSpacing/>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Lodge, D.M., Deines, A., Gherardi, F., Yeo, D.C.J., Arcella. T, Baldridge, A.K., et al., 2012, ‘Global introductions of crayfishes: Evaluating the impact of species invasions on ecosystem services’, </w:t>
            </w:r>
            <w:r w:rsidRPr="00233C97">
              <w:rPr>
                <w:rFonts w:ascii="Times New Roman" w:eastAsia="Times New Roman" w:hAnsi="Times New Roman" w:cs="Times New Roman"/>
                <w:i/>
                <w:sz w:val="20"/>
                <w:szCs w:val="20"/>
                <w:lang w:eastAsia="en-ZA"/>
              </w:rPr>
              <w:t>Annual Review of Ecology Evolution Systematics</w:t>
            </w:r>
            <w:r w:rsidRPr="00233C97">
              <w:rPr>
                <w:rFonts w:ascii="Times New Roman" w:eastAsia="Times New Roman" w:hAnsi="Times New Roman" w:cs="Times New Roman"/>
                <w:sz w:val="20"/>
                <w:szCs w:val="20"/>
                <w:lang w:eastAsia="en-ZA"/>
              </w:rPr>
              <w:t xml:space="preserve"> 43, 449–472. </w:t>
            </w:r>
            <w:r w:rsidR="003B2CA5" w:rsidRPr="00D66918">
              <w:rPr>
                <w:rFonts w:ascii="Times New Roman" w:eastAsia="Times New Roman" w:hAnsi="Times New Roman" w:cs="Times New Roman"/>
                <w:sz w:val="20"/>
                <w:szCs w:val="20"/>
                <w:lang w:eastAsia="en-ZA"/>
              </w:rPr>
              <w:t>https://doi.org/10.1146/annurev-ecolsys-111511-103919</w:t>
            </w:r>
          </w:p>
          <w:p w14:paraId="0B14E928" w14:textId="050783FF" w:rsidR="002D7080" w:rsidRPr="00233C97" w:rsidRDefault="002D7080" w:rsidP="002E2C37">
            <w:pPr>
              <w:ind w:left="720" w:hanging="720"/>
              <w:contextualSpacing/>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Perry, W.L., Feder, J.L., Dwyer, G. &amp; Lodge, D.M., 2001, ‘Hybrid zone dynamics and species replacement between </w:t>
            </w:r>
            <w:r w:rsidRPr="00233C97">
              <w:rPr>
                <w:rFonts w:ascii="Times New Roman" w:eastAsia="Times New Roman" w:hAnsi="Times New Roman" w:cs="Times New Roman"/>
                <w:i/>
                <w:sz w:val="20"/>
                <w:szCs w:val="20"/>
                <w:lang w:eastAsia="en-ZA"/>
              </w:rPr>
              <w:t>Orconectes</w:t>
            </w:r>
            <w:r w:rsidRPr="00233C97">
              <w:rPr>
                <w:rFonts w:ascii="Times New Roman" w:eastAsia="Times New Roman" w:hAnsi="Times New Roman" w:cs="Times New Roman"/>
                <w:sz w:val="20"/>
                <w:szCs w:val="20"/>
                <w:lang w:eastAsia="en-ZA"/>
              </w:rPr>
              <w:t xml:space="preserve"> crayfishes in a northern Wisconsin lake’, </w:t>
            </w:r>
            <w:r w:rsidRPr="00233C97">
              <w:rPr>
                <w:rFonts w:ascii="Times New Roman" w:eastAsia="Times New Roman" w:hAnsi="Times New Roman" w:cs="Times New Roman"/>
                <w:i/>
                <w:iCs/>
                <w:sz w:val="20"/>
                <w:szCs w:val="20"/>
                <w:lang w:eastAsia="en-ZA"/>
              </w:rPr>
              <w:t>Evolution</w:t>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Cs/>
                <w:sz w:val="20"/>
                <w:szCs w:val="20"/>
                <w:lang w:eastAsia="en-ZA"/>
              </w:rPr>
              <w:t>55</w:t>
            </w:r>
            <w:r w:rsidRPr="00233C97">
              <w:rPr>
                <w:rFonts w:ascii="Times New Roman" w:eastAsia="Times New Roman" w:hAnsi="Times New Roman" w:cs="Times New Roman"/>
                <w:sz w:val="20"/>
                <w:szCs w:val="20"/>
                <w:lang w:eastAsia="en-ZA"/>
              </w:rPr>
              <w:t xml:space="preserve">, 1153–1166. </w:t>
            </w:r>
            <w:r w:rsidR="00A73CBE" w:rsidRPr="00A73CBE">
              <w:rPr>
                <w:rFonts w:ascii="Times New Roman" w:eastAsia="Times New Roman" w:hAnsi="Times New Roman" w:cs="Times New Roman"/>
                <w:sz w:val="20"/>
                <w:szCs w:val="20"/>
                <w:lang w:eastAsia="en-ZA"/>
              </w:rPr>
              <w:t>https://doi.org/10.1111/j.0014-3820.2001.tb00635.x</w:t>
            </w:r>
            <w:r w:rsidRPr="00233C97">
              <w:rPr>
                <w:rFonts w:ascii="Times New Roman" w:eastAsia="Times New Roman" w:hAnsi="Times New Roman" w:cs="Times New Roman"/>
                <w:sz w:val="20"/>
                <w:szCs w:val="20"/>
                <w:lang w:eastAsia="en-ZA"/>
              </w:rPr>
              <w:t>.</w:t>
            </w:r>
          </w:p>
        </w:tc>
      </w:tr>
    </w:tbl>
    <w:p w14:paraId="30CDC3BF" w14:textId="77777777" w:rsidR="002D7080" w:rsidRPr="00233C97" w:rsidRDefault="002D7080" w:rsidP="002D7080">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5949"/>
        <w:gridCol w:w="3067"/>
      </w:tblGrid>
      <w:tr w:rsidR="002D7080" w:rsidRPr="00592486" w14:paraId="563A6E6B" w14:textId="77777777" w:rsidTr="002E2C37">
        <w:trPr>
          <w:trHeight w:val="215"/>
        </w:trPr>
        <w:tc>
          <w:tcPr>
            <w:tcW w:w="9016" w:type="dxa"/>
            <w:gridSpan w:val="2"/>
            <w:shd w:val="clear" w:color="auto" w:fill="F2F2F2" w:themeFill="background1" w:themeFillShade="F2"/>
          </w:tcPr>
          <w:p w14:paraId="60DB4030"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CON2 Socio-economic impact</w:t>
            </w:r>
          </w:p>
        </w:tc>
      </w:tr>
      <w:tr w:rsidR="002D7080" w:rsidRPr="00592486" w14:paraId="27261158" w14:textId="77777777" w:rsidTr="002E2C37">
        <w:tc>
          <w:tcPr>
            <w:tcW w:w="9016" w:type="dxa"/>
            <w:gridSpan w:val="2"/>
            <w:shd w:val="clear" w:color="auto" w:fill="F2F2F2" w:themeFill="background1" w:themeFillShade="F2"/>
          </w:tcPr>
          <w:p w14:paraId="1AAAD7D0" w14:textId="77777777" w:rsidR="002D7080" w:rsidRPr="00233C97" w:rsidRDefault="002D7080" w:rsidP="002E2C37">
            <w:pPr>
              <w:rPr>
                <w:rFonts w:ascii="Times New Roman" w:hAnsi="Times New Roman" w:cs="Times New Roman"/>
                <w:sz w:val="20"/>
                <w:szCs w:val="20"/>
              </w:rPr>
            </w:pPr>
            <w:r w:rsidRPr="00233C97">
              <w:rPr>
                <w:rFonts w:ascii="Times New Roman" w:eastAsia="Times New Roman" w:hAnsi="Times New Roman" w:cs="Times New Roman"/>
                <w:b/>
                <w:sz w:val="20"/>
                <w:szCs w:val="20"/>
                <w:lang w:eastAsia="en-ZA"/>
              </w:rPr>
              <w:t>CON2a: Safety</w:t>
            </w:r>
          </w:p>
        </w:tc>
      </w:tr>
      <w:tr w:rsidR="002D7080" w:rsidRPr="00592486" w14:paraId="55365CDB" w14:textId="77777777" w:rsidTr="002E2C37">
        <w:tc>
          <w:tcPr>
            <w:tcW w:w="5949" w:type="dxa"/>
          </w:tcPr>
          <w:p w14:paraId="7A741B15"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 Data Deficient (DD)</w:t>
            </w:r>
          </w:p>
        </w:tc>
        <w:tc>
          <w:tcPr>
            <w:tcW w:w="3067" w:type="dxa"/>
          </w:tcPr>
          <w:p w14:paraId="533FE4B9"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w:t>
            </w:r>
            <w:r w:rsidRPr="00233C97">
              <w:rPr>
                <w:rFonts w:ascii="Times New Roman" w:eastAsia="Times New Roman" w:hAnsi="Times New Roman" w:cs="Times New Roman"/>
                <w:color w:val="000000"/>
                <w:sz w:val="20"/>
                <w:szCs w:val="20"/>
                <w:lang w:eastAsia="en-ZA"/>
              </w:rPr>
              <w:t xml:space="preserve"> Medium</w:t>
            </w:r>
          </w:p>
        </w:tc>
      </w:tr>
      <w:tr w:rsidR="002D7080" w:rsidRPr="00592486" w14:paraId="702B102A" w14:textId="77777777" w:rsidTr="002E2C37">
        <w:trPr>
          <w:trHeight w:val="70"/>
        </w:trPr>
        <w:tc>
          <w:tcPr>
            <w:tcW w:w="9016" w:type="dxa"/>
            <w:gridSpan w:val="2"/>
          </w:tcPr>
          <w:p w14:paraId="21951A9F"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color w:val="000000"/>
                <w:sz w:val="20"/>
                <w:szCs w:val="20"/>
                <w:lang w:eastAsia="en-ZA"/>
              </w:rPr>
              <w:t xml:space="preserve"> No information is available to assess the level of impact.</w:t>
            </w:r>
          </w:p>
        </w:tc>
      </w:tr>
      <w:tr w:rsidR="002D7080" w:rsidRPr="00592486" w14:paraId="1741D950" w14:textId="77777777" w:rsidTr="002E2C37">
        <w:trPr>
          <w:trHeight w:val="70"/>
        </w:trPr>
        <w:tc>
          <w:tcPr>
            <w:tcW w:w="9016" w:type="dxa"/>
            <w:gridSpan w:val="2"/>
          </w:tcPr>
          <w:p w14:paraId="3F180342" w14:textId="77777777" w:rsidR="002D7080" w:rsidRPr="00233C97" w:rsidRDefault="002D7080" w:rsidP="002E2C37">
            <w:pPr>
              <w:ind w:left="720" w:hanging="720"/>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tc>
      </w:tr>
      <w:tr w:rsidR="002D7080" w:rsidRPr="00592486" w14:paraId="6812C369" w14:textId="77777777" w:rsidTr="002E2C37">
        <w:tc>
          <w:tcPr>
            <w:tcW w:w="9016" w:type="dxa"/>
            <w:gridSpan w:val="2"/>
            <w:shd w:val="clear" w:color="auto" w:fill="F2F2F2" w:themeFill="background1" w:themeFillShade="F2"/>
          </w:tcPr>
          <w:p w14:paraId="543A9FD6" w14:textId="77777777" w:rsidR="002D7080" w:rsidRPr="00233C97" w:rsidRDefault="002D7080" w:rsidP="002E2C37">
            <w:pPr>
              <w:rPr>
                <w:rFonts w:ascii="Times New Roman" w:hAnsi="Times New Roman" w:cs="Times New Roman"/>
                <w:sz w:val="20"/>
                <w:szCs w:val="20"/>
              </w:rPr>
            </w:pPr>
            <w:r w:rsidRPr="00233C97">
              <w:rPr>
                <w:rFonts w:ascii="Times New Roman" w:eastAsia="Times New Roman" w:hAnsi="Times New Roman" w:cs="Times New Roman"/>
                <w:b/>
                <w:sz w:val="20"/>
                <w:szCs w:val="20"/>
                <w:lang w:eastAsia="en-ZA"/>
              </w:rPr>
              <w:t>CON2b: Material and immaterial assets</w:t>
            </w:r>
          </w:p>
        </w:tc>
      </w:tr>
      <w:tr w:rsidR="002D7080" w:rsidRPr="00592486" w14:paraId="6C9D24E1" w14:textId="77777777" w:rsidTr="002E2C37">
        <w:tc>
          <w:tcPr>
            <w:tcW w:w="5949" w:type="dxa"/>
          </w:tcPr>
          <w:p w14:paraId="32DF77D9"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Moderate (MO)</w:t>
            </w:r>
          </w:p>
        </w:tc>
        <w:tc>
          <w:tcPr>
            <w:tcW w:w="3067" w:type="dxa"/>
          </w:tcPr>
          <w:p w14:paraId="42059E77"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w:t>
            </w:r>
            <w:r w:rsidRPr="00233C97">
              <w:rPr>
                <w:rFonts w:ascii="Times New Roman" w:eastAsia="Times New Roman" w:hAnsi="Times New Roman" w:cs="Times New Roman"/>
                <w:color w:val="000000"/>
                <w:sz w:val="20"/>
                <w:szCs w:val="20"/>
                <w:lang w:eastAsia="en-ZA"/>
              </w:rPr>
              <w:t xml:space="preserve"> Medium</w:t>
            </w:r>
          </w:p>
        </w:tc>
      </w:tr>
      <w:tr w:rsidR="002D7080" w:rsidRPr="00592486" w14:paraId="0C2FA904" w14:textId="77777777" w:rsidTr="002E2C37">
        <w:trPr>
          <w:trHeight w:val="128"/>
        </w:trPr>
        <w:tc>
          <w:tcPr>
            <w:tcW w:w="9016" w:type="dxa"/>
            <w:gridSpan w:val="2"/>
          </w:tcPr>
          <w:p w14:paraId="639CA9EC"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color w:val="000000"/>
                <w:sz w:val="20"/>
                <w:szCs w:val="20"/>
                <w:lang w:eastAsia="en-ZA"/>
              </w:rPr>
              <w:t xml:space="preserve"> </w:t>
            </w:r>
            <w:r w:rsidRPr="0053749D">
              <w:rPr>
                <w:rFonts w:ascii="Times New Roman" w:eastAsia="Times New Roman" w:hAnsi="Times New Roman" w:cs="Times New Roman"/>
                <w:i/>
                <w:iCs/>
                <w:color w:val="000000"/>
                <w:sz w:val="20"/>
                <w:szCs w:val="20"/>
                <w:lang w:eastAsia="en-ZA"/>
              </w:rPr>
              <w:t>Faxonius rusticus</w:t>
            </w:r>
            <w:r w:rsidRPr="0053749D">
              <w:rPr>
                <w:rFonts w:ascii="Times New Roman" w:eastAsia="Times New Roman" w:hAnsi="Times New Roman" w:cs="Times New Roman"/>
                <w:color w:val="000000"/>
                <w:sz w:val="20"/>
                <w:szCs w:val="20"/>
                <w:lang w:eastAsia="en-ZA"/>
              </w:rPr>
              <w:t xml:space="preserve"> invasions disrupt recreational activities in the invaded range </w:t>
            </w:r>
            <w:r>
              <w:rPr>
                <w:rFonts w:ascii="Times New Roman" w:eastAsia="Times New Roman" w:hAnsi="Times New Roman" w:cs="Times New Roman"/>
                <w:color w:val="000000"/>
                <w:sz w:val="20"/>
                <w:szCs w:val="20"/>
                <w:lang w:eastAsia="en-ZA"/>
              </w:rPr>
              <w:t xml:space="preserve">leading to lost income </w:t>
            </w:r>
            <w:r w:rsidRPr="0053749D">
              <w:rPr>
                <w:rFonts w:ascii="Times New Roman" w:eastAsia="Times New Roman" w:hAnsi="Times New Roman" w:cs="Times New Roman"/>
                <w:color w:val="000000"/>
                <w:sz w:val="20"/>
                <w:szCs w:val="20"/>
                <w:lang w:eastAsia="en-ZA"/>
              </w:rPr>
              <w:t xml:space="preserve">from recreational angling (Keller et al. 2008). For example, in Vilas County (USA), </w:t>
            </w:r>
            <w:r w:rsidRPr="00505C6D">
              <w:rPr>
                <w:rFonts w:ascii="Times New Roman" w:eastAsia="Times New Roman" w:hAnsi="Times New Roman" w:cs="Times New Roman"/>
                <w:i/>
                <w:iCs/>
                <w:color w:val="000000"/>
                <w:sz w:val="20"/>
                <w:szCs w:val="20"/>
                <w:lang w:eastAsia="en-ZA"/>
              </w:rPr>
              <w:t>F. rusticus</w:t>
            </w:r>
            <w:r w:rsidRPr="0053749D">
              <w:rPr>
                <w:rFonts w:ascii="Times New Roman" w:eastAsia="Times New Roman" w:hAnsi="Times New Roman" w:cs="Times New Roman"/>
                <w:color w:val="000000"/>
                <w:sz w:val="20"/>
                <w:szCs w:val="20"/>
                <w:lang w:eastAsia="en-ZA"/>
              </w:rPr>
              <w:t xml:space="preserve"> has </w:t>
            </w:r>
            <w:r w:rsidRPr="0053749D">
              <w:rPr>
                <w:rFonts w:ascii="Times New Roman" w:eastAsia="Times New Roman" w:hAnsi="Times New Roman" w:cs="Times New Roman"/>
                <w:color w:val="000000"/>
                <w:sz w:val="20"/>
                <w:szCs w:val="20"/>
                <w:lang w:eastAsia="en-ZA"/>
              </w:rPr>
              <w:lastRenderedPageBreak/>
              <w:t>reduced sport fish populations through egg predation and/or competition with juvenile fish. Consequently, resulting in an estimated annual loss of 1.5 million US dollars.</w:t>
            </w:r>
          </w:p>
        </w:tc>
      </w:tr>
      <w:tr w:rsidR="002D7080" w:rsidRPr="00592486" w14:paraId="5A132421" w14:textId="77777777" w:rsidTr="002E2C37">
        <w:trPr>
          <w:trHeight w:val="70"/>
        </w:trPr>
        <w:tc>
          <w:tcPr>
            <w:tcW w:w="9016" w:type="dxa"/>
            <w:gridSpan w:val="2"/>
          </w:tcPr>
          <w:p w14:paraId="1B73AF9C" w14:textId="77777777" w:rsidR="002D7080" w:rsidRDefault="002D7080" w:rsidP="002E2C37">
            <w:pPr>
              <w:ind w:left="720" w:hanging="720"/>
              <w:rPr>
                <w:rFonts w:ascii="Times New Roman" w:eastAsia="Times New Roman" w:hAnsi="Times New Roman" w:cs="Times New Roman"/>
                <w:sz w:val="20"/>
                <w:szCs w:val="20"/>
                <w:lang w:eastAsia="en-ZA"/>
              </w:rPr>
            </w:pPr>
            <w:r w:rsidRPr="00FD151E">
              <w:rPr>
                <w:rFonts w:ascii="Times New Roman" w:eastAsia="Times New Roman" w:hAnsi="Times New Roman" w:cs="Times New Roman"/>
                <w:sz w:val="20"/>
                <w:szCs w:val="20"/>
                <w:lang w:eastAsia="en-ZA"/>
              </w:rPr>
              <w:lastRenderedPageBreak/>
              <w:t>References:</w:t>
            </w:r>
          </w:p>
          <w:p w14:paraId="4024AD24" w14:textId="170F0B6D" w:rsidR="002D7080" w:rsidRPr="00233C97" w:rsidRDefault="002D7080" w:rsidP="002E2C37">
            <w:pPr>
              <w:ind w:left="720" w:hanging="720"/>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 xml:space="preserve">Keller, R.P., Frang, K. &amp; Lodge, D.M., 2008, ‘Preventing the spread of invasive species: Economic benefits of intervention guided by ecological predictions’ </w:t>
            </w:r>
            <w:r w:rsidRPr="00233C97">
              <w:rPr>
                <w:rFonts w:ascii="Times New Roman" w:eastAsia="Times New Roman" w:hAnsi="Times New Roman" w:cs="Times New Roman"/>
                <w:i/>
                <w:iCs/>
                <w:color w:val="000000"/>
                <w:sz w:val="20"/>
                <w:szCs w:val="20"/>
                <w:lang w:eastAsia="en-ZA"/>
              </w:rPr>
              <w:t>Conservation Biology</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Cs/>
                <w:color w:val="000000"/>
                <w:sz w:val="20"/>
                <w:szCs w:val="20"/>
                <w:lang w:eastAsia="en-ZA"/>
              </w:rPr>
              <w:t>22</w:t>
            </w:r>
            <w:r w:rsidRPr="00233C97">
              <w:rPr>
                <w:rFonts w:ascii="Times New Roman" w:eastAsia="Times New Roman" w:hAnsi="Times New Roman" w:cs="Times New Roman"/>
                <w:color w:val="000000"/>
                <w:sz w:val="20"/>
                <w:szCs w:val="20"/>
                <w:lang w:eastAsia="en-ZA"/>
              </w:rPr>
              <w:t xml:space="preserve">, 80–88. </w:t>
            </w:r>
            <w:hyperlink r:id="rId343" w:history="1">
              <w:r w:rsidR="00A73CBE" w:rsidRPr="00F215B9">
                <w:rPr>
                  <w:rStyle w:val="Hyperlink"/>
                  <w:rFonts w:ascii="Times New Roman" w:eastAsia="Times New Roman" w:hAnsi="Times New Roman" w:cs="Times New Roman"/>
                  <w:sz w:val="20"/>
                  <w:szCs w:val="20"/>
                  <w:lang w:eastAsia="en-ZA"/>
                </w:rPr>
                <w:t>https://doi.org/10.1111/j.1523-1739.2007.00811.x</w:t>
              </w:r>
            </w:hyperlink>
            <w:r w:rsidR="00A73CBE">
              <w:rPr>
                <w:rFonts w:ascii="Times New Roman" w:eastAsia="Times New Roman" w:hAnsi="Times New Roman" w:cs="Times New Roman"/>
                <w:color w:val="000000"/>
                <w:sz w:val="20"/>
                <w:szCs w:val="20"/>
                <w:lang w:eastAsia="en-ZA"/>
              </w:rPr>
              <w:t xml:space="preserve"> </w:t>
            </w:r>
          </w:p>
        </w:tc>
      </w:tr>
      <w:tr w:rsidR="002D7080" w:rsidRPr="00592486" w14:paraId="4DA53F90" w14:textId="77777777" w:rsidTr="002E2C37">
        <w:tc>
          <w:tcPr>
            <w:tcW w:w="9016" w:type="dxa"/>
            <w:gridSpan w:val="2"/>
            <w:shd w:val="clear" w:color="auto" w:fill="F2F2F2" w:themeFill="background1" w:themeFillShade="F2"/>
          </w:tcPr>
          <w:p w14:paraId="2B5DEEF7" w14:textId="77777777" w:rsidR="002D7080" w:rsidRPr="00233C97" w:rsidRDefault="002D7080" w:rsidP="002E2C37">
            <w:pPr>
              <w:rPr>
                <w:rFonts w:ascii="Times New Roman" w:hAnsi="Times New Roman" w:cs="Times New Roman"/>
                <w:sz w:val="20"/>
                <w:szCs w:val="20"/>
              </w:rPr>
            </w:pPr>
            <w:r w:rsidRPr="00233C97">
              <w:rPr>
                <w:rFonts w:ascii="Times New Roman" w:eastAsia="Times New Roman" w:hAnsi="Times New Roman" w:cs="Times New Roman"/>
                <w:b/>
                <w:sz w:val="20"/>
                <w:szCs w:val="20"/>
                <w:lang w:eastAsia="en-ZA"/>
              </w:rPr>
              <w:t>CON2c: Health</w:t>
            </w:r>
          </w:p>
        </w:tc>
      </w:tr>
      <w:tr w:rsidR="002D7080" w:rsidRPr="00592486" w14:paraId="4C704750" w14:textId="77777777" w:rsidTr="002E2C37">
        <w:tc>
          <w:tcPr>
            <w:tcW w:w="5949" w:type="dxa"/>
          </w:tcPr>
          <w:p w14:paraId="57845C3D"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 Data Deficient (DD)</w:t>
            </w:r>
          </w:p>
        </w:tc>
        <w:tc>
          <w:tcPr>
            <w:tcW w:w="3067" w:type="dxa"/>
          </w:tcPr>
          <w:p w14:paraId="0BD383B4"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Medium</w:t>
            </w:r>
          </w:p>
        </w:tc>
      </w:tr>
      <w:tr w:rsidR="002D7080" w:rsidRPr="00592486" w14:paraId="055DC327" w14:textId="77777777" w:rsidTr="002E2C37">
        <w:trPr>
          <w:trHeight w:val="70"/>
        </w:trPr>
        <w:tc>
          <w:tcPr>
            <w:tcW w:w="9016" w:type="dxa"/>
            <w:gridSpan w:val="2"/>
          </w:tcPr>
          <w:p w14:paraId="0A6CA760"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color w:val="000000"/>
                <w:sz w:val="20"/>
                <w:szCs w:val="20"/>
                <w:lang w:eastAsia="en-ZA"/>
              </w:rPr>
              <w:t xml:space="preserve"> No information is available to assess the level of impact.</w:t>
            </w:r>
          </w:p>
        </w:tc>
      </w:tr>
      <w:tr w:rsidR="002D7080" w:rsidRPr="00592486" w14:paraId="1EF0BBEB" w14:textId="77777777" w:rsidTr="002E2C37">
        <w:trPr>
          <w:trHeight w:val="70"/>
        </w:trPr>
        <w:tc>
          <w:tcPr>
            <w:tcW w:w="9016" w:type="dxa"/>
            <w:gridSpan w:val="2"/>
          </w:tcPr>
          <w:p w14:paraId="79146843" w14:textId="77777777" w:rsidR="002D7080" w:rsidRPr="00233C97" w:rsidRDefault="002D7080" w:rsidP="002E2C37">
            <w:pPr>
              <w:ind w:left="720" w:hanging="720"/>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tc>
      </w:tr>
      <w:tr w:rsidR="002D7080" w:rsidRPr="00592486" w14:paraId="22016FE7" w14:textId="77777777" w:rsidTr="002E2C37">
        <w:tc>
          <w:tcPr>
            <w:tcW w:w="9016" w:type="dxa"/>
            <w:gridSpan w:val="2"/>
            <w:shd w:val="clear" w:color="auto" w:fill="F2F2F2" w:themeFill="background1" w:themeFillShade="F2"/>
          </w:tcPr>
          <w:p w14:paraId="1465D74D" w14:textId="77777777" w:rsidR="002D7080" w:rsidRPr="00233C97" w:rsidRDefault="002D7080" w:rsidP="002E2C37">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 xml:space="preserve">CON2d: Social, spiritual and cultural relations </w:t>
            </w:r>
          </w:p>
        </w:tc>
      </w:tr>
      <w:tr w:rsidR="002D7080" w:rsidRPr="00592486" w14:paraId="6064DD4F" w14:textId="77777777" w:rsidTr="002E2C37">
        <w:tc>
          <w:tcPr>
            <w:tcW w:w="5949" w:type="dxa"/>
          </w:tcPr>
          <w:p w14:paraId="2C2EBCF9"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w:t>
            </w:r>
            <w:r w:rsidRPr="0053749D">
              <w:rPr>
                <w:rFonts w:ascii="Times New Roman" w:eastAsia="Times New Roman" w:hAnsi="Times New Roman" w:cs="Times New Roman"/>
                <w:color w:val="000000"/>
                <w:sz w:val="20"/>
                <w:szCs w:val="20"/>
                <w:lang w:eastAsia="en-ZA"/>
              </w:rPr>
              <w:t>Data Deficient (DD)</w:t>
            </w:r>
          </w:p>
        </w:tc>
        <w:tc>
          <w:tcPr>
            <w:tcW w:w="3067" w:type="dxa"/>
          </w:tcPr>
          <w:p w14:paraId="18145DF2"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Medium</w:t>
            </w:r>
          </w:p>
        </w:tc>
      </w:tr>
      <w:tr w:rsidR="002D7080" w:rsidRPr="00592486" w14:paraId="2BC11930" w14:textId="77777777" w:rsidTr="002E2C37">
        <w:trPr>
          <w:trHeight w:val="70"/>
        </w:trPr>
        <w:tc>
          <w:tcPr>
            <w:tcW w:w="9016" w:type="dxa"/>
            <w:gridSpan w:val="2"/>
          </w:tcPr>
          <w:p w14:paraId="188B1C15"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color w:val="000000"/>
                <w:sz w:val="20"/>
                <w:szCs w:val="20"/>
                <w:lang w:eastAsia="en-ZA"/>
              </w:rPr>
              <w:t>No information is available to assess the level of impact.</w:t>
            </w:r>
          </w:p>
        </w:tc>
      </w:tr>
      <w:tr w:rsidR="002D7080" w:rsidRPr="00592486" w14:paraId="790258C5" w14:textId="77777777" w:rsidTr="002E2C37">
        <w:trPr>
          <w:trHeight w:val="70"/>
        </w:trPr>
        <w:tc>
          <w:tcPr>
            <w:tcW w:w="9016" w:type="dxa"/>
            <w:gridSpan w:val="2"/>
          </w:tcPr>
          <w:p w14:paraId="29F00BD3" w14:textId="77777777" w:rsidR="002D7080" w:rsidRPr="00233C97" w:rsidRDefault="002D7080" w:rsidP="002E2C37">
            <w:pPr>
              <w:ind w:left="720" w:hanging="720"/>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tc>
      </w:tr>
      <w:tr w:rsidR="002D7080" w:rsidRPr="00592486" w14:paraId="2B38CDA2" w14:textId="77777777" w:rsidTr="002E2C37">
        <w:trPr>
          <w:trHeight w:val="170"/>
        </w:trPr>
        <w:tc>
          <w:tcPr>
            <w:tcW w:w="9016" w:type="dxa"/>
            <w:gridSpan w:val="2"/>
            <w:shd w:val="clear" w:color="auto" w:fill="F2F2F2" w:themeFill="background1" w:themeFillShade="F2"/>
          </w:tcPr>
          <w:p w14:paraId="6A146377" w14:textId="77777777" w:rsidR="002D7080" w:rsidRPr="00233C97" w:rsidRDefault="002D7080" w:rsidP="002E2C37">
            <w:pPr>
              <w:rPr>
                <w:rFonts w:ascii="Times New Roman" w:hAnsi="Times New Roman" w:cs="Times New Roman"/>
                <w:lang w:val="it-IT"/>
              </w:rPr>
            </w:pPr>
            <w:r w:rsidRPr="00233C97">
              <w:rPr>
                <w:rFonts w:ascii="Times New Roman" w:eastAsia="Times New Roman" w:hAnsi="Times New Roman" w:cs="Times New Roman"/>
                <w:b/>
                <w:sz w:val="20"/>
                <w:szCs w:val="20"/>
                <w:lang w:val="it-IT" w:eastAsia="en-ZA"/>
              </w:rPr>
              <w:t xml:space="preserve">CON2 Maximum socio-economic impact </w:t>
            </w:r>
          </w:p>
        </w:tc>
      </w:tr>
      <w:tr w:rsidR="002D7080" w:rsidRPr="00592486" w14:paraId="7641F502" w14:textId="77777777" w:rsidTr="002E2C37">
        <w:trPr>
          <w:trHeight w:val="208"/>
        </w:trPr>
        <w:tc>
          <w:tcPr>
            <w:tcW w:w="5949" w:type="dxa"/>
          </w:tcPr>
          <w:p w14:paraId="3D358DED"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w:t>
            </w:r>
            <w:r w:rsidRPr="00233C97">
              <w:rPr>
                <w:rFonts w:ascii="Times New Roman" w:eastAsia="Times New Roman" w:hAnsi="Times New Roman" w:cs="Times New Roman"/>
                <w:color w:val="000000"/>
                <w:sz w:val="20"/>
                <w:szCs w:val="20"/>
                <w:lang w:eastAsia="en-ZA"/>
              </w:rPr>
              <w:t>Moderate (MO)</w:t>
            </w:r>
          </w:p>
        </w:tc>
        <w:tc>
          <w:tcPr>
            <w:tcW w:w="3067" w:type="dxa"/>
          </w:tcPr>
          <w:p w14:paraId="4A92A147"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Low</w:t>
            </w:r>
          </w:p>
        </w:tc>
      </w:tr>
      <w:tr w:rsidR="002D7080" w:rsidRPr="00592486" w14:paraId="3FE8EA58" w14:textId="77777777" w:rsidTr="002E2C37">
        <w:trPr>
          <w:trHeight w:val="70"/>
        </w:trPr>
        <w:tc>
          <w:tcPr>
            <w:tcW w:w="9016" w:type="dxa"/>
            <w:gridSpan w:val="2"/>
          </w:tcPr>
          <w:p w14:paraId="5B615439"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Rationale: </w:t>
            </w:r>
            <w:r w:rsidRPr="00233C97">
              <w:rPr>
                <w:rFonts w:ascii="Times New Roman" w:eastAsia="Times New Roman" w:hAnsi="Times New Roman" w:cs="Times New Roman"/>
                <w:i/>
                <w:color w:val="000000"/>
                <w:sz w:val="20"/>
                <w:szCs w:val="20"/>
                <w:lang w:eastAsia="en-ZA"/>
              </w:rPr>
              <w:t>Faxonius rusticus</w:t>
            </w:r>
            <w:r w:rsidRPr="00233C97">
              <w:rPr>
                <w:rFonts w:ascii="Times New Roman" w:eastAsia="Times New Roman" w:hAnsi="Times New Roman" w:cs="Times New Roman"/>
                <w:color w:val="000000"/>
                <w:sz w:val="20"/>
                <w:szCs w:val="20"/>
                <w:lang w:eastAsia="en-ZA"/>
              </w:rPr>
              <w:t xml:space="preserve"> invasions have caused disruption in recreational activities by reducing sport fish populations though egg predation and/or competition with juveniles (Keller et al. 2008). </w:t>
            </w:r>
          </w:p>
        </w:tc>
      </w:tr>
      <w:tr w:rsidR="002D7080" w:rsidRPr="00592486" w14:paraId="15F2AB34" w14:textId="77777777" w:rsidTr="002E2C37">
        <w:trPr>
          <w:trHeight w:val="70"/>
        </w:trPr>
        <w:tc>
          <w:tcPr>
            <w:tcW w:w="9016" w:type="dxa"/>
            <w:gridSpan w:val="2"/>
          </w:tcPr>
          <w:p w14:paraId="6573116D" w14:textId="77777777" w:rsidR="002D7080" w:rsidRPr="00233C97" w:rsidRDefault="002D7080" w:rsidP="002E2C37">
            <w:pPr>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0A706C2D" w14:textId="34952018" w:rsidR="002D7080" w:rsidRPr="00233C97" w:rsidRDefault="002D7080" w:rsidP="002E2C37">
            <w:pPr>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 xml:space="preserve">Keller, R.P., Frang, K. &amp; Lodge, D.M., 2008, ‘Preventing the spread of invasive species: Economic benefits of intervention guided by ecological predictions’ </w:t>
            </w:r>
            <w:r w:rsidRPr="00233C97">
              <w:rPr>
                <w:rFonts w:ascii="Times New Roman" w:eastAsia="Times New Roman" w:hAnsi="Times New Roman" w:cs="Times New Roman"/>
                <w:i/>
                <w:iCs/>
                <w:color w:val="000000"/>
                <w:sz w:val="20"/>
                <w:szCs w:val="20"/>
                <w:lang w:eastAsia="en-ZA"/>
              </w:rPr>
              <w:t>Conservation Biology</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Cs/>
                <w:color w:val="000000"/>
                <w:sz w:val="20"/>
                <w:szCs w:val="20"/>
                <w:lang w:eastAsia="en-ZA"/>
              </w:rPr>
              <w:t>22</w:t>
            </w:r>
            <w:r w:rsidRPr="00233C97">
              <w:rPr>
                <w:rFonts w:ascii="Times New Roman" w:eastAsia="Times New Roman" w:hAnsi="Times New Roman" w:cs="Times New Roman"/>
                <w:color w:val="000000"/>
                <w:sz w:val="20"/>
                <w:szCs w:val="20"/>
                <w:lang w:eastAsia="en-ZA"/>
              </w:rPr>
              <w:t xml:space="preserve">, 80–88. </w:t>
            </w:r>
            <w:hyperlink r:id="rId344" w:history="1">
              <w:r w:rsidR="00A73CBE" w:rsidRPr="00F215B9">
                <w:rPr>
                  <w:rStyle w:val="Hyperlink"/>
                  <w:rFonts w:ascii="Times New Roman" w:eastAsia="Times New Roman" w:hAnsi="Times New Roman" w:cs="Times New Roman"/>
                  <w:sz w:val="20"/>
                  <w:szCs w:val="20"/>
                  <w:lang w:eastAsia="en-ZA"/>
                </w:rPr>
                <w:t>https://doi.org/10.1111/j.1523-1739.2007.00811.x</w:t>
              </w:r>
            </w:hyperlink>
            <w:r w:rsidRPr="00233C97">
              <w:rPr>
                <w:rFonts w:ascii="Times New Roman" w:eastAsia="Times New Roman" w:hAnsi="Times New Roman" w:cs="Times New Roman"/>
                <w:color w:val="000000"/>
                <w:sz w:val="20"/>
                <w:szCs w:val="20"/>
                <w:lang w:eastAsia="en-ZA"/>
              </w:rPr>
              <w:t>.</w:t>
            </w:r>
            <w:r w:rsidR="00A73CBE">
              <w:rPr>
                <w:rFonts w:ascii="Times New Roman" w:eastAsia="Times New Roman" w:hAnsi="Times New Roman" w:cs="Times New Roman"/>
                <w:color w:val="000000"/>
                <w:sz w:val="20"/>
                <w:szCs w:val="20"/>
                <w:lang w:eastAsia="en-ZA"/>
              </w:rPr>
              <w:t xml:space="preserve"> </w:t>
            </w:r>
          </w:p>
        </w:tc>
      </w:tr>
    </w:tbl>
    <w:p w14:paraId="199EADDA" w14:textId="77777777" w:rsidR="002D7080" w:rsidRPr="00233C97" w:rsidRDefault="002D7080" w:rsidP="002D7080">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5949"/>
        <w:gridCol w:w="3067"/>
      </w:tblGrid>
      <w:tr w:rsidR="002D7080" w:rsidRPr="00592486" w14:paraId="113181A1" w14:textId="77777777" w:rsidTr="002E2C37">
        <w:trPr>
          <w:trHeight w:val="179"/>
        </w:trPr>
        <w:tc>
          <w:tcPr>
            <w:tcW w:w="9016" w:type="dxa"/>
            <w:gridSpan w:val="2"/>
            <w:shd w:val="clear" w:color="auto" w:fill="F2F2F2" w:themeFill="background1" w:themeFillShade="F2"/>
          </w:tcPr>
          <w:p w14:paraId="7780545E"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CON3 Closely related species’ environmental impact</w:t>
            </w:r>
          </w:p>
        </w:tc>
      </w:tr>
      <w:tr w:rsidR="002D7080" w:rsidRPr="00592486" w14:paraId="0AD09657" w14:textId="77777777" w:rsidTr="002E2C37">
        <w:trPr>
          <w:trHeight w:val="172"/>
        </w:trPr>
        <w:tc>
          <w:tcPr>
            <w:tcW w:w="5949" w:type="dxa"/>
          </w:tcPr>
          <w:p w14:paraId="3346AB1F"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 Not scored as CON1 scored</w:t>
            </w:r>
          </w:p>
        </w:tc>
        <w:tc>
          <w:tcPr>
            <w:tcW w:w="3067" w:type="dxa"/>
          </w:tcPr>
          <w:p w14:paraId="391F8F7E"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w:t>
            </w:r>
          </w:p>
        </w:tc>
      </w:tr>
      <w:tr w:rsidR="002D7080" w:rsidRPr="00592486" w14:paraId="2B9C8A92" w14:textId="77777777" w:rsidTr="002E2C37">
        <w:trPr>
          <w:trHeight w:val="70"/>
        </w:trPr>
        <w:tc>
          <w:tcPr>
            <w:tcW w:w="9016" w:type="dxa"/>
            <w:gridSpan w:val="2"/>
          </w:tcPr>
          <w:p w14:paraId="7F24389B"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 There is information to score CON1 so CON3 does not need to be scored as per the framework.</w:t>
            </w:r>
          </w:p>
        </w:tc>
      </w:tr>
      <w:tr w:rsidR="002D7080" w:rsidRPr="00592486" w14:paraId="61865430" w14:textId="77777777" w:rsidTr="002E2C37">
        <w:trPr>
          <w:trHeight w:val="70"/>
        </w:trPr>
        <w:tc>
          <w:tcPr>
            <w:tcW w:w="9016" w:type="dxa"/>
            <w:gridSpan w:val="2"/>
          </w:tcPr>
          <w:p w14:paraId="2F7CCB0C" w14:textId="77777777" w:rsidR="002D7080" w:rsidRPr="00233C97" w:rsidRDefault="002D7080" w:rsidP="002E2C37">
            <w:pPr>
              <w:ind w:left="720" w:hanging="720"/>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tc>
      </w:tr>
    </w:tbl>
    <w:p w14:paraId="7958A48E" w14:textId="77777777" w:rsidR="002D7080" w:rsidRPr="00233C97" w:rsidRDefault="002D7080" w:rsidP="002D7080">
      <w:pPr>
        <w:spacing w:after="0" w:line="240" w:lineRule="auto"/>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5949"/>
        <w:gridCol w:w="3067"/>
      </w:tblGrid>
      <w:tr w:rsidR="002D7080" w:rsidRPr="00592486" w14:paraId="1D3AEFB8" w14:textId="77777777" w:rsidTr="002E2C37">
        <w:trPr>
          <w:trHeight w:val="206"/>
        </w:trPr>
        <w:tc>
          <w:tcPr>
            <w:tcW w:w="9016" w:type="dxa"/>
            <w:gridSpan w:val="2"/>
            <w:shd w:val="clear" w:color="auto" w:fill="F2F2F2" w:themeFill="background1" w:themeFillShade="F2"/>
          </w:tcPr>
          <w:p w14:paraId="58ADC3BC"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CON4 Closely related species’ socio-economic impact</w:t>
            </w:r>
          </w:p>
        </w:tc>
      </w:tr>
      <w:tr w:rsidR="002D7080" w:rsidRPr="00592486" w14:paraId="7EDD97A4" w14:textId="77777777" w:rsidTr="002E2C37">
        <w:trPr>
          <w:trHeight w:val="172"/>
        </w:trPr>
        <w:tc>
          <w:tcPr>
            <w:tcW w:w="5949" w:type="dxa"/>
          </w:tcPr>
          <w:p w14:paraId="790B3950"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 Not scored as CON2 scored</w:t>
            </w:r>
          </w:p>
        </w:tc>
        <w:tc>
          <w:tcPr>
            <w:tcW w:w="3067" w:type="dxa"/>
          </w:tcPr>
          <w:p w14:paraId="3EA2993D"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w:t>
            </w:r>
          </w:p>
        </w:tc>
      </w:tr>
      <w:tr w:rsidR="002D7080" w:rsidRPr="00592486" w14:paraId="69619D18" w14:textId="77777777" w:rsidTr="002E2C37">
        <w:trPr>
          <w:trHeight w:val="70"/>
        </w:trPr>
        <w:tc>
          <w:tcPr>
            <w:tcW w:w="9016" w:type="dxa"/>
            <w:gridSpan w:val="2"/>
          </w:tcPr>
          <w:p w14:paraId="160F70A8"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 There is information to score CON2 so CON4 does not need to be scored as per the framework.</w:t>
            </w:r>
          </w:p>
        </w:tc>
      </w:tr>
      <w:tr w:rsidR="002D7080" w:rsidRPr="00592486" w14:paraId="54527A93" w14:textId="77777777" w:rsidTr="002E2C37">
        <w:trPr>
          <w:trHeight w:val="50"/>
        </w:trPr>
        <w:tc>
          <w:tcPr>
            <w:tcW w:w="9016" w:type="dxa"/>
            <w:gridSpan w:val="2"/>
          </w:tcPr>
          <w:p w14:paraId="60D4872C" w14:textId="77777777" w:rsidR="002D7080" w:rsidRPr="00233C97" w:rsidRDefault="002D7080" w:rsidP="002E2C37">
            <w:pPr>
              <w:ind w:left="720" w:hanging="720"/>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tc>
      </w:tr>
    </w:tbl>
    <w:p w14:paraId="7B354033" w14:textId="77777777" w:rsidR="002D7080" w:rsidRPr="00233C97" w:rsidRDefault="002D7080" w:rsidP="002D7080">
      <w:pPr>
        <w:spacing w:after="0" w:line="240" w:lineRule="auto"/>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5949"/>
        <w:gridCol w:w="3067"/>
      </w:tblGrid>
      <w:tr w:rsidR="002D7080" w:rsidRPr="00592486" w14:paraId="50461DB6" w14:textId="77777777" w:rsidTr="002E2C37">
        <w:trPr>
          <w:trHeight w:val="206"/>
        </w:trPr>
        <w:tc>
          <w:tcPr>
            <w:tcW w:w="9016" w:type="dxa"/>
            <w:gridSpan w:val="2"/>
            <w:shd w:val="clear" w:color="auto" w:fill="F2F2F2" w:themeFill="background1" w:themeFillShade="F2"/>
          </w:tcPr>
          <w:p w14:paraId="44ECECD2"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lastRenderedPageBreak/>
              <w:t>CON5 Potential impact</w:t>
            </w:r>
          </w:p>
        </w:tc>
      </w:tr>
      <w:tr w:rsidR="002D7080" w:rsidRPr="00592486" w14:paraId="01C9746D" w14:textId="77777777" w:rsidTr="002E2C37">
        <w:trPr>
          <w:trHeight w:val="172"/>
        </w:trPr>
        <w:tc>
          <w:tcPr>
            <w:tcW w:w="5949" w:type="dxa"/>
          </w:tcPr>
          <w:p w14:paraId="2CEEBEC3"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hAnsi="Times New Roman" w:cs="Times New Roman"/>
                <w:sz w:val="20"/>
              </w:rPr>
              <w:t>Response: Major (MR)</w:t>
            </w:r>
          </w:p>
        </w:tc>
        <w:tc>
          <w:tcPr>
            <w:tcW w:w="3067" w:type="dxa"/>
          </w:tcPr>
          <w:p w14:paraId="5E190B0A"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hAnsi="Times New Roman" w:cs="Times New Roman"/>
                <w:sz w:val="20"/>
              </w:rPr>
              <w:t>Confidence: High</w:t>
            </w:r>
          </w:p>
        </w:tc>
      </w:tr>
      <w:tr w:rsidR="002D7080" w:rsidRPr="00592486" w14:paraId="6F1BA218" w14:textId="77777777" w:rsidTr="002E2C37">
        <w:trPr>
          <w:trHeight w:val="70"/>
        </w:trPr>
        <w:tc>
          <w:tcPr>
            <w:tcW w:w="9016" w:type="dxa"/>
            <w:gridSpan w:val="2"/>
          </w:tcPr>
          <w:p w14:paraId="28841B64"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hAnsi="Times New Roman" w:cs="Times New Roman"/>
                <w:sz w:val="20"/>
              </w:rPr>
              <w:t xml:space="preserve">Rationale: </w:t>
            </w:r>
            <w:r w:rsidRPr="00233C97">
              <w:rPr>
                <w:rFonts w:ascii="Times New Roman" w:hAnsi="Times New Roman" w:cs="Times New Roman"/>
                <w:i/>
                <w:sz w:val="20"/>
              </w:rPr>
              <w:t xml:space="preserve">Faxonius rusticus </w:t>
            </w:r>
            <w:r w:rsidRPr="00233C97">
              <w:rPr>
                <w:rFonts w:ascii="Times New Roman" w:hAnsi="Times New Roman" w:cs="Times New Roman"/>
                <w:sz w:val="20"/>
              </w:rPr>
              <w:t>is known to cause impacts in introduced areas</w:t>
            </w:r>
            <w:r>
              <w:rPr>
                <w:rFonts w:ascii="Times New Roman" w:hAnsi="Times New Roman" w:cs="Times New Roman"/>
                <w:sz w:val="20"/>
              </w:rPr>
              <w:t xml:space="preserve">, mainly through competition, predation and excessive </w:t>
            </w:r>
            <w:r w:rsidRPr="00143F79">
              <w:rPr>
                <w:rFonts w:ascii="Times New Roman" w:hAnsi="Times New Roman" w:cs="Times New Roman"/>
                <w:sz w:val="20"/>
              </w:rPr>
              <w:t>grazing (Lodge</w:t>
            </w:r>
            <w:r w:rsidRPr="00DE4523">
              <w:rPr>
                <w:rFonts w:ascii="Times New Roman" w:hAnsi="Times New Roman" w:cs="Times New Roman"/>
                <w:sz w:val="20"/>
              </w:rPr>
              <w:t xml:space="preserve"> et al. 2012</w:t>
            </w:r>
            <w:r w:rsidRPr="00233C97">
              <w:rPr>
                <w:rFonts w:ascii="Times New Roman" w:hAnsi="Times New Roman" w:cs="Times New Roman"/>
                <w:sz w:val="20"/>
              </w:rPr>
              <w:t xml:space="preserve">). </w:t>
            </w:r>
            <w:r w:rsidRPr="00233C97">
              <w:rPr>
                <w:rFonts w:ascii="Times New Roman" w:hAnsi="Times New Roman" w:cs="Times New Roman"/>
                <w:i/>
                <w:sz w:val="20"/>
              </w:rPr>
              <w:t>Faxonius rusticus</w:t>
            </w:r>
            <w:r w:rsidRPr="00233C97">
              <w:rPr>
                <w:rFonts w:ascii="Times New Roman" w:hAnsi="Times New Roman" w:cs="Times New Roman"/>
                <w:sz w:val="20"/>
              </w:rPr>
              <w:t xml:space="preserve"> is highly fecund and an aggressive competitor (Garvey &amp; Stein 1993). </w:t>
            </w:r>
            <w:r w:rsidRPr="00233C97">
              <w:rPr>
                <w:rFonts w:ascii="Times New Roman" w:hAnsi="Times New Roman" w:cs="Times New Roman"/>
                <w:i/>
                <w:iCs/>
                <w:sz w:val="20"/>
              </w:rPr>
              <w:t xml:space="preserve">Faxonius rusticus </w:t>
            </w:r>
            <w:r w:rsidRPr="00233C97">
              <w:rPr>
                <w:rFonts w:ascii="Times New Roman" w:hAnsi="Times New Roman" w:cs="Times New Roman"/>
                <w:sz w:val="20"/>
              </w:rPr>
              <w:t xml:space="preserve">may out-compete native freshwater crab species in South Africa </w:t>
            </w:r>
            <w:r w:rsidRPr="00233C97">
              <w:rPr>
                <w:rFonts w:ascii="Times New Roman" w:hAnsi="Times New Roman" w:cs="Times New Roman"/>
                <w:sz w:val="20"/>
              </w:rPr>
              <w:fldChar w:fldCharType="begin" w:fldLock="1"/>
            </w:r>
            <w:r w:rsidRPr="00233C97">
              <w:rPr>
                <w:rFonts w:ascii="Times New Roman" w:hAnsi="Times New Roman" w:cs="Times New Roman"/>
                <w:sz w:val="20"/>
              </w:rPr>
              <w:instrText>ADDIN CSL_CITATION { "citationItems" : [ { "id" : "ITEM-1", "itemData" : { "DOI" : "10.1111/1365-2656.12533", "ISBN" : "1365-2656 (Electronic)\\r0021-8790 (Linking)", "ISSN" : "13652656", "PMID" : "27084460", "abstract" : "1. Invasive species are a key driver of global environmental change, with frequently strong negative consequences for native biodiversity and ecosystem processes. Understanding com- petitive interactions between invaders and functionally similar native species provides an important benchmark for predicting the consequences of invasion. However, even though having a broad dietary niche is widely considered a key factor determining invasion success, little is known about the effects of competition with functionally similar native competitors on the dietary niche breadths of invasive species. 2. We used a combination of field experiments and field surveys to examine the impacts of competition with a functionally similar native crab species on the population densities, growth rates and diet of the globally widespread invasive red swamp crayfish in an African river ecosystem. 3. The presence of native crabs triggered significant dietary niche constriction within the inva- sive crayfish population. Further, growth rates of both species were reduced significantly, and by a similar extent, in the presence of one another. In spite of this, crayfish maintained posi- tive growth rates in the presence of crabs, whereas crabs lost mass in the presence of crayfish. Consequently, over the 3-year duration of the study, crab abundance declined at those sites invaded by the crayfish, becoming locally extinct at one. 4. The invasive crayfish had a dramatic effect on ecosystem structure and functioning, halv- ing benthic invertebrate densities and increasing decomposition rates fourfold compared to the crabs. This indicates that replacement of native crabs by invasive crayfish likely alters the structure and functioning of African river ecosystems significantly. 5. This study provides a novel example of the constriction of the dietary niche of a successful invasive population in the presence of competition from a functionally similar native species. This finding highlights the importance of considering both environmental and ecological contexts in order to predict and manage the impacts of invasive species on ecosystems.", "author" : [ { "dropping-particle" : "", "family" : "Jackson", "given" : "Michelle C.", "non-dropping-particle" : "", "parse-names" : false, "suffix" : "" }, { "dropping-particle" : "", "family" : "Grey", "given" : "Jonathan", "non-dropping-particle" : "", "parse-names" : false, "suffix" : "" }, { "dropping-particle" : "", "family" : "Miller", "given" : "Katie", "non-dropping-particle" : "", "parse-names" : false, "suffix" : "" }, { "dropping-particle" : "", "family" : "Britton", "given" : "J. Robert", "non-dropping-particle" : "", "parse-names" : false, "suffix" : "" }, { "dropping-particle" : "", "family" : "Donohue", "given" : "Ian", "non-dropping-particle" : "", "parse-names" : false, "suffix" : "" } ], "container-title" : "Journal of Animal Ecology", "id" : "ITEM-1", "issued" : { "date-parts" : [ [ "2016" ] ] }, "page" : "1098-1107", "title" : "Dietary niche constriction when invaders meet natives: Evidence from freshwater decapods", "type" : "article-journal" }, "uris" : [ "http://www.mendeley.com/documents/?uuid=4d1dad2a-af96-4ee7-a254-3fb10d7453b1" ] }, { "id" : "ITEM-2", "itemData" : { "DOI" : "10.1899/12-203.1", "author" : [ { "dropping-particle" : "", "family" : "Twardochleb", "given" : "Laura A", "non-dropping-particle" : "", "parse-names" : false, "suffix" : "" }, { "dropping-particle" : "", "family" : "Olden", "given" : "Julian D", "non-dropping-particle" : "", "parse-names" : false, "suffix" : "" }, { "dropping-particle" : "", "family" : "Larson", "given" : "Eric R", "non-dropping-particle" : "", "parse-names" : false, "suffix" : "" }, { "dropping-particle" : "", "family" : "Twardochleb", "given" : "Laura A", "non-dropping-particle" : "", "parse-names" : false, "suffix" : "" }, { "dropping-particle" : "", "family" : "Olden", "given" : "Julian D", "non-dropping-particle" : "", "parse-names" : false, "suffix" : "" }, { "dropping-particle" : "", "family" : "Larson", "given" : "Eric R", "non-dropping-particle" : "", "parse-names" : false, "suffix" : "" } ], "id" : "ITEM-2", "issue" : "4", "issued" : { "date-parts" : [ [ "2018" ] ] }, "page" : "1367-1382", "title" : "A global meta-analysis of the ecological impacts of nonnative crayfish Published by : The University of Chicago Press on behalf of Society for Freshwater Science Stable URL : http://www.jstor.org/stable/10.1899/12-203.1 A global meta-analysis of the ecolo", "type" : "article-journal", "volume" : "32" }, "uris" : [ "http://www.mendeley.com/documents/?uuid=54b5a62f-259e-44a1-b335-4cbdec7c8d82" ] } ], "mendeley" : { "formattedCitation" : "(Jackson et al. 2016, Twardochleb et al. 2018)", "plainTextFormattedCitation" : "(Jackson et al. 2016, Twardochleb et al. 2018)", "previouslyFormattedCitation" : "(Jackson et al. 2016, Twardochleb et al. 2018)" }, "properties" : { "noteIndex" : 0 }, "schema" : "https://github.com/citation-style-language/schema/raw/master/csl-citation.json" }</w:instrText>
            </w:r>
            <w:r w:rsidRPr="00233C97">
              <w:rPr>
                <w:rFonts w:ascii="Times New Roman" w:hAnsi="Times New Roman" w:cs="Times New Roman"/>
                <w:sz w:val="20"/>
              </w:rPr>
              <w:fldChar w:fldCharType="separate"/>
            </w:r>
            <w:r w:rsidRPr="00233C97">
              <w:rPr>
                <w:rFonts w:ascii="Times New Roman" w:hAnsi="Times New Roman" w:cs="Times New Roman"/>
                <w:sz w:val="20"/>
              </w:rPr>
              <w:t>(Jackson et al. 2016; Twardochleb et al. 2018)</w:t>
            </w:r>
            <w:r w:rsidRPr="00233C97">
              <w:rPr>
                <w:rFonts w:ascii="Times New Roman" w:hAnsi="Times New Roman" w:cs="Times New Roman"/>
                <w:sz w:val="20"/>
              </w:rPr>
              <w:fldChar w:fldCharType="end"/>
            </w:r>
            <w:r w:rsidRPr="00233C97">
              <w:rPr>
                <w:rFonts w:ascii="Times New Roman" w:hAnsi="Times New Roman" w:cs="Times New Roman"/>
                <w:sz w:val="20"/>
              </w:rPr>
              <w:t xml:space="preserve">. Being a functional omnivore, </w:t>
            </w:r>
            <w:r w:rsidRPr="00233C97">
              <w:rPr>
                <w:rFonts w:ascii="Times New Roman" w:hAnsi="Times New Roman" w:cs="Times New Roman"/>
                <w:i/>
                <w:sz w:val="20"/>
              </w:rPr>
              <w:t>F. rusticus</w:t>
            </w:r>
            <w:r w:rsidRPr="00233C97">
              <w:rPr>
                <w:rFonts w:ascii="Times New Roman" w:hAnsi="Times New Roman" w:cs="Times New Roman"/>
                <w:sz w:val="20"/>
              </w:rPr>
              <w:t xml:space="preserve"> may also have detrimental impacts on macroinvertebrates and macrophyte communities when occurring in high densities </w:t>
            </w:r>
            <w:r w:rsidRPr="00233C97">
              <w:rPr>
                <w:rFonts w:ascii="Times New Roman" w:hAnsi="Times New Roman" w:cs="Times New Roman"/>
                <w:sz w:val="20"/>
              </w:rPr>
              <w:fldChar w:fldCharType="begin" w:fldLock="1"/>
            </w:r>
            <w:r w:rsidRPr="00233C97">
              <w:rPr>
                <w:rFonts w:ascii="Times New Roman" w:hAnsi="Times New Roman" w:cs="Times New Roman"/>
                <w:sz w:val="20"/>
              </w:rPr>
              <w:instrText>ADDIN CSL_CITATION { "citationItems" : [ { "id" : "ITEM-1", "itemData" : { "DOI" : "10.1139/f05-217", "ISBN" : "0706-652X", "ISSN" : "0706-652X", "PMID" : "732163", "abstract" : "Abstract: Crayfish often dominate freshwater ecosystems and can have strong effects on littoral habitat and biota through foraging. However, there is substantial debate regarding the trophic role of crayfish and implications of their foraging behavior on littoral ecosystems. We created a bioenergetics model for rusty crayfish (Orconectes rusticus)to determine how growth and prey choice constrain crayfish consumption, which affects littoral ecosystems. We simulated over 6400 potential rusty crayfish diets by varying the abundance of important prey. We judged how crayfish prey choice affects the amount and identity of prey that crayfish must consume to match observed growth. We compared our model predictions with stable isotope evidence from 10 northern Wisconsin lakes to determine energy sources and trophic position of rusty crayfish relative to other invertebrates. Our diet simulations and stable isotope analysis con- curred that crayfish of all ages are primarily predators. Individuals that do not feed on zoobenthos must therefore con- sume large quantities of less desirable food such as macrophytes, which are an important component of littoral habitat.", "author" : [ { "dropping-particle" : "", "family" : "Roth", "given" : "Brian M", "non-dropping-particle" : "", "parse-names" : false, "suffix" : "" }, { "dropping-particle" : "", "family" : "Hein", "given" : "Catherine L", "non-dropping-particle" : "", "parse-names" : false, "suffix" : "" }, { "dropping-particle" : "", "family" : "Zanden", "given" : "M Jake", "non-dropping-particle" : "Vander", "parse-names" : false, "suffix" : "" } ], "container-title" : "Canadian Journal of Fisheries and Aquatic Sciences", "id" : "ITEM-1", "issue" : "2", "issued" : { "date-parts" : [ [ "2006" ] ] }, "page" : "335-344", "title" : "Using bioenergetics and stable isotopes to assess the trophic role of rusty crayfish ( &lt;i&gt;Orconectes rusticus&lt;/i&gt; ) in lake littoral zones", "type" : "article-journal", "volume" : "63" }, "uris" : [ "http://www.mendeley.com/documents/?uuid=c0f0f0ad-f2ea-42b0-91ff-4710ba5c445d" ] }, { "id" : "ITEM-2", "itemData" : { "author" : [ { "dropping-particle" : "", "family" : "Wilson", "given" : "Karen A", "non-dropping-particle" : "", "parse-names" : false, "suffix" : "" }, { "dropping-particle" : "", "family" : "Magnuson", "given" : "John J", "non-dropping-particle" : "", "parse-names" : false, "suffix" : "" }, { "dropping-particle" : "", "family" : "Lodge", "given" : "David M", "non-dropping-particle" : "", "parse-names" : false, "suffix" : "" }, { "dropping-particle" : "", "family" : "Hill", "given" : "Anna M", "non-dropping-particle" : "", "parse-names" : false, "suffix" : "" } ], "id" : "ITEM-2", "issued" : { "date-parts" : [ [ "2004" ] ] }, "title" : "A long-term rusty crayfish ( Orconectes rusticus ) invasion : dispersal patterns ...", "type" : "article-journal" }, "uris" : [ "http://www.mendeley.com/documents/?uuid=9c7afb1b-2608-44a3-b11e-dde6213197d8" ] } ], "mendeley" : { "formattedCitation" : "(Wilson et al. 2004, Roth et al. 2006)", "plainTextFormattedCitation" : "(Wilson et al. 2004, Roth et al. 2006)", "previouslyFormattedCitation" : "(Wilson et al. 2004, Roth et al. 2006)" }, "properties" : { "noteIndex" : 0 }, "schema" : "https://github.com/citation-style-language/schema/raw/master/csl-citation.json" }</w:instrText>
            </w:r>
            <w:r w:rsidRPr="00233C97">
              <w:rPr>
                <w:rFonts w:ascii="Times New Roman" w:hAnsi="Times New Roman" w:cs="Times New Roman"/>
                <w:sz w:val="20"/>
              </w:rPr>
              <w:fldChar w:fldCharType="separate"/>
            </w:r>
            <w:r w:rsidRPr="00233C97">
              <w:rPr>
                <w:rFonts w:ascii="Times New Roman" w:hAnsi="Times New Roman" w:cs="Times New Roman"/>
                <w:sz w:val="20"/>
              </w:rPr>
              <w:t>(Wilson et al. 2004; Roth et al. 2006)</w:t>
            </w:r>
            <w:r w:rsidRPr="00233C97">
              <w:rPr>
                <w:rFonts w:ascii="Times New Roman" w:hAnsi="Times New Roman" w:cs="Times New Roman"/>
                <w:sz w:val="20"/>
              </w:rPr>
              <w:fldChar w:fldCharType="end"/>
            </w:r>
            <w:r w:rsidRPr="00233C97">
              <w:rPr>
                <w:rFonts w:ascii="Times New Roman" w:hAnsi="Times New Roman" w:cs="Times New Roman"/>
                <w:sz w:val="20"/>
              </w:rPr>
              <w:t xml:space="preserve">. </w:t>
            </w:r>
            <w:r w:rsidRPr="00233C97">
              <w:rPr>
                <w:rFonts w:ascii="Times New Roman" w:hAnsi="Times New Roman" w:cs="Times New Roman"/>
                <w:i/>
                <w:sz w:val="20"/>
              </w:rPr>
              <w:t>Faxonius rusticus</w:t>
            </w:r>
            <w:r w:rsidRPr="00233C97">
              <w:rPr>
                <w:rFonts w:ascii="Times New Roman" w:hAnsi="Times New Roman" w:cs="Times New Roman"/>
                <w:sz w:val="20"/>
              </w:rPr>
              <w:t xml:space="preserve"> can reduce invertebrate communities, changing their composition in invaded areas (Klocker &amp; Strayer 2004; Johnson et al. 2009). Furthermore, being a </w:t>
            </w:r>
            <w:r w:rsidRPr="00143F79">
              <w:rPr>
                <w:rFonts w:ascii="Times New Roman" w:hAnsi="Times New Roman" w:cs="Times New Roman"/>
                <w:sz w:val="20"/>
              </w:rPr>
              <w:t xml:space="preserve">vector for the crayfish </w:t>
            </w:r>
            <w:r w:rsidRPr="00233C97">
              <w:rPr>
                <w:rFonts w:ascii="Times New Roman" w:hAnsi="Times New Roman" w:cs="Times New Roman"/>
                <w:sz w:val="20"/>
              </w:rPr>
              <w:t xml:space="preserve">plague is another cause of concern, as it may be transferable and could be detrimental to native freshwater crustaceans in South Africa </w:t>
            </w:r>
            <w:r w:rsidRPr="00233C97">
              <w:rPr>
                <w:rFonts w:ascii="Times New Roman" w:hAnsi="Times New Roman" w:cs="Times New Roman"/>
                <w:sz w:val="20"/>
              </w:rPr>
              <w:fldChar w:fldCharType="begin" w:fldLock="1"/>
            </w:r>
            <w:r w:rsidRPr="00233C97">
              <w:rPr>
                <w:rFonts w:ascii="Times New Roman" w:hAnsi="Times New Roman" w:cs="Times New Roman"/>
                <w:sz w:val="20"/>
              </w:rPr>
              <w:instrText>ADDIN CSL_CITATION { "citationItems" : [ { "id" : "ITEM-1", "itemData" : { "DOI" : "10.1899/12-203.1", "ISSN" : "2161-9549", "abstract" : "Nonnative crayfish have been widely introduced and are a major threat to freshwater biodiversity and ecosystem functioning. Despite documentation of the ecological effects of nonnative crayfish from &gt;3 decades of case studies, no comprehensive synthesis has been done to test quantitatively for their general or species-specific effects on recipient ecosystems. We provide the first global meta-analysis of the ecological effects of nonnative crayfish under experimental settings to compare effects among species and across levels of ecological organization. Our meta-analysis revealed strong, but variable, negative ecological impacts of nonnative crayfish with strikingly consistent effects among introduced species. In experimental settings, nonnative crayfish generally affect all levels of freshwater food webs. Nonnative crayfish reduce the abundance of basal resources like aquatic macrophytes, prey on invertebrates like snails and mayflies, and reduce abundances and growth of amphibians and fish, but they do not consistently increase algal biomass. Nonnative crayfish tend to have larger positive effects on growth of algae and larger negative effects on invertebrates and fish than native crayfish, but effect sizes vary considerably. Our study supports the assessment of crayfish as strong interactors in food webs that have significant effects across native taxa via polytrophic, generalist feeding habits. Nonnative crayfish species identity may be less important than extrinsic attributes of the recipient ecosystems in determining effects of nonnative crayfish. We identify some understudied and emerging nonnative crayfish that should be studied further and suggest expanding research to encompass more comparisons of native vs nonnative crayfish and different geographic regions. The consistent and general negative effects of nonnative crayfish warrant efforts to discourage their introduction beyond native ranges.", "author" : [ { "dropping-particle" : "", "family" : "Twardochleb", "given" : "Laura A.", "non-dropping-particle" : "", "parse-names" : false, "suffix" : "" }, { "dropping-particle" : "", "family" : "Olden", "given" : "Julian D.", "non-dropping-particle" : "", "parse-names" : false, "suffix" : "" }, { "dropping-particle" : "", "family" : "Larson", "given" : "Eric R.", "non-dropping-particle" : "", "parse-names" : false, "suffix" : "" } ], "container-title" : "Freshwater Science", "id" : "ITEM-1", "issue" : "4", "issued" : { "date-parts" : [ [ "2013" ] ] }, "page" : "1367-1382", "title" : "A global meta-analysis of the ecological impacts of nonnative crayfish", "type" : "article-journal", "volume" : "32" }, "uris" : [ "http://www.mendeley.com/documents/?uuid=aa454fc3-ac9d-49d7-8e94-5b2e5f824a0e" ] } ], "mendeley" : { "formattedCitation" : "(Twardochleb et al. 2013)", "plainTextFormattedCitation" : "(Twardochleb et al. 2013)", "previouslyFormattedCitation" : "(Twardochleb et al. 2013)" }, "properties" : { "noteIndex" : 0 }, "schema" : "https://github.com/citation-style-language/schema/raw/master/csl-citation.json" }</w:instrText>
            </w:r>
            <w:r w:rsidRPr="00233C97">
              <w:rPr>
                <w:rFonts w:ascii="Times New Roman" w:hAnsi="Times New Roman" w:cs="Times New Roman"/>
                <w:sz w:val="20"/>
              </w:rPr>
              <w:fldChar w:fldCharType="separate"/>
            </w:r>
            <w:r w:rsidRPr="00233C97">
              <w:rPr>
                <w:rFonts w:ascii="Times New Roman" w:hAnsi="Times New Roman" w:cs="Times New Roman"/>
                <w:sz w:val="20"/>
              </w:rPr>
              <w:t>(Twardochleb et al. 2013</w:t>
            </w:r>
            <w:r>
              <w:rPr>
                <w:rFonts w:ascii="Times New Roman" w:hAnsi="Times New Roman" w:cs="Times New Roman"/>
                <w:sz w:val="20"/>
              </w:rPr>
              <w:t xml:space="preserve">; </w:t>
            </w:r>
            <w:r w:rsidRPr="00233C97">
              <w:rPr>
                <w:rFonts w:ascii="Times New Roman" w:eastAsia="Times New Roman" w:hAnsi="Times New Roman" w:cs="Times New Roman"/>
                <w:sz w:val="20"/>
                <w:szCs w:val="20"/>
                <w:lang w:eastAsia="en-ZA"/>
              </w:rPr>
              <w:t xml:space="preserve">Panteleit </w:t>
            </w:r>
            <w:r>
              <w:rPr>
                <w:rFonts w:ascii="Times New Roman" w:eastAsia="Times New Roman" w:hAnsi="Times New Roman" w:cs="Times New Roman"/>
                <w:sz w:val="20"/>
                <w:szCs w:val="20"/>
                <w:lang w:eastAsia="en-ZA"/>
              </w:rPr>
              <w:t>et al. 2019; Butler et al. 2020</w:t>
            </w:r>
            <w:r w:rsidRPr="00233C97">
              <w:rPr>
                <w:rFonts w:ascii="Times New Roman" w:hAnsi="Times New Roman" w:cs="Times New Roman"/>
                <w:sz w:val="20"/>
              </w:rPr>
              <w:t>)</w:t>
            </w:r>
            <w:r w:rsidRPr="00233C97">
              <w:rPr>
                <w:rFonts w:ascii="Times New Roman" w:hAnsi="Times New Roman" w:cs="Times New Roman"/>
                <w:sz w:val="20"/>
              </w:rPr>
              <w:fldChar w:fldCharType="end"/>
            </w:r>
            <w:r w:rsidRPr="00233C97">
              <w:rPr>
                <w:rFonts w:ascii="Times New Roman" w:hAnsi="Times New Roman" w:cs="Times New Roman"/>
                <w:sz w:val="20"/>
              </w:rPr>
              <w:t xml:space="preserve">. Although </w:t>
            </w:r>
            <w:r w:rsidRPr="00233C97">
              <w:rPr>
                <w:rFonts w:ascii="Times New Roman" w:hAnsi="Times New Roman" w:cs="Times New Roman"/>
                <w:i/>
                <w:sz w:val="20"/>
              </w:rPr>
              <w:t>F. rusticus</w:t>
            </w:r>
            <w:r w:rsidRPr="00233C97">
              <w:rPr>
                <w:rFonts w:ascii="Times New Roman" w:hAnsi="Times New Roman" w:cs="Times New Roman"/>
                <w:sz w:val="20"/>
              </w:rPr>
              <w:t xml:space="preserve"> has not been implicated as an active vector, all north American crayfish are immune to the disease and can easily infect other species. </w:t>
            </w:r>
          </w:p>
        </w:tc>
      </w:tr>
      <w:tr w:rsidR="002D7080" w:rsidRPr="00592486" w14:paraId="68CB37BF" w14:textId="77777777" w:rsidTr="002E2C37">
        <w:trPr>
          <w:cantSplit/>
          <w:trHeight w:val="70"/>
        </w:trPr>
        <w:tc>
          <w:tcPr>
            <w:tcW w:w="9016" w:type="dxa"/>
            <w:gridSpan w:val="2"/>
          </w:tcPr>
          <w:p w14:paraId="1226709A" w14:textId="77777777" w:rsidR="002D7080" w:rsidRPr="00233C97" w:rsidRDefault="002D7080" w:rsidP="002E2C37">
            <w:pPr>
              <w:rPr>
                <w:rFonts w:ascii="Times New Roman" w:hAnsi="Times New Roman" w:cs="Times New Roman"/>
                <w:sz w:val="20"/>
                <w:szCs w:val="20"/>
              </w:rPr>
            </w:pPr>
            <w:r w:rsidRPr="00233C97">
              <w:rPr>
                <w:rFonts w:ascii="Times New Roman" w:hAnsi="Times New Roman" w:cs="Times New Roman"/>
                <w:sz w:val="20"/>
                <w:szCs w:val="20"/>
              </w:rPr>
              <w:t>References:</w:t>
            </w:r>
          </w:p>
          <w:p w14:paraId="67BA7D6A" w14:textId="77777777" w:rsidR="002D7080" w:rsidRPr="00233C97" w:rsidRDefault="002D7080" w:rsidP="002E2C37">
            <w:pPr>
              <w:ind w:left="720" w:hanging="720"/>
              <w:contextualSpacing/>
              <w:jc w:val="both"/>
              <w:rPr>
                <w:rFonts w:ascii="Times New Roman" w:hAnsi="Times New Roman" w:cs="Times New Roman"/>
                <w:color w:val="000000"/>
                <w:sz w:val="20"/>
                <w:szCs w:val="20"/>
              </w:rPr>
            </w:pPr>
            <w:r w:rsidRPr="00233C97">
              <w:rPr>
                <w:rFonts w:ascii="Times New Roman" w:hAnsi="Times New Roman" w:cs="Times New Roman"/>
                <w:color w:val="000000"/>
                <w:sz w:val="20"/>
                <w:szCs w:val="20"/>
              </w:rPr>
              <w:t xml:space="preserve">Butler, E., P. Crigler, G. Robbins, </w:t>
            </w:r>
            <w:r>
              <w:rPr>
                <w:rFonts w:ascii="Times New Roman" w:hAnsi="Times New Roman" w:cs="Times New Roman"/>
                <w:color w:val="000000"/>
                <w:sz w:val="20"/>
                <w:szCs w:val="20"/>
              </w:rPr>
              <w:t xml:space="preserve">&amp; </w:t>
            </w:r>
            <w:r w:rsidRPr="00233C97">
              <w:rPr>
                <w:rFonts w:ascii="Times New Roman" w:hAnsi="Times New Roman" w:cs="Times New Roman"/>
                <w:color w:val="000000"/>
                <w:sz w:val="20"/>
                <w:szCs w:val="20"/>
              </w:rPr>
              <w:t>Blair</w:t>
            </w:r>
            <w:r>
              <w:rPr>
                <w:rFonts w:ascii="Times New Roman" w:hAnsi="Times New Roman" w:cs="Times New Roman"/>
                <w:color w:val="000000"/>
                <w:sz w:val="20"/>
                <w:szCs w:val="20"/>
              </w:rPr>
              <w:t>, B.E</w:t>
            </w:r>
            <w:r w:rsidRPr="00233C97">
              <w:rPr>
                <w:rFonts w:ascii="Times New Roman" w:hAnsi="Times New Roman" w:cs="Times New Roman"/>
                <w:color w:val="000000"/>
                <w:sz w:val="20"/>
                <w:szCs w:val="20"/>
              </w:rPr>
              <w:t>.</w:t>
            </w:r>
            <w:r>
              <w:rPr>
                <w:rFonts w:ascii="Times New Roman" w:hAnsi="Times New Roman" w:cs="Times New Roman"/>
                <w:color w:val="000000"/>
                <w:sz w:val="20"/>
                <w:szCs w:val="20"/>
              </w:rPr>
              <w:t>,</w:t>
            </w:r>
            <w:r w:rsidRPr="00233C97">
              <w:rPr>
                <w:rFonts w:ascii="Times New Roman" w:hAnsi="Times New Roman" w:cs="Times New Roman"/>
                <w:color w:val="000000"/>
                <w:sz w:val="20"/>
                <w:szCs w:val="20"/>
              </w:rPr>
              <w:t xml:space="preserve"> 2020</w:t>
            </w:r>
            <w:r>
              <w:rPr>
                <w:rFonts w:ascii="Times New Roman" w:hAnsi="Times New Roman" w:cs="Times New Roman"/>
                <w:color w:val="000000"/>
                <w:sz w:val="20"/>
                <w:szCs w:val="20"/>
              </w:rPr>
              <w:t>, ‘</w:t>
            </w:r>
            <w:r w:rsidRPr="00233C97">
              <w:rPr>
                <w:rFonts w:ascii="Times New Roman" w:hAnsi="Times New Roman" w:cs="Times New Roman"/>
                <w:color w:val="000000"/>
                <w:sz w:val="20"/>
                <w:szCs w:val="20"/>
              </w:rPr>
              <w:t>Preliminary survey of </w:t>
            </w:r>
            <w:r w:rsidRPr="00233C97">
              <w:rPr>
                <w:rStyle w:val="Emphasis"/>
                <w:rFonts w:ascii="Times New Roman" w:hAnsi="Times New Roman" w:cs="Times New Roman"/>
                <w:color w:val="000000"/>
                <w:sz w:val="20"/>
                <w:szCs w:val="20"/>
              </w:rPr>
              <w:t>Aphanomyces</w:t>
            </w:r>
            <w:r w:rsidRPr="00233C97">
              <w:rPr>
                <w:rFonts w:ascii="Times New Roman" w:hAnsi="Times New Roman" w:cs="Times New Roman"/>
                <w:color w:val="000000"/>
                <w:sz w:val="20"/>
                <w:szCs w:val="20"/>
              </w:rPr>
              <w:t> sp. associated with native and invasive crayfish in the lower Susquehanna watershed of south central Pennsylvania</w:t>
            </w:r>
            <w:r>
              <w:rPr>
                <w:rFonts w:ascii="Times New Roman" w:hAnsi="Times New Roman" w:cs="Times New Roman"/>
                <w:color w:val="000000"/>
                <w:sz w:val="20"/>
                <w:szCs w:val="20"/>
              </w:rPr>
              <w:t>’,</w:t>
            </w:r>
            <w:r w:rsidRPr="00233C97">
              <w:rPr>
                <w:rFonts w:ascii="Times New Roman" w:hAnsi="Times New Roman" w:cs="Times New Roman"/>
                <w:color w:val="000000"/>
                <w:sz w:val="20"/>
                <w:szCs w:val="20"/>
              </w:rPr>
              <w:t xml:space="preserve"> </w:t>
            </w:r>
            <w:r w:rsidRPr="005C13E2">
              <w:rPr>
                <w:rFonts w:ascii="Times New Roman" w:hAnsi="Times New Roman" w:cs="Times New Roman"/>
                <w:i/>
                <w:iCs/>
                <w:color w:val="000000"/>
                <w:sz w:val="20"/>
                <w:szCs w:val="20"/>
              </w:rPr>
              <w:t>Journal of Freshwater Ecology</w:t>
            </w:r>
            <w:r w:rsidRPr="00233C97">
              <w:rPr>
                <w:rFonts w:ascii="Times New Roman" w:hAnsi="Times New Roman" w:cs="Times New Roman"/>
                <w:color w:val="000000"/>
                <w:sz w:val="20"/>
                <w:szCs w:val="20"/>
              </w:rPr>
              <w:t xml:space="preserve"> 35(1)</w:t>
            </w:r>
            <w:r>
              <w:rPr>
                <w:rFonts w:ascii="Times New Roman" w:hAnsi="Times New Roman" w:cs="Times New Roman"/>
                <w:color w:val="000000"/>
                <w:sz w:val="20"/>
                <w:szCs w:val="20"/>
              </w:rPr>
              <w:t xml:space="preserve">, </w:t>
            </w:r>
            <w:r w:rsidRPr="00233C97">
              <w:rPr>
                <w:rFonts w:ascii="Times New Roman" w:hAnsi="Times New Roman" w:cs="Times New Roman"/>
                <w:color w:val="000000"/>
                <w:sz w:val="20"/>
                <w:szCs w:val="20"/>
              </w:rPr>
              <w:t xml:space="preserve">223-233. </w:t>
            </w:r>
            <w:hyperlink w:history="1">
              <w:r w:rsidRPr="00233C97">
                <w:rPr>
                  <w:rStyle w:val="Hyperlink"/>
                  <w:rFonts w:ascii="Times New Roman" w:hAnsi="Times New Roman" w:cs="Times New Roman"/>
                  <w:sz w:val="20"/>
                  <w:szCs w:val="20"/>
                </w:rPr>
                <w:t>https://doi.org/10.1080/02705060.2020.1779141</w:t>
              </w:r>
            </w:hyperlink>
            <w:r w:rsidRPr="00233C97">
              <w:rPr>
                <w:rFonts w:ascii="Times New Roman" w:hAnsi="Times New Roman" w:cs="Times New Roman"/>
                <w:color w:val="000000"/>
                <w:sz w:val="20"/>
                <w:szCs w:val="20"/>
              </w:rPr>
              <w:t>.</w:t>
            </w:r>
          </w:p>
          <w:p w14:paraId="786A318F" w14:textId="0C5F91D3" w:rsidR="002D7080" w:rsidRPr="00233C97"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color w:val="000000"/>
                <w:sz w:val="20"/>
                <w:szCs w:val="20"/>
                <w:lang w:eastAsia="en-ZA"/>
              </w:rPr>
              <w:t>Garvey, J.E. &amp; Stein, R.A, 1993, ‘Evaluating how chela size influences the invasion potential of an introduced crayfish (</w:t>
            </w:r>
            <w:r w:rsidRPr="00233C97">
              <w:rPr>
                <w:rFonts w:ascii="Times New Roman" w:eastAsia="Times New Roman" w:hAnsi="Times New Roman" w:cs="Times New Roman"/>
                <w:i/>
                <w:color w:val="000000"/>
                <w:sz w:val="20"/>
                <w:szCs w:val="20"/>
                <w:lang w:eastAsia="en-ZA"/>
              </w:rPr>
              <w:t>Orconectes rusticus</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
                <w:iCs/>
                <w:color w:val="000000"/>
                <w:sz w:val="20"/>
                <w:szCs w:val="20"/>
                <w:lang w:eastAsia="en-ZA"/>
              </w:rPr>
              <w:t>American Midland Naturalist 129,</w:t>
            </w:r>
            <w:r w:rsidRPr="00233C97">
              <w:rPr>
                <w:rFonts w:ascii="Times New Roman" w:eastAsia="Times New Roman" w:hAnsi="Times New Roman" w:cs="Times New Roman"/>
                <w:color w:val="000000"/>
                <w:sz w:val="20"/>
                <w:szCs w:val="20"/>
                <w:lang w:eastAsia="en-ZA"/>
              </w:rPr>
              <w:t xml:space="preserve"> 172–181. </w:t>
            </w:r>
            <w:hyperlink r:id="rId345" w:history="1">
              <w:r w:rsidR="00A73CBE" w:rsidRPr="00A73CBE">
                <w:rPr>
                  <w:rStyle w:val="Hyperlink"/>
                  <w:rFonts w:ascii="Times New Roman" w:eastAsia="Times New Roman" w:hAnsi="Times New Roman" w:cs="Times New Roman"/>
                  <w:sz w:val="20"/>
                  <w:szCs w:val="20"/>
                  <w:lang w:eastAsia="en-ZA"/>
                </w:rPr>
                <w:t>https://doi.org/10.1046/j.1523-1739.1996.10041155.x</w:t>
              </w:r>
            </w:hyperlink>
            <w:r w:rsidRPr="00233C97">
              <w:rPr>
                <w:rFonts w:ascii="Times New Roman" w:eastAsia="Times New Roman" w:hAnsi="Times New Roman" w:cs="Times New Roman"/>
                <w:color w:val="000000"/>
                <w:sz w:val="20"/>
                <w:szCs w:val="20"/>
                <w:lang w:eastAsia="en-ZA"/>
              </w:rPr>
              <w:t>.</w:t>
            </w:r>
          </w:p>
          <w:p w14:paraId="1CFC23ED" w14:textId="496A0A5E" w:rsidR="002D7080" w:rsidRPr="00233C97" w:rsidRDefault="002D7080" w:rsidP="002E2C37">
            <w:pPr>
              <w:ind w:left="720" w:hanging="720"/>
              <w:contextualSpacing/>
              <w:jc w:val="both"/>
              <w:rPr>
                <w:rFonts w:ascii="Times New Roman" w:hAnsi="Times New Roman" w:cs="Times New Roman"/>
                <w:sz w:val="20"/>
                <w:szCs w:val="20"/>
              </w:rPr>
            </w:pPr>
            <w:r w:rsidRPr="00233C97">
              <w:rPr>
                <w:rFonts w:ascii="Times New Roman" w:hAnsi="Times New Roman" w:cs="Times New Roman"/>
                <w:sz w:val="20"/>
                <w:szCs w:val="20"/>
              </w:rPr>
              <w:t xml:space="preserve">Holdich, D.M. &amp; Reeve, I.D., 1991, ‘Distribution of freshwater crayfish in the British Isles, with particular reference to crayfish plague, alien introductions and water quality’, </w:t>
            </w:r>
            <w:r w:rsidRPr="00233C97">
              <w:rPr>
                <w:rFonts w:ascii="Times New Roman" w:hAnsi="Times New Roman" w:cs="Times New Roman"/>
                <w:i/>
                <w:iCs/>
                <w:sz w:val="20"/>
                <w:szCs w:val="20"/>
              </w:rPr>
              <w:t>Aquatic Conservation: Marine and Freshwater Ecosystems</w:t>
            </w:r>
            <w:r w:rsidRPr="00233C97">
              <w:rPr>
                <w:rFonts w:ascii="Times New Roman" w:hAnsi="Times New Roman" w:cs="Times New Roman"/>
                <w:sz w:val="20"/>
                <w:szCs w:val="20"/>
              </w:rPr>
              <w:t xml:space="preserve"> </w:t>
            </w:r>
            <w:r w:rsidRPr="00233C97">
              <w:rPr>
                <w:rFonts w:ascii="Times New Roman" w:hAnsi="Times New Roman" w:cs="Times New Roman"/>
                <w:iCs/>
                <w:sz w:val="20"/>
                <w:szCs w:val="20"/>
              </w:rPr>
              <w:t>1,</w:t>
            </w:r>
            <w:r w:rsidRPr="00233C97">
              <w:rPr>
                <w:rFonts w:ascii="Times New Roman" w:hAnsi="Times New Roman" w:cs="Times New Roman"/>
                <w:sz w:val="20"/>
                <w:szCs w:val="20"/>
              </w:rPr>
              <w:t xml:space="preserve"> 139–158. </w:t>
            </w:r>
            <w:r w:rsidR="00A73CBE" w:rsidRPr="00A73CBE">
              <w:rPr>
                <w:rFonts w:ascii="Times New Roman" w:hAnsi="Times New Roman" w:cs="Times New Roman"/>
                <w:sz w:val="20"/>
                <w:szCs w:val="20"/>
              </w:rPr>
              <w:t>https://doi.org/10.1002/aqc.3270010204</w:t>
            </w:r>
            <w:r w:rsidRPr="00233C97">
              <w:rPr>
                <w:rFonts w:ascii="Times New Roman" w:hAnsi="Times New Roman" w:cs="Times New Roman"/>
                <w:sz w:val="20"/>
                <w:szCs w:val="20"/>
              </w:rPr>
              <w:t>.</w:t>
            </w:r>
          </w:p>
          <w:p w14:paraId="0FFB0102" w14:textId="041C9344" w:rsidR="002D7080" w:rsidRPr="00233C97" w:rsidRDefault="002D7080" w:rsidP="002E2C37">
            <w:pPr>
              <w:ind w:left="720" w:hanging="720"/>
              <w:contextualSpacing/>
              <w:jc w:val="both"/>
              <w:rPr>
                <w:rFonts w:ascii="Times New Roman" w:hAnsi="Times New Roman" w:cs="Times New Roman"/>
                <w:sz w:val="20"/>
                <w:szCs w:val="20"/>
              </w:rPr>
            </w:pPr>
            <w:r w:rsidRPr="00233C97">
              <w:rPr>
                <w:rFonts w:ascii="Times New Roman" w:eastAsia="Times New Roman" w:hAnsi="Times New Roman" w:cs="Times New Roman"/>
                <w:color w:val="000000"/>
                <w:sz w:val="20"/>
                <w:szCs w:val="20"/>
                <w:lang w:eastAsia="en-ZA"/>
              </w:rPr>
              <w:t xml:space="preserve">Johnson, P.T., Olden, J.D., Solomon, C.T. &amp; Vander Zanden, M.J., 2009, ‘Interactions among Invaders: Community and ecosystem effects of multiple invasive species in an experimental aquatic system’, </w:t>
            </w:r>
            <w:r w:rsidRPr="00233C97">
              <w:rPr>
                <w:rFonts w:ascii="Times New Roman" w:eastAsia="Times New Roman" w:hAnsi="Times New Roman" w:cs="Times New Roman"/>
                <w:i/>
                <w:iCs/>
                <w:color w:val="000000"/>
                <w:sz w:val="20"/>
                <w:szCs w:val="20"/>
                <w:lang w:eastAsia="en-ZA"/>
              </w:rPr>
              <w:t>Oecologia</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Cs/>
                <w:color w:val="000000"/>
                <w:sz w:val="20"/>
                <w:szCs w:val="20"/>
                <w:lang w:eastAsia="en-ZA"/>
              </w:rPr>
              <w:t>159</w:t>
            </w:r>
            <w:r w:rsidRPr="00233C97">
              <w:rPr>
                <w:rFonts w:ascii="Times New Roman" w:eastAsia="Times New Roman" w:hAnsi="Times New Roman" w:cs="Times New Roman"/>
                <w:color w:val="000000"/>
                <w:sz w:val="20"/>
                <w:szCs w:val="20"/>
                <w:lang w:eastAsia="en-ZA"/>
              </w:rPr>
              <w:t xml:space="preserve">, 161–170. </w:t>
            </w:r>
            <w:hyperlink r:id="rId346" w:history="1">
              <w:r w:rsidR="00A73CBE" w:rsidRPr="00F215B9">
                <w:rPr>
                  <w:rStyle w:val="Hyperlink"/>
                  <w:rFonts w:ascii="Times New Roman" w:eastAsia="Times New Roman" w:hAnsi="Times New Roman" w:cs="Times New Roman"/>
                  <w:sz w:val="20"/>
                  <w:szCs w:val="20"/>
                  <w:lang w:eastAsia="en-ZA"/>
                </w:rPr>
                <w:t>https://doi.org/10.1007/s00442-008-1176-x</w:t>
              </w:r>
            </w:hyperlink>
            <w:r w:rsidR="00A73CBE">
              <w:rPr>
                <w:rFonts w:ascii="Times New Roman" w:eastAsia="Times New Roman" w:hAnsi="Times New Roman" w:cs="Times New Roman"/>
                <w:color w:val="000000"/>
                <w:sz w:val="20"/>
                <w:szCs w:val="20"/>
                <w:lang w:eastAsia="en-ZA"/>
              </w:rPr>
              <w:t xml:space="preserve"> </w:t>
            </w:r>
          </w:p>
          <w:p w14:paraId="2B626F43" w14:textId="77777777" w:rsidR="002D7080" w:rsidRPr="00233C97"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color w:val="000000"/>
                <w:sz w:val="20"/>
                <w:szCs w:val="20"/>
                <w:lang w:eastAsia="en-ZA"/>
              </w:rPr>
              <w:t>Klocker, C.A. &amp; Strayer, D.L., 2004, ‘Interactions among an invasive crayfish (</w:t>
            </w:r>
            <w:r w:rsidRPr="00233C97">
              <w:rPr>
                <w:rFonts w:ascii="Times New Roman" w:eastAsia="Times New Roman" w:hAnsi="Times New Roman" w:cs="Times New Roman"/>
                <w:i/>
                <w:color w:val="000000"/>
                <w:sz w:val="20"/>
                <w:szCs w:val="20"/>
                <w:lang w:eastAsia="en-ZA"/>
              </w:rPr>
              <w:t>Orconectes rusticus</w:t>
            </w:r>
            <w:r w:rsidRPr="00233C97">
              <w:rPr>
                <w:rFonts w:ascii="Times New Roman" w:eastAsia="Times New Roman" w:hAnsi="Times New Roman" w:cs="Times New Roman"/>
                <w:color w:val="000000"/>
                <w:sz w:val="20"/>
                <w:szCs w:val="20"/>
                <w:lang w:eastAsia="en-ZA"/>
              </w:rPr>
              <w:t>), a native crayfish (</w:t>
            </w:r>
            <w:r w:rsidRPr="00233C97">
              <w:rPr>
                <w:rFonts w:ascii="Times New Roman" w:eastAsia="Times New Roman" w:hAnsi="Times New Roman" w:cs="Times New Roman"/>
                <w:i/>
                <w:color w:val="000000"/>
                <w:sz w:val="20"/>
                <w:szCs w:val="20"/>
                <w:lang w:eastAsia="en-ZA"/>
              </w:rPr>
              <w:t>Orconectes limosus</w:t>
            </w:r>
            <w:r w:rsidRPr="00233C97">
              <w:rPr>
                <w:rFonts w:ascii="Times New Roman" w:eastAsia="Times New Roman" w:hAnsi="Times New Roman" w:cs="Times New Roman"/>
                <w:color w:val="000000"/>
                <w:sz w:val="20"/>
                <w:szCs w:val="20"/>
                <w:lang w:eastAsia="en-ZA"/>
              </w:rPr>
              <w:t xml:space="preserve">), and native bivalves (Sphaeriidae and Unionidae)’, </w:t>
            </w:r>
            <w:r w:rsidRPr="00233C97">
              <w:rPr>
                <w:rFonts w:ascii="Times New Roman" w:eastAsia="Times New Roman" w:hAnsi="Times New Roman" w:cs="Times New Roman"/>
                <w:i/>
                <w:iCs/>
                <w:color w:val="000000"/>
                <w:sz w:val="20"/>
                <w:szCs w:val="20"/>
                <w:lang w:eastAsia="en-ZA"/>
              </w:rPr>
              <w:t>Northeastern Naturalist</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Cs/>
                <w:color w:val="000000"/>
                <w:sz w:val="20"/>
                <w:szCs w:val="20"/>
                <w:lang w:eastAsia="en-ZA"/>
              </w:rPr>
              <w:t>11</w:t>
            </w:r>
            <w:r w:rsidRPr="00233C97">
              <w:rPr>
                <w:rFonts w:ascii="Times New Roman" w:eastAsia="Times New Roman" w:hAnsi="Times New Roman" w:cs="Times New Roman"/>
                <w:b/>
                <w:color w:val="000000"/>
                <w:sz w:val="20"/>
                <w:szCs w:val="20"/>
                <w:lang w:eastAsia="en-ZA"/>
              </w:rPr>
              <w:t xml:space="preserve">, </w:t>
            </w:r>
            <w:r w:rsidRPr="00233C97">
              <w:rPr>
                <w:rFonts w:ascii="Times New Roman" w:eastAsia="Times New Roman" w:hAnsi="Times New Roman" w:cs="Times New Roman"/>
                <w:color w:val="000000"/>
                <w:sz w:val="20"/>
                <w:szCs w:val="20"/>
                <w:lang w:eastAsia="en-ZA"/>
              </w:rPr>
              <w:t>167–178. https://doi.org/</w:t>
            </w:r>
            <w:hyperlink w:history="1">
              <w:r w:rsidRPr="00233C97">
                <w:rPr>
                  <w:rStyle w:val="Hyperlink"/>
                  <w:rFonts w:ascii="Times New Roman" w:eastAsia="Times New Roman" w:hAnsi="Times New Roman" w:cs="Times New Roman"/>
                  <w:bCs/>
                  <w:sz w:val="20"/>
                  <w:szCs w:val="20"/>
                  <w:lang w:eastAsia="en-ZA"/>
                </w:rPr>
                <w:t>10.1656/1092-6194</w:t>
              </w:r>
            </w:hyperlink>
            <w:r w:rsidRPr="00233C97">
              <w:rPr>
                <w:rStyle w:val="Hyperlink"/>
                <w:rFonts w:ascii="Times New Roman" w:eastAsia="Times New Roman" w:hAnsi="Times New Roman" w:cs="Times New Roman"/>
                <w:bCs/>
                <w:sz w:val="20"/>
                <w:szCs w:val="20"/>
                <w:lang w:eastAsia="en-ZA"/>
              </w:rPr>
              <w:t>.</w:t>
            </w:r>
          </w:p>
          <w:p w14:paraId="7A532664" w14:textId="574A4662" w:rsidR="002D7080" w:rsidRPr="00DE4523" w:rsidRDefault="002D7080" w:rsidP="002E2C37">
            <w:pPr>
              <w:spacing w:line="259" w:lineRule="auto"/>
              <w:ind w:left="720" w:hanging="720"/>
              <w:contextualSpacing/>
              <w:jc w:val="both"/>
              <w:rPr>
                <w:rFonts w:ascii="Times New Roman" w:hAnsi="Times New Roman" w:cs="Times New Roman"/>
                <w:sz w:val="20"/>
                <w:szCs w:val="20"/>
              </w:rPr>
            </w:pPr>
            <w:r w:rsidRPr="00317962">
              <w:rPr>
                <w:rFonts w:ascii="Times New Roman" w:hAnsi="Times New Roman" w:cs="Times New Roman"/>
                <w:color w:val="1C1D1E"/>
                <w:sz w:val="20"/>
                <w:szCs w:val="20"/>
                <w:shd w:val="clear" w:color="auto" w:fill="FFFFFF"/>
              </w:rPr>
              <w:t>Lodge, D.M., Kershner, M.W., Aloi, J.E.</w:t>
            </w:r>
            <w:r>
              <w:rPr>
                <w:rFonts w:ascii="Times New Roman" w:hAnsi="Times New Roman" w:cs="Times New Roman"/>
                <w:color w:val="1C1D1E"/>
                <w:sz w:val="20"/>
                <w:szCs w:val="20"/>
                <w:shd w:val="clear" w:color="auto" w:fill="FFFFFF"/>
              </w:rPr>
              <w:t xml:space="preserve"> &amp;</w:t>
            </w:r>
            <w:r w:rsidRPr="00317962">
              <w:rPr>
                <w:rFonts w:ascii="Times New Roman" w:hAnsi="Times New Roman" w:cs="Times New Roman"/>
                <w:color w:val="1C1D1E"/>
                <w:sz w:val="20"/>
                <w:szCs w:val="20"/>
                <w:shd w:val="clear" w:color="auto" w:fill="FFFFFF"/>
              </w:rPr>
              <w:t xml:space="preserve"> Covich, A.P.</w:t>
            </w:r>
            <w:r>
              <w:rPr>
                <w:rFonts w:ascii="Times New Roman" w:hAnsi="Times New Roman" w:cs="Times New Roman"/>
                <w:color w:val="1C1D1E"/>
                <w:sz w:val="20"/>
                <w:szCs w:val="20"/>
                <w:shd w:val="clear" w:color="auto" w:fill="FFFFFF"/>
              </w:rPr>
              <w:t xml:space="preserve">, </w:t>
            </w:r>
            <w:r w:rsidRPr="00317962">
              <w:rPr>
                <w:rFonts w:ascii="Times New Roman" w:hAnsi="Times New Roman" w:cs="Times New Roman"/>
                <w:color w:val="1C1D1E"/>
                <w:sz w:val="20"/>
                <w:szCs w:val="20"/>
                <w:shd w:val="clear" w:color="auto" w:fill="FFFFFF"/>
              </w:rPr>
              <w:t>199</w:t>
            </w:r>
            <w:r w:rsidR="00A73CBE">
              <w:rPr>
                <w:rFonts w:ascii="Times New Roman" w:hAnsi="Times New Roman" w:cs="Times New Roman"/>
                <w:color w:val="1C1D1E"/>
                <w:sz w:val="20"/>
                <w:szCs w:val="20"/>
                <w:shd w:val="clear" w:color="auto" w:fill="FFFFFF"/>
              </w:rPr>
              <w:t>5</w:t>
            </w:r>
            <w:r w:rsidRPr="00317962">
              <w:rPr>
                <w:rFonts w:ascii="Times New Roman" w:hAnsi="Times New Roman" w:cs="Times New Roman"/>
                <w:color w:val="1C1D1E"/>
                <w:sz w:val="20"/>
                <w:szCs w:val="20"/>
                <w:shd w:val="clear" w:color="auto" w:fill="FFFFFF"/>
              </w:rPr>
              <w:t xml:space="preserve">, </w:t>
            </w:r>
            <w:r>
              <w:rPr>
                <w:rFonts w:ascii="Times New Roman" w:hAnsi="Times New Roman" w:cs="Times New Roman"/>
                <w:color w:val="1C1D1E"/>
                <w:sz w:val="20"/>
                <w:szCs w:val="20"/>
                <w:shd w:val="clear" w:color="auto" w:fill="FFFFFF"/>
              </w:rPr>
              <w:t>‘</w:t>
            </w:r>
            <w:r w:rsidRPr="00317962">
              <w:rPr>
                <w:rFonts w:ascii="Times New Roman" w:hAnsi="Times New Roman" w:cs="Times New Roman"/>
                <w:color w:val="1C1D1E"/>
                <w:sz w:val="20"/>
                <w:szCs w:val="20"/>
                <w:shd w:val="clear" w:color="auto" w:fill="FFFFFF"/>
              </w:rPr>
              <w:t>Effects of an omnivorous crayfish (</w:t>
            </w:r>
            <w:r w:rsidRPr="009E1DBA">
              <w:rPr>
                <w:rFonts w:ascii="Times New Roman" w:hAnsi="Times New Roman" w:cs="Times New Roman"/>
                <w:i/>
                <w:iCs/>
                <w:color w:val="1C1D1E"/>
                <w:sz w:val="20"/>
                <w:szCs w:val="20"/>
                <w:shd w:val="clear" w:color="auto" w:fill="FFFFFF"/>
              </w:rPr>
              <w:t xml:space="preserve">Orconectes </w:t>
            </w:r>
            <w:r>
              <w:rPr>
                <w:rFonts w:ascii="Times New Roman" w:hAnsi="Times New Roman" w:cs="Times New Roman"/>
                <w:i/>
                <w:iCs/>
                <w:color w:val="1C1D1E"/>
                <w:sz w:val="20"/>
                <w:szCs w:val="20"/>
                <w:shd w:val="clear" w:color="auto" w:fill="FFFFFF"/>
              </w:rPr>
              <w:t>r</w:t>
            </w:r>
            <w:r w:rsidRPr="009E1DBA">
              <w:rPr>
                <w:rFonts w:ascii="Times New Roman" w:hAnsi="Times New Roman" w:cs="Times New Roman"/>
                <w:i/>
                <w:iCs/>
                <w:color w:val="1C1D1E"/>
                <w:sz w:val="20"/>
                <w:szCs w:val="20"/>
                <w:shd w:val="clear" w:color="auto" w:fill="FFFFFF"/>
              </w:rPr>
              <w:t>usticus</w:t>
            </w:r>
            <w:r w:rsidRPr="00317962">
              <w:rPr>
                <w:rFonts w:ascii="Times New Roman" w:hAnsi="Times New Roman" w:cs="Times New Roman"/>
                <w:color w:val="1C1D1E"/>
                <w:sz w:val="20"/>
                <w:szCs w:val="20"/>
                <w:shd w:val="clear" w:color="auto" w:fill="FFFFFF"/>
              </w:rPr>
              <w:t>) on a freshwater littoral food web</w:t>
            </w:r>
            <w:r>
              <w:rPr>
                <w:rFonts w:ascii="Times New Roman" w:hAnsi="Times New Roman" w:cs="Times New Roman"/>
                <w:color w:val="1C1D1E"/>
                <w:sz w:val="20"/>
                <w:szCs w:val="20"/>
                <w:shd w:val="clear" w:color="auto" w:fill="FFFFFF"/>
              </w:rPr>
              <w:t xml:space="preserve">’, </w:t>
            </w:r>
            <w:r w:rsidRPr="009E1DBA">
              <w:rPr>
                <w:rFonts w:ascii="Times New Roman" w:hAnsi="Times New Roman" w:cs="Times New Roman"/>
                <w:i/>
                <w:iCs/>
                <w:color w:val="1C1D1E"/>
                <w:sz w:val="20"/>
                <w:szCs w:val="20"/>
                <w:shd w:val="clear" w:color="auto" w:fill="FFFFFF"/>
              </w:rPr>
              <w:t>Ecology</w:t>
            </w:r>
            <w:r w:rsidRPr="00317962">
              <w:rPr>
                <w:rFonts w:ascii="Times New Roman" w:hAnsi="Times New Roman" w:cs="Times New Roman"/>
                <w:color w:val="1C1D1E"/>
                <w:sz w:val="20"/>
                <w:szCs w:val="20"/>
                <w:shd w:val="clear" w:color="auto" w:fill="FFFFFF"/>
              </w:rPr>
              <w:t>, 75: 1265-1281. </w:t>
            </w:r>
            <w:hyperlink w:history="1">
              <w:r w:rsidRPr="00317962">
                <w:rPr>
                  <w:rStyle w:val="Hyperlink"/>
                  <w:rFonts w:ascii="Times New Roman" w:hAnsi="Times New Roman" w:cs="Times New Roman"/>
                  <w:sz w:val="20"/>
                  <w:szCs w:val="20"/>
                  <w:shd w:val="clear" w:color="auto" w:fill="FFFFFF"/>
                </w:rPr>
                <w:t>https://doi.org/10.2307/1937452</w:t>
              </w:r>
            </w:hyperlink>
          </w:p>
          <w:p w14:paraId="62F4CE5A" w14:textId="7D5E25F3" w:rsidR="002D7080" w:rsidRPr="00233C97" w:rsidRDefault="002D7080" w:rsidP="002E2C37">
            <w:pPr>
              <w:ind w:left="720" w:hanging="720"/>
              <w:contextualSpacing/>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 Panteleit, J., Horvath,</w:t>
            </w:r>
            <w:r>
              <w:rPr>
                <w:rFonts w:ascii="Times New Roman" w:eastAsia="Times New Roman" w:hAnsi="Times New Roman" w:cs="Times New Roman"/>
                <w:sz w:val="20"/>
                <w:szCs w:val="20"/>
                <w:lang w:eastAsia="en-ZA"/>
              </w:rPr>
              <w:t xml:space="preserve"> T.,</w:t>
            </w:r>
            <w:r w:rsidRPr="00233C97">
              <w:rPr>
                <w:rFonts w:ascii="Times New Roman" w:eastAsia="Times New Roman" w:hAnsi="Times New Roman" w:cs="Times New Roman"/>
                <w:sz w:val="20"/>
                <w:szCs w:val="20"/>
                <w:lang w:eastAsia="en-ZA"/>
              </w:rPr>
              <w:t xml:space="preserve"> Jussila,</w:t>
            </w:r>
            <w:r>
              <w:rPr>
                <w:rFonts w:ascii="Times New Roman" w:eastAsia="Times New Roman" w:hAnsi="Times New Roman" w:cs="Times New Roman"/>
                <w:sz w:val="20"/>
                <w:szCs w:val="20"/>
                <w:lang w:eastAsia="en-ZA"/>
              </w:rPr>
              <w:t xml:space="preserve"> J.,</w:t>
            </w:r>
            <w:r w:rsidRPr="00233C97">
              <w:rPr>
                <w:rFonts w:ascii="Times New Roman" w:eastAsia="Times New Roman" w:hAnsi="Times New Roman" w:cs="Times New Roman"/>
                <w:sz w:val="20"/>
                <w:szCs w:val="20"/>
                <w:lang w:eastAsia="en-ZA"/>
              </w:rPr>
              <w:t xml:space="preserve"> Makkonen,</w:t>
            </w:r>
            <w:r>
              <w:rPr>
                <w:rFonts w:ascii="Times New Roman" w:eastAsia="Times New Roman" w:hAnsi="Times New Roman" w:cs="Times New Roman"/>
                <w:sz w:val="20"/>
                <w:szCs w:val="20"/>
                <w:lang w:eastAsia="en-ZA"/>
              </w:rPr>
              <w:t xml:space="preserve"> J., </w:t>
            </w:r>
            <w:r w:rsidRPr="00233C97">
              <w:rPr>
                <w:rFonts w:ascii="Times New Roman" w:eastAsia="Times New Roman" w:hAnsi="Times New Roman" w:cs="Times New Roman"/>
                <w:sz w:val="20"/>
                <w:szCs w:val="20"/>
                <w:lang w:eastAsia="en-ZA"/>
              </w:rPr>
              <w:t>Perry,</w:t>
            </w:r>
            <w:r>
              <w:rPr>
                <w:rFonts w:ascii="Times New Roman" w:eastAsia="Times New Roman" w:hAnsi="Times New Roman" w:cs="Times New Roman"/>
                <w:sz w:val="20"/>
                <w:szCs w:val="20"/>
                <w:lang w:eastAsia="en-ZA"/>
              </w:rPr>
              <w:t xml:space="preserve"> W., </w:t>
            </w:r>
            <w:r w:rsidRPr="00233C97">
              <w:rPr>
                <w:rFonts w:ascii="Times New Roman" w:eastAsia="Times New Roman" w:hAnsi="Times New Roman" w:cs="Times New Roman"/>
                <w:sz w:val="20"/>
                <w:szCs w:val="20"/>
                <w:lang w:eastAsia="en-ZA"/>
              </w:rPr>
              <w:t>Schulz,</w:t>
            </w:r>
            <w:r>
              <w:rPr>
                <w:rFonts w:ascii="Times New Roman" w:eastAsia="Times New Roman" w:hAnsi="Times New Roman" w:cs="Times New Roman"/>
                <w:sz w:val="20"/>
                <w:szCs w:val="20"/>
                <w:lang w:eastAsia="en-ZA"/>
              </w:rPr>
              <w:t xml:space="preserve"> R., </w:t>
            </w:r>
            <w:r w:rsidRPr="00233C97">
              <w:rPr>
                <w:rFonts w:ascii="Times New Roman" w:eastAsia="Times New Roman" w:hAnsi="Times New Roman" w:cs="Times New Roman"/>
                <w:sz w:val="20"/>
                <w:szCs w:val="20"/>
                <w:lang w:eastAsia="en-ZA"/>
              </w:rPr>
              <w:t xml:space="preserve">Theissinger, </w:t>
            </w:r>
            <w:r>
              <w:rPr>
                <w:rFonts w:ascii="Times New Roman" w:eastAsia="Times New Roman" w:hAnsi="Times New Roman" w:cs="Times New Roman"/>
                <w:sz w:val="20"/>
                <w:szCs w:val="20"/>
                <w:lang w:eastAsia="en-ZA"/>
              </w:rPr>
              <w:t xml:space="preserve">K. &amp; </w:t>
            </w:r>
            <w:r w:rsidRPr="00233C97">
              <w:rPr>
                <w:rFonts w:ascii="Times New Roman" w:eastAsia="Times New Roman" w:hAnsi="Times New Roman" w:cs="Times New Roman"/>
                <w:sz w:val="20"/>
                <w:szCs w:val="20"/>
                <w:lang w:eastAsia="en-ZA"/>
              </w:rPr>
              <w:t>Schrimpf</w:t>
            </w:r>
            <w:r>
              <w:rPr>
                <w:rFonts w:ascii="Times New Roman" w:eastAsia="Times New Roman" w:hAnsi="Times New Roman" w:cs="Times New Roman"/>
                <w:sz w:val="20"/>
                <w:szCs w:val="20"/>
                <w:lang w:eastAsia="en-ZA"/>
              </w:rPr>
              <w:t>, A</w:t>
            </w:r>
            <w:r w:rsidRPr="00233C97">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w:t>
            </w:r>
            <w:r w:rsidRPr="00233C97">
              <w:rPr>
                <w:rFonts w:ascii="Times New Roman" w:eastAsia="Times New Roman" w:hAnsi="Times New Roman" w:cs="Times New Roman"/>
                <w:sz w:val="20"/>
                <w:szCs w:val="20"/>
                <w:lang w:eastAsia="en-ZA"/>
              </w:rPr>
              <w:t xml:space="preserve"> 2019</w:t>
            </w:r>
            <w:r>
              <w:rPr>
                <w:rFonts w:ascii="Times New Roman" w:eastAsia="Times New Roman" w:hAnsi="Times New Roman" w:cs="Times New Roman"/>
                <w:sz w:val="20"/>
                <w:szCs w:val="20"/>
                <w:lang w:eastAsia="en-ZA"/>
              </w:rPr>
              <w:t>,</w:t>
            </w:r>
            <w:r w:rsidRPr="00233C97">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w:t>
            </w:r>
            <w:r w:rsidRPr="00233C97">
              <w:rPr>
                <w:rFonts w:ascii="Times New Roman" w:eastAsia="Times New Roman" w:hAnsi="Times New Roman" w:cs="Times New Roman"/>
                <w:sz w:val="20"/>
                <w:szCs w:val="20"/>
                <w:lang w:eastAsia="en-ZA"/>
              </w:rPr>
              <w:t>Invasive rusty crayfish (Faxonius rusticus) populations in North America are infected with the crayfish plague disease agent (</w:t>
            </w:r>
            <w:r w:rsidRPr="005C13E2">
              <w:rPr>
                <w:rFonts w:ascii="Times New Roman" w:eastAsia="Times New Roman" w:hAnsi="Times New Roman" w:cs="Times New Roman"/>
                <w:i/>
                <w:iCs/>
                <w:sz w:val="20"/>
                <w:szCs w:val="20"/>
                <w:lang w:eastAsia="en-ZA"/>
              </w:rPr>
              <w:t>Aphanomyces astaci</w:t>
            </w:r>
            <w:r w:rsidRPr="00233C97">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 </w:t>
            </w:r>
            <w:r w:rsidRPr="00C85F4F">
              <w:rPr>
                <w:rFonts w:ascii="Times New Roman" w:eastAsia="Times New Roman" w:hAnsi="Times New Roman" w:cs="Times New Roman"/>
                <w:i/>
                <w:iCs/>
                <w:sz w:val="20"/>
                <w:szCs w:val="20"/>
                <w:lang w:eastAsia="en-ZA"/>
              </w:rPr>
              <w:t>Freshwater Science</w:t>
            </w:r>
            <w:r>
              <w:rPr>
                <w:rFonts w:ascii="Times New Roman" w:eastAsia="Times New Roman" w:hAnsi="Times New Roman" w:cs="Times New Roman"/>
                <w:sz w:val="20"/>
                <w:szCs w:val="20"/>
                <w:lang w:eastAsia="en-ZA"/>
              </w:rPr>
              <w:t>,</w:t>
            </w:r>
            <w:r w:rsidRPr="00233C97">
              <w:rPr>
                <w:rFonts w:ascii="Times New Roman" w:eastAsia="Times New Roman" w:hAnsi="Times New Roman" w:cs="Times New Roman"/>
                <w:sz w:val="20"/>
                <w:szCs w:val="20"/>
                <w:lang w:eastAsia="en-ZA"/>
              </w:rPr>
              <w:t xml:space="preserve"> 38(2)</w:t>
            </w:r>
            <w:r>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sz w:val="20"/>
                <w:szCs w:val="20"/>
                <w:lang w:eastAsia="en-ZA"/>
              </w:rPr>
              <w:t xml:space="preserve">425-433. </w:t>
            </w:r>
            <w:hyperlink r:id="rId347" w:history="1">
              <w:r w:rsidR="00A73CBE" w:rsidRPr="00F215B9">
                <w:rPr>
                  <w:rStyle w:val="Hyperlink"/>
                  <w:rFonts w:ascii="Times New Roman" w:eastAsia="Times New Roman" w:hAnsi="Times New Roman" w:cs="Times New Roman"/>
                  <w:sz w:val="20"/>
                  <w:szCs w:val="20"/>
                  <w:lang w:eastAsia="en-ZA"/>
                </w:rPr>
                <w:t>https://doi.org/10.1086/703417</w:t>
              </w:r>
            </w:hyperlink>
            <w:r w:rsidR="00A73CBE">
              <w:rPr>
                <w:rFonts w:ascii="Times New Roman" w:eastAsia="Times New Roman" w:hAnsi="Times New Roman" w:cs="Times New Roman"/>
                <w:sz w:val="20"/>
                <w:szCs w:val="20"/>
                <w:lang w:eastAsia="en-ZA"/>
              </w:rPr>
              <w:t xml:space="preserve">  </w:t>
            </w:r>
          </w:p>
          <w:p w14:paraId="649D2EA1" w14:textId="02CA7CA0" w:rsidR="002D7080" w:rsidRPr="00233C97" w:rsidRDefault="002D7080" w:rsidP="002E2C37">
            <w:pPr>
              <w:ind w:left="720" w:hanging="720"/>
              <w:contextualSpacing/>
              <w:jc w:val="both"/>
              <w:rPr>
                <w:rFonts w:ascii="Times New Roman" w:hAnsi="Times New Roman" w:cs="Times New Roman"/>
                <w:sz w:val="20"/>
                <w:szCs w:val="20"/>
              </w:rPr>
            </w:pPr>
            <w:r w:rsidRPr="00233C97">
              <w:rPr>
                <w:rFonts w:ascii="Times New Roman" w:eastAsia="Times New Roman" w:hAnsi="Times New Roman" w:cs="Times New Roman"/>
                <w:color w:val="000000"/>
                <w:sz w:val="20"/>
                <w:szCs w:val="20"/>
                <w:lang w:eastAsia="en-ZA"/>
              </w:rPr>
              <w:t>Roth, B.M, Hein, C.L. &amp; Vander Zanden, M.J., 2006, ‘Using bioenergetics and stable isotopes to assess the trophic role of rusty crayfish (</w:t>
            </w:r>
            <w:r w:rsidRPr="00233C97">
              <w:rPr>
                <w:rFonts w:ascii="Times New Roman" w:eastAsia="Times New Roman" w:hAnsi="Times New Roman" w:cs="Times New Roman"/>
                <w:i/>
                <w:color w:val="000000"/>
                <w:sz w:val="20"/>
                <w:szCs w:val="20"/>
                <w:lang w:eastAsia="en-ZA"/>
              </w:rPr>
              <w:t>Orconectes rusticus</w:t>
            </w:r>
            <w:r w:rsidRPr="00233C97">
              <w:rPr>
                <w:rFonts w:ascii="Times New Roman" w:eastAsia="Times New Roman" w:hAnsi="Times New Roman" w:cs="Times New Roman"/>
                <w:color w:val="000000"/>
                <w:sz w:val="20"/>
                <w:szCs w:val="20"/>
                <w:lang w:eastAsia="en-ZA"/>
              </w:rPr>
              <w:t>) in lake littoral zones</w:t>
            </w:r>
            <w:r>
              <w:rPr>
                <w:rFonts w:ascii="Times New Roman" w:eastAsia="Times New Roman" w:hAnsi="Times New Roman" w:cs="Times New Roman"/>
                <w:color w:val="000000"/>
                <w:sz w:val="20"/>
                <w:szCs w:val="20"/>
                <w:lang w:eastAsia="en-ZA"/>
              </w:rPr>
              <w:t>’,</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
                <w:iCs/>
                <w:color w:val="000000"/>
                <w:sz w:val="20"/>
                <w:szCs w:val="20"/>
                <w:lang w:eastAsia="en-ZA"/>
              </w:rPr>
              <w:t>Canadian Journal of Fisheries and Aquatic Sciences</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Cs/>
                <w:color w:val="000000"/>
                <w:sz w:val="20"/>
                <w:szCs w:val="20"/>
                <w:lang w:eastAsia="en-ZA"/>
              </w:rPr>
              <w:t>63</w:t>
            </w:r>
            <w:r w:rsidRPr="00233C97">
              <w:rPr>
                <w:rFonts w:ascii="Times New Roman" w:eastAsia="Times New Roman" w:hAnsi="Times New Roman" w:cs="Times New Roman"/>
                <w:color w:val="000000"/>
                <w:sz w:val="20"/>
                <w:szCs w:val="20"/>
                <w:lang w:eastAsia="en-ZA"/>
              </w:rPr>
              <w:t xml:space="preserve">, 335–344. </w:t>
            </w:r>
            <w:hyperlink r:id="rId348" w:history="1">
              <w:r w:rsidR="00A73CBE" w:rsidRPr="00F215B9">
                <w:rPr>
                  <w:rStyle w:val="Hyperlink"/>
                  <w:rFonts w:ascii="Times New Roman" w:eastAsia="Times New Roman" w:hAnsi="Times New Roman" w:cs="Times New Roman"/>
                  <w:sz w:val="20"/>
                  <w:szCs w:val="20"/>
                  <w:lang w:eastAsia="en-ZA"/>
                </w:rPr>
                <w:t>https://doi.org/10.1139/F05-217</w:t>
              </w:r>
            </w:hyperlink>
            <w:r w:rsidRPr="00233C97">
              <w:rPr>
                <w:rFonts w:ascii="Times New Roman" w:eastAsia="Times New Roman" w:hAnsi="Times New Roman" w:cs="Times New Roman"/>
                <w:color w:val="000000"/>
                <w:sz w:val="20"/>
                <w:szCs w:val="20"/>
                <w:lang w:eastAsia="en-ZA"/>
              </w:rPr>
              <w:t>.</w:t>
            </w:r>
            <w:r w:rsidR="00A73CBE">
              <w:rPr>
                <w:rFonts w:ascii="Times New Roman" w:eastAsia="Times New Roman" w:hAnsi="Times New Roman" w:cs="Times New Roman"/>
                <w:color w:val="000000"/>
                <w:sz w:val="20"/>
                <w:szCs w:val="20"/>
                <w:lang w:eastAsia="en-ZA"/>
              </w:rPr>
              <w:t xml:space="preserve"> </w:t>
            </w:r>
          </w:p>
          <w:p w14:paraId="7D12D1D1" w14:textId="51F5C101" w:rsidR="002D7080" w:rsidRPr="00233C97" w:rsidRDefault="002D7080" w:rsidP="002E2C37">
            <w:pPr>
              <w:ind w:left="720" w:hanging="720"/>
              <w:contextualSpacing/>
              <w:jc w:val="both"/>
              <w:rPr>
                <w:rFonts w:ascii="Times New Roman" w:hAnsi="Times New Roman" w:cs="Times New Roman"/>
                <w:sz w:val="20"/>
                <w:szCs w:val="20"/>
              </w:rPr>
            </w:pPr>
            <w:r w:rsidRPr="00233C97">
              <w:rPr>
                <w:rFonts w:ascii="Times New Roman" w:hAnsi="Times New Roman" w:cs="Times New Roman"/>
                <w:sz w:val="20"/>
                <w:szCs w:val="20"/>
              </w:rPr>
              <w:t xml:space="preserve">Twardochleb, L.A, Olden, J.D. &amp; Larson, E.R., 2013, ‘A global meta-analysis of the ecological impacts of nonnative crayfish’, </w:t>
            </w:r>
            <w:r w:rsidRPr="00233C97">
              <w:rPr>
                <w:rFonts w:ascii="Times New Roman" w:hAnsi="Times New Roman" w:cs="Times New Roman"/>
                <w:i/>
                <w:iCs/>
                <w:sz w:val="20"/>
                <w:szCs w:val="20"/>
              </w:rPr>
              <w:t>Freshwater Science</w:t>
            </w:r>
            <w:r w:rsidRPr="00233C97">
              <w:rPr>
                <w:rFonts w:ascii="Times New Roman" w:hAnsi="Times New Roman" w:cs="Times New Roman"/>
                <w:sz w:val="20"/>
                <w:szCs w:val="20"/>
              </w:rPr>
              <w:t xml:space="preserve"> </w:t>
            </w:r>
            <w:r w:rsidRPr="00233C97">
              <w:rPr>
                <w:rFonts w:ascii="Times New Roman" w:hAnsi="Times New Roman" w:cs="Times New Roman"/>
                <w:iCs/>
                <w:sz w:val="20"/>
                <w:szCs w:val="20"/>
              </w:rPr>
              <w:t>32</w:t>
            </w:r>
            <w:r w:rsidRPr="00233C97">
              <w:rPr>
                <w:rFonts w:ascii="Times New Roman" w:hAnsi="Times New Roman" w:cs="Times New Roman"/>
                <w:sz w:val="20"/>
                <w:szCs w:val="20"/>
              </w:rPr>
              <w:t>, 1367–1382.</w:t>
            </w:r>
            <w:r w:rsidRPr="00233C97">
              <w:rPr>
                <w:rFonts w:ascii="Times New Roman" w:hAnsi="Times New Roman" w:cs="Times New Roman"/>
                <w:color w:val="000000"/>
                <w:sz w:val="20"/>
                <w:szCs w:val="20"/>
              </w:rPr>
              <w:t xml:space="preserve"> </w:t>
            </w:r>
            <w:r w:rsidR="00A73CBE" w:rsidRPr="00A73CBE">
              <w:rPr>
                <w:rFonts w:ascii="Times New Roman" w:hAnsi="Times New Roman" w:cs="Times New Roman"/>
                <w:color w:val="000000"/>
                <w:sz w:val="20"/>
                <w:szCs w:val="20"/>
              </w:rPr>
              <w:t>http://dx.doi.org/10.1899/12-203.1</w:t>
            </w:r>
            <w:r w:rsidR="00A73CBE">
              <w:rPr>
                <w:rFonts w:ascii="Times New Roman" w:hAnsi="Times New Roman" w:cs="Times New Roman"/>
                <w:sz w:val="20"/>
                <w:szCs w:val="20"/>
              </w:rPr>
              <w:t xml:space="preserve"> </w:t>
            </w:r>
          </w:p>
          <w:p w14:paraId="56083E61" w14:textId="577AFDA9" w:rsidR="002D7080" w:rsidRDefault="002D7080" w:rsidP="002E2C37">
            <w:pPr>
              <w:spacing w:line="259" w:lineRule="auto"/>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color w:val="000000"/>
                <w:sz w:val="20"/>
                <w:szCs w:val="20"/>
                <w:lang w:eastAsia="en-ZA"/>
              </w:rPr>
              <w:t>Wilson, K.A., Magnuson, J.J., Lodge, D.M., Hill, A.M., Kratz, T.K., Perry, W.L., et al., 2004, ‘A long-term rusty crayfish (</w:t>
            </w:r>
            <w:r w:rsidRPr="00233C97">
              <w:rPr>
                <w:rFonts w:ascii="Times New Roman" w:eastAsia="Times New Roman" w:hAnsi="Times New Roman" w:cs="Times New Roman"/>
                <w:i/>
                <w:color w:val="000000"/>
                <w:sz w:val="20"/>
                <w:szCs w:val="20"/>
                <w:lang w:eastAsia="en-ZA"/>
              </w:rPr>
              <w:t>Orconectes rusticus</w:t>
            </w:r>
            <w:r w:rsidRPr="00233C97">
              <w:rPr>
                <w:rFonts w:ascii="Times New Roman" w:eastAsia="Times New Roman" w:hAnsi="Times New Roman" w:cs="Times New Roman"/>
                <w:color w:val="000000"/>
                <w:sz w:val="20"/>
                <w:szCs w:val="20"/>
                <w:lang w:eastAsia="en-ZA"/>
              </w:rPr>
              <w:t>) invasion: Dispersal patterns and community change in a north temperate lake’, </w:t>
            </w:r>
            <w:r w:rsidRPr="00233C97">
              <w:rPr>
                <w:rFonts w:ascii="Times New Roman" w:eastAsia="Times New Roman" w:hAnsi="Times New Roman" w:cs="Times New Roman"/>
                <w:i/>
                <w:iCs/>
                <w:color w:val="000000"/>
                <w:sz w:val="20"/>
                <w:szCs w:val="20"/>
                <w:lang w:eastAsia="en-ZA"/>
              </w:rPr>
              <w:t>Canadian Journal of Fisheries and Aquatic Sciences</w:t>
            </w:r>
            <w:r w:rsidRPr="00233C97">
              <w:rPr>
                <w:rFonts w:ascii="Times New Roman" w:eastAsia="Times New Roman" w:hAnsi="Times New Roman" w:cs="Times New Roman"/>
                <w:color w:val="000000"/>
                <w:sz w:val="20"/>
                <w:szCs w:val="20"/>
                <w:lang w:eastAsia="en-ZA"/>
              </w:rPr>
              <w:t> </w:t>
            </w:r>
            <w:r w:rsidRPr="00233C97">
              <w:rPr>
                <w:rFonts w:ascii="Times New Roman" w:eastAsia="Times New Roman" w:hAnsi="Times New Roman" w:cs="Times New Roman"/>
                <w:iCs/>
                <w:color w:val="000000"/>
                <w:sz w:val="20"/>
                <w:szCs w:val="20"/>
                <w:lang w:eastAsia="en-ZA"/>
              </w:rPr>
              <w:t>61</w:t>
            </w:r>
            <w:r w:rsidRPr="00233C97">
              <w:rPr>
                <w:rFonts w:ascii="Times New Roman" w:eastAsia="Times New Roman" w:hAnsi="Times New Roman" w:cs="Times New Roman"/>
                <w:color w:val="000000"/>
                <w:sz w:val="20"/>
                <w:szCs w:val="20"/>
                <w:lang w:eastAsia="en-ZA"/>
              </w:rPr>
              <w:t xml:space="preserve">, 2255–2266. </w:t>
            </w:r>
            <w:hyperlink r:id="rId349" w:history="1">
              <w:r w:rsidR="00A73CBE" w:rsidRPr="008A0BC6">
                <w:rPr>
                  <w:rStyle w:val="Hyperlink"/>
                  <w:rFonts w:ascii="Times New Roman" w:hAnsi="Times New Roman" w:cs="Times New Roman"/>
                  <w:sz w:val="20"/>
                  <w:szCs w:val="20"/>
                </w:rPr>
                <w:t>https://doi.org/10.1139/f04-170</w:t>
              </w:r>
            </w:hyperlink>
            <w:r w:rsidRPr="00233C97">
              <w:rPr>
                <w:rFonts w:ascii="Times New Roman" w:eastAsia="Times New Roman" w:hAnsi="Times New Roman" w:cs="Times New Roman"/>
                <w:color w:val="000000"/>
                <w:sz w:val="20"/>
                <w:szCs w:val="20"/>
                <w:lang w:eastAsia="en-ZA"/>
              </w:rPr>
              <w:t>.</w:t>
            </w:r>
          </w:p>
          <w:p w14:paraId="154DE808" w14:textId="77777777" w:rsidR="002D7080" w:rsidRPr="00DE4523" w:rsidRDefault="002D7080" w:rsidP="002E2C37">
            <w:pPr>
              <w:spacing w:line="259" w:lineRule="auto"/>
              <w:ind w:left="720" w:hanging="720"/>
              <w:contextualSpacing/>
              <w:jc w:val="both"/>
              <w:rPr>
                <w:rFonts w:ascii="Times New Roman" w:hAnsi="Times New Roman" w:cs="Times New Roman"/>
                <w:sz w:val="20"/>
                <w:szCs w:val="20"/>
              </w:rPr>
            </w:pPr>
          </w:p>
        </w:tc>
      </w:tr>
    </w:tbl>
    <w:p w14:paraId="5726871B" w14:textId="77777777" w:rsidR="002D7080" w:rsidRPr="00233C97" w:rsidRDefault="002D7080" w:rsidP="002D7080">
      <w:pPr>
        <w:spacing w:after="0" w:line="240" w:lineRule="auto"/>
        <w:rPr>
          <w:rFonts w:ascii="Times New Roman" w:hAnsi="Times New Roman" w:cs="Times New Roman"/>
          <w:b/>
          <w:sz w:val="24"/>
          <w:szCs w:val="24"/>
        </w:rPr>
      </w:pPr>
    </w:p>
    <w:p w14:paraId="7C1A0626" w14:textId="77777777" w:rsidR="002D7080" w:rsidRPr="00233C97" w:rsidRDefault="002D7080" w:rsidP="002D7080">
      <w:pPr>
        <w:spacing w:after="0" w:line="240" w:lineRule="auto"/>
        <w:rPr>
          <w:rFonts w:ascii="Times New Roman" w:hAnsi="Times New Roman" w:cs="Times New Roman"/>
          <w:b/>
          <w:sz w:val="24"/>
          <w:szCs w:val="24"/>
        </w:rPr>
      </w:pPr>
      <w:r w:rsidRPr="00233C97">
        <w:rPr>
          <w:rFonts w:ascii="Times New Roman" w:hAnsi="Times New Roman" w:cs="Times New Roman"/>
          <w:b/>
          <w:sz w:val="24"/>
          <w:szCs w:val="24"/>
        </w:rPr>
        <w:br w:type="page"/>
      </w:r>
    </w:p>
    <w:p w14:paraId="0D6ADCDD" w14:textId="77777777" w:rsidR="002D7080" w:rsidRPr="00233C97" w:rsidRDefault="002D7080" w:rsidP="002D7080">
      <w:pPr>
        <w:spacing w:after="0" w:line="240" w:lineRule="auto"/>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lastRenderedPageBreak/>
        <w:t>4. Management</w:t>
      </w:r>
    </w:p>
    <w:p w14:paraId="57A7C3E7" w14:textId="77777777" w:rsidR="002D7080" w:rsidRPr="00233C97"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592486" w14:paraId="35AC6D04" w14:textId="77777777" w:rsidTr="002E2C37">
        <w:trPr>
          <w:trHeight w:val="343"/>
        </w:trPr>
        <w:tc>
          <w:tcPr>
            <w:tcW w:w="9067" w:type="dxa"/>
            <w:gridSpan w:val="2"/>
            <w:shd w:val="clear" w:color="auto" w:fill="F2F2F2" w:themeFill="background1" w:themeFillShade="F2"/>
          </w:tcPr>
          <w:p w14:paraId="5A1368E8"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MAN1 What is the feasibility to stop future immigration?</w:t>
            </w:r>
          </w:p>
        </w:tc>
      </w:tr>
      <w:tr w:rsidR="002D7080" w:rsidRPr="00592486" w14:paraId="614D44DC" w14:textId="77777777" w:rsidTr="002E2C37">
        <w:trPr>
          <w:trHeight w:val="172"/>
        </w:trPr>
        <w:tc>
          <w:tcPr>
            <w:tcW w:w="5240" w:type="dxa"/>
          </w:tcPr>
          <w:p w14:paraId="32DEF909"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 xml:space="preserve">High </w:t>
            </w:r>
          </w:p>
        </w:tc>
        <w:tc>
          <w:tcPr>
            <w:tcW w:w="3827" w:type="dxa"/>
          </w:tcPr>
          <w:p w14:paraId="2F04AC28"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Low</w:t>
            </w:r>
          </w:p>
        </w:tc>
      </w:tr>
      <w:tr w:rsidR="002D7080" w:rsidRPr="00592486" w14:paraId="75C74F18" w14:textId="77777777" w:rsidTr="002E2C37">
        <w:trPr>
          <w:trHeight w:val="70"/>
        </w:trPr>
        <w:tc>
          <w:tcPr>
            <w:tcW w:w="9067" w:type="dxa"/>
            <w:gridSpan w:val="2"/>
          </w:tcPr>
          <w:p w14:paraId="6C578CF4" w14:textId="2C2F63C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
                <w:iCs/>
                <w:sz w:val="20"/>
                <w:szCs w:val="20"/>
                <w:lang w:eastAsia="en-ZA"/>
              </w:rPr>
              <w:t xml:space="preserve">Faxonius rusticus </w:t>
            </w:r>
            <w:r w:rsidRPr="00233C97">
              <w:rPr>
                <w:rFonts w:ascii="Times New Roman" w:eastAsia="Times New Roman" w:hAnsi="Times New Roman" w:cs="Times New Roman"/>
                <w:sz w:val="20"/>
                <w:szCs w:val="20"/>
                <w:lang w:eastAsia="en-ZA"/>
              </w:rPr>
              <w:t>is a popular bait species among anglers</w:t>
            </w:r>
            <w:r>
              <w:rPr>
                <w:rFonts w:ascii="Times New Roman" w:eastAsia="Times New Roman" w:hAnsi="Times New Roman" w:cs="Times New Roman"/>
                <w:sz w:val="20"/>
                <w:szCs w:val="20"/>
                <w:lang w:eastAsia="en-ZA"/>
              </w:rPr>
              <w:t xml:space="preserve"> in the USA and is often</w:t>
            </w:r>
            <w:r w:rsidRPr="00233C97">
              <w:rPr>
                <w:rFonts w:ascii="Times New Roman" w:eastAsia="Times New Roman" w:hAnsi="Times New Roman" w:cs="Times New Roman"/>
                <w:sz w:val="20"/>
                <w:szCs w:val="20"/>
                <w:lang w:eastAsia="en-ZA"/>
              </w:rPr>
              <w:t xml:space="preserve"> stocked by fishermen (Kerr 2014). </w:t>
            </w:r>
            <w:r>
              <w:rPr>
                <w:rFonts w:ascii="Times New Roman" w:eastAsia="Times New Roman" w:hAnsi="Times New Roman" w:cs="Times New Roman"/>
                <w:sz w:val="20"/>
                <w:szCs w:val="20"/>
                <w:lang w:eastAsia="en-ZA"/>
              </w:rPr>
              <w:t>It also present in th</w:t>
            </w:r>
            <w:r w:rsidRPr="00233C97">
              <w:rPr>
                <w:rFonts w:ascii="Times New Roman" w:eastAsia="Times New Roman" w:hAnsi="Times New Roman" w:cs="Times New Roman"/>
                <w:sz w:val="20"/>
                <w:szCs w:val="20"/>
                <w:lang w:eastAsia="en-ZA"/>
              </w:rPr>
              <w:t xml:space="preserve">e pet trade industry in Germany and the USA </w:t>
            </w:r>
            <w:r w:rsidRPr="00233C97">
              <w:rPr>
                <w:rFonts w:ascii="Times New Roman" w:eastAsia="Times New Roman" w:hAnsi="Times New Roman" w:cs="Times New Roman"/>
                <w:sz w:val="20"/>
                <w:szCs w:val="20"/>
                <w:lang w:eastAsia="en-ZA"/>
              </w:rPr>
              <w:fldChar w:fldCharType="begin" w:fldLock="1"/>
            </w:r>
            <w:r w:rsidRPr="00233C97">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"id" : "ITEM-2", "itemData" : { "DOI" : "10.1007/s10530-012-0273-2", "author" : [ { "dropping-particle" : "", "family" : "Chucholl", "given" : "Christoph", "non-dropping-particle" : "", "parse-names" : false, "suffix" : "" } ], "id" : "ITEM-2", "issued" : { "date-parts" : [ [ "2013" ] ] }, "page" : "125-141", "title" : "Invaders for sale : trade and determinants of introduction of ornamental freshwater crayfish", "type" : "article-journal" }, "uris" : [ "http://www.mendeley.com/documents/?uuid=a0511d26-a75d-4f96-93d3-d105f06fe13f" ] } ], "mendeley" : { "formattedCitation" : "(Chucholl 2013, Faulkes 2015)", "plainTextFormattedCitation" : "(Chucholl 2013, Faulkes 2015)" }, "properties" : { "noteIndex" : 0 }, "schema" : "https://github.com/citation-style-language/schema/raw/master/csl-citation.json" }</w:instrText>
            </w:r>
            <w:r w:rsidRPr="00233C97">
              <w:rPr>
                <w:rFonts w:ascii="Times New Roman" w:eastAsia="Times New Roman" w:hAnsi="Times New Roman" w:cs="Times New Roman"/>
                <w:sz w:val="20"/>
                <w:szCs w:val="20"/>
                <w:lang w:eastAsia="en-ZA"/>
              </w:rPr>
              <w:fldChar w:fldCharType="separate"/>
            </w:r>
            <w:r w:rsidRPr="00233C97">
              <w:rPr>
                <w:rFonts w:ascii="Times New Roman" w:eastAsia="Times New Roman" w:hAnsi="Times New Roman" w:cs="Times New Roman"/>
                <w:sz w:val="20"/>
                <w:szCs w:val="20"/>
                <w:lang w:eastAsia="en-ZA"/>
              </w:rPr>
              <w:t>(Chucholl 2013; Faulkes 2015)</w:t>
            </w:r>
            <w:r w:rsidRPr="00233C97">
              <w:rPr>
                <w:rFonts w:ascii="Times New Roman" w:eastAsia="Times New Roman" w:hAnsi="Times New Roman" w:cs="Times New Roman"/>
                <w:sz w:val="20"/>
                <w:szCs w:val="20"/>
                <w:lang w:eastAsia="en-ZA"/>
              </w:rPr>
              <w:fldChar w:fldCharType="end"/>
            </w:r>
            <w:r>
              <w:rPr>
                <w:rFonts w:ascii="Times New Roman" w:eastAsia="Times New Roman" w:hAnsi="Times New Roman" w:cs="Times New Roman"/>
                <w:sz w:val="20"/>
                <w:szCs w:val="20"/>
                <w:lang w:eastAsia="en-ZA"/>
              </w:rPr>
              <w:t xml:space="preserve">. </w:t>
            </w:r>
            <w:r w:rsidRPr="000B2AE2">
              <w:rPr>
                <w:rFonts w:ascii="Times New Roman" w:eastAsia="Times New Roman" w:hAnsi="Times New Roman" w:cs="Times New Roman"/>
                <w:sz w:val="20"/>
                <w:szCs w:val="20"/>
                <w:lang w:eastAsia="en-ZA"/>
              </w:rPr>
              <w:t xml:space="preserve">It is suspected that </w:t>
            </w:r>
            <w:r w:rsidRPr="000B2AE2">
              <w:rPr>
                <w:rFonts w:ascii="Times New Roman" w:eastAsia="Times New Roman" w:hAnsi="Times New Roman" w:cs="Times New Roman"/>
                <w:i/>
                <w:iCs/>
                <w:sz w:val="20"/>
                <w:szCs w:val="20"/>
                <w:lang w:eastAsia="en-ZA"/>
              </w:rPr>
              <w:t>Faxonius rusticus</w:t>
            </w:r>
            <w:r w:rsidRPr="000B2AE2">
              <w:rPr>
                <w:rFonts w:ascii="Times New Roman" w:eastAsia="Times New Roman" w:hAnsi="Times New Roman" w:cs="Times New Roman"/>
                <w:sz w:val="20"/>
                <w:szCs w:val="20"/>
                <w:lang w:eastAsia="en-ZA"/>
              </w:rPr>
              <w:t xml:space="preserve"> is present in the pet trade in South Africa, but this needs to be confirmed (</w:t>
            </w:r>
            <w:r w:rsidR="008A0BC6">
              <w:rPr>
                <w:rFonts w:ascii="Times New Roman" w:eastAsia="Times New Roman" w:hAnsi="Times New Roman" w:cs="Times New Roman"/>
                <w:sz w:val="20"/>
                <w:szCs w:val="20"/>
                <w:lang w:eastAsia="en-ZA"/>
              </w:rPr>
              <w:t>De Moor</w:t>
            </w:r>
            <w:r w:rsidRPr="00233C97">
              <w:rPr>
                <w:rFonts w:ascii="Times New Roman" w:eastAsia="Times New Roman" w:hAnsi="Times New Roman" w:cs="Times New Roman"/>
                <w:sz w:val="20"/>
                <w:szCs w:val="20"/>
                <w:lang w:eastAsia="en-ZA"/>
              </w:rPr>
              <w:t>e 2002</w:t>
            </w:r>
            <w:r>
              <w:rPr>
                <w:rFonts w:ascii="Times New Roman" w:eastAsia="Times New Roman" w:hAnsi="Times New Roman" w:cs="Times New Roman"/>
                <w:sz w:val="20"/>
                <w:szCs w:val="20"/>
                <w:lang w:eastAsia="en-ZA"/>
              </w:rPr>
              <w:t xml:space="preserve">; </w:t>
            </w:r>
            <w:r w:rsidRPr="000B2AE2">
              <w:rPr>
                <w:rFonts w:ascii="Times New Roman" w:eastAsia="Times New Roman" w:hAnsi="Times New Roman" w:cs="Times New Roman"/>
                <w:sz w:val="20"/>
                <w:szCs w:val="20"/>
                <w:lang w:eastAsia="en-ZA"/>
              </w:rPr>
              <w:t xml:space="preserve">Nunes et al. 2017). The species is absent in neighbouring countries </w:t>
            </w:r>
            <w:r>
              <w:rPr>
                <w:rFonts w:ascii="Times New Roman" w:eastAsia="Times New Roman" w:hAnsi="Times New Roman" w:cs="Times New Roman"/>
                <w:sz w:val="20"/>
                <w:szCs w:val="20"/>
                <w:lang w:eastAsia="en-ZA"/>
              </w:rPr>
              <w:t>(</w:t>
            </w:r>
            <w:r w:rsidRPr="000B2AE2">
              <w:rPr>
                <w:rFonts w:ascii="Times New Roman" w:eastAsia="Times New Roman" w:hAnsi="Times New Roman" w:cs="Times New Roman"/>
                <w:sz w:val="20"/>
                <w:szCs w:val="20"/>
                <w:lang w:eastAsia="en-ZA"/>
              </w:rPr>
              <w:t>Madzivanzira et al. 2021</w:t>
            </w:r>
            <w:r>
              <w:rPr>
                <w:rFonts w:ascii="Times New Roman" w:eastAsia="Times New Roman" w:hAnsi="Times New Roman" w:cs="Times New Roman"/>
                <w:sz w:val="20"/>
                <w:szCs w:val="20"/>
                <w:lang w:eastAsia="en-ZA"/>
              </w:rPr>
              <w:t>)</w:t>
            </w:r>
            <w:r w:rsidRPr="000B2AE2">
              <w:rPr>
                <w:rFonts w:ascii="Times New Roman" w:eastAsia="Times New Roman" w:hAnsi="Times New Roman" w:cs="Times New Roman"/>
                <w:sz w:val="20"/>
                <w:szCs w:val="20"/>
                <w:lang w:eastAsia="en-ZA"/>
              </w:rPr>
              <w:t xml:space="preserve">, so unaided immigration is unlikely. Moreover, it should be possible to regulate intentional introductions </w:t>
            </w:r>
            <w:r>
              <w:rPr>
                <w:rFonts w:ascii="Times New Roman" w:eastAsia="Times New Roman" w:hAnsi="Times New Roman" w:cs="Times New Roman"/>
                <w:sz w:val="20"/>
                <w:szCs w:val="20"/>
                <w:lang w:eastAsia="en-ZA"/>
              </w:rPr>
              <w:t xml:space="preserve">through </w:t>
            </w:r>
            <w:r w:rsidRPr="000B2AE2">
              <w:rPr>
                <w:rFonts w:ascii="Times New Roman" w:eastAsia="Times New Roman" w:hAnsi="Times New Roman" w:cs="Times New Roman"/>
                <w:sz w:val="20"/>
                <w:szCs w:val="20"/>
                <w:lang w:eastAsia="en-ZA"/>
              </w:rPr>
              <w:t>legislative regulations and having an effective border surveillance and monitoring strategy (Zengeya &amp; Wilson 2020</w:t>
            </w:r>
            <w:r>
              <w:rPr>
                <w:rFonts w:ascii="Times New Roman" w:eastAsia="Times New Roman" w:hAnsi="Times New Roman" w:cs="Times New Roman"/>
                <w:sz w:val="20"/>
                <w:szCs w:val="20"/>
                <w:lang w:eastAsia="en-ZA"/>
              </w:rPr>
              <w:t>; Wilson &amp; Kumschick 2024</w:t>
            </w:r>
            <w:r w:rsidRPr="000B2AE2">
              <w:rPr>
                <w:rFonts w:ascii="Times New Roman" w:eastAsia="Times New Roman" w:hAnsi="Times New Roman" w:cs="Times New Roman"/>
                <w:sz w:val="20"/>
                <w:szCs w:val="20"/>
                <w:lang w:eastAsia="en-ZA"/>
              </w:rPr>
              <w:t>).</w:t>
            </w:r>
          </w:p>
        </w:tc>
      </w:tr>
      <w:tr w:rsidR="002D7080" w:rsidRPr="00592486" w14:paraId="68DC6A6D" w14:textId="77777777" w:rsidTr="002E2C37">
        <w:trPr>
          <w:trHeight w:val="108"/>
        </w:trPr>
        <w:tc>
          <w:tcPr>
            <w:tcW w:w="9067" w:type="dxa"/>
            <w:gridSpan w:val="2"/>
          </w:tcPr>
          <w:p w14:paraId="7A323FA1"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References: </w:t>
            </w:r>
          </w:p>
          <w:p w14:paraId="74C003B0" w14:textId="246210FE" w:rsidR="002D7080" w:rsidRPr="00233C97" w:rsidRDefault="008A0BC6" w:rsidP="002E2C37">
            <w:pPr>
              <w:ind w:left="720" w:hanging="720"/>
              <w:contextualSpacing/>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De Moor</w:t>
            </w:r>
            <w:r w:rsidR="002D7080" w:rsidRPr="00233C97">
              <w:rPr>
                <w:rFonts w:ascii="Times New Roman" w:eastAsia="Times New Roman" w:hAnsi="Times New Roman" w:cs="Times New Roman"/>
                <w:sz w:val="20"/>
                <w:szCs w:val="20"/>
                <w:lang w:eastAsia="en-ZA"/>
              </w:rPr>
              <w:t xml:space="preserve">, I., 2002, ‘Potential impacts of alien freshwater crayfish in South Africa’, </w:t>
            </w:r>
            <w:r w:rsidR="002D7080" w:rsidRPr="00233C97">
              <w:rPr>
                <w:rFonts w:ascii="Times New Roman" w:eastAsia="Times New Roman" w:hAnsi="Times New Roman" w:cs="Times New Roman"/>
                <w:i/>
                <w:sz w:val="20"/>
                <w:szCs w:val="20"/>
                <w:lang w:eastAsia="en-ZA"/>
              </w:rPr>
              <w:t>African Journal of Aquatic Science</w:t>
            </w:r>
            <w:r w:rsidR="002D7080" w:rsidRPr="00233C97">
              <w:rPr>
                <w:rFonts w:ascii="Times New Roman" w:eastAsia="Times New Roman" w:hAnsi="Times New Roman" w:cs="Times New Roman"/>
                <w:sz w:val="20"/>
                <w:szCs w:val="20"/>
                <w:lang w:eastAsia="en-ZA"/>
              </w:rPr>
              <w:t xml:space="preserve"> 27, 125–139</w:t>
            </w:r>
            <w:hyperlink r:id="rId350" w:history="1">
              <w:r w:rsidR="00A73CBE" w:rsidRPr="00D66918">
                <w:rPr>
                  <w:rStyle w:val="Hyperlink"/>
                  <w:rFonts w:ascii="Times New Roman" w:eastAsia="Times New Roman" w:hAnsi="Times New Roman" w:cs="Times New Roman"/>
                  <w:sz w:val="20"/>
                  <w:szCs w:val="20"/>
                  <w:lang w:eastAsia="en-ZA"/>
                </w:rPr>
                <w:t>https://doi.org/10.2989/16085914.2002.9626584</w:t>
              </w:r>
            </w:hyperlink>
            <w:r w:rsidR="00A73CBE" w:rsidRPr="00D66918">
              <w:rPr>
                <w:rFonts w:ascii="Times New Roman" w:eastAsia="Times New Roman" w:hAnsi="Times New Roman" w:cs="Times New Roman"/>
                <w:sz w:val="20"/>
                <w:szCs w:val="20"/>
                <w:lang w:eastAsia="en-ZA"/>
              </w:rPr>
              <w:t>.</w:t>
            </w:r>
          </w:p>
          <w:p w14:paraId="055A6F0D" w14:textId="73F9D204" w:rsidR="002D7080" w:rsidRPr="00233C97" w:rsidRDefault="002D7080" w:rsidP="002E2C37">
            <w:pPr>
              <w:ind w:left="720" w:hanging="720"/>
              <w:contextualSpacing/>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233C97">
              <w:rPr>
                <w:rFonts w:ascii="Times New Roman" w:eastAsia="Times New Roman" w:hAnsi="Times New Roman" w:cs="Times New Roman"/>
                <w:i/>
                <w:iCs/>
                <w:sz w:val="20"/>
                <w:szCs w:val="20"/>
                <w:lang w:eastAsia="en-ZA"/>
              </w:rPr>
              <w:t>Biological Invasions</w:t>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Cs/>
                <w:sz w:val="20"/>
                <w:szCs w:val="20"/>
                <w:lang w:eastAsia="en-ZA"/>
              </w:rPr>
              <w:t>15</w:t>
            </w:r>
            <w:r w:rsidRPr="00233C97">
              <w:rPr>
                <w:rFonts w:ascii="Times New Roman" w:eastAsia="Times New Roman" w:hAnsi="Times New Roman" w:cs="Times New Roman"/>
                <w:sz w:val="20"/>
                <w:szCs w:val="20"/>
                <w:lang w:eastAsia="en-ZA"/>
              </w:rPr>
              <w:t xml:space="preserve">, 125–141. </w:t>
            </w:r>
            <w:hyperlink r:id="rId351" w:history="1">
              <w:r w:rsidR="00A73CBE" w:rsidRPr="00F215B9">
                <w:rPr>
                  <w:rStyle w:val="Hyperlink"/>
                  <w:rFonts w:ascii="Times New Roman" w:eastAsia="Times New Roman" w:hAnsi="Times New Roman" w:cs="Times New Roman"/>
                  <w:sz w:val="20"/>
                  <w:szCs w:val="20"/>
                  <w:lang w:eastAsia="en-ZA"/>
                </w:rPr>
                <w:t>https://doi.org/10.1007/s10530-012-0273-2</w:t>
              </w:r>
            </w:hyperlink>
            <w:r w:rsidRPr="00233C97">
              <w:rPr>
                <w:rFonts w:ascii="Times New Roman" w:eastAsia="Times New Roman" w:hAnsi="Times New Roman" w:cs="Times New Roman"/>
                <w:sz w:val="20"/>
                <w:szCs w:val="20"/>
                <w:lang w:eastAsia="en-ZA"/>
              </w:rPr>
              <w:t>.</w:t>
            </w:r>
            <w:r w:rsidR="00A73CBE">
              <w:rPr>
                <w:rFonts w:ascii="Times New Roman" w:eastAsia="Times New Roman" w:hAnsi="Times New Roman" w:cs="Times New Roman"/>
                <w:sz w:val="20"/>
                <w:szCs w:val="20"/>
                <w:lang w:eastAsia="en-ZA"/>
              </w:rPr>
              <w:t xml:space="preserve"> </w:t>
            </w:r>
          </w:p>
          <w:p w14:paraId="7962FFCA" w14:textId="4B9B91A0" w:rsidR="002D7080" w:rsidRPr="00233C97" w:rsidRDefault="002D7080" w:rsidP="002E2C37">
            <w:pPr>
              <w:ind w:left="720" w:hanging="720"/>
              <w:contextualSpacing/>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Faulkes, Z, 2015, ‘The global trade in crayfish as pets’, </w:t>
            </w:r>
            <w:r w:rsidRPr="00233C97">
              <w:rPr>
                <w:rFonts w:ascii="Times New Roman" w:eastAsia="Times New Roman" w:hAnsi="Times New Roman" w:cs="Times New Roman"/>
                <w:i/>
                <w:iCs/>
                <w:sz w:val="20"/>
                <w:szCs w:val="20"/>
                <w:lang w:eastAsia="en-ZA"/>
              </w:rPr>
              <w:t>Crustacean Research</w:t>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Cs/>
                <w:sz w:val="20"/>
                <w:szCs w:val="20"/>
                <w:lang w:eastAsia="en-ZA"/>
              </w:rPr>
              <w:t>44</w:t>
            </w:r>
            <w:r w:rsidRPr="00233C97">
              <w:rPr>
                <w:rFonts w:ascii="Times New Roman" w:eastAsia="Times New Roman" w:hAnsi="Times New Roman" w:cs="Times New Roman"/>
                <w:sz w:val="20"/>
                <w:szCs w:val="20"/>
                <w:lang w:eastAsia="en-ZA"/>
              </w:rPr>
              <w:t xml:space="preserve">, 75–92. </w:t>
            </w:r>
            <w:hyperlink r:id="rId352" w:history="1">
              <w:r w:rsidR="00A73CBE" w:rsidRPr="00F215B9">
                <w:rPr>
                  <w:rStyle w:val="Hyperlink"/>
                  <w:rFonts w:ascii="Times New Roman" w:eastAsia="Times New Roman" w:hAnsi="Times New Roman" w:cs="Times New Roman"/>
                  <w:sz w:val="20"/>
                  <w:szCs w:val="20"/>
                  <w:lang w:eastAsia="en-ZA"/>
                </w:rPr>
                <w:t>https://doi.org/10.18353/crustacea.44.0_75</w:t>
              </w:r>
            </w:hyperlink>
            <w:r w:rsidRPr="00233C97">
              <w:rPr>
                <w:rFonts w:ascii="Times New Roman" w:eastAsia="Times New Roman" w:hAnsi="Times New Roman" w:cs="Times New Roman"/>
                <w:sz w:val="20"/>
                <w:szCs w:val="20"/>
                <w:lang w:eastAsia="en-ZA"/>
              </w:rPr>
              <w:t>.</w:t>
            </w:r>
            <w:r w:rsidR="00A73CBE">
              <w:rPr>
                <w:rFonts w:ascii="Times New Roman" w:eastAsia="Times New Roman" w:hAnsi="Times New Roman" w:cs="Times New Roman"/>
                <w:sz w:val="20"/>
                <w:szCs w:val="20"/>
                <w:lang w:eastAsia="en-ZA"/>
              </w:rPr>
              <w:t xml:space="preserve"> </w:t>
            </w:r>
          </w:p>
          <w:p w14:paraId="65FBDFD1" w14:textId="77777777" w:rsidR="002D7080" w:rsidRPr="00233C97"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color w:val="000000"/>
                <w:sz w:val="20"/>
                <w:szCs w:val="20"/>
                <w:lang w:eastAsia="en-ZA"/>
              </w:rPr>
              <w:t xml:space="preserve">Kerr, S.J., 2014, ‘The Introduction and </w:t>
            </w:r>
            <w:r>
              <w:rPr>
                <w:rFonts w:ascii="Times New Roman" w:eastAsia="Times New Roman" w:hAnsi="Times New Roman" w:cs="Times New Roman"/>
                <w:color w:val="000000"/>
                <w:sz w:val="20"/>
                <w:szCs w:val="20"/>
                <w:lang w:eastAsia="en-ZA"/>
              </w:rPr>
              <w:t>s</w:t>
            </w:r>
            <w:r w:rsidRPr="00233C97">
              <w:rPr>
                <w:rFonts w:ascii="Times New Roman" w:eastAsia="Times New Roman" w:hAnsi="Times New Roman" w:cs="Times New Roman"/>
                <w:color w:val="000000"/>
                <w:sz w:val="20"/>
                <w:szCs w:val="20"/>
                <w:lang w:eastAsia="en-ZA"/>
              </w:rPr>
              <w:t xml:space="preserve">pread of </w:t>
            </w:r>
            <w:r>
              <w:rPr>
                <w:rFonts w:ascii="Times New Roman" w:eastAsia="Times New Roman" w:hAnsi="Times New Roman" w:cs="Times New Roman"/>
                <w:color w:val="000000"/>
                <w:sz w:val="20"/>
                <w:szCs w:val="20"/>
                <w:lang w:eastAsia="en-ZA"/>
              </w:rPr>
              <w:t>a</w:t>
            </w:r>
            <w:r w:rsidRPr="00233C97">
              <w:rPr>
                <w:rFonts w:ascii="Times New Roman" w:eastAsia="Times New Roman" w:hAnsi="Times New Roman" w:cs="Times New Roman"/>
                <w:color w:val="000000"/>
                <w:sz w:val="20"/>
                <w:szCs w:val="20"/>
                <w:lang w:eastAsia="en-ZA"/>
              </w:rPr>
              <w:t xml:space="preserve">quatic </w:t>
            </w:r>
            <w:r>
              <w:rPr>
                <w:rFonts w:ascii="Times New Roman" w:eastAsia="Times New Roman" w:hAnsi="Times New Roman" w:cs="Times New Roman"/>
                <w:color w:val="000000"/>
                <w:sz w:val="20"/>
                <w:szCs w:val="20"/>
                <w:lang w:eastAsia="en-ZA"/>
              </w:rPr>
              <w:t>i</w:t>
            </w:r>
            <w:r w:rsidRPr="00233C97">
              <w:rPr>
                <w:rFonts w:ascii="Times New Roman" w:eastAsia="Times New Roman" w:hAnsi="Times New Roman" w:cs="Times New Roman"/>
                <w:color w:val="000000"/>
                <w:sz w:val="20"/>
                <w:szCs w:val="20"/>
                <w:lang w:eastAsia="en-ZA"/>
              </w:rPr>
              <w:t xml:space="preserve">nvasive </w:t>
            </w:r>
            <w:r>
              <w:rPr>
                <w:rFonts w:ascii="Times New Roman" w:eastAsia="Times New Roman" w:hAnsi="Times New Roman" w:cs="Times New Roman"/>
                <w:color w:val="000000"/>
                <w:sz w:val="20"/>
                <w:szCs w:val="20"/>
                <w:lang w:eastAsia="en-ZA"/>
              </w:rPr>
              <w:t>s</w:t>
            </w:r>
            <w:r w:rsidRPr="00233C97">
              <w:rPr>
                <w:rFonts w:ascii="Times New Roman" w:eastAsia="Times New Roman" w:hAnsi="Times New Roman" w:cs="Times New Roman"/>
                <w:color w:val="000000"/>
                <w:sz w:val="20"/>
                <w:szCs w:val="20"/>
                <w:lang w:eastAsia="en-ZA"/>
              </w:rPr>
              <w:t xml:space="preserve">pecies through the </w:t>
            </w:r>
            <w:r>
              <w:rPr>
                <w:rFonts w:ascii="Times New Roman" w:eastAsia="Times New Roman" w:hAnsi="Times New Roman" w:cs="Times New Roman"/>
                <w:color w:val="000000"/>
                <w:sz w:val="20"/>
                <w:szCs w:val="20"/>
                <w:lang w:eastAsia="en-ZA"/>
              </w:rPr>
              <w:t>r</w:t>
            </w:r>
            <w:r w:rsidRPr="00233C97">
              <w:rPr>
                <w:rFonts w:ascii="Times New Roman" w:eastAsia="Times New Roman" w:hAnsi="Times New Roman" w:cs="Times New Roman"/>
                <w:color w:val="000000"/>
                <w:sz w:val="20"/>
                <w:szCs w:val="20"/>
                <w:lang w:eastAsia="en-ZA"/>
              </w:rPr>
              <w:t xml:space="preserve">ecreational </w:t>
            </w:r>
            <w:r>
              <w:rPr>
                <w:rFonts w:ascii="Times New Roman" w:eastAsia="Times New Roman" w:hAnsi="Times New Roman" w:cs="Times New Roman"/>
                <w:color w:val="000000"/>
                <w:sz w:val="20"/>
                <w:szCs w:val="20"/>
                <w:lang w:eastAsia="en-ZA"/>
              </w:rPr>
              <w:t>u</w:t>
            </w:r>
            <w:r w:rsidRPr="00233C97">
              <w:rPr>
                <w:rFonts w:ascii="Times New Roman" w:eastAsia="Times New Roman" w:hAnsi="Times New Roman" w:cs="Times New Roman"/>
                <w:color w:val="000000"/>
                <w:sz w:val="20"/>
                <w:szCs w:val="20"/>
                <w:lang w:eastAsia="en-ZA"/>
              </w:rPr>
              <w:t xml:space="preserve">se of </w:t>
            </w:r>
            <w:r>
              <w:rPr>
                <w:rFonts w:ascii="Times New Roman" w:eastAsia="Times New Roman" w:hAnsi="Times New Roman" w:cs="Times New Roman"/>
                <w:color w:val="000000"/>
                <w:sz w:val="20"/>
                <w:szCs w:val="20"/>
                <w:lang w:eastAsia="en-ZA"/>
              </w:rPr>
              <w:t>b</w:t>
            </w:r>
            <w:r w:rsidRPr="00233C97">
              <w:rPr>
                <w:rFonts w:ascii="Times New Roman" w:eastAsia="Times New Roman" w:hAnsi="Times New Roman" w:cs="Times New Roman"/>
                <w:color w:val="000000"/>
                <w:sz w:val="20"/>
                <w:szCs w:val="20"/>
                <w:lang w:eastAsia="en-ZA"/>
              </w:rPr>
              <w:t xml:space="preserve">ait: A </w:t>
            </w:r>
            <w:r>
              <w:rPr>
                <w:rFonts w:ascii="Times New Roman" w:eastAsia="Times New Roman" w:hAnsi="Times New Roman" w:cs="Times New Roman"/>
                <w:color w:val="000000"/>
                <w:sz w:val="20"/>
                <w:szCs w:val="20"/>
                <w:lang w:eastAsia="en-ZA"/>
              </w:rPr>
              <w:t>l</w:t>
            </w:r>
            <w:r w:rsidRPr="00233C97">
              <w:rPr>
                <w:rFonts w:ascii="Times New Roman" w:eastAsia="Times New Roman" w:hAnsi="Times New Roman" w:cs="Times New Roman"/>
                <w:color w:val="000000"/>
                <w:sz w:val="20"/>
                <w:szCs w:val="20"/>
                <w:lang w:eastAsia="en-ZA"/>
              </w:rPr>
              <w:t xml:space="preserve">iterature </w:t>
            </w:r>
            <w:r>
              <w:rPr>
                <w:rFonts w:ascii="Times New Roman" w:eastAsia="Times New Roman" w:hAnsi="Times New Roman" w:cs="Times New Roman"/>
                <w:color w:val="000000"/>
                <w:sz w:val="20"/>
                <w:szCs w:val="20"/>
                <w:lang w:eastAsia="en-ZA"/>
              </w:rPr>
              <w:t>r</w:t>
            </w:r>
            <w:r w:rsidRPr="00233C97">
              <w:rPr>
                <w:rFonts w:ascii="Times New Roman" w:eastAsia="Times New Roman" w:hAnsi="Times New Roman" w:cs="Times New Roman"/>
                <w:color w:val="000000"/>
                <w:sz w:val="20"/>
                <w:szCs w:val="20"/>
                <w:lang w:eastAsia="en-ZA"/>
              </w:rPr>
              <w:t>eview. Report prepared for Biodiversity Branch. Ontario Ministry of Natural Resources. Peterborough’, Ontario, Canada.</w:t>
            </w:r>
          </w:p>
          <w:p w14:paraId="0AC64373" w14:textId="264575CD" w:rsidR="002D7080" w:rsidRPr="00233C97"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Calibri" w:hAnsi="Times New Roman" w:cs="Times New Roman"/>
                <w:sz w:val="20"/>
                <w:szCs w:val="20"/>
              </w:rPr>
              <w:t>Madzivanzira, T.C., South, J., Wood, L.E., Nunes, A.L.</w:t>
            </w:r>
            <w:r w:rsidRPr="00233C97">
              <w:rPr>
                <w:rFonts w:ascii="Times New Roman" w:eastAsia="Times New Roman" w:hAnsi="Times New Roman" w:cs="Times New Roman"/>
                <w:color w:val="000000"/>
                <w:sz w:val="20"/>
                <w:szCs w:val="20"/>
                <w:lang w:eastAsia="en-ZA"/>
              </w:rPr>
              <w:t xml:space="preserve"> &amp; </w:t>
            </w:r>
            <w:r w:rsidRPr="00233C97">
              <w:rPr>
                <w:rFonts w:ascii="Times New Roman" w:eastAsia="Calibri" w:hAnsi="Times New Roman" w:cs="Times New Roman"/>
                <w:sz w:val="20"/>
                <w:szCs w:val="20"/>
              </w:rPr>
              <w:t xml:space="preserve">Weyl, O.L.F., 2020, ‘A review of freshwater crayfish introductions in Africa’, </w:t>
            </w:r>
            <w:r w:rsidRPr="00233C97">
              <w:rPr>
                <w:rFonts w:ascii="Times New Roman" w:eastAsia="Calibri" w:hAnsi="Times New Roman" w:cs="Times New Roman"/>
                <w:i/>
                <w:sz w:val="20"/>
                <w:szCs w:val="20"/>
              </w:rPr>
              <w:t>Reviews in</w:t>
            </w:r>
            <w:r w:rsidRPr="00233C97">
              <w:rPr>
                <w:rFonts w:ascii="Times New Roman" w:eastAsia="Times New Roman" w:hAnsi="Times New Roman" w:cs="Times New Roman"/>
                <w:i/>
                <w:color w:val="000000"/>
                <w:sz w:val="20"/>
                <w:szCs w:val="20"/>
                <w:lang w:eastAsia="en-ZA"/>
              </w:rPr>
              <w:t xml:space="preserve"> </w:t>
            </w:r>
            <w:r w:rsidRPr="00233C97">
              <w:rPr>
                <w:rFonts w:ascii="Times New Roman" w:eastAsia="Calibri" w:hAnsi="Times New Roman" w:cs="Times New Roman"/>
                <w:i/>
                <w:sz w:val="20"/>
                <w:szCs w:val="20"/>
              </w:rPr>
              <w:t>Fisheries Science &amp; Aquaculture</w:t>
            </w:r>
            <w:r w:rsidRPr="00233C97">
              <w:rPr>
                <w:rFonts w:ascii="Times New Roman" w:eastAsia="Calibri" w:hAnsi="Times New Roman" w:cs="Times New Roman"/>
                <w:sz w:val="20"/>
                <w:szCs w:val="20"/>
              </w:rPr>
              <w:t>,</w:t>
            </w:r>
            <w:r w:rsidRPr="00233C97">
              <w:rPr>
                <w:rFonts w:ascii="Times New Roman" w:eastAsia="Calibri" w:hAnsi="Times New Roman" w:cs="Times New Roman"/>
                <w:i/>
                <w:sz w:val="20"/>
                <w:szCs w:val="20"/>
              </w:rPr>
              <w:t xml:space="preserve"> </w:t>
            </w:r>
            <w:r w:rsidRPr="00233C97">
              <w:rPr>
                <w:rFonts w:ascii="Times New Roman" w:eastAsia="Calibri" w:hAnsi="Times New Roman" w:cs="Times New Roman"/>
                <w:sz w:val="20"/>
                <w:szCs w:val="20"/>
              </w:rPr>
              <w:t xml:space="preserve">1-21. </w:t>
            </w:r>
            <w:hyperlink r:id="rId353" w:history="1">
              <w:r w:rsidR="00A73CBE" w:rsidRPr="00F215B9">
                <w:rPr>
                  <w:rStyle w:val="Hyperlink"/>
                  <w:rFonts w:ascii="Times New Roman" w:eastAsia="Calibri" w:hAnsi="Times New Roman" w:cs="Times New Roman"/>
                  <w:sz w:val="20"/>
                  <w:szCs w:val="20"/>
                </w:rPr>
                <w:t>https://doi.org/</w:t>
              </w:r>
              <w:r w:rsidR="00A73CBE" w:rsidRPr="00F215B9">
                <w:rPr>
                  <w:rStyle w:val="Hyperlink"/>
                  <w:rFonts w:ascii="Times New Roman" w:eastAsia="Times New Roman" w:hAnsi="Times New Roman" w:cs="Times New Roman"/>
                  <w:sz w:val="20"/>
                  <w:szCs w:val="20"/>
                  <w:lang w:eastAsia="en-ZA"/>
                </w:rPr>
                <w:t>10.1080/23308249.2020.1802405</w:t>
              </w:r>
            </w:hyperlink>
            <w:r w:rsidRPr="00233C97">
              <w:rPr>
                <w:rFonts w:ascii="Times New Roman" w:eastAsia="Times New Roman" w:hAnsi="Times New Roman" w:cs="Times New Roman"/>
                <w:color w:val="000000"/>
                <w:sz w:val="20"/>
                <w:szCs w:val="20"/>
                <w:lang w:eastAsia="en-ZA"/>
              </w:rPr>
              <w:t>.</w:t>
            </w:r>
            <w:r w:rsidR="00A73CBE">
              <w:rPr>
                <w:rFonts w:ascii="Times New Roman" w:eastAsia="Times New Roman" w:hAnsi="Times New Roman" w:cs="Times New Roman"/>
                <w:color w:val="000000"/>
                <w:sz w:val="20"/>
                <w:szCs w:val="20"/>
                <w:lang w:eastAsia="en-ZA"/>
              </w:rPr>
              <w:t xml:space="preserve"> </w:t>
            </w:r>
          </w:p>
          <w:p w14:paraId="7316432E" w14:textId="77777777" w:rsidR="002D7080" w:rsidRDefault="002D7080" w:rsidP="002E2C37">
            <w:pPr>
              <w:ind w:left="720" w:hanging="720"/>
              <w:contextualSpacing/>
              <w:jc w:val="both"/>
              <w:rPr>
                <w:rFonts w:ascii="Times New Roman" w:eastAsia="Calibri" w:hAnsi="Times New Roman" w:cs="Times New Roman"/>
                <w:sz w:val="20"/>
                <w:szCs w:val="20"/>
              </w:rPr>
            </w:pPr>
            <w:r w:rsidRPr="00233C97">
              <w:rPr>
                <w:rFonts w:ascii="Times New Roman" w:eastAsia="Calibri" w:hAnsi="Times New Roman" w:cs="Times New Roman"/>
                <w:sz w:val="20"/>
                <w:szCs w:val="20"/>
              </w:rPr>
              <w:t xml:space="preserve">Nunes, A.L., Zengeya, T.A., Measey, G.J. &amp; Weyl, O.L.F., 2017, ‘Freshwater crayfish invasions in South Africa: past, present and potential future’, </w:t>
            </w:r>
            <w:r w:rsidRPr="00233C97">
              <w:rPr>
                <w:rFonts w:ascii="Times New Roman" w:eastAsia="Calibri" w:hAnsi="Times New Roman" w:cs="Times New Roman"/>
                <w:i/>
                <w:sz w:val="20"/>
                <w:szCs w:val="20"/>
              </w:rPr>
              <w:t>African Journal of Aquatic Science</w:t>
            </w:r>
            <w:r w:rsidRPr="00233C97">
              <w:rPr>
                <w:rFonts w:ascii="Times New Roman" w:eastAsia="Calibri" w:hAnsi="Times New Roman" w:cs="Times New Roman"/>
                <w:sz w:val="20"/>
                <w:szCs w:val="20"/>
              </w:rPr>
              <w:t xml:space="preserve"> 42, 309–323. </w:t>
            </w:r>
            <w:hyperlink w:history="1">
              <w:r w:rsidRPr="004A70D8">
                <w:rPr>
                  <w:rStyle w:val="Hyperlink"/>
                  <w:rFonts w:ascii="Times New Roman" w:eastAsia="Calibri" w:hAnsi="Times New Roman" w:cs="Times New Roman"/>
                  <w:sz w:val="20"/>
                  <w:szCs w:val="20"/>
                </w:rPr>
                <w:t>https://doi.org/10.2989/16085914.2017.1405788</w:t>
              </w:r>
            </w:hyperlink>
            <w:r w:rsidRPr="00233C97">
              <w:rPr>
                <w:rFonts w:ascii="Times New Roman" w:eastAsia="Calibri" w:hAnsi="Times New Roman" w:cs="Times New Roman"/>
                <w:sz w:val="20"/>
                <w:szCs w:val="20"/>
              </w:rPr>
              <w:t>.</w:t>
            </w:r>
          </w:p>
          <w:p w14:paraId="381C2297" w14:textId="17FE506B" w:rsidR="002D7080" w:rsidRDefault="002D7080" w:rsidP="002E2C37">
            <w:pPr>
              <w:ind w:left="720" w:hanging="720"/>
              <w:contextualSpacing/>
              <w:jc w:val="both"/>
              <w:rPr>
                <w:rFonts w:ascii="Times New Roman" w:eastAsia="Calibri" w:hAnsi="Times New Roman" w:cs="Times New Roman"/>
                <w:sz w:val="20"/>
                <w:szCs w:val="20"/>
              </w:rPr>
            </w:pPr>
            <w:r w:rsidRPr="0099167C">
              <w:rPr>
                <w:rFonts w:ascii="Times New Roman" w:eastAsia="Calibri" w:hAnsi="Times New Roman" w:cs="Times New Roman"/>
                <w:sz w:val="20"/>
                <w:szCs w:val="20"/>
              </w:rPr>
              <w:t>Wilson, J. R., &amp; Kumschick, S.</w:t>
            </w:r>
            <w:r>
              <w:rPr>
                <w:rFonts w:ascii="Times New Roman" w:eastAsia="Calibri" w:hAnsi="Times New Roman" w:cs="Times New Roman"/>
                <w:sz w:val="20"/>
                <w:szCs w:val="20"/>
              </w:rPr>
              <w:t xml:space="preserve">, </w:t>
            </w:r>
            <w:r w:rsidRPr="0099167C">
              <w:rPr>
                <w:rFonts w:ascii="Times New Roman" w:eastAsia="Calibri" w:hAnsi="Times New Roman" w:cs="Times New Roman"/>
                <w:sz w:val="20"/>
                <w:szCs w:val="20"/>
              </w:rPr>
              <w:t>2024</w:t>
            </w:r>
            <w:r>
              <w:rPr>
                <w:rFonts w:ascii="Times New Roman" w:eastAsia="Calibri" w:hAnsi="Times New Roman" w:cs="Times New Roman"/>
                <w:sz w:val="20"/>
                <w:szCs w:val="20"/>
              </w:rPr>
              <w:t>, ‘</w:t>
            </w:r>
            <w:r w:rsidRPr="0099167C">
              <w:rPr>
                <w:rFonts w:ascii="Times New Roman" w:eastAsia="Calibri" w:hAnsi="Times New Roman" w:cs="Times New Roman"/>
                <w:sz w:val="20"/>
                <w:szCs w:val="20"/>
              </w:rPr>
              <w:t>The regulation of alien species in South Africa</w:t>
            </w:r>
            <w:r>
              <w:rPr>
                <w:rFonts w:ascii="Times New Roman" w:eastAsia="Calibri" w:hAnsi="Times New Roman" w:cs="Times New Roman"/>
                <w:sz w:val="20"/>
                <w:szCs w:val="20"/>
              </w:rPr>
              <w:t xml:space="preserve">’, </w:t>
            </w:r>
            <w:r w:rsidRPr="0099167C">
              <w:rPr>
                <w:rFonts w:ascii="Times New Roman" w:eastAsia="Calibri" w:hAnsi="Times New Roman" w:cs="Times New Roman"/>
                <w:sz w:val="20"/>
                <w:szCs w:val="20"/>
              </w:rPr>
              <w:t>South</w:t>
            </w:r>
            <w:r w:rsidRPr="0099167C">
              <w:rPr>
                <w:rFonts w:ascii="Times New Roman" w:eastAsia="Calibri" w:hAnsi="Times New Roman" w:cs="Times New Roman"/>
                <w:i/>
                <w:iCs/>
                <w:sz w:val="20"/>
                <w:szCs w:val="20"/>
              </w:rPr>
              <w:t xml:space="preserve"> African Journal of Science</w:t>
            </w:r>
            <w:r w:rsidRPr="0099167C">
              <w:rPr>
                <w:rFonts w:ascii="Times New Roman" w:eastAsia="Calibri" w:hAnsi="Times New Roman" w:cs="Times New Roman"/>
                <w:sz w:val="20"/>
                <w:szCs w:val="20"/>
              </w:rPr>
              <w:t>, </w:t>
            </w:r>
            <w:r w:rsidRPr="0099167C">
              <w:rPr>
                <w:rFonts w:ascii="Times New Roman" w:eastAsia="Calibri" w:hAnsi="Times New Roman" w:cs="Times New Roman"/>
                <w:i/>
                <w:iCs/>
                <w:sz w:val="20"/>
                <w:szCs w:val="20"/>
              </w:rPr>
              <w:t>120</w:t>
            </w:r>
            <w:r w:rsidRPr="0099167C">
              <w:rPr>
                <w:rFonts w:ascii="Times New Roman" w:eastAsia="Calibri" w:hAnsi="Times New Roman" w:cs="Times New Roman"/>
                <w:sz w:val="20"/>
                <w:szCs w:val="20"/>
              </w:rPr>
              <w:t xml:space="preserve">(5/6). </w:t>
            </w:r>
            <w:hyperlink r:id="rId354" w:history="1">
              <w:r w:rsidR="00A73CBE" w:rsidRPr="00F215B9">
                <w:rPr>
                  <w:rStyle w:val="Hyperlink"/>
                  <w:rFonts w:ascii="Times New Roman" w:eastAsia="Calibri" w:hAnsi="Times New Roman" w:cs="Times New Roman"/>
                  <w:sz w:val="20"/>
                  <w:szCs w:val="20"/>
                </w:rPr>
                <w:t>https://doi.org/10.17159/sajs.2024/17002</w:t>
              </w:r>
            </w:hyperlink>
            <w:r w:rsidR="00A73CBE">
              <w:rPr>
                <w:rFonts w:ascii="Times New Roman" w:eastAsia="Calibri" w:hAnsi="Times New Roman" w:cs="Times New Roman"/>
                <w:sz w:val="20"/>
                <w:szCs w:val="20"/>
              </w:rPr>
              <w:t xml:space="preserve"> </w:t>
            </w:r>
          </w:p>
          <w:p w14:paraId="2A67BD78" w14:textId="100C4234" w:rsidR="002D7080" w:rsidRPr="000B2AE2"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0B2AE2">
              <w:rPr>
                <w:rFonts w:ascii="Times New Roman" w:eastAsia="Times New Roman" w:hAnsi="Times New Roman" w:cs="Times New Roman"/>
                <w:sz w:val="20"/>
                <w:szCs w:val="20"/>
                <w:lang w:eastAsia="en-ZA"/>
              </w:rPr>
              <w:t xml:space="preserve">Zengeya, T.A. &amp; Wilson, J.R., (eds.) 2020, </w:t>
            </w:r>
            <w:r w:rsidRPr="000B2AE2">
              <w:rPr>
                <w:rFonts w:ascii="Times New Roman" w:eastAsia="Times New Roman" w:hAnsi="Times New Roman" w:cs="Times New Roman"/>
                <w:i/>
                <w:iCs/>
                <w:sz w:val="20"/>
                <w:szCs w:val="20"/>
                <w:lang w:eastAsia="en-ZA"/>
              </w:rPr>
              <w:t>The status of biological invasions and their management in South Africa in 2019</w:t>
            </w:r>
            <w:r w:rsidRPr="000B2AE2">
              <w:rPr>
                <w:rFonts w:ascii="Times New Roman" w:eastAsia="Times New Roman" w:hAnsi="Times New Roman" w:cs="Times New Roman"/>
                <w:sz w:val="20"/>
                <w:szCs w:val="20"/>
                <w:lang w:eastAsia="en-ZA"/>
              </w:rPr>
              <w:t xml:space="preserve">, pp.71, South African National Biodiversity Institute, Kirstenbosch and DSI-NRF Centre of Excellence for Invasion Biology, Stellenbosch. </w:t>
            </w:r>
            <w:hyperlink r:id="rId355" w:history="1">
              <w:r w:rsidR="00A73CBE" w:rsidRPr="00F215B9">
                <w:rPr>
                  <w:rStyle w:val="Hyperlink"/>
                  <w:rFonts w:ascii="Times New Roman" w:eastAsia="Times New Roman" w:hAnsi="Times New Roman" w:cs="Times New Roman"/>
                  <w:sz w:val="20"/>
                  <w:szCs w:val="20"/>
                  <w:lang w:eastAsia="en-ZA"/>
                </w:rPr>
                <w:t>http://dx.doi.org/10.5281/zenodo.3947613</w:t>
              </w:r>
            </w:hyperlink>
            <w:r w:rsidRPr="000B2AE2">
              <w:rPr>
                <w:rFonts w:ascii="Times New Roman" w:eastAsia="Times New Roman" w:hAnsi="Times New Roman" w:cs="Times New Roman"/>
                <w:sz w:val="20"/>
                <w:szCs w:val="20"/>
                <w:lang w:eastAsia="en-ZA"/>
              </w:rPr>
              <w:t>.</w:t>
            </w:r>
            <w:r w:rsidR="00A73CBE">
              <w:rPr>
                <w:rFonts w:ascii="Times New Roman" w:eastAsia="Times New Roman" w:hAnsi="Times New Roman" w:cs="Times New Roman"/>
                <w:sz w:val="20"/>
                <w:szCs w:val="20"/>
                <w:lang w:eastAsia="en-ZA"/>
              </w:rPr>
              <w:t xml:space="preserve"> </w:t>
            </w:r>
          </w:p>
        </w:tc>
      </w:tr>
    </w:tbl>
    <w:p w14:paraId="6AEBBC86" w14:textId="77777777" w:rsidR="002D7080" w:rsidRPr="00233C97"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592486" w14:paraId="1E27C5C8" w14:textId="77777777" w:rsidTr="002E2C37">
        <w:trPr>
          <w:trHeight w:val="343"/>
        </w:trPr>
        <w:tc>
          <w:tcPr>
            <w:tcW w:w="9067" w:type="dxa"/>
            <w:gridSpan w:val="2"/>
            <w:shd w:val="clear" w:color="auto" w:fill="F2F2F2" w:themeFill="background1" w:themeFillShade="F2"/>
          </w:tcPr>
          <w:p w14:paraId="70AC5437" w14:textId="77777777" w:rsidR="002D7080" w:rsidRPr="00233C97" w:rsidRDefault="002D7080" w:rsidP="002E2C37">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MAN2 Benefits of the Taxon</w:t>
            </w:r>
          </w:p>
        </w:tc>
      </w:tr>
      <w:tr w:rsidR="002D7080" w:rsidRPr="00592486" w14:paraId="56B07166" w14:textId="77777777" w:rsidTr="002E2C37">
        <w:trPr>
          <w:trHeight w:val="343"/>
        </w:trPr>
        <w:tc>
          <w:tcPr>
            <w:tcW w:w="9067" w:type="dxa"/>
            <w:gridSpan w:val="2"/>
            <w:shd w:val="clear" w:color="auto" w:fill="F2F2F2" w:themeFill="background1" w:themeFillShade="F2"/>
          </w:tcPr>
          <w:p w14:paraId="76DB509C"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 xml:space="preserve">MAN2a Socio-economic benefits of the </w:t>
            </w:r>
            <w:r w:rsidRPr="00233C97">
              <w:rPr>
                <w:rFonts w:ascii="Times New Roman" w:eastAsia="Times New Roman" w:hAnsi="Times New Roman" w:cs="Times New Roman"/>
                <w:b/>
                <w:i/>
                <w:sz w:val="20"/>
                <w:szCs w:val="20"/>
                <w:lang w:eastAsia="en-ZA"/>
              </w:rPr>
              <w:t>Taxon</w:t>
            </w:r>
          </w:p>
        </w:tc>
      </w:tr>
      <w:tr w:rsidR="002D7080" w:rsidRPr="00592486" w14:paraId="5C11752D" w14:textId="77777777" w:rsidTr="002E2C37">
        <w:trPr>
          <w:trHeight w:val="172"/>
        </w:trPr>
        <w:tc>
          <w:tcPr>
            <w:tcW w:w="5240" w:type="dxa"/>
          </w:tcPr>
          <w:p w14:paraId="49FB324B"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Low </w:t>
            </w:r>
          </w:p>
        </w:tc>
        <w:tc>
          <w:tcPr>
            <w:tcW w:w="3827" w:type="dxa"/>
          </w:tcPr>
          <w:p w14:paraId="44C531BA"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Confidence: </w:t>
            </w:r>
            <w:r>
              <w:rPr>
                <w:rFonts w:ascii="Times New Roman" w:eastAsia="Times New Roman" w:hAnsi="Times New Roman" w:cs="Times New Roman"/>
                <w:sz w:val="20"/>
                <w:szCs w:val="20"/>
                <w:lang w:eastAsia="en-ZA"/>
              </w:rPr>
              <w:t xml:space="preserve">Low </w:t>
            </w:r>
          </w:p>
        </w:tc>
      </w:tr>
      <w:tr w:rsidR="002D7080" w:rsidRPr="00592486" w14:paraId="51E67776" w14:textId="77777777" w:rsidTr="002E2C37">
        <w:trPr>
          <w:trHeight w:val="70"/>
        </w:trPr>
        <w:tc>
          <w:tcPr>
            <w:tcW w:w="9067" w:type="dxa"/>
            <w:gridSpan w:val="2"/>
          </w:tcPr>
          <w:p w14:paraId="24C91990"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Rationale: </w:t>
            </w:r>
            <w:r w:rsidRPr="00233C97">
              <w:rPr>
                <w:rFonts w:ascii="Times New Roman" w:eastAsia="Times New Roman" w:hAnsi="Times New Roman" w:cs="Times New Roman"/>
                <w:i/>
                <w:color w:val="000000"/>
                <w:sz w:val="20"/>
                <w:szCs w:val="20"/>
                <w:lang w:eastAsia="en-ZA"/>
              </w:rPr>
              <w:t xml:space="preserve">Faxonius rusticus </w:t>
            </w:r>
            <w:r w:rsidRPr="00233C97">
              <w:rPr>
                <w:rFonts w:ascii="Times New Roman" w:eastAsia="Times New Roman" w:hAnsi="Times New Roman" w:cs="Times New Roman"/>
                <w:color w:val="000000"/>
                <w:sz w:val="20"/>
                <w:szCs w:val="20"/>
                <w:lang w:eastAsia="en-ZA"/>
              </w:rPr>
              <w:t>is popular</w:t>
            </w:r>
            <w:r>
              <w:rPr>
                <w:rFonts w:ascii="Times New Roman" w:eastAsia="Times New Roman" w:hAnsi="Times New Roman" w:cs="Times New Roman"/>
                <w:color w:val="000000"/>
                <w:sz w:val="20"/>
                <w:szCs w:val="20"/>
                <w:lang w:eastAsia="en-ZA"/>
              </w:rPr>
              <w:t xml:space="preserve">ly used </w:t>
            </w:r>
            <w:r w:rsidRPr="00233C97">
              <w:rPr>
                <w:rFonts w:ascii="Times New Roman" w:eastAsia="Times New Roman" w:hAnsi="Times New Roman" w:cs="Times New Roman"/>
                <w:color w:val="000000"/>
                <w:sz w:val="20"/>
                <w:szCs w:val="20"/>
                <w:lang w:eastAsia="en-ZA"/>
              </w:rPr>
              <w:t xml:space="preserve">as a live bait by anglers for recreational fishing (Kerr 2014; Olden et al. 2009). </w:t>
            </w:r>
            <w:r w:rsidRPr="00233C97">
              <w:rPr>
                <w:rFonts w:ascii="Times New Roman" w:eastAsia="Times New Roman" w:hAnsi="Times New Roman" w:cs="Times New Roman"/>
                <w:i/>
                <w:color w:val="000000"/>
                <w:sz w:val="20"/>
                <w:szCs w:val="20"/>
                <w:lang w:eastAsia="en-ZA"/>
              </w:rPr>
              <w:t>Faxonius rusticus</w:t>
            </w:r>
            <w:r w:rsidRPr="00233C97">
              <w:rPr>
                <w:rFonts w:ascii="Times New Roman" w:eastAsia="Times New Roman" w:hAnsi="Times New Roman" w:cs="Times New Roman"/>
                <w:color w:val="000000"/>
                <w:sz w:val="20"/>
                <w:szCs w:val="20"/>
                <w:lang w:eastAsia="en-ZA"/>
              </w:rPr>
              <w:t xml:space="preserve"> is present in the pet trade industry in Germany and the USA </w:t>
            </w:r>
            <w:r w:rsidRPr="00233C97">
              <w:rPr>
                <w:rFonts w:ascii="Times New Roman" w:eastAsia="Times New Roman" w:hAnsi="Times New Roman" w:cs="Times New Roman"/>
                <w:color w:val="000000"/>
                <w:sz w:val="20"/>
                <w:szCs w:val="20"/>
                <w:lang w:eastAsia="en-ZA"/>
              </w:rPr>
              <w:fldChar w:fldCharType="begin" w:fldLock="1"/>
            </w:r>
            <w:r w:rsidRPr="00233C97">
              <w:rPr>
                <w:rFonts w:ascii="Times New Roman" w:eastAsia="Times New Roman" w:hAnsi="Times New Roman" w:cs="Times New Roman"/>
                <w:color w:val="000000"/>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233C97">
              <w:rPr>
                <w:rFonts w:ascii="Times New Roman" w:eastAsia="Times New Roman" w:hAnsi="Times New Roman" w:cs="Times New Roman"/>
                <w:color w:val="000000"/>
                <w:sz w:val="20"/>
                <w:szCs w:val="20"/>
                <w:lang w:eastAsia="en-ZA"/>
              </w:rPr>
              <w:fldChar w:fldCharType="separate"/>
            </w:r>
            <w:r w:rsidRPr="00233C97">
              <w:rPr>
                <w:rFonts w:ascii="Times New Roman" w:eastAsia="Times New Roman" w:hAnsi="Times New Roman" w:cs="Times New Roman"/>
                <w:noProof/>
                <w:color w:val="000000"/>
                <w:sz w:val="20"/>
                <w:szCs w:val="20"/>
                <w:lang w:eastAsia="en-ZA"/>
              </w:rPr>
              <w:t>(Faulkes 2015)</w:t>
            </w:r>
            <w:r w:rsidRPr="00233C97">
              <w:rPr>
                <w:rFonts w:ascii="Times New Roman" w:eastAsia="Times New Roman" w:hAnsi="Times New Roman" w:cs="Times New Roman"/>
                <w:color w:val="000000"/>
                <w:sz w:val="20"/>
                <w:szCs w:val="20"/>
                <w:lang w:eastAsia="en-ZA"/>
              </w:rPr>
              <w:fldChar w:fldCharType="end"/>
            </w:r>
            <w:r w:rsidRPr="00233C97">
              <w:rPr>
                <w:rFonts w:ascii="Times New Roman" w:eastAsia="Times New Roman" w:hAnsi="Times New Roman" w:cs="Times New Roman"/>
                <w:color w:val="000000"/>
                <w:sz w:val="20"/>
                <w:szCs w:val="20"/>
                <w:lang w:eastAsia="en-ZA"/>
              </w:rPr>
              <w:t xml:space="preserve">. </w:t>
            </w:r>
            <w:r w:rsidRPr="004B1783">
              <w:rPr>
                <w:rFonts w:ascii="Times New Roman" w:eastAsia="Times New Roman" w:hAnsi="Times New Roman" w:cs="Times New Roman"/>
                <w:color w:val="000000"/>
                <w:sz w:val="20"/>
                <w:szCs w:val="20"/>
                <w:lang w:eastAsia="en-ZA"/>
              </w:rPr>
              <w:t>No socio-economic benefits have been recorded to date in South Africa a</w:t>
            </w:r>
            <w:r>
              <w:rPr>
                <w:rFonts w:ascii="Times New Roman" w:eastAsia="Times New Roman" w:hAnsi="Times New Roman" w:cs="Times New Roman"/>
                <w:color w:val="000000"/>
                <w:sz w:val="20"/>
                <w:szCs w:val="20"/>
                <w:lang w:eastAsia="en-ZA"/>
              </w:rPr>
              <w:t>nd</w:t>
            </w:r>
            <w:r w:rsidRPr="004B1783">
              <w:rPr>
                <w:rFonts w:ascii="Times New Roman" w:eastAsia="Times New Roman" w:hAnsi="Times New Roman" w:cs="Times New Roman"/>
                <w:color w:val="000000"/>
                <w:sz w:val="20"/>
                <w:szCs w:val="20"/>
                <w:lang w:eastAsia="en-ZA"/>
              </w:rPr>
              <w:t xml:space="preserve"> even if </w:t>
            </w:r>
            <w:r w:rsidRPr="00233C97">
              <w:rPr>
                <w:rFonts w:ascii="Times New Roman" w:eastAsia="Times New Roman" w:hAnsi="Times New Roman" w:cs="Times New Roman"/>
                <w:i/>
                <w:color w:val="000000"/>
                <w:sz w:val="20"/>
                <w:szCs w:val="20"/>
                <w:lang w:eastAsia="en-ZA"/>
              </w:rPr>
              <w:t>F</w:t>
            </w:r>
            <w:r>
              <w:rPr>
                <w:rFonts w:ascii="Times New Roman" w:eastAsia="Times New Roman" w:hAnsi="Times New Roman" w:cs="Times New Roman"/>
                <w:i/>
                <w:color w:val="000000"/>
                <w:sz w:val="20"/>
                <w:szCs w:val="20"/>
                <w:lang w:eastAsia="en-ZA"/>
              </w:rPr>
              <w:t>.</w:t>
            </w:r>
            <w:r w:rsidRPr="00233C97">
              <w:rPr>
                <w:rFonts w:ascii="Times New Roman" w:eastAsia="Times New Roman" w:hAnsi="Times New Roman" w:cs="Times New Roman"/>
                <w:i/>
                <w:color w:val="000000"/>
                <w:sz w:val="20"/>
                <w:szCs w:val="20"/>
                <w:lang w:eastAsia="en-ZA"/>
              </w:rPr>
              <w:t xml:space="preserve"> rusticus </w:t>
            </w:r>
            <w:r w:rsidRPr="004B1783">
              <w:rPr>
                <w:rFonts w:ascii="Times New Roman" w:eastAsia="Times New Roman" w:hAnsi="Times New Roman" w:cs="Times New Roman"/>
                <w:color w:val="000000"/>
                <w:sz w:val="20"/>
                <w:szCs w:val="20"/>
                <w:lang w:eastAsia="en-ZA"/>
              </w:rPr>
              <w:t>is present the benefits are likely to be low (Madzivanzira et al. 2021).</w:t>
            </w:r>
          </w:p>
        </w:tc>
      </w:tr>
      <w:tr w:rsidR="002D7080" w:rsidRPr="00592486" w14:paraId="2C864ED5" w14:textId="77777777" w:rsidTr="002E2C37">
        <w:trPr>
          <w:trHeight w:val="70"/>
        </w:trPr>
        <w:tc>
          <w:tcPr>
            <w:tcW w:w="9067" w:type="dxa"/>
            <w:gridSpan w:val="2"/>
          </w:tcPr>
          <w:p w14:paraId="1181D505" w14:textId="77777777" w:rsidR="002D7080" w:rsidRPr="00233C97" w:rsidRDefault="002D7080" w:rsidP="002E2C37">
            <w:pPr>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3CD5CA8D" w14:textId="7F946E41" w:rsidR="002D7080" w:rsidRPr="00233C97" w:rsidRDefault="002D7080" w:rsidP="002E2C37">
            <w:pPr>
              <w:ind w:left="720" w:hanging="720"/>
              <w:contextualSpacing/>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Faulkes, Z, 2015, ‘The global trade in crayfish as pets’, </w:t>
            </w:r>
            <w:r w:rsidRPr="00233C97">
              <w:rPr>
                <w:rFonts w:ascii="Times New Roman" w:eastAsia="Times New Roman" w:hAnsi="Times New Roman" w:cs="Times New Roman"/>
                <w:i/>
                <w:iCs/>
                <w:sz w:val="20"/>
                <w:szCs w:val="20"/>
                <w:lang w:eastAsia="en-ZA"/>
              </w:rPr>
              <w:t>Crustacean Research</w:t>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Cs/>
                <w:sz w:val="20"/>
                <w:szCs w:val="20"/>
                <w:lang w:eastAsia="en-ZA"/>
              </w:rPr>
              <w:t>44</w:t>
            </w:r>
            <w:r w:rsidRPr="00233C97">
              <w:rPr>
                <w:rFonts w:ascii="Times New Roman" w:eastAsia="Times New Roman" w:hAnsi="Times New Roman" w:cs="Times New Roman"/>
                <w:sz w:val="20"/>
                <w:szCs w:val="20"/>
                <w:lang w:eastAsia="en-ZA"/>
              </w:rPr>
              <w:t xml:space="preserve">, 75–92. </w:t>
            </w:r>
            <w:hyperlink r:id="rId356" w:history="1">
              <w:r w:rsidR="00A73CBE" w:rsidRPr="00F215B9">
                <w:rPr>
                  <w:rStyle w:val="Hyperlink"/>
                  <w:rFonts w:ascii="Times New Roman" w:eastAsia="Times New Roman" w:hAnsi="Times New Roman" w:cs="Times New Roman"/>
                  <w:sz w:val="20"/>
                  <w:szCs w:val="20"/>
                  <w:lang w:eastAsia="en-ZA"/>
                </w:rPr>
                <w:t>https://doi.org/10.18353/crustacea.44.0_75</w:t>
              </w:r>
            </w:hyperlink>
            <w:r w:rsidRPr="00233C97">
              <w:rPr>
                <w:rFonts w:ascii="Times New Roman" w:eastAsia="Times New Roman" w:hAnsi="Times New Roman" w:cs="Times New Roman"/>
                <w:sz w:val="20"/>
                <w:szCs w:val="20"/>
                <w:lang w:eastAsia="en-ZA"/>
              </w:rPr>
              <w:t>.</w:t>
            </w:r>
            <w:r w:rsidR="00A73CBE">
              <w:rPr>
                <w:rFonts w:ascii="Times New Roman" w:eastAsia="Times New Roman" w:hAnsi="Times New Roman" w:cs="Times New Roman"/>
                <w:sz w:val="20"/>
                <w:szCs w:val="20"/>
                <w:lang w:eastAsia="en-ZA"/>
              </w:rPr>
              <w:t xml:space="preserve"> </w:t>
            </w:r>
          </w:p>
          <w:p w14:paraId="70C863BA" w14:textId="77777777" w:rsidR="002D7080" w:rsidRPr="00233C97"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color w:val="000000"/>
                <w:sz w:val="20"/>
                <w:szCs w:val="20"/>
                <w:lang w:eastAsia="en-ZA"/>
              </w:rPr>
              <w:lastRenderedPageBreak/>
              <w:t>Kerr, S.J., 2014, ‘The introduction and spread of aquatic invasive species through the recreational use of bait: A literature review”, Report prepared for Biodiversity Branch. Ontario Ministry of Natural Resources. Peterborough’, Ontario, Canada.</w:t>
            </w:r>
          </w:p>
          <w:p w14:paraId="52A6D4F9" w14:textId="77777777" w:rsidR="002D7080"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color w:val="000000"/>
                <w:sz w:val="20"/>
                <w:szCs w:val="20"/>
                <w:lang w:eastAsia="en-ZA"/>
              </w:rPr>
              <w:t xml:space="preserve">Olden, J.D., Adams, J.W. &amp; Larson, E.R., 2009, ‘First record of </w:t>
            </w:r>
            <w:r w:rsidRPr="00233C97">
              <w:rPr>
                <w:rFonts w:ascii="Times New Roman" w:eastAsia="Times New Roman" w:hAnsi="Times New Roman" w:cs="Times New Roman"/>
                <w:i/>
                <w:color w:val="000000"/>
                <w:sz w:val="20"/>
                <w:szCs w:val="20"/>
                <w:lang w:eastAsia="en-ZA"/>
              </w:rPr>
              <w:t>Orconectes rusticus</w:t>
            </w:r>
            <w:r w:rsidRPr="00233C97">
              <w:rPr>
                <w:rFonts w:ascii="Times New Roman" w:eastAsia="Times New Roman" w:hAnsi="Times New Roman" w:cs="Times New Roman"/>
                <w:color w:val="000000"/>
                <w:sz w:val="20"/>
                <w:szCs w:val="20"/>
                <w:lang w:eastAsia="en-ZA"/>
              </w:rPr>
              <w:t xml:space="preserve"> (Girard, 1852) (Decapoda, Cambaridae) west of the great continental divide in North America’, </w:t>
            </w:r>
            <w:r w:rsidRPr="00233C97">
              <w:rPr>
                <w:rFonts w:ascii="Times New Roman" w:eastAsia="Times New Roman" w:hAnsi="Times New Roman" w:cs="Times New Roman"/>
                <w:i/>
                <w:iCs/>
                <w:color w:val="000000"/>
                <w:sz w:val="20"/>
                <w:szCs w:val="20"/>
                <w:lang w:eastAsia="en-ZA"/>
              </w:rPr>
              <w:t>Crustaceana</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Cs/>
                <w:color w:val="000000"/>
                <w:sz w:val="20"/>
                <w:szCs w:val="20"/>
                <w:lang w:eastAsia="en-ZA"/>
              </w:rPr>
              <w:t>82</w:t>
            </w:r>
            <w:r w:rsidRPr="00233C97">
              <w:rPr>
                <w:rFonts w:ascii="Times New Roman" w:eastAsia="Times New Roman" w:hAnsi="Times New Roman" w:cs="Times New Roman"/>
                <w:color w:val="000000"/>
                <w:sz w:val="20"/>
                <w:szCs w:val="20"/>
                <w:lang w:eastAsia="en-ZA"/>
              </w:rPr>
              <w:t>, 1347–1351.</w:t>
            </w:r>
            <w:r w:rsidRPr="00233C97">
              <w:rPr>
                <w:rFonts w:ascii="Times New Roman" w:hAnsi="Times New Roman" w:cs="Times New Roman"/>
                <w:color w:val="000000"/>
                <w:sz w:val="20"/>
                <w:szCs w:val="20"/>
              </w:rPr>
              <w:t xml:space="preserve"> </w:t>
            </w:r>
            <w:hyperlink w:history="1">
              <w:r w:rsidRPr="004A70D8">
                <w:rPr>
                  <w:rStyle w:val="Hyperlink"/>
                  <w:rFonts w:ascii="Times New Roman" w:hAnsi="Times New Roman" w:cs="Times New Roman"/>
                  <w:sz w:val="20"/>
                  <w:szCs w:val="20"/>
                </w:rPr>
                <w:t>https://doi.org/</w:t>
              </w:r>
              <w:r w:rsidRPr="004A70D8">
                <w:rPr>
                  <w:rStyle w:val="Hyperlink"/>
                  <w:rFonts w:ascii="Times New Roman" w:eastAsia="Times New Roman" w:hAnsi="Times New Roman" w:cs="Times New Roman"/>
                  <w:sz w:val="20"/>
                  <w:szCs w:val="20"/>
                  <w:lang w:eastAsia="en-ZA"/>
                </w:rPr>
                <w:t>10.56854009X448934</w:t>
              </w:r>
            </w:hyperlink>
            <w:r w:rsidRPr="00233C97">
              <w:rPr>
                <w:rFonts w:ascii="Times New Roman" w:eastAsia="Times New Roman" w:hAnsi="Times New Roman" w:cs="Times New Roman"/>
                <w:color w:val="000000"/>
                <w:sz w:val="20"/>
                <w:szCs w:val="20"/>
                <w:lang w:eastAsia="en-ZA"/>
              </w:rPr>
              <w:t>.</w:t>
            </w:r>
          </w:p>
          <w:p w14:paraId="65453EC7" w14:textId="15B8B60C" w:rsidR="002D7080" w:rsidRPr="004B1783"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Calibri" w:hAnsi="Times New Roman" w:cs="Times New Roman"/>
                <w:sz w:val="20"/>
                <w:szCs w:val="20"/>
              </w:rPr>
              <w:t>Madzivanzira, T.C., South, J., Wood, L.E., Nunes, A.L.</w:t>
            </w:r>
            <w:r w:rsidRPr="00233C97">
              <w:rPr>
                <w:rFonts w:ascii="Times New Roman" w:eastAsia="Times New Roman" w:hAnsi="Times New Roman" w:cs="Times New Roman"/>
                <w:color w:val="000000"/>
                <w:sz w:val="20"/>
                <w:szCs w:val="20"/>
                <w:lang w:eastAsia="en-ZA"/>
              </w:rPr>
              <w:t xml:space="preserve"> &amp; </w:t>
            </w:r>
            <w:r w:rsidRPr="00233C97">
              <w:rPr>
                <w:rFonts w:ascii="Times New Roman" w:eastAsia="Calibri" w:hAnsi="Times New Roman" w:cs="Times New Roman"/>
                <w:sz w:val="20"/>
                <w:szCs w:val="20"/>
              </w:rPr>
              <w:t xml:space="preserve">Weyl, O.L.F., 2020, ‘A review of freshwater crayfish introductions in Africa’, </w:t>
            </w:r>
            <w:r w:rsidRPr="00233C97">
              <w:rPr>
                <w:rFonts w:ascii="Times New Roman" w:eastAsia="Calibri" w:hAnsi="Times New Roman" w:cs="Times New Roman"/>
                <w:i/>
                <w:sz w:val="20"/>
                <w:szCs w:val="20"/>
              </w:rPr>
              <w:t>Reviews in</w:t>
            </w:r>
            <w:r w:rsidRPr="00233C97">
              <w:rPr>
                <w:rFonts w:ascii="Times New Roman" w:eastAsia="Times New Roman" w:hAnsi="Times New Roman" w:cs="Times New Roman"/>
                <w:i/>
                <w:color w:val="000000"/>
                <w:sz w:val="20"/>
                <w:szCs w:val="20"/>
                <w:lang w:eastAsia="en-ZA"/>
              </w:rPr>
              <w:t xml:space="preserve"> </w:t>
            </w:r>
            <w:r w:rsidRPr="00233C97">
              <w:rPr>
                <w:rFonts w:ascii="Times New Roman" w:eastAsia="Calibri" w:hAnsi="Times New Roman" w:cs="Times New Roman"/>
                <w:i/>
                <w:sz w:val="20"/>
                <w:szCs w:val="20"/>
              </w:rPr>
              <w:t>Fisheries Science &amp; Aquaculture</w:t>
            </w:r>
            <w:r w:rsidRPr="00233C97">
              <w:rPr>
                <w:rFonts w:ascii="Times New Roman" w:eastAsia="Calibri" w:hAnsi="Times New Roman" w:cs="Times New Roman"/>
                <w:sz w:val="20"/>
                <w:szCs w:val="20"/>
              </w:rPr>
              <w:t>,</w:t>
            </w:r>
            <w:r w:rsidRPr="00233C97">
              <w:rPr>
                <w:rFonts w:ascii="Times New Roman" w:eastAsia="Calibri" w:hAnsi="Times New Roman" w:cs="Times New Roman"/>
                <w:i/>
                <w:sz w:val="20"/>
                <w:szCs w:val="20"/>
              </w:rPr>
              <w:t xml:space="preserve"> </w:t>
            </w:r>
            <w:r w:rsidRPr="00233C97">
              <w:rPr>
                <w:rFonts w:ascii="Times New Roman" w:eastAsia="Calibri" w:hAnsi="Times New Roman" w:cs="Times New Roman"/>
                <w:sz w:val="20"/>
                <w:szCs w:val="20"/>
              </w:rPr>
              <w:t xml:space="preserve">1-21. </w:t>
            </w:r>
            <w:hyperlink r:id="rId357" w:history="1">
              <w:r w:rsidR="00A73CBE" w:rsidRPr="00F215B9">
                <w:rPr>
                  <w:rStyle w:val="Hyperlink"/>
                  <w:rFonts w:ascii="Times New Roman" w:eastAsia="Calibri" w:hAnsi="Times New Roman" w:cs="Times New Roman"/>
                  <w:sz w:val="20"/>
                  <w:szCs w:val="20"/>
                </w:rPr>
                <w:t>https://doi.org/</w:t>
              </w:r>
              <w:r w:rsidR="00A73CBE" w:rsidRPr="00F215B9">
                <w:rPr>
                  <w:rStyle w:val="Hyperlink"/>
                  <w:rFonts w:ascii="Times New Roman" w:eastAsia="Times New Roman" w:hAnsi="Times New Roman" w:cs="Times New Roman"/>
                  <w:sz w:val="20"/>
                  <w:szCs w:val="20"/>
                  <w:lang w:eastAsia="en-ZA"/>
                </w:rPr>
                <w:t>10.1080/23308249.2020.1802405</w:t>
              </w:r>
            </w:hyperlink>
            <w:r w:rsidR="00A73CBE">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color w:val="000000"/>
                <w:sz w:val="20"/>
                <w:szCs w:val="20"/>
                <w:lang w:eastAsia="en-ZA"/>
              </w:rPr>
              <w:t>.</w:t>
            </w:r>
          </w:p>
        </w:tc>
      </w:tr>
      <w:tr w:rsidR="002D7080" w:rsidRPr="00592486" w14:paraId="6AEB6FB1" w14:textId="77777777" w:rsidTr="002E2C37">
        <w:trPr>
          <w:trHeight w:val="343"/>
        </w:trPr>
        <w:tc>
          <w:tcPr>
            <w:tcW w:w="9067" w:type="dxa"/>
            <w:gridSpan w:val="2"/>
            <w:shd w:val="clear" w:color="auto" w:fill="F2F2F2" w:themeFill="background1" w:themeFillShade="F2"/>
          </w:tcPr>
          <w:p w14:paraId="378B027E"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lastRenderedPageBreak/>
              <w:t xml:space="preserve">MAN2b Environmental benefits of the </w:t>
            </w:r>
            <w:r w:rsidRPr="00233C97">
              <w:rPr>
                <w:rFonts w:ascii="Times New Roman" w:eastAsia="Times New Roman" w:hAnsi="Times New Roman" w:cs="Times New Roman"/>
                <w:b/>
                <w:i/>
                <w:sz w:val="20"/>
                <w:szCs w:val="20"/>
                <w:lang w:eastAsia="en-ZA"/>
              </w:rPr>
              <w:t>Taxon</w:t>
            </w:r>
          </w:p>
        </w:tc>
      </w:tr>
      <w:tr w:rsidR="002D7080" w:rsidRPr="00592486" w14:paraId="28864F85" w14:textId="77777777" w:rsidTr="002E2C37">
        <w:trPr>
          <w:trHeight w:val="259"/>
        </w:trPr>
        <w:tc>
          <w:tcPr>
            <w:tcW w:w="5240" w:type="dxa"/>
          </w:tcPr>
          <w:p w14:paraId="6528C3EC"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 Low</w:t>
            </w:r>
          </w:p>
        </w:tc>
        <w:tc>
          <w:tcPr>
            <w:tcW w:w="3827" w:type="dxa"/>
          </w:tcPr>
          <w:p w14:paraId="67F120DB"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High</w:t>
            </w:r>
          </w:p>
        </w:tc>
      </w:tr>
      <w:tr w:rsidR="002D7080" w:rsidRPr="00592486" w14:paraId="3D2ACDF2" w14:textId="77777777" w:rsidTr="002E2C37">
        <w:trPr>
          <w:trHeight w:val="70"/>
        </w:trPr>
        <w:tc>
          <w:tcPr>
            <w:tcW w:w="9067" w:type="dxa"/>
            <w:gridSpan w:val="2"/>
          </w:tcPr>
          <w:p w14:paraId="43A5729D"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Rationale: </w:t>
            </w:r>
            <w:r>
              <w:rPr>
                <w:rFonts w:ascii="Times New Roman" w:eastAsia="Times New Roman" w:hAnsi="Times New Roman" w:cs="Times New Roman"/>
                <w:sz w:val="20"/>
                <w:szCs w:val="20"/>
                <w:lang w:eastAsia="en-ZA"/>
              </w:rPr>
              <w:t xml:space="preserve">There are no recorded </w:t>
            </w:r>
            <w:r w:rsidRPr="00233C97">
              <w:rPr>
                <w:rFonts w:ascii="Times New Roman" w:eastAsia="Times New Roman" w:hAnsi="Times New Roman" w:cs="Times New Roman"/>
                <w:sz w:val="20"/>
                <w:szCs w:val="20"/>
                <w:lang w:eastAsia="en-ZA"/>
              </w:rPr>
              <w:t xml:space="preserve">environmental benefits </w:t>
            </w:r>
            <w:r>
              <w:rPr>
                <w:rFonts w:ascii="Times New Roman" w:eastAsia="Times New Roman" w:hAnsi="Times New Roman" w:cs="Times New Roman"/>
                <w:sz w:val="20"/>
                <w:szCs w:val="20"/>
                <w:lang w:eastAsia="en-ZA"/>
              </w:rPr>
              <w:t xml:space="preserve">of </w:t>
            </w:r>
            <w:r w:rsidRPr="00233C97">
              <w:rPr>
                <w:rFonts w:ascii="Times New Roman" w:eastAsia="Times New Roman" w:hAnsi="Times New Roman" w:cs="Times New Roman"/>
                <w:i/>
                <w:sz w:val="20"/>
                <w:szCs w:val="20"/>
                <w:lang w:eastAsia="en-ZA"/>
              </w:rPr>
              <w:t>Faxonius rusticus.</w:t>
            </w:r>
          </w:p>
        </w:tc>
      </w:tr>
      <w:tr w:rsidR="002D7080" w:rsidRPr="00592486" w14:paraId="5A9C2C44" w14:textId="77777777" w:rsidTr="002E2C37">
        <w:trPr>
          <w:trHeight w:val="70"/>
        </w:trPr>
        <w:tc>
          <w:tcPr>
            <w:tcW w:w="9067" w:type="dxa"/>
            <w:gridSpan w:val="2"/>
          </w:tcPr>
          <w:p w14:paraId="2E2B9FBF" w14:textId="77777777" w:rsidR="002D7080" w:rsidRPr="00233C97" w:rsidRDefault="002D7080" w:rsidP="002E2C37">
            <w:pPr>
              <w:ind w:left="720" w:hanging="720"/>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tc>
      </w:tr>
    </w:tbl>
    <w:p w14:paraId="345B0A4A" w14:textId="77777777" w:rsidR="002D7080" w:rsidRPr="00233C97"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592486" w14:paraId="4796FD8B" w14:textId="77777777" w:rsidTr="002E2C37">
        <w:trPr>
          <w:trHeight w:val="343"/>
        </w:trPr>
        <w:tc>
          <w:tcPr>
            <w:tcW w:w="9067" w:type="dxa"/>
            <w:gridSpan w:val="2"/>
            <w:shd w:val="clear" w:color="auto" w:fill="F2F2F2" w:themeFill="background1" w:themeFillShade="F2"/>
          </w:tcPr>
          <w:p w14:paraId="23A68DB4" w14:textId="77777777" w:rsidR="002D7080" w:rsidRPr="00233C97" w:rsidRDefault="002D7080" w:rsidP="002E2C37">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MAN3 Ease of management</w:t>
            </w:r>
          </w:p>
        </w:tc>
      </w:tr>
      <w:tr w:rsidR="002D7080" w:rsidRPr="00592486" w14:paraId="6890A3A0" w14:textId="77777777" w:rsidTr="002E2C37">
        <w:trPr>
          <w:trHeight w:val="343"/>
        </w:trPr>
        <w:tc>
          <w:tcPr>
            <w:tcW w:w="9067" w:type="dxa"/>
            <w:gridSpan w:val="2"/>
            <w:shd w:val="clear" w:color="auto" w:fill="F2F2F2" w:themeFill="background1" w:themeFillShade="F2"/>
          </w:tcPr>
          <w:p w14:paraId="06899E75"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MAN3a How accessible are populations?</w:t>
            </w:r>
          </w:p>
        </w:tc>
      </w:tr>
      <w:tr w:rsidR="002D7080" w:rsidRPr="00592486" w14:paraId="6DFC61F6" w14:textId="77777777" w:rsidTr="002E2C37">
        <w:trPr>
          <w:trHeight w:val="183"/>
        </w:trPr>
        <w:tc>
          <w:tcPr>
            <w:tcW w:w="5240" w:type="dxa"/>
          </w:tcPr>
          <w:p w14:paraId="0FE22903"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2 (difficult to access)</w:t>
            </w:r>
          </w:p>
        </w:tc>
        <w:tc>
          <w:tcPr>
            <w:tcW w:w="3827" w:type="dxa"/>
          </w:tcPr>
          <w:p w14:paraId="724C238A"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Confidence: </w:t>
            </w:r>
            <w:r>
              <w:rPr>
                <w:rFonts w:ascii="Times New Roman" w:eastAsia="Times New Roman" w:hAnsi="Times New Roman" w:cs="Times New Roman"/>
                <w:sz w:val="20"/>
                <w:szCs w:val="20"/>
                <w:lang w:eastAsia="en-ZA"/>
              </w:rPr>
              <w:t xml:space="preserve">Low </w:t>
            </w:r>
          </w:p>
        </w:tc>
      </w:tr>
      <w:tr w:rsidR="002D7080" w:rsidRPr="00592486" w14:paraId="6E9FBE22" w14:textId="77777777" w:rsidTr="002E2C37">
        <w:trPr>
          <w:trHeight w:val="163"/>
        </w:trPr>
        <w:tc>
          <w:tcPr>
            <w:tcW w:w="9067" w:type="dxa"/>
            <w:gridSpan w:val="2"/>
          </w:tcPr>
          <w:p w14:paraId="06470BE3"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i/>
                <w:sz w:val="20"/>
                <w:szCs w:val="20"/>
                <w:lang w:eastAsia="en-ZA"/>
              </w:rPr>
              <w:t xml:space="preserve"> </w:t>
            </w:r>
            <w:r w:rsidRPr="00075668">
              <w:rPr>
                <w:rFonts w:ascii="Times New Roman" w:eastAsia="Times New Roman" w:hAnsi="Times New Roman" w:cs="Times New Roman"/>
                <w:sz w:val="20"/>
                <w:szCs w:val="20"/>
                <w:lang w:eastAsia="en-ZA"/>
              </w:rPr>
              <w:t xml:space="preserve">There are no locality records for </w:t>
            </w:r>
            <w:r w:rsidRPr="00075668">
              <w:rPr>
                <w:rFonts w:ascii="Times New Roman" w:eastAsia="Times New Roman" w:hAnsi="Times New Roman" w:cs="Times New Roman"/>
                <w:i/>
                <w:sz w:val="20"/>
                <w:szCs w:val="20"/>
                <w:lang w:eastAsia="en-ZA"/>
              </w:rPr>
              <w:t>Faxonius rusticus</w:t>
            </w:r>
            <w:r w:rsidRPr="00075668">
              <w:rPr>
                <w:rFonts w:ascii="Times New Roman" w:eastAsia="Times New Roman" w:hAnsi="Times New Roman" w:cs="Times New Roman"/>
                <w:sz w:val="20"/>
                <w:szCs w:val="20"/>
                <w:lang w:eastAsia="en-ZA"/>
              </w:rPr>
              <w:t xml:space="preserve"> in South Africa (Madzivanzira et al. 2021; Nunes et al. 2017). However, given that it is an aquatic species, accessibility is likely to be difficult.</w:t>
            </w:r>
          </w:p>
        </w:tc>
      </w:tr>
      <w:tr w:rsidR="002D7080" w:rsidRPr="00592486" w14:paraId="7AD14328" w14:textId="77777777" w:rsidTr="002E2C37">
        <w:trPr>
          <w:trHeight w:val="70"/>
        </w:trPr>
        <w:tc>
          <w:tcPr>
            <w:tcW w:w="9067" w:type="dxa"/>
            <w:gridSpan w:val="2"/>
          </w:tcPr>
          <w:p w14:paraId="014E00D0" w14:textId="77777777" w:rsidR="002D7080" w:rsidRDefault="002D7080" w:rsidP="002E2C37">
            <w:pPr>
              <w:ind w:left="720" w:hanging="720"/>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2881D2C0" w14:textId="5BAE0235" w:rsidR="002D7080" w:rsidRPr="00075668" w:rsidRDefault="002D7080" w:rsidP="002E2C37">
            <w:pPr>
              <w:ind w:left="720" w:hanging="720"/>
              <w:contextualSpacing/>
              <w:jc w:val="both"/>
              <w:rPr>
                <w:rFonts w:ascii="Times New Roman" w:eastAsia="Times New Roman" w:hAnsi="Times New Roman" w:cs="Times New Roman"/>
                <w:bCs/>
                <w:sz w:val="20"/>
                <w:szCs w:val="20"/>
                <w:lang w:eastAsia="en-ZA"/>
              </w:rPr>
            </w:pPr>
            <w:r w:rsidRPr="00075668">
              <w:rPr>
                <w:rStyle w:val="author"/>
                <w:rFonts w:ascii="Times New Roman" w:hAnsi="Times New Roman" w:cs="Times New Roman"/>
                <w:color w:val="1C1D1E"/>
                <w:sz w:val="20"/>
                <w:szCs w:val="20"/>
                <w:shd w:val="clear" w:color="auto" w:fill="FFFFFF"/>
              </w:rPr>
              <w:t>Madzivanzira, T.C.</w:t>
            </w:r>
            <w:r w:rsidRPr="00075668">
              <w:rPr>
                <w:rFonts w:ascii="Times New Roman" w:hAnsi="Times New Roman" w:cs="Times New Roman"/>
                <w:color w:val="1C1D1E"/>
                <w:sz w:val="20"/>
                <w:szCs w:val="20"/>
                <w:shd w:val="clear" w:color="auto" w:fill="FFFFFF"/>
              </w:rPr>
              <w:t>, </w:t>
            </w:r>
            <w:r w:rsidRPr="00075668">
              <w:rPr>
                <w:rStyle w:val="author"/>
                <w:rFonts w:ascii="Times New Roman" w:hAnsi="Times New Roman" w:cs="Times New Roman"/>
                <w:color w:val="1C1D1E"/>
                <w:sz w:val="20"/>
                <w:szCs w:val="20"/>
                <w:shd w:val="clear" w:color="auto" w:fill="FFFFFF"/>
              </w:rPr>
              <w:t>South, J.</w:t>
            </w:r>
            <w:r w:rsidRPr="00075668">
              <w:rPr>
                <w:rFonts w:ascii="Times New Roman" w:hAnsi="Times New Roman" w:cs="Times New Roman"/>
                <w:color w:val="1C1D1E"/>
                <w:sz w:val="20"/>
                <w:szCs w:val="20"/>
                <w:shd w:val="clear" w:color="auto" w:fill="FFFFFF"/>
              </w:rPr>
              <w:t>, </w:t>
            </w:r>
            <w:r w:rsidRPr="00075668">
              <w:rPr>
                <w:rStyle w:val="author"/>
                <w:rFonts w:ascii="Times New Roman" w:hAnsi="Times New Roman" w:cs="Times New Roman"/>
                <w:color w:val="1C1D1E"/>
                <w:sz w:val="20"/>
                <w:szCs w:val="20"/>
                <w:shd w:val="clear" w:color="auto" w:fill="FFFFFF"/>
              </w:rPr>
              <w:t>Weyl, O.L.F.,</w:t>
            </w:r>
            <w:r w:rsidRPr="00075668">
              <w:rPr>
                <w:rFonts w:ascii="Times New Roman" w:hAnsi="Times New Roman" w:cs="Times New Roman"/>
                <w:color w:val="1C1D1E"/>
                <w:sz w:val="20"/>
                <w:szCs w:val="20"/>
                <w:shd w:val="clear" w:color="auto" w:fill="FFFFFF"/>
              </w:rPr>
              <w:t xml:space="preserve"> 2021, ‘</w:t>
            </w:r>
            <w:r w:rsidRPr="00075668">
              <w:rPr>
                <w:rStyle w:val="articletitle"/>
                <w:rFonts w:ascii="Times New Roman" w:hAnsi="Times New Roman" w:cs="Times New Roman"/>
                <w:color w:val="1C1D1E"/>
                <w:sz w:val="20"/>
                <w:szCs w:val="20"/>
                <w:shd w:val="clear" w:color="auto" w:fill="FFFFFF"/>
              </w:rPr>
              <w:t>Invasive crayfish outperform potamonautid crabs at higher temperatures’,</w:t>
            </w:r>
            <w:r w:rsidRPr="00075668">
              <w:rPr>
                <w:rFonts w:ascii="Times New Roman" w:hAnsi="Times New Roman" w:cs="Times New Roman"/>
                <w:color w:val="1C1D1E"/>
                <w:sz w:val="20"/>
                <w:szCs w:val="20"/>
                <w:shd w:val="clear" w:color="auto" w:fill="FFFFFF"/>
              </w:rPr>
              <w:t> </w:t>
            </w:r>
            <w:r w:rsidRPr="00075668">
              <w:rPr>
                <w:rFonts w:ascii="Times New Roman" w:hAnsi="Times New Roman" w:cs="Times New Roman"/>
                <w:i/>
                <w:iCs/>
                <w:color w:val="1C1D1E"/>
                <w:sz w:val="20"/>
                <w:szCs w:val="20"/>
                <w:shd w:val="clear" w:color="auto" w:fill="FFFFFF"/>
              </w:rPr>
              <w:t>Freshwater Biology</w:t>
            </w:r>
            <w:r w:rsidRPr="00075668">
              <w:rPr>
                <w:rFonts w:ascii="Times New Roman" w:hAnsi="Times New Roman" w:cs="Times New Roman"/>
                <w:color w:val="1C1D1E"/>
                <w:sz w:val="20"/>
                <w:szCs w:val="20"/>
                <w:shd w:val="clear" w:color="auto" w:fill="FFFFFF"/>
              </w:rPr>
              <w:t> </w:t>
            </w:r>
            <w:r w:rsidRPr="00075668">
              <w:rPr>
                <w:rStyle w:val="vol"/>
                <w:rFonts w:ascii="Times New Roman" w:hAnsi="Times New Roman" w:cs="Times New Roman"/>
                <w:color w:val="1C1D1E"/>
                <w:sz w:val="20"/>
                <w:szCs w:val="20"/>
                <w:shd w:val="clear" w:color="auto" w:fill="FFFFFF"/>
              </w:rPr>
              <w:t>66,</w:t>
            </w:r>
            <w:r w:rsidRPr="00075668">
              <w:rPr>
                <w:rFonts w:ascii="Times New Roman" w:hAnsi="Times New Roman" w:cs="Times New Roman"/>
                <w:color w:val="1C1D1E"/>
                <w:sz w:val="20"/>
                <w:szCs w:val="20"/>
                <w:shd w:val="clear" w:color="auto" w:fill="FFFFFF"/>
              </w:rPr>
              <w:t> </w:t>
            </w:r>
            <w:r w:rsidRPr="00075668">
              <w:rPr>
                <w:rStyle w:val="pagefirst"/>
                <w:rFonts w:ascii="Times New Roman" w:hAnsi="Times New Roman" w:cs="Times New Roman"/>
                <w:color w:val="1C1D1E"/>
                <w:sz w:val="20"/>
                <w:szCs w:val="20"/>
                <w:shd w:val="clear" w:color="auto" w:fill="FFFFFF"/>
              </w:rPr>
              <w:t>978</w:t>
            </w:r>
            <w:r w:rsidRPr="00075668">
              <w:rPr>
                <w:rFonts w:ascii="Times New Roman" w:hAnsi="Times New Roman" w:cs="Times New Roman"/>
                <w:color w:val="1C1D1E"/>
                <w:sz w:val="20"/>
                <w:szCs w:val="20"/>
                <w:shd w:val="clear" w:color="auto" w:fill="FFFFFF"/>
              </w:rPr>
              <w:t>–</w:t>
            </w:r>
            <w:r w:rsidRPr="00075668">
              <w:rPr>
                <w:rStyle w:val="pagelast"/>
                <w:rFonts w:ascii="Times New Roman" w:hAnsi="Times New Roman" w:cs="Times New Roman"/>
                <w:color w:val="1C1D1E"/>
                <w:sz w:val="20"/>
                <w:szCs w:val="20"/>
                <w:shd w:val="clear" w:color="auto" w:fill="FFFFFF"/>
              </w:rPr>
              <w:t>991</w:t>
            </w:r>
            <w:r w:rsidRPr="00075668">
              <w:rPr>
                <w:rFonts w:ascii="Times New Roman" w:hAnsi="Times New Roman" w:cs="Times New Roman"/>
                <w:color w:val="1C1D1E"/>
                <w:sz w:val="20"/>
                <w:szCs w:val="20"/>
                <w:shd w:val="clear" w:color="auto" w:fill="FFFFFF"/>
              </w:rPr>
              <w:t>. </w:t>
            </w:r>
            <w:hyperlink r:id="rId358" w:history="1">
              <w:r w:rsidR="00A73CBE" w:rsidRPr="00F215B9">
                <w:rPr>
                  <w:rStyle w:val="Hyperlink"/>
                  <w:rFonts w:ascii="Times New Roman" w:hAnsi="Times New Roman" w:cs="Times New Roman"/>
                  <w:sz w:val="20"/>
                  <w:szCs w:val="20"/>
                  <w:shd w:val="clear" w:color="auto" w:fill="FFFFFF"/>
                </w:rPr>
                <w:t>https://doi.org/10.1111/fwb.13691</w:t>
              </w:r>
            </w:hyperlink>
            <w:r w:rsidR="00A73CBE">
              <w:rPr>
                <w:rFonts w:ascii="Times New Roman" w:hAnsi="Times New Roman" w:cs="Times New Roman"/>
                <w:sz w:val="20"/>
                <w:szCs w:val="20"/>
                <w:shd w:val="clear" w:color="auto" w:fill="FFFFFF"/>
              </w:rPr>
              <w:t xml:space="preserve"> </w:t>
            </w:r>
          </w:p>
          <w:p w14:paraId="177EE985" w14:textId="59276D8F" w:rsidR="002D7080" w:rsidRPr="00233C97" w:rsidRDefault="002D7080" w:rsidP="002E2C37">
            <w:pPr>
              <w:ind w:left="720" w:hanging="720"/>
              <w:contextualSpacing/>
              <w:jc w:val="both"/>
              <w:rPr>
                <w:rFonts w:ascii="Times New Roman" w:eastAsia="Times New Roman" w:hAnsi="Times New Roman" w:cs="Times New Roman"/>
                <w:sz w:val="20"/>
                <w:szCs w:val="20"/>
                <w:lang w:eastAsia="en-ZA"/>
              </w:rPr>
            </w:pPr>
            <w:r w:rsidRPr="00075668">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075668">
              <w:rPr>
                <w:rFonts w:ascii="Times New Roman" w:eastAsia="Times New Roman" w:hAnsi="Times New Roman" w:cs="Times New Roman"/>
                <w:i/>
                <w:color w:val="000000"/>
                <w:sz w:val="20"/>
                <w:szCs w:val="20"/>
                <w:lang w:eastAsia="en-ZA"/>
              </w:rPr>
              <w:t>African Journal of Aquatic Science</w:t>
            </w:r>
            <w:r w:rsidRPr="00075668">
              <w:rPr>
                <w:rFonts w:ascii="Times New Roman" w:eastAsia="Times New Roman" w:hAnsi="Times New Roman" w:cs="Times New Roman"/>
                <w:color w:val="000000"/>
                <w:sz w:val="20"/>
                <w:szCs w:val="20"/>
                <w:lang w:eastAsia="en-ZA"/>
              </w:rPr>
              <w:t xml:space="preserve"> 42, 309–323, </w:t>
            </w:r>
            <w:hyperlink r:id="rId359" w:history="1">
              <w:r w:rsidR="00A73CBE" w:rsidRPr="00F215B9">
                <w:rPr>
                  <w:rStyle w:val="Hyperlink"/>
                  <w:rFonts w:ascii="Times New Roman" w:eastAsia="Times New Roman" w:hAnsi="Times New Roman" w:cs="Times New Roman"/>
                  <w:sz w:val="20"/>
                  <w:szCs w:val="20"/>
                  <w:lang w:eastAsia="en-ZA"/>
                </w:rPr>
                <w:t>https://doi.org/10.2989/16085914.2017.1405788</w:t>
              </w:r>
            </w:hyperlink>
            <w:r w:rsidRPr="00075668">
              <w:rPr>
                <w:rFonts w:ascii="Times New Roman" w:eastAsia="Times New Roman" w:hAnsi="Times New Roman" w:cs="Times New Roman"/>
                <w:color w:val="000000"/>
                <w:sz w:val="20"/>
                <w:szCs w:val="20"/>
                <w:lang w:eastAsia="en-ZA"/>
              </w:rPr>
              <w:t>.</w:t>
            </w:r>
            <w:r w:rsidR="00A73CBE">
              <w:rPr>
                <w:rFonts w:ascii="Times New Roman" w:eastAsia="Times New Roman" w:hAnsi="Times New Roman" w:cs="Times New Roman"/>
                <w:color w:val="000000"/>
                <w:sz w:val="20"/>
                <w:szCs w:val="20"/>
                <w:lang w:eastAsia="en-ZA"/>
              </w:rPr>
              <w:t xml:space="preserve"> </w:t>
            </w:r>
          </w:p>
        </w:tc>
      </w:tr>
      <w:tr w:rsidR="002D7080" w:rsidRPr="00592486" w14:paraId="2986F19A" w14:textId="77777777" w:rsidTr="002E2C37">
        <w:trPr>
          <w:trHeight w:val="343"/>
        </w:trPr>
        <w:tc>
          <w:tcPr>
            <w:tcW w:w="9067" w:type="dxa"/>
            <w:gridSpan w:val="2"/>
            <w:shd w:val="clear" w:color="auto" w:fill="F2F2F2" w:themeFill="background1" w:themeFillShade="F2"/>
          </w:tcPr>
          <w:p w14:paraId="490A41B1"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MAN3b Is detectability critically time-dependent?</w:t>
            </w:r>
          </w:p>
        </w:tc>
      </w:tr>
      <w:tr w:rsidR="002D7080" w:rsidRPr="00592486" w14:paraId="74580E13" w14:textId="77777777" w:rsidTr="002E2C37">
        <w:trPr>
          <w:trHeight w:val="183"/>
        </w:trPr>
        <w:tc>
          <w:tcPr>
            <w:tcW w:w="5240" w:type="dxa"/>
          </w:tcPr>
          <w:p w14:paraId="38EF73AB" w14:textId="77777777" w:rsidR="002D7080" w:rsidRPr="00233C97" w:rsidRDefault="002D7080" w:rsidP="002E2C37">
            <w:pPr>
              <w:tabs>
                <w:tab w:val="left" w:pos="1481"/>
              </w:tabs>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2 (yes)</w:t>
            </w:r>
          </w:p>
        </w:tc>
        <w:tc>
          <w:tcPr>
            <w:tcW w:w="3827" w:type="dxa"/>
          </w:tcPr>
          <w:p w14:paraId="55352EFA"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High</w:t>
            </w:r>
          </w:p>
        </w:tc>
      </w:tr>
      <w:tr w:rsidR="002D7080" w:rsidRPr="00592486" w14:paraId="162E7FD2" w14:textId="77777777" w:rsidTr="002E2C37">
        <w:trPr>
          <w:trHeight w:val="70"/>
        </w:trPr>
        <w:tc>
          <w:tcPr>
            <w:tcW w:w="9067" w:type="dxa"/>
            <w:gridSpan w:val="2"/>
          </w:tcPr>
          <w:p w14:paraId="7120E643"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i/>
                <w:sz w:val="20"/>
                <w:szCs w:val="20"/>
                <w:lang w:eastAsia="en-ZA"/>
              </w:rPr>
              <w:t xml:space="preserve"> </w:t>
            </w:r>
            <w:r w:rsidRPr="0017686C">
              <w:rPr>
                <w:rFonts w:ascii="Times New Roman" w:eastAsia="Times New Roman" w:hAnsi="Times New Roman" w:cs="Times New Roman"/>
                <w:i/>
                <w:sz w:val="20"/>
                <w:szCs w:val="20"/>
                <w:lang w:eastAsia="en-ZA"/>
              </w:rPr>
              <w:t>Faxonius rusticus</w:t>
            </w:r>
            <w:r w:rsidRPr="0017686C">
              <w:rPr>
                <w:rFonts w:ascii="Times New Roman" w:eastAsia="Times New Roman" w:hAnsi="Times New Roman" w:cs="Times New Roman"/>
                <w:sz w:val="20"/>
                <w:szCs w:val="20"/>
                <w:lang w:eastAsia="en-ZA"/>
              </w:rPr>
              <w:t xml:space="preserve"> is a small, </w:t>
            </w:r>
            <w:r w:rsidRPr="006B02E0">
              <w:rPr>
                <w:rFonts w:ascii="Times New Roman" w:eastAsia="Times New Roman" w:hAnsi="Times New Roman" w:cs="Times New Roman"/>
                <w:sz w:val="20"/>
                <w:szCs w:val="20"/>
                <w:lang w:eastAsia="en-ZA"/>
              </w:rPr>
              <w:t>largely nocturnal</w:t>
            </w:r>
            <w:r>
              <w:rPr>
                <w:rFonts w:ascii="Times New Roman" w:eastAsia="Times New Roman" w:hAnsi="Times New Roman" w:cs="Times New Roman"/>
                <w:sz w:val="20"/>
                <w:szCs w:val="20"/>
                <w:lang w:eastAsia="en-ZA"/>
              </w:rPr>
              <w:t xml:space="preserve"> </w:t>
            </w:r>
            <w:r w:rsidRPr="0017686C">
              <w:rPr>
                <w:rFonts w:ascii="Times New Roman" w:eastAsia="Times New Roman" w:hAnsi="Times New Roman" w:cs="Times New Roman"/>
                <w:sz w:val="20"/>
                <w:szCs w:val="20"/>
                <w:lang w:eastAsia="en-ZA"/>
              </w:rPr>
              <w:t>freshwater species that is difficult to detect (Hein et al. 2006).</w:t>
            </w:r>
          </w:p>
        </w:tc>
      </w:tr>
      <w:tr w:rsidR="002D7080" w:rsidRPr="00592486" w14:paraId="18BAD54C" w14:textId="77777777" w:rsidTr="002E2C37">
        <w:trPr>
          <w:trHeight w:val="70"/>
        </w:trPr>
        <w:tc>
          <w:tcPr>
            <w:tcW w:w="9067" w:type="dxa"/>
            <w:gridSpan w:val="2"/>
          </w:tcPr>
          <w:p w14:paraId="10EA48EC" w14:textId="77777777" w:rsidR="002D7080" w:rsidRDefault="002D7080" w:rsidP="002E2C37">
            <w:pPr>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06FC50F7" w14:textId="36DB5FD2" w:rsidR="002D7080" w:rsidRPr="00233C97" w:rsidRDefault="002D7080" w:rsidP="002E2C37">
            <w:pPr>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bCs/>
                <w:sz w:val="20"/>
                <w:szCs w:val="20"/>
                <w:lang w:eastAsia="en-ZA"/>
              </w:rPr>
              <w:t>Hein, C.L., Roth, B.M., Ives, A.R. &amp; Vander Zanden, M.J., 2006, ‘Fish predation and trapping for rusty crayfish (</w:t>
            </w:r>
            <w:r w:rsidRPr="00233C97">
              <w:rPr>
                <w:rFonts w:ascii="Times New Roman" w:eastAsia="Times New Roman" w:hAnsi="Times New Roman" w:cs="Times New Roman"/>
                <w:bCs/>
                <w:i/>
                <w:iCs/>
                <w:sz w:val="20"/>
                <w:szCs w:val="20"/>
                <w:lang w:eastAsia="en-ZA"/>
              </w:rPr>
              <w:t>Orconectes rusticus</w:t>
            </w:r>
            <w:r w:rsidRPr="00233C97">
              <w:rPr>
                <w:rFonts w:ascii="Times New Roman" w:eastAsia="Times New Roman" w:hAnsi="Times New Roman" w:cs="Times New Roman"/>
                <w:bCs/>
                <w:sz w:val="20"/>
                <w:szCs w:val="20"/>
                <w:lang w:eastAsia="en-ZA"/>
              </w:rPr>
              <w:t xml:space="preserve">) control: A whole-lake experiment’, </w:t>
            </w:r>
            <w:r w:rsidRPr="00233C97">
              <w:rPr>
                <w:rFonts w:ascii="Times New Roman" w:eastAsia="Times New Roman" w:hAnsi="Times New Roman" w:cs="Times New Roman"/>
                <w:bCs/>
                <w:i/>
                <w:sz w:val="20"/>
                <w:szCs w:val="20"/>
                <w:lang w:eastAsia="en-ZA"/>
              </w:rPr>
              <w:t>Canadian Journal</w:t>
            </w:r>
            <w:r w:rsidRPr="00233C97">
              <w:rPr>
                <w:rFonts w:ascii="Times New Roman" w:eastAsia="Times New Roman" w:hAnsi="Times New Roman" w:cs="Times New Roman"/>
                <w:bCs/>
                <w:sz w:val="20"/>
                <w:szCs w:val="20"/>
                <w:lang w:eastAsia="en-ZA"/>
              </w:rPr>
              <w:t xml:space="preserve"> </w:t>
            </w:r>
            <w:r w:rsidRPr="00233C97">
              <w:rPr>
                <w:rFonts w:ascii="Times New Roman" w:eastAsia="Times New Roman" w:hAnsi="Times New Roman" w:cs="Times New Roman"/>
                <w:bCs/>
                <w:i/>
                <w:sz w:val="20"/>
                <w:szCs w:val="20"/>
                <w:lang w:eastAsia="en-ZA"/>
              </w:rPr>
              <w:t>Fisheries and Aquatic Sciences</w:t>
            </w:r>
            <w:r w:rsidRPr="00233C97">
              <w:rPr>
                <w:rFonts w:ascii="Times New Roman" w:eastAsia="Times New Roman" w:hAnsi="Times New Roman" w:cs="Times New Roman"/>
                <w:bCs/>
                <w:sz w:val="20"/>
                <w:szCs w:val="20"/>
                <w:lang w:eastAsia="en-ZA"/>
              </w:rPr>
              <w:t xml:space="preserve">. 63, 383–393. </w:t>
            </w:r>
            <w:hyperlink r:id="rId360" w:history="1">
              <w:r w:rsidR="00A73CBE" w:rsidRPr="00F215B9">
                <w:rPr>
                  <w:rStyle w:val="Hyperlink"/>
                  <w:rFonts w:ascii="Times New Roman" w:eastAsia="Times New Roman" w:hAnsi="Times New Roman" w:cs="Times New Roman"/>
                  <w:bCs/>
                  <w:sz w:val="20"/>
                  <w:szCs w:val="20"/>
                  <w:lang w:eastAsia="en-ZA"/>
                </w:rPr>
                <w:t>https://doi/org/10.1139/F05-229</w:t>
              </w:r>
            </w:hyperlink>
            <w:r w:rsidRPr="00233C97">
              <w:rPr>
                <w:rFonts w:ascii="Times New Roman" w:eastAsia="Times New Roman" w:hAnsi="Times New Roman" w:cs="Times New Roman"/>
                <w:bCs/>
                <w:sz w:val="20"/>
                <w:szCs w:val="20"/>
                <w:lang w:eastAsia="en-ZA"/>
              </w:rPr>
              <w:t>.</w:t>
            </w:r>
            <w:r w:rsidR="00A73CBE">
              <w:rPr>
                <w:rFonts w:ascii="Times New Roman" w:eastAsia="Times New Roman" w:hAnsi="Times New Roman" w:cs="Times New Roman"/>
                <w:bCs/>
                <w:sz w:val="20"/>
                <w:szCs w:val="20"/>
                <w:lang w:eastAsia="en-ZA"/>
              </w:rPr>
              <w:t xml:space="preserve"> </w:t>
            </w:r>
          </w:p>
        </w:tc>
      </w:tr>
      <w:tr w:rsidR="002D7080" w:rsidRPr="00592486" w14:paraId="4ACDD9EE" w14:textId="77777777" w:rsidTr="002E2C37">
        <w:trPr>
          <w:trHeight w:val="343"/>
        </w:trPr>
        <w:tc>
          <w:tcPr>
            <w:tcW w:w="9067" w:type="dxa"/>
            <w:gridSpan w:val="2"/>
            <w:shd w:val="clear" w:color="auto" w:fill="F2F2F2" w:themeFill="background1" w:themeFillShade="F2"/>
          </w:tcPr>
          <w:p w14:paraId="5295759D" w14:textId="77777777" w:rsidR="002D7080" w:rsidRPr="00233C97" w:rsidRDefault="002D7080" w:rsidP="002E2C37">
            <w:pPr>
              <w:jc w:val="both"/>
              <w:rPr>
                <w:rFonts w:ascii="Times New Roman" w:hAnsi="Times New Roman" w:cs="Times New Roman"/>
              </w:rPr>
            </w:pPr>
            <w:r w:rsidRPr="00233C97">
              <w:rPr>
                <w:rFonts w:ascii="Times New Roman" w:eastAsia="Times New Roman" w:hAnsi="Times New Roman" w:cs="Times New Roman"/>
                <w:b/>
                <w:sz w:val="20"/>
                <w:szCs w:val="20"/>
                <w:lang w:eastAsia="en-ZA"/>
              </w:rPr>
              <w:t>MAN3c Time to reproduction</w:t>
            </w:r>
          </w:p>
        </w:tc>
      </w:tr>
      <w:tr w:rsidR="002D7080" w:rsidRPr="00592486" w14:paraId="72B06F7B" w14:textId="77777777" w:rsidTr="002E2C37">
        <w:trPr>
          <w:trHeight w:val="183"/>
        </w:trPr>
        <w:tc>
          <w:tcPr>
            <w:tcW w:w="5240" w:type="dxa"/>
          </w:tcPr>
          <w:p w14:paraId="562E6DC1"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1 (1-3 years)</w:t>
            </w:r>
          </w:p>
        </w:tc>
        <w:tc>
          <w:tcPr>
            <w:tcW w:w="3827" w:type="dxa"/>
          </w:tcPr>
          <w:p w14:paraId="4E356D57"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High</w:t>
            </w:r>
          </w:p>
        </w:tc>
      </w:tr>
      <w:tr w:rsidR="002D7080" w:rsidRPr="00592486" w14:paraId="3BBEDD5F" w14:textId="77777777" w:rsidTr="002E2C37">
        <w:trPr>
          <w:trHeight w:val="70"/>
        </w:trPr>
        <w:tc>
          <w:tcPr>
            <w:tcW w:w="9067" w:type="dxa"/>
            <w:gridSpan w:val="2"/>
          </w:tcPr>
          <w:p w14:paraId="75B1A975" w14:textId="77777777" w:rsidR="002D7080" w:rsidRPr="00053DFB" w:rsidRDefault="002D7080" w:rsidP="002E2C37">
            <w:pPr>
              <w:jc w:val="both"/>
              <w:rPr>
                <w:rFonts w:ascii="Times New Roman" w:eastAsia="Times New Roman" w:hAnsi="Times New Roman" w:cs="Times New Roman"/>
                <w:sz w:val="20"/>
                <w:szCs w:val="20"/>
                <w:lang w:eastAsia="en-ZA"/>
              </w:rPr>
            </w:pPr>
            <w:r w:rsidRPr="00053DFB">
              <w:rPr>
                <w:rFonts w:ascii="Times New Roman" w:eastAsia="Times New Roman" w:hAnsi="Times New Roman" w:cs="Times New Roman"/>
                <w:sz w:val="20"/>
                <w:szCs w:val="20"/>
                <w:lang w:eastAsia="en-ZA"/>
              </w:rPr>
              <w:t>Rationale:</w:t>
            </w:r>
            <w:r w:rsidRPr="00053DFB">
              <w:rPr>
                <w:rFonts w:ascii="Times New Roman" w:eastAsia="Times New Roman" w:hAnsi="Times New Roman" w:cs="Times New Roman"/>
                <w:i/>
                <w:sz w:val="20"/>
                <w:szCs w:val="20"/>
                <w:lang w:eastAsia="en-ZA"/>
              </w:rPr>
              <w:t xml:space="preserve"> Faxonius rusticus</w:t>
            </w:r>
            <w:r w:rsidRPr="00053DFB">
              <w:rPr>
                <w:rFonts w:ascii="Times New Roman" w:eastAsia="Times New Roman" w:hAnsi="Times New Roman" w:cs="Times New Roman"/>
                <w:sz w:val="20"/>
                <w:szCs w:val="20"/>
                <w:lang w:eastAsia="en-ZA"/>
              </w:rPr>
              <w:t xml:space="preserve"> reach sexual maturity in one-two years (</w:t>
            </w:r>
            <w:r>
              <w:rPr>
                <w:rFonts w:ascii="Times New Roman" w:eastAsia="Times New Roman" w:hAnsi="Times New Roman" w:cs="Times New Roman"/>
                <w:sz w:val="20"/>
                <w:szCs w:val="20"/>
                <w:lang w:eastAsia="en-ZA"/>
              </w:rPr>
              <w:t>Phillips 2010</w:t>
            </w:r>
            <w:r w:rsidRPr="00053DFB">
              <w:rPr>
                <w:rFonts w:ascii="Times New Roman" w:eastAsia="Times New Roman" w:hAnsi="Times New Roman" w:cs="Times New Roman"/>
                <w:sz w:val="20"/>
                <w:szCs w:val="20"/>
                <w:lang w:eastAsia="en-ZA"/>
              </w:rPr>
              <w:t>).</w:t>
            </w:r>
          </w:p>
        </w:tc>
      </w:tr>
      <w:tr w:rsidR="002D7080" w:rsidRPr="00592486" w14:paraId="321665D3" w14:textId="77777777" w:rsidTr="002E2C37">
        <w:trPr>
          <w:trHeight w:val="70"/>
        </w:trPr>
        <w:tc>
          <w:tcPr>
            <w:tcW w:w="9067" w:type="dxa"/>
            <w:gridSpan w:val="2"/>
          </w:tcPr>
          <w:p w14:paraId="243F66B2" w14:textId="77777777" w:rsidR="002D7080" w:rsidRPr="00053DFB" w:rsidRDefault="002D7080" w:rsidP="002E2C37">
            <w:pPr>
              <w:ind w:left="720" w:hanging="720"/>
              <w:jc w:val="both"/>
              <w:rPr>
                <w:rFonts w:ascii="Times New Roman" w:eastAsia="Times New Roman" w:hAnsi="Times New Roman" w:cs="Times New Roman"/>
                <w:sz w:val="20"/>
                <w:szCs w:val="20"/>
                <w:lang w:eastAsia="en-ZA"/>
              </w:rPr>
            </w:pPr>
            <w:r w:rsidRPr="00053DFB">
              <w:rPr>
                <w:rFonts w:ascii="Times New Roman" w:eastAsia="Times New Roman" w:hAnsi="Times New Roman" w:cs="Times New Roman"/>
                <w:sz w:val="20"/>
                <w:szCs w:val="20"/>
                <w:lang w:eastAsia="en-ZA"/>
              </w:rPr>
              <w:t>References:</w:t>
            </w:r>
          </w:p>
          <w:p w14:paraId="2F5384B2" w14:textId="77777777" w:rsidR="002D7080" w:rsidRPr="00053DFB" w:rsidRDefault="002D7080" w:rsidP="002E2C37">
            <w:pPr>
              <w:ind w:left="720" w:hanging="720"/>
              <w:jc w:val="both"/>
              <w:rPr>
                <w:rFonts w:ascii="Times New Roman" w:eastAsia="Times New Roman" w:hAnsi="Times New Roman" w:cs="Times New Roman"/>
                <w:sz w:val="20"/>
                <w:szCs w:val="20"/>
                <w:lang w:eastAsia="en-ZA"/>
              </w:rPr>
            </w:pPr>
            <w:r w:rsidRPr="00053DFB">
              <w:rPr>
                <w:rFonts w:ascii="Times New Roman" w:hAnsi="Times New Roman" w:cs="Times New Roman"/>
                <w:sz w:val="20"/>
                <w:szCs w:val="20"/>
              </w:rPr>
              <w:lastRenderedPageBreak/>
              <w:t>Phillips, I.D. 2010. Biological synopsis of the Rusty Crayfish (</w:t>
            </w:r>
            <w:r w:rsidRPr="00053DFB">
              <w:rPr>
                <w:rFonts w:ascii="Times New Roman" w:hAnsi="Times New Roman" w:cs="Times New Roman"/>
                <w:i/>
                <w:iCs/>
                <w:sz w:val="20"/>
                <w:szCs w:val="20"/>
              </w:rPr>
              <w:t>Orconectes rusticus</w:t>
            </w:r>
            <w:r w:rsidRPr="00053DFB">
              <w:rPr>
                <w:rFonts w:ascii="Times New Roman" w:hAnsi="Times New Roman" w:cs="Times New Roman"/>
                <w:sz w:val="20"/>
                <w:szCs w:val="20"/>
              </w:rPr>
              <w:t xml:space="preserve">). </w:t>
            </w:r>
            <w:r>
              <w:rPr>
                <w:rFonts w:ascii="Times New Roman" w:hAnsi="Times New Roman" w:cs="Times New Roman"/>
                <w:sz w:val="20"/>
                <w:szCs w:val="20"/>
              </w:rPr>
              <w:t xml:space="preserve">Canadian </w:t>
            </w:r>
            <w:r w:rsidRPr="00053DFB">
              <w:rPr>
                <w:rFonts w:ascii="Times New Roman" w:hAnsi="Times New Roman" w:cs="Times New Roman"/>
                <w:sz w:val="20"/>
                <w:szCs w:val="20"/>
              </w:rPr>
              <w:t>Manuscr</w:t>
            </w:r>
            <w:r>
              <w:rPr>
                <w:rFonts w:ascii="Times New Roman" w:hAnsi="Times New Roman" w:cs="Times New Roman"/>
                <w:sz w:val="20"/>
                <w:szCs w:val="20"/>
              </w:rPr>
              <w:t xml:space="preserve">ipt </w:t>
            </w:r>
            <w:r w:rsidRPr="00053DFB">
              <w:rPr>
                <w:rFonts w:ascii="Times New Roman" w:hAnsi="Times New Roman" w:cs="Times New Roman"/>
                <w:sz w:val="20"/>
                <w:szCs w:val="20"/>
              </w:rPr>
              <w:t>Rep</w:t>
            </w:r>
            <w:r>
              <w:rPr>
                <w:rFonts w:ascii="Times New Roman" w:hAnsi="Times New Roman" w:cs="Times New Roman"/>
                <w:sz w:val="20"/>
                <w:szCs w:val="20"/>
              </w:rPr>
              <w:t xml:space="preserve">ort of </w:t>
            </w:r>
            <w:r w:rsidRPr="00053DFB">
              <w:rPr>
                <w:rFonts w:ascii="Times New Roman" w:hAnsi="Times New Roman" w:cs="Times New Roman"/>
                <w:sz w:val="20"/>
                <w:szCs w:val="20"/>
              </w:rPr>
              <w:t>Fish</w:t>
            </w:r>
            <w:r>
              <w:rPr>
                <w:rFonts w:ascii="Times New Roman" w:hAnsi="Times New Roman" w:cs="Times New Roman"/>
                <w:sz w:val="20"/>
                <w:szCs w:val="20"/>
              </w:rPr>
              <w:t xml:space="preserve">eries and </w:t>
            </w:r>
            <w:r w:rsidRPr="00053DFB">
              <w:rPr>
                <w:rFonts w:ascii="Times New Roman" w:hAnsi="Times New Roman" w:cs="Times New Roman"/>
                <w:sz w:val="20"/>
                <w:szCs w:val="20"/>
              </w:rPr>
              <w:t>Aquat</w:t>
            </w:r>
            <w:r>
              <w:rPr>
                <w:rFonts w:ascii="Times New Roman" w:hAnsi="Times New Roman" w:cs="Times New Roman"/>
                <w:sz w:val="20"/>
                <w:szCs w:val="20"/>
              </w:rPr>
              <w:t xml:space="preserve">ic </w:t>
            </w:r>
            <w:r w:rsidRPr="00053DFB">
              <w:rPr>
                <w:rFonts w:ascii="Times New Roman" w:hAnsi="Times New Roman" w:cs="Times New Roman"/>
                <w:sz w:val="20"/>
                <w:szCs w:val="20"/>
              </w:rPr>
              <w:t>Sci</w:t>
            </w:r>
            <w:r>
              <w:rPr>
                <w:rFonts w:ascii="Times New Roman" w:hAnsi="Times New Roman" w:cs="Times New Roman"/>
                <w:sz w:val="20"/>
                <w:szCs w:val="20"/>
              </w:rPr>
              <w:t>ence</w:t>
            </w:r>
            <w:r w:rsidRPr="00053DFB">
              <w:rPr>
                <w:rFonts w:ascii="Times New Roman" w:hAnsi="Times New Roman" w:cs="Times New Roman"/>
                <w:sz w:val="20"/>
                <w:szCs w:val="20"/>
              </w:rPr>
              <w:t>. 2923: iv + 17 p.</w:t>
            </w:r>
          </w:p>
        </w:tc>
      </w:tr>
      <w:tr w:rsidR="002D7080" w:rsidRPr="00592486" w14:paraId="4940CF56" w14:textId="77777777" w:rsidTr="002E2C37">
        <w:trPr>
          <w:trHeight w:val="343"/>
        </w:trPr>
        <w:tc>
          <w:tcPr>
            <w:tcW w:w="9067" w:type="dxa"/>
            <w:gridSpan w:val="2"/>
            <w:shd w:val="clear" w:color="auto" w:fill="F2F2F2" w:themeFill="background1" w:themeFillShade="F2"/>
          </w:tcPr>
          <w:p w14:paraId="204D1C3B" w14:textId="77777777" w:rsidR="002D7080" w:rsidRPr="00233C97" w:rsidRDefault="002D7080" w:rsidP="002E2C37">
            <w:pPr>
              <w:jc w:val="both"/>
              <w:rPr>
                <w:rFonts w:ascii="Times New Roman" w:hAnsi="Times New Roman" w:cs="Times New Roman"/>
              </w:rPr>
            </w:pPr>
            <w:r w:rsidRPr="00233C97">
              <w:rPr>
                <w:rFonts w:ascii="Times New Roman" w:eastAsia="Times New Roman" w:hAnsi="Times New Roman" w:cs="Times New Roman"/>
                <w:b/>
                <w:sz w:val="20"/>
                <w:szCs w:val="20"/>
                <w:lang w:eastAsia="en-ZA"/>
              </w:rPr>
              <w:lastRenderedPageBreak/>
              <w:t>MAN3d Propagule persistence</w:t>
            </w:r>
          </w:p>
        </w:tc>
      </w:tr>
      <w:tr w:rsidR="002D7080" w:rsidRPr="00592486" w14:paraId="348FF841" w14:textId="77777777" w:rsidTr="002E2C37">
        <w:trPr>
          <w:trHeight w:val="183"/>
        </w:trPr>
        <w:tc>
          <w:tcPr>
            <w:tcW w:w="5240" w:type="dxa"/>
          </w:tcPr>
          <w:p w14:paraId="565EF028"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0 (&lt;1 year)</w:t>
            </w:r>
          </w:p>
        </w:tc>
        <w:tc>
          <w:tcPr>
            <w:tcW w:w="3827" w:type="dxa"/>
          </w:tcPr>
          <w:p w14:paraId="1330072D"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High</w:t>
            </w:r>
          </w:p>
        </w:tc>
      </w:tr>
      <w:tr w:rsidR="002D7080" w:rsidRPr="00592486" w14:paraId="622F9A36" w14:textId="77777777" w:rsidTr="002E2C37">
        <w:trPr>
          <w:trHeight w:val="195"/>
        </w:trPr>
        <w:tc>
          <w:tcPr>
            <w:tcW w:w="9067" w:type="dxa"/>
            <w:gridSpan w:val="2"/>
          </w:tcPr>
          <w:p w14:paraId="1233A437"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i/>
                <w:sz w:val="20"/>
                <w:szCs w:val="20"/>
                <w:lang w:eastAsia="en-ZA"/>
              </w:rPr>
              <w:t xml:space="preserve"> </w:t>
            </w:r>
            <w:r w:rsidRPr="00BA6AFB">
              <w:rPr>
                <w:rFonts w:ascii="Times New Roman" w:eastAsia="Times New Roman" w:hAnsi="Times New Roman" w:cs="Times New Roman"/>
                <w:i/>
                <w:sz w:val="20"/>
                <w:szCs w:val="20"/>
                <w:lang w:eastAsia="en-ZA"/>
              </w:rPr>
              <w:t>Faxonius rusticus</w:t>
            </w:r>
            <w:r w:rsidRPr="00BA6AFB">
              <w:rPr>
                <w:rFonts w:ascii="Times New Roman" w:eastAsia="Times New Roman" w:hAnsi="Times New Roman" w:cs="Times New Roman"/>
                <w:sz w:val="20"/>
                <w:szCs w:val="20"/>
                <w:lang w:eastAsia="en-ZA"/>
              </w:rPr>
              <w:t xml:space="preserve"> are </w:t>
            </w:r>
            <w:r w:rsidRPr="00BA6AFB">
              <w:rPr>
                <w:rFonts w:ascii="Times New Roman" w:eastAsia="Times New Roman" w:hAnsi="Times New Roman" w:cs="Times New Roman"/>
                <w:iCs/>
                <w:sz w:val="20"/>
                <w:szCs w:val="20"/>
                <w:lang w:eastAsia="en-ZA"/>
              </w:rPr>
              <w:t>highly fecund,</w:t>
            </w:r>
            <w:r w:rsidRPr="00BA6AFB">
              <w:rPr>
                <w:rFonts w:ascii="Times New Roman" w:eastAsia="Times New Roman" w:hAnsi="Times New Roman" w:cs="Times New Roman"/>
                <w:sz w:val="20"/>
                <w:szCs w:val="20"/>
                <w:lang w:eastAsia="en-ZA"/>
              </w:rPr>
              <w:t xml:space="preserve"> a female produces up to 200 eggs, and hatchlings hang under the female's tail for many weeks until they can feed on their own (Lodge et al. 1985).</w:t>
            </w:r>
          </w:p>
        </w:tc>
      </w:tr>
      <w:tr w:rsidR="002D7080" w:rsidRPr="00592486" w14:paraId="6E60070D" w14:textId="77777777" w:rsidTr="002E2C37">
        <w:trPr>
          <w:trHeight w:val="99"/>
        </w:trPr>
        <w:tc>
          <w:tcPr>
            <w:tcW w:w="9067" w:type="dxa"/>
            <w:gridSpan w:val="2"/>
          </w:tcPr>
          <w:p w14:paraId="573BE75A" w14:textId="77777777" w:rsidR="002D7080" w:rsidRDefault="002D7080" w:rsidP="002E2C37">
            <w:pPr>
              <w:ind w:left="720" w:hanging="720"/>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30274A74" w14:textId="77777777" w:rsidR="002D7080" w:rsidRPr="00BA6AFB" w:rsidRDefault="002D7080" w:rsidP="002E2C37">
            <w:pPr>
              <w:ind w:left="720" w:hanging="720"/>
              <w:rPr>
                <w:rFonts w:ascii="Times New Roman" w:eastAsia="Times New Roman" w:hAnsi="Times New Roman" w:cs="Times New Roman"/>
                <w:sz w:val="20"/>
                <w:szCs w:val="20"/>
                <w:lang w:eastAsia="en-ZA"/>
              </w:rPr>
            </w:pPr>
            <w:r w:rsidRPr="00BA6AFB">
              <w:rPr>
                <w:rFonts w:ascii="Times New Roman" w:hAnsi="Times New Roman" w:cs="Times New Roman"/>
                <w:sz w:val="20"/>
                <w:szCs w:val="20"/>
              </w:rPr>
              <w:t xml:space="preserve">Lodge, D.M., Beckel, A.L. </w:t>
            </w:r>
            <w:r>
              <w:rPr>
                <w:rFonts w:ascii="Times New Roman" w:hAnsi="Times New Roman" w:cs="Times New Roman"/>
                <w:sz w:val="20"/>
                <w:szCs w:val="20"/>
              </w:rPr>
              <w:t>&amp;</w:t>
            </w:r>
            <w:r w:rsidRPr="00BA6AFB">
              <w:rPr>
                <w:rFonts w:ascii="Times New Roman" w:hAnsi="Times New Roman" w:cs="Times New Roman"/>
                <w:sz w:val="20"/>
                <w:szCs w:val="20"/>
              </w:rPr>
              <w:t xml:space="preserve"> Magnuson J.J</w:t>
            </w:r>
            <w:r>
              <w:rPr>
                <w:rFonts w:ascii="Times New Roman" w:hAnsi="Times New Roman" w:cs="Times New Roman"/>
                <w:sz w:val="20"/>
                <w:szCs w:val="20"/>
              </w:rPr>
              <w:t>.,</w:t>
            </w:r>
            <w:r w:rsidRPr="00BA6AFB">
              <w:rPr>
                <w:rFonts w:ascii="Times New Roman" w:hAnsi="Times New Roman" w:cs="Times New Roman"/>
                <w:sz w:val="20"/>
                <w:szCs w:val="20"/>
              </w:rPr>
              <w:t xml:space="preserve"> 1985</w:t>
            </w:r>
            <w:r>
              <w:rPr>
                <w:rFonts w:ascii="Times New Roman" w:hAnsi="Times New Roman" w:cs="Times New Roman"/>
                <w:sz w:val="20"/>
                <w:szCs w:val="20"/>
              </w:rPr>
              <w:t>, ‘</w:t>
            </w:r>
            <w:r w:rsidRPr="00BA6AFB">
              <w:rPr>
                <w:rFonts w:ascii="Times New Roman" w:hAnsi="Times New Roman" w:cs="Times New Roman"/>
                <w:sz w:val="20"/>
                <w:szCs w:val="20"/>
              </w:rPr>
              <w:t>Lake-bottom tyrant</w:t>
            </w:r>
            <w:r>
              <w:rPr>
                <w:rFonts w:ascii="Times New Roman" w:hAnsi="Times New Roman" w:cs="Times New Roman"/>
                <w:sz w:val="20"/>
                <w:szCs w:val="20"/>
              </w:rPr>
              <w:t xml:space="preserve">’, </w:t>
            </w:r>
            <w:r w:rsidRPr="00895884">
              <w:rPr>
                <w:rFonts w:ascii="Times New Roman" w:hAnsi="Times New Roman" w:cs="Times New Roman"/>
                <w:i/>
                <w:iCs/>
                <w:sz w:val="20"/>
                <w:szCs w:val="20"/>
              </w:rPr>
              <w:t>Natural History</w:t>
            </w:r>
            <w:r w:rsidRPr="00BA6AFB">
              <w:rPr>
                <w:rFonts w:ascii="Times New Roman" w:hAnsi="Times New Roman" w:cs="Times New Roman"/>
                <w:sz w:val="20"/>
                <w:szCs w:val="20"/>
              </w:rPr>
              <w:t xml:space="preserve"> 94</w:t>
            </w:r>
            <w:r>
              <w:rPr>
                <w:rFonts w:ascii="Times New Roman" w:hAnsi="Times New Roman" w:cs="Times New Roman"/>
                <w:sz w:val="20"/>
                <w:szCs w:val="20"/>
              </w:rPr>
              <w:t xml:space="preserve">, </w:t>
            </w:r>
            <w:r w:rsidRPr="00BA6AFB">
              <w:rPr>
                <w:rFonts w:ascii="Times New Roman" w:hAnsi="Times New Roman" w:cs="Times New Roman"/>
                <w:sz w:val="20"/>
                <w:szCs w:val="20"/>
              </w:rPr>
              <w:t>32-37.</w:t>
            </w:r>
          </w:p>
        </w:tc>
      </w:tr>
      <w:tr w:rsidR="002D7080" w:rsidRPr="00592486" w14:paraId="6A88D367" w14:textId="77777777" w:rsidTr="002E2C37">
        <w:trPr>
          <w:trHeight w:val="343"/>
        </w:trPr>
        <w:tc>
          <w:tcPr>
            <w:tcW w:w="9067" w:type="dxa"/>
            <w:gridSpan w:val="2"/>
            <w:shd w:val="clear" w:color="auto" w:fill="F2F2F2" w:themeFill="background1" w:themeFillShade="F2"/>
          </w:tcPr>
          <w:p w14:paraId="74FB5F6D"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 xml:space="preserve">MAN3 Ease of management </w:t>
            </w:r>
          </w:p>
        </w:tc>
      </w:tr>
      <w:tr w:rsidR="002D7080" w:rsidRPr="00592486" w14:paraId="22007AE6" w14:textId="77777777" w:rsidTr="002E2C37">
        <w:trPr>
          <w:trHeight w:val="172"/>
        </w:trPr>
        <w:tc>
          <w:tcPr>
            <w:tcW w:w="5240" w:type="dxa"/>
          </w:tcPr>
          <w:p w14:paraId="1E230B89"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Medium</w:t>
            </w:r>
          </w:p>
        </w:tc>
        <w:tc>
          <w:tcPr>
            <w:tcW w:w="3827" w:type="dxa"/>
          </w:tcPr>
          <w:p w14:paraId="417E3693"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High</w:t>
            </w:r>
          </w:p>
        </w:tc>
      </w:tr>
      <w:tr w:rsidR="002D7080" w:rsidRPr="00592486" w14:paraId="0F773CE6" w14:textId="77777777" w:rsidTr="002E2C37">
        <w:trPr>
          <w:trHeight w:val="70"/>
        </w:trPr>
        <w:tc>
          <w:tcPr>
            <w:tcW w:w="9067" w:type="dxa"/>
            <w:gridSpan w:val="2"/>
          </w:tcPr>
          <w:p w14:paraId="077786B3"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Rationale:</w:t>
            </w:r>
            <w:r w:rsidRPr="00233C97">
              <w:rPr>
                <w:rFonts w:ascii="Times New Roman" w:eastAsia="Times New Roman" w:hAnsi="Times New Roman" w:cs="Times New Roman"/>
                <w:i/>
                <w:sz w:val="20"/>
                <w:szCs w:val="20"/>
                <w:lang w:eastAsia="en-ZA"/>
              </w:rPr>
              <w:t xml:space="preserve"> </w:t>
            </w:r>
            <w:r w:rsidRPr="00D10585">
              <w:rPr>
                <w:rFonts w:ascii="Times New Roman" w:eastAsia="Times New Roman" w:hAnsi="Times New Roman" w:cs="Times New Roman"/>
                <w:i/>
                <w:iCs/>
                <w:sz w:val="20"/>
                <w:szCs w:val="20"/>
                <w:lang w:eastAsia="en-ZA"/>
              </w:rPr>
              <w:t>Faxonius rusticus</w:t>
            </w:r>
            <w:r w:rsidRPr="00D10585">
              <w:rPr>
                <w:rFonts w:ascii="Times New Roman" w:eastAsia="Times New Roman" w:hAnsi="Times New Roman" w:cs="Times New Roman"/>
                <w:sz w:val="20"/>
                <w:szCs w:val="20"/>
                <w:lang w:eastAsia="en-ZA"/>
              </w:rPr>
              <w:t xml:space="preserve"> is a small, largely nocturnal freshwater species that is difficult to detect (Hein et al. 2006).</w:t>
            </w:r>
            <w:r>
              <w:rPr>
                <w:rFonts w:ascii="Times New Roman" w:eastAsia="Times New Roman" w:hAnsi="Times New Roman" w:cs="Times New Roman"/>
                <w:sz w:val="20"/>
                <w:szCs w:val="20"/>
                <w:lang w:eastAsia="en-ZA"/>
              </w:rPr>
              <w:t xml:space="preserve"> It </w:t>
            </w:r>
            <w:r w:rsidRPr="00053DFB">
              <w:rPr>
                <w:rFonts w:ascii="Times New Roman" w:eastAsia="Times New Roman" w:hAnsi="Times New Roman" w:cs="Times New Roman"/>
                <w:sz w:val="20"/>
                <w:szCs w:val="20"/>
                <w:lang w:eastAsia="en-ZA"/>
              </w:rPr>
              <w:t>reach</w:t>
            </w:r>
            <w:r>
              <w:rPr>
                <w:rFonts w:ascii="Times New Roman" w:eastAsia="Times New Roman" w:hAnsi="Times New Roman" w:cs="Times New Roman"/>
                <w:sz w:val="20"/>
                <w:szCs w:val="20"/>
                <w:lang w:eastAsia="en-ZA"/>
              </w:rPr>
              <w:t xml:space="preserve">es </w:t>
            </w:r>
            <w:r w:rsidRPr="00053DFB">
              <w:rPr>
                <w:rFonts w:ascii="Times New Roman" w:eastAsia="Times New Roman" w:hAnsi="Times New Roman" w:cs="Times New Roman"/>
                <w:sz w:val="20"/>
                <w:szCs w:val="20"/>
                <w:lang w:eastAsia="en-ZA"/>
              </w:rPr>
              <w:t>sexual maturity in one-two years</w:t>
            </w:r>
            <w:r>
              <w:rPr>
                <w:rFonts w:ascii="Times New Roman" w:eastAsia="Times New Roman" w:hAnsi="Times New Roman" w:cs="Times New Roman"/>
                <w:sz w:val="20"/>
                <w:szCs w:val="20"/>
                <w:lang w:eastAsia="en-ZA"/>
              </w:rPr>
              <w:t xml:space="preserve"> and is highly fecund (up to 200 eggs)</w:t>
            </w:r>
            <w:r w:rsidRPr="00053DFB">
              <w:rPr>
                <w:rFonts w:ascii="Times New Roman" w:eastAsia="Times New Roman" w:hAnsi="Times New Roman" w:cs="Times New Roman"/>
                <w:sz w:val="20"/>
                <w:szCs w:val="20"/>
                <w:lang w:eastAsia="en-ZA"/>
              </w:rPr>
              <w:t xml:space="preserve"> (</w:t>
            </w:r>
            <w:r w:rsidRPr="00BA6AFB">
              <w:rPr>
                <w:rFonts w:ascii="Times New Roman" w:eastAsia="Times New Roman" w:hAnsi="Times New Roman" w:cs="Times New Roman"/>
                <w:sz w:val="20"/>
                <w:szCs w:val="20"/>
                <w:lang w:eastAsia="en-ZA"/>
              </w:rPr>
              <w:t>Lodge et al. 1985</w:t>
            </w:r>
            <w:r>
              <w:rPr>
                <w:rFonts w:ascii="Times New Roman" w:eastAsia="Times New Roman" w:hAnsi="Times New Roman" w:cs="Times New Roman"/>
                <w:sz w:val="20"/>
                <w:szCs w:val="20"/>
                <w:lang w:eastAsia="en-ZA"/>
              </w:rPr>
              <w:t>; Phillips 2010</w:t>
            </w:r>
            <w:r w:rsidRPr="00053DFB">
              <w:rPr>
                <w:rFonts w:ascii="Times New Roman" w:eastAsia="Times New Roman" w:hAnsi="Times New Roman" w:cs="Times New Roman"/>
                <w:sz w:val="20"/>
                <w:szCs w:val="20"/>
                <w:lang w:eastAsia="en-ZA"/>
              </w:rPr>
              <w:t>).</w:t>
            </w:r>
          </w:p>
        </w:tc>
      </w:tr>
      <w:tr w:rsidR="002D7080" w:rsidRPr="00592486" w14:paraId="44FADBB7" w14:textId="77777777" w:rsidTr="002E2C37">
        <w:trPr>
          <w:trHeight w:val="70"/>
        </w:trPr>
        <w:tc>
          <w:tcPr>
            <w:tcW w:w="9067" w:type="dxa"/>
            <w:gridSpan w:val="2"/>
          </w:tcPr>
          <w:p w14:paraId="6C67FC0C" w14:textId="77777777" w:rsidR="002D7080" w:rsidRDefault="002D7080" w:rsidP="006728DB">
            <w:pPr>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6C3D56E9" w14:textId="77777777" w:rsidR="002D7080" w:rsidRDefault="002D7080" w:rsidP="006728DB">
            <w:pPr>
              <w:ind w:left="720" w:hanging="720"/>
              <w:contextualSpacing/>
              <w:jc w:val="both"/>
              <w:rPr>
                <w:rFonts w:ascii="Times New Roman" w:eastAsia="Times New Roman" w:hAnsi="Times New Roman" w:cs="Times New Roman"/>
                <w:bCs/>
                <w:sz w:val="20"/>
                <w:szCs w:val="20"/>
                <w:lang w:eastAsia="en-ZA"/>
              </w:rPr>
            </w:pPr>
            <w:r w:rsidRPr="00233C97">
              <w:rPr>
                <w:rFonts w:ascii="Times New Roman" w:eastAsia="Times New Roman" w:hAnsi="Times New Roman" w:cs="Times New Roman"/>
                <w:bCs/>
                <w:sz w:val="20"/>
                <w:szCs w:val="20"/>
                <w:lang w:eastAsia="en-ZA"/>
              </w:rPr>
              <w:t>Hein, C.L., Roth, B.M., Ives, A.R. &amp; Vander Zanden, M.J., 2006, ‘Fish predation and trapping for rusty crayfish (</w:t>
            </w:r>
            <w:r w:rsidRPr="00233C97">
              <w:rPr>
                <w:rFonts w:ascii="Times New Roman" w:eastAsia="Times New Roman" w:hAnsi="Times New Roman" w:cs="Times New Roman"/>
                <w:bCs/>
                <w:i/>
                <w:iCs/>
                <w:sz w:val="20"/>
                <w:szCs w:val="20"/>
                <w:lang w:eastAsia="en-ZA"/>
              </w:rPr>
              <w:t>Orconectes rusticus</w:t>
            </w:r>
            <w:r w:rsidRPr="00233C97">
              <w:rPr>
                <w:rFonts w:ascii="Times New Roman" w:eastAsia="Times New Roman" w:hAnsi="Times New Roman" w:cs="Times New Roman"/>
                <w:bCs/>
                <w:sz w:val="20"/>
                <w:szCs w:val="20"/>
                <w:lang w:eastAsia="en-ZA"/>
              </w:rPr>
              <w:t xml:space="preserve">) control: A whole-lake experiment’, </w:t>
            </w:r>
            <w:r w:rsidRPr="00233C97">
              <w:rPr>
                <w:rFonts w:ascii="Times New Roman" w:eastAsia="Times New Roman" w:hAnsi="Times New Roman" w:cs="Times New Roman"/>
                <w:bCs/>
                <w:i/>
                <w:sz w:val="20"/>
                <w:szCs w:val="20"/>
                <w:lang w:eastAsia="en-ZA"/>
              </w:rPr>
              <w:t>Canadian Journal</w:t>
            </w:r>
            <w:r w:rsidRPr="00233C97">
              <w:rPr>
                <w:rFonts w:ascii="Times New Roman" w:eastAsia="Times New Roman" w:hAnsi="Times New Roman" w:cs="Times New Roman"/>
                <w:bCs/>
                <w:sz w:val="20"/>
                <w:szCs w:val="20"/>
                <w:lang w:eastAsia="en-ZA"/>
              </w:rPr>
              <w:t xml:space="preserve"> </w:t>
            </w:r>
            <w:r w:rsidRPr="00233C97">
              <w:rPr>
                <w:rFonts w:ascii="Times New Roman" w:eastAsia="Times New Roman" w:hAnsi="Times New Roman" w:cs="Times New Roman"/>
                <w:bCs/>
                <w:i/>
                <w:sz w:val="20"/>
                <w:szCs w:val="20"/>
                <w:lang w:eastAsia="en-ZA"/>
              </w:rPr>
              <w:t>Fisheries and Aquatic Sciences</w:t>
            </w:r>
            <w:r w:rsidRPr="00233C97">
              <w:rPr>
                <w:rFonts w:ascii="Times New Roman" w:eastAsia="Times New Roman" w:hAnsi="Times New Roman" w:cs="Times New Roman"/>
                <w:bCs/>
                <w:sz w:val="20"/>
                <w:szCs w:val="20"/>
                <w:lang w:eastAsia="en-ZA"/>
              </w:rPr>
              <w:t xml:space="preserve">. 63, 383–393. </w:t>
            </w:r>
            <w:hyperlink w:history="1">
              <w:r w:rsidRPr="004A70D8">
                <w:rPr>
                  <w:rStyle w:val="Hyperlink"/>
                  <w:rFonts w:ascii="Times New Roman" w:eastAsia="Times New Roman" w:hAnsi="Times New Roman" w:cs="Times New Roman"/>
                  <w:bCs/>
                  <w:sz w:val="20"/>
                  <w:szCs w:val="20"/>
                  <w:lang w:eastAsia="en-ZA"/>
                </w:rPr>
                <w:t>https://doi/org/10.1139/F05-229</w:t>
              </w:r>
            </w:hyperlink>
            <w:r w:rsidRPr="00233C97">
              <w:rPr>
                <w:rFonts w:ascii="Times New Roman" w:eastAsia="Times New Roman" w:hAnsi="Times New Roman" w:cs="Times New Roman"/>
                <w:bCs/>
                <w:sz w:val="20"/>
                <w:szCs w:val="20"/>
                <w:lang w:eastAsia="en-ZA"/>
              </w:rPr>
              <w:t>.</w:t>
            </w:r>
          </w:p>
          <w:p w14:paraId="083C20E8" w14:textId="77777777" w:rsidR="002D7080" w:rsidRDefault="002D7080" w:rsidP="006728DB">
            <w:pPr>
              <w:ind w:left="720" w:hanging="720"/>
              <w:contextualSpacing/>
              <w:jc w:val="both"/>
              <w:rPr>
                <w:rFonts w:ascii="Times New Roman" w:hAnsi="Times New Roman" w:cs="Times New Roman"/>
                <w:sz w:val="20"/>
                <w:szCs w:val="20"/>
              </w:rPr>
            </w:pPr>
            <w:r w:rsidRPr="00BA6AFB">
              <w:rPr>
                <w:rFonts w:ascii="Times New Roman" w:hAnsi="Times New Roman" w:cs="Times New Roman"/>
                <w:sz w:val="20"/>
                <w:szCs w:val="20"/>
              </w:rPr>
              <w:t xml:space="preserve">Lodge, D.M., Beckel, A.L. </w:t>
            </w:r>
            <w:r>
              <w:rPr>
                <w:rFonts w:ascii="Times New Roman" w:hAnsi="Times New Roman" w:cs="Times New Roman"/>
                <w:sz w:val="20"/>
                <w:szCs w:val="20"/>
              </w:rPr>
              <w:t>&amp;</w:t>
            </w:r>
            <w:r w:rsidRPr="00BA6AFB">
              <w:rPr>
                <w:rFonts w:ascii="Times New Roman" w:hAnsi="Times New Roman" w:cs="Times New Roman"/>
                <w:sz w:val="20"/>
                <w:szCs w:val="20"/>
              </w:rPr>
              <w:t xml:space="preserve"> Magnuson J.J</w:t>
            </w:r>
            <w:r>
              <w:rPr>
                <w:rFonts w:ascii="Times New Roman" w:hAnsi="Times New Roman" w:cs="Times New Roman"/>
                <w:sz w:val="20"/>
                <w:szCs w:val="20"/>
              </w:rPr>
              <w:t>.,</w:t>
            </w:r>
            <w:r w:rsidRPr="00BA6AFB">
              <w:rPr>
                <w:rFonts w:ascii="Times New Roman" w:hAnsi="Times New Roman" w:cs="Times New Roman"/>
                <w:sz w:val="20"/>
                <w:szCs w:val="20"/>
              </w:rPr>
              <w:t xml:space="preserve"> 1985</w:t>
            </w:r>
            <w:r>
              <w:rPr>
                <w:rFonts w:ascii="Times New Roman" w:hAnsi="Times New Roman" w:cs="Times New Roman"/>
                <w:sz w:val="20"/>
                <w:szCs w:val="20"/>
              </w:rPr>
              <w:t>, ‘</w:t>
            </w:r>
            <w:r w:rsidRPr="00BA6AFB">
              <w:rPr>
                <w:rFonts w:ascii="Times New Roman" w:hAnsi="Times New Roman" w:cs="Times New Roman"/>
                <w:sz w:val="20"/>
                <w:szCs w:val="20"/>
              </w:rPr>
              <w:t>Lake-bottom tyrant</w:t>
            </w:r>
            <w:r>
              <w:rPr>
                <w:rFonts w:ascii="Times New Roman" w:hAnsi="Times New Roman" w:cs="Times New Roman"/>
                <w:sz w:val="20"/>
                <w:szCs w:val="20"/>
              </w:rPr>
              <w:t xml:space="preserve">’, </w:t>
            </w:r>
            <w:r w:rsidRPr="00895884">
              <w:rPr>
                <w:rFonts w:ascii="Times New Roman" w:hAnsi="Times New Roman" w:cs="Times New Roman"/>
                <w:i/>
                <w:iCs/>
                <w:sz w:val="20"/>
                <w:szCs w:val="20"/>
              </w:rPr>
              <w:t>Natural History</w:t>
            </w:r>
            <w:r w:rsidRPr="00BA6AFB">
              <w:rPr>
                <w:rFonts w:ascii="Times New Roman" w:hAnsi="Times New Roman" w:cs="Times New Roman"/>
                <w:sz w:val="20"/>
                <w:szCs w:val="20"/>
              </w:rPr>
              <w:t xml:space="preserve"> 94</w:t>
            </w:r>
            <w:r>
              <w:rPr>
                <w:rFonts w:ascii="Times New Roman" w:hAnsi="Times New Roman" w:cs="Times New Roman"/>
                <w:sz w:val="20"/>
                <w:szCs w:val="20"/>
              </w:rPr>
              <w:t xml:space="preserve">, </w:t>
            </w:r>
            <w:r w:rsidRPr="00BA6AFB">
              <w:rPr>
                <w:rFonts w:ascii="Times New Roman" w:hAnsi="Times New Roman" w:cs="Times New Roman"/>
                <w:sz w:val="20"/>
                <w:szCs w:val="20"/>
              </w:rPr>
              <w:t>32-37.</w:t>
            </w:r>
          </w:p>
          <w:p w14:paraId="05C72C4B" w14:textId="77777777" w:rsidR="002D7080" w:rsidRPr="00233C97" w:rsidRDefault="002D7080" w:rsidP="006728DB">
            <w:pPr>
              <w:ind w:left="720" w:hanging="720"/>
              <w:contextualSpacing/>
              <w:jc w:val="both"/>
              <w:rPr>
                <w:rFonts w:ascii="Times New Roman" w:eastAsia="Times New Roman" w:hAnsi="Times New Roman" w:cs="Times New Roman"/>
                <w:sz w:val="20"/>
                <w:szCs w:val="20"/>
                <w:lang w:eastAsia="en-ZA"/>
              </w:rPr>
            </w:pPr>
            <w:r w:rsidRPr="00053DFB">
              <w:rPr>
                <w:rFonts w:ascii="Times New Roman" w:hAnsi="Times New Roman" w:cs="Times New Roman"/>
                <w:sz w:val="20"/>
                <w:szCs w:val="20"/>
              </w:rPr>
              <w:t>Phillips, I.D. 2010. Biological synopsis of the Rusty Crayfish (</w:t>
            </w:r>
            <w:r w:rsidRPr="00053DFB">
              <w:rPr>
                <w:rFonts w:ascii="Times New Roman" w:hAnsi="Times New Roman" w:cs="Times New Roman"/>
                <w:i/>
                <w:iCs/>
                <w:sz w:val="20"/>
                <w:szCs w:val="20"/>
              </w:rPr>
              <w:t>Orconectes rusticus</w:t>
            </w:r>
            <w:r w:rsidRPr="00053DFB">
              <w:rPr>
                <w:rFonts w:ascii="Times New Roman" w:hAnsi="Times New Roman" w:cs="Times New Roman"/>
                <w:sz w:val="20"/>
                <w:szCs w:val="20"/>
              </w:rPr>
              <w:t xml:space="preserve">). </w:t>
            </w:r>
            <w:r>
              <w:rPr>
                <w:rFonts w:ascii="Times New Roman" w:hAnsi="Times New Roman" w:cs="Times New Roman"/>
                <w:sz w:val="20"/>
                <w:szCs w:val="20"/>
              </w:rPr>
              <w:t xml:space="preserve">Canadian </w:t>
            </w:r>
            <w:r w:rsidRPr="00053DFB">
              <w:rPr>
                <w:rFonts w:ascii="Times New Roman" w:hAnsi="Times New Roman" w:cs="Times New Roman"/>
                <w:sz w:val="20"/>
                <w:szCs w:val="20"/>
              </w:rPr>
              <w:t>Manuscr</w:t>
            </w:r>
            <w:r>
              <w:rPr>
                <w:rFonts w:ascii="Times New Roman" w:hAnsi="Times New Roman" w:cs="Times New Roman"/>
                <w:sz w:val="20"/>
                <w:szCs w:val="20"/>
              </w:rPr>
              <w:t xml:space="preserve">ipt </w:t>
            </w:r>
            <w:r w:rsidRPr="00053DFB">
              <w:rPr>
                <w:rFonts w:ascii="Times New Roman" w:hAnsi="Times New Roman" w:cs="Times New Roman"/>
                <w:sz w:val="20"/>
                <w:szCs w:val="20"/>
              </w:rPr>
              <w:t>Rep</w:t>
            </w:r>
            <w:r>
              <w:rPr>
                <w:rFonts w:ascii="Times New Roman" w:hAnsi="Times New Roman" w:cs="Times New Roman"/>
                <w:sz w:val="20"/>
                <w:szCs w:val="20"/>
              </w:rPr>
              <w:t xml:space="preserve">ort of </w:t>
            </w:r>
            <w:r w:rsidRPr="00053DFB">
              <w:rPr>
                <w:rFonts w:ascii="Times New Roman" w:hAnsi="Times New Roman" w:cs="Times New Roman"/>
                <w:sz w:val="20"/>
                <w:szCs w:val="20"/>
              </w:rPr>
              <w:t>Fish</w:t>
            </w:r>
            <w:r>
              <w:rPr>
                <w:rFonts w:ascii="Times New Roman" w:hAnsi="Times New Roman" w:cs="Times New Roman"/>
                <w:sz w:val="20"/>
                <w:szCs w:val="20"/>
              </w:rPr>
              <w:t xml:space="preserve">eries and </w:t>
            </w:r>
            <w:r w:rsidRPr="00053DFB">
              <w:rPr>
                <w:rFonts w:ascii="Times New Roman" w:hAnsi="Times New Roman" w:cs="Times New Roman"/>
                <w:sz w:val="20"/>
                <w:szCs w:val="20"/>
              </w:rPr>
              <w:t>Aquat</w:t>
            </w:r>
            <w:r>
              <w:rPr>
                <w:rFonts w:ascii="Times New Roman" w:hAnsi="Times New Roman" w:cs="Times New Roman"/>
                <w:sz w:val="20"/>
                <w:szCs w:val="20"/>
              </w:rPr>
              <w:t xml:space="preserve">ic </w:t>
            </w:r>
            <w:r w:rsidRPr="00053DFB">
              <w:rPr>
                <w:rFonts w:ascii="Times New Roman" w:hAnsi="Times New Roman" w:cs="Times New Roman"/>
                <w:sz w:val="20"/>
                <w:szCs w:val="20"/>
              </w:rPr>
              <w:t>Sci</w:t>
            </w:r>
            <w:r>
              <w:rPr>
                <w:rFonts w:ascii="Times New Roman" w:hAnsi="Times New Roman" w:cs="Times New Roman"/>
                <w:sz w:val="20"/>
                <w:szCs w:val="20"/>
              </w:rPr>
              <w:t>ence</w:t>
            </w:r>
            <w:r w:rsidRPr="00053DFB">
              <w:rPr>
                <w:rFonts w:ascii="Times New Roman" w:hAnsi="Times New Roman" w:cs="Times New Roman"/>
                <w:sz w:val="20"/>
                <w:szCs w:val="20"/>
              </w:rPr>
              <w:t>. 2923: iv + 17 p.</w:t>
            </w:r>
          </w:p>
        </w:tc>
      </w:tr>
    </w:tbl>
    <w:p w14:paraId="66CBC43C" w14:textId="77777777" w:rsidR="002D7080" w:rsidRPr="00233C97"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592486" w14:paraId="13D44530" w14:textId="77777777" w:rsidTr="002E2C37">
        <w:trPr>
          <w:trHeight w:val="343"/>
        </w:trPr>
        <w:tc>
          <w:tcPr>
            <w:tcW w:w="9067" w:type="dxa"/>
            <w:gridSpan w:val="2"/>
            <w:shd w:val="clear" w:color="auto" w:fill="F2F2F2" w:themeFill="background1" w:themeFillShade="F2"/>
          </w:tcPr>
          <w:p w14:paraId="323419F3"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MAN4 Has the feasibility of eradication been evaluated?</w:t>
            </w:r>
          </w:p>
        </w:tc>
      </w:tr>
      <w:tr w:rsidR="002D7080" w:rsidRPr="00592486" w14:paraId="0D611341" w14:textId="77777777" w:rsidTr="002E2C37">
        <w:trPr>
          <w:trHeight w:val="172"/>
        </w:trPr>
        <w:tc>
          <w:tcPr>
            <w:tcW w:w="5240" w:type="dxa"/>
          </w:tcPr>
          <w:p w14:paraId="516F07F8" w14:textId="77777777" w:rsidR="002D7080" w:rsidRPr="00233C97" w:rsidRDefault="002D7080" w:rsidP="002E2C37">
            <w:pPr>
              <w:tabs>
                <w:tab w:val="left" w:pos="1589"/>
              </w:tabs>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 No</w:t>
            </w:r>
          </w:p>
        </w:tc>
        <w:tc>
          <w:tcPr>
            <w:tcW w:w="3827" w:type="dxa"/>
          </w:tcPr>
          <w:p w14:paraId="2B91A484"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Confidence: Low</w:t>
            </w:r>
          </w:p>
        </w:tc>
      </w:tr>
      <w:tr w:rsidR="002D7080" w:rsidRPr="00592486" w14:paraId="2086F8AB" w14:textId="77777777" w:rsidTr="002E2C37">
        <w:trPr>
          <w:trHeight w:val="70"/>
        </w:trPr>
        <w:tc>
          <w:tcPr>
            <w:tcW w:w="9067" w:type="dxa"/>
            <w:gridSpan w:val="2"/>
          </w:tcPr>
          <w:p w14:paraId="602C5A09" w14:textId="77777777" w:rsidR="002D7080" w:rsidRPr="00A40352" w:rsidRDefault="002D7080" w:rsidP="002E2C37">
            <w:pPr>
              <w:jc w:val="both"/>
              <w:rPr>
                <w:rFonts w:ascii="Times New Roman" w:eastAsia="Times New Roman" w:hAnsi="Times New Roman" w:cs="Times New Roman"/>
                <w:sz w:val="20"/>
                <w:szCs w:val="20"/>
                <w:highlight w:val="yellow"/>
                <w:lang w:eastAsia="en-ZA"/>
              </w:rPr>
            </w:pPr>
            <w:r w:rsidRPr="00851336">
              <w:rPr>
                <w:rFonts w:ascii="Times New Roman" w:eastAsia="Times New Roman" w:hAnsi="Times New Roman" w:cs="Times New Roman"/>
                <w:sz w:val="20"/>
                <w:szCs w:val="20"/>
                <w:lang w:eastAsia="en-ZA"/>
              </w:rPr>
              <w:t>Rationale: T</w:t>
            </w:r>
            <w:r w:rsidRPr="00851336">
              <w:rPr>
                <w:rFonts w:ascii="Times New Roman" w:eastAsia="Times New Roman" w:hAnsi="Times New Roman" w:cs="Times New Roman"/>
                <w:sz w:val="20"/>
                <w:lang w:eastAsia="en-ZA"/>
              </w:rPr>
              <w:t xml:space="preserve">here are no known population of </w:t>
            </w:r>
            <w:r w:rsidRPr="00851336">
              <w:rPr>
                <w:rFonts w:ascii="Times New Roman" w:eastAsia="Times New Roman" w:hAnsi="Times New Roman" w:cs="Times New Roman"/>
                <w:i/>
                <w:iCs/>
                <w:sz w:val="20"/>
                <w:lang w:eastAsia="en-ZA"/>
              </w:rPr>
              <w:t>F. rusticus</w:t>
            </w:r>
            <w:r w:rsidRPr="00851336">
              <w:rPr>
                <w:rFonts w:ascii="Times New Roman" w:eastAsia="Times New Roman" w:hAnsi="Times New Roman" w:cs="Times New Roman"/>
                <w:sz w:val="20"/>
                <w:lang w:eastAsia="en-ZA"/>
              </w:rPr>
              <w:t xml:space="preserve"> in South Africa, therefore eradication feasibility has not been no evaluated. There is no documented eradication elsewhere in the invasive range of </w:t>
            </w:r>
            <w:r w:rsidRPr="00851336">
              <w:rPr>
                <w:rFonts w:ascii="Times New Roman" w:eastAsia="Times New Roman" w:hAnsi="Times New Roman" w:cs="Times New Roman"/>
                <w:i/>
                <w:iCs/>
                <w:sz w:val="20"/>
                <w:lang w:eastAsia="en-ZA"/>
              </w:rPr>
              <w:t xml:space="preserve">F. rusticus </w:t>
            </w:r>
            <w:r w:rsidRPr="00851336">
              <w:rPr>
                <w:rFonts w:ascii="Times New Roman" w:eastAsia="Times New Roman" w:hAnsi="Times New Roman" w:cs="Times New Roman"/>
                <w:sz w:val="20"/>
                <w:lang w:eastAsia="en-ZA"/>
              </w:rPr>
              <w:t xml:space="preserve">but see MAN5 for an example of control efforts using </w:t>
            </w:r>
            <w:r w:rsidRPr="00851336">
              <w:rPr>
                <w:rFonts w:ascii="Times New Roman" w:eastAsia="Times New Roman" w:hAnsi="Times New Roman" w:cs="Times New Roman"/>
                <w:sz w:val="20"/>
                <w:szCs w:val="20"/>
                <w:lang w:eastAsia="en-ZA"/>
              </w:rPr>
              <w:t>trapping</w:t>
            </w:r>
            <w:r w:rsidRPr="00851336">
              <w:rPr>
                <w:rFonts w:ascii="Times New Roman" w:eastAsia="Times New Roman" w:hAnsi="Times New Roman" w:cs="Times New Roman"/>
                <w:i/>
                <w:iCs/>
                <w:sz w:val="20"/>
                <w:szCs w:val="20"/>
                <w:lang w:eastAsia="en-ZA"/>
              </w:rPr>
              <w:t xml:space="preserve"> </w:t>
            </w:r>
            <w:r w:rsidRPr="00851336">
              <w:rPr>
                <w:rFonts w:ascii="Times New Roman" w:eastAsia="Times New Roman" w:hAnsi="Times New Roman" w:cs="Times New Roman"/>
                <w:sz w:val="20"/>
                <w:szCs w:val="20"/>
                <w:lang w:eastAsia="en-ZA"/>
              </w:rPr>
              <w:t>and enhancement of predatory fishes</w:t>
            </w:r>
            <w:r w:rsidRPr="00851336">
              <w:rPr>
                <w:rFonts w:ascii="Times New Roman" w:eastAsia="Times New Roman" w:hAnsi="Times New Roman" w:cs="Times New Roman"/>
                <w:i/>
                <w:iCs/>
                <w:sz w:val="20"/>
                <w:szCs w:val="20"/>
                <w:lang w:eastAsia="en-ZA"/>
              </w:rPr>
              <w:t xml:space="preserve"> </w:t>
            </w:r>
            <w:r w:rsidRPr="00851336">
              <w:rPr>
                <w:rFonts w:ascii="Times New Roman" w:eastAsia="Times New Roman" w:hAnsi="Times New Roman" w:cs="Times New Roman"/>
                <w:sz w:val="20"/>
                <w:szCs w:val="20"/>
                <w:lang w:eastAsia="en-ZA"/>
              </w:rPr>
              <w:t>(Hein et al. 2007</w:t>
            </w:r>
            <w:r>
              <w:rPr>
                <w:rFonts w:ascii="Times New Roman" w:eastAsia="Times New Roman" w:hAnsi="Times New Roman" w:cs="Times New Roman"/>
                <w:sz w:val="20"/>
                <w:szCs w:val="20"/>
                <w:lang w:eastAsia="en-ZA"/>
              </w:rPr>
              <w:t>; Perales et al. 2021</w:t>
            </w:r>
            <w:r w:rsidRPr="00851336">
              <w:rPr>
                <w:rFonts w:ascii="Times New Roman" w:eastAsia="Times New Roman" w:hAnsi="Times New Roman" w:cs="Times New Roman"/>
                <w:sz w:val="20"/>
                <w:szCs w:val="20"/>
                <w:lang w:eastAsia="en-ZA"/>
              </w:rPr>
              <w:t>)</w:t>
            </w:r>
          </w:p>
        </w:tc>
      </w:tr>
      <w:tr w:rsidR="002D7080" w:rsidRPr="00592486" w14:paraId="0824F19C" w14:textId="77777777" w:rsidTr="002E2C37">
        <w:trPr>
          <w:trHeight w:val="203"/>
        </w:trPr>
        <w:tc>
          <w:tcPr>
            <w:tcW w:w="9067" w:type="dxa"/>
            <w:gridSpan w:val="2"/>
          </w:tcPr>
          <w:p w14:paraId="74FE7316" w14:textId="77777777" w:rsidR="002D7080" w:rsidRDefault="002D7080" w:rsidP="002E2C37">
            <w:pPr>
              <w:ind w:left="720" w:hanging="720"/>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60921152" w14:textId="77777777" w:rsidR="002D7080" w:rsidRDefault="002D7080" w:rsidP="002E2C37">
            <w:pPr>
              <w:ind w:left="720" w:hanging="720"/>
              <w:contextualSpacing/>
              <w:jc w:val="both"/>
              <w:rPr>
                <w:rFonts w:ascii="Times New Roman" w:eastAsia="Times New Roman" w:hAnsi="Times New Roman" w:cs="Times New Roman"/>
                <w:bCs/>
                <w:sz w:val="20"/>
                <w:szCs w:val="20"/>
                <w:lang w:eastAsia="en-ZA"/>
              </w:rPr>
            </w:pPr>
            <w:r w:rsidRPr="00233C97">
              <w:rPr>
                <w:rFonts w:ascii="Times New Roman" w:eastAsia="Times New Roman" w:hAnsi="Times New Roman" w:cs="Times New Roman"/>
                <w:bCs/>
                <w:sz w:val="20"/>
                <w:szCs w:val="20"/>
                <w:lang w:eastAsia="en-ZA"/>
              </w:rPr>
              <w:t>Hein, C.L., Roth, B.M., Ives, A.R. &amp; Vander Zanden, M.J., 2006, ‘Fish predation and trapping for rusty crayfish (</w:t>
            </w:r>
            <w:r w:rsidRPr="00233C97">
              <w:rPr>
                <w:rFonts w:ascii="Times New Roman" w:eastAsia="Times New Roman" w:hAnsi="Times New Roman" w:cs="Times New Roman"/>
                <w:bCs/>
                <w:i/>
                <w:iCs/>
                <w:sz w:val="20"/>
                <w:szCs w:val="20"/>
                <w:lang w:eastAsia="en-ZA"/>
              </w:rPr>
              <w:t>Orconectes rusticus</w:t>
            </w:r>
            <w:r w:rsidRPr="00233C97">
              <w:rPr>
                <w:rFonts w:ascii="Times New Roman" w:eastAsia="Times New Roman" w:hAnsi="Times New Roman" w:cs="Times New Roman"/>
                <w:bCs/>
                <w:sz w:val="20"/>
                <w:szCs w:val="20"/>
                <w:lang w:eastAsia="en-ZA"/>
              </w:rPr>
              <w:t xml:space="preserve">) control: A whole-lake experiment’, </w:t>
            </w:r>
            <w:r w:rsidRPr="00233C97">
              <w:rPr>
                <w:rFonts w:ascii="Times New Roman" w:eastAsia="Times New Roman" w:hAnsi="Times New Roman" w:cs="Times New Roman"/>
                <w:bCs/>
                <w:i/>
                <w:sz w:val="20"/>
                <w:szCs w:val="20"/>
                <w:lang w:eastAsia="en-ZA"/>
              </w:rPr>
              <w:t>Canadian Journal</w:t>
            </w:r>
            <w:r w:rsidRPr="00233C97">
              <w:rPr>
                <w:rFonts w:ascii="Times New Roman" w:eastAsia="Times New Roman" w:hAnsi="Times New Roman" w:cs="Times New Roman"/>
                <w:bCs/>
                <w:sz w:val="20"/>
                <w:szCs w:val="20"/>
                <w:lang w:eastAsia="en-ZA"/>
              </w:rPr>
              <w:t xml:space="preserve"> </w:t>
            </w:r>
            <w:r w:rsidRPr="00233C97">
              <w:rPr>
                <w:rFonts w:ascii="Times New Roman" w:eastAsia="Times New Roman" w:hAnsi="Times New Roman" w:cs="Times New Roman"/>
                <w:bCs/>
                <w:i/>
                <w:sz w:val="20"/>
                <w:szCs w:val="20"/>
                <w:lang w:eastAsia="en-ZA"/>
              </w:rPr>
              <w:t>Fisheries and Aquatic Sciences</w:t>
            </w:r>
            <w:r w:rsidRPr="00233C97">
              <w:rPr>
                <w:rFonts w:ascii="Times New Roman" w:eastAsia="Times New Roman" w:hAnsi="Times New Roman" w:cs="Times New Roman"/>
                <w:bCs/>
                <w:sz w:val="20"/>
                <w:szCs w:val="20"/>
                <w:lang w:eastAsia="en-ZA"/>
              </w:rPr>
              <w:t xml:space="preserve">. 63, 383–393. </w:t>
            </w:r>
            <w:hyperlink w:history="1">
              <w:r w:rsidRPr="00FE2FDB">
                <w:rPr>
                  <w:rStyle w:val="Hyperlink"/>
                  <w:rFonts w:ascii="Times New Roman" w:eastAsia="Times New Roman" w:hAnsi="Times New Roman" w:cs="Times New Roman"/>
                  <w:bCs/>
                  <w:sz w:val="20"/>
                  <w:szCs w:val="20"/>
                  <w:lang w:eastAsia="en-ZA"/>
                </w:rPr>
                <w:t>https://doi/org/10.1139/F05-229</w:t>
              </w:r>
            </w:hyperlink>
            <w:r w:rsidRPr="00233C97">
              <w:rPr>
                <w:rFonts w:ascii="Times New Roman" w:eastAsia="Times New Roman" w:hAnsi="Times New Roman" w:cs="Times New Roman"/>
                <w:bCs/>
                <w:sz w:val="20"/>
                <w:szCs w:val="20"/>
                <w:lang w:eastAsia="en-ZA"/>
              </w:rPr>
              <w:t>.</w:t>
            </w:r>
          </w:p>
          <w:p w14:paraId="5EAF5A38" w14:textId="77777777" w:rsidR="002D7080" w:rsidRPr="00851336" w:rsidRDefault="002D7080" w:rsidP="002E2C37">
            <w:pPr>
              <w:ind w:left="720" w:hanging="720"/>
              <w:contextualSpacing/>
              <w:jc w:val="both"/>
              <w:rPr>
                <w:rFonts w:ascii="Times New Roman" w:eastAsia="Times New Roman" w:hAnsi="Times New Roman" w:cs="Times New Roman"/>
                <w:sz w:val="20"/>
                <w:szCs w:val="20"/>
                <w:lang w:eastAsia="en-ZA"/>
              </w:rPr>
            </w:pPr>
            <w:r w:rsidRPr="00851336">
              <w:rPr>
                <w:rStyle w:val="author"/>
                <w:rFonts w:ascii="Times New Roman" w:hAnsi="Times New Roman" w:cs="Times New Roman"/>
                <w:color w:val="1C1D1E"/>
                <w:sz w:val="20"/>
                <w:szCs w:val="20"/>
                <w:shd w:val="clear" w:color="auto" w:fill="FFFFFF"/>
              </w:rPr>
              <w:t>Perales, K.M.</w:t>
            </w:r>
            <w:r w:rsidRPr="00851336">
              <w:rPr>
                <w:rFonts w:ascii="Times New Roman" w:hAnsi="Times New Roman" w:cs="Times New Roman"/>
                <w:color w:val="1C1D1E"/>
                <w:sz w:val="20"/>
                <w:szCs w:val="20"/>
                <w:shd w:val="clear" w:color="auto" w:fill="FFFFFF"/>
              </w:rPr>
              <w:t>, </w:t>
            </w:r>
            <w:r w:rsidRPr="00851336">
              <w:rPr>
                <w:rStyle w:val="author"/>
                <w:rFonts w:ascii="Times New Roman" w:hAnsi="Times New Roman" w:cs="Times New Roman"/>
                <w:color w:val="1C1D1E"/>
                <w:sz w:val="20"/>
                <w:szCs w:val="20"/>
                <w:shd w:val="clear" w:color="auto" w:fill="FFFFFF"/>
              </w:rPr>
              <w:t>Hansen, G.J.A.</w:t>
            </w:r>
            <w:r w:rsidRPr="00851336">
              <w:rPr>
                <w:rFonts w:ascii="Times New Roman" w:hAnsi="Times New Roman" w:cs="Times New Roman"/>
                <w:color w:val="1C1D1E"/>
                <w:sz w:val="20"/>
                <w:szCs w:val="20"/>
                <w:shd w:val="clear" w:color="auto" w:fill="FFFFFF"/>
              </w:rPr>
              <w:t>, </w:t>
            </w:r>
            <w:r w:rsidRPr="00851336">
              <w:rPr>
                <w:rStyle w:val="author"/>
                <w:rFonts w:ascii="Times New Roman" w:hAnsi="Times New Roman" w:cs="Times New Roman"/>
                <w:color w:val="1C1D1E"/>
                <w:sz w:val="20"/>
                <w:szCs w:val="20"/>
                <w:shd w:val="clear" w:color="auto" w:fill="FFFFFF"/>
              </w:rPr>
              <w:t>Hein, C.L.</w:t>
            </w:r>
            <w:r w:rsidRPr="00851336">
              <w:rPr>
                <w:rFonts w:ascii="Times New Roman" w:hAnsi="Times New Roman" w:cs="Times New Roman"/>
                <w:color w:val="1C1D1E"/>
                <w:sz w:val="20"/>
                <w:szCs w:val="20"/>
                <w:shd w:val="clear" w:color="auto" w:fill="FFFFFF"/>
              </w:rPr>
              <w:t>, </w:t>
            </w:r>
            <w:r w:rsidRPr="00851336">
              <w:rPr>
                <w:rStyle w:val="author"/>
                <w:rFonts w:ascii="Times New Roman" w:hAnsi="Times New Roman" w:cs="Times New Roman"/>
                <w:color w:val="1C1D1E"/>
                <w:sz w:val="20"/>
                <w:szCs w:val="20"/>
                <w:shd w:val="clear" w:color="auto" w:fill="FFFFFF"/>
              </w:rPr>
              <w:t>Mrnak, J.T.</w:t>
            </w:r>
            <w:r w:rsidRPr="00851336">
              <w:rPr>
                <w:rFonts w:ascii="Times New Roman" w:hAnsi="Times New Roman" w:cs="Times New Roman"/>
                <w:color w:val="1C1D1E"/>
                <w:sz w:val="20"/>
                <w:szCs w:val="20"/>
                <w:shd w:val="clear" w:color="auto" w:fill="FFFFFF"/>
              </w:rPr>
              <w:t>, </w:t>
            </w:r>
            <w:r w:rsidRPr="00851336">
              <w:rPr>
                <w:rStyle w:val="author"/>
                <w:rFonts w:ascii="Times New Roman" w:hAnsi="Times New Roman" w:cs="Times New Roman"/>
                <w:color w:val="1C1D1E"/>
                <w:sz w:val="20"/>
                <w:szCs w:val="20"/>
                <w:shd w:val="clear" w:color="auto" w:fill="FFFFFF"/>
              </w:rPr>
              <w:t>Roth, B.M.</w:t>
            </w:r>
            <w:r w:rsidRPr="00851336">
              <w:rPr>
                <w:rFonts w:ascii="Times New Roman" w:hAnsi="Times New Roman" w:cs="Times New Roman"/>
                <w:color w:val="1C1D1E"/>
                <w:sz w:val="20"/>
                <w:szCs w:val="20"/>
                <w:shd w:val="clear" w:color="auto" w:fill="FFFFFF"/>
              </w:rPr>
              <w:t>, </w:t>
            </w:r>
            <w:r w:rsidRPr="00851336">
              <w:rPr>
                <w:rStyle w:val="author"/>
                <w:rFonts w:ascii="Times New Roman" w:hAnsi="Times New Roman" w:cs="Times New Roman"/>
                <w:color w:val="1C1D1E"/>
                <w:sz w:val="20"/>
                <w:szCs w:val="20"/>
                <w:shd w:val="clear" w:color="auto" w:fill="FFFFFF"/>
              </w:rPr>
              <w:t>Walsh, J.R.</w:t>
            </w:r>
            <w:r w:rsidRPr="00851336">
              <w:rPr>
                <w:rFonts w:ascii="Times New Roman" w:hAnsi="Times New Roman" w:cs="Times New Roman"/>
                <w:color w:val="1C1D1E"/>
                <w:sz w:val="20"/>
                <w:szCs w:val="20"/>
                <w:shd w:val="clear" w:color="auto" w:fill="FFFFFF"/>
              </w:rPr>
              <w:t>,</w:t>
            </w:r>
            <w:r>
              <w:rPr>
                <w:rFonts w:ascii="Times New Roman" w:hAnsi="Times New Roman" w:cs="Times New Roman"/>
                <w:color w:val="1C1D1E"/>
                <w:sz w:val="20"/>
                <w:szCs w:val="20"/>
                <w:shd w:val="clear" w:color="auto" w:fill="FFFFFF"/>
              </w:rPr>
              <w:t xml:space="preserve"> </w:t>
            </w:r>
            <w:r w:rsidRPr="00851336">
              <w:rPr>
                <w:rFonts w:ascii="Times New Roman" w:hAnsi="Times New Roman" w:cs="Times New Roman"/>
                <w:color w:val="1C1D1E"/>
                <w:sz w:val="20"/>
                <w:szCs w:val="20"/>
                <w:shd w:val="clear" w:color="auto" w:fill="FFFFFF"/>
              </w:rPr>
              <w:t>&amp; </w:t>
            </w:r>
            <w:r>
              <w:rPr>
                <w:rFonts w:ascii="Times New Roman" w:hAnsi="Times New Roman" w:cs="Times New Roman"/>
                <w:color w:val="1C1D1E"/>
                <w:sz w:val="20"/>
                <w:szCs w:val="20"/>
                <w:shd w:val="clear" w:color="auto" w:fill="FFFFFF"/>
              </w:rPr>
              <w:t>v</w:t>
            </w:r>
            <w:r w:rsidRPr="00851336">
              <w:rPr>
                <w:rStyle w:val="author"/>
                <w:rFonts w:ascii="Times New Roman" w:hAnsi="Times New Roman" w:cs="Times New Roman"/>
                <w:color w:val="1C1D1E"/>
                <w:sz w:val="20"/>
                <w:szCs w:val="20"/>
                <w:shd w:val="clear" w:color="auto" w:fill="FFFFFF"/>
              </w:rPr>
              <w:t>an</w:t>
            </w:r>
            <w:r>
              <w:rPr>
                <w:rStyle w:val="author"/>
                <w:rFonts w:ascii="Times New Roman" w:hAnsi="Times New Roman" w:cs="Times New Roman"/>
                <w:color w:val="1C1D1E"/>
                <w:sz w:val="20"/>
                <w:szCs w:val="20"/>
                <w:shd w:val="clear" w:color="auto" w:fill="FFFFFF"/>
              </w:rPr>
              <w:t xml:space="preserve"> </w:t>
            </w:r>
            <w:r w:rsidRPr="00851336">
              <w:rPr>
                <w:rStyle w:val="author"/>
                <w:rFonts w:ascii="Times New Roman" w:hAnsi="Times New Roman" w:cs="Times New Roman"/>
                <w:color w:val="1C1D1E"/>
                <w:sz w:val="20"/>
                <w:szCs w:val="20"/>
                <w:shd w:val="clear" w:color="auto" w:fill="FFFFFF"/>
              </w:rPr>
              <w:t>der</w:t>
            </w:r>
            <w:r>
              <w:rPr>
                <w:rStyle w:val="author"/>
                <w:rFonts w:ascii="Times New Roman" w:hAnsi="Times New Roman" w:cs="Times New Roman"/>
                <w:color w:val="1C1D1E"/>
                <w:sz w:val="20"/>
                <w:szCs w:val="20"/>
                <w:shd w:val="clear" w:color="auto" w:fill="FFFFFF"/>
              </w:rPr>
              <w:t xml:space="preserve"> </w:t>
            </w:r>
            <w:r w:rsidRPr="00851336">
              <w:rPr>
                <w:rStyle w:val="author"/>
                <w:rFonts w:ascii="Times New Roman" w:hAnsi="Times New Roman" w:cs="Times New Roman"/>
                <w:color w:val="1C1D1E"/>
                <w:sz w:val="20"/>
                <w:szCs w:val="20"/>
                <w:shd w:val="clear" w:color="auto" w:fill="FFFFFF"/>
              </w:rPr>
              <w:t>Zanden, M. J.</w:t>
            </w:r>
            <w:r>
              <w:rPr>
                <w:rStyle w:val="author"/>
                <w:rFonts w:ascii="Times New Roman" w:hAnsi="Times New Roman" w:cs="Times New Roman"/>
                <w:color w:val="1C1D1E"/>
                <w:sz w:val="20"/>
                <w:szCs w:val="20"/>
                <w:shd w:val="clear" w:color="auto" w:fill="FFFFFF"/>
              </w:rPr>
              <w:t>,</w:t>
            </w:r>
            <w:r>
              <w:rPr>
                <w:rStyle w:val="author"/>
              </w:rPr>
              <w:t xml:space="preserve"> </w:t>
            </w:r>
            <w:r w:rsidRPr="00851336">
              <w:rPr>
                <w:rStyle w:val="pubyear"/>
                <w:rFonts w:ascii="Times New Roman" w:hAnsi="Times New Roman" w:cs="Times New Roman"/>
                <w:color w:val="1C1D1E"/>
                <w:sz w:val="20"/>
                <w:szCs w:val="20"/>
                <w:shd w:val="clear" w:color="auto" w:fill="FFFFFF"/>
              </w:rPr>
              <w:t>2021</w:t>
            </w:r>
            <w:r>
              <w:rPr>
                <w:rStyle w:val="pubyear"/>
                <w:rFonts w:ascii="Times New Roman" w:hAnsi="Times New Roman" w:cs="Times New Roman"/>
                <w:color w:val="1C1D1E"/>
                <w:sz w:val="20"/>
                <w:szCs w:val="20"/>
                <w:shd w:val="clear" w:color="auto" w:fill="FFFFFF"/>
              </w:rPr>
              <w:t>,</w:t>
            </w:r>
            <w:r w:rsidRPr="00851336">
              <w:rPr>
                <w:rFonts w:ascii="Times New Roman" w:hAnsi="Times New Roman" w:cs="Times New Roman"/>
                <w:color w:val="1C1D1E"/>
                <w:sz w:val="20"/>
                <w:szCs w:val="20"/>
                <w:shd w:val="clear" w:color="auto" w:fill="FFFFFF"/>
              </w:rPr>
              <w:t> </w:t>
            </w:r>
            <w:r>
              <w:rPr>
                <w:rFonts w:ascii="Times New Roman" w:hAnsi="Times New Roman" w:cs="Times New Roman"/>
                <w:color w:val="1C1D1E"/>
                <w:sz w:val="20"/>
                <w:szCs w:val="20"/>
                <w:shd w:val="clear" w:color="auto" w:fill="FFFFFF"/>
              </w:rPr>
              <w:t>‘</w:t>
            </w:r>
            <w:r w:rsidRPr="00851336">
              <w:rPr>
                <w:rStyle w:val="articletitle"/>
                <w:rFonts w:ascii="Times New Roman" w:hAnsi="Times New Roman" w:cs="Times New Roman"/>
                <w:color w:val="1C1D1E"/>
                <w:sz w:val="20"/>
                <w:szCs w:val="20"/>
                <w:shd w:val="clear" w:color="auto" w:fill="FFFFFF"/>
              </w:rPr>
              <w:t>Spatial and temporal patterns in native and invasive crayfishes during a 19-year whole-lake invasive crayfish removal experiment</w:t>
            </w:r>
            <w:r>
              <w:rPr>
                <w:rStyle w:val="articletitle"/>
                <w:rFonts w:ascii="Times New Roman" w:hAnsi="Times New Roman" w:cs="Times New Roman"/>
                <w:color w:val="1C1D1E"/>
                <w:sz w:val="20"/>
                <w:szCs w:val="20"/>
                <w:shd w:val="clear" w:color="auto" w:fill="FFFFFF"/>
              </w:rPr>
              <w:t>’</w:t>
            </w:r>
            <w:r>
              <w:rPr>
                <w:rStyle w:val="articletitle"/>
              </w:rPr>
              <w:t xml:space="preserve">, </w:t>
            </w:r>
            <w:r w:rsidRPr="00851336">
              <w:rPr>
                <w:rFonts w:ascii="Times New Roman" w:hAnsi="Times New Roman" w:cs="Times New Roman"/>
                <w:i/>
                <w:iCs/>
                <w:color w:val="1C1D1E"/>
                <w:sz w:val="20"/>
                <w:szCs w:val="20"/>
                <w:shd w:val="clear" w:color="auto" w:fill="FFFFFF"/>
              </w:rPr>
              <w:t>Freshwa</w:t>
            </w:r>
            <w:r w:rsidRPr="00851336">
              <w:rPr>
                <w:rFonts w:ascii="Times New Roman" w:hAnsi="Times New Roman" w:cs="Times New Roman"/>
                <w:i/>
                <w:iCs/>
                <w:sz w:val="20"/>
                <w:szCs w:val="20"/>
              </w:rPr>
              <w:t>ter</w:t>
            </w:r>
            <w:r w:rsidRPr="00851336">
              <w:rPr>
                <w:rFonts w:ascii="Times New Roman" w:hAnsi="Times New Roman" w:cs="Times New Roman"/>
                <w:i/>
                <w:iCs/>
                <w:color w:val="1C1D1E"/>
                <w:sz w:val="20"/>
                <w:szCs w:val="20"/>
                <w:shd w:val="clear" w:color="auto" w:fill="FFFFFF"/>
              </w:rPr>
              <w:t xml:space="preserve"> Biolo</w:t>
            </w:r>
            <w:r w:rsidRPr="00851336">
              <w:rPr>
                <w:rFonts w:ascii="Times New Roman" w:hAnsi="Times New Roman" w:cs="Times New Roman"/>
                <w:i/>
                <w:iCs/>
                <w:sz w:val="20"/>
                <w:szCs w:val="20"/>
              </w:rPr>
              <w:t>gy</w:t>
            </w:r>
            <w:r w:rsidRPr="00851336">
              <w:rPr>
                <w:rFonts w:ascii="Times New Roman" w:hAnsi="Times New Roman" w:cs="Times New Roman"/>
                <w:color w:val="1C1D1E"/>
                <w:sz w:val="20"/>
                <w:szCs w:val="20"/>
                <w:shd w:val="clear" w:color="auto" w:fill="FFFFFF"/>
              </w:rPr>
              <w:t>, </w:t>
            </w:r>
            <w:r w:rsidRPr="00851336">
              <w:rPr>
                <w:rStyle w:val="vol"/>
                <w:rFonts w:ascii="Times New Roman" w:hAnsi="Times New Roman" w:cs="Times New Roman"/>
                <w:color w:val="1C1D1E"/>
                <w:sz w:val="20"/>
                <w:szCs w:val="20"/>
                <w:shd w:val="clear" w:color="auto" w:fill="FFFFFF"/>
              </w:rPr>
              <w:t>66</w:t>
            </w:r>
            <w:r w:rsidRPr="00851336">
              <w:rPr>
                <w:rFonts w:ascii="Times New Roman" w:hAnsi="Times New Roman" w:cs="Times New Roman"/>
                <w:color w:val="1C1D1E"/>
                <w:sz w:val="20"/>
                <w:szCs w:val="20"/>
                <w:shd w:val="clear" w:color="auto" w:fill="FFFFFF"/>
              </w:rPr>
              <w:t>, </w:t>
            </w:r>
            <w:r w:rsidRPr="00851336">
              <w:rPr>
                <w:rStyle w:val="pagefirst"/>
                <w:rFonts w:ascii="Times New Roman" w:hAnsi="Times New Roman" w:cs="Times New Roman"/>
                <w:color w:val="1C1D1E"/>
                <w:sz w:val="20"/>
                <w:szCs w:val="20"/>
                <w:shd w:val="clear" w:color="auto" w:fill="FFFFFF"/>
              </w:rPr>
              <w:t>2105</w:t>
            </w:r>
            <w:r w:rsidRPr="00851336">
              <w:rPr>
                <w:rFonts w:ascii="Times New Roman" w:hAnsi="Times New Roman" w:cs="Times New Roman"/>
                <w:color w:val="1C1D1E"/>
                <w:sz w:val="20"/>
                <w:szCs w:val="20"/>
                <w:shd w:val="clear" w:color="auto" w:fill="FFFFFF"/>
              </w:rPr>
              <w:t>–</w:t>
            </w:r>
            <w:r w:rsidRPr="00851336">
              <w:rPr>
                <w:rStyle w:val="pagelast"/>
                <w:rFonts w:ascii="Times New Roman" w:hAnsi="Times New Roman" w:cs="Times New Roman"/>
                <w:color w:val="1C1D1E"/>
                <w:sz w:val="20"/>
                <w:szCs w:val="20"/>
                <w:shd w:val="clear" w:color="auto" w:fill="FFFFFF"/>
              </w:rPr>
              <w:t>2117</w:t>
            </w:r>
            <w:r w:rsidRPr="00851336">
              <w:rPr>
                <w:rFonts w:ascii="Times New Roman" w:hAnsi="Times New Roman" w:cs="Times New Roman"/>
                <w:color w:val="1C1D1E"/>
                <w:sz w:val="20"/>
                <w:szCs w:val="20"/>
                <w:shd w:val="clear" w:color="auto" w:fill="FFFFFF"/>
              </w:rPr>
              <w:t>. </w:t>
            </w:r>
            <w:hyperlink w:history="1">
              <w:r w:rsidRPr="00851336">
                <w:rPr>
                  <w:rStyle w:val="Hyperlink"/>
                  <w:rFonts w:ascii="Times New Roman" w:hAnsi="Times New Roman" w:cs="Times New Roman"/>
                  <w:sz w:val="20"/>
                  <w:szCs w:val="20"/>
                  <w:shd w:val="clear" w:color="auto" w:fill="FFFFFF"/>
                </w:rPr>
                <w:t>https://doi.org/10.1111/fwb.13818</w:t>
              </w:r>
            </w:hyperlink>
          </w:p>
        </w:tc>
      </w:tr>
    </w:tbl>
    <w:p w14:paraId="0C55AA4B" w14:textId="77777777" w:rsidR="002D7080" w:rsidRPr="00233C97"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9067"/>
      </w:tblGrid>
      <w:tr w:rsidR="002D7080" w:rsidRPr="00592486" w14:paraId="43F1985F" w14:textId="77777777" w:rsidTr="002E2C37">
        <w:trPr>
          <w:trHeight w:val="343"/>
        </w:trPr>
        <w:tc>
          <w:tcPr>
            <w:tcW w:w="9067" w:type="dxa"/>
            <w:shd w:val="clear" w:color="auto" w:fill="F2F2F2" w:themeFill="background1" w:themeFillShade="F2"/>
          </w:tcPr>
          <w:p w14:paraId="4D72B0B3"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 xml:space="preserve">MAN5 Control options and monitoring approaches available for the </w:t>
            </w:r>
            <w:r w:rsidRPr="00233C97">
              <w:rPr>
                <w:rFonts w:ascii="Times New Roman" w:eastAsia="Times New Roman" w:hAnsi="Times New Roman" w:cs="Times New Roman"/>
                <w:b/>
                <w:i/>
                <w:sz w:val="20"/>
                <w:szCs w:val="20"/>
                <w:lang w:eastAsia="en-ZA"/>
              </w:rPr>
              <w:t>Taxon</w:t>
            </w:r>
          </w:p>
        </w:tc>
      </w:tr>
      <w:tr w:rsidR="002D7080" w:rsidRPr="00592486" w14:paraId="1679CBBE" w14:textId="77777777" w:rsidTr="002E2C37">
        <w:trPr>
          <w:trHeight w:val="70"/>
        </w:trPr>
        <w:tc>
          <w:tcPr>
            <w:tcW w:w="9067" w:type="dxa"/>
          </w:tcPr>
          <w:p w14:paraId="266F4A15" w14:textId="77777777" w:rsidR="002D7080" w:rsidRPr="006F14F6" w:rsidRDefault="002D7080" w:rsidP="002E2C37">
            <w:pPr>
              <w:jc w:val="both"/>
              <w:rPr>
                <w:rFonts w:ascii="Times New Roman" w:eastAsia="Times New Roman" w:hAnsi="Times New Roman" w:cs="Times New Roman"/>
                <w:sz w:val="20"/>
                <w:szCs w:val="20"/>
                <w:lang w:eastAsia="en-ZA"/>
              </w:rPr>
            </w:pPr>
            <w:r w:rsidRPr="006F14F6">
              <w:rPr>
                <w:rFonts w:ascii="Times New Roman" w:eastAsia="Times New Roman" w:hAnsi="Times New Roman" w:cs="Times New Roman"/>
                <w:sz w:val="20"/>
                <w:szCs w:val="20"/>
                <w:lang w:eastAsia="en-ZA"/>
              </w:rPr>
              <w:t xml:space="preserve">Response: </w:t>
            </w:r>
            <w:r w:rsidRPr="006F14F6">
              <w:rPr>
                <w:rFonts w:ascii="Times New Roman" w:eastAsia="Times New Roman" w:hAnsi="Times New Roman" w:cs="Times New Roman"/>
                <w:i/>
                <w:iCs/>
                <w:sz w:val="20"/>
                <w:szCs w:val="20"/>
                <w:lang w:eastAsia="en-ZA"/>
              </w:rPr>
              <w:t xml:space="preserve">Faxonius rusticus </w:t>
            </w:r>
            <w:r w:rsidRPr="006F14F6">
              <w:rPr>
                <w:rFonts w:ascii="Times New Roman" w:eastAsia="Times New Roman" w:hAnsi="Times New Roman" w:cs="Times New Roman"/>
                <w:sz w:val="20"/>
                <w:szCs w:val="20"/>
                <w:lang w:eastAsia="en-ZA"/>
              </w:rPr>
              <w:t>invasions in the USA have been controlled</w:t>
            </w:r>
            <w:r w:rsidRPr="006F14F6">
              <w:rPr>
                <w:rFonts w:ascii="Times New Roman" w:eastAsia="Times New Roman" w:hAnsi="Times New Roman" w:cs="Times New Roman"/>
                <w:i/>
                <w:iCs/>
                <w:sz w:val="20"/>
                <w:szCs w:val="20"/>
                <w:lang w:eastAsia="en-ZA"/>
              </w:rPr>
              <w:t xml:space="preserve"> </w:t>
            </w:r>
            <w:r w:rsidRPr="006F14F6">
              <w:rPr>
                <w:rFonts w:ascii="Times New Roman" w:eastAsia="Times New Roman" w:hAnsi="Times New Roman" w:cs="Times New Roman"/>
                <w:sz w:val="20"/>
                <w:szCs w:val="20"/>
                <w:lang w:eastAsia="en-ZA"/>
              </w:rPr>
              <w:t>using trapping</w:t>
            </w:r>
            <w:r w:rsidRPr="006F14F6">
              <w:rPr>
                <w:rFonts w:ascii="Times New Roman" w:eastAsia="Times New Roman" w:hAnsi="Times New Roman" w:cs="Times New Roman"/>
                <w:i/>
                <w:iCs/>
                <w:sz w:val="20"/>
                <w:szCs w:val="20"/>
                <w:lang w:eastAsia="en-ZA"/>
              </w:rPr>
              <w:t xml:space="preserve"> </w:t>
            </w:r>
            <w:r w:rsidRPr="006F14F6">
              <w:rPr>
                <w:rFonts w:ascii="Times New Roman" w:eastAsia="Times New Roman" w:hAnsi="Times New Roman" w:cs="Times New Roman"/>
                <w:sz w:val="20"/>
                <w:szCs w:val="20"/>
                <w:lang w:eastAsia="en-ZA"/>
              </w:rPr>
              <w:t>and enhancement of predatory fishes</w:t>
            </w:r>
            <w:r w:rsidRPr="006F14F6">
              <w:rPr>
                <w:rFonts w:ascii="Times New Roman" w:eastAsia="Times New Roman" w:hAnsi="Times New Roman" w:cs="Times New Roman"/>
                <w:i/>
                <w:iCs/>
                <w:sz w:val="20"/>
                <w:szCs w:val="20"/>
                <w:lang w:eastAsia="en-ZA"/>
              </w:rPr>
              <w:t xml:space="preserve"> </w:t>
            </w:r>
            <w:r w:rsidRPr="006F14F6">
              <w:rPr>
                <w:rFonts w:ascii="Times New Roman" w:eastAsia="Times New Roman" w:hAnsi="Times New Roman" w:cs="Times New Roman"/>
                <w:sz w:val="20"/>
                <w:szCs w:val="20"/>
                <w:lang w:eastAsia="en-ZA"/>
              </w:rPr>
              <w:t xml:space="preserve">(Hein et al. 2007). For example, a whole lake experiment (2001-2008) was carried out to control </w:t>
            </w:r>
            <w:r w:rsidRPr="006F14F6">
              <w:rPr>
                <w:rFonts w:ascii="Times New Roman" w:eastAsia="Times New Roman" w:hAnsi="Times New Roman" w:cs="Times New Roman"/>
                <w:i/>
                <w:iCs/>
                <w:sz w:val="20"/>
                <w:szCs w:val="20"/>
                <w:lang w:eastAsia="en-ZA"/>
              </w:rPr>
              <w:t>F. rusticus</w:t>
            </w:r>
            <w:r w:rsidRPr="006F14F6">
              <w:rPr>
                <w:rFonts w:ascii="Times New Roman" w:eastAsia="Times New Roman" w:hAnsi="Times New Roman" w:cs="Times New Roman"/>
                <w:sz w:val="20"/>
                <w:szCs w:val="20"/>
                <w:lang w:eastAsia="en-ZA"/>
              </w:rPr>
              <w:t xml:space="preserve"> in Northern Wisconsin, USA and resulting in a ≥95% reduction in abundance of rusty crayfish and </w:t>
            </w:r>
            <w:r w:rsidRPr="006F14F6">
              <w:rPr>
                <w:rFonts w:ascii="Times New Roman" w:eastAsia="Times New Roman" w:hAnsi="Times New Roman" w:cs="Times New Roman"/>
                <w:sz w:val="20"/>
                <w:szCs w:val="20"/>
                <w:lang w:eastAsia="en-ZA"/>
              </w:rPr>
              <w:lastRenderedPageBreak/>
              <w:t>recovery of native species populations (Hein et al., 2007; Hansen et al., 2013; Perales et al. 2021).</w:t>
            </w:r>
            <w:r>
              <w:rPr>
                <w:rFonts w:ascii="Times New Roman" w:eastAsia="Times New Roman" w:hAnsi="Times New Roman" w:cs="Times New Roman"/>
                <w:sz w:val="20"/>
                <w:szCs w:val="20"/>
                <w:lang w:eastAsia="en-ZA"/>
              </w:rPr>
              <w:t xml:space="preserve"> </w:t>
            </w:r>
            <w:r w:rsidRPr="006F14F6">
              <w:rPr>
                <w:rFonts w:ascii="Times New Roman" w:eastAsia="Times New Roman" w:hAnsi="Times New Roman" w:cs="Times New Roman"/>
                <w:sz w:val="20"/>
                <w:szCs w:val="20"/>
                <w:lang w:eastAsia="en-ZA"/>
              </w:rPr>
              <w:t xml:space="preserve">There are several other methods that have been used to control alien populations of invasive crayfish these include mechanical removal using traps and electrofishing, biocides, and sterile male release (Gherardi et al. 2011). However, there are several issues that make management of crayfish invasions challenging. For example, the use of biocides is often effective for localised populations in dams and ponds but it is not effective when a species is widespread because of the large doses of treatment required and higher potential of adverse effects on non-targeted species (Gherardi et al. 2011; Peay et al. 2019). Mechanical control can be effective in small discrete water bodies but is expensive, requires commitment to follow up to complete extirpation and can lead to unwanted </w:t>
            </w:r>
            <w:r w:rsidRPr="006F14F6">
              <w:rPr>
                <w:rFonts w:ascii="Times New Roman" w:hAnsi="Times New Roman" w:cs="Times New Roman"/>
                <w:sz w:val="20"/>
                <w:szCs w:val="20"/>
              </w:rPr>
              <w:t>community compensation mechanisms</w:t>
            </w:r>
            <w:r w:rsidRPr="006F14F6">
              <w:rPr>
                <w:rFonts w:ascii="Times New Roman" w:eastAsia="Times New Roman" w:hAnsi="Times New Roman" w:cs="Times New Roman"/>
                <w:sz w:val="20"/>
                <w:szCs w:val="20"/>
                <w:lang w:eastAsia="en-ZA"/>
              </w:rPr>
              <w:t xml:space="preserve"> such as enhanced recruitment (Chadwick et al. 2020).</w:t>
            </w:r>
            <w:r>
              <w:rPr>
                <w:rFonts w:ascii="Times New Roman" w:eastAsia="Times New Roman" w:hAnsi="Times New Roman" w:cs="Times New Roman"/>
                <w:sz w:val="20"/>
                <w:szCs w:val="20"/>
                <w:lang w:eastAsia="en-ZA"/>
              </w:rPr>
              <w:t xml:space="preserve"> </w:t>
            </w:r>
            <w:r w:rsidRPr="006F14F6">
              <w:rPr>
                <w:rFonts w:ascii="Times New Roman" w:eastAsia="Times New Roman" w:hAnsi="Times New Roman" w:cs="Times New Roman"/>
                <w:i/>
                <w:iCs/>
                <w:sz w:val="20"/>
                <w:szCs w:val="20"/>
                <w:lang w:eastAsia="en-ZA"/>
              </w:rPr>
              <w:t xml:space="preserve">Faxonius rusticus </w:t>
            </w:r>
            <w:r w:rsidRPr="006F14F6">
              <w:rPr>
                <w:rFonts w:ascii="Times New Roman" w:eastAsia="Times New Roman" w:hAnsi="Times New Roman" w:cs="Times New Roman"/>
                <w:sz w:val="20"/>
                <w:szCs w:val="20"/>
                <w:lang w:eastAsia="en-ZA"/>
              </w:rPr>
              <w:t xml:space="preserve">is present in the global pet trade industry and there are unconfirmed records that it might be present South Africa. The pet trade industry is generally difficult to regulate because trade restrictions imposed on species of conservation concern that are potentially popular and in high demand, often lead to illegal trading that is compounded by a lack of reliable record–keeping of the type and number of organisms presently in the pet trade </w:t>
            </w:r>
            <w:r w:rsidRPr="006F14F6">
              <w:rPr>
                <w:rFonts w:ascii="Times New Roman" w:hAnsi="Times New Roman" w:cs="Times New Roman"/>
                <w:sz w:val="20"/>
                <w:szCs w:val="20"/>
              </w:rPr>
              <w:t>(Gippet &amp; Bertelsmeier 2021)</w:t>
            </w:r>
          </w:p>
        </w:tc>
      </w:tr>
      <w:tr w:rsidR="002D7080" w:rsidRPr="00592486" w14:paraId="68AB0A66" w14:textId="77777777" w:rsidTr="002E2C37">
        <w:trPr>
          <w:trHeight w:val="203"/>
        </w:trPr>
        <w:tc>
          <w:tcPr>
            <w:tcW w:w="9067" w:type="dxa"/>
          </w:tcPr>
          <w:p w14:paraId="5989EFC5" w14:textId="77777777" w:rsidR="002D7080" w:rsidRPr="008C2E61" w:rsidRDefault="002D7080" w:rsidP="002E2C37">
            <w:pPr>
              <w:ind w:left="720" w:hanging="720"/>
              <w:rPr>
                <w:rFonts w:ascii="Times New Roman" w:eastAsia="Times New Roman" w:hAnsi="Times New Roman" w:cs="Times New Roman"/>
                <w:sz w:val="20"/>
                <w:szCs w:val="20"/>
                <w:lang w:eastAsia="en-ZA"/>
              </w:rPr>
            </w:pPr>
            <w:r w:rsidRPr="008C2E61">
              <w:rPr>
                <w:rFonts w:ascii="Times New Roman" w:eastAsia="Times New Roman" w:hAnsi="Times New Roman" w:cs="Times New Roman"/>
                <w:sz w:val="20"/>
                <w:szCs w:val="20"/>
                <w:lang w:eastAsia="en-ZA"/>
              </w:rPr>
              <w:lastRenderedPageBreak/>
              <w:t>References:</w:t>
            </w:r>
          </w:p>
          <w:p w14:paraId="1BC037CE" w14:textId="77777777" w:rsidR="002D7080" w:rsidRPr="00895884" w:rsidRDefault="002D7080" w:rsidP="002E2C37">
            <w:pPr>
              <w:ind w:left="720" w:hanging="720"/>
              <w:contextualSpacing/>
              <w:jc w:val="both"/>
              <w:rPr>
                <w:rFonts w:ascii="Times New Roman" w:hAnsi="Times New Roman" w:cs="Times New Roman"/>
                <w:sz w:val="20"/>
                <w:szCs w:val="20"/>
              </w:rPr>
            </w:pPr>
            <w:r w:rsidRPr="00895884">
              <w:rPr>
                <w:rFonts w:ascii="Times New Roman" w:hAnsi="Times New Roman" w:cs="Times New Roman"/>
                <w:sz w:val="20"/>
                <w:szCs w:val="20"/>
              </w:rPr>
              <w:t xml:space="preserve">Chadwick, D.D.A., Pritchard, E.G., Bradley, P., Sayer, C.D., Chadwick, M.A., Eagle, L.J.B., et al., 2020, ‘A novel triple down method highlights deficiencies in invasive alien crayfish survey and control techniques’, </w:t>
            </w:r>
            <w:r w:rsidRPr="00BE1348">
              <w:rPr>
                <w:rFonts w:ascii="Times New Roman" w:hAnsi="Times New Roman" w:cs="Times New Roman"/>
                <w:i/>
                <w:iCs/>
                <w:sz w:val="20"/>
                <w:szCs w:val="20"/>
              </w:rPr>
              <w:t>Journal of Applied Ecology</w:t>
            </w:r>
            <w:r w:rsidRPr="00895884">
              <w:rPr>
                <w:rFonts w:ascii="Times New Roman" w:hAnsi="Times New Roman" w:cs="Times New Roman"/>
                <w:sz w:val="20"/>
                <w:szCs w:val="20"/>
              </w:rPr>
              <w:t xml:space="preserve"> 58(2), 316–326. </w:t>
            </w:r>
            <w:hyperlink w:history="1">
              <w:r w:rsidRPr="00895884">
                <w:rPr>
                  <w:rStyle w:val="Hyperlink"/>
                  <w:rFonts w:ascii="Times New Roman" w:hAnsi="Times New Roman" w:cs="Times New Roman"/>
                  <w:sz w:val="20"/>
                  <w:szCs w:val="20"/>
                </w:rPr>
                <w:t>https://doi.org/10.1111/1365–2664.13758</w:t>
              </w:r>
            </w:hyperlink>
          </w:p>
          <w:p w14:paraId="38298824" w14:textId="782990B3" w:rsidR="002D7080" w:rsidRPr="00895884" w:rsidRDefault="002D7080" w:rsidP="002E2C37">
            <w:pPr>
              <w:ind w:left="720" w:hanging="720"/>
              <w:contextualSpacing/>
              <w:jc w:val="both"/>
              <w:rPr>
                <w:rFonts w:ascii="Times New Roman" w:eastAsia="Times New Roman" w:hAnsi="Times New Roman" w:cs="Times New Roman"/>
                <w:bCs/>
                <w:sz w:val="20"/>
                <w:szCs w:val="20"/>
                <w:lang w:eastAsia="en-ZA"/>
              </w:rPr>
            </w:pPr>
            <w:r w:rsidRPr="00895884">
              <w:rPr>
                <w:rFonts w:ascii="Times New Roman" w:eastAsia="Times New Roman" w:hAnsi="Times New Roman" w:cs="Times New Roman"/>
                <w:bCs/>
                <w:sz w:val="20"/>
                <w:szCs w:val="20"/>
                <w:lang w:eastAsia="en-ZA"/>
              </w:rPr>
              <w:t xml:space="preserve">Gherardi, F., Aquiloni, L., Diéguez-Uribeondo, J. &amp; Tricarico, E., 2011, ‘Managing invasive crayfish: is there a hope?’, </w:t>
            </w:r>
            <w:r w:rsidRPr="00895884">
              <w:rPr>
                <w:rFonts w:ascii="Times New Roman" w:eastAsia="Times New Roman" w:hAnsi="Times New Roman" w:cs="Times New Roman"/>
                <w:bCs/>
                <w:i/>
                <w:iCs/>
                <w:sz w:val="20"/>
                <w:szCs w:val="20"/>
                <w:lang w:eastAsia="en-ZA"/>
              </w:rPr>
              <w:t>Aquatic Sciences</w:t>
            </w:r>
            <w:r w:rsidRPr="00895884">
              <w:rPr>
                <w:rFonts w:ascii="Times New Roman" w:eastAsia="Times New Roman" w:hAnsi="Times New Roman" w:cs="Times New Roman"/>
                <w:bCs/>
                <w:sz w:val="20"/>
                <w:szCs w:val="20"/>
                <w:lang w:eastAsia="en-ZA"/>
              </w:rPr>
              <w:t xml:space="preserve"> 73, 185-200. </w:t>
            </w:r>
            <w:hyperlink r:id="rId361" w:history="1">
              <w:r w:rsidR="00A73CBE" w:rsidRPr="00F215B9">
                <w:rPr>
                  <w:rStyle w:val="Hyperlink"/>
                  <w:rFonts w:ascii="Times New Roman" w:eastAsia="Times New Roman" w:hAnsi="Times New Roman" w:cs="Times New Roman"/>
                  <w:bCs/>
                  <w:sz w:val="20"/>
                  <w:szCs w:val="20"/>
                  <w:lang w:eastAsia="en-ZA"/>
                </w:rPr>
                <w:t>https://doi.org/10.1007/s00027-011-0181-z</w:t>
              </w:r>
            </w:hyperlink>
            <w:r w:rsidRPr="00895884">
              <w:rPr>
                <w:rFonts w:ascii="Times New Roman" w:eastAsia="Times New Roman" w:hAnsi="Times New Roman" w:cs="Times New Roman"/>
                <w:bCs/>
                <w:sz w:val="20"/>
                <w:szCs w:val="20"/>
                <w:lang w:eastAsia="en-ZA"/>
              </w:rPr>
              <w:t>.</w:t>
            </w:r>
            <w:r w:rsidR="00A73CBE">
              <w:rPr>
                <w:rFonts w:ascii="Times New Roman" w:eastAsia="Times New Roman" w:hAnsi="Times New Roman" w:cs="Times New Roman"/>
                <w:bCs/>
                <w:sz w:val="20"/>
                <w:szCs w:val="20"/>
                <w:lang w:eastAsia="en-ZA"/>
              </w:rPr>
              <w:t xml:space="preserve"> </w:t>
            </w:r>
          </w:p>
          <w:p w14:paraId="2C58B0A9" w14:textId="43872AD0" w:rsidR="002D7080" w:rsidRPr="00895884" w:rsidRDefault="002D7080" w:rsidP="002E2C37">
            <w:pPr>
              <w:spacing w:line="259" w:lineRule="auto"/>
              <w:ind w:left="720" w:hanging="720"/>
              <w:contextualSpacing/>
              <w:jc w:val="both"/>
              <w:rPr>
                <w:rFonts w:ascii="Times New Roman" w:eastAsia="Times New Roman" w:hAnsi="Times New Roman" w:cs="Times New Roman"/>
                <w:sz w:val="20"/>
                <w:szCs w:val="20"/>
                <w:lang w:eastAsia="en-ZA"/>
              </w:rPr>
            </w:pPr>
            <w:r w:rsidRPr="00895884">
              <w:rPr>
                <w:rFonts w:ascii="Times New Roman" w:eastAsia="Times New Roman" w:hAnsi="Times New Roman" w:cs="Times New Roman"/>
                <w:sz w:val="20"/>
                <w:szCs w:val="20"/>
                <w:lang w:eastAsia="en-ZA"/>
              </w:rPr>
              <w:t xml:space="preserve">Gippet, J.M.&amp; Bertelsmeier, C. 2021, ‘Invasiveness is linked to greater commercial success in the global pet trade’, </w:t>
            </w:r>
            <w:r w:rsidRPr="00895884">
              <w:rPr>
                <w:rFonts w:ascii="Times New Roman" w:eastAsia="Times New Roman" w:hAnsi="Times New Roman" w:cs="Times New Roman"/>
                <w:i/>
                <w:iCs/>
                <w:sz w:val="20"/>
                <w:szCs w:val="20"/>
                <w:lang w:eastAsia="en-ZA"/>
              </w:rPr>
              <w:t>Proceedings of the National Academy of Sciences</w:t>
            </w:r>
            <w:r w:rsidRPr="00895884">
              <w:rPr>
                <w:rFonts w:ascii="Times New Roman" w:eastAsia="Times New Roman" w:hAnsi="Times New Roman" w:cs="Times New Roman"/>
                <w:sz w:val="20"/>
                <w:szCs w:val="20"/>
                <w:lang w:eastAsia="en-ZA"/>
              </w:rPr>
              <w:t xml:space="preserve"> 118, e2016337118. </w:t>
            </w:r>
            <w:hyperlink r:id="rId362" w:history="1">
              <w:r w:rsidR="00A73CBE" w:rsidRPr="00F215B9">
                <w:rPr>
                  <w:rStyle w:val="Hyperlink"/>
                  <w:rFonts w:ascii="Times New Roman" w:eastAsia="Times New Roman" w:hAnsi="Times New Roman" w:cs="Times New Roman"/>
                  <w:sz w:val="20"/>
                  <w:szCs w:val="20"/>
                  <w:lang w:eastAsia="en-ZA"/>
                </w:rPr>
                <w:t>https://doi.org/10.1073/pnas.2016337118</w:t>
              </w:r>
            </w:hyperlink>
            <w:r w:rsidRPr="00895884">
              <w:rPr>
                <w:rFonts w:ascii="Times New Roman" w:eastAsia="Times New Roman" w:hAnsi="Times New Roman" w:cs="Times New Roman"/>
                <w:sz w:val="20"/>
                <w:szCs w:val="20"/>
                <w:lang w:eastAsia="en-ZA"/>
              </w:rPr>
              <w:t>.</w:t>
            </w:r>
            <w:r w:rsidR="00A73CBE">
              <w:rPr>
                <w:rFonts w:ascii="Times New Roman" w:eastAsia="Times New Roman" w:hAnsi="Times New Roman" w:cs="Times New Roman"/>
                <w:sz w:val="20"/>
                <w:szCs w:val="20"/>
                <w:lang w:eastAsia="en-ZA"/>
              </w:rPr>
              <w:t xml:space="preserve"> </w:t>
            </w:r>
          </w:p>
          <w:p w14:paraId="617E063B" w14:textId="61329685" w:rsidR="002D7080" w:rsidRPr="00895884" w:rsidRDefault="002D7080" w:rsidP="002E2C37">
            <w:pPr>
              <w:ind w:left="720" w:hanging="720"/>
              <w:contextualSpacing/>
              <w:jc w:val="both"/>
              <w:rPr>
                <w:rFonts w:ascii="Times New Roman" w:hAnsi="Times New Roman" w:cs="Times New Roman"/>
                <w:sz w:val="20"/>
                <w:szCs w:val="20"/>
              </w:rPr>
            </w:pPr>
            <w:r w:rsidRPr="00895884">
              <w:rPr>
                <w:rFonts w:ascii="Times New Roman" w:hAnsi="Times New Roman" w:cs="Times New Roman"/>
                <w:sz w:val="20"/>
                <w:szCs w:val="20"/>
              </w:rPr>
              <w:t xml:space="preserve">Hansen, G. J. A., Hein, C. L., Roth, B. M., Vander Zanden, M. J., Gaeta, J. W., Latzka, A. W. &amp; Carpenter, S. R., 2013, ‘Food web consequences of long-term invasive crayfish control’, </w:t>
            </w:r>
            <w:r w:rsidRPr="00895884">
              <w:rPr>
                <w:rFonts w:ascii="Times New Roman" w:hAnsi="Times New Roman" w:cs="Times New Roman"/>
                <w:i/>
                <w:iCs/>
                <w:sz w:val="20"/>
                <w:szCs w:val="20"/>
              </w:rPr>
              <w:t>Canadian Journal of Fisheries and Aquatic Sciences</w:t>
            </w:r>
            <w:r w:rsidRPr="00895884">
              <w:rPr>
                <w:rFonts w:ascii="Times New Roman" w:hAnsi="Times New Roman" w:cs="Times New Roman"/>
                <w:sz w:val="20"/>
                <w:szCs w:val="20"/>
              </w:rPr>
              <w:t xml:space="preserve">, 70, 1109–1122. </w:t>
            </w:r>
            <w:r w:rsidR="00A73CBE" w:rsidRPr="00A73CBE">
              <w:rPr>
                <w:rFonts w:ascii="Times New Roman" w:hAnsi="Times New Roman" w:cs="Times New Roman"/>
                <w:sz w:val="20"/>
                <w:szCs w:val="20"/>
              </w:rPr>
              <w:t>https://doi.org/10.1139/cjfas-2012-0460</w:t>
            </w:r>
          </w:p>
          <w:p w14:paraId="3AC1E02C" w14:textId="77777777" w:rsidR="002D7080" w:rsidRPr="00895884" w:rsidRDefault="002D7080" w:rsidP="002E2C37">
            <w:pPr>
              <w:ind w:left="720" w:hanging="720"/>
              <w:contextualSpacing/>
              <w:jc w:val="both"/>
              <w:rPr>
                <w:rFonts w:ascii="Times New Roman" w:eastAsia="Times New Roman" w:hAnsi="Times New Roman" w:cs="Times New Roman"/>
                <w:bCs/>
                <w:sz w:val="20"/>
                <w:szCs w:val="20"/>
                <w:lang w:eastAsia="en-ZA"/>
              </w:rPr>
            </w:pPr>
            <w:r w:rsidRPr="00895884">
              <w:rPr>
                <w:rFonts w:ascii="Times New Roman" w:eastAsia="Times New Roman" w:hAnsi="Times New Roman" w:cs="Times New Roman"/>
                <w:bCs/>
                <w:sz w:val="20"/>
                <w:szCs w:val="20"/>
                <w:lang w:eastAsia="en-ZA"/>
              </w:rPr>
              <w:t>Hein, C.L., Roth, B.M., Ives, A.R. &amp; Vander Zanden, M.J., 2006, ‘Fish predation and trapping for rusty crayfish (</w:t>
            </w:r>
            <w:r w:rsidRPr="00895884">
              <w:rPr>
                <w:rFonts w:ascii="Times New Roman" w:eastAsia="Times New Roman" w:hAnsi="Times New Roman" w:cs="Times New Roman"/>
                <w:bCs/>
                <w:i/>
                <w:iCs/>
                <w:sz w:val="20"/>
                <w:szCs w:val="20"/>
                <w:lang w:eastAsia="en-ZA"/>
              </w:rPr>
              <w:t>Orconectes rusticus</w:t>
            </w:r>
            <w:r w:rsidRPr="00895884">
              <w:rPr>
                <w:rFonts w:ascii="Times New Roman" w:eastAsia="Times New Roman" w:hAnsi="Times New Roman" w:cs="Times New Roman"/>
                <w:bCs/>
                <w:sz w:val="20"/>
                <w:szCs w:val="20"/>
                <w:lang w:eastAsia="en-ZA"/>
              </w:rPr>
              <w:t xml:space="preserve">) control: A whole-lake experiment’, </w:t>
            </w:r>
            <w:r w:rsidRPr="00895884">
              <w:rPr>
                <w:rFonts w:ascii="Times New Roman" w:eastAsia="Times New Roman" w:hAnsi="Times New Roman" w:cs="Times New Roman"/>
                <w:bCs/>
                <w:i/>
                <w:sz w:val="20"/>
                <w:szCs w:val="20"/>
                <w:lang w:eastAsia="en-ZA"/>
              </w:rPr>
              <w:t>Canadian Journal</w:t>
            </w:r>
            <w:r w:rsidRPr="00895884">
              <w:rPr>
                <w:rFonts w:ascii="Times New Roman" w:eastAsia="Times New Roman" w:hAnsi="Times New Roman" w:cs="Times New Roman"/>
                <w:bCs/>
                <w:sz w:val="20"/>
                <w:szCs w:val="20"/>
                <w:lang w:eastAsia="en-ZA"/>
              </w:rPr>
              <w:t xml:space="preserve"> </w:t>
            </w:r>
            <w:r w:rsidRPr="00895884">
              <w:rPr>
                <w:rFonts w:ascii="Times New Roman" w:eastAsia="Times New Roman" w:hAnsi="Times New Roman" w:cs="Times New Roman"/>
                <w:bCs/>
                <w:i/>
                <w:sz w:val="20"/>
                <w:szCs w:val="20"/>
                <w:lang w:eastAsia="en-ZA"/>
              </w:rPr>
              <w:t>Fisheries and Aquatic Sciences</w:t>
            </w:r>
            <w:r w:rsidRPr="00895884">
              <w:rPr>
                <w:rFonts w:ascii="Times New Roman" w:eastAsia="Times New Roman" w:hAnsi="Times New Roman" w:cs="Times New Roman"/>
                <w:bCs/>
                <w:sz w:val="20"/>
                <w:szCs w:val="20"/>
                <w:lang w:eastAsia="en-ZA"/>
              </w:rPr>
              <w:t xml:space="preserve">. 63, 383–393. </w:t>
            </w:r>
            <w:hyperlink w:history="1">
              <w:r w:rsidRPr="00895884">
                <w:rPr>
                  <w:rStyle w:val="Hyperlink"/>
                  <w:rFonts w:ascii="Times New Roman" w:eastAsia="Times New Roman" w:hAnsi="Times New Roman" w:cs="Times New Roman"/>
                  <w:bCs/>
                  <w:sz w:val="20"/>
                  <w:szCs w:val="20"/>
                  <w:lang w:eastAsia="en-ZA"/>
                </w:rPr>
                <w:t>https://doi/org/10.1139/F05-229</w:t>
              </w:r>
            </w:hyperlink>
            <w:r w:rsidRPr="00895884">
              <w:rPr>
                <w:rFonts w:ascii="Times New Roman" w:eastAsia="Times New Roman" w:hAnsi="Times New Roman" w:cs="Times New Roman"/>
                <w:bCs/>
                <w:sz w:val="20"/>
                <w:szCs w:val="20"/>
                <w:lang w:eastAsia="en-ZA"/>
              </w:rPr>
              <w:t>.</w:t>
            </w:r>
          </w:p>
          <w:p w14:paraId="3AC1D08D" w14:textId="691F496F" w:rsidR="002D7080" w:rsidRPr="00895884" w:rsidRDefault="002D7080" w:rsidP="002E2C37">
            <w:pPr>
              <w:ind w:left="720" w:hanging="720"/>
              <w:contextualSpacing/>
              <w:jc w:val="both"/>
              <w:rPr>
                <w:rFonts w:ascii="Times New Roman" w:hAnsi="Times New Roman" w:cs="Times New Roman"/>
                <w:color w:val="222222"/>
                <w:sz w:val="20"/>
                <w:szCs w:val="20"/>
                <w:shd w:val="clear" w:color="auto" w:fill="FFFFFF"/>
              </w:rPr>
            </w:pPr>
            <w:r w:rsidRPr="00895884">
              <w:rPr>
                <w:rFonts w:ascii="Times New Roman" w:hAnsi="Times New Roman" w:cs="Times New Roman"/>
                <w:color w:val="222222"/>
                <w:sz w:val="20"/>
                <w:szCs w:val="20"/>
                <w:shd w:val="clear" w:color="auto" w:fill="FFFFFF"/>
              </w:rPr>
              <w:t>Peay, S., Johnsen, S.I., Bean, C.W., Dunn, A.M., Sandodden, R. &amp; Edsman, L. 2019, ‘Biocide treatment of invasive signal crayfish: successes, failures and lessons learned’, </w:t>
            </w:r>
            <w:r w:rsidRPr="00895884">
              <w:rPr>
                <w:rStyle w:val="Emphasis"/>
                <w:rFonts w:ascii="Times New Roman" w:hAnsi="Times New Roman" w:cs="Times New Roman"/>
                <w:color w:val="222222"/>
                <w:sz w:val="20"/>
                <w:szCs w:val="20"/>
                <w:shd w:val="clear" w:color="auto" w:fill="FFFFFF"/>
              </w:rPr>
              <w:t>Diversity,</w:t>
            </w:r>
            <w:r w:rsidRPr="00895884">
              <w:rPr>
                <w:rStyle w:val="Emphasis"/>
                <w:rFonts w:ascii="Times New Roman" w:hAnsi="Times New Roman" w:cs="Times New Roman"/>
                <w:sz w:val="20"/>
                <w:szCs w:val="20"/>
              </w:rPr>
              <w:t xml:space="preserve"> 11</w:t>
            </w:r>
            <w:r w:rsidRPr="00895884">
              <w:rPr>
                <w:rFonts w:ascii="Times New Roman" w:hAnsi="Times New Roman" w:cs="Times New Roman"/>
                <w:i/>
                <w:color w:val="222222"/>
                <w:sz w:val="20"/>
                <w:szCs w:val="20"/>
                <w:shd w:val="clear" w:color="auto" w:fill="FFFFFF"/>
              </w:rPr>
              <w:t xml:space="preserve">, </w:t>
            </w:r>
            <w:r w:rsidRPr="00895884">
              <w:rPr>
                <w:rFonts w:ascii="Times New Roman" w:hAnsi="Times New Roman" w:cs="Times New Roman"/>
                <w:iCs/>
                <w:color w:val="222222"/>
                <w:sz w:val="20"/>
                <w:szCs w:val="20"/>
                <w:shd w:val="clear" w:color="auto" w:fill="FFFFFF"/>
              </w:rPr>
              <w:t>29.</w:t>
            </w:r>
            <w:r w:rsidRPr="00895884">
              <w:rPr>
                <w:rFonts w:ascii="Times New Roman" w:hAnsi="Times New Roman" w:cs="Times New Roman"/>
                <w:color w:val="222222"/>
                <w:sz w:val="20"/>
                <w:szCs w:val="20"/>
                <w:shd w:val="clear" w:color="auto" w:fill="FFFFFF"/>
              </w:rPr>
              <w:t xml:space="preserve"> </w:t>
            </w:r>
            <w:hyperlink r:id="rId363" w:history="1">
              <w:r w:rsidR="000909F5" w:rsidRPr="00F215B9">
                <w:rPr>
                  <w:rStyle w:val="Hyperlink"/>
                  <w:rFonts w:ascii="Times New Roman" w:hAnsi="Times New Roman" w:cs="Times New Roman"/>
                  <w:sz w:val="20"/>
                  <w:szCs w:val="20"/>
                  <w:shd w:val="clear" w:color="auto" w:fill="FFFFFF"/>
                </w:rPr>
                <w:t>https://doi.org/10.3390/d11030029</w:t>
              </w:r>
            </w:hyperlink>
            <w:r w:rsidRPr="00895884">
              <w:rPr>
                <w:rFonts w:ascii="Times New Roman" w:hAnsi="Times New Roman" w:cs="Times New Roman"/>
                <w:sz w:val="20"/>
                <w:szCs w:val="20"/>
                <w:shd w:val="clear" w:color="auto" w:fill="FFFFFF"/>
              </w:rPr>
              <w:t>.</w:t>
            </w:r>
            <w:r w:rsidR="000909F5">
              <w:rPr>
                <w:rFonts w:ascii="Times New Roman" w:hAnsi="Times New Roman" w:cs="Times New Roman"/>
                <w:sz w:val="20"/>
                <w:szCs w:val="20"/>
                <w:shd w:val="clear" w:color="auto" w:fill="FFFFFF"/>
              </w:rPr>
              <w:t xml:space="preserve"> </w:t>
            </w:r>
          </w:p>
          <w:p w14:paraId="386A7F86" w14:textId="77777777" w:rsidR="002D7080" w:rsidRPr="008C2E61" w:rsidRDefault="002D7080" w:rsidP="002E2C37">
            <w:pPr>
              <w:ind w:left="720" w:hanging="720"/>
              <w:contextualSpacing/>
              <w:jc w:val="both"/>
              <w:rPr>
                <w:rFonts w:ascii="Times New Roman" w:eastAsia="Times New Roman" w:hAnsi="Times New Roman" w:cs="Times New Roman"/>
                <w:sz w:val="20"/>
                <w:szCs w:val="20"/>
                <w:lang w:eastAsia="en-ZA"/>
              </w:rPr>
            </w:pPr>
            <w:r w:rsidRPr="00895884">
              <w:rPr>
                <w:rStyle w:val="author"/>
                <w:rFonts w:ascii="Times New Roman" w:hAnsi="Times New Roman" w:cs="Times New Roman"/>
                <w:color w:val="1C1D1E"/>
                <w:sz w:val="20"/>
                <w:szCs w:val="20"/>
                <w:shd w:val="clear" w:color="auto" w:fill="FFFFFF"/>
              </w:rPr>
              <w:t>Perales, K.M.</w:t>
            </w:r>
            <w:r w:rsidRPr="00895884">
              <w:rPr>
                <w:rFonts w:ascii="Times New Roman" w:hAnsi="Times New Roman" w:cs="Times New Roman"/>
                <w:color w:val="1C1D1E"/>
                <w:sz w:val="20"/>
                <w:szCs w:val="20"/>
                <w:shd w:val="clear" w:color="auto" w:fill="FFFFFF"/>
              </w:rPr>
              <w:t>, </w:t>
            </w:r>
            <w:r w:rsidRPr="00895884">
              <w:rPr>
                <w:rStyle w:val="author"/>
                <w:rFonts w:ascii="Times New Roman" w:hAnsi="Times New Roman" w:cs="Times New Roman"/>
                <w:color w:val="1C1D1E"/>
                <w:sz w:val="20"/>
                <w:szCs w:val="20"/>
                <w:shd w:val="clear" w:color="auto" w:fill="FFFFFF"/>
              </w:rPr>
              <w:t>Hansen, G.J.A.</w:t>
            </w:r>
            <w:r w:rsidRPr="00895884">
              <w:rPr>
                <w:rFonts w:ascii="Times New Roman" w:hAnsi="Times New Roman" w:cs="Times New Roman"/>
                <w:color w:val="1C1D1E"/>
                <w:sz w:val="20"/>
                <w:szCs w:val="20"/>
                <w:shd w:val="clear" w:color="auto" w:fill="FFFFFF"/>
              </w:rPr>
              <w:t>, </w:t>
            </w:r>
            <w:r w:rsidRPr="00895884">
              <w:rPr>
                <w:rStyle w:val="author"/>
                <w:rFonts w:ascii="Times New Roman" w:hAnsi="Times New Roman" w:cs="Times New Roman"/>
                <w:color w:val="1C1D1E"/>
                <w:sz w:val="20"/>
                <w:szCs w:val="20"/>
                <w:shd w:val="clear" w:color="auto" w:fill="FFFFFF"/>
              </w:rPr>
              <w:t>Hein, C.L.</w:t>
            </w:r>
            <w:r w:rsidRPr="00895884">
              <w:rPr>
                <w:rFonts w:ascii="Times New Roman" w:hAnsi="Times New Roman" w:cs="Times New Roman"/>
                <w:color w:val="1C1D1E"/>
                <w:sz w:val="20"/>
                <w:szCs w:val="20"/>
                <w:shd w:val="clear" w:color="auto" w:fill="FFFFFF"/>
              </w:rPr>
              <w:t>, </w:t>
            </w:r>
            <w:r w:rsidRPr="00895884">
              <w:rPr>
                <w:rStyle w:val="author"/>
                <w:rFonts w:ascii="Times New Roman" w:hAnsi="Times New Roman" w:cs="Times New Roman"/>
                <w:color w:val="1C1D1E"/>
                <w:sz w:val="20"/>
                <w:szCs w:val="20"/>
                <w:shd w:val="clear" w:color="auto" w:fill="FFFFFF"/>
              </w:rPr>
              <w:t>Mrnak, J.T.</w:t>
            </w:r>
            <w:r w:rsidRPr="00895884">
              <w:rPr>
                <w:rFonts w:ascii="Times New Roman" w:hAnsi="Times New Roman" w:cs="Times New Roman"/>
                <w:color w:val="1C1D1E"/>
                <w:sz w:val="20"/>
                <w:szCs w:val="20"/>
                <w:shd w:val="clear" w:color="auto" w:fill="FFFFFF"/>
              </w:rPr>
              <w:t>, </w:t>
            </w:r>
            <w:r w:rsidRPr="00895884">
              <w:rPr>
                <w:rStyle w:val="author"/>
                <w:rFonts w:ascii="Times New Roman" w:hAnsi="Times New Roman" w:cs="Times New Roman"/>
                <w:color w:val="1C1D1E"/>
                <w:sz w:val="20"/>
                <w:szCs w:val="20"/>
                <w:shd w:val="clear" w:color="auto" w:fill="FFFFFF"/>
              </w:rPr>
              <w:t>Roth, B.M.</w:t>
            </w:r>
            <w:r w:rsidRPr="00895884">
              <w:rPr>
                <w:rFonts w:ascii="Times New Roman" w:hAnsi="Times New Roman" w:cs="Times New Roman"/>
                <w:color w:val="1C1D1E"/>
                <w:sz w:val="20"/>
                <w:szCs w:val="20"/>
                <w:shd w:val="clear" w:color="auto" w:fill="FFFFFF"/>
              </w:rPr>
              <w:t>, </w:t>
            </w:r>
            <w:r w:rsidRPr="00895884">
              <w:rPr>
                <w:rStyle w:val="author"/>
                <w:rFonts w:ascii="Times New Roman" w:hAnsi="Times New Roman" w:cs="Times New Roman"/>
                <w:color w:val="1C1D1E"/>
                <w:sz w:val="20"/>
                <w:szCs w:val="20"/>
                <w:shd w:val="clear" w:color="auto" w:fill="FFFFFF"/>
              </w:rPr>
              <w:t>Walsh, J.R.</w:t>
            </w:r>
            <w:r w:rsidRPr="00895884">
              <w:rPr>
                <w:rFonts w:ascii="Times New Roman" w:hAnsi="Times New Roman" w:cs="Times New Roman"/>
                <w:color w:val="1C1D1E"/>
                <w:sz w:val="20"/>
                <w:szCs w:val="20"/>
                <w:shd w:val="clear" w:color="auto" w:fill="FFFFFF"/>
              </w:rPr>
              <w:t>, &amp; </w:t>
            </w:r>
            <w:r w:rsidRPr="00895884">
              <w:rPr>
                <w:rStyle w:val="author"/>
                <w:rFonts w:ascii="Times New Roman" w:hAnsi="Times New Roman" w:cs="Times New Roman"/>
                <w:color w:val="1C1D1E"/>
                <w:sz w:val="20"/>
                <w:szCs w:val="20"/>
                <w:shd w:val="clear" w:color="auto" w:fill="FFFFFF"/>
              </w:rPr>
              <w:t>Vander Zanden, M. J.,</w:t>
            </w:r>
            <w:r w:rsidRPr="00895884">
              <w:rPr>
                <w:rStyle w:val="author"/>
                <w:rFonts w:ascii="Times New Roman" w:hAnsi="Times New Roman" w:cs="Times New Roman"/>
                <w:sz w:val="20"/>
                <w:szCs w:val="20"/>
              </w:rPr>
              <w:t xml:space="preserve"> </w:t>
            </w:r>
            <w:r w:rsidRPr="00895884">
              <w:rPr>
                <w:rStyle w:val="pubyear"/>
                <w:rFonts w:ascii="Times New Roman" w:hAnsi="Times New Roman" w:cs="Times New Roman"/>
                <w:color w:val="1C1D1E"/>
                <w:sz w:val="20"/>
                <w:szCs w:val="20"/>
                <w:shd w:val="clear" w:color="auto" w:fill="FFFFFF"/>
              </w:rPr>
              <w:t>2021,</w:t>
            </w:r>
            <w:r w:rsidRPr="00895884">
              <w:rPr>
                <w:rStyle w:val="pubyear"/>
                <w:rFonts w:ascii="Times New Roman" w:hAnsi="Times New Roman" w:cs="Times New Roman"/>
                <w:sz w:val="20"/>
                <w:szCs w:val="20"/>
              </w:rPr>
              <w:t xml:space="preserve"> ‘</w:t>
            </w:r>
            <w:r w:rsidRPr="00895884">
              <w:rPr>
                <w:rStyle w:val="articletitle"/>
                <w:rFonts w:ascii="Times New Roman" w:hAnsi="Times New Roman" w:cs="Times New Roman"/>
                <w:color w:val="1C1D1E"/>
                <w:sz w:val="20"/>
                <w:szCs w:val="20"/>
                <w:shd w:val="clear" w:color="auto" w:fill="FFFFFF"/>
              </w:rPr>
              <w:t>Spatial and temporal patterns in native and invasive crayfishes during a 19-year whole-lake invasive crayfish removal experiment’</w:t>
            </w:r>
            <w:r w:rsidRPr="00895884">
              <w:rPr>
                <w:rStyle w:val="articletitle"/>
                <w:rFonts w:ascii="Times New Roman" w:hAnsi="Times New Roman" w:cs="Times New Roman"/>
                <w:sz w:val="20"/>
                <w:szCs w:val="20"/>
              </w:rPr>
              <w:t>,</w:t>
            </w:r>
            <w:r>
              <w:rPr>
                <w:rStyle w:val="articletitle"/>
                <w:rFonts w:ascii="Times New Roman" w:hAnsi="Times New Roman" w:cs="Times New Roman"/>
                <w:sz w:val="20"/>
                <w:szCs w:val="20"/>
              </w:rPr>
              <w:t xml:space="preserve"> </w:t>
            </w:r>
            <w:r w:rsidRPr="00895884">
              <w:rPr>
                <w:rFonts w:ascii="Times New Roman" w:hAnsi="Times New Roman" w:cs="Times New Roman"/>
                <w:color w:val="1C1D1E"/>
                <w:sz w:val="20"/>
                <w:szCs w:val="20"/>
                <w:shd w:val="clear" w:color="auto" w:fill="FFFFFF"/>
              </w:rPr>
              <w:t> </w:t>
            </w:r>
            <w:r w:rsidRPr="00895884">
              <w:rPr>
                <w:rFonts w:ascii="Times New Roman" w:hAnsi="Times New Roman" w:cs="Times New Roman"/>
                <w:i/>
                <w:iCs/>
                <w:color w:val="1C1D1E"/>
                <w:sz w:val="20"/>
                <w:szCs w:val="20"/>
                <w:shd w:val="clear" w:color="auto" w:fill="FFFFFF"/>
              </w:rPr>
              <w:t>Freshwa</w:t>
            </w:r>
            <w:r w:rsidRPr="00895884">
              <w:rPr>
                <w:rFonts w:ascii="Times New Roman" w:hAnsi="Times New Roman" w:cs="Times New Roman"/>
                <w:i/>
                <w:iCs/>
                <w:sz w:val="20"/>
                <w:szCs w:val="20"/>
              </w:rPr>
              <w:t>ter</w:t>
            </w:r>
            <w:r w:rsidRPr="00895884">
              <w:rPr>
                <w:rFonts w:ascii="Times New Roman" w:hAnsi="Times New Roman" w:cs="Times New Roman"/>
                <w:i/>
                <w:iCs/>
                <w:color w:val="1C1D1E"/>
                <w:sz w:val="20"/>
                <w:szCs w:val="20"/>
                <w:shd w:val="clear" w:color="auto" w:fill="FFFFFF"/>
              </w:rPr>
              <w:t xml:space="preserve"> Biolo</w:t>
            </w:r>
            <w:r w:rsidRPr="00895884">
              <w:rPr>
                <w:rFonts w:ascii="Times New Roman" w:hAnsi="Times New Roman" w:cs="Times New Roman"/>
                <w:i/>
                <w:iCs/>
                <w:sz w:val="20"/>
                <w:szCs w:val="20"/>
              </w:rPr>
              <w:t>gy</w:t>
            </w:r>
            <w:r w:rsidRPr="00895884">
              <w:rPr>
                <w:rFonts w:ascii="Times New Roman" w:hAnsi="Times New Roman" w:cs="Times New Roman"/>
                <w:color w:val="1C1D1E"/>
                <w:sz w:val="20"/>
                <w:szCs w:val="20"/>
                <w:shd w:val="clear" w:color="auto" w:fill="FFFFFF"/>
              </w:rPr>
              <w:t>, </w:t>
            </w:r>
            <w:r w:rsidRPr="00895884">
              <w:rPr>
                <w:rStyle w:val="vol"/>
                <w:rFonts w:ascii="Times New Roman" w:hAnsi="Times New Roman" w:cs="Times New Roman"/>
                <w:color w:val="1C1D1E"/>
                <w:sz w:val="20"/>
                <w:szCs w:val="20"/>
                <w:shd w:val="clear" w:color="auto" w:fill="FFFFFF"/>
              </w:rPr>
              <w:t>66</w:t>
            </w:r>
            <w:r w:rsidRPr="00895884">
              <w:rPr>
                <w:rFonts w:ascii="Times New Roman" w:hAnsi="Times New Roman" w:cs="Times New Roman"/>
                <w:color w:val="1C1D1E"/>
                <w:sz w:val="20"/>
                <w:szCs w:val="20"/>
                <w:shd w:val="clear" w:color="auto" w:fill="FFFFFF"/>
              </w:rPr>
              <w:t>, </w:t>
            </w:r>
            <w:r w:rsidRPr="00895884">
              <w:rPr>
                <w:rStyle w:val="pagefirst"/>
                <w:rFonts w:ascii="Times New Roman" w:hAnsi="Times New Roman" w:cs="Times New Roman"/>
                <w:color w:val="1C1D1E"/>
                <w:sz w:val="20"/>
                <w:szCs w:val="20"/>
                <w:shd w:val="clear" w:color="auto" w:fill="FFFFFF"/>
              </w:rPr>
              <w:t>2105</w:t>
            </w:r>
            <w:r w:rsidRPr="00895884">
              <w:rPr>
                <w:rFonts w:ascii="Times New Roman" w:hAnsi="Times New Roman" w:cs="Times New Roman"/>
                <w:color w:val="1C1D1E"/>
                <w:sz w:val="20"/>
                <w:szCs w:val="20"/>
                <w:shd w:val="clear" w:color="auto" w:fill="FFFFFF"/>
              </w:rPr>
              <w:t>–</w:t>
            </w:r>
            <w:r w:rsidRPr="00895884">
              <w:rPr>
                <w:rStyle w:val="pagelast"/>
                <w:rFonts w:ascii="Times New Roman" w:hAnsi="Times New Roman" w:cs="Times New Roman"/>
                <w:color w:val="1C1D1E"/>
                <w:sz w:val="20"/>
                <w:szCs w:val="20"/>
                <w:shd w:val="clear" w:color="auto" w:fill="FFFFFF"/>
              </w:rPr>
              <w:t>2117</w:t>
            </w:r>
            <w:r w:rsidRPr="00895884">
              <w:rPr>
                <w:rFonts w:ascii="Times New Roman" w:hAnsi="Times New Roman" w:cs="Times New Roman"/>
                <w:color w:val="1C1D1E"/>
                <w:sz w:val="20"/>
                <w:szCs w:val="20"/>
                <w:shd w:val="clear" w:color="auto" w:fill="FFFFFF"/>
              </w:rPr>
              <w:t>. </w:t>
            </w:r>
            <w:hyperlink w:history="1">
              <w:r w:rsidRPr="00895884">
                <w:rPr>
                  <w:rStyle w:val="Hyperlink"/>
                  <w:rFonts w:ascii="Times New Roman" w:hAnsi="Times New Roman" w:cs="Times New Roman"/>
                  <w:sz w:val="20"/>
                  <w:szCs w:val="20"/>
                  <w:shd w:val="clear" w:color="auto" w:fill="FFFFFF"/>
                </w:rPr>
                <w:t>https://doi.org/10.1111/fwb.13818</w:t>
              </w:r>
            </w:hyperlink>
          </w:p>
        </w:tc>
      </w:tr>
    </w:tbl>
    <w:p w14:paraId="04BAD947" w14:textId="77777777" w:rsidR="002D7080" w:rsidRPr="00233C97" w:rsidRDefault="002D7080" w:rsidP="002D7080">
      <w:pPr>
        <w:spacing w:after="0" w:line="240" w:lineRule="auto"/>
        <w:rPr>
          <w:rFonts w:ascii="Times New Roman" w:hAnsi="Times New Roman" w:cs="Times New Roman"/>
          <w:b/>
          <w:sz w:val="24"/>
          <w:szCs w:val="24"/>
        </w:rPr>
      </w:pPr>
    </w:p>
    <w:tbl>
      <w:tblPr>
        <w:tblStyle w:val="TableGrid"/>
        <w:tblW w:w="9067" w:type="dxa"/>
        <w:tblLook w:val="04A0" w:firstRow="1" w:lastRow="0" w:firstColumn="1" w:lastColumn="0" w:noHBand="0" w:noVBand="1"/>
      </w:tblPr>
      <w:tblGrid>
        <w:gridCol w:w="1696"/>
        <w:gridCol w:w="7371"/>
      </w:tblGrid>
      <w:tr w:rsidR="002D7080" w:rsidRPr="00592486" w14:paraId="7A81B7EF" w14:textId="77777777" w:rsidTr="002E2C37">
        <w:trPr>
          <w:trHeight w:val="343"/>
        </w:trPr>
        <w:tc>
          <w:tcPr>
            <w:tcW w:w="9067" w:type="dxa"/>
            <w:gridSpan w:val="2"/>
            <w:shd w:val="clear" w:color="auto" w:fill="F2F2F2" w:themeFill="background1" w:themeFillShade="F2"/>
          </w:tcPr>
          <w:p w14:paraId="0F2E33B1" w14:textId="77777777" w:rsidR="002D7080" w:rsidRPr="00233C97" w:rsidRDefault="002D7080" w:rsidP="002E2C37">
            <w:pPr>
              <w:rPr>
                <w:rFonts w:ascii="Times New Roman" w:hAnsi="Times New Roman" w:cs="Times New Roman"/>
              </w:rPr>
            </w:pPr>
            <w:r w:rsidRPr="00233C97">
              <w:rPr>
                <w:rFonts w:ascii="Times New Roman" w:eastAsia="Times New Roman" w:hAnsi="Times New Roman" w:cs="Times New Roman"/>
                <w:b/>
                <w:sz w:val="20"/>
                <w:szCs w:val="20"/>
                <w:lang w:eastAsia="en-ZA"/>
              </w:rPr>
              <w:t xml:space="preserve">MAN6 Any other management considerations to highlight? </w:t>
            </w:r>
          </w:p>
        </w:tc>
      </w:tr>
      <w:tr w:rsidR="002D7080" w:rsidRPr="00592486" w14:paraId="4C297F8F" w14:textId="77777777" w:rsidTr="002E2C37">
        <w:trPr>
          <w:trHeight w:val="70"/>
        </w:trPr>
        <w:tc>
          <w:tcPr>
            <w:tcW w:w="1696" w:type="dxa"/>
          </w:tcPr>
          <w:p w14:paraId="5D7A3339"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Response</w:t>
            </w:r>
          </w:p>
        </w:tc>
        <w:tc>
          <w:tcPr>
            <w:tcW w:w="7371" w:type="dxa"/>
          </w:tcPr>
          <w:p w14:paraId="340C0506" w14:textId="77777777" w:rsidR="002D7080" w:rsidRPr="00233C97" w:rsidRDefault="002D7080" w:rsidP="002E2C37">
            <w:pPr>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No</w:t>
            </w:r>
          </w:p>
        </w:tc>
      </w:tr>
    </w:tbl>
    <w:p w14:paraId="6F0F7C9E" w14:textId="77777777" w:rsidR="002D7080" w:rsidRPr="00233C97" w:rsidRDefault="002D7080" w:rsidP="002D7080">
      <w:pPr>
        <w:spacing w:after="0" w:line="240" w:lineRule="auto"/>
        <w:rPr>
          <w:rFonts w:ascii="Times New Roman" w:eastAsia="Times New Roman" w:hAnsi="Times New Roman" w:cs="Times New Roman"/>
          <w:sz w:val="20"/>
          <w:szCs w:val="20"/>
          <w:lang w:eastAsia="en-ZA"/>
        </w:rPr>
      </w:pPr>
    </w:p>
    <w:p w14:paraId="402CBA47" w14:textId="77777777" w:rsidR="002D7080" w:rsidRPr="00233C97" w:rsidRDefault="002D7080" w:rsidP="002D7080">
      <w:pPr>
        <w:spacing w:after="0" w:line="240" w:lineRule="auto"/>
        <w:rPr>
          <w:rFonts w:ascii="Times New Roman" w:eastAsia="Times New Roman" w:hAnsi="Times New Roman" w:cs="Times New Roman"/>
          <w:sz w:val="20"/>
          <w:szCs w:val="20"/>
          <w:lang w:eastAsia="en-ZA"/>
        </w:rPr>
      </w:pPr>
    </w:p>
    <w:p w14:paraId="0EF2F975" w14:textId="77777777" w:rsidR="002D7080" w:rsidRPr="00233C97" w:rsidRDefault="002D7080" w:rsidP="002D7080">
      <w:pPr>
        <w:spacing w:after="0" w:line="240" w:lineRule="auto"/>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br w:type="page"/>
      </w:r>
    </w:p>
    <w:p w14:paraId="1A58B1CE" w14:textId="77777777" w:rsidR="002D7080" w:rsidRPr="00233C97" w:rsidRDefault="002D7080" w:rsidP="002D7080">
      <w:pPr>
        <w:spacing w:after="0" w:line="240" w:lineRule="auto"/>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lastRenderedPageBreak/>
        <w:t>5. Calculations</w:t>
      </w:r>
    </w:p>
    <w:p w14:paraId="57A9FD6F" w14:textId="77777777" w:rsidR="002D7080" w:rsidRPr="00233C97" w:rsidRDefault="002D7080" w:rsidP="002D7080">
      <w:pPr>
        <w:spacing w:after="0" w:line="240" w:lineRule="auto"/>
        <w:rPr>
          <w:rFonts w:ascii="Times New Roman" w:eastAsia="Times New Roman" w:hAnsi="Times New Roman" w:cs="Times New Roman"/>
          <w:b/>
          <w:sz w:val="20"/>
          <w:szCs w:val="20"/>
          <w:lang w:eastAsia="en-ZA"/>
        </w:rPr>
      </w:pPr>
    </w:p>
    <w:p w14:paraId="2F6C5DBF" w14:textId="77777777" w:rsidR="002D7080" w:rsidRPr="00233C97" w:rsidRDefault="002D7080" w:rsidP="002D7080">
      <w:pPr>
        <w:spacing w:after="0" w:line="240" w:lineRule="auto"/>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Likelihood = Fairly probable</w:t>
      </w:r>
    </w:p>
    <w:p w14:paraId="6B553ABB" w14:textId="77777777" w:rsidR="002D7080" w:rsidRPr="00233C97"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1195"/>
        <w:gridCol w:w="2628"/>
        <w:gridCol w:w="2939"/>
        <w:gridCol w:w="2254"/>
      </w:tblGrid>
      <w:tr w:rsidR="002D7080" w:rsidRPr="00592486" w14:paraId="53FF5A76" w14:textId="77777777" w:rsidTr="002E2C37">
        <w:tc>
          <w:tcPr>
            <w:tcW w:w="1195" w:type="dxa"/>
            <w:shd w:val="clear" w:color="auto" w:fill="D9D9D9" w:themeFill="background1" w:themeFillShade="D9"/>
            <w:vAlign w:val="center"/>
          </w:tcPr>
          <w:p w14:paraId="3FBB09AD" w14:textId="77777777" w:rsidR="002D7080" w:rsidRPr="00233C97" w:rsidRDefault="002D7080" w:rsidP="002E2C37">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Parameter</w:t>
            </w:r>
          </w:p>
        </w:tc>
        <w:tc>
          <w:tcPr>
            <w:tcW w:w="2628" w:type="dxa"/>
            <w:shd w:val="clear" w:color="auto" w:fill="D9D9D9" w:themeFill="background1" w:themeFillShade="D9"/>
            <w:vAlign w:val="center"/>
          </w:tcPr>
          <w:p w14:paraId="056F0180" w14:textId="77777777" w:rsidR="002D7080" w:rsidRPr="00233C97" w:rsidRDefault="002D7080" w:rsidP="002E2C37">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Likelihood</w:t>
            </w:r>
          </w:p>
        </w:tc>
        <w:tc>
          <w:tcPr>
            <w:tcW w:w="2939" w:type="dxa"/>
            <w:shd w:val="clear" w:color="auto" w:fill="D9D9D9" w:themeFill="background1" w:themeFillShade="D9"/>
            <w:vAlign w:val="center"/>
          </w:tcPr>
          <w:p w14:paraId="0E994233" w14:textId="77777777" w:rsidR="002D7080" w:rsidRPr="00233C97" w:rsidRDefault="002D7080" w:rsidP="002E2C37">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Stages</w:t>
            </w:r>
          </w:p>
        </w:tc>
        <w:tc>
          <w:tcPr>
            <w:tcW w:w="2254" w:type="dxa"/>
            <w:shd w:val="clear" w:color="auto" w:fill="D9D9D9" w:themeFill="background1" w:themeFillShade="D9"/>
            <w:vAlign w:val="center"/>
          </w:tcPr>
          <w:p w14:paraId="288D68EF" w14:textId="77777777" w:rsidR="002D7080" w:rsidRPr="00233C97" w:rsidRDefault="002D7080" w:rsidP="002E2C37">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Final assessment</w:t>
            </w:r>
          </w:p>
        </w:tc>
      </w:tr>
      <w:tr w:rsidR="002D7080" w:rsidRPr="00592486" w14:paraId="7993899B" w14:textId="77777777" w:rsidTr="002E2C37">
        <w:tc>
          <w:tcPr>
            <w:tcW w:w="1195" w:type="dxa"/>
            <w:shd w:val="clear" w:color="auto" w:fill="D9D9D9" w:themeFill="background1" w:themeFillShade="D9"/>
            <w:vAlign w:val="center"/>
          </w:tcPr>
          <w:p w14:paraId="063E3F35"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LIK1</w:t>
            </w:r>
          </w:p>
        </w:tc>
        <w:tc>
          <w:tcPr>
            <w:tcW w:w="2628" w:type="dxa"/>
            <w:shd w:val="clear" w:color="auto" w:fill="D9D9D9" w:themeFill="background1" w:themeFillShade="D9"/>
            <w:vAlign w:val="center"/>
          </w:tcPr>
          <w:p w14:paraId="1D0B7BAB"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 xml:space="preserve">0.0027 </w:t>
            </w:r>
          </w:p>
        </w:tc>
        <w:tc>
          <w:tcPr>
            <w:tcW w:w="2939" w:type="dxa"/>
            <w:vMerge w:val="restart"/>
            <w:vAlign w:val="center"/>
          </w:tcPr>
          <w:p w14:paraId="5C94176D"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P(entry) = 0.5</w:t>
            </w:r>
          </w:p>
        </w:tc>
        <w:tc>
          <w:tcPr>
            <w:tcW w:w="2254" w:type="dxa"/>
            <w:vMerge w:val="restart"/>
            <w:vAlign w:val="center"/>
          </w:tcPr>
          <w:p w14:paraId="3853954D"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P (invasion) = 0.125</w:t>
            </w:r>
          </w:p>
        </w:tc>
      </w:tr>
      <w:tr w:rsidR="002D7080" w:rsidRPr="00592486" w14:paraId="7605C3BA" w14:textId="77777777" w:rsidTr="002E2C37">
        <w:tc>
          <w:tcPr>
            <w:tcW w:w="1195" w:type="dxa"/>
            <w:shd w:val="clear" w:color="auto" w:fill="D9D9D9" w:themeFill="background1" w:themeFillShade="D9"/>
            <w:vAlign w:val="center"/>
          </w:tcPr>
          <w:p w14:paraId="2C12E8F6"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LIK2</w:t>
            </w:r>
          </w:p>
        </w:tc>
        <w:tc>
          <w:tcPr>
            <w:tcW w:w="2628" w:type="dxa"/>
            <w:shd w:val="clear" w:color="auto" w:fill="D9D9D9" w:themeFill="background1" w:themeFillShade="D9"/>
            <w:vAlign w:val="center"/>
          </w:tcPr>
          <w:p w14:paraId="6C7FDD56"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0.5</w:t>
            </w:r>
          </w:p>
        </w:tc>
        <w:tc>
          <w:tcPr>
            <w:tcW w:w="2939" w:type="dxa"/>
            <w:vMerge/>
            <w:vAlign w:val="center"/>
          </w:tcPr>
          <w:p w14:paraId="005B2063" w14:textId="77777777" w:rsidR="002D7080" w:rsidRPr="00233C97"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42F6180F" w14:textId="77777777" w:rsidR="002D7080" w:rsidRPr="00233C97" w:rsidRDefault="002D7080" w:rsidP="002E2C37">
            <w:pPr>
              <w:rPr>
                <w:rFonts w:ascii="Times New Roman" w:eastAsia="Times New Roman" w:hAnsi="Times New Roman" w:cs="Times New Roman"/>
                <w:sz w:val="20"/>
                <w:szCs w:val="20"/>
                <w:lang w:eastAsia="en-ZA"/>
              </w:rPr>
            </w:pPr>
          </w:p>
        </w:tc>
      </w:tr>
      <w:tr w:rsidR="002D7080" w:rsidRPr="00592486" w14:paraId="3C5D977F" w14:textId="77777777" w:rsidTr="002E2C37">
        <w:tc>
          <w:tcPr>
            <w:tcW w:w="1195" w:type="dxa"/>
            <w:shd w:val="clear" w:color="auto" w:fill="D9D9D9" w:themeFill="background1" w:themeFillShade="D9"/>
            <w:vAlign w:val="center"/>
          </w:tcPr>
          <w:p w14:paraId="56329B59"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LIK3</w:t>
            </w:r>
          </w:p>
        </w:tc>
        <w:tc>
          <w:tcPr>
            <w:tcW w:w="2628" w:type="dxa"/>
            <w:shd w:val="clear" w:color="auto" w:fill="D9D9D9" w:themeFill="background1" w:themeFillShade="D9"/>
            <w:vAlign w:val="center"/>
          </w:tcPr>
          <w:p w14:paraId="6E7E8B02"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 xml:space="preserve">0.5 </w:t>
            </w:r>
          </w:p>
        </w:tc>
        <w:tc>
          <w:tcPr>
            <w:tcW w:w="2939" w:type="dxa"/>
            <w:vMerge w:val="restart"/>
            <w:vAlign w:val="center"/>
          </w:tcPr>
          <w:p w14:paraId="07A7B83A"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P(establishment) = 0.5</w:t>
            </w:r>
          </w:p>
        </w:tc>
        <w:tc>
          <w:tcPr>
            <w:tcW w:w="2254" w:type="dxa"/>
            <w:vMerge/>
            <w:vAlign w:val="center"/>
          </w:tcPr>
          <w:p w14:paraId="48533D25" w14:textId="77777777" w:rsidR="002D7080" w:rsidRPr="00233C97" w:rsidRDefault="002D7080" w:rsidP="002E2C37">
            <w:pPr>
              <w:rPr>
                <w:rFonts w:ascii="Times New Roman" w:eastAsia="Times New Roman" w:hAnsi="Times New Roman" w:cs="Times New Roman"/>
                <w:sz w:val="20"/>
                <w:szCs w:val="20"/>
                <w:lang w:eastAsia="en-ZA"/>
              </w:rPr>
            </w:pPr>
          </w:p>
        </w:tc>
      </w:tr>
      <w:tr w:rsidR="002D7080" w:rsidRPr="00592486" w14:paraId="3A87B327" w14:textId="77777777" w:rsidTr="002E2C37">
        <w:tc>
          <w:tcPr>
            <w:tcW w:w="1195" w:type="dxa"/>
            <w:shd w:val="clear" w:color="auto" w:fill="D9D9D9" w:themeFill="background1" w:themeFillShade="D9"/>
            <w:vAlign w:val="center"/>
          </w:tcPr>
          <w:p w14:paraId="6D89C1EB"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LIK4</w:t>
            </w:r>
          </w:p>
        </w:tc>
        <w:tc>
          <w:tcPr>
            <w:tcW w:w="2628" w:type="dxa"/>
            <w:shd w:val="clear" w:color="auto" w:fill="D9D9D9" w:themeFill="background1" w:themeFillShade="D9"/>
            <w:vAlign w:val="center"/>
          </w:tcPr>
          <w:p w14:paraId="58E14BF5"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 xml:space="preserve">0.5 </w:t>
            </w:r>
          </w:p>
        </w:tc>
        <w:tc>
          <w:tcPr>
            <w:tcW w:w="2939" w:type="dxa"/>
            <w:vMerge/>
            <w:vAlign w:val="center"/>
          </w:tcPr>
          <w:p w14:paraId="562BCBF2" w14:textId="77777777" w:rsidR="002D7080" w:rsidRPr="00233C97"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693BE9DD" w14:textId="77777777" w:rsidR="002D7080" w:rsidRPr="00233C97" w:rsidRDefault="002D7080" w:rsidP="002E2C37">
            <w:pPr>
              <w:rPr>
                <w:rFonts w:ascii="Times New Roman" w:eastAsia="Times New Roman" w:hAnsi="Times New Roman" w:cs="Times New Roman"/>
                <w:sz w:val="20"/>
                <w:szCs w:val="20"/>
                <w:lang w:eastAsia="en-ZA"/>
              </w:rPr>
            </w:pPr>
          </w:p>
        </w:tc>
      </w:tr>
      <w:tr w:rsidR="002D7080" w:rsidRPr="00592486" w14:paraId="38EF3A6C" w14:textId="77777777" w:rsidTr="002E2C37">
        <w:tc>
          <w:tcPr>
            <w:tcW w:w="1195" w:type="dxa"/>
            <w:shd w:val="clear" w:color="auto" w:fill="D9D9D9" w:themeFill="background1" w:themeFillShade="D9"/>
            <w:vAlign w:val="center"/>
          </w:tcPr>
          <w:p w14:paraId="02F0C047"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LIK5</w:t>
            </w:r>
          </w:p>
        </w:tc>
        <w:tc>
          <w:tcPr>
            <w:tcW w:w="2628" w:type="dxa"/>
            <w:shd w:val="clear" w:color="auto" w:fill="D9D9D9" w:themeFill="background1" w:themeFillShade="D9"/>
            <w:vAlign w:val="center"/>
          </w:tcPr>
          <w:p w14:paraId="690D26DA"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0.5</w:t>
            </w:r>
          </w:p>
        </w:tc>
        <w:tc>
          <w:tcPr>
            <w:tcW w:w="2939" w:type="dxa"/>
            <w:vMerge w:val="restart"/>
            <w:vAlign w:val="center"/>
          </w:tcPr>
          <w:p w14:paraId="389868D7"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P (spread) = 0.5</w:t>
            </w:r>
          </w:p>
        </w:tc>
        <w:tc>
          <w:tcPr>
            <w:tcW w:w="2254" w:type="dxa"/>
            <w:vMerge/>
            <w:vAlign w:val="center"/>
          </w:tcPr>
          <w:p w14:paraId="49FAE34F" w14:textId="77777777" w:rsidR="002D7080" w:rsidRPr="00233C97" w:rsidRDefault="002D7080" w:rsidP="002E2C37">
            <w:pPr>
              <w:rPr>
                <w:rFonts w:ascii="Times New Roman" w:eastAsia="Times New Roman" w:hAnsi="Times New Roman" w:cs="Times New Roman"/>
                <w:sz w:val="20"/>
                <w:szCs w:val="20"/>
                <w:lang w:eastAsia="en-ZA"/>
              </w:rPr>
            </w:pPr>
          </w:p>
        </w:tc>
      </w:tr>
      <w:tr w:rsidR="002D7080" w:rsidRPr="00592486" w14:paraId="6242C42F" w14:textId="77777777" w:rsidTr="002E2C37">
        <w:tc>
          <w:tcPr>
            <w:tcW w:w="1195" w:type="dxa"/>
            <w:shd w:val="clear" w:color="auto" w:fill="D9D9D9" w:themeFill="background1" w:themeFillShade="D9"/>
            <w:vAlign w:val="center"/>
          </w:tcPr>
          <w:p w14:paraId="4CA10A37"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LIK6</w:t>
            </w:r>
          </w:p>
        </w:tc>
        <w:tc>
          <w:tcPr>
            <w:tcW w:w="2628" w:type="dxa"/>
            <w:shd w:val="clear" w:color="auto" w:fill="D9D9D9" w:themeFill="background1" w:themeFillShade="D9"/>
            <w:vAlign w:val="center"/>
          </w:tcPr>
          <w:p w14:paraId="5911B6AC"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color w:val="000000"/>
                <w:sz w:val="20"/>
                <w:szCs w:val="20"/>
                <w:lang w:eastAsia="en-ZA"/>
              </w:rPr>
              <w:t>0.5</w:t>
            </w:r>
          </w:p>
        </w:tc>
        <w:tc>
          <w:tcPr>
            <w:tcW w:w="2939" w:type="dxa"/>
            <w:vMerge/>
            <w:vAlign w:val="center"/>
          </w:tcPr>
          <w:p w14:paraId="1799C465" w14:textId="77777777" w:rsidR="002D7080" w:rsidRPr="00233C97"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01101D5A" w14:textId="77777777" w:rsidR="002D7080" w:rsidRPr="00233C97" w:rsidRDefault="002D7080" w:rsidP="002E2C37">
            <w:pPr>
              <w:rPr>
                <w:rFonts w:ascii="Times New Roman" w:eastAsia="Times New Roman" w:hAnsi="Times New Roman" w:cs="Times New Roman"/>
                <w:sz w:val="20"/>
                <w:szCs w:val="20"/>
                <w:lang w:eastAsia="en-ZA"/>
              </w:rPr>
            </w:pPr>
          </w:p>
        </w:tc>
      </w:tr>
    </w:tbl>
    <w:p w14:paraId="366D2BA6" w14:textId="77777777" w:rsidR="002D7080" w:rsidRPr="00233C97" w:rsidRDefault="002D7080" w:rsidP="002D7080">
      <w:pPr>
        <w:spacing w:after="0" w:line="240" w:lineRule="auto"/>
        <w:rPr>
          <w:rFonts w:ascii="Times New Roman" w:eastAsia="Times New Roman" w:hAnsi="Times New Roman" w:cs="Times New Roman"/>
          <w:sz w:val="20"/>
          <w:szCs w:val="20"/>
          <w:lang w:eastAsia="en-ZA"/>
        </w:rPr>
      </w:pPr>
    </w:p>
    <w:p w14:paraId="153045D1" w14:textId="77777777" w:rsidR="002D7080" w:rsidRPr="00233C97" w:rsidRDefault="002D7080" w:rsidP="002D7080">
      <w:pPr>
        <w:spacing w:after="0" w:line="240" w:lineRule="auto"/>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Consequence = Major</w:t>
      </w:r>
      <w:r>
        <w:rPr>
          <w:rFonts w:ascii="Times New Roman" w:eastAsia="Times New Roman" w:hAnsi="Times New Roman" w:cs="Times New Roman"/>
          <w:b/>
          <w:sz w:val="20"/>
          <w:szCs w:val="20"/>
          <w:lang w:eastAsia="en-ZA"/>
        </w:rPr>
        <w:t xml:space="preserve"> (MR)</w:t>
      </w:r>
    </w:p>
    <w:p w14:paraId="77F3137A" w14:textId="77777777" w:rsidR="002D7080" w:rsidRPr="00233C97" w:rsidRDefault="002D7080" w:rsidP="002D7080">
      <w:pPr>
        <w:spacing w:after="0" w:line="240" w:lineRule="auto"/>
        <w:rPr>
          <w:rFonts w:ascii="Times New Roman" w:eastAsia="Times New Roman" w:hAnsi="Times New Roman" w:cs="Times New Roman"/>
          <w:bCs/>
          <w:sz w:val="20"/>
          <w:szCs w:val="20"/>
          <w:lang w:eastAsia="en-ZA"/>
        </w:rPr>
      </w:pPr>
    </w:p>
    <w:tbl>
      <w:tblPr>
        <w:tblStyle w:val="TableGrid"/>
        <w:tblW w:w="0" w:type="auto"/>
        <w:tblLook w:val="04A0" w:firstRow="1" w:lastRow="0" w:firstColumn="1" w:lastColumn="0" w:noHBand="0" w:noVBand="1"/>
      </w:tblPr>
      <w:tblGrid>
        <w:gridCol w:w="1555"/>
        <w:gridCol w:w="5953"/>
        <w:gridCol w:w="1508"/>
      </w:tblGrid>
      <w:tr w:rsidR="002D7080" w:rsidRPr="00592486" w14:paraId="6FF2A449" w14:textId="77777777" w:rsidTr="002E2C37">
        <w:tc>
          <w:tcPr>
            <w:tcW w:w="1555" w:type="dxa"/>
            <w:shd w:val="clear" w:color="auto" w:fill="D9D9D9" w:themeFill="background1" w:themeFillShade="D9"/>
          </w:tcPr>
          <w:p w14:paraId="433F2422" w14:textId="77777777" w:rsidR="002D7080" w:rsidRPr="00233C97" w:rsidRDefault="002D7080" w:rsidP="002E2C37">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Parameter</w:t>
            </w:r>
          </w:p>
        </w:tc>
        <w:tc>
          <w:tcPr>
            <w:tcW w:w="5953" w:type="dxa"/>
            <w:shd w:val="clear" w:color="auto" w:fill="D9D9D9" w:themeFill="background1" w:themeFillShade="D9"/>
          </w:tcPr>
          <w:p w14:paraId="685A0D15" w14:textId="77777777" w:rsidR="002D7080" w:rsidRPr="00233C97" w:rsidRDefault="002D7080" w:rsidP="002E2C37">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Mechanism/sector</w:t>
            </w:r>
          </w:p>
        </w:tc>
        <w:tc>
          <w:tcPr>
            <w:tcW w:w="1508" w:type="dxa"/>
            <w:shd w:val="clear" w:color="auto" w:fill="D9D9D9" w:themeFill="background1" w:themeFillShade="D9"/>
          </w:tcPr>
          <w:p w14:paraId="61B4CB93" w14:textId="77777777" w:rsidR="002D7080" w:rsidRPr="00233C97" w:rsidRDefault="002D7080" w:rsidP="002E2C37">
            <w:pPr>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Response</w:t>
            </w:r>
          </w:p>
        </w:tc>
      </w:tr>
      <w:tr w:rsidR="002D7080" w:rsidRPr="00592486" w14:paraId="008F813F" w14:textId="77777777" w:rsidTr="002E2C37">
        <w:tc>
          <w:tcPr>
            <w:tcW w:w="1555" w:type="dxa"/>
            <w:shd w:val="clear" w:color="auto" w:fill="D9D9D9" w:themeFill="background1" w:themeFillShade="D9"/>
          </w:tcPr>
          <w:p w14:paraId="4A957536"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CON1a</w:t>
            </w:r>
          </w:p>
        </w:tc>
        <w:tc>
          <w:tcPr>
            <w:tcW w:w="5953" w:type="dxa"/>
            <w:shd w:val="clear" w:color="auto" w:fill="D9D9D9" w:themeFill="background1" w:themeFillShade="D9"/>
          </w:tcPr>
          <w:p w14:paraId="62BE79A6"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Competition</w:t>
            </w:r>
          </w:p>
        </w:tc>
        <w:tc>
          <w:tcPr>
            <w:tcW w:w="1508" w:type="dxa"/>
          </w:tcPr>
          <w:p w14:paraId="404DB7C3"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color w:val="000000"/>
                <w:sz w:val="20"/>
                <w:szCs w:val="20"/>
                <w:lang w:eastAsia="en-ZA"/>
              </w:rPr>
              <w:t>MR</w:t>
            </w:r>
          </w:p>
        </w:tc>
      </w:tr>
      <w:tr w:rsidR="002D7080" w:rsidRPr="00592486" w14:paraId="69B5909C" w14:textId="77777777" w:rsidTr="002E2C37">
        <w:tc>
          <w:tcPr>
            <w:tcW w:w="1555" w:type="dxa"/>
            <w:shd w:val="clear" w:color="auto" w:fill="D9D9D9" w:themeFill="background1" w:themeFillShade="D9"/>
          </w:tcPr>
          <w:p w14:paraId="1C5DF35A"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CON1b</w:t>
            </w:r>
          </w:p>
        </w:tc>
        <w:tc>
          <w:tcPr>
            <w:tcW w:w="5953" w:type="dxa"/>
            <w:shd w:val="clear" w:color="auto" w:fill="D9D9D9" w:themeFill="background1" w:themeFillShade="D9"/>
          </w:tcPr>
          <w:p w14:paraId="5B4D96A4"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Predation</w:t>
            </w:r>
          </w:p>
        </w:tc>
        <w:tc>
          <w:tcPr>
            <w:tcW w:w="1508" w:type="dxa"/>
          </w:tcPr>
          <w:p w14:paraId="4A98F9D7"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color w:val="000000"/>
                <w:sz w:val="20"/>
                <w:szCs w:val="20"/>
                <w:lang w:eastAsia="en-ZA"/>
              </w:rPr>
              <w:t>MR</w:t>
            </w:r>
          </w:p>
        </w:tc>
      </w:tr>
      <w:tr w:rsidR="002D7080" w:rsidRPr="00592486" w14:paraId="55251E9C" w14:textId="77777777" w:rsidTr="002E2C37">
        <w:tc>
          <w:tcPr>
            <w:tcW w:w="1555" w:type="dxa"/>
            <w:shd w:val="clear" w:color="auto" w:fill="D9D9D9" w:themeFill="background1" w:themeFillShade="D9"/>
          </w:tcPr>
          <w:p w14:paraId="757992E6"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CON1c</w:t>
            </w:r>
          </w:p>
        </w:tc>
        <w:tc>
          <w:tcPr>
            <w:tcW w:w="5953" w:type="dxa"/>
            <w:shd w:val="clear" w:color="auto" w:fill="D9D9D9" w:themeFill="background1" w:themeFillShade="D9"/>
          </w:tcPr>
          <w:p w14:paraId="540586C7"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Hybridisation</w:t>
            </w:r>
          </w:p>
        </w:tc>
        <w:tc>
          <w:tcPr>
            <w:tcW w:w="1508" w:type="dxa"/>
          </w:tcPr>
          <w:p w14:paraId="731058A1"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sz w:val="20"/>
                <w:szCs w:val="20"/>
                <w:lang w:eastAsia="en-ZA"/>
              </w:rPr>
              <w:t>DD</w:t>
            </w:r>
          </w:p>
        </w:tc>
      </w:tr>
      <w:tr w:rsidR="002D7080" w:rsidRPr="00592486" w14:paraId="2967C4D6" w14:textId="77777777" w:rsidTr="002E2C37">
        <w:tc>
          <w:tcPr>
            <w:tcW w:w="1555" w:type="dxa"/>
            <w:shd w:val="clear" w:color="auto" w:fill="D9D9D9" w:themeFill="background1" w:themeFillShade="D9"/>
          </w:tcPr>
          <w:p w14:paraId="0C1425E9"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CON1d</w:t>
            </w:r>
          </w:p>
        </w:tc>
        <w:tc>
          <w:tcPr>
            <w:tcW w:w="5953" w:type="dxa"/>
            <w:shd w:val="clear" w:color="auto" w:fill="D9D9D9" w:themeFill="background1" w:themeFillShade="D9"/>
          </w:tcPr>
          <w:p w14:paraId="7BFF09F2"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Disease transmission</w:t>
            </w:r>
          </w:p>
        </w:tc>
        <w:tc>
          <w:tcPr>
            <w:tcW w:w="1508" w:type="dxa"/>
          </w:tcPr>
          <w:p w14:paraId="022D92DC"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sz w:val="20"/>
                <w:szCs w:val="20"/>
                <w:lang w:eastAsia="en-ZA"/>
              </w:rPr>
              <w:t>MN</w:t>
            </w:r>
          </w:p>
        </w:tc>
      </w:tr>
      <w:tr w:rsidR="002D7080" w:rsidRPr="00592486" w14:paraId="2B99BB7F" w14:textId="77777777" w:rsidTr="002E2C37">
        <w:tc>
          <w:tcPr>
            <w:tcW w:w="1555" w:type="dxa"/>
            <w:shd w:val="clear" w:color="auto" w:fill="D9D9D9" w:themeFill="background1" w:themeFillShade="D9"/>
          </w:tcPr>
          <w:p w14:paraId="0CF70117"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CON1e</w:t>
            </w:r>
          </w:p>
        </w:tc>
        <w:tc>
          <w:tcPr>
            <w:tcW w:w="5953" w:type="dxa"/>
            <w:shd w:val="clear" w:color="auto" w:fill="D9D9D9" w:themeFill="background1" w:themeFillShade="D9"/>
          </w:tcPr>
          <w:p w14:paraId="7AF19470"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Parasitism</w:t>
            </w:r>
          </w:p>
        </w:tc>
        <w:tc>
          <w:tcPr>
            <w:tcW w:w="1508" w:type="dxa"/>
          </w:tcPr>
          <w:p w14:paraId="20D878A9"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color w:val="000000"/>
                <w:sz w:val="20"/>
                <w:szCs w:val="20"/>
                <w:lang w:eastAsia="en-ZA"/>
              </w:rPr>
              <w:t>DD</w:t>
            </w:r>
          </w:p>
        </w:tc>
      </w:tr>
      <w:tr w:rsidR="002D7080" w:rsidRPr="00592486" w14:paraId="1F0C1ADD" w14:textId="77777777" w:rsidTr="002E2C37">
        <w:tc>
          <w:tcPr>
            <w:tcW w:w="1555" w:type="dxa"/>
            <w:shd w:val="clear" w:color="auto" w:fill="D9D9D9" w:themeFill="background1" w:themeFillShade="D9"/>
          </w:tcPr>
          <w:p w14:paraId="43BAB148"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CON1f</w:t>
            </w:r>
          </w:p>
        </w:tc>
        <w:tc>
          <w:tcPr>
            <w:tcW w:w="5953" w:type="dxa"/>
            <w:shd w:val="clear" w:color="auto" w:fill="D9D9D9" w:themeFill="background1" w:themeFillShade="D9"/>
          </w:tcPr>
          <w:p w14:paraId="6C2FEF32"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Poisoning/toxicity</w:t>
            </w:r>
          </w:p>
        </w:tc>
        <w:tc>
          <w:tcPr>
            <w:tcW w:w="1508" w:type="dxa"/>
          </w:tcPr>
          <w:p w14:paraId="05F83B6B"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color w:val="000000"/>
                <w:sz w:val="20"/>
                <w:szCs w:val="20"/>
                <w:lang w:eastAsia="en-ZA"/>
              </w:rPr>
              <w:t>DD</w:t>
            </w:r>
          </w:p>
        </w:tc>
      </w:tr>
      <w:tr w:rsidR="002D7080" w:rsidRPr="00592486" w14:paraId="1C1B6C2F" w14:textId="77777777" w:rsidTr="002E2C37">
        <w:tc>
          <w:tcPr>
            <w:tcW w:w="1555" w:type="dxa"/>
            <w:shd w:val="clear" w:color="auto" w:fill="D9D9D9" w:themeFill="background1" w:themeFillShade="D9"/>
          </w:tcPr>
          <w:p w14:paraId="2E6F6375"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CON1g</w:t>
            </w:r>
          </w:p>
        </w:tc>
        <w:tc>
          <w:tcPr>
            <w:tcW w:w="5953" w:type="dxa"/>
            <w:shd w:val="clear" w:color="auto" w:fill="D9D9D9" w:themeFill="background1" w:themeFillShade="D9"/>
          </w:tcPr>
          <w:p w14:paraId="02474AD0"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Bio-fouling or other direct physical disturbance</w:t>
            </w:r>
          </w:p>
        </w:tc>
        <w:tc>
          <w:tcPr>
            <w:tcW w:w="1508" w:type="dxa"/>
          </w:tcPr>
          <w:p w14:paraId="040DAFBC"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color w:val="000000"/>
                <w:sz w:val="20"/>
                <w:szCs w:val="20"/>
                <w:lang w:eastAsia="en-ZA"/>
              </w:rPr>
              <w:t>DD</w:t>
            </w:r>
          </w:p>
        </w:tc>
      </w:tr>
      <w:tr w:rsidR="002D7080" w:rsidRPr="00592486" w14:paraId="54458545" w14:textId="77777777" w:rsidTr="002E2C37">
        <w:tc>
          <w:tcPr>
            <w:tcW w:w="1555" w:type="dxa"/>
            <w:shd w:val="clear" w:color="auto" w:fill="D9D9D9" w:themeFill="background1" w:themeFillShade="D9"/>
          </w:tcPr>
          <w:p w14:paraId="631209F9"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CON1h</w:t>
            </w:r>
          </w:p>
        </w:tc>
        <w:tc>
          <w:tcPr>
            <w:tcW w:w="5953" w:type="dxa"/>
            <w:shd w:val="clear" w:color="auto" w:fill="D9D9D9" w:themeFill="background1" w:themeFillShade="D9"/>
          </w:tcPr>
          <w:p w14:paraId="46158E47"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Grazing/herbivory/browsing</w:t>
            </w:r>
          </w:p>
        </w:tc>
        <w:tc>
          <w:tcPr>
            <w:tcW w:w="1508" w:type="dxa"/>
          </w:tcPr>
          <w:p w14:paraId="440022D8"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color w:val="000000"/>
                <w:sz w:val="20"/>
                <w:szCs w:val="20"/>
                <w:lang w:eastAsia="en-ZA"/>
              </w:rPr>
              <w:t>MR</w:t>
            </w:r>
          </w:p>
        </w:tc>
      </w:tr>
      <w:tr w:rsidR="002D7080" w:rsidRPr="00592486" w14:paraId="430C27FD" w14:textId="77777777" w:rsidTr="002E2C37">
        <w:tc>
          <w:tcPr>
            <w:tcW w:w="1555" w:type="dxa"/>
            <w:shd w:val="clear" w:color="auto" w:fill="D9D9D9" w:themeFill="background1" w:themeFillShade="D9"/>
          </w:tcPr>
          <w:p w14:paraId="0A1688E1"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CON1i</w:t>
            </w:r>
          </w:p>
        </w:tc>
        <w:tc>
          <w:tcPr>
            <w:tcW w:w="5953" w:type="dxa"/>
            <w:shd w:val="clear" w:color="auto" w:fill="D9D9D9" w:themeFill="background1" w:themeFillShade="D9"/>
          </w:tcPr>
          <w:p w14:paraId="1D8DC6EE"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Chemical, physical, structural impact</w:t>
            </w:r>
          </w:p>
        </w:tc>
        <w:tc>
          <w:tcPr>
            <w:tcW w:w="1508" w:type="dxa"/>
          </w:tcPr>
          <w:p w14:paraId="63154BDC"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color w:val="000000"/>
                <w:sz w:val="20"/>
                <w:szCs w:val="20"/>
                <w:lang w:eastAsia="en-ZA"/>
              </w:rPr>
              <w:t>DD</w:t>
            </w:r>
          </w:p>
        </w:tc>
      </w:tr>
      <w:tr w:rsidR="002D7080" w:rsidRPr="00592486" w14:paraId="00913F4A" w14:textId="77777777" w:rsidTr="002E2C37">
        <w:tc>
          <w:tcPr>
            <w:tcW w:w="1555" w:type="dxa"/>
            <w:shd w:val="clear" w:color="auto" w:fill="D9D9D9" w:themeFill="background1" w:themeFillShade="D9"/>
          </w:tcPr>
          <w:p w14:paraId="4466F26C"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CON1k</w:t>
            </w:r>
          </w:p>
        </w:tc>
        <w:tc>
          <w:tcPr>
            <w:tcW w:w="5953" w:type="dxa"/>
            <w:shd w:val="clear" w:color="auto" w:fill="D9D9D9" w:themeFill="background1" w:themeFillShade="D9"/>
          </w:tcPr>
          <w:p w14:paraId="3C6EE716"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Indirect impacts through interactions with other species</w:t>
            </w:r>
          </w:p>
        </w:tc>
        <w:tc>
          <w:tcPr>
            <w:tcW w:w="1508" w:type="dxa"/>
          </w:tcPr>
          <w:p w14:paraId="05A40645"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color w:val="000000"/>
                <w:sz w:val="20"/>
                <w:szCs w:val="20"/>
                <w:lang w:eastAsia="en-ZA"/>
              </w:rPr>
              <w:t>MO</w:t>
            </w:r>
          </w:p>
        </w:tc>
      </w:tr>
      <w:tr w:rsidR="002D7080" w:rsidRPr="00592486" w14:paraId="39C6E89A" w14:textId="77777777" w:rsidTr="002E2C37">
        <w:tc>
          <w:tcPr>
            <w:tcW w:w="1555" w:type="dxa"/>
            <w:shd w:val="clear" w:color="auto" w:fill="D9D9D9" w:themeFill="background1" w:themeFillShade="D9"/>
          </w:tcPr>
          <w:p w14:paraId="5F35B287"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CON1</w:t>
            </w:r>
          </w:p>
        </w:tc>
        <w:tc>
          <w:tcPr>
            <w:tcW w:w="5953" w:type="dxa"/>
            <w:shd w:val="clear" w:color="auto" w:fill="D9D9D9" w:themeFill="background1" w:themeFillShade="D9"/>
          </w:tcPr>
          <w:p w14:paraId="2A0ECB2C"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Maximum environmental impact</w:t>
            </w:r>
          </w:p>
        </w:tc>
        <w:tc>
          <w:tcPr>
            <w:tcW w:w="1508" w:type="dxa"/>
          </w:tcPr>
          <w:p w14:paraId="14952C08"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color w:val="000000"/>
                <w:sz w:val="20"/>
                <w:szCs w:val="20"/>
                <w:lang w:eastAsia="en-ZA"/>
              </w:rPr>
              <w:t>MR</w:t>
            </w:r>
          </w:p>
        </w:tc>
      </w:tr>
      <w:tr w:rsidR="002D7080" w:rsidRPr="00592486" w14:paraId="242E6256" w14:textId="77777777" w:rsidTr="002E2C37">
        <w:tc>
          <w:tcPr>
            <w:tcW w:w="1555" w:type="dxa"/>
            <w:shd w:val="clear" w:color="auto" w:fill="D9D9D9" w:themeFill="background1" w:themeFillShade="D9"/>
          </w:tcPr>
          <w:p w14:paraId="1ED6308B"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CON2a</w:t>
            </w:r>
          </w:p>
        </w:tc>
        <w:tc>
          <w:tcPr>
            <w:tcW w:w="5953" w:type="dxa"/>
            <w:shd w:val="clear" w:color="auto" w:fill="D9D9D9" w:themeFill="background1" w:themeFillShade="D9"/>
          </w:tcPr>
          <w:p w14:paraId="1A10FABF"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hAnsi="Times New Roman" w:cs="Times New Roman"/>
                <w:sz w:val="20"/>
                <w:szCs w:val="20"/>
              </w:rPr>
              <w:t>Safety</w:t>
            </w:r>
          </w:p>
        </w:tc>
        <w:tc>
          <w:tcPr>
            <w:tcW w:w="1508" w:type="dxa"/>
          </w:tcPr>
          <w:p w14:paraId="18703859"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color w:val="000000"/>
                <w:sz w:val="20"/>
                <w:szCs w:val="20"/>
                <w:lang w:eastAsia="en-ZA"/>
              </w:rPr>
              <w:t>DD</w:t>
            </w:r>
          </w:p>
        </w:tc>
      </w:tr>
      <w:tr w:rsidR="002D7080" w:rsidRPr="00592486" w14:paraId="0B525548" w14:textId="77777777" w:rsidTr="002E2C37">
        <w:tc>
          <w:tcPr>
            <w:tcW w:w="1555" w:type="dxa"/>
            <w:shd w:val="clear" w:color="auto" w:fill="D9D9D9" w:themeFill="background1" w:themeFillShade="D9"/>
          </w:tcPr>
          <w:p w14:paraId="227F32F8"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CON2b</w:t>
            </w:r>
          </w:p>
        </w:tc>
        <w:tc>
          <w:tcPr>
            <w:tcW w:w="5953" w:type="dxa"/>
            <w:shd w:val="clear" w:color="auto" w:fill="D9D9D9" w:themeFill="background1" w:themeFillShade="D9"/>
          </w:tcPr>
          <w:p w14:paraId="04D310A4"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hAnsi="Times New Roman" w:cs="Times New Roman"/>
                <w:sz w:val="20"/>
                <w:szCs w:val="20"/>
              </w:rPr>
              <w:t>Material and immaterial assets</w:t>
            </w:r>
          </w:p>
        </w:tc>
        <w:tc>
          <w:tcPr>
            <w:tcW w:w="1508" w:type="dxa"/>
          </w:tcPr>
          <w:p w14:paraId="30320E10"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sz w:val="20"/>
                <w:szCs w:val="20"/>
                <w:lang w:eastAsia="en-ZA"/>
              </w:rPr>
              <w:t>MO</w:t>
            </w:r>
          </w:p>
        </w:tc>
      </w:tr>
      <w:tr w:rsidR="002D7080" w:rsidRPr="00592486" w14:paraId="0E3E3832" w14:textId="77777777" w:rsidTr="002E2C37">
        <w:tc>
          <w:tcPr>
            <w:tcW w:w="1555" w:type="dxa"/>
            <w:shd w:val="clear" w:color="auto" w:fill="D9D9D9" w:themeFill="background1" w:themeFillShade="D9"/>
          </w:tcPr>
          <w:p w14:paraId="709E59FC"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CON2c</w:t>
            </w:r>
          </w:p>
        </w:tc>
        <w:tc>
          <w:tcPr>
            <w:tcW w:w="5953" w:type="dxa"/>
            <w:shd w:val="clear" w:color="auto" w:fill="D9D9D9" w:themeFill="background1" w:themeFillShade="D9"/>
          </w:tcPr>
          <w:p w14:paraId="05EF068C"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hAnsi="Times New Roman" w:cs="Times New Roman"/>
                <w:sz w:val="20"/>
                <w:szCs w:val="20"/>
              </w:rPr>
              <w:t>Health</w:t>
            </w:r>
          </w:p>
        </w:tc>
        <w:tc>
          <w:tcPr>
            <w:tcW w:w="1508" w:type="dxa"/>
          </w:tcPr>
          <w:p w14:paraId="3DDACED9"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color w:val="000000"/>
                <w:sz w:val="20"/>
                <w:szCs w:val="20"/>
                <w:lang w:eastAsia="en-ZA"/>
              </w:rPr>
              <w:t>DD</w:t>
            </w:r>
          </w:p>
        </w:tc>
      </w:tr>
      <w:tr w:rsidR="002D7080" w:rsidRPr="00592486" w14:paraId="0B560D77" w14:textId="77777777" w:rsidTr="002E2C37">
        <w:tc>
          <w:tcPr>
            <w:tcW w:w="1555" w:type="dxa"/>
            <w:shd w:val="clear" w:color="auto" w:fill="D9D9D9" w:themeFill="background1" w:themeFillShade="D9"/>
          </w:tcPr>
          <w:p w14:paraId="03FE9615"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CON2d</w:t>
            </w:r>
          </w:p>
        </w:tc>
        <w:tc>
          <w:tcPr>
            <w:tcW w:w="5953" w:type="dxa"/>
            <w:shd w:val="clear" w:color="auto" w:fill="D9D9D9" w:themeFill="background1" w:themeFillShade="D9"/>
          </w:tcPr>
          <w:p w14:paraId="58D054C8"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hAnsi="Times New Roman" w:cs="Times New Roman"/>
                <w:sz w:val="20"/>
                <w:szCs w:val="20"/>
              </w:rPr>
              <w:t>Social, spiritual and cultural relations</w:t>
            </w:r>
          </w:p>
        </w:tc>
        <w:tc>
          <w:tcPr>
            <w:tcW w:w="1508" w:type="dxa"/>
          </w:tcPr>
          <w:p w14:paraId="4B515C7D"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sz w:val="20"/>
                <w:szCs w:val="20"/>
                <w:lang w:eastAsia="en-ZA"/>
              </w:rPr>
              <w:t>DD</w:t>
            </w:r>
          </w:p>
        </w:tc>
      </w:tr>
      <w:tr w:rsidR="002D7080" w:rsidRPr="00592486" w14:paraId="7C753517" w14:textId="77777777" w:rsidTr="002E2C37">
        <w:tc>
          <w:tcPr>
            <w:tcW w:w="1555" w:type="dxa"/>
            <w:shd w:val="clear" w:color="auto" w:fill="D9D9D9" w:themeFill="background1" w:themeFillShade="D9"/>
          </w:tcPr>
          <w:p w14:paraId="7F4F50D7"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CON2</w:t>
            </w:r>
          </w:p>
        </w:tc>
        <w:tc>
          <w:tcPr>
            <w:tcW w:w="5953" w:type="dxa"/>
            <w:shd w:val="clear" w:color="auto" w:fill="D9D9D9" w:themeFill="background1" w:themeFillShade="D9"/>
          </w:tcPr>
          <w:p w14:paraId="20DD344E"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Maximum socio-economic impact</w:t>
            </w:r>
          </w:p>
        </w:tc>
        <w:tc>
          <w:tcPr>
            <w:tcW w:w="1508" w:type="dxa"/>
          </w:tcPr>
          <w:p w14:paraId="612C52E6"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color w:val="000000"/>
                <w:sz w:val="20"/>
                <w:szCs w:val="20"/>
                <w:lang w:eastAsia="en-ZA"/>
              </w:rPr>
              <w:t>MO</w:t>
            </w:r>
          </w:p>
        </w:tc>
      </w:tr>
      <w:tr w:rsidR="002D7080" w:rsidRPr="00592486" w14:paraId="40DC489C" w14:textId="77777777" w:rsidTr="002E2C37">
        <w:trPr>
          <w:trHeight w:val="100"/>
        </w:trPr>
        <w:tc>
          <w:tcPr>
            <w:tcW w:w="1555" w:type="dxa"/>
            <w:shd w:val="clear" w:color="auto" w:fill="D9D9D9" w:themeFill="background1" w:themeFillShade="D9"/>
          </w:tcPr>
          <w:p w14:paraId="3782B701"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CON3</w:t>
            </w:r>
          </w:p>
        </w:tc>
        <w:tc>
          <w:tcPr>
            <w:tcW w:w="5953" w:type="dxa"/>
            <w:shd w:val="clear" w:color="auto" w:fill="D9D9D9" w:themeFill="background1" w:themeFillShade="D9"/>
          </w:tcPr>
          <w:p w14:paraId="2CB380C0"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Environmental impact of closely related taxa</w:t>
            </w:r>
          </w:p>
        </w:tc>
        <w:tc>
          <w:tcPr>
            <w:tcW w:w="1508" w:type="dxa"/>
          </w:tcPr>
          <w:p w14:paraId="7D5F01FD"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sz w:val="20"/>
                <w:szCs w:val="20"/>
                <w:lang w:eastAsia="en-ZA"/>
              </w:rPr>
              <w:t>Not scored as CON1 scored</w:t>
            </w:r>
          </w:p>
        </w:tc>
      </w:tr>
      <w:tr w:rsidR="002D7080" w:rsidRPr="00592486" w14:paraId="66C42BF4" w14:textId="77777777" w:rsidTr="002E2C37">
        <w:tc>
          <w:tcPr>
            <w:tcW w:w="1555" w:type="dxa"/>
            <w:shd w:val="clear" w:color="auto" w:fill="D9D9D9" w:themeFill="background1" w:themeFillShade="D9"/>
          </w:tcPr>
          <w:p w14:paraId="5DDA72B2"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lastRenderedPageBreak/>
              <w:t>CON4</w:t>
            </w:r>
          </w:p>
        </w:tc>
        <w:tc>
          <w:tcPr>
            <w:tcW w:w="5953" w:type="dxa"/>
            <w:shd w:val="clear" w:color="auto" w:fill="D9D9D9" w:themeFill="background1" w:themeFillShade="D9"/>
          </w:tcPr>
          <w:p w14:paraId="206EF154"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Socio-economic impact of closely related taxa</w:t>
            </w:r>
          </w:p>
        </w:tc>
        <w:tc>
          <w:tcPr>
            <w:tcW w:w="1508" w:type="dxa"/>
          </w:tcPr>
          <w:p w14:paraId="5B2CF51C"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sz w:val="20"/>
                <w:szCs w:val="20"/>
                <w:lang w:eastAsia="en-ZA"/>
              </w:rPr>
              <w:t>Not scored as CON2 scored</w:t>
            </w:r>
          </w:p>
        </w:tc>
      </w:tr>
      <w:tr w:rsidR="002D7080" w:rsidRPr="00592486" w14:paraId="02FA969F" w14:textId="77777777" w:rsidTr="002E2C37">
        <w:tc>
          <w:tcPr>
            <w:tcW w:w="1555" w:type="dxa"/>
            <w:shd w:val="clear" w:color="auto" w:fill="D9D9D9" w:themeFill="background1" w:themeFillShade="D9"/>
          </w:tcPr>
          <w:p w14:paraId="0ED7285A"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CON5</w:t>
            </w:r>
          </w:p>
        </w:tc>
        <w:tc>
          <w:tcPr>
            <w:tcW w:w="5953" w:type="dxa"/>
            <w:shd w:val="clear" w:color="auto" w:fill="D9D9D9" w:themeFill="background1" w:themeFillShade="D9"/>
          </w:tcPr>
          <w:p w14:paraId="6F33D012" w14:textId="77777777" w:rsidR="002D7080" w:rsidRPr="00233C97" w:rsidRDefault="002D7080" w:rsidP="002E2C37">
            <w:pPr>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Potential impact based on traits, experiments, or models</w:t>
            </w:r>
          </w:p>
        </w:tc>
        <w:tc>
          <w:tcPr>
            <w:tcW w:w="1508" w:type="dxa"/>
          </w:tcPr>
          <w:p w14:paraId="31C23867" w14:textId="77777777" w:rsidR="002D7080" w:rsidRPr="00352A3A" w:rsidRDefault="002D7080" w:rsidP="002E2C37">
            <w:pPr>
              <w:rPr>
                <w:rFonts w:ascii="Times New Roman" w:eastAsia="Times New Roman" w:hAnsi="Times New Roman" w:cs="Times New Roman"/>
                <w:sz w:val="20"/>
                <w:szCs w:val="20"/>
                <w:lang w:eastAsia="en-ZA"/>
              </w:rPr>
            </w:pPr>
            <w:r w:rsidRPr="00352A3A">
              <w:rPr>
                <w:rFonts w:ascii="Times New Roman" w:eastAsia="Times New Roman" w:hAnsi="Times New Roman" w:cs="Times New Roman"/>
                <w:sz w:val="20"/>
                <w:szCs w:val="20"/>
                <w:lang w:eastAsia="en-ZA"/>
              </w:rPr>
              <w:t>MR</w:t>
            </w:r>
          </w:p>
        </w:tc>
      </w:tr>
    </w:tbl>
    <w:p w14:paraId="62710503" w14:textId="77777777" w:rsidR="002D7080" w:rsidRPr="00233C97" w:rsidRDefault="002D7080" w:rsidP="002D7080">
      <w:pPr>
        <w:spacing w:after="0" w:line="240" w:lineRule="auto"/>
        <w:rPr>
          <w:rFonts w:ascii="Times New Roman" w:eastAsia="Times New Roman" w:hAnsi="Times New Roman" w:cs="Times New Roman"/>
          <w:b/>
          <w:sz w:val="20"/>
          <w:szCs w:val="20"/>
          <w:lang w:eastAsia="en-ZA"/>
        </w:rPr>
      </w:pPr>
    </w:p>
    <w:p w14:paraId="24DA2739" w14:textId="77777777" w:rsidR="002D7080" w:rsidRPr="00233C97" w:rsidRDefault="002D7080" w:rsidP="002D7080">
      <w:pPr>
        <w:spacing w:after="0" w:line="240" w:lineRule="auto"/>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Risk score = High</w:t>
      </w:r>
    </w:p>
    <w:p w14:paraId="601F8C19" w14:textId="77777777" w:rsidR="002D7080" w:rsidRPr="00233C97" w:rsidRDefault="002D7080" w:rsidP="002D7080">
      <w:pPr>
        <w:spacing w:after="0" w:line="240" w:lineRule="auto"/>
        <w:rPr>
          <w:rFonts w:ascii="Times New Roman" w:hAnsi="Times New Roman" w:cs="Times New Roman"/>
          <w:sz w:val="20"/>
          <w:szCs w:val="20"/>
        </w:rPr>
      </w:pPr>
    </w:p>
    <w:tbl>
      <w:tblPr>
        <w:tblW w:w="7700" w:type="dxa"/>
        <w:jc w:val="center"/>
        <w:tblCellMar>
          <w:left w:w="70" w:type="dxa"/>
          <w:right w:w="70" w:type="dxa"/>
        </w:tblCellMar>
        <w:tblLook w:val="04A0" w:firstRow="1" w:lastRow="0" w:firstColumn="1" w:lastColumn="0" w:noHBand="0" w:noVBand="1"/>
      </w:tblPr>
      <w:tblGrid>
        <w:gridCol w:w="440"/>
        <w:gridCol w:w="2060"/>
        <w:gridCol w:w="1004"/>
        <w:gridCol w:w="953"/>
        <w:gridCol w:w="1223"/>
        <w:gridCol w:w="953"/>
        <w:gridCol w:w="1067"/>
      </w:tblGrid>
      <w:tr w:rsidR="002D7080" w:rsidRPr="00592486" w14:paraId="73732105" w14:textId="77777777" w:rsidTr="002E2C37">
        <w:trPr>
          <w:trHeight w:val="231"/>
          <w:jc w:val="center"/>
        </w:trPr>
        <w:tc>
          <w:tcPr>
            <w:tcW w:w="440" w:type="dxa"/>
            <w:vMerge w:val="restart"/>
            <w:tcBorders>
              <w:top w:val="nil"/>
              <w:left w:val="nil"/>
              <w:bottom w:val="single" w:sz="4" w:space="0" w:color="000000"/>
              <w:right w:val="nil"/>
            </w:tcBorders>
            <w:noWrap/>
            <w:vAlign w:val="bottom"/>
            <w:hideMark/>
          </w:tcPr>
          <w:p w14:paraId="354E857B" w14:textId="77777777" w:rsidR="002D7080" w:rsidRPr="00233C97" w:rsidRDefault="002D7080" w:rsidP="002E2C37">
            <w:pPr>
              <w:spacing w:after="0" w:line="240" w:lineRule="auto"/>
              <w:jc w:val="center"/>
              <w:rPr>
                <w:rFonts w:ascii="Times New Roman" w:eastAsia="Times New Roman" w:hAnsi="Times New Roman" w:cs="Times New Roman"/>
                <w:b/>
                <w:bCs/>
                <w:sz w:val="20"/>
                <w:szCs w:val="20"/>
                <w:lang w:val="en-US" w:eastAsia="de-CH"/>
              </w:rPr>
            </w:pPr>
            <w:r w:rsidRPr="00233C97">
              <w:rPr>
                <w:rFonts w:ascii="Times New Roman" w:eastAsia="Times New Roman" w:hAnsi="Times New Roman" w:cs="Times New Roman"/>
                <w:b/>
                <w:bCs/>
                <w:sz w:val="20"/>
                <w:szCs w:val="20"/>
                <w:lang w:val="en-US" w:eastAsia="de-CH"/>
              </w:rPr>
              <w:t> </w:t>
            </w:r>
          </w:p>
        </w:tc>
        <w:tc>
          <w:tcPr>
            <w:tcW w:w="2060" w:type="dxa"/>
            <w:vMerge w:val="restart"/>
            <w:tcBorders>
              <w:top w:val="nil"/>
              <w:left w:val="nil"/>
              <w:bottom w:val="single" w:sz="4" w:space="0" w:color="000000"/>
              <w:right w:val="single" w:sz="4" w:space="0" w:color="auto"/>
            </w:tcBorders>
            <w:noWrap/>
            <w:vAlign w:val="bottom"/>
            <w:hideMark/>
          </w:tcPr>
          <w:p w14:paraId="206396D4" w14:textId="77777777" w:rsidR="002D7080" w:rsidRPr="00233C97" w:rsidRDefault="002D7080" w:rsidP="002E2C37">
            <w:pPr>
              <w:spacing w:after="0" w:line="240" w:lineRule="auto"/>
              <w:jc w:val="center"/>
              <w:rPr>
                <w:rFonts w:ascii="Times New Roman" w:eastAsia="Times New Roman" w:hAnsi="Times New Roman" w:cs="Times New Roman"/>
                <w:b/>
                <w:bCs/>
                <w:sz w:val="18"/>
                <w:szCs w:val="18"/>
                <w:lang w:val="en-US" w:eastAsia="de-CH"/>
              </w:rPr>
            </w:pPr>
            <w:r w:rsidRPr="00233C97">
              <w:rPr>
                <w:rFonts w:ascii="Times New Roman" w:eastAsia="Times New Roman" w:hAnsi="Times New Roman" w:cs="Times New Roman"/>
                <w:b/>
                <w:bCs/>
                <w:sz w:val="18"/>
                <w:szCs w:val="18"/>
                <w:lang w:val="en-US" w:eastAsia="de-CH"/>
              </w:rPr>
              <w:t> </w:t>
            </w:r>
          </w:p>
        </w:tc>
        <w:tc>
          <w:tcPr>
            <w:tcW w:w="5200" w:type="dxa"/>
            <w:gridSpan w:val="5"/>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79E0002" w14:textId="77777777" w:rsidR="002D7080" w:rsidRPr="00233C97" w:rsidRDefault="002D7080" w:rsidP="002E2C37">
            <w:pPr>
              <w:spacing w:after="0" w:line="240" w:lineRule="auto"/>
              <w:jc w:val="center"/>
              <w:rPr>
                <w:rFonts w:ascii="Times New Roman" w:eastAsia="Times New Roman" w:hAnsi="Times New Roman" w:cs="Times New Roman"/>
                <w:b/>
                <w:bCs/>
                <w:sz w:val="18"/>
                <w:szCs w:val="18"/>
                <w:lang w:val="de-CH" w:eastAsia="de-CH"/>
              </w:rPr>
            </w:pPr>
            <w:r w:rsidRPr="00233C97">
              <w:rPr>
                <w:rFonts w:ascii="Times New Roman" w:eastAsia="Times New Roman" w:hAnsi="Times New Roman" w:cs="Times New Roman"/>
                <w:b/>
                <w:bCs/>
                <w:sz w:val="18"/>
                <w:szCs w:val="18"/>
                <w:lang w:val="de-CH" w:eastAsia="de-CH"/>
              </w:rPr>
              <w:t>Consequences</w:t>
            </w:r>
          </w:p>
        </w:tc>
      </w:tr>
      <w:tr w:rsidR="002D7080" w:rsidRPr="00592486" w14:paraId="1E8EF095" w14:textId="77777777" w:rsidTr="002E2C37">
        <w:trPr>
          <w:trHeight w:val="281"/>
          <w:jc w:val="center"/>
        </w:trPr>
        <w:tc>
          <w:tcPr>
            <w:tcW w:w="440" w:type="dxa"/>
            <w:vMerge/>
            <w:tcBorders>
              <w:top w:val="nil"/>
              <w:left w:val="nil"/>
              <w:bottom w:val="single" w:sz="4" w:space="0" w:color="auto"/>
              <w:right w:val="nil"/>
            </w:tcBorders>
            <w:vAlign w:val="center"/>
            <w:hideMark/>
          </w:tcPr>
          <w:p w14:paraId="22C6A3EB" w14:textId="77777777" w:rsidR="002D7080" w:rsidRPr="00233C97" w:rsidRDefault="002D7080" w:rsidP="002E2C37">
            <w:pPr>
              <w:spacing w:after="0" w:line="240" w:lineRule="auto"/>
              <w:rPr>
                <w:rFonts w:ascii="Times New Roman" w:eastAsia="Times New Roman" w:hAnsi="Times New Roman" w:cs="Times New Roman"/>
                <w:b/>
                <w:bCs/>
                <w:sz w:val="20"/>
                <w:szCs w:val="20"/>
                <w:lang w:val="de-CH" w:eastAsia="de-CH"/>
              </w:rPr>
            </w:pPr>
          </w:p>
        </w:tc>
        <w:tc>
          <w:tcPr>
            <w:tcW w:w="2060" w:type="dxa"/>
            <w:vMerge/>
            <w:tcBorders>
              <w:top w:val="nil"/>
              <w:left w:val="nil"/>
              <w:bottom w:val="single" w:sz="4" w:space="0" w:color="auto"/>
              <w:right w:val="single" w:sz="4" w:space="0" w:color="auto"/>
            </w:tcBorders>
            <w:vAlign w:val="center"/>
            <w:hideMark/>
          </w:tcPr>
          <w:p w14:paraId="398B45D0" w14:textId="77777777" w:rsidR="002D7080" w:rsidRPr="00233C97" w:rsidRDefault="002D7080" w:rsidP="002E2C37">
            <w:pPr>
              <w:spacing w:after="0" w:line="240" w:lineRule="auto"/>
              <w:rPr>
                <w:rFonts w:ascii="Times New Roman" w:eastAsia="Times New Roman" w:hAnsi="Times New Roman" w:cs="Times New Roman"/>
                <w:b/>
                <w:bCs/>
                <w:sz w:val="18"/>
                <w:szCs w:val="18"/>
                <w:lang w:val="de-CH" w:eastAsia="de-CH"/>
              </w:rPr>
            </w:pPr>
          </w:p>
        </w:tc>
        <w:tc>
          <w:tcPr>
            <w:tcW w:w="100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F02156E"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MC</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DFCE0C5"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MN</w:t>
            </w:r>
          </w:p>
        </w:tc>
        <w:tc>
          <w:tcPr>
            <w:tcW w:w="1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6947CE2A"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MO</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2BD10FB"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MR</w:t>
            </w:r>
          </w:p>
        </w:tc>
        <w:tc>
          <w:tcPr>
            <w:tcW w:w="1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A4119FE"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MV</w:t>
            </w:r>
          </w:p>
        </w:tc>
      </w:tr>
      <w:tr w:rsidR="002D7080" w:rsidRPr="00592486" w14:paraId="1F816E17" w14:textId="77777777" w:rsidTr="002E2C37">
        <w:trPr>
          <w:trHeight w:val="271"/>
          <w:jc w:val="center"/>
        </w:trPr>
        <w:tc>
          <w:tcPr>
            <w:tcW w:w="4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center"/>
            <w:hideMark/>
          </w:tcPr>
          <w:p w14:paraId="6CB03D4C" w14:textId="77777777" w:rsidR="002D7080" w:rsidRPr="00233C97" w:rsidRDefault="002D7080" w:rsidP="002E2C37">
            <w:pPr>
              <w:spacing w:after="0" w:line="240" w:lineRule="auto"/>
              <w:jc w:val="center"/>
              <w:rPr>
                <w:rFonts w:ascii="Times New Roman" w:eastAsia="Times New Roman" w:hAnsi="Times New Roman" w:cs="Times New Roman"/>
                <w:b/>
                <w:bCs/>
                <w:sz w:val="20"/>
                <w:szCs w:val="20"/>
                <w:lang w:val="de-CH" w:eastAsia="de-CH"/>
              </w:rPr>
            </w:pPr>
            <w:r w:rsidRPr="00233C97">
              <w:rPr>
                <w:rFonts w:ascii="Times New Roman" w:eastAsia="Times New Roman" w:hAnsi="Times New Roman" w:cs="Times New Roman"/>
                <w:b/>
                <w:bCs/>
                <w:sz w:val="20"/>
                <w:szCs w:val="20"/>
                <w:lang w:val="de-CH" w:eastAsia="de-CH"/>
              </w:rPr>
              <w:t>Likelihood</w:t>
            </w: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02C7D27"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Extremely unlikely</w:t>
            </w:r>
          </w:p>
        </w:tc>
        <w:tc>
          <w:tcPr>
            <w:tcW w:w="1004" w:type="dxa"/>
            <w:tcBorders>
              <w:top w:val="single" w:sz="4" w:space="0" w:color="auto"/>
              <w:left w:val="nil"/>
              <w:bottom w:val="single" w:sz="4" w:space="0" w:color="auto"/>
              <w:right w:val="single" w:sz="4" w:space="0" w:color="auto"/>
            </w:tcBorders>
            <w:noWrap/>
            <w:vAlign w:val="center"/>
            <w:hideMark/>
          </w:tcPr>
          <w:p w14:paraId="05CA146B"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47DF8C8"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5FBDD510"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10A3C0CD"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52820DB"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medium</w:t>
            </w:r>
          </w:p>
        </w:tc>
      </w:tr>
      <w:tr w:rsidR="002D7080" w:rsidRPr="00592486" w14:paraId="0C9235E4" w14:textId="77777777" w:rsidTr="002E2C37">
        <w:trPr>
          <w:trHeight w:val="275"/>
          <w:jc w:val="center"/>
        </w:trPr>
        <w:tc>
          <w:tcPr>
            <w:tcW w:w="44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693E00" w14:textId="77777777" w:rsidR="002D7080" w:rsidRPr="00233C97" w:rsidRDefault="002D7080" w:rsidP="002E2C37">
            <w:pPr>
              <w:spacing w:after="0" w:line="240" w:lineRule="auto"/>
              <w:rPr>
                <w:rFonts w:ascii="Times New Roman" w:eastAsia="Times New Roman" w:hAnsi="Times New Roman" w:cs="Times New Roman"/>
                <w:b/>
                <w:bCs/>
                <w:sz w:val="20"/>
                <w:szCs w:val="20"/>
                <w:lang w:val="de-CH"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77C5114"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Very unlikely</w:t>
            </w:r>
          </w:p>
        </w:tc>
        <w:tc>
          <w:tcPr>
            <w:tcW w:w="1004" w:type="dxa"/>
            <w:tcBorders>
              <w:top w:val="single" w:sz="4" w:space="0" w:color="auto"/>
              <w:left w:val="nil"/>
              <w:bottom w:val="single" w:sz="4" w:space="0" w:color="auto"/>
              <w:right w:val="single" w:sz="4" w:space="0" w:color="auto"/>
            </w:tcBorders>
            <w:noWrap/>
            <w:vAlign w:val="center"/>
            <w:hideMark/>
          </w:tcPr>
          <w:p w14:paraId="373F4641"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11770B3A"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1EF65ADB"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C085288"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1653167B"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high</w:t>
            </w:r>
          </w:p>
        </w:tc>
      </w:tr>
      <w:tr w:rsidR="002D7080" w:rsidRPr="00592486" w14:paraId="5F90E7BA" w14:textId="77777777" w:rsidTr="002E2C37">
        <w:trPr>
          <w:trHeight w:val="265"/>
          <w:jc w:val="center"/>
        </w:trPr>
        <w:tc>
          <w:tcPr>
            <w:tcW w:w="44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02A310F" w14:textId="77777777" w:rsidR="002D7080" w:rsidRPr="00233C97" w:rsidRDefault="002D7080" w:rsidP="002E2C37">
            <w:pPr>
              <w:spacing w:after="0" w:line="240" w:lineRule="auto"/>
              <w:rPr>
                <w:rFonts w:ascii="Times New Roman" w:eastAsia="Times New Roman" w:hAnsi="Times New Roman" w:cs="Times New Roman"/>
                <w:b/>
                <w:bCs/>
                <w:sz w:val="20"/>
                <w:szCs w:val="20"/>
                <w:lang w:val="de-CH"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DA9065B"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Unlikely</w:t>
            </w:r>
          </w:p>
        </w:tc>
        <w:tc>
          <w:tcPr>
            <w:tcW w:w="1004" w:type="dxa"/>
            <w:tcBorders>
              <w:top w:val="single" w:sz="4" w:space="0" w:color="auto"/>
              <w:left w:val="nil"/>
              <w:bottom w:val="single" w:sz="4" w:space="0" w:color="auto"/>
              <w:right w:val="single" w:sz="4" w:space="0" w:color="auto"/>
            </w:tcBorders>
            <w:noWrap/>
            <w:vAlign w:val="center"/>
            <w:hideMark/>
          </w:tcPr>
          <w:p w14:paraId="6865BF33"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265082E"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18F7A1D5"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F08290A"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71B5B79"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high</w:t>
            </w:r>
          </w:p>
        </w:tc>
      </w:tr>
      <w:tr w:rsidR="002D7080" w:rsidRPr="00592486" w14:paraId="57C2E58A" w14:textId="77777777" w:rsidTr="002E2C37">
        <w:trPr>
          <w:trHeight w:val="283"/>
          <w:jc w:val="center"/>
        </w:trPr>
        <w:tc>
          <w:tcPr>
            <w:tcW w:w="44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16C24E" w14:textId="77777777" w:rsidR="002D7080" w:rsidRPr="00233C97" w:rsidRDefault="002D7080" w:rsidP="002E2C37">
            <w:pPr>
              <w:spacing w:after="0" w:line="240" w:lineRule="auto"/>
              <w:rPr>
                <w:rFonts w:ascii="Times New Roman" w:eastAsia="Times New Roman" w:hAnsi="Times New Roman" w:cs="Times New Roman"/>
                <w:b/>
                <w:bCs/>
                <w:sz w:val="20"/>
                <w:szCs w:val="20"/>
                <w:lang w:val="de-CH"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5290E37"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Fairly probable</w:t>
            </w:r>
          </w:p>
        </w:tc>
        <w:tc>
          <w:tcPr>
            <w:tcW w:w="1004" w:type="dxa"/>
            <w:tcBorders>
              <w:top w:val="single" w:sz="4" w:space="0" w:color="auto"/>
              <w:left w:val="nil"/>
              <w:bottom w:val="single" w:sz="4" w:space="0" w:color="auto"/>
              <w:right w:val="single" w:sz="4" w:space="0" w:color="auto"/>
            </w:tcBorders>
            <w:noWrap/>
            <w:vAlign w:val="center"/>
            <w:hideMark/>
          </w:tcPr>
          <w:p w14:paraId="731332B0"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28C7A8E"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medium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224673BA"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high</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3D26DC2"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AC94E05"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high</w:t>
            </w:r>
          </w:p>
        </w:tc>
      </w:tr>
      <w:tr w:rsidR="002D7080" w:rsidRPr="00592486" w14:paraId="3984707E" w14:textId="77777777" w:rsidTr="002E2C37">
        <w:trPr>
          <w:trHeight w:val="273"/>
          <w:jc w:val="center"/>
        </w:trPr>
        <w:tc>
          <w:tcPr>
            <w:tcW w:w="44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ECC329" w14:textId="77777777" w:rsidR="002D7080" w:rsidRPr="00233C97" w:rsidRDefault="002D7080" w:rsidP="002E2C37">
            <w:pPr>
              <w:spacing w:after="0" w:line="240" w:lineRule="auto"/>
              <w:rPr>
                <w:rFonts w:ascii="Times New Roman" w:eastAsia="Times New Roman" w:hAnsi="Times New Roman" w:cs="Times New Roman"/>
                <w:b/>
                <w:bCs/>
                <w:sz w:val="20"/>
                <w:szCs w:val="20"/>
                <w:lang w:val="de-CH"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07E88B"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Probable</w:t>
            </w:r>
          </w:p>
        </w:tc>
        <w:tc>
          <w:tcPr>
            <w:tcW w:w="1004" w:type="dxa"/>
            <w:tcBorders>
              <w:top w:val="single" w:sz="4" w:space="0" w:color="auto"/>
              <w:left w:val="nil"/>
              <w:bottom w:val="single" w:sz="4" w:space="0" w:color="auto"/>
              <w:right w:val="single" w:sz="4" w:space="0" w:color="auto"/>
            </w:tcBorders>
            <w:noWrap/>
            <w:vAlign w:val="center"/>
            <w:hideMark/>
          </w:tcPr>
          <w:p w14:paraId="0270DEA9"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F1ABBC8"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high</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7FA2BEF2"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1845236"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C52A4AD" w14:textId="77777777" w:rsidR="002D7080" w:rsidRPr="00233C97" w:rsidRDefault="002D7080" w:rsidP="002E2C37">
            <w:pPr>
              <w:spacing w:after="0" w:line="240" w:lineRule="auto"/>
              <w:jc w:val="center"/>
              <w:rPr>
                <w:rFonts w:ascii="Times New Roman" w:eastAsia="Times New Roman" w:hAnsi="Times New Roman" w:cs="Times New Roman"/>
                <w:sz w:val="18"/>
                <w:szCs w:val="18"/>
                <w:lang w:val="de-CH" w:eastAsia="de-CH"/>
              </w:rPr>
            </w:pPr>
            <w:r w:rsidRPr="00233C97">
              <w:rPr>
                <w:rFonts w:ascii="Times New Roman" w:eastAsia="Times New Roman" w:hAnsi="Times New Roman" w:cs="Times New Roman"/>
                <w:sz w:val="18"/>
                <w:szCs w:val="18"/>
                <w:lang w:val="de-CH" w:eastAsia="de-CH"/>
              </w:rPr>
              <w:t>high</w:t>
            </w:r>
          </w:p>
        </w:tc>
      </w:tr>
    </w:tbl>
    <w:p w14:paraId="28DC5E21" w14:textId="77777777" w:rsidR="002D7080" w:rsidRPr="00233C97" w:rsidRDefault="002D7080" w:rsidP="002D7080">
      <w:pPr>
        <w:spacing w:after="0" w:line="240" w:lineRule="auto"/>
        <w:rPr>
          <w:rFonts w:ascii="Times New Roman" w:hAnsi="Times New Roman" w:cs="Times New Roman"/>
          <w:sz w:val="24"/>
          <w:szCs w:val="24"/>
        </w:rPr>
      </w:pPr>
    </w:p>
    <w:p w14:paraId="2913CEFD" w14:textId="77777777" w:rsidR="002D7080" w:rsidRPr="00233C97" w:rsidRDefault="002D7080" w:rsidP="002D7080">
      <w:pPr>
        <w:spacing w:after="0" w:line="240" w:lineRule="auto"/>
        <w:rPr>
          <w:rFonts w:ascii="Times New Roman" w:eastAsia="Times New Roman" w:hAnsi="Times New Roman" w:cs="Times New Roman"/>
          <w:b/>
          <w:sz w:val="20"/>
          <w:szCs w:val="20"/>
          <w:lang w:eastAsia="en-ZA"/>
        </w:rPr>
      </w:pPr>
      <w:r w:rsidRPr="00233C97">
        <w:rPr>
          <w:rFonts w:ascii="Times New Roman" w:eastAsia="Times New Roman" w:hAnsi="Times New Roman" w:cs="Times New Roman"/>
          <w:b/>
          <w:sz w:val="20"/>
          <w:szCs w:val="20"/>
          <w:lang w:eastAsia="en-ZA"/>
        </w:rPr>
        <w:t xml:space="preserve">Ease of management = </w:t>
      </w:r>
      <w:r w:rsidRPr="00233C97">
        <w:rPr>
          <w:rFonts w:ascii="Times New Roman" w:eastAsia="Times New Roman" w:hAnsi="Times New Roman" w:cs="Times New Roman"/>
          <w:i/>
          <w:sz w:val="20"/>
          <w:szCs w:val="20"/>
          <w:lang w:eastAsia="en-ZA"/>
        </w:rPr>
        <w:t>Faxonius rusticus</w:t>
      </w:r>
      <w:r w:rsidRPr="00233C97">
        <w:rPr>
          <w:rFonts w:ascii="Times New Roman" w:eastAsia="Times New Roman" w:hAnsi="Times New Roman" w:cs="Times New Roman"/>
          <w:sz w:val="20"/>
          <w:szCs w:val="20"/>
          <w:lang w:eastAsia="en-ZA"/>
        </w:rPr>
        <w:t xml:space="preserve"> is not present in South Africa. According to the framework, MAN3 does not need to be scored.</w:t>
      </w:r>
    </w:p>
    <w:p w14:paraId="77F87FD2" w14:textId="77777777" w:rsidR="002D7080" w:rsidRPr="00233C97" w:rsidRDefault="002D7080" w:rsidP="002D7080">
      <w:pPr>
        <w:spacing w:after="0" w:line="240" w:lineRule="auto"/>
        <w:rPr>
          <w:rFonts w:ascii="Times New Roman" w:eastAsia="Times New Roman" w:hAnsi="Times New Roman" w:cs="Times New Roman"/>
          <w:sz w:val="20"/>
          <w:szCs w:val="20"/>
          <w:lang w:eastAsia="en-ZA"/>
        </w:rPr>
      </w:pPr>
    </w:p>
    <w:tbl>
      <w:tblPr>
        <w:tblpPr w:leftFromText="180" w:rightFromText="180" w:vertAnchor="text" w:tblpXSpec="center" w:tblpY="1"/>
        <w:tblOverlap w:val="never"/>
        <w:tblW w:w="6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4387"/>
        <w:gridCol w:w="1076"/>
      </w:tblGrid>
      <w:tr w:rsidR="002D7080" w:rsidRPr="00592486" w14:paraId="3AC2FEED" w14:textId="77777777" w:rsidTr="002E2C37">
        <w:trPr>
          <w:trHeight w:val="272"/>
        </w:trPr>
        <w:tc>
          <w:tcPr>
            <w:tcW w:w="1195" w:type="dxa"/>
            <w:shd w:val="clear" w:color="auto" w:fill="D9D9D9" w:themeFill="background1" w:themeFillShade="D9"/>
            <w:vAlign w:val="center"/>
          </w:tcPr>
          <w:p w14:paraId="134C992C" w14:textId="77777777" w:rsidR="002D7080" w:rsidRPr="00233C97" w:rsidRDefault="002D7080" w:rsidP="002E2C37">
            <w:pPr>
              <w:spacing w:after="0" w:line="240" w:lineRule="auto"/>
              <w:jc w:val="center"/>
              <w:rPr>
                <w:rFonts w:ascii="Times New Roman" w:hAnsi="Times New Roman" w:cs="Times New Roman"/>
                <w:b/>
                <w:sz w:val="20"/>
                <w:szCs w:val="20"/>
              </w:rPr>
            </w:pPr>
            <w:r w:rsidRPr="00233C97">
              <w:rPr>
                <w:rFonts w:ascii="Times New Roman" w:hAnsi="Times New Roman" w:cs="Times New Roman"/>
                <w:b/>
                <w:sz w:val="20"/>
                <w:szCs w:val="20"/>
              </w:rPr>
              <w:t>Parameter</w:t>
            </w:r>
          </w:p>
        </w:tc>
        <w:tc>
          <w:tcPr>
            <w:tcW w:w="4387" w:type="dxa"/>
            <w:shd w:val="clear" w:color="auto" w:fill="D9D9D9" w:themeFill="background1" w:themeFillShade="D9"/>
            <w:vAlign w:val="center"/>
          </w:tcPr>
          <w:p w14:paraId="7C9CE673" w14:textId="77777777" w:rsidR="002D7080" w:rsidRPr="00233C97" w:rsidRDefault="002D7080" w:rsidP="002E2C37">
            <w:pPr>
              <w:spacing w:after="0" w:line="240" w:lineRule="auto"/>
              <w:jc w:val="center"/>
              <w:rPr>
                <w:rFonts w:ascii="Times New Roman" w:hAnsi="Times New Roman" w:cs="Times New Roman"/>
                <w:b/>
                <w:sz w:val="20"/>
                <w:szCs w:val="20"/>
              </w:rPr>
            </w:pPr>
            <w:r w:rsidRPr="00233C97">
              <w:rPr>
                <w:rFonts w:ascii="Times New Roman" w:hAnsi="Times New Roman" w:cs="Times New Roman"/>
                <w:b/>
                <w:sz w:val="20"/>
                <w:szCs w:val="20"/>
              </w:rPr>
              <w:t>Question</w:t>
            </w:r>
          </w:p>
        </w:tc>
        <w:tc>
          <w:tcPr>
            <w:tcW w:w="1076" w:type="dxa"/>
            <w:shd w:val="clear" w:color="auto" w:fill="D9D9D9" w:themeFill="background1" w:themeFillShade="D9"/>
            <w:vAlign w:val="center"/>
          </w:tcPr>
          <w:p w14:paraId="2A41D632" w14:textId="77777777" w:rsidR="002D7080" w:rsidRPr="00233C97" w:rsidRDefault="002D7080" w:rsidP="002E2C37">
            <w:pPr>
              <w:spacing w:after="0" w:line="240" w:lineRule="auto"/>
              <w:jc w:val="center"/>
              <w:rPr>
                <w:rFonts w:ascii="Times New Roman" w:hAnsi="Times New Roman" w:cs="Times New Roman"/>
                <w:b/>
                <w:sz w:val="20"/>
                <w:szCs w:val="20"/>
              </w:rPr>
            </w:pPr>
            <w:r w:rsidRPr="00233C97">
              <w:rPr>
                <w:rFonts w:ascii="Times New Roman" w:hAnsi="Times New Roman" w:cs="Times New Roman"/>
                <w:b/>
                <w:sz w:val="20"/>
                <w:szCs w:val="20"/>
              </w:rPr>
              <w:t>Response</w:t>
            </w:r>
          </w:p>
        </w:tc>
      </w:tr>
      <w:tr w:rsidR="002D7080" w:rsidRPr="00592486" w14:paraId="76908EDC" w14:textId="77777777" w:rsidTr="002E2C37">
        <w:trPr>
          <w:trHeight w:val="305"/>
        </w:trPr>
        <w:tc>
          <w:tcPr>
            <w:tcW w:w="1195" w:type="dxa"/>
            <w:shd w:val="clear" w:color="auto" w:fill="D9D9D9" w:themeFill="background1" w:themeFillShade="D9"/>
            <w:vAlign w:val="center"/>
          </w:tcPr>
          <w:p w14:paraId="65BA9DDE" w14:textId="77777777" w:rsidR="002D7080" w:rsidRPr="00233C97" w:rsidRDefault="002D7080" w:rsidP="002E2C37">
            <w:pPr>
              <w:spacing w:after="0" w:line="240" w:lineRule="auto"/>
              <w:jc w:val="center"/>
              <w:rPr>
                <w:rFonts w:ascii="Times New Roman" w:hAnsi="Times New Roman" w:cs="Times New Roman"/>
                <w:sz w:val="20"/>
                <w:szCs w:val="20"/>
              </w:rPr>
            </w:pPr>
            <w:r w:rsidRPr="00233C97">
              <w:rPr>
                <w:rFonts w:ascii="Times New Roman" w:hAnsi="Times New Roman" w:cs="Times New Roman"/>
                <w:sz w:val="20"/>
                <w:szCs w:val="20"/>
              </w:rPr>
              <w:t>MAN3a</w:t>
            </w:r>
          </w:p>
        </w:tc>
        <w:tc>
          <w:tcPr>
            <w:tcW w:w="4387" w:type="dxa"/>
            <w:shd w:val="clear" w:color="auto" w:fill="F2F2F2" w:themeFill="background1" w:themeFillShade="F2"/>
            <w:vAlign w:val="center"/>
          </w:tcPr>
          <w:p w14:paraId="43472A56" w14:textId="77777777" w:rsidR="002D7080" w:rsidRPr="00233C97" w:rsidRDefault="002D7080" w:rsidP="002E2C37">
            <w:pPr>
              <w:tabs>
                <w:tab w:val="left" w:pos="1223"/>
              </w:tabs>
              <w:spacing w:after="0" w:line="240" w:lineRule="auto"/>
              <w:rPr>
                <w:rFonts w:ascii="Times New Roman" w:hAnsi="Times New Roman" w:cs="Times New Roman"/>
                <w:sz w:val="20"/>
                <w:szCs w:val="20"/>
              </w:rPr>
            </w:pPr>
            <w:r w:rsidRPr="00233C97">
              <w:rPr>
                <w:rFonts w:ascii="Times New Roman" w:hAnsi="Times New Roman" w:cs="Times New Roman"/>
                <w:sz w:val="20"/>
                <w:szCs w:val="20"/>
              </w:rPr>
              <w:t xml:space="preserve">How accessible are populations? </w:t>
            </w:r>
          </w:p>
        </w:tc>
        <w:tc>
          <w:tcPr>
            <w:tcW w:w="1076" w:type="dxa"/>
            <w:vAlign w:val="center"/>
          </w:tcPr>
          <w:p w14:paraId="1C2FF32C" w14:textId="77777777" w:rsidR="002D7080" w:rsidRPr="00233C97" w:rsidRDefault="002D7080" w:rsidP="002E2C37">
            <w:pPr>
              <w:tabs>
                <w:tab w:val="left" w:pos="125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r>
      <w:tr w:rsidR="002D7080" w:rsidRPr="00592486" w14:paraId="4F6DCD1A" w14:textId="77777777" w:rsidTr="002E2C37">
        <w:trPr>
          <w:trHeight w:val="274"/>
        </w:trPr>
        <w:tc>
          <w:tcPr>
            <w:tcW w:w="1195" w:type="dxa"/>
            <w:shd w:val="clear" w:color="auto" w:fill="D9D9D9" w:themeFill="background1" w:themeFillShade="D9"/>
            <w:vAlign w:val="center"/>
          </w:tcPr>
          <w:p w14:paraId="22C590C0" w14:textId="77777777" w:rsidR="002D7080" w:rsidRPr="00233C97" w:rsidRDefault="002D7080" w:rsidP="002E2C37">
            <w:pPr>
              <w:spacing w:after="0" w:line="240" w:lineRule="auto"/>
              <w:jc w:val="center"/>
              <w:rPr>
                <w:rFonts w:ascii="Times New Roman" w:hAnsi="Times New Roman" w:cs="Times New Roman"/>
                <w:sz w:val="20"/>
                <w:szCs w:val="20"/>
              </w:rPr>
            </w:pPr>
            <w:r w:rsidRPr="00233C97">
              <w:rPr>
                <w:rFonts w:ascii="Times New Roman" w:hAnsi="Times New Roman" w:cs="Times New Roman"/>
                <w:sz w:val="20"/>
                <w:szCs w:val="20"/>
              </w:rPr>
              <w:t>MAN3b</w:t>
            </w:r>
          </w:p>
        </w:tc>
        <w:tc>
          <w:tcPr>
            <w:tcW w:w="4387" w:type="dxa"/>
            <w:shd w:val="clear" w:color="auto" w:fill="F2F2F2" w:themeFill="background1" w:themeFillShade="F2"/>
            <w:vAlign w:val="center"/>
          </w:tcPr>
          <w:p w14:paraId="104ECEEC" w14:textId="77777777" w:rsidR="002D7080" w:rsidRPr="00233C97" w:rsidRDefault="002D7080" w:rsidP="002E2C37">
            <w:pPr>
              <w:spacing w:after="0" w:line="240" w:lineRule="auto"/>
              <w:rPr>
                <w:rFonts w:ascii="Times New Roman" w:hAnsi="Times New Roman" w:cs="Times New Roman"/>
                <w:sz w:val="20"/>
                <w:szCs w:val="20"/>
              </w:rPr>
            </w:pPr>
            <w:r w:rsidRPr="00233C97">
              <w:rPr>
                <w:rFonts w:ascii="Times New Roman" w:hAnsi="Times New Roman" w:cs="Times New Roman"/>
                <w:sz w:val="20"/>
                <w:szCs w:val="20"/>
              </w:rPr>
              <w:t>Is detectability critically time-dependent?</w:t>
            </w:r>
          </w:p>
        </w:tc>
        <w:tc>
          <w:tcPr>
            <w:tcW w:w="1076" w:type="dxa"/>
            <w:vAlign w:val="center"/>
          </w:tcPr>
          <w:p w14:paraId="3A64FDEA" w14:textId="77777777" w:rsidR="002D7080" w:rsidRPr="00233C97" w:rsidRDefault="002D7080" w:rsidP="002E2C3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r>
      <w:tr w:rsidR="002D7080" w:rsidRPr="00592486" w14:paraId="144EDAA7" w14:textId="77777777" w:rsidTr="002E2C37">
        <w:trPr>
          <w:trHeight w:val="274"/>
        </w:trPr>
        <w:tc>
          <w:tcPr>
            <w:tcW w:w="1195" w:type="dxa"/>
            <w:shd w:val="clear" w:color="auto" w:fill="D9D9D9" w:themeFill="background1" w:themeFillShade="D9"/>
            <w:vAlign w:val="center"/>
          </w:tcPr>
          <w:p w14:paraId="42624925" w14:textId="77777777" w:rsidR="002D7080" w:rsidRPr="00233C97" w:rsidRDefault="002D7080" w:rsidP="002E2C37">
            <w:pPr>
              <w:spacing w:after="0" w:line="240" w:lineRule="auto"/>
              <w:jc w:val="center"/>
              <w:rPr>
                <w:rFonts w:ascii="Times New Roman" w:hAnsi="Times New Roman" w:cs="Times New Roman"/>
                <w:sz w:val="20"/>
                <w:szCs w:val="20"/>
              </w:rPr>
            </w:pPr>
            <w:r w:rsidRPr="00233C97">
              <w:rPr>
                <w:rFonts w:ascii="Times New Roman" w:hAnsi="Times New Roman" w:cs="Times New Roman"/>
                <w:sz w:val="20"/>
                <w:szCs w:val="20"/>
              </w:rPr>
              <w:t>MAN3c</w:t>
            </w:r>
          </w:p>
        </w:tc>
        <w:tc>
          <w:tcPr>
            <w:tcW w:w="4387" w:type="dxa"/>
            <w:shd w:val="clear" w:color="auto" w:fill="F2F2F2" w:themeFill="background1" w:themeFillShade="F2"/>
            <w:vAlign w:val="center"/>
          </w:tcPr>
          <w:p w14:paraId="4F9CDD18" w14:textId="77777777" w:rsidR="002D7080" w:rsidRPr="00233C97" w:rsidRDefault="002D7080" w:rsidP="002E2C37">
            <w:pPr>
              <w:spacing w:after="0" w:line="240" w:lineRule="auto"/>
              <w:rPr>
                <w:rFonts w:ascii="Times New Roman" w:hAnsi="Times New Roman" w:cs="Times New Roman"/>
                <w:sz w:val="20"/>
                <w:szCs w:val="20"/>
              </w:rPr>
            </w:pPr>
            <w:r w:rsidRPr="00233C97">
              <w:rPr>
                <w:rFonts w:ascii="Times New Roman" w:hAnsi="Times New Roman" w:cs="Times New Roman"/>
                <w:sz w:val="20"/>
                <w:szCs w:val="20"/>
              </w:rPr>
              <w:t>Time to reproduction</w:t>
            </w:r>
          </w:p>
        </w:tc>
        <w:tc>
          <w:tcPr>
            <w:tcW w:w="1076" w:type="dxa"/>
            <w:vAlign w:val="center"/>
          </w:tcPr>
          <w:p w14:paraId="4FDAB497" w14:textId="77777777" w:rsidR="002D7080" w:rsidRPr="00233C97" w:rsidRDefault="002D7080" w:rsidP="002E2C3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r>
      <w:tr w:rsidR="002D7080" w:rsidRPr="00592486" w14:paraId="69A44E17" w14:textId="77777777" w:rsidTr="002E2C37">
        <w:trPr>
          <w:trHeight w:val="280"/>
        </w:trPr>
        <w:tc>
          <w:tcPr>
            <w:tcW w:w="1195" w:type="dxa"/>
            <w:shd w:val="clear" w:color="auto" w:fill="D9D9D9" w:themeFill="background1" w:themeFillShade="D9"/>
            <w:vAlign w:val="center"/>
          </w:tcPr>
          <w:p w14:paraId="3026EB52" w14:textId="77777777" w:rsidR="002D7080" w:rsidRPr="00233C97" w:rsidRDefault="002D7080" w:rsidP="002E2C37">
            <w:pPr>
              <w:spacing w:after="0" w:line="240" w:lineRule="auto"/>
              <w:jc w:val="center"/>
              <w:rPr>
                <w:rFonts w:ascii="Times New Roman" w:hAnsi="Times New Roman" w:cs="Times New Roman"/>
                <w:sz w:val="20"/>
                <w:szCs w:val="20"/>
              </w:rPr>
            </w:pPr>
            <w:r w:rsidRPr="00233C97">
              <w:rPr>
                <w:rFonts w:ascii="Times New Roman" w:hAnsi="Times New Roman" w:cs="Times New Roman"/>
                <w:sz w:val="20"/>
                <w:szCs w:val="20"/>
              </w:rPr>
              <w:t>MAN3d</w:t>
            </w:r>
          </w:p>
        </w:tc>
        <w:tc>
          <w:tcPr>
            <w:tcW w:w="4387" w:type="dxa"/>
            <w:shd w:val="clear" w:color="auto" w:fill="F2F2F2" w:themeFill="background1" w:themeFillShade="F2"/>
            <w:vAlign w:val="center"/>
          </w:tcPr>
          <w:p w14:paraId="601E7A89" w14:textId="77777777" w:rsidR="002D7080" w:rsidRPr="00233C97" w:rsidRDefault="002D7080" w:rsidP="002E2C37">
            <w:pPr>
              <w:spacing w:after="0" w:line="240" w:lineRule="auto"/>
              <w:rPr>
                <w:rFonts w:ascii="Times New Roman" w:hAnsi="Times New Roman" w:cs="Times New Roman"/>
                <w:sz w:val="20"/>
                <w:szCs w:val="20"/>
              </w:rPr>
            </w:pPr>
            <w:r w:rsidRPr="00233C97">
              <w:rPr>
                <w:rFonts w:ascii="Times New Roman" w:hAnsi="Times New Roman" w:cs="Times New Roman"/>
                <w:sz w:val="20"/>
                <w:szCs w:val="20"/>
              </w:rPr>
              <w:t>Propagule persistence</w:t>
            </w:r>
          </w:p>
        </w:tc>
        <w:tc>
          <w:tcPr>
            <w:tcW w:w="1076" w:type="dxa"/>
            <w:vAlign w:val="center"/>
          </w:tcPr>
          <w:p w14:paraId="0C4FBA21" w14:textId="77777777" w:rsidR="002D7080" w:rsidRPr="00233C97" w:rsidRDefault="002D7080" w:rsidP="002E2C3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0</w:t>
            </w:r>
          </w:p>
        </w:tc>
      </w:tr>
      <w:tr w:rsidR="002D7080" w:rsidRPr="00592486" w14:paraId="15D4894A" w14:textId="77777777" w:rsidTr="002E2C37">
        <w:trPr>
          <w:trHeight w:val="248"/>
        </w:trPr>
        <w:tc>
          <w:tcPr>
            <w:tcW w:w="1195" w:type="dxa"/>
            <w:tcBorders>
              <w:top w:val="double" w:sz="4" w:space="0" w:color="auto"/>
            </w:tcBorders>
            <w:shd w:val="clear" w:color="auto" w:fill="D9D9D9" w:themeFill="background1" w:themeFillShade="D9"/>
            <w:vAlign w:val="center"/>
          </w:tcPr>
          <w:p w14:paraId="5F54BAD8" w14:textId="77777777" w:rsidR="002D7080" w:rsidRPr="00233C97" w:rsidRDefault="002D7080" w:rsidP="002E2C37">
            <w:pPr>
              <w:spacing w:after="0" w:line="240" w:lineRule="auto"/>
              <w:jc w:val="center"/>
              <w:rPr>
                <w:rFonts w:ascii="Times New Roman" w:hAnsi="Times New Roman" w:cs="Times New Roman"/>
                <w:b/>
                <w:sz w:val="20"/>
                <w:szCs w:val="20"/>
              </w:rPr>
            </w:pPr>
            <w:r w:rsidRPr="00233C97">
              <w:rPr>
                <w:rFonts w:ascii="Times New Roman" w:hAnsi="Times New Roman" w:cs="Times New Roman"/>
                <w:b/>
                <w:sz w:val="20"/>
                <w:szCs w:val="20"/>
              </w:rPr>
              <w:t>MAN3</w:t>
            </w:r>
          </w:p>
        </w:tc>
        <w:tc>
          <w:tcPr>
            <w:tcW w:w="4387" w:type="dxa"/>
            <w:tcBorders>
              <w:top w:val="double" w:sz="4" w:space="0" w:color="auto"/>
            </w:tcBorders>
            <w:shd w:val="clear" w:color="auto" w:fill="F2F2F2" w:themeFill="background1" w:themeFillShade="F2"/>
            <w:vAlign w:val="center"/>
          </w:tcPr>
          <w:p w14:paraId="5090DF49" w14:textId="77777777" w:rsidR="002D7080" w:rsidRPr="00233C97" w:rsidRDefault="002D7080" w:rsidP="002E2C37">
            <w:pPr>
              <w:spacing w:after="0" w:line="240" w:lineRule="auto"/>
              <w:rPr>
                <w:rFonts w:ascii="Times New Roman" w:hAnsi="Times New Roman" w:cs="Times New Roman"/>
                <w:b/>
                <w:sz w:val="20"/>
                <w:szCs w:val="20"/>
              </w:rPr>
            </w:pPr>
            <w:r w:rsidRPr="00233C97">
              <w:rPr>
                <w:rFonts w:ascii="Times New Roman" w:hAnsi="Times New Roman" w:cs="Times New Roman"/>
                <w:b/>
                <w:sz w:val="20"/>
                <w:szCs w:val="20"/>
              </w:rPr>
              <w:t>SUM</w:t>
            </w:r>
          </w:p>
        </w:tc>
        <w:tc>
          <w:tcPr>
            <w:tcW w:w="1076" w:type="dxa"/>
            <w:tcBorders>
              <w:top w:val="double" w:sz="4" w:space="0" w:color="auto"/>
            </w:tcBorders>
            <w:vAlign w:val="center"/>
          </w:tcPr>
          <w:p w14:paraId="60D2E628" w14:textId="77777777" w:rsidR="002D7080" w:rsidRPr="00233C97" w:rsidRDefault="002D7080" w:rsidP="002E2C3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5</w:t>
            </w:r>
          </w:p>
        </w:tc>
      </w:tr>
    </w:tbl>
    <w:p w14:paraId="15A39FEC" w14:textId="77777777" w:rsidR="002D7080" w:rsidRPr="00233C97" w:rsidRDefault="002D7080" w:rsidP="002D7080">
      <w:pPr>
        <w:spacing w:after="0" w:line="240" w:lineRule="auto"/>
        <w:rPr>
          <w:rFonts w:ascii="Times New Roman" w:hAnsi="Times New Roman" w:cs="Times New Roman"/>
          <w:sz w:val="24"/>
          <w:szCs w:val="24"/>
        </w:rPr>
      </w:pPr>
    </w:p>
    <w:p w14:paraId="413AD183" w14:textId="77777777" w:rsidR="002D7080" w:rsidRPr="00233C97" w:rsidRDefault="002D7080" w:rsidP="002D7080">
      <w:pPr>
        <w:spacing w:after="0" w:line="240" w:lineRule="auto"/>
        <w:rPr>
          <w:rFonts w:ascii="Times New Roman" w:hAnsi="Times New Roman" w:cs="Times New Roman"/>
          <w:sz w:val="24"/>
          <w:szCs w:val="24"/>
        </w:rPr>
      </w:pPr>
    </w:p>
    <w:p w14:paraId="088471F3" w14:textId="77777777" w:rsidR="002D7080" w:rsidRPr="00233C97" w:rsidRDefault="002D7080" w:rsidP="002D7080">
      <w:pPr>
        <w:spacing w:after="0" w:line="240" w:lineRule="auto"/>
        <w:rPr>
          <w:rFonts w:ascii="Times New Roman" w:hAnsi="Times New Roman" w:cs="Times New Roman"/>
          <w:b/>
          <w:sz w:val="24"/>
          <w:szCs w:val="24"/>
        </w:rPr>
      </w:pPr>
    </w:p>
    <w:p w14:paraId="5C142535" w14:textId="77777777" w:rsidR="002D7080" w:rsidRPr="00233C97" w:rsidRDefault="002D7080" w:rsidP="002D7080">
      <w:pPr>
        <w:spacing w:after="0" w:line="240" w:lineRule="auto"/>
        <w:rPr>
          <w:rFonts w:ascii="Times New Roman" w:hAnsi="Times New Roman" w:cs="Times New Roman"/>
          <w:b/>
          <w:sz w:val="24"/>
          <w:szCs w:val="24"/>
        </w:rPr>
      </w:pPr>
    </w:p>
    <w:p w14:paraId="0BE4495C" w14:textId="77777777" w:rsidR="002D7080" w:rsidRPr="00233C97" w:rsidRDefault="002D7080" w:rsidP="002D7080">
      <w:pPr>
        <w:spacing w:after="0" w:line="240" w:lineRule="auto"/>
        <w:rPr>
          <w:rFonts w:ascii="Times New Roman" w:hAnsi="Times New Roman" w:cs="Times New Roman"/>
          <w:b/>
          <w:sz w:val="24"/>
          <w:szCs w:val="24"/>
        </w:rPr>
      </w:pPr>
    </w:p>
    <w:p w14:paraId="4FDEFF80" w14:textId="77777777" w:rsidR="002D7080" w:rsidRPr="00233C97" w:rsidRDefault="002D7080" w:rsidP="002D7080">
      <w:pPr>
        <w:rPr>
          <w:rFonts w:ascii="Times New Roman" w:eastAsia="Times New Roman" w:hAnsi="Times New Roman" w:cs="Times New Roman"/>
          <w:b/>
          <w:sz w:val="20"/>
          <w:szCs w:val="20"/>
          <w:lang w:eastAsia="en-ZA"/>
        </w:rPr>
      </w:pPr>
    </w:p>
    <w:p w14:paraId="38FCAA5E" w14:textId="77777777" w:rsidR="002D7080" w:rsidRPr="00233C97" w:rsidRDefault="002D7080" w:rsidP="002D7080">
      <w:pPr>
        <w:spacing w:after="0" w:line="240" w:lineRule="auto"/>
        <w:jc w:val="both"/>
        <w:rPr>
          <w:rFonts w:ascii="Times New Roman" w:hAnsi="Times New Roman" w:cs="Times New Roman"/>
          <w:sz w:val="20"/>
          <w:szCs w:val="20"/>
        </w:rPr>
      </w:pPr>
      <w:r w:rsidRPr="00233C97">
        <w:rPr>
          <w:rFonts w:ascii="Times New Roman" w:eastAsia="Times New Roman" w:hAnsi="Times New Roman" w:cs="Times New Roman"/>
          <w:b/>
          <w:sz w:val="20"/>
          <w:szCs w:val="20"/>
          <w:lang w:eastAsia="en-ZA"/>
        </w:rPr>
        <w:t>Appendix BAC7</w:t>
      </w:r>
      <w:r w:rsidRPr="00233C97">
        <w:rPr>
          <w:rFonts w:ascii="Times New Roman" w:eastAsia="Times New Roman" w:hAnsi="Times New Roman" w:cs="Times New Roman"/>
          <w:sz w:val="20"/>
          <w:szCs w:val="20"/>
          <w:lang w:eastAsia="en-ZA"/>
        </w:rPr>
        <w:t>: The global n</w:t>
      </w:r>
      <w:r w:rsidRPr="00233C97">
        <w:rPr>
          <w:rFonts w:ascii="Times New Roman" w:hAnsi="Times New Roman" w:cs="Times New Roman"/>
          <w:sz w:val="20"/>
          <w:szCs w:val="20"/>
        </w:rPr>
        <w:t xml:space="preserve">ative range of </w:t>
      </w:r>
      <w:r w:rsidRPr="00233C97">
        <w:rPr>
          <w:rFonts w:ascii="Times New Roman" w:hAnsi="Times New Roman" w:cs="Times New Roman"/>
          <w:i/>
          <w:sz w:val="20"/>
          <w:szCs w:val="20"/>
        </w:rPr>
        <w:t>Faxonius rusticus</w:t>
      </w:r>
      <w:r w:rsidRPr="00233C97">
        <w:rPr>
          <w:rFonts w:ascii="Times New Roman" w:hAnsi="Times New Roman" w:cs="Times New Roman"/>
          <w:sz w:val="20"/>
          <w:szCs w:val="20"/>
        </w:rPr>
        <w:t xml:space="preserve">. Source: CABI, 2022. </w:t>
      </w:r>
      <w:r w:rsidRPr="00233C97">
        <w:rPr>
          <w:rFonts w:ascii="Times New Roman" w:hAnsi="Times New Roman" w:cs="Times New Roman"/>
          <w:i/>
          <w:sz w:val="20"/>
          <w:szCs w:val="20"/>
        </w:rPr>
        <w:t xml:space="preserve">Faxonius rusticus </w:t>
      </w:r>
      <w:r w:rsidRPr="00233C97">
        <w:rPr>
          <w:rFonts w:ascii="Times New Roman" w:hAnsi="Times New Roman" w:cs="Times New Roman"/>
          <w:sz w:val="20"/>
          <w:szCs w:val="20"/>
        </w:rPr>
        <w:t>[original text by Elena Tricarico]. In: Invasive Species Compendium. Wallingford, UK: CAB International. www.cabi.org/isc.</w:t>
      </w:r>
    </w:p>
    <w:p w14:paraId="50209BF5" w14:textId="77777777" w:rsidR="002D7080" w:rsidRPr="00233C97" w:rsidRDefault="002D7080" w:rsidP="002D7080">
      <w:pPr>
        <w:spacing w:after="0" w:line="240" w:lineRule="auto"/>
        <w:jc w:val="center"/>
        <w:rPr>
          <w:rFonts w:ascii="Times New Roman" w:hAnsi="Times New Roman" w:cs="Times New Roman"/>
          <w:sz w:val="20"/>
          <w:szCs w:val="20"/>
        </w:rPr>
      </w:pPr>
      <w:r>
        <w:rPr>
          <w:rFonts w:ascii="Times New Roman" w:hAnsi="Times New Roman" w:cs="Times New Roman"/>
          <w:noProof/>
          <w:sz w:val="20"/>
          <w:szCs w:val="20"/>
          <w:lang w:eastAsia="en-ZA"/>
        </w:rPr>
        <w:drawing>
          <wp:inline distT="0" distB="0" distL="0" distR="0" wp14:anchorId="68CA544A" wp14:editId="35107ADE">
            <wp:extent cx="4590415" cy="2444750"/>
            <wp:effectExtent l="0" t="0" r="635" b="0"/>
            <wp:docPr id="799627916" name="Picture 3"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627916" name="Picture 3" descr="A map of the world&#10;&#10;Description automatically generated"/>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590415" cy="2444750"/>
                    </a:xfrm>
                    <a:prstGeom prst="rect">
                      <a:avLst/>
                    </a:prstGeom>
                    <a:noFill/>
                  </pic:spPr>
                </pic:pic>
              </a:graphicData>
            </a:graphic>
          </wp:inline>
        </w:drawing>
      </w:r>
    </w:p>
    <w:p w14:paraId="0E0BEE9B" w14:textId="77777777" w:rsidR="002D7080" w:rsidRPr="00233C97" w:rsidRDefault="002D7080" w:rsidP="002D7080">
      <w:pPr>
        <w:spacing w:after="0" w:line="240" w:lineRule="auto"/>
        <w:rPr>
          <w:rFonts w:ascii="Times New Roman" w:hAnsi="Times New Roman" w:cs="Times New Roman"/>
          <w:sz w:val="20"/>
          <w:szCs w:val="20"/>
        </w:rPr>
      </w:pPr>
    </w:p>
    <w:p w14:paraId="7ACD79A9" w14:textId="77777777" w:rsidR="002D7080" w:rsidRPr="00233C97" w:rsidRDefault="002D7080" w:rsidP="002D7080">
      <w:pPr>
        <w:spacing w:after="0" w:line="240" w:lineRule="auto"/>
        <w:rPr>
          <w:rFonts w:ascii="Times New Roman" w:eastAsia="Times New Roman" w:hAnsi="Times New Roman" w:cs="Times New Roman"/>
          <w:b/>
          <w:sz w:val="20"/>
          <w:szCs w:val="20"/>
          <w:lang w:eastAsia="en-ZA"/>
        </w:rPr>
      </w:pPr>
    </w:p>
    <w:p w14:paraId="37C141EE" w14:textId="77777777" w:rsidR="002D7080" w:rsidRPr="00233C97" w:rsidRDefault="002D7080" w:rsidP="002D7080">
      <w:pPr>
        <w:spacing w:after="0" w:line="240" w:lineRule="auto"/>
        <w:jc w:val="both"/>
        <w:rPr>
          <w:rFonts w:ascii="Times New Roman" w:hAnsi="Times New Roman" w:cs="Times New Roman"/>
          <w:sz w:val="20"/>
          <w:szCs w:val="20"/>
        </w:rPr>
      </w:pPr>
      <w:r w:rsidRPr="00233C97">
        <w:rPr>
          <w:rFonts w:ascii="Times New Roman" w:eastAsia="Times New Roman" w:hAnsi="Times New Roman" w:cs="Times New Roman"/>
          <w:b/>
          <w:sz w:val="20"/>
          <w:szCs w:val="20"/>
          <w:lang w:eastAsia="en-ZA"/>
        </w:rPr>
        <w:t>Appendix BAC8(a)</w:t>
      </w:r>
      <w:r w:rsidRPr="00233C97">
        <w:rPr>
          <w:rFonts w:ascii="Times New Roman" w:eastAsia="Times New Roman" w:hAnsi="Times New Roman" w:cs="Times New Roman"/>
          <w:sz w:val="20"/>
          <w:szCs w:val="20"/>
          <w:lang w:eastAsia="en-ZA"/>
        </w:rPr>
        <w:t xml:space="preserve">: The global alien range of </w:t>
      </w:r>
      <w:r w:rsidRPr="00233C97">
        <w:rPr>
          <w:rFonts w:ascii="Times New Roman" w:eastAsia="Times New Roman" w:hAnsi="Times New Roman" w:cs="Times New Roman"/>
          <w:i/>
          <w:iCs/>
          <w:sz w:val="20"/>
          <w:szCs w:val="20"/>
          <w:lang w:eastAsia="en-ZA"/>
        </w:rPr>
        <w:t>Faxonius rusticus</w:t>
      </w:r>
      <w:r w:rsidRPr="00233C97">
        <w:rPr>
          <w:rFonts w:ascii="Times New Roman" w:eastAsia="Times New Roman" w:hAnsi="Times New Roman" w:cs="Times New Roman"/>
          <w:sz w:val="20"/>
          <w:szCs w:val="20"/>
          <w:lang w:eastAsia="en-ZA"/>
        </w:rPr>
        <w:t xml:space="preserve">. Source: CABI, 2021. </w:t>
      </w:r>
      <w:r w:rsidRPr="00233C97">
        <w:rPr>
          <w:rFonts w:ascii="Times New Roman" w:eastAsia="Times New Roman" w:hAnsi="Times New Roman" w:cs="Times New Roman"/>
          <w:i/>
          <w:sz w:val="20"/>
          <w:szCs w:val="20"/>
          <w:lang w:eastAsia="en-ZA"/>
        </w:rPr>
        <w:t xml:space="preserve">Faxonius rusticus </w:t>
      </w:r>
      <w:r w:rsidRPr="00233C97">
        <w:rPr>
          <w:rFonts w:ascii="Times New Roman" w:eastAsia="Times New Roman" w:hAnsi="Times New Roman" w:cs="Times New Roman"/>
          <w:sz w:val="20"/>
          <w:szCs w:val="20"/>
          <w:lang w:eastAsia="en-ZA"/>
        </w:rPr>
        <w:t>[original text by Elena Tricarico]. In: Invasive Species Compendium. Wallingford, UK: CAB International. www.cabi.org/isc.</w:t>
      </w:r>
    </w:p>
    <w:p w14:paraId="0C0B12EB" w14:textId="77777777" w:rsidR="002D7080" w:rsidRPr="00233C97" w:rsidRDefault="002D7080" w:rsidP="002D7080">
      <w:pPr>
        <w:spacing w:after="0" w:line="240" w:lineRule="auto"/>
        <w:jc w:val="center"/>
        <w:rPr>
          <w:rFonts w:ascii="Times New Roman" w:hAnsi="Times New Roman" w:cs="Times New Roman"/>
        </w:rPr>
      </w:pPr>
      <w:r>
        <w:rPr>
          <w:rFonts w:ascii="Times New Roman" w:hAnsi="Times New Roman" w:cs="Times New Roman"/>
          <w:noProof/>
          <w:lang w:eastAsia="en-ZA"/>
        </w:rPr>
        <w:lastRenderedPageBreak/>
        <w:drawing>
          <wp:inline distT="0" distB="0" distL="0" distR="0" wp14:anchorId="54466446" wp14:editId="2B81B22A">
            <wp:extent cx="4615180" cy="2456815"/>
            <wp:effectExtent l="0" t="0" r="0" b="635"/>
            <wp:docPr id="1108252785" name="Picture 4"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252785" name="Picture 4" descr="A map of the world&#10;&#10;Description automatically generated"/>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615180" cy="2456815"/>
                    </a:xfrm>
                    <a:prstGeom prst="rect">
                      <a:avLst/>
                    </a:prstGeom>
                    <a:noFill/>
                  </pic:spPr>
                </pic:pic>
              </a:graphicData>
            </a:graphic>
          </wp:inline>
        </w:drawing>
      </w:r>
    </w:p>
    <w:p w14:paraId="1FE1717A" w14:textId="77777777" w:rsidR="002D7080" w:rsidRPr="00233C97" w:rsidRDefault="002D7080" w:rsidP="002D7080">
      <w:pPr>
        <w:spacing w:after="0" w:line="240" w:lineRule="auto"/>
        <w:rPr>
          <w:rFonts w:ascii="Times New Roman" w:hAnsi="Times New Roman" w:cs="Times New Roman"/>
          <w:b/>
          <w:sz w:val="24"/>
          <w:szCs w:val="24"/>
        </w:rPr>
      </w:pPr>
      <w:r w:rsidRPr="00233C97">
        <w:rPr>
          <w:rFonts w:ascii="Times New Roman" w:hAnsi="Times New Roman" w:cs="Times New Roman"/>
          <w:sz w:val="20"/>
          <w:szCs w:val="20"/>
        </w:rPr>
        <w:t xml:space="preserve"> </w:t>
      </w:r>
    </w:p>
    <w:p w14:paraId="26CB2053" w14:textId="77777777" w:rsidR="002D7080" w:rsidRDefault="002D7080" w:rsidP="002D7080">
      <w:pPr>
        <w:rPr>
          <w:rFonts w:ascii="Times New Roman" w:eastAsia="Calibri" w:hAnsi="Times New Roman" w:cs="Times New Roman"/>
          <w:b/>
          <w:bCs/>
          <w:sz w:val="24"/>
          <w:szCs w:val="24"/>
        </w:rPr>
      </w:pPr>
      <w:r>
        <w:rPr>
          <w:rFonts w:ascii="Times New Roman" w:eastAsia="Calibri" w:hAnsi="Times New Roman" w:cs="Times New Roman"/>
          <w:b/>
          <w:bCs/>
          <w:sz w:val="24"/>
          <w:szCs w:val="24"/>
        </w:rPr>
        <w:br w:type="page"/>
      </w:r>
    </w:p>
    <w:p w14:paraId="59A3E32C" w14:textId="6CC559A2" w:rsidR="002D7080" w:rsidRPr="005A2F10" w:rsidRDefault="008E030D" w:rsidP="002D7080">
      <w:pPr>
        <w:pStyle w:val="Heading2"/>
        <w:rPr>
          <w:rFonts w:ascii="Times New Roman" w:hAnsi="Times New Roman" w:cs="Times New Roman"/>
          <w:color w:val="auto"/>
          <w:sz w:val="28"/>
          <w:szCs w:val="28"/>
        </w:rPr>
      </w:pPr>
      <w:r>
        <w:rPr>
          <w:rFonts w:ascii="Times New Roman" w:eastAsia="Calibri" w:hAnsi="Times New Roman" w:cs="Times New Roman"/>
          <w:color w:val="auto"/>
          <w:sz w:val="28"/>
          <w:szCs w:val="28"/>
        </w:rPr>
        <w:lastRenderedPageBreak/>
        <w:t>1</w:t>
      </w:r>
      <w:r w:rsidR="002D7080" w:rsidRPr="005A2F10">
        <w:rPr>
          <w:rFonts w:ascii="Times New Roman" w:eastAsia="Calibri" w:hAnsi="Times New Roman" w:cs="Times New Roman"/>
          <w:color w:val="auto"/>
          <w:sz w:val="28"/>
          <w:szCs w:val="28"/>
        </w:rPr>
        <w:t>.9 Risk analysis report for virile crayfish (</w:t>
      </w:r>
      <w:r w:rsidR="002D7080" w:rsidRPr="005A2F10">
        <w:rPr>
          <w:rFonts w:ascii="Times New Roman" w:eastAsia="Calibri" w:hAnsi="Times New Roman" w:cs="Times New Roman"/>
          <w:i/>
          <w:iCs/>
          <w:color w:val="auto"/>
          <w:sz w:val="28"/>
          <w:szCs w:val="28"/>
        </w:rPr>
        <w:t>Faxonius virilis</w:t>
      </w:r>
      <w:r w:rsidR="002D7080" w:rsidRPr="005A2F10">
        <w:rPr>
          <w:rFonts w:ascii="Times New Roman" w:eastAsia="Calibri" w:hAnsi="Times New Roman" w:cs="Times New Roman"/>
          <w:color w:val="auto"/>
          <w:sz w:val="28"/>
          <w:szCs w:val="28"/>
        </w:rPr>
        <w:t>)</w:t>
      </w:r>
    </w:p>
    <w:p w14:paraId="7F4EF2B6" w14:textId="77777777" w:rsidR="002D7080" w:rsidRPr="004D1E6F" w:rsidRDefault="002D7080" w:rsidP="002D7080">
      <w:pPr>
        <w:spacing w:after="0" w:line="240" w:lineRule="auto"/>
        <w:rPr>
          <w:rFonts w:ascii="Times New Roman" w:eastAsia="Calibri" w:hAnsi="Times New Roman" w:cs="Times New Roman"/>
          <w:sz w:val="20"/>
          <w:szCs w:val="20"/>
        </w:rPr>
      </w:pPr>
    </w:p>
    <w:tbl>
      <w:tblPr>
        <w:tblStyle w:val="TableGrid17"/>
        <w:tblW w:w="0" w:type="auto"/>
        <w:tblLook w:val="04A0" w:firstRow="1" w:lastRow="0" w:firstColumn="1" w:lastColumn="0" w:noHBand="0" w:noVBand="1"/>
      </w:tblPr>
      <w:tblGrid>
        <w:gridCol w:w="4882"/>
        <w:gridCol w:w="2042"/>
        <w:gridCol w:w="2092"/>
      </w:tblGrid>
      <w:tr w:rsidR="002D7080" w:rsidRPr="004D1E6F" w14:paraId="75E4BA3A" w14:textId="77777777" w:rsidTr="002E2C37">
        <w:tc>
          <w:tcPr>
            <w:tcW w:w="4518" w:type="dxa"/>
          </w:tcPr>
          <w:p w14:paraId="12C22742"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i/>
                <w:sz w:val="20"/>
                <w:szCs w:val="20"/>
              </w:rPr>
              <w:t>Taxon</w:t>
            </w:r>
            <w:r w:rsidRPr="004D1E6F">
              <w:rPr>
                <w:rFonts w:ascii="Times New Roman" w:eastAsia="Calibri" w:hAnsi="Times New Roman" w:cs="Times New Roman"/>
                <w:b/>
                <w:sz w:val="20"/>
                <w:szCs w:val="20"/>
              </w:rPr>
              <w:t xml:space="preserve">: </w:t>
            </w:r>
            <w:r w:rsidRPr="004D1E6F">
              <w:rPr>
                <w:rFonts w:ascii="Times New Roman" w:eastAsia="Calibri" w:hAnsi="Times New Roman" w:cs="Times New Roman"/>
                <w:i/>
                <w:iCs/>
                <w:sz w:val="20"/>
                <w:szCs w:val="20"/>
              </w:rPr>
              <w:t xml:space="preserve">Faxonius virilis </w:t>
            </w:r>
            <w:r w:rsidRPr="004D1E6F">
              <w:rPr>
                <w:rFonts w:ascii="Times New Roman" w:eastAsia="Calibri" w:hAnsi="Times New Roman" w:cs="Times New Roman"/>
                <w:color w:val="000000"/>
                <w:sz w:val="20"/>
                <w:szCs w:val="20"/>
                <w:shd w:val="clear" w:color="auto" w:fill="FFFFFF"/>
              </w:rPr>
              <w:t>(Hagen, 1870) </w:t>
            </w:r>
          </w:p>
        </w:tc>
        <w:tc>
          <w:tcPr>
            <w:tcW w:w="4724" w:type="dxa"/>
            <w:gridSpan w:val="2"/>
          </w:tcPr>
          <w:p w14:paraId="3D68BB42"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i/>
                <w:sz w:val="20"/>
                <w:szCs w:val="20"/>
              </w:rPr>
              <w:t>Area</w:t>
            </w:r>
            <w:r w:rsidRPr="004D1E6F">
              <w:rPr>
                <w:rFonts w:ascii="Times New Roman" w:eastAsia="Calibri" w:hAnsi="Times New Roman" w:cs="Times New Roman"/>
                <w:b/>
                <w:sz w:val="20"/>
                <w:szCs w:val="20"/>
              </w:rPr>
              <w:t xml:space="preserve">: </w:t>
            </w:r>
            <w:r w:rsidRPr="004D1E6F">
              <w:rPr>
                <w:rFonts w:ascii="Times New Roman" w:eastAsia="Calibri" w:hAnsi="Times New Roman" w:cs="Times New Roman"/>
                <w:sz w:val="20"/>
                <w:szCs w:val="20"/>
              </w:rPr>
              <w:t>South Africa</w:t>
            </w:r>
          </w:p>
        </w:tc>
      </w:tr>
      <w:tr w:rsidR="002D7080" w:rsidRPr="004D1E6F" w14:paraId="2A533EC7" w14:textId="77777777" w:rsidTr="002E2C37">
        <w:trPr>
          <w:trHeight w:val="3806"/>
        </w:trPr>
        <w:tc>
          <w:tcPr>
            <w:tcW w:w="4518" w:type="dxa"/>
          </w:tcPr>
          <w:p w14:paraId="62C92872" w14:textId="77777777" w:rsidR="002D7080" w:rsidRPr="004D1E6F" w:rsidRDefault="002D7080" w:rsidP="002E2C37">
            <w:pPr>
              <w:rPr>
                <w:rFonts w:ascii="Times New Roman" w:eastAsia="Calibri" w:hAnsi="Times New Roman" w:cs="Times New Roman"/>
                <w:b/>
                <w:i/>
                <w:sz w:val="20"/>
                <w:szCs w:val="20"/>
              </w:rPr>
            </w:pPr>
            <w:r w:rsidRPr="004D1E6F">
              <w:rPr>
                <w:rFonts w:ascii="Times New Roman" w:eastAsia="Calibri" w:hAnsi="Times New Roman" w:cs="Times New Roman"/>
                <w:b/>
                <w:sz w:val="20"/>
                <w:szCs w:val="20"/>
              </w:rPr>
              <w:t xml:space="preserve">Picture of </w:t>
            </w:r>
            <w:r w:rsidRPr="004D1E6F">
              <w:rPr>
                <w:rFonts w:ascii="Times New Roman" w:eastAsia="Calibri" w:hAnsi="Times New Roman" w:cs="Times New Roman"/>
                <w:b/>
                <w:i/>
                <w:sz w:val="20"/>
                <w:szCs w:val="20"/>
              </w:rPr>
              <w:t>Taxon</w:t>
            </w:r>
          </w:p>
          <w:p w14:paraId="5A219479" w14:textId="77777777" w:rsidR="002D7080" w:rsidRPr="004D1E6F" w:rsidRDefault="002D7080" w:rsidP="002E2C37">
            <w:pPr>
              <w:rPr>
                <w:rFonts w:ascii="Times New Roman" w:eastAsia="Calibri" w:hAnsi="Times New Roman" w:cs="Times New Roman"/>
                <w:b/>
                <w:i/>
                <w:sz w:val="20"/>
                <w:szCs w:val="20"/>
              </w:rPr>
            </w:pPr>
          </w:p>
          <w:p w14:paraId="5549D7D9" w14:textId="77777777" w:rsidR="002D7080" w:rsidRPr="004D1E6F" w:rsidRDefault="002D7080" w:rsidP="002E2C37">
            <w:pPr>
              <w:rPr>
                <w:rFonts w:ascii="Times New Roman" w:eastAsia="Calibri" w:hAnsi="Times New Roman" w:cs="Times New Roman"/>
                <w:b/>
                <w:sz w:val="20"/>
                <w:szCs w:val="20"/>
              </w:rPr>
            </w:pPr>
          </w:p>
          <w:p w14:paraId="0CEA7D45" w14:textId="77777777" w:rsidR="002D7080" w:rsidRPr="004D1E6F" w:rsidRDefault="002D7080" w:rsidP="002E2C37">
            <w:pPr>
              <w:rPr>
                <w:rFonts w:ascii="Times New Roman" w:eastAsia="Calibri" w:hAnsi="Times New Roman" w:cs="Times New Roman"/>
                <w:sz w:val="20"/>
                <w:szCs w:val="20"/>
              </w:rPr>
            </w:pPr>
            <w:r>
              <w:rPr>
                <w:rFonts w:ascii="Times New Roman" w:eastAsia="Calibri" w:hAnsi="Times New Roman" w:cs="Times New Roman"/>
                <w:noProof/>
                <w:sz w:val="20"/>
                <w:szCs w:val="20"/>
                <w:lang w:eastAsia="en-ZA"/>
              </w:rPr>
              <w:drawing>
                <wp:inline distT="0" distB="0" distL="0" distR="0" wp14:anchorId="299CBBD8" wp14:editId="7CDF04FD">
                  <wp:extent cx="3048000" cy="1371600"/>
                  <wp:effectExtent l="0" t="0" r="0" b="0"/>
                  <wp:docPr id="35559670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048000" cy="1371600"/>
                          </a:xfrm>
                          <a:prstGeom prst="rect">
                            <a:avLst/>
                          </a:prstGeom>
                          <a:noFill/>
                        </pic:spPr>
                      </pic:pic>
                    </a:graphicData>
                  </a:graphic>
                </wp:inline>
              </w:drawing>
            </w:r>
          </w:p>
          <w:p w14:paraId="1AD486F3" w14:textId="77777777" w:rsidR="002D7080" w:rsidRPr="004D1E6F" w:rsidRDefault="002D7080" w:rsidP="002E2C37">
            <w:pPr>
              <w:rPr>
                <w:rFonts w:ascii="Times New Roman" w:eastAsia="Calibri" w:hAnsi="Times New Roman" w:cs="Times New Roman"/>
                <w:sz w:val="20"/>
                <w:szCs w:val="20"/>
              </w:rPr>
            </w:pPr>
          </w:p>
          <w:p w14:paraId="6649EBAC" w14:textId="77777777" w:rsidR="002D7080" w:rsidRPr="004D1E6F" w:rsidRDefault="002D7080" w:rsidP="002E2C37">
            <w:pPr>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Ahern et al. 2008.</w:t>
            </w:r>
          </w:p>
        </w:tc>
        <w:tc>
          <w:tcPr>
            <w:tcW w:w="4724" w:type="dxa"/>
            <w:gridSpan w:val="2"/>
          </w:tcPr>
          <w:p w14:paraId="3CE305B1"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b/>
                <w:sz w:val="20"/>
                <w:szCs w:val="20"/>
              </w:rPr>
              <w:t>Alien distribution map</w:t>
            </w:r>
          </w:p>
          <w:p w14:paraId="6C5E39D4" w14:textId="77777777" w:rsidR="002D7080" w:rsidRPr="004D1E6F" w:rsidRDefault="002D7080" w:rsidP="002E2C37">
            <w:pPr>
              <w:rPr>
                <w:rFonts w:ascii="Times New Roman" w:eastAsia="Calibri" w:hAnsi="Times New Roman" w:cs="Times New Roman"/>
                <w:b/>
                <w:sz w:val="20"/>
                <w:szCs w:val="20"/>
              </w:rPr>
            </w:pPr>
          </w:p>
          <w:p w14:paraId="75DD74BF" w14:textId="77777777" w:rsidR="002D7080" w:rsidRPr="004D1E6F" w:rsidRDefault="002D7080" w:rsidP="002E2C37">
            <w:pPr>
              <w:rPr>
                <w:rFonts w:ascii="Times New Roman" w:eastAsia="Calibri" w:hAnsi="Times New Roman" w:cs="Times New Roman"/>
                <w:b/>
                <w:sz w:val="20"/>
                <w:szCs w:val="20"/>
              </w:rPr>
            </w:pPr>
            <w:r>
              <w:rPr>
                <w:rFonts w:ascii="Times New Roman" w:eastAsia="Calibri" w:hAnsi="Times New Roman" w:cs="Times New Roman"/>
                <w:b/>
                <w:noProof/>
                <w:sz w:val="20"/>
                <w:szCs w:val="20"/>
                <w:lang w:eastAsia="en-ZA"/>
              </w:rPr>
              <w:drawing>
                <wp:inline distT="0" distB="0" distL="0" distR="0" wp14:anchorId="12CF4E9B" wp14:editId="36074AFA">
                  <wp:extent cx="2554605" cy="1335405"/>
                  <wp:effectExtent l="0" t="0" r="0" b="0"/>
                  <wp:docPr id="4106792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554605" cy="1335405"/>
                          </a:xfrm>
                          <a:prstGeom prst="rect">
                            <a:avLst/>
                          </a:prstGeom>
                          <a:noFill/>
                        </pic:spPr>
                      </pic:pic>
                    </a:graphicData>
                  </a:graphic>
                </wp:inline>
              </w:drawing>
            </w:r>
          </w:p>
          <w:p w14:paraId="4BD4B19B" w14:textId="77777777" w:rsidR="002D7080" w:rsidRDefault="002D7080" w:rsidP="002E2C37">
            <w:pPr>
              <w:rPr>
                <w:rFonts w:ascii="Times New Roman" w:eastAsia="Calibri" w:hAnsi="Times New Roman" w:cs="Times New Roman"/>
                <w:sz w:val="20"/>
                <w:szCs w:val="20"/>
              </w:rPr>
            </w:pPr>
          </w:p>
          <w:p w14:paraId="39AE68A4"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sz w:val="20"/>
                <w:szCs w:val="20"/>
              </w:rPr>
              <w:t xml:space="preserve">Sourced from CABI (2019): </w:t>
            </w:r>
            <w:hyperlink w:history="1">
              <w:r w:rsidRPr="004D1E6F">
                <w:rPr>
                  <w:rFonts w:ascii="Times New Roman" w:eastAsia="Calibri" w:hAnsi="Times New Roman" w:cs="Times New Roman"/>
                  <w:color w:val="0563C1"/>
                  <w:sz w:val="20"/>
                  <w:szCs w:val="20"/>
                  <w:u w:val="single"/>
                </w:rPr>
                <w:t>https://www.cabi.org/ISC/datasheet/72034</w:t>
              </w:r>
            </w:hyperlink>
            <w:r w:rsidRPr="004D1E6F">
              <w:rPr>
                <w:rFonts w:ascii="Times New Roman" w:eastAsia="Calibri" w:hAnsi="Times New Roman" w:cs="Times New Roman"/>
                <w:b/>
                <w:sz w:val="20"/>
                <w:szCs w:val="20"/>
              </w:rPr>
              <w:t xml:space="preserve">  </w:t>
            </w:r>
          </w:p>
          <w:p w14:paraId="72F1338B" w14:textId="77777777" w:rsidR="002D7080" w:rsidRPr="004D1E6F" w:rsidRDefault="002D7080" w:rsidP="002E2C37">
            <w:pPr>
              <w:rPr>
                <w:rFonts w:ascii="Times New Roman" w:eastAsia="Calibri" w:hAnsi="Times New Roman" w:cs="Times New Roman"/>
                <w:b/>
                <w:sz w:val="20"/>
                <w:szCs w:val="20"/>
              </w:rPr>
            </w:pPr>
          </w:p>
        </w:tc>
      </w:tr>
      <w:tr w:rsidR="002D7080" w:rsidRPr="004D1E6F" w14:paraId="0393F404" w14:textId="77777777" w:rsidTr="002E2C37">
        <w:trPr>
          <w:trHeight w:val="3050"/>
        </w:trPr>
        <w:tc>
          <w:tcPr>
            <w:tcW w:w="6781" w:type="dxa"/>
            <w:gridSpan w:val="2"/>
          </w:tcPr>
          <w:p w14:paraId="569C25B1"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Risk Assessment summary:</w:t>
            </w:r>
          </w:p>
          <w:p w14:paraId="3F5EE97E" w14:textId="77777777" w:rsidR="002D7080" w:rsidRPr="004D1E6F" w:rsidRDefault="002D7080" w:rsidP="002E2C37">
            <w:pPr>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The</w:t>
            </w:r>
            <w:r>
              <w:rPr>
                <w:rFonts w:ascii="Times New Roman" w:eastAsia="Calibri" w:hAnsi="Times New Roman" w:cs="Times New Roman"/>
                <w:sz w:val="20"/>
                <w:szCs w:val="20"/>
              </w:rPr>
              <w:t xml:space="preserve"> </w:t>
            </w:r>
            <w:r w:rsidRPr="004D1E6F">
              <w:rPr>
                <w:rFonts w:ascii="Times New Roman" w:eastAsia="Calibri" w:hAnsi="Times New Roman" w:cs="Times New Roman"/>
                <w:sz w:val="20"/>
                <w:szCs w:val="20"/>
              </w:rPr>
              <w:t>Virile crayfish</w:t>
            </w:r>
            <w:r w:rsidRPr="004D1E6F">
              <w:rPr>
                <w:rFonts w:ascii="Times New Roman" w:eastAsia="Calibri" w:hAnsi="Times New Roman" w:cs="Times New Roman"/>
                <w:i/>
                <w:sz w:val="20"/>
                <w:szCs w:val="20"/>
              </w:rPr>
              <w:t xml:space="preserve"> </w:t>
            </w:r>
            <w:r w:rsidRPr="004D1E6F">
              <w:rPr>
                <w:rFonts w:ascii="Times New Roman" w:eastAsia="Calibri" w:hAnsi="Times New Roman" w:cs="Times New Roman"/>
                <w:sz w:val="20"/>
                <w:szCs w:val="20"/>
              </w:rPr>
              <w:t>(</w:t>
            </w:r>
            <w:r w:rsidRPr="004D1E6F">
              <w:rPr>
                <w:rFonts w:ascii="Times New Roman" w:eastAsia="Calibri" w:hAnsi="Times New Roman" w:cs="Times New Roman"/>
                <w:i/>
                <w:sz w:val="20"/>
                <w:szCs w:val="20"/>
              </w:rPr>
              <w:t>Faxonius virilis</w:t>
            </w:r>
            <w:r w:rsidRPr="004D1E6F">
              <w:rPr>
                <w:rFonts w:ascii="Times New Roman" w:eastAsia="Calibri" w:hAnsi="Times New Roman" w:cs="Times New Roman"/>
                <w:sz w:val="20"/>
                <w:szCs w:val="20"/>
              </w:rPr>
              <w:t xml:space="preserve">) </w:t>
            </w:r>
            <w:r>
              <w:rPr>
                <w:rFonts w:ascii="Times New Roman" w:eastAsia="Calibri" w:hAnsi="Times New Roman" w:cs="Times New Roman"/>
                <w:sz w:val="20"/>
                <w:szCs w:val="20"/>
              </w:rPr>
              <w:t xml:space="preserve">has been widely introduced outside its native in </w:t>
            </w:r>
            <w:r w:rsidRPr="004D1E6F">
              <w:rPr>
                <w:rFonts w:ascii="Times New Roman" w:eastAsia="Calibri" w:hAnsi="Times New Roman" w:cs="Times New Roman"/>
                <w:sz w:val="20"/>
                <w:szCs w:val="20"/>
              </w:rPr>
              <w:t>North America</w:t>
            </w:r>
            <w:r>
              <w:rPr>
                <w:rFonts w:ascii="Times New Roman" w:eastAsia="Calibri" w:hAnsi="Times New Roman" w:cs="Times New Roman"/>
                <w:sz w:val="20"/>
                <w:szCs w:val="20"/>
              </w:rPr>
              <w:t xml:space="preserve">. It has also been introduced to several countries in Europe. </w:t>
            </w:r>
            <w:r w:rsidRPr="006036FA">
              <w:rPr>
                <w:rFonts w:ascii="Times New Roman" w:hAnsi="Times New Roman" w:cs="Times New Roman"/>
                <w:sz w:val="20"/>
                <w:szCs w:val="20"/>
              </w:rPr>
              <w:t xml:space="preserve">There are no know populations of </w:t>
            </w:r>
            <w:r w:rsidRPr="006036FA">
              <w:rPr>
                <w:rFonts w:ascii="Times New Roman" w:hAnsi="Times New Roman" w:cs="Times New Roman"/>
                <w:i/>
                <w:iCs/>
                <w:sz w:val="20"/>
                <w:szCs w:val="20"/>
              </w:rPr>
              <w:t xml:space="preserve">F. </w:t>
            </w:r>
            <w:r>
              <w:rPr>
                <w:rFonts w:ascii="Times New Roman" w:hAnsi="Times New Roman" w:cs="Times New Roman"/>
                <w:i/>
                <w:iCs/>
                <w:sz w:val="20"/>
                <w:szCs w:val="20"/>
              </w:rPr>
              <w:t xml:space="preserve">virilis </w:t>
            </w:r>
            <w:r w:rsidRPr="006036FA">
              <w:rPr>
                <w:rFonts w:ascii="Times New Roman" w:hAnsi="Times New Roman" w:cs="Times New Roman"/>
                <w:sz w:val="20"/>
                <w:szCs w:val="20"/>
              </w:rPr>
              <w:t>in South Africa but there is anecdotal evidence that it is present in the ornamental trade and this needs to be verified. There are no known populations in neighbouring countries, therefore via unaided pathways is unlikely.</w:t>
            </w:r>
            <w:r>
              <w:rPr>
                <w:rFonts w:ascii="Times New Roman" w:hAnsi="Times New Roman" w:cs="Times New Roman"/>
                <w:sz w:val="20"/>
                <w:szCs w:val="20"/>
              </w:rPr>
              <w:t xml:space="preserve"> </w:t>
            </w:r>
            <w:r w:rsidRPr="006036FA">
              <w:rPr>
                <w:rFonts w:ascii="Times New Roman" w:hAnsi="Times New Roman" w:cs="Times New Roman"/>
                <w:sz w:val="20"/>
                <w:szCs w:val="20"/>
              </w:rPr>
              <w:t xml:space="preserve">The illegal pet trade industry remains a concern because </w:t>
            </w:r>
            <w:r>
              <w:rPr>
                <w:rFonts w:ascii="Times New Roman" w:hAnsi="Times New Roman" w:cs="Times New Roman"/>
                <w:i/>
                <w:iCs/>
                <w:sz w:val="20"/>
                <w:szCs w:val="20"/>
              </w:rPr>
              <w:t xml:space="preserve">F. virilis </w:t>
            </w:r>
            <w:r w:rsidRPr="006036FA">
              <w:rPr>
                <w:rFonts w:ascii="Times New Roman" w:hAnsi="Times New Roman" w:cs="Times New Roman"/>
                <w:sz w:val="20"/>
                <w:szCs w:val="20"/>
              </w:rPr>
              <w:t>may be moved around by humans and there is a high risk of release of unwanted pets</w:t>
            </w:r>
            <w:r>
              <w:rPr>
                <w:rFonts w:ascii="Times New Roman" w:hAnsi="Times New Roman" w:cs="Times New Roman"/>
                <w:sz w:val="20"/>
                <w:szCs w:val="20"/>
              </w:rPr>
              <w:t xml:space="preserve">. </w:t>
            </w:r>
            <w:r w:rsidRPr="00FE565B">
              <w:rPr>
                <w:rFonts w:ascii="Times New Roman" w:eastAsia="Calibri" w:hAnsi="Times New Roman" w:cs="Times New Roman"/>
                <w:i/>
                <w:iCs/>
                <w:sz w:val="20"/>
                <w:szCs w:val="20"/>
              </w:rPr>
              <w:t>Faxonius virilis</w:t>
            </w:r>
            <w:r w:rsidRPr="00C85846">
              <w:rPr>
                <w:rFonts w:ascii="Times New Roman" w:eastAsia="Calibri" w:hAnsi="Times New Roman" w:cs="Times New Roman"/>
                <w:sz w:val="20"/>
                <w:szCs w:val="20"/>
              </w:rPr>
              <w:t xml:space="preserve"> has being implicated in the decline, displacement and local extirpation of native macroinvertebrates, crayfishes, snails, frogs and fish in</w:t>
            </w:r>
            <w:r>
              <w:rPr>
                <w:rFonts w:ascii="Times New Roman" w:eastAsia="Calibri" w:hAnsi="Times New Roman" w:cs="Times New Roman"/>
                <w:sz w:val="20"/>
                <w:szCs w:val="20"/>
              </w:rPr>
              <w:t xml:space="preserve"> its introduced range. </w:t>
            </w:r>
            <w:r w:rsidRPr="004D1E6F">
              <w:rPr>
                <w:rFonts w:ascii="Times New Roman" w:eastAsia="Calibri" w:hAnsi="Times New Roman" w:cs="Times New Roman"/>
                <w:i/>
                <w:sz w:val="20"/>
                <w:szCs w:val="20"/>
              </w:rPr>
              <w:t>Faxonius virilis</w:t>
            </w:r>
            <w:r w:rsidRPr="004D1E6F">
              <w:rPr>
                <w:rFonts w:ascii="Times New Roman" w:eastAsia="Calibri" w:hAnsi="Times New Roman" w:cs="Times New Roman"/>
                <w:sz w:val="20"/>
                <w:szCs w:val="20"/>
              </w:rPr>
              <w:t xml:space="preserve"> is also a vector for the crayfish plague which may be transferred to native decapod species. It is known to burrow in its home ranges which may result in the destabilization of riverbanks, causing erosion. </w:t>
            </w:r>
          </w:p>
        </w:tc>
        <w:tc>
          <w:tcPr>
            <w:tcW w:w="2461" w:type="dxa"/>
          </w:tcPr>
          <w:p w14:paraId="373059B8"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b/>
                <w:sz w:val="20"/>
                <w:szCs w:val="20"/>
              </w:rPr>
              <w:t>Risk score:</w:t>
            </w:r>
            <w:r w:rsidRPr="004D1E6F">
              <w:rPr>
                <w:rFonts w:ascii="Times New Roman" w:eastAsia="Calibri" w:hAnsi="Times New Roman" w:cs="Times New Roman"/>
                <w:b/>
                <w:sz w:val="20"/>
                <w:szCs w:val="20"/>
              </w:rPr>
              <w:br/>
            </w:r>
          </w:p>
          <w:p w14:paraId="54EEC49B"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sz w:val="20"/>
                <w:szCs w:val="20"/>
              </w:rPr>
              <w:t>High</w:t>
            </w:r>
          </w:p>
          <w:p w14:paraId="66F94333" w14:textId="77777777" w:rsidR="002D7080" w:rsidRPr="004D1E6F" w:rsidRDefault="002D7080" w:rsidP="002E2C37">
            <w:pPr>
              <w:rPr>
                <w:rFonts w:ascii="Times New Roman" w:eastAsia="Calibri" w:hAnsi="Times New Roman" w:cs="Times New Roman"/>
                <w:sz w:val="20"/>
                <w:szCs w:val="20"/>
              </w:rPr>
            </w:pPr>
          </w:p>
        </w:tc>
      </w:tr>
      <w:tr w:rsidR="002D7080" w:rsidRPr="004D1E6F" w14:paraId="76E5875B" w14:textId="77777777" w:rsidTr="002E2C37">
        <w:trPr>
          <w:trHeight w:val="1358"/>
        </w:trPr>
        <w:tc>
          <w:tcPr>
            <w:tcW w:w="6781" w:type="dxa"/>
            <w:gridSpan w:val="2"/>
          </w:tcPr>
          <w:p w14:paraId="5E04F3ED"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Management options summary:</w:t>
            </w:r>
          </w:p>
          <w:p w14:paraId="7F0EA6F5" w14:textId="77777777" w:rsidR="002D7080" w:rsidRPr="004D1E6F" w:rsidRDefault="002D7080" w:rsidP="002E2C37">
            <w:pPr>
              <w:jc w:val="both"/>
              <w:rPr>
                <w:rFonts w:ascii="Times New Roman" w:eastAsia="Calibri" w:hAnsi="Times New Roman" w:cs="Times New Roman"/>
                <w:sz w:val="20"/>
                <w:szCs w:val="20"/>
              </w:rPr>
            </w:pPr>
            <w:r w:rsidRPr="006036FA">
              <w:rPr>
                <w:rFonts w:ascii="Times New Roman" w:hAnsi="Times New Roman" w:cs="Times New Roman"/>
                <w:i/>
                <w:sz w:val="20"/>
                <w:szCs w:val="20"/>
              </w:rPr>
              <w:t xml:space="preserve">Faxonius </w:t>
            </w:r>
            <w:r>
              <w:rPr>
                <w:rFonts w:ascii="Times New Roman" w:hAnsi="Times New Roman" w:cs="Times New Roman"/>
                <w:i/>
                <w:sz w:val="20"/>
                <w:szCs w:val="20"/>
              </w:rPr>
              <w:t xml:space="preserve">virilis </w:t>
            </w:r>
            <w:r w:rsidRPr="006036FA">
              <w:rPr>
                <w:rFonts w:ascii="Times New Roman" w:hAnsi="Times New Roman" w:cs="Times New Roman"/>
                <w:sz w:val="20"/>
                <w:szCs w:val="20"/>
              </w:rPr>
              <w:t xml:space="preserve">is a small, largely nocturnal, burrowing freshwater species that is difficult to detect. Several methods </w:t>
            </w:r>
            <w:r>
              <w:rPr>
                <w:rFonts w:ascii="Times New Roman" w:hAnsi="Times New Roman" w:cs="Times New Roman"/>
                <w:sz w:val="20"/>
                <w:szCs w:val="20"/>
              </w:rPr>
              <w:t xml:space="preserve">can be used to control </w:t>
            </w:r>
            <w:r w:rsidRPr="006036FA">
              <w:rPr>
                <w:rFonts w:ascii="Times New Roman" w:hAnsi="Times New Roman" w:cs="Times New Roman"/>
                <w:i/>
                <w:sz w:val="20"/>
                <w:szCs w:val="20"/>
              </w:rPr>
              <w:t xml:space="preserve">F. </w:t>
            </w:r>
            <w:r>
              <w:rPr>
                <w:rFonts w:ascii="Times New Roman" w:hAnsi="Times New Roman" w:cs="Times New Roman"/>
                <w:i/>
                <w:sz w:val="20"/>
                <w:szCs w:val="20"/>
              </w:rPr>
              <w:t xml:space="preserve">virilis </w:t>
            </w:r>
            <w:r w:rsidRPr="006036FA">
              <w:rPr>
                <w:rFonts w:ascii="Times New Roman" w:hAnsi="Times New Roman" w:cs="Times New Roman"/>
                <w:sz w:val="20"/>
                <w:szCs w:val="20"/>
              </w:rPr>
              <w:t xml:space="preserve">such as </w:t>
            </w:r>
            <w:r w:rsidRPr="006F14F6">
              <w:rPr>
                <w:rFonts w:ascii="Times New Roman" w:eastAsia="Times New Roman" w:hAnsi="Times New Roman" w:cs="Times New Roman"/>
                <w:sz w:val="20"/>
                <w:szCs w:val="20"/>
                <w:lang w:eastAsia="en-ZA"/>
              </w:rPr>
              <w:t xml:space="preserve">mechanical removal using traps and electrofishing, </w:t>
            </w:r>
            <w:r>
              <w:rPr>
                <w:rFonts w:ascii="Times New Roman" w:eastAsia="Times New Roman" w:hAnsi="Times New Roman" w:cs="Times New Roman"/>
                <w:sz w:val="20"/>
                <w:szCs w:val="20"/>
                <w:lang w:eastAsia="en-ZA"/>
              </w:rPr>
              <w:t>biocides</w:t>
            </w:r>
            <w:r w:rsidRPr="006F14F6">
              <w:rPr>
                <w:rFonts w:ascii="Times New Roman" w:eastAsia="Times New Roman" w:hAnsi="Times New Roman" w:cs="Times New Roman"/>
                <w:sz w:val="20"/>
                <w:szCs w:val="20"/>
                <w:lang w:eastAsia="en-ZA"/>
              </w:rPr>
              <w:t xml:space="preserve">, and </w:t>
            </w:r>
            <w:r>
              <w:rPr>
                <w:rFonts w:ascii="Times New Roman" w:eastAsia="Times New Roman" w:hAnsi="Times New Roman" w:cs="Times New Roman"/>
                <w:sz w:val="20"/>
                <w:szCs w:val="20"/>
                <w:lang w:eastAsia="en-ZA"/>
              </w:rPr>
              <w:t xml:space="preserve">biological control. </w:t>
            </w:r>
            <w:r w:rsidRPr="006036FA">
              <w:rPr>
                <w:rFonts w:ascii="Times New Roman" w:hAnsi="Times New Roman" w:cs="Times New Roman"/>
                <w:sz w:val="20"/>
                <w:szCs w:val="20"/>
              </w:rPr>
              <w:t xml:space="preserve">However, there are several issues that make the use of these methods challenging. The benefits of </w:t>
            </w:r>
            <w:r w:rsidRPr="006036FA">
              <w:rPr>
                <w:rFonts w:ascii="Times New Roman" w:hAnsi="Times New Roman" w:cs="Times New Roman"/>
                <w:i/>
                <w:iCs/>
                <w:sz w:val="20"/>
                <w:szCs w:val="20"/>
              </w:rPr>
              <w:t xml:space="preserve">F. </w:t>
            </w:r>
            <w:r>
              <w:rPr>
                <w:rFonts w:ascii="Times New Roman" w:hAnsi="Times New Roman" w:cs="Times New Roman"/>
                <w:i/>
                <w:iCs/>
                <w:sz w:val="20"/>
                <w:szCs w:val="20"/>
              </w:rPr>
              <w:t xml:space="preserve">virilis </w:t>
            </w:r>
            <w:r w:rsidRPr="006036FA">
              <w:rPr>
                <w:rFonts w:ascii="Times New Roman" w:hAnsi="Times New Roman" w:cs="Times New Roman"/>
                <w:sz w:val="20"/>
                <w:szCs w:val="20"/>
              </w:rPr>
              <w:t>were scored as low.</w:t>
            </w:r>
          </w:p>
        </w:tc>
        <w:tc>
          <w:tcPr>
            <w:tcW w:w="2461" w:type="dxa"/>
          </w:tcPr>
          <w:p w14:paraId="7027F95D"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Ease of management:</w:t>
            </w:r>
          </w:p>
          <w:p w14:paraId="4896686F" w14:textId="77777777" w:rsidR="002D7080" w:rsidRPr="004D1E6F" w:rsidRDefault="002D7080" w:rsidP="002E2C37">
            <w:pPr>
              <w:rPr>
                <w:rFonts w:ascii="Times New Roman" w:eastAsia="Calibri" w:hAnsi="Times New Roman" w:cs="Times New Roman"/>
                <w:b/>
                <w:sz w:val="20"/>
                <w:szCs w:val="20"/>
              </w:rPr>
            </w:pPr>
          </w:p>
          <w:p w14:paraId="4D3149B5"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sz w:val="20"/>
                <w:szCs w:val="20"/>
              </w:rPr>
              <w:t>Difficult</w:t>
            </w:r>
          </w:p>
        </w:tc>
      </w:tr>
      <w:tr w:rsidR="002D7080" w:rsidRPr="004D1E6F" w14:paraId="47BC422F" w14:textId="77777777" w:rsidTr="002E2C37">
        <w:trPr>
          <w:trHeight w:val="645"/>
        </w:trPr>
        <w:tc>
          <w:tcPr>
            <w:tcW w:w="6781" w:type="dxa"/>
            <w:gridSpan w:val="2"/>
            <w:vMerge w:val="restart"/>
          </w:tcPr>
          <w:p w14:paraId="5E86AFC2"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Recommendations:</w:t>
            </w:r>
          </w:p>
          <w:p w14:paraId="70118F7F" w14:textId="77777777" w:rsidR="002D7080" w:rsidRDefault="002D7080" w:rsidP="002E2C37">
            <w:pPr>
              <w:spacing w:after="160" w:line="259" w:lineRule="auto"/>
              <w:jc w:val="both"/>
              <w:rPr>
                <w:rFonts w:ascii="Times New Roman" w:eastAsia="Calibri" w:hAnsi="Times New Roman" w:cs="Times New Roman"/>
                <w:sz w:val="20"/>
                <w:szCs w:val="20"/>
              </w:rPr>
            </w:pPr>
            <w:r w:rsidRPr="00332E11">
              <w:rPr>
                <w:rFonts w:ascii="Times New Roman" w:eastAsia="Calibri" w:hAnsi="Times New Roman" w:cs="Times New Roman"/>
                <w:i/>
                <w:iCs/>
                <w:sz w:val="20"/>
                <w:szCs w:val="20"/>
              </w:rPr>
              <w:t>Faxonius</w:t>
            </w:r>
            <w:r>
              <w:rPr>
                <w:rFonts w:ascii="Times New Roman" w:eastAsia="Calibri" w:hAnsi="Times New Roman" w:cs="Times New Roman"/>
                <w:i/>
                <w:iCs/>
                <w:sz w:val="20"/>
                <w:szCs w:val="20"/>
              </w:rPr>
              <w:t xml:space="preserve"> virilis</w:t>
            </w:r>
            <w:r w:rsidRPr="00332E11">
              <w:rPr>
                <w:rFonts w:ascii="Times New Roman" w:eastAsia="Calibri" w:hAnsi="Times New Roman" w:cs="Times New Roman"/>
                <w:i/>
                <w:iCs/>
                <w:sz w:val="20"/>
                <w:szCs w:val="20"/>
              </w:rPr>
              <w:t xml:space="preserve"> </w:t>
            </w:r>
            <w:r w:rsidRPr="00332E11">
              <w:rPr>
                <w:rFonts w:ascii="Times New Roman" w:eastAsia="Calibri" w:hAnsi="Times New Roman" w:cs="Times New Roman"/>
                <w:sz w:val="20"/>
                <w:szCs w:val="20"/>
              </w:rPr>
              <w:t xml:space="preserve">poses a high risk to South Africa. If </w:t>
            </w:r>
            <w:r w:rsidRPr="00332E11">
              <w:rPr>
                <w:rFonts w:ascii="Times New Roman" w:eastAsia="Times New Roman" w:hAnsi="Times New Roman" w:cs="Times New Roman"/>
                <w:i/>
                <w:sz w:val="20"/>
                <w:szCs w:val="20"/>
                <w:lang w:eastAsia="en-ZA"/>
              </w:rPr>
              <w:t>F.</w:t>
            </w:r>
            <w:r>
              <w:rPr>
                <w:rFonts w:ascii="Times New Roman" w:eastAsia="Times New Roman" w:hAnsi="Times New Roman" w:cs="Times New Roman"/>
                <w:i/>
                <w:sz w:val="20"/>
                <w:szCs w:val="20"/>
                <w:lang w:eastAsia="en-ZA"/>
              </w:rPr>
              <w:t xml:space="preserve"> virilis</w:t>
            </w:r>
            <w:r w:rsidRPr="00332E11">
              <w:rPr>
                <w:rFonts w:ascii="Times New Roman" w:eastAsia="Times New Roman" w:hAnsi="Times New Roman" w:cs="Times New Roman"/>
                <w:i/>
                <w:sz w:val="20"/>
                <w:szCs w:val="20"/>
                <w:lang w:eastAsia="en-ZA"/>
              </w:rPr>
              <w:t xml:space="preserve"> </w:t>
            </w:r>
            <w:r w:rsidRPr="00332E11">
              <w:rPr>
                <w:rFonts w:ascii="Times New Roman" w:eastAsia="Calibri" w:hAnsi="Times New Roman" w:cs="Times New Roman"/>
                <w:sz w:val="20"/>
                <w:szCs w:val="20"/>
              </w:rPr>
              <w:t>were to establish outside of captivity,</w:t>
            </w:r>
            <w:r w:rsidRPr="00332E11">
              <w:rPr>
                <w:rFonts w:ascii="Times New Roman" w:eastAsia="Calibri" w:hAnsi="Times New Roman" w:cs="Times New Roman"/>
                <w:iCs/>
                <w:sz w:val="20"/>
                <w:szCs w:val="20"/>
              </w:rPr>
              <w:t xml:space="preserve"> </w:t>
            </w:r>
            <w:r w:rsidRPr="00332E11">
              <w:rPr>
                <w:rFonts w:ascii="Times New Roman" w:eastAsia="Times New Roman" w:hAnsi="Times New Roman" w:cs="Times New Roman"/>
                <w:iCs/>
                <w:sz w:val="20"/>
                <w:szCs w:val="20"/>
                <w:lang w:eastAsia="en-ZA"/>
              </w:rPr>
              <w:t xml:space="preserve">such populations </w:t>
            </w:r>
            <w:r w:rsidRPr="00332E11">
              <w:rPr>
                <w:rFonts w:ascii="Times New Roman" w:eastAsia="Calibri" w:hAnsi="Times New Roman" w:cs="Times New Roman"/>
                <w:sz w:val="20"/>
                <w:szCs w:val="20"/>
              </w:rPr>
              <w:t>would likely be very difficult to extirpate.</w:t>
            </w:r>
            <w:r>
              <w:rPr>
                <w:rFonts w:ascii="Times New Roman" w:eastAsia="Calibri" w:hAnsi="Times New Roman" w:cs="Times New Roman"/>
                <w:sz w:val="20"/>
                <w:szCs w:val="20"/>
              </w:rPr>
              <w:t xml:space="preserve"> </w:t>
            </w:r>
          </w:p>
          <w:p w14:paraId="6CBAFC29" w14:textId="77777777" w:rsidR="002D7080" w:rsidRPr="004D1E6F" w:rsidRDefault="002D7080" w:rsidP="002E2C37">
            <w:pPr>
              <w:spacing w:after="160" w:line="259" w:lineRule="auto"/>
              <w:jc w:val="both"/>
              <w:rPr>
                <w:rFonts w:ascii="Times New Roman" w:eastAsia="Calibri" w:hAnsi="Times New Roman" w:cs="Times New Roman"/>
                <w:sz w:val="20"/>
                <w:szCs w:val="20"/>
              </w:rPr>
            </w:pPr>
            <w:r w:rsidRPr="00332E11">
              <w:rPr>
                <w:rFonts w:ascii="Times New Roman" w:eastAsia="Calibri" w:hAnsi="Times New Roman" w:cs="Times New Roman"/>
                <w:sz w:val="20"/>
                <w:szCs w:val="20"/>
              </w:rPr>
              <w:lastRenderedPageBreak/>
              <w:t xml:space="preserve">As such it is recommended that </w:t>
            </w:r>
            <w:r w:rsidRPr="00332E11">
              <w:rPr>
                <w:rFonts w:ascii="Times New Roman" w:eastAsia="Calibri" w:hAnsi="Times New Roman" w:cs="Times New Roman"/>
                <w:i/>
                <w:iCs/>
                <w:sz w:val="20"/>
                <w:szCs w:val="20"/>
              </w:rPr>
              <w:t>F.</w:t>
            </w:r>
            <w:r>
              <w:rPr>
                <w:rFonts w:ascii="Times New Roman" w:eastAsia="Calibri" w:hAnsi="Times New Roman" w:cs="Times New Roman"/>
                <w:i/>
                <w:iCs/>
                <w:sz w:val="20"/>
                <w:szCs w:val="20"/>
              </w:rPr>
              <w:t xml:space="preserve"> virilis</w:t>
            </w:r>
            <w:r w:rsidRPr="00332E11">
              <w:rPr>
                <w:rFonts w:ascii="Times New Roman" w:eastAsia="Calibri" w:hAnsi="Times New Roman" w:cs="Times New Roman"/>
                <w:sz w:val="20"/>
                <w:szCs w:val="20"/>
              </w:rPr>
              <w:t xml:space="preserve"> </w:t>
            </w:r>
            <w:r>
              <w:rPr>
                <w:rFonts w:ascii="Times New Roman" w:eastAsia="Calibri" w:hAnsi="Times New Roman" w:cs="Times New Roman"/>
                <w:sz w:val="20"/>
                <w:szCs w:val="20"/>
              </w:rPr>
              <w:t>i</w:t>
            </w:r>
            <w:r w:rsidRPr="00332E11">
              <w:rPr>
                <w:rFonts w:ascii="Times New Roman" w:eastAsia="Times New Roman" w:hAnsi="Times New Roman" w:cs="Times New Roman"/>
                <w:iCs/>
                <w:sz w:val="20"/>
                <w:szCs w:val="20"/>
                <w:lang w:eastAsia="en-ZA"/>
              </w:rPr>
              <w:t xml:space="preserve">s listed as category 1a, active efforts made to establish whether the species is preset in the country, and that any individuals found are controlled. This would likely require </w:t>
            </w:r>
            <w:r w:rsidRPr="00332E11">
              <w:rPr>
                <w:rFonts w:ascii="Times New Roman" w:eastAsia="Times New Roman" w:hAnsi="Times New Roman" w:cs="Times New Roman"/>
                <w:sz w:val="20"/>
                <w:szCs w:val="20"/>
                <w:lang w:eastAsia="en-ZA"/>
              </w:rPr>
              <w:t>a dedicated assessment of the ornamental t</w:t>
            </w:r>
            <w:r w:rsidRPr="00332E11">
              <w:rPr>
                <w:rFonts w:ascii="Times New Roman" w:eastAsia="Calibri" w:hAnsi="Times New Roman" w:cs="Times New Roman"/>
                <w:sz w:val="20"/>
                <w:szCs w:val="20"/>
              </w:rPr>
              <w:t xml:space="preserve">rade. A reassessment in five years is thus required and, if absent from the country, </w:t>
            </w:r>
            <w:r w:rsidRPr="00332E11">
              <w:rPr>
                <w:rFonts w:ascii="Times New Roman" w:eastAsia="Times New Roman" w:hAnsi="Times New Roman" w:cs="Times New Roman"/>
                <w:i/>
                <w:sz w:val="20"/>
                <w:szCs w:val="20"/>
                <w:lang w:eastAsia="en-ZA"/>
              </w:rPr>
              <w:t xml:space="preserve">F. </w:t>
            </w:r>
            <w:r>
              <w:rPr>
                <w:rFonts w:ascii="Times New Roman" w:eastAsia="Times New Roman" w:hAnsi="Times New Roman" w:cs="Times New Roman"/>
                <w:i/>
                <w:sz w:val="20"/>
                <w:szCs w:val="20"/>
                <w:lang w:eastAsia="en-ZA"/>
              </w:rPr>
              <w:t>virilis</w:t>
            </w:r>
            <w:r w:rsidRPr="00332E11">
              <w:rPr>
                <w:rFonts w:ascii="Times New Roman" w:eastAsia="Times New Roman" w:hAnsi="Times New Roman" w:cs="Times New Roman"/>
                <w:i/>
                <w:sz w:val="20"/>
                <w:szCs w:val="20"/>
                <w:lang w:eastAsia="en-ZA"/>
              </w:rPr>
              <w:t xml:space="preserve"> s</w:t>
            </w:r>
            <w:r w:rsidRPr="00332E11">
              <w:rPr>
                <w:rFonts w:ascii="Times New Roman" w:eastAsia="Calibri" w:hAnsi="Times New Roman" w:cs="Times New Roman"/>
                <w:sz w:val="20"/>
                <w:szCs w:val="20"/>
              </w:rPr>
              <w:t>hould be added to a future prohibited list.</w:t>
            </w:r>
          </w:p>
        </w:tc>
        <w:tc>
          <w:tcPr>
            <w:tcW w:w="2461" w:type="dxa"/>
          </w:tcPr>
          <w:p w14:paraId="5C68A901" w14:textId="77777777" w:rsidR="002D7080" w:rsidRPr="00233C97" w:rsidRDefault="002D7080" w:rsidP="002E2C37">
            <w:pPr>
              <w:rPr>
                <w:rFonts w:ascii="Times New Roman" w:hAnsi="Times New Roman" w:cs="Times New Roman"/>
                <w:b/>
                <w:sz w:val="20"/>
                <w:szCs w:val="20"/>
              </w:rPr>
            </w:pPr>
            <w:r w:rsidRPr="00233C97">
              <w:rPr>
                <w:rFonts w:ascii="Times New Roman" w:hAnsi="Times New Roman" w:cs="Times New Roman"/>
                <w:b/>
                <w:sz w:val="20"/>
                <w:szCs w:val="20"/>
              </w:rPr>
              <w:lastRenderedPageBreak/>
              <w:t>Listing under NEM:BA A&amp;IS lists of 2020:</w:t>
            </w:r>
          </w:p>
          <w:p w14:paraId="36286BCC" w14:textId="77777777" w:rsidR="002D7080" w:rsidRPr="004D1E6F" w:rsidRDefault="002D7080" w:rsidP="002E2C37">
            <w:pPr>
              <w:rPr>
                <w:rFonts w:ascii="Times New Roman" w:eastAsia="Calibri" w:hAnsi="Times New Roman" w:cs="Times New Roman"/>
                <w:sz w:val="20"/>
                <w:szCs w:val="20"/>
              </w:rPr>
            </w:pPr>
            <w:r>
              <w:rPr>
                <w:rFonts w:ascii="Times New Roman" w:eastAsia="Calibri" w:hAnsi="Times New Roman" w:cs="Times New Roman"/>
                <w:sz w:val="20"/>
                <w:szCs w:val="20"/>
              </w:rPr>
              <w:t xml:space="preserve">Not listed </w:t>
            </w:r>
          </w:p>
        </w:tc>
      </w:tr>
      <w:tr w:rsidR="002D7080" w:rsidRPr="004D1E6F" w14:paraId="1B2817DD" w14:textId="77777777" w:rsidTr="002E2C37">
        <w:trPr>
          <w:trHeight w:val="559"/>
        </w:trPr>
        <w:tc>
          <w:tcPr>
            <w:tcW w:w="6781" w:type="dxa"/>
            <w:gridSpan w:val="2"/>
            <w:vMerge/>
          </w:tcPr>
          <w:p w14:paraId="1C43CD15" w14:textId="77777777" w:rsidR="002D7080" w:rsidRPr="004D1E6F" w:rsidRDefault="002D7080" w:rsidP="002E2C37">
            <w:pPr>
              <w:rPr>
                <w:rFonts w:ascii="Times New Roman" w:eastAsia="Calibri" w:hAnsi="Times New Roman" w:cs="Times New Roman"/>
                <w:b/>
                <w:sz w:val="20"/>
                <w:szCs w:val="20"/>
              </w:rPr>
            </w:pPr>
          </w:p>
        </w:tc>
        <w:tc>
          <w:tcPr>
            <w:tcW w:w="2461" w:type="dxa"/>
          </w:tcPr>
          <w:p w14:paraId="701F6775" w14:textId="77777777" w:rsidR="002D7080" w:rsidRPr="00233C97" w:rsidRDefault="002D7080" w:rsidP="002E2C37">
            <w:pPr>
              <w:rPr>
                <w:rFonts w:ascii="Times New Roman" w:hAnsi="Times New Roman" w:cs="Times New Roman"/>
                <w:b/>
                <w:sz w:val="20"/>
                <w:szCs w:val="20"/>
              </w:rPr>
            </w:pPr>
            <w:r w:rsidRPr="00233C97">
              <w:rPr>
                <w:rFonts w:ascii="Times New Roman" w:hAnsi="Times New Roman" w:cs="Times New Roman"/>
                <w:b/>
                <w:sz w:val="20"/>
                <w:szCs w:val="20"/>
              </w:rPr>
              <w:t xml:space="preserve">Recommended listing category: </w:t>
            </w:r>
          </w:p>
          <w:p w14:paraId="7FD0E29E" w14:textId="77777777" w:rsidR="002D7080" w:rsidRPr="00233C97" w:rsidRDefault="002D7080" w:rsidP="002E2C37">
            <w:pPr>
              <w:rPr>
                <w:rFonts w:ascii="Times New Roman" w:hAnsi="Times New Roman" w:cs="Times New Roman"/>
                <w:sz w:val="20"/>
                <w:szCs w:val="20"/>
              </w:rPr>
            </w:pPr>
            <w:r>
              <w:rPr>
                <w:rFonts w:ascii="Times New Roman" w:hAnsi="Times New Roman" w:cs="Times New Roman"/>
                <w:sz w:val="20"/>
                <w:szCs w:val="20"/>
              </w:rPr>
              <w:t>1a</w:t>
            </w:r>
            <w:r w:rsidRPr="00233C97">
              <w:rPr>
                <w:rStyle w:val="FootnoteReference"/>
                <w:rFonts w:ascii="Times New Roman" w:hAnsi="Times New Roman" w:cs="Times New Roman"/>
              </w:rPr>
              <w:footnoteReference w:id="9"/>
            </w:r>
          </w:p>
          <w:p w14:paraId="0B92D5FE" w14:textId="77777777" w:rsidR="002D7080" w:rsidRPr="004D1E6F" w:rsidRDefault="002D7080" w:rsidP="002E2C37">
            <w:pPr>
              <w:rPr>
                <w:rFonts w:ascii="Times New Roman" w:eastAsia="Calibri" w:hAnsi="Times New Roman" w:cs="Times New Roman"/>
                <w:sz w:val="20"/>
                <w:szCs w:val="20"/>
              </w:rPr>
            </w:pPr>
          </w:p>
        </w:tc>
      </w:tr>
    </w:tbl>
    <w:p w14:paraId="6C2841AA" w14:textId="77777777" w:rsidR="002D7080" w:rsidRPr="004D1E6F" w:rsidRDefault="002D7080" w:rsidP="002D7080">
      <w:pPr>
        <w:spacing w:after="160" w:line="259"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br w:type="page"/>
      </w:r>
      <w:r w:rsidRPr="004D1E6F">
        <w:rPr>
          <w:rFonts w:ascii="Times New Roman" w:eastAsia="Times New Roman" w:hAnsi="Times New Roman" w:cs="Times New Roman"/>
          <w:b/>
          <w:color w:val="000000"/>
          <w:sz w:val="20"/>
          <w:szCs w:val="20"/>
          <w:lang w:eastAsia="en-ZA"/>
        </w:rPr>
        <w:lastRenderedPageBreak/>
        <w:t>1. Background</w:t>
      </w:r>
    </w:p>
    <w:p w14:paraId="5F6C026E"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W w:w="8790" w:type="dxa"/>
        <w:tblInd w:w="108" w:type="dxa"/>
        <w:tblLook w:val="04A0" w:firstRow="1" w:lastRow="0" w:firstColumn="1" w:lastColumn="0" w:noHBand="0" w:noVBand="1"/>
      </w:tblPr>
      <w:tblGrid>
        <w:gridCol w:w="2700"/>
        <w:gridCol w:w="990"/>
        <w:gridCol w:w="2434"/>
        <w:gridCol w:w="2666"/>
      </w:tblGrid>
      <w:tr w:rsidR="002D7080" w:rsidRPr="004D1E6F" w14:paraId="76D5BBD9" w14:textId="77777777" w:rsidTr="002E2C37">
        <w:trPr>
          <w:cantSplit/>
          <w:trHeight w:val="358"/>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4DA6108C"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BAC1 Name of assessor(s)</w:t>
            </w:r>
          </w:p>
        </w:tc>
      </w:tr>
      <w:tr w:rsidR="002D7080" w:rsidRPr="004D1E6F" w14:paraId="2FADF9A0" w14:textId="77777777" w:rsidTr="002E2C37">
        <w:trPr>
          <w:cantSplit/>
          <w:trHeight w:val="242"/>
        </w:trPr>
        <w:tc>
          <w:tcPr>
            <w:tcW w:w="2700" w:type="dxa"/>
            <w:tcBorders>
              <w:top w:val="nil"/>
              <w:left w:val="single" w:sz="4" w:space="0" w:color="auto"/>
              <w:bottom w:val="single" w:sz="4" w:space="0" w:color="auto"/>
              <w:right w:val="single" w:sz="4" w:space="0" w:color="auto"/>
            </w:tcBorders>
            <w:noWrap/>
          </w:tcPr>
          <w:p w14:paraId="009470BE" w14:textId="77777777" w:rsidR="002D7080" w:rsidRPr="004D1E6F" w:rsidRDefault="002D7080" w:rsidP="006728DB">
            <w:pPr>
              <w:spacing w:after="0"/>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Name of lead assessor</w:t>
            </w:r>
          </w:p>
        </w:tc>
        <w:tc>
          <w:tcPr>
            <w:tcW w:w="6090" w:type="dxa"/>
            <w:gridSpan w:val="3"/>
            <w:tcBorders>
              <w:top w:val="nil"/>
              <w:left w:val="single" w:sz="4" w:space="0" w:color="auto"/>
              <w:bottom w:val="single" w:sz="4" w:space="0" w:color="auto"/>
              <w:right w:val="single" w:sz="4" w:space="0" w:color="auto"/>
            </w:tcBorders>
          </w:tcPr>
          <w:p w14:paraId="59B5D4B5" w14:textId="77777777" w:rsidR="002D7080" w:rsidRPr="000F54D1" w:rsidRDefault="002D7080" w:rsidP="006728DB">
            <w:pPr>
              <w:spacing w:after="0"/>
              <w:jc w:val="both"/>
              <w:rPr>
                <w:rFonts w:ascii="Times New Roman" w:eastAsia="Times New Roman" w:hAnsi="Times New Roman" w:cs="Times New Roman"/>
                <w:color w:val="000000"/>
                <w:sz w:val="20"/>
                <w:szCs w:val="20"/>
                <w:lang w:eastAsia="en-ZA"/>
              </w:rPr>
            </w:pPr>
            <w:r w:rsidRPr="000F54D1">
              <w:rPr>
                <w:rFonts w:ascii="Times New Roman" w:eastAsia="Times New Roman" w:hAnsi="Times New Roman" w:cs="Times New Roman"/>
                <w:color w:val="000000"/>
                <w:sz w:val="20"/>
                <w:szCs w:val="20"/>
                <w:lang w:eastAsia="en-ZA"/>
              </w:rPr>
              <w:t>Lee-Anne Botha</w:t>
            </w:r>
          </w:p>
        </w:tc>
      </w:tr>
      <w:tr w:rsidR="002D7080" w:rsidRPr="004D1E6F" w14:paraId="10429E19" w14:textId="77777777" w:rsidTr="002E2C37">
        <w:trPr>
          <w:cantSplit/>
          <w:trHeight w:val="215"/>
        </w:trPr>
        <w:tc>
          <w:tcPr>
            <w:tcW w:w="2700" w:type="dxa"/>
            <w:tcBorders>
              <w:top w:val="nil"/>
              <w:left w:val="single" w:sz="4" w:space="0" w:color="auto"/>
              <w:bottom w:val="single" w:sz="4" w:space="0" w:color="auto"/>
              <w:right w:val="single" w:sz="4" w:space="0" w:color="auto"/>
            </w:tcBorders>
            <w:shd w:val="clear" w:color="auto" w:fill="F2F2F2" w:themeFill="background1" w:themeFillShade="F2"/>
            <w:noWrap/>
          </w:tcPr>
          <w:p w14:paraId="404E3436" w14:textId="77777777" w:rsidR="002D7080" w:rsidRPr="004D1E6F" w:rsidRDefault="002D7080" w:rsidP="006728DB">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(1)</w:t>
            </w:r>
          </w:p>
        </w:tc>
        <w:tc>
          <w:tcPr>
            <w:tcW w:w="6090" w:type="dxa"/>
            <w:gridSpan w:val="3"/>
            <w:tcBorders>
              <w:top w:val="nil"/>
              <w:left w:val="single" w:sz="4" w:space="0" w:color="auto"/>
              <w:bottom w:val="single" w:sz="4" w:space="0" w:color="auto"/>
              <w:right w:val="single" w:sz="4" w:space="0" w:color="auto"/>
            </w:tcBorders>
          </w:tcPr>
          <w:p w14:paraId="1335C13B" w14:textId="77777777" w:rsidR="002D7080" w:rsidRPr="004D1E6F" w:rsidRDefault="002D7080" w:rsidP="006728DB">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Tsungai Zengeya </w:t>
            </w:r>
          </w:p>
        </w:tc>
      </w:tr>
      <w:tr w:rsidR="002D7080" w:rsidRPr="004D1E6F" w14:paraId="5BA68096" w14:textId="77777777" w:rsidTr="002E2C37">
        <w:trPr>
          <w:cantSplit/>
          <w:trHeight w:val="296"/>
        </w:trPr>
        <w:tc>
          <w:tcPr>
            <w:tcW w:w="2700" w:type="dxa"/>
            <w:tcBorders>
              <w:top w:val="nil"/>
              <w:left w:val="single" w:sz="4" w:space="0" w:color="auto"/>
              <w:bottom w:val="single" w:sz="4" w:space="0" w:color="auto"/>
              <w:right w:val="single" w:sz="4" w:space="0" w:color="auto"/>
            </w:tcBorders>
            <w:shd w:val="clear" w:color="auto" w:fill="F2F2F2" w:themeFill="background1" w:themeFillShade="F2"/>
            <w:noWrap/>
          </w:tcPr>
          <w:p w14:paraId="66B7D842" w14:textId="77777777" w:rsidR="002D7080" w:rsidRPr="004D1E6F" w:rsidRDefault="002D7080" w:rsidP="006728DB">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(2)</w:t>
            </w:r>
          </w:p>
        </w:tc>
        <w:tc>
          <w:tcPr>
            <w:tcW w:w="6090" w:type="dxa"/>
            <w:gridSpan w:val="3"/>
            <w:tcBorders>
              <w:top w:val="nil"/>
              <w:left w:val="single" w:sz="4" w:space="0" w:color="auto"/>
              <w:bottom w:val="single" w:sz="4" w:space="0" w:color="auto"/>
              <w:right w:val="single" w:sz="4" w:space="0" w:color="auto"/>
            </w:tcBorders>
          </w:tcPr>
          <w:p w14:paraId="35F03824" w14:textId="77777777" w:rsidR="002D7080" w:rsidRPr="004D1E6F" w:rsidRDefault="002D7080" w:rsidP="006728DB">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Christian Chimimba </w:t>
            </w:r>
          </w:p>
        </w:tc>
      </w:tr>
      <w:tr w:rsidR="002D7080" w:rsidRPr="004D1E6F" w14:paraId="1B6A46F8" w14:textId="77777777" w:rsidTr="002E2C37">
        <w:trPr>
          <w:cantSplit/>
          <w:trHeight w:val="251"/>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1D9FED96"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BAC2 Contact details of assessor (s)</w:t>
            </w:r>
          </w:p>
        </w:tc>
      </w:tr>
      <w:tr w:rsidR="002D7080" w:rsidRPr="004D1E6F" w14:paraId="051A5E73" w14:textId="77777777" w:rsidTr="002E2C37">
        <w:trPr>
          <w:cantSplit/>
          <w:trHeight w:val="70"/>
        </w:trPr>
        <w:tc>
          <w:tcPr>
            <w:tcW w:w="2700" w:type="dxa"/>
            <w:vMerge w:val="restart"/>
            <w:tcBorders>
              <w:top w:val="nil"/>
              <w:left w:val="single" w:sz="4" w:space="0" w:color="auto"/>
              <w:right w:val="single" w:sz="4" w:space="0" w:color="auto"/>
            </w:tcBorders>
            <w:shd w:val="clear" w:color="auto" w:fill="F2F2F2" w:themeFill="background1" w:themeFillShade="F2"/>
            <w:noWrap/>
            <w:hideMark/>
          </w:tcPr>
          <w:p w14:paraId="573169C4" w14:textId="77777777" w:rsidR="002D7080" w:rsidRPr="004D1E6F" w:rsidRDefault="002D7080" w:rsidP="006728DB">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Lead assessor</w:t>
            </w:r>
          </w:p>
        </w:tc>
        <w:tc>
          <w:tcPr>
            <w:tcW w:w="6090" w:type="dxa"/>
            <w:gridSpan w:val="3"/>
            <w:tcBorders>
              <w:top w:val="nil"/>
              <w:left w:val="nil"/>
              <w:bottom w:val="single" w:sz="4" w:space="0" w:color="auto"/>
              <w:right w:val="single" w:sz="4" w:space="0" w:color="auto"/>
            </w:tcBorders>
          </w:tcPr>
          <w:p w14:paraId="1DB35D98" w14:textId="77777777" w:rsidR="002D7080" w:rsidRPr="004D1E6F" w:rsidRDefault="002D7080" w:rsidP="006728DB">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Organisational affiliation: Department of Zoology and Entomology, University of Pretoria and The South African National Biodiversity Institute (SANBI).</w:t>
            </w:r>
          </w:p>
        </w:tc>
      </w:tr>
      <w:tr w:rsidR="002D7080" w:rsidRPr="004D1E6F" w14:paraId="31B57677" w14:textId="77777777" w:rsidTr="002E2C37">
        <w:trPr>
          <w:cantSplit/>
          <w:trHeight w:val="70"/>
        </w:trPr>
        <w:tc>
          <w:tcPr>
            <w:tcW w:w="2700" w:type="dxa"/>
            <w:vMerge/>
            <w:tcBorders>
              <w:left w:val="single" w:sz="4" w:space="0" w:color="auto"/>
              <w:bottom w:val="single" w:sz="4" w:space="0" w:color="auto"/>
              <w:right w:val="single" w:sz="4" w:space="0" w:color="auto"/>
            </w:tcBorders>
            <w:shd w:val="clear" w:color="auto" w:fill="F2F2F2" w:themeFill="background1" w:themeFillShade="F2"/>
            <w:noWrap/>
          </w:tcPr>
          <w:p w14:paraId="5FA6072A" w14:textId="77777777" w:rsidR="002D7080" w:rsidRPr="004D1E6F" w:rsidRDefault="002D7080" w:rsidP="006728DB">
            <w:pPr>
              <w:spacing w:after="0"/>
              <w:jc w:val="both"/>
              <w:rPr>
                <w:rFonts w:ascii="Times New Roman" w:hAnsi="Times New Roman" w:cs="Times New Roman"/>
                <w:bCs/>
                <w:iCs/>
                <w:sz w:val="20"/>
                <w:szCs w:val="20"/>
              </w:rPr>
            </w:pPr>
          </w:p>
        </w:tc>
        <w:tc>
          <w:tcPr>
            <w:tcW w:w="6090" w:type="dxa"/>
            <w:gridSpan w:val="3"/>
            <w:tcBorders>
              <w:top w:val="nil"/>
              <w:left w:val="nil"/>
              <w:bottom w:val="single" w:sz="4" w:space="0" w:color="auto"/>
              <w:right w:val="single" w:sz="4" w:space="0" w:color="auto"/>
            </w:tcBorders>
          </w:tcPr>
          <w:p w14:paraId="7F6DC898" w14:textId="77777777" w:rsidR="002D7080" w:rsidRPr="004D1E6F" w:rsidRDefault="002D7080" w:rsidP="006728DB">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email: </w:t>
            </w:r>
            <w:r w:rsidRPr="004D1E6F">
              <w:rPr>
                <w:rFonts w:ascii="Times New Roman" w:eastAsia="Times New Roman" w:hAnsi="Times New Roman" w:cs="Times New Roman"/>
                <w:color w:val="000000"/>
                <w:sz w:val="20"/>
                <w:szCs w:val="20"/>
                <w:lang w:eastAsia="en-ZA"/>
              </w:rPr>
              <w:t>leeannebth782@gmail.com</w:t>
            </w:r>
          </w:p>
        </w:tc>
      </w:tr>
      <w:tr w:rsidR="002D7080" w:rsidRPr="004D1E6F" w14:paraId="1814A5AA" w14:textId="77777777" w:rsidTr="002E2C37">
        <w:trPr>
          <w:cantSplit/>
          <w:trHeight w:val="70"/>
        </w:trPr>
        <w:tc>
          <w:tcPr>
            <w:tcW w:w="2700" w:type="dxa"/>
            <w:vMerge w:val="restart"/>
            <w:tcBorders>
              <w:top w:val="single" w:sz="4" w:space="0" w:color="auto"/>
              <w:left w:val="single" w:sz="4" w:space="0" w:color="auto"/>
              <w:right w:val="single" w:sz="4" w:space="0" w:color="auto"/>
            </w:tcBorders>
            <w:shd w:val="clear" w:color="auto" w:fill="F2F2F2" w:themeFill="background1" w:themeFillShade="F2"/>
            <w:noWrap/>
          </w:tcPr>
          <w:p w14:paraId="198E87D4" w14:textId="77777777" w:rsidR="002D7080" w:rsidRPr="004D1E6F" w:rsidRDefault="002D7080" w:rsidP="006728DB">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(1)</w:t>
            </w:r>
          </w:p>
        </w:tc>
        <w:tc>
          <w:tcPr>
            <w:tcW w:w="6090" w:type="dxa"/>
            <w:gridSpan w:val="3"/>
            <w:tcBorders>
              <w:top w:val="nil"/>
              <w:left w:val="nil"/>
              <w:bottom w:val="single" w:sz="4" w:space="0" w:color="auto"/>
              <w:right w:val="single" w:sz="4" w:space="0" w:color="auto"/>
            </w:tcBorders>
          </w:tcPr>
          <w:p w14:paraId="0BFD8644" w14:textId="77777777" w:rsidR="002D7080" w:rsidRPr="004D1E6F" w:rsidRDefault="002D7080" w:rsidP="006728DB">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Organisational affiliation: Department of Zoology and Entomology, University of Pretoria and The South African National Biodiversity Institute (SANBI).</w:t>
            </w:r>
          </w:p>
        </w:tc>
      </w:tr>
      <w:tr w:rsidR="002D7080" w:rsidRPr="004D1E6F" w14:paraId="5E337B4B" w14:textId="77777777" w:rsidTr="002E2C37">
        <w:trPr>
          <w:cantSplit/>
          <w:trHeight w:val="70"/>
        </w:trPr>
        <w:tc>
          <w:tcPr>
            <w:tcW w:w="2700" w:type="dxa"/>
            <w:vMerge/>
            <w:tcBorders>
              <w:left w:val="single" w:sz="4" w:space="0" w:color="auto"/>
              <w:bottom w:val="single" w:sz="4" w:space="0" w:color="auto"/>
              <w:right w:val="single" w:sz="4" w:space="0" w:color="auto"/>
            </w:tcBorders>
            <w:shd w:val="clear" w:color="auto" w:fill="F2F2F2" w:themeFill="background1" w:themeFillShade="F2"/>
            <w:noWrap/>
          </w:tcPr>
          <w:p w14:paraId="6B241EC1" w14:textId="77777777" w:rsidR="002D7080" w:rsidRPr="004D1E6F" w:rsidRDefault="002D7080" w:rsidP="006728DB">
            <w:pPr>
              <w:spacing w:after="0"/>
              <w:jc w:val="both"/>
              <w:rPr>
                <w:rFonts w:ascii="Times New Roman" w:hAnsi="Times New Roman" w:cs="Times New Roman"/>
                <w:bCs/>
                <w:iCs/>
                <w:sz w:val="20"/>
                <w:szCs w:val="20"/>
              </w:rPr>
            </w:pPr>
          </w:p>
        </w:tc>
        <w:tc>
          <w:tcPr>
            <w:tcW w:w="6090" w:type="dxa"/>
            <w:gridSpan w:val="3"/>
            <w:tcBorders>
              <w:top w:val="nil"/>
              <w:left w:val="nil"/>
              <w:bottom w:val="single" w:sz="4" w:space="0" w:color="auto"/>
              <w:right w:val="single" w:sz="4" w:space="0" w:color="auto"/>
            </w:tcBorders>
          </w:tcPr>
          <w:p w14:paraId="63BCD490" w14:textId="77777777" w:rsidR="002D7080" w:rsidRPr="004D1E6F" w:rsidRDefault="002D7080" w:rsidP="006728DB">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email: T.Zengeya@sanbi.org.za</w:t>
            </w:r>
          </w:p>
        </w:tc>
      </w:tr>
      <w:tr w:rsidR="002D7080" w:rsidRPr="004D1E6F" w14:paraId="5AE0272C" w14:textId="77777777" w:rsidTr="002E2C37">
        <w:trPr>
          <w:cantSplit/>
          <w:trHeight w:val="70"/>
        </w:trPr>
        <w:tc>
          <w:tcPr>
            <w:tcW w:w="2700" w:type="dxa"/>
            <w:vMerge w:val="restart"/>
            <w:tcBorders>
              <w:left w:val="single" w:sz="4" w:space="0" w:color="auto"/>
              <w:right w:val="single" w:sz="4" w:space="0" w:color="auto"/>
            </w:tcBorders>
            <w:shd w:val="clear" w:color="auto" w:fill="F2F2F2" w:themeFill="background1" w:themeFillShade="F2"/>
            <w:noWrap/>
          </w:tcPr>
          <w:p w14:paraId="780DC40F" w14:textId="77777777" w:rsidR="002D7080" w:rsidRPr="004D1E6F" w:rsidRDefault="002D7080" w:rsidP="006728DB">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(2)</w:t>
            </w:r>
          </w:p>
        </w:tc>
        <w:tc>
          <w:tcPr>
            <w:tcW w:w="6090" w:type="dxa"/>
            <w:gridSpan w:val="3"/>
            <w:tcBorders>
              <w:top w:val="nil"/>
              <w:left w:val="nil"/>
              <w:bottom w:val="single" w:sz="4" w:space="0" w:color="auto"/>
              <w:right w:val="single" w:sz="4" w:space="0" w:color="auto"/>
            </w:tcBorders>
          </w:tcPr>
          <w:p w14:paraId="43276F28" w14:textId="77777777" w:rsidR="002D7080" w:rsidRPr="004D1E6F" w:rsidRDefault="002D7080" w:rsidP="006728DB">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Organisational affiliation: Department of Zoology and Entomology, University of Pretoria </w:t>
            </w:r>
          </w:p>
        </w:tc>
      </w:tr>
      <w:tr w:rsidR="002D7080" w:rsidRPr="004D1E6F" w14:paraId="390BC11A" w14:textId="77777777" w:rsidTr="002E2C37">
        <w:trPr>
          <w:cantSplit/>
          <w:trHeight w:val="70"/>
        </w:trPr>
        <w:tc>
          <w:tcPr>
            <w:tcW w:w="2700" w:type="dxa"/>
            <w:vMerge/>
            <w:tcBorders>
              <w:left w:val="single" w:sz="4" w:space="0" w:color="auto"/>
              <w:bottom w:val="single" w:sz="4" w:space="0" w:color="auto"/>
              <w:right w:val="single" w:sz="4" w:space="0" w:color="auto"/>
            </w:tcBorders>
            <w:shd w:val="clear" w:color="auto" w:fill="F2F2F2" w:themeFill="background1" w:themeFillShade="F2"/>
            <w:noWrap/>
          </w:tcPr>
          <w:p w14:paraId="644BB46D" w14:textId="77777777" w:rsidR="002D7080" w:rsidRPr="004D1E6F" w:rsidRDefault="002D7080" w:rsidP="006728DB">
            <w:pPr>
              <w:spacing w:after="0"/>
              <w:jc w:val="both"/>
              <w:rPr>
                <w:rFonts w:ascii="Times New Roman" w:hAnsi="Times New Roman" w:cs="Times New Roman"/>
                <w:bCs/>
                <w:iCs/>
                <w:sz w:val="20"/>
                <w:szCs w:val="20"/>
              </w:rPr>
            </w:pPr>
          </w:p>
        </w:tc>
        <w:tc>
          <w:tcPr>
            <w:tcW w:w="6090" w:type="dxa"/>
            <w:gridSpan w:val="3"/>
            <w:tcBorders>
              <w:top w:val="nil"/>
              <w:left w:val="nil"/>
              <w:bottom w:val="single" w:sz="4" w:space="0" w:color="auto"/>
              <w:right w:val="single" w:sz="4" w:space="0" w:color="auto"/>
            </w:tcBorders>
          </w:tcPr>
          <w:p w14:paraId="47559396" w14:textId="77777777" w:rsidR="002D7080" w:rsidRPr="004D1E6F" w:rsidRDefault="002D7080" w:rsidP="006728DB">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email: ctchimimbaa@up.ac.za</w:t>
            </w:r>
          </w:p>
        </w:tc>
      </w:tr>
      <w:tr w:rsidR="002D7080" w:rsidRPr="004D1E6F" w14:paraId="61F13D31" w14:textId="77777777" w:rsidTr="002E2C37">
        <w:trPr>
          <w:cantSplit/>
          <w:trHeight w:val="357"/>
        </w:trPr>
        <w:tc>
          <w:tcPr>
            <w:tcW w:w="8790" w:type="dxa"/>
            <w:gridSpan w:val="4"/>
            <w:tcBorders>
              <w:left w:val="single" w:sz="4" w:space="0" w:color="auto"/>
              <w:bottom w:val="single" w:sz="4" w:space="0" w:color="auto"/>
              <w:right w:val="single" w:sz="4" w:space="0" w:color="auto"/>
            </w:tcBorders>
            <w:shd w:val="clear" w:color="auto" w:fill="F2F2F2" w:themeFill="background1" w:themeFillShade="F2"/>
            <w:noWrap/>
          </w:tcPr>
          <w:p w14:paraId="12FBD399"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BAC3 Name(s) and contact details of expert(s) consulted</w:t>
            </w:r>
          </w:p>
        </w:tc>
      </w:tr>
      <w:tr w:rsidR="002D7080" w:rsidRPr="004D1E6F" w14:paraId="7A52EE7D" w14:textId="77777777" w:rsidTr="002E2C37">
        <w:trPr>
          <w:cantSplit/>
          <w:trHeight w:val="284"/>
        </w:trPr>
        <w:tc>
          <w:tcPr>
            <w:tcW w:w="2700" w:type="dxa"/>
            <w:vMerge w:val="restart"/>
            <w:tcBorders>
              <w:left w:val="single" w:sz="4" w:space="0" w:color="auto"/>
              <w:right w:val="single" w:sz="4" w:space="0" w:color="auto"/>
            </w:tcBorders>
            <w:noWrap/>
          </w:tcPr>
          <w:p w14:paraId="7EC56BDF"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Expert (1)</w:t>
            </w:r>
          </w:p>
        </w:tc>
        <w:tc>
          <w:tcPr>
            <w:tcW w:w="6090" w:type="dxa"/>
            <w:gridSpan w:val="3"/>
            <w:tcBorders>
              <w:top w:val="nil"/>
              <w:left w:val="nil"/>
              <w:bottom w:val="single" w:sz="4" w:space="0" w:color="auto"/>
              <w:right w:val="single" w:sz="4" w:space="0" w:color="auto"/>
            </w:tcBorders>
          </w:tcPr>
          <w:p w14:paraId="76C83981"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Name: </w:t>
            </w:r>
          </w:p>
        </w:tc>
      </w:tr>
      <w:tr w:rsidR="002D7080" w:rsidRPr="004D1E6F" w14:paraId="6242B513" w14:textId="77777777" w:rsidTr="002E2C37">
        <w:trPr>
          <w:cantSplit/>
          <w:trHeight w:val="284"/>
        </w:trPr>
        <w:tc>
          <w:tcPr>
            <w:tcW w:w="2700" w:type="dxa"/>
            <w:vMerge/>
            <w:tcBorders>
              <w:left w:val="single" w:sz="4" w:space="0" w:color="auto"/>
              <w:right w:val="single" w:sz="4" w:space="0" w:color="auto"/>
            </w:tcBorders>
            <w:noWrap/>
          </w:tcPr>
          <w:p w14:paraId="5A942F83"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p>
        </w:tc>
        <w:tc>
          <w:tcPr>
            <w:tcW w:w="6090" w:type="dxa"/>
            <w:gridSpan w:val="3"/>
            <w:tcBorders>
              <w:top w:val="nil"/>
              <w:left w:val="nil"/>
              <w:bottom w:val="single" w:sz="4" w:space="0" w:color="auto"/>
              <w:right w:val="single" w:sz="4" w:space="0" w:color="auto"/>
            </w:tcBorders>
          </w:tcPr>
          <w:p w14:paraId="01EFA968"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email: </w:t>
            </w:r>
          </w:p>
        </w:tc>
      </w:tr>
      <w:tr w:rsidR="002D7080" w:rsidRPr="004D1E6F" w14:paraId="41972DA3" w14:textId="77777777" w:rsidTr="002E2C37">
        <w:trPr>
          <w:cantSplit/>
          <w:trHeight w:val="284"/>
        </w:trPr>
        <w:tc>
          <w:tcPr>
            <w:tcW w:w="2700" w:type="dxa"/>
            <w:vMerge/>
            <w:tcBorders>
              <w:left w:val="single" w:sz="4" w:space="0" w:color="auto"/>
              <w:bottom w:val="single" w:sz="4" w:space="0" w:color="auto"/>
              <w:right w:val="single" w:sz="4" w:space="0" w:color="auto"/>
            </w:tcBorders>
            <w:noWrap/>
          </w:tcPr>
          <w:p w14:paraId="34297FE2"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p>
        </w:tc>
        <w:tc>
          <w:tcPr>
            <w:tcW w:w="6090" w:type="dxa"/>
            <w:gridSpan w:val="3"/>
            <w:tcBorders>
              <w:top w:val="nil"/>
              <w:left w:val="nil"/>
              <w:bottom w:val="single" w:sz="4" w:space="0" w:color="auto"/>
              <w:right w:val="single" w:sz="4" w:space="0" w:color="auto"/>
            </w:tcBorders>
          </w:tcPr>
          <w:p w14:paraId="371BD3C0"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Phone:</w:t>
            </w:r>
          </w:p>
        </w:tc>
      </w:tr>
      <w:tr w:rsidR="002D7080" w:rsidRPr="004D1E6F" w14:paraId="45784107" w14:textId="77777777" w:rsidTr="002E2C37">
        <w:trPr>
          <w:cantSplit/>
          <w:trHeight w:val="284"/>
        </w:trPr>
        <w:tc>
          <w:tcPr>
            <w:tcW w:w="2700" w:type="dxa"/>
            <w:vMerge w:val="restart"/>
            <w:tcBorders>
              <w:left w:val="single" w:sz="4" w:space="0" w:color="auto"/>
              <w:right w:val="single" w:sz="4" w:space="0" w:color="auto"/>
            </w:tcBorders>
            <w:noWrap/>
          </w:tcPr>
          <w:p w14:paraId="5FBEAB97"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Expert (2)</w:t>
            </w:r>
          </w:p>
        </w:tc>
        <w:tc>
          <w:tcPr>
            <w:tcW w:w="6090" w:type="dxa"/>
            <w:gridSpan w:val="3"/>
            <w:tcBorders>
              <w:top w:val="nil"/>
              <w:left w:val="nil"/>
              <w:bottom w:val="single" w:sz="4" w:space="0" w:color="auto"/>
              <w:right w:val="single" w:sz="4" w:space="0" w:color="auto"/>
            </w:tcBorders>
          </w:tcPr>
          <w:p w14:paraId="30C9B6D8"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Name:</w:t>
            </w:r>
          </w:p>
        </w:tc>
      </w:tr>
      <w:tr w:rsidR="002D7080" w:rsidRPr="004D1E6F" w14:paraId="6368A98E" w14:textId="77777777" w:rsidTr="002E2C37">
        <w:trPr>
          <w:cantSplit/>
          <w:trHeight w:val="284"/>
        </w:trPr>
        <w:tc>
          <w:tcPr>
            <w:tcW w:w="2700" w:type="dxa"/>
            <w:vMerge/>
            <w:tcBorders>
              <w:left w:val="single" w:sz="4" w:space="0" w:color="auto"/>
              <w:right w:val="single" w:sz="4" w:space="0" w:color="auto"/>
            </w:tcBorders>
            <w:noWrap/>
          </w:tcPr>
          <w:p w14:paraId="31638B1A"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p>
        </w:tc>
        <w:tc>
          <w:tcPr>
            <w:tcW w:w="6090" w:type="dxa"/>
            <w:gridSpan w:val="3"/>
            <w:tcBorders>
              <w:top w:val="nil"/>
              <w:left w:val="nil"/>
              <w:bottom w:val="single" w:sz="4" w:space="0" w:color="auto"/>
              <w:right w:val="single" w:sz="4" w:space="0" w:color="auto"/>
            </w:tcBorders>
          </w:tcPr>
          <w:p w14:paraId="52DC2AF4"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email:</w:t>
            </w:r>
          </w:p>
        </w:tc>
      </w:tr>
      <w:tr w:rsidR="002D7080" w:rsidRPr="004D1E6F" w14:paraId="7AB97A17" w14:textId="77777777" w:rsidTr="002E2C37">
        <w:trPr>
          <w:cantSplit/>
          <w:trHeight w:val="284"/>
        </w:trPr>
        <w:tc>
          <w:tcPr>
            <w:tcW w:w="2700" w:type="dxa"/>
            <w:vMerge/>
            <w:tcBorders>
              <w:left w:val="single" w:sz="4" w:space="0" w:color="auto"/>
              <w:bottom w:val="single" w:sz="4" w:space="0" w:color="auto"/>
              <w:right w:val="single" w:sz="4" w:space="0" w:color="auto"/>
            </w:tcBorders>
            <w:noWrap/>
          </w:tcPr>
          <w:p w14:paraId="413DA166"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p>
        </w:tc>
        <w:tc>
          <w:tcPr>
            <w:tcW w:w="6090" w:type="dxa"/>
            <w:gridSpan w:val="3"/>
            <w:tcBorders>
              <w:top w:val="nil"/>
              <w:left w:val="nil"/>
              <w:bottom w:val="single" w:sz="4" w:space="0" w:color="auto"/>
              <w:right w:val="single" w:sz="4" w:space="0" w:color="auto"/>
            </w:tcBorders>
          </w:tcPr>
          <w:p w14:paraId="7465A6B6"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Phone:</w:t>
            </w:r>
          </w:p>
        </w:tc>
      </w:tr>
      <w:tr w:rsidR="002D7080" w:rsidRPr="004D1E6F" w14:paraId="32F6A579" w14:textId="77777777" w:rsidTr="002E2C37">
        <w:trPr>
          <w:cantSplit/>
          <w:trHeight w:val="260"/>
        </w:trPr>
        <w:tc>
          <w:tcPr>
            <w:tcW w:w="8790" w:type="dxa"/>
            <w:gridSpan w:val="4"/>
            <w:tcBorders>
              <w:top w:val="nil"/>
              <w:left w:val="single" w:sz="4" w:space="0" w:color="auto"/>
              <w:bottom w:val="single" w:sz="4" w:space="0" w:color="auto"/>
              <w:right w:val="single" w:sz="4" w:space="0" w:color="auto"/>
            </w:tcBorders>
            <w:noWrap/>
          </w:tcPr>
          <w:p w14:paraId="388DCCCD"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none</w:t>
            </w:r>
          </w:p>
        </w:tc>
      </w:tr>
      <w:tr w:rsidR="002D7080" w:rsidRPr="004D1E6F" w14:paraId="416FAA97" w14:textId="77777777" w:rsidTr="002E2C37">
        <w:trPr>
          <w:cantSplit/>
          <w:trHeight w:val="365"/>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3B36D3FF"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BAC4 Scientific name of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under assessment</w:t>
            </w:r>
          </w:p>
        </w:tc>
      </w:tr>
      <w:tr w:rsidR="002D7080" w:rsidRPr="004D1E6F" w14:paraId="1EFB3E2F" w14:textId="77777777" w:rsidTr="002E2C37">
        <w:trPr>
          <w:cantSplit/>
          <w:trHeight w:val="242"/>
        </w:trPr>
        <w:tc>
          <w:tcPr>
            <w:tcW w:w="6124" w:type="dxa"/>
            <w:gridSpan w:val="3"/>
            <w:tcBorders>
              <w:top w:val="nil"/>
              <w:left w:val="single" w:sz="4" w:space="0" w:color="auto"/>
              <w:bottom w:val="single" w:sz="4" w:space="0" w:color="auto"/>
              <w:right w:val="single" w:sz="4" w:space="0" w:color="auto"/>
            </w:tcBorders>
            <w:noWrap/>
          </w:tcPr>
          <w:p w14:paraId="73F02B3C"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name: </w:t>
            </w:r>
            <w:r w:rsidRPr="004D1E6F">
              <w:rPr>
                <w:rFonts w:ascii="Times New Roman" w:eastAsia="Times New Roman" w:hAnsi="Times New Roman" w:cs="Times New Roman"/>
                <w:i/>
                <w:iCs/>
                <w:color w:val="000000"/>
                <w:sz w:val="20"/>
                <w:szCs w:val="20"/>
                <w:lang w:eastAsia="en-ZA"/>
              </w:rPr>
              <w:t>Faxonius virilis</w:t>
            </w:r>
          </w:p>
        </w:tc>
        <w:tc>
          <w:tcPr>
            <w:tcW w:w="2666" w:type="dxa"/>
            <w:tcBorders>
              <w:top w:val="nil"/>
              <w:left w:val="nil"/>
              <w:bottom w:val="single" w:sz="4" w:space="0" w:color="auto"/>
              <w:right w:val="single" w:sz="4" w:space="0" w:color="auto"/>
            </w:tcBorders>
            <w:hideMark/>
          </w:tcPr>
          <w:p w14:paraId="5FB78878"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Authority: </w:t>
            </w:r>
            <w:r w:rsidRPr="004D1E6F">
              <w:rPr>
                <w:rFonts w:ascii="Times New Roman" w:eastAsia="Calibri" w:hAnsi="Times New Roman" w:cs="Times New Roman"/>
                <w:color w:val="000000"/>
                <w:sz w:val="20"/>
                <w:szCs w:val="20"/>
                <w:shd w:val="clear" w:color="auto" w:fill="FFFFFF"/>
              </w:rPr>
              <w:t>(Hagen, 1870</w:t>
            </w:r>
            <w:r w:rsidRPr="004D1E6F">
              <w:rPr>
                <w:rFonts w:ascii="Times New Roman" w:eastAsia="Times New Roman" w:hAnsi="Times New Roman" w:cs="Times New Roman"/>
                <w:color w:val="000000"/>
                <w:sz w:val="20"/>
                <w:szCs w:val="20"/>
                <w:lang w:eastAsia="en-ZA"/>
              </w:rPr>
              <w:t>)</w:t>
            </w:r>
          </w:p>
        </w:tc>
      </w:tr>
      <w:tr w:rsidR="002D7080" w:rsidRPr="004D1E6F" w14:paraId="7503DEEE" w14:textId="77777777" w:rsidTr="002E2C37">
        <w:trPr>
          <w:cantSplit/>
          <w:trHeight w:val="424"/>
        </w:trPr>
        <w:tc>
          <w:tcPr>
            <w:tcW w:w="8790" w:type="dxa"/>
            <w:gridSpan w:val="4"/>
            <w:tcBorders>
              <w:top w:val="nil"/>
              <w:left w:val="single" w:sz="4" w:space="0" w:color="auto"/>
              <w:bottom w:val="single" w:sz="4" w:space="0" w:color="auto"/>
              <w:right w:val="single" w:sz="4" w:space="0" w:color="auto"/>
            </w:tcBorders>
            <w:noWrap/>
          </w:tcPr>
          <w:p w14:paraId="278D5BB4" w14:textId="77777777" w:rsidR="002D7080" w:rsidRPr="004D1E6F" w:rsidRDefault="002D7080" w:rsidP="006728DB">
            <w:pPr>
              <w:spacing w:after="0"/>
              <w:jc w:val="both"/>
              <w:rPr>
                <w:rFonts w:ascii="Times New Roman" w:eastAsia="Calibri" w:hAnsi="Times New Roman" w:cs="Times New Roman"/>
                <w:i/>
                <w:iCs/>
                <w:color w:val="0E101A"/>
                <w:sz w:val="20"/>
                <w:szCs w:val="20"/>
              </w:rPr>
            </w:pPr>
            <w:r w:rsidRPr="004D1E6F">
              <w:rPr>
                <w:rFonts w:ascii="Times New Roman" w:eastAsia="Times New Roman" w:hAnsi="Times New Roman" w:cs="Times New Roman"/>
                <w:color w:val="000000"/>
                <w:sz w:val="20"/>
                <w:szCs w:val="20"/>
                <w:lang w:eastAsia="en-ZA"/>
              </w:rPr>
              <w:t>Comments:</w:t>
            </w:r>
            <w:r w:rsidRPr="00233C97">
              <w:rPr>
                <w:rFonts w:ascii="Times New Roman" w:eastAsia="Times New Roman" w:hAnsi="Times New Roman" w:cs="Times New Roman"/>
                <w:sz w:val="20"/>
                <w:szCs w:val="20"/>
                <w:lang w:eastAsia="en-ZA"/>
              </w:rPr>
              <w:t xml:space="preserve"> The genus</w:t>
            </w:r>
            <w:r w:rsidRPr="00233C97">
              <w:rPr>
                <w:rFonts w:ascii="Times New Roman" w:eastAsia="Times New Roman" w:hAnsi="Times New Roman" w:cs="Times New Roman"/>
                <w:i/>
                <w:iCs/>
                <w:sz w:val="20"/>
                <w:szCs w:val="20"/>
                <w:lang w:eastAsia="en-ZA"/>
              </w:rPr>
              <w:t xml:space="preserve"> Orconectes </w:t>
            </w:r>
            <w:r w:rsidRPr="00E36EE7">
              <w:rPr>
                <w:rFonts w:ascii="Times New Roman" w:eastAsia="Times New Roman" w:hAnsi="Times New Roman" w:cs="Times New Roman"/>
                <w:sz w:val="20"/>
                <w:szCs w:val="20"/>
                <w:lang w:eastAsia="en-ZA"/>
              </w:rPr>
              <w:t>previously included cave</w:t>
            </w:r>
            <w:r w:rsidRPr="00233C97">
              <w:rPr>
                <w:rFonts w:ascii="Times New Roman" w:eastAsia="Times New Roman" w:hAnsi="Times New Roman" w:cs="Times New Roman"/>
                <w:sz w:val="20"/>
                <w:szCs w:val="20"/>
                <w:lang w:eastAsia="en-ZA"/>
              </w:rPr>
              <w:t xml:space="preserve">-dwelling and surface-dwelling crayfish (Crandall &amp; De Grave 2017). The non-cave dwelling crayfish in the </w:t>
            </w:r>
            <w:r w:rsidRPr="00233C97">
              <w:rPr>
                <w:rFonts w:ascii="Times New Roman" w:eastAsia="Times New Roman" w:hAnsi="Times New Roman" w:cs="Times New Roman"/>
                <w:i/>
                <w:sz w:val="20"/>
                <w:szCs w:val="20"/>
                <w:lang w:eastAsia="en-ZA"/>
              </w:rPr>
              <w:t>Orconectes</w:t>
            </w:r>
            <w:r w:rsidRPr="00233C97">
              <w:rPr>
                <w:rFonts w:ascii="Times New Roman" w:eastAsia="Times New Roman" w:hAnsi="Times New Roman" w:cs="Times New Roman"/>
                <w:sz w:val="20"/>
                <w:szCs w:val="20"/>
                <w:lang w:eastAsia="en-ZA"/>
              </w:rPr>
              <w:t xml:space="preserve"> genus were moved to </w:t>
            </w:r>
            <w:r w:rsidRPr="00233C97">
              <w:rPr>
                <w:rFonts w:ascii="Times New Roman" w:eastAsia="Times New Roman" w:hAnsi="Times New Roman" w:cs="Times New Roman"/>
                <w:i/>
                <w:sz w:val="20"/>
                <w:szCs w:val="20"/>
                <w:lang w:eastAsia="en-ZA"/>
              </w:rPr>
              <w:t>Faxonius</w:t>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iCs/>
                <w:sz w:val="20"/>
                <w:szCs w:val="20"/>
                <w:lang w:eastAsia="en-ZA"/>
              </w:rPr>
              <w:t xml:space="preserve">(Crandall &amp; De Grave 2017). The taxonomic status of </w:t>
            </w:r>
            <w:r w:rsidRPr="00233C97">
              <w:rPr>
                <w:rFonts w:ascii="Times New Roman" w:eastAsia="Times New Roman" w:hAnsi="Times New Roman" w:cs="Times New Roman"/>
                <w:i/>
                <w:sz w:val="20"/>
                <w:szCs w:val="20"/>
                <w:lang w:eastAsia="en-ZA"/>
              </w:rPr>
              <w:t xml:space="preserve">F. </w:t>
            </w:r>
            <w:r>
              <w:rPr>
                <w:rFonts w:ascii="Times New Roman" w:eastAsia="Times New Roman" w:hAnsi="Times New Roman" w:cs="Times New Roman"/>
                <w:i/>
                <w:sz w:val="20"/>
                <w:szCs w:val="20"/>
                <w:lang w:eastAsia="en-ZA"/>
              </w:rPr>
              <w:t>virilis</w:t>
            </w:r>
            <w:r w:rsidRPr="00233C97">
              <w:rPr>
                <w:rFonts w:ascii="Times New Roman" w:eastAsia="Times New Roman" w:hAnsi="Times New Roman" w:cs="Times New Roman"/>
                <w:i/>
                <w:sz w:val="20"/>
                <w:szCs w:val="20"/>
                <w:lang w:eastAsia="en-ZA"/>
              </w:rPr>
              <w:t xml:space="preserve"> </w:t>
            </w:r>
            <w:r w:rsidRPr="00233C97">
              <w:rPr>
                <w:rFonts w:ascii="Times New Roman" w:eastAsia="Times New Roman" w:hAnsi="Times New Roman" w:cs="Times New Roman"/>
                <w:iCs/>
                <w:sz w:val="20"/>
                <w:szCs w:val="20"/>
                <w:lang w:eastAsia="en-ZA"/>
              </w:rPr>
              <w:t>has been verified (</w:t>
            </w:r>
            <w:r>
              <w:rPr>
                <w:rFonts w:ascii="Times New Roman" w:eastAsia="Times New Roman" w:hAnsi="Times New Roman" w:cs="Times New Roman"/>
                <w:iCs/>
                <w:sz w:val="20"/>
                <w:szCs w:val="20"/>
                <w:lang w:eastAsia="en-ZA"/>
              </w:rPr>
              <w:t>GBIF 2023</w:t>
            </w:r>
            <w:r w:rsidRPr="00233C97">
              <w:rPr>
                <w:rFonts w:ascii="Times New Roman" w:eastAsia="Times New Roman" w:hAnsi="Times New Roman" w:cs="Times New Roman"/>
                <w:iCs/>
                <w:sz w:val="20"/>
                <w:szCs w:val="20"/>
                <w:lang w:eastAsia="en-ZA"/>
              </w:rPr>
              <w:t>).</w:t>
            </w:r>
          </w:p>
        </w:tc>
      </w:tr>
      <w:tr w:rsidR="002D7080" w:rsidRPr="004D1E6F" w14:paraId="5E4D8D69" w14:textId="77777777" w:rsidTr="002E2C37">
        <w:trPr>
          <w:cantSplit/>
          <w:trHeight w:val="402"/>
        </w:trPr>
        <w:tc>
          <w:tcPr>
            <w:tcW w:w="8790" w:type="dxa"/>
            <w:gridSpan w:val="4"/>
            <w:tcBorders>
              <w:top w:val="nil"/>
              <w:left w:val="single" w:sz="4" w:space="0" w:color="auto"/>
              <w:bottom w:val="single" w:sz="4" w:space="0" w:color="auto"/>
              <w:right w:val="single" w:sz="4" w:space="0" w:color="auto"/>
            </w:tcBorders>
            <w:noWrap/>
          </w:tcPr>
          <w:p w14:paraId="308C48CC"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10D18929" w14:textId="4A84AD9B" w:rsidR="002D7080" w:rsidRDefault="002D7080" w:rsidP="006728DB">
            <w:pPr>
              <w:spacing w:after="0"/>
              <w:ind w:left="522" w:hanging="522"/>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Crandall</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K</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De Grave</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2017</w:t>
            </w:r>
            <w:r>
              <w:rPr>
                <w:rFonts w:ascii="Times New Roman" w:eastAsia="Times New Roman" w:hAnsi="Times New Roman" w:cs="Times New Roman"/>
                <w:color w:val="000000"/>
                <w:sz w:val="20"/>
                <w:szCs w:val="20"/>
                <w:lang w:eastAsia="en-ZA"/>
              </w:rPr>
              <w:t>, ‘</w:t>
            </w:r>
            <w:r w:rsidRPr="004D1E6F">
              <w:rPr>
                <w:rFonts w:ascii="Times New Roman" w:eastAsia="Times New Roman" w:hAnsi="Times New Roman" w:cs="Times New Roman"/>
                <w:color w:val="000000"/>
                <w:sz w:val="20"/>
                <w:szCs w:val="20"/>
                <w:lang w:eastAsia="en-ZA"/>
              </w:rPr>
              <w:t>An updated classification of the freshwater crayfishes (Decapoda: Astacidea) of the world, with a complete species list</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Journal of Crustacean Biology</w:t>
            </w:r>
            <w:r>
              <w:rPr>
                <w:rFonts w:ascii="Times New Roman" w:eastAsia="Times New Roman" w:hAnsi="Times New Roman" w:cs="Times New Roman"/>
                <w:i/>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27</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615–653.</w:t>
            </w:r>
            <w:r w:rsidRPr="000F54D1">
              <w:rPr>
                <w:rFonts w:ascii="Times New Roman" w:hAnsi="Times New Roman" w:cs="Times New Roman"/>
                <w:sz w:val="20"/>
                <w:szCs w:val="20"/>
              </w:rPr>
              <w:t xml:space="preserve"> </w:t>
            </w:r>
            <w:hyperlink r:id="rId368" w:history="1">
              <w:r w:rsidR="00CD42FA" w:rsidRPr="00A22D6D">
                <w:rPr>
                  <w:rStyle w:val="Hyperlink"/>
                  <w:rFonts w:ascii="Times New Roman" w:hAnsi="Times New Roman" w:cs="Times New Roman"/>
                  <w:iCs/>
                  <w:sz w:val="20"/>
                  <w:szCs w:val="20"/>
                </w:rPr>
                <w:t>https://doi.org/10.1093/jcbiol/rux070</w:t>
              </w:r>
            </w:hyperlink>
            <w:r w:rsidRPr="000F54D1">
              <w:rPr>
                <w:rFonts w:ascii="Times New Roman" w:eastAsia="Times New Roman" w:hAnsi="Times New Roman" w:cs="Times New Roman"/>
                <w:color w:val="000000"/>
                <w:sz w:val="20"/>
                <w:szCs w:val="20"/>
                <w:lang w:eastAsia="en-ZA"/>
              </w:rPr>
              <w:t>.</w:t>
            </w:r>
            <w:r w:rsidR="00CD42FA">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 xml:space="preserve"> </w:t>
            </w:r>
          </w:p>
          <w:p w14:paraId="5187B592" w14:textId="77777777" w:rsidR="002D7080" w:rsidRPr="00232AF4" w:rsidRDefault="002D7080" w:rsidP="006728DB">
            <w:pPr>
              <w:spacing w:after="0"/>
              <w:ind w:left="522" w:hanging="522"/>
              <w:jc w:val="both"/>
              <w:rPr>
                <w:rFonts w:ascii="Times New Roman" w:eastAsia="Times New Roman" w:hAnsi="Times New Roman" w:cs="Times New Roman"/>
                <w:color w:val="000000"/>
                <w:sz w:val="20"/>
                <w:szCs w:val="20"/>
                <w:lang w:eastAsia="en-ZA"/>
              </w:rPr>
            </w:pPr>
            <w:r w:rsidRPr="00232AF4">
              <w:rPr>
                <w:rFonts w:ascii="Times New Roman" w:hAnsi="Times New Roman" w:cs="Times New Roman"/>
                <w:i/>
                <w:iCs/>
                <w:sz w:val="20"/>
                <w:szCs w:val="20"/>
                <w:shd w:val="clear" w:color="auto" w:fill="FFFFFF"/>
              </w:rPr>
              <w:t>Faxonius virilis </w:t>
            </w:r>
            <w:r w:rsidRPr="00232AF4">
              <w:rPr>
                <w:rFonts w:ascii="Times New Roman" w:hAnsi="Times New Roman" w:cs="Times New Roman"/>
                <w:sz w:val="20"/>
                <w:szCs w:val="20"/>
                <w:shd w:val="clear" w:color="auto" w:fill="FFFFFF"/>
              </w:rPr>
              <w:t>(Hagen, 1870) in GBIF Secretariat (2023). GBIF Backbone Taxonomy. Checklist dataset </w:t>
            </w:r>
            <w:hyperlink w:tgtFrame="_blank" w:history="1">
              <w:r w:rsidRPr="00232AF4">
                <w:rPr>
                  <w:rFonts w:ascii="Times New Roman" w:hAnsi="Times New Roman" w:cs="Times New Roman"/>
                  <w:sz w:val="20"/>
                  <w:szCs w:val="20"/>
                  <w:u w:val="single"/>
                </w:rPr>
                <w:t>https://doi.org/10.15468/39omei</w:t>
              </w:r>
            </w:hyperlink>
            <w:r w:rsidRPr="00232AF4">
              <w:rPr>
                <w:rFonts w:ascii="Times New Roman" w:hAnsi="Times New Roman" w:cs="Times New Roman"/>
                <w:sz w:val="20"/>
                <w:szCs w:val="20"/>
                <w:shd w:val="clear" w:color="auto" w:fill="FFFFFF"/>
              </w:rPr>
              <w:t> accessed via GBIF.org on 2024-07-11.</w:t>
            </w:r>
          </w:p>
        </w:tc>
      </w:tr>
      <w:tr w:rsidR="002D7080" w:rsidRPr="004D1E6F" w14:paraId="335BB7F3"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036DA25"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BAC5 Synonym(s) considered</w:t>
            </w:r>
          </w:p>
        </w:tc>
      </w:tr>
      <w:tr w:rsidR="002D7080" w:rsidRPr="0087162A" w14:paraId="5E12D4BC" w14:textId="77777777" w:rsidTr="002E2C37">
        <w:trPr>
          <w:cantSplit/>
          <w:trHeight w:val="242"/>
        </w:trPr>
        <w:tc>
          <w:tcPr>
            <w:tcW w:w="8790" w:type="dxa"/>
            <w:gridSpan w:val="4"/>
            <w:tcBorders>
              <w:top w:val="single" w:sz="4" w:space="0" w:color="auto"/>
              <w:left w:val="single" w:sz="4" w:space="0" w:color="auto"/>
              <w:bottom w:val="single" w:sz="4" w:space="0" w:color="auto"/>
              <w:right w:val="single" w:sz="4" w:space="0" w:color="auto"/>
            </w:tcBorders>
            <w:noWrap/>
          </w:tcPr>
          <w:p w14:paraId="60ACBE71" w14:textId="77777777" w:rsidR="002D7080" w:rsidRPr="000E6BA8" w:rsidRDefault="002D7080" w:rsidP="006728DB">
            <w:pPr>
              <w:spacing w:after="0"/>
              <w:jc w:val="both"/>
              <w:rPr>
                <w:rFonts w:ascii="Times New Roman" w:eastAsia="Times New Roman" w:hAnsi="Times New Roman" w:cs="Times New Roman"/>
                <w:b/>
                <w:i/>
                <w:color w:val="000000"/>
                <w:sz w:val="20"/>
                <w:szCs w:val="20"/>
                <w:lang w:val="fr-FR" w:eastAsia="en-ZA"/>
              </w:rPr>
            </w:pPr>
            <w:r w:rsidRPr="000E6BA8">
              <w:rPr>
                <w:rFonts w:ascii="Times New Roman" w:eastAsia="Times New Roman" w:hAnsi="Times New Roman" w:cs="Times New Roman"/>
                <w:color w:val="000000"/>
                <w:sz w:val="20"/>
                <w:szCs w:val="20"/>
                <w:lang w:val="fr-FR" w:eastAsia="en-ZA"/>
              </w:rPr>
              <w:t xml:space="preserve">Synonyms: </w:t>
            </w:r>
            <w:r w:rsidRPr="000E6BA8">
              <w:rPr>
                <w:rFonts w:ascii="Times New Roman" w:eastAsia="Times New Roman" w:hAnsi="Times New Roman" w:cs="Times New Roman"/>
                <w:i/>
                <w:color w:val="000000"/>
                <w:sz w:val="20"/>
                <w:szCs w:val="20"/>
                <w:lang w:val="fr-FR" w:eastAsia="en-ZA"/>
              </w:rPr>
              <w:t xml:space="preserve">Cambarus virilis, Orconectes virilis, Cambarus couesi, Cambarus debilis, Cambarus wisconsinensis </w:t>
            </w:r>
          </w:p>
        </w:tc>
      </w:tr>
      <w:tr w:rsidR="002D7080" w:rsidRPr="004D1E6F" w14:paraId="7EE7955C"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1378086A" w14:textId="77777777" w:rsidR="002D7080" w:rsidRPr="004D1E6F" w:rsidRDefault="002D7080" w:rsidP="006728DB">
            <w:pPr>
              <w:spacing w:after="0"/>
              <w:jc w:val="both"/>
              <w:rPr>
                <w:rFonts w:ascii="Times New Roman" w:eastAsia="Times New Roman" w:hAnsi="Times New Roman" w:cs="Times New Roman"/>
                <w:i/>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There are several known synonyms of </w:t>
            </w:r>
            <w:r w:rsidRPr="00232AF4">
              <w:rPr>
                <w:rFonts w:ascii="Times New Roman" w:eastAsia="Times New Roman" w:hAnsi="Times New Roman" w:cs="Times New Roman"/>
                <w:i/>
                <w:iCs/>
                <w:color w:val="000000"/>
                <w:sz w:val="20"/>
                <w:szCs w:val="20"/>
                <w:lang w:eastAsia="en-ZA"/>
              </w:rPr>
              <w:t>F. varilis</w:t>
            </w:r>
            <w:r>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Cs/>
                <w:sz w:val="20"/>
                <w:szCs w:val="20"/>
                <w:lang w:eastAsia="en-ZA"/>
              </w:rPr>
              <w:t>Crandall &amp; De Grave 2017</w:t>
            </w:r>
            <w:r>
              <w:rPr>
                <w:rFonts w:ascii="Times New Roman" w:eastAsia="Times New Roman" w:hAnsi="Times New Roman" w:cs="Times New Roman"/>
                <w:iCs/>
                <w:sz w:val="20"/>
                <w:szCs w:val="20"/>
                <w:lang w:eastAsia="en-ZA"/>
              </w:rPr>
              <w:t xml:space="preserve">; </w:t>
            </w:r>
            <w:r>
              <w:rPr>
                <w:rFonts w:ascii="Times New Roman" w:eastAsia="Times New Roman" w:hAnsi="Times New Roman" w:cs="Times New Roman"/>
                <w:color w:val="000000"/>
                <w:sz w:val="20"/>
                <w:szCs w:val="20"/>
                <w:lang w:eastAsia="en-ZA"/>
              </w:rPr>
              <w:t>GBIF 2023; CABI 2024) and the above listed synonyms were used for the literature search for this risk analysis</w:t>
            </w:r>
            <w:r w:rsidRPr="004D1E6F">
              <w:rPr>
                <w:rFonts w:ascii="Times New Roman" w:eastAsia="Times New Roman" w:hAnsi="Times New Roman" w:cs="Times New Roman"/>
                <w:i/>
                <w:color w:val="000000"/>
                <w:sz w:val="20"/>
                <w:szCs w:val="20"/>
                <w:lang w:eastAsia="en-ZA"/>
              </w:rPr>
              <w:t>.</w:t>
            </w:r>
          </w:p>
        </w:tc>
      </w:tr>
      <w:tr w:rsidR="002D7080" w:rsidRPr="004D1E6F" w14:paraId="3AB2D284"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1559D5DF"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References:</w:t>
            </w:r>
          </w:p>
          <w:p w14:paraId="326E91C5" w14:textId="77777777" w:rsidR="002D7080" w:rsidRDefault="002D7080" w:rsidP="006728DB">
            <w:pPr>
              <w:spacing w:after="0"/>
              <w:ind w:left="522" w:hanging="522"/>
              <w:jc w:val="both"/>
              <w:rPr>
                <w:rFonts w:ascii="Times New Roman" w:eastAsia="Times New Roman" w:hAnsi="Times New Roman" w:cs="Times New Roman"/>
                <w:color w:val="000000"/>
                <w:sz w:val="20"/>
                <w:szCs w:val="20"/>
                <w:lang w:eastAsia="en-ZA"/>
              </w:rPr>
            </w:pPr>
            <w:r w:rsidRPr="00A26CA1">
              <w:rPr>
                <w:rFonts w:ascii="Times New Roman" w:eastAsia="Times New Roman" w:hAnsi="Times New Roman" w:cs="Times New Roman"/>
                <w:color w:val="000000"/>
                <w:sz w:val="20"/>
                <w:szCs w:val="20"/>
                <w:lang w:eastAsia="en-ZA"/>
              </w:rPr>
              <w:t>Crandall, K.A., De Grave, S., 2017, ‘An updated classification of the freshwater crayfishes (Decapoda: Astacidea) of the world, with a complete species list’, Journal of Crustacean Biology, 27, 615–653.</w:t>
            </w:r>
            <w:r w:rsidRPr="000F54D1">
              <w:rPr>
                <w:rFonts w:ascii="Times New Roman" w:hAnsi="Times New Roman" w:cs="Times New Roman"/>
                <w:sz w:val="20"/>
                <w:szCs w:val="20"/>
              </w:rPr>
              <w:t xml:space="preserve"> </w:t>
            </w:r>
            <w:hyperlink r:id="rId369" w:history="1">
              <w:r w:rsidRPr="000F54D1">
                <w:rPr>
                  <w:rStyle w:val="Hyperlink"/>
                  <w:rFonts w:ascii="Times New Roman" w:eastAsia="Times New Roman" w:hAnsi="Times New Roman" w:cs="Times New Roman"/>
                  <w:sz w:val="20"/>
                  <w:szCs w:val="20"/>
                  <w:lang w:eastAsia="en-ZA"/>
                </w:rPr>
                <w:t>https://doi.org/10.1093/jcbiol/rux070</w:t>
              </w:r>
            </w:hyperlink>
            <w:r w:rsidRPr="000F54D1">
              <w:rPr>
                <w:rFonts w:ascii="Times New Roman" w:eastAsia="Times New Roman" w:hAnsi="Times New Roman" w:cs="Times New Roman"/>
                <w:color w:val="000000"/>
                <w:sz w:val="20"/>
                <w:szCs w:val="20"/>
                <w:lang w:eastAsia="en-ZA"/>
              </w:rPr>
              <w:t>.</w:t>
            </w:r>
          </w:p>
          <w:p w14:paraId="56DB1087" w14:textId="77777777" w:rsidR="002D7080" w:rsidRDefault="002D7080" w:rsidP="006728DB">
            <w:pPr>
              <w:spacing w:after="0"/>
              <w:ind w:left="522" w:hanging="522"/>
              <w:jc w:val="both"/>
              <w:rPr>
                <w:rFonts w:ascii="Times New Roman" w:hAnsi="Times New Roman" w:cs="Times New Roman"/>
                <w:sz w:val="20"/>
                <w:szCs w:val="20"/>
                <w:shd w:val="clear" w:color="auto" w:fill="FFFFFF"/>
              </w:rPr>
            </w:pPr>
            <w:r w:rsidRPr="00232AF4">
              <w:rPr>
                <w:rFonts w:ascii="Times New Roman" w:hAnsi="Times New Roman" w:cs="Times New Roman"/>
                <w:i/>
                <w:iCs/>
                <w:sz w:val="20"/>
                <w:szCs w:val="20"/>
                <w:shd w:val="clear" w:color="auto" w:fill="FFFFFF"/>
              </w:rPr>
              <w:t>Faxonius virilis </w:t>
            </w:r>
            <w:r w:rsidRPr="00232AF4">
              <w:rPr>
                <w:rFonts w:ascii="Times New Roman" w:hAnsi="Times New Roman" w:cs="Times New Roman"/>
                <w:sz w:val="20"/>
                <w:szCs w:val="20"/>
                <w:shd w:val="clear" w:color="auto" w:fill="FFFFFF"/>
              </w:rPr>
              <w:t>(Hagen, 1870) in GBIF Secretariat (2023). GBIF Backbone Taxonomy. Checklist dataset </w:t>
            </w:r>
            <w:hyperlink w:tgtFrame="_blank" w:history="1">
              <w:r w:rsidRPr="00232AF4">
                <w:rPr>
                  <w:rFonts w:ascii="Times New Roman" w:hAnsi="Times New Roman" w:cs="Times New Roman"/>
                  <w:sz w:val="20"/>
                  <w:szCs w:val="20"/>
                  <w:u w:val="single"/>
                </w:rPr>
                <w:t>https://doi.org/10.15468/39omei</w:t>
              </w:r>
            </w:hyperlink>
            <w:r w:rsidRPr="00232AF4">
              <w:rPr>
                <w:rFonts w:ascii="Times New Roman" w:hAnsi="Times New Roman" w:cs="Times New Roman"/>
                <w:sz w:val="20"/>
                <w:szCs w:val="20"/>
                <w:shd w:val="clear" w:color="auto" w:fill="FFFFFF"/>
              </w:rPr>
              <w:t> accessed via GBIF.org on 2024-07-11.</w:t>
            </w:r>
          </w:p>
          <w:p w14:paraId="2D15DC57" w14:textId="77777777" w:rsidR="002D7080" w:rsidRPr="00CF3E8A" w:rsidRDefault="002D7080" w:rsidP="006728DB">
            <w:pPr>
              <w:spacing w:after="0"/>
              <w:ind w:left="522" w:hanging="522"/>
              <w:jc w:val="both"/>
              <w:rPr>
                <w:rFonts w:ascii="Times New Roman" w:hAnsi="Times New Roman" w:cs="Times New Roman"/>
                <w:sz w:val="20"/>
                <w:szCs w:val="20"/>
              </w:rPr>
            </w:pPr>
            <w:r w:rsidRPr="000E6BA8">
              <w:rPr>
                <w:rFonts w:ascii="Times New Roman" w:hAnsi="Times New Roman" w:cs="Times New Roman"/>
                <w:sz w:val="20"/>
                <w:szCs w:val="20"/>
                <w:lang w:val="fr-FR"/>
              </w:rPr>
              <w:t xml:space="preserve">CABI, 2024. </w:t>
            </w:r>
            <w:r w:rsidRPr="000E6BA8">
              <w:rPr>
                <w:rFonts w:ascii="Times New Roman" w:hAnsi="Times New Roman" w:cs="Times New Roman"/>
                <w:i/>
                <w:iCs/>
                <w:sz w:val="20"/>
                <w:szCs w:val="20"/>
                <w:lang w:val="fr-FR"/>
              </w:rPr>
              <w:t xml:space="preserve">Faxonius virilis </w:t>
            </w:r>
            <w:r w:rsidRPr="000E6BA8">
              <w:rPr>
                <w:rFonts w:ascii="Times New Roman" w:hAnsi="Times New Roman" w:cs="Times New Roman"/>
                <w:sz w:val="20"/>
                <w:szCs w:val="20"/>
                <w:lang w:val="fr-FR"/>
              </w:rPr>
              <w:t>(virile</w:t>
            </w:r>
            <w:r w:rsidRPr="000E6BA8">
              <w:rPr>
                <w:rFonts w:ascii="Times New Roman" w:hAnsi="Times New Roman" w:cs="Times New Roman"/>
                <w:i/>
                <w:iCs/>
                <w:sz w:val="20"/>
                <w:szCs w:val="20"/>
                <w:lang w:val="fr-FR"/>
              </w:rPr>
              <w:t xml:space="preserve"> </w:t>
            </w:r>
            <w:r w:rsidRPr="000E6BA8">
              <w:rPr>
                <w:rFonts w:ascii="Times New Roman" w:hAnsi="Times New Roman" w:cs="Times New Roman"/>
                <w:sz w:val="20"/>
                <w:szCs w:val="20"/>
                <w:lang w:val="fr-FR"/>
              </w:rPr>
              <w:t xml:space="preserve">crayfish). </w:t>
            </w:r>
            <w:r w:rsidRPr="009412EF">
              <w:rPr>
                <w:rFonts w:ascii="Times New Roman" w:hAnsi="Times New Roman" w:cs="Times New Roman"/>
                <w:sz w:val="20"/>
                <w:szCs w:val="20"/>
              </w:rPr>
              <w:t xml:space="preserve">Invasive Species Compendium, </w:t>
            </w:r>
            <w:r w:rsidRPr="009412EF">
              <w:rPr>
                <w:rFonts w:ascii="Times New Roman" w:hAnsi="Times New Roman" w:cs="Times New Roman"/>
                <w:color w:val="000000"/>
                <w:sz w:val="20"/>
                <w:szCs w:val="20"/>
                <w:shd w:val="clear" w:color="auto" w:fill="FFFFFF"/>
              </w:rPr>
              <w:t>CABI Publishing, Wallingford, UK.</w:t>
            </w:r>
            <w:r w:rsidRPr="009412EF">
              <w:rPr>
                <w:rFonts w:ascii="Times New Roman" w:hAnsi="Times New Roman" w:cs="Times New Roman"/>
                <w:sz w:val="20"/>
                <w:szCs w:val="20"/>
              </w:rPr>
              <w:t xml:space="preserve"> </w:t>
            </w:r>
            <w:hyperlink w:history="1">
              <w:r w:rsidRPr="000613BC">
                <w:rPr>
                  <w:rStyle w:val="Hyperlink"/>
                  <w:rFonts w:ascii="Times New Roman" w:hAnsi="Times New Roman" w:cs="Times New Roman"/>
                  <w:sz w:val="20"/>
                  <w:szCs w:val="20"/>
                </w:rPr>
                <w:t>https://www.cabidigitallibrary.org/doi/full/10.1079/cabicompendium.72034</w:t>
              </w:r>
            </w:hyperlink>
            <w:r w:rsidRPr="009412EF">
              <w:rPr>
                <w:rFonts w:ascii="Times New Roman" w:hAnsi="Times New Roman" w:cs="Times New Roman"/>
                <w:sz w:val="20"/>
                <w:szCs w:val="20"/>
              </w:rPr>
              <w:t xml:space="preserve"> (accessed 10 July 2024)</w:t>
            </w:r>
          </w:p>
        </w:tc>
      </w:tr>
      <w:tr w:rsidR="002D7080" w:rsidRPr="004D1E6F" w14:paraId="18B58CE7" w14:textId="77777777" w:rsidTr="002E2C37">
        <w:trPr>
          <w:cantSplit/>
          <w:trHeight w:val="224"/>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942F4C8"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BAC6 Common name(s) considered</w:t>
            </w:r>
          </w:p>
        </w:tc>
      </w:tr>
      <w:tr w:rsidR="002D7080" w:rsidRPr="004D1E6F" w14:paraId="64CEC6A3" w14:textId="77777777" w:rsidTr="002E2C37">
        <w:trPr>
          <w:cantSplit/>
          <w:trHeight w:val="260"/>
        </w:trPr>
        <w:tc>
          <w:tcPr>
            <w:tcW w:w="8790" w:type="dxa"/>
            <w:gridSpan w:val="4"/>
            <w:tcBorders>
              <w:top w:val="single" w:sz="4" w:space="0" w:color="auto"/>
              <w:left w:val="single" w:sz="4" w:space="0" w:color="auto"/>
              <w:bottom w:val="single" w:sz="4" w:space="0" w:color="auto"/>
              <w:right w:val="single" w:sz="4" w:space="0" w:color="auto"/>
            </w:tcBorders>
            <w:noWrap/>
          </w:tcPr>
          <w:p w14:paraId="07EB314B" w14:textId="77777777" w:rsidR="002D7080" w:rsidRPr="004D1E6F" w:rsidRDefault="002D7080" w:rsidP="006728DB">
            <w:pPr>
              <w:spacing w:after="0"/>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Common names: Virile crayfish, Northern crayfish</w:t>
            </w:r>
            <w:r>
              <w:rPr>
                <w:rFonts w:ascii="Times New Roman" w:eastAsia="Times New Roman" w:hAnsi="Times New Roman" w:cs="Times New Roman"/>
                <w:color w:val="000000"/>
                <w:sz w:val="20"/>
                <w:szCs w:val="20"/>
                <w:lang w:eastAsia="en-ZA"/>
              </w:rPr>
              <w:t xml:space="preserve">, eastern crayfish, lake crayfish, common crayfish </w:t>
            </w:r>
          </w:p>
        </w:tc>
      </w:tr>
      <w:tr w:rsidR="002D7080" w:rsidRPr="004D1E6F" w14:paraId="0AFB511F"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6BA7447D"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There are several known synonyms of </w:t>
            </w:r>
            <w:r w:rsidRPr="00232AF4">
              <w:rPr>
                <w:rFonts w:ascii="Times New Roman" w:eastAsia="Times New Roman" w:hAnsi="Times New Roman" w:cs="Times New Roman"/>
                <w:i/>
                <w:iCs/>
                <w:color w:val="000000"/>
                <w:sz w:val="20"/>
                <w:szCs w:val="20"/>
                <w:lang w:eastAsia="en-ZA"/>
              </w:rPr>
              <w:t>F. varilis</w:t>
            </w:r>
            <w:r>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Cs/>
                <w:sz w:val="20"/>
                <w:szCs w:val="20"/>
                <w:lang w:eastAsia="en-ZA"/>
              </w:rPr>
              <w:t>Crandall &amp; De Grave 2017</w:t>
            </w:r>
            <w:r>
              <w:rPr>
                <w:rFonts w:ascii="Times New Roman" w:eastAsia="Times New Roman" w:hAnsi="Times New Roman" w:cs="Times New Roman"/>
                <w:iCs/>
                <w:sz w:val="20"/>
                <w:szCs w:val="20"/>
                <w:lang w:eastAsia="en-ZA"/>
              </w:rPr>
              <w:t xml:space="preserve">; </w:t>
            </w:r>
            <w:r>
              <w:rPr>
                <w:rFonts w:ascii="Times New Roman" w:eastAsia="Times New Roman" w:hAnsi="Times New Roman" w:cs="Times New Roman"/>
                <w:color w:val="000000"/>
                <w:sz w:val="20"/>
                <w:szCs w:val="20"/>
                <w:lang w:eastAsia="en-ZA"/>
              </w:rPr>
              <w:t>GBIF 2023; CABI 2024) and the above listed synonyms were used for the literature search for this risk analysis</w:t>
            </w:r>
            <w:r w:rsidRPr="004D1E6F">
              <w:rPr>
                <w:rFonts w:ascii="Times New Roman" w:eastAsia="Times New Roman" w:hAnsi="Times New Roman" w:cs="Times New Roman"/>
                <w:i/>
                <w:color w:val="000000"/>
                <w:sz w:val="20"/>
                <w:szCs w:val="20"/>
                <w:lang w:eastAsia="en-ZA"/>
              </w:rPr>
              <w:t>.</w:t>
            </w:r>
          </w:p>
        </w:tc>
      </w:tr>
      <w:tr w:rsidR="002D7080" w:rsidRPr="004D1E6F" w14:paraId="4D3B366E"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6663C057"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1BD6BEA5" w14:textId="77777777" w:rsidR="002D7080" w:rsidRDefault="002D7080" w:rsidP="006728DB">
            <w:pPr>
              <w:spacing w:after="0"/>
              <w:ind w:left="522" w:hanging="522"/>
              <w:jc w:val="both"/>
              <w:rPr>
                <w:rFonts w:ascii="Times New Roman" w:eastAsia="Times New Roman" w:hAnsi="Times New Roman" w:cs="Times New Roman"/>
                <w:color w:val="000000"/>
                <w:sz w:val="20"/>
                <w:szCs w:val="20"/>
                <w:lang w:eastAsia="en-ZA"/>
              </w:rPr>
            </w:pPr>
            <w:r w:rsidRPr="000B53D8">
              <w:rPr>
                <w:rFonts w:ascii="Times New Roman" w:eastAsia="Times New Roman" w:hAnsi="Times New Roman" w:cs="Times New Roman"/>
                <w:color w:val="000000"/>
                <w:sz w:val="20"/>
                <w:szCs w:val="20"/>
                <w:lang w:eastAsia="en-ZA"/>
              </w:rPr>
              <w:t>Crandall, K.A., De Grave, S., 2017, ‘An updated classification of the freshwater crayfishes (Decapoda: Astacidea) of the world, with a complete species list’, Journal of Crustacean Biology, 27, 615–653.</w:t>
            </w:r>
            <w:r>
              <w:rPr>
                <w:rFonts w:ascii="Times New Roman" w:eastAsia="Times New Roman" w:hAnsi="Times New Roman" w:cs="Times New Roman"/>
                <w:color w:val="000000"/>
                <w:sz w:val="20"/>
                <w:szCs w:val="20"/>
                <w:lang w:eastAsia="en-ZA"/>
              </w:rPr>
              <w:t xml:space="preserve"> </w:t>
            </w:r>
            <w:hyperlink r:id="rId370" w:history="1">
              <w:r w:rsidRPr="000F54D1">
                <w:rPr>
                  <w:rStyle w:val="Hyperlink"/>
                  <w:rFonts w:ascii="Times New Roman" w:eastAsia="Times New Roman" w:hAnsi="Times New Roman" w:cs="Times New Roman"/>
                  <w:sz w:val="20"/>
                  <w:szCs w:val="20"/>
                  <w:lang w:eastAsia="en-ZA"/>
                </w:rPr>
                <w:t>https://doi.org/10.1093/jcbiol/rux070</w:t>
              </w:r>
            </w:hyperlink>
            <w:r w:rsidRPr="000F54D1">
              <w:rPr>
                <w:rFonts w:ascii="Times New Roman" w:eastAsia="Times New Roman" w:hAnsi="Times New Roman" w:cs="Times New Roman"/>
                <w:color w:val="000000"/>
                <w:sz w:val="20"/>
                <w:szCs w:val="20"/>
                <w:lang w:eastAsia="en-ZA"/>
              </w:rPr>
              <w:t>.</w:t>
            </w:r>
          </w:p>
          <w:p w14:paraId="185C8F25" w14:textId="77777777" w:rsidR="002D7080" w:rsidRDefault="002D7080" w:rsidP="006728DB">
            <w:pPr>
              <w:spacing w:after="0"/>
              <w:ind w:left="522" w:hanging="522"/>
              <w:jc w:val="both"/>
              <w:rPr>
                <w:rFonts w:ascii="Times New Roman" w:hAnsi="Times New Roman" w:cs="Times New Roman"/>
                <w:sz w:val="20"/>
                <w:szCs w:val="20"/>
                <w:shd w:val="clear" w:color="auto" w:fill="FFFFFF"/>
              </w:rPr>
            </w:pPr>
            <w:r w:rsidRPr="00232AF4">
              <w:rPr>
                <w:rFonts w:ascii="Times New Roman" w:hAnsi="Times New Roman" w:cs="Times New Roman"/>
                <w:i/>
                <w:iCs/>
                <w:sz w:val="20"/>
                <w:szCs w:val="20"/>
                <w:shd w:val="clear" w:color="auto" w:fill="FFFFFF"/>
              </w:rPr>
              <w:t>Faxonius virilis </w:t>
            </w:r>
            <w:r w:rsidRPr="00232AF4">
              <w:rPr>
                <w:rFonts w:ascii="Times New Roman" w:hAnsi="Times New Roman" w:cs="Times New Roman"/>
                <w:sz w:val="20"/>
                <w:szCs w:val="20"/>
                <w:shd w:val="clear" w:color="auto" w:fill="FFFFFF"/>
              </w:rPr>
              <w:t>(Hagen, 1870) in GBIF Secretariat (2023). GBIF Backbone Taxonomy. Checklist dataset </w:t>
            </w:r>
            <w:hyperlink w:tgtFrame="_blank" w:history="1">
              <w:r w:rsidRPr="00232AF4">
                <w:rPr>
                  <w:rFonts w:ascii="Times New Roman" w:hAnsi="Times New Roman" w:cs="Times New Roman"/>
                  <w:sz w:val="20"/>
                  <w:szCs w:val="20"/>
                  <w:u w:val="single"/>
                </w:rPr>
                <w:t>https://doi.org/10.15468/39omei</w:t>
              </w:r>
            </w:hyperlink>
            <w:r w:rsidRPr="00232AF4">
              <w:rPr>
                <w:rFonts w:ascii="Times New Roman" w:hAnsi="Times New Roman" w:cs="Times New Roman"/>
                <w:sz w:val="20"/>
                <w:szCs w:val="20"/>
                <w:shd w:val="clear" w:color="auto" w:fill="FFFFFF"/>
              </w:rPr>
              <w:t> accessed via GBIF.org on 2024-07-11.</w:t>
            </w:r>
          </w:p>
          <w:p w14:paraId="31EC31B2" w14:textId="77777777" w:rsidR="002D7080" w:rsidRPr="004D1E6F" w:rsidRDefault="002D7080" w:rsidP="006728DB">
            <w:pPr>
              <w:spacing w:after="0"/>
              <w:ind w:left="522" w:hanging="522"/>
              <w:jc w:val="both"/>
              <w:rPr>
                <w:rFonts w:ascii="Times New Roman" w:eastAsia="Times New Roman" w:hAnsi="Times New Roman" w:cs="Times New Roman"/>
                <w:i/>
                <w:iCs/>
                <w:color w:val="000000"/>
                <w:sz w:val="20"/>
                <w:szCs w:val="20"/>
                <w:lang w:eastAsia="en-ZA"/>
              </w:rPr>
            </w:pPr>
            <w:r w:rsidRPr="000E6BA8">
              <w:rPr>
                <w:rFonts w:ascii="Times New Roman" w:hAnsi="Times New Roman" w:cs="Times New Roman"/>
                <w:sz w:val="20"/>
                <w:szCs w:val="20"/>
                <w:lang w:val="fr-FR"/>
              </w:rPr>
              <w:t xml:space="preserve">CABI, 2024. </w:t>
            </w:r>
            <w:r w:rsidRPr="000E6BA8">
              <w:rPr>
                <w:rFonts w:ascii="Times New Roman" w:hAnsi="Times New Roman" w:cs="Times New Roman"/>
                <w:i/>
                <w:iCs/>
                <w:sz w:val="20"/>
                <w:szCs w:val="20"/>
                <w:lang w:val="fr-FR"/>
              </w:rPr>
              <w:t xml:space="preserve">Faxonius virilis </w:t>
            </w:r>
            <w:r w:rsidRPr="000E6BA8">
              <w:rPr>
                <w:rFonts w:ascii="Times New Roman" w:hAnsi="Times New Roman" w:cs="Times New Roman"/>
                <w:sz w:val="20"/>
                <w:szCs w:val="20"/>
                <w:lang w:val="fr-FR"/>
              </w:rPr>
              <w:t>(virile</w:t>
            </w:r>
            <w:r w:rsidRPr="000E6BA8">
              <w:rPr>
                <w:rFonts w:ascii="Times New Roman" w:hAnsi="Times New Roman" w:cs="Times New Roman"/>
                <w:i/>
                <w:iCs/>
                <w:sz w:val="20"/>
                <w:szCs w:val="20"/>
                <w:lang w:val="fr-FR"/>
              </w:rPr>
              <w:t xml:space="preserve"> </w:t>
            </w:r>
            <w:r w:rsidRPr="000E6BA8">
              <w:rPr>
                <w:rFonts w:ascii="Times New Roman" w:hAnsi="Times New Roman" w:cs="Times New Roman"/>
                <w:sz w:val="20"/>
                <w:szCs w:val="20"/>
                <w:lang w:val="fr-FR"/>
              </w:rPr>
              <w:t xml:space="preserve">crayfish). </w:t>
            </w:r>
            <w:r w:rsidRPr="009412EF">
              <w:rPr>
                <w:rFonts w:ascii="Times New Roman" w:hAnsi="Times New Roman" w:cs="Times New Roman"/>
                <w:sz w:val="20"/>
                <w:szCs w:val="20"/>
              </w:rPr>
              <w:t xml:space="preserve">Invasive Species Compendium, </w:t>
            </w:r>
            <w:r w:rsidRPr="009412EF">
              <w:rPr>
                <w:rFonts w:ascii="Times New Roman" w:hAnsi="Times New Roman" w:cs="Times New Roman"/>
                <w:color w:val="000000"/>
                <w:sz w:val="20"/>
                <w:szCs w:val="20"/>
                <w:shd w:val="clear" w:color="auto" w:fill="FFFFFF"/>
              </w:rPr>
              <w:t>CABI Publishing, Wallingford, UK.</w:t>
            </w:r>
            <w:r w:rsidRPr="009412EF">
              <w:rPr>
                <w:rFonts w:ascii="Times New Roman" w:hAnsi="Times New Roman" w:cs="Times New Roman"/>
                <w:sz w:val="20"/>
                <w:szCs w:val="20"/>
              </w:rPr>
              <w:t xml:space="preserve"> </w:t>
            </w:r>
            <w:hyperlink w:history="1">
              <w:r w:rsidRPr="000613BC">
                <w:rPr>
                  <w:rStyle w:val="Hyperlink"/>
                  <w:rFonts w:ascii="Times New Roman" w:hAnsi="Times New Roman" w:cs="Times New Roman"/>
                  <w:sz w:val="20"/>
                  <w:szCs w:val="20"/>
                </w:rPr>
                <w:t>https://www.cabidigitallibrary.org/doi/full/10.1079/cabicompendium.72034</w:t>
              </w:r>
            </w:hyperlink>
            <w:r w:rsidRPr="009412EF">
              <w:rPr>
                <w:rFonts w:ascii="Times New Roman" w:hAnsi="Times New Roman" w:cs="Times New Roman"/>
                <w:sz w:val="20"/>
                <w:szCs w:val="20"/>
              </w:rPr>
              <w:t xml:space="preserve"> (accessed 10 July 2024)</w:t>
            </w:r>
          </w:p>
        </w:tc>
      </w:tr>
      <w:tr w:rsidR="002D7080" w:rsidRPr="004D1E6F" w14:paraId="7595DC94" w14:textId="77777777" w:rsidTr="002E2C37">
        <w:trPr>
          <w:cantSplit/>
          <w:trHeight w:val="278"/>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3A3FFB6"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BAC7 What is the native range of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(add map in Appendix BAC7)</w:t>
            </w:r>
          </w:p>
        </w:tc>
      </w:tr>
      <w:tr w:rsidR="002D7080" w:rsidRPr="004D1E6F" w14:paraId="2494E17F" w14:textId="77777777" w:rsidTr="002E2C37">
        <w:trPr>
          <w:cantSplit/>
          <w:trHeight w:val="390"/>
        </w:trPr>
        <w:tc>
          <w:tcPr>
            <w:tcW w:w="6124" w:type="dxa"/>
            <w:gridSpan w:val="3"/>
            <w:tcBorders>
              <w:top w:val="single" w:sz="4" w:space="0" w:color="auto"/>
              <w:left w:val="single" w:sz="4" w:space="0" w:color="auto"/>
              <w:bottom w:val="single" w:sz="4" w:space="0" w:color="auto"/>
              <w:right w:val="single" w:sz="4" w:space="0" w:color="auto"/>
            </w:tcBorders>
            <w:noWrap/>
          </w:tcPr>
          <w:p w14:paraId="113C1686"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USA </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iCs/>
                <w:color w:val="000000"/>
                <w:sz w:val="20"/>
                <w:szCs w:val="20"/>
                <w:lang w:eastAsia="en-ZA"/>
              </w:rPr>
              <w:t>Missouri, Mississippi, Ohio,</w:t>
            </w:r>
            <w:r>
              <w:rPr>
                <w:rFonts w:ascii="Times New Roman" w:eastAsia="Times New Roman" w:hAnsi="Times New Roman" w:cs="Times New Roman"/>
                <w:iCs/>
                <w:color w:val="000000"/>
                <w:sz w:val="20"/>
                <w:szCs w:val="20"/>
                <w:lang w:eastAsia="en-ZA"/>
              </w:rPr>
              <w:t xml:space="preserve"> Montana, Missouri </w:t>
            </w:r>
            <w:r w:rsidRPr="004D1E6F">
              <w:rPr>
                <w:rFonts w:ascii="Times New Roman" w:eastAsia="Times New Roman" w:hAnsi="Times New Roman" w:cs="Times New Roman"/>
                <w:iCs/>
                <w:color w:val="000000"/>
                <w:sz w:val="20"/>
                <w:szCs w:val="20"/>
                <w:lang w:eastAsia="en-ZA"/>
              </w:rPr>
              <w:t>and Great Lakes</w:t>
            </w:r>
            <w:r>
              <w:rPr>
                <w:rFonts w:ascii="Times New Roman" w:eastAsia="Times New Roman" w:hAnsi="Times New Roman" w:cs="Times New Roman"/>
                <w:iCs/>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and Canada</w:t>
            </w:r>
            <w:r>
              <w:rPr>
                <w:rFonts w:ascii="Times New Roman" w:eastAsia="Times New Roman" w:hAnsi="Times New Roman" w:cs="Times New Roman"/>
                <w:color w:val="000000"/>
                <w:sz w:val="20"/>
                <w:szCs w:val="20"/>
                <w:lang w:eastAsia="en-ZA"/>
              </w:rPr>
              <w:t xml:space="preserve"> (from Alberta to Quebec)</w:t>
            </w:r>
          </w:p>
        </w:tc>
        <w:tc>
          <w:tcPr>
            <w:tcW w:w="2666" w:type="dxa"/>
            <w:tcBorders>
              <w:top w:val="single" w:sz="4" w:space="0" w:color="auto"/>
              <w:left w:val="single" w:sz="4" w:space="0" w:color="auto"/>
              <w:bottom w:val="single" w:sz="4" w:space="0" w:color="auto"/>
              <w:right w:val="single" w:sz="4" w:space="0" w:color="auto"/>
            </w:tcBorders>
          </w:tcPr>
          <w:p w14:paraId="4938D6CA"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r>
              <w:rPr>
                <w:rFonts w:ascii="Times New Roman" w:eastAsia="Times New Roman" w:hAnsi="Times New Roman" w:cs="Times New Roman"/>
                <w:color w:val="000000"/>
                <w:sz w:val="20"/>
                <w:szCs w:val="20"/>
                <w:lang w:eastAsia="en-ZA"/>
              </w:rPr>
              <w:t xml:space="preserve"> High </w:t>
            </w:r>
          </w:p>
        </w:tc>
      </w:tr>
      <w:tr w:rsidR="002D7080" w:rsidRPr="004D1E6F" w14:paraId="2E3DE766"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7E9B7E01"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Native to a large part of North America east of the continental divide (Adams et al. 2010; Larson and Olden 2011; USGS-NAS 2023).</w:t>
            </w:r>
          </w:p>
        </w:tc>
      </w:tr>
      <w:tr w:rsidR="002D7080" w:rsidRPr="004D1E6F" w14:paraId="4BACF94F"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17E2F16C" w14:textId="77777777" w:rsidR="002D7080"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78548D01" w14:textId="1FDAFFE4" w:rsidR="002D7080" w:rsidRPr="00D52E71" w:rsidRDefault="002D7080" w:rsidP="006728DB">
            <w:pPr>
              <w:spacing w:after="0"/>
              <w:ind w:left="522" w:hanging="522"/>
              <w:jc w:val="both"/>
              <w:rPr>
                <w:rFonts w:ascii="Times New Roman" w:eastAsia="Times New Roman" w:hAnsi="Times New Roman" w:cs="Times New Roman"/>
                <w:i/>
                <w:iCs/>
                <w:sz w:val="20"/>
                <w:szCs w:val="20"/>
                <w:lang w:eastAsia="en-ZA"/>
              </w:rPr>
            </w:pPr>
            <w:r w:rsidRPr="00D52E71">
              <w:rPr>
                <w:rFonts w:ascii="Times New Roman" w:eastAsia="Times New Roman" w:hAnsi="Times New Roman" w:cs="Times New Roman"/>
                <w:sz w:val="20"/>
                <w:szCs w:val="20"/>
                <w:lang w:eastAsia="en-ZA"/>
              </w:rPr>
              <w:t xml:space="preserve">Adams S, Schuster GA, Taylor CA. 2010. </w:t>
            </w:r>
            <w:r w:rsidRPr="00D52E71">
              <w:rPr>
                <w:rFonts w:ascii="Times New Roman" w:eastAsia="Times New Roman" w:hAnsi="Times New Roman" w:cs="Times New Roman"/>
                <w:i/>
                <w:iCs/>
                <w:sz w:val="20"/>
                <w:szCs w:val="20"/>
                <w:lang w:eastAsia="en-ZA"/>
              </w:rPr>
              <w:t>Orconectes virilis. The IUCN Red List of Threatened Species 2010</w:t>
            </w:r>
            <w:r w:rsidRPr="00D52E71">
              <w:rPr>
                <w:rFonts w:ascii="Times New Roman" w:eastAsia="Times New Roman" w:hAnsi="Times New Roman" w:cs="Times New Roman"/>
                <w:sz w:val="20"/>
                <w:szCs w:val="20"/>
                <w:lang w:eastAsia="en-ZA"/>
              </w:rPr>
              <w:t xml:space="preserve">: </w:t>
            </w:r>
            <w:hyperlink r:id="rId371" w:history="1">
              <w:r w:rsidR="0024145A" w:rsidRPr="0024145A">
                <w:rPr>
                  <w:rStyle w:val="Hyperlink"/>
                  <w:rFonts w:ascii="Times New Roman" w:eastAsia="Times New Roman" w:hAnsi="Times New Roman" w:cs="Times New Roman"/>
                  <w:sz w:val="20"/>
                  <w:szCs w:val="20"/>
                  <w:lang w:eastAsia="en-ZA"/>
                </w:rPr>
                <w:t>https://www.iucnredlist.org/species/153831/4551026</w:t>
              </w:r>
            </w:hyperlink>
            <w:r w:rsidRPr="00D52E71">
              <w:rPr>
                <w:rFonts w:ascii="Times New Roman" w:eastAsia="Times New Roman" w:hAnsi="Times New Roman" w:cs="Times New Roman"/>
                <w:sz w:val="20"/>
                <w:szCs w:val="20"/>
                <w:lang w:eastAsia="en-ZA"/>
              </w:rPr>
              <w:t xml:space="preserve">. </w:t>
            </w:r>
            <w:r w:rsidRPr="00D52E71">
              <w:rPr>
                <w:rFonts w:ascii="Times New Roman" w:eastAsia="Times New Roman" w:hAnsi="Times New Roman" w:cs="Times New Roman"/>
                <w:sz w:val="20"/>
                <w:szCs w:val="20"/>
                <w:lang w:eastAsia="en-ZA"/>
              </w:rPr>
              <w:tab/>
            </w:r>
          </w:p>
          <w:p w14:paraId="5EB25839" w14:textId="77777777" w:rsidR="002D7080" w:rsidRPr="00D52E71" w:rsidRDefault="002D7080" w:rsidP="006728DB">
            <w:pPr>
              <w:spacing w:after="0"/>
              <w:ind w:left="522" w:hanging="522"/>
              <w:jc w:val="both"/>
              <w:rPr>
                <w:rFonts w:ascii="Times New Roman" w:hAnsi="Times New Roman" w:cs="Times New Roman"/>
                <w:sz w:val="20"/>
                <w:szCs w:val="20"/>
              </w:rPr>
            </w:pPr>
            <w:r w:rsidRPr="000E6BA8">
              <w:rPr>
                <w:rFonts w:ascii="Times New Roman" w:hAnsi="Times New Roman" w:cs="Times New Roman"/>
                <w:sz w:val="20"/>
                <w:szCs w:val="20"/>
                <w:shd w:val="clear" w:color="auto" w:fill="FFFFFF"/>
                <w:lang w:val="fr-FR"/>
              </w:rPr>
              <w:t xml:space="preserve">USGS-NAS, 2023. </w:t>
            </w:r>
            <w:r w:rsidRPr="000E6BA8">
              <w:rPr>
                <w:rFonts w:ascii="Times New Roman" w:hAnsi="Times New Roman" w:cs="Times New Roman"/>
                <w:i/>
                <w:iCs/>
                <w:sz w:val="20"/>
                <w:szCs w:val="20"/>
                <w:shd w:val="clear" w:color="auto" w:fill="FFFFFF"/>
                <w:lang w:val="fr-FR"/>
              </w:rPr>
              <w:t>Faxonius virilis</w:t>
            </w:r>
            <w:r w:rsidRPr="000E6BA8">
              <w:rPr>
                <w:rFonts w:ascii="Times New Roman" w:hAnsi="Times New Roman" w:cs="Times New Roman"/>
                <w:sz w:val="20"/>
                <w:szCs w:val="20"/>
                <w:shd w:val="clear" w:color="auto" w:fill="FFFFFF"/>
                <w:lang w:val="fr-FR"/>
              </w:rPr>
              <w:t xml:space="preserve"> (Hagen, 1870). </w:t>
            </w:r>
            <w:r w:rsidRPr="00D52E71">
              <w:rPr>
                <w:rFonts w:ascii="Times New Roman" w:hAnsi="Times New Roman" w:cs="Times New Roman"/>
                <w:sz w:val="20"/>
                <w:szCs w:val="20"/>
                <w:shd w:val="clear" w:color="auto" w:fill="FFFFFF"/>
              </w:rPr>
              <w:t>US Geological Survey, Nonindigenous Aquatic Species database. </w:t>
            </w:r>
            <w:hyperlink w:tgtFrame="_blank" w:history="1">
              <w:r w:rsidRPr="00D52E71">
                <w:rPr>
                  <w:rStyle w:val="Hyperlink"/>
                  <w:rFonts w:ascii="Times New Roman" w:hAnsi="Times New Roman" w:cs="Times New Roman"/>
                  <w:sz w:val="20"/>
                  <w:szCs w:val="20"/>
                  <w:shd w:val="clear" w:color="auto" w:fill="FFFFFF"/>
                </w:rPr>
                <w:t>https://nas.er.usgs.gov/queries/FactSheet.aspx?speciesID=215</w:t>
              </w:r>
            </w:hyperlink>
          </w:p>
          <w:p w14:paraId="7AEF5C18" w14:textId="77777777" w:rsidR="002D7080" w:rsidRPr="000F54D1" w:rsidRDefault="002D7080" w:rsidP="006728DB">
            <w:pPr>
              <w:spacing w:after="0"/>
              <w:ind w:left="720" w:hanging="720"/>
              <w:jc w:val="both"/>
              <w:rPr>
                <w:rFonts w:ascii="Times New Roman" w:hAnsi="Times New Roman" w:cs="Times New Roman"/>
                <w:sz w:val="20"/>
                <w:szCs w:val="20"/>
                <w:shd w:val="clear" w:color="auto" w:fill="FFFFFF"/>
              </w:rPr>
            </w:pPr>
            <w:r w:rsidRPr="00D52E71">
              <w:rPr>
                <w:rFonts w:ascii="Times New Roman" w:hAnsi="Times New Roman" w:cs="Times New Roman"/>
                <w:sz w:val="20"/>
                <w:szCs w:val="20"/>
                <w:shd w:val="clear" w:color="auto" w:fill="FFFFFF"/>
              </w:rPr>
              <w:t>Larson, E.R., Olden, J.D., 2011. The state of crayfish in the Pacific Northwest.</w:t>
            </w:r>
            <w:r>
              <w:rPr>
                <w:rFonts w:ascii="Times New Roman" w:hAnsi="Times New Roman" w:cs="Times New Roman"/>
                <w:sz w:val="20"/>
                <w:szCs w:val="20"/>
                <w:shd w:val="clear" w:color="auto" w:fill="FFFFFF"/>
              </w:rPr>
              <w:t xml:space="preserve"> </w:t>
            </w:r>
            <w:r w:rsidRPr="00D52E71">
              <w:rPr>
                <w:rStyle w:val="Emphasis"/>
                <w:rFonts w:ascii="Times New Roman" w:hAnsi="Times New Roman" w:cs="Times New Roman"/>
                <w:sz w:val="20"/>
                <w:szCs w:val="20"/>
                <w:shd w:val="clear" w:color="auto" w:fill="FFFFFF"/>
              </w:rPr>
              <w:t>Fisheries</w:t>
            </w:r>
            <w:r w:rsidRPr="00D52E71">
              <w:rPr>
                <w:rFonts w:ascii="Times New Roman" w:hAnsi="Times New Roman" w:cs="Times New Roman"/>
                <w:sz w:val="20"/>
                <w:szCs w:val="20"/>
                <w:shd w:val="clear" w:color="auto" w:fill="FFFFFF"/>
              </w:rPr>
              <w:t>, 36:60-73.</w:t>
            </w:r>
            <w:r>
              <w:rPr>
                <w:rFonts w:ascii="Times New Roman" w:hAnsi="Times New Roman" w:cs="Times New Roman"/>
                <w:sz w:val="20"/>
                <w:szCs w:val="20"/>
                <w:shd w:val="clear" w:color="auto" w:fill="FFFFFF"/>
              </w:rPr>
              <w:t xml:space="preserve"> </w:t>
            </w:r>
            <w:hyperlink r:id="rId372" w:history="1">
              <w:r w:rsidRPr="000F54D1">
                <w:rPr>
                  <w:rStyle w:val="Hyperlink"/>
                  <w:rFonts w:ascii="Times New Roman" w:hAnsi="Times New Roman" w:cs="Times New Roman"/>
                  <w:sz w:val="20"/>
                  <w:szCs w:val="20"/>
                  <w:shd w:val="clear" w:color="auto" w:fill="FFFFFF"/>
                </w:rPr>
                <w:t>https://doi.org/10.1577/03632415.2011.10389069</w:t>
              </w:r>
            </w:hyperlink>
          </w:p>
        </w:tc>
      </w:tr>
      <w:tr w:rsidR="002D7080" w:rsidRPr="004D1E6F" w14:paraId="00C1891F" w14:textId="77777777" w:rsidTr="002E2C37">
        <w:trPr>
          <w:cantSplit/>
          <w:trHeight w:val="26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5E51774"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BAC8 What is the global alien range of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(add map in Appendix BAC8)</w:t>
            </w:r>
          </w:p>
        </w:tc>
      </w:tr>
      <w:tr w:rsidR="002D7080" w:rsidRPr="004D1E6F" w14:paraId="6AA45C7D" w14:textId="77777777" w:rsidTr="002E2C37">
        <w:trPr>
          <w:cantSplit/>
          <w:trHeight w:val="390"/>
        </w:trPr>
        <w:tc>
          <w:tcPr>
            <w:tcW w:w="6124" w:type="dxa"/>
            <w:gridSpan w:val="3"/>
            <w:tcBorders>
              <w:top w:val="single" w:sz="4" w:space="0" w:color="auto"/>
              <w:left w:val="single" w:sz="4" w:space="0" w:color="auto"/>
              <w:bottom w:val="single" w:sz="4" w:space="0" w:color="auto"/>
              <w:right w:val="single" w:sz="4" w:space="0" w:color="auto"/>
            </w:tcBorders>
            <w:noWrap/>
          </w:tcPr>
          <w:p w14:paraId="1BB624C9"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w:t>
            </w:r>
            <w:r w:rsidRPr="004D1E6F">
              <w:rPr>
                <w:rFonts w:ascii="Times New Roman" w:eastAsia="Times New Roman" w:hAnsi="Times New Roman" w:cs="Times New Roman"/>
                <w:b/>
                <w:color w:val="000000"/>
                <w:sz w:val="20"/>
                <w:szCs w:val="20"/>
                <w:lang w:eastAsia="en-ZA"/>
              </w:rPr>
              <w:t>Europe</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 xml:space="preserve">France | </w:t>
            </w:r>
            <w:r w:rsidRPr="004D1E6F">
              <w:rPr>
                <w:rFonts w:ascii="Times New Roman" w:eastAsia="Times New Roman" w:hAnsi="Times New Roman" w:cs="Times New Roman"/>
                <w:color w:val="000000"/>
                <w:sz w:val="20"/>
                <w:szCs w:val="20"/>
                <w:lang w:eastAsia="en-ZA"/>
              </w:rPr>
              <w:t>Netherlands</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 xml:space="preserve">Sweden | </w:t>
            </w:r>
            <w:r w:rsidRPr="004D1E6F">
              <w:rPr>
                <w:rFonts w:ascii="Times New Roman" w:eastAsia="Times New Roman" w:hAnsi="Times New Roman" w:cs="Times New Roman"/>
                <w:color w:val="000000"/>
                <w:sz w:val="20"/>
                <w:szCs w:val="20"/>
                <w:lang w:eastAsia="en-ZA"/>
              </w:rPr>
              <w:t xml:space="preserve">United Kingdom </w:t>
            </w:r>
            <w:r w:rsidRPr="004D1E6F">
              <w:rPr>
                <w:rFonts w:ascii="Times New Roman" w:eastAsia="Times New Roman" w:hAnsi="Times New Roman" w:cs="Times New Roman"/>
                <w:b/>
                <w:color w:val="000000"/>
                <w:sz w:val="20"/>
                <w:szCs w:val="20"/>
                <w:lang w:eastAsia="en-ZA"/>
              </w:rPr>
              <w:t>North America</w:t>
            </w:r>
            <w:r w:rsidRPr="004D1E6F">
              <w:rPr>
                <w:rFonts w:ascii="Times New Roman" w:eastAsia="Times New Roman" w:hAnsi="Times New Roman" w:cs="Times New Roman"/>
                <w:color w:val="000000"/>
                <w:sz w:val="20"/>
                <w:szCs w:val="20"/>
                <w:lang w:eastAsia="en-ZA"/>
              </w:rPr>
              <w:t>: Wyoming</w:t>
            </w:r>
            <w:r>
              <w:rPr>
                <w:rFonts w:ascii="Times New Roman" w:eastAsia="Times New Roman" w:hAnsi="Times New Roman" w:cs="Times New Roman"/>
                <w:color w:val="000000"/>
                <w:sz w:val="20"/>
                <w:szCs w:val="20"/>
                <w:lang w:eastAsia="en-ZA"/>
              </w:rPr>
              <w:t xml:space="preserve"> | </w:t>
            </w:r>
            <w:r w:rsidRPr="004D1E6F">
              <w:rPr>
                <w:rFonts w:ascii="Times New Roman" w:eastAsia="Times New Roman" w:hAnsi="Times New Roman" w:cs="Times New Roman"/>
                <w:color w:val="000000"/>
                <w:sz w:val="20"/>
                <w:szCs w:val="20"/>
                <w:lang w:eastAsia="en-ZA"/>
              </w:rPr>
              <w:t>West Virginia</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Vermont</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Utah</w:t>
            </w:r>
            <w:r>
              <w:rPr>
                <w:rFonts w:ascii="Times New Roman" w:eastAsia="Times New Roman" w:hAnsi="Times New Roman" w:cs="Times New Roman"/>
                <w:color w:val="000000"/>
                <w:sz w:val="20"/>
                <w:szCs w:val="20"/>
                <w:lang w:eastAsia="en-ZA"/>
              </w:rPr>
              <w:t xml:space="preserve"> | </w:t>
            </w:r>
            <w:r w:rsidRPr="004D1E6F">
              <w:rPr>
                <w:rFonts w:ascii="Times New Roman" w:eastAsia="Times New Roman" w:hAnsi="Times New Roman" w:cs="Times New Roman"/>
                <w:color w:val="000000"/>
                <w:sz w:val="20"/>
                <w:szCs w:val="20"/>
                <w:lang w:eastAsia="en-ZA"/>
              </w:rPr>
              <w:t>Tennesse</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Rhode Island</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Pennsylvania |</w:t>
            </w:r>
            <w:r w:rsidRPr="004D1E6F">
              <w:rPr>
                <w:rFonts w:ascii="Times New Roman" w:eastAsia="Times New Roman" w:hAnsi="Times New Roman" w:cs="Times New Roman"/>
                <w:color w:val="000000"/>
                <w:sz w:val="20"/>
                <w:szCs w:val="20"/>
                <w:lang w:eastAsia="en-ZA"/>
              </w:rPr>
              <w:t xml:space="preserve"> New Mexico</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New Hampshire</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Montana</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Massachusetts |</w:t>
            </w:r>
            <w:r w:rsidRPr="004D1E6F">
              <w:rPr>
                <w:rFonts w:ascii="Times New Roman" w:eastAsia="Times New Roman" w:hAnsi="Times New Roman" w:cs="Times New Roman"/>
                <w:color w:val="000000"/>
                <w:sz w:val="20"/>
                <w:szCs w:val="20"/>
                <w:lang w:eastAsia="en-ZA"/>
              </w:rPr>
              <w:t xml:space="preserve"> Maryland</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Kansas</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Idaho</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Connecticut</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Colorado</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California</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Arizona</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Alabama</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Mexico</w:t>
            </w:r>
          </w:p>
        </w:tc>
        <w:tc>
          <w:tcPr>
            <w:tcW w:w="2666" w:type="dxa"/>
            <w:tcBorders>
              <w:top w:val="single" w:sz="4" w:space="0" w:color="auto"/>
              <w:left w:val="single" w:sz="4" w:space="0" w:color="auto"/>
              <w:bottom w:val="single" w:sz="4" w:space="0" w:color="auto"/>
              <w:right w:val="single" w:sz="4" w:space="0" w:color="auto"/>
            </w:tcBorders>
          </w:tcPr>
          <w:p w14:paraId="35ADE12D"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6262A3D6"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3E7D278A"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Faxonius virilis</w:t>
            </w:r>
            <w:r w:rsidRPr="004D1E6F">
              <w:rPr>
                <w:rFonts w:ascii="Times New Roman" w:eastAsia="Times New Roman" w:hAnsi="Times New Roman" w:cs="Times New Roman"/>
                <w:color w:val="000000"/>
                <w:sz w:val="20"/>
                <w:szCs w:val="20"/>
                <w:lang w:eastAsia="en-ZA"/>
              </w:rPr>
              <w:t xml:space="preserve"> has been translocated within the United States of America outside of its native range. </w:t>
            </w:r>
            <w:r>
              <w:rPr>
                <w:rFonts w:ascii="Times New Roman" w:eastAsia="Times New Roman" w:hAnsi="Times New Roman" w:cs="Times New Roman"/>
                <w:color w:val="000000"/>
                <w:sz w:val="20"/>
                <w:szCs w:val="20"/>
                <w:lang w:eastAsia="en-ZA"/>
              </w:rPr>
              <w:t xml:space="preserve">It has also been introduced to several countries </w:t>
            </w:r>
            <w:r w:rsidRPr="004D1E6F">
              <w:rPr>
                <w:rFonts w:ascii="Times New Roman" w:eastAsia="Times New Roman" w:hAnsi="Times New Roman" w:cs="Times New Roman"/>
                <w:color w:val="000000"/>
                <w:sz w:val="20"/>
                <w:szCs w:val="20"/>
                <w:lang w:eastAsia="en-ZA"/>
              </w:rPr>
              <w:t>Europe</w:t>
            </w:r>
            <w:r>
              <w:rPr>
                <w:rFonts w:ascii="Times New Roman" w:eastAsia="Times New Roman" w:hAnsi="Times New Roman" w:cs="Times New Roman"/>
                <w:color w:val="000000"/>
                <w:sz w:val="20"/>
                <w:szCs w:val="20"/>
                <w:lang w:eastAsia="en-ZA"/>
              </w:rPr>
              <w:t xml:space="preserve"> (Adams et al. 2010; USGS-NAS 2023; CABI 2024)</w:t>
            </w:r>
            <w:r w:rsidRPr="004D1E6F">
              <w:rPr>
                <w:rFonts w:ascii="Times New Roman" w:eastAsia="Times New Roman" w:hAnsi="Times New Roman" w:cs="Times New Roman"/>
                <w:color w:val="000000"/>
                <w:sz w:val="20"/>
                <w:szCs w:val="20"/>
                <w:lang w:eastAsia="en-ZA"/>
              </w:rPr>
              <w:t xml:space="preserve">. </w:t>
            </w:r>
          </w:p>
        </w:tc>
      </w:tr>
      <w:tr w:rsidR="002D7080" w:rsidRPr="004D1E6F" w14:paraId="19FE2077"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7D342640"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54AC5976" w14:textId="6CEEEE93" w:rsidR="002D7080" w:rsidRPr="004D1E6F" w:rsidRDefault="002D7080" w:rsidP="006728DB">
            <w:pPr>
              <w:spacing w:after="0"/>
              <w:ind w:left="612" w:hanging="612"/>
              <w:jc w:val="both"/>
              <w:rPr>
                <w:rFonts w:ascii="Times New Roman" w:eastAsia="Times New Roman" w:hAnsi="Times New Roman" w:cs="Times New Roman"/>
                <w:i/>
                <w:iCs/>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Adams S, Schuster GA, Taylor CA. 2010. </w:t>
            </w:r>
            <w:r w:rsidRPr="004D1E6F">
              <w:rPr>
                <w:rFonts w:ascii="Times New Roman" w:eastAsia="Times New Roman" w:hAnsi="Times New Roman" w:cs="Times New Roman"/>
                <w:i/>
                <w:iCs/>
                <w:color w:val="000000"/>
                <w:sz w:val="20"/>
                <w:szCs w:val="20"/>
                <w:lang w:eastAsia="en-ZA"/>
              </w:rPr>
              <w:t>Orconectes virilis. The IUCN Red List of Threatened Species 2010</w:t>
            </w:r>
            <w:r w:rsidRPr="004D1E6F">
              <w:rPr>
                <w:rFonts w:ascii="Times New Roman" w:eastAsia="Times New Roman" w:hAnsi="Times New Roman" w:cs="Times New Roman"/>
                <w:color w:val="000000"/>
                <w:sz w:val="20"/>
                <w:szCs w:val="20"/>
                <w:lang w:eastAsia="en-ZA"/>
              </w:rPr>
              <w:t xml:space="preserve">: </w:t>
            </w:r>
            <w:hyperlink r:id="rId373" w:history="1">
              <w:r w:rsidR="00CD42FA" w:rsidRPr="00A22D6D">
                <w:rPr>
                  <w:rStyle w:val="Hyperlink"/>
                  <w:rFonts w:ascii="Times New Roman" w:eastAsia="Times New Roman" w:hAnsi="Times New Roman" w:cs="Times New Roman"/>
                  <w:sz w:val="20"/>
                  <w:szCs w:val="20"/>
                  <w:lang w:eastAsia="en-ZA"/>
                </w:rPr>
                <w:t>https://www.iucnredlist.org/species/153831/4551026</w:t>
              </w:r>
            </w:hyperlink>
            <w:r w:rsidR="00CD42FA">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 </w:t>
            </w:r>
          </w:p>
          <w:p w14:paraId="72F0F994" w14:textId="77777777" w:rsidR="002D7080" w:rsidRDefault="002D7080" w:rsidP="006728DB">
            <w:pPr>
              <w:spacing w:after="0"/>
              <w:ind w:left="612" w:hanging="612"/>
              <w:jc w:val="both"/>
              <w:rPr>
                <w:rFonts w:ascii="Times New Roman" w:eastAsia="Times New Roman" w:hAnsi="Times New Roman" w:cs="Times New Roman"/>
                <w:sz w:val="20"/>
                <w:szCs w:val="20"/>
                <w:lang w:eastAsia="en-ZA"/>
              </w:rPr>
            </w:pPr>
            <w:r w:rsidRPr="000E6BA8">
              <w:rPr>
                <w:rFonts w:ascii="Times New Roman" w:eastAsia="Times New Roman" w:hAnsi="Times New Roman" w:cs="Times New Roman"/>
                <w:sz w:val="20"/>
                <w:szCs w:val="20"/>
                <w:lang w:val="fr-FR" w:eastAsia="en-ZA"/>
              </w:rPr>
              <w:t xml:space="preserve">USGS-NAS, 2023. </w:t>
            </w:r>
            <w:r w:rsidRPr="000E6BA8">
              <w:rPr>
                <w:rFonts w:ascii="Times New Roman" w:eastAsia="Times New Roman" w:hAnsi="Times New Roman" w:cs="Times New Roman"/>
                <w:i/>
                <w:iCs/>
                <w:sz w:val="20"/>
                <w:szCs w:val="20"/>
                <w:lang w:val="fr-FR" w:eastAsia="en-ZA"/>
              </w:rPr>
              <w:t>Faxonius virilis</w:t>
            </w:r>
            <w:r w:rsidRPr="000E6BA8">
              <w:rPr>
                <w:rFonts w:ascii="Times New Roman" w:eastAsia="Times New Roman" w:hAnsi="Times New Roman" w:cs="Times New Roman"/>
                <w:sz w:val="20"/>
                <w:szCs w:val="20"/>
                <w:lang w:val="fr-FR" w:eastAsia="en-ZA"/>
              </w:rPr>
              <w:t xml:space="preserve"> (Hagen, 1870). </w:t>
            </w:r>
            <w:r w:rsidRPr="00F8680E">
              <w:rPr>
                <w:rFonts w:ascii="Times New Roman" w:eastAsia="Times New Roman" w:hAnsi="Times New Roman" w:cs="Times New Roman"/>
                <w:sz w:val="20"/>
                <w:szCs w:val="20"/>
                <w:lang w:eastAsia="en-ZA"/>
              </w:rPr>
              <w:t xml:space="preserve">US Geological Survey, Nonindigenous Aquatic Species database. </w:t>
            </w:r>
            <w:hyperlink w:history="1">
              <w:r w:rsidRPr="000613BC">
                <w:rPr>
                  <w:rStyle w:val="Hyperlink"/>
                  <w:rFonts w:ascii="Times New Roman" w:eastAsia="Times New Roman" w:hAnsi="Times New Roman" w:cs="Times New Roman"/>
                  <w:sz w:val="20"/>
                  <w:szCs w:val="20"/>
                  <w:lang w:eastAsia="en-ZA"/>
                </w:rPr>
                <w:t>https://nas.er.usgs.gov/queries/FactSheet.aspx?speciesID=215</w:t>
              </w:r>
            </w:hyperlink>
          </w:p>
          <w:p w14:paraId="21A38A52" w14:textId="77777777" w:rsidR="002D7080" w:rsidRPr="004D1E6F" w:rsidRDefault="002D7080" w:rsidP="006728DB">
            <w:pPr>
              <w:spacing w:after="0"/>
              <w:ind w:left="612" w:hanging="612"/>
              <w:jc w:val="both"/>
              <w:rPr>
                <w:rFonts w:ascii="Times New Roman" w:eastAsia="Times New Roman" w:hAnsi="Times New Roman" w:cs="Times New Roman"/>
                <w:sz w:val="20"/>
                <w:szCs w:val="20"/>
                <w:lang w:eastAsia="en-ZA"/>
              </w:rPr>
            </w:pPr>
            <w:r w:rsidRPr="009412EF">
              <w:rPr>
                <w:rFonts w:ascii="Times New Roman" w:hAnsi="Times New Roman" w:cs="Times New Roman"/>
                <w:sz w:val="20"/>
                <w:szCs w:val="20"/>
              </w:rPr>
              <w:t xml:space="preserve">CABI, 2024. </w:t>
            </w:r>
            <w:r w:rsidRPr="009412EF">
              <w:rPr>
                <w:rFonts w:ascii="Times New Roman" w:hAnsi="Times New Roman" w:cs="Times New Roman"/>
                <w:i/>
                <w:iCs/>
                <w:sz w:val="20"/>
                <w:szCs w:val="20"/>
              </w:rPr>
              <w:t xml:space="preserve">Faxonius </w:t>
            </w:r>
            <w:r>
              <w:rPr>
                <w:rFonts w:ascii="Times New Roman" w:hAnsi="Times New Roman" w:cs="Times New Roman"/>
                <w:i/>
                <w:iCs/>
                <w:sz w:val="20"/>
                <w:szCs w:val="20"/>
              </w:rPr>
              <w:t xml:space="preserve">virilis </w:t>
            </w:r>
            <w:r w:rsidRPr="00CF3E8A">
              <w:rPr>
                <w:rFonts w:ascii="Times New Roman" w:hAnsi="Times New Roman" w:cs="Times New Roman"/>
                <w:sz w:val="20"/>
                <w:szCs w:val="20"/>
              </w:rPr>
              <w:t>(virile</w:t>
            </w:r>
            <w:r>
              <w:rPr>
                <w:rFonts w:ascii="Times New Roman" w:hAnsi="Times New Roman" w:cs="Times New Roman"/>
                <w:i/>
                <w:iCs/>
                <w:sz w:val="20"/>
                <w:szCs w:val="20"/>
              </w:rPr>
              <w:t xml:space="preserve"> </w:t>
            </w:r>
            <w:r w:rsidRPr="009412EF">
              <w:rPr>
                <w:rFonts w:ascii="Times New Roman" w:hAnsi="Times New Roman" w:cs="Times New Roman"/>
                <w:sz w:val="20"/>
                <w:szCs w:val="20"/>
              </w:rPr>
              <w:t xml:space="preserve">crayfish). Invasive Species Compendium, </w:t>
            </w:r>
            <w:r w:rsidRPr="009412EF">
              <w:rPr>
                <w:rFonts w:ascii="Times New Roman" w:hAnsi="Times New Roman" w:cs="Times New Roman"/>
                <w:color w:val="000000"/>
                <w:sz w:val="20"/>
                <w:szCs w:val="20"/>
                <w:shd w:val="clear" w:color="auto" w:fill="FFFFFF"/>
              </w:rPr>
              <w:t>CABI Publishing, Wallingford, UK.</w:t>
            </w:r>
            <w:r w:rsidRPr="009412EF">
              <w:rPr>
                <w:rFonts w:ascii="Times New Roman" w:hAnsi="Times New Roman" w:cs="Times New Roman"/>
                <w:sz w:val="20"/>
                <w:szCs w:val="20"/>
              </w:rPr>
              <w:t xml:space="preserve"> </w:t>
            </w:r>
            <w:hyperlink w:history="1">
              <w:r w:rsidRPr="000613BC">
                <w:rPr>
                  <w:rStyle w:val="Hyperlink"/>
                  <w:rFonts w:ascii="Times New Roman" w:hAnsi="Times New Roman" w:cs="Times New Roman"/>
                  <w:sz w:val="20"/>
                  <w:szCs w:val="20"/>
                </w:rPr>
                <w:t>https://www.cabidigitallibrary.org/doi/full/10.1079/cabicompendium.72034</w:t>
              </w:r>
            </w:hyperlink>
            <w:r w:rsidRPr="009412EF">
              <w:rPr>
                <w:rFonts w:ascii="Times New Roman" w:hAnsi="Times New Roman" w:cs="Times New Roman"/>
                <w:sz w:val="20"/>
                <w:szCs w:val="20"/>
              </w:rPr>
              <w:t xml:space="preserve"> (accessed 10 July 2024)</w:t>
            </w:r>
          </w:p>
        </w:tc>
      </w:tr>
      <w:tr w:rsidR="002D7080" w:rsidRPr="004D1E6F" w14:paraId="6792EB83" w14:textId="77777777" w:rsidTr="002E2C37">
        <w:trPr>
          <w:cantSplit/>
          <w:trHeight w:val="242"/>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530434E"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BAC9 Geographic scope =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 xml:space="preserve"> under consideration</w:t>
            </w:r>
          </w:p>
        </w:tc>
      </w:tr>
      <w:tr w:rsidR="002D7080" w:rsidRPr="004D1E6F" w14:paraId="6BEDA71D" w14:textId="77777777" w:rsidTr="002E2C37">
        <w:trPr>
          <w:cantSplit/>
          <w:trHeight w:val="260"/>
        </w:trPr>
        <w:tc>
          <w:tcPr>
            <w:tcW w:w="8790" w:type="dxa"/>
            <w:gridSpan w:val="4"/>
            <w:tcBorders>
              <w:top w:val="single" w:sz="4" w:space="0" w:color="auto"/>
              <w:left w:val="single" w:sz="4" w:space="0" w:color="auto"/>
              <w:bottom w:val="single" w:sz="4" w:space="0" w:color="auto"/>
              <w:right w:val="single" w:sz="4" w:space="0" w:color="auto"/>
            </w:tcBorders>
            <w:noWrap/>
          </w:tcPr>
          <w:p w14:paraId="0A61FB2D"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lastRenderedPageBreak/>
              <w:t>Area</w:t>
            </w:r>
            <w:r w:rsidRPr="004D1E6F">
              <w:rPr>
                <w:rFonts w:ascii="Times New Roman" w:eastAsia="Times New Roman" w:hAnsi="Times New Roman" w:cs="Times New Roman"/>
                <w:color w:val="000000"/>
                <w:sz w:val="20"/>
                <w:szCs w:val="20"/>
                <w:lang w:eastAsia="en-ZA"/>
              </w:rPr>
              <w:t xml:space="preserve"> of assessment: South Africa</w:t>
            </w:r>
          </w:p>
        </w:tc>
      </w:tr>
      <w:tr w:rsidR="002D7080" w:rsidRPr="004D1E6F" w14:paraId="4EAB5882" w14:textId="77777777" w:rsidTr="002E2C37">
        <w:trPr>
          <w:cantSplit/>
          <w:trHeight w:val="179"/>
        </w:trPr>
        <w:tc>
          <w:tcPr>
            <w:tcW w:w="8790" w:type="dxa"/>
            <w:gridSpan w:val="4"/>
            <w:tcBorders>
              <w:top w:val="single" w:sz="4" w:space="0" w:color="auto"/>
              <w:left w:val="single" w:sz="4" w:space="0" w:color="auto"/>
              <w:bottom w:val="single" w:sz="4" w:space="0" w:color="auto"/>
              <w:right w:val="single" w:sz="4" w:space="0" w:color="auto"/>
            </w:tcBorders>
            <w:noWrap/>
          </w:tcPr>
          <w:p w14:paraId="17310577"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sz w:val="20"/>
                <w:szCs w:val="20"/>
                <w:lang w:eastAsia="en-ZA"/>
              </w:rPr>
              <w:t>The geographic scope of this assessment is limited to South Africa.</w:t>
            </w:r>
          </w:p>
        </w:tc>
      </w:tr>
      <w:tr w:rsidR="002D7080" w:rsidRPr="004D1E6F" w14:paraId="2E3CFEBD" w14:textId="77777777" w:rsidTr="002E2C37">
        <w:trPr>
          <w:cantSplit/>
          <w:trHeight w:val="197"/>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E6F487F" w14:textId="77777777" w:rsidR="002D7080" w:rsidRPr="004D1E6F" w:rsidRDefault="002D7080" w:rsidP="006728DB">
            <w:pPr>
              <w:spacing w:after="0"/>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BAC10 Is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present in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w:t>
            </w:r>
          </w:p>
        </w:tc>
      </w:tr>
      <w:tr w:rsidR="002D7080" w:rsidRPr="004D1E6F" w14:paraId="6F80BF24" w14:textId="77777777" w:rsidTr="002E2C37">
        <w:trPr>
          <w:cantSplit/>
          <w:trHeight w:val="233"/>
        </w:trPr>
        <w:tc>
          <w:tcPr>
            <w:tcW w:w="6124" w:type="dxa"/>
            <w:gridSpan w:val="3"/>
            <w:tcBorders>
              <w:top w:val="single" w:sz="4" w:space="0" w:color="auto"/>
              <w:left w:val="single" w:sz="4" w:space="0" w:color="auto"/>
              <w:bottom w:val="single" w:sz="4" w:space="0" w:color="auto"/>
              <w:right w:val="single" w:sz="4" w:space="0" w:color="auto"/>
            </w:tcBorders>
            <w:noWrap/>
          </w:tcPr>
          <w:p w14:paraId="750560E3" w14:textId="77777777" w:rsidR="002D7080" w:rsidRPr="004D1E6F" w:rsidRDefault="002D7080" w:rsidP="006728DB">
            <w:pPr>
              <w:spacing w:after="0"/>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Response: No</w:t>
            </w:r>
          </w:p>
        </w:tc>
        <w:tc>
          <w:tcPr>
            <w:tcW w:w="2666" w:type="dxa"/>
            <w:tcBorders>
              <w:top w:val="single" w:sz="4" w:space="0" w:color="auto"/>
              <w:left w:val="single" w:sz="4" w:space="0" w:color="auto"/>
              <w:bottom w:val="single" w:sz="4" w:space="0" w:color="auto"/>
              <w:right w:val="single" w:sz="4" w:space="0" w:color="auto"/>
            </w:tcBorders>
          </w:tcPr>
          <w:p w14:paraId="6A62E890"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L</w:t>
            </w:r>
            <w:r w:rsidRPr="004D1E6F">
              <w:rPr>
                <w:rFonts w:ascii="Times New Roman" w:eastAsia="Times New Roman" w:hAnsi="Times New Roman" w:cs="Times New Roman"/>
                <w:color w:val="000000"/>
                <w:sz w:val="20"/>
                <w:szCs w:val="20"/>
                <w:lang w:eastAsia="en-ZA"/>
              </w:rPr>
              <w:t>ow</w:t>
            </w:r>
          </w:p>
        </w:tc>
      </w:tr>
      <w:tr w:rsidR="002D7080" w:rsidRPr="004D1E6F" w14:paraId="4378FF86"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3931B852"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Comments: </w:t>
            </w:r>
            <w:r w:rsidRPr="00F8680E">
              <w:rPr>
                <w:rFonts w:ascii="Times New Roman" w:eastAsia="Times New Roman" w:hAnsi="Times New Roman" w:cs="Times New Roman"/>
                <w:sz w:val="20"/>
                <w:szCs w:val="20"/>
                <w:lang w:eastAsia="en-ZA"/>
              </w:rPr>
              <w:t xml:space="preserve">There are no records of </w:t>
            </w:r>
            <w:r w:rsidRPr="00F8680E">
              <w:rPr>
                <w:rFonts w:ascii="Times New Roman" w:eastAsia="Times New Roman" w:hAnsi="Times New Roman" w:cs="Times New Roman"/>
                <w:i/>
                <w:sz w:val="20"/>
                <w:szCs w:val="20"/>
                <w:lang w:eastAsia="en-ZA"/>
              </w:rPr>
              <w:t>F.</w:t>
            </w:r>
            <w:r>
              <w:rPr>
                <w:rFonts w:ascii="Times New Roman" w:eastAsia="Times New Roman" w:hAnsi="Times New Roman" w:cs="Times New Roman"/>
                <w:i/>
                <w:sz w:val="20"/>
                <w:szCs w:val="20"/>
                <w:lang w:eastAsia="en-ZA"/>
              </w:rPr>
              <w:t xml:space="preserve"> virilis </w:t>
            </w:r>
            <w:r w:rsidRPr="00F8680E">
              <w:rPr>
                <w:rFonts w:ascii="Times New Roman" w:eastAsia="Times New Roman" w:hAnsi="Times New Roman" w:cs="Times New Roman"/>
                <w:sz w:val="20"/>
                <w:szCs w:val="20"/>
                <w:lang w:eastAsia="en-ZA"/>
              </w:rPr>
              <w:t>i</w:t>
            </w:r>
            <w:r>
              <w:rPr>
                <w:rFonts w:ascii="Times New Roman" w:eastAsia="Times New Roman" w:hAnsi="Times New Roman" w:cs="Times New Roman"/>
                <w:sz w:val="20"/>
                <w:szCs w:val="20"/>
                <w:lang w:eastAsia="en-ZA"/>
              </w:rPr>
              <w:t>n</w:t>
            </w:r>
            <w:r w:rsidRPr="00F8680E">
              <w:rPr>
                <w:rFonts w:ascii="Times New Roman" w:eastAsia="Times New Roman" w:hAnsi="Times New Roman" w:cs="Times New Roman"/>
                <w:sz w:val="20"/>
                <w:szCs w:val="20"/>
                <w:lang w:eastAsia="en-ZA"/>
              </w:rPr>
              <w:t xml:space="preserve"> South Africa </w:t>
            </w:r>
            <w:r w:rsidRPr="00F8680E">
              <w:rPr>
                <w:rFonts w:ascii="Times New Roman" w:eastAsia="Times New Roman" w:hAnsi="Times New Roman" w:cs="Times New Roman"/>
                <w:sz w:val="20"/>
                <w:szCs w:val="20"/>
                <w:lang w:eastAsia="en-ZA"/>
              </w:rPr>
              <w:fldChar w:fldCharType="begin" w:fldLock="1"/>
            </w:r>
            <w:r w:rsidRPr="00F8680E">
              <w:rPr>
                <w:rFonts w:ascii="Times New Roman" w:eastAsia="Times New Roman" w:hAnsi="Times New Roman" w:cs="Times New Roman"/>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Nunes et al. 2017)", "plainTextFormattedCitation" : "(Lodge et al. 2012, Nunes et al. 2017)", "previouslyFormattedCitation" : "(Lodge et al. 2012, Nunes et al. 2017)" }, "properties" : { "noteIndex" : 0 }, "schema" : "https://github.com/citation-style-language/schema/raw/master/csl-citation.json" }</w:instrText>
            </w:r>
            <w:r w:rsidRPr="00F8680E">
              <w:rPr>
                <w:rFonts w:ascii="Times New Roman" w:eastAsia="Times New Roman" w:hAnsi="Times New Roman" w:cs="Times New Roman"/>
                <w:sz w:val="20"/>
                <w:szCs w:val="20"/>
                <w:lang w:eastAsia="en-ZA"/>
              </w:rPr>
              <w:fldChar w:fldCharType="separate"/>
            </w:r>
            <w:r w:rsidRPr="00F8680E">
              <w:rPr>
                <w:rFonts w:ascii="Times New Roman" w:eastAsia="Times New Roman" w:hAnsi="Times New Roman" w:cs="Times New Roman"/>
                <w:sz w:val="20"/>
                <w:szCs w:val="20"/>
                <w:lang w:eastAsia="en-ZA"/>
              </w:rPr>
              <w:t>(Nunes et al. 2017)</w:t>
            </w:r>
            <w:r w:rsidRPr="00F8680E">
              <w:rPr>
                <w:rFonts w:ascii="Times New Roman" w:eastAsia="Times New Roman" w:hAnsi="Times New Roman" w:cs="Times New Roman"/>
                <w:sz w:val="20"/>
                <w:szCs w:val="20"/>
                <w:lang w:eastAsia="en-ZA"/>
              </w:rPr>
              <w:fldChar w:fldCharType="end"/>
            </w:r>
            <w:r w:rsidRPr="00F8680E">
              <w:rPr>
                <w:rFonts w:ascii="Times New Roman" w:eastAsia="Times New Roman" w:hAnsi="Times New Roman" w:cs="Times New Roman"/>
                <w:sz w:val="20"/>
                <w:szCs w:val="20"/>
                <w:lang w:eastAsia="en-ZA"/>
              </w:rPr>
              <w:t xml:space="preserve">. </w:t>
            </w:r>
            <w:r w:rsidRPr="00F8680E">
              <w:rPr>
                <w:rFonts w:ascii="Times New Roman" w:eastAsia="Times New Roman" w:hAnsi="Times New Roman" w:cs="Times New Roman"/>
                <w:i/>
                <w:sz w:val="20"/>
                <w:szCs w:val="20"/>
                <w:lang w:eastAsia="en-ZA"/>
              </w:rPr>
              <w:t>Faxonius rusticus</w:t>
            </w:r>
            <w:r w:rsidRPr="00F8680E">
              <w:rPr>
                <w:rFonts w:ascii="Times New Roman" w:eastAsia="Times New Roman" w:hAnsi="Times New Roman" w:cs="Times New Roman"/>
                <w:sz w:val="20"/>
                <w:szCs w:val="20"/>
                <w:lang w:eastAsia="en-ZA"/>
              </w:rPr>
              <w:t xml:space="preserve">  is present  in the pet trade globally </w:t>
            </w:r>
            <w:r w:rsidRPr="00F8680E">
              <w:rPr>
                <w:rFonts w:ascii="Times New Roman" w:eastAsia="Times New Roman" w:hAnsi="Times New Roman" w:cs="Times New Roman"/>
                <w:sz w:val="20"/>
                <w:szCs w:val="20"/>
                <w:lang w:eastAsia="en-ZA"/>
              </w:rPr>
              <w:fldChar w:fldCharType="begin" w:fldLock="1"/>
            </w:r>
            <w:r w:rsidRPr="00F8680E">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F8680E">
              <w:rPr>
                <w:rFonts w:ascii="Times New Roman" w:eastAsia="Times New Roman" w:hAnsi="Times New Roman" w:cs="Times New Roman"/>
                <w:sz w:val="20"/>
                <w:szCs w:val="20"/>
                <w:lang w:eastAsia="en-ZA"/>
              </w:rPr>
              <w:fldChar w:fldCharType="separate"/>
            </w:r>
            <w:r w:rsidRPr="00F8680E">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Ahern et al. 2008; Lodge et al. 2012; </w:t>
            </w:r>
            <w:r w:rsidRPr="00F8680E">
              <w:rPr>
                <w:rFonts w:ascii="Times New Roman" w:eastAsia="Times New Roman" w:hAnsi="Times New Roman" w:cs="Times New Roman"/>
                <w:sz w:val="20"/>
                <w:szCs w:val="20"/>
                <w:lang w:eastAsia="en-ZA"/>
              </w:rPr>
              <w:t>Faulkes 2015)</w:t>
            </w:r>
            <w:r w:rsidRPr="00F8680E">
              <w:rPr>
                <w:rFonts w:ascii="Times New Roman" w:eastAsia="Times New Roman" w:hAnsi="Times New Roman" w:cs="Times New Roman"/>
                <w:sz w:val="20"/>
                <w:szCs w:val="20"/>
                <w:lang w:eastAsia="en-ZA"/>
              </w:rPr>
              <w:fldChar w:fldCharType="end"/>
            </w:r>
            <w:r w:rsidRPr="00F8680E">
              <w:rPr>
                <w:rFonts w:ascii="Times New Roman" w:eastAsia="Times New Roman" w:hAnsi="Times New Roman" w:cs="Times New Roman"/>
                <w:sz w:val="20"/>
                <w:szCs w:val="20"/>
                <w:lang w:eastAsia="en-ZA"/>
              </w:rPr>
              <w:t>, and it might be present in industry in South Africa but this needs to be assessed (Nunes et al. 2017).</w:t>
            </w:r>
          </w:p>
        </w:tc>
      </w:tr>
      <w:tr w:rsidR="002D7080" w:rsidRPr="004D1E6F" w14:paraId="15F27301"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13EF9A70"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6A047D99" w14:textId="77777777" w:rsidR="002D7080" w:rsidRPr="004D1E6F" w:rsidRDefault="002D7080" w:rsidP="006728DB">
            <w:pPr>
              <w:spacing w:after="0"/>
              <w:ind w:left="522" w:hanging="522"/>
              <w:jc w:val="both"/>
              <w:rPr>
                <w:rFonts w:ascii="Times New Roman" w:eastAsia="Times New Roman" w:hAnsi="Times New Roman" w:cs="Times New Roman"/>
                <w:color w:val="000000"/>
                <w:sz w:val="20"/>
                <w:szCs w:val="20"/>
                <w:lang w:eastAsia="en-ZA"/>
              </w:rPr>
            </w:pPr>
            <w:r w:rsidRPr="000F54D1">
              <w:rPr>
                <w:rFonts w:ascii="Times New Roman" w:hAnsi="Times New Roman" w:cs="Times New Roman"/>
                <w:sz w:val="20"/>
                <w:szCs w:val="20"/>
                <w:shd w:val="clear" w:color="auto" w:fill="FFFFFF"/>
              </w:rPr>
              <w:t xml:space="preserve">Ahern, D., England, J. &amp; Ellis, A., 2008, ‘The virile crayfish, </w:t>
            </w:r>
            <w:r w:rsidRPr="000F54D1">
              <w:rPr>
                <w:rFonts w:ascii="Times New Roman" w:hAnsi="Times New Roman" w:cs="Times New Roman"/>
                <w:i/>
                <w:iCs/>
                <w:sz w:val="20"/>
                <w:szCs w:val="20"/>
                <w:shd w:val="clear" w:color="auto" w:fill="FFFFFF"/>
              </w:rPr>
              <w:t>Orconectes virilis</w:t>
            </w:r>
            <w:r w:rsidRPr="000F54D1">
              <w:rPr>
                <w:rFonts w:ascii="Times New Roman" w:hAnsi="Times New Roman" w:cs="Times New Roman"/>
                <w:sz w:val="20"/>
                <w:szCs w:val="20"/>
                <w:shd w:val="clear" w:color="auto" w:fill="FFFFFF"/>
              </w:rPr>
              <w:t xml:space="preserve"> (Hagen, 1870) (Crustacea: Decapoda: Cambaridae), identified in the UK. Invasive species in inland waters of Europe and North America: Distribution and Impacts’, </w:t>
            </w:r>
            <w:r w:rsidRPr="000F54D1">
              <w:rPr>
                <w:rStyle w:val="Emphasis"/>
                <w:rFonts w:ascii="Times New Roman" w:hAnsi="Times New Roman" w:cs="Times New Roman"/>
                <w:sz w:val="20"/>
                <w:szCs w:val="20"/>
                <w:shd w:val="clear" w:color="auto" w:fill="FFFFFF"/>
              </w:rPr>
              <w:t>Aquatic Invasions</w:t>
            </w:r>
            <w:r w:rsidRPr="000F54D1">
              <w:rPr>
                <w:rFonts w:ascii="Times New Roman" w:hAnsi="Times New Roman" w:cs="Times New Roman"/>
                <w:sz w:val="20"/>
                <w:szCs w:val="20"/>
                <w:shd w:val="clear" w:color="auto" w:fill="FFFFFF"/>
              </w:rPr>
              <w:t>, 3(1), 102- 104. </w:t>
            </w:r>
            <w:hyperlink w:tgtFrame="_blank" w:history="1">
              <w:r w:rsidRPr="00F8680E">
                <w:rPr>
                  <w:rStyle w:val="Hyperlink"/>
                  <w:rFonts w:ascii="Times New Roman" w:hAnsi="Times New Roman" w:cs="Times New Roman"/>
                  <w:color w:val="155BC3"/>
                  <w:sz w:val="20"/>
                  <w:szCs w:val="20"/>
                  <w:shd w:val="clear" w:color="auto" w:fill="FFFFFF"/>
                </w:rPr>
                <w:t>https://www.reabic.net/aquaticinvasions/2008/AI_2008_3_1_Ahern_etal.pdf</w:t>
              </w:r>
            </w:hyperlink>
          </w:p>
          <w:p w14:paraId="4953384A" w14:textId="44C28A1B" w:rsidR="002D7080" w:rsidRPr="00F8680E" w:rsidRDefault="002D7080" w:rsidP="00CD42FA">
            <w:pPr>
              <w:spacing w:after="0"/>
              <w:ind w:left="720" w:hanging="720"/>
              <w:jc w:val="both"/>
              <w:rPr>
                <w:rFonts w:ascii="Times New Roman" w:eastAsia="Times New Roman" w:hAnsi="Times New Roman" w:cs="Times New Roman"/>
                <w:color w:val="000000"/>
                <w:sz w:val="20"/>
                <w:szCs w:val="20"/>
                <w:lang w:eastAsia="en-ZA"/>
              </w:rPr>
            </w:pPr>
            <w:r w:rsidRPr="00F8680E">
              <w:rPr>
                <w:rFonts w:ascii="Times New Roman" w:eastAsia="Times New Roman" w:hAnsi="Times New Roman" w:cs="Times New Roman"/>
                <w:color w:val="000000"/>
                <w:sz w:val="20"/>
                <w:szCs w:val="20"/>
                <w:lang w:eastAsia="en-ZA"/>
              </w:rPr>
              <w:t>Faulkes Z.</w:t>
            </w:r>
            <w:r>
              <w:rPr>
                <w:rFonts w:ascii="Times New Roman" w:eastAsia="Times New Roman" w:hAnsi="Times New Roman" w:cs="Times New Roman"/>
                <w:color w:val="000000"/>
                <w:sz w:val="20"/>
                <w:szCs w:val="20"/>
                <w:lang w:eastAsia="en-ZA"/>
              </w:rPr>
              <w:t xml:space="preserve">, </w:t>
            </w:r>
            <w:r w:rsidRPr="00F8680E">
              <w:rPr>
                <w:rFonts w:ascii="Times New Roman" w:eastAsia="Times New Roman" w:hAnsi="Times New Roman" w:cs="Times New Roman"/>
                <w:color w:val="000000"/>
                <w:sz w:val="20"/>
                <w:szCs w:val="20"/>
                <w:lang w:eastAsia="en-ZA"/>
              </w:rPr>
              <w:t>2015</w:t>
            </w:r>
            <w:r>
              <w:rPr>
                <w:rFonts w:ascii="Times New Roman" w:eastAsia="Times New Roman" w:hAnsi="Times New Roman" w:cs="Times New Roman"/>
                <w:color w:val="000000"/>
                <w:sz w:val="20"/>
                <w:szCs w:val="20"/>
                <w:lang w:eastAsia="en-ZA"/>
              </w:rPr>
              <w:t>,</w:t>
            </w:r>
            <w:r w:rsidRPr="00F8680E">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w:t>
            </w:r>
            <w:r w:rsidRPr="00F8680E">
              <w:rPr>
                <w:rFonts w:ascii="Times New Roman" w:eastAsia="Times New Roman" w:hAnsi="Times New Roman" w:cs="Times New Roman"/>
                <w:color w:val="000000"/>
                <w:sz w:val="20"/>
                <w:szCs w:val="20"/>
                <w:lang w:eastAsia="en-ZA"/>
              </w:rPr>
              <w:t>The global trade in crayfish as pets</w:t>
            </w:r>
            <w:r>
              <w:rPr>
                <w:rFonts w:ascii="Times New Roman" w:eastAsia="Times New Roman" w:hAnsi="Times New Roman" w:cs="Times New Roman"/>
                <w:color w:val="000000"/>
                <w:sz w:val="20"/>
                <w:szCs w:val="20"/>
                <w:lang w:eastAsia="en-ZA"/>
              </w:rPr>
              <w:t>’,</w:t>
            </w:r>
            <w:r w:rsidRPr="00F8680E">
              <w:rPr>
                <w:rFonts w:ascii="Times New Roman" w:eastAsia="Times New Roman" w:hAnsi="Times New Roman" w:cs="Times New Roman"/>
                <w:color w:val="000000"/>
                <w:sz w:val="20"/>
                <w:szCs w:val="20"/>
                <w:lang w:eastAsia="en-ZA"/>
              </w:rPr>
              <w:t xml:space="preserve"> </w:t>
            </w:r>
            <w:r w:rsidRPr="00F8680E">
              <w:rPr>
                <w:rFonts w:ascii="Times New Roman" w:eastAsia="Times New Roman" w:hAnsi="Times New Roman" w:cs="Times New Roman"/>
                <w:i/>
                <w:iCs/>
                <w:color w:val="000000"/>
                <w:sz w:val="20"/>
                <w:szCs w:val="20"/>
                <w:lang w:eastAsia="en-ZA"/>
              </w:rPr>
              <w:t>Crustacean Research</w:t>
            </w:r>
            <w:r>
              <w:rPr>
                <w:rFonts w:ascii="Times New Roman" w:eastAsia="Times New Roman" w:hAnsi="Times New Roman" w:cs="Times New Roman"/>
                <w:i/>
                <w:iCs/>
                <w:color w:val="000000"/>
                <w:sz w:val="20"/>
                <w:szCs w:val="20"/>
                <w:lang w:eastAsia="en-ZA"/>
              </w:rPr>
              <w:t xml:space="preserve">, </w:t>
            </w:r>
            <w:r w:rsidRPr="00F8680E">
              <w:rPr>
                <w:rFonts w:ascii="Times New Roman" w:eastAsia="Times New Roman" w:hAnsi="Times New Roman" w:cs="Times New Roman"/>
                <w:iCs/>
                <w:color w:val="000000"/>
                <w:sz w:val="20"/>
                <w:szCs w:val="20"/>
                <w:lang w:eastAsia="en-ZA"/>
              </w:rPr>
              <w:t>44</w:t>
            </w:r>
            <w:r>
              <w:rPr>
                <w:rFonts w:ascii="Times New Roman" w:eastAsia="Times New Roman" w:hAnsi="Times New Roman" w:cs="Times New Roman"/>
                <w:iCs/>
                <w:color w:val="000000"/>
                <w:sz w:val="20"/>
                <w:szCs w:val="20"/>
                <w:lang w:eastAsia="en-ZA"/>
              </w:rPr>
              <w:t>,</w:t>
            </w:r>
            <w:r w:rsidRPr="00F8680E">
              <w:rPr>
                <w:rFonts w:ascii="Times New Roman" w:eastAsia="Times New Roman" w:hAnsi="Times New Roman" w:cs="Times New Roman"/>
                <w:color w:val="000000"/>
                <w:sz w:val="20"/>
                <w:szCs w:val="20"/>
                <w:lang w:eastAsia="en-ZA"/>
              </w:rPr>
              <w:t xml:space="preserve"> 75–92.</w:t>
            </w:r>
            <w:r>
              <w:rPr>
                <w:rFonts w:ascii="Times New Roman" w:eastAsia="Times New Roman" w:hAnsi="Times New Roman" w:cs="Times New Roman"/>
                <w:color w:val="000000"/>
                <w:sz w:val="20"/>
                <w:szCs w:val="20"/>
                <w:lang w:eastAsia="en-ZA"/>
              </w:rPr>
              <w:t xml:space="preserve"> </w:t>
            </w:r>
            <w:hyperlink r:id="rId374" w:history="1">
              <w:r w:rsidR="00CD42FA" w:rsidRPr="00A22D6D">
                <w:rPr>
                  <w:rStyle w:val="Hyperlink"/>
                  <w:rFonts w:ascii="Times New Roman" w:hAnsi="Times New Roman" w:cs="Times New Roman"/>
                  <w:sz w:val="20"/>
                  <w:szCs w:val="20"/>
                </w:rPr>
                <w:t>https://doi.org/10.18353/crustacea.44.0_75</w:t>
              </w:r>
            </w:hyperlink>
            <w:r w:rsidR="00CD42FA">
              <w:rPr>
                <w:rFonts w:ascii="Times New Roman" w:eastAsia="Times New Roman" w:hAnsi="Times New Roman" w:cs="Times New Roman"/>
                <w:color w:val="000000"/>
                <w:sz w:val="20"/>
                <w:szCs w:val="20"/>
                <w:lang w:eastAsia="en-ZA"/>
              </w:rPr>
              <w:t xml:space="preserve">. </w:t>
            </w:r>
            <w:r w:rsidRPr="00CD42FA">
              <w:rPr>
                <w:rFonts w:ascii="Times New Roman" w:eastAsia="Times New Roman" w:hAnsi="Times New Roman" w:cs="Times New Roman"/>
                <w:color w:val="000000"/>
                <w:sz w:val="20"/>
                <w:szCs w:val="20"/>
                <w:lang w:eastAsia="en-ZA"/>
              </w:rPr>
              <w:t xml:space="preserve"> </w:t>
            </w:r>
          </w:p>
          <w:p w14:paraId="18A34354" w14:textId="77777777" w:rsidR="002D7080" w:rsidRPr="00F8680E" w:rsidRDefault="002D7080" w:rsidP="006728DB">
            <w:pPr>
              <w:spacing w:after="0"/>
              <w:ind w:left="522" w:hanging="522"/>
              <w:jc w:val="both"/>
              <w:rPr>
                <w:rFonts w:ascii="Times New Roman" w:eastAsia="Calibri" w:hAnsi="Times New Roman" w:cs="Times New Roman"/>
                <w:sz w:val="20"/>
                <w:szCs w:val="20"/>
              </w:rPr>
            </w:pPr>
            <w:r w:rsidRPr="00F8680E">
              <w:rPr>
                <w:rFonts w:ascii="Times New Roman" w:eastAsia="Calibri" w:hAnsi="Times New Roman" w:cs="Times New Roman"/>
                <w:sz w:val="20"/>
                <w:szCs w:val="20"/>
              </w:rPr>
              <w:t>Lodge</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D</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M</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Deines</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A</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Gherardi, F</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Yeo</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D</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C</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J</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Arcella</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T</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Baldridge</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A</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K</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Branes</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M</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A</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Chadderton</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W</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L</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Feder</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J</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L</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Grantz</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C</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A</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Howard</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G</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W</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Jerdde</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C</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L</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Peters</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J</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A</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Sargent</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L</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W</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Turner</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C</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R</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Wittmann</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M</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E</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Zeng</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Y.</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2012</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Global introductions of crayfishes: evaluating the impact of species invasions on ecosystem services</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w:t>
            </w:r>
            <w:r w:rsidRPr="00F8680E">
              <w:rPr>
                <w:rFonts w:ascii="Times New Roman" w:eastAsia="Calibri" w:hAnsi="Times New Roman" w:cs="Times New Roman"/>
                <w:i/>
                <w:sz w:val="20"/>
                <w:szCs w:val="20"/>
              </w:rPr>
              <w:t>Annual Review of Ecology Evolution Systematics</w:t>
            </w:r>
            <w:r w:rsidRPr="00CA3B1E">
              <w:rPr>
                <w:rFonts w:ascii="Times New Roman" w:eastAsia="Calibri" w:hAnsi="Times New Roman" w:cs="Times New Roman"/>
                <w:iCs/>
                <w:sz w:val="20"/>
                <w:szCs w:val="20"/>
              </w:rPr>
              <w:t>,</w:t>
            </w:r>
            <w:r w:rsidRPr="00F8680E">
              <w:rPr>
                <w:rFonts w:ascii="Times New Roman" w:eastAsia="Calibri" w:hAnsi="Times New Roman" w:cs="Times New Roman"/>
                <w:sz w:val="20"/>
                <w:szCs w:val="20"/>
              </w:rPr>
              <w:t xml:space="preserve"> 43</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449</w:t>
            </w:r>
            <w:r w:rsidRPr="00F8680E">
              <w:rPr>
                <w:rFonts w:ascii="Times New Roman" w:eastAsia="Times New Roman" w:hAnsi="Times New Roman" w:cs="Times New Roman"/>
                <w:color w:val="000000"/>
                <w:sz w:val="20"/>
                <w:szCs w:val="20"/>
                <w:lang w:eastAsia="en-ZA"/>
              </w:rPr>
              <w:t>–4</w:t>
            </w:r>
            <w:r w:rsidRPr="00F8680E">
              <w:rPr>
                <w:rFonts w:ascii="Times New Roman" w:eastAsia="Calibri" w:hAnsi="Times New Roman" w:cs="Times New Roman"/>
                <w:sz w:val="20"/>
                <w:szCs w:val="20"/>
              </w:rPr>
              <w:t>72.</w:t>
            </w:r>
            <w:r>
              <w:rPr>
                <w:rFonts w:ascii="Times New Roman" w:eastAsia="Calibri" w:hAnsi="Times New Roman" w:cs="Times New Roman"/>
                <w:sz w:val="20"/>
                <w:szCs w:val="20"/>
              </w:rPr>
              <w:t xml:space="preserve"> </w:t>
            </w:r>
            <w:hyperlink r:id="rId375" w:history="1">
              <w:r w:rsidRPr="000F54D1">
                <w:rPr>
                  <w:rStyle w:val="Hyperlink"/>
                  <w:rFonts w:ascii="Times New Roman" w:eastAsia="Calibri" w:hAnsi="Times New Roman" w:cs="Times New Roman"/>
                  <w:bCs/>
                  <w:sz w:val="20"/>
                  <w:szCs w:val="20"/>
                </w:rPr>
                <w:t>https://doi.org/10.1146/annurev-ecolsys-111511-103919</w:t>
              </w:r>
            </w:hyperlink>
            <w:r w:rsidRPr="000F54D1">
              <w:rPr>
                <w:rFonts w:ascii="Times New Roman" w:eastAsia="Calibri" w:hAnsi="Times New Roman" w:cs="Times New Roman"/>
                <w:sz w:val="20"/>
                <w:szCs w:val="20"/>
              </w:rPr>
              <w:t>.</w:t>
            </w:r>
          </w:p>
          <w:p w14:paraId="4A5ABC31" w14:textId="77777777" w:rsidR="002D7080" w:rsidRPr="004D1E6F" w:rsidRDefault="002D7080" w:rsidP="006728DB">
            <w:pPr>
              <w:spacing w:after="0"/>
              <w:ind w:left="522" w:hanging="522"/>
              <w:jc w:val="both"/>
              <w:rPr>
                <w:rFonts w:ascii="Times New Roman" w:eastAsia="Times New Roman" w:hAnsi="Times New Roman" w:cs="Times New Roman"/>
                <w:color w:val="000000"/>
                <w:sz w:val="20"/>
                <w:szCs w:val="20"/>
                <w:lang w:eastAsia="en-ZA"/>
              </w:rPr>
            </w:pPr>
            <w:r w:rsidRPr="00F8680E">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F8680E">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 </w:t>
            </w:r>
            <w:hyperlink w:history="1">
              <w:r w:rsidRPr="000F54D1">
                <w:rPr>
                  <w:rStyle w:val="Hyperlink"/>
                  <w:rFonts w:ascii="Times New Roman" w:eastAsia="Times New Roman" w:hAnsi="Times New Roman" w:cs="Times New Roman"/>
                  <w:sz w:val="20"/>
                  <w:szCs w:val="20"/>
                  <w:lang w:eastAsia="en-ZA"/>
                </w:rPr>
                <w:t>https://doi.org/10.2989/16085914.2017.1405788</w:t>
              </w:r>
            </w:hyperlink>
            <w:r w:rsidRPr="000F54D1">
              <w:rPr>
                <w:rFonts w:ascii="Times New Roman" w:eastAsia="Times New Roman" w:hAnsi="Times New Roman" w:cs="Times New Roman"/>
                <w:color w:val="000000"/>
                <w:sz w:val="20"/>
                <w:szCs w:val="20"/>
                <w:lang w:eastAsia="en-ZA"/>
              </w:rPr>
              <w:t>.</w:t>
            </w:r>
          </w:p>
        </w:tc>
      </w:tr>
      <w:tr w:rsidR="002D7080" w:rsidRPr="004D1E6F" w14:paraId="5E488A2A" w14:textId="77777777" w:rsidTr="002E2C37">
        <w:trPr>
          <w:cantSplit/>
          <w:trHeight w:val="26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132A09E"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BAC11 Availability of physical specimen</w:t>
            </w:r>
          </w:p>
        </w:tc>
      </w:tr>
      <w:tr w:rsidR="002D7080" w:rsidRPr="004D1E6F" w14:paraId="23DD991F" w14:textId="77777777" w:rsidTr="002E2C37">
        <w:trPr>
          <w:cantSplit/>
          <w:trHeight w:val="251"/>
        </w:trPr>
        <w:tc>
          <w:tcPr>
            <w:tcW w:w="6124" w:type="dxa"/>
            <w:gridSpan w:val="3"/>
            <w:tcBorders>
              <w:top w:val="single" w:sz="4" w:space="0" w:color="auto"/>
              <w:left w:val="single" w:sz="4" w:space="0" w:color="auto"/>
              <w:bottom w:val="single" w:sz="4" w:space="0" w:color="auto"/>
              <w:right w:val="single" w:sz="4" w:space="0" w:color="auto"/>
            </w:tcBorders>
            <w:noWrap/>
          </w:tcPr>
          <w:p w14:paraId="1FE95303" w14:textId="77777777" w:rsidR="002D7080" w:rsidRPr="004D1E6F" w:rsidRDefault="002D7080" w:rsidP="006728DB">
            <w:pPr>
              <w:spacing w:after="0"/>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Response: N</w:t>
            </w:r>
            <w:r>
              <w:rPr>
                <w:rFonts w:ascii="Times New Roman" w:eastAsia="Times New Roman" w:hAnsi="Times New Roman" w:cs="Times New Roman"/>
                <w:color w:val="000000"/>
                <w:sz w:val="20"/>
                <w:szCs w:val="20"/>
                <w:lang w:eastAsia="en-ZA"/>
              </w:rPr>
              <w:t>o</w:t>
            </w:r>
          </w:p>
        </w:tc>
        <w:tc>
          <w:tcPr>
            <w:tcW w:w="2666" w:type="dxa"/>
            <w:tcBorders>
              <w:top w:val="single" w:sz="4" w:space="0" w:color="auto"/>
              <w:left w:val="single" w:sz="4" w:space="0" w:color="auto"/>
              <w:bottom w:val="single" w:sz="4" w:space="0" w:color="auto"/>
              <w:right w:val="single" w:sz="4" w:space="0" w:color="auto"/>
            </w:tcBorders>
          </w:tcPr>
          <w:p w14:paraId="55226731"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 in ID:</w:t>
            </w:r>
          </w:p>
        </w:tc>
      </w:tr>
      <w:tr w:rsidR="002D7080" w:rsidRPr="004D1E6F" w14:paraId="6EE82CC7"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0747F755"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sz w:val="20"/>
                <w:szCs w:val="20"/>
                <w:lang w:eastAsia="en-ZA"/>
              </w:rPr>
              <w:t xml:space="preserve">Herbarium or museum accession number: No </w:t>
            </w:r>
            <w:r w:rsidRPr="00233C97">
              <w:rPr>
                <w:rFonts w:ascii="Times New Roman" w:eastAsia="Times New Roman" w:hAnsi="Times New Roman" w:cs="Times New Roman"/>
                <w:i/>
                <w:iCs/>
                <w:sz w:val="20"/>
                <w:szCs w:val="20"/>
                <w:lang w:eastAsia="en-ZA"/>
              </w:rPr>
              <w:t>Faxonius</w:t>
            </w:r>
            <w:r>
              <w:rPr>
                <w:rFonts w:ascii="Times New Roman" w:eastAsia="Times New Roman" w:hAnsi="Times New Roman" w:cs="Times New Roman"/>
                <w:i/>
                <w:iCs/>
                <w:sz w:val="20"/>
                <w:szCs w:val="20"/>
                <w:lang w:eastAsia="en-ZA"/>
              </w:rPr>
              <w:t xml:space="preserve"> virilis</w:t>
            </w:r>
            <w:r w:rsidRPr="00233C97">
              <w:rPr>
                <w:rFonts w:ascii="Times New Roman" w:eastAsia="Times New Roman" w:hAnsi="Times New Roman" w:cs="Times New Roman"/>
                <w:i/>
                <w:iCs/>
                <w:sz w:val="20"/>
                <w:szCs w:val="20"/>
                <w:lang w:eastAsia="en-ZA"/>
              </w:rPr>
              <w:t xml:space="preserve"> </w:t>
            </w:r>
            <w:r w:rsidRPr="00233C97">
              <w:rPr>
                <w:rFonts w:ascii="Times New Roman" w:eastAsia="Times New Roman" w:hAnsi="Times New Roman" w:cs="Times New Roman"/>
                <w:iCs/>
                <w:sz w:val="20"/>
                <w:szCs w:val="20"/>
                <w:lang w:eastAsia="en-ZA"/>
              </w:rPr>
              <w:t xml:space="preserve">specimens have been found in South Africa and it is assumed the species </w:t>
            </w:r>
            <w:r w:rsidRPr="00233C97">
              <w:rPr>
                <w:rFonts w:ascii="Times New Roman" w:eastAsia="Times New Roman" w:hAnsi="Times New Roman" w:cs="Times New Roman"/>
                <w:sz w:val="20"/>
                <w:szCs w:val="20"/>
                <w:lang w:eastAsia="en-ZA"/>
              </w:rPr>
              <w:t>is not present in South Africa, although it requires further assessment, especially linked to the pet trade industry</w:t>
            </w:r>
            <w:r>
              <w:rPr>
                <w:rFonts w:ascii="Times New Roman" w:eastAsia="Times New Roman" w:hAnsi="Times New Roman" w:cs="Times New Roman"/>
                <w:sz w:val="20"/>
                <w:szCs w:val="20"/>
                <w:lang w:eastAsia="en-ZA"/>
              </w:rPr>
              <w:t xml:space="preserve"> (Nunes et al. 2017)</w:t>
            </w:r>
            <w:r w:rsidRPr="00233C97">
              <w:rPr>
                <w:rFonts w:ascii="Times New Roman" w:eastAsia="Times New Roman" w:hAnsi="Times New Roman" w:cs="Times New Roman"/>
                <w:sz w:val="20"/>
                <w:szCs w:val="20"/>
                <w:lang w:eastAsia="en-ZA"/>
              </w:rPr>
              <w:t xml:space="preserve">. </w:t>
            </w:r>
          </w:p>
        </w:tc>
      </w:tr>
      <w:tr w:rsidR="002D7080" w:rsidRPr="004D1E6F" w14:paraId="2143001A"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5C0AB146" w14:textId="77777777" w:rsidR="002D7080" w:rsidRDefault="002D7080" w:rsidP="006728DB">
            <w:pPr>
              <w:spacing w:after="0"/>
              <w:ind w:left="720" w:hanging="720"/>
              <w:jc w:val="both"/>
              <w:rPr>
                <w:rFonts w:ascii="Times New Roman" w:eastAsia="Times New Roman" w:hAnsi="Times New Roman" w:cs="Times New Roman"/>
                <w:sz w:val="20"/>
                <w:szCs w:val="20"/>
                <w:lang w:eastAsia="en-ZA"/>
              </w:rPr>
            </w:pPr>
            <w:r w:rsidRPr="00233C97">
              <w:rPr>
                <w:rFonts w:ascii="Times New Roman" w:eastAsia="Times New Roman" w:hAnsi="Times New Roman" w:cs="Times New Roman"/>
                <w:sz w:val="20"/>
                <w:szCs w:val="20"/>
                <w:lang w:eastAsia="en-ZA"/>
              </w:rPr>
              <w:t>References:</w:t>
            </w:r>
          </w:p>
          <w:p w14:paraId="213FA253" w14:textId="77777777" w:rsidR="002D7080" w:rsidRPr="004D1E6F" w:rsidRDefault="002D7080" w:rsidP="006728DB">
            <w:pPr>
              <w:spacing w:after="0"/>
              <w:ind w:left="510" w:hanging="510"/>
              <w:jc w:val="both"/>
              <w:rPr>
                <w:rFonts w:ascii="Times New Roman" w:eastAsia="Times New Roman" w:hAnsi="Times New Roman" w:cs="Times New Roman"/>
                <w:color w:val="000000"/>
                <w:sz w:val="20"/>
                <w:szCs w:val="20"/>
                <w:lang w:eastAsia="en-ZA"/>
              </w:rPr>
            </w:pPr>
            <w:r w:rsidRPr="00F8680E">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F8680E">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 </w:t>
            </w:r>
            <w:hyperlink w:history="1">
              <w:r w:rsidRPr="000F54D1">
                <w:rPr>
                  <w:rStyle w:val="Hyperlink"/>
                  <w:rFonts w:ascii="Times New Roman" w:eastAsia="Times New Roman" w:hAnsi="Times New Roman" w:cs="Times New Roman"/>
                  <w:sz w:val="20"/>
                  <w:szCs w:val="20"/>
                  <w:lang w:eastAsia="en-ZA"/>
                </w:rPr>
                <w:t>https://doi.org/10.2989/16085914.2017.1405788</w:t>
              </w:r>
            </w:hyperlink>
            <w:r w:rsidRPr="000F54D1">
              <w:rPr>
                <w:rFonts w:ascii="Times New Roman" w:eastAsia="Times New Roman" w:hAnsi="Times New Roman" w:cs="Times New Roman"/>
                <w:color w:val="000000"/>
                <w:sz w:val="20"/>
                <w:szCs w:val="20"/>
                <w:lang w:eastAsia="en-ZA"/>
              </w:rPr>
              <w:t>.</w:t>
            </w:r>
          </w:p>
        </w:tc>
      </w:tr>
      <w:tr w:rsidR="002D7080" w:rsidRPr="004D1E6F" w14:paraId="7FE033AC" w14:textId="77777777" w:rsidTr="002E2C37">
        <w:trPr>
          <w:cantSplit/>
          <w:trHeight w:val="134"/>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267B6E5" w14:textId="77777777" w:rsidR="002D7080" w:rsidRPr="004D1E6F" w:rsidRDefault="002D7080" w:rsidP="006728DB">
            <w:pPr>
              <w:spacing w:after="0"/>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BAC12 Is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native to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 xml:space="preserve"> or part of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w:t>
            </w:r>
          </w:p>
        </w:tc>
      </w:tr>
      <w:tr w:rsidR="002D7080" w:rsidRPr="004D1E6F" w14:paraId="3608CBF5" w14:textId="77777777" w:rsidTr="002E2C37">
        <w:trPr>
          <w:cantSplit/>
          <w:trHeight w:val="224"/>
        </w:trPr>
        <w:tc>
          <w:tcPr>
            <w:tcW w:w="3690" w:type="dxa"/>
            <w:gridSpan w:val="2"/>
            <w:tcBorders>
              <w:top w:val="single" w:sz="4" w:space="0" w:color="auto"/>
              <w:left w:val="single" w:sz="4" w:space="0" w:color="auto"/>
              <w:bottom w:val="single" w:sz="4" w:space="0" w:color="auto"/>
              <w:right w:val="single" w:sz="4" w:space="0" w:color="auto"/>
            </w:tcBorders>
            <w:noWrap/>
          </w:tcPr>
          <w:p w14:paraId="572B4E6F"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native to (part of) the </w:t>
            </w:r>
            <w:r w:rsidRPr="004D1E6F">
              <w:rPr>
                <w:rFonts w:ascii="Times New Roman" w:eastAsia="Times New Roman" w:hAnsi="Times New Roman" w:cs="Times New Roman"/>
                <w:i/>
                <w:color w:val="000000"/>
                <w:sz w:val="20"/>
                <w:szCs w:val="20"/>
                <w:lang w:eastAsia="en-ZA"/>
              </w:rPr>
              <w:t>Area</w:t>
            </w:r>
            <w:r w:rsidRPr="004D1E6F">
              <w:rPr>
                <w:rFonts w:ascii="Times New Roman" w:eastAsia="Times New Roman" w:hAnsi="Times New Roman" w:cs="Times New Roman"/>
                <w:color w:val="000000"/>
                <w:sz w:val="20"/>
                <w:szCs w:val="20"/>
                <w:lang w:eastAsia="en-ZA"/>
              </w:rPr>
              <w:t>.</w:t>
            </w:r>
          </w:p>
        </w:tc>
        <w:tc>
          <w:tcPr>
            <w:tcW w:w="2434" w:type="dxa"/>
            <w:tcBorders>
              <w:top w:val="single" w:sz="4" w:space="0" w:color="auto"/>
              <w:left w:val="nil"/>
              <w:bottom w:val="single" w:sz="4" w:space="0" w:color="auto"/>
              <w:right w:val="single" w:sz="4" w:space="0" w:color="auto"/>
            </w:tcBorders>
          </w:tcPr>
          <w:p w14:paraId="336CE964"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No </w:t>
            </w:r>
          </w:p>
        </w:tc>
        <w:tc>
          <w:tcPr>
            <w:tcW w:w="2666" w:type="dxa"/>
            <w:tcBorders>
              <w:top w:val="single" w:sz="4" w:space="0" w:color="auto"/>
              <w:left w:val="nil"/>
              <w:bottom w:val="single" w:sz="4" w:space="0" w:color="auto"/>
              <w:right w:val="single" w:sz="4" w:space="0" w:color="auto"/>
            </w:tcBorders>
          </w:tcPr>
          <w:p w14:paraId="74427ED6"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5274AE6E" w14:textId="77777777" w:rsidTr="002E2C37">
        <w:trPr>
          <w:cantSplit/>
          <w:trHeight w:val="242"/>
        </w:trPr>
        <w:tc>
          <w:tcPr>
            <w:tcW w:w="3690" w:type="dxa"/>
            <w:gridSpan w:val="2"/>
            <w:tcBorders>
              <w:top w:val="single" w:sz="4" w:space="0" w:color="auto"/>
              <w:left w:val="single" w:sz="4" w:space="0" w:color="auto"/>
              <w:bottom w:val="single" w:sz="4" w:space="0" w:color="auto"/>
              <w:right w:val="single" w:sz="4" w:space="0" w:color="auto"/>
            </w:tcBorders>
            <w:noWrap/>
          </w:tcPr>
          <w:p w14:paraId="0A85455B"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alien in (part of) the </w:t>
            </w:r>
            <w:r w:rsidRPr="004D1E6F">
              <w:rPr>
                <w:rFonts w:ascii="Times New Roman" w:eastAsia="Times New Roman" w:hAnsi="Times New Roman" w:cs="Times New Roman"/>
                <w:i/>
                <w:color w:val="000000"/>
                <w:sz w:val="20"/>
                <w:szCs w:val="20"/>
                <w:lang w:eastAsia="en-ZA"/>
              </w:rPr>
              <w:t>Area</w:t>
            </w:r>
            <w:r w:rsidRPr="004D1E6F">
              <w:rPr>
                <w:rFonts w:ascii="Times New Roman" w:eastAsia="Times New Roman" w:hAnsi="Times New Roman" w:cs="Times New Roman"/>
                <w:color w:val="000000"/>
                <w:sz w:val="20"/>
                <w:szCs w:val="20"/>
                <w:lang w:eastAsia="en-ZA"/>
              </w:rPr>
              <w:t>.</w:t>
            </w:r>
          </w:p>
        </w:tc>
        <w:tc>
          <w:tcPr>
            <w:tcW w:w="2434" w:type="dxa"/>
            <w:tcBorders>
              <w:top w:val="single" w:sz="4" w:space="0" w:color="auto"/>
              <w:left w:val="nil"/>
              <w:bottom w:val="single" w:sz="4" w:space="0" w:color="auto"/>
              <w:right w:val="single" w:sz="4" w:space="0" w:color="auto"/>
            </w:tcBorders>
          </w:tcPr>
          <w:p w14:paraId="35C2753F"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Yes </w:t>
            </w:r>
          </w:p>
        </w:tc>
        <w:tc>
          <w:tcPr>
            <w:tcW w:w="2666" w:type="dxa"/>
            <w:tcBorders>
              <w:top w:val="single" w:sz="4" w:space="0" w:color="auto"/>
              <w:left w:val="nil"/>
              <w:bottom w:val="single" w:sz="4" w:space="0" w:color="auto"/>
              <w:right w:val="single" w:sz="4" w:space="0" w:color="auto"/>
            </w:tcBorders>
          </w:tcPr>
          <w:p w14:paraId="0018CCC7"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064CF6B6" w14:textId="77777777" w:rsidTr="002E2C37">
        <w:trPr>
          <w:cantSplit/>
          <w:trHeight w:val="287"/>
        </w:trPr>
        <w:tc>
          <w:tcPr>
            <w:tcW w:w="8790" w:type="dxa"/>
            <w:gridSpan w:val="4"/>
            <w:tcBorders>
              <w:top w:val="single" w:sz="4" w:space="0" w:color="auto"/>
              <w:left w:val="single" w:sz="4" w:space="0" w:color="auto"/>
              <w:bottom w:val="single" w:sz="4" w:space="0" w:color="auto"/>
              <w:right w:val="single" w:sz="4" w:space="0" w:color="auto"/>
            </w:tcBorders>
            <w:noWrap/>
          </w:tcPr>
          <w:p w14:paraId="61549E62" w14:textId="48F115A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sidRPr="00233C97">
              <w:rPr>
                <w:rFonts w:ascii="Times New Roman" w:eastAsia="Times New Roman" w:hAnsi="Times New Roman" w:cs="Times New Roman"/>
                <w:sz w:val="20"/>
                <w:szCs w:val="20"/>
                <w:lang w:eastAsia="en-ZA"/>
              </w:rPr>
              <w:t xml:space="preserve"> There are no native freshwater crayfish species native in South Africa </w:t>
            </w:r>
            <w:r w:rsidRPr="00233C97">
              <w:rPr>
                <w:rFonts w:ascii="Times New Roman" w:eastAsia="Times New Roman" w:hAnsi="Times New Roman" w:cs="Times New Roman"/>
                <w:sz w:val="20"/>
                <w:szCs w:val="20"/>
                <w:lang w:eastAsia="en-ZA"/>
              </w:rPr>
              <w:fldChar w:fldCharType="begin" w:fldLock="1"/>
            </w:r>
            <w:r w:rsidRPr="00233C97">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233C97">
              <w:rPr>
                <w:rFonts w:ascii="Times New Roman" w:eastAsia="Times New Roman" w:hAnsi="Times New Roman" w:cs="Times New Roman"/>
                <w:sz w:val="20"/>
                <w:szCs w:val="20"/>
                <w:lang w:eastAsia="en-ZA"/>
              </w:rPr>
              <w:fldChar w:fldCharType="separate"/>
            </w:r>
            <w:r w:rsidRPr="00233C97">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233C97">
              <w:rPr>
                <w:rFonts w:ascii="Times New Roman" w:eastAsia="Times New Roman" w:hAnsi="Times New Roman" w:cs="Times New Roman"/>
                <w:sz w:val="20"/>
                <w:szCs w:val="20"/>
                <w:lang w:eastAsia="en-ZA"/>
              </w:rPr>
              <w:t xml:space="preserve"> 2002; Nunes et al. 2017)</w:t>
            </w:r>
            <w:r w:rsidRPr="00233C97">
              <w:rPr>
                <w:rFonts w:ascii="Times New Roman" w:eastAsia="Times New Roman" w:hAnsi="Times New Roman" w:cs="Times New Roman"/>
                <w:sz w:val="20"/>
                <w:szCs w:val="20"/>
                <w:lang w:eastAsia="en-ZA"/>
              </w:rPr>
              <w:fldChar w:fldCharType="end"/>
            </w:r>
            <w:r w:rsidRPr="00233C97">
              <w:rPr>
                <w:rFonts w:ascii="Times New Roman" w:eastAsia="Times New Roman" w:hAnsi="Times New Roman" w:cs="Times New Roman"/>
                <w:sz w:val="20"/>
                <w:szCs w:val="20"/>
                <w:lang w:eastAsia="en-ZA"/>
              </w:rPr>
              <w:t>.</w:t>
            </w:r>
          </w:p>
        </w:tc>
      </w:tr>
      <w:tr w:rsidR="002D7080" w:rsidRPr="004D1E6F" w14:paraId="7B0BDBBE"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51A1672D"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380018FE" w14:textId="02CDB6D6" w:rsidR="002D7080" w:rsidRPr="004D1E6F" w:rsidRDefault="008A0BC6" w:rsidP="006728DB">
            <w:pPr>
              <w:spacing w:after="0"/>
              <w:ind w:left="510" w:hanging="510"/>
              <w:jc w:val="both"/>
              <w:rPr>
                <w:rFonts w:ascii="Times New Roman" w:eastAsia="Times New Roman" w:hAnsi="Times New Roman" w:cs="Times New Roman"/>
                <w:sz w:val="20"/>
                <w:szCs w:val="20"/>
                <w:lang w:eastAsia="en-ZA"/>
              </w:rPr>
            </w:pPr>
            <w:r>
              <w:rPr>
                <w:rFonts w:ascii="Times New Roman" w:eastAsia="Times New Roman" w:hAnsi="Times New Roman" w:cs="Times New Roman"/>
                <w:color w:val="000000"/>
                <w:sz w:val="20"/>
                <w:szCs w:val="20"/>
                <w:lang w:eastAsia="en-ZA"/>
              </w:rPr>
              <w:t>De Moor</w:t>
            </w:r>
            <w:r w:rsidR="002D7080" w:rsidRPr="004D1E6F">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 </w:t>
            </w:r>
            <w:hyperlink r:id="rId376" w:history="1">
              <w:r w:rsidR="00CD42FA" w:rsidRPr="00CD42FA">
                <w:rPr>
                  <w:rStyle w:val="Hyperlink"/>
                  <w:rFonts w:ascii="Times New Roman" w:eastAsia="Times New Roman" w:hAnsi="Times New Roman" w:cs="Times New Roman"/>
                  <w:sz w:val="20"/>
                  <w:szCs w:val="20"/>
                  <w:lang w:eastAsia="en-ZA"/>
                </w:rPr>
                <w:t>https://doi.org/10.2989/16085914.2002.9626584</w:t>
              </w:r>
            </w:hyperlink>
            <w:r w:rsidR="00CD42FA" w:rsidRPr="00CD42FA">
              <w:rPr>
                <w:rFonts w:ascii="Times New Roman" w:eastAsia="Times New Roman" w:hAnsi="Times New Roman" w:cs="Times New Roman"/>
                <w:sz w:val="20"/>
                <w:szCs w:val="20"/>
                <w:lang w:eastAsia="en-ZA"/>
              </w:rPr>
              <w:t>.</w:t>
            </w:r>
          </w:p>
          <w:p w14:paraId="76CB9479" w14:textId="4F96CB7E" w:rsidR="002D7080" w:rsidRPr="004D1E6F" w:rsidRDefault="002D7080" w:rsidP="006728DB">
            <w:pPr>
              <w:spacing w:after="0"/>
              <w:ind w:left="522" w:hanging="522"/>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 </w:t>
            </w:r>
            <w:hyperlink w:history="1">
              <w:r w:rsidRPr="000F54D1">
                <w:rPr>
                  <w:rStyle w:val="Hyperlink"/>
                  <w:rFonts w:ascii="Times New Roman" w:eastAsia="Times New Roman" w:hAnsi="Times New Roman" w:cs="Times New Roman"/>
                  <w:sz w:val="20"/>
                  <w:szCs w:val="20"/>
                  <w:lang w:eastAsia="en-ZA"/>
                </w:rPr>
                <w:t>https://doi.org/10.2989/16085914.2017.1405788</w:t>
              </w:r>
            </w:hyperlink>
            <w:r w:rsidRPr="000F54D1">
              <w:rPr>
                <w:rFonts w:ascii="Times New Roman" w:eastAsia="Times New Roman" w:hAnsi="Times New Roman" w:cs="Times New Roman"/>
                <w:color w:val="000000"/>
                <w:sz w:val="20"/>
                <w:szCs w:val="20"/>
                <w:lang w:eastAsia="en-ZA"/>
              </w:rPr>
              <w:t>.</w:t>
            </w:r>
          </w:p>
        </w:tc>
      </w:tr>
      <w:tr w:rsidR="002D7080" w:rsidRPr="004D1E6F" w14:paraId="60740956" w14:textId="77777777" w:rsidTr="002E2C37">
        <w:trPr>
          <w:cantSplit/>
          <w:trHeight w:val="215"/>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0F9F68C"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BAC13 What is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’s introduction status in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w:t>
            </w:r>
          </w:p>
        </w:tc>
      </w:tr>
      <w:tr w:rsidR="002D7080" w:rsidRPr="004D1E6F" w14:paraId="4CA75426" w14:textId="77777777" w:rsidTr="002E2C37">
        <w:trPr>
          <w:cantSplit/>
          <w:trHeight w:val="269"/>
        </w:trPr>
        <w:tc>
          <w:tcPr>
            <w:tcW w:w="3690" w:type="dxa"/>
            <w:gridSpan w:val="2"/>
            <w:tcBorders>
              <w:top w:val="single" w:sz="4" w:space="0" w:color="auto"/>
              <w:left w:val="single" w:sz="4" w:space="0" w:color="auto"/>
              <w:bottom w:val="single" w:sz="4" w:space="0" w:color="auto"/>
              <w:right w:val="single" w:sz="4" w:space="0" w:color="auto"/>
            </w:tcBorders>
            <w:noWrap/>
          </w:tcPr>
          <w:p w14:paraId="5E971616"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in cultivation/containment.</w:t>
            </w:r>
          </w:p>
        </w:tc>
        <w:tc>
          <w:tcPr>
            <w:tcW w:w="2434" w:type="dxa"/>
            <w:tcBorders>
              <w:top w:val="single" w:sz="4" w:space="0" w:color="auto"/>
              <w:left w:val="single" w:sz="4" w:space="0" w:color="auto"/>
              <w:bottom w:val="single" w:sz="4" w:space="0" w:color="auto"/>
              <w:right w:val="single" w:sz="4" w:space="0" w:color="auto"/>
            </w:tcBorders>
          </w:tcPr>
          <w:p w14:paraId="65372EC5"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 xml:space="preserve">Don’t </w:t>
            </w:r>
            <w:r w:rsidRPr="004D1E6F">
              <w:rPr>
                <w:rFonts w:ascii="Times New Roman" w:eastAsia="Times New Roman" w:hAnsi="Times New Roman" w:cs="Times New Roman"/>
                <w:color w:val="000000"/>
                <w:sz w:val="20"/>
                <w:szCs w:val="20"/>
                <w:lang w:eastAsia="en-ZA"/>
              </w:rPr>
              <w:t>known</w:t>
            </w:r>
          </w:p>
        </w:tc>
        <w:tc>
          <w:tcPr>
            <w:tcW w:w="2666" w:type="dxa"/>
            <w:tcBorders>
              <w:top w:val="single" w:sz="4" w:space="0" w:color="auto"/>
              <w:left w:val="single" w:sz="4" w:space="0" w:color="auto"/>
              <w:bottom w:val="single" w:sz="4" w:space="0" w:color="auto"/>
              <w:right w:val="single" w:sz="4" w:space="0" w:color="auto"/>
            </w:tcBorders>
          </w:tcPr>
          <w:p w14:paraId="110A212C"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66D12E98" w14:textId="77777777" w:rsidTr="002E2C37">
        <w:trPr>
          <w:cantSplit/>
          <w:trHeight w:val="87"/>
        </w:trPr>
        <w:tc>
          <w:tcPr>
            <w:tcW w:w="3690" w:type="dxa"/>
            <w:gridSpan w:val="2"/>
            <w:tcBorders>
              <w:top w:val="single" w:sz="4" w:space="0" w:color="auto"/>
              <w:left w:val="single" w:sz="4" w:space="0" w:color="auto"/>
              <w:bottom w:val="single" w:sz="4" w:space="0" w:color="auto"/>
              <w:right w:val="single" w:sz="4" w:space="0" w:color="auto"/>
            </w:tcBorders>
            <w:noWrap/>
          </w:tcPr>
          <w:p w14:paraId="4A54145D"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present in the wild.</w:t>
            </w:r>
          </w:p>
        </w:tc>
        <w:tc>
          <w:tcPr>
            <w:tcW w:w="2434" w:type="dxa"/>
            <w:tcBorders>
              <w:top w:val="single" w:sz="4" w:space="0" w:color="auto"/>
              <w:left w:val="single" w:sz="4" w:space="0" w:color="auto"/>
              <w:bottom w:val="single" w:sz="4" w:space="0" w:color="auto"/>
              <w:right w:val="single" w:sz="4" w:space="0" w:color="auto"/>
            </w:tcBorders>
          </w:tcPr>
          <w:p w14:paraId="169E1678"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No</w:t>
            </w:r>
            <w:r>
              <w:rPr>
                <w:rFonts w:ascii="Times New Roman" w:eastAsia="Times New Roman" w:hAnsi="Times New Roman" w:cs="Times New Roman"/>
                <w:color w:val="000000"/>
                <w:sz w:val="20"/>
                <w:szCs w:val="20"/>
                <w:lang w:eastAsia="en-ZA"/>
              </w:rPr>
              <w:t>ne</w:t>
            </w:r>
          </w:p>
        </w:tc>
        <w:tc>
          <w:tcPr>
            <w:tcW w:w="2666" w:type="dxa"/>
            <w:tcBorders>
              <w:top w:val="single" w:sz="4" w:space="0" w:color="auto"/>
              <w:left w:val="single" w:sz="4" w:space="0" w:color="auto"/>
              <w:bottom w:val="single" w:sz="4" w:space="0" w:color="auto"/>
              <w:right w:val="single" w:sz="4" w:space="0" w:color="auto"/>
            </w:tcBorders>
          </w:tcPr>
          <w:p w14:paraId="49D0B589"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1C05061A" w14:textId="77777777" w:rsidTr="002E2C37">
        <w:trPr>
          <w:cantSplit/>
          <w:trHeight w:val="87"/>
        </w:trPr>
        <w:tc>
          <w:tcPr>
            <w:tcW w:w="3690" w:type="dxa"/>
            <w:gridSpan w:val="2"/>
            <w:tcBorders>
              <w:top w:val="single" w:sz="4" w:space="0" w:color="auto"/>
              <w:left w:val="single" w:sz="4" w:space="0" w:color="auto"/>
              <w:bottom w:val="single" w:sz="4" w:space="0" w:color="auto"/>
              <w:right w:val="single" w:sz="4" w:space="0" w:color="auto"/>
            </w:tcBorders>
            <w:noWrap/>
          </w:tcPr>
          <w:p w14:paraId="01F577A8"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has established/naturalised.</w:t>
            </w:r>
          </w:p>
        </w:tc>
        <w:tc>
          <w:tcPr>
            <w:tcW w:w="2434" w:type="dxa"/>
            <w:tcBorders>
              <w:top w:val="single" w:sz="4" w:space="0" w:color="auto"/>
              <w:left w:val="single" w:sz="4" w:space="0" w:color="auto"/>
              <w:bottom w:val="single" w:sz="4" w:space="0" w:color="auto"/>
              <w:right w:val="single" w:sz="4" w:space="0" w:color="auto"/>
            </w:tcBorders>
          </w:tcPr>
          <w:p w14:paraId="40FC13DD"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No</w:t>
            </w:r>
            <w:r>
              <w:rPr>
                <w:rFonts w:ascii="Times New Roman" w:eastAsia="Times New Roman" w:hAnsi="Times New Roman" w:cs="Times New Roman"/>
                <w:color w:val="000000"/>
                <w:sz w:val="20"/>
                <w:szCs w:val="20"/>
                <w:lang w:eastAsia="en-ZA"/>
              </w:rPr>
              <w:t>ne</w:t>
            </w:r>
          </w:p>
        </w:tc>
        <w:tc>
          <w:tcPr>
            <w:tcW w:w="2666" w:type="dxa"/>
            <w:tcBorders>
              <w:top w:val="single" w:sz="4" w:space="0" w:color="auto"/>
              <w:left w:val="single" w:sz="4" w:space="0" w:color="auto"/>
              <w:bottom w:val="single" w:sz="4" w:space="0" w:color="auto"/>
              <w:right w:val="single" w:sz="4" w:space="0" w:color="auto"/>
            </w:tcBorders>
          </w:tcPr>
          <w:p w14:paraId="2192E918"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25F30E78" w14:textId="77777777" w:rsidTr="002E2C37">
        <w:trPr>
          <w:cantSplit/>
          <w:trHeight w:val="87"/>
        </w:trPr>
        <w:tc>
          <w:tcPr>
            <w:tcW w:w="3690" w:type="dxa"/>
            <w:gridSpan w:val="2"/>
            <w:tcBorders>
              <w:top w:val="single" w:sz="4" w:space="0" w:color="auto"/>
              <w:left w:val="single" w:sz="4" w:space="0" w:color="auto"/>
              <w:bottom w:val="single" w:sz="4" w:space="0" w:color="auto"/>
              <w:right w:val="single" w:sz="4" w:space="0" w:color="auto"/>
            </w:tcBorders>
            <w:noWrap/>
          </w:tcPr>
          <w:p w14:paraId="07C7D8C2"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invasive.</w:t>
            </w:r>
          </w:p>
        </w:tc>
        <w:tc>
          <w:tcPr>
            <w:tcW w:w="2434" w:type="dxa"/>
            <w:tcBorders>
              <w:top w:val="single" w:sz="4" w:space="0" w:color="auto"/>
              <w:left w:val="single" w:sz="4" w:space="0" w:color="auto"/>
              <w:bottom w:val="single" w:sz="4" w:space="0" w:color="auto"/>
              <w:right w:val="single" w:sz="4" w:space="0" w:color="auto"/>
            </w:tcBorders>
          </w:tcPr>
          <w:p w14:paraId="18D33EA1"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No</w:t>
            </w:r>
            <w:r>
              <w:rPr>
                <w:rFonts w:ascii="Times New Roman" w:eastAsia="Times New Roman" w:hAnsi="Times New Roman" w:cs="Times New Roman"/>
                <w:color w:val="000000"/>
                <w:sz w:val="20"/>
                <w:szCs w:val="20"/>
                <w:lang w:eastAsia="en-ZA"/>
              </w:rPr>
              <w:t>ne</w:t>
            </w:r>
            <w:r w:rsidRPr="004D1E6F">
              <w:rPr>
                <w:rFonts w:ascii="Times New Roman" w:eastAsia="Times New Roman" w:hAnsi="Times New Roman" w:cs="Times New Roman"/>
                <w:color w:val="000000"/>
                <w:sz w:val="20"/>
                <w:szCs w:val="20"/>
                <w:lang w:eastAsia="en-ZA"/>
              </w:rPr>
              <w:t xml:space="preserve"> </w:t>
            </w:r>
          </w:p>
        </w:tc>
        <w:tc>
          <w:tcPr>
            <w:tcW w:w="2666" w:type="dxa"/>
            <w:tcBorders>
              <w:top w:val="single" w:sz="4" w:space="0" w:color="auto"/>
              <w:left w:val="single" w:sz="4" w:space="0" w:color="auto"/>
              <w:bottom w:val="single" w:sz="4" w:space="0" w:color="auto"/>
              <w:right w:val="single" w:sz="4" w:space="0" w:color="auto"/>
            </w:tcBorders>
          </w:tcPr>
          <w:p w14:paraId="7B166A25"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36E460F7"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787EE356" w14:textId="7AEBFEDD" w:rsidR="002D7080" w:rsidRPr="004D1E6F" w:rsidRDefault="002D7080" w:rsidP="002E2C37">
            <w:pPr>
              <w:spacing w:after="0" w:line="240" w:lineRule="auto"/>
              <w:jc w:val="both"/>
              <w:rPr>
                <w:rFonts w:ascii="Times New Roman" w:eastAsia="Times New Roman" w:hAnsi="Times New Roman" w:cs="Times New Roman"/>
                <w:i/>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sidRPr="00233C97">
              <w:rPr>
                <w:rFonts w:ascii="Times New Roman" w:eastAsia="Times New Roman" w:hAnsi="Times New Roman" w:cs="Times New Roman"/>
                <w:sz w:val="20"/>
                <w:szCs w:val="20"/>
                <w:lang w:eastAsia="en-ZA"/>
              </w:rPr>
              <w:t xml:space="preserve"> There are no records of </w:t>
            </w:r>
            <w:r w:rsidRPr="00233C97">
              <w:rPr>
                <w:rFonts w:ascii="Times New Roman" w:eastAsia="Times New Roman" w:hAnsi="Times New Roman" w:cs="Times New Roman"/>
                <w:i/>
                <w:sz w:val="20"/>
                <w:szCs w:val="20"/>
                <w:lang w:eastAsia="en-ZA"/>
              </w:rPr>
              <w:t>F.</w:t>
            </w:r>
            <w:r>
              <w:rPr>
                <w:rFonts w:ascii="Times New Roman" w:eastAsia="Times New Roman" w:hAnsi="Times New Roman" w:cs="Times New Roman"/>
                <w:i/>
                <w:sz w:val="20"/>
                <w:szCs w:val="20"/>
                <w:lang w:eastAsia="en-ZA"/>
              </w:rPr>
              <w:t xml:space="preserve"> virilis</w:t>
            </w:r>
            <w:r w:rsidRPr="00233C97">
              <w:rPr>
                <w:rFonts w:ascii="Times New Roman" w:eastAsia="Times New Roman" w:hAnsi="Times New Roman" w:cs="Times New Roman"/>
                <w:i/>
                <w:sz w:val="20"/>
                <w:szCs w:val="20"/>
                <w:lang w:eastAsia="en-ZA"/>
              </w:rPr>
              <w:t xml:space="preserve"> </w:t>
            </w:r>
            <w:r w:rsidRPr="00233C97">
              <w:rPr>
                <w:rFonts w:ascii="Times New Roman" w:eastAsia="Times New Roman" w:hAnsi="Times New Roman" w:cs="Times New Roman"/>
                <w:sz w:val="20"/>
                <w:szCs w:val="20"/>
                <w:lang w:eastAsia="en-ZA"/>
              </w:rPr>
              <w:t xml:space="preserve">being present in South Africa. It is present in the pet trade in </w:t>
            </w:r>
            <w:r>
              <w:rPr>
                <w:rFonts w:ascii="Times New Roman" w:eastAsia="Times New Roman" w:hAnsi="Times New Roman" w:cs="Times New Roman"/>
                <w:sz w:val="20"/>
                <w:szCs w:val="20"/>
                <w:lang w:eastAsia="en-ZA"/>
              </w:rPr>
              <w:t>Europe (</w:t>
            </w:r>
            <w:r w:rsidRPr="004D1E6F">
              <w:rPr>
                <w:rFonts w:ascii="Times New Roman" w:eastAsia="Times New Roman" w:hAnsi="Times New Roman" w:cs="Times New Roman"/>
                <w:color w:val="000000"/>
                <w:sz w:val="20"/>
                <w:szCs w:val="20"/>
                <w:lang w:eastAsia="en-ZA"/>
              </w:rPr>
              <w:t>Chucholl 2013; Faulkes 2015</w:t>
            </w:r>
            <w:r>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sz w:val="20"/>
                <w:szCs w:val="20"/>
                <w:lang w:eastAsia="en-ZA"/>
              </w:rPr>
              <w:t>CABI 2024)</w:t>
            </w:r>
            <w:r w:rsidRPr="00233C97">
              <w:rPr>
                <w:rFonts w:ascii="Times New Roman" w:eastAsia="Times New Roman" w:hAnsi="Times New Roman" w:cs="Times New Roman"/>
                <w:sz w:val="20"/>
                <w:szCs w:val="20"/>
                <w:lang w:eastAsia="en-ZA"/>
              </w:rPr>
              <w:t xml:space="preserve">, and could likely be traded in South Africa but this needs to be assessed </w:t>
            </w:r>
            <w:r w:rsidRPr="00233C97">
              <w:rPr>
                <w:rFonts w:ascii="Times New Roman" w:eastAsia="Times New Roman" w:hAnsi="Times New Roman" w:cs="Times New Roman"/>
                <w:i/>
                <w:sz w:val="20"/>
                <w:szCs w:val="20"/>
                <w:lang w:eastAsia="en-ZA"/>
              </w:rPr>
              <w:t xml:space="preserve"> </w:t>
            </w:r>
            <w:r w:rsidRPr="00233C97">
              <w:rPr>
                <w:rFonts w:ascii="Times New Roman" w:eastAsia="Times New Roman" w:hAnsi="Times New Roman" w:cs="Times New Roman"/>
                <w:i/>
                <w:sz w:val="20"/>
                <w:szCs w:val="20"/>
                <w:lang w:eastAsia="en-ZA"/>
              </w:rPr>
              <w:fldChar w:fldCharType="begin" w:fldLock="1"/>
            </w:r>
            <w:r w:rsidRPr="00233C97">
              <w:rPr>
                <w:rFonts w:ascii="Times New Roman" w:eastAsia="Times New Roman" w:hAnsi="Times New Roman" w:cs="Times New Roman"/>
                <w:i/>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233C97">
              <w:rPr>
                <w:rFonts w:ascii="Times New Roman" w:eastAsia="Times New Roman" w:hAnsi="Times New Roman" w:cs="Times New Roman"/>
                <w:i/>
                <w:sz w:val="20"/>
                <w:szCs w:val="20"/>
                <w:lang w:eastAsia="en-ZA"/>
              </w:rPr>
              <w:fldChar w:fldCharType="separate"/>
            </w:r>
            <w:r w:rsidRPr="00233C97">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233C97">
              <w:rPr>
                <w:rFonts w:ascii="Times New Roman" w:eastAsia="Times New Roman" w:hAnsi="Times New Roman" w:cs="Times New Roman"/>
                <w:sz w:val="20"/>
                <w:szCs w:val="20"/>
                <w:lang w:eastAsia="en-ZA"/>
              </w:rPr>
              <w:t xml:space="preserve"> 2002; Nunes et al. 2017)</w:t>
            </w:r>
            <w:r w:rsidRPr="00233C97">
              <w:rPr>
                <w:rFonts w:ascii="Times New Roman" w:eastAsia="Times New Roman" w:hAnsi="Times New Roman" w:cs="Times New Roman"/>
                <w:sz w:val="20"/>
                <w:szCs w:val="20"/>
                <w:lang w:eastAsia="en-ZA"/>
              </w:rPr>
              <w:fldChar w:fldCharType="end"/>
            </w:r>
            <w:r w:rsidRPr="00233C97">
              <w:rPr>
                <w:rFonts w:ascii="Times New Roman" w:eastAsia="Times New Roman" w:hAnsi="Times New Roman" w:cs="Times New Roman"/>
                <w:sz w:val="20"/>
                <w:szCs w:val="20"/>
                <w:lang w:eastAsia="en-ZA"/>
              </w:rPr>
              <w:t>.</w:t>
            </w:r>
          </w:p>
        </w:tc>
      </w:tr>
      <w:tr w:rsidR="002D7080" w:rsidRPr="004D1E6F" w14:paraId="5353BA1D"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7268ADFB" w14:textId="77777777" w:rsidR="002D7080" w:rsidRPr="00CD42FA" w:rsidRDefault="002D7080" w:rsidP="006728DB">
            <w:pPr>
              <w:spacing w:after="0"/>
              <w:jc w:val="both"/>
              <w:rPr>
                <w:rFonts w:ascii="Times New Roman" w:eastAsia="Times New Roman" w:hAnsi="Times New Roman" w:cs="Times New Roman"/>
                <w:color w:val="000000"/>
                <w:sz w:val="20"/>
                <w:szCs w:val="20"/>
                <w:lang w:val="fr-FR" w:eastAsia="en-ZA"/>
              </w:rPr>
            </w:pPr>
            <w:r w:rsidRPr="00CD42FA">
              <w:rPr>
                <w:rFonts w:ascii="Times New Roman" w:eastAsia="Times New Roman" w:hAnsi="Times New Roman" w:cs="Times New Roman"/>
                <w:color w:val="000000"/>
                <w:sz w:val="20"/>
                <w:szCs w:val="20"/>
                <w:lang w:val="fr-FR" w:eastAsia="en-ZA"/>
              </w:rPr>
              <w:lastRenderedPageBreak/>
              <w:t>References:</w:t>
            </w:r>
          </w:p>
          <w:p w14:paraId="34E7769D" w14:textId="77777777" w:rsidR="002D7080" w:rsidRPr="00CD42FA" w:rsidRDefault="002D7080" w:rsidP="006728DB">
            <w:pPr>
              <w:spacing w:after="0"/>
              <w:ind w:left="720" w:hanging="720"/>
              <w:jc w:val="both"/>
              <w:rPr>
                <w:rFonts w:ascii="Times New Roman" w:hAnsi="Times New Roman" w:cs="Times New Roman"/>
                <w:sz w:val="20"/>
                <w:szCs w:val="20"/>
              </w:rPr>
            </w:pPr>
            <w:r w:rsidRPr="00CD42FA">
              <w:rPr>
                <w:rFonts w:ascii="Times New Roman" w:hAnsi="Times New Roman" w:cs="Times New Roman"/>
                <w:sz w:val="20"/>
                <w:szCs w:val="20"/>
                <w:lang w:val="fr-FR"/>
              </w:rPr>
              <w:t xml:space="preserve">CABI, 2024. </w:t>
            </w:r>
            <w:r w:rsidRPr="00CD42FA">
              <w:rPr>
                <w:rFonts w:ascii="Times New Roman" w:hAnsi="Times New Roman" w:cs="Times New Roman"/>
                <w:i/>
                <w:iCs/>
                <w:sz w:val="20"/>
                <w:szCs w:val="20"/>
                <w:lang w:val="fr-FR"/>
              </w:rPr>
              <w:t xml:space="preserve">Faxonius virilis </w:t>
            </w:r>
            <w:r w:rsidRPr="00CD42FA">
              <w:rPr>
                <w:rFonts w:ascii="Times New Roman" w:hAnsi="Times New Roman" w:cs="Times New Roman"/>
                <w:sz w:val="20"/>
                <w:szCs w:val="20"/>
                <w:lang w:val="fr-FR"/>
              </w:rPr>
              <w:t>(virile</w:t>
            </w:r>
            <w:r w:rsidRPr="00CD42FA">
              <w:rPr>
                <w:rFonts w:ascii="Times New Roman" w:hAnsi="Times New Roman" w:cs="Times New Roman"/>
                <w:i/>
                <w:iCs/>
                <w:sz w:val="20"/>
                <w:szCs w:val="20"/>
                <w:lang w:val="fr-FR"/>
              </w:rPr>
              <w:t xml:space="preserve"> </w:t>
            </w:r>
            <w:r w:rsidRPr="00CD42FA">
              <w:rPr>
                <w:rFonts w:ascii="Times New Roman" w:hAnsi="Times New Roman" w:cs="Times New Roman"/>
                <w:sz w:val="20"/>
                <w:szCs w:val="20"/>
                <w:lang w:val="fr-FR"/>
              </w:rPr>
              <w:t xml:space="preserve">crayfish). </w:t>
            </w:r>
            <w:r w:rsidRPr="00CD42FA">
              <w:rPr>
                <w:rFonts w:ascii="Times New Roman" w:hAnsi="Times New Roman" w:cs="Times New Roman"/>
                <w:sz w:val="20"/>
                <w:szCs w:val="20"/>
              </w:rPr>
              <w:t xml:space="preserve">Invasive Species Compendium, </w:t>
            </w:r>
            <w:r w:rsidRPr="00CD42FA">
              <w:rPr>
                <w:rFonts w:ascii="Times New Roman" w:hAnsi="Times New Roman" w:cs="Times New Roman"/>
                <w:color w:val="000000"/>
                <w:sz w:val="20"/>
                <w:szCs w:val="20"/>
                <w:shd w:val="clear" w:color="auto" w:fill="FFFFFF"/>
              </w:rPr>
              <w:t>CABI Publishing, Wallingford, UK.</w:t>
            </w:r>
            <w:r w:rsidRPr="00CD42FA">
              <w:rPr>
                <w:rFonts w:ascii="Times New Roman" w:hAnsi="Times New Roman" w:cs="Times New Roman"/>
                <w:sz w:val="20"/>
                <w:szCs w:val="20"/>
              </w:rPr>
              <w:t xml:space="preserve"> </w:t>
            </w:r>
            <w:hyperlink w:history="1">
              <w:r w:rsidRPr="00CD42FA">
                <w:rPr>
                  <w:rStyle w:val="Hyperlink"/>
                  <w:rFonts w:ascii="Times New Roman" w:hAnsi="Times New Roman" w:cs="Times New Roman"/>
                  <w:sz w:val="20"/>
                  <w:szCs w:val="20"/>
                </w:rPr>
                <w:t>https://www.cabidigitallibrary.org/doi/full/10.1079/cabicompendium.72034</w:t>
              </w:r>
            </w:hyperlink>
            <w:r w:rsidRPr="00CD42FA">
              <w:rPr>
                <w:rFonts w:ascii="Times New Roman" w:hAnsi="Times New Roman" w:cs="Times New Roman"/>
                <w:sz w:val="20"/>
                <w:szCs w:val="20"/>
              </w:rPr>
              <w:t xml:space="preserve"> (accessed 10 July 2024)</w:t>
            </w:r>
          </w:p>
          <w:p w14:paraId="2EBE2566" w14:textId="6A0C9C93" w:rsidR="002D7080" w:rsidRPr="00CD42FA" w:rsidRDefault="002D7080" w:rsidP="006728DB">
            <w:pPr>
              <w:spacing w:after="0"/>
              <w:ind w:left="720" w:hanging="720"/>
              <w:jc w:val="both"/>
              <w:rPr>
                <w:rFonts w:ascii="Times New Roman" w:eastAsia="Times New Roman" w:hAnsi="Times New Roman" w:cs="Times New Roman"/>
                <w:sz w:val="20"/>
                <w:szCs w:val="20"/>
                <w:lang w:eastAsia="en-ZA"/>
              </w:rPr>
            </w:pPr>
            <w:r w:rsidRPr="00CD42FA">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CD42FA">
              <w:rPr>
                <w:rFonts w:ascii="Times New Roman" w:eastAsia="Times New Roman" w:hAnsi="Times New Roman" w:cs="Times New Roman"/>
                <w:i/>
                <w:iCs/>
                <w:sz w:val="20"/>
                <w:szCs w:val="20"/>
                <w:lang w:eastAsia="en-ZA"/>
              </w:rPr>
              <w:t>Biological Invasions</w:t>
            </w:r>
            <w:r w:rsidRPr="00CD42FA">
              <w:rPr>
                <w:rFonts w:ascii="Times New Roman" w:eastAsia="Times New Roman" w:hAnsi="Times New Roman" w:cs="Times New Roman"/>
                <w:sz w:val="20"/>
                <w:szCs w:val="20"/>
                <w:lang w:eastAsia="en-ZA"/>
              </w:rPr>
              <w:t xml:space="preserve"> </w:t>
            </w:r>
            <w:r w:rsidRPr="00CD42FA">
              <w:rPr>
                <w:rFonts w:ascii="Times New Roman" w:eastAsia="Times New Roman" w:hAnsi="Times New Roman" w:cs="Times New Roman"/>
                <w:iCs/>
                <w:sz w:val="20"/>
                <w:szCs w:val="20"/>
                <w:lang w:eastAsia="en-ZA"/>
              </w:rPr>
              <w:t>15</w:t>
            </w:r>
            <w:r w:rsidRPr="00CD42FA">
              <w:rPr>
                <w:rFonts w:ascii="Times New Roman" w:eastAsia="Times New Roman" w:hAnsi="Times New Roman" w:cs="Times New Roman"/>
                <w:sz w:val="20"/>
                <w:szCs w:val="20"/>
                <w:lang w:eastAsia="en-ZA"/>
              </w:rPr>
              <w:t xml:space="preserve">, 125–141. </w:t>
            </w:r>
            <w:r w:rsidR="00CD42FA" w:rsidRPr="00CD42FA">
              <w:rPr>
                <w:rFonts w:ascii="Times New Roman" w:hAnsi="Times New Roman" w:cs="Times New Roman"/>
                <w:sz w:val="20"/>
                <w:szCs w:val="20"/>
              </w:rPr>
              <w:t>https://doi.org/10.1007/s10530-012-0273-2</w:t>
            </w:r>
            <w:r w:rsidRPr="00CD42FA">
              <w:rPr>
                <w:rFonts w:ascii="Times New Roman" w:eastAsia="Times New Roman" w:hAnsi="Times New Roman" w:cs="Times New Roman"/>
                <w:sz w:val="20"/>
                <w:szCs w:val="20"/>
                <w:lang w:eastAsia="en-ZA"/>
              </w:rPr>
              <w:t>.</w:t>
            </w:r>
          </w:p>
          <w:p w14:paraId="4FAD9504" w14:textId="00DFB602" w:rsidR="002D7080" w:rsidRPr="00CD42FA" w:rsidRDefault="008A0BC6" w:rsidP="006728DB">
            <w:pPr>
              <w:spacing w:after="0"/>
              <w:ind w:left="720" w:hanging="720"/>
              <w:jc w:val="both"/>
              <w:rPr>
                <w:rFonts w:ascii="Times New Roman" w:eastAsia="Times New Roman" w:hAnsi="Times New Roman" w:cs="Times New Roman"/>
                <w:sz w:val="20"/>
                <w:szCs w:val="20"/>
                <w:lang w:eastAsia="en-ZA"/>
              </w:rPr>
            </w:pPr>
            <w:r>
              <w:rPr>
                <w:rFonts w:ascii="Times New Roman" w:eastAsia="Times New Roman" w:hAnsi="Times New Roman" w:cs="Times New Roman"/>
                <w:color w:val="000000"/>
                <w:sz w:val="20"/>
                <w:szCs w:val="20"/>
                <w:lang w:eastAsia="en-ZA"/>
              </w:rPr>
              <w:t>De Moor</w:t>
            </w:r>
            <w:r w:rsidR="002D7080" w:rsidRPr="00CD42FA">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CD42FA">
              <w:rPr>
                <w:rFonts w:ascii="Times New Roman" w:eastAsia="Times New Roman" w:hAnsi="Times New Roman" w:cs="Times New Roman"/>
                <w:i/>
                <w:color w:val="000000"/>
                <w:sz w:val="20"/>
                <w:szCs w:val="20"/>
                <w:lang w:eastAsia="en-ZA"/>
              </w:rPr>
              <w:t>African Journal of Aquatic Science</w:t>
            </w:r>
            <w:r w:rsidR="002D7080" w:rsidRPr="00CD42FA">
              <w:rPr>
                <w:rFonts w:ascii="Times New Roman" w:eastAsia="Times New Roman" w:hAnsi="Times New Roman" w:cs="Times New Roman"/>
                <w:color w:val="000000"/>
                <w:sz w:val="20"/>
                <w:szCs w:val="20"/>
                <w:lang w:eastAsia="en-ZA"/>
              </w:rPr>
              <w:t xml:space="preserve"> 27, 125–139. </w:t>
            </w:r>
            <w:hyperlink r:id="rId377" w:history="1">
              <w:r w:rsidR="00500AD1" w:rsidRPr="00500AD1">
                <w:rPr>
                  <w:rStyle w:val="Hyperlink"/>
                  <w:rFonts w:ascii="Times New Roman" w:hAnsi="Times New Roman" w:cs="Times New Roman"/>
                  <w:sz w:val="20"/>
                  <w:szCs w:val="20"/>
                </w:rPr>
                <w:t>https://doi.org/10.2989/16085914.2002.9626584</w:t>
              </w:r>
            </w:hyperlink>
            <w:r w:rsidR="002D7080" w:rsidRPr="00CD42FA">
              <w:rPr>
                <w:rFonts w:ascii="Times New Roman" w:eastAsia="Times New Roman" w:hAnsi="Times New Roman" w:cs="Times New Roman"/>
                <w:sz w:val="20"/>
                <w:szCs w:val="20"/>
                <w:lang w:eastAsia="en-ZA"/>
              </w:rPr>
              <w:t xml:space="preserve">. </w:t>
            </w:r>
          </w:p>
          <w:p w14:paraId="513AA7EC" w14:textId="77777777" w:rsidR="002D7080" w:rsidRPr="00CD42FA" w:rsidRDefault="002D7080" w:rsidP="006728DB">
            <w:pPr>
              <w:spacing w:after="0"/>
              <w:ind w:left="522" w:hanging="522"/>
              <w:jc w:val="both"/>
              <w:rPr>
                <w:rFonts w:ascii="Times New Roman" w:eastAsia="Times New Roman" w:hAnsi="Times New Roman" w:cs="Times New Roman"/>
                <w:color w:val="000000"/>
                <w:sz w:val="20"/>
                <w:szCs w:val="20"/>
                <w:lang w:eastAsia="en-ZA"/>
              </w:rPr>
            </w:pPr>
            <w:r w:rsidRPr="00CD42FA">
              <w:rPr>
                <w:rFonts w:ascii="Times New Roman" w:eastAsia="Times New Roman" w:hAnsi="Times New Roman" w:cs="Times New Roman"/>
                <w:color w:val="000000"/>
                <w:sz w:val="20"/>
                <w:szCs w:val="20"/>
                <w:lang w:eastAsia="en-ZA"/>
              </w:rPr>
              <w:t xml:space="preserve">Faulkes, Z., 2015, ‘The global trade in crayfish as pets’, </w:t>
            </w:r>
            <w:r w:rsidRPr="00CD42FA">
              <w:rPr>
                <w:rFonts w:ascii="Times New Roman" w:eastAsia="Times New Roman" w:hAnsi="Times New Roman" w:cs="Times New Roman"/>
                <w:i/>
                <w:iCs/>
                <w:color w:val="000000"/>
                <w:sz w:val="20"/>
                <w:szCs w:val="20"/>
                <w:lang w:eastAsia="en-ZA"/>
              </w:rPr>
              <w:t>Crustacean Research</w:t>
            </w:r>
            <w:r w:rsidRPr="00CD42FA">
              <w:rPr>
                <w:rFonts w:ascii="Times New Roman" w:eastAsia="Times New Roman" w:hAnsi="Times New Roman" w:cs="Times New Roman"/>
                <w:color w:val="000000"/>
                <w:sz w:val="20"/>
                <w:szCs w:val="20"/>
                <w:lang w:eastAsia="en-ZA"/>
              </w:rPr>
              <w:t xml:space="preserve">, </w:t>
            </w:r>
            <w:r w:rsidRPr="00CD42FA">
              <w:rPr>
                <w:rFonts w:ascii="Times New Roman" w:eastAsia="Times New Roman" w:hAnsi="Times New Roman" w:cs="Times New Roman"/>
                <w:iCs/>
                <w:color w:val="000000"/>
                <w:sz w:val="20"/>
                <w:szCs w:val="20"/>
                <w:lang w:eastAsia="en-ZA"/>
              </w:rPr>
              <w:t>44,</w:t>
            </w:r>
            <w:r w:rsidRPr="00CD42FA">
              <w:rPr>
                <w:rFonts w:ascii="Times New Roman" w:eastAsia="Times New Roman" w:hAnsi="Times New Roman" w:cs="Times New Roman"/>
                <w:color w:val="000000"/>
                <w:sz w:val="20"/>
                <w:szCs w:val="20"/>
                <w:lang w:eastAsia="en-ZA"/>
              </w:rPr>
              <w:t xml:space="preserve"> 75–92. </w:t>
            </w:r>
            <w:hyperlink r:id="rId378" w:history="1">
              <w:r w:rsidRPr="00CD42FA">
                <w:rPr>
                  <w:rStyle w:val="Hyperlink"/>
                  <w:rFonts w:ascii="Times New Roman" w:eastAsia="Times New Roman" w:hAnsi="Times New Roman" w:cs="Times New Roman"/>
                  <w:sz w:val="20"/>
                  <w:szCs w:val="20"/>
                  <w:lang w:eastAsia="en-ZA"/>
                </w:rPr>
                <w:t>https://doi.org/10.18353/crustacea.44.0_75</w:t>
              </w:r>
            </w:hyperlink>
            <w:r w:rsidRPr="00CD42FA">
              <w:rPr>
                <w:rFonts w:ascii="Times New Roman" w:eastAsia="Times New Roman" w:hAnsi="Times New Roman" w:cs="Times New Roman"/>
                <w:color w:val="000000"/>
                <w:sz w:val="20"/>
                <w:szCs w:val="20"/>
                <w:lang w:eastAsia="en-ZA"/>
              </w:rPr>
              <w:t>.</w:t>
            </w:r>
          </w:p>
          <w:p w14:paraId="5248F109" w14:textId="77777777" w:rsidR="002D7080" w:rsidRPr="004D1E6F" w:rsidRDefault="002D7080" w:rsidP="006728DB">
            <w:pPr>
              <w:spacing w:after="0"/>
              <w:ind w:left="522" w:hanging="522"/>
              <w:jc w:val="both"/>
              <w:rPr>
                <w:rFonts w:ascii="Times New Roman" w:eastAsia="Times New Roman" w:hAnsi="Times New Roman" w:cs="Times New Roman"/>
                <w:color w:val="000000"/>
                <w:sz w:val="20"/>
                <w:szCs w:val="20"/>
                <w:lang w:eastAsia="en-ZA"/>
              </w:rPr>
            </w:pPr>
            <w:r w:rsidRPr="00CD42FA">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CD42FA">
              <w:rPr>
                <w:rFonts w:ascii="Times New Roman" w:eastAsia="Times New Roman" w:hAnsi="Times New Roman" w:cs="Times New Roman"/>
                <w:i/>
                <w:color w:val="000000"/>
                <w:sz w:val="20"/>
                <w:szCs w:val="20"/>
                <w:lang w:eastAsia="en-ZA"/>
              </w:rPr>
              <w:t>African Journal of Aquatic Science</w:t>
            </w:r>
            <w:r w:rsidRPr="00CD42FA">
              <w:rPr>
                <w:rFonts w:ascii="Times New Roman" w:eastAsia="Times New Roman" w:hAnsi="Times New Roman" w:cs="Times New Roman"/>
                <w:color w:val="000000"/>
                <w:sz w:val="20"/>
                <w:szCs w:val="20"/>
                <w:lang w:eastAsia="en-ZA"/>
              </w:rPr>
              <w:t xml:space="preserve"> 42, 309–323. </w:t>
            </w:r>
            <w:hyperlink w:history="1">
              <w:r w:rsidRPr="00CD42FA">
                <w:rPr>
                  <w:rStyle w:val="Hyperlink"/>
                  <w:rFonts w:ascii="Times New Roman" w:eastAsia="Times New Roman" w:hAnsi="Times New Roman" w:cs="Times New Roman"/>
                  <w:sz w:val="20"/>
                  <w:szCs w:val="20"/>
                  <w:lang w:eastAsia="en-ZA"/>
                </w:rPr>
                <w:t>https://doi.org/10.2989/16085914.2017.1405788</w:t>
              </w:r>
            </w:hyperlink>
            <w:r w:rsidRPr="00CD42FA">
              <w:rPr>
                <w:rFonts w:ascii="Times New Roman" w:eastAsia="Times New Roman" w:hAnsi="Times New Roman" w:cs="Times New Roman"/>
                <w:color w:val="000000"/>
                <w:sz w:val="20"/>
                <w:szCs w:val="20"/>
                <w:lang w:eastAsia="en-ZA"/>
              </w:rPr>
              <w:t>.</w:t>
            </w:r>
          </w:p>
        </w:tc>
      </w:tr>
      <w:tr w:rsidR="002D7080" w:rsidRPr="004D1E6F" w14:paraId="024DF79C" w14:textId="77777777" w:rsidTr="002E2C37">
        <w:trPr>
          <w:cantSplit/>
          <w:trHeight w:val="26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E17CE30" w14:textId="77777777" w:rsidR="002D7080" w:rsidRPr="00FD22E9" w:rsidRDefault="002D7080" w:rsidP="006728DB">
            <w:pPr>
              <w:spacing w:after="0"/>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BAC14 Primary (introduction) pathways</w:t>
            </w:r>
          </w:p>
        </w:tc>
      </w:tr>
      <w:tr w:rsidR="002D7080" w:rsidRPr="004D1E6F" w14:paraId="06999AFD" w14:textId="77777777" w:rsidTr="002E2C37">
        <w:trPr>
          <w:cantSplit/>
          <w:trHeight w:val="61"/>
        </w:trPr>
        <w:tc>
          <w:tcPr>
            <w:tcW w:w="2700" w:type="dxa"/>
            <w:tcBorders>
              <w:top w:val="single" w:sz="4" w:space="0" w:color="auto"/>
              <w:left w:val="single" w:sz="4" w:space="0" w:color="auto"/>
              <w:bottom w:val="single" w:sz="4" w:space="0" w:color="auto"/>
              <w:right w:val="single" w:sz="4" w:space="0" w:color="auto"/>
            </w:tcBorders>
            <w:noWrap/>
          </w:tcPr>
          <w:p w14:paraId="0420CBEE"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Release</w:t>
            </w:r>
          </w:p>
        </w:tc>
        <w:tc>
          <w:tcPr>
            <w:tcW w:w="3424" w:type="dxa"/>
            <w:gridSpan w:val="2"/>
            <w:tcBorders>
              <w:top w:val="single" w:sz="4" w:space="0" w:color="auto"/>
              <w:left w:val="single" w:sz="4" w:space="0" w:color="auto"/>
              <w:bottom w:val="single" w:sz="4" w:space="0" w:color="auto"/>
              <w:right w:val="single" w:sz="4" w:space="0" w:color="auto"/>
            </w:tcBorders>
          </w:tcPr>
          <w:p w14:paraId="793C1C09"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2666" w:type="dxa"/>
            <w:tcBorders>
              <w:top w:val="single" w:sz="4" w:space="0" w:color="auto"/>
              <w:left w:val="single" w:sz="4" w:space="0" w:color="auto"/>
              <w:bottom w:val="single" w:sz="4" w:space="0" w:color="auto"/>
              <w:right w:val="single" w:sz="4" w:space="0" w:color="auto"/>
            </w:tcBorders>
          </w:tcPr>
          <w:p w14:paraId="120C8D68"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6BA5D47F" w14:textId="77777777" w:rsidTr="002E2C37">
        <w:trPr>
          <w:cantSplit/>
          <w:trHeight w:val="58"/>
        </w:trPr>
        <w:tc>
          <w:tcPr>
            <w:tcW w:w="2700" w:type="dxa"/>
            <w:tcBorders>
              <w:top w:val="single" w:sz="4" w:space="0" w:color="auto"/>
              <w:left w:val="single" w:sz="4" w:space="0" w:color="auto"/>
              <w:bottom w:val="single" w:sz="4" w:space="0" w:color="auto"/>
              <w:right w:val="single" w:sz="4" w:space="0" w:color="auto"/>
            </w:tcBorders>
            <w:noWrap/>
          </w:tcPr>
          <w:p w14:paraId="4DDB84F8"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Escape</w:t>
            </w:r>
          </w:p>
        </w:tc>
        <w:tc>
          <w:tcPr>
            <w:tcW w:w="3424" w:type="dxa"/>
            <w:gridSpan w:val="2"/>
            <w:tcBorders>
              <w:top w:val="single" w:sz="4" w:space="0" w:color="auto"/>
              <w:left w:val="single" w:sz="4" w:space="0" w:color="auto"/>
              <w:bottom w:val="single" w:sz="4" w:space="0" w:color="auto"/>
              <w:right w:val="single" w:sz="4" w:space="0" w:color="auto"/>
            </w:tcBorders>
          </w:tcPr>
          <w:p w14:paraId="79890C9C"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233C97">
              <w:rPr>
                <w:rFonts w:ascii="Times New Roman" w:eastAsia="Times New Roman" w:hAnsi="Times New Roman" w:cs="Times New Roman"/>
                <w:color w:val="000000"/>
                <w:sz w:val="20"/>
                <w:szCs w:val="20"/>
                <w:lang w:eastAsia="en-ZA"/>
              </w:rPr>
              <w:t>Pet/aquarium/</w:t>
            </w:r>
            <w:r>
              <w:rPr>
                <w:rFonts w:ascii="Times New Roman" w:eastAsia="Times New Roman" w:hAnsi="Times New Roman" w:cs="Times New Roman"/>
                <w:color w:val="000000"/>
                <w:sz w:val="20"/>
                <w:szCs w:val="20"/>
                <w:lang w:eastAsia="en-ZA"/>
              </w:rPr>
              <w:t>bait</w:t>
            </w:r>
          </w:p>
        </w:tc>
        <w:tc>
          <w:tcPr>
            <w:tcW w:w="2666" w:type="dxa"/>
            <w:tcBorders>
              <w:top w:val="single" w:sz="4" w:space="0" w:color="auto"/>
              <w:left w:val="single" w:sz="4" w:space="0" w:color="auto"/>
              <w:bottom w:val="single" w:sz="4" w:space="0" w:color="auto"/>
              <w:right w:val="single" w:sz="4" w:space="0" w:color="auto"/>
            </w:tcBorders>
          </w:tcPr>
          <w:p w14:paraId="19B5B9CE"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32FE1BBC" w14:textId="77777777" w:rsidTr="002E2C37">
        <w:trPr>
          <w:cantSplit/>
          <w:trHeight w:val="58"/>
        </w:trPr>
        <w:tc>
          <w:tcPr>
            <w:tcW w:w="2700" w:type="dxa"/>
            <w:tcBorders>
              <w:top w:val="single" w:sz="4" w:space="0" w:color="auto"/>
              <w:left w:val="single" w:sz="4" w:space="0" w:color="auto"/>
              <w:bottom w:val="single" w:sz="4" w:space="0" w:color="auto"/>
              <w:right w:val="single" w:sz="4" w:space="0" w:color="auto"/>
            </w:tcBorders>
            <w:noWrap/>
          </w:tcPr>
          <w:p w14:paraId="53D602F9"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Contaminant</w:t>
            </w:r>
          </w:p>
        </w:tc>
        <w:tc>
          <w:tcPr>
            <w:tcW w:w="3424" w:type="dxa"/>
            <w:gridSpan w:val="2"/>
            <w:tcBorders>
              <w:top w:val="single" w:sz="4" w:space="0" w:color="auto"/>
              <w:left w:val="single" w:sz="4" w:space="0" w:color="auto"/>
              <w:bottom w:val="single" w:sz="4" w:space="0" w:color="auto"/>
              <w:right w:val="single" w:sz="4" w:space="0" w:color="auto"/>
            </w:tcBorders>
          </w:tcPr>
          <w:p w14:paraId="543CE798"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 xml:space="preserve">one </w:t>
            </w:r>
          </w:p>
        </w:tc>
        <w:tc>
          <w:tcPr>
            <w:tcW w:w="2666" w:type="dxa"/>
            <w:tcBorders>
              <w:top w:val="single" w:sz="4" w:space="0" w:color="auto"/>
              <w:left w:val="single" w:sz="4" w:space="0" w:color="auto"/>
              <w:bottom w:val="single" w:sz="4" w:space="0" w:color="auto"/>
              <w:right w:val="single" w:sz="4" w:space="0" w:color="auto"/>
            </w:tcBorders>
          </w:tcPr>
          <w:p w14:paraId="3F8D8397"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32501A77" w14:textId="77777777" w:rsidTr="002E2C37">
        <w:trPr>
          <w:cantSplit/>
          <w:trHeight w:val="58"/>
        </w:trPr>
        <w:tc>
          <w:tcPr>
            <w:tcW w:w="2700" w:type="dxa"/>
            <w:tcBorders>
              <w:top w:val="single" w:sz="4" w:space="0" w:color="auto"/>
              <w:left w:val="single" w:sz="4" w:space="0" w:color="auto"/>
              <w:bottom w:val="single" w:sz="4" w:space="0" w:color="auto"/>
              <w:right w:val="single" w:sz="4" w:space="0" w:color="auto"/>
            </w:tcBorders>
            <w:noWrap/>
          </w:tcPr>
          <w:p w14:paraId="597ADA01"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Stowaway</w:t>
            </w:r>
          </w:p>
        </w:tc>
        <w:tc>
          <w:tcPr>
            <w:tcW w:w="3424" w:type="dxa"/>
            <w:gridSpan w:val="2"/>
            <w:tcBorders>
              <w:top w:val="single" w:sz="4" w:space="0" w:color="auto"/>
              <w:left w:val="single" w:sz="4" w:space="0" w:color="auto"/>
              <w:bottom w:val="single" w:sz="4" w:space="0" w:color="auto"/>
              <w:right w:val="single" w:sz="4" w:space="0" w:color="auto"/>
            </w:tcBorders>
          </w:tcPr>
          <w:p w14:paraId="590A48FB"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2666" w:type="dxa"/>
            <w:tcBorders>
              <w:top w:val="single" w:sz="4" w:space="0" w:color="auto"/>
              <w:left w:val="single" w:sz="4" w:space="0" w:color="auto"/>
              <w:bottom w:val="single" w:sz="4" w:space="0" w:color="auto"/>
              <w:right w:val="single" w:sz="4" w:space="0" w:color="auto"/>
            </w:tcBorders>
          </w:tcPr>
          <w:p w14:paraId="7A9E9F3F"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5790AE7B" w14:textId="77777777" w:rsidTr="002E2C37">
        <w:trPr>
          <w:cantSplit/>
          <w:trHeight w:val="58"/>
        </w:trPr>
        <w:tc>
          <w:tcPr>
            <w:tcW w:w="2700" w:type="dxa"/>
            <w:tcBorders>
              <w:top w:val="single" w:sz="4" w:space="0" w:color="auto"/>
              <w:left w:val="single" w:sz="4" w:space="0" w:color="auto"/>
              <w:bottom w:val="single" w:sz="4" w:space="0" w:color="auto"/>
              <w:right w:val="single" w:sz="4" w:space="0" w:color="auto"/>
            </w:tcBorders>
            <w:noWrap/>
          </w:tcPr>
          <w:p w14:paraId="46141455"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Corridor</w:t>
            </w:r>
          </w:p>
        </w:tc>
        <w:tc>
          <w:tcPr>
            <w:tcW w:w="3424" w:type="dxa"/>
            <w:gridSpan w:val="2"/>
            <w:tcBorders>
              <w:top w:val="single" w:sz="4" w:space="0" w:color="auto"/>
              <w:left w:val="single" w:sz="4" w:space="0" w:color="auto"/>
              <w:bottom w:val="single" w:sz="4" w:space="0" w:color="auto"/>
              <w:right w:val="single" w:sz="4" w:space="0" w:color="auto"/>
            </w:tcBorders>
          </w:tcPr>
          <w:p w14:paraId="0B5CD733"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2666" w:type="dxa"/>
            <w:tcBorders>
              <w:top w:val="single" w:sz="4" w:space="0" w:color="auto"/>
              <w:left w:val="single" w:sz="4" w:space="0" w:color="auto"/>
              <w:bottom w:val="single" w:sz="4" w:space="0" w:color="auto"/>
              <w:right w:val="single" w:sz="4" w:space="0" w:color="auto"/>
            </w:tcBorders>
          </w:tcPr>
          <w:p w14:paraId="03B87C99"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62629D07" w14:textId="77777777" w:rsidTr="002E2C37">
        <w:trPr>
          <w:cantSplit/>
          <w:trHeight w:val="58"/>
        </w:trPr>
        <w:tc>
          <w:tcPr>
            <w:tcW w:w="2700" w:type="dxa"/>
            <w:tcBorders>
              <w:top w:val="single" w:sz="4" w:space="0" w:color="auto"/>
              <w:left w:val="single" w:sz="4" w:space="0" w:color="auto"/>
              <w:bottom w:val="single" w:sz="4" w:space="0" w:color="auto"/>
              <w:right w:val="single" w:sz="4" w:space="0" w:color="auto"/>
            </w:tcBorders>
            <w:noWrap/>
          </w:tcPr>
          <w:p w14:paraId="648287A9"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Unaided</w:t>
            </w:r>
          </w:p>
        </w:tc>
        <w:tc>
          <w:tcPr>
            <w:tcW w:w="3424" w:type="dxa"/>
            <w:gridSpan w:val="2"/>
            <w:tcBorders>
              <w:top w:val="single" w:sz="4" w:space="0" w:color="auto"/>
              <w:left w:val="single" w:sz="4" w:space="0" w:color="auto"/>
              <w:bottom w:val="single" w:sz="4" w:space="0" w:color="auto"/>
              <w:right w:val="single" w:sz="4" w:space="0" w:color="auto"/>
            </w:tcBorders>
          </w:tcPr>
          <w:p w14:paraId="7E9B5C92"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2666" w:type="dxa"/>
            <w:tcBorders>
              <w:top w:val="single" w:sz="4" w:space="0" w:color="auto"/>
              <w:left w:val="single" w:sz="4" w:space="0" w:color="auto"/>
              <w:bottom w:val="single" w:sz="4" w:space="0" w:color="auto"/>
              <w:right w:val="single" w:sz="4" w:space="0" w:color="auto"/>
            </w:tcBorders>
          </w:tcPr>
          <w:p w14:paraId="293B48BF"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332BCB89"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7C2F06FB"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
                <w:iCs/>
                <w:sz w:val="20"/>
                <w:szCs w:val="20"/>
                <w:lang w:eastAsia="en-ZA"/>
              </w:rPr>
              <w:t>Faxonius</w:t>
            </w:r>
            <w:r>
              <w:rPr>
                <w:rFonts w:ascii="Times New Roman" w:eastAsia="Times New Roman" w:hAnsi="Times New Roman" w:cs="Times New Roman"/>
                <w:i/>
                <w:iCs/>
                <w:sz w:val="20"/>
                <w:szCs w:val="20"/>
                <w:lang w:eastAsia="en-ZA"/>
              </w:rPr>
              <w:t xml:space="preserve"> virilis</w:t>
            </w:r>
            <w:r w:rsidRPr="00233C97">
              <w:rPr>
                <w:rFonts w:ascii="Times New Roman" w:eastAsia="Times New Roman" w:hAnsi="Times New Roman" w:cs="Times New Roman"/>
                <w:i/>
                <w:iCs/>
                <w:sz w:val="20"/>
                <w:szCs w:val="20"/>
                <w:lang w:eastAsia="en-ZA"/>
              </w:rPr>
              <w:t xml:space="preserve"> </w:t>
            </w:r>
            <w:r w:rsidRPr="00233C97">
              <w:rPr>
                <w:rFonts w:ascii="Times New Roman" w:eastAsia="Times New Roman" w:hAnsi="Times New Roman" w:cs="Times New Roman"/>
                <w:sz w:val="20"/>
                <w:szCs w:val="20"/>
                <w:lang w:eastAsia="en-ZA"/>
              </w:rPr>
              <w:t xml:space="preserve">is known to be present in the pet trade industry in </w:t>
            </w:r>
            <w:r>
              <w:rPr>
                <w:rFonts w:ascii="Times New Roman" w:eastAsia="Times New Roman" w:hAnsi="Times New Roman" w:cs="Times New Roman"/>
                <w:sz w:val="20"/>
                <w:szCs w:val="20"/>
                <w:lang w:eastAsia="en-ZA"/>
              </w:rPr>
              <w:t xml:space="preserve">Netherlands and the United Kingdom </w:t>
            </w:r>
            <w:r w:rsidRPr="00233C97">
              <w:rPr>
                <w:rFonts w:ascii="Times New Roman" w:eastAsia="Times New Roman" w:hAnsi="Times New Roman" w:cs="Times New Roman"/>
                <w:sz w:val="20"/>
                <w:szCs w:val="20"/>
                <w:lang w:eastAsia="en-ZA"/>
              </w:rPr>
              <w:fldChar w:fldCharType="begin" w:fldLock="1"/>
            </w:r>
            <w:r w:rsidRPr="00233C97">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"id" : "ITEM-2", "itemData" : { "DOI" : "10.1007/s10530-012-0273-2", "author" : [ { "dropping-particle" : "", "family" : "Chucholl", "given" : "Christoph", "non-dropping-particle" : "", "parse-names" : false, "suffix" : "" } ], "id" : "ITEM-2", "issued" : { "date-parts" : [ [ "2013" ] ] }, "page" : "125-141", "title" : "Invaders for sale : trade and determinants of introduction of ornamental freshwater crayfish", "type" : "article-journal" }, "uris" : [ "http://www.mendeley.com/documents/?uuid=a0511d26-a75d-4f96-93d3-d105f06fe13f" ] } ], "mendeley" : { "formattedCitation" : "(Chucholl 2013, Faulkes 2015)", "plainTextFormattedCitation" : "(Chucholl 2013, Faulkes 2015)" }, "properties" : { "noteIndex" : 0 }, "schema" : "https://github.com/citation-style-language/schema/raw/master/csl-citation.json" }</w:instrText>
            </w:r>
            <w:r w:rsidRPr="00233C97">
              <w:rPr>
                <w:rFonts w:ascii="Times New Roman" w:eastAsia="Times New Roman" w:hAnsi="Times New Roman" w:cs="Times New Roman"/>
                <w:sz w:val="20"/>
                <w:szCs w:val="20"/>
                <w:lang w:eastAsia="en-ZA"/>
              </w:rPr>
              <w:fldChar w:fldCharType="separate"/>
            </w:r>
            <w:r w:rsidRPr="00233C97">
              <w:rPr>
                <w:rFonts w:ascii="Times New Roman" w:eastAsia="Times New Roman" w:hAnsi="Times New Roman" w:cs="Times New Roman"/>
                <w:sz w:val="20"/>
                <w:szCs w:val="20"/>
                <w:lang w:eastAsia="en-ZA"/>
              </w:rPr>
              <w:t>(Chucholl 2013; Faulkes 2015)</w:t>
            </w:r>
            <w:r w:rsidRPr="00233C97">
              <w:rPr>
                <w:rFonts w:ascii="Times New Roman" w:eastAsia="Times New Roman" w:hAnsi="Times New Roman" w:cs="Times New Roman"/>
                <w:sz w:val="20"/>
                <w:szCs w:val="20"/>
                <w:lang w:eastAsia="en-ZA"/>
              </w:rPr>
              <w:fldChar w:fldCharType="end"/>
            </w:r>
            <w:r w:rsidRPr="00233C97">
              <w:rPr>
                <w:rFonts w:ascii="Times New Roman" w:eastAsia="Times New Roman" w:hAnsi="Times New Roman" w:cs="Times New Roman"/>
                <w:sz w:val="20"/>
                <w:szCs w:val="20"/>
                <w:lang w:eastAsia="en-ZA"/>
              </w:rPr>
              <w:t>. In these areas, crayfish have established populations after accidental or intentional release by owners as unwanted pets (Faulkes 2015).</w:t>
            </w:r>
            <w:r w:rsidRPr="00233C97">
              <w:rPr>
                <w:rFonts w:ascii="Times New Roman" w:eastAsia="Times New Roman" w:hAnsi="Times New Roman" w:cs="Times New Roman"/>
                <w:i/>
                <w:iCs/>
                <w:sz w:val="20"/>
                <w:szCs w:val="20"/>
                <w:lang w:eastAsia="en-ZA"/>
              </w:rPr>
              <w:t xml:space="preserve"> </w:t>
            </w:r>
            <w:r w:rsidRPr="00131806">
              <w:rPr>
                <w:rFonts w:ascii="Times New Roman" w:eastAsia="Times New Roman" w:hAnsi="Times New Roman" w:cs="Times New Roman"/>
                <w:sz w:val="20"/>
                <w:szCs w:val="20"/>
                <w:lang w:eastAsia="en-ZA"/>
              </w:rPr>
              <w:t>In the USA</w:t>
            </w:r>
            <w:r>
              <w:rPr>
                <w:rFonts w:ascii="Times New Roman" w:eastAsia="Times New Roman" w:hAnsi="Times New Roman" w:cs="Times New Roman"/>
                <w:i/>
                <w:iCs/>
                <w:sz w:val="20"/>
                <w:szCs w:val="20"/>
                <w:lang w:eastAsia="en-ZA"/>
              </w:rPr>
              <w:t xml:space="preserve">, </w:t>
            </w:r>
            <w:r w:rsidRPr="00233C97">
              <w:rPr>
                <w:rFonts w:ascii="Times New Roman" w:eastAsia="Times New Roman" w:hAnsi="Times New Roman" w:cs="Times New Roman"/>
                <w:i/>
                <w:iCs/>
                <w:sz w:val="20"/>
                <w:szCs w:val="20"/>
                <w:lang w:eastAsia="en-ZA"/>
              </w:rPr>
              <w:t>F</w:t>
            </w:r>
            <w:r>
              <w:rPr>
                <w:rFonts w:ascii="Times New Roman" w:eastAsia="Times New Roman" w:hAnsi="Times New Roman" w:cs="Times New Roman"/>
                <w:i/>
                <w:iCs/>
                <w:sz w:val="20"/>
                <w:szCs w:val="20"/>
                <w:lang w:eastAsia="en-ZA"/>
              </w:rPr>
              <w:t xml:space="preserve">. virilis </w:t>
            </w:r>
            <w:r w:rsidRPr="00131806">
              <w:rPr>
                <w:rFonts w:ascii="Times New Roman" w:eastAsia="Times New Roman" w:hAnsi="Times New Roman" w:cs="Times New Roman"/>
                <w:sz w:val="20"/>
                <w:szCs w:val="20"/>
                <w:lang w:eastAsia="en-ZA"/>
              </w:rPr>
              <w:t>is</w:t>
            </w:r>
            <w:r>
              <w:rPr>
                <w:rFonts w:ascii="Times New Roman" w:eastAsia="Times New Roman" w:hAnsi="Times New Roman" w:cs="Times New Roman"/>
                <w:i/>
                <w:iCs/>
                <w:sz w:val="20"/>
                <w:szCs w:val="20"/>
                <w:lang w:eastAsia="en-ZA"/>
              </w:rPr>
              <w:t xml:space="preserve"> </w:t>
            </w:r>
            <w:r w:rsidRPr="00233C97">
              <w:rPr>
                <w:rFonts w:ascii="Times New Roman" w:eastAsia="Times New Roman" w:hAnsi="Times New Roman" w:cs="Times New Roman"/>
                <w:sz w:val="20"/>
                <w:szCs w:val="20"/>
                <w:lang w:eastAsia="en-ZA"/>
              </w:rPr>
              <w:t xml:space="preserve">a popular bait species among anglers and is </w:t>
            </w:r>
            <w:r>
              <w:rPr>
                <w:rFonts w:ascii="Times New Roman" w:eastAsia="Times New Roman" w:hAnsi="Times New Roman" w:cs="Times New Roman"/>
                <w:sz w:val="20"/>
                <w:szCs w:val="20"/>
                <w:lang w:eastAsia="en-ZA"/>
              </w:rPr>
              <w:t>also stocked for forage (Larson and Olden 2011, Kilian et al. 2012)</w:t>
            </w:r>
            <w:r w:rsidRPr="00233C97">
              <w:rPr>
                <w:rFonts w:ascii="Times New Roman" w:eastAsia="Times New Roman" w:hAnsi="Times New Roman" w:cs="Times New Roman"/>
                <w:sz w:val="20"/>
                <w:szCs w:val="20"/>
                <w:lang w:eastAsia="en-ZA"/>
              </w:rPr>
              <w:t>.</w:t>
            </w:r>
          </w:p>
        </w:tc>
      </w:tr>
      <w:tr w:rsidR="002D7080" w:rsidRPr="004D1E6F" w14:paraId="0D591835"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322C2674" w14:textId="77777777" w:rsidR="002D7080" w:rsidRPr="004D1E6F" w:rsidRDefault="002D7080" w:rsidP="006728DB">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62CC0841" w14:textId="77777777" w:rsidR="002D7080" w:rsidRDefault="002D7080" w:rsidP="006728DB">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hyperlink w:history="1">
              <w:r w:rsidRPr="004D1E6F">
                <w:rPr>
                  <w:rStyle w:val="Hyperlink"/>
                  <w:rFonts w:ascii="Times New Roman" w:eastAsia="Times New Roman" w:hAnsi="Times New Roman" w:cs="Times New Roman"/>
                  <w:sz w:val="20"/>
                  <w:szCs w:val="20"/>
                  <w:lang w:eastAsia="en-ZA"/>
                </w:rPr>
                <w:t>https://doi.org/10.1007/s10530-012-0273-2</w:t>
              </w:r>
            </w:hyperlink>
            <w:r w:rsidRPr="004D1E6F">
              <w:rPr>
                <w:rFonts w:ascii="Times New Roman" w:eastAsia="Times New Roman" w:hAnsi="Times New Roman" w:cs="Times New Roman"/>
                <w:sz w:val="20"/>
                <w:szCs w:val="20"/>
                <w:lang w:eastAsia="en-ZA"/>
              </w:rPr>
              <w:t>.</w:t>
            </w:r>
          </w:p>
          <w:p w14:paraId="486596D4" w14:textId="77777777" w:rsidR="002D7080" w:rsidRDefault="002D7080" w:rsidP="006728DB">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Faulkes, Z</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2015</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The global trade in crayfish as pets</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Crustacean Research</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44</w:t>
            </w:r>
            <w:r>
              <w:rPr>
                <w:rFonts w:ascii="Times New Roman" w:eastAsia="Times New Roman" w:hAnsi="Times New Roman" w:cs="Times New Roman"/>
                <w:iCs/>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75–92</w:t>
            </w:r>
            <w:r>
              <w:rPr>
                <w:rFonts w:ascii="Times New Roman" w:eastAsia="Times New Roman" w:hAnsi="Times New Roman" w:cs="Times New Roman"/>
                <w:color w:val="000000"/>
                <w:sz w:val="20"/>
                <w:szCs w:val="20"/>
                <w:lang w:eastAsia="en-ZA"/>
              </w:rPr>
              <w:t>.</w:t>
            </w:r>
            <w:r w:rsidRPr="000F54D1">
              <w:rPr>
                <w:rFonts w:ascii="Times New Roman" w:hAnsi="Times New Roman" w:cs="Times New Roman"/>
                <w:sz w:val="20"/>
                <w:szCs w:val="20"/>
              </w:rPr>
              <w:t xml:space="preserve"> </w:t>
            </w:r>
            <w:hyperlink r:id="rId379" w:history="1">
              <w:r w:rsidRPr="000F54D1">
                <w:rPr>
                  <w:rStyle w:val="Hyperlink"/>
                  <w:rFonts w:ascii="Times New Roman" w:eastAsia="Times New Roman" w:hAnsi="Times New Roman" w:cs="Times New Roman"/>
                  <w:sz w:val="20"/>
                  <w:szCs w:val="20"/>
                  <w:lang w:eastAsia="en-ZA"/>
                </w:rPr>
                <w:t>https://doi.org/10.18353/crustacea.44.0_75</w:t>
              </w:r>
            </w:hyperlink>
            <w:r w:rsidRPr="000F54D1">
              <w:rPr>
                <w:rFonts w:ascii="Times New Roman" w:eastAsia="Times New Roman" w:hAnsi="Times New Roman" w:cs="Times New Roman"/>
                <w:color w:val="000000"/>
                <w:sz w:val="20"/>
                <w:szCs w:val="20"/>
                <w:lang w:eastAsia="en-ZA"/>
              </w:rPr>
              <w:t>.</w:t>
            </w:r>
          </w:p>
          <w:p w14:paraId="7C582E76" w14:textId="77777777" w:rsidR="002D7080" w:rsidRDefault="002D7080" w:rsidP="006728DB">
            <w:pPr>
              <w:spacing w:after="0"/>
              <w:ind w:left="720" w:hanging="720"/>
              <w:jc w:val="both"/>
              <w:rPr>
                <w:rFonts w:ascii="Times New Roman" w:hAnsi="Times New Roman" w:cs="Times New Roman"/>
                <w:color w:val="000000"/>
                <w:sz w:val="20"/>
                <w:szCs w:val="20"/>
              </w:rPr>
            </w:pPr>
            <w:r w:rsidRPr="00131806">
              <w:rPr>
                <w:rFonts w:ascii="Times New Roman" w:hAnsi="Times New Roman" w:cs="Times New Roman"/>
                <w:color w:val="000000"/>
                <w:sz w:val="20"/>
                <w:szCs w:val="20"/>
              </w:rPr>
              <w:t>Kilian, J.V., Klauda, R.J.</w:t>
            </w:r>
            <w:r>
              <w:rPr>
                <w:rFonts w:ascii="Times New Roman" w:hAnsi="Times New Roman" w:cs="Times New Roman"/>
                <w:color w:val="000000"/>
                <w:sz w:val="20"/>
                <w:szCs w:val="20"/>
              </w:rPr>
              <w:t xml:space="preserve">, </w:t>
            </w:r>
            <w:r w:rsidRPr="00131806">
              <w:rPr>
                <w:rFonts w:ascii="Times New Roman" w:hAnsi="Times New Roman" w:cs="Times New Roman"/>
                <w:color w:val="000000"/>
                <w:sz w:val="20"/>
                <w:szCs w:val="20"/>
              </w:rPr>
              <w:t>WIdman,</w:t>
            </w:r>
            <w:r>
              <w:rPr>
                <w:rFonts w:ascii="Times New Roman" w:hAnsi="Times New Roman" w:cs="Times New Roman"/>
                <w:color w:val="000000"/>
                <w:sz w:val="20"/>
                <w:szCs w:val="20"/>
              </w:rPr>
              <w:t xml:space="preserve"> S.,</w:t>
            </w:r>
            <w:r w:rsidRPr="00131806">
              <w:rPr>
                <w:rFonts w:ascii="Times New Roman" w:hAnsi="Times New Roman" w:cs="Times New Roman"/>
                <w:color w:val="000000"/>
                <w:sz w:val="20"/>
                <w:szCs w:val="20"/>
              </w:rPr>
              <w:t xml:space="preserve"> Kashiwagi,</w:t>
            </w:r>
            <w:r>
              <w:rPr>
                <w:rFonts w:ascii="Times New Roman" w:hAnsi="Times New Roman" w:cs="Times New Roman"/>
                <w:color w:val="000000"/>
                <w:sz w:val="20"/>
                <w:szCs w:val="20"/>
              </w:rPr>
              <w:t xml:space="preserve"> M., </w:t>
            </w:r>
            <w:r w:rsidRPr="00131806">
              <w:rPr>
                <w:rFonts w:ascii="Times New Roman" w:hAnsi="Times New Roman" w:cs="Times New Roman"/>
                <w:color w:val="000000"/>
                <w:sz w:val="20"/>
                <w:szCs w:val="20"/>
              </w:rPr>
              <w:t>Bourquin,</w:t>
            </w:r>
            <w:r>
              <w:rPr>
                <w:rFonts w:ascii="Times New Roman" w:hAnsi="Times New Roman" w:cs="Times New Roman"/>
                <w:color w:val="000000"/>
                <w:sz w:val="20"/>
                <w:szCs w:val="20"/>
              </w:rPr>
              <w:t xml:space="preserve"> R.,</w:t>
            </w:r>
            <w:r w:rsidRPr="00131806">
              <w:rPr>
                <w:rFonts w:ascii="Times New Roman" w:hAnsi="Times New Roman" w:cs="Times New Roman"/>
                <w:color w:val="000000"/>
                <w:sz w:val="20"/>
                <w:szCs w:val="20"/>
              </w:rPr>
              <w:t xml:space="preserve"> Weglein,</w:t>
            </w:r>
            <w:r>
              <w:rPr>
                <w:rFonts w:ascii="Times New Roman" w:hAnsi="Times New Roman" w:cs="Times New Roman"/>
                <w:color w:val="000000"/>
                <w:sz w:val="20"/>
                <w:szCs w:val="20"/>
              </w:rPr>
              <w:t xml:space="preserve"> S. &amp;</w:t>
            </w:r>
            <w:r w:rsidRPr="00131806">
              <w:rPr>
                <w:rFonts w:ascii="Times New Roman" w:hAnsi="Times New Roman" w:cs="Times New Roman"/>
                <w:color w:val="000000"/>
                <w:sz w:val="20"/>
                <w:szCs w:val="20"/>
              </w:rPr>
              <w:t xml:space="preserve"> Schuster</w:t>
            </w:r>
            <w:r>
              <w:rPr>
                <w:rFonts w:ascii="Times New Roman" w:hAnsi="Times New Roman" w:cs="Times New Roman"/>
                <w:color w:val="000000"/>
                <w:sz w:val="20"/>
                <w:szCs w:val="20"/>
              </w:rPr>
              <w:t>, J.,</w:t>
            </w:r>
            <w:r w:rsidRPr="00131806">
              <w:rPr>
                <w:rFonts w:ascii="Times New Roman" w:hAnsi="Times New Roman" w:cs="Times New Roman"/>
                <w:color w:val="000000"/>
                <w:sz w:val="20"/>
                <w:szCs w:val="20"/>
              </w:rPr>
              <w:t xml:space="preserve"> 2012</w:t>
            </w:r>
            <w:r>
              <w:rPr>
                <w:rFonts w:ascii="Times New Roman" w:hAnsi="Times New Roman" w:cs="Times New Roman"/>
                <w:color w:val="000000"/>
                <w:sz w:val="20"/>
                <w:szCs w:val="20"/>
              </w:rPr>
              <w:t>,</w:t>
            </w:r>
            <w:r w:rsidRPr="00131806">
              <w:rPr>
                <w:rFonts w:ascii="Times New Roman" w:hAnsi="Times New Roman" w:cs="Times New Roman"/>
                <w:color w:val="000000"/>
                <w:sz w:val="20"/>
                <w:szCs w:val="20"/>
              </w:rPr>
              <w:t xml:space="preserve"> </w:t>
            </w:r>
            <w:r>
              <w:rPr>
                <w:rFonts w:ascii="Times New Roman" w:hAnsi="Times New Roman" w:cs="Times New Roman"/>
                <w:color w:val="000000"/>
                <w:sz w:val="20"/>
                <w:szCs w:val="20"/>
              </w:rPr>
              <w:t>‘</w:t>
            </w:r>
            <w:r w:rsidRPr="00131806">
              <w:rPr>
                <w:rFonts w:ascii="Times New Roman" w:hAnsi="Times New Roman" w:cs="Times New Roman"/>
                <w:color w:val="000000"/>
                <w:sz w:val="20"/>
                <w:szCs w:val="20"/>
              </w:rPr>
              <w:t>An assessment of a bait industry and angler behavior as a vector of invasive species</w:t>
            </w:r>
            <w:r>
              <w:rPr>
                <w:rFonts w:ascii="Times New Roman" w:hAnsi="Times New Roman" w:cs="Times New Roman"/>
                <w:color w:val="000000"/>
                <w:sz w:val="20"/>
                <w:szCs w:val="20"/>
              </w:rPr>
              <w:t xml:space="preserve">’, </w:t>
            </w:r>
            <w:r w:rsidRPr="00131806">
              <w:rPr>
                <w:rFonts w:ascii="Times New Roman" w:hAnsi="Times New Roman" w:cs="Times New Roman"/>
                <w:i/>
                <w:iCs/>
                <w:color w:val="000000"/>
                <w:sz w:val="20"/>
                <w:szCs w:val="20"/>
              </w:rPr>
              <w:t>Biological Invasions</w:t>
            </w:r>
            <w:r w:rsidRPr="00C572F6">
              <w:rPr>
                <w:rFonts w:ascii="Times New Roman" w:hAnsi="Times New Roman" w:cs="Times New Roman"/>
                <w:color w:val="000000"/>
                <w:sz w:val="20"/>
                <w:szCs w:val="20"/>
              </w:rPr>
              <w:t>,</w:t>
            </w:r>
            <w:r w:rsidRPr="00131806">
              <w:rPr>
                <w:rFonts w:ascii="Times New Roman" w:hAnsi="Times New Roman" w:cs="Times New Roman"/>
                <w:i/>
                <w:iCs/>
                <w:color w:val="000000"/>
                <w:sz w:val="20"/>
                <w:szCs w:val="20"/>
              </w:rPr>
              <w:t xml:space="preserve"> </w:t>
            </w:r>
            <w:r w:rsidRPr="00131806">
              <w:rPr>
                <w:rFonts w:ascii="Times New Roman" w:hAnsi="Times New Roman" w:cs="Times New Roman"/>
                <w:color w:val="000000"/>
                <w:sz w:val="20"/>
                <w:szCs w:val="20"/>
              </w:rPr>
              <w:t>14(7)</w:t>
            </w:r>
            <w:r>
              <w:rPr>
                <w:rFonts w:ascii="Times New Roman" w:hAnsi="Times New Roman" w:cs="Times New Roman"/>
                <w:color w:val="000000"/>
                <w:sz w:val="20"/>
                <w:szCs w:val="20"/>
              </w:rPr>
              <w:t xml:space="preserve">, </w:t>
            </w:r>
            <w:r w:rsidRPr="00131806">
              <w:rPr>
                <w:rFonts w:ascii="Times New Roman" w:hAnsi="Times New Roman" w:cs="Times New Roman"/>
                <w:color w:val="000000"/>
                <w:sz w:val="20"/>
                <w:szCs w:val="20"/>
              </w:rPr>
              <w:t>1469-1481.</w:t>
            </w:r>
            <w:r>
              <w:rPr>
                <w:rFonts w:ascii="Times New Roman" w:hAnsi="Times New Roman" w:cs="Times New Roman"/>
                <w:color w:val="000000"/>
                <w:sz w:val="20"/>
                <w:szCs w:val="20"/>
              </w:rPr>
              <w:t xml:space="preserve"> </w:t>
            </w:r>
            <w:hyperlink r:id="rId380" w:history="1">
              <w:r w:rsidRPr="000F54D1">
                <w:rPr>
                  <w:rStyle w:val="Hyperlink"/>
                  <w:rFonts w:ascii="Times New Roman" w:hAnsi="Times New Roman" w:cs="Times New Roman"/>
                  <w:sz w:val="20"/>
                  <w:szCs w:val="20"/>
                </w:rPr>
                <w:t>https://doi.org/10.1007/s10530-012-0173-5</w:t>
              </w:r>
            </w:hyperlink>
            <w:r w:rsidRPr="000F54D1">
              <w:rPr>
                <w:rFonts w:ascii="Times New Roman" w:hAnsi="Times New Roman" w:cs="Times New Roman"/>
                <w:color w:val="000000"/>
                <w:sz w:val="20"/>
                <w:szCs w:val="20"/>
              </w:rPr>
              <w:t>.</w:t>
            </w:r>
          </w:p>
          <w:p w14:paraId="5DFB50D6" w14:textId="77777777" w:rsidR="002D7080" w:rsidRPr="000F54D1" w:rsidRDefault="002D7080" w:rsidP="006728DB">
            <w:pPr>
              <w:spacing w:after="0"/>
              <w:ind w:left="510" w:hanging="510"/>
              <w:jc w:val="both"/>
              <w:rPr>
                <w:rFonts w:ascii="Times New Roman" w:hAnsi="Times New Roman" w:cs="Times New Roman"/>
                <w:color w:val="000000"/>
                <w:sz w:val="20"/>
                <w:szCs w:val="20"/>
              </w:rPr>
            </w:pPr>
            <w:r w:rsidRPr="00131806">
              <w:rPr>
                <w:rFonts w:ascii="Times New Roman" w:hAnsi="Times New Roman" w:cs="Times New Roman"/>
                <w:color w:val="000000"/>
                <w:sz w:val="20"/>
                <w:szCs w:val="20"/>
              </w:rPr>
              <w:t xml:space="preserve">Larson, E.R. </w:t>
            </w:r>
            <w:r>
              <w:rPr>
                <w:rFonts w:ascii="Times New Roman" w:hAnsi="Times New Roman" w:cs="Times New Roman"/>
                <w:color w:val="000000"/>
                <w:sz w:val="20"/>
                <w:szCs w:val="20"/>
              </w:rPr>
              <w:t xml:space="preserve">&amp; </w:t>
            </w:r>
            <w:r w:rsidRPr="00131806">
              <w:rPr>
                <w:rFonts w:ascii="Times New Roman" w:hAnsi="Times New Roman" w:cs="Times New Roman"/>
                <w:color w:val="000000"/>
                <w:sz w:val="20"/>
                <w:szCs w:val="20"/>
              </w:rPr>
              <w:t>Olden</w:t>
            </w:r>
            <w:r>
              <w:rPr>
                <w:rFonts w:ascii="Times New Roman" w:hAnsi="Times New Roman" w:cs="Times New Roman"/>
                <w:color w:val="000000"/>
                <w:sz w:val="20"/>
                <w:szCs w:val="20"/>
              </w:rPr>
              <w:t xml:space="preserve">, J.D., </w:t>
            </w:r>
            <w:r w:rsidRPr="00131806">
              <w:rPr>
                <w:rFonts w:ascii="Times New Roman" w:hAnsi="Times New Roman" w:cs="Times New Roman"/>
                <w:color w:val="000000"/>
                <w:sz w:val="20"/>
                <w:szCs w:val="20"/>
              </w:rPr>
              <w:t>2011</w:t>
            </w:r>
            <w:r>
              <w:rPr>
                <w:rFonts w:ascii="Times New Roman" w:hAnsi="Times New Roman" w:cs="Times New Roman"/>
                <w:color w:val="000000"/>
                <w:sz w:val="20"/>
                <w:szCs w:val="20"/>
              </w:rPr>
              <w:t>, ‘</w:t>
            </w:r>
            <w:r w:rsidRPr="00131806">
              <w:rPr>
                <w:rFonts w:ascii="Times New Roman" w:hAnsi="Times New Roman" w:cs="Times New Roman"/>
                <w:color w:val="000000"/>
                <w:sz w:val="20"/>
                <w:szCs w:val="20"/>
              </w:rPr>
              <w:t>The state of crayfish in the Pacific Northwest</w:t>
            </w:r>
            <w:r>
              <w:rPr>
                <w:rFonts w:ascii="Times New Roman" w:hAnsi="Times New Roman" w:cs="Times New Roman"/>
                <w:color w:val="000000"/>
                <w:sz w:val="20"/>
                <w:szCs w:val="20"/>
              </w:rPr>
              <w:t xml:space="preserve">’, </w:t>
            </w:r>
            <w:r w:rsidRPr="00131806">
              <w:rPr>
                <w:rFonts w:ascii="Times New Roman" w:hAnsi="Times New Roman" w:cs="Times New Roman"/>
                <w:i/>
                <w:iCs/>
                <w:color w:val="000000"/>
                <w:sz w:val="20"/>
                <w:szCs w:val="20"/>
              </w:rPr>
              <w:t>Fisheries</w:t>
            </w:r>
            <w:r w:rsidRPr="002C51C8">
              <w:rPr>
                <w:rFonts w:ascii="Times New Roman" w:hAnsi="Times New Roman" w:cs="Times New Roman"/>
                <w:color w:val="000000"/>
                <w:sz w:val="20"/>
                <w:szCs w:val="20"/>
              </w:rPr>
              <w:t>,</w:t>
            </w:r>
            <w:r w:rsidRPr="00131806">
              <w:rPr>
                <w:rFonts w:ascii="Times New Roman" w:hAnsi="Times New Roman" w:cs="Times New Roman"/>
                <w:color w:val="000000"/>
                <w:sz w:val="20"/>
                <w:szCs w:val="20"/>
              </w:rPr>
              <w:t xml:space="preserve"> 36(2)</w:t>
            </w:r>
            <w:r>
              <w:rPr>
                <w:rFonts w:ascii="Times New Roman" w:hAnsi="Times New Roman" w:cs="Times New Roman"/>
                <w:color w:val="000000"/>
                <w:sz w:val="20"/>
                <w:szCs w:val="20"/>
              </w:rPr>
              <w:t xml:space="preserve">, </w:t>
            </w:r>
            <w:r w:rsidRPr="00131806">
              <w:rPr>
                <w:rFonts w:ascii="Times New Roman" w:hAnsi="Times New Roman" w:cs="Times New Roman"/>
                <w:color w:val="000000"/>
                <w:sz w:val="20"/>
                <w:szCs w:val="20"/>
              </w:rPr>
              <w:t>60-73.</w:t>
            </w:r>
            <w:r>
              <w:rPr>
                <w:rFonts w:ascii="Times New Roman" w:hAnsi="Times New Roman" w:cs="Times New Roman"/>
                <w:color w:val="000000"/>
                <w:sz w:val="20"/>
                <w:szCs w:val="20"/>
              </w:rPr>
              <w:t xml:space="preserve"> </w:t>
            </w:r>
            <w:hyperlink r:id="rId381" w:history="1">
              <w:r w:rsidRPr="000F54D1">
                <w:rPr>
                  <w:rStyle w:val="Hyperlink"/>
                  <w:rFonts w:ascii="Times New Roman" w:hAnsi="Times New Roman" w:cs="Times New Roman"/>
                  <w:sz w:val="20"/>
                  <w:szCs w:val="20"/>
                </w:rPr>
                <w:t>https://doi.org/10.1577/03632415.2011.10389069</w:t>
              </w:r>
            </w:hyperlink>
          </w:p>
        </w:tc>
      </w:tr>
    </w:tbl>
    <w:p w14:paraId="2E026366"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2CAC1819"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2. Likelihood</w:t>
      </w:r>
    </w:p>
    <w:p w14:paraId="61253AF7"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6E5C2034" w14:textId="77777777" w:rsidTr="002E2C37">
        <w:tc>
          <w:tcPr>
            <w:tcW w:w="9016" w:type="dxa"/>
            <w:gridSpan w:val="2"/>
            <w:shd w:val="clear" w:color="auto" w:fill="F2F2F2" w:themeFill="background1" w:themeFillShade="F2"/>
          </w:tcPr>
          <w:p w14:paraId="6C54054C"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LIK1 Likelihood of entry via unaided primary pathways</w:t>
            </w:r>
          </w:p>
        </w:tc>
      </w:tr>
      <w:tr w:rsidR="002D7080" w:rsidRPr="004D1E6F" w14:paraId="43B57BC6" w14:textId="77777777" w:rsidTr="002E2C37">
        <w:tc>
          <w:tcPr>
            <w:tcW w:w="5524" w:type="dxa"/>
          </w:tcPr>
          <w:p w14:paraId="5F4C64CC" w14:textId="77777777" w:rsidR="002D7080" w:rsidRPr="004D1E6F" w:rsidRDefault="002D7080" w:rsidP="006728DB">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w:t>
            </w:r>
            <w:r>
              <w:rPr>
                <w:rFonts w:ascii="Times New Roman" w:eastAsia="Times New Roman" w:hAnsi="Times New Roman" w:cs="Times New Roman"/>
                <w:color w:val="000000"/>
                <w:sz w:val="20"/>
                <w:szCs w:val="20"/>
                <w:lang w:eastAsia="en-ZA"/>
              </w:rPr>
              <w:t>very unlikely (p = 0.0027)</w:t>
            </w:r>
          </w:p>
        </w:tc>
        <w:tc>
          <w:tcPr>
            <w:tcW w:w="3492" w:type="dxa"/>
          </w:tcPr>
          <w:p w14:paraId="10C3D455" w14:textId="77777777" w:rsidR="002D7080" w:rsidRPr="004D1E6F" w:rsidRDefault="002D7080" w:rsidP="006728DB">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 xml:space="preserve">Medium </w:t>
            </w:r>
          </w:p>
        </w:tc>
      </w:tr>
      <w:tr w:rsidR="002D7080" w:rsidRPr="004D1E6F" w14:paraId="32540A80" w14:textId="77777777" w:rsidTr="002E2C37">
        <w:trPr>
          <w:trHeight w:val="614"/>
        </w:trPr>
        <w:tc>
          <w:tcPr>
            <w:tcW w:w="9016" w:type="dxa"/>
            <w:gridSpan w:val="2"/>
          </w:tcPr>
          <w:p w14:paraId="245A2BEE" w14:textId="77777777" w:rsidR="002D7080" w:rsidRPr="004D1E6F" w:rsidRDefault="002D7080" w:rsidP="006728DB">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sidRPr="00233C97">
              <w:rPr>
                <w:rFonts w:ascii="Times New Roman" w:eastAsia="Times New Roman" w:hAnsi="Times New Roman" w:cs="Times New Roman"/>
                <w:color w:val="000000"/>
                <w:sz w:val="20"/>
                <w:szCs w:val="20"/>
                <w:lang w:eastAsia="en-ZA"/>
              </w:rPr>
              <w:t xml:space="preserve"> There is no evidence that </w:t>
            </w:r>
            <w:r w:rsidRPr="00233C97">
              <w:rPr>
                <w:rFonts w:ascii="Times New Roman" w:eastAsia="Times New Roman" w:hAnsi="Times New Roman" w:cs="Times New Roman"/>
                <w:i/>
                <w:iCs/>
                <w:color w:val="000000"/>
                <w:sz w:val="20"/>
                <w:szCs w:val="20"/>
                <w:lang w:eastAsia="en-ZA"/>
              </w:rPr>
              <w:t>F.</w:t>
            </w:r>
            <w:r>
              <w:rPr>
                <w:rFonts w:ascii="Times New Roman" w:eastAsia="Times New Roman" w:hAnsi="Times New Roman" w:cs="Times New Roman"/>
                <w:i/>
                <w:iCs/>
                <w:color w:val="000000"/>
                <w:sz w:val="20"/>
                <w:szCs w:val="20"/>
                <w:lang w:eastAsia="en-ZA"/>
              </w:rPr>
              <w:t xml:space="preserve"> virilis</w:t>
            </w:r>
            <w:r w:rsidRPr="00233C97">
              <w:rPr>
                <w:rFonts w:ascii="Times New Roman" w:eastAsia="Times New Roman" w:hAnsi="Times New Roman" w:cs="Times New Roman"/>
                <w:i/>
                <w:iCs/>
                <w:color w:val="000000"/>
                <w:sz w:val="20"/>
                <w:szCs w:val="20"/>
                <w:lang w:eastAsia="en-ZA"/>
              </w:rPr>
              <w:t xml:space="preserve"> </w:t>
            </w:r>
            <w:r w:rsidRPr="00233C97">
              <w:rPr>
                <w:rFonts w:ascii="Times New Roman" w:eastAsia="Times New Roman" w:hAnsi="Times New Roman" w:cs="Times New Roman"/>
                <w:color w:val="000000"/>
                <w:sz w:val="20"/>
                <w:szCs w:val="20"/>
                <w:lang w:eastAsia="en-ZA"/>
              </w:rPr>
              <w:t xml:space="preserve">is present in South Africa or has established in the wild in neighbouring countries in the SADC Region </w:t>
            </w:r>
            <w:r w:rsidRPr="00233C97">
              <w:rPr>
                <w:rFonts w:ascii="Times New Roman" w:eastAsia="Times New Roman" w:hAnsi="Times New Roman" w:cs="Times New Roman"/>
                <w:color w:val="000000"/>
                <w:sz w:val="20"/>
                <w:szCs w:val="20"/>
                <w:lang w:eastAsia="en-ZA"/>
              </w:rPr>
              <w:fldChar w:fldCharType="begin" w:fldLock="1"/>
            </w:r>
            <w:r w:rsidRPr="00233C97">
              <w:rPr>
                <w:rFonts w:ascii="Times New Roman" w:eastAsia="Times New Roman" w:hAnsi="Times New Roman" w:cs="Times New Roman"/>
                <w:color w:val="000000"/>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Madzivanzira et al. 2020)", "plainTextFormattedCitation" : "(Lodge et al. 2012, Madzivanzira et al. 2020)", "previouslyFormattedCitation" : "(Lodge et al. 2012, Madzivanzira et al. 2020)" }, "properties" : { "noteIndex" : 0 }, "schema" : "https://github.com/citation-style-language/schema/raw/master/csl-citation.json" }</w:instrText>
            </w:r>
            <w:r w:rsidRPr="00233C97">
              <w:rPr>
                <w:rFonts w:ascii="Times New Roman" w:eastAsia="Times New Roman" w:hAnsi="Times New Roman" w:cs="Times New Roman"/>
                <w:color w:val="000000"/>
                <w:sz w:val="20"/>
                <w:szCs w:val="20"/>
                <w:lang w:eastAsia="en-ZA"/>
              </w:rPr>
              <w:fldChar w:fldCharType="separate"/>
            </w:r>
            <w:r w:rsidRPr="00233C97">
              <w:rPr>
                <w:rFonts w:ascii="Times New Roman" w:eastAsia="Times New Roman" w:hAnsi="Times New Roman" w:cs="Times New Roman"/>
                <w:noProof/>
                <w:color w:val="000000"/>
                <w:sz w:val="20"/>
                <w:szCs w:val="20"/>
                <w:lang w:eastAsia="en-ZA"/>
              </w:rPr>
              <w:t>(Lodge et al. 2012; Madzivanzira et al. 2020)</w:t>
            </w:r>
            <w:r w:rsidRPr="00233C97">
              <w:rPr>
                <w:rFonts w:ascii="Times New Roman" w:eastAsia="Times New Roman" w:hAnsi="Times New Roman" w:cs="Times New Roman"/>
                <w:color w:val="000000"/>
                <w:sz w:val="20"/>
                <w:szCs w:val="20"/>
                <w:lang w:eastAsia="en-ZA"/>
              </w:rPr>
              <w:fldChar w:fldCharType="end"/>
            </w:r>
            <w:r w:rsidRPr="00233C97">
              <w:rPr>
                <w:rFonts w:ascii="Times New Roman" w:eastAsia="Times New Roman" w:hAnsi="Times New Roman" w:cs="Times New Roman"/>
                <w:color w:val="000000"/>
                <w:sz w:val="20"/>
                <w:szCs w:val="20"/>
                <w:lang w:eastAsia="en-ZA"/>
              </w:rPr>
              <w:t xml:space="preserve"> therefore the probability of </w:t>
            </w:r>
            <w:r w:rsidRPr="00233C97">
              <w:rPr>
                <w:rFonts w:ascii="Times New Roman" w:eastAsia="Times New Roman" w:hAnsi="Times New Roman" w:cs="Times New Roman"/>
                <w:i/>
                <w:color w:val="000000"/>
                <w:sz w:val="20"/>
                <w:szCs w:val="20"/>
                <w:lang w:eastAsia="en-ZA"/>
              </w:rPr>
              <w:t>F.</w:t>
            </w:r>
            <w:r>
              <w:rPr>
                <w:rFonts w:ascii="Times New Roman" w:eastAsia="Times New Roman" w:hAnsi="Times New Roman" w:cs="Times New Roman"/>
                <w:i/>
                <w:color w:val="000000"/>
                <w:sz w:val="20"/>
                <w:szCs w:val="20"/>
                <w:lang w:eastAsia="en-ZA"/>
              </w:rPr>
              <w:t xml:space="preserve"> virilis</w:t>
            </w:r>
            <w:r w:rsidRPr="00233C97">
              <w:rPr>
                <w:rFonts w:ascii="Times New Roman" w:eastAsia="Times New Roman" w:hAnsi="Times New Roman" w:cs="Times New Roman"/>
                <w:color w:val="000000"/>
                <w:sz w:val="20"/>
                <w:szCs w:val="20"/>
                <w:lang w:eastAsia="en-ZA"/>
              </w:rPr>
              <w:t xml:space="preserve"> entering South Africa through unaided pathways (connected waterways) is very unlikely (p = 0.0027).</w:t>
            </w:r>
          </w:p>
        </w:tc>
      </w:tr>
      <w:tr w:rsidR="002D7080" w:rsidRPr="004D1E6F" w14:paraId="4762A46C" w14:textId="77777777" w:rsidTr="002E2C37">
        <w:tc>
          <w:tcPr>
            <w:tcW w:w="9016" w:type="dxa"/>
            <w:gridSpan w:val="2"/>
          </w:tcPr>
          <w:p w14:paraId="5D239D73" w14:textId="77777777" w:rsidR="002D7080" w:rsidRPr="004D1E6F" w:rsidRDefault="002D7080" w:rsidP="006728DB">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3A5C3386" w14:textId="77777777" w:rsidR="002D7080" w:rsidRPr="00233C97" w:rsidRDefault="002D7080" w:rsidP="006728DB">
            <w:pPr>
              <w:spacing w:after="160"/>
              <w:ind w:left="720" w:hanging="720"/>
              <w:contextualSpacing/>
              <w:jc w:val="both"/>
              <w:rPr>
                <w:rFonts w:ascii="Times New Roman" w:eastAsia="Times New Roman" w:hAnsi="Times New Roman" w:cs="Times New Roman"/>
                <w:color w:val="000000"/>
                <w:sz w:val="20"/>
                <w:szCs w:val="20"/>
                <w:lang w:eastAsia="en-ZA"/>
              </w:rPr>
            </w:pPr>
            <w:r w:rsidRPr="00233C97">
              <w:rPr>
                <w:rFonts w:ascii="Times New Roman" w:eastAsia="Calibri" w:hAnsi="Times New Roman" w:cs="Times New Roman"/>
                <w:sz w:val="20"/>
                <w:szCs w:val="20"/>
              </w:rPr>
              <w:t>Madzivanzira, T.C., South, J., Wood, L.E., Nunes, A.L.</w:t>
            </w:r>
            <w:r w:rsidRPr="00233C97">
              <w:rPr>
                <w:rFonts w:ascii="Times New Roman" w:eastAsia="Times New Roman" w:hAnsi="Times New Roman" w:cs="Times New Roman"/>
                <w:color w:val="000000"/>
                <w:sz w:val="20"/>
                <w:szCs w:val="20"/>
                <w:lang w:eastAsia="en-ZA"/>
              </w:rPr>
              <w:t xml:space="preserve"> &amp; </w:t>
            </w:r>
            <w:r w:rsidRPr="00233C97">
              <w:rPr>
                <w:rFonts w:ascii="Times New Roman" w:eastAsia="Calibri" w:hAnsi="Times New Roman" w:cs="Times New Roman"/>
                <w:sz w:val="20"/>
                <w:szCs w:val="20"/>
              </w:rPr>
              <w:t xml:space="preserve">Weyl, O.L.F., 2020, ‘A review of freshwater crayfish introductions in Africa’, </w:t>
            </w:r>
            <w:r w:rsidRPr="00233C97">
              <w:rPr>
                <w:rFonts w:ascii="Times New Roman" w:eastAsia="Calibri" w:hAnsi="Times New Roman" w:cs="Times New Roman"/>
                <w:i/>
                <w:sz w:val="20"/>
                <w:szCs w:val="20"/>
              </w:rPr>
              <w:t>Reviews in</w:t>
            </w:r>
            <w:r w:rsidRPr="00233C97">
              <w:rPr>
                <w:rFonts w:ascii="Times New Roman" w:eastAsia="Times New Roman" w:hAnsi="Times New Roman" w:cs="Times New Roman"/>
                <w:i/>
                <w:color w:val="000000"/>
                <w:sz w:val="20"/>
                <w:szCs w:val="20"/>
                <w:lang w:eastAsia="en-ZA"/>
              </w:rPr>
              <w:t xml:space="preserve"> </w:t>
            </w:r>
            <w:r w:rsidRPr="00233C97">
              <w:rPr>
                <w:rFonts w:ascii="Times New Roman" w:eastAsia="Calibri" w:hAnsi="Times New Roman" w:cs="Times New Roman"/>
                <w:i/>
                <w:sz w:val="20"/>
                <w:szCs w:val="20"/>
              </w:rPr>
              <w:t>Fisheries Science &amp; Aquaculture</w:t>
            </w:r>
            <w:r w:rsidRPr="00233C97">
              <w:rPr>
                <w:rFonts w:ascii="Times New Roman" w:eastAsia="Calibri" w:hAnsi="Times New Roman" w:cs="Times New Roman"/>
                <w:sz w:val="20"/>
                <w:szCs w:val="20"/>
              </w:rPr>
              <w:t>,</w:t>
            </w:r>
            <w:r w:rsidRPr="00233C97">
              <w:rPr>
                <w:rFonts w:ascii="Times New Roman" w:eastAsia="Calibri" w:hAnsi="Times New Roman" w:cs="Times New Roman"/>
                <w:i/>
                <w:sz w:val="20"/>
                <w:szCs w:val="20"/>
              </w:rPr>
              <w:t xml:space="preserve"> </w:t>
            </w:r>
            <w:r w:rsidRPr="00233C97">
              <w:rPr>
                <w:rFonts w:ascii="Times New Roman" w:eastAsia="Calibri" w:hAnsi="Times New Roman" w:cs="Times New Roman"/>
                <w:sz w:val="20"/>
                <w:szCs w:val="20"/>
              </w:rPr>
              <w:t xml:space="preserve">1-21. </w:t>
            </w:r>
            <w:hyperlink r:id="rId382" w:history="1">
              <w:r w:rsidRPr="000B0DAE">
                <w:rPr>
                  <w:rStyle w:val="Hyperlink"/>
                  <w:rFonts w:ascii="Times New Roman" w:eastAsia="Calibri" w:hAnsi="Times New Roman" w:cs="Times New Roman"/>
                  <w:sz w:val="20"/>
                  <w:szCs w:val="20"/>
                </w:rPr>
                <w:t>https://doi.org/</w:t>
              </w:r>
              <w:r w:rsidRPr="000B0DAE">
                <w:rPr>
                  <w:rStyle w:val="Hyperlink"/>
                  <w:rFonts w:ascii="Times New Roman" w:eastAsia="Times New Roman" w:hAnsi="Times New Roman" w:cs="Times New Roman"/>
                  <w:sz w:val="20"/>
                  <w:szCs w:val="20"/>
                  <w:lang w:eastAsia="en-ZA"/>
                </w:rPr>
                <w:t>10.1080/23308249.2020.1802405</w:t>
              </w:r>
            </w:hyperlink>
            <w:r w:rsidRPr="00233C97">
              <w:rPr>
                <w:rFonts w:ascii="Times New Roman" w:eastAsia="Calibri" w:hAnsi="Times New Roman" w:cs="Times New Roman"/>
                <w:sz w:val="20"/>
                <w:szCs w:val="20"/>
              </w:rPr>
              <w:t>.</w:t>
            </w:r>
            <w:r>
              <w:rPr>
                <w:rFonts w:ascii="Times New Roman" w:eastAsia="Calibri" w:hAnsi="Times New Roman" w:cs="Times New Roman"/>
                <w:sz w:val="20"/>
                <w:szCs w:val="20"/>
              </w:rPr>
              <w:t xml:space="preserve"> </w:t>
            </w:r>
          </w:p>
          <w:p w14:paraId="7E3160FC" w14:textId="394C0066" w:rsidR="002D7080" w:rsidRPr="009A7754" w:rsidRDefault="002D7080" w:rsidP="00500AD1">
            <w:pPr>
              <w:ind w:left="522" w:hanging="522"/>
              <w:jc w:val="both"/>
              <w:rPr>
                <w:rFonts w:ascii="Times New Roman" w:eastAsia="Calibri" w:hAnsi="Times New Roman" w:cs="Times New Roman"/>
                <w:sz w:val="20"/>
                <w:szCs w:val="20"/>
              </w:rPr>
            </w:pPr>
            <w:r w:rsidRPr="00F8680E">
              <w:rPr>
                <w:rFonts w:ascii="Times New Roman" w:eastAsia="Calibri" w:hAnsi="Times New Roman" w:cs="Times New Roman"/>
                <w:sz w:val="20"/>
                <w:szCs w:val="20"/>
              </w:rPr>
              <w:t>Lodge</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D</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M</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Deines</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A</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Gherardi, F</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Yeo</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D</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C</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J</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Arcella</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T</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Baldridge</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A</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K</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Branes</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M</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A</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Chadderton</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W</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L</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Feder</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J</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L</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Grantz</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C</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A</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Howard</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G</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W</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Jerdde</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C</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L</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Peters</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J</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A</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Sargent</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L</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W</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Turner</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C</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R</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w:t>
            </w:r>
            <w:r w:rsidR="00500AD1">
              <w:rPr>
                <w:rFonts w:ascii="Times New Roman" w:eastAsia="Calibri" w:hAnsi="Times New Roman" w:cs="Times New Roman"/>
                <w:sz w:val="20"/>
                <w:szCs w:val="20"/>
              </w:rPr>
              <w:t xml:space="preserve"> </w:t>
            </w:r>
            <w:r w:rsidRPr="00F8680E">
              <w:rPr>
                <w:rFonts w:ascii="Times New Roman" w:eastAsia="Calibri" w:hAnsi="Times New Roman" w:cs="Times New Roman"/>
                <w:sz w:val="20"/>
                <w:szCs w:val="20"/>
              </w:rPr>
              <w:lastRenderedPageBreak/>
              <w:t>Wittmann</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M</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E</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Zeng</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Y.</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2012</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Global introductions of crayfishes: evaluating the impact of species invasions on ecosystem services</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w:t>
            </w:r>
            <w:r w:rsidRPr="00F8680E">
              <w:rPr>
                <w:rFonts w:ascii="Times New Roman" w:eastAsia="Calibri" w:hAnsi="Times New Roman" w:cs="Times New Roman"/>
                <w:i/>
                <w:sz w:val="20"/>
                <w:szCs w:val="20"/>
              </w:rPr>
              <w:t>Annual Review of Ecology Evolution Systematics</w:t>
            </w:r>
            <w:r w:rsidRPr="00CA3B1E">
              <w:rPr>
                <w:rFonts w:ascii="Times New Roman" w:eastAsia="Calibri" w:hAnsi="Times New Roman" w:cs="Times New Roman"/>
                <w:iCs/>
                <w:sz w:val="20"/>
                <w:szCs w:val="20"/>
              </w:rPr>
              <w:t>,</w:t>
            </w:r>
            <w:r w:rsidRPr="00F8680E">
              <w:rPr>
                <w:rFonts w:ascii="Times New Roman" w:eastAsia="Calibri" w:hAnsi="Times New Roman" w:cs="Times New Roman"/>
                <w:sz w:val="20"/>
                <w:szCs w:val="20"/>
              </w:rPr>
              <w:t xml:space="preserve"> 43</w:t>
            </w:r>
            <w:r>
              <w:rPr>
                <w:rFonts w:ascii="Times New Roman" w:eastAsia="Calibri" w:hAnsi="Times New Roman" w:cs="Times New Roman"/>
                <w:sz w:val="20"/>
                <w:szCs w:val="20"/>
              </w:rPr>
              <w:t>,</w:t>
            </w:r>
            <w:r w:rsidRPr="00F8680E">
              <w:rPr>
                <w:rFonts w:ascii="Times New Roman" w:eastAsia="Calibri" w:hAnsi="Times New Roman" w:cs="Times New Roman"/>
                <w:sz w:val="20"/>
                <w:szCs w:val="20"/>
              </w:rPr>
              <w:t xml:space="preserve"> 449</w:t>
            </w:r>
            <w:r w:rsidRPr="00F8680E">
              <w:rPr>
                <w:rFonts w:ascii="Times New Roman" w:eastAsia="Times New Roman" w:hAnsi="Times New Roman" w:cs="Times New Roman"/>
                <w:color w:val="000000"/>
                <w:sz w:val="20"/>
                <w:szCs w:val="20"/>
                <w:lang w:eastAsia="en-ZA"/>
              </w:rPr>
              <w:t>–4</w:t>
            </w:r>
            <w:r w:rsidRPr="00F8680E">
              <w:rPr>
                <w:rFonts w:ascii="Times New Roman" w:eastAsia="Calibri" w:hAnsi="Times New Roman" w:cs="Times New Roman"/>
                <w:sz w:val="20"/>
                <w:szCs w:val="20"/>
              </w:rPr>
              <w:t>72.</w:t>
            </w:r>
            <w:r>
              <w:rPr>
                <w:rFonts w:ascii="Times New Roman" w:eastAsia="Calibri" w:hAnsi="Times New Roman" w:cs="Times New Roman"/>
                <w:sz w:val="20"/>
                <w:szCs w:val="20"/>
              </w:rPr>
              <w:t xml:space="preserve"> </w:t>
            </w:r>
            <w:hyperlink r:id="rId383" w:history="1">
              <w:r w:rsidRPr="000F54D1">
                <w:rPr>
                  <w:rStyle w:val="Hyperlink"/>
                  <w:rFonts w:ascii="Times New Roman" w:eastAsia="Calibri" w:hAnsi="Times New Roman" w:cs="Times New Roman"/>
                  <w:bCs/>
                  <w:sz w:val="20"/>
                  <w:szCs w:val="20"/>
                </w:rPr>
                <w:t>https://doi.org/10.1146/annurev-ecolsys-111511-103919</w:t>
              </w:r>
            </w:hyperlink>
            <w:r w:rsidRPr="000F54D1">
              <w:rPr>
                <w:rFonts w:ascii="Times New Roman" w:eastAsia="Calibri" w:hAnsi="Times New Roman" w:cs="Times New Roman"/>
                <w:sz w:val="20"/>
                <w:szCs w:val="20"/>
              </w:rPr>
              <w:t>.</w:t>
            </w:r>
            <w:r>
              <w:rPr>
                <w:rFonts w:ascii="Times New Roman" w:eastAsia="Calibri" w:hAnsi="Times New Roman" w:cs="Times New Roman"/>
                <w:sz w:val="20"/>
                <w:szCs w:val="20"/>
              </w:rPr>
              <w:t xml:space="preserve"> </w:t>
            </w:r>
          </w:p>
        </w:tc>
      </w:tr>
    </w:tbl>
    <w:p w14:paraId="2E4AAD42"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5FF7402C" w14:textId="77777777" w:rsidTr="002E2C37">
        <w:tc>
          <w:tcPr>
            <w:tcW w:w="9016" w:type="dxa"/>
            <w:gridSpan w:val="2"/>
            <w:shd w:val="clear" w:color="auto" w:fill="F2F2F2" w:themeFill="background1" w:themeFillShade="F2"/>
          </w:tcPr>
          <w:p w14:paraId="01E597A5"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LIK2 Likelihood of entry via human aided primary pathways</w:t>
            </w:r>
          </w:p>
        </w:tc>
      </w:tr>
      <w:tr w:rsidR="002D7080" w:rsidRPr="004D1E6F" w14:paraId="336E3FAF" w14:textId="77777777" w:rsidTr="002E2C37">
        <w:tc>
          <w:tcPr>
            <w:tcW w:w="5524" w:type="dxa"/>
          </w:tcPr>
          <w:p w14:paraId="2B65D0C6"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w:t>
            </w:r>
            <w:r>
              <w:rPr>
                <w:rFonts w:ascii="Times New Roman" w:eastAsia="Times New Roman" w:hAnsi="Times New Roman" w:cs="Times New Roman"/>
                <w:color w:val="000000"/>
                <w:sz w:val="20"/>
                <w:szCs w:val="20"/>
                <w:lang w:eastAsia="en-ZA"/>
              </w:rPr>
              <w:t>Fairly probable (p = 0.5)</w:t>
            </w:r>
          </w:p>
        </w:tc>
        <w:tc>
          <w:tcPr>
            <w:tcW w:w="3492" w:type="dxa"/>
          </w:tcPr>
          <w:p w14:paraId="7C06FEEA"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 xml:space="preserve">Medium </w:t>
            </w:r>
          </w:p>
        </w:tc>
      </w:tr>
      <w:tr w:rsidR="002D7080" w:rsidRPr="004D1E6F" w14:paraId="0AC8E27A" w14:textId="77777777" w:rsidTr="002E2C37">
        <w:tc>
          <w:tcPr>
            <w:tcW w:w="9016" w:type="dxa"/>
            <w:gridSpan w:val="2"/>
          </w:tcPr>
          <w:p w14:paraId="278DECF9" w14:textId="21560ED8"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i/>
                <w:iCs/>
                <w:sz w:val="20"/>
                <w:szCs w:val="20"/>
                <w:lang w:eastAsia="en-ZA"/>
              </w:rPr>
              <w:t xml:space="preserve">Faxonius </w:t>
            </w:r>
            <w:r w:rsidR="008E030D">
              <w:rPr>
                <w:rFonts w:ascii="Times New Roman" w:eastAsia="Times New Roman" w:hAnsi="Times New Roman" w:cs="Times New Roman"/>
                <w:i/>
                <w:iCs/>
                <w:sz w:val="20"/>
                <w:szCs w:val="20"/>
                <w:lang w:eastAsia="en-ZA"/>
              </w:rPr>
              <w:t>virilis</w:t>
            </w:r>
            <w:r w:rsidR="008E030D" w:rsidRPr="00233C97">
              <w:rPr>
                <w:rFonts w:ascii="Times New Roman" w:eastAsia="Times New Roman" w:hAnsi="Times New Roman" w:cs="Times New Roman"/>
                <w:i/>
                <w:iCs/>
                <w:sz w:val="20"/>
                <w:szCs w:val="20"/>
                <w:lang w:eastAsia="en-ZA"/>
              </w:rPr>
              <w:t xml:space="preserve"> </w:t>
            </w:r>
            <w:r>
              <w:rPr>
                <w:rFonts w:ascii="Times New Roman" w:eastAsia="Times New Roman" w:hAnsi="Times New Roman" w:cs="Times New Roman"/>
                <w:sz w:val="20"/>
                <w:szCs w:val="20"/>
                <w:lang w:eastAsia="en-ZA"/>
              </w:rPr>
              <w:t xml:space="preserve">used as bait and often stocked as forage in </w:t>
            </w:r>
            <w:r w:rsidRPr="00131806">
              <w:rPr>
                <w:rFonts w:ascii="Times New Roman" w:eastAsia="Times New Roman" w:hAnsi="Times New Roman" w:cs="Times New Roman"/>
                <w:sz w:val="20"/>
                <w:szCs w:val="20"/>
                <w:lang w:eastAsia="en-ZA"/>
              </w:rPr>
              <w:t>the USA</w:t>
            </w:r>
            <w:r>
              <w:rPr>
                <w:rFonts w:ascii="Times New Roman" w:eastAsia="Times New Roman" w:hAnsi="Times New Roman" w:cs="Times New Roman"/>
                <w:sz w:val="20"/>
                <w:szCs w:val="20"/>
                <w:lang w:eastAsia="en-ZA"/>
              </w:rPr>
              <w:t xml:space="preserve"> (Larson &amp; Olden 2011, Kilian et al. 2012)</w:t>
            </w:r>
            <w:r w:rsidRPr="00233C97">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 It </w:t>
            </w:r>
            <w:r w:rsidRPr="00233C97">
              <w:rPr>
                <w:rFonts w:ascii="Times New Roman" w:eastAsia="Times New Roman" w:hAnsi="Times New Roman" w:cs="Times New Roman"/>
                <w:sz w:val="20"/>
                <w:szCs w:val="20"/>
                <w:lang w:eastAsia="en-ZA"/>
              </w:rPr>
              <w:t>is</w:t>
            </w:r>
            <w:r>
              <w:rPr>
                <w:rFonts w:ascii="Times New Roman" w:eastAsia="Times New Roman" w:hAnsi="Times New Roman" w:cs="Times New Roman"/>
                <w:sz w:val="20"/>
                <w:szCs w:val="20"/>
                <w:lang w:eastAsia="en-ZA"/>
              </w:rPr>
              <w:t xml:space="preserve"> also</w:t>
            </w:r>
            <w:r w:rsidRPr="00233C97">
              <w:rPr>
                <w:rFonts w:ascii="Times New Roman" w:eastAsia="Times New Roman" w:hAnsi="Times New Roman" w:cs="Times New Roman"/>
                <w:sz w:val="20"/>
                <w:szCs w:val="20"/>
                <w:lang w:eastAsia="en-ZA"/>
              </w:rPr>
              <w:t xml:space="preserve"> known to be present in the pet trade industry in </w:t>
            </w:r>
            <w:r>
              <w:rPr>
                <w:rFonts w:ascii="Times New Roman" w:eastAsia="Times New Roman" w:hAnsi="Times New Roman" w:cs="Times New Roman"/>
                <w:sz w:val="20"/>
                <w:szCs w:val="20"/>
                <w:lang w:eastAsia="en-ZA"/>
              </w:rPr>
              <w:t xml:space="preserve">Netherlands and the United Kingdom </w:t>
            </w:r>
            <w:r w:rsidRPr="00233C97">
              <w:rPr>
                <w:rFonts w:ascii="Times New Roman" w:eastAsia="Times New Roman" w:hAnsi="Times New Roman" w:cs="Times New Roman"/>
                <w:sz w:val="20"/>
                <w:szCs w:val="20"/>
                <w:lang w:eastAsia="en-ZA"/>
              </w:rPr>
              <w:fldChar w:fldCharType="begin" w:fldLock="1"/>
            </w:r>
            <w:r w:rsidRPr="00233C97">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"id" : "ITEM-2", "itemData" : { "DOI" : "10.1007/s10530-012-0273-2", "author" : [ { "dropping-particle" : "", "family" : "Chucholl", "given" : "Christoph", "non-dropping-particle" : "", "parse-names" : false, "suffix" : "" } ], "id" : "ITEM-2", "issued" : { "date-parts" : [ [ "2013" ] ] }, "page" : "125-141", "title" : "Invaders for sale : trade and determinants of introduction of ornamental freshwater crayfish", "type" : "article-journal" }, "uris" : [ "http://www.mendeley.com/documents/?uuid=a0511d26-a75d-4f96-93d3-d105f06fe13f" ] } ], "mendeley" : { "formattedCitation" : "(Chucholl 2013, Faulkes 2015)", "plainTextFormattedCitation" : "(Chucholl 2013, Faulkes 2015)" }, "properties" : { "noteIndex" : 0 }, "schema" : "https://github.com/citation-style-language/schema/raw/master/csl-citation.json" }</w:instrText>
            </w:r>
            <w:r w:rsidRPr="00233C97">
              <w:rPr>
                <w:rFonts w:ascii="Times New Roman" w:eastAsia="Times New Roman" w:hAnsi="Times New Roman" w:cs="Times New Roman"/>
                <w:sz w:val="20"/>
                <w:szCs w:val="20"/>
                <w:lang w:eastAsia="en-ZA"/>
              </w:rPr>
              <w:fldChar w:fldCharType="separate"/>
            </w:r>
            <w:r w:rsidRPr="00233C97">
              <w:rPr>
                <w:rFonts w:ascii="Times New Roman" w:eastAsia="Times New Roman" w:hAnsi="Times New Roman" w:cs="Times New Roman"/>
                <w:sz w:val="20"/>
                <w:szCs w:val="20"/>
                <w:lang w:eastAsia="en-ZA"/>
              </w:rPr>
              <w:t>(Chucholl 2013; Faulkes 2015)</w:t>
            </w:r>
            <w:r w:rsidRPr="00233C97">
              <w:rPr>
                <w:rFonts w:ascii="Times New Roman" w:eastAsia="Times New Roman" w:hAnsi="Times New Roman" w:cs="Times New Roman"/>
                <w:sz w:val="20"/>
                <w:szCs w:val="20"/>
                <w:lang w:eastAsia="en-ZA"/>
              </w:rPr>
              <w:fldChar w:fldCharType="end"/>
            </w:r>
            <w:r w:rsidRPr="00233C97">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color w:val="000000"/>
                <w:sz w:val="20"/>
                <w:szCs w:val="20"/>
                <w:lang w:eastAsia="en-ZA"/>
              </w:rPr>
              <w:t>It is likely that it could be present in the pet trade in South Africa, but this needs to be assessed.</w:t>
            </w:r>
          </w:p>
        </w:tc>
      </w:tr>
      <w:tr w:rsidR="002D7080" w:rsidRPr="004D1E6F" w14:paraId="132F67AF" w14:textId="77777777" w:rsidTr="002E2C37">
        <w:tc>
          <w:tcPr>
            <w:tcW w:w="9016" w:type="dxa"/>
            <w:gridSpan w:val="2"/>
          </w:tcPr>
          <w:p w14:paraId="57A529E0"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7644621E" w14:textId="77777777" w:rsidR="002D7080"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hyperlink w:history="1">
              <w:r w:rsidRPr="004D1E6F">
                <w:rPr>
                  <w:rStyle w:val="Hyperlink"/>
                  <w:rFonts w:ascii="Times New Roman" w:eastAsia="Times New Roman" w:hAnsi="Times New Roman" w:cs="Times New Roman"/>
                  <w:sz w:val="20"/>
                  <w:szCs w:val="20"/>
                  <w:lang w:eastAsia="en-ZA"/>
                </w:rPr>
                <w:t>https://doi.org/10.1007/s10530-012-0273-2</w:t>
              </w:r>
            </w:hyperlink>
            <w:r w:rsidRPr="004D1E6F">
              <w:rPr>
                <w:rFonts w:ascii="Times New Roman" w:eastAsia="Times New Roman" w:hAnsi="Times New Roman" w:cs="Times New Roman"/>
                <w:sz w:val="20"/>
                <w:szCs w:val="20"/>
                <w:lang w:eastAsia="en-ZA"/>
              </w:rPr>
              <w:t>.</w:t>
            </w:r>
          </w:p>
          <w:p w14:paraId="387520BF" w14:textId="77777777" w:rsidR="002D7080"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Faulkes, Z</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2015</w:t>
            </w:r>
            <w:r>
              <w:rPr>
                <w:rFonts w:ascii="Times New Roman" w:eastAsia="Times New Roman" w:hAnsi="Times New Roman" w:cs="Times New Roman"/>
                <w:color w:val="000000"/>
                <w:sz w:val="20"/>
                <w:szCs w:val="20"/>
                <w:lang w:eastAsia="en-ZA"/>
              </w:rPr>
              <w:t>, ‘</w:t>
            </w:r>
            <w:r w:rsidRPr="004D1E6F">
              <w:rPr>
                <w:rFonts w:ascii="Times New Roman" w:eastAsia="Times New Roman" w:hAnsi="Times New Roman" w:cs="Times New Roman"/>
                <w:color w:val="000000"/>
                <w:sz w:val="20"/>
                <w:szCs w:val="20"/>
                <w:lang w:eastAsia="en-ZA"/>
              </w:rPr>
              <w:t>The global trade in crayfish as pets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Crustacean Research</w:t>
            </w:r>
            <w:r w:rsidRPr="009A7754">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44</w:t>
            </w:r>
            <w:r>
              <w:rPr>
                <w:rFonts w:ascii="Times New Roman" w:eastAsia="Times New Roman" w:hAnsi="Times New Roman" w:cs="Times New Roman"/>
                <w:iCs/>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75–92</w:t>
            </w:r>
            <w:r>
              <w:rPr>
                <w:rFonts w:ascii="Times New Roman" w:eastAsia="Times New Roman" w:hAnsi="Times New Roman" w:cs="Times New Roman"/>
                <w:color w:val="000000"/>
                <w:sz w:val="20"/>
                <w:szCs w:val="20"/>
                <w:lang w:eastAsia="en-ZA"/>
              </w:rPr>
              <w:t>.</w:t>
            </w:r>
            <w:r w:rsidRPr="00BA4DB7">
              <w:rPr>
                <w:rFonts w:ascii="Times New Roman" w:eastAsia="Times New Roman" w:hAnsi="Times New Roman" w:cs="Times New Roman"/>
                <w:color w:val="000000"/>
                <w:sz w:val="20"/>
                <w:szCs w:val="20"/>
                <w:lang w:eastAsia="en-ZA"/>
              </w:rPr>
              <w:t xml:space="preserve"> </w:t>
            </w:r>
            <w:hyperlink r:id="rId384" w:history="1">
              <w:r w:rsidRPr="00BA4DB7">
                <w:rPr>
                  <w:rStyle w:val="Hyperlink"/>
                  <w:rFonts w:ascii="Times New Roman" w:eastAsia="Times New Roman" w:hAnsi="Times New Roman" w:cs="Times New Roman"/>
                  <w:sz w:val="20"/>
                  <w:szCs w:val="20"/>
                  <w:lang w:eastAsia="en-ZA"/>
                </w:rPr>
                <w:t>https://doi.org/10.18353/crustacea.44.0_75</w:t>
              </w:r>
            </w:hyperlink>
            <w:r w:rsidRPr="00BA4DB7">
              <w:rPr>
                <w:rFonts w:ascii="Times New Roman" w:eastAsia="Times New Roman" w:hAnsi="Times New Roman" w:cs="Times New Roman"/>
                <w:color w:val="000000"/>
                <w:sz w:val="20"/>
                <w:szCs w:val="20"/>
                <w:lang w:eastAsia="en-ZA"/>
              </w:rPr>
              <w:t>.</w:t>
            </w:r>
          </w:p>
          <w:p w14:paraId="0075FF01" w14:textId="77777777" w:rsidR="002D7080" w:rsidRDefault="002D7080" w:rsidP="002E2C37">
            <w:pPr>
              <w:ind w:left="720" w:hanging="720"/>
              <w:contextualSpacing/>
              <w:jc w:val="both"/>
              <w:rPr>
                <w:rFonts w:ascii="Times New Roman" w:hAnsi="Times New Roman" w:cs="Times New Roman"/>
                <w:color w:val="000000"/>
                <w:sz w:val="20"/>
                <w:szCs w:val="20"/>
              </w:rPr>
            </w:pPr>
            <w:r w:rsidRPr="00131806">
              <w:rPr>
                <w:rFonts w:ascii="Times New Roman" w:hAnsi="Times New Roman" w:cs="Times New Roman"/>
                <w:color w:val="000000"/>
                <w:sz w:val="20"/>
                <w:szCs w:val="20"/>
              </w:rPr>
              <w:t>Kilian, J.V., Klauda, R.J.</w:t>
            </w:r>
            <w:r>
              <w:rPr>
                <w:rFonts w:ascii="Times New Roman" w:hAnsi="Times New Roman" w:cs="Times New Roman"/>
                <w:color w:val="000000"/>
                <w:sz w:val="20"/>
                <w:szCs w:val="20"/>
              </w:rPr>
              <w:t xml:space="preserve">, </w:t>
            </w:r>
            <w:r w:rsidRPr="00131806">
              <w:rPr>
                <w:rFonts w:ascii="Times New Roman" w:hAnsi="Times New Roman" w:cs="Times New Roman"/>
                <w:color w:val="000000"/>
                <w:sz w:val="20"/>
                <w:szCs w:val="20"/>
              </w:rPr>
              <w:t>WIdman,</w:t>
            </w:r>
            <w:r>
              <w:rPr>
                <w:rFonts w:ascii="Times New Roman" w:hAnsi="Times New Roman" w:cs="Times New Roman"/>
                <w:color w:val="000000"/>
                <w:sz w:val="20"/>
                <w:szCs w:val="20"/>
              </w:rPr>
              <w:t xml:space="preserve"> S.,</w:t>
            </w:r>
            <w:r w:rsidRPr="00131806">
              <w:rPr>
                <w:rFonts w:ascii="Times New Roman" w:hAnsi="Times New Roman" w:cs="Times New Roman"/>
                <w:color w:val="000000"/>
                <w:sz w:val="20"/>
                <w:szCs w:val="20"/>
              </w:rPr>
              <w:t xml:space="preserve"> Kashiwagi,</w:t>
            </w:r>
            <w:r>
              <w:rPr>
                <w:rFonts w:ascii="Times New Roman" w:hAnsi="Times New Roman" w:cs="Times New Roman"/>
                <w:color w:val="000000"/>
                <w:sz w:val="20"/>
                <w:szCs w:val="20"/>
              </w:rPr>
              <w:t xml:space="preserve"> M., </w:t>
            </w:r>
            <w:r w:rsidRPr="00131806">
              <w:rPr>
                <w:rFonts w:ascii="Times New Roman" w:hAnsi="Times New Roman" w:cs="Times New Roman"/>
                <w:color w:val="000000"/>
                <w:sz w:val="20"/>
                <w:szCs w:val="20"/>
              </w:rPr>
              <w:t>Bourquin,</w:t>
            </w:r>
            <w:r>
              <w:rPr>
                <w:rFonts w:ascii="Times New Roman" w:hAnsi="Times New Roman" w:cs="Times New Roman"/>
                <w:color w:val="000000"/>
                <w:sz w:val="20"/>
                <w:szCs w:val="20"/>
              </w:rPr>
              <w:t xml:space="preserve"> R.,</w:t>
            </w:r>
            <w:r w:rsidRPr="00131806">
              <w:rPr>
                <w:rFonts w:ascii="Times New Roman" w:hAnsi="Times New Roman" w:cs="Times New Roman"/>
                <w:color w:val="000000"/>
                <w:sz w:val="20"/>
                <w:szCs w:val="20"/>
              </w:rPr>
              <w:t xml:space="preserve"> Weglein,</w:t>
            </w:r>
            <w:r>
              <w:rPr>
                <w:rFonts w:ascii="Times New Roman" w:hAnsi="Times New Roman" w:cs="Times New Roman"/>
                <w:color w:val="000000"/>
                <w:sz w:val="20"/>
                <w:szCs w:val="20"/>
              </w:rPr>
              <w:t xml:space="preserve"> S. &amp;</w:t>
            </w:r>
            <w:r w:rsidRPr="00131806">
              <w:rPr>
                <w:rFonts w:ascii="Times New Roman" w:hAnsi="Times New Roman" w:cs="Times New Roman"/>
                <w:color w:val="000000"/>
                <w:sz w:val="20"/>
                <w:szCs w:val="20"/>
              </w:rPr>
              <w:t xml:space="preserve"> Schuster</w:t>
            </w:r>
            <w:r>
              <w:rPr>
                <w:rFonts w:ascii="Times New Roman" w:hAnsi="Times New Roman" w:cs="Times New Roman"/>
                <w:color w:val="000000"/>
                <w:sz w:val="20"/>
                <w:szCs w:val="20"/>
              </w:rPr>
              <w:t>, J.,</w:t>
            </w:r>
            <w:r w:rsidRPr="00131806">
              <w:rPr>
                <w:rFonts w:ascii="Times New Roman" w:hAnsi="Times New Roman" w:cs="Times New Roman"/>
                <w:color w:val="000000"/>
                <w:sz w:val="20"/>
                <w:szCs w:val="20"/>
              </w:rPr>
              <w:t xml:space="preserve"> 2012</w:t>
            </w:r>
            <w:r>
              <w:rPr>
                <w:rFonts w:ascii="Times New Roman" w:hAnsi="Times New Roman" w:cs="Times New Roman"/>
                <w:color w:val="000000"/>
                <w:sz w:val="20"/>
                <w:szCs w:val="20"/>
              </w:rPr>
              <w:t>,</w:t>
            </w:r>
            <w:r w:rsidRPr="00131806">
              <w:rPr>
                <w:rFonts w:ascii="Times New Roman" w:hAnsi="Times New Roman" w:cs="Times New Roman"/>
                <w:color w:val="000000"/>
                <w:sz w:val="20"/>
                <w:szCs w:val="20"/>
              </w:rPr>
              <w:t xml:space="preserve"> </w:t>
            </w:r>
            <w:r>
              <w:rPr>
                <w:rFonts w:ascii="Times New Roman" w:hAnsi="Times New Roman" w:cs="Times New Roman"/>
                <w:color w:val="000000"/>
                <w:sz w:val="20"/>
                <w:szCs w:val="20"/>
              </w:rPr>
              <w:t>‘</w:t>
            </w:r>
            <w:r w:rsidRPr="00131806">
              <w:rPr>
                <w:rFonts w:ascii="Times New Roman" w:hAnsi="Times New Roman" w:cs="Times New Roman"/>
                <w:color w:val="000000"/>
                <w:sz w:val="20"/>
                <w:szCs w:val="20"/>
              </w:rPr>
              <w:t>An assessment of a bait industry and angler behavior as a vector of invasive species</w:t>
            </w:r>
            <w:r>
              <w:rPr>
                <w:rFonts w:ascii="Times New Roman" w:hAnsi="Times New Roman" w:cs="Times New Roman"/>
                <w:color w:val="000000"/>
                <w:sz w:val="20"/>
                <w:szCs w:val="20"/>
              </w:rPr>
              <w:t xml:space="preserve">’, </w:t>
            </w:r>
            <w:r w:rsidRPr="00131806">
              <w:rPr>
                <w:rFonts w:ascii="Times New Roman" w:hAnsi="Times New Roman" w:cs="Times New Roman"/>
                <w:i/>
                <w:iCs/>
                <w:color w:val="000000"/>
                <w:sz w:val="20"/>
                <w:szCs w:val="20"/>
              </w:rPr>
              <w:t>Biological Invasions</w:t>
            </w:r>
            <w:r w:rsidRPr="00C572F6">
              <w:rPr>
                <w:rFonts w:ascii="Times New Roman" w:hAnsi="Times New Roman" w:cs="Times New Roman"/>
                <w:color w:val="000000"/>
                <w:sz w:val="20"/>
                <w:szCs w:val="20"/>
              </w:rPr>
              <w:t>,</w:t>
            </w:r>
            <w:r w:rsidRPr="00131806">
              <w:rPr>
                <w:rFonts w:ascii="Times New Roman" w:hAnsi="Times New Roman" w:cs="Times New Roman"/>
                <w:i/>
                <w:iCs/>
                <w:color w:val="000000"/>
                <w:sz w:val="20"/>
                <w:szCs w:val="20"/>
              </w:rPr>
              <w:t xml:space="preserve"> </w:t>
            </w:r>
            <w:r w:rsidRPr="00131806">
              <w:rPr>
                <w:rFonts w:ascii="Times New Roman" w:hAnsi="Times New Roman" w:cs="Times New Roman"/>
                <w:color w:val="000000"/>
                <w:sz w:val="20"/>
                <w:szCs w:val="20"/>
              </w:rPr>
              <w:t>14(7)</w:t>
            </w:r>
            <w:r>
              <w:rPr>
                <w:rFonts w:ascii="Times New Roman" w:hAnsi="Times New Roman" w:cs="Times New Roman"/>
                <w:color w:val="000000"/>
                <w:sz w:val="20"/>
                <w:szCs w:val="20"/>
              </w:rPr>
              <w:t xml:space="preserve">, </w:t>
            </w:r>
            <w:r w:rsidRPr="00131806">
              <w:rPr>
                <w:rFonts w:ascii="Times New Roman" w:hAnsi="Times New Roman" w:cs="Times New Roman"/>
                <w:color w:val="000000"/>
                <w:sz w:val="20"/>
                <w:szCs w:val="20"/>
              </w:rPr>
              <w:t>1469-1481.</w:t>
            </w:r>
            <w:r>
              <w:rPr>
                <w:rFonts w:ascii="Times New Roman" w:hAnsi="Times New Roman" w:cs="Times New Roman"/>
                <w:color w:val="000000"/>
                <w:sz w:val="20"/>
                <w:szCs w:val="20"/>
              </w:rPr>
              <w:t xml:space="preserve"> </w:t>
            </w:r>
            <w:hyperlink r:id="rId385" w:history="1">
              <w:r w:rsidRPr="00BA4DB7">
                <w:rPr>
                  <w:rStyle w:val="Hyperlink"/>
                  <w:rFonts w:ascii="Times New Roman" w:hAnsi="Times New Roman" w:cs="Times New Roman"/>
                  <w:sz w:val="20"/>
                  <w:szCs w:val="20"/>
                </w:rPr>
                <w:t>https://doi.org/10.1007/s10530-012-0173-5</w:t>
              </w:r>
            </w:hyperlink>
            <w:r w:rsidRPr="00BA4DB7">
              <w:rPr>
                <w:rFonts w:ascii="Times New Roman" w:hAnsi="Times New Roman" w:cs="Times New Roman"/>
                <w:color w:val="000000"/>
                <w:sz w:val="20"/>
                <w:szCs w:val="20"/>
              </w:rPr>
              <w:t>.</w:t>
            </w:r>
          </w:p>
          <w:p w14:paraId="49C48502" w14:textId="77777777" w:rsidR="002D7080" w:rsidRPr="004D1E6F" w:rsidRDefault="002D7080" w:rsidP="002E2C37">
            <w:pPr>
              <w:ind w:left="540" w:hanging="540"/>
              <w:contextualSpacing/>
              <w:jc w:val="both"/>
              <w:rPr>
                <w:rFonts w:ascii="Times New Roman" w:eastAsia="Times New Roman" w:hAnsi="Times New Roman" w:cs="Times New Roman"/>
                <w:iCs/>
                <w:sz w:val="20"/>
                <w:szCs w:val="20"/>
                <w:lang w:eastAsia="en-ZA"/>
              </w:rPr>
            </w:pPr>
            <w:r w:rsidRPr="00131806">
              <w:rPr>
                <w:rFonts w:ascii="Times New Roman" w:hAnsi="Times New Roman" w:cs="Times New Roman"/>
                <w:color w:val="000000"/>
                <w:sz w:val="20"/>
                <w:szCs w:val="20"/>
              </w:rPr>
              <w:t xml:space="preserve">Larson, E.R. </w:t>
            </w:r>
            <w:r>
              <w:rPr>
                <w:rFonts w:ascii="Times New Roman" w:hAnsi="Times New Roman" w:cs="Times New Roman"/>
                <w:color w:val="000000"/>
                <w:sz w:val="20"/>
                <w:szCs w:val="20"/>
              </w:rPr>
              <w:t xml:space="preserve">&amp; </w:t>
            </w:r>
            <w:r w:rsidRPr="00131806">
              <w:rPr>
                <w:rFonts w:ascii="Times New Roman" w:hAnsi="Times New Roman" w:cs="Times New Roman"/>
                <w:color w:val="000000"/>
                <w:sz w:val="20"/>
                <w:szCs w:val="20"/>
              </w:rPr>
              <w:t>Olden</w:t>
            </w:r>
            <w:r>
              <w:rPr>
                <w:rFonts w:ascii="Times New Roman" w:hAnsi="Times New Roman" w:cs="Times New Roman"/>
                <w:color w:val="000000"/>
                <w:sz w:val="20"/>
                <w:szCs w:val="20"/>
              </w:rPr>
              <w:t xml:space="preserve">, J.D., </w:t>
            </w:r>
            <w:r w:rsidRPr="00131806">
              <w:rPr>
                <w:rFonts w:ascii="Times New Roman" w:hAnsi="Times New Roman" w:cs="Times New Roman"/>
                <w:color w:val="000000"/>
                <w:sz w:val="20"/>
                <w:szCs w:val="20"/>
              </w:rPr>
              <w:t>2011</w:t>
            </w:r>
            <w:r>
              <w:rPr>
                <w:rFonts w:ascii="Times New Roman" w:hAnsi="Times New Roman" w:cs="Times New Roman"/>
                <w:color w:val="000000"/>
                <w:sz w:val="20"/>
                <w:szCs w:val="20"/>
              </w:rPr>
              <w:t>, ‘</w:t>
            </w:r>
            <w:r w:rsidRPr="00131806">
              <w:rPr>
                <w:rFonts w:ascii="Times New Roman" w:hAnsi="Times New Roman" w:cs="Times New Roman"/>
                <w:color w:val="000000"/>
                <w:sz w:val="20"/>
                <w:szCs w:val="20"/>
              </w:rPr>
              <w:t>The state of crayfish in the Pacific Northwest</w:t>
            </w:r>
            <w:r>
              <w:rPr>
                <w:rFonts w:ascii="Times New Roman" w:hAnsi="Times New Roman" w:cs="Times New Roman"/>
                <w:color w:val="000000"/>
                <w:sz w:val="20"/>
                <w:szCs w:val="20"/>
              </w:rPr>
              <w:t xml:space="preserve">’, </w:t>
            </w:r>
            <w:r w:rsidRPr="00131806">
              <w:rPr>
                <w:rFonts w:ascii="Times New Roman" w:hAnsi="Times New Roman" w:cs="Times New Roman"/>
                <w:i/>
                <w:iCs/>
                <w:color w:val="000000"/>
                <w:sz w:val="20"/>
                <w:szCs w:val="20"/>
              </w:rPr>
              <w:t>Fisheries</w:t>
            </w:r>
            <w:r w:rsidRPr="002C51C8">
              <w:rPr>
                <w:rFonts w:ascii="Times New Roman" w:hAnsi="Times New Roman" w:cs="Times New Roman"/>
                <w:color w:val="000000"/>
                <w:sz w:val="20"/>
                <w:szCs w:val="20"/>
              </w:rPr>
              <w:t>,</w:t>
            </w:r>
            <w:r w:rsidRPr="00131806">
              <w:rPr>
                <w:rFonts w:ascii="Times New Roman" w:hAnsi="Times New Roman" w:cs="Times New Roman"/>
                <w:color w:val="000000"/>
                <w:sz w:val="20"/>
                <w:szCs w:val="20"/>
              </w:rPr>
              <w:t xml:space="preserve"> 36(2)</w:t>
            </w:r>
            <w:r>
              <w:rPr>
                <w:rFonts w:ascii="Times New Roman" w:hAnsi="Times New Roman" w:cs="Times New Roman"/>
                <w:color w:val="000000"/>
                <w:sz w:val="20"/>
                <w:szCs w:val="20"/>
              </w:rPr>
              <w:t xml:space="preserve">, </w:t>
            </w:r>
            <w:r w:rsidRPr="00131806">
              <w:rPr>
                <w:rFonts w:ascii="Times New Roman" w:hAnsi="Times New Roman" w:cs="Times New Roman"/>
                <w:color w:val="000000"/>
                <w:sz w:val="20"/>
                <w:szCs w:val="20"/>
              </w:rPr>
              <w:t>60-73.</w:t>
            </w:r>
            <w:r>
              <w:rPr>
                <w:rFonts w:ascii="Times New Roman" w:hAnsi="Times New Roman" w:cs="Times New Roman"/>
                <w:color w:val="000000"/>
                <w:sz w:val="20"/>
                <w:szCs w:val="20"/>
              </w:rPr>
              <w:t xml:space="preserve"> </w:t>
            </w:r>
            <w:hyperlink r:id="rId386" w:history="1">
              <w:r w:rsidRPr="00BA4DB7">
                <w:rPr>
                  <w:rStyle w:val="Hyperlink"/>
                  <w:rFonts w:ascii="Times New Roman" w:hAnsi="Times New Roman" w:cs="Times New Roman"/>
                  <w:sz w:val="20"/>
                  <w:szCs w:val="20"/>
                </w:rPr>
                <w:t>https://doi.org/10.1577/03632415.2011.10389069</w:t>
              </w:r>
            </w:hyperlink>
          </w:p>
        </w:tc>
      </w:tr>
    </w:tbl>
    <w:p w14:paraId="1CA96E3B"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50E9B7B7" w14:textId="77777777" w:rsidTr="002E2C37">
        <w:tc>
          <w:tcPr>
            <w:tcW w:w="9016" w:type="dxa"/>
            <w:gridSpan w:val="2"/>
            <w:shd w:val="clear" w:color="auto" w:fill="F2F2F2" w:themeFill="background1" w:themeFillShade="F2"/>
          </w:tcPr>
          <w:p w14:paraId="2AF6961E"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LIK3 Habitat suitability</w:t>
            </w:r>
          </w:p>
        </w:tc>
      </w:tr>
      <w:tr w:rsidR="002D7080" w:rsidRPr="004D1E6F" w14:paraId="1EDF6159" w14:textId="77777777" w:rsidTr="002E2C37">
        <w:tc>
          <w:tcPr>
            <w:tcW w:w="5524" w:type="dxa"/>
          </w:tcPr>
          <w:p w14:paraId="3139D7E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w:t>
            </w:r>
            <w:r>
              <w:rPr>
                <w:rFonts w:ascii="Times New Roman" w:eastAsia="Times New Roman" w:hAnsi="Times New Roman" w:cs="Times New Roman"/>
                <w:color w:val="000000"/>
                <w:sz w:val="20"/>
                <w:szCs w:val="20"/>
                <w:lang w:eastAsia="en-ZA"/>
              </w:rPr>
              <w:t xml:space="preserve"> (p = 0.5)</w:t>
            </w:r>
          </w:p>
        </w:tc>
        <w:tc>
          <w:tcPr>
            <w:tcW w:w="3492" w:type="dxa"/>
          </w:tcPr>
          <w:p w14:paraId="131B7189"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r>
              <w:rPr>
                <w:rFonts w:ascii="Times New Roman" w:eastAsia="Times New Roman" w:hAnsi="Times New Roman" w:cs="Times New Roman"/>
                <w:color w:val="000000"/>
                <w:sz w:val="20"/>
                <w:szCs w:val="20"/>
                <w:lang w:eastAsia="en-ZA"/>
              </w:rPr>
              <w:t xml:space="preserve"> Medium</w:t>
            </w:r>
          </w:p>
        </w:tc>
      </w:tr>
      <w:tr w:rsidR="002D7080" w:rsidRPr="004D1E6F" w14:paraId="5BA05AB6" w14:textId="77777777" w:rsidTr="002E2C37">
        <w:tc>
          <w:tcPr>
            <w:tcW w:w="9016" w:type="dxa"/>
            <w:gridSpan w:val="2"/>
          </w:tcPr>
          <w:p w14:paraId="7AA65F3B" w14:textId="77777777" w:rsidR="002D7080" w:rsidRPr="004D1E6F" w:rsidRDefault="002D7080" w:rsidP="002E2C37">
            <w:pPr>
              <w:autoSpaceDE w:val="0"/>
              <w:autoSpaceDN w:val="0"/>
              <w:adjustRightInd w:val="0"/>
              <w:jc w:val="both"/>
              <w:rPr>
                <w:rFonts w:ascii="Times New Roman" w:eastAsia="Calibri" w:hAnsi="Times New Roman" w:cs="Times New Roman"/>
                <w:sz w:val="20"/>
                <w:szCs w:val="20"/>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4D1E6F">
              <w:rPr>
                <w:rFonts w:ascii="Times New Roman" w:eastAsia="Calibri" w:hAnsi="Times New Roman" w:cs="Times New Roman"/>
                <w:i/>
                <w:iCs/>
                <w:sz w:val="20"/>
                <w:szCs w:val="20"/>
              </w:rPr>
              <w:t xml:space="preserve">Faxonius virilis </w:t>
            </w:r>
            <w:r w:rsidRPr="004D1E6F">
              <w:rPr>
                <w:rFonts w:ascii="Times New Roman" w:eastAsia="Calibri" w:hAnsi="Times New Roman" w:cs="Times New Roman"/>
                <w:sz w:val="20"/>
                <w:szCs w:val="20"/>
              </w:rPr>
              <w:t>may inhabit rivers, streams, lakes, marshes and ponds that are permanent and well-oxygenated (GISD 2015). They prefer warm waters of moderate turbidity with cobble or rocky substrates and abundant logs, rocks, vegetation, and other debris to use as refuge (Soes &amp; Koese 2010).</w:t>
            </w:r>
            <w:r>
              <w:rPr>
                <w:rFonts w:ascii="Times New Roman" w:eastAsia="Calibri" w:hAnsi="Times New Roman" w:cs="Times New Roman"/>
                <w:sz w:val="20"/>
                <w:szCs w:val="20"/>
              </w:rPr>
              <w:t xml:space="preserve"> These habitats are available is South Africa</w:t>
            </w:r>
          </w:p>
        </w:tc>
      </w:tr>
      <w:tr w:rsidR="002D7080" w:rsidRPr="004D1E6F" w14:paraId="6736BA24" w14:textId="77777777" w:rsidTr="002E2C37">
        <w:tc>
          <w:tcPr>
            <w:tcW w:w="9016" w:type="dxa"/>
            <w:gridSpan w:val="2"/>
          </w:tcPr>
          <w:p w14:paraId="31C4D0C2"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668977BE" w14:textId="77777777" w:rsidR="002D7080" w:rsidRPr="004D1E6F" w:rsidRDefault="002D7080" w:rsidP="006728DB">
            <w:pPr>
              <w:ind w:left="539" w:hanging="539"/>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Global Invasive Species Database (GISD) 2015. Species profile </w:t>
            </w:r>
            <w:r w:rsidRPr="004D1E6F">
              <w:rPr>
                <w:rFonts w:ascii="Times New Roman" w:eastAsia="Times New Roman" w:hAnsi="Times New Roman" w:cs="Times New Roman"/>
                <w:i/>
                <w:iCs/>
                <w:color w:val="000000"/>
                <w:sz w:val="20"/>
                <w:szCs w:val="20"/>
                <w:lang w:eastAsia="en-ZA"/>
              </w:rPr>
              <w:t>Orconectes virilis</w:t>
            </w:r>
            <w:r w:rsidRPr="004D1E6F">
              <w:rPr>
                <w:rFonts w:ascii="Times New Roman" w:eastAsia="Times New Roman" w:hAnsi="Times New Roman" w:cs="Times New Roman"/>
                <w:color w:val="000000"/>
                <w:sz w:val="20"/>
                <w:szCs w:val="20"/>
                <w:lang w:eastAsia="en-ZA"/>
              </w:rPr>
              <w:t>. Available from: http://www.iucngisd.org/gisd/species.php?sc=218 [Accessed 03 July 2018].</w:t>
            </w:r>
          </w:p>
          <w:p w14:paraId="42C3A8FD" w14:textId="77777777" w:rsidR="002D7080" w:rsidRPr="004D1E6F" w:rsidRDefault="002D7080" w:rsidP="006728DB">
            <w:pPr>
              <w:ind w:left="539" w:hanging="539"/>
              <w:contextualSpacing/>
              <w:jc w:val="both"/>
              <w:rPr>
                <w:rFonts w:ascii="Times New Roman" w:eastAsia="Times New Roman" w:hAnsi="Times New Roman" w:cs="Times New Roman"/>
                <w:iCs/>
                <w:sz w:val="20"/>
                <w:szCs w:val="20"/>
                <w:lang w:eastAsia="en-ZA"/>
              </w:rPr>
            </w:pPr>
            <w:r w:rsidRPr="004D1E6F">
              <w:rPr>
                <w:rFonts w:ascii="Times New Roman" w:eastAsia="Times New Roman" w:hAnsi="Times New Roman" w:cs="Times New Roman"/>
                <w:sz w:val="20"/>
                <w:szCs w:val="20"/>
                <w:lang w:eastAsia="en-ZA"/>
              </w:rPr>
              <w:t xml:space="preserve">Soes, D.M. &amp; Koese, B., 2010, ‘Invasive crayfish in the Netherlands: A preliminary risk analysis. </w:t>
            </w:r>
            <w:r w:rsidRPr="004D1E6F">
              <w:rPr>
                <w:rFonts w:ascii="Times New Roman" w:eastAsia="Times New Roman" w:hAnsi="Times New Roman" w:cs="Times New Roman"/>
                <w:i/>
                <w:iCs/>
                <w:sz w:val="20"/>
                <w:szCs w:val="20"/>
                <w:lang w:eastAsia="en-ZA"/>
              </w:rPr>
              <w:t>Interim report, Bureau Waardenburg bv, Stichting EIS-Nederland’</w:t>
            </w:r>
            <w:r w:rsidRPr="004D1E6F">
              <w:rPr>
                <w:rFonts w:ascii="Times New Roman" w:eastAsia="Times New Roman" w:hAnsi="Times New Roman" w:cs="Times New Roman"/>
                <w:sz w:val="20"/>
                <w:szCs w:val="20"/>
                <w:lang w:eastAsia="en-ZA"/>
              </w:rPr>
              <w:t>, Invasive Alien Species Team, Waardenburg</w:t>
            </w:r>
            <w:r>
              <w:rPr>
                <w:rFonts w:ascii="Times New Roman" w:eastAsia="Times New Roman" w:hAnsi="Times New Roman" w:cs="Times New Roman"/>
                <w:sz w:val="20"/>
                <w:szCs w:val="20"/>
                <w:lang w:eastAsia="en-ZA"/>
              </w:rPr>
              <w:t>.</w:t>
            </w:r>
          </w:p>
        </w:tc>
      </w:tr>
    </w:tbl>
    <w:p w14:paraId="398FD4D0"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119F96B4" w14:textId="77777777" w:rsidTr="002E2C37">
        <w:tc>
          <w:tcPr>
            <w:tcW w:w="9016" w:type="dxa"/>
            <w:gridSpan w:val="2"/>
            <w:shd w:val="clear" w:color="auto" w:fill="F2F2F2" w:themeFill="background1" w:themeFillShade="F2"/>
          </w:tcPr>
          <w:p w14:paraId="5DE41251"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LIK4 Climate suitability</w:t>
            </w:r>
          </w:p>
        </w:tc>
      </w:tr>
      <w:tr w:rsidR="002D7080" w:rsidRPr="004D1E6F" w14:paraId="246C89B3" w14:textId="77777777" w:rsidTr="002E2C37">
        <w:tc>
          <w:tcPr>
            <w:tcW w:w="5524" w:type="dxa"/>
          </w:tcPr>
          <w:p w14:paraId="326532BC"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w:t>
            </w:r>
            <w:r>
              <w:rPr>
                <w:rFonts w:ascii="Times New Roman" w:eastAsia="Times New Roman" w:hAnsi="Times New Roman" w:cs="Times New Roman"/>
                <w:color w:val="000000"/>
                <w:sz w:val="20"/>
                <w:szCs w:val="20"/>
                <w:lang w:eastAsia="en-ZA"/>
              </w:rPr>
              <w:t xml:space="preserve"> (p = 0.5)</w:t>
            </w:r>
          </w:p>
        </w:tc>
        <w:tc>
          <w:tcPr>
            <w:tcW w:w="3492" w:type="dxa"/>
          </w:tcPr>
          <w:p w14:paraId="6F582ABD"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4BE9B56D" w14:textId="77777777" w:rsidTr="002E2C37">
        <w:tc>
          <w:tcPr>
            <w:tcW w:w="9016" w:type="dxa"/>
            <w:gridSpan w:val="2"/>
          </w:tcPr>
          <w:p w14:paraId="72EB6760" w14:textId="77777777" w:rsidR="002D7080" w:rsidRPr="004D1E6F" w:rsidRDefault="002D7080" w:rsidP="002E2C37">
            <w:pPr>
              <w:jc w:val="both"/>
              <w:rPr>
                <w:rFonts w:ascii="Times New Roman" w:eastAsia="Calibri" w:hAnsi="Times New Roman" w:cs="Times New Roman"/>
                <w:sz w:val="20"/>
                <w:szCs w:val="20"/>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Calibri" w:hAnsi="Times New Roman" w:cs="Times New Roman"/>
                <w:i/>
                <w:iCs/>
                <w:sz w:val="20"/>
                <w:szCs w:val="20"/>
              </w:rPr>
              <w:t xml:space="preserve">Faxonius virilis </w:t>
            </w:r>
            <w:r w:rsidRPr="004D1E6F">
              <w:rPr>
                <w:rFonts w:ascii="Times New Roman" w:eastAsia="Calibri" w:hAnsi="Times New Roman" w:cs="Times New Roman"/>
                <w:sz w:val="20"/>
                <w:szCs w:val="20"/>
              </w:rPr>
              <w:t>can survive a temperature range of 0-32°C and has a preferred temperature range of 24-25°C (GISD 2015). Its movement is halted at temperatures is below 10°C (GISD 2015).</w:t>
            </w:r>
            <w:r>
              <w:rPr>
                <w:rFonts w:ascii="Times New Roman" w:eastAsia="Calibri" w:hAnsi="Times New Roman" w:cs="Times New Roman"/>
                <w:sz w:val="20"/>
                <w:szCs w:val="20"/>
              </w:rPr>
              <w:t xml:space="preserve"> It known to occur in several climate types that include Tropical and dry savanna, mediterranean, humid subtropical that are known to occur in South Africa (CABI 2024).</w:t>
            </w:r>
          </w:p>
        </w:tc>
      </w:tr>
      <w:tr w:rsidR="002D7080" w:rsidRPr="004D1E6F" w14:paraId="5A83711B" w14:textId="77777777" w:rsidTr="002E2C37">
        <w:tc>
          <w:tcPr>
            <w:tcW w:w="9016" w:type="dxa"/>
            <w:gridSpan w:val="2"/>
          </w:tcPr>
          <w:p w14:paraId="5FE1F1A2" w14:textId="77777777" w:rsidR="002D7080" w:rsidRPr="000E6BA8" w:rsidRDefault="002D7080" w:rsidP="002E2C37">
            <w:pPr>
              <w:contextualSpacing/>
              <w:jc w:val="both"/>
              <w:rPr>
                <w:rFonts w:ascii="Times New Roman" w:eastAsia="Times New Roman" w:hAnsi="Times New Roman" w:cs="Times New Roman"/>
                <w:color w:val="000000"/>
                <w:sz w:val="20"/>
                <w:szCs w:val="20"/>
                <w:lang w:val="fr-FR" w:eastAsia="en-ZA"/>
              </w:rPr>
            </w:pPr>
            <w:r w:rsidRPr="000E6BA8">
              <w:rPr>
                <w:rFonts w:ascii="Times New Roman" w:eastAsia="Times New Roman" w:hAnsi="Times New Roman" w:cs="Times New Roman"/>
                <w:color w:val="000000"/>
                <w:sz w:val="20"/>
                <w:szCs w:val="20"/>
                <w:lang w:val="fr-FR" w:eastAsia="en-ZA"/>
              </w:rPr>
              <w:t xml:space="preserve">References: </w:t>
            </w:r>
          </w:p>
          <w:p w14:paraId="79FFC849" w14:textId="77777777" w:rsidR="002D7080" w:rsidRDefault="002D7080" w:rsidP="002E2C37">
            <w:pPr>
              <w:ind w:left="540" w:hanging="540"/>
              <w:contextualSpacing/>
              <w:jc w:val="both"/>
              <w:rPr>
                <w:rFonts w:ascii="Times New Roman" w:eastAsia="Times New Roman" w:hAnsi="Times New Roman" w:cs="Times New Roman"/>
                <w:color w:val="000000"/>
                <w:sz w:val="20"/>
                <w:szCs w:val="20"/>
                <w:lang w:eastAsia="en-ZA"/>
              </w:rPr>
            </w:pPr>
            <w:r w:rsidRPr="000E6BA8">
              <w:rPr>
                <w:rFonts w:ascii="Times New Roman" w:hAnsi="Times New Roman" w:cs="Times New Roman"/>
                <w:sz w:val="20"/>
                <w:szCs w:val="20"/>
                <w:lang w:val="fr-FR"/>
              </w:rPr>
              <w:lastRenderedPageBreak/>
              <w:t xml:space="preserve">CABI, 2024. </w:t>
            </w:r>
            <w:r w:rsidRPr="000E6BA8">
              <w:rPr>
                <w:rFonts w:ascii="Times New Roman" w:hAnsi="Times New Roman" w:cs="Times New Roman"/>
                <w:i/>
                <w:iCs/>
                <w:sz w:val="20"/>
                <w:szCs w:val="20"/>
                <w:lang w:val="fr-FR"/>
              </w:rPr>
              <w:t xml:space="preserve">Faxonius virilis </w:t>
            </w:r>
            <w:r w:rsidRPr="000E6BA8">
              <w:rPr>
                <w:rFonts w:ascii="Times New Roman" w:hAnsi="Times New Roman" w:cs="Times New Roman"/>
                <w:sz w:val="20"/>
                <w:szCs w:val="20"/>
                <w:lang w:val="fr-FR"/>
              </w:rPr>
              <w:t>(virile</w:t>
            </w:r>
            <w:r w:rsidRPr="000E6BA8">
              <w:rPr>
                <w:rFonts w:ascii="Times New Roman" w:hAnsi="Times New Roman" w:cs="Times New Roman"/>
                <w:i/>
                <w:iCs/>
                <w:sz w:val="20"/>
                <w:szCs w:val="20"/>
                <w:lang w:val="fr-FR"/>
              </w:rPr>
              <w:t xml:space="preserve"> </w:t>
            </w:r>
            <w:r w:rsidRPr="000E6BA8">
              <w:rPr>
                <w:rFonts w:ascii="Times New Roman" w:hAnsi="Times New Roman" w:cs="Times New Roman"/>
                <w:sz w:val="20"/>
                <w:szCs w:val="20"/>
                <w:lang w:val="fr-FR"/>
              </w:rPr>
              <w:t xml:space="preserve">crayfish). </w:t>
            </w:r>
            <w:r w:rsidRPr="009412EF">
              <w:rPr>
                <w:rFonts w:ascii="Times New Roman" w:hAnsi="Times New Roman" w:cs="Times New Roman"/>
                <w:sz w:val="20"/>
                <w:szCs w:val="20"/>
              </w:rPr>
              <w:t xml:space="preserve">Invasive Species Compendium, </w:t>
            </w:r>
            <w:r w:rsidRPr="009412EF">
              <w:rPr>
                <w:rFonts w:ascii="Times New Roman" w:hAnsi="Times New Roman" w:cs="Times New Roman"/>
                <w:color w:val="000000"/>
                <w:sz w:val="20"/>
                <w:szCs w:val="20"/>
                <w:shd w:val="clear" w:color="auto" w:fill="FFFFFF"/>
              </w:rPr>
              <w:t>CABI Publishing, Wallingford, UK.</w:t>
            </w:r>
            <w:r w:rsidRPr="009412EF">
              <w:rPr>
                <w:rFonts w:ascii="Times New Roman" w:hAnsi="Times New Roman" w:cs="Times New Roman"/>
                <w:sz w:val="20"/>
                <w:szCs w:val="20"/>
              </w:rPr>
              <w:t xml:space="preserve"> </w:t>
            </w:r>
            <w:hyperlink w:history="1">
              <w:r w:rsidRPr="000613BC">
                <w:rPr>
                  <w:rStyle w:val="Hyperlink"/>
                  <w:rFonts w:ascii="Times New Roman" w:hAnsi="Times New Roman" w:cs="Times New Roman"/>
                  <w:sz w:val="20"/>
                  <w:szCs w:val="20"/>
                </w:rPr>
                <w:t>https://www.cabidigitallibrary.org/doi/full/10.1079/cabicompendium.72034</w:t>
              </w:r>
            </w:hyperlink>
            <w:r w:rsidRPr="009412EF">
              <w:rPr>
                <w:rFonts w:ascii="Times New Roman" w:hAnsi="Times New Roman" w:cs="Times New Roman"/>
                <w:sz w:val="20"/>
                <w:szCs w:val="20"/>
              </w:rPr>
              <w:t xml:space="preserve"> (accessed 10 July 2024)</w:t>
            </w:r>
            <w:r w:rsidRPr="004D1E6F">
              <w:rPr>
                <w:rFonts w:ascii="Times New Roman" w:eastAsia="Times New Roman" w:hAnsi="Times New Roman" w:cs="Times New Roman"/>
                <w:color w:val="000000"/>
                <w:sz w:val="20"/>
                <w:szCs w:val="20"/>
                <w:lang w:eastAsia="en-ZA"/>
              </w:rPr>
              <w:t xml:space="preserve"> </w:t>
            </w:r>
          </w:p>
          <w:p w14:paraId="64B3A30F" w14:textId="77777777" w:rsidR="002D7080" w:rsidRPr="004D1E6F" w:rsidRDefault="002D7080" w:rsidP="002E2C37">
            <w:pPr>
              <w:ind w:left="540" w:hanging="54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Global Invasive Species</w:t>
            </w:r>
            <w:r w:rsidRPr="004D1E6F">
              <w:rPr>
                <w:rFonts w:ascii="Times New Roman" w:eastAsia="Times New Roman" w:hAnsi="Times New Roman" w:cs="Times New Roman"/>
                <w:b/>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Database (GISD) 2015. Species profile </w:t>
            </w:r>
            <w:r w:rsidRPr="004D1E6F">
              <w:rPr>
                <w:rFonts w:ascii="Times New Roman" w:eastAsia="Times New Roman" w:hAnsi="Times New Roman" w:cs="Times New Roman"/>
                <w:i/>
                <w:iCs/>
                <w:color w:val="000000"/>
                <w:sz w:val="20"/>
                <w:szCs w:val="20"/>
                <w:lang w:eastAsia="en-ZA"/>
              </w:rPr>
              <w:t>Orconectes virilis</w:t>
            </w:r>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Available from: http://www.iucngisd.org/gisd/species.php?sc=218 [Accessed 03 July 2018]</w:t>
            </w:r>
          </w:p>
        </w:tc>
      </w:tr>
    </w:tbl>
    <w:p w14:paraId="7F96FFE8" w14:textId="77777777" w:rsidR="002D7080" w:rsidRPr="004D1E6F" w:rsidRDefault="002D7080" w:rsidP="002D7080">
      <w:pPr>
        <w:spacing w:after="0" w:line="240" w:lineRule="auto"/>
        <w:contextualSpacing/>
        <w:rPr>
          <w:rFonts w:ascii="Times New Roman" w:eastAsia="Times New Roman" w:hAnsi="Times New Roman" w:cs="Times New Roman"/>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7B06D5EE" w14:textId="77777777" w:rsidTr="002E2C37">
        <w:tc>
          <w:tcPr>
            <w:tcW w:w="9016" w:type="dxa"/>
            <w:gridSpan w:val="2"/>
            <w:shd w:val="clear" w:color="auto" w:fill="F2F2F2" w:themeFill="background1" w:themeFillShade="F2"/>
          </w:tcPr>
          <w:p w14:paraId="5EE46516"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LIK5 Unaided secondary (dispersal) pathways</w:t>
            </w:r>
          </w:p>
        </w:tc>
      </w:tr>
      <w:tr w:rsidR="002D7080" w:rsidRPr="004D1E6F" w14:paraId="7B26D311" w14:textId="77777777" w:rsidTr="002E2C37">
        <w:tc>
          <w:tcPr>
            <w:tcW w:w="5524" w:type="dxa"/>
          </w:tcPr>
          <w:p w14:paraId="5049FC9A"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w:t>
            </w:r>
            <w:r>
              <w:rPr>
                <w:rFonts w:ascii="Times New Roman" w:eastAsia="Times New Roman" w:hAnsi="Times New Roman" w:cs="Times New Roman"/>
                <w:color w:val="000000"/>
                <w:sz w:val="20"/>
                <w:szCs w:val="20"/>
                <w:lang w:eastAsia="en-ZA"/>
              </w:rPr>
              <w:t xml:space="preserve"> Very unlikely (p = 0.0027)</w:t>
            </w:r>
          </w:p>
        </w:tc>
        <w:tc>
          <w:tcPr>
            <w:tcW w:w="3492" w:type="dxa"/>
          </w:tcPr>
          <w:p w14:paraId="416C8493"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0408C1CE" w14:textId="77777777" w:rsidTr="002E2C37">
        <w:tc>
          <w:tcPr>
            <w:tcW w:w="9016" w:type="dxa"/>
            <w:gridSpan w:val="2"/>
          </w:tcPr>
          <w:p w14:paraId="1B7C20F3"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EB792B">
              <w:rPr>
                <w:rFonts w:ascii="Times New Roman" w:eastAsia="Times New Roman" w:hAnsi="Times New Roman" w:cs="Times New Roman"/>
                <w:i/>
                <w:iCs/>
                <w:sz w:val="20"/>
                <w:szCs w:val="20"/>
                <w:lang w:eastAsia="en-ZA"/>
              </w:rPr>
              <w:t xml:space="preserve">Faxinous </w:t>
            </w:r>
            <w:r>
              <w:rPr>
                <w:rFonts w:ascii="Times New Roman" w:eastAsia="Times New Roman" w:hAnsi="Times New Roman" w:cs="Times New Roman"/>
                <w:i/>
                <w:iCs/>
                <w:sz w:val="20"/>
                <w:szCs w:val="20"/>
                <w:lang w:eastAsia="en-ZA"/>
              </w:rPr>
              <w:t>virilis</w:t>
            </w:r>
            <w:r w:rsidRPr="00EB792B">
              <w:rPr>
                <w:rFonts w:ascii="Times New Roman" w:eastAsia="Times New Roman" w:hAnsi="Times New Roman" w:cs="Times New Roman"/>
                <w:i/>
                <w:iCs/>
                <w:sz w:val="20"/>
                <w:szCs w:val="20"/>
                <w:lang w:eastAsia="en-ZA"/>
              </w:rPr>
              <w:t xml:space="preserve"> </w:t>
            </w:r>
            <w:r w:rsidRPr="00EB792B">
              <w:rPr>
                <w:rFonts w:ascii="Times New Roman" w:eastAsia="Times New Roman" w:hAnsi="Times New Roman" w:cs="Times New Roman"/>
                <w:sz w:val="20"/>
                <w:szCs w:val="20"/>
                <w:lang w:eastAsia="en-ZA"/>
              </w:rPr>
              <w:t xml:space="preserve">can disperse naturally in aquatic environments but has limited ability to disperse overland (Hamr 2002). </w:t>
            </w:r>
            <w:r w:rsidRPr="00EB792B">
              <w:rPr>
                <w:rFonts w:ascii="Times New Roman" w:eastAsia="Times New Roman" w:hAnsi="Times New Roman" w:cs="Times New Roman"/>
                <w:color w:val="000000"/>
                <w:sz w:val="20"/>
                <w:szCs w:val="20"/>
                <w:lang w:eastAsia="en-ZA"/>
              </w:rPr>
              <w:t xml:space="preserve">There are no known populations of </w:t>
            </w:r>
            <w:r w:rsidRPr="00EB792B">
              <w:rPr>
                <w:rFonts w:ascii="Times New Roman" w:eastAsia="Times New Roman" w:hAnsi="Times New Roman" w:cs="Times New Roman"/>
                <w:i/>
                <w:iCs/>
                <w:color w:val="000000"/>
                <w:sz w:val="20"/>
                <w:szCs w:val="20"/>
                <w:lang w:eastAsia="en-ZA"/>
              </w:rPr>
              <w:t>F.</w:t>
            </w:r>
            <w:r>
              <w:rPr>
                <w:rFonts w:ascii="Times New Roman" w:eastAsia="Times New Roman" w:hAnsi="Times New Roman" w:cs="Times New Roman"/>
                <w:i/>
                <w:iCs/>
                <w:color w:val="000000"/>
                <w:sz w:val="20"/>
                <w:szCs w:val="20"/>
                <w:lang w:eastAsia="en-ZA"/>
              </w:rPr>
              <w:t xml:space="preserve"> virilis</w:t>
            </w:r>
            <w:r w:rsidRPr="00EB792B">
              <w:rPr>
                <w:rFonts w:ascii="Times New Roman" w:eastAsia="Times New Roman" w:hAnsi="Times New Roman" w:cs="Times New Roman"/>
                <w:i/>
                <w:iCs/>
                <w:color w:val="000000"/>
                <w:sz w:val="20"/>
                <w:szCs w:val="20"/>
                <w:lang w:eastAsia="en-ZA"/>
              </w:rPr>
              <w:t xml:space="preserve"> </w:t>
            </w:r>
            <w:r w:rsidRPr="00EB792B">
              <w:rPr>
                <w:rFonts w:ascii="Times New Roman" w:eastAsia="Times New Roman" w:hAnsi="Times New Roman" w:cs="Times New Roman"/>
                <w:color w:val="000000"/>
                <w:sz w:val="20"/>
                <w:szCs w:val="20"/>
                <w:lang w:eastAsia="en-ZA"/>
              </w:rPr>
              <w:t xml:space="preserve">present in countries neighbouring South Africa that could lead to secondary dispersal events through connected waterways </w:t>
            </w:r>
            <w:r w:rsidRPr="00EB792B">
              <w:rPr>
                <w:rFonts w:ascii="Times New Roman" w:eastAsia="Times New Roman" w:hAnsi="Times New Roman" w:cs="Times New Roman"/>
                <w:color w:val="000000"/>
                <w:sz w:val="20"/>
                <w:szCs w:val="20"/>
                <w:lang w:eastAsia="en-ZA"/>
              </w:rPr>
              <w:fldChar w:fldCharType="begin" w:fldLock="1"/>
            </w:r>
            <w:r w:rsidRPr="00EB792B">
              <w:rPr>
                <w:rFonts w:ascii="Times New Roman" w:eastAsia="Times New Roman" w:hAnsi="Times New Roman" w:cs="Times New Roman"/>
                <w:color w:val="000000"/>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"mendeley" : { "formattedCitation" : "(Madzivanzira et al. 2020)", "plainTextFormattedCitation" : "(Madzivanzira et al. 2020)", "previouslyFormattedCitation" : "(Madzivanzira et al. 2020)" }, "properties" : { "noteIndex" : 0 }, "schema" : "https://github.com/citation-style-language/schema/raw/master/csl-citation.json" }</w:instrText>
            </w:r>
            <w:r w:rsidRPr="00EB792B">
              <w:rPr>
                <w:rFonts w:ascii="Times New Roman" w:eastAsia="Times New Roman" w:hAnsi="Times New Roman" w:cs="Times New Roman"/>
                <w:color w:val="000000"/>
                <w:sz w:val="20"/>
                <w:szCs w:val="20"/>
                <w:lang w:eastAsia="en-ZA"/>
              </w:rPr>
              <w:fldChar w:fldCharType="separate"/>
            </w:r>
            <w:r w:rsidRPr="00EB792B">
              <w:rPr>
                <w:rFonts w:ascii="Times New Roman" w:eastAsia="Times New Roman" w:hAnsi="Times New Roman" w:cs="Times New Roman"/>
                <w:noProof/>
                <w:color w:val="000000"/>
                <w:sz w:val="20"/>
                <w:szCs w:val="20"/>
                <w:lang w:eastAsia="en-ZA"/>
              </w:rPr>
              <w:t>(</w:t>
            </w:r>
            <w:r>
              <w:rPr>
                <w:rFonts w:ascii="Times New Roman" w:eastAsia="Times New Roman" w:hAnsi="Times New Roman" w:cs="Times New Roman"/>
                <w:noProof/>
                <w:color w:val="000000"/>
                <w:sz w:val="20"/>
                <w:szCs w:val="20"/>
                <w:lang w:eastAsia="en-ZA"/>
              </w:rPr>
              <w:t xml:space="preserve">Nunes et al. 2017; </w:t>
            </w:r>
            <w:r w:rsidRPr="00EB792B">
              <w:rPr>
                <w:rFonts w:ascii="Times New Roman" w:eastAsia="Times New Roman" w:hAnsi="Times New Roman" w:cs="Times New Roman"/>
                <w:noProof/>
                <w:color w:val="000000"/>
                <w:sz w:val="20"/>
                <w:szCs w:val="20"/>
                <w:lang w:eastAsia="en-ZA"/>
              </w:rPr>
              <w:t>Madzivanzira et al. 2020)</w:t>
            </w:r>
            <w:r w:rsidRPr="00EB792B">
              <w:rPr>
                <w:rFonts w:ascii="Times New Roman" w:eastAsia="Times New Roman" w:hAnsi="Times New Roman" w:cs="Times New Roman"/>
                <w:color w:val="000000"/>
                <w:sz w:val="20"/>
                <w:szCs w:val="20"/>
                <w:lang w:eastAsia="en-ZA"/>
              </w:rPr>
              <w:fldChar w:fldCharType="end"/>
            </w:r>
            <w:r w:rsidRPr="00EB792B">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p>
        </w:tc>
      </w:tr>
      <w:tr w:rsidR="002D7080" w:rsidRPr="004D1E6F" w14:paraId="448D79A1" w14:textId="77777777" w:rsidTr="002E2C37">
        <w:tc>
          <w:tcPr>
            <w:tcW w:w="9016" w:type="dxa"/>
            <w:gridSpan w:val="2"/>
          </w:tcPr>
          <w:p w14:paraId="5EFF9FCD"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0FA25C82" w14:textId="77777777" w:rsidR="002D7080" w:rsidRPr="00BA4DB7" w:rsidRDefault="002D7080" w:rsidP="002E2C37">
            <w:pPr>
              <w:ind w:left="720" w:hanging="720"/>
              <w:contextualSpacing/>
              <w:jc w:val="both"/>
              <w:rPr>
                <w:rFonts w:ascii="Times New Roman" w:hAnsi="Times New Roman" w:cs="Times New Roman"/>
                <w:sz w:val="20"/>
                <w:szCs w:val="20"/>
                <w:shd w:val="clear" w:color="auto" w:fill="FFFFFF"/>
              </w:rPr>
            </w:pPr>
            <w:r w:rsidRPr="00BA4DB7">
              <w:rPr>
                <w:rFonts w:ascii="Times New Roman" w:hAnsi="Times New Roman" w:cs="Times New Roman"/>
                <w:sz w:val="20"/>
                <w:szCs w:val="20"/>
                <w:shd w:val="clear" w:color="auto" w:fill="FFFFFF"/>
              </w:rPr>
              <w:t xml:space="preserve">Hamr, P., 2002, </w:t>
            </w:r>
            <w:r w:rsidRPr="00BA4DB7">
              <w:rPr>
                <w:rFonts w:ascii="Times New Roman" w:hAnsi="Times New Roman" w:cs="Times New Roman"/>
                <w:i/>
                <w:iCs/>
                <w:sz w:val="20"/>
                <w:szCs w:val="20"/>
                <w:shd w:val="clear" w:color="auto" w:fill="FFFFFF"/>
              </w:rPr>
              <w:t>Orconectes</w:t>
            </w:r>
            <w:r w:rsidRPr="00BA4DB7">
              <w:rPr>
                <w:rFonts w:ascii="Times New Roman" w:hAnsi="Times New Roman" w:cs="Times New Roman"/>
                <w:sz w:val="20"/>
                <w:szCs w:val="20"/>
                <w:shd w:val="clear" w:color="auto" w:fill="FFFFFF"/>
              </w:rPr>
              <w:t>. In: </w:t>
            </w:r>
            <w:r w:rsidRPr="00BA4DB7">
              <w:rPr>
                <w:rStyle w:val="Emphasis"/>
                <w:rFonts w:ascii="Times New Roman" w:hAnsi="Times New Roman" w:cs="Times New Roman"/>
                <w:sz w:val="20"/>
                <w:szCs w:val="20"/>
                <w:shd w:val="clear" w:color="auto" w:fill="FFFFFF"/>
              </w:rPr>
              <w:t>Biology of freshwater crayfish</w:t>
            </w:r>
            <w:r w:rsidRPr="00BA4DB7">
              <w:rPr>
                <w:rFonts w:ascii="Times New Roman" w:hAnsi="Times New Roman" w:cs="Times New Roman"/>
                <w:sz w:val="20"/>
                <w:szCs w:val="20"/>
                <w:shd w:val="clear" w:color="auto" w:fill="FFFFFF"/>
              </w:rPr>
              <w:t>, [ed. by Holdich, D. M.]. Oxford, UK: Blackwell Science. 585-608.</w:t>
            </w:r>
          </w:p>
          <w:p w14:paraId="62C3A351" w14:textId="77777777" w:rsidR="002D7080" w:rsidRPr="005369AB" w:rsidRDefault="002D7080" w:rsidP="002E2C37">
            <w:pPr>
              <w:ind w:left="720" w:hanging="720"/>
              <w:contextualSpacing/>
              <w:jc w:val="both"/>
              <w:rPr>
                <w:rStyle w:val="Hyperlink"/>
                <w:rFonts w:ascii="Times New Roman" w:hAnsi="Times New Roman" w:cs="Times New Roman"/>
                <w:color w:val="333333"/>
                <w:sz w:val="20"/>
                <w:szCs w:val="20"/>
                <w:shd w:val="clear" w:color="auto" w:fill="FFFFFF"/>
              </w:rPr>
            </w:pPr>
            <w:r w:rsidRPr="004D1E6F">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4D1E6F">
              <w:rPr>
                <w:rFonts w:ascii="Times New Roman" w:eastAsia="Times New Roman" w:hAnsi="Times New Roman" w:cs="Times New Roman"/>
                <w:i/>
                <w:sz w:val="20"/>
                <w:szCs w:val="20"/>
                <w:lang w:eastAsia="en-ZA"/>
              </w:rPr>
              <w:t xml:space="preserve">Reviews in Fisheries Science &amp; Aquaculture </w:t>
            </w:r>
            <w:r w:rsidRPr="004D1E6F">
              <w:rPr>
                <w:rFonts w:ascii="Times New Roman" w:eastAsia="Times New Roman" w:hAnsi="Times New Roman" w:cs="Times New Roman"/>
                <w:sz w:val="20"/>
                <w:szCs w:val="20"/>
                <w:lang w:eastAsia="en-ZA"/>
              </w:rPr>
              <w:t>1-21</w:t>
            </w:r>
            <w:r w:rsidRPr="004D1E6F">
              <w:rPr>
                <w:rFonts w:ascii="Times New Roman" w:eastAsia="Times New Roman" w:hAnsi="Times New Roman" w:cs="Times New Roman"/>
                <w:i/>
                <w:sz w:val="20"/>
                <w:szCs w:val="20"/>
                <w:lang w:eastAsia="en-ZA"/>
              </w:rPr>
              <w:t>.</w:t>
            </w:r>
            <w:r w:rsidRPr="004D1E6F">
              <w:rPr>
                <w:rFonts w:ascii="Times New Roman" w:eastAsia="Times New Roman" w:hAnsi="Times New Roman" w:cs="Times New Roman"/>
                <w:iCs/>
                <w:sz w:val="20"/>
                <w:szCs w:val="20"/>
                <w:lang w:eastAsia="en-ZA"/>
              </w:rPr>
              <w:t xml:space="preserve"> </w:t>
            </w:r>
            <w:hyperlink w:history="1">
              <w:r w:rsidRPr="004D1E6F">
                <w:rPr>
                  <w:rStyle w:val="Hyperlink"/>
                  <w:rFonts w:ascii="Times New Roman" w:eastAsia="Times New Roman" w:hAnsi="Times New Roman" w:cs="Times New Roman"/>
                  <w:iCs/>
                  <w:sz w:val="20"/>
                  <w:szCs w:val="20"/>
                  <w:lang w:eastAsia="en-ZA"/>
                </w:rPr>
                <w:t>https://doi.org/10.1080/23308249.2020.1802405</w:t>
              </w:r>
            </w:hyperlink>
          </w:p>
          <w:p w14:paraId="065D4E32" w14:textId="23B6BE65" w:rsidR="002D7080" w:rsidRPr="00A66131" w:rsidRDefault="002D7080" w:rsidP="002E2C37">
            <w:pPr>
              <w:ind w:left="720" w:hanging="720"/>
              <w:contextualSpacing/>
              <w:jc w:val="both"/>
              <w:rPr>
                <w:rFonts w:ascii="Times New Roman" w:hAnsi="Times New Roman" w:cs="Times New Roman"/>
                <w:color w:val="333333"/>
                <w:sz w:val="20"/>
                <w:szCs w:val="20"/>
                <w:shd w:val="clear" w:color="auto" w:fill="FFFFFF"/>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 </w:t>
            </w:r>
            <w:hyperlink r:id="rId387" w:history="1">
              <w:r w:rsidR="00500AD1" w:rsidRPr="00500AD1">
                <w:rPr>
                  <w:rStyle w:val="Hyperlink"/>
                  <w:rFonts w:ascii="Times New Roman" w:hAnsi="Times New Roman" w:cs="Times New Roman"/>
                  <w:sz w:val="20"/>
                  <w:szCs w:val="20"/>
                </w:rPr>
                <w:t>https://doi.org/10.2989/16085914.2017.1405788</w:t>
              </w:r>
            </w:hyperlink>
          </w:p>
        </w:tc>
      </w:tr>
    </w:tbl>
    <w:p w14:paraId="027FE870"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52566BE3" w14:textId="77777777" w:rsidTr="002E2C37">
        <w:tc>
          <w:tcPr>
            <w:tcW w:w="9016" w:type="dxa"/>
            <w:gridSpan w:val="2"/>
            <w:shd w:val="clear" w:color="auto" w:fill="F2F2F2" w:themeFill="background1" w:themeFillShade="F2"/>
          </w:tcPr>
          <w:p w14:paraId="0004C717"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LIK6 Human aided secondary (dispersal) pathways</w:t>
            </w:r>
          </w:p>
        </w:tc>
      </w:tr>
      <w:tr w:rsidR="002D7080" w:rsidRPr="004D1E6F" w14:paraId="521385FF" w14:textId="77777777" w:rsidTr="002E2C37">
        <w:tc>
          <w:tcPr>
            <w:tcW w:w="5524" w:type="dxa"/>
          </w:tcPr>
          <w:p w14:paraId="5875CC9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Fairly probable </w:t>
            </w:r>
            <w:r>
              <w:rPr>
                <w:rFonts w:ascii="Times New Roman" w:eastAsia="Times New Roman" w:hAnsi="Times New Roman" w:cs="Times New Roman"/>
                <w:color w:val="000000"/>
                <w:sz w:val="20"/>
                <w:szCs w:val="20"/>
                <w:lang w:eastAsia="en-ZA"/>
              </w:rPr>
              <w:t>(p = 0.5)</w:t>
            </w:r>
          </w:p>
        </w:tc>
        <w:tc>
          <w:tcPr>
            <w:tcW w:w="3492" w:type="dxa"/>
          </w:tcPr>
          <w:p w14:paraId="3A36597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Medium</w:t>
            </w:r>
          </w:p>
        </w:tc>
      </w:tr>
      <w:tr w:rsidR="002D7080" w:rsidRPr="004D1E6F" w14:paraId="2523476B" w14:textId="77777777" w:rsidTr="002E2C37">
        <w:tc>
          <w:tcPr>
            <w:tcW w:w="9016" w:type="dxa"/>
            <w:gridSpan w:val="2"/>
          </w:tcPr>
          <w:p w14:paraId="520857F6" w14:textId="5527E79E"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sz w:val="20"/>
                <w:szCs w:val="20"/>
                <w:lang w:eastAsia="en-ZA"/>
              </w:rPr>
              <w:t xml:space="preserve">Intentional release into the wild through the pet/ aquarium/ terrarium species and live bait pathways remains a concern. </w:t>
            </w:r>
            <w:r w:rsidRPr="00233C97">
              <w:rPr>
                <w:rFonts w:ascii="Times New Roman" w:eastAsia="Times New Roman" w:hAnsi="Times New Roman" w:cs="Times New Roman"/>
                <w:color w:val="000000"/>
                <w:sz w:val="20"/>
                <w:szCs w:val="20"/>
                <w:lang w:eastAsia="en-ZA"/>
              </w:rPr>
              <w:t xml:space="preserve">In areas of introduction, </w:t>
            </w:r>
            <w:r w:rsidRPr="00233C97">
              <w:rPr>
                <w:rFonts w:ascii="Times New Roman" w:eastAsia="Times New Roman" w:hAnsi="Times New Roman" w:cs="Times New Roman"/>
                <w:i/>
                <w:color w:val="000000"/>
                <w:sz w:val="20"/>
                <w:szCs w:val="20"/>
                <w:lang w:eastAsia="en-ZA"/>
              </w:rPr>
              <w:t xml:space="preserve">Faxonius </w:t>
            </w:r>
            <w:r w:rsidR="008E030D">
              <w:rPr>
                <w:rFonts w:ascii="Times New Roman" w:eastAsia="Times New Roman" w:hAnsi="Times New Roman" w:cs="Times New Roman"/>
                <w:i/>
                <w:color w:val="000000"/>
                <w:sz w:val="20"/>
                <w:szCs w:val="20"/>
                <w:lang w:eastAsia="en-ZA"/>
              </w:rPr>
              <w:t>virili</w:t>
            </w:r>
            <w:r w:rsidR="008E030D" w:rsidRPr="00233C97">
              <w:rPr>
                <w:rFonts w:ascii="Times New Roman" w:eastAsia="Times New Roman" w:hAnsi="Times New Roman" w:cs="Times New Roman"/>
                <w:i/>
                <w:color w:val="000000"/>
                <w:sz w:val="20"/>
                <w:szCs w:val="20"/>
                <w:lang w:eastAsia="en-ZA"/>
              </w:rPr>
              <w:t>s</w:t>
            </w:r>
            <w:r w:rsidR="008E030D" w:rsidRPr="00233C97">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color w:val="000000"/>
                <w:sz w:val="20"/>
                <w:szCs w:val="20"/>
                <w:lang w:eastAsia="en-ZA"/>
              </w:rPr>
              <w:t xml:space="preserve">has been released into the wild by humans as unwanted pets and </w:t>
            </w:r>
            <w:r>
              <w:rPr>
                <w:rFonts w:ascii="Times New Roman" w:eastAsia="Times New Roman" w:hAnsi="Times New Roman" w:cs="Times New Roman"/>
                <w:color w:val="000000"/>
                <w:sz w:val="20"/>
                <w:szCs w:val="20"/>
                <w:lang w:eastAsia="en-ZA"/>
              </w:rPr>
              <w:t xml:space="preserve">as </w:t>
            </w:r>
            <w:r w:rsidRPr="00233C97">
              <w:rPr>
                <w:rFonts w:ascii="Times New Roman" w:eastAsia="Times New Roman" w:hAnsi="Times New Roman" w:cs="Times New Roman"/>
                <w:color w:val="000000"/>
                <w:sz w:val="20"/>
                <w:szCs w:val="20"/>
                <w:lang w:eastAsia="en-ZA"/>
              </w:rPr>
              <w:t xml:space="preserve">bait </w:t>
            </w:r>
            <w:r w:rsidRPr="00233C97">
              <w:rPr>
                <w:rFonts w:ascii="Times New Roman" w:eastAsia="Times New Roman" w:hAnsi="Times New Roman" w:cs="Times New Roman"/>
                <w:color w:val="000000"/>
                <w:sz w:val="20"/>
                <w:szCs w:val="20"/>
                <w:lang w:eastAsia="en-ZA"/>
              </w:rPr>
              <w:fldChar w:fldCharType="begin" w:fldLock="1"/>
            </w:r>
            <w:r w:rsidRPr="00233C97">
              <w:rPr>
                <w:rFonts w:ascii="Times New Roman" w:eastAsia="Times New Roman" w:hAnsi="Times New Roman" w:cs="Times New Roman"/>
                <w:color w:val="000000"/>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"manualFormatting" : "(Faulkes 2015, Olden et al. 2009)", "plainTextFormattedCitation" : "(Faulkes 2015)", "previouslyFormattedCitation" : "(Faulkes 2015)" }, "properties" : { "noteIndex" : 0 }, "schema" : "https://github.com/citation-style-language/schema/raw/master/csl-citation.json" }</w:instrText>
            </w:r>
            <w:r w:rsidRPr="00233C97">
              <w:rPr>
                <w:rFonts w:ascii="Times New Roman" w:eastAsia="Times New Roman" w:hAnsi="Times New Roman" w:cs="Times New Roman"/>
                <w:color w:val="000000"/>
                <w:sz w:val="20"/>
                <w:szCs w:val="20"/>
                <w:lang w:eastAsia="en-ZA"/>
              </w:rPr>
              <w:fldChar w:fldCharType="separate"/>
            </w:r>
            <w:r w:rsidRPr="00233C97">
              <w:rPr>
                <w:rFonts w:ascii="Times New Roman" w:eastAsia="Times New Roman" w:hAnsi="Times New Roman" w:cs="Times New Roman"/>
                <w:noProof/>
                <w:color w:val="000000"/>
                <w:sz w:val="20"/>
                <w:szCs w:val="20"/>
                <w:lang w:eastAsia="en-ZA"/>
              </w:rPr>
              <w:t>(</w:t>
            </w:r>
            <w:r>
              <w:rPr>
                <w:rFonts w:ascii="Times New Roman" w:eastAsia="Times New Roman" w:hAnsi="Times New Roman" w:cs="Times New Roman"/>
                <w:sz w:val="20"/>
                <w:szCs w:val="20"/>
                <w:lang w:eastAsia="en-ZA"/>
              </w:rPr>
              <w:t>Larson and Olden 2011, Kilian et al. 2012;</w:t>
            </w:r>
            <w:r w:rsidRPr="00233C97">
              <w:rPr>
                <w:rFonts w:ascii="Times New Roman" w:eastAsia="Times New Roman" w:hAnsi="Times New Roman" w:cs="Times New Roman"/>
                <w:sz w:val="20"/>
                <w:szCs w:val="20"/>
                <w:lang w:eastAsia="en-ZA"/>
              </w:rPr>
              <w:t xml:space="preserve"> Chucholl 2013; Faulkes 2015</w:t>
            </w:r>
            <w:r w:rsidRPr="00233C97">
              <w:rPr>
                <w:rFonts w:ascii="Times New Roman" w:eastAsia="Times New Roman" w:hAnsi="Times New Roman" w:cs="Times New Roman"/>
                <w:noProof/>
                <w:color w:val="000000"/>
                <w:sz w:val="20"/>
                <w:szCs w:val="20"/>
                <w:lang w:eastAsia="en-ZA"/>
              </w:rPr>
              <w:t>)</w:t>
            </w:r>
            <w:r w:rsidRPr="00233C97">
              <w:rPr>
                <w:rFonts w:ascii="Times New Roman" w:eastAsia="Times New Roman" w:hAnsi="Times New Roman" w:cs="Times New Roman"/>
                <w:color w:val="000000"/>
                <w:sz w:val="20"/>
                <w:szCs w:val="20"/>
                <w:lang w:eastAsia="en-ZA"/>
              </w:rPr>
              <w:fldChar w:fldCharType="end"/>
            </w:r>
          </w:p>
        </w:tc>
      </w:tr>
      <w:tr w:rsidR="002D7080" w:rsidRPr="004D1E6F" w14:paraId="34EE092E" w14:textId="77777777" w:rsidTr="002E2C37">
        <w:tc>
          <w:tcPr>
            <w:tcW w:w="9016" w:type="dxa"/>
            <w:gridSpan w:val="2"/>
          </w:tcPr>
          <w:p w14:paraId="55779F8C" w14:textId="77777777" w:rsidR="002D7080" w:rsidRPr="00500AD1" w:rsidRDefault="002D7080" w:rsidP="002E2C37">
            <w:pPr>
              <w:contextualSpacing/>
              <w:rPr>
                <w:rFonts w:ascii="Times New Roman" w:eastAsia="Times New Roman" w:hAnsi="Times New Roman" w:cs="Times New Roman"/>
                <w:color w:val="000000"/>
                <w:sz w:val="20"/>
                <w:szCs w:val="20"/>
                <w:lang w:eastAsia="en-ZA"/>
              </w:rPr>
            </w:pPr>
            <w:r w:rsidRPr="00500AD1">
              <w:rPr>
                <w:rFonts w:ascii="Times New Roman" w:eastAsia="Times New Roman" w:hAnsi="Times New Roman" w:cs="Times New Roman"/>
                <w:color w:val="000000"/>
                <w:sz w:val="20"/>
                <w:szCs w:val="20"/>
                <w:lang w:eastAsia="en-ZA"/>
              </w:rPr>
              <w:t xml:space="preserve">References: </w:t>
            </w:r>
          </w:p>
          <w:p w14:paraId="6930A93B" w14:textId="76ED753B" w:rsidR="002D7080" w:rsidRPr="00500AD1" w:rsidRDefault="002D7080" w:rsidP="002E2C37">
            <w:pPr>
              <w:ind w:left="720" w:hanging="720"/>
              <w:contextualSpacing/>
              <w:jc w:val="both"/>
              <w:rPr>
                <w:rFonts w:ascii="Times New Roman" w:eastAsia="Times New Roman" w:hAnsi="Times New Roman" w:cs="Times New Roman"/>
                <w:sz w:val="20"/>
                <w:szCs w:val="20"/>
                <w:lang w:eastAsia="en-ZA"/>
              </w:rPr>
            </w:pPr>
            <w:r w:rsidRPr="00500AD1">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500AD1">
              <w:rPr>
                <w:rFonts w:ascii="Times New Roman" w:eastAsia="Times New Roman" w:hAnsi="Times New Roman" w:cs="Times New Roman"/>
                <w:i/>
                <w:iCs/>
                <w:sz w:val="20"/>
                <w:szCs w:val="20"/>
                <w:lang w:eastAsia="en-ZA"/>
              </w:rPr>
              <w:t>Biological Invasions</w:t>
            </w:r>
            <w:r w:rsidRPr="00500AD1">
              <w:rPr>
                <w:rFonts w:ascii="Times New Roman" w:eastAsia="Times New Roman" w:hAnsi="Times New Roman" w:cs="Times New Roman"/>
                <w:sz w:val="20"/>
                <w:szCs w:val="20"/>
                <w:lang w:eastAsia="en-ZA"/>
              </w:rPr>
              <w:t xml:space="preserve">, </w:t>
            </w:r>
            <w:r w:rsidRPr="00500AD1">
              <w:rPr>
                <w:rFonts w:ascii="Times New Roman" w:eastAsia="Times New Roman" w:hAnsi="Times New Roman" w:cs="Times New Roman"/>
                <w:iCs/>
                <w:sz w:val="20"/>
                <w:szCs w:val="20"/>
                <w:lang w:eastAsia="en-ZA"/>
              </w:rPr>
              <w:t>15</w:t>
            </w:r>
            <w:r w:rsidRPr="00500AD1">
              <w:rPr>
                <w:rFonts w:ascii="Times New Roman" w:eastAsia="Times New Roman" w:hAnsi="Times New Roman" w:cs="Times New Roman"/>
                <w:sz w:val="20"/>
                <w:szCs w:val="20"/>
                <w:lang w:eastAsia="en-ZA"/>
              </w:rPr>
              <w:t xml:space="preserve">, 125–141. </w:t>
            </w:r>
            <w:r w:rsidR="00F9592C" w:rsidRPr="00F9592C">
              <w:rPr>
                <w:rFonts w:ascii="Times New Roman" w:hAnsi="Times New Roman" w:cs="Times New Roman"/>
                <w:sz w:val="20"/>
                <w:szCs w:val="20"/>
              </w:rPr>
              <w:t>https://doi.org/10.1007/s10530-012-0273-2</w:t>
            </w:r>
            <w:r w:rsidRPr="00500AD1">
              <w:rPr>
                <w:rFonts w:ascii="Times New Roman" w:eastAsia="Times New Roman" w:hAnsi="Times New Roman" w:cs="Times New Roman"/>
                <w:sz w:val="20"/>
                <w:szCs w:val="20"/>
                <w:lang w:eastAsia="en-ZA"/>
              </w:rPr>
              <w:t>.</w:t>
            </w:r>
          </w:p>
          <w:p w14:paraId="0AD92171" w14:textId="77777777" w:rsidR="002D7080" w:rsidRPr="00500AD1"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500AD1">
              <w:rPr>
                <w:rFonts w:ascii="Times New Roman" w:eastAsia="Times New Roman" w:hAnsi="Times New Roman" w:cs="Times New Roman"/>
                <w:color w:val="000000"/>
                <w:sz w:val="20"/>
                <w:szCs w:val="20"/>
                <w:lang w:eastAsia="en-ZA"/>
              </w:rPr>
              <w:t xml:space="preserve">Faulkes, Z., 2015, ‘The global trade in crayfish as pets’, </w:t>
            </w:r>
            <w:r w:rsidRPr="00500AD1">
              <w:rPr>
                <w:rFonts w:ascii="Times New Roman" w:eastAsia="Times New Roman" w:hAnsi="Times New Roman" w:cs="Times New Roman"/>
                <w:i/>
                <w:iCs/>
                <w:color w:val="000000"/>
                <w:sz w:val="20"/>
                <w:szCs w:val="20"/>
                <w:lang w:eastAsia="en-ZA"/>
              </w:rPr>
              <w:t>Crustacean Research</w:t>
            </w:r>
            <w:r w:rsidRPr="00500AD1">
              <w:rPr>
                <w:rFonts w:ascii="Times New Roman" w:eastAsia="Times New Roman" w:hAnsi="Times New Roman" w:cs="Times New Roman"/>
                <w:color w:val="000000"/>
                <w:sz w:val="20"/>
                <w:szCs w:val="20"/>
                <w:lang w:eastAsia="en-ZA"/>
              </w:rPr>
              <w:t xml:space="preserve">, </w:t>
            </w:r>
            <w:r w:rsidRPr="00500AD1">
              <w:rPr>
                <w:rFonts w:ascii="Times New Roman" w:eastAsia="Times New Roman" w:hAnsi="Times New Roman" w:cs="Times New Roman"/>
                <w:iCs/>
                <w:color w:val="000000"/>
                <w:sz w:val="20"/>
                <w:szCs w:val="20"/>
                <w:lang w:eastAsia="en-ZA"/>
              </w:rPr>
              <w:t>44,</w:t>
            </w:r>
            <w:r w:rsidRPr="00500AD1">
              <w:rPr>
                <w:rFonts w:ascii="Times New Roman" w:eastAsia="Times New Roman" w:hAnsi="Times New Roman" w:cs="Times New Roman"/>
                <w:color w:val="000000"/>
                <w:sz w:val="20"/>
                <w:szCs w:val="20"/>
                <w:lang w:eastAsia="en-ZA"/>
              </w:rPr>
              <w:t xml:space="preserve"> 75–92. </w:t>
            </w:r>
            <w:hyperlink r:id="rId388" w:history="1">
              <w:r w:rsidRPr="00500AD1">
                <w:rPr>
                  <w:rStyle w:val="Hyperlink"/>
                  <w:rFonts w:ascii="Times New Roman" w:eastAsia="Times New Roman" w:hAnsi="Times New Roman" w:cs="Times New Roman"/>
                  <w:sz w:val="20"/>
                  <w:szCs w:val="20"/>
                  <w:lang w:eastAsia="en-ZA"/>
                </w:rPr>
                <w:t>https://doi.org/10.18353/crustacea.44.0_75</w:t>
              </w:r>
            </w:hyperlink>
            <w:r w:rsidRPr="00500AD1">
              <w:rPr>
                <w:rFonts w:ascii="Times New Roman" w:eastAsia="Times New Roman" w:hAnsi="Times New Roman" w:cs="Times New Roman"/>
                <w:color w:val="000000"/>
                <w:sz w:val="20"/>
                <w:szCs w:val="20"/>
                <w:lang w:eastAsia="en-ZA"/>
              </w:rPr>
              <w:t>.</w:t>
            </w:r>
          </w:p>
          <w:p w14:paraId="46E499D5" w14:textId="77777777" w:rsidR="002D7080" w:rsidRPr="00500AD1" w:rsidRDefault="002D7080" w:rsidP="002E2C37">
            <w:pPr>
              <w:ind w:left="720" w:hanging="720"/>
              <w:contextualSpacing/>
              <w:jc w:val="both"/>
              <w:rPr>
                <w:rFonts w:ascii="Times New Roman" w:hAnsi="Times New Roman" w:cs="Times New Roman"/>
                <w:color w:val="000000"/>
                <w:sz w:val="20"/>
                <w:szCs w:val="20"/>
              </w:rPr>
            </w:pPr>
            <w:r w:rsidRPr="00500AD1">
              <w:rPr>
                <w:rFonts w:ascii="Times New Roman" w:hAnsi="Times New Roman" w:cs="Times New Roman"/>
                <w:color w:val="000000"/>
                <w:sz w:val="20"/>
                <w:szCs w:val="20"/>
              </w:rPr>
              <w:t xml:space="preserve">Kilian, J.V., Klauda, R.J., WIdman, S., Kashiwagi, M., Bourquin, R., Weglein, S. &amp; Schuster, J., 2012, ‘An assessment of a bait industry and angler behavior as a vector of invasive species’, </w:t>
            </w:r>
            <w:r w:rsidRPr="00500AD1">
              <w:rPr>
                <w:rFonts w:ascii="Times New Roman" w:hAnsi="Times New Roman" w:cs="Times New Roman"/>
                <w:i/>
                <w:iCs/>
                <w:color w:val="000000"/>
                <w:sz w:val="20"/>
                <w:szCs w:val="20"/>
              </w:rPr>
              <w:t>Biological Invasions</w:t>
            </w:r>
            <w:r w:rsidRPr="00500AD1">
              <w:rPr>
                <w:rFonts w:ascii="Times New Roman" w:hAnsi="Times New Roman" w:cs="Times New Roman"/>
                <w:color w:val="000000"/>
                <w:sz w:val="20"/>
                <w:szCs w:val="20"/>
              </w:rPr>
              <w:t>,</w:t>
            </w:r>
            <w:r w:rsidRPr="00500AD1">
              <w:rPr>
                <w:rFonts w:ascii="Times New Roman" w:hAnsi="Times New Roman" w:cs="Times New Roman"/>
                <w:i/>
                <w:iCs/>
                <w:color w:val="000000"/>
                <w:sz w:val="20"/>
                <w:szCs w:val="20"/>
              </w:rPr>
              <w:t xml:space="preserve"> </w:t>
            </w:r>
            <w:r w:rsidRPr="00500AD1">
              <w:rPr>
                <w:rFonts w:ascii="Times New Roman" w:hAnsi="Times New Roman" w:cs="Times New Roman"/>
                <w:color w:val="000000"/>
                <w:sz w:val="20"/>
                <w:szCs w:val="20"/>
              </w:rPr>
              <w:t>14(7), 1469-1481.</w:t>
            </w:r>
            <w:r w:rsidRPr="00500AD1">
              <w:rPr>
                <w:rFonts w:ascii="Times New Roman" w:hAnsi="Times New Roman" w:cs="Times New Roman"/>
                <w:sz w:val="20"/>
                <w:szCs w:val="20"/>
              </w:rPr>
              <w:t xml:space="preserve"> </w:t>
            </w:r>
            <w:hyperlink r:id="rId389" w:history="1">
              <w:r w:rsidRPr="00500AD1">
                <w:rPr>
                  <w:rStyle w:val="Hyperlink"/>
                  <w:rFonts w:ascii="Times New Roman" w:hAnsi="Times New Roman" w:cs="Times New Roman"/>
                  <w:sz w:val="20"/>
                  <w:szCs w:val="20"/>
                </w:rPr>
                <w:t>https://doi.org/10.1007/s10530-012-0173-5</w:t>
              </w:r>
            </w:hyperlink>
            <w:r w:rsidRPr="00500AD1">
              <w:rPr>
                <w:rFonts w:ascii="Times New Roman" w:hAnsi="Times New Roman" w:cs="Times New Roman"/>
                <w:color w:val="000000"/>
                <w:sz w:val="20"/>
                <w:szCs w:val="20"/>
              </w:rPr>
              <w:t>.</w:t>
            </w:r>
          </w:p>
          <w:p w14:paraId="4AEE598B" w14:textId="77777777" w:rsidR="002D7080" w:rsidRPr="004D1E6F" w:rsidRDefault="002D7080" w:rsidP="002E2C37">
            <w:pPr>
              <w:ind w:left="540" w:hanging="540"/>
              <w:contextualSpacing/>
              <w:jc w:val="both"/>
              <w:rPr>
                <w:rFonts w:ascii="Times New Roman" w:eastAsia="Times New Roman" w:hAnsi="Times New Roman" w:cs="Times New Roman"/>
                <w:iCs/>
                <w:sz w:val="20"/>
                <w:szCs w:val="20"/>
                <w:lang w:eastAsia="en-ZA"/>
              </w:rPr>
            </w:pPr>
            <w:r w:rsidRPr="00500AD1">
              <w:rPr>
                <w:rFonts w:ascii="Times New Roman" w:hAnsi="Times New Roman" w:cs="Times New Roman"/>
                <w:color w:val="000000"/>
                <w:sz w:val="20"/>
                <w:szCs w:val="20"/>
              </w:rPr>
              <w:t xml:space="preserve">Larson, E.R. &amp; Olden, J.D., 2011, ‘The state of crayfish in the Pacific Northwest’, </w:t>
            </w:r>
            <w:r w:rsidRPr="00500AD1">
              <w:rPr>
                <w:rFonts w:ascii="Times New Roman" w:hAnsi="Times New Roman" w:cs="Times New Roman"/>
                <w:i/>
                <w:iCs/>
                <w:color w:val="000000"/>
                <w:sz w:val="20"/>
                <w:szCs w:val="20"/>
              </w:rPr>
              <w:t>Fisheries</w:t>
            </w:r>
            <w:r w:rsidRPr="00500AD1">
              <w:rPr>
                <w:rFonts w:ascii="Times New Roman" w:hAnsi="Times New Roman" w:cs="Times New Roman"/>
                <w:color w:val="000000"/>
                <w:sz w:val="20"/>
                <w:szCs w:val="20"/>
              </w:rPr>
              <w:t xml:space="preserve">, 36(2), 60-73. </w:t>
            </w:r>
            <w:hyperlink r:id="rId390" w:history="1">
              <w:r w:rsidRPr="00500AD1">
                <w:rPr>
                  <w:rStyle w:val="Hyperlink"/>
                  <w:rFonts w:ascii="Times New Roman" w:hAnsi="Times New Roman" w:cs="Times New Roman"/>
                  <w:sz w:val="20"/>
                  <w:szCs w:val="20"/>
                </w:rPr>
                <w:t>https://doi.org/10.1577/03632415.2011.10389069</w:t>
              </w:r>
            </w:hyperlink>
            <w:r w:rsidRPr="00500AD1">
              <w:rPr>
                <w:rFonts w:ascii="Times New Roman" w:hAnsi="Times New Roman" w:cs="Times New Roman"/>
                <w:color w:val="000000"/>
                <w:sz w:val="20"/>
                <w:szCs w:val="20"/>
              </w:rPr>
              <w:t>.</w:t>
            </w:r>
          </w:p>
        </w:tc>
      </w:tr>
    </w:tbl>
    <w:p w14:paraId="2AE301D4"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61C9ECDE"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3. Consequences</w:t>
      </w:r>
      <w:r w:rsidRPr="004D1E6F">
        <w:rPr>
          <w:rFonts w:ascii="Times New Roman" w:eastAsia="Times New Roman" w:hAnsi="Times New Roman" w:cs="Times New Roman"/>
          <w:b/>
          <w:color w:val="FF0000"/>
          <w:sz w:val="20"/>
          <w:szCs w:val="20"/>
          <w:lang w:eastAsia="en-ZA"/>
        </w:rPr>
        <w:t xml:space="preserve"> </w:t>
      </w:r>
    </w:p>
    <w:p w14:paraId="1A90EC19"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51C49653" w14:textId="77777777" w:rsidTr="002E2C37">
        <w:trPr>
          <w:trHeight w:val="343"/>
        </w:trPr>
        <w:tc>
          <w:tcPr>
            <w:tcW w:w="9016" w:type="dxa"/>
            <w:gridSpan w:val="2"/>
            <w:shd w:val="clear" w:color="auto" w:fill="F2F2F2" w:themeFill="background1" w:themeFillShade="F2"/>
          </w:tcPr>
          <w:p w14:paraId="44BE40B1"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 Environmental impact</w:t>
            </w:r>
          </w:p>
        </w:tc>
      </w:tr>
      <w:tr w:rsidR="002D7080" w:rsidRPr="004D1E6F" w14:paraId="7444AD76" w14:textId="77777777" w:rsidTr="002E2C37">
        <w:tc>
          <w:tcPr>
            <w:tcW w:w="9016" w:type="dxa"/>
            <w:gridSpan w:val="2"/>
            <w:shd w:val="clear" w:color="auto" w:fill="F2F2F2" w:themeFill="background1" w:themeFillShade="F2"/>
          </w:tcPr>
          <w:p w14:paraId="7DC7C7B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CON1a: Competition</w:t>
            </w:r>
          </w:p>
        </w:tc>
      </w:tr>
      <w:tr w:rsidR="002D7080" w:rsidRPr="004D1E6F" w14:paraId="42B21D3E" w14:textId="77777777" w:rsidTr="002E2C37">
        <w:tc>
          <w:tcPr>
            <w:tcW w:w="5949" w:type="dxa"/>
          </w:tcPr>
          <w:p w14:paraId="09BF71E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 xml:space="preserve">Major </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MR</w:t>
            </w:r>
            <w:r w:rsidRPr="004D1E6F">
              <w:rPr>
                <w:rFonts w:ascii="Times New Roman" w:eastAsia="Times New Roman" w:hAnsi="Times New Roman" w:cs="Times New Roman"/>
                <w:sz w:val="20"/>
                <w:szCs w:val="20"/>
                <w:lang w:eastAsia="en-ZA"/>
              </w:rPr>
              <w:t>)</w:t>
            </w:r>
          </w:p>
        </w:tc>
        <w:tc>
          <w:tcPr>
            <w:tcW w:w="3067" w:type="dxa"/>
          </w:tcPr>
          <w:p w14:paraId="1081129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Medium </w:t>
            </w:r>
          </w:p>
        </w:tc>
      </w:tr>
      <w:tr w:rsidR="002D7080" w:rsidRPr="004D1E6F" w14:paraId="3A04EE60" w14:textId="77777777" w:rsidTr="002E2C37">
        <w:trPr>
          <w:trHeight w:val="70"/>
        </w:trPr>
        <w:tc>
          <w:tcPr>
            <w:tcW w:w="9016" w:type="dxa"/>
            <w:gridSpan w:val="2"/>
          </w:tcPr>
          <w:p w14:paraId="4618A1D3" w14:textId="77777777" w:rsidR="002D7080" w:rsidRPr="00E52A8B" w:rsidRDefault="002D7080" w:rsidP="002E2C37">
            <w:pPr>
              <w:jc w:val="both"/>
              <w:rPr>
                <w:rFonts w:ascii="Times New Roman" w:eastAsia="Times New Roman" w:hAnsi="Times New Roman" w:cs="Times New Roman"/>
                <w:sz w:val="20"/>
                <w:szCs w:val="20"/>
                <w:lang w:eastAsia="en-ZA"/>
              </w:rPr>
            </w:pPr>
            <w:r w:rsidRPr="00E52A8B">
              <w:rPr>
                <w:rFonts w:ascii="Times New Roman" w:eastAsia="Times New Roman" w:hAnsi="Times New Roman" w:cs="Times New Roman"/>
                <w:sz w:val="20"/>
                <w:szCs w:val="20"/>
                <w:lang w:eastAsia="en-ZA"/>
              </w:rPr>
              <w:t xml:space="preserve">Rationale: </w:t>
            </w:r>
            <w:r w:rsidRPr="00E52A8B">
              <w:rPr>
                <w:rFonts w:ascii="Times New Roman" w:eastAsia="Times New Roman" w:hAnsi="Times New Roman" w:cs="Times New Roman"/>
                <w:i/>
                <w:iCs/>
                <w:sz w:val="20"/>
                <w:szCs w:val="20"/>
                <w:lang w:eastAsia="en-ZA"/>
              </w:rPr>
              <w:t>Faxonius virilis</w:t>
            </w:r>
            <w:r w:rsidRPr="00E52A8B">
              <w:rPr>
                <w:rFonts w:ascii="Times New Roman" w:eastAsia="Times New Roman" w:hAnsi="Times New Roman" w:cs="Times New Roman"/>
                <w:sz w:val="20"/>
                <w:szCs w:val="20"/>
                <w:lang w:eastAsia="en-ZA"/>
              </w:rPr>
              <w:t xml:space="preserve"> has being implicated in the decline, displacement and local extirpation of native macroinvertebrates, crayfishes, snails, frogs and fish in the USA through competition and predation (</w:t>
            </w:r>
            <w:r>
              <w:rPr>
                <w:rFonts w:ascii="Times New Roman" w:eastAsia="Times New Roman" w:hAnsi="Times New Roman" w:cs="Times New Roman"/>
                <w:sz w:val="20"/>
                <w:szCs w:val="20"/>
                <w:lang w:eastAsia="en-ZA"/>
              </w:rPr>
              <w:t xml:space="preserve">Hanson </w:t>
            </w:r>
            <w:r>
              <w:rPr>
                <w:rFonts w:ascii="Times New Roman" w:eastAsia="Times New Roman" w:hAnsi="Times New Roman" w:cs="Times New Roman"/>
                <w:sz w:val="20"/>
                <w:szCs w:val="20"/>
                <w:lang w:eastAsia="en-ZA"/>
              </w:rPr>
              <w:lastRenderedPageBreak/>
              <w:t xml:space="preserve">et al. 1990; </w:t>
            </w:r>
            <w:r w:rsidRPr="00E52A8B">
              <w:rPr>
                <w:rFonts w:ascii="Times New Roman" w:hAnsi="Times New Roman" w:cs="Times New Roman"/>
                <w:color w:val="333333"/>
                <w:sz w:val="20"/>
                <w:szCs w:val="20"/>
                <w:shd w:val="clear" w:color="auto" w:fill="FFFFFF"/>
              </w:rPr>
              <w:t xml:space="preserve">Rogowski &amp; Stockwell 2006, </w:t>
            </w:r>
            <w:r>
              <w:rPr>
                <w:rFonts w:ascii="Times New Roman" w:hAnsi="Times New Roman" w:cs="Times New Roman"/>
                <w:color w:val="333333"/>
                <w:sz w:val="20"/>
                <w:szCs w:val="20"/>
                <w:shd w:val="clear" w:color="auto" w:fill="FFFFFF"/>
              </w:rPr>
              <w:t xml:space="preserve">Philips et al. 2009; </w:t>
            </w:r>
            <w:r w:rsidRPr="00E52A8B">
              <w:rPr>
                <w:rFonts w:ascii="Times New Roman" w:eastAsia="Times New Roman" w:hAnsi="Times New Roman" w:cs="Times New Roman"/>
                <w:sz w:val="20"/>
                <w:szCs w:val="20"/>
                <w:lang w:eastAsia="en-ZA"/>
              </w:rPr>
              <w:t xml:space="preserve">Loughman &amp; Welsh 2010; </w:t>
            </w:r>
            <w:r>
              <w:rPr>
                <w:rFonts w:ascii="Times New Roman" w:eastAsia="Times New Roman" w:hAnsi="Times New Roman" w:cs="Times New Roman"/>
                <w:sz w:val="20"/>
                <w:szCs w:val="20"/>
                <w:lang w:eastAsia="en-ZA"/>
              </w:rPr>
              <w:t xml:space="preserve">Hale et al. 2016; Shaw et al. 2021; </w:t>
            </w:r>
            <w:r w:rsidRPr="00E52A8B">
              <w:rPr>
                <w:rFonts w:ascii="Times New Roman" w:eastAsia="Times New Roman" w:hAnsi="Times New Roman" w:cs="Times New Roman"/>
                <w:sz w:val="20"/>
                <w:szCs w:val="20"/>
                <w:lang w:eastAsia="en-ZA"/>
              </w:rPr>
              <w:t>USGS-NAS 2023</w:t>
            </w:r>
            <w:r>
              <w:rPr>
                <w:rFonts w:ascii="Times New Roman" w:eastAsia="Times New Roman" w:hAnsi="Times New Roman" w:cs="Times New Roman"/>
                <w:sz w:val="20"/>
                <w:szCs w:val="20"/>
                <w:lang w:eastAsia="en-ZA"/>
              </w:rPr>
              <w:t>; GISD 2023</w:t>
            </w:r>
            <w:r w:rsidRPr="00E52A8B">
              <w:rPr>
                <w:rFonts w:ascii="Times New Roman" w:eastAsia="Times New Roman" w:hAnsi="Times New Roman" w:cs="Times New Roman"/>
                <w:sz w:val="20"/>
                <w:szCs w:val="20"/>
                <w:lang w:eastAsia="en-ZA"/>
              </w:rPr>
              <w:t xml:space="preserve">).   </w:t>
            </w:r>
          </w:p>
        </w:tc>
      </w:tr>
      <w:tr w:rsidR="002D7080" w:rsidRPr="004D1E6F" w14:paraId="26748DEF" w14:textId="77777777" w:rsidTr="002E2C37">
        <w:trPr>
          <w:trHeight w:val="70"/>
        </w:trPr>
        <w:tc>
          <w:tcPr>
            <w:tcW w:w="9016" w:type="dxa"/>
            <w:gridSpan w:val="2"/>
          </w:tcPr>
          <w:p w14:paraId="6A39A0BB" w14:textId="77777777" w:rsidR="002D7080" w:rsidRPr="00F9592C" w:rsidRDefault="002D7080" w:rsidP="002E2C37">
            <w:pPr>
              <w:ind w:left="720" w:hanging="720"/>
              <w:rPr>
                <w:rFonts w:ascii="Times New Roman" w:eastAsia="Times New Roman" w:hAnsi="Times New Roman" w:cs="Times New Roman"/>
                <w:sz w:val="20"/>
                <w:szCs w:val="20"/>
                <w:lang w:eastAsia="en-ZA"/>
              </w:rPr>
            </w:pPr>
            <w:r w:rsidRPr="00F9592C">
              <w:rPr>
                <w:rFonts w:ascii="Times New Roman" w:eastAsia="Times New Roman" w:hAnsi="Times New Roman" w:cs="Times New Roman"/>
                <w:sz w:val="20"/>
                <w:szCs w:val="20"/>
                <w:lang w:eastAsia="en-ZA"/>
              </w:rPr>
              <w:lastRenderedPageBreak/>
              <w:t>References:</w:t>
            </w:r>
          </w:p>
          <w:p w14:paraId="3FD80731" w14:textId="77777777" w:rsidR="002D7080" w:rsidRPr="00F9592C" w:rsidRDefault="002D7080" w:rsidP="002E2C37">
            <w:pPr>
              <w:ind w:left="720" w:hanging="720"/>
              <w:contextualSpacing/>
              <w:jc w:val="both"/>
              <w:rPr>
                <w:rFonts w:ascii="Times New Roman" w:hAnsi="Times New Roman" w:cs="Times New Roman"/>
                <w:sz w:val="20"/>
                <w:szCs w:val="20"/>
              </w:rPr>
            </w:pPr>
            <w:r w:rsidRPr="00F9592C">
              <w:rPr>
                <w:rFonts w:ascii="Times New Roman" w:hAnsi="Times New Roman" w:cs="Times New Roman"/>
                <w:sz w:val="20"/>
                <w:szCs w:val="20"/>
                <w:shd w:val="clear" w:color="auto" w:fill="FFFFFF"/>
              </w:rPr>
              <w:t xml:space="preserve">GISD, 2023. Species profile: </w:t>
            </w:r>
            <w:r w:rsidRPr="00F9592C">
              <w:rPr>
                <w:rFonts w:ascii="Times New Roman" w:hAnsi="Times New Roman" w:cs="Times New Roman"/>
                <w:i/>
                <w:iCs/>
                <w:sz w:val="20"/>
                <w:szCs w:val="20"/>
                <w:shd w:val="clear" w:color="auto" w:fill="FFFFFF"/>
              </w:rPr>
              <w:t>Orconectes virilis</w:t>
            </w:r>
            <w:r w:rsidRPr="00F9592C">
              <w:rPr>
                <w:rFonts w:ascii="Times New Roman" w:hAnsi="Times New Roman" w:cs="Times New Roman"/>
                <w:sz w:val="20"/>
                <w:szCs w:val="20"/>
                <w:shd w:val="clear" w:color="auto" w:fill="FFFFFF"/>
              </w:rPr>
              <w:t xml:space="preserve">. Global Invasive Species Database. </w:t>
            </w:r>
            <w:hyperlink w:history="1">
              <w:r w:rsidRPr="00F9592C">
                <w:rPr>
                  <w:rStyle w:val="Hyperlink"/>
                  <w:rFonts w:ascii="Times New Roman" w:hAnsi="Times New Roman" w:cs="Times New Roman"/>
                  <w:sz w:val="20"/>
                  <w:szCs w:val="20"/>
                  <w:shd w:val="clear" w:color="auto" w:fill="FFFFFF"/>
                </w:rPr>
                <w:t>http://www.iucngisd.org/gisd/species.php?sc=218</w:t>
              </w:r>
            </w:hyperlink>
          </w:p>
          <w:p w14:paraId="5D98B3CC" w14:textId="71208E4C" w:rsidR="002D7080" w:rsidRPr="00F9592C" w:rsidRDefault="002D7080" w:rsidP="002E2C37">
            <w:pPr>
              <w:ind w:left="720" w:hanging="720"/>
              <w:contextualSpacing/>
              <w:jc w:val="both"/>
              <w:rPr>
                <w:rFonts w:ascii="Times New Roman" w:hAnsi="Times New Roman" w:cs="Times New Roman"/>
                <w:color w:val="000000"/>
                <w:sz w:val="20"/>
                <w:szCs w:val="20"/>
              </w:rPr>
            </w:pPr>
            <w:r w:rsidRPr="00F9592C">
              <w:rPr>
                <w:rFonts w:ascii="Times New Roman" w:hAnsi="Times New Roman" w:cs="Times New Roman"/>
                <w:color w:val="000000"/>
                <w:sz w:val="20"/>
                <w:szCs w:val="20"/>
              </w:rPr>
              <w:t xml:space="preserve">Hale, P., Wilson, J., Loughman, Z. &amp; Henkanaththegedara, S., 2016, ‘Potential impacts of invasive crayfish on native crayfish: insights from laboratory experiments’, </w:t>
            </w:r>
            <w:r w:rsidRPr="00F9592C">
              <w:rPr>
                <w:rFonts w:ascii="Times New Roman" w:hAnsi="Times New Roman" w:cs="Times New Roman"/>
                <w:i/>
                <w:iCs/>
                <w:color w:val="000000"/>
                <w:sz w:val="20"/>
                <w:szCs w:val="20"/>
              </w:rPr>
              <w:t>Aquatic Invasions</w:t>
            </w:r>
            <w:r w:rsidRPr="00F9592C">
              <w:rPr>
                <w:rFonts w:ascii="Times New Roman" w:hAnsi="Times New Roman" w:cs="Times New Roman"/>
                <w:color w:val="000000"/>
                <w:sz w:val="20"/>
                <w:szCs w:val="20"/>
              </w:rPr>
              <w:t xml:space="preserve"> 11(4), 451-458. </w:t>
            </w:r>
            <w:r w:rsidR="00C94525" w:rsidRPr="00C94525">
              <w:rPr>
                <w:rFonts w:ascii="Times New Roman" w:hAnsi="Times New Roman" w:cs="Times New Roman"/>
                <w:sz w:val="20"/>
                <w:szCs w:val="20"/>
              </w:rPr>
              <w:t>http://dx.doi.org/10.3391/ai.2016.11.4.09</w:t>
            </w:r>
            <w:r w:rsidRPr="00F9592C">
              <w:rPr>
                <w:rFonts w:ascii="Times New Roman" w:hAnsi="Times New Roman" w:cs="Times New Roman"/>
                <w:color w:val="000000"/>
                <w:sz w:val="20"/>
                <w:szCs w:val="20"/>
              </w:rPr>
              <w:t>.</w:t>
            </w:r>
          </w:p>
          <w:p w14:paraId="46368083" w14:textId="77777777" w:rsidR="002D7080" w:rsidRPr="00F9592C" w:rsidRDefault="002D7080" w:rsidP="002E2C37">
            <w:pPr>
              <w:ind w:left="720" w:hanging="720"/>
              <w:contextualSpacing/>
              <w:jc w:val="both"/>
              <w:rPr>
                <w:rFonts w:ascii="Times New Roman" w:eastAsia="Times New Roman" w:hAnsi="Times New Roman" w:cs="Times New Roman"/>
                <w:sz w:val="20"/>
                <w:szCs w:val="20"/>
                <w:lang w:eastAsia="en-ZA"/>
              </w:rPr>
            </w:pPr>
            <w:r w:rsidRPr="00F9592C">
              <w:rPr>
                <w:rFonts w:ascii="Times New Roman" w:hAnsi="Times New Roman" w:cs="Times New Roman"/>
                <w:color w:val="000000"/>
                <w:sz w:val="20"/>
                <w:szCs w:val="20"/>
              </w:rPr>
              <w:t>Hanson, J.M., Chambers, P.A. &amp; Prepas, E.E., 1990, ‘Selective foraging by the crayfish </w:t>
            </w:r>
            <w:r w:rsidRPr="00F9592C">
              <w:rPr>
                <w:rStyle w:val="Emphasis"/>
                <w:rFonts w:ascii="Times New Roman" w:hAnsi="Times New Roman" w:cs="Times New Roman"/>
                <w:color w:val="000000"/>
                <w:sz w:val="20"/>
                <w:szCs w:val="20"/>
              </w:rPr>
              <w:t>Orconectes virilis</w:t>
            </w:r>
            <w:r w:rsidRPr="00F9592C">
              <w:rPr>
                <w:rFonts w:ascii="Times New Roman" w:hAnsi="Times New Roman" w:cs="Times New Roman"/>
                <w:color w:val="000000"/>
                <w:sz w:val="20"/>
                <w:szCs w:val="20"/>
              </w:rPr>
              <w:t xml:space="preserve"> and its impact on macroinvertebrates’, </w:t>
            </w:r>
            <w:r w:rsidRPr="00F9592C">
              <w:rPr>
                <w:rFonts w:ascii="Times New Roman" w:hAnsi="Times New Roman" w:cs="Times New Roman"/>
                <w:i/>
                <w:iCs/>
                <w:color w:val="000000"/>
                <w:sz w:val="20"/>
                <w:szCs w:val="20"/>
              </w:rPr>
              <w:t>Freshwater Biology</w:t>
            </w:r>
            <w:r w:rsidRPr="00F9592C">
              <w:rPr>
                <w:rFonts w:ascii="Times New Roman" w:hAnsi="Times New Roman" w:cs="Times New Roman"/>
                <w:color w:val="000000"/>
                <w:sz w:val="20"/>
                <w:szCs w:val="20"/>
              </w:rPr>
              <w:t>, 24, 69-80.</w:t>
            </w:r>
            <w:r w:rsidRPr="00F9592C">
              <w:rPr>
                <w:rFonts w:ascii="Times New Roman" w:eastAsia="Calibri" w:hAnsi="Times New Roman" w:cs="Times New Roman"/>
                <w:color w:val="000000"/>
                <w:sz w:val="20"/>
                <w:szCs w:val="20"/>
              </w:rPr>
              <w:t xml:space="preserve"> </w:t>
            </w:r>
            <w:hyperlink r:id="rId391" w:history="1">
              <w:r w:rsidRPr="00F9592C">
                <w:rPr>
                  <w:rStyle w:val="Hyperlink"/>
                  <w:rFonts w:ascii="Times New Roman" w:hAnsi="Times New Roman" w:cs="Times New Roman"/>
                  <w:bCs/>
                  <w:sz w:val="20"/>
                  <w:szCs w:val="20"/>
                </w:rPr>
                <w:t>https://doi.org/10.1111/j.1365-2427.1990.tb00308.x</w:t>
              </w:r>
            </w:hyperlink>
          </w:p>
          <w:p w14:paraId="33ECEE8B" w14:textId="77777777" w:rsidR="002D7080" w:rsidRPr="00F9592C" w:rsidRDefault="002D7080" w:rsidP="002E2C37">
            <w:pPr>
              <w:ind w:left="720" w:hanging="720"/>
              <w:contextualSpacing/>
              <w:jc w:val="both"/>
              <w:rPr>
                <w:rFonts w:ascii="Times New Roman" w:hAnsi="Times New Roman" w:cs="Times New Roman"/>
                <w:sz w:val="20"/>
                <w:szCs w:val="20"/>
              </w:rPr>
            </w:pPr>
            <w:r w:rsidRPr="00F9592C">
              <w:rPr>
                <w:rFonts w:ascii="Times New Roman" w:hAnsi="Times New Roman" w:cs="Times New Roman"/>
                <w:sz w:val="20"/>
                <w:szCs w:val="20"/>
              </w:rPr>
              <w:t xml:space="preserve">Loughman, Z. J. &amp; Welsh, S.A., 2010, ‘Distribution and conservation standing of West Virginia crayfishes’, </w:t>
            </w:r>
            <w:r w:rsidRPr="00F9592C">
              <w:rPr>
                <w:rFonts w:ascii="Times New Roman" w:hAnsi="Times New Roman" w:cs="Times New Roman"/>
                <w:i/>
                <w:iCs/>
                <w:sz w:val="20"/>
                <w:szCs w:val="20"/>
              </w:rPr>
              <w:t>Southeastern Naturalist</w:t>
            </w:r>
            <w:r w:rsidRPr="00F9592C">
              <w:rPr>
                <w:rFonts w:ascii="Times New Roman" w:hAnsi="Times New Roman" w:cs="Times New Roman"/>
                <w:sz w:val="20"/>
                <w:szCs w:val="20"/>
              </w:rPr>
              <w:t xml:space="preserve">, 9(3), 63-78. </w:t>
            </w:r>
            <w:hyperlink r:id="rId392" w:history="1">
              <w:r w:rsidRPr="00F9592C">
                <w:rPr>
                  <w:rStyle w:val="Hyperlink"/>
                  <w:rFonts w:ascii="Times New Roman" w:hAnsi="Times New Roman" w:cs="Times New Roman"/>
                  <w:sz w:val="20"/>
                  <w:szCs w:val="20"/>
                </w:rPr>
                <w:t>https://doi.org/10.1656/058.009.s304</w:t>
              </w:r>
            </w:hyperlink>
            <w:r w:rsidRPr="00F9592C">
              <w:rPr>
                <w:rFonts w:ascii="Times New Roman" w:hAnsi="Times New Roman" w:cs="Times New Roman"/>
                <w:sz w:val="20"/>
                <w:szCs w:val="20"/>
              </w:rPr>
              <w:t>.</w:t>
            </w:r>
          </w:p>
          <w:p w14:paraId="238812E1" w14:textId="77777777" w:rsidR="002D7080" w:rsidRPr="00F9592C" w:rsidRDefault="002D7080" w:rsidP="002E2C37">
            <w:pPr>
              <w:ind w:left="720" w:hanging="720"/>
              <w:contextualSpacing/>
              <w:jc w:val="both"/>
              <w:rPr>
                <w:rFonts w:ascii="Times New Roman" w:hAnsi="Times New Roman" w:cs="Times New Roman"/>
                <w:color w:val="000000"/>
                <w:sz w:val="20"/>
                <w:szCs w:val="20"/>
              </w:rPr>
            </w:pPr>
            <w:r w:rsidRPr="00F9592C">
              <w:rPr>
                <w:rFonts w:ascii="Times New Roman" w:hAnsi="Times New Roman" w:cs="Times New Roman"/>
                <w:color w:val="000000"/>
                <w:sz w:val="20"/>
                <w:szCs w:val="20"/>
              </w:rPr>
              <w:t>Phillips, I.D., Vinebrooke, R.D. &amp; Turner, M.A., 2009, ‘Ecosystem consequences of potential range expansions of </w:t>
            </w:r>
            <w:r w:rsidRPr="00F9592C">
              <w:rPr>
                <w:rStyle w:val="Emphasis"/>
                <w:rFonts w:ascii="Times New Roman" w:hAnsi="Times New Roman" w:cs="Times New Roman"/>
                <w:color w:val="000000"/>
                <w:sz w:val="20"/>
                <w:szCs w:val="20"/>
              </w:rPr>
              <w:t>Orconectes virilis</w:t>
            </w:r>
            <w:r w:rsidRPr="00F9592C">
              <w:rPr>
                <w:rFonts w:ascii="Times New Roman" w:hAnsi="Times New Roman" w:cs="Times New Roman"/>
                <w:color w:val="000000"/>
                <w:sz w:val="20"/>
                <w:szCs w:val="20"/>
              </w:rPr>
              <w:t> and </w:t>
            </w:r>
            <w:r w:rsidRPr="00F9592C">
              <w:rPr>
                <w:rStyle w:val="Emphasis"/>
                <w:rFonts w:ascii="Times New Roman" w:hAnsi="Times New Roman" w:cs="Times New Roman"/>
                <w:color w:val="000000"/>
                <w:sz w:val="20"/>
                <w:szCs w:val="20"/>
              </w:rPr>
              <w:t>Orvconectes rusticus</w:t>
            </w:r>
            <w:r w:rsidRPr="00F9592C">
              <w:rPr>
                <w:rFonts w:ascii="Times New Roman" w:hAnsi="Times New Roman" w:cs="Times New Roman"/>
                <w:color w:val="000000"/>
                <w:sz w:val="20"/>
                <w:szCs w:val="20"/>
              </w:rPr>
              <w:t xml:space="preserve"> crayfish in Canada- a review. </w:t>
            </w:r>
            <w:r w:rsidRPr="00F9592C">
              <w:rPr>
                <w:rFonts w:ascii="Times New Roman" w:hAnsi="Times New Roman" w:cs="Times New Roman"/>
                <w:i/>
                <w:iCs/>
                <w:color w:val="000000"/>
                <w:sz w:val="20"/>
                <w:szCs w:val="20"/>
              </w:rPr>
              <w:t>Environmental Review</w:t>
            </w:r>
            <w:r w:rsidRPr="00F9592C">
              <w:rPr>
                <w:rFonts w:ascii="Times New Roman" w:hAnsi="Times New Roman" w:cs="Times New Roman"/>
                <w:color w:val="000000"/>
                <w:sz w:val="20"/>
                <w:szCs w:val="20"/>
              </w:rPr>
              <w:t xml:space="preserve">, 17, 235-248. </w:t>
            </w:r>
            <w:hyperlink r:id="rId393" w:history="1">
              <w:r w:rsidRPr="00F9592C">
                <w:rPr>
                  <w:rStyle w:val="Hyperlink"/>
                  <w:rFonts w:ascii="Times New Roman" w:hAnsi="Times New Roman" w:cs="Times New Roman"/>
                  <w:sz w:val="20"/>
                  <w:szCs w:val="20"/>
                </w:rPr>
                <w:t>https://doi.org/10.1139/A09-011</w:t>
              </w:r>
            </w:hyperlink>
          </w:p>
          <w:p w14:paraId="3649070C" w14:textId="77777777" w:rsidR="002D7080" w:rsidRPr="00F9592C" w:rsidRDefault="002D7080" w:rsidP="002E2C37">
            <w:pPr>
              <w:ind w:left="720" w:hanging="720"/>
              <w:contextualSpacing/>
              <w:jc w:val="both"/>
              <w:rPr>
                <w:rFonts w:ascii="Times New Roman" w:hAnsi="Times New Roman" w:cs="Times New Roman"/>
                <w:color w:val="333333"/>
                <w:sz w:val="20"/>
                <w:szCs w:val="20"/>
                <w:shd w:val="clear" w:color="auto" w:fill="FFFFFF"/>
              </w:rPr>
            </w:pPr>
            <w:r w:rsidRPr="00F9592C">
              <w:rPr>
                <w:rFonts w:ascii="Times New Roman" w:hAnsi="Times New Roman" w:cs="Times New Roman"/>
                <w:sz w:val="20"/>
                <w:szCs w:val="20"/>
                <w:shd w:val="clear" w:color="auto" w:fill="FFFFFF"/>
              </w:rPr>
              <w:t xml:space="preserve">Rogowski, D.L. &amp; Stockwell, C.A., 2006, ‘Assessment of potential impacts of exotic species on populations of a threatened species, white sands pupfish, </w:t>
            </w:r>
            <w:r w:rsidRPr="00F9592C">
              <w:rPr>
                <w:rFonts w:ascii="Times New Roman" w:hAnsi="Times New Roman" w:cs="Times New Roman"/>
                <w:i/>
                <w:iCs/>
                <w:sz w:val="20"/>
                <w:szCs w:val="20"/>
                <w:shd w:val="clear" w:color="auto" w:fill="FFFFFF"/>
              </w:rPr>
              <w:t>Cyprinodon Tularosa</w:t>
            </w:r>
            <w:r w:rsidRPr="00F9592C">
              <w:rPr>
                <w:rFonts w:ascii="Times New Roman" w:hAnsi="Times New Roman" w:cs="Times New Roman"/>
                <w:sz w:val="20"/>
                <w:szCs w:val="20"/>
                <w:shd w:val="clear" w:color="auto" w:fill="FFFFFF"/>
              </w:rPr>
              <w:t xml:space="preserve">’, </w:t>
            </w:r>
            <w:r w:rsidRPr="00F9592C">
              <w:rPr>
                <w:rStyle w:val="Emphasis"/>
                <w:rFonts w:ascii="Times New Roman" w:hAnsi="Times New Roman" w:cs="Times New Roman"/>
                <w:sz w:val="20"/>
                <w:szCs w:val="20"/>
                <w:shd w:val="clear" w:color="auto" w:fill="FFFFFF"/>
              </w:rPr>
              <w:t>Biological Invasions</w:t>
            </w:r>
            <w:r w:rsidRPr="00F9592C">
              <w:rPr>
                <w:rFonts w:ascii="Times New Roman" w:hAnsi="Times New Roman" w:cs="Times New Roman"/>
                <w:sz w:val="20"/>
                <w:szCs w:val="20"/>
                <w:shd w:val="clear" w:color="auto" w:fill="FFFFFF"/>
              </w:rPr>
              <w:t>, 8(1), 79-87</w:t>
            </w:r>
            <w:r w:rsidRPr="00F9592C">
              <w:rPr>
                <w:rFonts w:ascii="Times New Roman" w:hAnsi="Times New Roman" w:cs="Times New Roman"/>
                <w:color w:val="333333"/>
                <w:sz w:val="20"/>
                <w:szCs w:val="20"/>
                <w:shd w:val="clear" w:color="auto" w:fill="FFFFFF"/>
              </w:rPr>
              <w:t>.</w:t>
            </w:r>
          </w:p>
          <w:p w14:paraId="2AA031E0" w14:textId="77777777" w:rsidR="002D7080" w:rsidRPr="00F9592C" w:rsidRDefault="002D7080" w:rsidP="002E2C37">
            <w:pPr>
              <w:ind w:left="720" w:hanging="720"/>
              <w:contextualSpacing/>
              <w:jc w:val="both"/>
              <w:rPr>
                <w:rFonts w:ascii="Times New Roman" w:hAnsi="Times New Roman" w:cs="Times New Roman"/>
                <w:color w:val="000000"/>
                <w:sz w:val="20"/>
                <w:szCs w:val="20"/>
              </w:rPr>
            </w:pPr>
            <w:r w:rsidRPr="00F9592C">
              <w:rPr>
                <w:rFonts w:ascii="Times New Roman" w:hAnsi="Times New Roman" w:cs="Times New Roman"/>
                <w:color w:val="000000"/>
                <w:sz w:val="20"/>
                <w:szCs w:val="20"/>
              </w:rPr>
              <w:t>Shaw, P.C., Larson, E.R. &amp; Billman, E.J., 2021, ‘Invasion of Virile Crayfish </w:t>
            </w:r>
            <w:r w:rsidRPr="00F9592C">
              <w:rPr>
                <w:rStyle w:val="Emphasis"/>
                <w:rFonts w:ascii="Times New Roman" w:hAnsi="Times New Roman" w:cs="Times New Roman"/>
                <w:color w:val="000000"/>
                <w:sz w:val="20"/>
                <w:szCs w:val="20"/>
              </w:rPr>
              <w:t>Faxonius virilis</w:t>
            </w:r>
            <w:r w:rsidRPr="00F9592C">
              <w:rPr>
                <w:rFonts w:ascii="Times New Roman" w:hAnsi="Times New Roman" w:cs="Times New Roman"/>
                <w:color w:val="000000"/>
                <w:sz w:val="20"/>
                <w:szCs w:val="20"/>
              </w:rPr>
              <w:t xml:space="preserve"> (Hagen 1870) in the Lower Henrys Fork Drainage, Idaho’, </w:t>
            </w:r>
            <w:r w:rsidRPr="00F9592C">
              <w:rPr>
                <w:rFonts w:ascii="Times New Roman" w:hAnsi="Times New Roman" w:cs="Times New Roman"/>
                <w:i/>
                <w:iCs/>
                <w:color w:val="000000"/>
                <w:sz w:val="20"/>
                <w:szCs w:val="20"/>
              </w:rPr>
              <w:t>Northwest Science</w:t>
            </w:r>
            <w:r w:rsidRPr="00F9592C">
              <w:rPr>
                <w:rFonts w:ascii="Times New Roman" w:hAnsi="Times New Roman" w:cs="Times New Roman"/>
                <w:color w:val="000000"/>
                <w:sz w:val="20"/>
                <w:szCs w:val="20"/>
              </w:rPr>
              <w:t xml:space="preserve"> 95(1), 106-113. </w:t>
            </w:r>
            <w:hyperlink w:history="1">
              <w:r w:rsidRPr="00F9592C">
                <w:rPr>
                  <w:rStyle w:val="Hyperlink"/>
                  <w:rFonts w:ascii="Times New Roman" w:hAnsi="Times New Roman" w:cs="Times New Roman"/>
                  <w:sz w:val="20"/>
                  <w:szCs w:val="20"/>
                </w:rPr>
                <w:t>https://doi.org/10.3955/046.095.0107</w:t>
              </w:r>
            </w:hyperlink>
            <w:r w:rsidRPr="00F9592C">
              <w:rPr>
                <w:rFonts w:ascii="Times New Roman" w:hAnsi="Times New Roman" w:cs="Times New Roman"/>
                <w:color w:val="000000"/>
                <w:sz w:val="20"/>
                <w:szCs w:val="20"/>
              </w:rPr>
              <w:t>.</w:t>
            </w:r>
          </w:p>
          <w:p w14:paraId="5EA62209" w14:textId="77777777" w:rsidR="002D7080" w:rsidRPr="00F9592C" w:rsidRDefault="002D7080" w:rsidP="002E2C37">
            <w:pPr>
              <w:ind w:left="720" w:hanging="720"/>
              <w:jc w:val="both"/>
              <w:rPr>
                <w:rFonts w:ascii="Times New Roman" w:eastAsia="Times New Roman" w:hAnsi="Times New Roman" w:cs="Times New Roman"/>
                <w:sz w:val="20"/>
                <w:szCs w:val="20"/>
                <w:lang w:eastAsia="en-ZA"/>
              </w:rPr>
            </w:pPr>
            <w:r w:rsidRPr="00F9592C">
              <w:rPr>
                <w:rFonts w:ascii="Times New Roman" w:hAnsi="Times New Roman" w:cs="Times New Roman"/>
                <w:sz w:val="20"/>
                <w:szCs w:val="20"/>
                <w:shd w:val="clear" w:color="auto" w:fill="FFFFFF"/>
              </w:rPr>
              <w:t xml:space="preserve">USGS-NAS, 2023. </w:t>
            </w:r>
            <w:r w:rsidRPr="00F9592C">
              <w:rPr>
                <w:rFonts w:ascii="Times New Roman" w:hAnsi="Times New Roman" w:cs="Times New Roman"/>
                <w:i/>
                <w:iCs/>
                <w:sz w:val="20"/>
                <w:szCs w:val="20"/>
                <w:shd w:val="clear" w:color="auto" w:fill="FFFFFF"/>
              </w:rPr>
              <w:t>Faxonius virilis</w:t>
            </w:r>
            <w:r w:rsidRPr="00F9592C">
              <w:rPr>
                <w:rFonts w:ascii="Times New Roman" w:hAnsi="Times New Roman" w:cs="Times New Roman"/>
                <w:sz w:val="20"/>
                <w:szCs w:val="20"/>
                <w:shd w:val="clear" w:color="auto" w:fill="FFFFFF"/>
              </w:rPr>
              <w:t xml:space="preserve"> (Hagen, 1870).US Geological Survey, Nonindigenous Aquatic Species database. </w:t>
            </w:r>
            <w:hyperlink w:tgtFrame="_blank" w:history="1">
              <w:r w:rsidRPr="00F9592C">
                <w:rPr>
                  <w:rStyle w:val="Hyperlink"/>
                  <w:rFonts w:ascii="Times New Roman" w:hAnsi="Times New Roman" w:cs="Times New Roman"/>
                  <w:sz w:val="20"/>
                  <w:szCs w:val="20"/>
                  <w:shd w:val="clear" w:color="auto" w:fill="FFFFFF"/>
                </w:rPr>
                <w:t>https://nas.er.usgs.gov/queries/FactSheet.aspx?speciesID=215</w:t>
              </w:r>
            </w:hyperlink>
          </w:p>
        </w:tc>
      </w:tr>
      <w:tr w:rsidR="002D7080" w:rsidRPr="004D1E6F" w14:paraId="246F90A8" w14:textId="77777777" w:rsidTr="002E2C37">
        <w:tc>
          <w:tcPr>
            <w:tcW w:w="9016" w:type="dxa"/>
            <w:gridSpan w:val="2"/>
            <w:shd w:val="clear" w:color="auto" w:fill="F2F2F2" w:themeFill="background1" w:themeFillShade="F2"/>
          </w:tcPr>
          <w:p w14:paraId="6075DB6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CON1b: Predation</w:t>
            </w:r>
          </w:p>
        </w:tc>
      </w:tr>
      <w:tr w:rsidR="002D7080" w:rsidRPr="004D1E6F" w14:paraId="305007E6" w14:textId="77777777" w:rsidTr="002E2C37">
        <w:tc>
          <w:tcPr>
            <w:tcW w:w="5949" w:type="dxa"/>
          </w:tcPr>
          <w:p w14:paraId="670D4F6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 xml:space="preserve">Major </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MR</w:t>
            </w:r>
            <w:r w:rsidRPr="004D1E6F">
              <w:rPr>
                <w:rFonts w:ascii="Times New Roman" w:eastAsia="Times New Roman" w:hAnsi="Times New Roman" w:cs="Times New Roman"/>
                <w:sz w:val="20"/>
                <w:szCs w:val="20"/>
                <w:lang w:eastAsia="en-ZA"/>
              </w:rPr>
              <w:t>)</w:t>
            </w:r>
          </w:p>
        </w:tc>
        <w:tc>
          <w:tcPr>
            <w:tcW w:w="3067" w:type="dxa"/>
          </w:tcPr>
          <w:p w14:paraId="04AB079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Medium </w:t>
            </w:r>
          </w:p>
        </w:tc>
      </w:tr>
      <w:tr w:rsidR="002D7080" w:rsidRPr="004D1E6F" w14:paraId="3CB7D2DB" w14:textId="77777777" w:rsidTr="002E2C37">
        <w:trPr>
          <w:trHeight w:val="70"/>
        </w:trPr>
        <w:tc>
          <w:tcPr>
            <w:tcW w:w="9016" w:type="dxa"/>
            <w:gridSpan w:val="2"/>
          </w:tcPr>
          <w:p w14:paraId="094BD1AF" w14:textId="77777777" w:rsidR="002D7080" w:rsidRPr="004D1E6F" w:rsidRDefault="002D7080" w:rsidP="002E2C37">
            <w:pPr>
              <w:jc w:val="both"/>
              <w:rPr>
                <w:rFonts w:ascii="Times New Roman" w:eastAsia="Times New Roman" w:hAnsi="Times New Roman" w:cs="Times New Roman"/>
                <w:sz w:val="20"/>
                <w:szCs w:val="20"/>
                <w:lang w:eastAsia="en-ZA"/>
              </w:rPr>
            </w:pPr>
            <w:r w:rsidRPr="00E52A8B">
              <w:rPr>
                <w:rFonts w:ascii="Times New Roman" w:eastAsia="Times New Roman" w:hAnsi="Times New Roman" w:cs="Times New Roman"/>
                <w:sz w:val="20"/>
                <w:szCs w:val="20"/>
                <w:lang w:eastAsia="en-ZA"/>
              </w:rPr>
              <w:t xml:space="preserve">Rationale: </w:t>
            </w:r>
            <w:r w:rsidRPr="00E52A8B">
              <w:rPr>
                <w:rFonts w:ascii="Times New Roman" w:eastAsia="Times New Roman" w:hAnsi="Times New Roman" w:cs="Times New Roman"/>
                <w:i/>
                <w:iCs/>
                <w:sz w:val="20"/>
                <w:szCs w:val="20"/>
                <w:lang w:eastAsia="en-ZA"/>
              </w:rPr>
              <w:t>Faxonius virilis</w:t>
            </w:r>
            <w:r w:rsidRPr="00E52A8B">
              <w:rPr>
                <w:rFonts w:ascii="Times New Roman" w:eastAsia="Times New Roman" w:hAnsi="Times New Roman" w:cs="Times New Roman"/>
                <w:sz w:val="20"/>
                <w:szCs w:val="20"/>
                <w:lang w:eastAsia="en-ZA"/>
              </w:rPr>
              <w:t xml:space="preserve"> has being implicated in the decline, displacement and local extirpation of native macroinvertebrates, crayfishes, snails, frogs and fish in the USA through competition and predation (</w:t>
            </w:r>
            <w:r>
              <w:rPr>
                <w:rFonts w:ascii="Times New Roman" w:eastAsia="Times New Roman" w:hAnsi="Times New Roman" w:cs="Times New Roman"/>
                <w:sz w:val="20"/>
                <w:szCs w:val="20"/>
                <w:lang w:eastAsia="en-ZA"/>
              </w:rPr>
              <w:t xml:space="preserve">Hanson et al. 1990; </w:t>
            </w:r>
            <w:r w:rsidRPr="00E52A8B">
              <w:rPr>
                <w:rFonts w:ascii="Times New Roman" w:hAnsi="Times New Roman" w:cs="Times New Roman"/>
                <w:color w:val="333333"/>
                <w:sz w:val="20"/>
                <w:szCs w:val="20"/>
                <w:shd w:val="clear" w:color="auto" w:fill="FFFFFF"/>
              </w:rPr>
              <w:t xml:space="preserve">Rogowski &amp; Stockwell 2006, </w:t>
            </w:r>
            <w:r>
              <w:rPr>
                <w:rFonts w:ascii="Times New Roman" w:hAnsi="Times New Roman" w:cs="Times New Roman"/>
                <w:color w:val="333333"/>
                <w:sz w:val="20"/>
                <w:szCs w:val="20"/>
                <w:shd w:val="clear" w:color="auto" w:fill="FFFFFF"/>
              </w:rPr>
              <w:t xml:space="preserve">Philips et al. 2009; </w:t>
            </w:r>
            <w:r w:rsidRPr="00E52A8B">
              <w:rPr>
                <w:rFonts w:ascii="Times New Roman" w:eastAsia="Times New Roman" w:hAnsi="Times New Roman" w:cs="Times New Roman"/>
                <w:sz w:val="20"/>
                <w:szCs w:val="20"/>
                <w:lang w:eastAsia="en-ZA"/>
              </w:rPr>
              <w:t>Loughman &amp; Welsh 2010;</w:t>
            </w:r>
            <w:r>
              <w:rPr>
                <w:rFonts w:ascii="Times New Roman" w:eastAsia="Times New Roman" w:hAnsi="Times New Roman" w:cs="Times New Roman"/>
                <w:sz w:val="20"/>
                <w:szCs w:val="20"/>
                <w:lang w:eastAsia="en-ZA"/>
              </w:rPr>
              <w:t xml:space="preserve"> Hale et al. 2016;</w:t>
            </w:r>
            <w:r w:rsidRPr="00E52A8B">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 xml:space="preserve">Shaw et al. 2021; </w:t>
            </w:r>
            <w:r w:rsidRPr="00E52A8B">
              <w:rPr>
                <w:rFonts w:ascii="Times New Roman" w:eastAsia="Times New Roman" w:hAnsi="Times New Roman" w:cs="Times New Roman"/>
                <w:sz w:val="20"/>
                <w:szCs w:val="20"/>
                <w:lang w:eastAsia="en-ZA"/>
              </w:rPr>
              <w:t>USGS-NAS 2023</w:t>
            </w:r>
            <w:r>
              <w:rPr>
                <w:rFonts w:ascii="Times New Roman" w:eastAsia="Times New Roman" w:hAnsi="Times New Roman" w:cs="Times New Roman"/>
                <w:sz w:val="20"/>
                <w:szCs w:val="20"/>
                <w:lang w:eastAsia="en-ZA"/>
              </w:rPr>
              <w:t>; GISD 2023</w:t>
            </w:r>
            <w:r w:rsidRPr="00E52A8B">
              <w:rPr>
                <w:rFonts w:ascii="Times New Roman" w:eastAsia="Times New Roman" w:hAnsi="Times New Roman" w:cs="Times New Roman"/>
                <w:sz w:val="20"/>
                <w:szCs w:val="20"/>
                <w:lang w:eastAsia="en-ZA"/>
              </w:rPr>
              <w:t xml:space="preserve">).  </w:t>
            </w:r>
          </w:p>
        </w:tc>
      </w:tr>
      <w:tr w:rsidR="002D7080" w:rsidRPr="004D1E6F" w14:paraId="10D2C765" w14:textId="77777777" w:rsidTr="002E2C37">
        <w:trPr>
          <w:trHeight w:val="70"/>
        </w:trPr>
        <w:tc>
          <w:tcPr>
            <w:tcW w:w="9016" w:type="dxa"/>
            <w:gridSpan w:val="2"/>
          </w:tcPr>
          <w:p w14:paraId="732102CF" w14:textId="77777777" w:rsidR="002D7080" w:rsidRPr="00E52A8B" w:rsidRDefault="002D7080" w:rsidP="002E2C37">
            <w:pPr>
              <w:ind w:left="720" w:hanging="720"/>
              <w:contextualSpacing/>
              <w:rPr>
                <w:rFonts w:ascii="Times New Roman" w:eastAsia="Times New Roman" w:hAnsi="Times New Roman" w:cs="Times New Roman"/>
                <w:sz w:val="20"/>
                <w:szCs w:val="20"/>
                <w:lang w:eastAsia="en-ZA"/>
              </w:rPr>
            </w:pPr>
            <w:r w:rsidRPr="00E52A8B">
              <w:rPr>
                <w:rFonts w:ascii="Times New Roman" w:eastAsia="Times New Roman" w:hAnsi="Times New Roman" w:cs="Times New Roman"/>
                <w:sz w:val="20"/>
                <w:szCs w:val="20"/>
                <w:lang w:eastAsia="en-ZA"/>
              </w:rPr>
              <w:t>References:</w:t>
            </w:r>
          </w:p>
          <w:p w14:paraId="5475A494" w14:textId="77777777" w:rsidR="002D7080" w:rsidRPr="00E52A8B" w:rsidRDefault="002D7080" w:rsidP="002E2C37">
            <w:pPr>
              <w:ind w:left="720" w:hanging="720"/>
              <w:contextualSpacing/>
              <w:jc w:val="both"/>
              <w:rPr>
                <w:rFonts w:ascii="Times New Roman" w:hAnsi="Times New Roman" w:cs="Times New Roman"/>
                <w:sz w:val="20"/>
                <w:szCs w:val="20"/>
              </w:rPr>
            </w:pPr>
            <w:r w:rsidRPr="00E52A8B">
              <w:rPr>
                <w:rFonts w:ascii="Times New Roman" w:hAnsi="Times New Roman" w:cs="Times New Roman"/>
                <w:sz w:val="20"/>
                <w:szCs w:val="20"/>
                <w:shd w:val="clear" w:color="auto" w:fill="FFFFFF"/>
              </w:rPr>
              <w:t xml:space="preserve">GISD, 2023. Species profile: </w:t>
            </w:r>
            <w:r w:rsidRPr="00E52A8B">
              <w:rPr>
                <w:rFonts w:ascii="Times New Roman" w:hAnsi="Times New Roman" w:cs="Times New Roman"/>
                <w:i/>
                <w:iCs/>
                <w:sz w:val="20"/>
                <w:szCs w:val="20"/>
                <w:shd w:val="clear" w:color="auto" w:fill="FFFFFF"/>
              </w:rPr>
              <w:t>Orconectes virilis</w:t>
            </w:r>
            <w:r w:rsidRPr="00E52A8B">
              <w:rPr>
                <w:rFonts w:ascii="Times New Roman" w:hAnsi="Times New Roman" w:cs="Times New Roman"/>
                <w:sz w:val="20"/>
                <w:szCs w:val="20"/>
                <w:shd w:val="clear" w:color="auto" w:fill="FFFFFF"/>
              </w:rPr>
              <w:t xml:space="preserve">. Global Invasive Species Database. </w:t>
            </w:r>
            <w:hyperlink w:history="1">
              <w:r w:rsidRPr="00E52A8B">
                <w:rPr>
                  <w:rStyle w:val="Hyperlink"/>
                  <w:rFonts w:ascii="Times New Roman" w:hAnsi="Times New Roman" w:cs="Times New Roman"/>
                  <w:sz w:val="20"/>
                  <w:szCs w:val="20"/>
                  <w:shd w:val="clear" w:color="auto" w:fill="FFFFFF"/>
                </w:rPr>
                <w:t>http://www.iucngisd.org/gisd/species.php?sc=218</w:t>
              </w:r>
            </w:hyperlink>
          </w:p>
          <w:p w14:paraId="40379277" w14:textId="6D743D58" w:rsidR="002D7080" w:rsidRPr="00C94525" w:rsidRDefault="002D7080" w:rsidP="002E2C37">
            <w:pPr>
              <w:ind w:left="720" w:hanging="720"/>
              <w:contextualSpacing/>
              <w:jc w:val="both"/>
              <w:rPr>
                <w:rFonts w:ascii="Times New Roman" w:hAnsi="Times New Roman" w:cs="Times New Roman"/>
                <w:color w:val="000000"/>
                <w:sz w:val="18"/>
                <w:szCs w:val="18"/>
              </w:rPr>
            </w:pPr>
            <w:r w:rsidRPr="00E52A8B">
              <w:rPr>
                <w:rFonts w:ascii="Times New Roman" w:hAnsi="Times New Roman" w:cs="Times New Roman"/>
                <w:color w:val="000000"/>
                <w:sz w:val="20"/>
                <w:szCs w:val="20"/>
              </w:rPr>
              <w:t>Hale, P., Wilson,</w:t>
            </w:r>
            <w:r>
              <w:rPr>
                <w:rFonts w:ascii="Times New Roman" w:hAnsi="Times New Roman" w:cs="Times New Roman"/>
                <w:color w:val="000000"/>
                <w:sz w:val="20"/>
                <w:szCs w:val="20"/>
              </w:rPr>
              <w:t xml:space="preserve"> J., </w:t>
            </w:r>
            <w:r w:rsidRPr="00E52A8B">
              <w:rPr>
                <w:rFonts w:ascii="Times New Roman" w:hAnsi="Times New Roman" w:cs="Times New Roman"/>
                <w:color w:val="000000"/>
                <w:sz w:val="20"/>
                <w:szCs w:val="20"/>
              </w:rPr>
              <w:t xml:space="preserve">Loughman, </w:t>
            </w:r>
            <w:r>
              <w:rPr>
                <w:rFonts w:ascii="Times New Roman" w:hAnsi="Times New Roman" w:cs="Times New Roman"/>
                <w:color w:val="000000"/>
                <w:sz w:val="20"/>
                <w:szCs w:val="20"/>
              </w:rPr>
              <w:t xml:space="preserve">Z. &amp; </w:t>
            </w:r>
            <w:r w:rsidRPr="00E52A8B">
              <w:rPr>
                <w:rFonts w:ascii="Times New Roman" w:hAnsi="Times New Roman" w:cs="Times New Roman"/>
                <w:color w:val="000000"/>
                <w:sz w:val="20"/>
                <w:szCs w:val="20"/>
              </w:rPr>
              <w:t>Henkanaththegedara</w:t>
            </w:r>
            <w:r>
              <w:rPr>
                <w:rFonts w:ascii="Times New Roman" w:hAnsi="Times New Roman" w:cs="Times New Roman"/>
                <w:color w:val="000000"/>
                <w:sz w:val="20"/>
                <w:szCs w:val="20"/>
              </w:rPr>
              <w:t>, S.,</w:t>
            </w:r>
            <w:r w:rsidRPr="00E52A8B">
              <w:rPr>
                <w:rFonts w:ascii="Times New Roman" w:hAnsi="Times New Roman" w:cs="Times New Roman"/>
                <w:color w:val="000000"/>
                <w:sz w:val="20"/>
                <w:szCs w:val="20"/>
              </w:rPr>
              <w:t xml:space="preserve"> 2016</w:t>
            </w:r>
            <w:r>
              <w:rPr>
                <w:rFonts w:ascii="Times New Roman" w:hAnsi="Times New Roman" w:cs="Times New Roman"/>
                <w:color w:val="000000"/>
                <w:sz w:val="20"/>
                <w:szCs w:val="20"/>
              </w:rPr>
              <w:t>, ‘</w:t>
            </w:r>
            <w:r w:rsidRPr="00E52A8B">
              <w:rPr>
                <w:rFonts w:ascii="Times New Roman" w:hAnsi="Times New Roman" w:cs="Times New Roman"/>
                <w:color w:val="000000"/>
                <w:sz w:val="20"/>
                <w:szCs w:val="20"/>
              </w:rPr>
              <w:t>Potential impacts of invasive crayfish on native crayfish: insights from laboratory experiments</w:t>
            </w:r>
            <w:r>
              <w:rPr>
                <w:rFonts w:ascii="Times New Roman" w:hAnsi="Times New Roman" w:cs="Times New Roman"/>
                <w:color w:val="000000"/>
                <w:sz w:val="20"/>
                <w:szCs w:val="20"/>
              </w:rPr>
              <w:t xml:space="preserve">’, </w:t>
            </w:r>
            <w:r w:rsidRPr="0019330E">
              <w:rPr>
                <w:rFonts w:ascii="Times New Roman" w:hAnsi="Times New Roman" w:cs="Times New Roman"/>
                <w:i/>
                <w:iCs/>
                <w:color w:val="000000"/>
                <w:sz w:val="20"/>
                <w:szCs w:val="20"/>
              </w:rPr>
              <w:t>Aquatic Invasions</w:t>
            </w:r>
            <w:r w:rsidRPr="00E52A8B">
              <w:rPr>
                <w:rFonts w:ascii="Times New Roman" w:hAnsi="Times New Roman" w:cs="Times New Roman"/>
                <w:color w:val="000000"/>
                <w:sz w:val="20"/>
                <w:szCs w:val="20"/>
              </w:rPr>
              <w:t xml:space="preserve"> 11(4)</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 xml:space="preserve">451-458. </w:t>
            </w:r>
            <w:r w:rsidR="00C94525" w:rsidRPr="00C94525">
              <w:rPr>
                <w:rFonts w:ascii="Times New Roman" w:hAnsi="Times New Roman" w:cs="Times New Roman"/>
                <w:sz w:val="20"/>
                <w:szCs w:val="20"/>
              </w:rPr>
              <w:t>http://dx.doi.org/10.3391/ai.2016.11.4.09</w:t>
            </w:r>
            <w:r w:rsidRPr="00C94525">
              <w:rPr>
                <w:rFonts w:ascii="Times New Roman" w:hAnsi="Times New Roman" w:cs="Times New Roman"/>
                <w:color w:val="000000"/>
                <w:sz w:val="18"/>
                <w:szCs w:val="18"/>
              </w:rPr>
              <w:t>.</w:t>
            </w:r>
          </w:p>
          <w:p w14:paraId="2EFAAAC2"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E52A8B">
              <w:rPr>
                <w:rFonts w:ascii="Times New Roman" w:hAnsi="Times New Roman" w:cs="Times New Roman"/>
                <w:color w:val="000000"/>
                <w:sz w:val="20"/>
                <w:szCs w:val="20"/>
              </w:rPr>
              <w:t>Hanson, J.M., Chambers, P.A.</w:t>
            </w:r>
            <w:r>
              <w:rPr>
                <w:rFonts w:ascii="Times New Roman" w:hAnsi="Times New Roman" w:cs="Times New Roman"/>
                <w:color w:val="000000"/>
                <w:sz w:val="20"/>
                <w:szCs w:val="20"/>
              </w:rPr>
              <w:t xml:space="preserve"> &amp;</w:t>
            </w:r>
            <w:r w:rsidRPr="00E52A8B">
              <w:rPr>
                <w:rFonts w:ascii="Times New Roman" w:hAnsi="Times New Roman" w:cs="Times New Roman"/>
                <w:color w:val="000000"/>
                <w:sz w:val="20"/>
                <w:szCs w:val="20"/>
              </w:rPr>
              <w:t xml:space="preserve"> Prepas</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 xml:space="preserve"> E.E.</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1990</w:t>
            </w:r>
            <w:r>
              <w:rPr>
                <w:rFonts w:ascii="Times New Roman" w:hAnsi="Times New Roman" w:cs="Times New Roman"/>
                <w:color w:val="000000"/>
                <w:sz w:val="20"/>
                <w:szCs w:val="20"/>
              </w:rPr>
              <w:t>, ‘</w:t>
            </w:r>
            <w:r w:rsidRPr="00E52A8B">
              <w:rPr>
                <w:rFonts w:ascii="Times New Roman" w:hAnsi="Times New Roman" w:cs="Times New Roman"/>
                <w:color w:val="000000"/>
                <w:sz w:val="20"/>
                <w:szCs w:val="20"/>
              </w:rPr>
              <w:t>Selective foraging by the crayfish </w:t>
            </w:r>
            <w:r w:rsidRPr="00E52A8B">
              <w:rPr>
                <w:rStyle w:val="Emphasis"/>
                <w:rFonts w:ascii="Times New Roman" w:hAnsi="Times New Roman" w:cs="Times New Roman"/>
                <w:color w:val="000000"/>
                <w:sz w:val="20"/>
                <w:szCs w:val="20"/>
              </w:rPr>
              <w:t>Orconectes virilis</w:t>
            </w:r>
            <w:r w:rsidRPr="00E52A8B">
              <w:rPr>
                <w:rFonts w:ascii="Times New Roman" w:hAnsi="Times New Roman" w:cs="Times New Roman"/>
                <w:color w:val="000000"/>
                <w:sz w:val="20"/>
                <w:szCs w:val="20"/>
              </w:rPr>
              <w:t> and its impact on macroinvertebrates</w:t>
            </w:r>
            <w:r>
              <w:rPr>
                <w:rFonts w:ascii="Times New Roman" w:hAnsi="Times New Roman" w:cs="Times New Roman"/>
                <w:color w:val="000000"/>
                <w:sz w:val="20"/>
                <w:szCs w:val="20"/>
              </w:rPr>
              <w:t xml:space="preserve">’, </w:t>
            </w:r>
            <w:r w:rsidRPr="00DB4732">
              <w:rPr>
                <w:rFonts w:ascii="Times New Roman" w:hAnsi="Times New Roman" w:cs="Times New Roman"/>
                <w:i/>
                <w:iCs/>
                <w:color w:val="000000"/>
                <w:sz w:val="20"/>
                <w:szCs w:val="20"/>
              </w:rPr>
              <w:t>Freshwater Biology</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 xml:space="preserve"> 24</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69-80.</w:t>
            </w:r>
          </w:p>
          <w:p w14:paraId="6175B1E9" w14:textId="77777777" w:rsidR="002D7080" w:rsidRPr="00E52A8B" w:rsidRDefault="002D7080" w:rsidP="002E2C37">
            <w:pPr>
              <w:ind w:left="720" w:hanging="720"/>
              <w:contextualSpacing/>
              <w:jc w:val="both"/>
              <w:rPr>
                <w:rFonts w:ascii="Times New Roman" w:hAnsi="Times New Roman" w:cs="Times New Roman"/>
                <w:sz w:val="20"/>
                <w:szCs w:val="20"/>
              </w:rPr>
            </w:pPr>
            <w:r w:rsidRPr="00E52A8B">
              <w:rPr>
                <w:rFonts w:ascii="Times New Roman" w:hAnsi="Times New Roman" w:cs="Times New Roman"/>
                <w:sz w:val="20"/>
                <w:szCs w:val="20"/>
              </w:rPr>
              <w:t>Loughman, Z. J.</w:t>
            </w:r>
            <w:r>
              <w:rPr>
                <w:rFonts w:ascii="Times New Roman" w:hAnsi="Times New Roman" w:cs="Times New Roman"/>
                <w:sz w:val="20"/>
                <w:szCs w:val="20"/>
              </w:rPr>
              <w:t xml:space="preserve"> &amp; W</w:t>
            </w:r>
            <w:r w:rsidRPr="00E52A8B">
              <w:rPr>
                <w:rFonts w:ascii="Times New Roman" w:hAnsi="Times New Roman" w:cs="Times New Roman"/>
                <w:sz w:val="20"/>
                <w:szCs w:val="20"/>
              </w:rPr>
              <w:t>elsh</w:t>
            </w:r>
            <w:r>
              <w:rPr>
                <w:rFonts w:ascii="Times New Roman" w:hAnsi="Times New Roman" w:cs="Times New Roman"/>
                <w:sz w:val="20"/>
                <w:szCs w:val="20"/>
              </w:rPr>
              <w:t>, S.A</w:t>
            </w:r>
            <w:r w:rsidRPr="00E52A8B">
              <w:rPr>
                <w:rFonts w:ascii="Times New Roman" w:hAnsi="Times New Roman" w:cs="Times New Roman"/>
                <w:sz w:val="20"/>
                <w:szCs w:val="20"/>
              </w:rPr>
              <w:t>.</w:t>
            </w:r>
            <w:r>
              <w:rPr>
                <w:rFonts w:ascii="Times New Roman" w:hAnsi="Times New Roman" w:cs="Times New Roman"/>
                <w:sz w:val="20"/>
                <w:szCs w:val="20"/>
              </w:rPr>
              <w:t xml:space="preserve">, </w:t>
            </w:r>
            <w:r w:rsidRPr="00E52A8B">
              <w:rPr>
                <w:rFonts w:ascii="Times New Roman" w:hAnsi="Times New Roman" w:cs="Times New Roman"/>
                <w:sz w:val="20"/>
                <w:szCs w:val="20"/>
              </w:rPr>
              <w:t>2010</w:t>
            </w:r>
            <w:r>
              <w:rPr>
                <w:rFonts w:ascii="Times New Roman" w:hAnsi="Times New Roman" w:cs="Times New Roman"/>
                <w:sz w:val="20"/>
                <w:szCs w:val="20"/>
              </w:rPr>
              <w:t>,</w:t>
            </w:r>
            <w:r w:rsidRPr="00E52A8B">
              <w:rPr>
                <w:rFonts w:ascii="Times New Roman" w:hAnsi="Times New Roman" w:cs="Times New Roman"/>
                <w:sz w:val="20"/>
                <w:szCs w:val="20"/>
              </w:rPr>
              <w:t xml:space="preserve"> </w:t>
            </w:r>
            <w:r>
              <w:rPr>
                <w:rFonts w:ascii="Times New Roman" w:hAnsi="Times New Roman" w:cs="Times New Roman"/>
                <w:sz w:val="20"/>
                <w:szCs w:val="20"/>
              </w:rPr>
              <w:t>‘</w:t>
            </w:r>
            <w:r w:rsidRPr="00E52A8B">
              <w:rPr>
                <w:rFonts w:ascii="Times New Roman" w:hAnsi="Times New Roman" w:cs="Times New Roman"/>
                <w:sz w:val="20"/>
                <w:szCs w:val="20"/>
              </w:rPr>
              <w:t>Distribution and conservation standing of West Virginia crayfishes</w:t>
            </w:r>
            <w:r>
              <w:rPr>
                <w:rFonts w:ascii="Times New Roman" w:hAnsi="Times New Roman" w:cs="Times New Roman"/>
                <w:sz w:val="20"/>
                <w:szCs w:val="20"/>
              </w:rPr>
              <w:t>’,</w:t>
            </w:r>
            <w:r w:rsidRPr="00E52A8B">
              <w:rPr>
                <w:rFonts w:ascii="Times New Roman" w:hAnsi="Times New Roman" w:cs="Times New Roman"/>
                <w:sz w:val="20"/>
                <w:szCs w:val="20"/>
              </w:rPr>
              <w:t xml:space="preserve"> </w:t>
            </w:r>
            <w:r w:rsidRPr="00B66F43">
              <w:rPr>
                <w:rFonts w:ascii="Times New Roman" w:hAnsi="Times New Roman" w:cs="Times New Roman"/>
                <w:i/>
                <w:iCs/>
                <w:sz w:val="20"/>
                <w:szCs w:val="20"/>
              </w:rPr>
              <w:t>Southeastern Naturalist</w:t>
            </w:r>
            <w:r>
              <w:rPr>
                <w:rFonts w:ascii="Times New Roman" w:hAnsi="Times New Roman" w:cs="Times New Roman"/>
                <w:sz w:val="20"/>
                <w:szCs w:val="20"/>
              </w:rPr>
              <w:t xml:space="preserve">, </w:t>
            </w:r>
            <w:r w:rsidRPr="00E52A8B">
              <w:rPr>
                <w:rFonts w:ascii="Times New Roman" w:hAnsi="Times New Roman" w:cs="Times New Roman"/>
                <w:sz w:val="20"/>
                <w:szCs w:val="20"/>
              </w:rPr>
              <w:t>9(3)</w:t>
            </w:r>
            <w:r>
              <w:rPr>
                <w:rFonts w:ascii="Times New Roman" w:hAnsi="Times New Roman" w:cs="Times New Roman"/>
                <w:sz w:val="20"/>
                <w:szCs w:val="20"/>
              </w:rPr>
              <w:t xml:space="preserve">, </w:t>
            </w:r>
            <w:r w:rsidRPr="00E52A8B">
              <w:rPr>
                <w:rFonts w:ascii="Times New Roman" w:hAnsi="Times New Roman" w:cs="Times New Roman"/>
                <w:sz w:val="20"/>
                <w:szCs w:val="20"/>
              </w:rPr>
              <w:t>63-78.</w:t>
            </w:r>
            <w:r>
              <w:rPr>
                <w:rFonts w:ascii="Times New Roman" w:hAnsi="Times New Roman" w:cs="Times New Roman"/>
                <w:sz w:val="20"/>
                <w:szCs w:val="20"/>
              </w:rPr>
              <w:t xml:space="preserve"> </w:t>
            </w:r>
            <w:hyperlink r:id="rId394" w:history="1">
              <w:r w:rsidRPr="00DA7EBB">
                <w:rPr>
                  <w:rStyle w:val="Hyperlink"/>
                  <w:rFonts w:ascii="Times New Roman" w:hAnsi="Times New Roman" w:cs="Times New Roman"/>
                  <w:sz w:val="20"/>
                  <w:szCs w:val="20"/>
                </w:rPr>
                <w:t>https://doi.org/10.1656/058.009.s304</w:t>
              </w:r>
            </w:hyperlink>
            <w:r w:rsidRPr="00DA7EBB">
              <w:rPr>
                <w:rFonts w:ascii="Times New Roman" w:hAnsi="Times New Roman" w:cs="Times New Roman"/>
                <w:sz w:val="20"/>
                <w:szCs w:val="20"/>
              </w:rPr>
              <w:t>.</w:t>
            </w:r>
          </w:p>
          <w:p w14:paraId="7B3724E3" w14:textId="77777777" w:rsidR="002D7080" w:rsidRPr="00E52A8B" w:rsidRDefault="002D7080" w:rsidP="002E2C37">
            <w:pPr>
              <w:ind w:left="720" w:hanging="720"/>
              <w:contextualSpacing/>
              <w:jc w:val="both"/>
              <w:rPr>
                <w:rFonts w:ascii="Times New Roman" w:hAnsi="Times New Roman" w:cs="Times New Roman"/>
                <w:color w:val="000000"/>
                <w:sz w:val="20"/>
                <w:szCs w:val="20"/>
              </w:rPr>
            </w:pPr>
            <w:r w:rsidRPr="00E52A8B">
              <w:rPr>
                <w:rFonts w:ascii="Times New Roman" w:hAnsi="Times New Roman" w:cs="Times New Roman"/>
                <w:color w:val="000000"/>
                <w:sz w:val="20"/>
                <w:szCs w:val="20"/>
              </w:rPr>
              <w:t>Phillips, I.D., Vinebrooke, R.D.</w:t>
            </w:r>
            <w:r>
              <w:rPr>
                <w:rFonts w:ascii="Times New Roman" w:hAnsi="Times New Roman" w:cs="Times New Roman"/>
                <w:color w:val="000000"/>
                <w:sz w:val="20"/>
                <w:szCs w:val="20"/>
              </w:rPr>
              <w:t xml:space="preserve"> &amp;</w:t>
            </w:r>
            <w:r w:rsidRPr="00E52A8B">
              <w:rPr>
                <w:rFonts w:ascii="Times New Roman" w:hAnsi="Times New Roman" w:cs="Times New Roman"/>
                <w:color w:val="000000"/>
                <w:sz w:val="20"/>
                <w:szCs w:val="20"/>
              </w:rPr>
              <w:t xml:space="preserve"> Turner</w:t>
            </w:r>
            <w:r>
              <w:rPr>
                <w:rFonts w:ascii="Times New Roman" w:hAnsi="Times New Roman" w:cs="Times New Roman"/>
                <w:color w:val="000000"/>
                <w:sz w:val="20"/>
                <w:szCs w:val="20"/>
              </w:rPr>
              <w:t xml:space="preserve">, M.A., </w:t>
            </w:r>
            <w:r w:rsidRPr="00E52A8B">
              <w:rPr>
                <w:rFonts w:ascii="Times New Roman" w:hAnsi="Times New Roman" w:cs="Times New Roman"/>
                <w:color w:val="000000"/>
                <w:sz w:val="20"/>
                <w:szCs w:val="20"/>
              </w:rPr>
              <w:t>2009</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 xml:space="preserve"> </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Ecosystem consequences of potential range expansions of </w:t>
            </w:r>
            <w:r w:rsidRPr="00E52A8B">
              <w:rPr>
                <w:rStyle w:val="Emphasis"/>
                <w:rFonts w:ascii="Times New Roman" w:hAnsi="Times New Roman" w:cs="Times New Roman"/>
                <w:color w:val="000000"/>
                <w:sz w:val="20"/>
                <w:szCs w:val="20"/>
              </w:rPr>
              <w:t>Orconectes virilis</w:t>
            </w:r>
            <w:r w:rsidRPr="00E52A8B">
              <w:rPr>
                <w:rFonts w:ascii="Times New Roman" w:hAnsi="Times New Roman" w:cs="Times New Roman"/>
                <w:color w:val="000000"/>
                <w:sz w:val="20"/>
                <w:szCs w:val="20"/>
              </w:rPr>
              <w:t> and </w:t>
            </w:r>
            <w:r w:rsidRPr="00E52A8B">
              <w:rPr>
                <w:rStyle w:val="Emphasis"/>
                <w:rFonts w:ascii="Times New Roman" w:hAnsi="Times New Roman" w:cs="Times New Roman"/>
                <w:color w:val="000000"/>
                <w:sz w:val="20"/>
                <w:szCs w:val="20"/>
              </w:rPr>
              <w:t>Orvconectes rusticus</w:t>
            </w:r>
            <w:r w:rsidRPr="00E52A8B">
              <w:rPr>
                <w:rFonts w:ascii="Times New Roman" w:hAnsi="Times New Roman" w:cs="Times New Roman"/>
                <w:color w:val="000000"/>
                <w:sz w:val="20"/>
                <w:szCs w:val="20"/>
              </w:rPr>
              <w:t xml:space="preserve"> crayfish in Canada- a review. </w:t>
            </w:r>
            <w:r w:rsidRPr="009A1B1C">
              <w:rPr>
                <w:rFonts w:ascii="Times New Roman" w:hAnsi="Times New Roman" w:cs="Times New Roman"/>
                <w:i/>
                <w:iCs/>
                <w:color w:val="000000"/>
                <w:sz w:val="20"/>
                <w:szCs w:val="20"/>
              </w:rPr>
              <w:t>Environmental Review</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 xml:space="preserve"> 17</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235-248.</w:t>
            </w:r>
            <w:r w:rsidRPr="00DA7EBB">
              <w:rPr>
                <w:rFonts w:ascii="Times New Roman" w:hAnsi="Times New Roman" w:cs="Times New Roman"/>
                <w:sz w:val="20"/>
                <w:szCs w:val="20"/>
              </w:rPr>
              <w:t xml:space="preserve"> </w:t>
            </w:r>
            <w:hyperlink r:id="rId395" w:history="1">
              <w:r w:rsidRPr="00DA7EBB">
                <w:rPr>
                  <w:rStyle w:val="Hyperlink"/>
                  <w:rFonts w:ascii="Times New Roman" w:hAnsi="Times New Roman" w:cs="Times New Roman"/>
                  <w:sz w:val="20"/>
                  <w:szCs w:val="20"/>
                </w:rPr>
                <w:t>https://doi.org/10.1656/058.009.s304</w:t>
              </w:r>
            </w:hyperlink>
            <w:r w:rsidRPr="00DA7EBB">
              <w:rPr>
                <w:rFonts w:ascii="Times New Roman" w:hAnsi="Times New Roman" w:cs="Times New Roman"/>
                <w:color w:val="000000"/>
                <w:sz w:val="20"/>
                <w:szCs w:val="20"/>
              </w:rPr>
              <w:t>.</w:t>
            </w:r>
          </w:p>
          <w:p w14:paraId="0D8F123A" w14:textId="77777777" w:rsidR="002D7080" w:rsidRPr="00DA7EBB" w:rsidRDefault="002D7080" w:rsidP="002E2C37">
            <w:pPr>
              <w:ind w:left="720" w:hanging="720"/>
              <w:contextualSpacing/>
              <w:jc w:val="both"/>
              <w:rPr>
                <w:rFonts w:ascii="Times New Roman" w:hAnsi="Times New Roman" w:cs="Times New Roman"/>
                <w:sz w:val="20"/>
                <w:szCs w:val="20"/>
                <w:shd w:val="clear" w:color="auto" w:fill="FFFFFF"/>
              </w:rPr>
            </w:pPr>
            <w:r w:rsidRPr="00DA7EBB">
              <w:rPr>
                <w:rFonts w:ascii="Times New Roman" w:hAnsi="Times New Roman" w:cs="Times New Roman"/>
                <w:sz w:val="20"/>
                <w:szCs w:val="20"/>
                <w:shd w:val="clear" w:color="auto" w:fill="FFFFFF"/>
              </w:rPr>
              <w:t xml:space="preserve">Rogowski, D.L. &amp; Stockwell, C.A., 2006, ‘Assessment of potential impacts of exotic species on populations of a threatened species, white sands pupfish, </w:t>
            </w:r>
            <w:r w:rsidRPr="00DA7EBB">
              <w:rPr>
                <w:rFonts w:ascii="Times New Roman" w:hAnsi="Times New Roman" w:cs="Times New Roman"/>
                <w:i/>
                <w:iCs/>
                <w:sz w:val="20"/>
                <w:szCs w:val="20"/>
                <w:shd w:val="clear" w:color="auto" w:fill="FFFFFF"/>
              </w:rPr>
              <w:t>Cyprinodon Tularosa</w:t>
            </w:r>
            <w:r w:rsidRPr="00DA7EBB">
              <w:rPr>
                <w:rFonts w:ascii="Times New Roman" w:hAnsi="Times New Roman" w:cs="Times New Roman"/>
                <w:sz w:val="20"/>
                <w:szCs w:val="20"/>
                <w:shd w:val="clear" w:color="auto" w:fill="FFFFFF"/>
              </w:rPr>
              <w:t xml:space="preserve">’, </w:t>
            </w:r>
            <w:r w:rsidRPr="00DA7EBB">
              <w:rPr>
                <w:rStyle w:val="Emphasis"/>
                <w:rFonts w:ascii="Times New Roman" w:hAnsi="Times New Roman" w:cs="Times New Roman"/>
                <w:sz w:val="20"/>
                <w:szCs w:val="20"/>
                <w:shd w:val="clear" w:color="auto" w:fill="FFFFFF"/>
              </w:rPr>
              <w:t>Biological Invasions</w:t>
            </w:r>
            <w:r w:rsidRPr="00DA7EBB">
              <w:rPr>
                <w:rFonts w:ascii="Times New Roman" w:hAnsi="Times New Roman" w:cs="Times New Roman"/>
                <w:sz w:val="20"/>
                <w:szCs w:val="20"/>
                <w:shd w:val="clear" w:color="auto" w:fill="FFFFFF"/>
              </w:rPr>
              <w:t>, 8(1), 79-87.</w:t>
            </w:r>
            <w:r>
              <w:rPr>
                <w:rFonts w:ascii="Times New Roman" w:hAnsi="Times New Roman" w:cs="Times New Roman"/>
                <w:sz w:val="20"/>
                <w:szCs w:val="20"/>
                <w:shd w:val="clear" w:color="auto" w:fill="FFFFFF"/>
              </w:rPr>
              <w:t xml:space="preserve"> </w:t>
            </w:r>
            <w:hyperlink r:id="rId396" w:history="1">
              <w:r w:rsidRPr="0018687D">
                <w:rPr>
                  <w:rStyle w:val="Hyperlink"/>
                  <w:rFonts w:ascii="Times New Roman" w:hAnsi="Times New Roman" w:cs="Times New Roman"/>
                  <w:sz w:val="20"/>
                  <w:szCs w:val="20"/>
                  <w:shd w:val="clear" w:color="auto" w:fill="FFFFFF"/>
                </w:rPr>
                <w:t>https://doi.org/10.1007/s10530-005-0238-9</w:t>
              </w:r>
            </w:hyperlink>
            <w:r w:rsidRPr="0018687D">
              <w:rPr>
                <w:rFonts w:ascii="Times New Roman" w:hAnsi="Times New Roman" w:cs="Times New Roman"/>
                <w:sz w:val="20"/>
                <w:szCs w:val="20"/>
                <w:shd w:val="clear" w:color="auto" w:fill="FFFFFF"/>
              </w:rPr>
              <w:t>.</w:t>
            </w:r>
          </w:p>
          <w:p w14:paraId="44BAF4FD" w14:textId="77777777" w:rsidR="002D7080" w:rsidRPr="00E52A8B" w:rsidRDefault="002D7080" w:rsidP="002E2C37">
            <w:pPr>
              <w:ind w:left="720" w:hanging="720"/>
              <w:contextualSpacing/>
              <w:jc w:val="both"/>
              <w:rPr>
                <w:rFonts w:ascii="Times New Roman" w:hAnsi="Times New Roman" w:cs="Times New Roman"/>
                <w:color w:val="000000"/>
                <w:sz w:val="20"/>
                <w:szCs w:val="20"/>
              </w:rPr>
            </w:pPr>
            <w:r w:rsidRPr="00DA7EBB">
              <w:rPr>
                <w:rFonts w:ascii="Times New Roman" w:hAnsi="Times New Roman" w:cs="Times New Roman"/>
                <w:sz w:val="20"/>
                <w:szCs w:val="20"/>
              </w:rPr>
              <w:lastRenderedPageBreak/>
              <w:t>Shaw, P.C., Larson, E.R. &amp; Billman, E.J., 2021, ‘Invasion of Virile Crayfish </w:t>
            </w:r>
            <w:r w:rsidRPr="00DA7EBB">
              <w:rPr>
                <w:rStyle w:val="Emphasis"/>
                <w:rFonts w:ascii="Times New Roman" w:hAnsi="Times New Roman" w:cs="Times New Roman"/>
                <w:sz w:val="20"/>
                <w:szCs w:val="20"/>
              </w:rPr>
              <w:t>Faxonius virilis</w:t>
            </w:r>
            <w:r w:rsidRPr="00DA7EBB">
              <w:rPr>
                <w:rFonts w:ascii="Times New Roman" w:hAnsi="Times New Roman" w:cs="Times New Roman"/>
                <w:sz w:val="20"/>
                <w:szCs w:val="20"/>
              </w:rPr>
              <w:t xml:space="preserve"> (Hagen 1870) in the Lower Henrys Fork Drainage, Idaho’, </w:t>
            </w:r>
            <w:r w:rsidRPr="00DA7EBB">
              <w:rPr>
                <w:rFonts w:ascii="Times New Roman" w:hAnsi="Times New Roman" w:cs="Times New Roman"/>
                <w:i/>
                <w:iCs/>
                <w:sz w:val="20"/>
                <w:szCs w:val="20"/>
              </w:rPr>
              <w:t>Northwest Science</w:t>
            </w:r>
            <w:r w:rsidRPr="00DA7EBB">
              <w:rPr>
                <w:rFonts w:ascii="Times New Roman" w:hAnsi="Times New Roman" w:cs="Times New Roman"/>
                <w:sz w:val="20"/>
                <w:szCs w:val="20"/>
              </w:rPr>
              <w:t xml:space="preserve"> 95(1), 106-113</w:t>
            </w:r>
            <w:r w:rsidRPr="00E52A8B">
              <w:rPr>
                <w:rFonts w:ascii="Times New Roman" w:hAnsi="Times New Roman" w:cs="Times New Roman"/>
                <w:color w:val="000000"/>
                <w:sz w:val="20"/>
                <w:szCs w:val="20"/>
              </w:rPr>
              <w:t xml:space="preserve">. </w:t>
            </w:r>
            <w:hyperlink w:history="1">
              <w:r w:rsidRPr="00E52A8B">
                <w:rPr>
                  <w:rStyle w:val="Hyperlink"/>
                  <w:rFonts w:ascii="Times New Roman" w:hAnsi="Times New Roman" w:cs="Times New Roman"/>
                  <w:sz w:val="20"/>
                  <w:szCs w:val="20"/>
                </w:rPr>
                <w:t>https://doi.org/10.3955/046.095.0107</w:t>
              </w:r>
            </w:hyperlink>
            <w:r w:rsidRPr="00E52A8B">
              <w:rPr>
                <w:rFonts w:ascii="Times New Roman" w:hAnsi="Times New Roman" w:cs="Times New Roman"/>
                <w:color w:val="000000"/>
                <w:sz w:val="20"/>
                <w:szCs w:val="20"/>
              </w:rPr>
              <w:t>.</w:t>
            </w:r>
          </w:p>
          <w:p w14:paraId="53557769" w14:textId="77777777"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E52A8B">
              <w:rPr>
                <w:rFonts w:ascii="Times New Roman" w:hAnsi="Times New Roman" w:cs="Times New Roman"/>
                <w:sz w:val="20"/>
                <w:szCs w:val="20"/>
                <w:shd w:val="clear" w:color="auto" w:fill="FFFFFF"/>
              </w:rPr>
              <w:t xml:space="preserve">USGS-NAS, 2023. </w:t>
            </w:r>
            <w:r w:rsidRPr="00E52A8B">
              <w:rPr>
                <w:rFonts w:ascii="Times New Roman" w:hAnsi="Times New Roman" w:cs="Times New Roman"/>
                <w:i/>
                <w:iCs/>
                <w:sz w:val="20"/>
                <w:szCs w:val="20"/>
                <w:shd w:val="clear" w:color="auto" w:fill="FFFFFF"/>
              </w:rPr>
              <w:t>Faxonius virilis</w:t>
            </w:r>
            <w:r w:rsidRPr="00E52A8B">
              <w:rPr>
                <w:rFonts w:ascii="Times New Roman" w:hAnsi="Times New Roman" w:cs="Times New Roman"/>
                <w:sz w:val="20"/>
                <w:szCs w:val="20"/>
                <w:shd w:val="clear" w:color="auto" w:fill="FFFFFF"/>
              </w:rPr>
              <w:t xml:space="preserve"> (Hagen, 1870).US Geological Survey, Nonindigenous Aquatic Species database. </w:t>
            </w:r>
            <w:hyperlink w:tgtFrame="_blank" w:history="1">
              <w:r w:rsidRPr="00E52A8B">
                <w:rPr>
                  <w:rStyle w:val="Hyperlink"/>
                  <w:rFonts w:ascii="Times New Roman" w:hAnsi="Times New Roman" w:cs="Times New Roman"/>
                  <w:sz w:val="20"/>
                  <w:szCs w:val="20"/>
                  <w:shd w:val="clear" w:color="auto" w:fill="FFFFFF"/>
                </w:rPr>
                <w:t>https://nas.er.usgs.gov/queries/FactSheet.aspx?speciesID=215</w:t>
              </w:r>
            </w:hyperlink>
          </w:p>
        </w:tc>
      </w:tr>
      <w:tr w:rsidR="002D7080" w:rsidRPr="004D1E6F" w14:paraId="6473BCBA" w14:textId="77777777" w:rsidTr="002E2C37">
        <w:tc>
          <w:tcPr>
            <w:tcW w:w="9016" w:type="dxa"/>
            <w:gridSpan w:val="2"/>
            <w:shd w:val="clear" w:color="auto" w:fill="F2F2F2" w:themeFill="background1" w:themeFillShade="F2"/>
          </w:tcPr>
          <w:p w14:paraId="013835C7"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lastRenderedPageBreak/>
              <w:t>CON1c: Hybridisation</w:t>
            </w:r>
          </w:p>
        </w:tc>
      </w:tr>
      <w:tr w:rsidR="002D7080" w:rsidRPr="004D1E6F" w14:paraId="17DED67E" w14:textId="77777777" w:rsidTr="002E2C37">
        <w:tc>
          <w:tcPr>
            <w:tcW w:w="5949" w:type="dxa"/>
          </w:tcPr>
          <w:p w14:paraId="471C169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(DD)</w:t>
            </w:r>
          </w:p>
        </w:tc>
        <w:tc>
          <w:tcPr>
            <w:tcW w:w="3067" w:type="dxa"/>
          </w:tcPr>
          <w:p w14:paraId="1B9AACA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High </w:t>
            </w:r>
          </w:p>
        </w:tc>
      </w:tr>
      <w:tr w:rsidR="002D7080" w:rsidRPr="004D1E6F" w14:paraId="147E8EF2" w14:textId="77777777" w:rsidTr="002E2C37">
        <w:trPr>
          <w:trHeight w:val="70"/>
        </w:trPr>
        <w:tc>
          <w:tcPr>
            <w:tcW w:w="9016" w:type="dxa"/>
            <w:gridSpan w:val="2"/>
          </w:tcPr>
          <w:p w14:paraId="5AD7665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Hybridisation is unlikely in South Africa because there are no native freshwater crayfish species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2017b)", "plainTextFormattedCitation" : "(de Moor 2002, Nunes et al. 2017b)", "previouslyFormattedCitation" : "(de Moor 2002, Nunes et al. 2017b)"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w:t>
            </w:r>
            <w:r w:rsidRPr="004D1E6F">
              <w:rPr>
                <w:rFonts w:ascii="Times New Roman" w:eastAsia="Times New Roman" w:hAnsi="Times New Roman" w:cs="Times New Roman"/>
                <w:sz w:val="20"/>
                <w:szCs w:val="20"/>
                <w:lang w:eastAsia="en-ZA"/>
              </w:rPr>
              <w:fldChar w:fldCharType="end"/>
            </w:r>
          </w:p>
        </w:tc>
      </w:tr>
      <w:tr w:rsidR="002D7080" w:rsidRPr="004D1E6F" w14:paraId="0ED48D0C" w14:textId="77777777" w:rsidTr="002E2C37">
        <w:trPr>
          <w:trHeight w:val="70"/>
        </w:trPr>
        <w:tc>
          <w:tcPr>
            <w:tcW w:w="9016" w:type="dxa"/>
            <w:gridSpan w:val="2"/>
          </w:tcPr>
          <w:p w14:paraId="563EA43E" w14:textId="77777777" w:rsidR="002D7080"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3C2FBF8E"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 </w:t>
            </w:r>
            <w:hyperlink w:history="1">
              <w:r w:rsidRPr="00DA7EBB">
                <w:rPr>
                  <w:rStyle w:val="Hyperlink"/>
                  <w:rFonts w:ascii="Times New Roman" w:eastAsia="Times New Roman" w:hAnsi="Times New Roman" w:cs="Times New Roman"/>
                  <w:sz w:val="20"/>
                  <w:szCs w:val="20"/>
                  <w:lang w:eastAsia="en-ZA"/>
                </w:rPr>
                <w:t>https://doi.org/10.2989/16085914.2017.1405788</w:t>
              </w:r>
            </w:hyperlink>
            <w:r w:rsidRPr="00DA7EBB">
              <w:rPr>
                <w:rFonts w:ascii="Times New Roman" w:eastAsia="Times New Roman" w:hAnsi="Times New Roman" w:cs="Times New Roman"/>
                <w:color w:val="000000"/>
                <w:sz w:val="20"/>
                <w:szCs w:val="20"/>
                <w:lang w:eastAsia="en-ZA"/>
              </w:rPr>
              <w:t>.</w:t>
            </w:r>
          </w:p>
        </w:tc>
      </w:tr>
      <w:tr w:rsidR="002D7080" w:rsidRPr="004D1E6F" w14:paraId="586990E2" w14:textId="77777777" w:rsidTr="002E2C37">
        <w:tc>
          <w:tcPr>
            <w:tcW w:w="9016" w:type="dxa"/>
            <w:gridSpan w:val="2"/>
            <w:shd w:val="clear" w:color="auto" w:fill="F2F2F2" w:themeFill="background1" w:themeFillShade="F2"/>
          </w:tcPr>
          <w:p w14:paraId="0B33AC67"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CON1d: Transmission of disease</w:t>
            </w:r>
          </w:p>
        </w:tc>
      </w:tr>
      <w:tr w:rsidR="002D7080" w:rsidRPr="004D1E6F" w14:paraId="5E60A827" w14:textId="77777777" w:rsidTr="002E2C37">
        <w:tc>
          <w:tcPr>
            <w:tcW w:w="5949" w:type="dxa"/>
          </w:tcPr>
          <w:p w14:paraId="64E8010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 xml:space="preserve">Minor </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MN</w:t>
            </w:r>
            <w:r w:rsidRPr="004D1E6F">
              <w:rPr>
                <w:rFonts w:ascii="Times New Roman" w:eastAsia="Times New Roman" w:hAnsi="Times New Roman" w:cs="Times New Roman"/>
                <w:sz w:val="20"/>
                <w:szCs w:val="20"/>
                <w:lang w:eastAsia="en-ZA"/>
              </w:rPr>
              <w:t>)</w:t>
            </w:r>
          </w:p>
        </w:tc>
        <w:tc>
          <w:tcPr>
            <w:tcW w:w="3067" w:type="dxa"/>
          </w:tcPr>
          <w:p w14:paraId="337D061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Medium</w:t>
            </w:r>
          </w:p>
        </w:tc>
      </w:tr>
      <w:tr w:rsidR="002D7080" w:rsidRPr="004D1E6F" w14:paraId="09C75B82" w14:textId="77777777" w:rsidTr="002E2C37">
        <w:trPr>
          <w:trHeight w:val="70"/>
        </w:trPr>
        <w:tc>
          <w:tcPr>
            <w:tcW w:w="9016" w:type="dxa"/>
            <w:gridSpan w:val="2"/>
          </w:tcPr>
          <w:p w14:paraId="3D1FD8A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Faxinous</w:t>
            </w:r>
            <w:r>
              <w:rPr>
                <w:rFonts w:ascii="Times New Roman" w:eastAsia="Times New Roman" w:hAnsi="Times New Roman" w:cs="Times New Roman"/>
                <w:i/>
                <w:iCs/>
                <w:sz w:val="20"/>
                <w:szCs w:val="20"/>
                <w:lang w:eastAsia="en-ZA"/>
              </w:rPr>
              <w:t xml:space="preserve"> virilis</w:t>
            </w:r>
            <w:r w:rsidRPr="004D1E6F">
              <w:rPr>
                <w:rFonts w:ascii="Times New Roman" w:eastAsia="Times New Roman" w:hAnsi="Times New Roman" w:cs="Times New Roman"/>
                <w:sz w:val="20"/>
                <w:szCs w:val="20"/>
                <w:lang w:eastAsia="en-ZA"/>
              </w:rPr>
              <w:t xml:space="preserve"> is a known vector of pathogen such as the crayfish plague agent, </w:t>
            </w:r>
            <w:r w:rsidRPr="004D1E6F">
              <w:rPr>
                <w:rFonts w:ascii="Times New Roman" w:eastAsia="Times New Roman" w:hAnsi="Times New Roman" w:cs="Times New Roman"/>
                <w:i/>
                <w:iCs/>
                <w:sz w:val="20"/>
                <w:szCs w:val="20"/>
                <w:lang w:eastAsia="en-ZA"/>
              </w:rPr>
              <w:t>Aphanomyces astaci</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Ahern et al. 2008; Longshaw 2011</w:t>
            </w:r>
            <w:r w:rsidRPr="004D1E6F">
              <w:rPr>
                <w:rFonts w:ascii="Times New Roman" w:hAnsi="Times New Roman" w:cs="Times New Roman"/>
                <w:color w:val="000000"/>
                <w:sz w:val="20"/>
                <w:szCs w:val="20"/>
              </w:rPr>
              <w:t>)</w:t>
            </w:r>
            <w:r>
              <w:rPr>
                <w:rFonts w:ascii="Times New Roman" w:hAnsi="Times New Roman" w:cs="Times New Roman"/>
                <w:color w:val="000000"/>
                <w:sz w:val="20"/>
                <w:szCs w:val="20"/>
              </w:rPr>
              <w:t>.</w:t>
            </w:r>
            <w:r w:rsidRPr="004D1E6F">
              <w:rPr>
                <w:rFonts w:ascii="Times New Roman" w:eastAsia="Times New Roman" w:hAnsi="Times New Roman" w:cs="Times New Roman"/>
                <w:iCs/>
                <w:sz w:val="20"/>
                <w:szCs w:val="20"/>
                <w:lang w:eastAsia="en-ZA"/>
              </w:rPr>
              <w:t xml:space="preserve"> There are no native crayfish species in South Africa, but crayfish plague pathogen has been shown to infect other freshwater decapods such as native potamonautid crabs (Svoboda et al. 2014)</w:t>
            </w:r>
          </w:p>
        </w:tc>
      </w:tr>
      <w:tr w:rsidR="002D7080" w:rsidRPr="004D1E6F" w14:paraId="4A3ED19D" w14:textId="77777777" w:rsidTr="002E2C37">
        <w:trPr>
          <w:trHeight w:val="70"/>
        </w:trPr>
        <w:tc>
          <w:tcPr>
            <w:tcW w:w="9016" w:type="dxa"/>
            <w:gridSpan w:val="2"/>
          </w:tcPr>
          <w:p w14:paraId="400E3FBA" w14:textId="77777777" w:rsidR="002D7080" w:rsidRDefault="002D7080"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7DAF9091" w14:textId="4CDFB468" w:rsidR="002D7080" w:rsidRPr="00DA7EBB" w:rsidRDefault="002D7080" w:rsidP="002E2C37">
            <w:pPr>
              <w:ind w:left="720" w:hanging="720"/>
              <w:contextualSpacing/>
              <w:jc w:val="both"/>
              <w:rPr>
                <w:rFonts w:ascii="Times New Roman" w:hAnsi="Times New Roman" w:cs="Times New Roman"/>
                <w:sz w:val="20"/>
                <w:szCs w:val="20"/>
                <w:shd w:val="clear" w:color="auto" w:fill="FFFFFF"/>
              </w:rPr>
            </w:pPr>
            <w:r w:rsidRPr="00DA7EBB">
              <w:rPr>
                <w:rFonts w:ascii="Times New Roman" w:hAnsi="Times New Roman" w:cs="Times New Roman"/>
                <w:sz w:val="20"/>
                <w:szCs w:val="20"/>
                <w:shd w:val="clear" w:color="auto" w:fill="FFFFFF"/>
              </w:rPr>
              <w:t xml:space="preserve">Ahern, D., England, J. &amp; Ellis, A., 2008, ‘The virile crayfish, </w:t>
            </w:r>
            <w:r w:rsidRPr="00DA7EBB">
              <w:rPr>
                <w:rFonts w:ascii="Times New Roman" w:hAnsi="Times New Roman" w:cs="Times New Roman"/>
                <w:i/>
                <w:iCs/>
                <w:sz w:val="20"/>
                <w:szCs w:val="20"/>
                <w:shd w:val="clear" w:color="auto" w:fill="FFFFFF"/>
              </w:rPr>
              <w:t>Orconectes virilis</w:t>
            </w:r>
            <w:r w:rsidRPr="00DA7EBB">
              <w:rPr>
                <w:rFonts w:ascii="Times New Roman" w:hAnsi="Times New Roman" w:cs="Times New Roman"/>
                <w:sz w:val="20"/>
                <w:szCs w:val="20"/>
                <w:shd w:val="clear" w:color="auto" w:fill="FFFFFF"/>
              </w:rPr>
              <w:t xml:space="preserve"> (Hagen, 1870) (Crustacea: Decapoda: Cambaridae), identified in the UK. Invasive Species in Inland Waters of Europe and North America: Distribution and Impacts’, </w:t>
            </w:r>
            <w:r w:rsidRPr="00DA7EBB">
              <w:rPr>
                <w:rStyle w:val="Emphasis"/>
                <w:rFonts w:ascii="Times New Roman" w:hAnsi="Times New Roman" w:cs="Times New Roman"/>
                <w:sz w:val="20"/>
                <w:szCs w:val="20"/>
                <w:shd w:val="clear" w:color="auto" w:fill="FFFFFF"/>
              </w:rPr>
              <w:t>Aquatic Invasions</w:t>
            </w:r>
            <w:r w:rsidRPr="00DA7EBB">
              <w:rPr>
                <w:rFonts w:ascii="Times New Roman" w:hAnsi="Times New Roman" w:cs="Times New Roman"/>
                <w:sz w:val="20"/>
                <w:szCs w:val="20"/>
                <w:shd w:val="clear" w:color="auto" w:fill="FFFFFF"/>
              </w:rPr>
              <w:t>, 3(1), 102-104.</w:t>
            </w:r>
            <w:r>
              <w:rPr>
                <w:rFonts w:ascii="Times New Roman" w:hAnsi="Times New Roman" w:cs="Times New Roman"/>
                <w:sz w:val="20"/>
                <w:szCs w:val="20"/>
                <w:shd w:val="clear" w:color="auto" w:fill="FFFFFF"/>
              </w:rPr>
              <w:t xml:space="preserve"> </w:t>
            </w:r>
            <w:r w:rsidR="00C94525">
              <w:rPr>
                <w:rFonts w:ascii="Times New Roman" w:hAnsi="Times New Roman" w:cs="Times New Roman"/>
                <w:sz w:val="20"/>
                <w:szCs w:val="20"/>
                <w:shd w:val="clear" w:color="auto" w:fill="FFFFFF"/>
              </w:rPr>
              <w:t>h</w:t>
            </w:r>
            <w:r w:rsidR="00C94525" w:rsidRPr="00C94525">
              <w:rPr>
                <w:rFonts w:ascii="Times New Roman" w:hAnsi="Times New Roman" w:cs="Times New Roman"/>
                <w:sz w:val="20"/>
                <w:szCs w:val="20"/>
                <w:shd w:val="clear" w:color="auto" w:fill="FFFFFF"/>
              </w:rPr>
              <w:t>tt</w:t>
            </w:r>
            <w:r w:rsidR="00C94525">
              <w:rPr>
                <w:rFonts w:ascii="Times New Roman" w:hAnsi="Times New Roman" w:cs="Times New Roman"/>
                <w:sz w:val="20"/>
                <w:szCs w:val="20"/>
                <w:shd w:val="clear" w:color="auto" w:fill="FFFFFF"/>
              </w:rPr>
              <w:t>ps</w:t>
            </w:r>
            <w:r w:rsidR="00C94525" w:rsidRPr="00C94525">
              <w:rPr>
                <w:rFonts w:ascii="Times New Roman" w:hAnsi="Times New Roman" w:cs="Times New Roman"/>
                <w:sz w:val="20"/>
                <w:szCs w:val="20"/>
                <w:shd w:val="clear" w:color="auto" w:fill="FFFFFF"/>
              </w:rPr>
              <w:t>://doi.org/1</w:t>
            </w:r>
            <w:r w:rsidR="00C94525" w:rsidRPr="00C94525">
              <w:rPr>
                <w:rFonts w:ascii="Times New Roman" w:hAnsi="Times New Roman" w:cs="Times New Roman"/>
                <w:sz w:val="20"/>
                <w:szCs w:val="20"/>
              </w:rPr>
              <w:t>0.3391/ai.2008.3.1.18</w:t>
            </w:r>
            <w:r w:rsidRPr="00C94525">
              <w:rPr>
                <w:rFonts w:ascii="Times New Roman" w:hAnsi="Times New Roman" w:cs="Times New Roman"/>
                <w:sz w:val="20"/>
                <w:szCs w:val="20"/>
                <w:shd w:val="clear" w:color="auto" w:fill="FFFFFF"/>
              </w:rPr>
              <w:t>.</w:t>
            </w:r>
            <w:r>
              <w:rPr>
                <w:rFonts w:ascii="Times New Roman" w:hAnsi="Times New Roman" w:cs="Times New Roman"/>
                <w:sz w:val="20"/>
                <w:szCs w:val="20"/>
                <w:shd w:val="clear" w:color="auto" w:fill="FFFFFF"/>
              </w:rPr>
              <w:t xml:space="preserve"> </w:t>
            </w:r>
          </w:p>
          <w:p w14:paraId="534A0E40" w14:textId="77777777" w:rsidR="002D7080" w:rsidRPr="00E8516F" w:rsidRDefault="002D7080" w:rsidP="002E2C37">
            <w:pPr>
              <w:ind w:left="720" w:hanging="720"/>
              <w:contextualSpacing/>
              <w:jc w:val="both"/>
              <w:rPr>
                <w:rFonts w:ascii="Times New Roman" w:eastAsia="Times New Roman" w:hAnsi="Times New Roman" w:cs="Times New Roman"/>
                <w:bCs/>
                <w:sz w:val="20"/>
                <w:szCs w:val="20"/>
                <w:lang w:eastAsia="en-ZA"/>
              </w:rPr>
            </w:pPr>
            <w:r w:rsidRPr="00E8516F">
              <w:rPr>
                <w:rFonts w:ascii="Times New Roman" w:eastAsia="Times New Roman" w:hAnsi="Times New Roman" w:cs="Times New Roman"/>
                <w:sz w:val="20"/>
                <w:szCs w:val="20"/>
                <w:lang w:eastAsia="en-ZA"/>
              </w:rPr>
              <w:t xml:space="preserve">Longshaw, M., 2011, ‘Diseases of crayfish: A review’, </w:t>
            </w:r>
            <w:r w:rsidRPr="00E8516F">
              <w:rPr>
                <w:rFonts w:ascii="Times New Roman" w:eastAsia="Times New Roman" w:hAnsi="Times New Roman" w:cs="Times New Roman"/>
                <w:i/>
                <w:sz w:val="20"/>
                <w:szCs w:val="20"/>
                <w:lang w:eastAsia="en-ZA"/>
              </w:rPr>
              <w:t>Journal of Invertebrate Pathology</w:t>
            </w:r>
            <w:r w:rsidRPr="00E8516F">
              <w:rPr>
                <w:rFonts w:ascii="Times New Roman" w:eastAsia="Times New Roman" w:hAnsi="Times New Roman" w:cs="Times New Roman"/>
                <w:sz w:val="20"/>
                <w:szCs w:val="20"/>
                <w:lang w:eastAsia="en-ZA"/>
              </w:rPr>
              <w:t xml:space="preserve"> 106, 54–70. </w:t>
            </w:r>
            <w:hyperlink w:history="1">
              <w:r w:rsidRPr="00E8516F">
                <w:rPr>
                  <w:rStyle w:val="Hyperlink"/>
                  <w:rFonts w:ascii="Times New Roman" w:eastAsia="Times New Roman" w:hAnsi="Times New Roman" w:cs="Times New Roman"/>
                  <w:bCs/>
                  <w:sz w:val="20"/>
                  <w:szCs w:val="20"/>
                  <w:lang w:eastAsia="en-ZA"/>
                </w:rPr>
                <w:t>https://doi.org/10.1016/j.jip.2010.09.013</w:t>
              </w:r>
            </w:hyperlink>
            <w:r w:rsidRPr="00E8516F">
              <w:rPr>
                <w:rFonts w:ascii="Times New Roman" w:eastAsia="Times New Roman" w:hAnsi="Times New Roman" w:cs="Times New Roman"/>
                <w:bCs/>
                <w:sz w:val="20"/>
                <w:szCs w:val="20"/>
                <w:lang w:eastAsia="en-ZA"/>
              </w:rPr>
              <w:t>.</w:t>
            </w:r>
          </w:p>
          <w:p w14:paraId="5B118597" w14:textId="4AFA065B" w:rsidR="002D7080" w:rsidRPr="00E8516F" w:rsidRDefault="002D7080" w:rsidP="002E2C37">
            <w:pPr>
              <w:ind w:left="720" w:hanging="720"/>
              <w:contextualSpacing/>
              <w:jc w:val="both"/>
              <w:rPr>
                <w:rFonts w:ascii="Times New Roman" w:eastAsia="Times New Roman" w:hAnsi="Times New Roman" w:cs="Times New Roman"/>
                <w:bCs/>
                <w:sz w:val="20"/>
                <w:szCs w:val="20"/>
                <w:lang w:eastAsia="en-ZA"/>
              </w:rPr>
            </w:pPr>
            <w:r w:rsidRPr="00E8516F">
              <w:rPr>
                <w:rFonts w:ascii="Times New Roman" w:hAnsi="Times New Roman" w:cs="Times New Roman"/>
                <w:sz w:val="20"/>
                <w:szCs w:val="20"/>
                <w:shd w:val="clear" w:color="auto" w:fill="FFFFFF"/>
              </w:rPr>
              <w:t xml:space="preserve">Svoboda, J., Strand, D.A., Vrålstad, T., Grandjean, F., Edsman, L., Kozák, P., et al., 2014, ‘The crayfish plague pathogen can infect freshwater–inhabiting crabs’, </w:t>
            </w:r>
            <w:r w:rsidRPr="00E8516F">
              <w:rPr>
                <w:rFonts w:ascii="Times New Roman" w:hAnsi="Times New Roman" w:cs="Times New Roman"/>
                <w:i/>
                <w:iCs/>
                <w:sz w:val="20"/>
                <w:szCs w:val="20"/>
                <w:shd w:val="clear" w:color="auto" w:fill="FFFFFF"/>
              </w:rPr>
              <w:t>Freshwater Biology</w:t>
            </w:r>
            <w:r w:rsidRPr="00E8516F">
              <w:rPr>
                <w:rFonts w:ascii="Times New Roman" w:hAnsi="Times New Roman" w:cs="Times New Roman"/>
                <w:sz w:val="20"/>
                <w:szCs w:val="20"/>
                <w:shd w:val="clear" w:color="auto" w:fill="FFFFFF"/>
              </w:rPr>
              <w:t xml:space="preserve"> 59, 918–929</w:t>
            </w:r>
            <w:r w:rsidR="00C94525">
              <w:rPr>
                <w:rFonts w:ascii="Times New Roman" w:hAnsi="Times New Roman" w:cs="Times New Roman"/>
                <w:sz w:val="20"/>
                <w:szCs w:val="20"/>
                <w:shd w:val="clear" w:color="auto" w:fill="FFFFFF"/>
              </w:rPr>
              <w:t xml:space="preserve">, </w:t>
            </w:r>
            <w:r w:rsidR="00C94525" w:rsidRPr="00C94525">
              <w:rPr>
                <w:rFonts w:ascii="Times New Roman" w:hAnsi="Times New Roman" w:cs="Times New Roman"/>
                <w:sz w:val="20"/>
                <w:szCs w:val="20"/>
                <w:shd w:val="clear" w:color="auto" w:fill="FFFFFF"/>
              </w:rPr>
              <w:t>https://doi.org/10.1111/fwb.12315</w:t>
            </w:r>
          </w:p>
        </w:tc>
      </w:tr>
      <w:tr w:rsidR="002D7080" w:rsidRPr="004D1E6F" w14:paraId="790D92FE" w14:textId="77777777" w:rsidTr="002E2C37">
        <w:tc>
          <w:tcPr>
            <w:tcW w:w="9016" w:type="dxa"/>
            <w:gridSpan w:val="2"/>
            <w:shd w:val="clear" w:color="auto" w:fill="F2F2F2" w:themeFill="background1" w:themeFillShade="F2"/>
          </w:tcPr>
          <w:p w14:paraId="66FC531E" w14:textId="77777777" w:rsidR="002D7080" w:rsidRPr="004D1E6F" w:rsidRDefault="002D7080" w:rsidP="002E2C37">
            <w:pPr>
              <w:contextualSpacing/>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CON1e: Parasitism</w:t>
            </w:r>
          </w:p>
        </w:tc>
      </w:tr>
      <w:tr w:rsidR="002D7080" w:rsidRPr="004D1E6F" w14:paraId="33A2C646" w14:textId="77777777" w:rsidTr="002E2C37">
        <w:tc>
          <w:tcPr>
            <w:tcW w:w="5949" w:type="dxa"/>
          </w:tcPr>
          <w:p w14:paraId="18CD061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C6FAF3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5A157E22" w14:textId="77777777" w:rsidTr="002E2C37">
        <w:trPr>
          <w:trHeight w:val="70"/>
        </w:trPr>
        <w:tc>
          <w:tcPr>
            <w:tcW w:w="9016" w:type="dxa"/>
            <w:gridSpan w:val="2"/>
          </w:tcPr>
          <w:p w14:paraId="069D42B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Faxinous</w:t>
            </w:r>
            <w:r>
              <w:rPr>
                <w:rFonts w:ascii="Times New Roman" w:eastAsia="Times New Roman" w:hAnsi="Times New Roman" w:cs="Times New Roman"/>
                <w:i/>
                <w:iCs/>
                <w:sz w:val="20"/>
                <w:szCs w:val="20"/>
                <w:lang w:eastAsia="en-ZA"/>
              </w:rPr>
              <w:t xml:space="preserve"> virilis </w:t>
            </w:r>
            <w:r w:rsidRPr="00497F80">
              <w:rPr>
                <w:rFonts w:ascii="Times New Roman" w:eastAsia="Times New Roman" w:hAnsi="Times New Roman" w:cs="Times New Roman"/>
                <w:sz w:val="20"/>
                <w:szCs w:val="20"/>
                <w:lang w:eastAsia="en-ZA"/>
              </w:rPr>
              <w:t>is not a parasitic taxon</w:t>
            </w:r>
            <w:r>
              <w:rPr>
                <w:rFonts w:ascii="Times New Roman" w:eastAsia="Times New Roman" w:hAnsi="Times New Roman" w:cs="Times New Roman"/>
                <w:i/>
                <w:iCs/>
                <w:sz w:val="20"/>
                <w:szCs w:val="20"/>
                <w:lang w:eastAsia="en-ZA"/>
              </w:rPr>
              <w:t xml:space="preserve"> </w:t>
            </w:r>
          </w:p>
        </w:tc>
      </w:tr>
      <w:tr w:rsidR="002D7080" w:rsidRPr="004D1E6F" w14:paraId="3919D70E" w14:textId="77777777" w:rsidTr="002E2C37">
        <w:trPr>
          <w:trHeight w:val="70"/>
        </w:trPr>
        <w:tc>
          <w:tcPr>
            <w:tcW w:w="9016" w:type="dxa"/>
            <w:gridSpan w:val="2"/>
          </w:tcPr>
          <w:p w14:paraId="0594D0C5"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7824DF10" w14:textId="77777777" w:rsidTr="002E2C37">
        <w:tc>
          <w:tcPr>
            <w:tcW w:w="9016" w:type="dxa"/>
            <w:gridSpan w:val="2"/>
            <w:shd w:val="clear" w:color="auto" w:fill="F2F2F2" w:themeFill="background1" w:themeFillShade="F2"/>
          </w:tcPr>
          <w:p w14:paraId="2F5C047C"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CON1f: Poisoning/toxicity</w:t>
            </w:r>
          </w:p>
        </w:tc>
      </w:tr>
      <w:tr w:rsidR="002D7080" w:rsidRPr="004D1E6F" w14:paraId="7D0EE78F" w14:textId="77777777" w:rsidTr="002E2C37">
        <w:tc>
          <w:tcPr>
            <w:tcW w:w="5949" w:type="dxa"/>
          </w:tcPr>
          <w:p w14:paraId="398E56B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24A22FC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E57B135" w14:textId="77777777" w:rsidTr="002E2C37">
        <w:trPr>
          <w:trHeight w:val="70"/>
        </w:trPr>
        <w:tc>
          <w:tcPr>
            <w:tcW w:w="9016" w:type="dxa"/>
            <w:gridSpan w:val="2"/>
          </w:tcPr>
          <w:p w14:paraId="3FD6611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260810BF" w14:textId="77777777" w:rsidTr="002E2C37">
        <w:trPr>
          <w:trHeight w:val="70"/>
        </w:trPr>
        <w:tc>
          <w:tcPr>
            <w:tcW w:w="9016" w:type="dxa"/>
            <w:gridSpan w:val="2"/>
          </w:tcPr>
          <w:p w14:paraId="25360FC7"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0BFAD8F" w14:textId="77777777" w:rsidTr="002E2C37">
        <w:tc>
          <w:tcPr>
            <w:tcW w:w="9016" w:type="dxa"/>
            <w:gridSpan w:val="2"/>
            <w:shd w:val="clear" w:color="auto" w:fill="F2F2F2" w:themeFill="background1" w:themeFillShade="F2"/>
          </w:tcPr>
          <w:p w14:paraId="1E7745D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CON1g: Bio-fouling or other direct physical disturbance</w:t>
            </w:r>
          </w:p>
        </w:tc>
      </w:tr>
      <w:tr w:rsidR="002D7080" w:rsidRPr="004D1E6F" w14:paraId="08279173" w14:textId="77777777" w:rsidTr="002E2C37">
        <w:tc>
          <w:tcPr>
            <w:tcW w:w="5949" w:type="dxa"/>
          </w:tcPr>
          <w:p w14:paraId="3472405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E1AE09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317487F6" w14:textId="77777777" w:rsidTr="002E2C37">
        <w:trPr>
          <w:trHeight w:val="70"/>
        </w:trPr>
        <w:tc>
          <w:tcPr>
            <w:tcW w:w="9016" w:type="dxa"/>
            <w:gridSpan w:val="2"/>
          </w:tcPr>
          <w:p w14:paraId="710394E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6FAE5CFF" w14:textId="77777777" w:rsidTr="002E2C37">
        <w:trPr>
          <w:trHeight w:val="70"/>
        </w:trPr>
        <w:tc>
          <w:tcPr>
            <w:tcW w:w="9016" w:type="dxa"/>
            <w:gridSpan w:val="2"/>
          </w:tcPr>
          <w:p w14:paraId="5E90AF9F"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227BBC6D" w14:textId="77777777" w:rsidTr="002E2C37">
        <w:tc>
          <w:tcPr>
            <w:tcW w:w="9016" w:type="dxa"/>
            <w:gridSpan w:val="2"/>
            <w:shd w:val="clear" w:color="auto" w:fill="F2F2F2" w:themeFill="background1" w:themeFillShade="F2"/>
          </w:tcPr>
          <w:p w14:paraId="0F32949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CON1h: Grazing/herbivory/browsing</w:t>
            </w:r>
          </w:p>
        </w:tc>
      </w:tr>
      <w:tr w:rsidR="002D7080" w:rsidRPr="004D1E6F" w14:paraId="6E7C3964" w14:textId="77777777" w:rsidTr="002E2C37">
        <w:tc>
          <w:tcPr>
            <w:tcW w:w="5949" w:type="dxa"/>
          </w:tcPr>
          <w:p w14:paraId="7FF86B5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Moderate (MO)</w:t>
            </w:r>
          </w:p>
        </w:tc>
        <w:tc>
          <w:tcPr>
            <w:tcW w:w="3067" w:type="dxa"/>
          </w:tcPr>
          <w:p w14:paraId="783A452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Low</w:t>
            </w:r>
          </w:p>
        </w:tc>
      </w:tr>
      <w:tr w:rsidR="002D7080" w:rsidRPr="004D1E6F" w14:paraId="170F8EA4" w14:textId="77777777" w:rsidTr="002E2C37">
        <w:trPr>
          <w:trHeight w:val="70"/>
        </w:trPr>
        <w:tc>
          <w:tcPr>
            <w:tcW w:w="9016" w:type="dxa"/>
            <w:gridSpan w:val="2"/>
          </w:tcPr>
          <w:p w14:paraId="2EB2A92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Faxinou</w:t>
            </w:r>
            <w:r>
              <w:rPr>
                <w:rFonts w:ascii="Times New Roman" w:eastAsia="Times New Roman" w:hAnsi="Times New Roman" w:cs="Times New Roman"/>
                <w:i/>
                <w:iCs/>
                <w:sz w:val="20"/>
                <w:szCs w:val="20"/>
                <w:lang w:eastAsia="en-ZA"/>
              </w:rPr>
              <w:t>s virilis</w:t>
            </w:r>
            <w:r w:rsidRPr="004D1E6F">
              <w:rPr>
                <w:rFonts w:ascii="Times New Roman" w:eastAsia="Times New Roman" w:hAnsi="Times New Roman" w:cs="Times New Roman"/>
                <w:i/>
                <w:iCs/>
                <w:sz w:val="20"/>
                <w:szCs w:val="20"/>
                <w:lang w:eastAsia="en-ZA"/>
              </w:rPr>
              <w:t xml:space="preserve"> is </w:t>
            </w:r>
            <w:r w:rsidRPr="004D1E6F">
              <w:rPr>
                <w:rFonts w:ascii="Times New Roman" w:hAnsi="Times New Roman"/>
                <w:sz w:val="20"/>
                <w:szCs w:val="20"/>
              </w:rPr>
              <w:t>omnivorous species, it is likely to cause a decrease in macrophyte cover, macroinvertebrates abundance and diversity, changing trophic interaction and community composition</w:t>
            </w:r>
            <w:r>
              <w:rPr>
                <w:rFonts w:ascii="Times New Roman" w:hAnsi="Times New Roman"/>
                <w:sz w:val="20"/>
                <w:szCs w:val="20"/>
              </w:rPr>
              <w:t xml:space="preserve"> </w:t>
            </w:r>
            <w:r w:rsidRPr="00E355AD">
              <w:rPr>
                <w:rFonts w:ascii="Times New Roman" w:hAnsi="Times New Roman" w:cs="Times New Roman"/>
                <w:sz w:val="20"/>
                <w:szCs w:val="20"/>
              </w:rPr>
              <w:t>(</w:t>
            </w:r>
            <w:r>
              <w:rPr>
                <w:rFonts w:ascii="Times New Roman" w:hAnsi="Times New Roman" w:cs="Times New Roman"/>
                <w:sz w:val="20"/>
                <w:szCs w:val="20"/>
              </w:rPr>
              <w:t>Chambers et al. 1990; Roessink et al. 2017</w:t>
            </w:r>
            <w:r w:rsidRPr="00E355AD">
              <w:rPr>
                <w:rFonts w:ascii="Times New Roman" w:hAnsi="Times New Roman" w:cs="Times New Roman"/>
                <w:sz w:val="20"/>
                <w:szCs w:val="20"/>
              </w:rPr>
              <w:t>)</w:t>
            </w:r>
          </w:p>
        </w:tc>
      </w:tr>
      <w:tr w:rsidR="002D7080" w:rsidRPr="004D1E6F" w14:paraId="5F7DC1C2" w14:textId="77777777" w:rsidTr="002E2C37">
        <w:trPr>
          <w:trHeight w:val="70"/>
        </w:trPr>
        <w:tc>
          <w:tcPr>
            <w:tcW w:w="9016" w:type="dxa"/>
            <w:gridSpan w:val="2"/>
          </w:tcPr>
          <w:p w14:paraId="4ADFE4C5" w14:textId="77777777" w:rsidR="002D7080" w:rsidRPr="008D79D3" w:rsidRDefault="002D7080" w:rsidP="002E2C37">
            <w:pPr>
              <w:ind w:left="720" w:hanging="720"/>
              <w:rPr>
                <w:rFonts w:ascii="Times New Roman" w:eastAsia="Times New Roman" w:hAnsi="Times New Roman" w:cs="Times New Roman"/>
                <w:sz w:val="20"/>
                <w:szCs w:val="20"/>
                <w:lang w:eastAsia="en-ZA"/>
              </w:rPr>
            </w:pPr>
            <w:r w:rsidRPr="008D79D3">
              <w:rPr>
                <w:rFonts w:ascii="Times New Roman" w:eastAsia="Times New Roman" w:hAnsi="Times New Roman" w:cs="Times New Roman"/>
                <w:sz w:val="20"/>
                <w:szCs w:val="20"/>
                <w:lang w:eastAsia="en-ZA"/>
              </w:rPr>
              <w:t>References:</w:t>
            </w:r>
          </w:p>
          <w:p w14:paraId="0A584671" w14:textId="77777777" w:rsidR="002D7080" w:rsidRPr="008D79D3" w:rsidRDefault="002D7080" w:rsidP="002E2C37">
            <w:pPr>
              <w:ind w:left="720" w:hanging="720"/>
              <w:contextualSpacing/>
              <w:rPr>
                <w:rFonts w:ascii="Times New Roman" w:hAnsi="Times New Roman" w:cs="Times New Roman"/>
                <w:sz w:val="20"/>
                <w:szCs w:val="20"/>
              </w:rPr>
            </w:pPr>
            <w:r w:rsidRPr="007B06D7">
              <w:rPr>
                <w:rFonts w:ascii="Times New Roman" w:hAnsi="Times New Roman" w:cs="Times New Roman"/>
                <w:sz w:val="20"/>
                <w:szCs w:val="20"/>
              </w:rPr>
              <w:t xml:space="preserve">Chambers, P.A., Hanson, J.M. &amp; Burke, J.M. 1990. The impact of the crayfish </w:t>
            </w:r>
            <w:r w:rsidRPr="007B06D7">
              <w:rPr>
                <w:rFonts w:ascii="Times New Roman" w:hAnsi="Times New Roman" w:cs="Times New Roman"/>
                <w:i/>
                <w:iCs/>
                <w:sz w:val="20"/>
                <w:szCs w:val="20"/>
              </w:rPr>
              <w:t>Orconectes virilis</w:t>
            </w:r>
            <w:r w:rsidRPr="007B06D7">
              <w:rPr>
                <w:rFonts w:ascii="Times New Roman" w:hAnsi="Times New Roman" w:cs="Times New Roman"/>
                <w:sz w:val="20"/>
                <w:szCs w:val="20"/>
              </w:rPr>
              <w:t xml:space="preserve"> on aquatic macrophytes. </w:t>
            </w:r>
            <w:r w:rsidRPr="007B06D7">
              <w:rPr>
                <w:rFonts w:ascii="Times New Roman" w:hAnsi="Times New Roman" w:cs="Times New Roman"/>
                <w:i/>
                <w:iCs/>
                <w:sz w:val="20"/>
                <w:szCs w:val="20"/>
              </w:rPr>
              <w:t>Freshwater Biology</w:t>
            </w:r>
            <w:r w:rsidRPr="007B06D7">
              <w:rPr>
                <w:rFonts w:ascii="Times New Roman" w:hAnsi="Times New Roman" w:cs="Times New Roman"/>
                <w:sz w:val="20"/>
                <w:szCs w:val="20"/>
              </w:rPr>
              <w:t xml:space="preserve"> 24:81-91</w:t>
            </w:r>
            <w:r w:rsidRPr="008D79D3">
              <w:rPr>
                <w:rFonts w:ascii="Times New Roman" w:hAnsi="Times New Roman" w:cs="Times New Roman"/>
                <w:sz w:val="20"/>
                <w:szCs w:val="20"/>
              </w:rPr>
              <w:t>.</w:t>
            </w:r>
            <w:r>
              <w:rPr>
                <w:rFonts w:ascii="Times New Roman" w:hAnsi="Times New Roman" w:cs="Times New Roman"/>
                <w:sz w:val="20"/>
                <w:szCs w:val="20"/>
              </w:rPr>
              <w:t xml:space="preserve"> </w:t>
            </w:r>
            <w:r w:rsidRPr="007B06D7">
              <w:rPr>
                <w:rFonts w:ascii="Times New Roman" w:hAnsi="Times New Roman" w:cs="Times New Roman"/>
                <w:sz w:val="20"/>
                <w:szCs w:val="20"/>
              </w:rPr>
              <w:t> </w:t>
            </w:r>
            <w:hyperlink r:id="rId397" w:history="1">
              <w:r w:rsidRPr="007B06D7">
                <w:rPr>
                  <w:rStyle w:val="Hyperlink"/>
                  <w:rFonts w:ascii="Times New Roman" w:hAnsi="Times New Roman" w:cs="Times New Roman"/>
                  <w:bCs/>
                  <w:sz w:val="20"/>
                  <w:szCs w:val="20"/>
                </w:rPr>
                <w:t>https://doi.org/10.1111/j.1365-2427.1990.tb00309.x</w:t>
              </w:r>
            </w:hyperlink>
            <w:r w:rsidRPr="007B06D7">
              <w:rPr>
                <w:rFonts w:ascii="Times New Roman" w:hAnsi="Times New Roman" w:cs="Times New Roman"/>
                <w:sz w:val="20"/>
                <w:szCs w:val="20"/>
              </w:rPr>
              <w:t>.</w:t>
            </w:r>
          </w:p>
          <w:p w14:paraId="77930D9A" w14:textId="77777777"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8D79D3">
              <w:rPr>
                <w:rFonts w:ascii="Times New Roman" w:hAnsi="Times New Roman" w:cs="Times New Roman"/>
                <w:sz w:val="20"/>
                <w:szCs w:val="20"/>
              </w:rPr>
              <w:t>Roessink, I., Gylstra, R., Heuts, P. G. M., Specken, B.</w:t>
            </w:r>
            <w:r>
              <w:rPr>
                <w:rFonts w:ascii="Times New Roman" w:hAnsi="Times New Roman" w:cs="Times New Roman"/>
                <w:sz w:val="20"/>
                <w:szCs w:val="20"/>
              </w:rPr>
              <w:t xml:space="preserve"> &amp; </w:t>
            </w:r>
            <w:r w:rsidRPr="008D79D3">
              <w:rPr>
                <w:rFonts w:ascii="Times New Roman" w:hAnsi="Times New Roman" w:cs="Times New Roman"/>
                <w:sz w:val="20"/>
                <w:szCs w:val="20"/>
              </w:rPr>
              <w:t>Ottburg</w:t>
            </w:r>
            <w:r>
              <w:rPr>
                <w:rFonts w:ascii="Times New Roman" w:hAnsi="Times New Roman" w:cs="Times New Roman"/>
                <w:sz w:val="20"/>
                <w:szCs w:val="20"/>
              </w:rPr>
              <w:t>, F.,</w:t>
            </w:r>
            <w:r w:rsidRPr="008D79D3">
              <w:rPr>
                <w:rFonts w:ascii="Times New Roman" w:hAnsi="Times New Roman" w:cs="Times New Roman"/>
                <w:sz w:val="20"/>
                <w:szCs w:val="20"/>
              </w:rPr>
              <w:t xml:space="preserve"> 2017</w:t>
            </w:r>
            <w:r>
              <w:rPr>
                <w:rFonts w:ascii="Times New Roman" w:hAnsi="Times New Roman" w:cs="Times New Roman"/>
                <w:sz w:val="20"/>
                <w:szCs w:val="20"/>
              </w:rPr>
              <w:t>, ‘</w:t>
            </w:r>
            <w:r w:rsidRPr="008D79D3">
              <w:rPr>
                <w:rFonts w:ascii="Times New Roman" w:hAnsi="Times New Roman" w:cs="Times New Roman"/>
                <w:sz w:val="20"/>
                <w:szCs w:val="20"/>
              </w:rPr>
              <w:t>Impact of invasive crayfish on water quality and aquatic macrophytes in the Netherlands</w:t>
            </w:r>
            <w:r>
              <w:rPr>
                <w:rFonts w:ascii="Times New Roman" w:hAnsi="Times New Roman" w:cs="Times New Roman"/>
                <w:sz w:val="20"/>
                <w:szCs w:val="20"/>
              </w:rPr>
              <w:t xml:space="preserve">’, </w:t>
            </w:r>
            <w:r w:rsidRPr="008D79D3">
              <w:rPr>
                <w:rFonts w:ascii="Times New Roman" w:hAnsi="Times New Roman" w:cs="Times New Roman"/>
                <w:i/>
                <w:iCs/>
                <w:sz w:val="20"/>
                <w:szCs w:val="20"/>
              </w:rPr>
              <w:t>Aquatic Invasions</w:t>
            </w:r>
            <w:r w:rsidRPr="008D79D3">
              <w:rPr>
                <w:rFonts w:ascii="Times New Roman" w:hAnsi="Times New Roman" w:cs="Times New Roman"/>
                <w:sz w:val="20"/>
                <w:szCs w:val="20"/>
              </w:rPr>
              <w:t xml:space="preserve"> 12(3)</w:t>
            </w:r>
            <w:r>
              <w:rPr>
                <w:rFonts w:ascii="Times New Roman" w:hAnsi="Times New Roman" w:cs="Times New Roman"/>
                <w:sz w:val="20"/>
                <w:szCs w:val="20"/>
              </w:rPr>
              <w:t xml:space="preserve">, </w:t>
            </w:r>
            <w:r w:rsidRPr="008D79D3">
              <w:rPr>
                <w:rFonts w:ascii="Times New Roman" w:hAnsi="Times New Roman" w:cs="Times New Roman"/>
                <w:sz w:val="20"/>
                <w:szCs w:val="20"/>
              </w:rPr>
              <w:t xml:space="preserve">397-404. </w:t>
            </w:r>
            <w:hyperlink r:id="rId398" w:history="1">
              <w:r w:rsidRPr="000B0DAE">
                <w:rPr>
                  <w:rStyle w:val="Hyperlink"/>
                  <w:rFonts w:ascii="Times New Roman" w:hAnsi="Times New Roman" w:cs="Times New Roman"/>
                  <w:sz w:val="20"/>
                  <w:szCs w:val="20"/>
                </w:rPr>
                <w:t>https://doi.org/10.3391/ai.2017.12.3.12</w:t>
              </w:r>
            </w:hyperlink>
            <w:r w:rsidRPr="008D79D3">
              <w:rPr>
                <w:rFonts w:ascii="Times New Roman" w:hAnsi="Times New Roman" w:cs="Times New Roman"/>
                <w:sz w:val="20"/>
                <w:szCs w:val="20"/>
              </w:rPr>
              <w:t>.</w:t>
            </w:r>
            <w:r>
              <w:rPr>
                <w:rFonts w:ascii="Times New Roman" w:hAnsi="Times New Roman" w:cs="Times New Roman"/>
                <w:sz w:val="20"/>
                <w:szCs w:val="20"/>
              </w:rPr>
              <w:t xml:space="preserve"> </w:t>
            </w:r>
          </w:p>
        </w:tc>
      </w:tr>
      <w:tr w:rsidR="002D7080" w:rsidRPr="004D1E6F" w14:paraId="039DAE34" w14:textId="77777777" w:rsidTr="002E2C37">
        <w:tc>
          <w:tcPr>
            <w:tcW w:w="9016" w:type="dxa"/>
            <w:gridSpan w:val="2"/>
            <w:shd w:val="clear" w:color="auto" w:fill="F2F2F2" w:themeFill="background1" w:themeFillShade="F2"/>
          </w:tcPr>
          <w:p w14:paraId="767F1035"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CON1i: Chemical, physical or structural impact on ecosystem</w:t>
            </w:r>
          </w:p>
        </w:tc>
      </w:tr>
      <w:tr w:rsidR="002D7080" w:rsidRPr="004D1E6F" w14:paraId="23C4BA8F" w14:textId="77777777" w:rsidTr="002E2C37">
        <w:tc>
          <w:tcPr>
            <w:tcW w:w="5949" w:type="dxa"/>
          </w:tcPr>
          <w:p w14:paraId="5330B890" w14:textId="77777777" w:rsidR="002D7080" w:rsidRPr="008D79D3" w:rsidRDefault="002D7080" w:rsidP="002E2C37">
            <w:pPr>
              <w:jc w:val="both"/>
              <w:rPr>
                <w:rFonts w:ascii="Times New Roman" w:eastAsia="Times New Roman" w:hAnsi="Times New Roman" w:cs="Times New Roman"/>
                <w:sz w:val="20"/>
                <w:szCs w:val="20"/>
                <w:lang w:eastAsia="en-ZA"/>
              </w:rPr>
            </w:pPr>
            <w:r w:rsidRPr="008D79D3">
              <w:rPr>
                <w:rFonts w:ascii="Times New Roman" w:eastAsia="Times New Roman" w:hAnsi="Times New Roman" w:cs="Times New Roman"/>
                <w:sz w:val="20"/>
                <w:szCs w:val="20"/>
                <w:lang w:eastAsia="en-ZA"/>
              </w:rPr>
              <w:t>Response: Minor (MN)</w:t>
            </w:r>
          </w:p>
        </w:tc>
        <w:tc>
          <w:tcPr>
            <w:tcW w:w="3067" w:type="dxa"/>
          </w:tcPr>
          <w:p w14:paraId="0F254495" w14:textId="77777777" w:rsidR="002D7080" w:rsidRPr="008D79D3" w:rsidRDefault="002D7080" w:rsidP="002E2C37">
            <w:pPr>
              <w:jc w:val="both"/>
              <w:rPr>
                <w:rFonts w:ascii="Times New Roman" w:eastAsia="Times New Roman" w:hAnsi="Times New Roman" w:cs="Times New Roman"/>
                <w:sz w:val="20"/>
                <w:szCs w:val="20"/>
                <w:lang w:eastAsia="en-ZA"/>
              </w:rPr>
            </w:pPr>
            <w:r w:rsidRPr="008D79D3">
              <w:rPr>
                <w:rFonts w:ascii="Times New Roman" w:eastAsia="Times New Roman" w:hAnsi="Times New Roman" w:cs="Times New Roman"/>
                <w:sz w:val="20"/>
                <w:szCs w:val="20"/>
                <w:lang w:eastAsia="en-ZA"/>
              </w:rPr>
              <w:t xml:space="preserve">Confidence: Low </w:t>
            </w:r>
          </w:p>
        </w:tc>
      </w:tr>
      <w:tr w:rsidR="002D7080" w:rsidRPr="004D1E6F" w14:paraId="21987E1B" w14:textId="77777777" w:rsidTr="002E2C37">
        <w:trPr>
          <w:trHeight w:val="70"/>
        </w:trPr>
        <w:tc>
          <w:tcPr>
            <w:tcW w:w="9016" w:type="dxa"/>
            <w:gridSpan w:val="2"/>
          </w:tcPr>
          <w:p w14:paraId="4D35BCCA" w14:textId="77777777" w:rsidR="002D7080" w:rsidRPr="008D79D3" w:rsidRDefault="002D7080" w:rsidP="002E2C37">
            <w:pPr>
              <w:jc w:val="both"/>
              <w:rPr>
                <w:rFonts w:ascii="Times New Roman" w:eastAsia="Times New Roman" w:hAnsi="Times New Roman" w:cs="Times New Roman"/>
                <w:sz w:val="20"/>
                <w:szCs w:val="20"/>
                <w:lang w:eastAsia="en-ZA"/>
              </w:rPr>
            </w:pPr>
            <w:r w:rsidRPr="008D79D3">
              <w:rPr>
                <w:rFonts w:ascii="Times New Roman" w:eastAsia="Times New Roman" w:hAnsi="Times New Roman" w:cs="Times New Roman"/>
                <w:sz w:val="20"/>
                <w:szCs w:val="20"/>
                <w:lang w:eastAsia="en-ZA"/>
              </w:rPr>
              <w:t xml:space="preserve">Rationale: Excessive grazing by </w:t>
            </w:r>
            <w:r w:rsidRPr="008D79D3">
              <w:rPr>
                <w:rFonts w:ascii="Times New Roman" w:eastAsia="Times New Roman" w:hAnsi="Times New Roman" w:cs="Times New Roman"/>
                <w:i/>
                <w:iCs/>
                <w:sz w:val="20"/>
                <w:szCs w:val="20"/>
                <w:lang w:eastAsia="en-ZA"/>
              </w:rPr>
              <w:t>F. virilis</w:t>
            </w:r>
            <w:r w:rsidRPr="008D79D3">
              <w:rPr>
                <w:rFonts w:ascii="Times New Roman" w:eastAsia="Times New Roman" w:hAnsi="Times New Roman" w:cs="Times New Roman"/>
                <w:sz w:val="20"/>
                <w:szCs w:val="20"/>
                <w:lang w:eastAsia="en-ZA"/>
              </w:rPr>
              <w:t xml:space="preserve"> has led to habitat alteration through decreased macrophytes abundance and increased turbidity in invaded systems (</w:t>
            </w:r>
            <w:r>
              <w:rPr>
                <w:rFonts w:ascii="Times New Roman" w:hAnsi="Times New Roman" w:cs="Times New Roman"/>
                <w:sz w:val="20"/>
                <w:szCs w:val="20"/>
              </w:rPr>
              <w:t>Chambers et al. 1990; Roessink et al. 2017</w:t>
            </w:r>
            <w:r w:rsidRPr="008D79D3">
              <w:rPr>
                <w:rFonts w:ascii="Times New Roman" w:eastAsia="Times New Roman" w:hAnsi="Times New Roman" w:cs="Times New Roman"/>
                <w:sz w:val="20"/>
                <w:szCs w:val="20"/>
                <w:lang w:eastAsia="en-ZA"/>
              </w:rPr>
              <w:t>)</w:t>
            </w:r>
          </w:p>
        </w:tc>
      </w:tr>
      <w:tr w:rsidR="002D7080" w:rsidRPr="004D1E6F" w14:paraId="42DEA817" w14:textId="77777777" w:rsidTr="002E2C37">
        <w:trPr>
          <w:trHeight w:val="70"/>
        </w:trPr>
        <w:tc>
          <w:tcPr>
            <w:tcW w:w="9016" w:type="dxa"/>
            <w:gridSpan w:val="2"/>
          </w:tcPr>
          <w:p w14:paraId="722A9AC9" w14:textId="77777777" w:rsidR="002D7080" w:rsidRPr="008D79D3" w:rsidRDefault="002D7080" w:rsidP="002E2C37">
            <w:pPr>
              <w:ind w:left="720" w:hanging="720"/>
              <w:rPr>
                <w:rFonts w:ascii="Times New Roman" w:eastAsia="Times New Roman" w:hAnsi="Times New Roman" w:cs="Times New Roman"/>
                <w:sz w:val="20"/>
                <w:szCs w:val="20"/>
                <w:lang w:eastAsia="en-ZA"/>
              </w:rPr>
            </w:pPr>
            <w:r w:rsidRPr="008D79D3">
              <w:rPr>
                <w:rFonts w:ascii="Times New Roman" w:eastAsia="Times New Roman" w:hAnsi="Times New Roman" w:cs="Times New Roman"/>
                <w:sz w:val="20"/>
                <w:szCs w:val="20"/>
                <w:lang w:eastAsia="en-ZA"/>
              </w:rPr>
              <w:t>References:</w:t>
            </w:r>
          </w:p>
          <w:p w14:paraId="67810E13" w14:textId="77777777" w:rsidR="002D7080" w:rsidRPr="008D79D3" w:rsidRDefault="002D7080" w:rsidP="002E2C37">
            <w:pPr>
              <w:ind w:left="720" w:hanging="720"/>
              <w:contextualSpacing/>
              <w:jc w:val="both"/>
              <w:rPr>
                <w:rFonts w:ascii="Times New Roman" w:hAnsi="Times New Roman" w:cs="Times New Roman"/>
                <w:sz w:val="20"/>
                <w:szCs w:val="20"/>
                <w:shd w:val="clear" w:color="auto" w:fill="FFFFFF"/>
              </w:rPr>
            </w:pPr>
            <w:r w:rsidRPr="008D79D3">
              <w:rPr>
                <w:rFonts w:ascii="Times New Roman" w:hAnsi="Times New Roman" w:cs="Times New Roman"/>
                <w:sz w:val="20"/>
                <w:szCs w:val="20"/>
                <w:shd w:val="clear" w:color="auto" w:fill="FFFFFF"/>
              </w:rPr>
              <w:t xml:space="preserve">Chambers, P.A., Hanson, J.M., Burke, J.M., Prepas, E.E., 1990. The impact of the crayfish </w:t>
            </w:r>
            <w:r w:rsidRPr="003D61F3">
              <w:rPr>
                <w:rFonts w:ascii="Times New Roman" w:hAnsi="Times New Roman" w:cs="Times New Roman"/>
                <w:i/>
                <w:iCs/>
                <w:sz w:val="20"/>
                <w:szCs w:val="20"/>
                <w:shd w:val="clear" w:color="auto" w:fill="FFFFFF"/>
              </w:rPr>
              <w:t>Orconectes virilis</w:t>
            </w:r>
            <w:r w:rsidRPr="008D79D3">
              <w:rPr>
                <w:rFonts w:ascii="Times New Roman" w:hAnsi="Times New Roman" w:cs="Times New Roman"/>
                <w:sz w:val="20"/>
                <w:szCs w:val="20"/>
                <w:shd w:val="clear" w:color="auto" w:fill="FFFFFF"/>
              </w:rPr>
              <w:t xml:space="preserve"> on aquatic macrophytes.</w:t>
            </w:r>
            <w:r>
              <w:rPr>
                <w:rFonts w:ascii="Times New Roman" w:hAnsi="Times New Roman" w:cs="Times New Roman"/>
                <w:sz w:val="20"/>
                <w:szCs w:val="20"/>
                <w:shd w:val="clear" w:color="auto" w:fill="FFFFFF"/>
              </w:rPr>
              <w:t xml:space="preserve"> </w:t>
            </w:r>
            <w:r w:rsidRPr="008D79D3">
              <w:rPr>
                <w:rStyle w:val="Emphasis"/>
                <w:rFonts w:ascii="Times New Roman" w:hAnsi="Times New Roman" w:cs="Times New Roman"/>
                <w:sz w:val="20"/>
                <w:szCs w:val="20"/>
                <w:shd w:val="clear" w:color="auto" w:fill="FFFFFF"/>
              </w:rPr>
              <w:t>Freshwater Biology</w:t>
            </w:r>
            <w:r w:rsidRPr="008D79D3">
              <w:rPr>
                <w:rFonts w:ascii="Times New Roman" w:hAnsi="Times New Roman" w:cs="Times New Roman"/>
                <w:sz w:val="20"/>
                <w:szCs w:val="20"/>
                <w:shd w:val="clear" w:color="auto" w:fill="FFFFFF"/>
              </w:rPr>
              <w:t>, 24:81-91.</w:t>
            </w:r>
            <w:r>
              <w:rPr>
                <w:rFonts w:ascii="Times New Roman" w:hAnsi="Times New Roman" w:cs="Times New Roman"/>
                <w:sz w:val="20"/>
                <w:szCs w:val="20"/>
                <w:shd w:val="clear" w:color="auto" w:fill="FFFFFF"/>
              </w:rPr>
              <w:t xml:space="preserve"> </w:t>
            </w:r>
            <w:hyperlink r:id="rId399" w:history="1">
              <w:r w:rsidRPr="007B06D7">
                <w:rPr>
                  <w:rStyle w:val="Hyperlink"/>
                  <w:rFonts w:ascii="Times New Roman" w:hAnsi="Times New Roman" w:cs="Times New Roman"/>
                  <w:bCs/>
                  <w:sz w:val="20"/>
                  <w:szCs w:val="20"/>
                  <w:shd w:val="clear" w:color="auto" w:fill="FFFFFF"/>
                </w:rPr>
                <w:t>https://doi.org/10.1111/j.1365-2427.1990.tb00309.x</w:t>
              </w:r>
            </w:hyperlink>
            <w:r w:rsidRPr="007B06D7">
              <w:rPr>
                <w:rFonts w:ascii="Times New Roman" w:hAnsi="Times New Roman" w:cs="Times New Roman"/>
                <w:sz w:val="20"/>
                <w:szCs w:val="20"/>
                <w:shd w:val="clear" w:color="auto" w:fill="FFFFFF"/>
              </w:rPr>
              <w:t>.</w:t>
            </w:r>
          </w:p>
          <w:p w14:paraId="5D05CEE2" w14:textId="77777777" w:rsidR="002D7080" w:rsidRPr="00344B05" w:rsidRDefault="002D7080" w:rsidP="002E2C37">
            <w:pPr>
              <w:ind w:left="720" w:hanging="720"/>
              <w:contextualSpacing/>
              <w:jc w:val="both"/>
              <w:rPr>
                <w:rFonts w:ascii="Times New Roman" w:hAnsi="Times New Roman" w:cs="Times New Roman"/>
                <w:sz w:val="20"/>
                <w:szCs w:val="20"/>
              </w:rPr>
            </w:pPr>
            <w:r w:rsidRPr="008D79D3">
              <w:rPr>
                <w:rFonts w:ascii="Times New Roman" w:hAnsi="Times New Roman" w:cs="Times New Roman"/>
                <w:sz w:val="20"/>
                <w:szCs w:val="20"/>
              </w:rPr>
              <w:t xml:space="preserve">Roessink, I., Gylstra, R., Heuts, P. G. M., Specken, B., and F. Ottburg. 2017. Impact of invasive crayfish on water quality and aquatic macrophytes in the Netherlands. </w:t>
            </w:r>
            <w:r w:rsidRPr="00021DA1">
              <w:rPr>
                <w:rFonts w:ascii="Times New Roman" w:hAnsi="Times New Roman" w:cs="Times New Roman"/>
                <w:i/>
                <w:iCs/>
                <w:sz w:val="20"/>
                <w:szCs w:val="20"/>
              </w:rPr>
              <w:t>Aquatic Invasions</w:t>
            </w:r>
            <w:r w:rsidRPr="008D79D3">
              <w:rPr>
                <w:rFonts w:ascii="Times New Roman" w:hAnsi="Times New Roman" w:cs="Times New Roman"/>
                <w:sz w:val="20"/>
                <w:szCs w:val="20"/>
              </w:rPr>
              <w:t xml:space="preserve"> 12(3):</w:t>
            </w:r>
            <w:r>
              <w:rPr>
                <w:rFonts w:ascii="Times New Roman" w:hAnsi="Times New Roman" w:cs="Times New Roman"/>
                <w:sz w:val="20"/>
                <w:szCs w:val="20"/>
              </w:rPr>
              <w:t xml:space="preserve"> </w:t>
            </w:r>
            <w:r w:rsidRPr="008D79D3">
              <w:rPr>
                <w:rFonts w:ascii="Times New Roman" w:hAnsi="Times New Roman" w:cs="Times New Roman"/>
                <w:sz w:val="20"/>
                <w:szCs w:val="20"/>
              </w:rPr>
              <w:t xml:space="preserve">397-404. </w:t>
            </w:r>
            <w:hyperlink r:id="rId400" w:history="1">
              <w:r w:rsidRPr="000B0DAE">
                <w:rPr>
                  <w:rStyle w:val="Hyperlink"/>
                  <w:rFonts w:ascii="Times New Roman" w:hAnsi="Times New Roman" w:cs="Times New Roman"/>
                  <w:sz w:val="20"/>
                  <w:szCs w:val="20"/>
                </w:rPr>
                <w:t>https://doi.org/10.3391/ai.2017.12.3.12</w:t>
              </w:r>
            </w:hyperlink>
            <w:r w:rsidRPr="008D79D3">
              <w:rPr>
                <w:rFonts w:ascii="Times New Roman" w:hAnsi="Times New Roman" w:cs="Times New Roman"/>
                <w:sz w:val="20"/>
                <w:szCs w:val="20"/>
              </w:rPr>
              <w:t>.</w:t>
            </w:r>
            <w:r>
              <w:rPr>
                <w:rFonts w:ascii="Times New Roman" w:hAnsi="Times New Roman" w:cs="Times New Roman"/>
                <w:sz w:val="20"/>
                <w:szCs w:val="20"/>
              </w:rPr>
              <w:t xml:space="preserve"> </w:t>
            </w:r>
          </w:p>
        </w:tc>
      </w:tr>
      <w:tr w:rsidR="002D7080" w:rsidRPr="004D1E6F" w14:paraId="172A47F1" w14:textId="77777777" w:rsidTr="002E2C37">
        <w:tc>
          <w:tcPr>
            <w:tcW w:w="9016" w:type="dxa"/>
            <w:gridSpan w:val="2"/>
            <w:shd w:val="clear" w:color="auto" w:fill="F2F2F2" w:themeFill="background1" w:themeFillShade="F2"/>
          </w:tcPr>
          <w:p w14:paraId="72E35B16"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CON1k: Indirect impacts through interactions with other species</w:t>
            </w:r>
          </w:p>
        </w:tc>
      </w:tr>
      <w:tr w:rsidR="002D7080" w:rsidRPr="004D1E6F" w14:paraId="7066633F" w14:textId="77777777" w:rsidTr="002E2C37">
        <w:tc>
          <w:tcPr>
            <w:tcW w:w="5949" w:type="dxa"/>
          </w:tcPr>
          <w:p w14:paraId="4C16A03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B0D82F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771F9E13" w14:textId="77777777" w:rsidTr="002E2C37">
        <w:trPr>
          <w:trHeight w:val="70"/>
        </w:trPr>
        <w:tc>
          <w:tcPr>
            <w:tcW w:w="9016" w:type="dxa"/>
            <w:gridSpan w:val="2"/>
          </w:tcPr>
          <w:p w14:paraId="22FA4B1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08FAFDBB" w14:textId="77777777" w:rsidTr="002E2C37">
        <w:trPr>
          <w:trHeight w:val="70"/>
        </w:trPr>
        <w:tc>
          <w:tcPr>
            <w:tcW w:w="9016" w:type="dxa"/>
            <w:gridSpan w:val="2"/>
          </w:tcPr>
          <w:p w14:paraId="13002E40"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2436E54A" w14:textId="77777777" w:rsidTr="002E2C37">
        <w:trPr>
          <w:trHeight w:val="343"/>
        </w:trPr>
        <w:tc>
          <w:tcPr>
            <w:tcW w:w="9016" w:type="dxa"/>
            <w:gridSpan w:val="2"/>
            <w:shd w:val="clear" w:color="auto" w:fill="F2F2F2" w:themeFill="background1" w:themeFillShade="F2"/>
          </w:tcPr>
          <w:p w14:paraId="1FE4B66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CON1 Maximum environmental impact </w:t>
            </w:r>
          </w:p>
        </w:tc>
      </w:tr>
      <w:tr w:rsidR="002D7080" w:rsidRPr="004D1E6F" w14:paraId="6AB5C4F1" w14:textId="77777777" w:rsidTr="002E2C37">
        <w:trPr>
          <w:trHeight w:val="172"/>
        </w:trPr>
        <w:tc>
          <w:tcPr>
            <w:tcW w:w="5949" w:type="dxa"/>
          </w:tcPr>
          <w:p w14:paraId="6907071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Major</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MR</w:t>
            </w:r>
            <w:r w:rsidRPr="004D1E6F">
              <w:rPr>
                <w:rFonts w:ascii="Times New Roman" w:eastAsia="Times New Roman" w:hAnsi="Times New Roman" w:cs="Times New Roman"/>
                <w:sz w:val="20"/>
                <w:szCs w:val="20"/>
                <w:lang w:eastAsia="en-ZA"/>
              </w:rPr>
              <w:t>)</w:t>
            </w:r>
          </w:p>
        </w:tc>
        <w:tc>
          <w:tcPr>
            <w:tcW w:w="3067" w:type="dxa"/>
          </w:tcPr>
          <w:p w14:paraId="4DA915C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Medium </w:t>
            </w:r>
          </w:p>
        </w:tc>
      </w:tr>
      <w:tr w:rsidR="002D7080" w:rsidRPr="004D1E6F" w14:paraId="784D9DBD" w14:textId="77777777" w:rsidTr="002E2C37">
        <w:trPr>
          <w:trHeight w:val="70"/>
        </w:trPr>
        <w:tc>
          <w:tcPr>
            <w:tcW w:w="9016" w:type="dxa"/>
            <w:gridSpan w:val="2"/>
          </w:tcPr>
          <w:p w14:paraId="5A51343B" w14:textId="77777777" w:rsidR="002D7080" w:rsidRPr="004D1E6F" w:rsidRDefault="002D7080" w:rsidP="002E2C37">
            <w:pPr>
              <w:jc w:val="both"/>
              <w:rPr>
                <w:rFonts w:ascii="Times New Roman" w:eastAsia="Times New Roman" w:hAnsi="Times New Roman" w:cs="Times New Roman"/>
                <w:sz w:val="20"/>
                <w:szCs w:val="20"/>
                <w:lang w:eastAsia="en-ZA"/>
              </w:rPr>
            </w:pPr>
            <w:r w:rsidRPr="00E52A8B">
              <w:rPr>
                <w:rFonts w:ascii="Times New Roman" w:eastAsia="Times New Roman" w:hAnsi="Times New Roman" w:cs="Times New Roman"/>
                <w:sz w:val="20"/>
                <w:szCs w:val="20"/>
                <w:lang w:eastAsia="en-ZA"/>
              </w:rPr>
              <w:t xml:space="preserve">Rationale: </w:t>
            </w:r>
            <w:r w:rsidRPr="00E52A8B">
              <w:rPr>
                <w:rFonts w:ascii="Times New Roman" w:eastAsia="Times New Roman" w:hAnsi="Times New Roman" w:cs="Times New Roman"/>
                <w:i/>
                <w:iCs/>
                <w:sz w:val="20"/>
                <w:szCs w:val="20"/>
                <w:lang w:eastAsia="en-ZA"/>
              </w:rPr>
              <w:t>Faxonius virilis</w:t>
            </w:r>
            <w:r w:rsidRPr="00E52A8B">
              <w:rPr>
                <w:rFonts w:ascii="Times New Roman" w:eastAsia="Times New Roman" w:hAnsi="Times New Roman" w:cs="Times New Roman"/>
                <w:sz w:val="20"/>
                <w:szCs w:val="20"/>
                <w:lang w:eastAsia="en-ZA"/>
              </w:rPr>
              <w:t xml:space="preserve"> has being implicated in the decline, displacement and local extirpation of native macroinvertebrates, crayfishes, snails, frogs and fish in the USA through competition and predation (</w:t>
            </w:r>
            <w:r>
              <w:rPr>
                <w:rFonts w:ascii="Times New Roman" w:eastAsia="Times New Roman" w:hAnsi="Times New Roman" w:cs="Times New Roman"/>
                <w:sz w:val="20"/>
                <w:szCs w:val="20"/>
                <w:lang w:eastAsia="en-ZA"/>
              </w:rPr>
              <w:t xml:space="preserve">Hanson et al. 1990; </w:t>
            </w:r>
            <w:r w:rsidRPr="00E52A8B">
              <w:rPr>
                <w:rFonts w:ascii="Times New Roman" w:hAnsi="Times New Roman" w:cs="Times New Roman"/>
                <w:color w:val="333333"/>
                <w:sz w:val="20"/>
                <w:szCs w:val="20"/>
                <w:shd w:val="clear" w:color="auto" w:fill="FFFFFF"/>
              </w:rPr>
              <w:t xml:space="preserve">Rogowski &amp; Stockwell 2006, </w:t>
            </w:r>
            <w:r>
              <w:rPr>
                <w:rFonts w:ascii="Times New Roman" w:hAnsi="Times New Roman" w:cs="Times New Roman"/>
                <w:color w:val="333333"/>
                <w:sz w:val="20"/>
                <w:szCs w:val="20"/>
                <w:shd w:val="clear" w:color="auto" w:fill="FFFFFF"/>
              </w:rPr>
              <w:t xml:space="preserve">Philips et al. 2009; </w:t>
            </w:r>
            <w:r w:rsidRPr="00E52A8B">
              <w:rPr>
                <w:rFonts w:ascii="Times New Roman" w:eastAsia="Times New Roman" w:hAnsi="Times New Roman" w:cs="Times New Roman"/>
                <w:sz w:val="20"/>
                <w:szCs w:val="20"/>
                <w:lang w:eastAsia="en-ZA"/>
              </w:rPr>
              <w:t xml:space="preserve">Loughman &amp; Welsh 2010; </w:t>
            </w:r>
            <w:r>
              <w:rPr>
                <w:rFonts w:ascii="Times New Roman" w:eastAsia="Times New Roman" w:hAnsi="Times New Roman" w:cs="Times New Roman"/>
                <w:sz w:val="20"/>
                <w:szCs w:val="20"/>
                <w:lang w:eastAsia="en-ZA"/>
              </w:rPr>
              <w:t xml:space="preserve">Hale et al. 2016; Shaw et al. 2021; </w:t>
            </w:r>
            <w:r w:rsidRPr="00E52A8B">
              <w:rPr>
                <w:rFonts w:ascii="Times New Roman" w:eastAsia="Times New Roman" w:hAnsi="Times New Roman" w:cs="Times New Roman"/>
                <w:sz w:val="20"/>
                <w:szCs w:val="20"/>
                <w:lang w:eastAsia="en-ZA"/>
              </w:rPr>
              <w:t>USGS-NAS 2023</w:t>
            </w:r>
            <w:r>
              <w:rPr>
                <w:rFonts w:ascii="Times New Roman" w:eastAsia="Times New Roman" w:hAnsi="Times New Roman" w:cs="Times New Roman"/>
                <w:sz w:val="20"/>
                <w:szCs w:val="20"/>
                <w:lang w:eastAsia="en-ZA"/>
              </w:rPr>
              <w:t>; GISD 2023</w:t>
            </w:r>
            <w:r w:rsidRPr="00E52A8B">
              <w:rPr>
                <w:rFonts w:ascii="Times New Roman" w:eastAsia="Times New Roman" w:hAnsi="Times New Roman" w:cs="Times New Roman"/>
                <w:sz w:val="20"/>
                <w:szCs w:val="20"/>
                <w:lang w:eastAsia="en-ZA"/>
              </w:rPr>
              <w:t xml:space="preserve">).     </w:t>
            </w:r>
          </w:p>
        </w:tc>
      </w:tr>
      <w:tr w:rsidR="002D7080" w:rsidRPr="004D1E6F" w14:paraId="65EEA2A2" w14:textId="77777777" w:rsidTr="002E2C37">
        <w:trPr>
          <w:trHeight w:val="70"/>
        </w:trPr>
        <w:tc>
          <w:tcPr>
            <w:tcW w:w="9016" w:type="dxa"/>
            <w:gridSpan w:val="2"/>
          </w:tcPr>
          <w:p w14:paraId="54A9417D" w14:textId="77777777" w:rsidR="002D7080" w:rsidRPr="00E52A8B" w:rsidRDefault="002D7080" w:rsidP="002E2C37">
            <w:pPr>
              <w:ind w:left="720" w:hanging="720"/>
              <w:rPr>
                <w:rFonts w:ascii="Times New Roman" w:eastAsia="Times New Roman" w:hAnsi="Times New Roman" w:cs="Times New Roman"/>
                <w:sz w:val="20"/>
                <w:szCs w:val="20"/>
                <w:lang w:eastAsia="en-ZA"/>
              </w:rPr>
            </w:pPr>
            <w:r w:rsidRPr="00E52A8B">
              <w:rPr>
                <w:rFonts w:ascii="Times New Roman" w:eastAsia="Times New Roman" w:hAnsi="Times New Roman" w:cs="Times New Roman"/>
                <w:sz w:val="20"/>
                <w:szCs w:val="20"/>
                <w:lang w:eastAsia="en-ZA"/>
              </w:rPr>
              <w:t>References:</w:t>
            </w:r>
          </w:p>
          <w:p w14:paraId="7C422C8D" w14:textId="77777777" w:rsidR="002D7080" w:rsidRPr="00E52A8B" w:rsidRDefault="002D7080" w:rsidP="002E2C37">
            <w:pPr>
              <w:ind w:left="720" w:hanging="720"/>
              <w:jc w:val="both"/>
              <w:rPr>
                <w:rFonts w:ascii="Times New Roman" w:hAnsi="Times New Roman" w:cs="Times New Roman"/>
                <w:sz w:val="20"/>
                <w:szCs w:val="20"/>
              </w:rPr>
            </w:pPr>
            <w:r w:rsidRPr="00E52A8B">
              <w:rPr>
                <w:rFonts w:ascii="Times New Roman" w:hAnsi="Times New Roman" w:cs="Times New Roman"/>
                <w:sz w:val="20"/>
                <w:szCs w:val="20"/>
                <w:shd w:val="clear" w:color="auto" w:fill="FFFFFF"/>
              </w:rPr>
              <w:t xml:space="preserve">GISD, 2023. Species profile: </w:t>
            </w:r>
            <w:r w:rsidRPr="00E52A8B">
              <w:rPr>
                <w:rFonts w:ascii="Times New Roman" w:hAnsi="Times New Roman" w:cs="Times New Roman"/>
                <w:i/>
                <w:iCs/>
                <w:sz w:val="20"/>
                <w:szCs w:val="20"/>
                <w:shd w:val="clear" w:color="auto" w:fill="FFFFFF"/>
              </w:rPr>
              <w:t>Orconectes virilis</w:t>
            </w:r>
            <w:r w:rsidRPr="00E52A8B">
              <w:rPr>
                <w:rFonts w:ascii="Times New Roman" w:hAnsi="Times New Roman" w:cs="Times New Roman"/>
                <w:sz w:val="20"/>
                <w:szCs w:val="20"/>
                <w:shd w:val="clear" w:color="auto" w:fill="FFFFFF"/>
              </w:rPr>
              <w:t xml:space="preserve">. Global Invasive Species Database. </w:t>
            </w:r>
            <w:hyperlink w:history="1">
              <w:r w:rsidRPr="00E52A8B">
                <w:rPr>
                  <w:rStyle w:val="Hyperlink"/>
                  <w:rFonts w:ascii="Times New Roman" w:hAnsi="Times New Roman" w:cs="Times New Roman"/>
                  <w:sz w:val="20"/>
                  <w:szCs w:val="20"/>
                  <w:shd w:val="clear" w:color="auto" w:fill="FFFFFF"/>
                </w:rPr>
                <w:t>http://www.iucngisd.org/gisd/species.php?sc=218</w:t>
              </w:r>
            </w:hyperlink>
          </w:p>
          <w:p w14:paraId="11B41CC1" w14:textId="77777777" w:rsidR="002D7080" w:rsidRPr="00E52A8B" w:rsidRDefault="002D7080" w:rsidP="006728DB">
            <w:pPr>
              <w:ind w:left="720" w:hanging="720"/>
              <w:contextualSpacing/>
              <w:jc w:val="both"/>
              <w:rPr>
                <w:rFonts w:ascii="Times New Roman" w:hAnsi="Times New Roman" w:cs="Times New Roman"/>
                <w:color w:val="000000"/>
                <w:sz w:val="20"/>
                <w:szCs w:val="20"/>
              </w:rPr>
            </w:pPr>
            <w:r w:rsidRPr="00E52A8B">
              <w:rPr>
                <w:rFonts w:ascii="Times New Roman" w:hAnsi="Times New Roman" w:cs="Times New Roman"/>
                <w:color w:val="000000"/>
                <w:sz w:val="20"/>
                <w:szCs w:val="20"/>
              </w:rPr>
              <w:lastRenderedPageBreak/>
              <w:t>Hale, P., Wilson,</w:t>
            </w:r>
            <w:r>
              <w:rPr>
                <w:rFonts w:ascii="Times New Roman" w:hAnsi="Times New Roman" w:cs="Times New Roman"/>
                <w:color w:val="000000"/>
                <w:sz w:val="20"/>
                <w:szCs w:val="20"/>
              </w:rPr>
              <w:t xml:space="preserve"> J., </w:t>
            </w:r>
            <w:r w:rsidRPr="00E52A8B">
              <w:rPr>
                <w:rFonts w:ascii="Times New Roman" w:hAnsi="Times New Roman" w:cs="Times New Roman"/>
                <w:color w:val="000000"/>
                <w:sz w:val="20"/>
                <w:szCs w:val="20"/>
              </w:rPr>
              <w:t xml:space="preserve">Loughman, </w:t>
            </w:r>
            <w:r>
              <w:rPr>
                <w:rFonts w:ascii="Times New Roman" w:hAnsi="Times New Roman" w:cs="Times New Roman"/>
                <w:color w:val="000000"/>
                <w:sz w:val="20"/>
                <w:szCs w:val="20"/>
              </w:rPr>
              <w:t xml:space="preserve">Z. &amp; </w:t>
            </w:r>
            <w:r w:rsidRPr="00E52A8B">
              <w:rPr>
                <w:rFonts w:ascii="Times New Roman" w:hAnsi="Times New Roman" w:cs="Times New Roman"/>
                <w:color w:val="000000"/>
                <w:sz w:val="20"/>
                <w:szCs w:val="20"/>
              </w:rPr>
              <w:t>Henkanaththegedara</w:t>
            </w:r>
            <w:r>
              <w:rPr>
                <w:rFonts w:ascii="Times New Roman" w:hAnsi="Times New Roman" w:cs="Times New Roman"/>
                <w:color w:val="000000"/>
                <w:sz w:val="20"/>
                <w:szCs w:val="20"/>
              </w:rPr>
              <w:t>, S.,</w:t>
            </w:r>
            <w:r w:rsidRPr="00E52A8B">
              <w:rPr>
                <w:rFonts w:ascii="Times New Roman" w:hAnsi="Times New Roman" w:cs="Times New Roman"/>
                <w:color w:val="000000"/>
                <w:sz w:val="20"/>
                <w:szCs w:val="20"/>
              </w:rPr>
              <w:t xml:space="preserve"> 2016</w:t>
            </w:r>
            <w:r>
              <w:rPr>
                <w:rFonts w:ascii="Times New Roman" w:hAnsi="Times New Roman" w:cs="Times New Roman"/>
                <w:color w:val="000000"/>
                <w:sz w:val="20"/>
                <w:szCs w:val="20"/>
              </w:rPr>
              <w:t>, ‘</w:t>
            </w:r>
            <w:r w:rsidRPr="00E52A8B">
              <w:rPr>
                <w:rFonts w:ascii="Times New Roman" w:hAnsi="Times New Roman" w:cs="Times New Roman"/>
                <w:color w:val="000000"/>
                <w:sz w:val="20"/>
                <w:szCs w:val="20"/>
              </w:rPr>
              <w:t>Potential impacts of invasive crayfish on native crayfish: insights from laboratory experiments</w:t>
            </w:r>
            <w:r>
              <w:rPr>
                <w:rFonts w:ascii="Times New Roman" w:hAnsi="Times New Roman" w:cs="Times New Roman"/>
                <w:color w:val="000000"/>
                <w:sz w:val="20"/>
                <w:szCs w:val="20"/>
              </w:rPr>
              <w:t xml:space="preserve">’, </w:t>
            </w:r>
            <w:r w:rsidRPr="0019330E">
              <w:rPr>
                <w:rFonts w:ascii="Times New Roman" w:hAnsi="Times New Roman" w:cs="Times New Roman"/>
                <w:i/>
                <w:iCs/>
                <w:color w:val="000000"/>
                <w:sz w:val="20"/>
                <w:szCs w:val="20"/>
              </w:rPr>
              <w:t>Aquatic Invasions</w:t>
            </w:r>
            <w:r w:rsidRPr="00E52A8B">
              <w:rPr>
                <w:rFonts w:ascii="Times New Roman" w:hAnsi="Times New Roman" w:cs="Times New Roman"/>
                <w:color w:val="000000"/>
                <w:sz w:val="20"/>
                <w:szCs w:val="20"/>
              </w:rPr>
              <w:t xml:space="preserve"> 11(4)</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 xml:space="preserve">451-458. </w:t>
            </w:r>
            <w:hyperlink w:history="1">
              <w:r w:rsidRPr="00E52A8B">
                <w:rPr>
                  <w:rStyle w:val="Hyperlink"/>
                  <w:rFonts w:ascii="Times New Roman" w:hAnsi="Times New Roman" w:cs="Times New Roman"/>
                  <w:sz w:val="20"/>
                  <w:szCs w:val="20"/>
                </w:rPr>
                <w:t>https://doi.org/10.3391/ai.2016.11.4.09</w:t>
              </w:r>
            </w:hyperlink>
            <w:r w:rsidRPr="00E52A8B">
              <w:rPr>
                <w:rFonts w:ascii="Times New Roman" w:hAnsi="Times New Roman" w:cs="Times New Roman"/>
                <w:color w:val="000000"/>
                <w:sz w:val="20"/>
                <w:szCs w:val="20"/>
              </w:rPr>
              <w:t>.</w:t>
            </w:r>
          </w:p>
          <w:p w14:paraId="45BFD195" w14:textId="77777777" w:rsidR="002D7080" w:rsidRPr="004D1E6F" w:rsidRDefault="002D7080" w:rsidP="006728DB">
            <w:pPr>
              <w:ind w:left="720" w:hanging="720"/>
              <w:contextualSpacing/>
              <w:jc w:val="both"/>
              <w:rPr>
                <w:rFonts w:ascii="Times New Roman" w:eastAsia="Times New Roman" w:hAnsi="Times New Roman" w:cs="Times New Roman"/>
                <w:sz w:val="20"/>
                <w:szCs w:val="20"/>
                <w:lang w:eastAsia="en-ZA"/>
              </w:rPr>
            </w:pPr>
            <w:r w:rsidRPr="00E52A8B">
              <w:rPr>
                <w:rFonts w:ascii="Times New Roman" w:hAnsi="Times New Roman" w:cs="Times New Roman"/>
                <w:color w:val="000000"/>
                <w:sz w:val="20"/>
                <w:szCs w:val="20"/>
              </w:rPr>
              <w:t>Hanson, J.M., Chambers, P.A.</w:t>
            </w:r>
            <w:r>
              <w:rPr>
                <w:rFonts w:ascii="Times New Roman" w:hAnsi="Times New Roman" w:cs="Times New Roman"/>
                <w:color w:val="000000"/>
                <w:sz w:val="20"/>
                <w:szCs w:val="20"/>
              </w:rPr>
              <w:t xml:space="preserve"> &amp;</w:t>
            </w:r>
            <w:r w:rsidRPr="00E52A8B">
              <w:rPr>
                <w:rFonts w:ascii="Times New Roman" w:hAnsi="Times New Roman" w:cs="Times New Roman"/>
                <w:color w:val="000000"/>
                <w:sz w:val="20"/>
                <w:szCs w:val="20"/>
              </w:rPr>
              <w:t xml:space="preserve"> Prepas</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 xml:space="preserve"> E.E.</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1990</w:t>
            </w:r>
            <w:r>
              <w:rPr>
                <w:rFonts w:ascii="Times New Roman" w:hAnsi="Times New Roman" w:cs="Times New Roman"/>
                <w:color w:val="000000"/>
                <w:sz w:val="20"/>
                <w:szCs w:val="20"/>
              </w:rPr>
              <w:t>, ‘</w:t>
            </w:r>
            <w:r w:rsidRPr="00E52A8B">
              <w:rPr>
                <w:rFonts w:ascii="Times New Roman" w:hAnsi="Times New Roman" w:cs="Times New Roman"/>
                <w:color w:val="000000"/>
                <w:sz w:val="20"/>
                <w:szCs w:val="20"/>
              </w:rPr>
              <w:t>Selective foraging by the crayfish </w:t>
            </w:r>
            <w:r w:rsidRPr="00E52A8B">
              <w:rPr>
                <w:rStyle w:val="Emphasis"/>
                <w:rFonts w:ascii="Times New Roman" w:hAnsi="Times New Roman" w:cs="Times New Roman"/>
                <w:color w:val="000000"/>
                <w:sz w:val="20"/>
                <w:szCs w:val="20"/>
              </w:rPr>
              <w:t>Orconectes virilis</w:t>
            </w:r>
            <w:r w:rsidRPr="00E52A8B">
              <w:rPr>
                <w:rFonts w:ascii="Times New Roman" w:hAnsi="Times New Roman" w:cs="Times New Roman"/>
                <w:color w:val="000000"/>
                <w:sz w:val="20"/>
                <w:szCs w:val="20"/>
              </w:rPr>
              <w:t> and its impact on macroinvertebrates</w:t>
            </w:r>
            <w:r>
              <w:rPr>
                <w:rFonts w:ascii="Times New Roman" w:hAnsi="Times New Roman" w:cs="Times New Roman"/>
                <w:color w:val="000000"/>
                <w:sz w:val="20"/>
                <w:szCs w:val="20"/>
              </w:rPr>
              <w:t xml:space="preserve">’, </w:t>
            </w:r>
            <w:r w:rsidRPr="00DB4732">
              <w:rPr>
                <w:rFonts w:ascii="Times New Roman" w:hAnsi="Times New Roman" w:cs="Times New Roman"/>
                <w:i/>
                <w:iCs/>
                <w:color w:val="000000"/>
                <w:sz w:val="20"/>
                <w:szCs w:val="20"/>
              </w:rPr>
              <w:t>Freshwater Biology</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 xml:space="preserve"> 24</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69-80.</w:t>
            </w:r>
          </w:p>
          <w:p w14:paraId="6AD8272E" w14:textId="77777777" w:rsidR="002D7080" w:rsidRPr="00E52A8B" w:rsidRDefault="002D7080" w:rsidP="006728DB">
            <w:pPr>
              <w:ind w:left="720" w:hanging="720"/>
              <w:contextualSpacing/>
              <w:jc w:val="both"/>
              <w:rPr>
                <w:rFonts w:ascii="Times New Roman" w:hAnsi="Times New Roman" w:cs="Times New Roman"/>
                <w:sz w:val="20"/>
                <w:szCs w:val="20"/>
              </w:rPr>
            </w:pPr>
            <w:r w:rsidRPr="00E52A8B">
              <w:rPr>
                <w:rFonts w:ascii="Times New Roman" w:hAnsi="Times New Roman" w:cs="Times New Roman"/>
                <w:sz w:val="20"/>
                <w:szCs w:val="20"/>
              </w:rPr>
              <w:t>Loughman, Z. J.</w:t>
            </w:r>
            <w:r>
              <w:rPr>
                <w:rFonts w:ascii="Times New Roman" w:hAnsi="Times New Roman" w:cs="Times New Roman"/>
                <w:sz w:val="20"/>
                <w:szCs w:val="20"/>
              </w:rPr>
              <w:t xml:space="preserve"> &amp; W</w:t>
            </w:r>
            <w:r w:rsidRPr="00E52A8B">
              <w:rPr>
                <w:rFonts w:ascii="Times New Roman" w:hAnsi="Times New Roman" w:cs="Times New Roman"/>
                <w:sz w:val="20"/>
                <w:szCs w:val="20"/>
              </w:rPr>
              <w:t>elsh</w:t>
            </w:r>
            <w:r>
              <w:rPr>
                <w:rFonts w:ascii="Times New Roman" w:hAnsi="Times New Roman" w:cs="Times New Roman"/>
                <w:sz w:val="20"/>
                <w:szCs w:val="20"/>
              </w:rPr>
              <w:t>, S.A</w:t>
            </w:r>
            <w:r w:rsidRPr="00E52A8B">
              <w:rPr>
                <w:rFonts w:ascii="Times New Roman" w:hAnsi="Times New Roman" w:cs="Times New Roman"/>
                <w:sz w:val="20"/>
                <w:szCs w:val="20"/>
              </w:rPr>
              <w:t>.</w:t>
            </w:r>
            <w:r>
              <w:rPr>
                <w:rFonts w:ascii="Times New Roman" w:hAnsi="Times New Roman" w:cs="Times New Roman"/>
                <w:sz w:val="20"/>
                <w:szCs w:val="20"/>
              </w:rPr>
              <w:t xml:space="preserve">, </w:t>
            </w:r>
            <w:r w:rsidRPr="00E52A8B">
              <w:rPr>
                <w:rFonts w:ascii="Times New Roman" w:hAnsi="Times New Roman" w:cs="Times New Roman"/>
                <w:sz w:val="20"/>
                <w:szCs w:val="20"/>
              </w:rPr>
              <w:t>2010</w:t>
            </w:r>
            <w:r>
              <w:rPr>
                <w:rFonts w:ascii="Times New Roman" w:hAnsi="Times New Roman" w:cs="Times New Roman"/>
                <w:sz w:val="20"/>
                <w:szCs w:val="20"/>
              </w:rPr>
              <w:t>,</w:t>
            </w:r>
            <w:r w:rsidRPr="00E52A8B">
              <w:rPr>
                <w:rFonts w:ascii="Times New Roman" w:hAnsi="Times New Roman" w:cs="Times New Roman"/>
                <w:sz w:val="20"/>
                <w:szCs w:val="20"/>
              </w:rPr>
              <w:t xml:space="preserve"> </w:t>
            </w:r>
            <w:r>
              <w:rPr>
                <w:rFonts w:ascii="Times New Roman" w:hAnsi="Times New Roman" w:cs="Times New Roman"/>
                <w:sz w:val="20"/>
                <w:szCs w:val="20"/>
              </w:rPr>
              <w:t>‘</w:t>
            </w:r>
            <w:r w:rsidRPr="00E52A8B">
              <w:rPr>
                <w:rFonts w:ascii="Times New Roman" w:hAnsi="Times New Roman" w:cs="Times New Roman"/>
                <w:sz w:val="20"/>
                <w:szCs w:val="20"/>
              </w:rPr>
              <w:t>Distribution and conservation standing of West Virginia crayfishes</w:t>
            </w:r>
            <w:r>
              <w:rPr>
                <w:rFonts w:ascii="Times New Roman" w:hAnsi="Times New Roman" w:cs="Times New Roman"/>
                <w:sz w:val="20"/>
                <w:szCs w:val="20"/>
              </w:rPr>
              <w:t>’,</w:t>
            </w:r>
            <w:r w:rsidRPr="00E52A8B">
              <w:rPr>
                <w:rFonts w:ascii="Times New Roman" w:hAnsi="Times New Roman" w:cs="Times New Roman"/>
                <w:sz w:val="20"/>
                <w:szCs w:val="20"/>
              </w:rPr>
              <w:t xml:space="preserve"> </w:t>
            </w:r>
            <w:r w:rsidRPr="00B66F43">
              <w:rPr>
                <w:rFonts w:ascii="Times New Roman" w:hAnsi="Times New Roman" w:cs="Times New Roman"/>
                <w:i/>
                <w:iCs/>
                <w:sz w:val="20"/>
                <w:szCs w:val="20"/>
              </w:rPr>
              <w:t>Southeastern Naturalist</w:t>
            </w:r>
            <w:r>
              <w:rPr>
                <w:rFonts w:ascii="Times New Roman" w:hAnsi="Times New Roman" w:cs="Times New Roman"/>
                <w:sz w:val="20"/>
                <w:szCs w:val="20"/>
              </w:rPr>
              <w:t xml:space="preserve">, </w:t>
            </w:r>
            <w:r w:rsidRPr="00E52A8B">
              <w:rPr>
                <w:rFonts w:ascii="Times New Roman" w:hAnsi="Times New Roman" w:cs="Times New Roman"/>
                <w:sz w:val="20"/>
                <w:szCs w:val="20"/>
              </w:rPr>
              <w:t>9(3)</w:t>
            </w:r>
            <w:r>
              <w:rPr>
                <w:rFonts w:ascii="Times New Roman" w:hAnsi="Times New Roman" w:cs="Times New Roman"/>
                <w:sz w:val="20"/>
                <w:szCs w:val="20"/>
              </w:rPr>
              <w:t xml:space="preserve">, </w:t>
            </w:r>
            <w:r w:rsidRPr="00E52A8B">
              <w:rPr>
                <w:rFonts w:ascii="Times New Roman" w:hAnsi="Times New Roman" w:cs="Times New Roman"/>
                <w:sz w:val="20"/>
                <w:szCs w:val="20"/>
              </w:rPr>
              <w:t>63-78.</w:t>
            </w:r>
            <w:r>
              <w:rPr>
                <w:rFonts w:ascii="Times New Roman" w:hAnsi="Times New Roman" w:cs="Times New Roman"/>
                <w:sz w:val="20"/>
                <w:szCs w:val="20"/>
              </w:rPr>
              <w:t xml:space="preserve"> </w:t>
            </w:r>
            <w:hyperlink r:id="rId401" w:history="1">
              <w:r w:rsidRPr="0018687D">
                <w:rPr>
                  <w:rStyle w:val="Hyperlink"/>
                  <w:rFonts w:ascii="Times New Roman" w:hAnsi="Times New Roman" w:cs="Times New Roman"/>
                  <w:sz w:val="20"/>
                  <w:szCs w:val="20"/>
                </w:rPr>
                <w:t>https://doi.org/10.1656/058.009.s304</w:t>
              </w:r>
            </w:hyperlink>
            <w:r w:rsidRPr="0018687D">
              <w:rPr>
                <w:rFonts w:ascii="Times New Roman" w:hAnsi="Times New Roman" w:cs="Times New Roman"/>
                <w:sz w:val="20"/>
                <w:szCs w:val="20"/>
              </w:rPr>
              <w:t>.</w:t>
            </w:r>
          </w:p>
          <w:p w14:paraId="0163F8B1" w14:textId="77777777" w:rsidR="002D7080" w:rsidRPr="00E52A8B" w:rsidRDefault="002D7080" w:rsidP="006728DB">
            <w:pPr>
              <w:ind w:left="720" w:hanging="720"/>
              <w:contextualSpacing/>
              <w:jc w:val="both"/>
              <w:rPr>
                <w:rFonts w:ascii="Times New Roman" w:hAnsi="Times New Roman" w:cs="Times New Roman"/>
                <w:color w:val="000000"/>
                <w:sz w:val="20"/>
                <w:szCs w:val="20"/>
              </w:rPr>
            </w:pPr>
            <w:r w:rsidRPr="00E52A8B">
              <w:rPr>
                <w:rFonts w:ascii="Times New Roman" w:hAnsi="Times New Roman" w:cs="Times New Roman"/>
                <w:color w:val="000000"/>
                <w:sz w:val="20"/>
                <w:szCs w:val="20"/>
              </w:rPr>
              <w:t>Phillips, I.D., Vinebrooke, R.D.</w:t>
            </w:r>
            <w:r>
              <w:rPr>
                <w:rFonts w:ascii="Times New Roman" w:hAnsi="Times New Roman" w:cs="Times New Roman"/>
                <w:color w:val="000000"/>
                <w:sz w:val="20"/>
                <w:szCs w:val="20"/>
              </w:rPr>
              <w:t xml:space="preserve"> &amp;</w:t>
            </w:r>
            <w:r w:rsidRPr="00E52A8B">
              <w:rPr>
                <w:rFonts w:ascii="Times New Roman" w:hAnsi="Times New Roman" w:cs="Times New Roman"/>
                <w:color w:val="000000"/>
                <w:sz w:val="20"/>
                <w:szCs w:val="20"/>
              </w:rPr>
              <w:t xml:space="preserve"> Turner</w:t>
            </w:r>
            <w:r>
              <w:rPr>
                <w:rFonts w:ascii="Times New Roman" w:hAnsi="Times New Roman" w:cs="Times New Roman"/>
                <w:color w:val="000000"/>
                <w:sz w:val="20"/>
                <w:szCs w:val="20"/>
              </w:rPr>
              <w:t xml:space="preserve">, M.A., </w:t>
            </w:r>
            <w:r w:rsidRPr="00E52A8B">
              <w:rPr>
                <w:rFonts w:ascii="Times New Roman" w:hAnsi="Times New Roman" w:cs="Times New Roman"/>
                <w:color w:val="000000"/>
                <w:sz w:val="20"/>
                <w:szCs w:val="20"/>
              </w:rPr>
              <w:t>2009</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 xml:space="preserve"> </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Ecosystem consequences of potential range expansions of </w:t>
            </w:r>
            <w:r w:rsidRPr="00E52A8B">
              <w:rPr>
                <w:rStyle w:val="Emphasis"/>
                <w:rFonts w:ascii="Times New Roman" w:hAnsi="Times New Roman" w:cs="Times New Roman"/>
                <w:color w:val="000000"/>
                <w:sz w:val="20"/>
                <w:szCs w:val="20"/>
              </w:rPr>
              <w:t>Orconectes virilis</w:t>
            </w:r>
            <w:r w:rsidRPr="00E52A8B">
              <w:rPr>
                <w:rFonts w:ascii="Times New Roman" w:hAnsi="Times New Roman" w:cs="Times New Roman"/>
                <w:color w:val="000000"/>
                <w:sz w:val="20"/>
                <w:szCs w:val="20"/>
              </w:rPr>
              <w:t> and </w:t>
            </w:r>
            <w:r w:rsidRPr="00E52A8B">
              <w:rPr>
                <w:rStyle w:val="Emphasis"/>
                <w:rFonts w:ascii="Times New Roman" w:hAnsi="Times New Roman" w:cs="Times New Roman"/>
                <w:color w:val="000000"/>
                <w:sz w:val="20"/>
                <w:szCs w:val="20"/>
              </w:rPr>
              <w:t>Orvconectes rusticus</w:t>
            </w:r>
            <w:r w:rsidRPr="00E52A8B">
              <w:rPr>
                <w:rFonts w:ascii="Times New Roman" w:hAnsi="Times New Roman" w:cs="Times New Roman"/>
                <w:color w:val="000000"/>
                <w:sz w:val="20"/>
                <w:szCs w:val="20"/>
              </w:rPr>
              <w:t xml:space="preserve"> crayfish in Canada- a review. </w:t>
            </w:r>
            <w:r w:rsidRPr="009A1B1C">
              <w:rPr>
                <w:rFonts w:ascii="Times New Roman" w:hAnsi="Times New Roman" w:cs="Times New Roman"/>
                <w:i/>
                <w:iCs/>
                <w:color w:val="000000"/>
                <w:sz w:val="20"/>
                <w:szCs w:val="20"/>
              </w:rPr>
              <w:t>Environmental Review</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 xml:space="preserve"> 17</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235-248.</w:t>
            </w:r>
            <w:r>
              <w:rPr>
                <w:rFonts w:ascii="Times New Roman" w:hAnsi="Times New Roman" w:cs="Times New Roman"/>
                <w:color w:val="000000"/>
                <w:sz w:val="20"/>
                <w:szCs w:val="20"/>
              </w:rPr>
              <w:t xml:space="preserve"> </w:t>
            </w:r>
            <w:hyperlink r:id="rId402" w:history="1">
              <w:r w:rsidRPr="0018687D">
                <w:rPr>
                  <w:rStyle w:val="Hyperlink"/>
                  <w:rFonts w:ascii="Times New Roman" w:hAnsi="Times New Roman" w:cs="Times New Roman"/>
                  <w:sz w:val="20"/>
                  <w:szCs w:val="20"/>
                </w:rPr>
                <w:t>https://doi.org/10.1656/058.009.s304</w:t>
              </w:r>
            </w:hyperlink>
            <w:r w:rsidRPr="0018687D">
              <w:rPr>
                <w:rFonts w:ascii="Times New Roman" w:hAnsi="Times New Roman" w:cs="Times New Roman"/>
                <w:color w:val="000000"/>
                <w:sz w:val="20"/>
                <w:szCs w:val="20"/>
              </w:rPr>
              <w:t>.</w:t>
            </w:r>
          </w:p>
          <w:p w14:paraId="73483DD8" w14:textId="77777777" w:rsidR="002D7080" w:rsidRPr="0018687D" w:rsidRDefault="002D7080" w:rsidP="006728DB">
            <w:pPr>
              <w:ind w:left="720" w:hanging="720"/>
              <w:contextualSpacing/>
              <w:jc w:val="both"/>
              <w:rPr>
                <w:rFonts w:ascii="Times New Roman" w:hAnsi="Times New Roman" w:cs="Times New Roman"/>
                <w:sz w:val="20"/>
                <w:szCs w:val="20"/>
                <w:shd w:val="clear" w:color="auto" w:fill="FFFFFF"/>
              </w:rPr>
            </w:pPr>
            <w:r w:rsidRPr="0018687D">
              <w:rPr>
                <w:rFonts w:ascii="Times New Roman" w:hAnsi="Times New Roman" w:cs="Times New Roman"/>
                <w:sz w:val="20"/>
                <w:szCs w:val="20"/>
                <w:shd w:val="clear" w:color="auto" w:fill="FFFFFF"/>
              </w:rPr>
              <w:t xml:space="preserve">Rogowski, D.L. &amp; Stockwell, C.A., 2006, ‘Assessment of potential impacts of exotic species on populations of a threatened species, white sands pupfish, </w:t>
            </w:r>
            <w:r w:rsidRPr="0018687D">
              <w:rPr>
                <w:rFonts w:ascii="Times New Roman" w:hAnsi="Times New Roman" w:cs="Times New Roman"/>
                <w:i/>
                <w:iCs/>
                <w:sz w:val="20"/>
                <w:szCs w:val="20"/>
                <w:shd w:val="clear" w:color="auto" w:fill="FFFFFF"/>
              </w:rPr>
              <w:t>Cyprinodon Tularosa</w:t>
            </w:r>
            <w:r w:rsidRPr="0018687D">
              <w:rPr>
                <w:rFonts w:ascii="Times New Roman" w:hAnsi="Times New Roman" w:cs="Times New Roman"/>
                <w:sz w:val="20"/>
                <w:szCs w:val="20"/>
                <w:shd w:val="clear" w:color="auto" w:fill="FFFFFF"/>
              </w:rPr>
              <w:t xml:space="preserve">’, </w:t>
            </w:r>
            <w:r w:rsidRPr="0018687D">
              <w:rPr>
                <w:rStyle w:val="Emphasis"/>
                <w:rFonts w:ascii="Times New Roman" w:hAnsi="Times New Roman" w:cs="Times New Roman"/>
                <w:sz w:val="20"/>
                <w:szCs w:val="20"/>
                <w:shd w:val="clear" w:color="auto" w:fill="FFFFFF"/>
              </w:rPr>
              <w:t>Biological Invasions</w:t>
            </w:r>
            <w:r w:rsidRPr="0018687D">
              <w:rPr>
                <w:rFonts w:ascii="Times New Roman" w:hAnsi="Times New Roman" w:cs="Times New Roman"/>
                <w:sz w:val="20"/>
                <w:szCs w:val="20"/>
                <w:shd w:val="clear" w:color="auto" w:fill="FFFFFF"/>
              </w:rPr>
              <w:t>, 8(1), 79-87.</w:t>
            </w:r>
            <w:r>
              <w:rPr>
                <w:rFonts w:ascii="Times New Roman" w:hAnsi="Times New Roman" w:cs="Times New Roman"/>
                <w:sz w:val="20"/>
                <w:szCs w:val="20"/>
                <w:shd w:val="clear" w:color="auto" w:fill="FFFFFF"/>
              </w:rPr>
              <w:t xml:space="preserve"> </w:t>
            </w:r>
            <w:hyperlink r:id="rId403" w:history="1">
              <w:r w:rsidRPr="0018687D">
                <w:rPr>
                  <w:rStyle w:val="Hyperlink"/>
                  <w:rFonts w:ascii="Times New Roman" w:hAnsi="Times New Roman" w:cs="Times New Roman"/>
                  <w:sz w:val="20"/>
                  <w:szCs w:val="20"/>
                  <w:shd w:val="clear" w:color="auto" w:fill="FFFFFF"/>
                </w:rPr>
                <w:t>https://doi.org/10.1007/s10530-005-0238-9</w:t>
              </w:r>
            </w:hyperlink>
            <w:r w:rsidRPr="0018687D">
              <w:rPr>
                <w:rFonts w:ascii="Times New Roman" w:hAnsi="Times New Roman" w:cs="Times New Roman"/>
                <w:sz w:val="20"/>
                <w:szCs w:val="20"/>
                <w:shd w:val="clear" w:color="auto" w:fill="FFFFFF"/>
              </w:rPr>
              <w:t>.</w:t>
            </w:r>
          </w:p>
          <w:p w14:paraId="3579735E" w14:textId="77777777" w:rsidR="002D7080" w:rsidRPr="00E52A8B" w:rsidRDefault="002D7080" w:rsidP="006728DB">
            <w:pPr>
              <w:ind w:left="720" w:hanging="720"/>
              <w:contextualSpacing/>
              <w:jc w:val="both"/>
              <w:rPr>
                <w:rFonts w:ascii="Times New Roman" w:hAnsi="Times New Roman" w:cs="Times New Roman"/>
                <w:color w:val="000000"/>
                <w:sz w:val="20"/>
                <w:szCs w:val="20"/>
              </w:rPr>
            </w:pPr>
            <w:r w:rsidRPr="00E52A8B">
              <w:rPr>
                <w:rFonts w:ascii="Times New Roman" w:hAnsi="Times New Roman" w:cs="Times New Roman"/>
                <w:color w:val="000000"/>
                <w:sz w:val="20"/>
                <w:szCs w:val="20"/>
              </w:rPr>
              <w:t>Shaw, P.C., Larson, E.R.</w:t>
            </w:r>
            <w:r>
              <w:rPr>
                <w:rFonts w:ascii="Times New Roman" w:hAnsi="Times New Roman" w:cs="Times New Roman"/>
                <w:color w:val="000000"/>
                <w:sz w:val="20"/>
                <w:szCs w:val="20"/>
              </w:rPr>
              <w:t xml:space="preserve"> &amp;</w:t>
            </w:r>
            <w:r w:rsidRPr="00E52A8B">
              <w:rPr>
                <w:rFonts w:ascii="Times New Roman" w:hAnsi="Times New Roman" w:cs="Times New Roman"/>
                <w:color w:val="000000"/>
                <w:sz w:val="20"/>
                <w:szCs w:val="20"/>
              </w:rPr>
              <w:t xml:space="preserve"> Billman</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 xml:space="preserve"> E.J.</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2021</w:t>
            </w:r>
            <w:r>
              <w:rPr>
                <w:rFonts w:ascii="Times New Roman" w:hAnsi="Times New Roman" w:cs="Times New Roman"/>
                <w:color w:val="000000"/>
                <w:sz w:val="20"/>
                <w:szCs w:val="20"/>
              </w:rPr>
              <w:t>, ‘</w:t>
            </w:r>
            <w:r w:rsidRPr="00E52A8B">
              <w:rPr>
                <w:rFonts w:ascii="Times New Roman" w:hAnsi="Times New Roman" w:cs="Times New Roman"/>
                <w:color w:val="000000"/>
                <w:sz w:val="20"/>
                <w:szCs w:val="20"/>
              </w:rPr>
              <w:t>Invasion of Virile Crayfish </w:t>
            </w:r>
            <w:r w:rsidRPr="00E52A8B">
              <w:rPr>
                <w:rStyle w:val="Emphasis"/>
                <w:rFonts w:ascii="Times New Roman" w:hAnsi="Times New Roman" w:cs="Times New Roman"/>
                <w:color w:val="000000"/>
                <w:sz w:val="20"/>
                <w:szCs w:val="20"/>
              </w:rPr>
              <w:t>Faxonius virilis</w:t>
            </w:r>
            <w:r w:rsidRPr="00E52A8B">
              <w:rPr>
                <w:rFonts w:ascii="Times New Roman" w:hAnsi="Times New Roman" w:cs="Times New Roman"/>
                <w:color w:val="000000"/>
                <w:sz w:val="20"/>
                <w:szCs w:val="20"/>
              </w:rPr>
              <w:t> (Hagen 1870) in the Lower Henrys Fork Drainage, Idaho</w:t>
            </w:r>
            <w:r>
              <w:rPr>
                <w:rFonts w:ascii="Times New Roman" w:hAnsi="Times New Roman" w:cs="Times New Roman"/>
                <w:color w:val="000000"/>
                <w:sz w:val="20"/>
                <w:szCs w:val="20"/>
              </w:rPr>
              <w:t xml:space="preserve">’, </w:t>
            </w:r>
            <w:r w:rsidRPr="002778E6">
              <w:rPr>
                <w:rFonts w:ascii="Times New Roman" w:hAnsi="Times New Roman" w:cs="Times New Roman"/>
                <w:i/>
                <w:iCs/>
                <w:color w:val="000000"/>
                <w:sz w:val="20"/>
                <w:szCs w:val="20"/>
              </w:rPr>
              <w:t>Northwest Science</w:t>
            </w:r>
            <w:r w:rsidRPr="00E52A8B">
              <w:rPr>
                <w:rFonts w:ascii="Times New Roman" w:hAnsi="Times New Roman" w:cs="Times New Roman"/>
                <w:color w:val="000000"/>
                <w:sz w:val="20"/>
                <w:szCs w:val="20"/>
              </w:rPr>
              <w:t xml:space="preserve"> 95(1)</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 xml:space="preserve">106-113. </w:t>
            </w:r>
            <w:hyperlink w:history="1">
              <w:r w:rsidRPr="00E52A8B">
                <w:rPr>
                  <w:rStyle w:val="Hyperlink"/>
                  <w:rFonts w:ascii="Times New Roman" w:hAnsi="Times New Roman" w:cs="Times New Roman"/>
                  <w:sz w:val="20"/>
                  <w:szCs w:val="20"/>
                </w:rPr>
                <w:t>https://doi.org/10.3955/046.095.0107</w:t>
              </w:r>
            </w:hyperlink>
            <w:r w:rsidRPr="00E52A8B">
              <w:rPr>
                <w:rFonts w:ascii="Times New Roman" w:hAnsi="Times New Roman" w:cs="Times New Roman"/>
                <w:color w:val="000000"/>
                <w:sz w:val="20"/>
                <w:szCs w:val="20"/>
              </w:rPr>
              <w:t>.</w:t>
            </w:r>
          </w:p>
          <w:p w14:paraId="0F4BB1BF" w14:textId="77777777" w:rsidR="002D7080" w:rsidRPr="004D1E6F" w:rsidRDefault="002D7080" w:rsidP="006728DB">
            <w:pPr>
              <w:ind w:left="720" w:hanging="720"/>
              <w:contextualSpacing/>
              <w:jc w:val="both"/>
              <w:rPr>
                <w:rFonts w:ascii="Times New Roman" w:eastAsia="Times New Roman" w:hAnsi="Times New Roman" w:cs="Times New Roman"/>
                <w:sz w:val="20"/>
                <w:szCs w:val="20"/>
                <w:lang w:eastAsia="en-ZA"/>
              </w:rPr>
            </w:pPr>
            <w:r w:rsidRPr="00E52A8B">
              <w:rPr>
                <w:rFonts w:ascii="Times New Roman" w:hAnsi="Times New Roman" w:cs="Times New Roman"/>
                <w:sz w:val="20"/>
                <w:szCs w:val="20"/>
                <w:shd w:val="clear" w:color="auto" w:fill="FFFFFF"/>
              </w:rPr>
              <w:t xml:space="preserve">USGS-NAS, 2023. </w:t>
            </w:r>
            <w:r w:rsidRPr="00E52A8B">
              <w:rPr>
                <w:rFonts w:ascii="Times New Roman" w:hAnsi="Times New Roman" w:cs="Times New Roman"/>
                <w:i/>
                <w:iCs/>
                <w:sz w:val="20"/>
                <w:szCs w:val="20"/>
                <w:shd w:val="clear" w:color="auto" w:fill="FFFFFF"/>
              </w:rPr>
              <w:t>Faxonius virilis</w:t>
            </w:r>
            <w:r w:rsidRPr="00E52A8B">
              <w:rPr>
                <w:rFonts w:ascii="Times New Roman" w:hAnsi="Times New Roman" w:cs="Times New Roman"/>
                <w:sz w:val="20"/>
                <w:szCs w:val="20"/>
                <w:shd w:val="clear" w:color="auto" w:fill="FFFFFF"/>
              </w:rPr>
              <w:t xml:space="preserve"> (Hagen, 1870).US Geological Survey, Nonindigenous Aquatic Species database. </w:t>
            </w:r>
            <w:hyperlink w:tgtFrame="_blank" w:history="1">
              <w:r w:rsidRPr="00E52A8B">
                <w:rPr>
                  <w:rStyle w:val="Hyperlink"/>
                  <w:rFonts w:ascii="Times New Roman" w:hAnsi="Times New Roman" w:cs="Times New Roman"/>
                  <w:sz w:val="20"/>
                  <w:szCs w:val="20"/>
                  <w:shd w:val="clear" w:color="auto" w:fill="FFFFFF"/>
                </w:rPr>
                <w:t>https://nas.er.usgs.gov/queries/FactSheet.aspx?speciesID=215</w:t>
              </w:r>
            </w:hyperlink>
          </w:p>
        </w:tc>
      </w:tr>
    </w:tbl>
    <w:p w14:paraId="0EE20E2D"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1146885A"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71D5DDC6" w14:textId="77777777" w:rsidTr="002E2C37">
        <w:trPr>
          <w:trHeight w:val="343"/>
        </w:trPr>
        <w:tc>
          <w:tcPr>
            <w:tcW w:w="9016" w:type="dxa"/>
            <w:gridSpan w:val="2"/>
            <w:shd w:val="clear" w:color="auto" w:fill="F2F2F2" w:themeFill="background1" w:themeFillShade="F2"/>
          </w:tcPr>
          <w:p w14:paraId="59E99A6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 Socio-economic impact</w:t>
            </w:r>
          </w:p>
        </w:tc>
      </w:tr>
      <w:tr w:rsidR="002D7080" w:rsidRPr="004D1E6F" w14:paraId="75D4FA9D" w14:textId="77777777" w:rsidTr="002E2C37">
        <w:tc>
          <w:tcPr>
            <w:tcW w:w="9016" w:type="dxa"/>
            <w:gridSpan w:val="2"/>
            <w:shd w:val="clear" w:color="auto" w:fill="F2F2F2" w:themeFill="background1" w:themeFillShade="F2"/>
          </w:tcPr>
          <w:p w14:paraId="34A9EC24"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CON2a: Safety</w:t>
            </w:r>
          </w:p>
        </w:tc>
      </w:tr>
      <w:tr w:rsidR="002D7080" w:rsidRPr="004D1E6F" w14:paraId="4DE3391F" w14:textId="77777777" w:rsidTr="002E2C37">
        <w:tc>
          <w:tcPr>
            <w:tcW w:w="5949" w:type="dxa"/>
          </w:tcPr>
          <w:p w14:paraId="069F5B9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2A8866F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77866957" w14:textId="77777777" w:rsidTr="002E2C37">
        <w:trPr>
          <w:trHeight w:val="70"/>
        </w:trPr>
        <w:tc>
          <w:tcPr>
            <w:tcW w:w="9016" w:type="dxa"/>
            <w:gridSpan w:val="2"/>
          </w:tcPr>
          <w:p w14:paraId="21132BD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3AE519E1" w14:textId="77777777" w:rsidTr="002E2C37">
        <w:trPr>
          <w:trHeight w:val="70"/>
        </w:trPr>
        <w:tc>
          <w:tcPr>
            <w:tcW w:w="9016" w:type="dxa"/>
            <w:gridSpan w:val="2"/>
          </w:tcPr>
          <w:p w14:paraId="7A842750"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C6AD320" w14:textId="77777777" w:rsidTr="002E2C37">
        <w:tc>
          <w:tcPr>
            <w:tcW w:w="9016" w:type="dxa"/>
            <w:gridSpan w:val="2"/>
            <w:shd w:val="clear" w:color="auto" w:fill="F2F2F2" w:themeFill="background1" w:themeFillShade="F2"/>
          </w:tcPr>
          <w:p w14:paraId="021EA349"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CON2b: Material and immaterial assets</w:t>
            </w:r>
          </w:p>
        </w:tc>
      </w:tr>
      <w:tr w:rsidR="002D7080" w:rsidRPr="004D1E6F" w14:paraId="0CAD4D97" w14:textId="77777777" w:rsidTr="002E2C37">
        <w:tc>
          <w:tcPr>
            <w:tcW w:w="5949" w:type="dxa"/>
          </w:tcPr>
          <w:p w14:paraId="593267E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Minor (MN)</w:t>
            </w:r>
          </w:p>
        </w:tc>
        <w:tc>
          <w:tcPr>
            <w:tcW w:w="3067" w:type="dxa"/>
          </w:tcPr>
          <w:p w14:paraId="7DC86A9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Low</w:t>
            </w:r>
          </w:p>
        </w:tc>
      </w:tr>
      <w:tr w:rsidR="002D7080" w:rsidRPr="004D1E6F" w14:paraId="100673E5" w14:textId="77777777" w:rsidTr="002E2C37">
        <w:trPr>
          <w:trHeight w:val="128"/>
        </w:trPr>
        <w:tc>
          <w:tcPr>
            <w:tcW w:w="9016" w:type="dxa"/>
            <w:gridSpan w:val="2"/>
          </w:tcPr>
          <w:p w14:paraId="6F8658B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8D79D3">
              <w:rPr>
                <w:rFonts w:ascii="Times New Roman" w:eastAsia="Times New Roman" w:hAnsi="Times New Roman" w:cs="Times New Roman"/>
                <w:i/>
                <w:iCs/>
                <w:sz w:val="20"/>
                <w:szCs w:val="20"/>
                <w:lang w:eastAsia="en-ZA"/>
              </w:rPr>
              <w:t>Faxonius virilis</w:t>
            </w:r>
            <w:r>
              <w:rPr>
                <w:rFonts w:ascii="Times New Roman" w:eastAsia="Times New Roman" w:hAnsi="Times New Roman" w:cs="Times New Roman"/>
                <w:sz w:val="20"/>
                <w:szCs w:val="20"/>
                <w:lang w:eastAsia="en-ZA"/>
              </w:rPr>
              <w:t xml:space="preserve"> has been implicated in causing damage to levee and irrigation systems due to its burrowing activity (</w:t>
            </w:r>
            <w:r w:rsidRPr="008D79D3">
              <w:rPr>
                <w:rFonts w:ascii="Times New Roman" w:eastAsia="Times New Roman" w:hAnsi="Times New Roman" w:cs="Times New Roman"/>
                <w:sz w:val="20"/>
                <w:szCs w:val="20"/>
                <w:lang w:eastAsia="en-ZA"/>
              </w:rPr>
              <w:t>(GISD, 2023; Nemesis, 2023)</w:t>
            </w:r>
          </w:p>
        </w:tc>
      </w:tr>
      <w:tr w:rsidR="002D7080" w:rsidRPr="004D1E6F" w14:paraId="659252E1" w14:textId="77777777" w:rsidTr="002E2C37">
        <w:trPr>
          <w:trHeight w:val="70"/>
        </w:trPr>
        <w:tc>
          <w:tcPr>
            <w:tcW w:w="9016" w:type="dxa"/>
            <w:gridSpan w:val="2"/>
          </w:tcPr>
          <w:p w14:paraId="6298E524" w14:textId="77777777" w:rsidR="002D7080" w:rsidRPr="008D79D3" w:rsidRDefault="002D7080" w:rsidP="002E2C37">
            <w:pPr>
              <w:ind w:left="720" w:hanging="720"/>
              <w:jc w:val="both"/>
              <w:rPr>
                <w:rFonts w:ascii="Times New Roman" w:eastAsia="Times New Roman" w:hAnsi="Times New Roman" w:cs="Times New Roman"/>
                <w:sz w:val="20"/>
                <w:szCs w:val="20"/>
                <w:lang w:eastAsia="en-ZA"/>
              </w:rPr>
            </w:pPr>
            <w:r w:rsidRPr="008D79D3">
              <w:rPr>
                <w:rFonts w:ascii="Times New Roman" w:eastAsia="Times New Roman" w:hAnsi="Times New Roman" w:cs="Times New Roman"/>
                <w:sz w:val="20"/>
                <w:szCs w:val="20"/>
                <w:lang w:eastAsia="en-ZA"/>
              </w:rPr>
              <w:t>References:</w:t>
            </w:r>
          </w:p>
          <w:p w14:paraId="1E9B84D3" w14:textId="77777777" w:rsidR="002D7080" w:rsidRPr="008D79D3" w:rsidRDefault="002D7080" w:rsidP="006728DB">
            <w:pPr>
              <w:ind w:left="720" w:hanging="720"/>
              <w:contextualSpacing/>
              <w:jc w:val="both"/>
              <w:rPr>
                <w:rFonts w:ascii="Times New Roman" w:hAnsi="Times New Roman" w:cs="Times New Roman"/>
                <w:sz w:val="20"/>
                <w:szCs w:val="20"/>
              </w:rPr>
            </w:pPr>
            <w:r w:rsidRPr="0018687D">
              <w:rPr>
                <w:rFonts w:ascii="Times New Roman" w:hAnsi="Times New Roman" w:cs="Times New Roman"/>
                <w:sz w:val="20"/>
                <w:szCs w:val="20"/>
                <w:shd w:val="clear" w:color="auto" w:fill="FFFFFF"/>
              </w:rPr>
              <w:t xml:space="preserve">GISD, 2023. Species profile: </w:t>
            </w:r>
            <w:r w:rsidRPr="0018687D">
              <w:rPr>
                <w:rFonts w:ascii="Times New Roman" w:hAnsi="Times New Roman" w:cs="Times New Roman"/>
                <w:i/>
                <w:iCs/>
                <w:sz w:val="20"/>
                <w:szCs w:val="20"/>
                <w:shd w:val="clear" w:color="auto" w:fill="FFFFFF"/>
              </w:rPr>
              <w:t>Orconectes virilis</w:t>
            </w:r>
            <w:r w:rsidRPr="0018687D">
              <w:rPr>
                <w:rFonts w:ascii="Times New Roman" w:hAnsi="Times New Roman" w:cs="Times New Roman"/>
                <w:sz w:val="20"/>
                <w:szCs w:val="20"/>
                <w:shd w:val="clear" w:color="auto" w:fill="FFFFFF"/>
              </w:rPr>
              <w:t>. Global Invasive Species Database</w:t>
            </w:r>
            <w:r w:rsidRPr="008D79D3">
              <w:rPr>
                <w:rFonts w:ascii="Times New Roman" w:hAnsi="Times New Roman" w:cs="Times New Roman"/>
                <w:color w:val="333333"/>
                <w:sz w:val="20"/>
                <w:szCs w:val="20"/>
                <w:shd w:val="clear" w:color="auto" w:fill="FFFFFF"/>
              </w:rPr>
              <w:t>.</w:t>
            </w:r>
            <w:hyperlink w:tgtFrame="_blank" w:history="1">
              <w:r w:rsidRPr="008D79D3">
                <w:rPr>
                  <w:rStyle w:val="Hyperlink"/>
                  <w:rFonts w:ascii="Times New Roman" w:hAnsi="Times New Roman" w:cs="Times New Roman"/>
                  <w:color w:val="155BC3"/>
                  <w:sz w:val="20"/>
                  <w:szCs w:val="20"/>
                  <w:shd w:val="clear" w:color="auto" w:fill="FFFFFF"/>
                </w:rPr>
                <w:t>http://www.iucngisd.org/gisd/species.php?sc=218</w:t>
              </w:r>
            </w:hyperlink>
          </w:p>
          <w:p w14:paraId="4F4357F6" w14:textId="77777777" w:rsidR="002D7080" w:rsidRPr="008D79D3" w:rsidRDefault="002D7080" w:rsidP="006728DB">
            <w:pPr>
              <w:ind w:left="720" w:hanging="720"/>
              <w:contextualSpacing/>
              <w:jc w:val="both"/>
              <w:rPr>
                <w:rFonts w:ascii="Times New Roman" w:eastAsia="Times New Roman" w:hAnsi="Times New Roman" w:cs="Times New Roman"/>
                <w:sz w:val="20"/>
                <w:szCs w:val="20"/>
                <w:lang w:eastAsia="en-ZA"/>
              </w:rPr>
            </w:pPr>
            <w:r w:rsidRPr="0018687D">
              <w:rPr>
                <w:rFonts w:ascii="Times New Roman" w:hAnsi="Times New Roman" w:cs="Times New Roman"/>
                <w:sz w:val="20"/>
                <w:szCs w:val="20"/>
                <w:shd w:val="clear" w:color="auto" w:fill="FFFFFF"/>
              </w:rPr>
              <w:t xml:space="preserve">Nemesis, 2023. </w:t>
            </w:r>
            <w:r w:rsidRPr="0018687D">
              <w:rPr>
                <w:rFonts w:ascii="Times New Roman" w:hAnsi="Times New Roman" w:cs="Times New Roman"/>
                <w:i/>
                <w:iCs/>
                <w:sz w:val="20"/>
                <w:szCs w:val="20"/>
                <w:shd w:val="clear" w:color="auto" w:fill="FFFFFF"/>
              </w:rPr>
              <w:t>Faxonius virilis</w:t>
            </w:r>
            <w:r w:rsidRPr="0018687D">
              <w:rPr>
                <w:rFonts w:ascii="Times New Roman" w:hAnsi="Times New Roman" w:cs="Times New Roman"/>
                <w:sz w:val="20"/>
                <w:szCs w:val="20"/>
                <w:shd w:val="clear" w:color="auto" w:fill="FFFFFF"/>
              </w:rPr>
              <w:t>, Crustaceans-Crayfish: virile crayfish. Edgewater, MD: National Estuarine and Marine Exotic Species Information System (NEMESIS), Smithsonian Environmental Research Center</w:t>
            </w:r>
            <w:r w:rsidRPr="008D79D3">
              <w:rPr>
                <w:rFonts w:ascii="Times New Roman" w:hAnsi="Times New Roman" w:cs="Times New Roman"/>
                <w:color w:val="333333"/>
                <w:sz w:val="20"/>
                <w:szCs w:val="20"/>
                <w:shd w:val="clear" w:color="auto" w:fill="FFFFFF"/>
              </w:rPr>
              <w:t>. </w:t>
            </w:r>
            <w:hyperlink w:tgtFrame="_blank" w:history="1">
              <w:r w:rsidRPr="008D79D3">
                <w:rPr>
                  <w:rStyle w:val="Hyperlink"/>
                  <w:rFonts w:ascii="Times New Roman" w:hAnsi="Times New Roman" w:cs="Times New Roman"/>
                  <w:color w:val="155BC3"/>
                  <w:sz w:val="20"/>
                  <w:szCs w:val="20"/>
                  <w:shd w:val="clear" w:color="auto" w:fill="FFFFFF"/>
                </w:rPr>
                <w:t>https://invasions.si.edu/nemesis/species_summary/97425</w:t>
              </w:r>
            </w:hyperlink>
          </w:p>
        </w:tc>
      </w:tr>
      <w:tr w:rsidR="002D7080" w:rsidRPr="004D1E6F" w14:paraId="5B6CF280" w14:textId="77777777" w:rsidTr="002E2C37">
        <w:tc>
          <w:tcPr>
            <w:tcW w:w="9016" w:type="dxa"/>
            <w:gridSpan w:val="2"/>
            <w:shd w:val="clear" w:color="auto" w:fill="F2F2F2" w:themeFill="background1" w:themeFillShade="F2"/>
          </w:tcPr>
          <w:p w14:paraId="39826BC3"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CON2c: Health</w:t>
            </w:r>
          </w:p>
        </w:tc>
      </w:tr>
      <w:tr w:rsidR="002D7080" w:rsidRPr="004D1E6F" w14:paraId="3ACF563B" w14:textId="77777777" w:rsidTr="002E2C37">
        <w:tc>
          <w:tcPr>
            <w:tcW w:w="5949" w:type="dxa"/>
          </w:tcPr>
          <w:p w14:paraId="7DA0107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0A4514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15C6687" w14:textId="77777777" w:rsidTr="002E2C37">
        <w:trPr>
          <w:trHeight w:val="70"/>
        </w:trPr>
        <w:tc>
          <w:tcPr>
            <w:tcW w:w="9016" w:type="dxa"/>
            <w:gridSpan w:val="2"/>
          </w:tcPr>
          <w:p w14:paraId="3F2BE0D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4F366A1B" w14:textId="77777777" w:rsidTr="002E2C37">
        <w:trPr>
          <w:trHeight w:val="70"/>
        </w:trPr>
        <w:tc>
          <w:tcPr>
            <w:tcW w:w="9016" w:type="dxa"/>
            <w:gridSpan w:val="2"/>
          </w:tcPr>
          <w:p w14:paraId="20D61027"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55C2752" w14:textId="77777777" w:rsidTr="002E2C37">
        <w:tc>
          <w:tcPr>
            <w:tcW w:w="9016" w:type="dxa"/>
            <w:gridSpan w:val="2"/>
            <w:shd w:val="clear" w:color="auto" w:fill="F2F2F2" w:themeFill="background1" w:themeFillShade="F2"/>
          </w:tcPr>
          <w:p w14:paraId="759161A7"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CON2d: Social, spiritual and cultural relations </w:t>
            </w:r>
          </w:p>
        </w:tc>
      </w:tr>
      <w:tr w:rsidR="002D7080" w:rsidRPr="004D1E6F" w14:paraId="3EC73D7C" w14:textId="77777777" w:rsidTr="002E2C37">
        <w:tc>
          <w:tcPr>
            <w:tcW w:w="5949" w:type="dxa"/>
          </w:tcPr>
          <w:p w14:paraId="1B5D651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68FCA15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340A9D8" w14:textId="77777777" w:rsidTr="002E2C37">
        <w:trPr>
          <w:trHeight w:val="70"/>
        </w:trPr>
        <w:tc>
          <w:tcPr>
            <w:tcW w:w="9016" w:type="dxa"/>
            <w:gridSpan w:val="2"/>
          </w:tcPr>
          <w:p w14:paraId="7C8E899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Rationale:</w:t>
            </w:r>
          </w:p>
        </w:tc>
      </w:tr>
      <w:tr w:rsidR="002D7080" w:rsidRPr="004D1E6F" w14:paraId="09CB942F" w14:textId="77777777" w:rsidTr="002E2C37">
        <w:trPr>
          <w:trHeight w:val="70"/>
        </w:trPr>
        <w:tc>
          <w:tcPr>
            <w:tcW w:w="9016" w:type="dxa"/>
            <w:gridSpan w:val="2"/>
          </w:tcPr>
          <w:p w14:paraId="62C06410"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6A62387" w14:textId="77777777" w:rsidTr="002E2C37">
        <w:trPr>
          <w:trHeight w:val="125"/>
        </w:trPr>
        <w:tc>
          <w:tcPr>
            <w:tcW w:w="9016" w:type="dxa"/>
            <w:gridSpan w:val="2"/>
            <w:shd w:val="clear" w:color="auto" w:fill="F2F2F2" w:themeFill="background1" w:themeFillShade="F2"/>
          </w:tcPr>
          <w:p w14:paraId="6200757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CON2 Maximum socio-economic impact </w:t>
            </w:r>
          </w:p>
        </w:tc>
      </w:tr>
      <w:tr w:rsidR="002D7080" w:rsidRPr="004D1E6F" w14:paraId="1F726550" w14:textId="77777777" w:rsidTr="002E2C37">
        <w:trPr>
          <w:trHeight w:val="208"/>
        </w:trPr>
        <w:tc>
          <w:tcPr>
            <w:tcW w:w="5949" w:type="dxa"/>
          </w:tcPr>
          <w:p w14:paraId="6EADC3B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Minor (MN)</w:t>
            </w:r>
          </w:p>
        </w:tc>
        <w:tc>
          <w:tcPr>
            <w:tcW w:w="3067" w:type="dxa"/>
          </w:tcPr>
          <w:p w14:paraId="1B3A1CD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Low</w:t>
            </w:r>
          </w:p>
        </w:tc>
      </w:tr>
      <w:tr w:rsidR="002D7080" w:rsidRPr="004D1E6F" w14:paraId="224A66E1" w14:textId="77777777" w:rsidTr="002E2C37">
        <w:trPr>
          <w:trHeight w:val="70"/>
        </w:trPr>
        <w:tc>
          <w:tcPr>
            <w:tcW w:w="9016" w:type="dxa"/>
            <w:gridSpan w:val="2"/>
          </w:tcPr>
          <w:p w14:paraId="02A580C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8D79D3">
              <w:rPr>
                <w:rFonts w:ascii="Times New Roman" w:eastAsia="Times New Roman" w:hAnsi="Times New Roman" w:cs="Times New Roman"/>
                <w:i/>
                <w:iCs/>
                <w:sz w:val="20"/>
                <w:szCs w:val="20"/>
                <w:lang w:eastAsia="en-ZA"/>
              </w:rPr>
              <w:t>Faxonius virilis</w:t>
            </w:r>
            <w:r>
              <w:rPr>
                <w:rFonts w:ascii="Times New Roman" w:eastAsia="Times New Roman" w:hAnsi="Times New Roman" w:cs="Times New Roman"/>
                <w:sz w:val="20"/>
                <w:szCs w:val="20"/>
                <w:lang w:eastAsia="en-ZA"/>
              </w:rPr>
              <w:t xml:space="preserve"> has been implicated in causing damage to levee and irrigation systems due to its burrowing activity (</w:t>
            </w:r>
            <w:r w:rsidRPr="008D79D3">
              <w:rPr>
                <w:rFonts w:ascii="Times New Roman" w:eastAsia="Times New Roman" w:hAnsi="Times New Roman" w:cs="Times New Roman"/>
                <w:sz w:val="20"/>
                <w:szCs w:val="20"/>
                <w:lang w:eastAsia="en-ZA"/>
              </w:rPr>
              <w:t>(GISD, 2023; Nemesis, 2023)</w:t>
            </w:r>
          </w:p>
        </w:tc>
      </w:tr>
      <w:tr w:rsidR="002D7080" w:rsidRPr="004D1E6F" w14:paraId="46E8922F" w14:textId="77777777" w:rsidTr="002E2C37">
        <w:trPr>
          <w:trHeight w:val="70"/>
        </w:trPr>
        <w:tc>
          <w:tcPr>
            <w:tcW w:w="9016" w:type="dxa"/>
            <w:gridSpan w:val="2"/>
          </w:tcPr>
          <w:p w14:paraId="1B5980A3" w14:textId="77777777" w:rsidR="002D7080" w:rsidRPr="008D79D3" w:rsidRDefault="002D7080" w:rsidP="002E2C37">
            <w:pPr>
              <w:ind w:left="720" w:hanging="720"/>
              <w:jc w:val="both"/>
              <w:rPr>
                <w:rFonts w:ascii="Times New Roman" w:eastAsia="Times New Roman" w:hAnsi="Times New Roman" w:cs="Times New Roman"/>
                <w:sz w:val="20"/>
                <w:szCs w:val="20"/>
                <w:lang w:eastAsia="en-ZA"/>
              </w:rPr>
            </w:pPr>
            <w:r w:rsidRPr="008D79D3">
              <w:rPr>
                <w:rFonts w:ascii="Times New Roman" w:eastAsia="Times New Roman" w:hAnsi="Times New Roman" w:cs="Times New Roman"/>
                <w:sz w:val="20"/>
                <w:szCs w:val="20"/>
                <w:lang w:eastAsia="en-ZA"/>
              </w:rPr>
              <w:t>References:</w:t>
            </w:r>
          </w:p>
          <w:p w14:paraId="53A8AEDA" w14:textId="77777777" w:rsidR="002D7080" w:rsidRPr="008D79D3" w:rsidRDefault="002D7080" w:rsidP="006728DB">
            <w:pPr>
              <w:ind w:left="720" w:hanging="720"/>
              <w:contextualSpacing/>
              <w:jc w:val="both"/>
              <w:rPr>
                <w:rFonts w:ascii="Times New Roman" w:hAnsi="Times New Roman" w:cs="Times New Roman"/>
                <w:sz w:val="20"/>
                <w:szCs w:val="20"/>
              </w:rPr>
            </w:pPr>
            <w:r w:rsidRPr="0018687D">
              <w:rPr>
                <w:rFonts w:ascii="Times New Roman" w:hAnsi="Times New Roman" w:cs="Times New Roman"/>
                <w:sz w:val="20"/>
                <w:szCs w:val="20"/>
                <w:shd w:val="clear" w:color="auto" w:fill="FFFFFF"/>
              </w:rPr>
              <w:t xml:space="preserve">GISD, 2023. Species profile: </w:t>
            </w:r>
            <w:r w:rsidRPr="0018687D">
              <w:rPr>
                <w:rFonts w:ascii="Times New Roman" w:hAnsi="Times New Roman" w:cs="Times New Roman"/>
                <w:i/>
                <w:iCs/>
                <w:sz w:val="20"/>
                <w:szCs w:val="20"/>
                <w:shd w:val="clear" w:color="auto" w:fill="FFFFFF"/>
              </w:rPr>
              <w:t>Orconectes virilis</w:t>
            </w:r>
            <w:r w:rsidRPr="0018687D">
              <w:rPr>
                <w:rFonts w:ascii="Times New Roman" w:hAnsi="Times New Roman" w:cs="Times New Roman"/>
                <w:sz w:val="20"/>
                <w:szCs w:val="20"/>
                <w:shd w:val="clear" w:color="auto" w:fill="FFFFFF"/>
              </w:rPr>
              <w:t>. Global Invasive Species Database</w:t>
            </w:r>
            <w:r w:rsidRPr="008D79D3">
              <w:rPr>
                <w:rFonts w:ascii="Times New Roman" w:hAnsi="Times New Roman" w:cs="Times New Roman"/>
                <w:color w:val="333333"/>
                <w:sz w:val="20"/>
                <w:szCs w:val="20"/>
                <w:shd w:val="clear" w:color="auto" w:fill="FFFFFF"/>
              </w:rPr>
              <w:t>.</w:t>
            </w:r>
            <w:hyperlink w:tgtFrame="_blank" w:history="1">
              <w:r w:rsidRPr="008D79D3">
                <w:rPr>
                  <w:rStyle w:val="Hyperlink"/>
                  <w:rFonts w:ascii="Times New Roman" w:hAnsi="Times New Roman" w:cs="Times New Roman"/>
                  <w:color w:val="155BC3"/>
                  <w:sz w:val="20"/>
                  <w:szCs w:val="20"/>
                  <w:shd w:val="clear" w:color="auto" w:fill="FFFFFF"/>
                </w:rPr>
                <w:t>http://www.iucngisd.org/gisd/species.php?sc=218</w:t>
              </w:r>
            </w:hyperlink>
          </w:p>
          <w:p w14:paraId="0948BF89" w14:textId="77777777" w:rsidR="002D7080" w:rsidRPr="004D1E6F" w:rsidRDefault="002D7080" w:rsidP="006728DB">
            <w:pPr>
              <w:ind w:left="720" w:hanging="720"/>
              <w:contextualSpacing/>
              <w:jc w:val="both"/>
              <w:rPr>
                <w:rFonts w:ascii="Times New Roman" w:eastAsia="Times New Roman" w:hAnsi="Times New Roman" w:cs="Times New Roman"/>
                <w:sz w:val="20"/>
                <w:szCs w:val="20"/>
                <w:lang w:eastAsia="en-ZA"/>
              </w:rPr>
            </w:pPr>
            <w:r w:rsidRPr="0018687D">
              <w:rPr>
                <w:rFonts w:ascii="Times New Roman" w:hAnsi="Times New Roman" w:cs="Times New Roman"/>
                <w:sz w:val="20"/>
                <w:szCs w:val="20"/>
                <w:shd w:val="clear" w:color="auto" w:fill="FFFFFF"/>
              </w:rPr>
              <w:t xml:space="preserve">Nemesis, 2023. </w:t>
            </w:r>
            <w:r w:rsidRPr="0018687D">
              <w:rPr>
                <w:rFonts w:ascii="Times New Roman" w:hAnsi="Times New Roman" w:cs="Times New Roman"/>
                <w:i/>
                <w:iCs/>
                <w:sz w:val="20"/>
                <w:szCs w:val="20"/>
                <w:shd w:val="clear" w:color="auto" w:fill="FFFFFF"/>
              </w:rPr>
              <w:t>Faxonius virilis</w:t>
            </w:r>
            <w:r w:rsidRPr="0018687D">
              <w:rPr>
                <w:rFonts w:ascii="Times New Roman" w:hAnsi="Times New Roman" w:cs="Times New Roman"/>
                <w:sz w:val="20"/>
                <w:szCs w:val="20"/>
                <w:shd w:val="clear" w:color="auto" w:fill="FFFFFF"/>
              </w:rPr>
              <w:t>, Crustaceans-Crayfish: virile crayfish. Edgewater, MD: National Estuarine and Marine Exotic Species Information System (NEMESIS), Smithsonian Environmental Research Center</w:t>
            </w:r>
            <w:r w:rsidRPr="008D79D3">
              <w:rPr>
                <w:rFonts w:ascii="Times New Roman" w:hAnsi="Times New Roman" w:cs="Times New Roman"/>
                <w:color w:val="333333"/>
                <w:sz w:val="20"/>
                <w:szCs w:val="20"/>
                <w:shd w:val="clear" w:color="auto" w:fill="FFFFFF"/>
              </w:rPr>
              <w:t>. </w:t>
            </w:r>
            <w:hyperlink w:tgtFrame="_blank" w:history="1">
              <w:r w:rsidRPr="008D79D3">
                <w:rPr>
                  <w:rStyle w:val="Hyperlink"/>
                  <w:rFonts w:ascii="Times New Roman" w:hAnsi="Times New Roman" w:cs="Times New Roman"/>
                  <w:color w:val="155BC3"/>
                  <w:sz w:val="20"/>
                  <w:szCs w:val="20"/>
                  <w:shd w:val="clear" w:color="auto" w:fill="FFFFFF"/>
                </w:rPr>
                <w:t>https://invasions.si.edu/nemesis/species_summary/97425</w:t>
              </w:r>
            </w:hyperlink>
          </w:p>
        </w:tc>
      </w:tr>
    </w:tbl>
    <w:p w14:paraId="633CDD61" w14:textId="77777777" w:rsidR="002D7080" w:rsidRDefault="002D7080" w:rsidP="002D7080">
      <w:pPr>
        <w:spacing w:after="0" w:line="240" w:lineRule="auto"/>
        <w:rPr>
          <w:rFonts w:ascii="Times New Roman" w:eastAsia="Times New Roman" w:hAnsi="Times New Roman" w:cs="Times New Roman"/>
          <w:b/>
          <w:color w:val="000000"/>
          <w:sz w:val="20"/>
          <w:szCs w:val="20"/>
          <w:lang w:eastAsia="en-ZA"/>
        </w:rPr>
      </w:pPr>
    </w:p>
    <w:p w14:paraId="3105B6F1"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43481A2F"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5C6EA564" w14:textId="77777777" w:rsidTr="002E2C37">
        <w:trPr>
          <w:trHeight w:val="343"/>
        </w:trPr>
        <w:tc>
          <w:tcPr>
            <w:tcW w:w="9016" w:type="dxa"/>
            <w:gridSpan w:val="2"/>
            <w:shd w:val="clear" w:color="auto" w:fill="F2F2F2"/>
          </w:tcPr>
          <w:p w14:paraId="402166B9"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CON3 Closely related species’ environmental impact</w:t>
            </w:r>
          </w:p>
        </w:tc>
      </w:tr>
      <w:tr w:rsidR="002D7080" w:rsidRPr="004D1E6F" w14:paraId="1E55EC99" w14:textId="77777777" w:rsidTr="002E2C37">
        <w:trPr>
          <w:trHeight w:val="172"/>
        </w:trPr>
        <w:tc>
          <w:tcPr>
            <w:tcW w:w="5949" w:type="dxa"/>
          </w:tcPr>
          <w:p w14:paraId="1BCBD38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Not scored as CON1 scored</w:t>
            </w:r>
          </w:p>
        </w:tc>
        <w:tc>
          <w:tcPr>
            <w:tcW w:w="3067" w:type="dxa"/>
          </w:tcPr>
          <w:p w14:paraId="757ED8F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764C56F" w14:textId="77777777" w:rsidTr="002E2C37">
        <w:trPr>
          <w:trHeight w:val="70"/>
        </w:trPr>
        <w:tc>
          <w:tcPr>
            <w:tcW w:w="9016" w:type="dxa"/>
            <w:gridSpan w:val="2"/>
          </w:tcPr>
          <w:p w14:paraId="6162690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There is information to score CON1, so CON3 does not need to be scored as per the framework.</w:t>
            </w:r>
          </w:p>
        </w:tc>
      </w:tr>
      <w:tr w:rsidR="002D7080" w:rsidRPr="004D1E6F" w14:paraId="0CDBE557" w14:textId="77777777" w:rsidTr="002E2C37">
        <w:trPr>
          <w:cantSplit/>
          <w:trHeight w:val="70"/>
        </w:trPr>
        <w:tc>
          <w:tcPr>
            <w:tcW w:w="9016" w:type="dxa"/>
            <w:gridSpan w:val="2"/>
          </w:tcPr>
          <w:p w14:paraId="0FF6DF29" w14:textId="77777777" w:rsidR="002D7080" w:rsidRPr="004D1E6F" w:rsidRDefault="002D7080" w:rsidP="002E2C37">
            <w:pPr>
              <w:ind w:left="720" w:hanging="72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References:</w:t>
            </w:r>
          </w:p>
        </w:tc>
      </w:tr>
    </w:tbl>
    <w:p w14:paraId="6AF9EBFB"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53CD6793" w14:textId="77777777" w:rsidTr="002E2C37">
        <w:trPr>
          <w:trHeight w:val="343"/>
        </w:trPr>
        <w:tc>
          <w:tcPr>
            <w:tcW w:w="9016" w:type="dxa"/>
            <w:gridSpan w:val="2"/>
            <w:shd w:val="clear" w:color="auto" w:fill="F2F2F2" w:themeFill="background1" w:themeFillShade="F2"/>
          </w:tcPr>
          <w:p w14:paraId="10DEF0E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CON4 Closely related species’ socio-economic impact</w:t>
            </w:r>
          </w:p>
        </w:tc>
      </w:tr>
      <w:tr w:rsidR="002D7080" w:rsidRPr="004D1E6F" w14:paraId="34441979" w14:textId="77777777" w:rsidTr="002E2C37">
        <w:trPr>
          <w:trHeight w:val="172"/>
        </w:trPr>
        <w:tc>
          <w:tcPr>
            <w:tcW w:w="5949" w:type="dxa"/>
          </w:tcPr>
          <w:p w14:paraId="0A0B441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Not scored as CON</w:t>
            </w:r>
            <w:r>
              <w:rPr>
                <w:rFonts w:ascii="Times New Roman" w:eastAsia="Times New Roman" w:hAnsi="Times New Roman" w:cs="Times New Roman"/>
                <w:sz w:val="20"/>
                <w:szCs w:val="20"/>
                <w:lang w:eastAsia="en-ZA"/>
              </w:rPr>
              <w:t>2</w:t>
            </w:r>
            <w:r w:rsidRPr="004D1E6F">
              <w:rPr>
                <w:rFonts w:ascii="Times New Roman" w:eastAsia="Times New Roman" w:hAnsi="Times New Roman" w:cs="Times New Roman"/>
                <w:sz w:val="20"/>
                <w:szCs w:val="20"/>
                <w:lang w:eastAsia="en-ZA"/>
              </w:rPr>
              <w:t xml:space="preserve"> scored</w:t>
            </w:r>
          </w:p>
        </w:tc>
        <w:tc>
          <w:tcPr>
            <w:tcW w:w="3067" w:type="dxa"/>
          </w:tcPr>
          <w:p w14:paraId="6D3F664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37ECC19" w14:textId="77777777" w:rsidTr="002E2C37">
        <w:trPr>
          <w:trHeight w:val="70"/>
        </w:trPr>
        <w:tc>
          <w:tcPr>
            <w:tcW w:w="9016" w:type="dxa"/>
            <w:gridSpan w:val="2"/>
          </w:tcPr>
          <w:p w14:paraId="339202B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There is information to score CON</w:t>
            </w:r>
            <w:r>
              <w:rPr>
                <w:rFonts w:ascii="Times New Roman" w:eastAsia="Times New Roman" w:hAnsi="Times New Roman" w:cs="Times New Roman"/>
                <w:sz w:val="20"/>
                <w:szCs w:val="20"/>
                <w:lang w:eastAsia="en-ZA"/>
              </w:rPr>
              <w:t>2</w:t>
            </w:r>
            <w:r w:rsidRPr="004D1E6F">
              <w:rPr>
                <w:rFonts w:ascii="Times New Roman" w:eastAsia="Times New Roman" w:hAnsi="Times New Roman" w:cs="Times New Roman"/>
                <w:sz w:val="20"/>
                <w:szCs w:val="20"/>
                <w:lang w:eastAsia="en-ZA"/>
              </w:rPr>
              <w:t>, so CON</w:t>
            </w:r>
            <w:r>
              <w:rPr>
                <w:rFonts w:ascii="Times New Roman" w:eastAsia="Times New Roman" w:hAnsi="Times New Roman" w:cs="Times New Roman"/>
                <w:sz w:val="20"/>
                <w:szCs w:val="20"/>
                <w:lang w:eastAsia="en-ZA"/>
              </w:rPr>
              <w:t>4</w:t>
            </w:r>
            <w:r w:rsidRPr="004D1E6F">
              <w:rPr>
                <w:rFonts w:ascii="Times New Roman" w:eastAsia="Times New Roman" w:hAnsi="Times New Roman" w:cs="Times New Roman"/>
                <w:sz w:val="20"/>
                <w:szCs w:val="20"/>
                <w:lang w:eastAsia="en-ZA"/>
              </w:rPr>
              <w:t xml:space="preserve"> does not need to be scored as per the framework.</w:t>
            </w:r>
          </w:p>
        </w:tc>
      </w:tr>
      <w:tr w:rsidR="002D7080" w:rsidRPr="004D1E6F" w14:paraId="71400976" w14:textId="77777777" w:rsidTr="002E2C37">
        <w:trPr>
          <w:trHeight w:val="50"/>
        </w:trPr>
        <w:tc>
          <w:tcPr>
            <w:tcW w:w="9016" w:type="dxa"/>
            <w:gridSpan w:val="2"/>
          </w:tcPr>
          <w:p w14:paraId="3268959A" w14:textId="77777777" w:rsidR="002D7080" w:rsidRPr="004D1E6F" w:rsidRDefault="002D7080" w:rsidP="002E2C37">
            <w:pPr>
              <w:ind w:left="567" w:hanging="567"/>
              <w:rPr>
                <w:rFonts w:ascii="Times New Roman" w:eastAsia="Calibri" w:hAnsi="Times New Roman" w:cs="Times New Roman"/>
                <w:sz w:val="20"/>
                <w:szCs w:val="20"/>
              </w:rPr>
            </w:pPr>
            <w:r w:rsidRPr="004D1E6F">
              <w:rPr>
                <w:rFonts w:ascii="Times New Roman" w:eastAsia="Times New Roman" w:hAnsi="Times New Roman" w:cs="Times New Roman"/>
                <w:sz w:val="20"/>
                <w:szCs w:val="20"/>
                <w:lang w:eastAsia="en-ZA"/>
              </w:rPr>
              <w:t>References:</w:t>
            </w:r>
          </w:p>
        </w:tc>
      </w:tr>
    </w:tbl>
    <w:p w14:paraId="40B7EFE0" w14:textId="77777777" w:rsidR="002D7080" w:rsidRPr="004D1E6F" w:rsidRDefault="002D7080" w:rsidP="002D7080">
      <w:pPr>
        <w:spacing w:after="0" w:line="240" w:lineRule="auto"/>
        <w:jc w:val="both"/>
        <w:rPr>
          <w:rFonts w:ascii="Times New Roman" w:eastAsia="Calibri" w:hAnsi="Times New Roman" w:cs="Times New Roman"/>
          <w:b/>
          <w:sz w:val="20"/>
          <w:szCs w:val="20"/>
        </w:rPr>
      </w:pPr>
    </w:p>
    <w:tbl>
      <w:tblPr>
        <w:tblStyle w:val="TableGrid17"/>
        <w:tblW w:w="0" w:type="auto"/>
        <w:tblLook w:val="04A0" w:firstRow="1" w:lastRow="0" w:firstColumn="1" w:lastColumn="0" w:noHBand="0" w:noVBand="1"/>
      </w:tblPr>
      <w:tblGrid>
        <w:gridCol w:w="5949"/>
        <w:gridCol w:w="3067"/>
      </w:tblGrid>
      <w:tr w:rsidR="002D7080" w:rsidRPr="004D1E6F" w14:paraId="497E2F00" w14:textId="77777777" w:rsidTr="002E2C37">
        <w:trPr>
          <w:trHeight w:val="343"/>
        </w:trPr>
        <w:tc>
          <w:tcPr>
            <w:tcW w:w="9016" w:type="dxa"/>
            <w:gridSpan w:val="2"/>
            <w:shd w:val="clear" w:color="auto" w:fill="F2F2F2" w:themeFill="background1" w:themeFillShade="F2"/>
          </w:tcPr>
          <w:p w14:paraId="6B7A2F87" w14:textId="77777777" w:rsidR="002D7080" w:rsidRPr="004D1E6F" w:rsidRDefault="002D7080" w:rsidP="002E2C37">
            <w:pPr>
              <w:jc w:val="both"/>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CON5 Potential impact</w:t>
            </w:r>
          </w:p>
        </w:tc>
      </w:tr>
      <w:tr w:rsidR="002D7080" w:rsidRPr="004D1E6F" w14:paraId="61F12A0E" w14:textId="77777777" w:rsidTr="002E2C37">
        <w:trPr>
          <w:trHeight w:val="172"/>
        </w:trPr>
        <w:tc>
          <w:tcPr>
            <w:tcW w:w="5949" w:type="dxa"/>
          </w:tcPr>
          <w:p w14:paraId="08DDEEA4"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w:t>
            </w:r>
            <w:r>
              <w:rPr>
                <w:rFonts w:ascii="Times New Roman" w:eastAsia="Times New Roman" w:hAnsi="Times New Roman" w:cs="Times New Roman"/>
                <w:color w:val="000000"/>
                <w:sz w:val="20"/>
                <w:szCs w:val="20"/>
                <w:lang w:eastAsia="en-ZA"/>
              </w:rPr>
              <w:t>Major (</w:t>
            </w:r>
            <w:r w:rsidRPr="004D1E6F">
              <w:rPr>
                <w:rFonts w:ascii="Times New Roman" w:eastAsia="Times New Roman" w:hAnsi="Times New Roman" w:cs="Times New Roman"/>
                <w:color w:val="000000"/>
                <w:sz w:val="20"/>
                <w:szCs w:val="20"/>
                <w:lang w:eastAsia="en-ZA"/>
              </w:rPr>
              <w:t>MR</w:t>
            </w:r>
            <w:r>
              <w:rPr>
                <w:rFonts w:ascii="Times New Roman" w:eastAsia="Times New Roman" w:hAnsi="Times New Roman" w:cs="Times New Roman"/>
                <w:color w:val="000000"/>
                <w:sz w:val="20"/>
                <w:szCs w:val="20"/>
                <w:lang w:eastAsia="en-ZA"/>
              </w:rPr>
              <w:t>)</w:t>
            </w:r>
          </w:p>
        </w:tc>
        <w:tc>
          <w:tcPr>
            <w:tcW w:w="3067" w:type="dxa"/>
          </w:tcPr>
          <w:p w14:paraId="4518C2AC"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75415C14" w14:textId="77777777" w:rsidTr="002E2C37">
        <w:trPr>
          <w:trHeight w:val="343"/>
        </w:trPr>
        <w:tc>
          <w:tcPr>
            <w:tcW w:w="9016" w:type="dxa"/>
            <w:gridSpan w:val="2"/>
          </w:tcPr>
          <w:p w14:paraId="7BE758AA"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E52A8B">
              <w:rPr>
                <w:rFonts w:ascii="Times New Roman" w:eastAsia="Times New Roman" w:hAnsi="Times New Roman" w:cs="Times New Roman"/>
                <w:i/>
                <w:iCs/>
                <w:sz w:val="20"/>
                <w:szCs w:val="20"/>
                <w:lang w:eastAsia="en-ZA"/>
              </w:rPr>
              <w:t>Faxonius virilis</w:t>
            </w:r>
            <w:r w:rsidRPr="00E52A8B">
              <w:rPr>
                <w:rFonts w:ascii="Times New Roman" w:eastAsia="Times New Roman" w:hAnsi="Times New Roman" w:cs="Times New Roman"/>
                <w:sz w:val="20"/>
                <w:szCs w:val="20"/>
                <w:lang w:eastAsia="en-ZA"/>
              </w:rPr>
              <w:t xml:space="preserve"> has being implicated in the decline, displacement and local extirpation of native macroinvertebrates, crayfishes, snails, frogs and fish in the USA through competition and predation (</w:t>
            </w:r>
            <w:r>
              <w:rPr>
                <w:rFonts w:ascii="Times New Roman" w:eastAsia="Times New Roman" w:hAnsi="Times New Roman" w:cs="Times New Roman"/>
                <w:sz w:val="20"/>
                <w:szCs w:val="20"/>
                <w:lang w:eastAsia="en-ZA"/>
              </w:rPr>
              <w:t xml:space="preserve">Hanson et al. 1990; </w:t>
            </w:r>
            <w:r w:rsidRPr="00E52A8B">
              <w:rPr>
                <w:rFonts w:ascii="Times New Roman" w:hAnsi="Times New Roman" w:cs="Times New Roman"/>
                <w:color w:val="333333"/>
                <w:sz w:val="20"/>
                <w:szCs w:val="20"/>
                <w:shd w:val="clear" w:color="auto" w:fill="FFFFFF"/>
              </w:rPr>
              <w:t xml:space="preserve">Rogowski &amp; Stockwell 2006, </w:t>
            </w:r>
            <w:r>
              <w:rPr>
                <w:rFonts w:ascii="Times New Roman" w:hAnsi="Times New Roman" w:cs="Times New Roman"/>
                <w:color w:val="333333"/>
                <w:sz w:val="20"/>
                <w:szCs w:val="20"/>
                <w:shd w:val="clear" w:color="auto" w:fill="FFFFFF"/>
              </w:rPr>
              <w:t xml:space="preserve">Philips et al. 2009; </w:t>
            </w:r>
            <w:r w:rsidRPr="00E52A8B">
              <w:rPr>
                <w:rFonts w:ascii="Times New Roman" w:eastAsia="Times New Roman" w:hAnsi="Times New Roman" w:cs="Times New Roman"/>
                <w:sz w:val="20"/>
                <w:szCs w:val="20"/>
                <w:lang w:eastAsia="en-ZA"/>
              </w:rPr>
              <w:t xml:space="preserve">Loughman &amp; Welsh 2010; </w:t>
            </w:r>
            <w:r>
              <w:rPr>
                <w:rFonts w:ascii="Times New Roman" w:eastAsia="Times New Roman" w:hAnsi="Times New Roman" w:cs="Times New Roman"/>
                <w:sz w:val="20"/>
                <w:szCs w:val="20"/>
                <w:lang w:eastAsia="en-ZA"/>
              </w:rPr>
              <w:t xml:space="preserve">Hale et al. 2016; Shaw et al. 2021; </w:t>
            </w:r>
            <w:r w:rsidRPr="00E52A8B">
              <w:rPr>
                <w:rFonts w:ascii="Times New Roman" w:eastAsia="Times New Roman" w:hAnsi="Times New Roman" w:cs="Times New Roman"/>
                <w:sz w:val="20"/>
                <w:szCs w:val="20"/>
                <w:lang w:eastAsia="en-ZA"/>
              </w:rPr>
              <w:t>USGS-NAS 2023</w:t>
            </w:r>
            <w:r>
              <w:rPr>
                <w:rFonts w:ascii="Times New Roman" w:eastAsia="Times New Roman" w:hAnsi="Times New Roman" w:cs="Times New Roman"/>
                <w:sz w:val="20"/>
                <w:szCs w:val="20"/>
                <w:lang w:eastAsia="en-ZA"/>
              </w:rPr>
              <w:t>; GISD 2023</w:t>
            </w:r>
            <w:r w:rsidRPr="00E52A8B">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It is likely to cause similar impacts if introduced in South Africa.</w:t>
            </w:r>
          </w:p>
        </w:tc>
      </w:tr>
      <w:tr w:rsidR="002D7080" w:rsidRPr="004D1E6F" w14:paraId="79EB8AFE" w14:textId="77777777" w:rsidTr="002E2C37">
        <w:trPr>
          <w:trHeight w:val="343"/>
        </w:trPr>
        <w:tc>
          <w:tcPr>
            <w:tcW w:w="9016" w:type="dxa"/>
            <w:gridSpan w:val="2"/>
          </w:tcPr>
          <w:p w14:paraId="677661E0" w14:textId="77777777" w:rsidR="002D7080" w:rsidRPr="004D1E6F" w:rsidRDefault="002D7080" w:rsidP="002E2C37">
            <w:pPr>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4395BCE5" w14:textId="77777777" w:rsidR="002D7080" w:rsidRPr="00E52A8B" w:rsidRDefault="002D7080" w:rsidP="002E2C37">
            <w:pPr>
              <w:ind w:left="720" w:hanging="720"/>
              <w:contextualSpacing/>
              <w:jc w:val="both"/>
              <w:rPr>
                <w:rFonts w:ascii="Times New Roman" w:hAnsi="Times New Roman" w:cs="Times New Roman"/>
                <w:sz w:val="20"/>
                <w:szCs w:val="20"/>
              </w:rPr>
            </w:pPr>
            <w:r w:rsidRPr="00E52A8B">
              <w:rPr>
                <w:rFonts w:ascii="Times New Roman" w:hAnsi="Times New Roman" w:cs="Times New Roman"/>
                <w:sz w:val="20"/>
                <w:szCs w:val="20"/>
                <w:shd w:val="clear" w:color="auto" w:fill="FFFFFF"/>
              </w:rPr>
              <w:t xml:space="preserve">GISD, 2023. Species profile: </w:t>
            </w:r>
            <w:r w:rsidRPr="00E52A8B">
              <w:rPr>
                <w:rFonts w:ascii="Times New Roman" w:hAnsi="Times New Roman" w:cs="Times New Roman"/>
                <w:i/>
                <w:iCs/>
                <w:sz w:val="20"/>
                <w:szCs w:val="20"/>
                <w:shd w:val="clear" w:color="auto" w:fill="FFFFFF"/>
              </w:rPr>
              <w:t>Orconectes virilis</w:t>
            </w:r>
            <w:r w:rsidRPr="00E52A8B">
              <w:rPr>
                <w:rFonts w:ascii="Times New Roman" w:hAnsi="Times New Roman" w:cs="Times New Roman"/>
                <w:sz w:val="20"/>
                <w:szCs w:val="20"/>
                <w:shd w:val="clear" w:color="auto" w:fill="FFFFFF"/>
              </w:rPr>
              <w:t xml:space="preserve">. Global Invasive Species Database. </w:t>
            </w:r>
            <w:hyperlink w:history="1">
              <w:r w:rsidRPr="00E52A8B">
                <w:rPr>
                  <w:rStyle w:val="Hyperlink"/>
                  <w:rFonts w:ascii="Times New Roman" w:hAnsi="Times New Roman" w:cs="Times New Roman"/>
                  <w:sz w:val="20"/>
                  <w:szCs w:val="20"/>
                  <w:shd w:val="clear" w:color="auto" w:fill="FFFFFF"/>
                </w:rPr>
                <w:t>http://www.iucngisd.org/gisd/species.php?sc=218</w:t>
              </w:r>
            </w:hyperlink>
          </w:p>
          <w:p w14:paraId="627C73F5" w14:textId="77777777" w:rsidR="002D7080" w:rsidRPr="00E52A8B" w:rsidRDefault="002D7080" w:rsidP="002E2C37">
            <w:pPr>
              <w:ind w:left="720" w:hanging="720"/>
              <w:contextualSpacing/>
              <w:jc w:val="both"/>
              <w:rPr>
                <w:rFonts w:ascii="Times New Roman" w:hAnsi="Times New Roman" w:cs="Times New Roman"/>
                <w:color w:val="000000"/>
                <w:sz w:val="20"/>
                <w:szCs w:val="20"/>
              </w:rPr>
            </w:pPr>
            <w:r w:rsidRPr="00E52A8B">
              <w:rPr>
                <w:rFonts w:ascii="Times New Roman" w:hAnsi="Times New Roman" w:cs="Times New Roman"/>
                <w:color w:val="000000"/>
                <w:sz w:val="20"/>
                <w:szCs w:val="20"/>
              </w:rPr>
              <w:t>Hale, P., Wilson,</w:t>
            </w:r>
            <w:r>
              <w:rPr>
                <w:rFonts w:ascii="Times New Roman" w:hAnsi="Times New Roman" w:cs="Times New Roman"/>
                <w:color w:val="000000"/>
                <w:sz w:val="20"/>
                <w:szCs w:val="20"/>
              </w:rPr>
              <w:t xml:space="preserve"> J., </w:t>
            </w:r>
            <w:r w:rsidRPr="00E52A8B">
              <w:rPr>
                <w:rFonts w:ascii="Times New Roman" w:hAnsi="Times New Roman" w:cs="Times New Roman"/>
                <w:color w:val="000000"/>
                <w:sz w:val="20"/>
                <w:szCs w:val="20"/>
              </w:rPr>
              <w:t xml:space="preserve">Loughman, </w:t>
            </w:r>
            <w:r>
              <w:rPr>
                <w:rFonts w:ascii="Times New Roman" w:hAnsi="Times New Roman" w:cs="Times New Roman"/>
                <w:color w:val="000000"/>
                <w:sz w:val="20"/>
                <w:szCs w:val="20"/>
              </w:rPr>
              <w:t xml:space="preserve">Z. &amp; </w:t>
            </w:r>
            <w:r w:rsidRPr="00E52A8B">
              <w:rPr>
                <w:rFonts w:ascii="Times New Roman" w:hAnsi="Times New Roman" w:cs="Times New Roman"/>
                <w:color w:val="000000"/>
                <w:sz w:val="20"/>
                <w:szCs w:val="20"/>
              </w:rPr>
              <w:t>Henkanaththegedara</w:t>
            </w:r>
            <w:r>
              <w:rPr>
                <w:rFonts w:ascii="Times New Roman" w:hAnsi="Times New Roman" w:cs="Times New Roman"/>
                <w:color w:val="000000"/>
                <w:sz w:val="20"/>
                <w:szCs w:val="20"/>
              </w:rPr>
              <w:t>, S.,</w:t>
            </w:r>
            <w:r w:rsidRPr="00E52A8B">
              <w:rPr>
                <w:rFonts w:ascii="Times New Roman" w:hAnsi="Times New Roman" w:cs="Times New Roman"/>
                <w:color w:val="000000"/>
                <w:sz w:val="20"/>
                <w:szCs w:val="20"/>
              </w:rPr>
              <w:t xml:space="preserve"> 2016</w:t>
            </w:r>
            <w:r>
              <w:rPr>
                <w:rFonts w:ascii="Times New Roman" w:hAnsi="Times New Roman" w:cs="Times New Roman"/>
                <w:color w:val="000000"/>
                <w:sz w:val="20"/>
                <w:szCs w:val="20"/>
              </w:rPr>
              <w:t>, ‘</w:t>
            </w:r>
            <w:r w:rsidRPr="00E52A8B">
              <w:rPr>
                <w:rFonts w:ascii="Times New Roman" w:hAnsi="Times New Roman" w:cs="Times New Roman"/>
                <w:color w:val="000000"/>
                <w:sz w:val="20"/>
                <w:szCs w:val="20"/>
              </w:rPr>
              <w:t>Potential impacts of invasive crayfish on native crayfish: insights from laboratory experiments</w:t>
            </w:r>
            <w:r>
              <w:rPr>
                <w:rFonts w:ascii="Times New Roman" w:hAnsi="Times New Roman" w:cs="Times New Roman"/>
                <w:color w:val="000000"/>
                <w:sz w:val="20"/>
                <w:szCs w:val="20"/>
              </w:rPr>
              <w:t xml:space="preserve">’, </w:t>
            </w:r>
            <w:r w:rsidRPr="0019330E">
              <w:rPr>
                <w:rFonts w:ascii="Times New Roman" w:hAnsi="Times New Roman" w:cs="Times New Roman"/>
                <w:i/>
                <w:iCs/>
                <w:color w:val="000000"/>
                <w:sz w:val="20"/>
                <w:szCs w:val="20"/>
              </w:rPr>
              <w:t>Aquatic Invasions</w:t>
            </w:r>
            <w:r w:rsidRPr="00E52A8B">
              <w:rPr>
                <w:rFonts w:ascii="Times New Roman" w:hAnsi="Times New Roman" w:cs="Times New Roman"/>
                <w:color w:val="000000"/>
                <w:sz w:val="20"/>
                <w:szCs w:val="20"/>
              </w:rPr>
              <w:t xml:space="preserve"> 11(4)</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 xml:space="preserve">451-458. </w:t>
            </w:r>
            <w:hyperlink w:history="1">
              <w:r w:rsidRPr="00E52A8B">
                <w:rPr>
                  <w:rStyle w:val="Hyperlink"/>
                  <w:rFonts w:ascii="Times New Roman" w:hAnsi="Times New Roman" w:cs="Times New Roman"/>
                  <w:sz w:val="20"/>
                  <w:szCs w:val="20"/>
                </w:rPr>
                <w:t>https://doi.org/10.3391/ai.2016.11.4.09</w:t>
              </w:r>
            </w:hyperlink>
            <w:r w:rsidRPr="00E52A8B">
              <w:rPr>
                <w:rFonts w:ascii="Times New Roman" w:hAnsi="Times New Roman" w:cs="Times New Roman"/>
                <w:color w:val="000000"/>
                <w:sz w:val="20"/>
                <w:szCs w:val="20"/>
              </w:rPr>
              <w:t>.</w:t>
            </w:r>
          </w:p>
          <w:p w14:paraId="5B7964E1"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E52A8B">
              <w:rPr>
                <w:rFonts w:ascii="Times New Roman" w:hAnsi="Times New Roman" w:cs="Times New Roman"/>
                <w:color w:val="000000"/>
                <w:sz w:val="20"/>
                <w:szCs w:val="20"/>
              </w:rPr>
              <w:t>Hanson, J.M., Chambers, P.A.</w:t>
            </w:r>
            <w:r>
              <w:rPr>
                <w:rFonts w:ascii="Times New Roman" w:hAnsi="Times New Roman" w:cs="Times New Roman"/>
                <w:color w:val="000000"/>
                <w:sz w:val="20"/>
                <w:szCs w:val="20"/>
              </w:rPr>
              <w:t xml:space="preserve"> &amp;</w:t>
            </w:r>
            <w:r w:rsidRPr="00E52A8B">
              <w:rPr>
                <w:rFonts w:ascii="Times New Roman" w:hAnsi="Times New Roman" w:cs="Times New Roman"/>
                <w:color w:val="000000"/>
                <w:sz w:val="20"/>
                <w:szCs w:val="20"/>
              </w:rPr>
              <w:t xml:space="preserve"> Prepas</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 xml:space="preserve"> E.E.</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1990</w:t>
            </w:r>
            <w:r>
              <w:rPr>
                <w:rFonts w:ascii="Times New Roman" w:hAnsi="Times New Roman" w:cs="Times New Roman"/>
                <w:color w:val="000000"/>
                <w:sz w:val="20"/>
                <w:szCs w:val="20"/>
              </w:rPr>
              <w:t>, ‘</w:t>
            </w:r>
            <w:r w:rsidRPr="00E52A8B">
              <w:rPr>
                <w:rFonts w:ascii="Times New Roman" w:hAnsi="Times New Roman" w:cs="Times New Roman"/>
                <w:color w:val="000000"/>
                <w:sz w:val="20"/>
                <w:szCs w:val="20"/>
              </w:rPr>
              <w:t>Selective foraging by the crayfish </w:t>
            </w:r>
            <w:r w:rsidRPr="00E52A8B">
              <w:rPr>
                <w:rStyle w:val="Emphasis"/>
                <w:rFonts w:ascii="Times New Roman" w:hAnsi="Times New Roman" w:cs="Times New Roman"/>
                <w:color w:val="000000"/>
                <w:sz w:val="20"/>
                <w:szCs w:val="20"/>
              </w:rPr>
              <w:t>Orconectes virilis</w:t>
            </w:r>
            <w:r w:rsidRPr="00E52A8B">
              <w:rPr>
                <w:rFonts w:ascii="Times New Roman" w:hAnsi="Times New Roman" w:cs="Times New Roman"/>
                <w:color w:val="000000"/>
                <w:sz w:val="20"/>
                <w:szCs w:val="20"/>
              </w:rPr>
              <w:t> and its impact on macroinvertebrates</w:t>
            </w:r>
            <w:r>
              <w:rPr>
                <w:rFonts w:ascii="Times New Roman" w:hAnsi="Times New Roman" w:cs="Times New Roman"/>
                <w:color w:val="000000"/>
                <w:sz w:val="20"/>
                <w:szCs w:val="20"/>
              </w:rPr>
              <w:t xml:space="preserve">’, </w:t>
            </w:r>
            <w:r w:rsidRPr="00DB4732">
              <w:rPr>
                <w:rFonts w:ascii="Times New Roman" w:hAnsi="Times New Roman" w:cs="Times New Roman"/>
                <w:i/>
                <w:iCs/>
                <w:color w:val="000000"/>
                <w:sz w:val="20"/>
                <w:szCs w:val="20"/>
              </w:rPr>
              <w:t>Freshwater Biology</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 xml:space="preserve"> 24</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69-80.</w:t>
            </w:r>
          </w:p>
          <w:p w14:paraId="5B1FF4A3" w14:textId="77777777" w:rsidR="002D7080" w:rsidRPr="00E52A8B" w:rsidRDefault="002D7080" w:rsidP="002E2C37">
            <w:pPr>
              <w:ind w:left="720" w:hanging="720"/>
              <w:contextualSpacing/>
              <w:jc w:val="both"/>
              <w:rPr>
                <w:rFonts w:ascii="Times New Roman" w:hAnsi="Times New Roman" w:cs="Times New Roman"/>
                <w:sz w:val="20"/>
                <w:szCs w:val="20"/>
              </w:rPr>
            </w:pPr>
            <w:r w:rsidRPr="00E52A8B">
              <w:rPr>
                <w:rFonts w:ascii="Times New Roman" w:hAnsi="Times New Roman" w:cs="Times New Roman"/>
                <w:sz w:val="20"/>
                <w:szCs w:val="20"/>
              </w:rPr>
              <w:lastRenderedPageBreak/>
              <w:t>Loughman, Z. J.</w:t>
            </w:r>
            <w:r>
              <w:rPr>
                <w:rFonts w:ascii="Times New Roman" w:hAnsi="Times New Roman" w:cs="Times New Roman"/>
                <w:sz w:val="20"/>
                <w:szCs w:val="20"/>
              </w:rPr>
              <w:t xml:space="preserve"> &amp; W</w:t>
            </w:r>
            <w:r w:rsidRPr="00E52A8B">
              <w:rPr>
                <w:rFonts w:ascii="Times New Roman" w:hAnsi="Times New Roman" w:cs="Times New Roman"/>
                <w:sz w:val="20"/>
                <w:szCs w:val="20"/>
              </w:rPr>
              <w:t>elsh</w:t>
            </w:r>
            <w:r>
              <w:rPr>
                <w:rFonts w:ascii="Times New Roman" w:hAnsi="Times New Roman" w:cs="Times New Roman"/>
                <w:sz w:val="20"/>
                <w:szCs w:val="20"/>
              </w:rPr>
              <w:t>, S.A</w:t>
            </w:r>
            <w:r w:rsidRPr="00E52A8B">
              <w:rPr>
                <w:rFonts w:ascii="Times New Roman" w:hAnsi="Times New Roman" w:cs="Times New Roman"/>
                <w:sz w:val="20"/>
                <w:szCs w:val="20"/>
              </w:rPr>
              <w:t>.</w:t>
            </w:r>
            <w:r>
              <w:rPr>
                <w:rFonts w:ascii="Times New Roman" w:hAnsi="Times New Roman" w:cs="Times New Roman"/>
                <w:sz w:val="20"/>
                <w:szCs w:val="20"/>
              </w:rPr>
              <w:t xml:space="preserve">, </w:t>
            </w:r>
            <w:r w:rsidRPr="00E52A8B">
              <w:rPr>
                <w:rFonts w:ascii="Times New Roman" w:hAnsi="Times New Roman" w:cs="Times New Roman"/>
                <w:sz w:val="20"/>
                <w:szCs w:val="20"/>
              </w:rPr>
              <w:t>2010</w:t>
            </w:r>
            <w:r>
              <w:rPr>
                <w:rFonts w:ascii="Times New Roman" w:hAnsi="Times New Roman" w:cs="Times New Roman"/>
                <w:sz w:val="20"/>
                <w:szCs w:val="20"/>
              </w:rPr>
              <w:t>,</w:t>
            </w:r>
            <w:r w:rsidRPr="00E52A8B">
              <w:rPr>
                <w:rFonts w:ascii="Times New Roman" w:hAnsi="Times New Roman" w:cs="Times New Roman"/>
                <w:sz w:val="20"/>
                <w:szCs w:val="20"/>
              </w:rPr>
              <w:t xml:space="preserve"> </w:t>
            </w:r>
            <w:r>
              <w:rPr>
                <w:rFonts w:ascii="Times New Roman" w:hAnsi="Times New Roman" w:cs="Times New Roman"/>
                <w:sz w:val="20"/>
                <w:szCs w:val="20"/>
              </w:rPr>
              <w:t>‘</w:t>
            </w:r>
            <w:r w:rsidRPr="00E52A8B">
              <w:rPr>
                <w:rFonts w:ascii="Times New Roman" w:hAnsi="Times New Roman" w:cs="Times New Roman"/>
                <w:sz w:val="20"/>
                <w:szCs w:val="20"/>
              </w:rPr>
              <w:t>Distribution and conservation standing of West Virginia crayfishes</w:t>
            </w:r>
            <w:r>
              <w:rPr>
                <w:rFonts w:ascii="Times New Roman" w:hAnsi="Times New Roman" w:cs="Times New Roman"/>
                <w:sz w:val="20"/>
                <w:szCs w:val="20"/>
              </w:rPr>
              <w:t>’,</w:t>
            </w:r>
            <w:r w:rsidRPr="00E52A8B">
              <w:rPr>
                <w:rFonts w:ascii="Times New Roman" w:hAnsi="Times New Roman" w:cs="Times New Roman"/>
                <w:sz w:val="20"/>
                <w:szCs w:val="20"/>
              </w:rPr>
              <w:t xml:space="preserve"> </w:t>
            </w:r>
            <w:r w:rsidRPr="00B66F43">
              <w:rPr>
                <w:rFonts w:ascii="Times New Roman" w:hAnsi="Times New Roman" w:cs="Times New Roman"/>
                <w:i/>
                <w:iCs/>
                <w:sz w:val="20"/>
                <w:szCs w:val="20"/>
              </w:rPr>
              <w:t>Southeastern Naturalist</w:t>
            </w:r>
            <w:r>
              <w:rPr>
                <w:rFonts w:ascii="Times New Roman" w:hAnsi="Times New Roman" w:cs="Times New Roman"/>
                <w:sz w:val="20"/>
                <w:szCs w:val="20"/>
              </w:rPr>
              <w:t xml:space="preserve">, </w:t>
            </w:r>
            <w:r w:rsidRPr="00E52A8B">
              <w:rPr>
                <w:rFonts w:ascii="Times New Roman" w:hAnsi="Times New Roman" w:cs="Times New Roman"/>
                <w:sz w:val="20"/>
                <w:szCs w:val="20"/>
              </w:rPr>
              <w:t>9(3)</w:t>
            </w:r>
            <w:r>
              <w:rPr>
                <w:rFonts w:ascii="Times New Roman" w:hAnsi="Times New Roman" w:cs="Times New Roman"/>
                <w:sz w:val="20"/>
                <w:szCs w:val="20"/>
              </w:rPr>
              <w:t xml:space="preserve">, </w:t>
            </w:r>
            <w:r w:rsidRPr="00E52A8B">
              <w:rPr>
                <w:rFonts w:ascii="Times New Roman" w:hAnsi="Times New Roman" w:cs="Times New Roman"/>
                <w:sz w:val="20"/>
                <w:szCs w:val="20"/>
              </w:rPr>
              <w:t>63-78.</w:t>
            </w:r>
            <w:r>
              <w:rPr>
                <w:rFonts w:ascii="Times New Roman" w:hAnsi="Times New Roman" w:cs="Times New Roman"/>
                <w:sz w:val="20"/>
                <w:szCs w:val="20"/>
              </w:rPr>
              <w:t xml:space="preserve"> </w:t>
            </w:r>
            <w:hyperlink r:id="rId404" w:history="1">
              <w:r w:rsidRPr="0018687D">
                <w:rPr>
                  <w:rStyle w:val="Hyperlink"/>
                  <w:rFonts w:ascii="Times New Roman" w:hAnsi="Times New Roman" w:cs="Times New Roman"/>
                  <w:sz w:val="20"/>
                  <w:szCs w:val="20"/>
                </w:rPr>
                <w:t>https://doi.org/10.1656/058.009.s304</w:t>
              </w:r>
            </w:hyperlink>
            <w:r w:rsidRPr="0018687D">
              <w:rPr>
                <w:rFonts w:ascii="Times New Roman" w:hAnsi="Times New Roman" w:cs="Times New Roman"/>
                <w:sz w:val="20"/>
                <w:szCs w:val="20"/>
              </w:rPr>
              <w:t>.</w:t>
            </w:r>
          </w:p>
          <w:p w14:paraId="73F8F671" w14:textId="77777777" w:rsidR="002D7080" w:rsidRPr="00E52A8B" w:rsidRDefault="002D7080" w:rsidP="002E2C37">
            <w:pPr>
              <w:ind w:left="720" w:hanging="720"/>
              <w:contextualSpacing/>
              <w:jc w:val="both"/>
              <w:rPr>
                <w:rFonts w:ascii="Times New Roman" w:hAnsi="Times New Roman" w:cs="Times New Roman"/>
                <w:color w:val="000000"/>
                <w:sz w:val="20"/>
                <w:szCs w:val="20"/>
              </w:rPr>
            </w:pPr>
            <w:r w:rsidRPr="00E52A8B">
              <w:rPr>
                <w:rFonts w:ascii="Times New Roman" w:hAnsi="Times New Roman" w:cs="Times New Roman"/>
                <w:color w:val="000000"/>
                <w:sz w:val="20"/>
                <w:szCs w:val="20"/>
              </w:rPr>
              <w:t>Phillips, I.D., Vinebrooke, R.D.</w:t>
            </w:r>
            <w:r>
              <w:rPr>
                <w:rFonts w:ascii="Times New Roman" w:hAnsi="Times New Roman" w:cs="Times New Roman"/>
                <w:color w:val="000000"/>
                <w:sz w:val="20"/>
                <w:szCs w:val="20"/>
              </w:rPr>
              <w:t xml:space="preserve"> &amp;</w:t>
            </w:r>
            <w:r w:rsidRPr="00E52A8B">
              <w:rPr>
                <w:rFonts w:ascii="Times New Roman" w:hAnsi="Times New Roman" w:cs="Times New Roman"/>
                <w:color w:val="000000"/>
                <w:sz w:val="20"/>
                <w:szCs w:val="20"/>
              </w:rPr>
              <w:t xml:space="preserve"> Turner</w:t>
            </w:r>
            <w:r>
              <w:rPr>
                <w:rFonts w:ascii="Times New Roman" w:hAnsi="Times New Roman" w:cs="Times New Roman"/>
                <w:color w:val="000000"/>
                <w:sz w:val="20"/>
                <w:szCs w:val="20"/>
              </w:rPr>
              <w:t xml:space="preserve">, M.A., </w:t>
            </w:r>
            <w:r w:rsidRPr="00E52A8B">
              <w:rPr>
                <w:rFonts w:ascii="Times New Roman" w:hAnsi="Times New Roman" w:cs="Times New Roman"/>
                <w:color w:val="000000"/>
                <w:sz w:val="20"/>
                <w:szCs w:val="20"/>
              </w:rPr>
              <w:t>2009</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 xml:space="preserve"> </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Ecosystem consequences of potential range expansions of </w:t>
            </w:r>
            <w:r w:rsidRPr="00E52A8B">
              <w:rPr>
                <w:rStyle w:val="Emphasis"/>
                <w:rFonts w:ascii="Times New Roman" w:hAnsi="Times New Roman" w:cs="Times New Roman"/>
                <w:color w:val="000000"/>
                <w:sz w:val="20"/>
                <w:szCs w:val="20"/>
              </w:rPr>
              <w:t>Orconectes virilis</w:t>
            </w:r>
            <w:r w:rsidRPr="00E52A8B">
              <w:rPr>
                <w:rFonts w:ascii="Times New Roman" w:hAnsi="Times New Roman" w:cs="Times New Roman"/>
                <w:color w:val="000000"/>
                <w:sz w:val="20"/>
                <w:szCs w:val="20"/>
              </w:rPr>
              <w:t> and </w:t>
            </w:r>
            <w:r w:rsidRPr="00E52A8B">
              <w:rPr>
                <w:rStyle w:val="Emphasis"/>
                <w:rFonts w:ascii="Times New Roman" w:hAnsi="Times New Roman" w:cs="Times New Roman"/>
                <w:color w:val="000000"/>
                <w:sz w:val="20"/>
                <w:szCs w:val="20"/>
              </w:rPr>
              <w:t>Orvconectes rusticus</w:t>
            </w:r>
            <w:r w:rsidRPr="00E52A8B">
              <w:rPr>
                <w:rFonts w:ascii="Times New Roman" w:hAnsi="Times New Roman" w:cs="Times New Roman"/>
                <w:color w:val="000000"/>
                <w:sz w:val="20"/>
                <w:szCs w:val="20"/>
              </w:rPr>
              <w:t xml:space="preserve"> crayfish in Canada- a review. </w:t>
            </w:r>
            <w:r w:rsidRPr="009A1B1C">
              <w:rPr>
                <w:rFonts w:ascii="Times New Roman" w:hAnsi="Times New Roman" w:cs="Times New Roman"/>
                <w:i/>
                <w:iCs/>
                <w:color w:val="000000"/>
                <w:sz w:val="20"/>
                <w:szCs w:val="20"/>
              </w:rPr>
              <w:t>Environmental Review</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 xml:space="preserve"> 17</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235-248.</w:t>
            </w:r>
            <w:r>
              <w:rPr>
                <w:rFonts w:ascii="Times New Roman" w:hAnsi="Times New Roman" w:cs="Times New Roman"/>
                <w:color w:val="000000"/>
                <w:sz w:val="20"/>
                <w:szCs w:val="20"/>
              </w:rPr>
              <w:t xml:space="preserve"> </w:t>
            </w:r>
            <w:hyperlink r:id="rId405" w:history="1">
              <w:r w:rsidRPr="0018687D">
                <w:rPr>
                  <w:rStyle w:val="Hyperlink"/>
                  <w:rFonts w:ascii="Times New Roman" w:hAnsi="Times New Roman" w:cs="Times New Roman"/>
                  <w:sz w:val="20"/>
                  <w:szCs w:val="20"/>
                </w:rPr>
                <w:t>https://doi.org/10.1656/058.009.s304</w:t>
              </w:r>
            </w:hyperlink>
            <w:r w:rsidRPr="0018687D">
              <w:rPr>
                <w:rFonts w:ascii="Times New Roman" w:hAnsi="Times New Roman" w:cs="Times New Roman"/>
                <w:color w:val="000000"/>
                <w:sz w:val="20"/>
                <w:szCs w:val="20"/>
              </w:rPr>
              <w:t>.</w:t>
            </w:r>
          </w:p>
          <w:p w14:paraId="3113361A" w14:textId="77777777" w:rsidR="002D7080" w:rsidRPr="00E52A8B" w:rsidRDefault="002D7080" w:rsidP="002E2C37">
            <w:pPr>
              <w:ind w:left="720" w:hanging="720"/>
              <w:contextualSpacing/>
              <w:jc w:val="both"/>
              <w:rPr>
                <w:rFonts w:ascii="Times New Roman" w:hAnsi="Times New Roman" w:cs="Times New Roman"/>
                <w:color w:val="333333"/>
                <w:sz w:val="20"/>
                <w:szCs w:val="20"/>
                <w:shd w:val="clear" w:color="auto" w:fill="FFFFFF"/>
              </w:rPr>
            </w:pPr>
            <w:r w:rsidRPr="0018687D">
              <w:rPr>
                <w:rFonts w:ascii="Times New Roman" w:hAnsi="Times New Roman" w:cs="Times New Roman"/>
                <w:sz w:val="20"/>
                <w:szCs w:val="20"/>
                <w:shd w:val="clear" w:color="auto" w:fill="FFFFFF"/>
              </w:rPr>
              <w:t xml:space="preserve">Rogowski, D.L. &amp; Stockwell, C.A., 2006, ‘Assessment of potential impacts of exotic species on populations of a threatened species, white sands pupfish, </w:t>
            </w:r>
            <w:r w:rsidRPr="0018687D">
              <w:rPr>
                <w:rFonts w:ascii="Times New Roman" w:hAnsi="Times New Roman" w:cs="Times New Roman"/>
                <w:i/>
                <w:iCs/>
                <w:sz w:val="20"/>
                <w:szCs w:val="20"/>
                <w:shd w:val="clear" w:color="auto" w:fill="FFFFFF"/>
              </w:rPr>
              <w:t>Cyprinodon Tularosa</w:t>
            </w:r>
            <w:r w:rsidRPr="0018687D">
              <w:rPr>
                <w:rFonts w:ascii="Times New Roman" w:hAnsi="Times New Roman" w:cs="Times New Roman"/>
                <w:sz w:val="20"/>
                <w:szCs w:val="20"/>
                <w:shd w:val="clear" w:color="auto" w:fill="FFFFFF"/>
              </w:rPr>
              <w:t xml:space="preserve">’, </w:t>
            </w:r>
            <w:r w:rsidRPr="0018687D">
              <w:rPr>
                <w:rStyle w:val="Emphasis"/>
                <w:rFonts w:ascii="Times New Roman" w:hAnsi="Times New Roman" w:cs="Times New Roman"/>
                <w:sz w:val="20"/>
                <w:szCs w:val="20"/>
                <w:shd w:val="clear" w:color="auto" w:fill="FFFFFF"/>
              </w:rPr>
              <w:t>Biological Invasions</w:t>
            </w:r>
            <w:r w:rsidRPr="0018687D">
              <w:rPr>
                <w:rFonts w:ascii="Times New Roman" w:hAnsi="Times New Roman" w:cs="Times New Roman"/>
                <w:sz w:val="20"/>
                <w:szCs w:val="20"/>
                <w:shd w:val="clear" w:color="auto" w:fill="FFFFFF"/>
              </w:rPr>
              <w:t>, 8(1), 79-87</w:t>
            </w:r>
            <w:r w:rsidRPr="00E52A8B">
              <w:rPr>
                <w:rFonts w:ascii="Times New Roman" w:hAnsi="Times New Roman" w:cs="Times New Roman"/>
                <w:color w:val="333333"/>
                <w:sz w:val="20"/>
                <w:szCs w:val="20"/>
                <w:shd w:val="clear" w:color="auto" w:fill="FFFFFF"/>
              </w:rPr>
              <w:t>.</w:t>
            </w:r>
            <w:r>
              <w:rPr>
                <w:rFonts w:ascii="Times New Roman" w:hAnsi="Times New Roman" w:cs="Times New Roman"/>
                <w:color w:val="333333"/>
                <w:sz w:val="20"/>
                <w:szCs w:val="20"/>
                <w:shd w:val="clear" w:color="auto" w:fill="FFFFFF"/>
              </w:rPr>
              <w:t xml:space="preserve"> </w:t>
            </w:r>
            <w:hyperlink r:id="rId406" w:history="1">
              <w:r w:rsidRPr="0018687D">
                <w:rPr>
                  <w:rStyle w:val="Hyperlink"/>
                  <w:rFonts w:ascii="Times New Roman" w:hAnsi="Times New Roman" w:cs="Times New Roman"/>
                  <w:sz w:val="20"/>
                  <w:szCs w:val="20"/>
                  <w:shd w:val="clear" w:color="auto" w:fill="FFFFFF"/>
                </w:rPr>
                <w:t>https://doi.org/10.1007/s10530-005-0238-9</w:t>
              </w:r>
            </w:hyperlink>
            <w:r w:rsidRPr="0018687D">
              <w:rPr>
                <w:rFonts w:ascii="Times New Roman" w:hAnsi="Times New Roman" w:cs="Times New Roman"/>
                <w:color w:val="333333"/>
                <w:sz w:val="20"/>
                <w:szCs w:val="20"/>
                <w:shd w:val="clear" w:color="auto" w:fill="FFFFFF"/>
              </w:rPr>
              <w:t>.</w:t>
            </w:r>
          </w:p>
          <w:p w14:paraId="490F5065" w14:textId="77777777" w:rsidR="002D7080" w:rsidRPr="00E52A8B" w:rsidRDefault="002D7080" w:rsidP="002E2C37">
            <w:pPr>
              <w:ind w:left="720" w:hanging="720"/>
              <w:contextualSpacing/>
              <w:jc w:val="both"/>
              <w:rPr>
                <w:rFonts w:ascii="Times New Roman" w:hAnsi="Times New Roman" w:cs="Times New Roman"/>
                <w:color w:val="000000"/>
                <w:sz w:val="20"/>
                <w:szCs w:val="20"/>
              </w:rPr>
            </w:pPr>
            <w:r w:rsidRPr="00E52A8B">
              <w:rPr>
                <w:rFonts w:ascii="Times New Roman" w:hAnsi="Times New Roman" w:cs="Times New Roman"/>
                <w:color w:val="000000"/>
                <w:sz w:val="20"/>
                <w:szCs w:val="20"/>
              </w:rPr>
              <w:t>Shaw, P.C., Larson, E.R.</w:t>
            </w:r>
            <w:r>
              <w:rPr>
                <w:rFonts w:ascii="Times New Roman" w:hAnsi="Times New Roman" w:cs="Times New Roman"/>
                <w:color w:val="000000"/>
                <w:sz w:val="20"/>
                <w:szCs w:val="20"/>
              </w:rPr>
              <w:t xml:space="preserve"> &amp;</w:t>
            </w:r>
            <w:r w:rsidRPr="00E52A8B">
              <w:rPr>
                <w:rFonts w:ascii="Times New Roman" w:hAnsi="Times New Roman" w:cs="Times New Roman"/>
                <w:color w:val="000000"/>
                <w:sz w:val="20"/>
                <w:szCs w:val="20"/>
              </w:rPr>
              <w:t xml:space="preserve"> Billman</w:t>
            </w:r>
            <w:r>
              <w:rPr>
                <w:rFonts w:ascii="Times New Roman" w:hAnsi="Times New Roman" w:cs="Times New Roman"/>
                <w:color w:val="000000"/>
                <w:sz w:val="20"/>
                <w:szCs w:val="20"/>
              </w:rPr>
              <w:t>,</w:t>
            </w:r>
            <w:r w:rsidRPr="00E52A8B">
              <w:rPr>
                <w:rFonts w:ascii="Times New Roman" w:hAnsi="Times New Roman" w:cs="Times New Roman"/>
                <w:color w:val="000000"/>
                <w:sz w:val="20"/>
                <w:szCs w:val="20"/>
              </w:rPr>
              <w:t xml:space="preserve"> E.J.</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2021</w:t>
            </w:r>
            <w:r>
              <w:rPr>
                <w:rFonts w:ascii="Times New Roman" w:hAnsi="Times New Roman" w:cs="Times New Roman"/>
                <w:color w:val="000000"/>
                <w:sz w:val="20"/>
                <w:szCs w:val="20"/>
              </w:rPr>
              <w:t>, ‘</w:t>
            </w:r>
            <w:r w:rsidRPr="00E52A8B">
              <w:rPr>
                <w:rFonts w:ascii="Times New Roman" w:hAnsi="Times New Roman" w:cs="Times New Roman"/>
                <w:color w:val="000000"/>
                <w:sz w:val="20"/>
                <w:szCs w:val="20"/>
              </w:rPr>
              <w:t>Invasion of Virile Crayfish </w:t>
            </w:r>
            <w:r w:rsidRPr="00E52A8B">
              <w:rPr>
                <w:rStyle w:val="Emphasis"/>
                <w:rFonts w:ascii="Times New Roman" w:hAnsi="Times New Roman" w:cs="Times New Roman"/>
                <w:color w:val="000000"/>
                <w:sz w:val="20"/>
                <w:szCs w:val="20"/>
              </w:rPr>
              <w:t>Faxonius virilis</w:t>
            </w:r>
            <w:r w:rsidRPr="00E52A8B">
              <w:rPr>
                <w:rFonts w:ascii="Times New Roman" w:hAnsi="Times New Roman" w:cs="Times New Roman"/>
                <w:color w:val="000000"/>
                <w:sz w:val="20"/>
                <w:szCs w:val="20"/>
              </w:rPr>
              <w:t> (Hagen 1870) in the Lower Henrys Fork Drainage, Idaho</w:t>
            </w:r>
            <w:r>
              <w:rPr>
                <w:rFonts w:ascii="Times New Roman" w:hAnsi="Times New Roman" w:cs="Times New Roman"/>
                <w:color w:val="000000"/>
                <w:sz w:val="20"/>
                <w:szCs w:val="20"/>
              </w:rPr>
              <w:t xml:space="preserve">’, </w:t>
            </w:r>
            <w:r w:rsidRPr="002778E6">
              <w:rPr>
                <w:rFonts w:ascii="Times New Roman" w:hAnsi="Times New Roman" w:cs="Times New Roman"/>
                <w:i/>
                <w:iCs/>
                <w:color w:val="000000"/>
                <w:sz w:val="20"/>
                <w:szCs w:val="20"/>
              </w:rPr>
              <w:t>Northwest Science</w:t>
            </w:r>
            <w:r w:rsidRPr="00E52A8B">
              <w:rPr>
                <w:rFonts w:ascii="Times New Roman" w:hAnsi="Times New Roman" w:cs="Times New Roman"/>
                <w:color w:val="000000"/>
                <w:sz w:val="20"/>
                <w:szCs w:val="20"/>
              </w:rPr>
              <w:t xml:space="preserve"> 95(1)</w:t>
            </w:r>
            <w:r>
              <w:rPr>
                <w:rFonts w:ascii="Times New Roman" w:hAnsi="Times New Roman" w:cs="Times New Roman"/>
                <w:color w:val="000000"/>
                <w:sz w:val="20"/>
                <w:szCs w:val="20"/>
              </w:rPr>
              <w:t xml:space="preserve">, </w:t>
            </w:r>
            <w:r w:rsidRPr="00E52A8B">
              <w:rPr>
                <w:rFonts w:ascii="Times New Roman" w:hAnsi="Times New Roman" w:cs="Times New Roman"/>
                <w:color w:val="000000"/>
                <w:sz w:val="20"/>
                <w:szCs w:val="20"/>
              </w:rPr>
              <w:t xml:space="preserve">106-113. </w:t>
            </w:r>
            <w:hyperlink w:history="1">
              <w:r w:rsidRPr="00E52A8B">
                <w:rPr>
                  <w:rStyle w:val="Hyperlink"/>
                  <w:rFonts w:ascii="Times New Roman" w:hAnsi="Times New Roman" w:cs="Times New Roman"/>
                  <w:sz w:val="20"/>
                  <w:szCs w:val="20"/>
                </w:rPr>
                <w:t>https://doi.org/10.3955/046.095.0107</w:t>
              </w:r>
            </w:hyperlink>
            <w:r w:rsidRPr="00E52A8B">
              <w:rPr>
                <w:rFonts w:ascii="Times New Roman" w:hAnsi="Times New Roman" w:cs="Times New Roman"/>
                <w:color w:val="000000"/>
                <w:sz w:val="20"/>
                <w:szCs w:val="20"/>
              </w:rPr>
              <w:t>.</w:t>
            </w:r>
          </w:p>
          <w:p w14:paraId="6B8C216F" w14:textId="77777777" w:rsidR="002D7080" w:rsidRPr="004D1E6F" w:rsidRDefault="002D7080" w:rsidP="002E2C37">
            <w:pPr>
              <w:ind w:left="540" w:hanging="540"/>
              <w:contextualSpacing/>
              <w:jc w:val="both"/>
              <w:rPr>
                <w:rFonts w:ascii="Times New Roman" w:eastAsia="Times New Roman" w:hAnsi="Times New Roman" w:cs="Times New Roman"/>
                <w:color w:val="000000"/>
                <w:sz w:val="20"/>
                <w:szCs w:val="20"/>
                <w:lang w:eastAsia="en-ZA"/>
              </w:rPr>
            </w:pPr>
            <w:r w:rsidRPr="00E52A8B">
              <w:rPr>
                <w:rFonts w:ascii="Times New Roman" w:hAnsi="Times New Roman" w:cs="Times New Roman"/>
                <w:sz w:val="20"/>
                <w:szCs w:val="20"/>
                <w:shd w:val="clear" w:color="auto" w:fill="FFFFFF"/>
              </w:rPr>
              <w:t xml:space="preserve">USGS-NAS, 2023. </w:t>
            </w:r>
            <w:r w:rsidRPr="00E52A8B">
              <w:rPr>
                <w:rFonts w:ascii="Times New Roman" w:hAnsi="Times New Roman" w:cs="Times New Roman"/>
                <w:i/>
                <w:iCs/>
                <w:sz w:val="20"/>
                <w:szCs w:val="20"/>
                <w:shd w:val="clear" w:color="auto" w:fill="FFFFFF"/>
              </w:rPr>
              <w:t>Faxonius virilis</w:t>
            </w:r>
            <w:r w:rsidRPr="00E52A8B">
              <w:rPr>
                <w:rFonts w:ascii="Times New Roman" w:hAnsi="Times New Roman" w:cs="Times New Roman"/>
                <w:sz w:val="20"/>
                <w:szCs w:val="20"/>
                <w:shd w:val="clear" w:color="auto" w:fill="FFFFFF"/>
              </w:rPr>
              <w:t xml:space="preserve"> (Hagen, 1870).US Geological Survey, Nonindigenous Aquatic Species database. </w:t>
            </w:r>
            <w:hyperlink w:tgtFrame="_blank" w:history="1">
              <w:r w:rsidRPr="00E52A8B">
                <w:rPr>
                  <w:rStyle w:val="Hyperlink"/>
                  <w:rFonts w:ascii="Times New Roman" w:hAnsi="Times New Roman" w:cs="Times New Roman"/>
                  <w:sz w:val="20"/>
                  <w:szCs w:val="20"/>
                  <w:shd w:val="clear" w:color="auto" w:fill="FFFFFF"/>
                </w:rPr>
                <w:t>https://nas.er.usgs.gov/queries/FactSheet.aspx?speciesID=215</w:t>
              </w:r>
            </w:hyperlink>
            <w:r w:rsidRPr="004D1E6F">
              <w:rPr>
                <w:rFonts w:ascii="Times New Roman" w:eastAsia="Times New Roman" w:hAnsi="Times New Roman" w:cs="Times New Roman"/>
                <w:iCs/>
                <w:sz w:val="20"/>
                <w:szCs w:val="20"/>
                <w:lang w:eastAsia="en-ZA"/>
              </w:rPr>
              <w:t>.</w:t>
            </w:r>
          </w:p>
        </w:tc>
      </w:tr>
    </w:tbl>
    <w:p w14:paraId="5C403339" w14:textId="77777777" w:rsidR="002D7080" w:rsidRPr="004D1E6F" w:rsidRDefault="002D7080" w:rsidP="002D7080">
      <w:pPr>
        <w:spacing w:after="0" w:line="240" w:lineRule="auto"/>
        <w:rPr>
          <w:rFonts w:ascii="Times New Roman" w:eastAsia="Calibri" w:hAnsi="Times New Roman" w:cs="Times New Roman"/>
          <w:b/>
          <w:sz w:val="20"/>
          <w:szCs w:val="20"/>
        </w:rPr>
      </w:pPr>
    </w:p>
    <w:p w14:paraId="25FA02C7" w14:textId="77777777" w:rsidR="002D7080" w:rsidRPr="004D1E6F" w:rsidRDefault="002D7080" w:rsidP="002D7080">
      <w:pPr>
        <w:spacing w:after="0" w:line="240" w:lineRule="auto"/>
        <w:rPr>
          <w:rFonts w:ascii="Times New Roman" w:eastAsia="Calibri" w:hAnsi="Times New Roman" w:cs="Times New Roman"/>
          <w:b/>
          <w:sz w:val="20"/>
          <w:szCs w:val="20"/>
        </w:rPr>
      </w:pPr>
      <w:r w:rsidRPr="004D1E6F">
        <w:rPr>
          <w:rFonts w:ascii="Times New Roman" w:eastAsia="Times New Roman" w:hAnsi="Times New Roman" w:cs="Times New Roman"/>
          <w:b/>
          <w:color w:val="000000"/>
          <w:sz w:val="20"/>
          <w:szCs w:val="20"/>
          <w:lang w:eastAsia="en-ZA"/>
        </w:rPr>
        <w:t>4. Management</w:t>
      </w:r>
    </w:p>
    <w:p w14:paraId="03494372"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9018" w:type="dxa"/>
        <w:tblLook w:val="04A0" w:firstRow="1" w:lastRow="0" w:firstColumn="1" w:lastColumn="0" w:noHBand="0" w:noVBand="1"/>
      </w:tblPr>
      <w:tblGrid>
        <w:gridCol w:w="5240"/>
        <w:gridCol w:w="3778"/>
      </w:tblGrid>
      <w:tr w:rsidR="002D7080" w:rsidRPr="004D1E6F" w14:paraId="06E15433" w14:textId="77777777" w:rsidTr="002E2C37">
        <w:trPr>
          <w:trHeight w:val="343"/>
        </w:trPr>
        <w:tc>
          <w:tcPr>
            <w:tcW w:w="9018" w:type="dxa"/>
            <w:gridSpan w:val="2"/>
            <w:shd w:val="clear" w:color="auto" w:fill="F2F2F2" w:themeFill="background1" w:themeFillShade="F2"/>
          </w:tcPr>
          <w:p w14:paraId="2CAD13E7"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MAN1 What is the feasibility to stop future immigration?</w:t>
            </w:r>
          </w:p>
        </w:tc>
      </w:tr>
      <w:tr w:rsidR="002D7080" w:rsidRPr="004D1E6F" w14:paraId="29EA753C" w14:textId="77777777" w:rsidTr="002E2C37">
        <w:trPr>
          <w:trHeight w:val="172"/>
        </w:trPr>
        <w:tc>
          <w:tcPr>
            <w:tcW w:w="5240" w:type="dxa"/>
          </w:tcPr>
          <w:p w14:paraId="0D67D364"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High</w:t>
            </w:r>
          </w:p>
        </w:tc>
        <w:tc>
          <w:tcPr>
            <w:tcW w:w="3778" w:type="dxa"/>
          </w:tcPr>
          <w:p w14:paraId="632552E8"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r>
              <w:rPr>
                <w:rFonts w:ascii="Times New Roman" w:eastAsia="Times New Roman" w:hAnsi="Times New Roman" w:cs="Times New Roman"/>
                <w:color w:val="000000"/>
                <w:sz w:val="20"/>
                <w:szCs w:val="20"/>
                <w:lang w:eastAsia="en-ZA"/>
              </w:rPr>
              <w:t xml:space="preserve"> Medium </w:t>
            </w:r>
          </w:p>
        </w:tc>
      </w:tr>
      <w:tr w:rsidR="002D7080" w:rsidRPr="004D1E6F" w14:paraId="7A029314" w14:textId="77777777" w:rsidTr="002E2C37">
        <w:trPr>
          <w:trHeight w:val="343"/>
        </w:trPr>
        <w:tc>
          <w:tcPr>
            <w:tcW w:w="9018" w:type="dxa"/>
            <w:gridSpan w:val="2"/>
          </w:tcPr>
          <w:p w14:paraId="22A0484E" w14:textId="2B1DD38C"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iCs/>
                <w:sz w:val="20"/>
                <w:szCs w:val="20"/>
                <w:lang w:eastAsia="en-ZA"/>
              </w:rPr>
              <w:t>Faxonius</w:t>
            </w:r>
            <w:r>
              <w:rPr>
                <w:rFonts w:ascii="Times New Roman" w:eastAsia="Times New Roman" w:hAnsi="Times New Roman" w:cs="Times New Roman"/>
                <w:i/>
                <w:iCs/>
                <w:sz w:val="20"/>
                <w:szCs w:val="20"/>
                <w:lang w:eastAsia="en-ZA"/>
              </w:rPr>
              <w:t xml:space="preserve"> </w:t>
            </w:r>
            <w:r w:rsidR="008E030D">
              <w:rPr>
                <w:rFonts w:ascii="Times New Roman" w:eastAsia="Times New Roman" w:hAnsi="Times New Roman" w:cs="Times New Roman"/>
                <w:i/>
                <w:iCs/>
                <w:sz w:val="20"/>
                <w:szCs w:val="20"/>
                <w:lang w:eastAsia="en-ZA"/>
              </w:rPr>
              <w:t>virilis</w:t>
            </w:r>
            <w:r w:rsidR="008E030D" w:rsidRPr="004D1E6F">
              <w:rPr>
                <w:rFonts w:ascii="Times New Roman" w:eastAsia="Times New Roman" w:hAnsi="Times New Roman" w:cs="Times New Roman"/>
                <w:i/>
                <w:iCs/>
                <w:sz w:val="20"/>
                <w:szCs w:val="20"/>
                <w:lang w:eastAsia="en-ZA"/>
              </w:rPr>
              <w:t xml:space="preserve"> </w:t>
            </w:r>
            <w:r w:rsidRPr="004D1E6F">
              <w:rPr>
                <w:rFonts w:ascii="Times New Roman" w:eastAsia="Times New Roman" w:hAnsi="Times New Roman" w:cs="Times New Roman"/>
                <w:sz w:val="20"/>
                <w:szCs w:val="20"/>
                <w:lang w:eastAsia="en-ZA"/>
              </w:rPr>
              <w:t>is absent in neighbouring countries, so unaided immigration is unlikely. Moreover, it should be possible to regulate intentional introductions through legislative regulations and having an effective border surveillance and monitoring strategy (Zengeya &amp; Wilson 2020</w:t>
            </w:r>
            <w:r>
              <w:rPr>
                <w:rFonts w:ascii="Times New Roman" w:eastAsia="Times New Roman" w:hAnsi="Times New Roman" w:cs="Times New Roman"/>
                <w:sz w:val="20"/>
                <w:szCs w:val="20"/>
                <w:lang w:eastAsia="en-ZA"/>
              </w:rPr>
              <w:t>; Wilson and Kumschick 2024</w:t>
            </w:r>
            <w:r w:rsidRPr="004D1E6F">
              <w:rPr>
                <w:rFonts w:ascii="Times New Roman" w:eastAsia="Times New Roman" w:hAnsi="Times New Roman" w:cs="Times New Roman"/>
                <w:sz w:val="20"/>
                <w:szCs w:val="20"/>
                <w:lang w:eastAsia="en-ZA"/>
              </w:rPr>
              <w:t>).</w:t>
            </w:r>
          </w:p>
        </w:tc>
      </w:tr>
      <w:tr w:rsidR="002D7080" w:rsidRPr="004D1E6F" w14:paraId="15E12832" w14:textId="77777777" w:rsidTr="002E2C37">
        <w:trPr>
          <w:trHeight w:val="343"/>
        </w:trPr>
        <w:tc>
          <w:tcPr>
            <w:tcW w:w="9018" w:type="dxa"/>
            <w:gridSpan w:val="2"/>
          </w:tcPr>
          <w:p w14:paraId="4FD14FB0" w14:textId="77777777" w:rsidR="002D7080" w:rsidRPr="004D1E6F" w:rsidRDefault="002D7080" w:rsidP="002E2C37">
            <w:pPr>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2BEB02A8" w14:textId="77777777" w:rsidR="002D7080" w:rsidRDefault="002D7080" w:rsidP="002E2C37">
            <w:pPr>
              <w:ind w:left="360" w:hanging="36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Zengeya, T.A. &amp; Wilson, J.R., (eds.) 2020, </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i/>
                <w:iCs/>
                <w:sz w:val="20"/>
                <w:szCs w:val="20"/>
                <w:lang w:eastAsia="en-ZA"/>
              </w:rPr>
              <w:t>The status of biological invasions and their management in South Africa in 2019</w:t>
            </w:r>
            <w:r w:rsidRPr="00C03EEF">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pp.71, South African National Biodiversity Institute, Kirstenbosch and DSI-NRF Centre of Excellence for Invasion Biology, Stellenbosch. </w:t>
            </w:r>
            <w:hyperlink w:history="1">
              <w:r w:rsidRPr="00EA3BA7">
                <w:rPr>
                  <w:rStyle w:val="Hyperlink"/>
                  <w:rFonts w:ascii="Times New Roman" w:eastAsia="Times New Roman" w:hAnsi="Times New Roman" w:cs="Times New Roman"/>
                  <w:sz w:val="20"/>
                  <w:szCs w:val="20"/>
                  <w:lang w:eastAsia="en-ZA"/>
                </w:rPr>
                <w:t>http://dx.doi.org/10.5281/zenodo.3947613</w:t>
              </w:r>
            </w:hyperlink>
            <w:r w:rsidRPr="004D1E6F">
              <w:rPr>
                <w:rFonts w:ascii="Times New Roman" w:eastAsia="Times New Roman" w:hAnsi="Times New Roman" w:cs="Times New Roman"/>
                <w:sz w:val="20"/>
                <w:szCs w:val="20"/>
                <w:lang w:eastAsia="en-ZA"/>
              </w:rPr>
              <w:t>.</w:t>
            </w:r>
          </w:p>
          <w:p w14:paraId="71D1BA33" w14:textId="77777777" w:rsidR="002D7080" w:rsidRPr="004D1E6F" w:rsidRDefault="002D7080" w:rsidP="002E2C37">
            <w:pPr>
              <w:ind w:left="540" w:hanging="540"/>
              <w:contextualSpacing/>
              <w:jc w:val="both"/>
              <w:rPr>
                <w:rFonts w:ascii="Times New Roman" w:eastAsia="Times New Roman" w:hAnsi="Times New Roman" w:cs="Times New Roman"/>
                <w:color w:val="000000"/>
                <w:sz w:val="20"/>
                <w:szCs w:val="20"/>
                <w:lang w:eastAsia="en-ZA"/>
              </w:rPr>
            </w:pPr>
            <w:r w:rsidRPr="0002275A">
              <w:rPr>
                <w:rFonts w:ascii="Times New Roman" w:hAnsi="Times New Roman" w:cs="Times New Roman"/>
                <w:color w:val="222222"/>
                <w:sz w:val="20"/>
                <w:szCs w:val="20"/>
                <w:shd w:val="clear" w:color="auto" w:fill="FFFFFF"/>
              </w:rPr>
              <w:t>Wilson, J. R., &amp; Kumschick, S.</w:t>
            </w:r>
            <w:r>
              <w:rPr>
                <w:rFonts w:ascii="Times New Roman" w:hAnsi="Times New Roman" w:cs="Times New Roman"/>
                <w:color w:val="222222"/>
                <w:sz w:val="20"/>
                <w:szCs w:val="20"/>
                <w:shd w:val="clear" w:color="auto" w:fill="FFFFFF"/>
              </w:rPr>
              <w:t xml:space="preserve">, </w:t>
            </w:r>
            <w:r w:rsidRPr="0002275A">
              <w:rPr>
                <w:rFonts w:ascii="Times New Roman" w:hAnsi="Times New Roman" w:cs="Times New Roman"/>
                <w:color w:val="222222"/>
                <w:sz w:val="20"/>
                <w:szCs w:val="20"/>
                <w:shd w:val="clear" w:color="auto" w:fill="FFFFFF"/>
              </w:rPr>
              <w:t>2024</w:t>
            </w:r>
            <w:r>
              <w:rPr>
                <w:rFonts w:ascii="Times New Roman" w:hAnsi="Times New Roman" w:cs="Times New Roman"/>
                <w:color w:val="222222"/>
                <w:sz w:val="20"/>
                <w:szCs w:val="20"/>
                <w:shd w:val="clear" w:color="auto" w:fill="FFFFFF"/>
              </w:rPr>
              <w:t>, ‘</w:t>
            </w:r>
            <w:r w:rsidRPr="0002275A">
              <w:rPr>
                <w:rFonts w:ascii="Times New Roman" w:hAnsi="Times New Roman" w:cs="Times New Roman"/>
                <w:color w:val="222222"/>
                <w:sz w:val="20"/>
                <w:szCs w:val="20"/>
                <w:shd w:val="clear" w:color="auto" w:fill="FFFFFF"/>
              </w:rPr>
              <w:t>The regulation of alien species in South Africa</w:t>
            </w:r>
            <w:r>
              <w:rPr>
                <w:rFonts w:ascii="Times New Roman" w:hAnsi="Times New Roman" w:cs="Times New Roman"/>
                <w:color w:val="222222"/>
                <w:sz w:val="20"/>
                <w:szCs w:val="20"/>
                <w:shd w:val="clear" w:color="auto" w:fill="FFFFFF"/>
              </w:rPr>
              <w:t>’,</w:t>
            </w:r>
            <w:r w:rsidRPr="0002275A">
              <w:rPr>
                <w:rFonts w:ascii="Times New Roman" w:hAnsi="Times New Roman" w:cs="Times New Roman"/>
                <w:color w:val="222222"/>
                <w:sz w:val="20"/>
                <w:szCs w:val="20"/>
                <w:shd w:val="clear" w:color="auto" w:fill="FFFFFF"/>
              </w:rPr>
              <w:t> </w:t>
            </w:r>
            <w:r w:rsidRPr="0002275A">
              <w:rPr>
                <w:rFonts w:ascii="Times New Roman" w:hAnsi="Times New Roman" w:cs="Times New Roman"/>
                <w:i/>
                <w:iCs/>
                <w:color w:val="222222"/>
                <w:sz w:val="20"/>
                <w:szCs w:val="20"/>
                <w:shd w:val="clear" w:color="auto" w:fill="FFFFFF"/>
              </w:rPr>
              <w:t>South African Journal of Science</w:t>
            </w:r>
            <w:r w:rsidRPr="0002275A">
              <w:rPr>
                <w:rFonts w:ascii="Times New Roman" w:hAnsi="Times New Roman" w:cs="Times New Roman"/>
                <w:color w:val="222222"/>
                <w:sz w:val="20"/>
                <w:szCs w:val="20"/>
                <w:shd w:val="clear" w:color="auto" w:fill="FFFFFF"/>
              </w:rPr>
              <w:t>, </w:t>
            </w:r>
            <w:r w:rsidRPr="00901825">
              <w:rPr>
                <w:rFonts w:ascii="Times New Roman" w:hAnsi="Times New Roman" w:cs="Times New Roman"/>
                <w:color w:val="222222"/>
                <w:sz w:val="20"/>
                <w:szCs w:val="20"/>
                <w:shd w:val="clear" w:color="auto" w:fill="FFFFFF"/>
              </w:rPr>
              <w:t>120(5/6).</w:t>
            </w:r>
            <w:r>
              <w:rPr>
                <w:rFonts w:ascii="Times New Roman" w:hAnsi="Times New Roman" w:cs="Times New Roman"/>
                <w:color w:val="222222"/>
                <w:sz w:val="20"/>
                <w:szCs w:val="20"/>
                <w:shd w:val="clear" w:color="auto" w:fill="FFFFFF"/>
              </w:rPr>
              <w:t xml:space="preserve"> </w:t>
            </w:r>
            <w:hyperlink r:id="rId407" w:history="1">
              <w:r w:rsidRPr="0018687D">
                <w:rPr>
                  <w:rStyle w:val="Hyperlink"/>
                  <w:rFonts w:ascii="Times New Roman" w:hAnsi="Times New Roman" w:cs="Times New Roman"/>
                  <w:sz w:val="20"/>
                  <w:szCs w:val="20"/>
                  <w:shd w:val="clear" w:color="auto" w:fill="FFFFFF"/>
                </w:rPr>
                <w:t>https://doi.org/10.17159/sajs.2024/17002</w:t>
              </w:r>
            </w:hyperlink>
            <w:r w:rsidRPr="0018687D">
              <w:rPr>
                <w:rFonts w:ascii="Times New Roman" w:hAnsi="Times New Roman" w:cs="Times New Roman"/>
                <w:color w:val="222222"/>
                <w:sz w:val="20"/>
                <w:szCs w:val="20"/>
                <w:shd w:val="clear" w:color="auto" w:fill="FFFFFF"/>
              </w:rPr>
              <w:t>.</w:t>
            </w:r>
          </w:p>
        </w:tc>
      </w:tr>
    </w:tbl>
    <w:p w14:paraId="79CFCEC4" w14:textId="77777777" w:rsidR="002D7080" w:rsidRDefault="002D7080" w:rsidP="002D7080">
      <w:pPr>
        <w:spacing w:after="0" w:line="240" w:lineRule="auto"/>
        <w:contextualSpacing/>
        <w:rPr>
          <w:rFonts w:ascii="Times New Roman" w:eastAsia="Times New Roman" w:hAnsi="Times New Roman" w:cs="Times New Roman"/>
          <w:color w:val="000000"/>
          <w:sz w:val="20"/>
          <w:szCs w:val="20"/>
          <w:lang w:eastAsia="en-ZA"/>
        </w:rPr>
      </w:pPr>
    </w:p>
    <w:p w14:paraId="343C35C8" w14:textId="77777777" w:rsidR="002D7080" w:rsidRDefault="002D7080" w:rsidP="002D7080">
      <w:pPr>
        <w:spacing w:after="0" w:line="240" w:lineRule="auto"/>
        <w:rPr>
          <w:rFonts w:ascii="Times New Roman" w:eastAsia="Times New Roman" w:hAnsi="Times New Roman" w:cs="Times New Roman"/>
          <w:color w:val="000000"/>
          <w:sz w:val="20"/>
          <w:szCs w:val="20"/>
          <w:lang w:eastAsia="en-ZA"/>
        </w:rPr>
      </w:pPr>
    </w:p>
    <w:p w14:paraId="04E807CF" w14:textId="77777777" w:rsidR="002D7080" w:rsidRDefault="002D7080" w:rsidP="002D7080">
      <w:pPr>
        <w:spacing w:after="0" w:line="240" w:lineRule="auto"/>
        <w:rPr>
          <w:rFonts w:ascii="Times New Roman" w:eastAsia="Times New Roman" w:hAnsi="Times New Roman" w:cs="Times New Roman"/>
          <w:color w:val="000000"/>
          <w:sz w:val="20"/>
          <w:szCs w:val="20"/>
          <w:lang w:eastAsia="en-ZA"/>
        </w:rPr>
      </w:pPr>
    </w:p>
    <w:p w14:paraId="548054FC"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9018" w:type="dxa"/>
        <w:tblLook w:val="04A0" w:firstRow="1" w:lastRow="0" w:firstColumn="1" w:lastColumn="0" w:noHBand="0" w:noVBand="1"/>
      </w:tblPr>
      <w:tblGrid>
        <w:gridCol w:w="5240"/>
        <w:gridCol w:w="3778"/>
      </w:tblGrid>
      <w:tr w:rsidR="002D7080" w:rsidRPr="004D1E6F" w14:paraId="411CF573" w14:textId="77777777" w:rsidTr="002E2C37">
        <w:trPr>
          <w:trHeight w:val="343"/>
        </w:trPr>
        <w:tc>
          <w:tcPr>
            <w:tcW w:w="9018" w:type="dxa"/>
            <w:gridSpan w:val="2"/>
            <w:shd w:val="clear" w:color="auto" w:fill="F2F2F2" w:themeFill="background1" w:themeFillShade="F2"/>
          </w:tcPr>
          <w:p w14:paraId="5A4917A5"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MAN2 Benefits of the Taxon</w:t>
            </w:r>
          </w:p>
        </w:tc>
      </w:tr>
      <w:tr w:rsidR="002D7080" w:rsidRPr="004D1E6F" w14:paraId="3788802D" w14:textId="77777777" w:rsidTr="002E2C37">
        <w:trPr>
          <w:trHeight w:val="343"/>
        </w:trPr>
        <w:tc>
          <w:tcPr>
            <w:tcW w:w="9018" w:type="dxa"/>
            <w:gridSpan w:val="2"/>
            <w:shd w:val="clear" w:color="auto" w:fill="F2F2F2" w:themeFill="background1" w:themeFillShade="F2"/>
          </w:tcPr>
          <w:p w14:paraId="0F0114D2"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 xml:space="preserve">MAN2a Socio-economic benefits of the </w:t>
            </w:r>
            <w:r w:rsidRPr="004D1E6F">
              <w:rPr>
                <w:rFonts w:ascii="Times New Roman" w:eastAsia="Times New Roman" w:hAnsi="Times New Roman" w:cs="Times New Roman"/>
                <w:b/>
                <w:i/>
                <w:color w:val="000000"/>
                <w:sz w:val="20"/>
                <w:szCs w:val="20"/>
                <w:lang w:eastAsia="en-ZA"/>
              </w:rPr>
              <w:t>Taxon</w:t>
            </w:r>
          </w:p>
        </w:tc>
      </w:tr>
      <w:tr w:rsidR="002D7080" w:rsidRPr="004D1E6F" w14:paraId="23FD26D6" w14:textId="77777777" w:rsidTr="002E2C37">
        <w:trPr>
          <w:trHeight w:val="172"/>
        </w:trPr>
        <w:tc>
          <w:tcPr>
            <w:tcW w:w="5240" w:type="dxa"/>
          </w:tcPr>
          <w:p w14:paraId="0AAA078E"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Low</w:t>
            </w:r>
          </w:p>
        </w:tc>
        <w:tc>
          <w:tcPr>
            <w:tcW w:w="3778" w:type="dxa"/>
          </w:tcPr>
          <w:p w14:paraId="37F097D2"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237299F8" w14:textId="77777777" w:rsidTr="002E2C37">
        <w:trPr>
          <w:trHeight w:val="343"/>
        </w:trPr>
        <w:tc>
          <w:tcPr>
            <w:tcW w:w="9018" w:type="dxa"/>
            <w:gridSpan w:val="2"/>
          </w:tcPr>
          <w:p w14:paraId="41C7A786" w14:textId="44F3980A"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233C97">
              <w:rPr>
                <w:rFonts w:ascii="Times New Roman" w:eastAsia="Times New Roman" w:hAnsi="Times New Roman" w:cs="Times New Roman"/>
                <w:i/>
                <w:iCs/>
                <w:sz w:val="20"/>
                <w:szCs w:val="20"/>
                <w:lang w:eastAsia="en-ZA"/>
              </w:rPr>
              <w:t xml:space="preserve">Faxonius </w:t>
            </w:r>
            <w:r w:rsidR="008E030D">
              <w:rPr>
                <w:rFonts w:ascii="Times New Roman" w:eastAsia="Times New Roman" w:hAnsi="Times New Roman" w:cs="Times New Roman"/>
                <w:i/>
                <w:iCs/>
                <w:sz w:val="20"/>
                <w:szCs w:val="20"/>
                <w:lang w:eastAsia="en-ZA"/>
              </w:rPr>
              <w:t>virilis</w:t>
            </w:r>
            <w:r w:rsidR="008E030D" w:rsidRPr="00233C97">
              <w:rPr>
                <w:rFonts w:ascii="Times New Roman" w:eastAsia="Times New Roman" w:hAnsi="Times New Roman" w:cs="Times New Roman"/>
                <w:i/>
                <w:iCs/>
                <w:sz w:val="20"/>
                <w:szCs w:val="20"/>
                <w:lang w:eastAsia="en-ZA"/>
              </w:rPr>
              <w:t xml:space="preserve"> </w:t>
            </w:r>
            <w:r>
              <w:rPr>
                <w:rFonts w:ascii="Times New Roman" w:eastAsia="Times New Roman" w:hAnsi="Times New Roman" w:cs="Times New Roman"/>
                <w:sz w:val="20"/>
                <w:szCs w:val="20"/>
                <w:lang w:eastAsia="en-ZA"/>
              </w:rPr>
              <w:t xml:space="preserve">used as bait and often stocked as forage in </w:t>
            </w:r>
            <w:r w:rsidRPr="00131806">
              <w:rPr>
                <w:rFonts w:ascii="Times New Roman" w:eastAsia="Times New Roman" w:hAnsi="Times New Roman" w:cs="Times New Roman"/>
                <w:sz w:val="20"/>
                <w:szCs w:val="20"/>
                <w:lang w:eastAsia="en-ZA"/>
              </w:rPr>
              <w:t>the USA</w:t>
            </w:r>
            <w:r>
              <w:rPr>
                <w:rFonts w:ascii="Times New Roman" w:eastAsia="Times New Roman" w:hAnsi="Times New Roman" w:cs="Times New Roman"/>
                <w:sz w:val="20"/>
                <w:szCs w:val="20"/>
                <w:lang w:eastAsia="en-ZA"/>
              </w:rPr>
              <w:t xml:space="preserve"> (Larson and Olden 2011, Kilian et al. 2012)</w:t>
            </w:r>
            <w:r w:rsidRPr="00233C97">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 It </w:t>
            </w:r>
            <w:r w:rsidRPr="00233C97">
              <w:rPr>
                <w:rFonts w:ascii="Times New Roman" w:eastAsia="Times New Roman" w:hAnsi="Times New Roman" w:cs="Times New Roman"/>
                <w:sz w:val="20"/>
                <w:szCs w:val="20"/>
                <w:lang w:eastAsia="en-ZA"/>
              </w:rPr>
              <w:t>is</w:t>
            </w:r>
            <w:r>
              <w:rPr>
                <w:rFonts w:ascii="Times New Roman" w:eastAsia="Times New Roman" w:hAnsi="Times New Roman" w:cs="Times New Roman"/>
                <w:sz w:val="20"/>
                <w:szCs w:val="20"/>
                <w:lang w:eastAsia="en-ZA"/>
              </w:rPr>
              <w:t xml:space="preserve"> also</w:t>
            </w:r>
            <w:r w:rsidRPr="00233C97">
              <w:rPr>
                <w:rFonts w:ascii="Times New Roman" w:eastAsia="Times New Roman" w:hAnsi="Times New Roman" w:cs="Times New Roman"/>
                <w:sz w:val="20"/>
                <w:szCs w:val="20"/>
                <w:lang w:eastAsia="en-ZA"/>
              </w:rPr>
              <w:t xml:space="preserve"> known to be present in the pet trade industry in </w:t>
            </w:r>
            <w:r>
              <w:rPr>
                <w:rFonts w:ascii="Times New Roman" w:eastAsia="Times New Roman" w:hAnsi="Times New Roman" w:cs="Times New Roman"/>
                <w:sz w:val="20"/>
                <w:szCs w:val="20"/>
                <w:lang w:eastAsia="en-ZA"/>
              </w:rPr>
              <w:t xml:space="preserve">Netherlands and the United Kingdom </w:t>
            </w:r>
            <w:r w:rsidRPr="00233C97">
              <w:rPr>
                <w:rFonts w:ascii="Times New Roman" w:eastAsia="Times New Roman" w:hAnsi="Times New Roman" w:cs="Times New Roman"/>
                <w:sz w:val="20"/>
                <w:szCs w:val="20"/>
                <w:lang w:eastAsia="en-ZA"/>
              </w:rPr>
              <w:fldChar w:fldCharType="begin" w:fldLock="1"/>
            </w:r>
            <w:r w:rsidRPr="00233C97">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"id" : "ITEM-2", "itemData" : { "DOI" : "10.1007/s10530-012-0273-2", "author" : [ { "dropping-particle" : "", "family" : "Chucholl", "given" : "Christoph", "non-dropping-particle" : "", "parse-names" : false, "suffix" : "" } ], "id" : "ITEM-2", "issued" : { "date-parts" : [ [ "2013" ] ] }, "page" : "125-141", "title" : "Invaders for sale : trade and determinants of introduction of ornamental freshwater crayfish", "type" : "article-journal" }, "uris" : [ "http://www.mendeley.com/documents/?uuid=a0511d26-a75d-4f96-93d3-d105f06fe13f" ] } ], "mendeley" : { "formattedCitation" : "(Chucholl 2013, Faulkes 2015)", "plainTextFormattedCitation" : "(Chucholl 2013, Faulkes 2015)" }, "properties" : { "noteIndex" : 0 }, "schema" : "https://github.com/citation-style-language/schema/raw/master/csl-citation.json" }</w:instrText>
            </w:r>
            <w:r w:rsidRPr="00233C97">
              <w:rPr>
                <w:rFonts w:ascii="Times New Roman" w:eastAsia="Times New Roman" w:hAnsi="Times New Roman" w:cs="Times New Roman"/>
                <w:sz w:val="20"/>
                <w:szCs w:val="20"/>
                <w:lang w:eastAsia="en-ZA"/>
              </w:rPr>
              <w:fldChar w:fldCharType="separate"/>
            </w:r>
            <w:r w:rsidRPr="00233C97">
              <w:rPr>
                <w:rFonts w:ascii="Times New Roman" w:eastAsia="Times New Roman" w:hAnsi="Times New Roman" w:cs="Times New Roman"/>
                <w:sz w:val="20"/>
                <w:szCs w:val="20"/>
                <w:lang w:eastAsia="en-ZA"/>
              </w:rPr>
              <w:t>(Chucholl 2013; Faulkes 2015)</w:t>
            </w:r>
            <w:r w:rsidRPr="00233C97">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No socio-economic benefits have been recorded to date in South Africa and even if </w:t>
            </w:r>
            <w:r w:rsidRPr="004D1E6F">
              <w:rPr>
                <w:rFonts w:ascii="Times New Roman" w:eastAsia="Times New Roman" w:hAnsi="Times New Roman" w:cs="Times New Roman"/>
                <w:i/>
                <w:color w:val="000000"/>
                <w:sz w:val="20"/>
                <w:szCs w:val="20"/>
                <w:lang w:eastAsia="en-ZA"/>
              </w:rPr>
              <w:t xml:space="preserve">F. </w:t>
            </w:r>
            <w:r w:rsidR="008E030D">
              <w:rPr>
                <w:rFonts w:ascii="Times New Roman" w:eastAsia="Times New Roman" w:hAnsi="Times New Roman" w:cs="Times New Roman"/>
                <w:i/>
                <w:color w:val="000000"/>
                <w:sz w:val="20"/>
                <w:szCs w:val="20"/>
                <w:lang w:eastAsia="en-ZA"/>
              </w:rPr>
              <w:t>virilis</w:t>
            </w:r>
            <w:r w:rsidR="008E030D" w:rsidRPr="004D1E6F">
              <w:rPr>
                <w:rFonts w:ascii="Times New Roman" w:eastAsia="Times New Roman" w:hAnsi="Times New Roman" w:cs="Times New Roman"/>
                <w:i/>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is present the benefits are likely to be low (Madzivanzira et al. 2021).</w:t>
            </w:r>
          </w:p>
        </w:tc>
      </w:tr>
      <w:tr w:rsidR="002D7080" w:rsidRPr="004D1E6F" w14:paraId="7B82056C" w14:textId="77777777" w:rsidTr="002E2C37">
        <w:trPr>
          <w:trHeight w:val="343"/>
        </w:trPr>
        <w:tc>
          <w:tcPr>
            <w:tcW w:w="9018" w:type="dxa"/>
            <w:gridSpan w:val="2"/>
          </w:tcPr>
          <w:p w14:paraId="7E899435"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7F07C2A4" w14:textId="77777777" w:rsidR="002D7080"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hyperlink w:history="1">
              <w:r w:rsidRPr="004D1E6F">
                <w:rPr>
                  <w:rStyle w:val="Hyperlink"/>
                  <w:rFonts w:ascii="Times New Roman" w:eastAsia="Times New Roman" w:hAnsi="Times New Roman" w:cs="Times New Roman"/>
                  <w:sz w:val="20"/>
                  <w:szCs w:val="20"/>
                  <w:lang w:eastAsia="en-ZA"/>
                </w:rPr>
                <w:t>https://doi.org/10.1007/s10530-012-0273-2</w:t>
              </w:r>
            </w:hyperlink>
            <w:r w:rsidRPr="004D1E6F">
              <w:rPr>
                <w:rFonts w:ascii="Times New Roman" w:eastAsia="Times New Roman" w:hAnsi="Times New Roman" w:cs="Times New Roman"/>
                <w:sz w:val="20"/>
                <w:szCs w:val="20"/>
                <w:lang w:eastAsia="en-ZA"/>
              </w:rPr>
              <w:t>.</w:t>
            </w:r>
          </w:p>
          <w:p w14:paraId="67C3047D" w14:textId="77777777" w:rsidR="002D7080"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Faulkes, Z</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2015</w:t>
            </w:r>
            <w:r>
              <w:rPr>
                <w:rFonts w:ascii="Times New Roman" w:eastAsia="Times New Roman" w:hAnsi="Times New Roman" w:cs="Times New Roman"/>
                <w:color w:val="000000"/>
                <w:sz w:val="20"/>
                <w:szCs w:val="20"/>
                <w:lang w:eastAsia="en-ZA"/>
              </w:rPr>
              <w:t>, ‘</w:t>
            </w:r>
            <w:r w:rsidRPr="004D1E6F">
              <w:rPr>
                <w:rFonts w:ascii="Times New Roman" w:eastAsia="Times New Roman" w:hAnsi="Times New Roman" w:cs="Times New Roman"/>
                <w:color w:val="000000"/>
                <w:sz w:val="20"/>
                <w:szCs w:val="20"/>
                <w:lang w:eastAsia="en-ZA"/>
              </w:rPr>
              <w:t>The global trade in crayfish as pets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Crustacean Research</w:t>
            </w:r>
            <w:r w:rsidRPr="000B4EF0">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iCs/>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44</w:t>
            </w:r>
            <w:r>
              <w:rPr>
                <w:rFonts w:ascii="Times New Roman" w:eastAsia="Times New Roman" w:hAnsi="Times New Roman" w:cs="Times New Roman"/>
                <w:iCs/>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75–92</w:t>
            </w:r>
            <w:r>
              <w:rPr>
                <w:rFonts w:ascii="Times New Roman" w:eastAsia="Times New Roman" w:hAnsi="Times New Roman" w:cs="Times New Roman"/>
                <w:color w:val="000000"/>
                <w:sz w:val="20"/>
                <w:szCs w:val="20"/>
                <w:lang w:eastAsia="en-ZA"/>
              </w:rPr>
              <w:t xml:space="preserve">. </w:t>
            </w:r>
            <w:hyperlink r:id="rId408" w:history="1">
              <w:r w:rsidRPr="0018687D">
                <w:rPr>
                  <w:rStyle w:val="Hyperlink"/>
                  <w:rFonts w:ascii="Times New Roman" w:eastAsia="Times New Roman" w:hAnsi="Times New Roman" w:cs="Times New Roman"/>
                  <w:sz w:val="20"/>
                  <w:szCs w:val="20"/>
                  <w:lang w:eastAsia="en-ZA"/>
                </w:rPr>
                <w:t>https://doi.org/10.18353/crustacea.44.0_75</w:t>
              </w:r>
            </w:hyperlink>
            <w:r w:rsidRPr="0018687D">
              <w:rPr>
                <w:rFonts w:ascii="Times New Roman" w:eastAsia="Times New Roman" w:hAnsi="Times New Roman" w:cs="Times New Roman"/>
                <w:color w:val="000000"/>
                <w:sz w:val="20"/>
                <w:szCs w:val="20"/>
                <w:lang w:eastAsia="en-ZA"/>
              </w:rPr>
              <w:t>.</w:t>
            </w:r>
          </w:p>
          <w:p w14:paraId="3F901371" w14:textId="77777777" w:rsidR="002D7080" w:rsidRDefault="002D7080" w:rsidP="002E2C37">
            <w:pPr>
              <w:ind w:left="720" w:hanging="720"/>
              <w:contextualSpacing/>
              <w:jc w:val="both"/>
              <w:rPr>
                <w:rFonts w:ascii="Times New Roman" w:hAnsi="Times New Roman" w:cs="Times New Roman"/>
                <w:color w:val="000000"/>
                <w:sz w:val="20"/>
                <w:szCs w:val="20"/>
              </w:rPr>
            </w:pPr>
            <w:r w:rsidRPr="00131806">
              <w:rPr>
                <w:rFonts w:ascii="Times New Roman" w:hAnsi="Times New Roman" w:cs="Times New Roman"/>
                <w:color w:val="000000"/>
                <w:sz w:val="20"/>
                <w:szCs w:val="20"/>
              </w:rPr>
              <w:t>Kilian, J.V., Klauda, R.J.</w:t>
            </w:r>
            <w:r>
              <w:rPr>
                <w:rFonts w:ascii="Times New Roman" w:hAnsi="Times New Roman" w:cs="Times New Roman"/>
                <w:color w:val="000000"/>
                <w:sz w:val="20"/>
                <w:szCs w:val="20"/>
              </w:rPr>
              <w:t xml:space="preserve">; </w:t>
            </w:r>
            <w:r w:rsidRPr="00131806">
              <w:rPr>
                <w:rFonts w:ascii="Times New Roman" w:hAnsi="Times New Roman" w:cs="Times New Roman"/>
                <w:color w:val="000000"/>
                <w:sz w:val="20"/>
                <w:szCs w:val="20"/>
              </w:rPr>
              <w:t xml:space="preserve">WIdman, </w:t>
            </w:r>
            <w:r>
              <w:rPr>
                <w:rFonts w:ascii="Times New Roman" w:hAnsi="Times New Roman" w:cs="Times New Roman"/>
                <w:color w:val="000000"/>
                <w:sz w:val="20"/>
                <w:szCs w:val="20"/>
              </w:rPr>
              <w:t xml:space="preserve">S., </w:t>
            </w:r>
            <w:r w:rsidRPr="00131806">
              <w:rPr>
                <w:rFonts w:ascii="Times New Roman" w:hAnsi="Times New Roman" w:cs="Times New Roman"/>
                <w:color w:val="000000"/>
                <w:sz w:val="20"/>
                <w:szCs w:val="20"/>
              </w:rPr>
              <w:t xml:space="preserve">Kashiwagi, </w:t>
            </w:r>
            <w:r>
              <w:rPr>
                <w:rFonts w:ascii="Times New Roman" w:hAnsi="Times New Roman" w:cs="Times New Roman"/>
                <w:color w:val="000000"/>
                <w:sz w:val="20"/>
                <w:szCs w:val="20"/>
              </w:rPr>
              <w:t xml:space="preserve">M.,, </w:t>
            </w:r>
            <w:r w:rsidRPr="00131806">
              <w:rPr>
                <w:rFonts w:ascii="Times New Roman" w:hAnsi="Times New Roman" w:cs="Times New Roman"/>
                <w:color w:val="000000"/>
                <w:sz w:val="20"/>
                <w:szCs w:val="20"/>
              </w:rPr>
              <w:t xml:space="preserve">Bourquin, </w:t>
            </w:r>
            <w:r>
              <w:rPr>
                <w:rFonts w:ascii="Times New Roman" w:hAnsi="Times New Roman" w:cs="Times New Roman"/>
                <w:color w:val="000000"/>
                <w:sz w:val="20"/>
                <w:szCs w:val="20"/>
              </w:rPr>
              <w:t xml:space="preserve">R., </w:t>
            </w:r>
            <w:r w:rsidRPr="00131806">
              <w:rPr>
                <w:rFonts w:ascii="Times New Roman" w:hAnsi="Times New Roman" w:cs="Times New Roman"/>
                <w:color w:val="000000"/>
                <w:sz w:val="20"/>
                <w:szCs w:val="20"/>
              </w:rPr>
              <w:t>Weglein,</w:t>
            </w:r>
            <w:r>
              <w:rPr>
                <w:rFonts w:ascii="Times New Roman" w:hAnsi="Times New Roman" w:cs="Times New Roman"/>
                <w:color w:val="000000"/>
                <w:sz w:val="20"/>
                <w:szCs w:val="20"/>
              </w:rPr>
              <w:t xml:space="preserve"> S. &amp; </w:t>
            </w:r>
            <w:r w:rsidRPr="00131806">
              <w:rPr>
                <w:rFonts w:ascii="Times New Roman" w:hAnsi="Times New Roman" w:cs="Times New Roman"/>
                <w:color w:val="000000"/>
                <w:sz w:val="20"/>
                <w:szCs w:val="20"/>
              </w:rPr>
              <w:t>Schuster</w:t>
            </w:r>
            <w:r>
              <w:rPr>
                <w:rFonts w:ascii="Times New Roman" w:hAnsi="Times New Roman" w:cs="Times New Roman"/>
                <w:color w:val="000000"/>
                <w:sz w:val="20"/>
                <w:szCs w:val="20"/>
              </w:rPr>
              <w:t>, J.,</w:t>
            </w:r>
            <w:r w:rsidRPr="00131806">
              <w:rPr>
                <w:rFonts w:ascii="Times New Roman" w:hAnsi="Times New Roman" w:cs="Times New Roman"/>
                <w:color w:val="000000"/>
                <w:sz w:val="20"/>
                <w:szCs w:val="20"/>
              </w:rPr>
              <w:t xml:space="preserve"> 2012</w:t>
            </w:r>
            <w:r>
              <w:rPr>
                <w:rFonts w:ascii="Times New Roman" w:hAnsi="Times New Roman" w:cs="Times New Roman"/>
                <w:color w:val="000000"/>
                <w:sz w:val="20"/>
                <w:szCs w:val="20"/>
              </w:rPr>
              <w:t>, ‘</w:t>
            </w:r>
            <w:r w:rsidRPr="00131806">
              <w:rPr>
                <w:rFonts w:ascii="Times New Roman" w:hAnsi="Times New Roman" w:cs="Times New Roman"/>
                <w:color w:val="000000"/>
                <w:sz w:val="20"/>
                <w:szCs w:val="20"/>
              </w:rPr>
              <w:t>An assessment of a bait industry and angler behavior as a vector of invasive species</w:t>
            </w:r>
            <w:r>
              <w:rPr>
                <w:rFonts w:ascii="Times New Roman" w:hAnsi="Times New Roman" w:cs="Times New Roman"/>
                <w:color w:val="000000"/>
                <w:sz w:val="20"/>
                <w:szCs w:val="20"/>
              </w:rPr>
              <w:t xml:space="preserve">’, </w:t>
            </w:r>
            <w:r w:rsidRPr="00131806">
              <w:rPr>
                <w:rFonts w:ascii="Times New Roman" w:hAnsi="Times New Roman" w:cs="Times New Roman"/>
                <w:i/>
                <w:iCs/>
                <w:color w:val="000000"/>
                <w:sz w:val="20"/>
                <w:szCs w:val="20"/>
              </w:rPr>
              <w:t>Biological Invasions</w:t>
            </w:r>
            <w:r w:rsidRPr="005F57BE">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sidRPr="00131806">
              <w:rPr>
                <w:rFonts w:ascii="Times New Roman" w:hAnsi="Times New Roman" w:cs="Times New Roman"/>
                <w:color w:val="000000"/>
                <w:sz w:val="20"/>
                <w:szCs w:val="20"/>
              </w:rPr>
              <w:t>14(7)</w:t>
            </w:r>
            <w:r>
              <w:rPr>
                <w:rFonts w:ascii="Times New Roman" w:hAnsi="Times New Roman" w:cs="Times New Roman"/>
                <w:color w:val="000000"/>
                <w:sz w:val="20"/>
                <w:szCs w:val="20"/>
              </w:rPr>
              <w:t xml:space="preserve">, </w:t>
            </w:r>
            <w:r w:rsidRPr="00131806">
              <w:rPr>
                <w:rFonts w:ascii="Times New Roman" w:hAnsi="Times New Roman" w:cs="Times New Roman"/>
                <w:color w:val="000000"/>
                <w:sz w:val="20"/>
                <w:szCs w:val="20"/>
              </w:rPr>
              <w:t>1469-1481.</w:t>
            </w:r>
            <w:r>
              <w:rPr>
                <w:rFonts w:ascii="Times New Roman" w:hAnsi="Times New Roman" w:cs="Times New Roman"/>
                <w:color w:val="000000"/>
                <w:sz w:val="20"/>
                <w:szCs w:val="20"/>
              </w:rPr>
              <w:t xml:space="preserve"> </w:t>
            </w:r>
            <w:hyperlink r:id="rId409" w:history="1">
              <w:r w:rsidRPr="0018687D">
                <w:rPr>
                  <w:rStyle w:val="Hyperlink"/>
                  <w:rFonts w:ascii="Times New Roman" w:hAnsi="Times New Roman" w:cs="Times New Roman"/>
                  <w:sz w:val="20"/>
                  <w:szCs w:val="20"/>
                </w:rPr>
                <w:t>https://doi.org/10.1007/s10530-012-0173-5</w:t>
              </w:r>
            </w:hyperlink>
            <w:r w:rsidRPr="0018687D">
              <w:rPr>
                <w:rFonts w:ascii="Times New Roman" w:hAnsi="Times New Roman" w:cs="Times New Roman"/>
                <w:color w:val="000000"/>
                <w:sz w:val="20"/>
                <w:szCs w:val="20"/>
              </w:rPr>
              <w:t>.</w:t>
            </w:r>
          </w:p>
          <w:p w14:paraId="15469C56" w14:textId="77777777" w:rsidR="002D7080" w:rsidRDefault="002D7080" w:rsidP="002E2C37">
            <w:pPr>
              <w:ind w:left="720" w:hanging="720"/>
              <w:contextualSpacing/>
              <w:jc w:val="both"/>
              <w:rPr>
                <w:rFonts w:ascii="Times New Roman" w:hAnsi="Times New Roman" w:cs="Times New Roman"/>
                <w:color w:val="000000"/>
                <w:sz w:val="20"/>
                <w:szCs w:val="20"/>
              </w:rPr>
            </w:pPr>
            <w:r w:rsidRPr="00131806">
              <w:rPr>
                <w:rFonts w:ascii="Times New Roman" w:hAnsi="Times New Roman" w:cs="Times New Roman"/>
                <w:color w:val="000000"/>
                <w:sz w:val="20"/>
                <w:szCs w:val="20"/>
              </w:rPr>
              <w:lastRenderedPageBreak/>
              <w:t>Larson, E.R.</w:t>
            </w:r>
            <w:r>
              <w:rPr>
                <w:rFonts w:ascii="Times New Roman" w:hAnsi="Times New Roman" w:cs="Times New Roman"/>
                <w:color w:val="000000"/>
                <w:sz w:val="20"/>
                <w:szCs w:val="20"/>
              </w:rPr>
              <w:t xml:space="preserve"> &amp; </w:t>
            </w:r>
            <w:r w:rsidRPr="00131806">
              <w:rPr>
                <w:rFonts w:ascii="Times New Roman" w:hAnsi="Times New Roman" w:cs="Times New Roman"/>
                <w:color w:val="000000"/>
                <w:sz w:val="20"/>
                <w:szCs w:val="20"/>
              </w:rPr>
              <w:t>Olden</w:t>
            </w:r>
            <w:r>
              <w:rPr>
                <w:rFonts w:ascii="Times New Roman" w:hAnsi="Times New Roman" w:cs="Times New Roman"/>
                <w:color w:val="000000"/>
                <w:sz w:val="20"/>
                <w:szCs w:val="20"/>
              </w:rPr>
              <w:t xml:space="preserve">, J.D., </w:t>
            </w:r>
            <w:r w:rsidRPr="00131806">
              <w:rPr>
                <w:rFonts w:ascii="Times New Roman" w:hAnsi="Times New Roman" w:cs="Times New Roman"/>
                <w:color w:val="000000"/>
                <w:sz w:val="20"/>
                <w:szCs w:val="20"/>
              </w:rPr>
              <w:t>2011</w:t>
            </w:r>
            <w:r>
              <w:rPr>
                <w:rFonts w:ascii="Times New Roman" w:hAnsi="Times New Roman" w:cs="Times New Roman"/>
                <w:color w:val="000000"/>
                <w:sz w:val="20"/>
                <w:szCs w:val="20"/>
              </w:rPr>
              <w:t>,</w:t>
            </w:r>
            <w:r w:rsidRPr="00131806">
              <w:rPr>
                <w:rFonts w:ascii="Times New Roman" w:hAnsi="Times New Roman" w:cs="Times New Roman"/>
                <w:color w:val="000000"/>
                <w:sz w:val="20"/>
                <w:szCs w:val="20"/>
              </w:rPr>
              <w:t xml:space="preserve"> </w:t>
            </w:r>
            <w:r>
              <w:rPr>
                <w:rFonts w:ascii="Times New Roman" w:hAnsi="Times New Roman" w:cs="Times New Roman"/>
                <w:color w:val="000000"/>
                <w:sz w:val="20"/>
                <w:szCs w:val="20"/>
              </w:rPr>
              <w:t>‘</w:t>
            </w:r>
            <w:r w:rsidRPr="00131806">
              <w:rPr>
                <w:rFonts w:ascii="Times New Roman" w:hAnsi="Times New Roman" w:cs="Times New Roman"/>
                <w:color w:val="000000"/>
                <w:sz w:val="20"/>
                <w:szCs w:val="20"/>
              </w:rPr>
              <w:t>The state of crayfish in the Pacific Northwest</w:t>
            </w:r>
            <w:r>
              <w:rPr>
                <w:rFonts w:ascii="Times New Roman" w:hAnsi="Times New Roman" w:cs="Times New Roman"/>
                <w:color w:val="000000"/>
                <w:sz w:val="20"/>
                <w:szCs w:val="20"/>
              </w:rPr>
              <w:t xml:space="preserve">’, </w:t>
            </w:r>
            <w:r w:rsidRPr="00131806">
              <w:rPr>
                <w:rFonts w:ascii="Times New Roman" w:hAnsi="Times New Roman" w:cs="Times New Roman"/>
                <w:i/>
                <w:iCs/>
                <w:color w:val="000000"/>
                <w:sz w:val="20"/>
                <w:szCs w:val="20"/>
              </w:rPr>
              <w:t>Fisheries</w:t>
            </w:r>
            <w:r w:rsidRPr="00030376">
              <w:rPr>
                <w:rFonts w:ascii="Times New Roman" w:hAnsi="Times New Roman" w:cs="Times New Roman"/>
                <w:color w:val="000000"/>
                <w:sz w:val="20"/>
                <w:szCs w:val="20"/>
              </w:rPr>
              <w:t>,</w:t>
            </w:r>
            <w:r w:rsidRPr="00131806">
              <w:rPr>
                <w:rFonts w:ascii="Times New Roman" w:hAnsi="Times New Roman" w:cs="Times New Roman"/>
                <w:color w:val="000000"/>
                <w:sz w:val="20"/>
                <w:szCs w:val="20"/>
              </w:rPr>
              <w:t xml:space="preserve"> 36(2)</w:t>
            </w:r>
            <w:r>
              <w:rPr>
                <w:rFonts w:ascii="Times New Roman" w:hAnsi="Times New Roman" w:cs="Times New Roman"/>
                <w:color w:val="000000"/>
                <w:sz w:val="20"/>
                <w:szCs w:val="20"/>
              </w:rPr>
              <w:t xml:space="preserve">, </w:t>
            </w:r>
            <w:r w:rsidRPr="00131806">
              <w:rPr>
                <w:rFonts w:ascii="Times New Roman" w:hAnsi="Times New Roman" w:cs="Times New Roman"/>
                <w:color w:val="000000"/>
                <w:sz w:val="20"/>
                <w:szCs w:val="20"/>
              </w:rPr>
              <w:t>60-73.</w:t>
            </w:r>
            <w:r>
              <w:rPr>
                <w:rFonts w:ascii="Times New Roman" w:hAnsi="Times New Roman" w:cs="Times New Roman"/>
                <w:color w:val="000000"/>
                <w:sz w:val="20"/>
                <w:szCs w:val="20"/>
              </w:rPr>
              <w:t xml:space="preserve"> </w:t>
            </w:r>
            <w:hyperlink r:id="rId410" w:history="1">
              <w:r w:rsidRPr="00D26340">
                <w:rPr>
                  <w:rStyle w:val="Hyperlink"/>
                  <w:rFonts w:ascii="Times New Roman" w:hAnsi="Times New Roman" w:cs="Times New Roman"/>
                  <w:sz w:val="20"/>
                  <w:szCs w:val="20"/>
                </w:rPr>
                <w:t>https://doi.org/10.1577/03632415.2011.10389069</w:t>
              </w:r>
            </w:hyperlink>
            <w:r w:rsidRPr="00D26340">
              <w:rPr>
                <w:rFonts w:ascii="Times New Roman" w:hAnsi="Times New Roman" w:cs="Times New Roman"/>
                <w:color w:val="000000"/>
                <w:sz w:val="20"/>
                <w:szCs w:val="20"/>
              </w:rPr>
              <w:t>.</w:t>
            </w:r>
          </w:p>
          <w:p w14:paraId="50E85141" w14:textId="77777777" w:rsidR="002D7080" w:rsidRPr="004D1E6F"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4D1E6F">
              <w:rPr>
                <w:rFonts w:ascii="Times New Roman" w:eastAsia="Times New Roman" w:hAnsi="Times New Roman" w:cs="Times New Roman"/>
                <w:i/>
                <w:sz w:val="20"/>
                <w:szCs w:val="20"/>
                <w:lang w:eastAsia="en-ZA"/>
              </w:rPr>
              <w:t xml:space="preserve">Reviews in Fisheries Science &amp; Aquaculture </w:t>
            </w:r>
            <w:r w:rsidRPr="004D1E6F">
              <w:rPr>
                <w:rFonts w:ascii="Times New Roman" w:eastAsia="Times New Roman" w:hAnsi="Times New Roman" w:cs="Times New Roman"/>
                <w:sz w:val="20"/>
                <w:szCs w:val="20"/>
                <w:lang w:eastAsia="en-ZA"/>
              </w:rPr>
              <w:t>1-21</w:t>
            </w:r>
            <w:r w:rsidRPr="004D1E6F">
              <w:rPr>
                <w:rFonts w:ascii="Times New Roman" w:eastAsia="Times New Roman" w:hAnsi="Times New Roman" w:cs="Times New Roman"/>
                <w:i/>
                <w:sz w:val="20"/>
                <w:szCs w:val="20"/>
                <w:lang w:eastAsia="en-ZA"/>
              </w:rPr>
              <w:t>.</w:t>
            </w:r>
            <w:r w:rsidRPr="004D1E6F">
              <w:rPr>
                <w:rFonts w:ascii="Times New Roman" w:eastAsia="Times New Roman" w:hAnsi="Times New Roman" w:cs="Times New Roman"/>
                <w:iCs/>
                <w:sz w:val="20"/>
                <w:szCs w:val="20"/>
                <w:lang w:eastAsia="en-ZA"/>
              </w:rPr>
              <w:t xml:space="preserve"> </w:t>
            </w:r>
            <w:hyperlink w:history="1">
              <w:r w:rsidRPr="004D1E6F">
                <w:rPr>
                  <w:rStyle w:val="Hyperlink"/>
                  <w:rFonts w:ascii="Times New Roman" w:eastAsia="Times New Roman" w:hAnsi="Times New Roman" w:cs="Times New Roman"/>
                  <w:iCs/>
                  <w:sz w:val="20"/>
                  <w:szCs w:val="20"/>
                  <w:lang w:eastAsia="en-ZA"/>
                </w:rPr>
                <w:t>https://doi.org/10.1080/23308249.2020.1802405</w:t>
              </w:r>
            </w:hyperlink>
          </w:p>
        </w:tc>
      </w:tr>
      <w:tr w:rsidR="002D7080" w:rsidRPr="004D1E6F" w14:paraId="7C53109A" w14:textId="77777777" w:rsidTr="002E2C37">
        <w:trPr>
          <w:trHeight w:val="343"/>
        </w:trPr>
        <w:tc>
          <w:tcPr>
            <w:tcW w:w="9018" w:type="dxa"/>
            <w:gridSpan w:val="2"/>
            <w:shd w:val="clear" w:color="auto" w:fill="F2F2F2" w:themeFill="background1" w:themeFillShade="F2"/>
          </w:tcPr>
          <w:p w14:paraId="46170622"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lastRenderedPageBreak/>
              <w:t xml:space="preserve">MAN2b Environmental benefits of the </w:t>
            </w:r>
            <w:r w:rsidRPr="004D1E6F">
              <w:rPr>
                <w:rFonts w:ascii="Times New Roman" w:eastAsia="Times New Roman" w:hAnsi="Times New Roman" w:cs="Times New Roman"/>
                <w:b/>
                <w:i/>
                <w:color w:val="000000"/>
                <w:sz w:val="20"/>
                <w:szCs w:val="20"/>
                <w:lang w:eastAsia="en-ZA"/>
              </w:rPr>
              <w:t>Taxon</w:t>
            </w:r>
          </w:p>
        </w:tc>
      </w:tr>
      <w:tr w:rsidR="002D7080" w:rsidRPr="004D1E6F" w14:paraId="5B5ABA1F" w14:textId="77777777" w:rsidTr="002E2C37">
        <w:trPr>
          <w:trHeight w:val="259"/>
        </w:trPr>
        <w:tc>
          <w:tcPr>
            <w:tcW w:w="5240" w:type="dxa"/>
          </w:tcPr>
          <w:p w14:paraId="19B0E46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None</w:t>
            </w:r>
          </w:p>
        </w:tc>
        <w:tc>
          <w:tcPr>
            <w:tcW w:w="3778" w:type="dxa"/>
          </w:tcPr>
          <w:p w14:paraId="3235F73D"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p>
        </w:tc>
      </w:tr>
      <w:tr w:rsidR="002D7080" w:rsidRPr="004D1E6F" w14:paraId="07C5023D" w14:textId="77777777" w:rsidTr="002E2C37">
        <w:trPr>
          <w:trHeight w:val="343"/>
        </w:trPr>
        <w:tc>
          <w:tcPr>
            <w:tcW w:w="9018" w:type="dxa"/>
            <w:gridSpan w:val="2"/>
          </w:tcPr>
          <w:p w14:paraId="42A324B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No documented information available to assess the level of impact.</w:t>
            </w:r>
          </w:p>
        </w:tc>
      </w:tr>
      <w:tr w:rsidR="002D7080" w:rsidRPr="004D1E6F" w14:paraId="3940F63C" w14:textId="77777777" w:rsidTr="002E2C37">
        <w:trPr>
          <w:trHeight w:val="343"/>
        </w:trPr>
        <w:tc>
          <w:tcPr>
            <w:tcW w:w="9018" w:type="dxa"/>
            <w:gridSpan w:val="2"/>
          </w:tcPr>
          <w:p w14:paraId="2BF38BA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tc>
      </w:tr>
    </w:tbl>
    <w:p w14:paraId="0C33259B"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EA4DFF" w14:paraId="3D637C41" w14:textId="77777777" w:rsidTr="002E2C37">
        <w:trPr>
          <w:trHeight w:val="143"/>
        </w:trPr>
        <w:tc>
          <w:tcPr>
            <w:tcW w:w="9067" w:type="dxa"/>
            <w:gridSpan w:val="2"/>
            <w:shd w:val="clear" w:color="auto" w:fill="F2F2F2" w:themeFill="background1" w:themeFillShade="F2"/>
          </w:tcPr>
          <w:p w14:paraId="21365B91" w14:textId="77777777" w:rsidR="002D7080" w:rsidRPr="00EA4DFF" w:rsidRDefault="002D7080" w:rsidP="002E2C37">
            <w:pPr>
              <w:contextualSpacing/>
              <w:rPr>
                <w:rFonts w:ascii="Times New Roman" w:hAnsi="Times New Roman" w:cs="Times New Roman"/>
                <w:b/>
                <w:sz w:val="20"/>
                <w:szCs w:val="20"/>
              </w:rPr>
            </w:pPr>
            <w:r w:rsidRPr="00EA4DFF">
              <w:rPr>
                <w:rFonts w:ascii="Times New Roman" w:hAnsi="Times New Roman" w:cs="Times New Roman"/>
                <w:b/>
                <w:sz w:val="20"/>
                <w:szCs w:val="20"/>
              </w:rPr>
              <w:t>MAN3 Ease of management</w:t>
            </w:r>
          </w:p>
        </w:tc>
      </w:tr>
      <w:tr w:rsidR="002D7080" w:rsidRPr="00EA4DFF" w14:paraId="7423A4CE" w14:textId="77777777" w:rsidTr="002E2C37">
        <w:trPr>
          <w:trHeight w:val="343"/>
        </w:trPr>
        <w:tc>
          <w:tcPr>
            <w:tcW w:w="9067" w:type="dxa"/>
            <w:gridSpan w:val="2"/>
            <w:shd w:val="clear" w:color="auto" w:fill="F2F2F2" w:themeFill="background1" w:themeFillShade="F2"/>
          </w:tcPr>
          <w:p w14:paraId="2CA29465" w14:textId="77777777" w:rsidR="002D7080" w:rsidRPr="00EA4DFF" w:rsidRDefault="002D7080" w:rsidP="002E2C37">
            <w:pPr>
              <w:contextualSpacing/>
              <w:rPr>
                <w:rFonts w:ascii="Times New Roman" w:hAnsi="Times New Roman" w:cs="Times New Roman"/>
                <w:sz w:val="20"/>
                <w:szCs w:val="20"/>
              </w:rPr>
            </w:pPr>
            <w:r w:rsidRPr="00EA4DFF">
              <w:rPr>
                <w:rFonts w:ascii="Times New Roman" w:hAnsi="Times New Roman" w:cs="Times New Roman"/>
                <w:b/>
                <w:sz w:val="20"/>
                <w:szCs w:val="20"/>
              </w:rPr>
              <w:t>MAN3a How accessible are populations?</w:t>
            </w:r>
          </w:p>
        </w:tc>
      </w:tr>
      <w:tr w:rsidR="002D7080" w:rsidRPr="00EA4DFF" w14:paraId="5516533B" w14:textId="77777777" w:rsidTr="002E2C37">
        <w:trPr>
          <w:trHeight w:val="183"/>
        </w:trPr>
        <w:tc>
          <w:tcPr>
            <w:tcW w:w="5240" w:type="dxa"/>
          </w:tcPr>
          <w:p w14:paraId="167662EE" w14:textId="77777777" w:rsidR="002D7080" w:rsidRPr="00EA4DFF" w:rsidRDefault="002D7080" w:rsidP="002E2C37">
            <w:pPr>
              <w:contextualSpacing/>
              <w:rPr>
                <w:rFonts w:ascii="Times New Roman" w:hAnsi="Times New Roman" w:cs="Times New Roman"/>
                <w:sz w:val="20"/>
                <w:szCs w:val="20"/>
              </w:rPr>
            </w:pPr>
            <w:r w:rsidRPr="00EA4DFF">
              <w:rPr>
                <w:rFonts w:ascii="Times New Roman" w:hAnsi="Times New Roman" w:cs="Times New Roman"/>
                <w:sz w:val="20"/>
                <w:szCs w:val="20"/>
              </w:rPr>
              <w:t>Response: 2 (</w:t>
            </w:r>
            <w:r>
              <w:rPr>
                <w:rFonts w:ascii="Times New Roman" w:hAnsi="Times New Roman" w:cs="Times New Roman"/>
                <w:sz w:val="20"/>
                <w:szCs w:val="20"/>
              </w:rPr>
              <w:t>difficulty to access</w:t>
            </w:r>
            <w:r w:rsidRPr="00EA4DFF">
              <w:rPr>
                <w:rFonts w:ascii="Times New Roman" w:hAnsi="Times New Roman" w:cs="Times New Roman"/>
                <w:sz w:val="20"/>
                <w:szCs w:val="20"/>
              </w:rPr>
              <w:t>)</w:t>
            </w:r>
          </w:p>
        </w:tc>
        <w:tc>
          <w:tcPr>
            <w:tcW w:w="3827" w:type="dxa"/>
          </w:tcPr>
          <w:p w14:paraId="56BE141C" w14:textId="77777777" w:rsidR="002D7080" w:rsidRPr="00EA4DFF" w:rsidRDefault="002D7080" w:rsidP="002E2C37">
            <w:pPr>
              <w:contextualSpacing/>
              <w:rPr>
                <w:rFonts w:ascii="Times New Roman" w:hAnsi="Times New Roman" w:cs="Times New Roman"/>
                <w:sz w:val="20"/>
                <w:szCs w:val="20"/>
              </w:rPr>
            </w:pPr>
            <w:r w:rsidRPr="00EA4DFF">
              <w:rPr>
                <w:rFonts w:ascii="Times New Roman" w:hAnsi="Times New Roman" w:cs="Times New Roman"/>
                <w:sz w:val="20"/>
                <w:szCs w:val="20"/>
              </w:rPr>
              <w:t xml:space="preserve">Confidence: </w:t>
            </w:r>
            <w:r>
              <w:rPr>
                <w:rFonts w:ascii="Times New Roman" w:hAnsi="Times New Roman" w:cs="Times New Roman"/>
                <w:sz w:val="20"/>
                <w:szCs w:val="20"/>
              </w:rPr>
              <w:t>High</w:t>
            </w:r>
          </w:p>
        </w:tc>
      </w:tr>
      <w:tr w:rsidR="002D7080" w:rsidRPr="00EA4DFF" w14:paraId="647C5F87" w14:textId="77777777" w:rsidTr="002E2C37">
        <w:trPr>
          <w:trHeight w:val="163"/>
        </w:trPr>
        <w:tc>
          <w:tcPr>
            <w:tcW w:w="9067" w:type="dxa"/>
            <w:gridSpan w:val="2"/>
          </w:tcPr>
          <w:p w14:paraId="5483EF33" w14:textId="7405751E" w:rsidR="002D7080" w:rsidRPr="00EA4DFF" w:rsidRDefault="002D7080" w:rsidP="002E2C37">
            <w:pPr>
              <w:contextualSpacing/>
              <w:jc w:val="both"/>
              <w:rPr>
                <w:rFonts w:ascii="Times New Roman" w:hAnsi="Times New Roman" w:cs="Times New Roman"/>
                <w:sz w:val="20"/>
                <w:szCs w:val="20"/>
                <w:u w:val="single"/>
              </w:rPr>
            </w:pPr>
            <w:r w:rsidRPr="00EA4DFF">
              <w:rPr>
                <w:rFonts w:ascii="Times New Roman" w:hAnsi="Times New Roman" w:cs="Times New Roman"/>
                <w:sz w:val="20"/>
                <w:szCs w:val="20"/>
              </w:rPr>
              <w:t xml:space="preserve">Rationale: There are no locality records for </w:t>
            </w:r>
            <w:r w:rsidRPr="00EA4DFF">
              <w:rPr>
                <w:rFonts w:ascii="Times New Roman" w:hAnsi="Times New Roman" w:cs="Times New Roman"/>
                <w:i/>
                <w:iCs/>
                <w:sz w:val="20"/>
                <w:szCs w:val="20"/>
              </w:rPr>
              <w:t xml:space="preserve">Faxonius </w:t>
            </w:r>
            <w:r w:rsidR="008E030D">
              <w:rPr>
                <w:rFonts w:ascii="Times New Roman" w:hAnsi="Times New Roman" w:cs="Times New Roman"/>
                <w:i/>
                <w:iCs/>
                <w:sz w:val="20"/>
                <w:szCs w:val="20"/>
              </w:rPr>
              <w:t>virilis</w:t>
            </w:r>
            <w:r w:rsidR="008E030D" w:rsidRPr="00EA4DFF">
              <w:rPr>
                <w:rFonts w:ascii="Times New Roman" w:hAnsi="Times New Roman" w:cs="Times New Roman"/>
                <w:sz w:val="20"/>
                <w:szCs w:val="20"/>
              </w:rPr>
              <w:t xml:space="preserve"> </w:t>
            </w:r>
            <w:r w:rsidRPr="00EA4DFF">
              <w:rPr>
                <w:rFonts w:ascii="Times New Roman" w:hAnsi="Times New Roman" w:cs="Times New Roman"/>
                <w:sz w:val="20"/>
                <w:szCs w:val="20"/>
              </w:rPr>
              <w:t>in South Africa (Madzivanzira et al. 2021; Nunes et al. 2017). However, given that it is an aquatic species, accessibility is likely to be difficult.</w:t>
            </w:r>
          </w:p>
        </w:tc>
      </w:tr>
      <w:tr w:rsidR="002D7080" w:rsidRPr="00EA4DFF" w14:paraId="3E0E8F41" w14:textId="77777777" w:rsidTr="002E2C37">
        <w:trPr>
          <w:trHeight w:val="70"/>
        </w:trPr>
        <w:tc>
          <w:tcPr>
            <w:tcW w:w="9067" w:type="dxa"/>
            <w:gridSpan w:val="2"/>
          </w:tcPr>
          <w:p w14:paraId="12699C61" w14:textId="77777777" w:rsidR="002D7080" w:rsidRPr="00EA4DFF" w:rsidRDefault="002D7080" w:rsidP="002E2C37">
            <w:pPr>
              <w:contextualSpacing/>
              <w:jc w:val="both"/>
              <w:rPr>
                <w:rFonts w:ascii="Times New Roman" w:hAnsi="Times New Roman" w:cs="Times New Roman"/>
                <w:sz w:val="20"/>
                <w:szCs w:val="20"/>
              </w:rPr>
            </w:pPr>
            <w:r w:rsidRPr="00EA4DFF">
              <w:rPr>
                <w:rFonts w:ascii="Times New Roman" w:hAnsi="Times New Roman" w:cs="Times New Roman"/>
                <w:sz w:val="20"/>
                <w:szCs w:val="20"/>
              </w:rPr>
              <w:t>References:</w:t>
            </w:r>
          </w:p>
          <w:p w14:paraId="78A10303" w14:textId="77777777" w:rsidR="002D7080" w:rsidRPr="00EA4DFF" w:rsidRDefault="002D7080" w:rsidP="002E2C37">
            <w:pPr>
              <w:ind w:left="567" w:hanging="567"/>
              <w:contextualSpacing/>
              <w:jc w:val="both"/>
              <w:rPr>
                <w:rFonts w:ascii="Times New Roman" w:hAnsi="Times New Roman" w:cs="Times New Roman"/>
                <w:bCs/>
                <w:sz w:val="20"/>
                <w:szCs w:val="20"/>
              </w:rPr>
            </w:pPr>
            <w:r w:rsidRPr="00EA4DFF">
              <w:rPr>
                <w:rFonts w:ascii="Times New Roman" w:hAnsi="Times New Roman" w:cs="Times New Roman"/>
                <w:sz w:val="20"/>
                <w:szCs w:val="20"/>
              </w:rPr>
              <w:t>Madzivanzira, T</w:t>
            </w:r>
            <w:r>
              <w:rPr>
                <w:rFonts w:ascii="Times New Roman" w:hAnsi="Times New Roman" w:cs="Times New Roman"/>
                <w:sz w:val="20"/>
                <w:szCs w:val="20"/>
              </w:rPr>
              <w:t>.</w:t>
            </w:r>
            <w:r w:rsidRPr="00EA4DFF">
              <w:rPr>
                <w:rFonts w:ascii="Times New Roman" w:hAnsi="Times New Roman" w:cs="Times New Roman"/>
                <w:sz w:val="20"/>
                <w:szCs w:val="20"/>
              </w:rPr>
              <w:t>C</w:t>
            </w:r>
            <w:r>
              <w:rPr>
                <w:rFonts w:ascii="Times New Roman" w:hAnsi="Times New Roman" w:cs="Times New Roman"/>
                <w:sz w:val="20"/>
                <w:szCs w:val="20"/>
              </w:rPr>
              <w:t>.</w:t>
            </w:r>
            <w:r w:rsidRPr="00EA4DFF">
              <w:rPr>
                <w:rFonts w:ascii="Times New Roman" w:hAnsi="Times New Roman" w:cs="Times New Roman"/>
                <w:sz w:val="20"/>
                <w:szCs w:val="20"/>
              </w:rPr>
              <w:t>, South, J</w:t>
            </w:r>
            <w:r>
              <w:rPr>
                <w:rFonts w:ascii="Times New Roman" w:hAnsi="Times New Roman" w:cs="Times New Roman"/>
                <w:sz w:val="20"/>
                <w:szCs w:val="20"/>
              </w:rPr>
              <w:t>. &amp;</w:t>
            </w:r>
            <w:r w:rsidRPr="00EA4DFF">
              <w:rPr>
                <w:rFonts w:ascii="Times New Roman" w:hAnsi="Times New Roman" w:cs="Times New Roman"/>
                <w:sz w:val="20"/>
                <w:szCs w:val="20"/>
              </w:rPr>
              <w:t> Weyl, O</w:t>
            </w:r>
            <w:r>
              <w:rPr>
                <w:rFonts w:ascii="Times New Roman" w:hAnsi="Times New Roman" w:cs="Times New Roman"/>
                <w:sz w:val="20"/>
                <w:szCs w:val="20"/>
              </w:rPr>
              <w:t>.</w:t>
            </w:r>
            <w:r w:rsidRPr="00EA4DFF">
              <w:rPr>
                <w:rFonts w:ascii="Times New Roman" w:hAnsi="Times New Roman" w:cs="Times New Roman"/>
                <w:sz w:val="20"/>
                <w:szCs w:val="20"/>
              </w:rPr>
              <w:t>L</w:t>
            </w:r>
            <w:r>
              <w:rPr>
                <w:rFonts w:ascii="Times New Roman" w:hAnsi="Times New Roman" w:cs="Times New Roman"/>
                <w:sz w:val="20"/>
                <w:szCs w:val="20"/>
              </w:rPr>
              <w:t>.</w:t>
            </w:r>
            <w:r w:rsidRPr="00EA4DFF">
              <w:rPr>
                <w:rFonts w:ascii="Times New Roman" w:hAnsi="Times New Roman" w:cs="Times New Roman"/>
                <w:sz w:val="20"/>
                <w:szCs w:val="20"/>
              </w:rPr>
              <w:t>F.</w:t>
            </w:r>
            <w:r>
              <w:rPr>
                <w:rFonts w:ascii="Times New Roman" w:hAnsi="Times New Roman" w:cs="Times New Roman"/>
                <w:sz w:val="20"/>
                <w:szCs w:val="20"/>
              </w:rPr>
              <w:t>,</w:t>
            </w:r>
            <w:r w:rsidRPr="00EA4DFF">
              <w:rPr>
                <w:rFonts w:ascii="Times New Roman" w:hAnsi="Times New Roman" w:cs="Times New Roman"/>
                <w:sz w:val="20"/>
                <w:szCs w:val="20"/>
              </w:rPr>
              <w:t xml:space="preserve"> 2021, ‘Invasive crayfish outperform Potamonautid crabs at higher temperatures’, </w:t>
            </w:r>
            <w:r w:rsidRPr="00EA4DFF">
              <w:rPr>
                <w:rFonts w:ascii="Times New Roman" w:hAnsi="Times New Roman" w:cs="Times New Roman"/>
                <w:i/>
                <w:iCs/>
                <w:sz w:val="20"/>
                <w:szCs w:val="20"/>
              </w:rPr>
              <w:t>Freshwater Biology</w:t>
            </w:r>
            <w:r w:rsidRPr="00EA4DFF">
              <w:rPr>
                <w:rFonts w:ascii="Times New Roman" w:hAnsi="Times New Roman" w:cs="Times New Roman"/>
                <w:sz w:val="20"/>
                <w:szCs w:val="20"/>
              </w:rPr>
              <w:t> 66, 978–991. </w:t>
            </w:r>
            <w:hyperlink w:history="1">
              <w:r w:rsidRPr="00EA4DFF">
                <w:rPr>
                  <w:rStyle w:val="Hyperlink"/>
                  <w:rFonts w:ascii="Times New Roman" w:hAnsi="Times New Roman" w:cs="Times New Roman"/>
                  <w:sz w:val="20"/>
                  <w:szCs w:val="20"/>
                </w:rPr>
                <w:t>https://doi.org/10.1111/fwb.13691</w:t>
              </w:r>
            </w:hyperlink>
          </w:p>
          <w:p w14:paraId="53FD78C2" w14:textId="77777777" w:rsidR="002D7080" w:rsidRPr="00EA4DFF" w:rsidRDefault="002D7080" w:rsidP="002E2C37">
            <w:pPr>
              <w:ind w:left="567" w:hanging="567"/>
              <w:contextualSpacing/>
              <w:jc w:val="both"/>
              <w:rPr>
                <w:rFonts w:ascii="Times New Roman" w:hAnsi="Times New Roman" w:cs="Times New Roman"/>
                <w:sz w:val="20"/>
                <w:szCs w:val="20"/>
              </w:rPr>
            </w:pPr>
            <w:r w:rsidRPr="00EA4DFF">
              <w:rPr>
                <w:rFonts w:ascii="Times New Roman" w:hAnsi="Times New Roman" w:cs="Times New Roman"/>
                <w:sz w:val="20"/>
                <w:szCs w:val="20"/>
              </w:rPr>
              <w:t xml:space="preserve">Nunes, A.L., Zengeya, T.A., Measey, G.J. &amp; Weyl, O.L.F., 2017, ‘Freshwater crayfish invasions in South Africa: past, present and potential future’, </w:t>
            </w:r>
            <w:r w:rsidRPr="00EA4DFF">
              <w:rPr>
                <w:rFonts w:ascii="Times New Roman" w:hAnsi="Times New Roman" w:cs="Times New Roman"/>
                <w:i/>
                <w:sz w:val="20"/>
                <w:szCs w:val="20"/>
              </w:rPr>
              <w:t>African Journal of Aquatic Science</w:t>
            </w:r>
            <w:r w:rsidRPr="00EA4DFF">
              <w:rPr>
                <w:rFonts w:ascii="Times New Roman" w:hAnsi="Times New Roman" w:cs="Times New Roman"/>
                <w:sz w:val="20"/>
                <w:szCs w:val="20"/>
              </w:rPr>
              <w:t xml:space="preserve"> 42, 309–323, </w:t>
            </w:r>
            <w:hyperlink r:id="rId411" w:history="1">
              <w:r w:rsidRPr="000B0DAE">
                <w:rPr>
                  <w:rStyle w:val="Hyperlink"/>
                  <w:rFonts w:ascii="Times New Roman" w:hAnsi="Times New Roman" w:cs="Times New Roman"/>
                  <w:sz w:val="20"/>
                  <w:szCs w:val="20"/>
                </w:rPr>
                <w:t>https://doi.org/10.2989/16085914.2017.1405788</w:t>
              </w:r>
            </w:hyperlink>
            <w:r w:rsidRPr="00EA4DFF">
              <w:rPr>
                <w:rFonts w:ascii="Times New Roman" w:hAnsi="Times New Roman" w:cs="Times New Roman"/>
                <w:sz w:val="20"/>
                <w:szCs w:val="20"/>
              </w:rPr>
              <w:t>.</w:t>
            </w:r>
            <w:r>
              <w:rPr>
                <w:rFonts w:ascii="Times New Roman" w:hAnsi="Times New Roman" w:cs="Times New Roman"/>
                <w:sz w:val="20"/>
                <w:szCs w:val="20"/>
              </w:rPr>
              <w:t xml:space="preserve"> </w:t>
            </w:r>
          </w:p>
        </w:tc>
      </w:tr>
      <w:tr w:rsidR="002D7080" w:rsidRPr="00EA4DFF" w14:paraId="7881A181" w14:textId="77777777" w:rsidTr="002E2C37">
        <w:trPr>
          <w:trHeight w:val="170"/>
        </w:trPr>
        <w:tc>
          <w:tcPr>
            <w:tcW w:w="9067" w:type="dxa"/>
            <w:gridSpan w:val="2"/>
            <w:shd w:val="clear" w:color="auto" w:fill="F2F2F2" w:themeFill="background1" w:themeFillShade="F2"/>
          </w:tcPr>
          <w:p w14:paraId="4F9A9637" w14:textId="77777777" w:rsidR="002D7080" w:rsidRPr="00EA4DFF" w:rsidRDefault="002D7080" w:rsidP="002E2C37">
            <w:pPr>
              <w:contextualSpacing/>
              <w:rPr>
                <w:rFonts w:ascii="Times New Roman" w:hAnsi="Times New Roman" w:cs="Times New Roman"/>
                <w:sz w:val="20"/>
                <w:szCs w:val="20"/>
              </w:rPr>
            </w:pPr>
            <w:r w:rsidRPr="00EA4DFF">
              <w:rPr>
                <w:rFonts w:ascii="Times New Roman" w:hAnsi="Times New Roman" w:cs="Times New Roman"/>
                <w:b/>
                <w:sz w:val="20"/>
                <w:szCs w:val="20"/>
              </w:rPr>
              <w:t>MAN3b Is detectability critically time-dependent?</w:t>
            </w:r>
          </w:p>
        </w:tc>
      </w:tr>
      <w:tr w:rsidR="002D7080" w:rsidRPr="00EA4DFF" w14:paraId="445DD813" w14:textId="77777777" w:rsidTr="002E2C37">
        <w:trPr>
          <w:trHeight w:val="183"/>
        </w:trPr>
        <w:tc>
          <w:tcPr>
            <w:tcW w:w="5240" w:type="dxa"/>
          </w:tcPr>
          <w:p w14:paraId="201DD6CA" w14:textId="77777777" w:rsidR="002D7080" w:rsidRPr="00EA4DFF" w:rsidRDefault="002D7080" w:rsidP="002E2C37">
            <w:pPr>
              <w:contextualSpacing/>
              <w:jc w:val="both"/>
              <w:rPr>
                <w:rFonts w:ascii="Times New Roman" w:hAnsi="Times New Roman" w:cs="Times New Roman"/>
                <w:sz w:val="20"/>
                <w:szCs w:val="20"/>
              </w:rPr>
            </w:pPr>
            <w:r w:rsidRPr="004D1E6F">
              <w:rPr>
                <w:rFonts w:ascii="Times New Roman" w:eastAsia="Times New Roman" w:hAnsi="Times New Roman" w:cs="Times New Roman"/>
                <w:color w:val="000000"/>
                <w:sz w:val="20"/>
                <w:szCs w:val="20"/>
                <w:lang w:eastAsia="en-ZA"/>
              </w:rPr>
              <w:t>Response: 2 (yes)</w:t>
            </w:r>
          </w:p>
        </w:tc>
        <w:tc>
          <w:tcPr>
            <w:tcW w:w="3827" w:type="dxa"/>
          </w:tcPr>
          <w:p w14:paraId="33C5BFDA" w14:textId="77777777" w:rsidR="002D7080" w:rsidRPr="00EA4DFF" w:rsidRDefault="002D7080" w:rsidP="002E2C37">
            <w:pPr>
              <w:contextualSpacing/>
              <w:jc w:val="both"/>
              <w:rPr>
                <w:rFonts w:ascii="Times New Roman" w:hAnsi="Times New Roman" w:cs="Times New Roman"/>
                <w:sz w:val="20"/>
                <w:szCs w:val="20"/>
              </w:rPr>
            </w:pPr>
            <w:r w:rsidRPr="004D1E6F">
              <w:rPr>
                <w:rFonts w:ascii="Times New Roman" w:eastAsia="Times New Roman" w:hAnsi="Times New Roman" w:cs="Times New Roman"/>
                <w:color w:val="000000"/>
                <w:sz w:val="20"/>
                <w:szCs w:val="20"/>
                <w:lang w:eastAsia="en-ZA"/>
              </w:rPr>
              <w:t xml:space="preserve">Confidence: High </w:t>
            </w:r>
          </w:p>
        </w:tc>
      </w:tr>
      <w:tr w:rsidR="002D7080" w:rsidRPr="00EA4DFF" w14:paraId="62FF463A" w14:textId="77777777" w:rsidTr="002E2C37">
        <w:trPr>
          <w:trHeight w:val="70"/>
        </w:trPr>
        <w:tc>
          <w:tcPr>
            <w:tcW w:w="9067" w:type="dxa"/>
            <w:gridSpan w:val="2"/>
          </w:tcPr>
          <w:p w14:paraId="5F372E7C" w14:textId="77777777" w:rsidR="002D7080" w:rsidRPr="00EA4DFF" w:rsidRDefault="002D7080" w:rsidP="002E2C37">
            <w:pPr>
              <w:contextualSpacing/>
              <w:jc w:val="both"/>
              <w:rPr>
                <w:rFonts w:ascii="Times New Roman" w:hAnsi="Times New Roman" w:cs="Times New Roman"/>
                <w:i/>
                <w:sz w:val="20"/>
                <w:szCs w:val="20"/>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i/>
                <w:sz w:val="20"/>
                <w:szCs w:val="20"/>
                <w:lang w:eastAsia="en-ZA"/>
              </w:rPr>
              <w:t>Faxonius</w:t>
            </w:r>
            <w:r>
              <w:rPr>
                <w:rFonts w:ascii="Times New Roman" w:eastAsia="Times New Roman" w:hAnsi="Times New Roman" w:cs="Times New Roman"/>
                <w:i/>
                <w:sz w:val="20"/>
                <w:szCs w:val="20"/>
                <w:lang w:eastAsia="en-ZA"/>
              </w:rPr>
              <w:t xml:space="preserve"> virilis</w:t>
            </w:r>
            <w:r w:rsidRPr="004D1E6F">
              <w:rPr>
                <w:rFonts w:ascii="Times New Roman" w:eastAsia="Times New Roman" w:hAnsi="Times New Roman" w:cs="Times New Roman"/>
                <w:i/>
                <w:sz w:val="20"/>
                <w:szCs w:val="20"/>
                <w:lang w:eastAsia="en-ZA"/>
              </w:rPr>
              <w:t xml:space="preserve"> </w:t>
            </w:r>
            <w:r w:rsidRPr="004D1E6F">
              <w:rPr>
                <w:rFonts w:ascii="Times New Roman" w:eastAsia="Times New Roman" w:hAnsi="Times New Roman" w:cs="Times New Roman"/>
                <w:sz w:val="20"/>
                <w:szCs w:val="20"/>
                <w:lang w:eastAsia="en-ZA"/>
              </w:rPr>
              <w:t>is a small, largely nocturnal freshwater species that is difficult to detect (</w:t>
            </w:r>
            <w:r>
              <w:rPr>
                <w:rFonts w:ascii="Times New Roman" w:eastAsia="Times New Roman" w:hAnsi="Times New Roman" w:cs="Times New Roman"/>
                <w:sz w:val="20"/>
                <w:szCs w:val="20"/>
                <w:lang w:eastAsia="en-ZA"/>
              </w:rPr>
              <w:t xml:space="preserve">Hamr </w:t>
            </w:r>
            <w:r w:rsidRPr="004D1E6F">
              <w:rPr>
                <w:rFonts w:ascii="Times New Roman" w:hAnsi="Times New Roman" w:cs="Times New Roman"/>
                <w:sz w:val="20"/>
                <w:szCs w:val="20"/>
                <w:shd w:val="clear" w:color="auto" w:fill="FFFFFF"/>
              </w:rPr>
              <w:t>200</w:t>
            </w:r>
            <w:r>
              <w:rPr>
                <w:rFonts w:ascii="Times New Roman" w:hAnsi="Times New Roman" w:cs="Times New Roman"/>
                <w:sz w:val="20"/>
                <w:szCs w:val="20"/>
                <w:shd w:val="clear" w:color="auto" w:fill="FFFFFF"/>
              </w:rPr>
              <w:t>2</w:t>
            </w:r>
            <w:r w:rsidRPr="004D1E6F">
              <w:rPr>
                <w:rFonts w:ascii="Times New Roman" w:hAnsi="Times New Roman" w:cs="Times New Roman"/>
                <w:sz w:val="20"/>
                <w:szCs w:val="20"/>
                <w:shd w:val="clear" w:color="auto" w:fill="FFFFFF"/>
              </w:rPr>
              <w:t>).</w:t>
            </w:r>
          </w:p>
        </w:tc>
      </w:tr>
      <w:tr w:rsidR="002D7080" w:rsidRPr="00EA4DFF" w14:paraId="60BAB66A" w14:textId="77777777" w:rsidTr="002E2C37">
        <w:trPr>
          <w:trHeight w:val="70"/>
        </w:trPr>
        <w:tc>
          <w:tcPr>
            <w:tcW w:w="9067" w:type="dxa"/>
            <w:gridSpan w:val="2"/>
          </w:tcPr>
          <w:p w14:paraId="76361095" w14:textId="77777777" w:rsidR="002D7080" w:rsidRPr="00A8240A" w:rsidRDefault="002D7080" w:rsidP="002E2C37">
            <w:pPr>
              <w:ind w:left="450" w:hanging="450"/>
              <w:jc w:val="both"/>
              <w:rPr>
                <w:rFonts w:ascii="Times New Roman" w:eastAsia="Times New Roman" w:hAnsi="Times New Roman" w:cs="Times New Roman"/>
                <w:color w:val="000000"/>
                <w:sz w:val="20"/>
                <w:szCs w:val="20"/>
                <w:lang w:eastAsia="en-ZA"/>
              </w:rPr>
            </w:pPr>
            <w:r w:rsidRPr="00A8240A">
              <w:rPr>
                <w:rFonts w:ascii="Times New Roman" w:eastAsia="Times New Roman" w:hAnsi="Times New Roman" w:cs="Times New Roman"/>
                <w:color w:val="000000"/>
                <w:sz w:val="20"/>
                <w:szCs w:val="20"/>
                <w:lang w:eastAsia="en-ZA"/>
              </w:rPr>
              <w:t xml:space="preserve">References: </w:t>
            </w:r>
          </w:p>
          <w:p w14:paraId="13272B74" w14:textId="77777777" w:rsidR="002D7080" w:rsidRPr="00EA4DFF" w:rsidRDefault="002D7080" w:rsidP="002E2C37">
            <w:pPr>
              <w:ind w:left="540" w:hanging="540"/>
              <w:contextualSpacing/>
              <w:jc w:val="both"/>
              <w:rPr>
                <w:rFonts w:ascii="Times New Roman" w:hAnsi="Times New Roman" w:cs="Times New Roman"/>
                <w:sz w:val="20"/>
                <w:szCs w:val="20"/>
              </w:rPr>
            </w:pPr>
            <w:r w:rsidRPr="00241CCD">
              <w:rPr>
                <w:rFonts w:ascii="Times New Roman" w:hAnsi="Times New Roman" w:cs="Times New Roman"/>
                <w:color w:val="000000" w:themeColor="text1"/>
                <w:sz w:val="20"/>
                <w:szCs w:val="20"/>
                <w:shd w:val="clear" w:color="auto" w:fill="FFFFFF"/>
              </w:rPr>
              <w:t xml:space="preserve">Hamr, P., 2002. </w:t>
            </w:r>
            <w:r w:rsidRPr="00241CCD">
              <w:rPr>
                <w:rFonts w:ascii="Times New Roman" w:hAnsi="Times New Roman" w:cs="Times New Roman"/>
                <w:i/>
                <w:iCs/>
                <w:color w:val="000000" w:themeColor="text1"/>
                <w:sz w:val="20"/>
                <w:szCs w:val="20"/>
                <w:shd w:val="clear" w:color="auto" w:fill="FFFFFF"/>
              </w:rPr>
              <w:t>Orconectes</w:t>
            </w:r>
            <w:r w:rsidRPr="00241CCD">
              <w:rPr>
                <w:rFonts w:ascii="Times New Roman" w:hAnsi="Times New Roman" w:cs="Times New Roman"/>
                <w:color w:val="000000" w:themeColor="text1"/>
                <w:sz w:val="20"/>
                <w:szCs w:val="20"/>
                <w:shd w:val="clear" w:color="auto" w:fill="FFFFFF"/>
              </w:rPr>
              <w:t>. In: </w:t>
            </w:r>
            <w:r w:rsidRPr="00241CCD">
              <w:rPr>
                <w:rStyle w:val="Emphasis"/>
                <w:rFonts w:ascii="Times New Roman" w:hAnsi="Times New Roman" w:cs="Times New Roman"/>
                <w:color w:val="000000" w:themeColor="text1"/>
                <w:sz w:val="20"/>
                <w:szCs w:val="20"/>
                <w:shd w:val="clear" w:color="auto" w:fill="FFFFFF"/>
              </w:rPr>
              <w:t>Biology of freshwater crayfish</w:t>
            </w:r>
            <w:r w:rsidRPr="00241CCD">
              <w:rPr>
                <w:rFonts w:ascii="Times New Roman" w:hAnsi="Times New Roman" w:cs="Times New Roman"/>
                <w:color w:val="000000" w:themeColor="text1"/>
                <w:sz w:val="20"/>
                <w:szCs w:val="20"/>
                <w:shd w:val="clear" w:color="auto" w:fill="FFFFFF"/>
              </w:rPr>
              <w:t>, [ed. by Holdich, D. M.]. Oxford, UK: Blackwell Science. 585-608.</w:t>
            </w:r>
          </w:p>
        </w:tc>
      </w:tr>
      <w:tr w:rsidR="002D7080" w:rsidRPr="00EA4DFF" w14:paraId="4E40F04E" w14:textId="77777777" w:rsidTr="002E2C37">
        <w:trPr>
          <w:trHeight w:val="343"/>
        </w:trPr>
        <w:tc>
          <w:tcPr>
            <w:tcW w:w="9067" w:type="dxa"/>
            <w:gridSpan w:val="2"/>
            <w:shd w:val="clear" w:color="auto" w:fill="F2F2F2" w:themeFill="background1" w:themeFillShade="F2"/>
          </w:tcPr>
          <w:p w14:paraId="75F4DFF7" w14:textId="77777777" w:rsidR="002D7080" w:rsidRPr="00EA4DFF" w:rsidRDefault="002D7080" w:rsidP="002E2C37">
            <w:pPr>
              <w:contextualSpacing/>
              <w:jc w:val="both"/>
              <w:rPr>
                <w:rFonts w:ascii="Times New Roman" w:hAnsi="Times New Roman" w:cs="Times New Roman"/>
                <w:sz w:val="20"/>
                <w:szCs w:val="20"/>
              </w:rPr>
            </w:pPr>
            <w:r w:rsidRPr="00EA4DFF">
              <w:rPr>
                <w:rFonts w:ascii="Times New Roman" w:hAnsi="Times New Roman" w:cs="Times New Roman"/>
                <w:b/>
                <w:sz w:val="20"/>
                <w:szCs w:val="20"/>
              </w:rPr>
              <w:t>MAN3c Time to reproduction</w:t>
            </w:r>
          </w:p>
        </w:tc>
      </w:tr>
      <w:tr w:rsidR="002D7080" w:rsidRPr="00EA4DFF" w14:paraId="2019E2ED" w14:textId="77777777" w:rsidTr="002E2C37">
        <w:trPr>
          <w:trHeight w:val="183"/>
        </w:trPr>
        <w:tc>
          <w:tcPr>
            <w:tcW w:w="5240" w:type="dxa"/>
          </w:tcPr>
          <w:p w14:paraId="2C4FB7A1" w14:textId="77777777" w:rsidR="002D7080" w:rsidRPr="00EA4DFF" w:rsidRDefault="002D7080" w:rsidP="002E2C37">
            <w:pPr>
              <w:contextualSpacing/>
              <w:jc w:val="both"/>
              <w:rPr>
                <w:rFonts w:ascii="Times New Roman" w:hAnsi="Times New Roman" w:cs="Times New Roman"/>
                <w:sz w:val="20"/>
                <w:szCs w:val="20"/>
              </w:rPr>
            </w:pPr>
            <w:r w:rsidRPr="004D1E6F">
              <w:rPr>
                <w:rFonts w:ascii="Times New Roman" w:eastAsia="Times New Roman" w:hAnsi="Times New Roman" w:cs="Times New Roman"/>
                <w:color w:val="000000"/>
                <w:sz w:val="20"/>
                <w:szCs w:val="20"/>
                <w:lang w:eastAsia="en-ZA"/>
              </w:rPr>
              <w:t>Response: 1 (1-3 years)</w:t>
            </w:r>
          </w:p>
        </w:tc>
        <w:tc>
          <w:tcPr>
            <w:tcW w:w="3827" w:type="dxa"/>
          </w:tcPr>
          <w:p w14:paraId="0944666C" w14:textId="77777777" w:rsidR="002D7080" w:rsidRPr="00EA4DFF" w:rsidRDefault="002D7080" w:rsidP="002E2C37">
            <w:pPr>
              <w:contextualSpacing/>
              <w:jc w:val="both"/>
              <w:rPr>
                <w:rFonts w:ascii="Times New Roman" w:hAnsi="Times New Roman" w:cs="Times New Roman"/>
                <w:sz w:val="20"/>
                <w:szCs w:val="20"/>
              </w:rPr>
            </w:pPr>
            <w:r w:rsidRPr="004D1E6F">
              <w:rPr>
                <w:rFonts w:ascii="Times New Roman" w:eastAsia="Times New Roman" w:hAnsi="Times New Roman" w:cs="Times New Roman"/>
                <w:color w:val="000000"/>
                <w:sz w:val="20"/>
                <w:szCs w:val="20"/>
                <w:lang w:eastAsia="en-ZA"/>
              </w:rPr>
              <w:t>Confidence: High</w:t>
            </w:r>
          </w:p>
        </w:tc>
      </w:tr>
      <w:tr w:rsidR="002D7080" w:rsidRPr="00EA4DFF" w14:paraId="1416CDE5" w14:textId="77777777" w:rsidTr="002E2C37">
        <w:trPr>
          <w:trHeight w:val="287"/>
        </w:trPr>
        <w:tc>
          <w:tcPr>
            <w:tcW w:w="9067" w:type="dxa"/>
            <w:gridSpan w:val="2"/>
          </w:tcPr>
          <w:p w14:paraId="1C235F96" w14:textId="77777777" w:rsidR="002D7080" w:rsidRPr="00EA4DFF" w:rsidRDefault="002D7080" w:rsidP="002E2C37">
            <w:pPr>
              <w:contextualSpacing/>
              <w:jc w:val="both"/>
              <w:rPr>
                <w:rFonts w:ascii="Times New Roman" w:hAnsi="Times New Roman" w:cs="Times New Roman"/>
                <w:sz w:val="20"/>
                <w:szCs w:val="20"/>
              </w:rPr>
            </w:pPr>
            <w:r w:rsidRPr="004D1E6F">
              <w:rPr>
                <w:rFonts w:ascii="Times New Roman" w:eastAsia="Times New Roman" w:hAnsi="Times New Roman" w:cs="Times New Roman"/>
                <w:color w:val="000000"/>
                <w:sz w:val="20"/>
                <w:szCs w:val="20"/>
                <w:lang w:eastAsia="en-ZA"/>
              </w:rPr>
              <w:t xml:space="preserve">Rationale: </w:t>
            </w:r>
            <w:r w:rsidRPr="009E7247">
              <w:rPr>
                <w:rFonts w:ascii="Times New Roman" w:eastAsia="Times New Roman" w:hAnsi="Times New Roman" w:cs="Times New Roman"/>
                <w:i/>
                <w:sz w:val="20"/>
                <w:szCs w:val="20"/>
                <w:lang w:eastAsia="en-ZA"/>
              </w:rPr>
              <w:t>Faxonius</w:t>
            </w:r>
            <w:r>
              <w:rPr>
                <w:rFonts w:ascii="Times New Roman" w:eastAsia="Times New Roman" w:hAnsi="Times New Roman" w:cs="Times New Roman"/>
                <w:i/>
                <w:sz w:val="20"/>
                <w:szCs w:val="20"/>
                <w:lang w:eastAsia="en-ZA"/>
              </w:rPr>
              <w:t xml:space="preserve"> virilis</w:t>
            </w:r>
            <w:r w:rsidRPr="009E7247">
              <w:rPr>
                <w:rFonts w:ascii="Times New Roman" w:eastAsia="Times New Roman" w:hAnsi="Times New Roman" w:cs="Times New Roman"/>
                <w:sz w:val="20"/>
                <w:szCs w:val="20"/>
                <w:lang w:eastAsia="en-ZA"/>
              </w:rPr>
              <w:t xml:space="preserve"> reach sexual maturity in one-two years (</w:t>
            </w:r>
            <w:r>
              <w:rPr>
                <w:rFonts w:ascii="Times New Roman" w:eastAsia="Times New Roman" w:hAnsi="Times New Roman" w:cs="Times New Roman"/>
                <w:sz w:val="20"/>
                <w:szCs w:val="20"/>
                <w:lang w:eastAsia="en-ZA"/>
              </w:rPr>
              <w:t xml:space="preserve">Corey 1987; </w:t>
            </w:r>
            <w:r w:rsidRPr="009E7247">
              <w:rPr>
                <w:rFonts w:ascii="Times New Roman" w:eastAsia="Times New Roman" w:hAnsi="Times New Roman" w:cs="Times New Roman"/>
                <w:sz w:val="20"/>
                <w:szCs w:val="20"/>
                <w:lang w:eastAsia="en-ZA"/>
              </w:rPr>
              <w:t>Hamr 2002</w:t>
            </w:r>
            <w:r w:rsidRPr="009E7247">
              <w:rPr>
                <w:rFonts w:ascii="Times New Roman" w:hAnsi="Times New Roman" w:cs="Times New Roman"/>
                <w:sz w:val="20"/>
                <w:szCs w:val="20"/>
                <w:shd w:val="clear" w:color="auto" w:fill="FFFFFF"/>
              </w:rPr>
              <w:t>)</w:t>
            </w:r>
            <w:r w:rsidRPr="009E7247">
              <w:rPr>
                <w:rFonts w:ascii="Times New Roman" w:eastAsia="Times New Roman" w:hAnsi="Times New Roman" w:cs="Times New Roman"/>
                <w:sz w:val="20"/>
                <w:szCs w:val="20"/>
                <w:lang w:eastAsia="en-ZA"/>
              </w:rPr>
              <w:t>.</w:t>
            </w:r>
          </w:p>
        </w:tc>
      </w:tr>
      <w:tr w:rsidR="002D7080" w:rsidRPr="00EA4DFF" w14:paraId="01934D9A" w14:textId="77777777" w:rsidTr="002E2C37">
        <w:trPr>
          <w:trHeight w:val="70"/>
        </w:trPr>
        <w:tc>
          <w:tcPr>
            <w:tcW w:w="9067" w:type="dxa"/>
            <w:gridSpan w:val="2"/>
          </w:tcPr>
          <w:p w14:paraId="49E579D8"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03804164" w14:textId="77777777" w:rsidR="002D7080" w:rsidRPr="00EA4DFF" w:rsidRDefault="002D7080" w:rsidP="002E2C37">
            <w:pPr>
              <w:ind w:left="540" w:hanging="540"/>
              <w:contextualSpacing/>
              <w:jc w:val="both"/>
              <w:rPr>
                <w:rFonts w:ascii="Times New Roman" w:hAnsi="Times New Roman" w:cs="Times New Roman"/>
                <w:b/>
                <w:bCs/>
                <w:sz w:val="20"/>
                <w:szCs w:val="20"/>
              </w:rPr>
            </w:pPr>
            <w:r w:rsidRPr="00D56F65">
              <w:rPr>
                <w:rFonts w:ascii="Times New Roman" w:hAnsi="Times New Roman" w:cs="Times New Roman"/>
                <w:sz w:val="20"/>
                <w:szCs w:val="20"/>
                <w:shd w:val="clear" w:color="auto" w:fill="FFFFFF"/>
              </w:rPr>
              <w:t>Corey, S., 1987</w:t>
            </w:r>
            <w:r>
              <w:rPr>
                <w:rFonts w:ascii="Times New Roman" w:hAnsi="Times New Roman" w:cs="Times New Roman"/>
                <w:sz w:val="20"/>
                <w:szCs w:val="20"/>
                <w:shd w:val="clear" w:color="auto" w:fill="FFFFFF"/>
              </w:rPr>
              <w:t>, ‘C</w:t>
            </w:r>
            <w:r w:rsidRPr="00D56F65">
              <w:rPr>
                <w:rFonts w:ascii="Times New Roman" w:hAnsi="Times New Roman" w:cs="Times New Roman"/>
                <w:sz w:val="20"/>
                <w:szCs w:val="20"/>
                <w:shd w:val="clear" w:color="auto" w:fill="FFFFFF"/>
              </w:rPr>
              <w:t>omparitive fecundity of four species of crayfish in southwestern Ontario, Canada (Decapoda, Astacidea)</w:t>
            </w:r>
            <w:r>
              <w:rPr>
                <w:rFonts w:ascii="Times New Roman" w:hAnsi="Times New Roman" w:cs="Times New Roman"/>
                <w:sz w:val="20"/>
                <w:szCs w:val="20"/>
                <w:shd w:val="clear" w:color="auto" w:fill="FFFFFF"/>
              </w:rPr>
              <w:t xml:space="preserve">’, </w:t>
            </w:r>
            <w:r w:rsidRPr="00D56F65">
              <w:rPr>
                <w:rStyle w:val="Emphasis"/>
                <w:rFonts w:ascii="Times New Roman" w:hAnsi="Times New Roman" w:cs="Times New Roman"/>
                <w:sz w:val="20"/>
                <w:szCs w:val="20"/>
                <w:shd w:val="clear" w:color="auto" w:fill="FFFFFF"/>
              </w:rPr>
              <w:t>Crustaceana</w:t>
            </w:r>
            <w:r w:rsidRPr="00D56F65">
              <w:rPr>
                <w:rFonts w:ascii="Times New Roman" w:hAnsi="Times New Roman" w:cs="Times New Roman"/>
                <w:sz w:val="20"/>
                <w:szCs w:val="20"/>
                <w:shd w:val="clear" w:color="auto" w:fill="FFFFFF"/>
              </w:rPr>
              <w:t>, 52</w:t>
            </w:r>
            <w:r>
              <w:rPr>
                <w:rFonts w:ascii="Times New Roman" w:hAnsi="Times New Roman" w:cs="Times New Roman"/>
                <w:sz w:val="20"/>
                <w:szCs w:val="20"/>
                <w:shd w:val="clear" w:color="auto" w:fill="FFFFFF"/>
              </w:rPr>
              <w:t xml:space="preserve">, </w:t>
            </w:r>
            <w:r w:rsidRPr="00D56F65">
              <w:rPr>
                <w:rFonts w:ascii="Times New Roman" w:hAnsi="Times New Roman" w:cs="Times New Roman"/>
                <w:sz w:val="20"/>
                <w:szCs w:val="20"/>
                <w:shd w:val="clear" w:color="auto" w:fill="FFFFFF"/>
              </w:rPr>
              <w:t>276-286.</w:t>
            </w:r>
            <w:r>
              <w:rPr>
                <w:rFonts w:ascii="Times New Roman" w:hAnsi="Times New Roman" w:cs="Times New Roman"/>
                <w:sz w:val="20"/>
                <w:szCs w:val="20"/>
                <w:shd w:val="clear" w:color="auto" w:fill="FFFFFF"/>
              </w:rPr>
              <w:t xml:space="preserve"> </w:t>
            </w:r>
            <w:hyperlink r:id="rId412" w:tgtFrame="_blank" w:history="1">
              <w:r w:rsidRPr="001638EB">
                <w:rPr>
                  <w:rStyle w:val="Hyperlink"/>
                  <w:rFonts w:ascii="Times New Roman" w:hAnsi="Times New Roman" w:cs="Times New Roman"/>
                  <w:bCs/>
                  <w:sz w:val="20"/>
                  <w:szCs w:val="20"/>
                  <w:shd w:val="clear" w:color="auto" w:fill="FFFFFF"/>
                </w:rPr>
                <w:t>https://doi.org/10.1163/156854087X00510</w:t>
              </w:r>
            </w:hyperlink>
            <w:r w:rsidRPr="001638EB">
              <w:rPr>
                <w:rFonts w:ascii="Times New Roman" w:hAnsi="Times New Roman" w:cs="Times New Roman"/>
                <w:sz w:val="20"/>
                <w:szCs w:val="20"/>
                <w:shd w:val="clear" w:color="auto" w:fill="FFFFFF"/>
              </w:rPr>
              <w:t>.</w:t>
            </w:r>
            <w:r>
              <w:rPr>
                <w:rFonts w:ascii="Times New Roman" w:hAnsi="Times New Roman" w:cs="Times New Roman"/>
                <w:sz w:val="20"/>
                <w:szCs w:val="20"/>
                <w:shd w:val="clear" w:color="auto" w:fill="FFFFFF"/>
              </w:rPr>
              <w:t xml:space="preserve"> </w:t>
            </w:r>
          </w:p>
          <w:p w14:paraId="6A595EB6" w14:textId="77777777" w:rsidR="002D7080" w:rsidRPr="00EA4DFF" w:rsidRDefault="002D7080" w:rsidP="002E2C37">
            <w:pPr>
              <w:ind w:left="540" w:hanging="540"/>
              <w:contextualSpacing/>
              <w:jc w:val="both"/>
              <w:rPr>
                <w:rFonts w:ascii="Times New Roman" w:hAnsi="Times New Roman" w:cs="Times New Roman"/>
                <w:b/>
                <w:bCs/>
                <w:sz w:val="20"/>
                <w:szCs w:val="20"/>
              </w:rPr>
            </w:pPr>
            <w:r w:rsidRPr="00D56F65">
              <w:rPr>
                <w:rFonts w:ascii="Times New Roman" w:hAnsi="Times New Roman" w:cs="Times New Roman"/>
                <w:sz w:val="20"/>
                <w:szCs w:val="20"/>
                <w:shd w:val="clear" w:color="auto" w:fill="FFFFFF"/>
              </w:rPr>
              <w:t xml:space="preserve">Hamr, P., 2002. </w:t>
            </w:r>
            <w:r w:rsidRPr="00D56F65">
              <w:rPr>
                <w:rFonts w:ascii="Times New Roman" w:hAnsi="Times New Roman" w:cs="Times New Roman"/>
                <w:i/>
                <w:iCs/>
                <w:sz w:val="20"/>
                <w:szCs w:val="20"/>
                <w:shd w:val="clear" w:color="auto" w:fill="FFFFFF"/>
              </w:rPr>
              <w:t>Orconectes</w:t>
            </w:r>
            <w:r w:rsidRPr="00D56F65">
              <w:rPr>
                <w:rFonts w:ascii="Times New Roman" w:hAnsi="Times New Roman" w:cs="Times New Roman"/>
                <w:sz w:val="20"/>
                <w:szCs w:val="20"/>
                <w:shd w:val="clear" w:color="auto" w:fill="FFFFFF"/>
              </w:rPr>
              <w:t>. In: </w:t>
            </w:r>
            <w:r w:rsidRPr="00D56F65">
              <w:rPr>
                <w:rStyle w:val="Emphasis"/>
                <w:rFonts w:ascii="Times New Roman" w:hAnsi="Times New Roman" w:cs="Times New Roman"/>
                <w:sz w:val="20"/>
                <w:szCs w:val="20"/>
                <w:shd w:val="clear" w:color="auto" w:fill="FFFFFF"/>
              </w:rPr>
              <w:t>Biology of freshwater crayfish</w:t>
            </w:r>
            <w:r w:rsidRPr="00D56F65">
              <w:rPr>
                <w:rFonts w:ascii="Times New Roman" w:hAnsi="Times New Roman" w:cs="Times New Roman"/>
                <w:sz w:val="20"/>
                <w:szCs w:val="20"/>
                <w:shd w:val="clear" w:color="auto" w:fill="FFFFFF"/>
              </w:rPr>
              <w:t>, [ed. by Holdich, D. M.]. Oxford, UK: Blackwell Science. 585-608.</w:t>
            </w:r>
          </w:p>
        </w:tc>
      </w:tr>
      <w:tr w:rsidR="002D7080" w:rsidRPr="00EA4DFF" w14:paraId="37F58C16" w14:textId="77777777" w:rsidTr="002E2C37">
        <w:trPr>
          <w:trHeight w:val="343"/>
        </w:trPr>
        <w:tc>
          <w:tcPr>
            <w:tcW w:w="9067" w:type="dxa"/>
            <w:gridSpan w:val="2"/>
            <w:shd w:val="clear" w:color="auto" w:fill="F2F2F2" w:themeFill="background1" w:themeFillShade="F2"/>
          </w:tcPr>
          <w:p w14:paraId="0B14CC7D" w14:textId="77777777" w:rsidR="002D7080" w:rsidRPr="00EA4DFF" w:rsidRDefault="002D7080" w:rsidP="002E2C37">
            <w:pPr>
              <w:contextualSpacing/>
              <w:jc w:val="both"/>
              <w:rPr>
                <w:rFonts w:ascii="Times New Roman" w:hAnsi="Times New Roman" w:cs="Times New Roman"/>
                <w:sz w:val="20"/>
                <w:szCs w:val="20"/>
              </w:rPr>
            </w:pPr>
            <w:r w:rsidRPr="00EA4DFF">
              <w:rPr>
                <w:rFonts w:ascii="Times New Roman" w:hAnsi="Times New Roman" w:cs="Times New Roman"/>
                <w:b/>
                <w:sz w:val="20"/>
                <w:szCs w:val="20"/>
              </w:rPr>
              <w:t>MAN3d Propagule persistence</w:t>
            </w:r>
          </w:p>
        </w:tc>
      </w:tr>
      <w:tr w:rsidR="002D7080" w:rsidRPr="00EA4DFF" w14:paraId="338F5B8F" w14:textId="77777777" w:rsidTr="002E2C37">
        <w:trPr>
          <w:trHeight w:val="183"/>
        </w:trPr>
        <w:tc>
          <w:tcPr>
            <w:tcW w:w="5240" w:type="dxa"/>
          </w:tcPr>
          <w:p w14:paraId="620C0191" w14:textId="77777777" w:rsidR="002D7080" w:rsidRPr="00EA4DFF" w:rsidRDefault="002D7080" w:rsidP="002E2C37">
            <w:pPr>
              <w:contextualSpacing/>
              <w:jc w:val="both"/>
              <w:rPr>
                <w:rFonts w:ascii="Times New Roman" w:hAnsi="Times New Roman" w:cs="Times New Roman"/>
                <w:sz w:val="20"/>
                <w:szCs w:val="20"/>
              </w:rPr>
            </w:pPr>
            <w:r w:rsidRPr="00EA4DFF">
              <w:rPr>
                <w:rFonts w:ascii="Times New Roman" w:hAnsi="Times New Roman" w:cs="Times New Roman"/>
                <w:sz w:val="20"/>
                <w:szCs w:val="20"/>
              </w:rPr>
              <w:t>Response:</w:t>
            </w:r>
            <w:r>
              <w:rPr>
                <w:rFonts w:ascii="Times New Roman" w:hAnsi="Times New Roman" w:cs="Times New Roman"/>
                <w:sz w:val="20"/>
                <w:szCs w:val="20"/>
              </w:rPr>
              <w:t xml:space="preserve"> 0 </w:t>
            </w:r>
            <w:r w:rsidRPr="00EA4DFF">
              <w:rPr>
                <w:rFonts w:ascii="Times New Roman" w:hAnsi="Times New Roman" w:cs="Times New Roman"/>
                <w:sz w:val="20"/>
                <w:szCs w:val="20"/>
              </w:rPr>
              <w:t>(</w:t>
            </w:r>
            <w:r>
              <w:rPr>
                <w:rFonts w:ascii="Times New Roman" w:hAnsi="Times New Roman" w:cs="Times New Roman"/>
                <w:sz w:val="20"/>
                <w:szCs w:val="20"/>
              </w:rPr>
              <w:t>&lt;</w:t>
            </w:r>
            <w:r w:rsidRPr="00EA4DFF">
              <w:rPr>
                <w:rFonts w:ascii="Times New Roman" w:hAnsi="Times New Roman" w:cs="Times New Roman"/>
                <w:sz w:val="20"/>
                <w:szCs w:val="20"/>
              </w:rPr>
              <w:t>1</w:t>
            </w:r>
            <w:r>
              <w:rPr>
                <w:rFonts w:ascii="Times New Roman" w:hAnsi="Times New Roman" w:cs="Times New Roman"/>
                <w:sz w:val="20"/>
                <w:szCs w:val="20"/>
              </w:rPr>
              <w:t xml:space="preserve"> </w:t>
            </w:r>
            <w:r w:rsidRPr="00EA4DFF">
              <w:rPr>
                <w:rFonts w:ascii="Times New Roman" w:hAnsi="Times New Roman" w:cs="Times New Roman"/>
                <w:sz w:val="20"/>
                <w:szCs w:val="20"/>
              </w:rPr>
              <w:t>year)</w:t>
            </w:r>
          </w:p>
        </w:tc>
        <w:tc>
          <w:tcPr>
            <w:tcW w:w="3827" w:type="dxa"/>
          </w:tcPr>
          <w:p w14:paraId="01A50A78" w14:textId="77777777" w:rsidR="002D7080" w:rsidRPr="00EA4DFF" w:rsidRDefault="002D7080" w:rsidP="002E2C37">
            <w:pPr>
              <w:contextualSpacing/>
              <w:jc w:val="both"/>
              <w:rPr>
                <w:rFonts w:ascii="Times New Roman" w:hAnsi="Times New Roman" w:cs="Times New Roman"/>
                <w:sz w:val="20"/>
                <w:szCs w:val="20"/>
              </w:rPr>
            </w:pPr>
            <w:r w:rsidRPr="00EA4DFF">
              <w:rPr>
                <w:rFonts w:ascii="Times New Roman" w:hAnsi="Times New Roman" w:cs="Times New Roman"/>
                <w:sz w:val="20"/>
                <w:szCs w:val="20"/>
              </w:rPr>
              <w:t>Confidence: High</w:t>
            </w:r>
          </w:p>
        </w:tc>
      </w:tr>
      <w:tr w:rsidR="002D7080" w:rsidRPr="00EA4DFF" w14:paraId="45257233" w14:textId="77777777" w:rsidTr="002E2C37">
        <w:trPr>
          <w:trHeight w:val="195"/>
        </w:trPr>
        <w:tc>
          <w:tcPr>
            <w:tcW w:w="9067" w:type="dxa"/>
            <w:gridSpan w:val="2"/>
          </w:tcPr>
          <w:p w14:paraId="1DB85F1C" w14:textId="77777777" w:rsidR="002D7080" w:rsidRPr="00EA4DFF" w:rsidRDefault="002D7080" w:rsidP="002E2C37">
            <w:pPr>
              <w:contextualSpacing/>
              <w:jc w:val="both"/>
              <w:rPr>
                <w:rFonts w:ascii="Times New Roman" w:hAnsi="Times New Roman" w:cs="Times New Roman"/>
                <w:sz w:val="20"/>
                <w:szCs w:val="20"/>
              </w:rPr>
            </w:pPr>
            <w:r w:rsidRPr="00EA4DFF">
              <w:rPr>
                <w:rFonts w:ascii="Times New Roman" w:hAnsi="Times New Roman" w:cs="Times New Roman"/>
                <w:sz w:val="20"/>
                <w:szCs w:val="20"/>
              </w:rPr>
              <w:t>Rationale:</w:t>
            </w:r>
            <w:r w:rsidRPr="00EA4DFF">
              <w:rPr>
                <w:rFonts w:ascii="Times New Roman" w:hAnsi="Times New Roman" w:cs="Times New Roman"/>
                <w:i/>
                <w:iCs/>
                <w:sz w:val="20"/>
                <w:szCs w:val="20"/>
              </w:rPr>
              <w:t xml:space="preserve"> </w:t>
            </w:r>
            <w:r w:rsidRPr="009E7247">
              <w:rPr>
                <w:rFonts w:ascii="Times New Roman" w:eastAsia="Times New Roman" w:hAnsi="Times New Roman" w:cs="Times New Roman"/>
                <w:i/>
                <w:sz w:val="20"/>
                <w:szCs w:val="20"/>
                <w:lang w:eastAsia="en-ZA"/>
              </w:rPr>
              <w:t>Faxonius</w:t>
            </w:r>
            <w:r>
              <w:rPr>
                <w:rFonts w:ascii="Times New Roman" w:eastAsia="Times New Roman" w:hAnsi="Times New Roman" w:cs="Times New Roman"/>
                <w:i/>
                <w:sz w:val="20"/>
                <w:szCs w:val="20"/>
                <w:lang w:eastAsia="en-ZA"/>
              </w:rPr>
              <w:t xml:space="preserve"> virilis</w:t>
            </w:r>
            <w:r w:rsidRPr="009E7247">
              <w:rPr>
                <w:rFonts w:ascii="Times New Roman" w:eastAsia="Times New Roman" w:hAnsi="Times New Roman" w:cs="Times New Roman"/>
                <w:sz w:val="20"/>
                <w:szCs w:val="20"/>
                <w:lang w:eastAsia="en-ZA"/>
              </w:rPr>
              <w:t xml:space="preserve"> are </w:t>
            </w:r>
            <w:r w:rsidRPr="009E7247">
              <w:rPr>
                <w:rFonts w:ascii="Times New Roman" w:eastAsia="Times New Roman" w:hAnsi="Times New Roman" w:cs="Times New Roman"/>
                <w:iCs/>
                <w:sz w:val="20"/>
                <w:szCs w:val="20"/>
                <w:lang w:eastAsia="en-ZA"/>
              </w:rPr>
              <w:t>highly fecund,</w:t>
            </w:r>
            <w:r w:rsidRPr="009E7247">
              <w:rPr>
                <w:rFonts w:ascii="Times New Roman" w:eastAsia="Times New Roman" w:hAnsi="Times New Roman" w:cs="Times New Roman"/>
                <w:sz w:val="20"/>
                <w:szCs w:val="20"/>
                <w:lang w:eastAsia="en-ZA"/>
              </w:rPr>
              <w:t xml:space="preserve"> a female produces up to </w:t>
            </w:r>
            <w:r>
              <w:rPr>
                <w:rFonts w:ascii="Times New Roman" w:eastAsia="Times New Roman" w:hAnsi="Times New Roman" w:cs="Times New Roman"/>
                <w:sz w:val="20"/>
                <w:szCs w:val="20"/>
                <w:lang w:eastAsia="en-ZA"/>
              </w:rPr>
              <w:t>310</w:t>
            </w:r>
            <w:r w:rsidRPr="009E7247">
              <w:rPr>
                <w:rFonts w:ascii="Times New Roman" w:eastAsia="Times New Roman" w:hAnsi="Times New Roman" w:cs="Times New Roman"/>
                <w:sz w:val="20"/>
                <w:szCs w:val="20"/>
                <w:lang w:eastAsia="en-ZA"/>
              </w:rPr>
              <w:t xml:space="preserve"> eggs, </w:t>
            </w:r>
            <w:r>
              <w:rPr>
                <w:rFonts w:ascii="Times New Roman" w:eastAsia="Times New Roman" w:hAnsi="Times New Roman" w:cs="Times New Roman"/>
                <w:sz w:val="20"/>
                <w:szCs w:val="20"/>
                <w:lang w:eastAsia="en-ZA"/>
              </w:rPr>
              <w:t xml:space="preserve">is able to </w:t>
            </w:r>
            <w:r w:rsidRPr="009E7247">
              <w:rPr>
                <w:rFonts w:ascii="Times New Roman" w:hAnsi="Times New Roman" w:cs="Times New Roman"/>
                <w:sz w:val="20"/>
                <w:szCs w:val="20"/>
              </w:rPr>
              <w:t xml:space="preserve">store sperm </w:t>
            </w:r>
            <w:r w:rsidRPr="009E7247">
              <w:rPr>
                <w:rFonts w:ascii="Times New Roman" w:eastAsia="Times New Roman" w:hAnsi="Times New Roman" w:cs="Times New Roman"/>
                <w:sz w:val="20"/>
                <w:szCs w:val="20"/>
                <w:lang w:eastAsia="en-ZA"/>
              </w:rPr>
              <w:t xml:space="preserve">and </w:t>
            </w:r>
            <w:r>
              <w:rPr>
                <w:rFonts w:ascii="Times New Roman" w:eastAsia="Times New Roman" w:hAnsi="Times New Roman" w:cs="Times New Roman"/>
                <w:sz w:val="20"/>
                <w:szCs w:val="20"/>
                <w:lang w:eastAsia="en-ZA"/>
              </w:rPr>
              <w:t>there is s</w:t>
            </w:r>
            <w:r w:rsidRPr="009E7247">
              <w:rPr>
                <w:rFonts w:ascii="Times New Roman" w:eastAsia="Times New Roman" w:hAnsi="Times New Roman" w:cs="Times New Roman"/>
                <w:sz w:val="20"/>
                <w:szCs w:val="20"/>
                <w:lang w:eastAsia="en-ZA"/>
              </w:rPr>
              <w:t xml:space="preserve">ome parental care of eggs and hatchlings (Hamr 2002; </w:t>
            </w:r>
            <w:r>
              <w:rPr>
                <w:rFonts w:ascii="Times New Roman" w:eastAsia="Times New Roman" w:hAnsi="Times New Roman" w:cs="Times New Roman"/>
                <w:sz w:val="20"/>
                <w:szCs w:val="20"/>
                <w:lang w:eastAsia="en-ZA"/>
              </w:rPr>
              <w:t>Corey 1987</w:t>
            </w:r>
            <w:r w:rsidRPr="009E7247">
              <w:rPr>
                <w:rFonts w:ascii="Times New Roman" w:hAnsi="Times New Roman" w:cs="Times New Roman"/>
                <w:sz w:val="20"/>
                <w:szCs w:val="20"/>
                <w:shd w:val="clear" w:color="auto" w:fill="FFFFFF"/>
              </w:rPr>
              <w:t>)</w:t>
            </w:r>
            <w:r w:rsidRPr="009E7247">
              <w:rPr>
                <w:rFonts w:ascii="Times New Roman" w:eastAsia="Times New Roman" w:hAnsi="Times New Roman" w:cs="Times New Roman"/>
                <w:sz w:val="20"/>
                <w:szCs w:val="20"/>
                <w:lang w:eastAsia="en-ZA"/>
              </w:rPr>
              <w:t xml:space="preserve">. </w:t>
            </w:r>
          </w:p>
        </w:tc>
      </w:tr>
      <w:tr w:rsidR="002D7080" w:rsidRPr="00EA4DFF" w14:paraId="2EB196E6" w14:textId="77777777" w:rsidTr="002E2C37">
        <w:trPr>
          <w:trHeight w:val="99"/>
        </w:trPr>
        <w:tc>
          <w:tcPr>
            <w:tcW w:w="9067" w:type="dxa"/>
            <w:gridSpan w:val="2"/>
          </w:tcPr>
          <w:p w14:paraId="489AF97D" w14:textId="77777777" w:rsidR="002D7080" w:rsidRPr="00EA4DFF" w:rsidRDefault="002D7080" w:rsidP="002E2C37">
            <w:pPr>
              <w:contextualSpacing/>
              <w:jc w:val="both"/>
              <w:rPr>
                <w:rFonts w:ascii="Times New Roman" w:hAnsi="Times New Roman" w:cs="Times New Roman"/>
                <w:sz w:val="20"/>
                <w:szCs w:val="20"/>
              </w:rPr>
            </w:pPr>
            <w:r w:rsidRPr="00EA4DFF">
              <w:rPr>
                <w:rFonts w:ascii="Times New Roman" w:hAnsi="Times New Roman" w:cs="Times New Roman"/>
                <w:sz w:val="20"/>
                <w:szCs w:val="20"/>
              </w:rPr>
              <w:t>References:</w:t>
            </w:r>
          </w:p>
          <w:p w14:paraId="7C62023A" w14:textId="77777777" w:rsidR="002D7080" w:rsidRDefault="002D7080" w:rsidP="002E2C37">
            <w:pPr>
              <w:ind w:left="540" w:hanging="540"/>
              <w:contextualSpacing/>
              <w:jc w:val="both"/>
              <w:rPr>
                <w:rFonts w:ascii="Times New Roman" w:hAnsi="Times New Roman" w:cs="Times New Roman"/>
                <w:sz w:val="20"/>
                <w:szCs w:val="20"/>
                <w:shd w:val="clear" w:color="auto" w:fill="FFFFFF"/>
              </w:rPr>
            </w:pPr>
            <w:r w:rsidRPr="00D56F65">
              <w:rPr>
                <w:rFonts w:ascii="Times New Roman" w:hAnsi="Times New Roman" w:cs="Times New Roman"/>
                <w:sz w:val="20"/>
                <w:szCs w:val="20"/>
                <w:shd w:val="clear" w:color="auto" w:fill="FFFFFF"/>
              </w:rPr>
              <w:t>Corey, S., 1987</w:t>
            </w:r>
            <w:r>
              <w:rPr>
                <w:rFonts w:ascii="Times New Roman" w:hAnsi="Times New Roman" w:cs="Times New Roman"/>
                <w:sz w:val="20"/>
                <w:szCs w:val="20"/>
                <w:shd w:val="clear" w:color="auto" w:fill="FFFFFF"/>
              </w:rPr>
              <w:t>,</w:t>
            </w:r>
            <w:r w:rsidRPr="00D56F65">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w:t>
            </w:r>
            <w:r w:rsidRPr="00D56F65">
              <w:rPr>
                <w:rFonts w:ascii="Times New Roman" w:hAnsi="Times New Roman" w:cs="Times New Roman"/>
                <w:sz w:val="20"/>
                <w:szCs w:val="20"/>
                <w:shd w:val="clear" w:color="auto" w:fill="FFFFFF"/>
              </w:rPr>
              <w:t>Comparitive fecundity of four species of crayfish in southwestern Ontario, Canada (Decapoda, Astacidea)</w:t>
            </w:r>
            <w:r>
              <w:rPr>
                <w:rFonts w:ascii="Times New Roman" w:hAnsi="Times New Roman" w:cs="Times New Roman"/>
                <w:sz w:val="20"/>
                <w:szCs w:val="20"/>
                <w:shd w:val="clear" w:color="auto" w:fill="FFFFFF"/>
              </w:rPr>
              <w:t xml:space="preserve">’, </w:t>
            </w:r>
            <w:r w:rsidRPr="00D56F65">
              <w:rPr>
                <w:rStyle w:val="Emphasis"/>
                <w:rFonts w:ascii="Times New Roman" w:hAnsi="Times New Roman" w:cs="Times New Roman"/>
                <w:sz w:val="20"/>
                <w:szCs w:val="20"/>
                <w:shd w:val="clear" w:color="auto" w:fill="FFFFFF"/>
              </w:rPr>
              <w:t>Crustaceana</w:t>
            </w:r>
            <w:r w:rsidRPr="00D56F65">
              <w:rPr>
                <w:rFonts w:ascii="Times New Roman" w:hAnsi="Times New Roman" w:cs="Times New Roman"/>
                <w:sz w:val="20"/>
                <w:szCs w:val="20"/>
                <w:shd w:val="clear" w:color="auto" w:fill="FFFFFF"/>
              </w:rPr>
              <w:t>, 52</w:t>
            </w:r>
            <w:r>
              <w:rPr>
                <w:rFonts w:ascii="Times New Roman" w:hAnsi="Times New Roman" w:cs="Times New Roman"/>
                <w:sz w:val="20"/>
                <w:szCs w:val="20"/>
                <w:shd w:val="clear" w:color="auto" w:fill="FFFFFF"/>
              </w:rPr>
              <w:t xml:space="preserve">, </w:t>
            </w:r>
            <w:r w:rsidRPr="00D56F65">
              <w:rPr>
                <w:rFonts w:ascii="Times New Roman" w:hAnsi="Times New Roman" w:cs="Times New Roman"/>
                <w:sz w:val="20"/>
                <w:szCs w:val="20"/>
                <w:shd w:val="clear" w:color="auto" w:fill="FFFFFF"/>
              </w:rPr>
              <w:t>276-286.</w:t>
            </w:r>
            <w:r>
              <w:rPr>
                <w:rFonts w:ascii="Times New Roman" w:hAnsi="Times New Roman" w:cs="Times New Roman"/>
                <w:sz w:val="20"/>
                <w:szCs w:val="20"/>
                <w:shd w:val="clear" w:color="auto" w:fill="FFFFFF"/>
              </w:rPr>
              <w:t xml:space="preserve"> </w:t>
            </w:r>
            <w:hyperlink r:id="rId413" w:tgtFrame="_blank" w:history="1">
              <w:r w:rsidRPr="001638EB">
                <w:rPr>
                  <w:rStyle w:val="Hyperlink"/>
                  <w:rFonts w:ascii="Times New Roman" w:hAnsi="Times New Roman" w:cs="Times New Roman"/>
                  <w:bCs/>
                  <w:sz w:val="20"/>
                  <w:szCs w:val="20"/>
                  <w:shd w:val="clear" w:color="auto" w:fill="FFFFFF"/>
                </w:rPr>
                <w:t>https://doi.org/10.1163/156854087X00510</w:t>
              </w:r>
            </w:hyperlink>
            <w:r w:rsidRPr="001638EB">
              <w:rPr>
                <w:rFonts w:ascii="Times New Roman" w:hAnsi="Times New Roman" w:cs="Times New Roman"/>
                <w:sz w:val="20"/>
                <w:szCs w:val="20"/>
                <w:shd w:val="clear" w:color="auto" w:fill="FFFFFF"/>
              </w:rPr>
              <w:t>.</w:t>
            </w:r>
          </w:p>
          <w:p w14:paraId="56FC78C2" w14:textId="77777777" w:rsidR="002D7080" w:rsidRPr="00EA4DFF" w:rsidRDefault="002D7080" w:rsidP="002E2C37">
            <w:pPr>
              <w:ind w:left="540" w:hanging="540"/>
              <w:contextualSpacing/>
              <w:jc w:val="both"/>
              <w:rPr>
                <w:rFonts w:ascii="Times New Roman" w:hAnsi="Times New Roman" w:cs="Times New Roman"/>
                <w:sz w:val="20"/>
                <w:szCs w:val="20"/>
              </w:rPr>
            </w:pPr>
            <w:r w:rsidRPr="00D56F65">
              <w:rPr>
                <w:rFonts w:ascii="Times New Roman" w:hAnsi="Times New Roman" w:cs="Times New Roman"/>
                <w:sz w:val="20"/>
                <w:szCs w:val="20"/>
                <w:shd w:val="clear" w:color="auto" w:fill="FFFFFF"/>
              </w:rPr>
              <w:t xml:space="preserve">Hamr, P., 2002. </w:t>
            </w:r>
            <w:r w:rsidRPr="00D56F65">
              <w:rPr>
                <w:rFonts w:ascii="Times New Roman" w:hAnsi="Times New Roman" w:cs="Times New Roman"/>
                <w:i/>
                <w:iCs/>
                <w:sz w:val="20"/>
                <w:szCs w:val="20"/>
                <w:shd w:val="clear" w:color="auto" w:fill="FFFFFF"/>
              </w:rPr>
              <w:t>Orconectes</w:t>
            </w:r>
            <w:r w:rsidRPr="00D56F65">
              <w:rPr>
                <w:rFonts w:ascii="Times New Roman" w:hAnsi="Times New Roman" w:cs="Times New Roman"/>
                <w:sz w:val="20"/>
                <w:szCs w:val="20"/>
                <w:shd w:val="clear" w:color="auto" w:fill="FFFFFF"/>
              </w:rPr>
              <w:t>. In: </w:t>
            </w:r>
            <w:r w:rsidRPr="00D56F65">
              <w:rPr>
                <w:rStyle w:val="Emphasis"/>
                <w:rFonts w:ascii="Times New Roman" w:hAnsi="Times New Roman" w:cs="Times New Roman"/>
                <w:sz w:val="20"/>
                <w:szCs w:val="20"/>
                <w:shd w:val="clear" w:color="auto" w:fill="FFFFFF"/>
              </w:rPr>
              <w:t>Biology of freshwater crayfish</w:t>
            </w:r>
            <w:r w:rsidRPr="00D56F65">
              <w:rPr>
                <w:rFonts w:ascii="Times New Roman" w:hAnsi="Times New Roman" w:cs="Times New Roman"/>
                <w:sz w:val="20"/>
                <w:szCs w:val="20"/>
                <w:shd w:val="clear" w:color="auto" w:fill="FFFFFF"/>
              </w:rPr>
              <w:t>, [ed. by Holdich, D. M.]. Oxford, UK: Blackwell Science. 585-608.</w:t>
            </w:r>
          </w:p>
        </w:tc>
      </w:tr>
      <w:tr w:rsidR="002D7080" w:rsidRPr="00EA4DFF" w14:paraId="2F8AD25B" w14:textId="77777777" w:rsidTr="002E2C37">
        <w:trPr>
          <w:trHeight w:val="343"/>
        </w:trPr>
        <w:tc>
          <w:tcPr>
            <w:tcW w:w="9067" w:type="dxa"/>
            <w:gridSpan w:val="2"/>
            <w:shd w:val="clear" w:color="auto" w:fill="F2F2F2" w:themeFill="background1" w:themeFillShade="F2"/>
          </w:tcPr>
          <w:p w14:paraId="6DF6C906" w14:textId="77777777" w:rsidR="002D7080" w:rsidRPr="00EA4DFF" w:rsidRDefault="002D7080" w:rsidP="002E2C37">
            <w:pPr>
              <w:contextualSpacing/>
              <w:jc w:val="both"/>
              <w:rPr>
                <w:rFonts w:ascii="Times New Roman" w:hAnsi="Times New Roman" w:cs="Times New Roman"/>
                <w:sz w:val="20"/>
                <w:szCs w:val="20"/>
              </w:rPr>
            </w:pPr>
            <w:r w:rsidRPr="00EA4DFF">
              <w:rPr>
                <w:rFonts w:ascii="Times New Roman" w:hAnsi="Times New Roman" w:cs="Times New Roman"/>
                <w:b/>
                <w:sz w:val="20"/>
                <w:szCs w:val="20"/>
              </w:rPr>
              <w:t xml:space="preserve">MAN3 Ease of management </w:t>
            </w:r>
          </w:p>
        </w:tc>
      </w:tr>
      <w:tr w:rsidR="002D7080" w:rsidRPr="00EA4DFF" w14:paraId="06442AAF" w14:textId="77777777" w:rsidTr="002E2C37">
        <w:trPr>
          <w:trHeight w:val="172"/>
        </w:trPr>
        <w:tc>
          <w:tcPr>
            <w:tcW w:w="5240" w:type="dxa"/>
          </w:tcPr>
          <w:p w14:paraId="7BB4CB8A" w14:textId="77777777" w:rsidR="002D7080" w:rsidRPr="00EA4DFF" w:rsidRDefault="002D7080" w:rsidP="002E2C37">
            <w:pPr>
              <w:contextualSpacing/>
              <w:jc w:val="both"/>
              <w:rPr>
                <w:rFonts w:ascii="Times New Roman" w:hAnsi="Times New Roman" w:cs="Times New Roman"/>
                <w:sz w:val="20"/>
                <w:szCs w:val="20"/>
              </w:rPr>
            </w:pPr>
            <w:r w:rsidRPr="004D1E6F">
              <w:rPr>
                <w:rFonts w:ascii="Times New Roman" w:eastAsia="Times New Roman" w:hAnsi="Times New Roman" w:cs="Times New Roman"/>
                <w:color w:val="000000"/>
                <w:sz w:val="20"/>
                <w:szCs w:val="20"/>
                <w:lang w:eastAsia="en-ZA"/>
              </w:rPr>
              <w:t xml:space="preserve">Response: Medium </w:t>
            </w:r>
          </w:p>
        </w:tc>
        <w:tc>
          <w:tcPr>
            <w:tcW w:w="3827" w:type="dxa"/>
          </w:tcPr>
          <w:p w14:paraId="61F16F35" w14:textId="77777777" w:rsidR="002D7080" w:rsidRPr="00EA4DFF" w:rsidRDefault="002D7080" w:rsidP="002E2C37">
            <w:pPr>
              <w:contextualSpacing/>
              <w:jc w:val="both"/>
              <w:rPr>
                <w:rFonts w:ascii="Times New Roman" w:hAnsi="Times New Roman" w:cs="Times New Roman"/>
                <w:sz w:val="20"/>
                <w:szCs w:val="20"/>
              </w:rPr>
            </w:pPr>
            <w:r w:rsidRPr="004D1E6F">
              <w:rPr>
                <w:rFonts w:ascii="Times New Roman" w:eastAsia="Times New Roman" w:hAnsi="Times New Roman" w:cs="Times New Roman"/>
                <w:color w:val="000000"/>
                <w:sz w:val="20"/>
                <w:szCs w:val="20"/>
                <w:lang w:eastAsia="en-ZA"/>
              </w:rPr>
              <w:t>Confidence: High</w:t>
            </w:r>
          </w:p>
        </w:tc>
      </w:tr>
      <w:tr w:rsidR="002D7080" w:rsidRPr="00EA4DFF" w14:paraId="55A56359" w14:textId="77777777" w:rsidTr="002E2C37">
        <w:trPr>
          <w:trHeight w:val="70"/>
        </w:trPr>
        <w:tc>
          <w:tcPr>
            <w:tcW w:w="9067" w:type="dxa"/>
            <w:gridSpan w:val="2"/>
          </w:tcPr>
          <w:p w14:paraId="00263AAB" w14:textId="77777777" w:rsidR="002D7080" w:rsidRPr="00EA4DFF" w:rsidRDefault="002D7080" w:rsidP="002E2C37">
            <w:pPr>
              <w:contextualSpacing/>
              <w:jc w:val="both"/>
              <w:rPr>
                <w:rFonts w:ascii="Times New Roman" w:hAnsi="Times New Roman" w:cs="Times New Roman"/>
                <w:sz w:val="20"/>
                <w:szCs w:val="20"/>
              </w:rPr>
            </w:pPr>
            <w:r w:rsidRPr="004D1E6F">
              <w:rPr>
                <w:rFonts w:ascii="Times New Roman" w:eastAsia="Times New Roman" w:hAnsi="Times New Roman" w:cs="Times New Roman"/>
                <w:color w:val="000000"/>
                <w:sz w:val="20"/>
                <w:szCs w:val="20"/>
                <w:lang w:eastAsia="en-ZA"/>
              </w:rPr>
              <w:lastRenderedPageBreak/>
              <w:t xml:space="preserve">Rationale: </w:t>
            </w:r>
            <w:r w:rsidRPr="004D1E6F">
              <w:rPr>
                <w:rFonts w:ascii="Times New Roman" w:eastAsia="Times New Roman" w:hAnsi="Times New Roman" w:cs="Times New Roman"/>
                <w:i/>
                <w:iCs/>
                <w:sz w:val="20"/>
                <w:szCs w:val="20"/>
                <w:lang w:eastAsia="en-ZA"/>
              </w:rPr>
              <w:t>Faxoniu</w:t>
            </w:r>
            <w:r>
              <w:rPr>
                <w:rFonts w:ascii="Times New Roman" w:eastAsia="Times New Roman" w:hAnsi="Times New Roman" w:cs="Times New Roman"/>
                <w:i/>
                <w:iCs/>
                <w:sz w:val="20"/>
                <w:szCs w:val="20"/>
                <w:lang w:eastAsia="en-ZA"/>
              </w:rPr>
              <w:t>s virilis</w:t>
            </w:r>
            <w:r w:rsidRPr="004D1E6F">
              <w:rPr>
                <w:rFonts w:ascii="Times New Roman" w:eastAsia="Times New Roman" w:hAnsi="Times New Roman" w:cs="Times New Roman"/>
                <w:sz w:val="20"/>
                <w:szCs w:val="20"/>
                <w:lang w:eastAsia="en-ZA"/>
              </w:rPr>
              <w:t xml:space="preserve"> is a small, largely nocturnal freshwater species that is difficult to detect, it reaches sexual maturity in one-two years</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 xml:space="preserve">and </w:t>
            </w:r>
            <w:r w:rsidRPr="004D1E6F">
              <w:rPr>
                <w:rFonts w:ascii="Times New Roman" w:eastAsia="Times New Roman" w:hAnsi="Times New Roman" w:cs="Times New Roman"/>
                <w:sz w:val="20"/>
                <w:szCs w:val="20"/>
                <w:lang w:eastAsia="en-ZA"/>
              </w:rPr>
              <w:t>is highly fecund (up to</w:t>
            </w:r>
            <w:r>
              <w:rPr>
                <w:rFonts w:ascii="Times New Roman" w:eastAsia="Times New Roman" w:hAnsi="Times New Roman" w:cs="Times New Roman"/>
                <w:sz w:val="20"/>
                <w:szCs w:val="20"/>
                <w:lang w:eastAsia="en-ZA"/>
              </w:rPr>
              <w:t xml:space="preserve"> 310</w:t>
            </w:r>
            <w:r w:rsidRPr="004D1E6F">
              <w:rPr>
                <w:rFonts w:ascii="Times New Roman" w:eastAsia="Times New Roman" w:hAnsi="Times New Roman" w:cs="Times New Roman"/>
                <w:sz w:val="20"/>
                <w:szCs w:val="20"/>
                <w:lang w:eastAsia="en-ZA"/>
              </w:rPr>
              <w:t xml:space="preserve"> eggs)</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Hamr 2002</w:t>
            </w:r>
            <w:r w:rsidRPr="004D1E6F">
              <w:rPr>
                <w:rFonts w:ascii="Times New Roman" w:eastAsia="Times New Roman" w:hAnsi="Times New Roman" w:cs="Times New Roman"/>
                <w:sz w:val="20"/>
                <w:szCs w:val="20"/>
                <w:lang w:eastAsia="en-ZA"/>
              </w:rPr>
              <w:t>).</w:t>
            </w:r>
          </w:p>
        </w:tc>
      </w:tr>
      <w:tr w:rsidR="002D7080" w:rsidRPr="00EA4DFF" w14:paraId="421940AD" w14:textId="77777777" w:rsidTr="002E2C37">
        <w:trPr>
          <w:trHeight w:val="70"/>
        </w:trPr>
        <w:tc>
          <w:tcPr>
            <w:tcW w:w="9067" w:type="dxa"/>
            <w:gridSpan w:val="2"/>
          </w:tcPr>
          <w:p w14:paraId="44E13423"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0E99ECAC" w14:textId="77777777" w:rsidR="002D7080" w:rsidRPr="00EA4DFF" w:rsidRDefault="002D7080" w:rsidP="002E2C37">
            <w:pPr>
              <w:contextualSpacing/>
              <w:jc w:val="both"/>
              <w:rPr>
                <w:rFonts w:ascii="Times New Roman" w:hAnsi="Times New Roman" w:cs="Times New Roman"/>
                <w:sz w:val="20"/>
                <w:szCs w:val="20"/>
              </w:rPr>
            </w:pPr>
            <w:r w:rsidRPr="00640FB9">
              <w:rPr>
                <w:rFonts w:ascii="Times New Roman" w:hAnsi="Times New Roman" w:cs="Times New Roman"/>
                <w:color w:val="000000" w:themeColor="text1"/>
                <w:sz w:val="20"/>
                <w:szCs w:val="20"/>
                <w:shd w:val="clear" w:color="auto" w:fill="FFFFFF"/>
              </w:rPr>
              <w:t xml:space="preserve">Hamr, P., 2002. </w:t>
            </w:r>
            <w:r w:rsidRPr="00640FB9">
              <w:rPr>
                <w:rFonts w:ascii="Times New Roman" w:hAnsi="Times New Roman" w:cs="Times New Roman"/>
                <w:i/>
                <w:iCs/>
                <w:color w:val="000000" w:themeColor="text1"/>
                <w:sz w:val="20"/>
                <w:szCs w:val="20"/>
                <w:shd w:val="clear" w:color="auto" w:fill="FFFFFF"/>
              </w:rPr>
              <w:t>Orconectes</w:t>
            </w:r>
            <w:r w:rsidRPr="00640FB9">
              <w:rPr>
                <w:rFonts w:ascii="Times New Roman" w:hAnsi="Times New Roman" w:cs="Times New Roman"/>
                <w:color w:val="000000" w:themeColor="text1"/>
                <w:sz w:val="20"/>
                <w:szCs w:val="20"/>
                <w:shd w:val="clear" w:color="auto" w:fill="FFFFFF"/>
              </w:rPr>
              <w:t>. In: </w:t>
            </w:r>
            <w:r w:rsidRPr="00640FB9">
              <w:rPr>
                <w:rStyle w:val="Emphasis"/>
                <w:rFonts w:ascii="Times New Roman" w:hAnsi="Times New Roman" w:cs="Times New Roman"/>
                <w:color w:val="000000" w:themeColor="text1"/>
                <w:sz w:val="20"/>
                <w:szCs w:val="20"/>
                <w:shd w:val="clear" w:color="auto" w:fill="FFFFFF"/>
              </w:rPr>
              <w:t>Biology of freshwater crayfish</w:t>
            </w:r>
            <w:r w:rsidRPr="00640FB9">
              <w:rPr>
                <w:rFonts w:ascii="Times New Roman" w:hAnsi="Times New Roman" w:cs="Times New Roman"/>
                <w:color w:val="000000" w:themeColor="text1"/>
                <w:sz w:val="20"/>
                <w:szCs w:val="20"/>
                <w:shd w:val="clear" w:color="auto" w:fill="FFFFFF"/>
              </w:rPr>
              <w:t>, [ed. by Holdich, D. M.]. Oxford, UK: Blackwell Science. 585-608</w:t>
            </w:r>
            <w:r w:rsidRPr="009E7247">
              <w:rPr>
                <w:rFonts w:ascii="Times New Roman" w:hAnsi="Times New Roman" w:cs="Times New Roman"/>
                <w:color w:val="333333"/>
                <w:sz w:val="20"/>
                <w:szCs w:val="20"/>
                <w:shd w:val="clear" w:color="auto" w:fill="FFFFFF"/>
              </w:rPr>
              <w:t>.</w:t>
            </w:r>
          </w:p>
        </w:tc>
      </w:tr>
    </w:tbl>
    <w:p w14:paraId="5DD2FD8B" w14:textId="77777777" w:rsidR="002D7080" w:rsidRPr="004D1E6F" w:rsidRDefault="002D7080" w:rsidP="002D7080">
      <w:pPr>
        <w:spacing w:after="0" w:line="240" w:lineRule="auto"/>
        <w:jc w:val="both"/>
        <w:rPr>
          <w:rFonts w:ascii="Times New Roman" w:eastAsia="Times New Roman" w:hAnsi="Times New Roman" w:cs="Times New Roman"/>
          <w:color w:val="000000"/>
          <w:sz w:val="20"/>
          <w:szCs w:val="20"/>
          <w:lang w:eastAsia="en-ZA"/>
        </w:rPr>
      </w:pPr>
    </w:p>
    <w:p w14:paraId="0255AF64" w14:textId="77777777" w:rsidR="002D7080" w:rsidRPr="004D1E6F" w:rsidRDefault="002D7080" w:rsidP="002D7080">
      <w:pPr>
        <w:spacing w:after="0" w:line="240" w:lineRule="auto"/>
        <w:jc w:val="both"/>
        <w:rPr>
          <w:rFonts w:ascii="Times New Roman" w:eastAsia="Times New Roman" w:hAnsi="Times New Roman" w:cs="Times New Roman"/>
          <w:color w:val="000000"/>
          <w:sz w:val="20"/>
          <w:szCs w:val="20"/>
          <w:lang w:eastAsia="en-ZA"/>
        </w:rPr>
      </w:pPr>
    </w:p>
    <w:tbl>
      <w:tblPr>
        <w:tblStyle w:val="TableGrid17"/>
        <w:tblW w:w="9018" w:type="dxa"/>
        <w:tblLook w:val="04A0" w:firstRow="1" w:lastRow="0" w:firstColumn="1" w:lastColumn="0" w:noHBand="0" w:noVBand="1"/>
      </w:tblPr>
      <w:tblGrid>
        <w:gridCol w:w="5240"/>
        <w:gridCol w:w="3778"/>
      </w:tblGrid>
      <w:tr w:rsidR="002D7080" w:rsidRPr="004D1E6F" w14:paraId="3937A44E" w14:textId="77777777" w:rsidTr="002E2C37">
        <w:trPr>
          <w:trHeight w:val="343"/>
        </w:trPr>
        <w:tc>
          <w:tcPr>
            <w:tcW w:w="9018" w:type="dxa"/>
            <w:gridSpan w:val="2"/>
            <w:shd w:val="clear" w:color="auto" w:fill="F2F2F2" w:themeFill="background1" w:themeFillShade="F2"/>
          </w:tcPr>
          <w:p w14:paraId="2C364667" w14:textId="77777777" w:rsidR="002D7080" w:rsidRPr="004D1E6F" w:rsidRDefault="002D7080" w:rsidP="002E2C37">
            <w:pPr>
              <w:jc w:val="both"/>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MAN4 Has the feasibility of eradication been evaluated?</w:t>
            </w:r>
          </w:p>
        </w:tc>
      </w:tr>
      <w:tr w:rsidR="002D7080" w:rsidRPr="004D1E6F" w14:paraId="1ADB1907" w14:textId="77777777" w:rsidTr="002E2C37">
        <w:trPr>
          <w:trHeight w:val="172"/>
        </w:trPr>
        <w:tc>
          <w:tcPr>
            <w:tcW w:w="5240" w:type="dxa"/>
          </w:tcPr>
          <w:p w14:paraId="26A7085F"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No</w:t>
            </w:r>
          </w:p>
        </w:tc>
        <w:tc>
          <w:tcPr>
            <w:tcW w:w="3778" w:type="dxa"/>
          </w:tcPr>
          <w:p w14:paraId="70F8FBA7"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7738FBCC" w14:textId="77777777" w:rsidTr="002E2C37">
        <w:trPr>
          <w:trHeight w:val="343"/>
        </w:trPr>
        <w:tc>
          <w:tcPr>
            <w:tcW w:w="9018" w:type="dxa"/>
            <w:gridSpan w:val="2"/>
          </w:tcPr>
          <w:p w14:paraId="625BCF9F" w14:textId="0F82AEC8"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sz w:val="20"/>
                <w:szCs w:val="20"/>
                <w:lang w:eastAsia="en-ZA"/>
              </w:rPr>
              <w:t>T</w:t>
            </w:r>
            <w:r w:rsidRPr="004D1E6F">
              <w:rPr>
                <w:rFonts w:ascii="Times New Roman" w:eastAsia="Times New Roman" w:hAnsi="Times New Roman" w:cs="Times New Roman"/>
                <w:sz w:val="20"/>
                <w:lang w:eastAsia="en-ZA"/>
              </w:rPr>
              <w:t xml:space="preserve">here are no known population of </w:t>
            </w:r>
            <w:r w:rsidRPr="004D1E6F">
              <w:rPr>
                <w:rFonts w:ascii="Times New Roman" w:eastAsia="Times New Roman" w:hAnsi="Times New Roman" w:cs="Times New Roman"/>
                <w:i/>
                <w:iCs/>
                <w:sz w:val="20"/>
                <w:lang w:eastAsia="en-ZA"/>
              </w:rPr>
              <w:t xml:space="preserve">F. </w:t>
            </w:r>
            <w:r>
              <w:rPr>
                <w:rFonts w:ascii="Times New Roman" w:eastAsia="Times New Roman" w:hAnsi="Times New Roman" w:cs="Times New Roman"/>
                <w:i/>
                <w:iCs/>
                <w:sz w:val="20"/>
                <w:lang w:eastAsia="en-ZA"/>
              </w:rPr>
              <w:t>vi</w:t>
            </w:r>
            <w:r w:rsidR="008E030D">
              <w:rPr>
                <w:rFonts w:ascii="Times New Roman" w:eastAsia="Times New Roman" w:hAnsi="Times New Roman" w:cs="Times New Roman"/>
                <w:i/>
                <w:iCs/>
                <w:sz w:val="20"/>
                <w:lang w:eastAsia="en-ZA"/>
              </w:rPr>
              <w:t>ri</w:t>
            </w:r>
            <w:r>
              <w:rPr>
                <w:rFonts w:ascii="Times New Roman" w:eastAsia="Times New Roman" w:hAnsi="Times New Roman" w:cs="Times New Roman"/>
                <w:i/>
                <w:iCs/>
                <w:sz w:val="20"/>
                <w:lang w:eastAsia="en-ZA"/>
              </w:rPr>
              <w:t>lis</w:t>
            </w:r>
            <w:r w:rsidRPr="004D1E6F">
              <w:rPr>
                <w:rFonts w:ascii="Times New Roman" w:eastAsia="Times New Roman" w:hAnsi="Times New Roman" w:cs="Times New Roman"/>
                <w:sz w:val="20"/>
                <w:lang w:eastAsia="en-ZA"/>
              </w:rPr>
              <w:t xml:space="preserve"> in South Africa, therefore eradication feasibility has not been no evaluated (Nunes et al. 2017) but see MAN5 for summary of control efforts used to manage invasive crayfish populations.  </w:t>
            </w:r>
          </w:p>
        </w:tc>
      </w:tr>
      <w:tr w:rsidR="002D7080" w:rsidRPr="004D1E6F" w14:paraId="1DE88816" w14:textId="77777777" w:rsidTr="002E2C37">
        <w:trPr>
          <w:trHeight w:val="343"/>
        </w:trPr>
        <w:tc>
          <w:tcPr>
            <w:tcW w:w="9018" w:type="dxa"/>
            <w:gridSpan w:val="2"/>
          </w:tcPr>
          <w:p w14:paraId="6020B6AC"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620CBE2C" w14:textId="77777777" w:rsidR="002D7080" w:rsidRPr="004D1E6F" w:rsidRDefault="002D7080" w:rsidP="002E2C37">
            <w:pPr>
              <w:ind w:left="540" w:hanging="54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414" w:history="1">
              <w:r w:rsidRPr="000B0DAE">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tc>
      </w:tr>
    </w:tbl>
    <w:p w14:paraId="7CB96F42" w14:textId="77777777" w:rsidR="002D7080" w:rsidRPr="004D1E6F" w:rsidRDefault="002D7080" w:rsidP="002D7080">
      <w:pPr>
        <w:spacing w:after="0" w:line="240" w:lineRule="auto"/>
        <w:jc w:val="both"/>
        <w:rPr>
          <w:rFonts w:ascii="Times New Roman" w:eastAsia="Calibri" w:hAnsi="Times New Roman" w:cs="Times New Roman"/>
          <w:b/>
          <w:sz w:val="20"/>
          <w:szCs w:val="20"/>
        </w:rPr>
      </w:pPr>
    </w:p>
    <w:p w14:paraId="70EE2AD0" w14:textId="77777777" w:rsidR="002D7080" w:rsidRPr="004D1E6F" w:rsidRDefault="002D7080" w:rsidP="002D7080">
      <w:pPr>
        <w:spacing w:after="0" w:line="240" w:lineRule="auto"/>
        <w:jc w:val="both"/>
        <w:rPr>
          <w:rFonts w:ascii="Times New Roman" w:eastAsia="Times New Roman" w:hAnsi="Times New Roman" w:cs="Times New Roman"/>
          <w:b/>
          <w:color w:val="000000"/>
          <w:sz w:val="20"/>
          <w:szCs w:val="20"/>
          <w:lang w:eastAsia="en-ZA"/>
        </w:rPr>
      </w:pPr>
    </w:p>
    <w:tbl>
      <w:tblPr>
        <w:tblStyle w:val="TableGrid17"/>
        <w:tblW w:w="9067" w:type="dxa"/>
        <w:tblLook w:val="04A0" w:firstRow="1" w:lastRow="0" w:firstColumn="1" w:lastColumn="0" w:noHBand="0" w:noVBand="1"/>
      </w:tblPr>
      <w:tblGrid>
        <w:gridCol w:w="9067"/>
      </w:tblGrid>
      <w:tr w:rsidR="002D7080" w:rsidRPr="004D1E6F" w14:paraId="5D9055D9" w14:textId="77777777" w:rsidTr="002E2C37">
        <w:trPr>
          <w:trHeight w:val="343"/>
        </w:trPr>
        <w:tc>
          <w:tcPr>
            <w:tcW w:w="9067" w:type="dxa"/>
            <w:shd w:val="clear" w:color="auto" w:fill="F2F2F2" w:themeFill="background1" w:themeFillShade="F2"/>
          </w:tcPr>
          <w:p w14:paraId="7BED66DE"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MAN5 Control options and monitoring approaches available for the </w:t>
            </w:r>
            <w:r w:rsidRPr="004D1E6F">
              <w:rPr>
                <w:rFonts w:ascii="Times New Roman" w:eastAsia="Times New Roman" w:hAnsi="Times New Roman" w:cs="Times New Roman"/>
                <w:b/>
                <w:i/>
                <w:sz w:val="20"/>
                <w:szCs w:val="20"/>
                <w:lang w:eastAsia="en-ZA"/>
              </w:rPr>
              <w:t>Taxon</w:t>
            </w:r>
          </w:p>
        </w:tc>
      </w:tr>
      <w:tr w:rsidR="002D7080" w:rsidRPr="004D1E6F" w14:paraId="26F9F789" w14:textId="77777777" w:rsidTr="002E2C37">
        <w:trPr>
          <w:trHeight w:val="70"/>
        </w:trPr>
        <w:tc>
          <w:tcPr>
            <w:tcW w:w="9067" w:type="dxa"/>
          </w:tcPr>
          <w:p w14:paraId="053A41C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Several methods can be used to monitor and control invasive crayfish populations including mechanical trapping</w:t>
            </w:r>
            <w:r w:rsidRPr="004D1E6F">
              <w:rPr>
                <w:rFonts w:ascii="Times New Roman" w:eastAsia="Times New Roman" w:hAnsi="Times New Roman" w:cs="Times New Roman"/>
                <w:iCs/>
                <w:sz w:val="20"/>
                <w:szCs w:val="20"/>
                <w:lang w:eastAsia="en-ZA"/>
              </w:rPr>
              <w:t xml:space="preserve"> (e.g., </w:t>
            </w:r>
            <w:r w:rsidRPr="004D1E6F">
              <w:rPr>
                <w:rStyle w:val="cf01"/>
                <w:rFonts w:ascii="Times New Roman" w:hAnsi="Times New Roman" w:cs="Times New Roman"/>
                <w:sz w:val="20"/>
                <w:szCs w:val="20"/>
              </w:rPr>
              <w:t xml:space="preserve">Barkhuizen et al. 2022; </w:t>
            </w:r>
            <w:r w:rsidRPr="004D1E6F">
              <w:rPr>
                <w:rFonts w:ascii="Times New Roman" w:eastAsia="Times New Roman" w:hAnsi="Times New Roman" w:cs="Times New Roman"/>
                <w:iCs/>
                <w:sz w:val="20"/>
                <w:szCs w:val="20"/>
                <w:lang w:eastAsia="en-ZA"/>
              </w:rPr>
              <w:t>Madzivanzira et al. 2021)</w:t>
            </w:r>
            <w:r w:rsidRPr="004D1E6F">
              <w:rPr>
                <w:rFonts w:ascii="Times New Roman" w:eastAsia="Times New Roman" w:hAnsi="Times New Roman" w:cs="Times New Roman"/>
                <w:sz w:val="20"/>
                <w:szCs w:val="20"/>
                <w:lang w:eastAsia="en-ZA"/>
              </w:rPr>
              <w:t xml:space="preserve">, electrofishing (Nunes et al. 2017), use of biocides, and biological control (Aquiloni et al 2010; Stebbing et al. 2014). </w:t>
            </w:r>
            <w:r w:rsidRPr="004D1E6F">
              <w:rPr>
                <w:rFonts w:ascii="Times New Roman" w:hAnsi="Times New Roman" w:cs="Times New Roman"/>
                <w:sz w:val="20"/>
                <w:szCs w:val="20"/>
              </w:rPr>
              <w:t>However, there are several issues that make management of crayfish invasions challenging (Gherardi et al. 2011). For example, the use of biocides is often effective for localised populations in dams and ponds (Peay et al. 2019) but they are non-specific and need to be applied with caution (Gherardi et al. 2011). Mechanical control methods are also effective in small discrete water bodies but are expensive and require commitment to follow on to complete eradication (Loureiro et al. 2018). In addition, alien crayfish species are regarded as potential conflict-generating species in South Africa and potential management interventions should consider the concerns of stakeholders to avoid conflict (Zengeya et al. 2017).</w:t>
            </w:r>
          </w:p>
        </w:tc>
      </w:tr>
      <w:tr w:rsidR="002D7080" w:rsidRPr="004D1E6F" w14:paraId="61C92111" w14:textId="77777777" w:rsidTr="002E2C37">
        <w:trPr>
          <w:trHeight w:val="203"/>
        </w:trPr>
        <w:tc>
          <w:tcPr>
            <w:tcW w:w="9067" w:type="dxa"/>
          </w:tcPr>
          <w:p w14:paraId="5E9A1BDC"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6C27A8F6" w14:textId="77777777" w:rsidR="006728DB" w:rsidRPr="006728DB" w:rsidRDefault="006728DB" w:rsidP="006728DB">
            <w:pPr>
              <w:ind w:left="720" w:hanging="720"/>
              <w:contextualSpacing/>
              <w:jc w:val="both"/>
              <w:rPr>
                <w:rFonts w:ascii="Times New Roman" w:eastAsia="Times New Roman" w:hAnsi="Times New Roman" w:cs="Times New Roman"/>
                <w:bCs/>
                <w:sz w:val="20"/>
                <w:szCs w:val="20"/>
                <w:lang w:eastAsia="en-ZA"/>
              </w:rPr>
            </w:pPr>
            <w:r w:rsidRPr="006728DB">
              <w:rPr>
                <w:rFonts w:ascii="Times New Roman" w:eastAsia="Times New Roman" w:hAnsi="Times New Roman" w:cs="Times New Roman"/>
                <w:sz w:val="20"/>
                <w:szCs w:val="20"/>
                <w:lang w:eastAsia="en-ZA"/>
              </w:rPr>
              <w:t>Aquiloni, L., Brusconi, S., Cecchinelli, E., Tricarico, E., Mazza, G., Paglianti, A. &amp; Gherardi, F. 2010, ‘Biological control of invasive populations of crayfish: the European eel (</w:t>
            </w:r>
            <w:r w:rsidRPr="006728DB">
              <w:rPr>
                <w:rFonts w:ascii="Times New Roman" w:eastAsia="Times New Roman" w:hAnsi="Times New Roman" w:cs="Times New Roman"/>
                <w:i/>
                <w:iCs/>
                <w:sz w:val="20"/>
                <w:szCs w:val="20"/>
                <w:lang w:eastAsia="en-ZA"/>
              </w:rPr>
              <w:t>Anguilla anguilla</w:t>
            </w:r>
            <w:r w:rsidRPr="006728DB">
              <w:rPr>
                <w:rFonts w:ascii="Times New Roman" w:eastAsia="Times New Roman" w:hAnsi="Times New Roman" w:cs="Times New Roman"/>
                <w:sz w:val="20"/>
                <w:szCs w:val="20"/>
                <w:lang w:eastAsia="en-ZA"/>
              </w:rPr>
              <w:t xml:space="preserve">) as a predator of </w:t>
            </w:r>
            <w:r w:rsidRPr="006728DB">
              <w:rPr>
                <w:rFonts w:ascii="Times New Roman" w:eastAsia="Times New Roman" w:hAnsi="Times New Roman" w:cs="Times New Roman"/>
                <w:i/>
                <w:iCs/>
                <w:sz w:val="20"/>
                <w:szCs w:val="20"/>
                <w:lang w:eastAsia="en-ZA"/>
              </w:rPr>
              <w:t>Procambarus clarkii</w:t>
            </w:r>
            <w:r w:rsidRPr="006728DB">
              <w:rPr>
                <w:rFonts w:ascii="Times New Roman" w:eastAsia="Times New Roman" w:hAnsi="Times New Roman" w:cs="Times New Roman"/>
                <w:sz w:val="20"/>
                <w:szCs w:val="20"/>
                <w:lang w:eastAsia="en-ZA"/>
              </w:rPr>
              <w:t xml:space="preserve">’, </w:t>
            </w:r>
            <w:r w:rsidRPr="006728DB">
              <w:rPr>
                <w:rFonts w:ascii="Times New Roman" w:eastAsia="Times New Roman" w:hAnsi="Times New Roman" w:cs="Times New Roman"/>
                <w:i/>
                <w:iCs/>
                <w:sz w:val="20"/>
                <w:szCs w:val="20"/>
                <w:lang w:eastAsia="en-ZA"/>
              </w:rPr>
              <w:t>Biological Invasions</w:t>
            </w:r>
            <w:r w:rsidRPr="006728DB">
              <w:rPr>
                <w:rFonts w:ascii="Times New Roman" w:eastAsia="Times New Roman" w:hAnsi="Times New Roman" w:cs="Times New Roman"/>
                <w:sz w:val="20"/>
                <w:szCs w:val="20"/>
                <w:lang w:eastAsia="en-ZA"/>
              </w:rPr>
              <w:t xml:space="preserve"> 12 3817-3824. </w:t>
            </w:r>
            <w:hyperlink r:id="rId415" w:history="1">
              <w:r w:rsidRPr="006728DB">
                <w:rPr>
                  <w:rStyle w:val="Hyperlink"/>
                  <w:rFonts w:ascii="Times New Roman" w:eastAsia="Times New Roman" w:hAnsi="Times New Roman" w:cs="Times New Roman"/>
                  <w:bCs/>
                  <w:sz w:val="20"/>
                  <w:szCs w:val="20"/>
                  <w:lang w:eastAsia="en-ZA"/>
                </w:rPr>
                <w:t>https://doi.org/10.1007/s10530-007-9094-0</w:t>
              </w:r>
            </w:hyperlink>
            <w:r w:rsidRPr="006728DB">
              <w:rPr>
                <w:rFonts w:ascii="Times New Roman" w:eastAsia="Times New Roman" w:hAnsi="Times New Roman" w:cs="Times New Roman"/>
                <w:bCs/>
                <w:sz w:val="20"/>
                <w:szCs w:val="20"/>
                <w:lang w:eastAsia="en-ZA"/>
              </w:rPr>
              <w:t>.</w:t>
            </w:r>
          </w:p>
          <w:p w14:paraId="4889DC21" w14:textId="77777777" w:rsidR="006728DB" w:rsidRPr="006728DB" w:rsidRDefault="006728DB" w:rsidP="006728DB">
            <w:pPr>
              <w:ind w:left="720" w:hanging="720"/>
              <w:contextualSpacing/>
              <w:jc w:val="both"/>
              <w:rPr>
                <w:rFonts w:ascii="Times New Roman" w:eastAsia="Times New Roman" w:hAnsi="Times New Roman" w:cs="Times New Roman"/>
                <w:sz w:val="20"/>
                <w:szCs w:val="20"/>
                <w:lang w:eastAsia="en-ZA"/>
              </w:rPr>
            </w:pPr>
            <w:r w:rsidRPr="006728DB">
              <w:rPr>
                <w:rFonts w:ascii="Times New Roman" w:eastAsia="Times New Roman" w:hAnsi="Times New Roman" w:cs="Times New Roman"/>
                <w:sz w:val="20"/>
                <w:szCs w:val="20"/>
                <w:lang w:eastAsia="en-ZA"/>
              </w:rPr>
              <w:t xml:space="preserve">Barkhuizen, L.M, Madzivanzira, T.C., South, J., 2022, ‘Population ecology of a wild population of red swamp crayfish </w:t>
            </w:r>
            <w:r w:rsidRPr="006728DB">
              <w:rPr>
                <w:rFonts w:ascii="Times New Roman" w:eastAsia="Times New Roman" w:hAnsi="Times New Roman" w:cs="Times New Roman"/>
                <w:i/>
                <w:iCs/>
                <w:sz w:val="20"/>
                <w:szCs w:val="20"/>
                <w:lang w:eastAsia="en-ZA"/>
              </w:rPr>
              <w:t>Procambarus clarkii</w:t>
            </w:r>
            <w:r w:rsidRPr="006728DB">
              <w:rPr>
                <w:rFonts w:ascii="Times New Roman" w:eastAsia="Times New Roman" w:hAnsi="Times New Roman" w:cs="Times New Roman"/>
                <w:sz w:val="20"/>
                <w:szCs w:val="20"/>
                <w:lang w:eastAsia="en-ZA"/>
              </w:rPr>
              <w:t xml:space="preserve"> (Girard, 1852) in the Free State Province, South Africa and implications for eradication efforts’, </w:t>
            </w:r>
            <w:r w:rsidRPr="006728DB">
              <w:rPr>
                <w:rFonts w:ascii="Times New Roman" w:eastAsia="Times New Roman" w:hAnsi="Times New Roman" w:cs="Times New Roman"/>
                <w:i/>
                <w:iCs/>
                <w:sz w:val="20"/>
                <w:szCs w:val="20"/>
                <w:lang w:eastAsia="en-ZA"/>
              </w:rPr>
              <w:t>BioInvasions Records</w:t>
            </w:r>
            <w:r w:rsidRPr="006728DB">
              <w:rPr>
                <w:rFonts w:ascii="Times New Roman" w:eastAsia="Times New Roman" w:hAnsi="Times New Roman" w:cs="Times New Roman"/>
                <w:sz w:val="20"/>
                <w:szCs w:val="20"/>
                <w:lang w:eastAsia="en-ZA"/>
              </w:rPr>
              <w:t xml:space="preserve"> 11, 181–191. </w:t>
            </w:r>
            <w:hyperlink r:id="rId416" w:history="1">
              <w:r w:rsidRPr="006728DB">
                <w:rPr>
                  <w:rStyle w:val="Hyperlink"/>
                  <w:rFonts w:ascii="Times New Roman" w:eastAsia="Times New Roman" w:hAnsi="Times New Roman" w:cs="Times New Roman"/>
                  <w:iCs/>
                  <w:sz w:val="20"/>
                  <w:szCs w:val="20"/>
                  <w:lang w:eastAsia="en-ZA"/>
                </w:rPr>
                <w:t>https://doi.org/10.3391/bir.2022</w:t>
              </w:r>
            </w:hyperlink>
            <w:r w:rsidRPr="006728DB">
              <w:rPr>
                <w:rFonts w:ascii="Times New Roman" w:eastAsia="Times New Roman" w:hAnsi="Times New Roman" w:cs="Times New Roman"/>
                <w:sz w:val="20"/>
                <w:szCs w:val="20"/>
                <w:lang w:eastAsia="en-ZA"/>
              </w:rPr>
              <w:t>.</w:t>
            </w:r>
          </w:p>
          <w:p w14:paraId="6BCEB414" w14:textId="77777777" w:rsidR="006728DB" w:rsidRPr="006728DB" w:rsidRDefault="006728DB" w:rsidP="006728DB">
            <w:pPr>
              <w:ind w:left="720" w:hanging="720"/>
              <w:contextualSpacing/>
              <w:jc w:val="both"/>
              <w:rPr>
                <w:rFonts w:ascii="Times New Roman" w:eastAsia="Times New Roman" w:hAnsi="Times New Roman" w:cs="Times New Roman"/>
                <w:sz w:val="20"/>
                <w:szCs w:val="20"/>
                <w:lang w:eastAsia="en-ZA"/>
              </w:rPr>
            </w:pPr>
            <w:r w:rsidRPr="006728DB">
              <w:rPr>
                <w:rFonts w:ascii="Times New Roman" w:eastAsia="Times New Roman" w:hAnsi="Times New Roman" w:cs="Times New Roman"/>
                <w:sz w:val="20"/>
                <w:szCs w:val="20"/>
                <w:lang w:eastAsia="en-ZA"/>
              </w:rPr>
              <w:t xml:space="preserve">Gherardi, F., Aquiloni, L., Diéguez-Uribeondo, J. &amp; Tricarico E., 2011, ‘Managing invasive crayfish: is there a hope? </w:t>
            </w:r>
            <w:r w:rsidRPr="006728DB">
              <w:rPr>
                <w:rFonts w:ascii="Times New Roman" w:eastAsia="Times New Roman" w:hAnsi="Times New Roman" w:cs="Times New Roman"/>
                <w:i/>
                <w:iCs/>
                <w:sz w:val="20"/>
                <w:szCs w:val="20"/>
                <w:lang w:eastAsia="en-ZA"/>
              </w:rPr>
              <w:t>Aquatic Sciences</w:t>
            </w:r>
            <w:r w:rsidRPr="006728DB">
              <w:rPr>
                <w:rFonts w:ascii="Times New Roman" w:eastAsia="Times New Roman" w:hAnsi="Times New Roman" w:cs="Times New Roman"/>
                <w:sz w:val="20"/>
                <w:szCs w:val="20"/>
                <w:lang w:eastAsia="en-ZA"/>
              </w:rPr>
              <w:t xml:space="preserve"> </w:t>
            </w:r>
            <w:r w:rsidRPr="006728DB">
              <w:rPr>
                <w:rFonts w:ascii="Times New Roman" w:eastAsia="Times New Roman" w:hAnsi="Times New Roman" w:cs="Times New Roman"/>
                <w:iCs/>
                <w:sz w:val="20"/>
                <w:szCs w:val="20"/>
                <w:lang w:eastAsia="en-ZA"/>
              </w:rPr>
              <w:t>73,</w:t>
            </w:r>
            <w:r w:rsidRPr="006728DB">
              <w:rPr>
                <w:rFonts w:ascii="Times New Roman" w:eastAsia="Times New Roman" w:hAnsi="Times New Roman" w:cs="Times New Roman"/>
                <w:sz w:val="20"/>
                <w:szCs w:val="20"/>
                <w:lang w:eastAsia="en-ZA"/>
              </w:rPr>
              <w:t xml:space="preserve"> 185–200. https://doi.org/10.1007/s00027-011-0181-z.</w:t>
            </w:r>
          </w:p>
          <w:p w14:paraId="73DF5827" w14:textId="77777777" w:rsidR="006728DB" w:rsidRPr="006728DB" w:rsidRDefault="006728DB" w:rsidP="006728DB">
            <w:pPr>
              <w:ind w:left="720" w:hanging="720"/>
              <w:contextualSpacing/>
              <w:jc w:val="both"/>
              <w:rPr>
                <w:rFonts w:ascii="Times New Roman" w:eastAsia="Times New Roman" w:hAnsi="Times New Roman" w:cs="Times New Roman"/>
                <w:bCs/>
                <w:sz w:val="20"/>
                <w:szCs w:val="20"/>
                <w:lang w:eastAsia="en-ZA"/>
              </w:rPr>
            </w:pPr>
            <w:r w:rsidRPr="006728DB">
              <w:rPr>
                <w:rFonts w:ascii="Times New Roman" w:eastAsia="Times New Roman" w:hAnsi="Times New Roman" w:cs="Times New Roman"/>
                <w:bCs/>
                <w:sz w:val="20"/>
                <w:szCs w:val="20"/>
                <w:lang w:eastAsia="en-ZA"/>
              </w:rPr>
              <w:t xml:space="preserve">Loureiro, T.G, Anastácio, P.M, de Siqueira Bueno, S.L. &amp; Araujo, P.B., 2018, ‘Management of invasive populations of the freshwater crayfish </w:t>
            </w:r>
            <w:r w:rsidRPr="006728DB">
              <w:rPr>
                <w:rFonts w:ascii="Times New Roman" w:eastAsia="Times New Roman" w:hAnsi="Times New Roman" w:cs="Times New Roman"/>
                <w:bCs/>
                <w:i/>
                <w:sz w:val="20"/>
                <w:szCs w:val="20"/>
                <w:lang w:eastAsia="en-ZA"/>
              </w:rPr>
              <w:t>Procambarus clarkii</w:t>
            </w:r>
            <w:r w:rsidRPr="006728DB">
              <w:rPr>
                <w:rFonts w:ascii="Times New Roman" w:eastAsia="Times New Roman" w:hAnsi="Times New Roman" w:cs="Times New Roman"/>
                <w:bCs/>
                <w:sz w:val="20"/>
                <w:szCs w:val="20"/>
                <w:lang w:eastAsia="en-ZA"/>
              </w:rPr>
              <w:t xml:space="preserve"> (Decapoda, Cambaridae): test of a population-control method and proposal of a standard monitoring approach’, </w:t>
            </w:r>
            <w:r w:rsidRPr="006728DB">
              <w:rPr>
                <w:rFonts w:ascii="Times New Roman" w:eastAsia="Times New Roman" w:hAnsi="Times New Roman" w:cs="Times New Roman"/>
                <w:bCs/>
                <w:i/>
                <w:sz w:val="20"/>
                <w:szCs w:val="20"/>
                <w:lang w:eastAsia="en-ZA"/>
              </w:rPr>
              <w:t>Environmental Monitoring Assessment</w:t>
            </w:r>
            <w:r w:rsidRPr="006728DB">
              <w:rPr>
                <w:rFonts w:ascii="Times New Roman" w:eastAsia="Times New Roman" w:hAnsi="Times New Roman" w:cs="Times New Roman"/>
                <w:bCs/>
                <w:sz w:val="20"/>
                <w:szCs w:val="20"/>
                <w:lang w:eastAsia="en-ZA"/>
              </w:rPr>
              <w:t xml:space="preserve"> 190, 559, https://doi.org/10.1007/s10661-018-6942-6.</w:t>
            </w:r>
          </w:p>
          <w:p w14:paraId="5A45B7CB" w14:textId="77777777" w:rsidR="006728DB" w:rsidRPr="006728DB" w:rsidRDefault="006728DB" w:rsidP="006728DB">
            <w:pPr>
              <w:ind w:left="720" w:hanging="720"/>
              <w:contextualSpacing/>
              <w:jc w:val="both"/>
              <w:rPr>
                <w:rFonts w:ascii="Times New Roman" w:eastAsia="Times New Roman" w:hAnsi="Times New Roman" w:cs="Times New Roman"/>
                <w:sz w:val="20"/>
                <w:szCs w:val="20"/>
                <w:lang w:eastAsia="en-ZA"/>
              </w:rPr>
            </w:pPr>
            <w:r w:rsidRPr="006728DB">
              <w:rPr>
                <w:rFonts w:ascii="Times New Roman" w:eastAsia="Times New Roman" w:hAnsi="Times New Roman" w:cs="Times New Roman"/>
                <w:sz w:val="20"/>
                <w:szCs w:val="20"/>
                <w:lang w:eastAsia="en-ZA"/>
              </w:rPr>
              <w:t xml:space="preserve">Madzivanzira, T.C., South, J., Nhiwatiwa, T. &amp; Weyl, O.L.F., 2021, ‘Standardisation of Australian redclaw crayfish </w:t>
            </w:r>
            <w:r w:rsidRPr="006728DB">
              <w:rPr>
                <w:rFonts w:ascii="Times New Roman" w:eastAsia="Times New Roman" w:hAnsi="Times New Roman" w:cs="Times New Roman"/>
                <w:i/>
                <w:iCs/>
                <w:sz w:val="20"/>
                <w:szCs w:val="20"/>
                <w:lang w:eastAsia="en-ZA"/>
              </w:rPr>
              <w:t>Cherax quadricarinatus</w:t>
            </w:r>
            <w:r w:rsidRPr="006728DB">
              <w:rPr>
                <w:rFonts w:ascii="Times New Roman" w:eastAsia="Times New Roman" w:hAnsi="Times New Roman" w:cs="Times New Roman"/>
                <w:sz w:val="20"/>
                <w:szCs w:val="20"/>
                <w:lang w:eastAsia="en-ZA"/>
              </w:rPr>
              <w:t xml:space="preserve"> sampling gear in southern Africa’, </w:t>
            </w:r>
            <w:r w:rsidRPr="006728DB">
              <w:rPr>
                <w:rFonts w:ascii="Times New Roman" w:eastAsia="Times New Roman" w:hAnsi="Times New Roman" w:cs="Times New Roman"/>
                <w:i/>
                <w:iCs/>
                <w:sz w:val="20"/>
                <w:szCs w:val="20"/>
                <w:lang w:eastAsia="en-ZA"/>
              </w:rPr>
              <w:t>Water SA</w:t>
            </w:r>
            <w:r w:rsidRPr="006728DB">
              <w:rPr>
                <w:rFonts w:ascii="Times New Roman" w:eastAsia="Times New Roman" w:hAnsi="Times New Roman" w:cs="Times New Roman"/>
                <w:sz w:val="20"/>
                <w:szCs w:val="20"/>
                <w:lang w:eastAsia="en-ZA"/>
              </w:rPr>
              <w:t xml:space="preserve"> 47, 380–384. https://hdl.handle.net/10520/ejc-waters-v47-n3-a10.</w:t>
            </w:r>
          </w:p>
          <w:p w14:paraId="3FA8C8AD" w14:textId="77777777" w:rsidR="006728DB" w:rsidRPr="006728DB" w:rsidRDefault="006728DB" w:rsidP="006728DB">
            <w:pPr>
              <w:ind w:left="720" w:hanging="720"/>
              <w:contextualSpacing/>
              <w:jc w:val="both"/>
              <w:rPr>
                <w:rFonts w:ascii="Times New Roman" w:eastAsia="Times New Roman" w:hAnsi="Times New Roman" w:cs="Times New Roman"/>
                <w:sz w:val="20"/>
                <w:szCs w:val="20"/>
                <w:lang w:eastAsia="en-ZA"/>
              </w:rPr>
            </w:pPr>
            <w:r w:rsidRPr="006728DB">
              <w:rPr>
                <w:rFonts w:ascii="Times New Roman" w:eastAsia="Times New Roman" w:hAnsi="Times New Roman" w:cs="Times New Roman"/>
                <w:sz w:val="20"/>
                <w:szCs w:val="20"/>
                <w:lang w:eastAsia="en-ZA"/>
              </w:rPr>
              <w:lastRenderedPageBreak/>
              <w:t xml:space="preserve">Nunes, A.L., Zengeya, T.A., Hoffman, A.C., Measey, G.J. &amp; Weyl, O.L., 2017, ‘Distribution and establishment of the alien Australian redclaw crayfish, </w:t>
            </w:r>
            <w:r w:rsidRPr="006728DB">
              <w:rPr>
                <w:rFonts w:ascii="Times New Roman" w:eastAsia="Times New Roman" w:hAnsi="Times New Roman" w:cs="Times New Roman"/>
                <w:i/>
                <w:sz w:val="20"/>
                <w:szCs w:val="20"/>
                <w:lang w:eastAsia="en-ZA"/>
              </w:rPr>
              <w:t>Cherax quadricarinatus</w:t>
            </w:r>
            <w:r w:rsidRPr="006728DB">
              <w:rPr>
                <w:rFonts w:ascii="Times New Roman" w:eastAsia="Times New Roman" w:hAnsi="Times New Roman" w:cs="Times New Roman"/>
                <w:sz w:val="20"/>
                <w:szCs w:val="20"/>
                <w:lang w:eastAsia="en-ZA"/>
              </w:rPr>
              <w:t xml:space="preserve">, in South Africa and Swaziland’, </w:t>
            </w:r>
            <w:r w:rsidRPr="006728DB">
              <w:rPr>
                <w:rFonts w:ascii="Times New Roman" w:eastAsia="Times New Roman" w:hAnsi="Times New Roman" w:cs="Times New Roman"/>
                <w:i/>
                <w:iCs/>
                <w:sz w:val="20"/>
                <w:szCs w:val="20"/>
                <w:lang w:eastAsia="en-ZA"/>
              </w:rPr>
              <w:t>PeerJ</w:t>
            </w:r>
            <w:r w:rsidRPr="006728DB">
              <w:rPr>
                <w:rFonts w:ascii="Times New Roman" w:eastAsia="Times New Roman" w:hAnsi="Times New Roman" w:cs="Times New Roman"/>
                <w:sz w:val="20"/>
                <w:szCs w:val="20"/>
                <w:lang w:eastAsia="en-ZA"/>
              </w:rPr>
              <w:t xml:space="preserve"> </w:t>
            </w:r>
            <w:r w:rsidRPr="006728DB">
              <w:rPr>
                <w:rFonts w:ascii="Times New Roman" w:eastAsia="Times New Roman" w:hAnsi="Times New Roman" w:cs="Times New Roman"/>
                <w:iCs/>
                <w:sz w:val="20"/>
                <w:szCs w:val="20"/>
                <w:lang w:eastAsia="en-ZA"/>
              </w:rPr>
              <w:t>5,</w:t>
            </w:r>
            <w:r w:rsidRPr="006728DB">
              <w:rPr>
                <w:rFonts w:ascii="Times New Roman" w:eastAsia="Times New Roman" w:hAnsi="Times New Roman" w:cs="Times New Roman"/>
                <w:sz w:val="20"/>
                <w:szCs w:val="20"/>
                <w:lang w:eastAsia="en-ZA"/>
              </w:rPr>
              <w:t xml:space="preserve"> 1-21. </w:t>
            </w:r>
            <w:hyperlink r:id="rId417" w:history="1">
              <w:r w:rsidRPr="006728DB">
                <w:rPr>
                  <w:rStyle w:val="Hyperlink"/>
                  <w:rFonts w:ascii="Times New Roman" w:eastAsia="Times New Roman" w:hAnsi="Times New Roman" w:cs="Times New Roman"/>
                  <w:sz w:val="20"/>
                  <w:szCs w:val="20"/>
                  <w:lang w:eastAsia="en-ZA"/>
                </w:rPr>
                <w:t>https://doi.org/10.7717/peerj.3135</w:t>
              </w:r>
            </w:hyperlink>
            <w:r w:rsidRPr="006728DB">
              <w:rPr>
                <w:rFonts w:ascii="Times New Roman" w:eastAsia="Times New Roman" w:hAnsi="Times New Roman" w:cs="Times New Roman"/>
                <w:sz w:val="20"/>
                <w:szCs w:val="20"/>
                <w:lang w:eastAsia="en-ZA"/>
              </w:rPr>
              <w:t xml:space="preserve">.  </w:t>
            </w:r>
          </w:p>
          <w:p w14:paraId="49277E32" w14:textId="77777777" w:rsidR="006728DB" w:rsidRPr="006728DB" w:rsidRDefault="006728DB" w:rsidP="006728DB">
            <w:pPr>
              <w:ind w:left="720" w:hanging="720"/>
              <w:contextualSpacing/>
              <w:jc w:val="both"/>
              <w:rPr>
                <w:rFonts w:ascii="Times New Roman" w:eastAsia="Times New Roman" w:hAnsi="Times New Roman" w:cs="Times New Roman"/>
                <w:bCs/>
                <w:sz w:val="20"/>
                <w:szCs w:val="20"/>
                <w:lang w:eastAsia="en-ZA"/>
              </w:rPr>
            </w:pPr>
            <w:r w:rsidRPr="006728DB">
              <w:rPr>
                <w:rFonts w:ascii="Times New Roman" w:eastAsia="Times New Roman" w:hAnsi="Times New Roman" w:cs="Times New Roman"/>
                <w:bCs/>
                <w:sz w:val="20"/>
                <w:szCs w:val="20"/>
                <w:lang w:eastAsia="en-ZA"/>
              </w:rPr>
              <w:t xml:space="preserve">Peay, S., Johnsen, S.I, Bean, S.W., Dunn, A.M., Sandodden, R. &amp; Edsman, L, 2019, ‘Biocide treatment of invasive signal crayfish: Successes, failures and lessons learned’, </w:t>
            </w:r>
            <w:r w:rsidRPr="006728DB">
              <w:rPr>
                <w:rFonts w:ascii="Times New Roman" w:eastAsia="Times New Roman" w:hAnsi="Times New Roman" w:cs="Times New Roman"/>
                <w:bCs/>
                <w:i/>
                <w:sz w:val="20"/>
                <w:szCs w:val="20"/>
                <w:lang w:eastAsia="en-ZA"/>
              </w:rPr>
              <w:t>Diversity</w:t>
            </w:r>
            <w:r w:rsidRPr="006728DB">
              <w:rPr>
                <w:rFonts w:ascii="Times New Roman" w:eastAsia="Times New Roman" w:hAnsi="Times New Roman" w:cs="Times New Roman"/>
                <w:bCs/>
                <w:sz w:val="20"/>
                <w:szCs w:val="20"/>
                <w:lang w:eastAsia="en-ZA"/>
              </w:rPr>
              <w:t xml:space="preserve"> 11, 29. </w:t>
            </w:r>
            <w:hyperlink r:id="rId418" w:history="1">
              <w:r w:rsidRPr="006728DB">
                <w:rPr>
                  <w:rStyle w:val="Hyperlink"/>
                  <w:rFonts w:ascii="Times New Roman" w:eastAsia="Times New Roman" w:hAnsi="Times New Roman" w:cs="Times New Roman"/>
                  <w:bCs/>
                  <w:sz w:val="20"/>
                  <w:szCs w:val="20"/>
                  <w:lang w:eastAsia="en-ZA"/>
                </w:rPr>
                <w:t>https://doi.org/10.3390/d11030029</w:t>
              </w:r>
            </w:hyperlink>
            <w:r w:rsidRPr="006728DB">
              <w:rPr>
                <w:rFonts w:ascii="Times New Roman" w:eastAsia="Times New Roman" w:hAnsi="Times New Roman" w:cs="Times New Roman"/>
                <w:bCs/>
                <w:sz w:val="20"/>
                <w:szCs w:val="20"/>
                <w:lang w:eastAsia="en-ZA"/>
              </w:rPr>
              <w:t xml:space="preserve">  </w:t>
            </w:r>
          </w:p>
          <w:p w14:paraId="0B212CD8" w14:textId="106AEA26" w:rsidR="006728DB" w:rsidRPr="006728DB" w:rsidRDefault="006728DB" w:rsidP="006728DB">
            <w:pPr>
              <w:ind w:left="720" w:hanging="720"/>
              <w:contextualSpacing/>
              <w:jc w:val="both"/>
              <w:rPr>
                <w:rFonts w:ascii="Times New Roman" w:eastAsia="Times New Roman" w:hAnsi="Times New Roman" w:cs="Times New Roman"/>
                <w:sz w:val="20"/>
                <w:szCs w:val="20"/>
                <w:lang w:eastAsia="en-ZA"/>
              </w:rPr>
            </w:pPr>
            <w:r w:rsidRPr="006728DB">
              <w:rPr>
                <w:rFonts w:ascii="Times New Roman" w:eastAsia="Times New Roman" w:hAnsi="Times New Roman" w:cs="Times New Roman"/>
                <w:sz w:val="20"/>
                <w:szCs w:val="20"/>
                <w:lang w:eastAsia="en-ZA"/>
              </w:rPr>
              <w:t xml:space="preserve">Stebbing, P., Longshaw, M., Scott, A., 2014, ‘Review of methods for the management of nonindigenous crayfish, with particular reference to Great Britain’, </w:t>
            </w:r>
            <w:r w:rsidRPr="006728DB">
              <w:rPr>
                <w:rFonts w:ascii="Times New Roman" w:eastAsia="Times New Roman" w:hAnsi="Times New Roman" w:cs="Times New Roman"/>
                <w:i/>
                <w:iCs/>
                <w:sz w:val="20"/>
                <w:szCs w:val="20"/>
                <w:lang w:eastAsia="en-ZA"/>
              </w:rPr>
              <w:t>Ethology Ecology &amp; Evolution</w:t>
            </w:r>
            <w:r w:rsidRPr="006728DB">
              <w:rPr>
                <w:rFonts w:ascii="Times New Roman" w:eastAsia="Times New Roman" w:hAnsi="Times New Roman" w:cs="Times New Roman"/>
                <w:sz w:val="20"/>
                <w:szCs w:val="20"/>
                <w:lang w:eastAsia="en-ZA"/>
              </w:rPr>
              <w:t xml:space="preserve"> 26, 204-231. https://doi.org/10.1080/03949370.2014.908326.</w:t>
            </w:r>
          </w:p>
          <w:p w14:paraId="764575E7" w14:textId="12C2046F" w:rsidR="002D7080" w:rsidRPr="004D1E6F" w:rsidRDefault="006728DB" w:rsidP="006728DB">
            <w:pPr>
              <w:ind w:left="720" w:hanging="720"/>
              <w:contextualSpacing/>
              <w:rPr>
                <w:rFonts w:ascii="Times New Roman" w:eastAsia="Times New Roman" w:hAnsi="Times New Roman" w:cs="Times New Roman"/>
                <w:sz w:val="20"/>
                <w:szCs w:val="20"/>
                <w:lang w:eastAsia="en-ZA"/>
              </w:rPr>
            </w:pPr>
            <w:r w:rsidRPr="00E36901">
              <w:rPr>
                <w:rFonts w:ascii="Times New Roman" w:eastAsia="Times New Roman" w:hAnsi="Times New Roman" w:cs="Times New Roman"/>
                <w:iCs/>
                <w:sz w:val="20"/>
                <w:szCs w:val="20"/>
                <w:lang w:eastAsia="en-ZA"/>
              </w:rPr>
              <w:t>Woodford, D.J., Ivey, P., Novoa, A., Shackleton, R., Richardson, D., Weyl, O., Van Wilgen, B. and Zengeya, T</w:t>
            </w:r>
            <w:r w:rsidRPr="006728DB">
              <w:rPr>
                <w:rFonts w:ascii="Times New Roman" w:eastAsia="Times New Roman" w:hAnsi="Times New Roman" w:cs="Times New Roman"/>
                <w:sz w:val="20"/>
                <w:szCs w:val="20"/>
                <w:lang w:eastAsia="en-ZA"/>
              </w:rPr>
              <w:t xml:space="preserve">., 2017, ‘Managing conflict-generating invasive species in South Africa: Challenges and trade-offs’, </w:t>
            </w:r>
            <w:r w:rsidRPr="006728DB">
              <w:rPr>
                <w:rFonts w:ascii="Times New Roman" w:eastAsia="Times New Roman" w:hAnsi="Times New Roman" w:cs="Times New Roman"/>
                <w:i/>
                <w:iCs/>
                <w:sz w:val="20"/>
                <w:szCs w:val="20"/>
                <w:lang w:eastAsia="en-ZA"/>
              </w:rPr>
              <w:t xml:space="preserve">Bothalia </w:t>
            </w:r>
            <w:r w:rsidRPr="006728DB">
              <w:rPr>
                <w:rFonts w:ascii="Times New Roman" w:eastAsia="Times New Roman" w:hAnsi="Times New Roman" w:cs="Times New Roman"/>
                <w:sz w:val="20"/>
                <w:szCs w:val="20"/>
                <w:lang w:eastAsia="en-ZA"/>
              </w:rPr>
              <w:t>47, a2160. https://doi. org/10.4102/abc.v47i2.2160.</w:t>
            </w:r>
          </w:p>
        </w:tc>
      </w:tr>
    </w:tbl>
    <w:p w14:paraId="7C0676A5"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9067" w:type="dxa"/>
        <w:tblLook w:val="04A0" w:firstRow="1" w:lastRow="0" w:firstColumn="1" w:lastColumn="0" w:noHBand="0" w:noVBand="1"/>
      </w:tblPr>
      <w:tblGrid>
        <w:gridCol w:w="1696"/>
        <w:gridCol w:w="7371"/>
      </w:tblGrid>
      <w:tr w:rsidR="002D7080" w:rsidRPr="004D1E6F" w14:paraId="3DFE9E5E" w14:textId="77777777" w:rsidTr="002E2C37">
        <w:trPr>
          <w:trHeight w:val="343"/>
        </w:trPr>
        <w:tc>
          <w:tcPr>
            <w:tcW w:w="9067" w:type="dxa"/>
            <w:gridSpan w:val="2"/>
            <w:shd w:val="clear" w:color="auto" w:fill="F2F2F2" w:themeFill="background1" w:themeFillShade="F2"/>
          </w:tcPr>
          <w:p w14:paraId="1F02803E"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MAN6 Any other management considerations to highlight? </w:t>
            </w:r>
            <w:r w:rsidRPr="004D1E6F">
              <w:rPr>
                <w:rFonts w:ascii="Times New Roman" w:eastAsia="Times New Roman" w:hAnsi="Times New Roman" w:cs="Times New Roman"/>
                <w:sz w:val="20"/>
                <w:szCs w:val="20"/>
                <w:lang w:eastAsia="en-ZA"/>
              </w:rPr>
              <w:t>(if yes, fill in Appendix MAN6)</w:t>
            </w:r>
          </w:p>
        </w:tc>
      </w:tr>
      <w:tr w:rsidR="002D7080" w:rsidRPr="004D1E6F" w14:paraId="495D0945" w14:textId="77777777" w:rsidTr="002E2C37">
        <w:trPr>
          <w:trHeight w:val="70"/>
        </w:trPr>
        <w:tc>
          <w:tcPr>
            <w:tcW w:w="1696" w:type="dxa"/>
          </w:tcPr>
          <w:p w14:paraId="6C0E5FC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w:t>
            </w:r>
          </w:p>
        </w:tc>
        <w:tc>
          <w:tcPr>
            <w:tcW w:w="7371" w:type="dxa"/>
          </w:tcPr>
          <w:p w14:paraId="7E7E2BA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r>
    </w:tbl>
    <w:p w14:paraId="11397C0D"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6558CC59" w14:textId="77777777" w:rsidR="002D7080" w:rsidRPr="004D1E6F" w:rsidRDefault="002D7080" w:rsidP="002D7080">
      <w:pPr>
        <w:spacing w:after="160" w:line="259"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5. Calculations</w:t>
      </w:r>
    </w:p>
    <w:p w14:paraId="1AA45311"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Likelihood = Fairly probable</w:t>
      </w:r>
    </w:p>
    <w:p w14:paraId="2D1379C2"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17"/>
        <w:tblW w:w="0" w:type="auto"/>
        <w:tblLook w:val="04A0" w:firstRow="1" w:lastRow="0" w:firstColumn="1" w:lastColumn="0" w:noHBand="0" w:noVBand="1"/>
      </w:tblPr>
      <w:tblGrid>
        <w:gridCol w:w="1195"/>
        <w:gridCol w:w="2628"/>
        <w:gridCol w:w="2939"/>
        <w:gridCol w:w="2254"/>
      </w:tblGrid>
      <w:tr w:rsidR="002D7080" w:rsidRPr="004D1E6F" w14:paraId="221346C1" w14:textId="77777777" w:rsidTr="002E2C37">
        <w:tc>
          <w:tcPr>
            <w:tcW w:w="1195" w:type="dxa"/>
            <w:shd w:val="clear" w:color="auto" w:fill="D9D9D9" w:themeFill="background1" w:themeFillShade="D9"/>
            <w:vAlign w:val="center"/>
          </w:tcPr>
          <w:p w14:paraId="5F32E55C"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Parameter</w:t>
            </w:r>
          </w:p>
        </w:tc>
        <w:tc>
          <w:tcPr>
            <w:tcW w:w="2628" w:type="dxa"/>
            <w:shd w:val="clear" w:color="auto" w:fill="D9D9D9" w:themeFill="background1" w:themeFillShade="D9"/>
            <w:vAlign w:val="center"/>
          </w:tcPr>
          <w:p w14:paraId="3E95EB1D"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Likelihood</w:t>
            </w:r>
          </w:p>
        </w:tc>
        <w:tc>
          <w:tcPr>
            <w:tcW w:w="2939" w:type="dxa"/>
            <w:shd w:val="clear" w:color="auto" w:fill="D9D9D9" w:themeFill="background1" w:themeFillShade="D9"/>
            <w:vAlign w:val="center"/>
          </w:tcPr>
          <w:p w14:paraId="18699892"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Stages</w:t>
            </w:r>
          </w:p>
        </w:tc>
        <w:tc>
          <w:tcPr>
            <w:tcW w:w="2254" w:type="dxa"/>
            <w:shd w:val="clear" w:color="auto" w:fill="D9D9D9" w:themeFill="background1" w:themeFillShade="D9"/>
            <w:vAlign w:val="center"/>
          </w:tcPr>
          <w:p w14:paraId="260ED522"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Final assessment</w:t>
            </w:r>
          </w:p>
        </w:tc>
      </w:tr>
      <w:tr w:rsidR="002D7080" w:rsidRPr="004D1E6F" w14:paraId="245692E7" w14:textId="77777777" w:rsidTr="002E2C37">
        <w:tc>
          <w:tcPr>
            <w:tcW w:w="1195" w:type="dxa"/>
            <w:shd w:val="clear" w:color="auto" w:fill="D9D9D9" w:themeFill="background1" w:themeFillShade="D9"/>
            <w:vAlign w:val="center"/>
          </w:tcPr>
          <w:p w14:paraId="588E25F1"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LIK1</w:t>
            </w:r>
          </w:p>
        </w:tc>
        <w:tc>
          <w:tcPr>
            <w:tcW w:w="2628" w:type="dxa"/>
            <w:vAlign w:val="center"/>
          </w:tcPr>
          <w:p w14:paraId="6052617F"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0.0027</w:t>
            </w:r>
          </w:p>
        </w:tc>
        <w:tc>
          <w:tcPr>
            <w:tcW w:w="2939" w:type="dxa"/>
            <w:vMerge w:val="restart"/>
            <w:vAlign w:val="center"/>
          </w:tcPr>
          <w:p w14:paraId="537321E6"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P(entry) = 0.</w:t>
            </w:r>
            <w:r>
              <w:rPr>
                <w:rFonts w:ascii="Times New Roman" w:eastAsia="Times New Roman" w:hAnsi="Times New Roman" w:cs="Times New Roman"/>
                <w:color w:val="000000"/>
                <w:sz w:val="20"/>
                <w:szCs w:val="20"/>
                <w:lang w:eastAsia="en-ZA"/>
              </w:rPr>
              <w:t>5</w:t>
            </w:r>
          </w:p>
        </w:tc>
        <w:tc>
          <w:tcPr>
            <w:tcW w:w="2254" w:type="dxa"/>
            <w:vMerge w:val="restart"/>
            <w:vAlign w:val="center"/>
          </w:tcPr>
          <w:p w14:paraId="02E84974"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 (invasion) =0.</w:t>
            </w:r>
            <w:r>
              <w:rPr>
                <w:rFonts w:ascii="Times New Roman" w:eastAsia="Times New Roman" w:hAnsi="Times New Roman" w:cs="Times New Roman"/>
                <w:color w:val="000000"/>
                <w:sz w:val="20"/>
                <w:szCs w:val="20"/>
                <w:lang w:eastAsia="en-ZA"/>
              </w:rPr>
              <w:t>125</w:t>
            </w:r>
          </w:p>
        </w:tc>
      </w:tr>
      <w:tr w:rsidR="002D7080" w:rsidRPr="004D1E6F" w14:paraId="23D8642A" w14:textId="77777777" w:rsidTr="002E2C37">
        <w:tc>
          <w:tcPr>
            <w:tcW w:w="1195" w:type="dxa"/>
            <w:shd w:val="clear" w:color="auto" w:fill="D9D9D9" w:themeFill="background1" w:themeFillShade="D9"/>
            <w:vAlign w:val="center"/>
          </w:tcPr>
          <w:p w14:paraId="284E5E6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LIK2</w:t>
            </w:r>
          </w:p>
        </w:tc>
        <w:tc>
          <w:tcPr>
            <w:tcW w:w="2628" w:type="dxa"/>
            <w:vAlign w:val="center"/>
          </w:tcPr>
          <w:p w14:paraId="61881531"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w:t>
            </w:r>
            <w:r>
              <w:rPr>
                <w:rFonts w:ascii="Times New Roman" w:eastAsia="Times New Roman" w:hAnsi="Times New Roman" w:cs="Times New Roman"/>
                <w:color w:val="000000"/>
                <w:sz w:val="20"/>
                <w:szCs w:val="20"/>
                <w:lang w:eastAsia="en-ZA"/>
              </w:rPr>
              <w:t>5</w:t>
            </w:r>
          </w:p>
        </w:tc>
        <w:tc>
          <w:tcPr>
            <w:tcW w:w="2939" w:type="dxa"/>
            <w:vMerge/>
            <w:vAlign w:val="center"/>
          </w:tcPr>
          <w:p w14:paraId="3CA1E419"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29B8711E"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2A7B73F2" w14:textId="77777777" w:rsidTr="002E2C37">
        <w:tc>
          <w:tcPr>
            <w:tcW w:w="1195" w:type="dxa"/>
            <w:shd w:val="clear" w:color="auto" w:fill="D9D9D9" w:themeFill="background1" w:themeFillShade="D9"/>
            <w:vAlign w:val="center"/>
          </w:tcPr>
          <w:p w14:paraId="3F87780C"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LIK3</w:t>
            </w:r>
          </w:p>
        </w:tc>
        <w:tc>
          <w:tcPr>
            <w:tcW w:w="2628" w:type="dxa"/>
            <w:vAlign w:val="center"/>
          </w:tcPr>
          <w:p w14:paraId="4B15479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0.5</w:t>
            </w:r>
          </w:p>
        </w:tc>
        <w:tc>
          <w:tcPr>
            <w:tcW w:w="2939" w:type="dxa"/>
            <w:vMerge w:val="restart"/>
            <w:vAlign w:val="center"/>
          </w:tcPr>
          <w:p w14:paraId="0A674C09"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P(establishment) = 0.5</w:t>
            </w:r>
          </w:p>
        </w:tc>
        <w:tc>
          <w:tcPr>
            <w:tcW w:w="2254" w:type="dxa"/>
            <w:vMerge/>
            <w:vAlign w:val="center"/>
          </w:tcPr>
          <w:p w14:paraId="37DCBE40"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44F91F3A" w14:textId="77777777" w:rsidTr="002E2C37">
        <w:tc>
          <w:tcPr>
            <w:tcW w:w="1195" w:type="dxa"/>
            <w:shd w:val="clear" w:color="auto" w:fill="D9D9D9" w:themeFill="background1" w:themeFillShade="D9"/>
            <w:vAlign w:val="center"/>
          </w:tcPr>
          <w:p w14:paraId="5D1BC47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LIK4</w:t>
            </w:r>
          </w:p>
        </w:tc>
        <w:tc>
          <w:tcPr>
            <w:tcW w:w="2628" w:type="dxa"/>
            <w:vAlign w:val="center"/>
          </w:tcPr>
          <w:p w14:paraId="0D4CA98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0.5 </w:t>
            </w:r>
          </w:p>
        </w:tc>
        <w:tc>
          <w:tcPr>
            <w:tcW w:w="2939" w:type="dxa"/>
            <w:vMerge/>
            <w:vAlign w:val="center"/>
          </w:tcPr>
          <w:p w14:paraId="51105E88"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7C0773F9"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338D5E04" w14:textId="77777777" w:rsidTr="002E2C37">
        <w:tc>
          <w:tcPr>
            <w:tcW w:w="1195" w:type="dxa"/>
            <w:shd w:val="clear" w:color="auto" w:fill="D9D9D9" w:themeFill="background1" w:themeFillShade="D9"/>
            <w:vAlign w:val="center"/>
          </w:tcPr>
          <w:p w14:paraId="242FD302"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LIK5</w:t>
            </w:r>
          </w:p>
        </w:tc>
        <w:tc>
          <w:tcPr>
            <w:tcW w:w="2628" w:type="dxa"/>
            <w:vAlign w:val="center"/>
          </w:tcPr>
          <w:p w14:paraId="59BEAC8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0.0027</w:t>
            </w:r>
          </w:p>
        </w:tc>
        <w:tc>
          <w:tcPr>
            <w:tcW w:w="2939" w:type="dxa"/>
            <w:vMerge w:val="restart"/>
            <w:vAlign w:val="center"/>
          </w:tcPr>
          <w:p w14:paraId="02ED5E62"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 (spread) = 0.5</w:t>
            </w:r>
          </w:p>
        </w:tc>
        <w:tc>
          <w:tcPr>
            <w:tcW w:w="2254" w:type="dxa"/>
            <w:vMerge/>
            <w:vAlign w:val="center"/>
          </w:tcPr>
          <w:p w14:paraId="674A96F0"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5DBFCE0E" w14:textId="77777777" w:rsidTr="002E2C37">
        <w:tc>
          <w:tcPr>
            <w:tcW w:w="1195" w:type="dxa"/>
            <w:shd w:val="clear" w:color="auto" w:fill="D9D9D9" w:themeFill="background1" w:themeFillShade="D9"/>
            <w:vAlign w:val="center"/>
          </w:tcPr>
          <w:p w14:paraId="515C8E5A"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LIK6</w:t>
            </w:r>
          </w:p>
        </w:tc>
        <w:tc>
          <w:tcPr>
            <w:tcW w:w="2628" w:type="dxa"/>
            <w:vAlign w:val="center"/>
          </w:tcPr>
          <w:p w14:paraId="66CDF6CC"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0.5</w:t>
            </w:r>
          </w:p>
        </w:tc>
        <w:tc>
          <w:tcPr>
            <w:tcW w:w="2939" w:type="dxa"/>
            <w:vMerge/>
            <w:vAlign w:val="center"/>
          </w:tcPr>
          <w:p w14:paraId="0681E3BA"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400A1476" w14:textId="77777777" w:rsidR="002D7080" w:rsidRPr="004D1E6F" w:rsidRDefault="002D7080" w:rsidP="002E2C37">
            <w:pPr>
              <w:rPr>
                <w:rFonts w:ascii="Times New Roman" w:eastAsia="Times New Roman" w:hAnsi="Times New Roman" w:cs="Times New Roman"/>
                <w:color w:val="000000"/>
                <w:sz w:val="20"/>
                <w:szCs w:val="20"/>
                <w:lang w:eastAsia="en-ZA"/>
              </w:rPr>
            </w:pPr>
          </w:p>
        </w:tc>
      </w:tr>
    </w:tbl>
    <w:p w14:paraId="2250CB1A"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108C5A06" w14:textId="77777777" w:rsidR="002D7080" w:rsidRDefault="002D7080" w:rsidP="002D7080">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Consequence = </w:t>
      </w:r>
      <w:r w:rsidRPr="00551644">
        <w:rPr>
          <w:rFonts w:ascii="Times New Roman" w:eastAsia="Times New Roman" w:hAnsi="Times New Roman" w:cs="Times New Roman"/>
          <w:b/>
          <w:color w:val="000000"/>
          <w:sz w:val="20"/>
          <w:szCs w:val="20"/>
          <w:lang w:eastAsia="en-ZA"/>
        </w:rPr>
        <w:t>Major (MR)</w:t>
      </w:r>
    </w:p>
    <w:p w14:paraId="736646C8"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23"/>
        <w:tblW w:w="0" w:type="auto"/>
        <w:tblLook w:val="04A0" w:firstRow="1" w:lastRow="0" w:firstColumn="1" w:lastColumn="0" w:noHBand="0" w:noVBand="1"/>
      </w:tblPr>
      <w:tblGrid>
        <w:gridCol w:w="1555"/>
        <w:gridCol w:w="4943"/>
        <w:gridCol w:w="2518"/>
      </w:tblGrid>
      <w:tr w:rsidR="002D7080" w:rsidRPr="004D1E6F" w14:paraId="47B865C3" w14:textId="77777777" w:rsidTr="002E2C37">
        <w:tc>
          <w:tcPr>
            <w:tcW w:w="1555" w:type="dxa"/>
            <w:shd w:val="clear" w:color="auto" w:fill="D9D9D9" w:themeFill="background1" w:themeFillShade="D9"/>
          </w:tcPr>
          <w:p w14:paraId="35B6661C" w14:textId="77777777" w:rsidR="002D7080" w:rsidRPr="004D1E6F" w:rsidRDefault="002D7080" w:rsidP="002E2C37">
            <w:pPr>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Parameter</w:t>
            </w:r>
          </w:p>
        </w:tc>
        <w:tc>
          <w:tcPr>
            <w:tcW w:w="4943" w:type="dxa"/>
            <w:shd w:val="clear" w:color="auto" w:fill="D9D9D9" w:themeFill="background1" w:themeFillShade="D9"/>
          </w:tcPr>
          <w:p w14:paraId="317818F7" w14:textId="77777777" w:rsidR="002D7080" w:rsidRPr="004D1E6F" w:rsidRDefault="002D7080" w:rsidP="002E2C37">
            <w:pPr>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Mechanism/sector</w:t>
            </w:r>
          </w:p>
        </w:tc>
        <w:tc>
          <w:tcPr>
            <w:tcW w:w="2518" w:type="dxa"/>
            <w:shd w:val="clear" w:color="auto" w:fill="D9D9D9" w:themeFill="background1" w:themeFillShade="D9"/>
          </w:tcPr>
          <w:p w14:paraId="67627892" w14:textId="77777777" w:rsidR="002D7080" w:rsidRPr="004D1E6F" w:rsidRDefault="002D7080" w:rsidP="002E2C37">
            <w:pPr>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Response</w:t>
            </w:r>
          </w:p>
        </w:tc>
      </w:tr>
      <w:tr w:rsidR="002D7080" w:rsidRPr="004D1E6F" w14:paraId="421C8061" w14:textId="77777777" w:rsidTr="002E2C37">
        <w:tc>
          <w:tcPr>
            <w:tcW w:w="1555" w:type="dxa"/>
            <w:shd w:val="clear" w:color="auto" w:fill="D9D9D9" w:themeFill="background1" w:themeFillShade="D9"/>
          </w:tcPr>
          <w:p w14:paraId="0824B2D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CON3a</w:t>
            </w:r>
          </w:p>
        </w:tc>
        <w:tc>
          <w:tcPr>
            <w:tcW w:w="4943" w:type="dxa"/>
            <w:shd w:val="clear" w:color="auto" w:fill="D9D9D9" w:themeFill="background1" w:themeFillShade="D9"/>
          </w:tcPr>
          <w:p w14:paraId="02ECF8FC"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Competition</w:t>
            </w:r>
          </w:p>
        </w:tc>
        <w:tc>
          <w:tcPr>
            <w:tcW w:w="2518" w:type="dxa"/>
          </w:tcPr>
          <w:p w14:paraId="58189517"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color w:val="000000"/>
                <w:sz w:val="20"/>
                <w:szCs w:val="20"/>
                <w:lang w:eastAsia="en-ZA"/>
              </w:rPr>
              <w:t>MR</w:t>
            </w:r>
          </w:p>
        </w:tc>
      </w:tr>
      <w:tr w:rsidR="002D7080" w:rsidRPr="004D1E6F" w14:paraId="0E141F4F" w14:textId="77777777" w:rsidTr="002E2C37">
        <w:tc>
          <w:tcPr>
            <w:tcW w:w="1555" w:type="dxa"/>
            <w:shd w:val="clear" w:color="auto" w:fill="D9D9D9" w:themeFill="background1" w:themeFillShade="D9"/>
          </w:tcPr>
          <w:p w14:paraId="5A75DEB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CON3b</w:t>
            </w:r>
          </w:p>
        </w:tc>
        <w:tc>
          <w:tcPr>
            <w:tcW w:w="4943" w:type="dxa"/>
            <w:shd w:val="clear" w:color="auto" w:fill="D9D9D9" w:themeFill="background1" w:themeFillShade="D9"/>
          </w:tcPr>
          <w:p w14:paraId="76EE8F6F"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Predation</w:t>
            </w:r>
          </w:p>
        </w:tc>
        <w:tc>
          <w:tcPr>
            <w:tcW w:w="2518" w:type="dxa"/>
          </w:tcPr>
          <w:p w14:paraId="39019DEB"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color w:val="000000"/>
                <w:sz w:val="20"/>
                <w:szCs w:val="20"/>
                <w:lang w:eastAsia="en-ZA"/>
              </w:rPr>
              <w:t>MR</w:t>
            </w:r>
          </w:p>
        </w:tc>
      </w:tr>
      <w:tr w:rsidR="002D7080" w:rsidRPr="004D1E6F" w14:paraId="69C2A3E0" w14:textId="77777777" w:rsidTr="002E2C37">
        <w:tc>
          <w:tcPr>
            <w:tcW w:w="1555" w:type="dxa"/>
            <w:shd w:val="clear" w:color="auto" w:fill="D9D9D9" w:themeFill="background1" w:themeFillShade="D9"/>
          </w:tcPr>
          <w:p w14:paraId="3501D27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CON3c</w:t>
            </w:r>
          </w:p>
        </w:tc>
        <w:tc>
          <w:tcPr>
            <w:tcW w:w="4943" w:type="dxa"/>
            <w:shd w:val="clear" w:color="auto" w:fill="D9D9D9" w:themeFill="background1" w:themeFillShade="D9"/>
          </w:tcPr>
          <w:p w14:paraId="21F51FD7"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Hybridisation</w:t>
            </w:r>
          </w:p>
        </w:tc>
        <w:tc>
          <w:tcPr>
            <w:tcW w:w="2518" w:type="dxa"/>
          </w:tcPr>
          <w:p w14:paraId="53D33C71"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DD</w:t>
            </w:r>
          </w:p>
        </w:tc>
      </w:tr>
      <w:tr w:rsidR="002D7080" w:rsidRPr="004D1E6F" w14:paraId="5E42BA82" w14:textId="77777777" w:rsidTr="002E2C37">
        <w:tc>
          <w:tcPr>
            <w:tcW w:w="1555" w:type="dxa"/>
            <w:shd w:val="clear" w:color="auto" w:fill="D9D9D9" w:themeFill="background1" w:themeFillShade="D9"/>
          </w:tcPr>
          <w:p w14:paraId="6B15A6A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CON3d</w:t>
            </w:r>
          </w:p>
        </w:tc>
        <w:tc>
          <w:tcPr>
            <w:tcW w:w="4943" w:type="dxa"/>
            <w:shd w:val="clear" w:color="auto" w:fill="D9D9D9" w:themeFill="background1" w:themeFillShade="D9"/>
          </w:tcPr>
          <w:p w14:paraId="38A68206"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Disease transmission</w:t>
            </w:r>
          </w:p>
        </w:tc>
        <w:tc>
          <w:tcPr>
            <w:tcW w:w="2518" w:type="dxa"/>
          </w:tcPr>
          <w:p w14:paraId="66D6ECAE"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color w:val="000000"/>
                <w:sz w:val="20"/>
                <w:szCs w:val="20"/>
                <w:lang w:eastAsia="en-ZA"/>
              </w:rPr>
              <w:t>MN</w:t>
            </w:r>
          </w:p>
        </w:tc>
      </w:tr>
      <w:tr w:rsidR="002D7080" w:rsidRPr="004D1E6F" w14:paraId="4F489249" w14:textId="77777777" w:rsidTr="002E2C37">
        <w:tc>
          <w:tcPr>
            <w:tcW w:w="1555" w:type="dxa"/>
            <w:shd w:val="clear" w:color="auto" w:fill="D9D9D9" w:themeFill="background1" w:themeFillShade="D9"/>
          </w:tcPr>
          <w:p w14:paraId="40F9EB4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CON3e</w:t>
            </w:r>
          </w:p>
        </w:tc>
        <w:tc>
          <w:tcPr>
            <w:tcW w:w="4943" w:type="dxa"/>
            <w:shd w:val="clear" w:color="auto" w:fill="D9D9D9" w:themeFill="background1" w:themeFillShade="D9"/>
          </w:tcPr>
          <w:p w14:paraId="4EC3419B"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Parasitism</w:t>
            </w:r>
          </w:p>
        </w:tc>
        <w:tc>
          <w:tcPr>
            <w:tcW w:w="2518" w:type="dxa"/>
          </w:tcPr>
          <w:p w14:paraId="33B8B01A"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color w:val="000000"/>
                <w:sz w:val="20"/>
                <w:szCs w:val="20"/>
                <w:lang w:eastAsia="en-ZA"/>
              </w:rPr>
              <w:t>DD</w:t>
            </w:r>
          </w:p>
        </w:tc>
      </w:tr>
      <w:tr w:rsidR="002D7080" w:rsidRPr="004D1E6F" w14:paraId="79AC347E" w14:textId="77777777" w:rsidTr="002E2C37">
        <w:tc>
          <w:tcPr>
            <w:tcW w:w="1555" w:type="dxa"/>
            <w:shd w:val="clear" w:color="auto" w:fill="D9D9D9" w:themeFill="background1" w:themeFillShade="D9"/>
          </w:tcPr>
          <w:p w14:paraId="2E20E73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CON3f</w:t>
            </w:r>
          </w:p>
        </w:tc>
        <w:tc>
          <w:tcPr>
            <w:tcW w:w="4943" w:type="dxa"/>
            <w:shd w:val="clear" w:color="auto" w:fill="D9D9D9" w:themeFill="background1" w:themeFillShade="D9"/>
          </w:tcPr>
          <w:p w14:paraId="3F53FE81"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Poisoning/toxicity</w:t>
            </w:r>
          </w:p>
        </w:tc>
        <w:tc>
          <w:tcPr>
            <w:tcW w:w="2518" w:type="dxa"/>
          </w:tcPr>
          <w:p w14:paraId="1457718F"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color w:val="000000"/>
                <w:sz w:val="20"/>
                <w:szCs w:val="20"/>
                <w:lang w:eastAsia="en-ZA"/>
              </w:rPr>
              <w:t>DD</w:t>
            </w:r>
          </w:p>
        </w:tc>
      </w:tr>
      <w:tr w:rsidR="002D7080" w:rsidRPr="004D1E6F" w14:paraId="7FDE9F76" w14:textId="77777777" w:rsidTr="002E2C37">
        <w:tc>
          <w:tcPr>
            <w:tcW w:w="1555" w:type="dxa"/>
            <w:shd w:val="clear" w:color="auto" w:fill="D9D9D9" w:themeFill="background1" w:themeFillShade="D9"/>
          </w:tcPr>
          <w:p w14:paraId="5E66B2C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CON3g</w:t>
            </w:r>
          </w:p>
        </w:tc>
        <w:tc>
          <w:tcPr>
            <w:tcW w:w="4943" w:type="dxa"/>
            <w:shd w:val="clear" w:color="auto" w:fill="D9D9D9" w:themeFill="background1" w:themeFillShade="D9"/>
          </w:tcPr>
          <w:p w14:paraId="24E5FAAD"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Bio-fouling or other direct physical disturbance</w:t>
            </w:r>
          </w:p>
        </w:tc>
        <w:tc>
          <w:tcPr>
            <w:tcW w:w="2518" w:type="dxa"/>
          </w:tcPr>
          <w:p w14:paraId="25CE8C07"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color w:val="000000"/>
                <w:sz w:val="20"/>
                <w:szCs w:val="20"/>
                <w:lang w:eastAsia="en-ZA"/>
              </w:rPr>
              <w:t>DD</w:t>
            </w:r>
          </w:p>
        </w:tc>
      </w:tr>
      <w:tr w:rsidR="002D7080" w:rsidRPr="004D1E6F" w14:paraId="41DE64C1" w14:textId="77777777" w:rsidTr="002E2C37">
        <w:tc>
          <w:tcPr>
            <w:tcW w:w="1555" w:type="dxa"/>
            <w:shd w:val="clear" w:color="auto" w:fill="D9D9D9" w:themeFill="background1" w:themeFillShade="D9"/>
          </w:tcPr>
          <w:p w14:paraId="1A98778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CON3h</w:t>
            </w:r>
          </w:p>
        </w:tc>
        <w:tc>
          <w:tcPr>
            <w:tcW w:w="4943" w:type="dxa"/>
            <w:shd w:val="clear" w:color="auto" w:fill="D9D9D9" w:themeFill="background1" w:themeFillShade="D9"/>
          </w:tcPr>
          <w:p w14:paraId="662EC4C5"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Grazing/herbivory/browsing</w:t>
            </w:r>
          </w:p>
        </w:tc>
        <w:tc>
          <w:tcPr>
            <w:tcW w:w="2518" w:type="dxa"/>
          </w:tcPr>
          <w:p w14:paraId="2B3F9907"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color w:val="000000"/>
                <w:sz w:val="20"/>
                <w:szCs w:val="20"/>
                <w:lang w:eastAsia="en-ZA"/>
              </w:rPr>
              <w:t>MO</w:t>
            </w:r>
          </w:p>
        </w:tc>
      </w:tr>
      <w:tr w:rsidR="002D7080" w:rsidRPr="004D1E6F" w14:paraId="661D6644" w14:textId="77777777" w:rsidTr="002E2C37">
        <w:tc>
          <w:tcPr>
            <w:tcW w:w="1555" w:type="dxa"/>
            <w:shd w:val="clear" w:color="auto" w:fill="D9D9D9" w:themeFill="background1" w:themeFillShade="D9"/>
          </w:tcPr>
          <w:p w14:paraId="0BCC175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CON3i</w:t>
            </w:r>
          </w:p>
        </w:tc>
        <w:tc>
          <w:tcPr>
            <w:tcW w:w="4943" w:type="dxa"/>
            <w:shd w:val="clear" w:color="auto" w:fill="D9D9D9" w:themeFill="background1" w:themeFillShade="D9"/>
          </w:tcPr>
          <w:p w14:paraId="2FA7DBD7"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Chemical, physical, structural impact</w:t>
            </w:r>
          </w:p>
        </w:tc>
        <w:tc>
          <w:tcPr>
            <w:tcW w:w="2518" w:type="dxa"/>
          </w:tcPr>
          <w:p w14:paraId="55A99747"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color w:val="000000"/>
                <w:sz w:val="20"/>
                <w:szCs w:val="20"/>
                <w:lang w:eastAsia="en-ZA"/>
              </w:rPr>
              <w:t>MN</w:t>
            </w:r>
          </w:p>
        </w:tc>
      </w:tr>
      <w:tr w:rsidR="002D7080" w:rsidRPr="004D1E6F" w14:paraId="188BF61E" w14:textId="77777777" w:rsidTr="002E2C37">
        <w:tc>
          <w:tcPr>
            <w:tcW w:w="1555" w:type="dxa"/>
            <w:shd w:val="clear" w:color="auto" w:fill="D9D9D9" w:themeFill="background1" w:themeFillShade="D9"/>
          </w:tcPr>
          <w:p w14:paraId="10E938F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CON3k</w:t>
            </w:r>
          </w:p>
        </w:tc>
        <w:tc>
          <w:tcPr>
            <w:tcW w:w="4943" w:type="dxa"/>
            <w:shd w:val="clear" w:color="auto" w:fill="D9D9D9" w:themeFill="background1" w:themeFillShade="D9"/>
          </w:tcPr>
          <w:p w14:paraId="5E3C062B"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Indirect impacts through interactions with other species</w:t>
            </w:r>
          </w:p>
        </w:tc>
        <w:tc>
          <w:tcPr>
            <w:tcW w:w="2518" w:type="dxa"/>
          </w:tcPr>
          <w:p w14:paraId="3FC58BAB"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DD</w:t>
            </w:r>
          </w:p>
        </w:tc>
      </w:tr>
      <w:tr w:rsidR="002D7080" w:rsidRPr="004D1E6F" w14:paraId="29A59183" w14:textId="77777777" w:rsidTr="002E2C37">
        <w:tc>
          <w:tcPr>
            <w:tcW w:w="1555" w:type="dxa"/>
            <w:shd w:val="clear" w:color="auto" w:fill="D9D9D9" w:themeFill="background1" w:themeFillShade="D9"/>
          </w:tcPr>
          <w:p w14:paraId="4C6D8BF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CON1</w:t>
            </w:r>
          </w:p>
        </w:tc>
        <w:tc>
          <w:tcPr>
            <w:tcW w:w="4943" w:type="dxa"/>
            <w:shd w:val="clear" w:color="auto" w:fill="D9D9D9" w:themeFill="background1" w:themeFillShade="D9"/>
          </w:tcPr>
          <w:p w14:paraId="219EEC2E"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 xml:space="preserve">Maximum environmental impact </w:t>
            </w:r>
          </w:p>
        </w:tc>
        <w:tc>
          <w:tcPr>
            <w:tcW w:w="2518" w:type="dxa"/>
          </w:tcPr>
          <w:p w14:paraId="68D760B3"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MR</w:t>
            </w:r>
          </w:p>
        </w:tc>
      </w:tr>
      <w:tr w:rsidR="002D7080" w:rsidRPr="004D1E6F" w14:paraId="31DDCAD2" w14:textId="77777777" w:rsidTr="002E2C37">
        <w:tc>
          <w:tcPr>
            <w:tcW w:w="1555" w:type="dxa"/>
            <w:shd w:val="clear" w:color="auto" w:fill="D9D9D9" w:themeFill="background1" w:themeFillShade="D9"/>
          </w:tcPr>
          <w:p w14:paraId="4FCC2A4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CON4a</w:t>
            </w:r>
          </w:p>
        </w:tc>
        <w:tc>
          <w:tcPr>
            <w:tcW w:w="4943" w:type="dxa"/>
            <w:shd w:val="clear" w:color="auto" w:fill="D9D9D9" w:themeFill="background1" w:themeFillShade="D9"/>
          </w:tcPr>
          <w:p w14:paraId="667FB266"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Calibri" w:hAnsi="Times New Roman" w:cs="Times New Roman"/>
                <w:sz w:val="20"/>
                <w:szCs w:val="20"/>
              </w:rPr>
              <w:t>Safety</w:t>
            </w:r>
          </w:p>
        </w:tc>
        <w:tc>
          <w:tcPr>
            <w:tcW w:w="2518" w:type="dxa"/>
          </w:tcPr>
          <w:p w14:paraId="4BEBD882"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color w:val="000000"/>
                <w:sz w:val="20"/>
                <w:szCs w:val="20"/>
                <w:lang w:eastAsia="en-ZA"/>
              </w:rPr>
              <w:t>DD</w:t>
            </w:r>
          </w:p>
        </w:tc>
      </w:tr>
      <w:tr w:rsidR="002D7080" w:rsidRPr="004D1E6F" w14:paraId="0FB15383" w14:textId="77777777" w:rsidTr="002E2C37">
        <w:tc>
          <w:tcPr>
            <w:tcW w:w="1555" w:type="dxa"/>
            <w:shd w:val="clear" w:color="auto" w:fill="D9D9D9" w:themeFill="background1" w:themeFillShade="D9"/>
          </w:tcPr>
          <w:p w14:paraId="24BA9AB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CON4b</w:t>
            </w:r>
          </w:p>
        </w:tc>
        <w:tc>
          <w:tcPr>
            <w:tcW w:w="4943" w:type="dxa"/>
            <w:shd w:val="clear" w:color="auto" w:fill="D9D9D9" w:themeFill="background1" w:themeFillShade="D9"/>
          </w:tcPr>
          <w:p w14:paraId="25CEB381"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Calibri" w:hAnsi="Times New Roman" w:cs="Times New Roman"/>
                <w:sz w:val="20"/>
                <w:szCs w:val="20"/>
              </w:rPr>
              <w:t>Material and immaterial assets</w:t>
            </w:r>
          </w:p>
        </w:tc>
        <w:tc>
          <w:tcPr>
            <w:tcW w:w="2518" w:type="dxa"/>
          </w:tcPr>
          <w:p w14:paraId="05C91EDA"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MN</w:t>
            </w:r>
          </w:p>
        </w:tc>
      </w:tr>
      <w:tr w:rsidR="002D7080" w:rsidRPr="004D1E6F" w14:paraId="6E95262E" w14:textId="77777777" w:rsidTr="002E2C37">
        <w:tc>
          <w:tcPr>
            <w:tcW w:w="1555" w:type="dxa"/>
            <w:shd w:val="clear" w:color="auto" w:fill="D9D9D9" w:themeFill="background1" w:themeFillShade="D9"/>
          </w:tcPr>
          <w:p w14:paraId="20DD728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CON4c</w:t>
            </w:r>
          </w:p>
        </w:tc>
        <w:tc>
          <w:tcPr>
            <w:tcW w:w="4943" w:type="dxa"/>
            <w:shd w:val="clear" w:color="auto" w:fill="D9D9D9" w:themeFill="background1" w:themeFillShade="D9"/>
          </w:tcPr>
          <w:p w14:paraId="6A805A45"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Calibri" w:hAnsi="Times New Roman" w:cs="Times New Roman"/>
                <w:sz w:val="20"/>
                <w:szCs w:val="20"/>
              </w:rPr>
              <w:t>Health</w:t>
            </w:r>
          </w:p>
        </w:tc>
        <w:tc>
          <w:tcPr>
            <w:tcW w:w="2518" w:type="dxa"/>
          </w:tcPr>
          <w:p w14:paraId="5913FB1B"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color w:val="000000"/>
                <w:sz w:val="20"/>
                <w:szCs w:val="20"/>
                <w:lang w:eastAsia="en-ZA"/>
              </w:rPr>
              <w:t>DD</w:t>
            </w:r>
          </w:p>
        </w:tc>
      </w:tr>
      <w:tr w:rsidR="002D7080" w:rsidRPr="004D1E6F" w14:paraId="6A20B06F" w14:textId="77777777" w:rsidTr="002E2C37">
        <w:tc>
          <w:tcPr>
            <w:tcW w:w="1555" w:type="dxa"/>
            <w:shd w:val="clear" w:color="auto" w:fill="D9D9D9" w:themeFill="background1" w:themeFillShade="D9"/>
          </w:tcPr>
          <w:p w14:paraId="6AE697B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CON4d</w:t>
            </w:r>
          </w:p>
        </w:tc>
        <w:tc>
          <w:tcPr>
            <w:tcW w:w="4943" w:type="dxa"/>
            <w:shd w:val="clear" w:color="auto" w:fill="D9D9D9" w:themeFill="background1" w:themeFillShade="D9"/>
          </w:tcPr>
          <w:p w14:paraId="2B571BA0"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Calibri" w:hAnsi="Times New Roman" w:cs="Times New Roman"/>
                <w:sz w:val="20"/>
                <w:szCs w:val="20"/>
              </w:rPr>
              <w:t>Social, spiritual and cultural relations</w:t>
            </w:r>
          </w:p>
        </w:tc>
        <w:tc>
          <w:tcPr>
            <w:tcW w:w="2518" w:type="dxa"/>
          </w:tcPr>
          <w:p w14:paraId="47CBA25D"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DD</w:t>
            </w:r>
          </w:p>
        </w:tc>
      </w:tr>
      <w:tr w:rsidR="002D7080" w:rsidRPr="004D1E6F" w14:paraId="183F376D" w14:textId="77777777" w:rsidTr="002E2C37">
        <w:tc>
          <w:tcPr>
            <w:tcW w:w="1555" w:type="dxa"/>
            <w:shd w:val="clear" w:color="auto" w:fill="D9D9D9" w:themeFill="background1" w:themeFillShade="D9"/>
          </w:tcPr>
          <w:p w14:paraId="031D8CB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CON2</w:t>
            </w:r>
          </w:p>
        </w:tc>
        <w:tc>
          <w:tcPr>
            <w:tcW w:w="4943" w:type="dxa"/>
            <w:shd w:val="clear" w:color="auto" w:fill="D9D9D9" w:themeFill="background1" w:themeFillShade="D9"/>
          </w:tcPr>
          <w:p w14:paraId="1FAAE0CE" w14:textId="77777777" w:rsidR="002D7080" w:rsidRPr="007A5C33" w:rsidRDefault="002D7080" w:rsidP="002E2C37">
            <w:pPr>
              <w:jc w:val="both"/>
              <w:rPr>
                <w:rFonts w:ascii="Times New Roman" w:eastAsia="Calibri" w:hAnsi="Times New Roman" w:cs="Times New Roman"/>
                <w:sz w:val="20"/>
                <w:szCs w:val="20"/>
              </w:rPr>
            </w:pPr>
            <w:r w:rsidRPr="007A5C33">
              <w:rPr>
                <w:rFonts w:ascii="Times New Roman" w:eastAsia="Times New Roman" w:hAnsi="Times New Roman" w:cs="Times New Roman"/>
                <w:sz w:val="20"/>
                <w:szCs w:val="20"/>
                <w:lang w:eastAsia="en-ZA"/>
              </w:rPr>
              <w:t>Maximum socio-economic impact</w:t>
            </w:r>
          </w:p>
        </w:tc>
        <w:tc>
          <w:tcPr>
            <w:tcW w:w="2518" w:type="dxa"/>
          </w:tcPr>
          <w:p w14:paraId="797F0066"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MN</w:t>
            </w:r>
          </w:p>
        </w:tc>
      </w:tr>
      <w:tr w:rsidR="002D7080" w:rsidRPr="004D1E6F" w14:paraId="357CC1F7" w14:textId="77777777" w:rsidTr="002E2C37">
        <w:tc>
          <w:tcPr>
            <w:tcW w:w="1555" w:type="dxa"/>
            <w:shd w:val="clear" w:color="auto" w:fill="D9D9D9" w:themeFill="background1" w:themeFillShade="D9"/>
          </w:tcPr>
          <w:p w14:paraId="4C3E1981" w14:textId="77777777" w:rsidR="002D7080" w:rsidRPr="00AF6349" w:rsidRDefault="002D7080" w:rsidP="002E2C37">
            <w:pPr>
              <w:jc w:val="both"/>
              <w:rPr>
                <w:rFonts w:ascii="Times New Roman" w:eastAsia="Times New Roman" w:hAnsi="Times New Roman" w:cs="Times New Roman"/>
                <w:bCs/>
                <w:sz w:val="20"/>
                <w:szCs w:val="20"/>
                <w:lang w:eastAsia="en-ZA"/>
              </w:rPr>
            </w:pPr>
            <w:r w:rsidRPr="00AF6349">
              <w:rPr>
                <w:rFonts w:ascii="Times New Roman" w:eastAsia="Times New Roman" w:hAnsi="Times New Roman" w:cs="Times New Roman"/>
                <w:bCs/>
                <w:sz w:val="20"/>
                <w:szCs w:val="20"/>
                <w:lang w:eastAsia="en-ZA"/>
              </w:rPr>
              <w:t>CON3</w:t>
            </w:r>
          </w:p>
        </w:tc>
        <w:tc>
          <w:tcPr>
            <w:tcW w:w="4943" w:type="dxa"/>
            <w:shd w:val="clear" w:color="auto" w:fill="D9D9D9" w:themeFill="background1" w:themeFillShade="D9"/>
          </w:tcPr>
          <w:p w14:paraId="05653997"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Maximum environmental impact (closely related taxa)</w:t>
            </w:r>
          </w:p>
        </w:tc>
        <w:tc>
          <w:tcPr>
            <w:tcW w:w="2518" w:type="dxa"/>
          </w:tcPr>
          <w:p w14:paraId="175F1386" w14:textId="77777777" w:rsidR="002D7080" w:rsidRPr="007A5C33" w:rsidRDefault="002D7080" w:rsidP="002E2C37">
            <w:pPr>
              <w:jc w:val="both"/>
              <w:rPr>
                <w:rFonts w:ascii="Times New Roman" w:eastAsia="Times New Roman" w:hAnsi="Times New Roman" w:cs="Times New Roman"/>
                <w:color w:val="000000"/>
                <w:sz w:val="20"/>
                <w:szCs w:val="20"/>
                <w:lang w:eastAsia="en-ZA"/>
              </w:rPr>
            </w:pPr>
            <w:r w:rsidRPr="007A5C33">
              <w:rPr>
                <w:rFonts w:ascii="Times New Roman" w:eastAsia="Times New Roman" w:hAnsi="Times New Roman" w:cs="Times New Roman"/>
                <w:sz w:val="20"/>
                <w:szCs w:val="20"/>
                <w:lang w:eastAsia="en-ZA"/>
              </w:rPr>
              <w:t>Not scored as CON1 scored</w:t>
            </w:r>
          </w:p>
        </w:tc>
      </w:tr>
      <w:tr w:rsidR="002D7080" w:rsidRPr="004D1E6F" w14:paraId="2E4B900C" w14:textId="77777777" w:rsidTr="002E2C37">
        <w:tc>
          <w:tcPr>
            <w:tcW w:w="1555" w:type="dxa"/>
            <w:shd w:val="clear" w:color="auto" w:fill="D9D9D9" w:themeFill="background1" w:themeFillShade="D9"/>
          </w:tcPr>
          <w:p w14:paraId="0E29E2BF" w14:textId="77777777" w:rsidR="002D7080" w:rsidRPr="00AF6349" w:rsidRDefault="002D7080" w:rsidP="002E2C37">
            <w:pPr>
              <w:jc w:val="both"/>
              <w:rPr>
                <w:rFonts w:ascii="Times New Roman" w:eastAsia="Times New Roman" w:hAnsi="Times New Roman" w:cs="Times New Roman"/>
                <w:bCs/>
                <w:sz w:val="20"/>
                <w:szCs w:val="20"/>
                <w:lang w:eastAsia="en-ZA"/>
              </w:rPr>
            </w:pPr>
            <w:r w:rsidRPr="00AF6349">
              <w:rPr>
                <w:rFonts w:ascii="Times New Roman" w:eastAsia="Times New Roman" w:hAnsi="Times New Roman" w:cs="Times New Roman"/>
                <w:bCs/>
                <w:sz w:val="20"/>
                <w:szCs w:val="20"/>
                <w:lang w:eastAsia="en-ZA"/>
              </w:rPr>
              <w:t>CON4</w:t>
            </w:r>
          </w:p>
        </w:tc>
        <w:tc>
          <w:tcPr>
            <w:tcW w:w="4943" w:type="dxa"/>
            <w:shd w:val="clear" w:color="auto" w:fill="D9D9D9" w:themeFill="background1" w:themeFillShade="D9"/>
          </w:tcPr>
          <w:p w14:paraId="77EC6DD5"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Maximum socio-economic impact (closely related taxa)</w:t>
            </w:r>
          </w:p>
        </w:tc>
        <w:tc>
          <w:tcPr>
            <w:tcW w:w="2518" w:type="dxa"/>
          </w:tcPr>
          <w:p w14:paraId="443E8A47"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color w:val="000000"/>
                <w:sz w:val="20"/>
                <w:szCs w:val="20"/>
                <w:lang w:eastAsia="en-ZA"/>
              </w:rPr>
              <w:t>Not scored as CON2 scored</w:t>
            </w:r>
          </w:p>
        </w:tc>
      </w:tr>
      <w:tr w:rsidR="002D7080" w:rsidRPr="004D1E6F" w14:paraId="6BDCD334" w14:textId="77777777" w:rsidTr="002E2C37">
        <w:tc>
          <w:tcPr>
            <w:tcW w:w="1555" w:type="dxa"/>
            <w:shd w:val="clear" w:color="auto" w:fill="D9D9D9" w:themeFill="background1" w:themeFillShade="D9"/>
          </w:tcPr>
          <w:p w14:paraId="23E1F66D" w14:textId="77777777" w:rsidR="002D7080" w:rsidRPr="009A6AAC" w:rsidRDefault="002D7080" w:rsidP="002E2C37">
            <w:pPr>
              <w:jc w:val="both"/>
              <w:rPr>
                <w:rFonts w:ascii="Times New Roman" w:eastAsia="Times New Roman" w:hAnsi="Times New Roman" w:cs="Times New Roman"/>
                <w:b/>
                <w:bCs/>
                <w:sz w:val="20"/>
                <w:szCs w:val="20"/>
                <w:lang w:eastAsia="en-ZA"/>
              </w:rPr>
            </w:pPr>
            <w:r w:rsidRPr="009A6AAC">
              <w:rPr>
                <w:rFonts w:ascii="Times New Roman" w:eastAsia="Times New Roman" w:hAnsi="Times New Roman" w:cs="Times New Roman"/>
                <w:b/>
                <w:bCs/>
                <w:sz w:val="20"/>
                <w:szCs w:val="20"/>
                <w:lang w:eastAsia="en-ZA"/>
              </w:rPr>
              <w:t>CON5</w:t>
            </w:r>
          </w:p>
        </w:tc>
        <w:tc>
          <w:tcPr>
            <w:tcW w:w="4943" w:type="dxa"/>
            <w:shd w:val="clear" w:color="auto" w:fill="D9D9D9" w:themeFill="background1" w:themeFillShade="D9"/>
          </w:tcPr>
          <w:p w14:paraId="2EB773D0"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Potential impact based on traits, experiments, or models</w:t>
            </w:r>
          </w:p>
        </w:tc>
        <w:tc>
          <w:tcPr>
            <w:tcW w:w="2518" w:type="dxa"/>
          </w:tcPr>
          <w:p w14:paraId="4EE2BF97" w14:textId="77777777" w:rsidR="002D7080" w:rsidRPr="007A5C33" w:rsidRDefault="002D7080" w:rsidP="002E2C37">
            <w:pPr>
              <w:jc w:val="both"/>
              <w:rPr>
                <w:rFonts w:ascii="Times New Roman" w:eastAsia="Times New Roman" w:hAnsi="Times New Roman" w:cs="Times New Roman"/>
                <w:sz w:val="20"/>
                <w:szCs w:val="20"/>
                <w:lang w:eastAsia="en-ZA"/>
              </w:rPr>
            </w:pPr>
            <w:r w:rsidRPr="007A5C33">
              <w:rPr>
                <w:rFonts w:ascii="Times New Roman" w:eastAsia="Times New Roman" w:hAnsi="Times New Roman" w:cs="Times New Roman"/>
                <w:sz w:val="20"/>
                <w:szCs w:val="20"/>
                <w:lang w:eastAsia="en-ZA"/>
              </w:rPr>
              <w:t>MR</w:t>
            </w:r>
          </w:p>
        </w:tc>
      </w:tr>
    </w:tbl>
    <w:p w14:paraId="119F5972"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29371F17" w14:textId="77777777" w:rsidR="002D7080" w:rsidRDefault="002D7080" w:rsidP="002D7080">
      <w:pPr>
        <w:rPr>
          <w:rFonts w:ascii="Times New Roman" w:eastAsia="Times New Roman" w:hAnsi="Times New Roman" w:cs="Times New Roman"/>
          <w:b/>
          <w:sz w:val="20"/>
          <w:szCs w:val="20"/>
          <w:lang w:eastAsia="en-ZA"/>
        </w:rPr>
      </w:pPr>
      <w:r>
        <w:rPr>
          <w:rFonts w:ascii="Times New Roman" w:eastAsia="Times New Roman" w:hAnsi="Times New Roman" w:cs="Times New Roman"/>
          <w:b/>
          <w:sz w:val="20"/>
          <w:szCs w:val="20"/>
          <w:lang w:eastAsia="en-ZA"/>
        </w:rPr>
        <w:br w:type="page"/>
      </w:r>
    </w:p>
    <w:p w14:paraId="42B0836E" w14:textId="77777777" w:rsidR="002D7080" w:rsidRPr="00097929" w:rsidRDefault="002D7080" w:rsidP="002D7080">
      <w:pPr>
        <w:spacing w:after="0" w:line="240" w:lineRule="auto"/>
        <w:rPr>
          <w:rFonts w:ascii="Times New Roman" w:eastAsia="Times New Roman" w:hAnsi="Times New Roman" w:cs="Times New Roman"/>
          <w:b/>
          <w:sz w:val="20"/>
          <w:szCs w:val="20"/>
          <w:lang w:eastAsia="en-ZA"/>
        </w:rPr>
      </w:pPr>
      <w:r w:rsidRPr="00097929">
        <w:rPr>
          <w:rFonts w:ascii="Times New Roman" w:eastAsia="Times New Roman" w:hAnsi="Times New Roman" w:cs="Times New Roman"/>
          <w:b/>
          <w:sz w:val="20"/>
          <w:szCs w:val="20"/>
          <w:lang w:eastAsia="en-ZA"/>
        </w:rPr>
        <w:lastRenderedPageBreak/>
        <w:t>Risk score: High</w:t>
      </w:r>
    </w:p>
    <w:p w14:paraId="08AEF725"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W w:w="7700" w:type="dxa"/>
        <w:tblInd w:w="55" w:type="dxa"/>
        <w:tblCellMar>
          <w:left w:w="70" w:type="dxa"/>
          <w:right w:w="70" w:type="dxa"/>
        </w:tblCellMar>
        <w:tblLook w:val="04A0" w:firstRow="1" w:lastRow="0" w:firstColumn="1" w:lastColumn="0" w:noHBand="0" w:noVBand="1"/>
      </w:tblPr>
      <w:tblGrid>
        <w:gridCol w:w="440"/>
        <w:gridCol w:w="2060"/>
        <w:gridCol w:w="1004"/>
        <w:gridCol w:w="953"/>
        <w:gridCol w:w="1223"/>
        <w:gridCol w:w="953"/>
        <w:gridCol w:w="1067"/>
      </w:tblGrid>
      <w:tr w:rsidR="002D7080" w:rsidRPr="004D1E6F" w14:paraId="633E3621" w14:textId="77777777" w:rsidTr="002E2C37">
        <w:trPr>
          <w:trHeight w:val="312"/>
        </w:trPr>
        <w:tc>
          <w:tcPr>
            <w:tcW w:w="440" w:type="dxa"/>
            <w:vMerge w:val="restart"/>
            <w:tcBorders>
              <w:top w:val="nil"/>
              <w:left w:val="nil"/>
              <w:bottom w:val="single" w:sz="4" w:space="0" w:color="000000"/>
              <w:right w:val="nil"/>
            </w:tcBorders>
            <w:shd w:val="clear" w:color="000000" w:fill="F2F2F2"/>
            <w:noWrap/>
            <w:vAlign w:val="bottom"/>
            <w:hideMark/>
          </w:tcPr>
          <w:p w14:paraId="3B4BF44C"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 </w:t>
            </w:r>
          </w:p>
        </w:tc>
        <w:tc>
          <w:tcPr>
            <w:tcW w:w="2060" w:type="dxa"/>
            <w:vMerge w:val="restart"/>
            <w:tcBorders>
              <w:top w:val="nil"/>
              <w:left w:val="nil"/>
              <w:bottom w:val="single" w:sz="4" w:space="0" w:color="000000"/>
              <w:right w:val="single" w:sz="4" w:space="0" w:color="auto"/>
            </w:tcBorders>
            <w:shd w:val="clear" w:color="000000" w:fill="F2F2F2"/>
            <w:noWrap/>
            <w:vAlign w:val="bottom"/>
            <w:hideMark/>
          </w:tcPr>
          <w:p w14:paraId="6BE7E7BD"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 </w:t>
            </w:r>
          </w:p>
        </w:tc>
        <w:tc>
          <w:tcPr>
            <w:tcW w:w="5200" w:type="dxa"/>
            <w:gridSpan w:val="5"/>
            <w:tcBorders>
              <w:top w:val="nil"/>
              <w:left w:val="nil"/>
              <w:bottom w:val="single" w:sz="4" w:space="0" w:color="auto"/>
              <w:right w:val="nil"/>
            </w:tcBorders>
            <w:shd w:val="clear" w:color="auto" w:fill="D9D9D9" w:themeFill="background1" w:themeFillShade="D9"/>
            <w:noWrap/>
            <w:vAlign w:val="bottom"/>
            <w:hideMark/>
          </w:tcPr>
          <w:p w14:paraId="3AB23F96"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Consequences</w:t>
            </w:r>
          </w:p>
        </w:tc>
      </w:tr>
      <w:tr w:rsidR="002D7080" w:rsidRPr="004D1E6F" w14:paraId="5899EC1D" w14:textId="77777777" w:rsidTr="002E2C37">
        <w:trPr>
          <w:trHeight w:val="312"/>
        </w:trPr>
        <w:tc>
          <w:tcPr>
            <w:tcW w:w="440" w:type="dxa"/>
            <w:vMerge/>
            <w:tcBorders>
              <w:top w:val="nil"/>
              <w:left w:val="nil"/>
              <w:bottom w:val="single" w:sz="4" w:space="0" w:color="000000"/>
              <w:right w:val="nil"/>
            </w:tcBorders>
            <w:vAlign w:val="center"/>
            <w:hideMark/>
          </w:tcPr>
          <w:p w14:paraId="64AF8B9E"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vMerge/>
            <w:tcBorders>
              <w:top w:val="nil"/>
              <w:left w:val="nil"/>
              <w:bottom w:val="single" w:sz="4" w:space="0" w:color="auto"/>
              <w:right w:val="single" w:sz="4" w:space="0" w:color="auto"/>
            </w:tcBorders>
            <w:vAlign w:val="center"/>
            <w:hideMark/>
          </w:tcPr>
          <w:p w14:paraId="3D8C215D"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100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3E8B504"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MC</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175383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MN</w:t>
            </w:r>
          </w:p>
        </w:tc>
        <w:tc>
          <w:tcPr>
            <w:tcW w:w="1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8F96C32"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MO</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33B87D13"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MR</w:t>
            </w:r>
          </w:p>
        </w:tc>
        <w:tc>
          <w:tcPr>
            <w:tcW w:w="1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7A3239C"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MV</w:t>
            </w:r>
          </w:p>
        </w:tc>
      </w:tr>
      <w:tr w:rsidR="002D7080" w:rsidRPr="004D1E6F" w14:paraId="040F6E3E" w14:textId="77777777" w:rsidTr="002E2C37">
        <w:trPr>
          <w:trHeight w:val="348"/>
        </w:trPr>
        <w:tc>
          <w:tcPr>
            <w:tcW w:w="440" w:type="dxa"/>
            <w:vMerge w:val="restart"/>
            <w:tcBorders>
              <w:top w:val="nil"/>
              <w:left w:val="nil"/>
              <w:bottom w:val="nil"/>
              <w:right w:val="single" w:sz="4" w:space="0" w:color="auto"/>
            </w:tcBorders>
            <w:shd w:val="clear" w:color="auto" w:fill="D9D9D9" w:themeFill="background1" w:themeFillShade="D9"/>
            <w:noWrap/>
            <w:textDirection w:val="btLr"/>
            <w:vAlign w:val="center"/>
            <w:hideMark/>
          </w:tcPr>
          <w:p w14:paraId="24040993"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Likelihood</w:t>
            </w: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9F01B9A"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Extremely unlikely</w:t>
            </w:r>
          </w:p>
        </w:tc>
        <w:tc>
          <w:tcPr>
            <w:tcW w:w="1004" w:type="dxa"/>
            <w:tcBorders>
              <w:top w:val="single" w:sz="4" w:space="0" w:color="auto"/>
              <w:left w:val="nil"/>
              <w:bottom w:val="single" w:sz="4" w:space="0" w:color="auto"/>
              <w:right w:val="single" w:sz="4" w:space="0" w:color="auto"/>
            </w:tcBorders>
            <w:noWrap/>
            <w:vAlign w:val="center"/>
            <w:hideMark/>
          </w:tcPr>
          <w:p w14:paraId="1B5FBC9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2D19D14"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7E83EE04"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64F02EB"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02FC7C4"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r>
      <w:tr w:rsidR="002D7080" w:rsidRPr="004D1E6F" w14:paraId="1E6FE02D"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5F04F14D"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BA9FA54"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Very unlikely</w:t>
            </w:r>
          </w:p>
        </w:tc>
        <w:tc>
          <w:tcPr>
            <w:tcW w:w="1004" w:type="dxa"/>
            <w:tcBorders>
              <w:top w:val="single" w:sz="4" w:space="0" w:color="auto"/>
              <w:left w:val="nil"/>
              <w:bottom w:val="single" w:sz="4" w:space="0" w:color="auto"/>
              <w:right w:val="single" w:sz="4" w:space="0" w:color="auto"/>
            </w:tcBorders>
            <w:noWrap/>
            <w:vAlign w:val="center"/>
            <w:hideMark/>
          </w:tcPr>
          <w:p w14:paraId="22F53CD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52AB84D"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42ED396A"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1C0706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EA3D6AF"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550695A1"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44F7E7B4"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580B78F"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Unlikely</w:t>
            </w:r>
          </w:p>
        </w:tc>
        <w:tc>
          <w:tcPr>
            <w:tcW w:w="1004" w:type="dxa"/>
            <w:tcBorders>
              <w:top w:val="single" w:sz="4" w:space="0" w:color="auto"/>
              <w:left w:val="nil"/>
              <w:bottom w:val="single" w:sz="4" w:space="0" w:color="auto"/>
              <w:right w:val="single" w:sz="4" w:space="0" w:color="auto"/>
            </w:tcBorders>
            <w:noWrap/>
            <w:vAlign w:val="center"/>
            <w:hideMark/>
          </w:tcPr>
          <w:p w14:paraId="660EDA9D"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2E5A801"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1F6B0894"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834E3EA"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0187328"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4FEDB85C"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78A721FE"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FFFF00"/>
            <w:noWrap/>
            <w:vAlign w:val="center"/>
            <w:hideMark/>
          </w:tcPr>
          <w:p w14:paraId="3ED00BAE"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Fairly probable</w:t>
            </w:r>
          </w:p>
        </w:tc>
        <w:tc>
          <w:tcPr>
            <w:tcW w:w="1004" w:type="dxa"/>
            <w:tcBorders>
              <w:top w:val="single" w:sz="4" w:space="0" w:color="auto"/>
              <w:left w:val="nil"/>
              <w:bottom w:val="single" w:sz="4" w:space="0" w:color="auto"/>
              <w:right w:val="single" w:sz="4" w:space="0" w:color="auto"/>
            </w:tcBorders>
            <w:noWrap/>
            <w:vAlign w:val="center"/>
            <w:hideMark/>
          </w:tcPr>
          <w:p w14:paraId="4E5CD62C"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A912628"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0D71B403"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E1384A5"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DD49891"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5D613323"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6DC67869"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2064FEC"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Probable</w:t>
            </w:r>
          </w:p>
        </w:tc>
        <w:tc>
          <w:tcPr>
            <w:tcW w:w="1004" w:type="dxa"/>
            <w:tcBorders>
              <w:top w:val="single" w:sz="4" w:space="0" w:color="auto"/>
              <w:left w:val="nil"/>
              <w:bottom w:val="single" w:sz="4" w:space="0" w:color="auto"/>
              <w:right w:val="single" w:sz="4" w:space="0" w:color="auto"/>
            </w:tcBorders>
            <w:noWrap/>
            <w:vAlign w:val="center"/>
            <w:hideMark/>
          </w:tcPr>
          <w:p w14:paraId="773513A2"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A3F1447"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70F9CD51"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A46A159"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2A8B62A"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bl>
    <w:p w14:paraId="74F3A34C" w14:textId="77777777" w:rsidR="002D7080" w:rsidRDefault="002D7080" w:rsidP="002D7080">
      <w:pPr>
        <w:spacing w:after="0" w:line="240" w:lineRule="auto"/>
        <w:rPr>
          <w:rFonts w:ascii="Times New Roman" w:eastAsia="Times New Roman" w:hAnsi="Times New Roman" w:cs="Times New Roman"/>
          <w:b/>
          <w:sz w:val="20"/>
          <w:szCs w:val="20"/>
          <w:lang w:eastAsia="en-ZA"/>
        </w:rPr>
      </w:pPr>
    </w:p>
    <w:p w14:paraId="41CC95CB"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Ease of management</w:t>
      </w:r>
      <w:r>
        <w:rPr>
          <w:rFonts w:ascii="Times New Roman" w:eastAsia="Times New Roman" w:hAnsi="Times New Roman" w:cs="Times New Roman"/>
          <w:b/>
          <w:sz w:val="20"/>
          <w:szCs w:val="20"/>
          <w:lang w:eastAsia="en-ZA"/>
        </w:rPr>
        <w:t xml:space="preserve">: Medium </w:t>
      </w:r>
    </w:p>
    <w:p w14:paraId="609B57E6"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pPr w:leftFromText="180" w:rightFromText="180" w:vertAnchor="text" w:tblpY="1"/>
        <w:tblOverlap w:val="never"/>
        <w:tblW w:w="8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4667"/>
        <w:gridCol w:w="2013"/>
      </w:tblGrid>
      <w:tr w:rsidR="002D7080" w:rsidRPr="004D1E6F" w14:paraId="201484D6" w14:textId="77777777" w:rsidTr="002E2C37">
        <w:trPr>
          <w:trHeight w:val="272"/>
        </w:trPr>
        <w:tc>
          <w:tcPr>
            <w:tcW w:w="1678" w:type="dxa"/>
            <w:shd w:val="clear" w:color="auto" w:fill="D9D9D9" w:themeFill="background1" w:themeFillShade="D9"/>
            <w:vAlign w:val="center"/>
          </w:tcPr>
          <w:p w14:paraId="4287F383"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Parameter</w:t>
            </w:r>
          </w:p>
        </w:tc>
        <w:tc>
          <w:tcPr>
            <w:tcW w:w="4667" w:type="dxa"/>
            <w:shd w:val="clear" w:color="auto" w:fill="D9D9D9" w:themeFill="background1" w:themeFillShade="D9"/>
            <w:vAlign w:val="center"/>
          </w:tcPr>
          <w:p w14:paraId="7495C413"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Question</w:t>
            </w:r>
          </w:p>
        </w:tc>
        <w:tc>
          <w:tcPr>
            <w:tcW w:w="2013" w:type="dxa"/>
            <w:shd w:val="clear" w:color="auto" w:fill="D9D9D9" w:themeFill="background1" w:themeFillShade="D9"/>
            <w:vAlign w:val="center"/>
          </w:tcPr>
          <w:p w14:paraId="309004CA"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Response</w:t>
            </w:r>
          </w:p>
        </w:tc>
      </w:tr>
      <w:tr w:rsidR="002D7080" w:rsidRPr="004D1E6F" w14:paraId="7B5AE862" w14:textId="77777777" w:rsidTr="002E2C37">
        <w:trPr>
          <w:trHeight w:val="305"/>
        </w:trPr>
        <w:tc>
          <w:tcPr>
            <w:tcW w:w="1678" w:type="dxa"/>
            <w:shd w:val="clear" w:color="auto" w:fill="D9D9D9" w:themeFill="background1" w:themeFillShade="D9"/>
            <w:vAlign w:val="center"/>
          </w:tcPr>
          <w:p w14:paraId="4E38DC35"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MAN3a</w:t>
            </w:r>
          </w:p>
        </w:tc>
        <w:tc>
          <w:tcPr>
            <w:tcW w:w="4667" w:type="dxa"/>
            <w:vAlign w:val="center"/>
          </w:tcPr>
          <w:p w14:paraId="7664CE9E" w14:textId="77777777" w:rsidR="002D7080" w:rsidRPr="004D1E6F" w:rsidRDefault="002D7080" w:rsidP="002E2C37">
            <w:pPr>
              <w:tabs>
                <w:tab w:val="left" w:pos="1223"/>
              </w:tabs>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How accessible are populations? </w:t>
            </w:r>
          </w:p>
        </w:tc>
        <w:tc>
          <w:tcPr>
            <w:tcW w:w="2013" w:type="dxa"/>
            <w:vAlign w:val="center"/>
          </w:tcPr>
          <w:p w14:paraId="14577CC9" w14:textId="77777777" w:rsidR="002D7080" w:rsidRPr="004D1E6F" w:rsidRDefault="002D7080" w:rsidP="002E2C37">
            <w:pPr>
              <w:tabs>
                <w:tab w:val="left" w:pos="1250"/>
              </w:tabs>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2</w:t>
            </w:r>
          </w:p>
        </w:tc>
      </w:tr>
      <w:tr w:rsidR="002D7080" w:rsidRPr="004D1E6F" w14:paraId="23E4EDDF" w14:textId="77777777" w:rsidTr="002E2C37">
        <w:trPr>
          <w:trHeight w:val="274"/>
        </w:trPr>
        <w:tc>
          <w:tcPr>
            <w:tcW w:w="1678" w:type="dxa"/>
            <w:shd w:val="clear" w:color="auto" w:fill="D9D9D9" w:themeFill="background1" w:themeFillShade="D9"/>
            <w:vAlign w:val="center"/>
          </w:tcPr>
          <w:p w14:paraId="6991EEBC"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MAN3b</w:t>
            </w:r>
          </w:p>
        </w:tc>
        <w:tc>
          <w:tcPr>
            <w:tcW w:w="4667" w:type="dxa"/>
            <w:vAlign w:val="center"/>
          </w:tcPr>
          <w:p w14:paraId="1E809B4F"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Is detectability critically time-dependent?</w:t>
            </w:r>
          </w:p>
        </w:tc>
        <w:tc>
          <w:tcPr>
            <w:tcW w:w="2013" w:type="dxa"/>
            <w:vAlign w:val="center"/>
          </w:tcPr>
          <w:p w14:paraId="46D2E696"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2</w:t>
            </w:r>
          </w:p>
        </w:tc>
      </w:tr>
      <w:tr w:rsidR="002D7080" w:rsidRPr="004D1E6F" w14:paraId="6F22D7EA" w14:textId="77777777" w:rsidTr="002E2C37">
        <w:trPr>
          <w:trHeight w:val="274"/>
        </w:trPr>
        <w:tc>
          <w:tcPr>
            <w:tcW w:w="1678" w:type="dxa"/>
            <w:shd w:val="clear" w:color="auto" w:fill="D9D9D9" w:themeFill="background1" w:themeFillShade="D9"/>
            <w:vAlign w:val="center"/>
          </w:tcPr>
          <w:p w14:paraId="208654A3"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MAN3c</w:t>
            </w:r>
          </w:p>
        </w:tc>
        <w:tc>
          <w:tcPr>
            <w:tcW w:w="4667" w:type="dxa"/>
            <w:vAlign w:val="center"/>
          </w:tcPr>
          <w:p w14:paraId="5C69B5C6"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Time to reproduction</w:t>
            </w:r>
          </w:p>
        </w:tc>
        <w:tc>
          <w:tcPr>
            <w:tcW w:w="2013" w:type="dxa"/>
            <w:vAlign w:val="center"/>
          </w:tcPr>
          <w:p w14:paraId="5E6F4E7C"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1</w:t>
            </w:r>
          </w:p>
        </w:tc>
      </w:tr>
      <w:tr w:rsidR="002D7080" w:rsidRPr="004D1E6F" w14:paraId="426410C0" w14:textId="77777777" w:rsidTr="002E2C37">
        <w:trPr>
          <w:trHeight w:val="280"/>
        </w:trPr>
        <w:tc>
          <w:tcPr>
            <w:tcW w:w="1678" w:type="dxa"/>
            <w:shd w:val="clear" w:color="auto" w:fill="D9D9D9" w:themeFill="background1" w:themeFillShade="D9"/>
            <w:vAlign w:val="center"/>
          </w:tcPr>
          <w:p w14:paraId="26C2294A"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MAN3d</w:t>
            </w:r>
          </w:p>
        </w:tc>
        <w:tc>
          <w:tcPr>
            <w:tcW w:w="4667" w:type="dxa"/>
            <w:vAlign w:val="center"/>
          </w:tcPr>
          <w:p w14:paraId="01B6CA56"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Propagule persistence</w:t>
            </w:r>
          </w:p>
        </w:tc>
        <w:tc>
          <w:tcPr>
            <w:tcW w:w="2013" w:type="dxa"/>
            <w:vAlign w:val="center"/>
          </w:tcPr>
          <w:p w14:paraId="5C7CFF89"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0</w:t>
            </w:r>
          </w:p>
        </w:tc>
      </w:tr>
      <w:tr w:rsidR="002D7080" w:rsidRPr="004D1E6F" w14:paraId="39A34E16" w14:textId="77777777" w:rsidTr="002E2C37">
        <w:trPr>
          <w:trHeight w:val="248"/>
        </w:trPr>
        <w:tc>
          <w:tcPr>
            <w:tcW w:w="1678" w:type="dxa"/>
            <w:tcBorders>
              <w:top w:val="double" w:sz="4" w:space="0" w:color="auto"/>
            </w:tcBorders>
            <w:shd w:val="clear" w:color="auto" w:fill="D9D9D9" w:themeFill="background1" w:themeFillShade="D9"/>
            <w:vAlign w:val="center"/>
          </w:tcPr>
          <w:p w14:paraId="13E36866"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MAN3</w:t>
            </w:r>
          </w:p>
        </w:tc>
        <w:tc>
          <w:tcPr>
            <w:tcW w:w="4667" w:type="dxa"/>
            <w:tcBorders>
              <w:top w:val="double" w:sz="4" w:space="0" w:color="auto"/>
            </w:tcBorders>
            <w:vAlign w:val="center"/>
          </w:tcPr>
          <w:p w14:paraId="1628D1F2" w14:textId="77777777" w:rsidR="002D7080" w:rsidRPr="004D1E6F" w:rsidRDefault="002D7080" w:rsidP="002E2C37">
            <w:pPr>
              <w:spacing w:after="0" w:line="240" w:lineRule="auto"/>
              <w:rPr>
                <w:rFonts w:ascii="Times New Roman" w:eastAsia="Calibri" w:hAnsi="Times New Roman" w:cs="Times New Roman"/>
                <w:b/>
                <w:sz w:val="20"/>
                <w:szCs w:val="20"/>
              </w:rPr>
            </w:pPr>
            <w:r w:rsidRPr="004D1E6F">
              <w:rPr>
                <w:rFonts w:ascii="Times New Roman" w:eastAsia="Calibri" w:hAnsi="Times New Roman" w:cs="Times New Roman"/>
                <w:b/>
                <w:sz w:val="20"/>
                <w:szCs w:val="20"/>
              </w:rPr>
              <w:t>SUM</w:t>
            </w:r>
          </w:p>
        </w:tc>
        <w:tc>
          <w:tcPr>
            <w:tcW w:w="2013" w:type="dxa"/>
            <w:tcBorders>
              <w:top w:val="double" w:sz="4" w:space="0" w:color="auto"/>
            </w:tcBorders>
            <w:vAlign w:val="center"/>
          </w:tcPr>
          <w:p w14:paraId="370AEFEE"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5</w:t>
            </w:r>
          </w:p>
        </w:tc>
      </w:tr>
    </w:tbl>
    <w:p w14:paraId="48F7668D" w14:textId="77777777" w:rsidR="002D7080" w:rsidRPr="004D1E6F" w:rsidRDefault="002D7080" w:rsidP="002D7080">
      <w:pPr>
        <w:spacing w:after="0" w:line="240" w:lineRule="auto"/>
        <w:rPr>
          <w:rFonts w:ascii="Times New Roman" w:eastAsia="Calibri" w:hAnsi="Times New Roman" w:cs="Times New Roman"/>
          <w:sz w:val="20"/>
          <w:szCs w:val="20"/>
        </w:rPr>
      </w:pPr>
    </w:p>
    <w:p w14:paraId="562610C7" w14:textId="77777777" w:rsidR="002D7080" w:rsidRPr="004D1E6F" w:rsidRDefault="002D7080" w:rsidP="002D7080">
      <w:pPr>
        <w:spacing w:after="0" w:line="240" w:lineRule="auto"/>
        <w:rPr>
          <w:rFonts w:ascii="Times New Roman" w:eastAsia="Calibri" w:hAnsi="Times New Roman" w:cs="Times New Roman"/>
          <w:sz w:val="20"/>
          <w:szCs w:val="20"/>
        </w:rPr>
      </w:pPr>
    </w:p>
    <w:p w14:paraId="0D5E8F2B" w14:textId="77777777" w:rsidR="002D7080" w:rsidRPr="004D1E6F" w:rsidRDefault="002D7080" w:rsidP="002D7080">
      <w:pPr>
        <w:spacing w:after="0" w:line="240" w:lineRule="auto"/>
        <w:rPr>
          <w:rFonts w:ascii="Times New Roman" w:eastAsia="Calibri" w:hAnsi="Times New Roman" w:cs="Times New Roman"/>
          <w:b/>
          <w:sz w:val="20"/>
          <w:szCs w:val="20"/>
        </w:rPr>
      </w:pPr>
    </w:p>
    <w:p w14:paraId="7FA7152C" w14:textId="77777777" w:rsidR="002D7080" w:rsidRPr="004D1E6F" w:rsidRDefault="002D7080" w:rsidP="002D7080">
      <w:pPr>
        <w:spacing w:after="0" w:line="240" w:lineRule="auto"/>
        <w:rPr>
          <w:rFonts w:ascii="Times New Roman" w:eastAsia="Calibri" w:hAnsi="Times New Roman" w:cs="Times New Roman"/>
          <w:b/>
          <w:sz w:val="20"/>
          <w:szCs w:val="20"/>
        </w:rPr>
      </w:pPr>
    </w:p>
    <w:p w14:paraId="47E42DCC" w14:textId="77777777" w:rsidR="002D7080" w:rsidRPr="004D1E6F" w:rsidRDefault="002D7080" w:rsidP="002D7080">
      <w:pPr>
        <w:spacing w:after="0" w:line="240" w:lineRule="auto"/>
        <w:rPr>
          <w:rFonts w:ascii="Times New Roman" w:eastAsia="Calibri" w:hAnsi="Times New Roman" w:cs="Times New Roman"/>
          <w:b/>
          <w:sz w:val="20"/>
          <w:szCs w:val="20"/>
        </w:rPr>
      </w:pPr>
    </w:p>
    <w:p w14:paraId="17BDCBD8" w14:textId="77777777" w:rsidR="002D7080" w:rsidRPr="004D1E6F" w:rsidRDefault="002D7080" w:rsidP="002D7080">
      <w:pPr>
        <w:spacing w:after="0" w:line="240" w:lineRule="auto"/>
        <w:rPr>
          <w:rFonts w:ascii="Times New Roman" w:eastAsia="Calibri" w:hAnsi="Times New Roman" w:cs="Times New Roman"/>
          <w:b/>
          <w:sz w:val="20"/>
          <w:szCs w:val="20"/>
        </w:rPr>
      </w:pPr>
    </w:p>
    <w:p w14:paraId="6741E40D"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65D6A49B"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7675BEFF"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Supplementary to add to answer sheet</w:t>
      </w:r>
    </w:p>
    <w:p w14:paraId="1E2D4409" w14:textId="77777777" w:rsidR="002D7080" w:rsidRPr="004D1E6F" w:rsidRDefault="002D7080" w:rsidP="002D7080">
      <w:pPr>
        <w:spacing w:after="160" w:line="259"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Appendix BAC7</w:t>
      </w:r>
      <w:r w:rsidRPr="004D1E6F">
        <w:rPr>
          <w:rFonts w:ascii="Times New Roman" w:eastAsia="Times New Roman" w:hAnsi="Times New Roman" w:cs="Times New Roman"/>
          <w:color w:val="000000"/>
          <w:sz w:val="20"/>
          <w:szCs w:val="20"/>
          <w:lang w:eastAsia="en-ZA"/>
        </w:rPr>
        <w:t xml:space="preserve">: Global alien range of </w:t>
      </w:r>
      <w:r w:rsidRPr="004D1E6F">
        <w:rPr>
          <w:rFonts w:ascii="Times New Roman" w:eastAsia="Times New Roman" w:hAnsi="Times New Roman" w:cs="Times New Roman"/>
          <w:i/>
          <w:iCs/>
          <w:color w:val="000000"/>
          <w:sz w:val="20"/>
          <w:szCs w:val="20"/>
          <w:lang w:eastAsia="en-ZA"/>
        </w:rPr>
        <w:t xml:space="preserve">Faxonius virilis. </w:t>
      </w:r>
      <w:r w:rsidRPr="004D1E6F">
        <w:rPr>
          <w:rFonts w:ascii="Times New Roman" w:eastAsia="Times New Roman" w:hAnsi="Times New Roman" w:cs="Times New Roman"/>
          <w:iCs/>
          <w:sz w:val="20"/>
          <w:szCs w:val="20"/>
          <w:lang w:eastAsia="en-ZA"/>
        </w:rPr>
        <w:t>Map form CABI:</w:t>
      </w:r>
      <w:r w:rsidRPr="004D1E6F">
        <w:rPr>
          <w:rFonts w:ascii="Times New Roman" w:eastAsia="Times New Roman" w:hAnsi="Times New Roman" w:cs="Times New Roman"/>
          <w:iCs/>
          <w:sz w:val="20"/>
          <w:szCs w:val="20"/>
          <w:u w:val="single"/>
          <w:lang w:eastAsia="en-ZA"/>
        </w:rPr>
        <w:t xml:space="preserve"> </w:t>
      </w:r>
      <w:hyperlink w:history="1">
        <w:r w:rsidRPr="004D1E6F">
          <w:rPr>
            <w:rFonts w:ascii="Times New Roman" w:eastAsia="Times New Roman" w:hAnsi="Times New Roman" w:cs="Times New Roman"/>
            <w:i/>
            <w:iCs/>
            <w:color w:val="0563C1"/>
            <w:sz w:val="20"/>
            <w:szCs w:val="20"/>
            <w:u w:val="single"/>
            <w:lang w:eastAsia="en-ZA"/>
          </w:rPr>
          <w:t>https://www.cabi.org/ISC/datasheet/72034</w:t>
        </w:r>
      </w:hyperlink>
      <w:r w:rsidRPr="004D1E6F">
        <w:rPr>
          <w:rFonts w:ascii="Times New Roman" w:eastAsia="Times New Roman" w:hAnsi="Times New Roman" w:cs="Times New Roman"/>
          <w:b/>
          <w:i/>
          <w:iCs/>
          <w:color w:val="000000"/>
          <w:sz w:val="20"/>
          <w:szCs w:val="20"/>
          <w:lang w:eastAsia="en-ZA"/>
        </w:rPr>
        <w:t xml:space="preserve">  </w:t>
      </w:r>
    </w:p>
    <w:p w14:paraId="4997C970"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5F17A20E"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28B0E128" w14:textId="77777777" w:rsidR="002D7080" w:rsidRPr="004D1E6F" w:rsidRDefault="002D7080" w:rsidP="002D7080">
      <w:pPr>
        <w:spacing w:after="0" w:line="240" w:lineRule="auto"/>
        <w:rPr>
          <w:rFonts w:ascii="Times New Roman" w:eastAsia="Calibri" w:hAnsi="Times New Roman" w:cs="Times New Roman"/>
          <w:sz w:val="20"/>
          <w:szCs w:val="20"/>
        </w:rPr>
      </w:pPr>
      <w:r>
        <w:rPr>
          <w:rFonts w:ascii="Times New Roman" w:eastAsia="Calibri" w:hAnsi="Times New Roman" w:cs="Times New Roman"/>
          <w:noProof/>
          <w:sz w:val="20"/>
          <w:szCs w:val="20"/>
          <w:lang w:eastAsia="en-ZA"/>
        </w:rPr>
        <w:drawing>
          <wp:inline distT="0" distB="0" distL="0" distR="0" wp14:anchorId="50D43B46" wp14:editId="33483A91">
            <wp:extent cx="5145405" cy="2688590"/>
            <wp:effectExtent l="0" t="0" r="0" b="0"/>
            <wp:docPr id="1823320610" name="Picture 22" descr="A map of the world with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20610" name="Picture 22" descr="A map of the world with red dots&#10;&#10;AI-generated content may be incorrect."/>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145405" cy="2688590"/>
                    </a:xfrm>
                    <a:prstGeom prst="rect">
                      <a:avLst/>
                    </a:prstGeom>
                    <a:noFill/>
                  </pic:spPr>
                </pic:pic>
              </a:graphicData>
            </a:graphic>
          </wp:inline>
        </w:drawing>
      </w:r>
    </w:p>
    <w:p w14:paraId="24BA8EDA"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24071A70" w14:textId="77777777" w:rsidR="002D7080" w:rsidRPr="004D1E6F" w:rsidRDefault="002D7080" w:rsidP="002D7080">
      <w:pPr>
        <w:spacing w:after="160" w:line="360" w:lineRule="auto"/>
        <w:jc w:val="both"/>
        <w:rPr>
          <w:rFonts w:ascii="Times New Roman" w:eastAsia="Calibri" w:hAnsi="Times New Roman" w:cs="Times New Roman"/>
          <w:b/>
          <w:bCs/>
          <w:sz w:val="24"/>
          <w:szCs w:val="24"/>
        </w:rPr>
      </w:pPr>
    </w:p>
    <w:p w14:paraId="3F8DFAFA" w14:textId="77777777" w:rsidR="002D7080" w:rsidRPr="004D1E6F" w:rsidRDefault="002D7080" w:rsidP="002D7080">
      <w:pPr>
        <w:spacing w:after="160" w:line="360" w:lineRule="auto"/>
        <w:jc w:val="both"/>
        <w:rPr>
          <w:rFonts w:ascii="Times New Roman" w:eastAsia="Calibri" w:hAnsi="Times New Roman" w:cs="Times New Roman"/>
          <w:b/>
          <w:bCs/>
          <w:sz w:val="24"/>
          <w:szCs w:val="24"/>
        </w:rPr>
      </w:pPr>
    </w:p>
    <w:p w14:paraId="44E21CD1" w14:textId="77777777" w:rsidR="002D7080" w:rsidRPr="004D1E6F" w:rsidRDefault="002D7080" w:rsidP="002D7080">
      <w:pPr>
        <w:spacing w:after="160" w:line="360" w:lineRule="auto"/>
        <w:jc w:val="both"/>
        <w:rPr>
          <w:rFonts w:ascii="Times New Roman" w:eastAsia="Calibri" w:hAnsi="Times New Roman" w:cs="Times New Roman"/>
          <w:b/>
          <w:bCs/>
          <w:sz w:val="24"/>
          <w:szCs w:val="24"/>
        </w:rPr>
      </w:pPr>
    </w:p>
    <w:p w14:paraId="31784928" w14:textId="77777777" w:rsidR="002D7080" w:rsidRPr="004D1E6F" w:rsidRDefault="002D7080" w:rsidP="002D7080">
      <w:pPr>
        <w:spacing w:after="160" w:line="360" w:lineRule="auto"/>
        <w:jc w:val="both"/>
        <w:rPr>
          <w:rFonts w:ascii="Times New Roman" w:eastAsia="Calibri" w:hAnsi="Times New Roman" w:cs="Times New Roman"/>
          <w:b/>
          <w:bCs/>
          <w:sz w:val="24"/>
          <w:szCs w:val="24"/>
        </w:rPr>
      </w:pPr>
    </w:p>
    <w:p w14:paraId="6E9B4517" w14:textId="77777777" w:rsidR="002D7080" w:rsidRPr="004D1E6F" w:rsidRDefault="002D7080" w:rsidP="002D7080">
      <w:pPr>
        <w:rPr>
          <w:rFonts w:ascii="Times New Roman" w:eastAsia="Calibri" w:hAnsi="Times New Roman" w:cs="Times New Roman"/>
          <w:b/>
          <w:bCs/>
          <w:sz w:val="24"/>
          <w:szCs w:val="24"/>
        </w:rPr>
      </w:pPr>
      <w:r w:rsidRPr="004D1E6F">
        <w:rPr>
          <w:rFonts w:ascii="Times New Roman" w:eastAsia="Calibri" w:hAnsi="Times New Roman" w:cs="Times New Roman"/>
          <w:b/>
          <w:bCs/>
          <w:sz w:val="24"/>
          <w:szCs w:val="24"/>
        </w:rPr>
        <w:br w:type="page"/>
      </w:r>
    </w:p>
    <w:p w14:paraId="55B68116" w14:textId="70A57D28" w:rsidR="002D7080" w:rsidRDefault="00356715" w:rsidP="002D7080">
      <w:pPr>
        <w:pStyle w:val="Heading2"/>
        <w:rPr>
          <w:rFonts w:ascii="Times New Roman" w:eastAsia="Calibri" w:hAnsi="Times New Roman" w:cs="Times New Roman"/>
          <w:color w:val="auto"/>
          <w:sz w:val="28"/>
          <w:szCs w:val="28"/>
        </w:rPr>
      </w:pPr>
      <w:r>
        <w:rPr>
          <w:rFonts w:ascii="Times New Roman" w:eastAsia="Calibri" w:hAnsi="Times New Roman" w:cs="Times New Roman"/>
          <w:color w:val="auto"/>
          <w:sz w:val="28"/>
          <w:szCs w:val="28"/>
        </w:rPr>
        <w:lastRenderedPageBreak/>
        <w:t>1</w:t>
      </w:r>
      <w:r w:rsidR="002D7080" w:rsidRPr="005A2F10">
        <w:rPr>
          <w:rFonts w:ascii="Times New Roman" w:eastAsia="Calibri" w:hAnsi="Times New Roman" w:cs="Times New Roman"/>
          <w:color w:val="auto"/>
          <w:sz w:val="28"/>
          <w:szCs w:val="28"/>
        </w:rPr>
        <w:t>.10 Risk analysis report for signal crayfish (</w:t>
      </w:r>
      <w:r w:rsidR="002D7080" w:rsidRPr="005A2F10">
        <w:rPr>
          <w:rFonts w:ascii="Times New Roman" w:eastAsia="Calibri" w:hAnsi="Times New Roman" w:cs="Times New Roman"/>
          <w:i/>
          <w:iCs/>
          <w:color w:val="auto"/>
          <w:sz w:val="28"/>
          <w:szCs w:val="28"/>
        </w:rPr>
        <w:t>Pacifastacus leniusculus</w:t>
      </w:r>
      <w:r w:rsidR="002D7080" w:rsidRPr="005A2F10">
        <w:rPr>
          <w:rFonts w:ascii="Times New Roman" w:eastAsia="Calibri" w:hAnsi="Times New Roman" w:cs="Times New Roman"/>
          <w:color w:val="auto"/>
          <w:sz w:val="28"/>
          <w:szCs w:val="28"/>
        </w:rPr>
        <w:t>)</w:t>
      </w:r>
    </w:p>
    <w:p w14:paraId="4C7D7795" w14:textId="77777777" w:rsidR="005A2F10" w:rsidRPr="005A2F10" w:rsidRDefault="005A2F10" w:rsidP="005A2F10">
      <w:pPr>
        <w:spacing w:after="0" w:line="240" w:lineRule="auto"/>
        <w:rPr>
          <w:rFonts w:ascii="Times New Roman" w:eastAsia="Calibri" w:hAnsi="Times New Roman" w:cs="Times New Roman"/>
          <w:sz w:val="20"/>
          <w:szCs w:val="20"/>
        </w:rPr>
      </w:pPr>
    </w:p>
    <w:tbl>
      <w:tblPr>
        <w:tblStyle w:val="TableGrid"/>
        <w:tblW w:w="0" w:type="auto"/>
        <w:tblLook w:val="04A0" w:firstRow="1" w:lastRow="0" w:firstColumn="1" w:lastColumn="0" w:noHBand="0" w:noVBand="1"/>
      </w:tblPr>
      <w:tblGrid>
        <w:gridCol w:w="4508"/>
        <w:gridCol w:w="2575"/>
        <w:gridCol w:w="1933"/>
      </w:tblGrid>
      <w:tr w:rsidR="002D7080" w:rsidRPr="00ED3FD3" w14:paraId="2C19027C" w14:textId="77777777" w:rsidTr="002E2C37">
        <w:trPr>
          <w:trHeight w:val="140"/>
        </w:trPr>
        <w:tc>
          <w:tcPr>
            <w:tcW w:w="4508" w:type="dxa"/>
          </w:tcPr>
          <w:p w14:paraId="5582FB0A" w14:textId="77777777" w:rsidR="002D7080" w:rsidRPr="00ED3FD3" w:rsidRDefault="002D7080" w:rsidP="002E2C37">
            <w:pPr>
              <w:rPr>
                <w:rFonts w:ascii="Times New Roman" w:hAnsi="Times New Roman" w:cs="Times New Roman"/>
                <w:b/>
                <w:iCs/>
                <w:sz w:val="20"/>
                <w:szCs w:val="20"/>
              </w:rPr>
            </w:pPr>
            <w:r w:rsidRPr="00ED3FD3">
              <w:rPr>
                <w:rFonts w:ascii="Times New Roman" w:hAnsi="Times New Roman" w:cs="Times New Roman"/>
                <w:b/>
                <w:i/>
                <w:sz w:val="20"/>
                <w:szCs w:val="20"/>
              </w:rPr>
              <w:t xml:space="preserve">Taxon: </w:t>
            </w:r>
            <w:r w:rsidRPr="00ED3FD3">
              <w:rPr>
                <w:rFonts w:ascii="Times New Roman" w:hAnsi="Times New Roman" w:cs="Times New Roman"/>
                <w:i/>
                <w:sz w:val="20"/>
                <w:szCs w:val="20"/>
              </w:rPr>
              <w:t xml:space="preserve">Pacifastacus leniusculus </w:t>
            </w:r>
            <w:r w:rsidRPr="00ED3FD3">
              <w:rPr>
                <w:rFonts w:ascii="Times New Roman" w:hAnsi="Times New Roman" w:cs="Times New Roman"/>
                <w:iCs/>
                <w:sz w:val="20"/>
                <w:szCs w:val="20"/>
              </w:rPr>
              <w:t>(Dana, 1852)</w:t>
            </w:r>
          </w:p>
        </w:tc>
        <w:tc>
          <w:tcPr>
            <w:tcW w:w="4508" w:type="dxa"/>
            <w:gridSpan w:val="2"/>
          </w:tcPr>
          <w:p w14:paraId="1CE58481" w14:textId="77777777" w:rsidR="002D7080" w:rsidRPr="00ED3FD3" w:rsidRDefault="002D7080" w:rsidP="002E2C37">
            <w:pPr>
              <w:rPr>
                <w:rFonts w:ascii="Times New Roman" w:hAnsi="Times New Roman" w:cs="Times New Roman"/>
                <w:bCs/>
                <w:iCs/>
                <w:sz w:val="20"/>
                <w:szCs w:val="20"/>
              </w:rPr>
            </w:pPr>
            <w:r w:rsidRPr="00ED3FD3">
              <w:rPr>
                <w:rFonts w:ascii="Times New Roman" w:hAnsi="Times New Roman" w:cs="Times New Roman"/>
                <w:b/>
                <w:i/>
                <w:sz w:val="20"/>
                <w:szCs w:val="20"/>
              </w:rPr>
              <w:t xml:space="preserve">Area: </w:t>
            </w:r>
            <w:r w:rsidRPr="00ED3FD3">
              <w:rPr>
                <w:rFonts w:ascii="Times New Roman" w:hAnsi="Times New Roman" w:cs="Times New Roman"/>
                <w:b/>
                <w:sz w:val="20"/>
                <w:szCs w:val="20"/>
              </w:rPr>
              <w:t>South Africa</w:t>
            </w:r>
          </w:p>
        </w:tc>
      </w:tr>
      <w:tr w:rsidR="002D7080" w:rsidRPr="00ED3FD3" w14:paraId="55F4D1ED" w14:textId="77777777" w:rsidTr="002E2C37">
        <w:trPr>
          <w:trHeight w:val="232"/>
        </w:trPr>
        <w:tc>
          <w:tcPr>
            <w:tcW w:w="4508" w:type="dxa"/>
          </w:tcPr>
          <w:p w14:paraId="56811CAC" w14:textId="77777777" w:rsidR="002D7080" w:rsidRPr="00ED3FD3" w:rsidRDefault="002D7080" w:rsidP="002E2C37">
            <w:pPr>
              <w:rPr>
                <w:rFonts w:ascii="Times New Roman" w:hAnsi="Times New Roman" w:cs="Times New Roman"/>
                <w:b/>
                <w:sz w:val="20"/>
                <w:szCs w:val="20"/>
              </w:rPr>
            </w:pPr>
            <w:r w:rsidRPr="00ED3FD3">
              <w:rPr>
                <w:rFonts w:ascii="Times New Roman" w:hAnsi="Times New Roman" w:cs="Times New Roman"/>
                <w:b/>
                <w:sz w:val="20"/>
                <w:szCs w:val="20"/>
              </w:rPr>
              <w:t xml:space="preserve">Compiled by: </w:t>
            </w:r>
            <w:r w:rsidRPr="00ED3FD3">
              <w:rPr>
                <w:rFonts w:ascii="Times New Roman" w:hAnsi="Times New Roman" w:cs="Times New Roman"/>
                <w:sz w:val="20"/>
                <w:szCs w:val="20"/>
              </w:rPr>
              <w:t>Lee-Anne Botha</w:t>
            </w:r>
          </w:p>
        </w:tc>
        <w:tc>
          <w:tcPr>
            <w:tcW w:w="4508" w:type="dxa"/>
            <w:gridSpan w:val="2"/>
          </w:tcPr>
          <w:p w14:paraId="3235D338" w14:textId="77777777" w:rsidR="002D7080" w:rsidRPr="00ED3FD3" w:rsidRDefault="002D7080" w:rsidP="002E2C37">
            <w:pPr>
              <w:rPr>
                <w:rFonts w:ascii="Times New Roman" w:hAnsi="Times New Roman" w:cs="Times New Roman"/>
                <w:b/>
                <w:sz w:val="20"/>
                <w:szCs w:val="20"/>
              </w:rPr>
            </w:pPr>
            <w:r w:rsidRPr="00ED3FD3">
              <w:rPr>
                <w:rFonts w:ascii="Times New Roman" w:hAnsi="Times New Roman" w:cs="Times New Roman"/>
                <w:b/>
                <w:sz w:val="20"/>
                <w:szCs w:val="20"/>
              </w:rPr>
              <w:t>Approved by:</w:t>
            </w:r>
          </w:p>
        </w:tc>
      </w:tr>
      <w:tr w:rsidR="002D7080" w:rsidRPr="00ED3FD3" w14:paraId="3D83E206" w14:textId="77777777" w:rsidTr="002E2C37">
        <w:trPr>
          <w:trHeight w:val="2217"/>
        </w:trPr>
        <w:tc>
          <w:tcPr>
            <w:tcW w:w="4508" w:type="dxa"/>
          </w:tcPr>
          <w:p w14:paraId="2C264EFC" w14:textId="77777777" w:rsidR="002D7080" w:rsidRPr="00ED3FD3" w:rsidRDefault="002D7080" w:rsidP="002E2C37">
            <w:pPr>
              <w:rPr>
                <w:rFonts w:ascii="Times New Roman" w:hAnsi="Times New Roman" w:cs="Times New Roman"/>
                <w:b/>
                <w:i/>
                <w:sz w:val="20"/>
                <w:szCs w:val="20"/>
              </w:rPr>
            </w:pPr>
            <w:r w:rsidRPr="00ED3FD3">
              <w:rPr>
                <w:rFonts w:ascii="Times New Roman" w:hAnsi="Times New Roman" w:cs="Times New Roman"/>
                <w:b/>
                <w:sz w:val="20"/>
                <w:szCs w:val="20"/>
              </w:rPr>
              <w:t xml:space="preserve">Picture of </w:t>
            </w:r>
            <w:r w:rsidRPr="00ED3FD3">
              <w:rPr>
                <w:rFonts w:ascii="Times New Roman" w:hAnsi="Times New Roman" w:cs="Times New Roman"/>
                <w:b/>
                <w:i/>
                <w:sz w:val="20"/>
                <w:szCs w:val="20"/>
              </w:rPr>
              <w:t>Taxon</w:t>
            </w:r>
          </w:p>
          <w:p w14:paraId="54B0E3E0" w14:textId="77777777" w:rsidR="002D7080" w:rsidRPr="00ED3FD3" w:rsidRDefault="002D7080" w:rsidP="002E2C37">
            <w:pPr>
              <w:jc w:val="center"/>
              <w:rPr>
                <w:rFonts w:ascii="Times New Roman" w:hAnsi="Times New Roman" w:cs="Times New Roman"/>
                <w:sz w:val="20"/>
                <w:szCs w:val="20"/>
              </w:rPr>
            </w:pPr>
            <w:r w:rsidRPr="00ED3FD3">
              <w:rPr>
                <w:rFonts w:ascii="Times New Roman" w:hAnsi="Times New Roman" w:cs="Times New Roman"/>
                <w:noProof/>
                <w:sz w:val="20"/>
                <w:szCs w:val="20"/>
                <w:lang w:eastAsia="en-ZA"/>
              </w:rPr>
              <w:drawing>
                <wp:inline distT="0" distB="0" distL="0" distR="0" wp14:anchorId="188FA9FF" wp14:editId="5A794838">
                  <wp:extent cx="2249805" cy="1493520"/>
                  <wp:effectExtent l="0" t="0" r="0" b="0"/>
                  <wp:docPr id="619860390" name="Picture 619860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249805" cy="1493520"/>
                          </a:xfrm>
                          <a:prstGeom prst="rect">
                            <a:avLst/>
                          </a:prstGeom>
                          <a:noFill/>
                        </pic:spPr>
                      </pic:pic>
                    </a:graphicData>
                  </a:graphic>
                </wp:inline>
              </w:drawing>
            </w:r>
          </w:p>
          <w:p w14:paraId="2122E969" w14:textId="77777777" w:rsidR="002D7080" w:rsidRPr="00ED3FD3" w:rsidRDefault="002D7080" w:rsidP="002E2C37">
            <w:pPr>
              <w:rPr>
                <w:rFonts w:ascii="Times New Roman" w:hAnsi="Times New Roman" w:cs="Times New Roman"/>
                <w:sz w:val="20"/>
                <w:szCs w:val="20"/>
              </w:rPr>
            </w:pPr>
            <w:r w:rsidRPr="00ED3FD3">
              <w:rPr>
                <w:rFonts w:ascii="Times New Roman" w:hAnsi="Times New Roman" w:cs="Times New Roman"/>
                <w:sz w:val="20"/>
                <w:szCs w:val="20"/>
              </w:rPr>
              <w:t>Photo: Holdich et al. 2009</w:t>
            </w:r>
          </w:p>
        </w:tc>
        <w:tc>
          <w:tcPr>
            <w:tcW w:w="4508" w:type="dxa"/>
            <w:gridSpan w:val="2"/>
          </w:tcPr>
          <w:p w14:paraId="53611D3C" w14:textId="77777777" w:rsidR="002D7080" w:rsidRPr="00ED3FD3" w:rsidRDefault="002D7080" w:rsidP="002E2C37">
            <w:pPr>
              <w:rPr>
                <w:rFonts w:ascii="Times New Roman" w:hAnsi="Times New Roman" w:cs="Times New Roman"/>
                <w:b/>
                <w:sz w:val="20"/>
                <w:szCs w:val="20"/>
              </w:rPr>
            </w:pPr>
            <w:r w:rsidRPr="00ED3FD3">
              <w:rPr>
                <w:rFonts w:ascii="Times New Roman" w:hAnsi="Times New Roman" w:cs="Times New Roman"/>
                <w:b/>
                <w:sz w:val="20"/>
                <w:szCs w:val="20"/>
              </w:rPr>
              <w:t>Alien distribution map</w:t>
            </w:r>
          </w:p>
          <w:p w14:paraId="4FAB7A8F" w14:textId="77777777" w:rsidR="002D7080" w:rsidRPr="00ED3FD3" w:rsidRDefault="002D7080" w:rsidP="002E2C37">
            <w:pPr>
              <w:jc w:val="center"/>
              <w:rPr>
                <w:rFonts w:ascii="Times New Roman" w:hAnsi="Times New Roman" w:cs="Times New Roman"/>
                <w:sz w:val="20"/>
                <w:szCs w:val="20"/>
              </w:rPr>
            </w:pPr>
            <w:r w:rsidRPr="00ED3FD3">
              <w:rPr>
                <w:rFonts w:ascii="Times New Roman" w:hAnsi="Times New Roman" w:cs="Times New Roman"/>
                <w:b/>
                <w:noProof/>
                <w:sz w:val="20"/>
                <w:szCs w:val="20"/>
                <w:lang w:eastAsia="en-ZA"/>
              </w:rPr>
              <w:drawing>
                <wp:inline distT="0" distB="0" distL="0" distR="0" wp14:anchorId="79D4691A" wp14:editId="64D105B3">
                  <wp:extent cx="2604977" cy="1368276"/>
                  <wp:effectExtent l="0" t="0" r="5080" b="3810"/>
                  <wp:docPr id="1304361003" name="Picture 130436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rotWithShape="1">
                          <a:blip r:embed="rId421" cstate="print">
                            <a:extLst>
                              <a:ext uri="{28A0092B-C50C-407E-A947-70E740481C1C}">
                                <a14:useLocalDpi xmlns:a14="http://schemas.microsoft.com/office/drawing/2010/main" val="0"/>
                              </a:ext>
                            </a:extLst>
                          </a:blip>
                          <a:srcRect/>
                          <a:stretch/>
                        </pic:blipFill>
                        <pic:spPr bwMode="auto">
                          <a:xfrm>
                            <a:off x="0" y="0"/>
                            <a:ext cx="2621569" cy="1376991"/>
                          </a:xfrm>
                          <a:prstGeom prst="rect">
                            <a:avLst/>
                          </a:prstGeom>
                          <a:noFill/>
                          <a:ln>
                            <a:noFill/>
                          </a:ln>
                          <a:extLst>
                            <a:ext uri="{53640926-AAD7-44D8-BBD7-CCE9431645EC}">
                              <a14:shadowObscured xmlns:a14="http://schemas.microsoft.com/office/drawing/2010/main"/>
                            </a:ext>
                          </a:extLst>
                        </pic:spPr>
                      </pic:pic>
                    </a:graphicData>
                  </a:graphic>
                </wp:inline>
              </w:drawing>
            </w:r>
          </w:p>
          <w:p w14:paraId="0089B225" w14:textId="77777777" w:rsidR="002D7080" w:rsidRPr="00ED3FD3" w:rsidRDefault="002D7080" w:rsidP="002E2C37">
            <w:pPr>
              <w:rPr>
                <w:rFonts w:ascii="Times New Roman" w:hAnsi="Times New Roman" w:cs="Times New Roman"/>
                <w:sz w:val="20"/>
                <w:szCs w:val="20"/>
              </w:rPr>
            </w:pPr>
            <w:r w:rsidRPr="00ED3FD3">
              <w:rPr>
                <w:rFonts w:ascii="Times New Roman" w:hAnsi="Times New Roman" w:cs="Times New Roman"/>
                <w:sz w:val="20"/>
                <w:szCs w:val="20"/>
              </w:rPr>
              <w:t xml:space="preserve">Reference: CABI (2022), </w:t>
            </w:r>
            <w:r w:rsidRPr="00ED3FD3">
              <w:rPr>
                <w:rFonts w:ascii="Times New Roman" w:hAnsi="Times New Roman" w:cs="Times New Roman"/>
                <w:iCs/>
                <w:sz w:val="20"/>
                <w:szCs w:val="20"/>
              </w:rPr>
              <w:t>https://doi/10.1079/cabicompendium.70581</w:t>
            </w:r>
          </w:p>
        </w:tc>
      </w:tr>
      <w:tr w:rsidR="002D7080" w:rsidRPr="00ED3FD3" w14:paraId="0CE3E6E1" w14:textId="77777777" w:rsidTr="002E2C37">
        <w:trPr>
          <w:trHeight w:val="746"/>
        </w:trPr>
        <w:tc>
          <w:tcPr>
            <w:tcW w:w="7083" w:type="dxa"/>
            <w:gridSpan w:val="2"/>
          </w:tcPr>
          <w:p w14:paraId="0782DCF2" w14:textId="77777777" w:rsidR="002D7080" w:rsidRPr="00ED3FD3" w:rsidRDefault="002D7080" w:rsidP="002E2C37">
            <w:pPr>
              <w:jc w:val="both"/>
              <w:rPr>
                <w:rFonts w:ascii="Times New Roman" w:hAnsi="Times New Roman" w:cs="Times New Roman"/>
                <w:b/>
                <w:sz w:val="20"/>
                <w:szCs w:val="20"/>
              </w:rPr>
            </w:pPr>
            <w:r w:rsidRPr="00ED3FD3">
              <w:rPr>
                <w:rFonts w:ascii="Times New Roman" w:hAnsi="Times New Roman" w:cs="Times New Roman"/>
                <w:b/>
                <w:sz w:val="20"/>
                <w:szCs w:val="20"/>
              </w:rPr>
              <w:t>Risk Assessment summary:</w:t>
            </w:r>
          </w:p>
          <w:p w14:paraId="4262E9E9" w14:textId="77777777" w:rsidR="002D7080" w:rsidRPr="00ED3FD3" w:rsidRDefault="002D7080" w:rsidP="002E2C37">
            <w:pPr>
              <w:jc w:val="both"/>
              <w:rPr>
                <w:rFonts w:ascii="Times New Roman" w:hAnsi="Times New Roman" w:cs="Times New Roman"/>
                <w:bCs/>
                <w:sz w:val="20"/>
                <w:szCs w:val="20"/>
              </w:rPr>
            </w:pPr>
            <w:r w:rsidRPr="00ED3FD3">
              <w:rPr>
                <w:rFonts w:ascii="Times New Roman" w:hAnsi="Times New Roman" w:cs="Times New Roman"/>
                <w:iCs/>
                <w:sz w:val="20"/>
                <w:szCs w:val="20"/>
              </w:rPr>
              <w:t>Signal crayfish</w:t>
            </w:r>
            <w:r w:rsidRPr="00ED3FD3">
              <w:rPr>
                <w:rFonts w:ascii="Times New Roman" w:hAnsi="Times New Roman" w:cs="Times New Roman"/>
                <w:i/>
                <w:iCs/>
                <w:sz w:val="20"/>
                <w:szCs w:val="20"/>
              </w:rPr>
              <w:t xml:space="preserve"> </w:t>
            </w:r>
            <w:r w:rsidRPr="00ED3FD3">
              <w:rPr>
                <w:rFonts w:ascii="Times New Roman" w:hAnsi="Times New Roman" w:cs="Times New Roman"/>
                <w:iCs/>
                <w:sz w:val="20"/>
                <w:szCs w:val="20"/>
              </w:rPr>
              <w:t>(</w:t>
            </w:r>
            <w:r w:rsidRPr="00ED3FD3">
              <w:rPr>
                <w:rFonts w:ascii="Times New Roman" w:hAnsi="Times New Roman" w:cs="Times New Roman"/>
                <w:i/>
                <w:iCs/>
                <w:sz w:val="20"/>
                <w:szCs w:val="20"/>
              </w:rPr>
              <w:t>Pacifastacus leniusculus</w:t>
            </w:r>
            <w:r w:rsidRPr="00ED3FD3">
              <w:rPr>
                <w:rFonts w:ascii="Times New Roman" w:hAnsi="Times New Roman" w:cs="Times New Roman"/>
                <w:iCs/>
                <w:sz w:val="20"/>
                <w:szCs w:val="20"/>
              </w:rPr>
              <w:t>) has been</w:t>
            </w:r>
            <w:r w:rsidRPr="00ED3FD3">
              <w:rPr>
                <w:rFonts w:ascii="Times New Roman" w:hAnsi="Times New Roman" w:cs="Times New Roman"/>
                <w:sz w:val="20"/>
                <w:szCs w:val="20"/>
              </w:rPr>
              <w:t xml:space="preserve"> widely introduced for aquaculture and the global pet trade industry. There is anecdotal evidence that it might be present in South Africa but this needs to be verified. The are no known populations of </w:t>
            </w:r>
            <w:r w:rsidRPr="00ED3FD3">
              <w:rPr>
                <w:rFonts w:ascii="Times New Roman" w:hAnsi="Times New Roman" w:cs="Times New Roman"/>
                <w:i/>
                <w:iCs/>
                <w:sz w:val="20"/>
                <w:szCs w:val="20"/>
              </w:rPr>
              <w:t>P. leniusculus</w:t>
            </w:r>
            <w:r w:rsidRPr="00ED3FD3">
              <w:rPr>
                <w:rFonts w:ascii="Times New Roman" w:hAnsi="Times New Roman" w:cs="Times New Roman"/>
                <w:sz w:val="20"/>
                <w:szCs w:val="20"/>
              </w:rPr>
              <w:t xml:space="preserve"> in neighbouring countries, therefore entry via unaided pathways is unlikely. The illegal pet trade industry remains a concern because </w:t>
            </w:r>
            <w:r w:rsidRPr="00ED3FD3">
              <w:rPr>
                <w:rFonts w:ascii="Times New Roman" w:hAnsi="Times New Roman" w:cs="Times New Roman"/>
                <w:i/>
                <w:iCs/>
                <w:sz w:val="20"/>
                <w:szCs w:val="20"/>
              </w:rPr>
              <w:t>P. leniusculus</w:t>
            </w:r>
            <w:r w:rsidRPr="00ED3FD3">
              <w:rPr>
                <w:rFonts w:ascii="Times New Roman" w:hAnsi="Times New Roman" w:cs="Times New Roman"/>
                <w:sz w:val="20"/>
                <w:szCs w:val="20"/>
              </w:rPr>
              <w:t xml:space="preserve"> may be moved around by humans and there is a high risk of intentional release of unwanted pets into the wild. In the </w:t>
            </w:r>
            <w:r w:rsidRPr="00ED3FD3">
              <w:rPr>
                <w:rFonts w:ascii="Times New Roman" w:hAnsi="Times New Roman" w:cs="Times New Roman"/>
                <w:iCs/>
                <w:sz w:val="20"/>
                <w:szCs w:val="20"/>
              </w:rPr>
              <w:t xml:space="preserve">introduced range, </w:t>
            </w:r>
            <w:r w:rsidRPr="00ED3FD3">
              <w:rPr>
                <w:rFonts w:ascii="Times New Roman" w:hAnsi="Times New Roman" w:cs="Times New Roman"/>
                <w:i/>
                <w:iCs/>
                <w:sz w:val="20"/>
                <w:szCs w:val="20"/>
              </w:rPr>
              <w:t>P. leniusculus</w:t>
            </w:r>
            <w:r w:rsidRPr="00ED3FD3">
              <w:rPr>
                <w:rFonts w:ascii="Times New Roman" w:hAnsi="Times New Roman" w:cs="Times New Roman"/>
                <w:sz w:val="20"/>
                <w:szCs w:val="20"/>
              </w:rPr>
              <w:t xml:space="preserve"> has been implicated in displacing native crayfish species through the transmission of crayfish plague and out-competing them for food and shelter. It has also been implicated in causing adverse impacts on macroinvertebrate communities through predation. Crayfish plague caused population crashes of native crayfish in Europe leading to a decline in economic and cultural benefits derived from the species. </w:t>
            </w:r>
            <w:r w:rsidRPr="00ED3FD3">
              <w:rPr>
                <w:rFonts w:ascii="Times New Roman" w:eastAsia="Times New Roman" w:hAnsi="Times New Roman" w:cs="Times New Roman"/>
                <w:iCs/>
                <w:sz w:val="20"/>
                <w:szCs w:val="20"/>
                <w:lang w:eastAsia="en-ZA"/>
              </w:rPr>
              <w:t xml:space="preserve">There are no native crayfish species in South Africa but the crayfish plague has been shown to infect other freshwater decapods and introduced crayfish have the potential to outcompete native decapods such as potamonautid crabs. </w:t>
            </w:r>
          </w:p>
        </w:tc>
        <w:tc>
          <w:tcPr>
            <w:tcW w:w="1933" w:type="dxa"/>
          </w:tcPr>
          <w:p w14:paraId="67B459BF" w14:textId="77777777" w:rsidR="002D7080" w:rsidRPr="00ED3FD3" w:rsidRDefault="002D7080" w:rsidP="002E2C37">
            <w:pPr>
              <w:rPr>
                <w:rFonts w:ascii="Times New Roman" w:hAnsi="Times New Roman" w:cs="Times New Roman"/>
                <w:sz w:val="20"/>
                <w:szCs w:val="20"/>
              </w:rPr>
            </w:pPr>
            <w:r w:rsidRPr="00ED3FD3">
              <w:rPr>
                <w:rFonts w:ascii="Times New Roman" w:hAnsi="Times New Roman" w:cs="Times New Roman"/>
                <w:b/>
                <w:sz w:val="20"/>
                <w:szCs w:val="20"/>
              </w:rPr>
              <w:t>Risk score:</w:t>
            </w:r>
            <w:r w:rsidRPr="00ED3FD3">
              <w:rPr>
                <w:rFonts w:ascii="Times New Roman" w:hAnsi="Times New Roman" w:cs="Times New Roman"/>
                <w:b/>
                <w:sz w:val="20"/>
                <w:szCs w:val="20"/>
              </w:rPr>
              <w:br/>
            </w:r>
            <w:r w:rsidRPr="00ED3FD3">
              <w:rPr>
                <w:rFonts w:ascii="Times New Roman" w:hAnsi="Times New Roman" w:cs="Times New Roman"/>
                <w:sz w:val="20"/>
                <w:szCs w:val="20"/>
              </w:rPr>
              <w:t>High</w:t>
            </w:r>
          </w:p>
        </w:tc>
      </w:tr>
      <w:tr w:rsidR="002D7080" w:rsidRPr="00ED3FD3" w14:paraId="0F6E3EBB" w14:textId="77777777" w:rsidTr="002E2C37">
        <w:trPr>
          <w:trHeight w:val="852"/>
        </w:trPr>
        <w:tc>
          <w:tcPr>
            <w:tcW w:w="7083" w:type="dxa"/>
            <w:gridSpan w:val="2"/>
          </w:tcPr>
          <w:p w14:paraId="1E1D0E32" w14:textId="77777777" w:rsidR="002D7080" w:rsidRPr="00ED3FD3" w:rsidRDefault="002D7080" w:rsidP="002E2C37">
            <w:pPr>
              <w:rPr>
                <w:rFonts w:ascii="Times New Roman" w:hAnsi="Times New Roman" w:cs="Times New Roman"/>
                <w:b/>
                <w:sz w:val="20"/>
                <w:szCs w:val="20"/>
              </w:rPr>
            </w:pPr>
            <w:r w:rsidRPr="00ED3FD3">
              <w:rPr>
                <w:rFonts w:ascii="Times New Roman" w:hAnsi="Times New Roman" w:cs="Times New Roman"/>
                <w:b/>
                <w:sz w:val="20"/>
                <w:szCs w:val="20"/>
              </w:rPr>
              <w:t xml:space="preserve">Management summary: </w:t>
            </w:r>
          </w:p>
          <w:p w14:paraId="5BB66071" w14:textId="77777777" w:rsidR="002D7080" w:rsidRPr="00ED3FD3" w:rsidRDefault="002D7080" w:rsidP="002E2C37">
            <w:pPr>
              <w:jc w:val="both"/>
              <w:rPr>
                <w:rFonts w:ascii="Times New Roman" w:hAnsi="Times New Roman" w:cs="Times New Roman"/>
                <w:b/>
                <w:sz w:val="20"/>
                <w:szCs w:val="20"/>
              </w:rPr>
            </w:pPr>
            <w:r w:rsidRPr="00ED3FD3">
              <w:rPr>
                <w:rFonts w:ascii="Times New Roman" w:hAnsi="Times New Roman" w:cs="Times New Roman"/>
                <w:i/>
                <w:iCs/>
                <w:sz w:val="20"/>
                <w:szCs w:val="20"/>
              </w:rPr>
              <w:t xml:space="preserve">Pacifastacus leniusculus </w:t>
            </w:r>
            <w:r w:rsidRPr="00ED3FD3">
              <w:rPr>
                <w:rFonts w:ascii="Times New Roman" w:hAnsi="Times New Roman" w:cs="Times New Roman"/>
                <w:sz w:val="20"/>
                <w:szCs w:val="20"/>
              </w:rPr>
              <w:t>is</w:t>
            </w:r>
            <w:r w:rsidRPr="00ED3FD3">
              <w:rPr>
                <w:rFonts w:ascii="Times New Roman" w:hAnsi="Times New Roman" w:cs="Times New Roman"/>
                <w:i/>
                <w:iCs/>
                <w:sz w:val="20"/>
                <w:szCs w:val="20"/>
              </w:rPr>
              <w:t xml:space="preserve"> </w:t>
            </w:r>
            <w:r w:rsidRPr="00ED3FD3">
              <w:rPr>
                <w:rFonts w:ascii="Times New Roman" w:hAnsi="Times New Roman" w:cs="Times New Roman"/>
                <w:bCs/>
                <w:iCs/>
                <w:sz w:val="20"/>
                <w:szCs w:val="20"/>
              </w:rPr>
              <w:t xml:space="preserve">a fairly small, largely nocturnal, burrowing freshwater species that is difficult to detect. Several </w:t>
            </w:r>
            <w:r w:rsidRPr="00ED3FD3">
              <w:rPr>
                <w:rFonts w:ascii="Times New Roman" w:eastAsia="Times New Roman" w:hAnsi="Times New Roman" w:cs="Times New Roman"/>
                <w:sz w:val="20"/>
                <w:szCs w:val="20"/>
                <w:lang w:eastAsia="en-ZA"/>
              </w:rPr>
              <w:t xml:space="preserve">methods have been used to control alien populations of </w:t>
            </w:r>
            <w:r w:rsidRPr="00ED3FD3">
              <w:rPr>
                <w:rFonts w:ascii="Times New Roman" w:eastAsia="Times New Roman" w:hAnsi="Times New Roman" w:cs="Times New Roman"/>
                <w:i/>
                <w:sz w:val="20"/>
                <w:szCs w:val="20"/>
                <w:lang w:eastAsia="en-ZA"/>
              </w:rPr>
              <w:t>P. leniusculus</w:t>
            </w:r>
            <w:r w:rsidRPr="00ED3FD3">
              <w:rPr>
                <w:rFonts w:ascii="Times New Roman" w:eastAsia="Times New Roman" w:hAnsi="Times New Roman" w:cs="Times New Roman"/>
                <w:sz w:val="20"/>
                <w:szCs w:val="20"/>
                <w:lang w:eastAsia="en-ZA"/>
              </w:rPr>
              <w:t xml:space="preserve"> and these include mechanical removal using traps and electrofishing, biocides, and the release of sterile males. However, several issues make the management of crayfish invasions challenging. Biocides are effective for localized populations but can have non-target effects on native fauna. Mechanical controls are also effective in small discrete water bodies but are expensive, require a commitment to follow on to complete eradication, and can lead to unwanted </w:t>
            </w:r>
            <w:r w:rsidRPr="00ED3FD3">
              <w:rPr>
                <w:rFonts w:ascii="Times New Roman" w:hAnsi="Times New Roman" w:cs="Times New Roman"/>
                <w:sz w:val="20"/>
                <w:szCs w:val="20"/>
              </w:rPr>
              <w:t>community compensation mechanisms</w:t>
            </w:r>
            <w:r w:rsidRPr="00ED3FD3">
              <w:rPr>
                <w:rFonts w:ascii="Times New Roman" w:eastAsia="Times New Roman" w:hAnsi="Times New Roman" w:cs="Times New Roman"/>
                <w:sz w:val="20"/>
                <w:szCs w:val="20"/>
                <w:lang w:eastAsia="en-ZA"/>
              </w:rPr>
              <w:t xml:space="preserve"> such as enhanced recruitment.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is a popular species in the pet trade industry. The pet trade industry </w:t>
            </w:r>
            <w:r w:rsidRPr="00ED3FD3">
              <w:rPr>
                <w:rFonts w:ascii="Times New Roman" w:hAnsi="Times New Roman" w:cs="Times New Roman"/>
                <w:sz w:val="20"/>
                <w:szCs w:val="20"/>
                <w:lang w:val="en-GB"/>
              </w:rPr>
              <w:t xml:space="preserve">is generally difficult to regulate because trade restrictions imposed on species of conservation concern that are albeit popular and in high demand, often lead to illegal trading that is compounded </w:t>
            </w:r>
            <w:r w:rsidRPr="00ED3FD3">
              <w:rPr>
                <w:rFonts w:ascii="Times New Roman" w:hAnsi="Times New Roman" w:cs="Times New Roman"/>
                <w:sz w:val="20"/>
                <w:szCs w:val="20"/>
                <w:lang w:val="en-GB"/>
              </w:rPr>
              <w:lastRenderedPageBreak/>
              <w:t>by a lack of reliable record-keeping of the type and number of organisms presently in the pet trade.</w:t>
            </w:r>
          </w:p>
        </w:tc>
        <w:tc>
          <w:tcPr>
            <w:tcW w:w="1933" w:type="dxa"/>
          </w:tcPr>
          <w:p w14:paraId="7E9EA571" w14:textId="77777777" w:rsidR="002D7080" w:rsidRPr="00ED3FD3" w:rsidRDefault="002D7080" w:rsidP="002E2C37">
            <w:pPr>
              <w:rPr>
                <w:rFonts w:ascii="Times New Roman" w:hAnsi="Times New Roman" w:cs="Times New Roman"/>
                <w:b/>
                <w:sz w:val="20"/>
                <w:szCs w:val="20"/>
              </w:rPr>
            </w:pPr>
            <w:r w:rsidRPr="00ED3FD3">
              <w:rPr>
                <w:rFonts w:ascii="Times New Roman" w:hAnsi="Times New Roman" w:cs="Times New Roman"/>
                <w:b/>
                <w:sz w:val="20"/>
                <w:szCs w:val="20"/>
              </w:rPr>
              <w:lastRenderedPageBreak/>
              <w:t>Ease of management:</w:t>
            </w:r>
          </w:p>
          <w:p w14:paraId="273DCA73" w14:textId="77777777" w:rsidR="002D7080" w:rsidRPr="00ED3FD3" w:rsidRDefault="002D7080" w:rsidP="002E2C37">
            <w:pPr>
              <w:rPr>
                <w:rFonts w:ascii="Times New Roman" w:hAnsi="Times New Roman" w:cs="Times New Roman"/>
                <w:sz w:val="20"/>
                <w:szCs w:val="20"/>
              </w:rPr>
            </w:pPr>
            <w:r w:rsidRPr="00ED3FD3">
              <w:rPr>
                <w:rFonts w:ascii="Times New Roman" w:hAnsi="Times New Roman" w:cs="Times New Roman"/>
                <w:sz w:val="20"/>
                <w:szCs w:val="20"/>
              </w:rPr>
              <w:t xml:space="preserve">Difficult </w:t>
            </w:r>
          </w:p>
          <w:p w14:paraId="088C74EC" w14:textId="77777777" w:rsidR="002D7080" w:rsidRPr="00ED3FD3" w:rsidRDefault="002D7080" w:rsidP="002E2C37">
            <w:pPr>
              <w:rPr>
                <w:rFonts w:ascii="Times New Roman" w:hAnsi="Times New Roman" w:cs="Times New Roman"/>
                <w:sz w:val="20"/>
                <w:szCs w:val="20"/>
              </w:rPr>
            </w:pPr>
          </w:p>
        </w:tc>
      </w:tr>
      <w:tr w:rsidR="002D7080" w:rsidRPr="00ED3FD3" w14:paraId="60E6111D" w14:textId="77777777" w:rsidTr="002E2C37">
        <w:trPr>
          <w:trHeight w:val="690"/>
        </w:trPr>
        <w:tc>
          <w:tcPr>
            <w:tcW w:w="7083" w:type="dxa"/>
            <w:gridSpan w:val="2"/>
            <w:vMerge w:val="restart"/>
          </w:tcPr>
          <w:p w14:paraId="136939DE" w14:textId="77777777" w:rsidR="002D7080" w:rsidRPr="00ED3FD3" w:rsidRDefault="002D7080" w:rsidP="002E2C37">
            <w:pPr>
              <w:rPr>
                <w:rFonts w:ascii="Times New Roman" w:hAnsi="Times New Roman" w:cs="Times New Roman"/>
                <w:b/>
                <w:sz w:val="20"/>
                <w:szCs w:val="20"/>
              </w:rPr>
            </w:pPr>
            <w:r w:rsidRPr="00ED3FD3">
              <w:rPr>
                <w:rFonts w:ascii="Times New Roman" w:hAnsi="Times New Roman" w:cs="Times New Roman"/>
                <w:b/>
                <w:sz w:val="20"/>
                <w:szCs w:val="20"/>
              </w:rPr>
              <w:t>Recommendations:</w:t>
            </w:r>
          </w:p>
          <w:p w14:paraId="46DDBA63" w14:textId="77777777" w:rsidR="002D7080" w:rsidRPr="00ED3FD3" w:rsidRDefault="002D7080" w:rsidP="002E2C37">
            <w:pPr>
              <w:jc w:val="both"/>
              <w:rPr>
                <w:rFonts w:ascii="Times New Roman" w:hAnsi="Times New Roman" w:cs="Times New Roman"/>
                <w:b/>
                <w:sz w:val="20"/>
                <w:szCs w:val="20"/>
              </w:rPr>
            </w:pPr>
            <w:r w:rsidRPr="00ED3FD3">
              <w:rPr>
                <w:rFonts w:ascii="Times New Roman" w:hAnsi="Times New Roman" w:cs="Times New Roman"/>
                <w:i/>
                <w:iCs/>
                <w:sz w:val="20"/>
                <w:szCs w:val="20"/>
              </w:rPr>
              <w:t>Pacifastacus leniusculus</w:t>
            </w:r>
            <w:r w:rsidRPr="00ED3FD3">
              <w:rPr>
                <w:rFonts w:ascii="Times New Roman" w:hAnsi="Times New Roman" w:cs="Times New Roman"/>
                <w:sz w:val="20"/>
                <w:szCs w:val="20"/>
              </w:rPr>
              <w:t xml:space="preserve"> is recommended to be added to a future prohibited list because there are no known records in South Africa. The taxon should be included in a border surveillance and monitoring strategy to prevent entry into South Africa. In addition, surveys should be done to confirm which crayfish species are present in the pet trade in South Africa and if found to be present, it should be relisted as category 1a. </w:t>
            </w:r>
          </w:p>
        </w:tc>
        <w:tc>
          <w:tcPr>
            <w:tcW w:w="1933" w:type="dxa"/>
          </w:tcPr>
          <w:p w14:paraId="43443F68" w14:textId="77777777" w:rsidR="002D7080" w:rsidRPr="00ED3FD3" w:rsidRDefault="002D7080" w:rsidP="002E2C37">
            <w:pPr>
              <w:rPr>
                <w:rFonts w:ascii="Times New Roman" w:hAnsi="Times New Roman" w:cs="Times New Roman"/>
                <w:b/>
                <w:sz w:val="20"/>
                <w:szCs w:val="20"/>
              </w:rPr>
            </w:pPr>
            <w:r w:rsidRPr="00ED3FD3">
              <w:rPr>
                <w:rFonts w:ascii="Times New Roman" w:hAnsi="Times New Roman" w:cs="Times New Roman"/>
                <w:b/>
                <w:sz w:val="20"/>
                <w:szCs w:val="20"/>
              </w:rPr>
              <w:t>Listing under NEM:BA A&amp;IS lists of 2020:</w:t>
            </w:r>
          </w:p>
          <w:p w14:paraId="2C4151A6" w14:textId="77777777" w:rsidR="002D7080" w:rsidRPr="00ED3FD3" w:rsidRDefault="002D7080" w:rsidP="002E2C37">
            <w:pPr>
              <w:rPr>
                <w:rFonts w:ascii="Times New Roman" w:hAnsi="Times New Roman" w:cs="Times New Roman"/>
                <w:sz w:val="20"/>
                <w:szCs w:val="20"/>
              </w:rPr>
            </w:pPr>
            <w:r w:rsidRPr="00ED3FD3">
              <w:rPr>
                <w:rFonts w:ascii="Times New Roman" w:hAnsi="Times New Roman" w:cs="Times New Roman"/>
                <w:sz w:val="20"/>
                <w:szCs w:val="20"/>
              </w:rPr>
              <w:t>1a</w:t>
            </w:r>
          </w:p>
        </w:tc>
      </w:tr>
      <w:tr w:rsidR="002D7080" w:rsidRPr="00ED3FD3" w14:paraId="2865B04B" w14:textId="77777777" w:rsidTr="002E2C37">
        <w:trPr>
          <w:trHeight w:val="690"/>
        </w:trPr>
        <w:tc>
          <w:tcPr>
            <w:tcW w:w="7083" w:type="dxa"/>
            <w:gridSpan w:val="2"/>
            <w:vMerge/>
          </w:tcPr>
          <w:p w14:paraId="752B6E22" w14:textId="77777777" w:rsidR="002D7080" w:rsidRPr="00ED3FD3" w:rsidRDefault="002D7080" w:rsidP="002E2C37">
            <w:pPr>
              <w:rPr>
                <w:rFonts w:ascii="Times New Roman" w:hAnsi="Times New Roman" w:cs="Times New Roman"/>
                <w:b/>
                <w:sz w:val="20"/>
                <w:szCs w:val="20"/>
              </w:rPr>
            </w:pPr>
          </w:p>
        </w:tc>
        <w:tc>
          <w:tcPr>
            <w:tcW w:w="1933" w:type="dxa"/>
          </w:tcPr>
          <w:p w14:paraId="1E2CFE12" w14:textId="77777777" w:rsidR="002D7080" w:rsidRPr="00ED3FD3" w:rsidRDefault="002D7080" w:rsidP="002E2C37">
            <w:pPr>
              <w:rPr>
                <w:rFonts w:ascii="Times New Roman" w:hAnsi="Times New Roman" w:cs="Times New Roman"/>
                <w:b/>
                <w:sz w:val="20"/>
                <w:szCs w:val="20"/>
              </w:rPr>
            </w:pPr>
            <w:r w:rsidRPr="00ED3FD3">
              <w:rPr>
                <w:rFonts w:ascii="Times New Roman" w:hAnsi="Times New Roman" w:cs="Times New Roman"/>
                <w:b/>
                <w:sz w:val="20"/>
                <w:szCs w:val="20"/>
              </w:rPr>
              <w:t xml:space="preserve">Recommended listing category: </w:t>
            </w:r>
          </w:p>
          <w:p w14:paraId="3F1BCBC9" w14:textId="77777777" w:rsidR="002D7080" w:rsidRPr="00ED3FD3" w:rsidRDefault="002D7080" w:rsidP="002E2C37">
            <w:pPr>
              <w:rPr>
                <w:rFonts w:ascii="Times New Roman" w:hAnsi="Times New Roman" w:cs="Times New Roman"/>
                <w:bCs/>
                <w:sz w:val="20"/>
                <w:szCs w:val="20"/>
              </w:rPr>
            </w:pPr>
            <w:r w:rsidRPr="00ED3FD3">
              <w:rPr>
                <w:rFonts w:ascii="Times New Roman" w:hAnsi="Times New Roman" w:cs="Times New Roman"/>
                <w:bCs/>
                <w:sz w:val="20"/>
                <w:szCs w:val="20"/>
              </w:rPr>
              <w:t>Future prohibited list</w:t>
            </w:r>
          </w:p>
        </w:tc>
      </w:tr>
    </w:tbl>
    <w:p w14:paraId="6028F1A7" w14:textId="77777777" w:rsidR="002D7080" w:rsidRDefault="002D7080" w:rsidP="002D7080">
      <w:pPr>
        <w:spacing w:after="0" w:line="240" w:lineRule="auto"/>
        <w:rPr>
          <w:rFonts w:ascii="Times New Roman" w:eastAsia="Times New Roman" w:hAnsi="Times New Roman" w:cs="Times New Roman"/>
          <w:b/>
          <w:sz w:val="20"/>
          <w:szCs w:val="20"/>
          <w:lang w:eastAsia="en-ZA"/>
        </w:rPr>
      </w:pPr>
    </w:p>
    <w:p w14:paraId="1DCB8DA7" w14:textId="77777777" w:rsidR="002D7080" w:rsidRDefault="002D7080" w:rsidP="002D7080">
      <w:pPr>
        <w:rPr>
          <w:rFonts w:ascii="Times New Roman" w:eastAsia="Times New Roman" w:hAnsi="Times New Roman" w:cs="Times New Roman"/>
          <w:b/>
          <w:sz w:val="20"/>
          <w:szCs w:val="20"/>
          <w:lang w:eastAsia="en-ZA"/>
        </w:rPr>
      </w:pPr>
      <w:r>
        <w:rPr>
          <w:rFonts w:ascii="Times New Roman" w:eastAsia="Times New Roman" w:hAnsi="Times New Roman" w:cs="Times New Roman"/>
          <w:b/>
          <w:sz w:val="20"/>
          <w:szCs w:val="20"/>
          <w:lang w:eastAsia="en-ZA"/>
        </w:rPr>
        <w:br w:type="page"/>
      </w:r>
    </w:p>
    <w:p w14:paraId="25060E6B"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lastRenderedPageBreak/>
        <w:t>1. Background</w:t>
      </w:r>
    </w:p>
    <w:p w14:paraId="7463F509"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p>
    <w:tbl>
      <w:tblPr>
        <w:tblW w:w="8790" w:type="dxa"/>
        <w:tblInd w:w="108" w:type="dxa"/>
        <w:tblLook w:val="04A0" w:firstRow="1" w:lastRow="0" w:firstColumn="1" w:lastColumn="0" w:noHBand="0" w:noVBand="1"/>
      </w:tblPr>
      <w:tblGrid>
        <w:gridCol w:w="2700"/>
        <w:gridCol w:w="1156"/>
        <w:gridCol w:w="2268"/>
        <w:gridCol w:w="2666"/>
      </w:tblGrid>
      <w:tr w:rsidR="002D7080" w:rsidRPr="00ED3FD3" w14:paraId="0940ED35" w14:textId="77777777" w:rsidTr="002E2C37">
        <w:trPr>
          <w:cantSplit/>
          <w:trHeight w:val="358"/>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39BC5620" w14:textId="77777777" w:rsidR="002D7080" w:rsidRPr="00ED3FD3" w:rsidRDefault="002D7080" w:rsidP="002E2C37">
            <w:pPr>
              <w:spacing w:after="0" w:line="240" w:lineRule="auto"/>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BAC1 Name of assessor(s)</w:t>
            </w:r>
          </w:p>
        </w:tc>
      </w:tr>
      <w:tr w:rsidR="002D7080" w:rsidRPr="00ED3FD3" w14:paraId="71FC5F48" w14:textId="77777777" w:rsidTr="002E2C37">
        <w:trPr>
          <w:cantSplit/>
          <w:trHeight w:val="251"/>
        </w:trPr>
        <w:tc>
          <w:tcPr>
            <w:tcW w:w="2700" w:type="dxa"/>
            <w:tcBorders>
              <w:top w:val="nil"/>
              <w:left w:val="single" w:sz="4" w:space="0" w:color="auto"/>
              <w:bottom w:val="single" w:sz="4" w:space="0" w:color="auto"/>
              <w:right w:val="single" w:sz="4" w:space="0" w:color="auto"/>
            </w:tcBorders>
            <w:shd w:val="clear" w:color="auto" w:fill="F2F2F2" w:themeFill="background1" w:themeFillShade="F2"/>
            <w:noWrap/>
          </w:tcPr>
          <w:p w14:paraId="1AD8CD18" w14:textId="77777777" w:rsidR="002D7080" w:rsidRPr="00ED3FD3" w:rsidRDefault="002D7080" w:rsidP="002E2C37">
            <w:pPr>
              <w:spacing w:after="0" w:line="240" w:lineRule="auto"/>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sz w:val="20"/>
                <w:szCs w:val="20"/>
                <w:lang w:eastAsia="en-ZA"/>
              </w:rPr>
              <w:t>Name of lead assessor</w:t>
            </w:r>
          </w:p>
        </w:tc>
        <w:tc>
          <w:tcPr>
            <w:tcW w:w="6090" w:type="dxa"/>
            <w:gridSpan w:val="3"/>
            <w:tcBorders>
              <w:top w:val="nil"/>
              <w:left w:val="single" w:sz="4" w:space="0" w:color="auto"/>
              <w:bottom w:val="single" w:sz="4" w:space="0" w:color="auto"/>
              <w:right w:val="single" w:sz="4" w:space="0" w:color="auto"/>
            </w:tcBorders>
          </w:tcPr>
          <w:p w14:paraId="0A40C619" w14:textId="77777777" w:rsidR="002D7080" w:rsidRPr="00ED3FD3" w:rsidRDefault="002D7080" w:rsidP="002E2C37">
            <w:pPr>
              <w:spacing w:after="0" w:line="240" w:lineRule="auto"/>
              <w:rPr>
                <w:rFonts w:ascii="Times New Roman" w:eastAsia="Times New Roman" w:hAnsi="Times New Roman" w:cs="Times New Roman"/>
                <w:bCs/>
                <w:sz w:val="20"/>
                <w:szCs w:val="20"/>
                <w:lang w:eastAsia="en-ZA"/>
              </w:rPr>
            </w:pPr>
            <w:r w:rsidRPr="00ED3FD3">
              <w:rPr>
                <w:rFonts w:ascii="Times New Roman" w:eastAsia="Times New Roman" w:hAnsi="Times New Roman" w:cs="Times New Roman"/>
                <w:sz w:val="20"/>
                <w:szCs w:val="20"/>
                <w:lang w:eastAsia="en-ZA"/>
              </w:rPr>
              <w:t>Lee-Anne Botha</w:t>
            </w:r>
          </w:p>
        </w:tc>
      </w:tr>
      <w:tr w:rsidR="002D7080" w:rsidRPr="00ED3FD3" w14:paraId="4D5962E4" w14:textId="77777777" w:rsidTr="002E2C37">
        <w:trPr>
          <w:cantSplit/>
          <w:trHeight w:val="287"/>
        </w:trPr>
        <w:tc>
          <w:tcPr>
            <w:tcW w:w="2700" w:type="dxa"/>
            <w:tcBorders>
              <w:top w:val="nil"/>
              <w:left w:val="single" w:sz="4" w:space="0" w:color="auto"/>
              <w:bottom w:val="single" w:sz="4" w:space="0" w:color="auto"/>
              <w:right w:val="single" w:sz="4" w:space="0" w:color="auto"/>
            </w:tcBorders>
            <w:shd w:val="clear" w:color="auto" w:fill="F2F2F2" w:themeFill="background1" w:themeFillShade="F2"/>
            <w:noWrap/>
          </w:tcPr>
          <w:p w14:paraId="79E041D1"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Additional assessor (1)</w:t>
            </w:r>
          </w:p>
        </w:tc>
        <w:tc>
          <w:tcPr>
            <w:tcW w:w="6090" w:type="dxa"/>
            <w:gridSpan w:val="3"/>
            <w:tcBorders>
              <w:top w:val="nil"/>
              <w:left w:val="single" w:sz="4" w:space="0" w:color="auto"/>
              <w:bottom w:val="single" w:sz="4" w:space="0" w:color="auto"/>
              <w:right w:val="single" w:sz="4" w:space="0" w:color="auto"/>
            </w:tcBorders>
          </w:tcPr>
          <w:p w14:paraId="2B49E816" w14:textId="77777777" w:rsidR="002D7080" w:rsidRPr="00ED3FD3" w:rsidRDefault="002D7080" w:rsidP="002E2C37">
            <w:pPr>
              <w:spacing w:after="0" w:line="240" w:lineRule="auto"/>
              <w:rPr>
                <w:rFonts w:ascii="Times New Roman" w:eastAsia="Times New Roman" w:hAnsi="Times New Roman" w:cs="Times New Roman"/>
                <w:bCs/>
                <w:sz w:val="20"/>
                <w:szCs w:val="20"/>
                <w:lang w:eastAsia="en-ZA"/>
              </w:rPr>
            </w:pPr>
            <w:r w:rsidRPr="004D1E6F">
              <w:rPr>
                <w:rFonts w:ascii="Times New Roman" w:hAnsi="Times New Roman" w:cs="Times New Roman"/>
                <w:bCs/>
                <w:iCs/>
                <w:sz w:val="20"/>
                <w:szCs w:val="20"/>
              </w:rPr>
              <w:t xml:space="preserve">Tsungai Zengeya </w:t>
            </w:r>
          </w:p>
        </w:tc>
      </w:tr>
      <w:tr w:rsidR="002D7080" w:rsidRPr="00ED3FD3" w14:paraId="57C40B3B" w14:textId="77777777" w:rsidTr="002E2C37">
        <w:trPr>
          <w:cantSplit/>
          <w:trHeight w:val="260"/>
        </w:trPr>
        <w:tc>
          <w:tcPr>
            <w:tcW w:w="2700" w:type="dxa"/>
            <w:tcBorders>
              <w:top w:val="nil"/>
              <w:left w:val="single" w:sz="4" w:space="0" w:color="auto"/>
              <w:bottom w:val="single" w:sz="4" w:space="0" w:color="auto"/>
              <w:right w:val="single" w:sz="4" w:space="0" w:color="auto"/>
            </w:tcBorders>
            <w:shd w:val="clear" w:color="auto" w:fill="F2F2F2" w:themeFill="background1" w:themeFillShade="F2"/>
            <w:noWrap/>
          </w:tcPr>
          <w:p w14:paraId="7933A8EE"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Additional assessor (2)</w:t>
            </w:r>
          </w:p>
        </w:tc>
        <w:tc>
          <w:tcPr>
            <w:tcW w:w="6090" w:type="dxa"/>
            <w:gridSpan w:val="3"/>
            <w:tcBorders>
              <w:top w:val="nil"/>
              <w:left w:val="single" w:sz="4" w:space="0" w:color="auto"/>
              <w:bottom w:val="single" w:sz="4" w:space="0" w:color="auto"/>
              <w:right w:val="single" w:sz="4" w:space="0" w:color="auto"/>
            </w:tcBorders>
          </w:tcPr>
          <w:p w14:paraId="4DE4A613" w14:textId="77777777" w:rsidR="002D7080" w:rsidRPr="00ED3FD3" w:rsidRDefault="002D7080" w:rsidP="002E2C37">
            <w:pPr>
              <w:spacing w:after="0" w:line="240" w:lineRule="auto"/>
              <w:rPr>
                <w:rFonts w:ascii="Times New Roman" w:eastAsia="Times New Roman" w:hAnsi="Times New Roman" w:cs="Times New Roman"/>
                <w:b/>
                <w:sz w:val="20"/>
                <w:szCs w:val="20"/>
                <w:lang w:eastAsia="en-ZA"/>
              </w:rPr>
            </w:pPr>
            <w:r w:rsidRPr="004D1E6F">
              <w:rPr>
                <w:rFonts w:ascii="Times New Roman" w:hAnsi="Times New Roman" w:cs="Times New Roman"/>
                <w:bCs/>
                <w:iCs/>
                <w:sz w:val="20"/>
                <w:szCs w:val="20"/>
              </w:rPr>
              <w:t xml:space="preserve">Christian Chimimba </w:t>
            </w:r>
          </w:p>
        </w:tc>
      </w:tr>
      <w:tr w:rsidR="002D7080" w:rsidRPr="00ED3FD3" w14:paraId="058950C0" w14:textId="77777777" w:rsidTr="002E2C37">
        <w:trPr>
          <w:cantSplit/>
          <w:trHeight w:val="390"/>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16EFB898"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b/>
                <w:sz w:val="20"/>
                <w:szCs w:val="20"/>
                <w:lang w:eastAsia="en-ZA"/>
              </w:rPr>
              <w:t>BAC2 Contact details of assessor (s)</w:t>
            </w:r>
          </w:p>
        </w:tc>
      </w:tr>
      <w:tr w:rsidR="002D7080" w:rsidRPr="00ED3FD3" w14:paraId="656CC3E1" w14:textId="77777777" w:rsidTr="002E2C37">
        <w:trPr>
          <w:cantSplit/>
          <w:trHeight w:val="70"/>
        </w:trPr>
        <w:tc>
          <w:tcPr>
            <w:tcW w:w="2700" w:type="dxa"/>
            <w:vMerge w:val="restart"/>
            <w:tcBorders>
              <w:top w:val="nil"/>
              <w:left w:val="single" w:sz="4" w:space="0" w:color="auto"/>
              <w:right w:val="single" w:sz="4" w:space="0" w:color="auto"/>
            </w:tcBorders>
            <w:shd w:val="clear" w:color="auto" w:fill="F2F2F2" w:themeFill="background1" w:themeFillShade="F2"/>
            <w:noWrap/>
            <w:hideMark/>
          </w:tcPr>
          <w:p w14:paraId="7FEB8BB2"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Lead assessor</w:t>
            </w:r>
          </w:p>
        </w:tc>
        <w:tc>
          <w:tcPr>
            <w:tcW w:w="6090" w:type="dxa"/>
            <w:gridSpan w:val="3"/>
            <w:tcBorders>
              <w:top w:val="nil"/>
              <w:left w:val="nil"/>
              <w:bottom w:val="single" w:sz="4" w:space="0" w:color="auto"/>
              <w:right w:val="single" w:sz="4" w:space="0" w:color="auto"/>
            </w:tcBorders>
          </w:tcPr>
          <w:p w14:paraId="0A5B237A"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Organisational affiliation: </w:t>
            </w:r>
            <w:r w:rsidRPr="00ED3FD3">
              <w:rPr>
                <w:rFonts w:ascii="Times New Roman" w:eastAsia="Times New Roman" w:hAnsi="Times New Roman" w:cs="Times New Roman"/>
                <w:color w:val="000000"/>
                <w:sz w:val="20"/>
                <w:szCs w:val="20"/>
                <w:lang w:eastAsia="en-ZA"/>
              </w:rPr>
              <w:t>Department of Zoology and Entomology, University of Pretoria/South African National Biodiversity Institute (SANBI).</w:t>
            </w:r>
          </w:p>
        </w:tc>
      </w:tr>
      <w:tr w:rsidR="002D7080" w:rsidRPr="00ED3FD3" w14:paraId="1B1787D1" w14:textId="77777777" w:rsidTr="002E2C37">
        <w:trPr>
          <w:cantSplit/>
          <w:trHeight w:val="70"/>
        </w:trPr>
        <w:tc>
          <w:tcPr>
            <w:tcW w:w="2700" w:type="dxa"/>
            <w:vMerge/>
            <w:tcBorders>
              <w:left w:val="single" w:sz="4" w:space="0" w:color="auto"/>
              <w:right w:val="single" w:sz="4" w:space="0" w:color="auto"/>
            </w:tcBorders>
            <w:shd w:val="clear" w:color="auto" w:fill="F2F2F2" w:themeFill="background1" w:themeFillShade="F2"/>
            <w:noWrap/>
          </w:tcPr>
          <w:p w14:paraId="18A3704C"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p>
        </w:tc>
        <w:tc>
          <w:tcPr>
            <w:tcW w:w="6090" w:type="dxa"/>
            <w:gridSpan w:val="3"/>
            <w:tcBorders>
              <w:top w:val="nil"/>
              <w:left w:val="nil"/>
              <w:bottom w:val="single" w:sz="4" w:space="0" w:color="auto"/>
              <w:right w:val="single" w:sz="4" w:space="0" w:color="auto"/>
            </w:tcBorders>
          </w:tcPr>
          <w:p w14:paraId="5117DA1E"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email: </w:t>
            </w:r>
            <w:r w:rsidRPr="004D1E6F">
              <w:rPr>
                <w:rFonts w:ascii="Times New Roman" w:eastAsia="Times New Roman" w:hAnsi="Times New Roman" w:cs="Times New Roman"/>
                <w:color w:val="000000"/>
                <w:sz w:val="20"/>
                <w:szCs w:val="20"/>
                <w:lang w:eastAsia="en-ZA"/>
              </w:rPr>
              <w:t>leeannebth782@gmail.com</w:t>
            </w:r>
          </w:p>
        </w:tc>
      </w:tr>
      <w:tr w:rsidR="002D7080" w:rsidRPr="00ED3FD3" w14:paraId="772D6188" w14:textId="77777777" w:rsidTr="002E2C37">
        <w:trPr>
          <w:cantSplit/>
          <w:trHeight w:val="70"/>
        </w:trPr>
        <w:tc>
          <w:tcPr>
            <w:tcW w:w="2700" w:type="dxa"/>
            <w:vMerge w:val="restart"/>
            <w:tcBorders>
              <w:top w:val="single" w:sz="4" w:space="0" w:color="auto"/>
              <w:left w:val="single" w:sz="4" w:space="0" w:color="auto"/>
              <w:right w:val="single" w:sz="4" w:space="0" w:color="auto"/>
            </w:tcBorders>
            <w:shd w:val="clear" w:color="auto" w:fill="F2F2F2" w:themeFill="background1" w:themeFillShade="F2"/>
            <w:noWrap/>
          </w:tcPr>
          <w:p w14:paraId="70C22B60"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0"/>
              </w:rPr>
              <w:t>Additional assessor (1)</w:t>
            </w:r>
          </w:p>
        </w:tc>
        <w:tc>
          <w:tcPr>
            <w:tcW w:w="6090" w:type="dxa"/>
            <w:gridSpan w:val="3"/>
            <w:tcBorders>
              <w:top w:val="nil"/>
              <w:left w:val="nil"/>
              <w:bottom w:val="single" w:sz="4" w:space="0" w:color="auto"/>
              <w:right w:val="single" w:sz="4" w:space="0" w:color="auto"/>
            </w:tcBorders>
          </w:tcPr>
          <w:p w14:paraId="6406E288"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0"/>
              </w:rPr>
              <w:t>Organisational affiliation: Department of Zoology and Entomology, University of Pretoria and The South African National Biodiversity Institute (SANBI).</w:t>
            </w:r>
          </w:p>
        </w:tc>
      </w:tr>
      <w:tr w:rsidR="002D7080" w:rsidRPr="00ED3FD3" w14:paraId="687F3ED3" w14:textId="77777777" w:rsidTr="002E2C37">
        <w:trPr>
          <w:cantSplit/>
          <w:trHeight w:val="70"/>
        </w:trPr>
        <w:tc>
          <w:tcPr>
            <w:tcW w:w="2700" w:type="dxa"/>
            <w:vMerge/>
            <w:tcBorders>
              <w:left w:val="single" w:sz="4" w:space="0" w:color="auto"/>
              <w:bottom w:val="single" w:sz="4" w:space="0" w:color="auto"/>
              <w:right w:val="single" w:sz="4" w:space="0" w:color="auto"/>
            </w:tcBorders>
            <w:shd w:val="clear" w:color="auto" w:fill="F2F2F2" w:themeFill="background1" w:themeFillShade="F2"/>
            <w:noWrap/>
          </w:tcPr>
          <w:p w14:paraId="23038E5A"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p>
        </w:tc>
        <w:tc>
          <w:tcPr>
            <w:tcW w:w="6090" w:type="dxa"/>
            <w:gridSpan w:val="3"/>
            <w:tcBorders>
              <w:top w:val="nil"/>
              <w:left w:val="nil"/>
              <w:bottom w:val="single" w:sz="4" w:space="0" w:color="auto"/>
              <w:right w:val="single" w:sz="4" w:space="0" w:color="auto"/>
            </w:tcBorders>
          </w:tcPr>
          <w:p w14:paraId="5A78D48E"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0"/>
              </w:rPr>
              <w:t>email: T.Zengeya@sanbi.org.za</w:t>
            </w:r>
          </w:p>
        </w:tc>
      </w:tr>
      <w:tr w:rsidR="002D7080" w:rsidRPr="00ED3FD3" w14:paraId="08CB5378" w14:textId="77777777" w:rsidTr="002E2C37">
        <w:trPr>
          <w:cantSplit/>
          <w:trHeight w:val="70"/>
        </w:trPr>
        <w:tc>
          <w:tcPr>
            <w:tcW w:w="2700" w:type="dxa"/>
            <w:vMerge w:val="restart"/>
            <w:tcBorders>
              <w:left w:val="single" w:sz="4" w:space="0" w:color="auto"/>
              <w:right w:val="single" w:sz="4" w:space="0" w:color="auto"/>
            </w:tcBorders>
            <w:shd w:val="clear" w:color="auto" w:fill="F2F2F2" w:themeFill="background1" w:themeFillShade="F2"/>
            <w:noWrap/>
          </w:tcPr>
          <w:p w14:paraId="749A0C6D"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0"/>
              </w:rPr>
              <w:t>Additional assessor (2)</w:t>
            </w:r>
          </w:p>
        </w:tc>
        <w:tc>
          <w:tcPr>
            <w:tcW w:w="6090" w:type="dxa"/>
            <w:gridSpan w:val="3"/>
            <w:tcBorders>
              <w:top w:val="nil"/>
              <w:left w:val="nil"/>
              <w:bottom w:val="single" w:sz="4" w:space="0" w:color="auto"/>
              <w:right w:val="single" w:sz="4" w:space="0" w:color="auto"/>
            </w:tcBorders>
          </w:tcPr>
          <w:p w14:paraId="54DBA164"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0"/>
              </w:rPr>
              <w:t xml:space="preserve">Organisational affiliation: Department of Zoology and Entomology, University of Pretoria </w:t>
            </w:r>
          </w:p>
        </w:tc>
      </w:tr>
      <w:tr w:rsidR="002D7080" w:rsidRPr="00ED3FD3" w14:paraId="78C1B453" w14:textId="77777777" w:rsidTr="002E2C37">
        <w:trPr>
          <w:cantSplit/>
          <w:trHeight w:val="70"/>
        </w:trPr>
        <w:tc>
          <w:tcPr>
            <w:tcW w:w="2700" w:type="dxa"/>
            <w:vMerge/>
            <w:tcBorders>
              <w:left w:val="single" w:sz="4" w:space="0" w:color="auto"/>
              <w:bottom w:val="single" w:sz="4" w:space="0" w:color="auto"/>
              <w:right w:val="single" w:sz="4" w:space="0" w:color="auto"/>
            </w:tcBorders>
            <w:shd w:val="clear" w:color="auto" w:fill="F2F2F2" w:themeFill="background1" w:themeFillShade="F2"/>
            <w:noWrap/>
          </w:tcPr>
          <w:p w14:paraId="7B4DE9C6"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p>
        </w:tc>
        <w:tc>
          <w:tcPr>
            <w:tcW w:w="6090" w:type="dxa"/>
            <w:gridSpan w:val="3"/>
            <w:tcBorders>
              <w:top w:val="nil"/>
              <w:left w:val="nil"/>
              <w:bottom w:val="single" w:sz="4" w:space="0" w:color="auto"/>
              <w:right w:val="single" w:sz="4" w:space="0" w:color="auto"/>
            </w:tcBorders>
          </w:tcPr>
          <w:p w14:paraId="770E4032"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0"/>
              </w:rPr>
              <w:t>email: ctchimimbaa@up.ac.za</w:t>
            </w:r>
          </w:p>
        </w:tc>
      </w:tr>
      <w:tr w:rsidR="002D7080" w:rsidRPr="00ED3FD3" w14:paraId="54C7DD46" w14:textId="77777777" w:rsidTr="002E2C37">
        <w:trPr>
          <w:cantSplit/>
          <w:trHeight w:val="296"/>
        </w:trPr>
        <w:tc>
          <w:tcPr>
            <w:tcW w:w="8790" w:type="dxa"/>
            <w:gridSpan w:val="4"/>
            <w:tcBorders>
              <w:left w:val="single" w:sz="4" w:space="0" w:color="auto"/>
              <w:bottom w:val="single" w:sz="4" w:space="0" w:color="auto"/>
              <w:right w:val="single" w:sz="4" w:space="0" w:color="auto"/>
            </w:tcBorders>
            <w:shd w:val="clear" w:color="auto" w:fill="F2F2F2" w:themeFill="background1" w:themeFillShade="F2"/>
            <w:noWrap/>
          </w:tcPr>
          <w:p w14:paraId="3A2FBF3A"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b/>
                <w:sz w:val="20"/>
                <w:szCs w:val="20"/>
                <w:lang w:eastAsia="en-ZA"/>
              </w:rPr>
              <w:t>BAC3 Name(s) and contact details of expert(s) consulted</w:t>
            </w:r>
          </w:p>
        </w:tc>
      </w:tr>
      <w:tr w:rsidR="002D7080" w:rsidRPr="00ED3FD3" w14:paraId="56D05C23" w14:textId="77777777" w:rsidTr="002E2C37">
        <w:trPr>
          <w:cantSplit/>
          <w:trHeight w:val="70"/>
        </w:trPr>
        <w:tc>
          <w:tcPr>
            <w:tcW w:w="2700" w:type="dxa"/>
            <w:vMerge w:val="restart"/>
            <w:tcBorders>
              <w:left w:val="single" w:sz="4" w:space="0" w:color="auto"/>
              <w:right w:val="single" w:sz="4" w:space="0" w:color="auto"/>
            </w:tcBorders>
            <w:shd w:val="clear" w:color="auto" w:fill="F2F2F2" w:themeFill="background1" w:themeFillShade="F2"/>
            <w:noWrap/>
          </w:tcPr>
          <w:p w14:paraId="1280B208"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Expert (1)</w:t>
            </w:r>
          </w:p>
        </w:tc>
        <w:tc>
          <w:tcPr>
            <w:tcW w:w="6090" w:type="dxa"/>
            <w:gridSpan w:val="3"/>
            <w:tcBorders>
              <w:top w:val="nil"/>
              <w:left w:val="nil"/>
              <w:bottom w:val="single" w:sz="4" w:space="0" w:color="auto"/>
              <w:right w:val="single" w:sz="4" w:space="0" w:color="auto"/>
            </w:tcBorders>
          </w:tcPr>
          <w:p w14:paraId="6E3A8A16"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Name:</w:t>
            </w:r>
          </w:p>
        </w:tc>
      </w:tr>
      <w:tr w:rsidR="002D7080" w:rsidRPr="00ED3FD3" w14:paraId="4B41C57E" w14:textId="77777777" w:rsidTr="002E2C37">
        <w:trPr>
          <w:cantSplit/>
          <w:trHeight w:val="70"/>
        </w:trPr>
        <w:tc>
          <w:tcPr>
            <w:tcW w:w="2700" w:type="dxa"/>
            <w:vMerge/>
            <w:tcBorders>
              <w:left w:val="single" w:sz="4" w:space="0" w:color="auto"/>
              <w:right w:val="single" w:sz="4" w:space="0" w:color="auto"/>
            </w:tcBorders>
            <w:shd w:val="clear" w:color="auto" w:fill="F2F2F2" w:themeFill="background1" w:themeFillShade="F2"/>
            <w:noWrap/>
          </w:tcPr>
          <w:p w14:paraId="126B8528"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p>
        </w:tc>
        <w:tc>
          <w:tcPr>
            <w:tcW w:w="6090" w:type="dxa"/>
            <w:gridSpan w:val="3"/>
            <w:tcBorders>
              <w:top w:val="nil"/>
              <w:left w:val="nil"/>
              <w:bottom w:val="single" w:sz="4" w:space="0" w:color="auto"/>
              <w:right w:val="single" w:sz="4" w:space="0" w:color="auto"/>
            </w:tcBorders>
          </w:tcPr>
          <w:p w14:paraId="41E00C39"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email: </w:t>
            </w:r>
          </w:p>
        </w:tc>
      </w:tr>
      <w:tr w:rsidR="002D7080" w:rsidRPr="00ED3FD3" w14:paraId="49F40BB8" w14:textId="77777777" w:rsidTr="002E2C37">
        <w:trPr>
          <w:cantSplit/>
          <w:trHeight w:val="70"/>
        </w:trPr>
        <w:tc>
          <w:tcPr>
            <w:tcW w:w="2700" w:type="dxa"/>
            <w:vMerge/>
            <w:tcBorders>
              <w:left w:val="single" w:sz="4" w:space="0" w:color="auto"/>
              <w:bottom w:val="single" w:sz="4" w:space="0" w:color="auto"/>
              <w:right w:val="single" w:sz="4" w:space="0" w:color="auto"/>
            </w:tcBorders>
            <w:shd w:val="clear" w:color="auto" w:fill="F2F2F2" w:themeFill="background1" w:themeFillShade="F2"/>
            <w:noWrap/>
          </w:tcPr>
          <w:p w14:paraId="354243FF"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p>
        </w:tc>
        <w:tc>
          <w:tcPr>
            <w:tcW w:w="6090" w:type="dxa"/>
            <w:gridSpan w:val="3"/>
            <w:tcBorders>
              <w:top w:val="nil"/>
              <w:left w:val="nil"/>
              <w:bottom w:val="single" w:sz="4" w:space="0" w:color="auto"/>
              <w:right w:val="single" w:sz="4" w:space="0" w:color="auto"/>
            </w:tcBorders>
          </w:tcPr>
          <w:p w14:paraId="4A376394"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Phone: </w:t>
            </w:r>
          </w:p>
        </w:tc>
      </w:tr>
      <w:tr w:rsidR="002D7080" w:rsidRPr="00ED3FD3" w14:paraId="45C6201D" w14:textId="77777777" w:rsidTr="002E2C37">
        <w:trPr>
          <w:cantSplit/>
          <w:trHeight w:val="70"/>
        </w:trPr>
        <w:tc>
          <w:tcPr>
            <w:tcW w:w="2700" w:type="dxa"/>
            <w:vMerge w:val="restart"/>
            <w:tcBorders>
              <w:left w:val="single" w:sz="4" w:space="0" w:color="auto"/>
              <w:right w:val="single" w:sz="4" w:space="0" w:color="auto"/>
            </w:tcBorders>
            <w:shd w:val="clear" w:color="auto" w:fill="F2F2F2" w:themeFill="background1" w:themeFillShade="F2"/>
            <w:noWrap/>
          </w:tcPr>
          <w:p w14:paraId="32725B59"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Expert (2)</w:t>
            </w:r>
          </w:p>
        </w:tc>
        <w:tc>
          <w:tcPr>
            <w:tcW w:w="6090" w:type="dxa"/>
            <w:gridSpan w:val="3"/>
            <w:tcBorders>
              <w:top w:val="nil"/>
              <w:left w:val="nil"/>
              <w:bottom w:val="single" w:sz="4" w:space="0" w:color="auto"/>
              <w:right w:val="single" w:sz="4" w:space="0" w:color="auto"/>
            </w:tcBorders>
          </w:tcPr>
          <w:p w14:paraId="68274670"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Name:</w:t>
            </w:r>
          </w:p>
        </w:tc>
      </w:tr>
      <w:tr w:rsidR="002D7080" w:rsidRPr="00ED3FD3" w14:paraId="113B306A" w14:textId="77777777" w:rsidTr="002E2C37">
        <w:trPr>
          <w:cantSplit/>
          <w:trHeight w:val="70"/>
        </w:trPr>
        <w:tc>
          <w:tcPr>
            <w:tcW w:w="2700" w:type="dxa"/>
            <w:vMerge/>
            <w:tcBorders>
              <w:left w:val="single" w:sz="4" w:space="0" w:color="auto"/>
              <w:right w:val="single" w:sz="4" w:space="0" w:color="auto"/>
            </w:tcBorders>
            <w:shd w:val="clear" w:color="auto" w:fill="F2F2F2" w:themeFill="background1" w:themeFillShade="F2"/>
            <w:noWrap/>
          </w:tcPr>
          <w:p w14:paraId="5CCAC1D0"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p>
        </w:tc>
        <w:tc>
          <w:tcPr>
            <w:tcW w:w="6090" w:type="dxa"/>
            <w:gridSpan w:val="3"/>
            <w:tcBorders>
              <w:top w:val="nil"/>
              <w:left w:val="nil"/>
              <w:bottom w:val="single" w:sz="4" w:space="0" w:color="auto"/>
              <w:right w:val="single" w:sz="4" w:space="0" w:color="auto"/>
            </w:tcBorders>
          </w:tcPr>
          <w:p w14:paraId="697A3B20"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email:</w:t>
            </w:r>
          </w:p>
        </w:tc>
      </w:tr>
      <w:tr w:rsidR="002D7080" w:rsidRPr="00ED3FD3" w14:paraId="1497758F" w14:textId="77777777" w:rsidTr="002E2C37">
        <w:trPr>
          <w:cantSplit/>
          <w:trHeight w:val="70"/>
        </w:trPr>
        <w:tc>
          <w:tcPr>
            <w:tcW w:w="2700" w:type="dxa"/>
            <w:vMerge/>
            <w:tcBorders>
              <w:left w:val="single" w:sz="4" w:space="0" w:color="auto"/>
              <w:bottom w:val="single" w:sz="4" w:space="0" w:color="auto"/>
              <w:right w:val="single" w:sz="4" w:space="0" w:color="auto"/>
            </w:tcBorders>
            <w:shd w:val="clear" w:color="auto" w:fill="F2F2F2" w:themeFill="background1" w:themeFillShade="F2"/>
            <w:noWrap/>
          </w:tcPr>
          <w:p w14:paraId="26BD1AAA"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p>
        </w:tc>
        <w:tc>
          <w:tcPr>
            <w:tcW w:w="6090" w:type="dxa"/>
            <w:gridSpan w:val="3"/>
            <w:tcBorders>
              <w:top w:val="nil"/>
              <w:left w:val="nil"/>
              <w:bottom w:val="single" w:sz="4" w:space="0" w:color="auto"/>
              <w:right w:val="single" w:sz="4" w:space="0" w:color="auto"/>
            </w:tcBorders>
          </w:tcPr>
          <w:p w14:paraId="3FB4C286"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Phone:</w:t>
            </w:r>
          </w:p>
        </w:tc>
      </w:tr>
      <w:tr w:rsidR="002D7080" w:rsidRPr="00ED3FD3" w14:paraId="50F6C746" w14:textId="77777777" w:rsidTr="002E2C37">
        <w:trPr>
          <w:cantSplit/>
          <w:trHeight w:val="70"/>
        </w:trPr>
        <w:tc>
          <w:tcPr>
            <w:tcW w:w="8790" w:type="dxa"/>
            <w:gridSpan w:val="4"/>
            <w:tcBorders>
              <w:top w:val="nil"/>
              <w:left w:val="single" w:sz="4" w:space="0" w:color="auto"/>
              <w:bottom w:val="single" w:sz="4" w:space="0" w:color="auto"/>
              <w:right w:val="single" w:sz="4" w:space="0" w:color="auto"/>
            </w:tcBorders>
            <w:noWrap/>
          </w:tcPr>
          <w:p w14:paraId="1185B17D" w14:textId="77777777" w:rsidR="002D7080" w:rsidRPr="00ED3FD3" w:rsidRDefault="002D7080" w:rsidP="002E2C37">
            <w:pPr>
              <w:spacing w:after="0" w:line="240" w:lineRule="auto"/>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Comments: </w:t>
            </w:r>
            <w:r>
              <w:rPr>
                <w:rFonts w:ascii="Times New Roman" w:eastAsia="Times New Roman" w:hAnsi="Times New Roman" w:cs="Times New Roman"/>
                <w:sz w:val="20"/>
                <w:szCs w:val="20"/>
                <w:lang w:eastAsia="en-ZA"/>
              </w:rPr>
              <w:t xml:space="preserve">none </w:t>
            </w:r>
          </w:p>
        </w:tc>
      </w:tr>
      <w:tr w:rsidR="002D7080" w:rsidRPr="00ED3FD3" w14:paraId="2770887D" w14:textId="77777777" w:rsidTr="002E2C37">
        <w:trPr>
          <w:cantSplit/>
          <w:trHeight w:val="365"/>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2647B17B"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b/>
                <w:sz w:val="20"/>
                <w:szCs w:val="20"/>
                <w:lang w:eastAsia="en-ZA"/>
              </w:rPr>
              <w:t xml:space="preserve">BAC4 Scientific name of </w:t>
            </w:r>
            <w:r w:rsidRPr="00ED3FD3">
              <w:rPr>
                <w:rFonts w:ascii="Times New Roman" w:eastAsia="Times New Roman" w:hAnsi="Times New Roman" w:cs="Times New Roman"/>
                <w:b/>
                <w:i/>
                <w:sz w:val="20"/>
                <w:szCs w:val="20"/>
                <w:lang w:eastAsia="en-ZA"/>
              </w:rPr>
              <w:t>Taxon</w:t>
            </w:r>
            <w:r w:rsidRPr="00ED3FD3">
              <w:rPr>
                <w:rFonts w:ascii="Times New Roman" w:eastAsia="Times New Roman" w:hAnsi="Times New Roman" w:cs="Times New Roman"/>
                <w:b/>
                <w:sz w:val="20"/>
                <w:szCs w:val="20"/>
                <w:lang w:eastAsia="en-ZA"/>
              </w:rPr>
              <w:t xml:space="preserve"> under assessment</w:t>
            </w:r>
          </w:p>
        </w:tc>
      </w:tr>
      <w:tr w:rsidR="002D7080" w:rsidRPr="00ED3FD3" w14:paraId="57C453EF" w14:textId="77777777" w:rsidTr="002E2C37">
        <w:trPr>
          <w:cantSplit/>
          <w:trHeight w:val="70"/>
        </w:trPr>
        <w:tc>
          <w:tcPr>
            <w:tcW w:w="6124" w:type="dxa"/>
            <w:gridSpan w:val="3"/>
            <w:tcBorders>
              <w:top w:val="nil"/>
              <w:left w:val="single" w:sz="4" w:space="0" w:color="auto"/>
              <w:bottom w:val="single" w:sz="4" w:space="0" w:color="auto"/>
              <w:right w:val="single" w:sz="4" w:space="0" w:color="auto"/>
            </w:tcBorders>
            <w:noWrap/>
          </w:tcPr>
          <w:p w14:paraId="2330DDDB" w14:textId="77777777" w:rsidR="002D7080" w:rsidRPr="00ED3FD3" w:rsidRDefault="002D7080" w:rsidP="002E2C37">
            <w:pPr>
              <w:spacing w:after="0" w:line="240" w:lineRule="auto"/>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i/>
                <w:sz w:val="20"/>
                <w:szCs w:val="20"/>
                <w:lang w:eastAsia="en-ZA"/>
              </w:rPr>
              <w:t>Taxon</w:t>
            </w:r>
            <w:r w:rsidRPr="00ED3FD3">
              <w:rPr>
                <w:rFonts w:ascii="Times New Roman" w:eastAsia="Times New Roman" w:hAnsi="Times New Roman" w:cs="Times New Roman"/>
                <w:sz w:val="20"/>
                <w:szCs w:val="20"/>
                <w:lang w:eastAsia="en-ZA"/>
              </w:rPr>
              <w:t xml:space="preserve"> name: </w:t>
            </w:r>
            <w:bookmarkStart w:id="16" w:name="_Hlk151031875"/>
            <w:r w:rsidRPr="00ED3FD3">
              <w:rPr>
                <w:rFonts w:ascii="Times New Roman" w:eastAsia="Times New Roman" w:hAnsi="Times New Roman" w:cs="Times New Roman"/>
                <w:i/>
                <w:sz w:val="20"/>
                <w:szCs w:val="20"/>
                <w:lang w:eastAsia="en-ZA"/>
              </w:rPr>
              <w:t>Pacifastacus leniusculus</w:t>
            </w:r>
            <w:bookmarkEnd w:id="16"/>
          </w:p>
        </w:tc>
        <w:tc>
          <w:tcPr>
            <w:tcW w:w="2666" w:type="dxa"/>
            <w:tcBorders>
              <w:top w:val="nil"/>
              <w:left w:val="nil"/>
              <w:bottom w:val="single" w:sz="4" w:space="0" w:color="auto"/>
              <w:right w:val="single" w:sz="4" w:space="0" w:color="auto"/>
            </w:tcBorders>
            <w:hideMark/>
          </w:tcPr>
          <w:p w14:paraId="24BBE81D" w14:textId="77777777" w:rsidR="002D7080" w:rsidRPr="00ED3FD3" w:rsidRDefault="002D7080" w:rsidP="002E2C37">
            <w:pPr>
              <w:spacing w:after="0" w:line="240" w:lineRule="auto"/>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Authority: (Dana, 1852)</w:t>
            </w:r>
          </w:p>
        </w:tc>
      </w:tr>
      <w:tr w:rsidR="002D7080" w:rsidRPr="00ED3FD3" w14:paraId="7FF75056" w14:textId="77777777" w:rsidTr="002E2C37">
        <w:trPr>
          <w:cantSplit/>
          <w:trHeight w:val="70"/>
        </w:trPr>
        <w:tc>
          <w:tcPr>
            <w:tcW w:w="8790" w:type="dxa"/>
            <w:gridSpan w:val="4"/>
            <w:tcBorders>
              <w:top w:val="nil"/>
              <w:left w:val="single" w:sz="4" w:space="0" w:color="auto"/>
              <w:bottom w:val="single" w:sz="4" w:space="0" w:color="auto"/>
              <w:right w:val="single" w:sz="4" w:space="0" w:color="auto"/>
            </w:tcBorders>
            <w:noWrap/>
          </w:tcPr>
          <w:p w14:paraId="21D4E8E5"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Comments: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is the valid name of the taxon under assessment (Integrated Taxonomic Information System 2023). The following subspecies have been listed for </w:t>
            </w:r>
            <w:r w:rsidRPr="00ED3FD3">
              <w:rPr>
                <w:rFonts w:ascii="Times New Roman" w:eastAsia="Times New Roman" w:hAnsi="Times New Roman" w:cs="Times New Roman"/>
                <w:i/>
                <w:iCs/>
                <w:sz w:val="20"/>
                <w:szCs w:val="20"/>
                <w:lang w:eastAsia="en-ZA"/>
              </w:rPr>
              <w:t>P. leniusculus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
                <w:sz w:val="20"/>
                <w:szCs w:val="20"/>
                <w:lang w:eastAsia="en-ZA"/>
              </w:rPr>
              <w:t>Pacifastacus leniusculus klamathensis</w:t>
            </w:r>
            <w:r w:rsidRPr="00ED3FD3">
              <w:rPr>
                <w:rFonts w:ascii="Times New Roman" w:eastAsia="Times New Roman" w:hAnsi="Times New Roman" w:cs="Times New Roman"/>
                <w:sz w:val="20"/>
                <w:szCs w:val="20"/>
                <w:lang w:eastAsia="en-ZA"/>
              </w:rPr>
              <w:t xml:space="preserve"> (Stimpson, 1857), </w:t>
            </w:r>
            <w:r w:rsidRPr="00ED3FD3">
              <w:rPr>
                <w:rFonts w:ascii="Times New Roman" w:eastAsia="Times New Roman" w:hAnsi="Times New Roman" w:cs="Times New Roman"/>
                <w:i/>
                <w:sz w:val="20"/>
                <w:szCs w:val="20"/>
                <w:lang w:eastAsia="en-ZA"/>
              </w:rPr>
              <w:t>Pacifastacus leniusculus leniusculus</w:t>
            </w:r>
            <w:r w:rsidRPr="00ED3FD3">
              <w:rPr>
                <w:rFonts w:ascii="Times New Roman" w:eastAsia="Times New Roman" w:hAnsi="Times New Roman" w:cs="Times New Roman"/>
                <w:sz w:val="20"/>
                <w:szCs w:val="20"/>
                <w:lang w:eastAsia="en-ZA"/>
              </w:rPr>
              <w:t xml:space="preserve"> (Dana, 1852) and </w:t>
            </w:r>
            <w:r w:rsidRPr="00ED3FD3">
              <w:rPr>
                <w:rFonts w:ascii="Times New Roman" w:eastAsia="Times New Roman" w:hAnsi="Times New Roman" w:cs="Times New Roman"/>
                <w:i/>
                <w:sz w:val="20"/>
                <w:szCs w:val="20"/>
                <w:lang w:eastAsia="en-ZA"/>
              </w:rPr>
              <w:t>Pacifastacus leniusculus trowbridgii</w:t>
            </w:r>
            <w:r w:rsidRPr="00ED3FD3">
              <w:rPr>
                <w:rFonts w:ascii="Times New Roman" w:eastAsia="Times New Roman" w:hAnsi="Times New Roman" w:cs="Times New Roman"/>
                <w:sz w:val="20"/>
                <w:szCs w:val="20"/>
                <w:lang w:eastAsia="en-ZA"/>
              </w:rPr>
              <w:t xml:space="preserve"> (Stimpson, 1857) (Agerberg &amp; Jansson 1995; Larson et al. 2012). However, ITIS (2023) lists these subspecies as invalid. </w:t>
            </w:r>
          </w:p>
        </w:tc>
      </w:tr>
      <w:tr w:rsidR="002D7080" w:rsidRPr="00ED3FD3" w14:paraId="57B4A1EE" w14:textId="77777777" w:rsidTr="002E2C37">
        <w:trPr>
          <w:cantSplit/>
          <w:trHeight w:val="70"/>
        </w:trPr>
        <w:tc>
          <w:tcPr>
            <w:tcW w:w="8790" w:type="dxa"/>
            <w:gridSpan w:val="4"/>
            <w:tcBorders>
              <w:top w:val="nil"/>
              <w:left w:val="single" w:sz="4" w:space="0" w:color="auto"/>
              <w:bottom w:val="single" w:sz="4" w:space="0" w:color="auto"/>
              <w:right w:val="single" w:sz="4" w:space="0" w:color="auto"/>
            </w:tcBorders>
            <w:noWrap/>
          </w:tcPr>
          <w:p w14:paraId="4DD1E775" w14:textId="77777777" w:rsidR="002D7080" w:rsidRPr="00ED3FD3" w:rsidRDefault="002D7080" w:rsidP="00CD0B85">
            <w:pPr>
              <w:spacing w:after="0"/>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08A942DB" w14:textId="22817539" w:rsidR="002D7080" w:rsidRPr="00ED3FD3" w:rsidRDefault="002D7080" w:rsidP="00CD0B85">
            <w:pPr>
              <w:spacing w:after="0"/>
              <w:ind w:left="720" w:hanging="72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Agerberg, A. &amp; Jansson, H., 1995, ‘Allozymic comparisons between three subspecies of the freshwater crayfish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(Dana) and between populations introduced to Sweden’, </w:t>
            </w:r>
            <w:r w:rsidRPr="00ED3FD3">
              <w:rPr>
                <w:rFonts w:ascii="Times New Roman" w:eastAsia="Times New Roman" w:hAnsi="Times New Roman" w:cs="Times New Roman"/>
                <w:i/>
                <w:iCs/>
                <w:sz w:val="20"/>
                <w:szCs w:val="20"/>
                <w:lang w:eastAsia="en-ZA"/>
              </w:rPr>
              <w:t>Hereditas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122</w:t>
            </w:r>
            <w:r w:rsidRPr="00ED3FD3">
              <w:rPr>
                <w:rFonts w:ascii="Times New Roman" w:eastAsia="Times New Roman" w:hAnsi="Times New Roman" w:cs="Times New Roman"/>
                <w:sz w:val="20"/>
                <w:szCs w:val="20"/>
                <w:lang w:eastAsia="en-ZA"/>
              </w:rPr>
              <w:t xml:space="preserve">. 33–39. </w:t>
            </w:r>
            <w:r w:rsidR="00026570" w:rsidRPr="00026570">
              <w:rPr>
                <w:rFonts w:ascii="Times New Roman" w:eastAsia="Times New Roman" w:hAnsi="Times New Roman" w:cs="Times New Roman"/>
                <w:sz w:val="20"/>
                <w:szCs w:val="20"/>
                <w:lang w:eastAsia="en-ZA"/>
              </w:rPr>
              <w:t>https://doi.org/10.1111/j.1601-5223.1995.00033.x</w:t>
            </w:r>
            <w:r w:rsidR="00356715">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sz w:val="20"/>
                <w:szCs w:val="20"/>
                <w:lang w:eastAsia="en-ZA"/>
              </w:rPr>
              <w:t xml:space="preserve">. </w:t>
            </w:r>
          </w:p>
          <w:p w14:paraId="60768CBF" w14:textId="77777777" w:rsidR="002D7080" w:rsidRPr="00ED3FD3" w:rsidRDefault="002D7080" w:rsidP="00CD0B85">
            <w:pPr>
              <w:spacing w:after="0"/>
              <w:ind w:left="720" w:hanging="72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Integrated Taxonomic Information System (ITIS), 2023, ‘</w:t>
            </w: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viewed 27 July 2023, from https://www.itis.gov/servlet/SingleRpt/SingleRpt?search_topic=TSN&amp;search_value=97326#null.</w:t>
            </w:r>
          </w:p>
          <w:p w14:paraId="3F025646" w14:textId="313B78E1" w:rsidR="002D7080" w:rsidRPr="00ED3FD3" w:rsidRDefault="002D7080" w:rsidP="00CD0B85">
            <w:pPr>
              <w:spacing w:after="0"/>
              <w:ind w:left="720" w:hanging="72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Larson, E.R., Abbott, C.L., Usio, N., Azuma, N., Wood, K.A., Herborg, L.M. &amp; Olden, J.D., 2012, ‘The signal crayfish is not a single species: Cryptic diversity and invasions in the Pacific Northwest range of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
                <w:iCs/>
                <w:sz w:val="20"/>
                <w:szCs w:val="20"/>
                <w:lang w:eastAsia="en-ZA"/>
              </w:rPr>
              <w:t xml:space="preserve">Freshwater Biology </w:t>
            </w:r>
            <w:r w:rsidRPr="00ED3FD3">
              <w:rPr>
                <w:rFonts w:ascii="Times New Roman" w:eastAsia="Times New Roman" w:hAnsi="Times New Roman" w:cs="Times New Roman"/>
                <w:iCs/>
                <w:sz w:val="20"/>
                <w:szCs w:val="20"/>
                <w:lang w:eastAsia="en-ZA"/>
              </w:rPr>
              <w:t>57</w:t>
            </w:r>
            <w:r w:rsidRPr="00ED3FD3">
              <w:rPr>
                <w:rFonts w:ascii="Times New Roman" w:eastAsia="Times New Roman" w:hAnsi="Times New Roman" w:cs="Times New Roman"/>
                <w:sz w:val="20"/>
                <w:szCs w:val="20"/>
                <w:lang w:eastAsia="en-ZA"/>
              </w:rPr>
              <w:t xml:space="preserve">, 1823–1838. </w:t>
            </w:r>
            <w:hyperlink r:id="rId422" w:history="1">
              <w:r w:rsidR="00356715" w:rsidRPr="00F215B9">
                <w:rPr>
                  <w:rStyle w:val="Hyperlink"/>
                  <w:rFonts w:ascii="Times New Roman" w:eastAsia="Times New Roman" w:hAnsi="Times New Roman" w:cs="Times New Roman"/>
                  <w:sz w:val="20"/>
                  <w:szCs w:val="20"/>
                  <w:lang w:eastAsia="en-ZA"/>
                </w:rPr>
                <w:t>https://doi.org/10.1111/j.1365-2427.2012.02841.x</w:t>
              </w:r>
            </w:hyperlink>
            <w:r w:rsidRPr="00ED3FD3">
              <w:rPr>
                <w:rFonts w:ascii="Times New Roman" w:eastAsia="Times New Roman" w:hAnsi="Times New Roman" w:cs="Times New Roman"/>
                <w:sz w:val="20"/>
                <w:szCs w:val="20"/>
                <w:lang w:eastAsia="en-ZA"/>
              </w:rPr>
              <w:t>.</w:t>
            </w:r>
            <w:r w:rsidR="00356715">
              <w:rPr>
                <w:rFonts w:ascii="Times New Roman" w:eastAsia="Times New Roman" w:hAnsi="Times New Roman" w:cs="Times New Roman"/>
                <w:sz w:val="20"/>
                <w:szCs w:val="20"/>
                <w:lang w:eastAsia="en-ZA"/>
              </w:rPr>
              <w:t xml:space="preserve"> </w:t>
            </w:r>
          </w:p>
        </w:tc>
      </w:tr>
      <w:tr w:rsidR="002D7080" w:rsidRPr="00ED3FD3" w14:paraId="08C89893" w14:textId="77777777" w:rsidTr="002E2C37">
        <w:trPr>
          <w:cantSplit/>
          <w:trHeight w:val="197"/>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7B513E2" w14:textId="77777777" w:rsidR="002D7080" w:rsidRPr="00ED3FD3" w:rsidRDefault="002D7080" w:rsidP="00CD0B85">
            <w:pPr>
              <w:spacing w:after="0"/>
              <w:rPr>
                <w:rFonts w:ascii="Times New Roman" w:eastAsia="Times New Roman" w:hAnsi="Times New Roman" w:cs="Times New Roman"/>
                <w:sz w:val="20"/>
                <w:szCs w:val="20"/>
                <w:lang w:eastAsia="en-ZA"/>
              </w:rPr>
            </w:pPr>
            <w:r w:rsidRPr="00ED3FD3">
              <w:rPr>
                <w:rFonts w:ascii="Times New Roman" w:eastAsia="Times New Roman" w:hAnsi="Times New Roman" w:cs="Times New Roman"/>
                <w:b/>
                <w:sz w:val="20"/>
                <w:szCs w:val="20"/>
                <w:lang w:eastAsia="en-ZA"/>
              </w:rPr>
              <w:t>BAC5 Synonym(s) considered</w:t>
            </w:r>
          </w:p>
        </w:tc>
      </w:tr>
      <w:tr w:rsidR="002D7080" w:rsidRPr="00ED3FD3" w14:paraId="061F1C65" w14:textId="77777777" w:rsidTr="002E2C37">
        <w:trPr>
          <w:cantSplit/>
          <w:trHeight w:val="962"/>
        </w:trPr>
        <w:tc>
          <w:tcPr>
            <w:tcW w:w="8790" w:type="dxa"/>
            <w:gridSpan w:val="4"/>
            <w:tcBorders>
              <w:top w:val="single" w:sz="4" w:space="0" w:color="auto"/>
              <w:left w:val="single" w:sz="4" w:space="0" w:color="auto"/>
              <w:bottom w:val="single" w:sz="4" w:space="0" w:color="auto"/>
              <w:right w:val="single" w:sz="4" w:space="0" w:color="auto"/>
            </w:tcBorders>
            <w:noWrap/>
          </w:tcPr>
          <w:p w14:paraId="12920038" w14:textId="77777777" w:rsidR="002D7080" w:rsidRPr="00ED3FD3" w:rsidRDefault="002D7080" w:rsidP="00CD0B85">
            <w:pPr>
              <w:jc w:val="both"/>
              <w:rPr>
                <w:rFonts w:ascii="Times New Roman" w:hAnsi="Times New Roman" w:cs="Times New Roman"/>
                <w:sz w:val="20"/>
                <w:szCs w:val="20"/>
              </w:rPr>
            </w:pPr>
            <w:r w:rsidRPr="00E97478">
              <w:rPr>
                <w:rFonts w:ascii="Times New Roman" w:eastAsia="Times New Roman" w:hAnsi="Times New Roman" w:cs="Times New Roman"/>
                <w:color w:val="000000" w:themeColor="text1"/>
                <w:sz w:val="20"/>
                <w:szCs w:val="20"/>
                <w:lang w:eastAsia="en-ZA"/>
              </w:rPr>
              <w:t xml:space="preserve">Synonyms: </w:t>
            </w:r>
            <w:r w:rsidRPr="00E97478">
              <w:rPr>
                <w:rFonts w:ascii="Times New Roman" w:hAnsi="Times New Roman" w:cs="Times New Roman"/>
                <w:i/>
                <w:iCs/>
                <w:color w:val="000000" w:themeColor="text1"/>
                <w:sz w:val="20"/>
                <w:szCs w:val="20"/>
              </w:rPr>
              <w:t>Pacifastacus trowbridgi</w:t>
            </w:r>
            <w:r w:rsidRPr="00E97478">
              <w:rPr>
                <w:rFonts w:ascii="Times New Roman" w:hAnsi="Times New Roman" w:cs="Times New Roman"/>
                <w:color w:val="000000" w:themeColor="text1"/>
                <w:sz w:val="20"/>
                <w:szCs w:val="20"/>
              </w:rPr>
              <w:t xml:space="preserve"> (Stimpson, 1857), </w:t>
            </w:r>
            <w:r w:rsidRPr="00E97478">
              <w:rPr>
                <w:rFonts w:ascii="Times New Roman" w:hAnsi="Times New Roman" w:cs="Times New Roman"/>
                <w:i/>
                <w:iCs/>
                <w:color w:val="000000" w:themeColor="text1"/>
                <w:sz w:val="20"/>
                <w:szCs w:val="20"/>
              </w:rPr>
              <w:t>Pacifastacus leniusculus leniusculus</w:t>
            </w:r>
            <w:r w:rsidRPr="00E97478">
              <w:rPr>
                <w:rFonts w:ascii="Times New Roman" w:hAnsi="Times New Roman" w:cs="Times New Roman"/>
                <w:color w:val="000000" w:themeColor="text1"/>
                <w:sz w:val="20"/>
                <w:szCs w:val="20"/>
              </w:rPr>
              <w:t xml:space="preserve"> (Dana, 1852), </w:t>
            </w:r>
            <w:r w:rsidRPr="00E97478">
              <w:rPr>
                <w:rFonts w:ascii="Times New Roman" w:hAnsi="Times New Roman" w:cs="Times New Roman"/>
                <w:i/>
                <w:iCs/>
                <w:color w:val="000000" w:themeColor="text1"/>
                <w:sz w:val="20"/>
                <w:szCs w:val="20"/>
              </w:rPr>
              <w:t>Pacifastacus leniusculus klamathensis</w:t>
            </w:r>
            <w:r w:rsidRPr="00E97478">
              <w:rPr>
                <w:rFonts w:ascii="Times New Roman" w:hAnsi="Times New Roman" w:cs="Times New Roman"/>
                <w:color w:val="000000" w:themeColor="text1"/>
                <w:sz w:val="20"/>
                <w:szCs w:val="20"/>
              </w:rPr>
              <w:t xml:space="preserve"> (Stimpson, 1857), </w:t>
            </w:r>
            <w:r w:rsidRPr="00E97478">
              <w:rPr>
                <w:rFonts w:ascii="Times New Roman" w:hAnsi="Times New Roman" w:cs="Times New Roman"/>
                <w:i/>
                <w:iCs/>
                <w:color w:val="000000" w:themeColor="text1"/>
                <w:sz w:val="20"/>
                <w:szCs w:val="20"/>
              </w:rPr>
              <w:t>Pacifastacus leniusculus trowbridgii</w:t>
            </w:r>
            <w:r w:rsidRPr="00E97478">
              <w:rPr>
                <w:rFonts w:ascii="Times New Roman" w:hAnsi="Times New Roman" w:cs="Times New Roman"/>
                <w:color w:val="000000" w:themeColor="text1"/>
                <w:sz w:val="20"/>
                <w:szCs w:val="20"/>
              </w:rPr>
              <w:t xml:space="preserve"> (Stimpson, 1857), </w:t>
            </w:r>
            <w:r w:rsidRPr="00E97478">
              <w:rPr>
                <w:rFonts w:ascii="Times New Roman" w:hAnsi="Times New Roman" w:cs="Times New Roman"/>
                <w:i/>
                <w:iCs/>
                <w:color w:val="000000" w:themeColor="text1"/>
                <w:sz w:val="20"/>
                <w:szCs w:val="20"/>
              </w:rPr>
              <w:t>Astacus oreganus</w:t>
            </w:r>
            <w:r w:rsidRPr="00E97478">
              <w:rPr>
                <w:rFonts w:ascii="Times New Roman" w:hAnsi="Times New Roman" w:cs="Times New Roman"/>
                <w:color w:val="000000" w:themeColor="text1"/>
                <w:sz w:val="20"/>
                <w:szCs w:val="20"/>
              </w:rPr>
              <w:t xml:space="preserve"> Randall, 1840, </w:t>
            </w:r>
            <w:r w:rsidRPr="00E97478">
              <w:rPr>
                <w:rFonts w:ascii="Times New Roman" w:hAnsi="Times New Roman" w:cs="Times New Roman"/>
                <w:i/>
                <w:iCs/>
                <w:color w:val="000000" w:themeColor="text1"/>
                <w:sz w:val="20"/>
                <w:szCs w:val="20"/>
              </w:rPr>
              <w:t>Astacus leniusculus</w:t>
            </w:r>
            <w:r w:rsidRPr="00E97478">
              <w:rPr>
                <w:rFonts w:ascii="Times New Roman" w:hAnsi="Times New Roman" w:cs="Times New Roman"/>
                <w:color w:val="000000" w:themeColor="text1"/>
                <w:sz w:val="20"/>
                <w:szCs w:val="20"/>
              </w:rPr>
              <w:t xml:space="preserve"> Dana, 1852, </w:t>
            </w:r>
            <w:r w:rsidRPr="00E97478">
              <w:rPr>
                <w:rFonts w:ascii="Times New Roman" w:hAnsi="Times New Roman" w:cs="Times New Roman"/>
                <w:i/>
                <w:iCs/>
                <w:color w:val="000000" w:themeColor="text1"/>
                <w:sz w:val="20"/>
                <w:szCs w:val="20"/>
              </w:rPr>
              <w:t>Astacus klamathensis</w:t>
            </w:r>
            <w:r w:rsidRPr="00E97478">
              <w:rPr>
                <w:rFonts w:ascii="Times New Roman" w:hAnsi="Times New Roman" w:cs="Times New Roman"/>
                <w:color w:val="000000" w:themeColor="text1"/>
                <w:sz w:val="20"/>
                <w:szCs w:val="20"/>
              </w:rPr>
              <w:t xml:space="preserve"> Stimpson, 1857, and Astacus trowbridgii Stimpson, 1857</w:t>
            </w:r>
            <w:r w:rsidRPr="00ED3FD3">
              <w:rPr>
                <w:rFonts w:ascii="Times New Roman" w:hAnsi="Times New Roman" w:cs="Times New Roman"/>
                <w:sz w:val="20"/>
                <w:szCs w:val="20"/>
              </w:rPr>
              <w:t>.</w:t>
            </w:r>
          </w:p>
        </w:tc>
      </w:tr>
      <w:tr w:rsidR="002D7080" w:rsidRPr="00ED3FD3" w14:paraId="3F498616"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7290FD12" w14:textId="77777777" w:rsidR="002D7080" w:rsidRPr="00ED3FD3" w:rsidRDefault="002D7080" w:rsidP="00CD0B85">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Comments:  The abovementioned </w:t>
            </w:r>
            <w:r w:rsidRPr="00ED3FD3">
              <w:rPr>
                <w:rFonts w:ascii="Times New Roman" w:hAnsi="Times New Roman" w:cs="Times New Roman"/>
                <w:sz w:val="20"/>
                <w:szCs w:val="20"/>
              </w:rPr>
              <w:t xml:space="preserve">synonyms of </w:t>
            </w:r>
            <w:r w:rsidRPr="00ED3FD3">
              <w:rPr>
                <w:rFonts w:ascii="Times New Roman" w:eastAsia="Times New Roman" w:hAnsi="Times New Roman" w:cs="Times New Roman"/>
                <w:i/>
                <w:sz w:val="20"/>
                <w:szCs w:val="20"/>
                <w:lang w:eastAsia="en-ZA"/>
              </w:rPr>
              <w:t>Pacifastacus leniusculus</w:t>
            </w:r>
            <w:r w:rsidRPr="00ED3FD3">
              <w:rPr>
                <w:rFonts w:ascii="Times New Roman" w:hAnsi="Times New Roman" w:cs="Times New Roman"/>
                <w:sz w:val="20"/>
                <w:szCs w:val="20"/>
              </w:rPr>
              <w:t xml:space="preserve"> were considered for this assessment and are listed on the Integrated Taxonomy Information System (ITIS, 2023) </w:t>
            </w:r>
          </w:p>
        </w:tc>
      </w:tr>
      <w:tr w:rsidR="002D7080" w:rsidRPr="00ED3FD3" w14:paraId="7D49FF7E"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2A9DF39" w14:textId="77777777" w:rsidR="002D7080" w:rsidRPr="00ED3FD3" w:rsidRDefault="002D7080" w:rsidP="00CD0B85">
            <w:pPr>
              <w:spacing w:after="0"/>
              <w:rPr>
                <w:rFonts w:ascii="Times New Roman" w:eastAsia="Times New Roman" w:hAnsi="Times New Roman" w:cs="Times New Roman"/>
                <w:bCs/>
                <w:sz w:val="20"/>
                <w:szCs w:val="20"/>
                <w:lang w:eastAsia="en-ZA"/>
              </w:rPr>
            </w:pPr>
            <w:r w:rsidRPr="00ED3FD3">
              <w:rPr>
                <w:rFonts w:ascii="Times New Roman" w:eastAsia="Times New Roman" w:hAnsi="Times New Roman" w:cs="Times New Roman"/>
                <w:sz w:val="20"/>
                <w:szCs w:val="20"/>
                <w:lang w:eastAsia="en-ZA"/>
              </w:rPr>
              <w:lastRenderedPageBreak/>
              <w:t>References:</w:t>
            </w:r>
            <w:r w:rsidRPr="00ED3FD3">
              <w:rPr>
                <w:rFonts w:ascii="Times New Roman" w:eastAsia="Times New Roman" w:hAnsi="Times New Roman" w:cs="Times New Roman"/>
                <w:bCs/>
                <w:sz w:val="20"/>
                <w:szCs w:val="20"/>
                <w:lang w:eastAsia="en-ZA"/>
              </w:rPr>
              <w:t xml:space="preserve"> </w:t>
            </w:r>
          </w:p>
          <w:p w14:paraId="49E55065" w14:textId="77777777" w:rsidR="002D7080" w:rsidRPr="00ED3FD3" w:rsidRDefault="002D7080" w:rsidP="00CD0B85">
            <w:pPr>
              <w:spacing w:after="0"/>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Integrated Taxonomic Information System (ITIS), 2023, ‘</w:t>
            </w: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viewed 27 July 2023, from https://www.itis.gov/servlet/SingleRpt/SingleRpt?search_topic=TSN&amp;search_value=97326#null.</w:t>
            </w:r>
          </w:p>
        </w:tc>
      </w:tr>
      <w:tr w:rsidR="002D7080" w:rsidRPr="00ED3FD3" w14:paraId="71474B0D"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ADB7C96" w14:textId="77777777" w:rsidR="002D7080" w:rsidRPr="00ED3FD3" w:rsidRDefault="002D7080" w:rsidP="00CD0B85">
            <w:pPr>
              <w:spacing w:after="0"/>
              <w:rPr>
                <w:rFonts w:ascii="Times New Roman" w:eastAsia="Times New Roman" w:hAnsi="Times New Roman" w:cs="Times New Roman"/>
                <w:sz w:val="20"/>
                <w:szCs w:val="20"/>
                <w:lang w:eastAsia="en-ZA"/>
              </w:rPr>
            </w:pPr>
            <w:r w:rsidRPr="00ED3FD3">
              <w:rPr>
                <w:rFonts w:ascii="Times New Roman" w:eastAsia="Times New Roman" w:hAnsi="Times New Roman" w:cs="Times New Roman"/>
                <w:b/>
                <w:sz w:val="20"/>
                <w:szCs w:val="20"/>
                <w:lang w:eastAsia="en-ZA"/>
              </w:rPr>
              <w:t>BAC6 Common name(s) considered</w:t>
            </w:r>
          </w:p>
        </w:tc>
      </w:tr>
      <w:tr w:rsidR="002D7080" w:rsidRPr="00ED3FD3" w14:paraId="2B4B77D1"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7171347" w14:textId="77777777" w:rsidR="002D7080" w:rsidRPr="00ED3FD3" w:rsidRDefault="002D7080" w:rsidP="00CD0B85">
            <w:pPr>
              <w:spacing w:after="0"/>
              <w:jc w:val="both"/>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sz w:val="20"/>
                <w:szCs w:val="20"/>
                <w:lang w:eastAsia="en-ZA"/>
              </w:rPr>
              <w:t>Common names:</w:t>
            </w:r>
            <w:r w:rsidRPr="00ED3FD3">
              <w:rPr>
                <w:rFonts w:ascii="Times New Roman" w:eastAsia="Times New Roman" w:hAnsi="Times New Roman" w:cs="Times New Roman"/>
                <w:color w:val="000000"/>
                <w:sz w:val="20"/>
                <w:szCs w:val="20"/>
                <w:lang w:eastAsia="en-ZA"/>
              </w:rPr>
              <w:t xml:space="preserve"> </w:t>
            </w:r>
            <w:r w:rsidRPr="00ED3FD3">
              <w:rPr>
                <w:rFonts w:ascii="Times New Roman" w:eastAsia="Times New Roman" w:hAnsi="Times New Roman" w:cs="Times New Roman"/>
                <w:sz w:val="20"/>
                <w:szCs w:val="20"/>
                <w:lang w:eastAsia="en-ZA"/>
              </w:rPr>
              <w:t>signal crayfish | Columbia river signal crayfish | Klamath signal crayfish</w:t>
            </w:r>
          </w:p>
        </w:tc>
      </w:tr>
      <w:tr w:rsidR="002D7080" w:rsidRPr="00ED3FD3" w14:paraId="029A0E15"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9404B6B"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Comments: The abovementioned common names have been listed for </w:t>
            </w:r>
            <w:r w:rsidRPr="00ED3FD3">
              <w:rPr>
                <w:rFonts w:ascii="Times New Roman" w:eastAsia="Times New Roman" w:hAnsi="Times New Roman" w:cs="Times New Roman"/>
                <w:i/>
                <w:iCs/>
                <w:sz w:val="20"/>
                <w:szCs w:val="20"/>
                <w:lang w:eastAsia="en-ZA"/>
              </w:rPr>
              <w:t xml:space="preserve">P. leniusculus </w:t>
            </w:r>
            <w:r w:rsidRPr="00ED3FD3">
              <w:rPr>
                <w:rFonts w:ascii="Times New Roman" w:eastAsia="Times New Roman" w:hAnsi="Times New Roman" w:cs="Times New Roman"/>
                <w:sz w:val="20"/>
                <w:szCs w:val="20"/>
                <w:lang w:eastAsia="en-ZA"/>
              </w:rPr>
              <w:t>(Schuster, Taylor &amp; Cardeiro 2010) and were considered for this assessment.</w:t>
            </w:r>
          </w:p>
        </w:tc>
      </w:tr>
      <w:tr w:rsidR="002D7080" w:rsidRPr="00ED3FD3" w14:paraId="20501BE8"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6B1AF6AC" w14:textId="77777777" w:rsidR="002D7080" w:rsidRPr="00ED3FD3" w:rsidRDefault="002D7080" w:rsidP="00CD0B85">
            <w:pPr>
              <w:spacing w:after="0"/>
              <w:ind w:left="720" w:hanging="720"/>
              <w:rPr>
                <w:rFonts w:ascii="Times New Roman" w:eastAsia="Times New Roman" w:hAnsi="Times New Roman" w:cs="Times New Roman"/>
                <w:sz w:val="20"/>
                <w:szCs w:val="20"/>
                <w:lang w:val="pt-PT" w:eastAsia="en-ZA"/>
              </w:rPr>
            </w:pPr>
            <w:r w:rsidRPr="00ED3FD3">
              <w:rPr>
                <w:rFonts w:ascii="Times New Roman" w:eastAsia="Times New Roman" w:hAnsi="Times New Roman" w:cs="Times New Roman"/>
                <w:sz w:val="20"/>
                <w:szCs w:val="20"/>
                <w:lang w:val="pt-PT" w:eastAsia="en-ZA"/>
              </w:rPr>
              <w:t>References:</w:t>
            </w:r>
          </w:p>
          <w:p w14:paraId="0476036D" w14:textId="77777777" w:rsidR="002D7080" w:rsidRPr="00ED3FD3" w:rsidRDefault="002D7080" w:rsidP="00CD0B85">
            <w:pPr>
              <w:spacing w:after="0"/>
              <w:ind w:left="720" w:hanging="720"/>
              <w:rPr>
                <w:rFonts w:ascii="Times New Roman" w:eastAsia="Times New Roman" w:hAnsi="Times New Roman" w:cs="Times New Roman"/>
                <w:i/>
                <w:iCs/>
                <w:sz w:val="20"/>
                <w:szCs w:val="20"/>
                <w:lang w:eastAsia="en-ZA"/>
              </w:rPr>
            </w:pPr>
            <w:r w:rsidRPr="00ED3FD3">
              <w:rPr>
                <w:rFonts w:ascii="Times New Roman" w:eastAsia="Times New Roman" w:hAnsi="Times New Roman" w:cs="Times New Roman"/>
                <w:sz w:val="20"/>
                <w:szCs w:val="20"/>
                <w:lang w:val="pt-PT" w:eastAsia="en-ZA"/>
              </w:rPr>
              <w:t xml:space="preserve">Schuster, G.A., Taylor, C.A. &amp; Cordeiro, J., 2010, </w:t>
            </w:r>
            <w:r w:rsidRPr="00ED3FD3">
              <w:rPr>
                <w:rFonts w:ascii="Times New Roman" w:eastAsia="Times New Roman" w:hAnsi="Times New Roman" w:cs="Times New Roman"/>
                <w:i/>
                <w:iCs/>
                <w:sz w:val="20"/>
                <w:szCs w:val="20"/>
                <w:lang w:val="pt-PT" w:eastAsia="en-ZA"/>
              </w:rPr>
              <w:t xml:space="preserve">Pacifastacus leniusculus. </w:t>
            </w:r>
            <w:r w:rsidRPr="00ED3FD3">
              <w:rPr>
                <w:rFonts w:ascii="Times New Roman" w:eastAsia="Times New Roman" w:hAnsi="Times New Roman" w:cs="Times New Roman"/>
                <w:i/>
                <w:iCs/>
                <w:sz w:val="20"/>
                <w:szCs w:val="20"/>
                <w:lang w:eastAsia="en-ZA"/>
              </w:rPr>
              <w:t>The IUCN Red List</w:t>
            </w:r>
          </w:p>
          <w:p w14:paraId="3E6E1609" w14:textId="77777777" w:rsidR="002D7080" w:rsidRPr="00ED3FD3" w:rsidRDefault="002D7080" w:rsidP="00CD0B85">
            <w:pPr>
              <w:spacing w:after="0"/>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i/>
                <w:iCs/>
                <w:sz w:val="20"/>
                <w:szCs w:val="20"/>
                <w:lang w:eastAsia="en-ZA"/>
              </w:rPr>
              <w:tab/>
              <w:t>of Threatened Species 2010</w:t>
            </w:r>
            <w:r w:rsidRPr="00ED3FD3">
              <w:rPr>
                <w:rFonts w:ascii="Times New Roman" w:eastAsia="Times New Roman" w:hAnsi="Times New Roman" w:cs="Times New Roman"/>
                <w:sz w:val="20"/>
                <w:szCs w:val="20"/>
                <w:lang w:eastAsia="en-ZA"/>
              </w:rPr>
              <w:t>: e.T153648A4526314. http://dx.doi.org/10.2305/IUCN.UK.2010-3.RLTS.T153648A4526314.en</w:t>
            </w:r>
            <w:r w:rsidRPr="00ED3FD3">
              <w:rPr>
                <w:rFonts w:ascii="Times New Roman" w:eastAsia="Times New Roman" w:hAnsi="Times New Roman" w:cs="Times New Roman"/>
                <w:sz w:val="20"/>
                <w:szCs w:val="20"/>
                <w:u w:val="single"/>
                <w:lang w:eastAsia="en-ZA"/>
              </w:rPr>
              <w:t xml:space="preserve"> </w:t>
            </w:r>
            <w:r w:rsidRPr="00ED3FD3">
              <w:rPr>
                <w:rFonts w:ascii="Times New Roman" w:eastAsia="Times New Roman" w:hAnsi="Times New Roman" w:cs="Times New Roman"/>
                <w:sz w:val="20"/>
                <w:szCs w:val="20"/>
                <w:lang w:eastAsia="en-ZA"/>
              </w:rPr>
              <w:t>[Accessed 31 January 2019]</w:t>
            </w:r>
          </w:p>
        </w:tc>
      </w:tr>
      <w:tr w:rsidR="002D7080" w:rsidRPr="00ED3FD3" w14:paraId="3119B8CD"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C4B5572"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b/>
                <w:sz w:val="20"/>
                <w:szCs w:val="20"/>
                <w:lang w:eastAsia="en-ZA"/>
              </w:rPr>
              <w:t xml:space="preserve">BAC7 What is the native range of the </w:t>
            </w:r>
            <w:r w:rsidRPr="00ED3FD3">
              <w:rPr>
                <w:rFonts w:ascii="Times New Roman" w:eastAsia="Times New Roman" w:hAnsi="Times New Roman" w:cs="Times New Roman"/>
                <w:b/>
                <w:i/>
                <w:sz w:val="20"/>
                <w:szCs w:val="20"/>
                <w:lang w:eastAsia="en-ZA"/>
              </w:rPr>
              <w:t>Taxon</w:t>
            </w:r>
            <w:r w:rsidRPr="00ED3FD3">
              <w:rPr>
                <w:rFonts w:ascii="Times New Roman" w:eastAsia="Times New Roman" w:hAnsi="Times New Roman" w:cs="Times New Roman"/>
                <w:b/>
                <w:sz w:val="20"/>
                <w:szCs w:val="20"/>
                <w:lang w:eastAsia="en-ZA"/>
              </w:rPr>
              <w:t xml:space="preserve">? </w:t>
            </w:r>
          </w:p>
        </w:tc>
      </w:tr>
      <w:tr w:rsidR="002D7080" w:rsidRPr="00ED3FD3" w14:paraId="1FA60568" w14:textId="77777777" w:rsidTr="002E2C37">
        <w:trPr>
          <w:cantSplit/>
          <w:trHeight w:val="70"/>
        </w:trPr>
        <w:tc>
          <w:tcPr>
            <w:tcW w:w="6124" w:type="dxa"/>
            <w:gridSpan w:val="3"/>
            <w:tcBorders>
              <w:top w:val="single" w:sz="4" w:space="0" w:color="auto"/>
              <w:left w:val="single" w:sz="4" w:space="0" w:color="auto"/>
              <w:bottom w:val="single" w:sz="4" w:space="0" w:color="auto"/>
              <w:right w:val="single" w:sz="4" w:space="0" w:color="auto"/>
            </w:tcBorders>
            <w:noWrap/>
          </w:tcPr>
          <w:p w14:paraId="42D367C4" w14:textId="77777777" w:rsidR="002D7080" w:rsidRPr="00ED3FD3" w:rsidRDefault="002D7080" w:rsidP="00CD0B85">
            <w:pPr>
              <w:spacing w:after="0"/>
              <w:jc w:val="both"/>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sz w:val="20"/>
                <w:szCs w:val="20"/>
                <w:lang w:eastAsia="en-ZA"/>
              </w:rPr>
              <w:t>Response:</w:t>
            </w:r>
            <w:r w:rsidRPr="00ED3FD3">
              <w:rPr>
                <w:rFonts w:ascii="Times New Roman" w:eastAsia="Times New Roman" w:hAnsi="Times New Roman" w:cs="Times New Roman"/>
                <w:color w:val="000000"/>
                <w:sz w:val="20"/>
                <w:szCs w:val="20"/>
                <w:lang w:eastAsia="en-ZA"/>
              </w:rPr>
              <w:t xml:space="preserve"> </w:t>
            </w:r>
            <w:r w:rsidRPr="00ED3FD3">
              <w:rPr>
                <w:rFonts w:ascii="Times New Roman" w:eastAsia="Times New Roman" w:hAnsi="Times New Roman" w:cs="Times New Roman"/>
                <w:sz w:val="20"/>
                <w:szCs w:val="20"/>
                <w:lang w:eastAsia="en-ZA"/>
              </w:rPr>
              <w:t>North-western U.S.A. | south-western Canada.</w:t>
            </w:r>
          </w:p>
        </w:tc>
        <w:tc>
          <w:tcPr>
            <w:tcW w:w="2666" w:type="dxa"/>
            <w:tcBorders>
              <w:top w:val="single" w:sz="4" w:space="0" w:color="auto"/>
              <w:left w:val="single" w:sz="4" w:space="0" w:color="auto"/>
              <w:bottom w:val="single" w:sz="4" w:space="0" w:color="auto"/>
              <w:right w:val="single" w:sz="4" w:space="0" w:color="auto"/>
            </w:tcBorders>
          </w:tcPr>
          <w:p w14:paraId="43409522" w14:textId="77777777" w:rsidR="002D7080" w:rsidRPr="00ED3FD3" w:rsidRDefault="002D7080" w:rsidP="00CD0B85">
            <w:pPr>
              <w:spacing w:after="0"/>
              <w:jc w:val="both"/>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4F57AF77"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3F2A2845"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Comments: </w:t>
            </w:r>
            <w:r w:rsidRPr="00ED3FD3">
              <w:rPr>
                <w:rFonts w:ascii="Times New Roman" w:eastAsia="Times New Roman" w:hAnsi="Times New Roman" w:cs="Times New Roman"/>
                <w:i/>
                <w:iCs/>
                <w:sz w:val="20"/>
                <w:szCs w:val="20"/>
                <w:lang w:eastAsia="en-ZA"/>
              </w:rPr>
              <w:t xml:space="preserve">Pacifastacus leniusculus </w:t>
            </w:r>
            <w:r w:rsidRPr="00ED3FD3">
              <w:rPr>
                <w:rFonts w:ascii="Times New Roman" w:eastAsia="Times New Roman" w:hAnsi="Times New Roman" w:cs="Times New Roman"/>
                <w:sz w:val="20"/>
                <w:szCs w:val="20"/>
                <w:lang w:eastAsia="en-ZA"/>
              </w:rPr>
              <w:t xml:space="preserve">is native to the north-western region of the USA and south-western Canada (GISD 2015; Lodge et al. 2012). </w:t>
            </w:r>
          </w:p>
        </w:tc>
      </w:tr>
      <w:tr w:rsidR="002D7080" w:rsidRPr="00ED3FD3" w14:paraId="40307B7B"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71F33E3F" w14:textId="77777777" w:rsidR="002D7080" w:rsidRPr="00ED3FD3" w:rsidRDefault="002D7080" w:rsidP="00B91DA4">
            <w:pPr>
              <w:spacing w:after="0"/>
              <w:ind w:left="720" w:hanging="72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1BA7E4CF" w14:textId="77777777" w:rsidR="002D7080" w:rsidRPr="00ED3FD3" w:rsidRDefault="002D7080" w:rsidP="00B91DA4">
            <w:pPr>
              <w:spacing w:after="0"/>
              <w:ind w:left="720" w:hanging="720"/>
              <w:jc w:val="both"/>
              <w:rPr>
                <w:rFonts w:ascii="Times New Roman" w:eastAsia="Times New Roman" w:hAnsi="Times New Roman" w:cs="Times New Roman"/>
                <w:i/>
                <w:iCs/>
                <w:sz w:val="20"/>
                <w:szCs w:val="20"/>
                <w:lang w:eastAsia="en-ZA"/>
              </w:rPr>
            </w:pPr>
            <w:r w:rsidRPr="00ED3FD3">
              <w:rPr>
                <w:rFonts w:ascii="Times New Roman" w:eastAsia="Times New Roman" w:hAnsi="Times New Roman" w:cs="Times New Roman"/>
                <w:sz w:val="20"/>
                <w:szCs w:val="20"/>
                <w:lang w:eastAsia="en-ZA"/>
              </w:rPr>
              <w:t xml:space="preserve">Global Invasive Species Database (GISD) 2015, Species profile </w:t>
            </w: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Available from: http://www.iucngisd.org/gisd/species.php?sc=725 [Accessed 02 July 2018]</w:t>
            </w:r>
          </w:p>
          <w:p w14:paraId="13019EA9" w14:textId="433EFE47" w:rsidR="002D7080" w:rsidRPr="00ED3FD3" w:rsidRDefault="002D7080" w:rsidP="00B91DA4">
            <w:pPr>
              <w:spacing w:after="0"/>
              <w:ind w:left="720" w:hanging="720"/>
              <w:jc w:val="both"/>
              <w:rPr>
                <w:rFonts w:ascii="Times New Roman" w:eastAsia="Times New Roman" w:hAnsi="Times New Roman" w:cs="Times New Roman"/>
                <w:sz w:val="20"/>
                <w:szCs w:val="20"/>
                <w:lang w:eastAsia="en-ZA"/>
              </w:rPr>
            </w:pPr>
            <w:r w:rsidRPr="00ED3FD3">
              <w:rPr>
                <w:rFonts w:ascii="Times New Roman" w:eastAsia="Calibri" w:hAnsi="Times New Roman" w:cs="Times New Roman"/>
                <w:sz w:val="20"/>
                <w:szCs w:val="20"/>
              </w:rPr>
              <w:t xml:space="preserve">Lodge, D.M., Deines, A., Gherardi, F., Yeo, D.C.J., Arcella, T., Baldridge, A.K., et al., 2012, ‘Global introductions of crayfishes: Evaluating the impact of species invasions on ecosystem services’, </w:t>
            </w:r>
            <w:r w:rsidRPr="00ED3FD3">
              <w:rPr>
                <w:rFonts w:ascii="Times New Roman" w:eastAsia="Calibri" w:hAnsi="Times New Roman" w:cs="Times New Roman"/>
                <w:i/>
                <w:sz w:val="20"/>
                <w:szCs w:val="20"/>
              </w:rPr>
              <w:t>Annual Review of Ecology, Evolution and Systematics</w:t>
            </w:r>
            <w:r w:rsidRPr="00ED3FD3">
              <w:rPr>
                <w:rFonts w:ascii="Times New Roman" w:eastAsia="Calibri" w:hAnsi="Times New Roman" w:cs="Times New Roman"/>
                <w:sz w:val="20"/>
                <w:szCs w:val="20"/>
              </w:rPr>
              <w:t xml:space="preserve"> 43, 449-472. </w:t>
            </w:r>
            <w:hyperlink r:id="rId423" w:history="1">
              <w:r w:rsidR="00356715" w:rsidRPr="00F215B9">
                <w:rPr>
                  <w:rStyle w:val="Hyperlink"/>
                  <w:rFonts w:ascii="Times New Roman" w:eastAsia="Calibri" w:hAnsi="Times New Roman" w:cs="Times New Roman"/>
                  <w:sz w:val="20"/>
                  <w:szCs w:val="20"/>
                </w:rPr>
                <w:t>https://doi.org/</w:t>
              </w:r>
              <w:r w:rsidR="00356715" w:rsidRPr="00F215B9">
                <w:rPr>
                  <w:rStyle w:val="Hyperlink"/>
                  <w:rFonts w:ascii="Times New Roman" w:eastAsia="Times New Roman" w:hAnsi="Times New Roman" w:cs="Times New Roman"/>
                  <w:sz w:val="20"/>
                  <w:szCs w:val="20"/>
                  <w:lang w:eastAsia="en-ZA"/>
                </w:rPr>
                <w:t>10.1146/annurev-ecolsys-111511-103919</w:t>
              </w:r>
            </w:hyperlink>
            <w:r w:rsidRPr="00ED3FD3">
              <w:rPr>
                <w:rFonts w:ascii="Times New Roman" w:eastAsia="Calibri" w:hAnsi="Times New Roman" w:cs="Times New Roman"/>
                <w:sz w:val="20"/>
                <w:szCs w:val="20"/>
              </w:rPr>
              <w:t>.</w:t>
            </w:r>
            <w:r w:rsidR="00356715">
              <w:rPr>
                <w:rFonts w:ascii="Times New Roman" w:eastAsia="Calibri" w:hAnsi="Times New Roman" w:cs="Times New Roman"/>
                <w:sz w:val="20"/>
                <w:szCs w:val="20"/>
              </w:rPr>
              <w:t xml:space="preserve"> </w:t>
            </w:r>
          </w:p>
        </w:tc>
      </w:tr>
      <w:tr w:rsidR="002D7080" w:rsidRPr="00ED3FD3" w14:paraId="113E53A5"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EFDFF78" w14:textId="77777777" w:rsidR="002D7080" w:rsidRPr="00ED3FD3" w:rsidRDefault="002D7080" w:rsidP="00B91DA4">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b/>
                <w:sz w:val="20"/>
                <w:szCs w:val="20"/>
                <w:lang w:eastAsia="en-ZA"/>
              </w:rPr>
              <w:t xml:space="preserve">BAC8 What is the global alien range of the </w:t>
            </w:r>
            <w:r w:rsidRPr="00ED3FD3">
              <w:rPr>
                <w:rFonts w:ascii="Times New Roman" w:eastAsia="Times New Roman" w:hAnsi="Times New Roman" w:cs="Times New Roman"/>
                <w:b/>
                <w:i/>
                <w:sz w:val="20"/>
                <w:szCs w:val="20"/>
                <w:lang w:eastAsia="en-ZA"/>
              </w:rPr>
              <w:t>Taxon</w:t>
            </w:r>
            <w:r w:rsidRPr="00ED3FD3">
              <w:rPr>
                <w:rFonts w:ascii="Times New Roman" w:eastAsia="Times New Roman" w:hAnsi="Times New Roman" w:cs="Times New Roman"/>
                <w:b/>
                <w:sz w:val="20"/>
                <w:szCs w:val="20"/>
                <w:lang w:eastAsia="en-ZA"/>
              </w:rPr>
              <w:t xml:space="preserve">? </w:t>
            </w:r>
          </w:p>
        </w:tc>
      </w:tr>
      <w:tr w:rsidR="002D7080" w:rsidRPr="00ED3FD3" w14:paraId="1E9B7A36" w14:textId="77777777" w:rsidTr="002E2C37">
        <w:trPr>
          <w:cantSplit/>
          <w:trHeight w:val="70"/>
        </w:trPr>
        <w:tc>
          <w:tcPr>
            <w:tcW w:w="6124" w:type="dxa"/>
            <w:gridSpan w:val="3"/>
            <w:tcBorders>
              <w:top w:val="single" w:sz="4" w:space="0" w:color="auto"/>
              <w:left w:val="single" w:sz="4" w:space="0" w:color="auto"/>
              <w:bottom w:val="single" w:sz="4" w:space="0" w:color="auto"/>
              <w:right w:val="single" w:sz="4" w:space="0" w:color="auto"/>
            </w:tcBorders>
            <w:noWrap/>
          </w:tcPr>
          <w:p w14:paraId="1F1BAB7F" w14:textId="77777777" w:rsidR="002D7080" w:rsidRPr="00ED3FD3" w:rsidRDefault="002D7080" w:rsidP="00CD0B85">
            <w:pPr>
              <w:spacing w:after="0"/>
              <w:jc w:val="both"/>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sz w:val="20"/>
                <w:szCs w:val="20"/>
                <w:lang w:eastAsia="en-ZA"/>
              </w:rPr>
              <w:t>Response:</w:t>
            </w:r>
            <w:r w:rsidRPr="00ED3FD3">
              <w:rPr>
                <w:rFonts w:ascii="Times New Roman" w:eastAsia="Calibri" w:hAnsi="Times New Roman" w:cs="Times New Roman"/>
                <w:color w:val="000000"/>
                <w:sz w:val="20"/>
                <w:szCs w:val="20"/>
                <w:shd w:val="clear" w:color="auto" w:fill="FFFFFF"/>
              </w:rPr>
              <w:t xml:space="preserve"> Europe | Asia</w:t>
            </w:r>
          </w:p>
        </w:tc>
        <w:tc>
          <w:tcPr>
            <w:tcW w:w="2666" w:type="dxa"/>
            <w:tcBorders>
              <w:top w:val="single" w:sz="4" w:space="0" w:color="auto"/>
              <w:left w:val="single" w:sz="4" w:space="0" w:color="auto"/>
              <w:bottom w:val="single" w:sz="4" w:space="0" w:color="auto"/>
              <w:right w:val="single" w:sz="4" w:space="0" w:color="auto"/>
            </w:tcBorders>
          </w:tcPr>
          <w:p w14:paraId="038EF6B7" w14:textId="77777777" w:rsidR="002D7080" w:rsidRPr="00ED3FD3" w:rsidRDefault="002D7080" w:rsidP="00CD0B85">
            <w:pPr>
              <w:spacing w:after="0"/>
              <w:jc w:val="both"/>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62F2A4B4"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4DAC3824"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Comments: </w:t>
            </w:r>
            <w:r w:rsidRPr="00ED3FD3">
              <w:rPr>
                <w:rFonts w:ascii="Times New Roman" w:eastAsia="Times New Roman" w:hAnsi="Times New Roman" w:cs="Times New Roman"/>
                <w:i/>
                <w:iCs/>
                <w:sz w:val="20"/>
                <w:szCs w:val="20"/>
                <w:lang w:eastAsia="en-ZA"/>
              </w:rPr>
              <w:t xml:space="preserve">Pacifastacus leniusculus </w:t>
            </w:r>
            <w:r w:rsidRPr="00ED3FD3">
              <w:rPr>
                <w:rFonts w:ascii="Times New Roman" w:eastAsia="Times New Roman" w:hAnsi="Times New Roman" w:cs="Times New Roman"/>
                <w:sz w:val="20"/>
                <w:szCs w:val="20"/>
                <w:lang w:eastAsia="en-ZA"/>
              </w:rPr>
              <w:t>has been introduced into the following countries: Austria; Belgium; Cyprus;  Croatia, Denmark; Finland; France; Germany; Greece; Hungary, Italy; Japan; Latvia; Lithuania; Luxembourg; Netherlands; Poland; Portugal; Russian Federation; Serbia, Spain; South Africa, Sweden; Switzerland; United Kingdom (Schuster et al. 2010, Kouba et al. 2014, Dragičević et al. 2020., Horvatovic et al. 2022., Ludanyi et al. 2022).</w:t>
            </w:r>
          </w:p>
        </w:tc>
      </w:tr>
      <w:tr w:rsidR="002D7080" w:rsidRPr="00ED3FD3" w14:paraId="4D8184E6"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1A56F40" w14:textId="77777777" w:rsidR="002D7080" w:rsidRPr="00ED3FD3" w:rsidRDefault="002D7080" w:rsidP="002E2C37">
            <w:pPr>
              <w:spacing w:after="0" w:line="240" w:lineRule="auto"/>
              <w:ind w:left="720" w:hanging="720"/>
              <w:rPr>
                <w:rFonts w:ascii="Times New Roman" w:eastAsia="Times New Roman" w:hAnsi="Times New Roman" w:cs="Times New Roman"/>
                <w:sz w:val="20"/>
                <w:szCs w:val="20"/>
                <w:lang w:val="pt-PT" w:eastAsia="en-ZA"/>
              </w:rPr>
            </w:pPr>
            <w:r w:rsidRPr="00ED3FD3">
              <w:rPr>
                <w:rFonts w:ascii="Times New Roman" w:eastAsia="Times New Roman" w:hAnsi="Times New Roman" w:cs="Times New Roman"/>
                <w:sz w:val="20"/>
                <w:szCs w:val="20"/>
                <w:lang w:val="pt-PT" w:eastAsia="en-ZA"/>
              </w:rPr>
              <w:lastRenderedPageBreak/>
              <w:t>References:</w:t>
            </w:r>
          </w:p>
          <w:p w14:paraId="12A9A645" w14:textId="77777777" w:rsidR="002D7080" w:rsidRPr="00ED3FD3" w:rsidRDefault="002D7080" w:rsidP="00CD0B85">
            <w:pPr>
              <w:spacing w:after="0"/>
              <w:ind w:left="720" w:hanging="720"/>
              <w:jc w:val="both"/>
              <w:rPr>
                <w:rFonts w:ascii="Times New Roman" w:hAnsi="Times New Roman" w:cs="Times New Roman"/>
                <w:sz w:val="20"/>
                <w:szCs w:val="20"/>
              </w:rPr>
            </w:pPr>
            <w:r w:rsidRPr="00ED3FD3">
              <w:rPr>
                <w:rFonts w:ascii="Times New Roman" w:hAnsi="Times New Roman" w:cs="Times New Roman"/>
                <w:sz w:val="20"/>
                <w:szCs w:val="20"/>
              </w:rPr>
              <w:t xml:space="preserve">Dragičević, P., Faller, M., Kutlesa, P. &amp; Hudina, S. 2020.“Update on the signal crayfish, </w:t>
            </w:r>
            <w:r w:rsidRPr="00ED3FD3">
              <w:rPr>
                <w:rFonts w:ascii="Times New Roman" w:hAnsi="Times New Roman" w:cs="Times New Roman"/>
                <w:i/>
                <w:iCs/>
                <w:sz w:val="20"/>
                <w:szCs w:val="20"/>
              </w:rPr>
              <w:t>Pacifastacus leniusculus</w:t>
            </w:r>
            <w:r w:rsidRPr="00ED3FD3">
              <w:rPr>
                <w:rFonts w:ascii="Times New Roman" w:hAnsi="Times New Roman" w:cs="Times New Roman"/>
                <w:sz w:val="20"/>
                <w:szCs w:val="20"/>
              </w:rPr>
              <w:t xml:space="preserve"> (Dana, 1852) range expansion in Croatia: a 10-year report.”</w:t>
            </w:r>
            <w:r w:rsidRPr="00ED3FD3">
              <w:rPr>
                <w:rFonts w:ascii="Times New Roman" w:hAnsi="Times New Roman" w:cs="Times New Roman"/>
                <w:i/>
                <w:sz w:val="20"/>
                <w:szCs w:val="20"/>
              </w:rPr>
              <w:t xml:space="preserve"> </w:t>
            </w:r>
            <w:r w:rsidRPr="00ED3FD3">
              <w:rPr>
                <w:rFonts w:ascii="Times New Roman" w:hAnsi="Times New Roman" w:cs="Times New Roman"/>
                <w:i/>
                <w:iCs/>
                <w:sz w:val="20"/>
                <w:szCs w:val="20"/>
              </w:rPr>
              <w:t>BioInvasions Records</w:t>
            </w:r>
            <w:r w:rsidRPr="00ED3FD3">
              <w:rPr>
                <w:rFonts w:ascii="Times New Roman" w:hAnsi="Times New Roman" w:cs="Times New Roman"/>
                <w:sz w:val="20"/>
                <w:szCs w:val="20"/>
              </w:rPr>
              <w:t xml:space="preserve"> 9(4): 793-807. </w:t>
            </w:r>
            <w:hyperlink w:history="1">
              <w:r w:rsidRPr="00ED3FD3">
                <w:rPr>
                  <w:rStyle w:val="Hyperlink"/>
                  <w:rFonts w:ascii="Times New Roman" w:hAnsi="Times New Roman" w:cs="Times New Roman"/>
                  <w:sz w:val="20"/>
                  <w:szCs w:val="20"/>
                </w:rPr>
                <w:t>https://doi.org/10.3391/bir.2020.9.4.13</w:t>
              </w:r>
            </w:hyperlink>
            <w:r w:rsidRPr="00ED3FD3">
              <w:rPr>
                <w:rFonts w:ascii="Times New Roman" w:hAnsi="Times New Roman" w:cs="Times New Roman"/>
                <w:sz w:val="20"/>
                <w:szCs w:val="20"/>
              </w:rPr>
              <w:t xml:space="preserve"> </w:t>
            </w:r>
          </w:p>
          <w:p w14:paraId="115C6B81" w14:textId="77777777" w:rsidR="002D7080" w:rsidRPr="00ED3FD3" w:rsidRDefault="002D7080" w:rsidP="00CD0B85">
            <w:pPr>
              <w:spacing w:after="0"/>
              <w:ind w:left="720" w:hanging="720"/>
              <w:jc w:val="both"/>
              <w:rPr>
                <w:rFonts w:ascii="Times New Roman" w:hAnsi="Times New Roman" w:cs="Times New Roman"/>
                <w:sz w:val="20"/>
                <w:szCs w:val="20"/>
              </w:rPr>
            </w:pPr>
            <w:r w:rsidRPr="00ED3FD3">
              <w:rPr>
                <w:rFonts w:ascii="Times New Roman" w:hAnsi="Times New Roman" w:cs="Times New Roman"/>
                <w:sz w:val="20"/>
                <w:szCs w:val="20"/>
              </w:rPr>
              <w:t>Horvatovic, M.A., Rankovic, M., Milic, D., Mi</w:t>
            </w:r>
            <w:r>
              <w:rPr>
                <w:rFonts w:ascii="Times New Roman" w:hAnsi="Times New Roman" w:cs="Times New Roman"/>
                <w:sz w:val="20"/>
                <w:szCs w:val="20"/>
              </w:rPr>
              <w:t>ljanovic, B. &amp; Bajic, A. 2022, ‘</w:t>
            </w:r>
            <w:r w:rsidRPr="00ED3FD3">
              <w:rPr>
                <w:rFonts w:ascii="Times New Roman" w:hAnsi="Times New Roman" w:cs="Times New Roman"/>
                <w:sz w:val="20"/>
                <w:szCs w:val="20"/>
              </w:rPr>
              <w:t>The first record of signal crayfish, Pacifastacus leniusculus (Dana, 1852) and its projected expansion in Serb</w:t>
            </w:r>
            <w:r>
              <w:rPr>
                <w:rFonts w:ascii="Times New Roman" w:hAnsi="Times New Roman" w:cs="Times New Roman"/>
                <w:sz w:val="20"/>
                <w:szCs w:val="20"/>
              </w:rPr>
              <w:t>ia under global climate change’,</w:t>
            </w:r>
            <w:r w:rsidRPr="00ED3FD3">
              <w:rPr>
                <w:rFonts w:ascii="Times New Roman" w:hAnsi="Times New Roman" w:cs="Times New Roman"/>
                <w:sz w:val="20"/>
                <w:szCs w:val="20"/>
              </w:rPr>
              <w:t xml:space="preserve"> </w:t>
            </w:r>
            <w:r w:rsidRPr="00ED3FD3">
              <w:rPr>
                <w:rFonts w:ascii="Times New Roman" w:hAnsi="Times New Roman" w:cs="Times New Roman"/>
                <w:i/>
                <w:iCs/>
                <w:sz w:val="20"/>
                <w:szCs w:val="20"/>
              </w:rPr>
              <w:t>Biologia Serbica</w:t>
            </w:r>
            <w:r w:rsidRPr="00ED3FD3">
              <w:rPr>
                <w:rFonts w:ascii="Times New Roman" w:hAnsi="Times New Roman" w:cs="Times New Roman"/>
                <w:sz w:val="20"/>
                <w:szCs w:val="20"/>
              </w:rPr>
              <w:t xml:space="preserve"> 44(2). </w:t>
            </w:r>
            <w:hyperlink w:history="1">
              <w:r w:rsidRPr="00ED3FD3">
                <w:rPr>
                  <w:rStyle w:val="Hyperlink"/>
                  <w:rFonts w:ascii="Times New Roman" w:hAnsi="Times New Roman" w:cs="Times New Roman"/>
                  <w:sz w:val="20"/>
                  <w:szCs w:val="20"/>
                </w:rPr>
                <w:t>https://doi.org/10.5281/zenodo.7451154</w:t>
              </w:r>
            </w:hyperlink>
            <w:r w:rsidRPr="00ED3FD3">
              <w:rPr>
                <w:rFonts w:ascii="Times New Roman" w:hAnsi="Times New Roman" w:cs="Times New Roman"/>
                <w:sz w:val="20"/>
                <w:szCs w:val="20"/>
              </w:rPr>
              <w:t xml:space="preserve"> </w:t>
            </w:r>
          </w:p>
          <w:p w14:paraId="2194DD73" w14:textId="77777777" w:rsidR="002D7080" w:rsidRPr="00ED3FD3" w:rsidRDefault="002D7080" w:rsidP="00CD0B85">
            <w:pPr>
              <w:spacing w:after="0"/>
              <w:ind w:left="720" w:hanging="720"/>
              <w:jc w:val="both"/>
              <w:rPr>
                <w:rFonts w:ascii="Times New Roman" w:eastAsia="Times New Roman" w:hAnsi="Times New Roman" w:cs="Times New Roman"/>
                <w:color w:val="000000"/>
                <w:sz w:val="20"/>
                <w:szCs w:val="20"/>
                <w:lang w:eastAsia="en-ZA"/>
              </w:rPr>
            </w:pPr>
            <w:r w:rsidRPr="00ED3FD3">
              <w:rPr>
                <w:rFonts w:ascii="Times New Roman" w:eastAsia="Times New Roman" w:hAnsi="Times New Roman" w:cs="Times New Roman"/>
                <w:color w:val="000000"/>
                <w:sz w:val="20"/>
                <w:szCs w:val="20"/>
                <w:lang w:eastAsia="en-ZA"/>
              </w:rPr>
              <w:t>Kouba, A., Petrusek, A., Kozák, P. 2014. “Continental-wide distribution of crayfish species in Europe: update and maps</w:t>
            </w:r>
            <w:r w:rsidRPr="00ED3FD3">
              <w:rPr>
                <w:rFonts w:ascii="Times New Roman" w:eastAsia="Times New Roman" w:hAnsi="Times New Roman" w:cs="Times New Roman"/>
                <w:i/>
                <w:iCs/>
                <w:color w:val="000000"/>
                <w:sz w:val="20"/>
                <w:szCs w:val="20"/>
                <w:lang w:eastAsia="en-ZA"/>
              </w:rPr>
              <w:t xml:space="preserve">”, </w:t>
            </w:r>
            <w:r w:rsidRPr="00ED3FD3">
              <w:rPr>
                <w:rFonts w:ascii="Times New Roman" w:hAnsi="Times New Roman" w:cs="Times New Roman"/>
                <w:i/>
                <w:iCs/>
                <w:sz w:val="20"/>
                <w:szCs w:val="20"/>
              </w:rPr>
              <w:t>Knowledge and Management of Aquatic Ecosystems</w:t>
            </w:r>
            <w:r w:rsidRPr="00ED3FD3">
              <w:rPr>
                <w:rFonts w:ascii="Times New Roman" w:hAnsi="Times New Roman" w:cs="Times New Roman"/>
                <w:sz w:val="20"/>
                <w:szCs w:val="20"/>
              </w:rPr>
              <w:t xml:space="preserve"> 413, 05</w:t>
            </w:r>
            <w:r w:rsidRPr="00ED3FD3">
              <w:rPr>
                <w:rFonts w:ascii="Times New Roman" w:eastAsia="Times New Roman" w:hAnsi="Times New Roman" w:cs="Times New Roman"/>
                <w:color w:val="000000"/>
                <w:sz w:val="20"/>
                <w:szCs w:val="20"/>
                <w:lang w:eastAsia="en-ZA"/>
              </w:rPr>
              <w:t xml:space="preserve">. </w:t>
            </w:r>
            <w:hyperlink w:history="1">
              <w:r w:rsidRPr="00ED3FD3">
                <w:rPr>
                  <w:rStyle w:val="Hyperlink"/>
                  <w:rFonts w:ascii="Times New Roman" w:eastAsia="Times New Roman" w:hAnsi="Times New Roman" w:cs="Times New Roman"/>
                  <w:sz w:val="20"/>
                  <w:szCs w:val="20"/>
                  <w:lang w:eastAsia="en-ZA"/>
                </w:rPr>
                <w:t>https://doi.org/10.1051/kmae/2014007</w:t>
              </w:r>
            </w:hyperlink>
            <w:r w:rsidRPr="00ED3FD3">
              <w:rPr>
                <w:rFonts w:ascii="Times New Roman" w:eastAsia="Times New Roman" w:hAnsi="Times New Roman" w:cs="Times New Roman"/>
                <w:color w:val="000000"/>
                <w:sz w:val="20"/>
                <w:szCs w:val="20"/>
                <w:lang w:eastAsia="en-ZA"/>
              </w:rPr>
              <w:t xml:space="preserve"> </w:t>
            </w:r>
          </w:p>
          <w:p w14:paraId="67005759" w14:textId="77777777" w:rsidR="002D7080" w:rsidRPr="00ED3FD3" w:rsidRDefault="002D7080" w:rsidP="00CD0B85">
            <w:pPr>
              <w:spacing w:after="0"/>
              <w:ind w:left="720" w:hanging="720"/>
              <w:jc w:val="both"/>
              <w:rPr>
                <w:rFonts w:ascii="Times New Roman" w:hAnsi="Times New Roman" w:cs="Times New Roman"/>
                <w:sz w:val="20"/>
                <w:szCs w:val="20"/>
              </w:rPr>
            </w:pPr>
            <w:r w:rsidRPr="00ED3FD3">
              <w:rPr>
                <w:rFonts w:ascii="Times New Roman" w:hAnsi="Times New Roman" w:cs="Times New Roman"/>
                <w:sz w:val="20"/>
                <w:szCs w:val="20"/>
              </w:rPr>
              <w:t>Ludanyi, M., Peeters, E.T.H.M., Kiss, B., Gaspa</w:t>
            </w:r>
            <w:r>
              <w:rPr>
                <w:rFonts w:ascii="Times New Roman" w:hAnsi="Times New Roman" w:cs="Times New Roman"/>
                <w:sz w:val="20"/>
                <w:szCs w:val="20"/>
              </w:rPr>
              <w:t>r, A., Roessink, I., Magura, T. &amp;</w:t>
            </w:r>
            <w:r w:rsidRPr="00ED3FD3">
              <w:rPr>
                <w:rFonts w:ascii="Times New Roman" w:hAnsi="Times New Roman" w:cs="Times New Roman"/>
                <w:sz w:val="20"/>
                <w:szCs w:val="20"/>
              </w:rPr>
              <w:t xml:space="preserve"> Muller, Z.</w:t>
            </w:r>
            <w:r>
              <w:rPr>
                <w:rFonts w:ascii="Times New Roman" w:hAnsi="Times New Roman" w:cs="Times New Roman"/>
                <w:sz w:val="20"/>
                <w:szCs w:val="20"/>
              </w:rPr>
              <w:t>, 2022, ‘</w:t>
            </w:r>
            <w:r w:rsidRPr="00ED3FD3">
              <w:rPr>
                <w:rFonts w:ascii="Times New Roman" w:hAnsi="Times New Roman" w:cs="Times New Roman"/>
                <w:sz w:val="20"/>
                <w:szCs w:val="20"/>
              </w:rPr>
              <w:t>The current status of Pacifastacus leniusculus (Dana, 1852) and their effect on aquatic macroinvertebrate communi</w:t>
            </w:r>
            <w:r>
              <w:rPr>
                <w:rFonts w:ascii="Times New Roman" w:hAnsi="Times New Roman" w:cs="Times New Roman"/>
                <w:sz w:val="20"/>
                <w:szCs w:val="20"/>
              </w:rPr>
              <w:t>ties in Hungarian watercourses’</w:t>
            </w:r>
            <w:r w:rsidRPr="00ED3FD3">
              <w:rPr>
                <w:rFonts w:ascii="Times New Roman" w:hAnsi="Times New Roman" w:cs="Times New Roman"/>
                <w:sz w:val="20"/>
                <w:szCs w:val="20"/>
              </w:rPr>
              <w:t xml:space="preserve">. </w:t>
            </w:r>
            <w:r w:rsidRPr="00ED3FD3">
              <w:rPr>
                <w:rFonts w:ascii="Times New Roman" w:hAnsi="Times New Roman" w:cs="Times New Roman"/>
                <w:i/>
                <w:iCs/>
                <w:sz w:val="20"/>
                <w:szCs w:val="20"/>
              </w:rPr>
              <w:t>Aquatic Invasions</w:t>
            </w:r>
            <w:r w:rsidRPr="00ED3FD3">
              <w:rPr>
                <w:rFonts w:ascii="Times New Roman" w:hAnsi="Times New Roman" w:cs="Times New Roman"/>
                <w:sz w:val="20"/>
                <w:szCs w:val="20"/>
              </w:rPr>
              <w:t xml:space="preserve"> 17 (4): 543-559. </w:t>
            </w:r>
            <w:hyperlink w:history="1">
              <w:r w:rsidRPr="00ED3FD3">
                <w:rPr>
                  <w:rStyle w:val="Hyperlink"/>
                  <w:rFonts w:ascii="Times New Roman" w:hAnsi="Times New Roman" w:cs="Times New Roman"/>
                  <w:sz w:val="20"/>
                  <w:szCs w:val="20"/>
                </w:rPr>
                <w:t>https://doi.org/10.3391/ai.2022.17.4.05</w:t>
              </w:r>
            </w:hyperlink>
            <w:r w:rsidRPr="00ED3FD3">
              <w:rPr>
                <w:rFonts w:ascii="Times New Roman" w:hAnsi="Times New Roman" w:cs="Times New Roman"/>
                <w:sz w:val="20"/>
                <w:szCs w:val="20"/>
              </w:rPr>
              <w:t xml:space="preserve"> </w:t>
            </w:r>
          </w:p>
          <w:p w14:paraId="1323D19E" w14:textId="77777777" w:rsidR="002D7080" w:rsidRPr="00ED3FD3" w:rsidRDefault="002D7080" w:rsidP="00CD0B85">
            <w:pPr>
              <w:ind w:left="720" w:hanging="720"/>
              <w:contextualSpacing/>
              <w:jc w:val="both"/>
              <w:rPr>
                <w:rFonts w:ascii="Times New Roman" w:eastAsia="Times New Roman" w:hAnsi="Times New Roman" w:cs="Times New Roman"/>
                <w:color w:val="000000"/>
                <w:sz w:val="20"/>
                <w:szCs w:val="20"/>
                <w:lang w:eastAsia="en-ZA"/>
              </w:rPr>
            </w:pPr>
            <w:r w:rsidRPr="00ED3FD3">
              <w:rPr>
                <w:rFonts w:ascii="Times New Roman" w:eastAsia="Calibri" w:hAnsi="Times New Roman" w:cs="Times New Roman"/>
                <w:sz w:val="20"/>
                <w:szCs w:val="20"/>
              </w:rPr>
              <w:t>Madzivanzira, T.C., South, J., Wood, L.E., Nunes, A.L.</w:t>
            </w:r>
            <w:r w:rsidRPr="00ED3FD3">
              <w:rPr>
                <w:rFonts w:ascii="Times New Roman" w:eastAsia="Times New Roman" w:hAnsi="Times New Roman" w:cs="Times New Roman"/>
                <w:color w:val="000000"/>
                <w:sz w:val="20"/>
                <w:szCs w:val="20"/>
                <w:lang w:eastAsia="en-ZA"/>
              </w:rPr>
              <w:t xml:space="preserve"> &amp; </w:t>
            </w:r>
            <w:r w:rsidRPr="00ED3FD3">
              <w:rPr>
                <w:rFonts w:ascii="Times New Roman" w:eastAsia="Calibri" w:hAnsi="Times New Roman" w:cs="Times New Roman"/>
                <w:sz w:val="20"/>
                <w:szCs w:val="20"/>
              </w:rPr>
              <w:t xml:space="preserve">Weyl, O.L.F., 2020, ‘A review of freshwater crayfish introductions in Africa’, </w:t>
            </w:r>
            <w:r w:rsidRPr="00ED3FD3">
              <w:rPr>
                <w:rFonts w:ascii="Times New Roman" w:eastAsia="Calibri" w:hAnsi="Times New Roman" w:cs="Times New Roman"/>
                <w:i/>
                <w:sz w:val="20"/>
                <w:szCs w:val="20"/>
              </w:rPr>
              <w:t>Reviews in</w:t>
            </w:r>
            <w:r w:rsidRPr="00ED3FD3">
              <w:rPr>
                <w:rFonts w:ascii="Times New Roman" w:eastAsia="Times New Roman" w:hAnsi="Times New Roman" w:cs="Times New Roman"/>
                <w:i/>
                <w:color w:val="000000"/>
                <w:sz w:val="20"/>
                <w:szCs w:val="20"/>
                <w:lang w:eastAsia="en-ZA"/>
              </w:rPr>
              <w:t xml:space="preserve"> </w:t>
            </w:r>
            <w:r w:rsidRPr="00ED3FD3">
              <w:rPr>
                <w:rFonts w:ascii="Times New Roman" w:eastAsia="Calibri" w:hAnsi="Times New Roman" w:cs="Times New Roman"/>
                <w:i/>
                <w:sz w:val="20"/>
                <w:szCs w:val="20"/>
              </w:rPr>
              <w:t>Fisheries Science &amp; Aquaculture</w:t>
            </w:r>
            <w:r w:rsidRPr="00ED3FD3">
              <w:rPr>
                <w:rFonts w:ascii="Times New Roman" w:eastAsia="Calibri" w:hAnsi="Times New Roman" w:cs="Times New Roman"/>
                <w:sz w:val="20"/>
                <w:szCs w:val="20"/>
              </w:rPr>
              <w:t>,</w:t>
            </w:r>
            <w:r w:rsidRPr="00ED3FD3">
              <w:rPr>
                <w:rFonts w:ascii="Times New Roman" w:eastAsia="Calibri" w:hAnsi="Times New Roman" w:cs="Times New Roman"/>
                <w:i/>
                <w:sz w:val="20"/>
                <w:szCs w:val="20"/>
              </w:rPr>
              <w:t xml:space="preserve"> </w:t>
            </w:r>
            <w:r w:rsidRPr="00ED3FD3">
              <w:rPr>
                <w:rFonts w:ascii="Times New Roman" w:eastAsia="Calibri" w:hAnsi="Times New Roman" w:cs="Times New Roman"/>
                <w:sz w:val="20"/>
                <w:szCs w:val="20"/>
              </w:rPr>
              <w:t xml:space="preserve">1-21, </w:t>
            </w:r>
            <w:hyperlink w:history="1">
              <w:r w:rsidRPr="00ED3FD3">
                <w:rPr>
                  <w:rStyle w:val="Hyperlink"/>
                  <w:rFonts w:ascii="Times New Roman" w:eastAsia="Times New Roman" w:hAnsi="Times New Roman" w:cs="Times New Roman"/>
                  <w:sz w:val="20"/>
                  <w:szCs w:val="20"/>
                  <w:lang w:eastAsia="en-ZA"/>
                </w:rPr>
                <w:t>https://doi.org/10.1080/23308249.2020.1802405</w:t>
              </w:r>
            </w:hyperlink>
            <w:r w:rsidRPr="00ED3FD3">
              <w:rPr>
                <w:rFonts w:ascii="Times New Roman" w:eastAsia="Times New Roman" w:hAnsi="Times New Roman" w:cs="Times New Roman"/>
                <w:color w:val="000000"/>
                <w:sz w:val="20"/>
                <w:szCs w:val="20"/>
                <w:lang w:eastAsia="en-ZA"/>
              </w:rPr>
              <w:t xml:space="preserve"> </w:t>
            </w:r>
          </w:p>
          <w:p w14:paraId="602D5D88" w14:textId="77777777" w:rsidR="002D7080" w:rsidRPr="00ED3FD3" w:rsidRDefault="002D7080" w:rsidP="00CD0B85">
            <w:pPr>
              <w:spacing w:after="0"/>
              <w:ind w:left="720" w:hanging="720"/>
              <w:jc w:val="both"/>
              <w:rPr>
                <w:rFonts w:ascii="Times New Roman" w:eastAsia="Times New Roman" w:hAnsi="Times New Roman" w:cs="Times New Roman"/>
                <w:color w:val="000000"/>
                <w:sz w:val="20"/>
                <w:szCs w:val="20"/>
                <w:lang w:eastAsia="en-ZA"/>
              </w:rPr>
            </w:pPr>
            <w:r w:rsidRPr="00ED3FD3">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ED3FD3">
              <w:rPr>
                <w:rFonts w:ascii="Times New Roman" w:eastAsia="Times New Roman" w:hAnsi="Times New Roman" w:cs="Times New Roman"/>
                <w:i/>
                <w:color w:val="000000"/>
                <w:sz w:val="20"/>
                <w:szCs w:val="20"/>
                <w:lang w:eastAsia="en-ZA"/>
              </w:rPr>
              <w:t>African Journal of Aquatic Science</w:t>
            </w:r>
            <w:r w:rsidRPr="00ED3FD3">
              <w:rPr>
                <w:rFonts w:ascii="Times New Roman" w:eastAsia="Times New Roman" w:hAnsi="Times New Roman" w:cs="Times New Roman"/>
                <w:color w:val="000000"/>
                <w:sz w:val="20"/>
                <w:szCs w:val="20"/>
                <w:lang w:eastAsia="en-ZA"/>
              </w:rPr>
              <w:t xml:space="preserve"> 42, 309–323. </w:t>
            </w:r>
            <w:hyperlink w:history="1">
              <w:r w:rsidRPr="00ED3FD3">
                <w:rPr>
                  <w:rStyle w:val="Hyperlink"/>
                  <w:rFonts w:ascii="Times New Roman" w:eastAsia="Times New Roman" w:hAnsi="Times New Roman" w:cs="Times New Roman"/>
                  <w:sz w:val="20"/>
                  <w:szCs w:val="20"/>
                  <w:lang w:eastAsia="en-ZA"/>
                </w:rPr>
                <w:t>https://doi.org/10.2989/16085914.2017.1405788</w:t>
              </w:r>
            </w:hyperlink>
          </w:p>
          <w:p w14:paraId="476A2105" w14:textId="77777777" w:rsidR="002D7080" w:rsidRPr="00ED3FD3" w:rsidRDefault="002D7080" w:rsidP="00CD0B85">
            <w:pPr>
              <w:spacing w:after="0"/>
              <w:ind w:left="720" w:hanging="720"/>
              <w:jc w:val="both"/>
              <w:rPr>
                <w:rFonts w:ascii="Times New Roman" w:eastAsia="Times New Roman" w:hAnsi="Times New Roman" w:cs="Times New Roman"/>
                <w:i/>
                <w:iCs/>
                <w:sz w:val="20"/>
                <w:szCs w:val="20"/>
                <w:lang w:eastAsia="en-ZA"/>
              </w:rPr>
            </w:pPr>
            <w:r w:rsidRPr="00ED3FD3">
              <w:rPr>
                <w:rFonts w:ascii="Times New Roman" w:eastAsia="Times New Roman" w:hAnsi="Times New Roman" w:cs="Times New Roman"/>
                <w:sz w:val="20"/>
                <w:szCs w:val="20"/>
                <w:lang w:val="pt-PT" w:eastAsia="en-ZA"/>
              </w:rPr>
              <w:t xml:space="preserve">Schuster, G.A., Taylor, C.A. &amp; Cordeiro, J., 2010, </w:t>
            </w:r>
            <w:r w:rsidRPr="00ED3FD3">
              <w:rPr>
                <w:rFonts w:ascii="Times New Roman" w:eastAsia="Times New Roman" w:hAnsi="Times New Roman" w:cs="Times New Roman"/>
                <w:i/>
                <w:iCs/>
                <w:sz w:val="20"/>
                <w:szCs w:val="20"/>
                <w:lang w:val="pt-PT" w:eastAsia="en-ZA"/>
              </w:rPr>
              <w:t xml:space="preserve">Pacifastacus leniusculus. </w:t>
            </w:r>
            <w:r w:rsidRPr="00ED3FD3">
              <w:rPr>
                <w:rFonts w:ascii="Times New Roman" w:eastAsia="Times New Roman" w:hAnsi="Times New Roman" w:cs="Times New Roman"/>
                <w:i/>
                <w:iCs/>
                <w:sz w:val="20"/>
                <w:szCs w:val="20"/>
                <w:lang w:eastAsia="en-ZA"/>
              </w:rPr>
              <w:t>The IUCN Red List of Threatened Species 2010</w:t>
            </w:r>
            <w:r w:rsidRPr="00ED3FD3">
              <w:rPr>
                <w:rFonts w:ascii="Times New Roman" w:eastAsia="Times New Roman" w:hAnsi="Times New Roman" w:cs="Times New Roman"/>
                <w:sz w:val="20"/>
                <w:szCs w:val="20"/>
                <w:lang w:eastAsia="en-ZA"/>
              </w:rPr>
              <w:t>: e.T153648A4526314. http://dx.doi.org/10.2305/IUCN.UK.2010-3.RLTS.T153648A4526314.en</w:t>
            </w:r>
            <w:r w:rsidRPr="00ED3FD3">
              <w:rPr>
                <w:rFonts w:ascii="Times New Roman" w:eastAsia="Times New Roman" w:hAnsi="Times New Roman" w:cs="Times New Roman"/>
                <w:sz w:val="20"/>
                <w:szCs w:val="20"/>
                <w:u w:val="single"/>
                <w:lang w:eastAsia="en-ZA"/>
              </w:rPr>
              <w:t xml:space="preserve"> </w:t>
            </w:r>
            <w:r w:rsidRPr="00ED3FD3">
              <w:rPr>
                <w:rFonts w:ascii="Times New Roman" w:eastAsia="Times New Roman" w:hAnsi="Times New Roman" w:cs="Times New Roman"/>
                <w:sz w:val="20"/>
                <w:szCs w:val="20"/>
                <w:lang w:eastAsia="en-ZA"/>
              </w:rPr>
              <w:t>[Accessed 31 January 2019].</w:t>
            </w:r>
          </w:p>
        </w:tc>
      </w:tr>
      <w:tr w:rsidR="002D7080" w:rsidRPr="00ED3FD3" w14:paraId="74F5D6B1" w14:textId="77777777" w:rsidTr="002E2C37">
        <w:trPr>
          <w:cantSplit/>
          <w:trHeight w:val="26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CD43B5A" w14:textId="77777777" w:rsidR="002D7080" w:rsidRPr="00ED3FD3" w:rsidRDefault="002D7080" w:rsidP="002E2C37">
            <w:pPr>
              <w:spacing w:after="0" w:line="240" w:lineRule="auto"/>
              <w:rPr>
                <w:rFonts w:ascii="Times New Roman" w:eastAsia="Times New Roman" w:hAnsi="Times New Roman" w:cs="Times New Roman"/>
                <w:sz w:val="20"/>
                <w:szCs w:val="20"/>
                <w:lang w:eastAsia="en-ZA"/>
              </w:rPr>
            </w:pPr>
            <w:r w:rsidRPr="00ED3FD3">
              <w:rPr>
                <w:rFonts w:ascii="Times New Roman" w:eastAsia="Times New Roman" w:hAnsi="Times New Roman" w:cs="Times New Roman"/>
                <w:b/>
                <w:sz w:val="20"/>
                <w:szCs w:val="20"/>
                <w:lang w:eastAsia="en-ZA"/>
              </w:rPr>
              <w:t xml:space="preserve">BAC9 Geographic scope = the </w:t>
            </w:r>
            <w:r w:rsidRPr="00ED3FD3">
              <w:rPr>
                <w:rFonts w:ascii="Times New Roman" w:eastAsia="Times New Roman" w:hAnsi="Times New Roman" w:cs="Times New Roman"/>
                <w:b/>
                <w:i/>
                <w:sz w:val="20"/>
                <w:szCs w:val="20"/>
                <w:lang w:eastAsia="en-ZA"/>
              </w:rPr>
              <w:t>Area</w:t>
            </w:r>
            <w:r w:rsidRPr="00ED3FD3">
              <w:rPr>
                <w:rFonts w:ascii="Times New Roman" w:eastAsia="Times New Roman" w:hAnsi="Times New Roman" w:cs="Times New Roman"/>
                <w:b/>
                <w:sz w:val="20"/>
                <w:szCs w:val="20"/>
                <w:lang w:eastAsia="en-ZA"/>
              </w:rPr>
              <w:t xml:space="preserve"> under consideration</w:t>
            </w:r>
          </w:p>
        </w:tc>
      </w:tr>
      <w:tr w:rsidR="002D7080" w:rsidRPr="00ED3FD3" w14:paraId="50D6837A"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63A2CD4"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i/>
                <w:sz w:val="20"/>
                <w:szCs w:val="20"/>
                <w:lang w:eastAsia="en-ZA"/>
              </w:rPr>
              <w:t>Area</w:t>
            </w:r>
            <w:r w:rsidRPr="00ED3FD3">
              <w:rPr>
                <w:rFonts w:ascii="Times New Roman" w:eastAsia="Times New Roman" w:hAnsi="Times New Roman" w:cs="Times New Roman"/>
                <w:sz w:val="20"/>
                <w:szCs w:val="20"/>
                <w:lang w:eastAsia="en-ZA"/>
              </w:rPr>
              <w:t xml:space="preserve"> of assessment: The geographic scope of this assessment is limited to South Africa.</w:t>
            </w:r>
          </w:p>
        </w:tc>
      </w:tr>
      <w:tr w:rsidR="002D7080" w:rsidRPr="00ED3FD3" w14:paraId="293BC3F0"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07EBD94"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Comments: </w:t>
            </w:r>
          </w:p>
        </w:tc>
      </w:tr>
      <w:tr w:rsidR="002D7080" w:rsidRPr="00ED3FD3" w14:paraId="34B05D5D" w14:textId="77777777" w:rsidTr="002E2C37">
        <w:trPr>
          <w:cantSplit/>
          <w:trHeight w:val="224"/>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4D89A9D" w14:textId="77777777" w:rsidR="002D7080" w:rsidRPr="00ED3FD3" w:rsidRDefault="002D7080" w:rsidP="00CD0B85">
            <w:pPr>
              <w:spacing w:after="0"/>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 xml:space="preserve">BAC10 Is the </w:t>
            </w:r>
            <w:r w:rsidRPr="00ED3FD3">
              <w:rPr>
                <w:rFonts w:ascii="Times New Roman" w:eastAsia="Times New Roman" w:hAnsi="Times New Roman" w:cs="Times New Roman"/>
                <w:b/>
                <w:i/>
                <w:sz w:val="20"/>
                <w:szCs w:val="20"/>
                <w:lang w:eastAsia="en-ZA"/>
              </w:rPr>
              <w:t>Taxon</w:t>
            </w:r>
            <w:r w:rsidRPr="00ED3FD3">
              <w:rPr>
                <w:rFonts w:ascii="Times New Roman" w:eastAsia="Times New Roman" w:hAnsi="Times New Roman" w:cs="Times New Roman"/>
                <w:b/>
                <w:sz w:val="20"/>
                <w:szCs w:val="20"/>
                <w:lang w:eastAsia="en-ZA"/>
              </w:rPr>
              <w:t xml:space="preserve"> present in the </w:t>
            </w:r>
            <w:r w:rsidRPr="00ED3FD3">
              <w:rPr>
                <w:rFonts w:ascii="Times New Roman" w:eastAsia="Times New Roman" w:hAnsi="Times New Roman" w:cs="Times New Roman"/>
                <w:b/>
                <w:i/>
                <w:sz w:val="20"/>
                <w:szCs w:val="20"/>
                <w:lang w:eastAsia="en-ZA"/>
              </w:rPr>
              <w:t>Area</w:t>
            </w:r>
            <w:r w:rsidRPr="00ED3FD3">
              <w:rPr>
                <w:rFonts w:ascii="Times New Roman" w:eastAsia="Times New Roman" w:hAnsi="Times New Roman" w:cs="Times New Roman"/>
                <w:b/>
                <w:sz w:val="20"/>
                <w:szCs w:val="20"/>
                <w:lang w:eastAsia="en-ZA"/>
              </w:rPr>
              <w:t>?</w:t>
            </w:r>
          </w:p>
        </w:tc>
      </w:tr>
      <w:tr w:rsidR="002D7080" w:rsidRPr="00ED3FD3" w14:paraId="29002068" w14:textId="77777777" w:rsidTr="002E2C37">
        <w:trPr>
          <w:cantSplit/>
          <w:trHeight w:val="70"/>
        </w:trPr>
        <w:tc>
          <w:tcPr>
            <w:tcW w:w="6124" w:type="dxa"/>
            <w:gridSpan w:val="3"/>
            <w:tcBorders>
              <w:top w:val="single" w:sz="4" w:space="0" w:color="auto"/>
              <w:left w:val="single" w:sz="4" w:space="0" w:color="auto"/>
              <w:bottom w:val="single" w:sz="4" w:space="0" w:color="auto"/>
              <w:right w:val="single" w:sz="4" w:space="0" w:color="auto"/>
            </w:tcBorders>
            <w:noWrap/>
          </w:tcPr>
          <w:p w14:paraId="6CFA9B04" w14:textId="77777777" w:rsidR="002D7080" w:rsidRPr="00ED3FD3" w:rsidRDefault="002D7080" w:rsidP="00CD0B85">
            <w:pPr>
              <w:spacing w:after="0"/>
              <w:jc w:val="both"/>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sz w:val="20"/>
                <w:szCs w:val="20"/>
                <w:lang w:eastAsia="en-ZA"/>
              </w:rPr>
              <w:t>Response: No</w:t>
            </w:r>
          </w:p>
        </w:tc>
        <w:tc>
          <w:tcPr>
            <w:tcW w:w="2666" w:type="dxa"/>
            <w:tcBorders>
              <w:top w:val="single" w:sz="4" w:space="0" w:color="auto"/>
              <w:left w:val="single" w:sz="4" w:space="0" w:color="auto"/>
              <w:bottom w:val="single" w:sz="4" w:space="0" w:color="auto"/>
              <w:right w:val="single" w:sz="4" w:space="0" w:color="auto"/>
            </w:tcBorders>
          </w:tcPr>
          <w:p w14:paraId="6519C74F" w14:textId="77777777" w:rsidR="002D7080" w:rsidRPr="00ED3FD3" w:rsidRDefault="002D7080" w:rsidP="00CD0B85">
            <w:pPr>
              <w:spacing w:after="0"/>
              <w:jc w:val="both"/>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50CF706E"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4E7EF2E" w14:textId="6C9B60CA"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Comments: There is anecdotal evidence that </w:t>
            </w:r>
            <w:r w:rsidRPr="00ED3FD3">
              <w:rPr>
                <w:rFonts w:ascii="Times New Roman" w:eastAsia="Times New Roman" w:hAnsi="Times New Roman" w:cs="Times New Roman"/>
                <w:i/>
                <w:sz w:val="20"/>
                <w:szCs w:val="20"/>
                <w:lang w:eastAsia="en-ZA"/>
              </w:rPr>
              <w:t>P. leniusculus</w:t>
            </w:r>
            <w:r w:rsidRPr="00ED3FD3">
              <w:rPr>
                <w:rFonts w:ascii="Times New Roman" w:eastAsia="Times New Roman" w:hAnsi="Times New Roman" w:cs="Times New Roman"/>
                <w:sz w:val="20"/>
                <w:szCs w:val="20"/>
                <w:lang w:eastAsia="en-ZA"/>
              </w:rPr>
              <w:t xml:space="preserve"> might be present in the pet trade in South Africa but this needs to be confirmed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"id" : "ITEM-2",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"ITEM-2", "issue" : "2", "issued" : { "date-parts" : [ [ "2002" ] ] }, "page" : "125-139", "title" : "Potential impacts of alien freshwater crayfish in south africa", "type" : "article-journal", "volume" : "27" }, "uris" : [ "http://www.mendeley.com/documents/?uuid=c5c2a256-5d98-4f2f-9b7a-d62d27b07fc1" ] } ], "mendeley" : { "formattedCitation" : "(de Moor 2002, Faulkes 2015)", "plainTextFormattedCitation" : "(de Moor 2002, Faulkes 2015)", "previouslyFormattedCitation" : "(de Moor 2002, Faulkes 2015)"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ED3FD3">
              <w:rPr>
                <w:rFonts w:ascii="Times New Roman" w:eastAsia="Times New Roman" w:hAnsi="Times New Roman" w:cs="Times New Roman"/>
                <w:sz w:val="20"/>
                <w:szCs w:val="20"/>
                <w:lang w:eastAsia="en-ZA"/>
              </w:rPr>
              <w:t xml:space="preserve"> 2002; Faulkes 2015, Mandivanzira et al. 2020)</w:t>
            </w:r>
            <w:r w:rsidRPr="00ED3FD3">
              <w:rPr>
                <w:rFonts w:ascii="Times New Roman" w:eastAsia="Times New Roman" w:hAnsi="Times New Roman" w:cs="Times New Roman"/>
                <w:sz w:val="20"/>
                <w:szCs w:val="20"/>
                <w:lang w:eastAsia="en-ZA"/>
              </w:rPr>
              <w:fldChar w:fldCharType="end"/>
            </w:r>
          </w:p>
        </w:tc>
      </w:tr>
      <w:tr w:rsidR="002D7080" w:rsidRPr="00ED3FD3" w14:paraId="56B57BB5"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4119190F" w14:textId="77777777" w:rsidR="002D7080" w:rsidRPr="00ED3FD3" w:rsidRDefault="002D7080" w:rsidP="00CD0B85">
            <w:pPr>
              <w:spacing w:after="0"/>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7AE319E8" w14:textId="7DD8CCA0" w:rsidR="002D7080" w:rsidRPr="00ED3FD3" w:rsidRDefault="008A0BC6" w:rsidP="00CD0B85">
            <w:pPr>
              <w:widowControl w:val="0"/>
              <w:autoSpaceDE w:val="0"/>
              <w:autoSpaceDN w:val="0"/>
              <w:adjustRightInd w:val="0"/>
              <w:ind w:left="720" w:hanging="720"/>
              <w:contextualSpacing/>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De Moor</w:t>
            </w:r>
            <w:r w:rsidR="002D7080" w:rsidRPr="00ED3FD3">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ED3FD3">
              <w:rPr>
                <w:rFonts w:ascii="Times New Roman" w:eastAsia="Times New Roman" w:hAnsi="Times New Roman" w:cs="Times New Roman"/>
                <w:i/>
                <w:color w:val="000000"/>
                <w:sz w:val="20"/>
                <w:szCs w:val="20"/>
                <w:lang w:eastAsia="en-ZA"/>
              </w:rPr>
              <w:t>African Journal of Aquatic Science</w:t>
            </w:r>
            <w:r w:rsidR="002D7080" w:rsidRPr="00ED3FD3">
              <w:rPr>
                <w:rFonts w:ascii="Times New Roman" w:eastAsia="Times New Roman" w:hAnsi="Times New Roman" w:cs="Times New Roman"/>
                <w:color w:val="000000"/>
                <w:sz w:val="20"/>
                <w:szCs w:val="20"/>
                <w:lang w:eastAsia="en-ZA"/>
              </w:rPr>
              <w:t xml:space="preserve"> 27, 125–139. </w:t>
            </w:r>
            <w:hyperlink r:id="rId424" w:history="1">
              <w:r w:rsidR="00026570" w:rsidRPr="00026570">
                <w:rPr>
                  <w:rStyle w:val="Hyperlink"/>
                  <w:rFonts w:ascii="Times New Roman" w:eastAsia="Times New Roman" w:hAnsi="Times New Roman" w:cs="Times New Roman"/>
                  <w:sz w:val="20"/>
                  <w:szCs w:val="20"/>
                  <w:lang w:eastAsia="en-ZA"/>
                </w:rPr>
                <w:t>https://doi.org/10.2989/16085914.2002.9626584</w:t>
              </w:r>
            </w:hyperlink>
            <w:r w:rsidR="002D7080" w:rsidRPr="00ED3FD3">
              <w:rPr>
                <w:rFonts w:ascii="Times New Roman" w:eastAsia="Times New Roman" w:hAnsi="Times New Roman" w:cs="Times New Roman"/>
                <w:color w:val="000000"/>
                <w:sz w:val="20"/>
                <w:szCs w:val="20"/>
                <w:lang w:eastAsia="en-ZA"/>
              </w:rPr>
              <w:t>.</w:t>
            </w:r>
          </w:p>
          <w:p w14:paraId="7565C1BA" w14:textId="29C3CFE7" w:rsidR="002D7080" w:rsidRPr="00ED3FD3" w:rsidRDefault="002D7080" w:rsidP="00CD0B85">
            <w:pPr>
              <w:spacing w:after="0"/>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Faulkes, Z., 2015, ‘The global trade in crayfish as pets’, </w:t>
            </w:r>
            <w:r w:rsidRPr="00ED3FD3">
              <w:rPr>
                <w:rFonts w:ascii="Times New Roman" w:eastAsia="Times New Roman" w:hAnsi="Times New Roman" w:cs="Times New Roman"/>
                <w:i/>
                <w:iCs/>
                <w:sz w:val="20"/>
                <w:szCs w:val="20"/>
                <w:lang w:eastAsia="en-ZA"/>
              </w:rPr>
              <w:t>Crustacean Research</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44</w:t>
            </w:r>
            <w:r w:rsidRPr="00ED3FD3">
              <w:rPr>
                <w:rFonts w:ascii="Times New Roman" w:eastAsia="Times New Roman" w:hAnsi="Times New Roman" w:cs="Times New Roman"/>
                <w:sz w:val="20"/>
                <w:szCs w:val="20"/>
                <w:lang w:eastAsia="en-ZA"/>
              </w:rPr>
              <w:t xml:space="preserve">, 75–92. </w:t>
            </w:r>
            <w:r w:rsidR="00026570" w:rsidRPr="00026570">
              <w:rPr>
                <w:rFonts w:ascii="Times New Roman" w:hAnsi="Times New Roman" w:cs="Times New Roman"/>
                <w:sz w:val="20"/>
                <w:szCs w:val="20"/>
              </w:rPr>
              <w:t>https://doi.org/10.18353/crustacea.44.0_75</w:t>
            </w:r>
            <w:r w:rsidRPr="00ED3FD3">
              <w:rPr>
                <w:rFonts w:ascii="Times New Roman" w:eastAsia="Times New Roman" w:hAnsi="Times New Roman" w:cs="Times New Roman"/>
                <w:sz w:val="20"/>
                <w:szCs w:val="20"/>
                <w:lang w:eastAsia="en-ZA"/>
              </w:rPr>
              <w:t>.</w:t>
            </w:r>
          </w:p>
          <w:p w14:paraId="5BC604DD" w14:textId="77777777" w:rsidR="002D7080" w:rsidRPr="00C3353C" w:rsidRDefault="002D7080" w:rsidP="00CD0B85">
            <w:pPr>
              <w:ind w:left="720" w:hanging="720"/>
              <w:contextualSpacing/>
              <w:rPr>
                <w:rFonts w:ascii="Times New Roman" w:eastAsia="Times New Roman" w:hAnsi="Times New Roman" w:cs="Times New Roman"/>
                <w:color w:val="000000"/>
                <w:sz w:val="20"/>
                <w:szCs w:val="20"/>
                <w:lang w:eastAsia="en-ZA"/>
              </w:rPr>
            </w:pPr>
            <w:r w:rsidRPr="00ED3FD3">
              <w:rPr>
                <w:rFonts w:ascii="Times New Roman" w:eastAsia="Calibri" w:hAnsi="Times New Roman" w:cs="Times New Roman"/>
                <w:sz w:val="20"/>
                <w:szCs w:val="20"/>
              </w:rPr>
              <w:t>Madzivanzira, T.C., South, J., Wood, L.E., Nunes, A.L.</w:t>
            </w:r>
            <w:r w:rsidRPr="00ED3FD3">
              <w:rPr>
                <w:rFonts w:ascii="Times New Roman" w:eastAsia="Times New Roman" w:hAnsi="Times New Roman" w:cs="Times New Roman"/>
                <w:color w:val="000000"/>
                <w:sz w:val="20"/>
                <w:szCs w:val="20"/>
                <w:lang w:eastAsia="en-ZA"/>
              </w:rPr>
              <w:t xml:space="preserve"> &amp; </w:t>
            </w:r>
            <w:r w:rsidRPr="00ED3FD3">
              <w:rPr>
                <w:rFonts w:ascii="Times New Roman" w:eastAsia="Calibri" w:hAnsi="Times New Roman" w:cs="Times New Roman"/>
                <w:sz w:val="20"/>
                <w:szCs w:val="20"/>
              </w:rPr>
              <w:t xml:space="preserve">Weyl, O.L.F., 2020, ‘A review of freshwater crayfish introductions in Africa’, </w:t>
            </w:r>
            <w:r w:rsidRPr="00ED3FD3">
              <w:rPr>
                <w:rFonts w:ascii="Times New Roman" w:eastAsia="Calibri" w:hAnsi="Times New Roman" w:cs="Times New Roman"/>
                <w:i/>
                <w:sz w:val="20"/>
                <w:szCs w:val="20"/>
              </w:rPr>
              <w:t>Reviews in</w:t>
            </w:r>
            <w:r w:rsidRPr="00ED3FD3">
              <w:rPr>
                <w:rFonts w:ascii="Times New Roman" w:eastAsia="Times New Roman" w:hAnsi="Times New Roman" w:cs="Times New Roman"/>
                <w:i/>
                <w:color w:val="000000"/>
                <w:sz w:val="20"/>
                <w:szCs w:val="20"/>
                <w:lang w:eastAsia="en-ZA"/>
              </w:rPr>
              <w:t xml:space="preserve"> </w:t>
            </w:r>
            <w:r w:rsidRPr="00ED3FD3">
              <w:rPr>
                <w:rFonts w:ascii="Times New Roman" w:eastAsia="Calibri" w:hAnsi="Times New Roman" w:cs="Times New Roman"/>
                <w:i/>
                <w:sz w:val="20"/>
                <w:szCs w:val="20"/>
              </w:rPr>
              <w:t>Fisheries Science &amp; Aquaculture</w:t>
            </w:r>
            <w:r w:rsidRPr="00ED3FD3">
              <w:rPr>
                <w:rFonts w:ascii="Times New Roman" w:eastAsia="Calibri" w:hAnsi="Times New Roman" w:cs="Times New Roman"/>
                <w:sz w:val="20"/>
                <w:szCs w:val="20"/>
              </w:rPr>
              <w:t>,</w:t>
            </w:r>
            <w:r w:rsidRPr="00ED3FD3">
              <w:rPr>
                <w:rFonts w:ascii="Times New Roman" w:eastAsia="Calibri" w:hAnsi="Times New Roman" w:cs="Times New Roman"/>
                <w:i/>
                <w:sz w:val="20"/>
                <w:szCs w:val="20"/>
              </w:rPr>
              <w:t xml:space="preserve"> </w:t>
            </w:r>
            <w:r w:rsidRPr="00ED3FD3">
              <w:rPr>
                <w:rFonts w:ascii="Times New Roman" w:eastAsia="Calibri" w:hAnsi="Times New Roman" w:cs="Times New Roman"/>
                <w:sz w:val="20"/>
                <w:szCs w:val="20"/>
              </w:rPr>
              <w:t xml:space="preserve">1-21, </w:t>
            </w:r>
            <w:r w:rsidRPr="00ED3FD3">
              <w:rPr>
                <w:rFonts w:ascii="Times New Roman" w:eastAsia="Times New Roman" w:hAnsi="Times New Roman" w:cs="Times New Roman"/>
                <w:color w:val="000000"/>
                <w:sz w:val="20"/>
                <w:szCs w:val="20"/>
                <w:lang w:eastAsia="en-ZA"/>
              </w:rPr>
              <w:t>https://doi.org/10.1080/23308249.2020.1802405</w:t>
            </w:r>
            <w:r w:rsidRPr="00ED3FD3">
              <w:rPr>
                <w:rFonts w:ascii="Times New Roman" w:eastAsia="Calibri" w:hAnsi="Times New Roman" w:cs="Times New Roman"/>
                <w:sz w:val="20"/>
                <w:szCs w:val="20"/>
              </w:rPr>
              <w:t>.</w:t>
            </w:r>
          </w:p>
        </w:tc>
      </w:tr>
      <w:tr w:rsidR="002D7080" w:rsidRPr="00ED3FD3" w14:paraId="40301B42" w14:textId="77777777" w:rsidTr="002E2C37">
        <w:trPr>
          <w:cantSplit/>
          <w:trHeight w:val="134"/>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B57BE67" w14:textId="77777777" w:rsidR="002D7080" w:rsidRPr="00ED3FD3" w:rsidRDefault="002D7080" w:rsidP="00CD0B85">
            <w:pPr>
              <w:spacing w:after="0"/>
              <w:rPr>
                <w:rFonts w:ascii="Times New Roman" w:eastAsia="Times New Roman" w:hAnsi="Times New Roman" w:cs="Times New Roman"/>
                <w:sz w:val="20"/>
                <w:szCs w:val="20"/>
                <w:lang w:eastAsia="en-ZA"/>
              </w:rPr>
            </w:pPr>
            <w:r w:rsidRPr="00ED3FD3">
              <w:rPr>
                <w:rFonts w:ascii="Times New Roman" w:eastAsia="Times New Roman" w:hAnsi="Times New Roman" w:cs="Times New Roman"/>
                <w:b/>
                <w:sz w:val="20"/>
                <w:szCs w:val="20"/>
                <w:lang w:eastAsia="en-ZA"/>
              </w:rPr>
              <w:t>BAC11 Availability of physical specimen</w:t>
            </w:r>
          </w:p>
        </w:tc>
      </w:tr>
      <w:tr w:rsidR="002D7080" w:rsidRPr="00ED3FD3" w14:paraId="4F8EEB2B" w14:textId="77777777" w:rsidTr="002E2C37">
        <w:trPr>
          <w:cantSplit/>
          <w:trHeight w:val="70"/>
        </w:trPr>
        <w:tc>
          <w:tcPr>
            <w:tcW w:w="6124" w:type="dxa"/>
            <w:gridSpan w:val="3"/>
            <w:tcBorders>
              <w:top w:val="single" w:sz="4" w:space="0" w:color="auto"/>
              <w:left w:val="single" w:sz="4" w:space="0" w:color="auto"/>
              <w:bottom w:val="single" w:sz="4" w:space="0" w:color="auto"/>
              <w:right w:val="single" w:sz="4" w:space="0" w:color="auto"/>
            </w:tcBorders>
            <w:noWrap/>
          </w:tcPr>
          <w:p w14:paraId="10928267" w14:textId="77777777" w:rsidR="002D7080" w:rsidRPr="00ED3FD3" w:rsidRDefault="002D7080" w:rsidP="00CD0B85">
            <w:pPr>
              <w:spacing w:after="0"/>
              <w:jc w:val="both"/>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sz w:val="20"/>
                <w:szCs w:val="20"/>
                <w:lang w:eastAsia="en-ZA"/>
              </w:rPr>
              <w:t>Response: No specimens available</w:t>
            </w:r>
          </w:p>
        </w:tc>
        <w:tc>
          <w:tcPr>
            <w:tcW w:w="2666" w:type="dxa"/>
            <w:tcBorders>
              <w:top w:val="single" w:sz="4" w:space="0" w:color="auto"/>
              <w:left w:val="single" w:sz="4" w:space="0" w:color="auto"/>
              <w:bottom w:val="single" w:sz="4" w:space="0" w:color="auto"/>
              <w:right w:val="single" w:sz="4" w:space="0" w:color="auto"/>
            </w:tcBorders>
          </w:tcPr>
          <w:p w14:paraId="5FA17193" w14:textId="77777777" w:rsidR="002D7080" w:rsidRPr="00ED3FD3" w:rsidRDefault="002D7080" w:rsidP="00CD0B85">
            <w:pPr>
              <w:spacing w:after="0"/>
              <w:jc w:val="both"/>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sz w:val="20"/>
                <w:szCs w:val="20"/>
                <w:lang w:eastAsia="en-ZA"/>
              </w:rPr>
              <w:t>Confidence in ID:</w:t>
            </w:r>
          </w:p>
        </w:tc>
      </w:tr>
      <w:tr w:rsidR="002D7080" w:rsidRPr="00ED3FD3" w14:paraId="1FEC6C0A" w14:textId="77777777" w:rsidTr="002E2C37">
        <w:trPr>
          <w:cantSplit/>
          <w:trHeight w:val="148"/>
        </w:trPr>
        <w:tc>
          <w:tcPr>
            <w:tcW w:w="8790" w:type="dxa"/>
            <w:gridSpan w:val="4"/>
            <w:tcBorders>
              <w:top w:val="single" w:sz="4" w:space="0" w:color="auto"/>
              <w:left w:val="single" w:sz="4" w:space="0" w:color="auto"/>
              <w:bottom w:val="single" w:sz="4" w:space="0" w:color="auto"/>
              <w:right w:val="single" w:sz="4" w:space="0" w:color="auto"/>
            </w:tcBorders>
            <w:noWrap/>
          </w:tcPr>
          <w:p w14:paraId="38E0B780"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Herbarium or museum accession number:</w:t>
            </w:r>
          </w:p>
        </w:tc>
      </w:tr>
      <w:tr w:rsidR="002D7080" w:rsidRPr="00ED3FD3" w14:paraId="3CDD4330"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4BF97A7F" w14:textId="77777777" w:rsidR="002D7080" w:rsidRPr="00ED3FD3" w:rsidRDefault="002D7080" w:rsidP="00CD0B85">
            <w:pPr>
              <w:spacing w:after="0"/>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tc>
      </w:tr>
      <w:tr w:rsidR="002D7080" w:rsidRPr="00ED3FD3" w14:paraId="0A3DE5F9" w14:textId="77777777" w:rsidTr="002E2C37">
        <w:trPr>
          <w:cantSplit/>
          <w:trHeight w:val="26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F67553E" w14:textId="77777777" w:rsidR="002D7080" w:rsidRPr="00ED3FD3" w:rsidRDefault="002D7080" w:rsidP="00CD0B85">
            <w:pPr>
              <w:spacing w:after="0"/>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 xml:space="preserve">BAC12 Is the </w:t>
            </w:r>
            <w:r w:rsidRPr="00ED3FD3">
              <w:rPr>
                <w:rFonts w:ascii="Times New Roman" w:eastAsia="Times New Roman" w:hAnsi="Times New Roman" w:cs="Times New Roman"/>
                <w:b/>
                <w:i/>
                <w:sz w:val="20"/>
                <w:szCs w:val="20"/>
                <w:lang w:eastAsia="en-ZA"/>
              </w:rPr>
              <w:t>Taxon</w:t>
            </w:r>
            <w:r w:rsidRPr="00ED3FD3">
              <w:rPr>
                <w:rFonts w:ascii="Times New Roman" w:eastAsia="Times New Roman" w:hAnsi="Times New Roman" w:cs="Times New Roman"/>
                <w:b/>
                <w:sz w:val="20"/>
                <w:szCs w:val="20"/>
                <w:lang w:eastAsia="en-ZA"/>
              </w:rPr>
              <w:t xml:space="preserve"> native to the </w:t>
            </w:r>
            <w:r w:rsidRPr="00ED3FD3">
              <w:rPr>
                <w:rFonts w:ascii="Times New Roman" w:eastAsia="Times New Roman" w:hAnsi="Times New Roman" w:cs="Times New Roman"/>
                <w:b/>
                <w:i/>
                <w:sz w:val="20"/>
                <w:szCs w:val="20"/>
                <w:lang w:eastAsia="en-ZA"/>
              </w:rPr>
              <w:t>Area</w:t>
            </w:r>
            <w:r w:rsidRPr="00ED3FD3">
              <w:rPr>
                <w:rFonts w:ascii="Times New Roman" w:eastAsia="Times New Roman" w:hAnsi="Times New Roman" w:cs="Times New Roman"/>
                <w:b/>
                <w:sz w:val="20"/>
                <w:szCs w:val="20"/>
                <w:lang w:eastAsia="en-ZA"/>
              </w:rPr>
              <w:t xml:space="preserve"> or part of the </w:t>
            </w:r>
            <w:r w:rsidRPr="00ED3FD3">
              <w:rPr>
                <w:rFonts w:ascii="Times New Roman" w:eastAsia="Times New Roman" w:hAnsi="Times New Roman" w:cs="Times New Roman"/>
                <w:b/>
                <w:i/>
                <w:sz w:val="20"/>
                <w:szCs w:val="20"/>
                <w:lang w:eastAsia="en-ZA"/>
              </w:rPr>
              <w:t>Area</w:t>
            </w:r>
            <w:r w:rsidRPr="00ED3FD3">
              <w:rPr>
                <w:rFonts w:ascii="Times New Roman" w:eastAsia="Times New Roman" w:hAnsi="Times New Roman" w:cs="Times New Roman"/>
                <w:b/>
                <w:sz w:val="20"/>
                <w:szCs w:val="20"/>
                <w:lang w:eastAsia="en-ZA"/>
              </w:rPr>
              <w:t>?</w:t>
            </w:r>
          </w:p>
        </w:tc>
      </w:tr>
      <w:tr w:rsidR="002D7080" w:rsidRPr="00ED3FD3" w14:paraId="29FE9B17" w14:textId="77777777" w:rsidTr="002E2C37">
        <w:trPr>
          <w:cantSplit/>
          <w:trHeight w:val="7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3AC28A6"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The </w:t>
            </w:r>
            <w:r w:rsidRPr="00ED3FD3">
              <w:rPr>
                <w:rFonts w:ascii="Times New Roman" w:eastAsia="Times New Roman" w:hAnsi="Times New Roman" w:cs="Times New Roman"/>
                <w:i/>
                <w:sz w:val="20"/>
                <w:szCs w:val="20"/>
                <w:lang w:eastAsia="en-ZA"/>
              </w:rPr>
              <w:t>Taxon</w:t>
            </w:r>
            <w:r w:rsidRPr="00ED3FD3">
              <w:rPr>
                <w:rFonts w:ascii="Times New Roman" w:eastAsia="Times New Roman" w:hAnsi="Times New Roman" w:cs="Times New Roman"/>
                <w:sz w:val="20"/>
                <w:szCs w:val="20"/>
                <w:lang w:eastAsia="en-ZA"/>
              </w:rPr>
              <w:t xml:space="preserve"> is native to (part of) the </w:t>
            </w:r>
            <w:r w:rsidRPr="00ED3FD3">
              <w:rPr>
                <w:rFonts w:ascii="Times New Roman" w:eastAsia="Times New Roman" w:hAnsi="Times New Roman" w:cs="Times New Roman"/>
                <w:i/>
                <w:sz w:val="20"/>
                <w:szCs w:val="20"/>
                <w:lang w:eastAsia="en-ZA"/>
              </w:rPr>
              <w:t>Area</w:t>
            </w:r>
            <w:r w:rsidRPr="00ED3FD3">
              <w:rPr>
                <w:rFonts w:ascii="Times New Roman" w:eastAsia="Times New Roman" w:hAnsi="Times New Roman" w:cs="Times New Roman"/>
                <w:sz w:val="20"/>
                <w:szCs w:val="20"/>
                <w:lang w:eastAsia="en-ZA"/>
              </w:rPr>
              <w:t>.</w:t>
            </w:r>
          </w:p>
        </w:tc>
        <w:tc>
          <w:tcPr>
            <w:tcW w:w="2268" w:type="dxa"/>
            <w:tcBorders>
              <w:top w:val="single" w:sz="4" w:space="0" w:color="auto"/>
              <w:left w:val="nil"/>
              <w:bottom w:val="single" w:sz="4" w:space="0" w:color="auto"/>
              <w:right w:val="single" w:sz="4" w:space="0" w:color="auto"/>
            </w:tcBorders>
          </w:tcPr>
          <w:p w14:paraId="7EA01BB4"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No</w:t>
            </w:r>
          </w:p>
        </w:tc>
        <w:tc>
          <w:tcPr>
            <w:tcW w:w="2666" w:type="dxa"/>
            <w:tcBorders>
              <w:top w:val="single" w:sz="4" w:space="0" w:color="auto"/>
              <w:left w:val="nil"/>
              <w:bottom w:val="single" w:sz="4" w:space="0" w:color="auto"/>
              <w:right w:val="single" w:sz="4" w:space="0" w:color="auto"/>
            </w:tcBorders>
          </w:tcPr>
          <w:p w14:paraId="5F53B975"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7A7C5623" w14:textId="77777777" w:rsidTr="002E2C37">
        <w:trPr>
          <w:cantSplit/>
          <w:trHeight w:val="7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790962D"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The </w:t>
            </w:r>
            <w:r w:rsidRPr="00ED3FD3">
              <w:rPr>
                <w:rFonts w:ascii="Times New Roman" w:eastAsia="Times New Roman" w:hAnsi="Times New Roman" w:cs="Times New Roman"/>
                <w:i/>
                <w:sz w:val="20"/>
                <w:szCs w:val="20"/>
                <w:lang w:eastAsia="en-ZA"/>
              </w:rPr>
              <w:t>Taxon</w:t>
            </w:r>
            <w:r w:rsidRPr="00ED3FD3">
              <w:rPr>
                <w:rFonts w:ascii="Times New Roman" w:eastAsia="Times New Roman" w:hAnsi="Times New Roman" w:cs="Times New Roman"/>
                <w:sz w:val="20"/>
                <w:szCs w:val="20"/>
                <w:lang w:eastAsia="en-ZA"/>
              </w:rPr>
              <w:t xml:space="preserve"> is alien in (part of) the </w:t>
            </w:r>
            <w:r w:rsidRPr="00ED3FD3">
              <w:rPr>
                <w:rFonts w:ascii="Times New Roman" w:eastAsia="Times New Roman" w:hAnsi="Times New Roman" w:cs="Times New Roman"/>
                <w:i/>
                <w:sz w:val="20"/>
                <w:szCs w:val="20"/>
                <w:lang w:eastAsia="en-ZA"/>
              </w:rPr>
              <w:t>Area</w:t>
            </w:r>
            <w:r w:rsidRPr="00ED3FD3">
              <w:rPr>
                <w:rFonts w:ascii="Times New Roman" w:eastAsia="Times New Roman" w:hAnsi="Times New Roman" w:cs="Times New Roman"/>
                <w:sz w:val="20"/>
                <w:szCs w:val="20"/>
                <w:lang w:eastAsia="en-ZA"/>
              </w:rPr>
              <w:t>.</w:t>
            </w:r>
          </w:p>
        </w:tc>
        <w:tc>
          <w:tcPr>
            <w:tcW w:w="2268" w:type="dxa"/>
            <w:tcBorders>
              <w:top w:val="single" w:sz="4" w:space="0" w:color="auto"/>
              <w:left w:val="nil"/>
              <w:bottom w:val="single" w:sz="4" w:space="0" w:color="auto"/>
              <w:right w:val="single" w:sz="4" w:space="0" w:color="auto"/>
            </w:tcBorders>
          </w:tcPr>
          <w:p w14:paraId="70DE0780"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Yes</w:t>
            </w:r>
          </w:p>
        </w:tc>
        <w:tc>
          <w:tcPr>
            <w:tcW w:w="2666" w:type="dxa"/>
            <w:tcBorders>
              <w:top w:val="single" w:sz="4" w:space="0" w:color="auto"/>
              <w:left w:val="nil"/>
              <w:bottom w:val="single" w:sz="4" w:space="0" w:color="auto"/>
              <w:right w:val="single" w:sz="4" w:space="0" w:color="auto"/>
            </w:tcBorders>
          </w:tcPr>
          <w:p w14:paraId="10D29A76"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47F9AB7E"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F01828A" w14:textId="03172D45"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Comments: No native freshwater crayfish occur in South Africa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ED3FD3">
              <w:rPr>
                <w:rFonts w:ascii="Times New Roman" w:eastAsia="Times New Roman" w:hAnsi="Times New Roman" w:cs="Times New Roman"/>
                <w:sz w:val="20"/>
                <w:szCs w:val="20"/>
                <w:lang w:eastAsia="en-ZA"/>
              </w:rPr>
              <w:t xml:space="preserve"> 2002; Nunes et al. 2017, Mandivanzira et al. 2020)</w:t>
            </w:r>
            <w:r w:rsidRPr="00ED3FD3">
              <w:rPr>
                <w:rFonts w:ascii="Times New Roman" w:eastAsia="Times New Roman" w:hAnsi="Times New Roman" w:cs="Times New Roman"/>
                <w:sz w:val="20"/>
                <w:szCs w:val="20"/>
                <w:lang w:eastAsia="en-ZA"/>
              </w:rPr>
              <w:fldChar w:fldCharType="end"/>
            </w:r>
          </w:p>
        </w:tc>
      </w:tr>
      <w:tr w:rsidR="002D7080" w:rsidRPr="00ED3FD3" w14:paraId="226EFC98"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5034E5ED" w14:textId="77777777" w:rsidR="002D7080" w:rsidRPr="00ED3FD3" w:rsidRDefault="002D7080" w:rsidP="00CD0B85">
            <w:pPr>
              <w:spacing w:after="0"/>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lastRenderedPageBreak/>
              <w:t>References:</w:t>
            </w:r>
          </w:p>
          <w:p w14:paraId="1865972E" w14:textId="7898DD7C" w:rsidR="002D7080" w:rsidRPr="00ED3FD3" w:rsidRDefault="008A0BC6" w:rsidP="00CD0B85">
            <w:pPr>
              <w:widowControl w:val="0"/>
              <w:autoSpaceDE w:val="0"/>
              <w:autoSpaceDN w:val="0"/>
              <w:adjustRightInd w:val="0"/>
              <w:ind w:left="720" w:hanging="720"/>
              <w:contextualSpacing/>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De Moor</w:t>
            </w:r>
            <w:r w:rsidR="002D7080" w:rsidRPr="00ED3FD3">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ED3FD3">
              <w:rPr>
                <w:rFonts w:ascii="Times New Roman" w:eastAsia="Times New Roman" w:hAnsi="Times New Roman" w:cs="Times New Roman"/>
                <w:i/>
                <w:color w:val="000000"/>
                <w:sz w:val="20"/>
                <w:szCs w:val="20"/>
                <w:lang w:eastAsia="en-ZA"/>
              </w:rPr>
              <w:t>African Journal of Aquatic Science</w:t>
            </w:r>
            <w:r w:rsidR="002D7080" w:rsidRPr="00ED3FD3">
              <w:rPr>
                <w:rFonts w:ascii="Times New Roman" w:eastAsia="Times New Roman" w:hAnsi="Times New Roman" w:cs="Times New Roman"/>
                <w:color w:val="000000"/>
                <w:sz w:val="20"/>
                <w:szCs w:val="20"/>
                <w:lang w:eastAsia="en-ZA"/>
              </w:rPr>
              <w:t xml:space="preserve"> 27, 125–139. </w:t>
            </w:r>
            <w:hyperlink r:id="rId425" w:history="1">
              <w:r w:rsidR="00026570" w:rsidRPr="00026570">
                <w:rPr>
                  <w:rStyle w:val="Hyperlink"/>
                  <w:rFonts w:ascii="Times New Roman" w:eastAsia="Times New Roman" w:hAnsi="Times New Roman" w:cs="Times New Roman"/>
                  <w:sz w:val="20"/>
                  <w:szCs w:val="20"/>
                  <w:lang w:eastAsia="en-ZA"/>
                </w:rPr>
                <w:t>https://doi.org/10.2989/16085914.2002.9626584</w:t>
              </w:r>
            </w:hyperlink>
            <w:r w:rsidR="002D7080" w:rsidRPr="00ED3FD3">
              <w:rPr>
                <w:rFonts w:ascii="Times New Roman" w:eastAsia="Times New Roman" w:hAnsi="Times New Roman" w:cs="Times New Roman"/>
                <w:color w:val="000000"/>
                <w:sz w:val="20"/>
                <w:szCs w:val="20"/>
                <w:lang w:eastAsia="en-ZA"/>
              </w:rPr>
              <w:t>.</w:t>
            </w:r>
          </w:p>
          <w:p w14:paraId="0C6590A3" w14:textId="77777777" w:rsidR="002D7080" w:rsidRPr="00ED3FD3" w:rsidRDefault="002D7080" w:rsidP="00CD0B85">
            <w:pPr>
              <w:spacing w:after="0"/>
              <w:ind w:left="720" w:hanging="720"/>
              <w:rPr>
                <w:rFonts w:ascii="Times New Roman" w:eastAsia="Times New Roman" w:hAnsi="Times New Roman" w:cs="Times New Roman"/>
                <w:color w:val="000000"/>
                <w:sz w:val="20"/>
                <w:szCs w:val="20"/>
                <w:lang w:eastAsia="en-ZA"/>
              </w:rPr>
            </w:pPr>
            <w:r w:rsidRPr="00ED3FD3">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ED3FD3">
              <w:rPr>
                <w:rFonts w:ascii="Times New Roman" w:eastAsia="Times New Roman" w:hAnsi="Times New Roman" w:cs="Times New Roman"/>
                <w:i/>
                <w:color w:val="000000"/>
                <w:sz w:val="20"/>
                <w:szCs w:val="20"/>
                <w:lang w:eastAsia="en-ZA"/>
              </w:rPr>
              <w:t>African Journal of Aquatic Science</w:t>
            </w:r>
            <w:r w:rsidRPr="00ED3FD3">
              <w:rPr>
                <w:rFonts w:ascii="Times New Roman" w:eastAsia="Times New Roman" w:hAnsi="Times New Roman" w:cs="Times New Roman"/>
                <w:color w:val="000000"/>
                <w:sz w:val="20"/>
                <w:szCs w:val="20"/>
                <w:lang w:eastAsia="en-ZA"/>
              </w:rPr>
              <w:t xml:space="preserve"> 42, 309–323. </w:t>
            </w:r>
            <w:hyperlink w:history="1">
              <w:r w:rsidRPr="00ED3FD3">
                <w:rPr>
                  <w:rStyle w:val="Hyperlink"/>
                  <w:rFonts w:ascii="Times New Roman" w:eastAsia="Times New Roman" w:hAnsi="Times New Roman" w:cs="Times New Roman"/>
                  <w:sz w:val="20"/>
                  <w:szCs w:val="20"/>
                  <w:lang w:eastAsia="en-ZA"/>
                </w:rPr>
                <w:t>https://doi.org/10.2989/16085914.2017.1405788</w:t>
              </w:r>
            </w:hyperlink>
            <w:r w:rsidRPr="00ED3FD3">
              <w:rPr>
                <w:rFonts w:ascii="Times New Roman" w:eastAsia="Times New Roman" w:hAnsi="Times New Roman" w:cs="Times New Roman"/>
                <w:color w:val="000000"/>
                <w:sz w:val="20"/>
                <w:szCs w:val="20"/>
                <w:lang w:eastAsia="en-ZA"/>
              </w:rPr>
              <w:t>.</w:t>
            </w:r>
          </w:p>
          <w:p w14:paraId="2F6A7749" w14:textId="77777777" w:rsidR="002D7080" w:rsidRPr="00E0373A" w:rsidRDefault="002D7080" w:rsidP="00CD0B85">
            <w:pPr>
              <w:ind w:left="720" w:hanging="720"/>
              <w:contextualSpacing/>
              <w:rPr>
                <w:rFonts w:ascii="Times New Roman" w:eastAsia="Times New Roman" w:hAnsi="Times New Roman" w:cs="Times New Roman"/>
                <w:color w:val="000000"/>
                <w:sz w:val="20"/>
                <w:szCs w:val="20"/>
                <w:lang w:eastAsia="en-ZA"/>
              </w:rPr>
            </w:pPr>
            <w:r w:rsidRPr="00ED3FD3">
              <w:rPr>
                <w:rFonts w:ascii="Times New Roman" w:eastAsia="Calibri" w:hAnsi="Times New Roman" w:cs="Times New Roman"/>
                <w:sz w:val="20"/>
                <w:szCs w:val="20"/>
              </w:rPr>
              <w:t>Madzivanzira, T.C., South, J., Wood, L.E., Nunes, A.L.</w:t>
            </w:r>
            <w:r w:rsidRPr="00ED3FD3">
              <w:rPr>
                <w:rFonts w:ascii="Times New Roman" w:eastAsia="Times New Roman" w:hAnsi="Times New Roman" w:cs="Times New Roman"/>
                <w:color w:val="000000"/>
                <w:sz w:val="20"/>
                <w:szCs w:val="20"/>
                <w:lang w:eastAsia="en-ZA"/>
              </w:rPr>
              <w:t xml:space="preserve"> &amp; </w:t>
            </w:r>
            <w:r w:rsidRPr="00ED3FD3">
              <w:rPr>
                <w:rFonts w:ascii="Times New Roman" w:eastAsia="Calibri" w:hAnsi="Times New Roman" w:cs="Times New Roman"/>
                <w:sz w:val="20"/>
                <w:szCs w:val="20"/>
              </w:rPr>
              <w:t xml:space="preserve">Weyl, O.L.F., 2020, ‘A review of freshwater crayfish introductions in Africa’, </w:t>
            </w:r>
            <w:r w:rsidRPr="00ED3FD3">
              <w:rPr>
                <w:rFonts w:ascii="Times New Roman" w:eastAsia="Calibri" w:hAnsi="Times New Roman" w:cs="Times New Roman"/>
                <w:i/>
                <w:sz w:val="20"/>
                <w:szCs w:val="20"/>
              </w:rPr>
              <w:t>Reviews in</w:t>
            </w:r>
            <w:r w:rsidRPr="00ED3FD3">
              <w:rPr>
                <w:rFonts w:ascii="Times New Roman" w:eastAsia="Times New Roman" w:hAnsi="Times New Roman" w:cs="Times New Roman"/>
                <w:i/>
                <w:color w:val="000000"/>
                <w:sz w:val="20"/>
                <w:szCs w:val="20"/>
                <w:lang w:eastAsia="en-ZA"/>
              </w:rPr>
              <w:t xml:space="preserve"> </w:t>
            </w:r>
            <w:r w:rsidRPr="00ED3FD3">
              <w:rPr>
                <w:rFonts w:ascii="Times New Roman" w:eastAsia="Calibri" w:hAnsi="Times New Roman" w:cs="Times New Roman"/>
                <w:i/>
                <w:sz w:val="20"/>
                <w:szCs w:val="20"/>
              </w:rPr>
              <w:t>Fisheries Science &amp; Aquaculture</w:t>
            </w:r>
            <w:r w:rsidRPr="00ED3FD3">
              <w:rPr>
                <w:rFonts w:ascii="Times New Roman" w:eastAsia="Calibri" w:hAnsi="Times New Roman" w:cs="Times New Roman"/>
                <w:sz w:val="20"/>
                <w:szCs w:val="20"/>
              </w:rPr>
              <w:t>,</w:t>
            </w:r>
            <w:r w:rsidRPr="00ED3FD3">
              <w:rPr>
                <w:rFonts w:ascii="Times New Roman" w:eastAsia="Calibri" w:hAnsi="Times New Roman" w:cs="Times New Roman"/>
                <w:i/>
                <w:sz w:val="20"/>
                <w:szCs w:val="20"/>
              </w:rPr>
              <w:t xml:space="preserve"> </w:t>
            </w:r>
            <w:r w:rsidRPr="00ED3FD3">
              <w:rPr>
                <w:rFonts w:ascii="Times New Roman" w:eastAsia="Calibri" w:hAnsi="Times New Roman" w:cs="Times New Roman"/>
                <w:sz w:val="20"/>
                <w:szCs w:val="20"/>
              </w:rPr>
              <w:t xml:space="preserve">1-21, </w:t>
            </w:r>
            <w:r w:rsidRPr="00ED3FD3">
              <w:rPr>
                <w:rFonts w:ascii="Times New Roman" w:eastAsia="Times New Roman" w:hAnsi="Times New Roman" w:cs="Times New Roman"/>
                <w:color w:val="000000"/>
                <w:sz w:val="20"/>
                <w:szCs w:val="20"/>
                <w:lang w:eastAsia="en-ZA"/>
              </w:rPr>
              <w:t>https://doi.org/10.1080/23308249.2020.1802405</w:t>
            </w:r>
            <w:r w:rsidRPr="00ED3FD3">
              <w:rPr>
                <w:rFonts w:ascii="Times New Roman" w:eastAsia="Calibri" w:hAnsi="Times New Roman" w:cs="Times New Roman"/>
                <w:sz w:val="20"/>
                <w:szCs w:val="20"/>
              </w:rPr>
              <w:t>.</w:t>
            </w:r>
          </w:p>
        </w:tc>
      </w:tr>
      <w:tr w:rsidR="002D7080" w:rsidRPr="00ED3FD3" w14:paraId="3B6A48E7" w14:textId="77777777" w:rsidTr="002E2C37">
        <w:trPr>
          <w:cantSplit/>
          <w:trHeight w:val="224"/>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6DD1B3A" w14:textId="77777777" w:rsidR="002D7080" w:rsidRPr="00ED3FD3" w:rsidRDefault="002D7080" w:rsidP="00CD0B85">
            <w:pPr>
              <w:spacing w:after="0"/>
              <w:rPr>
                <w:rFonts w:ascii="Times New Roman" w:eastAsia="Times New Roman" w:hAnsi="Times New Roman" w:cs="Times New Roman"/>
                <w:sz w:val="20"/>
                <w:szCs w:val="20"/>
                <w:lang w:eastAsia="en-ZA"/>
              </w:rPr>
            </w:pPr>
            <w:r w:rsidRPr="00ED3FD3">
              <w:rPr>
                <w:rFonts w:ascii="Times New Roman" w:eastAsia="Times New Roman" w:hAnsi="Times New Roman" w:cs="Times New Roman"/>
                <w:b/>
                <w:sz w:val="20"/>
                <w:szCs w:val="20"/>
                <w:lang w:eastAsia="en-ZA"/>
              </w:rPr>
              <w:t xml:space="preserve">BAC13 What is the </w:t>
            </w:r>
            <w:r w:rsidRPr="00ED3FD3">
              <w:rPr>
                <w:rFonts w:ascii="Times New Roman" w:eastAsia="Times New Roman" w:hAnsi="Times New Roman" w:cs="Times New Roman"/>
                <w:b/>
                <w:i/>
                <w:sz w:val="20"/>
                <w:szCs w:val="20"/>
                <w:lang w:eastAsia="en-ZA"/>
              </w:rPr>
              <w:t>Taxon</w:t>
            </w:r>
            <w:r w:rsidRPr="00ED3FD3">
              <w:rPr>
                <w:rFonts w:ascii="Times New Roman" w:eastAsia="Times New Roman" w:hAnsi="Times New Roman" w:cs="Times New Roman"/>
                <w:b/>
                <w:sz w:val="20"/>
                <w:szCs w:val="20"/>
                <w:lang w:eastAsia="en-ZA"/>
              </w:rPr>
              <w:t xml:space="preserve">’s introduction status in the </w:t>
            </w:r>
            <w:r w:rsidRPr="00ED3FD3">
              <w:rPr>
                <w:rFonts w:ascii="Times New Roman" w:eastAsia="Times New Roman" w:hAnsi="Times New Roman" w:cs="Times New Roman"/>
                <w:b/>
                <w:i/>
                <w:sz w:val="20"/>
                <w:szCs w:val="20"/>
                <w:lang w:eastAsia="en-ZA"/>
              </w:rPr>
              <w:t>Area</w:t>
            </w:r>
            <w:r w:rsidRPr="00ED3FD3">
              <w:rPr>
                <w:rFonts w:ascii="Times New Roman" w:eastAsia="Times New Roman" w:hAnsi="Times New Roman" w:cs="Times New Roman"/>
                <w:b/>
                <w:sz w:val="20"/>
                <w:szCs w:val="20"/>
                <w:lang w:eastAsia="en-ZA"/>
              </w:rPr>
              <w:t>?</w:t>
            </w:r>
          </w:p>
        </w:tc>
      </w:tr>
      <w:tr w:rsidR="002D7080" w:rsidRPr="00ED3FD3" w14:paraId="155B3BE7" w14:textId="77777777" w:rsidTr="002E2C37">
        <w:trPr>
          <w:cantSplit/>
          <w:trHeight w:val="90"/>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77B8EAC"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The </w:t>
            </w:r>
            <w:r w:rsidRPr="00ED3FD3">
              <w:rPr>
                <w:rFonts w:ascii="Times New Roman" w:eastAsia="Times New Roman" w:hAnsi="Times New Roman" w:cs="Times New Roman"/>
                <w:i/>
                <w:sz w:val="20"/>
                <w:szCs w:val="20"/>
                <w:lang w:eastAsia="en-ZA"/>
              </w:rPr>
              <w:t>Taxon</w:t>
            </w:r>
            <w:r w:rsidRPr="00ED3FD3">
              <w:rPr>
                <w:rFonts w:ascii="Times New Roman" w:eastAsia="Times New Roman" w:hAnsi="Times New Roman" w:cs="Times New Roman"/>
                <w:sz w:val="20"/>
                <w:szCs w:val="20"/>
                <w:lang w:eastAsia="en-ZA"/>
              </w:rPr>
              <w:t xml:space="preserve"> is in cultivation/containment.</w:t>
            </w:r>
          </w:p>
        </w:tc>
        <w:tc>
          <w:tcPr>
            <w:tcW w:w="2268" w:type="dxa"/>
            <w:tcBorders>
              <w:top w:val="single" w:sz="4" w:space="0" w:color="auto"/>
              <w:left w:val="single" w:sz="4" w:space="0" w:color="auto"/>
              <w:bottom w:val="single" w:sz="4" w:space="0" w:color="auto"/>
              <w:right w:val="single" w:sz="4" w:space="0" w:color="auto"/>
            </w:tcBorders>
          </w:tcPr>
          <w:p w14:paraId="5A1D44A2"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Don’t know</w:t>
            </w:r>
          </w:p>
        </w:tc>
        <w:tc>
          <w:tcPr>
            <w:tcW w:w="2666" w:type="dxa"/>
            <w:tcBorders>
              <w:top w:val="single" w:sz="4" w:space="0" w:color="auto"/>
              <w:left w:val="single" w:sz="4" w:space="0" w:color="auto"/>
              <w:bottom w:val="single" w:sz="4" w:space="0" w:color="auto"/>
              <w:right w:val="single" w:sz="4" w:space="0" w:color="auto"/>
            </w:tcBorders>
          </w:tcPr>
          <w:p w14:paraId="2FDEE746"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7737A9AA" w14:textId="77777777" w:rsidTr="002E2C37">
        <w:trPr>
          <w:cantSplit/>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815CDBB"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The </w:t>
            </w:r>
            <w:r w:rsidRPr="00ED3FD3">
              <w:rPr>
                <w:rFonts w:ascii="Times New Roman" w:eastAsia="Times New Roman" w:hAnsi="Times New Roman" w:cs="Times New Roman"/>
                <w:i/>
                <w:sz w:val="20"/>
                <w:szCs w:val="20"/>
                <w:lang w:eastAsia="en-ZA"/>
              </w:rPr>
              <w:t>Taxon</w:t>
            </w:r>
            <w:r w:rsidRPr="00ED3FD3">
              <w:rPr>
                <w:rFonts w:ascii="Times New Roman" w:eastAsia="Times New Roman" w:hAnsi="Times New Roman" w:cs="Times New Roman"/>
                <w:sz w:val="20"/>
                <w:szCs w:val="20"/>
                <w:lang w:eastAsia="en-ZA"/>
              </w:rPr>
              <w:t xml:space="preserve"> is present outside of cultivation/containment.</w:t>
            </w:r>
          </w:p>
        </w:tc>
        <w:tc>
          <w:tcPr>
            <w:tcW w:w="2268" w:type="dxa"/>
            <w:tcBorders>
              <w:top w:val="single" w:sz="4" w:space="0" w:color="auto"/>
              <w:left w:val="single" w:sz="4" w:space="0" w:color="auto"/>
              <w:bottom w:val="single" w:sz="4" w:space="0" w:color="auto"/>
              <w:right w:val="single" w:sz="4" w:space="0" w:color="auto"/>
            </w:tcBorders>
          </w:tcPr>
          <w:p w14:paraId="27825D58"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Don’t know</w:t>
            </w:r>
          </w:p>
        </w:tc>
        <w:tc>
          <w:tcPr>
            <w:tcW w:w="2666" w:type="dxa"/>
            <w:tcBorders>
              <w:top w:val="single" w:sz="4" w:space="0" w:color="auto"/>
              <w:left w:val="single" w:sz="4" w:space="0" w:color="auto"/>
              <w:bottom w:val="single" w:sz="4" w:space="0" w:color="auto"/>
              <w:right w:val="single" w:sz="4" w:space="0" w:color="auto"/>
            </w:tcBorders>
          </w:tcPr>
          <w:p w14:paraId="4F43CDB6"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18C4C6E6" w14:textId="77777777" w:rsidTr="002E2C37">
        <w:trPr>
          <w:cantSplit/>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D74C3D6"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The </w:t>
            </w:r>
            <w:r w:rsidRPr="00ED3FD3">
              <w:rPr>
                <w:rFonts w:ascii="Times New Roman" w:eastAsia="Times New Roman" w:hAnsi="Times New Roman" w:cs="Times New Roman"/>
                <w:i/>
                <w:sz w:val="20"/>
                <w:szCs w:val="20"/>
                <w:lang w:eastAsia="en-ZA"/>
              </w:rPr>
              <w:t>Taxon</w:t>
            </w:r>
            <w:r w:rsidRPr="00ED3FD3">
              <w:rPr>
                <w:rFonts w:ascii="Times New Roman" w:eastAsia="Times New Roman" w:hAnsi="Times New Roman" w:cs="Times New Roman"/>
                <w:sz w:val="20"/>
                <w:szCs w:val="20"/>
                <w:lang w:eastAsia="en-ZA"/>
              </w:rPr>
              <w:t xml:space="preserve"> has established/naturalised.</w:t>
            </w:r>
          </w:p>
        </w:tc>
        <w:tc>
          <w:tcPr>
            <w:tcW w:w="2268" w:type="dxa"/>
            <w:tcBorders>
              <w:top w:val="single" w:sz="4" w:space="0" w:color="auto"/>
              <w:left w:val="single" w:sz="4" w:space="0" w:color="auto"/>
              <w:bottom w:val="single" w:sz="4" w:space="0" w:color="auto"/>
              <w:right w:val="single" w:sz="4" w:space="0" w:color="auto"/>
            </w:tcBorders>
          </w:tcPr>
          <w:p w14:paraId="7389C3ED"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No</w:t>
            </w:r>
          </w:p>
        </w:tc>
        <w:tc>
          <w:tcPr>
            <w:tcW w:w="2666" w:type="dxa"/>
            <w:tcBorders>
              <w:top w:val="single" w:sz="4" w:space="0" w:color="auto"/>
              <w:left w:val="single" w:sz="4" w:space="0" w:color="auto"/>
              <w:bottom w:val="single" w:sz="4" w:space="0" w:color="auto"/>
              <w:right w:val="single" w:sz="4" w:space="0" w:color="auto"/>
            </w:tcBorders>
          </w:tcPr>
          <w:p w14:paraId="072E5D7A"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5D3E9B93" w14:textId="77777777" w:rsidTr="002E2C37">
        <w:trPr>
          <w:cantSplit/>
          <w:trHeight w:val="87"/>
        </w:trPr>
        <w:tc>
          <w:tcPr>
            <w:tcW w:w="385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00F1429"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The </w:t>
            </w:r>
            <w:r w:rsidRPr="00ED3FD3">
              <w:rPr>
                <w:rFonts w:ascii="Times New Roman" w:eastAsia="Times New Roman" w:hAnsi="Times New Roman" w:cs="Times New Roman"/>
                <w:i/>
                <w:sz w:val="20"/>
                <w:szCs w:val="20"/>
                <w:lang w:eastAsia="en-ZA"/>
              </w:rPr>
              <w:t>Taxon</w:t>
            </w:r>
            <w:r w:rsidRPr="00ED3FD3">
              <w:rPr>
                <w:rFonts w:ascii="Times New Roman" w:eastAsia="Times New Roman" w:hAnsi="Times New Roman" w:cs="Times New Roman"/>
                <w:sz w:val="20"/>
                <w:szCs w:val="20"/>
                <w:lang w:eastAsia="en-ZA"/>
              </w:rPr>
              <w:t xml:space="preserve"> is invasive.</w:t>
            </w:r>
          </w:p>
        </w:tc>
        <w:tc>
          <w:tcPr>
            <w:tcW w:w="2268" w:type="dxa"/>
            <w:tcBorders>
              <w:top w:val="single" w:sz="4" w:space="0" w:color="auto"/>
              <w:left w:val="single" w:sz="4" w:space="0" w:color="auto"/>
              <w:bottom w:val="single" w:sz="4" w:space="0" w:color="auto"/>
              <w:right w:val="single" w:sz="4" w:space="0" w:color="auto"/>
            </w:tcBorders>
          </w:tcPr>
          <w:p w14:paraId="6D8541FB"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No</w:t>
            </w:r>
          </w:p>
        </w:tc>
        <w:tc>
          <w:tcPr>
            <w:tcW w:w="2666" w:type="dxa"/>
            <w:tcBorders>
              <w:top w:val="single" w:sz="4" w:space="0" w:color="auto"/>
              <w:left w:val="single" w:sz="4" w:space="0" w:color="auto"/>
              <w:bottom w:val="single" w:sz="4" w:space="0" w:color="auto"/>
              <w:right w:val="single" w:sz="4" w:space="0" w:color="auto"/>
            </w:tcBorders>
          </w:tcPr>
          <w:p w14:paraId="2C413943"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3B31047E"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45E3473F" w14:textId="143C5AB4" w:rsidR="002D7080" w:rsidRPr="00ED3FD3" w:rsidRDefault="002D7080" w:rsidP="00CD0B85">
            <w:pPr>
              <w:spacing w:after="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Comments: There are only records for the introduction of the following freshwater crayfish species in South Africa: </w:t>
            </w:r>
            <w:r w:rsidRPr="00ED3FD3">
              <w:rPr>
                <w:rFonts w:ascii="Times New Roman" w:eastAsia="Times New Roman" w:hAnsi="Times New Roman" w:cs="Times New Roman"/>
                <w:i/>
                <w:sz w:val="20"/>
                <w:szCs w:val="20"/>
                <w:lang w:eastAsia="en-ZA"/>
              </w:rPr>
              <w:t>Cherax destructor</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
                <w:sz w:val="20"/>
                <w:szCs w:val="20"/>
                <w:lang w:eastAsia="en-ZA"/>
              </w:rPr>
              <w:t>C. cainii</w:t>
            </w:r>
            <w:r w:rsidRPr="00ED3FD3">
              <w:rPr>
                <w:rFonts w:ascii="Times New Roman" w:eastAsia="Times New Roman" w:hAnsi="Times New Roman" w:cs="Times New Roman"/>
                <w:iCs/>
                <w:sz w:val="20"/>
                <w:szCs w:val="20"/>
                <w:lang w:eastAsia="en-ZA"/>
              </w:rPr>
              <w:t xml:space="preserve">, </w:t>
            </w:r>
            <w:r w:rsidRPr="00ED3FD3">
              <w:rPr>
                <w:rFonts w:ascii="Times New Roman" w:eastAsia="Times New Roman" w:hAnsi="Times New Roman" w:cs="Times New Roman"/>
                <w:i/>
                <w:sz w:val="20"/>
                <w:szCs w:val="20"/>
                <w:lang w:eastAsia="en-ZA"/>
              </w:rPr>
              <w:t>C. tenuimanus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
                <w:sz w:val="20"/>
                <w:szCs w:val="20"/>
                <w:lang w:eastAsia="en-ZA"/>
              </w:rPr>
              <w:t>C. quadricarinatus</w:t>
            </w:r>
            <w:r w:rsidRPr="00ED3FD3">
              <w:rPr>
                <w:rFonts w:ascii="Times New Roman" w:eastAsia="Times New Roman" w:hAnsi="Times New Roman" w:cs="Times New Roman"/>
                <w:sz w:val="20"/>
                <w:szCs w:val="20"/>
                <w:lang w:eastAsia="en-ZA"/>
              </w:rPr>
              <w:t xml:space="preserve">, and </w:t>
            </w:r>
            <w:r w:rsidRPr="00ED3FD3">
              <w:rPr>
                <w:rFonts w:ascii="Times New Roman" w:eastAsia="Times New Roman" w:hAnsi="Times New Roman" w:cs="Times New Roman"/>
                <w:i/>
                <w:sz w:val="20"/>
                <w:szCs w:val="20"/>
                <w:lang w:eastAsia="en-ZA"/>
              </w:rPr>
              <w:t xml:space="preserve">Procambarus clarkii </w:t>
            </w:r>
            <w:r w:rsidRPr="00ED3FD3">
              <w:rPr>
                <w:rFonts w:ascii="Times New Roman" w:eastAsia="Times New Roman" w:hAnsi="Times New Roman" w:cs="Times New Roman"/>
                <w:i/>
                <w:sz w:val="20"/>
                <w:szCs w:val="20"/>
                <w:lang w:eastAsia="en-ZA"/>
              </w:rPr>
              <w:fldChar w:fldCharType="begin" w:fldLock="1"/>
            </w:r>
            <w:r w:rsidRPr="00ED3FD3">
              <w:rPr>
                <w:rFonts w:ascii="Times New Roman" w:eastAsia="Times New Roman" w:hAnsi="Times New Roman" w:cs="Times New Roman"/>
                <w:i/>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ED3FD3">
              <w:rPr>
                <w:rFonts w:ascii="Times New Roman" w:eastAsia="Times New Roman" w:hAnsi="Times New Roman" w:cs="Times New Roman"/>
                <w:i/>
                <w:sz w:val="20"/>
                <w:szCs w:val="20"/>
                <w:lang w:eastAsia="en-ZA"/>
              </w:rPr>
              <w:fldChar w:fldCharType="separate"/>
            </w:r>
            <w:r w:rsidRPr="00ED3FD3">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ED3FD3">
              <w:rPr>
                <w:rFonts w:ascii="Times New Roman" w:eastAsia="Times New Roman" w:hAnsi="Times New Roman" w:cs="Times New Roman"/>
                <w:sz w:val="20"/>
                <w:szCs w:val="20"/>
                <w:lang w:eastAsia="en-ZA"/>
              </w:rPr>
              <w:t xml:space="preserve"> 2002; Nunes et al. 2017)</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There is however  some anecdotal that </w:t>
            </w:r>
            <w:r w:rsidRPr="00ED3FD3">
              <w:rPr>
                <w:rFonts w:ascii="Times New Roman" w:eastAsia="Times New Roman" w:hAnsi="Times New Roman" w:cs="Times New Roman"/>
                <w:i/>
                <w:iCs/>
                <w:sz w:val="20"/>
                <w:szCs w:val="20"/>
                <w:lang w:eastAsia="en-ZA"/>
              </w:rPr>
              <w:t xml:space="preserve">Pacifastacus leniusculus </w:t>
            </w:r>
            <w:r w:rsidRPr="00ED3FD3">
              <w:rPr>
                <w:rFonts w:ascii="Times New Roman" w:eastAsia="Times New Roman" w:hAnsi="Times New Roman" w:cs="Times New Roman"/>
                <w:sz w:val="20"/>
                <w:szCs w:val="20"/>
                <w:lang w:eastAsia="en-ZA"/>
              </w:rPr>
              <w:t>might be present in the pet trade in South Africa but this needs to be verified (Nunes et al. 2017, Mandivanzira et al. 2020).</w:t>
            </w:r>
          </w:p>
        </w:tc>
      </w:tr>
      <w:tr w:rsidR="002D7080" w:rsidRPr="00ED3FD3" w14:paraId="284D8DB9"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62862FFC" w14:textId="77777777" w:rsidR="002D7080" w:rsidRPr="00ED3FD3" w:rsidRDefault="002D7080" w:rsidP="00CD0B85">
            <w:pPr>
              <w:spacing w:after="0"/>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50EBCB0F" w14:textId="77C2B07A" w:rsidR="002D7080" w:rsidRPr="00ED3FD3" w:rsidRDefault="008A0BC6" w:rsidP="00CD0B85">
            <w:pPr>
              <w:widowControl w:val="0"/>
              <w:autoSpaceDE w:val="0"/>
              <w:autoSpaceDN w:val="0"/>
              <w:adjustRightInd w:val="0"/>
              <w:ind w:left="720" w:hanging="720"/>
              <w:contextualSpacing/>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De Moor</w:t>
            </w:r>
            <w:r w:rsidR="002D7080" w:rsidRPr="00ED3FD3">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ED3FD3">
              <w:rPr>
                <w:rFonts w:ascii="Times New Roman" w:eastAsia="Times New Roman" w:hAnsi="Times New Roman" w:cs="Times New Roman"/>
                <w:i/>
                <w:color w:val="000000"/>
                <w:sz w:val="20"/>
                <w:szCs w:val="20"/>
                <w:lang w:eastAsia="en-ZA"/>
              </w:rPr>
              <w:t>African Journal of Aquatic Science</w:t>
            </w:r>
            <w:r w:rsidR="002D7080" w:rsidRPr="00ED3FD3">
              <w:rPr>
                <w:rFonts w:ascii="Times New Roman" w:eastAsia="Times New Roman" w:hAnsi="Times New Roman" w:cs="Times New Roman"/>
                <w:color w:val="000000"/>
                <w:sz w:val="20"/>
                <w:szCs w:val="20"/>
                <w:lang w:eastAsia="en-ZA"/>
              </w:rPr>
              <w:t xml:space="preserve"> 27, 125–139. </w:t>
            </w:r>
            <w:hyperlink r:id="rId426" w:history="1">
              <w:r w:rsidR="00026570" w:rsidRPr="00026570">
                <w:rPr>
                  <w:rStyle w:val="Hyperlink"/>
                  <w:rFonts w:ascii="Times New Roman" w:eastAsia="Times New Roman" w:hAnsi="Times New Roman" w:cs="Times New Roman"/>
                  <w:sz w:val="20"/>
                  <w:szCs w:val="20"/>
                  <w:lang w:eastAsia="en-ZA"/>
                </w:rPr>
                <w:t>https://doi.org/10.2989/16085914.2002.9626584</w:t>
              </w:r>
            </w:hyperlink>
            <w:r w:rsidR="002D7080" w:rsidRPr="00ED3FD3">
              <w:rPr>
                <w:rFonts w:ascii="Times New Roman" w:eastAsia="Times New Roman" w:hAnsi="Times New Roman" w:cs="Times New Roman"/>
                <w:color w:val="000000"/>
                <w:sz w:val="20"/>
                <w:szCs w:val="20"/>
                <w:lang w:eastAsia="en-ZA"/>
              </w:rPr>
              <w:t>.</w:t>
            </w:r>
          </w:p>
          <w:p w14:paraId="00D9E99A" w14:textId="77777777" w:rsidR="002D7080" w:rsidRPr="00ED3FD3" w:rsidRDefault="002D7080" w:rsidP="00CD0B85">
            <w:pPr>
              <w:spacing w:after="0"/>
              <w:ind w:left="720" w:hanging="720"/>
              <w:rPr>
                <w:rFonts w:ascii="Times New Roman" w:eastAsia="Times New Roman" w:hAnsi="Times New Roman" w:cs="Times New Roman"/>
                <w:color w:val="000000"/>
                <w:sz w:val="20"/>
                <w:szCs w:val="20"/>
                <w:lang w:eastAsia="en-ZA"/>
              </w:rPr>
            </w:pPr>
            <w:r w:rsidRPr="00ED3FD3">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ED3FD3">
              <w:rPr>
                <w:rFonts w:ascii="Times New Roman" w:eastAsia="Times New Roman" w:hAnsi="Times New Roman" w:cs="Times New Roman"/>
                <w:i/>
                <w:color w:val="000000"/>
                <w:sz w:val="20"/>
                <w:szCs w:val="20"/>
                <w:lang w:eastAsia="en-ZA"/>
              </w:rPr>
              <w:t>African Journal of Aquatic Science</w:t>
            </w:r>
            <w:r w:rsidRPr="00ED3FD3">
              <w:rPr>
                <w:rFonts w:ascii="Times New Roman" w:eastAsia="Times New Roman" w:hAnsi="Times New Roman" w:cs="Times New Roman"/>
                <w:color w:val="000000"/>
                <w:sz w:val="20"/>
                <w:szCs w:val="20"/>
                <w:lang w:eastAsia="en-ZA"/>
              </w:rPr>
              <w:t xml:space="preserve"> 42, 309–323. </w:t>
            </w:r>
            <w:hyperlink w:history="1">
              <w:r w:rsidRPr="00ED3FD3">
                <w:rPr>
                  <w:rStyle w:val="Hyperlink"/>
                  <w:rFonts w:ascii="Times New Roman" w:eastAsia="Times New Roman" w:hAnsi="Times New Roman" w:cs="Times New Roman"/>
                  <w:sz w:val="20"/>
                  <w:szCs w:val="20"/>
                  <w:lang w:eastAsia="en-ZA"/>
                </w:rPr>
                <w:t>https://doi.org/10.2989/16085914.2017.1405788</w:t>
              </w:r>
            </w:hyperlink>
            <w:r w:rsidRPr="00ED3FD3">
              <w:rPr>
                <w:rFonts w:ascii="Times New Roman" w:eastAsia="Times New Roman" w:hAnsi="Times New Roman" w:cs="Times New Roman"/>
                <w:color w:val="000000"/>
                <w:sz w:val="20"/>
                <w:szCs w:val="20"/>
                <w:lang w:eastAsia="en-ZA"/>
              </w:rPr>
              <w:t>.</w:t>
            </w:r>
          </w:p>
          <w:p w14:paraId="42E362AE" w14:textId="781E5877" w:rsidR="002D7080" w:rsidRPr="00E0373A" w:rsidRDefault="002D7080" w:rsidP="00CD0B85">
            <w:pPr>
              <w:ind w:left="720" w:hanging="720"/>
              <w:contextualSpacing/>
              <w:rPr>
                <w:rFonts w:ascii="Times New Roman" w:eastAsia="Times New Roman" w:hAnsi="Times New Roman" w:cs="Times New Roman"/>
                <w:color w:val="000000"/>
                <w:sz w:val="20"/>
                <w:szCs w:val="20"/>
                <w:lang w:eastAsia="en-ZA"/>
              </w:rPr>
            </w:pPr>
            <w:r w:rsidRPr="00ED3FD3">
              <w:rPr>
                <w:rFonts w:ascii="Times New Roman" w:eastAsia="Calibri" w:hAnsi="Times New Roman" w:cs="Times New Roman"/>
                <w:sz w:val="20"/>
                <w:szCs w:val="20"/>
              </w:rPr>
              <w:t>Madzivanzira, T.C., South, J., Wood, L.E., Nunes, A.L.</w:t>
            </w:r>
            <w:r w:rsidRPr="00ED3FD3">
              <w:rPr>
                <w:rFonts w:ascii="Times New Roman" w:eastAsia="Times New Roman" w:hAnsi="Times New Roman" w:cs="Times New Roman"/>
                <w:color w:val="000000"/>
                <w:sz w:val="20"/>
                <w:szCs w:val="20"/>
                <w:lang w:eastAsia="en-ZA"/>
              </w:rPr>
              <w:t xml:space="preserve"> &amp; </w:t>
            </w:r>
            <w:r w:rsidRPr="00ED3FD3">
              <w:rPr>
                <w:rFonts w:ascii="Times New Roman" w:eastAsia="Calibri" w:hAnsi="Times New Roman" w:cs="Times New Roman"/>
                <w:sz w:val="20"/>
                <w:szCs w:val="20"/>
              </w:rPr>
              <w:t xml:space="preserve">Weyl, O.L.F., 2020, ‘A review of freshwater crayfish introductions in Africa’, </w:t>
            </w:r>
            <w:r w:rsidRPr="00ED3FD3">
              <w:rPr>
                <w:rFonts w:ascii="Times New Roman" w:eastAsia="Calibri" w:hAnsi="Times New Roman" w:cs="Times New Roman"/>
                <w:i/>
                <w:sz w:val="20"/>
                <w:szCs w:val="20"/>
              </w:rPr>
              <w:t>Reviews in</w:t>
            </w:r>
            <w:r w:rsidRPr="00ED3FD3">
              <w:rPr>
                <w:rFonts w:ascii="Times New Roman" w:eastAsia="Times New Roman" w:hAnsi="Times New Roman" w:cs="Times New Roman"/>
                <w:i/>
                <w:color w:val="000000"/>
                <w:sz w:val="20"/>
                <w:szCs w:val="20"/>
                <w:lang w:eastAsia="en-ZA"/>
              </w:rPr>
              <w:t xml:space="preserve"> </w:t>
            </w:r>
            <w:r w:rsidRPr="00ED3FD3">
              <w:rPr>
                <w:rFonts w:ascii="Times New Roman" w:eastAsia="Calibri" w:hAnsi="Times New Roman" w:cs="Times New Roman"/>
                <w:i/>
                <w:sz w:val="20"/>
                <w:szCs w:val="20"/>
              </w:rPr>
              <w:t>Fisheries Science &amp; Aquaculture</w:t>
            </w:r>
            <w:r w:rsidRPr="00ED3FD3">
              <w:rPr>
                <w:rFonts w:ascii="Times New Roman" w:eastAsia="Calibri" w:hAnsi="Times New Roman" w:cs="Times New Roman"/>
                <w:sz w:val="20"/>
                <w:szCs w:val="20"/>
              </w:rPr>
              <w:t>,</w:t>
            </w:r>
            <w:r w:rsidRPr="00ED3FD3">
              <w:rPr>
                <w:rFonts w:ascii="Times New Roman" w:eastAsia="Calibri" w:hAnsi="Times New Roman" w:cs="Times New Roman"/>
                <w:i/>
                <w:sz w:val="20"/>
                <w:szCs w:val="20"/>
              </w:rPr>
              <w:t xml:space="preserve"> </w:t>
            </w:r>
            <w:r w:rsidRPr="00ED3FD3">
              <w:rPr>
                <w:rFonts w:ascii="Times New Roman" w:eastAsia="Calibri" w:hAnsi="Times New Roman" w:cs="Times New Roman"/>
                <w:sz w:val="20"/>
                <w:szCs w:val="20"/>
              </w:rPr>
              <w:t xml:space="preserve">1-21, </w:t>
            </w:r>
            <w:r w:rsidR="00F900E9" w:rsidRPr="00F900E9">
              <w:rPr>
                <w:rFonts w:ascii="Times New Roman" w:eastAsia="Times New Roman" w:hAnsi="Times New Roman" w:cs="Times New Roman"/>
                <w:color w:val="000000"/>
                <w:sz w:val="20"/>
                <w:szCs w:val="20"/>
                <w:lang w:eastAsia="en-ZA"/>
              </w:rPr>
              <w:t>https://doi.org/10.1080/23308249.2020.1802405</w:t>
            </w:r>
            <w:r w:rsidRPr="00ED3FD3">
              <w:rPr>
                <w:rFonts w:ascii="Times New Roman" w:eastAsia="Calibri" w:hAnsi="Times New Roman" w:cs="Times New Roman"/>
                <w:sz w:val="20"/>
                <w:szCs w:val="20"/>
              </w:rPr>
              <w:t>.</w:t>
            </w:r>
          </w:p>
        </w:tc>
      </w:tr>
      <w:tr w:rsidR="002D7080" w:rsidRPr="00ED3FD3" w14:paraId="134DCB91" w14:textId="77777777" w:rsidTr="002E2C37">
        <w:trPr>
          <w:cantSplit/>
          <w:trHeight w:val="242"/>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242AF59" w14:textId="77777777" w:rsidR="002D7080" w:rsidRPr="00ED3FD3" w:rsidRDefault="002D7080" w:rsidP="00CD0B85">
            <w:pPr>
              <w:spacing w:after="0"/>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BAC14 Primary (introduction) pathways</w:t>
            </w:r>
          </w:p>
        </w:tc>
      </w:tr>
      <w:tr w:rsidR="002D7080" w:rsidRPr="00ED3FD3" w14:paraId="2E3592F3" w14:textId="77777777" w:rsidTr="002E2C37">
        <w:trPr>
          <w:cantSplit/>
          <w:trHeight w:val="61"/>
        </w:trPr>
        <w:tc>
          <w:tcPr>
            <w:tcW w:w="2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A87322C"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Release</w:t>
            </w:r>
          </w:p>
        </w:tc>
        <w:tc>
          <w:tcPr>
            <w:tcW w:w="3424" w:type="dxa"/>
            <w:gridSpan w:val="2"/>
            <w:tcBorders>
              <w:top w:val="single" w:sz="4" w:space="0" w:color="auto"/>
              <w:left w:val="single" w:sz="4" w:space="0" w:color="auto"/>
              <w:bottom w:val="single" w:sz="4" w:space="0" w:color="auto"/>
              <w:right w:val="single" w:sz="4" w:space="0" w:color="auto"/>
            </w:tcBorders>
          </w:tcPr>
          <w:p w14:paraId="1F9C9A2D"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Intentional releases </w:t>
            </w:r>
          </w:p>
        </w:tc>
        <w:tc>
          <w:tcPr>
            <w:tcW w:w="2666" w:type="dxa"/>
            <w:tcBorders>
              <w:top w:val="single" w:sz="4" w:space="0" w:color="auto"/>
              <w:left w:val="single" w:sz="4" w:space="0" w:color="auto"/>
              <w:bottom w:val="single" w:sz="4" w:space="0" w:color="auto"/>
              <w:right w:val="single" w:sz="4" w:space="0" w:color="auto"/>
            </w:tcBorders>
          </w:tcPr>
          <w:p w14:paraId="55D3822B"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Confidence: Medium </w:t>
            </w:r>
          </w:p>
        </w:tc>
      </w:tr>
      <w:tr w:rsidR="002D7080" w:rsidRPr="00ED3FD3" w14:paraId="05902C75" w14:textId="77777777" w:rsidTr="002E2C37">
        <w:trPr>
          <w:cantSplit/>
          <w:trHeight w:val="105"/>
        </w:trPr>
        <w:tc>
          <w:tcPr>
            <w:tcW w:w="2700" w:type="dxa"/>
            <w:vMerge w:val="restart"/>
            <w:tcBorders>
              <w:top w:val="single" w:sz="4" w:space="0" w:color="auto"/>
              <w:left w:val="single" w:sz="4" w:space="0" w:color="auto"/>
              <w:right w:val="single" w:sz="4" w:space="0" w:color="auto"/>
            </w:tcBorders>
            <w:shd w:val="clear" w:color="auto" w:fill="F2F2F2" w:themeFill="background1" w:themeFillShade="F2"/>
            <w:noWrap/>
          </w:tcPr>
          <w:p w14:paraId="58533A42"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Escape</w:t>
            </w:r>
          </w:p>
        </w:tc>
        <w:tc>
          <w:tcPr>
            <w:tcW w:w="3424" w:type="dxa"/>
            <w:gridSpan w:val="2"/>
            <w:tcBorders>
              <w:top w:val="single" w:sz="4" w:space="0" w:color="auto"/>
              <w:left w:val="single" w:sz="4" w:space="0" w:color="auto"/>
              <w:bottom w:val="single" w:sz="4" w:space="0" w:color="auto"/>
              <w:right w:val="single" w:sz="4" w:space="0" w:color="auto"/>
            </w:tcBorders>
          </w:tcPr>
          <w:p w14:paraId="0BEEE8D8"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aquaculture/mariculture</w:t>
            </w:r>
          </w:p>
        </w:tc>
        <w:tc>
          <w:tcPr>
            <w:tcW w:w="2666" w:type="dxa"/>
            <w:tcBorders>
              <w:top w:val="single" w:sz="4" w:space="0" w:color="auto"/>
              <w:left w:val="single" w:sz="4" w:space="0" w:color="auto"/>
              <w:bottom w:val="single" w:sz="4" w:space="0" w:color="auto"/>
              <w:right w:val="single" w:sz="4" w:space="0" w:color="auto"/>
            </w:tcBorders>
          </w:tcPr>
          <w:p w14:paraId="67676B67"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Medium</w:t>
            </w:r>
          </w:p>
        </w:tc>
      </w:tr>
      <w:tr w:rsidR="002D7080" w:rsidRPr="00ED3FD3" w14:paraId="77A6D73E" w14:textId="77777777" w:rsidTr="002E2C37">
        <w:trPr>
          <w:cantSplit/>
          <w:trHeight w:val="105"/>
        </w:trPr>
        <w:tc>
          <w:tcPr>
            <w:tcW w:w="2700" w:type="dxa"/>
            <w:vMerge/>
            <w:tcBorders>
              <w:left w:val="single" w:sz="4" w:space="0" w:color="auto"/>
              <w:bottom w:val="single" w:sz="4" w:space="0" w:color="auto"/>
              <w:right w:val="single" w:sz="4" w:space="0" w:color="auto"/>
            </w:tcBorders>
            <w:shd w:val="clear" w:color="auto" w:fill="F2F2F2" w:themeFill="background1" w:themeFillShade="F2"/>
            <w:noWrap/>
          </w:tcPr>
          <w:p w14:paraId="07063669" w14:textId="77777777" w:rsidR="002D7080" w:rsidRPr="00ED3FD3" w:rsidRDefault="002D7080" w:rsidP="00CD0B85">
            <w:pPr>
              <w:spacing w:after="0"/>
              <w:jc w:val="both"/>
              <w:rPr>
                <w:rFonts w:ascii="Times New Roman" w:eastAsia="Times New Roman" w:hAnsi="Times New Roman" w:cs="Times New Roman"/>
                <w:sz w:val="20"/>
                <w:szCs w:val="20"/>
                <w:lang w:eastAsia="en-ZA"/>
              </w:rPr>
            </w:pPr>
          </w:p>
        </w:tc>
        <w:tc>
          <w:tcPr>
            <w:tcW w:w="3424" w:type="dxa"/>
            <w:gridSpan w:val="2"/>
            <w:tcBorders>
              <w:top w:val="single" w:sz="4" w:space="0" w:color="auto"/>
              <w:left w:val="single" w:sz="4" w:space="0" w:color="auto"/>
              <w:bottom w:val="single" w:sz="4" w:space="0" w:color="auto"/>
              <w:right w:val="single" w:sz="4" w:space="0" w:color="auto"/>
            </w:tcBorders>
          </w:tcPr>
          <w:p w14:paraId="14620C93"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pet/aquarium/terrarium species (including live food for such species)</w:t>
            </w:r>
          </w:p>
        </w:tc>
        <w:tc>
          <w:tcPr>
            <w:tcW w:w="2666" w:type="dxa"/>
            <w:tcBorders>
              <w:top w:val="single" w:sz="4" w:space="0" w:color="auto"/>
              <w:left w:val="single" w:sz="4" w:space="0" w:color="auto"/>
              <w:bottom w:val="single" w:sz="4" w:space="0" w:color="auto"/>
              <w:right w:val="single" w:sz="4" w:space="0" w:color="auto"/>
            </w:tcBorders>
          </w:tcPr>
          <w:p w14:paraId="1089203F"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Medium</w:t>
            </w:r>
          </w:p>
        </w:tc>
      </w:tr>
      <w:tr w:rsidR="002D7080" w:rsidRPr="00ED3FD3" w14:paraId="3D7CDE64" w14:textId="77777777" w:rsidTr="002E2C37">
        <w:trPr>
          <w:cantSplit/>
          <w:trHeight w:val="58"/>
        </w:trPr>
        <w:tc>
          <w:tcPr>
            <w:tcW w:w="2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69C54DE"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Contaminant</w:t>
            </w:r>
          </w:p>
        </w:tc>
        <w:tc>
          <w:tcPr>
            <w:tcW w:w="3424" w:type="dxa"/>
            <w:gridSpan w:val="2"/>
            <w:tcBorders>
              <w:top w:val="single" w:sz="4" w:space="0" w:color="auto"/>
              <w:left w:val="single" w:sz="4" w:space="0" w:color="auto"/>
              <w:bottom w:val="single" w:sz="4" w:space="0" w:color="auto"/>
              <w:right w:val="single" w:sz="4" w:space="0" w:color="auto"/>
            </w:tcBorders>
          </w:tcPr>
          <w:p w14:paraId="46709F7E"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69A36C41"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5C8E5025" w14:textId="77777777" w:rsidTr="002E2C37">
        <w:trPr>
          <w:cantSplit/>
          <w:trHeight w:val="58"/>
        </w:trPr>
        <w:tc>
          <w:tcPr>
            <w:tcW w:w="2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A6C87ED"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Stowaway</w:t>
            </w:r>
          </w:p>
        </w:tc>
        <w:tc>
          <w:tcPr>
            <w:tcW w:w="3424" w:type="dxa"/>
            <w:gridSpan w:val="2"/>
            <w:tcBorders>
              <w:top w:val="single" w:sz="4" w:space="0" w:color="auto"/>
              <w:left w:val="single" w:sz="4" w:space="0" w:color="auto"/>
              <w:bottom w:val="single" w:sz="4" w:space="0" w:color="auto"/>
              <w:right w:val="single" w:sz="4" w:space="0" w:color="auto"/>
            </w:tcBorders>
          </w:tcPr>
          <w:p w14:paraId="30A79AFD"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28F1BA8C"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28AAF1C5" w14:textId="77777777" w:rsidTr="002E2C37">
        <w:trPr>
          <w:cantSplit/>
          <w:trHeight w:val="58"/>
        </w:trPr>
        <w:tc>
          <w:tcPr>
            <w:tcW w:w="2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AA579A0"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Corridor</w:t>
            </w:r>
          </w:p>
        </w:tc>
        <w:tc>
          <w:tcPr>
            <w:tcW w:w="3424" w:type="dxa"/>
            <w:gridSpan w:val="2"/>
            <w:tcBorders>
              <w:top w:val="single" w:sz="4" w:space="0" w:color="auto"/>
              <w:left w:val="single" w:sz="4" w:space="0" w:color="auto"/>
              <w:bottom w:val="single" w:sz="4" w:space="0" w:color="auto"/>
              <w:right w:val="single" w:sz="4" w:space="0" w:color="auto"/>
            </w:tcBorders>
          </w:tcPr>
          <w:p w14:paraId="1937D554"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none</w:t>
            </w:r>
          </w:p>
        </w:tc>
        <w:tc>
          <w:tcPr>
            <w:tcW w:w="2666" w:type="dxa"/>
            <w:tcBorders>
              <w:top w:val="single" w:sz="4" w:space="0" w:color="auto"/>
              <w:left w:val="single" w:sz="4" w:space="0" w:color="auto"/>
              <w:bottom w:val="single" w:sz="4" w:space="0" w:color="auto"/>
              <w:right w:val="single" w:sz="4" w:space="0" w:color="auto"/>
            </w:tcBorders>
          </w:tcPr>
          <w:p w14:paraId="0DFFC811"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064131DB" w14:textId="77777777" w:rsidTr="002E2C37">
        <w:trPr>
          <w:cantSplit/>
          <w:trHeight w:val="58"/>
        </w:trPr>
        <w:tc>
          <w:tcPr>
            <w:tcW w:w="2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109D1E2"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Unaided</w:t>
            </w:r>
          </w:p>
        </w:tc>
        <w:tc>
          <w:tcPr>
            <w:tcW w:w="3424" w:type="dxa"/>
            <w:gridSpan w:val="2"/>
            <w:tcBorders>
              <w:top w:val="single" w:sz="4" w:space="0" w:color="auto"/>
              <w:left w:val="single" w:sz="4" w:space="0" w:color="auto"/>
              <w:bottom w:val="single" w:sz="4" w:space="0" w:color="auto"/>
              <w:right w:val="single" w:sz="4" w:space="0" w:color="auto"/>
            </w:tcBorders>
          </w:tcPr>
          <w:p w14:paraId="30C5913C"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natural dispersal across borders of invasive alien organisms</w:t>
            </w:r>
          </w:p>
        </w:tc>
        <w:tc>
          <w:tcPr>
            <w:tcW w:w="2666" w:type="dxa"/>
            <w:tcBorders>
              <w:top w:val="single" w:sz="4" w:space="0" w:color="auto"/>
              <w:left w:val="single" w:sz="4" w:space="0" w:color="auto"/>
              <w:bottom w:val="single" w:sz="4" w:space="0" w:color="auto"/>
              <w:right w:val="single" w:sz="4" w:space="0" w:color="auto"/>
            </w:tcBorders>
          </w:tcPr>
          <w:p w14:paraId="2661853D"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566FAC68"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0E2256FC" w14:textId="77777777" w:rsidR="002D7080" w:rsidRPr="00ED3FD3" w:rsidRDefault="002D7080" w:rsidP="00CD0B85">
            <w:pPr>
              <w:spacing w:after="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Comments: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has been introduced to regions outside of the native range via aquaculture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"10.1051/alr:1993032", "ISBN" : "0990-7440", "ISSN" : "0990-7440", "abstract" : "The farming of freshwater crayfish (astaciculture) is mainly carried out in the southern states of the USA, and in Australia and Europe. Production levels Vary with climate but are in the region of 40000 to 60000 tonnes per annum. In addition, at least an equivalent amounts is harvested from the wild, particularly in North Amenca, China, Australia, Kenya, Turkey and Europe. Crayfish farming is usually cithcr of an extensive (ranching) or semi-intensive nature, intensive methods being infrequent, except for the rearing of juveniles for stocking (or restocking of natural waters depleted of crayfish). As crayfish do not have larvae and are polytrophic, they are relatively easy to rear, although fecundity is much lower when compared with other cultured crustaceans. At least 85% of world production is based on the red swamp crayfish, Procamharus clarkii, mainly from Louisiana and other southern USA states, but also from China, Kenya and Spain, where it has been introduced. In Australia, three species are of aquacultural importance, the yabbie, Cherax destructor; the marron, C. tenuimanus; and the red claw, C. quadricarinatus. Some very large production units have been built but none have lived up to their promise. The red claw is thought to have considerable aquacultural potential, but, being a tropical species, needs warm water for good growth. In Europe, the only endemic species cultured to any extent is the noble crayfish, Astacus astacus, mainly as juveniles for restocking. It fetches a higher pnce than other crayfish. The North American signal crayfish, Pacifastacus leniusculus, has been introduced to most European countries, but farmed production is relatively low. About 98% of crayfish consumed in Europe come from extensive systems or the wild harvest. European crayfish markets were upset by the collapse of the Turkish crayfishery (based on Astacus leptoductylus) due to overfishing and disease in the mid-1980s. The environmental impact of crayfish farrning is most noticeable in Europe. Crayfish plague, introduced from North America last century, ha\u00ee devastated populations of the native species in many countries. 1ts spread has been exasperated by the translocation of foreign crayfish (and probably by fish) for aquacultural purposes. In addition, introduced crayfish frequently escape into the wild and form large populations, often in direct competition with native species. Burrowing and prolific species, such as P. clarkii, can also do considerable env\u2026", "author" : [ { "dropping-particle" : "", "family" : "Holdich", "given" : "David M.", "non-dropping-particle" : "", "parse-names" : false, "suffix" : "" } ], "container-title" : "Aquatic Living Resources", "id" : "ITEM-1", "issue" : "4", "issued" : { "date-parts" : [ [ "1993" ] ] }, "page" : "307-317", "title" : "A review of astaciculture: freshwater crayfish farming", "type" : "article-journal", "volume" : "6" }, "uris" : [ "http://www.mendeley.com/documents/?uuid=9c22145c-3212-4afe-9814-df511734f170" ] }, { "id" : "ITEM-2",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"ITEM-2",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1993, Holdich et al. 2009)", "plainTextFormattedCitation" : "(Holdich 1993, Holdich et al. 2009)", "previouslyFormattedCitation" : "(Holdich 1993, Holdich et al. 2009)"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(Holdich 1993; Holdich, Reynolds, &amp; Sibley 2009)</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and is also traded in the pet trade industry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"10.1007/s10530-012-0273-2", "author" : [ { "dropping-particle" : "", "family" : "Chucholl", "given" : "Christoph", "non-dropping-particle" : "", "parse-names" : false, "suffix" : "" } ], "id" : "ITEM-1", "issued" : { "date-parts" : [ [ "2013" ] ] }, "page" : "125-141", "title" : "Invaders for sale : trade and determinants of introduction of ornamental freshwater crayfish", "type" : "article-journal" }, "uris" : [ "http://www.mendeley.com/documents/?uuid=a0511d26-a75d-4f96-93d3-d105f06fe13f" ] }, { "id" : "ITEM-2", "itemData" : { "DOI" : "10.18353/crustacea.44.0", "author" : [ { "dropping-particle" : "", "family" : "Faulkes", "given" : "Zen", "non-dropping-particle" : "", "parse-names" : false, "suffix" : "" } ], "id" : "ITEM-2", "issue" : "November", "issued" : { "date-parts" : [ [ "2015" ] ] }, "page" : "75-92", "title" : "Crustacean Research", "type" : "article-journal", "volume" : "44" }, "uris" : [ "http://www.mendeley.com/documents/?uuid=e0847d33-9219-447a-8947-11c70298c5ed" ] } ], "mendeley" : { "formattedCitation" : "(Chucholl 2013, Faulkes 2015)", "plainTextFormattedCitation" : "(Chucholl 2013, Faulkes 2015)", "previouslyFormattedCitation" : "(Chucholl 2013, Faulkes 2015)"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(Chucholl 2013; Faulkes 2015)</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Furthermore, </w:t>
            </w:r>
            <w:r w:rsidRPr="00ED3FD3">
              <w:rPr>
                <w:rFonts w:ascii="Times New Roman" w:eastAsia="Times New Roman" w:hAnsi="Times New Roman" w:cs="Times New Roman"/>
                <w:i/>
                <w:iCs/>
                <w:sz w:val="20"/>
                <w:szCs w:val="20"/>
                <w:lang w:eastAsia="en-ZA"/>
              </w:rPr>
              <w:t xml:space="preserve">P. leniusculus </w:t>
            </w:r>
            <w:r w:rsidRPr="00ED3FD3">
              <w:rPr>
                <w:rFonts w:ascii="Times New Roman" w:eastAsia="Times New Roman" w:hAnsi="Times New Roman" w:cs="Times New Roman"/>
                <w:sz w:val="20"/>
                <w:szCs w:val="20"/>
                <w:lang w:eastAsia="en-ZA"/>
              </w:rPr>
              <w:t>is capable of moving overland (Holdich et al. 2009; Hudina et al. 2010)</w:t>
            </w:r>
          </w:p>
        </w:tc>
      </w:tr>
      <w:tr w:rsidR="002D7080" w:rsidRPr="00ED3FD3" w14:paraId="2AEC32E5" w14:textId="77777777" w:rsidTr="002E2C37">
        <w:trPr>
          <w:cantSplit/>
          <w:trHeight w:val="70"/>
        </w:trPr>
        <w:tc>
          <w:tcPr>
            <w:tcW w:w="8790" w:type="dxa"/>
            <w:gridSpan w:val="4"/>
            <w:tcBorders>
              <w:top w:val="single" w:sz="4" w:space="0" w:color="auto"/>
              <w:left w:val="single" w:sz="4" w:space="0" w:color="auto"/>
              <w:bottom w:val="single" w:sz="4" w:space="0" w:color="auto"/>
              <w:right w:val="single" w:sz="4" w:space="0" w:color="auto"/>
            </w:tcBorders>
            <w:noWrap/>
          </w:tcPr>
          <w:p w14:paraId="1535E7BA" w14:textId="77777777" w:rsidR="002D7080" w:rsidRPr="00ED3FD3" w:rsidRDefault="002D7080" w:rsidP="00CD0B85">
            <w:pPr>
              <w:spacing w:after="0"/>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lastRenderedPageBreak/>
              <w:t>References:</w:t>
            </w:r>
          </w:p>
          <w:p w14:paraId="50078B28" w14:textId="77777777" w:rsidR="002D7080" w:rsidRPr="00ED3FD3" w:rsidRDefault="002D7080" w:rsidP="00C94525">
            <w:pPr>
              <w:spacing w:after="0"/>
              <w:ind w:left="720" w:hanging="72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ED3FD3">
              <w:rPr>
                <w:rFonts w:ascii="Times New Roman" w:eastAsia="Times New Roman" w:hAnsi="Times New Roman" w:cs="Times New Roman"/>
                <w:i/>
                <w:iCs/>
                <w:sz w:val="20"/>
                <w:szCs w:val="20"/>
                <w:lang w:eastAsia="en-ZA"/>
              </w:rPr>
              <w:t xml:space="preserve">Biological Invasions </w:t>
            </w:r>
            <w:r w:rsidRPr="00ED3FD3">
              <w:rPr>
                <w:rFonts w:ascii="Times New Roman" w:eastAsia="Times New Roman" w:hAnsi="Times New Roman" w:cs="Times New Roman"/>
                <w:iCs/>
                <w:sz w:val="20"/>
                <w:szCs w:val="20"/>
                <w:lang w:eastAsia="en-ZA"/>
              </w:rPr>
              <w:t>15</w:t>
            </w:r>
            <w:r w:rsidRPr="00ED3FD3">
              <w:rPr>
                <w:rFonts w:ascii="Times New Roman" w:eastAsia="Times New Roman" w:hAnsi="Times New Roman" w:cs="Times New Roman"/>
                <w:sz w:val="20"/>
                <w:szCs w:val="20"/>
                <w:lang w:eastAsia="en-ZA"/>
              </w:rPr>
              <w:t>, 125–141.</w:t>
            </w:r>
            <w:r w:rsidRPr="00ED3FD3">
              <w:rPr>
                <w:rFonts w:ascii="Times New Roman" w:hAnsi="Times New Roman" w:cs="Times New Roman"/>
                <w:sz w:val="20"/>
                <w:szCs w:val="20"/>
              </w:rPr>
              <w:t xml:space="preserve"> </w:t>
            </w:r>
            <w:r w:rsidRPr="00ED3FD3">
              <w:rPr>
                <w:rFonts w:ascii="Times New Roman" w:eastAsia="Times New Roman" w:hAnsi="Times New Roman" w:cs="Times New Roman"/>
                <w:sz w:val="20"/>
                <w:szCs w:val="20"/>
                <w:lang w:eastAsia="en-ZA"/>
              </w:rPr>
              <w:t>https://doi.org/10.1007/s10530-012-0273-2</w:t>
            </w:r>
          </w:p>
          <w:p w14:paraId="4C726D66" w14:textId="77777777" w:rsidR="002D7080" w:rsidRPr="00ED3FD3" w:rsidRDefault="002D7080" w:rsidP="00C94525">
            <w:pPr>
              <w:spacing w:after="0"/>
              <w:ind w:left="720" w:hanging="72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Faulkes, Z, 2015, ‘The global trade in crayfish as pets’, </w:t>
            </w:r>
            <w:r w:rsidRPr="00ED3FD3">
              <w:rPr>
                <w:rFonts w:ascii="Times New Roman" w:eastAsia="Times New Roman" w:hAnsi="Times New Roman" w:cs="Times New Roman"/>
                <w:i/>
                <w:iCs/>
                <w:sz w:val="20"/>
                <w:szCs w:val="20"/>
                <w:lang w:eastAsia="en-ZA"/>
              </w:rPr>
              <w:t>Crustacean Research</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44</w:t>
            </w:r>
            <w:r w:rsidRPr="00ED3FD3">
              <w:rPr>
                <w:rFonts w:ascii="Times New Roman" w:eastAsia="Times New Roman" w:hAnsi="Times New Roman" w:cs="Times New Roman"/>
                <w:sz w:val="20"/>
                <w:szCs w:val="20"/>
                <w:lang w:eastAsia="en-ZA"/>
              </w:rPr>
              <w:t>, 75–92. https://doi.org/10.18353/crustacea.44.0_75.</w:t>
            </w:r>
          </w:p>
          <w:p w14:paraId="5CDBC329" w14:textId="77777777" w:rsidR="002D7080" w:rsidRPr="00ED3FD3" w:rsidRDefault="002D7080" w:rsidP="00C94525">
            <w:pPr>
              <w:spacing w:after="0"/>
              <w:ind w:left="720" w:hanging="72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Holdich, D.M., 1993, ‘A review of astaciculture: Freshwater crayfish farming’, </w:t>
            </w:r>
            <w:r w:rsidRPr="00ED3FD3">
              <w:rPr>
                <w:rFonts w:ascii="Times New Roman" w:eastAsia="Times New Roman" w:hAnsi="Times New Roman" w:cs="Times New Roman"/>
                <w:i/>
                <w:iCs/>
                <w:sz w:val="20"/>
                <w:szCs w:val="20"/>
                <w:lang w:eastAsia="en-ZA"/>
              </w:rPr>
              <w:t>Aquatic Living Resources</w:t>
            </w:r>
            <w:r w:rsidRPr="00ED3FD3">
              <w:rPr>
                <w:rFonts w:ascii="Times New Roman" w:eastAsia="Times New Roman" w:hAnsi="Times New Roman" w:cs="Times New Roman"/>
                <w:sz w:val="20"/>
                <w:szCs w:val="20"/>
                <w:lang w:eastAsia="en-ZA"/>
              </w:rPr>
              <w:t> </w:t>
            </w:r>
            <w:r w:rsidRPr="00ED3FD3">
              <w:rPr>
                <w:rFonts w:ascii="Times New Roman" w:eastAsia="Times New Roman" w:hAnsi="Times New Roman" w:cs="Times New Roman"/>
                <w:iCs/>
                <w:sz w:val="20"/>
                <w:szCs w:val="20"/>
                <w:lang w:eastAsia="en-ZA"/>
              </w:rPr>
              <w:t>6</w:t>
            </w:r>
            <w:r w:rsidRPr="00ED3FD3">
              <w:rPr>
                <w:rFonts w:ascii="Times New Roman" w:eastAsia="Times New Roman" w:hAnsi="Times New Roman" w:cs="Times New Roman"/>
                <w:sz w:val="20"/>
                <w:szCs w:val="20"/>
                <w:lang w:eastAsia="en-ZA"/>
              </w:rPr>
              <w:t>, 307–317. https://doi.org/10.1051/alr:1993032</w:t>
            </w:r>
          </w:p>
          <w:p w14:paraId="75DAE551" w14:textId="77777777" w:rsidR="002D7080" w:rsidRPr="00ED3FD3" w:rsidRDefault="002D7080" w:rsidP="00C94525">
            <w:pPr>
              <w:spacing w:after="0"/>
              <w:ind w:left="720" w:hanging="720"/>
              <w:jc w:val="both"/>
              <w:rPr>
                <w:rFonts w:ascii="Times New Roman" w:eastAsia="Calibri" w:hAnsi="Times New Roman" w:cs="Times New Roman"/>
                <w:bCs/>
                <w:sz w:val="20"/>
                <w:szCs w:val="20"/>
              </w:rPr>
            </w:pPr>
            <w:r w:rsidRPr="00ED3FD3">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ED3FD3">
              <w:rPr>
                <w:rFonts w:ascii="Times New Roman" w:eastAsia="Calibri" w:hAnsi="Times New Roman" w:cs="Times New Roman"/>
                <w:sz w:val="20"/>
                <w:szCs w:val="20"/>
              </w:rPr>
              <w:t xml:space="preserve"> </w:t>
            </w:r>
            <w:r w:rsidRPr="00ED3FD3">
              <w:rPr>
                <w:rFonts w:ascii="Times New Roman" w:eastAsia="Calibri" w:hAnsi="Times New Roman" w:cs="Times New Roman"/>
                <w:bCs/>
                <w:i/>
                <w:sz w:val="20"/>
                <w:szCs w:val="20"/>
              </w:rPr>
              <w:t>Knowledge and Management of Aquatic Ecosystems</w:t>
            </w:r>
            <w:r w:rsidRPr="00ED3FD3">
              <w:rPr>
                <w:rFonts w:ascii="Times New Roman" w:eastAsia="Calibri" w:hAnsi="Times New Roman" w:cs="Times New Roman"/>
                <w:bCs/>
                <w:sz w:val="20"/>
                <w:szCs w:val="20"/>
              </w:rPr>
              <w:t xml:space="preserve"> 11, 394–395</w:t>
            </w:r>
            <w:r w:rsidRPr="00ED3FD3">
              <w:rPr>
                <w:rFonts w:ascii="Times New Roman" w:hAnsi="Times New Roman" w:cs="Times New Roman"/>
                <w:sz w:val="20"/>
                <w:szCs w:val="20"/>
              </w:rPr>
              <w:t>. https://doi.org/10.1051/kmae/2009025.</w:t>
            </w:r>
          </w:p>
          <w:p w14:paraId="699C4411" w14:textId="77777777" w:rsidR="002D7080" w:rsidRPr="00ED3FD3" w:rsidRDefault="002D7080" w:rsidP="00C94525">
            <w:pPr>
              <w:spacing w:after="0"/>
              <w:ind w:left="702" w:hanging="702"/>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Hudina, S., Faller, M., Lucić, A., Klobučar, G. &amp; Maguire, I., 2009, ‘Distribution and dispersal of two invasive crayfish species in the Drava River basin, Croatia’, </w:t>
            </w:r>
            <w:r w:rsidRPr="00ED3FD3">
              <w:rPr>
                <w:rFonts w:ascii="Times New Roman" w:eastAsia="Times New Roman" w:hAnsi="Times New Roman" w:cs="Times New Roman"/>
                <w:i/>
                <w:iCs/>
                <w:sz w:val="20"/>
                <w:szCs w:val="20"/>
                <w:lang w:eastAsia="en-ZA"/>
              </w:rPr>
              <w:t>Knowledge and Management of Aquatic Ecosystems</w:t>
            </w:r>
            <w:r w:rsidRPr="00ED3FD3">
              <w:rPr>
                <w:rFonts w:ascii="Times New Roman" w:eastAsia="Times New Roman" w:hAnsi="Times New Roman" w:cs="Times New Roman"/>
                <w:sz w:val="20"/>
                <w:szCs w:val="20"/>
                <w:lang w:eastAsia="en-ZA"/>
              </w:rPr>
              <w:t xml:space="preserve"> 9, 394–395. https://doi.org/10.1051/kmae/2009023.</w:t>
            </w:r>
          </w:p>
        </w:tc>
      </w:tr>
    </w:tbl>
    <w:p w14:paraId="42693230" w14:textId="77777777" w:rsidR="002D7080" w:rsidRPr="00ED3FD3" w:rsidRDefault="002D7080" w:rsidP="00CD0B85">
      <w:pPr>
        <w:spacing w:after="0"/>
        <w:rPr>
          <w:rFonts w:ascii="Times New Roman" w:eastAsia="Times New Roman" w:hAnsi="Times New Roman" w:cs="Times New Roman"/>
          <w:sz w:val="20"/>
          <w:szCs w:val="20"/>
          <w:lang w:eastAsia="en-ZA"/>
        </w:rPr>
      </w:pPr>
    </w:p>
    <w:p w14:paraId="58B741B7" w14:textId="77777777" w:rsidR="002D7080" w:rsidRPr="00ED3FD3" w:rsidRDefault="002D7080" w:rsidP="00CD0B85">
      <w:pPr>
        <w:spacing w:after="0"/>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2. Likelihood</w:t>
      </w:r>
    </w:p>
    <w:p w14:paraId="0960E100"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ED3FD3" w14:paraId="1461BFA6" w14:textId="77777777" w:rsidTr="002E2C37">
        <w:tc>
          <w:tcPr>
            <w:tcW w:w="9016" w:type="dxa"/>
            <w:gridSpan w:val="2"/>
            <w:shd w:val="clear" w:color="auto" w:fill="F2F2F2" w:themeFill="background1" w:themeFillShade="F2"/>
          </w:tcPr>
          <w:p w14:paraId="64A47678"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LIK1 Likelihood of entry via unaided primary pathways</w:t>
            </w:r>
          </w:p>
        </w:tc>
      </w:tr>
      <w:tr w:rsidR="002D7080" w:rsidRPr="00ED3FD3" w14:paraId="425885D2" w14:textId="77777777" w:rsidTr="002E2C37">
        <w:tc>
          <w:tcPr>
            <w:tcW w:w="5524" w:type="dxa"/>
          </w:tcPr>
          <w:p w14:paraId="050205EB"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Very unlikely (p =</w:t>
            </w:r>
            <w:r w:rsidRPr="00ED3FD3">
              <w:rPr>
                <w:rFonts w:ascii="Times New Roman" w:hAnsi="Times New Roman" w:cs="Times New Roman"/>
                <w:color w:val="000000"/>
                <w:sz w:val="20"/>
                <w:szCs w:val="20"/>
              </w:rPr>
              <w:t xml:space="preserve"> </w:t>
            </w:r>
            <w:r w:rsidRPr="00ED3FD3">
              <w:rPr>
                <w:rFonts w:ascii="Times New Roman" w:eastAsia="Times New Roman" w:hAnsi="Times New Roman" w:cs="Times New Roman"/>
                <w:sz w:val="20"/>
                <w:szCs w:val="20"/>
                <w:lang w:eastAsia="en-ZA"/>
              </w:rPr>
              <w:t xml:space="preserve">0.0027) </w:t>
            </w:r>
          </w:p>
        </w:tc>
        <w:tc>
          <w:tcPr>
            <w:tcW w:w="3492" w:type="dxa"/>
          </w:tcPr>
          <w:p w14:paraId="39A9CE34"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Medium</w:t>
            </w:r>
          </w:p>
        </w:tc>
      </w:tr>
      <w:tr w:rsidR="002D7080" w:rsidRPr="00ED3FD3" w14:paraId="39233084" w14:textId="77777777" w:rsidTr="002E2C37">
        <w:trPr>
          <w:trHeight w:val="70"/>
        </w:trPr>
        <w:tc>
          <w:tcPr>
            <w:tcW w:w="9016" w:type="dxa"/>
            <w:gridSpan w:val="2"/>
          </w:tcPr>
          <w:p w14:paraId="59129677"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There are no known populations of </w:t>
            </w:r>
            <w:r w:rsidRPr="00ED3FD3">
              <w:rPr>
                <w:rFonts w:ascii="Times New Roman" w:eastAsia="Times New Roman" w:hAnsi="Times New Roman" w:cs="Times New Roman"/>
                <w:i/>
                <w:iCs/>
                <w:sz w:val="20"/>
                <w:szCs w:val="20"/>
                <w:lang w:eastAsia="en-ZA"/>
              </w:rPr>
              <w:t>P. leniusculus</w:t>
            </w:r>
            <w:r w:rsidRPr="00ED3FD3">
              <w:rPr>
                <w:rFonts w:ascii="Times New Roman" w:eastAsia="Times New Roman" w:hAnsi="Times New Roman" w:cs="Times New Roman"/>
                <w:sz w:val="20"/>
                <w:szCs w:val="20"/>
                <w:lang w:eastAsia="en-ZA"/>
              </w:rPr>
              <w:t xml:space="preserve"> in South Africa’s neighbouring countries, therefore, entry into the country through unaided pathways such as connected waterways is very unlikely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"ITEM-2",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"mendeley" : { "formattedCitation" : "(Nunes et al. 2017, Madzivanzira et al. 2020)", "plainTextFormattedCitation" : "(Nunes et al. 2017, Madzivanzira et al. 2020)", "previouslyFormattedCitation" : "(Nunes et al. 2017, Madzivanzira et al. 2020)"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(Madzivanzira et al. 2020; Nunes et al. 2017)</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w:t>
            </w:r>
          </w:p>
        </w:tc>
      </w:tr>
      <w:tr w:rsidR="002D7080" w:rsidRPr="00ED3FD3" w14:paraId="79550B83" w14:textId="77777777" w:rsidTr="002E2C37">
        <w:tc>
          <w:tcPr>
            <w:tcW w:w="9016" w:type="dxa"/>
            <w:gridSpan w:val="2"/>
          </w:tcPr>
          <w:p w14:paraId="16091744" w14:textId="77777777" w:rsidR="002D7080" w:rsidRPr="00ED3FD3" w:rsidRDefault="002D7080" w:rsidP="00C94525">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References: </w:t>
            </w:r>
          </w:p>
          <w:p w14:paraId="75CE40F9" w14:textId="2C3459CE" w:rsidR="002D7080" w:rsidRPr="00ED3FD3" w:rsidRDefault="002D7080" w:rsidP="00C94525">
            <w:pPr>
              <w:spacing w:line="256" w:lineRule="auto"/>
              <w:ind w:left="720" w:hanging="720"/>
              <w:contextualSpacing/>
              <w:jc w:val="both"/>
              <w:rPr>
                <w:rFonts w:ascii="Times New Roman" w:eastAsia="Times New Roman" w:hAnsi="Times New Roman" w:cs="Times New Roman"/>
                <w:color w:val="000000"/>
                <w:sz w:val="20"/>
                <w:szCs w:val="20"/>
                <w:lang w:eastAsia="en-ZA"/>
              </w:rPr>
            </w:pPr>
            <w:r w:rsidRPr="00ED3FD3">
              <w:rPr>
                <w:rFonts w:ascii="Times New Roman" w:eastAsia="Calibri" w:hAnsi="Times New Roman" w:cs="Times New Roman"/>
                <w:sz w:val="20"/>
                <w:szCs w:val="20"/>
              </w:rPr>
              <w:t>Madzivanzira, T.C., South, J., Wood, L.E., Nunes, A.L.</w:t>
            </w:r>
            <w:r w:rsidRPr="00ED3FD3">
              <w:rPr>
                <w:rFonts w:ascii="Times New Roman" w:eastAsia="Times New Roman" w:hAnsi="Times New Roman" w:cs="Times New Roman"/>
                <w:color w:val="000000"/>
                <w:sz w:val="20"/>
                <w:szCs w:val="20"/>
                <w:lang w:eastAsia="en-ZA"/>
              </w:rPr>
              <w:t xml:space="preserve"> &amp; </w:t>
            </w:r>
            <w:r w:rsidRPr="00ED3FD3">
              <w:rPr>
                <w:rFonts w:ascii="Times New Roman" w:eastAsia="Calibri" w:hAnsi="Times New Roman" w:cs="Times New Roman"/>
                <w:sz w:val="20"/>
                <w:szCs w:val="20"/>
              </w:rPr>
              <w:t xml:space="preserve">Weyl, O.L.F., 2020, ‘A review of freshwater crayfish introductions in Africa’, </w:t>
            </w:r>
            <w:r w:rsidRPr="00ED3FD3">
              <w:rPr>
                <w:rFonts w:ascii="Times New Roman" w:eastAsia="Calibri" w:hAnsi="Times New Roman" w:cs="Times New Roman"/>
                <w:i/>
                <w:sz w:val="20"/>
                <w:szCs w:val="20"/>
              </w:rPr>
              <w:t>Reviews in</w:t>
            </w:r>
            <w:r w:rsidRPr="00ED3FD3">
              <w:rPr>
                <w:rFonts w:ascii="Times New Roman" w:eastAsia="Times New Roman" w:hAnsi="Times New Roman" w:cs="Times New Roman"/>
                <w:i/>
                <w:color w:val="000000"/>
                <w:sz w:val="20"/>
                <w:szCs w:val="20"/>
                <w:lang w:eastAsia="en-ZA"/>
              </w:rPr>
              <w:t xml:space="preserve"> </w:t>
            </w:r>
            <w:r w:rsidRPr="00ED3FD3">
              <w:rPr>
                <w:rFonts w:ascii="Times New Roman" w:eastAsia="Calibri" w:hAnsi="Times New Roman" w:cs="Times New Roman"/>
                <w:i/>
                <w:sz w:val="20"/>
                <w:szCs w:val="20"/>
              </w:rPr>
              <w:t>Fisheries Science &amp; Aquaculture</w:t>
            </w:r>
            <w:r w:rsidRPr="00ED3FD3">
              <w:rPr>
                <w:rFonts w:ascii="Times New Roman" w:eastAsia="Calibri" w:hAnsi="Times New Roman" w:cs="Times New Roman"/>
                <w:sz w:val="20"/>
                <w:szCs w:val="20"/>
              </w:rPr>
              <w:t>,</w:t>
            </w:r>
            <w:r w:rsidRPr="00ED3FD3">
              <w:rPr>
                <w:rFonts w:ascii="Times New Roman" w:eastAsia="Calibri" w:hAnsi="Times New Roman" w:cs="Times New Roman"/>
                <w:i/>
                <w:sz w:val="20"/>
                <w:szCs w:val="20"/>
              </w:rPr>
              <w:t xml:space="preserve"> </w:t>
            </w:r>
            <w:r w:rsidRPr="00ED3FD3">
              <w:rPr>
                <w:rFonts w:ascii="Times New Roman" w:eastAsia="Calibri" w:hAnsi="Times New Roman" w:cs="Times New Roman"/>
                <w:sz w:val="20"/>
                <w:szCs w:val="20"/>
              </w:rPr>
              <w:t xml:space="preserve">1-21, </w:t>
            </w:r>
            <w:r w:rsidR="00F900E9" w:rsidRPr="00F900E9">
              <w:rPr>
                <w:rFonts w:ascii="Times New Roman" w:eastAsia="Times New Roman" w:hAnsi="Times New Roman" w:cs="Times New Roman"/>
                <w:color w:val="000000"/>
                <w:sz w:val="20"/>
                <w:szCs w:val="20"/>
                <w:lang w:eastAsia="en-ZA"/>
              </w:rPr>
              <w:t>https://doi.org/10.1080/23308249.2020.1802405</w:t>
            </w:r>
            <w:r w:rsidRPr="00ED3FD3">
              <w:rPr>
                <w:rFonts w:ascii="Times New Roman" w:eastAsia="Calibri" w:hAnsi="Times New Roman" w:cs="Times New Roman"/>
                <w:sz w:val="20"/>
                <w:szCs w:val="20"/>
              </w:rPr>
              <w:t>.</w:t>
            </w:r>
          </w:p>
          <w:p w14:paraId="049F9648" w14:textId="773FE790" w:rsidR="002D7080" w:rsidRPr="00ED3FD3" w:rsidRDefault="002D7080" w:rsidP="00C94525">
            <w:pPr>
              <w:ind w:left="720" w:hanging="72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ED3FD3">
              <w:rPr>
                <w:rFonts w:ascii="Times New Roman" w:eastAsia="Times New Roman" w:hAnsi="Times New Roman" w:cs="Times New Roman"/>
                <w:i/>
                <w:color w:val="000000"/>
                <w:sz w:val="20"/>
                <w:szCs w:val="20"/>
                <w:lang w:eastAsia="en-ZA"/>
              </w:rPr>
              <w:t>African Journal of Aquatic Science</w:t>
            </w:r>
            <w:r w:rsidRPr="00ED3FD3">
              <w:rPr>
                <w:rFonts w:ascii="Times New Roman" w:eastAsia="Times New Roman" w:hAnsi="Times New Roman" w:cs="Times New Roman"/>
                <w:color w:val="000000"/>
                <w:sz w:val="20"/>
                <w:szCs w:val="20"/>
                <w:lang w:eastAsia="en-ZA"/>
              </w:rPr>
              <w:t xml:space="preserve"> 42, 309–323, </w:t>
            </w:r>
            <w:hyperlink r:id="rId427" w:history="1">
              <w:r w:rsidR="00026570" w:rsidRPr="00026570">
                <w:rPr>
                  <w:rStyle w:val="Hyperlink"/>
                  <w:rFonts w:ascii="Times New Roman" w:eastAsia="Times New Roman" w:hAnsi="Times New Roman" w:cs="Times New Roman"/>
                  <w:sz w:val="20"/>
                  <w:szCs w:val="20"/>
                  <w:lang w:eastAsia="en-ZA"/>
                </w:rPr>
                <w:t>https://doi.org/10.2989/16085914.2017.1405788</w:t>
              </w:r>
            </w:hyperlink>
          </w:p>
        </w:tc>
      </w:tr>
    </w:tbl>
    <w:p w14:paraId="4EA7AC1B"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ED3FD3" w14:paraId="532AE07E" w14:textId="77777777" w:rsidTr="002E2C37">
        <w:tc>
          <w:tcPr>
            <w:tcW w:w="9016" w:type="dxa"/>
            <w:gridSpan w:val="2"/>
            <w:shd w:val="clear" w:color="auto" w:fill="F2F2F2" w:themeFill="background1" w:themeFillShade="F2"/>
          </w:tcPr>
          <w:p w14:paraId="11826A0B"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LIK2 Likelihood of entry via human aided primary pathways</w:t>
            </w:r>
          </w:p>
        </w:tc>
      </w:tr>
      <w:tr w:rsidR="002D7080" w:rsidRPr="00ED3FD3" w14:paraId="5F2E0A8C" w14:textId="77777777" w:rsidTr="002E2C37">
        <w:tc>
          <w:tcPr>
            <w:tcW w:w="5524" w:type="dxa"/>
          </w:tcPr>
          <w:p w14:paraId="2EF319F7"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Fairly probable (p = 0.5)</w:t>
            </w:r>
          </w:p>
        </w:tc>
        <w:tc>
          <w:tcPr>
            <w:tcW w:w="3492" w:type="dxa"/>
          </w:tcPr>
          <w:p w14:paraId="3F37EA8D"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Confidence: High </w:t>
            </w:r>
          </w:p>
        </w:tc>
      </w:tr>
      <w:tr w:rsidR="002D7080" w:rsidRPr="00ED3FD3" w14:paraId="2D3782C2" w14:textId="77777777" w:rsidTr="002E2C37">
        <w:tc>
          <w:tcPr>
            <w:tcW w:w="9016" w:type="dxa"/>
            <w:gridSpan w:val="2"/>
          </w:tcPr>
          <w:p w14:paraId="04578936"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xml:space="preserve"> has been widely introduced for aquaculture and for pet trade. It is also known to escape from aquaculture facilities and has been intentionally released into the wild by humans as unwanted pets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"10.1007/s10530-012-0273-2", "author" : [ { "dropping-particle" : "", "family" : "Chucholl", "given" : "Christoph", "non-dropping-particle" : "", "parse-names" : false, "suffix" : "" } ], "id" : "ITEM-1", "issued" : { "date-parts" : [ [ "2013" ] ] }, "page" : "125-141", "title" : "Invaders for sale : trade and determinants of introduction of ornamental freshwater crayfish", "type" : "article-journal" }, "uris" : [ "http://www.mendeley.com/documents/?uuid=a0511d26-a75d-4f96-93d3-d105f06fe13f" ] }, { "id" : "ITEM-2", "itemData" : { "DOI" : "10.18353/crustacea.44.0", "author" : [ { "dropping-particle" : "", "family" : "Faulkes", "given" : "Zen", "non-dropping-particle" : "", "parse-names" : false, "suffix" : "" } ], "id" : "ITEM-2", "issue" : "November", "issued" : { "date-parts" : [ [ "2015" ] ] }, "page" : "75-92", "title" : "Crustacean Research", "type" : "article-journal", "volume" : "44" }, "uris" : [ "http://www.mendeley.com/documents/?uuid=e0847d33-9219-447a-8947-11c70298c5ed" ] } ], "mendeley" : { "formattedCitation" : "(Chucholl 2013, Faulkes 2015)", "plainTextFormattedCitation" : "(Chucholl 2013, Faulkes 2015)", "previouslyFormattedCitation" : "(Chucholl 2013, Faulkes 2015)"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(Chucholl 2013; Faulkes 2015)</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Therefore, it is fairly probable (p = 0.5) that </w:t>
            </w:r>
            <w:r w:rsidRPr="00ED3FD3">
              <w:rPr>
                <w:rFonts w:ascii="Times New Roman" w:eastAsia="Times New Roman" w:hAnsi="Times New Roman" w:cs="Times New Roman"/>
                <w:i/>
                <w:iCs/>
                <w:sz w:val="20"/>
                <w:szCs w:val="20"/>
                <w:lang w:eastAsia="en-ZA"/>
              </w:rPr>
              <w:t xml:space="preserve">P. leniusculus </w:t>
            </w:r>
            <w:r w:rsidRPr="00ED3FD3">
              <w:rPr>
                <w:rFonts w:ascii="Times New Roman" w:eastAsia="Times New Roman" w:hAnsi="Times New Roman" w:cs="Times New Roman"/>
                <w:sz w:val="20"/>
                <w:szCs w:val="20"/>
                <w:lang w:eastAsia="en-ZA"/>
              </w:rPr>
              <w:t xml:space="preserve">can enter the country via human aided pathways. </w:t>
            </w:r>
          </w:p>
        </w:tc>
      </w:tr>
      <w:tr w:rsidR="002D7080" w:rsidRPr="00ED3FD3" w14:paraId="18D4DA9D" w14:textId="77777777" w:rsidTr="002E2C37">
        <w:tc>
          <w:tcPr>
            <w:tcW w:w="9016" w:type="dxa"/>
            <w:gridSpan w:val="2"/>
          </w:tcPr>
          <w:p w14:paraId="45A01169" w14:textId="77777777" w:rsidR="002D7080" w:rsidRPr="00ED3FD3" w:rsidRDefault="002D7080" w:rsidP="00C94525">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References: </w:t>
            </w:r>
          </w:p>
          <w:p w14:paraId="28C8C72E" w14:textId="3A32433A" w:rsidR="002D7080" w:rsidRPr="00ED3FD3" w:rsidRDefault="002D7080" w:rsidP="00C94525">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ED3FD3">
              <w:rPr>
                <w:rFonts w:ascii="Times New Roman" w:eastAsia="Times New Roman" w:hAnsi="Times New Roman" w:cs="Times New Roman"/>
                <w:i/>
                <w:iCs/>
                <w:sz w:val="20"/>
                <w:szCs w:val="20"/>
                <w:lang w:eastAsia="en-ZA"/>
              </w:rPr>
              <w:t xml:space="preserve">Biological Invasions </w:t>
            </w:r>
            <w:r w:rsidRPr="00ED3FD3">
              <w:rPr>
                <w:rFonts w:ascii="Times New Roman" w:eastAsia="Times New Roman" w:hAnsi="Times New Roman" w:cs="Times New Roman"/>
                <w:iCs/>
                <w:sz w:val="20"/>
                <w:szCs w:val="20"/>
                <w:lang w:eastAsia="en-ZA"/>
              </w:rPr>
              <w:t>15</w:t>
            </w:r>
            <w:r w:rsidRPr="00ED3FD3">
              <w:rPr>
                <w:rFonts w:ascii="Times New Roman" w:eastAsia="Times New Roman" w:hAnsi="Times New Roman" w:cs="Times New Roman"/>
                <w:sz w:val="20"/>
                <w:szCs w:val="20"/>
                <w:lang w:eastAsia="en-ZA"/>
              </w:rPr>
              <w:t>, 125–141.</w:t>
            </w:r>
            <w:r w:rsidRPr="00ED3FD3">
              <w:rPr>
                <w:rFonts w:ascii="Times New Roman" w:hAnsi="Times New Roman" w:cs="Times New Roman"/>
                <w:sz w:val="20"/>
                <w:szCs w:val="20"/>
              </w:rPr>
              <w:t xml:space="preserve"> </w:t>
            </w:r>
            <w:hyperlink r:id="rId428" w:history="1">
              <w:r w:rsidR="00CD0B85" w:rsidRPr="00762D39">
                <w:rPr>
                  <w:rStyle w:val="Hyperlink"/>
                  <w:rFonts w:ascii="Times New Roman" w:eastAsia="Times New Roman" w:hAnsi="Times New Roman" w:cs="Times New Roman"/>
                  <w:sz w:val="20"/>
                  <w:szCs w:val="20"/>
                  <w:lang w:eastAsia="en-ZA"/>
                </w:rPr>
                <w:t>https://doi.org/10.1007/s10530-012-0273-2</w:t>
              </w:r>
            </w:hyperlink>
            <w:r w:rsidRPr="00ED3FD3">
              <w:rPr>
                <w:rFonts w:ascii="Times New Roman" w:eastAsia="Times New Roman" w:hAnsi="Times New Roman" w:cs="Times New Roman"/>
                <w:sz w:val="20"/>
                <w:szCs w:val="20"/>
                <w:lang w:eastAsia="en-ZA"/>
              </w:rPr>
              <w:t>.</w:t>
            </w:r>
            <w:r w:rsidR="00CD0B85">
              <w:rPr>
                <w:rFonts w:ascii="Times New Roman" w:eastAsia="Times New Roman" w:hAnsi="Times New Roman" w:cs="Times New Roman"/>
                <w:sz w:val="20"/>
                <w:szCs w:val="20"/>
                <w:lang w:eastAsia="en-ZA"/>
              </w:rPr>
              <w:t xml:space="preserve"> </w:t>
            </w:r>
          </w:p>
          <w:p w14:paraId="398E07FA" w14:textId="0EFB3D53" w:rsidR="002D7080" w:rsidRPr="00ED3FD3" w:rsidRDefault="002D7080" w:rsidP="00C94525">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Faulkes, Z, 2015, ‘The global trade in crayfish as pets’, </w:t>
            </w:r>
            <w:r w:rsidRPr="00ED3FD3">
              <w:rPr>
                <w:rFonts w:ascii="Times New Roman" w:eastAsia="Times New Roman" w:hAnsi="Times New Roman" w:cs="Times New Roman"/>
                <w:i/>
                <w:iCs/>
                <w:sz w:val="20"/>
                <w:szCs w:val="20"/>
                <w:lang w:eastAsia="en-ZA"/>
              </w:rPr>
              <w:t>Crustacean Research</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44</w:t>
            </w:r>
            <w:r w:rsidRPr="00ED3FD3">
              <w:rPr>
                <w:rFonts w:ascii="Times New Roman" w:eastAsia="Times New Roman" w:hAnsi="Times New Roman" w:cs="Times New Roman"/>
                <w:sz w:val="20"/>
                <w:szCs w:val="20"/>
                <w:lang w:eastAsia="en-ZA"/>
              </w:rPr>
              <w:t xml:space="preserve">, 75–92. </w:t>
            </w:r>
            <w:hyperlink r:id="rId429" w:history="1">
              <w:r w:rsidR="00CD0B85" w:rsidRPr="00762D39">
                <w:rPr>
                  <w:rStyle w:val="Hyperlink"/>
                  <w:rFonts w:ascii="Times New Roman" w:eastAsia="Times New Roman" w:hAnsi="Times New Roman" w:cs="Times New Roman"/>
                  <w:sz w:val="20"/>
                  <w:szCs w:val="20"/>
                  <w:lang w:eastAsia="en-ZA"/>
                </w:rPr>
                <w:t>https://doi.org/10.18353/crustacea.44.0_75</w:t>
              </w:r>
            </w:hyperlink>
            <w:r w:rsidRPr="00ED3FD3">
              <w:rPr>
                <w:rFonts w:ascii="Times New Roman" w:eastAsia="Times New Roman" w:hAnsi="Times New Roman" w:cs="Times New Roman"/>
                <w:sz w:val="20"/>
                <w:szCs w:val="20"/>
                <w:lang w:eastAsia="en-ZA"/>
              </w:rPr>
              <w:t>.</w:t>
            </w:r>
            <w:r w:rsidR="00CD0B85">
              <w:rPr>
                <w:rFonts w:ascii="Times New Roman" w:eastAsia="Times New Roman" w:hAnsi="Times New Roman" w:cs="Times New Roman"/>
                <w:sz w:val="20"/>
                <w:szCs w:val="20"/>
                <w:lang w:eastAsia="en-ZA"/>
              </w:rPr>
              <w:t xml:space="preserve"> </w:t>
            </w:r>
          </w:p>
        </w:tc>
      </w:tr>
    </w:tbl>
    <w:p w14:paraId="38D375E1"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ED3FD3" w14:paraId="68102B0F" w14:textId="77777777" w:rsidTr="002E2C37">
        <w:tc>
          <w:tcPr>
            <w:tcW w:w="9016" w:type="dxa"/>
            <w:gridSpan w:val="2"/>
            <w:shd w:val="clear" w:color="auto" w:fill="F2F2F2" w:themeFill="background1" w:themeFillShade="F2"/>
          </w:tcPr>
          <w:p w14:paraId="235DFF19"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LIK3 Habitat suitability</w:t>
            </w:r>
          </w:p>
        </w:tc>
      </w:tr>
      <w:tr w:rsidR="002D7080" w:rsidRPr="00ED3FD3" w14:paraId="1AC04997" w14:textId="77777777" w:rsidTr="002E2C37">
        <w:tc>
          <w:tcPr>
            <w:tcW w:w="5524" w:type="dxa"/>
          </w:tcPr>
          <w:p w14:paraId="4F50DB81"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bCs/>
                <w:sz w:val="20"/>
                <w:szCs w:val="20"/>
                <w:lang w:eastAsia="en-ZA"/>
              </w:rPr>
              <w:t>Response: Fairly probable (p = 0.5)</w:t>
            </w:r>
          </w:p>
        </w:tc>
        <w:tc>
          <w:tcPr>
            <w:tcW w:w="3492" w:type="dxa"/>
          </w:tcPr>
          <w:p w14:paraId="6C01C3C5"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bCs/>
                <w:sz w:val="20"/>
                <w:szCs w:val="20"/>
                <w:lang w:eastAsia="en-ZA"/>
              </w:rPr>
              <w:t>Confidence: Low</w:t>
            </w:r>
          </w:p>
        </w:tc>
      </w:tr>
      <w:tr w:rsidR="002D7080" w:rsidRPr="00ED3FD3" w14:paraId="24EED06A" w14:textId="77777777" w:rsidTr="002E2C37">
        <w:tc>
          <w:tcPr>
            <w:tcW w:w="9016" w:type="dxa"/>
            <w:gridSpan w:val="2"/>
          </w:tcPr>
          <w:p w14:paraId="5DD3E46B"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lastRenderedPageBreak/>
              <w:t xml:space="preserve">Rationale: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occurs in both lentic and lotic habitats (Soes &amp; Koese 2010).  It can potential occur in  in several river systems in the Western and Eastern Cape provinces that were predicted as climatic suitable for its establishment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"abstract" : "A total of ten crayfish species have been observed in the Netherlands: one native species (the Noble crayfish Astacus astacus) and nine invasive species. Six invasive species are established (narrow-clawed crayfish Astacus leptodactylus, signal crayfish Pacifastacus leniusculus, spiny-cheek crayfish Orconectes limosus, virile crayfish Orconectes , white river crayfish Procambarus acutus and red swamp crayfish Procambarus clarkii), the status of one invasive species (marbled crayfish Procambarus sp.) is currently unclear. Two invasive species (the stone crayfish Austropotamobius torrentium and the redclaw Cherax quadricarinatus) have been recorded only once. The remarkable expansion of some of these invasive crayfish has raised questions about the possible impacts. In this study, the probability of entry, further establishment, geographic occurence and spread is assessed. Additionally, an outline is given of the possible impact of the species. Besides the species already observed in the Netherlands, four other species are evaluated. Crayfish are imported either by the aquarium trade or the consumption trade. The consumption trade led to many of the early introductions (e.g. narrow clawed crayfish, red swamp crayfish, spiny cheeked crayfish). Nowadays, this trade has declined considerably due to the rise of imported, prepared crayfish from China. There remains however, a marginal international trade in living crayfish for consumption. In addition to the international trade, an opportunistic, seasonal trade in local species by some fishermen exists. The trade in consumption species in Europe is nearly limited to the species that are already established. Therefore, the probability of the introduction of new species through the consumption trade is low. The aquarium trade has increased significantly and the number of trades species is high and variable. Most of the traded (tropical) specimes stand no chance surviving in the wild but some cold water specimens (for ponds) are also traded. The trade in crayfish for aquaria and ponds must be considered as the prime source of potential new invaders. Many of the established species occupy a larger niche than observed in their natural range. Therefore, the chance of succesful establishment can be easily underestimated. Overwhelming evidence of negative economic and/or ecologic impact has been observed abroad in five of the evaluated species (red swamp crayfish, white river crayfish, signal crayfish, virile crayfish\u2026", "author" : [ { "dropping-particle" : "", "family" : "Soes", "given" : "D.M.", "non-dropping-particle" : "", "parse-names" : false, "suffix" : "" }, { "dropping-particle" : "", "family" : "Koese", "given" : "B.", "non-dropping-particle" : "", "parse-names" : false, "suffix" : "" } ], "id" : "ITEM-1", "issue" : "January", "issued" : { "date-parts" : [ [ "2010" ] ] }, "page" : "69", "title" : "Invasive freshwater crayfish in the Netherlands: a preliminary risk analysis", "type" : "article-journal" }, "uris" : [ "http://www.mendeley.com/documents/?uuid=bc4f82b6-6be7-4599-afff-d710741b3326" ] } ], "mendeley" : { "formattedCitation" : "(Soes &amp; Koese 2010)", "plainTextFormattedCitation" : "(Soes &amp; Koese 2010)", "previouslyFormattedCitation" : "(Soes &amp; Koese 2010)"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(Zhang et al. 2019)</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w:t>
            </w:r>
          </w:p>
        </w:tc>
      </w:tr>
      <w:tr w:rsidR="002D7080" w:rsidRPr="00ED3FD3" w14:paraId="18D672B5" w14:textId="77777777" w:rsidTr="002E2C37">
        <w:tc>
          <w:tcPr>
            <w:tcW w:w="9016" w:type="dxa"/>
            <w:gridSpan w:val="2"/>
          </w:tcPr>
          <w:p w14:paraId="78BE296D"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References: </w:t>
            </w:r>
          </w:p>
          <w:p w14:paraId="32484045" w14:textId="1B768CC0" w:rsidR="002D7080" w:rsidRPr="00ED3FD3" w:rsidRDefault="002D7080" w:rsidP="00C94525">
            <w:pPr>
              <w:ind w:left="720" w:hanging="72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Zhang, Z., Capinha, C., Usio, N., Weterings, R., Liu, X., Li, Y., Landeria, J.</w:t>
            </w:r>
            <w:r>
              <w:rPr>
                <w:rFonts w:ascii="Times New Roman" w:eastAsia="Times New Roman" w:hAnsi="Times New Roman" w:cs="Times New Roman"/>
                <w:sz w:val="20"/>
                <w:szCs w:val="20"/>
                <w:lang w:eastAsia="en-ZA"/>
              </w:rPr>
              <w:t>M., Zhou, Q. &amp; Yokota, M. 2019,</w:t>
            </w:r>
            <w:r w:rsidRPr="00ED3FD3">
              <w:rPr>
                <w:rFonts w:ascii="Times New Roman" w:eastAsia="Times New Roman" w:hAnsi="Times New Roman" w:cs="Times New Roman"/>
                <w:sz w:val="20"/>
                <w:szCs w:val="20"/>
                <w:lang w:eastAsia="en-ZA"/>
              </w:rPr>
              <w:t xml:space="preserve"> ‘Impacts of climate change on the global potential distribution of two notorious invasive crayfishes’, </w:t>
            </w:r>
            <w:r w:rsidRPr="00ED3FD3">
              <w:rPr>
                <w:rFonts w:ascii="Times New Roman" w:eastAsia="Times New Roman" w:hAnsi="Times New Roman" w:cs="Times New Roman"/>
                <w:i/>
                <w:iCs/>
                <w:sz w:val="20"/>
                <w:szCs w:val="20"/>
                <w:lang w:eastAsia="en-ZA"/>
              </w:rPr>
              <w:t>Freshwater Biology</w:t>
            </w:r>
            <w:r w:rsidRPr="00ED3FD3">
              <w:rPr>
                <w:rFonts w:ascii="Times New Roman" w:eastAsia="Times New Roman" w:hAnsi="Times New Roman" w:cs="Times New Roman"/>
                <w:sz w:val="20"/>
                <w:szCs w:val="20"/>
                <w:lang w:eastAsia="en-ZA"/>
              </w:rPr>
              <w:t xml:space="preserve"> 65, 353-365. </w:t>
            </w:r>
            <w:hyperlink r:id="rId430" w:history="1">
              <w:r w:rsidR="00CD0B85" w:rsidRPr="00762D39">
                <w:rPr>
                  <w:rStyle w:val="Hyperlink"/>
                  <w:rFonts w:ascii="Times New Roman" w:eastAsia="Times New Roman" w:hAnsi="Times New Roman" w:cs="Times New Roman"/>
                  <w:sz w:val="20"/>
                  <w:szCs w:val="20"/>
                  <w:lang w:eastAsia="en-ZA"/>
                </w:rPr>
                <w:t>https://doi.org/10.1111/fwb.13429</w:t>
              </w:r>
            </w:hyperlink>
            <w:r w:rsidR="00CD0B85">
              <w:rPr>
                <w:rFonts w:ascii="Times New Roman" w:eastAsia="Times New Roman" w:hAnsi="Times New Roman" w:cs="Times New Roman"/>
                <w:sz w:val="20"/>
                <w:szCs w:val="20"/>
                <w:lang w:eastAsia="en-ZA"/>
              </w:rPr>
              <w:t xml:space="preserve">. </w:t>
            </w:r>
          </w:p>
        </w:tc>
      </w:tr>
    </w:tbl>
    <w:p w14:paraId="75FB42D9"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ED3FD3" w14:paraId="18F23513" w14:textId="77777777" w:rsidTr="002E2C37">
        <w:tc>
          <w:tcPr>
            <w:tcW w:w="9016" w:type="dxa"/>
            <w:gridSpan w:val="2"/>
            <w:shd w:val="clear" w:color="auto" w:fill="F2F2F2" w:themeFill="background1" w:themeFillShade="F2"/>
          </w:tcPr>
          <w:p w14:paraId="43406868"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LIK4 Climate suitability</w:t>
            </w:r>
          </w:p>
        </w:tc>
      </w:tr>
      <w:tr w:rsidR="002D7080" w:rsidRPr="00ED3FD3" w14:paraId="6A46E2CF" w14:textId="77777777" w:rsidTr="002E2C37">
        <w:tc>
          <w:tcPr>
            <w:tcW w:w="5524" w:type="dxa"/>
          </w:tcPr>
          <w:p w14:paraId="1EEAE4D5"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Fairly probable (p = 0.5)</w:t>
            </w:r>
          </w:p>
        </w:tc>
        <w:tc>
          <w:tcPr>
            <w:tcW w:w="3492" w:type="dxa"/>
          </w:tcPr>
          <w:p w14:paraId="34598B6F"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65EF5462" w14:textId="77777777" w:rsidTr="002E2C37">
        <w:trPr>
          <w:trHeight w:val="70"/>
        </w:trPr>
        <w:tc>
          <w:tcPr>
            <w:tcW w:w="9016" w:type="dxa"/>
            <w:gridSpan w:val="2"/>
          </w:tcPr>
          <w:p w14:paraId="3C7815F6"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is</w:t>
            </w:r>
            <w:r>
              <w:rPr>
                <w:rFonts w:ascii="Times New Roman" w:eastAsia="Times New Roman" w:hAnsi="Times New Roman" w:cs="Times New Roman"/>
                <w:sz w:val="20"/>
                <w:szCs w:val="20"/>
                <w:lang w:eastAsia="en-ZA"/>
              </w:rPr>
              <w:t xml:space="preserve"> a </w:t>
            </w:r>
            <w:r w:rsidRPr="00ED3FD3">
              <w:rPr>
                <w:rFonts w:ascii="Times New Roman" w:eastAsia="Times New Roman" w:hAnsi="Times New Roman" w:cs="Times New Roman"/>
                <w:sz w:val="20"/>
                <w:szCs w:val="20"/>
                <w:lang w:eastAsia="en-ZA"/>
              </w:rPr>
              <w:t xml:space="preserve">cool water species and the optimal temperature for growth is approximately 15-20°C (Ackefors 1999). Several areas in Western and Eastern Cape provinces of South Africa were predicted as climatical suitable for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(Zhang et al. 2019)</w:t>
            </w:r>
            <w:r w:rsidRPr="00ED3FD3">
              <w:rPr>
                <w:rFonts w:ascii="Times New Roman" w:eastAsia="Times New Roman" w:hAnsi="Times New Roman" w:cs="Times New Roman"/>
                <w:color w:val="000000"/>
                <w:sz w:val="20"/>
                <w:szCs w:val="20"/>
                <w:lang w:eastAsia="en-ZA"/>
              </w:rPr>
              <w:t>.</w:t>
            </w:r>
          </w:p>
        </w:tc>
      </w:tr>
      <w:tr w:rsidR="002D7080" w:rsidRPr="00ED3FD3" w14:paraId="6C4DBD39" w14:textId="77777777" w:rsidTr="002E2C37">
        <w:tc>
          <w:tcPr>
            <w:tcW w:w="9016" w:type="dxa"/>
            <w:gridSpan w:val="2"/>
          </w:tcPr>
          <w:p w14:paraId="29852186"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References: </w:t>
            </w:r>
          </w:p>
          <w:p w14:paraId="7363D70F" w14:textId="77777777" w:rsidR="002D7080" w:rsidRPr="00ED3FD3" w:rsidRDefault="002D7080" w:rsidP="00C94525">
            <w:pPr>
              <w:ind w:left="720" w:hanging="720"/>
              <w:contextualSpacing/>
              <w:jc w:val="both"/>
              <w:rPr>
                <w:rFonts w:ascii="Times New Roman" w:eastAsia="Times New Roman" w:hAnsi="Times New Roman" w:cs="Times New Roman"/>
                <w:sz w:val="20"/>
                <w:szCs w:val="20"/>
                <w:lang w:eastAsia="en-ZA"/>
              </w:rPr>
            </w:pPr>
            <w:r w:rsidRPr="00ED3FD3">
              <w:rPr>
                <w:rFonts w:ascii="Times New Roman" w:hAnsi="Times New Roman" w:cs="Times New Roman"/>
                <w:sz w:val="20"/>
                <w:szCs w:val="20"/>
              </w:rPr>
              <w:t>Ackefors, H. 1999. ‘The positive effects of established crayfish introductions in Europe’. In F. Gherardi, &amp; D. M. Holdich (Eds.), Crayfish in Europe as alien species. How to make the best of a bad situation? (pp. 49–61). Rotterdam, The Netherlands: A.A. Balkema</w:t>
            </w:r>
            <w:r w:rsidRPr="00ED3FD3">
              <w:rPr>
                <w:rFonts w:ascii="Times New Roman" w:eastAsia="Times New Roman" w:hAnsi="Times New Roman" w:cs="Times New Roman"/>
                <w:sz w:val="20"/>
                <w:szCs w:val="20"/>
                <w:lang w:eastAsia="en-ZA"/>
              </w:rPr>
              <w:t>.</w:t>
            </w:r>
          </w:p>
          <w:p w14:paraId="583E624B" w14:textId="77777777" w:rsidR="002D7080" w:rsidRPr="00ED3FD3" w:rsidRDefault="002D7080" w:rsidP="00C94525">
            <w:pPr>
              <w:ind w:left="720" w:hanging="720"/>
              <w:contextualSpacing/>
              <w:jc w:val="both"/>
              <w:rPr>
                <w:rFonts w:ascii="Times New Roman" w:eastAsia="Times New Roman" w:hAnsi="Times New Roman" w:cs="Times New Roman"/>
                <w:sz w:val="20"/>
                <w:szCs w:val="20"/>
                <w:lang w:eastAsia="en-ZA"/>
              </w:rPr>
            </w:pPr>
            <w:r w:rsidRPr="00ED3FD3">
              <w:rPr>
                <w:rStyle w:val="author"/>
                <w:rFonts w:ascii="Times New Roman" w:hAnsi="Times New Roman" w:cs="Times New Roman"/>
                <w:color w:val="1C1D1E"/>
                <w:sz w:val="20"/>
                <w:szCs w:val="20"/>
                <w:shd w:val="clear" w:color="auto" w:fill="FFFFFF"/>
              </w:rPr>
              <w:t>Zhang, Z.</w:t>
            </w:r>
            <w:r w:rsidRPr="00ED3FD3">
              <w:rPr>
                <w:rFonts w:ascii="Times New Roman" w:hAnsi="Times New Roman" w:cs="Times New Roman"/>
                <w:color w:val="1C1D1E"/>
                <w:sz w:val="20"/>
                <w:szCs w:val="20"/>
                <w:shd w:val="clear" w:color="auto" w:fill="FFFFFF"/>
              </w:rPr>
              <w:t>, </w:t>
            </w:r>
            <w:r w:rsidRPr="00ED3FD3">
              <w:rPr>
                <w:rStyle w:val="author"/>
                <w:rFonts w:ascii="Times New Roman" w:hAnsi="Times New Roman" w:cs="Times New Roman"/>
                <w:color w:val="1C1D1E"/>
                <w:sz w:val="20"/>
                <w:szCs w:val="20"/>
                <w:shd w:val="clear" w:color="auto" w:fill="FFFFFF"/>
              </w:rPr>
              <w:t>Capinha, C.</w:t>
            </w:r>
            <w:r w:rsidRPr="00ED3FD3">
              <w:rPr>
                <w:rFonts w:ascii="Times New Roman" w:hAnsi="Times New Roman" w:cs="Times New Roman"/>
                <w:color w:val="1C1D1E"/>
                <w:sz w:val="20"/>
                <w:szCs w:val="20"/>
                <w:shd w:val="clear" w:color="auto" w:fill="FFFFFF"/>
              </w:rPr>
              <w:t>, </w:t>
            </w:r>
            <w:r w:rsidRPr="00ED3FD3">
              <w:rPr>
                <w:rStyle w:val="author"/>
                <w:rFonts w:ascii="Times New Roman" w:hAnsi="Times New Roman" w:cs="Times New Roman"/>
                <w:color w:val="1C1D1E"/>
                <w:sz w:val="20"/>
                <w:szCs w:val="20"/>
                <w:shd w:val="clear" w:color="auto" w:fill="FFFFFF"/>
              </w:rPr>
              <w:t>Usio, N.</w:t>
            </w:r>
            <w:r w:rsidRPr="00ED3FD3">
              <w:rPr>
                <w:rFonts w:ascii="Times New Roman" w:hAnsi="Times New Roman" w:cs="Times New Roman"/>
                <w:color w:val="1C1D1E"/>
                <w:sz w:val="20"/>
                <w:szCs w:val="20"/>
                <w:shd w:val="clear" w:color="auto" w:fill="FFFFFF"/>
              </w:rPr>
              <w:t>, Weterings, R., Liu, X., Li, Y., Landeria, J.</w:t>
            </w:r>
            <w:r>
              <w:rPr>
                <w:rFonts w:ascii="Times New Roman" w:hAnsi="Times New Roman" w:cs="Times New Roman"/>
                <w:color w:val="1C1D1E"/>
                <w:sz w:val="20"/>
                <w:szCs w:val="20"/>
                <w:shd w:val="clear" w:color="auto" w:fill="FFFFFF"/>
              </w:rPr>
              <w:t>M., Zhou, Q. &amp; Yokota, M.,  2019,</w:t>
            </w:r>
            <w:r w:rsidRPr="00ED3FD3">
              <w:rPr>
                <w:rFonts w:ascii="Times New Roman" w:hAnsi="Times New Roman" w:cs="Times New Roman"/>
                <w:color w:val="1C1D1E"/>
                <w:sz w:val="20"/>
                <w:szCs w:val="20"/>
                <w:shd w:val="clear" w:color="auto" w:fill="FFFFFF"/>
              </w:rPr>
              <w:t xml:space="preserve"> ‘</w:t>
            </w:r>
            <w:r w:rsidRPr="00ED3FD3">
              <w:rPr>
                <w:rStyle w:val="articletitle"/>
                <w:rFonts w:ascii="Times New Roman" w:hAnsi="Times New Roman" w:cs="Times New Roman"/>
                <w:color w:val="1C1D1E"/>
                <w:sz w:val="20"/>
                <w:szCs w:val="20"/>
                <w:shd w:val="clear" w:color="auto" w:fill="FFFFFF"/>
              </w:rPr>
              <w:t>Impacts of climate change on the global potential distribution of two notorious invasive crayfishes’</w:t>
            </w:r>
            <w:r w:rsidRPr="00ED3FD3">
              <w:rPr>
                <w:rStyle w:val="articletitle"/>
                <w:rFonts w:ascii="Times New Roman" w:hAnsi="Times New Roman" w:cs="Times New Roman"/>
                <w:sz w:val="20"/>
                <w:szCs w:val="20"/>
              </w:rPr>
              <w:t>,</w:t>
            </w:r>
            <w:r w:rsidRPr="00ED3FD3">
              <w:rPr>
                <w:rFonts w:ascii="Times New Roman" w:hAnsi="Times New Roman" w:cs="Times New Roman"/>
                <w:color w:val="1C1D1E"/>
                <w:sz w:val="20"/>
                <w:szCs w:val="20"/>
                <w:shd w:val="clear" w:color="auto" w:fill="FFFFFF"/>
              </w:rPr>
              <w:t> </w:t>
            </w:r>
            <w:r w:rsidRPr="00ED3FD3">
              <w:rPr>
                <w:rFonts w:ascii="Times New Roman" w:hAnsi="Times New Roman" w:cs="Times New Roman"/>
                <w:i/>
                <w:iCs/>
                <w:color w:val="1C1D1E"/>
                <w:sz w:val="20"/>
                <w:szCs w:val="20"/>
                <w:shd w:val="clear" w:color="auto" w:fill="FFFFFF"/>
              </w:rPr>
              <w:t xml:space="preserve">Freshwater Biology </w:t>
            </w:r>
            <w:r w:rsidRPr="00ED3FD3">
              <w:rPr>
                <w:rStyle w:val="vol"/>
                <w:rFonts w:ascii="Times New Roman" w:hAnsi="Times New Roman" w:cs="Times New Roman"/>
                <w:color w:val="1C1D1E"/>
                <w:sz w:val="20"/>
                <w:szCs w:val="20"/>
                <w:shd w:val="clear" w:color="auto" w:fill="FFFFFF"/>
              </w:rPr>
              <w:t>65,</w:t>
            </w:r>
            <w:r w:rsidRPr="00ED3FD3">
              <w:rPr>
                <w:rStyle w:val="vol"/>
                <w:rFonts w:ascii="Times New Roman" w:hAnsi="Times New Roman" w:cs="Times New Roman"/>
                <w:sz w:val="20"/>
                <w:szCs w:val="20"/>
              </w:rPr>
              <w:t xml:space="preserve"> </w:t>
            </w:r>
            <w:r w:rsidRPr="00ED3FD3">
              <w:rPr>
                <w:rStyle w:val="pagefirst"/>
                <w:rFonts w:ascii="Times New Roman" w:hAnsi="Times New Roman" w:cs="Times New Roman"/>
                <w:color w:val="1C1D1E"/>
                <w:sz w:val="20"/>
                <w:szCs w:val="20"/>
                <w:shd w:val="clear" w:color="auto" w:fill="FFFFFF"/>
              </w:rPr>
              <w:t>353-</w:t>
            </w:r>
            <w:r w:rsidRPr="00ED3FD3">
              <w:rPr>
                <w:rStyle w:val="pagelast"/>
                <w:rFonts w:ascii="Times New Roman" w:hAnsi="Times New Roman" w:cs="Times New Roman"/>
                <w:color w:val="1C1D1E"/>
                <w:sz w:val="20"/>
                <w:szCs w:val="20"/>
                <w:shd w:val="clear" w:color="auto" w:fill="FFFFFF"/>
              </w:rPr>
              <w:t>365</w:t>
            </w:r>
            <w:r w:rsidRPr="00ED3FD3">
              <w:rPr>
                <w:rFonts w:ascii="Times New Roman" w:hAnsi="Times New Roman" w:cs="Times New Roman"/>
                <w:color w:val="1C1D1E"/>
                <w:sz w:val="20"/>
                <w:szCs w:val="20"/>
                <w:shd w:val="clear" w:color="auto" w:fill="FFFFFF"/>
              </w:rPr>
              <w:t>. </w:t>
            </w:r>
            <w:hyperlink w:history="1">
              <w:r w:rsidRPr="00ED3FD3">
                <w:rPr>
                  <w:rStyle w:val="Hyperlink"/>
                  <w:rFonts w:ascii="Times New Roman" w:hAnsi="Times New Roman" w:cs="Times New Roman"/>
                  <w:sz w:val="20"/>
                  <w:szCs w:val="20"/>
                  <w:shd w:val="clear" w:color="auto" w:fill="FFFFFF"/>
                </w:rPr>
                <w:t>https://doi.org/10.1111/fwb.13429</w:t>
              </w:r>
            </w:hyperlink>
          </w:p>
        </w:tc>
      </w:tr>
    </w:tbl>
    <w:p w14:paraId="7D6115B6"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ED3FD3" w14:paraId="3977A1F4" w14:textId="77777777" w:rsidTr="002E2C37">
        <w:tc>
          <w:tcPr>
            <w:tcW w:w="9016" w:type="dxa"/>
            <w:gridSpan w:val="2"/>
            <w:shd w:val="clear" w:color="auto" w:fill="F2F2F2" w:themeFill="background1" w:themeFillShade="F2"/>
          </w:tcPr>
          <w:p w14:paraId="108AD770"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LIK5 Unaided secondary (dispersal) pathways</w:t>
            </w:r>
          </w:p>
        </w:tc>
      </w:tr>
      <w:tr w:rsidR="002D7080" w:rsidRPr="00ED3FD3" w14:paraId="4E271C9E" w14:textId="77777777" w:rsidTr="002E2C37">
        <w:tc>
          <w:tcPr>
            <w:tcW w:w="5524" w:type="dxa"/>
          </w:tcPr>
          <w:p w14:paraId="3D8CE54F"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Response: Fairly probable (p = 0.5) </w:t>
            </w:r>
          </w:p>
        </w:tc>
        <w:tc>
          <w:tcPr>
            <w:tcW w:w="3492" w:type="dxa"/>
          </w:tcPr>
          <w:p w14:paraId="6145CF1B"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0627616B" w14:textId="77777777" w:rsidTr="002E2C37">
        <w:trPr>
          <w:trHeight w:val="70"/>
        </w:trPr>
        <w:tc>
          <w:tcPr>
            <w:tcW w:w="9016" w:type="dxa"/>
            <w:gridSpan w:val="2"/>
          </w:tcPr>
          <w:p w14:paraId="4D81C31F"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r w:rsidRPr="00ED3FD3">
              <w:rPr>
                <w:rFonts w:ascii="Times New Roman" w:eastAsia="Times New Roman" w:hAnsi="Times New Roman" w:cs="Times New Roman"/>
                <w:i/>
                <w:iCs/>
                <w:sz w:val="20"/>
                <w:szCs w:val="20"/>
                <w:lang w:eastAsia="en-ZA"/>
              </w:rPr>
              <w:t>P</w:t>
            </w:r>
            <w:r w:rsidRPr="00ED3FD3">
              <w:rPr>
                <w:rFonts w:ascii="Times New Roman" w:eastAsia="Times New Roman" w:hAnsi="Times New Roman" w:cs="Times New Roman"/>
                <w:i/>
                <w:sz w:val="20"/>
                <w:szCs w:val="20"/>
                <w:lang w:eastAsia="en-ZA"/>
              </w:rPr>
              <w:t>acifastacus</w:t>
            </w:r>
            <w:r w:rsidRPr="00ED3FD3">
              <w:rPr>
                <w:rFonts w:ascii="Times New Roman" w:eastAsia="Times New Roman" w:hAnsi="Times New Roman" w:cs="Times New Roman"/>
                <w:i/>
                <w:iCs/>
                <w:sz w:val="20"/>
                <w:szCs w:val="20"/>
                <w:lang w:eastAsia="en-ZA"/>
              </w:rPr>
              <w:t xml:space="preserve"> leniusculus</w:t>
            </w:r>
            <w:r w:rsidRPr="00ED3FD3">
              <w:rPr>
                <w:rFonts w:ascii="Times New Roman" w:eastAsia="Times New Roman" w:hAnsi="Times New Roman" w:cs="Times New Roman"/>
                <w:sz w:val="20"/>
                <w:szCs w:val="20"/>
                <w:lang w:eastAsia="en-ZA"/>
              </w:rPr>
              <w:t xml:space="preserve"> can migrate short distances overland to colonise new areas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"10.1051/kmae/2009023", "author" : [ { "dropping-particle" : "", "family" : "Hudina", "given" : "S", "non-dropping-particle" : "", "parse-names" : false, "suffix" : "" }, { "dropping-particle" : "", "family" : "Faller", "given" : "M", "non-dropping-particle" : "", "parse-names" : false, "suffix" : "" }, { "dropping-particle" : "", "family" : "Lucic", "given" : "A", "non-dropping-particle" : "", "parse-names" : false, "suffix" : "" }, { "dropping-particle" : "", "family" : "Klobucar", "given" : "G", "non-dropping-particle" : "", "parse-names" : false, "suffix" : "" }, { "dropping-particle" : "", "family" : "Maguire", "given" : "I", "non-dropping-particle" : "", "parse-names" : false, "suffix" : "" } ], "id" : "ITEM-1", "issue" : "2009", "issued" : { "date-parts" : [ [ "2010" ] ] }, "page" : "394-395", "title" : "Distribution and dispersal of two invasive crayfish species in the Drava River basin , Croatia", "type" : "article-journal" }, "uris" : [ "http://www.mendeley.com/documents/?uuid=5d5603a5-66df-436a-9e1d-fb4d63f1e9db" ] }, { "id" : "ITEM-2",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"ITEM-2",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et al. 2009, Hudina et al. 2010)", "plainTextFormattedCitation" : "(Holdich et al. 2009, Hudina et al. 2010)", "previouslyFormattedCitation" : "(Holdich et al. 2009, Hudina et al. 2010)"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(Holdich et al. 2009; Hudina et al. 2010)</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There are no known populations  of </w:t>
            </w:r>
            <w:r w:rsidRPr="00ED3FD3">
              <w:rPr>
                <w:rFonts w:ascii="Times New Roman" w:eastAsia="Times New Roman" w:hAnsi="Times New Roman" w:cs="Times New Roman"/>
                <w:i/>
                <w:iCs/>
                <w:sz w:val="20"/>
                <w:szCs w:val="20"/>
                <w:lang w:eastAsia="en-ZA"/>
              </w:rPr>
              <w:t xml:space="preserve">P. leniusculus </w:t>
            </w:r>
            <w:r w:rsidRPr="00ED3FD3">
              <w:rPr>
                <w:rFonts w:ascii="Times New Roman" w:eastAsia="Times New Roman" w:hAnsi="Times New Roman" w:cs="Times New Roman"/>
                <w:sz w:val="20"/>
                <w:szCs w:val="20"/>
                <w:lang w:eastAsia="en-ZA"/>
              </w:rPr>
              <w:t xml:space="preserve">in South Africa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"mendeley" : { "formattedCitation" : "(Madzivanzira et al. 2020)", "plainTextFormattedCitation" : "(Madzivanzira et al. 2020)", "previouslyFormattedCitation" : "(Madzivanzira et al. 2020)"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(Madzivanzira et al. 2020)</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however, if it was introduced, unaided secondary is likely to occur.  Therefore, the response has been set to fair probable (p = 0.5).</w:t>
            </w:r>
          </w:p>
        </w:tc>
      </w:tr>
      <w:tr w:rsidR="002D7080" w:rsidRPr="00ED3FD3" w14:paraId="46FF4855" w14:textId="77777777" w:rsidTr="002E2C37">
        <w:tc>
          <w:tcPr>
            <w:tcW w:w="9016" w:type="dxa"/>
            <w:gridSpan w:val="2"/>
          </w:tcPr>
          <w:p w14:paraId="2FD10197" w14:textId="77777777" w:rsidR="002D7080" w:rsidRPr="00ED3FD3" w:rsidRDefault="002D7080" w:rsidP="002E2C37">
            <w:pPr>
              <w:contextualSpacing/>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References: </w:t>
            </w:r>
          </w:p>
          <w:p w14:paraId="0036CEC8" w14:textId="77777777" w:rsidR="002D7080" w:rsidRPr="00ED3FD3" w:rsidRDefault="002D7080" w:rsidP="00C94525">
            <w:pPr>
              <w:ind w:left="702" w:hanging="702"/>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Hudina, S., Faller, M., Lucić,</w:t>
            </w:r>
            <w:r>
              <w:rPr>
                <w:rFonts w:ascii="Times New Roman" w:eastAsia="Times New Roman" w:hAnsi="Times New Roman" w:cs="Times New Roman"/>
                <w:sz w:val="20"/>
                <w:szCs w:val="20"/>
                <w:lang w:eastAsia="en-ZA"/>
              </w:rPr>
              <w:t xml:space="preserve"> A., Klobučar, G. &amp; Maguire, I.,</w:t>
            </w:r>
            <w:r w:rsidRPr="00ED3FD3">
              <w:rPr>
                <w:rFonts w:ascii="Times New Roman" w:eastAsia="Times New Roman" w:hAnsi="Times New Roman" w:cs="Times New Roman"/>
                <w:sz w:val="20"/>
                <w:szCs w:val="20"/>
                <w:lang w:eastAsia="en-ZA"/>
              </w:rPr>
              <w:t xml:space="preserve"> 2009, ‘Distribution and dispersal of two invasive crayfish species in the Drava River basin, Croatia’, </w:t>
            </w:r>
            <w:r w:rsidRPr="00ED3FD3">
              <w:rPr>
                <w:rFonts w:ascii="Times New Roman" w:eastAsia="Times New Roman" w:hAnsi="Times New Roman" w:cs="Times New Roman"/>
                <w:i/>
                <w:iCs/>
                <w:sz w:val="20"/>
                <w:szCs w:val="20"/>
                <w:lang w:eastAsia="en-ZA"/>
              </w:rPr>
              <w:t>Knowledge and Management of Aquatic Ecosystems</w:t>
            </w:r>
            <w:r w:rsidRPr="00ED3FD3">
              <w:rPr>
                <w:rFonts w:ascii="Times New Roman" w:eastAsia="Times New Roman" w:hAnsi="Times New Roman" w:cs="Times New Roman"/>
                <w:sz w:val="20"/>
                <w:szCs w:val="20"/>
                <w:lang w:eastAsia="en-ZA"/>
              </w:rPr>
              <w:t xml:space="preserve"> 9, 394–395.</w:t>
            </w:r>
            <w:r w:rsidRPr="00ED3FD3">
              <w:rPr>
                <w:rFonts w:ascii="Times New Roman" w:hAnsi="Times New Roman" w:cs="Times New Roman"/>
                <w:color w:val="1B1C20"/>
                <w:sz w:val="20"/>
                <w:szCs w:val="20"/>
              </w:rPr>
              <w:t xml:space="preserve"> </w:t>
            </w:r>
            <w:r w:rsidRPr="00ED3FD3">
              <w:rPr>
                <w:rFonts w:ascii="Times New Roman" w:eastAsia="Times New Roman" w:hAnsi="Times New Roman" w:cs="Times New Roman"/>
                <w:sz w:val="20"/>
                <w:szCs w:val="20"/>
                <w:lang w:eastAsia="en-ZA"/>
              </w:rPr>
              <w:t>https://doi.org/10.1051/kmae/2009023</w:t>
            </w:r>
          </w:p>
          <w:p w14:paraId="51A788BA" w14:textId="77777777" w:rsidR="002D7080" w:rsidRPr="00ED3FD3" w:rsidRDefault="002D7080" w:rsidP="00C94525">
            <w:pPr>
              <w:ind w:left="702" w:hanging="702"/>
              <w:contextualSpacing/>
              <w:jc w:val="both"/>
              <w:rPr>
                <w:rFonts w:ascii="Times New Roman" w:eastAsia="Times New Roman" w:hAnsi="Times New Roman" w:cs="Times New Roman"/>
                <w:i/>
                <w:iCs/>
                <w:sz w:val="20"/>
                <w:szCs w:val="20"/>
                <w:lang w:eastAsia="en-ZA"/>
              </w:rPr>
            </w:pPr>
            <w:r w:rsidRPr="00ED3FD3">
              <w:rPr>
                <w:rFonts w:ascii="Times New Roman" w:eastAsia="Times New Roman" w:hAnsi="Times New Roman" w:cs="Times New Roman"/>
                <w:sz w:val="20"/>
                <w:szCs w:val="20"/>
                <w:lang w:eastAsia="en-ZA"/>
              </w:rPr>
              <w:t xml:space="preserve">Holdich, D.M., Reynolds, J.D., Souty-Grosset, C. &amp; Sibley, P.J., 2009, ‘A review of the ever increasing threat to European crayfish from non-indigenous crayfish species’, </w:t>
            </w:r>
            <w:r w:rsidRPr="00ED3FD3">
              <w:rPr>
                <w:rFonts w:ascii="Times New Roman" w:eastAsia="Times New Roman" w:hAnsi="Times New Roman" w:cs="Times New Roman"/>
                <w:i/>
                <w:iCs/>
                <w:sz w:val="20"/>
                <w:szCs w:val="20"/>
                <w:lang w:eastAsia="en-ZA"/>
              </w:rPr>
              <w:t xml:space="preserve">Knowledge and Management of Aquatic Ecosystems </w:t>
            </w:r>
            <w:r w:rsidRPr="00ED3FD3">
              <w:rPr>
                <w:rFonts w:ascii="Times New Roman" w:eastAsia="Times New Roman" w:hAnsi="Times New Roman" w:cs="Times New Roman"/>
                <w:iCs/>
                <w:sz w:val="20"/>
                <w:szCs w:val="20"/>
                <w:lang w:eastAsia="en-ZA"/>
              </w:rPr>
              <w:t>11, 1–46</w:t>
            </w:r>
            <w:r w:rsidRPr="00ED3FD3">
              <w:rPr>
                <w:rFonts w:ascii="Times New Roman" w:eastAsia="Times New Roman" w:hAnsi="Times New Roman" w:cs="Times New Roman"/>
                <w:sz w:val="20"/>
                <w:szCs w:val="20"/>
                <w:lang w:eastAsia="en-ZA"/>
              </w:rPr>
              <w:t>. https://doi.org/10.1051/kmae/2009025</w:t>
            </w:r>
          </w:p>
          <w:p w14:paraId="233518A5" w14:textId="1F9CE0A5" w:rsidR="002D7080" w:rsidRPr="00ED3FD3" w:rsidRDefault="002D7080" w:rsidP="00C94525">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ED3FD3">
              <w:rPr>
                <w:rFonts w:ascii="Times New Roman" w:eastAsia="Times New Roman" w:hAnsi="Times New Roman" w:cs="Times New Roman"/>
                <w:i/>
                <w:sz w:val="20"/>
                <w:szCs w:val="20"/>
                <w:lang w:eastAsia="en-ZA"/>
              </w:rPr>
              <w:t xml:space="preserve">Reviews in Fisheries Science &amp; Aquaculture </w:t>
            </w:r>
            <w:r w:rsidRPr="00ED3FD3">
              <w:rPr>
                <w:rFonts w:ascii="Times New Roman" w:eastAsia="Times New Roman" w:hAnsi="Times New Roman" w:cs="Times New Roman"/>
                <w:sz w:val="20"/>
                <w:szCs w:val="20"/>
                <w:lang w:eastAsia="en-ZA"/>
              </w:rPr>
              <w:t>1</w:t>
            </w:r>
            <w:r w:rsidRPr="00ED3FD3">
              <w:rPr>
                <w:rFonts w:ascii="Times New Roman" w:eastAsia="Times New Roman" w:hAnsi="Times New Roman" w:cs="Times New Roman"/>
                <w:iCs/>
                <w:sz w:val="20"/>
                <w:szCs w:val="20"/>
                <w:lang w:eastAsia="en-ZA"/>
              </w:rPr>
              <w:t>–</w:t>
            </w:r>
            <w:r w:rsidRPr="00ED3FD3">
              <w:rPr>
                <w:rFonts w:ascii="Times New Roman" w:eastAsia="Times New Roman" w:hAnsi="Times New Roman" w:cs="Times New Roman"/>
                <w:sz w:val="20"/>
                <w:szCs w:val="20"/>
                <w:lang w:eastAsia="en-ZA"/>
              </w:rPr>
              <w:t xml:space="preserve">24. </w:t>
            </w:r>
            <w:r w:rsidR="00F900E9" w:rsidRPr="00F900E9">
              <w:rPr>
                <w:rFonts w:ascii="Times New Roman" w:eastAsia="Times New Roman" w:hAnsi="Times New Roman" w:cs="Times New Roman"/>
                <w:sz w:val="20"/>
                <w:szCs w:val="20"/>
                <w:lang w:eastAsia="en-ZA"/>
              </w:rPr>
              <w:t>https://doi.org/10.1080/23308249.2020.1802405</w:t>
            </w:r>
            <w:r w:rsidRPr="00ED3FD3">
              <w:rPr>
                <w:rFonts w:ascii="Times New Roman" w:eastAsia="Times New Roman" w:hAnsi="Times New Roman" w:cs="Times New Roman"/>
                <w:sz w:val="20"/>
                <w:szCs w:val="20"/>
                <w:lang w:eastAsia="en-ZA"/>
              </w:rPr>
              <w:t>.</w:t>
            </w:r>
          </w:p>
        </w:tc>
      </w:tr>
    </w:tbl>
    <w:p w14:paraId="4A86CF47"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524"/>
        <w:gridCol w:w="3492"/>
      </w:tblGrid>
      <w:tr w:rsidR="002D7080" w:rsidRPr="00ED3FD3" w14:paraId="6A7F8D2D" w14:textId="77777777" w:rsidTr="002E2C37">
        <w:tc>
          <w:tcPr>
            <w:tcW w:w="9016" w:type="dxa"/>
            <w:gridSpan w:val="2"/>
            <w:shd w:val="clear" w:color="auto" w:fill="F2F2F2" w:themeFill="background1" w:themeFillShade="F2"/>
          </w:tcPr>
          <w:p w14:paraId="30CAADF0"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LIK6 Human aided secondary (dispersal) pathways</w:t>
            </w:r>
          </w:p>
        </w:tc>
      </w:tr>
      <w:tr w:rsidR="002D7080" w:rsidRPr="00ED3FD3" w14:paraId="298167AC" w14:textId="77777777" w:rsidTr="002E2C37">
        <w:tc>
          <w:tcPr>
            <w:tcW w:w="5524" w:type="dxa"/>
          </w:tcPr>
          <w:p w14:paraId="3A57F202"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bCs/>
                <w:sz w:val="20"/>
                <w:szCs w:val="20"/>
                <w:lang w:eastAsia="en-ZA"/>
              </w:rPr>
              <w:t>Response: Fairly probable (p = 0.5)</w:t>
            </w:r>
          </w:p>
        </w:tc>
        <w:tc>
          <w:tcPr>
            <w:tcW w:w="3492" w:type="dxa"/>
          </w:tcPr>
          <w:p w14:paraId="5AEBF777"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bCs/>
                <w:sz w:val="20"/>
                <w:szCs w:val="20"/>
                <w:lang w:eastAsia="en-ZA"/>
              </w:rPr>
              <w:t>Confidence: Low</w:t>
            </w:r>
          </w:p>
        </w:tc>
      </w:tr>
      <w:tr w:rsidR="002D7080" w:rsidRPr="00ED3FD3" w14:paraId="2C60E282" w14:textId="77777777" w:rsidTr="002E2C37">
        <w:tc>
          <w:tcPr>
            <w:tcW w:w="9016" w:type="dxa"/>
            <w:gridSpan w:val="2"/>
          </w:tcPr>
          <w:p w14:paraId="64730A59"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is a popular species in the global  pet trade and has also been intentionally be released into the wild as unwanted pets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"10.1007/s10530-012-0273-2", "author" : [ { "dropping-particle" : "", "family" : "Chucholl", "given" : "Christoph", "non-dropping-particle" : "", "parse-names" : false, "suffix" : "" } ], "id" : "ITEM-1", "issued" : { "date-parts" : [ [ "2013" ] ] }, "page" : "125-141", "title" : "Invaders for sale : trade and determinants of introduction of ornamental freshwater crayfish", "type" : "article-journal" }, "uris" : [ "http://www.mendeley.com/documents/?uuid=a0511d26-a75d-4f96-93d3-d105f06fe13f" ] }, { "id" : "ITEM-2", "itemData" : { "DOI" : "10.18353/crustacea.44.0", "author" : [ { "dropping-particle" : "", "family" : "Faulkes", "given" : "Zen", "non-dropping-particle" : "", "parse-names" : false, "suffix" : "" } ], "id" : "ITEM-2", "issue" : "November", "issued" : { "date-parts" : [ [ "2015" ] ] }, "page" : "75-92", "title" : "Crustacean Research", "type" : "article-journal", "volume" : "44" }, "uris" : [ "http://www.mendeley.com/documents/?uuid=e0847d33-9219-447a-8947-11c70298c5ed" ] }, { "id" : "ITEM-3",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"ITEM-3",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et al. 2009, Chucholl 2013, Faulkes 2015)", "plainTextFormattedCitation" : "(Holdich et al. 2009, Chucholl 2013, Faulkes 2015)", "previouslyFormattedCitation" : "(Holdich et al. 2009, Chucholl 2013, Faulkes 2015)"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(Chucholl 2013; Faulkes 2015; Holdich et al. 2009)</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w:t>
            </w:r>
            <w:r w:rsidRPr="00ED3FD3">
              <w:rPr>
                <w:rFonts w:ascii="Times New Roman" w:hAnsi="Times New Roman" w:cs="Times New Roman"/>
                <w:sz w:val="20"/>
                <w:szCs w:val="20"/>
              </w:rPr>
              <w:t xml:space="preserve"> </w:t>
            </w:r>
            <w:r w:rsidRPr="00ED3FD3">
              <w:rPr>
                <w:rStyle w:val="cf01"/>
                <w:rFonts w:ascii="Times New Roman" w:hAnsi="Times New Roman" w:cs="Times New Roman"/>
                <w:sz w:val="20"/>
                <w:szCs w:val="20"/>
              </w:rPr>
              <w:t xml:space="preserve">If it was </w:t>
            </w:r>
            <w:r w:rsidRPr="00ED3FD3">
              <w:rPr>
                <w:rStyle w:val="cf01"/>
                <w:rFonts w:ascii="Times New Roman" w:hAnsi="Times New Roman" w:cs="Times New Roman"/>
                <w:sz w:val="20"/>
                <w:szCs w:val="20"/>
              </w:rPr>
              <w:lastRenderedPageBreak/>
              <w:t>introduced in South Africa for aquaculture or for the pet trade, then there is a strong chance it would be spread around the country for the same purposes.</w:t>
            </w:r>
          </w:p>
        </w:tc>
      </w:tr>
      <w:tr w:rsidR="002D7080" w:rsidRPr="00ED3FD3" w14:paraId="3A53D16B" w14:textId="77777777" w:rsidTr="002E2C37">
        <w:tc>
          <w:tcPr>
            <w:tcW w:w="9016" w:type="dxa"/>
            <w:gridSpan w:val="2"/>
          </w:tcPr>
          <w:p w14:paraId="1BDE5777" w14:textId="77777777" w:rsidR="002D7080" w:rsidRPr="00ED3FD3" w:rsidRDefault="002D7080" w:rsidP="002E2C37">
            <w:pPr>
              <w:contextualSpacing/>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lastRenderedPageBreak/>
              <w:t xml:space="preserve">References: </w:t>
            </w:r>
          </w:p>
          <w:p w14:paraId="3BCE3996" w14:textId="76BD5276" w:rsidR="002D7080" w:rsidRPr="00ED3FD3" w:rsidRDefault="002D7080" w:rsidP="00C94525">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ED3FD3">
              <w:rPr>
                <w:rFonts w:ascii="Times New Roman" w:eastAsia="Times New Roman" w:hAnsi="Times New Roman" w:cs="Times New Roman"/>
                <w:i/>
                <w:iCs/>
                <w:sz w:val="20"/>
                <w:szCs w:val="20"/>
                <w:lang w:eastAsia="en-ZA"/>
              </w:rPr>
              <w:t xml:space="preserve">Biological Invasions </w:t>
            </w:r>
            <w:r w:rsidRPr="00ED3FD3">
              <w:rPr>
                <w:rFonts w:ascii="Times New Roman" w:eastAsia="Times New Roman" w:hAnsi="Times New Roman" w:cs="Times New Roman"/>
                <w:iCs/>
                <w:sz w:val="20"/>
                <w:szCs w:val="20"/>
                <w:lang w:eastAsia="en-ZA"/>
              </w:rPr>
              <w:t>15</w:t>
            </w:r>
            <w:r w:rsidRPr="00ED3FD3">
              <w:rPr>
                <w:rFonts w:ascii="Times New Roman" w:eastAsia="Times New Roman" w:hAnsi="Times New Roman" w:cs="Times New Roman"/>
                <w:sz w:val="20"/>
                <w:szCs w:val="20"/>
                <w:lang w:eastAsia="en-ZA"/>
              </w:rPr>
              <w:t>, 125–141.</w:t>
            </w:r>
            <w:r w:rsidRPr="00ED3FD3">
              <w:rPr>
                <w:rFonts w:ascii="Times New Roman" w:hAnsi="Times New Roman" w:cs="Times New Roman"/>
                <w:sz w:val="20"/>
                <w:szCs w:val="20"/>
              </w:rPr>
              <w:t xml:space="preserve"> </w:t>
            </w:r>
            <w:r w:rsidR="00F900E9" w:rsidRPr="00F900E9">
              <w:rPr>
                <w:rFonts w:ascii="Times New Roman" w:eastAsia="Times New Roman" w:hAnsi="Times New Roman" w:cs="Times New Roman"/>
                <w:iCs/>
                <w:sz w:val="20"/>
                <w:szCs w:val="20"/>
                <w:lang w:eastAsia="en-ZA"/>
              </w:rPr>
              <w:t xml:space="preserve"> </w:t>
            </w:r>
            <w:hyperlink w:history="1">
              <w:r w:rsidR="00F900E9" w:rsidRPr="00F900E9">
                <w:rPr>
                  <w:rStyle w:val="Hyperlink"/>
                  <w:rFonts w:ascii="Times New Roman" w:eastAsia="Times New Roman" w:hAnsi="Times New Roman" w:cs="Times New Roman"/>
                  <w:iCs/>
                  <w:sz w:val="20"/>
                  <w:szCs w:val="20"/>
                  <w:lang w:eastAsia="en-ZA"/>
                </w:rPr>
                <w:t>https://doi.org/10.1007/s10530-012-0273-2</w:t>
              </w:r>
            </w:hyperlink>
            <w:r w:rsidRPr="00ED3FD3">
              <w:rPr>
                <w:rFonts w:ascii="Times New Roman" w:eastAsia="Times New Roman" w:hAnsi="Times New Roman" w:cs="Times New Roman"/>
                <w:sz w:val="20"/>
                <w:szCs w:val="20"/>
                <w:lang w:eastAsia="en-ZA"/>
              </w:rPr>
              <w:t>.</w:t>
            </w:r>
          </w:p>
          <w:p w14:paraId="718402A9" w14:textId="65DFEE8B" w:rsidR="002D7080" w:rsidRPr="00ED3FD3" w:rsidRDefault="002D7080" w:rsidP="00C94525">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Faulkes, Z, 2015, ‘The global trade in crayfish as pets’, </w:t>
            </w:r>
            <w:r w:rsidRPr="00ED3FD3">
              <w:rPr>
                <w:rFonts w:ascii="Times New Roman" w:eastAsia="Times New Roman" w:hAnsi="Times New Roman" w:cs="Times New Roman"/>
                <w:i/>
                <w:iCs/>
                <w:sz w:val="20"/>
                <w:szCs w:val="20"/>
                <w:lang w:eastAsia="en-ZA"/>
              </w:rPr>
              <w:t>Crustacean Research</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44</w:t>
            </w:r>
            <w:r w:rsidRPr="00ED3FD3">
              <w:rPr>
                <w:rFonts w:ascii="Times New Roman" w:eastAsia="Times New Roman" w:hAnsi="Times New Roman" w:cs="Times New Roman"/>
                <w:sz w:val="20"/>
                <w:szCs w:val="20"/>
                <w:lang w:eastAsia="en-ZA"/>
              </w:rPr>
              <w:t xml:space="preserve">, 75–92. </w:t>
            </w:r>
            <w:r w:rsidR="00F900E9" w:rsidRPr="00F900E9">
              <w:rPr>
                <w:rFonts w:ascii="Times New Roman" w:eastAsia="Times New Roman" w:hAnsi="Times New Roman" w:cs="Times New Roman"/>
                <w:sz w:val="20"/>
                <w:szCs w:val="20"/>
                <w:lang w:eastAsia="en-ZA"/>
              </w:rPr>
              <w:t>https://doi.org/10.18353/crustacea.44.0_75</w:t>
            </w:r>
            <w:r w:rsidRPr="00ED3FD3">
              <w:rPr>
                <w:rFonts w:ascii="Times New Roman" w:eastAsia="Times New Roman" w:hAnsi="Times New Roman" w:cs="Times New Roman"/>
                <w:sz w:val="20"/>
                <w:szCs w:val="20"/>
                <w:lang w:eastAsia="en-ZA"/>
              </w:rPr>
              <w:t>.</w:t>
            </w:r>
          </w:p>
          <w:p w14:paraId="7066FF0F" w14:textId="29647E06" w:rsidR="002D7080" w:rsidRPr="00ED3FD3" w:rsidRDefault="002D7080" w:rsidP="00C94525">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ED3FD3">
              <w:rPr>
                <w:rFonts w:ascii="Times New Roman" w:eastAsia="Calibri" w:hAnsi="Times New Roman" w:cs="Times New Roman"/>
                <w:sz w:val="20"/>
                <w:szCs w:val="20"/>
              </w:rPr>
              <w:t xml:space="preserve"> </w:t>
            </w:r>
            <w:r w:rsidRPr="00ED3FD3">
              <w:rPr>
                <w:rFonts w:ascii="Times New Roman" w:eastAsia="Calibri" w:hAnsi="Times New Roman" w:cs="Times New Roman"/>
                <w:bCs/>
                <w:i/>
                <w:sz w:val="20"/>
                <w:szCs w:val="20"/>
              </w:rPr>
              <w:t>Knowledge and Management of Aquatic Ecosystems</w:t>
            </w:r>
            <w:r w:rsidRPr="00ED3FD3">
              <w:rPr>
                <w:rFonts w:ascii="Times New Roman" w:eastAsia="Calibri" w:hAnsi="Times New Roman" w:cs="Times New Roman"/>
                <w:bCs/>
                <w:sz w:val="20"/>
                <w:szCs w:val="20"/>
              </w:rPr>
              <w:t xml:space="preserve"> 11, 394–395.</w:t>
            </w:r>
            <w:r w:rsidRPr="00ED3FD3">
              <w:rPr>
                <w:rFonts w:ascii="Times New Roman" w:hAnsi="Times New Roman" w:cs="Times New Roman"/>
                <w:color w:val="1B1C20"/>
                <w:sz w:val="20"/>
                <w:szCs w:val="20"/>
              </w:rPr>
              <w:t xml:space="preserve"> </w:t>
            </w:r>
            <w:hyperlink r:id="rId431" w:history="1">
              <w:r w:rsidR="00F900E9" w:rsidRPr="00F900E9">
                <w:rPr>
                  <w:rStyle w:val="Hyperlink"/>
                  <w:rFonts w:ascii="Times New Roman" w:eastAsia="Calibri" w:hAnsi="Times New Roman" w:cs="Times New Roman"/>
                  <w:bCs/>
                  <w:sz w:val="20"/>
                  <w:szCs w:val="20"/>
                </w:rPr>
                <w:t>https://doi.org/10.1051/kmae/2009025</w:t>
              </w:r>
            </w:hyperlink>
            <w:r w:rsidRPr="00ED3FD3">
              <w:rPr>
                <w:rFonts w:ascii="Times New Roman" w:eastAsia="Calibri" w:hAnsi="Times New Roman" w:cs="Times New Roman"/>
                <w:bCs/>
                <w:sz w:val="20"/>
                <w:szCs w:val="20"/>
              </w:rPr>
              <w:t>.</w:t>
            </w:r>
          </w:p>
        </w:tc>
      </w:tr>
    </w:tbl>
    <w:p w14:paraId="3C95D029"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p w14:paraId="5A5F8A03"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p>
    <w:p w14:paraId="1E3E7C1E"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br w:type="page"/>
      </w:r>
    </w:p>
    <w:p w14:paraId="5E2C5B5F"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lastRenderedPageBreak/>
        <w:t>3. Consequences</w:t>
      </w:r>
    </w:p>
    <w:p w14:paraId="66BA287F"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ED3FD3" w14:paraId="2342B1F3" w14:textId="77777777" w:rsidTr="002E2C37">
        <w:trPr>
          <w:trHeight w:val="343"/>
        </w:trPr>
        <w:tc>
          <w:tcPr>
            <w:tcW w:w="9016" w:type="dxa"/>
            <w:gridSpan w:val="2"/>
            <w:shd w:val="clear" w:color="auto" w:fill="F2F2F2" w:themeFill="background1" w:themeFillShade="F2"/>
          </w:tcPr>
          <w:p w14:paraId="0EB079F0"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CON1 Environmental impact</w:t>
            </w:r>
          </w:p>
        </w:tc>
      </w:tr>
      <w:tr w:rsidR="002D7080" w:rsidRPr="00ED3FD3" w14:paraId="41F758AC" w14:textId="77777777" w:rsidTr="002E2C37">
        <w:tc>
          <w:tcPr>
            <w:tcW w:w="9016" w:type="dxa"/>
            <w:gridSpan w:val="2"/>
            <w:shd w:val="clear" w:color="auto" w:fill="F2F2F2" w:themeFill="background1" w:themeFillShade="F2"/>
          </w:tcPr>
          <w:p w14:paraId="50B16EE0"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CON1a: Competition</w:t>
            </w:r>
          </w:p>
        </w:tc>
      </w:tr>
      <w:tr w:rsidR="002D7080" w:rsidRPr="00ED3FD3" w14:paraId="204E6290" w14:textId="77777777" w:rsidTr="002E2C37">
        <w:tc>
          <w:tcPr>
            <w:tcW w:w="5949" w:type="dxa"/>
          </w:tcPr>
          <w:p w14:paraId="49119B65"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Major (MR)</w:t>
            </w:r>
          </w:p>
        </w:tc>
        <w:tc>
          <w:tcPr>
            <w:tcW w:w="3067" w:type="dxa"/>
          </w:tcPr>
          <w:p w14:paraId="43835486"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679D8D96" w14:textId="77777777" w:rsidTr="002E2C37">
        <w:trPr>
          <w:trHeight w:val="70"/>
        </w:trPr>
        <w:tc>
          <w:tcPr>
            <w:tcW w:w="9016" w:type="dxa"/>
            <w:gridSpan w:val="2"/>
          </w:tcPr>
          <w:p w14:paraId="7A27E588"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xml:space="preserve"> contributes to the decline of several native species in introduced areas through competition for resources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"10.3391/ai.2010.5.3.10", "author" : [ { "dropping-particle" : "", "family" : "Dana", "given" : "El\u00edas D", "non-dropping-particle" : "", "parse-names" : false, "suffix" : "" }, { "dropping-particle" : "", "family" : "L\u00f3pez-santiago", "given" : "Javier", "non-dropping-particle" : "", "parse-names" : false, "suffix" : "" }, { "dropping-particle" : "", "family" : "Garc\u00eda-de-lomas", "given" : "Juan", "non-dropping-particle" : "", "parse-names" : false, "suffix" : "" }, { "dropping-particle" : "", "family" : "Garc\u00eda-oca\u00f1a", "given" : "David M", "non-dropping-particle" : "", "parse-names" : false, "suffix" : "" }, { "dropping-particle" : "", "family" : "Ortega", "given" : "Fernando", "non-dropping-particle" : "", "parse-names" : false, "suffix" : "" } ], "id" : "ITEM-1", "issue" : "3", "issued" : { "date-parts" : [ [ "2010" ] ] }, "page" : "317-322", "title" : "Long-term management of the invasive Pacifastacus leniusculus ( Dana , 1852 ) in a small mountain stream", "type" : "article-journal", "volume" : "5" }, "uris" : [ "http://www.mendeley.com/documents/?uuid=809984f6-033c-4580-93af-e25fa9c1001e"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"(Dana et al. 2010, Lodge et al. 2012)", "manualFormatting" : "(Weinlader and Furerfer 2002, Dana et al. 2010, Lodge et al. 2012)", "plainTextFormattedCitation" : "(Dana et al. 2010, Lodge et al. 2012)", "previouslyFormattedCitation" : "(Dana et al. 2010, Lodge et al. 2012)"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(Dana et al. 2010; Lodge et al. 2012; Weinlader &amp; Furerfer 2002)</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Significant competition and reproductive interference often result in the displacement and extinction of native species where </w:t>
            </w:r>
            <w:r w:rsidRPr="00ED3FD3">
              <w:rPr>
                <w:rFonts w:ascii="Times New Roman" w:eastAsia="Times New Roman" w:hAnsi="Times New Roman" w:cs="Times New Roman"/>
                <w:i/>
                <w:iCs/>
                <w:sz w:val="20"/>
                <w:szCs w:val="20"/>
                <w:lang w:eastAsia="en-ZA"/>
              </w:rPr>
              <w:t>P. leniusculus</w:t>
            </w:r>
            <w:r w:rsidRPr="00ED3FD3">
              <w:rPr>
                <w:rFonts w:ascii="Times New Roman" w:eastAsia="Times New Roman" w:hAnsi="Times New Roman" w:cs="Times New Roman"/>
                <w:sz w:val="20"/>
                <w:szCs w:val="20"/>
                <w:lang w:eastAsia="en-ZA"/>
              </w:rPr>
              <w:t xml:space="preserve"> out-competes native crayfish species</w:t>
            </w:r>
            <w:r w:rsidRPr="00ED3FD3">
              <w:rPr>
                <w:rFonts w:ascii="Times New Roman" w:eastAsia="Times New Roman" w:hAnsi="Times New Roman" w:cs="Times New Roman"/>
                <w:i/>
                <w:iCs/>
                <w:sz w:val="20"/>
                <w:szCs w:val="20"/>
                <w:lang w:eastAsia="en-ZA"/>
              </w:rPr>
              <w:t xml:space="preserve"> </w:t>
            </w:r>
            <w:r w:rsidRPr="00ED3FD3">
              <w:rPr>
                <w:rFonts w:ascii="Times New Roman" w:eastAsia="Times New Roman" w:hAnsi="Times New Roman" w:cs="Times New Roman"/>
                <w:sz w:val="20"/>
                <w:szCs w:val="20"/>
                <w:lang w:eastAsia="en-ZA"/>
              </w:rPr>
              <w:t xml:space="preserve">(i.e., </w:t>
            </w:r>
            <w:r w:rsidRPr="00ED3FD3">
              <w:rPr>
                <w:rFonts w:ascii="Times New Roman" w:eastAsia="Times New Roman" w:hAnsi="Times New Roman" w:cs="Times New Roman"/>
                <w:i/>
                <w:iCs/>
                <w:sz w:val="20"/>
                <w:szCs w:val="20"/>
                <w:lang w:eastAsia="en-ZA"/>
              </w:rPr>
              <w:t xml:space="preserve">Astacus astacus, Austropotamobius torrentium, Cambaroides japonicas </w:t>
            </w:r>
            <w:r w:rsidRPr="00ED3FD3">
              <w:rPr>
                <w:rFonts w:ascii="Times New Roman" w:eastAsia="Times New Roman" w:hAnsi="Times New Roman" w:cs="Times New Roman"/>
                <w:sz w:val="20"/>
                <w:szCs w:val="20"/>
                <w:lang w:eastAsia="en-ZA"/>
              </w:rPr>
              <w:t xml:space="preserve">and </w:t>
            </w:r>
            <w:r w:rsidRPr="00ED3FD3">
              <w:rPr>
                <w:rFonts w:ascii="Times New Roman" w:eastAsia="Times New Roman" w:hAnsi="Times New Roman" w:cs="Times New Roman"/>
                <w:i/>
                <w:iCs/>
                <w:sz w:val="20"/>
                <w:szCs w:val="20"/>
                <w:lang w:eastAsia="en-ZA"/>
              </w:rPr>
              <w:t>Pacifastacus nigrescens</w:t>
            </w:r>
            <w:r w:rsidRPr="00ED3FD3">
              <w:rPr>
                <w:rFonts w:ascii="Times New Roman" w:eastAsia="Times New Roman" w:hAnsi="Times New Roman" w:cs="Times New Roman"/>
                <w:sz w:val="20"/>
                <w:szCs w:val="20"/>
                <w:lang w:eastAsia="en-ZA"/>
              </w:rPr>
              <w:t>) for shelter, making them more susceptible to predation (Huber &amp; Schubart 2005; Pockl &amp; Pekny 2002; Westman et al. 2002). There are no native crayfish species in South Africa and introduced crayfish have the potential to outcompete native potamonautid crabs (Mandivanzira  et al. 2021).</w:t>
            </w:r>
          </w:p>
        </w:tc>
      </w:tr>
      <w:tr w:rsidR="002D7080" w:rsidRPr="00ED3FD3" w14:paraId="704906FE" w14:textId="77777777" w:rsidTr="002E2C37">
        <w:trPr>
          <w:trHeight w:val="70"/>
        </w:trPr>
        <w:tc>
          <w:tcPr>
            <w:tcW w:w="9016" w:type="dxa"/>
            <w:gridSpan w:val="2"/>
          </w:tcPr>
          <w:p w14:paraId="224DA503" w14:textId="77777777" w:rsidR="002D7080" w:rsidRPr="00ED3FD3" w:rsidRDefault="002D7080" w:rsidP="00C94525">
            <w:pPr>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17C01EB0" w14:textId="15EA7ED7" w:rsidR="002D7080" w:rsidRPr="00ED3FD3" w:rsidRDefault="002D7080" w:rsidP="00C94525">
            <w:pPr>
              <w:ind w:left="702" w:hanging="702"/>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Dana, E.D., López-Santiago J., García-de-Lomas, J., García-Ocaña, D.M., Gámez, V. &amp; Ortega, F., 2010, ‘Long-term management of the invasive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(Dana, 1852) in a small mountain stream’, </w:t>
            </w:r>
            <w:r w:rsidRPr="00ED3FD3">
              <w:rPr>
                <w:rFonts w:ascii="Times New Roman" w:eastAsia="Times New Roman" w:hAnsi="Times New Roman" w:cs="Times New Roman"/>
                <w:i/>
                <w:iCs/>
                <w:sz w:val="20"/>
                <w:szCs w:val="20"/>
                <w:lang w:eastAsia="en-ZA"/>
              </w:rPr>
              <w:t>Aquatic Invasions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5</w:t>
            </w:r>
            <w:r w:rsidRPr="00ED3FD3">
              <w:rPr>
                <w:rFonts w:ascii="Times New Roman" w:eastAsia="Times New Roman" w:hAnsi="Times New Roman" w:cs="Times New Roman"/>
                <w:sz w:val="20"/>
                <w:szCs w:val="20"/>
                <w:lang w:eastAsia="en-ZA"/>
              </w:rPr>
              <w:t>, 317–322.</w:t>
            </w:r>
            <w:r w:rsidRPr="00ED3FD3">
              <w:rPr>
                <w:rFonts w:ascii="Times New Roman" w:hAnsi="Times New Roman" w:cs="Times New Roman"/>
                <w:sz w:val="20"/>
                <w:szCs w:val="20"/>
              </w:rPr>
              <w:t xml:space="preserve"> </w:t>
            </w:r>
            <w:r w:rsidRPr="00ED3FD3">
              <w:rPr>
                <w:rFonts w:ascii="Times New Roman" w:eastAsia="Times New Roman" w:hAnsi="Times New Roman" w:cs="Times New Roman"/>
                <w:sz w:val="20"/>
                <w:szCs w:val="20"/>
                <w:lang w:eastAsia="en-ZA"/>
              </w:rPr>
              <w:t>https://doi.org/</w:t>
            </w:r>
            <w:r w:rsidR="00BC5947" w:rsidRPr="00BC5947">
              <w:rPr>
                <w:rFonts w:ascii="Times New Roman" w:eastAsia="Times New Roman" w:hAnsi="Times New Roman" w:cs="Times New Roman"/>
                <w:sz w:val="20"/>
                <w:szCs w:val="20"/>
                <w:lang w:eastAsia="en-ZA"/>
              </w:rPr>
              <w:t>10.3391/ai.2010.5.3.10</w:t>
            </w:r>
            <w:r w:rsidRPr="00ED3FD3">
              <w:rPr>
                <w:rFonts w:ascii="Times New Roman" w:eastAsia="Times New Roman" w:hAnsi="Times New Roman" w:cs="Times New Roman"/>
                <w:sz w:val="20"/>
                <w:szCs w:val="20"/>
                <w:lang w:eastAsia="en-ZA"/>
              </w:rPr>
              <w:t>.</w:t>
            </w:r>
          </w:p>
          <w:p w14:paraId="4065FB10" w14:textId="1C4E54C0" w:rsidR="002D7080" w:rsidRPr="00ED3FD3" w:rsidRDefault="002D7080" w:rsidP="00C94525">
            <w:pPr>
              <w:ind w:left="702" w:hanging="702"/>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Huber, M.G. &amp; Schubart, C.D., 2005, ‘Distribution and reproductive biology of </w:t>
            </w:r>
            <w:r w:rsidRPr="00ED3FD3">
              <w:rPr>
                <w:rFonts w:ascii="Times New Roman" w:eastAsia="Times New Roman" w:hAnsi="Times New Roman" w:cs="Times New Roman"/>
                <w:i/>
                <w:sz w:val="20"/>
                <w:szCs w:val="20"/>
                <w:lang w:eastAsia="en-ZA"/>
              </w:rPr>
              <w:t>Austropotamobius torrentium</w:t>
            </w:r>
            <w:r w:rsidRPr="00ED3FD3">
              <w:rPr>
                <w:rFonts w:ascii="Times New Roman" w:eastAsia="Times New Roman" w:hAnsi="Times New Roman" w:cs="Times New Roman"/>
                <w:sz w:val="20"/>
                <w:szCs w:val="20"/>
                <w:lang w:eastAsia="en-ZA"/>
              </w:rPr>
              <w:t xml:space="preserve"> in Bavaria and documentation of a contact zone with the alien crayfish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
                <w:iCs/>
                <w:sz w:val="20"/>
                <w:szCs w:val="20"/>
                <w:lang w:eastAsia="en-ZA"/>
              </w:rPr>
              <w:t xml:space="preserve">Bulletin Français de la Pêche et de la Pisciculture </w:t>
            </w:r>
            <w:r w:rsidRPr="00ED3FD3">
              <w:rPr>
                <w:rFonts w:ascii="Times New Roman" w:eastAsia="Times New Roman" w:hAnsi="Times New Roman" w:cs="Times New Roman"/>
                <w:iCs/>
                <w:sz w:val="20"/>
                <w:szCs w:val="20"/>
                <w:lang w:eastAsia="en-ZA"/>
              </w:rPr>
              <w:t>376,</w:t>
            </w:r>
            <w:r w:rsidRPr="00ED3FD3">
              <w:rPr>
                <w:rFonts w:ascii="Times New Roman" w:eastAsia="Times New Roman" w:hAnsi="Times New Roman" w:cs="Times New Roman"/>
                <w:sz w:val="20"/>
                <w:szCs w:val="20"/>
                <w:lang w:eastAsia="en-ZA"/>
              </w:rPr>
              <w:t xml:space="preserve"> 759–776. </w:t>
            </w:r>
            <w:r w:rsidR="00F72727" w:rsidRPr="00D704ED">
              <w:rPr>
                <w:rFonts w:ascii="Times New Roman" w:eastAsia="Times New Roman" w:hAnsi="Times New Roman" w:cs="Times New Roman"/>
                <w:sz w:val="20"/>
                <w:szCs w:val="20"/>
                <w:lang w:eastAsia="en-ZA"/>
              </w:rPr>
              <w:t>https://doi.org/10.1051/kmae:2005031</w:t>
            </w:r>
            <w:r w:rsidRPr="00ED3FD3">
              <w:rPr>
                <w:rFonts w:ascii="Times New Roman" w:eastAsia="Times New Roman" w:hAnsi="Times New Roman" w:cs="Times New Roman"/>
                <w:sz w:val="20"/>
                <w:szCs w:val="20"/>
                <w:lang w:eastAsia="en-ZA"/>
              </w:rPr>
              <w:t>.</w:t>
            </w:r>
          </w:p>
          <w:p w14:paraId="60B6DBA2" w14:textId="5CD99222" w:rsidR="00F72727" w:rsidRPr="00F72727" w:rsidRDefault="002D7080" w:rsidP="00C94525">
            <w:pPr>
              <w:ind w:left="702" w:hanging="702"/>
              <w:contextualSpacing/>
              <w:jc w:val="both"/>
              <w:rPr>
                <w:rFonts w:ascii="Times New Roman" w:hAnsi="Times New Roman" w:cs="Times New Roman"/>
                <w:sz w:val="20"/>
                <w:szCs w:val="20"/>
              </w:rPr>
            </w:pPr>
            <w:r w:rsidRPr="00ED3FD3">
              <w:rPr>
                <w:rFonts w:ascii="Times New Roman" w:eastAsia="Times New Roman" w:hAnsi="Times New Roman" w:cs="Times New Roman"/>
                <w:sz w:val="20"/>
                <w:szCs w:val="20"/>
                <w:lang w:eastAsia="en-ZA"/>
              </w:rPr>
              <w:t xml:space="preserve">Lodge, D.M., Deines, A., Gherardi, F., Yeo, D.C.J., Arcella, T. &amp; Baldridge, A.K., et al., 2012, ‘Global introductions of crayfishes: Evaluating the impact of species invasions on ecosystem services’, </w:t>
            </w:r>
            <w:r w:rsidRPr="00ED3FD3">
              <w:rPr>
                <w:rFonts w:ascii="Times New Roman" w:eastAsia="Times New Roman" w:hAnsi="Times New Roman" w:cs="Times New Roman"/>
                <w:i/>
                <w:sz w:val="20"/>
                <w:szCs w:val="20"/>
                <w:lang w:eastAsia="en-ZA"/>
              </w:rPr>
              <w:t>Annual Review of Ecology Evolution Systematics</w:t>
            </w:r>
            <w:r w:rsidRPr="00ED3FD3">
              <w:rPr>
                <w:rFonts w:ascii="Times New Roman" w:eastAsia="Times New Roman" w:hAnsi="Times New Roman" w:cs="Times New Roman"/>
                <w:sz w:val="20"/>
                <w:szCs w:val="20"/>
                <w:lang w:eastAsia="en-ZA"/>
              </w:rPr>
              <w:t xml:space="preserve"> 43, 449–4</w:t>
            </w:r>
            <w:r w:rsidRPr="00BC5947">
              <w:rPr>
                <w:rFonts w:ascii="Times New Roman" w:eastAsia="Times New Roman" w:hAnsi="Times New Roman" w:cs="Times New Roman"/>
                <w:sz w:val="20"/>
                <w:szCs w:val="20"/>
                <w:lang w:eastAsia="en-ZA"/>
              </w:rPr>
              <w:t>72.</w:t>
            </w:r>
            <w:r w:rsidRPr="00BC5947">
              <w:rPr>
                <w:rFonts w:ascii="Times New Roman" w:hAnsi="Times New Roman" w:cs="Times New Roman"/>
                <w:sz w:val="20"/>
                <w:szCs w:val="20"/>
              </w:rPr>
              <w:t xml:space="preserve"> </w:t>
            </w:r>
            <w:r w:rsidR="00BC5947" w:rsidRPr="00BC5947">
              <w:rPr>
                <w:sz w:val="20"/>
                <w:szCs w:val="20"/>
              </w:rPr>
              <w:t xml:space="preserve">, </w:t>
            </w:r>
            <w:r w:rsidR="00F72727" w:rsidRPr="00D704ED">
              <w:rPr>
                <w:rFonts w:ascii="Times New Roman" w:hAnsi="Times New Roman" w:cs="Times New Roman"/>
                <w:sz w:val="20"/>
                <w:szCs w:val="20"/>
              </w:rPr>
              <w:t>https://doi.org/10.1146/annurev-ecolsys-111511-103919</w:t>
            </w:r>
          </w:p>
          <w:p w14:paraId="512BBCB2" w14:textId="6214B190" w:rsidR="002D7080" w:rsidRPr="00ED3FD3" w:rsidRDefault="002D7080" w:rsidP="00C94525">
            <w:pPr>
              <w:ind w:left="702" w:hanging="702"/>
              <w:contextualSpacing/>
              <w:jc w:val="both"/>
              <w:rPr>
                <w:rFonts w:ascii="Times New Roman" w:eastAsia="Times New Roman" w:hAnsi="Times New Roman" w:cs="Times New Roman"/>
                <w:bCs/>
                <w:sz w:val="20"/>
                <w:szCs w:val="20"/>
                <w:lang w:val="fr-FR" w:eastAsia="en-ZA"/>
              </w:rPr>
            </w:pPr>
            <w:r w:rsidRPr="00ED3FD3">
              <w:rPr>
                <w:rStyle w:val="author"/>
                <w:rFonts w:ascii="Times New Roman" w:hAnsi="Times New Roman" w:cs="Times New Roman"/>
                <w:color w:val="1C1D1E"/>
                <w:sz w:val="20"/>
                <w:szCs w:val="20"/>
                <w:shd w:val="clear" w:color="auto" w:fill="FFFFFF"/>
              </w:rPr>
              <w:t>Madzivanzira, TC</w:t>
            </w:r>
            <w:r w:rsidRPr="00ED3FD3">
              <w:rPr>
                <w:rFonts w:ascii="Times New Roman" w:hAnsi="Times New Roman" w:cs="Times New Roman"/>
                <w:color w:val="1C1D1E"/>
                <w:sz w:val="20"/>
                <w:szCs w:val="20"/>
                <w:shd w:val="clear" w:color="auto" w:fill="FFFFFF"/>
              </w:rPr>
              <w:t>, </w:t>
            </w:r>
            <w:r w:rsidRPr="00ED3FD3">
              <w:rPr>
                <w:rStyle w:val="author"/>
                <w:rFonts w:ascii="Times New Roman" w:hAnsi="Times New Roman" w:cs="Times New Roman"/>
                <w:color w:val="1C1D1E"/>
                <w:sz w:val="20"/>
                <w:szCs w:val="20"/>
                <w:shd w:val="clear" w:color="auto" w:fill="FFFFFF"/>
              </w:rPr>
              <w:t>South, J</w:t>
            </w:r>
            <w:r w:rsidRPr="00ED3FD3">
              <w:rPr>
                <w:rFonts w:ascii="Times New Roman" w:hAnsi="Times New Roman" w:cs="Times New Roman"/>
                <w:color w:val="1C1D1E"/>
                <w:sz w:val="20"/>
                <w:szCs w:val="20"/>
                <w:shd w:val="clear" w:color="auto" w:fill="FFFFFF"/>
              </w:rPr>
              <w:t>, </w:t>
            </w:r>
            <w:r w:rsidRPr="00ED3FD3">
              <w:rPr>
                <w:rStyle w:val="author"/>
                <w:rFonts w:ascii="Times New Roman" w:hAnsi="Times New Roman" w:cs="Times New Roman"/>
                <w:color w:val="1C1D1E"/>
                <w:sz w:val="20"/>
                <w:szCs w:val="20"/>
                <w:shd w:val="clear" w:color="auto" w:fill="FFFFFF"/>
              </w:rPr>
              <w:t>Weyl, OLF</w:t>
            </w:r>
            <w:r w:rsidRPr="00ED3FD3">
              <w:rPr>
                <w:rFonts w:ascii="Times New Roman" w:hAnsi="Times New Roman" w:cs="Times New Roman"/>
                <w:color w:val="1C1D1E"/>
                <w:sz w:val="20"/>
                <w:szCs w:val="20"/>
                <w:shd w:val="clear" w:color="auto" w:fill="FFFFFF"/>
              </w:rPr>
              <w:t>. 2021, ‘</w:t>
            </w:r>
            <w:r w:rsidRPr="00ED3FD3">
              <w:rPr>
                <w:rStyle w:val="articletitle"/>
                <w:rFonts w:ascii="Times New Roman" w:hAnsi="Times New Roman" w:cs="Times New Roman"/>
                <w:color w:val="1C1D1E"/>
                <w:sz w:val="20"/>
                <w:szCs w:val="20"/>
                <w:shd w:val="clear" w:color="auto" w:fill="FFFFFF"/>
              </w:rPr>
              <w:t>Invasive crayfish outperform Potamonautid crabs at higher temperatures’,</w:t>
            </w:r>
            <w:r w:rsidRPr="00ED3FD3">
              <w:rPr>
                <w:rFonts w:ascii="Times New Roman" w:hAnsi="Times New Roman" w:cs="Times New Roman"/>
                <w:color w:val="1C1D1E"/>
                <w:sz w:val="20"/>
                <w:szCs w:val="20"/>
                <w:shd w:val="clear" w:color="auto" w:fill="FFFFFF"/>
              </w:rPr>
              <w:t> </w:t>
            </w:r>
            <w:r w:rsidRPr="00AB6F03">
              <w:rPr>
                <w:rFonts w:ascii="Times New Roman" w:hAnsi="Times New Roman" w:cs="Times New Roman"/>
                <w:i/>
                <w:iCs/>
                <w:color w:val="000000" w:themeColor="text1"/>
                <w:sz w:val="20"/>
                <w:szCs w:val="20"/>
                <w:shd w:val="clear" w:color="auto" w:fill="FFFFFF"/>
              </w:rPr>
              <w:t>Freshwater Biology</w:t>
            </w:r>
            <w:r w:rsidRPr="00AB6F03">
              <w:rPr>
                <w:rFonts w:ascii="Times New Roman" w:hAnsi="Times New Roman" w:cs="Times New Roman"/>
                <w:color w:val="000000" w:themeColor="text1"/>
                <w:sz w:val="20"/>
                <w:szCs w:val="20"/>
                <w:shd w:val="clear" w:color="auto" w:fill="FFFFFF"/>
              </w:rPr>
              <w:t> </w:t>
            </w:r>
            <w:r w:rsidRPr="00ED3FD3">
              <w:rPr>
                <w:rStyle w:val="vol"/>
                <w:rFonts w:ascii="Times New Roman" w:hAnsi="Times New Roman" w:cs="Times New Roman"/>
                <w:color w:val="1C1D1E"/>
                <w:sz w:val="20"/>
                <w:szCs w:val="20"/>
                <w:shd w:val="clear" w:color="auto" w:fill="FFFFFF"/>
              </w:rPr>
              <w:t>66,</w:t>
            </w:r>
            <w:r w:rsidRPr="00ED3FD3">
              <w:rPr>
                <w:rFonts w:ascii="Times New Roman" w:hAnsi="Times New Roman" w:cs="Times New Roman"/>
                <w:color w:val="1C1D1E"/>
                <w:sz w:val="20"/>
                <w:szCs w:val="20"/>
                <w:shd w:val="clear" w:color="auto" w:fill="FFFFFF"/>
              </w:rPr>
              <w:t> </w:t>
            </w:r>
            <w:r w:rsidRPr="00ED3FD3">
              <w:rPr>
                <w:rStyle w:val="pagefirst"/>
                <w:rFonts w:ascii="Times New Roman" w:hAnsi="Times New Roman" w:cs="Times New Roman"/>
                <w:color w:val="1C1D1E"/>
                <w:sz w:val="20"/>
                <w:szCs w:val="20"/>
                <w:shd w:val="clear" w:color="auto" w:fill="FFFFFF"/>
              </w:rPr>
              <w:t>978</w:t>
            </w:r>
            <w:r w:rsidRPr="00ED3FD3">
              <w:rPr>
                <w:rFonts w:ascii="Times New Roman" w:hAnsi="Times New Roman" w:cs="Times New Roman"/>
                <w:color w:val="1C1D1E"/>
                <w:sz w:val="20"/>
                <w:szCs w:val="20"/>
                <w:shd w:val="clear" w:color="auto" w:fill="FFFFFF"/>
              </w:rPr>
              <w:t>–</w:t>
            </w:r>
            <w:r w:rsidRPr="00ED3FD3">
              <w:rPr>
                <w:rStyle w:val="pagelast"/>
                <w:rFonts w:ascii="Times New Roman" w:hAnsi="Times New Roman" w:cs="Times New Roman"/>
                <w:color w:val="1C1D1E"/>
                <w:sz w:val="20"/>
                <w:szCs w:val="20"/>
                <w:shd w:val="clear" w:color="auto" w:fill="FFFFFF"/>
              </w:rPr>
              <w:t>991</w:t>
            </w:r>
            <w:r w:rsidRPr="00ED3FD3">
              <w:rPr>
                <w:rFonts w:ascii="Times New Roman" w:hAnsi="Times New Roman" w:cs="Times New Roman"/>
                <w:color w:val="1C1D1E"/>
                <w:sz w:val="20"/>
                <w:szCs w:val="20"/>
                <w:shd w:val="clear" w:color="auto" w:fill="FFFFFF"/>
              </w:rPr>
              <w:t>. </w:t>
            </w:r>
            <w:hyperlink w:history="1">
              <w:r w:rsidRPr="00ED3FD3">
                <w:rPr>
                  <w:rStyle w:val="Hyperlink"/>
                  <w:rFonts w:ascii="Times New Roman" w:hAnsi="Times New Roman" w:cs="Times New Roman"/>
                  <w:sz w:val="20"/>
                  <w:szCs w:val="20"/>
                  <w:shd w:val="clear" w:color="auto" w:fill="FFFFFF"/>
                  <w:lang w:val="fr-FR"/>
                </w:rPr>
                <w:t>https://doi.org/10.1111/fwb.13691</w:t>
              </w:r>
            </w:hyperlink>
          </w:p>
          <w:p w14:paraId="15F2CF22" w14:textId="49A55813" w:rsidR="002D7080" w:rsidRPr="00ED3FD3" w:rsidRDefault="002D7080" w:rsidP="00C94525">
            <w:pPr>
              <w:ind w:left="702" w:hanging="702"/>
              <w:contextualSpacing/>
              <w:jc w:val="both"/>
              <w:rPr>
                <w:rFonts w:ascii="Times New Roman" w:eastAsia="Times New Roman" w:hAnsi="Times New Roman" w:cs="Times New Roman"/>
                <w:sz w:val="20"/>
                <w:szCs w:val="20"/>
                <w:lang w:val="fr-FR" w:eastAsia="en-ZA"/>
              </w:rPr>
            </w:pPr>
            <w:r w:rsidRPr="00ED3FD3">
              <w:rPr>
                <w:rFonts w:ascii="Times New Roman" w:eastAsia="Times New Roman" w:hAnsi="Times New Roman" w:cs="Times New Roman"/>
                <w:sz w:val="20"/>
                <w:szCs w:val="20"/>
                <w:lang w:val="fr-FR" w:eastAsia="en-ZA"/>
              </w:rPr>
              <w:t>Pöckl, M. &amp; Pekny, R., 2002. ‘Interaction between native and alien species of crayfish in Austria: case studies’, </w:t>
            </w:r>
            <w:r w:rsidRPr="00ED3FD3">
              <w:rPr>
                <w:rFonts w:ascii="Times New Roman" w:eastAsia="Times New Roman" w:hAnsi="Times New Roman" w:cs="Times New Roman"/>
                <w:i/>
                <w:iCs/>
                <w:sz w:val="20"/>
                <w:szCs w:val="20"/>
                <w:lang w:val="fr-FR" w:eastAsia="en-ZA"/>
              </w:rPr>
              <w:t>Bulletin Français de la Pêche et de la Pisciculture</w:t>
            </w:r>
            <w:r w:rsidRPr="00ED3FD3">
              <w:rPr>
                <w:rFonts w:ascii="Times New Roman" w:eastAsia="Times New Roman" w:hAnsi="Times New Roman" w:cs="Times New Roman"/>
                <w:sz w:val="20"/>
                <w:szCs w:val="20"/>
                <w:lang w:val="fr-FR" w:eastAsia="en-ZA"/>
              </w:rPr>
              <w:t xml:space="preserve"> 367, 763–776. </w:t>
            </w:r>
            <w:hyperlink r:id="rId432" w:history="1">
              <w:r w:rsidR="00063445" w:rsidRPr="00D704ED">
                <w:rPr>
                  <w:rStyle w:val="Hyperlink"/>
                  <w:rFonts w:ascii="Times New Roman" w:eastAsia="Times New Roman" w:hAnsi="Times New Roman" w:cs="Times New Roman"/>
                  <w:sz w:val="20"/>
                  <w:szCs w:val="20"/>
                  <w:lang w:val="fr-FR" w:eastAsia="en-ZA"/>
                </w:rPr>
                <w:t>https://doi.org/10.1051/kmae:2002064</w:t>
              </w:r>
            </w:hyperlink>
            <w:r w:rsidRPr="00ED3FD3">
              <w:rPr>
                <w:rFonts w:ascii="Times New Roman" w:eastAsia="Times New Roman" w:hAnsi="Times New Roman" w:cs="Times New Roman"/>
                <w:sz w:val="20"/>
                <w:szCs w:val="20"/>
                <w:lang w:val="fr-FR" w:eastAsia="en-ZA"/>
              </w:rPr>
              <w:t>.</w:t>
            </w:r>
          </w:p>
          <w:p w14:paraId="1F01165B" w14:textId="5884DBB7" w:rsidR="002D7080" w:rsidRPr="00ED3FD3" w:rsidRDefault="002D7080" w:rsidP="00C94525">
            <w:pPr>
              <w:ind w:left="702" w:hanging="702"/>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Weinländer, M. &amp; Füreder, L., 2009, ‘The continuing spread of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in Carinthia (Austria)’, </w:t>
            </w:r>
            <w:r w:rsidRPr="00ED3FD3">
              <w:rPr>
                <w:rFonts w:ascii="Times New Roman" w:eastAsia="Times New Roman" w:hAnsi="Times New Roman" w:cs="Times New Roman"/>
                <w:i/>
                <w:iCs/>
                <w:sz w:val="20"/>
                <w:szCs w:val="20"/>
                <w:lang w:eastAsia="en-ZA"/>
              </w:rPr>
              <w:t>Knowledge and Management of Aquatic Ecosystems</w:t>
            </w:r>
            <w:r w:rsidRPr="00ED3FD3">
              <w:rPr>
                <w:rFonts w:ascii="Times New Roman" w:eastAsia="Times New Roman" w:hAnsi="Times New Roman" w:cs="Times New Roman"/>
                <w:sz w:val="20"/>
                <w:szCs w:val="20"/>
                <w:lang w:eastAsia="en-ZA"/>
              </w:rPr>
              <w:t xml:space="preserve"> 17, 394–395. </w:t>
            </w:r>
            <w:r w:rsidR="00063445" w:rsidRPr="00063445">
              <w:rPr>
                <w:rFonts w:ascii="Times New Roman" w:eastAsia="Times New Roman" w:hAnsi="Times New Roman" w:cs="Times New Roman"/>
                <w:sz w:val="20"/>
                <w:szCs w:val="20"/>
                <w:lang w:eastAsia="en-ZA"/>
              </w:rPr>
              <w:t xml:space="preserve">. </w:t>
            </w:r>
            <w:hyperlink r:id="rId433" w:history="1">
              <w:r w:rsidR="00063445" w:rsidRPr="00D704ED">
                <w:rPr>
                  <w:rStyle w:val="Hyperlink"/>
                  <w:rFonts w:ascii="Times New Roman" w:eastAsia="Times New Roman" w:hAnsi="Times New Roman" w:cs="Times New Roman"/>
                  <w:sz w:val="20"/>
                  <w:szCs w:val="20"/>
                  <w:lang w:eastAsia="en-ZA"/>
                </w:rPr>
                <w:t>https://doi.org/10.1051/kmae/20010011</w:t>
              </w:r>
            </w:hyperlink>
            <w:r w:rsidRPr="00ED3FD3">
              <w:rPr>
                <w:rFonts w:ascii="Times New Roman" w:eastAsia="Times New Roman" w:hAnsi="Times New Roman" w:cs="Times New Roman"/>
                <w:sz w:val="20"/>
                <w:szCs w:val="20"/>
                <w:lang w:eastAsia="en-ZA"/>
              </w:rPr>
              <w:t>.</w:t>
            </w:r>
          </w:p>
          <w:p w14:paraId="07C37415" w14:textId="2DA5A707" w:rsidR="002D7080" w:rsidRPr="00ED3FD3" w:rsidRDefault="002D7080" w:rsidP="00C94525">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Westman, K., Savolainen, R. &amp; Julkunen, M., 2002, ‘Replacement of the native crayfish </w:t>
            </w:r>
            <w:r w:rsidRPr="00ED3FD3">
              <w:rPr>
                <w:rFonts w:ascii="Times New Roman" w:eastAsia="Times New Roman" w:hAnsi="Times New Roman" w:cs="Times New Roman"/>
                <w:i/>
                <w:sz w:val="20"/>
                <w:szCs w:val="20"/>
                <w:lang w:eastAsia="en-ZA"/>
              </w:rPr>
              <w:t>Astacus astacus</w:t>
            </w:r>
            <w:r w:rsidRPr="00ED3FD3">
              <w:rPr>
                <w:rFonts w:ascii="Times New Roman" w:eastAsia="Times New Roman" w:hAnsi="Times New Roman" w:cs="Times New Roman"/>
                <w:sz w:val="20"/>
                <w:szCs w:val="20"/>
                <w:lang w:eastAsia="en-ZA"/>
              </w:rPr>
              <w:t xml:space="preserve"> by the introduced species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in a small, enclosed Finnish lake: A 30-year study’, </w:t>
            </w:r>
            <w:r w:rsidRPr="00ED3FD3">
              <w:rPr>
                <w:rFonts w:ascii="Times New Roman" w:eastAsia="Times New Roman" w:hAnsi="Times New Roman" w:cs="Times New Roman"/>
                <w:i/>
                <w:sz w:val="20"/>
                <w:szCs w:val="20"/>
                <w:lang w:eastAsia="en-ZA"/>
              </w:rPr>
              <w:t>Ecography</w:t>
            </w:r>
            <w:r w:rsidRPr="00ED3FD3">
              <w:rPr>
                <w:rFonts w:ascii="Times New Roman" w:eastAsia="Times New Roman" w:hAnsi="Times New Roman" w:cs="Times New Roman"/>
                <w:sz w:val="20"/>
                <w:szCs w:val="20"/>
                <w:lang w:eastAsia="en-ZA"/>
              </w:rPr>
              <w:t xml:space="preserve"> 25, 53–73</w:t>
            </w:r>
            <w:r w:rsidR="00063445">
              <w:rPr>
                <w:rFonts w:ascii="Times New Roman" w:eastAsia="Times New Roman" w:hAnsi="Times New Roman" w:cs="Times New Roman"/>
                <w:sz w:val="20"/>
                <w:szCs w:val="20"/>
                <w:lang w:eastAsia="en-ZA"/>
              </w:rPr>
              <w:t xml:space="preserve">, </w:t>
            </w:r>
            <w:hyperlink r:id="rId434" w:history="1">
              <w:r w:rsidR="00933135" w:rsidRPr="00CF3DB5">
                <w:rPr>
                  <w:rStyle w:val="Hyperlink"/>
                  <w:rFonts w:ascii="Times New Roman" w:eastAsia="Times New Roman" w:hAnsi="Times New Roman" w:cs="Times New Roman"/>
                  <w:sz w:val="20"/>
                  <w:szCs w:val="20"/>
                  <w:lang w:eastAsia="en-ZA"/>
                </w:rPr>
                <w:t>https://doi.org/10.1034/j.1600-0587.2002.250107.x</w:t>
              </w:r>
            </w:hyperlink>
            <w:r w:rsidRPr="00ED3FD3">
              <w:rPr>
                <w:rFonts w:ascii="Times New Roman" w:hAnsi="Times New Roman" w:cs="Times New Roman"/>
                <w:color w:val="000000"/>
                <w:sz w:val="20"/>
                <w:szCs w:val="20"/>
              </w:rPr>
              <w:t>.</w:t>
            </w:r>
          </w:p>
        </w:tc>
      </w:tr>
      <w:tr w:rsidR="002D7080" w:rsidRPr="00ED3FD3" w14:paraId="1C73CFCB" w14:textId="77777777" w:rsidTr="002E2C37">
        <w:tc>
          <w:tcPr>
            <w:tcW w:w="9016" w:type="dxa"/>
            <w:gridSpan w:val="2"/>
            <w:shd w:val="clear" w:color="auto" w:fill="F2F2F2" w:themeFill="background1" w:themeFillShade="F2"/>
          </w:tcPr>
          <w:p w14:paraId="3C9E3569"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CON1b: Predation</w:t>
            </w:r>
          </w:p>
        </w:tc>
      </w:tr>
      <w:tr w:rsidR="002D7080" w:rsidRPr="00ED3FD3" w14:paraId="297B3B0F" w14:textId="77777777" w:rsidTr="002E2C37">
        <w:tc>
          <w:tcPr>
            <w:tcW w:w="5949" w:type="dxa"/>
          </w:tcPr>
          <w:p w14:paraId="21F75FA3"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Moderate (MO)</w:t>
            </w:r>
          </w:p>
        </w:tc>
        <w:tc>
          <w:tcPr>
            <w:tcW w:w="3067" w:type="dxa"/>
          </w:tcPr>
          <w:p w14:paraId="2A1CAF3B"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Medium</w:t>
            </w:r>
          </w:p>
        </w:tc>
      </w:tr>
      <w:tr w:rsidR="002D7080" w:rsidRPr="00ED3FD3" w14:paraId="3B69F549" w14:textId="77777777" w:rsidTr="002E2C37">
        <w:trPr>
          <w:trHeight w:val="70"/>
        </w:trPr>
        <w:tc>
          <w:tcPr>
            <w:tcW w:w="9016" w:type="dxa"/>
            <w:gridSpan w:val="2"/>
          </w:tcPr>
          <w:p w14:paraId="77957301"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xml:space="preserve"> is a functional omnivore feeding on plant material, zoobenthos, detritus, fish, and sometimes other crayfish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"10.3391/ai.2010.5.3.10", "author" : [ { "dropping-particle" : "", "family" : "Dana", "given" : "El\u00edas D", "non-dropping-particle" : "", "parse-names" : false, "suffix" : "" }, { "dropping-particle" : "", "family" : "L\u00f3pez-santiago", "given" : "Javier", "non-dropping-particle" : "", "parse-names" : false, "suffix" : "" }, { "dropping-particle" : "", "family" : "Garc\u00eda-de-lomas", "given" : "Juan", "non-dropping-particle" : "", "parse-names" : false, "suffix" : "" }, { "dropping-particle" : "", "family" : "Garc\u00eda-oca\u00f1a", "given" : "David M", "non-dropping-particle" : "", "parse-names" : false, "suffix" : "" }, { "dropping-particle" : "", "family" : "Ortega", "given" : "Fernando", "non-dropping-particle" : "", "parse-names" : false, "suffix" : "" } ], "id" : "ITEM-1", "issue" : "3", "issued" : { "date-parts" : [ [ "2010" ] ] }, "page" : "317-322", "title" : "Long-term management of the invasive Pacifastacus leniusculus ( Dana , 1852 ) in a small mountain stream", "type" : "article-journal", "volume" : "5" }, "uris" : [ "http://www.mendeley.com/documents/?uuid=809984f6-033c-4580-93af-e25fa9c1001e" ] } ], "mendeley" : { "formattedCitation" : "(Dana et al. 2010)", "manualFormatting" : "(Dana et al. 2010, Moorhouse 2018)", "plainTextFormattedCitation" : "(Dana et al. 2010)", "previouslyFormattedCitation" : "(Dana et al. 2010)"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(Dana et al. 2010; Moorhouse 2018)</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xml:space="preserve"> tends to consume more animal than plant material and impacts invertebrate densities through direct predation (Crawford et al. 2006; Moorhouse 2018). In invaded areas, there is an overall decrease in richness and abundance of native species such as snails, leeches, caddisflies, newts, and fish (Crawford et al. 2006; Girdner et al. 2018, Galib et al. 2021). </w:t>
            </w:r>
          </w:p>
        </w:tc>
      </w:tr>
      <w:tr w:rsidR="002D7080" w:rsidRPr="00ED3FD3" w14:paraId="222A2B6E" w14:textId="77777777" w:rsidTr="002E2C37">
        <w:trPr>
          <w:trHeight w:val="70"/>
        </w:trPr>
        <w:tc>
          <w:tcPr>
            <w:tcW w:w="9016" w:type="dxa"/>
            <w:gridSpan w:val="2"/>
          </w:tcPr>
          <w:p w14:paraId="6AF3B82D" w14:textId="77777777" w:rsidR="002D7080" w:rsidRPr="00ED3FD3" w:rsidRDefault="002D7080" w:rsidP="002E2C37">
            <w:pPr>
              <w:contextualSpacing/>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22ED7B34" w14:textId="77777777" w:rsidR="002D7080" w:rsidRPr="00933135" w:rsidRDefault="002D7080" w:rsidP="00C94525">
            <w:pPr>
              <w:tabs>
                <w:tab w:val="left" w:pos="780"/>
              </w:tabs>
              <w:ind w:left="780" w:hanging="780"/>
              <w:contextualSpacing/>
              <w:jc w:val="both"/>
              <w:rPr>
                <w:rFonts w:ascii="Times New Roman" w:eastAsia="Times New Roman" w:hAnsi="Times New Roman" w:cs="Times New Roman"/>
                <w:sz w:val="20"/>
                <w:szCs w:val="20"/>
                <w:lang w:eastAsia="en-ZA"/>
              </w:rPr>
            </w:pPr>
            <w:r w:rsidRPr="00933135">
              <w:rPr>
                <w:rFonts w:ascii="Times New Roman" w:eastAsia="Times New Roman" w:hAnsi="Times New Roman" w:cs="Times New Roman"/>
                <w:sz w:val="20"/>
                <w:szCs w:val="20"/>
                <w:lang w:eastAsia="en-ZA"/>
              </w:rPr>
              <w:lastRenderedPageBreak/>
              <w:t xml:space="preserve">Crawford, L., Yeomans, W.E. &amp; Adams, C.E., 2006, ‘The impact of introduced signal crayfish </w:t>
            </w:r>
            <w:r w:rsidRPr="00933135">
              <w:rPr>
                <w:rFonts w:ascii="Times New Roman" w:eastAsia="Times New Roman" w:hAnsi="Times New Roman" w:cs="Times New Roman"/>
                <w:i/>
                <w:sz w:val="20"/>
                <w:szCs w:val="20"/>
                <w:lang w:eastAsia="en-ZA"/>
              </w:rPr>
              <w:t>Pacifastacus leniusculus</w:t>
            </w:r>
            <w:r w:rsidRPr="00933135">
              <w:rPr>
                <w:rFonts w:ascii="Times New Roman" w:eastAsia="Times New Roman" w:hAnsi="Times New Roman" w:cs="Times New Roman"/>
                <w:sz w:val="20"/>
                <w:szCs w:val="20"/>
                <w:lang w:eastAsia="en-ZA"/>
              </w:rPr>
              <w:t xml:space="preserve"> on stream invertebrate communities’, </w:t>
            </w:r>
            <w:r w:rsidRPr="00933135">
              <w:rPr>
                <w:rFonts w:ascii="Times New Roman" w:eastAsia="Times New Roman" w:hAnsi="Times New Roman" w:cs="Times New Roman"/>
                <w:i/>
                <w:iCs/>
                <w:sz w:val="20"/>
                <w:szCs w:val="20"/>
                <w:lang w:eastAsia="en-ZA"/>
              </w:rPr>
              <w:t xml:space="preserve">Aquatic Conservation: </w:t>
            </w:r>
            <w:r w:rsidRPr="00933135">
              <w:rPr>
                <w:rFonts w:ascii="Times New Roman" w:eastAsia="Times New Roman" w:hAnsi="Times New Roman" w:cs="Times New Roman"/>
                <w:i/>
                <w:iCs/>
                <w:sz w:val="20"/>
                <w:szCs w:val="20"/>
                <w:lang w:eastAsia="en-ZA"/>
              </w:rPr>
              <w:tab/>
              <w:t>Marine and Freshwater Ecosystems</w:t>
            </w:r>
            <w:r w:rsidRPr="00933135">
              <w:rPr>
                <w:rFonts w:ascii="Times New Roman" w:eastAsia="Times New Roman" w:hAnsi="Times New Roman" w:cs="Times New Roman"/>
                <w:sz w:val="20"/>
                <w:szCs w:val="20"/>
                <w:lang w:eastAsia="en-ZA"/>
              </w:rPr>
              <w:t xml:space="preserve"> </w:t>
            </w:r>
            <w:r w:rsidRPr="00933135">
              <w:rPr>
                <w:rFonts w:ascii="Times New Roman" w:eastAsia="Times New Roman" w:hAnsi="Times New Roman" w:cs="Times New Roman"/>
                <w:iCs/>
                <w:sz w:val="20"/>
                <w:szCs w:val="20"/>
                <w:lang w:eastAsia="en-ZA"/>
              </w:rPr>
              <w:t>16</w:t>
            </w:r>
            <w:r w:rsidRPr="00933135">
              <w:rPr>
                <w:rFonts w:ascii="Times New Roman" w:eastAsia="Times New Roman" w:hAnsi="Times New Roman" w:cs="Times New Roman"/>
                <w:sz w:val="20"/>
                <w:szCs w:val="20"/>
                <w:lang w:eastAsia="en-ZA"/>
              </w:rPr>
              <w:t>, 611–621. https://doi.org/10.1002/aqc.761.</w:t>
            </w:r>
          </w:p>
          <w:p w14:paraId="0B9C4040" w14:textId="77C13B86" w:rsidR="002D7080" w:rsidRPr="00933135" w:rsidRDefault="002D7080" w:rsidP="00C94525">
            <w:pPr>
              <w:ind w:left="702" w:hanging="702"/>
              <w:contextualSpacing/>
              <w:jc w:val="both"/>
              <w:rPr>
                <w:rFonts w:ascii="Times New Roman" w:eastAsia="Times New Roman" w:hAnsi="Times New Roman" w:cs="Times New Roman"/>
                <w:sz w:val="20"/>
                <w:szCs w:val="20"/>
                <w:lang w:eastAsia="en-ZA"/>
              </w:rPr>
            </w:pPr>
            <w:r w:rsidRPr="00933135">
              <w:rPr>
                <w:rFonts w:ascii="Times New Roman" w:eastAsia="Times New Roman" w:hAnsi="Times New Roman" w:cs="Times New Roman"/>
                <w:sz w:val="20"/>
                <w:szCs w:val="20"/>
                <w:lang w:eastAsia="en-ZA"/>
              </w:rPr>
              <w:t xml:space="preserve">Dana, E.D., López-Santiago J., García-de-Lomas, J., García-Ocaña, D.M., Gámez, V. &amp; Ortega, F., 2010, ‘Long-term management of the invasive </w:t>
            </w:r>
            <w:r w:rsidRPr="00933135">
              <w:rPr>
                <w:rFonts w:ascii="Times New Roman" w:eastAsia="Times New Roman" w:hAnsi="Times New Roman" w:cs="Times New Roman"/>
                <w:i/>
                <w:sz w:val="20"/>
                <w:szCs w:val="20"/>
                <w:lang w:eastAsia="en-ZA"/>
              </w:rPr>
              <w:t>Pacifastacus leniusculus</w:t>
            </w:r>
            <w:r w:rsidRPr="00933135">
              <w:rPr>
                <w:rFonts w:ascii="Times New Roman" w:eastAsia="Times New Roman" w:hAnsi="Times New Roman" w:cs="Times New Roman"/>
                <w:sz w:val="20"/>
                <w:szCs w:val="20"/>
                <w:lang w:eastAsia="en-ZA"/>
              </w:rPr>
              <w:t xml:space="preserve"> (Dana, 1852) in a small mountain stream’, </w:t>
            </w:r>
            <w:r w:rsidRPr="00933135">
              <w:rPr>
                <w:rFonts w:ascii="Times New Roman" w:eastAsia="Times New Roman" w:hAnsi="Times New Roman" w:cs="Times New Roman"/>
                <w:i/>
                <w:iCs/>
                <w:sz w:val="20"/>
                <w:szCs w:val="20"/>
                <w:lang w:eastAsia="en-ZA"/>
              </w:rPr>
              <w:t>Aquatic Invasions</w:t>
            </w:r>
            <w:r w:rsidRPr="00933135">
              <w:rPr>
                <w:rFonts w:ascii="Times New Roman" w:eastAsia="Times New Roman" w:hAnsi="Times New Roman" w:cs="Times New Roman"/>
                <w:sz w:val="20"/>
                <w:szCs w:val="20"/>
                <w:lang w:eastAsia="en-ZA"/>
              </w:rPr>
              <w:t xml:space="preserve"> </w:t>
            </w:r>
            <w:r w:rsidRPr="00933135">
              <w:rPr>
                <w:rFonts w:ascii="Times New Roman" w:eastAsia="Times New Roman" w:hAnsi="Times New Roman" w:cs="Times New Roman"/>
                <w:iCs/>
                <w:sz w:val="20"/>
                <w:szCs w:val="20"/>
                <w:lang w:eastAsia="en-ZA"/>
              </w:rPr>
              <w:t>5</w:t>
            </w:r>
            <w:r w:rsidRPr="00933135">
              <w:rPr>
                <w:rFonts w:ascii="Times New Roman" w:eastAsia="Times New Roman" w:hAnsi="Times New Roman" w:cs="Times New Roman"/>
                <w:sz w:val="20"/>
                <w:szCs w:val="20"/>
                <w:lang w:eastAsia="en-ZA"/>
              </w:rPr>
              <w:t xml:space="preserve">, 317–322. </w:t>
            </w:r>
            <w:r w:rsidR="00933135" w:rsidRPr="00DF6192">
              <w:rPr>
                <w:rFonts w:ascii="Times New Roman" w:hAnsi="Times New Roman" w:cs="Times New Roman"/>
                <w:sz w:val="20"/>
                <w:szCs w:val="20"/>
              </w:rPr>
              <w:t xml:space="preserve">, </w:t>
            </w:r>
            <w:hyperlink r:id="rId435" w:history="1">
              <w:r w:rsidR="00933135" w:rsidRPr="00DF6192">
                <w:rPr>
                  <w:rStyle w:val="Hyperlink"/>
                  <w:rFonts w:ascii="Times New Roman" w:hAnsi="Times New Roman" w:cs="Times New Roman"/>
                  <w:sz w:val="20"/>
                  <w:szCs w:val="20"/>
                </w:rPr>
                <w:t>https://doi.org/10.3391/ai.2010.5.3.10</w:t>
              </w:r>
            </w:hyperlink>
            <w:r w:rsidRPr="00933135">
              <w:rPr>
                <w:rFonts w:ascii="Times New Roman" w:eastAsia="Times New Roman" w:hAnsi="Times New Roman" w:cs="Times New Roman"/>
                <w:sz w:val="20"/>
                <w:szCs w:val="20"/>
                <w:lang w:eastAsia="en-ZA"/>
              </w:rPr>
              <w:t>.</w:t>
            </w:r>
          </w:p>
          <w:p w14:paraId="0459A03C" w14:textId="64BBF587" w:rsidR="002D7080" w:rsidRPr="00933135" w:rsidRDefault="002D7080" w:rsidP="00C94525">
            <w:pPr>
              <w:ind w:left="702" w:hanging="702"/>
              <w:contextualSpacing/>
              <w:jc w:val="both"/>
              <w:rPr>
                <w:rFonts w:ascii="Times New Roman" w:eastAsia="Times New Roman" w:hAnsi="Times New Roman" w:cs="Times New Roman"/>
                <w:sz w:val="20"/>
                <w:szCs w:val="20"/>
                <w:lang w:eastAsia="en-ZA"/>
              </w:rPr>
            </w:pPr>
            <w:r w:rsidRPr="00933135">
              <w:rPr>
                <w:rStyle w:val="author"/>
                <w:rFonts w:ascii="Times New Roman" w:hAnsi="Times New Roman" w:cs="Times New Roman"/>
                <w:color w:val="1C1D1E"/>
                <w:sz w:val="20"/>
                <w:szCs w:val="20"/>
                <w:shd w:val="clear" w:color="auto" w:fill="FFFFFF"/>
              </w:rPr>
              <w:t>Galib, S.M.</w:t>
            </w:r>
            <w:r w:rsidRPr="00933135">
              <w:rPr>
                <w:rFonts w:ascii="Times New Roman" w:hAnsi="Times New Roman" w:cs="Times New Roman"/>
                <w:color w:val="1C1D1E"/>
                <w:sz w:val="20"/>
                <w:szCs w:val="20"/>
                <w:shd w:val="clear" w:color="auto" w:fill="FFFFFF"/>
              </w:rPr>
              <w:t>, </w:t>
            </w:r>
            <w:r w:rsidRPr="00933135">
              <w:rPr>
                <w:rStyle w:val="author"/>
                <w:rFonts w:ascii="Times New Roman" w:hAnsi="Times New Roman" w:cs="Times New Roman"/>
                <w:color w:val="1C1D1E"/>
                <w:sz w:val="20"/>
                <w:szCs w:val="20"/>
                <w:shd w:val="clear" w:color="auto" w:fill="FFFFFF"/>
              </w:rPr>
              <w:t>Findlay, J.S.</w:t>
            </w:r>
            <w:r w:rsidRPr="00933135">
              <w:rPr>
                <w:rFonts w:ascii="Times New Roman" w:hAnsi="Times New Roman" w:cs="Times New Roman"/>
                <w:color w:val="1C1D1E"/>
                <w:sz w:val="20"/>
                <w:szCs w:val="20"/>
                <w:shd w:val="clear" w:color="auto" w:fill="FFFFFF"/>
              </w:rPr>
              <w:t>, </w:t>
            </w:r>
            <w:r w:rsidRPr="00933135">
              <w:rPr>
                <w:rStyle w:val="author"/>
                <w:rFonts w:ascii="Times New Roman" w:hAnsi="Times New Roman" w:cs="Times New Roman"/>
                <w:color w:val="1C1D1E"/>
                <w:sz w:val="20"/>
                <w:szCs w:val="20"/>
                <w:shd w:val="clear" w:color="auto" w:fill="FFFFFF"/>
              </w:rPr>
              <w:t>Lucas, M.C</w:t>
            </w:r>
            <w:r w:rsidRPr="00933135">
              <w:rPr>
                <w:rFonts w:ascii="Times New Roman" w:hAnsi="Times New Roman" w:cs="Times New Roman"/>
                <w:color w:val="1C1D1E"/>
                <w:sz w:val="20"/>
                <w:szCs w:val="20"/>
                <w:shd w:val="clear" w:color="auto" w:fill="FFFFFF"/>
              </w:rPr>
              <w:t>. 2021, ‘</w:t>
            </w:r>
            <w:r w:rsidRPr="00933135">
              <w:rPr>
                <w:rStyle w:val="articletitle"/>
                <w:rFonts w:ascii="Times New Roman" w:hAnsi="Times New Roman" w:cs="Times New Roman"/>
                <w:color w:val="1C1D1E"/>
                <w:sz w:val="20"/>
                <w:szCs w:val="20"/>
                <w:shd w:val="clear" w:color="auto" w:fill="FFFFFF"/>
              </w:rPr>
              <w:t>Strong impacts of signal crayfish invasion on upland stream fish and invertebrate communities’,</w:t>
            </w:r>
            <w:r w:rsidRPr="00933135">
              <w:rPr>
                <w:rFonts w:ascii="Times New Roman" w:hAnsi="Times New Roman" w:cs="Times New Roman"/>
                <w:color w:val="1C1D1E"/>
                <w:sz w:val="20"/>
                <w:szCs w:val="20"/>
                <w:shd w:val="clear" w:color="auto" w:fill="FFFFFF"/>
              </w:rPr>
              <w:t> </w:t>
            </w:r>
            <w:r w:rsidRPr="00933135">
              <w:rPr>
                <w:rFonts w:ascii="Times New Roman" w:hAnsi="Times New Roman" w:cs="Times New Roman"/>
                <w:i/>
                <w:iCs/>
                <w:color w:val="1C1D1E"/>
                <w:sz w:val="20"/>
                <w:szCs w:val="20"/>
                <w:shd w:val="clear" w:color="auto" w:fill="FFFFFF"/>
              </w:rPr>
              <w:t xml:space="preserve">Freshwater Biology </w:t>
            </w:r>
            <w:r w:rsidRPr="00933135">
              <w:rPr>
                <w:rStyle w:val="vol"/>
                <w:rFonts w:ascii="Times New Roman" w:hAnsi="Times New Roman" w:cs="Times New Roman"/>
                <w:color w:val="1C1D1E"/>
                <w:sz w:val="20"/>
                <w:szCs w:val="20"/>
                <w:shd w:val="clear" w:color="auto" w:fill="FFFFFF"/>
              </w:rPr>
              <w:t>66,</w:t>
            </w:r>
            <w:r w:rsidRPr="00933135">
              <w:rPr>
                <w:rFonts w:ascii="Times New Roman" w:hAnsi="Times New Roman" w:cs="Times New Roman"/>
                <w:color w:val="1C1D1E"/>
                <w:sz w:val="20"/>
                <w:szCs w:val="20"/>
                <w:shd w:val="clear" w:color="auto" w:fill="FFFFFF"/>
              </w:rPr>
              <w:t> </w:t>
            </w:r>
            <w:r w:rsidRPr="00933135">
              <w:rPr>
                <w:rStyle w:val="pagefirst"/>
                <w:rFonts w:ascii="Times New Roman" w:hAnsi="Times New Roman" w:cs="Times New Roman"/>
                <w:color w:val="1C1D1E"/>
                <w:sz w:val="20"/>
                <w:szCs w:val="20"/>
                <w:shd w:val="clear" w:color="auto" w:fill="FFFFFF"/>
              </w:rPr>
              <w:t>223</w:t>
            </w:r>
            <w:r w:rsidRPr="00933135">
              <w:rPr>
                <w:rFonts w:ascii="Times New Roman" w:hAnsi="Times New Roman" w:cs="Times New Roman"/>
                <w:color w:val="1C1D1E"/>
                <w:sz w:val="20"/>
                <w:szCs w:val="20"/>
                <w:shd w:val="clear" w:color="auto" w:fill="FFFFFF"/>
              </w:rPr>
              <w:t>–</w:t>
            </w:r>
            <w:r w:rsidRPr="00933135">
              <w:rPr>
                <w:rStyle w:val="pagelast"/>
                <w:rFonts w:ascii="Times New Roman" w:hAnsi="Times New Roman" w:cs="Times New Roman"/>
                <w:color w:val="1C1D1E"/>
                <w:sz w:val="20"/>
                <w:szCs w:val="20"/>
                <w:shd w:val="clear" w:color="auto" w:fill="FFFFFF"/>
              </w:rPr>
              <w:t>240</w:t>
            </w:r>
            <w:r w:rsidRPr="00933135">
              <w:rPr>
                <w:rFonts w:ascii="Times New Roman" w:hAnsi="Times New Roman" w:cs="Times New Roman"/>
                <w:color w:val="1C1D1E"/>
                <w:sz w:val="20"/>
                <w:szCs w:val="20"/>
                <w:shd w:val="clear" w:color="auto" w:fill="FFFFFF"/>
              </w:rPr>
              <w:t>. </w:t>
            </w:r>
            <w:hyperlink r:id="rId436" w:history="1">
              <w:r w:rsidR="00933135" w:rsidRPr="00933135">
                <w:rPr>
                  <w:rStyle w:val="Hyperlink"/>
                  <w:rFonts w:ascii="Times New Roman" w:hAnsi="Times New Roman" w:cs="Times New Roman"/>
                  <w:sz w:val="20"/>
                  <w:szCs w:val="20"/>
                </w:rPr>
                <w:t>https://doi.org/10.1111/fwb.13631</w:t>
              </w:r>
            </w:hyperlink>
          </w:p>
          <w:p w14:paraId="7D64CE1F" w14:textId="07E7D1B3" w:rsidR="002D7080" w:rsidRPr="00933135" w:rsidRDefault="002D7080" w:rsidP="00C94525">
            <w:pPr>
              <w:ind w:left="702" w:hanging="702"/>
              <w:contextualSpacing/>
              <w:jc w:val="both"/>
              <w:rPr>
                <w:rFonts w:ascii="Times New Roman" w:eastAsia="Times New Roman" w:hAnsi="Times New Roman" w:cs="Times New Roman"/>
                <w:sz w:val="20"/>
                <w:szCs w:val="20"/>
                <w:lang w:eastAsia="en-ZA"/>
              </w:rPr>
            </w:pPr>
            <w:r w:rsidRPr="00933135">
              <w:rPr>
                <w:rFonts w:ascii="Times New Roman" w:eastAsia="Times New Roman" w:hAnsi="Times New Roman" w:cs="Times New Roman"/>
                <w:sz w:val="20"/>
                <w:szCs w:val="20"/>
                <w:lang w:eastAsia="en-ZA"/>
              </w:rPr>
              <w:t>Girdner, S.F., Ray, A.M., Buktenica, M.W., Hering, D.K., Mack, J.A. &amp; Umek, J.W., 2018, ‘Replacement of a unique population of newts (</w:t>
            </w:r>
            <w:r w:rsidRPr="00933135">
              <w:rPr>
                <w:rFonts w:ascii="Times New Roman" w:eastAsia="Times New Roman" w:hAnsi="Times New Roman" w:cs="Times New Roman"/>
                <w:i/>
                <w:sz w:val="20"/>
                <w:szCs w:val="20"/>
                <w:lang w:eastAsia="en-ZA"/>
              </w:rPr>
              <w:t>Taricha granulosa mazamae</w:t>
            </w:r>
            <w:r w:rsidRPr="00933135">
              <w:rPr>
                <w:rFonts w:ascii="Times New Roman" w:eastAsia="Times New Roman" w:hAnsi="Times New Roman" w:cs="Times New Roman"/>
                <w:sz w:val="20"/>
                <w:szCs w:val="20"/>
                <w:lang w:eastAsia="en-ZA"/>
              </w:rPr>
              <w:t>) by introduced signal crayfish (</w:t>
            </w:r>
            <w:r w:rsidRPr="00933135">
              <w:rPr>
                <w:rFonts w:ascii="Times New Roman" w:eastAsia="Times New Roman" w:hAnsi="Times New Roman" w:cs="Times New Roman"/>
                <w:i/>
                <w:sz w:val="20"/>
                <w:szCs w:val="20"/>
                <w:lang w:eastAsia="en-ZA"/>
              </w:rPr>
              <w:t>Pacifastacus leniusculus</w:t>
            </w:r>
            <w:r w:rsidRPr="00933135">
              <w:rPr>
                <w:rFonts w:ascii="Times New Roman" w:eastAsia="Times New Roman" w:hAnsi="Times New Roman" w:cs="Times New Roman"/>
                <w:sz w:val="20"/>
                <w:szCs w:val="20"/>
                <w:lang w:eastAsia="en-ZA"/>
              </w:rPr>
              <w:t xml:space="preserve">) in Crater Lake, Oregon’, </w:t>
            </w:r>
            <w:r w:rsidRPr="00933135">
              <w:rPr>
                <w:rFonts w:ascii="Times New Roman" w:eastAsia="Times New Roman" w:hAnsi="Times New Roman" w:cs="Times New Roman"/>
                <w:i/>
                <w:sz w:val="20"/>
                <w:szCs w:val="20"/>
                <w:lang w:eastAsia="en-ZA"/>
              </w:rPr>
              <w:t>Biological Invasions</w:t>
            </w:r>
            <w:r w:rsidRPr="00933135">
              <w:rPr>
                <w:rFonts w:ascii="Times New Roman" w:eastAsia="Times New Roman" w:hAnsi="Times New Roman" w:cs="Times New Roman"/>
                <w:sz w:val="20"/>
                <w:szCs w:val="20"/>
                <w:lang w:eastAsia="en-ZA"/>
              </w:rPr>
              <w:t xml:space="preserve"> 20, 721–740. </w:t>
            </w:r>
            <w:hyperlink r:id="rId437" w:history="1">
              <w:r w:rsidR="00933135" w:rsidRPr="00933135">
                <w:rPr>
                  <w:rStyle w:val="Hyperlink"/>
                  <w:rFonts w:ascii="Times New Roman" w:eastAsia="Times New Roman" w:hAnsi="Times New Roman" w:cs="Times New Roman"/>
                  <w:sz w:val="20"/>
                  <w:szCs w:val="20"/>
                  <w:lang w:eastAsia="en-ZA"/>
                </w:rPr>
                <w:t>https://doi.org/10.1007/s10530-017-1570-6</w:t>
              </w:r>
            </w:hyperlink>
            <w:r w:rsidRPr="00933135">
              <w:rPr>
                <w:rFonts w:ascii="Times New Roman" w:eastAsia="Times New Roman" w:hAnsi="Times New Roman" w:cs="Times New Roman"/>
                <w:sz w:val="20"/>
                <w:szCs w:val="20"/>
                <w:lang w:eastAsia="en-ZA"/>
              </w:rPr>
              <w:t>.</w:t>
            </w:r>
          </w:p>
          <w:p w14:paraId="1F448189" w14:textId="0BCFE66E" w:rsidR="002D7080" w:rsidRPr="00ED3FD3" w:rsidRDefault="002D7080" w:rsidP="00C94525">
            <w:pPr>
              <w:ind w:left="720" w:hanging="720"/>
              <w:contextualSpacing/>
              <w:jc w:val="both"/>
              <w:rPr>
                <w:rFonts w:ascii="Times New Roman" w:eastAsia="Times New Roman" w:hAnsi="Times New Roman" w:cs="Times New Roman"/>
                <w:sz w:val="20"/>
                <w:szCs w:val="20"/>
                <w:lang w:eastAsia="en-ZA"/>
              </w:rPr>
            </w:pPr>
            <w:r w:rsidRPr="00933135">
              <w:rPr>
                <w:rFonts w:ascii="Times New Roman" w:eastAsia="Times New Roman" w:hAnsi="Times New Roman" w:cs="Times New Roman"/>
                <w:sz w:val="20"/>
                <w:szCs w:val="20"/>
                <w:lang w:eastAsia="en-ZA"/>
              </w:rPr>
              <w:t>Moorhouse, T.P., Poole, A.E., Evans, L.C., Bradley, D.C. &amp; Macdonald, D.W., 2014, ‘Intensive removal of signal crayfish (</w:t>
            </w:r>
            <w:r w:rsidRPr="00933135">
              <w:rPr>
                <w:rFonts w:ascii="Times New Roman" w:eastAsia="Times New Roman" w:hAnsi="Times New Roman" w:cs="Times New Roman"/>
                <w:i/>
                <w:sz w:val="20"/>
                <w:szCs w:val="20"/>
                <w:lang w:eastAsia="en-ZA"/>
              </w:rPr>
              <w:t>Pacifastacus leniusculus</w:t>
            </w:r>
            <w:r w:rsidRPr="00933135">
              <w:rPr>
                <w:rFonts w:ascii="Times New Roman" w:eastAsia="Times New Roman" w:hAnsi="Times New Roman" w:cs="Times New Roman"/>
                <w:sz w:val="20"/>
                <w:szCs w:val="20"/>
                <w:lang w:eastAsia="en-ZA"/>
              </w:rPr>
              <w:t xml:space="preserve">) from rivers increases numbers and taxon richness of macroinvertebrate species’, </w:t>
            </w:r>
            <w:r w:rsidRPr="00933135">
              <w:rPr>
                <w:rFonts w:ascii="Times New Roman" w:eastAsia="Times New Roman" w:hAnsi="Times New Roman" w:cs="Times New Roman"/>
                <w:i/>
                <w:iCs/>
                <w:sz w:val="20"/>
                <w:szCs w:val="20"/>
                <w:lang w:eastAsia="en-ZA"/>
              </w:rPr>
              <w:t>Ecology and Evolution</w:t>
            </w:r>
            <w:r w:rsidRPr="00933135">
              <w:rPr>
                <w:rFonts w:ascii="Times New Roman" w:eastAsia="Times New Roman" w:hAnsi="Times New Roman" w:cs="Times New Roman"/>
                <w:sz w:val="20"/>
                <w:szCs w:val="20"/>
                <w:lang w:eastAsia="en-ZA"/>
              </w:rPr>
              <w:t xml:space="preserve"> </w:t>
            </w:r>
            <w:r w:rsidRPr="00933135">
              <w:rPr>
                <w:rFonts w:ascii="Times New Roman" w:eastAsia="Times New Roman" w:hAnsi="Times New Roman" w:cs="Times New Roman"/>
                <w:iCs/>
                <w:sz w:val="20"/>
                <w:szCs w:val="20"/>
                <w:lang w:eastAsia="en-ZA"/>
              </w:rPr>
              <w:t>4</w:t>
            </w:r>
            <w:r w:rsidRPr="00933135">
              <w:rPr>
                <w:rFonts w:ascii="Times New Roman" w:eastAsia="Times New Roman" w:hAnsi="Times New Roman" w:cs="Times New Roman"/>
                <w:sz w:val="20"/>
                <w:szCs w:val="20"/>
                <w:lang w:eastAsia="en-ZA"/>
              </w:rPr>
              <w:t>, 494–504</w:t>
            </w:r>
            <w:r w:rsidR="00933135" w:rsidRPr="00933135">
              <w:rPr>
                <w:kern w:val="2"/>
                <w14:ligatures w14:val="standardContextual"/>
              </w:rPr>
              <w:t xml:space="preserve"> </w:t>
            </w:r>
            <w:r w:rsidR="00933135" w:rsidRPr="00933135">
              <w:rPr>
                <w:rFonts w:ascii="Times New Roman" w:eastAsia="Times New Roman" w:hAnsi="Times New Roman" w:cs="Times New Roman"/>
                <w:sz w:val="20"/>
                <w:szCs w:val="20"/>
                <w:lang w:eastAsia="en-ZA"/>
              </w:rPr>
              <w:t>https://doi.org/10.1002/ece3.903</w:t>
            </w:r>
            <w:r w:rsidRPr="00ED3FD3">
              <w:rPr>
                <w:rFonts w:ascii="Times New Roman" w:eastAsia="Times New Roman" w:hAnsi="Times New Roman" w:cs="Times New Roman"/>
                <w:sz w:val="20"/>
                <w:szCs w:val="20"/>
                <w:lang w:eastAsia="en-ZA"/>
              </w:rPr>
              <w:t>.</w:t>
            </w:r>
          </w:p>
        </w:tc>
      </w:tr>
      <w:tr w:rsidR="002D7080" w:rsidRPr="00ED3FD3" w14:paraId="5532FD59" w14:textId="77777777" w:rsidTr="002E2C37">
        <w:tc>
          <w:tcPr>
            <w:tcW w:w="9016" w:type="dxa"/>
            <w:gridSpan w:val="2"/>
            <w:shd w:val="clear" w:color="auto" w:fill="F2F2F2" w:themeFill="background1" w:themeFillShade="F2"/>
          </w:tcPr>
          <w:p w14:paraId="46D0D973"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lastRenderedPageBreak/>
              <w:t>CON1c: Hybridisation</w:t>
            </w:r>
          </w:p>
        </w:tc>
      </w:tr>
      <w:tr w:rsidR="002D7080" w:rsidRPr="00ED3FD3" w14:paraId="48379361" w14:textId="77777777" w:rsidTr="002E2C37">
        <w:tc>
          <w:tcPr>
            <w:tcW w:w="5949" w:type="dxa"/>
          </w:tcPr>
          <w:p w14:paraId="202E20BE"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Data Deficient (DD)</w:t>
            </w:r>
          </w:p>
        </w:tc>
        <w:tc>
          <w:tcPr>
            <w:tcW w:w="3067" w:type="dxa"/>
          </w:tcPr>
          <w:p w14:paraId="24AAD199"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6B0C87E3" w14:textId="77777777" w:rsidTr="002E2C37">
        <w:trPr>
          <w:trHeight w:val="70"/>
        </w:trPr>
        <w:tc>
          <w:tcPr>
            <w:tcW w:w="9016" w:type="dxa"/>
            <w:gridSpan w:val="2"/>
          </w:tcPr>
          <w:p w14:paraId="171DBDF1"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Rationale: No native freshwater crayfish in South Africa (Crandall &amp; de Grave 2017).</w:t>
            </w:r>
          </w:p>
        </w:tc>
      </w:tr>
      <w:tr w:rsidR="002D7080" w:rsidRPr="00ED3FD3" w14:paraId="76AEEB1E" w14:textId="77777777" w:rsidTr="002E2C37">
        <w:trPr>
          <w:trHeight w:val="70"/>
        </w:trPr>
        <w:tc>
          <w:tcPr>
            <w:tcW w:w="9016" w:type="dxa"/>
            <w:gridSpan w:val="2"/>
          </w:tcPr>
          <w:p w14:paraId="5AC5F84A"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77D30D37" w14:textId="24F9E0CB" w:rsidR="002D7080" w:rsidRPr="00ED3FD3" w:rsidRDefault="002D7080" w:rsidP="002E2C37">
            <w:pPr>
              <w:ind w:left="720" w:hanging="720"/>
              <w:jc w:val="both"/>
              <w:rPr>
                <w:rFonts w:ascii="Times New Roman" w:eastAsia="Times New Roman" w:hAnsi="Times New Roman" w:cs="Times New Roman"/>
                <w:sz w:val="20"/>
                <w:szCs w:val="20"/>
                <w:lang w:eastAsia="en-ZA"/>
              </w:rPr>
            </w:pPr>
            <w:r>
              <w:rPr>
                <w:rFonts w:ascii="Times New Roman" w:hAnsi="Times New Roman" w:cs="Times New Roman"/>
                <w:color w:val="2A2A2A"/>
                <w:sz w:val="20"/>
                <w:szCs w:val="20"/>
                <w:shd w:val="clear" w:color="auto" w:fill="FFFFFF"/>
              </w:rPr>
              <w:t xml:space="preserve">Crandall, K.A. &amp; </w:t>
            </w:r>
            <w:r w:rsidRPr="00ED3FD3">
              <w:rPr>
                <w:rFonts w:ascii="Times New Roman" w:hAnsi="Times New Roman" w:cs="Times New Roman"/>
                <w:color w:val="2A2A2A"/>
                <w:sz w:val="20"/>
                <w:szCs w:val="20"/>
                <w:shd w:val="clear" w:color="auto" w:fill="FFFFFF"/>
              </w:rPr>
              <w:t>De Grave, S.</w:t>
            </w:r>
            <w:r>
              <w:rPr>
                <w:rFonts w:ascii="Times New Roman" w:hAnsi="Times New Roman" w:cs="Times New Roman"/>
                <w:color w:val="2A2A2A"/>
                <w:sz w:val="20"/>
                <w:szCs w:val="20"/>
                <w:shd w:val="clear" w:color="auto" w:fill="FFFFFF"/>
              </w:rPr>
              <w:t>, 2017,</w:t>
            </w:r>
            <w:r w:rsidRPr="00ED3FD3">
              <w:rPr>
                <w:rFonts w:ascii="Times New Roman" w:hAnsi="Times New Roman" w:cs="Times New Roman"/>
                <w:color w:val="2A2A2A"/>
                <w:sz w:val="20"/>
                <w:szCs w:val="20"/>
                <w:shd w:val="clear" w:color="auto" w:fill="FFFFFF"/>
              </w:rPr>
              <w:t xml:space="preserve"> </w:t>
            </w:r>
            <w:r>
              <w:rPr>
                <w:rFonts w:ascii="Times New Roman" w:hAnsi="Times New Roman" w:cs="Times New Roman"/>
                <w:color w:val="2A2A2A"/>
                <w:sz w:val="20"/>
                <w:szCs w:val="20"/>
                <w:shd w:val="clear" w:color="auto" w:fill="FFFFFF"/>
              </w:rPr>
              <w:t>‘</w:t>
            </w:r>
            <w:r w:rsidRPr="00ED3FD3">
              <w:rPr>
                <w:rFonts w:ascii="Times New Roman" w:hAnsi="Times New Roman" w:cs="Times New Roman"/>
                <w:color w:val="2A2A2A"/>
                <w:sz w:val="20"/>
                <w:szCs w:val="20"/>
                <w:shd w:val="clear" w:color="auto" w:fill="FFFFFF"/>
              </w:rPr>
              <w:t>An updated classification of the freshwater crayfishes (Decapoda: Astacidea) of the world, with a complete species list, </w:t>
            </w:r>
            <w:r w:rsidRPr="00E078A6">
              <w:rPr>
                <w:rStyle w:val="Emphasis"/>
                <w:rFonts w:ascii="Times New Roman" w:hAnsi="Times New Roman" w:cs="Times New Roman"/>
                <w:color w:val="000000" w:themeColor="text1"/>
                <w:sz w:val="20"/>
                <w:szCs w:val="20"/>
                <w:bdr w:val="none" w:sz="0" w:space="0" w:color="auto" w:frame="1"/>
                <w:shd w:val="clear" w:color="auto" w:fill="FFFFFF"/>
              </w:rPr>
              <w:t>Journal of Crustacean Biology</w:t>
            </w:r>
            <w:r w:rsidRPr="00E078A6">
              <w:rPr>
                <w:rFonts w:ascii="Times New Roman" w:hAnsi="Times New Roman" w:cs="Times New Roman"/>
                <w:color w:val="000000" w:themeColor="text1"/>
                <w:sz w:val="20"/>
                <w:szCs w:val="20"/>
                <w:shd w:val="clear" w:color="auto" w:fill="FFFFFF"/>
              </w:rPr>
              <w:t xml:space="preserve">, </w:t>
            </w:r>
            <w:r w:rsidRPr="00ED3FD3">
              <w:rPr>
                <w:rFonts w:ascii="Times New Roman" w:hAnsi="Times New Roman" w:cs="Times New Roman"/>
                <w:color w:val="2A2A2A"/>
                <w:sz w:val="20"/>
                <w:szCs w:val="20"/>
                <w:shd w:val="clear" w:color="auto" w:fill="FFFFFF"/>
              </w:rPr>
              <w:t>37 (5), 615–653. </w:t>
            </w:r>
            <w:r w:rsidR="00933135" w:rsidRPr="00933135">
              <w:rPr>
                <w:rFonts w:ascii="Times New Roman" w:hAnsi="Times New Roman" w:cs="Times New Roman"/>
                <w:iCs/>
                <w:sz w:val="20"/>
                <w:szCs w:val="20"/>
              </w:rPr>
              <w:t>https://doi.org/10.1093/jcbiol/rux070</w:t>
            </w:r>
          </w:p>
        </w:tc>
      </w:tr>
      <w:tr w:rsidR="002D7080" w:rsidRPr="00ED3FD3" w14:paraId="2E807B32" w14:textId="77777777" w:rsidTr="002E2C37">
        <w:tc>
          <w:tcPr>
            <w:tcW w:w="9016" w:type="dxa"/>
            <w:gridSpan w:val="2"/>
            <w:shd w:val="clear" w:color="auto" w:fill="F2F2F2" w:themeFill="background1" w:themeFillShade="F2"/>
          </w:tcPr>
          <w:p w14:paraId="2F7ECCB8"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CON1d: Transmission of disease</w:t>
            </w:r>
          </w:p>
        </w:tc>
      </w:tr>
      <w:tr w:rsidR="002D7080" w:rsidRPr="00ED3FD3" w14:paraId="340D3A85" w14:textId="77777777" w:rsidTr="002E2C37">
        <w:tc>
          <w:tcPr>
            <w:tcW w:w="5949" w:type="dxa"/>
          </w:tcPr>
          <w:p w14:paraId="12030A87"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Major (MR)</w:t>
            </w:r>
          </w:p>
        </w:tc>
        <w:tc>
          <w:tcPr>
            <w:tcW w:w="3067" w:type="dxa"/>
          </w:tcPr>
          <w:p w14:paraId="19B79CF6"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Medium</w:t>
            </w:r>
          </w:p>
        </w:tc>
      </w:tr>
      <w:tr w:rsidR="002D7080" w:rsidRPr="00ED3FD3" w14:paraId="3CC5F7DC" w14:textId="77777777" w:rsidTr="002E2C37">
        <w:trPr>
          <w:trHeight w:val="70"/>
        </w:trPr>
        <w:tc>
          <w:tcPr>
            <w:tcW w:w="9016" w:type="dxa"/>
            <w:gridSpan w:val="2"/>
          </w:tcPr>
          <w:p w14:paraId="7A8AE025"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r w:rsidRPr="00ED3FD3">
              <w:rPr>
                <w:rFonts w:ascii="Times New Roman" w:eastAsia="Times New Roman" w:hAnsi="Times New Roman" w:cs="Times New Roman"/>
                <w:i/>
                <w:iCs/>
                <w:sz w:val="20"/>
                <w:szCs w:val="20"/>
                <w:lang w:eastAsia="en-ZA"/>
              </w:rPr>
              <w:t xml:space="preserve">Pacifastacus leniusculus </w:t>
            </w:r>
            <w:r w:rsidRPr="00ED3FD3">
              <w:rPr>
                <w:rFonts w:ascii="Times New Roman" w:eastAsia="Times New Roman" w:hAnsi="Times New Roman" w:cs="Times New Roman"/>
                <w:sz w:val="20"/>
                <w:szCs w:val="20"/>
                <w:lang w:eastAsia="en-ZA"/>
              </w:rPr>
              <w:t xml:space="preserve">is a vector for crayfish plague, a disease caused by the parasitic oomycete </w:t>
            </w:r>
            <w:r w:rsidRPr="00ED3FD3">
              <w:rPr>
                <w:rFonts w:ascii="Times New Roman" w:eastAsia="Times New Roman" w:hAnsi="Times New Roman" w:cs="Times New Roman"/>
                <w:i/>
                <w:sz w:val="20"/>
                <w:szCs w:val="20"/>
                <w:lang w:eastAsia="en-ZA"/>
              </w:rPr>
              <w:t xml:space="preserve">Aphanomyces astaci </w:t>
            </w:r>
            <w:r w:rsidRPr="00ED3FD3">
              <w:rPr>
                <w:rFonts w:ascii="Times New Roman" w:eastAsia="Times New Roman" w:hAnsi="Times New Roman" w:cs="Times New Roman"/>
                <w:i/>
                <w:sz w:val="20"/>
                <w:szCs w:val="20"/>
                <w:lang w:eastAsia="en-ZA"/>
              </w:rPr>
              <w:fldChar w:fldCharType="begin" w:fldLock="1"/>
            </w:r>
            <w:r w:rsidRPr="00ED3FD3">
              <w:rPr>
                <w:rFonts w:ascii="Times New Roman" w:eastAsia="Times New Roman" w:hAnsi="Times New Roman" w:cs="Times New Roman"/>
                <w:i/>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"http://www.mendeley.com/documents/?uuid=9c72c438-e7a8-4248-b05a-2e8f1c12e544" ] }, { "id" : "ITEM-2",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"ITEM-2", "issue" : "1", "issued" : { "date-parts" : [ [ "2011" ] ] }, "page" : "54-70", "publisher" : "Elsevier Inc.", "title" : "Diseases of crayfish: A review", "type" : "article-journal", "volume" : "106" }, "uris" : [ "http://www.mendeley.com/documents/?uuid=be7c0509-8466-4d72-b84f-489b1cb24dc4" ] } ], "mendeley" : { "formattedCitation" : "(Longshaw 2011, Lodge et al. 2012)", "plainTextFormattedCitation" : "(Longshaw 2011, Lodge et al. 2012)", "previouslyFormattedCitation" : "(Longshaw 2011, Lodge et al. 2012)" }, "properties" : { "noteIndex" : 0 }, "schema" : "https://github.com/citation-style-language/schema/raw/master/csl-citation.json" }</w:instrText>
            </w:r>
            <w:r w:rsidRPr="00ED3FD3">
              <w:rPr>
                <w:rFonts w:ascii="Times New Roman" w:eastAsia="Times New Roman" w:hAnsi="Times New Roman" w:cs="Times New Roman"/>
                <w:i/>
                <w:sz w:val="20"/>
                <w:szCs w:val="20"/>
                <w:lang w:eastAsia="en-ZA"/>
              </w:rPr>
              <w:fldChar w:fldCharType="separate"/>
            </w:r>
            <w:r w:rsidRPr="00ED3FD3">
              <w:rPr>
                <w:rFonts w:ascii="Times New Roman" w:eastAsia="Times New Roman" w:hAnsi="Times New Roman" w:cs="Times New Roman"/>
                <w:sz w:val="20"/>
                <w:szCs w:val="20"/>
                <w:lang w:eastAsia="en-ZA"/>
              </w:rPr>
              <w:t>(Lodge et al. 2012; Longshaw 2011)</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In Europe, the transmission of crayfish plague by </w:t>
            </w:r>
            <w:r w:rsidRPr="00ED3FD3">
              <w:rPr>
                <w:rFonts w:ascii="Times New Roman" w:eastAsia="Times New Roman" w:hAnsi="Times New Roman" w:cs="Times New Roman"/>
                <w:i/>
                <w:sz w:val="20"/>
                <w:szCs w:val="20"/>
                <w:lang w:eastAsia="en-ZA"/>
              </w:rPr>
              <w:t xml:space="preserve">P. leniusculus </w:t>
            </w:r>
            <w:r w:rsidRPr="00ED3FD3">
              <w:rPr>
                <w:rFonts w:ascii="Times New Roman" w:eastAsia="Times New Roman" w:hAnsi="Times New Roman" w:cs="Times New Roman"/>
                <w:sz w:val="20"/>
                <w:szCs w:val="20"/>
                <w:lang w:eastAsia="en-ZA"/>
              </w:rPr>
              <w:t xml:space="preserve">to native crayfish species has been linked to a decline in populations and in some case population collapses of several native species of crayfish such as </w:t>
            </w:r>
            <w:r w:rsidRPr="00ED3FD3">
              <w:rPr>
                <w:rFonts w:ascii="Times New Roman" w:eastAsia="Times New Roman" w:hAnsi="Times New Roman" w:cs="Times New Roman"/>
                <w:i/>
                <w:sz w:val="20"/>
                <w:szCs w:val="20"/>
                <w:lang w:eastAsia="en-ZA"/>
              </w:rPr>
              <w:t>Astacus astacus</w:t>
            </w:r>
            <w:r w:rsidRPr="00ED3FD3">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i/>
                <w:sz w:val="20"/>
                <w:szCs w:val="20"/>
                <w:lang w:eastAsia="en-ZA"/>
              </w:rPr>
              <w:t xml:space="preserve"> Austropotamobius pallipes</w:t>
            </w:r>
            <w:r w:rsidRPr="00ED3FD3">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i/>
                <w:sz w:val="20"/>
                <w:szCs w:val="20"/>
                <w:lang w:eastAsia="en-ZA"/>
              </w:rPr>
              <w:t xml:space="preserve"> </w:t>
            </w:r>
            <w:r w:rsidRPr="00ED3FD3">
              <w:rPr>
                <w:rFonts w:ascii="Times New Roman" w:eastAsia="Times New Roman" w:hAnsi="Times New Roman" w:cs="Times New Roman"/>
                <w:sz w:val="20"/>
                <w:szCs w:val="20"/>
                <w:lang w:eastAsia="en-ZA"/>
              </w:rPr>
              <w:t>and</w:t>
            </w:r>
            <w:r w:rsidRPr="00ED3FD3">
              <w:rPr>
                <w:rFonts w:ascii="Times New Roman" w:eastAsia="Times New Roman" w:hAnsi="Times New Roman" w:cs="Times New Roman"/>
                <w:i/>
                <w:sz w:val="20"/>
                <w:szCs w:val="20"/>
                <w:lang w:eastAsia="en-ZA"/>
              </w:rPr>
              <w:t xml:space="preserve"> </w:t>
            </w:r>
            <w:r w:rsidRPr="00ED3FD3">
              <w:rPr>
                <w:rFonts w:ascii="Times New Roman" w:eastAsia="Times New Roman" w:hAnsi="Times New Roman" w:cs="Times New Roman"/>
                <w:i/>
                <w:iCs/>
                <w:sz w:val="20"/>
                <w:szCs w:val="20"/>
                <w:lang w:eastAsia="en-ZA"/>
              </w:rPr>
              <w:t xml:space="preserve">Austropotamobius torrentium </w:t>
            </w:r>
            <w:r w:rsidRPr="00ED3FD3">
              <w:rPr>
                <w:rFonts w:ascii="Times New Roman" w:eastAsia="Times New Roman" w:hAnsi="Times New Roman" w:cs="Times New Roman"/>
                <w:i/>
                <w:iCs/>
                <w:sz w:val="20"/>
                <w:szCs w:val="20"/>
                <w:lang w:eastAsia="en-ZA"/>
              </w:rPr>
              <w:fldChar w:fldCharType="begin" w:fldLock="1"/>
            </w:r>
            <w:r w:rsidRPr="00ED3FD3">
              <w:rPr>
                <w:rFonts w:ascii="Times New Roman" w:eastAsia="Times New Roman" w:hAnsi="Times New Roman" w:cs="Times New Roman"/>
                <w:i/>
                <w:iCs/>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et al. 2009)", "manualFormatting" : "(Holdich and Reeve 1991,Dunn et al. 2009, Holdich et al. 2009)", "plainTextFormattedCitation" : "(Holdich et al. 2009)", "previouslyFormattedCitation" : "(Holdich et al. 2009)" }, "properties" : { "noteIndex" : 0 }, "schema" : "https://github.com/citation-style-language/schema/raw/master/csl-citation.json" }</w:instrText>
            </w:r>
            <w:r w:rsidRPr="00ED3FD3">
              <w:rPr>
                <w:rFonts w:ascii="Times New Roman" w:eastAsia="Times New Roman" w:hAnsi="Times New Roman" w:cs="Times New Roman"/>
                <w:i/>
                <w:iCs/>
                <w:sz w:val="20"/>
                <w:szCs w:val="20"/>
                <w:lang w:eastAsia="en-ZA"/>
              </w:rPr>
              <w:fldChar w:fldCharType="separate"/>
            </w:r>
            <w:r w:rsidRPr="00ED3FD3">
              <w:rPr>
                <w:rFonts w:ascii="Times New Roman" w:eastAsia="Times New Roman" w:hAnsi="Times New Roman" w:cs="Times New Roman"/>
                <w:iCs/>
                <w:sz w:val="20"/>
                <w:szCs w:val="20"/>
                <w:lang w:eastAsia="en-ZA"/>
              </w:rPr>
              <w:t>(Dunn et al. 2009; Holdich &amp; Reeve 1991; Holdich et al. 2009)</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i/>
                <w:sz w:val="20"/>
                <w:szCs w:val="20"/>
                <w:lang w:eastAsia="en-ZA"/>
              </w:rPr>
              <w:t xml:space="preserve">. </w:t>
            </w:r>
            <w:r w:rsidRPr="00ED3FD3">
              <w:rPr>
                <w:rFonts w:ascii="Times New Roman" w:eastAsia="Times New Roman" w:hAnsi="Times New Roman" w:cs="Times New Roman"/>
                <w:iCs/>
                <w:sz w:val="20"/>
                <w:szCs w:val="20"/>
                <w:lang w:eastAsia="en-ZA"/>
              </w:rPr>
              <w:t>There are no native crayfish species in South Africa but crayfish plague pathogen has been shown to infect other freshwater decapods such as native potamonautid crabs crabs (Svoboda et al. 2014)</w:t>
            </w:r>
            <w:r w:rsidRPr="00ED3FD3">
              <w:rPr>
                <w:rFonts w:ascii="Times New Roman" w:eastAsia="Times New Roman" w:hAnsi="Times New Roman" w:cs="Times New Roman"/>
                <w:sz w:val="20"/>
                <w:szCs w:val="20"/>
                <w:lang w:eastAsia="en-ZA"/>
              </w:rPr>
              <w:t xml:space="preserve"> </w:t>
            </w:r>
          </w:p>
        </w:tc>
      </w:tr>
      <w:tr w:rsidR="002D7080" w:rsidRPr="00ED3FD3" w14:paraId="2C9AB175" w14:textId="77777777" w:rsidTr="002E2C37">
        <w:trPr>
          <w:trHeight w:val="70"/>
        </w:trPr>
        <w:tc>
          <w:tcPr>
            <w:tcW w:w="9016" w:type="dxa"/>
            <w:gridSpan w:val="2"/>
          </w:tcPr>
          <w:p w14:paraId="11C275B0" w14:textId="77777777" w:rsidR="002D7080" w:rsidRPr="00933135" w:rsidRDefault="002D7080" w:rsidP="00933135">
            <w:pPr>
              <w:jc w:val="both"/>
              <w:rPr>
                <w:rFonts w:ascii="Times New Roman" w:eastAsia="Times New Roman" w:hAnsi="Times New Roman" w:cs="Times New Roman"/>
                <w:sz w:val="20"/>
                <w:szCs w:val="20"/>
                <w:lang w:eastAsia="en-ZA"/>
              </w:rPr>
            </w:pPr>
            <w:r w:rsidRPr="00933135">
              <w:rPr>
                <w:rFonts w:ascii="Times New Roman" w:eastAsia="Times New Roman" w:hAnsi="Times New Roman" w:cs="Times New Roman"/>
                <w:sz w:val="20"/>
                <w:szCs w:val="20"/>
                <w:lang w:eastAsia="en-ZA"/>
              </w:rPr>
              <w:t>References:</w:t>
            </w:r>
          </w:p>
          <w:p w14:paraId="6C298E57" w14:textId="17BF6111" w:rsidR="002D7080" w:rsidRPr="00933135" w:rsidRDefault="002D7080" w:rsidP="00933135">
            <w:pPr>
              <w:ind w:left="703" w:hanging="703"/>
              <w:contextualSpacing/>
              <w:jc w:val="both"/>
              <w:rPr>
                <w:rFonts w:ascii="Times New Roman" w:eastAsia="Times New Roman" w:hAnsi="Times New Roman" w:cs="Times New Roman"/>
                <w:sz w:val="20"/>
                <w:szCs w:val="20"/>
                <w:lang w:eastAsia="en-ZA"/>
              </w:rPr>
            </w:pPr>
            <w:r w:rsidRPr="00933135">
              <w:rPr>
                <w:rFonts w:ascii="Times New Roman" w:eastAsia="Times New Roman" w:hAnsi="Times New Roman" w:cs="Times New Roman"/>
                <w:sz w:val="20"/>
                <w:szCs w:val="20"/>
                <w:lang w:eastAsia="en-ZA"/>
              </w:rPr>
              <w:t xml:space="preserve">Dunn, J.C, McClymont, H.E., Christmas, M. &amp; Dunn, A.M., 2009, Competition and parasitism in the native white clawed crayfish </w:t>
            </w:r>
            <w:r w:rsidRPr="00933135">
              <w:rPr>
                <w:rFonts w:ascii="Times New Roman" w:eastAsia="Times New Roman" w:hAnsi="Times New Roman" w:cs="Times New Roman"/>
                <w:i/>
                <w:sz w:val="20"/>
                <w:szCs w:val="20"/>
                <w:lang w:eastAsia="en-ZA"/>
              </w:rPr>
              <w:t>Austropotamobius pallipes</w:t>
            </w:r>
            <w:r w:rsidRPr="00933135">
              <w:rPr>
                <w:rFonts w:ascii="Times New Roman" w:eastAsia="Times New Roman" w:hAnsi="Times New Roman" w:cs="Times New Roman"/>
                <w:sz w:val="20"/>
                <w:szCs w:val="20"/>
                <w:lang w:eastAsia="en-ZA"/>
              </w:rPr>
              <w:t xml:space="preserve"> and the invasive signal crayfish </w:t>
            </w:r>
            <w:r w:rsidRPr="00933135">
              <w:rPr>
                <w:rFonts w:ascii="Times New Roman" w:eastAsia="Times New Roman" w:hAnsi="Times New Roman" w:cs="Times New Roman"/>
                <w:i/>
                <w:sz w:val="20"/>
                <w:szCs w:val="20"/>
                <w:lang w:eastAsia="en-ZA"/>
              </w:rPr>
              <w:t>Pacifastacus leniusculus</w:t>
            </w:r>
            <w:r w:rsidRPr="00933135">
              <w:rPr>
                <w:rFonts w:ascii="Times New Roman" w:eastAsia="Times New Roman" w:hAnsi="Times New Roman" w:cs="Times New Roman"/>
                <w:sz w:val="20"/>
                <w:szCs w:val="20"/>
                <w:lang w:eastAsia="en-ZA"/>
              </w:rPr>
              <w:t xml:space="preserve"> in the UK, </w:t>
            </w:r>
            <w:r w:rsidRPr="00933135">
              <w:rPr>
                <w:rFonts w:ascii="Times New Roman" w:eastAsia="Times New Roman" w:hAnsi="Times New Roman" w:cs="Times New Roman"/>
                <w:i/>
                <w:iCs/>
                <w:sz w:val="20"/>
                <w:szCs w:val="20"/>
                <w:lang w:eastAsia="en-ZA"/>
              </w:rPr>
              <w:t>Biological Invasions</w:t>
            </w:r>
            <w:r w:rsidRPr="00933135">
              <w:rPr>
                <w:rFonts w:ascii="Times New Roman" w:eastAsia="Times New Roman" w:hAnsi="Times New Roman" w:cs="Times New Roman"/>
                <w:sz w:val="20"/>
                <w:szCs w:val="20"/>
                <w:lang w:eastAsia="en-ZA"/>
              </w:rPr>
              <w:t xml:space="preserve"> </w:t>
            </w:r>
            <w:r w:rsidRPr="00933135">
              <w:rPr>
                <w:rFonts w:ascii="Times New Roman" w:eastAsia="Times New Roman" w:hAnsi="Times New Roman" w:cs="Times New Roman"/>
                <w:iCs/>
                <w:sz w:val="20"/>
                <w:szCs w:val="20"/>
                <w:lang w:eastAsia="en-ZA"/>
              </w:rPr>
              <w:t>11</w:t>
            </w:r>
            <w:r w:rsidRPr="00933135">
              <w:rPr>
                <w:rFonts w:ascii="Times New Roman" w:eastAsia="Times New Roman" w:hAnsi="Times New Roman" w:cs="Times New Roman"/>
                <w:sz w:val="20"/>
                <w:szCs w:val="20"/>
                <w:lang w:eastAsia="en-ZA"/>
              </w:rPr>
              <w:t xml:space="preserve">, 315–324. </w:t>
            </w:r>
            <w:hyperlink r:id="rId438" w:history="1">
              <w:r w:rsidR="0082330F" w:rsidRPr="00D704ED">
                <w:rPr>
                  <w:rStyle w:val="Hyperlink"/>
                  <w:rFonts w:ascii="Times New Roman" w:eastAsia="Times New Roman" w:hAnsi="Times New Roman" w:cs="Times New Roman"/>
                  <w:sz w:val="20"/>
                  <w:szCs w:val="20"/>
                  <w:lang w:eastAsia="en-ZA"/>
                </w:rPr>
                <w:t>https://doi.org/10.1007/s10530-008-9249-7</w:t>
              </w:r>
            </w:hyperlink>
            <w:r w:rsidRPr="00933135">
              <w:rPr>
                <w:rFonts w:ascii="Times New Roman" w:eastAsia="Times New Roman" w:hAnsi="Times New Roman" w:cs="Times New Roman"/>
                <w:sz w:val="20"/>
                <w:szCs w:val="20"/>
                <w:lang w:eastAsia="en-ZA"/>
              </w:rPr>
              <w:t>.</w:t>
            </w:r>
          </w:p>
          <w:p w14:paraId="1146A2A9" w14:textId="0581BAF6" w:rsidR="002D7080" w:rsidRPr="00933135" w:rsidRDefault="002D7080" w:rsidP="00933135">
            <w:pPr>
              <w:ind w:left="703" w:hanging="703"/>
              <w:contextualSpacing/>
              <w:jc w:val="both"/>
              <w:rPr>
                <w:rFonts w:ascii="Times New Roman" w:eastAsia="Times New Roman" w:hAnsi="Times New Roman" w:cs="Times New Roman"/>
                <w:sz w:val="20"/>
                <w:szCs w:val="20"/>
                <w:lang w:eastAsia="en-ZA"/>
              </w:rPr>
            </w:pPr>
            <w:r w:rsidRPr="00933135">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933135">
              <w:rPr>
                <w:rFonts w:ascii="Times New Roman" w:eastAsia="Calibri" w:hAnsi="Times New Roman" w:cs="Times New Roman"/>
                <w:sz w:val="20"/>
                <w:szCs w:val="20"/>
              </w:rPr>
              <w:t xml:space="preserve"> </w:t>
            </w:r>
            <w:r w:rsidRPr="00933135">
              <w:rPr>
                <w:rFonts w:ascii="Times New Roman" w:eastAsia="Calibri" w:hAnsi="Times New Roman" w:cs="Times New Roman"/>
                <w:bCs/>
                <w:i/>
                <w:sz w:val="20"/>
                <w:szCs w:val="20"/>
              </w:rPr>
              <w:t>Knowledge and Management of Aquatic Ecosystems</w:t>
            </w:r>
            <w:r w:rsidRPr="00933135">
              <w:rPr>
                <w:rFonts w:ascii="Times New Roman" w:eastAsia="Calibri" w:hAnsi="Times New Roman" w:cs="Times New Roman"/>
                <w:bCs/>
                <w:sz w:val="20"/>
                <w:szCs w:val="20"/>
              </w:rPr>
              <w:t xml:space="preserve"> 11, 394–395. </w:t>
            </w:r>
            <w:hyperlink r:id="rId439" w:history="1">
              <w:r w:rsidR="0082330F" w:rsidRPr="0082330F">
                <w:rPr>
                  <w:rStyle w:val="Hyperlink"/>
                  <w:rFonts w:ascii="Times New Roman" w:hAnsi="Times New Roman" w:cs="Times New Roman"/>
                  <w:bCs/>
                  <w:sz w:val="20"/>
                  <w:szCs w:val="20"/>
                </w:rPr>
                <w:t>https://doi.org/10.1051/kmae/2009025</w:t>
              </w:r>
            </w:hyperlink>
            <w:r w:rsidRPr="00933135">
              <w:rPr>
                <w:rFonts w:ascii="Times New Roman" w:eastAsia="Calibri" w:hAnsi="Times New Roman" w:cs="Times New Roman"/>
                <w:bCs/>
                <w:sz w:val="20"/>
                <w:szCs w:val="20"/>
              </w:rPr>
              <w:t>.</w:t>
            </w:r>
          </w:p>
          <w:p w14:paraId="5DDAD508" w14:textId="5CEE1401" w:rsidR="002D7080" w:rsidRPr="00933135" w:rsidRDefault="002D7080" w:rsidP="00933135">
            <w:pPr>
              <w:ind w:left="703" w:hanging="703"/>
              <w:contextualSpacing/>
              <w:jc w:val="both"/>
              <w:rPr>
                <w:rFonts w:ascii="Times New Roman" w:eastAsia="Times New Roman" w:hAnsi="Times New Roman" w:cs="Times New Roman"/>
                <w:sz w:val="20"/>
                <w:szCs w:val="20"/>
                <w:lang w:eastAsia="en-ZA"/>
              </w:rPr>
            </w:pPr>
            <w:r w:rsidRPr="00933135">
              <w:rPr>
                <w:rFonts w:ascii="Times New Roman" w:eastAsia="Times New Roman" w:hAnsi="Times New Roman" w:cs="Times New Roman"/>
                <w:sz w:val="20"/>
                <w:szCs w:val="20"/>
                <w:lang w:eastAsia="en-ZA"/>
              </w:rPr>
              <w:t xml:space="preserve">Holdich, D.M. &amp; Reeve, I.D., 1991, ‘Distribution of freshwater crayfish in the British Isles, with particular reference to crayfish plague, alien introductions and water quality’, </w:t>
            </w:r>
            <w:r w:rsidRPr="00933135">
              <w:rPr>
                <w:rFonts w:ascii="Times New Roman" w:eastAsia="Times New Roman" w:hAnsi="Times New Roman" w:cs="Times New Roman"/>
                <w:i/>
                <w:iCs/>
                <w:sz w:val="20"/>
                <w:szCs w:val="20"/>
                <w:lang w:eastAsia="en-ZA"/>
              </w:rPr>
              <w:t>Aquatic Conservation: Marine and Freshwater Ecosystems</w:t>
            </w:r>
            <w:r w:rsidRPr="00933135">
              <w:rPr>
                <w:rFonts w:ascii="Times New Roman" w:eastAsia="Times New Roman" w:hAnsi="Times New Roman" w:cs="Times New Roman"/>
                <w:sz w:val="20"/>
                <w:szCs w:val="20"/>
                <w:lang w:eastAsia="en-ZA"/>
              </w:rPr>
              <w:t xml:space="preserve"> </w:t>
            </w:r>
            <w:r w:rsidRPr="00933135">
              <w:rPr>
                <w:rFonts w:ascii="Times New Roman" w:eastAsia="Times New Roman" w:hAnsi="Times New Roman" w:cs="Times New Roman"/>
                <w:iCs/>
                <w:sz w:val="20"/>
                <w:szCs w:val="20"/>
                <w:lang w:eastAsia="en-ZA"/>
              </w:rPr>
              <w:t>1</w:t>
            </w:r>
            <w:r w:rsidRPr="00933135">
              <w:rPr>
                <w:rFonts w:ascii="Times New Roman" w:eastAsia="Times New Roman" w:hAnsi="Times New Roman" w:cs="Times New Roman"/>
                <w:sz w:val="20"/>
                <w:szCs w:val="20"/>
                <w:lang w:eastAsia="en-ZA"/>
              </w:rPr>
              <w:t xml:space="preserve">, 139–158. </w:t>
            </w:r>
            <w:hyperlink r:id="rId440" w:history="1">
              <w:r w:rsidR="0082330F" w:rsidRPr="00D704ED">
                <w:rPr>
                  <w:rStyle w:val="Hyperlink"/>
                  <w:rFonts w:ascii="Times New Roman" w:eastAsia="Times New Roman" w:hAnsi="Times New Roman" w:cs="Times New Roman"/>
                  <w:sz w:val="20"/>
                  <w:szCs w:val="20"/>
                  <w:lang w:eastAsia="en-ZA"/>
                </w:rPr>
                <w:t>https://doi.org/10.1002/aqc.3270010204</w:t>
              </w:r>
            </w:hyperlink>
            <w:r w:rsidRPr="00933135">
              <w:rPr>
                <w:rFonts w:ascii="Times New Roman" w:eastAsia="Times New Roman" w:hAnsi="Times New Roman" w:cs="Times New Roman"/>
                <w:sz w:val="20"/>
                <w:szCs w:val="20"/>
                <w:lang w:eastAsia="en-ZA"/>
              </w:rPr>
              <w:t>.</w:t>
            </w:r>
          </w:p>
          <w:p w14:paraId="15513C60" w14:textId="355D15FB" w:rsidR="0082330F" w:rsidRDefault="002D7080" w:rsidP="00933135">
            <w:pPr>
              <w:ind w:left="720" w:hanging="720"/>
              <w:contextualSpacing/>
              <w:jc w:val="both"/>
              <w:rPr>
                <w:rFonts w:ascii="Times New Roman" w:eastAsia="Times New Roman" w:hAnsi="Times New Roman" w:cs="Times New Roman"/>
                <w:sz w:val="20"/>
                <w:szCs w:val="20"/>
                <w:lang w:eastAsia="en-ZA"/>
              </w:rPr>
            </w:pPr>
            <w:r w:rsidRPr="00933135">
              <w:rPr>
                <w:rFonts w:ascii="Times New Roman" w:eastAsia="Times New Roman" w:hAnsi="Times New Roman" w:cs="Times New Roman"/>
                <w:sz w:val="20"/>
                <w:szCs w:val="20"/>
                <w:lang w:eastAsia="en-ZA"/>
              </w:rPr>
              <w:t xml:space="preserve">Lodge, D.M., Deines, A., Gherardi, F., Yeo, D.C.J., Arcella. T, Baldridge, A.K. et al., 2012, ‘Global introductions of crayfishes: Evaluating the impact of species invasions on ecosystem services’, </w:t>
            </w:r>
            <w:r w:rsidRPr="00933135">
              <w:rPr>
                <w:rFonts w:ascii="Times New Roman" w:eastAsia="Times New Roman" w:hAnsi="Times New Roman" w:cs="Times New Roman"/>
                <w:i/>
                <w:sz w:val="20"/>
                <w:szCs w:val="20"/>
                <w:lang w:eastAsia="en-ZA"/>
              </w:rPr>
              <w:t xml:space="preserve">Annual </w:t>
            </w:r>
            <w:r w:rsidRPr="00933135">
              <w:rPr>
                <w:rFonts w:ascii="Times New Roman" w:eastAsia="Times New Roman" w:hAnsi="Times New Roman" w:cs="Times New Roman"/>
                <w:i/>
                <w:sz w:val="20"/>
                <w:szCs w:val="20"/>
                <w:lang w:eastAsia="en-ZA"/>
              </w:rPr>
              <w:lastRenderedPageBreak/>
              <w:t>Review of Ecology Evolution Systematics</w:t>
            </w:r>
            <w:r w:rsidRPr="00933135">
              <w:rPr>
                <w:rFonts w:ascii="Times New Roman" w:eastAsia="Times New Roman" w:hAnsi="Times New Roman" w:cs="Times New Roman"/>
                <w:sz w:val="20"/>
                <w:szCs w:val="20"/>
                <w:lang w:eastAsia="en-ZA"/>
              </w:rPr>
              <w:t xml:space="preserve"> 43, 449–472. </w:t>
            </w:r>
            <w:r w:rsidR="0082330F" w:rsidRPr="0082330F">
              <w:rPr>
                <w:rFonts w:ascii="Times New Roman" w:eastAsia="Times New Roman" w:hAnsi="Times New Roman" w:cs="Times New Roman"/>
                <w:bCs/>
                <w:sz w:val="20"/>
                <w:szCs w:val="20"/>
                <w:lang w:eastAsia="en-ZA"/>
              </w:rPr>
              <w:t>https://doi.org/10.1146/annurev-ecolsys-111511-103919</w:t>
            </w:r>
            <w:r w:rsidR="0082330F">
              <w:rPr>
                <w:rFonts w:ascii="Times New Roman" w:eastAsia="Times New Roman" w:hAnsi="Times New Roman" w:cs="Times New Roman"/>
                <w:sz w:val="20"/>
                <w:szCs w:val="20"/>
                <w:lang w:eastAsia="en-ZA"/>
              </w:rPr>
              <w:t>.</w:t>
            </w:r>
          </w:p>
          <w:p w14:paraId="309F643D" w14:textId="4F211793" w:rsidR="002D7080" w:rsidRPr="00933135" w:rsidRDefault="002D7080" w:rsidP="00933135">
            <w:pPr>
              <w:ind w:left="720" w:hanging="720"/>
              <w:contextualSpacing/>
              <w:jc w:val="both"/>
              <w:rPr>
                <w:rFonts w:ascii="Times New Roman" w:eastAsia="Times New Roman" w:hAnsi="Times New Roman" w:cs="Times New Roman"/>
                <w:bCs/>
                <w:sz w:val="20"/>
                <w:szCs w:val="20"/>
                <w:lang w:eastAsia="en-ZA"/>
              </w:rPr>
            </w:pPr>
            <w:r w:rsidRPr="00933135">
              <w:rPr>
                <w:rFonts w:ascii="Times New Roman" w:eastAsia="Times New Roman" w:hAnsi="Times New Roman" w:cs="Times New Roman"/>
                <w:sz w:val="20"/>
                <w:szCs w:val="20"/>
                <w:lang w:eastAsia="en-ZA"/>
              </w:rPr>
              <w:t xml:space="preserve">Longshaw, M. 2011, ‘Diseases of crayfish: A review’, </w:t>
            </w:r>
            <w:r w:rsidRPr="00933135">
              <w:rPr>
                <w:rFonts w:ascii="Times New Roman" w:eastAsia="Times New Roman" w:hAnsi="Times New Roman" w:cs="Times New Roman"/>
                <w:i/>
                <w:sz w:val="20"/>
                <w:szCs w:val="20"/>
                <w:lang w:eastAsia="en-ZA"/>
              </w:rPr>
              <w:t>Journal of Invertebrate Pathology</w:t>
            </w:r>
            <w:r w:rsidRPr="00933135">
              <w:rPr>
                <w:rFonts w:ascii="Times New Roman" w:eastAsia="Times New Roman" w:hAnsi="Times New Roman" w:cs="Times New Roman"/>
                <w:sz w:val="20"/>
                <w:szCs w:val="20"/>
                <w:lang w:eastAsia="en-ZA"/>
              </w:rPr>
              <w:t xml:space="preserve"> 106, 54–70. </w:t>
            </w:r>
            <w:hyperlink r:id="rId441" w:history="1">
              <w:r w:rsidR="0082330F" w:rsidRPr="0082330F">
                <w:rPr>
                  <w:rStyle w:val="Hyperlink"/>
                  <w:rFonts w:ascii="Times New Roman" w:hAnsi="Times New Roman" w:cs="Times New Roman"/>
                  <w:sz w:val="20"/>
                  <w:szCs w:val="20"/>
                </w:rPr>
                <w:t>https://doi.org/10.1016/j.jip.2010.09.013</w:t>
              </w:r>
            </w:hyperlink>
            <w:r w:rsidRPr="00933135">
              <w:rPr>
                <w:rFonts w:ascii="Times New Roman" w:eastAsia="Times New Roman" w:hAnsi="Times New Roman" w:cs="Times New Roman"/>
                <w:bCs/>
                <w:sz w:val="20"/>
                <w:szCs w:val="20"/>
                <w:lang w:eastAsia="en-ZA"/>
              </w:rPr>
              <w:t>.</w:t>
            </w:r>
          </w:p>
          <w:p w14:paraId="6DD557EB" w14:textId="439230A1" w:rsidR="002D7080" w:rsidRPr="00933135" w:rsidRDefault="002D7080" w:rsidP="00933135">
            <w:pPr>
              <w:ind w:left="720" w:hanging="720"/>
              <w:contextualSpacing/>
              <w:jc w:val="both"/>
              <w:rPr>
                <w:rFonts w:ascii="Times New Roman" w:eastAsia="Times New Roman" w:hAnsi="Times New Roman" w:cs="Times New Roman"/>
                <w:sz w:val="20"/>
                <w:szCs w:val="20"/>
                <w:lang w:eastAsia="en-ZA"/>
              </w:rPr>
            </w:pPr>
            <w:r w:rsidRPr="00933135">
              <w:rPr>
                <w:rFonts w:ascii="Times New Roman" w:hAnsi="Times New Roman" w:cs="Times New Roman"/>
                <w:color w:val="1C1D1E"/>
                <w:sz w:val="20"/>
                <w:szCs w:val="20"/>
                <w:shd w:val="clear" w:color="auto" w:fill="FFFFFF"/>
              </w:rPr>
              <w:t xml:space="preserve">Svoboda, J., Strand, D.A., Vrålstad, T., Grandjean, F., Edsman, L., Kozák, P., Kouba, A., Fristad, R.F., Bahadir Koca, S. and Petrusek, A. 2014, ‘The crayfish plague pathogen can infect freshwater-inhabiting crabs’, </w:t>
            </w:r>
            <w:r w:rsidRPr="00933135">
              <w:rPr>
                <w:rFonts w:ascii="Times New Roman" w:hAnsi="Times New Roman" w:cs="Times New Roman"/>
                <w:i/>
                <w:iCs/>
                <w:color w:val="1C1D1E"/>
                <w:sz w:val="20"/>
                <w:szCs w:val="20"/>
                <w:shd w:val="clear" w:color="auto" w:fill="FFFFFF"/>
              </w:rPr>
              <w:t>Freshwater Biology</w:t>
            </w:r>
            <w:r w:rsidRPr="00933135">
              <w:rPr>
                <w:rFonts w:ascii="Times New Roman" w:hAnsi="Times New Roman" w:cs="Times New Roman"/>
                <w:color w:val="1C1D1E"/>
                <w:sz w:val="20"/>
                <w:szCs w:val="20"/>
                <w:shd w:val="clear" w:color="auto" w:fill="FFFFFF"/>
              </w:rPr>
              <w:t>, 59,  918-929. </w:t>
            </w:r>
            <w:hyperlink r:id="rId442" w:history="1">
              <w:r w:rsidR="0082330F" w:rsidRPr="00D704ED">
                <w:rPr>
                  <w:rStyle w:val="Hyperlink"/>
                  <w:rFonts w:ascii="Times New Roman" w:hAnsi="Times New Roman" w:cs="Times New Roman"/>
                  <w:sz w:val="20"/>
                  <w:szCs w:val="20"/>
                </w:rPr>
                <w:t>https://doi–org.uplib.idm.oclc.org/10.1111/fwb.12315</w:t>
              </w:r>
            </w:hyperlink>
          </w:p>
        </w:tc>
      </w:tr>
      <w:tr w:rsidR="002D7080" w:rsidRPr="00ED3FD3" w14:paraId="3DF7757D" w14:textId="77777777" w:rsidTr="002E2C37">
        <w:tc>
          <w:tcPr>
            <w:tcW w:w="9016" w:type="dxa"/>
            <w:gridSpan w:val="2"/>
            <w:shd w:val="clear" w:color="auto" w:fill="F2F2F2" w:themeFill="background1" w:themeFillShade="F2"/>
          </w:tcPr>
          <w:p w14:paraId="45969C50"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lastRenderedPageBreak/>
              <w:t>CON1e: Parasitism</w:t>
            </w:r>
          </w:p>
        </w:tc>
      </w:tr>
      <w:tr w:rsidR="002D7080" w:rsidRPr="00ED3FD3" w14:paraId="54502DD1" w14:textId="77777777" w:rsidTr="002E2C37">
        <w:tc>
          <w:tcPr>
            <w:tcW w:w="5949" w:type="dxa"/>
          </w:tcPr>
          <w:p w14:paraId="596320BD"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Data Deficient (DD)</w:t>
            </w:r>
          </w:p>
        </w:tc>
        <w:tc>
          <w:tcPr>
            <w:tcW w:w="3067" w:type="dxa"/>
          </w:tcPr>
          <w:p w14:paraId="4AEBD4D1"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0023009D" w14:textId="77777777" w:rsidTr="002E2C37">
        <w:trPr>
          <w:trHeight w:val="70"/>
        </w:trPr>
        <w:tc>
          <w:tcPr>
            <w:tcW w:w="9016" w:type="dxa"/>
            <w:gridSpan w:val="2"/>
          </w:tcPr>
          <w:p w14:paraId="22FA873D"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Rationale:</w:t>
            </w:r>
          </w:p>
        </w:tc>
      </w:tr>
      <w:tr w:rsidR="002D7080" w:rsidRPr="00ED3FD3" w14:paraId="472D4A1F" w14:textId="77777777" w:rsidTr="002E2C37">
        <w:trPr>
          <w:trHeight w:val="70"/>
        </w:trPr>
        <w:tc>
          <w:tcPr>
            <w:tcW w:w="9016" w:type="dxa"/>
            <w:gridSpan w:val="2"/>
          </w:tcPr>
          <w:p w14:paraId="59DB2528"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tc>
      </w:tr>
      <w:tr w:rsidR="002D7080" w:rsidRPr="00ED3FD3" w14:paraId="1157558B" w14:textId="77777777" w:rsidTr="002E2C37">
        <w:tc>
          <w:tcPr>
            <w:tcW w:w="9016" w:type="dxa"/>
            <w:gridSpan w:val="2"/>
            <w:shd w:val="clear" w:color="auto" w:fill="F2F2F2" w:themeFill="background1" w:themeFillShade="F2"/>
          </w:tcPr>
          <w:p w14:paraId="2F816047"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CON1f: Poisoning/toxicity</w:t>
            </w:r>
          </w:p>
        </w:tc>
      </w:tr>
      <w:tr w:rsidR="002D7080" w:rsidRPr="00ED3FD3" w14:paraId="4E5CC9DD" w14:textId="77777777" w:rsidTr="002E2C37">
        <w:tc>
          <w:tcPr>
            <w:tcW w:w="5949" w:type="dxa"/>
          </w:tcPr>
          <w:p w14:paraId="5E796F7D"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Data Deficient (DD)</w:t>
            </w:r>
          </w:p>
        </w:tc>
        <w:tc>
          <w:tcPr>
            <w:tcW w:w="3067" w:type="dxa"/>
          </w:tcPr>
          <w:p w14:paraId="73B6FEE0"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4EF86216" w14:textId="77777777" w:rsidTr="002E2C37">
        <w:trPr>
          <w:trHeight w:val="70"/>
        </w:trPr>
        <w:tc>
          <w:tcPr>
            <w:tcW w:w="9016" w:type="dxa"/>
            <w:gridSpan w:val="2"/>
          </w:tcPr>
          <w:p w14:paraId="58B9121A"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Rationale:</w:t>
            </w:r>
          </w:p>
        </w:tc>
      </w:tr>
      <w:tr w:rsidR="002D7080" w:rsidRPr="00ED3FD3" w14:paraId="5462E600" w14:textId="77777777" w:rsidTr="002E2C37">
        <w:trPr>
          <w:trHeight w:val="70"/>
        </w:trPr>
        <w:tc>
          <w:tcPr>
            <w:tcW w:w="9016" w:type="dxa"/>
            <w:gridSpan w:val="2"/>
          </w:tcPr>
          <w:p w14:paraId="29D7BC63"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tc>
      </w:tr>
      <w:tr w:rsidR="002D7080" w:rsidRPr="00ED3FD3" w14:paraId="361AF96F" w14:textId="77777777" w:rsidTr="002E2C37">
        <w:tc>
          <w:tcPr>
            <w:tcW w:w="9016" w:type="dxa"/>
            <w:gridSpan w:val="2"/>
            <w:shd w:val="clear" w:color="auto" w:fill="F2F2F2" w:themeFill="background1" w:themeFillShade="F2"/>
          </w:tcPr>
          <w:p w14:paraId="711E6524"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CON1g: Bio-fouling or other direct physical disturbance</w:t>
            </w:r>
          </w:p>
        </w:tc>
      </w:tr>
      <w:tr w:rsidR="002D7080" w:rsidRPr="00ED3FD3" w14:paraId="323D20B9" w14:textId="77777777" w:rsidTr="002E2C37">
        <w:tc>
          <w:tcPr>
            <w:tcW w:w="5949" w:type="dxa"/>
          </w:tcPr>
          <w:p w14:paraId="43DFEBC5"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Data Deficient (DD)</w:t>
            </w:r>
          </w:p>
        </w:tc>
        <w:tc>
          <w:tcPr>
            <w:tcW w:w="3067" w:type="dxa"/>
          </w:tcPr>
          <w:p w14:paraId="0064B33F"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713393CE" w14:textId="77777777" w:rsidTr="002E2C37">
        <w:trPr>
          <w:trHeight w:val="70"/>
        </w:trPr>
        <w:tc>
          <w:tcPr>
            <w:tcW w:w="9016" w:type="dxa"/>
            <w:gridSpan w:val="2"/>
          </w:tcPr>
          <w:p w14:paraId="6E1D32D2"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Rationale:</w:t>
            </w:r>
          </w:p>
        </w:tc>
      </w:tr>
      <w:tr w:rsidR="002D7080" w:rsidRPr="00ED3FD3" w14:paraId="1A71F52F" w14:textId="77777777" w:rsidTr="002E2C37">
        <w:trPr>
          <w:trHeight w:val="70"/>
        </w:trPr>
        <w:tc>
          <w:tcPr>
            <w:tcW w:w="9016" w:type="dxa"/>
            <w:gridSpan w:val="2"/>
          </w:tcPr>
          <w:p w14:paraId="62BA26DE"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tc>
      </w:tr>
      <w:tr w:rsidR="002D7080" w:rsidRPr="00ED3FD3" w14:paraId="0F0A7F57" w14:textId="77777777" w:rsidTr="002E2C37">
        <w:tc>
          <w:tcPr>
            <w:tcW w:w="9016" w:type="dxa"/>
            <w:gridSpan w:val="2"/>
            <w:shd w:val="clear" w:color="auto" w:fill="F2F2F2" w:themeFill="background1" w:themeFillShade="F2"/>
          </w:tcPr>
          <w:p w14:paraId="20D7BA15"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CON1h: Grazing/herbivory/browsing</w:t>
            </w:r>
          </w:p>
        </w:tc>
      </w:tr>
      <w:tr w:rsidR="002D7080" w:rsidRPr="00ED3FD3" w14:paraId="4ACC01E0" w14:textId="77777777" w:rsidTr="002E2C37">
        <w:tc>
          <w:tcPr>
            <w:tcW w:w="5949" w:type="dxa"/>
          </w:tcPr>
          <w:p w14:paraId="20C3D991"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Data Deficient (DD)</w:t>
            </w:r>
          </w:p>
        </w:tc>
        <w:tc>
          <w:tcPr>
            <w:tcW w:w="3067" w:type="dxa"/>
          </w:tcPr>
          <w:p w14:paraId="147E428E"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73DD81BD" w14:textId="77777777" w:rsidTr="002E2C37">
        <w:trPr>
          <w:trHeight w:val="70"/>
        </w:trPr>
        <w:tc>
          <w:tcPr>
            <w:tcW w:w="9016" w:type="dxa"/>
            <w:gridSpan w:val="2"/>
          </w:tcPr>
          <w:p w14:paraId="0F70C25F"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Although there is no information available to assess the level of impact, </w:t>
            </w:r>
            <w:r w:rsidRPr="00ED3FD3">
              <w:rPr>
                <w:rFonts w:ascii="Times New Roman" w:eastAsia="Times New Roman" w:hAnsi="Times New Roman" w:cs="Times New Roman"/>
                <w:i/>
                <w:sz w:val="20"/>
                <w:szCs w:val="20"/>
                <w:lang w:eastAsia="en-ZA"/>
              </w:rPr>
              <w:t>P. leniusculus</w:t>
            </w:r>
            <w:r w:rsidRPr="00ED3FD3">
              <w:rPr>
                <w:rFonts w:ascii="Times New Roman" w:eastAsia="Times New Roman" w:hAnsi="Times New Roman" w:cs="Times New Roman"/>
                <w:sz w:val="20"/>
                <w:szCs w:val="20"/>
                <w:lang w:eastAsia="en-ZA"/>
              </w:rPr>
              <w:t xml:space="preserve"> is a functional omnivore feeding on plant material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"10.3391/ai.2010.5.3.10", "author" : [ { "dropping-particle" : "", "family" : "Dana", "given" : "El\u00edas D", "non-dropping-particle" : "", "parse-names" : false, "suffix" : "" }, { "dropping-particle" : "", "family" : "L\u00f3pez-santiago", "given" : "Javier", "non-dropping-particle" : "", "parse-names" : false, "suffix" : "" }, { "dropping-particle" : "", "family" : "Garc\u00eda-de-lomas", "given" : "Juan", "non-dropping-particle" : "", "parse-names" : false, "suffix" : "" }, { "dropping-particle" : "", "family" : "Garc\u00eda-oca\u00f1a", "given" : "David M", "non-dropping-particle" : "", "parse-names" : false, "suffix" : "" }, { "dropping-particle" : "", "family" : "Ortega", "given" : "Fernando", "non-dropping-particle" : "", "parse-names" : false, "suffix" : "" } ], "id" : "ITEM-1", "issue" : "3", "issued" : { "date-parts" : [ [ "2010" ] ] }, "page" : "317-322", "title" : "Long-term management of the invasive Pacifastacus leniusculus ( Dana , 1852 ) in a small mountain stream", "type" : "article-journal", "volume" : "5" }, "uris" : [ "http://www.mendeley.com/documents/?uuid=809984f6-033c-4580-93af-e25fa9c1001e" ] } ], "mendeley" : { "formattedCitation" : "(Dana et al. 2010)", "manualFormatting" : "(Guan and Wiles 1998)", "plainTextFormattedCitation" : "(Dana et al. 2010)", "previouslyFormattedCitation" : "(Dana et al. 2010)"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(e.g., Guan &amp; Wiles 1998, Carvalho et al. 2022)</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w:t>
            </w:r>
          </w:p>
        </w:tc>
      </w:tr>
      <w:tr w:rsidR="002D7080" w:rsidRPr="00ED3FD3" w14:paraId="674DBB1C" w14:textId="77777777" w:rsidTr="002E2C37">
        <w:trPr>
          <w:trHeight w:val="70"/>
        </w:trPr>
        <w:tc>
          <w:tcPr>
            <w:tcW w:w="9016" w:type="dxa"/>
            <w:gridSpan w:val="2"/>
          </w:tcPr>
          <w:p w14:paraId="13C71797"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57E0ACEF" w14:textId="77777777" w:rsidR="002D7080" w:rsidRPr="00ED3FD3" w:rsidRDefault="002D7080" w:rsidP="002E2C37">
            <w:pPr>
              <w:ind w:left="720" w:hanging="720"/>
              <w:contextualSpacing/>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Guan, R. &amp; Wiles, P.R., 1998, ‘Feeding ecology of the signal crayfish </w:t>
            </w:r>
            <w:r w:rsidRPr="00ED3FD3">
              <w:rPr>
                <w:rFonts w:ascii="Times New Roman" w:eastAsia="Times New Roman" w:hAnsi="Times New Roman" w:cs="Times New Roman"/>
                <w:i/>
                <w:iCs/>
                <w:sz w:val="20"/>
                <w:szCs w:val="20"/>
                <w:lang w:eastAsia="en-ZA"/>
              </w:rPr>
              <w:t xml:space="preserve">Pacifastacus leniusculus </w:t>
            </w:r>
            <w:r w:rsidRPr="00ED3FD3">
              <w:rPr>
                <w:rFonts w:ascii="Times New Roman" w:eastAsia="Times New Roman" w:hAnsi="Times New Roman" w:cs="Times New Roman"/>
                <w:sz w:val="20"/>
                <w:szCs w:val="20"/>
                <w:lang w:eastAsia="en-ZA"/>
              </w:rPr>
              <w:t xml:space="preserve">in a British lowland river’, </w:t>
            </w:r>
            <w:r w:rsidRPr="00ED3FD3">
              <w:rPr>
                <w:rFonts w:ascii="Times New Roman" w:eastAsia="Times New Roman" w:hAnsi="Times New Roman" w:cs="Times New Roman"/>
                <w:i/>
                <w:sz w:val="20"/>
                <w:szCs w:val="20"/>
                <w:lang w:eastAsia="en-ZA"/>
              </w:rPr>
              <w:t>Aquaculture</w:t>
            </w:r>
            <w:r w:rsidRPr="00ED3FD3">
              <w:rPr>
                <w:rFonts w:ascii="Times New Roman" w:eastAsia="Times New Roman" w:hAnsi="Times New Roman" w:cs="Times New Roman"/>
                <w:sz w:val="20"/>
                <w:szCs w:val="20"/>
                <w:lang w:eastAsia="en-ZA"/>
              </w:rPr>
              <w:t xml:space="preserve"> 168, 177–193. </w:t>
            </w:r>
            <w:hyperlink w:history="1">
              <w:r w:rsidRPr="00ED3FD3">
                <w:rPr>
                  <w:rStyle w:val="Hyperlink"/>
                  <w:rFonts w:ascii="Times New Roman" w:eastAsia="Times New Roman" w:hAnsi="Times New Roman" w:cs="Times New Roman"/>
                  <w:sz w:val="20"/>
                  <w:szCs w:val="20"/>
                  <w:lang w:eastAsia="en-ZA"/>
                </w:rPr>
                <w:t>https://doi.org/10.1016/S0044-8486(98)00377-9</w:t>
              </w:r>
            </w:hyperlink>
            <w:r w:rsidRPr="00ED3FD3">
              <w:rPr>
                <w:rFonts w:ascii="Times New Roman" w:eastAsia="Times New Roman" w:hAnsi="Times New Roman" w:cs="Times New Roman"/>
                <w:sz w:val="20"/>
                <w:szCs w:val="20"/>
                <w:lang w:eastAsia="en-ZA"/>
              </w:rPr>
              <w:t>.</w:t>
            </w:r>
          </w:p>
          <w:p w14:paraId="615725B0" w14:textId="77777777" w:rsidR="002D7080" w:rsidRPr="00B53213" w:rsidRDefault="002D7080" w:rsidP="002E2C37">
            <w:pPr>
              <w:ind w:left="720" w:hanging="720"/>
              <w:contextualSpacing/>
              <w:rPr>
                <w:rFonts w:ascii="Times New Roman" w:hAnsi="Times New Roman" w:cs="Times New Roman"/>
                <w:color w:val="222222"/>
                <w:sz w:val="20"/>
                <w:szCs w:val="20"/>
                <w:shd w:val="clear" w:color="auto" w:fill="FFFFFF"/>
                <w:lang w:val="it-IT"/>
              </w:rPr>
            </w:pPr>
            <w:r w:rsidRPr="00ED3FD3">
              <w:rPr>
                <w:rFonts w:ascii="Times New Roman" w:hAnsi="Times New Roman" w:cs="Times New Roman"/>
                <w:color w:val="222222"/>
                <w:sz w:val="20"/>
                <w:szCs w:val="20"/>
                <w:shd w:val="clear" w:color="auto" w:fill="FFFFFF"/>
              </w:rPr>
              <w:t>Carvalho, F., Sousa, R., Cássio, F., Pascoal C. 2022, ‘Temperature and interspecific competition alter the impacts of two invasive crayfish species on a key ecosystem process. </w:t>
            </w:r>
            <w:r w:rsidRPr="00ED3FD3">
              <w:rPr>
                <w:rFonts w:ascii="Times New Roman" w:hAnsi="Times New Roman" w:cs="Times New Roman"/>
                <w:i/>
                <w:iCs/>
                <w:color w:val="222222"/>
                <w:sz w:val="20"/>
                <w:szCs w:val="20"/>
                <w:shd w:val="clear" w:color="auto" w:fill="FFFFFF"/>
                <w:lang w:val="it-IT"/>
              </w:rPr>
              <w:t>Biological Invasions</w:t>
            </w:r>
            <w:r w:rsidRPr="00ED3FD3">
              <w:rPr>
                <w:rFonts w:ascii="Times New Roman" w:hAnsi="Times New Roman" w:cs="Times New Roman"/>
                <w:color w:val="222222"/>
                <w:sz w:val="20"/>
                <w:szCs w:val="20"/>
                <w:shd w:val="clear" w:color="auto" w:fill="FFFFFF"/>
                <w:lang w:val="it-IT"/>
              </w:rPr>
              <w:t xml:space="preserve"> 24, 3757–3768 </w:t>
            </w:r>
            <w:hyperlink w:history="1">
              <w:r w:rsidRPr="00ED3FD3">
                <w:rPr>
                  <w:rStyle w:val="Hyperlink"/>
                  <w:rFonts w:ascii="Times New Roman" w:hAnsi="Times New Roman" w:cs="Times New Roman"/>
                  <w:sz w:val="20"/>
                  <w:szCs w:val="20"/>
                  <w:lang w:val="it-IT"/>
                </w:rPr>
                <w:t>https://doi.org/10.1007/s10530-022-02875-7</w:t>
              </w:r>
            </w:hyperlink>
          </w:p>
        </w:tc>
      </w:tr>
      <w:tr w:rsidR="002D7080" w:rsidRPr="00ED3FD3" w14:paraId="7E53BA48" w14:textId="77777777" w:rsidTr="002E2C37">
        <w:tc>
          <w:tcPr>
            <w:tcW w:w="9016" w:type="dxa"/>
            <w:gridSpan w:val="2"/>
            <w:shd w:val="clear" w:color="auto" w:fill="F2F2F2" w:themeFill="background1" w:themeFillShade="F2"/>
          </w:tcPr>
          <w:p w14:paraId="2C1009C6"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CON1i: Chemical, physical or structural impact on ecosystem</w:t>
            </w:r>
          </w:p>
        </w:tc>
      </w:tr>
      <w:tr w:rsidR="002D7080" w:rsidRPr="00ED3FD3" w14:paraId="4B09ECA8" w14:textId="77777777" w:rsidTr="002E2C37">
        <w:tc>
          <w:tcPr>
            <w:tcW w:w="5949" w:type="dxa"/>
          </w:tcPr>
          <w:p w14:paraId="6D1E55B0"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Moderate (MO)</w:t>
            </w:r>
          </w:p>
        </w:tc>
        <w:tc>
          <w:tcPr>
            <w:tcW w:w="3067" w:type="dxa"/>
          </w:tcPr>
          <w:p w14:paraId="3FCA32C1"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Medium</w:t>
            </w:r>
          </w:p>
        </w:tc>
      </w:tr>
      <w:tr w:rsidR="002D7080" w:rsidRPr="00ED3FD3" w14:paraId="35D3C272" w14:textId="77777777" w:rsidTr="002E2C37">
        <w:trPr>
          <w:trHeight w:val="70"/>
        </w:trPr>
        <w:tc>
          <w:tcPr>
            <w:tcW w:w="9016" w:type="dxa"/>
            <w:gridSpan w:val="2"/>
          </w:tcPr>
          <w:p w14:paraId="56C8BB00"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Burrowing activities of </w:t>
            </w:r>
            <w:r w:rsidRPr="00ED3FD3">
              <w:rPr>
                <w:rFonts w:ascii="Times New Roman" w:eastAsia="Times New Roman" w:hAnsi="Times New Roman" w:cs="Times New Roman"/>
                <w:i/>
                <w:sz w:val="20"/>
                <w:szCs w:val="20"/>
                <w:lang w:eastAsia="en-ZA"/>
              </w:rPr>
              <w:t>P. leniusculus</w:t>
            </w:r>
            <w:r w:rsidRPr="00ED3FD3">
              <w:rPr>
                <w:rFonts w:ascii="Times New Roman" w:eastAsia="Times New Roman" w:hAnsi="Times New Roman" w:cs="Times New Roman"/>
                <w:sz w:val="20"/>
                <w:szCs w:val="20"/>
                <w:lang w:eastAsia="en-ZA"/>
              </w:rPr>
              <w:t xml:space="preserve"> can cause structural damage to river banks and increase bank erosion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et al. 2009)", "plainTextFormattedCitation" : "(Holdich et al. 2009)", "previouslyFormattedCitation" : "(Holdich et al. 2009)"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(Holdich et al. 2009)</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Although it is considered to be a non-burrowing species, in its invaded range, it constructs burrows under rocks and river banks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"10.3391/ai.2010.5.3.10", "author" : [ { "dropping-particle" : "", "family" : "Dana", "given" : "El\u00edas D", "non-dropping-particle" : "", "parse-names" : false, "suffix" : "" }, { "dropping-particle" : "", "family" : "L\u00f3pez-santiago", "given" : "Javier", "non-dropping-particle" : "", "parse-names" : false, "suffix" : "" }, { "dropping-particle" : "", "family" : "Garc\u00eda-de-lomas", "given" : "Juan", "non-dropping-particle" : "", "parse-names" : false, "suffix" : "" }, { "dropping-particle" : "", "family" : "Garc\u00eda-oca\u00f1a", "given" : "David M", "non-dropping-particle" : "", "parse-names" : false, "suffix" : "" }, { "dropping-particle" : "", "family" : "Ortega", "given" : "Fernando", "non-dropping-particle" : "", "parse-names" : false, "suffix" : "" } ], "id" : "ITEM-1", "issue" : "3", "issued" : { "date-parts" : [ [ "2010" ] ] }, "page" : "317-322", "title" : "Long-term management of the invasive Pacifastacus leniusculus ( Dana , 1852 ) in a small mountain stream", "type" : "article-journal", "volume" : "5" }, "uris" : [ "http://www.mendeley.com/documents/?uuid=809984f6-033c-4580-93af-e25fa9c1001e" ] } ], "mendeley" : { "formattedCitation" : "(Dana et al. 2010)", "plainTextFormattedCitation" : "(Dana et al. 2010)", "previouslyFormattedCitation" : "(Dana et al. 2010)"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(Dana et al. 2010)</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In Europe, the burrows can reach high densities, and can have a severe impact on river bank geomorphology, causing them to collapse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et al. 2009)", "plainTextFormattedCitation" : "(Holdich et al. 2009)", "previouslyFormattedCitation" : "(Holdich et al. 2009)"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(Holdich et al. 2009)</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On River Lark in the UK, burrowing by </w:t>
            </w:r>
            <w:r w:rsidRPr="00ED3FD3">
              <w:rPr>
                <w:rFonts w:ascii="Times New Roman" w:eastAsia="Times New Roman" w:hAnsi="Times New Roman" w:cs="Times New Roman"/>
                <w:i/>
                <w:sz w:val="20"/>
                <w:szCs w:val="20"/>
                <w:lang w:eastAsia="en-ZA"/>
              </w:rPr>
              <w:t>P. leniusculus</w:t>
            </w:r>
            <w:r w:rsidRPr="00ED3FD3">
              <w:rPr>
                <w:rFonts w:ascii="Times New Roman" w:eastAsia="Times New Roman" w:hAnsi="Times New Roman" w:cs="Times New Roman"/>
                <w:sz w:val="20"/>
                <w:szCs w:val="20"/>
                <w:lang w:eastAsia="en-ZA"/>
              </w:rPr>
              <w:t xml:space="preserve"> has been reported to cause erosion at the rate of one meter per year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"author" : [ { "dropping-particle" : "", "family" : "Guan", "given" : "R.Z", "non-dropping-particle" : "", "parse-names" : false, "suffix" : "" } ], "container-title" : "Freshwater Forum", "id" : "ITEM-1", "issued" : { "date-parts" : [ [ "2010" ] ] }, "title" : "Burrowing behaviour of signal crayfish, Pacifastacus leniusculus (Dana) in the River Great Ouse, England.", "type" : "article-journal", "volume" : "4" }, "uris" : [ "http://www.mendeley.com/documents/?uuid=6fba3026-a6bc-4e1a-9fd4-6dbdf31ee24f" ] } ], "mendeley" : { "formattedCitation" : "(Guan 2010)", "plainTextFormattedCitation" : "(Guan 2010)", "previouslyFormattedCitation" : "(Guan 2010)"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(Guan 2010)</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w:t>
            </w:r>
          </w:p>
          <w:p w14:paraId="6DBAE443"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i/>
                <w:sz w:val="20"/>
                <w:szCs w:val="20"/>
                <w:lang w:eastAsia="en-ZA"/>
              </w:rPr>
              <w:lastRenderedPageBreak/>
              <w:t xml:space="preserve">Pacifastacus leniusculus </w:t>
            </w:r>
            <w:r w:rsidRPr="00ED3FD3">
              <w:rPr>
                <w:rFonts w:ascii="Times New Roman" w:eastAsia="Times New Roman" w:hAnsi="Times New Roman" w:cs="Times New Roman"/>
                <w:iCs/>
                <w:sz w:val="20"/>
                <w:szCs w:val="20"/>
                <w:lang w:eastAsia="en-ZA"/>
              </w:rPr>
              <w:t xml:space="preserve">were found to have higher diversity of epibiont algae (species that live on the surface of other organisms) than sympatric native species (Falasco et al. 2018). This indicates that they can provide alternative substrate for agal species to grow on and this can this can lead to changes in community structure and function. </w:t>
            </w:r>
          </w:p>
        </w:tc>
      </w:tr>
      <w:tr w:rsidR="002D7080" w:rsidRPr="00ED3FD3" w14:paraId="292639E6" w14:textId="77777777" w:rsidTr="002E2C37">
        <w:trPr>
          <w:trHeight w:val="70"/>
        </w:trPr>
        <w:tc>
          <w:tcPr>
            <w:tcW w:w="9016" w:type="dxa"/>
            <w:gridSpan w:val="2"/>
          </w:tcPr>
          <w:p w14:paraId="17D75CAB" w14:textId="77777777" w:rsidR="002D7080" w:rsidRPr="00ED3FD3" w:rsidRDefault="002D7080" w:rsidP="002E2C37">
            <w:pPr>
              <w:contextualSpacing/>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lastRenderedPageBreak/>
              <w:t>References:</w:t>
            </w:r>
          </w:p>
          <w:p w14:paraId="3C0ACA03" w14:textId="77777777" w:rsidR="002D7080" w:rsidRPr="00ED3FD3" w:rsidRDefault="002D7080" w:rsidP="00C94525">
            <w:pPr>
              <w:ind w:left="702" w:hanging="702"/>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Dana, E.D., López-Santiago J., García-de-Lomas, J., García-Ocaña, D.M., Gámez, V. &amp; Ortega, F., 2010, ‘Long-term management of the invasive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(Dana, 1852) in a small mountain stream’, </w:t>
            </w:r>
            <w:r w:rsidRPr="00ED3FD3">
              <w:rPr>
                <w:rFonts w:ascii="Times New Roman" w:eastAsia="Times New Roman" w:hAnsi="Times New Roman" w:cs="Times New Roman"/>
                <w:i/>
                <w:iCs/>
                <w:sz w:val="20"/>
                <w:szCs w:val="20"/>
                <w:lang w:eastAsia="en-ZA"/>
              </w:rPr>
              <w:t>Aquatic Invasions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5</w:t>
            </w:r>
            <w:r w:rsidRPr="00ED3FD3">
              <w:rPr>
                <w:rFonts w:ascii="Times New Roman" w:eastAsia="Times New Roman" w:hAnsi="Times New Roman" w:cs="Times New Roman"/>
                <w:sz w:val="20"/>
                <w:szCs w:val="20"/>
                <w:lang w:eastAsia="en-ZA"/>
              </w:rPr>
              <w:t>, 317–322.</w:t>
            </w:r>
            <w:r>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sz w:val="20"/>
                <w:szCs w:val="20"/>
                <w:lang w:eastAsia="en-ZA"/>
              </w:rPr>
              <w:t>https://doi.org/10.3391/ai.2010.5.3.10.</w:t>
            </w:r>
          </w:p>
          <w:p w14:paraId="04F4B048" w14:textId="5A605C3D" w:rsidR="002D7080" w:rsidRPr="00ED3FD3" w:rsidRDefault="002D7080" w:rsidP="00C94525">
            <w:pPr>
              <w:ind w:left="702" w:hanging="702"/>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Guan, R.Z., 2010, ‘Burrowing behaviour of signal crayfish,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(Dana) in the River Great Ouse, England’, </w:t>
            </w:r>
            <w:r w:rsidRPr="00ED3FD3">
              <w:rPr>
                <w:rFonts w:ascii="Times New Roman" w:eastAsia="Times New Roman" w:hAnsi="Times New Roman" w:cs="Times New Roman"/>
                <w:i/>
                <w:iCs/>
                <w:sz w:val="20"/>
                <w:szCs w:val="20"/>
                <w:lang w:eastAsia="en-ZA"/>
              </w:rPr>
              <w:t>Freshwater Forum</w:t>
            </w:r>
            <w:r w:rsidRPr="00ED3FD3">
              <w:rPr>
                <w:rFonts w:ascii="Times New Roman" w:eastAsia="Times New Roman" w:hAnsi="Times New Roman" w:cs="Times New Roman"/>
                <w:sz w:val="20"/>
                <w:szCs w:val="20"/>
                <w:lang w:eastAsia="en-ZA"/>
              </w:rPr>
              <w:t xml:space="preserve"> 4,155–168.</w:t>
            </w:r>
            <w:r>
              <w:rPr>
                <w:rFonts w:ascii="Times New Roman" w:eastAsia="Times New Roman" w:hAnsi="Times New Roman" w:cs="Times New Roman"/>
                <w:sz w:val="20"/>
                <w:szCs w:val="20"/>
                <w:lang w:eastAsia="en-ZA"/>
              </w:rPr>
              <w:t xml:space="preserve"> </w:t>
            </w:r>
            <w:r w:rsidR="00282AB4" w:rsidRPr="008A0BC6">
              <w:rPr>
                <w:rFonts w:ascii="Times New Roman" w:hAnsi="Times New Roman" w:cs="Times New Roman"/>
                <w:sz w:val="20"/>
                <w:szCs w:val="20"/>
              </w:rPr>
              <w:t>http://hdl.handle.net/1834/22157</w:t>
            </w:r>
          </w:p>
          <w:p w14:paraId="3A1B6FCE" w14:textId="77777777" w:rsidR="002D7080" w:rsidRPr="00ED3FD3" w:rsidRDefault="002D7080" w:rsidP="00C94525">
            <w:pPr>
              <w:ind w:left="720" w:hanging="720"/>
              <w:contextualSpacing/>
              <w:jc w:val="both"/>
              <w:rPr>
                <w:rFonts w:ascii="Times New Roman" w:hAnsi="Times New Roman" w:cs="Times New Roman"/>
                <w:sz w:val="20"/>
                <w:szCs w:val="20"/>
              </w:rPr>
            </w:pPr>
            <w:r w:rsidRPr="00ED3FD3">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ED3FD3">
              <w:rPr>
                <w:rFonts w:ascii="Times New Roman" w:eastAsia="Calibri" w:hAnsi="Times New Roman" w:cs="Times New Roman"/>
                <w:sz w:val="20"/>
                <w:szCs w:val="20"/>
              </w:rPr>
              <w:t xml:space="preserve"> </w:t>
            </w:r>
            <w:r w:rsidRPr="00ED3FD3">
              <w:rPr>
                <w:rFonts w:ascii="Times New Roman" w:eastAsia="Calibri" w:hAnsi="Times New Roman" w:cs="Times New Roman"/>
                <w:bCs/>
                <w:i/>
                <w:sz w:val="20"/>
                <w:szCs w:val="20"/>
              </w:rPr>
              <w:t>Knowledge and Management of Aquatic Ecosystems</w:t>
            </w:r>
            <w:r w:rsidRPr="00ED3FD3">
              <w:rPr>
                <w:rFonts w:ascii="Times New Roman" w:eastAsia="Calibri" w:hAnsi="Times New Roman" w:cs="Times New Roman"/>
                <w:bCs/>
                <w:sz w:val="20"/>
                <w:szCs w:val="20"/>
              </w:rPr>
              <w:t xml:space="preserve"> 11, 394–395.</w:t>
            </w:r>
            <w:r w:rsidRPr="00ED3FD3">
              <w:rPr>
                <w:rFonts w:ascii="Times New Roman" w:hAnsi="Times New Roman" w:cs="Times New Roman"/>
                <w:color w:val="1B1C20"/>
                <w:sz w:val="20"/>
                <w:szCs w:val="20"/>
              </w:rPr>
              <w:t xml:space="preserve"> </w:t>
            </w:r>
            <w:r w:rsidRPr="00ED3FD3">
              <w:rPr>
                <w:rFonts w:ascii="Times New Roman" w:eastAsia="Calibri" w:hAnsi="Times New Roman" w:cs="Times New Roman"/>
                <w:bCs/>
                <w:sz w:val="20"/>
                <w:szCs w:val="20"/>
              </w:rPr>
              <w:t>https://doi.org/10.1051/kmae/2009025.</w:t>
            </w:r>
            <w:r w:rsidRPr="00ED3FD3">
              <w:rPr>
                <w:rFonts w:ascii="Times New Roman" w:hAnsi="Times New Roman" w:cs="Times New Roman"/>
                <w:sz w:val="20"/>
                <w:szCs w:val="20"/>
              </w:rPr>
              <w:t xml:space="preserve"> </w:t>
            </w:r>
          </w:p>
          <w:p w14:paraId="499D0DC6" w14:textId="77777777" w:rsidR="002D7080" w:rsidRPr="00ED3FD3" w:rsidRDefault="002D7080" w:rsidP="00C94525">
            <w:pPr>
              <w:ind w:left="720" w:hanging="720"/>
              <w:contextualSpacing/>
              <w:jc w:val="both"/>
              <w:rPr>
                <w:rFonts w:ascii="Times New Roman" w:hAnsi="Times New Roman" w:cs="Times New Roman"/>
                <w:i/>
                <w:sz w:val="20"/>
                <w:szCs w:val="20"/>
              </w:rPr>
            </w:pPr>
            <w:r w:rsidRPr="00ED3FD3">
              <w:rPr>
                <w:rFonts w:ascii="Times New Roman" w:hAnsi="Times New Roman" w:cs="Times New Roman"/>
                <w:sz w:val="20"/>
                <w:szCs w:val="20"/>
                <w:lang w:val="it-IT"/>
              </w:rPr>
              <w:t>Falasco, E., Bo, T., Ghia, D., Gruppuso, L., Bona, F., Fenoglio, S. 2018</w:t>
            </w:r>
            <w:r w:rsidRPr="00ED3FD3">
              <w:rPr>
                <w:rFonts w:ascii="Times New Roman" w:hAnsi="Times New Roman" w:cs="Times New Roman"/>
                <w:sz w:val="20"/>
                <w:szCs w:val="20"/>
              </w:rPr>
              <w:t xml:space="preserve"> “Diatoms prefer strangers: non-indigenous crayfish hosts completely different epizoic algal diatom communities from sympatric native species.”</w:t>
            </w:r>
            <w:r w:rsidRPr="00ED3FD3">
              <w:rPr>
                <w:rFonts w:ascii="Times New Roman" w:hAnsi="Times New Roman" w:cs="Times New Roman"/>
                <w:sz w:val="20"/>
                <w:szCs w:val="20"/>
                <w:lang w:val="it-IT"/>
              </w:rPr>
              <w:t xml:space="preserve"> . </w:t>
            </w:r>
            <w:r w:rsidRPr="00ED3FD3">
              <w:rPr>
                <w:rFonts w:ascii="Times New Roman" w:hAnsi="Times New Roman" w:cs="Times New Roman"/>
                <w:sz w:val="20"/>
                <w:szCs w:val="20"/>
              </w:rPr>
              <w:t>Biological Invasions 20:</w:t>
            </w:r>
            <w:r>
              <w:rPr>
                <w:rFonts w:ascii="Times New Roman" w:hAnsi="Times New Roman" w:cs="Times New Roman"/>
                <w:sz w:val="20"/>
                <w:szCs w:val="20"/>
              </w:rPr>
              <w:t xml:space="preserve"> </w:t>
            </w:r>
            <w:r w:rsidRPr="00ED3FD3">
              <w:rPr>
                <w:rFonts w:ascii="Times New Roman" w:hAnsi="Times New Roman" w:cs="Times New Roman"/>
                <w:sz w:val="20"/>
                <w:szCs w:val="20"/>
              </w:rPr>
              <w:t>2767-2776.</w:t>
            </w:r>
            <w:r>
              <w:rPr>
                <w:rFonts w:ascii="Times New Roman" w:hAnsi="Times New Roman" w:cs="Times New Roman"/>
                <w:sz w:val="20"/>
                <w:szCs w:val="20"/>
              </w:rPr>
              <w:t xml:space="preserve"> </w:t>
            </w:r>
            <w:r w:rsidRPr="000434D6">
              <w:rPr>
                <w:rFonts w:ascii="Times New Roman" w:hAnsi="Times New Roman" w:cs="Times New Roman"/>
                <w:sz w:val="20"/>
                <w:szCs w:val="20"/>
              </w:rPr>
              <w:t>https://doi.org/10.1007/s10530-018-1728-x</w:t>
            </w:r>
          </w:p>
        </w:tc>
      </w:tr>
      <w:tr w:rsidR="002D7080" w:rsidRPr="00ED3FD3" w14:paraId="0F4D63A9" w14:textId="77777777" w:rsidTr="002E2C37">
        <w:tc>
          <w:tcPr>
            <w:tcW w:w="9016" w:type="dxa"/>
            <w:gridSpan w:val="2"/>
            <w:shd w:val="clear" w:color="auto" w:fill="F2F2F2" w:themeFill="background1" w:themeFillShade="F2"/>
          </w:tcPr>
          <w:p w14:paraId="3A8805A5"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CON1k: Indirect impacts through interactions with other species</w:t>
            </w:r>
          </w:p>
        </w:tc>
      </w:tr>
      <w:tr w:rsidR="002D7080" w:rsidRPr="00ED3FD3" w14:paraId="58CBC077" w14:textId="77777777" w:rsidTr="002E2C37">
        <w:tc>
          <w:tcPr>
            <w:tcW w:w="5949" w:type="dxa"/>
          </w:tcPr>
          <w:p w14:paraId="26F50045"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Data Deficient (DD)</w:t>
            </w:r>
          </w:p>
        </w:tc>
        <w:tc>
          <w:tcPr>
            <w:tcW w:w="3067" w:type="dxa"/>
          </w:tcPr>
          <w:p w14:paraId="2018218C"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67F73690" w14:textId="77777777" w:rsidTr="002E2C37">
        <w:trPr>
          <w:trHeight w:val="70"/>
        </w:trPr>
        <w:tc>
          <w:tcPr>
            <w:tcW w:w="9016" w:type="dxa"/>
            <w:gridSpan w:val="2"/>
          </w:tcPr>
          <w:p w14:paraId="1BA36F72"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Rationale:</w:t>
            </w:r>
          </w:p>
        </w:tc>
      </w:tr>
      <w:tr w:rsidR="002D7080" w:rsidRPr="00ED3FD3" w14:paraId="037807F8" w14:textId="77777777" w:rsidTr="002E2C37">
        <w:trPr>
          <w:trHeight w:val="70"/>
        </w:trPr>
        <w:tc>
          <w:tcPr>
            <w:tcW w:w="9016" w:type="dxa"/>
            <w:gridSpan w:val="2"/>
          </w:tcPr>
          <w:p w14:paraId="11F51D77"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tc>
      </w:tr>
      <w:tr w:rsidR="002D7080" w:rsidRPr="00ED3FD3" w14:paraId="73764F33" w14:textId="77777777" w:rsidTr="002E2C37">
        <w:trPr>
          <w:trHeight w:val="343"/>
        </w:trPr>
        <w:tc>
          <w:tcPr>
            <w:tcW w:w="9016" w:type="dxa"/>
            <w:gridSpan w:val="2"/>
            <w:shd w:val="clear" w:color="auto" w:fill="F2F2F2" w:themeFill="background1" w:themeFillShade="F2"/>
          </w:tcPr>
          <w:p w14:paraId="2ED66F3D"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 xml:space="preserve">CON1 Maximum environmental impact </w:t>
            </w:r>
          </w:p>
        </w:tc>
      </w:tr>
      <w:tr w:rsidR="002D7080" w:rsidRPr="00ED3FD3" w14:paraId="7AA30B79" w14:textId="77777777" w:rsidTr="002E2C37">
        <w:trPr>
          <w:trHeight w:val="172"/>
        </w:trPr>
        <w:tc>
          <w:tcPr>
            <w:tcW w:w="5949" w:type="dxa"/>
          </w:tcPr>
          <w:p w14:paraId="1CC941C7"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Major (MR)</w:t>
            </w:r>
          </w:p>
        </w:tc>
        <w:tc>
          <w:tcPr>
            <w:tcW w:w="3067" w:type="dxa"/>
          </w:tcPr>
          <w:p w14:paraId="6FED38A5"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70690C78" w14:textId="77777777" w:rsidTr="002E2C37">
        <w:trPr>
          <w:trHeight w:val="70"/>
        </w:trPr>
        <w:tc>
          <w:tcPr>
            <w:tcW w:w="9016" w:type="dxa"/>
            <w:gridSpan w:val="2"/>
          </w:tcPr>
          <w:p w14:paraId="5BFC12C6"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Direct predation and competition for food and shelter by </w:t>
            </w:r>
            <w:r w:rsidRPr="00ED3FD3">
              <w:rPr>
                <w:rFonts w:ascii="Times New Roman" w:eastAsia="Times New Roman" w:hAnsi="Times New Roman" w:cs="Times New Roman"/>
                <w:i/>
                <w:iCs/>
                <w:sz w:val="20"/>
                <w:szCs w:val="20"/>
                <w:lang w:eastAsia="en-ZA"/>
              </w:rPr>
              <w:t>P. leniusculus</w:t>
            </w:r>
            <w:r w:rsidRPr="00ED3FD3">
              <w:rPr>
                <w:rFonts w:ascii="Times New Roman" w:eastAsia="Times New Roman" w:hAnsi="Times New Roman" w:cs="Times New Roman"/>
                <w:sz w:val="20"/>
                <w:szCs w:val="20"/>
                <w:lang w:eastAsia="en-ZA"/>
              </w:rPr>
              <w:t xml:space="preserve"> have led to local extinctions and a decrease in the abundance of invertebrates, native newts, crayfish and fish species in  Japan, the USA, and several countries in Europe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et al. 2009)", "plainTextFormattedCitation" : "(Holdich et al. 2009)", "previouslyFormattedCitation" : "(Holdich et al. 2009)"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(Crawford et al. 2006; Lodge et al. 2012, Holdich et al. 2009, Lodge et al. 2012, Galib et al. 2021)</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is</w:t>
            </w:r>
            <w:r w:rsidRPr="00ED3FD3">
              <w:rPr>
                <w:rFonts w:ascii="Times New Roman" w:eastAsia="Times New Roman" w:hAnsi="Times New Roman" w:cs="Times New Roman"/>
                <w:i/>
                <w:sz w:val="20"/>
                <w:szCs w:val="20"/>
                <w:lang w:eastAsia="en-ZA"/>
              </w:rPr>
              <w:t xml:space="preserve"> </w:t>
            </w:r>
            <w:r w:rsidRPr="00ED3FD3">
              <w:rPr>
                <w:rFonts w:ascii="Times New Roman" w:eastAsia="Times New Roman" w:hAnsi="Times New Roman" w:cs="Times New Roman"/>
                <w:sz w:val="20"/>
                <w:szCs w:val="20"/>
                <w:lang w:eastAsia="en-ZA"/>
              </w:rPr>
              <w:t xml:space="preserve">a vector for crayfish plague that was responsible for the decline of the European crayfish populations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"(Holdich et al. 2009, Lodge et al. 2012)", "plainTextFormattedCitation" : "(Holdich et al. 2009, Lodge et al. 2012)", "previouslyFormattedCitation" : "(Holdich et al. 2009, Lodge et al. 2012)"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(Holdich et al. 2009; Lodge et al. 2012)</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w:t>
            </w:r>
          </w:p>
        </w:tc>
      </w:tr>
      <w:tr w:rsidR="002D7080" w:rsidRPr="00ED3FD3" w14:paraId="15EF4A6E" w14:textId="77777777" w:rsidTr="002E2C37">
        <w:trPr>
          <w:trHeight w:val="70"/>
        </w:trPr>
        <w:tc>
          <w:tcPr>
            <w:tcW w:w="9016" w:type="dxa"/>
            <w:gridSpan w:val="2"/>
          </w:tcPr>
          <w:p w14:paraId="09104FEF"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51D72C82" w14:textId="77777777" w:rsidR="002D7080" w:rsidRPr="00ED3FD3" w:rsidRDefault="002D7080" w:rsidP="008A0BC6">
            <w:pPr>
              <w:ind w:left="593" w:hanging="593"/>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Crawford, L., Yeomans, W.E. &amp; Adams, C.E., 2006, ‘The impact of introduced signal crayfish </w:t>
            </w:r>
            <w:r w:rsidRPr="00ED3FD3">
              <w:rPr>
                <w:rFonts w:ascii="Times New Roman" w:eastAsia="Times New Roman" w:hAnsi="Times New Roman" w:cs="Times New Roman"/>
                <w:sz w:val="20"/>
                <w:szCs w:val="20"/>
                <w:lang w:eastAsia="en-ZA"/>
              </w:rPr>
              <w:tab/>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on stream invertebrate communities’, </w:t>
            </w:r>
            <w:r w:rsidRPr="00ED3FD3">
              <w:rPr>
                <w:rFonts w:ascii="Times New Roman" w:eastAsia="Times New Roman" w:hAnsi="Times New Roman" w:cs="Times New Roman"/>
                <w:i/>
                <w:iCs/>
                <w:sz w:val="20"/>
                <w:szCs w:val="20"/>
                <w:lang w:eastAsia="en-ZA"/>
              </w:rPr>
              <w:t xml:space="preserve">Aquatic Conservation: </w:t>
            </w:r>
            <w:r w:rsidRPr="00ED3FD3">
              <w:rPr>
                <w:rFonts w:ascii="Times New Roman" w:eastAsia="Times New Roman" w:hAnsi="Times New Roman" w:cs="Times New Roman"/>
                <w:i/>
                <w:iCs/>
                <w:sz w:val="20"/>
                <w:szCs w:val="20"/>
                <w:lang w:eastAsia="en-ZA"/>
              </w:rPr>
              <w:tab/>
              <w:t>Marine and Freshwater Ecosystems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16</w:t>
            </w:r>
            <w:r w:rsidRPr="00ED3FD3">
              <w:rPr>
                <w:rFonts w:ascii="Times New Roman" w:eastAsia="Times New Roman" w:hAnsi="Times New Roman" w:cs="Times New Roman"/>
                <w:sz w:val="20"/>
                <w:szCs w:val="20"/>
                <w:lang w:eastAsia="en-ZA"/>
              </w:rPr>
              <w:t xml:space="preserve">, 611–621. </w:t>
            </w:r>
            <w:hyperlink w:history="1">
              <w:r w:rsidRPr="00ED3FD3">
                <w:rPr>
                  <w:rStyle w:val="Hyperlink"/>
                  <w:rFonts w:ascii="Times New Roman" w:eastAsia="Times New Roman" w:hAnsi="Times New Roman" w:cs="Times New Roman"/>
                  <w:sz w:val="20"/>
                  <w:szCs w:val="20"/>
                  <w:lang w:eastAsia="en-ZA"/>
                </w:rPr>
                <w:t>https://doi.org/10.1002/aqc.761</w:t>
              </w:r>
            </w:hyperlink>
            <w:r w:rsidRPr="00ED3FD3">
              <w:rPr>
                <w:rFonts w:ascii="Times New Roman" w:eastAsia="Times New Roman" w:hAnsi="Times New Roman" w:cs="Times New Roman"/>
                <w:sz w:val="20"/>
                <w:szCs w:val="20"/>
                <w:lang w:eastAsia="en-ZA"/>
              </w:rPr>
              <w:t>.</w:t>
            </w:r>
          </w:p>
          <w:p w14:paraId="46D36944" w14:textId="77777777" w:rsidR="002D7080" w:rsidRPr="00ED3FD3" w:rsidRDefault="002D7080" w:rsidP="008A0BC6">
            <w:pPr>
              <w:ind w:left="702" w:hanging="702"/>
              <w:contextualSpacing/>
              <w:jc w:val="both"/>
              <w:rPr>
                <w:rFonts w:ascii="Times New Roman" w:eastAsia="Times New Roman" w:hAnsi="Times New Roman" w:cs="Times New Roman"/>
                <w:sz w:val="20"/>
                <w:szCs w:val="20"/>
                <w:lang w:eastAsia="en-ZA"/>
              </w:rPr>
            </w:pPr>
            <w:r w:rsidRPr="00ED3FD3">
              <w:rPr>
                <w:rStyle w:val="author"/>
                <w:rFonts w:ascii="Times New Roman" w:hAnsi="Times New Roman" w:cs="Times New Roman"/>
                <w:color w:val="1C1D1E"/>
                <w:sz w:val="20"/>
                <w:szCs w:val="20"/>
                <w:shd w:val="clear" w:color="auto" w:fill="FFFFFF"/>
              </w:rPr>
              <w:t>Galib, S.M.</w:t>
            </w:r>
            <w:r w:rsidRPr="00ED3FD3">
              <w:rPr>
                <w:rFonts w:ascii="Times New Roman" w:hAnsi="Times New Roman" w:cs="Times New Roman"/>
                <w:color w:val="1C1D1E"/>
                <w:sz w:val="20"/>
                <w:szCs w:val="20"/>
                <w:shd w:val="clear" w:color="auto" w:fill="FFFFFF"/>
              </w:rPr>
              <w:t>, </w:t>
            </w:r>
            <w:r w:rsidRPr="00ED3FD3">
              <w:rPr>
                <w:rStyle w:val="author"/>
                <w:rFonts w:ascii="Times New Roman" w:hAnsi="Times New Roman" w:cs="Times New Roman"/>
                <w:color w:val="1C1D1E"/>
                <w:sz w:val="20"/>
                <w:szCs w:val="20"/>
                <w:shd w:val="clear" w:color="auto" w:fill="FFFFFF"/>
              </w:rPr>
              <w:t>Findlay, J.S.</w:t>
            </w:r>
            <w:r w:rsidRPr="00ED3FD3">
              <w:rPr>
                <w:rFonts w:ascii="Times New Roman" w:hAnsi="Times New Roman" w:cs="Times New Roman"/>
                <w:color w:val="1C1D1E"/>
                <w:sz w:val="20"/>
                <w:szCs w:val="20"/>
                <w:shd w:val="clear" w:color="auto" w:fill="FFFFFF"/>
              </w:rPr>
              <w:t>, </w:t>
            </w:r>
            <w:r w:rsidRPr="00ED3FD3">
              <w:rPr>
                <w:rStyle w:val="author"/>
                <w:rFonts w:ascii="Times New Roman" w:hAnsi="Times New Roman" w:cs="Times New Roman"/>
                <w:color w:val="1C1D1E"/>
                <w:sz w:val="20"/>
                <w:szCs w:val="20"/>
                <w:shd w:val="clear" w:color="auto" w:fill="FFFFFF"/>
              </w:rPr>
              <w:t>Lucas, M.C</w:t>
            </w:r>
            <w:r w:rsidRPr="00ED3FD3">
              <w:rPr>
                <w:rFonts w:ascii="Times New Roman" w:hAnsi="Times New Roman" w:cs="Times New Roman"/>
                <w:color w:val="1C1D1E"/>
                <w:sz w:val="20"/>
                <w:szCs w:val="20"/>
                <w:shd w:val="clear" w:color="auto" w:fill="FFFFFF"/>
              </w:rPr>
              <w:t>. 2021, ‘</w:t>
            </w:r>
            <w:r w:rsidRPr="00ED3FD3">
              <w:rPr>
                <w:rStyle w:val="articletitle"/>
                <w:rFonts w:ascii="Times New Roman" w:hAnsi="Times New Roman" w:cs="Times New Roman"/>
                <w:color w:val="1C1D1E"/>
                <w:sz w:val="20"/>
                <w:szCs w:val="20"/>
                <w:shd w:val="clear" w:color="auto" w:fill="FFFFFF"/>
              </w:rPr>
              <w:t>Strong impacts of signal crayfish invasion on upland stream fish and invertebrate communities’,</w:t>
            </w:r>
            <w:r w:rsidRPr="00ED3FD3">
              <w:rPr>
                <w:rFonts w:ascii="Times New Roman" w:hAnsi="Times New Roman" w:cs="Times New Roman"/>
                <w:color w:val="1C1D1E"/>
                <w:sz w:val="20"/>
                <w:szCs w:val="20"/>
                <w:shd w:val="clear" w:color="auto" w:fill="FFFFFF"/>
              </w:rPr>
              <w:t> </w:t>
            </w:r>
            <w:r w:rsidRPr="00ED3FD3">
              <w:rPr>
                <w:rFonts w:ascii="Times New Roman" w:hAnsi="Times New Roman" w:cs="Times New Roman"/>
                <w:i/>
                <w:iCs/>
                <w:color w:val="1C1D1E"/>
                <w:sz w:val="20"/>
                <w:szCs w:val="20"/>
                <w:shd w:val="clear" w:color="auto" w:fill="FFFFFF"/>
              </w:rPr>
              <w:t xml:space="preserve">Freshwater Biology </w:t>
            </w:r>
            <w:r w:rsidRPr="00ED3FD3">
              <w:rPr>
                <w:rStyle w:val="vol"/>
                <w:rFonts w:ascii="Times New Roman" w:hAnsi="Times New Roman" w:cs="Times New Roman"/>
                <w:color w:val="1C1D1E"/>
                <w:sz w:val="20"/>
                <w:szCs w:val="20"/>
                <w:shd w:val="clear" w:color="auto" w:fill="FFFFFF"/>
              </w:rPr>
              <w:t>66,</w:t>
            </w:r>
            <w:r w:rsidRPr="00ED3FD3">
              <w:rPr>
                <w:rFonts w:ascii="Times New Roman" w:hAnsi="Times New Roman" w:cs="Times New Roman"/>
                <w:color w:val="1C1D1E"/>
                <w:sz w:val="20"/>
                <w:szCs w:val="20"/>
                <w:shd w:val="clear" w:color="auto" w:fill="FFFFFF"/>
              </w:rPr>
              <w:t> </w:t>
            </w:r>
            <w:r w:rsidRPr="00ED3FD3">
              <w:rPr>
                <w:rStyle w:val="pagefirst"/>
                <w:rFonts w:ascii="Times New Roman" w:hAnsi="Times New Roman" w:cs="Times New Roman"/>
                <w:color w:val="1C1D1E"/>
                <w:sz w:val="20"/>
                <w:szCs w:val="20"/>
                <w:shd w:val="clear" w:color="auto" w:fill="FFFFFF"/>
              </w:rPr>
              <w:t>223</w:t>
            </w:r>
            <w:r w:rsidRPr="00ED3FD3">
              <w:rPr>
                <w:rFonts w:ascii="Times New Roman" w:hAnsi="Times New Roman" w:cs="Times New Roman"/>
                <w:color w:val="1C1D1E"/>
                <w:sz w:val="20"/>
                <w:szCs w:val="20"/>
                <w:shd w:val="clear" w:color="auto" w:fill="FFFFFF"/>
              </w:rPr>
              <w:t>–</w:t>
            </w:r>
            <w:r w:rsidRPr="00ED3FD3">
              <w:rPr>
                <w:rStyle w:val="pagelast"/>
                <w:rFonts w:ascii="Times New Roman" w:hAnsi="Times New Roman" w:cs="Times New Roman"/>
                <w:color w:val="1C1D1E"/>
                <w:sz w:val="20"/>
                <w:szCs w:val="20"/>
                <w:shd w:val="clear" w:color="auto" w:fill="FFFFFF"/>
              </w:rPr>
              <w:t>240</w:t>
            </w:r>
            <w:r w:rsidRPr="00ED3FD3">
              <w:rPr>
                <w:rFonts w:ascii="Times New Roman" w:hAnsi="Times New Roman" w:cs="Times New Roman"/>
                <w:color w:val="1C1D1E"/>
                <w:sz w:val="20"/>
                <w:szCs w:val="20"/>
                <w:shd w:val="clear" w:color="auto" w:fill="FFFFFF"/>
              </w:rPr>
              <w:t>. </w:t>
            </w:r>
            <w:hyperlink w:history="1">
              <w:r w:rsidRPr="00ED3FD3">
                <w:rPr>
                  <w:rStyle w:val="Hyperlink"/>
                  <w:rFonts w:ascii="Times New Roman" w:hAnsi="Times New Roman" w:cs="Times New Roman"/>
                  <w:sz w:val="20"/>
                  <w:szCs w:val="20"/>
                  <w:shd w:val="clear" w:color="auto" w:fill="FFFFFF"/>
                </w:rPr>
                <w:t>https://doi.org/10.1111/fwb.13631</w:t>
              </w:r>
            </w:hyperlink>
          </w:p>
          <w:p w14:paraId="377A4114" w14:textId="77777777" w:rsidR="002D7080" w:rsidRPr="00ED3FD3" w:rsidRDefault="002D7080" w:rsidP="008A0BC6">
            <w:pPr>
              <w:ind w:left="702" w:hanging="702"/>
              <w:contextualSpacing/>
              <w:jc w:val="both"/>
              <w:rPr>
                <w:rFonts w:ascii="Times New Roman" w:eastAsia="Calibri" w:hAnsi="Times New Roman" w:cs="Times New Roman"/>
                <w:bCs/>
                <w:sz w:val="20"/>
                <w:szCs w:val="20"/>
              </w:rPr>
            </w:pPr>
            <w:r w:rsidRPr="00ED3FD3">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ED3FD3">
              <w:rPr>
                <w:rFonts w:ascii="Times New Roman" w:eastAsia="Calibri" w:hAnsi="Times New Roman" w:cs="Times New Roman"/>
                <w:sz w:val="20"/>
                <w:szCs w:val="20"/>
              </w:rPr>
              <w:t xml:space="preserve"> </w:t>
            </w:r>
            <w:r w:rsidRPr="00ED3FD3">
              <w:rPr>
                <w:rFonts w:ascii="Times New Roman" w:eastAsia="Calibri" w:hAnsi="Times New Roman" w:cs="Times New Roman"/>
                <w:bCs/>
                <w:i/>
                <w:sz w:val="20"/>
                <w:szCs w:val="20"/>
              </w:rPr>
              <w:t>Knowledge and Management of Aquatic Ecosystems</w:t>
            </w:r>
            <w:r w:rsidRPr="00ED3FD3">
              <w:rPr>
                <w:rFonts w:ascii="Times New Roman" w:eastAsia="Calibri" w:hAnsi="Times New Roman" w:cs="Times New Roman"/>
                <w:bCs/>
                <w:sz w:val="20"/>
                <w:szCs w:val="20"/>
              </w:rPr>
              <w:t xml:space="preserve"> 11, 394–395. </w:t>
            </w:r>
            <w:r w:rsidRPr="00ED3FD3">
              <w:rPr>
                <w:rFonts w:ascii="Times New Roman" w:hAnsi="Times New Roman" w:cs="Times New Roman"/>
                <w:color w:val="1B1C20"/>
                <w:sz w:val="20"/>
                <w:szCs w:val="20"/>
              </w:rPr>
              <w:t>https://doi.org/</w:t>
            </w:r>
            <w:r w:rsidRPr="00ED3FD3">
              <w:rPr>
                <w:rFonts w:ascii="Times New Roman" w:eastAsia="Calibri" w:hAnsi="Times New Roman" w:cs="Times New Roman"/>
                <w:bCs/>
                <w:sz w:val="20"/>
                <w:szCs w:val="20"/>
              </w:rPr>
              <w:t>10.1051/kmae/2009025.</w:t>
            </w:r>
          </w:p>
          <w:p w14:paraId="681F5AE7" w14:textId="77777777" w:rsidR="002D7080" w:rsidRPr="00ED3FD3" w:rsidRDefault="002D7080" w:rsidP="008A0BC6">
            <w:pPr>
              <w:ind w:left="702" w:hanging="702"/>
              <w:contextualSpacing/>
              <w:jc w:val="both"/>
              <w:rPr>
                <w:rFonts w:ascii="Times New Roman" w:eastAsia="Times New Roman" w:hAnsi="Times New Roman" w:cs="Times New Roman"/>
                <w:bCs/>
                <w:sz w:val="20"/>
                <w:szCs w:val="20"/>
                <w:lang w:eastAsia="en-ZA"/>
              </w:rPr>
            </w:pPr>
            <w:r w:rsidRPr="00ED3FD3">
              <w:rPr>
                <w:rFonts w:ascii="Times New Roman" w:eastAsia="Times New Roman" w:hAnsi="Times New Roman" w:cs="Times New Roman"/>
                <w:sz w:val="20"/>
                <w:szCs w:val="20"/>
                <w:lang w:eastAsia="en-ZA"/>
              </w:rPr>
              <w:t xml:space="preserve">Lodge, D.M., Deines, A., Gherardi, F., Yeo, D.C.J., Arcella. T, Baldridge, A.K. et al., 2012, ‘Global introductions of crayfishes: Evaluating the impact of species invasions on ecosystem services’, </w:t>
            </w:r>
            <w:r w:rsidRPr="00ED3FD3">
              <w:rPr>
                <w:rFonts w:ascii="Times New Roman" w:eastAsia="Times New Roman" w:hAnsi="Times New Roman" w:cs="Times New Roman"/>
                <w:i/>
                <w:sz w:val="20"/>
                <w:szCs w:val="20"/>
                <w:lang w:eastAsia="en-ZA"/>
              </w:rPr>
              <w:t>Annual Review of Ecology Evolution Systematics</w:t>
            </w:r>
            <w:r w:rsidRPr="00ED3FD3">
              <w:rPr>
                <w:rFonts w:ascii="Times New Roman" w:eastAsia="Times New Roman" w:hAnsi="Times New Roman" w:cs="Times New Roman"/>
                <w:sz w:val="20"/>
                <w:szCs w:val="20"/>
                <w:lang w:eastAsia="en-ZA"/>
              </w:rPr>
              <w:t xml:space="preserve"> 43, 449–472. </w:t>
            </w:r>
            <w:r w:rsidRPr="00ED3FD3">
              <w:rPr>
                <w:rFonts w:ascii="Times New Roman" w:eastAsia="Times New Roman" w:hAnsi="Times New Roman" w:cs="Times New Roman"/>
                <w:bCs/>
                <w:sz w:val="20"/>
                <w:szCs w:val="20"/>
                <w:lang w:eastAsia="en-ZA"/>
              </w:rPr>
              <w:t>https://doi.org/10.1146/annurev-ecolsys-111511-103919</w:t>
            </w:r>
            <w:r w:rsidRPr="00ED3FD3">
              <w:rPr>
                <w:rStyle w:val="Hyperlink"/>
                <w:rFonts w:ascii="Times New Roman" w:eastAsia="Times New Roman" w:hAnsi="Times New Roman" w:cs="Times New Roman"/>
                <w:bCs/>
                <w:sz w:val="20"/>
                <w:szCs w:val="20"/>
                <w:lang w:eastAsia="en-ZA"/>
              </w:rPr>
              <w:t>.</w:t>
            </w:r>
            <w:r w:rsidRPr="00ED3FD3">
              <w:rPr>
                <w:rFonts w:ascii="Times New Roman" w:eastAsia="Times New Roman" w:hAnsi="Times New Roman" w:cs="Times New Roman"/>
                <w:bCs/>
                <w:sz w:val="20"/>
                <w:szCs w:val="20"/>
                <w:lang w:eastAsia="en-ZA"/>
              </w:rPr>
              <w:t xml:space="preserve"> </w:t>
            </w:r>
          </w:p>
        </w:tc>
      </w:tr>
    </w:tbl>
    <w:p w14:paraId="180710C4" w14:textId="77777777" w:rsidR="002D7080" w:rsidRPr="00ED3FD3" w:rsidRDefault="002D7080" w:rsidP="002D7080">
      <w:pPr>
        <w:spacing w:after="0" w:line="240" w:lineRule="auto"/>
        <w:rPr>
          <w:rFonts w:ascii="Times New Roman" w:hAnsi="Times New Roman" w:cs="Times New Roman"/>
          <w:sz w:val="20"/>
          <w:szCs w:val="20"/>
        </w:rPr>
      </w:pPr>
    </w:p>
    <w:tbl>
      <w:tblPr>
        <w:tblStyle w:val="TableGrid"/>
        <w:tblW w:w="0" w:type="auto"/>
        <w:tblLook w:val="04A0" w:firstRow="1" w:lastRow="0" w:firstColumn="1" w:lastColumn="0" w:noHBand="0" w:noVBand="1"/>
      </w:tblPr>
      <w:tblGrid>
        <w:gridCol w:w="5949"/>
        <w:gridCol w:w="3067"/>
      </w:tblGrid>
      <w:tr w:rsidR="002D7080" w:rsidRPr="00ED3FD3" w14:paraId="3D5734CC" w14:textId="77777777" w:rsidTr="002E2C37">
        <w:trPr>
          <w:trHeight w:val="343"/>
        </w:trPr>
        <w:tc>
          <w:tcPr>
            <w:tcW w:w="9016" w:type="dxa"/>
            <w:gridSpan w:val="2"/>
            <w:shd w:val="clear" w:color="auto" w:fill="F2F2F2" w:themeFill="background1" w:themeFillShade="F2"/>
          </w:tcPr>
          <w:p w14:paraId="621AE886"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CON2 Socio-economic impact</w:t>
            </w:r>
          </w:p>
        </w:tc>
      </w:tr>
      <w:tr w:rsidR="002D7080" w:rsidRPr="00ED3FD3" w14:paraId="407608D1" w14:textId="77777777" w:rsidTr="002E2C37">
        <w:tc>
          <w:tcPr>
            <w:tcW w:w="9016" w:type="dxa"/>
            <w:gridSpan w:val="2"/>
            <w:shd w:val="clear" w:color="auto" w:fill="F2F2F2" w:themeFill="background1" w:themeFillShade="F2"/>
          </w:tcPr>
          <w:p w14:paraId="559140F6"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CON2a: Safety</w:t>
            </w:r>
          </w:p>
        </w:tc>
      </w:tr>
      <w:tr w:rsidR="002D7080" w:rsidRPr="00ED3FD3" w14:paraId="0559174A" w14:textId="77777777" w:rsidTr="002E2C37">
        <w:tc>
          <w:tcPr>
            <w:tcW w:w="5949" w:type="dxa"/>
          </w:tcPr>
          <w:p w14:paraId="0B3CFF8A"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lastRenderedPageBreak/>
              <w:t>Response: Data Deficient (DD)</w:t>
            </w:r>
          </w:p>
        </w:tc>
        <w:tc>
          <w:tcPr>
            <w:tcW w:w="3067" w:type="dxa"/>
          </w:tcPr>
          <w:p w14:paraId="3E23FACB"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1D022816" w14:textId="77777777" w:rsidTr="002E2C37">
        <w:trPr>
          <w:trHeight w:val="70"/>
        </w:trPr>
        <w:tc>
          <w:tcPr>
            <w:tcW w:w="9016" w:type="dxa"/>
            <w:gridSpan w:val="2"/>
          </w:tcPr>
          <w:p w14:paraId="45DF27AE"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Rationale:</w:t>
            </w:r>
          </w:p>
        </w:tc>
      </w:tr>
      <w:tr w:rsidR="002D7080" w:rsidRPr="00ED3FD3" w14:paraId="09CA8CB0" w14:textId="77777777" w:rsidTr="002E2C37">
        <w:trPr>
          <w:trHeight w:val="70"/>
        </w:trPr>
        <w:tc>
          <w:tcPr>
            <w:tcW w:w="9016" w:type="dxa"/>
            <w:gridSpan w:val="2"/>
          </w:tcPr>
          <w:p w14:paraId="76C8A0B7"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tc>
      </w:tr>
      <w:tr w:rsidR="002D7080" w:rsidRPr="00ED3FD3" w14:paraId="714E1525" w14:textId="77777777" w:rsidTr="002E2C37">
        <w:tc>
          <w:tcPr>
            <w:tcW w:w="9016" w:type="dxa"/>
            <w:gridSpan w:val="2"/>
            <w:shd w:val="clear" w:color="auto" w:fill="F2F2F2" w:themeFill="background1" w:themeFillShade="F2"/>
          </w:tcPr>
          <w:p w14:paraId="3A83E752"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CON2b: Material and immaterial assets</w:t>
            </w:r>
          </w:p>
        </w:tc>
      </w:tr>
      <w:tr w:rsidR="002D7080" w:rsidRPr="00ED3FD3" w14:paraId="41C66E42" w14:textId="77777777" w:rsidTr="002E2C37">
        <w:tc>
          <w:tcPr>
            <w:tcW w:w="5949" w:type="dxa"/>
          </w:tcPr>
          <w:p w14:paraId="5B8E1CE8"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Minor (MN)</w:t>
            </w:r>
          </w:p>
        </w:tc>
        <w:tc>
          <w:tcPr>
            <w:tcW w:w="3067" w:type="dxa"/>
          </w:tcPr>
          <w:p w14:paraId="75F7E2D8"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68A86AEC" w14:textId="77777777" w:rsidTr="002E2C37">
        <w:trPr>
          <w:trHeight w:val="128"/>
        </w:trPr>
        <w:tc>
          <w:tcPr>
            <w:tcW w:w="9016" w:type="dxa"/>
            <w:gridSpan w:val="2"/>
          </w:tcPr>
          <w:p w14:paraId="7480A221"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p>
          <w:p w14:paraId="05D8C91F"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xml:space="preserve"> introduced in Europe to alleviate the pressure on native crayfish such as </w:t>
            </w:r>
            <w:r w:rsidRPr="00ED3FD3">
              <w:rPr>
                <w:rFonts w:ascii="Times New Roman" w:eastAsia="Times New Roman" w:hAnsi="Times New Roman" w:cs="Times New Roman"/>
                <w:i/>
                <w:iCs/>
                <w:sz w:val="20"/>
                <w:szCs w:val="20"/>
                <w:lang w:eastAsia="en-ZA"/>
              </w:rPr>
              <w:t>Astacus astacus</w:t>
            </w:r>
            <w:r w:rsidRPr="00ED3FD3">
              <w:rPr>
                <w:rFonts w:ascii="Times New Roman" w:eastAsia="Times New Roman" w:hAnsi="Times New Roman" w:cs="Times New Roman"/>
                <w:sz w:val="20"/>
                <w:szCs w:val="20"/>
                <w:lang w:eastAsia="en-ZA"/>
              </w:rPr>
              <w:t xml:space="preserve"> whose population had declined due to crayfish plague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"10.1051/alr:1993032", "ISBN" : "0990-7440", "ISSN" : "0990-7440", "abstract" : "The farming of freshwater crayfish (astaciculture) is mainly carried out in the southern states of the USA, and in Australia and Europe. Production levels Vary with climate but are in the region of 40000 to 60000 tonnes per annum. In addition, at least an equivalent amounts is harvested from the wild, particularly in North Amenca, China, Australia, Kenya, Turkey and Europe. Crayfish farming is usually cithcr of an extensive (ranching) or semi-intensive nature, intensive methods being infrequent, except for the rearing of juveniles for stocking (or restocking of natural waters depleted of crayfish). As crayfish do not have larvae and are polytrophic, they are relatively easy to rear, although fecundity is much lower when compared with other cultured crustaceans. At least 85% of world production is based on the red swamp crayfish, Procamharus clarkii, mainly from Louisiana and other southern USA states, but also from China, Kenya and Spain, where it has been introduced. In Australia, three species are of aquacultural importance, the yabbie, Cherax destructor; the marron, C. tenuimanus; and the red claw, C. quadricarinatus. Some very large production units have been built but none have lived up to their promise. The red claw is thought to have considerable aquacultural potential, but, being a tropical species, needs warm water for good growth. In Europe, the only endemic species cultured to any extent is the noble crayfish, Astacus astacus, mainly as juveniles for restocking. It fetches a higher pnce than other crayfish. The North American signal crayfish, Pacifastacus leniusculus, has been introduced to most European countries, but farmed production is relatively low. About 98% of crayfish consumed in Europe come from extensive systems or the wild harvest. European crayfish markets were upset by the collapse of the Turkish crayfishery (based on Astacus leptoductylus) due to overfishing and disease in the mid-1980s. The environmental impact of crayfish farrning is most noticeable in Europe. Crayfish plague, introduced from North America last century, ha\u00ee devastated populations of the native species in many countries. 1ts spread has been exasperated by the translocation of foreign crayfish (and probably by fish) for aquacultural purposes. In addition, introduced crayfish frequently escape into the wild and form large populations, often in direct competition with native species. Burrowing and prolific species, such as P. clarkii, can also do considerable env\u2026", "author" : [ { "dropping-particle" : "", "family" : "Holdich", "given" : "David M.", "non-dropping-particle" : "", "parse-names" : false, "suffix" : "" } ], "container-title" : "Aquatic Living Resources", "id" : "ITEM-1", "issue" : "4", "issued" : { "date-parts" : [ [ "1993" ] ] }, "page" : "307-317", "title" : "A review of astaciculture: freshwater crayfish farming", "type" : "article-journal", "volume" : "6" }, "uris" : [ "http://www.mendeley.com/documents/?uuid=9c22145c-3212-4afe-9814-df511734f170" ] } ], "mendeley" : { "formattedCitation" : "(Holdich 1993)", "plainTextFormattedCitation" : "(Holdich 1993)", "previouslyFormattedCitation" : "(Holdich 1993)"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(Holdich et al. 2009)</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The introduction of </w:t>
            </w:r>
            <w:r w:rsidRPr="00ED3FD3">
              <w:rPr>
                <w:rFonts w:ascii="Times New Roman" w:eastAsia="Times New Roman" w:hAnsi="Times New Roman" w:cs="Times New Roman"/>
                <w:i/>
                <w:iCs/>
                <w:sz w:val="20"/>
                <w:szCs w:val="20"/>
                <w:lang w:eastAsia="en-ZA"/>
              </w:rPr>
              <w:t>P. leniusculus</w:t>
            </w:r>
            <w:r w:rsidRPr="00ED3FD3">
              <w:rPr>
                <w:rFonts w:ascii="Times New Roman" w:eastAsia="Times New Roman" w:hAnsi="Times New Roman" w:cs="Times New Roman"/>
                <w:sz w:val="20"/>
                <w:szCs w:val="20"/>
                <w:lang w:eastAsia="en-ZA"/>
              </w:rPr>
              <w:t xml:space="preserve"> has however contributed to further decline in populations of native crayfish because </w:t>
            </w:r>
            <w:r w:rsidRPr="00ED3FD3">
              <w:rPr>
                <w:rFonts w:ascii="Times New Roman" w:eastAsia="Times New Roman" w:hAnsi="Times New Roman" w:cs="Times New Roman"/>
                <w:i/>
                <w:iCs/>
                <w:sz w:val="20"/>
                <w:szCs w:val="20"/>
                <w:lang w:eastAsia="en-ZA"/>
              </w:rPr>
              <w:t>P. leniusculus</w:t>
            </w:r>
            <w:r w:rsidRPr="00ED3FD3">
              <w:rPr>
                <w:rFonts w:ascii="Times New Roman" w:eastAsia="Times New Roman" w:hAnsi="Times New Roman" w:cs="Times New Roman"/>
                <w:sz w:val="20"/>
                <w:szCs w:val="20"/>
                <w:lang w:eastAsia="en-ZA"/>
              </w:rPr>
              <w:t xml:space="preserve"> are carriers of the crayfish plague and have competitively displaced  native crayfish in areas of introduction (e.g.,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"10.3391/ai.2010.5.3.10", "author" : [ { "dropping-particle" : "", "family" : "Dana", "given" : "El\u00edas D", "non-dropping-particle" : "", "parse-names" : false, "suffix" : "" }, { "dropping-particle" : "", "family" : "L\u00f3pez-santiago", "given" : "Javier", "non-dropping-particle" : "", "parse-names" : false, "suffix" : "" }, { "dropping-particle" : "", "family" : "Garc\u00eda-de-lomas", "given" : "Juan", "non-dropping-particle" : "", "parse-names" : false, "suffix" : "" }, { "dropping-particle" : "", "family" : "Garc\u00eda-oca\u00f1a", "given" : "David M", "non-dropping-particle" : "", "parse-names" : false, "suffix" : "" }, { "dropping-particle" : "", "family" : "Ortega", "given" : "Fernando", "non-dropping-particle" : "", "parse-names" : false, "suffix" : "" } ], "id" : "ITEM-1", "issue" : "3", "issued" : { "date-parts" : [ [ "2010" ] ] }, "page" : "317-322", "title" : "Long-term management of the invasive Pacifastacus leniusculus ( Dana , 1852 ) in a small mountain stream", "type" : "article-journal", "volume" : "5" }, "uris" : [ "http://www.mendeley.com/documents/?uuid=809984f6-033c-4580-93af-e25fa9c1001e" ] } ], "mendeley" : { "formattedCitation" : "(Dana et al. 2010)", "plainTextFormattedCitation" : "(Dana et al. 2010)", "previouslyFormattedCitation" : "(Dana et al. 2010)"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Dana et al. 2010)</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
                <w:iCs/>
                <w:sz w:val="20"/>
                <w:szCs w:val="20"/>
                <w:lang w:eastAsia="en-ZA"/>
              </w:rPr>
              <w:t>Astacus astacus</w:t>
            </w:r>
            <w:r w:rsidRPr="00ED3FD3">
              <w:rPr>
                <w:rFonts w:ascii="Times New Roman" w:eastAsia="Times New Roman" w:hAnsi="Times New Roman" w:cs="Times New Roman"/>
                <w:sz w:val="20"/>
                <w:szCs w:val="20"/>
                <w:lang w:eastAsia="en-ZA"/>
              </w:rPr>
              <w:t xml:space="preserve"> is considered to be more valuable than </w:t>
            </w:r>
            <w:r w:rsidRPr="00ED3FD3">
              <w:rPr>
                <w:rFonts w:ascii="Times New Roman" w:eastAsia="Times New Roman" w:hAnsi="Times New Roman" w:cs="Times New Roman"/>
                <w:i/>
                <w:sz w:val="20"/>
                <w:szCs w:val="20"/>
                <w:lang w:eastAsia="en-ZA"/>
              </w:rPr>
              <w:t>P. leniusculus</w:t>
            </w:r>
            <w:r w:rsidRPr="00ED3FD3">
              <w:rPr>
                <w:rFonts w:ascii="Times New Roman" w:eastAsia="Times New Roman" w:hAnsi="Times New Roman" w:cs="Times New Roman"/>
                <w:sz w:val="20"/>
                <w:szCs w:val="20"/>
                <w:lang w:eastAsia="en-ZA"/>
              </w:rPr>
              <w:t xml:space="preserve"> and but the economic losses as a result of the introduction of </w:t>
            </w:r>
            <w:r w:rsidRPr="00ED3FD3">
              <w:rPr>
                <w:rFonts w:ascii="Times New Roman" w:eastAsia="Times New Roman" w:hAnsi="Times New Roman" w:cs="Times New Roman"/>
                <w:i/>
                <w:iCs/>
                <w:sz w:val="20"/>
                <w:szCs w:val="20"/>
                <w:lang w:eastAsia="en-ZA"/>
              </w:rPr>
              <w:t xml:space="preserve">P. leniusculus </w:t>
            </w:r>
            <w:r w:rsidRPr="00ED3FD3">
              <w:rPr>
                <w:rFonts w:ascii="Times New Roman" w:eastAsia="Times New Roman" w:hAnsi="Times New Roman" w:cs="Times New Roman"/>
                <w:sz w:val="20"/>
                <w:szCs w:val="20"/>
                <w:lang w:eastAsia="en-ZA"/>
              </w:rPr>
              <w:t xml:space="preserve">is unknown (Johnsen &amp; Taugbøl 2010, Kouba et al. 2022). In addition, the burrowing activities of </w:t>
            </w:r>
            <w:r w:rsidRPr="00ED3FD3">
              <w:rPr>
                <w:rFonts w:ascii="Times New Roman" w:eastAsia="Times New Roman" w:hAnsi="Times New Roman" w:cs="Times New Roman"/>
                <w:i/>
                <w:sz w:val="20"/>
                <w:szCs w:val="20"/>
                <w:lang w:eastAsia="en-ZA"/>
              </w:rPr>
              <w:t>P. leniusculus</w:t>
            </w:r>
            <w:r w:rsidRPr="00ED3FD3">
              <w:rPr>
                <w:rFonts w:ascii="Times New Roman" w:eastAsia="Times New Roman" w:hAnsi="Times New Roman" w:cs="Times New Roman"/>
                <w:sz w:val="20"/>
                <w:szCs w:val="20"/>
                <w:lang w:eastAsia="en-ZA"/>
              </w:rPr>
              <w:t xml:space="preserve"> can cause structural damage to river banks and increase bank erosion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et al. 2009)", "plainTextFormattedCitation" : "(Holdich et al. 2009)", "previouslyFormattedCitation" : "(Holdich et al. 2009)"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(Holdich et al. 2009, Kouba et al. 2022)</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w:t>
            </w:r>
          </w:p>
        </w:tc>
      </w:tr>
      <w:tr w:rsidR="002D7080" w:rsidRPr="00ED3FD3" w14:paraId="1DE2DAE4" w14:textId="77777777" w:rsidTr="002E2C37">
        <w:trPr>
          <w:trHeight w:val="70"/>
        </w:trPr>
        <w:tc>
          <w:tcPr>
            <w:tcW w:w="9016" w:type="dxa"/>
            <w:gridSpan w:val="2"/>
          </w:tcPr>
          <w:p w14:paraId="201AD693"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References: </w:t>
            </w:r>
          </w:p>
          <w:p w14:paraId="40A67C06" w14:textId="77777777" w:rsidR="002D7080" w:rsidRPr="00ED3FD3" w:rsidRDefault="002D7080" w:rsidP="008A0BC6">
            <w:pPr>
              <w:ind w:left="702" w:hanging="702"/>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Dana, E.D., López-Santiago J., García-de-Lomas, J., García-Ocaña, D.M., Gámez, V. &amp; Ortega, F., 2010, ‘Long-term management of the invasive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(Dana, 1852) in a small mountain stream’, </w:t>
            </w:r>
            <w:r w:rsidRPr="00ED3FD3">
              <w:rPr>
                <w:rFonts w:ascii="Times New Roman" w:eastAsia="Times New Roman" w:hAnsi="Times New Roman" w:cs="Times New Roman"/>
                <w:i/>
                <w:iCs/>
                <w:sz w:val="20"/>
                <w:szCs w:val="20"/>
                <w:lang w:eastAsia="en-ZA"/>
              </w:rPr>
              <w:t>Aquatic Invasions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5</w:t>
            </w:r>
            <w:r w:rsidRPr="00ED3FD3">
              <w:rPr>
                <w:rFonts w:ascii="Times New Roman" w:eastAsia="Times New Roman" w:hAnsi="Times New Roman" w:cs="Times New Roman"/>
                <w:sz w:val="20"/>
                <w:szCs w:val="20"/>
                <w:lang w:eastAsia="en-ZA"/>
              </w:rPr>
              <w:t>, 317–322. https://doi.org/10.3391/ai.2010.5.3.10.</w:t>
            </w:r>
          </w:p>
          <w:p w14:paraId="4DF0DBFA" w14:textId="77777777" w:rsidR="002D7080" w:rsidRPr="00ED3FD3" w:rsidRDefault="002D7080" w:rsidP="008A0BC6">
            <w:pPr>
              <w:ind w:left="720" w:hanging="720"/>
              <w:contextualSpacing/>
              <w:jc w:val="both"/>
              <w:rPr>
                <w:rFonts w:ascii="Times New Roman" w:eastAsia="Calibri" w:hAnsi="Times New Roman" w:cs="Times New Roman"/>
                <w:bCs/>
                <w:sz w:val="20"/>
                <w:szCs w:val="20"/>
              </w:rPr>
            </w:pPr>
            <w:r w:rsidRPr="00ED3FD3">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ED3FD3">
              <w:rPr>
                <w:rFonts w:ascii="Times New Roman" w:eastAsia="Calibri" w:hAnsi="Times New Roman" w:cs="Times New Roman"/>
                <w:sz w:val="20"/>
                <w:szCs w:val="20"/>
              </w:rPr>
              <w:t xml:space="preserve"> </w:t>
            </w:r>
            <w:r w:rsidRPr="00ED3FD3">
              <w:rPr>
                <w:rFonts w:ascii="Times New Roman" w:eastAsia="Calibri" w:hAnsi="Times New Roman" w:cs="Times New Roman"/>
                <w:bCs/>
                <w:i/>
                <w:sz w:val="20"/>
                <w:szCs w:val="20"/>
              </w:rPr>
              <w:t>Knowledge and Management of Aquatic Ecosystems</w:t>
            </w:r>
            <w:r w:rsidRPr="00ED3FD3">
              <w:rPr>
                <w:rFonts w:ascii="Times New Roman" w:eastAsia="Calibri" w:hAnsi="Times New Roman" w:cs="Times New Roman"/>
                <w:bCs/>
                <w:sz w:val="20"/>
                <w:szCs w:val="20"/>
              </w:rPr>
              <w:t xml:space="preserve"> 11, 394–395.</w:t>
            </w:r>
            <w:r w:rsidRPr="00ED3FD3">
              <w:rPr>
                <w:rFonts w:ascii="Times New Roman" w:hAnsi="Times New Roman" w:cs="Times New Roman"/>
                <w:color w:val="1B1C20"/>
                <w:sz w:val="20"/>
                <w:szCs w:val="20"/>
              </w:rPr>
              <w:t xml:space="preserve"> </w:t>
            </w:r>
            <w:hyperlink w:history="1">
              <w:r w:rsidRPr="00ED3FD3">
                <w:rPr>
                  <w:rStyle w:val="Hyperlink"/>
                  <w:rFonts w:ascii="Times New Roman" w:eastAsia="Calibri" w:hAnsi="Times New Roman" w:cs="Times New Roman"/>
                  <w:bCs/>
                  <w:sz w:val="20"/>
                  <w:szCs w:val="20"/>
                </w:rPr>
                <w:t>https://doi.org/10.1051/kmae/2009025</w:t>
              </w:r>
            </w:hyperlink>
            <w:r w:rsidRPr="00ED3FD3">
              <w:rPr>
                <w:rFonts w:ascii="Times New Roman" w:eastAsia="Calibri" w:hAnsi="Times New Roman" w:cs="Times New Roman"/>
                <w:bCs/>
                <w:sz w:val="20"/>
                <w:szCs w:val="20"/>
              </w:rPr>
              <w:t>.</w:t>
            </w:r>
          </w:p>
          <w:p w14:paraId="2C33F1F2" w14:textId="77777777" w:rsidR="002D7080" w:rsidRPr="00ED3FD3" w:rsidRDefault="002D7080" w:rsidP="008A0BC6">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Johnsen SI, Taugbøl T. (2010): NOBANIS – Invasive Alien Species Fact Sheet – </w:t>
            </w:r>
            <w:r w:rsidRPr="00ED3FD3">
              <w:rPr>
                <w:rFonts w:ascii="Times New Roman" w:eastAsia="Times New Roman" w:hAnsi="Times New Roman" w:cs="Times New Roman"/>
                <w:bCs/>
                <w:i/>
                <w:iCs/>
                <w:sz w:val="20"/>
                <w:szCs w:val="20"/>
                <w:lang w:eastAsia="en-ZA"/>
              </w:rPr>
              <w:t>Pacifastacus leniusculus</w:t>
            </w:r>
            <w:r w:rsidRPr="00ED3FD3">
              <w:rPr>
                <w:rFonts w:ascii="Times New Roman" w:eastAsia="Times New Roman" w:hAnsi="Times New Roman" w:cs="Times New Roman"/>
                <w:i/>
                <w:iCs/>
                <w:sz w:val="20"/>
                <w:szCs w:val="20"/>
                <w:lang w:eastAsia="en-ZA"/>
              </w:rPr>
              <w:t xml:space="preserve">. </w:t>
            </w:r>
            <w:r w:rsidRPr="00ED3FD3">
              <w:rPr>
                <w:rFonts w:ascii="Times New Roman" w:eastAsia="Times New Roman" w:hAnsi="Times New Roman" w:cs="Times New Roman"/>
                <w:sz w:val="20"/>
                <w:szCs w:val="20"/>
                <w:lang w:eastAsia="en-ZA"/>
              </w:rPr>
              <w:t>Online Database of the European Network on Invasive Alien Species – NOBANIS www.nobanis.org</w:t>
            </w:r>
            <w:r w:rsidRPr="00ED3FD3">
              <w:rPr>
                <w:rFonts w:ascii="Times New Roman" w:eastAsia="Times New Roman" w:hAnsi="Times New Roman" w:cs="Times New Roman"/>
                <w:sz w:val="20"/>
                <w:szCs w:val="20"/>
                <w:u w:val="single"/>
                <w:lang w:eastAsia="en-ZA"/>
              </w:rPr>
              <w:t xml:space="preserve">. </w:t>
            </w:r>
            <w:r w:rsidRPr="00ED3FD3">
              <w:rPr>
                <w:rFonts w:ascii="Times New Roman" w:eastAsia="Times New Roman" w:hAnsi="Times New Roman" w:cs="Times New Roman"/>
                <w:sz w:val="20"/>
                <w:szCs w:val="20"/>
                <w:lang w:eastAsia="en-ZA"/>
              </w:rPr>
              <w:t>[Date of access 13/11/2019].</w:t>
            </w:r>
          </w:p>
          <w:p w14:paraId="5FD58882" w14:textId="77777777" w:rsidR="002D7080" w:rsidRPr="00ED3FD3" w:rsidRDefault="002D7080" w:rsidP="008A0BC6">
            <w:pPr>
              <w:ind w:left="720" w:hanging="720"/>
              <w:contextualSpacing/>
              <w:jc w:val="both"/>
              <w:rPr>
                <w:rFonts w:ascii="Times New Roman" w:eastAsia="Times New Roman" w:hAnsi="Times New Roman" w:cs="Times New Roman"/>
                <w:sz w:val="20"/>
                <w:szCs w:val="20"/>
                <w:lang w:eastAsia="en-ZA"/>
              </w:rPr>
            </w:pPr>
            <w:r w:rsidRPr="00ED3FD3">
              <w:rPr>
                <w:rFonts w:ascii="Times New Roman" w:hAnsi="Times New Roman" w:cs="Times New Roman"/>
                <w:color w:val="222222"/>
                <w:sz w:val="20"/>
                <w:szCs w:val="20"/>
                <w:shd w:val="clear" w:color="auto" w:fill="FFFFFF"/>
              </w:rPr>
              <w:t>Kouba, A., Oficialdegui, F.J., Cuthbert, R.N., Kourantidou, M., South, J., Tricarico, E., Gozlan, R.E., Courchamp, F. and Haubrock, P.J., 2022. ‘Identifying economic costs and knowledge gaps of invasive aquatic crustaceans’, </w:t>
            </w:r>
            <w:r w:rsidRPr="00ED3FD3">
              <w:rPr>
                <w:rFonts w:ascii="Times New Roman" w:hAnsi="Times New Roman" w:cs="Times New Roman"/>
                <w:i/>
                <w:iCs/>
                <w:color w:val="222222"/>
                <w:sz w:val="20"/>
                <w:szCs w:val="20"/>
                <w:shd w:val="clear" w:color="auto" w:fill="FFFFFF"/>
              </w:rPr>
              <w:t>Science of the Total Environment</w:t>
            </w:r>
            <w:r w:rsidRPr="00ED3FD3">
              <w:rPr>
                <w:rFonts w:ascii="Times New Roman" w:hAnsi="Times New Roman" w:cs="Times New Roman"/>
                <w:color w:val="222222"/>
                <w:sz w:val="20"/>
                <w:szCs w:val="20"/>
                <w:shd w:val="clear" w:color="auto" w:fill="FFFFFF"/>
              </w:rPr>
              <w:t>, </w:t>
            </w:r>
            <w:r w:rsidRPr="00ED3FD3">
              <w:rPr>
                <w:rFonts w:ascii="Times New Roman" w:hAnsi="Times New Roman" w:cs="Times New Roman"/>
                <w:i/>
                <w:iCs/>
                <w:color w:val="222222"/>
                <w:sz w:val="20"/>
                <w:szCs w:val="20"/>
                <w:shd w:val="clear" w:color="auto" w:fill="FFFFFF"/>
              </w:rPr>
              <w:t>813</w:t>
            </w:r>
            <w:r w:rsidRPr="00ED3FD3">
              <w:rPr>
                <w:rFonts w:ascii="Times New Roman" w:hAnsi="Times New Roman" w:cs="Times New Roman"/>
                <w:color w:val="222222"/>
                <w:sz w:val="20"/>
                <w:szCs w:val="20"/>
                <w:shd w:val="clear" w:color="auto" w:fill="FFFFFF"/>
              </w:rPr>
              <w:t xml:space="preserve">, 152325 </w:t>
            </w:r>
            <w:hyperlink w:tgtFrame="_blank" w:tooltip="Persistent link using digital object identifier" w:history="1">
              <w:r w:rsidRPr="00ED3FD3">
                <w:rPr>
                  <w:rStyle w:val="anchor-text"/>
                  <w:rFonts w:ascii="Times New Roman" w:hAnsi="Times New Roman" w:cs="Times New Roman"/>
                  <w:color w:val="1F1F1F"/>
                  <w:sz w:val="20"/>
                  <w:szCs w:val="20"/>
                </w:rPr>
                <w:t>https://doi.org/10.1016/j.scitotenv.2021.152325</w:t>
              </w:r>
            </w:hyperlink>
          </w:p>
        </w:tc>
      </w:tr>
      <w:tr w:rsidR="002D7080" w:rsidRPr="00ED3FD3" w14:paraId="08982CB6" w14:textId="77777777" w:rsidTr="002E2C37">
        <w:tc>
          <w:tcPr>
            <w:tcW w:w="9016" w:type="dxa"/>
            <w:gridSpan w:val="2"/>
            <w:shd w:val="clear" w:color="auto" w:fill="F2F2F2" w:themeFill="background1" w:themeFillShade="F2"/>
          </w:tcPr>
          <w:p w14:paraId="22F41361"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CON2c: Health</w:t>
            </w:r>
          </w:p>
        </w:tc>
      </w:tr>
      <w:tr w:rsidR="002D7080" w:rsidRPr="00ED3FD3" w14:paraId="6CA77E81" w14:textId="77777777" w:rsidTr="002E2C37">
        <w:tc>
          <w:tcPr>
            <w:tcW w:w="5949" w:type="dxa"/>
          </w:tcPr>
          <w:p w14:paraId="50F7E5A2"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Data Deficient (DD)</w:t>
            </w:r>
          </w:p>
        </w:tc>
        <w:tc>
          <w:tcPr>
            <w:tcW w:w="3067" w:type="dxa"/>
          </w:tcPr>
          <w:p w14:paraId="51315570"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39C0C645" w14:textId="77777777" w:rsidTr="002E2C37">
        <w:trPr>
          <w:trHeight w:val="70"/>
        </w:trPr>
        <w:tc>
          <w:tcPr>
            <w:tcW w:w="9016" w:type="dxa"/>
            <w:gridSpan w:val="2"/>
          </w:tcPr>
          <w:p w14:paraId="70AD0C61"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Rationale:</w:t>
            </w:r>
          </w:p>
        </w:tc>
      </w:tr>
      <w:tr w:rsidR="002D7080" w:rsidRPr="00ED3FD3" w14:paraId="4992ECF3" w14:textId="77777777" w:rsidTr="002E2C37">
        <w:trPr>
          <w:trHeight w:val="70"/>
        </w:trPr>
        <w:tc>
          <w:tcPr>
            <w:tcW w:w="9016" w:type="dxa"/>
            <w:gridSpan w:val="2"/>
          </w:tcPr>
          <w:p w14:paraId="33832799"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tc>
      </w:tr>
      <w:tr w:rsidR="002D7080" w:rsidRPr="00ED3FD3" w14:paraId="1FAE6DA8" w14:textId="77777777" w:rsidTr="002E2C37">
        <w:tc>
          <w:tcPr>
            <w:tcW w:w="9016" w:type="dxa"/>
            <w:gridSpan w:val="2"/>
            <w:shd w:val="clear" w:color="auto" w:fill="F2F2F2" w:themeFill="background1" w:themeFillShade="F2"/>
          </w:tcPr>
          <w:p w14:paraId="24991459"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 xml:space="preserve">CON2d: Social, spiritual and cultural relations </w:t>
            </w:r>
          </w:p>
        </w:tc>
      </w:tr>
      <w:tr w:rsidR="002D7080" w:rsidRPr="00ED3FD3" w14:paraId="70AC9ED2" w14:textId="77777777" w:rsidTr="002E2C37">
        <w:tc>
          <w:tcPr>
            <w:tcW w:w="5949" w:type="dxa"/>
          </w:tcPr>
          <w:p w14:paraId="01B178E9"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Minor (MN)</w:t>
            </w:r>
          </w:p>
        </w:tc>
        <w:tc>
          <w:tcPr>
            <w:tcW w:w="3067" w:type="dxa"/>
          </w:tcPr>
          <w:p w14:paraId="107842F0"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59C78D40" w14:textId="77777777" w:rsidTr="002E2C37">
        <w:trPr>
          <w:trHeight w:val="70"/>
        </w:trPr>
        <w:tc>
          <w:tcPr>
            <w:tcW w:w="9016" w:type="dxa"/>
            <w:gridSpan w:val="2"/>
          </w:tcPr>
          <w:p w14:paraId="2955C086" w14:textId="622D92B0"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xml:space="preserve"> introduced in Europe to alleviate the pressure on native crayfish such as </w:t>
            </w:r>
            <w:r w:rsidRPr="00ED3FD3">
              <w:rPr>
                <w:rFonts w:ascii="Times New Roman" w:eastAsia="Times New Roman" w:hAnsi="Times New Roman" w:cs="Times New Roman"/>
                <w:i/>
                <w:iCs/>
                <w:sz w:val="20"/>
                <w:szCs w:val="20"/>
                <w:lang w:eastAsia="en-ZA"/>
              </w:rPr>
              <w:t>Astacus astacus</w:t>
            </w:r>
            <w:r w:rsidRPr="00ED3FD3">
              <w:rPr>
                <w:rFonts w:ascii="Times New Roman" w:eastAsia="Times New Roman" w:hAnsi="Times New Roman" w:cs="Times New Roman"/>
                <w:sz w:val="20"/>
                <w:szCs w:val="20"/>
                <w:lang w:eastAsia="en-ZA"/>
              </w:rPr>
              <w:t xml:space="preserve"> whose population had declined due to crayfish plague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"10.1051/alr:1993032", "ISBN" : "0990-7440", "ISSN" : "0990-7440", "abstract" : "The farming of freshwater crayfish (astaciculture) is mainly carried out in the southern states of the USA, and in Australia and Europe. Production levels Vary with climate but are in the region of 40000 to 60000 tonnes per annum. In addition, at least an equivalent amounts is harvested from the wild, particularly in North Amenca, China, Australia, Kenya, Turkey and Europe. Crayfish farming is usually cithcr of an extensive (ranching) or semi-intensive nature, intensive methods being infrequent, except for the rearing of juveniles for stocking (or restocking of natural waters depleted of crayfish). As crayfish do not have larvae and are polytrophic, they are relatively easy to rear, although fecundity is much lower when compared with other cultured crustaceans. At least 85% of world production is based on the red swamp crayfish, Procamharus clarkii, mainly from Louisiana and other southern USA states, but also from China, Kenya and Spain, where it has been introduced. In Australia, three species are of aquacultural importance, the yabbie, Cherax destructor; the marron, C. tenuimanus; and the red claw, C. quadricarinatus. Some very large production units have been built but none have lived up to their promise. The red claw is thought to have considerable aquacultural potential, but, being a tropical species, needs warm water for good growth. In Europe, the only endemic species cultured to any extent is the noble crayfish, Astacus astacus, mainly as juveniles for restocking. It fetches a higher pnce than other crayfish. The North American signal crayfish, Pacifastacus leniusculus, has been introduced to most European countries, but farmed production is relatively low. About 98% of crayfish consumed in Europe come from extensive systems or the wild harvest. European crayfish markets were upset by the collapse of the Turkish crayfishery (based on Astacus leptoductylus) due to overfishing and disease in the mid-1980s. The environmental impact of crayfish farrning is most noticeable in Europe. Crayfish plague, introduced from North America last century, ha\u00ee devastated populations of the native species in many countries. 1ts spread has been exasperated by the translocation of foreign crayfish (and probably by fish) for aquacultural purposes. In addition, introduced crayfish frequently escape into the wild and form large populations, often in direct competition with native species. Burrowing and prolific species, such as P. clarkii, can also do considerable env\u2026", "author" : [ { "dropping-particle" : "", "family" : "Holdich", "given" : "David M.", "non-dropping-particle" : "", "parse-names" : false, "suffix" : "" } ], "container-title" : "Aquatic Living Resources", "id" : "ITEM-1", "issue" : "4", "issued" : { "date-parts" : [ [ "1993" ] ] }, "page" : "307-317", "title" : "A review of astaciculture: freshwater crayfish farming", "type" : "article-journal", "volume" : "6" }, "uris" : [ "http://www.mendeley.com/documents/?uuid=9c22145c-3212-4afe-9814-df511734f170" ] } ], "mendeley" : { "formattedCitation" : "(Holdich 1993)", "plainTextFormattedCitation" : "(Holdich 1993)", "previouslyFormattedCitation" : "(Holdich 1993)"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(Holdich et al. 2009)</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This introduction has however contributed to further decline in native crayfish populations because </w:t>
            </w:r>
            <w:r w:rsidRPr="00ED3FD3">
              <w:rPr>
                <w:rFonts w:ascii="Times New Roman" w:eastAsia="Times New Roman" w:hAnsi="Times New Roman" w:cs="Times New Roman"/>
                <w:i/>
                <w:iCs/>
                <w:sz w:val="20"/>
                <w:szCs w:val="20"/>
                <w:lang w:eastAsia="en-ZA"/>
              </w:rPr>
              <w:t>P. leniusculus</w:t>
            </w:r>
            <w:r w:rsidRPr="00ED3FD3">
              <w:rPr>
                <w:rFonts w:ascii="Times New Roman" w:eastAsia="Times New Roman" w:hAnsi="Times New Roman" w:cs="Times New Roman"/>
                <w:sz w:val="20"/>
                <w:szCs w:val="20"/>
                <w:lang w:eastAsia="en-ZA"/>
              </w:rPr>
              <w:t xml:space="preserve"> are carriers of the crayfish plague and have competitively displaced  native crayfish in areas of introduction (e.g.,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"10.3391/ai.2010.5.3.10", "author" : [ { "dropping-particle" : "", "family" : "Dana", "given" : "El\u00edas D", "non-dropping-particle" : "", "parse-names" : false, "suffix" : "" }, { "dropping-particle" : "", "family" : "L\u00f3pez-santiago", "given" : "Javier", "non-dropping-particle" : "", "parse-names" : false, "suffix" : "" }, { "dropping-particle" : "", "family" : "Garc\u00eda-de-lomas", "given" : "Juan", "non-dropping-particle" : "", "parse-names" : false, "suffix" : "" }, { "dropping-particle" : "", "family" : "Garc\u00eda-oca\u00f1a", "given" : "David M", "non-dropping-particle" : "", "parse-names" : false, "suffix" : "" }, { "dropping-particle" : "", "family" : "Ortega", "given" : "Fernando", "non-dropping-particle" : "", "parse-names" : false, "suffix" : "" } ], "id" : "ITEM-1", "issue" : "3", "issued" : { "date-parts" : [ [ "2010" ] ] }, "page" : "317-322", "title" : "Long-term management of the invasive Pacifastacus leniusculus ( Dana , 1852 ) in a small mountain stream", "type" : "article-journal", "volume" : "5" }, "uris" : [ "http://www.mendeley.com/documents/?uuid=809984f6-033c-4580-93af-e25fa9c1001e" ] } ], "mendeley" : { "formattedCitation" : "(Dana et al. 2010)", "plainTextFormattedCitation" : "(Dana et al. 2010)", "previouslyFormattedCitation" : "(Dana et al. 2010)"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Dana et al. 2010)</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The native crayfish species have a high cultural value and in p</w:t>
            </w:r>
            <w:r w:rsidR="00282AB4">
              <w:rPr>
                <w:rFonts w:ascii="Times New Roman" w:eastAsia="Times New Roman" w:hAnsi="Times New Roman" w:cs="Times New Roman"/>
                <w:sz w:val="20"/>
                <w:szCs w:val="20"/>
                <w:lang w:eastAsia="en-ZA"/>
              </w:rPr>
              <w:t>l</w:t>
            </w:r>
            <w:r w:rsidRPr="00ED3FD3">
              <w:rPr>
                <w:rFonts w:ascii="Times New Roman" w:eastAsia="Times New Roman" w:hAnsi="Times New Roman" w:cs="Times New Roman"/>
                <w:sz w:val="20"/>
                <w:szCs w:val="20"/>
                <w:lang w:eastAsia="en-ZA"/>
              </w:rPr>
              <w:t xml:space="preserve">aces such as Scandinavia, the loss of </w:t>
            </w:r>
            <w:r w:rsidRPr="00ED3FD3">
              <w:rPr>
                <w:rFonts w:ascii="Times New Roman" w:eastAsia="Times New Roman" w:hAnsi="Times New Roman" w:cs="Times New Roman"/>
                <w:i/>
                <w:iCs/>
                <w:sz w:val="20"/>
                <w:szCs w:val="20"/>
                <w:lang w:eastAsia="en-ZA"/>
              </w:rPr>
              <w:t>A. astacus</w:t>
            </w:r>
            <w:r w:rsidRPr="00ED3FD3">
              <w:rPr>
                <w:rFonts w:ascii="Times New Roman" w:eastAsia="Times New Roman" w:hAnsi="Times New Roman" w:cs="Times New Roman"/>
                <w:sz w:val="20"/>
                <w:szCs w:val="20"/>
                <w:lang w:eastAsia="en-ZA"/>
              </w:rPr>
              <w:t xml:space="preserve"> is considered to be serious cultural blow (Gherardi 2011).</w:t>
            </w:r>
          </w:p>
        </w:tc>
      </w:tr>
      <w:tr w:rsidR="002D7080" w:rsidRPr="00ED3FD3" w14:paraId="716C27BF" w14:textId="77777777" w:rsidTr="002E2C37">
        <w:trPr>
          <w:trHeight w:val="70"/>
        </w:trPr>
        <w:tc>
          <w:tcPr>
            <w:tcW w:w="9016" w:type="dxa"/>
            <w:gridSpan w:val="2"/>
          </w:tcPr>
          <w:p w14:paraId="5782AF68"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lastRenderedPageBreak/>
              <w:t>References:</w:t>
            </w:r>
          </w:p>
          <w:p w14:paraId="4B901CD8" w14:textId="77777777" w:rsidR="002D7080" w:rsidRPr="00ED3FD3" w:rsidRDefault="002D7080" w:rsidP="008A0BC6">
            <w:pPr>
              <w:ind w:left="702" w:hanging="702"/>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Dana, E.D., López-Santiago J., García-de-Lomas, J., García-Ocaña, D.M., Gámez, V. &amp; Ortega, F., 2010, ‘Long-term management of the invasive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(Dana, 1852) in a small mountain stream’, </w:t>
            </w:r>
            <w:r w:rsidRPr="00ED3FD3">
              <w:rPr>
                <w:rFonts w:ascii="Times New Roman" w:eastAsia="Times New Roman" w:hAnsi="Times New Roman" w:cs="Times New Roman"/>
                <w:i/>
                <w:iCs/>
                <w:sz w:val="20"/>
                <w:szCs w:val="20"/>
                <w:lang w:eastAsia="en-ZA"/>
              </w:rPr>
              <w:t>Aquatic Invasions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5</w:t>
            </w:r>
            <w:r w:rsidRPr="00ED3FD3">
              <w:rPr>
                <w:rFonts w:ascii="Times New Roman" w:eastAsia="Times New Roman" w:hAnsi="Times New Roman" w:cs="Times New Roman"/>
                <w:sz w:val="20"/>
                <w:szCs w:val="20"/>
                <w:lang w:eastAsia="en-ZA"/>
              </w:rPr>
              <w:t>, 317–322. https://doi.org/10.3391/ai.2010.5.3.10.</w:t>
            </w:r>
          </w:p>
          <w:p w14:paraId="72AF722B" w14:textId="77777777" w:rsidR="002D7080" w:rsidRPr="00ED3FD3" w:rsidRDefault="002D7080" w:rsidP="008A0BC6">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Holdich, D.M., Reynolds, J.D. &amp; Sibley, P.J., 2009, ‘A review of the ever increasing threat to European crayfish from non-indigenous crayfish species’, Knowledge and Management of Aquatic Ecosystems 11, 394–395. </w:t>
            </w:r>
            <w:hyperlink w:history="1">
              <w:r w:rsidRPr="00ED3FD3">
                <w:rPr>
                  <w:rStyle w:val="Hyperlink"/>
                  <w:rFonts w:ascii="Times New Roman" w:eastAsia="Times New Roman" w:hAnsi="Times New Roman" w:cs="Times New Roman"/>
                  <w:sz w:val="20"/>
                  <w:szCs w:val="20"/>
                  <w:lang w:eastAsia="en-ZA"/>
                </w:rPr>
                <w:t>https://doi.org/10.1051/kmae/2009025</w:t>
              </w:r>
            </w:hyperlink>
            <w:r w:rsidRPr="00ED3FD3">
              <w:rPr>
                <w:rFonts w:ascii="Times New Roman" w:eastAsia="Times New Roman" w:hAnsi="Times New Roman" w:cs="Times New Roman"/>
                <w:sz w:val="20"/>
                <w:szCs w:val="20"/>
                <w:lang w:eastAsia="en-ZA"/>
              </w:rPr>
              <w:t>.</w:t>
            </w:r>
          </w:p>
          <w:p w14:paraId="4FBBC472" w14:textId="77777777" w:rsidR="002D7080" w:rsidRPr="00ED3FD3" w:rsidRDefault="002D7080" w:rsidP="008A0BC6">
            <w:pPr>
              <w:ind w:left="720" w:hanging="720"/>
              <w:contextualSpacing/>
              <w:jc w:val="both"/>
              <w:rPr>
                <w:rFonts w:ascii="Times New Roman" w:eastAsia="Times New Roman" w:hAnsi="Times New Roman" w:cs="Times New Roman"/>
                <w:sz w:val="20"/>
                <w:szCs w:val="20"/>
                <w:lang w:eastAsia="en-ZA"/>
              </w:rPr>
            </w:pPr>
            <w:r w:rsidRPr="00ED3FD3">
              <w:rPr>
                <w:rFonts w:ascii="Times New Roman" w:hAnsi="Times New Roman" w:cs="Times New Roman"/>
                <w:sz w:val="20"/>
                <w:szCs w:val="20"/>
              </w:rPr>
              <w:t xml:space="preserve">Gherardi F. 2011b. Towards a sustainable human use of crayfish (Crustacea, Decapoda, Astacidea). </w:t>
            </w:r>
            <w:r w:rsidRPr="00ED3FD3">
              <w:rPr>
                <w:rFonts w:ascii="Times New Roman" w:hAnsi="Times New Roman" w:cs="Times New Roman"/>
                <w:i/>
                <w:iCs/>
                <w:sz w:val="20"/>
                <w:szCs w:val="20"/>
              </w:rPr>
              <w:t>Knowledge and Management of Aquatic Ecosystems</w:t>
            </w:r>
            <w:r w:rsidRPr="00ED3FD3">
              <w:rPr>
                <w:rFonts w:ascii="Times New Roman" w:hAnsi="Times New Roman" w:cs="Times New Roman"/>
                <w:sz w:val="20"/>
                <w:szCs w:val="20"/>
              </w:rPr>
              <w:t>. 401, 02 https://doi.org/10.1051/kmae/2011038</w:t>
            </w:r>
          </w:p>
        </w:tc>
      </w:tr>
      <w:tr w:rsidR="002D7080" w:rsidRPr="00ED3FD3" w14:paraId="24C30980" w14:textId="77777777" w:rsidTr="002E2C37">
        <w:trPr>
          <w:trHeight w:val="343"/>
        </w:trPr>
        <w:tc>
          <w:tcPr>
            <w:tcW w:w="9016" w:type="dxa"/>
            <w:gridSpan w:val="2"/>
            <w:shd w:val="clear" w:color="auto" w:fill="F2F2F2" w:themeFill="background1" w:themeFillShade="F2"/>
          </w:tcPr>
          <w:p w14:paraId="5D3DBE86" w14:textId="77777777" w:rsidR="002D7080" w:rsidRPr="00ED3FD3" w:rsidRDefault="002D7080" w:rsidP="002E2C37">
            <w:pPr>
              <w:rPr>
                <w:rFonts w:ascii="Times New Roman" w:hAnsi="Times New Roman" w:cs="Times New Roman"/>
                <w:sz w:val="20"/>
                <w:szCs w:val="20"/>
                <w:lang w:val="it-IT"/>
              </w:rPr>
            </w:pPr>
            <w:r w:rsidRPr="00ED3FD3">
              <w:rPr>
                <w:rFonts w:ascii="Times New Roman" w:eastAsia="Times New Roman" w:hAnsi="Times New Roman" w:cs="Times New Roman"/>
                <w:b/>
                <w:sz w:val="20"/>
                <w:szCs w:val="20"/>
                <w:lang w:val="it-IT" w:eastAsia="en-ZA"/>
              </w:rPr>
              <w:t xml:space="preserve">CON2 Maximum socio-economic impact </w:t>
            </w:r>
          </w:p>
        </w:tc>
      </w:tr>
      <w:tr w:rsidR="002D7080" w:rsidRPr="00ED3FD3" w14:paraId="3E1AA2F9" w14:textId="77777777" w:rsidTr="002E2C37">
        <w:trPr>
          <w:trHeight w:val="208"/>
        </w:trPr>
        <w:tc>
          <w:tcPr>
            <w:tcW w:w="5949" w:type="dxa"/>
          </w:tcPr>
          <w:p w14:paraId="69503FC6"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Minor (MN)</w:t>
            </w:r>
          </w:p>
        </w:tc>
        <w:tc>
          <w:tcPr>
            <w:tcW w:w="3067" w:type="dxa"/>
          </w:tcPr>
          <w:p w14:paraId="46AB8BAF"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38A92DF0" w14:textId="77777777" w:rsidTr="002E2C37">
        <w:trPr>
          <w:trHeight w:val="70"/>
        </w:trPr>
        <w:tc>
          <w:tcPr>
            <w:tcW w:w="9016" w:type="dxa"/>
            <w:gridSpan w:val="2"/>
          </w:tcPr>
          <w:p w14:paraId="1EEB019A"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xml:space="preserve"> introduced in Europe to alleviate the pressure on native crayfish such as </w:t>
            </w:r>
            <w:r w:rsidRPr="00ED3FD3">
              <w:rPr>
                <w:rFonts w:ascii="Times New Roman" w:eastAsia="Times New Roman" w:hAnsi="Times New Roman" w:cs="Times New Roman"/>
                <w:i/>
                <w:iCs/>
                <w:sz w:val="20"/>
                <w:szCs w:val="20"/>
                <w:lang w:eastAsia="en-ZA"/>
              </w:rPr>
              <w:t>Astacus astacus</w:t>
            </w:r>
            <w:r w:rsidRPr="00ED3FD3">
              <w:rPr>
                <w:rFonts w:ascii="Times New Roman" w:eastAsia="Times New Roman" w:hAnsi="Times New Roman" w:cs="Times New Roman"/>
                <w:sz w:val="20"/>
                <w:szCs w:val="20"/>
                <w:lang w:eastAsia="en-ZA"/>
              </w:rPr>
              <w:t xml:space="preserve"> whose population had declined due to crayfish plague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"10.1051/alr:1993032", "ISBN" : "0990-7440", "ISSN" : "0990-7440", "abstract" : "The farming of freshwater crayfish (astaciculture) is mainly carried out in the southern states of the USA, and in Australia and Europe. Production levels Vary with climate but are in the region of 40000 to 60000 tonnes per annum. In addition, at least an equivalent amounts is harvested from the wild, particularly in North Amenca, China, Australia, Kenya, Turkey and Europe. Crayfish farming is usually cithcr of an extensive (ranching) or semi-intensive nature, intensive methods being infrequent, except for the rearing of juveniles for stocking (or restocking of natural waters depleted of crayfish). As crayfish do not have larvae and are polytrophic, they are relatively easy to rear, although fecundity is much lower when compared with other cultured crustaceans. At least 85% of world production is based on the red swamp crayfish, Procamharus clarkii, mainly from Louisiana and other southern USA states, but also from China, Kenya and Spain, where it has been introduced. In Australia, three species are of aquacultural importance, the yabbie, Cherax destructor; the marron, C. tenuimanus; and the red claw, C. quadricarinatus. Some very large production units have been built but none have lived up to their promise. The red claw is thought to have considerable aquacultural potential, but, being a tropical species, needs warm water for good growth. In Europe, the only endemic species cultured to any extent is the noble crayfish, Astacus astacus, mainly as juveniles for restocking. It fetches a higher pnce than other crayfish. The North American signal crayfish, Pacifastacus leniusculus, has been introduced to most European countries, but farmed production is relatively low. About 98% of crayfish consumed in Europe come from extensive systems or the wild harvest. European crayfish markets were upset by the collapse of the Turkish crayfishery (based on Astacus leptoductylus) due to overfishing and disease in the mid-1980s. The environmental impact of crayfish farrning is most noticeable in Europe. Crayfish plague, introduced from North America last century, ha\u00ee devastated populations of the native species in many countries. 1ts spread has been exasperated by the translocation of foreign crayfish (and probably by fish) for aquacultural purposes. In addition, introduced crayfish frequently escape into the wild and form large populations, often in direct competition with native species. Burrowing and prolific species, such as P. clarkii, can also do considerable env\u2026", "author" : [ { "dropping-particle" : "", "family" : "Holdich", "given" : "David M.", "non-dropping-particle" : "", "parse-names" : false, "suffix" : "" } ], "container-title" : "Aquatic Living Resources", "id" : "ITEM-1", "issue" : "4", "issued" : { "date-parts" : [ [ "1993" ] ] }, "page" : "307-317", "title" : "A review of astaciculture: freshwater crayfish farming", "type" : "article-journal", "volume" : "6" }, "uris" : [ "http://www.mendeley.com/documents/?uuid=9c22145c-3212-4afe-9814-df511734f170" ] } ], "mendeley" : { "formattedCitation" : "(Holdich 1993)", "plainTextFormattedCitation" : "(Holdich 1993)", "previouslyFormattedCitation" : "(Holdich 1993)"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(Holdich et al. 2009)</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This introduction has however contributed to further decline in native crayfish populations because </w:t>
            </w:r>
            <w:r w:rsidRPr="00ED3FD3">
              <w:rPr>
                <w:rFonts w:ascii="Times New Roman" w:eastAsia="Times New Roman" w:hAnsi="Times New Roman" w:cs="Times New Roman"/>
                <w:i/>
                <w:iCs/>
                <w:sz w:val="20"/>
                <w:szCs w:val="20"/>
                <w:lang w:eastAsia="en-ZA"/>
              </w:rPr>
              <w:t>P. leniusculus</w:t>
            </w:r>
            <w:r w:rsidRPr="00ED3FD3">
              <w:rPr>
                <w:rFonts w:ascii="Times New Roman" w:eastAsia="Times New Roman" w:hAnsi="Times New Roman" w:cs="Times New Roman"/>
                <w:sz w:val="20"/>
                <w:szCs w:val="20"/>
                <w:lang w:eastAsia="en-ZA"/>
              </w:rPr>
              <w:t xml:space="preserve"> are carriers of the crayfish plague and have competitively displaced  native crayfish in areas of introduction (e.g.,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"10.3391/ai.2010.5.3.10", "author" : [ { "dropping-particle" : "", "family" : "Dana", "given" : "El\u00edas D", "non-dropping-particle" : "", "parse-names" : false, "suffix" : "" }, { "dropping-particle" : "", "family" : "L\u00f3pez-santiago", "given" : "Javier", "non-dropping-particle" : "", "parse-names" : false, "suffix" : "" }, { "dropping-particle" : "", "family" : "Garc\u00eda-de-lomas", "given" : "Juan", "non-dropping-particle" : "", "parse-names" : false, "suffix" : "" }, { "dropping-particle" : "", "family" : "Garc\u00eda-oca\u00f1a", "given" : "David M", "non-dropping-particle" : "", "parse-names" : false, "suffix" : "" }, { "dropping-particle" : "", "family" : "Ortega", "given" : "Fernando", "non-dropping-particle" : "", "parse-names" : false, "suffix" : "" } ], "id" : "ITEM-1", "issue" : "3", "issued" : { "date-parts" : [ [ "2010" ] ] }, "page" : "317-322", "title" : "Long-term management of the invasive Pacifastacus leniusculus ( Dana , 1852 ) in a small mountain stream", "type" : "article-journal", "volume" : "5" }, "uris" : [ "http://www.mendeley.com/documents/?uuid=809984f6-033c-4580-93af-e25fa9c1001e" ] } ], "mendeley" : { "formattedCitation" : "(Dana et al. 2010)", "plainTextFormattedCitation" : "(Dana et al. 2010)", "previouslyFormattedCitation" : "(Dana et al. 2010)"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Dana et al. 2010)</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The native crayfish species have a high cultural and economic values  and the introduction of </w:t>
            </w:r>
            <w:r w:rsidRPr="00ED3FD3">
              <w:rPr>
                <w:rFonts w:ascii="Times New Roman" w:eastAsia="Times New Roman" w:hAnsi="Times New Roman" w:cs="Times New Roman"/>
                <w:i/>
                <w:iCs/>
                <w:sz w:val="20"/>
                <w:szCs w:val="20"/>
                <w:lang w:eastAsia="en-ZA"/>
              </w:rPr>
              <w:t xml:space="preserve">P. leniusculus </w:t>
            </w:r>
            <w:r w:rsidRPr="00ED3FD3">
              <w:rPr>
                <w:rFonts w:ascii="Times New Roman" w:eastAsia="Times New Roman" w:hAnsi="Times New Roman" w:cs="Times New Roman"/>
                <w:sz w:val="20"/>
                <w:szCs w:val="20"/>
                <w:lang w:eastAsia="en-ZA"/>
              </w:rPr>
              <w:t xml:space="preserve">has lead to a decline in the benefits derived from the native crayfish (Gherardi 2011, Lodge et al. 2012; Kouba et al. 2022). </w:t>
            </w:r>
          </w:p>
        </w:tc>
      </w:tr>
      <w:tr w:rsidR="002D7080" w:rsidRPr="00ED3FD3" w14:paraId="1AC7CCAC" w14:textId="77777777" w:rsidTr="002E2C37">
        <w:trPr>
          <w:trHeight w:val="70"/>
        </w:trPr>
        <w:tc>
          <w:tcPr>
            <w:tcW w:w="9016" w:type="dxa"/>
            <w:gridSpan w:val="2"/>
          </w:tcPr>
          <w:p w14:paraId="4D54247B"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300869C9" w14:textId="77777777" w:rsidR="002D7080" w:rsidRPr="00ED3FD3" w:rsidRDefault="002D7080" w:rsidP="008A0BC6">
            <w:pPr>
              <w:ind w:left="702" w:hanging="702"/>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Dana, E.D., López-Santiago J., García-de-Lomas, J., García-Ocaña, D.M., Gámez, V. &amp; Ortega, F., 2010, ‘Long-term management of the invasive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(Dana, 1852) in a small mountain stream’, </w:t>
            </w:r>
            <w:r w:rsidRPr="00ED3FD3">
              <w:rPr>
                <w:rFonts w:ascii="Times New Roman" w:eastAsia="Times New Roman" w:hAnsi="Times New Roman" w:cs="Times New Roman"/>
                <w:i/>
                <w:iCs/>
                <w:sz w:val="20"/>
                <w:szCs w:val="20"/>
                <w:lang w:eastAsia="en-ZA"/>
              </w:rPr>
              <w:t>Aquatic Invasions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5</w:t>
            </w:r>
            <w:r w:rsidRPr="00ED3FD3">
              <w:rPr>
                <w:rFonts w:ascii="Times New Roman" w:eastAsia="Times New Roman" w:hAnsi="Times New Roman" w:cs="Times New Roman"/>
                <w:sz w:val="20"/>
                <w:szCs w:val="20"/>
                <w:lang w:eastAsia="en-ZA"/>
              </w:rPr>
              <w:t>, 317–322. https://doi.org/10.3391/ai.2010.5.3.10.</w:t>
            </w:r>
          </w:p>
          <w:p w14:paraId="4DCF1B76" w14:textId="77777777" w:rsidR="002D7080" w:rsidRPr="00ED3FD3" w:rsidRDefault="002D7080" w:rsidP="008A0BC6">
            <w:pPr>
              <w:spacing w:after="160" w:line="259" w:lineRule="auto"/>
              <w:ind w:left="720" w:hanging="720"/>
              <w:contextualSpacing/>
              <w:jc w:val="both"/>
              <w:rPr>
                <w:rFonts w:ascii="Times New Roman" w:eastAsia="Times New Roman" w:hAnsi="Times New Roman" w:cs="Times New Roman"/>
                <w:sz w:val="20"/>
                <w:szCs w:val="20"/>
                <w:lang w:eastAsia="en-ZA"/>
              </w:rPr>
            </w:pPr>
            <w:r w:rsidRPr="00ED3FD3">
              <w:rPr>
                <w:rFonts w:ascii="Times New Roman" w:hAnsi="Times New Roman" w:cs="Times New Roman"/>
                <w:sz w:val="20"/>
                <w:szCs w:val="20"/>
              </w:rPr>
              <w:t xml:space="preserve">Gherardi F. 2011b. Towards a sustainable human use of crayfish (Crustacea, Decapoda, Astacidea). </w:t>
            </w:r>
            <w:r w:rsidRPr="00ED3FD3">
              <w:rPr>
                <w:rFonts w:ascii="Times New Roman" w:hAnsi="Times New Roman" w:cs="Times New Roman"/>
                <w:i/>
                <w:iCs/>
                <w:sz w:val="20"/>
                <w:szCs w:val="20"/>
              </w:rPr>
              <w:t>Knowledge and Management of Aquatic Ecosystems</w:t>
            </w:r>
            <w:r w:rsidRPr="00ED3FD3">
              <w:rPr>
                <w:rFonts w:ascii="Times New Roman" w:hAnsi="Times New Roman" w:cs="Times New Roman"/>
                <w:sz w:val="20"/>
                <w:szCs w:val="20"/>
              </w:rPr>
              <w:t>. 401, 02 https://doi.org/10.1051/kmae/2011038</w:t>
            </w:r>
          </w:p>
          <w:p w14:paraId="1D5D56BC" w14:textId="77777777" w:rsidR="002D7080" w:rsidRPr="00ED3FD3" w:rsidRDefault="002D7080" w:rsidP="008A0BC6">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Holdich, D.M., Reynolds, J.D. &amp; Sibley, P.J., 2009, ‘A review of the ever increasing threat to European crayfish from non-indigenous crayfish species’, Knowledge and Management of Aquatic Ecosystems 11, 394–395. </w:t>
            </w:r>
            <w:hyperlink w:history="1">
              <w:r w:rsidRPr="00ED3FD3">
                <w:rPr>
                  <w:rStyle w:val="Hyperlink"/>
                  <w:rFonts w:ascii="Times New Roman" w:eastAsia="Times New Roman" w:hAnsi="Times New Roman" w:cs="Times New Roman"/>
                  <w:sz w:val="20"/>
                  <w:szCs w:val="20"/>
                  <w:lang w:eastAsia="en-ZA"/>
                </w:rPr>
                <w:t>https://doi.org/10.1051/kmae/2009025</w:t>
              </w:r>
            </w:hyperlink>
            <w:r w:rsidRPr="00ED3FD3">
              <w:rPr>
                <w:rFonts w:ascii="Times New Roman" w:eastAsia="Times New Roman" w:hAnsi="Times New Roman" w:cs="Times New Roman"/>
                <w:sz w:val="20"/>
                <w:szCs w:val="20"/>
                <w:lang w:eastAsia="en-ZA"/>
              </w:rPr>
              <w:t>.</w:t>
            </w:r>
          </w:p>
          <w:p w14:paraId="20D52E1C" w14:textId="77777777" w:rsidR="002D7080" w:rsidRPr="00ED3FD3" w:rsidRDefault="002D7080" w:rsidP="008A0BC6">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Johnsen SI, Taugbøl T. (2010): NOBANIS – Invasive Alien Species Fact Sheet – </w:t>
            </w:r>
            <w:r w:rsidRPr="00ED3FD3">
              <w:rPr>
                <w:rFonts w:ascii="Times New Roman" w:eastAsia="Times New Roman" w:hAnsi="Times New Roman" w:cs="Times New Roman"/>
                <w:bCs/>
                <w:i/>
                <w:iCs/>
                <w:sz w:val="20"/>
                <w:szCs w:val="20"/>
                <w:lang w:eastAsia="en-ZA"/>
              </w:rPr>
              <w:t>Pacifastacus leniusculus</w:t>
            </w:r>
            <w:r w:rsidRPr="00ED3FD3">
              <w:rPr>
                <w:rFonts w:ascii="Times New Roman" w:eastAsia="Times New Roman" w:hAnsi="Times New Roman" w:cs="Times New Roman"/>
                <w:i/>
                <w:iCs/>
                <w:sz w:val="20"/>
                <w:szCs w:val="20"/>
                <w:lang w:eastAsia="en-ZA"/>
              </w:rPr>
              <w:t xml:space="preserve">. </w:t>
            </w:r>
            <w:r w:rsidRPr="00ED3FD3">
              <w:rPr>
                <w:rFonts w:ascii="Times New Roman" w:eastAsia="Times New Roman" w:hAnsi="Times New Roman" w:cs="Times New Roman"/>
                <w:sz w:val="20"/>
                <w:szCs w:val="20"/>
                <w:lang w:eastAsia="en-ZA"/>
              </w:rPr>
              <w:t>Online Database of the European Network on Invasive Alien Species – NOBANIS www.nobanis.org</w:t>
            </w:r>
            <w:r w:rsidRPr="00ED3FD3">
              <w:rPr>
                <w:rFonts w:ascii="Times New Roman" w:eastAsia="Times New Roman" w:hAnsi="Times New Roman" w:cs="Times New Roman"/>
                <w:sz w:val="20"/>
                <w:szCs w:val="20"/>
                <w:u w:val="single"/>
                <w:lang w:eastAsia="en-ZA"/>
              </w:rPr>
              <w:t xml:space="preserve">. </w:t>
            </w:r>
            <w:r w:rsidRPr="00ED3FD3">
              <w:rPr>
                <w:rFonts w:ascii="Times New Roman" w:eastAsia="Times New Roman" w:hAnsi="Times New Roman" w:cs="Times New Roman"/>
                <w:sz w:val="20"/>
                <w:szCs w:val="20"/>
                <w:lang w:eastAsia="en-ZA"/>
              </w:rPr>
              <w:t>[Date of access 13/11/2019].</w:t>
            </w:r>
          </w:p>
          <w:p w14:paraId="2D56AA69" w14:textId="77777777" w:rsidR="002D7080" w:rsidRPr="00ED3FD3" w:rsidRDefault="002D7080" w:rsidP="008A0BC6">
            <w:pPr>
              <w:ind w:left="720" w:hanging="720"/>
              <w:contextualSpacing/>
              <w:jc w:val="both"/>
              <w:rPr>
                <w:rFonts w:ascii="Times New Roman" w:hAnsi="Times New Roman" w:cs="Times New Roman"/>
                <w:sz w:val="20"/>
                <w:szCs w:val="20"/>
              </w:rPr>
            </w:pPr>
            <w:r w:rsidRPr="00ED3FD3">
              <w:rPr>
                <w:rFonts w:ascii="Times New Roman" w:hAnsi="Times New Roman" w:cs="Times New Roman"/>
                <w:color w:val="222222"/>
                <w:sz w:val="20"/>
                <w:szCs w:val="20"/>
                <w:shd w:val="clear" w:color="auto" w:fill="FFFFFF"/>
              </w:rPr>
              <w:t>Kouba, A., Oficialdegui, F.J., Cuthbert, R.N., Kourantidou, M., South, J., Tricarico, E., Gozlan, R.E., Courchamp, F. and Haubrock, P.J., 2022’, ‘Identifying economic costs and knowledge gaps of invasive aquatic crustaceans’, </w:t>
            </w:r>
            <w:r w:rsidRPr="00ED3FD3">
              <w:rPr>
                <w:rFonts w:ascii="Times New Roman" w:hAnsi="Times New Roman" w:cs="Times New Roman"/>
                <w:i/>
                <w:iCs/>
                <w:color w:val="222222"/>
                <w:sz w:val="20"/>
                <w:szCs w:val="20"/>
                <w:shd w:val="clear" w:color="auto" w:fill="FFFFFF"/>
              </w:rPr>
              <w:t>Science of the Total Environment</w:t>
            </w:r>
            <w:r w:rsidRPr="00ED3FD3">
              <w:rPr>
                <w:rFonts w:ascii="Times New Roman" w:hAnsi="Times New Roman" w:cs="Times New Roman"/>
                <w:color w:val="222222"/>
                <w:sz w:val="20"/>
                <w:szCs w:val="20"/>
                <w:shd w:val="clear" w:color="auto" w:fill="FFFFFF"/>
              </w:rPr>
              <w:t xml:space="preserve">, 813, 152325 </w:t>
            </w:r>
            <w:hyperlink w:tgtFrame="_blank" w:tooltip="Persistent link using digital object identifier" w:history="1">
              <w:r w:rsidRPr="00ED3FD3">
                <w:rPr>
                  <w:rStyle w:val="anchor-text"/>
                  <w:rFonts w:ascii="Times New Roman" w:hAnsi="Times New Roman" w:cs="Times New Roman"/>
                  <w:color w:val="1F1F1F"/>
                  <w:sz w:val="20"/>
                  <w:szCs w:val="20"/>
                </w:rPr>
                <w:t>https://doi.org/10.1016/j.scitotenv.2021.152325</w:t>
              </w:r>
            </w:hyperlink>
          </w:p>
          <w:p w14:paraId="70D4477F" w14:textId="77777777" w:rsidR="002D7080" w:rsidRPr="00ED3FD3" w:rsidRDefault="002D7080" w:rsidP="008A0BC6">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Lodge, D.M., Deines, A., Gherardi, F., Yeo, D.C.J., Arcella. T, Baldridge, A.K. et al., 2012, ‘Global introductions of crayfishes: Evaluating the impact of species invasions on ecosystem services’, </w:t>
            </w:r>
            <w:r w:rsidRPr="00ED3FD3">
              <w:rPr>
                <w:rFonts w:ascii="Times New Roman" w:eastAsia="Times New Roman" w:hAnsi="Times New Roman" w:cs="Times New Roman"/>
                <w:i/>
                <w:sz w:val="20"/>
                <w:szCs w:val="20"/>
                <w:lang w:eastAsia="en-ZA"/>
              </w:rPr>
              <w:t>Annual Review of Ecology Evolution Systematics</w:t>
            </w:r>
            <w:r w:rsidRPr="00ED3FD3">
              <w:rPr>
                <w:rFonts w:ascii="Times New Roman" w:eastAsia="Times New Roman" w:hAnsi="Times New Roman" w:cs="Times New Roman"/>
                <w:sz w:val="20"/>
                <w:szCs w:val="20"/>
                <w:lang w:eastAsia="en-ZA"/>
              </w:rPr>
              <w:t xml:space="preserve"> 43, 449–472. </w:t>
            </w:r>
            <w:r w:rsidRPr="00ED3FD3">
              <w:rPr>
                <w:rFonts w:ascii="Times New Roman" w:eastAsia="Times New Roman" w:hAnsi="Times New Roman" w:cs="Times New Roman"/>
                <w:bCs/>
                <w:sz w:val="20"/>
                <w:szCs w:val="20"/>
                <w:lang w:eastAsia="en-ZA"/>
              </w:rPr>
              <w:t>https://doi.org/10.1146/annurev-ecolsys-111511-103919</w:t>
            </w:r>
          </w:p>
        </w:tc>
      </w:tr>
    </w:tbl>
    <w:p w14:paraId="7E03ADEF" w14:textId="77777777" w:rsidR="002D7080" w:rsidRPr="00ED3FD3" w:rsidRDefault="002D7080" w:rsidP="002D7080">
      <w:pPr>
        <w:spacing w:after="0" w:line="240" w:lineRule="auto"/>
        <w:rPr>
          <w:rFonts w:ascii="Times New Roman" w:hAnsi="Times New Roman" w:cs="Times New Roman"/>
          <w:sz w:val="20"/>
          <w:szCs w:val="20"/>
        </w:rPr>
      </w:pPr>
    </w:p>
    <w:tbl>
      <w:tblPr>
        <w:tblStyle w:val="TableGrid"/>
        <w:tblW w:w="0" w:type="auto"/>
        <w:tblLook w:val="04A0" w:firstRow="1" w:lastRow="0" w:firstColumn="1" w:lastColumn="0" w:noHBand="0" w:noVBand="1"/>
      </w:tblPr>
      <w:tblGrid>
        <w:gridCol w:w="5949"/>
        <w:gridCol w:w="3067"/>
      </w:tblGrid>
      <w:tr w:rsidR="002D7080" w:rsidRPr="00ED3FD3" w14:paraId="74EA462E" w14:textId="77777777" w:rsidTr="002E2C37">
        <w:trPr>
          <w:trHeight w:val="343"/>
        </w:trPr>
        <w:tc>
          <w:tcPr>
            <w:tcW w:w="9016" w:type="dxa"/>
            <w:gridSpan w:val="2"/>
            <w:shd w:val="clear" w:color="auto" w:fill="F2F2F2" w:themeFill="background1" w:themeFillShade="F2"/>
          </w:tcPr>
          <w:p w14:paraId="6E34A6A7"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CON3 Closely related species’ environmental impact</w:t>
            </w:r>
          </w:p>
        </w:tc>
      </w:tr>
      <w:tr w:rsidR="002D7080" w:rsidRPr="00ED3FD3" w14:paraId="00B7FDFB" w14:textId="77777777" w:rsidTr="002E2C37">
        <w:trPr>
          <w:trHeight w:val="172"/>
        </w:trPr>
        <w:tc>
          <w:tcPr>
            <w:tcW w:w="5949" w:type="dxa"/>
          </w:tcPr>
          <w:p w14:paraId="5A935A1B"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Not scored as CON1 is scored</w:t>
            </w:r>
          </w:p>
        </w:tc>
        <w:tc>
          <w:tcPr>
            <w:tcW w:w="3067" w:type="dxa"/>
          </w:tcPr>
          <w:p w14:paraId="61F4A056"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1AD4395E" w14:textId="77777777" w:rsidTr="002E2C37">
        <w:trPr>
          <w:trHeight w:val="70"/>
        </w:trPr>
        <w:tc>
          <w:tcPr>
            <w:tcW w:w="9016" w:type="dxa"/>
            <w:gridSpan w:val="2"/>
          </w:tcPr>
          <w:p w14:paraId="2D972787"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Rationale: There is information to score CON1, so CON3 does not need to be scored as per the framework.</w:t>
            </w:r>
          </w:p>
        </w:tc>
      </w:tr>
      <w:tr w:rsidR="002D7080" w:rsidRPr="00ED3FD3" w14:paraId="350DCEFB" w14:textId="77777777" w:rsidTr="002E2C37">
        <w:trPr>
          <w:trHeight w:val="70"/>
        </w:trPr>
        <w:tc>
          <w:tcPr>
            <w:tcW w:w="9016" w:type="dxa"/>
            <w:gridSpan w:val="2"/>
          </w:tcPr>
          <w:p w14:paraId="5AA98986"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tc>
      </w:tr>
    </w:tbl>
    <w:p w14:paraId="6DCA478D" w14:textId="77777777" w:rsidR="002D7080" w:rsidRPr="00ED3FD3" w:rsidRDefault="002D7080" w:rsidP="002D7080">
      <w:pPr>
        <w:spacing w:after="0" w:line="240" w:lineRule="auto"/>
        <w:rPr>
          <w:rFonts w:ascii="Times New Roman" w:hAnsi="Times New Roman" w:cs="Times New Roman"/>
          <w:b/>
          <w:sz w:val="20"/>
          <w:szCs w:val="20"/>
        </w:rPr>
      </w:pPr>
    </w:p>
    <w:tbl>
      <w:tblPr>
        <w:tblStyle w:val="TableGrid"/>
        <w:tblW w:w="0" w:type="auto"/>
        <w:tblLook w:val="04A0" w:firstRow="1" w:lastRow="0" w:firstColumn="1" w:lastColumn="0" w:noHBand="0" w:noVBand="1"/>
      </w:tblPr>
      <w:tblGrid>
        <w:gridCol w:w="5949"/>
        <w:gridCol w:w="3067"/>
      </w:tblGrid>
      <w:tr w:rsidR="002D7080" w:rsidRPr="00ED3FD3" w14:paraId="07EE42A5" w14:textId="77777777" w:rsidTr="002E2C37">
        <w:trPr>
          <w:trHeight w:val="343"/>
        </w:trPr>
        <w:tc>
          <w:tcPr>
            <w:tcW w:w="9016" w:type="dxa"/>
            <w:gridSpan w:val="2"/>
            <w:shd w:val="clear" w:color="auto" w:fill="F2F2F2" w:themeFill="background1" w:themeFillShade="F2"/>
          </w:tcPr>
          <w:p w14:paraId="0427DA4C"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CON4 Closely related species’ socio-economic impact</w:t>
            </w:r>
          </w:p>
        </w:tc>
      </w:tr>
      <w:tr w:rsidR="002D7080" w:rsidRPr="00ED3FD3" w14:paraId="506CE797" w14:textId="77777777" w:rsidTr="002E2C37">
        <w:trPr>
          <w:trHeight w:val="172"/>
        </w:trPr>
        <w:tc>
          <w:tcPr>
            <w:tcW w:w="5949" w:type="dxa"/>
          </w:tcPr>
          <w:p w14:paraId="5A7F6DC9"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lastRenderedPageBreak/>
              <w:t>Response: Not scored as CON2 is scored</w:t>
            </w:r>
          </w:p>
        </w:tc>
        <w:tc>
          <w:tcPr>
            <w:tcW w:w="3067" w:type="dxa"/>
          </w:tcPr>
          <w:p w14:paraId="65A39A8C"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233B4C6C" w14:textId="77777777" w:rsidTr="002E2C37">
        <w:trPr>
          <w:trHeight w:val="70"/>
        </w:trPr>
        <w:tc>
          <w:tcPr>
            <w:tcW w:w="9016" w:type="dxa"/>
            <w:gridSpan w:val="2"/>
          </w:tcPr>
          <w:p w14:paraId="7CFD79EC"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Rationale: There is information to score CON2, so CON4 does not need to be scored as per the framework.</w:t>
            </w:r>
          </w:p>
        </w:tc>
      </w:tr>
      <w:tr w:rsidR="002D7080" w:rsidRPr="00ED3FD3" w14:paraId="62C5DED2" w14:textId="77777777" w:rsidTr="002E2C37">
        <w:trPr>
          <w:trHeight w:val="50"/>
        </w:trPr>
        <w:tc>
          <w:tcPr>
            <w:tcW w:w="9016" w:type="dxa"/>
            <w:gridSpan w:val="2"/>
          </w:tcPr>
          <w:p w14:paraId="34EF7E1D"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tc>
      </w:tr>
    </w:tbl>
    <w:p w14:paraId="5C0218A5" w14:textId="77777777" w:rsidR="002D7080" w:rsidRPr="00ED3FD3" w:rsidRDefault="002D7080" w:rsidP="002D7080">
      <w:pPr>
        <w:spacing w:after="0" w:line="240" w:lineRule="auto"/>
        <w:rPr>
          <w:rFonts w:ascii="Times New Roman" w:hAnsi="Times New Roman" w:cs="Times New Roman"/>
          <w:b/>
          <w:sz w:val="20"/>
          <w:szCs w:val="20"/>
        </w:rPr>
      </w:pPr>
    </w:p>
    <w:tbl>
      <w:tblPr>
        <w:tblStyle w:val="TableGrid"/>
        <w:tblW w:w="0" w:type="auto"/>
        <w:tblLook w:val="04A0" w:firstRow="1" w:lastRow="0" w:firstColumn="1" w:lastColumn="0" w:noHBand="0" w:noVBand="1"/>
      </w:tblPr>
      <w:tblGrid>
        <w:gridCol w:w="5949"/>
        <w:gridCol w:w="3067"/>
      </w:tblGrid>
      <w:tr w:rsidR="002D7080" w:rsidRPr="00ED3FD3" w14:paraId="408F4055" w14:textId="77777777" w:rsidTr="002E2C37">
        <w:trPr>
          <w:trHeight w:val="343"/>
        </w:trPr>
        <w:tc>
          <w:tcPr>
            <w:tcW w:w="9016" w:type="dxa"/>
            <w:gridSpan w:val="2"/>
            <w:shd w:val="clear" w:color="auto" w:fill="F2F2F2" w:themeFill="background1" w:themeFillShade="F2"/>
          </w:tcPr>
          <w:p w14:paraId="57786388"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CON5 Potential impact</w:t>
            </w:r>
          </w:p>
        </w:tc>
      </w:tr>
      <w:tr w:rsidR="002D7080" w:rsidRPr="00ED3FD3" w14:paraId="423254F3" w14:textId="77777777" w:rsidTr="002E2C37">
        <w:trPr>
          <w:trHeight w:val="172"/>
        </w:trPr>
        <w:tc>
          <w:tcPr>
            <w:tcW w:w="5949" w:type="dxa"/>
          </w:tcPr>
          <w:p w14:paraId="52A3D43F"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hAnsi="Times New Roman" w:cs="Times New Roman"/>
                <w:b/>
                <w:sz w:val="20"/>
                <w:szCs w:val="20"/>
              </w:rPr>
              <w:t xml:space="preserve">Response: </w:t>
            </w:r>
            <w:r w:rsidRPr="00ED3FD3">
              <w:rPr>
                <w:rFonts w:ascii="Times New Roman" w:hAnsi="Times New Roman" w:cs="Times New Roman"/>
                <w:sz w:val="20"/>
                <w:szCs w:val="20"/>
              </w:rPr>
              <w:t>Major (MR)</w:t>
            </w:r>
          </w:p>
        </w:tc>
        <w:tc>
          <w:tcPr>
            <w:tcW w:w="3067" w:type="dxa"/>
          </w:tcPr>
          <w:p w14:paraId="721246C8"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hAnsi="Times New Roman" w:cs="Times New Roman"/>
                <w:b/>
                <w:sz w:val="20"/>
                <w:szCs w:val="20"/>
              </w:rPr>
              <w:t xml:space="preserve">Confidence: </w:t>
            </w:r>
            <w:r w:rsidRPr="00ED3FD3">
              <w:rPr>
                <w:rFonts w:ascii="Times New Roman" w:hAnsi="Times New Roman" w:cs="Times New Roman"/>
                <w:sz w:val="20"/>
                <w:szCs w:val="20"/>
              </w:rPr>
              <w:t>Low</w:t>
            </w:r>
          </w:p>
        </w:tc>
      </w:tr>
      <w:tr w:rsidR="002D7080" w:rsidRPr="00ED3FD3" w14:paraId="1BBEDFBE" w14:textId="77777777" w:rsidTr="002E2C37">
        <w:trPr>
          <w:trHeight w:val="70"/>
        </w:trPr>
        <w:tc>
          <w:tcPr>
            <w:tcW w:w="9016" w:type="dxa"/>
            <w:gridSpan w:val="2"/>
          </w:tcPr>
          <w:p w14:paraId="1FF1D681" w14:textId="77777777" w:rsidR="002D7080" w:rsidRPr="00ED3FD3" w:rsidRDefault="002D7080" w:rsidP="002E2C37">
            <w:pPr>
              <w:jc w:val="both"/>
              <w:rPr>
                <w:rFonts w:ascii="Times New Roman" w:hAnsi="Times New Roman" w:cs="Times New Roman"/>
                <w:sz w:val="20"/>
                <w:szCs w:val="20"/>
              </w:rPr>
            </w:pPr>
            <w:r w:rsidRPr="00ED3FD3">
              <w:rPr>
                <w:rFonts w:ascii="Times New Roman" w:hAnsi="Times New Roman" w:cs="Times New Roman"/>
                <w:sz w:val="20"/>
                <w:szCs w:val="20"/>
              </w:rPr>
              <w:t xml:space="preserve">Rationale: </w:t>
            </w:r>
            <w:r w:rsidRPr="00ED3FD3">
              <w:rPr>
                <w:rFonts w:ascii="Times New Roman" w:hAnsi="Times New Roman" w:cs="Times New Roman"/>
                <w:i/>
                <w:iCs/>
                <w:sz w:val="20"/>
                <w:szCs w:val="20"/>
              </w:rPr>
              <w:t>Pacifastacus leniusculus</w:t>
            </w:r>
            <w:r w:rsidRPr="00ED3FD3">
              <w:rPr>
                <w:rFonts w:ascii="Times New Roman" w:hAnsi="Times New Roman" w:cs="Times New Roman"/>
                <w:sz w:val="20"/>
                <w:szCs w:val="20"/>
              </w:rPr>
              <w:t xml:space="preserve"> is a significant competitor and has displaced several species of native freshwater crayfish and other fauna in introduced areas (Dunn et al. 2009; Huber &amp; Schubart 2005; Galib et al. 2021). While South Africa may not have native freshwater crayfish, closely related decapods such as crabs, may have a resource overlap with </w:t>
            </w:r>
            <w:r w:rsidRPr="00ED3FD3">
              <w:rPr>
                <w:rFonts w:ascii="Times New Roman" w:hAnsi="Times New Roman" w:cs="Times New Roman"/>
                <w:i/>
                <w:iCs/>
                <w:sz w:val="20"/>
                <w:szCs w:val="20"/>
              </w:rPr>
              <w:t>P. leniusculus</w:t>
            </w:r>
            <w:r w:rsidRPr="00ED3FD3">
              <w:rPr>
                <w:rFonts w:ascii="Times New Roman" w:hAnsi="Times New Roman" w:cs="Times New Roman"/>
                <w:sz w:val="20"/>
                <w:szCs w:val="20"/>
              </w:rPr>
              <w:t xml:space="preserve"> which may result in competition </w:t>
            </w:r>
            <w:r w:rsidRPr="00ED3FD3">
              <w:rPr>
                <w:rFonts w:ascii="Times New Roman" w:hAnsi="Times New Roman" w:cs="Times New Roman"/>
                <w:sz w:val="20"/>
                <w:szCs w:val="20"/>
              </w:rPr>
              <w:fldChar w:fldCharType="begin" w:fldLock="1"/>
            </w:r>
            <w:r w:rsidRPr="00ED3FD3">
              <w:rPr>
                <w:rFonts w:ascii="Times New Roman" w:hAnsi="Times New Roman" w:cs="Times New Roman"/>
                <w:sz w:val="20"/>
                <w:szCs w:val="20"/>
              </w:rPr>
              <w:instrText>ADDIN CSL_CITATION { "citationItems" : [ { "id" : "ITEM-1", "itemData" : { "DOI" : "10.1111/1365-2656.12533", "ISBN" : "1365-2656 (Electronic)\\r0021-8790 (Linking)", "ISSN" : "13652656", "PMID" : "27084460", "abstract" : "1. Invasive species are a key driver of global environmental change, with frequently strong negative consequences for native biodiversity and ecosystem processes. Understanding com- petitive interactions between invaders and functionally similar native species provides an important benchmark for predicting the consequences of invasion. However, even though having a broad dietary niche is widely considered a key factor determining invasion success, little is known about the effects of competition with functionally similar native competitors on the dietary niche breadths of invasive species. 2. We used a combination of field experiments and field surveys to examine the impacts of competition with a functionally similar native crab species on the population densities, growth rates and diet of the globally widespread invasive red swamp crayfish in an African river ecosystem. 3. The presence of native crabs triggered significant dietary niche constriction within the inva- sive crayfish population. Further, growth rates of both species were reduced significantly, and by a similar extent, in the presence of one another. In spite of this, crayfish maintained posi- tive growth rates in the presence of crabs, whereas crabs lost mass in the presence of crayfish. Consequently, over the 3-year duration of the study, crab abundance declined at those sites invaded by the crayfish, becoming locally extinct at one. 4. The invasive crayfish had a dramatic effect on ecosystem structure and functioning, halv- ing benthic invertebrate densities and increasing decomposition rates fourfold compared to the crabs. This indicates that replacement of native crabs by invasive crayfish likely alters the structure and functioning of African river ecosystems significantly. 5. This study provides a novel example of the constriction of the dietary niche of a successful invasive population in the presence of competition from a functionally similar native species. This finding highlights the importance of considering both environmental and ecological contexts in order to predict and manage the impacts of invasive species on ecosystems.", "author" : [ { "dropping-particle" : "", "family" : "Jackson", "given" : "Michelle C.", "non-dropping-particle" : "", "parse-names" : false, "suffix" : "" }, { "dropping-particle" : "", "family" : "Grey", "given" : "Jonathan", "non-dropping-particle" : "", "parse-names" : false, "suffix" : "" }, { "dropping-particle" : "", "family" : "Miller", "given" : "Katie", "non-dropping-particle" : "", "parse-names" : false, "suffix" : "" }, { "dropping-particle" : "", "family" : "Britton", "given" : "J. Robert", "non-dropping-particle" : "", "parse-names" : false, "suffix" : "" }, { "dropping-particle" : "", "family" : "Donohue", "given" : "Ian", "non-dropping-particle" : "", "parse-names" : false, "suffix" : "" } ], "container-title" : "Journal of Animal Ecology", "id" : "ITEM-1", "issued" : { "date-parts" : [ [ "2016" ] ] }, "page" : "1098-1107", "title" : "Dietary niche constriction when invaders meet natives: Evidence from freshwater decapods", "type" : "article-journal" }, "uris" : [ "http://www.mendeley.com/documents/?uuid=4d1dad2a-af96-4ee7-a254-3fb10d7453b1" ] } ], "mendeley" : { "formattedCitation" : "(Jackson et al. 2016)", "plainTextFormattedCitation" : "(Jackson et al. 2016)", "previouslyFormattedCitation" : "(Jackson et al. 2016)" }, "properties" : { "noteIndex" : 0 }, "schema" : "https://github.com/citation-style-language/schema/raw/master/csl-citation.json" }</w:instrText>
            </w:r>
            <w:r w:rsidRPr="00ED3FD3">
              <w:rPr>
                <w:rFonts w:ascii="Times New Roman" w:hAnsi="Times New Roman" w:cs="Times New Roman"/>
                <w:sz w:val="20"/>
                <w:szCs w:val="20"/>
              </w:rPr>
              <w:fldChar w:fldCharType="separate"/>
            </w:r>
            <w:r w:rsidRPr="00ED3FD3">
              <w:rPr>
                <w:rFonts w:ascii="Times New Roman" w:hAnsi="Times New Roman" w:cs="Times New Roman"/>
                <w:sz w:val="20"/>
                <w:szCs w:val="20"/>
              </w:rPr>
              <w:t>(Mandivanzira et al. 2021)</w:t>
            </w:r>
            <w:r w:rsidRPr="00ED3FD3">
              <w:rPr>
                <w:rFonts w:ascii="Times New Roman" w:hAnsi="Times New Roman" w:cs="Times New Roman"/>
                <w:sz w:val="20"/>
                <w:szCs w:val="20"/>
              </w:rPr>
              <w:fldChar w:fldCharType="end"/>
            </w:r>
            <w:r w:rsidRPr="00ED3FD3">
              <w:rPr>
                <w:rFonts w:ascii="Times New Roman" w:hAnsi="Times New Roman" w:cs="Times New Roman"/>
                <w:i/>
                <w:iCs/>
                <w:sz w:val="20"/>
                <w:szCs w:val="20"/>
              </w:rPr>
              <w:t xml:space="preserve">. </w:t>
            </w:r>
            <w:r w:rsidRPr="00ED3FD3">
              <w:rPr>
                <w:rFonts w:ascii="Times New Roman" w:hAnsi="Times New Roman" w:cs="Times New Roman"/>
                <w:i/>
                <w:sz w:val="20"/>
                <w:szCs w:val="20"/>
              </w:rPr>
              <w:t>Pacifastacus leniusculus</w:t>
            </w:r>
            <w:r w:rsidRPr="00ED3FD3">
              <w:rPr>
                <w:rFonts w:ascii="Times New Roman" w:hAnsi="Times New Roman" w:cs="Times New Roman"/>
                <w:iCs/>
                <w:sz w:val="20"/>
                <w:szCs w:val="20"/>
              </w:rPr>
              <w:t xml:space="preserve"> </w:t>
            </w:r>
            <w:r w:rsidRPr="00ED3FD3">
              <w:rPr>
                <w:rFonts w:ascii="Times New Roman" w:hAnsi="Times New Roman" w:cs="Times New Roman"/>
                <w:sz w:val="20"/>
                <w:szCs w:val="20"/>
              </w:rPr>
              <w:t xml:space="preserve">is a vector for crayfish plague that caused population crashes of native crayfish species in Europe </w:t>
            </w:r>
            <w:r w:rsidRPr="00ED3FD3">
              <w:rPr>
                <w:rFonts w:ascii="Times New Roman" w:hAnsi="Times New Roman" w:cs="Times New Roman"/>
                <w:sz w:val="20"/>
                <w:szCs w:val="20"/>
              </w:rPr>
              <w:fldChar w:fldCharType="begin" w:fldLock="1"/>
            </w:r>
            <w:r w:rsidRPr="00ED3FD3">
              <w:rPr>
                <w:rFonts w:ascii="Times New Roman" w:hAnsi="Times New Roman" w:cs="Times New Roman"/>
                <w:sz w:val="20"/>
                <w:szCs w:val="20"/>
              </w:rPr>
              <w:instrText>ADDIN CSL_CITATION { "citationItems" : [ { "id" : "ITEM-1", "itemData" : { "DOI" : "10.3391/ai.2010.5.3.10", "author" : [ { "dropping-particle" : "", "family" : "Dana", "given" : "El\u00edas D", "non-dropping-particle" : "", "parse-names" : false, "suffix" : "" }, { "dropping-particle" : "", "family" : "L\u00f3pez-santiago", "given" : "Javier", "non-dropping-particle" : "", "parse-names" : false, "suffix" : "" }, { "dropping-particle" : "", "family" : "Garc\u00eda-de-lomas", "given" : "Juan", "non-dropping-particle" : "", "parse-names" : false, "suffix" : "" }, { "dropping-particle" : "", "family" : "Garc\u00eda-oca\u00f1a", "given" : "David M", "non-dropping-particle" : "", "parse-names" : false, "suffix" : "" }, { "dropping-particle" : "", "family" : "Ortega", "given" : "Fernando", "non-dropping-particle" : "", "parse-names" : false, "suffix" : "" } ], "id" : "ITEM-1", "issue" : "3", "issued" : { "date-parts" : [ [ "2010" ] ] }, "page" : "317-322", "title" : "Long-term management of the invasive Pacifastacus leniusculus ( Dana , 1852 ) in a small mountain stream", "type" : "article-journal", "volume" : "5" }, "uris" : [ "http://www.mendeley.com/documents/?uuid=809984f6-033c-4580-93af-e25fa9c1001e" ] } ], "mendeley" : { "formattedCitation" : "(Dana et al. 2010)", "manualFormatting" : "(Holdich and Reeves 1991, Dana et al. 2010)", "plainTextFormattedCitation" : "(Dana et al. 2010)", "previouslyFormattedCitation" : "(Dana et al. 2010)" }, "properties" : { "noteIndex" : 0 }, "schema" : "https://github.com/citation-style-language/schema/raw/master/csl-citation.json" }</w:instrText>
            </w:r>
            <w:r w:rsidRPr="00ED3FD3">
              <w:rPr>
                <w:rFonts w:ascii="Times New Roman" w:hAnsi="Times New Roman" w:cs="Times New Roman"/>
                <w:sz w:val="20"/>
                <w:szCs w:val="20"/>
              </w:rPr>
              <w:fldChar w:fldCharType="separate"/>
            </w:r>
            <w:r w:rsidRPr="00ED3FD3">
              <w:rPr>
                <w:rFonts w:ascii="Times New Roman" w:hAnsi="Times New Roman" w:cs="Times New Roman"/>
                <w:sz w:val="20"/>
                <w:szCs w:val="20"/>
              </w:rPr>
              <w:t>(Dana et al. 2010; Holdich &amp; Reeves 1991)</w:t>
            </w:r>
            <w:r w:rsidRPr="00ED3FD3">
              <w:rPr>
                <w:rFonts w:ascii="Times New Roman" w:hAnsi="Times New Roman" w:cs="Times New Roman"/>
                <w:sz w:val="20"/>
                <w:szCs w:val="20"/>
              </w:rPr>
              <w:fldChar w:fldCharType="end"/>
            </w:r>
            <w:r w:rsidRPr="00ED3FD3">
              <w:rPr>
                <w:rFonts w:ascii="Times New Roman" w:hAnsi="Times New Roman" w:cs="Times New Roman"/>
                <w:sz w:val="20"/>
                <w:szCs w:val="20"/>
              </w:rPr>
              <w:t xml:space="preserve">. Crayfish plague can affect other native freshwater decapods such as native potamonautid crabs (Svoboda et al. 2014). Furthermore, </w:t>
            </w:r>
            <w:r w:rsidRPr="00ED3FD3">
              <w:rPr>
                <w:rFonts w:ascii="Times New Roman" w:hAnsi="Times New Roman" w:cs="Times New Roman"/>
                <w:i/>
                <w:iCs/>
                <w:sz w:val="20"/>
                <w:szCs w:val="20"/>
              </w:rPr>
              <w:t xml:space="preserve">P. leniusculus </w:t>
            </w:r>
            <w:r w:rsidRPr="00ED3FD3">
              <w:rPr>
                <w:rFonts w:ascii="Times New Roman" w:hAnsi="Times New Roman" w:cs="Times New Roman"/>
                <w:sz w:val="20"/>
                <w:szCs w:val="20"/>
              </w:rPr>
              <w:t xml:space="preserve">is a facultative omnivore, and </w:t>
            </w:r>
            <w:r w:rsidRPr="00ED3FD3">
              <w:rPr>
                <w:rFonts w:ascii="Times New Roman" w:hAnsi="Times New Roman" w:cs="Times New Roman"/>
                <w:iCs/>
                <w:sz w:val="20"/>
                <w:szCs w:val="20"/>
              </w:rPr>
              <w:t xml:space="preserve">may </w:t>
            </w:r>
            <w:r w:rsidRPr="00ED3FD3">
              <w:rPr>
                <w:rFonts w:ascii="Times New Roman" w:hAnsi="Times New Roman" w:cs="Times New Roman"/>
                <w:sz w:val="20"/>
                <w:szCs w:val="20"/>
              </w:rPr>
              <w:t xml:space="preserve">cause negative impacts on macroinvertebrates and macrophyte communities (Dunn et al. 2009; Galib et al. 2021; Westman et al. 2002). In areas outside of its native range, </w:t>
            </w:r>
            <w:r w:rsidRPr="00ED3FD3">
              <w:rPr>
                <w:rFonts w:ascii="Times New Roman" w:hAnsi="Times New Roman" w:cs="Times New Roman"/>
                <w:i/>
                <w:iCs/>
                <w:sz w:val="20"/>
                <w:szCs w:val="20"/>
              </w:rPr>
              <w:t>P. leniusculus</w:t>
            </w:r>
            <w:r w:rsidRPr="00ED3FD3">
              <w:rPr>
                <w:rFonts w:ascii="Times New Roman" w:hAnsi="Times New Roman" w:cs="Times New Roman"/>
                <w:sz w:val="20"/>
                <w:szCs w:val="20"/>
              </w:rPr>
              <w:t xml:space="preserve"> constructs burrows which can weaken riverbanks and dam walls, changing their bank geomorphology, leading to erosion </w:t>
            </w:r>
            <w:r w:rsidRPr="00ED3FD3">
              <w:rPr>
                <w:rFonts w:ascii="Times New Roman" w:hAnsi="Times New Roman" w:cs="Times New Roman"/>
                <w:sz w:val="20"/>
                <w:szCs w:val="20"/>
              </w:rPr>
              <w:fldChar w:fldCharType="begin" w:fldLock="1"/>
            </w:r>
            <w:r w:rsidRPr="00ED3FD3">
              <w:rPr>
                <w:rFonts w:ascii="Times New Roman" w:hAnsi="Times New Roman" w:cs="Times New Roman"/>
                <w:sz w:val="20"/>
                <w:szCs w:val="20"/>
              </w:rPr>
              <w:instrText>ADDIN CSL_CITATION { "citationItems" : [ { "id" : "ITEM-1", "itemData" : { "author" : [ { "dropping-particle" : "", "family" : "Guan", "given" : "R.Z", "non-dropping-particle" : "", "parse-names" : false, "suffix" : "" } ], "container-title" : "Freshwater Forum", "id" : "ITEM-1", "issued" : { "date-parts" : [ [ "2010" ] ] }, "title" : "Burrowing behaviour of signal crayfish, Pacifastacus leniusculus (Dana) in the River Great Ouse, England.", "type" : "article-journal", "volume" : "4" }, "uris" : [ "http://www.mendeley.com/documents/?uuid=6fba3026-a6bc-4e1a-9fd4-6dbdf31ee24f" ] } ], "mendeley" : { "formattedCitation" : "(Guan 2010)", "plainTextFormattedCitation" : "(Guan 2010)", "previouslyFormattedCitation" : "(Guan 2010)" }, "properties" : { "noteIndex" : 0 }, "schema" : "https://github.com/citation-style-language/schema/raw/master/csl-citation.json" }</w:instrText>
            </w:r>
            <w:r w:rsidRPr="00ED3FD3">
              <w:rPr>
                <w:rFonts w:ascii="Times New Roman" w:hAnsi="Times New Roman" w:cs="Times New Roman"/>
                <w:sz w:val="20"/>
                <w:szCs w:val="20"/>
              </w:rPr>
              <w:fldChar w:fldCharType="separate"/>
            </w:r>
            <w:r w:rsidRPr="00ED3FD3">
              <w:rPr>
                <w:rFonts w:ascii="Times New Roman" w:hAnsi="Times New Roman" w:cs="Times New Roman"/>
                <w:sz w:val="20"/>
                <w:szCs w:val="20"/>
              </w:rPr>
              <w:t>(Guan 1994)</w:t>
            </w:r>
            <w:r w:rsidRPr="00ED3FD3">
              <w:rPr>
                <w:rFonts w:ascii="Times New Roman" w:hAnsi="Times New Roman" w:cs="Times New Roman"/>
                <w:sz w:val="20"/>
                <w:szCs w:val="20"/>
              </w:rPr>
              <w:fldChar w:fldCharType="end"/>
            </w:r>
            <w:r w:rsidRPr="00ED3FD3">
              <w:rPr>
                <w:rFonts w:ascii="Times New Roman" w:hAnsi="Times New Roman" w:cs="Times New Roman"/>
                <w:sz w:val="20"/>
                <w:szCs w:val="20"/>
              </w:rPr>
              <w:t xml:space="preserve">. </w:t>
            </w:r>
          </w:p>
        </w:tc>
      </w:tr>
      <w:tr w:rsidR="002D7080" w:rsidRPr="00ED3FD3" w14:paraId="1B58EC30" w14:textId="77777777" w:rsidTr="002E2C37">
        <w:trPr>
          <w:trHeight w:val="70"/>
        </w:trPr>
        <w:tc>
          <w:tcPr>
            <w:tcW w:w="9016" w:type="dxa"/>
            <w:gridSpan w:val="2"/>
          </w:tcPr>
          <w:p w14:paraId="049A3D71" w14:textId="77777777" w:rsidR="002D7080" w:rsidRPr="00ED3FD3" w:rsidRDefault="002D7080" w:rsidP="002E2C37">
            <w:pPr>
              <w:rPr>
                <w:rFonts w:ascii="Times New Roman" w:hAnsi="Times New Roman" w:cs="Times New Roman"/>
                <w:sz w:val="20"/>
                <w:szCs w:val="20"/>
              </w:rPr>
            </w:pPr>
            <w:r w:rsidRPr="00ED3FD3">
              <w:rPr>
                <w:rFonts w:ascii="Times New Roman" w:hAnsi="Times New Roman" w:cs="Times New Roman"/>
                <w:sz w:val="20"/>
                <w:szCs w:val="20"/>
              </w:rPr>
              <w:t>References:</w:t>
            </w:r>
          </w:p>
          <w:p w14:paraId="2C33BB1E" w14:textId="77777777" w:rsidR="002D7080" w:rsidRPr="00ED3FD3" w:rsidRDefault="002D7080" w:rsidP="008A0BC6">
            <w:pPr>
              <w:ind w:left="703" w:hanging="703"/>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Dana, E.D., López-Santiago J., García-de-Lomas, J., García-Ocaña, D.M., Gámez, V. &amp; Ortega, F., 2010, ‘Long-term management of the invasive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(Dana, 1852) in a small mountain stream’, </w:t>
            </w:r>
            <w:r w:rsidRPr="00ED3FD3">
              <w:rPr>
                <w:rFonts w:ascii="Times New Roman" w:eastAsia="Times New Roman" w:hAnsi="Times New Roman" w:cs="Times New Roman"/>
                <w:i/>
                <w:iCs/>
                <w:sz w:val="20"/>
                <w:szCs w:val="20"/>
                <w:lang w:eastAsia="en-ZA"/>
              </w:rPr>
              <w:t>Aquatic Invasions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5</w:t>
            </w:r>
            <w:r w:rsidRPr="00ED3FD3">
              <w:rPr>
                <w:rFonts w:ascii="Times New Roman" w:eastAsia="Times New Roman" w:hAnsi="Times New Roman" w:cs="Times New Roman"/>
                <w:sz w:val="20"/>
                <w:szCs w:val="20"/>
                <w:lang w:eastAsia="en-ZA"/>
              </w:rPr>
              <w:t xml:space="preserve"> 317–322. https://doi.org/10.3391/ai.2010.5.3.10.</w:t>
            </w:r>
          </w:p>
          <w:p w14:paraId="579E4809" w14:textId="77777777" w:rsidR="002D7080" w:rsidRPr="00ED3FD3" w:rsidRDefault="002D7080" w:rsidP="008A0BC6">
            <w:pPr>
              <w:ind w:left="703" w:hanging="703"/>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Dunn, J.C, McClymont, H.E., Christmas, M. &amp; Dunn, A.M., 2009, Competition and parasitism in the native white clawed crayfish </w:t>
            </w:r>
            <w:r w:rsidRPr="00ED3FD3">
              <w:rPr>
                <w:rFonts w:ascii="Times New Roman" w:eastAsia="Times New Roman" w:hAnsi="Times New Roman" w:cs="Times New Roman"/>
                <w:i/>
                <w:sz w:val="20"/>
                <w:szCs w:val="20"/>
                <w:lang w:eastAsia="en-ZA"/>
              </w:rPr>
              <w:t>Austropotamobius pallipes</w:t>
            </w:r>
            <w:r w:rsidRPr="00ED3FD3">
              <w:rPr>
                <w:rFonts w:ascii="Times New Roman" w:eastAsia="Times New Roman" w:hAnsi="Times New Roman" w:cs="Times New Roman"/>
                <w:sz w:val="20"/>
                <w:szCs w:val="20"/>
                <w:lang w:eastAsia="en-ZA"/>
              </w:rPr>
              <w:t xml:space="preserve"> and the invasive signal crayfish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in the UK, </w:t>
            </w:r>
            <w:r w:rsidRPr="00ED3FD3">
              <w:rPr>
                <w:rFonts w:ascii="Times New Roman" w:eastAsia="Times New Roman" w:hAnsi="Times New Roman" w:cs="Times New Roman"/>
                <w:i/>
                <w:iCs/>
                <w:sz w:val="20"/>
                <w:szCs w:val="20"/>
                <w:lang w:eastAsia="en-ZA"/>
              </w:rPr>
              <w:t>Biological Invasions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11</w:t>
            </w:r>
            <w:r w:rsidRPr="00ED3FD3">
              <w:rPr>
                <w:rFonts w:ascii="Times New Roman" w:eastAsia="Times New Roman" w:hAnsi="Times New Roman" w:cs="Times New Roman"/>
                <w:sz w:val="20"/>
                <w:szCs w:val="20"/>
                <w:lang w:eastAsia="en-ZA"/>
              </w:rPr>
              <w:t>, 315–324. https://doi.org/10.1007/s10530-008-9249-7.</w:t>
            </w:r>
          </w:p>
          <w:p w14:paraId="6E3E6ED0" w14:textId="77777777" w:rsidR="002D7080" w:rsidRPr="00ED3FD3" w:rsidRDefault="002D7080" w:rsidP="008A0BC6">
            <w:pPr>
              <w:ind w:left="703" w:hanging="703"/>
              <w:contextualSpacing/>
              <w:jc w:val="both"/>
              <w:rPr>
                <w:rStyle w:val="Hyperlink"/>
                <w:rFonts w:ascii="Times New Roman" w:hAnsi="Times New Roman" w:cs="Times New Roman"/>
                <w:sz w:val="20"/>
                <w:szCs w:val="20"/>
                <w:shd w:val="clear" w:color="auto" w:fill="FFFFFF"/>
              </w:rPr>
            </w:pPr>
            <w:r w:rsidRPr="00ED3FD3">
              <w:rPr>
                <w:rStyle w:val="author"/>
                <w:rFonts w:ascii="Times New Roman" w:hAnsi="Times New Roman" w:cs="Times New Roman"/>
                <w:color w:val="1C1D1E"/>
                <w:sz w:val="20"/>
                <w:szCs w:val="20"/>
                <w:shd w:val="clear" w:color="auto" w:fill="FFFFFF"/>
              </w:rPr>
              <w:t>Galib, S.M.</w:t>
            </w:r>
            <w:r w:rsidRPr="00ED3FD3">
              <w:rPr>
                <w:rFonts w:ascii="Times New Roman" w:hAnsi="Times New Roman" w:cs="Times New Roman"/>
                <w:color w:val="1C1D1E"/>
                <w:sz w:val="20"/>
                <w:szCs w:val="20"/>
                <w:shd w:val="clear" w:color="auto" w:fill="FFFFFF"/>
              </w:rPr>
              <w:t>, </w:t>
            </w:r>
            <w:r w:rsidRPr="00ED3FD3">
              <w:rPr>
                <w:rStyle w:val="author"/>
                <w:rFonts w:ascii="Times New Roman" w:hAnsi="Times New Roman" w:cs="Times New Roman"/>
                <w:color w:val="1C1D1E"/>
                <w:sz w:val="20"/>
                <w:szCs w:val="20"/>
                <w:shd w:val="clear" w:color="auto" w:fill="FFFFFF"/>
              </w:rPr>
              <w:t>Findlay, J.S.</w:t>
            </w:r>
            <w:r w:rsidRPr="00ED3FD3">
              <w:rPr>
                <w:rFonts w:ascii="Times New Roman" w:hAnsi="Times New Roman" w:cs="Times New Roman"/>
                <w:color w:val="1C1D1E"/>
                <w:sz w:val="20"/>
                <w:szCs w:val="20"/>
                <w:shd w:val="clear" w:color="auto" w:fill="FFFFFF"/>
              </w:rPr>
              <w:t>, </w:t>
            </w:r>
            <w:r w:rsidRPr="00ED3FD3">
              <w:rPr>
                <w:rStyle w:val="author"/>
                <w:rFonts w:ascii="Times New Roman" w:hAnsi="Times New Roman" w:cs="Times New Roman"/>
                <w:color w:val="1C1D1E"/>
                <w:sz w:val="20"/>
                <w:szCs w:val="20"/>
                <w:shd w:val="clear" w:color="auto" w:fill="FFFFFF"/>
              </w:rPr>
              <w:t>Lucas, M.C</w:t>
            </w:r>
            <w:r w:rsidRPr="00ED3FD3">
              <w:rPr>
                <w:rFonts w:ascii="Times New Roman" w:hAnsi="Times New Roman" w:cs="Times New Roman"/>
                <w:color w:val="1C1D1E"/>
                <w:sz w:val="20"/>
                <w:szCs w:val="20"/>
                <w:shd w:val="clear" w:color="auto" w:fill="FFFFFF"/>
              </w:rPr>
              <w:t>. 2021, ‘</w:t>
            </w:r>
            <w:r w:rsidRPr="00ED3FD3">
              <w:rPr>
                <w:rStyle w:val="articletitle"/>
                <w:rFonts w:ascii="Times New Roman" w:hAnsi="Times New Roman" w:cs="Times New Roman"/>
                <w:color w:val="1C1D1E"/>
                <w:sz w:val="20"/>
                <w:szCs w:val="20"/>
                <w:shd w:val="clear" w:color="auto" w:fill="FFFFFF"/>
              </w:rPr>
              <w:t>Strong impacts of signal crayfish invasion on upland stream fish and invertebrate communities’,</w:t>
            </w:r>
            <w:r w:rsidRPr="00ED3FD3">
              <w:rPr>
                <w:rFonts w:ascii="Times New Roman" w:hAnsi="Times New Roman" w:cs="Times New Roman"/>
                <w:color w:val="1C1D1E"/>
                <w:sz w:val="20"/>
                <w:szCs w:val="20"/>
                <w:shd w:val="clear" w:color="auto" w:fill="FFFFFF"/>
              </w:rPr>
              <w:t> </w:t>
            </w:r>
            <w:r w:rsidRPr="00ED3FD3">
              <w:rPr>
                <w:rFonts w:ascii="Times New Roman" w:hAnsi="Times New Roman" w:cs="Times New Roman"/>
                <w:i/>
                <w:iCs/>
                <w:color w:val="1C1D1E"/>
                <w:sz w:val="20"/>
                <w:szCs w:val="20"/>
                <w:shd w:val="clear" w:color="auto" w:fill="FFFFFF"/>
              </w:rPr>
              <w:t xml:space="preserve">Freshwater Biology </w:t>
            </w:r>
            <w:r w:rsidRPr="00ED3FD3">
              <w:rPr>
                <w:rStyle w:val="vol"/>
                <w:rFonts w:ascii="Times New Roman" w:hAnsi="Times New Roman" w:cs="Times New Roman"/>
                <w:color w:val="1C1D1E"/>
                <w:sz w:val="20"/>
                <w:szCs w:val="20"/>
                <w:shd w:val="clear" w:color="auto" w:fill="FFFFFF"/>
              </w:rPr>
              <w:t>66,</w:t>
            </w:r>
            <w:r w:rsidRPr="00ED3FD3">
              <w:rPr>
                <w:rFonts w:ascii="Times New Roman" w:hAnsi="Times New Roman" w:cs="Times New Roman"/>
                <w:color w:val="1C1D1E"/>
                <w:sz w:val="20"/>
                <w:szCs w:val="20"/>
                <w:shd w:val="clear" w:color="auto" w:fill="FFFFFF"/>
              </w:rPr>
              <w:t> </w:t>
            </w:r>
            <w:r w:rsidRPr="00ED3FD3">
              <w:rPr>
                <w:rStyle w:val="pagefirst"/>
                <w:rFonts w:ascii="Times New Roman" w:hAnsi="Times New Roman" w:cs="Times New Roman"/>
                <w:color w:val="1C1D1E"/>
                <w:sz w:val="20"/>
                <w:szCs w:val="20"/>
                <w:shd w:val="clear" w:color="auto" w:fill="FFFFFF"/>
              </w:rPr>
              <w:t>223</w:t>
            </w:r>
            <w:r w:rsidRPr="00ED3FD3">
              <w:rPr>
                <w:rFonts w:ascii="Times New Roman" w:hAnsi="Times New Roman" w:cs="Times New Roman"/>
                <w:color w:val="1C1D1E"/>
                <w:sz w:val="20"/>
                <w:szCs w:val="20"/>
                <w:shd w:val="clear" w:color="auto" w:fill="FFFFFF"/>
              </w:rPr>
              <w:t>–</w:t>
            </w:r>
            <w:r w:rsidRPr="00ED3FD3">
              <w:rPr>
                <w:rStyle w:val="pagelast"/>
                <w:rFonts w:ascii="Times New Roman" w:hAnsi="Times New Roman" w:cs="Times New Roman"/>
                <w:color w:val="1C1D1E"/>
                <w:sz w:val="20"/>
                <w:szCs w:val="20"/>
                <w:shd w:val="clear" w:color="auto" w:fill="FFFFFF"/>
              </w:rPr>
              <w:t>240</w:t>
            </w:r>
            <w:r w:rsidRPr="00ED3FD3">
              <w:rPr>
                <w:rFonts w:ascii="Times New Roman" w:hAnsi="Times New Roman" w:cs="Times New Roman"/>
                <w:color w:val="1C1D1E"/>
                <w:sz w:val="20"/>
                <w:szCs w:val="20"/>
                <w:shd w:val="clear" w:color="auto" w:fill="FFFFFF"/>
              </w:rPr>
              <w:t>. </w:t>
            </w:r>
            <w:hyperlink w:history="1">
              <w:r w:rsidRPr="00ED3FD3">
                <w:rPr>
                  <w:rStyle w:val="Hyperlink"/>
                  <w:rFonts w:ascii="Times New Roman" w:hAnsi="Times New Roman" w:cs="Times New Roman"/>
                  <w:sz w:val="20"/>
                  <w:szCs w:val="20"/>
                  <w:shd w:val="clear" w:color="auto" w:fill="FFFFFF"/>
                </w:rPr>
                <w:t>https://doi.org/10.1111/fwb.13631</w:t>
              </w:r>
            </w:hyperlink>
          </w:p>
          <w:p w14:paraId="6C2E10D4" w14:textId="77777777" w:rsidR="002D7080" w:rsidRPr="00ED3FD3" w:rsidRDefault="002D7080" w:rsidP="008A0BC6">
            <w:pPr>
              <w:ind w:left="703" w:hanging="703"/>
              <w:contextualSpacing/>
              <w:jc w:val="both"/>
              <w:rPr>
                <w:rFonts w:ascii="Times New Roman" w:hAnsi="Times New Roman" w:cs="Times New Roman"/>
                <w:sz w:val="20"/>
                <w:szCs w:val="20"/>
              </w:rPr>
            </w:pPr>
            <w:r w:rsidRPr="00ED3FD3">
              <w:rPr>
                <w:rFonts w:ascii="Times New Roman" w:hAnsi="Times New Roman" w:cs="Times New Roman"/>
                <w:sz w:val="20"/>
                <w:szCs w:val="20"/>
              </w:rPr>
              <w:t xml:space="preserve">Guan, R.Z., 1994, ‘Burrowing behaviour of signal crayfish, </w:t>
            </w:r>
            <w:r w:rsidRPr="00ED3FD3">
              <w:rPr>
                <w:rFonts w:ascii="Times New Roman" w:hAnsi="Times New Roman" w:cs="Times New Roman"/>
                <w:i/>
                <w:iCs/>
                <w:sz w:val="20"/>
                <w:szCs w:val="20"/>
              </w:rPr>
              <w:t>Pacifastacus leniusculus</w:t>
            </w:r>
            <w:r w:rsidRPr="00ED3FD3">
              <w:rPr>
                <w:rFonts w:ascii="Times New Roman" w:hAnsi="Times New Roman" w:cs="Times New Roman"/>
                <w:sz w:val="20"/>
                <w:szCs w:val="20"/>
              </w:rPr>
              <w:t xml:space="preserve"> (Dana) in the River Great Ouse, England’, </w:t>
            </w:r>
            <w:r w:rsidRPr="001F13A6">
              <w:rPr>
                <w:rFonts w:ascii="Times New Roman" w:hAnsi="Times New Roman" w:cs="Times New Roman"/>
                <w:i/>
                <w:iCs/>
                <w:color w:val="000000" w:themeColor="text1"/>
                <w:sz w:val="20"/>
                <w:szCs w:val="20"/>
              </w:rPr>
              <w:t xml:space="preserve">Freshwater Forum </w:t>
            </w:r>
            <w:r w:rsidRPr="001F13A6">
              <w:rPr>
                <w:rFonts w:ascii="Times New Roman" w:hAnsi="Times New Roman" w:cs="Times New Roman"/>
                <w:color w:val="000000" w:themeColor="text1"/>
                <w:sz w:val="20"/>
                <w:szCs w:val="20"/>
              </w:rPr>
              <w:t>4,155–168</w:t>
            </w:r>
            <w:r w:rsidRPr="00ED3FD3">
              <w:rPr>
                <w:rFonts w:ascii="Times New Roman" w:hAnsi="Times New Roman" w:cs="Times New Roman"/>
                <w:sz w:val="20"/>
                <w:szCs w:val="20"/>
              </w:rPr>
              <w:t>.</w:t>
            </w:r>
          </w:p>
          <w:p w14:paraId="3E488B2E" w14:textId="77777777" w:rsidR="002D7080" w:rsidRPr="00ED3FD3" w:rsidRDefault="002D7080" w:rsidP="008A0BC6">
            <w:pPr>
              <w:ind w:left="703" w:hanging="703"/>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Holdich, D.M. &amp; Reeve, I.D., 1991, ‘Distribution of freshwater crayfish in the British Isles, with particular reference to crayfish plague, alien introductions and water quality’, </w:t>
            </w:r>
            <w:r w:rsidRPr="00ED3FD3">
              <w:rPr>
                <w:rFonts w:ascii="Times New Roman" w:eastAsia="Times New Roman" w:hAnsi="Times New Roman" w:cs="Times New Roman"/>
                <w:i/>
                <w:iCs/>
                <w:sz w:val="20"/>
                <w:szCs w:val="20"/>
                <w:lang w:eastAsia="en-ZA"/>
              </w:rPr>
              <w:t xml:space="preserve">Aquatic Conservation: </w:t>
            </w:r>
            <w:r w:rsidRPr="00ED3FD3">
              <w:rPr>
                <w:rFonts w:ascii="Times New Roman" w:eastAsia="Times New Roman" w:hAnsi="Times New Roman" w:cs="Times New Roman"/>
                <w:i/>
                <w:iCs/>
                <w:sz w:val="20"/>
                <w:szCs w:val="20"/>
                <w:lang w:eastAsia="en-ZA"/>
              </w:rPr>
              <w:tab/>
              <w:t>Marine and Freshwater Ecosystems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1</w:t>
            </w:r>
            <w:r w:rsidRPr="00ED3FD3">
              <w:rPr>
                <w:rFonts w:ascii="Times New Roman" w:eastAsia="Times New Roman" w:hAnsi="Times New Roman" w:cs="Times New Roman"/>
                <w:sz w:val="20"/>
                <w:szCs w:val="20"/>
                <w:lang w:eastAsia="en-ZA"/>
              </w:rPr>
              <w:t xml:space="preserve">, 139–158. </w:t>
            </w:r>
            <w:hyperlink w:history="1">
              <w:r w:rsidRPr="00ED3FD3">
                <w:rPr>
                  <w:rStyle w:val="Hyperlink"/>
                  <w:rFonts w:ascii="Times New Roman" w:eastAsia="Times New Roman" w:hAnsi="Times New Roman" w:cs="Times New Roman"/>
                  <w:sz w:val="20"/>
                  <w:szCs w:val="20"/>
                  <w:lang w:eastAsia="en-ZA"/>
                </w:rPr>
                <w:t>https://doi.org/10.1002/aqc.3270010204</w:t>
              </w:r>
            </w:hyperlink>
            <w:r w:rsidRPr="00ED3FD3">
              <w:rPr>
                <w:rFonts w:ascii="Times New Roman" w:eastAsia="Times New Roman" w:hAnsi="Times New Roman" w:cs="Times New Roman"/>
                <w:sz w:val="20"/>
                <w:szCs w:val="20"/>
                <w:lang w:eastAsia="en-ZA"/>
              </w:rPr>
              <w:t>.</w:t>
            </w:r>
          </w:p>
          <w:p w14:paraId="0010286D" w14:textId="76FE4961" w:rsidR="002D7080" w:rsidRPr="00ED3FD3" w:rsidRDefault="002D7080" w:rsidP="008A0BC6">
            <w:pPr>
              <w:ind w:left="703" w:hanging="703"/>
              <w:contextualSpacing/>
              <w:jc w:val="both"/>
              <w:rPr>
                <w:rFonts w:ascii="Times New Roman" w:hAnsi="Times New Roman" w:cs="Times New Roman"/>
                <w:sz w:val="20"/>
                <w:szCs w:val="20"/>
              </w:rPr>
            </w:pPr>
            <w:r w:rsidRPr="00ED3FD3">
              <w:rPr>
                <w:rFonts w:ascii="Times New Roman" w:hAnsi="Times New Roman" w:cs="Times New Roman"/>
                <w:sz w:val="20"/>
                <w:szCs w:val="20"/>
              </w:rPr>
              <w:t xml:space="preserve">Huber, M.G. &amp; Schubart, C.D., 2005, ‘Distribution and reproductive biology of </w:t>
            </w:r>
            <w:r w:rsidRPr="00ED3FD3">
              <w:rPr>
                <w:rFonts w:ascii="Times New Roman" w:hAnsi="Times New Roman" w:cs="Times New Roman"/>
                <w:i/>
                <w:iCs/>
                <w:sz w:val="20"/>
                <w:szCs w:val="20"/>
              </w:rPr>
              <w:t xml:space="preserve">Austropotamobius torrentium </w:t>
            </w:r>
            <w:r w:rsidRPr="00ED3FD3">
              <w:rPr>
                <w:rFonts w:ascii="Times New Roman" w:hAnsi="Times New Roman" w:cs="Times New Roman"/>
                <w:sz w:val="20"/>
                <w:szCs w:val="20"/>
              </w:rPr>
              <w:t xml:space="preserve">in Bavaria and documentation of a contact zone with the alien crayfish </w:t>
            </w:r>
            <w:r w:rsidRPr="00ED3FD3">
              <w:rPr>
                <w:rFonts w:ascii="Times New Roman" w:hAnsi="Times New Roman" w:cs="Times New Roman"/>
                <w:i/>
                <w:sz w:val="20"/>
                <w:szCs w:val="20"/>
              </w:rPr>
              <w:t>Pacifastacus leniusculus</w:t>
            </w:r>
            <w:r w:rsidRPr="00ED3FD3">
              <w:rPr>
                <w:rFonts w:ascii="Times New Roman" w:hAnsi="Times New Roman" w:cs="Times New Roman"/>
                <w:sz w:val="20"/>
                <w:szCs w:val="20"/>
              </w:rPr>
              <w:t xml:space="preserve">’, </w:t>
            </w:r>
            <w:r w:rsidRPr="00ED3FD3">
              <w:rPr>
                <w:rFonts w:ascii="Times New Roman" w:hAnsi="Times New Roman" w:cs="Times New Roman"/>
                <w:i/>
                <w:iCs/>
                <w:sz w:val="20"/>
                <w:szCs w:val="20"/>
              </w:rPr>
              <w:t>Bulletin Français de la Pêche et de la Pisciculture</w:t>
            </w:r>
            <w:r w:rsidRPr="00ED3FD3">
              <w:rPr>
                <w:rFonts w:ascii="Times New Roman" w:hAnsi="Times New Roman" w:cs="Times New Roman"/>
                <w:sz w:val="20"/>
                <w:szCs w:val="20"/>
              </w:rPr>
              <w:t xml:space="preserve"> 376,759–776. </w:t>
            </w:r>
            <w:r w:rsidR="00C87A44" w:rsidRPr="00D704ED">
              <w:rPr>
                <w:rFonts w:ascii="Times New Roman" w:hAnsi="Times New Roman" w:cs="Times New Roman"/>
                <w:sz w:val="20"/>
                <w:szCs w:val="20"/>
              </w:rPr>
              <w:t>https://doi.org/10.1051/kmae:2005031</w:t>
            </w:r>
          </w:p>
          <w:p w14:paraId="06EB805E" w14:textId="77777777" w:rsidR="002D7080" w:rsidRPr="00ED3FD3" w:rsidRDefault="002D7080" w:rsidP="008A0BC6">
            <w:pPr>
              <w:ind w:left="703" w:hanging="703"/>
              <w:contextualSpacing/>
              <w:jc w:val="both"/>
              <w:rPr>
                <w:rFonts w:ascii="Times New Roman" w:eastAsia="Times New Roman" w:hAnsi="Times New Roman" w:cs="Times New Roman"/>
                <w:bCs/>
                <w:sz w:val="20"/>
                <w:szCs w:val="20"/>
                <w:lang w:eastAsia="en-ZA"/>
              </w:rPr>
            </w:pPr>
            <w:r w:rsidRPr="00ED3FD3">
              <w:rPr>
                <w:rStyle w:val="author"/>
                <w:rFonts w:ascii="Times New Roman" w:hAnsi="Times New Roman" w:cs="Times New Roman"/>
                <w:color w:val="1C1D1E"/>
                <w:sz w:val="20"/>
                <w:szCs w:val="20"/>
                <w:shd w:val="clear" w:color="auto" w:fill="FFFFFF"/>
              </w:rPr>
              <w:t>Madzivanzira, TC</w:t>
            </w:r>
            <w:r w:rsidRPr="00ED3FD3">
              <w:rPr>
                <w:rFonts w:ascii="Times New Roman" w:hAnsi="Times New Roman" w:cs="Times New Roman"/>
                <w:color w:val="1C1D1E"/>
                <w:sz w:val="20"/>
                <w:szCs w:val="20"/>
                <w:shd w:val="clear" w:color="auto" w:fill="FFFFFF"/>
              </w:rPr>
              <w:t>, </w:t>
            </w:r>
            <w:r w:rsidRPr="00ED3FD3">
              <w:rPr>
                <w:rStyle w:val="author"/>
                <w:rFonts w:ascii="Times New Roman" w:hAnsi="Times New Roman" w:cs="Times New Roman"/>
                <w:color w:val="1C1D1E"/>
                <w:sz w:val="20"/>
                <w:szCs w:val="20"/>
                <w:shd w:val="clear" w:color="auto" w:fill="FFFFFF"/>
              </w:rPr>
              <w:t>South, J</w:t>
            </w:r>
            <w:r w:rsidRPr="00ED3FD3">
              <w:rPr>
                <w:rFonts w:ascii="Times New Roman" w:hAnsi="Times New Roman" w:cs="Times New Roman"/>
                <w:color w:val="1C1D1E"/>
                <w:sz w:val="20"/>
                <w:szCs w:val="20"/>
                <w:shd w:val="clear" w:color="auto" w:fill="FFFFFF"/>
              </w:rPr>
              <w:t>, </w:t>
            </w:r>
            <w:r w:rsidRPr="00ED3FD3">
              <w:rPr>
                <w:rStyle w:val="author"/>
                <w:rFonts w:ascii="Times New Roman" w:hAnsi="Times New Roman" w:cs="Times New Roman"/>
                <w:color w:val="1C1D1E"/>
                <w:sz w:val="20"/>
                <w:szCs w:val="20"/>
                <w:shd w:val="clear" w:color="auto" w:fill="FFFFFF"/>
              </w:rPr>
              <w:t>Weyl, OLF</w:t>
            </w:r>
            <w:r w:rsidRPr="00ED3FD3">
              <w:rPr>
                <w:rFonts w:ascii="Times New Roman" w:hAnsi="Times New Roman" w:cs="Times New Roman"/>
                <w:color w:val="1C1D1E"/>
                <w:sz w:val="20"/>
                <w:szCs w:val="20"/>
                <w:shd w:val="clear" w:color="auto" w:fill="FFFFFF"/>
              </w:rPr>
              <w:t>. 2021, ‘</w:t>
            </w:r>
            <w:r w:rsidRPr="00ED3FD3">
              <w:rPr>
                <w:rStyle w:val="articletitle"/>
                <w:rFonts w:ascii="Times New Roman" w:hAnsi="Times New Roman" w:cs="Times New Roman"/>
                <w:color w:val="1C1D1E"/>
                <w:sz w:val="20"/>
                <w:szCs w:val="20"/>
                <w:shd w:val="clear" w:color="auto" w:fill="FFFFFF"/>
              </w:rPr>
              <w:t>Invasive crayfish outperform Potamonautid crabs at higher temperatures’,</w:t>
            </w:r>
            <w:r w:rsidRPr="00ED3FD3">
              <w:rPr>
                <w:rFonts w:ascii="Times New Roman" w:hAnsi="Times New Roman" w:cs="Times New Roman"/>
                <w:color w:val="1C1D1E"/>
                <w:sz w:val="20"/>
                <w:szCs w:val="20"/>
                <w:shd w:val="clear" w:color="auto" w:fill="FFFFFF"/>
              </w:rPr>
              <w:t> </w:t>
            </w:r>
            <w:r w:rsidRPr="00ED3FD3">
              <w:rPr>
                <w:rFonts w:ascii="Times New Roman" w:hAnsi="Times New Roman" w:cs="Times New Roman"/>
                <w:i/>
                <w:iCs/>
                <w:color w:val="1C1D1E"/>
                <w:sz w:val="20"/>
                <w:szCs w:val="20"/>
                <w:shd w:val="clear" w:color="auto" w:fill="FFFFFF"/>
              </w:rPr>
              <w:t>Freshwater Biology</w:t>
            </w:r>
            <w:r w:rsidRPr="00ED3FD3">
              <w:rPr>
                <w:rFonts w:ascii="Times New Roman" w:hAnsi="Times New Roman" w:cs="Times New Roman"/>
                <w:color w:val="1C1D1E"/>
                <w:sz w:val="20"/>
                <w:szCs w:val="20"/>
                <w:shd w:val="clear" w:color="auto" w:fill="FFFFFF"/>
              </w:rPr>
              <w:t> </w:t>
            </w:r>
            <w:r w:rsidRPr="00ED3FD3">
              <w:rPr>
                <w:rStyle w:val="vol"/>
                <w:rFonts w:ascii="Times New Roman" w:hAnsi="Times New Roman" w:cs="Times New Roman"/>
                <w:color w:val="1C1D1E"/>
                <w:sz w:val="20"/>
                <w:szCs w:val="20"/>
                <w:shd w:val="clear" w:color="auto" w:fill="FFFFFF"/>
              </w:rPr>
              <w:t>66,</w:t>
            </w:r>
            <w:r w:rsidRPr="00ED3FD3">
              <w:rPr>
                <w:rFonts w:ascii="Times New Roman" w:hAnsi="Times New Roman" w:cs="Times New Roman"/>
                <w:color w:val="1C1D1E"/>
                <w:sz w:val="20"/>
                <w:szCs w:val="20"/>
                <w:shd w:val="clear" w:color="auto" w:fill="FFFFFF"/>
              </w:rPr>
              <w:t> </w:t>
            </w:r>
            <w:r w:rsidRPr="00ED3FD3">
              <w:rPr>
                <w:rStyle w:val="pagefirst"/>
                <w:rFonts w:ascii="Times New Roman" w:hAnsi="Times New Roman" w:cs="Times New Roman"/>
                <w:color w:val="1C1D1E"/>
                <w:sz w:val="20"/>
                <w:szCs w:val="20"/>
                <w:shd w:val="clear" w:color="auto" w:fill="FFFFFF"/>
              </w:rPr>
              <w:t>978</w:t>
            </w:r>
            <w:r w:rsidRPr="00ED3FD3">
              <w:rPr>
                <w:rFonts w:ascii="Times New Roman" w:hAnsi="Times New Roman" w:cs="Times New Roman"/>
                <w:color w:val="1C1D1E"/>
                <w:sz w:val="20"/>
                <w:szCs w:val="20"/>
                <w:shd w:val="clear" w:color="auto" w:fill="FFFFFF"/>
              </w:rPr>
              <w:t>–</w:t>
            </w:r>
            <w:r w:rsidRPr="00ED3FD3">
              <w:rPr>
                <w:rStyle w:val="pagelast"/>
                <w:rFonts w:ascii="Times New Roman" w:hAnsi="Times New Roman" w:cs="Times New Roman"/>
                <w:color w:val="1C1D1E"/>
                <w:sz w:val="20"/>
                <w:szCs w:val="20"/>
                <w:shd w:val="clear" w:color="auto" w:fill="FFFFFF"/>
              </w:rPr>
              <w:t>991</w:t>
            </w:r>
            <w:r w:rsidRPr="00ED3FD3">
              <w:rPr>
                <w:rFonts w:ascii="Times New Roman" w:hAnsi="Times New Roman" w:cs="Times New Roman"/>
                <w:color w:val="1C1D1E"/>
                <w:sz w:val="20"/>
                <w:szCs w:val="20"/>
                <w:shd w:val="clear" w:color="auto" w:fill="FFFFFF"/>
              </w:rPr>
              <w:t>. </w:t>
            </w:r>
            <w:hyperlink w:history="1">
              <w:r w:rsidRPr="00ED3FD3">
                <w:rPr>
                  <w:rStyle w:val="Hyperlink"/>
                  <w:rFonts w:ascii="Times New Roman" w:hAnsi="Times New Roman" w:cs="Times New Roman"/>
                  <w:sz w:val="20"/>
                  <w:szCs w:val="20"/>
                  <w:shd w:val="clear" w:color="auto" w:fill="FFFFFF"/>
                </w:rPr>
                <w:t>https://doi.org/10.1111/fwb.13691</w:t>
              </w:r>
            </w:hyperlink>
          </w:p>
          <w:p w14:paraId="13A8546B" w14:textId="14520920" w:rsidR="002D7080" w:rsidRPr="00ED3FD3" w:rsidRDefault="002D7080" w:rsidP="008A0BC6">
            <w:pPr>
              <w:ind w:left="702" w:hanging="702"/>
              <w:contextualSpacing/>
              <w:jc w:val="both"/>
              <w:rPr>
                <w:rFonts w:ascii="Times New Roman" w:eastAsia="Times New Roman" w:hAnsi="Times New Roman" w:cs="Times New Roman"/>
                <w:sz w:val="20"/>
                <w:szCs w:val="20"/>
                <w:lang w:eastAsia="en-ZA"/>
              </w:rPr>
            </w:pPr>
            <w:r w:rsidRPr="00ED3FD3">
              <w:rPr>
                <w:rFonts w:ascii="Times New Roman" w:hAnsi="Times New Roman" w:cs="Times New Roman"/>
                <w:color w:val="1C1D1E"/>
                <w:sz w:val="20"/>
                <w:szCs w:val="20"/>
                <w:shd w:val="clear" w:color="auto" w:fill="FFFFFF"/>
              </w:rPr>
              <w:t xml:space="preserve">Svoboda, J., Strand, D.A., Vrålstad, T., Grandjean, F., Edsman, L., Kozák, P., Kouba, A., Fristad, R.F., Bahadir Koca, S. and Petrusek, A. 2014, ‘The crayfish plague pathogen can infect freshwater-inhabiting crabs’, </w:t>
            </w:r>
            <w:r w:rsidRPr="00ED3FD3">
              <w:rPr>
                <w:rFonts w:ascii="Times New Roman" w:hAnsi="Times New Roman" w:cs="Times New Roman"/>
                <w:i/>
                <w:iCs/>
                <w:color w:val="1C1D1E"/>
                <w:sz w:val="20"/>
                <w:szCs w:val="20"/>
                <w:shd w:val="clear" w:color="auto" w:fill="FFFFFF"/>
              </w:rPr>
              <w:t>Freshwater Biology</w:t>
            </w:r>
            <w:r w:rsidRPr="00ED3FD3">
              <w:rPr>
                <w:rFonts w:ascii="Times New Roman" w:hAnsi="Times New Roman" w:cs="Times New Roman"/>
                <w:color w:val="1C1D1E"/>
                <w:sz w:val="20"/>
                <w:szCs w:val="20"/>
                <w:shd w:val="clear" w:color="auto" w:fill="FFFFFF"/>
              </w:rPr>
              <w:t>, 59,  918-929. </w:t>
            </w:r>
            <w:r w:rsidR="00C87A44" w:rsidRPr="008A0BC6">
              <w:rPr>
                <w:rFonts w:ascii="Times New Roman" w:hAnsi="Times New Roman" w:cs="Times New Roman"/>
                <w:sz w:val="20"/>
                <w:szCs w:val="20"/>
              </w:rPr>
              <w:t>https://doi.org/10.1111/fwb.12315</w:t>
            </w:r>
          </w:p>
          <w:p w14:paraId="3BBB4BD5" w14:textId="44B2F25C" w:rsidR="002D7080" w:rsidRPr="00ED3FD3" w:rsidRDefault="002D7080" w:rsidP="008A0BC6">
            <w:pPr>
              <w:ind w:left="720" w:hanging="720"/>
              <w:contextualSpacing/>
              <w:jc w:val="both"/>
              <w:rPr>
                <w:rFonts w:ascii="Times New Roman" w:hAnsi="Times New Roman" w:cs="Times New Roman"/>
                <w:sz w:val="20"/>
                <w:szCs w:val="20"/>
              </w:rPr>
            </w:pPr>
            <w:r w:rsidRPr="00ED3FD3">
              <w:rPr>
                <w:rFonts w:ascii="Times New Roman" w:hAnsi="Times New Roman" w:cs="Times New Roman"/>
                <w:sz w:val="20"/>
                <w:szCs w:val="20"/>
              </w:rPr>
              <w:t xml:space="preserve">Westman, K., Savolainen R. &amp; Julkunen, M., 2002, ‘Replacement of the native crayfish </w:t>
            </w:r>
            <w:r w:rsidRPr="00ED3FD3">
              <w:rPr>
                <w:rFonts w:ascii="Times New Roman" w:hAnsi="Times New Roman" w:cs="Times New Roman"/>
                <w:i/>
                <w:sz w:val="20"/>
                <w:szCs w:val="20"/>
              </w:rPr>
              <w:t>Astacus astacus</w:t>
            </w:r>
            <w:r w:rsidRPr="00ED3FD3">
              <w:rPr>
                <w:rFonts w:ascii="Times New Roman" w:hAnsi="Times New Roman" w:cs="Times New Roman"/>
                <w:sz w:val="20"/>
                <w:szCs w:val="20"/>
              </w:rPr>
              <w:t xml:space="preserve"> by the introduced species </w:t>
            </w:r>
            <w:r w:rsidRPr="00ED3FD3">
              <w:rPr>
                <w:rFonts w:ascii="Times New Roman" w:hAnsi="Times New Roman" w:cs="Times New Roman"/>
                <w:i/>
                <w:sz w:val="20"/>
                <w:szCs w:val="20"/>
              </w:rPr>
              <w:t>Pacifastacus leniusculus</w:t>
            </w:r>
            <w:r w:rsidRPr="00ED3FD3">
              <w:rPr>
                <w:rFonts w:ascii="Times New Roman" w:hAnsi="Times New Roman" w:cs="Times New Roman"/>
                <w:sz w:val="20"/>
                <w:szCs w:val="20"/>
              </w:rPr>
              <w:t xml:space="preserve"> in a small, enclosed Finnish </w:t>
            </w:r>
            <w:r w:rsidRPr="00ED3FD3">
              <w:rPr>
                <w:rFonts w:ascii="Times New Roman" w:hAnsi="Times New Roman" w:cs="Times New Roman"/>
                <w:sz w:val="20"/>
                <w:szCs w:val="20"/>
              </w:rPr>
              <w:tab/>
              <w:t xml:space="preserve">lake: A 30–year study’, </w:t>
            </w:r>
            <w:r w:rsidRPr="00ED3FD3">
              <w:rPr>
                <w:rFonts w:ascii="Times New Roman" w:hAnsi="Times New Roman" w:cs="Times New Roman"/>
                <w:i/>
                <w:sz w:val="20"/>
                <w:szCs w:val="20"/>
              </w:rPr>
              <w:t>Ecography</w:t>
            </w:r>
            <w:r w:rsidRPr="00ED3FD3">
              <w:rPr>
                <w:rFonts w:ascii="Times New Roman" w:hAnsi="Times New Roman" w:cs="Times New Roman"/>
                <w:sz w:val="20"/>
                <w:szCs w:val="20"/>
              </w:rPr>
              <w:t xml:space="preserve"> 25, 53–73. </w:t>
            </w:r>
            <w:hyperlink r:id="rId443" w:history="1">
              <w:r w:rsidR="00C87A44" w:rsidRPr="008A0BC6">
                <w:rPr>
                  <w:rStyle w:val="Hyperlink"/>
                  <w:rFonts w:ascii="Times New Roman" w:hAnsi="Times New Roman" w:cs="Times New Roman"/>
                  <w:sz w:val="20"/>
                  <w:szCs w:val="20"/>
                </w:rPr>
                <w:t>https://doi.org/10.1034/j.1600-0587.2002.250107.x</w:t>
              </w:r>
            </w:hyperlink>
          </w:p>
        </w:tc>
      </w:tr>
    </w:tbl>
    <w:p w14:paraId="3D69AB7B" w14:textId="77777777" w:rsidR="002D7080" w:rsidRPr="00ED3FD3" w:rsidRDefault="002D7080" w:rsidP="002D7080">
      <w:pPr>
        <w:spacing w:after="0" w:line="240" w:lineRule="auto"/>
        <w:rPr>
          <w:rFonts w:ascii="Times New Roman" w:hAnsi="Times New Roman" w:cs="Times New Roman"/>
          <w:b/>
          <w:sz w:val="20"/>
          <w:szCs w:val="20"/>
        </w:rPr>
      </w:pPr>
    </w:p>
    <w:p w14:paraId="19E45073"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4. Management</w:t>
      </w:r>
    </w:p>
    <w:p w14:paraId="66EEF92F"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ED3FD3" w14:paraId="6C2572C3" w14:textId="77777777" w:rsidTr="002E2C37">
        <w:trPr>
          <w:trHeight w:val="343"/>
        </w:trPr>
        <w:tc>
          <w:tcPr>
            <w:tcW w:w="9067" w:type="dxa"/>
            <w:gridSpan w:val="2"/>
            <w:shd w:val="clear" w:color="auto" w:fill="F2F2F2" w:themeFill="background1" w:themeFillShade="F2"/>
          </w:tcPr>
          <w:p w14:paraId="78DA5CC2"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lastRenderedPageBreak/>
              <w:t>MAN1 What is the feasibility to stop future immigration?</w:t>
            </w:r>
          </w:p>
        </w:tc>
      </w:tr>
      <w:tr w:rsidR="002D7080" w:rsidRPr="00ED3FD3" w14:paraId="42E7B4B4" w14:textId="77777777" w:rsidTr="002E2C37">
        <w:trPr>
          <w:trHeight w:val="172"/>
        </w:trPr>
        <w:tc>
          <w:tcPr>
            <w:tcW w:w="5240" w:type="dxa"/>
          </w:tcPr>
          <w:p w14:paraId="73B09F71"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High</w:t>
            </w:r>
          </w:p>
        </w:tc>
        <w:tc>
          <w:tcPr>
            <w:tcW w:w="3827" w:type="dxa"/>
          </w:tcPr>
          <w:p w14:paraId="59E1B4F3"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476D300F" w14:textId="77777777" w:rsidTr="002E2C37">
        <w:trPr>
          <w:trHeight w:val="70"/>
        </w:trPr>
        <w:tc>
          <w:tcPr>
            <w:tcW w:w="9067" w:type="dxa"/>
            <w:gridSpan w:val="2"/>
          </w:tcPr>
          <w:p w14:paraId="4E0C42D8"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xml:space="preserve"> is a common species in the global  pet trade industry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(Faulkes 2015)</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It is suspected that</w:t>
            </w:r>
            <w:r w:rsidRPr="00ED3FD3">
              <w:rPr>
                <w:rFonts w:ascii="Times New Roman" w:hAnsi="Times New Roman" w:cs="Times New Roman"/>
                <w:sz w:val="20"/>
                <w:szCs w:val="20"/>
              </w:rPr>
              <w:t xml:space="preserve"> </w:t>
            </w:r>
            <w:r w:rsidRPr="00ED3FD3">
              <w:rPr>
                <w:rFonts w:ascii="Times New Roman" w:eastAsia="Times New Roman" w:hAnsi="Times New Roman" w:cs="Times New Roman"/>
                <w:i/>
                <w:iCs/>
                <w:sz w:val="20"/>
                <w:szCs w:val="20"/>
                <w:lang w:eastAsia="en-ZA"/>
              </w:rPr>
              <w:t>P. leniusculus</w:t>
            </w:r>
            <w:r w:rsidRPr="00ED3FD3">
              <w:rPr>
                <w:rFonts w:ascii="Times New Roman" w:eastAsia="Times New Roman" w:hAnsi="Times New Roman" w:cs="Times New Roman"/>
                <w:sz w:val="20"/>
                <w:szCs w:val="20"/>
                <w:lang w:eastAsia="en-ZA"/>
              </w:rPr>
              <w:t xml:space="preserve"> is present in the pet trade in South Africa but this needs to be confirmed (Madzivanzira et al. 2021, Nunes et al. 2017). The species is not in neighbouring so unaided migration is unlikely. I</w:t>
            </w:r>
            <w:r w:rsidRPr="00ED3FD3">
              <w:rPr>
                <w:rStyle w:val="cf01"/>
                <w:rFonts w:ascii="Times New Roman" w:hAnsi="Times New Roman" w:cs="Times New Roman"/>
                <w:sz w:val="20"/>
                <w:szCs w:val="20"/>
              </w:rPr>
              <w:t xml:space="preserve">t should be possible to regulate international introductions by listing the species on the prohibited list and having an effective border surveillance and monitoring strategy. </w:t>
            </w:r>
          </w:p>
        </w:tc>
      </w:tr>
      <w:tr w:rsidR="002D7080" w:rsidRPr="00ED3FD3" w14:paraId="731BB4F2" w14:textId="77777777" w:rsidTr="002E2C37">
        <w:trPr>
          <w:trHeight w:val="108"/>
        </w:trPr>
        <w:tc>
          <w:tcPr>
            <w:tcW w:w="9067" w:type="dxa"/>
            <w:gridSpan w:val="2"/>
          </w:tcPr>
          <w:p w14:paraId="42D99640"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3065F72F" w14:textId="77777777" w:rsidR="002D7080" w:rsidRPr="00981082" w:rsidRDefault="002D7080" w:rsidP="00C94525">
            <w:pPr>
              <w:ind w:left="720" w:hanging="720"/>
              <w:contextualSpacing/>
              <w:jc w:val="both"/>
              <w:rPr>
                <w:rFonts w:ascii="Times New Roman" w:eastAsia="Times New Roman" w:hAnsi="Times New Roman" w:cs="Times New Roman"/>
                <w:sz w:val="20"/>
                <w:szCs w:val="20"/>
                <w:lang w:eastAsia="en-ZA"/>
              </w:rPr>
            </w:pPr>
            <w:r w:rsidRPr="00981082">
              <w:rPr>
                <w:rFonts w:ascii="Times New Roman" w:eastAsia="Times New Roman" w:hAnsi="Times New Roman" w:cs="Times New Roman"/>
                <w:sz w:val="20"/>
                <w:szCs w:val="20"/>
                <w:lang w:eastAsia="en-ZA"/>
              </w:rPr>
              <w:t xml:space="preserve">Faulkes, Z., 2015, ‘The global trade in crayfish as pets’, </w:t>
            </w:r>
            <w:r w:rsidRPr="00981082">
              <w:rPr>
                <w:rFonts w:ascii="Times New Roman" w:eastAsia="Times New Roman" w:hAnsi="Times New Roman" w:cs="Times New Roman"/>
                <w:i/>
                <w:iCs/>
                <w:sz w:val="20"/>
                <w:szCs w:val="20"/>
                <w:lang w:eastAsia="en-ZA"/>
              </w:rPr>
              <w:t>Crustacean Research</w:t>
            </w:r>
            <w:r w:rsidRPr="00981082">
              <w:rPr>
                <w:rFonts w:ascii="Times New Roman" w:eastAsia="Times New Roman" w:hAnsi="Times New Roman" w:cs="Times New Roman"/>
                <w:sz w:val="20"/>
                <w:szCs w:val="20"/>
                <w:lang w:eastAsia="en-ZA"/>
              </w:rPr>
              <w:t xml:space="preserve"> </w:t>
            </w:r>
            <w:r w:rsidRPr="00981082">
              <w:rPr>
                <w:rFonts w:ascii="Times New Roman" w:eastAsia="Times New Roman" w:hAnsi="Times New Roman" w:cs="Times New Roman"/>
                <w:iCs/>
                <w:sz w:val="20"/>
                <w:szCs w:val="20"/>
                <w:lang w:eastAsia="en-ZA"/>
              </w:rPr>
              <w:t>44</w:t>
            </w:r>
            <w:r w:rsidRPr="00981082">
              <w:rPr>
                <w:rFonts w:ascii="Times New Roman" w:eastAsia="Times New Roman" w:hAnsi="Times New Roman" w:cs="Times New Roman"/>
                <w:b/>
                <w:iCs/>
                <w:sz w:val="20"/>
                <w:szCs w:val="20"/>
                <w:lang w:eastAsia="en-ZA"/>
              </w:rPr>
              <w:t>,</w:t>
            </w:r>
            <w:r w:rsidRPr="00981082">
              <w:rPr>
                <w:rFonts w:ascii="Times New Roman" w:eastAsia="Times New Roman" w:hAnsi="Times New Roman" w:cs="Times New Roman"/>
                <w:i/>
                <w:iCs/>
                <w:sz w:val="20"/>
                <w:szCs w:val="20"/>
                <w:lang w:eastAsia="en-ZA"/>
              </w:rPr>
              <w:t xml:space="preserve"> </w:t>
            </w:r>
            <w:r w:rsidRPr="00981082">
              <w:rPr>
                <w:rFonts w:ascii="Times New Roman" w:eastAsia="Times New Roman" w:hAnsi="Times New Roman" w:cs="Times New Roman"/>
                <w:sz w:val="20"/>
                <w:szCs w:val="20"/>
                <w:lang w:eastAsia="en-ZA"/>
              </w:rPr>
              <w:t xml:space="preserve">75–92. </w:t>
            </w:r>
            <w:hyperlink w:history="1">
              <w:r w:rsidRPr="00981082">
                <w:rPr>
                  <w:rStyle w:val="Hyperlink"/>
                  <w:rFonts w:ascii="Times New Roman" w:eastAsia="Times New Roman" w:hAnsi="Times New Roman" w:cs="Times New Roman"/>
                  <w:sz w:val="20"/>
                  <w:szCs w:val="20"/>
                  <w:lang w:eastAsia="en-ZA"/>
                </w:rPr>
                <w:t>https://doi.org/10.18353/crustacea.44.0_75</w:t>
              </w:r>
            </w:hyperlink>
            <w:r w:rsidRPr="00981082">
              <w:rPr>
                <w:rFonts w:ascii="Times New Roman" w:eastAsia="Times New Roman" w:hAnsi="Times New Roman" w:cs="Times New Roman"/>
                <w:sz w:val="20"/>
                <w:szCs w:val="20"/>
                <w:lang w:eastAsia="en-ZA"/>
              </w:rPr>
              <w:t>.</w:t>
            </w:r>
          </w:p>
          <w:p w14:paraId="52C8890F" w14:textId="77777777" w:rsidR="002D7080" w:rsidRPr="00981082" w:rsidRDefault="002D7080" w:rsidP="00C94525">
            <w:pPr>
              <w:ind w:left="702" w:hanging="702"/>
              <w:contextualSpacing/>
              <w:jc w:val="both"/>
              <w:rPr>
                <w:rFonts w:ascii="Times New Roman" w:eastAsia="Times New Roman" w:hAnsi="Times New Roman" w:cs="Times New Roman"/>
                <w:bCs/>
                <w:sz w:val="20"/>
                <w:szCs w:val="20"/>
                <w:lang w:eastAsia="en-ZA"/>
              </w:rPr>
            </w:pPr>
            <w:r w:rsidRPr="00981082">
              <w:rPr>
                <w:rStyle w:val="author"/>
                <w:rFonts w:ascii="Times New Roman" w:hAnsi="Times New Roman" w:cs="Times New Roman"/>
                <w:color w:val="1C1D1E"/>
                <w:sz w:val="20"/>
                <w:szCs w:val="20"/>
                <w:shd w:val="clear" w:color="auto" w:fill="FFFFFF"/>
              </w:rPr>
              <w:t>Madzivanzira, T.C.</w:t>
            </w:r>
            <w:r w:rsidRPr="00981082">
              <w:rPr>
                <w:rFonts w:ascii="Times New Roman" w:hAnsi="Times New Roman" w:cs="Times New Roman"/>
                <w:color w:val="1C1D1E"/>
                <w:sz w:val="20"/>
                <w:szCs w:val="20"/>
                <w:shd w:val="clear" w:color="auto" w:fill="FFFFFF"/>
              </w:rPr>
              <w:t>, </w:t>
            </w:r>
            <w:r w:rsidRPr="00981082">
              <w:rPr>
                <w:rStyle w:val="author"/>
                <w:rFonts w:ascii="Times New Roman" w:hAnsi="Times New Roman" w:cs="Times New Roman"/>
                <w:color w:val="1C1D1E"/>
                <w:sz w:val="20"/>
                <w:szCs w:val="20"/>
                <w:shd w:val="clear" w:color="auto" w:fill="FFFFFF"/>
              </w:rPr>
              <w:t>South, J.</w:t>
            </w:r>
            <w:r w:rsidRPr="00981082">
              <w:rPr>
                <w:rFonts w:ascii="Times New Roman" w:hAnsi="Times New Roman" w:cs="Times New Roman"/>
                <w:color w:val="1C1D1E"/>
                <w:sz w:val="20"/>
                <w:szCs w:val="20"/>
                <w:shd w:val="clear" w:color="auto" w:fill="FFFFFF"/>
              </w:rPr>
              <w:t xml:space="preserve"> &amp; </w:t>
            </w:r>
            <w:r w:rsidRPr="00981082">
              <w:rPr>
                <w:rStyle w:val="author"/>
                <w:rFonts w:ascii="Times New Roman" w:hAnsi="Times New Roman" w:cs="Times New Roman"/>
                <w:color w:val="1C1D1E"/>
                <w:sz w:val="20"/>
                <w:szCs w:val="20"/>
                <w:shd w:val="clear" w:color="auto" w:fill="FFFFFF"/>
              </w:rPr>
              <w:t>Weyl, O.L.F</w:t>
            </w:r>
            <w:r w:rsidRPr="00981082">
              <w:rPr>
                <w:rFonts w:ascii="Times New Roman" w:hAnsi="Times New Roman" w:cs="Times New Roman"/>
                <w:color w:val="1C1D1E"/>
                <w:sz w:val="20"/>
                <w:szCs w:val="20"/>
                <w:shd w:val="clear" w:color="auto" w:fill="FFFFFF"/>
              </w:rPr>
              <w:t xml:space="preserve">., 2021, </w:t>
            </w:r>
            <w:r w:rsidRPr="00981082">
              <w:rPr>
                <w:rFonts w:ascii="Times New Roman" w:hAnsi="Times New Roman" w:cs="Times New Roman"/>
                <w:color w:val="000000" w:themeColor="text1"/>
                <w:sz w:val="20"/>
                <w:szCs w:val="20"/>
                <w:shd w:val="clear" w:color="auto" w:fill="FFFFFF"/>
              </w:rPr>
              <w:t>‘</w:t>
            </w:r>
            <w:r w:rsidRPr="00981082">
              <w:rPr>
                <w:rStyle w:val="articletitle"/>
                <w:rFonts w:ascii="Times New Roman" w:hAnsi="Times New Roman" w:cs="Times New Roman"/>
                <w:color w:val="000000" w:themeColor="text1"/>
                <w:sz w:val="20"/>
                <w:szCs w:val="20"/>
                <w:shd w:val="clear" w:color="auto" w:fill="FFFFFF"/>
              </w:rPr>
              <w:t>Invasive crayfish outperform Potamonautid crabs at higher temperatures’,</w:t>
            </w:r>
            <w:r w:rsidRPr="00981082">
              <w:rPr>
                <w:rFonts w:ascii="Times New Roman" w:hAnsi="Times New Roman" w:cs="Times New Roman"/>
                <w:color w:val="000000" w:themeColor="text1"/>
                <w:sz w:val="20"/>
                <w:szCs w:val="20"/>
                <w:shd w:val="clear" w:color="auto" w:fill="FFFFFF"/>
              </w:rPr>
              <w:t> </w:t>
            </w:r>
            <w:r w:rsidRPr="00981082">
              <w:rPr>
                <w:rFonts w:ascii="Times New Roman" w:hAnsi="Times New Roman" w:cs="Times New Roman"/>
                <w:i/>
                <w:iCs/>
                <w:color w:val="000000" w:themeColor="text1"/>
                <w:sz w:val="20"/>
                <w:szCs w:val="20"/>
                <w:shd w:val="clear" w:color="auto" w:fill="FFFFFF"/>
              </w:rPr>
              <w:t>Freshwater Biology</w:t>
            </w:r>
            <w:r w:rsidRPr="00981082">
              <w:rPr>
                <w:rFonts w:ascii="Times New Roman" w:hAnsi="Times New Roman" w:cs="Times New Roman"/>
                <w:color w:val="000000" w:themeColor="text1"/>
                <w:sz w:val="20"/>
                <w:szCs w:val="20"/>
                <w:shd w:val="clear" w:color="auto" w:fill="FFFFFF"/>
              </w:rPr>
              <w:t> </w:t>
            </w:r>
            <w:r w:rsidRPr="00981082">
              <w:rPr>
                <w:rStyle w:val="vol"/>
                <w:rFonts w:ascii="Times New Roman" w:hAnsi="Times New Roman" w:cs="Times New Roman"/>
                <w:color w:val="000000" w:themeColor="text1"/>
                <w:sz w:val="20"/>
                <w:szCs w:val="20"/>
                <w:shd w:val="clear" w:color="auto" w:fill="FFFFFF"/>
              </w:rPr>
              <w:t>6</w:t>
            </w:r>
            <w:r w:rsidRPr="00981082">
              <w:rPr>
                <w:rStyle w:val="vol"/>
                <w:rFonts w:ascii="Times New Roman" w:hAnsi="Times New Roman" w:cs="Times New Roman"/>
                <w:color w:val="1C1D1E"/>
                <w:sz w:val="20"/>
                <w:szCs w:val="20"/>
                <w:shd w:val="clear" w:color="auto" w:fill="FFFFFF"/>
              </w:rPr>
              <w:t>6,</w:t>
            </w:r>
            <w:r w:rsidRPr="00981082">
              <w:rPr>
                <w:rFonts w:ascii="Times New Roman" w:hAnsi="Times New Roman" w:cs="Times New Roman"/>
                <w:color w:val="1C1D1E"/>
                <w:sz w:val="20"/>
                <w:szCs w:val="20"/>
                <w:shd w:val="clear" w:color="auto" w:fill="FFFFFF"/>
              </w:rPr>
              <w:t> </w:t>
            </w:r>
            <w:r w:rsidRPr="00981082">
              <w:rPr>
                <w:rStyle w:val="pagefirst"/>
                <w:rFonts w:ascii="Times New Roman" w:hAnsi="Times New Roman" w:cs="Times New Roman"/>
                <w:color w:val="1C1D1E"/>
                <w:sz w:val="20"/>
                <w:szCs w:val="20"/>
                <w:shd w:val="clear" w:color="auto" w:fill="FFFFFF"/>
              </w:rPr>
              <w:t>978</w:t>
            </w:r>
            <w:r w:rsidRPr="00981082">
              <w:rPr>
                <w:rFonts w:ascii="Times New Roman" w:hAnsi="Times New Roman" w:cs="Times New Roman"/>
                <w:color w:val="1C1D1E"/>
                <w:sz w:val="20"/>
                <w:szCs w:val="20"/>
                <w:shd w:val="clear" w:color="auto" w:fill="FFFFFF"/>
              </w:rPr>
              <w:t>–</w:t>
            </w:r>
            <w:r w:rsidRPr="00981082">
              <w:rPr>
                <w:rStyle w:val="pagelast"/>
                <w:rFonts w:ascii="Times New Roman" w:hAnsi="Times New Roman" w:cs="Times New Roman"/>
                <w:color w:val="1C1D1E"/>
                <w:sz w:val="20"/>
                <w:szCs w:val="20"/>
                <w:shd w:val="clear" w:color="auto" w:fill="FFFFFF"/>
              </w:rPr>
              <w:t>991</w:t>
            </w:r>
            <w:r w:rsidRPr="00981082">
              <w:rPr>
                <w:rFonts w:ascii="Times New Roman" w:hAnsi="Times New Roman" w:cs="Times New Roman"/>
                <w:color w:val="1C1D1E"/>
                <w:sz w:val="20"/>
                <w:szCs w:val="20"/>
                <w:shd w:val="clear" w:color="auto" w:fill="FFFFFF"/>
              </w:rPr>
              <w:t>. </w:t>
            </w:r>
            <w:hyperlink w:history="1">
              <w:r w:rsidRPr="00981082">
                <w:rPr>
                  <w:rStyle w:val="Hyperlink"/>
                  <w:rFonts w:ascii="Times New Roman" w:hAnsi="Times New Roman" w:cs="Times New Roman"/>
                  <w:sz w:val="20"/>
                  <w:szCs w:val="20"/>
                  <w:shd w:val="clear" w:color="auto" w:fill="FFFFFF"/>
                </w:rPr>
                <w:t>https://doi.org/10.1111/fwb.13691</w:t>
              </w:r>
            </w:hyperlink>
          </w:p>
          <w:p w14:paraId="723EED1F" w14:textId="77777777" w:rsidR="002D7080" w:rsidRPr="00ED3FD3" w:rsidRDefault="002D7080" w:rsidP="00C94525">
            <w:pPr>
              <w:ind w:left="720" w:hanging="720"/>
              <w:contextualSpacing/>
              <w:jc w:val="both"/>
              <w:rPr>
                <w:rFonts w:ascii="Times New Roman" w:eastAsia="Times New Roman" w:hAnsi="Times New Roman" w:cs="Times New Roman"/>
                <w:sz w:val="20"/>
                <w:szCs w:val="20"/>
                <w:lang w:eastAsia="en-ZA"/>
              </w:rPr>
            </w:pPr>
            <w:r w:rsidRPr="00981082">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981082">
              <w:rPr>
                <w:rFonts w:ascii="Times New Roman" w:eastAsia="Times New Roman" w:hAnsi="Times New Roman" w:cs="Times New Roman"/>
                <w:i/>
                <w:color w:val="000000"/>
                <w:sz w:val="20"/>
                <w:szCs w:val="20"/>
                <w:lang w:eastAsia="en-ZA"/>
              </w:rPr>
              <w:t>African Journal of Aquatic Science</w:t>
            </w:r>
            <w:r w:rsidRPr="00981082">
              <w:rPr>
                <w:rFonts w:ascii="Times New Roman" w:eastAsia="Times New Roman" w:hAnsi="Times New Roman" w:cs="Times New Roman"/>
                <w:color w:val="000000"/>
                <w:sz w:val="20"/>
                <w:szCs w:val="20"/>
                <w:lang w:eastAsia="en-ZA"/>
              </w:rPr>
              <w:t xml:space="preserve"> 42, 309–323, https://doi.org/10.2989/16085914.2017.1405788.</w:t>
            </w:r>
          </w:p>
        </w:tc>
      </w:tr>
    </w:tbl>
    <w:p w14:paraId="08F99D55"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ED3FD3" w14:paraId="2FC1020C" w14:textId="77777777" w:rsidTr="002E2C37">
        <w:trPr>
          <w:trHeight w:val="343"/>
        </w:trPr>
        <w:tc>
          <w:tcPr>
            <w:tcW w:w="9067" w:type="dxa"/>
            <w:gridSpan w:val="2"/>
            <w:shd w:val="clear" w:color="auto" w:fill="F2F2F2" w:themeFill="background1" w:themeFillShade="F2"/>
          </w:tcPr>
          <w:p w14:paraId="6B156B44"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MAN2 Benefits of the Taxon</w:t>
            </w:r>
          </w:p>
        </w:tc>
      </w:tr>
      <w:tr w:rsidR="002D7080" w:rsidRPr="00ED3FD3" w14:paraId="12638C00" w14:textId="77777777" w:rsidTr="002E2C37">
        <w:trPr>
          <w:trHeight w:val="343"/>
        </w:trPr>
        <w:tc>
          <w:tcPr>
            <w:tcW w:w="9067" w:type="dxa"/>
            <w:gridSpan w:val="2"/>
            <w:shd w:val="clear" w:color="auto" w:fill="F2F2F2" w:themeFill="background1" w:themeFillShade="F2"/>
          </w:tcPr>
          <w:p w14:paraId="1A784108"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 xml:space="preserve">MAN2a Socio-economic benefits of the </w:t>
            </w:r>
            <w:r w:rsidRPr="00ED3FD3">
              <w:rPr>
                <w:rFonts w:ascii="Times New Roman" w:eastAsia="Times New Roman" w:hAnsi="Times New Roman" w:cs="Times New Roman"/>
                <w:b/>
                <w:i/>
                <w:sz w:val="20"/>
                <w:szCs w:val="20"/>
                <w:lang w:eastAsia="en-ZA"/>
              </w:rPr>
              <w:t>Taxon</w:t>
            </w:r>
          </w:p>
        </w:tc>
      </w:tr>
      <w:tr w:rsidR="002D7080" w:rsidRPr="00ED3FD3" w14:paraId="4DD163D5" w14:textId="77777777" w:rsidTr="002E2C37">
        <w:trPr>
          <w:trHeight w:val="172"/>
        </w:trPr>
        <w:tc>
          <w:tcPr>
            <w:tcW w:w="5240" w:type="dxa"/>
          </w:tcPr>
          <w:p w14:paraId="0FFEA967"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Low</w:t>
            </w:r>
          </w:p>
        </w:tc>
        <w:tc>
          <w:tcPr>
            <w:tcW w:w="3827" w:type="dxa"/>
          </w:tcPr>
          <w:p w14:paraId="37B5A03F"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2C849CF9" w14:textId="77777777" w:rsidTr="002E2C37">
        <w:trPr>
          <w:trHeight w:val="70"/>
        </w:trPr>
        <w:tc>
          <w:tcPr>
            <w:tcW w:w="9067" w:type="dxa"/>
            <w:gridSpan w:val="2"/>
          </w:tcPr>
          <w:p w14:paraId="74EFBF23"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is introduced mainly through aquaculture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"10.1051/alr:1993032", "ISBN" : "0990-7440", "ISSN" : "0990-7440", "abstract" : "The farming of freshwater crayfish (astaciculture) is mainly carried out in the southern states of the USA, and in Australia and Europe. Production levels Vary with climate but are in the region of 40000 to 60000 tonnes per annum. In addition, at least an equivalent amounts is harvested from the wild, particularly in North Amenca, China, Australia, Kenya, Turkey and Europe. Crayfish farming is usually cithcr of an extensive (ranching) or semi-intensive nature, intensive methods being infrequent, except for the rearing of juveniles for stocking (or restocking of natural waters depleted of crayfish). As crayfish do not have larvae and are polytrophic, they are relatively easy to rear, although fecundity is much lower when compared with other cultured crustaceans. At least 85% of world production is based on the red swamp crayfish, Procamharus clarkii, mainly from Louisiana and other southern USA states, but also from China, Kenya and Spain, where it has been introduced. In Australia, three species are of aquacultural importance, the yabbie, Cherax destructor; the marron, C. tenuimanus; and the red claw, C. quadricarinatus. Some very large production units have been built but none have lived up to their promise. The red claw is thought to have considerable aquacultural potential, but, being a tropical species, needs warm water for good growth. In Europe, the only endemic species cultured to any extent is the noble crayfish, Astacus astacus, mainly as juveniles for restocking. It fetches a higher pnce than other crayfish. The North American signal crayfish, Pacifastacus leniusculus, has been introduced to most European countries, but farmed production is relatively low. About 98% of crayfish consumed in Europe come from extensive systems or the wild harvest. European crayfish markets were upset by the collapse of the Turkish crayfishery (based on Astacus leptoductylus) due to overfishing and disease in the mid-1980s. The environmental impact of crayfish farrning is most noticeable in Europe. Crayfish plague, introduced from North America last century, ha\u00ee devastated populations of the native species in many countries. 1ts spread has been exasperated by the translocation of foreign crayfish (and probably by fish) for aquacultural purposes. In addition, introduced crayfish frequently escape into the wild and form large populations, often in direct competition with native species. Burrowing and prolific species, such as P. clarkii, can also do considerable env\u2026", "author" : [ { "dropping-particle" : "", "family" : "Holdich", "given" : "David M.", "non-dropping-particle" : "", "parse-names" : false, "suffix" : "" } ], "container-title" : "Aquatic Living Resources", "id" : "ITEM-1", "issue" : "4", "issued" : { "date-parts" : [ [ "1993" ] ] }, "page" : "307-317", "title" : "A review of astaciculture: freshwater crayfish farming", "type" : "article-journal", "volume" : "6" }, "uris" : [ "http://www.mendeley.com/documents/?uuid=9c22145c-3212-4afe-9814-df511734f170" ] }, { "id" : "ITEM-2",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"ITEM-2",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1993, Holdich et al. 2009)", "plainTextFormattedCitation" : "(Holdich 1993, Holdich et al. 2009)", "previouslyFormattedCitation" : "(Holdich 1993, Holdich et al. 2009)"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(Holdich 1993; Holdich et al. 2009)</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and the pet trade industry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"10.1007/s10530-012-0273-2", "author" : [ { "dropping-particle" : "", "family" : "Chucholl", "given" : "Christoph", "non-dropping-particle" : "", "parse-names" : false, "suffix" : "" } ], "id" : "ITEM-1", "issued" : { "date-parts" : [ [ "2013" ] ] }, "page" : "125-141", "title" : "Invaders for sale : trade and determinants of introduction of ornamental freshwater crayfish", "type" : "article-journal" }, "uris" : [ "http://www.mendeley.com/documents/?uuid=a0511d26-a75d-4f96-93d3-d105f06fe13f" ] }, { "id" : "ITEM-2", "itemData" : { "DOI" : "10.18353/crustacea.44.0", "author" : [ { "dropping-particle" : "", "family" : "Faulkes", "given" : "Zen", "non-dropping-particle" : "", "parse-names" : false, "suffix" : "" } ], "id" : "ITEM-2", "issue" : "November", "issued" : { "date-parts" : [ [ "2015" ] ] }, "page" : "75-92", "title" : "Crustacean Research", "type" : "article-journal", "volume" : "44" }, "uris" : [ "http://www.mendeley.com/documents/?uuid=e0847d33-9219-447a-8947-11c70298c5ed" ] } ], "mendeley" : { "formattedCitation" : "(Chucholl 2013, Faulkes 2015)", "plainTextFormattedCitation" : "(Chucholl 2013, Faulkes 2015)", "previouslyFormattedCitation" : "(Chucholl 2013, Faulkes 2015)"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(Chucholl 2013; Faulkes 2015)</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xml:space="preserve">. The presence of </w:t>
            </w:r>
            <w:r w:rsidRPr="00ED3FD3">
              <w:rPr>
                <w:rFonts w:ascii="Times New Roman" w:eastAsia="Times New Roman" w:hAnsi="Times New Roman" w:cs="Times New Roman"/>
                <w:i/>
                <w:iCs/>
                <w:sz w:val="20"/>
                <w:szCs w:val="20"/>
                <w:lang w:eastAsia="en-ZA"/>
              </w:rPr>
              <w:t>P. leniusculus</w:t>
            </w:r>
            <w:r w:rsidRPr="00ED3FD3">
              <w:rPr>
                <w:rFonts w:ascii="Times New Roman" w:eastAsia="Times New Roman" w:hAnsi="Times New Roman" w:cs="Times New Roman"/>
                <w:sz w:val="20"/>
                <w:szCs w:val="20"/>
                <w:lang w:eastAsia="en-ZA"/>
              </w:rPr>
              <w:t xml:space="preserve"> in South Africa still needs to be confirmed (Nines et al. 2017), and if it is here, it is likely to be in low numbers, therefore the socio-economic benefits are also likely to be low (Madzivanzira et al. 2021). </w:t>
            </w:r>
          </w:p>
        </w:tc>
      </w:tr>
      <w:tr w:rsidR="002D7080" w:rsidRPr="00ED3FD3" w14:paraId="18E24F7D" w14:textId="77777777" w:rsidTr="002E2C37">
        <w:trPr>
          <w:trHeight w:val="70"/>
        </w:trPr>
        <w:tc>
          <w:tcPr>
            <w:tcW w:w="9067" w:type="dxa"/>
            <w:gridSpan w:val="2"/>
          </w:tcPr>
          <w:p w14:paraId="7686CEA6" w14:textId="77777777" w:rsidR="002D7080" w:rsidRPr="00ED3FD3" w:rsidRDefault="002D7080" w:rsidP="002E2C37">
            <w:pPr>
              <w:ind w:left="720" w:hanging="720"/>
              <w:contextualSpacing/>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2CB2C079" w14:textId="77777777" w:rsidR="002D7080" w:rsidRPr="00ED3FD3" w:rsidRDefault="002D7080" w:rsidP="008A0BC6">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ED3FD3">
              <w:rPr>
                <w:rFonts w:ascii="Times New Roman" w:eastAsia="Times New Roman" w:hAnsi="Times New Roman" w:cs="Times New Roman"/>
                <w:i/>
                <w:iCs/>
                <w:sz w:val="20"/>
                <w:szCs w:val="20"/>
                <w:lang w:eastAsia="en-ZA"/>
              </w:rPr>
              <w:t xml:space="preserve">Biological Invasions </w:t>
            </w:r>
            <w:r w:rsidRPr="00ED3FD3">
              <w:rPr>
                <w:rFonts w:ascii="Times New Roman" w:eastAsia="Times New Roman" w:hAnsi="Times New Roman" w:cs="Times New Roman"/>
                <w:iCs/>
                <w:sz w:val="20"/>
                <w:szCs w:val="20"/>
                <w:lang w:eastAsia="en-ZA"/>
              </w:rPr>
              <w:t>15</w:t>
            </w:r>
            <w:r w:rsidRPr="00ED3FD3">
              <w:rPr>
                <w:rFonts w:ascii="Times New Roman" w:eastAsia="Times New Roman" w:hAnsi="Times New Roman" w:cs="Times New Roman"/>
                <w:sz w:val="20"/>
                <w:szCs w:val="20"/>
                <w:lang w:eastAsia="en-ZA"/>
              </w:rPr>
              <w:t>, 125–141.</w:t>
            </w:r>
            <w:r w:rsidRPr="00ED3FD3">
              <w:rPr>
                <w:rFonts w:ascii="Times New Roman" w:hAnsi="Times New Roman" w:cs="Times New Roman"/>
                <w:sz w:val="20"/>
                <w:szCs w:val="20"/>
              </w:rPr>
              <w:t xml:space="preserve"> </w:t>
            </w:r>
            <w:r w:rsidRPr="00ED3FD3">
              <w:rPr>
                <w:rFonts w:ascii="Times New Roman" w:eastAsia="Times New Roman" w:hAnsi="Times New Roman" w:cs="Times New Roman"/>
                <w:sz w:val="20"/>
                <w:szCs w:val="20"/>
                <w:lang w:eastAsia="en-ZA"/>
              </w:rPr>
              <w:t>https://doi.org/10.1007/s10530-012-0273-2</w:t>
            </w:r>
          </w:p>
          <w:p w14:paraId="608EB9B2" w14:textId="77777777" w:rsidR="002D7080" w:rsidRPr="00ED3FD3" w:rsidRDefault="002D7080" w:rsidP="008A0BC6">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Faulkes, Z, 2015, ‘The global trade in crayfish as pets’, </w:t>
            </w:r>
            <w:r w:rsidRPr="00ED3FD3">
              <w:rPr>
                <w:rFonts w:ascii="Times New Roman" w:eastAsia="Times New Roman" w:hAnsi="Times New Roman" w:cs="Times New Roman"/>
                <w:i/>
                <w:iCs/>
                <w:sz w:val="20"/>
                <w:szCs w:val="20"/>
                <w:lang w:eastAsia="en-ZA"/>
              </w:rPr>
              <w:t>Crustacean Research</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44</w:t>
            </w:r>
            <w:r w:rsidRPr="00ED3FD3">
              <w:rPr>
                <w:rFonts w:ascii="Times New Roman" w:eastAsia="Times New Roman" w:hAnsi="Times New Roman" w:cs="Times New Roman"/>
                <w:sz w:val="20"/>
                <w:szCs w:val="20"/>
                <w:lang w:eastAsia="en-ZA"/>
              </w:rPr>
              <w:t>, 75–92. https://doi.org/10.18353/crustacea.44.0_75.</w:t>
            </w:r>
          </w:p>
          <w:p w14:paraId="5E76D667" w14:textId="77777777" w:rsidR="002D7080" w:rsidRPr="00ED3FD3" w:rsidRDefault="002D7080" w:rsidP="008A0BC6">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Holdich, D.M., 1993, ‘A review of astaciculture: Freshwater crayfish farming’, </w:t>
            </w:r>
            <w:r w:rsidRPr="00ED3FD3">
              <w:rPr>
                <w:rFonts w:ascii="Times New Roman" w:eastAsia="Times New Roman" w:hAnsi="Times New Roman" w:cs="Times New Roman"/>
                <w:i/>
                <w:iCs/>
                <w:sz w:val="20"/>
                <w:szCs w:val="20"/>
                <w:lang w:eastAsia="en-ZA"/>
              </w:rPr>
              <w:t>Aquatic Living Resources</w:t>
            </w:r>
            <w:r w:rsidRPr="00ED3FD3">
              <w:rPr>
                <w:rFonts w:ascii="Times New Roman" w:eastAsia="Times New Roman" w:hAnsi="Times New Roman" w:cs="Times New Roman"/>
                <w:sz w:val="20"/>
                <w:szCs w:val="20"/>
                <w:lang w:eastAsia="en-ZA"/>
              </w:rPr>
              <w:t> </w:t>
            </w:r>
            <w:r w:rsidRPr="00ED3FD3">
              <w:rPr>
                <w:rFonts w:ascii="Times New Roman" w:eastAsia="Times New Roman" w:hAnsi="Times New Roman" w:cs="Times New Roman"/>
                <w:iCs/>
                <w:sz w:val="20"/>
                <w:szCs w:val="20"/>
                <w:lang w:eastAsia="en-ZA"/>
              </w:rPr>
              <w:t>6</w:t>
            </w:r>
            <w:r w:rsidRPr="00ED3FD3">
              <w:rPr>
                <w:rFonts w:ascii="Times New Roman" w:eastAsia="Times New Roman" w:hAnsi="Times New Roman" w:cs="Times New Roman"/>
                <w:sz w:val="20"/>
                <w:szCs w:val="20"/>
                <w:lang w:eastAsia="en-ZA"/>
              </w:rPr>
              <w:t>, 307–317. https://doi.org/10.1051/alr:1993032</w:t>
            </w:r>
          </w:p>
          <w:p w14:paraId="100C071C" w14:textId="77777777" w:rsidR="002D7080" w:rsidRPr="00ED3FD3" w:rsidRDefault="002D7080" w:rsidP="008A0BC6">
            <w:pPr>
              <w:ind w:left="720" w:hanging="720"/>
              <w:contextualSpacing/>
              <w:jc w:val="both"/>
              <w:rPr>
                <w:rFonts w:ascii="Times New Roman" w:hAnsi="Times New Roman" w:cs="Times New Roman"/>
                <w:sz w:val="20"/>
                <w:szCs w:val="20"/>
              </w:rPr>
            </w:pPr>
            <w:r w:rsidRPr="00ED3FD3">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ED3FD3">
              <w:rPr>
                <w:rFonts w:ascii="Times New Roman" w:eastAsia="Calibri" w:hAnsi="Times New Roman" w:cs="Times New Roman"/>
                <w:sz w:val="20"/>
                <w:szCs w:val="20"/>
              </w:rPr>
              <w:t xml:space="preserve"> </w:t>
            </w:r>
            <w:r w:rsidRPr="00ED3FD3">
              <w:rPr>
                <w:rFonts w:ascii="Times New Roman" w:eastAsia="Calibri" w:hAnsi="Times New Roman" w:cs="Times New Roman"/>
                <w:bCs/>
                <w:i/>
                <w:sz w:val="20"/>
                <w:szCs w:val="20"/>
              </w:rPr>
              <w:t>Knowledge and Management of Aquatic Ecosystems</w:t>
            </w:r>
            <w:r w:rsidRPr="00ED3FD3">
              <w:rPr>
                <w:rFonts w:ascii="Times New Roman" w:eastAsia="Calibri" w:hAnsi="Times New Roman" w:cs="Times New Roman"/>
                <w:bCs/>
                <w:sz w:val="20"/>
                <w:szCs w:val="20"/>
              </w:rPr>
              <w:t xml:space="preserve"> 11, 394–395</w:t>
            </w:r>
            <w:r w:rsidRPr="00ED3FD3">
              <w:rPr>
                <w:rFonts w:ascii="Times New Roman" w:hAnsi="Times New Roman" w:cs="Times New Roman"/>
                <w:sz w:val="20"/>
                <w:szCs w:val="20"/>
              </w:rPr>
              <w:t xml:space="preserve">. </w:t>
            </w:r>
            <w:hyperlink w:history="1">
              <w:r w:rsidRPr="00ED3FD3">
                <w:rPr>
                  <w:rStyle w:val="Hyperlink"/>
                  <w:rFonts w:ascii="Times New Roman" w:hAnsi="Times New Roman" w:cs="Times New Roman"/>
                  <w:sz w:val="20"/>
                  <w:szCs w:val="20"/>
                </w:rPr>
                <w:t>https://doi.org/10.1051/kmae/2009025</w:t>
              </w:r>
            </w:hyperlink>
            <w:r w:rsidRPr="00ED3FD3">
              <w:rPr>
                <w:rFonts w:ascii="Times New Roman" w:hAnsi="Times New Roman" w:cs="Times New Roman"/>
                <w:sz w:val="20"/>
                <w:szCs w:val="20"/>
              </w:rPr>
              <w:t>.</w:t>
            </w:r>
          </w:p>
          <w:p w14:paraId="387980E8" w14:textId="77777777" w:rsidR="002D7080" w:rsidRPr="00ED3FD3" w:rsidRDefault="002D7080" w:rsidP="008A0BC6">
            <w:pPr>
              <w:ind w:left="702" w:hanging="702"/>
              <w:contextualSpacing/>
              <w:jc w:val="both"/>
              <w:rPr>
                <w:rFonts w:ascii="Times New Roman" w:eastAsia="Times New Roman" w:hAnsi="Times New Roman" w:cs="Times New Roman"/>
                <w:bCs/>
                <w:sz w:val="20"/>
                <w:szCs w:val="20"/>
                <w:lang w:eastAsia="en-ZA"/>
              </w:rPr>
            </w:pPr>
            <w:r w:rsidRPr="00ED3FD3">
              <w:rPr>
                <w:rStyle w:val="author"/>
                <w:rFonts w:ascii="Times New Roman" w:hAnsi="Times New Roman" w:cs="Times New Roman"/>
                <w:color w:val="1C1D1E"/>
                <w:sz w:val="20"/>
                <w:szCs w:val="20"/>
                <w:shd w:val="clear" w:color="auto" w:fill="FFFFFF"/>
              </w:rPr>
              <w:t>Madzivanzira, T</w:t>
            </w:r>
            <w:r>
              <w:rPr>
                <w:rStyle w:val="author"/>
                <w:rFonts w:ascii="Times New Roman" w:hAnsi="Times New Roman" w:cs="Times New Roman"/>
                <w:color w:val="1C1D1E"/>
                <w:sz w:val="20"/>
                <w:szCs w:val="20"/>
                <w:shd w:val="clear" w:color="auto" w:fill="FFFFFF"/>
              </w:rPr>
              <w:t>.</w:t>
            </w:r>
            <w:r w:rsidRPr="00ED3FD3">
              <w:rPr>
                <w:rStyle w:val="author"/>
                <w:rFonts w:ascii="Times New Roman" w:hAnsi="Times New Roman" w:cs="Times New Roman"/>
                <w:color w:val="1C1D1E"/>
                <w:sz w:val="20"/>
                <w:szCs w:val="20"/>
                <w:shd w:val="clear" w:color="auto" w:fill="FFFFFF"/>
              </w:rPr>
              <w:t>C</w:t>
            </w:r>
            <w:r w:rsidRPr="00ED3FD3">
              <w:rPr>
                <w:rFonts w:ascii="Times New Roman" w:hAnsi="Times New Roman" w:cs="Times New Roman"/>
                <w:color w:val="1C1D1E"/>
                <w:sz w:val="20"/>
                <w:szCs w:val="20"/>
                <w:shd w:val="clear" w:color="auto" w:fill="FFFFFF"/>
              </w:rPr>
              <w:t>,</w:t>
            </w:r>
            <w:r>
              <w:rPr>
                <w:rFonts w:ascii="Times New Roman" w:hAnsi="Times New Roman" w:cs="Times New Roman"/>
                <w:color w:val="1C1D1E"/>
                <w:sz w:val="20"/>
                <w:szCs w:val="20"/>
                <w:shd w:val="clear" w:color="auto" w:fill="FFFFFF"/>
              </w:rPr>
              <w:t>.</w:t>
            </w:r>
            <w:r w:rsidRPr="00ED3FD3">
              <w:rPr>
                <w:rFonts w:ascii="Times New Roman" w:hAnsi="Times New Roman" w:cs="Times New Roman"/>
                <w:color w:val="1C1D1E"/>
                <w:sz w:val="20"/>
                <w:szCs w:val="20"/>
                <w:shd w:val="clear" w:color="auto" w:fill="FFFFFF"/>
              </w:rPr>
              <w:t> </w:t>
            </w:r>
            <w:r w:rsidRPr="00ED3FD3">
              <w:rPr>
                <w:rStyle w:val="author"/>
                <w:rFonts w:ascii="Times New Roman" w:hAnsi="Times New Roman" w:cs="Times New Roman"/>
                <w:color w:val="1C1D1E"/>
                <w:sz w:val="20"/>
                <w:szCs w:val="20"/>
                <w:shd w:val="clear" w:color="auto" w:fill="FFFFFF"/>
              </w:rPr>
              <w:t>South, J</w:t>
            </w:r>
            <w:r>
              <w:rPr>
                <w:rFonts w:ascii="Times New Roman" w:hAnsi="Times New Roman" w:cs="Times New Roman"/>
                <w:color w:val="1C1D1E"/>
                <w:sz w:val="20"/>
                <w:szCs w:val="20"/>
                <w:shd w:val="clear" w:color="auto" w:fill="FFFFFF"/>
              </w:rPr>
              <w:t>. &amp;</w:t>
            </w:r>
            <w:r w:rsidRPr="00ED3FD3">
              <w:rPr>
                <w:rFonts w:ascii="Times New Roman" w:hAnsi="Times New Roman" w:cs="Times New Roman"/>
                <w:color w:val="1C1D1E"/>
                <w:sz w:val="20"/>
                <w:szCs w:val="20"/>
                <w:shd w:val="clear" w:color="auto" w:fill="FFFFFF"/>
              </w:rPr>
              <w:t> </w:t>
            </w:r>
            <w:r w:rsidRPr="00ED3FD3">
              <w:rPr>
                <w:rStyle w:val="author"/>
                <w:rFonts w:ascii="Times New Roman" w:hAnsi="Times New Roman" w:cs="Times New Roman"/>
                <w:color w:val="1C1D1E"/>
                <w:sz w:val="20"/>
                <w:szCs w:val="20"/>
                <w:shd w:val="clear" w:color="auto" w:fill="FFFFFF"/>
              </w:rPr>
              <w:t>Weyl, O</w:t>
            </w:r>
            <w:r>
              <w:rPr>
                <w:rStyle w:val="author"/>
                <w:rFonts w:ascii="Times New Roman" w:hAnsi="Times New Roman" w:cs="Times New Roman"/>
                <w:color w:val="1C1D1E"/>
                <w:sz w:val="20"/>
                <w:szCs w:val="20"/>
                <w:shd w:val="clear" w:color="auto" w:fill="FFFFFF"/>
              </w:rPr>
              <w:t>.</w:t>
            </w:r>
            <w:r w:rsidRPr="00ED3FD3">
              <w:rPr>
                <w:rStyle w:val="author"/>
                <w:rFonts w:ascii="Times New Roman" w:hAnsi="Times New Roman" w:cs="Times New Roman"/>
                <w:color w:val="1C1D1E"/>
                <w:sz w:val="20"/>
                <w:szCs w:val="20"/>
                <w:shd w:val="clear" w:color="auto" w:fill="FFFFFF"/>
              </w:rPr>
              <w:t>L</w:t>
            </w:r>
            <w:r>
              <w:rPr>
                <w:rStyle w:val="author"/>
                <w:rFonts w:ascii="Times New Roman" w:hAnsi="Times New Roman" w:cs="Times New Roman"/>
                <w:color w:val="1C1D1E"/>
                <w:sz w:val="20"/>
                <w:szCs w:val="20"/>
                <w:shd w:val="clear" w:color="auto" w:fill="FFFFFF"/>
              </w:rPr>
              <w:t>.</w:t>
            </w:r>
            <w:r w:rsidRPr="00ED3FD3">
              <w:rPr>
                <w:rStyle w:val="author"/>
                <w:rFonts w:ascii="Times New Roman" w:hAnsi="Times New Roman" w:cs="Times New Roman"/>
                <w:color w:val="1C1D1E"/>
                <w:sz w:val="20"/>
                <w:szCs w:val="20"/>
                <w:shd w:val="clear" w:color="auto" w:fill="FFFFFF"/>
              </w:rPr>
              <w:t>F</w:t>
            </w:r>
            <w:r w:rsidRPr="00ED3FD3">
              <w:rPr>
                <w:rFonts w:ascii="Times New Roman" w:hAnsi="Times New Roman" w:cs="Times New Roman"/>
                <w:color w:val="1C1D1E"/>
                <w:sz w:val="20"/>
                <w:szCs w:val="20"/>
                <w:shd w:val="clear" w:color="auto" w:fill="FFFFFF"/>
              </w:rPr>
              <w:t>.</w:t>
            </w:r>
            <w:r>
              <w:rPr>
                <w:rFonts w:ascii="Times New Roman" w:hAnsi="Times New Roman" w:cs="Times New Roman"/>
                <w:color w:val="1C1D1E"/>
                <w:sz w:val="20"/>
                <w:szCs w:val="20"/>
                <w:shd w:val="clear" w:color="auto" w:fill="FFFFFF"/>
              </w:rPr>
              <w:t>,</w:t>
            </w:r>
            <w:r w:rsidRPr="00ED3FD3">
              <w:rPr>
                <w:rFonts w:ascii="Times New Roman" w:hAnsi="Times New Roman" w:cs="Times New Roman"/>
                <w:color w:val="1C1D1E"/>
                <w:sz w:val="20"/>
                <w:szCs w:val="20"/>
                <w:shd w:val="clear" w:color="auto" w:fill="FFFFFF"/>
              </w:rPr>
              <w:t xml:space="preserve"> 2021, ‘</w:t>
            </w:r>
            <w:r w:rsidRPr="00ED3FD3">
              <w:rPr>
                <w:rStyle w:val="articletitle"/>
                <w:rFonts w:ascii="Times New Roman" w:hAnsi="Times New Roman" w:cs="Times New Roman"/>
                <w:color w:val="1C1D1E"/>
                <w:sz w:val="20"/>
                <w:szCs w:val="20"/>
                <w:shd w:val="clear" w:color="auto" w:fill="FFFFFF"/>
              </w:rPr>
              <w:t>Invasive crayfish outperform Potamonautid crabs at higher temperatures’,</w:t>
            </w:r>
            <w:r w:rsidRPr="00ED3FD3">
              <w:rPr>
                <w:rFonts w:ascii="Times New Roman" w:hAnsi="Times New Roman" w:cs="Times New Roman"/>
                <w:color w:val="1C1D1E"/>
                <w:sz w:val="20"/>
                <w:szCs w:val="20"/>
                <w:shd w:val="clear" w:color="auto" w:fill="FFFFFF"/>
              </w:rPr>
              <w:t> </w:t>
            </w:r>
            <w:r w:rsidRPr="00ED3FD3">
              <w:rPr>
                <w:rFonts w:ascii="Times New Roman" w:hAnsi="Times New Roman" w:cs="Times New Roman"/>
                <w:i/>
                <w:iCs/>
                <w:color w:val="1C1D1E"/>
                <w:sz w:val="20"/>
                <w:szCs w:val="20"/>
                <w:shd w:val="clear" w:color="auto" w:fill="FFFFFF"/>
              </w:rPr>
              <w:t>Freshwater Biology</w:t>
            </w:r>
            <w:r w:rsidRPr="00ED3FD3">
              <w:rPr>
                <w:rFonts w:ascii="Times New Roman" w:hAnsi="Times New Roman" w:cs="Times New Roman"/>
                <w:color w:val="1C1D1E"/>
                <w:sz w:val="20"/>
                <w:szCs w:val="20"/>
                <w:shd w:val="clear" w:color="auto" w:fill="FFFFFF"/>
              </w:rPr>
              <w:t> </w:t>
            </w:r>
            <w:r w:rsidRPr="00ED3FD3">
              <w:rPr>
                <w:rStyle w:val="vol"/>
                <w:rFonts w:ascii="Times New Roman" w:hAnsi="Times New Roman" w:cs="Times New Roman"/>
                <w:color w:val="1C1D1E"/>
                <w:sz w:val="20"/>
                <w:szCs w:val="20"/>
                <w:shd w:val="clear" w:color="auto" w:fill="FFFFFF"/>
              </w:rPr>
              <w:t>66,</w:t>
            </w:r>
            <w:r w:rsidRPr="00ED3FD3">
              <w:rPr>
                <w:rFonts w:ascii="Times New Roman" w:hAnsi="Times New Roman" w:cs="Times New Roman"/>
                <w:color w:val="1C1D1E"/>
                <w:sz w:val="20"/>
                <w:szCs w:val="20"/>
                <w:shd w:val="clear" w:color="auto" w:fill="FFFFFF"/>
              </w:rPr>
              <w:t> </w:t>
            </w:r>
            <w:r w:rsidRPr="00ED3FD3">
              <w:rPr>
                <w:rStyle w:val="pagefirst"/>
                <w:rFonts w:ascii="Times New Roman" w:hAnsi="Times New Roman" w:cs="Times New Roman"/>
                <w:color w:val="1C1D1E"/>
                <w:sz w:val="20"/>
                <w:szCs w:val="20"/>
                <w:shd w:val="clear" w:color="auto" w:fill="FFFFFF"/>
              </w:rPr>
              <w:t>978</w:t>
            </w:r>
            <w:r w:rsidRPr="00ED3FD3">
              <w:rPr>
                <w:rFonts w:ascii="Times New Roman" w:hAnsi="Times New Roman" w:cs="Times New Roman"/>
                <w:color w:val="1C1D1E"/>
                <w:sz w:val="20"/>
                <w:szCs w:val="20"/>
                <w:shd w:val="clear" w:color="auto" w:fill="FFFFFF"/>
              </w:rPr>
              <w:t>–</w:t>
            </w:r>
            <w:r w:rsidRPr="00ED3FD3">
              <w:rPr>
                <w:rStyle w:val="pagelast"/>
                <w:rFonts w:ascii="Times New Roman" w:hAnsi="Times New Roman" w:cs="Times New Roman"/>
                <w:color w:val="1C1D1E"/>
                <w:sz w:val="20"/>
                <w:szCs w:val="20"/>
                <w:shd w:val="clear" w:color="auto" w:fill="FFFFFF"/>
              </w:rPr>
              <w:t>991</w:t>
            </w:r>
            <w:r w:rsidRPr="00ED3FD3">
              <w:rPr>
                <w:rFonts w:ascii="Times New Roman" w:hAnsi="Times New Roman" w:cs="Times New Roman"/>
                <w:color w:val="1C1D1E"/>
                <w:sz w:val="20"/>
                <w:szCs w:val="20"/>
                <w:shd w:val="clear" w:color="auto" w:fill="FFFFFF"/>
              </w:rPr>
              <w:t>. </w:t>
            </w:r>
            <w:hyperlink w:history="1">
              <w:r w:rsidRPr="00ED3FD3">
                <w:rPr>
                  <w:rStyle w:val="Hyperlink"/>
                  <w:rFonts w:ascii="Times New Roman" w:hAnsi="Times New Roman" w:cs="Times New Roman"/>
                  <w:sz w:val="20"/>
                  <w:szCs w:val="20"/>
                  <w:shd w:val="clear" w:color="auto" w:fill="FFFFFF"/>
                </w:rPr>
                <w:t>https://doi.org/10.1111/fwb.13691</w:t>
              </w:r>
            </w:hyperlink>
          </w:p>
          <w:p w14:paraId="285325EA" w14:textId="77777777" w:rsidR="002D7080" w:rsidRPr="00ED3FD3" w:rsidRDefault="002D7080" w:rsidP="008A0BC6">
            <w:pPr>
              <w:ind w:left="720" w:hanging="720"/>
              <w:contextualSpacing/>
              <w:jc w:val="both"/>
              <w:rPr>
                <w:rFonts w:ascii="Times New Roman" w:eastAsia="Calibri" w:hAnsi="Times New Roman" w:cs="Times New Roman"/>
                <w:bCs/>
                <w:sz w:val="20"/>
                <w:szCs w:val="20"/>
              </w:rPr>
            </w:pPr>
            <w:r w:rsidRPr="00ED3FD3">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ED3FD3">
              <w:rPr>
                <w:rFonts w:ascii="Times New Roman" w:eastAsia="Times New Roman" w:hAnsi="Times New Roman" w:cs="Times New Roman"/>
                <w:i/>
                <w:color w:val="000000"/>
                <w:sz w:val="20"/>
                <w:szCs w:val="20"/>
                <w:lang w:eastAsia="en-ZA"/>
              </w:rPr>
              <w:t>African Journal of Aquatic Science</w:t>
            </w:r>
            <w:r w:rsidRPr="00ED3FD3">
              <w:rPr>
                <w:rFonts w:ascii="Times New Roman" w:eastAsia="Times New Roman" w:hAnsi="Times New Roman" w:cs="Times New Roman"/>
                <w:color w:val="000000"/>
                <w:sz w:val="20"/>
                <w:szCs w:val="20"/>
                <w:lang w:eastAsia="en-ZA"/>
              </w:rPr>
              <w:t xml:space="preserve"> 42, 309–323, https://doi.org/10.2989/16085914.2017.1405788.</w:t>
            </w:r>
          </w:p>
        </w:tc>
      </w:tr>
      <w:tr w:rsidR="002D7080" w:rsidRPr="00ED3FD3" w14:paraId="2DE29F4B" w14:textId="77777777" w:rsidTr="002E2C37">
        <w:trPr>
          <w:trHeight w:val="343"/>
        </w:trPr>
        <w:tc>
          <w:tcPr>
            <w:tcW w:w="9067" w:type="dxa"/>
            <w:gridSpan w:val="2"/>
            <w:shd w:val="clear" w:color="auto" w:fill="F2F2F2" w:themeFill="background1" w:themeFillShade="F2"/>
          </w:tcPr>
          <w:p w14:paraId="3D101AD8"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 xml:space="preserve">MAN2b Environmental benefits of the </w:t>
            </w:r>
            <w:r w:rsidRPr="00ED3FD3">
              <w:rPr>
                <w:rFonts w:ascii="Times New Roman" w:eastAsia="Times New Roman" w:hAnsi="Times New Roman" w:cs="Times New Roman"/>
                <w:b/>
                <w:i/>
                <w:sz w:val="20"/>
                <w:szCs w:val="20"/>
                <w:lang w:eastAsia="en-ZA"/>
              </w:rPr>
              <w:t>Taxon</w:t>
            </w:r>
          </w:p>
        </w:tc>
      </w:tr>
      <w:tr w:rsidR="002D7080" w:rsidRPr="00ED3FD3" w14:paraId="7EF33955" w14:textId="77777777" w:rsidTr="002E2C37">
        <w:trPr>
          <w:trHeight w:val="259"/>
        </w:trPr>
        <w:tc>
          <w:tcPr>
            <w:tcW w:w="5240" w:type="dxa"/>
          </w:tcPr>
          <w:p w14:paraId="6A05DD61"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Low</w:t>
            </w:r>
          </w:p>
        </w:tc>
        <w:tc>
          <w:tcPr>
            <w:tcW w:w="3827" w:type="dxa"/>
          </w:tcPr>
          <w:p w14:paraId="7E0AC9F8"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0B4218D8" w14:textId="77777777" w:rsidTr="002E2C37">
        <w:trPr>
          <w:trHeight w:val="70"/>
        </w:trPr>
        <w:tc>
          <w:tcPr>
            <w:tcW w:w="9067" w:type="dxa"/>
            <w:gridSpan w:val="2"/>
          </w:tcPr>
          <w:p w14:paraId="53EB7707"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There are no recorded environmental benefits of </w:t>
            </w:r>
            <w:r w:rsidRPr="00ED3FD3">
              <w:rPr>
                <w:rFonts w:ascii="Times New Roman" w:eastAsia="Times New Roman" w:hAnsi="Times New Roman" w:cs="Times New Roman"/>
                <w:i/>
                <w:iCs/>
                <w:sz w:val="20"/>
                <w:szCs w:val="20"/>
                <w:lang w:eastAsia="en-ZA"/>
              </w:rPr>
              <w:t>P. leniusculus</w:t>
            </w:r>
            <w:r w:rsidRPr="00ED3FD3">
              <w:rPr>
                <w:rFonts w:ascii="Times New Roman" w:eastAsia="Times New Roman" w:hAnsi="Times New Roman" w:cs="Times New Roman"/>
                <w:sz w:val="20"/>
                <w:szCs w:val="20"/>
                <w:lang w:eastAsia="en-ZA"/>
              </w:rPr>
              <w:t xml:space="preserve">. </w:t>
            </w:r>
          </w:p>
        </w:tc>
      </w:tr>
      <w:tr w:rsidR="002D7080" w:rsidRPr="00ED3FD3" w14:paraId="3628F549" w14:textId="77777777" w:rsidTr="002E2C37">
        <w:trPr>
          <w:trHeight w:val="70"/>
        </w:trPr>
        <w:tc>
          <w:tcPr>
            <w:tcW w:w="9067" w:type="dxa"/>
            <w:gridSpan w:val="2"/>
          </w:tcPr>
          <w:p w14:paraId="01BFCD05"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tc>
      </w:tr>
    </w:tbl>
    <w:p w14:paraId="5C56BB66"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ED3FD3" w14:paraId="329D81B2" w14:textId="77777777" w:rsidTr="002E2C37">
        <w:trPr>
          <w:trHeight w:val="343"/>
        </w:trPr>
        <w:tc>
          <w:tcPr>
            <w:tcW w:w="9067" w:type="dxa"/>
            <w:gridSpan w:val="2"/>
            <w:shd w:val="clear" w:color="auto" w:fill="F2F2F2" w:themeFill="background1" w:themeFillShade="F2"/>
          </w:tcPr>
          <w:p w14:paraId="06602CA6"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lastRenderedPageBreak/>
              <w:t>MAN3 Ease of management</w:t>
            </w:r>
          </w:p>
        </w:tc>
      </w:tr>
      <w:tr w:rsidR="002D7080" w:rsidRPr="00ED3FD3" w14:paraId="19335577" w14:textId="77777777" w:rsidTr="002E2C37">
        <w:trPr>
          <w:trHeight w:val="343"/>
        </w:trPr>
        <w:tc>
          <w:tcPr>
            <w:tcW w:w="9067" w:type="dxa"/>
            <w:gridSpan w:val="2"/>
            <w:shd w:val="clear" w:color="auto" w:fill="F2F2F2" w:themeFill="background1" w:themeFillShade="F2"/>
          </w:tcPr>
          <w:p w14:paraId="5F8555A4"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MAN3a How accessible are populations?</w:t>
            </w:r>
          </w:p>
        </w:tc>
      </w:tr>
      <w:tr w:rsidR="002D7080" w:rsidRPr="00ED3FD3" w14:paraId="45A7CEC0" w14:textId="77777777" w:rsidTr="002E2C37">
        <w:trPr>
          <w:trHeight w:val="183"/>
        </w:trPr>
        <w:tc>
          <w:tcPr>
            <w:tcW w:w="5240" w:type="dxa"/>
          </w:tcPr>
          <w:p w14:paraId="61626462"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2 (don’t know)</w:t>
            </w:r>
          </w:p>
        </w:tc>
        <w:tc>
          <w:tcPr>
            <w:tcW w:w="3827" w:type="dxa"/>
          </w:tcPr>
          <w:p w14:paraId="16B1FF9C"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6CB8B344" w14:textId="77777777" w:rsidTr="002E2C37">
        <w:trPr>
          <w:trHeight w:val="163"/>
        </w:trPr>
        <w:tc>
          <w:tcPr>
            <w:tcW w:w="9067" w:type="dxa"/>
            <w:gridSpan w:val="2"/>
          </w:tcPr>
          <w:p w14:paraId="51B375BD" w14:textId="77777777" w:rsidR="002D7080" w:rsidRPr="00ED3FD3" w:rsidRDefault="002D7080" w:rsidP="002E2C37">
            <w:pPr>
              <w:jc w:val="both"/>
              <w:rPr>
                <w:rFonts w:ascii="Times New Roman" w:eastAsia="Times New Roman" w:hAnsi="Times New Roman" w:cs="Times New Roman"/>
                <w:sz w:val="20"/>
                <w:szCs w:val="20"/>
                <w:u w:val="single"/>
                <w:lang w:eastAsia="en-ZA"/>
              </w:rPr>
            </w:pPr>
            <w:r w:rsidRPr="00ED3FD3">
              <w:rPr>
                <w:rFonts w:ascii="Times New Roman" w:eastAsia="Times New Roman" w:hAnsi="Times New Roman" w:cs="Times New Roman"/>
                <w:sz w:val="20"/>
                <w:szCs w:val="20"/>
                <w:lang w:eastAsia="en-ZA"/>
              </w:rPr>
              <w:t xml:space="preserve">Rationale: There are no locality records for </w:t>
            </w:r>
            <w:r w:rsidRPr="00ED3FD3">
              <w:rPr>
                <w:rFonts w:ascii="Times New Roman" w:eastAsia="Times New Roman" w:hAnsi="Times New Roman" w:cs="Times New Roman"/>
                <w:i/>
                <w:iCs/>
                <w:sz w:val="20"/>
                <w:szCs w:val="20"/>
                <w:lang w:eastAsia="en-ZA"/>
              </w:rPr>
              <w:t>P. leniusculus</w:t>
            </w:r>
            <w:r w:rsidRPr="00ED3FD3">
              <w:rPr>
                <w:rFonts w:ascii="Times New Roman" w:eastAsia="Times New Roman" w:hAnsi="Times New Roman" w:cs="Times New Roman"/>
                <w:sz w:val="20"/>
                <w:szCs w:val="20"/>
                <w:lang w:eastAsia="en-ZA"/>
              </w:rPr>
              <w:t xml:space="preserve"> in South Africa (Madzivanzira et al. 2021, Nunes et al. 2017).</w:t>
            </w:r>
            <w:r w:rsidRPr="00ED3FD3">
              <w:rPr>
                <w:rFonts w:ascii="Times New Roman" w:eastAsia="Times New Roman" w:hAnsi="Times New Roman" w:cs="Times New Roman"/>
                <w:sz w:val="20"/>
                <w:szCs w:val="20"/>
                <w:u w:val="single"/>
                <w:lang w:eastAsia="en-ZA"/>
              </w:rPr>
              <w:t xml:space="preserve"> </w:t>
            </w:r>
          </w:p>
        </w:tc>
      </w:tr>
      <w:tr w:rsidR="002D7080" w:rsidRPr="00ED3FD3" w14:paraId="0D8FA581" w14:textId="77777777" w:rsidTr="002E2C37">
        <w:trPr>
          <w:trHeight w:val="70"/>
        </w:trPr>
        <w:tc>
          <w:tcPr>
            <w:tcW w:w="9067" w:type="dxa"/>
            <w:gridSpan w:val="2"/>
          </w:tcPr>
          <w:p w14:paraId="04C22F38"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289A2008" w14:textId="77777777" w:rsidR="002D7080" w:rsidRPr="008D7651" w:rsidRDefault="002D7080" w:rsidP="008A0BC6">
            <w:pPr>
              <w:ind w:left="702" w:hanging="702"/>
              <w:contextualSpacing/>
              <w:jc w:val="both"/>
              <w:rPr>
                <w:rFonts w:ascii="Times New Roman" w:eastAsia="Times New Roman" w:hAnsi="Times New Roman" w:cs="Times New Roman"/>
                <w:bCs/>
                <w:sz w:val="20"/>
                <w:szCs w:val="20"/>
                <w:lang w:eastAsia="en-ZA"/>
              </w:rPr>
            </w:pPr>
            <w:r w:rsidRPr="008A0BC6">
              <w:rPr>
                <w:rStyle w:val="author"/>
                <w:rFonts w:ascii="Times New Roman" w:hAnsi="Times New Roman" w:cs="Times New Roman"/>
                <w:sz w:val="20"/>
                <w:szCs w:val="20"/>
                <w:shd w:val="clear" w:color="auto" w:fill="FFFFFF"/>
              </w:rPr>
              <w:t>Madzivanzira, T.C</w:t>
            </w:r>
            <w:r w:rsidRPr="008A0BC6">
              <w:rPr>
                <w:rFonts w:ascii="Times New Roman" w:hAnsi="Times New Roman" w:cs="Times New Roman"/>
                <w:sz w:val="20"/>
                <w:szCs w:val="20"/>
                <w:shd w:val="clear" w:color="auto" w:fill="FFFFFF"/>
              </w:rPr>
              <w:t>, </w:t>
            </w:r>
            <w:r w:rsidRPr="008A0BC6">
              <w:rPr>
                <w:rStyle w:val="author"/>
                <w:rFonts w:ascii="Times New Roman" w:hAnsi="Times New Roman" w:cs="Times New Roman"/>
                <w:sz w:val="20"/>
                <w:szCs w:val="20"/>
                <w:shd w:val="clear" w:color="auto" w:fill="FFFFFF"/>
              </w:rPr>
              <w:t>South, J</w:t>
            </w:r>
            <w:r w:rsidRPr="008A0BC6">
              <w:rPr>
                <w:rFonts w:ascii="Times New Roman" w:hAnsi="Times New Roman" w:cs="Times New Roman"/>
                <w:sz w:val="20"/>
                <w:szCs w:val="20"/>
                <w:shd w:val="clear" w:color="auto" w:fill="FFFFFF"/>
              </w:rPr>
              <w:t>. &amp; </w:t>
            </w:r>
            <w:r w:rsidRPr="008A0BC6">
              <w:rPr>
                <w:rStyle w:val="author"/>
                <w:rFonts w:ascii="Times New Roman" w:hAnsi="Times New Roman" w:cs="Times New Roman"/>
                <w:sz w:val="20"/>
                <w:szCs w:val="20"/>
                <w:shd w:val="clear" w:color="auto" w:fill="FFFFFF"/>
              </w:rPr>
              <w:t>Weyl, O.L.F</w:t>
            </w:r>
            <w:r w:rsidRPr="008A0BC6">
              <w:rPr>
                <w:rFonts w:ascii="Times New Roman" w:hAnsi="Times New Roman" w:cs="Times New Roman"/>
                <w:sz w:val="20"/>
                <w:szCs w:val="20"/>
                <w:shd w:val="clear" w:color="auto" w:fill="FFFFFF"/>
              </w:rPr>
              <w:t>., 2021, ‘</w:t>
            </w:r>
            <w:r w:rsidRPr="008A0BC6">
              <w:rPr>
                <w:rStyle w:val="articletitle"/>
                <w:rFonts w:ascii="Times New Roman" w:hAnsi="Times New Roman" w:cs="Times New Roman"/>
                <w:sz w:val="20"/>
                <w:szCs w:val="20"/>
                <w:shd w:val="clear" w:color="auto" w:fill="FFFFFF"/>
              </w:rPr>
              <w:t>Invasive crayfish outperform Potamonautid crabs at higher temperatures’,</w:t>
            </w:r>
            <w:r w:rsidRPr="008A0BC6">
              <w:rPr>
                <w:rFonts w:ascii="Times New Roman" w:hAnsi="Times New Roman" w:cs="Times New Roman"/>
                <w:sz w:val="20"/>
                <w:szCs w:val="20"/>
                <w:shd w:val="clear" w:color="auto" w:fill="FFFFFF"/>
              </w:rPr>
              <w:t> </w:t>
            </w:r>
            <w:r w:rsidRPr="008A0BC6">
              <w:rPr>
                <w:rFonts w:ascii="Times New Roman" w:hAnsi="Times New Roman" w:cs="Times New Roman"/>
                <w:i/>
                <w:iCs/>
                <w:sz w:val="20"/>
                <w:szCs w:val="20"/>
                <w:shd w:val="clear" w:color="auto" w:fill="FFFFFF"/>
              </w:rPr>
              <w:t>Freshwater Biology</w:t>
            </w:r>
            <w:r w:rsidRPr="008A0BC6">
              <w:rPr>
                <w:rFonts w:ascii="Times New Roman" w:hAnsi="Times New Roman" w:cs="Times New Roman"/>
                <w:sz w:val="20"/>
                <w:szCs w:val="20"/>
                <w:shd w:val="clear" w:color="auto" w:fill="FFFFFF"/>
              </w:rPr>
              <w:t> </w:t>
            </w:r>
            <w:r w:rsidRPr="008A0BC6">
              <w:rPr>
                <w:rStyle w:val="vol"/>
                <w:rFonts w:ascii="Times New Roman" w:hAnsi="Times New Roman" w:cs="Times New Roman"/>
                <w:sz w:val="20"/>
                <w:szCs w:val="20"/>
                <w:shd w:val="clear" w:color="auto" w:fill="FFFFFF"/>
              </w:rPr>
              <w:t>66,</w:t>
            </w:r>
            <w:r w:rsidRPr="008A0BC6">
              <w:rPr>
                <w:rFonts w:ascii="Times New Roman" w:hAnsi="Times New Roman" w:cs="Times New Roman"/>
                <w:sz w:val="20"/>
                <w:szCs w:val="20"/>
                <w:shd w:val="clear" w:color="auto" w:fill="FFFFFF"/>
              </w:rPr>
              <w:t> </w:t>
            </w:r>
            <w:r w:rsidRPr="008A0BC6">
              <w:rPr>
                <w:rStyle w:val="pagefirst"/>
                <w:rFonts w:ascii="Times New Roman" w:hAnsi="Times New Roman" w:cs="Times New Roman"/>
                <w:sz w:val="20"/>
                <w:szCs w:val="20"/>
                <w:shd w:val="clear" w:color="auto" w:fill="FFFFFF"/>
              </w:rPr>
              <w:t>978</w:t>
            </w:r>
            <w:r w:rsidRPr="008A0BC6">
              <w:rPr>
                <w:rFonts w:ascii="Times New Roman" w:hAnsi="Times New Roman" w:cs="Times New Roman"/>
                <w:sz w:val="20"/>
                <w:szCs w:val="20"/>
                <w:shd w:val="clear" w:color="auto" w:fill="FFFFFF"/>
              </w:rPr>
              <w:t>–</w:t>
            </w:r>
            <w:r w:rsidRPr="008A0BC6">
              <w:rPr>
                <w:rStyle w:val="pagelast"/>
                <w:rFonts w:ascii="Times New Roman" w:hAnsi="Times New Roman" w:cs="Times New Roman"/>
                <w:sz w:val="20"/>
                <w:szCs w:val="20"/>
                <w:shd w:val="clear" w:color="auto" w:fill="FFFFFF"/>
              </w:rPr>
              <w:t>991</w:t>
            </w:r>
            <w:r w:rsidRPr="008A0BC6">
              <w:rPr>
                <w:rFonts w:ascii="Times New Roman" w:hAnsi="Times New Roman" w:cs="Times New Roman"/>
                <w:sz w:val="20"/>
                <w:szCs w:val="20"/>
                <w:shd w:val="clear" w:color="auto" w:fill="FFFFFF"/>
              </w:rPr>
              <w:t>. </w:t>
            </w:r>
            <w:hyperlink w:history="1">
              <w:r w:rsidRPr="008A0BC6">
                <w:rPr>
                  <w:rStyle w:val="Hyperlink"/>
                  <w:rFonts w:ascii="Times New Roman" w:hAnsi="Times New Roman" w:cs="Times New Roman"/>
                  <w:color w:val="auto"/>
                  <w:sz w:val="20"/>
                  <w:szCs w:val="20"/>
                  <w:shd w:val="clear" w:color="auto" w:fill="FFFFFF"/>
                </w:rPr>
                <w:t>https://doi.org/10.1111/fwb.13691</w:t>
              </w:r>
            </w:hyperlink>
          </w:p>
          <w:p w14:paraId="3BCB9E96" w14:textId="20088D6A" w:rsidR="002D7080" w:rsidRPr="00ED3FD3" w:rsidRDefault="002D7080" w:rsidP="008A0BC6">
            <w:pPr>
              <w:ind w:left="720" w:hanging="720"/>
              <w:contextualSpacing/>
              <w:jc w:val="both"/>
              <w:rPr>
                <w:rFonts w:ascii="Times New Roman" w:eastAsia="Times New Roman" w:hAnsi="Times New Roman" w:cs="Times New Roman"/>
                <w:sz w:val="20"/>
                <w:szCs w:val="20"/>
                <w:lang w:eastAsia="en-ZA"/>
              </w:rPr>
            </w:pPr>
            <w:r w:rsidRPr="008A0BC6">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8A0BC6">
              <w:rPr>
                <w:rFonts w:ascii="Times New Roman" w:eastAsia="Times New Roman" w:hAnsi="Times New Roman" w:cs="Times New Roman"/>
                <w:i/>
                <w:sz w:val="20"/>
                <w:szCs w:val="20"/>
                <w:lang w:eastAsia="en-ZA"/>
              </w:rPr>
              <w:t>African Journal of Aquatic Science</w:t>
            </w:r>
            <w:r w:rsidRPr="008A0BC6">
              <w:rPr>
                <w:rFonts w:ascii="Times New Roman" w:eastAsia="Times New Roman" w:hAnsi="Times New Roman" w:cs="Times New Roman"/>
                <w:sz w:val="20"/>
                <w:szCs w:val="20"/>
                <w:lang w:eastAsia="en-ZA"/>
              </w:rPr>
              <w:t xml:space="preserve"> 42, 309–323, </w:t>
            </w:r>
            <w:r w:rsidR="008D7651" w:rsidRPr="008D7651">
              <w:rPr>
                <w:rFonts w:ascii="Times New Roman" w:eastAsia="Times New Roman" w:hAnsi="Times New Roman" w:cs="Times New Roman"/>
                <w:sz w:val="20"/>
                <w:szCs w:val="20"/>
                <w:lang w:eastAsia="en-ZA"/>
              </w:rPr>
              <w:t>https://doi.org/10.2989/16085914.2017.1405788</w:t>
            </w:r>
            <w:r w:rsidRPr="008A0BC6">
              <w:rPr>
                <w:rFonts w:ascii="Times New Roman" w:eastAsia="Times New Roman" w:hAnsi="Times New Roman" w:cs="Times New Roman"/>
                <w:sz w:val="20"/>
                <w:szCs w:val="20"/>
                <w:lang w:eastAsia="en-ZA"/>
              </w:rPr>
              <w:t>.</w:t>
            </w:r>
          </w:p>
        </w:tc>
      </w:tr>
      <w:tr w:rsidR="002D7080" w:rsidRPr="00ED3FD3" w14:paraId="06329D03" w14:textId="77777777" w:rsidTr="002E2C37">
        <w:trPr>
          <w:trHeight w:val="343"/>
        </w:trPr>
        <w:tc>
          <w:tcPr>
            <w:tcW w:w="9067" w:type="dxa"/>
            <w:gridSpan w:val="2"/>
            <w:shd w:val="clear" w:color="auto" w:fill="F2F2F2" w:themeFill="background1" w:themeFillShade="F2"/>
          </w:tcPr>
          <w:p w14:paraId="5ACD0481"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MAN3b Is detectability critically time-dependent?</w:t>
            </w:r>
          </w:p>
        </w:tc>
      </w:tr>
      <w:tr w:rsidR="002D7080" w:rsidRPr="00ED3FD3" w14:paraId="13FB39B5" w14:textId="77777777" w:rsidTr="002E2C37">
        <w:trPr>
          <w:trHeight w:val="183"/>
        </w:trPr>
        <w:tc>
          <w:tcPr>
            <w:tcW w:w="5240" w:type="dxa"/>
          </w:tcPr>
          <w:p w14:paraId="5EBE2EE4" w14:textId="77777777" w:rsidR="002D7080" w:rsidRPr="00ED3FD3" w:rsidRDefault="002D7080" w:rsidP="002E2C37">
            <w:pPr>
              <w:tabs>
                <w:tab w:val="left" w:pos="1481"/>
              </w:tabs>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Difficult (2)</w:t>
            </w:r>
          </w:p>
        </w:tc>
        <w:tc>
          <w:tcPr>
            <w:tcW w:w="3827" w:type="dxa"/>
          </w:tcPr>
          <w:p w14:paraId="4119C083"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15B4E8C2" w14:textId="77777777" w:rsidTr="002E2C37">
        <w:trPr>
          <w:trHeight w:val="70"/>
        </w:trPr>
        <w:tc>
          <w:tcPr>
            <w:tcW w:w="9067" w:type="dxa"/>
            <w:gridSpan w:val="2"/>
          </w:tcPr>
          <w:p w14:paraId="27E19F9C"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is a fairly small, largely nocturnal, burrowing freshwater species that is difficult to detect (Dana et al. 2010; Guan 2010).</w:t>
            </w:r>
          </w:p>
        </w:tc>
      </w:tr>
      <w:tr w:rsidR="002D7080" w:rsidRPr="00ED3FD3" w14:paraId="38EDF270" w14:textId="77777777" w:rsidTr="002E2C37">
        <w:trPr>
          <w:trHeight w:val="70"/>
        </w:trPr>
        <w:tc>
          <w:tcPr>
            <w:tcW w:w="9067" w:type="dxa"/>
            <w:gridSpan w:val="2"/>
          </w:tcPr>
          <w:p w14:paraId="58522015" w14:textId="77777777" w:rsidR="002D7080" w:rsidRPr="00ED3FD3" w:rsidRDefault="002D7080" w:rsidP="00C94525">
            <w:pPr>
              <w:ind w:left="720" w:hanging="72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61A5BC04" w14:textId="77777777" w:rsidR="002D7080" w:rsidRPr="00ED3FD3" w:rsidRDefault="002D7080" w:rsidP="00C94525">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Dana, E.D., López-Santiago J., García-de-Lomas, J., García-Ocaña, D.M., Gámez, V. &amp; Ortega, F., 2010, ‘Long-term management of the invasive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(Dana, 1852) in a small mountain stream’, </w:t>
            </w:r>
            <w:r w:rsidRPr="00ED3FD3">
              <w:rPr>
                <w:rFonts w:ascii="Times New Roman" w:eastAsia="Times New Roman" w:hAnsi="Times New Roman" w:cs="Times New Roman"/>
                <w:i/>
                <w:iCs/>
                <w:sz w:val="20"/>
                <w:szCs w:val="20"/>
                <w:lang w:eastAsia="en-ZA"/>
              </w:rPr>
              <w:t>Aquatic Invasions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5</w:t>
            </w:r>
            <w:r w:rsidRPr="00ED3FD3">
              <w:rPr>
                <w:rFonts w:ascii="Times New Roman" w:eastAsia="Times New Roman" w:hAnsi="Times New Roman" w:cs="Times New Roman"/>
                <w:sz w:val="20"/>
                <w:szCs w:val="20"/>
                <w:lang w:eastAsia="en-ZA"/>
              </w:rPr>
              <w:t>, 317–322.</w:t>
            </w:r>
            <w:r>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sz w:val="20"/>
                <w:szCs w:val="20"/>
                <w:lang w:eastAsia="en-ZA"/>
              </w:rPr>
              <w:t>https://doi.org/10.3391/ai.2010.5.3.10.</w:t>
            </w:r>
          </w:p>
          <w:p w14:paraId="2E2ABEFE" w14:textId="77777777" w:rsidR="002D7080" w:rsidRPr="00ED3FD3" w:rsidRDefault="002D7080" w:rsidP="00C94525">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Guan, R.Z., 2010, ‘Burrowing behaviour of signal crayfish,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(Dana) in the River Great Ouse, England’, </w:t>
            </w:r>
            <w:r w:rsidRPr="00ED3FD3">
              <w:rPr>
                <w:rFonts w:ascii="Times New Roman" w:eastAsia="Times New Roman" w:hAnsi="Times New Roman" w:cs="Times New Roman"/>
                <w:i/>
                <w:iCs/>
                <w:sz w:val="20"/>
                <w:szCs w:val="20"/>
                <w:lang w:eastAsia="en-ZA"/>
              </w:rPr>
              <w:t>Freshwater Forum</w:t>
            </w:r>
            <w:r w:rsidRPr="00ED3FD3">
              <w:rPr>
                <w:rFonts w:ascii="Times New Roman" w:eastAsia="Times New Roman" w:hAnsi="Times New Roman" w:cs="Times New Roman"/>
                <w:sz w:val="20"/>
                <w:szCs w:val="20"/>
                <w:lang w:eastAsia="en-ZA"/>
              </w:rPr>
              <w:t xml:space="preserve"> 4,155–168.</w:t>
            </w:r>
          </w:p>
        </w:tc>
      </w:tr>
      <w:tr w:rsidR="002D7080" w:rsidRPr="00ED3FD3" w14:paraId="44154F41" w14:textId="77777777" w:rsidTr="002E2C37">
        <w:trPr>
          <w:trHeight w:val="343"/>
        </w:trPr>
        <w:tc>
          <w:tcPr>
            <w:tcW w:w="9067" w:type="dxa"/>
            <w:gridSpan w:val="2"/>
            <w:shd w:val="clear" w:color="auto" w:fill="F2F2F2" w:themeFill="background1" w:themeFillShade="F2"/>
          </w:tcPr>
          <w:p w14:paraId="1B7A7633" w14:textId="77777777" w:rsidR="002D7080" w:rsidRPr="00ED3FD3" w:rsidRDefault="002D7080" w:rsidP="00C94525">
            <w:pPr>
              <w:jc w:val="both"/>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MAN3c Time to reproduction</w:t>
            </w:r>
          </w:p>
        </w:tc>
      </w:tr>
      <w:tr w:rsidR="002D7080" w:rsidRPr="00ED3FD3" w14:paraId="2310A5F5" w14:textId="77777777" w:rsidTr="002E2C37">
        <w:trPr>
          <w:trHeight w:val="183"/>
        </w:trPr>
        <w:tc>
          <w:tcPr>
            <w:tcW w:w="5240" w:type="dxa"/>
          </w:tcPr>
          <w:p w14:paraId="008E4A75"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Response:1 (1–3 years)</w:t>
            </w:r>
          </w:p>
        </w:tc>
        <w:tc>
          <w:tcPr>
            <w:tcW w:w="3827" w:type="dxa"/>
          </w:tcPr>
          <w:p w14:paraId="6DCB15CF"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Confidence: High </w:t>
            </w:r>
          </w:p>
        </w:tc>
      </w:tr>
      <w:tr w:rsidR="002D7080" w:rsidRPr="00ED3FD3" w14:paraId="3EB14F5B" w14:textId="77777777" w:rsidTr="002E2C37">
        <w:trPr>
          <w:trHeight w:val="70"/>
        </w:trPr>
        <w:tc>
          <w:tcPr>
            <w:tcW w:w="9067" w:type="dxa"/>
            <w:gridSpan w:val="2"/>
          </w:tcPr>
          <w:p w14:paraId="50BB5B7B"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r w:rsidRPr="00ED3FD3">
              <w:rPr>
                <w:rFonts w:ascii="Times New Roman" w:eastAsia="Times New Roman" w:hAnsi="Times New Roman" w:cs="Times New Roman"/>
                <w:i/>
                <w:sz w:val="20"/>
                <w:szCs w:val="20"/>
                <w:lang w:eastAsia="en-ZA"/>
              </w:rPr>
              <w:t xml:space="preserve">Pacifastacus leniusculus </w:t>
            </w:r>
            <w:r w:rsidRPr="00ED3FD3">
              <w:rPr>
                <w:rFonts w:ascii="Times New Roman" w:eastAsia="Times New Roman" w:hAnsi="Times New Roman" w:cs="Times New Roman"/>
                <w:sz w:val="20"/>
                <w:szCs w:val="20"/>
                <w:lang w:eastAsia="en-ZA"/>
              </w:rPr>
              <w:t>reach sexual maturity in two-three years (or once individuals reach six to nine cm in length (head to tail)) however maturity can also occur as early as a year (Guan and Wiles 1999).</w:t>
            </w:r>
          </w:p>
        </w:tc>
      </w:tr>
      <w:tr w:rsidR="002D7080" w:rsidRPr="00ED3FD3" w14:paraId="1FF87B1E" w14:textId="77777777" w:rsidTr="002E2C37">
        <w:trPr>
          <w:trHeight w:val="70"/>
        </w:trPr>
        <w:tc>
          <w:tcPr>
            <w:tcW w:w="9067" w:type="dxa"/>
            <w:gridSpan w:val="2"/>
          </w:tcPr>
          <w:p w14:paraId="333E2F73"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73AF1D00" w14:textId="77777777" w:rsidR="002D7080" w:rsidRPr="00ED3FD3" w:rsidRDefault="002D7080" w:rsidP="00C94525">
            <w:pPr>
              <w:ind w:left="720" w:hanging="720"/>
              <w:jc w:val="both"/>
              <w:rPr>
                <w:rFonts w:ascii="Times New Roman" w:eastAsia="Times New Roman" w:hAnsi="Times New Roman" w:cs="Times New Roman"/>
                <w:sz w:val="20"/>
                <w:szCs w:val="20"/>
                <w:lang w:eastAsia="en-ZA"/>
              </w:rPr>
            </w:pPr>
            <w:r>
              <w:rPr>
                <w:rFonts w:ascii="Times New Roman" w:eastAsia="Times New Roman" w:hAnsi="Times New Roman" w:cs="Times New Roman"/>
                <w:sz w:val="20"/>
                <w:szCs w:val="20"/>
                <w:lang w:eastAsia="en-ZA"/>
              </w:rPr>
              <w:t>Guan, R. Z.</w:t>
            </w:r>
            <w:r w:rsidRPr="00ED3FD3">
              <w:rPr>
                <w:rFonts w:ascii="Times New Roman" w:eastAsia="Times New Roman" w:hAnsi="Times New Roman" w:cs="Times New Roman"/>
                <w:sz w:val="20"/>
                <w:szCs w:val="20"/>
                <w:lang w:eastAsia="en-ZA"/>
              </w:rPr>
              <w:t xml:space="preserve"> &amp; Wiles, P. R.</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xml:space="preserve"> 1999, ‘</w:t>
            </w:r>
            <w:r w:rsidRPr="00ED3FD3">
              <w:rPr>
                <w:rFonts w:ascii="Times New Roman" w:hAnsi="Times New Roman" w:cs="Times New Roman"/>
                <w:sz w:val="20"/>
                <w:szCs w:val="20"/>
              </w:rPr>
              <w:t xml:space="preserve">Growth and reproduction of the introduced crayfish </w:t>
            </w:r>
            <w:r w:rsidRPr="00ED3FD3">
              <w:rPr>
                <w:rFonts w:ascii="Times New Roman" w:hAnsi="Times New Roman" w:cs="Times New Roman"/>
                <w:i/>
                <w:iCs/>
                <w:sz w:val="20"/>
                <w:szCs w:val="20"/>
              </w:rPr>
              <w:t>Pacifastacus leniusculus</w:t>
            </w:r>
            <w:r w:rsidRPr="00ED3FD3">
              <w:rPr>
                <w:rFonts w:ascii="Times New Roman" w:hAnsi="Times New Roman" w:cs="Times New Roman"/>
                <w:sz w:val="20"/>
                <w:szCs w:val="20"/>
              </w:rPr>
              <w:t xml:space="preserve"> in a British lowland river’. </w:t>
            </w:r>
            <w:r w:rsidRPr="00ED3FD3">
              <w:rPr>
                <w:rFonts w:ascii="Times New Roman" w:hAnsi="Times New Roman" w:cs="Times New Roman"/>
                <w:i/>
                <w:iCs/>
                <w:sz w:val="20"/>
                <w:szCs w:val="20"/>
              </w:rPr>
              <w:t>Fisheries Research</w:t>
            </w:r>
            <w:r w:rsidRPr="00ED3FD3">
              <w:rPr>
                <w:rFonts w:ascii="Times New Roman" w:hAnsi="Times New Roman" w:cs="Times New Roman"/>
                <w:sz w:val="20"/>
                <w:szCs w:val="20"/>
              </w:rPr>
              <w:t xml:space="preserve">, 42, 245-259. </w:t>
            </w:r>
            <w:hyperlink>
              <w:r w:rsidRPr="00ED3FD3">
                <w:rPr>
                  <w:rFonts w:ascii="Times New Roman" w:hAnsi="Times New Roman" w:cs="Times New Roman"/>
                  <w:sz w:val="20"/>
                  <w:szCs w:val="20"/>
                </w:rPr>
                <w:t>https://doi.org/10.1016/S0165-7836(99)00044-2</w:t>
              </w:r>
            </w:hyperlink>
          </w:p>
        </w:tc>
      </w:tr>
      <w:tr w:rsidR="002D7080" w:rsidRPr="00ED3FD3" w14:paraId="535CC721" w14:textId="77777777" w:rsidTr="002E2C37">
        <w:trPr>
          <w:trHeight w:val="343"/>
        </w:trPr>
        <w:tc>
          <w:tcPr>
            <w:tcW w:w="9067" w:type="dxa"/>
            <w:gridSpan w:val="2"/>
            <w:shd w:val="clear" w:color="auto" w:fill="F2F2F2" w:themeFill="background1" w:themeFillShade="F2"/>
          </w:tcPr>
          <w:p w14:paraId="1A97F9F4"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MAN3d Propagule persistence</w:t>
            </w:r>
          </w:p>
        </w:tc>
      </w:tr>
      <w:tr w:rsidR="002D7080" w:rsidRPr="00ED3FD3" w14:paraId="4C14DF1A" w14:textId="77777777" w:rsidTr="002E2C37">
        <w:trPr>
          <w:trHeight w:val="183"/>
        </w:trPr>
        <w:tc>
          <w:tcPr>
            <w:tcW w:w="5240" w:type="dxa"/>
          </w:tcPr>
          <w:p w14:paraId="29500D63"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Response:1 (1–5 years)</w:t>
            </w:r>
          </w:p>
        </w:tc>
        <w:tc>
          <w:tcPr>
            <w:tcW w:w="3827" w:type="dxa"/>
          </w:tcPr>
          <w:p w14:paraId="7F1E64FB"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753F1D26" w14:textId="77777777" w:rsidTr="002E2C37">
        <w:trPr>
          <w:trHeight w:val="195"/>
        </w:trPr>
        <w:tc>
          <w:tcPr>
            <w:tcW w:w="9067" w:type="dxa"/>
            <w:gridSpan w:val="2"/>
          </w:tcPr>
          <w:p w14:paraId="57BFD444"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Rationale:</w:t>
            </w:r>
            <w:r w:rsidRPr="00ED3FD3">
              <w:rPr>
                <w:rFonts w:ascii="Times New Roman" w:eastAsia="Times New Roman" w:hAnsi="Times New Roman" w:cs="Times New Roman"/>
                <w:i/>
                <w:iCs/>
                <w:sz w:val="20"/>
                <w:szCs w:val="20"/>
                <w:lang w:eastAsia="en-ZA"/>
              </w:rPr>
              <w:t xml:space="preserve"> Pacifastacus leniusculus  </w:t>
            </w:r>
            <w:r w:rsidRPr="00ED3FD3">
              <w:rPr>
                <w:rFonts w:ascii="Times New Roman" w:eastAsia="Times New Roman" w:hAnsi="Times New Roman" w:cs="Times New Roman"/>
                <w:iCs/>
                <w:sz w:val="20"/>
                <w:szCs w:val="20"/>
                <w:lang w:eastAsia="en-ZA"/>
              </w:rPr>
              <w:t>are highly fecund,</w:t>
            </w:r>
            <w:r w:rsidRPr="00ED3FD3">
              <w:rPr>
                <w:rFonts w:ascii="Times New Roman" w:eastAsia="Times New Roman" w:hAnsi="Times New Roman" w:cs="Times New Roman"/>
                <w:sz w:val="20"/>
                <w:szCs w:val="20"/>
                <w:lang w:eastAsia="en-ZA"/>
              </w:rPr>
              <w:t xml:space="preserve"> on average a female produces 200-400 eggs (sometimes 500 eggs), and hatchlings hang under the female's tail for many weeks until they can feed on their own (Guan and Wiles 1999).</w:t>
            </w:r>
          </w:p>
        </w:tc>
      </w:tr>
      <w:tr w:rsidR="002D7080" w:rsidRPr="00ED3FD3" w14:paraId="677A13B9" w14:textId="77777777" w:rsidTr="002E2C37">
        <w:trPr>
          <w:trHeight w:val="99"/>
        </w:trPr>
        <w:tc>
          <w:tcPr>
            <w:tcW w:w="9067" w:type="dxa"/>
            <w:gridSpan w:val="2"/>
          </w:tcPr>
          <w:p w14:paraId="114E42F4"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026B3FC5" w14:textId="77777777" w:rsidR="002D7080" w:rsidRPr="00ED3FD3" w:rsidRDefault="002D7080" w:rsidP="00C94525">
            <w:pPr>
              <w:ind w:left="720" w:hanging="720"/>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Guan, R. Z., &amp; Wiles, P. R. 1999, ‘Growth and reproduction of the introduced crayfish </w:t>
            </w: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xml:space="preserve"> in a British lowland river’. </w:t>
            </w:r>
            <w:r w:rsidRPr="00ED3FD3">
              <w:rPr>
                <w:rFonts w:ascii="Times New Roman" w:eastAsia="Times New Roman" w:hAnsi="Times New Roman" w:cs="Times New Roman"/>
                <w:i/>
                <w:iCs/>
                <w:sz w:val="20"/>
                <w:szCs w:val="20"/>
                <w:lang w:eastAsia="en-ZA"/>
              </w:rPr>
              <w:t>Fisheries Research</w:t>
            </w:r>
            <w:r w:rsidRPr="00ED3FD3">
              <w:rPr>
                <w:rFonts w:ascii="Times New Roman" w:eastAsia="Times New Roman" w:hAnsi="Times New Roman" w:cs="Times New Roman"/>
                <w:sz w:val="20"/>
                <w:szCs w:val="20"/>
                <w:lang w:eastAsia="en-ZA"/>
              </w:rPr>
              <w:t>, 42, 245-259.</w:t>
            </w:r>
          </w:p>
        </w:tc>
      </w:tr>
      <w:tr w:rsidR="002D7080" w:rsidRPr="00ED3FD3" w14:paraId="0E15DDA7" w14:textId="77777777" w:rsidTr="002E2C37">
        <w:trPr>
          <w:trHeight w:val="343"/>
        </w:trPr>
        <w:tc>
          <w:tcPr>
            <w:tcW w:w="9067" w:type="dxa"/>
            <w:gridSpan w:val="2"/>
            <w:shd w:val="clear" w:color="auto" w:fill="F2F2F2" w:themeFill="background1" w:themeFillShade="F2"/>
          </w:tcPr>
          <w:p w14:paraId="51539206"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lastRenderedPageBreak/>
              <w:t xml:space="preserve">MAN3 Ease of management </w:t>
            </w:r>
          </w:p>
        </w:tc>
      </w:tr>
      <w:tr w:rsidR="002D7080" w:rsidRPr="00ED3FD3" w14:paraId="40A72AE6" w14:textId="77777777" w:rsidTr="002E2C37">
        <w:trPr>
          <w:trHeight w:val="172"/>
        </w:trPr>
        <w:tc>
          <w:tcPr>
            <w:tcW w:w="5240" w:type="dxa"/>
          </w:tcPr>
          <w:p w14:paraId="77E5119A"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Difficult</w:t>
            </w:r>
          </w:p>
        </w:tc>
        <w:tc>
          <w:tcPr>
            <w:tcW w:w="3827" w:type="dxa"/>
          </w:tcPr>
          <w:p w14:paraId="29E13B28"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High</w:t>
            </w:r>
          </w:p>
        </w:tc>
      </w:tr>
      <w:tr w:rsidR="002D7080" w:rsidRPr="00ED3FD3" w14:paraId="3A699283" w14:textId="77777777" w:rsidTr="002E2C37">
        <w:trPr>
          <w:trHeight w:val="70"/>
        </w:trPr>
        <w:tc>
          <w:tcPr>
            <w:tcW w:w="9067" w:type="dxa"/>
            <w:gridSpan w:val="2"/>
          </w:tcPr>
          <w:p w14:paraId="68258A53"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p>
          <w:p w14:paraId="03388B04"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is </w:t>
            </w:r>
            <w:r w:rsidRPr="00ED3FD3">
              <w:rPr>
                <w:rFonts w:ascii="Times New Roman" w:hAnsi="Times New Roman" w:cs="Times New Roman"/>
                <w:bCs/>
                <w:iCs/>
                <w:sz w:val="20"/>
                <w:szCs w:val="20"/>
              </w:rPr>
              <w:t xml:space="preserve">a fairly small, largely nocturnal, burrowing freshwater species that is difficult to detect. </w:t>
            </w:r>
            <w:r w:rsidRPr="00ED3FD3">
              <w:rPr>
                <w:rFonts w:ascii="Times New Roman" w:eastAsia="Times New Roman" w:hAnsi="Times New Roman" w:cs="Times New Roman"/>
                <w:sz w:val="20"/>
                <w:szCs w:val="20"/>
                <w:lang w:eastAsia="en-ZA"/>
              </w:rPr>
              <w:t xml:space="preserve">There are several methods that have been used to control alien populations of </w:t>
            </w:r>
            <w:r w:rsidRPr="00ED3FD3">
              <w:rPr>
                <w:rFonts w:ascii="Times New Roman" w:eastAsia="Times New Roman" w:hAnsi="Times New Roman" w:cs="Times New Roman"/>
                <w:i/>
                <w:sz w:val="20"/>
                <w:szCs w:val="20"/>
                <w:lang w:eastAsia="en-ZA"/>
              </w:rPr>
              <w:t>P. leniusculus</w:t>
            </w:r>
            <w:r w:rsidRPr="00ED3FD3">
              <w:rPr>
                <w:rFonts w:ascii="Times New Roman" w:eastAsia="Times New Roman" w:hAnsi="Times New Roman" w:cs="Times New Roman"/>
                <w:sz w:val="20"/>
                <w:szCs w:val="20"/>
                <w:lang w:eastAsia="en-ZA"/>
              </w:rPr>
              <w:t xml:space="preserve"> these include mechanical removal using traps and electrofishing, biocides and sterile male release (Peay et al. 2019, Ballentyne et al. 2019). However, there are several issues that make management of crayfish invasions challenging (Gherardi et al. 2011). For example, the use of biocides is often effective for localized populations in dams and ponds (Ballantyne et al. 2019; Peay et al. 2019) but it is not effective for widespread species because of the large doses of treatment required and higher potential of adverse effects on non-targeted species (Gherardi et al. 2011). Mechanical controls are also effective in small discrete water bodies but are expensive, require commitment to follow on to complete eradication and can lead unwanted </w:t>
            </w:r>
            <w:r w:rsidRPr="00ED3FD3">
              <w:rPr>
                <w:rFonts w:ascii="Times New Roman" w:hAnsi="Times New Roman" w:cs="Times New Roman"/>
                <w:sz w:val="20"/>
                <w:szCs w:val="20"/>
              </w:rPr>
              <w:t>community compensation mechanisms</w:t>
            </w:r>
            <w:r w:rsidRPr="00ED3FD3">
              <w:rPr>
                <w:rFonts w:ascii="Times New Roman" w:eastAsia="Times New Roman" w:hAnsi="Times New Roman" w:cs="Times New Roman"/>
                <w:sz w:val="20"/>
                <w:szCs w:val="20"/>
                <w:lang w:eastAsia="en-ZA"/>
              </w:rPr>
              <w:t xml:space="preserve"> such as enhanced recruitment (Peay et al. 2014, Larson et al. 2022). </w:t>
            </w: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xml:space="preserve"> also constructs burrows that could impede some control methods (Peay &amp; Dunn 2006).</w:t>
            </w:r>
          </w:p>
          <w:p w14:paraId="2B39CB68" w14:textId="77777777" w:rsidR="002D7080" w:rsidRPr="00ED3FD3" w:rsidRDefault="002D7080" w:rsidP="002E2C37">
            <w:pPr>
              <w:jc w:val="both"/>
              <w:rPr>
                <w:rFonts w:ascii="Times New Roman" w:eastAsia="Times New Roman" w:hAnsi="Times New Roman" w:cs="Times New Roman"/>
                <w:i/>
                <w:sz w:val="20"/>
                <w:szCs w:val="20"/>
                <w:lang w:eastAsia="en-ZA"/>
              </w:rPr>
            </w:pPr>
          </w:p>
          <w:p w14:paraId="633D1C0A"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is a popular species in the global pet trade industry and they are unconfirmed records that it might be present South Africa. The pet trade industry is generally difficult to regulate because trade restrictions imposed on species of conservation concern that are albeit popular and in high demand, often lead to illegal trading that is compounded by a lack of reliable record-keeping of the type and number of organisms presently in the pet trade </w:t>
            </w:r>
            <w:r w:rsidRPr="00ED3FD3">
              <w:rPr>
                <w:rFonts w:ascii="Times New Roman" w:hAnsi="Times New Roman" w:cs="Times New Roman"/>
                <w:sz w:val="20"/>
                <w:szCs w:val="20"/>
                <w:lang w:val="en-GB"/>
              </w:rPr>
              <w:t xml:space="preserve">(Smith et al., 2008; Chang et al., 2009; Gippet &amp; Bertelsmeier, 2021). </w:t>
            </w:r>
          </w:p>
        </w:tc>
      </w:tr>
      <w:tr w:rsidR="002D7080" w:rsidRPr="00ED3FD3" w14:paraId="0C8A5A5E" w14:textId="77777777" w:rsidTr="002E2C37">
        <w:trPr>
          <w:trHeight w:val="70"/>
        </w:trPr>
        <w:tc>
          <w:tcPr>
            <w:tcW w:w="9067" w:type="dxa"/>
            <w:gridSpan w:val="2"/>
          </w:tcPr>
          <w:p w14:paraId="7F266E1F"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0D7EC3EB" w14:textId="77777777" w:rsidR="00795FD1" w:rsidRPr="00ED3FD3" w:rsidRDefault="00795FD1" w:rsidP="00CD0B85">
            <w:pPr>
              <w:ind w:left="590" w:hanging="590"/>
              <w:contextualSpacing/>
              <w:jc w:val="both"/>
              <w:rPr>
                <w:rFonts w:ascii="Times New Roman" w:hAnsi="Times New Roman" w:cs="Times New Roman"/>
                <w:sz w:val="20"/>
                <w:szCs w:val="20"/>
              </w:rPr>
            </w:pPr>
            <w:r w:rsidRPr="00ED3FD3">
              <w:rPr>
                <w:rFonts w:ascii="Times New Roman" w:eastAsia="Times New Roman" w:hAnsi="Times New Roman" w:cs="Times New Roman"/>
                <w:sz w:val="20"/>
                <w:szCs w:val="20"/>
                <w:lang w:eastAsia="en-ZA"/>
              </w:rPr>
              <w:t>Ballantyne, L., Baum, D., Bean, C.W., Long, J. &amp; Whitaker, S., 2019, ‘Successful eradication of signal crayfish (</w:t>
            </w:r>
            <w:r w:rsidRPr="00ED3FD3">
              <w:rPr>
                <w:rFonts w:ascii="Times New Roman" w:eastAsia="Times New Roman" w:hAnsi="Times New Roman" w:cs="Times New Roman"/>
                <w:i/>
                <w:iCs/>
                <w:sz w:val="20"/>
                <w:szCs w:val="20"/>
                <w:lang w:eastAsia="en-ZA"/>
              </w:rPr>
              <w:t>Pacifastacus leniusculus</w:t>
            </w:r>
            <w:r w:rsidRPr="00ED3FD3">
              <w:rPr>
                <w:rFonts w:ascii="Times New Roman" w:eastAsia="Times New Roman" w:hAnsi="Times New Roman" w:cs="Times New Roman"/>
                <w:sz w:val="20"/>
                <w:szCs w:val="20"/>
                <w:lang w:eastAsia="en-ZA"/>
              </w:rPr>
              <w:t xml:space="preserve">) using a non-specific biocide in a small isolated water body in Scotland’. </w:t>
            </w:r>
            <w:r w:rsidRPr="00ED3FD3">
              <w:rPr>
                <w:rFonts w:ascii="Times New Roman" w:hAnsi="Times New Roman" w:cs="Times New Roman"/>
                <w:sz w:val="20"/>
                <w:szCs w:val="20"/>
              </w:rPr>
              <w:t>In: Veitch, C.R., Clout, M.N., Martin, A.R., J.C. Russell, J.C. &amp; West, C.J. (eds.). Island invasives: scaling up to meet the challenge, pp. 443–446. Occasional Paper SSC no. 62. Gland, Switzerland: IUCN.</w:t>
            </w:r>
          </w:p>
          <w:p w14:paraId="532EB99B" w14:textId="77777777" w:rsidR="00795FD1" w:rsidRPr="00ED3FD3" w:rsidRDefault="00795FD1" w:rsidP="00CD0B85">
            <w:pPr>
              <w:autoSpaceDE w:val="0"/>
              <w:autoSpaceDN w:val="0"/>
              <w:adjustRightInd w:val="0"/>
              <w:ind w:left="590" w:hanging="590"/>
              <w:contextualSpacing/>
              <w:jc w:val="both"/>
              <w:rPr>
                <w:rFonts w:ascii="Times New Roman" w:hAnsi="Times New Roman" w:cs="Times New Roman"/>
                <w:sz w:val="20"/>
                <w:szCs w:val="20"/>
                <w:shd w:val="clear" w:color="auto" w:fill="FCFCFC"/>
              </w:rPr>
            </w:pPr>
            <w:r w:rsidRPr="00ED3FD3">
              <w:rPr>
                <w:rFonts w:ascii="Times New Roman" w:hAnsi="Times New Roman" w:cs="Times New Roman"/>
                <w:sz w:val="20"/>
                <w:szCs w:val="20"/>
              </w:rPr>
              <w:t xml:space="preserve">Chang, A.L., Grossman, J.D., Spezio, T.S., Weiskel, H.W., Blum, J.C., Burt, J.W., Muir, A.A., Piovia-Scott, J., Veblen, K.E. &amp; Grosholz, E.D. 2009. ‘Tackling aquatic invasions: risks and opportunities for the aquarium fish industry’, </w:t>
            </w:r>
            <w:r w:rsidRPr="00ED3FD3">
              <w:rPr>
                <w:rFonts w:ascii="Times New Roman" w:hAnsi="Times New Roman" w:cs="Times New Roman"/>
                <w:i/>
                <w:iCs/>
                <w:sz w:val="20"/>
                <w:szCs w:val="20"/>
              </w:rPr>
              <w:t>Biological Invasions</w:t>
            </w:r>
            <w:r w:rsidRPr="00ED3FD3">
              <w:rPr>
                <w:rFonts w:ascii="Times New Roman" w:hAnsi="Times New Roman" w:cs="Times New Roman"/>
                <w:sz w:val="20"/>
                <w:szCs w:val="20"/>
              </w:rPr>
              <w:t xml:space="preserve"> 11, 773–785. </w:t>
            </w:r>
            <w:hyperlink w:history="1">
              <w:r w:rsidRPr="00ED3FD3">
                <w:rPr>
                  <w:rStyle w:val="Hyperlink"/>
                  <w:rFonts w:ascii="Times New Roman" w:hAnsi="Times New Roman" w:cs="Times New Roman"/>
                  <w:sz w:val="20"/>
                  <w:szCs w:val="20"/>
                </w:rPr>
                <w:t>https://doi.org/10.1007/s10530-008-9292-4</w:t>
              </w:r>
            </w:hyperlink>
          </w:p>
          <w:p w14:paraId="429341BB" w14:textId="77777777" w:rsidR="00795FD1" w:rsidRPr="00ED3FD3" w:rsidRDefault="00795FD1" w:rsidP="00CD0B85">
            <w:pPr>
              <w:ind w:left="590" w:hanging="590"/>
              <w:contextualSpacing/>
              <w:jc w:val="both"/>
              <w:rPr>
                <w:rFonts w:ascii="Times New Roman" w:eastAsia="Times New Roman" w:hAnsi="Times New Roman" w:cs="Times New Roman"/>
                <w:sz w:val="20"/>
                <w:szCs w:val="20"/>
                <w:lang w:eastAsia="en-ZA"/>
              </w:rPr>
            </w:pPr>
            <w:r w:rsidRPr="00ED3FD3" w:rsidDel="006B5C20">
              <w:rPr>
                <w:rFonts w:ascii="Times New Roman" w:eastAsia="Times New Roman" w:hAnsi="Times New Roman" w:cs="Times New Roman"/>
                <w:sz w:val="20"/>
                <w:szCs w:val="20"/>
                <w:lang w:eastAsia="en-ZA"/>
              </w:rPr>
              <w:t xml:space="preserve">Dana, E.D., López-Santiago J., García-de-Lomas, J., García-Ocaña, D.M., Gámez, V. &amp; Ortega, F., 2010, ‘Long-term management of the invasive </w:t>
            </w:r>
            <w:r w:rsidRPr="00ED3FD3" w:rsidDel="006B5C20">
              <w:rPr>
                <w:rFonts w:ascii="Times New Roman" w:eastAsia="Times New Roman" w:hAnsi="Times New Roman" w:cs="Times New Roman"/>
                <w:i/>
                <w:sz w:val="20"/>
                <w:szCs w:val="20"/>
                <w:lang w:eastAsia="en-ZA"/>
              </w:rPr>
              <w:t>Pacifastacus leniusculus</w:t>
            </w:r>
            <w:r w:rsidRPr="00ED3FD3" w:rsidDel="006B5C20">
              <w:rPr>
                <w:rFonts w:ascii="Times New Roman" w:eastAsia="Times New Roman" w:hAnsi="Times New Roman" w:cs="Times New Roman"/>
                <w:sz w:val="20"/>
                <w:szCs w:val="20"/>
                <w:lang w:eastAsia="en-ZA"/>
              </w:rPr>
              <w:t xml:space="preserve"> (Dana, 1852) in a small mountain stream’, </w:t>
            </w:r>
            <w:r w:rsidRPr="00ED3FD3" w:rsidDel="006B5C20">
              <w:rPr>
                <w:rFonts w:ascii="Times New Roman" w:eastAsia="Times New Roman" w:hAnsi="Times New Roman" w:cs="Times New Roman"/>
                <w:i/>
                <w:iCs/>
                <w:sz w:val="20"/>
                <w:szCs w:val="20"/>
                <w:lang w:eastAsia="en-ZA"/>
              </w:rPr>
              <w:t>Aquatic Invasions</w:t>
            </w:r>
            <w:r w:rsidRPr="00ED3FD3" w:rsidDel="006B5C20">
              <w:rPr>
                <w:rFonts w:ascii="Times New Roman" w:eastAsia="Times New Roman" w:hAnsi="Times New Roman" w:cs="Times New Roman"/>
                <w:sz w:val="20"/>
                <w:szCs w:val="20"/>
                <w:lang w:eastAsia="en-ZA"/>
              </w:rPr>
              <w:t xml:space="preserve"> </w:t>
            </w:r>
            <w:r w:rsidRPr="00ED3FD3" w:rsidDel="006B5C20">
              <w:rPr>
                <w:rFonts w:ascii="Times New Roman" w:eastAsia="Times New Roman" w:hAnsi="Times New Roman" w:cs="Times New Roman"/>
                <w:iCs/>
                <w:sz w:val="20"/>
                <w:szCs w:val="20"/>
                <w:lang w:eastAsia="en-ZA"/>
              </w:rPr>
              <w:t>5</w:t>
            </w:r>
            <w:r w:rsidRPr="00ED3FD3" w:rsidDel="006B5C20">
              <w:rPr>
                <w:rFonts w:ascii="Times New Roman" w:eastAsia="Times New Roman" w:hAnsi="Times New Roman" w:cs="Times New Roman"/>
                <w:sz w:val="20"/>
                <w:szCs w:val="20"/>
                <w:lang w:eastAsia="en-ZA"/>
              </w:rPr>
              <w:t>, 317 322.</w:t>
            </w:r>
            <w:r>
              <w:rPr>
                <w:rFonts w:ascii="Times New Roman" w:eastAsia="Times New Roman" w:hAnsi="Times New Roman" w:cs="Times New Roman"/>
                <w:sz w:val="20"/>
                <w:szCs w:val="20"/>
                <w:lang w:eastAsia="en-ZA"/>
              </w:rPr>
              <w:t xml:space="preserve"> </w:t>
            </w:r>
            <w:r w:rsidRPr="00ED3FD3" w:rsidDel="006B5C20">
              <w:rPr>
                <w:rFonts w:ascii="Times New Roman" w:eastAsia="Times New Roman" w:hAnsi="Times New Roman" w:cs="Times New Roman"/>
                <w:sz w:val="20"/>
                <w:szCs w:val="20"/>
                <w:lang w:eastAsia="en-ZA"/>
              </w:rPr>
              <w:t>https://doi.org/10.3391/ai.2010.5.3.10.</w:t>
            </w:r>
          </w:p>
          <w:p w14:paraId="264D7548" w14:textId="77777777" w:rsidR="00795FD1" w:rsidRPr="00ED3FD3" w:rsidRDefault="00795FD1" w:rsidP="00CD0B85">
            <w:pPr>
              <w:spacing w:after="120"/>
              <w:ind w:left="590" w:hanging="590"/>
              <w:contextualSpacing/>
              <w:jc w:val="both"/>
              <w:rPr>
                <w:rFonts w:ascii="Times New Roman" w:hAnsi="Times New Roman" w:cs="Times New Roman"/>
                <w:bCs/>
                <w:sz w:val="20"/>
                <w:szCs w:val="20"/>
              </w:rPr>
            </w:pPr>
            <w:r w:rsidRPr="00ED3FD3">
              <w:rPr>
                <w:rFonts w:ascii="Times New Roman" w:hAnsi="Times New Roman" w:cs="Times New Roman"/>
                <w:bCs/>
                <w:sz w:val="20"/>
                <w:szCs w:val="20"/>
              </w:rPr>
              <w:t xml:space="preserve">Gherardi, F, Aquiloni, L., Diéguez-Uribeondo, J. &amp; Tricarico E., 2011, ‘Managing invasive crayfish: Is there a hope?’, </w:t>
            </w:r>
            <w:r w:rsidRPr="00ED3FD3">
              <w:rPr>
                <w:rFonts w:ascii="Times New Roman" w:hAnsi="Times New Roman" w:cs="Times New Roman"/>
                <w:bCs/>
                <w:i/>
                <w:iCs/>
                <w:sz w:val="20"/>
                <w:szCs w:val="20"/>
              </w:rPr>
              <w:t>Aquatic Sciences</w:t>
            </w:r>
            <w:r w:rsidRPr="00ED3FD3">
              <w:rPr>
                <w:rFonts w:ascii="Times New Roman" w:hAnsi="Times New Roman" w:cs="Times New Roman"/>
                <w:bCs/>
                <w:iCs/>
                <w:sz w:val="20"/>
                <w:szCs w:val="20"/>
              </w:rPr>
              <w:t>, 73</w:t>
            </w:r>
            <w:r w:rsidRPr="00ED3FD3">
              <w:rPr>
                <w:rFonts w:ascii="Times New Roman" w:hAnsi="Times New Roman" w:cs="Times New Roman"/>
                <w:bCs/>
                <w:sz w:val="20"/>
                <w:szCs w:val="20"/>
              </w:rPr>
              <w:t>, 185–200. https://</w:t>
            </w:r>
            <w:r w:rsidRPr="00ED3FD3">
              <w:rPr>
                <w:rFonts w:ascii="Times New Roman" w:hAnsi="Times New Roman" w:cs="Times New Roman"/>
                <w:sz w:val="20"/>
                <w:szCs w:val="20"/>
                <w:lang w:val="en-US"/>
              </w:rPr>
              <w:t xml:space="preserve"> </w:t>
            </w:r>
            <w:r w:rsidRPr="00ED3FD3">
              <w:rPr>
                <w:rFonts w:ascii="Times New Roman" w:hAnsi="Times New Roman" w:cs="Times New Roman"/>
                <w:bCs/>
                <w:sz w:val="20"/>
                <w:szCs w:val="20"/>
                <w:lang w:val="en-US"/>
              </w:rPr>
              <w:t>doi.org/ 10.1007/s00027-011-0181-z</w:t>
            </w:r>
          </w:p>
          <w:p w14:paraId="0499168A" w14:textId="77777777" w:rsidR="00795FD1" w:rsidRDefault="00795FD1" w:rsidP="00CD0B85">
            <w:pPr>
              <w:ind w:left="590" w:hanging="59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Gippet, J.M.&amp; Bertelsmeier, C. 2021, ‘Invasiveness is linked to greater commercial success in the global pet trade’, </w:t>
            </w:r>
            <w:r w:rsidRPr="00ED3FD3">
              <w:rPr>
                <w:rFonts w:ascii="Times New Roman" w:eastAsia="Times New Roman" w:hAnsi="Times New Roman" w:cs="Times New Roman"/>
                <w:i/>
                <w:iCs/>
                <w:sz w:val="20"/>
                <w:szCs w:val="20"/>
                <w:lang w:eastAsia="en-ZA"/>
              </w:rPr>
              <w:t>Proceedings of the National Academy of Sciences</w:t>
            </w:r>
            <w:r w:rsidRPr="00ED3FD3">
              <w:rPr>
                <w:rFonts w:ascii="Times New Roman" w:eastAsia="Times New Roman" w:hAnsi="Times New Roman" w:cs="Times New Roman"/>
                <w:sz w:val="20"/>
                <w:szCs w:val="20"/>
                <w:lang w:eastAsia="en-ZA"/>
              </w:rPr>
              <w:t xml:space="preserve"> 118, e2016337118. </w:t>
            </w:r>
            <w:hyperlink r:id="rId444" w:history="1">
              <w:r w:rsidRPr="00CF3DB5">
                <w:rPr>
                  <w:rStyle w:val="Hyperlink"/>
                  <w:rFonts w:ascii="Times New Roman" w:eastAsia="Times New Roman" w:hAnsi="Times New Roman" w:cs="Times New Roman"/>
                  <w:sz w:val="20"/>
                  <w:szCs w:val="20"/>
                  <w:lang w:eastAsia="en-ZA"/>
                </w:rPr>
                <w:t>https://doi.org/10.1073/pnas.2016337118</w:t>
              </w:r>
            </w:hyperlink>
          </w:p>
          <w:p w14:paraId="00025546" w14:textId="77777777" w:rsidR="00795FD1" w:rsidRPr="00ED3FD3" w:rsidRDefault="00795FD1" w:rsidP="00CD0B85">
            <w:pPr>
              <w:ind w:left="590" w:hanging="590"/>
              <w:contextualSpacing/>
              <w:jc w:val="both"/>
              <w:rPr>
                <w:rFonts w:ascii="Times New Roman" w:hAnsi="Times New Roman" w:cs="Times New Roman"/>
                <w:sz w:val="20"/>
                <w:szCs w:val="20"/>
              </w:rPr>
            </w:pPr>
            <w:r w:rsidRPr="00ED3FD3">
              <w:rPr>
                <w:rFonts w:ascii="Times New Roman" w:hAnsi="Times New Roman" w:cs="Times New Roman"/>
                <w:sz w:val="20"/>
                <w:szCs w:val="20"/>
              </w:rPr>
              <w:t xml:space="preserve">Green, N., Andreou, D., Bentley, M., Stebbing, P., Hart, A. &amp; Britton, J.R. 2022, ‘Mechanical male sterilisation in invasive signal crayfish </w:t>
            </w:r>
            <w:r w:rsidRPr="00ED3FD3">
              <w:rPr>
                <w:rFonts w:ascii="Times New Roman" w:hAnsi="Times New Roman" w:cs="Times New Roman"/>
                <w:i/>
                <w:iCs/>
                <w:sz w:val="20"/>
                <w:szCs w:val="20"/>
              </w:rPr>
              <w:t>Pacifastacus leniusculus</w:t>
            </w:r>
            <w:r w:rsidRPr="00ED3FD3">
              <w:rPr>
                <w:rFonts w:ascii="Times New Roman" w:hAnsi="Times New Roman" w:cs="Times New Roman"/>
                <w:sz w:val="20"/>
                <w:szCs w:val="20"/>
              </w:rPr>
              <w:t xml:space="preserve">: persistence and functionality in captive and wild conditions. </w:t>
            </w:r>
            <w:r w:rsidRPr="00ED3FD3">
              <w:rPr>
                <w:rFonts w:ascii="Times New Roman" w:hAnsi="Times New Roman" w:cs="Times New Roman"/>
                <w:i/>
                <w:iCs/>
                <w:sz w:val="20"/>
                <w:szCs w:val="20"/>
              </w:rPr>
              <w:t xml:space="preserve">Knowledge &amp; Management of Aquatic Ecosystems </w:t>
            </w:r>
            <w:r w:rsidRPr="00ED3FD3">
              <w:rPr>
                <w:rFonts w:ascii="Times New Roman" w:hAnsi="Times New Roman" w:cs="Times New Roman"/>
                <w:sz w:val="20"/>
                <w:szCs w:val="20"/>
              </w:rPr>
              <w:t xml:space="preserve">423, 20 </w:t>
            </w:r>
            <w:hyperlink w:history="1">
              <w:r w:rsidRPr="00ED3FD3">
                <w:rPr>
                  <w:rStyle w:val="Hyperlink"/>
                  <w:rFonts w:ascii="Times New Roman" w:hAnsi="Times New Roman" w:cs="Times New Roman"/>
                  <w:sz w:val="20"/>
                  <w:szCs w:val="20"/>
                </w:rPr>
                <w:t>https://doi.org/10.1051/kmae/2022014</w:t>
              </w:r>
            </w:hyperlink>
          </w:p>
          <w:p w14:paraId="12604255" w14:textId="1505BEBE" w:rsidR="002D7080" w:rsidRPr="00F6548F" w:rsidRDefault="002D7080" w:rsidP="00CD0B85">
            <w:pPr>
              <w:ind w:left="590" w:hanging="590"/>
              <w:contextualSpacing/>
              <w:jc w:val="both"/>
              <w:rPr>
                <w:rFonts w:ascii="Times New Roman" w:hAnsi="Times New Roman" w:cs="Times New Roman"/>
                <w:iCs/>
                <w:sz w:val="20"/>
                <w:szCs w:val="20"/>
              </w:rPr>
            </w:pPr>
            <w:r w:rsidRPr="00ED3FD3">
              <w:rPr>
                <w:rFonts w:ascii="Times New Roman" w:hAnsi="Times New Roman" w:cs="Times New Roman"/>
                <w:iCs/>
                <w:sz w:val="20"/>
                <w:szCs w:val="20"/>
              </w:rPr>
              <w:t>Larson, C.E., Bo, T., Candiotto, A., Fenoglio, S. &amp; Doretto, A. 2022. ‘Predicting invasive signal crayfish (</w:t>
            </w:r>
            <w:r w:rsidRPr="00ED3FD3">
              <w:rPr>
                <w:rFonts w:ascii="Times New Roman" w:hAnsi="Times New Roman" w:cs="Times New Roman"/>
                <w:i/>
                <w:sz w:val="20"/>
                <w:szCs w:val="20"/>
              </w:rPr>
              <w:t>Pacifastacus leniusculus</w:t>
            </w:r>
            <w:r w:rsidRPr="00ED3FD3">
              <w:rPr>
                <w:rFonts w:ascii="Times New Roman" w:hAnsi="Times New Roman" w:cs="Times New Roman"/>
                <w:iCs/>
                <w:sz w:val="20"/>
                <w:szCs w:val="20"/>
              </w:rPr>
              <w:t xml:space="preserve">) spread using a traditional survey and river network simulation’, </w:t>
            </w:r>
            <w:r w:rsidRPr="00ED3FD3">
              <w:rPr>
                <w:rFonts w:ascii="Times New Roman" w:hAnsi="Times New Roman" w:cs="Times New Roman"/>
                <w:i/>
                <w:sz w:val="20"/>
                <w:szCs w:val="20"/>
              </w:rPr>
              <w:t>River Research and Applications</w:t>
            </w:r>
            <w:r>
              <w:rPr>
                <w:rFonts w:ascii="Times New Roman" w:hAnsi="Times New Roman" w:cs="Times New Roman"/>
                <w:iCs/>
                <w:sz w:val="20"/>
                <w:szCs w:val="20"/>
              </w:rPr>
              <w:t xml:space="preserve"> 38, 1424-1435</w:t>
            </w:r>
            <w:r w:rsidR="00102BFE">
              <w:rPr>
                <w:rFonts w:ascii="Times New Roman" w:hAnsi="Times New Roman" w:cs="Times New Roman"/>
                <w:iCs/>
                <w:sz w:val="20"/>
                <w:szCs w:val="20"/>
              </w:rPr>
              <w:t>,</w:t>
            </w:r>
            <w:r>
              <w:rPr>
                <w:rFonts w:ascii="Times New Roman" w:hAnsi="Times New Roman" w:cs="Times New Roman"/>
                <w:iCs/>
                <w:sz w:val="20"/>
                <w:szCs w:val="20"/>
              </w:rPr>
              <w:t xml:space="preserve">  </w:t>
            </w:r>
            <w:r w:rsidRPr="00ED3FD3">
              <w:rPr>
                <w:rFonts w:ascii="Times New Roman" w:hAnsi="Times New Roman" w:cs="Times New Roman"/>
                <w:iCs/>
                <w:sz w:val="20"/>
                <w:szCs w:val="20"/>
              </w:rPr>
              <w:t>https://doi.org/</w:t>
            </w:r>
            <w:r w:rsidRPr="00ED3FD3">
              <w:rPr>
                <w:rFonts w:ascii="Times New Roman" w:hAnsi="Times New Roman" w:cs="Times New Roman"/>
                <w:sz w:val="20"/>
                <w:szCs w:val="20"/>
              </w:rPr>
              <w:t xml:space="preserve"> 10.1002/rra.3986</w:t>
            </w:r>
          </w:p>
          <w:p w14:paraId="11DD682F" w14:textId="77777777" w:rsidR="002D7080" w:rsidRPr="00F6548F" w:rsidRDefault="002D7080" w:rsidP="00CD0B85">
            <w:pPr>
              <w:ind w:left="590" w:hanging="590"/>
              <w:contextualSpacing/>
              <w:jc w:val="both"/>
              <w:rPr>
                <w:rStyle w:val="doilink"/>
                <w:rFonts w:ascii="Times New Roman" w:hAnsi="Times New Roman" w:cs="Times New Roman"/>
                <w:color w:val="000000" w:themeColor="text1"/>
                <w:sz w:val="20"/>
                <w:szCs w:val="20"/>
              </w:rPr>
            </w:pPr>
            <w:hyperlink w:history="1"/>
            <w:r w:rsidRPr="00F6548F">
              <w:rPr>
                <w:rStyle w:val="authorname"/>
                <w:rFonts w:ascii="Times New Roman" w:hAnsi="Times New Roman" w:cs="Times New Roman"/>
                <w:color w:val="000000" w:themeColor="text1"/>
                <w:sz w:val="20"/>
                <w:szCs w:val="20"/>
              </w:rPr>
              <w:t>Peay, S</w:t>
            </w:r>
            <w:r w:rsidRPr="00F6548F">
              <w:rPr>
                <w:rStyle w:val="separator"/>
                <w:rFonts w:ascii="Times New Roman" w:hAnsi="Times New Roman" w:cs="Times New Roman"/>
                <w:color w:val="000000" w:themeColor="text1"/>
                <w:sz w:val="20"/>
                <w:szCs w:val="20"/>
              </w:rPr>
              <w:t> &amp; Dunn, </w:t>
            </w:r>
            <w:r w:rsidRPr="00F6548F">
              <w:rPr>
                <w:rStyle w:val="authorname"/>
                <w:rFonts w:ascii="Times New Roman" w:hAnsi="Times New Roman" w:cs="Times New Roman"/>
                <w:color w:val="000000" w:themeColor="text1"/>
                <w:sz w:val="20"/>
                <w:szCs w:val="20"/>
              </w:rPr>
              <w:t xml:space="preserve">A.M. </w:t>
            </w:r>
            <w:r w:rsidRPr="00F6548F">
              <w:rPr>
                <w:rStyle w:val="Date1"/>
                <w:rFonts w:ascii="Times New Roman" w:hAnsi="Times New Roman" w:cs="Times New Roman"/>
                <w:color w:val="000000" w:themeColor="text1"/>
                <w:sz w:val="20"/>
                <w:szCs w:val="20"/>
              </w:rPr>
              <w:t>2014, ‘</w:t>
            </w:r>
            <w:r w:rsidRPr="00F6548F">
              <w:rPr>
                <w:rStyle w:val="arttitle"/>
                <w:rFonts w:ascii="Times New Roman" w:hAnsi="Times New Roman" w:cs="Times New Roman"/>
                <w:color w:val="000000" w:themeColor="text1"/>
                <w:sz w:val="20"/>
                <w:szCs w:val="20"/>
              </w:rPr>
              <w:t>The behavioural response of the invasive signal crayfish </w:t>
            </w:r>
            <w:r w:rsidRPr="00F6548F">
              <w:rPr>
                <w:rStyle w:val="arttitle"/>
                <w:rFonts w:ascii="Times New Roman" w:hAnsi="Times New Roman" w:cs="Times New Roman"/>
                <w:i/>
                <w:iCs/>
                <w:color w:val="000000" w:themeColor="text1"/>
                <w:sz w:val="20"/>
                <w:szCs w:val="20"/>
              </w:rPr>
              <w:t>Pacifastacus leniusculus</w:t>
            </w:r>
            <w:r w:rsidRPr="00F6548F">
              <w:rPr>
                <w:rStyle w:val="arttitle"/>
                <w:rFonts w:ascii="Times New Roman" w:hAnsi="Times New Roman" w:cs="Times New Roman"/>
                <w:color w:val="000000" w:themeColor="text1"/>
                <w:sz w:val="20"/>
                <w:szCs w:val="20"/>
              </w:rPr>
              <w:t> to experimental dewatering of burrows and its implications for eradication treatment and management of ponds with crayfish’,</w:t>
            </w:r>
            <w:r w:rsidRPr="00F6548F">
              <w:rPr>
                <w:rFonts w:ascii="Times New Roman" w:hAnsi="Times New Roman" w:cs="Times New Roman"/>
                <w:color w:val="000000" w:themeColor="text1"/>
                <w:sz w:val="20"/>
                <w:szCs w:val="20"/>
              </w:rPr>
              <w:t> </w:t>
            </w:r>
            <w:r w:rsidRPr="00F6548F">
              <w:rPr>
                <w:rStyle w:val="serialtitle"/>
                <w:rFonts w:ascii="Times New Roman" w:hAnsi="Times New Roman" w:cs="Times New Roman"/>
                <w:i/>
                <w:iCs/>
                <w:color w:val="000000" w:themeColor="text1"/>
                <w:sz w:val="20"/>
                <w:szCs w:val="20"/>
              </w:rPr>
              <w:t>Ethology Ecology &amp; Evolution</w:t>
            </w:r>
            <w:r w:rsidRPr="00F6548F">
              <w:rPr>
                <w:rStyle w:val="serialtitle"/>
                <w:rFonts w:ascii="Times New Roman" w:hAnsi="Times New Roman" w:cs="Times New Roman"/>
                <w:color w:val="000000" w:themeColor="text1"/>
                <w:sz w:val="20"/>
                <w:szCs w:val="20"/>
              </w:rPr>
              <w:t>,</w:t>
            </w:r>
            <w:r w:rsidRPr="00F6548F">
              <w:rPr>
                <w:rFonts w:ascii="Times New Roman" w:hAnsi="Times New Roman" w:cs="Times New Roman"/>
                <w:color w:val="000000" w:themeColor="text1"/>
                <w:sz w:val="20"/>
                <w:szCs w:val="20"/>
              </w:rPr>
              <w:t> </w:t>
            </w:r>
            <w:r w:rsidRPr="00F6548F">
              <w:rPr>
                <w:rStyle w:val="volumeissue"/>
                <w:rFonts w:ascii="Times New Roman" w:hAnsi="Times New Roman" w:cs="Times New Roman"/>
                <w:color w:val="000000" w:themeColor="text1"/>
                <w:sz w:val="20"/>
                <w:szCs w:val="20"/>
              </w:rPr>
              <w:t xml:space="preserve">26, </w:t>
            </w:r>
            <w:r w:rsidRPr="00F6548F">
              <w:rPr>
                <w:rStyle w:val="pagerange"/>
                <w:rFonts w:ascii="Times New Roman" w:hAnsi="Times New Roman" w:cs="Times New Roman"/>
                <w:color w:val="000000" w:themeColor="text1"/>
                <w:sz w:val="20"/>
                <w:szCs w:val="20"/>
              </w:rPr>
              <w:t>277- 298, https://doi.org/</w:t>
            </w:r>
            <w:hyperlink w:history="1">
              <w:r w:rsidRPr="00F6548F">
                <w:rPr>
                  <w:rStyle w:val="Hyperlink"/>
                  <w:rFonts w:ascii="Times New Roman" w:hAnsi="Times New Roman" w:cs="Times New Roman"/>
                  <w:color w:val="000000" w:themeColor="text1"/>
                  <w:sz w:val="20"/>
                  <w:szCs w:val="20"/>
                </w:rPr>
                <w:t>10.1080/03949370.2014.903379</w:t>
              </w:r>
            </w:hyperlink>
          </w:p>
          <w:p w14:paraId="75F29A7A" w14:textId="77777777" w:rsidR="002D7080" w:rsidRPr="00ED3FD3" w:rsidRDefault="002D7080" w:rsidP="00CD0B85">
            <w:pPr>
              <w:ind w:left="590" w:hanging="590"/>
              <w:contextualSpacing/>
              <w:jc w:val="both"/>
              <w:rPr>
                <w:rFonts w:ascii="Times New Roman" w:hAnsi="Times New Roman" w:cs="Times New Roman"/>
                <w:color w:val="222222"/>
                <w:sz w:val="20"/>
                <w:szCs w:val="20"/>
                <w:shd w:val="clear" w:color="auto" w:fill="FFFFFF"/>
              </w:rPr>
            </w:pPr>
            <w:r w:rsidRPr="00ED3FD3">
              <w:rPr>
                <w:rFonts w:ascii="Times New Roman" w:hAnsi="Times New Roman" w:cs="Times New Roman"/>
                <w:color w:val="222222"/>
                <w:sz w:val="20"/>
                <w:szCs w:val="20"/>
                <w:shd w:val="clear" w:color="auto" w:fill="FFFFFF"/>
              </w:rPr>
              <w:lastRenderedPageBreak/>
              <w:t>Peay, S., Johnsen, S.I., Bean, C.W., Dunn, A.M., Sandodden, R. &amp; Edsman, L. 2019, ‘Biocide treatment of invasive signal crayfish: successes, failures and lessons learned. </w:t>
            </w:r>
            <w:r w:rsidRPr="00ED3FD3">
              <w:rPr>
                <w:rStyle w:val="Emphasis"/>
                <w:rFonts w:ascii="Times New Roman" w:hAnsi="Times New Roman" w:cs="Times New Roman"/>
                <w:color w:val="222222"/>
                <w:sz w:val="20"/>
                <w:szCs w:val="20"/>
                <w:shd w:val="clear" w:color="auto" w:fill="FFFFFF"/>
              </w:rPr>
              <w:t>Diversity,</w:t>
            </w:r>
            <w:r w:rsidRPr="00ED3FD3">
              <w:rPr>
                <w:rStyle w:val="Emphasis"/>
                <w:rFonts w:ascii="Times New Roman" w:hAnsi="Times New Roman" w:cs="Times New Roman"/>
                <w:sz w:val="20"/>
                <w:szCs w:val="20"/>
              </w:rPr>
              <w:t xml:space="preserve"> 1</w:t>
            </w:r>
            <w:r w:rsidRPr="00ED3FD3">
              <w:rPr>
                <w:rFonts w:ascii="Times New Roman" w:hAnsi="Times New Roman" w:cs="Times New Roman"/>
                <w:iCs/>
                <w:color w:val="222222"/>
                <w:sz w:val="20"/>
                <w:szCs w:val="20"/>
                <w:shd w:val="clear" w:color="auto" w:fill="FFFFFF"/>
              </w:rPr>
              <w:t>1</w:t>
            </w:r>
            <w:r w:rsidRPr="00ED3FD3">
              <w:rPr>
                <w:rFonts w:ascii="Times New Roman" w:hAnsi="Times New Roman" w:cs="Times New Roman"/>
                <w:i/>
                <w:color w:val="222222"/>
                <w:sz w:val="20"/>
                <w:szCs w:val="20"/>
                <w:shd w:val="clear" w:color="auto" w:fill="FFFFFF"/>
              </w:rPr>
              <w:t xml:space="preserve">, </w:t>
            </w:r>
            <w:r w:rsidRPr="00ED3FD3">
              <w:rPr>
                <w:rFonts w:ascii="Times New Roman" w:hAnsi="Times New Roman" w:cs="Times New Roman"/>
                <w:iCs/>
                <w:color w:val="222222"/>
                <w:sz w:val="20"/>
                <w:szCs w:val="20"/>
                <w:shd w:val="clear" w:color="auto" w:fill="FFFFFF"/>
              </w:rPr>
              <w:t>29.</w:t>
            </w:r>
            <w:r w:rsidRPr="00ED3FD3">
              <w:rPr>
                <w:rFonts w:ascii="Times New Roman" w:hAnsi="Times New Roman" w:cs="Times New Roman"/>
                <w:color w:val="222222"/>
                <w:sz w:val="20"/>
                <w:szCs w:val="20"/>
                <w:shd w:val="clear" w:color="auto" w:fill="FFFFFF"/>
              </w:rPr>
              <w:t xml:space="preserve"> </w:t>
            </w:r>
            <w:hyperlink w:history="1">
              <w:r w:rsidRPr="00ED3FD3">
                <w:rPr>
                  <w:rStyle w:val="Hyperlink"/>
                  <w:rFonts w:ascii="Times New Roman" w:hAnsi="Times New Roman" w:cs="Times New Roman"/>
                  <w:sz w:val="20"/>
                  <w:szCs w:val="20"/>
                  <w:shd w:val="clear" w:color="auto" w:fill="FFFFFF"/>
                </w:rPr>
                <w:t>https://doi.org/10.3390/d11030029</w:t>
              </w:r>
            </w:hyperlink>
          </w:p>
          <w:p w14:paraId="771D3E7E" w14:textId="64EB5DFC" w:rsidR="002D7080" w:rsidRPr="00F6548F" w:rsidRDefault="002D7080" w:rsidP="00CD0B85">
            <w:pPr>
              <w:ind w:left="590" w:hanging="590"/>
              <w:contextualSpacing/>
              <w:jc w:val="both"/>
              <w:rPr>
                <w:rFonts w:ascii="Times New Roman" w:eastAsia="Times New Roman" w:hAnsi="Times New Roman" w:cs="Times New Roman"/>
                <w:color w:val="000000" w:themeColor="text1"/>
                <w:sz w:val="20"/>
                <w:szCs w:val="20"/>
                <w:lang w:eastAsia="en-ZA"/>
              </w:rPr>
            </w:pPr>
            <w:bookmarkStart w:id="17" w:name="_Hlk151127508"/>
            <w:r w:rsidRPr="00F6548F">
              <w:rPr>
                <w:rStyle w:val="author"/>
                <w:rFonts w:ascii="Times New Roman" w:hAnsi="Times New Roman" w:cs="Times New Roman"/>
                <w:color w:val="000000" w:themeColor="text1"/>
                <w:sz w:val="20"/>
                <w:szCs w:val="20"/>
                <w:shd w:val="clear" w:color="auto" w:fill="FFFFFF"/>
              </w:rPr>
              <w:t>Peay, S.</w:t>
            </w:r>
            <w:r w:rsidRPr="00F6548F">
              <w:rPr>
                <w:rFonts w:ascii="Times New Roman" w:hAnsi="Times New Roman" w:cs="Times New Roman"/>
                <w:color w:val="000000" w:themeColor="text1"/>
                <w:sz w:val="20"/>
                <w:szCs w:val="20"/>
                <w:shd w:val="clear" w:color="auto" w:fill="FFFFFF"/>
              </w:rPr>
              <w:t>, </w:t>
            </w:r>
            <w:r w:rsidRPr="00F6548F">
              <w:rPr>
                <w:rStyle w:val="author"/>
                <w:rFonts w:ascii="Times New Roman" w:hAnsi="Times New Roman" w:cs="Times New Roman"/>
                <w:color w:val="000000" w:themeColor="text1"/>
                <w:sz w:val="20"/>
                <w:szCs w:val="20"/>
                <w:shd w:val="clear" w:color="auto" w:fill="FFFFFF"/>
              </w:rPr>
              <w:t>Dunn, A. M.</w:t>
            </w:r>
            <w:r w:rsidRPr="00F6548F">
              <w:rPr>
                <w:rFonts w:ascii="Times New Roman" w:hAnsi="Times New Roman" w:cs="Times New Roman"/>
                <w:color w:val="000000" w:themeColor="text1"/>
                <w:sz w:val="20"/>
                <w:szCs w:val="20"/>
                <w:shd w:val="clear" w:color="auto" w:fill="FFFFFF"/>
              </w:rPr>
              <w:t>, </w:t>
            </w:r>
            <w:r w:rsidRPr="00F6548F">
              <w:rPr>
                <w:rStyle w:val="author"/>
                <w:rFonts w:ascii="Times New Roman" w:hAnsi="Times New Roman" w:cs="Times New Roman"/>
                <w:color w:val="000000" w:themeColor="text1"/>
                <w:sz w:val="20"/>
                <w:szCs w:val="20"/>
                <w:shd w:val="clear" w:color="auto" w:fill="FFFFFF"/>
              </w:rPr>
              <w:t>Kunin, W. E.</w:t>
            </w:r>
            <w:r w:rsidRPr="00F6548F">
              <w:rPr>
                <w:rFonts w:ascii="Times New Roman" w:hAnsi="Times New Roman" w:cs="Times New Roman"/>
                <w:color w:val="000000" w:themeColor="text1"/>
                <w:sz w:val="20"/>
                <w:szCs w:val="20"/>
                <w:shd w:val="clear" w:color="auto" w:fill="FFFFFF"/>
              </w:rPr>
              <w:t>, </w:t>
            </w:r>
            <w:r w:rsidRPr="00F6548F">
              <w:rPr>
                <w:rStyle w:val="author"/>
                <w:rFonts w:ascii="Times New Roman" w:hAnsi="Times New Roman" w:cs="Times New Roman"/>
                <w:color w:val="000000" w:themeColor="text1"/>
                <w:sz w:val="20"/>
                <w:szCs w:val="20"/>
                <w:shd w:val="clear" w:color="auto" w:fill="FFFFFF"/>
              </w:rPr>
              <w:t>McKimm, R &amp;</w:t>
            </w:r>
            <w:r w:rsidRPr="00F6548F">
              <w:rPr>
                <w:rFonts w:ascii="Times New Roman" w:hAnsi="Times New Roman" w:cs="Times New Roman"/>
                <w:color w:val="000000" w:themeColor="text1"/>
                <w:sz w:val="20"/>
                <w:szCs w:val="20"/>
                <w:shd w:val="clear" w:color="auto" w:fill="FFFFFF"/>
              </w:rPr>
              <w:t> </w:t>
            </w:r>
            <w:r w:rsidRPr="00F6548F">
              <w:rPr>
                <w:rStyle w:val="author"/>
                <w:rFonts w:ascii="Times New Roman" w:hAnsi="Times New Roman" w:cs="Times New Roman"/>
                <w:color w:val="000000" w:themeColor="text1"/>
                <w:sz w:val="20"/>
                <w:szCs w:val="20"/>
                <w:shd w:val="clear" w:color="auto" w:fill="FFFFFF"/>
              </w:rPr>
              <w:t>Harrod, C.</w:t>
            </w:r>
            <w:r w:rsidRPr="00F6548F">
              <w:rPr>
                <w:rFonts w:ascii="Times New Roman" w:hAnsi="Times New Roman" w:cs="Times New Roman"/>
                <w:color w:val="000000" w:themeColor="text1"/>
                <w:sz w:val="20"/>
                <w:szCs w:val="20"/>
                <w:shd w:val="clear" w:color="auto" w:fill="FFFFFF"/>
              </w:rPr>
              <w:t> </w:t>
            </w:r>
            <w:r w:rsidRPr="00F6548F">
              <w:rPr>
                <w:rStyle w:val="pubyear"/>
                <w:rFonts w:ascii="Times New Roman" w:hAnsi="Times New Roman" w:cs="Times New Roman"/>
                <w:color w:val="000000" w:themeColor="text1"/>
                <w:sz w:val="20"/>
                <w:szCs w:val="20"/>
                <w:shd w:val="clear" w:color="auto" w:fill="FFFFFF"/>
              </w:rPr>
              <w:t>2014,</w:t>
            </w:r>
            <w:r w:rsidRPr="00F6548F">
              <w:rPr>
                <w:rFonts w:ascii="Times New Roman" w:hAnsi="Times New Roman" w:cs="Times New Roman"/>
                <w:color w:val="000000" w:themeColor="text1"/>
                <w:sz w:val="20"/>
                <w:szCs w:val="20"/>
                <w:shd w:val="clear" w:color="auto" w:fill="FFFFFF"/>
              </w:rPr>
              <w:t> ‘</w:t>
            </w:r>
            <w:r w:rsidRPr="00F6548F">
              <w:rPr>
                <w:rStyle w:val="articletitle"/>
                <w:rFonts w:ascii="Times New Roman" w:hAnsi="Times New Roman" w:cs="Times New Roman"/>
                <w:color w:val="000000" w:themeColor="text1"/>
                <w:sz w:val="20"/>
                <w:szCs w:val="20"/>
                <w:shd w:val="clear" w:color="auto" w:fill="FFFFFF"/>
              </w:rPr>
              <w:t>A method test of the use of electric shock treatment to control invasive signal crayfish in streams’</w:t>
            </w:r>
            <w:r w:rsidRPr="00F6548F">
              <w:rPr>
                <w:rFonts w:ascii="Times New Roman" w:hAnsi="Times New Roman" w:cs="Times New Roman"/>
                <w:color w:val="000000" w:themeColor="text1"/>
                <w:sz w:val="20"/>
                <w:szCs w:val="20"/>
                <w:shd w:val="clear" w:color="auto" w:fill="FFFFFF"/>
              </w:rPr>
              <w:t>, </w:t>
            </w:r>
            <w:r w:rsidRPr="00F6548F">
              <w:rPr>
                <w:rFonts w:ascii="Times New Roman" w:hAnsi="Times New Roman" w:cs="Times New Roman"/>
                <w:i/>
                <w:iCs/>
                <w:color w:val="000000" w:themeColor="text1"/>
                <w:sz w:val="20"/>
                <w:szCs w:val="20"/>
                <w:shd w:val="clear" w:color="auto" w:fill="FFFFFF"/>
              </w:rPr>
              <w:t>Aquatic Conservation: Marine</w:t>
            </w:r>
            <w:r w:rsidRPr="00F6548F" w:rsidDel="004527C9">
              <w:rPr>
                <w:rFonts w:ascii="Times New Roman" w:hAnsi="Times New Roman" w:cs="Times New Roman"/>
                <w:i/>
                <w:iCs/>
                <w:color w:val="000000" w:themeColor="text1"/>
                <w:sz w:val="20"/>
                <w:szCs w:val="20"/>
                <w:shd w:val="clear" w:color="auto" w:fill="FFFFFF"/>
              </w:rPr>
              <w:t>.</w:t>
            </w:r>
            <w:r w:rsidRPr="00F6548F">
              <w:rPr>
                <w:rFonts w:ascii="Times New Roman" w:hAnsi="Times New Roman" w:cs="Times New Roman"/>
                <w:i/>
                <w:iCs/>
                <w:color w:val="000000" w:themeColor="text1"/>
                <w:sz w:val="20"/>
                <w:szCs w:val="20"/>
                <w:shd w:val="clear" w:color="auto" w:fill="FFFFFF"/>
              </w:rPr>
              <w:t xml:space="preserve"> and Freshwater</w:t>
            </w:r>
            <w:r w:rsidRPr="00F6548F" w:rsidDel="004527C9">
              <w:rPr>
                <w:rFonts w:ascii="Times New Roman" w:hAnsi="Times New Roman" w:cs="Times New Roman"/>
                <w:i/>
                <w:iCs/>
                <w:color w:val="000000" w:themeColor="text1"/>
                <w:sz w:val="20"/>
                <w:szCs w:val="20"/>
                <w:shd w:val="clear" w:color="auto" w:fill="FFFFFF"/>
              </w:rPr>
              <w:t>.</w:t>
            </w:r>
            <w:r w:rsidRPr="00F6548F">
              <w:rPr>
                <w:rFonts w:ascii="Times New Roman" w:hAnsi="Times New Roman" w:cs="Times New Roman"/>
                <w:i/>
                <w:iCs/>
                <w:color w:val="000000" w:themeColor="text1"/>
                <w:sz w:val="20"/>
                <w:szCs w:val="20"/>
                <w:shd w:val="clear" w:color="auto" w:fill="FFFFFF"/>
              </w:rPr>
              <w:t xml:space="preserve"> Ecosystems</w:t>
            </w:r>
            <w:r w:rsidRPr="00F6548F" w:rsidDel="004527C9">
              <w:rPr>
                <w:rFonts w:ascii="Times New Roman" w:hAnsi="Times New Roman" w:cs="Times New Roman"/>
                <w:i/>
                <w:iCs/>
                <w:color w:val="000000" w:themeColor="text1"/>
                <w:sz w:val="20"/>
                <w:szCs w:val="20"/>
                <w:shd w:val="clear" w:color="auto" w:fill="FFFFFF"/>
              </w:rPr>
              <w:t>.</w:t>
            </w:r>
            <w:r w:rsidRPr="00F6548F">
              <w:rPr>
                <w:rFonts w:ascii="Times New Roman" w:hAnsi="Times New Roman" w:cs="Times New Roman"/>
                <w:color w:val="000000" w:themeColor="text1"/>
                <w:sz w:val="20"/>
                <w:szCs w:val="20"/>
                <w:shd w:val="clear" w:color="auto" w:fill="FFFFFF"/>
              </w:rPr>
              <w:t>, </w:t>
            </w:r>
            <w:r w:rsidRPr="00F6548F">
              <w:rPr>
                <w:rStyle w:val="vol"/>
                <w:rFonts w:ascii="Times New Roman" w:hAnsi="Times New Roman" w:cs="Times New Roman"/>
                <w:color w:val="000000" w:themeColor="text1"/>
                <w:sz w:val="20"/>
                <w:szCs w:val="20"/>
                <w:shd w:val="clear" w:color="auto" w:fill="FFFFFF"/>
              </w:rPr>
              <w:t>25,</w:t>
            </w:r>
            <w:r w:rsidRPr="00F6548F" w:rsidDel="004527C9">
              <w:rPr>
                <w:rFonts w:ascii="Times New Roman" w:hAnsi="Times New Roman" w:cs="Times New Roman"/>
                <w:color w:val="000000" w:themeColor="text1"/>
                <w:sz w:val="20"/>
                <w:szCs w:val="20"/>
                <w:shd w:val="clear" w:color="auto" w:fill="FFFFFF"/>
              </w:rPr>
              <w:t>:</w:t>
            </w:r>
            <w:r w:rsidRPr="00F6548F">
              <w:rPr>
                <w:rFonts w:ascii="Times New Roman" w:hAnsi="Times New Roman" w:cs="Times New Roman"/>
                <w:color w:val="000000" w:themeColor="text1"/>
                <w:sz w:val="20"/>
                <w:szCs w:val="20"/>
                <w:shd w:val="clear" w:color="auto" w:fill="FFFFFF"/>
              </w:rPr>
              <w:t> </w:t>
            </w:r>
            <w:r w:rsidRPr="00F6548F">
              <w:rPr>
                <w:rStyle w:val="pagefirst"/>
                <w:rFonts w:ascii="Times New Roman" w:hAnsi="Times New Roman" w:cs="Times New Roman"/>
                <w:color w:val="000000" w:themeColor="text1"/>
                <w:sz w:val="20"/>
                <w:szCs w:val="20"/>
                <w:shd w:val="clear" w:color="auto" w:fill="FFFFFF"/>
              </w:rPr>
              <w:t>874</w:t>
            </w:r>
            <w:r w:rsidRPr="00F6548F">
              <w:rPr>
                <w:rFonts w:ascii="Times New Roman" w:hAnsi="Times New Roman" w:cs="Times New Roman"/>
                <w:color w:val="000000" w:themeColor="text1"/>
                <w:sz w:val="20"/>
                <w:szCs w:val="20"/>
                <w:shd w:val="clear" w:color="auto" w:fill="FFFFFF"/>
              </w:rPr>
              <w:t>–</w:t>
            </w:r>
            <w:r w:rsidRPr="00F6548F">
              <w:rPr>
                <w:rStyle w:val="pagelast"/>
                <w:rFonts w:ascii="Times New Roman" w:hAnsi="Times New Roman" w:cs="Times New Roman"/>
                <w:color w:val="000000" w:themeColor="text1"/>
                <w:sz w:val="20"/>
                <w:szCs w:val="20"/>
                <w:shd w:val="clear" w:color="auto" w:fill="FFFFFF"/>
              </w:rPr>
              <w:t>880</w:t>
            </w:r>
            <w:r w:rsidRPr="00F6548F" w:rsidDel="004527C9">
              <w:rPr>
                <w:rFonts w:ascii="Times New Roman" w:hAnsi="Times New Roman" w:cs="Times New Roman"/>
                <w:color w:val="000000" w:themeColor="text1"/>
                <w:sz w:val="20"/>
                <w:szCs w:val="20"/>
                <w:shd w:val="clear" w:color="auto" w:fill="FFFFFF"/>
              </w:rPr>
              <w:t>.</w:t>
            </w:r>
            <w:r w:rsidRPr="00F6548F">
              <w:rPr>
                <w:rFonts w:ascii="Times New Roman" w:hAnsi="Times New Roman" w:cs="Times New Roman"/>
                <w:color w:val="000000" w:themeColor="text1"/>
                <w:sz w:val="20"/>
                <w:szCs w:val="20"/>
                <w:shd w:val="clear" w:color="auto" w:fill="FFFFFF"/>
              </w:rPr>
              <w:t xml:space="preserve"> </w:t>
            </w:r>
            <w:r w:rsidR="00102BFE" w:rsidRPr="00102BFE">
              <w:rPr>
                <w:rFonts w:ascii="Times New Roman" w:hAnsi="Times New Roman" w:cs="Times New Roman"/>
                <w:color w:val="000000" w:themeColor="text1"/>
                <w:sz w:val="20"/>
                <w:szCs w:val="20"/>
                <w:shd w:val="clear" w:color="auto" w:fill="FFFFFF"/>
              </w:rPr>
              <w:t>https://doi.org/10.1002/aqc.2541</w:t>
            </w:r>
            <w:r w:rsidRPr="00F6548F">
              <w:rPr>
                <w:rFonts w:ascii="Times New Roman" w:hAnsi="Times New Roman" w:cs="Times New Roman"/>
                <w:color w:val="000000" w:themeColor="text1"/>
                <w:sz w:val="20"/>
                <w:szCs w:val="20"/>
                <w:shd w:val="clear" w:color="auto" w:fill="FFFFFF"/>
              </w:rPr>
              <w:t>.</w:t>
            </w:r>
          </w:p>
          <w:p w14:paraId="37F35180" w14:textId="77777777" w:rsidR="002D7080" w:rsidRPr="00ED3FD3" w:rsidRDefault="002D7080" w:rsidP="00CD0B85">
            <w:pPr>
              <w:ind w:left="590" w:hanging="590"/>
              <w:contextualSpacing/>
              <w:jc w:val="both"/>
              <w:rPr>
                <w:rFonts w:ascii="Times New Roman" w:eastAsia="Times New Roman" w:hAnsi="Times New Roman" w:cs="Times New Roman"/>
                <w:sz w:val="20"/>
                <w:szCs w:val="20"/>
                <w:lang w:eastAsia="en-ZA"/>
              </w:rPr>
            </w:pPr>
            <w:r w:rsidRPr="00F6548F">
              <w:rPr>
                <w:rFonts w:ascii="Times New Roman" w:hAnsi="Times New Roman" w:cs="Times New Roman"/>
                <w:color w:val="000000" w:themeColor="text1"/>
                <w:sz w:val="20"/>
                <w:szCs w:val="20"/>
              </w:rPr>
              <w:t xml:space="preserve">Smith, K.F., Behrens, M.D., Max, L.M. &amp; Daszak, P. 2008. ‘U.S. drowning in unidentified </w:t>
            </w:r>
            <w:r w:rsidRPr="00ED3FD3">
              <w:rPr>
                <w:rFonts w:ascii="Times New Roman" w:hAnsi="Times New Roman" w:cs="Times New Roman"/>
                <w:sz w:val="20"/>
                <w:szCs w:val="20"/>
              </w:rPr>
              <w:t xml:space="preserve">fishes: scope, implications, and regulation of live fish import’, </w:t>
            </w:r>
            <w:r w:rsidRPr="00ED3FD3">
              <w:rPr>
                <w:rFonts w:ascii="Times New Roman" w:hAnsi="Times New Roman" w:cs="Times New Roman"/>
                <w:i/>
                <w:sz w:val="20"/>
                <w:szCs w:val="20"/>
              </w:rPr>
              <w:t>Conservation Letters</w:t>
            </w:r>
            <w:r w:rsidRPr="00ED3FD3">
              <w:rPr>
                <w:rFonts w:ascii="Times New Roman" w:hAnsi="Times New Roman" w:cs="Times New Roman"/>
                <w:iCs/>
                <w:sz w:val="20"/>
                <w:szCs w:val="20"/>
              </w:rPr>
              <w:t xml:space="preserve"> </w:t>
            </w:r>
            <w:r w:rsidRPr="00ED3FD3">
              <w:rPr>
                <w:rFonts w:ascii="Times New Roman" w:hAnsi="Times New Roman" w:cs="Times New Roman"/>
                <w:sz w:val="20"/>
                <w:szCs w:val="20"/>
              </w:rPr>
              <w:t xml:space="preserve">1, 103–109. </w:t>
            </w:r>
            <w:hyperlink w:history="1">
              <w:r w:rsidRPr="00ED3FD3">
                <w:rPr>
                  <w:rStyle w:val="Hyperlink"/>
                  <w:rFonts w:ascii="Times New Roman" w:hAnsi="Times New Roman" w:cs="Times New Roman"/>
                  <w:sz w:val="20"/>
                  <w:szCs w:val="20"/>
                </w:rPr>
                <w:t>https://doi.org/10.1111/j.1755-263X.2008.00014.x</w:t>
              </w:r>
            </w:hyperlink>
            <w:bookmarkEnd w:id="17"/>
          </w:p>
        </w:tc>
      </w:tr>
    </w:tbl>
    <w:p w14:paraId="32B98AD6"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ED3FD3" w14:paraId="67F1B54D" w14:textId="77777777" w:rsidTr="002E2C37">
        <w:trPr>
          <w:trHeight w:val="343"/>
        </w:trPr>
        <w:tc>
          <w:tcPr>
            <w:tcW w:w="9067" w:type="dxa"/>
            <w:gridSpan w:val="2"/>
            <w:shd w:val="clear" w:color="auto" w:fill="F2F2F2" w:themeFill="background1" w:themeFillShade="F2"/>
          </w:tcPr>
          <w:p w14:paraId="1310008C"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MAN4 Has the feasibility of eradication been evaluated?</w:t>
            </w:r>
          </w:p>
        </w:tc>
      </w:tr>
      <w:tr w:rsidR="002D7080" w:rsidRPr="00ED3FD3" w14:paraId="19B3F624" w14:textId="77777777" w:rsidTr="002E2C37">
        <w:trPr>
          <w:trHeight w:val="172"/>
        </w:trPr>
        <w:tc>
          <w:tcPr>
            <w:tcW w:w="5240" w:type="dxa"/>
          </w:tcPr>
          <w:p w14:paraId="3EC53EE3" w14:textId="77777777" w:rsidR="002D7080" w:rsidRPr="00ED3FD3" w:rsidRDefault="002D7080" w:rsidP="002E2C37">
            <w:pPr>
              <w:tabs>
                <w:tab w:val="left" w:pos="1589"/>
              </w:tabs>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Response: No</w:t>
            </w:r>
          </w:p>
        </w:tc>
        <w:tc>
          <w:tcPr>
            <w:tcW w:w="3827" w:type="dxa"/>
          </w:tcPr>
          <w:p w14:paraId="300A643B"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Confidence: Low</w:t>
            </w:r>
          </w:p>
        </w:tc>
      </w:tr>
      <w:tr w:rsidR="002D7080" w:rsidRPr="00ED3FD3" w14:paraId="35BBD0EC" w14:textId="77777777" w:rsidTr="002E2C37">
        <w:trPr>
          <w:trHeight w:val="70"/>
        </w:trPr>
        <w:tc>
          <w:tcPr>
            <w:tcW w:w="9067" w:type="dxa"/>
            <w:gridSpan w:val="2"/>
          </w:tcPr>
          <w:p w14:paraId="27F67A3A"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Rationale: </w:t>
            </w:r>
            <w:r w:rsidRPr="00ED3FD3">
              <w:rPr>
                <w:rStyle w:val="cf01"/>
                <w:rFonts w:ascii="Times New Roman" w:hAnsi="Times New Roman" w:cs="Times New Roman"/>
                <w:sz w:val="20"/>
                <w:szCs w:val="20"/>
              </w:rPr>
              <w:t xml:space="preserve">Although feasibility of eradication has not been evaluated for SA, experience in other parts of the world suggest that </w:t>
            </w:r>
            <w:r w:rsidRPr="00ED3FD3">
              <w:rPr>
                <w:rFonts w:ascii="Times New Roman" w:eastAsia="Times New Roman" w:hAnsi="Times New Roman" w:cs="Times New Roman"/>
                <w:sz w:val="20"/>
                <w:szCs w:val="20"/>
                <w:lang w:eastAsia="en-ZA"/>
              </w:rPr>
              <w:t xml:space="preserve">once </w:t>
            </w:r>
            <w:r w:rsidRPr="00ED3FD3">
              <w:rPr>
                <w:rFonts w:ascii="Times New Roman" w:eastAsia="Times New Roman" w:hAnsi="Times New Roman" w:cs="Times New Roman"/>
                <w:i/>
                <w:iCs/>
                <w:sz w:val="20"/>
                <w:szCs w:val="20"/>
                <w:lang w:eastAsia="en-ZA"/>
              </w:rPr>
              <w:t>P. leniusculus</w:t>
            </w:r>
            <w:r w:rsidRPr="00ED3FD3">
              <w:rPr>
                <w:rFonts w:ascii="Times New Roman" w:eastAsia="Times New Roman" w:hAnsi="Times New Roman" w:cs="Times New Roman"/>
                <w:sz w:val="20"/>
                <w:szCs w:val="20"/>
                <w:lang w:eastAsia="en-ZA"/>
              </w:rPr>
              <w:t xml:space="preserve"> has become established and widespread, eradication is infeasible </w:t>
            </w:r>
            <w:r w:rsidRPr="00ED3FD3">
              <w:rPr>
                <w:rFonts w:ascii="Times New Roman" w:eastAsia="Times New Roman" w:hAnsi="Times New Roman" w:cs="Times New Roman"/>
                <w:sz w:val="20"/>
                <w:szCs w:val="20"/>
                <w:lang w:eastAsia="en-ZA"/>
              </w:rPr>
              <w:fldChar w:fldCharType="begin" w:fldLock="1"/>
            </w:r>
            <w:r w:rsidRPr="00ED3FD3">
              <w:rPr>
                <w:rFonts w:ascii="Times New Roman" w:eastAsia="Times New Roman" w:hAnsi="Times New Roman" w:cs="Times New Roman"/>
                <w:sz w:val="20"/>
                <w:szCs w:val="20"/>
                <w:lang w:eastAsia="en-ZA"/>
              </w:rPr>
              <w:instrText>ADDIN CSL_CITATION { "citationItems" : [ { "id" : "ITEM-1", "itemData" : { "DOI" : "10.1007/s00027-011-0181-z", "ISBN" : "1015-1621", "ISSN" : "10151621", "abstract" : "Given that the impact exerted by non-indigenous crayfish species (NICS) is most often severe, can occur across many levels of ecological organization, and results in the loss of native crayfish populations, the Convention on Biological Diversity approach, as complemented by the European Strategy, is viewed as an excellent framework to be followed to prevent the introduction of NICS and to alleviate or eliminate the damage they inflict. Much effort should be directed to minimize the risks of intentional introductions, as in part done by the Council Regulation No. 708/07 in force in the European Union since 2009. However, this and other regulations are not well harmonized, for instance, with those concerning both the aquarium trade and the harvest of crayfish for human consumption. To make prevention more difficult, there are many records of illegal release of NICS into the wild and of their accidental introduction as undetected contaminants in batches of regulated fish species. As a consequence, it seems necessary that post-introduction mitigation and remediation protocols and processes, such as contingency plans, are always in place to enable rapid detection and early response in order to minimize and, ideally, annul the threats posed by NICS. The aim of this review paper is to offer a synthetic view of the different methods (mechanical removal, physical methods, biological control, biocides, and autocidal methods) proposed and adopted until now to control NICS with a discussion of their pitfalls and potentialities. A glimpse to the ongoing research in the matter will be also given.", "author" : [ { "dropping-particle" : "", "family" : "Gherardi", "given" : "Francesca", "non-dropping-particle" : "", "parse-names" : false, "suffix" : "" }, { "dropping-particle" : "", "family" : "Aquiloni", "given" : "Laura", "non-dropping-particle" : "", "parse-names" : false, "suffix" : "" }, { "dropping-particle" : "", "family" : "Di\u00e9guez-Uribeondo", "given" : "Javier", "non-dropping-particle" : "", "parse-names" : false, "suffix" : "" }, { "dropping-particle" : "", "family" : "Tricarico", "given" : "Elena", "non-dropping-particle" : "", "parse-names" : false, "suffix" : "" } ], "container-title" : "Aquatic Sciences", "id" : "ITEM-1", "issue" : "2", "issued" : { "date-parts" : [ [ "2011" ] ] }, "page" : "185-200", "title" : "Managing invasive crayfish: Is there a hope?", "type" : "article-journal", "volume" : "73" }, "uris" : [ "http://www.mendeley.com/documents/?uuid=d637fb79-995e-4b78-9f71-d351458fff8b" ] } ], "mendeley" : { "formattedCitation" : "(Gherardi et al. 2011)", "plainTextFormattedCitation" : "(Gherardi et al. 2011)" }, "properties" : { "noteIndex" : 0 }, "schema" : "https://github.com/citation-style-language/schema/raw/master/csl-citation.json" }</w:instrText>
            </w:r>
            <w:r w:rsidRPr="00ED3FD3">
              <w:rPr>
                <w:rFonts w:ascii="Times New Roman" w:eastAsia="Times New Roman" w:hAnsi="Times New Roman" w:cs="Times New Roman"/>
                <w:sz w:val="20"/>
                <w:szCs w:val="20"/>
                <w:lang w:eastAsia="en-ZA"/>
              </w:rPr>
              <w:fldChar w:fldCharType="separate"/>
            </w:r>
            <w:r w:rsidRPr="00ED3FD3">
              <w:rPr>
                <w:rFonts w:ascii="Times New Roman" w:eastAsia="Times New Roman" w:hAnsi="Times New Roman" w:cs="Times New Roman"/>
                <w:sz w:val="20"/>
                <w:szCs w:val="20"/>
                <w:lang w:eastAsia="en-ZA"/>
              </w:rPr>
              <w:t>(Gherardi et al. 2011)</w:t>
            </w:r>
            <w:r w:rsidRPr="00ED3FD3">
              <w:rPr>
                <w:rFonts w:ascii="Times New Roman" w:eastAsia="Times New Roman" w:hAnsi="Times New Roman" w:cs="Times New Roman"/>
                <w:sz w:val="20"/>
                <w:szCs w:val="20"/>
                <w:lang w:eastAsia="en-ZA"/>
              </w:rPr>
              <w:fldChar w:fldCharType="end"/>
            </w:r>
            <w:r w:rsidRPr="00ED3FD3">
              <w:rPr>
                <w:rFonts w:ascii="Times New Roman" w:eastAsia="Times New Roman" w:hAnsi="Times New Roman" w:cs="Times New Roman"/>
                <w:sz w:val="20"/>
                <w:szCs w:val="20"/>
                <w:lang w:eastAsia="en-ZA"/>
              </w:rPr>
              <w:t>. Eradication using biocides is effective for localised populations such as in small dams/ponds but biocides often have non-target impacts on native fauna (Ballantyne et al. 2019).</w:t>
            </w:r>
          </w:p>
        </w:tc>
      </w:tr>
      <w:tr w:rsidR="002D7080" w:rsidRPr="00ED3FD3" w14:paraId="59AED862" w14:textId="77777777" w:rsidTr="002E2C37">
        <w:trPr>
          <w:trHeight w:val="203"/>
        </w:trPr>
        <w:tc>
          <w:tcPr>
            <w:tcW w:w="9067" w:type="dxa"/>
            <w:gridSpan w:val="2"/>
          </w:tcPr>
          <w:p w14:paraId="014ABD03"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References:</w:t>
            </w:r>
          </w:p>
          <w:p w14:paraId="2B41D650" w14:textId="77777777" w:rsidR="002D7080" w:rsidRPr="00ED3FD3" w:rsidRDefault="002D7080" w:rsidP="008A0BC6">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Ballantyne, L., Baum, D., Bean, C.W, Long, J. &amp; Whitaker S., 2019, ‘Successful eradication of signal crayfish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using a non-specific biocide in a small isolated water body in Scotland’, </w:t>
            </w:r>
            <w:r w:rsidRPr="00ED3FD3">
              <w:rPr>
                <w:rFonts w:ascii="Times New Roman" w:eastAsia="Times New Roman" w:hAnsi="Times New Roman" w:cs="Times New Roman"/>
                <w:i/>
                <w:iCs/>
                <w:sz w:val="20"/>
                <w:szCs w:val="20"/>
                <w:lang w:eastAsia="en-ZA"/>
              </w:rPr>
              <w:t>Island invasives: scaling up to meet the challenge</w:t>
            </w:r>
            <w:r w:rsidRPr="00ED3FD3">
              <w:rPr>
                <w:rFonts w:ascii="Times New Roman" w:eastAsia="Times New Roman" w:hAnsi="Times New Roman" w:cs="Times New Roman"/>
                <w:sz w:val="20"/>
                <w:szCs w:val="20"/>
                <w:lang w:eastAsia="en-ZA"/>
              </w:rPr>
              <w:t xml:space="preserve"> 62, 443–446.</w:t>
            </w:r>
          </w:p>
          <w:p w14:paraId="17C773B6" w14:textId="77777777" w:rsidR="002D7080" w:rsidRPr="00ED3FD3" w:rsidRDefault="002D7080" w:rsidP="008A0BC6">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Gherardi, F., Aquiloni, L., Diéguez-Uribeondo, J. &amp; Tricarico, E., 2011, ‘Managing invasive crayfish: Is there a hope?’, </w:t>
            </w:r>
            <w:r w:rsidRPr="00ED3FD3">
              <w:rPr>
                <w:rFonts w:ascii="Times New Roman" w:eastAsia="Times New Roman" w:hAnsi="Times New Roman" w:cs="Times New Roman"/>
                <w:i/>
                <w:iCs/>
                <w:sz w:val="20"/>
                <w:szCs w:val="20"/>
                <w:lang w:eastAsia="en-ZA"/>
              </w:rPr>
              <w:t>Aquatic Sciences</w:t>
            </w:r>
            <w:r w:rsidRPr="00ED3FD3">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iCs/>
                <w:sz w:val="20"/>
                <w:szCs w:val="20"/>
                <w:lang w:eastAsia="en-ZA"/>
              </w:rPr>
              <w:t>73</w:t>
            </w:r>
            <w:r w:rsidRPr="00ED3FD3">
              <w:rPr>
                <w:rFonts w:ascii="Times New Roman" w:eastAsia="Times New Roman" w:hAnsi="Times New Roman" w:cs="Times New Roman"/>
                <w:sz w:val="20"/>
                <w:szCs w:val="20"/>
                <w:lang w:eastAsia="en-ZA"/>
              </w:rPr>
              <w:t>, 185–200. https://doi.org/10.1007/s00027-011-0181-z.</w:t>
            </w:r>
          </w:p>
        </w:tc>
      </w:tr>
    </w:tbl>
    <w:p w14:paraId="23AFFFD5"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9067"/>
      </w:tblGrid>
      <w:tr w:rsidR="002D7080" w:rsidRPr="00ED3FD3" w14:paraId="5179C703" w14:textId="77777777" w:rsidTr="002E2C37">
        <w:trPr>
          <w:trHeight w:val="343"/>
        </w:trPr>
        <w:tc>
          <w:tcPr>
            <w:tcW w:w="9067" w:type="dxa"/>
            <w:shd w:val="clear" w:color="auto" w:fill="F2F2F2" w:themeFill="background1" w:themeFillShade="F2"/>
          </w:tcPr>
          <w:p w14:paraId="31F65078"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 xml:space="preserve">MAN5 Control options and monitoring approaches available for the </w:t>
            </w:r>
            <w:r w:rsidRPr="00ED3FD3">
              <w:rPr>
                <w:rFonts w:ascii="Times New Roman" w:eastAsia="Times New Roman" w:hAnsi="Times New Roman" w:cs="Times New Roman"/>
                <w:b/>
                <w:i/>
                <w:sz w:val="20"/>
                <w:szCs w:val="20"/>
                <w:lang w:eastAsia="en-ZA"/>
              </w:rPr>
              <w:t>Taxon</w:t>
            </w:r>
          </w:p>
        </w:tc>
      </w:tr>
      <w:tr w:rsidR="002D7080" w:rsidRPr="00ED3FD3" w14:paraId="4211B46B" w14:textId="77777777" w:rsidTr="002E2C37">
        <w:trPr>
          <w:trHeight w:val="70"/>
        </w:trPr>
        <w:tc>
          <w:tcPr>
            <w:tcW w:w="9067" w:type="dxa"/>
          </w:tcPr>
          <w:p w14:paraId="47D49981"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Response: Biocides can be considered when </w:t>
            </w:r>
            <w:r w:rsidRPr="00ED3FD3">
              <w:rPr>
                <w:rFonts w:ascii="Times New Roman" w:eastAsia="Times New Roman" w:hAnsi="Times New Roman" w:cs="Times New Roman"/>
                <w:i/>
                <w:iCs/>
                <w:sz w:val="20"/>
                <w:szCs w:val="20"/>
                <w:lang w:eastAsia="en-ZA"/>
              </w:rPr>
              <w:t>P. leniusculus</w:t>
            </w:r>
            <w:r w:rsidRPr="00ED3FD3">
              <w:rPr>
                <w:rFonts w:ascii="Times New Roman" w:eastAsia="Times New Roman" w:hAnsi="Times New Roman" w:cs="Times New Roman"/>
                <w:sz w:val="20"/>
                <w:szCs w:val="20"/>
                <w:lang w:eastAsia="en-ZA"/>
              </w:rPr>
              <w:t xml:space="preserve"> is confined to small dams. However, it has been noted that since </w:t>
            </w:r>
            <w:r w:rsidRPr="00ED3FD3">
              <w:rPr>
                <w:rFonts w:ascii="Times New Roman" w:eastAsia="Times New Roman" w:hAnsi="Times New Roman" w:cs="Times New Roman"/>
                <w:i/>
                <w:sz w:val="20"/>
                <w:szCs w:val="20"/>
                <w:lang w:eastAsia="en-ZA"/>
              </w:rPr>
              <w:t>P. leniusculus</w:t>
            </w:r>
            <w:r w:rsidRPr="00ED3FD3">
              <w:rPr>
                <w:rFonts w:ascii="Times New Roman" w:eastAsia="Times New Roman" w:hAnsi="Times New Roman" w:cs="Times New Roman"/>
                <w:sz w:val="20"/>
                <w:szCs w:val="20"/>
                <w:lang w:eastAsia="en-ZA"/>
              </w:rPr>
              <w:t xml:space="preserve"> burrows, dewatering the areas sufficiently prior to biocides application is vital (Peay &amp; Dunn 2014). This is to ensure that all individuals will be targeted to prevent alien crayfish to establish populations again. This method is recommended as a rapid response and not continuous eradication method because it is not target specific and once an area is treated it requires time to recover (Peay &amp; Dunn 2014)</w:t>
            </w:r>
            <w:r>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sz w:val="20"/>
                <w:szCs w:val="20"/>
                <w:lang w:eastAsia="en-ZA"/>
              </w:rPr>
              <w:t>Trapping has been used historically; however, some studies caution against using trapping as the only control method because results indicate that this method may be body size-selective, removing adults only and consequently, juveniles grow rapidly due to lack of competition, creating positive feedback loops</w:t>
            </w:r>
            <w:r w:rsidRPr="00ED3FD3">
              <w:rPr>
                <w:rFonts w:ascii="Times New Roman" w:hAnsi="Times New Roman" w:cs="Times New Roman"/>
                <w:sz w:val="20"/>
                <w:szCs w:val="20"/>
              </w:rPr>
              <w:t xml:space="preserve"> (</w:t>
            </w:r>
            <w:r w:rsidRPr="00ED3FD3">
              <w:rPr>
                <w:rFonts w:ascii="Times New Roman" w:eastAsia="Times New Roman" w:hAnsi="Times New Roman" w:cs="Times New Roman"/>
                <w:sz w:val="20"/>
                <w:szCs w:val="20"/>
                <w:lang w:eastAsia="en-ZA"/>
              </w:rPr>
              <w:t>Manfrin et al. 2019; Chadwick et al. 2020)</w:t>
            </w:r>
          </w:p>
        </w:tc>
      </w:tr>
      <w:tr w:rsidR="002D7080" w:rsidRPr="00ED3FD3" w14:paraId="1A6101BC" w14:textId="77777777" w:rsidTr="002E2C37">
        <w:trPr>
          <w:trHeight w:val="203"/>
        </w:trPr>
        <w:tc>
          <w:tcPr>
            <w:tcW w:w="9067" w:type="dxa"/>
          </w:tcPr>
          <w:p w14:paraId="3C433C72" w14:textId="77777777" w:rsidR="002D7080" w:rsidRPr="00ED3FD3" w:rsidRDefault="002D7080" w:rsidP="002E2C37">
            <w:pPr>
              <w:ind w:left="720" w:hanging="720"/>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References: </w:t>
            </w:r>
          </w:p>
          <w:p w14:paraId="7A72B781" w14:textId="77777777" w:rsidR="002D7080" w:rsidRPr="00ED3FD3" w:rsidRDefault="002D7080" w:rsidP="002E2C37">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Chadwick</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xml:space="preserve"> D</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D</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A</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Pritchard</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xml:space="preserve"> E</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G</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Bradley</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xml:space="preserve"> P</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Sayer</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xml:space="preserve"> C</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D</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Chadwick</w:t>
            </w:r>
            <w:r>
              <w:rPr>
                <w:rFonts w:ascii="Times New Roman" w:eastAsia="Times New Roman" w:hAnsi="Times New Roman" w:cs="Times New Roman"/>
                <w:sz w:val="20"/>
                <w:szCs w:val="20"/>
                <w:lang w:eastAsia="en-ZA"/>
              </w:rPr>
              <w:t xml:space="preserve">, </w:t>
            </w:r>
            <w:r w:rsidRPr="00ED3FD3">
              <w:rPr>
                <w:rFonts w:ascii="Times New Roman" w:eastAsia="Times New Roman" w:hAnsi="Times New Roman" w:cs="Times New Roman"/>
                <w:sz w:val="20"/>
                <w:szCs w:val="20"/>
                <w:lang w:eastAsia="en-ZA"/>
              </w:rPr>
              <w:t>M</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A</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Eagle</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xml:space="preserve"> L</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J</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B</w:t>
            </w:r>
            <w:r>
              <w:rPr>
                <w:rFonts w:ascii="Times New Roman" w:eastAsia="Times New Roman" w:hAnsi="Times New Roman" w:cs="Times New Roman"/>
                <w:sz w:val="20"/>
                <w:szCs w:val="20"/>
                <w:lang w:eastAsia="en-ZA"/>
              </w:rPr>
              <w:t xml:space="preserve">. &amp; </w:t>
            </w:r>
            <w:r w:rsidRPr="00ED3FD3">
              <w:rPr>
                <w:rFonts w:ascii="Times New Roman" w:eastAsia="Times New Roman" w:hAnsi="Times New Roman" w:cs="Times New Roman"/>
                <w:sz w:val="20"/>
                <w:szCs w:val="20"/>
                <w:lang w:eastAsia="en-ZA"/>
              </w:rPr>
              <w:t>Axmacher</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xml:space="preserve"> J</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C.</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xml:space="preserve"> 2020. A novel triple down method highlights deficiencies in invasive alien crayfish survey and control techniques. </w:t>
            </w:r>
            <w:r w:rsidRPr="00ED3FD3">
              <w:rPr>
                <w:rFonts w:ascii="Times New Roman" w:eastAsia="Times New Roman" w:hAnsi="Times New Roman" w:cs="Times New Roman"/>
                <w:i/>
                <w:sz w:val="20"/>
                <w:szCs w:val="20"/>
                <w:lang w:eastAsia="en-ZA"/>
              </w:rPr>
              <w:t>Journal of Applied Ecology</w:t>
            </w:r>
            <w:r w:rsidRPr="00ED3FD3">
              <w:rPr>
                <w:rFonts w:ascii="Times New Roman" w:eastAsia="Times New Roman" w:hAnsi="Times New Roman" w:cs="Times New Roman"/>
                <w:sz w:val="20"/>
                <w:szCs w:val="20"/>
                <w:lang w:eastAsia="en-ZA"/>
              </w:rPr>
              <w:t xml:space="preserve"> 00: 1–11.  </w:t>
            </w:r>
            <w:r w:rsidRPr="00ED3FD3">
              <w:rPr>
                <w:rFonts w:ascii="Times New Roman" w:eastAsia="Times New Roman" w:hAnsi="Times New Roman" w:cs="Times New Roman"/>
                <w:bCs/>
                <w:sz w:val="20"/>
                <w:szCs w:val="20"/>
                <w:lang w:eastAsia="en-ZA"/>
              </w:rPr>
              <w:t>https://doi.org/10.1111/1365-2664.13758</w:t>
            </w:r>
          </w:p>
          <w:p w14:paraId="1DF6C4C1" w14:textId="77777777" w:rsidR="002D7080" w:rsidRPr="00ED3FD3" w:rsidRDefault="002D7080" w:rsidP="002E2C37">
            <w:pPr>
              <w:ind w:left="720" w:hanging="720"/>
              <w:contextualSpacing/>
              <w:jc w:val="both"/>
              <w:rPr>
                <w:rFonts w:ascii="Times New Roman" w:eastAsia="Times New Roman" w:hAnsi="Times New Roman" w:cs="Times New Roman"/>
                <w:bCs/>
                <w:sz w:val="20"/>
                <w:szCs w:val="20"/>
                <w:lang w:eastAsia="en-ZA"/>
              </w:rPr>
            </w:pPr>
            <w:r w:rsidRPr="00ED3FD3">
              <w:rPr>
                <w:rFonts w:ascii="Times New Roman" w:eastAsia="Times New Roman" w:hAnsi="Times New Roman" w:cs="Times New Roman"/>
                <w:sz w:val="20"/>
                <w:szCs w:val="20"/>
                <w:lang w:eastAsia="en-ZA"/>
              </w:rPr>
              <w:t>Manfrin</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xml:space="preserve"> C</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Souty-Grosset</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xml:space="preserve"> C</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Anastacio</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xml:space="preserve"> P</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M</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Reynolds</w:t>
            </w:r>
            <w:r>
              <w:rPr>
                <w:rFonts w:ascii="Times New Roman" w:eastAsia="Times New Roman" w:hAnsi="Times New Roman" w:cs="Times New Roman"/>
                <w:sz w:val="20"/>
                <w:szCs w:val="20"/>
                <w:lang w:eastAsia="en-ZA"/>
              </w:rPr>
              <w:t>, J. &amp;</w:t>
            </w:r>
            <w:r w:rsidRPr="00ED3FD3">
              <w:rPr>
                <w:rFonts w:ascii="Times New Roman" w:eastAsia="Times New Roman" w:hAnsi="Times New Roman" w:cs="Times New Roman"/>
                <w:sz w:val="20"/>
                <w:szCs w:val="20"/>
                <w:lang w:eastAsia="en-ZA"/>
              </w:rPr>
              <w:t xml:space="preserve"> Giulianini</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 xml:space="preserve"> P</w:t>
            </w:r>
            <w:r>
              <w:rPr>
                <w:rFonts w:ascii="Times New Roman" w:eastAsia="Times New Roman" w:hAnsi="Times New Roman" w:cs="Times New Roman"/>
                <w:sz w:val="20"/>
                <w:szCs w:val="20"/>
                <w:lang w:eastAsia="en-ZA"/>
              </w:rPr>
              <w:t>.</w:t>
            </w:r>
            <w:r w:rsidRPr="00ED3FD3">
              <w:rPr>
                <w:rFonts w:ascii="Times New Roman" w:eastAsia="Times New Roman" w:hAnsi="Times New Roman" w:cs="Times New Roman"/>
                <w:sz w:val="20"/>
                <w:szCs w:val="20"/>
                <w:lang w:eastAsia="en-ZA"/>
              </w:rPr>
              <w:t>G</w:t>
            </w:r>
            <w:r>
              <w:rPr>
                <w:rFonts w:ascii="Times New Roman" w:eastAsia="Times New Roman" w:hAnsi="Times New Roman" w:cs="Times New Roman"/>
                <w:b/>
                <w:bCs/>
                <w:sz w:val="20"/>
                <w:szCs w:val="20"/>
                <w:lang w:eastAsia="en-ZA"/>
              </w:rPr>
              <w:t xml:space="preserve">., </w:t>
            </w:r>
            <w:r>
              <w:rPr>
                <w:rFonts w:ascii="Times New Roman" w:eastAsia="Times New Roman" w:hAnsi="Times New Roman" w:cs="Times New Roman"/>
                <w:sz w:val="20"/>
                <w:szCs w:val="20"/>
                <w:lang w:eastAsia="en-ZA"/>
              </w:rPr>
              <w:t>2019, ‘</w:t>
            </w:r>
            <w:r w:rsidRPr="00ED3FD3">
              <w:rPr>
                <w:rFonts w:ascii="Times New Roman" w:eastAsia="Times New Roman" w:hAnsi="Times New Roman" w:cs="Times New Roman"/>
                <w:bCs/>
                <w:sz w:val="20"/>
                <w:szCs w:val="20"/>
                <w:lang w:eastAsia="en-ZA"/>
              </w:rPr>
              <w:t>Detection and Control of Invasive Freshwater Crayfish: From Traditional to Innovative Methods</w:t>
            </w:r>
            <w:r>
              <w:rPr>
                <w:rFonts w:ascii="Times New Roman" w:eastAsia="Times New Roman" w:hAnsi="Times New Roman" w:cs="Times New Roman"/>
                <w:bCs/>
                <w:sz w:val="20"/>
                <w:szCs w:val="20"/>
                <w:lang w:eastAsia="en-ZA"/>
              </w:rPr>
              <w:t>’,</w:t>
            </w:r>
            <w:r w:rsidRPr="00ED3FD3">
              <w:rPr>
                <w:rFonts w:ascii="Times New Roman" w:eastAsia="Times New Roman" w:hAnsi="Times New Roman" w:cs="Times New Roman"/>
                <w:bCs/>
                <w:sz w:val="20"/>
                <w:szCs w:val="20"/>
                <w:lang w:eastAsia="en-ZA"/>
              </w:rPr>
              <w:t xml:space="preserve"> </w:t>
            </w:r>
            <w:r w:rsidRPr="00ED3FD3">
              <w:rPr>
                <w:rFonts w:ascii="Times New Roman" w:eastAsia="Times New Roman" w:hAnsi="Times New Roman" w:cs="Times New Roman"/>
                <w:bCs/>
                <w:i/>
                <w:sz w:val="20"/>
                <w:szCs w:val="20"/>
                <w:lang w:eastAsia="en-ZA"/>
              </w:rPr>
              <w:t>Diversity</w:t>
            </w:r>
            <w:r>
              <w:rPr>
                <w:rFonts w:ascii="Times New Roman" w:eastAsia="Times New Roman" w:hAnsi="Times New Roman" w:cs="Times New Roman"/>
                <w:bCs/>
                <w:sz w:val="20"/>
                <w:szCs w:val="20"/>
                <w:lang w:eastAsia="en-ZA"/>
              </w:rPr>
              <w:t xml:space="preserve"> 11,</w:t>
            </w:r>
            <w:r w:rsidRPr="00ED3FD3">
              <w:rPr>
                <w:rFonts w:ascii="Times New Roman" w:eastAsia="Times New Roman" w:hAnsi="Times New Roman" w:cs="Times New Roman"/>
                <w:bCs/>
                <w:sz w:val="20"/>
                <w:szCs w:val="20"/>
                <w:lang w:eastAsia="en-ZA"/>
              </w:rPr>
              <w:t xml:space="preserve"> 1–16. https://doi.org/10.3390/d11010005</w:t>
            </w:r>
          </w:p>
          <w:p w14:paraId="1EE6E161" w14:textId="77777777" w:rsidR="002D7080" w:rsidRPr="00ED3FD3" w:rsidRDefault="002D7080" w:rsidP="002E2C37">
            <w:pPr>
              <w:ind w:left="720" w:hanging="720"/>
              <w:contextualSpacing/>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 xml:space="preserve">Peay, S &amp;  Dunn A.M., 2014, ‘The behavioural response of the invasive signal crayfish </w:t>
            </w:r>
            <w:r w:rsidRPr="00ED3FD3">
              <w:rPr>
                <w:rFonts w:ascii="Times New Roman" w:eastAsia="Times New Roman" w:hAnsi="Times New Roman" w:cs="Times New Roman"/>
                <w:i/>
                <w:sz w:val="20"/>
                <w:szCs w:val="20"/>
                <w:lang w:eastAsia="en-ZA"/>
              </w:rPr>
              <w:t>Pacifastacus leniusculus</w:t>
            </w:r>
            <w:r w:rsidRPr="00ED3FD3">
              <w:rPr>
                <w:rFonts w:ascii="Times New Roman" w:eastAsia="Times New Roman" w:hAnsi="Times New Roman" w:cs="Times New Roman"/>
                <w:sz w:val="20"/>
                <w:szCs w:val="20"/>
                <w:lang w:eastAsia="en-ZA"/>
              </w:rPr>
              <w:t xml:space="preserve"> to experimental dewatering of burrows and its implications for eradication treatment and management of ponds with crayfish’, </w:t>
            </w:r>
            <w:r w:rsidRPr="00ED3FD3">
              <w:rPr>
                <w:rFonts w:ascii="Times New Roman" w:eastAsia="Times New Roman" w:hAnsi="Times New Roman" w:cs="Times New Roman"/>
                <w:i/>
                <w:sz w:val="20"/>
                <w:szCs w:val="20"/>
                <w:lang w:eastAsia="en-ZA"/>
              </w:rPr>
              <w:t>Ethology Ecology &amp; Evolution</w:t>
            </w:r>
            <w:r w:rsidRPr="00ED3FD3">
              <w:rPr>
                <w:rFonts w:ascii="Times New Roman" w:eastAsia="Times New Roman" w:hAnsi="Times New Roman" w:cs="Times New Roman"/>
                <w:sz w:val="20"/>
                <w:szCs w:val="20"/>
                <w:lang w:eastAsia="en-ZA"/>
              </w:rPr>
              <w:t>, 26, 277–298,</w:t>
            </w:r>
            <w:r w:rsidRPr="00ED3FD3">
              <w:rPr>
                <w:rFonts w:ascii="Times New Roman" w:eastAsia="Times New Roman" w:hAnsi="Times New Roman" w:cs="Times New Roman"/>
                <w:color w:val="333333"/>
                <w:sz w:val="20"/>
                <w:szCs w:val="20"/>
              </w:rPr>
              <w:t xml:space="preserve"> </w:t>
            </w:r>
            <w:r w:rsidRPr="00ED3FD3">
              <w:rPr>
                <w:rFonts w:ascii="Times New Roman" w:eastAsia="Times New Roman" w:hAnsi="Times New Roman" w:cs="Times New Roman"/>
                <w:sz w:val="20"/>
                <w:szCs w:val="20"/>
                <w:lang w:eastAsia="en-ZA"/>
              </w:rPr>
              <w:t>https://doi.org/10.1080/03949370.2014.903379</w:t>
            </w:r>
          </w:p>
        </w:tc>
      </w:tr>
    </w:tbl>
    <w:p w14:paraId="168C4551" w14:textId="77777777" w:rsidR="002D7080" w:rsidRPr="00ED3FD3" w:rsidRDefault="002D7080" w:rsidP="002D7080">
      <w:pPr>
        <w:spacing w:after="0" w:line="240" w:lineRule="auto"/>
        <w:rPr>
          <w:rFonts w:ascii="Times New Roman" w:hAnsi="Times New Roman" w:cs="Times New Roman"/>
          <w:b/>
          <w:sz w:val="20"/>
          <w:szCs w:val="20"/>
        </w:rPr>
      </w:pPr>
    </w:p>
    <w:tbl>
      <w:tblPr>
        <w:tblStyle w:val="TableGrid"/>
        <w:tblW w:w="9067" w:type="dxa"/>
        <w:tblLook w:val="04A0" w:firstRow="1" w:lastRow="0" w:firstColumn="1" w:lastColumn="0" w:noHBand="0" w:noVBand="1"/>
      </w:tblPr>
      <w:tblGrid>
        <w:gridCol w:w="1696"/>
        <w:gridCol w:w="7371"/>
      </w:tblGrid>
      <w:tr w:rsidR="002D7080" w:rsidRPr="00ED3FD3" w14:paraId="63E399DE" w14:textId="77777777" w:rsidTr="002E2C37">
        <w:trPr>
          <w:trHeight w:val="343"/>
        </w:trPr>
        <w:tc>
          <w:tcPr>
            <w:tcW w:w="9067" w:type="dxa"/>
            <w:gridSpan w:val="2"/>
            <w:shd w:val="clear" w:color="auto" w:fill="F2F2F2" w:themeFill="background1" w:themeFillShade="F2"/>
          </w:tcPr>
          <w:p w14:paraId="1E4BFADC" w14:textId="77777777" w:rsidR="002D7080" w:rsidRPr="00ED3FD3" w:rsidRDefault="002D7080" w:rsidP="002E2C37">
            <w:pPr>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t xml:space="preserve">MAN6 Any other management considerations to highlight? </w:t>
            </w:r>
          </w:p>
        </w:tc>
      </w:tr>
      <w:tr w:rsidR="002D7080" w:rsidRPr="00ED3FD3" w14:paraId="0BEF6BA6" w14:textId="77777777" w:rsidTr="002E2C37">
        <w:trPr>
          <w:trHeight w:val="70"/>
        </w:trPr>
        <w:tc>
          <w:tcPr>
            <w:tcW w:w="1696" w:type="dxa"/>
          </w:tcPr>
          <w:p w14:paraId="2D92D296"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lastRenderedPageBreak/>
              <w:t>Response</w:t>
            </w:r>
          </w:p>
        </w:tc>
        <w:tc>
          <w:tcPr>
            <w:tcW w:w="7371" w:type="dxa"/>
          </w:tcPr>
          <w:p w14:paraId="74A57E69" w14:textId="77777777" w:rsidR="002D7080" w:rsidRPr="00ED3FD3" w:rsidRDefault="002D7080" w:rsidP="002E2C37">
            <w:pPr>
              <w:jc w:val="both"/>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No</w:t>
            </w:r>
          </w:p>
        </w:tc>
      </w:tr>
    </w:tbl>
    <w:p w14:paraId="7B016930"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p w14:paraId="002D44E3"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p w14:paraId="63B8620C"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5. Calculations</w:t>
      </w:r>
    </w:p>
    <w:p w14:paraId="33965F4C"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p>
    <w:p w14:paraId="2AD2AEEB"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Likelihood = Fairly probable</w:t>
      </w:r>
    </w:p>
    <w:p w14:paraId="6F8D2BB5"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1195"/>
        <w:gridCol w:w="2628"/>
        <w:gridCol w:w="2939"/>
        <w:gridCol w:w="2254"/>
      </w:tblGrid>
      <w:tr w:rsidR="002D7080" w:rsidRPr="00ED3FD3" w14:paraId="38D8EF89" w14:textId="77777777" w:rsidTr="002E2C37">
        <w:tc>
          <w:tcPr>
            <w:tcW w:w="1195" w:type="dxa"/>
            <w:shd w:val="clear" w:color="auto" w:fill="D9D9D9" w:themeFill="background1" w:themeFillShade="D9"/>
            <w:vAlign w:val="center"/>
          </w:tcPr>
          <w:p w14:paraId="15D2C3C1"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Parameter</w:t>
            </w:r>
          </w:p>
        </w:tc>
        <w:tc>
          <w:tcPr>
            <w:tcW w:w="2628" w:type="dxa"/>
            <w:shd w:val="clear" w:color="auto" w:fill="D9D9D9" w:themeFill="background1" w:themeFillShade="D9"/>
            <w:vAlign w:val="center"/>
          </w:tcPr>
          <w:p w14:paraId="51AC8679"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Likelihood</w:t>
            </w:r>
          </w:p>
        </w:tc>
        <w:tc>
          <w:tcPr>
            <w:tcW w:w="2939" w:type="dxa"/>
            <w:shd w:val="clear" w:color="auto" w:fill="D9D9D9" w:themeFill="background1" w:themeFillShade="D9"/>
            <w:vAlign w:val="center"/>
          </w:tcPr>
          <w:p w14:paraId="62AFB51C"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Stages</w:t>
            </w:r>
          </w:p>
        </w:tc>
        <w:tc>
          <w:tcPr>
            <w:tcW w:w="2254" w:type="dxa"/>
            <w:shd w:val="clear" w:color="auto" w:fill="D9D9D9" w:themeFill="background1" w:themeFillShade="D9"/>
            <w:vAlign w:val="center"/>
          </w:tcPr>
          <w:p w14:paraId="09C3D542"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Final assessment</w:t>
            </w:r>
          </w:p>
        </w:tc>
      </w:tr>
      <w:tr w:rsidR="002D7080" w:rsidRPr="00ED3FD3" w14:paraId="5C8AE24F" w14:textId="77777777" w:rsidTr="002E2C37">
        <w:tc>
          <w:tcPr>
            <w:tcW w:w="1195" w:type="dxa"/>
            <w:shd w:val="clear" w:color="auto" w:fill="D9D9D9" w:themeFill="background1" w:themeFillShade="D9"/>
            <w:vAlign w:val="center"/>
          </w:tcPr>
          <w:p w14:paraId="756A3B33"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LIK1</w:t>
            </w:r>
          </w:p>
        </w:tc>
        <w:tc>
          <w:tcPr>
            <w:tcW w:w="2628" w:type="dxa"/>
            <w:vAlign w:val="center"/>
          </w:tcPr>
          <w:p w14:paraId="076E0AF8"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color w:val="000000"/>
                <w:sz w:val="20"/>
                <w:szCs w:val="20"/>
                <w:lang w:eastAsia="en-ZA"/>
              </w:rPr>
              <w:t>0.0027</w:t>
            </w:r>
          </w:p>
        </w:tc>
        <w:tc>
          <w:tcPr>
            <w:tcW w:w="2939" w:type="dxa"/>
            <w:vMerge w:val="restart"/>
            <w:vAlign w:val="center"/>
          </w:tcPr>
          <w:p w14:paraId="23A76DE3"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P(entry) = 0.5</w:t>
            </w:r>
          </w:p>
        </w:tc>
        <w:tc>
          <w:tcPr>
            <w:tcW w:w="2254" w:type="dxa"/>
            <w:vMerge w:val="restart"/>
            <w:vAlign w:val="center"/>
          </w:tcPr>
          <w:p w14:paraId="692F743B"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P (invasion) = 0.</w:t>
            </w:r>
            <w:r>
              <w:rPr>
                <w:rFonts w:ascii="Times New Roman" w:eastAsia="Times New Roman" w:hAnsi="Times New Roman" w:cs="Times New Roman"/>
                <w:sz w:val="20"/>
                <w:szCs w:val="20"/>
                <w:lang w:eastAsia="en-ZA"/>
              </w:rPr>
              <w:t>125</w:t>
            </w:r>
          </w:p>
        </w:tc>
      </w:tr>
      <w:tr w:rsidR="002D7080" w:rsidRPr="00ED3FD3" w14:paraId="6F9E0845" w14:textId="77777777" w:rsidTr="002E2C37">
        <w:tc>
          <w:tcPr>
            <w:tcW w:w="1195" w:type="dxa"/>
            <w:shd w:val="clear" w:color="auto" w:fill="D9D9D9" w:themeFill="background1" w:themeFillShade="D9"/>
            <w:vAlign w:val="center"/>
          </w:tcPr>
          <w:p w14:paraId="5718D999"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LIK2</w:t>
            </w:r>
          </w:p>
        </w:tc>
        <w:tc>
          <w:tcPr>
            <w:tcW w:w="2628" w:type="dxa"/>
            <w:vAlign w:val="center"/>
          </w:tcPr>
          <w:p w14:paraId="6F60A7CF"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color w:val="000000"/>
                <w:sz w:val="20"/>
                <w:szCs w:val="20"/>
                <w:lang w:eastAsia="en-ZA"/>
              </w:rPr>
              <w:t>0.5</w:t>
            </w:r>
          </w:p>
        </w:tc>
        <w:tc>
          <w:tcPr>
            <w:tcW w:w="2939" w:type="dxa"/>
            <w:vMerge/>
            <w:vAlign w:val="center"/>
          </w:tcPr>
          <w:p w14:paraId="6A12993F" w14:textId="77777777" w:rsidR="002D7080" w:rsidRPr="00ED3FD3"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668DF933" w14:textId="77777777" w:rsidR="002D7080" w:rsidRPr="00ED3FD3" w:rsidRDefault="002D7080" w:rsidP="002E2C37">
            <w:pPr>
              <w:rPr>
                <w:rFonts w:ascii="Times New Roman" w:eastAsia="Times New Roman" w:hAnsi="Times New Roman" w:cs="Times New Roman"/>
                <w:sz w:val="20"/>
                <w:szCs w:val="20"/>
                <w:lang w:eastAsia="en-ZA"/>
              </w:rPr>
            </w:pPr>
          </w:p>
        </w:tc>
      </w:tr>
      <w:tr w:rsidR="002D7080" w:rsidRPr="00ED3FD3" w14:paraId="63F28621" w14:textId="77777777" w:rsidTr="002E2C37">
        <w:tc>
          <w:tcPr>
            <w:tcW w:w="1195" w:type="dxa"/>
            <w:shd w:val="clear" w:color="auto" w:fill="D9D9D9" w:themeFill="background1" w:themeFillShade="D9"/>
            <w:vAlign w:val="center"/>
          </w:tcPr>
          <w:p w14:paraId="1CB02ABE"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LIK3</w:t>
            </w:r>
          </w:p>
        </w:tc>
        <w:tc>
          <w:tcPr>
            <w:tcW w:w="2628" w:type="dxa"/>
            <w:vAlign w:val="center"/>
          </w:tcPr>
          <w:p w14:paraId="2D646F40"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color w:val="000000"/>
                <w:sz w:val="20"/>
                <w:szCs w:val="20"/>
                <w:lang w:eastAsia="en-ZA"/>
              </w:rPr>
              <w:t>0.5</w:t>
            </w:r>
          </w:p>
        </w:tc>
        <w:tc>
          <w:tcPr>
            <w:tcW w:w="2939" w:type="dxa"/>
            <w:vMerge w:val="restart"/>
            <w:vAlign w:val="center"/>
          </w:tcPr>
          <w:p w14:paraId="010CB4E2"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P(establishment) = 0.5</w:t>
            </w:r>
          </w:p>
        </w:tc>
        <w:tc>
          <w:tcPr>
            <w:tcW w:w="2254" w:type="dxa"/>
            <w:vMerge/>
            <w:vAlign w:val="center"/>
          </w:tcPr>
          <w:p w14:paraId="5F83F247" w14:textId="77777777" w:rsidR="002D7080" w:rsidRPr="00ED3FD3" w:rsidRDefault="002D7080" w:rsidP="002E2C37">
            <w:pPr>
              <w:rPr>
                <w:rFonts w:ascii="Times New Roman" w:eastAsia="Times New Roman" w:hAnsi="Times New Roman" w:cs="Times New Roman"/>
                <w:sz w:val="20"/>
                <w:szCs w:val="20"/>
                <w:lang w:eastAsia="en-ZA"/>
              </w:rPr>
            </w:pPr>
          </w:p>
        </w:tc>
      </w:tr>
      <w:tr w:rsidR="002D7080" w:rsidRPr="00ED3FD3" w14:paraId="0BB1F45D" w14:textId="77777777" w:rsidTr="002E2C37">
        <w:tc>
          <w:tcPr>
            <w:tcW w:w="1195" w:type="dxa"/>
            <w:shd w:val="clear" w:color="auto" w:fill="D9D9D9" w:themeFill="background1" w:themeFillShade="D9"/>
            <w:vAlign w:val="center"/>
          </w:tcPr>
          <w:p w14:paraId="6A107A59"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LIK4</w:t>
            </w:r>
          </w:p>
        </w:tc>
        <w:tc>
          <w:tcPr>
            <w:tcW w:w="2628" w:type="dxa"/>
            <w:vAlign w:val="center"/>
          </w:tcPr>
          <w:p w14:paraId="1532AAC9"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color w:val="000000"/>
                <w:sz w:val="20"/>
                <w:szCs w:val="20"/>
                <w:lang w:eastAsia="en-ZA"/>
              </w:rPr>
              <w:t>0.5</w:t>
            </w:r>
          </w:p>
        </w:tc>
        <w:tc>
          <w:tcPr>
            <w:tcW w:w="2939" w:type="dxa"/>
            <w:vMerge/>
            <w:vAlign w:val="center"/>
          </w:tcPr>
          <w:p w14:paraId="53CE9D90" w14:textId="77777777" w:rsidR="002D7080" w:rsidRPr="00ED3FD3"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387F6E29" w14:textId="77777777" w:rsidR="002D7080" w:rsidRPr="00ED3FD3" w:rsidRDefault="002D7080" w:rsidP="002E2C37">
            <w:pPr>
              <w:rPr>
                <w:rFonts w:ascii="Times New Roman" w:eastAsia="Times New Roman" w:hAnsi="Times New Roman" w:cs="Times New Roman"/>
                <w:sz w:val="20"/>
                <w:szCs w:val="20"/>
                <w:lang w:eastAsia="en-ZA"/>
              </w:rPr>
            </w:pPr>
          </w:p>
        </w:tc>
      </w:tr>
      <w:tr w:rsidR="002D7080" w:rsidRPr="00ED3FD3" w14:paraId="0A9E5F87" w14:textId="77777777" w:rsidTr="002E2C37">
        <w:tc>
          <w:tcPr>
            <w:tcW w:w="1195" w:type="dxa"/>
            <w:shd w:val="clear" w:color="auto" w:fill="D9D9D9" w:themeFill="background1" w:themeFillShade="D9"/>
            <w:vAlign w:val="center"/>
          </w:tcPr>
          <w:p w14:paraId="44F8429E"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LIK5</w:t>
            </w:r>
          </w:p>
        </w:tc>
        <w:tc>
          <w:tcPr>
            <w:tcW w:w="2628" w:type="dxa"/>
            <w:vAlign w:val="center"/>
          </w:tcPr>
          <w:p w14:paraId="03206F09"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color w:val="000000"/>
                <w:sz w:val="20"/>
                <w:szCs w:val="20"/>
                <w:lang w:eastAsia="en-ZA"/>
              </w:rPr>
              <w:t>0.5</w:t>
            </w:r>
          </w:p>
        </w:tc>
        <w:tc>
          <w:tcPr>
            <w:tcW w:w="2939" w:type="dxa"/>
            <w:vMerge w:val="restart"/>
            <w:vAlign w:val="center"/>
          </w:tcPr>
          <w:p w14:paraId="0E505243"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P (spread) = 0.5</w:t>
            </w:r>
          </w:p>
        </w:tc>
        <w:tc>
          <w:tcPr>
            <w:tcW w:w="2254" w:type="dxa"/>
            <w:vMerge/>
            <w:vAlign w:val="center"/>
          </w:tcPr>
          <w:p w14:paraId="3A708B57" w14:textId="77777777" w:rsidR="002D7080" w:rsidRPr="00ED3FD3" w:rsidRDefault="002D7080" w:rsidP="002E2C37">
            <w:pPr>
              <w:rPr>
                <w:rFonts w:ascii="Times New Roman" w:eastAsia="Times New Roman" w:hAnsi="Times New Roman" w:cs="Times New Roman"/>
                <w:sz w:val="20"/>
                <w:szCs w:val="20"/>
                <w:lang w:eastAsia="en-ZA"/>
              </w:rPr>
            </w:pPr>
          </w:p>
        </w:tc>
      </w:tr>
      <w:tr w:rsidR="002D7080" w:rsidRPr="00ED3FD3" w14:paraId="32C052D8" w14:textId="77777777" w:rsidTr="002E2C37">
        <w:tc>
          <w:tcPr>
            <w:tcW w:w="1195" w:type="dxa"/>
            <w:shd w:val="clear" w:color="auto" w:fill="D9D9D9" w:themeFill="background1" w:themeFillShade="D9"/>
            <w:vAlign w:val="center"/>
          </w:tcPr>
          <w:p w14:paraId="78C36620"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LIK6</w:t>
            </w:r>
          </w:p>
        </w:tc>
        <w:tc>
          <w:tcPr>
            <w:tcW w:w="2628" w:type="dxa"/>
            <w:vAlign w:val="center"/>
          </w:tcPr>
          <w:p w14:paraId="7B31E0A4"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color w:val="000000"/>
                <w:sz w:val="20"/>
                <w:szCs w:val="20"/>
                <w:lang w:eastAsia="en-ZA"/>
              </w:rPr>
              <w:t>0.5</w:t>
            </w:r>
          </w:p>
        </w:tc>
        <w:tc>
          <w:tcPr>
            <w:tcW w:w="2939" w:type="dxa"/>
            <w:vMerge/>
            <w:vAlign w:val="center"/>
          </w:tcPr>
          <w:p w14:paraId="43840012" w14:textId="77777777" w:rsidR="002D7080" w:rsidRPr="00ED3FD3"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3A037C32" w14:textId="77777777" w:rsidR="002D7080" w:rsidRPr="00ED3FD3" w:rsidRDefault="002D7080" w:rsidP="002E2C37">
            <w:pPr>
              <w:rPr>
                <w:rFonts w:ascii="Times New Roman" w:eastAsia="Times New Roman" w:hAnsi="Times New Roman" w:cs="Times New Roman"/>
                <w:sz w:val="20"/>
                <w:szCs w:val="20"/>
                <w:lang w:eastAsia="en-ZA"/>
              </w:rPr>
            </w:pPr>
          </w:p>
        </w:tc>
      </w:tr>
    </w:tbl>
    <w:p w14:paraId="173709A7"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p w14:paraId="357A15B3"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Consequence = Ma</w:t>
      </w:r>
      <w:r>
        <w:rPr>
          <w:rFonts w:ascii="Times New Roman" w:eastAsia="Times New Roman" w:hAnsi="Times New Roman" w:cs="Times New Roman"/>
          <w:b/>
          <w:sz w:val="20"/>
          <w:szCs w:val="20"/>
          <w:lang w:eastAsia="en-ZA"/>
        </w:rPr>
        <w:t>jor (MR)</w:t>
      </w:r>
    </w:p>
    <w:p w14:paraId="279F3930" w14:textId="77777777" w:rsidR="002D7080" w:rsidRPr="00ED3FD3" w:rsidRDefault="002D7080" w:rsidP="002D7080">
      <w:pPr>
        <w:spacing w:after="0" w:line="240" w:lineRule="auto"/>
        <w:rPr>
          <w:rFonts w:ascii="Times New Roman" w:eastAsia="Times New Roman" w:hAnsi="Times New Roman" w:cs="Times New Roman"/>
          <w:bCs/>
          <w:sz w:val="20"/>
          <w:szCs w:val="20"/>
          <w:lang w:eastAsia="en-ZA"/>
        </w:rPr>
      </w:pPr>
    </w:p>
    <w:tbl>
      <w:tblPr>
        <w:tblStyle w:val="TableGrid"/>
        <w:tblW w:w="0" w:type="auto"/>
        <w:tblLook w:val="04A0" w:firstRow="1" w:lastRow="0" w:firstColumn="1" w:lastColumn="0" w:noHBand="0" w:noVBand="1"/>
      </w:tblPr>
      <w:tblGrid>
        <w:gridCol w:w="1555"/>
        <w:gridCol w:w="5953"/>
        <w:gridCol w:w="1508"/>
      </w:tblGrid>
      <w:tr w:rsidR="002D7080" w:rsidRPr="00ED3FD3" w14:paraId="670F0118" w14:textId="77777777" w:rsidTr="002E2C37">
        <w:tc>
          <w:tcPr>
            <w:tcW w:w="1555" w:type="dxa"/>
            <w:shd w:val="clear" w:color="auto" w:fill="D9D9D9" w:themeFill="background1" w:themeFillShade="D9"/>
          </w:tcPr>
          <w:p w14:paraId="2261B304"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Parameter</w:t>
            </w:r>
          </w:p>
        </w:tc>
        <w:tc>
          <w:tcPr>
            <w:tcW w:w="5953" w:type="dxa"/>
            <w:shd w:val="clear" w:color="auto" w:fill="D9D9D9" w:themeFill="background1" w:themeFillShade="D9"/>
          </w:tcPr>
          <w:p w14:paraId="191D6C5C"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Mechanism/sector</w:t>
            </w:r>
          </w:p>
        </w:tc>
        <w:tc>
          <w:tcPr>
            <w:tcW w:w="1508" w:type="dxa"/>
            <w:shd w:val="clear" w:color="auto" w:fill="D9D9D9" w:themeFill="background1" w:themeFillShade="D9"/>
          </w:tcPr>
          <w:p w14:paraId="18D2B8FA" w14:textId="77777777" w:rsidR="002D7080" w:rsidRPr="00ED3FD3" w:rsidRDefault="002D7080" w:rsidP="002E2C37">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Response</w:t>
            </w:r>
          </w:p>
        </w:tc>
      </w:tr>
      <w:tr w:rsidR="002D7080" w:rsidRPr="00ED3FD3" w14:paraId="72F44CD7" w14:textId="77777777" w:rsidTr="002E2C37">
        <w:tc>
          <w:tcPr>
            <w:tcW w:w="1555" w:type="dxa"/>
            <w:shd w:val="clear" w:color="auto" w:fill="D9D9D9" w:themeFill="background1" w:themeFillShade="D9"/>
          </w:tcPr>
          <w:p w14:paraId="45A9F15A"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CON1a</w:t>
            </w:r>
          </w:p>
        </w:tc>
        <w:tc>
          <w:tcPr>
            <w:tcW w:w="5953" w:type="dxa"/>
            <w:shd w:val="clear" w:color="auto" w:fill="D9D9D9" w:themeFill="background1" w:themeFillShade="D9"/>
          </w:tcPr>
          <w:p w14:paraId="239CD84C"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Competition</w:t>
            </w:r>
          </w:p>
        </w:tc>
        <w:tc>
          <w:tcPr>
            <w:tcW w:w="1508" w:type="dxa"/>
          </w:tcPr>
          <w:p w14:paraId="5322A3D7"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color w:val="000000"/>
                <w:sz w:val="20"/>
                <w:szCs w:val="20"/>
                <w:lang w:eastAsia="en-ZA"/>
              </w:rPr>
              <w:t>MR</w:t>
            </w:r>
          </w:p>
        </w:tc>
      </w:tr>
      <w:tr w:rsidR="002D7080" w:rsidRPr="00ED3FD3" w14:paraId="3F95CD63" w14:textId="77777777" w:rsidTr="002E2C37">
        <w:tc>
          <w:tcPr>
            <w:tcW w:w="1555" w:type="dxa"/>
            <w:shd w:val="clear" w:color="auto" w:fill="D9D9D9" w:themeFill="background1" w:themeFillShade="D9"/>
          </w:tcPr>
          <w:p w14:paraId="2134B6DD"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CON1b</w:t>
            </w:r>
          </w:p>
        </w:tc>
        <w:tc>
          <w:tcPr>
            <w:tcW w:w="5953" w:type="dxa"/>
            <w:shd w:val="clear" w:color="auto" w:fill="D9D9D9" w:themeFill="background1" w:themeFillShade="D9"/>
          </w:tcPr>
          <w:p w14:paraId="7E57FF58"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Predation</w:t>
            </w:r>
          </w:p>
        </w:tc>
        <w:tc>
          <w:tcPr>
            <w:tcW w:w="1508" w:type="dxa"/>
          </w:tcPr>
          <w:p w14:paraId="10EBC29D"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color w:val="000000"/>
                <w:sz w:val="20"/>
                <w:szCs w:val="20"/>
                <w:lang w:eastAsia="en-ZA"/>
              </w:rPr>
              <w:t>MO</w:t>
            </w:r>
          </w:p>
        </w:tc>
      </w:tr>
      <w:tr w:rsidR="002D7080" w:rsidRPr="00ED3FD3" w14:paraId="77A79105" w14:textId="77777777" w:rsidTr="002E2C37">
        <w:tc>
          <w:tcPr>
            <w:tcW w:w="1555" w:type="dxa"/>
            <w:shd w:val="clear" w:color="auto" w:fill="D9D9D9" w:themeFill="background1" w:themeFillShade="D9"/>
          </w:tcPr>
          <w:p w14:paraId="70F52C53"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CON1c</w:t>
            </w:r>
          </w:p>
        </w:tc>
        <w:tc>
          <w:tcPr>
            <w:tcW w:w="5953" w:type="dxa"/>
            <w:shd w:val="clear" w:color="auto" w:fill="D9D9D9" w:themeFill="background1" w:themeFillShade="D9"/>
          </w:tcPr>
          <w:p w14:paraId="08B2526F"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Hybridisation</w:t>
            </w:r>
          </w:p>
        </w:tc>
        <w:tc>
          <w:tcPr>
            <w:tcW w:w="1508" w:type="dxa"/>
          </w:tcPr>
          <w:p w14:paraId="3C111D8D"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color w:val="000000"/>
                <w:sz w:val="20"/>
                <w:szCs w:val="20"/>
                <w:lang w:eastAsia="en-ZA"/>
              </w:rPr>
              <w:t>DD</w:t>
            </w:r>
          </w:p>
        </w:tc>
      </w:tr>
      <w:tr w:rsidR="002D7080" w:rsidRPr="00ED3FD3" w14:paraId="2934645C" w14:textId="77777777" w:rsidTr="002E2C37">
        <w:tc>
          <w:tcPr>
            <w:tcW w:w="1555" w:type="dxa"/>
            <w:shd w:val="clear" w:color="auto" w:fill="D9D9D9" w:themeFill="background1" w:themeFillShade="D9"/>
          </w:tcPr>
          <w:p w14:paraId="7273751C"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CON1d</w:t>
            </w:r>
          </w:p>
        </w:tc>
        <w:tc>
          <w:tcPr>
            <w:tcW w:w="5953" w:type="dxa"/>
            <w:shd w:val="clear" w:color="auto" w:fill="D9D9D9" w:themeFill="background1" w:themeFillShade="D9"/>
          </w:tcPr>
          <w:p w14:paraId="52609C98"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Disease transmission</w:t>
            </w:r>
          </w:p>
        </w:tc>
        <w:tc>
          <w:tcPr>
            <w:tcW w:w="1508" w:type="dxa"/>
            <w:shd w:val="clear" w:color="auto" w:fill="FFFFFF" w:themeFill="background1"/>
          </w:tcPr>
          <w:p w14:paraId="5F6462EF"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color w:val="000000"/>
                <w:sz w:val="20"/>
                <w:szCs w:val="20"/>
                <w:lang w:eastAsia="en-ZA"/>
              </w:rPr>
              <w:t xml:space="preserve">MR </w:t>
            </w:r>
          </w:p>
        </w:tc>
      </w:tr>
      <w:tr w:rsidR="002D7080" w:rsidRPr="00ED3FD3" w14:paraId="19A4A093" w14:textId="77777777" w:rsidTr="002E2C37">
        <w:tc>
          <w:tcPr>
            <w:tcW w:w="1555" w:type="dxa"/>
            <w:shd w:val="clear" w:color="auto" w:fill="D9D9D9" w:themeFill="background1" w:themeFillShade="D9"/>
          </w:tcPr>
          <w:p w14:paraId="59FAE8B9"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CON1e</w:t>
            </w:r>
          </w:p>
        </w:tc>
        <w:tc>
          <w:tcPr>
            <w:tcW w:w="5953" w:type="dxa"/>
            <w:shd w:val="clear" w:color="auto" w:fill="D9D9D9" w:themeFill="background1" w:themeFillShade="D9"/>
          </w:tcPr>
          <w:p w14:paraId="09BEF01B"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Parasitism</w:t>
            </w:r>
          </w:p>
        </w:tc>
        <w:tc>
          <w:tcPr>
            <w:tcW w:w="1508" w:type="dxa"/>
          </w:tcPr>
          <w:p w14:paraId="7D0DE8B0"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color w:val="000000"/>
                <w:sz w:val="20"/>
                <w:szCs w:val="20"/>
                <w:lang w:eastAsia="en-ZA"/>
              </w:rPr>
              <w:t>DD</w:t>
            </w:r>
          </w:p>
        </w:tc>
      </w:tr>
      <w:tr w:rsidR="002D7080" w:rsidRPr="00ED3FD3" w14:paraId="2F0BB83A" w14:textId="77777777" w:rsidTr="002E2C37">
        <w:tc>
          <w:tcPr>
            <w:tcW w:w="1555" w:type="dxa"/>
            <w:shd w:val="clear" w:color="auto" w:fill="D9D9D9" w:themeFill="background1" w:themeFillShade="D9"/>
          </w:tcPr>
          <w:p w14:paraId="5BB0EBF6"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CON1f</w:t>
            </w:r>
          </w:p>
        </w:tc>
        <w:tc>
          <w:tcPr>
            <w:tcW w:w="5953" w:type="dxa"/>
            <w:shd w:val="clear" w:color="auto" w:fill="D9D9D9" w:themeFill="background1" w:themeFillShade="D9"/>
          </w:tcPr>
          <w:p w14:paraId="2D591DED"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Poisoning/toxicity</w:t>
            </w:r>
          </w:p>
        </w:tc>
        <w:tc>
          <w:tcPr>
            <w:tcW w:w="1508" w:type="dxa"/>
          </w:tcPr>
          <w:p w14:paraId="4EDDD39B"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color w:val="000000"/>
                <w:sz w:val="20"/>
                <w:szCs w:val="20"/>
                <w:lang w:eastAsia="en-ZA"/>
              </w:rPr>
              <w:t>DD</w:t>
            </w:r>
          </w:p>
        </w:tc>
      </w:tr>
      <w:tr w:rsidR="002D7080" w:rsidRPr="00ED3FD3" w14:paraId="46795313" w14:textId="77777777" w:rsidTr="002E2C37">
        <w:tc>
          <w:tcPr>
            <w:tcW w:w="1555" w:type="dxa"/>
            <w:shd w:val="clear" w:color="auto" w:fill="D9D9D9" w:themeFill="background1" w:themeFillShade="D9"/>
          </w:tcPr>
          <w:p w14:paraId="6FA75785"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CON1g</w:t>
            </w:r>
          </w:p>
        </w:tc>
        <w:tc>
          <w:tcPr>
            <w:tcW w:w="5953" w:type="dxa"/>
            <w:shd w:val="clear" w:color="auto" w:fill="D9D9D9" w:themeFill="background1" w:themeFillShade="D9"/>
          </w:tcPr>
          <w:p w14:paraId="01D569FA"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Bio-fouling or other direct physical disturbance</w:t>
            </w:r>
          </w:p>
        </w:tc>
        <w:tc>
          <w:tcPr>
            <w:tcW w:w="1508" w:type="dxa"/>
          </w:tcPr>
          <w:p w14:paraId="734F5B95"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color w:val="000000"/>
                <w:sz w:val="20"/>
                <w:szCs w:val="20"/>
                <w:lang w:eastAsia="en-ZA"/>
              </w:rPr>
              <w:t>DD</w:t>
            </w:r>
          </w:p>
        </w:tc>
      </w:tr>
      <w:tr w:rsidR="002D7080" w:rsidRPr="00ED3FD3" w14:paraId="66FF8978" w14:textId="77777777" w:rsidTr="002E2C37">
        <w:tc>
          <w:tcPr>
            <w:tcW w:w="1555" w:type="dxa"/>
            <w:shd w:val="clear" w:color="auto" w:fill="D9D9D9" w:themeFill="background1" w:themeFillShade="D9"/>
          </w:tcPr>
          <w:p w14:paraId="3774D8B1"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CON1h</w:t>
            </w:r>
          </w:p>
        </w:tc>
        <w:tc>
          <w:tcPr>
            <w:tcW w:w="5953" w:type="dxa"/>
            <w:shd w:val="clear" w:color="auto" w:fill="D9D9D9" w:themeFill="background1" w:themeFillShade="D9"/>
          </w:tcPr>
          <w:p w14:paraId="18A9E182"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Grazing/herbivory/browsing</w:t>
            </w:r>
          </w:p>
        </w:tc>
        <w:tc>
          <w:tcPr>
            <w:tcW w:w="1508" w:type="dxa"/>
          </w:tcPr>
          <w:p w14:paraId="483CFE96"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color w:val="000000"/>
                <w:sz w:val="20"/>
                <w:szCs w:val="20"/>
                <w:lang w:eastAsia="en-ZA"/>
              </w:rPr>
              <w:t>DD</w:t>
            </w:r>
          </w:p>
        </w:tc>
      </w:tr>
      <w:tr w:rsidR="002D7080" w:rsidRPr="00ED3FD3" w14:paraId="27DC3712" w14:textId="77777777" w:rsidTr="002E2C37">
        <w:tc>
          <w:tcPr>
            <w:tcW w:w="1555" w:type="dxa"/>
            <w:shd w:val="clear" w:color="auto" w:fill="D9D9D9" w:themeFill="background1" w:themeFillShade="D9"/>
          </w:tcPr>
          <w:p w14:paraId="7449BDA5"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CON1i</w:t>
            </w:r>
          </w:p>
        </w:tc>
        <w:tc>
          <w:tcPr>
            <w:tcW w:w="5953" w:type="dxa"/>
            <w:shd w:val="clear" w:color="auto" w:fill="D9D9D9" w:themeFill="background1" w:themeFillShade="D9"/>
          </w:tcPr>
          <w:p w14:paraId="4BFD6936"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Chemical, physical, structural impact</w:t>
            </w:r>
          </w:p>
        </w:tc>
        <w:tc>
          <w:tcPr>
            <w:tcW w:w="1508" w:type="dxa"/>
          </w:tcPr>
          <w:p w14:paraId="53BA29A3"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color w:val="000000"/>
                <w:sz w:val="20"/>
                <w:szCs w:val="20"/>
                <w:lang w:eastAsia="en-ZA"/>
              </w:rPr>
              <w:t>MN</w:t>
            </w:r>
          </w:p>
        </w:tc>
      </w:tr>
      <w:tr w:rsidR="002D7080" w:rsidRPr="00ED3FD3" w14:paraId="67E9935E" w14:textId="77777777" w:rsidTr="002E2C37">
        <w:tc>
          <w:tcPr>
            <w:tcW w:w="1555" w:type="dxa"/>
            <w:shd w:val="clear" w:color="auto" w:fill="D9D9D9" w:themeFill="background1" w:themeFillShade="D9"/>
          </w:tcPr>
          <w:p w14:paraId="463973BF"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CON1k</w:t>
            </w:r>
          </w:p>
        </w:tc>
        <w:tc>
          <w:tcPr>
            <w:tcW w:w="5953" w:type="dxa"/>
            <w:shd w:val="clear" w:color="auto" w:fill="D9D9D9" w:themeFill="background1" w:themeFillShade="D9"/>
          </w:tcPr>
          <w:p w14:paraId="251A47CC"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Indirect impacts through interactions with other species</w:t>
            </w:r>
          </w:p>
        </w:tc>
        <w:tc>
          <w:tcPr>
            <w:tcW w:w="1508" w:type="dxa"/>
          </w:tcPr>
          <w:p w14:paraId="7C4115AD"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color w:val="000000"/>
                <w:sz w:val="20"/>
                <w:szCs w:val="20"/>
                <w:lang w:eastAsia="en-ZA"/>
              </w:rPr>
              <w:t>DD</w:t>
            </w:r>
          </w:p>
        </w:tc>
      </w:tr>
      <w:tr w:rsidR="002D7080" w:rsidRPr="00ED3FD3" w14:paraId="4B7CDDEA" w14:textId="77777777" w:rsidTr="002E2C37">
        <w:tc>
          <w:tcPr>
            <w:tcW w:w="1555" w:type="dxa"/>
            <w:shd w:val="clear" w:color="auto" w:fill="D9D9D9" w:themeFill="background1" w:themeFillShade="D9"/>
          </w:tcPr>
          <w:p w14:paraId="06C7715E"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CON1</w:t>
            </w:r>
          </w:p>
        </w:tc>
        <w:tc>
          <w:tcPr>
            <w:tcW w:w="5953" w:type="dxa"/>
            <w:shd w:val="clear" w:color="auto" w:fill="D9D9D9" w:themeFill="background1" w:themeFillShade="D9"/>
          </w:tcPr>
          <w:p w14:paraId="2C54CC10"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Maximum environmental impact</w:t>
            </w:r>
          </w:p>
        </w:tc>
        <w:tc>
          <w:tcPr>
            <w:tcW w:w="1508" w:type="dxa"/>
          </w:tcPr>
          <w:p w14:paraId="4C253C08"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sz w:val="20"/>
                <w:szCs w:val="20"/>
                <w:lang w:eastAsia="en-ZA"/>
              </w:rPr>
              <w:t>MR</w:t>
            </w:r>
          </w:p>
        </w:tc>
      </w:tr>
      <w:tr w:rsidR="002D7080" w:rsidRPr="00ED3FD3" w14:paraId="2530282B" w14:textId="77777777" w:rsidTr="002E2C37">
        <w:tc>
          <w:tcPr>
            <w:tcW w:w="1555" w:type="dxa"/>
            <w:shd w:val="clear" w:color="auto" w:fill="D9D9D9" w:themeFill="background1" w:themeFillShade="D9"/>
          </w:tcPr>
          <w:p w14:paraId="105A4023"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CON2a</w:t>
            </w:r>
          </w:p>
        </w:tc>
        <w:tc>
          <w:tcPr>
            <w:tcW w:w="5953" w:type="dxa"/>
            <w:shd w:val="clear" w:color="auto" w:fill="D9D9D9" w:themeFill="background1" w:themeFillShade="D9"/>
          </w:tcPr>
          <w:p w14:paraId="715B484B"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hAnsi="Times New Roman" w:cs="Times New Roman"/>
                <w:sz w:val="20"/>
                <w:szCs w:val="20"/>
              </w:rPr>
              <w:t>Safety</w:t>
            </w:r>
          </w:p>
        </w:tc>
        <w:tc>
          <w:tcPr>
            <w:tcW w:w="1508" w:type="dxa"/>
          </w:tcPr>
          <w:p w14:paraId="55F14D52"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sz w:val="20"/>
                <w:szCs w:val="20"/>
                <w:lang w:eastAsia="en-ZA"/>
              </w:rPr>
              <w:t>DD</w:t>
            </w:r>
          </w:p>
        </w:tc>
      </w:tr>
      <w:tr w:rsidR="002D7080" w:rsidRPr="00ED3FD3" w14:paraId="518203F7" w14:textId="77777777" w:rsidTr="002E2C37">
        <w:tc>
          <w:tcPr>
            <w:tcW w:w="1555" w:type="dxa"/>
            <w:shd w:val="clear" w:color="auto" w:fill="D9D9D9" w:themeFill="background1" w:themeFillShade="D9"/>
          </w:tcPr>
          <w:p w14:paraId="4381CA3E"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CON2b</w:t>
            </w:r>
          </w:p>
        </w:tc>
        <w:tc>
          <w:tcPr>
            <w:tcW w:w="5953" w:type="dxa"/>
            <w:shd w:val="clear" w:color="auto" w:fill="D9D9D9" w:themeFill="background1" w:themeFillShade="D9"/>
          </w:tcPr>
          <w:p w14:paraId="65389772"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hAnsi="Times New Roman" w:cs="Times New Roman"/>
                <w:sz w:val="20"/>
                <w:szCs w:val="20"/>
              </w:rPr>
              <w:t>Material and immaterial assets</w:t>
            </w:r>
          </w:p>
        </w:tc>
        <w:tc>
          <w:tcPr>
            <w:tcW w:w="1508" w:type="dxa"/>
            <w:shd w:val="clear" w:color="auto" w:fill="FFFFFF" w:themeFill="background1"/>
          </w:tcPr>
          <w:p w14:paraId="4716D1F8"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sz w:val="20"/>
                <w:szCs w:val="20"/>
                <w:lang w:eastAsia="en-ZA"/>
              </w:rPr>
              <w:t>MN</w:t>
            </w:r>
          </w:p>
        </w:tc>
      </w:tr>
      <w:tr w:rsidR="002D7080" w:rsidRPr="00ED3FD3" w14:paraId="044FDA8C" w14:textId="77777777" w:rsidTr="002E2C37">
        <w:tc>
          <w:tcPr>
            <w:tcW w:w="1555" w:type="dxa"/>
            <w:shd w:val="clear" w:color="auto" w:fill="D9D9D9" w:themeFill="background1" w:themeFillShade="D9"/>
          </w:tcPr>
          <w:p w14:paraId="03DEF1A7"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CON2c</w:t>
            </w:r>
          </w:p>
        </w:tc>
        <w:tc>
          <w:tcPr>
            <w:tcW w:w="5953" w:type="dxa"/>
            <w:shd w:val="clear" w:color="auto" w:fill="D9D9D9" w:themeFill="background1" w:themeFillShade="D9"/>
          </w:tcPr>
          <w:p w14:paraId="1AE93BC2"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hAnsi="Times New Roman" w:cs="Times New Roman"/>
                <w:sz w:val="20"/>
                <w:szCs w:val="20"/>
              </w:rPr>
              <w:t>Health</w:t>
            </w:r>
          </w:p>
        </w:tc>
        <w:tc>
          <w:tcPr>
            <w:tcW w:w="1508" w:type="dxa"/>
          </w:tcPr>
          <w:p w14:paraId="00A63BC6"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sz w:val="20"/>
                <w:szCs w:val="20"/>
                <w:lang w:eastAsia="en-ZA"/>
              </w:rPr>
              <w:t>DD</w:t>
            </w:r>
          </w:p>
        </w:tc>
      </w:tr>
      <w:tr w:rsidR="002D7080" w:rsidRPr="00ED3FD3" w14:paraId="4CA40B0F" w14:textId="77777777" w:rsidTr="002E2C37">
        <w:tc>
          <w:tcPr>
            <w:tcW w:w="1555" w:type="dxa"/>
            <w:shd w:val="clear" w:color="auto" w:fill="D9D9D9" w:themeFill="background1" w:themeFillShade="D9"/>
          </w:tcPr>
          <w:p w14:paraId="067FE882"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CON2d</w:t>
            </w:r>
          </w:p>
        </w:tc>
        <w:tc>
          <w:tcPr>
            <w:tcW w:w="5953" w:type="dxa"/>
            <w:shd w:val="clear" w:color="auto" w:fill="D9D9D9" w:themeFill="background1" w:themeFillShade="D9"/>
          </w:tcPr>
          <w:p w14:paraId="74077250"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hAnsi="Times New Roman" w:cs="Times New Roman"/>
                <w:sz w:val="20"/>
                <w:szCs w:val="20"/>
              </w:rPr>
              <w:t>Social, spiritual and cultural relations</w:t>
            </w:r>
          </w:p>
        </w:tc>
        <w:tc>
          <w:tcPr>
            <w:tcW w:w="1508" w:type="dxa"/>
            <w:shd w:val="clear" w:color="auto" w:fill="FFFFFF" w:themeFill="background1"/>
          </w:tcPr>
          <w:p w14:paraId="5CB952A2"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sz w:val="20"/>
                <w:szCs w:val="20"/>
                <w:lang w:eastAsia="en-ZA"/>
              </w:rPr>
              <w:t xml:space="preserve">MN </w:t>
            </w:r>
          </w:p>
        </w:tc>
      </w:tr>
      <w:tr w:rsidR="002D7080" w:rsidRPr="00ED3FD3" w14:paraId="1B9F8F9C" w14:textId="77777777" w:rsidTr="002E2C37">
        <w:tc>
          <w:tcPr>
            <w:tcW w:w="1555" w:type="dxa"/>
            <w:shd w:val="clear" w:color="auto" w:fill="D9D9D9" w:themeFill="background1" w:themeFillShade="D9"/>
          </w:tcPr>
          <w:p w14:paraId="4C49221A"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lastRenderedPageBreak/>
              <w:t>CON2</w:t>
            </w:r>
          </w:p>
        </w:tc>
        <w:tc>
          <w:tcPr>
            <w:tcW w:w="5953" w:type="dxa"/>
            <w:shd w:val="clear" w:color="auto" w:fill="D9D9D9" w:themeFill="background1" w:themeFillShade="D9"/>
          </w:tcPr>
          <w:p w14:paraId="2CAE2F9D"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Maximum socio-economic impact</w:t>
            </w:r>
          </w:p>
        </w:tc>
        <w:tc>
          <w:tcPr>
            <w:tcW w:w="1508" w:type="dxa"/>
          </w:tcPr>
          <w:p w14:paraId="316570A7"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sz w:val="20"/>
                <w:szCs w:val="20"/>
                <w:lang w:eastAsia="en-ZA"/>
              </w:rPr>
              <w:t>MN</w:t>
            </w:r>
          </w:p>
        </w:tc>
      </w:tr>
      <w:tr w:rsidR="002D7080" w:rsidRPr="00ED3FD3" w14:paraId="12737E68" w14:textId="77777777" w:rsidTr="002E2C37">
        <w:trPr>
          <w:trHeight w:val="100"/>
        </w:trPr>
        <w:tc>
          <w:tcPr>
            <w:tcW w:w="1555" w:type="dxa"/>
            <w:shd w:val="clear" w:color="auto" w:fill="D9D9D9" w:themeFill="background1" w:themeFillShade="D9"/>
          </w:tcPr>
          <w:p w14:paraId="53551E73"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CON3</w:t>
            </w:r>
          </w:p>
        </w:tc>
        <w:tc>
          <w:tcPr>
            <w:tcW w:w="5953" w:type="dxa"/>
            <w:shd w:val="clear" w:color="auto" w:fill="D9D9D9" w:themeFill="background1" w:themeFillShade="D9"/>
          </w:tcPr>
          <w:p w14:paraId="037E0643"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Environmental impact of closely related taxa</w:t>
            </w:r>
          </w:p>
        </w:tc>
        <w:tc>
          <w:tcPr>
            <w:tcW w:w="1508" w:type="dxa"/>
          </w:tcPr>
          <w:p w14:paraId="14C2DBB5"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sz w:val="20"/>
                <w:szCs w:val="20"/>
                <w:lang w:eastAsia="en-ZA"/>
              </w:rPr>
              <w:t>Not scored as CON1 scored</w:t>
            </w:r>
          </w:p>
        </w:tc>
      </w:tr>
      <w:tr w:rsidR="002D7080" w:rsidRPr="00ED3FD3" w14:paraId="462C707B" w14:textId="77777777" w:rsidTr="002E2C37">
        <w:tc>
          <w:tcPr>
            <w:tcW w:w="1555" w:type="dxa"/>
            <w:shd w:val="clear" w:color="auto" w:fill="D9D9D9" w:themeFill="background1" w:themeFillShade="D9"/>
          </w:tcPr>
          <w:p w14:paraId="73C5127A"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CON4</w:t>
            </w:r>
          </w:p>
        </w:tc>
        <w:tc>
          <w:tcPr>
            <w:tcW w:w="5953" w:type="dxa"/>
            <w:shd w:val="clear" w:color="auto" w:fill="D9D9D9" w:themeFill="background1" w:themeFillShade="D9"/>
          </w:tcPr>
          <w:p w14:paraId="6A62C316"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Socio-economic impact of closely related taxa</w:t>
            </w:r>
          </w:p>
        </w:tc>
        <w:tc>
          <w:tcPr>
            <w:tcW w:w="1508" w:type="dxa"/>
          </w:tcPr>
          <w:p w14:paraId="69E30B11"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sz w:val="20"/>
                <w:szCs w:val="20"/>
                <w:lang w:eastAsia="en-ZA"/>
              </w:rPr>
              <w:t>Not scored as CON2 scored</w:t>
            </w:r>
          </w:p>
        </w:tc>
      </w:tr>
      <w:tr w:rsidR="002D7080" w:rsidRPr="00ED3FD3" w14:paraId="3FD81A6C" w14:textId="77777777" w:rsidTr="002E2C37">
        <w:tc>
          <w:tcPr>
            <w:tcW w:w="1555" w:type="dxa"/>
            <w:shd w:val="clear" w:color="auto" w:fill="D9D9D9" w:themeFill="background1" w:themeFillShade="D9"/>
          </w:tcPr>
          <w:p w14:paraId="31E3E857"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CON5</w:t>
            </w:r>
          </w:p>
        </w:tc>
        <w:tc>
          <w:tcPr>
            <w:tcW w:w="5953" w:type="dxa"/>
            <w:shd w:val="clear" w:color="auto" w:fill="D9D9D9" w:themeFill="background1" w:themeFillShade="D9"/>
          </w:tcPr>
          <w:p w14:paraId="0F551A4A" w14:textId="77777777" w:rsidR="002D7080" w:rsidRPr="00ED3FD3" w:rsidRDefault="002D7080" w:rsidP="002E2C37">
            <w:pPr>
              <w:rPr>
                <w:rFonts w:ascii="Times New Roman" w:eastAsia="Times New Roman" w:hAnsi="Times New Roman" w:cs="Times New Roman"/>
                <w:sz w:val="20"/>
                <w:szCs w:val="20"/>
                <w:lang w:eastAsia="en-ZA"/>
              </w:rPr>
            </w:pPr>
            <w:r w:rsidRPr="00ED3FD3">
              <w:rPr>
                <w:rFonts w:ascii="Times New Roman" w:eastAsia="Times New Roman" w:hAnsi="Times New Roman" w:cs="Times New Roman"/>
                <w:sz w:val="20"/>
                <w:szCs w:val="20"/>
                <w:lang w:eastAsia="en-ZA"/>
              </w:rPr>
              <w:t>Potential impact based on traits, experiments, or models</w:t>
            </w:r>
          </w:p>
        </w:tc>
        <w:tc>
          <w:tcPr>
            <w:tcW w:w="1508" w:type="dxa"/>
          </w:tcPr>
          <w:p w14:paraId="4EDE43B3" w14:textId="77777777" w:rsidR="002D7080" w:rsidRPr="00CE3385" w:rsidRDefault="002D7080" w:rsidP="002E2C37">
            <w:pPr>
              <w:rPr>
                <w:rFonts w:ascii="Times New Roman" w:eastAsia="Times New Roman" w:hAnsi="Times New Roman" w:cs="Times New Roman"/>
                <w:sz w:val="20"/>
                <w:szCs w:val="20"/>
                <w:lang w:eastAsia="en-ZA"/>
              </w:rPr>
            </w:pPr>
            <w:r w:rsidRPr="00CE3385">
              <w:rPr>
                <w:rFonts w:ascii="Times New Roman" w:eastAsia="Times New Roman" w:hAnsi="Times New Roman" w:cs="Times New Roman"/>
                <w:sz w:val="20"/>
                <w:szCs w:val="20"/>
                <w:lang w:eastAsia="en-ZA"/>
              </w:rPr>
              <w:t>MR</w:t>
            </w:r>
          </w:p>
        </w:tc>
      </w:tr>
    </w:tbl>
    <w:p w14:paraId="607A6664"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p>
    <w:p w14:paraId="52B6FD44" w14:textId="77777777" w:rsidR="002D7080" w:rsidRDefault="002D7080" w:rsidP="002D7080">
      <w:pPr>
        <w:rPr>
          <w:rFonts w:ascii="Times New Roman" w:eastAsia="Times New Roman" w:hAnsi="Times New Roman" w:cs="Times New Roman"/>
          <w:b/>
          <w:sz w:val="20"/>
          <w:szCs w:val="20"/>
          <w:lang w:eastAsia="en-ZA"/>
        </w:rPr>
      </w:pPr>
      <w:r>
        <w:rPr>
          <w:rFonts w:ascii="Times New Roman" w:eastAsia="Times New Roman" w:hAnsi="Times New Roman" w:cs="Times New Roman"/>
          <w:b/>
          <w:sz w:val="20"/>
          <w:szCs w:val="20"/>
          <w:lang w:eastAsia="en-ZA"/>
        </w:rPr>
        <w:br w:type="page"/>
      </w:r>
    </w:p>
    <w:p w14:paraId="511F0BF8" w14:textId="77777777" w:rsidR="002D7080" w:rsidRPr="00D521A0" w:rsidRDefault="002D7080" w:rsidP="002D7080">
      <w:pPr>
        <w:spacing w:after="0" w:line="240" w:lineRule="auto"/>
        <w:rPr>
          <w:rFonts w:ascii="Times New Roman" w:eastAsia="Times New Roman" w:hAnsi="Times New Roman" w:cs="Times New Roman"/>
          <w:b/>
          <w:sz w:val="20"/>
          <w:szCs w:val="20"/>
          <w:lang w:eastAsia="en-ZA"/>
        </w:rPr>
      </w:pPr>
      <w:r w:rsidRPr="00D521A0">
        <w:rPr>
          <w:rFonts w:ascii="Times New Roman" w:eastAsia="Times New Roman" w:hAnsi="Times New Roman" w:cs="Times New Roman"/>
          <w:b/>
          <w:sz w:val="20"/>
          <w:szCs w:val="20"/>
          <w:lang w:eastAsia="en-ZA"/>
        </w:rPr>
        <w:lastRenderedPageBreak/>
        <w:t>Risk score = High</w:t>
      </w:r>
    </w:p>
    <w:p w14:paraId="2F1B0302" w14:textId="77777777" w:rsidR="002D7080" w:rsidRPr="00ED3FD3" w:rsidRDefault="002D7080" w:rsidP="002D7080">
      <w:pPr>
        <w:spacing w:after="0" w:line="240" w:lineRule="auto"/>
        <w:rPr>
          <w:rFonts w:ascii="Times New Roman" w:hAnsi="Times New Roman" w:cs="Times New Roman"/>
          <w:sz w:val="20"/>
          <w:szCs w:val="20"/>
        </w:rPr>
      </w:pPr>
    </w:p>
    <w:tbl>
      <w:tblPr>
        <w:tblW w:w="7700" w:type="dxa"/>
        <w:jc w:val="center"/>
        <w:tblCellMar>
          <w:left w:w="70" w:type="dxa"/>
          <w:right w:w="70" w:type="dxa"/>
        </w:tblCellMar>
        <w:tblLook w:val="04A0" w:firstRow="1" w:lastRow="0" w:firstColumn="1" w:lastColumn="0" w:noHBand="0" w:noVBand="1"/>
      </w:tblPr>
      <w:tblGrid>
        <w:gridCol w:w="440"/>
        <w:gridCol w:w="2060"/>
        <w:gridCol w:w="1004"/>
        <w:gridCol w:w="953"/>
        <w:gridCol w:w="1223"/>
        <w:gridCol w:w="953"/>
        <w:gridCol w:w="1067"/>
      </w:tblGrid>
      <w:tr w:rsidR="002D7080" w:rsidRPr="00ED3FD3" w14:paraId="3790B430" w14:textId="77777777" w:rsidTr="002E2C37">
        <w:trPr>
          <w:trHeight w:val="231"/>
          <w:jc w:val="center"/>
        </w:trPr>
        <w:tc>
          <w:tcPr>
            <w:tcW w:w="440" w:type="dxa"/>
            <w:vMerge w:val="restart"/>
            <w:tcBorders>
              <w:top w:val="nil"/>
              <w:left w:val="nil"/>
              <w:bottom w:val="single" w:sz="4" w:space="0" w:color="000000"/>
              <w:right w:val="nil"/>
            </w:tcBorders>
            <w:noWrap/>
            <w:vAlign w:val="bottom"/>
            <w:hideMark/>
          </w:tcPr>
          <w:p w14:paraId="3A4F3C5E" w14:textId="77777777" w:rsidR="002D7080" w:rsidRPr="00ED3FD3" w:rsidRDefault="002D7080" w:rsidP="002E2C37">
            <w:pPr>
              <w:spacing w:after="0" w:line="240" w:lineRule="auto"/>
              <w:jc w:val="center"/>
              <w:rPr>
                <w:rFonts w:ascii="Times New Roman" w:eastAsia="Times New Roman" w:hAnsi="Times New Roman" w:cs="Times New Roman"/>
                <w:b/>
                <w:bCs/>
                <w:sz w:val="20"/>
                <w:szCs w:val="20"/>
                <w:lang w:eastAsia="de-CH"/>
              </w:rPr>
            </w:pPr>
            <w:r w:rsidRPr="00ED3FD3">
              <w:rPr>
                <w:rFonts w:ascii="Times New Roman" w:eastAsia="Times New Roman" w:hAnsi="Times New Roman" w:cs="Times New Roman"/>
                <w:b/>
                <w:bCs/>
                <w:sz w:val="20"/>
                <w:szCs w:val="20"/>
                <w:lang w:eastAsia="de-CH"/>
              </w:rPr>
              <w:t> </w:t>
            </w:r>
          </w:p>
        </w:tc>
        <w:tc>
          <w:tcPr>
            <w:tcW w:w="2060" w:type="dxa"/>
            <w:vMerge w:val="restart"/>
            <w:tcBorders>
              <w:top w:val="nil"/>
              <w:left w:val="nil"/>
              <w:bottom w:val="single" w:sz="4" w:space="0" w:color="000000"/>
              <w:right w:val="single" w:sz="4" w:space="0" w:color="auto"/>
            </w:tcBorders>
            <w:noWrap/>
            <w:vAlign w:val="bottom"/>
            <w:hideMark/>
          </w:tcPr>
          <w:p w14:paraId="0CCBB76C" w14:textId="77777777" w:rsidR="002D7080" w:rsidRPr="00ED3FD3" w:rsidRDefault="002D7080" w:rsidP="002E2C37">
            <w:pPr>
              <w:spacing w:after="0" w:line="240" w:lineRule="auto"/>
              <w:jc w:val="center"/>
              <w:rPr>
                <w:rFonts w:ascii="Times New Roman" w:eastAsia="Times New Roman" w:hAnsi="Times New Roman" w:cs="Times New Roman"/>
                <w:b/>
                <w:bCs/>
                <w:sz w:val="20"/>
                <w:szCs w:val="20"/>
                <w:lang w:eastAsia="de-CH"/>
              </w:rPr>
            </w:pPr>
            <w:r w:rsidRPr="00ED3FD3">
              <w:rPr>
                <w:rFonts w:ascii="Times New Roman" w:eastAsia="Times New Roman" w:hAnsi="Times New Roman" w:cs="Times New Roman"/>
                <w:b/>
                <w:bCs/>
                <w:sz w:val="20"/>
                <w:szCs w:val="20"/>
                <w:lang w:eastAsia="de-CH"/>
              </w:rPr>
              <w:t> </w:t>
            </w:r>
          </w:p>
        </w:tc>
        <w:tc>
          <w:tcPr>
            <w:tcW w:w="5200" w:type="dxa"/>
            <w:gridSpan w:val="5"/>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E485278" w14:textId="77777777" w:rsidR="002D7080" w:rsidRPr="00ED3FD3" w:rsidRDefault="002D7080" w:rsidP="002E2C37">
            <w:pPr>
              <w:spacing w:after="0" w:line="240" w:lineRule="auto"/>
              <w:jc w:val="center"/>
              <w:rPr>
                <w:rFonts w:ascii="Times New Roman" w:eastAsia="Times New Roman" w:hAnsi="Times New Roman" w:cs="Times New Roman"/>
                <w:b/>
                <w:bCs/>
                <w:sz w:val="20"/>
                <w:szCs w:val="20"/>
                <w:lang w:eastAsia="de-CH"/>
              </w:rPr>
            </w:pPr>
            <w:r w:rsidRPr="00ED3FD3">
              <w:rPr>
                <w:rFonts w:ascii="Times New Roman" w:eastAsia="Times New Roman" w:hAnsi="Times New Roman" w:cs="Times New Roman"/>
                <w:b/>
                <w:bCs/>
                <w:sz w:val="20"/>
                <w:szCs w:val="20"/>
                <w:lang w:eastAsia="de-CH"/>
              </w:rPr>
              <w:t>Consequences</w:t>
            </w:r>
          </w:p>
        </w:tc>
      </w:tr>
      <w:tr w:rsidR="002D7080" w:rsidRPr="00ED3FD3" w14:paraId="21A0573C" w14:textId="77777777" w:rsidTr="002E2C37">
        <w:trPr>
          <w:trHeight w:val="281"/>
          <w:jc w:val="center"/>
        </w:trPr>
        <w:tc>
          <w:tcPr>
            <w:tcW w:w="440" w:type="dxa"/>
            <w:vMerge/>
            <w:tcBorders>
              <w:top w:val="nil"/>
              <w:left w:val="nil"/>
              <w:bottom w:val="single" w:sz="4" w:space="0" w:color="auto"/>
              <w:right w:val="nil"/>
            </w:tcBorders>
            <w:vAlign w:val="center"/>
            <w:hideMark/>
          </w:tcPr>
          <w:p w14:paraId="455D732C" w14:textId="77777777" w:rsidR="002D7080" w:rsidRPr="00ED3FD3"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vMerge/>
            <w:tcBorders>
              <w:top w:val="nil"/>
              <w:left w:val="nil"/>
              <w:bottom w:val="single" w:sz="4" w:space="0" w:color="auto"/>
              <w:right w:val="single" w:sz="4" w:space="0" w:color="auto"/>
            </w:tcBorders>
            <w:vAlign w:val="center"/>
            <w:hideMark/>
          </w:tcPr>
          <w:p w14:paraId="2D1841BE" w14:textId="77777777" w:rsidR="002D7080" w:rsidRPr="00ED3FD3" w:rsidRDefault="002D7080" w:rsidP="002E2C37">
            <w:pPr>
              <w:spacing w:after="0" w:line="240" w:lineRule="auto"/>
              <w:rPr>
                <w:rFonts w:ascii="Times New Roman" w:eastAsia="Times New Roman" w:hAnsi="Times New Roman" w:cs="Times New Roman"/>
                <w:b/>
                <w:bCs/>
                <w:sz w:val="20"/>
                <w:szCs w:val="20"/>
                <w:lang w:eastAsia="de-CH"/>
              </w:rPr>
            </w:pPr>
          </w:p>
        </w:tc>
        <w:tc>
          <w:tcPr>
            <w:tcW w:w="100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169ED8F0"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MC</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66F52A87"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MN</w:t>
            </w:r>
          </w:p>
        </w:tc>
        <w:tc>
          <w:tcPr>
            <w:tcW w:w="1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666D77D9"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MO</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109BB4E0" w14:textId="77777777" w:rsidR="002D7080" w:rsidRPr="00ED3FD3" w:rsidRDefault="002D7080" w:rsidP="002E2C37">
            <w:pPr>
              <w:spacing w:after="0" w:line="240" w:lineRule="auto"/>
              <w:jc w:val="center"/>
              <w:rPr>
                <w:rFonts w:ascii="Times New Roman" w:eastAsia="Times New Roman" w:hAnsi="Times New Roman" w:cs="Times New Roman"/>
                <w:sz w:val="20"/>
                <w:szCs w:val="20"/>
                <w:highlight w:val="yellow"/>
                <w:lang w:eastAsia="de-CH"/>
              </w:rPr>
            </w:pPr>
            <w:r w:rsidRPr="00ED3FD3">
              <w:rPr>
                <w:rFonts w:ascii="Times New Roman" w:eastAsia="Times New Roman" w:hAnsi="Times New Roman" w:cs="Times New Roman"/>
                <w:sz w:val="20"/>
                <w:szCs w:val="20"/>
                <w:highlight w:val="yellow"/>
                <w:lang w:eastAsia="de-CH"/>
              </w:rPr>
              <w:t>MR</w:t>
            </w:r>
          </w:p>
        </w:tc>
        <w:tc>
          <w:tcPr>
            <w:tcW w:w="1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0769E36"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MV</w:t>
            </w:r>
          </w:p>
        </w:tc>
      </w:tr>
      <w:tr w:rsidR="002D7080" w:rsidRPr="00ED3FD3" w14:paraId="2742CBB1" w14:textId="77777777" w:rsidTr="002E2C37">
        <w:trPr>
          <w:trHeight w:val="271"/>
          <w:jc w:val="center"/>
        </w:trPr>
        <w:tc>
          <w:tcPr>
            <w:tcW w:w="4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center"/>
            <w:hideMark/>
          </w:tcPr>
          <w:p w14:paraId="1F3F5591" w14:textId="77777777" w:rsidR="002D7080" w:rsidRPr="00ED3FD3" w:rsidRDefault="002D7080" w:rsidP="002E2C37">
            <w:pPr>
              <w:spacing w:after="0" w:line="240" w:lineRule="auto"/>
              <w:jc w:val="center"/>
              <w:rPr>
                <w:rFonts w:ascii="Times New Roman" w:eastAsia="Times New Roman" w:hAnsi="Times New Roman" w:cs="Times New Roman"/>
                <w:b/>
                <w:bCs/>
                <w:sz w:val="20"/>
                <w:szCs w:val="20"/>
                <w:lang w:eastAsia="de-CH"/>
              </w:rPr>
            </w:pPr>
            <w:r w:rsidRPr="00ED3FD3">
              <w:rPr>
                <w:rFonts w:ascii="Times New Roman" w:eastAsia="Times New Roman" w:hAnsi="Times New Roman" w:cs="Times New Roman"/>
                <w:b/>
                <w:bCs/>
                <w:sz w:val="20"/>
                <w:szCs w:val="20"/>
                <w:lang w:eastAsia="de-CH"/>
              </w:rPr>
              <w:t>Likelihood</w:t>
            </w: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BC25B10"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Extremely unlikely</w:t>
            </w:r>
          </w:p>
        </w:tc>
        <w:tc>
          <w:tcPr>
            <w:tcW w:w="1004" w:type="dxa"/>
            <w:tcBorders>
              <w:top w:val="single" w:sz="4" w:space="0" w:color="auto"/>
              <w:left w:val="nil"/>
              <w:bottom w:val="single" w:sz="4" w:space="0" w:color="auto"/>
              <w:right w:val="single" w:sz="4" w:space="0" w:color="auto"/>
            </w:tcBorders>
            <w:noWrap/>
            <w:vAlign w:val="center"/>
            <w:hideMark/>
          </w:tcPr>
          <w:p w14:paraId="4A2C6847"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4A9421D"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0C5A0F9B"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76156234"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D656E3C"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medium</w:t>
            </w:r>
          </w:p>
        </w:tc>
      </w:tr>
      <w:tr w:rsidR="002D7080" w:rsidRPr="00ED3FD3" w14:paraId="3DCB4932" w14:textId="77777777" w:rsidTr="002E2C37">
        <w:trPr>
          <w:trHeight w:val="275"/>
          <w:jc w:val="center"/>
        </w:trPr>
        <w:tc>
          <w:tcPr>
            <w:tcW w:w="44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8CFB40" w14:textId="77777777" w:rsidR="002D7080" w:rsidRPr="00ED3FD3"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38F97B2"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Very unlikely</w:t>
            </w:r>
          </w:p>
        </w:tc>
        <w:tc>
          <w:tcPr>
            <w:tcW w:w="1004" w:type="dxa"/>
            <w:tcBorders>
              <w:top w:val="single" w:sz="4" w:space="0" w:color="auto"/>
              <w:left w:val="nil"/>
              <w:bottom w:val="single" w:sz="4" w:space="0" w:color="auto"/>
              <w:right w:val="single" w:sz="4" w:space="0" w:color="auto"/>
            </w:tcBorders>
            <w:noWrap/>
            <w:vAlign w:val="center"/>
            <w:hideMark/>
          </w:tcPr>
          <w:p w14:paraId="16BB7284"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024E62E"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129F3D58"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02010927"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CC8C8C6"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high</w:t>
            </w:r>
          </w:p>
        </w:tc>
      </w:tr>
      <w:tr w:rsidR="002D7080" w:rsidRPr="00ED3FD3" w14:paraId="568AAEB7" w14:textId="77777777" w:rsidTr="002E2C37">
        <w:trPr>
          <w:trHeight w:val="265"/>
          <w:jc w:val="center"/>
        </w:trPr>
        <w:tc>
          <w:tcPr>
            <w:tcW w:w="44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C3D7E9" w14:textId="77777777" w:rsidR="002D7080" w:rsidRPr="00ED3FD3"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63EC9D5"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Unlikely</w:t>
            </w:r>
          </w:p>
        </w:tc>
        <w:tc>
          <w:tcPr>
            <w:tcW w:w="1004" w:type="dxa"/>
            <w:tcBorders>
              <w:top w:val="single" w:sz="4" w:space="0" w:color="auto"/>
              <w:left w:val="nil"/>
              <w:bottom w:val="single" w:sz="4" w:space="0" w:color="auto"/>
              <w:right w:val="single" w:sz="4" w:space="0" w:color="auto"/>
            </w:tcBorders>
            <w:noWrap/>
            <w:vAlign w:val="center"/>
            <w:hideMark/>
          </w:tcPr>
          <w:p w14:paraId="31D1AF18"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43706D5"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5E0DEE6C"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780854B"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88662D6"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high</w:t>
            </w:r>
          </w:p>
        </w:tc>
      </w:tr>
      <w:tr w:rsidR="002D7080" w:rsidRPr="00ED3FD3" w14:paraId="76E44E23" w14:textId="77777777" w:rsidTr="002E2C37">
        <w:trPr>
          <w:trHeight w:val="283"/>
          <w:jc w:val="center"/>
        </w:trPr>
        <w:tc>
          <w:tcPr>
            <w:tcW w:w="44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15D8FCE" w14:textId="77777777" w:rsidR="002D7080" w:rsidRPr="00ED3FD3"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FFFF00"/>
            <w:noWrap/>
            <w:vAlign w:val="center"/>
            <w:hideMark/>
          </w:tcPr>
          <w:p w14:paraId="1D6285D7"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Fairly probable</w:t>
            </w:r>
          </w:p>
        </w:tc>
        <w:tc>
          <w:tcPr>
            <w:tcW w:w="1004" w:type="dxa"/>
            <w:tcBorders>
              <w:top w:val="single" w:sz="4" w:space="0" w:color="auto"/>
              <w:left w:val="nil"/>
              <w:bottom w:val="single" w:sz="4" w:space="0" w:color="auto"/>
              <w:right w:val="single" w:sz="4" w:space="0" w:color="auto"/>
            </w:tcBorders>
            <w:noWrap/>
            <w:vAlign w:val="center"/>
            <w:hideMark/>
          </w:tcPr>
          <w:p w14:paraId="67B53ED4"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F382DEC"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medium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19468796"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1CC3898"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2A3F469"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high</w:t>
            </w:r>
          </w:p>
        </w:tc>
      </w:tr>
      <w:tr w:rsidR="002D7080" w:rsidRPr="00ED3FD3" w14:paraId="05CE13AF" w14:textId="77777777" w:rsidTr="002E2C37">
        <w:trPr>
          <w:trHeight w:val="273"/>
          <w:jc w:val="center"/>
        </w:trPr>
        <w:tc>
          <w:tcPr>
            <w:tcW w:w="44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96876E" w14:textId="77777777" w:rsidR="002D7080" w:rsidRPr="00ED3FD3"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CD66466"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Probable</w:t>
            </w:r>
          </w:p>
        </w:tc>
        <w:tc>
          <w:tcPr>
            <w:tcW w:w="1004" w:type="dxa"/>
            <w:tcBorders>
              <w:top w:val="single" w:sz="4" w:space="0" w:color="auto"/>
              <w:left w:val="nil"/>
              <w:bottom w:val="single" w:sz="4" w:space="0" w:color="auto"/>
              <w:right w:val="single" w:sz="4" w:space="0" w:color="auto"/>
            </w:tcBorders>
            <w:noWrap/>
            <w:vAlign w:val="center"/>
            <w:hideMark/>
          </w:tcPr>
          <w:p w14:paraId="07D663F1"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6C4C195"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high</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05435157"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029432C7"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0A6CAA4D" w14:textId="77777777" w:rsidR="002D7080" w:rsidRPr="00ED3FD3" w:rsidRDefault="002D7080" w:rsidP="002E2C37">
            <w:pPr>
              <w:spacing w:after="0" w:line="240" w:lineRule="auto"/>
              <w:jc w:val="center"/>
              <w:rPr>
                <w:rFonts w:ascii="Times New Roman" w:eastAsia="Times New Roman" w:hAnsi="Times New Roman" w:cs="Times New Roman"/>
                <w:sz w:val="20"/>
                <w:szCs w:val="20"/>
                <w:lang w:eastAsia="de-CH"/>
              </w:rPr>
            </w:pPr>
            <w:r w:rsidRPr="00ED3FD3">
              <w:rPr>
                <w:rFonts w:ascii="Times New Roman" w:eastAsia="Times New Roman" w:hAnsi="Times New Roman" w:cs="Times New Roman"/>
                <w:sz w:val="20"/>
                <w:szCs w:val="20"/>
                <w:lang w:eastAsia="de-CH"/>
              </w:rPr>
              <w:t>high</w:t>
            </w:r>
          </w:p>
        </w:tc>
      </w:tr>
    </w:tbl>
    <w:p w14:paraId="4DD5E486" w14:textId="77777777" w:rsidR="002D7080" w:rsidRPr="00ED3FD3" w:rsidRDefault="002D7080" w:rsidP="002D7080">
      <w:pPr>
        <w:spacing w:after="0" w:line="240" w:lineRule="auto"/>
        <w:rPr>
          <w:rFonts w:ascii="Times New Roman" w:hAnsi="Times New Roman" w:cs="Times New Roman"/>
          <w:sz w:val="20"/>
          <w:szCs w:val="20"/>
        </w:rPr>
      </w:pPr>
    </w:p>
    <w:p w14:paraId="21ACCFF6"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t xml:space="preserve">Ease of management = Difficult </w:t>
      </w:r>
    </w:p>
    <w:p w14:paraId="7DB2D6CC" w14:textId="77777777" w:rsidR="002D7080" w:rsidRPr="00ED3FD3" w:rsidRDefault="002D7080" w:rsidP="002D7080">
      <w:pPr>
        <w:spacing w:after="0" w:line="240" w:lineRule="auto"/>
        <w:rPr>
          <w:rFonts w:ascii="Times New Roman" w:eastAsia="Times New Roman" w:hAnsi="Times New Roman" w:cs="Times New Roman"/>
          <w:sz w:val="20"/>
          <w:szCs w:val="20"/>
          <w:lang w:eastAsia="en-ZA"/>
        </w:rPr>
      </w:pPr>
    </w:p>
    <w:tbl>
      <w:tblPr>
        <w:tblpPr w:leftFromText="180" w:rightFromText="180" w:vertAnchor="text" w:tblpXSpec="center" w:tblpY="1"/>
        <w:tblOverlap w:val="never"/>
        <w:tblW w:w="6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4387"/>
        <w:gridCol w:w="1076"/>
      </w:tblGrid>
      <w:tr w:rsidR="002D7080" w:rsidRPr="00ED3FD3" w14:paraId="4E4D5C4A" w14:textId="77777777" w:rsidTr="002E2C37">
        <w:trPr>
          <w:trHeight w:val="272"/>
        </w:trPr>
        <w:tc>
          <w:tcPr>
            <w:tcW w:w="1195" w:type="dxa"/>
            <w:shd w:val="clear" w:color="auto" w:fill="D9D9D9" w:themeFill="background1" w:themeFillShade="D9"/>
            <w:vAlign w:val="center"/>
          </w:tcPr>
          <w:p w14:paraId="50E7466C" w14:textId="77777777" w:rsidR="002D7080" w:rsidRPr="00ED3FD3" w:rsidRDefault="002D7080" w:rsidP="002E2C37">
            <w:pPr>
              <w:spacing w:after="0" w:line="240" w:lineRule="auto"/>
              <w:jc w:val="center"/>
              <w:rPr>
                <w:rFonts w:ascii="Times New Roman" w:hAnsi="Times New Roman" w:cs="Times New Roman"/>
                <w:b/>
                <w:sz w:val="20"/>
                <w:szCs w:val="20"/>
              </w:rPr>
            </w:pPr>
            <w:r w:rsidRPr="00ED3FD3">
              <w:rPr>
                <w:rFonts w:ascii="Times New Roman" w:hAnsi="Times New Roman" w:cs="Times New Roman"/>
                <w:b/>
                <w:sz w:val="20"/>
                <w:szCs w:val="20"/>
              </w:rPr>
              <w:t>Parameter</w:t>
            </w:r>
          </w:p>
        </w:tc>
        <w:tc>
          <w:tcPr>
            <w:tcW w:w="4387" w:type="dxa"/>
            <w:shd w:val="clear" w:color="auto" w:fill="D9D9D9" w:themeFill="background1" w:themeFillShade="D9"/>
            <w:vAlign w:val="center"/>
          </w:tcPr>
          <w:p w14:paraId="53856FE1" w14:textId="77777777" w:rsidR="002D7080" w:rsidRPr="00ED3FD3" w:rsidRDefault="002D7080" w:rsidP="002E2C37">
            <w:pPr>
              <w:spacing w:after="0" w:line="240" w:lineRule="auto"/>
              <w:jc w:val="center"/>
              <w:rPr>
                <w:rFonts w:ascii="Times New Roman" w:hAnsi="Times New Roman" w:cs="Times New Roman"/>
                <w:b/>
                <w:sz w:val="20"/>
                <w:szCs w:val="20"/>
              </w:rPr>
            </w:pPr>
            <w:r w:rsidRPr="00ED3FD3">
              <w:rPr>
                <w:rFonts w:ascii="Times New Roman" w:hAnsi="Times New Roman" w:cs="Times New Roman"/>
                <w:b/>
                <w:sz w:val="20"/>
                <w:szCs w:val="20"/>
              </w:rPr>
              <w:t>Question</w:t>
            </w:r>
          </w:p>
        </w:tc>
        <w:tc>
          <w:tcPr>
            <w:tcW w:w="1076" w:type="dxa"/>
            <w:shd w:val="clear" w:color="auto" w:fill="D9D9D9" w:themeFill="background1" w:themeFillShade="D9"/>
            <w:vAlign w:val="center"/>
          </w:tcPr>
          <w:p w14:paraId="4121F1FD" w14:textId="77777777" w:rsidR="002D7080" w:rsidRPr="00ED3FD3" w:rsidRDefault="002D7080" w:rsidP="002E2C37">
            <w:pPr>
              <w:spacing w:after="0" w:line="240" w:lineRule="auto"/>
              <w:jc w:val="center"/>
              <w:rPr>
                <w:rFonts w:ascii="Times New Roman" w:hAnsi="Times New Roman" w:cs="Times New Roman"/>
                <w:b/>
                <w:sz w:val="20"/>
                <w:szCs w:val="20"/>
              </w:rPr>
            </w:pPr>
            <w:r w:rsidRPr="00ED3FD3">
              <w:rPr>
                <w:rFonts w:ascii="Times New Roman" w:hAnsi="Times New Roman" w:cs="Times New Roman"/>
                <w:b/>
                <w:sz w:val="20"/>
                <w:szCs w:val="20"/>
              </w:rPr>
              <w:t>Response</w:t>
            </w:r>
          </w:p>
        </w:tc>
      </w:tr>
      <w:tr w:rsidR="002D7080" w:rsidRPr="00ED3FD3" w14:paraId="1DB20A47" w14:textId="77777777" w:rsidTr="002E2C37">
        <w:trPr>
          <w:trHeight w:val="305"/>
        </w:trPr>
        <w:tc>
          <w:tcPr>
            <w:tcW w:w="1195" w:type="dxa"/>
            <w:shd w:val="clear" w:color="auto" w:fill="D9D9D9" w:themeFill="background1" w:themeFillShade="D9"/>
            <w:vAlign w:val="center"/>
          </w:tcPr>
          <w:p w14:paraId="08DA5382" w14:textId="77777777" w:rsidR="002D7080" w:rsidRPr="00ED3FD3" w:rsidRDefault="002D7080" w:rsidP="002E2C37">
            <w:pPr>
              <w:spacing w:after="0" w:line="240" w:lineRule="auto"/>
              <w:jc w:val="center"/>
              <w:rPr>
                <w:rFonts w:ascii="Times New Roman" w:hAnsi="Times New Roman" w:cs="Times New Roman"/>
                <w:sz w:val="20"/>
                <w:szCs w:val="20"/>
              </w:rPr>
            </w:pPr>
            <w:r w:rsidRPr="00ED3FD3">
              <w:rPr>
                <w:rFonts w:ascii="Times New Roman" w:hAnsi="Times New Roman" w:cs="Times New Roman"/>
                <w:sz w:val="20"/>
                <w:szCs w:val="20"/>
              </w:rPr>
              <w:t>MAN3a</w:t>
            </w:r>
          </w:p>
        </w:tc>
        <w:tc>
          <w:tcPr>
            <w:tcW w:w="4387" w:type="dxa"/>
            <w:shd w:val="clear" w:color="auto" w:fill="D9D9D9" w:themeFill="background1" w:themeFillShade="D9"/>
            <w:vAlign w:val="center"/>
          </w:tcPr>
          <w:p w14:paraId="3AC266C9" w14:textId="77777777" w:rsidR="002D7080" w:rsidRPr="00ED3FD3" w:rsidRDefault="002D7080" w:rsidP="002E2C37">
            <w:pPr>
              <w:tabs>
                <w:tab w:val="left" w:pos="1223"/>
              </w:tabs>
              <w:spacing w:after="0" w:line="240" w:lineRule="auto"/>
              <w:rPr>
                <w:rFonts w:ascii="Times New Roman" w:hAnsi="Times New Roman" w:cs="Times New Roman"/>
                <w:sz w:val="20"/>
                <w:szCs w:val="20"/>
              </w:rPr>
            </w:pPr>
            <w:r w:rsidRPr="00ED3FD3">
              <w:rPr>
                <w:rFonts w:ascii="Times New Roman" w:hAnsi="Times New Roman" w:cs="Times New Roman"/>
                <w:sz w:val="20"/>
                <w:szCs w:val="20"/>
              </w:rPr>
              <w:t xml:space="preserve">How accessible are populations? </w:t>
            </w:r>
          </w:p>
        </w:tc>
        <w:tc>
          <w:tcPr>
            <w:tcW w:w="1076" w:type="dxa"/>
            <w:vAlign w:val="center"/>
          </w:tcPr>
          <w:p w14:paraId="4EEE0E93" w14:textId="77777777" w:rsidR="002D7080" w:rsidRPr="00ED3FD3" w:rsidRDefault="002D7080" w:rsidP="002E2C37">
            <w:pPr>
              <w:tabs>
                <w:tab w:val="left" w:pos="1250"/>
              </w:tabs>
              <w:spacing w:after="0" w:line="240" w:lineRule="auto"/>
              <w:rPr>
                <w:rFonts w:ascii="Times New Roman" w:hAnsi="Times New Roman" w:cs="Times New Roman"/>
                <w:sz w:val="20"/>
                <w:szCs w:val="20"/>
              </w:rPr>
            </w:pPr>
            <w:r w:rsidRPr="00ED3FD3">
              <w:rPr>
                <w:rFonts w:ascii="Times New Roman" w:hAnsi="Times New Roman" w:cs="Times New Roman"/>
                <w:sz w:val="20"/>
                <w:szCs w:val="20"/>
              </w:rPr>
              <w:t>2</w:t>
            </w:r>
          </w:p>
        </w:tc>
      </w:tr>
      <w:tr w:rsidR="002D7080" w:rsidRPr="00ED3FD3" w14:paraId="636ECA0A" w14:textId="77777777" w:rsidTr="002E2C37">
        <w:trPr>
          <w:trHeight w:val="274"/>
        </w:trPr>
        <w:tc>
          <w:tcPr>
            <w:tcW w:w="1195" w:type="dxa"/>
            <w:shd w:val="clear" w:color="auto" w:fill="D9D9D9" w:themeFill="background1" w:themeFillShade="D9"/>
            <w:vAlign w:val="center"/>
          </w:tcPr>
          <w:p w14:paraId="5240F659" w14:textId="77777777" w:rsidR="002D7080" w:rsidRPr="00ED3FD3" w:rsidRDefault="002D7080" w:rsidP="002E2C37">
            <w:pPr>
              <w:spacing w:after="0" w:line="240" w:lineRule="auto"/>
              <w:jc w:val="center"/>
              <w:rPr>
                <w:rFonts w:ascii="Times New Roman" w:hAnsi="Times New Roman" w:cs="Times New Roman"/>
                <w:sz w:val="20"/>
                <w:szCs w:val="20"/>
              </w:rPr>
            </w:pPr>
            <w:r w:rsidRPr="00ED3FD3">
              <w:rPr>
                <w:rFonts w:ascii="Times New Roman" w:hAnsi="Times New Roman" w:cs="Times New Roman"/>
                <w:sz w:val="20"/>
                <w:szCs w:val="20"/>
              </w:rPr>
              <w:t>MAN3b</w:t>
            </w:r>
          </w:p>
        </w:tc>
        <w:tc>
          <w:tcPr>
            <w:tcW w:w="4387" w:type="dxa"/>
            <w:shd w:val="clear" w:color="auto" w:fill="D9D9D9" w:themeFill="background1" w:themeFillShade="D9"/>
            <w:vAlign w:val="center"/>
          </w:tcPr>
          <w:p w14:paraId="213782C9" w14:textId="77777777" w:rsidR="002D7080" w:rsidRPr="00ED3FD3" w:rsidRDefault="002D7080" w:rsidP="002E2C37">
            <w:pPr>
              <w:spacing w:after="0" w:line="240" w:lineRule="auto"/>
              <w:rPr>
                <w:rFonts w:ascii="Times New Roman" w:hAnsi="Times New Roman" w:cs="Times New Roman"/>
                <w:sz w:val="20"/>
                <w:szCs w:val="20"/>
              </w:rPr>
            </w:pPr>
            <w:r w:rsidRPr="00ED3FD3">
              <w:rPr>
                <w:rFonts w:ascii="Times New Roman" w:hAnsi="Times New Roman" w:cs="Times New Roman"/>
                <w:sz w:val="20"/>
                <w:szCs w:val="20"/>
              </w:rPr>
              <w:t>Is detectability critically time-dependent?</w:t>
            </w:r>
          </w:p>
        </w:tc>
        <w:tc>
          <w:tcPr>
            <w:tcW w:w="1076" w:type="dxa"/>
            <w:vAlign w:val="center"/>
          </w:tcPr>
          <w:p w14:paraId="69A11350" w14:textId="77777777" w:rsidR="002D7080" w:rsidRPr="00ED3FD3" w:rsidRDefault="002D7080" w:rsidP="002E2C37">
            <w:pPr>
              <w:spacing w:after="0" w:line="240" w:lineRule="auto"/>
              <w:rPr>
                <w:rFonts w:ascii="Times New Roman" w:hAnsi="Times New Roman" w:cs="Times New Roman"/>
                <w:sz w:val="20"/>
                <w:szCs w:val="20"/>
              </w:rPr>
            </w:pPr>
            <w:r w:rsidRPr="00ED3FD3">
              <w:rPr>
                <w:rFonts w:ascii="Times New Roman" w:hAnsi="Times New Roman" w:cs="Times New Roman"/>
                <w:sz w:val="20"/>
                <w:szCs w:val="20"/>
              </w:rPr>
              <w:t>2</w:t>
            </w:r>
          </w:p>
        </w:tc>
      </w:tr>
      <w:tr w:rsidR="002D7080" w:rsidRPr="00ED3FD3" w14:paraId="664D9310" w14:textId="77777777" w:rsidTr="002E2C37">
        <w:trPr>
          <w:trHeight w:val="274"/>
        </w:trPr>
        <w:tc>
          <w:tcPr>
            <w:tcW w:w="1195" w:type="dxa"/>
            <w:shd w:val="clear" w:color="auto" w:fill="D9D9D9" w:themeFill="background1" w:themeFillShade="D9"/>
            <w:vAlign w:val="center"/>
          </w:tcPr>
          <w:p w14:paraId="2C49C3A4" w14:textId="77777777" w:rsidR="002D7080" w:rsidRPr="00ED3FD3" w:rsidRDefault="002D7080" w:rsidP="002E2C37">
            <w:pPr>
              <w:spacing w:after="0" w:line="240" w:lineRule="auto"/>
              <w:jc w:val="center"/>
              <w:rPr>
                <w:rFonts w:ascii="Times New Roman" w:hAnsi="Times New Roman" w:cs="Times New Roman"/>
                <w:sz w:val="20"/>
                <w:szCs w:val="20"/>
              </w:rPr>
            </w:pPr>
            <w:r w:rsidRPr="00ED3FD3">
              <w:rPr>
                <w:rFonts w:ascii="Times New Roman" w:hAnsi="Times New Roman" w:cs="Times New Roman"/>
                <w:sz w:val="20"/>
                <w:szCs w:val="20"/>
              </w:rPr>
              <w:t>MAN3c</w:t>
            </w:r>
          </w:p>
        </w:tc>
        <w:tc>
          <w:tcPr>
            <w:tcW w:w="4387" w:type="dxa"/>
            <w:shd w:val="clear" w:color="auto" w:fill="D9D9D9" w:themeFill="background1" w:themeFillShade="D9"/>
            <w:vAlign w:val="center"/>
          </w:tcPr>
          <w:p w14:paraId="24E33489" w14:textId="77777777" w:rsidR="002D7080" w:rsidRPr="00ED3FD3" w:rsidRDefault="002D7080" w:rsidP="002E2C37">
            <w:pPr>
              <w:spacing w:after="0" w:line="240" w:lineRule="auto"/>
              <w:rPr>
                <w:rFonts w:ascii="Times New Roman" w:hAnsi="Times New Roman" w:cs="Times New Roman"/>
                <w:sz w:val="20"/>
                <w:szCs w:val="20"/>
              </w:rPr>
            </w:pPr>
            <w:r w:rsidRPr="00ED3FD3">
              <w:rPr>
                <w:rFonts w:ascii="Times New Roman" w:hAnsi="Times New Roman" w:cs="Times New Roman"/>
                <w:sz w:val="20"/>
                <w:szCs w:val="20"/>
              </w:rPr>
              <w:t>Time to reproduction</w:t>
            </w:r>
          </w:p>
        </w:tc>
        <w:tc>
          <w:tcPr>
            <w:tcW w:w="1076" w:type="dxa"/>
            <w:vAlign w:val="center"/>
          </w:tcPr>
          <w:p w14:paraId="3B6329F6" w14:textId="77777777" w:rsidR="002D7080" w:rsidRPr="00ED3FD3" w:rsidRDefault="002D7080" w:rsidP="002E2C37">
            <w:pPr>
              <w:spacing w:after="0" w:line="240" w:lineRule="auto"/>
              <w:rPr>
                <w:rFonts w:ascii="Times New Roman" w:hAnsi="Times New Roman" w:cs="Times New Roman"/>
                <w:sz w:val="20"/>
                <w:szCs w:val="20"/>
              </w:rPr>
            </w:pPr>
            <w:r w:rsidRPr="00ED3FD3">
              <w:rPr>
                <w:rFonts w:ascii="Times New Roman" w:hAnsi="Times New Roman" w:cs="Times New Roman"/>
                <w:sz w:val="20"/>
                <w:szCs w:val="20"/>
              </w:rPr>
              <w:t>1</w:t>
            </w:r>
          </w:p>
        </w:tc>
      </w:tr>
      <w:tr w:rsidR="002D7080" w:rsidRPr="00ED3FD3" w14:paraId="50038619" w14:textId="77777777" w:rsidTr="002E2C37">
        <w:trPr>
          <w:trHeight w:val="280"/>
        </w:trPr>
        <w:tc>
          <w:tcPr>
            <w:tcW w:w="1195" w:type="dxa"/>
            <w:shd w:val="clear" w:color="auto" w:fill="D9D9D9" w:themeFill="background1" w:themeFillShade="D9"/>
            <w:vAlign w:val="center"/>
          </w:tcPr>
          <w:p w14:paraId="490FBEB4" w14:textId="77777777" w:rsidR="002D7080" w:rsidRPr="00ED3FD3" w:rsidRDefault="002D7080" w:rsidP="002E2C37">
            <w:pPr>
              <w:spacing w:after="0" w:line="240" w:lineRule="auto"/>
              <w:jc w:val="center"/>
              <w:rPr>
                <w:rFonts w:ascii="Times New Roman" w:hAnsi="Times New Roman" w:cs="Times New Roman"/>
                <w:sz w:val="20"/>
                <w:szCs w:val="20"/>
              </w:rPr>
            </w:pPr>
            <w:r w:rsidRPr="00ED3FD3">
              <w:rPr>
                <w:rFonts w:ascii="Times New Roman" w:hAnsi="Times New Roman" w:cs="Times New Roman"/>
                <w:sz w:val="20"/>
                <w:szCs w:val="20"/>
              </w:rPr>
              <w:t>MAN3d</w:t>
            </w:r>
          </w:p>
        </w:tc>
        <w:tc>
          <w:tcPr>
            <w:tcW w:w="4387" w:type="dxa"/>
            <w:shd w:val="clear" w:color="auto" w:fill="D9D9D9" w:themeFill="background1" w:themeFillShade="D9"/>
            <w:vAlign w:val="center"/>
          </w:tcPr>
          <w:p w14:paraId="7C13DCD3" w14:textId="77777777" w:rsidR="002D7080" w:rsidRPr="00ED3FD3" w:rsidRDefault="002D7080" w:rsidP="002E2C37">
            <w:pPr>
              <w:spacing w:after="0" w:line="240" w:lineRule="auto"/>
              <w:rPr>
                <w:rFonts w:ascii="Times New Roman" w:hAnsi="Times New Roman" w:cs="Times New Roman"/>
                <w:sz w:val="20"/>
                <w:szCs w:val="20"/>
              </w:rPr>
            </w:pPr>
            <w:r w:rsidRPr="00ED3FD3">
              <w:rPr>
                <w:rFonts w:ascii="Times New Roman" w:hAnsi="Times New Roman" w:cs="Times New Roman"/>
                <w:sz w:val="20"/>
                <w:szCs w:val="20"/>
              </w:rPr>
              <w:t>Propagule persistence</w:t>
            </w:r>
          </w:p>
        </w:tc>
        <w:tc>
          <w:tcPr>
            <w:tcW w:w="1076" w:type="dxa"/>
            <w:vAlign w:val="center"/>
          </w:tcPr>
          <w:p w14:paraId="210B77E6" w14:textId="77777777" w:rsidR="002D7080" w:rsidRPr="00ED3FD3" w:rsidRDefault="002D7080" w:rsidP="002E2C37">
            <w:pPr>
              <w:spacing w:after="0" w:line="240" w:lineRule="auto"/>
              <w:rPr>
                <w:rFonts w:ascii="Times New Roman" w:hAnsi="Times New Roman" w:cs="Times New Roman"/>
                <w:sz w:val="20"/>
                <w:szCs w:val="20"/>
              </w:rPr>
            </w:pPr>
            <w:r w:rsidRPr="00ED3FD3">
              <w:rPr>
                <w:rFonts w:ascii="Times New Roman" w:hAnsi="Times New Roman" w:cs="Times New Roman"/>
                <w:sz w:val="20"/>
                <w:szCs w:val="20"/>
              </w:rPr>
              <w:t>1</w:t>
            </w:r>
          </w:p>
        </w:tc>
      </w:tr>
      <w:tr w:rsidR="002D7080" w:rsidRPr="00ED3FD3" w14:paraId="6B0FE528" w14:textId="77777777" w:rsidTr="002E2C37">
        <w:trPr>
          <w:trHeight w:val="248"/>
        </w:trPr>
        <w:tc>
          <w:tcPr>
            <w:tcW w:w="1195" w:type="dxa"/>
            <w:tcBorders>
              <w:top w:val="double" w:sz="4" w:space="0" w:color="auto"/>
            </w:tcBorders>
            <w:shd w:val="clear" w:color="auto" w:fill="D9D9D9" w:themeFill="background1" w:themeFillShade="D9"/>
            <w:vAlign w:val="center"/>
          </w:tcPr>
          <w:p w14:paraId="323C5B3A" w14:textId="77777777" w:rsidR="002D7080" w:rsidRPr="00ED3FD3" w:rsidRDefault="002D7080" w:rsidP="002E2C37">
            <w:pPr>
              <w:spacing w:after="0" w:line="240" w:lineRule="auto"/>
              <w:jc w:val="center"/>
              <w:rPr>
                <w:rFonts w:ascii="Times New Roman" w:hAnsi="Times New Roman" w:cs="Times New Roman"/>
                <w:b/>
                <w:sz w:val="20"/>
                <w:szCs w:val="20"/>
              </w:rPr>
            </w:pPr>
            <w:r w:rsidRPr="00ED3FD3">
              <w:rPr>
                <w:rFonts w:ascii="Times New Roman" w:hAnsi="Times New Roman" w:cs="Times New Roman"/>
                <w:b/>
                <w:sz w:val="20"/>
                <w:szCs w:val="20"/>
              </w:rPr>
              <w:t>MAN3</w:t>
            </w:r>
          </w:p>
        </w:tc>
        <w:tc>
          <w:tcPr>
            <w:tcW w:w="4387" w:type="dxa"/>
            <w:tcBorders>
              <w:top w:val="double" w:sz="4" w:space="0" w:color="auto"/>
            </w:tcBorders>
            <w:shd w:val="clear" w:color="auto" w:fill="D9D9D9" w:themeFill="background1" w:themeFillShade="D9"/>
            <w:vAlign w:val="center"/>
          </w:tcPr>
          <w:p w14:paraId="50849A5C" w14:textId="77777777" w:rsidR="002D7080" w:rsidRPr="00ED3FD3" w:rsidRDefault="002D7080" w:rsidP="002E2C37">
            <w:pPr>
              <w:spacing w:after="0" w:line="240" w:lineRule="auto"/>
              <w:rPr>
                <w:rFonts w:ascii="Times New Roman" w:hAnsi="Times New Roman" w:cs="Times New Roman"/>
                <w:b/>
                <w:sz w:val="20"/>
                <w:szCs w:val="20"/>
              </w:rPr>
            </w:pPr>
            <w:r w:rsidRPr="00ED3FD3">
              <w:rPr>
                <w:rFonts w:ascii="Times New Roman" w:hAnsi="Times New Roman" w:cs="Times New Roman"/>
                <w:b/>
                <w:sz w:val="20"/>
                <w:szCs w:val="20"/>
              </w:rPr>
              <w:t>SUM</w:t>
            </w:r>
          </w:p>
        </w:tc>
        <w:tc>
          <w:tcPr>
            <w:tcW w:w="1076" w:type="dxa"/>
            <w:tcBorders>
              <w:top w:val="double" w:sz="4" w:space="0" w:color="auto"/>
            </w:tcBorders>
            <w:vAlign w:val="center"/>
          </w:tcPr>
          <w:p w14:paraId="0A22908B" w14:textId="77777777" w:rsidR="002D7080" w:rsidRPr="00ED3FD3" w:rsidRDefault="002D7080" w:rsidP="002E2C37">
            <w:pPr>
              <w:spacing w:after="0" w:line="240" w:lineRule="auto"/>
              <w:rPr>
                <w:rFonts w:ascii="Times New Roman" w:hAnsi="Times New Roman" w:cs="Times New Roman"/>
                <w:sz w:val="20"/>
                <w:szCs w:val="20"/>
              </w:rPr>
            </w:pPr>
            <w:r w:rsidRPr="00ED3FD3">
              <w:rPr>
                <w:rFonts w:ascii="Times New Roman" w:hAnsi="Times New Roman" w:cs="Times New Roman"/>
                <w:sz w:val="20"/>
                <w:szCs w:val="20"/>
              </w:rPr>
              <w:t>6</w:t>
            </w:r>
          </w:p>
        </w:tc>
      </w:tr>
    </w:tbl>
    <w:p w14:paraId="5BD7265E" w14:textId="77777777" w:rsidR="002D7080" w:rsidRPr="00ED3FD3" w:rsidRDefault="002D7080" w:rsidP="002D7080">
      <w:pPr>
        <w:spacing w:after="0" w:line="240" w:lineRule="auto"/>
        <w:rPr>
          <w:rFonts w:ascii="Times New Roman" w:hAnsi="Times New Roman" w:cs="Times New Roman"/>
          <w:sz w:val="20"/>
          <w:szCs w:val="20"/>
        </w:rPr>
      </w:pPr>
    </w:p>
    <w:p w14:paraId="67E7C148" w14:textId="77777777" w:rsidR="002D7080" w:rsidRPr="00ED3FD3" w:rsidRDefault="002D7080" w:rsidP="002D7080">
      <w:pPr>
        <w:spacing w:after="0" w:line="240" w:lineRule="auto"/>
        <w:rPr>
          <w:rFonts w:ascii="Times New Roman" w:hAnsi="Times New Roman" w:cs="Times New Roman"/>
          <w:sz w:val="20"/>
          <w:szCs w:val="20"/>
        </w:rPr>
      </w:pPr>
    </w:p>
    <w:p w14:paraId="40EEDEE4" w14:textId="77777777" w:rsidR="002D7080" w:rsidRPr="00ED3FD3" w:rsidRDefault="002D7080" w:rsidP="002D7080">
      <w:pPr>
        <w:spacing w:after="0" w:line="240" w:lineRule="auto"/>
        <w:rPr>
          <w:rFonts w:ascii="Times New Roman" w:hAnsi="Times New Roman" w:cs="Times New Roman"/>
          <w:b/>
          <w:sz w:val="20"/>
          <w:szCs w:val="20"/>
        </w:rPr>
      </w:pPr>
    </w:p>
    <w:p w14:paraId="26E9B4B6" w14:textId="77777777" w:rsidR="002D7080" w:rsidRPr="00ED3FD3" w:rsidRDefault="002D7080" w:rsidP="002D7080">
      <w:pPr>
        <w:spacing w:after="0" w:line="240" w:lineRule="auto"/>
        <w:rPr>
          <w:rFonts w:ascii="Times New Roman" w:hAnsi="Times New Roman" w:cs="Times New Roman"/>
          <w:b/>
          <w:sz w:val="20"/>
          <w:szCs w:val="20"/>
        </w:rPr>
      </w:pPr>
    </w:p>
    <w:p w14:paraId="6EC66276" w14:textId="77777777" w:rsidR="002D7080" w:rsidRPr="00ED3FD3" w:rsidRDefault="002D7080" w:rsidP="002D7080">
      <w:pPr>
        <w:spacing w:after="0" w:line="240" w:lineRule="auto"/>
        <w:rPr>
          <w:rFonts w:ascii="Times New Roman" w:hAnsi="Times New Roman" w:cs="Times New Roman"/>
          <w:b/>
          <w:sz w:val="20"/>
          <w:szCs w:val="20"/>
        </w:rPr>
      </w:pPr>
    </w:p>
    <w:p w14:paraId="4BBC397C" w14:textId="77777777" w:rsidR="002D7080" w:rsidRPr="00ED3FD3" w:rsidRDefault="002D7080" w:rsidP="002D7080">
      <w:pPr>
        <w:spacing w:after="0" w:line="240" w:lineRule="auto"/>
        <w:rPr>
          <w:rFonts w:ascii="Times New Roman" w:hAnsi="Times New Roman" w:cs="Times New Roman"/>
          <w:b/>
          <w:sz w:val="20"/>
          <w:szCs w:val="20"/>
        </w:rPr>
      </w:pPr>
    </w:p>
    <w:p w14:paraId="0EF62430" w14:textId="77777777" w:rsidR="002D7080" w:rsidRDefault="002D7080" w:rsidP="002D7080">
      <w:pPr>
        <w:autoSpaceDE w:val="0"/>
        <w:autoSpaceDN w:val="0"/>
        <w:adjustRightInd w:val="0"/>
        <w:spacing w:after="0" w:line="240" w:lineRule="auto"/>
        <w:rPr>
          <w:rFonts w:ascii="Times New Roman" w:eastAsia="Times New Roman" w:hAnsi="Times New Roman" w:cs="Times New Roman"/>
          <w:b/>
          <w:sz w:val="20"/>
          <w:szCs w:val="20"/>
          <w:lang w:eastAsia="en-ZA"/>
        </w:rPr>
      </w:pPr>
    </w:p>
    <w:p w14:paraId="13D70C9F" w14:textId="77777777" w:rsidR="002D7080" w:rsidRDefault="002D7080" w:rsidP="002D7080">
      <w:pPr>
        <w:autoSpaceDE w:val="0"/>
        <w:autoSpaceDN w:val="0"/>
        <w:adjustRightInd w:val="0"/>
        <w:spacing w:after="0" w:line="240" w:lineRule="auto"/>
        <w:rPr>
          <w:rFonts w:ascii="Times New Roman" w:eastAsia="Times New Roman" w:hAnsi="Times New Roman" w:cs="Times New Roman"/>
          <w:b/>
          <w:sz w:val="20"/>
          <w:szCs w:val="20"/>
          <w:lang w:eastAsia="en-ZA"/>
        </w:rPr>
      </w:pPr>
    </w:p>
    <w:p w14:paraId="3C0BF8AB" w14:textId="77777777" w:rsidR="002D7080" w:rsidRDefault="002D7080" w:rsidP="002D7080">
      <w:pPr>
        <w:autoSpaceDE w:val="0"/>
        <w:autoSpaceDN w:val="0"/>
        <w:adjustRightInd w:val="0"/>
        <w:spacing w:after="0" w:line="240" w:lineRule="auto"/>
        <w:rPr>
          <w:rFonts w:ascii="Times New Roman" w:eastAsia="Times New Roman" w:hAnsi="Times New Roman" w:cs="Times New Roman"/>
          <w:b/>
          <w:sz w:val="20"/>
          <w:szCs w:val="20"/>
          <w:lang w:eastAsia="en-ZA"/>
        </w:rPr>
      </w:pPr>
    </w:p>
    <w:p w14:paraId="324F87D9" w14:textId="77777777" w:rsidR="002D7080" w:rsidRPr="00ED3FD3" w:rsidRDefault="002D7080" w:rsidP="002D7080">
      <w:pPr>
        <w:autoSpaceDE w:val="0"/>
        <w:autoSpaceDN w:val="0"/>
        <w:adjustRightInd w:val="0"/>
        <w:spacing w:after="0" w:line="240" w:lineRule="auto"/>
        <w:rPr>
          <w:rFonts w:ascii="Times New Roman" w:eastAsia="Calibri-Italic" w:hAnsi="Times New Roman" w:cs="Times New Roman"/>
          <w:sz w:val="20"/>
          <w:szCs w:val="20"/>
        </w:rPr>
      </w:pPr>
      <w:r w:rsidRPr="00ED3FD3">
        <w:rPr>
          <w:rFonts w:ascii="Times New Roman" w:eastAsia="Times New Roman" w:hAnsi="Times New Roman" w:cs="Times New Roman"/>
          <w:b/>
          <w:sz w:val="20"/>
          <w:szCs w:val="20"/>
          <w:lang w:eastAsia="en-ZA"/>
        </w:rPr>
        <w:t>Appendix BAC7</w:t>
      </w:r>
      <w:r w:rsidRPr="00ED3FD3">
        <w:rPr>
          <w:rFonts w:ascii="Times New Roman" w:eastAsia="Times New Roman" w:hAnsi="Times New Roman" w:cs="Times New Roman"/>
          <w:sz w:val="20"/>
          <w:szCs w:val="20"/>
          <w:lang w:eastAsia="en-ZA"/>
        </w:rPr>
        <w:t xml:space="preserve">: The global native range of </w:t>
      </w:r>
      <w:r w:rsidRPr="00ED3FD3">
        <w:rPr>
          <w:rFonts w:ascii="Times New Roman" w:hAnsi="Times New Roman" w:cs="Times New Roman"/>
          <w:i/>
          <w:sz w:val="20"/>
          <w:szCs w:val="20"/>
        </w:rPr>
        <w:t xml:space="preserve">Pacifastacus leniusculus </w:t>
      </w:r>
      <w:r w:rsidRPr="00ED3FD3">
        <w:rPr>
          <w:rFonts w:ascii="Times New Roman" w:hAnsi="Times New Roman" w:cs="Times New Roman"/>
          <w:iCs/>
          <w:sz w:val="20"/>
          <w:szCs w:val="20"/>
        </w:rPr>
        <w:t>(Dana, 1852) indicated in orange (</w:t>
      </w:r>
      <w:r w:rsidRPr="00ED3FD3">
        <w:rPr>
          <w:rFonts w:ascii="Times New Roman" w:eastAsia="Calibri-Italic" w:hAnsi="Times New Roman" w:cs="Times New Roman"/>
          <w:sz w:val="20"/>
          <w:szCs w:val="20"/>
        </w:rPr>
        <w:t xml:space="preserve">The IUCN Red List of Threatened Species: </w:t>
      </w:r>
      <w:r w:rsidRPr="00ED3FD3">
        <w:rPr>
          <w:rFonts w:ascii="Times New Roman" w:eastAsia="Calibri-Italic" w:hAnsi="Times New Roman" w:cs="Times New Roman"/>
          <w:i/>
          <w:iCs/>
          <w:sz w:val="20"/>
          <w:szCs w:val="20"/>
        </w:rPr>
        <w:t>Pacifastacus leniusculus</w:t>
      </w:r>
      <w:r w:rsidRPr="00ED3FD3">
        <w:rPr>
          <w:rFonts w:ascii="Times New Roman" w:eastAsia="Calibri-Italic" w:hAnsi="Times New Roman" w:cs="Times New Roman"/>
          <w:sz w:val="20"/>
          <w:szCs w:val="20"/>
        </w:rPr>
        <w:t xml:space="preserve"> – published in 2010.</w:t>
      </w:r>
    </w:p>
    <w:p w14:paraId="301B4D80" w14:textId="77777777" w:rsidR="002D7080" w:rsidRPr="00ED3FD3" w:rsidRDefault="002D7080" w:rsidP="002D7080">
      <w:pPr>
        <w:rPr>
          <w:rFonts w:ascii="Times New Roman" w:eastAsia="Times New Roman" w:hAnsi="Times New Roman" w:cs="Times New Roman"/>
          <w:b/>
          <w:sz w:val="20"/>
          <w:szCs w:val="20"/>
          <w:lang w:eastAsia="en-ZA"/>
        </w:rPr>
      </w:pPr>
      <w:r w:rsidRPr="00ED3FD3">
        <w:rPr>
          <w:rFonts w:ascii="Times New Roman" w:eastAsia="Calibri-Italic" w:hAnsi="Times New Roman" w:cs="Times New Roman"/>
          <w:sz w:val="20"/>
          <w:szCs w:val="20"/>
        </w:rPr>
        <w:t>http://dx.doi.org/10.2305/IUCN.UK.2010-3.RLTS.T153648A4526314.en</w:t>
      </w:r>
      <w:r w:rsidRPr="00ED3FD3">
        <w:rPr>
          <w:rFonts w:ascii="Times New Roman" w:hAnsi="Times New Roman" w:cs="Times New Roman"/>
          <w:iCs/>
          <w:sz w:val="20"/>
          <w:szCs w:val="20"/>
        </w:rPr>
        <w:t xml:space="preserve">). </w:t>
      </w:r>
    </w:p>
    <w:p w14:paraId="2278EDC9" w14:textId="77777777" w:rsidR="002D7080" w:rsidRPr="00ED3FD3" w:rsidRDefault="002D7080" w:rsidP="002D7080">
      <w:pPr>
        <w:spacing w:after="0" w:line="240" w:lineRule="auto"/>
        <w:jc w:val="center"/>
        <w:rPr>
          <w:rFonts w:ascii="Times New Roman" w:hAnsi="Times New Roman" w:cs="Times New Roman"/>
          <w:sz w:val="20"/>
          <w:szCs w:val="20"/>
        </w:rPr>
      </w:pPr>
      <w:r w:rsidRPr="00ED3FD3">
        <w:rPr>
          <w:rFonts w:ascii="Times New Roman" w:hAnsi="Times New Roman" w:cs="Times New Roman"/>
          <w:noProof/>
          <w:sz w:val="20"/>
          <w:szCs w:val="20"/>
          <w:lang w:eastAsia="en-ZA"/>
        </w:rPr>
        <w:drawing>
          <wp:inline distT="0" distB="0" distL="0" distR="0" wp14:anchorId="41D49C96" wp14:editId="14880A4D">
            <wp:extent cx="4480560" cy="4114800"/>
            <wp:effectExtent l="0" t="0" r="0" b="0"/>
            <wp:docPr id="195135709"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35709" name="Picture 1" descr="A map of the world&#10;&#10;Description automatically generated"/>
                    <pic:cNvPicPr/>
                  </pic:nvPicPr>
                  <pic:blipFill>
                    <a:blip r:embed="rId445"/>
                    <a:stretch>
                      <a:fillRect/>
                    </a:stretch>
                  </pic:blipFill>
                  <pic:spPr>
                    <a:xfrm>
                      <a:off x="0" y="0"/>
                      <a:ext cx="4480560" cy="4114800"/>
                    </a:xfrm>
                    <a:prstGeom prst="rect">
                      <a:avLst/>
                    </a:prstGeom>
                  </pic:spPr>
                </pic:pic>
              </a:graphicData>
            </a:graphic>
          </wp:inline>
        </w:drawing>
      </w:r>
    </w:p>
    <w:p w14:paraId="1446FA09" w14:textId="77777777" w:rsidR="002D7080" w:rsidRPr="00ED3FD3" w:rsidRDefault="002D7080" w:rsidP="002D7080">
      <w:pPr>
        <w:spacing w:after="0" w:line="240" w:lineRule="auto"/>
        <w:rPr>
          <w:rFonts w:ascii="Times New Roman" w:hAnsi="Times New Roman" w:cs="Times New Roman"/>
          <w:sz w:val="20"/>
          <w:szCs w:val="20"/>
        </w:rPr>
      </w:pPr>
    </w:p>
    <w:p w14:paraId="01F2DFB9" w14:textId="77777777" w:rsidR="002D7080" w:rsidRPr="00ED3FD3" w:rsidRDefault="002D7080" w:rsidP="002D7080">
      <w:pPr>
        <w:spacing w:after="0" w:line="240" w:lineRule="auto"/>
        <w:rPr>
          <w:rFonts w:ascii="Times New Roman" w:eastAsia="Times New Roman" w:hAnsi="Times New Roman" w:cs="Times New Roman"/>
          <w:b/>
          <w:sz w:val="20"/>
          <w:szCs w:val="20"/>
          <w:lang w:eastAsia="en-ZA"/>
        </w:rPr>
      </w:pPr>
    </w:p>
    <w:p w14:paraId="5D7D7560" w14:textId="77777777" w:rsidR="002D7080" w:rsidRPr="00ED3FD3" w:rsidRDefault="002D7080" w:rsidP="002D7080">
      <w:pPr>
        <w:rPr>
          <w:rFonts w:ascii="Times New Roman" w:eastAsia="Times New Roman" w:hAnsi="Times New Roman" w:cs="Times New Roman"/>
          <w:b/>
          <w:sz w:val="20"/>
          <w:szCs w:val="20"/>
          <w:lang w:eastAsia="en-ZA"/>
        </w:rPr>
      </w:pPr>
      <w:r w:rsidRPr="00ED3FD3">
        <w:rPr>
          <w:rFonts w:ascii="Times New Roman" w:eastAsia="Times New Roman" w:hAnsi="Times New Roman" w:cs="Times New Roman"/>
          <w:b/>
          <w:sz w:val="20"/>
          <w:szCs w:val="20"/>
          <w:lang w:eastAsia="en-ZA"/>
        </w:rPr>
        <w:br w:type="page"/>
      </w:r>
    </w:p>
    <w:p w14:paraId="310CD46C" w14:textId="77777777" w:rsidR="002D7080" w:rsidRPr="00ED3FD3" w:rsidRDefault="002D7080" w:rsidP="002D7080">
      <w:pPr>
        <w:spacing w:after="0" w:line="240" w:lineRule="auto"/>
        <w:rPr>
          <w:rFonts w:ascii="Times New Roman" w:hAnsi="Times New Roman" w:cs="Times New Roman"/>
          <w:sz w:val="20"/>
          <w:szCs w:val="20"/>
        </w:rPr>
      </w:pPr>
      <w:r w:rsidRPr="00ED3FD3">
        <w:rPr>
          <w:rFonts w:ascii="Times New Roman" w:eastAsia="Times New Roman" w:hAnsi="Times New Roman" w:cs="Times New Roman"/>
          <w:b/>
          <w:sz w:val="20"/>
          <w:szCs w:val="20"/>
          <w:lang w:eastAsia="en-ZA"/>
        </w:rPr>
        <w:lastRenderedPageBreak/>
        <w:t>Appendix BAC8(a)</w:t>
      </w:r>
      <w:r w:rsidRPr="00ED3FD3">
        <w:rPr>
          <w:rFonts w:ascii="Times New Roman" w:eastAsia="Times New Roman" w:hAnsi="Times New Roman" w:cs="Times New Roman"/>
          <w:sz w:val="20"/>
          <w:szCs w:val="20"/>
          <w:lang w:eastAsia="en-ZA"/>
        </w:rPr>
        <w:t xml:space="preserve">: The global alien range of </w:t>
      </w:r>
      <w:r w:rsidRPr="00ED3FD3">
        <w:rPr>
          <w:rFonts w:ascii="Times New Roman" w:hAnsi="Times New Roman" w:cs="Times New Roman"/>
          <w:i/>
          <w:sz w:val="20"/>
          <w:szCs w:val="20"/>
        </w:rPr>
        <w:t xml:space="preserve">Pacifastacus leniusculus </w:t>
      </w:r>
      <w:r w:rsidRPr="00ED3FD3">
        <w:rPr>
          <w:rFonts w:ascii="Times New Roman" w:hAnsi="Times New Roman" w:cs="Times New Roman"/>
          <w:iCs/>
          <w:sz w:val="20"/>
          <w:szCs w:val="20"/>
        </w:rPr>
        <w:t>(Dana, 1852) indicated in pink (CABI 2021, from https://www.cabidigitallibrary.org/doi/10.1079/cabicompendium.70581) .</w:t>
      </w:r>
    </w:p>
    <w:p w14:paraId="543DF6F8" w14:textId="77777777" w:rsidR="002D7080" w:rsidRPr="00ED3FD3" w:rsidRDefault="002D7080" w:rsidP="002D7080">
      <w:pPr>
        <w:spacing w:after="0" w:line="240" w:lineRule="auto"/>
        <w:rPr>
          <w:rFonts w:ascii="Times New Roman" w:hAnsi="Times New Roman" w:cs="Times New Roman"/>
          <w:sz w:val="20"/>
          <w:szCs w:val="20"/>
        </w:rPr>
      </w:pPr>
    </w:p>
    <w:p w14:paraId="683869B9" w14:textId="77777777" w:rsidR="002D7080" w:rsidRPr="00ED3FD3" w:rsidRDefault="002D7080" w:rsidP="002D7080">
      <w:pPr>
        <w:spacing w:after="0" w:line="240" w:lineRule="auto"/>
        <w:jc w:val="center"/>
        <w:rPr>
          <w:rFonts w:ascii="Times New Roman" w:hAnsi="Times New Roman" w:cs="Times New Roman"/>
          <w:sz w:val="20"/>
          <w:szCs w:val="20"/>
        </w:rPr>
      </w:pPr>
      <w:r w:rsidRPr="00ED3FD3">
        <w:rPr>
          <w:rFonts w:ascii="Times New Roman" w:hAnsi="Times New Roman" w:cs="Times New Roman"/>
          <w:noProof/>
          <w:sz w:val="20"/>
          <w:szCs w:val="20"/>
          <w:lang w:eastAsia="en-ZA"/>
        </w:rPr>
        <w:drawing>
          <wp:inline distT="0" distB="0" distL="0" distR="0" wp14:anchorId="41FFDD5A" wp14:editId="0FDB9413">
            <wp:extent cx="4976037" cy="2549965"/>
            <wp:effectExtent l="0" t="0" r="0" b="3175"/>
            <wp:docPr id="1824664727" name="Picture 182466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446" cstate="print">
                      <a:extLst>
                        <a:ext uri="{28A0092B-C50C-407E-A947-70E740481C1C}">
                          <a14:useLocalDpi xmlns:a14="http://schemas.microsoft.com/office/drawing/2010/main" val="0"/>
                        </a:ext>
                      </a:extLst>
                    </a:blip>
                    <a:srcRect l="-198"/>
                    <a:stretch/>
                  </pic:blipFill>
                  <pic:spPr bwMode="auto">
                    <a:xfrm>
                      <a:off x="0" y="0"/>
                      <a:ext cx="4984662" cy="2554385"/>
                    </a:xfrm>
                    <a:prstGeom prst="rect">
                      <a:avLst/>
                    </a:prstGeom>
                    <a:ln>
                      <a:noFill/>
                    </a:ln>
                    <a:extLst>
                      <a:ext uri="{53640926-AAD7-44D8-BBD7-CCE9431645EC}">
                        <a14:shadowObscured xmlns:a14="http://schemas.microsoft.com/office/drawing/2010/main"/>
                      </a:ext>
                    </a:extLst>
                  </pic:spPr>
                </pic:pic>
              </a:graphicData>
            </a:graphic>
          </wp:inline>
        </w:drawing>
      </w:r>
    </w:p>
    <w:p w14:paraId="573CD20C" w14:textId="77777777" w:rsidR="002D7080" w:rsidRPr="00ED3FD3" w:rsidRDefault="002D7080" w:rsidP="002D7080">
      <w:pPr>
        <w:spacing w:after="0" w:line="240" w:lineRule="auto"/>
        <w:rPr>
          <w:rFonts w:ascii="Times New Roman" w:hAnsi="Times New Roman" w:cs="Times New Roman"/>
          <w:sz w:val="20"/>
          <w:szCs w:val="20"/>
        </w:rPr>
      </w:pPr>
    </w:p>
    <w:p w14:paraId="5352E927" w14:textId="77777777" w:rsidR="002D7080" w:rsidRPr="00ED3FD3" w:rsidRDefault="002D7080" w:rsidP="002D7080">
      <w:pPr>
        <w:spacing w:after="0" w:line="240" w:lineRule="auto"/>
        <w:rPr>
          <w:rFonts w:ascii="Times New Roman" w:hAnsi="Times New Roman" w:cs="Times New Roman"/>
          <w:sz w:val="20"/>
          <w:szCs w:val="20"/>
        </w:rPr>
      </w:pPr>
    </w:p>
    <w:p w14:paraId="2EC7725B" w14:textId="77777777" w:rsidR="002D7080" w:rsidRPr="00ED3FD3" w:rsidRDefault="002D7080" w:rsidP="002D7080">
      <w:pPr>
        <w:spacing w:after="0" w:line="240" w:lineRule="auto"/>
        <w:rPr>
          <w:rFonts w:ascii="Times New Roman" w:hAnsi="Times New Roman" w:cs="Times New Roman"/>
          <w:b/>
          <w:sz w:val="20"/>
          <w:szCs w:val="20"/>
        </w:rPr>
      </w:pPr>
      <w:r w:rsidRPr="00ED3FD3">
        <w:rPr>
          <w:rFonts w:ascii="Times New Roman" w:hAnsi="Times New Roman" w:cs="Times New Roman"/>
          <w:sz w:val="20"/>
          <w:szCs w:val="20"/>
        </w:rPr>
        <w:t xml:space="preserve"> </w:t>
      </w:r>
    </w:p>
    <w:p w14:paraId="347AEA32" w14:textId="77777777" w:rsidR="002D7080" w:rsidRPr="00ED3FD3" w:rsidRDefault="002D7080" w:rsidP="002D7080">
      <w:pPr>
        <w:rPr>
          <w:rFonts w:ascii="Times New Roman" w:eastAsia="Calibri" w:hAnsi="Times New Roman" w:cs="Times New Roman"/>
          <w:b/>
          <w:bCs/>
          <w:sz w:val="20"/>
          <w:szCs w:val="20"/>
        </w:rPr>
      </w:pPr>
      <w:r w:rsidRPr="00ED3FD3">
        <w:rPr>
          <w:rFonts w:ascii="Times New Roman" w:eastAsia="Calibri" w:hAnsi="Times New Roman" w:cs="Times New Roman"/>
          <w:b/>
          <w:bCs/>
          <w:sz w:val="20"/>
          <w:szCs w:val="20"/>
        </w:rPr>
        <w:br w:type="page"/>
      </w:r>
    </w:p>
    <w:p w14:paraId="6A775189" w14:textId="74103E3E" w:rsidR="002D7080" w:rsidRPr="005A2F10" w:rsidRDefault="009962CF" w:rsidP="002D7080">
      <w:pPr>
        <w:pStyle w:val="Heading2"/>
        <w:rPr>
          <w:rFonts w:ascii="Times New Roman" w:eastAsia="Calibri" w:hAnsi="Times New Roman" w:cs="Times New Roman"/>
          <w:color w:val="auto"/>
          <w:sz w:val="28"/>
          <w:szCs w:val="28"/>
        </w:rPr>
      </w:pPr>
      <w:r>
        <w:rPr>
          <w:rFonts w:ascii="Times New Roman" w:eastAsia="Calibri" w:hAnsi="Times New Roman" w:cs="Times New Roman"/>
          <w:color w:val="auto"/>
          <w:sz w:val="28"/>
          <w:szCs w:val="28"/>
        </w:rPr>
        <w:lastRenderedPageBreak/>
        <w:t>1</w:t>
      </w:r>
      <w:r w:rsidR="002D7080" w:rsidRPr="005A2F10">
        <w:rPr>
          <w:rFonts w:ascii="Times New Roman" w:eastAsia="Calibri" w:hAnsi="Times New Roman" w:cs="Times New Roman"/>
          <w:color w:val="auto"/>
          <w:sz w:val="28"/>
          <w:szCs w:val="28"/>
        </w:rPr>
        <w:t>.11 Risk analysis report for Danube crayfish (</w:t>
      </w:r>
      <w:r w:rsidR="002D7080" w:rsidRPr="005A2F10">
        <w:rPr>
          <w:rFonts w:ascii="Times New Roman" w:eastAsia="Calibri" w:hAnsi="Times New Roman" w:cs="Times New Roman"/>
          <w:i/>
          <w:iCs/>
          <w:color w:val="auto"/>
          <w:sz w:val="28"/>
          <w:szCs w:val="28"/>
        </w:rPr>
        <w:t>Pontastacus leptodactylus</w:t>
      </w:r>
      <w:r w:rsidR="002D7080" w:rsidRPr="005A2F10">
        <w:rPr>
          <w:rFonts w:ascii="Times New Roman" w:eastAsia="Calibri" w:hAnsi="Times New Roman" w:cs="Times New Roman"/>
          <w:color w:val="auto"/>
          <w:sz w:val="28"/>
          <w:szCs w:val="28"/>
        </w:rPr>
        <w:t>)</w:t>
      </w:r>
    </w:p>
    <w:p w14:paraId="7E7FD8A5" w14:textId="77777777" w:rsidR="002D7080" w:rsidRPr="004D1E6F" w:rsidRDefault="002D7080" w:rsidP="002D7080">
      <w:pPr>
        <w:spacing w:after="0" w:line="240" w:lineRule="auto"/>
        <w:rPr>
          <w:rFonts w:ascii="Times New Roman" w:eastAsia="Calibri" w:hAnsi="Times New Roman" w:cs="Times New Roman"/>
          <w:b/>
          <w:i/>
          <w:sz w:val="20"/>
          <w:szCs w:val="20"/>
        </w:rPr>
      </w:pPr>
    </w:p>
    <w:tbl>
      <w:tblPr>
        <w:tblStyle w:val="TableGrid19"/>
        <w:tblW w:w="0" w:type="auto"/>
        <w:tblLook w:val="04A0" w:firstRow="1" w:lastRow="0" w:firstColumn="1" w:lastColumn="0" w:noHBand="0" w:noVBand="1"/>
      </w:tblPr>
      <w:tblGrid>
        <w:gridCol w:w="4072"/>
        <w:gridCol w:w="2617"/>
        <w:gridCol w:w="2327"/>
      </w:tblGrid>
      <w:tr w:rsidR="002D7080" w:rsidRPr="004D1E6F" w14:paraId="7C9C1FD0" w14:textId="77777777" w:rsidTr="002E2C37">
        <w:trPr>
          <w:trHeight w:val="140"/>
        </w:trPr>
        <w:tc>
          <w:tcPr>
            <w:tcW w:w="4218" w:type="dxa"/>
          </w:tcPr>
          <w:p w14:paraId="09A73705"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i/>
                <w:sz w:val="20"/>
                <w:szCs w:val="20"/>
              </w:rPr>
              <w:t xml:space="preserve">Taxon: </w:t>
            </w:r>
            <w:r w:rsidRPr="004D1E6F">
              <w:rPr>
                <w:rFonts w:ascii="Times New Roman" w:eastAsia="Calibri" w:hAnsi="Times New Roman" w:cs="Times New Roman"/>
                <w:i/>
                <w:sz w:val="20"/>
                <w:szCs w:val="20"/>
              </w:rPr>
              <w:t>Pontastacus leptodactylus</w:t>
            </w:r>
          </w:p>
        </w:tc>
        <w:tc>
          <w:tcPr>
            <w:tcW w:w="5024" w:type="dxa"/>
            <w:gridSpan w:val="2"/>
          </w:tcPr>
          <w:p w14:paraId="6EF65EB4"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i/>
                <w:sz w:val="20"/>
                <w:szCs w:val="20"/>
              </w:rPr>
              <w:t xml:space="preserve">Area: </w:t>
            </w:r>
            <w:r w:rsidRPr="004D1E6F">
              <w:rPr>
                <w:rFonts w:ascii="Times New Roman" w:eastAsia="Calibri" w:hAnsi="Times New Roman" w:cs="Times New Roman"/>
                <w:sz w:val="20"/>
                <w:szCs w:val="20"/>
              </w:rPr>
              <w:t>South Africa</w:t>
            </w:r>
          </w:p>
        </w:tc>
      </w:tr>
      <w:tr w:rsidR="002D7080" w:rsidRPr="004D1E6F" w14:paraId="6A9811F2" w14:textId="77777777" w:rsidTr="002E2C37">
        <w:trPr>
          <w:trHeight w:val="2217"/>
        </w:trPr>
        <w:tc>
          <w:tcPr>
            <w:tcW w:w="4218" w:type="dxa"/>
          </w:tcPr>
          <w:p w14:paraId="0C7D7BA8" w14:textId="77777777" w:rsidR="002D7080" w:rsidRPr="004D1E6F" w:rsidRDefault="002D7080" w:rsidP="002E2C37">
            <w:pPr>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 xml:space="preserve">Picture of </w:t>
            </w:r>
            <w:r w:rsidRPr="004D1E6F">
              <w:rPr>
                <w:rFonts w:ascii="Times New Roman" w:eastAsia="Calibri" w:hAnsi="Times New Roman" w:cs="Times New Roman"/>
                <w:b/>
                <w:i/>
                <w:sz w:val="20"/>
                <w:szCs w:val="20"/>
              </w:rPr>
              <w:t>Taxon</w:t>
            </w:r>
          </w:p>
          <w:p w14:paraId="44FD90B5" w14:textId="77777777" w:rsidR="002D7080" w:rsidRPr="004D1E6F" w:rsidRDefault="002D7080" w:rsidP="002E2C37">
            <w:pPr>
              <w:jc w:val="center"/>
              <w:rPr>
                <w:rFonts w:ascii="Times New Roman" w:eastAsia="Calibri" w:hAnsi="Times New Roman" w:cs="Times New Roman"/>
                <w:sz w:val="20"/>
                <w:szCs w:val="20"/>
              </w:rPr>
            </w:pPr>
          </w:p>
          <w:p w14:paraId="4EA53DD4" w14:textId="77777777" w:rsidR="002D7080" w:rsidRPr="004D1E6F" w:rsidRDefault="002D7080" w:rsidP="002E2C37">
            <w:pPr>
              <w:jc w:val="center"/>
              <w:rPr>
                <w:rFonts w:ascii="Times New Roman" w:eastAsia="Calibri" w:hAnsi="Times New Roman" w:cs="Times New Roman"/>
                <w:sz w:val="20"/>
                <w:szCs w:val="20"/>
              </w:rPr>
            </w:pPr>
            <w:r>
              <w:rPr>
                <w:rFonts w:ascii="Times New Roman" w:eastAsia="Calibri" w:hAnsi="Times New Roman" w:cs="Times New Roman"/>
                <w:noProof/>
                <w:sz w:val="20"/>
                <w:szCs w:val="20"/>
                <w:lang w:eastAsia="en-ZA"/>
              </w:rPr>
              <w:drawing>
                <wp:inline distT="0" distB="0" distL="0" distR="0" wp14:anchorId="75CC503A" wp14:editId="74FBA4DD">
                  <wp:extent cx="2009775" cy="1504950"/>
                  <wp:effectExtent l="0" t="0" r="9525" b="0"/>
                  <wp:docPr id="1966722055" name="Picture 23" descr="A close-up of a lob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722055" name="Picture 23" descr="A close-up of a lobster&#10;&#10;AI-generated content may be incorrect."/>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pic:spPr>
                      </pic:pic>
                    </a:graphicData>
                  </a:graphic>
                </wp:inline>
              </w:drawing>
            </w:r>
          </w:p>
          <w:p w14:paraId="3441D232" w14:textId="77777777" w:rsidR="002D7080" w:rsidRPr="004D1E6F" w:rsidRDefault="002D7080" w:rsidP="002E2C37">
            <w:pPr>
              <w:jc w:val="center"/>
              <w:rPr>
                <w:rFonts w:ascii="Times New Roman" w:eastAsia="Calibri" w:hAnsi="Times New Roman" w:cs="Times New Roman"/>
                <w:sz w:val="20"/>
                <w:szCs w:val="20"/>
              </w:rPr>
            </w:pPr>
          </w:p>
          <w:p w14:paraId="5C299C62" w14:textId="77777777" w:rsidR="002D7080" w:rsidRPr="004D1E6F" w:rsidRDefault="002D7080" w:rsidP="002E2C37">
            <w:pPr>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Photo:</w:t>
            </w:r>
            <w:r>
              <w:rPr>
                <w:rFonts w:ascii="Times New Roman" w:eastAsia="Calibri" w:hAnsi="Times New Roman" w:cs="Times New Roman"/>
                <w:sz w:val="20"/>
                <w:szCs w:val="20"/>
              </w:rPr>
              <w:t xml:space="preserve"> FAO</w:t>
            </w:r>
          </w:p>
        </w:tc>
        <w:tc>
          <w:tcPr>
            <w:tcW w:w="5024" w:type="dxa"/>
            <w:gridSpan w:val="2"/>
          </w:tcPr>
          <w:p w14:paraId="43613BBC"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Alien distribution map</w:t>
            </w:r>
          </w:p>
          <w:p w14:paraId="043D76DD" w14:textId="77777777" w:rsidR="002D7080" w:rsidRPr="004D1E6F" w:rsidRDefault="002D7080" w:rsidP="002E2C37">
            <w:pPr>
              <w:rPr>
                <w:rFonts w:ascii="Times New Roman" w:eastAsia="Calibri" w:hAnsi="Times New Roman" w:cs="Times New Roman"/>
                <w:b/>
                <w:sz w:val="20"/>
                <w:szCs w:val="20"/>
              </w:rPr>
            </w:pPr>
            <w:r w:rsidRPr="003D3ECB">
              <w:rPr>
                <w:rFonts w:ascii="Times New Roman" w:eastAsia="Calibri" w:hAnsi="Times New Roman" w:cs="Times New Roman"/>
                <w:b/>
                <w:noProof/>
                <w:sz w:val="20"/>
                <w:szCs w:val="20"/>
                <w:lang w:eastAsia="en-ZA"/>
              </w:rPr>
              <w:drawing>
                <wp:inline distT="0" distB="0" distL="0" distR="0" wp14:anchorId="2B697241" wp14:editId="74F0AA78">
                  <wp:extent cx="2768960" cy="1364343"/>
                  <wp:effectExtent l="0" t="0" r="0" b="7620"/>
                  <wp:docPr id="4" name="Picture 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map of the world&#10;&#10;AI-generated content may be incorrect."/>
                          <pic:cNvPicPr/>
                        </pic:nvPicPr>
                        <pic:blipFill rotWithShape="1">
                          <a:blip r:embed="rId448" cstate="print">
                            <a:extLst>
                              <a:ext uri="{28A0092B-C50C-407E-A947-70E740481C1C}">
                                <a14:useLocalDpi xmlns:a14="http://schemas.microsoft.com/office/drawing/2010/main" val="0"/>
                              </a:ext>
                            </a:extLst>
                          </a:blip>
                          <a:srcRect/>
                          <a:stretch/>
                        </pic:blipFill>
                        <pic:spPr bwMode="auto">
                          <a:xfrm rot="10800000" flipH="1" flipV="1">
                            <a:off x="0" y="0"/>
                            <a:ext cx="2771544" cy="1365616"/>
                          </a:xfrm>
                          <a:prstGeom prst="rect">
                            <a:avLst/>
                          </a:prstGeom>
                          <a:ln>
                            <a:noFill/>
                          </a:ln>
                          <a:extLst>
                            <a:ext uri="{53640926-AAD7-44D8-BBD7-CCE9431645EC}">
                              <a14:shadowObscured xmlns:a14="http://schemas.microsoft.com/office/drawing/2010/main"/>
                            </a:ext>
                          </a:extLst>
                        </pic:spPr>
                      </pic:pic>
                    </a:graphicData>
                  </a:graphic>
                </wp:inline>
              </w:drawing>
            </w:r>
          </w:p>
          <w:p w14:paraId="4505AE6A" w14:textId="77777777" w:rsidR="002D7080" w:rsidRPr="004D1E6F" w:rsidRDefault="002D7080" w:rsidP="002E2C37">
            <w:pPr>
              <w:rPr>
                <w:rFonts w:ascii="Times New Roman" w:eastAsia="Calibri" w:hAnsi="Times New Roman" w:cs="Times New Roman"/>
                <w:b/>
                <w:sz w:val="20"/>
                <w:szCs w:val="20"/>
              </w:rPr>
            </w:pPr>
          </w:p>
          <w:p w14:paraId="0600DFD8" w14:textId="77777777" w:rsidR="002D7080" w:rsidRPr="004D1E6F" w:rsidRDefault="002D7080" w:rsidP="002E2C37">
            <w:pPr>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Reference: GBIF, 2023</w:t>
            </w:r>
          </w:p>
        </w:tc>
      </w:tr>
      <w:tr w:rsidR="002D7080" w:rsidRPr="004D1E6F" w14:paraId="530C2C37" w14:textId="77777777" w:rsidTr="002E2C37">
        <w:trPr>
          <w:trHeight w:val="746"/>
        </w:trPr>
        <w:tc>
          <w:tcPr>
            <w:tcW w:w="6858" w:type="dxa"/>
            <w:gridSpan w:val="2"/>
          </w:tcPr>
          <w:p w14:paraId="66F55EC2" w14:textId="77777777" w:rsidR="002D7080" w:rsidRPr="0059271E" w:rsidRDefault="002D7080" w:rsidP="002E2C37">
            <w:pPr>
              <w:jc w:val="both"/>
              <w:rPr>
                <w:rFonts w:ascii="Times New Roman" w:eastAsia="Times New Roman" w:hAnsi="Times New Roman" w:cs="Times New Roman"/>
                <w:iCs/>
                <w:sz w:val="20"/>
                <w:szCs w:val="20"/>
                <w:lang w:eastAsia="en-ZA"/>
              </w:rPr>
            </w:pPr>
            <w:r w:rsidRPr="004D1E6F">
              <w:rPr>
                <w:rFonts w:ascii="Times New Roman" w:eastAsia="Calibri" w:hAnsi="Times New Roman" w:cs="Times New Roman"/>
                <w:b/>
                <w:sz w:val="20"/>
                <w:szCs w:val="20"/>
              </w:rPr>
              <w:t>Risk Assessment summary:</w:t>
            </w:r>
            <w:r w:rsidRPr="004D1E6F">
              <w:rPr>
                <w:rFonts w:ascii="Times New Roman" w:eastAsia="Calibri" w:hAnsi="Times New Roman" w:cs="Times New Roman"/>
                <w:b/>
                <w:sz w:val="20"/>
                <w:szCs w:val="20"/>
              </w:rPr>
              <w:br/>
            </w:r>
            <w:r>
              <w:rPr>
                <w:rFonts w:ascii="Times New Roman" w:eastAsia="Calibri" w:hAnsi="Times New Roman" w:cs="Times New Roman"/>
                <w:iCs/>
                <w:sz w:val="20"/>
                <w:szCs w:val="20"/>
              </w:rPr>
              <w:t>N</w:t>
            </w:r>
            <w:r w:rsidRPr="004D1E6F">
              <w:rPr>
                <w:rFonts w:ascii="Times New Roman" w:eastAsia="Calibri" w:hAnsi="Times New Roman" w:cs="Times New Roman"/>
                <w:iCs/>
                <w:sz w:val="20"/>
                <w:szCs w:val="20"/>
              </w:rPr>
              <w:t>arrow-clawed crayfish</w:t>
            </w:r>
            <w:r w:rsidRPr="004D1E6F">
              <w:rPr>
                <w:rFonts w:ascii="Times New Roman" w:eastAsia="Calibri" w:hAnsi="Times New Roman" w:cs="Times New Roman"/>
                <w:i/>
                <w:iCs/>
                <w:sz w:val="20"/>
                <w:szCs w:val="20"/>
              </w:rPr>
              <w:t xml:space="preserve"> </w:t>
            </w:r>
            <w:r w:rsidRPr="004D1E6F">
              <w:rPr>
                <w:rFonts w:ascii="Times New Roman" w:eastAsia="Calibri" w:hAnsi="Times New Roman" w:cs="Times New Roman"/>
                <w:iCs/>
                <w:sz w:val="20"/>
                <w:szCs w:val="20"/>
              </w:rPr>
              <w:t>(</w:t>
            </w:r>
            <w:r w:rsidRPr="004D1E6F">
              <w:rPr>
                <w:rFonts w:ascii="Times New Roman" w:eastAsia="Calibri" w:hAnsi="Times New Roman" w:cs="Times New Roman"/>
                <w:i/>
                <w:sz w:val="20"/>
                <w:szCs w:val="20"/>
              </w:rPr>
              <w:t>Pontastacus leptodactylus</w:t>
            </w:r>
            <w:r w:rsidRPr="004D1E6F">
              <w:rPr>
                <w:rFonts w:ascii="Times New Roman" w:eastAsia="Calibri" w:hAnsi="Times New Roman" w:cs="Times New Roman"/>
                <w:sz w:val="20"/>
                <w:szCs w:val="20"/>
              </w:rPr>
              <w:t>)</w:t>
            </w:r>
            <w:r>
              <w:rPr>
                <w:rFonts w:ascii="Times New Roman" w:eastAsia="Calibri" w:hAnsi="Times New Roman" w:cs="Times New Roman"/>
                <w:sz w:val="20"/>
                <w:szCs w:val="20"/>
              </w:rPr>
              <w:t xml:space="preserve"> are native to </w:t>
            </w:r>
            <w:r>
              <w:rPr>
                <w:rFonts w:ascii="Times New Roman" w:eastAsia="Times New Roman" w:hAnsi="Times New Roman" w:cs="Times New Roman"/>
                <w:sz w:val="20"/>
                <w:szCs w:val="20"/>
                <w:lang w:eastAsia="en-ZA"/>
              </w:rPr>
              <w:t xml:space="preserve">eastern Europe but have been introduced to several countries in western Europe. </w:t>
            </w:r>
            <w:r w:rsidRPr="006036FA">
              <w:rPr>
                <w:rFonts w:ascii="Times New Roman" w:hAnsi="Times New Roman" w:cs="Times New Roman"/>
                <w:sz w:val="20"/>
                <w:szCs w:val="20"/>
              </w:rPr>
              <w:t xml:space="preserve">There are no know populations of </w:t>
            </w:r>
            <w:r w:rsidRPr="004D1E6F">
              <w:rPr>
                <w:rFonts w:ascii="Times New Roman" w:eastAsia="Calibri" w:hAnsi="Times New Roman" w:cs="Times New Roman"/>
                <w:i/>
                <w:sz w:val="20"/>
                <w:szCs w:val="20"/>
              </w:rPr>
              <w:t>P</w:t>
            </w:r>
            <w:r>
              <w:rPr>
                <w:rFonts w:ascii="Times New Roman" w:eastAsia="Calibri" w:hAnsi="Times New Roman" w:cs="Times New Roman"/>
                <w:i/>
                <w:sz w:val="20"/>
                <w:szCs w:val="20"/>
              </w:rPr>
              <w:t xml:space="preserve">. </w:t>
            </w:r>
            <w:r w:rsidRPr="004D1E6F">
              <w:rPr>
                <w:rFonts w:ascii="Times New Roman" w:eastAsia="Calibri" w:hAnsi="Times New Roman" w:cs="Times New Roman"/>
                <w:i/>
                <w:sz w:val="20"/>
                <w:szCs w:val="20"/>
              </w:rPr>
              <w:t>leptodactylus</w:t>
            </w:r>
            <w:r>
              <w:rPr>
                <w:rFonts w:ascii="Times New Roman" w:eastAsia="Calibri" w:hAnsi="Times New Roman" w:cs="Times New Roman"/>
                <w:i/>
                <w:sz w:val="20"/>
                <w:szCs w:val="20"/>
              </w:rPr>
              <w:t xml:space="preserve"> </w:t>
            </w:r>
            <w:r w:rsidRPr="006036FA">
              <w:rPr>
                <w:rFonts w:ascii="Times New Roman" w:hAnsi="Times New Roman" w:cs="Times New Roman"/>
                <w:sz w:val="20"/>
                <w:szCs w:val="20"/>
              </w:rPr>
              <w:t xml:space="preserve">in South Africa </w:t>
            </w:r>
            <w:r>
              <w:rPr>
                <w:rFonts w:ascii="Times New Roman" w:hAnsi="Times New Roman" w:cs="Times New Roman"/>
                <w:sz w:val="20"/>
                <w:szCs w:val="20"/>
              </w:rPr>
              <w:t xml:space="preserve">and </w:t>
            </w:r>
            <w:r w:rsidRPr="006036FA">
              <w:rPr>
                <w:rFonts w:ascii="Times New Roman" w:hAnsi="Times New Roman" w:cs="Times New Roman"/>
                <w:sz w:val="20"/>
                <w:szCs w:val="20"/>
              </w:rPr>
              <w:t>in neighbouring countries, therefore via unaided pathways is unlikely.</w:t>
            </w:r>
            <w:r>
              <w:rPr>
                <w:rFonts w:ascii="Times New Roman" w:hAnsi="Times New Roman" w:cs="Times New Roman"/>
                <w:sz w:val="20"/>
                <w:szCs w:val="20"/>
              </w:rPr>
              <w:t xml:space="preserve"> </w:t>
            </w:r>
            <w:r w:rsidRPr="006036FA">
              <w:rPr>
                <w:rFonts w:ascii="Times New Roman" w:hAnsi="Times New Roman" w:cs="Times New Roman"/>
                <w:sz w:val="20"/>
                <w:szCs w:val="20"/>
              </w:rPr>
              <w:t xml:space="preserve">The illegal pet trade industry remains a concern because </w:t>
            </w:r>
            <w:r w:rsidRPr="004D1E6F">
              <w:rPr>
                <w:rFonts w:ascii="Times New Roman" w:eastAsia="Calibri" w:hAnsi="Times New Roman" w:cs="Times New Roman"/>
                <w:i/>
                <w:sz w:val="20"/>
                <w:szCs w:val="20"/>
              </w:rPr>
              <w:t>P</w:t>
            </w:r>
            <w:r>
              <w:rPr>
                <w:rFonts w:ascii="Times New Roman" w:eastAsia="Calibri" w:hAnsi="Times New Roman" w:cs="Times New Roman"/>
                <w:i/>
                <w:sz w:val="20"/>
                <w:szCs w:val="20"/>
              </w:rPr>
              <w:t>.</w:t>
            </w:r>
            <w:r w:rsidRPr="004D1E6F">
              <w:rPr>
                <w:rFonts w:ascii="Times New Roman" w:eastAsia="Calibri" w:hAnsi="Times New Roman" w:cs="Times New Roman"/>
                <w:i/>
                <w:sz w:val="20"/>
                <w:szCs w:val="20"/>
              </w:rPr>
              <w:t xml:space="preserve"> leptodactylus</w:t>
            </w:r>
            <w:r>
              <w:rPr>
                <w:rFonts w:ascii="Times New Roman" w:eastAsia="Calibri" w:hAnsi="Times New Roman" w:cs="Times New Roman"/>
                <w:i/>
                <w:sz w:val="20"/>
                <w:szCs w:val="20"/>
              </w:rPr>
              <w:t xml:space="preserve"> </w:t>
            </w:r>
            <w:r w:rsidRPr="006036FA">
              <w:rPr>
                <w:rFonts w:ascii="Times New Roman" w:hAnsi="Times New Roman" w:cs="Times New Roman"/>
                <w:sz w:val="20"/>
                <w:szCs w:val="20"/>
              </w:rPr>
              <w:t>may be moved around by humans and there is a high risk of release of unwanted pets</w:t>
            </w:r>
            <w:r>
              <w:rPr>
                <w:rFonts w:ascii="Times New Roman" w:hAnsi="Times New Roman" w:cs="Times New Roman"/>
                <w:sz w:val="20"/>
                <w:szCs w:val="20"/>
              </w:rPr>
              <w:t xml:space="preserve">. </w:t>
            </w:r>
            <w:r w:rsidRPr="006036FA">
              <w:rPr>
                <w:rFonts w:ascii="Times New Roman" w:hAnsi="Times New Roman" w:cs="Times New Roman"/>
                <w:sz w:val="20"/>
                <w:szCs w:val="20"/>
              </w:rPr>
              <w:t xml:space="preserve"> </w:t>
            </w:r>
            <w:r w:rsidRPr="004D1E6F">
              <w:rPr>
                <w:rFonts w:ascii="Times New Roman" w:eastAsia="Calibri" w:hAnsi="Times New Roman" w:cs="Times New Roman"/>
                <w:sz w:val="20"/>
                <w:szCs w:val="20"/>
              </w:rPr>
              <w:t xml:space="preserve">There are no documented impacts from </w:t>
            </w:r>
            <w:r w:rsidRPr="004D1E6F">
              <w:rPr>
                <w:rFonts w:ascii="Times New Roman" w:eastAsia="Calibri" w:hAnsi="Times New Roman" w:cs="Times New Roman"/>
                <w:i/>
                <w:sz w:val="20"/>
                <w:szCs w:val="20"/>
              </w:rPr>
              <w:t>P. leptodactylus</w:t>
            </w:r>
            <w:r w:rsidRPr="004D1E6F">
              <w:rPr>
                <w:rFonts w:ascii="Times New Roman" w:eastAsia="Calibri" w:hAnsi="Times New Roman" w:cs="Times New Roman"/>
                <w:sz w:val="20"/>
                <w:szCs w:val="20"/>
              </w:rPr>
              <w:t xml:space="preserve">, and potential impacts were inferred from </w:t>
            </w:r>
            <w:r w:rsidRPr="004D1E6F">
              <w:rPr>
                <w:rFonts w:ascii="Times New Roman" w:eastAsia="Calibri" w:hAnsi="Times New Roman" w:cs="Times New Roman"/>
                <w:i/>
                <w:sz w:val="20"/>
                <w:szCs w:val="20"/>
              </w:rPr>
              <w:t>Pacifastacus leniusculus</w:t>
            </w:r>
            <w:r>
              <w:rPr>
                <w:rFonts w:ascii="Times New Roman" w:eastAsia="Calibri" w:hAnsi="Times New Roman" w:cs="Times New Roman"/>
                <w:i/>
                <w:sz w:val="20"/>
                <w:szCs w:val="20"/>
              </w:rPr>
              <w:t xml:space="preserve">. </w:t>
            </w:r>
            <w:r w:rsidRPr="004D1E6F">
              <w:rPr>
                <w:rFonts w:ascii="Times New Roman" w:hAnsi="Times New Roman" w:cs="Times New Roman"/>
                <w:sz w:val="20"/>
                <w:szCs w:val="20"/>
              </w:rPr>
              <w:t xml:space="preserve">In the </w:t>
            </w:r>
            <w:r w:rsidRPr="004D1E6F">
              <w:rPr>
                <w:rFonts w:ascii="Times New Roman" w:hAnsi="Times New Roman" w:cs="Times New Roman"/>
                <w:iCs/>
                <w:sz w:val="20"/>
                <w:szCs w:val="20"/>
              </w:rPr>
              <w:t xml:space="preserve">introduced range, </w:t>
            </w:r>
            <w:r w:rsidRPr="004D1E6F">
              <w:rPr>
                <w:rFonts w:ascii="Times New Roman" w:hAnsi="Times New Roman" w:cs="Times New Roman"/>
                <w:i/>
                <w:iCs/>
                <w:sz w:val="20"/>
                <w:szCs w:val="20"/>
              </w:rPr>
              <w:t>P. leniusculus</w:t>
            </w:r>
            <w:r w:rsidRPr="004D1E6F">
              <w:rPr>
                <w:rFonts w:ascii="Times New Roman" w:hAnsi="Times New Roman" w:cs="Times New Roman"/>
                <w:sz w:val="20"/>
                <w:szCs w:val="20"/>
              </w:rPr>
              <w:t xml:space="preserve"> has displaced native crayfish species through the transmission of crayfish plague and outcompeting them for food and shelter. </w:t>
            </w:r>
            <w:r w:rsidRPr="004D1E6F">
              <w:rPr>
                <w:rFonts w:ascii="Times New Roman" w:hAnsi="Times New Roman" w:cs="Times New Roman"/>
                <w:i/>
                <w:iCs/>
                <w:sz w:val="20"/>
                <w:szCs w:val="20"/>
              </w:rPr>
              <w:t>Pacifastacus leniusculus</w:t>
            </w:r>
            <w:r w:rsidRPr="004D1E6F">
              <w:rPr>
                <w:rFonts w:ascii="Times New Roman" w:hAnsi="Times New Roman" w:cs="Times New Roman"/>
                <w:sz w:val="20"/>
                <w:szCs w:val="20"/>
              </w:rPr>
              <w:t xml:space="preserve"> has also caused negative impacts on macroinvertebrate communities through predation. Although t</w:t>
            </w:r>
            <w:r w:rsidRPr="004D1E6F">
              <w:rPr>
                <w:rFonts w:ascii="Times New Roman" w:eastAsia="Times New Roman" w:hAnsi="Times New Roman" w:cs="Times New Roman"/>
                <w:iCs/>
                <w:sz w:val="20"/>
                <w:szCs w:val="20"/>
                <w:lang w:eastAsia="en-ZA"/>
              </w:rPr>
              <w:t>here are no native crayfish species in South Africa, the crayfish plague has been shown to infect other freshwater decapods and introduced crayfish have the potential to outcompete native decapods such as potamonautid crabs.</w:t>
            </w:r>
          </w:p>
        </w:tc>
        <w:tc>
          <w:tcPr>
            <w:tcW w:w="2384" w:type="dxa"/>
          </w:tcPr>
          <w:p w14:paraId="6E411D41"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b/>
                <w:sz w:val="20"/>
                <w:szCs w:val="20"/>
              </w:rPr>
              <w:t>Risk score:</w:t>
            </w:r>
            <w:r w:rsidRPr="004D1E6F">
              <w:rPr>
                <w:rFonts w:ascii="Times New Roman" w:eastAsia="Calibri" w:hAnsi="Times New Roman" w:cs="Times New Roman"/>
                <w:b/>
                <w:sz w:val="20"/>
                <w:szCs w:val="20"/>
              </w:rPr>
              <w:br/>
            </w:r>
            <w:r w:rsidRPr="004D1E6F">
              <w:rPr>
                <w:rFonts w:ascii="Times New Roman" w:eastAsia="Calibri" w:hAnsi="Times New Roman" w:cs="Times New Roman"/>
                <w:sz w:val="20"/>
                <w:szCs w:val="20"/>
              </w:rPr>
              <w:t>High</w:t>
            </w:r>
          </w:p>
        </w:tc>
      </w:tr>
      <w:tr w:rsidR="002D7080" w:rsidRPr="004D1E6F" w14:paraId="076D8E56" w14:textId="77777777" w:rsidTr="002E2C37">
        <w:trPr>
          <w:trHeight w:val="852"/>
        </w:trPr>
        <w:tc>
          <w:tcPr>
            <w:tcW w:w="6858" w:type="dxa"/>
            <w:gridSpan w:val="2"/>
          </w:tcPr>
          <w:p w14:paraId="15091F83" w14:textId="77777777" w:rsidR="002D7080" w:rsidRPr="004D1E6F" w:rsidRDefault="002D7080" w:rsidP="002E2C37">
            <w:pPr>
              <w:jc w:val="both"/>
              <w:rPr>
                <w:rFonts w:ascii="Times New Roman" w:eastAsia="Calibri" w:hAnsi="Times New Roman" w:cs="Times New Roman"/>
                <w:b/>
                <w:sz w:val="20"/>
                <w:szCs w:val="20"/>
              </w:rPr>
            </w:pPr>
            <w:r w:rsidRPr="004D1E6F">
              <w:rPr>
                <w:rFonts w:ascii="Times New Roman" w:eastAsia="Calibri" w:hAnsi="Times New Roman" w:cs="Times New Roman"/>
                <w:b/>
                <w:sz w:val="20"/>
                <w:szCs w:val="20"/>
              </w:rPr>
              <w:t>Management options summary:</w:t>
            </w:r>
            <w:r>
              <w:rPr>
                <w:rFonts w:ascii="Times New Roman" w:eastAsia="Calibri" w:hAnsi="Times New Roman" w:cs="Times New Roman"/>
                <w:b/>
                <w:sz w:val="20"/>
                <w:szCs w:val="20"/>
              </w:rPr>
              <w:t xml:space="preserve"> </w:t>
            </w:r>
            <w:r w:rsidRPr="004D1E6F">
              <w:rPr>
                <w:rFonts w:ascii="Times New Roman" w:eastAsia="Calibri" w:hAnsi="Times New Roman" w:cs="Times New Roman"/>
                <w:b/>
                <w:sz w:val="20"/>
                <w:szCs w:val="20"/>
              </w:rPr>
              <w:br/>
            </w:r>
            <w:r w:rsidRPr="004D1E6F">
              <w:rPr>
                <w:rFonts w:ascii="Times New Roman" w:eastAsia="Calibri" w:hAnsi="Times New Roman" w:cs="Times New Roman"/>
                <w:i/>
                <w:sz w:val="20"/>
                <w:szCs w:val="20"/>
              </w:rPr>
              <w:t>Pontastacus leptodactylus</w:t>
            </w:r>
            <w:r w:rsidRPr="004D1E6F">
              <w:rPr>
                <w:rFonts w:ascii="Times New Roman" w:hAnsi="Times New Roman" w:cs="Times New Roman"/>
                <w:sz w:val="20"/>
                <w:szCs w:val="20"/>
              </w:rPr>
              <w:t xml:space="preserve"> is</w:t>
            </w:r>
            <w:r w:rsidRPr="004D1E6F">
              <w:rPr>
                <w:rFonts w:ascii="Times New Roman" w:hAnsi="Times New Roman" w:cs="Times New Roman"/>
                <w:i/>
                <w:iCs/>
                <w:sz w:val="20"/>
                <w:szCs w:val="20"/>
              </w:rPr>
              <w:t xml:space="preserve"> </w:t>
            </w:r>
            <w:r w:rsidRPr="004D1E6F">
              <w:rPr>
                <w:rFonts w:ascii="Times New Roman" w:hAnsi="Times New Roman" w:cs="Times New Roman"/>
                <w:bCs/>
                <w:iCs/>
                <w:sz w:val="20"/>
                <w:szCs w:val="20"/>
              </w:rPr>
              <w:t xml:space="preserve">a small, largely nocturnal, burrowing freshwater species that is difficult to detect. Several </w:t>
            </w:r>
            <w:r w:rsidRPr="004D1E6F">
              <w:rPr>
                <w:rFonts w:ascii="Times New Roman" w:eastAsia="Times New Roman" w:hAnsi="Times New Roman" w:cs="Times New Roman"/>
                <w:sz w:val="20"/>
                <w:szCs w:val="20"/>
                <w:lang w:eastAsia="en-ZA"/>
              </w:rPr>
              <w:t xml:space="preserve">methods have been used to control alien populations of </w:t>
            </w:r>
            <w:r w:rsidRPr="004D1E6F">
              <w:rPr>
                <w:rFonts w:ascii="Times New Roman" w:eastAsia="Calibri" w:hAnsi="Times New Roman" w:cs="Times New Roman"/>
                <w:i/>
                <w:sz w:val="20"/>
                <w:szCs w:val="20"/>
              </w:rPr>
              <w:t>P</w:t>
            </w:r>
            <w:r>
              <w:rPr>
                <w:rFonts w:ascii="Times New Roman" w:eastAsia="Calibri" w:hAnsi="Times New Roman" w:cs="Times New Roman"/>
                <w:i/>
                <w:sz w:val="20"/>
                <w:szCs w:val="20"/>
              </w:rPr>
              <w:t>.</w:t>
            </w:r>
            <w:r w:rsidRPr="004D1E6F">
              <w:rPr>
                <w:rFonts w:ascii="Times New Roman" w:eastAsia="Calibri" w:hAnsi="Times New Roman" w:cs="Times New Roman"/>
                <w:i/>
                <w:sz w:val="20"/>
                <w:szCs w:val="20"/>
              </w:rPr>
              <w:t xml:space="preserve"> leptodactylus</w:t>
            </w:r>
            <w:r w:rsidRPr="004D1E6F">
              <w:rPr>
                <w:rFonts w:ascii="Times New Roman" w:eastAsia="Times New Roman" w:hAnsi="Times New Roman" w:cs="Times New Roman"/>
                <w:sz w:val="20"/>
                <w:szCs w:val="20"/>
                <w:lang w:eastAsia="en-ZA"/>
              </w:rPr>
              <w:t xml:space="preserve"> and these include mechanical removal using traps and electrofishing, biocides, and biological control. However, there are several issues that make the use of these methods challenging. </w:t>
            </w:r>
            <w:r w:rsidRPr="004D1E6F">
              <w:rPr>
                <w:rFonts w:ascii="Times New Roman" w:hAnsi="Times New Roman" w:cs="Times New Roman"/>
                <w:sz w:val="20"/>
                <w:szCs w:val="20"/>
              </w:rPr>
              <w:t xml:space="preserve">The benefits of </w:t>
            </w:r>
            <w:r w:rsidRPr="004D1E6F">
              <w:rPr>
                <w:rFonts w:ascii="Times New Roman" w:eastAsia="Calibri" w:hAnsi="Times New Roman" w:cs="Times New Roman"/>
                <w:i/>
                <w:sz w:val="20"/>
                <w:szCs w:val="20"/>
              </w:rPr>
              <w:t>P</w:t>
            </w:r>
            <w:r>
              <w:rPr>
                <w:rFonts w:ascii="Times New Roman" w:eastAsia="Calibri" w:hAnsi="Times New Roman" w:cs="Times New Roman"/>
                <w:i/>
                <w:sz w:val="20"/>
                <w:szCs w:val="20"/>
              </w:rPr>
              <w:t>.</w:t>
            </w:r>
            <w:r w:rsidRPr="004D1E6F">
              <w:rPr>
                <w:rFonts w:ascii="Times New Roman" w:eastAsia="Calibri" w:hAnsi="Times New Roman" w:cs="Times New Roman"/>
                <w:i/>
                <w:sz w:val="20"/>
                <w:szCs w:val="20"/>
              </w:rPr>
              <w:t xml:space="preserve"> leptodactylus</w:t>
            </w:r>
            <w:r w:rsidRPr="004D1E6F">
              <w:rPr>
                <w:rFonts w:ascii="Times New Roman" w:eastAsia="Times New Roman" w:hAnsi="Times New Roman" w:cs="Times New Roman"/>
                <w:sz w:val="20"/>
                <w:szCs w:val="20"/>
                <w:lang w:eastAsia="en-ZA"/>
              </w:rPr>
              <w:t xml:space="preserve"> were scored as low</w:t>
            </w:r>
            <w:r w:rsidRPr="004D1E6F">
              <w:rPr>
                <w:rFonts w:ascii="Times New Roman" w:hAnsi="Times New Roman" w:cs="Times New Roman"/>
                <w:sz w:val="20"/>
                <w:szCs w:val="20"/>
              </w:rPr>
              <w:t>.</w:t>
            </w:r>
          </w:p>
        </w:tc>
        <w:tc>
          <w:tcPr>
            <w:tcW w:w="2384" w:type="dxa"/>
          </w:tcPr>
          <w:p w14:paraId="1A0A9CCA"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Ease of management:</w:t>
            </w:r>
          </w:p>
          <w:p w14:paraId="242DADB4" w14:textId="77777777" w:rsidR="002D7080" w:rsidRPr="004D1E6F" w:rsidRDefault="002D7080" w:rsidP="002E2C37">
            <w:pPr>
              <w:rPr>
                <w:rFonts w:ascii="Times New Roman" w:eastAsia="Calibri" w:hAnsi="Times New Roman" w:cs="Times New Roman"/>
                <w:sz w:val="20"/>
                <w:szCs w:val="20"/>
              </w:rPr>
            </w:pPr>
            <w:r>
              <w:rPr>
                <w:rFonts w:ascii="Times New Roman" w:eastAsia="Calibri" w:hAnsi="Times New Roman" w:cs="Times New Roman"/>
                <w:sz w:val="20"/>
                <w:szCs w:val="20"/>
              </w:rPr>
              <w:t xml:space="preserve">Medium </w:t>
            </w:r>
          </w:p>
        </w:tc>
      </w:tr>
      <w:tr w:rsidR="002D7080" w:rsidRPr="004D1E6F" w14:paraId="7C1773F4" w14:textId="77777777" w:rsidTr="002E2C37">
        <w:trPr>
          <w:trHeight w:val="690"/>
        </w:trPr>
        <w:tc>
          <w:tcPr>
            <w:tcW w:w="6858" w:type="dxa"/>
            <w:gridSpan w:val="2"/>
            <w:vMerge w:val="restart"/>
          </w:tcPr>
          <w:p w14:paraId="10FA38B6" w14:textId="77777777" w:rsidR="002D7080" w:rsidRPr="00403FA0" w:rsidRDefault="002D7080" w:rsidP="002E2C37">
            <w:pPr>
              <w:rPr>
                <w:rFonts w:ascii="Times New Roman" w:eastAsia="Calibri" w:hAnsi="Times New Roman" w:cs="Times New Roman"/>
                <w:b/>
                <w:sz w:val="20"/>
                <w:szCs w:val="20"/>
              </w:rPr>
            </w:pPr>
            <w:r w:rsidRPr="00403FA0">
              <w:rPr>
                <w:rFonts w:ascii="Times New Roman" w:eastAsia="Calibri" w:hAnsi="Times New Roman" w:cs="Times New Roman"/>
                <w:b/>
                <w:sz w:val="20"/>
                <w:szCs w:val="20"/>
              </w:rPr>
              <w:t>Recommendations:</w:t>
            </w:r>
          </w:p>
          <w:p w14:paraId="6A5E4BD2" w14:textId="77777777" w:rsidR="002D7080" w:rsidRPr="004D1E6F" w:rsidRDefault="002D7080" w:rsidP="002E2C37">
            <w:pPr>
              <w:spacing w:after="160" w:line="259" w:lineRule="auto"/>
              <w:jc w:val="both"/>
              <w:rPr>
                <w:rFonts w:ascii="Times New Roman" w:eastAsia="Calibri" w:hAnsi="Times New Roman" w:cs="Times New Roman"/>
                <w:b/>
                <w:sz w:val="20"/>
                <w:szCs w:val="20"/>
              </w:rPr>
            </w:pPr>
            <w:r w:rsidRPr="004D1E6F">
              <w:rPr>
                <w:rFonts w:ascii="Times New Roman" w:eastAsia="Calibri" w:hAnsi="Times New Roman" w:cs="Times New Roman"/>
                <w:i/>
                <w:sz w:val="20"/>
                <w:szCs w:val="20"/>
              </w:rPr>
              <w:lastRenderedPageBreak/>
              <w:t>Pontastacus leptodactylus</w:t>
            </w:r>
            <w:r w:rsidRPr="00131DBB">
              <w:rPr>
                <w:rFonts w:ascii="Times New Roman" w:eastAsia="Calibri" w:hAnsi="Times New Roman" w:cs="Times New Roman"/>
                <w:sz w:val="20"/>
                <w:szCs w:val="20"/>
              </w:rPr>
              <w:t xml:space="preserve"> poses a high risk to South Africa. If </w:t>
            </w:r>
            <w:r w:rsidRPr="004D1E6F">
              <w:rPr>
                <w:rFonts w:ascii="Times New Roman" w:eastAsia="Calibri" w:hAnsi="Times New Roman" w:cs="Times New Roman"/>
                <w:i/>
                <w:sz w:val="20"/>
                <w:szCs w:val="20"/>
              </w:rPr>
              <w:t>P</w:t>
            </w:r>
            <w:r>
              <w:rPr>
                <w:rFonts w:ascii="Times New Roman" w:eastAsia="Calibri" w:hAnsi="Times New Roman" w:cs="Times New Roman"/>
                <w:i/>
                <w:sz w:val="20"/>
                <w:szCs w:val="20"/>
              </w:rPr>
              <w:t>.</w:t>
            </w:r>
            <w:r w:rsidRPr="004D1E6F">
              <w:rPr>
                <w:rFonts w:ascii="Times New Roman" w:eastAsia="Calibri" w:hAnsi="Times New Roman" w:cs="Times New Roman"/>
                <w:i/>
                <w:sz w:val="20"/>
                <w:szCs w:val="20"/>
              </w:rPr>
              <w:t xml:space="preserve"> leptodactylus</w:t>
            </w:r>
            <w:r w:rsidRPr="00131DBB">
              <w:rPr>
                <w:rFonts w:ascii="Times New Roman" w:eastAsia="Calibri" w:hAnsi="Times New Roman" w:cs="Times New Roman"/>
                <w:sz w:val="20"/>
                <w:szCs w:val="20"/>
              </w:rPr>
              <w:t xml:space="preserve"> were to establish outside of captivity,</w:t>
            </w:r>
            <w:r w:rsidRPr="00131DBB">
              <w:rPr>
                <w:rFonts w:ascii="Times New Roman" w:eastAsia="Calibri" w:hAnsi="Times New Roman" w:cs="Times New Roman"/>
                <w:iCs/>
                <w:sz w:val="20"/>
                <w:szCs w:val="20"/>
              </w:rPr>
              <w:t xml:space="preserve"> </w:t>
            </w:r>
            <w:r w:rsidRPr="00131DBB">
              <w:rPr>
                <w:rFonts w:ascii="Times New Roman" w:eastAsia="Times New Roman" w:hAnsi="Times New Roman" w:cs="Times New Roman"/>
                <w:iCs/>
                <w:sz w:val="20"/>
                <w:szCs w:val="20"/>
                <w:lang w:eastAsia="en-ZA"/>
              </w:rPr>
              <w:t xml:space="preserve">such populations </w:t>
            </w:r>
            <w:r w:rsidRPr="00131DBB">
              <w:rPr>
                <w:rFonts w:ascii="Times New Roman" w:eastAsia="Calibri" w:hAnsi="Times New Roman" w:cs="Times New Roman"/>
                <w:sz w:val="20"/>
                <w:szCs w:val="20"/>
              </w:rPr>
              <w:t>would likely be very difficult to extirpate.</w:t>
            </w:r>
            <w:r>
              <w:rPr>
                <w:rFonts w:ascii="Times New Roman" w:eastAsia="Calibri" w:hAnsi="Times New Roman" w:cs="Times New Roman"/>
                <w:sz w:val="20"/>
                <w:szCs w:val="20"/>
              </w:rPr>
              <w:t xml:space="preserve"> </w:t>
            </w:r>
            <w:r w:rsidRPr="00403FA0">
              <w:rPr>
                <w:rFonts w:ascii="Times New Roman" w:eastAsia="Calibri" w:hAnsi="Times New Roman" w:cs="Times New Roman"/>
                <w:sz w:val="20"/>
                <w:szCs w:val="20"/>
              </w:rPr>
              <w:t xml:space="preserve">As such it is recommended that </w:t>
            </w:r>
            <w:r w:rsidRPr="004D1E6F">
              <w:rPr>
                <w:rFonts w:ascii="Times New Roman" w:eastAsia="Calibri" w:hAnsi="Times New Roman" w:cs="Times New Roman"/>
                <w:i/>
                <w:sz w:val="20"/>
                <w:szCs w:val="20"/>
              </w:rPr>
              <w:t>P</w:t>
            </w:r>
            <w:r>
              <w:rPr>
                <w:rFonts w:ascii="Times New Roman" w:eastAsia="Calibri" w:hAnsi="Times New Roman" w:cs="Times New Roman"/>
                <w:i/>
                <w:sz w:val="20"/>
                <w:szCs w:val="20"/>
              </w:rPr>
              <w:t>.</w:t>
            </w:r>
            <w:r w:rsidRPr="004D1E6F">
              <w:rPr>
                <w:rFonts w:ascii="Times New Roman" w:eastAsia="Calibri" w:hAnsi="Times New Roman" w:cs="Times New Roman"/>
                <w:i/>
                <w:sz w:val="20"/>
                <w:szCs w:val="20"/>
              </w:rPr>
              <w:t xml:space="preserve"> leptodactylus</w:t>
            </w:r>
            <w:r w:rsidRPr="00403FA0">
              <w:rPr>
                <w:rFonts w:ascii="Times New Roman" w:eastAsia="Times New Roman" w:hAnsi="Times New Roman" w:cs="Times New Roman"/>
                <w:iCs/>
                <w:sz w:val="20"/>
                <w:szCs w:val="20"/>
                <w:lang w:eastAsia="en-ZA"/>
              </w:rPr>
              <w:t xml:space="preserve"> remains listed as category 1a, active efforts made to establish whether the species is preset in the country, and that any individuals found are controlled. This would likely require </w:t>
            </w:r>
            <w:r w:rsidRPr="00403FA0">
              <w:rPr>
                <w:rFonts w:ascii="Times New Roman" w:eastAsia="Times New Roman" w:hAnsi="Times New Roman" w:cs="Times New Roman"/>
                <w:sz w:val="20"/>
                <w:szCs w:val="20"/>
                <w:lang w:eastAsia="en-ZA"/>
              </w:rPr>
              <w:t>a dedicated assessment of the ornamental t</w:t>
            </w:r>
            <w:r w:rsidRPr="00403FA0">
              <w:rPr>
                <w:rFonts w:ascii="Times New Roman" w:eastAsia="Calibri" w:hAnsi="Times New Roman" w:cs="Times New Roman"/>
                <w:sz w:val="20"/>
                <w:szCs w:val="20"/>
              </w:rPr>
              <w:t xml:space="preserve">rade. A reassessment in five years is thus required and, if absent from the country, </w:t>
            </w:r>
            <w:r w:rsidRPr="004D1E6F">
              <w:rPr>
                <w:rFonts w:ascii="Times New Roman" w:eastAsia="Calibri" w:hAnsi="Times New Roman" w:cs="Times New Roman"/>
                <w:i/>
                <w:sz w:val="20"/>
                <w:szCs w:val="20"/>
              </w:rPr>
              <w:t>P</w:t>
            </w:r>
            <w:r>
              <w:rPr>
                <w:rFonts w:ascii="Times New Roman" w:eastAsia="Calibri" w:hAnsi="Times New Roman" w:cs="Times New Roman"/>
                <w:i/>
                <w:sz w:val="20"/>
                <w:szCs w:val="20"/>
              </w:rPr>
              <w:t>.</w:t>
            </w:r>
            <w:r w:rsidRPr="004D1E6F">
              <w:rPr>
                <w:rFonts w:ascii="Times New Roman" w:eastAsia="Calibri" w:hAnsi="Times New Roman" w:cs="Times New Roman"/>
                <w:i/>
                <w:sz w:val="20"/>
                <w:szCs w:val="20"/>
              </w:rPr>
              <w:t xml:space="preserve"> leptodactylus</w:t>
            </w:r>
            <w:r w:rsidRPr="00403FA0">
              <w:rPr>
                <w:rFonts w:ascii="Times New Roman" w:eastAsia="Times New Roman" w:hAnsi="Times New Roman" w:cs="Times New Roman"/>
                <w:i/>
                <w:sz w:val="20"/>
                <w:szCs w:val="20"/>
                <w:lang w:eastAsia="en-ZA"/>
              </w:rPr>
              <w:t xml:space="preserve"> s</w:t>
            </w:r>
            <w:r w:rsidRPr="00403FA0">
              <w:rPr>
                <w:rFonts w:ascii="Times New Roman" w:eastAsia="Calibri" w:hAnsi="Times New Roman" w:cs="Times New Roman"/>
                <w:sz w:val="20"/>
                <w:szCs w:val="20"/>
              </w:rPr>
              <w:t>hould be added to a future prohibited list.</w:t>
            </w:r>
          </w:p>
        </w:tc>
        <w:tc>
          <w:tcPr>
            <w:tcW w:w="2384" w:type="dxa"/>
          </w:tcPr>
          <w:p w14:paraId="3E8FAFD9" w14:textId="77777777" w:rsidR="002D7080" w:rsidRPr="00233C97" w:rsidRDefault="002D7080" w:rsidP="002E2C37">
            <w:pPr>
              <w:rPr>
                <w:rFonts w:ascii="Times New Roman" w:hAnsi="Times New Roman" w:cs="Times New Roman"/>
                <w:b/>
                <w:sz w:val="20"/>
                <w:szCs w:val="20"/>
              </w:rPr>
            </w:pPr>
            <w:r w:rsidRPr="00233C97">
              <w:rPr>
                <w:rFonts w:ascii="Times New Roman" w:hAnsi="Times New Roman" w:cs="Times New Roman"/>
                <w:b/>
                <w:sz w:val="20"/>
                <w:szCs w:val="20"/>
              </w:rPr>
              <w:lastRenderedPageBreak/>
              <w:t>Listing under NEM:BA A&amp;IS lists of 2020:</w:t>
            </w:r>
          </w:p>
          <w:p w14:paraId="2959FBA3" w14:textId="77777777" w:rsidR="002D7080" w:rsidRPr="004D1E6F" w:rsidRDefault="002D7080" w:rsidP="002E2C37">
            <w:pPr>
              <w:rPr>
                <w:rFonts w:ascii="Times New Roman" w:eastAsia="Calibri" w:hAnsi="Times New Roman" w:cs="Times New Roman"/>
                <w:sz w:val="20"/>
                <w:szCs w:val="20"/>
              </w:rPr>
            </w:pPr>
            <w:r w:rsidRPr="00233C97">
              <w:rPr>
                <w:rFonts w:ascii="Times New Roman" w:hAnsi="Times New Roman" w:cs="Times New Roman"/>
                <w:sz w:val="20"/>
                <w:szCs w:val="20"/>
              </w:rPr>
              <w:lastRenderedPageBreak/>
              <w:t>1a</w:t>
            </w:r>
            <w:r w:rsidRPr="00233C97">
              <w:rPr>
                <w:rStyle w:val="FootnoteReference"/>
                <w:rFonts w:ascii="Times New Roman" w:hAnsi="Times New Roman" w:cs="Times New Roman"/>
              </w:rPr>
              <w:footnoteReference w:id="10"/>
            </w:r>
          </w:p>
        </w:tc>
      </w:tr>
      <w:tr w:rsidR="002D7080" w:rsidRPr="004D1E6F" w14:paraId="60B3D6FD" w14:textId="77777777" w:rsidTr="002E2C37">
        <w:trPr>
          <w:trHeight w:val="690"/>
        </w:trPr>
        <w:tc>
          <w:tcPr>
            <w:tcW w:w="6858" w:type="dxa"/>
            <w:gridSpan w:val="2"/>
            <w:vMerge/>
          </w:tcPr>
          <w:p w14:paraId="2AC84C61" w14:textId="77777777" w:rsidR="002D7080" w:rsidRPr="004D1E6F" w:rsidRDefault="002D7080" w:rsidP="002E2C37">
            <w:pPr>
              <w:rPr>
                <w:rFonts w:ascii="Times New Roman" w:eastAsia="Calibri" w:hAnsi="Times New Roman" w:cs="Times New Roman"/>
                <w:b/>
                <w:sz w:val="20"/>
                <w:szCs w:val="20"/>
              </w:rPr>
            </w:pPr>
          </w:p>
        </w:tc>
        <w:tc>
          <w:tcPr>
            <w:tcW w:w="2384" w:type="dxa"/>
          </w:tcPr>
          <w:p w14:paraId="6126FF13" w14:textId="77777777" w:rsidR="002D7080" w:rsidRPr="00233C97" w:rsidRDefault="002D7080" w:rsidP="002E2C37">
            <w:pPr>
              <w:rPr>
                <w:rFonts w:ascii="Times New Roman" w:hAnsi="Times New Roman" w:cs="Times New Roman"/>
                <w:b/>
                <w:sz w:val="20"/>
                <w:szCs w:val="20"/>
              </w:rPr>
            </w:pPr>
            <w:r w:rsidRPr="00233C97">
              <w:rPr>
                <w:rFonts w:ascii="Times New Roman" w:hAnsi="Times New Roman" w:cs="Times New Roman"/>
                <w:b/>
                <w:sz w:val="20"/>
                <w:szCs w:val="20"/>
              </w:rPr>
              <w:t xml:space="preserve">Recommended listing category: </w:t>
            </w:r>
          </w:p>
          <w:p w14:paraId="301473F0" w14:textId="77777777" w:rsidR="002D7080" w:rsidRPr="00233C97" w:rsidRDefault="002D7080" w:rsidP="002E2C37">
            <w:pPr>
              <w:rPr>
                <w:rFonts w:ascii="Times New Roman" w:hAnsi="Times New Roman" w:cs="Times New Roman"/>
                <w:sz w:val="20"/>
                <w:szCs w:val="20"/>
              </w:rPr>
            </w:pPr>
            <w:r>
              <w:rPr>
                <w:rFonts w:ascii="Times New Roman" w:hAnsi="Times New Roman" w:cs="Times New Roman"/>
                <w:sz w:val="20"/>
                <w:szCs w:val="20"/>
              </w:rPr>
              <w:t>1a</w:t>
            </w:r>
            <w:r w:rsidRPr="00233C97">
              <w:rPr>
                <w:rStyle w:val="FootnoteReference"/>
                <w:rFonts w:ascii="Times New Roman" w:hAnsi="Times New Roman" w:cs="Times New Roman"/>
              </w:rPr>
              <w:footnoteReference w:id="11"/>
            </w:r>
          </w:p>
          <w:p w14:paraId="1BB09794" w14:textId="77777777" w:rsidR="002D7080" w:rsidRPr="004D1E6F" w:rsidRDefault="002D7080" w:rsidP="002E2C37">
            <w:pPr>
              <w:rPr>
                <w:rFonts w:ascii="Times New Roman" w:eastAsia="Calibri" w:hAnsi="Times New Roman" w:cs="Times New Roman"/>
                <w:b/>
                <w:sz w:val="20"/>
                <w:szCs w:val="20"/>
              </w:rPr>
            </w:pPr>
          </w:p>
        </w:tc>
      </w:tr>
    </w:tbl>
    <w:p w14:paraId="6E4B9A06" w14:textId="77777777" w:rsidR="002D7080" w:rsidRPr="004D1E6F" w:rsidRDefault="002D7080" w:rsidP="002D7080">
      <w:pPr>
        <w:spacing w:after="0" w:line="240" w:lineRule="auto"/>
        <w:rPr>
          <w:rFonts w:ascii="Times New Roman" w:eastAsia="Calibri" w:hAnsi="Times New Roman" w:cs="Times New Roman"/>
          <w:b/>
          <w:sz w:val="20"/>
          <w:szCs w:val="20"/>
        </w:rPr>
      </w:pPr>
    </w:p>
    <w:p w14:paraId="6560CA85" w14:textId="77777777" w:rsidR="002D7080" w:rsidRPr="004D1E6F" w:rsidRDefault="002D7080" w:rsidP="002D7080">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br w:type="page"/>
      </w:r>
    </w:p>
    <w:p w14:paraId="4D463159"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1. Background</w:t>
      </w:r>
    </w:p>
    <w:p w14:paraId="18E005CA"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W w:w="8843" w:type="dxa"/>
        <w:tblInd w:w="108" w:type="dxa"/>
        <w:tblLook w:val="04A0" w:firstRow="1" w:lastRow="0" w:firstColumn="1" w:lastColumn="0" w:noHBand="0" w:noVBand="1"/>
      </w:tblPr>
      <w:tblGrid>
        <w:gridCol w:w="2700"/>
        <w:gridCol w:w="1800"/>
        <w:gridCol w:w="683"/>
        <w:gridCol w:w="3660"/>
      </w:tblGrid>
      <w:tr w:rsidR="002D7080" w:rsidRPr="004D1E6F" w14:paraId="051161DA" w14:textId="77777777" w:rsidTr="002E2C37">
        <w:trPr>
          <w:cantSplit/>
          <w:trHeight w:val="358"/>
        </w:trPr>
        <w:tc>
          <w:tcPr>
            <w:tcW w:w="8843"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54AE3C8" w14:textId="77777777" w:rsidR="002D7080" w:rsidRPr="004D1E6F" w:rsidRDefault="002D7080" w:rsidP="002E2C37">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BAC1 Name of assessor(s)</w:t>
            </w:r>
          </w:p>
        </w:tc>
      </w:tr>
      <w:tr w:rsidR="002D7080" w:rsidRPr="004D1E6F" w14:paraId="287DB4FB" w14:textId="77777777" w:rsidTr="002E2C37">
        <w:trPr>
          <w:cantSplit/>
          <w:trHeight w:val="251"/>
        </w:trPr>
        <w:tc>
          <w:tcPr>
            <w:tcW w:w="2700" w:type="dxa"/>
            <w:tcBorders>
              <w:top w:val="nil"/>
              <w:left w:val="single" w:sz="4" w:space="0" w:color="auto"/>
              <w:bottom w:val="single" w:sz="4" w:space="0" w:color="auto"/>
              <w:right w:val="single" w:sz="4" w:space="0" w:color="auto"/>
            </w:tcBorders>
            <w:shd w:val="clear" w:color="auto" w:fill="F2F2F2" w:themeFill="background1" w:themeFillShade="F2"/>
            <w:noWrap/>
          </w:tcPr>
          <w:p w14:paraId="06E394C8" w14:textId="77777777" w:rsidR="002D7080" w:rsidRPr="004D1E6F" w:rsidRDefault="002D7080" w:rsidP="002E2C37">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Name of lead assessor</w:t>
            </w:r>
          </w:p>
        </w:tc>
        <w:tc>
          <w:tcPr>
            <w:tcW w:w="6143" w:type="dxa"/>
            <w:gridSpan w:val="3"/>
            <w:tcBorders>
              <w:top w:val="nil"/>
              <w:left w:val="single" w:sz="4" w:space="0" w:color="auto"/>
              <w:bottom w:val="single" w:sz="4" w:space="0" w:color="auto"/>
              <w:right w:val="single" w:sz="4" w:space="0" w:color="auto"/>
            </w:tcBorders>
          </w:tcPr>
          <w:p w14:paraId="63CF730D" w14:textId="77777777" w:rsidR="002D7080" w:rsidRPr="00550A44" w:rsidRDefault="002D7080" w:rsidP="002E2C37">
            <w:pPr>
              <w:spacing w:after="0" w:line="240" w:lineRule="auto"/>
              <w:rPr>
                <w:rFonts w:ascii="Times New Roman" w:eastAsia="Times New Roman" w:hAnsi="Times New Roman" w:cs="Times New Roman"/>
                <w:bCs/>
                <w:sz w:val="20"/>
                <w:szCs w:val="20"/>
                <w:lang w:eastAsia="en-ZA"/>
              </w:rPr>
            </w:pPr>
            <w:r w:rsidRPr="00550A44">
              <w:rPr>
                <w:rFonts w:ascii="Times New Roman" w:eastAsia="Times New Roman" w:hAnsi="Times New Roman" w:cs="Times New Roman"/>
                <w:bCs/>
                <w:sz w:val="20"/>
                <w:szCs w:val="20"/>
                <w:lang w:eastAsia="en-ZA"/>
              </w:rPr>
              <w:t>Lee-Anne Botha</w:t>
            </w:r>
          </w:p>
        </w:tc>
      </w:tr>
      <w:tr w:rsidR="002D7080" w:rsidRPr="004D1E6F" w14:paraId="5A8D57EC" w14:textId="77777777" w:rsidTr="002E2C37">
        <w:trPr>
          <w:cantSplit/>
          <w:trHeight w:val="242"/>
        </w:trPr>
        <w:tc>
          <w:tcPr>
            <w:tcW w:w="2700" w:type="dxa"/>
            <w:tcBorders>
              <w:top w:val="nil"/>
              <w:left w:val="single" w:sz="4" w:space="0" w:color="auto"/>
              <w:bottom w:val="single" w:sz="4" w:space="0" w:color="auto"/>
              <w:right w:val="single" w:sz="4" w:space="0" w:color="auto"/>
            </w:tcBorders>
            <w:shd w:val="clear" w:color="auto" w:fill="F2F2F2" w:themeFill="background1" w:themeFillShade="F2"/>
            <w:noWrap/>
          </w:tcPr>
          <w:p w14:paraId="7994D34D"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(1)</w:t>
            </w:r>
          </w:p>
        </w:tc>
        <w:tc>
          <w:tcPr>
            <w:tcW w:w="6143" w:type="dxa"/>
            <w:gridSpan w:val="3"/>
            <w:tcBorders>
              <w:top w:val="nil"/>
              <w:left w:val="single" w:sz="4" w:space="0" w:color="auto"/>
              <w:bottom w:val="single" w:sz="4" w:space="0" w:color="auto"/>
              <w:right w:val="single" w:sz="4" w:space="0" w:color="auto"/>
            </w:tcBorders>
          </w:tcPr>
          <w:p w14:paraId="5D7B342C"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Tsungai Zengeya </w:t>
            </w:r>
          </w:p>
        </w:tc>
      </w:tr>
      <w:tr w:rsidR="002D7080" w:rsidRPr="004D1E6F" w14:paraId="033E867A" w14:textId="77777777" w:rsidTr="002E2C37">
        <w:trPr>
          <w:cantSplit/>
          <w:trHeight w:val="260"/>
        </w:trPr>
        <w:tc>
          <w:tcPr>
            <w:tcW w:w="2700" w:type="dxa"/>
            <w:tcBorders>
              <w:top w:val="nil"/>
              <w:left w:val="single" w:sz="4" w:space="0" w:color="auto"/>
              <w:bottom w:val="single" w:sz="4" w:space="0" w:color="auto"/>
              <w:right w:val="single" w:sz="4" w:space="0" w:color="auto"/>
            </w:tcBorders>
            <w:shd w:val="clear" w:color="auto" w:fill="F2F2F2" w:themeFill="background1" w:themeFillShade="F2"/>
            <w:noWrap/>
          </w:tcPr>
          <w:p w14:paraId="7B72CDB3"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(2)</w:t>
            </w:r>
          </w:p>
        </w:tc>
        <w:tc>
          <w:tcPr>
            <w:tcW w:w="6143" w:type="dxa"/>
            <w:gridSpan w:val="3"/>
            <w:tcBorders>
              <w:top w:val="nil"/>
              <w:left w:val="single" w:sz="4" w:space="0" w:color="auto"/>
              <w:bottom w:val="single" w:sz="4" w:space="0" w:color="auto"/>
              <w:right w:val="single" w:sz="4" w:space="0" w:color="auto"/>
            </w:tcBorders>
          </w:tcPr>
          <w:p w14:paraId="7E4A4B7A"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Christian Chimimba </w:t>
            </w:r>
          </w:p>
        </w:tc>
      </w:tr>
      <w:tr w:rsidR="002D7080" w:rsidRPr="004D1E6F" w14:paraId="3F1DF87D" w14:textId="77777777" w:rsidTr="002E2C37">
        <w:trPr>
          <w:cantSplit/>
          <w:trHeight w:val="390"/>
        </w:trPr>
        <w:tc>
          <w:tcPr>
            <w:tcW w:w="8843"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10B9B33D"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BAC2 Contact details of assessor (s)</w:t>
            </w:r>
          </w:p>
        </w:tc>
      </w:tr>
      <w:tr w:rsidR="002D7080" w:rsidRPr="004D1E6F" w14:paraId="3C53FF3F" w14:textId="77777777" w:rsidTr="002E2C37">
        <w:trPr>
          <w:cantSplit/>
          <w:trHeight w:val="70"/>
        </w:trPr>
        <w:tc>
          <w:tcPr>
            <w:tcW w:w="2700" w:type="dxa"/>
            <w:vMerge w:val="restart"/>
            <w:tcBorders>
              <w:top w:val="nil"/>
              <w:left w:val="single" w:sz="4" w:space="0" w:color="auto"/>
              <w:right w:val="single" w:sz="4" w:space="0" w:color="auto"/>
            </w:tcBorders>
            <w:shd w:val="clear" w:color="auto" w:fill="F2F2F2" w:themeFill="background1" w:themeFillShade="F2"/>
            <w:noWrap/>
            <w:hideMark/>
          </w:tcPr>
          <w:p w14:paraId="7BD2AF45"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0"/>
              </w:rPr>
              <w:t>Lead assessor</w:t>
            </w:r>
          </w:p>
        </w:tc>
        <w:tc>
          <w:tcPr>
            <w:tcW w:w="6143" w:type="dxa"/>
            <w:gridSpan w:val="3"/>
            <w:tcBorders>
              <w:top w:val="nil"/>
              <w:left w:val="nil"/>
              <w:bottom w:val="single" w:sz="4" w:space="0" w:color="auto"/>
              <w:right w:val="single" w:sz="4" w:space="0" w:color="auto"/>
            </w:tcBorders>
          </w:tcPr>
          <w:p w14:paraId="5C9ADE6E"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0"/>
              </w:rPr>
              <w:t>Organisational affiliation: Department of Zoology and Entomology, University of Pretoria and The South African National Biodiversity Institute (SANBI).</w:t>
            </w:r>
          </w:p>
        </w:tc>
      </w:tr>
      <w:tr w:rsidR="002D7080" w:rsidRPr="004D1E6F" w14:paraId="5E36B801" w14:textId="77777777" w:rsidTr="002E2C37">
        <w:trPr>
          <w:cantSplit/>
          <w:trHeight w:val="70"/>
        </w:trPr>
        <w:tc>
          <w:tcPr>
            <w:tcW w:w="2700" w:type="dxa"/>
            <w:vMerge/>
            <w:tcBorders>
              <w:left w:val="single" w:sz="4" w:space="0" w:color="auto"/>
              <w:bottom w:val="single" w:sz="4" w:space="0" w:color="auto"/>
              <w:right w:val="single" w:sz="4" w:space="0" w:color="auto"/>
            </w:tcBorders>
            <w:shd w:val="clear" w:color="auto" w:fill="F2F2F2" w:themeFill="background1" w:themeFillShade="F2"/>
            <w:noWrap/>
          </w:tcPr>
          <w:p w14:paraId="7D73F331"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143" w:type="dxa"/>
            <w:gridSpan w:val="3"/>
            <w:tcBorders>
              <w:top w:val="nil"/>
              <w:left w:val="nil"/>
              <w:bottom w:val="single" w:sz="4" w:space="0" w:color="auto"/>
              <w:right w:val="single" w:sz="4" w:space="0" w:color="auto"/>
            </w:tcBorders>
          </w:tcPr>
          <w:p w14:paraId="6445A0CD"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0"/>
              </w:rPr>
              <w:t xml:space="preserve">email: </w:t>
            </w:r>
            <w:r w:rsidRPr="004D1E6F">
              <w:rPr>
                <w:rFonts w:ascii="Times New Roman" w:eastAsia="Times New Roman" w:hAnsi="Times New Roman" w:cs="Times New Roman"/>
                <w:color w:val="000000"/>
                <w:sz w:val="20"/>
                <w:szCs w:val="20"/>
                <w:lang w:eastAsia="en-ZA"/>
              </w:rPr>
              <w:t>leeannebth782@gmail.com</w:t>
            </w:r>
          </w:p>
        </w:tc>
      </w:tr>
      <w:tr w:rsidR="002D7080" w:rsidRPr="004D1E6F" w14:paraId="1B2506A6" w14:textId="77777777" w:rsidTr="002E2C37">
        <w:trPr>
          <w:cantSplit/>
          <w:trHeight w:val="70"/>
        </w:trPr>
        <w:tc>
          <w:tcPr>
            <w:tcW w:w="2700" w:type="dxa"/>
            <w:vMerge w:val="restart"/>
            <w:tcBorders>
              <w:top w:val="single" w:sz="4" w:space="0" w:color="auto"/>
              <w:left w:val="single" w:sz="4" w:space="0" w:color="auto"/>
              <w:right w:val="single" w:sz="4" w:space="0" w:color="auto"/>
            </w:tcBorders>
            <w:shd w:val="clear" w:color="auto" w:fill="F2F2F2" w:themeFill="background1" w:themeFillShade="F2"/>
            <w:noWrap/>
          </w:tcPr>
          <w:p w14:paraId="743DEEE7"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(1)</w:t>
            </w:r>
          </w:p>
        </w:tc>
        <w:tc>
          <w:tcPr>
            <w:tcW w:w="6143" w:type="dxa"/>
            <w:gridSpan w:val="3"/>
            <w:tcBorders>
              <w:top w:val="nil"/>
              <w:left w:val="nil"/>
              <w:bottom w:val="single" w:sz="4" w:space="0" w:color="auto"/>
              <w:right w:val="single" w:sz="4" w:space="0" w:color="auto"/>
            </w:tcBorders>
          </w:tcPr>
          <w:p w14:paraId="07030D61"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Organisational affiliation: Department of Zoology and Entomology, University of Pretoria and The South African National Biodiversity Institute (SANBI).</w:t>
            </w:r>
          </w:p>
        </w:tc>
      </w:tr>
      <w:tr w:rsidR="002D7080" w:rsidRPr="004D1E6F" w14:paraId="4110CE13" w14:textId="77777777" w:rsidTr="002E2C37">
        <w:trPr>
          <w:cantSplit/>
          <w:trHeight w:val="70"/>
        </w:trPr>
        <w:tc>
          <w:tcPr>
            <w:tcW w:w="2700" w:type="dxa"/>
            <w:vMerge/>
            <w:tcBorders>
              <w:left w:val="single" w:sz="4" w:space="0" w:color="auto"/>
              <w:bottom w:val="single" w:sz="4" w:space="0" w:color="auto"/>
              <w:right w:val="single" w:sz="4" w:space="0" w:color="auto"/>
            </w:tcBorders>
            <w:shd w:val="clear" w:color="auto" w:fill="F2F2F2" w:themeFill="background1" w:themeFillShade="F2"/>
            <w:noWrap/>
          </w:tcPr>
          <w:p w14:paraId="767CE1EC" w14:textId="77777777" w:rsidR="002D7080" w:rsidRPr="004D1E6F" w:rsidRDefault="002D7080" w:rsidP="002E2C37">
            <w:pPr>
              <w:spacing w:after="0" w:line="240" w:lineRule="auto"/>
              <w:jc w:val="both"/>
              <w:rPr>
                <w:rFonts w:ascii="Times New Roman" w:hAnsi="Times New Roman" w:cs="Times New Roman"/>
                <w:bCs/>
                <w:iCs/>
                <w:sz w:val="20"/>
                <w:szCs w:val="20"/>
              </w:rPr>
            </w:pPr>
          </w:p>
        </w:tc>
        <w:tc>
          <w:tcPr>
            <w:tcW w:w="6143" w:type="dxa"/>
            <w:gridSpan w:val="3"/>
            <w:tcBorders>
              <w:top w:val="nil"/>
              <w:left w:val="nil"/>
              <w:bottom w:val="single" w:sz="4" w:space="0" w:color="auto"/>
              <w:right w:val="single" w:sz="4" w:space="0" w:color="auto"/>
            </w:tcBorders>
          </w:tcPr>
          <w:p w14:paraId="2FF40FD9"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email: T.Zengeya@sanbi.org.za</w:t>
            </w:r>
          </w:p>
        </w:tc>
      </w:tr>
      <w:tr w:rsidR="002D7080" w:rsidRPr="004D1E6F" w14:paraId="01C4AA3B" w14:textId="77777777" w:rsidTr="002E2C37">
        <w:trPr>
          <w:cantSplit/>
          <w:trHeight w:val="70"/>
        </w:trPr>
        <w:tc>
          <w:tcPr>
            <w:tcW w:w="2700" w:type="dxa"/>
            <w:vMerge w:val="restart"/>
            <w:tcBorders>
              <w:left w:val="single" w:sz="4" w:space="0" w:color="auto"/>
              <w:right w:val="single" w:sz="4" w:space="0" w:color="auto"/>
            </w:tcBorders>
            <w:shd w:val="clear" w:color="auto" w:fill="F2F2F2" w:themeFill="background1" w:themeFillShade="F2"/>
            <w:noWrap/>
          </w:tcPr>
          <w:p w14:paraId="3CBE8B5D"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(2)</w:t>
            </w:r>
          </w:p>
        </w:tc>
        <w:tc>
          <w:tcPr>
            <w:tcW w:w="6143" w:type="dxa"/>
            <w:gridSpan w:val="3"/>
            <w:tcBorders>
              <w:top w:val="nil"/>
              <w:left w:val="nil"/>
              <w:bottom w:val="single" w:sz="4" w:space="0" w:color="auto"/>
              <w:right w:val="single" w:sz="4" w:space="0" w:color="auto"/>
            </w:tcBorders>
          </w:tcPr>
          <w:p w14:paraId="74F54E2A"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Organisational affiliation: Department of Zoology and Entomology, University of Pretoria </w:t>
            </w:r>
          </w:p>
        </w:tc>
      </w:tr>
      <w:tr w:rsidR="002D7080" w:rsidRPr="004D1E6F" w14:paraId="1B4B51B5" w14:textId="77777777" w:rsidTr="002E2C37">
        <w:trPr>
          <w:cantSplit/>
          <w:trHeight w:val="70"/>
        </w:trPr>
        <w:tc>
          <w:tcPr>
            <w:tcW w:w="2700" w:type="dxa"/>
            <w:vMerge/>
            <w:tcBorders>
              <w:left w:val="single" w:sz="4" w:space="0" w:color="auto"/>
              <w:bottom w:val="single" w:sz="4" w:space="0" w:color="auto"/>
              <w:right w:val="single" w:sz="4" w:space="0" w:color="auto"/>
            </w:tcBorders>
            <w:shd w:val="clear" w:color="auto" w:fill="F2F2F2" w:themeFill="background1" w:themeFillShade="F2"/>
            <w:noWrap/>
          </w:tcPr>
          <w:p w14:paraId="70C34E68" w14:textId="77777777" w:rsidR="002D7080" w:rsidRPr="004D1E6F" w:rsidRDefault="002D7080" w:rsidP="002E2C37">
            <w:pPr>
              <w:spacing w:after="0" w:line="240" w:lineRule="auto"/>
              <w:jc w:val="both"/>
              <w:rPr>
                <w:rFonts w:ascii="Times New Roman" w:hAnsi="Times New Roman" w:cs="Times New Roman"/>
                <w:bCs/>
                <w:iCs/>
                <w:sz w:val="20"/>
                <w:szCs w:val="20"/>
              </w:rPr>
            </w:pPr>
          </w:p>
        </w:tc>
        <w:tc>
          <w:tcPr>
            <w:tcW w:w="6143" w:type="dxa"/>
            <w:gridSpan w:val="3"/>
            <w:tcBorders>
              <w:top w:val="nil"/>
              <w:left w:val="nil"/>
              <w:bottom w:val="single" w:sz="4" w:space="0" w:color="auto"/>
              <w:right w:val="single" w:sz="4" w:space="0" w:color="auto"/>
            </w:tcBorders>
          </w:tcPr>
          <w:p w14:paraId="0FA3D5BC"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email: ctchimimbaa@up.ac.za</w:t>
            </w:r>
          </w:p>
        </w:tc>
      </w:tr>
      <w:tr w:rsidR="002D7080" w:rsidRPr="004D1E6F" w14:paraId="5EA011A0" w14:textId="77777777" w:rsidTr="002E2C37">
        <w:trPr>
          <w:cantSplit/>
          <w:trHeight w:val="170"/>
        </w:trPr>
        <w:tc>
          <w:tcPr>
            <w:tcW w:w="8843" w:type="dxa"/>
            <w:gridSpan w:val="4"/>
            <w:tcBorders>
              <w:left w:val="single" w:sz="4" w:space="0" w:color="auto"/>
              <w:bottom w:val="single" w:sz="4" w:space="0" w:color="auto"/>
              <w:right w:val="single" w:sz="4" w:space="0" w:color="auto"/>
            </w:tcBorders>
            <w:shd w:val="clear" w:color="auto" w:fill="F2F2F2" w:themeFill="background1" w:themeFillShade="F2"/>
            <w:noWrap/>
          </w:tcPr>
          <w:p w14:paraId="338A6060"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BAC3 Name(s) and contact details of expert(s) consulted</w:t>
            </w:r>
          </w:p>
        </w:tc>
      </w:tr>
      <w:tr w:rsidR="002D7080" w:rsidRPr="004D1E6F" w14:paraId="1C73652B" w14:textId="77777777" w:rsidTr="002E2C37">
        <w:trPr>
          <w:cantSplit/>
          <w:trHeight w:val="70"/>
        </w:trPr>
        <w:tc>
          <w:tcPr>
            <w:tcW w:w="2700" w:type="dxa"/>
            <w:vMerge w:val="restart"/>
            <w:tcBorders>
              <w:left w:val="single" w:sz="4" w:space="0" w:color="auto"/>
              <w:right w:val="single" w:sz="4" w:space="0" w:color="auto"/>
            </w:tcBorders>
            <w:shd w:val="clear" w:color="auto" w:fill="F2F2F2" w:themeFill="background1" w:themeFillShade="F2"/>
            <w:noWrap/>
          </w:tcPr>
          <w:p w14:paraId="3DD0FD4B"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Expert (1)</w:t>
            </w:r>
          </w:p>
        </w:tc>
        <w:tc>
          <w:tcPr>
            <w:tcW w:w="6143" w:type="dxa"/>
            <w:gridSpan w:val="3"/>
            <w:tcBorders>
              <w:top w:val="nil"/>
              <w:left w:val="nil"/>
              <w:bottom w:val="single" w:sz="4" w:space="0" w:color="auto"/>
              <w:right w:val="single" w:sz="4" w:space="0" w:color="auto"/>
            </w:tcBorders>
          </w:tcPr>
          <w:p w14:paraId="1591FBBE"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Name: </w:t>
            </w:r>
          </w:p>
        </w:tc>
      </w:tr>
      <w:tr w:rsidR="002D7080" w:rsidRPr="004D1E6F" w14:paraId="17DE6F43" w14:textId="77777777" w:rsidTr="002E2C37">
        <w:trPr>
          <w:cantSplit/>
          <w:trHeight w:val="70"/>
        </w:trPr>
        <w:tc>
          <w:tcPr>
            <w:tcW w:w="2700" w:type="dxa"/>
            <w:vMerge/>
            <w:tcBorders>
              <w:left w:val="single" w:sz="4" w:space="0" w:color="auto"/>
              <w:right w:val="single" w:sz="4" w:space="0" w:color="auto"/>
            </w:tcBorders>
            <w:shd w:val="clear" w:color="auto" w:fill="F2F2F2" w:themeFill="background1" w:themeFillShade="F2"/>
            <w:noWrap/>
          </w:tcPr>
          <w:p w14:paraId="11FCDE7E"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143" w:type="dxa"/>
            <w:gridSpan w:val="3"/>
            <w:tcBorders>
              <w:top w:val="nil"/>
              <w:left w:val="nil"/>
              <w:bottom w:val="single" w:sz="4" w:space="0" w:color="auto"/>
              <w:right w:val="single" w:sz="4" w:space="0" w:color="auto"/>
            </w:tcBorders>
          </w:tcPr>
          <w:p w14:paraId="2CF04045"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email: </w:t>
            </w:r>
          </w:p>
        </w:tc>
      </w:tr>
      <w:tr w:rsidR="002D7080" w:rsidRPr="004D1E6F" w14:paraId="3C63CBAC" w14:textId="77777777" w:rsidTr="002E2C37">
        <w:trPr>
          <w:cantSplit/>
          <w:trHeight w:val="70"/>
        </w:trPr>
        <w:tc>
          <w:tcPr>
            <w:tcW w:w="2700" w:type="dxa"/>
            <w:vMerge/>
            <w:tcBorders>
              <w:left w:val="single" w:sz="4" w:space="0" w:color="auto"/>
              <w:bottom w:val="single" w:sz="4" w:space="0" w:color="auto"/>
              <w:right w:val="single" w:sz="4" w:space="0" w:color="auto"/>
            </w:tcBorders>
            <w:shd w:val="clear" w:color="auto" w:fill="F2F2F2" w:themeFill="background1" w:themeFillShade="F2"/>
            <w:noWrap/>
          </w:tcPr>
          <w:p w14:paraId="4B5F08CC"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143" w:type="dxa"/>
            <w:gridSpan w:val="3"/>
            <w:tcBorders>
              <w:top w:val="nil"/>
              <w:left w:val="nil"/>
              <w:bottom w:val="single" w:sz="4" w:space="0" w:color="auto"/>
              <w:right w:val="single" w:sz="4" w:space="0" w:color="auto"/>
            </w:tcBorders>
          </w:tcPr>
          <w:p w14:paraId="17E16170"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Phone: </w:t>
            </w:r>
          </w:p>
        </w:tc>
      </w:tr>
      <w:tr w:rsidR="002D7080" w:rsidRPr="004D1E6F" w14:paraId="31080B81" w14:textId="77777777" w:rsidTr="002E2C37">
        <w:trPr>
          <w:cantSplit/>
          <w:trHeight w:val="70"/>
        </w:trPr>
        <w:tc>
          <w:tcPr>
            <w:tcW w:w="2700" w:type="dxa"/>
            <w:vMerge w:val="restart"/>
            <w:tcBorders>
              <w:left w:val="single" w:sz="4" w:space="0" w:color="auto"/>
              <w:right w:val="single" w:sz="4" w:space="0" w:color="auto"/>
            </w:tcBorders>
            <w:shd w:val="clear" w:color="auto" w:fill="F2F2F2" w:themeFill="background1" w:themeFillShade="F2"/>
            <w:noWrap/>
          </w:tcPr>
          <w:p w14:paraId="5B8951FC"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Expert (2)</w:t>
            </w:r>
          </w:p>
        </w:tc>
        <w:tc>
          <w:tcPr>
            <w:tcW w:w="6143" w:type="dxa"/>
            <w:gridSpan w:val="3"/>
            <w:tcBorders>
              <w:top w:val="nil"/>
              <w:left w:val="nil"/>
              <w:bottom w:val="single" w:sz="4" w:space="0" w:color="auto"/>
              <w:right w:val="single" w:sz="4" w:space="0" w:color="auto"/>
            </w:tcBorders>
          </w:tcPr>
          <w:p w14:paraId="3E1B1BD8"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Name:</w:t>
            </w:r>
          </w:p>
        </w:tc>
      </w:tr>
      <w:tr w:rsidR="002D7080" w:rsidRPr="004D1E6F" w14:paraId="03D9A381" w14:textId="77777777" w:rsidTr="002E2C37">
        <w:trPr>
          <w:cantSplit/>
          <w:trHeight w:val="70"/>
        </w:trPr>
        <w:tc>
          <w:tcPr>
            <w:tcW w:w="2700" w:type="dxa"/>
            <w:vMerge/>
            <w:tcBorders>
              <w:left w:val="single" w:sz="4" w:space="0" w:color="auto"/>
              <w:right w:val="single" w:sz="4" w:space="0" w:color="auto"/>
            </w:tcBorders>
            <w:shd w:val="clear" w:color="auto" w:fill="F2F2F2" w:themeFill="background1" w:themeFillShade="F2"/>
            <w:noWrap/>
          </w:tcPr>
          <w:p w14:paraId="1CAE2C22"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143" w:type="dxa"/>
            <w:gridSpan w:val="3"/>
            <w:tcBorders>
              <w:top w:val="nil"/>
              <w:left w:val="nil"/>
              <w:bottom w:val="single" w:sz="4" w:space="0" w:color="auto"/>
              <w:right w:val="single" w:sz="4" w:space="0" w:color="auto"/>
            </w:tcBorders>
          </w:tcPr>
          <w:p w14:paraId="60DFC6C7"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email:</w:t>
            </w:r>
          </w:p>
        </w:tc>
      </w:tr>
      <w:tr w:rsidR="002D7080" w:rsidRPr="004D1E6F" w14:paraId="2820F79D" w14:textId="77777777" w:rsidTr="002E2C37">
        <w:trPr>
          <w:cantSplit/>
          <w:trHeight w:val="70"/>
        </w:trPr>
        <w:tc>
          <w:tcPr>
            <w:tcW w:w="2700" w:type="dxa"/>
            <w:vMerge/>
            <w:tcBorders>
              <w:left w:val="single" w:sz="4" w:space="0" w:color="auto"/>
              <w:bottom w:val="single" w:sz="4" w:space="0" w:color="auto"/>
              <w:right w:val="single" w:sz="4" w:space="0" w:color="auto"/>
            </w:tcBorders>
            <w:shd w:val="clear" w:color="auto" w:fill="F2F2F2" w:themeFill="background1" w:themeFillShade="F2"/>
            <w:noWrap/>
          </w:tcPr>
          <w:p w14:paraId="4F622BDB"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p>
        </w:tc>
        <w:tc>
          <w:tcPr>
            <w:tcW w:w="6143" w:type="dxa"/>
            <w:gridSpan w:val="3"/>
            <w:tcBorders>
              <w:top w:val="nil"/>
              <w:left w:val="nil"/>
              <w:bottom w:val="single" w:sz="4" w:space="0" w:color="auto"/>
              <w:right w:val="single" w:sz="4" w:space="0" w:color="auto"/>
            </w:tcBorders>
          </w:tcPr>
          <w:p w14:paraId="04395FE8"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Phone:</w:t>
            </w:r>
          </w:p>
        </w:tc>
      </w:tr>
      <w:tr w:rsidR="002D7080" w:rsidRPr="004D1E6F" w14:paraId="7A0B49C8" w14:textId="77777777" w:rsidTr="002E2C37">
        <w:trPr>
          <w:cantSplit/>
          <w:trHeight w:val="70"/>
        </w:trPr>
        <w:tc>
          <w:tcPr>
            <w:tcW w:w="8843" w:type="dxa"/>
            <w:gridSpan w:val="4"/>
            <w:tcBorders>
              <w:top w:val="nil"/>
              <w:left w:val="single" w:sz="4" w:space="0" w:color="auto"/>
              <w:bottom w:val="single" w:sz="4" w:space="0" w:color="auto"/>
              <w:right w:val="single" w:sz="4" w:space="0" w:color="auto"/>
            </w:tcBorders>
            <w:noWrap/>
          </w:tcPr>
          <w:p w14:paraId="13C7FB95"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Pr>
                <w:rFonts w:ascii="Times New Roman" w:eastAsia="Times New Roman" w:hAnsi="Times New Roman" w:cs="Times New Roman"/>
                <w:sz w:val="20"/>
                <w:szCs w:val="20"/>
                <w:lang w:eastAsia="en-ZA"/>
              </w:rPr>
              <w:t xml:space="preserve">  none </w:t>
            </w:r>
          </w:p>
        </w:tc>
      </w:tr>
      <w:tr w:rsidR="002D7080" w:rsidRPr="004D1E6F" w14:paraId="7B01BFBB" w14:textId="77777777" w:rsidTr="002E2C37">
        <w:trPr>
          <w:cantSplit/>
          <w:trHeight w:val="365"/>
        </w:trPr>
        <w:tc>
          <w:tcPr>
            <w:tcW w:w="8843"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1E1A88E0"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BAC4 Scientific name of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under assessment</w:t>
            </w:r>
          </w:p>
        </w:tc>
      </w:tr>
      <w:tr w:rsidR="002D7080" w:rsidRPr="004D1E6F" w14:paraId="7B129EB1" w14:textId="77777777" w:rsidTr="002E2C37">
        <w:trPr>
          <w:cantSplit/>
          <w:trHeight w:val="70"/>
        </w:trPr>
        <w:tc>
          <w:tcPr>
            <w:tcW w:w="5183" w:type="dxa"/>
            <w:gridSpan w:val="3"/>
            <w:tcBorders>
              <w:top w:val="nil"/>
              <w:left w:val="single" w:sz="4" w:space="0" w:color="auto"/>
              <w:bottom w:val="single" w:sz="4" w:space="0" w:color="auto"/>
              <w:right w:val="single" w:sz="4" w:space="0" w:color="auto"/>
            </w:tcBorders>
            <w:noWrap/>
          </w:tcPr>
          <w:p w14:paraId="0D255848" w14:textId="77777777" w:rsidR="002D7080" w:rsidRPr="004D1E6F" w:rsidRDefault="002D7080" w:rsidP="00C5761E">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name:</w:t>
            </w:r>
            <w:r w:rsidRPr="004D1E6F">
              <w:rPr>
                <w:rFonts w:ascii="Times New Roman" w:eastAsia="Times New Roman" w:hAnsi="Times New Roman" w:cs="Times New Roman"/>
                <w:i/>
                <w:iCs/>
                <w:color w:val="000000"/>
                <w:sz w:val="20"/>
                <w:szCs w:val="20"/>
                <w:lang w:eastAsia="en-ZA"/>
              </w:rPr>
              <w:t xml:space="preserve"> </w:t>
            </w:r>
            <w:r w:rsidRPr="004D1E6F">
              <w:rPr>
                <w:rFonts w:ascii="Times New Roman" w:eastAsia="Times New Roman" w:hAnsi="Times New Roman" w:cs="Times New Roman"/>
                <w:i/>
                <w:iCs/>
                <w:sz w:val="20"/>
                <w:szCs w:val="20"/>
                <w:lang w:eastAsia="en-ZA"/>
              </w:rPr>
              <w:t>Pontastacus leptodactylus</w:t>
            </w:r>
          </w:p>
        </w:tc>
        <w:tc>
          <w:tcPr>
            <w:tcW w:w="3660" w:type="dxa"/>
            <w:tcBorders>
              <w:top w:val="nil"/>
              <w:left w:val="nil"/>
              <w:bottom w:val="single" w:sz="4" w:space="0" w:color="auto"/>
              <w:right w:val="single" w:sz="4" w:space="0" w:color="auto"/>
            </w:tcBorders>
            <w:hideMark/>
          </w:tcPr>
          <w:p w14:paraId="6CB872A2" w14:textId="77777777" w:rsidR="002D7080" w:rsidRPr="004D1E6F" w:rsidRDefault="002D7080" w:rsidP="00C5761E">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Authority: </w:t>
            </w:r>
            <w:r w:rsidRPr="00FB4758">
              <w:rPr>
                <w:rStyle w:val="ng-binding"/>
                <w:rFonts w:ascii="Times New Roman" w:hAnsi="Times New Roman" w:cs="Times New Roman"/>
                <w:sz w:val="20"/>
                <w:szCs w:val="20"/>
                <w:shd w:val="clear" w:color="auto" w:fill="FFFFFF"/>
              </w:rPr>
              <w:t>(Eschscholtz, 1823)</w:t>
            </w:r>
            <w:r w:rsidRPr="00FB4758">
              <w:rPr>
                <w:rFonts w:ascii="Times New Roman" w:hAnsi="Times New Roman" w:cs="Times New Roman"/>
                <w:sz w:val="20"/>
                <w:szCs w:val="20"/>
                <w:shd w:val="clear" w:color="auto" w:fill="FFFFFF"/>
              </w:rPr>
              <w:t> </w:t>
            </w:r>
          </w:p>
        </w:tc>
      </w:tr>
      <w:tr w:rsidR="002D7080" w:rsidRPr="004D1E6F" w14:paraId="1A4D4F79" w14:textId="77777777" w:rsidTr="002E2C37">
        <w:trPr>
          <w:cantSplit/>
          <w:trHeight w:val="70"/>
        </w:trPr>
        <w:tc>
          <w:tcPr>
            <w:tcW w:w="8843" w:type="dxa"/>
            <w:gridSpan w:val="4"/>
            <w:tcBorders>
              <w:top w:val="nil"/>
              <w:left w:val="single" w:sz="4" w:space="0" w:color="auto"/>
              <w:bottom w:val="single" w:sz="4" w:space="0" w:color="auto"/>
              <w:right w:val="single" w:sz="4" w:space="0" w:color="auto"/>
            </w:tcBorders>
            <w:noWrap/>
          </w:tcPr>
          <w:p w14:paraId="145EF798" w14:textId="77777777" w:rsidR="002D7080" w:rsidRPr="004D1E6F" w:rsidRDefault="002D7080" w:rsidP="00C5761E">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t xml:space="preserve"> </w:t>
            </w:r>
            <w:r w:rsidRPr="00FB4758">
              <w:rPr>
                <w:rFonts w:ascii="Times New Roman" w:eastAsia="Times New Roman" w:hAnsi="Times New Roman" w:cs="Times New Roman"/>
                <w:sz w:val="20"/>
                <w:szCs w:val="20"/>
                <w:lang w:eastAsia="en-ZA"/>
              </w:rPr>
              <w:t>The scientific name of the taxon under assessment is accepted (</w:t>
            </w:r>
            <w:r>
              <w:rPr>
                <w:rFonts w:ascii="Times New Roman" w:eastAsia="Times New Roman" w:hAnsi="Times New Roman" w:cs="Times New Roman"/>
                <w:sz w:val="20"/>
                <w:szCs w:val="20"/>
                <w:lang w:eastAsia="en-ZA"/>
              </w:rPr>
              <w:t>GBIF 2023</w:t>
            </w:r>
            <w:r w:rsidRPr="00FB4758">
              <w:rPr>
                <w:rFonts w:ascii="Times New Roman" w:eastAsia="Times New Roman" w:hAnsi="Times New Roman" w:cs="Times New Roman"/>
                <w:sz w:val="20"/>
                <w:szCs w:val="20"/>
                <w:lang w:eastAsia="en-ZA"/>
              </w:rPr>
              <w:t>).</w:t>
            </w:r>
          </w:p>
        </w:tc>
      </w:tr>
      <w:tr w:rsidR="002D7080" w:rsidRPr="004D1E6F" w14:paraId="33E41DD4" w14:textId="77777777" w:rsidTr="002E2C37">
        <w:trPr>
          <w:cantSplit/>
          <w:trHeight w:val="70"/>
        </w:trPr>
        <w:tc>
          <w:tcPr>
            <w:tcW w:w="8843" w:type="dxa"/>
            <w:gridSpan w:val="4"/>
            <w:tcBorders>
              <w:top w:val="nil"/>
              <w:left w:val="single" w:sz="4" w:space="0" w:color="auto"/>
              <w:bottom w:val="single" w:sz="4" w:space="0" w:color="auto"/>
              <w:right w:val="single" w:sz="4" w:space="0" w:color="auto"/>
            </w:tcBorders>
            <w:noWrap/>
          </w:tcPr>
          <w:p w14:paraId="22EE92DA" w14:textId="77777777" w:rsidR="002D7080" w:rsidRDefault="002D7080" w:rsidP="00C5761E">
            <w:pPr>
              <w:spacing w:after="0"/>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35846A05" w14:textId="77777777" w:rsidR="002D7080" w:rsidRPr="00FB4758" w:rsidRDefault="002D7080" w:rsidP="00C94525">
            <w:pPr>
              <w:spacing w:after="0"/>
              <w:ind w:left="720" w:hanging="720"/>
              <w:jc w:val="both"/>
              <w:rPr>
                <w:rFonts w:ascii="Times New Roman" w:eastAsia="Times New Roman" w:hAnsi="Times New Roman" w:cs="Times New Roman"/>
                <w:sz w:val="20"/>
                <w:szCs w:val="20"/>
                <w:lang w:eastAsia="en-ZA"/>
              </w:rPr>
            </w:pPr>
            <w:r w:rsidRPr="00FB4758">
              <w:rPr>
                <w:rStyle w:val="ng-binding"/>
                <w:rFonts w:ascii="Times New Roman" w:hAnsi="Times New Roman" w:cs="Times New Roman"/>
                <w:i/>
                <w:iCs/>
                <w:sz w:val="20"/>
                <w:szCs w:val="20"/>
                <w:shd w:val="clear" w:color="auto" w:fill="FFFFFF"/>
              </w:rPr>
              <w:t>Pontastacus leptodactylus </w:t>
            </w:r>
            <w:r w:rsidRPr="00FB4758">
              <w:rPr>
                <w:rStyle w:val="ng-binding"/>
                <w:rFonts w:ascii="Times New Roman" w:hAnsi="Times New Roman" w:cs="Times New Roman"/>
                <w:sz w:val="20"/>
                <w:szCs w:val="20"/>
                <w:shd w:val="clear" w:color="auto" w:fill="FFFFFF"/>
              </w:rPr>
              <w:t>(Eschscholtz, 1823)</w:t>
            </w:r>
            <w:r w:rsidRPr="00FB4758">
              <w:rPr>
                <w:rFonts w:ascii="Times New Roman" w:hAnsi="Times New Roman" w:cs="Times New Roman"/>
                <w:sz w:val="20"/>
                <w:szCs w:val="20"/>
                <w:shd w:val="clear" w:color="auto" w:fill="FFFFFF"/>
              </w:rPr>
              <w:t> in </w:t>
            </w:r>
            <w:r w:rsidRPr="00FB4758">
              <w:rPr>
                <w:rStyle w:val="ng-binding"/>
                <w:rFonts w:ascii="Times New Roman" w:hAnsi="Times New Roman" w:cs="Times New Roman"/>
                <w:sz w:val="20"/>
                <w:szCs w:val="20"/>
                <w:shd w:val="clear" w:color="auto" w:fill="FFFFFF"/>
              </w:rPr>
              <w:t>GBIF Secretariat (2023). GBIF Backbone Taxonomy. Checklist dataset </w:t>
            </w:r>
            <w:hyperlink w:tgtFrame="_blank" w:history="1">
              <w:r w:rsidRPr="00FB4758">
                <w:rPr>
                  <w:rStyle w:val="Hyperlink"/>
                  <w:rFonts w:ascii="Times New Roman" w:hAnsi="Times New Roman" w:cs="Times New Roman"/>
                  <w:sz w:val="20"/>
                  <w:szCs w:val="20"/>
                </w:rPr>
                <w:t>https://doi.org/10.15468/39omei</w:t>
              </w:r>
            </w:hyperlink>
            <w:r w:rsidRPr="00FB4758">
              <w:rPr>
                <w:rStyle w:val="ng-binding"/>
                <w:rFonts w:ascii="Times New Roman" w:hAnsi="Times New Roman" w:cs="Times New Roman"/>
                <w:sz w:val="20"/>
                <w:szCs w:val="20"/>
                <w:shd w:val="clear" w:color="auto" w:fill="FFFFFF"/>
              </w:rPr>
              <w:t> accessed via GBIF.org on 2024-07-15.</w:t>
            </w:r>
          </w:p>
        </w:tc>
      </w:tr>
      <w:tr w:rsidR="002D7080" w:rsidRPr="004D1E6F" w14:paraId="64AB4A9B" w14:textId="77777777" w:rsidTr="002E2C37">
        <w:trPr>
          <w:cantSplit/>
          <w:trHeight w:val="390"/>
        </w:trPr>
        <w:tc>
          <w:tcPr>
            <w:tcW w:w="8843"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15929F4" w14:textId="77777777" w:rsidR="002D7080" w:rsidRPr="004D1E6F" w:rsidRDefault="002D7080" w:rsidP="00C5761E">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BAC5 Synonym(s) considered</w:t>
            </w:r>
          </w:p>
        </w:tc>
      </w:tr>
      <w:tr w:rsidR="002D7080" w:rsidRPr="004D1E6F" w14:paraId="0DE7E08F"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1A5A1BC4" w14:textId="77777777" w:rsidR="002D7080" w:rsidRPr="004D1E6F" w:rsidRDefault="002D7080" w:rsidP="00C5761E">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Synonyms:</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Astacus leptodactylus</w:t>
            </w:r>
            <w:r w:rsidRPr="004D1E6F">
              <w:rPr>
                <w:rFonts w:ascii="Times New Roman" w:eastAsia="Times New Roman" w:hAnsi="Times New Roman" w:cs="Times New Roman"/>
                <w:sz w:val="20"/>
                <w:szCs w:val="20"/>
                <w:lang w:eastAsia="en-ZA"/>
              </w:rPr>
              <w:t xml:space="preserve"> ssp. </w:t>
            </w:r>
            <w:r w:rsidRPr="004D1E6F">
              <w:rPr>
                <w:rFonts w:ascii="Times New Roman" w:eastAsia="Times New Roman" w:hAnsi="Times New Roman" w:cs="Times New Roman"/>
                <w:i/>
                <w:sz w:val="20"/>
                <w:szCs w:val="20"/>
                <w:lang w:eastAsia="en-ZA"/>
              </w:rPr>
              <w:t>kessleri</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 xml:space="preserve">| </w:t>
            </w:r>
            <w:r w:rsidRPr="00FB4758">
              <w:rPr>
                <w:rFonts w:ascii="Times New Roman" w:eastAsia="Times New Roman" w:hAnsi="Times New Roman" w:cs="Times New Roman"/>
                <w:i/>
                <w:iCs/>
                <w:sz w:val="20"/>
                <w:szCs w:val="20"/>
                <w:lang w:eastAsia="en-ZA"/>
              </w:rPr>
              <w:t>Astacus leptodactylus</w:t>
            </w:r>
            <w:r w:rsidRPr="004D1E6F">
              <w:rPr>
                <w:rFonts w:ascii="Times New Roman" w:eastAsia="Times New Roman" w:hAnsi="Times New Roman" w:cs="Times New Roman"/>
                <w:sz w:val="20"/>
                <w:szCs w:val="20"/>
                <w:lang w:eastAsia="en-ZA"/>
              </w:rPr>
              <w:t xml:space="preserve"> ssp. </w:t>
            </w:r>
            <w:r w:rsidRPr="00FB4758">
              <w:rPr>
                <w:rFonts w:ascii="Times New Roman" w:eastAsia="Times New Roman" w:hAnsi="Times New Roman" w:cs="Times New Roman"/>
                <w:i/>
                <w:iCs/>
                <w:sz w:val="20"/>
                <w:szCs w:val="20"/>
                <w:lang w:eastAsia="en-ZA"/>
              </w:rPr>
              <w:t xml:space="preserve">eichwaldi </w:t>
            </w:r>
            <w:r>
              <w:rPr>
                <w:rFonts w:ascii="Times New Roman" w:eastAsia="Times New Roman" w:hAnsi="Times New Roman" w:cs="Times New Roman"/>
                <w:sz w:val="20"/>
                <w:szCs w:val="20"/>
                <w:lang w:eastAsia="en-ZA"/>
              </w:rPr>
              <w:t xml:space="preserve">| </w:t>
            </w:r>
            <w:r w:rsidRPr="00FB4758">
              <w:rPr>
                <w:rFonts w:ascii="Times New Roman" w:eastAsia="Times New Roman" w:hAnsi="Times New Roman" w:cs="Times New Roman"/>
                <w:i/>
                <w:iCs/>
                <w:sz w:val="20"/>
                <w:szCs w:val="20"/>
                <w:lang w:eastAsia="en-ZA"/>
              </w:rPr>
              <w:t>Astacus leptodactylus</w:t>
            </w:r>
            <w:r w:rsidRPr="004D1E6F">
              <w:rPr>
                <w:rFonts w:ascii="Times New Roman" w:eastAsia="Times New Roman" w:hAnsi="Times New Roman" w:cs="Times New Roman"/>
                <w:sz w:val="20"/>
                <w:szCs w:val="20"/>
                <w:lang w:eastAsia="en-ZA"/>
              </w:rPr>
              <w:t xml:space="preserve"> </w:t>
            </w:r>
          </w:p>
        </w:tc>
      </w:tr>
      <w:tr w:rsidR="002D7080" w:rsidRPr="004D1E6F" w14:paraId="43340022"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139E83D3"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Pr>
                <w:rFonts w:ascii="Times New Roman" w:eastAsia="Times New Roman" w:hAnsi="Times New Roman" w:cs="Times New Roman"/>
                <w:sz w:val="20"/>
                <w:szCs w:val="20"/>
                <w:lang w:eastAsia="en-ZA"/>
              </w:rPr>
              <w:t xml:space="preserve"> The above listed synonyms of </w:t>
            </w:r>
            <w:r w:rsidRPr="00EE5484">
              <w:rPr>
                <w:rFonts w:ascii="Times New Roman" w:eastAsia="Times New Roman" w:hAnsi="Times New Roman" w:cs="Times New Roman"/>
                <w:i/>
                <w:iCs/>
                <w:sz w:val="20"/>
                <w:szCs w:val="20"/>
                <w:lang w:eastAsia="en-ZA"/>
              </w:rPr>
              <w:t>Pontastacus leptodactylus</w:t>
            </w:r>
            <w:r>
              <w:rPr>
                <w:rFonts w:ascii="Times New Roman" w:eastAsia="Times New Roman" w:hAnsi="Times New Roman" w:cs="Times New Roman"/>
                <w:sz w:val="20"/>
                <w:szCs w:val="20"/>
                <w:lang w:eastAsia="en-ZA"/>
              </w:rPr>
              <w:t xml:space="preserve"> were used for the literature search for this risk assessment and obtained from GBIF (2024) and Gherardi &amp; Souty-Grousset (2017).</w:t>
            </w:r>
          </w:p>
        </w:tc>
      </w:tr>
      <w:tr w:rsidR="002D7080" w:rsidRPr="004D1E6F" w14:paraId="20042FEC"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3CF5E0F5" w14:textId="77777777"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3FC3F138" w14:textId="77777777" w:rsidR="002D7080"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Gherardi</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F</w:t>
            </w:r>
            <w:r>
              <w:rPr>
                <w:rFonts w:ascii="Times New Roman" w:eastAsia="Times New Roman" w:hAnsi="Times New Roman" w:cs="Times New Roman"/>
                <w:sz w:val="20"/>
                <w:szCs w:val="20"/>
                <w:lang w:eastAsia="en-ZA"/>
              </w:rPr>
              <w:t>.&amp;</w:t>
            </w:r>
            <w:r w:rsidRPr="004D1E6F">
              <w:rPr>
                <w:rFonts w:ascii="Times New Roman" w:eastAsia="Times New Roman" w:hAnsi="Times New Roman" w:cs="Times New Roman"/>
                <w:sz w:val="20"/>
                <w:szCs w:val="20"/>
                <w:lang w:eastAsia="en-ZA"/>
              </w:rPr>
              <w:t xml:space="preserve"> Souty-Grosset</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C.</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2017</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Pontastacus leptodactylus. The IUCN Red List of Threatened Species 2017</w:t>
            </w:r>
            <w:r w:rsidRPr="004D1E6F">
              <w:rPr>
                <w:rFonts w:ascii="Times New Roman" w:eastAsia="Times New Roman" w:hAnsi="Times New Roman" w:cs="Times New Roman"/>
                <w:sz w:val="20"/>
                <w:szCs w:val="20"/>
                <w:lang w:eastAsia="en-ZA"/>
              </w:rPr>
              <w:t xml:space="preserve">: e.T153745A120103207. </w:t>
            </w:r>
            <w:hyperlink w:history="1">
              <w:r w:rsidRPr="00911927">
                <w:rPr>
                  <w:rStyle w:val="Hyperlink"/>
                  <w:rFonts w:ascii="Times New Roman" w:eastAsia="Times New Roman" w:hAnsi="Times New Roman" w:cs="Times New Roman"/>
                  <w:sz w:val="20"/>
                  <w:szCs w:val="20"/>
                  <w:lang w:eastAsia="en-ZA"/>
                </w:rPr>
                <w:t>http://dx.doi.org/10.2305/IUCN.UK.2017-3.RLTS.T153745A120103207.en</w:t>
              </w:r>
            </w:hyperlink>
            <w:r w:rsidRPr="004D1E6F">
              <w:rPr>
                <w:rFonts w:ascii="Times New Roman" w:eastAsia="Times New Roman" w:hAnsi="Times New Roman" w:cs="Times New Roman"/>
                <w:sz w:val="20"/>
                <w:szCs w:val="20"/>
                <w:lang w:eastAsia="en-ZA"/>
              </w:rPr>
              <w:t>.</w:t>
            </w:r>
          </w:p>
          <w:p w14:paraId="5B09BF7E" w14:textId="77777777"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FB4758">
              <w:rPr>
                <w:rStyle w:val="ng-binding"/>
                <w:rFonts w:ascii="Times New Roman" w:hAnsi="Times New Roman" w:cs="Times New Roman"/>
                <w:i/>
                <w:iCs/>
                <w:sz w:val="20"/>
                <w:szCs w:val="20"/>
                <w:shd w:val="clear" w:color="auto" w:fill="FFFFFF"/>
              </w:rPr>
              <w:t>Pontastacus leptodactylus </w:t>
            </w:r>
            <w:r w:rsidRPr="00FB4758">
              <w:rPr>
                <w:rStyle w:val="ng-binding"/>
                <w:rFonts w:ascii="Times New Roman" w:hAnsi="Times New Roman" w:cs="Times New Roman"/>
                <w:sz w:val="20"/>
                <w:szCs w:val="20"/>
                <w:shd w:val="clear" w:color="auto" w:fill="FFFFFF"/>
              </w:rPr>
              <w:t>(Eschscholtz, 1823)</w:t>
            </w:r>
            <w:r w:rsidRPr="00FB4758">
              <w:rPr>
                <w:rFonts w:ascii="Times New Roman" w:hAnsi="Times New Roman" w:cs="Times New Roman"/>
                <w:sz w:val="20"/>
                <w:szCs w:val="20"/>
                <w:shd w:val="clear" w:color="auto" w:fill="FFFFFF"/>
              </w:rPr>
              <w:t> in </w:t>
            </w:r>
            <w:r w:rsidRPr="00FB4758">
              <w:rPr>
                <w:rStyle w:val="ng-binding"/>
                <w:rFonts w:ascii="Times New Roman" w:hAnsi="Times New Roman" w:cs="Times New Roman"/>
                <w:sz w:val="20"/>
                <w:szCs w:val="20"/>
                <w:shd w:val="clear" w:color="auto" w:fill="FFFFFF"/>
              </w:rPr>
              <w:t>GBIF Secretariat (2023). GBIF Backbone Taxonomy. Checklist dataset </w:t>
            </w:r>
            <w:hyperlink w:tgtFrame="_blank" w:history="1">
              <w:r w:rsidRPr="00FB4758">
                <w:rPr>
                  <w:rStyle w:val="Hyperlink"/>
                  <w:rFonts w:ascii="Times New Roman" w:hAnsi="Times New Roman" w:cs="Times New Roman"/>
                  <w:sz w:val="20"/>
                  <w:szCs w:val="20"/>
                </w:rPr>
                <w:t>https://doi.org/10.15468/39omei</w:t>
              </w:r>
            </w:hyperlink>
            <w:r w:rsidRPr="00FB4758">
              <w:rPr>
                <w:rStyle w:val="ng-binding"/>
                <w:rFonts w:ascii="Times New Roman" w:hAnsi="Times New Roman" w:cs="Times New Roman"/>
                <w:sz w:val="20"/>
                <w:szCs w:val="20"/>
                <w:shd w:val="clear" w:color="auto" w:fill="FFFFFF"/>
              </w:rPr>
              <w:t> accessed via GBIF.org on 2024-07-15.</w:t>
            </w:r>
          </w:p>
        </w:tc>
      </w:tr>
      <w:tr w:rsidR="002D7080" w:rsidRPr="004D1E6F" w14:paraId="6D570BE2" w14:textId="77777777" w:rsidTr="002E2C37">
        <w:trPr>
          <w:cantSplit/>
          <w:trHeight w:val="390"/>
        </w:trPr>
        <w:tc>
          <w:tcPr>
            <w:tcW w:w="8843"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BAF40D5"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BAC6 Common name(s) considered</w:t>
            </w:r>
          </w:p>
        </w:tc>
      </w:tr>
      <w:tr w:rsidR="002D7080" w:rsidRPr="004D1E6F" w14:paraId="4144CE30"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3F6FDB82" w14:textId="77777777" w:rsidR="002D7080" w:rsidRPr="004D1E6F" w:rsidRDefault="002D7080" w:rsidP="00C9452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Common names:</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Danube crayfish</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Galican Crayfish</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Long-clawed Crayfish</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Narrow-clawed Crayfish</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 xml:space="preserve"> Pond Crayfish</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Slender-clawed Crayfish</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Swamp Crayfish</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Turkish Crayfish</w:t>
            </w:r>
          </w:p>
        </w:tc>
      </w:tr>
      <w:tr w:rsidR="002D7080" w:rsidRPr="004D1E6F" w14:paraId="26AA6326"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07A6D79D"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Pr>
                <w:rFonts w:ascii="Times New Roman" w:eastAsia="Times New Roman" w:hAnsi="Times New Roman" w:cs="Times New Roman"/>
                <w:sz w:val="20"/>
                <w:szCs w:val="20"/>
                <w:lang w:eastAsia="en-ZA"/>
              </w:rPr>
              <w:t xml:space="preserve"> There are several English common names known for </w:t>
            </w:r>
            <w:r w:rsidRPr="004D1E6F">
              <w:rPr>
                <w:rFonts w:ascii="Times New Roman" w:eastAsia="Times New Roman" w:hAnsi="Times New Roman" w:cs="Times New Roman"/>
                <w:i/>
                <w:iCs/>
                <w:sz w:val="20"/>
                <w:szCs w:val="20"/>
                <w:lang w:eastAsia="en-ZA"/>
              </w:rPr>
              <w:t>Pontastacus leptodactylus</w:t>
            </w:r>
            <w:r w:rsidRPr="00FB4758">
              <w:rPr>
                <w:rFonts w:ascii="Times New Roman" w:eastAsia="Times New Roman" w:hAnsi="Times New Roman" w:cs="Times New Roman"/>
                <w:sz w:val="20"/>
                <w:szCs w:val="20"/>
                <w:lang w:eastAsia="en-ZA"/>
              </w:rPr>
              <w:t xml:space="preserve"> (Gherardi &amp; Souty-Grousset 2017) and the above listed names were used in the literature search for this risk analysis</w:t>
            </w:r>
          </w:p>
        </w:tc>
      </w:tr>
      <w:tr w:rsidR="002D7080" w:rsidRPr="004D1E6F" w14:paraId="21894424"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71AA7CB9" w14:textId="77777777"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347FAFD5" w14:textId="77777777"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Gherardi</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F</w:t>
            </w:r>
            <w:r>
              <w:rPr>
                <w:rFonts w:ascii="Times New Roman" w:eastAsia="Times New Roman" w:hAnsi="Times New Roman" w:cs="Times New Roman"/>
                <w:sz w:val="20"/>
                <w:szCs w:val="20"/>
                <w:lang w:eastAsia="en-ZA"/>
              </w:rPr>
              <w:t>. &amp;</w:t>
            </w:r>
            <w:r w:rsidRPr="004D1E6F">
              <w:rPr>
                <w:rFonts w:ascii="Times New Roman" w:eastAsia="Times New Roman" w:hAnsi="Times New Roman" w:cs="Times New Roman"/>
                <w:sz w:val="20"/>
                <w:szCs w:val="20"/>
                <w:lang w:eastAsia="en-ZA"/>
              </w:rPr>
              <w:t xml:space="preserve"> Souty-Grosset</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C.</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2017</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Pontastacus leptodactylus. The IUCN Red List of Threatened Species 2017</w:t>
            </w:r>
            <w:r w:rsidRPr="004D1E6F">
              <w:rPr>
                <w:rFonts w:ascii="Times New Roman" w:eastAsia="Times New Roman" w:hAnsi="Times New Roman" w:cs="Times New Roman"/>
                <w:sz w:val="20"/>
                <w:szCs w:val="20"/>
                <w:lang w:eastAsia="en-ZA"/>
              </w:rPr>
              <w:t>: e.T153745A120103207.</w:t>
            </w:r>
          </w:p>
        </w:tc>
      </w:tr>
      <w:tr w:rsidR="002D7080" w:rsidRPr="004D1E6F" w14:paraId="08DD4E26" w14:textId="77777777" w:rsidTr="002E2C37">
        <w:trPr>
          <w:cantSplit/>
          <w:trHeight w:val="242"/>
        </w:trPr>
        <w:tc>
          <w:tcPr>
            <w:tcW w:w="8843"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A07D0AD" w14:textId="77777777" w:rsidR="002D7080" w:rsidRPr="004D1E6F" w:rsidRDefault="002D7080" w:rsidP="00C5761E">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BAC7 What is the native range of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w:t>
            </w:r>
          </w:p>
        </w:tc>
      </w:tr>
      <w:tr w:rsidR="002D7080" w:rsidRPr="004D1E6F" w14:paraId="294DB5ED" w14:textId="77777777" w:rsidTr="002E2C37">
        <w:trPr>
          <w:cantSplit/>
          <w:trHeight w:val="70"/>
        </w:trPr>
        <w:tc>
          <w:tcPr>
            <w:tcW w:w="5183" w:type="dxa"/>
            <w:gridSpan w:val="3"/>
            <w:tcBorders>
              <w:top w:val="single" w:sz="4" w:space="0" w:color="auto"/>
              <w:left w:val="single" w:sz="4" w:space="0" w:color="auto"/>
              <w:bottom w:val="single" w:sz="4" w:space="0" w:color="auto"/>
              <w:right w:val="single" w:sz="4" w:space="0" w:color="auto"/>
            </w:tcBorders>
            <w:noWrap/>
          </w:tcPr>
          <w:p w14:paraId="2D0BBE5B" w14:textId="77777777" w:rsidR="002D7080" w:rsidRPr="004D1E6F" w:rsidRDefault="002D7080" w:rsidP="00C5761E">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lastRenderedPageBreak/>
              <w:t>Response:</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Austria</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Azerbaijan</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Belarus</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Bosnia and Herzegovina</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Bulgaria</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Croatia</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Georgia</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Greece</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Hungary</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Iran</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Israel</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Kazakhstan</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Kyrgyzstan</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Moldova</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Romania</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Russian Federation</w:t>
            </w:r>
            <w:r>
              <w:rPr>
                <w:rFonts w:ascii="Times New Roman" w:eastAsia="Times New Roman" w:hAnsi="Times New Roman" w:cs="Times New Roman"/>
                <w:sz w:val="20"/>
                <w:szCs w:val="20"/>
                <w:lang w:eastAsia="en-ZA"/>
              </w:rPr>
              <w:t xml:space="preserve"> | </w:t>
            </w:r>
            <w:r w:rsidRPr="004D1E6F">
              <w:rPr>
                <w:rFonts w:ascii="Times New Roman" w:eastAsia="Times New Roman" w:hAnsi="Times New Roman" w:cs="Times New Roman"/>
                <w:sz w:val="20"/>
                <w:szCs w:val="20"/>
                <w:lang w:eastAsia="en-ZA"/>
              </w:rPr>
              <w:t xml:space="preserve">Serbia </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Slovakia</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Turkey</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Turkmenistan</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 Ukraine</w:t>
            </w:r>
          </w:p>
        </w:tc>
        <w:tc>
          <w:tcPr>
            <w:tcW w:w="3660" w:type="dxa"/>
            <w:tcBorders>
              <w:top w:val="single" w:sz="4" w:space="0" w:color="auto"/>
              <w:left w:val="single" w:sz="4" w:space="0" w:color="auto"/>
              <w:bottom w:val="single" w:sz="4" w:space="0" w:color="auto"/>
              <w:right w:val="single" w:sz="4" w:space="0" w:color="auto"/>
            </w:tcBorders>
          </w:tcPr>
          <w:p w14:paraId="36926587" w14:textId="77777777" w:rsidR="002D7080" w:rsidRPr="004D1E6F" w:rsidRDefault="002D7080" w:rsidP="002E2C37">
            <w:pPr>
              <w:spacing w:after="0" w:line="240" w:lineRule="auto"/>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7C04AA9B"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2548FC52" w14:textId="77777777" w:rsidR="002D7080" w:rsidRPr="004D1E6F" w:rsidRDefault="002D7080" w:rsidP="00C5761E">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Pr>
                <w:rFonts w:ascii="Times New Roman" w:eastAsia="Times New Roman" w:hAnsi="Times New Roman" w:cs="Times New Roman"/>
                <w:sz w:val="20"/>
                <w:szCs w:val="20"/>
                <w:lang w:eastAsia="en-ZA"/>
              </w:rPr>
              <w:t xml:space="preserve"> Native to several eastern European countries (Kouba et al. 2014; Gherardi &amp; </w:t>
            </w:r>
            <w:r w:rsidRPr="00FB4758">
              <w:rPr>
                <w:rFonts w:ascii="Times New Roman" w:eastAsia="Times New Roman" w:hAnsi="Times New Roman" w:cs="Times New Roman"/>
                <w:sz w:val="20"/>
                <w:szCs w:val="20"/>
                <w:lang w:eastAsia="en-ZA"/>
              </w:rPr>
              <w:t>Souty-Grousset 2017</w:t>
            </w:r>
            <w:r>
              <w:rPr>
                <w:rFonts w:ascii="Times New Roman" w:eastAsia="Times New Roman" w:hAnsi="Times New Roman" w:cs="Times New Roman"/>
                <w:sz w:val="20"/>
                <w:szCs w:val="20"/>
                <w:lang w:eastAsia="en-ZA"/>
              </w:rPr>
              <w:t>)</w:t>
            </w:r>
          </w:p>
        </w:tc>
      </w:tr>
      <w:tr w:rsidR="002D7080" w:rsidRPr="004D1E6F" w14:paraId="519F8475"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5A11EDD3" w14:textId="77777777"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7CDD98AE" w14:textId="77777777" w:rsidR="002D7080"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Gherardi</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F</w:t>
            </w:r>
            <w:r>
              <w:rPr>
                <w:rFonts w:ascii="Times New Roman" w:eastAsia="Times New Roman" w:hAnsi="Times New Roman" w:cs="Times New Roman"/>
                <w:sz w:val="20"/>
                <w:szCs w:val="20"/>
                <w:lang w:eastAsia="en-ZA"/>
              </w:rPr>
              <w:t>. &amp;</w:t>
            </w:r>
            <w:r w:rsidRPr="004D1E6F">
              <w:rPr>
                <w:rFonts w:ascii="Times New Roman" w:eastAsia="Times New Roman" w:hAnsi="Times New Roman" w:cs="Times New Roman"/>
                <w:sz w:val="20"/>
                <w:szCs w:val="20"/>
                <w:lang w:eastAsia="en-ZA"/>
              </w:rPr>
              <w:t xml:space="preserve"> Souty-Grosset C. 2017. </w:t>
            </w:r>
            <w:r w:rsidRPr="004D1E6F">
              <w:rPr>
                <w:rFonts w:ascii="Times New Roman" w:eastAsia="Times New Roman" w:hAnsi="Times New Roman" w:cs="Times New Roman"/>
                <w:i/>
                <w:iCs/>
                <w:sz w:val="20"/>
                <w:szCs w:val="20"/>
                <w:lang w:eastAsia="en-ZA"/>
              </w:rPr>
              <w:t>Pontastacus leptodactylus. The IUCN Red List of Threatened Species 2017</w:t>
            </w:r>
            <w:r w:rsidRPr="004D1E6F">
              <w:rPr>
                <w:rFonts w:ascii="Times New Roman" w:eastAsia="Times New Roman" w:hAnsi="Times New Roman" w:cs="Times New Roman"/>
                <w:sz w:val="20"/>
                <w:szCs w:val="20"/>
                <w:lang w:eastAsia="en-ZA"/>
              </w:rPr>
              <w:t>: e.T153745A120103207.</w:t>
            </w:r>
          </w:p>
          <w:p w14:paraId="5C375407" w14:textId="2E30C809"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6159EC">
              <w:rPr>
                <w:rFonts w:ascii="Times New Roman" w:eastAsia="Times New Roman" w:hAnsi="Times New Roman" w:cs="Times New Roman"/>
                <w:sz w:val="20"/>
                <w:szCs w:val="20"/>
                <w:lang w:eastAsia="en-ZA"/>
              </w:rPr>
              <w:t>Kouba</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 xml:space="preserve"> A</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 Petrusek</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 xml:space="preserve"> A</w:t>
            </w:r>
            <w:r>
              <w:rPr>
                <w:rFonts w:ascii="Times New Roman" w:eastAsia="Times New Roman" w:hAnsi="Times New Roman" w:cs="Times New Roman"/>
                <w:sz w:val="20"/>
                <w:szCs w:val="20"/>
                <w:lang w:eastAsia="en-ZA"/>
              </w:rPr>
              <w:t>. &amp;</w:t>
            </w:r>
            <w:r w:rsidRPr="006159EC">
              <w:rPr>
                <w:rFonts w:ascii="Times New Roman" w:eastAsia="Times New Roman" w:hAnsi="Times New Roman" w:cs="Times New Roman"/>
                <w:sz w:val="20"/>
                <w:szCs w:val="20"/>
                <w:lang w:eastAsia="en-ZA"/>
              </w:rPr>
              <w:t xml:space="preserve"> Kozák</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 xml:space="preserve"> P.</w:t>
            </w:r>
            <w:r>
              <w:rPr>
                <w:rFonts w:ascii="Times New Roman" w:eastAsia="Times New Roman" w:hAnsi="Times New Roman" w:cs="Times New Roman"/>
                <w:sz w:val="20"/>
                <w:szCs w:val="20"/>
                <w:lang w:eastAsia="en-ZA"/>
              </w:rPr>
              <w:t>, 2014,</w:t>
            </w:r>
            <w:r w:rsidRPr="006159EC">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Continental-wide distribution of crayfish species in Europe: update and maps</w:t>
            </w:r>
            <w:r>
              <w:rPr>
                <w:rFonts w:ascii="Times New Roman" w:eastAsia="Times New Roman" w:hAnsi="Times New Roman" w:cs="Times New Roman"/>
                <w:sz w:val="20"/>
                <w:szCs w:val="20"/>
                <w:lang w:eastAsia="en-ZA"/>
              </w:rPr>
              <w:t xml:space="preserve">’, </w:t>
            </w:r>
            <w:r w:rsidRPr="0053162B">
              <w:rPr>
                <w:rFonts w:ascii="Times New Roman" w:eastAsia="Times New Roman" w:hAnsi="Times New Roman" w:cs="Times New Roman"/>
                <w:i/>
                <w:iCs/>
                <w:sz w:val="20"/>
                <w:szCs w:val="20"/>
                <w:lang w:eastAsia="en-ZA"/>
              </w:rPr>
              <w:t>Knowledge Management of Aquatic Ecosystems</w:t>
            </w:r>
            <w:r>
              <w:rPr>
                <w:rFonts w:ascii="Times New Roman" w:eastAsia="Times New Roman" w:hAnsi="Times New Roman" w:cs="Times New Roman"/>
                <w:sz w:val="20"/>
                <w:szCs w:val="20"/>
                <w:lang w:eastAsia="en-ZA"/>
              </w:rPr>
              <w:t xml:space="preserve">, </w:t>
            </w:r>
            <w:r w:rsidRPr="006159EC">
              <w:rPr>
                <w:rFonts w:ascii="Times New Roman" w:eastAsia="Times New Roman" w:hAnsi="Times New Roman" w:cs="Times New Roman"/>
                <w:sz w:val="20"/>
                <w:szCs w:val="20"/>
                <w:lang w:eastAsia="en-ZA"/>
              </w:rPr>
              <w:t>413</w:t>
            </w:r>
            <w:r>
              <w:rPr>
                <w:rFonts w:ascii="Times New Roman" w:eastAsia="Times New Roman" w:hAnsi="Times New Roman" w:cs="Times New Roman"/>
                <w:sz w:val="20"/>
                <w:szCs w:val="20"/>
                <w:lang w:eastAsia="en-ZA"/>
              </w:rPr>
              <w:t xml:space="preserve">, </w:t>
            </w:r>
            <w:r w:rsidRPr="006159EC">
              <w:rPr>
                <w:rFonts w:ascii="Times New Roman" w:eastAsia="Times New Roman" w:hAnsi="Times New Roman" w:cs="Times New Roman"/>
                <w:sz w:val="20"/>
                <w:szCs w:val="20"/>
                <w:lang w:eastAsia="en-ZA"/>
              </w:rPr>
              <w:t>5</w:t>
            </w:r>
            <w:r w:rsidR="00356715">
              <w:rPr>
                <w:rFonts w:ascii="Times New Roman" w:eastAsia="Times New Roman" w:hAnsi="Times New Roman" w:cs="Times New Roman"/>
                <w:sz w:val="20"/>
                <w:szCs w:val="20"/>
                <w:lang w:eastAsia="en-ZA"/>
              </w:rPr>
              <w:t xml:space="preserve">, </w:t>
            </w:r>
            <w:r w:rsidR="00356715" w:rsidRPr="00356715">
              <w:rPr>
                <w:rFonts w:ascii="Times New Roman" w:eastAsia="Times New Roman" w:hAnsi="Times New Roman" w:cs="Times New Roman"/>
                <w:sz w:val="20"/>
                <w:szCs w:val="20"/>
                <w:lang w:eastAsia="en-ZA"/>
              </w:rPr>
              <w:t>https://doi.org/10.1051/kmae/2014007</w:t>
            </w:r>
          </w:p>
        </w:tc>
      </w:tr>
      <w:tr w:rsidR="002D7080" w:rsidRPr="004D1E6F" w14:paraId="4E5F5FC5" w14:textId="77777777" w:rsidTr="002E2C37">
        <w:trPr>
          <w:cantSplit/>
          <w:trHeight w:val="98"/>
        </w:trPr>
        <w:tc>
          <w:tcPr>
            <w:tcW w:w="8843"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FA95644"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BAC8 What is the global alien range of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w:t>
            </w:r>
          </w:p>
        </w:tc>
      </w:tr>
      <w:tr w:rsidR="002D7080" w:rsidRPr="004D1E6F" w14:paraId="09F6C711" w14:textId="77777777" w:rsidTr="002E2C37">
        <w:trPr>
          <w:cantSplit/>
          <w:trHeight w:val="70"/>
        </w:trPr>
        <w:tc>
          <w:tcPr>
            <w:tcW w:w="5183" w:type="dxa"/>
            <w:gridSpan w:val="3"/>
            <w:tcBorders>
              <w:top w:val="single" w:sz="4" w:space="0" w:color="auto"/>
              <w:left w:val="single" w:sz="4" w:space="0" w:color="auto"/>
              <w:bottom w:val="single" w:sz="4" w:space="0" w:color="auto"/>
              <w:right w:val="single" w:sz="4" w:space="0" w:color="auto"/>
            </w:tcBorders>
            <w:noWrap/>
          </w:tcPr>
          <w:p w14:paraId="3BE9E627" w14:textId="77777777" w:rsidR="002D7080" w:rsidRPr="004D1E6F" w:rsidRDefault="002D7080" w:rsidP="00C9452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Armenia, Belgium, Czech Republic, Denmark, Finland, France, Germany, Italy, Latvia, Lithuania, Luxembourg, Netherlands, Poland, Switzerland, United Kingdom (Great Britain), Uzbekistan</w:t>
            </w:r>
          </w:p>
        </w:tc>
        <w:tc>
          <w:tcPr>
            <w:tcW w:w="3660" w:type="dxa"/>
            <w:tcBorders>
              <w:top w:val="single" w:sz="4" w:space="0" w:color="auto"/>
              <w:left w:val="single" w:sz="4" w:space="0" w:color="auto"/>
              <w:bottom w:val="single" w:sz="4" w:space="0" w:color="auto"/>
              <w:right w:val="single" w:sz="4" w:space="0" w:color="auto"/>
            </w:tcBorders>
          </w:tcPr>
          <w:p w14:paraId="172F3AFD" w14:textId="77777777" w:rsidR="002D7080" w:rsidRPr="004D1E6F" w:rsidRDefault="002D7080" w:rsidP="00C94525">
            <w:pPr>
              <w:spacing w:after="0" w:line="240" w:lineRule="auto"/>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30C80E0E"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5B3F91C5" w14:textId="77777777" w:rsidR="002D7080" w:rsidRPr="004D1E6F" w:rsidRDefault="002D7080" w:rsidP="00C5761E">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Pontastacus leptodactylus</w:t>
            </w:r>
            <w:r w:rsidRPr="004D1E6F">
              <w:rPr>
                <w:rFonts w:ascii="Times New Roman" w:eastAsia="Times New Roman" w:hAnsi="Times New Roman" w:cs="Times New Roman"/>
                <w:sz w:val="20"/>
                <w:szCs w:val="20"/>
                <w:lang w:eastAsia="en-ZA"/>
              </w:rPr>
              <w:t xml:space="preserve"> has been introduced into </w:t>
            </w:r>
            <w:r>
              <w:rPr>
                <w:rFonts w:ascii="Times New Roman" w:eastAsia="Times New Roman" w:hAnsi="Times New Roman" w:cs="Times New Roman"/>
                <w:sz w:val="20"/>
                <w:szCs w:val="20"/>
                <w:lang w:eastAsia="en-ZA"/>
              </w:rPr>
              <w:t xml:space="preserve">several </w:t>
            </w:r>
            <w:r w:rsidRPr="004D1E6F">
              <w:rPr>
                <w:rFonts w:ascii="Times New Roman" w:eastAsia="Times New Roman" w:hAnsi="Times New Roman" w:cs="Times New Roman"/>
                <w:sz w:val="20"/>
                <w:szCs w:val="20"/>
                <w:lang w:eastAsia="en-ZA"/>
              </w:rPr>
              <w:t>western European countries</w:t>
            </w:r>
            <w:r>
              <w:rPr>
                <w:rFonts w:ascii="Times New Roman" w:eastAsia="Times New Roman" w:hAnsi="Times New Roman" w:cs="Times New Roman"/>
                <w:sz w:val="20"/>
                <w:szCs w:val="20"/>
                <w:lang w:eastAsia="en-ZA"/>
              </w:rPr>
              <w:t xml:space="preserve"> (Kouba et al. 2014; Gherardi &amp; </w:t>
            </w:r>
            <w:r w:rsidRPr="00FB4758">
              <w:rPr>
                <w:rFonts w:ascii="Times New Roman" w:eastAsia="Times New Roman" w:hAnsi="Times New Roman" w:cs="Times New Roman"/>
                <w:sz w:val="20"/>
                <w:szCs w:val="20"/>
                <w:lang w:eastAsia="en-ZA"/>
              </w:rPr>
              <w:t>Souty-Grousset 2017</w:t>
            </w:r>
            <w:r>
              <w:rPr>
                <w:rFonts w:ascii="Times New Roman" w:eastAsia="Times New Roman" w:hAnsi="Times New Roman" w:cs="Times New Roman"/>
                <w:sz w:val="20"/>
                <w:szCs w:val="20"/>
                <w:lang w:eastAsia="en-ZA"/>
              </w:rPr>
              <w:t>)</w:t>
            </w:r>
          </w:p>
        </w:tc>
      </w:tr>
      <w:tr w:rsidR="002D7080" w:rsidRPr="004D1E6F" w14:paraId="0376C9BA"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05D0009D" w14:textId="77777777"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17B42C21" w14:textId="77777777" w:rsidR="002D7080"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Gherardi</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F</w:t>
            </w:r>
            <w:r>
              <w:rPr>
                <w:rFonts w:ascii="Times New Roman" w:eastAsia="Times New Roman" w:hAnsi="Times New Roman" w:cs="Times New Roman"/>
                <w:sz w:val="20"/>
                <w:szCs w:val="20"/>
                <w:lang w:eastAsia="en-ZA"/>
              </w:rPr>
              <w:t>. &amp;</w:t>
            </w:r>
            <w:r w:rsidRPr="004D1E6F">
              <w:rPr>
                <w:rFonts w:ascii="Times New Roman" w:eastAsia="Times New Roman" w:hAnsi="Times New Roman" w:cs="Times New Roman"/>
                <w:sz w:val="20"/>
                <w:szCs w:val="20"/>
                <w:lang w:eastAsia="en-ZA"/>
              </w:rPr>
              <w:t xml:space="preserve"> Souty-Grosset C. 2017. </w:t>
            </w:r>
            <w:r w:rsidRPr="004D1E6F">
              <w:rPr>
                <w:rFonts w:ascii="Times New Roman" w:eastAsia="Times New Roman" w:hAnsi="Times New Roman" w:cs="Times New Roman"/>
                <w:i/>
                <w:iCs/>
                <w:sz w:val="20"/>
                <w:szCs w:val="20"/>
                <w:lang w:eastAsia="en-ZA"/>
              </w:rPr>
              <w:t>Pontastacus leptodactylus. The IUCN Red List of Threatened Species 2017</w:t>
            </w:r>
            <w:r w:rsidRPr="004D1E6F">
              <w:rPr>
                <w:rFonts w:ascii="Times New Roman" w:eastAsia="Times New Roman" w:hAnsi="Times New Roman" w:cs="Times New Roman"/>
                <w:sz w:val="20"/>
                <w:szCs w:val="20"/>
                <w:lang w:eastAsia="en-ZA"/>
              </w:rPr>
              <w:t>: e.T153745A120103207.</w:t>
            </w:r>
          </w:p>
          <w:p w14:paraId="760D9E17" w14:textId="2076D052"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6159EC">
              <w:rPr>
                <w:rFonts w:ascii="Times New Roman" w:eastAsia="Times New Roman" w:hAnsi="Times New Roman" w:cs="Times New Roman"/>
                <w:sz w:val="20"/>
                <w:szCs w:val="20"/>
                <w:lang w:eastAsia="en-ZA"/>
              </w:rPr>
              <w:t>Kouba</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 xml:space="preserve"> A</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 Petrusek</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 xml:space="preserve"> A</w:t>
            </w:r>
            <w:r>
              <w:rPr>
                <w:rFonts w:ascii="Times New Roman" w:eastAsia="Times New Roman" w:hAnsi="Times New Roman" w:cs="Times New Roman"/>
                <w:sz w:val="20"/>
                <w:szCs w:val="20"/>
                <w:lang w:eastAsia="en-ZA"/>
              </w:rPr>
              <w:t>. &amp;</w:t>
            </w:r>
            <w:r w:rsidRPr="006159EC">
              <w:rPr>
                <w:rFonts w:ascii="Times New Roman" w:eastAsia="Times New Roman" w:hAnsi="Times New Roman" w:cs="Times New Roman"/>
                <w:sz w:val="20"/>
                <w:szCs w:val="20"/>
                <w:lang w:eastAsia="en-ZA"/>
              </w:rPr>
              <w:t xml:space="preserve"> Kozák</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 xml:space="preserve"> P.</w:t>
            </w:r>
            <w:r>
              <w:rPr>
                <w:rFonts w:ascii="Times New Roman" w:eastAsia="Times New Roman" w:hAnsi="Times New Roman" w:cs="Times New Roman"/>
                <w:sz w:val="20"/>
                <w:szCs w:val="20"/>
                <w:lang w:eastAsia="en-ZA"/>
              </w:rPr>
              <w:t>, 2014,</w:t>
            </w:r>
            <w:r w:rsidRPr="006159EC">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Continental-wide distribution of crayfish species in Europe: update and maps</w:t>
            </w:r>
            <w:r>
              <w:rPr>
                <w:rFonts w:ascii="Times New Roman" w:eastAsia="Times New Roman" w:hAnsi="Times New Roman" w:cs="Times New Roman"/>
                <w:sz w:val="20"/>
                <w:szCs w:val="20"/>
                <w:lang w:eastAsia="en-ZA"/>
              </w:rPr>
              <w:t xml:space="preserve">’, </w:t>
            </w:r>
            <w:r w:rsidRPr="0053162B">
              <w:rPr>
                <w:rFonts w:ascii="Times New Roman" w:eastAsia="Times New Roman" w:hAnsi="Times New Roman" w:cs="Times New Roman"/>
                <w:i/>
                <w:iCs/>
                <w:sz w:val="20"/>
                <w:szCs w:val="20"/>
                <w:lang w:eastAsia="en-ZA"/>
              </w:rPr>
              <w:t>Knowledge Management of Aquatic Ecosystems</w:t>
            </w:r>
            <w:r>
              <w:rPr>
                <w:rFonts w:ascii="Times New Roman" w:eastAsia="Times New Roman" w:hAnsi="Times New Roman" w:cs="Times New Roman"/>
                <w:sz w:val="20"/>
                <w:szCs w:val="20"/>
                <w:lang w:eastAsia="en-ZA"/>
              </w:rPr>
              <w:t xml:space="preserve">, </w:t>
            </w:r>
            <w:r w:rsidRPr="006159EC">
              <w:rPr>
                <w:rFonts w:ascii="Times New Roman" w:eastAsia="Times New Roman" w:hAnsi="Times New Roman" w:cs="Times New Roman"/>
                <w:sz w:val="20"/>
                <w:szCs w:val="20"/>
                <w:lang w:eastAsia="en-ZA"/>
              </w:rPr>
              <w:t>413</w:t>
            </w:r>
            <w:r>
              <w:rPr>
                <w:rFonts w:ascii="Times New Roman" w:eastAsia="Times New Roman" w:hAnsi="Times New Roman" w:cs="Times New Roman"/>
                <w:sz w:val="20"/>
                <w:szCs w:val="20"/>
                <w:lang w:eastAsia="en-ZA"/>
              </w:rPr>
              <w:t xml:space="preserve">, </w:t>
            </w:r>
            <w:r w:rsidRPr="006159EC">
              <w:rPr>
                <w:rFonts w:ascii="Times New Roman" w:eastAsia="Times New Roman" w:hAnsi="Times New Roman" w:cs="Times New Roman"/>
                <w:sz w:val="20"/>
                <w:szCs w:val="20"/>
                <w:lang w:eastAsia="en-ZA"/>
              </w:rPr>
              <w:t>5</w:t>
            </w:r>
            <w:r w:rsidR="00356715">
              <w:rPr>
                <w:rFonts w:ascii="Times New Roman" w:eastAsia="Times New Roman" w:hAnsi="Times New Roman" w:cs="Times New Roman"/>
                <w:sz w:val="20"/>
                <w:szCs w:val="20"/>
                <w:lang w:eastAsia="en-ZA"/>
              </w:rPr>
              <w:t xml:space="preserve">, </w:t>
            </w:r>
            <w:r w:rsidR="00356715" w:rsidRPr="00356715">
              <w:rPr>
                <w:rFonts w:ascii="Times New Roman" w:eastAsia="Times New Roman" w:hAnsi="Times New Roman" w:cs="Times New Roman"/>
                <w:sz w:val="20"/>
                <w:szCs w:val="20"/>
                <w:lang w:eastAsia="en-ZA"/>
              </w:rPr>
              <w:t>https://doi.org/10.1051/kmae/2014007</w:t>
            </w:r>
          </w:p>
        </w:tc>
      </w:tr>
      <w:tr w:rsidR="002D7080" w:rsidRPr="004D1E6F" w14:paraId="5F4421AB" w14:textId="77777777" w:rsidTr="002E2C37">
        <w:trPr>
          <w:cantSplit/>
          <w:trHeight w:val="260"/>
        </w:trPr>
        <w:tc>
          <w:tcPr>
            <w:tcW w:w="8843"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F25914D"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BAC9 Geographic scope =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 xml:space="preserve"> under consideration</w:t>
            </w:r>
          </w:p>
        </w:tc>
      </w:tr>
      <w:tr w:rsidR="002D7080" w:rsidRPr="004D1E6F" w14:paraId="69C26195"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53CC9023"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 xml:space="preserve"> of assessment: </w:t>
            </w:r>
            <w:r>
              <w:rPr>
                <w:rFonts w:ascii="Times New Roman" w:eastAsia="Times New Roman" w:hAnsi="Times New Roman" w:cs="Times New Roman"/>
                <w:sz w:val="20"/>
                <w:szCs w:val="20"/>
                <w:lang w:eastAsia="en-ZA"/>
              </w:rPr>
              <w:t xml:space="preserve">South Africa </w:t>
            </w:r>
          </w:p>
        </w:tc>
      </w:tr>
      <w:tr w:rsidR="002D7080" w:rsidRPr="004D1E6F" w14:paraId="1F070289"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61268D49"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 The geographic scope of this assessment is limited to South Africa.</w:t>
            </w:r>
          </w:p>
        </w:tc>
      </w:tr>
      <w:tr w:rsidR="002D7080" w:rsidRPr="004D1E6F" w14:paraId="706E8F4F" w14:textId="77777777" w:rsidTr="002E2C37">
        <w:trPr>
          <w:cantSplit/>
          <w:trHeight w:val="233"/>
        </w:trPr>
        <w:tc>
          <w:tcPr>
            <w:tcW w:w="8843"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AF91384" w14:textId="77777777" w:rsidR="002D7080" w:rsidRPr="004D1E6F" w:rsidRDefault="002D7080" w:rsidP="00C9452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BAC10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present in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220474DC" w14:textId="77777777" w:rsidTr="002E2C37">
        <w:trPr>
          <w:cantSplit/>
          <w:trHeight w:val="70"/>
        </w:trPr>
        <w:tc>
          <w:tcPr>
            <w:tcW w:w="5183" w:type="dxa"/>
            <w:gridSpan w:val="3"/>
            <w:tcBorders>
              <w:top w:val="single" w:sz="4" w:space="0" w:color="auto"/>
              <w:left w:val="single" w:sz="4" w:space="0" w:color="auto"/>
              <w:bottom w:val="single" w:sz="4" w:space="0" w:color="auto"/>
              <w:right w:val="single" w:sz="4" w:space="0" w:color="auto"/>
            </w:tcBorders>
            <w:noWrap/>
          </w:tcPr>
          <w:p w14:paraId="5C7CBA51" w14:textId="77777777" w:rsidR="002D7080" w:rsidRPr="004D1E6F" w:rsidRDefault="002D7080" w:rsidP="00C9452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 No</w:t>
            </w:r>
          </w:p>
        </w:tc>
        <w:tc>
          <w:tcPr>
            <w:tcW w:w="3660" w:type="dxa"/>
            <w:tcBorders>
              <w:top w:val="single" w:sz="4" w:space="0" w:color="auto"/>
              <w:left w:val="single" w:sz="4" w:space="0" w:color="auto"/>
              <w:bottom w:val="single" w:sz="4" w:space="0" w:color="auto"/>
              <w:right w:val="single" w:sz="4" w:space="0" w:color="auto"/>
            </w:tcBorders>
          </w:tcPr>
          <w:p w14:paraId="38048F91" w14:textId="77777777" w:rsidR="002D7080" w:rsidRPr="004D1E6F" w:rsidRDefault="002D7080" w:rsidP="00C94525">
            <w:pPr>
              <w:spacing w:after="0" w:line="240" w:lineRule="auto"/>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506E68BD"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2003E4D4"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There are no records of </w:t>
            </w:r>
            <w:r w:rsidRPr="004D1E6F">
              <w:rPr>
                <w:rFonts w:ascii="Times New Roman" w:eastAsia="Times New Roman" w:hAnsi="Times New Roman" w:cs="Times New Roman"/>
                <w:i/>
                <w:iCs/>
                <w:sz w:val="20"/>
                <w:szCs w:val="20"/>
                <w:lang w:eastAsia="en-ZA"/>
              </w:rPr>
              <w:t>Pontastacus leptodactylus</w:t>
            </w:r>
            <w:r>
              <w:rPr>
                <w:rFonts w:ascii="Times New Roman" w:eastAsia="Times New Roman" w:hAnsi="Times New Roman" w:cs="Times New Roman"/>
                <w:i/>
                <w:iCs/>
                <w:sz w:val="20"/>
                <w:szCs w:val="20"/>
                <w:lang w:eastAsia="en-ZA"/>
              </w:rPr>
              <w:t xml:space="preserve"> </w:t>
            </w:r>
            <w:r>
              <w:rPr>
                <w:rFonts w:ascii="Times New Roman" w:eastAsia="Times New Roman" w:hAnsi="Times New Roman" w:cs="Times New Roman"/>
                <w:sz w:val="20"/>
                <w:szCs w:val="20"/>
                <w:lang w:eastAsia="en-ZA"/>
              </w:rPr>
              <w:t xml:space="preserve">being present in South Africa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Nunes et al. 2017)", "plainTextFormattedCitation" : "(Lodge et al. 2012, Nunes et al. 2017)", "previouslyFormattedCitation" : "(Lodge et al. 2012, Nunes et al. 2017)"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w:t>
            </w:r>
          </w:p>
        </w:tc>
      </w:tr>
      <w:tr w:rsidR="002D7080" w:rsidRPr="004D1E6F" w14:paraId="63534681"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36B4FEB1" w14:textId="77777777"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89B9295" w14:textId="0922A578"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449" w:history="1">
              <w:r w:rsidR="00356715" w:rsidRPr="00356715">
                <w:rPr>
                  <w:rStyle w:val="Hyperlink"/>
                  <w:rFonts w:ascii="Times New Roman" w:eastAsia="Times New Roman" w:hAnsi="Times New Roman" w:cs="Times New Roman"/>
                  <w:sz w:val="20"/>
                  <w:szCs w:val="20"/>
                  <w:lang w:eastAsia="en-ZA"/>
                </w:rPr>
                <w:t>https://doi.org/10.2989/16085914.2017.1405788</w:t>
              </w:r>
            </w:hyperlink>
          </w:p>
        </w:tc>
      </w:tr>
      <w:tr w:rsidR="002D7080" w:rsidRPr="004D1E6F" w14:paraId="6DE1D561" w14:textId="77777777" w:rsidTr="002E2C37">
        <w:trPr>
          <w:cantSplit/>
          <w:trHeight w:val="233"/>
        </w:trPr>
        <w:tc>
          <w:tcPr>
            <w:tcW w:w="8843"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CC49DAE" w14:textId="77777777" w:rsidR="002D7080" w:rsidRPr="004D1E6F" w:rsidRDefault="002D7080" w:rsidP="00C5761E">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BAC11 Availability of physical specimen</w:t>
            </w:r>
          </w:p>
        </w:tc>
      </w:tr>
      <w:tr w:rsidR="002D7080" w:rsidRPr="004D1E6F" w14:paraId="4E955930" w14:textId="77777777" w:rsidTr="002E2C37">
        <w:trPr>
          <w:cantSplit/>
          <w:trHeight w:val="70"/>
        </w:trPr>
        <w:tc>
          <w:tcPr>
            <w:tcW w:w="5183" w:type="dxa"/>
            <w:gridSpan w:val="3"/>
            <w:tcBorders>
              <w:top w:val="single" w:sz="4" w:space="0" w:color="auto"/>
              <w:left w:val="single" w:sz="4" w:space="0" w:color="auto"/>
              <w:bottom w:val="single" w:sz="4" w:space="0" w:color="auto"/>
              <w:right w:val="single" w:sz="4" w:space="0" w:color="auto"/>
            </w:tcBorders>
            <w:noWrap/>
          </w:tcPr>
          <w:p w14:paraId="0BC3DAC9" w14:textId="77777777" w:rsidR="002D7080" w:rsidRPr="004D1E6F" w:rsidRDefault="002D7080" w:rsidP="00C5761E">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 N</w:t>
            </w:r>
            <w:r>
              <w:rPr>
                <w:rFonts w:ascii="Times New Roman" w:eastAsia="Times New Roman" w:hAnsi="Times New Roman" w:cs="Times New Roman"/>
                <w:sz w:val="20"/>
                <w:szCs w:val="20"/>
                <w:lang w:eastAsia="en-ZA"/>
              </w:rPr>
              <w:t>o</w:t>
            </w:r>
          </w:p>
        </w:tc>
        <w:tc>
          <w:tcPr>
            <w:tcW w:w="3660" w:type="dxa"/>
            <w:tcBorders>
              <w:top w:val="single" w:sz="4" w:space="0" w:color="auto"/>
              <w:left w:val="single" w:sz="4" w:space="0" w:color="auto"/>
              <w:bottom w:val="single" w:sz="4" w:space="0" w:color="auto"/>
              <w:right w:val="single" w:sz="4" w:space="0" w:color="auto"/>
            </w:tcBorders>
          </w:tcPr>
          <w:p w14:paraId="73ACFDE6" w14:textId="77777777" w:rsidR="002D7080" w:rsidRPr="004D1E6F" w:rsidRDefault="002D7080" w:rsidP="002E2C37">
            <w:pPr>
              <w:spacing w:after="0" w:line="240" w:lineRule="auto"/>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in ID:</w:t>
            </w:r>
          </w:p>
        </w:tc>
      </w:tr>
      <w:tr w:rsidR="002D7080" w:rsidRPr="004D1E6F" w14:paraId="4A88B7FA" w14:textId="77777777" w:rsidTr="002E2C37">
        <w:trPr>
          <w:cantSplit/>
          <w:trHeight w:val="148"/>
        </w:trPr>
        <w:tc>
          <w:tcPr>
            <w:tcW w:w="8843" w:type="dxa"/>
            <w:gridSpan w:val="4"/>
            <w:tcBorders>
              <w:top w:val="single" w:sz="4" w:space="0" w:color="auto"/>
              <w:left w:val="single" w:sz="4" w:space="0" w:color="auto"/>
              <w:bottom w:val="single" w:sz="4" w:space="0" w:color="auto"/>
              <w:right w:val="single" w:sz="4" w:space="0" w:color="auto"/>
            </w:tcBorders>
            <w:noWrap/>
          </w:tcPr>
          <w:p w14:paraId="528B715C"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Herbarium or museum accession number:</w:t>
            </w:r>
            <w:r>
              <w:rPr>
                <w:rFonts w:ascii="Times New Roman" w:eastAsia="Times New Roman" w:hAnsi="Times New Roman" w:cs="Times New Roman"/>
                <w:sz w:val="20"/>
                <w:szCs w:val="20"/>
                <w:lang w:eastAsia="en-ZA"/>
              </w:rPr>
              <w:t xml:space="preserve"> </w:t>
            </w:r>
            <w:r w:rsidRPr="00230829">
              <w:rPr>
                <w:rFonts w:ascii="Times New Roman" w:eastAsia="Times New Roman" w:hAnsi="Times New Roman" w:cs="Times New Roman"/>
                <w:i/>
                <w:iCs/>
                <w:sz w:val="20"/>
                <w:szCs w:val="20"/>
                <w:lang w:eastAsia="en-ZA"/>
              </w:rPr>
              <w:t>Pontastacus leptodactylus is</w:t>
            </w:r>
            <w:r w:rsidRPr="004D1E6F">
              <w:rPr>
                <w:rFonts w:ascii="Times New Roman" w:eastAsia="Times New Roman" w:hAnsi="Times New Roman" w:cs="Times New Roman"/>
                <w:sz w:val="20"/>
                <w:szCs w:val="20"/>
                <w:lang w:eastAsia="en-ZA"/>
              </w:rPr>
              <w:t xml:space="preserve"> not present in South Africa</w:t>
            </w:r>
            <w:r>
              <w:rPr>
                <w:rFonts w:ascii="Times New Roman" w:eastAsia="Times New Roman" w:hAnsi="Times New Roman" w:cs="Times New Roman"/>
                <w:sz w:val="20"/>
                <w:szCs w:val="20"/>
                <w:lang w:eastAsia="en-ZA"/>
              </w:rPr>
              <w:t xml:space="preserve"> (Nunes et al. 2017)</w:t>
            </w:r>
          </w:p>
        </w:tc>
      </w:tr>
      <w:tr w:rsidR="002D7080" w:rsidRPr="004D1E6F" w14:paraId="537A49CB"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7A06DEB0" w14:textId="77777777" w:rsidR="002D7080"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749A0337" w14:textId="1132B19B"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450" w:history="1">
              <w:r w:rsidR="00356715" w:rsidRPr="00356715">
                <w:rPr>
                  <w:rStyle w:val="Hyperlink"/>
                  <w:rFonts w:ascii="Times New Roman" w:eastAsia="Times New Roman" w:hAnsi="Times New Roman" w:cs="Times New Roman"/>
                  <w:sz w:val="20"/>
                  <w:szCs w:val="20"/>
                  <w:lang w:eastAsia="en-ZA"/>
                </w:rPr>
                <w:t>https://doi.org/10.2989/16085914.2017.1405788</w:t>
              </w:r>
            </w:hyperlink>
          </w:p>
        </w:tc>
      </w:tr>
      <w:tr w:rsidR="002D7080" w:rsidRPr="004D1E6F" w14:paraId="310A2244" w14:textId="77777777" w:rsidTr="002E2C37">
        <w:trPr>
          <w:cantSplit/>
          <w:trHeight w:val="242"/>
        </w:trPr>
        <w:tc>
          <w:tcPr>
            <w:tcW w:w="8843"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56DD17B" w14:textId="77777777" w:rsidR="002D7080" w:rsidRPr="004D1E6F" w:rsidRDefault="002D7080" w:rsidP="00C9452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BAC12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native to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 xml:space="preserve"> or part of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217AB544" w14:textId="77777777" w:rsidTr="002E2C37">
        <w:trPr>
          <w:cantSplit/>
          <w:trHeight w:val="70"/>
        </w:trPr>
        <w:tc>
          <w:tcPr>
            <w:tcW w:w="4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CD16896"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native to (part of) the </w:t>
            </w: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w:t>
            </w:r>
          </w:p>
        </w:tc>
        <w:tc>
          <w:tcPr>
            <w:tcW w:w="683" w:type="dxa"/>
            <w:tcBorders>
              <w:top w:val="single" w:sz="4" w:space="0" w:color="auto"/>
              <w:left w:val="nil"/>
              <w:bottom w:val="single" w:sz="4" w:space="0" w:color="auto"/>
              <w:right w:val="single" w:sz="4" w:space="0" w:color="auto"/>
            </w:tcBorders>
          </w:tcPr>
          <w:p w14:paraId="38A6332F" w14:textId="77777777" w:rsidR="002D7080" w:rsidRPr="004D1E6F" w:rsidRDefault="002D7080" w:rsidP="00C94525">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c>
          <w:tcPr>
            <w:tcW w:w="3660" w:type="dxa"/>
            <w:tcBorders>
              <w:top w:val="single" w:sz="4" w:space="0" w:color="auto"/>
              <w:left w:val="nil"/>
              <w:bottom w:val="single" w:sz="4" w:space="0" w:color="auto"/>
              <w:right w:val="single" w:sz="4" w:space="0" w:color="auto"/>
            </w:tcBorders>
          </w:tcPr>
          <w:p w14:paraId="5B06731B" w14:textId="77777777" w:rsidR="002D7080" w:rsidRPr="004D1E6F" w:rsidRDefault="002D7080" w:rsidP="00C94525">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42F2CBA8" w14:textId="77777777" w:rsidTr="002E2C37">
        <w:trPr>
          <w:cantSplit/>
          <w:trHeight w:val="70"/>
        </w:trPr>
        <w:tc>
          <w:tcPr>
            <w:tcW w:w="4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B88BF1A"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alien in (part of) the </w:t>
            </w: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w:t>
            </w:r>
          </w:p>
        </w:tc>
        <w:tc>
          <w:tcPr>
            <w:tcW w:w="683" w:type="dxa"/>
            <w:tcBorders>
              <w:top w:val="single" w:sz="4" w:space="0" w:color="auto"/>
              <w:left w:val="nil"/>
              <w:bottom w:val="single" w:sz="4" w:space="0" w:color="auto"/>
              <w:right w:val="single" w:sz="4" w:space="0" w:color="auto"/>
            </w:tcBorders>
          </w:tcPr>
          <w:p w14:paraId="48183AA3" w14:textId="77777777" w:rsidR="002D7080" w:rsidRPr="004D1E6F" w:rsidRDefault="002D7080" w:rsidP="00C94525">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Yes</w:t>
            </w:r>
          </w:p>
        </w:tc>
        <w:tc>
          <w:tcPr>
            <w:tcW w:w="3660" w:type="dxa"/>
            <w:tcBorders>
              <w:top w:val="single" w:sz="4" w:space="0" w:color="auto"/>
              <w:left w:val="nil"/>
              <w:bottom w:val="single" w:sz="4" w:space="0" w:color="auto"/>
              <w:right w:val="single" w:sz="4" w:space="0" w:color="auto"/>
            </w:tcBorders>
          </w:tcPr>
          <w:p w14:paraId="648E5229" w14:textId="77777777" w:rsidR="002D7080" w:rsidRPr="004D1E6F" w:rsidRDefault="002D7080" w:rsidP="00C94525">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61A51638"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777BC0EC" w14:textId="2B84BAAD" w:rsidR="002D7080" w:rsidRPr="004D1E6F" w:rsidRDefault="002D7080" w:rsidP="00C94525">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Pr>
                <w:rFonts w:ascii="Times New Roman" w:eastAsia="Times New Roman" w:hAnsi="Times New Roman" w:cs="Times New Roman"/>
                <w:sz w:val="20"/>
                <w:szCs w:val="20"/>
                <w:lang w:eastAsia="en-ZA"/>
              </w:rPr>
              <w:t xml:space="preserve"> There are no native crayfish species in </w:t>
            </w:r>
            <w:r w:rsidRPr="004D1E6F">
              <w:rPr>
                <w:rFonts w:ascii="Times New Roman" w:eastAsia="Times New Roman" w:hAnsi="Times New Roman" w:cs="Times New Roman"/>
                <w:sz w:val="20"/>
                <w:szCs w:val="20"/>
                <w:lang w:eastAsia="en-ZA"/>
              </w:rPr>
              <w:t xml:space="preserve">South Africa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 Nunes et al. 2017)</w:t>
            </w:r>
            <w:r w:rsidRPr="004D1E6F">
              <w:rPr>
                <w:rFonts w:ascii="Times New Roman" w:eastAsia="Times New Roman" w:hAnsi="Times New Roman" w:cs="Times New Roman"/>
                <w:sz w:val="20"/>
                <w:szCs w:val="20"/>
                <w:lang w:eastAsia="en-ZA"/>
              </w:rPr>
              <w:fldChar w:fldCharType="end"/>
            </w:r>
          </w:p>
        </w:tc>
      </w:tr>
      <w:tr w:rsidR="002D7080" w:rsidRPr="004D1E6F" w14:paraId="5276A8A1"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15523F2F" w14:textId="77777777"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0F4EA394" w14:textId="60D445F2" w:rsidR="002D7080" w:rsidRPr="004D1E6F" w:rsidRDefault="008A0BC6" w:rsidP="00C94525">
            <w:pPr>
              <w:spacing w:after="0"/>
              <w:ind w:left="720" w:hanging="720"/>
              <w:jc w:val="both"/>
              <w:rPr>
                <w:rFonts w:ascii="Times New Roman" w:eastAsia="Times New Roman" w:hAnsi="Times New Roman" w:cs="Times New Roman"/>
                <w:sz w:val="20"/>
                <w:szCs w:val="20"/>
                <w:lang w:eastAsia="en-ZA"/>
              </w:rPr>
            </w:pPr>
            <w:r>
              <w:rPr>
                <w:rFonts w:ascii="Times New Roman" w:eastAsia="Times New Roman" w:hAnsi="Times New Roman" w:cs="Times New Roman"/>
                <w:color w:val="000000"/>
                <w:sz w:val="20"/>
                <w:szCs w:val="20"/>
                <w:lang w:eastAsia="en-ZA"/>
              </w:rPr>
              <w:t>De Moor</w:t>
            </w:r>
            <w:r w:rsidR="002D7080" w:rsidRPr="004D1E6F">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 </w:t>
            </w:r>
            <w:r w:rsidR="00356715" w:rsidRPr="00D66918">
              <w:rPr>
                <w:rFonts w:ascii="Times New Roman" w:eastAsia="Times New Roman" w:hAnsi="Times New Roman" w:cs="Times New Roman"/>
                <w:sz w:val="20"/>
                <w:szCs w:val="20"/>
                <w:lang w:eastAsia="en-ZA"/>
              </w:rPr>
              <w:t xml:space="preserve">, </w:t>
            </w:r>
            <w:hyperlink r:id="rId451" w:history="1">
              <w:r w:rsidR="00356715" w:rsidRPr="00D66918">
                <w:rPr>
                  <w:rStyle w:val="Hyperlink"/>
                  <w:rFonts w:ascii="Times New Roman" w:eastAsia="Times New Roman" w:hAnsi="Times New Roman" w:cs="Times New Roman"/>
                  <w:sz w:val="20"/>
                  <w:szCs w:val="20"/>
                  <w:lang w:eastAsia="en-ZA"/>
                </w:rPr>
                <w:t>https://doi.org/10.2989/16085914.2002.9626584</w:t>
              </w:r>
            </w:hyperlink>
          </w:p>
          <w:p w14:paraId="56E60C67" w14:textId="4A8C4F6C"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452" w:history="1">
              <w:r w:rsidR="00356715" w:rsidRPr="00356715">
                <w:rPr>
                  <w:rStyle w:val="Hyperlink"/>
                  <w:rFonts w:ascii="Times New Roman" w:eastAsia="Times New Roman" w:hAnsi="Times New Roman" w:cs="Times New Roman"/>
                  <w:sz w:val="20"/>
                  <w:szCs w:val="20"/>
                  <w:lang w:eastAsia="en-ZA"/>
                </w:rPr>
                <w:t>https://doi.org/10.2989/16085914.2017.1405788</w:t>
              </w:r>
            </w:hyperlink>
          </w:p>
        </w:tc>
      </w:tr>
      <w:tr w:rsidR="002D7080" w:rsidRPr="004D1E6F" w14:paraId="259CA4C7" w14:textId="77777777" w:rsidTr="002E2C37">
        <w:trPr>
          <w:cantSplit/>
          <w:trHeight w:val="260"/>
        </w:trPr>
        <w:tc>
          <w:tcPr>
            <w:tcW w:w="8843"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D3000D5"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BAC13 What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’s introduction status in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359E92A4" w14:textId="77777777" w:rsidTr="002E2C37">
        <w:trPr>
          <w:cantSplit/>
          <w:trHeight w:val="90"/>
        </w:trPr>
        <w:tc>
          <w:tcPr>
            <w:tcW w:w="4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56A1F05"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in cultivation/containment.</w:t>
            </w:r>
          </w:p>
        </w:tc>
        <w:tc>
          <w:tcPr>
            <w:tcW w:w="683" w:type="dxa"/>
            <w:tcBorders>
              <w:top w:val="single" w:sz="4" w:space="0" w:color="auto"/>
              <w:left w:val="single" w:sz="4" w:space="0" w:color="auto"/>
              <w:bottom w:val="single" w:sz="4" w:space="0" w:color="auto"/>
              <w:right w:val="single" w:sz="4" w:space="0" w:color="auto"/>
            </w:tcBorders>
          </w:tcPr>
          <w:p w14:paraId="5334A32F"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Pr>
                <w:rFonts w:ascii="Times New Roman" w:eastAsia="Times New Roman" w:hAnsi="Times New Roman" w:cs="Times New Roman"/>
                <w:color w:val="000000"/>
                <w:sz w:val="20"/>
                <w:szCs w:val="20"/>
                <w:lang w:eastAsia="en-ZA"/>
              </w:rPr>
              <w:t xml:space="preserve">Don’t know </w:t>
            </w:r>
          </w:p>
        </w:tc>
        <w:tc>
          <w:tcPr>
            <w:tcW w:w="3660" w:type="dxa"/>
            <w:tcBorders>
              <w:top w:val="single" w:sz="4" w:space="0" w:color="auto"/>
              <w:left w:val="single" w:sz="4" w:space="0" w:color="auto"/>
              <w:bottom w:val="single" w:sz="4" w:space="0" w:color="auto"/>
              <w:right w:val="single" w:sz="4" w:space="0" w:color="auto"/>
            </w:tcBorders>
          </w:tcPr>
          <w:p w14:paraId="25652DE6"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7F615E2E" w14:textId="77777777" w:rsidTr="002E2C37">
        <w:trPr>
          <w:cantSplit/>
          <w:trHeight w:val="87"/>
        </w:trPr>
        <w:tc>
          <w:tcPr>
            <w:tcW w:w="4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F6C7F5D"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present outside of cultivation/containment.</w:t>
            </w:r>
          </w:p>
        </w:tc>
        <w:tc>
          <w:tcPr>
            <w:tcW w:w="683" w:type="dxa"/>
            <w:tcBorders>
              <w:top w:val="single" w:sz="4" w:space="0" w:color="auto"/>
              <w:left w:val="single" w:sz="4" w:space="0" w:color="auto"/>
              <w:bottom w:val="single" w:sz="4" w:space="0" w:color="auto"/>
              <w:right w:val="single" w:sz="4" w:space="0" w:color="auto"/>
            </w:tcBorders>
          </w:tcPr>
          <w:p w14:paraId="205EC7D6"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w:t>
            </w:r>
          </w:p>
        </w:tc>
        <w:tc>
          <w:tcPr>
            <w:tcW w:w="3660" w:type="dxa"/>
            <w:tcBorders>
              <w:top w:val="single" w:sz="4" w:space="0" w:color="auto"/>
              <w:left w:val="single" w:sz="4" w:space="0" w:color="auto"/>
              <w:bottom w:val="single" w:sz="4" w:space="0" w:color="auto"/>
              <w:right w:val="single" w:sz="4" w:space="0" w:color="auto"/>
            </w:tcBorders>
          </w:tcPr>
          <w:p w14:paraId="6F25274B"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488CA27A" w14:textId="77777777" w:rsidTr="002E2C37">
        <w:trPr>
          <w:cantSplit/>
          <w:trHeight w:val="87"/>
        </w:trPr>
        <w:tc>
          <w:tcPr>
            <w:tcW w:w="4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5670751"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has established/naturalised.</w:t>
            </w:r>
          </w:p>
        </w:tc>
        <w:tc>
          <w:tcPr>
            <w:tcW w:w="683" w:type="dxa"/>
            <w:tcBorders>
              <w:top w:val="single" w:sz="4" w:space="0" w:color="auto"/>
              <w:left w:val="single" w:sz="4" w:space="0" w:color="auto"/>
              <w:bottom w:val="single" w:sz="4" w:space="0" w:color="auto"/>
              <w:right w:val="single" w:sz="4" w:space="0" w:color="auto"/>
            </w:tcBorders>
          </w:tcPr>
          <w:p w14:paraId="6C908AF6"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w:t>
            </w:r>
          </w:p>
        </w:tc>
        <w:tc>
          <w:tcPr>
            <w:tcW w:w="3660" w:type="dxa"/>
            <w:tcBorders>
              <w:top w:val="single" w:sz="4" w:space="0" w:color="auto"/>
              <w:left w:val="single" w:sz="4" w:space="0" w:color="auto"/>
              <w:bottom w:val="single" w:sz="4" w:space="0" w:color="auto"/>
              <w:right w:val="single" w:sz="4" w:space="0" w:color="auto"/>
            </w:tcBorders>
          </w:tcPr>
          <w:p w14:paraId="002FE5B9"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40F7B631" w14:textId="77777777" w:rsidTr="002E2C37">
        <w:trPr>
          <w:cantSplit/>
          <w:trHeight w:val="87"/>
        </w:trPr>
        <w:tc>
          <w:tcPr>
            <w:tcW w:w="45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6420BF8"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invasive.</w:t>
            </w:r>
          </w:p>
        </w:tc>
        <w:tc>
          <w:tcPr>
            <w:tcW w:w="683" w:type="dxa"/>
            <w:tcBorders>
              <w:top w:val="single" w:sz="4" w:space="0" w:color="auto"/>
              <w:left w:val="single" w:sz="4" w:space="0" w:color="auto"/>
              <w:bottom w:val="single" w:sz="4" w:space="0" w:color="auto"/>
              <w:right w:val="single" w:sz="4" w:space="0" w:color="auto"/>
            </w:tcBorders>
          </w:tcPr>
          <w:p w14:paraId="3ED215AA"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No </w:t>
            </w:r>
          </w:p>
        </w:tc>
        <w:tc>
          <w:tcPr>
            <w:tcW w:w="3660" w:type="dxa"/>
            <w:tcBorders>
              <w:top w:val="single" w:sz="4" w:space="0" w:color="auto"/>
              <w:left w:val="single" w:sz="4" w:space="0" w:color="auto"/>
              <w:bottom w:val="single" w:sz="4" w:space="0" w:color="auto"/>
              <w:right w:val="single" w:sz="4" w:space="0" w:color="auto"/>
            </w:tcBorders>
          </w:tcPr>
          <w:p w14:paraId="1C95FC2B"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1F692F12"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7A1554F5" w14:textId="77777777" w:rsidR="002D7080" w:rsidRPr="004D1E6F" w:rsidRDefault="002D7080" w:rsidP="00C9452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Comments: </w:t>
            </w:r>
            <w:r w:rsidRPr="00230829">
              <w:rPr>
                <w:rFonts w:ascii="Times New Roman" w:eastAsia="Times New Roman" w:hAnsi="Times New Roman" w:cs="Times New Roman"/>
                <w:i/>
                <w:iCs/>
                <w:sz w:val="20"/>
                <w:szCs w:val="20"/>
                <w:lang w:eastAsia="en-ZA"/>
              </w:rPr>
              <w:t>Pontastacus</w:t>
            </w:r>
            <w:r>
              <w:rPr>
                <w:rFonts w:ascii="Times New Roman" w:eastAsia="Times New Roman" w:hAnsi="Times New Roman" w:cs="Times New Roman"/>
                <w:i/>
                <w:iCs/>
                <w:sz w:val="20"/>
                <w:szCs w:val="20"/>
                <w:lang w:eastAsia="en-ZA"/>
              </w:rPr>
              <w:t xml:space="preserve"> </w:t>
            </w:r>
            <w:r w:rsidRPr="00230829">
              <w:rPr>
                <w:rFonts w:ascii="Times New Roman" w:eastAsia="Times New Roman" w:hAnsi="Times New Roman" w:cs="Times New Roman"/>
                <w:i/>
                <w:iCs/>
                <w:sz w:val="20"/>
                <w:szCs w:val="20"/>
                <w:lang w:eastAsia="en-ZA"/>
              </w:rPr>
              <w:t>leptodactylus</w:t>
            </w:r>
            <w:r>
              <w:rPr>
                <w:rFonts w:ascii="Times New Roman" w:eastAsia="Times New Roman" w:hAnsi="Times New Roman" w:cs="Times New Roman"/>
                <w:i/>
                <w:iCs/>
                <w:sz w:val="20"/>
                <w:szCs w:val="20"/>
                <w:lang w:eastAsia="en-ZA"/>
              </w:rPr>
              <w:t xml:space="preserve"> </w:t>
            </w:r>
            <w:r w:rsidRPr="00230829">
              <w:rPr>
                <w:rFonts w:ascii="Times New Roman" w:eastAsia="Times New Roman" w:hAnsi="Times New Roman" w:cs="Times New Roman"/>
                <w:sz w:val="20"/>
                <w:szCs w:val="20"/>
                <w:lang w:eastAsia="en-ZA"/>
              </w:rPr>
              <w:t xml:space="preserve">has been introduced into several </w:t>
            </w:r>
            <w:r>
              <w:rPr>
                <w:rFonts w:ascii="Times New Roman" w:eastAsia="Times New Roman" w:hAnsi="Times New Roman" w:cs="Times New Roman"/>
                <w:sz w:val="20"/>
                <w:szCs w:val="20"/>
                <w:lang w:eastAsia="en-ZA"/>
              </w:rPr>
              <w:t xml:space="preserve">countries in Europe for aquaculture </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Kouba et al. 2014</w:t>
            </w:r>
            <w:r w:rsidRPr="004D1E6F">
              <w:rPr>
                <w:rFonts w:ascii="Times New Roman" w:eastAsia="Times New Roman" w:hAnsi="Times New Roman" w:cs="Times New Roman"/>
                <w:sz w:val="20"/>
                <w:szCs w:val="20"/>
                <w:lang w:eastAsia="en-ZA"/>
              </w:rPr>
              <w:t>) but there are no verified records of its presence in South Africa (Nunes et al. 2017).</w:t>
            </w:r>
          </w:p>
        </w:tc>
      </w:tr>
      <w:tr w:rsidR="002D7080" w:rsidRPr="004D1E6F" w14:paraId="66B3FE64"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213F86F4" w14:textId="77777777"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1D290813" w14:textId="03CFBB67" w:rsidR="002D7080" w:rsidRDefault="002D7080" w:rsidP="00C94525">
            <w:pPr>
              <w:spacing w:after="0"/>
              <w:ind w:left="720" w:hanging="720"/>
              <w:jc w:val="both"/>
              <w:rPr>
                <w:rFonts w:ascii="Times New Roman" w:eastAsia="Times New Roman" w:hAnsi="Times New Roman" w:cs="Times New Roman"/>
                <w:sz w:val="20"/>
                <w:szCs w:val="20"/>
                <w:lang w:eastAsia="en-ZA"/>
              </w:rPr>
            </w:pPr>
            <w:r w:rsidRPr="006159EC">
              <w:rPr>
                <w:rFonts w:ascii="Times New Roman" w:eastAsia="Times New Roman" w:hAnsi="Times New Roman" w:cs="Times New Roman"/>
                <w:sz w:val="20"/>
                <w:szCs w:val="20"/>
                <w:lang w:eastAsia="en-ZA"/>
              </w:rPr>
              <w:t>Kouba A, Petrusek A, Kozák P.</w:t>
            </w:r>
            <w:r>
              <w:rPr>
                <w:rFonts w:ascii="Times New Roman" w:eastAsia="Times New Roman" w:hAnsi="Times New Roman" w:cs="Times New Roman"/>
                <w:sz w:val="20"/>
                <w:szCs w:val="20"/>
                <w:lang w:eastAsia="en-ZA"/>
              </w:rPr>
              <w:t xml:space="preserve"> 2014.</w:t>
            </w:r>
            <w:r w:rsidRPr="006159EC">
              <w:rPr>
                <w:rFonts w:ascii="Times New Roman" w:eastAsia="Times New Roman" w:hAnsi="Times New Roman" w:cs="Times New Roman"/>
                <w:sz w:val="20"/>
                <w:szCs w:val="20"/>
                <w:lang w:eastAsia="en-ZA"/>
              </w:rPr>
              <w:t xml:space="preserve"> Continental-wide distribution of crayfish species in Europe: update and maps. </w:t>
            </w:r>
            <w:r w:rsidRPr="00D119E0">
              <w:rPr>
                <w:rFonts w:ascii="Times New Roman" w:eastAsia="Times New Roman" w:hAnsi="Times New Roman" w:cs="Times New Roman"/>
                <w:i/>
                <w:iCs/>
                <w:sz w:val="20"/>
                <w:szCs w:val="20"/>
                <w:lang w:eastAsia="en-ZA"/>
              </w:rPr>
              <w:t>Knowledge Management of Aquatic Ecosystems</w:t>
            </w:r>
            <w:r>
              <w:rPr>
                <w:rFonts w:ascii="Times New Roman" w:eastAsia="Times New Roman" w:hAnsi="Times New Roman" w:cs="Times New Roman"/>
                <w:sz w:val="20"/>
                <w:szCs w:val="20"/>
                <w:lang w:eastAsia="en-ZA"/>
              </w:rPr>
              <w:t xml:space="preserve"> </w:t>
            </w:r>
            <w:r w:rsidRPr="006159EC">
              <w:rPr>
                <w:rFonts w:ascii="Times New Roman" w:eastAsia="Times New Roman" w:hAnsi="Times New Roman" w:cs="Times New Roman"/>
                <w:sz w:val="20"/>
                <w:szCs w:val="20"/>
                <w:lang w:eastAsia="en-ZA"/>
              </w:rPr>
              <w:t>413:5</w:t>
            </w:r>
            <w:r w:rsidR="00356715">
              <w:rPr>
                <w:rFonts w:ascii="Times New Roman" w:eastAsia="Times New Roman" w:hAnsi="Times New Roman" w:cs="Times New Roman"/>
                <w:sz w:val="20"/>
                <w:szCs w:val="20"/>
                <w:lang w:eastAsia="en-ZA"/>
              </w:rPr>
              <w:t xml:space="preserve">, </w:t>
            </w:r>
            <w:r w:rsidR="00356715" w:rsidRPr="00356715">
              <w:rPr>
                <w:rFonts w:ascii="Times New Roman" w:eastAsia="Times New Roman" w:hAnsi="Times New Roman" w:cs="Times New Roman"/>
                <w:sz w:val="20"/>
                <w:szCs w:val="20"/>
                <w:lang w:eastAsia="en-ZA"/>
              </w:rPr>
              <w:t>https://doi.org/10.1051/kmae/2014007</w:t>
            </w:r>
          </w:p>
          <w:p w14:paraId="4A2774AD" w14:textId="535517BD"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453" w:history="1">
              <w:r w:rsidR="00356715" w:rsidRPr="00356715">
                <w:rPr>
                  <w:rStyle w:val="Hyperlink"/>
                  <w:rFonts w:ascii="Times New Roman" w:eastAsia="Times New Roman" w:hAnsi="Times New Roman" w:cs="Times New Roman"/>
                  <w:sz w:val="20"/>
                  <w:szCs w:val="20"/>
                  <w:lang w:eastAsia="en-ZA"/>
                </w:rPr>
                <w:t>https://doi.org/10.2989/16085914.2017.1405788</w:t>
              </w:r>
            </w:hyperlink>
          </w:p>
        </w:tc>
      </w:tr>
      <w:tr w:rsidR="002D7080" w:rsidRPr="004D1E6F" w14:paraId="21028A4F" w14:textId="77777777" w:rsidTr="002E2C37">
        <w:trPr>
          <w:cantSplit/>
          <w:trHeight w:val="419"/>
        </w:trPr>
        <w:tc>
          <w:tcPr>
            <w:tcW w:w="8843"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2333199" w14:textId="77777777" w:rsidR="002D7080" w:rsidRPr="004D1E6F" w:rsidRDefault="002D7080" w:rsidP="002E2C37">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BAC14 Primary (introduction) pathways</w:t>
            </w:r>
          </w:p>
        </w:tc>
      </w:tr>
      <w:tr w:rsidR="002D7080" w:rsidRPr="004D1E6F" w14:paraId="01DB1BCD" w14:textId="77777777" w:rsidTr="002E2C37">
        <w:trPr>
          <w:cantSplit/>
          <w:trHeight w:val="61"/>
        </w:trPr>
        <w:tc>
          <w:tcPr>
            <w:tcW w:w="2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980B65D"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Release</w:t>
            </w:r>
          </w:p>
        </w:tc>
        <w:tc>
          <w:tcPr>
            <w:tcW w:w="2483" w:type="dxa"/>
            <w:gridSpan w:val="2"/>
            <w:tcBorders>
              <w:top w:val="single" w:sz="4" w:space="0" w:color="auto"/>
              <w:left w:val="single" w:sz="4" w:space="0" w:color="auto"/>
              <w:bottom w:val="single" w:sz="4" w:space="0" w:color="auto"/>
              <w:right w:val="single" w:sz="4" w:space="0" w:color="auto"/>
            </w:tcBorders>
          </w:tcPr>
          <w:p w14:paraId="59E0FA6E"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3660" w:type="dxa"/>
            <w:tcBorders>
              <w:top w:val="single" w:sz="4" w:space="0" w:color="auto"/>
              <w:left w:val="single" w:sz="4" w:space="0" w:color="auto"/>
              <w:bottom w:val="single" w:sz="4" w:space="0" w:color="auto"/>
              <w:right w:val="single" w:sz="4" w:space="0" w:color="auto"/>
            </w:tcBorders>
          </w:tcPr>
          <w:p w14:paraId="26F4367D"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46B30BC0" w14:textId="77777777" w:rsidTr="002E2C37">
        <w:trPr>
          <w:cantSplit/>
          <w:trHeight w:val="58"/>
        </w:trPr>
        <w:tc>
          <w:tcPr>
            <w:tcW w:w="2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DC63866"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Escape</w:t>
            </w:r>
          </w:p>
        </w:tc>
        <w:tc>
          <w:tcPr>
            <w:tcW w:w="2483" w:type="dxa"/>
            <w:gridSpan w:val="2"/>
            <w:tcBorders>
              <w:top w:val="single" w:sz="4" w:space="0" w:color="auto"/>
              <w:left w:val="single" w:sz="4" w:space="0" w:color="auto"/>
              <w:bottom w:val="single" w:sz="4" w:space="0" w:color="auto"/>
              <w:right w:val="single" w:sz="4" w:space="0" w:color="auto"/>
            </w:tcBorders>
          </w:tcPr>
          <w:p w14:paraId="486E9259" w14:textId="77777777" w:rsidR="002D7080" w:rsidRPr="004D1E6F" w:rsidRDefault="002D7080" w:rsidP="002E2C37">
            <w:pPr>
              <w:spacing w:after="0" w:line="240" w:lineRule="auto"/>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Aquaculture</w:t>
            </w:r>
            <w:r>
              <w:rPr>
                <w:rFonts w:ascii="Times New Roman" w:eastAsia="Times New Roman" w:hAnsi="Times New Roman" w:cs="Times New Roman"/>
                <w:color w:val="000000"/>
                <w:sz w:val="20"/>
                <w:szCs w:val="20"/>
                <w:lang w:eastAsia="en-ZA"/>
              </w:rPr>
              <w:t xml:space="preserve"> | </w:t>
            </w:r>
            <w:r w:rsidRPr="004D1E6F">
              <w:rPr>
                <w:rFonts w:ascii="Times New Roman" w:eastAsia="Times New Roman" w:hAnsi="Times New Roman" w:cs="Times New Roman"/>
                <w:color w:val="000000"/>
                <w:sz w:val="20"/>
                <w:szCs w:val="20"/>
                <w:lang w:eastAsia="en-ZA"/>
              </w:rPr>
              <w:t>Pet trade</w:t>
            </w:r>
          </w:p>
        </w:tc>
        <w:tc>
          <w:tcPr>
            <w:tcW w:w="3660" w:type="dxa"/>
            <w:tcBorders>
              <w:top w:val="single" w:sz="4" w:space="0" w:color="auto"/>
              <w:left w:val="single" w:sz="4" w:space="0" w:color="auto"/>
              <w:bottom w:val="single" w:sz="4" w:space="0" w:color="auto"/>
              <w:right w:val="single" w:sz="4" w:space="0" w:color="auto"/>
            </w:tcBorders>
          </w:tcPr>
          <w:p w14:paraId="54F14363"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2671453C" w14:textId="77777777" w:rsidTr="002E2C37">
        <w:trPr>
          <w:cantSplit/>
          <w:trHeight w:val="58"/>
        </w:trPr>
        <w:tc>
          <w:tcPr>
            <w:tcW w:w="2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DD695F9"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Contaminant</w:t>
            </w:r>
          </w:p>
        </w:tc>
        <w:tc>
          <w:tcPr>
            <w:tcW w:w="2483" w:type="dxa"/>
            <w:gridSpan w:val="2"/>
            <w:tcBorders>
              <w:top w:val="single" w:sz="4" w:space="0" w:color="auto"/>
              <w:left w:val="single" w:sz="4" w:space="0" w:color="auto"/>
              <w:bottom w:val="single" w:sz="4" w:space="0" w:color="auto"/>
              <w:right w:val="single" w:sz="4" w:space="0" w:color="auto"/>
            </w:tcBorders>
          </w:tcPr>
          <w:p w14:paraId="0C444767"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3660" w:type="dxa"/>
            <w:tcBorders>
              <w:top w:val="single" w:sz="4" w:space="0" w:color="auto"/>
              <w:left w:val="single" w:sz="4" w:space="0" w:color="auto"/>
              <w:bottom w:val="single" w:sz="4" w:space="0" w:color="auto"/>
              <w:right w:val="single" w:sz="4" w:space="0" w:color="auto"/>
            </w:tcBorders>
          </w:tcPr>
          <w:p w14:paraId="3273FB02"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9F11ACA" w14:textId="77777777" w:rsidTr="002E2C37">
        <w:trPr>
          <w:cantSplit/>
          <w:trHeight w:val="58"/>
        </w:trPr>
        <w:tc>
          <w:tcPr>
            <w:tcW w:w="2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279C98A"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Stowaway</w:t>
            </w:r>
          </w:p>
        </w:tc>
        <w:tc>
          <w:tcPr>
            <w:tcW w:w="2483" w:type="dxa"/>
            <w:gridSpan w:val="2"/>
            <w:tcBorders>
              <w:top w:val="single" w:sz="4" w:space="0" w:color="auto"/>
              <w:left w:val="single" w:sz="4" w:space="0" w:color="auto"/>
              <w:bottom w:val="single" w:sz="4" w:space="0" w:color="auto"/>
              <w:right w:val="single" w:sz="4" w:space="0" w:color="auto"/>
            </w:tcBorders>
          </w:tcPr>
          <w:p w14:paraId="75359C8E"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3660" w:type="dxa"/>
            <w:tcBorders>
              <w:top w:val="single" w:sz="4" w:space="0" w:color="auto"/>
              <w:left w:val="single" w:sz="4" w:space="0" w:color="auto"/>
              <w:bottom w:val="single" w:sz="4" w:space="0" w:color="auto"/>
              <w:right w:val="single" w:sz="4" w:space="0" w:color="auto"/>
            </w:tcBorders>
          </w:tcPr>
          <w:p w14:paraId="24C3E33B"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5812F6ED" w14:textId="77777777" w:rsidTr="002E2C37">
        <w:trPr>
          <w:cantSplit/>
          <w:trHeight w:val="58"/>
        </w:trPr>
        <w:tc>
          <w:tcPr>
            <w:tcW w:w="2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19D6E62"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Corridor</w:t>
            </w:r>
          </w:p>
        </w:tc>
        <w:tc>
          <w:tcPr>
            <w:tcW w:w="2483" w:type="dxa"/>
            <w:gridSpan w:val="2"/>
            <w:tcBorders>
              <w:top w:val="single" w:sz="4" w:space="0" w:color="auto"/>
              <w:left w:val="single" w:sz="4" w:space="0" w:color="auto"/>
              <w:bottom w:val="single" w:sz="4" w:space="0" w:color="auto"/>
              <w:right w:val="single" w:sz="4" w:space="0" w:color="auto"/>
            </w:tcBorders>
          </w:tcPr>
          <w:p w14:paraId="0FA06585"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3660" w:type="dxa"/>
            <w:tcBorders>
              <w:top w:val="single" w:sz="4" w:space="0" w:color="auto"/>
              <w:left w:val="single" w:sz="4" w:space="0" w:color="auto"/>
              <w:bottom w:val="single" w:sz="4" w:space="0" w:color="auto"/>
              <w:right w:val="single" w:sz="4" w:space="0" w:color="auto"/>
            </w:tcBorders>
          </w:tcPr>
          <w:p w14:paraId="17635079"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44028309" w14:textId="77777777" w:rsidTr="002E2C37">
        <w:trPr>
          <w:cantSplit/>
          <w:trHeight w:val="58"/>
        </w:trPr>
        <w:tc>
          <w:tcPr>
            <w:tcW w:w="2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A97D6CC"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Unaided</w:t>
            </w:r>
          </w:p>
        </w:tc>
        <w:tc>
          <w:tcPr>
            <w:tcW w:w="2483" w:type="dxa"/>
            <w:gridSpan w:val="2"/>
            <w:tcBorders>
              <w:top w:val="single" w:sz="4" w:space="0" w:color="auto"/>
              <w:left w:val="single" w:sz="4" w:space="0" w:color="auto"/>
              <w:bottom w:val="single" w:sz="4" w:space="0" w:color="auto"/>
              <w:right w:val="single" w:sz="4" w:space="0" w:color="auto"/>
            </w:tcBorders>
          </w:tcPr>
          <w:p w14:paraId="5E183975" w14:textId="77777777" w:rsidR="002D7080" w:rsidRPr="00230829" w:rsidRDefault="002D7080" w:rsidP="002E2C37">
            <w:pPr>
              <w:spacing w:after="0" w:line="240" w:lineRule="auto"/>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3660" w:type="dxa"/>
            <w:tcBorders>
              <w:top w:val="single" w:sz="4" w:space="0" w:color="auto"/>
              <w:left w:val="single" w:sz="4" w:space="0" w:color="auto"/>
              <w:bottom w:val="single" w:sz="4" w:space="0" w:color="auto"/>
              <w:right w:val="single" w:sz="4" w:space="0" w:color="auto"/>
            </w:tcBorders>
          </w:tcPr>
          <w:p w14:paraId="6261262D"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6DD7878"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2F69BF52" w14:textId="77777777" w:rsidR="002D7080" w:rsidRPr="004D1E6F" w:rsidRDefault="002D7080" w:rsidP="002E2C37">
            <w:pPr>
              <w:spacing w:after="0" w:line="240" w:lineRule="auto"/>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Pontastacus leptodactylus</w:t>
            </w:r>
            <w:r w:rsidRPr="004D1E6F">
              <w:rPr>
                <w:rFonts w:ascii="Times New Roman" w:eastAsia="Times New Roman" w:hAnsi="Times New Roman" w:cs="Times New Roman"/>
                <w:sz w:val="20"/>
                <w:szCs w:val="20"/>
                <w:lang w:eastAsia="en-ZA"/>
              </w:rPr>
              <w:t xml:space="preserve"> are stocked deliberately for the consumption trade and are also available in the pet trade in Europe (Harlioğlu and Harlioğlu 2004</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Chucholl 2013; Faulkes 2015). </w:t>
            </w:r>
          </w:p>
        </w:tc>
      </w:tr>
      <w:tr w:rsidR="002D7080" w:rsidRPr="004D1E6F" w14:paraId="56414E9C" w14:textId="77777777" w:rsidTr="002E2C37">
        <w:trPr>
          <w:cantSplit/>
          <w:trHeight w:val="70"/>
        </w:trPr>
        <w:tc>
          <w:tcPr>
            <w:tcW w:w="8843" w:type="dxa"/>
            <w:gridSpan w:val="4"/>
            <w:tcBorders>
              <w:top w:val="single" w:sz="4" w:space="0" w:color="auto"/>
              <w:left w:val="single" w:sz="4" w:space="0" w:color="auto"/>
              <w:bottom w:val="single" w:sz="4" w:space="0" w:color="auto"/>
              <w:right w:val="single" w:sz="4" w:space="0" w:color="auto"/>
            </w:tcBorders>
            <w:noWrap/>
          </w:tcPr>
          <w:p w14:paraId="79635899" w14:textId="77777777" w:rsidR="002D7080" w:rsidRPr="004D1E6F" w:rsidRDefault="002D7080" w:rsidP="00C94525">
            <w:pPr>
              <w:spacing w:after="0" w:line="240" w:lineRule="auto"/>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734AF0F2" w14:textId="77777777"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hyperlink w:history="1">
              <w:r w:rsidRPr="004D1E6F">
                <w:rPr>
                  <w:rStyle w:val="Hyperlink"/>
                  <w:rFonts w:ascii="Times New Roman" w:eastAsia="Times New Roman" w:hAnsi="Times New Roman" w:cs="Times New Roman"/>
                  <w:sz w:val="20"/>
                  <w:szCs w:val="20"/>
                  <w:lang w:eastAsia="en-ZA"/>
                </w:rPr>
                <w:t>https://doi.org/10.1007/s10530-012-0273-2</w:t>
              </w:r>
            </w:hyperlink>
            <w:r w:rsidRPr="004D1E6F">
              <w:rPr>
                <w:rFonts w:ascii="Times New Roman" w:eastAsia="Times New Roman" w:hAnsi="Times New Roman" w:cs="Times New Roman"/>
                <w:sz w:val="20"/>
                <w:szCs w:val="20"/>
                <w:lang w:eastAsia="en-ZA"/>
              </w:rPr>
              <w:t>.</w:t>
            </w:r>
          </w:p>
          <w:p w14:paraId="1D0A6E6D" w14:textId="77777777"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Faulkes</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Z</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2015</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The global trade in crayfish as pets</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Crustacean Research</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44</w:t>
            </w:r>
            <w:r>
              <w:rPr>
                <w:rFonts w:ascii="Times New Roman" w:eastAsia="Times New Roman" w:hAnsi="Times New Roman" w:cs="Times New Roman"/>
                <w:iCs/>
                <w:sz w:val="20"/>
                <w:szCs w:val="20"/>
                <w:lang w:eastAsia="en-ZA"/>
              </w:rPr>
              <w:t>,</w:t>
            </w:r>
            <w:r w:rsidRPr="004D1E6F">
              <w:rPr>
                <w:rFonts w:ascii="Times New Roman" w:eastAsia="Times New Roman" w:hAnsi="Times New Roman" w:cs="Times New Roman"/>
                <w:sz w:val="20"/>
                <w:szCs w:val="20"/>
                <w:lang w:eastAsia="en-ZA"/>
              </w:rPr>
              <w:t xml:space="preserve"> 75–92.</w:t>
            </w:r>
          </w:p>
          <w:p w14:paraId="343AFE7A" w14:textId="027C85C8" w:rsidR="002D7080" w:rsidRPr="004D1E6F" w:rsidRDefault="002D7080" w:rsidP="00C9452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Harlioğlu</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M</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M</w:t>
            </w:r>
            <w:r>
              <w:rPr>
                <w:rFonts w:ascii="Times New Roman" w:eastAsia="Times New Roman" w:hAnsi="Times New Roman" w:cs="Times New Roman"/>
                <w:sz w:val="20"/>
                <w:szCs w:val="20"/>
                <w:lang w:eastAsia="en-ZA"/>
              </w:rPr>
              <w:t xml:space="preserve">. &amp; </w:t>
            </w:r>
            <w:r w:rsidRPr="004D1E6F">
              <w:rPr>
                <w:rFonts w:ascii="Times New Roman" w:eastAsia="Times New Roman" w:hAnsi="Times New Roman" w:cs="Times New Roman"/>
                <w:sz w:val="20"/>
                <w:szCs w:val="20"/>
                <w:lang w:eastAsia="en-ZA"/>
              </w:rPr>
              <w:t>Harlioğlu</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A</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G</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2004</w:t>
            </w:r>
            <w:r>
              <w:rPr>
                <w:rFonts w:ascii="Times New Roman" w:eastAsia="Times New Roman" w:hAnsi="Times New Roman" w:cs="Times New Roman"/>
                <w:sz w:val="20"/>
                <w:szCs w:val="20"/>
                <w:lang w:eastAsia="en-ZA"/>
              </w:rPr>
              <w:t>, ‘</w:t>
            </w:r>
            <w:r w:rsidRPr="004D1E6F">
              <w:rPr>
                <w:rFonts w:ascii="Times New Roman" w:eastAsia="Times New Roman" w:hAnsi="Times New Roman" w:cs="Times New Roman"/>
                <w:sz w:val="20"/>
                <w:szCs w:val="20"/>
                <w:lang w:eastAsia="en-ZA"/>
              </w:rPr>
              <w:t xml:space="preserve">The harvest of freshwater crayfish, </w:t>
            </w:r>
            <w:r w:rsidRPr="00D119E0">
              <w:rPr>
                <w:rFonts w:ascii="Times New Roman" w:eastAsia="Times New Roman" w:hAnsi="Times New Roman" w:cs="Times New Roman"/>
                <w:i/>
                <w:iCs/>
                <w:sz w:val="20"/>
                <w:szCs w:val="20"/>
                <w:lang w:eastAsia="en-ZA"/>
              </w:rPr>
              <w:t>Astacus leptodactylus</w:t>
            </w:r>
            <w:r w:rsidRPr="004D1E6F">
              <w:rPr>
                <w:rFonts w:ascii="Times New Roman" w:eastAsia="Times New Roman" w:hAnsi="Times New Roman" w:cs="Times New Roman"/>
                <w:sz w:val="20"/>
                <w:szCs w:val="20"/>
                <w:lang w:eastAsia="en-ZA"/>
              </w:rPr>
              <w:t xml:space="preserve"> (Eschscholtz, 1823) in Turkey</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Reviews in Fish Biology and Fisheries</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14</w:t>
            </w:r>
            <w:r>
              <w:rPr>
                <w:rFonts w:ascii="Times New Roman" w:eastAsia="Times New Roman" w:hAnsi="Times New Roman" w:cs="Times New Roman"/>
                <w:iCs/>
                <w:sz w:val="20"/>
                <w:szCs w:val="20"/>
                <w:lang w:eastAsia="en-ZA"/>
              </w:rPr>
              <w:t xml:space="preserve">, </w:t>
            </w:r>
            <w:r w:rsidRPr="004D1E6F">
              <w:rPr>
                <w:rFonts w:ascii="Times New Roman" w:eastAsia="Times New Roman" w:hAnsi="Times New Roman" w:cs="Times New Roman"/>
                <w:sz w:val="20"/>
                <w:szCs w:val="20"/>
                <w:lang w:eastAsia="en-ZA"/>
              </w:rPr>
              <w:t>415–419</w:t>
            </w:r>
            <w:r w:rsidR="00356715">
              <w:rPr>
                <w:rFonts w:ascii="Times New Roman" w:eastAsia="Times New Roman" w:hAnsi="Times New Roman" w:cs="Times New Roman"/>
                <w:sz w:val="20"/>
                <w:szCs w:val="20"/>
                <w:lang w:eastAsia="en-ZA"/>
              </w:rPr>
              <w:t xml:space="preserve">, </w:t>
            </w:r>
            <w:r w:rsidR="00356715" w:rsidRPr="00356715">
              <w:rPr>
                <w:rFonts w:ascii="Times New Roman" w:eastAsia="Times New Roman" w:hAnsi="Times New Roman" w:cs="Times New Roman"/>
                <w:sz w:val="20"/>
                <w:szCs w:val="20"/>
                <w:lang w:eastAsia="en-ZA"/>
              </w:rPr>
              <w:t>https://doi.org/10.1007/s11160-005-0812-3</w:t>
            </w:r>
          </w:p>
        </w:tc>
      </w:tr>
    </w:tbl>
    <w:p w14:paraId="22718AAB" w14:textId="77777777" w:rsidR="002D7080" w:rsidRPr="004D1E6F" w:rsidRDefault="002D7080" w:rsidP="00C94525">
      <w:pPr>
        <w:spacing w:after="0" w:line="240" w:lineRule="auto"/>
        <w:jc w:val="both"/>
        <w:rPr>
          <w:rFonts w:ascii="Times New Roman" w:eastAsia="Times New Roman" w:hAnsi="Times New Roman" w:cs="Times New Roman"/>
          <w:sz w:val="20"/>
          <w:szCs w:val="20"/>
          <w:lang w:eastAsia="en-ZA"/>
        </w:rPr>
      </w:pPr>
    </w:p>
    <w:p w14:paraId="78E18D59"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2. Likelihood</w:t>
      </w:r>
    </w:p>
    <w:p w14:paraId="7FF87741"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Style w:val="TableGrid19"/>
        <w:tblW w:w="0" w:type="auto"/>
        <w:tblLook w:val="04A0" w:firstRow="1" w:lastRow="0" w:firstColumn="1" w:lastColumn="0" w:noHBand="0" w:noVBand="1"/>
      </w:tblPr>
      <w:tblGrid>
        <w:gridCol w:w="5524"/>
        <w:gridCol w:w="3492"/>
      </w:tblGrid>
      <w:tr w:rsidR="002D7080" w:rsidRPr="004D1E6F" w14:paraId="05113FD1" w14:textId="77777777" w:rsidTr="002E2C37">
        <w:tc>
          <w:tcPr>
            <w:tcW w:w="9016" w:type="dxa"/>
            <w:gridSpan w:val="2"/>
            <w:shd w:val="clear" w:color="auto" w:fill="F2F2F2" w:themeFill="background1" w:themeFillShade="F2"/>
          </w:tcPr>
          <w:p w14:paraId="7A03F66A"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LIK1 Likelihood of entry via unaided primary pathways</w:t>
            </w:r>
          </w:p>
        </w:tc>
      </w:tr>
      <w:tr w:rsidR="002D7080" w:rsidRPr="004D1E6F" w14:paraId="0EC6569E" w14:textId="77777777" w:rsidTr="002E2C37">
        <w:tc>
          <w:tcPr>
            <w:tcW w:w="5524" w:type="dxa"/>
          </w:tcPr>
          <w:p w14:paraId="01C9D96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sidRPr="004D1E6F">
              <w:rPr>
                <w:rFonts w:ascii="Times New Roman" w:eastAsia="Times New Roman" w:hAnsi="Times New Roman" w:cs="Times New Roman"/>
                <w:color w:val="000000"/>
                <w:sz w:val="20"/>
                <w:szCs w:val="20"/>
                <w:lang w:eastAsia="en-ZA"/>
              </w:rPr>
              <w:t>Very unlikely (p = 0.0027)</w:t>
            </w:r>
          </w:p>
        </w:tc>
        <w:tc>
          <w:tcPr>
            <w:tcW w:w="3492" w:type="dxa"/>
          </w:tcPr>
          <w:p w14:paraId="37A6A2F5"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sidRPr="004D1E6F">
              <w:rPr>
                <w:rFonts w:ascii="Times New Roman" w:eastAsia="Times New Roman" w:hAnsi="Times New Roman" w:cs="Times New Roman"/>
                <w:color w:val="000000"/>
                <w:sz w:val="20"/>
                <w:szCs w:val="20"/>
                <w:lang w:eastAsia="en-ZA"/>
              </w:rPr>
              <w:t xml:space="preserve"> Medium</w:t>
            </w:r>
          </w:p>
        </w:tc>
      </w:tr>
      <w:tr w:rsidR="002D7080" w:rsidRPr="004D1E6F" w14:paraId="10D6B24A" w14:textId="77777777" w:rsidTr="002E2C37">
        <w:trPr>
          <w:trHeight w:val="614"/>
        </w:trPr>
        <w:tc>
          <w:tcPr>
            <w:tcW w:w="9016" w:type="dxa"/>
            <w:gridSpan w:val="2"/>
          </w:tcPr>
          <w:p w14:paraId="69F5AC0F" w14:textId="1D394AD2"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 xml:space="preserve">There is no evidence that </w:t>
            </w:r>
            <w:r w:rsidRPr="00464C7A">
              <w:rPr>
                <w:rFonts w:ascii="Times New Roman" w:eastAsia="Times New Roman" w:hAnsi="Times New Roman" w:cs="Times New Roman"/>
                <w:i/>
                <w:iCs/>
                <w:color w:val="000000"/>
                <w:sz w:val="20"/>
                <w:szCs w:val="20"/>
                <w:lang w:eastAsia="en-ZA"/>
              </w:rPr>
              <w:t>P. leptodactylus</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is present in South Africa or has established in the wild in neighbouring countries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Madzivanzira et al. 2020)", "plainTextFormattedCitation" : "(Lodge et al. 2012, Madzivanzira et al. 2020)", "previouslyFormattedCitation" : "(Lodge et al. 2012, Madzivanzira et al. 2020)"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Nunes et al. 2017</w:t>
            </w:r>
            <w:r w:rsidRPr="004D1E6F">
              <w:rPr>
                <w:rFonts w:ascii="Times New Roman" w:eastAsia="Times New Roman" w:hAnsi="Times New Roman" w:cs="Times New Roman"/>
                <w:color w:val="000000"/>
                <w:sz w:val="20"/>
                <w:szCs w:val="20"/>
                <w:lang w:eastAsia="en-ZA"/>
              </w:rPr>
              <w:t>; Madzivanzira et al. 2020)</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therefore the probability of </w:t>
            </w:r>
            <w:r w:rsidR="00C94525">
              <w:rPr>
                <w:rFonts w:ascii="Times New Roman" w:eastAsia="Times New Roman" w:hAnsi="Times New Roman" w:cs="Times New Roman"/>
                <w:i/>
                <w:color w:val="000000"/>
                <w:sz w:val="20"/>
                <w:szCs w:val="20"/>
                <w:lang w:eastAsia="en-ZA"/>
              </w:rPr>
              <w:t>P. leptodactylus</w:t>
            </w:r>
            <w:r w:rsidRPr="004D1E6F">
              <w:rPr>
                <w:rFonts w:ascii="Times New Roman" w:eastAsia="Times New Roman" w:hAnsi="Times New Roman" w:cs="Times New Roman"/>
                <w:color w:val="000000"/>
                <w:sz w:val="20"/>
                <w:szCs w:val="20"/>
                <w:lang w:eastAsia="en-ZA"/>
              </w:rPr>
              <w:t xml:space="preserve"> entering South Africa through unaided pathways (connected waterways) is very unlikely (p = 0.0027).</w:t>
            </w:r>
          </w:p>
        </w:tc>
      </w:tr>
      <w:tr w:rsidR="002D7080" w:rsidRPr="004D1E6F" w14:paraId="78FA89EA" w14:textId="77777777" w:rsidTr="002E2C37">
        <w:tc>
          <w:tcPr>
            <w:tcW w:w="9016" w:type="dxa"/>
            <w:gridSpan w:val="2"/>
          </w:tcPr>
          <w:p w14:paraId="17827782"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032F79AB" w14:textId="71062993" w:rsidR="002D7080" w:rsidRPr="004D1E6F" w:rsidRDefault="002D7080" w:rsidP="002E2C37">
            <w:pPr>
              <w:spacing w:after="160" w:line="256" w:lineRule="auto"/>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Calibri" w:hAnsi="Times New Roman" w:cs="Times New Roman"/>
                <w:sz w:val="20"/>
                <w:szCs w:val="20"/>
              </w:rPr>
              <w:lastRenderedPageBreak/>
              <w:t>Madzivanzira, T.C., South, J., Wood, L.E., Nunes, A.L.</w:t>
            </w:r>
            <w:r w:rsidRPr="004D1E6F">
              <w:rPr>
                <w:rFonts w:ascii="Times New Roman" w:eastAsia="Times New Roman" w:hAnsi="Times New Roman" w:cs="Times New Roman"/>
                <w:color w:val="000000"/>
                <w:sz w:val="20"/>
                <w:szCs w:val="20"/>
                <w:lang w:eastAsia="en-ZA"/>
              </w:rPr>
              <w:t xml:space="preserve"> &amp; </w:t>
            </w:r>
            <w:r w:rsidRPr="004D1E6F">
              <w:rPr>
                <w:rFonts w:ascii="Times New Roman" w:eastAsia="Calibri" w:hAnsi="Times New Roman" w:cs="Times New Roman"/>
                <w:sz w:val="20"/>
                <w:szCs w:val="20"/>
              </w:rPr>
              <w:t xml:space="preserve">Weyl, O.L.F., 2020, ‘A review of freshwater crayfish introductions in Africa’, </w:t>
            </w:r>
            <w:r w:rsidRPr="004D1E6F">
              <w:rPr>
                <w:rFonts w:ascii="Times New Roman" w:eastAsia="Calibri" w:hAnsi="Times New Roman" w:cs="Times New Roman"/>
                <w:i/>
                <w:sz w:val="20"/>
                <w:szCs w:val="20"/>
              </w:rPr>
              <w:t>Reviews in</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Calibri" w:hAnsi="Times New Roman" w:cs="Times New Roman"/>
                <w:i/>
                <w:sz w:val="20"/>
                <w:szCs w:val="20"/>
              </w:rPr>
              <w:t>Fisheries Science &amp; Aquaculture</w:t>
            </w:r>
            <w:r w:rsidRPr="004D1E6F">
              <w:rPr>
                <w:rFonts w:ascii="Times New Roman" w:eastAsia="Calibri" w:hAnsi="Times New Roman" w:cs="Times New Roman"/>
                <w:sz w:val="20"/>
                <w:szCs w:val="20"/>
              </w:rPr>
              <w:t>,</w:t>
            </w:r>
            <w:r w:rsidRPr="004D1E6F">
              <w:rPr>
                <w:rFonts w:ascii="Times New Roman" w:eastAsia="Calibri" w:hAnsi="Times New Roman" w:cs="Times New Roman"/>
                <w:i/>
                <w:sz w:val="20"/>
                <w:szCs w:val="20"/>
              </w:rPr>
              <w:t xml:space="preserve"> </w:t>
            </w:r>
            <w:r w:rsidRPr="004D1E6F">
              <w:rPr>
                <w:rFonts w:ascii="Times New Roman" w:eastAsia="Calibri" w:hAnsi="Times New Roman" w:cs="Times New Roman"/>
                <w:sz w:val="20"/>
                <w:szCs w:val="20"/>
              </w:rPr>
              <w:t xml:space="preserve">1-21. </w:t>
            </w:r>
            <w:hyperlink r:id="rId454" w:history="1">
              <w:r w:rsidR="00356715" w:rsidRPr="00F215B9">
                <w:rPr>
                  <w:rStyle w:val="Hyperlink"/>
                  <w:rFonts w:ascii="Times New Roman" w:eastAsia="Calibri" w:hAnsi="Times New Roman" w:cs="Times New Roman"/>
                  <w:sz w:val="20"/>
                  <w:szCs w:val="20"/>
                </w:rPr>
                <w:t>https://doi.org/</w:t>
              </w:r>
              <w:r w:rsidR="00356715" w:rsidRPr="00F215B9">
                <w:rPr>
                  <w:rStyle w:val="Hyperlink"/>
                  <w:rFonts w:ascii="Times New Roman" w:eastAsia="Times New Roman" w:hAnsi="Times New Roman" w:cs="Times New Roman"/>
                  <w:sz w:val="20"/>
                  <w:szCs w:val="20"/>
                  <w:lang w:eastAsia="en-ZA"/>
                </w:rPr>
                <w:t>10.1080/23308249.2020.1802405</w:t>
              </w:r>
            </w:hyperlink>
            <w:r w:rsidRPr="004D1E6F">
              <w:rPr>
                <w:rFonts w:ascii="Times New Roman" w:eastAsia="Calibri" w:hAnsi="Times New Roman" w:cs="Times New Roman"/>
                <w:sz w:val="20"/>
                <w:szCs w:val="20"/>
              </w:rPr>
              <w:t>.</w:t>
            </w:r>
            <w:r w:rsidR="00356715">
              <w:rPr>
                <w:rFonts w:ascii="Times New Roman" w:eastAsia="Calibri" w:hAnsi="Times New Roman" w:cs="Times New Roman"/>
                <w:sz w:val="20"/>
                <w:szCs w:val="20"/>
              </w:rPr>
              <w:t xml:space="preserve"> </w:t>
            </w:r>
          </w:p>
          <w:p w14:paraId="4F5B3484" w14:textId="69D0ECE4" w:rsidR="002D7080" w:rsidRPr="004D1E6F" w:rsidRDefault="002D7080" w:rsidP="002E2C37">
            <w:pPr>
              <w:ind w:left="540" w:hanging="540"/>
              <w:contextualSpacing/>
              <w:jc w:val="both"/>
              <w:rPr>
                <w:rFonts w:ascii="Times New Roman" w:eastAsia="Times New Roman" w:hAnsi="Times New Roman" w:cs="Times New Roman"/>
                <w:sz w:val="20"/>
                <w:szCs w:val="20"/>
                <w:lang w:eastAsia="en-ZA"/>
              </w:rPr>
            </w:pPr>
            <w:r w:rsidRPr="00464C7A">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African Journal of Aquatic Science 42, 309–323, </w:t>
            </w:r>
            <w:hyperlink r:id="rId455" w:history="1">
              <w:r w:rsidR="00356715" w:rsidRPr="00356715">
                <w:rPr>
                  <w:rStyle w:val="Hyperlink"/>
                  <w:rFonts w:ascii="Times New Roman" w:eastAsia="Times New Roman" w:hAnsi="Times New Roman" w:cs="Times New Roman"/>
                  <w:sz w:val="20"/>
                  <w:szCs w:val="20"/>
                  <w:lang w:eastAsia="en-ZA"/>
                </w:rPr>
                <w:t>https://doi.org/10.2989/16085914.2017.1405788</w:t>
              </w:r>
            </w:hyperlink>
          </w:p>
        </w:tc>
      </w:tr>
    </w:tbl>
    <w:p w14:paraId="3E89BE4F"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9"/>
        <w:tblW w:w="0" w:type="auto"/>
        <w:tblLook w:val="04A0" w:firstRow="1" w:lastRow="0" w:firstColumn="1" w:lastColumn="0" w:noHBand="0" w:noVBand="1"/>
      </w:tblPr>
      <w:tblGrid>
        <w:gridCol w:w="5524"/>
        <w:gridCol w:w="3492"/>
      </w:tblGrid>
      <w:tr w:rsidR="002D7080" w:rsidRPr="004D1E6F" w14:paraId="29BFA827" w14:textId="77777777" w:rsidTr="002E2C37">
        <w:tc>
          <w:tcPr>
            <w:tcW w:w="9016" w:type="dxa"/>
            <w:gridSpan w:val="2"/>
            <w:shd w:val="clear" w:color="auto" w:fill="F2F2F2" w:themeFill="background1" w:themeFillShade="F2"/>
          </w:tcPr>
          <w:p w14:paraId="4556B08B"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LIK2 Likelihood of entry via human aided primary pathways</w:t>
            </w:r>
          </w:p>
        </w:tc>
      </w:tr>
      <w:tr w:rsidR="002D7080" w:rsidRPr="004D1E6F" w14:paraId="138D8DD8" w14:textId="77777777" w:rsidTr="002E2C37">
        <w:tc>
          <w:tcPr>
            <w:tcW w:w="5524" w:type="dxa"/>
          </w:tcPr>
          <w:p w14:paraId="38A2A9F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Fairly probable</w:t>
            </w:r>
            <w:r>
              <w:rPr>
                <w:rFonts w:ascii="Times New Roman" w:eastAsia="Times New Roman" w:hAnsi="Times New Roman" w:cs="Times New Roman"/>
                <w:sz w:val="20"/>
                <w:szCs w:val="20"/>
                <w:lang w:eastAsia="en-ZA"/>
              </w:rPr>
              <w:t xml:space="preserve"> (p = 0.5)</w:t>
            </w:r>
          </w:p>
        </w:tc>
        <w:tc>
          <w:tcPr>
            <w:tcW w:w="3492" w:type="dxa"/>
          </w:tcPr>
          <w:p w14:paraId="535F8C1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3CD0EF5E" w14:textId="77777777" w:rsidTr="002E2C37">
        <w:tc>
          <w:tcPr>
            <w:tcW w:w="9016" w:type="dxa"/>
            <w:gridSpan w:val="2"/>
          </w:tcPr>
          <w:p w14:paraId="3887623F" w14:textId="77777777" w:rsidR="002D7080" w:rsidRPr="004D1E6F" w:rsidRDefault="002D7080" w:rsidP="00C5761E">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Pontastacus leptodactylus</w:t>
            </w:r>
            <w:r w:rsidRPr="004D1E6F">
              <w:rPr>
                <w:rFonts w:ascii="Times New Roman" w:eastAsia="Times New Roman" w:hAnsi="Times New Roman" w:cs="Times New Roman"/>
                <w:sz w:val="20"/>
                <w:szCs w:val="20"/>
                <w:lang w:eastAsia="en-ZA"/>
              </w:rPr>
              <w:t xml:space="preserve"> are stocked deliberately for the consumption trade and are also available in the pet trade in Europe</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(Chucholl 2013; </w:t>
            </w:r>
            <w:r>
              <w:rPr>
                <w:rFonts w:ascii="Times New Roman" w:eastAsia="Times New Roman" w:hAnsi="Times New Roman" w:cs="Times New Roman"/>
                <w:sz w:val="20"/>
                <w:szCs w:val="20"/>
                <w:lang w:eastAsia="en-ZA"/>
              </w:rPr>
              <w:t xml:space="preserve">Kouba et al. 2014; </w:t>
            </w:r>
            <w:r w:rsidRPr="004D1E6F">
              <w:rPr>
                <w:rFonts w:ascii="Times New Roman" w:eastAsia="Times New Roman" w:hAnsi="Times New Roman" w:cs="Times New Roman"/>
                <w:sz w:val="20"/>
                <w:szCs w:val="20"/>
                <w:lang w:eastAsia="en-ZA"/>
              </w:rPr>
              <w:t>Faulkes 2015).</w:t>
            </w:r>
            <w:r>
              <w:rPr>
                <w:rFonts w:ascii="Times New Roman" w:eastAsia="Times New Roman" w:hAnsi="Times New Roman" w:cs="Times New Roman"/>
                <w:sz w:val="20"/>
                <w:szCs w:val="20"/>
                <w:lang w:eastAsia="en-ZA"/>
              </w:rPr>
              <w:t xml:space="preserve"> H</w:t>
            </w:r>
            <w:r w:rsidRPr="004D1E6F">
              <w:rPr>
                <w:rFonts w:ascii="Times New Roman" w:eastAsia="Times New Roman" w:hAnsi="Times New Roman" w:cs="Times New Roman"/>
                <w:color w:val="000000"/>
                <w:sz w:val="20"/>
                <w:szCs w:val="20"/>
                <w:lang w:eastAsia="en-ZA"/>
              </w:rPr>
              <w:t xml:space="preserve">owever, there is no evidence to show that </w:t>
            </w:r>
            <w:r w:rsidRPr="004D1E6F">
              <w:rPr>
                <w:rFonts w:ascii="Times New Roman" w:eastAsia="Times New Roman" w:hAnsi="Times New Roman" w:cs="Times New Roman"/>
                <w:i/>
                <w:sz w:val="20"/>
                <w:szCs w:val="20"/>
                <w:lang w:eastAsia="en-ZA"/>
              </w:rPr>
              <w:t>P</w:t>
            </w:r>
            <w:r>
              <w:rPr>
                <w:rFonts w:ascii="Times New Roman" w:eastAsia="Times New Roman" w:hAnsi="Times New Roman" w:cs="Times New Roman"/>
                <w:i/>
                <w:sz w:val="20"/>
                <w:szCs w:val="20"/>
                <w:lang w:eastAsia="en-ZA"/>
              </w:rPr>
              <w:t>.</w:t>
            </w:r>
            <w:r w:rsidRPr="004D1E6F">
              <w:rPr>
                <w:rFonts w:ascii="Times New Roman" w:eastAsia="Times New Roman" w:hAnsi="Times New Roman" w:cs="Times New Roman"/>
                <w:i/>
                <w:sz w:val="20"/>
                <w:szCs w:val="20"/>
                <w:lang w:eastAsia="en-ZA"/>
              </w:rPr>
              <w:t xml:space="preserve"> leptodactylus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color w:val="000000"/>
                <w:sz w:val="20"/>
                <w:szCs w:val="20"/>
                <w:lang w:eastAsia="en-ZA"/>
              </w:rPr>
              <w:t>is currently traded in the South Africa pet trade industry,</w:t>
            </w:r>
            <w:r>
              <w:rPr>
                <w:rFonts w:ascii="Times New Roman" w:eastAsia="Times New Roman" w:hAnsi="Times New Roman" w:cs="Times New Roman"/>
                <w:color w:val="000000"/>
                <w:sz w:val="20"/>
                <w:szCs w:val="20"/>
                <w:lang w:eastAsia="en-ZA"/>
              </w:rPr>
              <w:t xml:space="preserve"> but this needs to be verified through dedicated surveys. </w:t>
            </w:r>
          </w:p>
        </w:tc>
      </w:tr>
      <w:tr w:rsidR="002D7080" w:rsidRPr="004D1E6F" w14:paraId="6BDD69EA" w14:textId="77777777" w:rsidTr="002E2C37">
        <w:tc>
          <w:tcPr>
            <w:tcW w:w="9016" w:type="dxa"/>
            <w:gridSpan w:val="2"/>
          </w:tcPr>
          <w:p w14:paraId="367BB2E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428A3163" w14:textId="77777777" w:rsidR="002D7080"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hyperlink w:history="1">
              <w:r w:rsidRPr="004D1E6F">
                <w:rPr>
                  <w:rStyle w:val="Hyperlink"/>
                  <w:rFonts w:ascii="Times New Roman" w:eastAsia="Times New Roman" w:hAnsi="Times New Roman" w:cs="Times New Roman"/>
                  <w:sz w:val="20"/>
                  <w:szCs w:val="20"/>
                  <w:lang w:eastAsia="en-ZA"/>
                </w:rPr>
                <w:t>https://doi.org/10.1007/s10530-012-0273-2</w:t>
              </w:r>
            </w:hyperlink>
            <w:r w:rsidRPr="004D1E6F">
              <w:rPr>
                <w:rFonts w:ascii="Times New Roman" w:eastAsia="Times New Roman" w:hAnsi="Times New Roman" w:cs="Times New Roman"/>
                <w:sz w:val="20"/>
                <w:szCs w:val="20"/>
                <w:lang w:eastAsia="en-ZA"/>
              </w:rPr>
              <w:t>.</w:t>
            </w:r>
          </w:p>
          <w:p w14:paraId="4A958007" w14:textId="375E3831" w:rsidR="002D7080"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Faulkes</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Z</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2015</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The global trade in crayfish as pets</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Crustacean Research</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44</w:t>
            </w:r>
            <w:r>
              <w:rPr>
                <w:rFonts w:ascii="Times New Roman" w:eastAsia="Times New Roman" w:hAnsi="Times New Roman" w:cs="Times New Roman"/>
                <w:iCs/>
                <w:sz w:val="20"/>
                <w:szCs w:val="20"/>
                <w:lang w:eastAsia="en-ZA"/>
              </w:rPr>
              <w:t xml:space="preserve">, </w:t>
            </w:r>
            <w:r w:rsidRPr="004D1E6F">
              <w:rPr>
                <w:rFonts w:ascii="Times New Roman" w:eastAsia="Times New Roman" w:hAnsi="Times New Roman" w:cs="Times New Roman"/>
                <w:sz w:val="20"/>
                <w:szCs w:val="20"/>
                <w:lang w:eastAsia="en-ZA"/>
              </w:rPr>
              <w:t>75–92.</w:t>
            </w:r>
            <w:r w:rsidR="009F65AC" w:rsidRPr="009F65AC">
              <w:rPr>
                <w:rFonts w:ascii="Times New Roman" w:eastAsia="Times New Roman" w:hAnsi="Times New Roman" w:cs="Times New Roman"/>
                <w:sz w:val="20"/>
                <w:szCs w:val="20"/>
                <w:lang w:eastAsia="en-ZA"/>
              </w:rPr>
              <w:t xml:space="preserve"> https://doi.org/10.18353/crustacea.44.0_75.</w:t>
            </w:r>
          </w:p>
          <w:p w14:paraId="645D56F2" w14:textId="0F1CC385"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6159EC">
              <w:rPr>
                <w:rFonts w:ascii="Times New Roman" w:eastAsia="Times New Roman" w:hAnsi="Times New Roman" w:cs="Times New Roman"/>
                <w:sz w:val="20"/>
                <w:szCs w:val="20"/>
                <w:lang w:eastAsia="en-ZA"/>
              </w:rPr>
              <w:t>Kouba</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 xml:space="preserve"> A</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 Petrusek</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 xml:space="preserve"> A</w:t>
            </w:r>
            <w:r>
              <w:rPr>
                <w:rFonts w:ascii="Times New Roman" w:eastAsia="Times New Roman" w:hAnsi="Times New Roman" w:cs="Times New Roman"/>
                <w:sz w:val="20"/>
                <w:szCs w:val="20"/>
                <w:lang w:eastAsia="en-ZA"/>
              </w:rPr>
              <w:t>. &amp;</w:t>
            </w:r>
            <w:r w:rsidRPr="006159EC">
              <w:rPr>
                <w:rFonts w:ascii="Times New Roman" w:eastAsia="Times New Roman" w:hAnsi="Times New Roman" w:cs="Times New Roman"/>
                <w:sz w:val="20"/>
                <w:szCs w:val="20"/>
                <w:lang w:eastAsia="en-ZA"/>
              </w:rPr>
              <w:t xml:space="preserve"> Kozák</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 xml:space="preserve"> P</w:t>
            </w:r>
            <w:r>
              <w:rPr>
                <w:rFonts w:ascii="Times New Roman" w:eastAsia="Times New Roman" w:hAnsi="Times New Roman" w:cs="Times New Roman"/>
                <w:sz w:val="20"/>
                <w:szCs w:val="20"/>
                <w:lang w:eastAsia="en-ZA"/>
              </w:rPr>
              <w:t>., 2014,</w:t>
            </w:r>
            <w:r w:rsidRPr="006159EC">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w:t>
            </w:r>
            <w:r w:rsidRPr="006159EC">
              <w:rPr>
                <w:rFonts w:ascii="Times New Roman" w:eastAsia="Times New Roman" w:hAnsi="Times New Roman" w:cs="Times New Roman"/>
                <w:sz w:val="20"/>
                <w:szCs w:val="20"/>
                <w:lang w:eastAsia="en-ZA"/>
              </w:rPr>
              <w:t>Continental-wide distribution of crayfish species in Europe: update and maps</w:t>
            </w:r>
            <w:r>
              <w:rPr>
                <w:rFonts w:ascii="Times New Roman" w:eastAsia="Times New Roman" w:hAnsi="Times New Roman" w:cs="Times New Roman"/>
                <w:sz w:val="20"/>
                <w:szCs w:val="20"/>
                <w:lang w:eastAsia="en-ZA"/>
              </w:rPr>
              <w:t xml:space="preserve">’, </w:t>
            </w:r>
            <w:r w:rsidRPr="008F288A">
              <w:rPr>
                <w:rFonts w:ascii="Times New Roman" w:eastAsia="Times New Roman" w:hAnsi="Times New Roman" w:cs="Times New Roman"/>
                <w:i/>
                <w:iCs/>
                <w:sz w:val="20"/>
                <w:szCs w:val="20"/>
                <w:lang w:eastAsia="en-ZA"/>
              </w:rPr>
              <w:t>Knowledge Management of Aquatic Ecosystems</w:t>
            </w:r>
            <w:r>
              <w:rPr>
                <w:rFonts w:ascii="Times New Roman" w:eastAsia="Times New Roman" w:hAnsi="Times New Roman" w:cs="Times New Roman"/>
                <w:sz w:val="20"/>
                <w:szCs w:val="20"/>
                <w:lang w:eastAsia="en-ZA"/>
              </w:rPr>
              <w:t xml:space="preserve">, </w:t>
            </w:r>
            <w:r w:rsidRPr="006159EC">
              <w:rPr>
                <w:rFonts w:ascii="Times New Roman" w:eastAsia="Times New Roman" w:hAnsi="Times New Roman" w:cs="Times New Roman"/>
                <w:sz w:val="20"/>
                <w:szCs w:val="20"/>
                <w:lang w:eastAsia="en-ZA"/>
              </w:rPr>
              <w:t>413</w:t>
            </w:r>
            <w:r>
              <w:rPr>
                <w:rFonts w:ascii="Times New Roman" w:eastAsia="Times New Roman" w:hAnsi="Times New Roman" w:cs="Times New Roman"/>
                <w:sz w:val="20"/>
                <w:szCs w:val="20"/>
                <w:lang w:eastAsia="en-ZA"/>
              </w:rPr>
              <w:t xml:space="preserve">, </w:t>
            </w:r>
            <w:r w:rsidRPr="006159EC">
              <w:rPr>
                <w:rFonts w:ascii="Times New Roman" w:eastAsia="Times New Roman" w:hAnsi="Times New Roman" w:cs="Times New Roman"/>
                <w:sz w:val="20"/>
                <w:szCs w:val="20"/>
                <w:lang w:eastAsia="en-ZA"/>
              </w:rPr>
              <w:t>5</w:t>
            </w:r>
            <w:r w:rsidR="00356715">
              <w:rPr>
                <w:rFonts w:ascii="Times New Roman" w:eastAsia="Times New Roman" w:hAnsi="Times New Roman" w:cs="Times New Roman"/>
                <w:sz w:val="20"/>
                <w:szCs w:val="20"/>
                <w:lang w:eastAsia="en-ZA"/>
              </w:rPr>
              <w:t xml:space="preserve">, </w:t>
            </w:r>
            <w:r w:rsidR="00356715" w:rsidRPr="00356715">
              <w:rPr>
                <w:rFonts w:ascii="Times New Roman" w:eastAsia="Times New Roman" w:hAnsi="Times New Roman" w:cs="Times New Roman"/>
                <w:sz w:val="20"/>
                <w:szCs w:val="20"/>
                <w:lang w:eastAsia="en-ZA"/>
              </w:rPr>
              <w:t>https://doi.org/10.1051/kmae/2014007</w:t>
            </w:r>
          </w:p>
        </w:tc>
      </w:tr>
    </w:tbl>
    <w:p w14:paraId="28351458"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9"/>
        <w:tblW w:w="0" w:type="auto"/>
        <w:tblLook w:val="04A0" w:firstRow="1" w:lastRow="0" w:firstColumn="1" w:lastColumn="0" w:noHBand="0" w:noVBand="1"/>
      </w:tblPr>
      <w:tblGrid>
        <w:gridCol w:w="5524"/>
        <w:gridCol w:w="3492"/>
      </w:tblGrid>
      <w:tr w:rsidR="002D7080" w:rsidRPr="004D1E6F" w14:paraId="7C9BE48F" w14:textId="77777777" w:rsidTr="002E2C37">
        <w:tc>
          <w:tcPr>
            <w:tcW w:w="9016" w:type="dxa"/>
            <w:gridSpan w:val="2"/>
            <w:shd w:val="clear" w:color="auto" w:fill="F2F2F2" w:themeFill="background1" w:themeFillShade="F2"/>
          </w:tcPr>
          <w:p w14:paraId="175A41D2"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LIK3 Habitat suitability</w:t>
            </w:r>
          </w:p>
        </w:tc>
      </w:tr>
      <w:tr w:rsidR="002D7080" w:rsidRPr="004D1E6F" w14:paraId="6B386286" w14:textId="77777777" w:rsidTr="002E2C37">
        <w:tc>
          <w:tcPr>
            <w:tcW w:w="5524" w:type="dxa"/>
          </w:tcPr>
          <w:p w14:paraId="039C48E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Fairly probable</w:t>
            </w:r>
            <w:r>
              <w:rPr>
                <w:rFonts w:ascii="Times New Roman" w:eastAsia="Times New Roman" w:hAnsi="Times New Roman" w:cs="Times New Roman"/>
                <w:sz w:val="20"/>
                <w:szCs w:val="20"/>
                <w:lang w:eastAsia="en-ZA"/>
              </w:rPr>
              <w:t xml:space="preserve"> (p = 0.5)</w:t>
            </w:r>
          </w:p>
        </w:tc>
        <w:tc>
          <w:tcPr>
            <w:tcW w:w="3492" w:type="dxa"/>
          </w:tcPr>
          <w:p w14:paraId="1DA5584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49BC0906" w14:textId="77777777" w:rsidTr="002E2C37">
        <w:tc>
          <w:tcPr>
            <w:tcW w:w="9016" w:type="dxa"/>
            <w:gridSpan w:val="2"/>
          </w:tcPr>
          <w:p w14:paraId="6D289A8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Pontastacus leptodactylus</w:t>
            </w:r>
            <w:r>
              <w:rPr>
                <w:rFonts w:ascii="Times New Roman" w:eastAsia="Times New Roman" w:hAnsi="Times New Roman" w:cs="Times New Roman"/>
                <w:i/>
                <w:sz w:val="20"/>
                <w:szCs w:val="20"/>
                <w:lang w:eastAsia="en-ZA"/>
              </w:rPr>
              <w:t xml:space="preserve"> </w:t>
            </w:r>
            <w:r w:rsidRPr="00783907">
              <w:rPr>
                <w:rFonts w:ascii="Times New Roman" w:eastAsia="Times New Roman" w:hAnsi="Times New Roman" w:cs="Times New Roman"/>
                <w:iCs/>
                <w:sz w:val="20"/>
                <w:szCs w:val="20"/>
                <w:lang w:eastAsia="en-ZA"/>
              </w:rPr>
              <w:t>is a</w:t>
            </w:r>
            <w:r>
              <w:rPr>
                <w:rFonts w:ascii="Times New Roman" w:eastAsia="Times New Roman" w:hAnsi="Times New Roman" w:cs="Times New Roman"/>
                <w:sz w:val="20"/>
                <w:szCs w:val="20"/>
                <w:lang w:eastAsia="en-ZA"/>
              </w:rPr>
              <w:t xml:space="preserve"> habitat generalist that </w:t>
            </w:r>
            <w:r w:rsidRPr="004D1E6F">
              <w:rPr>
                <w:rFonts w:ascii="Times New Roman" w:eastAsia="Times New Roman" w:hAnsi="Times New Roman" w:cs="Times New Roman"/>
                <w:sz w:val="20"/>
                <w:szCs w:val="20"/>
                <w:lang w:eastAsia="en-ZA"/>
              </w:rPr>
              <w:t xml:space="preserve">inhabits </w:t>
            </w:r>
            <w:r>
              <w:rPr>
                <w:rFonts w:ascii="Times New Roman" w:eastAsia="Times New Roman" w:hAnsi="Times New Roman" w:cs="Times New Roman"/>
                <w:sz w:val="20"/>
                <w:szCs w:val="20"/>
                <w:lang w:eastAsia="en-ZA"/>
              </w:rPr>
              <w:t xml:space="preserve">both </w:t>
            </w:r>
            <w:r w:rsidRPr="004D1E6F">
              <w:rPr>
                <w:rFonts w:ascii="Times New Roman" w:eastAsia="Times New Roman" w:hAnsi="Times New Roman" w:cs="Times New Roman"/>
                <w:sz w:val="20"/>
                <w:szCs w:val="20"/>
                <w:lang w:eastAsia="en-ZA"/>
              </w:rPr>
              <w:t xml:space="preserve">fresh and brackish waters, </w:t>
            </w:r>
            <w:r>
              <w:rPr>
                <w:rFonts w:ascii="Times New Roman" w:eastAsia="Times New Roman" w:hAnsi="Times New Roman" w:cs="Times New Roman"/>
                <w:sz w:val="20"/>
                <w:szCs w:val="20"/>
                <w:lang w:eastAsia="en-ZA"/>
              </w:rPr>
              <w:t xml:space="preserve">and in several habitats such as </w:t>
            </w:r>
            <w:r w:rsidRPr="004D1E6F">
              <w:rPr>
                <w:rFonts w:ascii="Times New Roman" w:eastAsia="Times New Roman" w:hAnsi="Times New Roman" w:cs="Times New Roman"/>
                <w:sz w:val="20"/>
                <w:szCs w:val="20"/>
                <w:lang w:eastAsia="en-ZA"/>
              </w:rPr>
              <w:t>lakes, canals</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rivers</w:t>
            </w:r>
            <w:r>
              <w:rPr>
                <w:rFonts w:ascii="Times New Roman" w:eastAsia="Times New Roman" w:hAnsi="Times New Roman" w:cs="Times New Roman"/>
                <w:sz w:val="20"/>
                <w:szCs w:val="20"/>
                <w:lang w:eastAsia="en-ZA"/>
              </w:rPr>
              <w:t xml:space="preserve"> and </w:t>
            </w:r>
            <w:r w:rsidRPr="004D1E6F">
              <w:rPr>
                <w:rFonts w:ascii="Times New Roman" w:eastAsia="Times New Roman" w:hAnsi="Times New Roman" w:cs="Times New Roman"/>
                <w:sz w:val="20"/>
                <w:szCs w:val="20"/>
                <w:lang w:eastAsia="en-ZA"/>
              </w:rPr>
              <w:t xml:space="preserve">estuaries </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Gherardi and Souty-Grosset 2017</w:t>
            </w:r>
            <w:r w:rsidRPr="00783907">
              <w:rPr>
                <w:rFonts w:ascii="Times New Roman" w:eastAsia="Times New Roman" w:hAnsi="Times New Roman" w:cs="Times New Roman"/>
                <w:sz w:val="20"/>
                <w:szCs w:val="20"/>
                <w:lang w:eastAsia="en-ZA"/>
              </w:rPr>
              <w:t xml:space="preserve">). It can </w:t>
            </w:r>
            <w:r w:rsidRPr="00783907">
              <w:rPr>
                <w:rFonts w:ascii="Times New Roman" w:hAnsi="Times New Roman" w:cs="Times New Roman"/>
                <w:sz w:val="20"/>
                <w:szCs w:val="20"/>
                <w:shd w:val="clear" w:color="auto" w:fill="FAFAFA"/>
              </w:rPr>
              <w:t>tolerate a wide range of temperature (4-32°C) and salinity fluctuations (4-14 ppt) as well as temporary decreases in oxygen content (down to 2 mg/L) (CABI 2024)</w:t>
            </w:r>
          </w:p>
        </w:tc>
      </w:tr>
      <w:tr w:rsidR="002D7080" w:rsidRPr="004D1E6F" w14:paraId="2955E541" w14:textId="77777777" w:rsidTr="002E2C37">
        <w:tc>
          <w:tcPr>
            <w:tcW w:w="9016" w:type="dxa"/>
            <w:gridSpan w:val="2"/>
          </w:tcPr>
          <w:p w14:paraId="4DB31401" w14:textId="77777777" w:rsidR="002D7080" w:rsidRPr="000E6BA8" w:rsidRDefault="002D7080" w:rsidP="002E2C37">
            <w:pPr>
              <w:rPr>
                <w:rFonts w:ascii="Times New Roman" w:eastAsia="Times New Roman" w:hAnsi="Times New Roman" w:cs="Times New Roman"/>
                <w:sz w:val="20"/>
                <w:szCs w:val="20"/>
                <w:lang w:val="fr-FR" w:eastAsia="en-ZA"/>
              </w:rPr>
            </w:pPr>
            <w:r w:rsidRPr="000E6BA8">
              <w:rPr>
                <w:rFonts w:ascii="Times New Roman" w:eastAsia="Times New Roman" w:hAnsi="Times New Roman" w:cs="Times New Roman"/>
                <w:sz w:val="20"/>
                <w:szCs w:val="20"/>
                <w:lang w:val="fr-FR" w:eastAsia="en-ZA"/>
              </w:rPr>
              <w:t xml:space="preserve">References: </w:t>
            </w:r>
          </w:p>
          <w:p w14:paraId="6A13489F" w14:textId="77777777" w:rsidR="002D7080" w:rsidRDefault="002D7080" w:rsidP="002E2C37">
            <w:pPr>
              <w:ind w:left="547" w:hanging="547"/>
              <w:contextualSpacing/>
              <w:rPr>
                <w:rFonts w:ascii="Times New Roman" w:hAnsi="Times New Roman" w:cs="Times New Roman"/>
                <w:sz w:val="20"/>
                <w:szCs w:val="20"/>
              </w:rPr>
            </w:pPr>
            <w:r w:rsidRPr="000E6BA8">
              <w:rPr>
                <w:rFonts w:ascii="Times New Roman" w:hAnsi="Times New Roman" w:cs="Times New Roman"/>
                <w:sz w:val="20"/>
                <w:szCs w:val="20"/>
                <w:lang w:val="fr-FR"/>
              </w:rPr>
              <w:t xml:space="preserve">CABI, 2024. </w:t>
            </w:r>
            <w:r w:rsidRPr="000E6BA8">
              <w:rPr>
                <w:rFonts w:ascii="Times New Roman" w:eastAsia="Times New Roman" w:hAnsi="Times New Roman" w:cs="Times New Roman"/>
                <w:i/>
                <w:sz w:val="20"/>
                <w:szCs w:val="20"/>
                <w:lang w:val="fr-FR" w:eastAsia="en-ZA"/>
              </w:rPr>
              <w:t>Pontastacus leptodactylus</w:t>
            </w:r>
            <w:r w:rsidRPr="000E6BA8">
              <w:rPr>
                <w:rFonts w:ascii="Times New Roman" w:eastAsia="Times New Roman" w:hAnsi="Times New Roman" w:cs="Times New Roman"/>
                <w:sz w:val="20"/>
                <w:szCs w:val="20"/>
                <w:lang w:val="fr-FR" w:eastAsia="en-ZA"/>
              </w:rPr>
              <w:t xml:space="preserve"> </w:t>
            </w:r>
            <w:r w:rsidRPr="000E6BA8">
              <w:rPr>
                <w:rFonts w:ascii="Times New Roman" w:hAnsi="Times New Roman" w:cs="Times New Roman"/>
                <w:sz w:val="20"/>
                <w:szCs w:val="20"/>
                <w:lang w:val="fr-FR"/>
              </w:rPr>
              <w:t xml:space="preserve">(Danube crayfish). </w:t>
            </w:r>
            <w:r w:rsidRPr="00783907">
              <w:rPr>
                <w:rFonts w:ascii="Times New Roman" w:hAnsi="Times New Roman" w:cs="Times New Roman"/>
                <w:sz w:val="20"/>
                <w:szCs w:val="20"/>
              </w:rPr>
              <w:t xml:space="preserve">Invasive Species Compendium, </w:t>
            </w:r>
            <w:r w:rsidRPr="00783907">
              <w:rPr>
                <w:rFonts w:ascii="Times New Roman" w:hAnsi="Times New Roman" w:cs="Times New Roman"/>
                <w:color w:val="000000"/>
                <w:sz w:val="20"/>
                <w:szCs w:val="20"/>
                <w:shd w:val="clear" w:color="auto" w:fill="FFFFFF"/>
              </w:rPr>
              <w:t>CABI Publishing, Wallingford, UK.</w:t>
            </w:r>
            <w:r w:rsidRPr="00783907">
              <w:rPr>
                <w:rFonts w:ascii="Times New Roman" w:hAnsi="Times New Roman" w:cs="Times New Roman"/>
                <w:sz w:val="20"/>
                <w:szCs w:val="20"/>
              </w:rPr>
              <w:t xml:space="preserve"> </w:t>
            </w:r>
            <w:hyperlink w:history="1">
              <w:r w:rsidRPr="00783907">
                <w:rPr>
                  <w:rStyle w:val="Hyperlink"/>
                  <w:rFonts w:ascii="Times New Roman" w:hAnsi="Times New Roman" w:cs="Times New Roman"/>
                  <w:sz w:val="20"/>
                  <w:szCs w:val="20"/>
                </w:rPr>
                <w:t>https://www.cabidigitallibrary.org/doi/full/10.1079/cabicompendium.72034</w:t>
              </w:r>
            </w:hyperlink>
            <w:r w:rsidRPr="00783907">
              <w:rPr>
                <w:rFonts w:ascii="Times New Roman" w:hAnsi="Times New Roman" w:cs="Times New Roman"/>
                <w:sz w:val="20"/>
                <w:szCs w:val="20"/>
              </w:rPr>
              <w:t xml:space="preserve"> (accessed 10 July 2024)</w:t>
            </w:r>
          </w:p>
          <w:p w14:paraId="00D5E8F0" w14:textId="77777777" w:rsidR="002D7080" w:rsidRPr="004D1E6F" w:rsidRDefault="002D7080" w:rsidP="002E2C37">
            <w:pPr>
              <w:ind w:left="547" w:hanging="547"/>
              <w:contextualSpacing/>
              <w:rPr>
                <w:rFonts w:ascii="Times New Roman" w:eastAsia="Times New Roman" w:hAnsi="Times New Roman" w:cs="Times New Roman"/>
                <w:sz w:val="20"/>
                <w:szCs w:val="20"/>
                <w:lang w:eastAsia="en-ZA"/>
              </w:rPr>
            </w:pPr>
            <w:r w:rsidRPr="00783907">
              <w:rPr>
                <w:rFonts w:ascii="Times New Roman" w:eastAsia="Times New Roman" w:hAnsi="Times New Roman" w:cs="Times New Roman"/>
                <w:sz w:val="20"/>
                <w:szCs w:val="20"/>
                <w:lang w:eastAsia="en-ZA"/>
              </w:rPr>
              <w:t>Gherardi</w:t>
            </w:r>
            <w:r>
              <w:rPr>
                <w:rFonts w:ascii="Times New Roman" w:eastAsia="Times New Roman" w:hAnsi="Times New Roman" w:cs="Times New Roman"/>
                <w:sz w:val="20"/>
                <w:szCs w:val="20"/>
                <w:lang w:eastAsia="en-ZA"/>
              </w:rPr>
              <w:t>,</w:t>
            </w:r>
            <w:r w:rsidRPr="00783907">
              <w:rPr>
                <w:rFonts w:ascii="Times New Roman" w:eastAsia="Times New Roman" w:hAnsi="Times New Roman" w:cs="Times New Roman"/>
                <w:sz w:val="20"/>
                <w:szCs w:val="20"/>
                <w:lang w:eastAsia="en-ZA"/>
              </w:rPr>
              <w:t xml:space="preserve"> F</w:t>
            </w:r>
            <w:r>
              <w:rPr>
                <w:rFonts w:ascii="Times New Roman" w:eastAsia="Times New Roman" w:hAnsi="Times New Roman" w:cs="Times New Roman"/>
                <w:sz w:val="20"/>
                <w:szCs w:val="20"/>
                <w:lang w:eastAsia="en-ZA"/>
              </w:rPr>
              <w:t>. &amp;</w:t>
            </w:r>
            <w:r w:rsidRPr="00783907">
              <w:rPr>
                <w:rFonts w:ascii="Times New Roman" w:eastAsia="Times New Roman" w:hAnsi="Times New Roman" w:cs="Times New Roman"/>
                <w:sz w:val="20"/>
                <w:szCs w:val="20"/>
                <w:lang w:eastAsia="en-ZA"/>
              </w:rPr>
              <w:t xml:space="preserve"> Souty-Grosset</w:t>
            </w:r>
            <w:r>
              <w:rPr>
                <w:rFonts w:ascii="Times New Roman" w:eastAsia="Times New Roman" w:hAnsi="Times New Roman" w:cs="Times New Roman"/>
                <w:sz w:val="20"/>
                <w:szCs w:val="20"/>
                <w:lang w:eastAsia="en-ZA"/>
              </w:rPr>
              <w:t xml:space="preserve">, </w:t>
            </w:r>
            <w:r w:rsidRPr="00783907">
              <w:rPr>
                <w:rFonts w:ascii="Times New Roman" w:eastAsia="Times New Roman" w:hAnsi="Times New Roman" w:cs="Times New Roman"/>
                <w:sz w:val="20"/>
                <w:szCs w:val="20"/>
                <w:lang w:eastAsia="en-ZA"/>
              </w:rPr>
              <w:t>C. 2017</w:t>
            </w:r>
            <w:r>
              <w:rPr>
                <w:rFonts w:ascii="Times New Roman" w:eastAsia="Times New Roman" w:hAnsi="Times New Roman" w:cs="Times New Roman"/>
                <w:sz w:val="20"/>
                <w:szCs w:val="20"/>
                <w:lang w:eastAsia="en-ZA"/>
              </w:rPr>
              <w:t>,</w:t>
            </w:r>
            <w:r w:rsidRPr="00783907">
              <w:rPr>
                <w:rFonts w:ascii="Times New Roman" w:eastAsia="Times New Roman" w:hAnsi="Times New Roman" w:cs="Times New Roman"/>
                <w:sz w:val="20"/>
                <w:szCs w:val="20"/>
                <w:lang w:eastAsia="en-ZA"/>
              </w:rPr>
              <w:t xml:space="preserve"> </w:t>
            </w:r>
            <w:r w:rsidRPr="00783907">
              <w:rPr>
                <w:rFonts w:ascii="Times New Roman" w:eastAsia="Times New Roman" w:hAnsi="Times New Roman" w:cs="Times New Roman"/>
                <w:i/>
                <w:iCs/>
                <w:sz w:val="20"/>
                <w:szCs w:val="20"/>
                <w:lang w:eastAsia="en-ZA"/>
              </w:rPr>
              <w:t>Pontastacus leptodactylus. The IUCN Red List of Threatened Species 2017</w:t>
            </w:r>
            <w:r w:rsidRPr="00783907">
              <w:rPr>
                <w:rFonts w:ascii="Times New Roman" w:eastAsia="Times New Roman" w:hAnsi="Times New Roman" w:cs="Times New Roman"/>
                <w:sz w:val="20"/>
                <w:szCs w:val="20"/>
                <w:lang w:eastAsia="en-ZA"/>
              </w:rPr>
              <w:t xml:space="preserve">: e.T153745A120103207. </w:t>
            </w:r>
            <w:hyperlink w:history="1">
              <w:r w:rsidRPr="00783907">
                <w:rPr>
                  <w:rFonts w:ascii="Times New Roman" w:eastAsia="Times New Roman" w:hAnsi="Times New Roman" w:cs="Times New Roman"/>
                  <w:color w:val="0563C1"/>
                  <w:sz w:val="20"/>
                  <w:szCs w:val="20"/>
                  <w:u w:val="single"/>
                  <w:lang w:eastAsia="en-ZA"/>
                </w:rPr>
                <w:t>http://dx.doi.org/10.2305/IUCN.UK.2017-3.RLTS.T153745A120103207.en</w:t>
              </w:r>
            </w:hyperlink>
          </w:p>
        </w:tc>
      </w:tr>
    </w:tbl>
    <w:p w14:paraId="5F48AC94"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9"/>
        <w:tblW w:w="0" w:type="auto"/>
        <w:tblLook w:val="04A0" w:firstRow="1" w:lastRow="0" w:firstColumn="1" w:lastColumn="0" w:noHBand="0" w:noVBand="1"/>
      </w:tblPr>
      <w:tblGrid>
        <w:gridCol w:w="5524"/>
        <w:gridCol w:w="3492"/>
      </w:tblGrid>
      <w:tr w:rsidR="002D7080" w:rsidRPr="004D1E6F" w14:paraId="77EAF0BC" w14:textId="77777777" w:rsidTr="002E2C37">
        <w:tc>
          <w:tcPr>
            <w:tcW w:w="9016" w:type="dxa"/>
            <w:gridSpan w:val="2"/>
            <w:shd w:val="clear" w:color="auto" w:fill="F2F2F2" w:themeFill="background1" w:themeFillShade="F2"/>
          </w:tcPr>
          <w:p w14:paraId="0211976D"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LIK4 Climate suitability</w:t>
            </w:r>
          </w:p>
        </w:tc>
      </w:tr>
      <w:tr w:rsidR="002D7080" w:rsidRPr="004D1E6F" w14:paraId="406EF289" w14:textId="77777777" w:rsidTr="002E2C37">
        <w:tc>
          <w:tcPr>
            <w:tcW w:w="5524" w:type="dxa"/>
          </w:tcPr>
          <w:p w14:paraId="0B2248B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Fairly probable (p = 0.5)</w:t>
            </w:r>
          </w:p>
        </w:tc>
        <w:tc>
          <w:tcPr>
            <w:tcW w:w="3492" w:type="dxa"/>
          </w:tcPr>
          <w:p w14:paraId="3D4CA55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Confidence: </w:t>
            </w:r>
            <w:r>
              <w:rPr>
                <w:rFonts w:ascii="Times New Roman" w:eastAsia="Times New Roman" w:hAnsi="Times New Roman" w:cs="Times New Roman"/>
                <w:sz w:val="20"/>
                <w:szCs w:val="20"/>
                <w:lang w:eastAsia="en-ZA"/>
              </w:rPr>
              <w:t>L</w:t>
            </w:r>
            <w:r w:rsidRPr="004D1E6F">
              <w:rPr>
                <w:rFonts w:ascii="Times New Roman" w:eastAsia="Times New Roman" w:hAnsi="Times New Roman" w:cs="Times New Roman"/>
                <w:sz w:val="20"/>
                <w:szCs w:val="20"/>
                <w:lang w:eastAsia="en-ZA"/>
              </w:rPr>
              <w:t>ow</w:t>
            </w:r>
          </w:p>
        </w:tc>
      </w:tr>
      <w:tr w:rsidR="002D7080" w:rsidRPr="004D1E6F" w14:paraId="793F6807" w14:textId="77777777" w:rsidTr="002E2C37">
        <w:tc>
          <w:tcPr>
            <w:tcW w:w="9016" w:type="dxa"/>
            <w:gridSpan w:val="2"/>
          </w:tcPr>
          <w:p w14:paraId="7B5B510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Pontastacus leptodactylus</w:t>
            </w:r>
            <w:r>
              <w:rPr>
                <w:rFonts w:ascii="Times New Roman" w:eastAsia="Times New Roman" w:hAnsi="Times New Roman" w:cs="Times New Roman"/>
                <w:i/>
                <w:sz w:val="20"/>
                <w:szCs w:val="20"/>
                <w:lang w:eastAsia="en-ZA"/>
              </w:rPr>
              <w:t xml:space="preserve"> </w:t>
            </w:r>
            <w:r w:rsidRPr="004D1E6F">
              <w:rPr>
                <w:rFonts w:ascii="Times New Roman" w:eastAsia="Calibri" w:hAnsi="Times New Roman" w:cs="Times New Roman"/>
                <w:sz w:val="20"/>
                <w:szCs w:val="20"/>
              </w:rPr>
              <w:t xml:space="preserve">can </w:t>
            </w:r>
            <w:r w:rsidRPr="00783907">
              <w:rPr>
                <w:rFonts w:ascii="Times New Roman" w:hAnsi="Times New Roman" w:cs="Times New Roman"/>
                <w:sz w:val="20"/>
                <w:szCs w:val="20"/>
                <w:shd w:val="clear" w:color="auto" w:fill="FAFAFA"/>
              </w:rPr>
              <w:t xml:space="preserve">tolerate a wide range of temperature (4-32°C) and </w:t>
            </w:r>
            <w:r>
              <w:rPr>
                <w:rFonts w:ascii="Times New Roman" w:hAnsi="Times New Roman" w:cs="Times New Roman"/>
                <w:sz w:val="20"/>
                <w:szCs w:val="20"/>
                <w:shd w:val="clear" w:color="auto" w:fill="FAFAFA"/>
              </w:rPr>
              <w:t>it is k</w:t>
            </w:r>
            <w:r>
              <w:rPr>
                <w:rFonts w:ascii="Times New Roman" w:eastAsia="Calibri" w:hAnsi="Times New Roman" w:cs="Times New Roman"/>
                <w:sz w:val="20"/>
                <w:szCs w:val="20"/>
              </w:rPr>
              <w:t>nown to occur in several climate types that include temperate/mesothermal (average temperature of coldest month (&gt; 0</w:t>
            </w:r>
            <w:r w:rsidRPr="00783907">
              <w:rPr>
                <w:rFonts w:ascii="Times New Roman" w:hAnsi="Times New Roman" w:cs="Times New Roman"/>
                <w:sz w:val="20"/>
                <w:szCs w:val="20"/>
                <w:shd w:val="clear" w:color="auto" w:fill="FAFAFA"/>
              </w:rPr>
              <w:t>°C</w:t>
            </w:r>
            <w:r>
              <w:rPr>
                <w:rFonts w:ascii="Times New Roman" w:eastAsia="Calibri" w:hAnsi="Times New Roman" w:cs="Times New Roman"/>
                <w:sz w:val="20"/>
                <w:szCs w:val="20"/>
              </w:rPr>
              <w:t xml:space="preserve"> and &lt; 18</w:t>
            </w:r>
            <w:r w:rsidRPr="00783907">
              <w:rPr>
                <w:rFonts w:ascii="Times New Roman" w:hAnsi="Times New Roman" w:cs="Times New Roman"/>
                <w:sz w:val="20"/>
                <w:szCs w:val="20"/>
                <w:shd w:val="clear" w:color="auto" w:fill="FAFAFA"/>
              </w:rPr>
              <w:t>°C</w:t>
            </w:r>
            <w:r>
              <w:rPr>
                <w:rFonts w:ascii="Times New Roman" w:eastAsia="Calibri" w:hAnsi="Times New Roman" w:cs="Times New Roman"/>
                <w:sz w:val="20"/>
                <w:szCs w:val="20"/>
              </w:rPr>
              <w:t xml:space="preserve"> and mean warmest month &gt;10 </w:t>
            </w:r>
            <w:r w:rsidRPr="00783907">
              <w:rPr>
                <w:rFonts w:ascii="Times New Roman" w:hAnsi="Times New Roman" w:cs="Times New Roman"/>
                <w:sz w:val="20"/>
                <w:szCs w:val="20"/>
                <w:shd w:val="clear" w:color="auto" w:fill="FAFAFA"/>
              </w:rPr>
              <w:t>°C</w:t>
            </w:r>
            <w:r>
              <w:rPr>
                <w:rFonts w:ascii="Times New Roman" w:eastAsia="Calibri" w:hAnsi="Times New Roman" w:cs="Times New Roman"/>
                <w:sz w:val="20"/>
                <w:szCs w:val="20"/>
              </w:rPr>
              <w:t>) and continental/microthermal climate (average temperature of coldest month (&gt; 0</w:t>
            </w:r>
            <w:r w:rsidRPr="00783907">
              <w:rPr>
                <w:rFonts w:ascii="Times New Roman" w:hAnsi="Times New Roman" w:cs="Times New Roman"/>
                <w:sz w:val="20"/>
                <w:szCs w:val="20"/>
                <w:shd w:val="clear" w:color="auto" w:fill="FAFAFA"/>
              </w:rPr>
              <w:t>°C</w:t>
            </w:r>
            <w:r>
              <w:rPr>
                <w:rFonts w:ascii="Times New Roman" w:eastAsia="Calibri" w:hAnsi="Times New Roman" w:cs="Times New Roman"/>
                <w:sz w:val="20"/>
                <w:szCs w:val="20"/>
              </w:rPr>
              <w:t xml:space="preserve"> and mean warmest month &gt;10 </w:t>
            </w:r>
            <w:r w:rsidRPr="00783907">
              <w:rPr>
                <w:rFonts w:ascii="Times New Roman" w:hAnsi="Times New Roman" w:cs="Times New Roman"/>
                <w:sz w:val="20"/>
                <w:szCs w:val="20"/>
                <w:shd w:val="clear" w:color="auto" w:fill="FAFAFA"/>
              </w:rPr>
              <w:t>°C</w:t>
            </w:r>
            <w:r>
              <w:rPr>
                <w:rFonts w:ascii="Times New Roman" w:eastAsia="Calibri" w:hAnsi="Times New Roman" w:cs="Times New Roman"/>
                <w:sz w:val="20"/>
                <w:szCs w:val="20"/>
              </w:rPr>
              <w:t xml:space="preserve"> ) (CABI 2024). These climates conditions are available in South Africa.</w:t>
            </w:r>
          </w:p>
        </w:tc>
      </w:tr>
      <w:tr w:rsidR="002D7080" w:rsidRPr="004D1E6F" w14:paraId="2C951347" w14:textId="77777777" w:rsidTr="002E2C37">
        <w:tc>
          <w:tcPr>
            <w:tcW w:w="9016" w:type="dxa"/>
            <w:gridSpan w:val="2"/>
          </w:tcPr>
          <w:p w14:paraId="1086DEA4" w14:textId="77777777" w:rsidR="002D7080" w:rsidRPr="000E6BA8" w:rsidRDefault="002D7080" w:rsidP="002E2C37">
            <w:pPr>
              <w:rPr>
                <w:rFonts w:ascii="Times New Roman" w:eastAsia="Times New Roman" w:hAnsi="Times New Roman" w:cs="Times New Roman"/>
                <w:sz w:val="20"/>
                <w:szCs w:val="20"/>
                <w:lang w:val="fr-FR" w:eastAsia="en-ZA"/>
              </w:rPr>
            </w:pPr>
            <w:r w:rsidRPr="000E6BA8">
              <w:rPr>
                <w:rFonts w:ascii="Times New Roman" w:eastAsia="Times New Roman" w:hAnsi="Times New Roman" w:cs="Times New Roman"/>
                <w:sz w:val="20"/>
                <w:szCs w:val="20"/>
                <w:lang w:val="fr-FR" w:eastAsia="en-ZA"/>
              </w:rPr>
              <w:lastRenderedPageBreak/>
              <w:t xml:space="preserve">References: </w:t>
            </w:r>
          </w:p>
          <w:p w14:paraId="2117E411" w14:textId="77777777" w:rsidR="002D7080" w:rsidRPr="001F75AB" w:rsidRDefault="002D7080" w:rsidP="002E2C37">
            <w:pPr>
              <w:ind w:left="540" w:hanging="540"/>
              <w:jc w:val="both"/>
              <w:rPr>
                <w:rFonts w:ascii="Times New Roman" w:hAnsi="Times New Roman" w:cs="Times New Roman"/>
                <w:sz w:val="20"/>
                <w:szCs w:val="20"/>
              </w:rPr>
            </w:pPr>
            <w:r w:rsidRPr="000E6BA8">
              <w:rPr>
                <w:rFonts w:ascii="Times New Roman" w:hAnsi="Times New Roman" w:cs="Times New Roman"/>
                <w:sz w:val="20"/>
                <w:szCs w:val="20"/>
                <w:lang w:val="fr-FR"/>
              </w:rPr>
              <w:t xml:space="preserve">CABI, 2024. </w:t>
            </w:r>
            <w:r w:rsidRPr="000E6BA8">
              <w:rPr>
                <w:rFonts w:ascii="Times New Roman" w:eastAsia="Times New Roman" w:hAnsi="Times New Roman" w:cs="Times New Roman"/>
                <w:i/>
                <w:sz w:val="20"/>
                <w:szCs w:val="20"/>
                <w:lang w:val="fr-FR" w:eastAsia="en-ZA"/>
              </w:rPr>
              <w:t>Pontastacus leptodactylus</w:t>
            </w:r>
            <w:r w:rsidRPr="000E6BA8">
              <w:rPr>
                <w:rFonts w:ascii="Times New Roman" w:eastAsia="Times New Roman" w:hAnsi="Times New Roman" w:cs="Times New Roman"/>
                <w:sz w:val="20"/>
                <w:szCs w:val="20"/>
                <w:lang w:val="fr-FR" w:eastAsia="en-ZA"/>
              </w:rPr>
              <w:t xml:space="preserve"> </w:t>
            </w:r>
            <w:r w:rsidRPr="000E6BA8">
              <w:rPr>
                <w:rFonts w:ascii="Times New Roman" w:hAnsi="Times New Roman" w:cs="Times New Roman"/>
                <w:sz w:val="20"/>
                <w:szCs w:val="20"/>
                <w:lang w:val="fr-FR"/>
              </w:rPr>
              <w:t xml:space="preserve">(Danube crayfish). </w:t>
            </w:r>
            <w:r w:rsidRPr="00783907">
              <w:rPr>
                <w:rFonts w:ascii="Times New Roman" w:hAnsi="Times New Roman" w:cs="Times New Roman"/>
                <w:sz w:val="20"/>
                <w:szCs w:val="20"/>
              </w:rPr>
              <w:t xml:space="preserve">Invasive Species Compendium, </w:t>
            </w:r>
            <w:r w:rsidRPr="00783907">
              <w:rPr>
                <w:rFonts w:ascii="Times New Roman" w:hAnsi="Times New Roman" w:cs="Times New Roman"/>
                <w:color w:val="000000"/>
                <w:sz w:val="20"/>
                <w:szCs w:val="20"/>
                <w:shd w:val="clear" w:color="auto" w:fill="FFFFFF"/>
              </w:rPr>
              <w:t>CABI Publishing, Wallingford, UK.</w:t>
            </w:r>
            <w:r w:rsidRPr="00783907">
              <w:rPr>
                <w:rFonts w:ascii="Times New Roman" w:hAnsi="Times New Roman" w:cs="Times New Roman"/>
                <w:sz w:val="20"/>
                <w:szCs w:val="20"/>
              </w:rPr>
              <w:t xml:space="preserve"> </w:t>
            </w:r>
            <w:hyperlink w:history="1">
              <w:r w:rsidRPr="00783907">
                <w:rPr>
                  <w:rStyle w:val="Hyperlink"/>
                  <w:rFonts w:ascii="Times New Roman" w:hAnsi="Times New Roman" w:cs="Times New Roman"/>
                  <w:sz w:val="20"/>
                  <w:szCs w:val="20"/>
                </w:rPr>
                <w:t>https://www.cabidigitallibrary.org/doi/full/10.1079/cabicompendium.72034</w:t>
              </w:r>
            </w:hyperlink>
            <w:r w:rsidRPr="00783907">
              <w:rPr>
                <w:rFonts w:ascii="Times New Roman" w:hAnsi="Times New Roman" w:cs="Times New Roman"/>
                <w:sz w:val="20"/>
                <w:szCs w:val="20"/>
              </w:rPr>
              <w:t xml:space="preserve"> (accessed 10 July 2024)</w:t>
            </w:r>
            <w:r>
              <w:rPr>
                <w:rFonts w:ascii="Times New Roman" w:hAnsi="Times New Roman" w:cs="Times New Roman"/>
                <w:sz w:val="20"/>
                <w:szCs w:val="20"/>
              </w:rPr>
              <w:t>.</w:t>
            </w:r>
          </w:p>
        </w:tc>
      </w:tr>
    </w:tbl>
    <w:p w14:paraId="6E115FFC"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9"/>
        <w:tblW w:w="0" w:type="auto"/>
        <w:tblLook w:val="04A0" w:firstRow="1" w:lastRow="0" w:firstColumn="1" w:lastColumn="0" w:noHBand="0" w:noVBand="1"/>
      </w:tblPr>
      <w:tblGrid>
        <w:gridCol w:w="5524"/>
        <w:gridCol w:w="3492"/>
      </w:tblGrid>
      <w:tr w:rsidR="002D7080" w:rsidRPr="004D1E6F" w14:paraId="229884DA" w14:textId="77777777" w:rsidTr="002E2C37">
        <w:tc>
          <w:tcPr>
            <w:tcW w:w="9016" w:type="dxa"/>
            <w:gridSpan w:val="2"/>
            <w:shd w:val="clear" w:color="auto" w:fill="F2F2F2" w:themeFill="background1" w:themeFillShade="F2"/>
          </w:tcPr>
          <w:p w14:paraId="2B9C348B"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LIK5 Unaided secondary (dispersal) pathways</w:t>
            </w:r>
          </w:p>
        </w:tc>
      </w:tr>
      <w:tr w:rsidR="002D7080" w:rsidRPr="004D1E6F" w14:paraId="08B4E2C9" w14:textId="77777777" w:rsidTr="002E2C37">
        <w:tc>
          <w:tcPr>
            <w:tcW w:w="5524" w:type="dxa"/>
          </w:tcPr>
          <w:p w14:paraId="502D563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Very unlikely</w:t>
            </w:r>
            <w:r>
              <w:rPr>
                <w:rFonts w:ascii="Times New Roman" w:eastAsia="Times New Roman" w:hAnsi="Times New Roman" w:cs="Times New Roman"/>
                <w:sz w:val="20"/>
                <w:szCs w:val="20"/>
                <w:lang w:eastAsia="en-ZA"/>
              </w:rPr>
              <w:t xml:space="preserve"> (p = 0.0027)</w:t>
            </w:r>
          </w:p>
        </w:tc>
        <w:tc>
          <w:tcPr>
            <w:tcW w:w="3492" w:type="dxa"/>
          </w:tcPr>
          <w:p w14:paraId="76507C1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549F8B76" w14:textId="77777777" w:rsidTr="002E2C37">
        <w:tc>
          <w:tcPr>
            <w:tcW w:w="9016" w:type="dxa"/>
            <w:gridSpan w:val="2"/>
          </w:tcPr>
          <w:p w14:paraId="1E6CF27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t xml:space="preserve"> </w:t>
            </w:r>
            <w:r w:rsidRPr="007D6DA7">
              <w:rPr>
                <w:rFonts w:ascii="Times New Roman" w:eastAsia="Times New Roman" w:hAnsi="Times New Roman" w:cs="Times New Roman"/>
                <w:i/>
                <w:iCs/>
                <w:sz w:val="20"/>
                <w:szCs w:val="20"/>
                <w:lang w:eastAsia="en-ZA"/>
              </w:rPr>
              <w:t>Pontastacus leptodactylus</w:t>
            </w:r>
            <w:r w:rsidRPr="001F75AB">
              <w:rPr>
                <w:rFonts w:ascii="Times New Roman" w:eastAsia="Times New Roman" w:hAnsi="Times New Roman" w:cs="Times New Roman"/>
                <w:sz w:val="20"/>
                <w:szCs w:val="20"/>
                <w:lang w:eastAsia="en-ZA"/>
              </w:rPr>
              <w:t xml:space="preserve"> can disperse naturally in aquatic environments but has limited ability to disperse overland (</w:t>
            </w:r>
            <w:r>
              <w:rPr>
                <w:rFonts w:ascii="Times New Roman" w:eastAsia="Times New Roman" w:hAnsi="Times New Roman" w:cs="Times New Roman"/>
                <w:sz w:val="20"/>
                <w:szCs w:val="20"/>
                <w:lang w:eastAsia="en-ZA"/>
              </w:rPr>
              <w:t>de Vaate et al. 2002</w:t>
            </w:r>
            <w:r w:rsidRPr="001F75AB">
              <w:rPr>
                <w:rFonts w:ascii="Times New Roman" w:eastAsia="Times New Roman" w:hAnsi="Times New Roman" w:cs="Times New Roman"/>
                <w:sz w:val="20"/>
                <w:szCs w:val="20"/>
                <w:lang w:eastAsia="en-ZA"/>
              </w:rPr>
              <w:t xml:space="preserve">). There are no known populations of </w:t>
            </w:r>
            <w:r w:rsidRPr="007D6DA7">
              <w:rPr>
                <w:rFonts w:ascii="Times New Roman" w:eastAsia="Times New Roman" w:hAnsi="Times New Roman" w:cs="Times New Roman"/>
                <w:i/>
                <w:iCs/>
                <w:sz w:val="20"/>
                <w:szCs w:val="20"/>
                <w:lang w:eastAsia="en-ZA"/>
              </w:rPr>
              <w:t>P. leptodactylus</w:t>
            </w:r>
            <w:r w:rsidRPr="001F75AB">
              <w:rPr>
                <w:rFonts w:ascii="Times New Roman" w:eastAsia="Times New Roman" w:hAnsi="Times New Roman" w:cs="Times New Roman"/>
                <w:sz w:val="20"/>
                <w:szCs w:val="20"/>
                <w:lang w:eastAsia="en-ZA"/>
              </w:rPr>
              <w:t xml:space="preserve"> present in countries neighbouring South Africa that could lead to secondary dispersal events through connected waterways (Nunes et al. 2017; Madzivanzira et al. 2020).</w:t>
            </w:r>
          </w:p>
        </w:tc>
      </w:tr>
      <w:tr w:rsidR="002D7080" w:rsidRPr="004D1E6F" w14:paraId="2D173CE0" w14:textId="77777777" w:rsidTr="002E2C37">
        <w:tc>
          <w:tcPr>
            <w:tcW w:w="9016" w:type="dxa"/>
            <w:gridSpan w:val="2"/>
          </w:tcPr>
          <w:p w14:paraId="07B616D8" w14:textId="77777777" w:rsidR="002D7080" w:rsidRPr="004D1E6F" w:rsidRDefault="002D7080" w:rsidP="008A0BC6">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6F97224D" w14:textId="77777777" w:rsidR="002D7080" w:rsidRPr="007D6DA7" w:rsidRDefault="002D7080" w:rsidP="009F65AC">
            <w:pPr>
              <w:ind w:left="539" w:hanging="539"/>
              <w:contextualSpacing/>
              <w:jc w:val="both"/>
              <w:rPr>
                <w:rStyle w:val="Hyperlink"/>
                <w:rFonts w:ascii="Times New Roman" w:eastAsia="Times New Roman" w:hAnsi="Times New Roman" w:cs="Times New Roman"/>
                <w:iCs/>
                <w:sz w:val="20"/>
                <w:szCs w:val="20"/>
                <w:lang w:eastAsia="en-ZA"/>
              </w:rPr>
            </w:pPr>
            <w:r w:rsidRPr="007D6DA7">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7D6DA7">
              <w:rPr>
                <w:rFonts w:ascii="Times New Roman" w:eastAsia="Times New Roman" w:hAnsi="Times New Roman" w:cs="Times New Roman"/>
                <w:i/>
                <w:sz w:val="20"/>
                <w:szCs w:val="20"/>
                <w:lang w:eastAsia="en-ZA"/>
              </w:rPr>
              <w:t xml:space="preserve">Reviews in Fisheries Science &amp; Aquaculture </w:t>
            </w:r>
            <w:r w:rsidRPr="007D6DA7">
              <w:rPr>
                <w:rFonts w:ascii="Times New Roman" w:eastAsia="Times New Roman" w:hAnsi="Times New Roman" w:cs="Times New Roman"/>
                <w:sz w:val="20"/>
                <w:szCs w:val="20"/>
                <w:lang w:eastAsia="en-ZA"/>
              </w:rPr>
              <w:t>1-21</w:t>
            </w:r>
            <w:r w:rsidRPr="007D6DA7">
              <w:rPr>
                <w:rFonts w:ascii="Times New Roman" w:eastAsia="Times New Roman" w:hAnsi="Times New Roman" w:cs="Times New Roman"/>
                <w:i/>
                <w:sz w:val="20"/>
                <w:szCs w:val="20"/>
                <w:lang w:eastAsia="en-ZA"/>
              </w:rPr>
              <w:t>.</w:t>
            </w:r>
            <w:r w:rsidRPr="007D6DA7">
              <w:rPr>
                <w:rFonts w:ascii="Times New Roman" w:eastAsia="Times New Roman" w:hAnsi="Times New Roman" w:cs="Times New Roman"/>
                <w:iCs/>
                <w:sz w:val="20"/>
                <w:szCs w:val="20"/>
                <w:lang w:eastAsia="en-ZA"/>
              </w:rPr>
              <w:t xml:space="preserve"> </w:t>
            </w:r>
            <w:hyperlink w:history="1">
              <w:r w:rsidRPr="007D6DA7">
                <w:rPr>
                  <w:rStyle w:val="Hyperlink"/>
                  <w:rFonts w:ascii="Times New Roman" w:eastAsia="Times New Roman" w:hAnsi="Times New Roman" w:cs="Times New Roman"/>
                  <w:iCs/>
                  <w:sz w:val="20"/>
                  <w:szCs w:val="20"/>
                  <w:lang w:eastAsia="en-ZA"/>
                </w:rPr>
                <w:t>https://doi.org/10.1080/23308249.2020.1802405</w:t>
              </w:r>
            </w:hyperlink>
          </w:p>
          <w:p w14:paraId="140BC8E7" w14:textId="77777777" w:rsidR="002D7080" w:rsidRPr="007D6DA7" w:rsidRDefault="002D7080" w:rsidP="009F65AC">
            <w:pPr>
              <w:ind w:left="539" w:hanging="539"/>
              <w:contextualSpacing/>
              <w:jc w:val="both"/>
              <w:rPr>
                <w:rFonts w:ascii="Times New Roman" w:hAnsi="Times New Roman" w:cs="Times New Roman"/>
                <w:sz w:val="20"/>
                <w:szCs w:val="20"/>
                <w:shd w:val="clear" w:color="auto" w:fill="FFFFFF"/>
              </w:rPr>
            </w:pPr>
            <w:r w:rsidRPr="007D6DA7">
              <w:rPr>
                <w:rFonts w:ascii="Times New Roman" w:hAnsi="Times New Roman" w:cs="Times New Roman"/>
                <w:sz w:val="20"/>
                <w:szCs w:val="20"/>
                <w:shd w:val="clear" w:color="auto" w:fill="FFFFFF"/>
              </w:rPr>
              <w:t xml:space="preserve">de Vaate, A.B., Jazdzewski, K., Ketelaars, H.A.M., Gollasch, S. &amp; Van der Velde, G. 2002, </w:t>
            </w:r>
            <w:r>
              <w:rPr>
                <w:rFonts w:ascii="Times New Roman" w:hAnsi="Times New Roman" w:cs="Times New Roman"/>
                <w:sz w:val="20"/>
                <w:szCs w:val="20"/>
                <w:shd w:val="clear" w:color="auto" w:fill="FFFFFF"/>
              </w:rPr>
              <w:t>‘</w:t>
            </w:r>
            <w:r w:rsidRPr="007D6DA7">
              <w:rPr>
                <w:rFonts w:ascii="Times New Roman" w:hAnsi="Times New Roman" w:cs="Times New Roman"/>
                <w:sz w:val="20"/>
                <w:szCs w:val="20"/>
                <w:shd w:val="clear" w:color="auto" w:fill="FFFFFF"/>
              </w:rPr>
              <w:t>Geographical patterns in range extension of Ponto-Caspian macroinvertebrate species in Europe</w:t>
            </w:r>
            <w:r>
              <w:rPr>
                <w:rFonts w:ascii="Times New Roman" w:hAnsi="Times New Roman" w:cs="Times New Roman"/>
                <w:sz w:val="20"/>
                <w:szCs w:val="20"/>
                <w:shd w:val="clear" w:color="auto" w:fill="FFFFFF"/>
              </w:rPr>
              <w:t>’</w:t>
            </w:r>
            <w:r w:rsidRPr="007D6DA7">
              <w:rPr>
                <w:rFonts w:ascii="Times New Roman" w:hAnsi="Times New Roman" w:cs="Times New Roman"/>
                <w:sz w:val="20"/>
                <w:szCs w:val="20"/>
                <w:shd w:val="clear" w:color="auto" w:fill="FFFFFF"/>
              </w:rPr>
              <w:t>, </w:t>
            </w:r>
            <w:r w:rsidRPr="007D6DA7">
              <w:rPr>
                <w:rFonts w:ascii="Times New Roman" w:hAnsi="Times New Roman" w:cs="Times New Roman"/>
                <w:i/>
                <w:iCs/>
                <w:sz w:val="20"/>
                <w:szCs w:val="20"/>
                <w:shd w:val="clear" w:color="auto" w:fill="FFFFFF"/>
              </w:rPr>
              <w:t>Canadian Journal of Fisheries and Aquatic Sciences, </w:t>
            </w:r>
            <w:r w:rsidRPr="007D6DA7">
              <w:rPr>
                <w:rFonts w:ascii="Times New Roman" w:hAnsi="Times New Roman" w:cs="Times New Roman"/>
                <w:sz w:val="20"/>
                <w:szCs w:val="20"/>
                <w:shd w:val="clear" w:color="auto" w:fill="FFFFFF"/>
              </w:rPr>
              <w:t>59</w:t>
            </w:r>
            <w:r>
              <w:rPr>
                <w:rFonts w:ascii="Times New Roman" w:hAnsi="Times New Roman" w:cs="Times New Roman"/>
                <w:sz w:val="20"/>
                <w:szCs w:val="20"/>
                <w:shd w:val="clear" w:color="auto" w:fill="FFFFFF"/>
              </w:rPr>
              <w:t>(</w:t>
            </w:r>
            <w:r w:rsidRPr="007D6DA7">
              <w:rPr>
                <w:rFonts w:ascii="Times New Roman" w:hAnsi="Times New Roman" w:cs="Times New Roman"/>
                <w:sz w:val="20"/>
                <w:szCs w:val="20"/>
                <w:shd w:val="clear" w:color="auto" w:fill="FFFFFF"/>
              </w:rPr>
              <w:t>7</w:t>
            </w:r>
            <w:r>
              <w:rPr>
                <w:rFonts w:ascii="Times New Roman" w:hAnsi="Times New Roman" w:cs="Times New Roman"/>
                <w:sz w:val="20"/>
                <w:szCs w:val="20"/>
                <w:shd w:val="clear" w:color="auto" w:fill="FFFFFF"/>
              </w:rPr>
              <w:t xml:space="preserve">), </w:t>
            </w:r>
            <w:r w:rsidRPr="007D6DA7">
              <w:rPr>
                <w:rFonts w:ascii="Times New Roman" w:hAnsi="Times New Roman" w:cs="Times New Roman"/>
                <w:sz w:val="20"/>
                <w:szCs w:val="20"/>
                <w:shd w:val="clear" w:color="auto" w:fill="FFFFFF"/>
              </w:rPr>
              <w:t>1159-1174.</w:t>
            </w:r>
          </w:p>
          <w:p w14:paraId="2327132C" w14:textId="62AEC9FB" w:rsidR="002D7080" w:rsidRPr="004D1E6F" w:rsidRDefault="002D7080" w:rsidP="009F65AC">
            <w:pPr>
              <w:ind w:left="539" w:hanging="539"/>
              <w:contextualSpacing/>
              <w:jc w:val="both"/>
              <w:rPr>
                <w:rFonts w:ascii="Times New Roman" w:eastAsia="Times New Roman" w:hAnsi="Times New Roman" w:cs="Times New Roman"/>
                <w:sz w:val="20"/>
                <w:szCs w:val="20"/>
                <w:lang w:eastAsia="en-ZA"/>
              </w:rPr>
            </w:pPr>
            <w:r w:rsidRPr="007D6DA7">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w:t>
            </w:r>
            <w:r w:rsidRPr="004A6C3D">
              <w:rPr>
                <w:rFonts w:ascii="Times New Roman" w:eastAsia="Times New Roman" w:hAnsi="Times New Roman" w:cs="Times New Roman"/>
                <w:i/>
                <w:iCs/>
                <w:sz w:val="20"/>
                <w:szCs w:val="20"/>
                <w:lang w:eastAsia="en-ZA"/>
              </w:rPr>
              <w:t>African Journal of Aquatic Science</w:t>
            </w:r>
            <w:r w:rsidRPr="007D6DA7">
              <w:rPr>
                <w:rFonts w:ascii="Times New Roman" w:eastAsia="Times New Roman" w:hAnsi="Times New Roman" w:cs="Times New Roman"/>
                <w:sz w:val="20"/>
                <w:szCs w:val="20"/>
                <w:lang w:eastAsia="en-ZA"/>
              </w:rPr>
              <w:t xml:space="preserve"> 42, 309–323,</w:t>
            </w:r>
            <w:r w:rsidR="00356715" w:rsidRPr="00356715">
              <w:rPr>
                <w:rFonts w:ascii="Times New Roman" w:eastAsia="Times New Roman" w:hAnsi="Times New Roman" w:cs="Times New Roman"/>
                <w:sz w:val="20"/>
                <w:szCs w:val="20"/>
                <w:lang w:eastAsia="en-ZA"/>
              </w:rPr>
              <w:t xml:space="preserve"> </w:t>
            </w:r>
            <w:hyperlink r:id="rId456" w:history="1">
              <w:r w:rsidR="00356715" w:rsidRPr="00356715">
                <w:rPr>
                  <w:rStyle w:val="Hyperlink"/>
                  <w:rFonts w:ascii="Times New Roman" w:eastAsia="Calibri" w:hAnsi="Times New Roman" w:cs="Times New Roman"/>
                  <w:sz w:val="20"/>
                  <w:szCs w:val="20"/>
                </w:rPr>
                <w:t>https://doi.org/10.2989/16085914.2017.1405788</w:t>
              </w:r>
            </w:hyperlink>
          </w:p>
        </w:tc>
      </w:tr>
    </w:tbl>
    <w:p w14:paraId="6F87388F" w14:textId="77777777" w:rsidR="002D7080" w:rsidRPr="004D1E6F" w:rsidRDefault="002D7080" w:rsidP="008A0BC6">
      <w:pPr>
        <w:spacing w:after="0" w:line="240" w:lineRule="auto"/>
        <w:jc w:val="both"/>
        <w:rPr>
          <w:rFonts w:ascii="Times New Roman" w:eastAsia="Times New Roman" w:hAnsi="Times New Roman" w:cs="Times New Roman"/>
          <w:sz w:val="20"/>
          <w:szCs w:val="20"/>
          <w:lang w:eastAsia="en-ZA"/>
        </w:rPr>
      </w:pPr>
    </w:p>
    <w:tbl>
      <w:tblPr>
        <w:tblStyle w:val="TableGrid19"/>
        <w:tblW w:w="0" w:type="auto"/>
        <w:tblLook w:val="04A0" w:firstRow="1" w:lastRow="0" w:firstColumn="1" w:lastColumn="0" w:noHBand="0" w:noVBand="1"/>
      </w:tblPr>
      <w:tblGrid>
        <w:gridCol w:w="5524"/>
        <w:gridCol w:w="3492"/>
      </w:tblGrid>
      <w:tr w:rsidR="002D7080" w:rsidRPr="004D1E6F" w14:paraId="40BEF417" w14:textId="77777777" w:rsidTr="002E2C37">
        <w:tc>
          <w:tcPr>
            <w:tcW w:w="9016" w:type="dxa"/>
            <w:gridSpan w:val="2"/>
            <w:shd w:val="clear" w:color="auto" w:fill="F2F2F2" w:themeFill="background1" w:themeFillShade="F2"/>
          </w:tcPr>
          <w:p w14:paraId="3191C853"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LIK6 Human aided secondary (dispersal) pathways</w:t>
            </w:r>
          </w:p>
        </w:tc>
      </w:tr>
      <w:tr w:rsidR="002D7080" w:rsidRPr="004D1E6F" w14:paraId="7FA92B4F" w14:textId="77777777" w:rsidTr="002E2C37">
        <w:tc>
          <w:tcPr>
            <w:tcW w:w="5524" w:type="dxa"/>
          </w:tcPr>
          <w:p w14:paraId="78A6EB5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Fairly probable (p = 0.5)</w:t>
            </w:r>
          </w:p>
        </w:tc>
        <w:tc>
          <w:tcPr>
            <w:tcW w:w="3492" w:type="dxa"/>
          </w:tcPr>
          <w:p w14:paraId="369EA83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59F2406C" w14:textId="77777777" w:rsidTr="002E2C37">
        <w:tc>
          <w:tcPr>
            <w:tcW w:w="9016" w:type="dxa"/>
            <w:gridSpan w:val="2"/>
          </w:tcPr>
          <w:p w14:paraId="17EF7F4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233C97">
              <w:rPr>
                <w:rFonts w:ascii="Times New Roman" w:eastAsia="Times New Roman" w:hAnsi="Times New Roman" w:cs="Times New Roman"/>
                <w:sz w:val="20"/>
                <w:szCs w:val="20"/>
                <w:lang w:eastAsia="en-ZA"/>
              </w:rPr>
              <w:t>Intentional release into the wild through the pet/ aquarium</w:t>
            </w:r>
            <w:r>
              <w:rPr>
                <w:rFonts w:ascii="Times New Roman" w:eastAsia="Times New Roman" w:hAnsi="Times New Roman" w:cs="Times New Roman"/>
                <w:sz w:val="20"/>
                <w:szCs w:val="20"/>
                <w:lang w:eastAsia="en-ZA"/>
              </w:rPr>
              <w:t xml:space="preserve"> and aquaculture re</w:t>
            </w:r>
            <w:r w:rsidRPr="00233C97">
              <w:rPr>
                <w:rFonts w:ascii="Times New Roman" w:eastAsia="Times New Roman" w:hAnsi="Times New Roman" w:cs="Times New Roman"/>
                <w:sz w:val="20"/>
                <w:szCs w:val="20"/>
                <w:lang w:eastAsia="en-ZA"/>
              </w:rPr>
              <w:t>mains a concern</w:t>
            </w:r>
            <w:r>
              <w:rPr>
                <w:rFonts w:ascii="Times New Roman" w:eastAsia="Times New Roman" w:hAnsi="Times New Roman" w:cs="Times New Roman"/>
                <w:sz w:val="20"/>
                <w:szCs w:val="20"/>
                <w:lang w:eastAsia="en-ZA"/>
              </w:rPr>
              <w:t xml:space="preserve">. </w:t>
            </w:r>
            <w:r w:rsidRPr="00896D71">
              <w:rPr>
                <w:rFonts w:ascii="Times New Roman" w:eastAsia="Times New Roman" w:hAnsi="Times New Roman" w:cs="Times New Roman"/>
                <w:i/>
                <w:iCs/>
                <w:sz w:val="20"/>
                <w:szCs w:val="20"/>
                <w:lang w:eastAsia="en-ZA"/>
              </w:rPr>
              <w:t>Pontastacus leptodactylus</w:t>
            </w:r>
            <w:r w:rsidRPr="00896D71">
              <w:rPr>
                <w:rFonts w:ascii="Times New Roman" w:eastAsia="Times New Roman" w:hAnsi="Times New Roman" w:cs="Times New Roman"/>
                <w:sz w:val="20"/>
                <w:szCs w:val="20"/>
                <w:lang w:eastAsia="en-ZA"/>
              </w:rPr>
              <w:t xml:space="preserve"> are stocked deliberately for the consumption trade and are also available in the pet trade in Europe (Chucholl 2013; Faulkes 2015).</w:t>
            </w:r>
          </w:p>
        </w:tc>
      </w:tr>
      <w:tr w:rsidR="002D7080" w:rsidRPr="004D1E6F" w14:paraId="04926B2B" w14:textId="77777777" w:rsidTr="002E2C37">
        <w:tc>
          <w:tcPr>
            <w:tcW w:w="9016" w:type="dxa"/>
            <w:gridSpan w:val="2"/>
          </w:tcPr>
          <w:p w14:paraId="3D9E5E94" w14:textId="77777777" w:rsidR="002D7080" w:rsidRDefault="002D7080" w:rsidP="002E2C37">
            <w:pPr>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43EB2ACF" w14:textId="77777777" w:rsidR="00C5761E" w:rsidRPr="004D1E6F" w:rsidRDefault="00C5761E" w:rsidP="002E2C37">
            <w:pPr>
              <w:contextualSpacing/>
              <w:rPr>
                <w:rFonts w:ascii="Times New Roman" w:eastAsia="Times New Roman" w:hAnsi="Times New Roman" w:cs="Times New Roman"/>
                <w:sz w:val="20"/>
                <w:szCs w:val="20"/>
                <w:lang w:eastAsia="en-ZA"/>
              </w:rPr>
            </w:pPr>
          </w:p>
          <w:p w14:paraId="7F9F2A74" w14:textId="77777777" w:rsidR="002D7080" w:rsidRPr="004D1E6F" w:rsidRDefault="002D7080" w:rsidP="008A0BC6">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15</w:t>
            </w:r>
            <w:r w:rsidRPr="004D1E6F">
              <w:rPr>
                <w:rFonts w:ascii="Times New Roman" w:eastAsia="Times New Roman" w:hAnsi="Times New Roman" w:cs="Times New Roman"/>
                <w:sz w:val="20"/>
                <w:szCs w:val="20"/>
                <w:lang w:eastAsia="en-ZA"/>
              </w:rPr>
              <w:t xml:space="preserve">, 125–141. </w:t>
            </w:r>
            <w:hyperlink w:history="1">
              <w:r w:rsidRPr="004D1E6F">
                <w:rPr>
                  <w:rStyle w:val="Hyperlink"/>
                  <w:rFonts w:ascii="Times New Roman" w:eastAsia="Times New Roman" w:hAnsi="Times New Roman" w:cs="Times New Roman"/>
                  <w:sz w:val="20"/>
                  <w:szCs w:val="20"/>
                  <w:lang w:eastAsia="en-ZA"/>
                </w:rPr>
                <w:t>https://doi.org/10.1007/s10530-012-0273-2</w:t>
              </w:r>
            </w:hyperlink>
            <w:r w:rsidRPr="004D1E6F">
              <w:rPr>
                <w:rFonts w:ascii="Times New Roman" w:eastAsia="Times New Roman" w:hAnsi="Times New Roman" w:cs="Times New Roman"/>
                <w:sz w:val="20"/>
                <w:szCs w:val="20"/>
                <w:lang w:eastAsia="en-ZA"/>
              </w:rPr>
              <w:t>.</w:t>
            </w:r>
          </w:p>
          <w:p w14:paraId="182CAA6A" w14:textId="595CEE5A" w:rsidR="002D7080" w:rsidRPr="004D1E6F" w:rsidRDefault="002D7080" w:rsidP="008A0BC6">
            <w:pPr>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Faulkes, Z</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2015</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The global trade in crayfish as pets</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Crustacean Research</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44</w:t>
            </w:r>
            <w:r>
              <w:rPr>
                <w:rFonts w:ascii="Times New Roman" w:eastAsia="Times New Roman" w:hAnsi="Times New Roman" w:cs="Times New Roman"/>
                <w:iCs/>
                <w:sz w:val="20"/>
                <w:szCs w:val="20"/>
                <w:lang w:eastAsia="en-ZA"/>
              </w:rPr>
              <w:t xml:space="preserve">, </w:t>
            </w:r>
            <w:r w:rsidRPr="004D1E6F">
              <w:rPr>
                <w:rFonts w:ascii="Times New Roman" w:eastAsia="Times New Roman" w:hAnsi="Times New Roman" w:cs="Times New Roman"/>
                <w:sz w:val="20"/>
                <w:szCs w:val="20"/>
                <w:lang w:eastAsia="en-ZA"/>
              </w:rPr>
              <w:t>75–92.</w:t>
            </w:r>
            <w:r w:rsidR="009F65AC" w:rsidRPr="009F65AC">
              <w:rPr>
                <w:rFonts w:ascii="Times New Roman" w:eastAsia="Times New Roman" w:hAnsi="Times New Roman" w:cs="Times New Roman"/>
                <w:sz w:val="20"/>
                <w:szCs w:val="20"/>
                <w:lang w:eastAsia="en-ZA"/>
              </w:rPr>
              <w:t xml:space="preserve"> https://doi.org/10.18353/crustacea.44.0_75.</w:t>
            </w:r>
          </w:p>
        </w:tc>
      </w:tr>
    </w:tbl>
    <w:p w14:paraId="00260F1E"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4F1E91BE"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3. Consequences</w:t>
      </w:r>
    </w:p>
    <w:p w14:paraId="62CA076E"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9"/>
        <w:tblW w:w="0" w:type="auto"/>
        <w:tblLook w:val="04A0" w:firstRow="1" w:lastRow="0" w:firstColumn="1" w:lastColumn="0" w:noHBand="0" w:noVBand="1"/>
      </w:tblPr>
      <w:tblGrid>
        <w:gridCol w:w="5949"/>
        <w:gridCol w:w="3067"/>
      </w:tblGrid>
      <w:tr w:rsidR="002D7080" w:rsidRPr="004D1E6F" w14:paraId="43274885" w14:textId="77777777" w:rsidTr="002E2C37">
        <w:trPr>
          <w:trHeight w:val="242"/>
        </w:trPr>
        <w:tc>
          <w:tcPr>
            <w:tcW w:w="9016" w:type="dxa"/>
            <w:gridSpan w:val="2"/>
            <w:shd w:val="clear" w:color="auto" w:fill="F2F2F2" w:themeFill="background1" w:themeFillShade="F2"/>
          </w:tcPr>
          <w:p w14:paraId="7B8BF447"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CON1 Environmental impact</w:t>
            </w:r>
          </w:p>
        </w:tc>
      </w:tr>
      <w:tr w:rsidR="002D7080" w:rsidRPr="004D1E6F" w14:paraId="4606FC11" w14:textId="77777777" w:rsidTr="002E2C37">
        <w:tc>
          <w:tcPr>
            <w:tcW w:w="9016" w:type="dxa"/>
            <w:gridSpan w:val="2"/>
            <w:shd w:val="clear" w:color="auto" w:fill="F2F2F2" w:themeFill="background1" w:themeFillShade="F2"/>
          </w:tcPr>
          <w:p w14:paraId="5515F28D"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CON1a: Competition</w:t>
            </w:r>
          </w:p>
        </w:tc>
      </w:tr>
      <w:tr w:rsidR="002D7080" w:rsidRPr="004D1E6F" w14:paraId="17F8632A" w14:textId="77777777" w:rsidTr="002E2C37">
        <w:tc>
          <w:tcPr>
            <w:tcW w:w="5949" w:type="dxa"/>
          </w:tcPr>
          <w:p w14:paraId="1500E0C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5DBC32D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55780118" w14:textId="77777777" w:rsidTr="002E2C37">
        <w:trPr>
          <w:trHeight w:val="70"/>
        </w:trPr>
        <w:tc>
          <w:tcPr>
            <w:tcW w:w="9016" w:type="dxa"/>
            <w:gridSpan w:val="2"/>
          </w:tcPr>
          <w:p w14:paraId="2F01070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54FD471C" w14:textId="77777777" w:rsidTr="002E2C37">
        <w:trPr>
          <w:trHeight w:val="70"/>
        </w:trPr>
        <w:tc>
          <w:tcPr>
            <w:tcW w:w="9016" w:type="dxa"/>
            <w:gridSpan w:val="2"/>
          </w:tcPr>
          <w:p w14:paraId="77CED639"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2BC6C350" w14:textId="77777777" w:rsidTr="002E2C37">
        <w:tc>
          <w:tcPr>
            <w:tcW w:w="9016" w:type="dxa"/>
            <w:gridSpan w:val="2"/>
            <w:shd w:val="clear" w:color="auto" w:fill="F2F2F2" w:themeFill="background1" w:themeFillShade="F2"/>
          </w:tcPr>
          <w:p w14:paraId="139DE780"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lastRenderedPageBreak/>
              <w:t>CON1b: Predation</w:t>
            </w:r>
          </w:p>
        </w:tc>
      </w:tr>
      <w:tr w:rsidR="002D7080" w:rsidRPr="004D1E6F" w14:paraId="01CC2255" w14:textId="77777777" w:rsidTr="002E2C37">
        <w:tc>
          <w:tcPr>
            <w:tcW w:w="5949" w:type="dxa"/>
          </w:tcPr>
          <w:p w14:paraId="033F952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394AB34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36C611D2" w14:textId="77777777" w:rsidTr="002E2C37">
        <w:trPr>
          <w:trHeight w:val="70"/>
        </w:trPr>
        <w:tc>
          <w:tcPr>
            <w:tcW w:w="9016" w:type="dxa"/>
            <w:gridSpan w:val="2"/>
          </w:tcPr>
          <w:p w14:paraId="0F4DCD3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7690A760" w14:textId="77777777" w:rsidTr="002E2C37">
        <w:trPr>
          <w:trHeight w:val="70"/>
        </w:trPr>
        <w:tc>
          <w:tcPr>
            <w:tcW w:w="9016" w:type="dxa"/>
            <w:gridSpan w:val="2"/>
          </w:tcPr>
          <w:p w14:paraId="67A66C2B"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1873BF3" w14:textId="77777777" w:rsidTr="002E2C37">
        <w:tc>
          <w:tcPr>
            <w:tcW w:w="9016" w:type="dxa"/>
            <w:gridSpan w:val="2"/>
            <w:shd w:val="clear" w:color="auto" w:fill="F2F2F2" w:themeFill="background1" w:themeFillShade="F2"/>
          </w:tcPr>
          <w:p w14:paraId="26721473"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CON1c: Hybridisation</w:t>
            </w:r>
          </w:p>
        </w:tc>
      </w:tr>
      <w:tr w:rsidR="002D7080" w:rsidRPr="004D1E6F" w14:paraId="470366DB" w14:textId="77777777" w:rsidTr="002E2C37">
        <w:tc>
          <w:tcPr>
            <w:tcW w:w="5949" w:type="dxa"/>
          </w:tcPr>
          <w:p w14:paraId="3C13874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5439C33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EC3BE9A" w14:textId="77777777" w:rsidTr="002E2C37">
        <w:trPr>
          <w:trHeight w:val="70"/>
        </w:trPr>
        <w:tc>
          <w:tcPr>
            <w:tcW w:w="9016" w:type="dxa"/>
            <w:gridSpan w:val="2"/>
          </w:tcPr>
          <w:p w14:paraId="688DB0C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35938346" w14:textId="77777777" w:rsidTr="002E2C37">
        <w:trPr>
          <w:trHeight w:val="70"/>
        </w:trPr>
        <w:tc>
          <w:tcPr>
            <w:tcW w:w="9016" w:type="dxa"/>
            <w:gridSpan w:val="2"/>
          </w:tcPr>
          <w:p w14:paraId="5673DA8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201B7232" w14:textId="77777777" w:rsidTr="002E2C37">
        <w:tc>
          <w:tcPr>
            <w:tcW w:w="9016" w:type="dxa"/>
            <w:gridSpan w:val="2"/>
            <w:shd w:val="clear" w:color="auto" w:fill="F2F2F2" w:themeFill="background1" w:themeFillShade="F2"/>
          </w:tcPr>
          <w:p w14:paraId="771FF589"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CON1d: Transmission of disease</w:t>
            </w:r>
          </w:p>
        </w:tc>
      </w:tr>
      <w:tr w:rsidR="002D7080" w:rsidRPr="004D1E6F" w14:paraId="0E9B9CB7" w14:textId="77777777" w:rsidTr="002E2C37">
        <w:tc>
          <w:tcPr>
            <w:tcW w:w="5949" w:type="dxa"/>
          </w:tcPr>
          <w:p w14:paraId="57F8B18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7ABF0E7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2EE2E335" w14:textId="77777777" w:rsidTr="002E2C37">
        <w:trPr>
          <w:trHeight w:val="70"/>
        </w:trPr>
        <w:tc>
          <w:tcPr>
            <w:tcW w:w="9016" w:type="dxa"/>
            <w:gridSpan w:val="2"/>
          </w:tcPr>
          <w:p w14:paraId="02D7E11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34BB0F92" w14:textId="77777777" w:rsidTr="002E2C37">
        <w:trPr>
          <w:trHeight w:val="70"/>
        </w:trPr>
        <w:tc>
          <w:tcPr>
            <w:tcW w:w="9016" w:type="dxa"/>
            <w:gridSpan w:val="2"/>
          </w:tcPr>
          <w:p w14:paraId="5133366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D8862DF" w14:textId="77777777" w:rsidTr="002E2C37">
        <w:tc>
          <w:tcPr>
            <w:tcW w:w="9016" w:type="dxa"/>
            <w:gridSpan w:val="2"/>
            <w:shd w:val="clear" w:color="auto" w:fill="F2F2F2" w:themeFill="background1" w:themeFillShade="F2"/>
          </w:tcPr>
          <w:p w14:paraId="07511B13"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CON1e: Parasitism</w:t>
            </w:r>
          </w:p>
        </w:tc>
      </w:tr>
      <w:tr w:rsidR="002D7080" w:rsidRPr="004D1E6F" w14:paraId="07FD20C6" w14:textId="77777777" w:rsidTr="002E2C37">
        <w:tc>
          <w:tcPr>
            <w:tcW w:w="5949" w:type="dxa"/>
          </w:tcPr>
          <w:p w14:paraId="0445DCF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073B461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4C93EC73" w14:textId="77777777" w:rsidTr="002E2C37">
        <w:trPr>
          <w:trHeight w:val="70"/>
        </w:trPr>
        <w:tc>
          <w:tcPr>
            <w:tcW w:w="9016" w:type="dxa"/>
            <w:gridSpan w:val="2"/>
          </w:tcPr>
          <w:p w14:paraId="14DF10C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55F227AC" w14:textId="77777777" w:rsidTr="002E2C37">
        <w:trPr>
          <w:trHeight w:val="70"/>
        </w:trPr>
        <w:tc>
          <w:tcPr>
            <w:tcW w:w="9016" w:type="dxa"/>
            <w:gridSpan w:val="2"/>
          </w:tcPr>
          <w:p w14:paraId="61E2D42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10BB6A95" w14:textId="77777777" w:rsidTr="002E2C37">
        <w:tc>
          <w:tcPr>
            <w:tcW w:w="9016" w:type="dxa"/>
            <w:gridSpan w:val="2"/>
            <w:shd w:val="clear" w:color="auto" w:fill="F2F2F2" w:themeFill="background1" w:themeFillShade="F2"/>
          </w:tcPr>
          <w:p w14:paraId="45E8D836"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CON1f: Poisoning/toxicity</w:t>
            </w:r>
          </w:p>
        </w:tc>
      </w:tr>
      <w:tr w:rsidR="002D7080" w:rsidRPr="004D1E6F" w14:paraId="2D2165EE" w14:textId="77777777" w:rsidTr="002E2C37">
        <w:tc>
          <w:tcPr>
            <w:tcW w:w="5949" w:type="dxa"/>
          </w:tcPr>
          <w:p w14:paraId="00F49D3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4340EF1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E8A3A22" w14:textId="77777777" w:rsidTr="002E2C37">
        <w:trPr>
          <w:trHeight w:val="70"/>
        </w:trPr>
        <w:tc>
          <w:tcPr>
            <w:tcW w:w="9016" w:type="dxa"/>
            <w:gridSpan w:val="2"/>
          </w:tcPr>
          <w:p w14:paraId="7550243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64E7BF9D" w14:textId="77777777" w:rsidTr="002E2C37">
        <w:trPr>
          <w:trHeight w:val="70"/>
        </w:trPr>
        <w:tc>
          <w:tcPr>
            <w:tcW w:w="9016" w:type="dxa"/>
            <w:gridSpan w:val="2"/>
          </w:tcPr>
          <w:p w14:paraId="37E4F069"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329CE307" w14:textId="77777777" w:rsidTr="002E2C37">
        <w:tc>
          <w:tcPr>
            <w:tcW w:w="9016" w:type="dxa"/>
            <w:gridSpan w:val="2"/>
            <w:shd w:val="clear" w:color="auto" w:fill="F2F2F2" w:themeFill="background1" w:themeFillShade="F2"/>
          </w:tcPr>
          <w:p w14:paraId="29AED137"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CON1g: Bio-fouling or other direct physical disturbance</w:t>
            </w:r>
          </w:p>
        </w:tc>
      </w:tr>
      <w:tr w:rsidR="002D7080" w:rsidRPr="004D1E6F" w14:paraId="00A71842" w14:textId="77777777" w:rsidTr="002E2C37">
        <w:tc>
          <w:tcPr>
            <w:tcW w:w="5949" w:type="dxa"/>
          </w:tcPr>
          <w:p w14:paraId="47BE584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6C4DD31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4DAA47D" w14:textId="77777777" w:rsidTr="002E2C37">
        <w:trPr>
          <w:trHeight w:val="70"/>
        </w:trPr>
        <w:tc>
          <w:tcPr>
            <w:tcW w:w="9016" w:type="dxa"/>
            <w:gridSpan w:val="2"/>
          </w:tcPr>
          <w:p w14:paraId="255A50C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48B648AA" w14:textId="77777777" w:rsidTr="002E2C37">
        <w:trPr>
          <w:trHeight w:val="70"/>
        </w:trPr>
        <w:tc>
          <w:tcPr>
            <w:tcW w:w="9016" w:type="dxa"/>
            <w:gridSpan w:val="2"/>
          </w:tcPr>
          <w:p w14:paraId="22E5107D"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A9B7EE0" w14:textId="77777777" w:rsidTr="002E2C37">
        <w:tc>
          <w:tcPr>
            <w:tcW w:w="9016" w:type="dxa"/>
            <w:gridSpan w:val="2"/>
            <w:shd w:val="clear" w:color="auto" w:fill="F2F2F2" w:themeFill="background1" w:themeFillShade="F2"/>
          </w:tcPr>
          <w:p w14:paraId="140E7B43"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CON1h: Grazing/herbivory/browsing</w:t>
            </w:r>
          </w:p>
        </w:tc>
      </w:tr>
      <w:tr w:rsidR="002D7080" w:rsidRPr="004D1E6F" w14:paraId="0F54248D" w14:textId="77777777" w:rsidTr="002E2C37">
        <w:tc>
          <w:tcPr>
            <w:tcW w:w="5949" w:type="dxa"/>
          </w:tcPr>
          <w:p w14:paraId="0A5F206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7E6BF99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27F0AD2" w14:textId="77777777" w:rsidTr="002E2C37">
        <w:trPr>
          <w:trHeight w:val="70"/>
        </w:trPr>
        <w:tc>
          <w:tcPr>
            <w:tcW w:w="9016" w:type="dxa"/>
            <w:gridSpan w:val="2"/>
          </w:tcPr>
          <w:p w14:paraId="2A0AFC5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3DD2B439" w14:textId="77777777" w:rsidTr="002E2C37">
        <w:trPr>
          <w:trHeight w:val="70"/>
        </w:trPr>
        <w:tc>
          <w:tcPr>
            <w:tcW w:w="9016" w:type="dxa"/>
            <w:gridSpan w:val="2"/>
          </w:tcPr>
          <w:p w14:paraId="5ECEC7C5"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51DC882" w14:textId="77777777" w:rsidTr="002E2C37">
        <w:tc>
          <w:tcPr>
            <w:tcW w:w="9016" w:type="dxa"/>
            <w:gridSpan w:val="2"/>
            <w:shd w:val="clear" w:color="auto" w:fill="F2F2F2" w:themeFill="background1" w:themeFillShade="F2"/>
          </w:tcPr>
          <w:p w14:paraId="5758CF83"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CON1i: Chemical, physical or structural impact on ecosystem</w:t>
            </w:r>
          </w:p>
        </w:tc>
      </w:tr>
      <w:tr w:rsidR="002D7080" w:rsidRPr="004D1E6F" w14:paraId="086E9A51" w14:textId="77777777" w:rsidTr="002E2C37">
        <w:tc>
          <w:tcPr>
            <w:tcW w:w="5949" w:type="dxa"/>
          </w:tcPr>
          <w:p w14:paraId="62A1D6A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75B3A93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4DB62C48" w14:textId="77777777" w:rsidTr="002E2C37">
        <w:trPr>
          <w:trHeight w:val="70"/>
        </w:trPr>
        <w:tc>
          <w:tcPr>
            <w:tcW w:w="9016" w:type="dxa"/>
            <w:gridSpan w:val="2"/>
          </w:tcPr>
          <w:p w14:paraId="1622BCE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4C827FAB" w14:textId="77777777" w:rsidTr="002E2C37">
        <w:trPr>
          <w:trHeight w:val="70"/>
        </w:trPr>
        <w:tc>
          <w:tcPr>
            <w:tcW w:w="9016" w:type="dxa"/>
            <w:gridSpan w:val="2"/>
          </w:tcPr>
          <w:p w14:paraId="60CDA6BD"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5B31C5D4" w14:textId="77777777" w:rsidTr="002E2C37">
        <w:tc>
          <w:tcPr>
            <w:tcW w:w="9016" w:type="dxa"/>
            <w:gridSpan w:val="2"/>
            <w:shd w:val="clear" w:color="auto" w:fill="F2F2F2" w:themeFill="background1" w:themeFillShade="F2"/>
          </w:tcPr>
          <w:p w14:paraId="4568A940"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CON1k: Indirect impacts through interactions with other species</w:t>
            </w:r>
          </w:p>
        </w:tc>
      </w:tr>
      <w:tr w:rsidR="002D7080" w:rsidRPr="004D1E6F" w14:paraId="4AAD660C" w14:textId="77777777" w:rsidTr="002E2C37">
        <w:tc>
          <w:tcPr>
            <w:tcW w:w="5949" w:type="dxa"/>
          </w:tcPr>
          <w:p w14:paraId="1F7F3E1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6F7DDDA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5FAE3578" w14:textId="77777777" w:rsidTr="002E2C37">
        <w:trPr>
          <w:trHeight w:val="70"/>
        </w:trPr>
        <w:tc>
          <w:tcPr>
            <w:tcW w:w="9016" w:type="dxa"/>
            <w:gridSpan w:val="2"/>
          </w:tcPr>
          <w:p w14:paraId="7930C97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53A051EC" w14:textId="77777777" w:rsidTr="002E2C37">
        <w:trPr>
          <w:trHeight w:val="70"/>
        </w:trPr>
        <w:tc>
          <w:tcPr>
            <w:tcW w:w="9016" w:type="dxa"/>
            <w:gridSpan w:val="2"/>
          </w:tcPr>
          <w:p w14:paraId="39462904"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197D160F" w14:textId="77777777" w:rsidTr="002E2C37">
        <w:trPr>
          <w:trHeight w:val="343"/>
        </w:trPr>
        <w:tc>
          <w:tcPr>
            <w:tcW w:w="9016" w:type="dxa"/>
            <w:gridSpan w:val="2"/>
            <w:shd w:val="clear" w:color="auto" w:fill="F2F2F2" w:themeFill="background1" w:themeFillShade="F2"/>
          </w:tcPr>
          <w:p w14:paraId="4873B1E9"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CON1 Maximum environmental impact </w:t>
            </w:r>
          </w:p>
        </w:tc>
      </w:tr>
      <w:tr w:rsidR="002D7080" w:rsidRPr="004D1E6F" w14:paraId="0DAA8F8B" w14:textId="77777777" w:rsidTr="002E2C37">
        <w:trPr>
          <w:trHeight w:val="172"/>
        </w:trPr>
        <w:tc>
          <w:tcPr>
            <w:tcW w:w="5949" w:type="dxa"/>
          </w:tcPr>
          <w:p w14:paraId="6EC3EBD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6D3B0E9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4A31D9BF" w14:textId="77777777" w:rsidTr="002E2C37">
        <w:trPr>
          <w:trHeight w:val="70"/>
        </w:trPr>
        <w:tc>
          <w:tcPr>
            <w:tcW w:w="9016" w:type="dxa"/>
            <w:gridSpan w:val="2"/>
          </w:tcPr>
          <w:p w14:paraId="63518A4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16E213D5" w14:textId="77777777" w:rsidTr="002E2C37">
        <w:trPr>
          <w:trHeight w:val="70"/>
        </w:trPr>
        <w:tc>
          <w:tcPr>
            <w:tcW w:w="9016" w:type="dxa"/>
            <w:gridSpan w:val="2"/>
          </w:tcPr>
          <w:p w14:paraId="757B511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7A1F8241" w14:textId="77777777" w:rsidR="002D7080" w:rsidRPr="004D1E6F" w:rsidRDefault="002D7080" w:rsidP="002D7080">
      <w:pPr>
        <w:spacing w:after="0" w:line="240" w:lineRule="auto"/>
        <w:rPr>
          <w:rFonts w:ascii="Times New Roman" w:eastAsia="Calibri" w:hAnsi="Times New Roman" w:cs="Times New Roman"/>
          <w:sz w:val="20"/>
          <w:szCs w:val="20"/>
        </w:rPr>
      </w:pPr>
    </w:p>
    <w:tbl>
      <w:tblPr>
        <w:tblStyle w:val="TableGrid19"/>
        <w:tblW w:w="0" w:type="auto"/>
        <w:tblLook w:val="04A0" w:firstRow="1" w:lastRow="0" w:firstColumn="1" w:lastColumn="0" w:noHBand="0" w:noVBand="1"/>
      </w:tblPr>
      <w:tblGrid>
        <w:gridCol w:w="5949"/>
        <w:gridCol w:w="3067"/>
      </w:tblGrid>
      <w:tr w:rsidR="002D7080" w:rsidRPr="004D1E6F" w14:paraId="76987A38" w14:textId="77777777" w:rsidTr="002E2C37">
        <w:trPr>
          <w:trHeight w:val="343"/>
        </w:trPr>
        <w:tc>
          <w:tcPr>
            <w:tcW w:w="9016" w:type="dxa"/>
            <w:gridSpan w:val="2"/>
            <w:shd w:val="clear" w:color="auto" w:fill="F2F2F2" w:themeFill="background1" w:themeFillShade="F2"/>
          </w:tcPr>
          <w:p w14:paraId="25D4FA71"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CON2 Socio-economic impact</w:t>
            </w:r>
          </w:p>
        </w:tc>
      </w:tr>
      <w:tr w:rsidR="002D7080" w:rsidRPr="004D1E6F" w14:paraId="523025B6" w14:textId="77777777" w:rsidTr="002E2C37">
        <w:tc>
          <w:tcPr>
            <w:tcW w:w="9016" w:type="dxa"/>
            <w:gridSpan w:val="2"/>
            <w:shd w:val="clear" w:color="auto" w:fill="F2F2F2" w:themeFill="background1" w:themeFillShade="F2"/>
          </w:tcPr>
          <w:p w14:paraId="5295A6E3"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CON2a: Safety</w:t>
            </w:r>
          </w:p>
        </w:tc>
      </w:tr>
      <w:tr w:rsidR="002D7080" w:rsidRPr="004D1E6F" w14:paraId="1DC97748" w14:textId="77777777" w:rsidTr="002E2C37">
        <w:tc>
          <w:tcPr>
            <w:tcW w:w="5949" w:type="dxa"/>
          </w:tcPr>
          <w:p w14:paraId="1C23896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1A5A85B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5C5B4173" w14:textId="77777777" w:rsidTr="002E2C37">
        <w:trPr>
          <w:trHeight w:val="70"/>
        </w:trPr>
        <w:tc>
          <w:tcPr>
            <w:tcW w:w="9016" w:type="dxa"/>
            <w:gridSpan w:val="2"/>
          </w:tcPr>
          <w:p w14:paraId="54F1D3E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4D2C7092" w14:textId="77777777" w:rsidTr="002E2C37">
        <w:trPr>
          <w:trHeight w:val="70"/>
        </w:trPr>
        <w:tc>
          <w:tcPr>
            <w:tcW w:w="9016" w:type="dxa"/>
            <w:gridSpan w:val="2"/>
          </w:tcPr>
          <w:p w14:paraId="33EAAE46"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163DFCEE" w14:textId="77777777" w:rsidTr="002E2C37">
        <w:tc>
          <w:tcPr>
            <w:tcW w:w="9016" w:type="dxa"/>
            <w:gridSpan w:val="2"/>
            <w:shd w:val="clear" w:color="auto" w:fill="F2F2F2" w:themeFill="background1" w:themeFillShade="F2"/>
          </w:tcPr>
          <w:p w14:paraId="3CE77345"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CON2b: Material and immaterial assets</w:t>
            </w:r>
          </w:p>
        </w:tc>
      </w:tr>
      <w:tr w:rsidR="002D7080" w:rsidRPr="004D1E6F" w14:paraId="404150B8" w14:textId="77777777" w:rsidTr="002E2C37">
        <w:tc>
          <w:tcPr>
            <w:tcW w:w="5949" w:type="dxa"/>
          </w:tcPr>
          <w:p w14:paraId="631CE84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670830B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513C5984" w14:textId="77777777" w:rsidTr="002E2C37">
        <w:trPr>
          <w:trHeight w:val="128"/>
        </w:trPr>
        <w:tc>
          <w:tcPr>
            <w:tcW w:w="9016" w:type="dxa"/>
            <w:gridSpan w:val="2"/>
          </w:tcPr>
          <w:p w14:paraId="24C268D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0DA05D4A" w14:textId="77777777" w:rsidTr="002E2C37">
        <w:trPr>
          <w:trHeight w:val="70"/>
        </w:trPr>
        <w:tc>
          <w:tcPr>
            <w:tcW w:w="9016" w:type="dxa"/>
            <w:gridSpan w:val="2"/>
          </w:tcPr>
          <w:p w14:paraId="13430841"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7510A4CF" w14:textId="77777777" w:rsidTr="002E2C37">
        <w:tc>
          <w:tcPr>
            <w:tcW w:w="9016" w:type="dxa"/>
            <w:gridSpan w:val="2"/>
            <w:shd w:val="clear" w:color="auto" w:fill="F2F2F2" w:themeFill="background1" w:themeFillShade="F2"/>
          </w:tcPr>
          <w:p w14:paraId="5C2791C9"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CON2c: Health</w:t>
            </w:r>
          </w:p>
        </w:tc>
      </w:tr>
      <w:tr w:rsidR="002D7080" w:rsidRPr="004D1E6F" w14:paraId="773BF60E" w14:textId="77777777" w:rsidTr="002E2C37">
        <w:tc>
          <w:tcPr>
            <w:tcW w:w="5949" w:type="dxa"/>
          </w:tcPr>
          <w:p w14:paraId="1A8F7C6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0DA4682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9836910" w14:textId="77777777" w:rsidTr="002E2C37">
        <w:trPr>
          <w:trHeight w:val="70"/>
        </w:trPr>
        <w:tc>
          <w:tcPr>
            <w:tcW w:w="9016" w:type="dxa"/>
            <w:gridSpan w:val="2"/>
          </w:tcPr>
          <w:p w14:paraId="525B742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14E7A16C" w14:textId="77777777" w:rsidTr="002E2C37">
        <w:trPr>
          <w:trHeight w:val="70"/>
        </w:trPr>
        <w:tc>
          <w:tcPr>
            <w:tcW w:w="9016" w:type="dxa"/>
            <w:gridSpan w:val="2"/>
          </w:tcPr>
          <w:p w14:paraId="61625870"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BC999CF" w14:textId="77777777" w:rsidTr="002E2C37">
        <w:tc>
          <w:tcPr>
            <w:tcW w:w="9016" w:type="dxa"/>
            <w:gridSpan w:val="2"/>
            <w:shd w:val="clear" w:color="auto" w:fill="F2F2F2" w:themeFill="background1" w:themeFillShade="F2"/>
          </w:tcPr>
          <w:p w14:paraId="152872D2"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CON2d: Social, spiritual and cultural relations </w:t>
            </w:r>
          </w:p>
        </w:tc>
      </w:tr>
      <w:tr w:rsidR="002D7080" w:rsidRPr="004D1E6F" w14:paraId="20C33361" w14:textId="77777777" w:rsidTr="002E2C37">
        <w:tc>
          <w:tcPr>
            <w:tcW w:w="5949" w:type="dxa"/>
          </w:tcPr>
          <w:p w14:paraId="101E8AE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7EC32DD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65C76825" w14:textId="77777777" w:rsidTr="002E2C37">
        <w:trPr>
          <w:trHeight w:val="70"/>
        </w:trPr>
        <w:tc>
          <w:tcPr>
            <w:tcW w:w="9016" w:type="dxa"/>
            <w:gridSpan w:val="2"/>
          </w:tcPr>
          <w:p w14:paraId="7B96DDC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689DCC7A" w14:textId="77777777" w:rsidTr="002E2C37">
        <w:trPr>
          <w:trHeight w:val="70"/>
        </w:trPr>
        <w:tc>
          <w:tcPr>
            <w:tcW w:w="9016" w:type="dxa"/>
            <w:gridSpan w:val="2"/>
          </w:tcPr>
          <w:p w14:paraId="2DF344A9"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EA71D44" w14:textId="77777777" w:rsidTr="002E2C37">
        <w:trPr>
          <w:trHeight w:val="343"/>
        </w:trPr>
        <w:tc>
          <w:tcPr>
            <w:tcW w:w="9016" w:type="dxa"/>
            <w:gridSpan w:val="2"/>
            <w:shd w:val="clear" w:color="auto" w:fill="F2F2F2" w:themeFill="background1" w:themeFillShade="F2"/>
          </w:tcPr>
          <w:p w14:paraId="08BA504C"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lastRenderedPageBreak/>
              <w:t xml:space="preserve">CON2 Maximum socio-economic impact </w:t>
            </w:r>
          </w:p>
        </w:tc>
      </w:tr>
      <w:tr w:rsidR="002D7080" w:rsidRPr="004D1E6F" w14:paraId="25120457" w14:textId="77777777" w:rsidTr="002E2C37">
        <w:trPr>
          <w:trHeight w:val="208"/>
        </w:trPr>
        <w:tc>
          <w:tcPr>
            <w:tcW w:w="5949" w:type="dxa"/>
          </w:tcPr>
          <w:p w14:paraId="1C1AB99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Data Deficient (</w:t>
            </w:r>
            <w:r w:rsidRPr="004D1E6F">
              <w:rPr>
                <w:rFonts w:ascii="Times New Roman" w:eastAsia="Times New Roman" w:hAnsi="Times New Roman" w:cs="Times New Roman"/>
                <w:sz w:val="20"/>
                <w:szCs w:val="20"/>
                <w:lang w:eastAsia="en-ZA"/>
              </w:rPr>
              <w:t>DD</w:t>
            </w:r>
            <w:r>
              <w:rPr>
                <w:rFonts w:ascii="Times New Roman" w:eastAsia="Times New Roman" w:hAnsi="Times New Roman" w:cs="Times New Roman"/>
                <w:sz w:val="20"/>
                <w:szCs w:val="20"/>
                <w:lang w:eastAsia="en-ZA"/>
              </w:rPr>
              <w:t>)</w:t>
            </w:r>
          </w:p>
        </w:tc>
        <w:tc>
          <w:tcPr>
            <w:tcW w:w="3067" w:type="dxa"/>
          </w:tcPr>
          <w:p w14:paraId="484F4B8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2CBB5FD5" w14:textId="77777777" w:rsidTr="002E2C37">
        <w:trPr>
          <w:trHeight w:val="70"/>
        </w:trPr>
        <w:tc>
          <w:tcPr>
            <w:tcW w:w="9016" w:type="dxa"/>
            <w:gridSpan w:val="2"/>
          </w:tcPr>
          <w:p w14:paraId="3F3D463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7316F230" w14:textId="77777777" w:rsidTr="002E2C37">
        <w:trPr>
          <w:trHeight w:val="70"/>
        </w:trPr>
        <w:tc>
          <w:tcPr>
            <w:tcW w:w="9016" w:type="dxa"/>
            <w:gridSpan w:val="2"/>
          </w:tcPr>
          <w:p w14:paraId="2B583C8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525611E6" w14:textId="77777777" w:rsidR="002D7080" w:rsidRPr="004D1E6F" w:rsidRDefault="002D7080" w:rsidP="002D7080">
      <w:pPr>
        <w:spacing w:after="0" w:line="240" w:lineRule="auto"/>
        <w:rPr>
          <w:rFonts w:ascii="Times New Roman" w:eastAsia="Calibri" w:hAnsi="Times New Roman" w:cs="Times New Roman"/>
          <w:sz w:val="20"/>
          <w:szCs w:val="20"/>
        </w:rPr>
      </w:pPr>
    </w:p>
    <w:p w14:paraId="4AF98523" w14:textId="77777777" w:rsidR="002D7080" w:rsidRPr="004D1E6F" w:rsidRDefault="002D7080" w:rsidP="002D7080">
      <w:pPr>
        <w:spacing w:after="0" w:line="240" w:lineRule="auto"/>
        <w:rPr>
          <w:rFonts w:ascii="Times New Roman" w:eastAsia="Calibri" w:hAnsi="Times New Roman" w:cs="Times New Roman"/>
          <w:b/>
          <w:sz w:val="20"/>
          <w:szCs w:val="20"/>
        </w:rPr>
      </w:pPr>
    </w:p>
    <w:tbl>
      <w:tblPr>
        <w:tblStyle w:val="TableGrid"/>
        <w:tblW w:w="0" w:type="auto"/>
        <w:tblLook w:val="04A0" w:firstRow="1" w:lastRow="0" w:firstColumn="1" w:lastColumn="0" w:noHBand="0" w:noVBand="1"/>
      </w:tblPr>
      <w:tblGrid>
        <w:gridCol w:w="5949"/>
        <w:gridCol w:w="3067"/>
      </w:tblGrid>
      <w:tr w:rsidR="002D7080" w:rsidRPr="004D1E6F" w14:paraId="71259555" w14:textId="77777777" w:rsidTr="002E2C37">
        <w:trPr>
          <w:trHeight w:val="343"/>
        </w:trPr>
        <w:tc>
          <w:tcPr>
            <w:tcW w:w="9016" w:type="dxa"/>
            <w:gridSpan w:val="2"/>
            <w:shd w:val="clear" w:color="auto" w:fill="F2F2F2"/>
          </w:tcPr>
          <w:p w14:paraId="61756EB9"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CON3 Closely related species’ environmental impact</w:t>
            </w:r>
          </w:p>
        </w:tc>
      </w:tr>
      <w:tr w:rsidR="002D7080" w:rsidRPr="004D1E6F" w14:paraId="00C769D5" w14:textId="77777777" w:rsidTr="002E2C37">
        <w:trPr>
          <w:trHeight w:val="172"/>
        </w:trPr>
        <w:tc>
          <w:tcPr>
            <w:tcW w:w="5949" w:type="dxa"/>
          </w:tcPr>
          <w:p w14:paraId="49DECDD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w:t>
            </w:r>
            <w:r>
              <w:rPr>
                <w:rFonts w:ascii="Times New Roman" w:eastAsia="Times New Roman" w:hAnsi="Times New Roman" w:cs="Times New Roman"/>
                <w:sz w:val="20"/>
                <w:szCs w:val="20"/>
                <w:lang w:eastAsia="en-ZA"/>
              </w:rPr>
              <w:t>ajor (MR)</w:t>
            </w:r>
          </w:p>
        </w:tc>
        <w:tc>
          <w:tcPr>
            <w:tcW w:w="3067" w:type="dxa"/>
          </w:tcPr>
          <w:p w14:paraId="038AD98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Low </w:t>
            </w:r>
          </w:p>
        </w:tc>
      </w:tr>
      <w:tr w:rsidR="002D7080" w:rsidRPr="004D1E6F" w14:paraId="53789531" w14:textId="77777777" w:rsidTr="002E2C37">
        <w:trPr>
          <w:trHeight w:val="70"/>
        </w:trPr>
        <w:tc>
          <w:tcPr>
            <w:tcW w:w="9016" w:type="dxa"/>
            <w:gridSpan w:val="2"/>
          </w:tcPr>
          <w:p w14:paraId="7D33D1CA" w14:textId="77777777" w:rsidR="002D7080"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There are no recorded environmental impacts for </w:t>
            </w:r>
            <w:r w:rsidRPr="004D1E6F">
              <w:rPr>
                <w:rFonts w:ascii="Times New Roman" w:eastAsia="Times New Roman" w:hAnsi="Times New Roman" w:cs="Times New Roman"/>
                <w:i/>
                <w:iCs/>
                <w:sz w:val="20"/>
                <w:szCs w:val="20"/>
                <w:lang w:eastAsia="en-ZA"/>
              </w:rPr>
              <w:t>P. leptodactylus</w:t>
            </w:r>
            <w:r w:rsidRPr="004D1E6F">
              <w:rPr>
                <w:rFonts w:ascii="Times New Roman" w:eastAsia="Times New Roman" w:hAnsi="Times New Roman" w:cs="Times New Roman"/>
                <w:sz w:val="20"/>
                <w:szCs w:val="20"/>
                <w:lang w:eastAsia="en-ZA"/>
              </w:rPr>
              <w:t xml:space="preserve">, therefore </w:t>
            </w:r>
            <w:r w:rsidRPr="004D1E6F">
              <w:rPr>
                <w:rFonts w:ascii="Times New Roman" w:eastAsia="Times New Roman" w:hAnsi="Times New Roman" w:cs="Times New Roman"/>
                <w:i/>
                <w:iCs/>
                <w:sz w:val="20"/>
                <w:szCs w:val="20"/>
                <w:lang w:eastAsia="en-ZA"/>
              </w:rPr>
              <w:t xml:space="preserve">Pacifastacus leniusculus </w:t>
            </w:r>
            <w:r w:rsidRPr="004D1E6F">
              <w:rPr>
                <w:rFonts w:ascii="Times New Roman" w:eastAsia="Times New Roman" w:hAnsi="Times New Roman" w:cs="Times New Roman"/>
                <w:sz w:val="20"/>
                <w:szCs w:val="20"/>
                <w:lang w:eastAsia="en-ZA"/>
              </w:rPr>
              <w:t xml:space="preserve">was selected as a closely related taxon to estimate the environmental impacts that may arise from introductions of </w:t>
            </w:r>
            <w:r w:rsidRPr="004D1E6F">
              <w:rPr>
                <w:rFonts w:ascii="Times New Roman" w:eastAsia="Times New Roman" w:hAnsi="Times New Roman" w:cs="Times New Roman"/>
                <w:i/>
                <w:iCs/>
                <w:sz w:val="20"/>
                <w:szCs w:val="20"/>
                <w:lang w:eastAsia="en-ZA"/>
              </w:rPr>
              <w:t>P. leptodactylus</w:t>
            </w:r>
            <w:r w:rsidRPr="004D1E6F">
              <w:rPr>
                <w:rFonts w:ascii="Times New Roman" w:eastAsia="Times New Roman" w:hAnsi="Times New Roman" w:cs="Times New Roman"/>
                <w:sz w:val="20"/>
                <w:szCs w:val="20"/>
                <w:lang w:eastAsia="en-ZA"/>
              </w:rPr>
              <w:t xml:space="preserve">. </w:t>
            </w:r>
          </w:p>
          <w:p w14:paraId="4804222D" w14:textId="77777777" w:rsidR="002D7080" w:rsidRPr="00F74203" w:rsidRDefault="002D7080" w:rsidP="002E2C37">
            <w:pPr>
              <w:jc w:val="both"/>
              <w:rPr>
                <w:rFonts w:ascii="Times New Roman" w:eastAsia="Times New Roman" w:hAnsi="Times New Roman" w:cs="Times New Roman"/>
                <w:b/>
                <w:bCs/>
                <w:sz w:val="20"/>
                <w:szCs w:val="20"/>
                <w:lang w:eastAsia="en-ZA"/>
              </w:rPr>
            </w:pPr>
            <w:r w:rsidRPr="00F74203">
              <w:rPr>
                <w:rFonts w:ascii="Times New Roman" w:eastAsia="Times New Roman" w:hAnsi="Times New Roman" w:cs="Times New Roman"/>
                <w:b/>
                <w:bCs/>
                <w:sz w:val="20"/>
                <w:szCs w:val="20"/>
                <w:lang w:eastAsia="en-ZA"/>
              </w:rPr>
              <w:t xml:space="preserve">Competition </w:t>
            </w:r>
          </w:p>
          <w:p w14:paraId="619FFE06" w14:textId="77777777" w:rsidR="002D7080" w:rsidRPr="00F74203" w:rsidRDefault="002D7080" w:rsidP="002E2C37">
            <w:pPr>
              <w:jc w:val="both"/>
              <w:rPr>
                <w:rFonts w:ascii="Times New Roman" w:eastAsia="Times New Roman" w:hAnsi="Times New Roman" w:cs="Times New Roman"/>
                <w:sz w:val="20"/>
                <w:szCs w:val="20"/>
                <w:lang w:eastAsia="en-ZA"/>
              </w:rPr>
            </w:pPr>
            <w:r w:rsidRPr="00F74203">
              <w:rPr>
                <w:rFonts w:ascii="Times New Roman" w:eastAsia="Times New Roman" w:hAnsi="Times New Roman" w:cs="Times New Roman"/>
                <w:i/>
                <w:iCs/>
                <w:sz w:val="20"/>
                <w:szCs w:val="20"/>
                <w:lang w:eastAsia="en-ZA"/>
              </w:rPr>
              <w:t>Pacifastacus leniusculus</w:t>
            </w:r>
            <w:r w:rsidRPr="00F74203">
              <w:rPr>
                <w:rFonts w:ascii="Times New Roman" w:eastAsia="Times New Roman" w:hAnsi="Times New Roman" w:cs="Times New Roman"/>
                <w:sz w:val="20"/>
                <w:szCs w:val="20"/>
                <w:lang w:eastAsia="en-ZA"/>
              </w:rPr>
              <w:t xml:space="preserve"> contributes to the decline of several native species in introduced areas through competition for resources </w:t>
            </w:r>
            <w:r w:rsidRPr="00F74203">
              <w:rPr>
                <w:rFonts w:ascii="Times New Roman" w:eastAsia="Times New Roman" w:hAnsi="Times New Roman" w:cs="Times New Roman"/>
                <w:sz w:val="20"/>
                <w:szCs w:val="20"/>
                <w:lang w:eastAsia="en-ZA"/>
              </w:rPr>
              <w:fldChar w:fldCharType="begin" w:fldLock="1"/>
            </w:r>
            <w:r w:rsidRPr="00F74203">
              <w:rPr>
                <w:rFonts w:ascii="Times New Roman" w:eastAsia="Times New Roman" w:hAnsi="Times New Roman" w:cs="Times New Roman"/>
                <w:sz w:val="20"/>
                <w:szCs w:val="20"/>
                <w:lang w:eastAsia="en-ZA"/>
              </w:rPr>
              <w:instrText>ADDIN CSL_CITATION { "citationItems" : [ { "id" : "ITEM-1", "itemData" : { "DOI" : "10.3391/ai.2010.5.3.10", "author" : [ { "dropping-particle" : "", "family" : "Dana", "given" : "El\u00edas D", "non-dropping-particle" : "", "parse-names" : false, "suffix" : "" }, { "dropping-particle" : "", "family" : "L\u00f3pez-santiago", "given" : "Javier", "non-dropping-particle" : "", "parse-names" : false, "suffix" : "" }, { "dropping-particle" : "", "family" : "Garc\u00eda-de-lomas", "given" : "Juan", "non-dropping-particle" : "", "parse-names" : false, "suffix" : "" }, { "dropping-particle" : "", "family" : "Garc\u00eda-oca\u00f1a", "given" : "David M", "non-dropping-particle" : "", "parse-names" : false, "suffix" : "" }, { "dropping-particle" : "", "family" : "Ortega", "given" : "Fernando", "non-dropping-particle" : "", "parse-names" : false, "suffix" : "" } ], "id" : "ITEM-1", "issue" : "3", "issued" : { "date-parts" : [ [ "2010" ] ] }, "page" : "317-322", "title" : "Long-term management of the invasive Pacifastacus leniusculus ( Dana , 1852 ) in a small mountain stream", "type" : "article-journal", "volume" : "5" }, "uris" : [ "http://www.mendeley.com/documents/?uuid=809984f6-033c-4580-93af-e25fa9c1001e"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"(Dana et al. 2010, Lodge et al. 2012)", "manualFormatting" : "(Weinlader and Furerfer 2002, Dana et al. 2010, Lodge et al. 2012)", "plainTextFormattedCitation" : "(Dana et al. 2010, Lodge et al. 2012)", "previouslyFormattedCitation" : "(Dana et al. 2010, Lodge et al. 2012)" }, "properties" : { "noteIndex" : 0 }, "schema" : "https://github.com/citation-style-language/schema/raw/master/csl-citation.json" }</w:instrText>
            </w:r>
            <w:r w:rsidRPr="00F74203">
              <w:rPr>
                <w:rFonts w:ascii="Times New Roman" w:eastAsia="Times New Roman" w:hAnsi="Times New Roman" w:cs="Times New Roman"/>
                <w:sz w:val="20"/>
                <w:szCs w:val="20"/>
                <w:lang w:eastAsia="en-ZA"/>
              </w:rPr>
              <w:fldChar w:fldCharType="separate"/>
            </w:r>
            <w:r w:rsidRPr="00F74203">
              <w:rPr>
                <w:rFonts w:ascii="Times New Roman" w:eastAsia="Times New Roman" w:hAnsi="Times New Roman" w:cs="Times New Roman"/>
                <w:sz w:val="20"/>
                <w:szCs w:val="20"/>
                <w:lang w:eastAsia="en-ZA"/>
              </w:rPr>
              <w:t>(Dana et al. 2010; Lodge et al. 2012; Weinlader &amp; Furerfer 2002)</w:t>
            </w:r>
            <w:r w:rsidRPr="00F74203">
              <w:rPr>
                <w:rFonts w:ascii="Times New Roman" w:eastAsia="Times New Roman" w:hAnsi="Times New Roman" w:cs="Times New Roman"/>
                <w:sz w:val="20"/>
                <w:szCs w:val="20"/>
                <w:lang w:eastAsia="en-ZA"/>
              </w:rPr>
              <w:fldChar w:fldCharType="end"/>
            </w:r>
            <w:r w:rsidRPr="00F74203">
              <w:rPr>
                <w:rFonts w:ascii="Times New Roman" w:eastAsia="Times New Roman" w:hAnsi="Times New Roman" w:cs="Times New Roman"/>
                <w:sz w:val="20"/>
                <w:szCs w:val="20"/>
                <w:lang w:eastAsia="en-ZA"/>
              </w:rPr>
              <w:t xml:space="preserve">. Significant competition and reproductive interference often result in the displacement and extinction of native species where </w:t>
            </w:r>
            <w:r w:rsidRPr="00F74203">
              <w:rPr>
                <w:rFonts w:ascii="Times New Roman" w:eastAsia="Times New Roman" w:hAnsi="Times New Roman" w:cs="Times New Roman"/>
                <w:i/>
                <w:iCs/>
                <w:sz w:val="20"/>
                <w:szCs w:val="20"/>
                <w:lang w:eastAsia="en-ZA"/>
              </w:rPr>
              <w:t>P. leniusculus</w:t>
            </w:r>
            <w:r w:rsidRPr="00F74203">
              <w:rPr>
                <w:rFonts w:ascii="Times New Roman" w:eastAsia="Times New Roman" w:hAnsi="Times New Roman" w:cs="Times New Roman"/>
                <w:sz w:val="20"/>
                <w:szCs w:val="20"/>
                <w:lang w:eastAsia="en-ZA"/>
              </w:rPr>
              <w:t xml:space="preserve"> out-competes native crayfish species</w:t>
            </w:r>
            <w:r w:rsidRPr="00F74203">
              <w:rPr>
                <w:rFonts w:ascii="Times New Roman" w:eastAsia="Times New Roman" w:hAnsi="Times New Roman" w:cs="Times New Roman"/>
                <w:i/>
                <w:iCs/>
                <w:sz w:val="20"/>
                <w:szCs w:val="20"/>
                <w:lang w:eastAsia="en-ZA"/>
              </w:rPr>
              <w:t xml:space="preserve"> </w:t>
            </w:r>
            <w:r w:rsidRPr="00F74203">
              <w:rPr>
                <w:rFonts w:ascii="Times New Roman" w:eastAsia="Times New Roman" w:hAnsi="Times New Roman" w:cs="Times New Roman"/>
                <w:sz w:val="20"/>
                <w:szCs w:val="20"/>
                <w:lang w:eastAsia="en-ZA"/>
              </w:rPr>
              <w:t xml:space="preserve">(i.e., </w:t>
            </w:r>
            <w:r w:rsidRPr="00F74203">
              <w:rPr>
                <w:rFonts w:ascii="Times New Roman" w:eastAsia="Times New Roman" w:hAnsi="Times New Roman" w:cs="Times New Roman"/>
                <w:i/>
                <w:iCs/>
                <w:sz w:val="20"/>
                <w:szCs w:val="20"/>
                <w:lang w:eastAsia="en-ZA"/>
              </w:rPr>
              <w:t>Astacus astacus, Austropotamobius torrentium, Cambaroides japonicas</w:t>
            </w:r>
            <w:r w:rsidRPr="00F74203">
              <w:rPr>
                <w:rFonts w:ascii="Times New Roman" w:eastAsia="Times New Roman" w:hAnsi="Times New Roman" w:cs="Times New Roman"/>
                <w:sz w:val="20"/>
                <w:szCs w:val="20"/>
                <w:lang w:eastAsia="en-ZA"/>
              </w:rPr>
              <w:t>,</w:t>
            </w:r>
            <w:r w:rsidRPr="00F74203">
              <w:rPr>
                <w:rFonts w:ascii="Times New Roman" w:eastAsia="Times New Roman" w:hAnsi="Times New Roman" w:cs="Times New Roman"/>
                <w:i/>
                <w:iCs/>
                <w:sz w:val="20"/>
                <w:szCs w:val="20"/>
                <w:lang w:eastAsia="en-ZA"/>
              </w:rPr>
              <w:t xml:space="preserve"> </w:t>
            </w:r>
            <w:r w:rsidRPr="00F74203">
              <w:rPr>
                <w:rFonts w:ascii="Times New Roman" w:eastAsia="Times New Roman" w:hAnsi="Times New Roman" w:cs="Times New Roman"/>
                <w:sz w:val="20"/>
                <w:szCs w:val="20"/>
                <w:lang w:eastAsia="en-ZA"/>
              </w:rPr>
              <w:t xml:space="preserve">and </w:t>
            </w:r>
            <w:r w:rsidRPr="00F74203">
              <w:rPr>
                <w:rFonts w:ascii="Times New Roman" w:eastAsia="Times New Roman" w:hAnsi="Times New Roman" w:cs="Times New Roman"/>
                <w:i/>
                <w:iCs/>
                <w:sz w:val="20"/>
                <w:szCs w:val="20"/>
                <w:lang w:eastAsia="en-ZA"/>
              </w:rPr>
              <w:t>Pacifastacus nigrescens</w:t>
            </w:r>
            <w:r w:rsidRPr="00F74203">
              <w:rPr>
                <w:rFonts w:ascii="Times New Roman" w:eastAsia="Times New Roman" w:hAnsi="Times New Roman" w:cs="Times New Roman"/>
                <w:sz w:val="20"/>
                <w:szCs w:val="20"/>
                <w:lang w:eastAsia="en-ZA"/>
              </w:rPr>
              <w:t>) for shelter, making them more susceptible to predation (Huber &amp; Schubart 2005; Pockl &amp; Pekny 2002; Westman, Savolainen &amp; Julkunen 2002). There are no native crayfish species in South Africa but introduced crayfish have the potential to outcompete native potamonautid crabs (</w:t>
            </w:r>
            <w:r w:rsidRPr="00F74203">
              <w:rPr>
                <w:rStyle w:val="author"/>
                <w:rFonts w:ascii="Times New Roman" w:hAnsi="Times New Roman" w:cs="Times New Roman"/>
                <w:color w:val="1C1D1E"/>
                <w:sz w:val="20"/>
                <w:szCs w:val="20"/>
                <w:shd w:val="clear" w:color="auto" w:fill="FFFFFF"/>
              </w:rPr>
              <w:t>Madzivanzira</w:t>
            </w:r>
            <w:r w:rsidRPr="00F74203">
              <w:rPr>
                <w:rFonts w:ascii="Times New Roman" w:eastAsia="Times New Roman" w:hAnsi="Times New Roman" w:cs="Times New Roman"/>
                <w:sz w:val="20"/>
                <w:szCs w:val="20"/>
                <w:lang w:eastAsia="en-ZA"/>
              </w:rPr>
              <w:t xml:space="preserve"> et al. 2021).</w:t>
            </w:r>
          </w:p>
          <w:p w14:paraId="51E118AD" w14:textId="77777777" w:rsidR="002D7080" w:rsidRPr="00F74203" w:rsidRDefault="002D7080" w:rsidP="002E2C37">
            <w:pPr>
              <w:jc w:val="both"/>
              <w:rPr>
                <w:rFonts w:ascii="Times New Roman" w:eastAsia="Times New Roman" w:hAnsi="Times New Roman" w:cs="Times New Roman"/>
                <w:b/>
                <w:bCs/>
                <w:sz w:val="20"/>
                <w:szCs w:val="20"/>
                <w:lang w:eastAsia="en-ZA"/>
              </w:rPr>
            </w:pPr>
            <w:r w:rsidRPr="00F74203">
              <w:rPr>
                <w:rFonts w:ascii="Times New Roman" w:eastAsia="Times New Roman" w:hAnsi="Times New Roman" w:cs="Times New Roman"/>
                <w:b/>
                <w:bCs/>
                <w:sz w:val="20"/>
                <w:szCs w:val="20"/>
                <w:lang w:eastAsia="en-ZA"/>
              </w:rPr>
              <w:t xml:space="preserve">Predation </w:t>
            </w:r>
          </w:p>
          <w:p w14:paraId="437C7F49" w14:textId="77777777" w:rsidR="002D7080" w:rsidRPr="00F74203" w:rsidRDefault="002D7080" w:rsidP="002E2C37">
            <w:pPr>
              <w:jc w:val="both"/>
              <w:rPr>
                <w:rFonts w:ascii="Times New Roman" w:eastAsia="Times New Roman" w:hAnsi="Times New Roman" w:cs="Times New Roman"/>
                <w:sz w:val="20"/>
                <w:szCs w:val="20"/>
                <w:lang w:eastAsia="en-ZA"/>
              </w:rPr>
            </w:pPr>
            <w:r w:rsidRPr="00F74203">
              <w:rPr>
                <w:rFonts w:ascii="Times New Roman" w:eastAsia="Times New Roman" w:hAnsi="Times New Roman" w:cs="Times New Roman"/>
                <w:i/>
                <w:iCs/>
                <w:sz w:val="20"/>
                <w:szCs w:val="20"/>
                <w:lang w:eastAsia="en-ZA"/>
              </w:rPr>
              <w:t>Pacifastacus leniusculus</w:t>
            </w:r>
            <w:r w:rsidRPr="00F74203">
              <w:rPr>
                <w:rFonts w:ascii="Times New Roman" w:eastAsia="Times New Roman" w:hAnsi="Times New Roman" w:cs="Times New Roman"/>
                <w:sz w:val="20"/>
                <w:szCs w:val="20"/>
                <w:lang w:eastAsia="en-ZA"/>
              </w:rPr>
              <w:t xml:space="preserve"> is a functional omnivore feeding on plant material, zoobenthos, detritus, fish, and sometimes other crayfish </w:t>
            </w:r>
            <w:r w:rsidRPr="00F74203">
              <w:rPr>
                <w:rFonts w:ascii="Times New Roman" w:eastAsia="Times New Roman" w:hAnsi="Times New Roman" w:cs="Times New Roman"/>
                <w:sz w:val="20"/>
                <w:szCs w:val="20"/>
                <w:lang w:eastAsia="en-ZA"/>
              </w:rPr>
              <w:fldChar w:fldCharType="begin" w:fldLock="1"/>
            </w:r>
            <w:r w:rsidRPr="00F74203">
              <w:rPr>
                <w:rFonts w:ascii="Times New Roman" w:eastAsia="Times New Roman" w:hAnsi="Times New Roman" w:cs="Times New Roman"/>
                <w:sz w:val="20"/>
                <w:szCs w:val="20"/>
                <w:lang w:eastAsia="en-ZA"/>
              </w:rPr>
              <w:instrText>ADDIN CSL_CITATION { "citationItems" : [ { "id" : "ITEM-1", "itemData" : { "DOI" : "10.3391/ai.2010.5.3.10", "author" : [ { "dropping-particle" : "", "family" : "Dana", "given" : "El\u00edas D", "non-dropping-particle" : "", "parse-names" : false, "suffix" : "" }, { "dropping-particle" : "", "family" : "L\u00f3pez-santiago", "given" : "Javier", "non-dropping-particle" : "", "parse-names" : false, "suffix" : "" }, { "dropping-particle" : "", "family" : "Garc\u00eda-de-lomas", "given" : "Juan", "non-dropping-particle" : "", "parse-names" : false, "suffix" : "" }, { "dropping-particle" : "", "family" : "Garc\u00eda-oca\u00f1a", "given" : "David M", "non-dropping-particle" : "", "parse-names" : false, "suffix" : "" }, { "dropping-particle" : "", "family" : "Ortega", "given" : "Fernando", "non-dropping-particle" : "", "parse-names" : false, "suffix" : "" } ], "id" : "ITEM-1", "issue" : "3", "issued" : { "date-parts" : [ [ "2010" ] ] }, "page" : "317-322", "title" : "Long-term management of the invasive Pacifastacus leniusculus ( Dana , 1852 ) in a small mountain stream", "type" : "article-journal", "volume" : "5" }, "uris" : [ "http://www.mendeley.com/documents/?uuid=809984f6-033c-4580-93af-e25fa9c1001e" ] } ], "mendeley" : { "formattedCitation" : "(Dana et al. 2010)", "manualFormatting" : "(Dana et al. 2010, Moorhouse 2018)", "plainTextFormattedCitation" : "(Dana et al. 2010)", "previouslyFormattedCitation" : "(Dana et al. 2010)" }, "properties" : { "noteIndex" : 0 }, "schema" : "https://github.com/citation-style-language/schema/raw/master/csl-citation.json" }</w:instrText>
            </w:r>
            <w:r w:rsidRPr="00F74203">
              <w:rPr>
                <w:rFonts w:ascii="Times New Roman" w:eastAsia="Times New Roman" w:hAnsi="Times New Roman" w:cs="Times New Roman"/>
                <w:sz w:val="20"/>
                <w:szCs w:val="20"/>
                <w:lang w:eastAsia="en-ZA"/>
              </w:rPr>
              <w:fldChar w:fldCharType="separate"/>
            </w:r>
            <w:r w:rsidRPr="00F74203">
              <w:rPr>
                <w:rFonts w:ascii="Times New Roman" w:eastAsia="Times New Roman" w:hAnsi="Times New Roman" w:cs="Times New Roman"/>
                <w:sz w:val="20"/>
                <w:szCs w:val="20"/>
                <w:lang w:eastAsia="en-ZA"/>
              </w:rPr>
              <w:t>(Dana et al. 2010; Moorhouse 2018)</w:t>
            </w:r>
            <w:r w:rsidRPr="00F74203">
              <w:rPr>
                <w:rFonts w:ascii="Times New Roman" w:eastAsia="Times New Roman" w:hAnsi="Times New Roman" w:cs="Times New Roman"/>
                <w:sz w:val="20"/>
                <w:szCs w:val="20"/>
                <w:lang w:eastAsia="en-ZA"/>
              </w:rPr>
              <w:fldChar w:fldCharType="end"/>
            </w:r>
            <w:r w:rsidRPr="00F74203">
              <w:rPr>
                <w:rFonts w:ascii="Times New Roman" w:eastAsia="Times New Roman" w:hAnsi="Times New Roman" w:cs="Times New Roman"/>
                <w:sz w:val="20"/>
                <w:szCs w:val="20"/>
                <w:lang w:eastAsia="en-ZA"/>
              </w:rPr>
              <w:t xml:space="preserve">. </w:t>
            </w:r>
            <w:r w:rsidRPr="00F74203">
              <w:rPr>
                <w:rFonts w:ascii="Times New Roman" w:eastAsia="Times New Roman" w:hAnsi="Times New Roman" w:cs="Times New Roman"/>
                <w:i/>
                <w:iCs/>
                <w:sz w:val="20"/>
                <w:szCs w:val="20"/>
                <w:lang w:eastAsia="en-ZA"/>
              </w:rPr>
              <w:t>Pacifastacus leniusculus</w:t>
            </w:r>
            <w:r w:rsidRPr="00F74203">
              <w:rPr>
                <w:rFonts w:ascii="Times New Roman" w:eastAsia="Times New Roman" w:hAnsi="Times New Roman" w:cs="Times New Roman"/>
                <w:sz w:val="20"/>
                <w:szCs w:val="20"/>
                <w:lang w:eastAsia="en-ZA"/>
              </w:rPr>
              <w:t xml:space="preserve"> tends to consume more animal than plant material and impacts invertebrate densities through direct predation (Crawford, Yeomans &amp; Adams 2006; Moorhouse 2018). In invaded areas, there is an overall decrease in richness and abundance of native species such as snails, leeches, caddisflies, newts, and fish (Crawford et al. 2006; Galib, </w:t>
            </w:r>
            <w:r w:rsidRPr="00F74203">
              <w:rPr>
                <w:rStyle w:val="author"/>
                <w:rFonts w:ascii="Times New Roman" w:hAnsi="Times New Roman" w:cs="Times New Roman"/>
                <w:color w:val="1C1D1E"/>
                <w:sz w:val="20"/>
                <w:szCs w:val="20"/>
                <w:shd w:val="clear" w:color="auto" w:fill="FFFFFF"/>
              </w:rPr>
              <w:t xml:space="preserve">Findlay </w:t>
            </w:r>
            <w:r w:rsidRPr="00F74203">
              <w:rPr>
                <w:rStyle w:val="author"/>
                <w:rFonts w:ascii="Times New Roman" w:hAnsi="Times New Roman" w:cs="Times New Roman"/>
                <w:sz w:val="20"/>
                <w:szCs w:val="20"/>
              </w:rPr>
              <w:t>&amp;</w:t>
            </w:r>
            <w:r w:rsidRPr="00F74203">
              <w:rPr>
                <w:rFonts w:ascii="Times New Roman" w:hAnsi="Times New Roman" w:cs="Times New Roman"/>
                <w:color w:val="1C1D1E"/>
                <w:sz w:val="20"/>
                <w:szCs w:val="20"/>
                <w:shd w:val="clear" w:color="auto" w:fill="FFFFFF"/>
              </w:rPr>
              <w:t> </w:t>
            </w:r>
            <w:r w:rsidRPr="00F74203">
              <w:rPr>
                <w:rStyle w:val="author"/>
                <w:rFonts w:ascii="Times New Roman" w:hAnsi="Times New Roman" w:cs="Times New Roman"/>
                <w:color w:val="1C1D1E"/>
                <w:sz w:val="20"/>
                <w:szCs w:val="20"/>
                <w:shd w:val="clear" w:color="auto" w:fill="FFFFFF"/>
              </w:rPr>
              <w:t>Lucas</w:t>
            </w:r>
            <w:r w:rsidRPr="00F74203">
              <w:rPr>
                <w:rFonts w:ascii="Times New Roman" w:eastAsia="Times New Roman" w:hAnsi="Times New Roman" w:cs="Times New Roman"/>
                <w:sz w:val="20"/>
                <w:szCs w:val="20"/>
                <w:lang w:eastAsia="en-ZA"/>
              </w:rPr>
              <w:t xml:space="preserve"> 2021; Girdner et al. 2018). </w:t>
            </w:r>
          </w:p>
          <w:p w14:paraId="1A2BF694" w14:textId="77777777" w:rsidR="002D7080" w:rsidRPr="00F74203" w:rsidRDefault="002D7080" w:rsidP="002E2C37">
            <w:pPr>
              <w:jc w:val="both"/>
              <w:rPr>
                <w:rFonts w:ascii="Times New Roman" w:eastAsia="Times New Roman" w:hAnsi="Times New Roman" w:cs="Times New Roman"/>
                <w:b/>
                <w:bCs/>
                <w:sz w:val="20"/>
                <w:szCs w:val="20"/>
                <w:lang w:eastAsia="en-ZA"/>
              </w:rPr>
            </w:pPr>
            <w:r w:rsidRPr="00F74203">
              <w:rPr>
                <w:rFonts w:ascii="Times New Roman" w:eastAsia="Times New Roman" w:hAnsi="Times New Roman" w:cs="Times New Roman"/>
                <w:b/>
                <w:bCs/>
                <w:sz w:val="20"/>
                <w:szCs w:val="20"/>
                <w:lang w:eastAsia="en-ZA"/>
              </w:rPr>
              <w:t>Transmission of disease</w:t>
            </w:r>
          </w:p>
          <w:p w14:paraId="239F4430" w14:textId="77777777" w:rsidR="002D7080" w:rsidRPr="00F74203" w:rsidRDefault="002D7080" w:rsidP="002E2C37">
            <w:pPr>
              <w:jc w:val="both"/>
              <w:rPr>
                <w:rFonts w:ascii="Times New Roman" w:eastAsia="Times New Roman" w:hAnsi="Times New Roman" w:cs="Times New Roman"/>
                <w:iCs/>
                <w:sz w:val="20"/>
                <w:szCs w:val="20"/>
                <w:lang w:eastAsia="en-ZA"/>
              </w:rPr>
            </w:pPr>
            <w:r w:rsidRPr="00F74203">
              <w:rPr>
                <w:rFonts w:ascii="Times New Roman" w:eastAsia="Times New Roman" w:hAnsi="Times New Roman" w:cs="Times New Roman"/>
                <w:i/>
                <w:iCs/>
                <w:sz w:val="20"/>
                <w:szCs w:val="20"/>
                <w:lang w:eastAsia="en-ZA"/>
              </w:rPr>
              <w:t xml:space="preserve">Pacifastacus leniusculus </w:t>
            </w:r>
            <w:r w:rsidRPr="00F74203">
              <w:rPr>
                <w:rFonts w:ascii="Times New Roman" w:eastAsia="Times New Roman" w:hAnsi="Times New Roman" w:cs="Times New Roman"/>
                <w:sz w:val="20"/>
                <w:szCs w:val="20"/>
                <w:lang w:eastAsia="en-ZA"/>
              </w:rPr>
              <w:t xml:space="preserve">is a vector for crayfish plague, a disease caused by the parasitic oomycete </w:t>
            </w:r>
            <w:r w:rsidRPr="00F74203">
              <w:rPr>
                <w:rFonts w:ascii="Times New Roman" w:eastAsia="Times New Roman" w:hAnsi="Times New Roman" w:cs="Times New Roman"/>
                <w:i/>
                <w:sz w:val="20"/>
                <w:szCs w:val="20"/>
                <w:lang w:eastAsia="en-ZA"/>
              </w:rPr>
              <w:t xml:space="preserve">Aphanomyces astaci </w:t>
            </w:r>
            <w:r w:rsidRPr="00F74203">
              <w:rPr>
                <w:rFonts w:ascii="Times New Roman" w:eastAsia="Times New Roman" w:hAnsi="Times New Roman" w:cs="Times New Roman"/>
                <w:i/>
                <w:sz w:val="20"/>
                <w:szCs w:val="20"/>
                <w:lang w:eastAsia="en-ZA"/>
              </w:rPr>
              <w:fldChar w:fldCharType="begin" w:fldLock="1"/>
            </w:r>
            <w:r w:rsidRPr="00F74203">
              <w:rPr>
                <w:rFonts w:ascii="Times New Roman" w:eastAsia="Times New Roman" w:hAnsi="Times New Roman" w:cs="Times New Roman"/>
                <w:i/>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"http://www.mendeley.com/documents/?uuid=9c72c438-e7a8-4248-b05a-2e8f1c12e544" ] }, { "id" : "ITEM-2",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"ITEM-2", "issue" : "1", "issued" : { "date-parts" : [ [ "2011" ] ] }, "page" : "54-70", "publisher" : "Elsevier Inc.", "title" : "Diseases of crayfish: A review", "type" : "article-journal", "volume" : "106" }, "uris" : [ "http://www.mendeley.com/documents/?uuid=be7c0509-8466-4d72-b84f-489b1cb24dc4" ] } ], "mendeley" : { "formattedCitation" : "(Longshaw 2011, Lodge et al. 2012)", "plainTextFormattedCitation" : "(Longshaw 2011, Lodge et al. 2012)", "previouslyFormattedCitation" : "(Longshaw 2011, Lodge et al. 2012)" }, "properties" : { "noteIndex" : 0 }, "schema" : "https://github.com/citation-style-language/schema/raw/master/csl-citation.json" }</w:instrText>
            </w:r>
            <w:r w:rsidRPr="00F74203">
              <w:rPr>
                <w:rFonts w:ascii="Times New Roman" w:eastAsia="Times New Roman" w:hAnsi="Times New Roman" w:cs="Times New Roman"/>
                <w:i/>
                <w:sz w:val="20"/>
                <w:szCs w:val="20"/>
                <w:lang w:eastAsia="en-ZA"/>
              </w:rPr>
              <w:fldChar w:fldCharType="separate"/>
            </w:r>
            <w:r w:rsidRPr="00F74203">
              <w:rPr>
                <w:rFonts w:ascii="Times New Roman" w:eastAsia="Times New Roman" w:hAnsi="Times New Roman" w:cs="Times New Roman"/>
                <w:sz w:val="20"/>
                <w:szCs w:val="20"/>
                <w:lang w:eastAsia="en-ZA"/>
              </w:rPr>
              <w:t>(Lodge et al. 2012; Longshaw 2011)</w:t>
            </w:r>
            <w:r w:rsidRPr="00F74203">
              <w:rPr>
                <w:rFonts w:ascii="Times New Roman" w:eastAsia="Times New Roman" w:hAnsi="Times New Roman" w:cs="Times New Roman"/>
                <w:sz w:val="20"/>
                <w:szCs w:val="20"/>
                <w:lang w:eastAsia="en-ZA"/>
              </w:rPr>
              <w:fldChar w:fldCharType="end"/>
            </w:r>
            <w:r w:rsidRPr="00F74203">
              <w:rPr>
                <w:rFonts w:ascii="Times New Roman" w:eastAsia="Times New Roman" w:hAnsi="Times New Roman" w:cs="Times New Roman"/>
                <w:sz w:val="20"/>
                <w:szCs w:val="20"/>
                <w:lang w:eastAsia="en-ZA"/>
              </w:rPr>
              <w:t xml:space="preserve">. In Europe, the transmission of crayfish plague by </w:t>
            </w:r>
            <w:r w:rsidRPr="00F74203">
              <w:rPr>
                <w:rFonts w:ascii="Times New Roman" w:eastAsia="Times New Roman" w:hAnsi="Times New Roman" w:cs="Times New Roman"/>
                <w:i/>
                <w:sz w:val="20"/>
                <w:szCs w:val="20"/>
                <w:lang w:eastAsia="en-ZA"/>
              </w:rPr>
              <w:t xml:space="preserve">P. leniusculus </w:t>
            </w:r>
            <w:r w:rsidRPr="00F74203">
              <w:rPr>
                <w:rFonts w:ascii="Times New Roman" w:eastAsia="Times New Roman" w:hAnsi="Times New Roman" w:cs="Times New Roman"/>
                <w:sz w:val="20"/>
                <w:szCs w:val="20"/>
                <w:lang w:eastAsia="en-ZA"/>
              </w:rPr>
              <w:t xml:space="preserve">to native crayfish species has been linked to a decline in populations and in some case population collapses of several native species of crayfish such as </w:t>
            </w:r>
            <w:r w:rsidRPr="00F74203">
              <w:rPr>
                <w:rFonts w:ascii="Times New Roman" w:eastAsia="Times New Roman" w:hAnsi="Times New Roman" w:cs="Times New Roman"/>
                <w:i/>
                <w:sz w:val="20"/>
                <w:szCs w:val="20"/>
                <w:lang w:eastAsia="en-ZA"/>
              </w:rPr>
              <w:t>Astacus astacus</w:t>
            </w:r>
            <w:r w:rsidRPr="00F74203">
              <w:rPr>
                <w:rFonts w:ascii="Times New Roman" w:eastAsia="Times New Roman" w:hAnsi="Times New Roman" w:cs="Times New Roman"/>
                <w:sz w:val="20"/>
                <w:szCs w:val="20"/>
                <w:lang w:eastAsia="en-ZA"/>
              </w:rPr>
              <w:t>,</w:t>
            </w:r>
            <w:r w:rsidRPr="00F74203">
              <w:rPr>
                <w:rFonts w:ascii="Times New Roman" w:eastAsia="Times New Roman" w:hAnsi="Times New Roman" w:cs="Times New Roman"/>
                <w:i/>
                <w:sz w:val="20"/>
                <w:szCs w:val="20"/>
                <w:lang w:eastAsia="en-ZA"/>
              </w:rPr>
              <w:t xml:space="preserve"> Austropotamobius pallipes</w:t>
            </w:r>
            <w:r w:rsidRPr="00F74203">
              <w:rPr>
                <w:rFonts w:ascii="Times New Roman" w:eastAsia="Times New Roman" w:hAnsi="Times New Roman" w:cs="Times New Roman"/>
                <w:sz w:val="20"/>
                <w:szCs w:val="20"/>
                <w:lang w:eastAsia="en-ZA"/>
              </w:rPr>
              <w:t>,</w:t>
            </w:r>
            <w:r w:rsidRPr="00F74203">
              <w:rPr>
                <w:rFonts w:ascii="Times New Roman" w:eastAsia="Times New Roman" w:hAnsi="Times New Roman" w:cs="Times New Roman"/>
                <w:i/>
                <w:sz w:val="20"/>
                <w:szCs w:val="20"/>
                <w:lang w:eastAsia="en-ZA"/>
              </w:rPr>
              <w:t xml:space="preserve"> </w:t>
            </w:r>
            <w:r w:rsidRPr="00F74203">
              <w:rPr>
                <w:rFonts w:ascii="Times New Roman" w:eastAsia="Times New Roman" w:hAnsi="Times New Roman" w:cs="Times New Roman"/>
                <w:sz w:val="20"/>
                <w:szCs w:val="20"/>
                <w:lang w:eastAsia="en-ZA"/>
              </w:rPr>
              <w:t>and</w:t>
            </w:r>
            <w:r w:rsidRPr="00F74203">
              <w:rPr>
                <w:rFonts w:ascii="Times New Roman" w:eastAsia="Times New Roman" w:hAnsi="Times New Roman" w:cs="Times New Roman"/>
                <w:i/>
                <w:sz w:val="20"/>
                <w:szCs w:val="20"/>
                <w:lang w:eastAsia="en-ZA"/>
              </w:rPr>
              <w:t xml:space="preserve"> </w:t>
            </w:r>
            <w:r w:rsidRPr="00F74203">
              <w:rPr>
                <w:rFonts w:ascii="Times New Roman" w:eastAsia="Times New Roman" w:hAnsi="Times New Roman" w:cs="Times New Roman"/>
                <w:i/>
                <w:iCs/>
                <w:sz w:val="20"/>
                <w:szCs w:val="20"/>
                <w:lang w:eastAsia="en-ZA"/>
              </w:rPr>
              <w:t xml:space="preserve">A. torrentium </w:t>
            </w:r>
            <w:r w:rsidRPr="00F74203">
              <w:rPr>
                <w:rFonts w:ascii="Times New Roman" w:eastAsia="Times New Roman" w:hAnsi="Times New Roman" w:cs="Times New Roman"/>
                <w:i/>
                <w:iCs/>
                <w:sz w:val="20"/>
                <w:szCs w:val="20"/>
                <w:lang w:eastAsia="en-ZA"/>
              </w:rPr>
              <w:fldChar w:fldCharType="begin" w:fldLock="1"/>
            </w:r>
            <w:r w:rsidRPr="00F74203">
              <w:rPr>
                <w:rFonts w:ascii="Times New Roman" w:eastAsia="Times New Roman" w:hAnsi="Times New Roman" w:cs="Times New Roman"/>
                <w:i/>
                <w:iCs/>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et al. 2009)", "manualFormatting" : "(Holdich and Reeve 1991,Dunn et al. 2009, Holdich et al. 2009)", "plainTextFormattedCitation" : "(Holdich et al. 2009)", "previouslyFormattedCitation" : "(Holdich et al. 2009)" }, "properties" : { "noteIndex" : 0 }, "schema" : "https://github.com/citation-style-language/schema/raw/master/csl-citation.json" }</w:instrText>
            </w:r>
            <w:r w:rsidRPr="00F74203">
              <w:rPr>
                <w:rFonts w:ascii="Times New Roman" w:eastAsia="Times New Roman" w:hAnsi="Times New Roman" w:cs="Times New Roman"/>
                <w:i/>
                <w:iCs/>
                <w:sz w:val="20"/>
                <w:szCs w:val="20"/>
                <w:lang w:eastAsia="en-ZA"/>
              </w:rPr>
              <w:fldChar w:fldCharType="separate"/>
            </w:r>
            <w:r w:rsidRPr="00F74203">
              <w:rPr>
                <w:rFonts w:ascii="Times New Roman" w:eastAsia="Times New Roman" w:hAnsi="Times New Roman" w:cs="Times New Roman"/>
                <w:iCs/>
                <w:sz w:val="20"/>
                <w:szCs w:val="20"/>
                <w:lang w:eastAsia="en-ZA"/>
              </w:rPr>
              <w:t>(Dunn et al. 2009; Holdich &amp; Reeve 1991; Holdich et al. 2009)</w:t>
            </w:r>
            <w:r w:rsidRPr="00F74203">
              <w:rPr>
                <w:rFonts w:ascii="Times New Roman" w:eastAsia="Times New Roman" w:hAnsi="Times New Roman" w:cs="Times New Roman"/>
                <w:sz w:val="20"/>
                <w:szCs w:val="20"/>
                <w:lang w:eastAsia="en-ZA"/>
              </w:rPr>
              <w:fldChar w:fldCharType="end"/>
            </w:r>
            <w:r w:rsidRPr="00F74203">
              <w:rPr>
                <w:rFonts w:ascii="Times New Roman" w:eastAsia="Times New Roman" w:hAnsi="Times New Roman" w:cs="Times New Roman"/>
                <w:i/>
                <w:sz w:val="20"/>
                <w:szCs w:val="20"/>
                <w:lang w:eastAsia="en-ZA"/>
              </w:rPr>
              <w:t xml:space="preserve">. </w:t>
            </w:r>
            <w:r w:rsidRPr="00F74203">
              <w:rPr>
                <w:rFonts w:ascii="Times New Roman" w:eastAsia="Times New Roman" w:hAnsi="Times New Roman" w:cs="Times New Roman"/>
                <w:iCs/>
                <w:sz w:val="20"/>
                <w:szCs w:val="20"/>
                <w:lang w:eastAsia="en-ZA"/>
              </w:rPr>
              <w:t>There are no native crayfish species in South Africa, but crayfish plague pathogen has been shown to infect other freshwater decapods such as native potamonautid crabs (Svoboda et al. 2014).</w:t>
            </w:r>
          </w:p>
          <w:p w14:paraId="3007B6A9" w14:textId="77777777" w:rsidR="002D7080" w:rsidRPr="00F74203" w:rsidRDefault="002D7080" w:rsidP="002E2C37">
            <w:pPr>
              <w:jc w:val="both"/>
              <w:rPr>
                <w:rFonts w:ascii="Times New Roman" w:eastAsia="Times New Roman" w:hAnsi="Times New Roman" w:cs="Times New Roman"/>
                <w:sz w:val="20"/>
                <w:szCs w:val="20"/>
                <w:lang w:eastAsia="en-ZA"/>
              </w:rPr>
            </w:pPr>
            <w:r w:rsidRPr="00F74203">
              <w:rPr>
                <w:rFonts w:ascii="Times New Roman" w:eastAsia="Times New Roman" w:hAnsi="Times New Roman" w:cs="Times New Roman"/>
                <w:b/>
                <w:sz w:val="20"/>
                <w:szCs w:val="20"/>
                <w:lang w:eastAsia="en-ZA"/>
              </w:rPr>
              <w:t>Chemical, physical or structural impact on ecosystem</w:t>
            </w:r>
          </w:p>
          <w:p w14:paraId="32F74757" w14:textId="77777777" w:rsidR="002D7080" w:rsidRPr="004D1E6F" w:rsidRDefault="002D7080" w:rsidP="002E2C37">
            <w:pPr>
              <w:jc w:val="both"/>
              <w:rPr>
                <w:rFonts w:ascii="Times New Roman" w:eastAsia="Times New Roman" w:hAnsi="Times New Roman" w:cs="Times New Roman"/>
                <w:sz w:val="20"/>
                <w:szCs w:val="20"/>
                <w:lang w:eastAsia="en-ZA"/>
              </w:rPr>
            </w:pPr>
            <w:r w:rsidRPr="00F74203">
              <w:rPr>
                <w:rFonts w:ascii="Times New Roman" w:eastAsia="Times New Roman" w:hAnsi="Times New Roman" w:cs="Times New Roman"/>
                <w:sz w:val="20"/>
                <w:szCs w:val="20"/>
                <w:lang w:eastAsia="en-ZA"/>
              </w:rPr>
              <w:t xml:space="preserve">Burrowing activities of </w:t>
            </w:r>
            <w:r w:rsidRPr="00F74203">
              <w:rPr>
                <w:rFonts w:ascii="Times New Roman" w:eastAsia="Times New Roman" w:hAnsi="Times New Roman" w:cs="Times New Roman"/>
                <w:i/>
                <w:sz w:val="20"/>
                <w:szCs w:val="20"/>
                <w:lang w:eastAsia="en-ZA"/>
              </w:rPr>
              <w:t>P. leniusculus</w:t>
            </w:r>
            <w:r w:rsidRPr="00F74203">
              <w:rPr>
                <w:rFonts w:ascii="Times New Roman" w:eastAsia="Times New Roman" w:hAnsi="Times New Roman" w:cs="Times New Roman"/>
                <w:sz w:val="20"/>
                <w:szCs w:val="20"/>
                <w:lang w:eastAsia="en-ZA"/>
              </w:rPr>
              <w:t xml:space="preserve"> have caused structural damage to river banks and increase bank erosion </w:t>
            </w:r>
            <w:r w:rsidRPr="00F74203">
              <w:rPr>
                <w:rFonts w:ascii="Times New Roman" w:eastAsia="Times New Roman" w:hAnsi="Times New Roman" w:cs="Times New Roman"/>
                <w:sz w:val="20"/>
                <w:szCs w:val="20"/>
                <w:lang w:eastAsia="en-ZA"/>
              </w:rPr>
              <w:fldChar w:fldCharType="begin" w:fldLock="1"/>
            </w:r>
            <w:r w:rsidRPr="00F74203">
              <w:rPr>
                <w:rFonts w:ascii="Times New Roman" w:eastAsia="Times New Roman" w:hAnsi="Times New Roman" w:cs="Times New Roman"/>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et al. 2009)", "plainTextFormattedCitation" : "(Holdich et al. 2009)", "previouslyFormattedCitation" : "(Holdich et al. 2009)" }, "properties" : { "noteIndex" : 0 }, "schema" : "https://github.com/citation-style-language/schema/raw/master/csl-citation.json" }</w:instrText>
            </w:r>
            <w:r w:rsidRPr="00F74203">
              <w:rPr>
                <w:rFonts w:ascii="Times New Roman" w:eastAsia="Times New Roman" w:hAnsi="Times New Roman" w:cs="Times New Roman"/>
                <w:sz w:val="20"/>
                <w:szCs w:val="20"/>
                <w:lang w:eastAsia="en-ZA"/>
              </w:rPr>
              <w:fldChar w:fldCharType="separate"/>
            </w:r>
            <w:r w:rsidRPr="00F74203">
              <w:rPr>
                <w:rFonts w:ascii="Times New Roman" w:eastAsia="Times New Roman" w:hAnsi="Times New Roman" w:cs="Times New Roman"/>
                <w:sz w:val="20"/>
                <w:szCs w:val="20"/>
                <w:lang w:eastAsia="en-ZA"/>
              </w:rPr>
              <w:t>(Holdich et al. 2009)</w:t>
            </w:r>
            <w:r w:rsidRPr="00F74203">
              <w:rPr>
                <w:rFonts w:ascii="Times New Roman" w:eastAsia="Times New Roman" w:hAnsi="Times New Roman" w:cs="Times New Roman"/>
                <w:sz w:val="20"/>
                <w:szCs w:val="20"/>
                <w:lang w:eastAsia="en-ZA"/>
              </w:rPr>
              <w:fldChar w:fldCharType="end"/>
            </w:r>
            <w:r w:rsidRPr="00F74203">
              <w:rPr>
                <w:rFonts w:ascii="Times New Roman" w:eastAsia="Times New Roman" w:hAnsi="Times New Roman" w:cs="Times New Roman"/>
                <w:sz w:val="20"/>
                <w:szCs w:val="20"/>
                <w:lang w:eastAsia="en-ZA"/>
              </w:rPr>
              <w:t xml:space="preserve">. </w:t>
            </w:r>
            <w:r w:rsidRPr="00F74203">
              <w:rPr>
                <w:rFonts w:ascii="Times New Roman" w:eastAsia="Times New Roman" w:hAnsi="Times New Roman" w:cs="Times New Roman"/>
                <w:i/>
                <w:sz w:val="20"/>
                <w:szCs w:val="20"/>
                <w:lang w:eastAsia="en-ZA"/>
              </w:rPr>
              <w:t>Pacifastacus leniusculus</w:t>
            </w:r>
            <w:r w:rsidRPr="00F74203">
              <w:rPr>
                <w:rFonts w:ascii="Times New Roman" w:eastAsia="Times New Roman" w:hAnsi="Times New Roman" w:cs="Times New Roman"/>
                <w:sz w:val="20"/>
                <w:szCs w:val="20"/>
                <w:lang w:eastAsia="en-ZA"/>
              </w:rPr>
              <w:t xml:space="preserve"> is considered to be a non-burrowing species in the native range, but in the invasive range, </w:t>
            </w:r>
            <w:r w:rsidRPr="00F74203">
              <w:rPr>
                <w:rFonts w:ascii="Times New Roman" w:eastAsia="Times New Roman" w:hAnsi="Times New Roman" w:cs="Times New Roman"/>
                <w:i/>
                <w:sz w:val="20"/>
                <w:szCs w:val="20"/>
                <w:lang w:eastAsia="en-ZA"/>
              </w:rPr>
              <w:t>P. leniusculus</w:t>
            </w:r>
            <w:r w:rsidRPr="00F74203">
              <w:rPr>
                <w:rFonts w:ascii="Times New Roman" w:eastAsia="Times New Roman" w:hAnsi="Times New Roman" w:cs="Times New Roman"/>
                <w:sz w:val="20"/>
                <w:szCs w:val="20"/>
                <w:lang w:eastAsia="en-ZA"/>
              </w:rPr>
              <w:t xml:space="preserve"> constructs burrows under rocks and river banks </w:t>
            </w:r>
            <w:r w:rsidRPr="00F74203">
              <w:rPr>
                <w:rFonts w:ascii="Times New Roman" w:eastAsia="Times New Roman" w:hAnsi="Times New Roman" w:cs="Times New Roman"/>
                <w:sz w:val="20"/>
                <w:szCs w:val="20"/>
                <w:lang w:eastAsia="en-ZA"/>
              </w:rPr>
              <w:fldChar w:fldCharType="begin" w:fldLock="1"/>
            </w:r>
            <w:r w:rsidRPr="00F74203">
              <w:rPr>
                <w:rFonts w:ascii="Times New Roman" w:eastAsia="Times New Roman" w:hAnsi="Times New Roman" w:cs="Times New Roman"/>
                <w:sz w:val="20"/>
                <w:szCs w:val="20"/>
                <w:lang w:eastAsia="en-ZA"/>
              </w:rPr>
              <w:instrText>ADDIN CSL_CITATION { "citationItems" : [ { "id" : "ITEM-1", "itemData" : { "DOI" : "10.3391/ai.2010.5.3.10", "author" : [ { "dropping-particle" : "", "family" : "Dana", "given" : "El\u00edas D", "non-dropping-particle" : "", "parse-names" : false, "suffix" : "" }, { "dropping-particle" : "", "family" : "L\u00f3pez-santiago", "given" : "Javier", "non-dropping-particle" : "", "parse-names" : false, "suffix" : "" }, { "dropping-particle" : "", "family" : "Garc\u00eda-de-lomas", "given" : "Juan", "non-dropping-particle" : "", "parse-names" : false, "suffix" : "" }, { "dropping-particle" : "", "family" : "Garc\u00eda-oca\u00f1a", "given" : "David M", "non-dropping-particle" : "", "parse-names" : false, "suffix" : "" }, { "dropping-particle" : "", "family" : "Ortega", "given" : "Fernando", "non-dropping-particle" : "", "parse-names" : false, "suffix" : "" } ], "id" : "ITEM-1", "issue" : "3", "issued" : { "date-parts" : [ [ "2010" ] ] }, "page" : "317-322", "title" : "Long-term management of the invasive Pacifastacus leniusculus ( Dana , 1852 ) in a small mountain stream", "type" : "article-journal", "volume" : "5" }, "uris" : [ "http://www.mendeley.com/documents/?uuid=809984f6-033c-4580-93af-e25fa9c1001e" ] } ], "mendeley" : { "formattedCitation" : "(Dana et al. 2010)", "plainTextFormattedCitation" : "(Dana et al. 2010)", "previouslyFormattedCitation" : "(Dana et al. 2010)" }, "properties" : { "noteIndex" : 0 }, "schema" : "https://github.com/citation-style-language/schema/raw/master/csl-citation.json" }</w:instrText>
            </w:r>
            <w:r w:rsidRPr="00F74203">
              <w:rPr>
                <w:rFonts w:ascii="Times New Roman" w:eastAsia="Times New Roman" w:hAnsi="Times New Roman" w:cs="Times New Roman"/>
                <w:sz w:val="20"/>
                <w:szCs w:val="20"/>
                <w:lang w:eastAsia="en-ZA"/>
              </w:rPr>
              <w:fldChar w:fldCharType="separate"/>
            </w:r>
            <w:r w:rsidRPr="00F74203">
              <w:rPr>
                <w:rFonts w:ascii="Times New Roman" w:eastAsia="Times New Roman" w:hAnsi="Times New Roman" w:cs="Times New Roman"/>
                <w:sz w:val="20"/>
                <w:szCs w:val="20"/>
                <w:lang w:eastAsia="en-ZA"/>
              </w:rPr>
              <w:t>(Dana et al. 2010)</w:t>
            </w:r>
            <w:r w:rsidRPr="00F74203">
              <w:rPr>
                <w:rFonts w:ascii="Times New Roman" w:eastAsia="Times New Roman" w:hAnsi="Times New Roman" w:cs="Times New Roman"/>
                <w:sz w:val="20"/>
                <w:szCs w:val="20"/>
                <w:lang w:eastAsia="en-ZA"/>
              </w:rPr>
              <w:fldChar w:fldCharType="end"/>
            </w:r>
            <w:r w:rsidRPr="00F74203">
              <w:rPr>
                <w:rFonts w:ascii="Times New Roman" w:eastAsia="Times New Roman" w:hAnsi="Times New Roman" w:cs="Times New Roman"/>
                <w:sz w:val="20"/>
                <w:szCs w:val="20"/>
                <w:lang w:eastAsia="en-ZA"/>
              </w:rPr>
              <w:t xml:space="preserve">. In Europe, the burrows can reach high densities, and can have a severe impact on river bank geomorphology, causing them to collapse </w:t>
            </w:r>
            <w:r w:rsidRPr="00F74203">
              <w:rPr>
                <w:rFonts w:ascii="Times New Roman" w:eastAsia="Times New Roman" w:hAnsi="Times New Roman" w:cs="Times New Roman"/>
                <w:sz w:val="20"/>
                <w:szCs w:val="20"/>
                <w:lang w:eastAsia="en-ZA"/>
              </w:rPr>
              <w:fldChar w:fldCharType="begin" w:fldLock="1"/>
            </w:r>
            <w:r w:rsidRPr="00F74203">
              <w:rPr>
                <w:rFonts w:ascii="Times New Roman" w:eastAsia="Times New Roman" w:hAnsi="Times New Roman" w:cs="Times New Roman"/>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et al. 2009)", "plainTextFormattedCitation" : "(Holdich et al. 2009)", "previouslyFormattedCitation" : "(Holdich et al. 2009)" }, "properties" : { "noteIndex" : 0 }, "schema" : "https://github.com/citation-style-language/schema/raw/master/csl-citation.json" }</w:instrText>
            </w:r>
            <w:r w:rsidRPr="00F74203">
              <w:rPr>
                <w:rFonts w:ascii="Times New Roman" w:eastAsia="Times New Roman" w:hAnsi="Times New Roman" w:cs="Times New Roman"/>
                <w:sz w:val="20"/>
                <w:szCs w:val="20"/>
                <w:lang w:eastAsia="en-ZA"/>
              </w:rPr>
              <w:fldChar w:fldCharType="separate"/>
            </w:r>
            <w:r w:rsidRPr="00F74203">
              <w:rPr>
                <w:rFonts w:ascii="Times New Roman" w:eastAsia="Times New Roman" w:hAnsi="Times New Roman" w:cs="Times New Roman"/>
                <w:sz w:val="20"/>
                <w:szCs w:val="20"/>
                <w:lang w:eastAsia="en-ZA"/>
              </w:rPr>
              <w:t>(Holdich et al. 2009)</w:t>
            </w:r>
            <w:r w:rsidRPr="00F74203">
              <w:rPr>
                <w:rFonts w:ascii="Times New Roman" w:eastAsia="Times New Roman" w:hAnsi="Times New Roman" w:cs="Times New Roman"/>
                <w:sz w:val="20"/>
                <w:szCs w:val="20"/>
                <w:lang w:eastAsia="en-ZA"/>
              </w:rPr>
              <w:fldChar w:fldCharType="end"/>
            </w:r>
            <w:r w:rsidRPr="00F74203">
              <w:rPr>
                <w:rFonts w:ascii="Times New Roman" w:eastAsia="Times New Roman" w:hAnsi="Times New Roman" w:cs="Times New Roman"/>
                <w:sz w:val="20"/>
                <w:szCs w:val="20"/>
                <w:lang w:eastAsia="en-ZA"/>
              </w:rPr>
              <w:t xml:space="preserve">. On the River Lark in the UK, burrowing by </w:t>
            </w:r>
            <w:r w:rsidRPr="00F74203">
              <w:rPr>
                <w:rFonts w:ascii="Times New Roman" w:eastAsia="Times New Roman" w:hAnsi="Times New Roman" w:cs="Times New Roman"/>
                <w:i/>
                <w:sz w:val="20"/>
                <w:szCs w:val="20"/>
                <w:lang w:eastAsia="en-ZA"/>
              </w:rPr>
              <w:t>P. leniusculus</w:t>
            </w:r>
            <w:r w:rsidRPr="00F74203">
              <w:rPr>
                <w:rFonts w:ascii="Times New Roman" w:eastAsia="Times New Roman" w:hAnsi="Times New Roman" w:cs="Times New Roman"/>
                <w:sz w:val="20"/>
                <w:szCs w:val="20"/>
                <w:lang w:eastAsia="en-ZA"/>
              </w:rPr>
              <w:t xml:space="preserve"> has been reported to cause erosion at the rate of one meter per year </w:t>
            </w:r>
            <w:r w:rsidRPr="00F74203">
              <w:rPr>
                <w:rFonts w:ascii="Times New Roman" w:eastAsia="Times New Roman" w:hAnsi="Times New Roman" w:cs="Times New Roman"/>
                <w:sz w:val="20"/>
                <w:szCs w:val="20"/>
                <w:lang w:eastAsia="en-ZA"/>
              </w:rPr>
              <w:fldChar w:fldCharType="begin" w:fldLock="1"/>
            </w:r>
            <w:r w:rsidRPr="00F74203">
              <w:rPr>
                <w:rFonts w:ascii="Times New Roman" w:eastAsia="Times New Roman" w:hAnsi="Times New Roman" w:cs="Times New Roman"/>
                <w:sz w:val="20"/>
                <w:szCs w:val="20"/>
                <w:lang w:eastAsia="en-ZA"/>
              </w:rPr>
              <w:instrText>ADDIN CSL_CITATION { "citationItems" : [ { "id" : "ITEM-1", "itemData" : { "author" : [ { "dropping-particle" : "", "family" : "Guan", "given" : "R.Z", "non-dropping-particle" : "", "parse-names" : false, "suffix" : "" } ], "container-title" : "Freshwater Forum", "id" : "ITEM-1", "issued" : { "date-parts" : [ [ "2010" ] ] }, "title" : "Burrowing behaviour of signal crayfish, Pacifastacus leniusculus (Dana) in the River Great Ouse, England.", "type" : "article-journal", "volume" : "4" }, "uris" : [ "http://www.mendeley.com/documents/?uuid=6fba3026-a6bc-4e1a-9fd4-6dbdf31ee24f" ] } ], "mendeley" : { "formattedCitation" : "(Guan 2010)", "plainTextFormattedCitation" : "(Guan 2010)", "previouslyFormattedCitation" : "(Guan 2010)" }, "properties" : { "noteIndex" : 0 }, "schema" : "https://github.com/citation-style-language/schema/raw/master/csl-citation.json" }</w:instrText>
            </w:r>
            <w:r w:rsidRPr="00F74203">
              <w:rPr>
                <w:rFonts w:ascii="Times New Roman" w:eastAsia="Times New Roman" w:hAnsi="Times New Roman" w:cs="Times New Roman"/>
                <w:sz w:val="20"/>
                <w:szCs w:val="20"/>
                <w:lang w:eastAsia="en-ZA"/>
              </w:rPr>
              <w:fldChar w:fldCharType="separate"/>
            </w:r>
            <w:r w:rsidRPr="00F74203">
              <w:rPr>
                <w:rFonts w:ascii="Times New Roman" w:eastAsia="Times New Roman" w:hAnsi="Times New Roman" w:cs="Times New Roman"/>
                <w:sz w:val="20"/>
                <w:szCs w:val="20"/>
                <w:lang w:eastAsia="en-ZA"/>
              </w:rPr>
              <w:t>(Guan 2010)</w:t>
            </w:r>
            <w:r w:rsidRPr="00F74203">
              <w:rPr>
                <w:rFonts w:ascii="Times New Roman" w:eastAsia="Times New Roman" w:hAnsi="Times New Roman" w:cs="Times New Roman"/>
                <w:sz w:val="20"/>
                <w:szCs w:val="20"/>
                <w:lang w:eastAsia="en-ZA"/>
              </w:rPr>
              <w:fldChar w:fldCharType="end"/>
            </w:r>
            <w:r w:rsidRPr="00F74203">
              <w:rPr>
                <w:rFonts w:ascii="Times New Roman" w:eastAsia="Times New Roman" w:hAnsi="Times New Roman" w:cs="Times New Roman"/>
                <w:sz w:val="20"/>
                <w:szCs w:val="20"/>
                <w:lang w:eastAsia="en-ZA"/>
              </w:rPr>
              <w:t xml:space="preserve">. </w:t>
            </w:r>
            <w:r w:rsidRPr="00F74203">
              <w:rPr>
                <w:rFonts w:ascii="Times New Roman" w:eastAsia="Times New Roman" w:hAnsi="Times New Roman" w:cs="Times New Roman"/>
                <w:i/>
                <w:sz w:val="20"/>
                <w:szCs w:val="20"/>
                <w:lang w:eastAsia="en-ZA"/>
              </w:rPr>
              <w:t xml:space="preserve">Pacifastacus leniusculus </w:t>
            </w:r>
            <w:r w:rsidRPr="00F74203">
              <w:rPr>
                <w:rFonts w:ascii="Times New Roman" w:eastAsia="Times New Roman" w:hAnsi="Times New Roman" w:cs="Times New Roman"/>
                <w:iCs/>
                <w:sz w:val="20"/>
                <w:szCs w:val="20"/>
                <w:lang w:eastAsia="en-ZA"/>
              </w:rPr>
              <w:t xml:space="preserve">were </w:t>
            </w:r>
            <w:r w:rsidRPr="00F74203">
              <w:rPr>
                <w:rFonts w:ascii="Times New Roman" w:eastAsia="Times New Roman" w:hAnsi="Times New Roman" w:cs="Times New Roman"/>
                <w:iCs/>
                <w:sz w:val="20"/>
                <w:szCs w:val="20"/>
                <w:lang w:eastAsia="en-ZA"/>
              </w:rPr>
              <w:lastRenderedPageBreak/>
              <w:t>found to have higher diversity of epibiont algae (species that live on the surface of other organisms) than sympatric native species (Falasco et al. 2018). This indicates that they can provide alternative substrate for agal species to grow on and this can lead to changes in community structure and function.</w:t>
            </w:r>
          </w:p>
        </w:tc>
      </w:tr>
      <w:tr w:rsidR="002D7080" w:rsidRPr="004D1E6F" w14:paraId="06BE49A7" w14:textId="77777777" w:rsidTr="002E2C37">
        <w:trPr>
          <w:cantSplit/>
          <w:trHeight w:val="70"/>
        </w:trPr>
        <w:tc>
          <w:tcPr>
            <w:tcW w:w="9016" w:type="dxa"/>
            <w:gridSpan w:val="2"/>
          </w:tcPr>
          <w:p w14:paraId="2EBC493B" w14:textId="7A08B322" w:rsidR="002D7080" w:rsidRDefault="002D7080" w:rsidP="00C5761E">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08521F80" w14:textId="276E4053" w:rsidR="002D7080" w:rsidRPr="008F52AE" w:rsidRDefault="002D7080" w:rsidP="002E2C37">
            <w:pPr>
              <w:ind w:left="720" w:hanging="720"/>
              <w:contextualSpacing/>
              <w:rPr>
                <w:rFonts w:ascii="Times New Roman" w:eastAsia="Times New Roman" w:hAnsi="Times New Roman" w:cs="Times New Roman"/>
                <w:sz w:val="20"/>
                <w:szCs w:val="20"/>
                <w:lang w:eastAsia="en-ZA"/>
              </w:rPr>
            </w:pPr>
            <w:r w:rsidRPr="008F52AE">
              <w:rPr>
                <w:rFonts w:ascii="Times New Roman" w:eastAsia="Times New Roman" w:hAnsi="Times New Roman" w:cs="Times New Roman"/>
                <w:sz w:val="20"/>
                <w:szCs w:val="20"/>
                <w:lang w:eastAsia="en-ZA"/>
              </w:rPr>
              <w:t xml:space="preserve">Crawford, L., Yeomans, W.E. &amp; Adams, C.E., 2006, ‘The impact of introduced signal crayfish </w:t>
            </w:r>
            <w:r w:rsidRPr="008F52AE">
              <w:rPr>
                <w:rFonts w:ascii="Times New Roman" w:eastAsia="Times New Roman" w:hAnsi="Times New Roman" w:cs="Times New Roman"/>
                <w:i/>
                <w:sz w:val="20"/>
                <w:szCs w:val="20"/>
                <w:lang w:eastAsia="en-ZA"/>
              </w:rPr>
              <w:t>Pacifastacus leniusculus</w:t>
            </w:r>
            <w:r w:rsidRPr="008F52AE">
              <w:rPr>
                <w:rFonts w:ascii="Times New Roman" w:eastAsia="Times New Roman" w:hAnsi="Times New Roman" w:cs="Times New Roman"/>
                <w:sz w:val="20"/>
                <w:szCs w:val="20"/>
                <w:lang w:eastAsia="en-ZA"/>
              </w:rPr>
              <w:t xml:space="preserve"> on stream invertebrate communities’, </w:t>
            </w:r>
            <w:r w:rsidRPr="008F52AE">
              <w:rPr>
                <w:rFonts w:ascii="Times New Roman" w:eastAsia="Times New Roman" w:hAnsi="Times New Roman" w:cs="Times New Roman"/>
                <w:i/>
                <w:iCs/>
                <w:sz w:val="20"/>
                <w:szCs w:val="20"/>
                <w:lang w:eastAsia="en-ZA"/>
              </w:rPr>
              <w:t>Aquatic Conservation: Marine and Freshwater Ecosystems</w:t>
            </w:r>
            <w:r w:rsidRPr="008F52AE">
              <w:rPr>
                <w:rFonts w:ascii="Times New Roman" w:eastAsia="Times New Roman" w:hAnsi="Times New Roman" w:cs="Times New Roman"/>
                <w:sz w:val="20"/>
                <w:szCs w:val="20"/>
                <w:lang w:eastAsia="en-ZA"/>
              </w:rPr>
              <w:t xml:space="preserve"> </w:t>
            </w:r>
            <w:r w:rsidRPr="008F52AE">
              <w:rPr>
                <w:rFonts w:ascii="Times New Roman" w:eastAsia="Times New Roman" w:hAnsi="Times New Roman" w:cs="Times New Roman"/>
                <w:iCs/>
                <w:sz w:val="20"/>
                <w:szCs w:val="20"/>
                <w:lang w:eastAsia="en-ZA"/>
              </w:rPr>
              <w:t>16</w:t>
            </w:r>
            <w:r w:rsidRPr="008F52AE">
              <w:rPr>
                <w:rFonts w:ascii="Times New Roman" w:eastAsia="Times New Roman" w:hAnsi="Times New Roman" w:cs="Times New Roman"/>
                <w:sz w:val="20"/>
                <w:szCs w:val="20"/>
                <w:lang w:eastAsia="en-ZA"/>
              </w:rPr>
              <w:t xml:space="preserve">, 611–621. </w:t>
            </w:r>
            <w:hyperlink r:id="rId457" w:history="1">
              <w:r w:rsidR="004F0741" w:rsidRPr="00F215B9">
                <w:rPr>
                  <w:rStyle w:val="Hyperlink"/>
                  <w:rFonts w:ascii="Times New Roman" w:eastAsia="Times New Roman" w:hAnsi="Times New Roman" w:cs="Times New Roman"/>
                  <w:sz w:val="20"/>
                  <w:szCs w:val="20"/>
                  <w:lang w:eastAsia="en-ZA"/>
                </w:rPr>
                <w:t>https://doi.org/10.1002/aqc.761</w:t>
              </w:r>
            </w:hyperlink>
            <w:r w:rsidRPr="008F52AE">
              <w:rPr>
                <w:rFonts w:ascii="Times New Roman" w:eastAsia="Times New Roman" w:hAnsi="Times New Roman" w:cs="Times New Roman"/>
                <w:sz w:val="20"/>
                <w:szCs w:val="20"/>
                <w:lang w:eastAsia="en-ZA"/>
              </w:rPr>
              <w:t>.</w:t>
            </w:r>
            <w:r w:rsidR="004F0741">
              <w:rPr>
                <w:rFonts w:ascii="Times New Roman" w:eastAsia="Times New Roman" w:hAnsi="Times New Roman" w:cs="Times New Roman"/>
                <w:sz w:val="20"/>
                <w:szCs w:val="20"/>
                <w:lang w:eastAsia="en-ZA"/>
              </w:rPr>
              <w:t xml:space="preserve"> </w:t>
            </w:r>
          </w:p>
          <w:p w14:paraId="3DC02D1E" w14:textId="24184ED1" w:rsidR="005C02F6" w:rsidRPr="008F52AE" w:rsidRDefault="002D7080" w:rsidP="002E2C37">
            <w:pPr>
              <w:ind w:left="720" w:hanging="720"/>
              <w:contextualSpacing/>
              <w:rPr>
                <w:rFonts w:ascii="Times New Roman" w:eastAsia="Times New Roman" w:hAnsi="Times New Roman" w:cs="Times New Roman"/>
                <w:sz w:val="20"/>
                <w:szCs w:val="20"/>
                <w:lang w:eastAsia="en-ZA"/>
              </w:rPr>
            </w:pPr>
            <w:r w:rsidRPr="008F52AE">
              <w:rPr>
                <w:rFonts w:ascii="Times New Roman" w:eastAsia="Times New Roman" w:hAnsi="Times New Roman" w:cs="Times New Roman"/>
                <w:sz w:val="20"/>
                <w:szCs w:val="20"/>
                <w:lang w:eastAsia="en-ZA"/>
              </w:rPr>
              <w:t xml:space="preserve">Dana, E.D., López–Santiago, J., García–de–Lomas, J., García–Ocaña, D.M., Gámez, V. &amp; Ortega, F., 2010, ‘Long–term management of the invasive </w:t>
            </w:r>
            <w:r w:rsidRPr="008F52AE">
              <w:rPr>
                <w:rFonts w:ascii="Times New Roman" w:eastAsia="Times New Roman" w:hAnsi="Times New Roman" w:cs="Times New Roman"/>
                <w:i/>
                <w:sz w:val="20"/>
                <w:szCs w:val="20"/>
                <w:lang w:eastAsia="en-ZA"/>
              </w:rPr>
              <w:t>Pacifastacus leniusculus</w:t>
            </w:r>
            <w:r w:rsidRPr="008F52AE">
              <w:rPr>
                <w:rFonts w:ascii="Times New Roman" w:eastAsia="Times New Roman" w:hAnsi="Times New Roman" w:cs="Times New Roman"/>
                <w:sz w:val="20"/>
                <w:szCs w:val="20"/>
                <w:lang w:eastAsia="en-ZA"/>
              </w:rPr>
              <w:t xml:space="preserve"> (Dana, 1852) in a small mountain stream’, </w:t>
            </w:r>
            <w:r w:rsidRPr="008F52AE">
              <w:rPr>
                <w:rFonts w:ascii="Times New Roman" w:eastAsia="Times New Roman" w:hAnsi="Times New Roman" w:cs="Times New Roman"/>
                <w:i/>
                <w:iCs/>
                <w:sz w:val="20"/>
                <w:szCs w:val="20"/>
                <w:lang w:eastAsia="en-ZA"/>
              </w:rPr>
              <w:t>Aquatic Invasions</w:t>
            </w:r>
            <w:r w:rsidRPr="008F52AE">
              <w:rPr>
                <w:rFonts w:ascii="Times New Roman" w:eastAsia="Times New Roman" w:hAnsi="Times New Roman" w:cs="Times New Roman"/>
                <w:sz w:val="20"/>
                <w:szCs w:val="20"/>
                <w:lang w:eastAsia="en-ZA"/>
              </w:rPr>
              <w:t xml:space="preserve"> </w:t>
            </w:r>
            <w:r w:rsidRPr="008F52AE">
              <w:rPr>
                <w:rFonts w:ascii="Times New Roman" w:eastAsia="Times New Roman" w:hAnsi="Times New Roman" w:cs="Times New Roman"/>
                <w:iCs/>
                <w:sz w:val="20"/>
                <w:szCs w:val="20"/>
                <w:lang w:eastAsia="en-ZA"/>
              </w:rPr>
              <w:t>5</w:t>
            </w:r>
            <w:r w:rsidRPr="008F52AE">
              <w:rPr>
                <w:rFonts w:ascii="Times New Roman" w:eastAsia="Times New Roman" w:hAnsi="Times New Roman" w:cs="Times New Roman"/>
                <w:sz w:val="20"/>
                <w:szCs w:val="20"/>
                <w:lang w:eastAsia="en-ZA"/>
              </w:rPr>
              <w:t>, 317–322</w:t>
            </w:r>
            <w:r w:rsidR="005C02F6">
              <w:rPr>
                <w:rFonts w:ascii="Times New Roman" w:eastAsia="Times New Roman" w:hAnsi="Times New Roman" w:cs="Times New Roman"/>
                <w:sz w:val="20"/>
                <w:szCs w:val="20"/>
                <w:lang w:eastAsia="en-ZA"/>
              </w:rPr>
              <w:t xml:space="preserve">, </w:t>
            </w:r>
            <w:hyperlink r:id="rId458" w:history="1">
              <w:r w:rsidR="005C02F6" w:rsidRPr="00F215B9">
                <w:rPr>
                  <w:rStyle w:val="Hyperlink"/>
                  <w:rFonts w:ascii="Times New Roman" w:eastAsia="Times New Roman" w:hAnsi="Times New Roman" w:cs="Times New Roman"/>
                  <w:sz w:val="20"/>
                  <w:szCs w:val="20"/>
                  <w:lang w:eastAsia="en-ZA"/>
                </w:rPr>
                <w:t>https://doi.org/10.3391/ai.2010.5.3.10</w:t>
              </w:r>
            </w:hyperlink>
            <w:r w:rsidR="005C02F6">
              <w:rPr>
                <w:rFonts w:ascii="Times New Roman" w:eastAsia="Times New Roman" w:hAnsi="Times New Roman" w:cs="Times New Roman"/>
                <w:sz w:val="20"/>
                <w:szCs w:val="20"/>
                <w:lang w:eastAsia="en-ZA"/>
              </w:rPr>
              <w:t>.</w:t>
            </w:r>
          </w:p>
          <w:p w14:paraId="0A20B243" w14:textId="7FED5448" w:rsidR="004F0741" w:rsidRDefault="002D7080" w:rsidP="002E2C37">
            <w:pPr>
              <w:ind w:left="720" w:hanging="720"/>
              <w:contextualSpacing/>
              <w:rPr>
                <w:rStyle w:val="author"/>
                <w:color w:val="1C1D1E"/>
                <w:shd w:val="clear" w:color="auto" w:fill="FFFFFF"/>
              </w:rPr>
            </w:pPr>
            <w:r w:rsidRPr="008F52AE">
              <w:rPr>
                <w:rFonts w:ascii="Times New Roman" w:eastAsia="Times New Roman" w:hAnsi="Times New Roman" w:cs="Times New Roman"/>
                <w:sz w:val="20"/>
                <w:szCs w:val="20"/>
                <w:lang w:eastAsia="en-ZA"/>
              </w:rPr>
              <w:t xml:space="preserve">Dunn, J.C., McClymont, H.E., Christmas, M. &amp; Dunn, A.M., 2009, ‘Competition and parasitism in the native white clawed crayfish </w:t>
            </w:r>
            <w:r w:rsidRPr="008F52AE">
              <w:rPr>
                <w:rFonts w:ascii="Times New Roman" w:eastAsia="Times New Roman" w:hAnsi="Times New Roman" w:cs="Times New Roman"/>
                <w:i/>
                <w:sz w:val="20"/>
                <w:szCs w:val="20"/>
                <w:lang w:eastAsia="en-ZA"/>
              </w:rPr>
              <w:t>Austropotamobius pallipes</w:t>
            </w:r>
            <w:r w:rsidRPr="008F52AE">
              <w:rPr>
                <w:rFonts w:ascii="Times New Roman" w:eastAsia="Times New Roman" w:hAnsi="Times New Roman" w:cs="Times New Roman"/>
                <w:sz w:val="20"/>
                <w:szCs w:val="20"/>
                <w:lang w:eastAsia="en-ZA"/>
              </w:rPr>
              <w:t xml:space="preserve"> and the invasive signal crayfish </w:t>
            </w:r>
            <w:r w:rsidRPr="008F52AE">
              <w:rPr>
                <w:rFonts w:ascii="Times New Roman" w:eastAsia="Times New Roman" w:hAnsi="Times New Roman" w:cs="Times New Roman"/>
                <w:i/>
                <w:sz w:val="20"/>
                <w:szCs w:val="20"/>
                <w:lang w:eastAsia="en-ZA"/>
              </w:rPr>
              <w:t>Pacifastacus leniusculus</w:t>
            </w:r>
            <w:r w:rsidRPr="008F52AE">
              <w:rPr>
                <w:rFonts w:ascii="Times New Roman" w:eastAsia="Times New Roman" w:hAnsi="Times New Roman" w:cs="Times New Roman"/>
                <w:sz w:val="20"/>
                <w:szCs w:val="20"/>
                <w:lang w:eastAsia="en-ZA"/>
              </w:rPr>
              <w:t xml:space="preserve"> in the UK’, </w:t>
            </w:r>
            <w:r w:rsidRPr="008F52AE">
              <w:rPr>
                <w:rFonts w:ascii="Times New Roman" w:eastAsia="Times New Roman" w:hAnsi="Times New Roman" w:cs="Times New Roman"/>
                <w:i/>
                <w:iCs/>
                <w:sz w:val="20"/>
                <w:szCs w:val="20"/>
                <w:lang w:eastAsia="en-ZA"/>
              </w:rPr>
              <w:t>Biological Invasions</w:t>
            </w:r>
            <w:r w:rsidRPr="008F52AE">
              <w:rPr>
                <w:rFonts w:ascii="Times New Roman" w:eastAsia="Times New Roman" w:hAnsi="Times New Roman" w:cs="Times New Roman"/>
                <w:sz w:val="20"/>
                <w:szCs w:val="20"/>
                <w:lang w:eastAsia="en-ZA"/>
              </w:rPr>
              <w:t xml:space="preserve"> </w:t>
            </w:r>
            <w:r w:rsidRPr="008F52AE">
              <w:rPr>
                <w:rFonts w:ascii="Times New Roman" w:eastAsia="Times New Roman" w:hAnsi="Times New Roman" w:cs="Times New Roman"/>
                <w:iCs/>
                <w:sz w:val="20"/>
                <w:szCs w:val="20"/>
                <w:lang w:eastAsia="en-ZA"/>
              </w:rPr>
              <w:t>11</w:t>
            </w:r>
            <w:r w:rsidRPr="008F52AE">
              <w:rPr>
                <w:rFonts w:ascii="Times New Roman" w:eastAsia="Times New Roman" w:hAnsi="Times New Roman" w:cs="Times New Roman"/>
                <w:sz w:val="20"/>
                <w:szCs w:val="20"/>
                <w:lang w:eastAsia="en-ZA"/>
              </w:rPr>
              <w:t xml:space="preserve">, 315–324. </w:t>
            </w:r>
            <w:hyperlink r:id="rId459" w:history="1">
              <w:r w:rsidR="004F0741" w:rsidRPr="00F215B9">
                <w:rPr>
                  <w:rStyle w:val="Hyperlink"/>
                  <w:rFonts w:ascii="Times New Roman" w:eastAsia="Times New Roman" w:hAnsi="Times New Roman" w:cs="Times New Roman"/>
                  <w:sz w:val="20"/>
                  <w:szCs w:val="20"/>
                  <w:lang w:eastAsia="en-ZA"/>
                </w:rPr>
                <w:t>https://doi.org/10.1007/s10530-008-9249-7</w:t>
              </w:r>
            </w:hyperlink>
            <w:r w:rsidR="004F0741">
              <w:rPr>
                <w:rStyle w:val="author"/>
                <w:rFonts w:ascii="Times New Roman" w:hAnsi="Times New Roman" w:cs="Times New Roman"/>
                <w:color w:val="1C1D1E"/>
                <w:sz w:val="20"/>
                <w:szCs w:val="20"/>
                <w:shd w:val="clear" w:color="auto" w:fill="FFFFFF"/>
              </w:rPr>
              <w:t>.</w:t>
            </w:r>
          </w:p>
          <w:p w14:paraId="5341BD53" w14:textId="0EB9D4AD" w:rsidR="002D7080" w:rsidRPr="008F52AE" w:rsidRDefault="002D7080" w:rsidP="002E2C37">
            <w:pPr>
              <w:ind w:left="720" w:hanging="720"/>
              <w:contextualSpacing/>
              <w:rPr>
                <w:rFonts w:ascii="Times New Roman" w:eastAsia="Times New Roman" w:hAnsi="Times New Roman" w:cs="Times New Roman"/>
                <w:sz w:val="20"/>
                <w:szCs w:val="20"/>
                <w:lang w:eastAsia="en-ZA"/>
              </w:rPr>
            </w:pPr>
            <w:r w:rsidRPr="008F52AE">
              <w:rPr>
                <w:rStyle w:val="author"/>
                <w:rFonts w:ascii="Times New Roman" w:hAnsi="Times New Roman" w:cs="Times New Roman"/>
                <w:color w:val="1C1D1E"/>
                <w:sz w:val="20"/>
                <w:szCs w:val="20"/>
                <w:shd w:val="clear" w:color="auto" w:fill="FFFFFF"/>
              </w:rPr>
              <w:t>Galib, S.M.</w:t>
            </w:r>
            <w:r w:rsidRPr="008F52AE">
              <w:rPr>
                <w:rFonts w:ascii="Times New Roman" w:hAnsi="Times New Roman" w:cs="Times New Roman"/>
                <w:color w:val="1C1D1E"/>
                <w:sz w:val="20"/>
                <w:szCs w:val="20"/>
                <w:shd w:val="clear" w:color="auto" w:fill="FFFFFF"/>
              </w:rPr>
              <w:t>, </w:t>
            </w:r>
            <w:r w:rsidRPr="008F52AE">
              <w:rPr>
                <w:rStyle w:val="author"/>
                <w:rFonts w:ascii="Times New Roman" w:hAnsi="Times New Roman" w:cs="Times New Roman"/>
                <w:color w:val="1C1D1E"/>
                <w:sz w:val="20"/>
                <w:szCs w:val="20"/>
                <w:shd w:val="clear" w:color="auto" w:fill="FFFFFF"/>
              </w:rPr>
              <w:t xml:space="preserve">Findlay, J.S. </w:t>
            </w:r>
            <w:r w:rsidRPr="008F52AE">
              <w:rPr>
                <w:rStyle w:val="author"/>
                <w:rFonts w:ascii="Times New Roman" w:hAnsi="Times New Roman" w:cs="Times New Roman"/>
                <w:sz w:val="20"/>
                <w:szCs w:val="20"/>
              </w:rPr>
              <w:t>&amp;</w:t>
            </w:r>
            <w:r w:rsidRPr="008F52AE">
              <w:rPr>
                <w:rFonts w:ascii="Times New Roman" w:hAnsi="Times New Roman" w:cs="Times New Roman"/>
                <w:color w:val="1C1D1E"/>
                <w:sz w:val="20"/>
                <w:szCs w:val="20"/>
                <w:shd w:val="clear" w:color="auto" w:fill="FFFFFF"/>
              </w:rPr>
              <w:t> </w:t>
            </w:r>
            <w:r w:rsidRPr="008F52AE">
              <w:rPr>
                <w:rStyle w:val="author"/>
                <w:rFonts w:ascii="Times New Roman" w:hAnsi="Times New Roman" w:cs="Times New Roman"/>
                <w:color w:val="1C1D1E"/>
                <w:sz w:val="20"/>
                <w:szCs w:val="20"/>
                <w:shd w:val="clear" w:color="auto" w:fill="FFFFFF"/>
              </w:rPr>
              <w:t>Lucas, M.C.,</w:t>
            </w:r>
            <w:r w:rsidRPr="008F52AE">
              <w:rPr>
                <w:rFonts w:ascii="Times New Roman" w:hAnsi="Times New Roman" w:cs="Times New Roman"/>
                <w:color w:val="1C1D1E"/>
                <w:sz w:val="20"/>
                <w:szCs w:val="20"/>
                <w:shd w:val="clear" w:color="auto" w:fill="FFFFFF"/>
              </w:rPr>
              <w:t xml:space="preserve"> 2021, ‘</w:t>
            </w:r>
            <w:r w:rsidRPr="008F52AE">
              <w:rPr>
                <w:rStyle w:val="articletitle"/>
                <w:rFonts w:ascii="Times New Roman" w:hAnsi="Times New Roman" w:cs="Times New Roman"/>
                <w:color w:val="1C1D1E"/>
                <w:sz w:val="20"/>
                <w:szCs w:val="20"/>
                <w:shd w:val="clear" w:color="auto" w:fill="FFFFFF"/>
              </w:rPr>
              <w:t>Strong impacts of signal crayfish invasion on upland stream fish and invertebrate communities’,</w:t>
            </w:r>
            <w:r w:rsidRPr="008F52AE">
              <w:rPr>
                <w:rFonts w:ascii="Times New Roman" w:hAnsi="Times New Roman" w:cs="Times New Roman"/>
                <w:color w:val="1C1D1E"/>
                <w:sz w:val="20"/>
                <w:szCs w:val="20"/>
                <w:shd w:val="clear" w:color="auto" w:fill="FFFFFF"/>
              </w:rPr>
              <w:t> </w:t>
            </w:r>
            <w:r w:rsidRPr="008F52AE">
              <w:rPr>
                <w:rFonts w:ascii="Times New Roman" w:hAnsi="Times New Roman" w:cs="Times New Roman"/>
                <w:i/>
                <w:iCs/>
                <w:color w:val="1C1D1E"/>
                <w:sz w:val="20"/>
                <w:szCs w:val="20"/>
                <w:shd w:val="clear" w:color="auto" w:fill="FFFFFF"/>
              </w:rPr>
              <w:t xml:space="preserve">Freshwater Biology </w:t>
            </w:r>
            <w:r w:rsidRPr="008F52AE">
              <w:rPr>
                <w:rStyle w:val="vol"/>
                <w:rFonts w:ascii="Times New Roman" w:hAnsi="Times New Roman" w:cs="Times New Roman"/>
                <w:color w:val="1C1D1E"/>
                <w:sz w:val="20"/>
                <w:szCs w:val="20"/>
                <w:shd w:val="clear" w:color="auto" w:fill="FFFFFF"/>
              </w:rPr>
              <w:t>66,</w:t>
            </w:r>
            <w:r w:rsidRPr="008F52AE">
              <w:rPr>
                <w:rFonts w:ascii="Times New Roman" w:hAnsi="Times New Roman" w:cs="Times New Roman"/>
                <w:color w:val="1C1D1E"/>
                <w:sz w:val="20"/>
                <w:szCs w:val="20"/>
                <w:shd w:val="clear" w:color="auto" w:fill="FFFFFF"/>
              </w:rPr>
              <w:t> </w:t>
            </w:r>
            <w:r w:rsidRPr="008F52AE">
              <w:rPr>
                <w:rStyle w:val="pagefirst"/>
                <w:rFonts w:ascii="Times New Roman" w:hAnsi="Times New Roman" w:cs="Times New Roman"/>
                <w:color w:val="1C1D1E"/>
                <w:sz w:val="20"/>
                <w:szCs w:val="20"/>
                <w:shd w:val="clear" w:color="auto" w:fill="FFFFFF"/>
              </w:rPr>
              <w:t>223</w:t>
            </w:r>
            <w:r w:rsidRPr="008F52AE">
              <w:rPr>
                <w:rFonts w:ascii="Times New Roman" w:hAnsi="Times New Roman" w:cs="Times New Roman"/>
                <w:color w:val="1C1D1E"/>
                <w:sz w:val="20"/>
                <w:szCs w:val="20"/>
                <w:shd w:val="clear" w:color="auto" w:fill="FFFFFF"/>
              </w:rPr>
              <w:t>–</w:t>
            </w:r>
            <w:r w:rsidRPr="008F52AE">
              <w:rPr>
                <w:rStyle w:val="pagelast"/>
                <w:rFonts w:ascii="Times New Roman" w:hAnsi="Times New Roman" w:cs="Times New Roman"/>
                <w:color w:val="1C1D1E"/>
                <w:sz w:val="20"/>
                <w:szCs w:val="20"/>
                <w:shd w:val="clear" w:color="auto" w:fill="FFFFFF"/>
              </w:rPr>
              <w:t>240</w:t>
            </w:r>
            <w:r w:rsidRPr="008F52AE">
              <w:rPr>
                <w:rFonts w:ascii="Times New Roman" w:hAnsi="Times New Roman" w:cs="Times New Roman"/>
                <w:color w:val="1C1D1E"/>
                <w:sz w:val="20"/>
                <w:szCs w:val="20"/>
                <w:shd w:val="clear" w:color="auto" w:fill="FFFFFF"/>
              </w:rPr>
              <w:t>. </w:t>
            </w:r>
            <w:r w:rsidR="004F0741" w:rsidRPr="004F0741">
              <w:rPr>
                <w:rFonts w:ascii="Times New Roman" w:hAnsi="Times New Roman" w:cs="Times New Roman"/>
                <w:sz w:val="20"/>
                <w:szCs w:val="20"/>
                <w:shd w:val="clear" w:color="auto" w:fill="FFFFFF"/>
              </w:rPr>
              <w:t>https://doi.org/10.1111/fwb.13631</w:t>
            </w:r>
            <w:r w:rsidRPr="008F52AE">
              <w:rPr>
                <w:rFonts w:ascii="Times New Roman" w:hAnsi="Times New Roman" w:cs="Times New Roman"/>
                <w:sz w:val="20"/>
                <w:szCs w:val="20"/>
                <w:shd w:val="clear" w:color="auto" w:fill="FFFFFF"/>
              </w:rPr>
              <w:t>.</w:t>
            </w:r>
            <w:r w:rsidR="004F0741">
              <w:rPr>
                <w:rFonts w:ascii="Times New Roman" w:hAnsi="Times New Roman" w:cs="Times New Roman"/>
                <w:sz w:val="20"/>
                <w:szCs w:val="20"/>
                <w:shd w:val="clear" w:color="auto" w:fill="FFFFFF"/>
              </w:rPr>
              <w:t xml:space="preserve"> </w:t>
            </w:r>
          </w:p>
          <w:p w14:paraId="1C0907AD" w14:textId="7BEE4FC1" w:rsidR="002D7080" w:rsidRPr="008F52AE" w:rsidRDefault="002D7080" w:rsidP="002E2C37">
            <w:pPr>
              <w:ind w:left="720" w:hanging="720"/>
              <w:contextualSpacing/>
              <w:rPr>
                <w:rFonts w:ascii="Times New Roman" w:eastAsia="Times New Roman" w:hAnsi="Times New Roman" w:cs="Times New Roman"/>
                <w:sz w:val="20"/>
                <w:szCs w:val="20"/>
                <w:lang w:eastAsia="en-ZA"/>
              </w:rPr>
            </w:pPr>
            <w:r w:rsidRPr="008F52AE">
              <w:rPr>
                <w:rFonts w:ascii="Times New Roman" w:eastAsia="Times New Roman" w:hAnsi="Times New Roman" w:cs="Times New Roman"/>
                <w:sz w:val="20"/>
                <w:szCs w:val="20"/>
                <w:lang w:eastAsia="en-ZA"/>
              </w:rPr>
              <w:t>Girdner, S.F., Ray, A.M., Buktenica, M.W., Hering, D.K., Mack, J.A. &amp; Umek, J.W., 2018, ‘Replacement of a unique population of newts (</w:t>
            </w:r>
            <w:r w:rsidRPr="008F52AE">
              <w:rPr>
                <w:rFonts w:ascii="Times New Roman" w:eastAsia="Times New Roman" w:hAnsi="Times New Roman" w:cs="Times New Roman"/>
                <w:i/>
                <w:sz w:val="20"/>
                <w:szCs w:val="20"/>
                <w:lang w:eastAsia="en-ZA"/>
              </w:rPr>
              <w:t>Taricha granulosa mazamae</w:t>
            </w:r>
            <w:r w:rsidRPr="008F52AE">
              <w:rPr>
                <w:rFonts w:ascii="Times New Roman" w:eastAsia="Times New Roman" w:hAnsi="Times New Roman" w:cs="Times New Roman"/>
                <w:sz w:val="20"/>
                <w:szCs w:val="20"/>
                <w:lang w:eastAsia="en-ZA"/>
              </w:rPr>
              <w:t>) by introduced signal crayfish (</w:t>
            </w:r>
            <w:r w:rsidRPr="008F52AE">
              <w:rPr>
                <w:rFonts w:ascii="Times New Roman" w:eastAsia="Times New Roman" w:hAnsi="Times New Roman" w:cs="Times New Roman"/>
                <w:i/>
                <w:sz w:val="20"/>
                <w:szCs w:val="20"/>
                <w:lang w:eastAsia="en-ZA"/>
              </w:rPr>
              <w:t>Pacifastacus leniusculus</w:t>
            </w:r>
            <w:r w:rsidRPr="008F52AE">
              <w:rPr>
                <w:rFonts w:ascii="Times New Roman" w:eastAsia="Times New Roman" w:hAnsi="Times New Roman" w:cs="Times New Roman"/>
                <w:sz w:val="20"/>
                <w:szCs w:val="20"/>
                <w:lang w:eastAsia="en-ZA"/>
              </w:rPr>
              <w:t xml:space="preserve">) in Crater Lake, Oregon’, </w:t>
            </w:r>
            <w:r w:rsidRPr="008F52AE">
              <w:rPr>
                <w:rFonts w:ascii="Times New Roman" w:eastAsia="Times New Roman" w:hAnsi="Times New Roman" w:cs="Times New Roman"/>
                <w:i/>
                <w:sz w:val="20"/>
                <w:szCs w:val="20"/>
                <w:lang w:eastAsia="en-ZA"/>
              </w:rPr>
              <w:t>Biological Invasions</w:t>
            </w:r>
            <w:r w:rsidRPr="008F52AE">
              <w:rPr>
                <w:rFonts w:ascii="Times New Roman" w:eastAsia="Times New Roman" w:hAnsi="Times New Roman" w:cs="Times New Roman"/>
                <w:sz w:val="20"/>
                <w:szCs w:val="20"/>
                <w:lang w:eastAsia="en-ZA"/>
              </w:rPr>
              <w:t xml:space="preserve"> 20, 721–740. </w:t>
            </w:r>
            <w:r w:rsidR="004F0741" w:rsidRPr="004F0741">
              <w:rPr>
                <w:rFonts w:ascii="Times New Roman" w:eastAsia="Times New Roman" w:hAnsi="Times New Roman" w:cs="Times New Roman"/>
                <w:sz w:val="20"/>
                <w:szCs w:val="20"/>
                <w:lang w:eastAsia="en-ZA"/>
              </w:rPr>
              <w:t>https://doi.org/10.1007/s10530-017-1570-6</w:t>
            </w:r>
            <w:r w:rsidRPr="008F52AE">
              <w:rPr>
                <w:rFonts w:ascii="Times New Roman" w:eastAsia="Times New Roman" w:hAnsi="Times New Roman" w:cs="Times New Roman"/>
                <w:sz w:val="20"/>
                <w:szCs w:val="20"/>
                <w:lang w:eastAsia="en-ZA"/>
              </w:rPr>
              <w:t>.</w:t>
            </w:r>
            <w:r w:rsidR="004F0741">
              <w:rPr>
                <w:rFonts w:ascii="Times New Roman" w:eastAsia="Times New Roman" w:hAnsi="Times New Roman" w:cs="Times New Roman"/>
                <w:sz w:val="20"/>
                <w:szCs w:val="20"/>
                <w:lang w:eastAsia="en-ZA"/>
              </w:rPr>
              <w:t xml:space="preserve"> </w:t>
            </w:r>
          </w:p>
          <w:p w14:paraId="21782841" w14:textId="07B2622D" w:rsidR="002D7080" w:rsidRPr="008F52AE" w:rsidRDefault="002D7080" w:rsidP="002E2C37">
            <w:pPr>
              <w:ind w:left="720" w:hanging="720"/>
              <w:contextualSpacing/>
              <w:rPr>
                <w:rFonts w:ascii="Times New Roman" w:eastAsia="Times New Roman" w:hAnsi="Times New Roman" w:cs="Times New Roman"/>
                <w:sz w:val="20"/>
                <w:szCs w:val="20"/>
                <w:lang w:eastAsia="en-ZA"/>
              </w:rPr>
            </w:pPr>
            <w:r w:rsidRPr="008F52AE">
              <w:rPr>
                <w:rFonts w:ascii="Times New Roman" w:eastAsia="Times New Roman" w:hAnsi="Times New Roman" w:cs="Times New Roman"/>
                <w:sz w:val="20"/>
                <w:szCs w:val="20"/>
                <w:lang w:eastAsia="en-ZA"/>
              </w:rPr>
              <w:t xml:space="preserve">Holdich, D.M. &amp; Reeve, I.D., 1991, ‘Distribution of freshwater crayfish in the British Isles, with particular reference to crayfish plague, alien introductions and water quality’, </w:t>
            </w:r>
            <w:r w:rsidRPr="008F52AE">
              <w:rPr>
                <w:rFonts w:ascii="Times New Roman" w:eastAsia="Times New Roman" w:hAnsi="Times New Roman" w:cs="Times New Roman"/>
                <w:i/>
                <w:iCs/>
                <w:sz w:val="20"/>
                <w:szCs w:val="20"/>
                <w:lang w:eastAsia="en-ZA"/>
              </w:rPr>
              <w:t>Aquatic Conservation: Marine and Freshwater Ecosystems</w:t>
            </w:r>
            <w:r w:rsidRPr="008F52AE">
              <w:rPr>
                <w:rFonts w:ascii="Times New Roman" w:eastAsia="Times New Roman" w:hAnsi="Times New Roman" w:cs="Times New Roman"/>
                <w:sz w:val="20"/>
                <w:szCs w:val="20"/>
                <w:lang w:eastAsia="en-ZA"/>
              </w:rPr>
              <w:t xml:space="preserve"> </w:t>
            </w:r>
            <w:r w:rsidRPr="008F52AE">
              <w:rPr>
                <w:rFonts w:ascii="Times New Roman" w:eastAsia="Times New Roman" w:hAnsi="Times New Roman" w:cs="Times New Roman"/>
                <w:iCs/>
                <w:sz w:val="20"/>
                <w:szCs w:val="20"/>
                <w:lang w:eastAsia="en-ZA"/>
              </w:rPr>
              <w:t>1</w:t>
            </w:r>
            <w:r w:rsidRPr="008F52AE">
              <w:rPr>
                <w:rFonts w:ascii="Times New Roman" w:eastAsia="Times New Roman" w:hAnsi="Times New Roman" w:cs="Times New Roman"/>
                <w:sz w:val="20"/>
                <w:szCs w:val="20"/>
                <w:lang w:eastAsia="en-ZA"/>
              </w:rPr>
              <w:t xml:space="preserve">, 139–158. </w:t>
            </w:r>
            <w:hyperlink r:id="rId460" w:history="1">
              <w:r w:rsidR="004F0741" w:rsidRPr="00F215B9">
                <w:rPr>
                  <w:rStyle w:val="Hyperlink"/>
                  <w:rFonts w:ascii="Times New Roman" w:eastAsia="Times New Roman" w:hAnsi="Times New Roman" w:cs="Times New Roman"/>
                  <w:sz w:val="20"/>
                  <w:szCs w:val="20"/>
                  <w:lang w:eastAsia="en-ZA"/>
                </w:rPr>
                <w:t>https://doi.org/10.1002/aqc.3270010204</w:t>
              </w:r>
            </w:hyperlink>
            <w:r w:rsidRPr="008F52AE">
              <w:rPr>
                <w:rFonts w:ascii="Times New Roman" w:eastAsia="Times New Roman" w:hAnsi="Times New Roman" w:cs="Times New Roman"/>
                <w:sz w:val="20"/>
                <w:szCs w:val="20"/>
                <w:lang w:eastAsia="en-ZA"/>
              </w:rPr>
              <w:t>.</w:t>
            </w:r>
            <w:r w:rsidR="004F0741">
              <w:rPr>
                <w:rFonts w:ascii="Times New Roman" w:eastAsia="Times New Roman" w:hAnsi="Times New Roman" w:cs="Times New Roman"/>
                <w:sz w:val="20"/>
                <w:szCs w:val="20"/>
                <w:lang w:eastAsia="en-ZA"/>
              </w:rPr>
              <w:t xml:space="preserve"> </w:t>
            </w:r>
          </w:p>
          <w:p w14:paraId="19AD0621" w14:textId="1C0D33C2" w:rsidR="002D7080" w:rsidRPr="008F52AE" w:rsidRDefault="002D7080" w:rsidP="002E2C37">
            <w:pPr>
              <w:ind w:left="720" w:hanging="720"/>
              <w:contextualSpacing/>
              <w:rPr>
                <w:rFonts w:ascii="Times New Roman" w:eastAsia="Times New Roman" w:hAnsi="Times New Roman" w:cs="Times New Roman"/>
                <w:sz w:val="20"/>
                <w:szCs w:val="20"/>
                <w:lang w:eastAsia="en-ZA"/>
              </w:rPr>
            </w:pPr>
            <w:r w:rsidRPr="008F52AE">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8F52AE">
              <w:rPr>
                <w:rFonts w:ascii="Times New Roman" w:eastAsia="Calibri" w:hAnsi="Times New Roman" w:cs="Times New Roman"/>
                <w:sz w:val="20"/>
                <w:szCs w:val="20"/>
              </w:rPr>
              <w:t xml:space="preserve"> </w:t>
            </w:r>
            <w:r w:rsidRPr="008F52AE">
              <w:rPr>
                <w:rFonts w:ascii="Times New Roman" w:eastAsia="Calibri" w:hAnsi="Times New Roman" w:cs="Times New Roman"/>
                <w:bCs/>
                <w:i/>
                <w:sz w:val="20"/>
                <w:szCs w:val="20"/>
              </w:rPr>
              <w:t>Knowledge and Management of Aquatic Ecosystems</w:t>
            </w:r>
            <w:r w:rsidRPr="008F52AE">
              <w:rPr>
                <w:rFonts w:ascii="Times New Roman" w:eastAsia="Calibri" w:hAnsi="Times New Roman" w:cs="Times New Roman"/>
                <w:bCs/>
                <w:sz w:val="20"/>
                <w:szCs w:val="20"/>
              </w:rPr>
              <w:t xml:space="preserve"> 11, 394–395. </w:t>
            </w:r>
            <w:hyperlink r:id="rId461" w:history="1">
              <w:r w:rsidR="004F0741" w:rsidRPr="00F215B9">
                <w:rPr>
                  <w:rStyle w:val="Hyperlink"/>
                  <w:rFonts w:ascii="Times New Roman" w:hAnsi="Times New Roman" w:cs="Times New Roman"/>
                  <w:sz w:val="20"/>
                  <w:szCs w:val="20"/>
                </w:rPr>
                <w:t>https://doi.org/</w:t>
              </w:r>
              <w:r w:rsidR="004F0741" w:rsidRPr="00F215B9">
                <w:rPr>
                  <w:rStyle w:val="Hyperlink"/>
                  <w:rFonts w:ascii="Times New Roman" w:eastAsia="Calibri" w:hAnsi="Times New Roman" w:cs="Times New Roman"/>
                  <w:bCs/>
                  <w:sz w:val="20"/>
                  <w:szCs w:val="20"/>
                </w:rPr>
                <w:t>10.1051/kmae/2009025</w:t>
              </w:r>
            </w:hyperlink>
            <w:r w:rsidRPr="008F52AE">
              <w:rPr>
                <w:rFonts w:ascii="Times New Roman" w:eastAsia="Calibri" w:hAnsi="Times New Roman" w:cs="Times New Roman"/>
                <w:bCs/>
                <w:sz w:val="20"/>
                <w:szCs w:val="20"/>
              </w:rPr>
              <w:t>.</w:t>
            </w:r>
            <w:r w:rsidR="004F0741">
              <w:rPr>
                <w:rFonts w:ascii="Times New Roman" w:eastAsia="Calibri" w:hAnsi="Times New Roman" w:cs="Times New Roman"/>
                <w:bCs/>
                <w:sz w:val="20"/>
                <w:szCs w:val="20"/>
              </w:rPr>
              <w:t xml:space="preserve"> </w:t>
            </w:r>
          </w:p>
          <w:p w14:paraId="1DD0E287" w14:textId="4EC74A3D" w:rsidR="002D7080" w:rsidRPr="008F52AE" w:rsidRDefault="002D7080" w:rsidP="002E2C37">
            <w:pPr>
              <w:ind w:left="720" w:hanging="720"/>
              <w:contextualSpacing/>
              <w:rPr>
                <w:rFonts w:ascii="Times New Roman" w:eastAsia="Times New Roman" w:hAnsi="Times New Roman" w:cs="Times New Roman"/>
                <w:sz w:val="20"/>
                <w:szCs w:val="20"/>
                <w:lang w:eastAsia="en-ZA"/>
              </w:rPr>
            </w:pPr>
            <w:r w:rsidRPr="008F52AE">
              <w:rPr>
                <w:rFonts w:ascii="Times New Roman" w:eastAsia="Times New Roman" w:hAnsi="Times New Roman" w:cs="Times New Roman"/>
                <w:sz w:val="20"/>
                <w:szCs w:val="20"/>
                <w:lang w:eastAsia="en-ZA"/>
              </w:rPr>
              <w:t xml:space="preserve">Huber, M.G. &amp; Schubart, C.D., 2005, ‘Distribution and reproductive biology of </w:t>
            </w:r>
            <w:r w:rsidRPr="008F52AE">
              <w:rPr>
                <w:rFonts w:ascii="Times New Roman" w:eastAsia="Times New Roman" w:hAnsi="Times New Roman" w:cs="Times New Roman"/>
                <w:i/>
                <w:sz w:val="20"/>
                <w:szCs w:val="20"/>
                <w:lang w:eastAsia="en-ZA"/>
              </w:rPr>
              <w:t>Austropotamobius torrentium</w:t>
            </w:r>
            <w:r w:rsidRPr="008F52AE">
              <w:rPr>
                <w:rFonts w:ascii="Times New Roman" w:eastAsia="Times New Roman" w:hAnsi="Times New Roman" w:cs="Times New Roman"/>
                <w:sz w:val="20"/>
                <w:szCs w:val="20"/>
                <w:lang w:eastAsia="en-ZA"/>
              </w:rPr>
              <w:t xml:space="preserve"> in Bavaria and documentation of a contact zone with the alien crayfish </w:t>
            </w:r>
            <w:r w:rsidRPr="008F52AE">
              <w:rPr>
                <w:rFonts w:ascii="Times New Roman" w:eastAsia="Times New Roman" w:hAnsi="Times New Roman" w:cs="Times New Roman"/>
                <w:i/>
                <w:sz w:val="20"/>
                <w:szCs w:val="20"/>
                <w:lang w:eastAsia="en-ZA"/>
              </w:rPr>
              <w:t>Pacifastacus leniusculus’,</w:t>
            </w:r>
            <w:r w:rsidRPr="008F52AE">
              <w:rPr>
                <w:rFonts w:ascii="Times New Roman" w:eastAsia="Times New Roman" w:hAnsi="Times New Roman" w:cs="Times New Roman"/>
                <w:sz w:val="20"/>
                <w:szCs w:val="20"/>
                <w:lang w:eastAsia="en-ZA"/>
              </w:rPr>
              <w:t xml:space="preserve"> </w:t>
            </w:r>
            <w:r w:rsidRPr="008F52AE">
              <w:rPr>
                <w:rFonts w:ascii="Times New Roman" w:eastAsia="Times New Roman" w:hAnsi="Times New Roman" w:cs="Times New Roman"/>
                <w:i/>
                <w:iCs/>
                <w:sz w:val="20"/>
                <w:szCs w:val="20"/>
                <w:lang w:eastAsia="en-ZA"/>
              </w:rPr>
              <w:t xml:space="preserve">Bulletin Français de la Pêche et de la Pisciculture </w:t>
            </w:r>
            <w:r w:rsidRPr="008F52AE">
              <w:rPr>
                <w:rFonts w:ascii="Times New Roman" w:eastAsia="Times New Roman" w:hAnsi="Times New Roman" w:cs="Times New Roman"/>
                <w:iCs/>
                <w:sz w:val="20"/>
                <w:szCs w:val="20"/>
                <w:lang w:eastAsia="en-ZA"/>
              </w:rPr>
              <w:t>376,</w:t>
            </w:r>
            <w:r w:rsidRPr="008F52AE">
              <w:rPr>
                <w:rFonts w:ascii="Times New Roman" w:eastAsia="Times New Roman" w:hAnsi="Times New Roman" w:cs="Times New Roman"/>
                <w:sz w:val="20"/>
                <w:szCs w:val="20"/>
                <w:lang w:eastAsia="en-ZA"/>
              </w:rPr>
              <w:t xml:space="preserve"> 759–776. </w:t>
            </w:r>
            <w:r w:rsidR="004F0741" w:rsidRPr="004F0741">
              <w:rPr>
                <w:rFonts w:ascii="Times New Roman" w:eastAsia="Times New Roman" w:hAnsi="Times New Roman" w:cs="Times New Roman"/>
                <w:sz w:val="20"/>
                <w:szCs w:val="20"/>
                <w:lang w:eastAsia="en-ZA"/>
              </w:rPr>
              <w:t>https://doi.org/10.1051/kmae:2005031</w:t>
            </w:r>
            <w:r w:rsidR="004F0741">
              <w:rPr>
                <w:rFonts w:ascii="Times New Roman" w:eastAsia="Times New Roman" w:hAnsi="Times New Roman" w:cs="Times New Roman"/>
                <w:sz w:val="20"/>
                <w:szCs w:val="20"/>
                <w:lang w:eastAsia="en-ZA"/>
              </w:rPr>
              <w:t xml:space="preserve"> </w:t>
            </w:r>
          </w:p>
          <w:p w14:paraId="18912C5C" w14:textId="66AE3F1F" w:rsidR="004F0741" w:rsidRDefault="002D7080" w:rsidP="002E2C37">
            <w:pPr>
              <w:ind w:left="720" w:hanging="720"/>
              <w:contextualSpacing/>
              <w:rPr>
                <w:rFonts w:ascii="Times New Roman" w:eastAsia="Times New Roman" w:hAnsi="Times New Roman" w:cs="Times New Roman"/>
                <w:sz w:val="20"/>
                <w:szCs w:val="20"/>
                <w:lang w:eastAsia="en-ZA"/>
              </w:rPr>
            </w:pPr>
            <w:r w:rsidRPr="008F52AE">
              <w:rPr>
                <w:rFonts w:ascii="Times New Roman" w:hAnsi="Times New Roman" w:cs="Times New Roman"/>
                <w:color w:val="222222"/>
                <w:sz w:val="20"/>
                <w:szCs w:val="20"/>
                <w:shd w:val="clear" w:color="auto" w:fill="FFFFFF"/>
              </w:rPr>
              <w:t xml:space="preserve">Lodge, D.M., Deines, A., Gherardi, F., Yeo, D.C., Arcella, T., Baldridge, A.K., et al., </w:t>
            </w:r>
            <w:r w:rsidRPr="008F52AE">
              <w:rPr>
                <w:rFonts w:ascii="Times New Roman" w:eastAsia="Times New Roman" w:hAnsi="Times New Roman" w:cs="Times New Roman"/>
                <w:sz w:val="20"/>
                <w:szCs w:val="20"/>
                <w:lang w:eastAsia="en-ZA"/>
              </w:rPr>
              <w:t xml:space="preserve">2012, ‘Global introductions of crayfishes: Evaluating the impact of species invasions on ecosystem services’, </w:t>
            </w:r>
            <w:r w:rsidRPr="008F52AE">
              <w:rPr>
                <w:rFonts w:ascii="Times New Roman" w:eastAsia="Times New Roman" w:hAnsi="Times New Roman" w:cs="Times New Roman"/>
                <w:i/>
                <w:sz w:val="20"/>
                <w:szCs w:val="20"/>
                <w:lang w:eastAsia="en-ZA"/>
              </w:rPr>
              <w:t>Annual Review of Ecology Evolution Systematics</w:t>
            </w:r>
            <w:r w:rsidRPr="008F52AE">
              <w:rPr>
                <w:rFonts w:ascii="Times New Roman" w:eastAsia="Times New Roman" w:hAnsi="Times New Roman" w:cs="Times New Roman"/>
                <w:sz w:val="20"/>
                <w:szCs w:val="20"/>
                <w:lang w:eastAsia="en-ZA"/>
              </w:rPr>
              <w:t xml:space="preserve"> 43, 449–472.</w:t>
            </w:r>
            <w:r w:rsidRPr="008F52AE">
              <w:rPr>
                <w:rFonts w:ascii="Times New Roman" w:hAnsi="Times New Roman" w:cs="Times New Roman"/>
                <w:sz w:val="20"/>
                <w:szCs w:val="20"/>
              </w:rPr>
              <w:t xml:space="preserve"> </w:t>
            </w:r>
            <w:r w:rsidR="004F0741" w:rsidRPr="00D66918">
              <w:rPr>
                <w:rFonts w:ascii="Times New Roman" w:hAnsi="Times New Roman" w:cs="Times New Roman"/>
                <w:sz w:val="20"/>
                <w:szCs w:val="20"/>
              </w:rPr>
              <w:t>https://doi.org/10.1146/annurev-ecolsys-111511-103919</w:t>
            </w:r>
          </w:p>
          <w:p w14:paraId="18FB9455" w14:textId="37A38E26" w:rsidR="002D7080" w:rsidRPr="008F52AE" w:rsidRDefault="002D7080" w:rsidP="002E2C37">
            <w:pPr>
              <w:ind w:left="720" w:hanging="720"/>
              <w:contextualSpacing/>
              <w:rPr>
                <w:rFonts w:ascii="Times New Roman" w:eastAsia="Times New Roman" w:hAnsi="Times New Roman" w:cs="Times New Roman"/>
                <w:bCs/>
                <w:sz w:val="20"/>
                <w:szCs w:val="20"/>
                <w:lang w:eastAsia="en-ZA"/>
              </w:rPr>
            </w:pPr>
            <w:r w:rsidRPr="008F52AE">
              <w:rPr>
                <w:rFonts w:ascii="Times New Roman" w:eastAsia="Times New Roman" w:hAnsi="Times New Roman" w:cs="Times New Roman"/>
                <w:sz w:val="20"/>
                <w:szCs w:val="20"/>
                <w:lang w:eastAsia="en-ZA"/>
              </w:rPr>
              <w:t xml:space="preserve">Longshaw, M., 2011, ‘Diseases of crayfish: A review’, </w:t>
            </w:r>
            <w:r w:rsidRPr="008F52AE">
              <w:rPr>
                <w:rFonts w:ascii="Times New Roman" w:eastAsia="Times New Roman" w:hAnsi="Times New Roman" w:cs="Times New Roman"/>
                <w:i/>
                <w:sz w:val="20"/>
                <w:szCs w:val="20"/>
                <w:lang w:eastAsia="en-ZA"/>
              </w:rPr>
              <w:t>Journal of Invertebrate Pathology</w:t>
            </w:r>
            <w:r w:rsidRPr="008F52AE">
              <w:rPr>
                <w:rFonts w:ascii="Times New Roman" w:eastAsia="Times New Roman" w:hAnsi="Times New Roman" w:cs="Times New Roman"/>
                <w:sz w:val="20"/>
                <w:szCs w:val="20"/>
                <w:lang w:eastAsia="en-ZA"/>
              </w:rPr>
              <w:t xml:space="preserve"> 106, 54–70. </w:t>
            </w:r>
            <w:hyperlink r:id="rId462" w:history="1">
              <w:r w:rsidR="004F0741" w:rsidRPr="00F215B9">
                <w:rPr>
                  <w:rStyle w:val="Hyperlink"/>
                  <w:rFonts w:ascii="Times New Roman" w:eastAsia="Times New Roman" w:hAnsi="Times New Roman" w:cs="Times New Roman"/>
                  <w:bCs/>
                  <w:sz w:val="20"/>
                  <w:szCs w:val="20"/>
                  <w:lang w:eastAsia="en-ZA"/>
                </w:rPr>
                <w:t>https://doi.org/10.1016/j.jip.2010.09.013</w:t>
              </w:r>
            </w:hyperlink>
            <w:r w:rsidRPr="008F52AE">
              <w:rPr>
                <w:rFonts w:ascii="Times New Roman" w:eastAsia="Times New Roman" w:hAnsi="Times New Roman" w:cs="Times New Roman"/>
                <w:bCs/>
                <w:sz w:val="20"/>
                <w:szCs w:val="20"/>
                <w:lang w:eastAsia="en-ZA"/>
              </w:rPr>
              <w:t>.</w:t>
            </w:r>
            <w:r w:rsidR="004F0741">
              <w:rPr>
                <w:rFonts w:ascii="Times New Roman" w:eastAsia="Times New Roman" w:hAnsi="Times New Roman" w:cs="Times New Roman"/>
                <w:bCs/>
                <w:sz w:val="20"/>
                <w:szCs w:val="20"/>
                <w:lang w:eastAsia="en-ZA"/>
              </w:rPr>
              <w:t xml:space="preserve"> </w:t>
            </w:r>
          </w:p>
          <w:p w14:paraId="06764DD6" w14:textId="17112E70" w:rsidR="002D7080" w:rsidRPr="008F52AE" w:rsidRDefault="002D7080" w:rsidP="002E2C37">
            <w:pPr>
              <w:ind w:left="720" w:hanging="720"/>
              <w:contextualSpacing/>
              <w:rPr>
                <w:rFonts w:ascii="Times New Roman" w:eastAsia="Times New Roman" w:hAnsi="Times New Roman" w:cs="Times New Roman"/>
                <w:bCs/>
                <w:sz w:val="20"/>
                <w:szCs w:val="20"/>
                <w:lang w:eastAsia="en-ZA"/>
              </w:rPr>
            </w:pPr>
            <w:r w:rsidRPr="008F52AE">
              <w:rPr>
                <w:rStyle w:val="author"/>
                <w:rFonts w:ascii="Times New Roman" w:hAnsi="Times New Roman" w:cs="Times New Roman"/>
                <w:color w:val="1C1D1E"/>
                <w:sz w:val="20"/>
                <w:szCs w:val="20"/>
                <w:shd w:val="clear" w:color="auto" w:fill="FFFFFF"/>
              </w:rPr>
              <w:t>Madzivanzira, T.C.</w:t>
            </w:r>
            <w:r w:rsidRPr="008F52AE">
              <w:rPr>
                <w:rFonts w:ascii="Times New Roman" w:hAnsi="Times New Roman" w:cs="Times New Roman"/>
                <w:color w:val="1C1D1E"/>
                <w:sz w:val="20"/>
                <w:szCs w:val="20"/>
                <w:shd w:val="clear" w:color="auto" w:fill="FFFFFF"/>
              </w:rPr>
              <w:t>, </w:t>
            </w:r>
            <w:r w:rsidRPr="008F52AE">
              <w:rPr>
                <w:rStyle w:val="author"/>
                <w:rFonts w:ascii="Times New Roman" w:hAnsi="Times New Roman" w:cs="Times New Roman"/>
                <w:color w:val="1C1D1E"/>
                <w:sz w:val="20"/>
                <w:szCs w:val="20"/>
                <w:shd w:val="clear" w:color="auto" w:fill="FFFFFF"/>
              </w:rPr>
              <w:t>South, J. &amp;</w:t>
            </w:r>
            <w:r w:rsidRPr="008F52AE">
              <w:rPr>
                <w:rFonts w:ascii="Times New Roman" w:hAnsi="Times New Roman" w:cs="Times New Roman"/>
                <w:color w:val="1C1D1E"/>
                <w:sz w:val="20"/>
                <w:szCs w:val="20"/>
                <w:shd w:val="clear" w:color="auto" w:fill="FFFFFF"/>
              </w:rPr>
              <w:t> </w:t>
            </w:r>
            <w:r w:rsidRPr="008F52AE">
              <w:rPr>
                <w:rStyle w:val="author"/>
                <w:rFonts w:ascii="Times New Roman" w:hAnsi="Times New Roman" w:cs="Times New Roman"/>
                <w:color w:val="1C1D1E"/>
                <w:sz w:val="20"/>
                <w:szCs w:val="20"/>
                <w:shd w:val="clear" w:color="auto" w:fill="FFFFFF"/>
              </w:rPr>
              <w:t>Weyl, O.L.F.,</w:t>
            </w:r>
            <w:r w:rsidRPr="008F52AE">
              <w:rPr>
                <w:rFonts w:ascii="Times New Roman" w:hAnsi="Times New Roman" w:cs="Times New Roman"/>
                <w:color w:val="1C1D1E"/>
                <w:sz w:val="20"/>
                <w:szCs w:val="20"/>
                <w:shd w:val="clear" w:color="auto" w:fill="FFFFFF"/>
              </w:rPr>
              <w:t xml:space="preserve"> 2021, ‘</w:t>
            </w:r>
            <w:r w:rsidRPr="008F52AE">
              <w:rPr>
                <w:rStyle w:val="articletitle"/>
                <w:rFonts w:ascii="Times New Roman" w:hAnsi="Times New Roman" w:cs="Times New Roman"/>
                <w:color w:val="1C1D1E"/>
                <w:sz w:val="20"/>
                <w:szCs w:val="20"/>
                <w:shd w:val="clear" w:color="auto" w:fill="FFFFFF"/>
              </w:rPr>
              <w:t>Invasive crayfish outperform Potamonautid crabs at higher temperatures’,</w:t>
            </w:r>
            <w:r w:rsidRPr="008F52AE">
              <w:rPr>
                <w:rFonts w:ascii="Times New Roman" w:hAnsi="Times New Roman" w:cs="Times New Roman"/>
                <w:color w:val="1C1D1E"/>
                <w:sz w:val="20"/>
                <w:szCs w:val="20"/>
                <w:shd w:val="clear" w:color="auto" w:fill="FFFFFF"/>
              </w:rPr>
              <w:t> </w:t>
            </w:r>
            <w:r w:rsidRPr="008F52AE">
              <w:rPr>
                <w:rFonts w:ascii="Times New Roman" w:hAnsi="Times New Roman" w:cs="Times New Roman"/>
                <w:i/>
                <w:iCs/>
                <w:color w:val="1C1D1E"/>
                <w:sz w:val="20"/>
                <w:szCs w:val="20"/>
                <w:shd w:val="clear" w:color="auto" w:fill="FFFFFF"/>
              </w:rPr>
              <w:t>Freshwater Biology</w:t>
            </w:r>
            <w:r w:rsidRPr="008F52AE">
              <w:rPr>
                <w:rFonts w:ascii="Times New Roman" w:hAnsi="Times New Roman" w:cs="Times New Roman"/>
                <w:color w:val="1C1D1E"/>
                <w:sz w:val="20"/>
                <w:szCs w:val="20"/>
                <w:shd w:val="clear" w:color="auto" w:fill="FFFFFF"/>
              </w:rPr>
              <w:t> </w:t>
            </w:r>
            <w:r w:rsidRPr="008F52AE">
              <w:rPr>
                <w:rStyle w:val="vol"/>
                <w:rFonts w:ascii="Times New Roman" w:hAnsi="Times New Roman" w:cs="Times New Roman"/>
                <w:color w:val="1C1D1E"/>
                <w:sz w:val="20"/>
                <w:szCs w:val="20"/>
                <w:shd w:val="clear" w:color="auto" w:fill="FFFFFF"/>
              </w:rPr>
              <w:t>66,</w:t>
            </w:r>
            <w:r w:rsidRPr="008F52AE">
              <w:rPr>
                <w:rFonts w:ascii="Times New Roman" w:hAnsi="Times New Roman" w:cs="Times New Roman"/>
                <w:color w:val="1C1D1E"/>
                <w:sz w:val="20"/>
                <w:szCs w:val="20"/>
                <w:shd w:val="clear" w:color="auto" w:fill="FFFFFF"/>
              </w:rPr>
              <w:t> </w:t>
            </w:r>
            <w:r w:rsidRPr="008F52AE">
              <w:rPr>
                <w:rStyle w:val="pagefirst"/>
                <w:rFonts w:ascii="Times New Roman" w:hAnsi="Times New Roman" w:cs="Times New Roman"/>
                <w:color w:val="1C1D1E"/>
                <w:sz w:val="20"/>
                <w:szCs w:val="20"/>
                <w:shd w:val="clear" w:color="auto" w:fill="FFFFFF"/>
              </w:rPr>
              <w:t>978</w:t>
            </w:r>
            <w:r w:rsidRPr="008F52AE">
              <w:rPr>
                <w:rFonts w:ascii="Times New Roman" w:hAnsi="Times New Roman" w:cs="Times New Roman"/>
                <w:color w:val="1C1D1E"/>
                <w:sz w:val="20"/>
                <w:szCs w:val="20"/>
                <w:shd w:val="clear" w:color="auto" w:fill="FFFFFF"/>
              </w:rPr>
              <w:t>–</w:t>
            </w:r>
            <w:r w:rsidRPr="008F52AE">
              <w:rPr>
                <w:rStyle w:val="pagelast"/>
                <w:rFonts w:ascii="Times New Roman" w:hAnsi="Times New Roman" w:cs="Times New Roman"/>
                <w:color w:val="1C1D1E"/>
                <w:sz w:val="20"/>
                <w:szCs w:val="20"/>
                <w:shd w:val="clear" w:color="auto" w:fill="FFFFFF"/>
              </w:rPr>
              <w:t>991</w:t>
            </w:r>
            <w:r w:rsidRPr="008F52AE">
              <w:rPr>
                <w:rFonts w:ascii="Times New Roman" w:hAnsi="Times New Roman" w:cs="Times New Roman"/>
                <w:color w:val="1C1D1E"/>
                <w:sz w:val="20"/>
                <w:szCs w:val="20"/>
                <w:shd w:val="clear" w:color="auto" w:fill="FFFFFF"/>
              </w:rPr>
              <w:t>. </w:t>
            </w:r>
            <w:hyperlink r:id="rId463" w:history="1">
              <w:r w:rsidR="004F0741" w:rsidRPr="00F215B9">
                <w:rPr>
                  <w:rStyle w:val="Hyperlink"/>
                  <w:rFonts w:ascii="Times New Roman" w:hAnsi="Times New Roman" w:cs="Times New Roman"/>
                  <w:sz w:val="20"/>
                  <w:szCs w:val="20"/>
                  <w:shd w:val="clear" w:color="auto" w:fill="FFFFFF"/>
                </w:rPr>
                <w:t>https://doi.org/10.1111/fwb.13691</w:t>
              </w:r>
            </w:hyperlink>
            <w:r w:rsidRPr="008F52AE">
              <w:rPr>
                <w:rFonts w:ascii="Times New Roman" w:hAnsi="Times New Roman" w:cs="Times New Roman"/>
                <w:sz w:val="20"/>
                <w:szCs w:val="20"/>
                <w:shd w:val="clear" w:color="auto" w:fill="FFFFFF"/>
              </w:rPr>
              <w:t>.</w:t>
            </w:r>
            <w:r w:rsidR="004F0741">
              <w:rPr>
                <w:rFonts w:ascii="Times New Roman" w:hAnsi="Times New Roman" w:cs="Times New Roman"/>
                <w:sz w:val="20"/>
                <w:szCs w:val="20"/>
                <w:shd w:val="clear" w:color="auto" w:fill="FFFFFF"/>
              </w:rPr>
              <w:t xml:space="preserve"> </w:t>
            </w:r>
          </w:p>
          <w:p w14:paraId="0394ACC3" w14:textId="4E840683" w:rsidR="002D7080" w:rsidRPr="000E6BA8" w:rsidRDefault="002D7080" w:rsidP="002E2C37">
            <w:pPr>
              <w:ind w:left="702" w:hanging="702"/>
              <w:contextualSpacing/>
              <w:rPr>
                <w:rFonts w:ascii="Times New Roman" w:eastAsia="Times New Roman" w:hAnsi="Times New Roman" w:cs="Times New Roman"/>
                <w:sz w:val="20"/>
                <w:szCs w:val="20"/>
                <w:lang w:val="fr-FR" w:eastAsia="en-ZA"/>
              </w:rPr>
            </w:pPr>
            <w:r w:rsidRPr="008F52AE">
              <w:rPr>
                <w:rFonts w:ascii="Times New Roman" w:eastAsia="Times New Roman" w:hAnsi="Times New Roman" w:cs="Times New Roman"/>
                <w:sz w:val="20"/>
                <w:szCs w:val="20"/>
                <w:lang w:eastAsia="en-ZA"/>
              </w:rPr>
              <w:t>Moorhouse, T.P., Poole, A.E., Evans, L.C., Bradley, D.C. &amp; Macdonald, D.W., 2014, ‘Intensive removal of signal crayfish (</w:t>
            </w:r>
            <w:r w:rsidRPr="008F52AE">
              <w:rPr>
                <w:rFonts w:ascii="Times New Roman" w:eastAsia="Times New Roman" w:hAnsi="Times New Roman" w:cs="Times New Roman"/>
                <w:i/>
                <w:sz w:val="20"/>
                <w:szCs w:val="20"/>
                <w:lang w:eastAsia="en-ZA"/>
              </w:rPr>
              <w:t>Pacifastacus leniusculus</w:t>
            </w:r>
            <w:r w:rsidRPr="008F52AE">
              <w:rPr>
                <w:rFonts w:ascii="Times New Roman" w:eastAsia="Times New Roman" w:hAnsi="Times New Roman" w:cs="Times New Roman"/>
                <w:sz w:val="20"/>
                <w:szCs w:val="20"/>
                <w:lang w:eastAsia="en-ZA"/>
              </w:rPr>
              <w:t xml:space="preserve">) from rivers increases numbers and taxon richness of macroinvertebrate species’, </w:t>
            </w:r>
            <w:r w:rsidRPr="008F52AE">
              <w:rPr>
                <w:rFonts w:ascii="Times New Roman" w:eastAsia="Times New Roman" w:hAnsi="Times New Roman" w:cs="Times New Roman"/>
                <w:i/>
                <w:iCs/>
                <w:sz w:val="20"/>
                <w:szCs w:val="20"/>
                <w:lang w:eastAsia="en-ZA"/>
              </w:rPr>
              <w:t>Ecology and Evolution</w:t>
            </w:r>
            <w:r w:rsidRPr="008F52AE">
              <w:rPr>
                <w:rFonts w:ascii="Times New Roman" w:eastAsia="Times New Roman" w:hAnsi="Times New Roman" w:cs="Times New Roman"/>
                <w:sz w:val="20"/>
                <w:szCs w:val="20"/>
                <w:lang w:eastAsia="en-ZA"/>
              </w:rPr>
              <w:t xml:space="preserve"> </w:t>
            </w:r>
            <w:r w:rsidRPr="008F52AE">
              <w:rPr>
                <w:rFonts w:ascii="Times New Roman" w:eastAsia="Times New Roman" w:hAnsi="Times New Roman" w:cs="Times New Roman"/>
                <w:iCs/>
                <w:sz w:val="20"/>
                <w:szCs w:val="20"/>
                <w:lang w:eastAsia="en-ZA"/>
              </w:rPr>
              <w:t>4</w:t>
            </w:r>
            <w:r w:rsidRPr="008F52AE">
              <w:rPr>
                <w:rFonts w:ascii="Times New Roman" w:eastAsia="Times New Roman" w:hAnsi="Times New Roman" w:cs="Times New Roman"/>
                <w:sz w:val="20"/>
                <w:szCs w:val="20"/>
                <w:lang w:eastAsia="en-ZA"/>
              </w:rPr>
              <w:t xml:space="preserve">, 494–504. </w:t>
            </w:r>
            <w:r w:rsidR="004F0741" w:rsidRPr="008A0BC6">
              <w:rPr>
                <w:rFonts w:ascii="Times New Roman" w:hAnsi="Times New Roman" w:cs="Times New Roman"/>
                <w:sz w:val="20"/>
                <w:szCs w:val="20"/>
              </w:rPr>
              <w:t>https://doi.org/10.1002/ece3.903</w:t>
            </w:r>
          </w:p>
          <w:p w14:paraId="458D53B0" w14:textId="7D2E6D55" w:rsidR="000E334A" w:rsidRPr="000E6BA8" w:rsidRDefault="002D7080" w:rsidP="000E334A">
            <w:pPr>
              <w:ind w:left="720" w:hanging="720"/>
              <w:contextualSpacing/>
              <w:rPr>
                <w:rFonts w:ascii="Times New Roman" w:eastAsia="Times New Roman" w:hAnsi="Times New Roman" w:cs="Times New Roman"/>
                <w:sz w:val="20"/>
                <w:szCs w:val="20"/>
                <w:lang w:val="fr-FR" w:eastAsia="en-ZA"/>
              </w:rPr>
            </w:pPr>
            <w:r w:rsidRPr="000E6BA8">
              <w:rPr>
                <w:rFonts w:ascii="Times New Roman" w:eastAsia="Times New Roman" w:hAnsi="Times New Roman" w:cs="Times New Roman"/>
                <w:sz w:val="20"/>
                <w:szCs w:val="20"/>
                <w:lang w:val="fr-FR" w:eastAsia="en-ZA"/>
              </w:rPr>
              <w:t>Pöckl, M. &amp; Pekny, R., 2002. ‘Interaction between native and alien species of crayfish in Austria: case studies’, </w:t>
            </w:r>
            <w:r w:rsidRPr="000E6BA8">
              <w:rPr>
                <w:rFonts w:ascii="Times New Roman" w:eastAsia="Times New Roman" w:hAnsi="Times New Roman" w:cs="Times New Roman"/>
                <w:i/>
                <w:iCs/>
                <w:sz w:val="20"/>
                <w:szCs w:val="20"/>
                <w:lang w:val="fr-FR" w:eastAsia="en-ZA"/>
              </w:rPr>
              <w:t>Bulletin Français de la Pêche et de la Pisciculture</w:t>
            </w:r>
            <w:r w:rsidRPr="000E6BA8">
              <w:rPr>
                <w:rFonts w:ascii="Times New Roman" w:eastAsia="Times New Roman" w:hAnsi="Times New Roman" w:cs="Times New Roman"/>
                <w:sz w:val="20"/>
                <w:szCs w:val="20"/>
                <w:lang w:val="fr-FR" w:eastAsia="en-ZA"/>
              </w:rPr>
              <w:t xml:space="preserve"> 367, 763–776. </w:t>
            </w:r>
            <w:hyperlink r:id="rId464" w:history="1">
              <w:r w:rsidR="000E334A" w:rsidRPr="00F215B9">
                <w:rPr>
                  <w:rStyle w:val="Hyperlink"/>
                  <w:rFonts w:ascii="Times New Roman" w:eastAsia="Times New Roman" w:hAnsi="Times New Roman" w:cs="Times New Roman"/>
                  <w:sz w:val="20"/>
                  <w:szCs w:val="20"/>
                  <w:lang w:val="fr-FR" w:eastAsia="en-ZA"/>
                </w:rPr>
                <w:t>https://doi.org/10.1051/kmae:2002064</w:t>
              </w:r>
            </w:hyperlink>
            <w:r w:rsidRPr="000E6BA8">
              <w:rPr>
                <w:rFonts w:ascii="Times New Roman" w:eastAsia="Times New Roman" w:hAnsi="Times New Roman" w:cs="Times New Roman"/>
                <w:sz w:val="20"/>
                <w:szCs w:val="20"/>
                <w:lang w:val="fr-FR" w:eastAsia="en-ZA"/>
              </w:rPr>
              <w:t>.</w:t>
            </w:r>
          </w:p>
          <w:p w14:paraId="7179305D" w14:textId="2923C7DF" w:rsidR="000E334A" w:rsidRPr="008A0BC6" w:rsidRDefault="002D7080" w:rsidP="000E334A">
            <w:pPr>
              <w:ind w:left="702" w:hanging="702"/>
              <w:contextualSpacing/>
              <w:rPr>
                <w:rFonts w:ascii="Times New Roman" w:hAnsi="Times New Roman" w:cs="Times New Roman"/>
                <w:sz w:val="20"/>
                <w:szCs w:val="20"/>
                <w:shd w:val="clear" w:color="auto" w:fill="FFFFFF"/>
              </w:rPr>
            </w:pPr>
            <w:r w:rsidRPr="008F52AE">
              <w:rPr>
                <w:rFonts w:ascii="Times New Roman" w:hAnsi="Times New Roman" w:cs="Times New Roman"/>
                <w:color w:val="1C1D1E"/>
                <w:sz w:val="20"/>
                <w:szCs w:val="20"/>
                <w:shd w:val="clear" w:color="auto" w:fill="FFFFFF"/>
              </w:rPr>
              <w:t xml:space="preserve">Svoboda, J., Strand, D.A., Vrålstad, T., Grandjean, F., Edsman, L., Kozák, P., et al., 2014, ‘The crayfish plague pathogen can infect freshwater–inhabiting crabs’, </w:t>
            </w:r>
            <w:r w:rsidRPr="008F52AE">
              <w:rPr>
                <w:rFonts w:ascii="Times New Roman" w:hAnsi="Times New Roman" w:cs="Times New Roman"/>
                <w:i/>
                <w:iCs/>
                <w:color w:val="1C1D1E"/>
                <w:sz w:val="20"/>
                <w:szCs w:val="20"/>
                <w:shd w:val="clear" w:color="auto" w:fill="FFFFFF"/>
              </w:rPr>
              <w:t>Freshwater Biology</w:t>
            </w:r>
            <w:r w:rsidRPr="008F52AE">
              <w:rPr>
                <w:rFonts w:ascii="Times New Roman" w:hAnsi="Times New Roman" w:cs="Times New Roman"/>
                <w:color w:val="1C1D1E"/>
                <w:sz w:val="20"/>
                <w:szCs w:val="20"/>
                <w:shd w:val="clear" w:color="auto" w:fill="FFFFFF"/>
              </w:rPr>
              <w:t xml:space="preserve"> 59, 918–929. </w:t>
            </w:r>
            <w:hyperlink r:id="rId465" w:history="1">
              <w:r w:rsidR="000E334A" w:rsidRPr="00F215B9">
                <w:rPr>
                  <w:rStyle w:val="Hyperlink"/>
                  <w:rFonts w:ascii="Times New Roman" w:hAnsi="Times New Roman" w:cs="Times New Roman"/>
                  <w:sz w:val="20"/>
                  <w:szCs w:val="20"/>
                  <w:shd w:val="clear" w:color="auto" w:fill="FFFFFF"/>
                </w:rPr>
                <w:t>https://doi–org.uplib.idm.oclc.org/10.1111/fwb.12315</w:t>
              </w:r>
            </w:hyperlink>
            <w:r w:rsidRPr="008F52AE">
              <w:rPr>
                <w:rFonts w:ascii="Times New Roman" w:hAnsi="Times New Roman" w:cs="Times New Roman"/>
                <w:sz w:val="20"/>
                <w:szCs w:val="20"/>
                <w:shd w:val="clear" w:color="auto" w:fill="FFFFFF"/>
              </w:rPr>
              <w:t>.</w:t>
            </w:r>
            <w:r w:rsidR="000E334A">
              <w:rPr>
                <w:rFonts w:ascii="Times New Roman" w:hAnsi="Times New Roman" w:cs="Times New Roman"/>
                <w:sz w:val="20"/>
                <w:szCs w:val="20"/>
                <w:shd w:val="clear" w:color="auto" w:fill="FFFFFF"/>
              </w:rPr>
              <w:t xml:space="preserve"> </w:t>
            </w:r>
          </w:p>
          <w:p w14:paraId="43C9D690" w14:textId="222B90C2" w:rsidR="000E334A" w:rsidRPr="008F52AE" w:rsidRDefault="002D7080" w:rsidP="000E334A">
            <w:pPr>
              <w:ind w:left="720" w:hanging="720"/>
              <w:contextualSpacing/>
              <w:rPr>
                <w:rFonts w:ascii="Times New Roman" w:eastAsia="Times New Roman" w:hAnsi="Times New Roman" w:cs="Times New Roman"/>
                <w:sz w:val="20"/>
                <w:szCs w:val="20"/>
                <w:lang w:eastAsia="en-ZA"/>
              </w:rPr>
            </w:pPr>
            <w:r w:rsidRPr="008F52AE">
              <w:rPr>
                <w:rFonts w:ascii="Times New Roman" w:eastAsia="Times New Roman" w:hAnsi="Times New Roman" w:cs="Times New Roman"/>
                <w:sz w:val="20"/>
                <w:szCs w:val="20"/>
                <w:lang w:eastAsia="en-ZA"/>
              </w:rPr>
              <w:t xml:space="preserve">Weinländer, M. &amp; Füreder, L., 2009, ‘The continuing spread of </w:t>
            </w:r>
            <w:r w:rsidRPr="008F52AE">
              <w:rPr>
                <w:rFonts w:ascii="Times New Roman" w:eastAsia="Times New Roman" w:hAnsi="Times New Roman" w:cs="Times New Roman"/>
                <w:i/>
                <w:sz w:val="20"/>
                <w:szCs w:val="20"/>
                <w:lang w:eastAsia="en-ZA"/>
              </w:rPr>
              <w:t>Pacifastacus leniusculus</w:t>
            </w:r>
            <w:r w:rsidRPr="008F52AE">
              <w:rPr>
                <w:rFonts w:ascii="Times New Roman" w:eastAsia="Times New Roman" w:hAnsi="Times New Roman" w:cs="Times New Roman"/>
                <w:sz w:val="20"/>
                <w:szCs w:val="20"/>
                <w:lang w:eastAsia="en-ZA"/>
              </w:rPr>
              <w:t xml:space="preserve"> in Carinthia (Austria)’, </w:t>
            </w:r>
            <w:r w:rsidRPr="008F52AE">
              <w:rPr>
                <w:rFonts w:ascii="Times New Roman" w:eastAsia="Times New Roman" w:hAnsi="Times New Roman" w:cs="Times New Roman"/>
                <w:i/>
                <w:iCs/>
                <w:sz w:val="20"/>
                <w:szCs w:val="20"/>
                <w:lang w:eastAsia="en-ZA"/>
              </w:rPr>
              <w:t>Knowledge and Management of Aquatic Ecosystems</w:t>
            </w:r>
            <w:r w:rsidRPr="008F52AE">
              <w:rPr>
                <w:rFonts w:ascii="Times New Roman" w:eastAsia="Times New Roman" w:hAnsi="Times New Roman" w:cs="Times New Roman"/>
                <w:sz w:val="20"/>
                <w:szCs w:val="20"/>
                <w:lang w:eastAsia="en-ZA"/>
              </w:rPr>
              <w:t xml:space="preserve"> 17, 394–395. </w:t>
            </w:r>
            <w:hyperlink r:id="rId466" w:history="1">
              <w:r w:rsidR="000E334A" w:rsidRPr="00F215B9">
                <w:rPr>
                  <w:rStyle w:val="Hyperlink"/>
                  <w:rFonts w:ascii="Times New Roman" w:eastAsia="Times New Roman" w:hAnsi="Times New Roman" w:cs="Times New Roman"/>
                  <w:sz w:val="20"/>
                  <w:szCs w:val="20"/>
                  <w:lang w:eastAsia="en-ZA"/>
                </w:rPr>
                <w:t>https://doi.org/10.1051/kmae/20010011</w:t>
              </w:r>
            </w:hyperlink>
            <w:r w:rsidRPr="008F52AE">
              <w:rPr>
                <w:rFonts w:ascii="Times New Roman" w:eastAsia="Times New Roman" w:hAnsi="Times New Roman" w:cs="Times New Roman"/>
                <w:sz w:val="20"/>
                <w:szCs w:val="20"/>
                <w:lang w:eastAsia="en-ZA"/>
              </w:rPr>
              <w:t>.</w:t>
            </w:r>
          </w:p>
          <w:p w14:paraId="7FE81D70" w14:textId="39FAB053" w:rsidR="002D7080" w:rsidRPr="002E24BC" w:rsidRDefault="002D7080" w:rsidP="002E2C37">
            <w:pPr>
              <w:ind w:left="702" w:hanging="702"/>
              <w:contextualSpacing/>
              <w:rPr>
                <w:rFonts w:ascii="Times New Roman" w:hAnsi="Times New Roman" w:cs="Times New Roman"/>
                <w:color w:val="000000"/>
                <w:sz w:val="20"/>
                <w:szCs w:val="20"/>
              </w:rPr>
            </w:pPr>
            <w:r w:rsidRPr="008F52AE">
              <w:rPr>
                <w:rFonts w:ascii="Times New Roman" w:eastAsia="Times New Roman" w:hAnsi="Times New Roman" w:cs="Times New Roman"/>
                <w:sz w:val="20"/>
                <w:szCs w:val="20"/>
                <w:lang w:eastAsia="en-ZA"/>
              </w:rPr>
              <w:t xml:space="preserve">Westman, K., Savolainen, R. &amp; Julkunen, M., 2002, ‘Replacement of the native crayfish </w:t>
            </w:r>
            <w:r w:rsidRPr="008F52AE">
              <w:rPr>
                <w:rFonts w:ascii="Times New Roman" w:eastAsia="Times New Roman" w:hAnsi="Times New Roman" w:cs="Times New Roman"/>
                <w:i/>
                <w:sz w:val="20"/>
                <w:szCs w:val="20"/>
                <w:lang w:eastAsia="en-ZA"/>
              </w:rPr>
              <w:t>Astacus astacus</w:t>
            </w:r>
            <w:r w:rsidRPr="008F52AE">
              <w:rPr>
                <w:rFonts w:ascii="Times New Roman" w:eastAsia="Times New Roman" w:hAnsi="Times New Roman" w:cs="Times New Roman"/>
                <w:sz w:val="20"/>
                <w:szCs w:val="20"/>
                <w:lang w:eastAsia="en-ZA"/>
              </w:rPr>
              <w:t xml:space="preserve"> by the introduced species </w:t>
            </w:r>
            <w:r w:rsidRPr="008F52AE">
              <w:rPr>
                <w:rFonts w:ascii="Times New Roman" w:eastAsia="Times New Roman" w:hAnsi="Times New Roman" w:cs="Times New Roman"/>
                <w:i/>
                <w:sz w:val="20"/>
                <w:szCs w:val="20"/>
                <w:lang w:eastAsia="en-ZA"/>
              </w:rPr>
              <w:t>Pacifastacus leniusculus</w:t>
            </w:r>
            <w:r w:rsidRPr="008F52AE">
              <w:rPr>
                <w:rFonts w:ascii="Times New Roman" w:eastAsia="Times New Roman" w:hAnsi="Times New Roman" w:cs="Times New Roman"/>
                <w:sz w:val="20"/>
                <w:szCs w:val="20"/>
                <w:lang w:eastAsia="en-ZA"/>
              </w:rPr>
              <w:t xml:space="preserve"> in a small, enclosed Finnish lake: A 30–year study’, </w:t>
            </w:r>
            <w:r w:rsidRPr="008F52AE">
              <w:rPr>
                <w:rFonts w:ascii="Times New Roman" w:eastAsia="Times New Roman" w:hAnsi="Times New Roman" w:cs="Times New Roman"/>
                <w:i/>
                <w:sz w:val="20"/>
                <w:szCs w:val="20"/>
                <w:lang w:eastAsia="en-ZA"/>
              </w:rPr>
              <w:t>Ecography</w:t>
            </w:r>
            <w:r w:rsidRPr="008F52AE">
              <w:rPr>
                <w:rFonts w:ascii="Times New Roman" w:eastAsia="Times New Roman" w:hAnsi="Times New Roman" w:cs="Times New Roman"/>
                <w:sz w:val="20"/>
                <w:szCs w:val="20"/>
                <w:lang w:eastAsia="en-ZA"/>
              </w:rPr>
              <w:t xml:space="preserve"> 25, 53–73.</w:t>
            </w:r>
            <w:r w:rsidRPr="008F52AE">
              <w:rPr>
                <w:rFonts w:ascii="Times New Roman" w:hAnsi="Times New Roman" w:cs="Times New Roman"/>
                <w:color w:val="000000"/>
                <w:sz w:val="20"/>
                <w:szCs w:val="20"/>
              </w:rPr>
              <w:t xml:space="preserve"> </w:t>
            </w:r>
            <w:r w:rsidR="000E334A" w:rsidRPr="008A0BC6">
              <w:rPr>
                <w:rFonts w:ascii="Times New Roman" w:hAnsi="Times New Roman" w:cs="Times New Roman"/>
                <w:sz w:val="20"/>
                <w:szCs w:val="20"/>
              </w:rPr>
              <w:t>https://doi.org/10.1034/j.1600-0587.2002.250107.x</w:t>
            </w:r>
            <w:r w:rsidRPr="008F52AE">
              <w:rPr>
                <w:rFonts w:ascii="Times New Roman" w:hAnsi="Times New Roman" w:cs="Times New Roman"/>
                <w:color w:val="000000"/>
                <w:sz w:val="20"/>
                <w:szCs w:val="20"/>
              </w:rPr>
              <w:t>.</w:t>
            </w:r>
          </w:p>
        </w:tc>
      </w:tr>
    </w:tbl>
    <w:p w14:paraId="4D1C37CD" w14:textId="77777777" w:rsidR="002D7080" w:rsidRPr="004D1E6F" w:rsidRDefault="002D7080" w:rsidP="002D7080">
      <w:pPr>
        <w:spacing w:after="0" w:line="240" w:lineRule="auto"/>
        <w:rPr>
          <w:rFonts w:ascii="Times New Roman" w:eastAsia="Calibri" w:hAnsi="Times New Roman" w:cs="Times New Roman"/>
          <w:b/>
          <w:sz w:val="20"/>
          <w:szCs w:val="20"/>
        </w:rPr>
      </w:pPr>
    </w:p>
    <w:tbl>
      <w:tblPr>
        <w:tblStyle w:val="TableGrid"/>
        <w:tblW w:w="0" w:type="auto"/>
        <w:tblLook w:val="04A0" w:firstRow="1" w:lastRow="0" w:firstColumn="1" w:lastColumn="0" w:noHBand="0" w:noVBand="1"/>
      </w:tblPr>
      <w:tblGrid>
        <w:gridCol w:w="5949"/>
        <w:gridCol w:w="3067"/>
      </w:tblGrid>
      <w:tr w:rsidR="002D7080" w:rsidRPr="004D1E6F" w14:paraId="5A46E8A3" w14:textId="77777777" w:rsidTr="002E2C37">
        <w:trPr>
          <w:trHeight w:val="343"/>
        </w:trPr>
        <w:tc>
          <w:tcPr>
            <w:tcW w:w="9016" w:type="dxa"/>
            <w:gridSpan w:val="2"/>
            <w:shd w:val="clear" w:color="auto" w:fill="F2F2F2" w:themeFill="background1" w:themeFillShade="F2"/>
          </w:tcPr>
          <w:p w14:paraId="4E958CC9"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lastRenderedPageBreak/>
              <w:t>CON4 Closely related species’ socio-economic impact</w:t>
            </w:r>
          </w:p>
        </w:tc>
      </w:tr>
      <w:tr w:rsidR="002D7080" w:rsidRPr="004D1E6F" w14:paraId="17E1F981" w14:textId="77777777" w:rsidTr="002E2C37">
        <w:trPr>
          <w:trHeight w:val="172"/>
        </w:trPr>
        <w:tc>
          <w:tcPr>
            <w:tcW w:w="5949" w:type="dxa"/>
          </w:tcPr>
          <w:p w14:paraId="6D57AB7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w:t>
            </w:r>
            <w:r>
              <w:rPr>
                <w:rFonts w:ascii="Times New Roman" w:eastAsia="Times New Roman" w:hAnsi="Times New Roman" w:cs="Times New Roman"/>
                <w:sz w:val="20"/>
                <w:szCs w:val="20"/>
                <w:lang w:eastAsia="en-ZA"/>
              </w:rPr>
              <w:t xml:space="preserve">inor </w:t>
            </w:r>
            <w:r w:rsidRPr="004D1E6F">
              <w:rPr>
                <w:rFonts w:ascii="Times New Roman" w:eastAsia="Times New Roman" w:hAnsi="Times New Roman" w:cs="Times New Roman"/>
                <w:sz w:val="20"/>
                <w:szCs w:val="20"/>
                <w:lang w:eastAsia="en-ZA"/>
              </w:rPr>
              <w:t>(M</w:t>
            </w:r>
            <w:r>
              <w:rPr>
                <w:rFonts w:ascii="Times New Roman" w:eastAsia="Times New Roman" w:hAnsi="Times New Roman" w:cs="Times New Roman"/>
                <w:sz w:val="20"/>
                <w:szCs w:val="20"/>
                <w:lang w:eastAsia="en-ZA"/>
              </w:rPr>
              <w:t>N</w:t>
            </w:r>
            <w:r w:rsidRPr="004D1E6F">
              <w:rPr>
                <w:rFonts w:ascii="Times New Roman" w:eastAsia="Times New Roman" w:hAnsi="Times New Roman" w:cs="Times New Roman"/>
                <w:sz w:val="20"/>
                <w:szCs w:val="20"/>
                <w:lang w:eastAsia="en-ZA"/>
              </w:rPr>
              <w:t>)</w:t>
            </w:r>
          </w:p>
        </w:tc>
        <w:tc>
          <w:tcPr>
            <w:tcW w:w="3067" w:type="dxa"/>
          </w:tcPr>
          <w:p w14:paraId="57594CB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Confidence: </w:t>
            </w:r>
            <w:r>
              <w:rPr>
                <w:rFonts w:ascii="Times New Roman" w:eastAsia="Times New Roman" w:hAnsi="Times New Roman" w:cs="Times New Roman"/>
                <w:sz w:val="20"/>
                <w:szCs w:val="20"/>
                <w:lang w:eastAsia="en-ZA"/>
              </w:rPr>
              <w:t>Low</w:t>
            </w:r>
          </w:p>
        </w:tc>
      </w:tr>
      <w:tr w:rsidR="002D7080" w:rsidRPr="004D1E6F" w14:paraId="0D4A81C4" w14:textId="77777777" w:rsidTr="002E2C37">
        <w:trPr>
          <w:trHeight w:val="70"/>
        </w:trPr>
        <w:tc>
          <w:tcPr>
            <w:tcW w:w="9016" w:type="dxa"/>
            <w:gridSpan w:val="2"/>
          </w:tcPr>
          <w:p w14:paraId="532D939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There are no recorded socio-economic impacts for </w:t>
            </w:r>
            <w:r w:rsidRPr="004D1E6F">
              <w:rPr>
                <w:rFonts w:ascii="Times New Roman" w:eastAsia="Times New Roman" w:hAnsi="Times New Roman" w:cs="Times New Roman"/>
                <w:i/>
                <w:iCs/>
                <w:sz w:val="20"/>
                <w:szCs w:val="20"/>
                <w:lang w:eastAsia="en-ZA"/>
              </w:rPr>
              <w:t>P. leptodactylus</w:t>
            </w:r>
            <w:r w:rsidRPr="004D1E6F">
              <w:rPr>
                <w:rFonts w:ascii="Times New Roman" w:eastAsia="Times New Roman" w:hAnsi="Times New Roman" w:cs="Times New Roman"/>
                <w:sz w:val="20"/>
                <w:szCs w:val="20"/>
                <w:lang w:eastAsia="en-ZA"/>
              </w:rPr>
              <w:t xml:space="preserve">, therefore </w:t>
            </w:r>
            <w:r w:rsidRPr="004D1E6F">
              <w:rPr>
                <w:rFonts w:ascii="Times New Roman" w:eastAsia="Times New Roman" w:hAnsi="Times New Roman" w:cs="Times New Roman"/>
                <w:i/>
                <w:iCs/>
                <w:sz w:val="20"/>
                <w:szCs w:val="20"/>
                <w:lang w:eastAsia="en-ZA"/>
              </w:rPr>
              <w:t xml:space="preserve">Pacifastacus leniusculus </w:t>
            </w:r>
            <w:r w:rsidRPr="004D1E6F">
              <w:rPr>
                <w:rFonts w:ascii="Times New Roman" w:eastAsia="Times New Roman" w:hAnsi="Times New Roman" w:cs="Times New Roman"/>
                <w:sz w:val="20"/>
                <w:szCs w:val="20"/>
                <w:lang w:eastAsia="en-ZA"/>
              </w:rPr>
              <w:t xml:space="preserve">was selected as a closely related taxon to estimate the </w:t>
            </w:r>
            <w:r>
              <w:rPr>
                <w:rFonts w:ascii="Times New Roman" w:eastAsia="Times New Roman" w:hAnsi="Times New Roman" w:cs="Times New Roman"/>
                <w:sz w:val="20"/>
                <w:szCs w:val="20"/>
                <w:lang w:eastAsia="en-ZA"/>
              </w:rPr>
              <w:t xml:space="preserve">socio-economic </w:t>
            </w:r>
            <w:r w:rsidRPr="004D1E6F">
              <w:rPr>
                <w:rFonts w:ascii="Times New Roman" w:eastAsia="Times New Roman" w:hAnsi="Times New Roman" w:cs="Times New Roman"/>
                <w:sz w:val="20"/>
                <w:szCs w:val="20"/>
                <w:lang w:eastAsia="en-ZA"/>
              </w:rPr>
              <w:t xml:space="preserve">impacts that may arise from introductions of </w:t>
            </w:r>
            <w:r w:rsidRPr="004D1E6F">
              <w:rPr>
                <w:rFonts w:ascii="Times New Roman" w:eastAsia="Times New Roman" w:hAnsi="Times New Roman" w:cs="Times New Roman"/>
                <w:i/>
                <w:iCs/>
                <w:sz w:val="20"/>
                <w:szCs w:val="20"/>
                <w:lang w:eastAsia="en-ZA"/>
              </w:rPr>
              <w:t>P. leptodactylus</w:t>
            </w:r>
            <w:r w:rsidRPr="004D1E6F">
              <w:rPr>
                <w:rFonts w:ascii="Times New Roman" w:eastAsia="Times New Roman" w:hAnsi="Times New Roman" w:cs="Times New Roman"/>
                <w:sz w:val="20"/>
                <w:szCs w:val="20"/>
                <w:lang w:eastAsia="en-ZA"/>
              </w:rPr>
              <w:t xml:space="preserve">. </w:t>
            </w:r>
          </w:p>
          <w:p w14:paraId="1683FDDF" w14:textId="77777777" w:rsidR="002D7080" w:rsidRPr="00435594" w:rsidRDefault="002D7080" w:rsidP="002E2C37">
            <w:pPr>
              <w:jc w:val="both"/>
              <w:rPr>
                <w:rFonts w:ascii="Times New Roman" w:eastAsia="Times New Roman" w:hAnsi="Times New Roman" w:cs="Times New Roman"/>
                <w:i/>
                <w:iCs/>
                <w:sz w:val="20"/>
                <w:szCs w:val="20"/>
                <w:lang w:eastAsia="en-ZA"/>
              </w:rPr>
            </w:pPr>
            <w:r w:rsidRPr="00435594">
              <w:rPr>
                <w:rFonts w:ascii="Times New Roman" w:eastAsia="Times New Roman" w:hAnsi="Times New Roman" w:cs="Times New Roman"/>
                <w:b/>
                <w:sz w:val="20"/>
                <w:szCs w:val="20"/>
                <w:lang w:eastAsia="en-ZA"/>
              </w:rPr>
              <w:t>Material and immaterial assets</w:t>
            </w:r>
            <w:r w:rsidRPr="00435594">
              <w:rPr>
                <w:rFonts w:ascii="Times New Roman" w:eastAsia="Times New Roman" w:hAnsi="Times New Roman" w:cs="Times New Roman"/>
                <w:i/>
                <w:iCs/>
                <w:sz w:val="20"/>
                <w:szCs w:val="20"/>
                <w:lang w:eastAsia="en-ZA"/>
              </w:rPr>
              <w:t xml:space="preserve"> </w:t>
            </w:r>
          </w:p>
          <w:p w14:paraId="60AF0AB5" w14:textId="77777777" w:rsidR="002D7080" w:rsidRPr="00435594" w:rsidRDefault="002D7080" w:rsidP="002E2C37">
            <w:pPr>
              <w:jc w:val="both"/>
              <w:rPr>
                <w:rFonts w:ascii="Times New Roman" w:eastAsia="Times New Roman" w:hAnsi="Times New Roman" w:cs="Times New Roman"/>
                <w:sz w:val="20"/>
                <w:szCs w:val="20"/>
                <w:lang w:eastAsia="en-ZA"/>
              </w:rPr>
            </w:pPr>
            <w:r w:rsidRPr="00435594">
              <w:rPr>
                <w:rFonts w:ascii="Times New Roman" w:eastAsia="Times New Roman" w:hAnsi="Times New Roman" w:cs="Times New Roman"/>
                <w:i/>
                <w:iCs/>
                <w:sz w:val="20"/>
                <w:szCs w:val="20"/>
                <w:lang w:eastAsia="en-ZA"/>
              </w:rPr>
              <w:t>Pacifastacus leniusculus</w:t>
            </w:r>
            <w:r w:rsidRPr="00435594">
              <w:rPr>
                <w:rFonts w:ascii="Times New Roman" w:eastAsia="Times New Roman" w:hAnsi="Times New Roman" w:cs="Times New Roman"/>
                <w:sz w:val="20"/>
                <w:szCs w:val="20"/>
                <w:lang w:eastAsia="en-ZA"/>
              </w:rPr>
              <w:t xml:space="preserve"> was introduced to Europe to alleviate the pressure on native crayfish such as </w:t>
            </w:r>
            <w:r w:rsidRPr="00435594">
              <w:rPr>
                <w:rFonts w:ascii="Times New Roman" w:eastAsia="Times New Roman" w:hAnsi="Times New Roman" w:cs="Times New Roman"/>
                <w:i/>
                <w:iCs/>
                <w:sz w:val="20"/>
                <w:szCs w:val="20"/>
                <w:lang w:eastAsia="en-ZA"/>
              </w:rPr>
              <w:t>Astacus astacus</w:t>
            </w:r>
            <w:r w:rsidRPr="00435594">
              <w:rPr>
                <w:rFonts w:ascii="Times New Roman" w:eastAsia="Times New Roman" w:hAnsi="Times New Roman" w:cs="Times New Roman"/>
                <w:sz w:val="20"/>
                <w:szCs w:val="20"/>
                <w:lang w:eastAsia="en-ZA"/>
              </w:rPr>
              <w:t xml:space="preserve"> whose populations had declined due to crayfish plague </w:t>
            </w:r>
            <w:r w:rsidRPr="00435594">
              <w:rPr>
                <w:rFonts w:ascii="Times New Roman" w:eastAsia="Times New Roman" w:hAnsi="Times New Roman" w:cs="Times New Roman"/>
                <w:sz w:val="20"/>
                <w:szCs w:val="20"/>
                <w:lang w:eastAsia="en-ZA"/>
              </w:rPr>
              <w:fldChar w:fldCharType="begin" w:fldLock="1"/>
            </w:r>
            <w:r w:rsidRPr="00435594">
              <w:rPr>
                <w:rFonts w:ascii="Times New Roman" w:eastAsia="Times New Roman" w:hAnsi="Times New Roman" w:cs="Times New Roman"/>
                <w:sz w:val="20"/>
                <w:szCs w:val="20"/>
                <w:lang w:eastAsia="en-ZA"/>
              </w:rPr>
              <w:instrText>ADDIN CSL_CITATION { "citationItems" : [ { "id" : "ITEM-1", "itemData" : { "DOI" : "10.1051/alr:1993032", "ISBN" : "0990-7440", "ISSN" : "0990-7440", "abstract" : "The farming of freshwater crayfish (astaciculture) is mainly carried out in the southern states of the USA, and in Australia and Europe. Production levels Vary with climate but are in the region of 40000 to 60000 tonnes per annum. In addition, at least an equivalent amounts is harvested from the wild, particularly in North Amenca, China, Australia, Kenya, Turkey and Europe. Crayfish farming is usually cithcr of an extensive (ranching) or semi-intensive nature, intensive methods being infrequent, except for the rearing of juveniles for stocking (or restocking of natural waters depleted of crayfish). As crayfish do not have larvae and are polytrophic, they are relatively easy to rear, although fecundity is much lower when compared with other cultured crustaceans. At least 85% of world production is based on the red swamp crayfish, Procamharus clarkii, mainly from Louisiana and other southern USA states, but also from China, Kenya and Spain, where it has been introduced. In Australia, three species are of aquacultural importance, the yabbie, Cherax destructor; the marron, C. tenuimanus; and the red claw, C. quadricarinatus. Some very large production units have been built but none have lived up to their promise. The red claw is thought to have considerable aquacultural potential, but, being a tropical species, needs warm water for good growth. In Europe, the only endemic species cultured to any extent is the noble crayfish, Astacus astacus, mainly as juveniles for restocking. It fetches a higher pnce than other crayfish. The North American signal crayfish, Pacifastacus leniusculus, has been introduced to most European countries, but farmed production is relatively low. About 98% of crayfish consumed in Europe come from extensive systems or the wild harvest. European crayfish markets were upset by the collapse of the Turkish crayfishery (based on Astacus leptoductylus) due to overfishing and disease in the mid-1980s. The environmental impact of crayfish farrning is most noticeable in Europe. Crayfish plague, introduced from North America last century, ha\u00ee devastated populations of the native species in many countries. 1ts spread has been exasperated by the translocation of foreign crayfish (and probably by fish) for aquacultural purposes. In addition, introduced crayfish frequently escape into the wild and form large populations, often in direct competition with native species. Burrowing and prolific species, such as P. clarkii, can also do considerable env\u2026", "author" : [ { "dropping-particle" : "", "family" : "Holdich", "given" : "David M.", "non-dropping-particle" : "", "parse-names" : false, "suffix" : "" } ], "container-title" : "Aquatic Living Resources", "id" : "ITEM-1", "issue" : "4", "issued" : { "date-parts" : [ [ "1993" ] ] }, "page" : "307-317", "title" : "A review of astaciculture: freshwater crayfish farming", "type" : "article-journal", "volume" : "6" }, "uris" : [ "http://www.mendeley.com/documents/?uuid=9c22145c-3212-4afe-9814-df511734f170" ] } ], "mendeley" : { "formattedCitation" : "(Holdich 1993)", "plainTextFormattedCitation" : "(Holdich 1993)", "previouslyFormattedCitation" : "(Holdich 1993)" }, "properties" : { "noteIndex" : 0 }, "schema" : "https://github.com/citation-style-language/schema/raw/master/csl-citation.json" }</w:instrText>
            </w:r>
            <w:r w:rsidRPr="00435594">
              <w:rPr>
                <w:rFonts w:ascii="Times New Roman" w:eastAsia="Times New Roman" w:hAnsi="Times New Roman" w:cs="Times New Roman"/>
                <w:sz w:val="20"/>
                <w:szCs w:val="20"/>
                <w:lang w:eastAsia="en-ZA"/>
              </w:rPr>
              <w:fldChar w:fldCharType="separate"/>
            </w:r>
            <w:r w:rsidRPr="00435594">
              <w:rPr>
                <w:rFonts w:ascii="Times New Roman" w:eastAsia="Times New Roman" w:hAnsi="Times New Roman" w:cs="Times New Roman"/>
                <w:sz w:val="20"/>
                <w:szCs w:val="20"/>
                <w:lang w:eastAsia="en-ZA"/>
              </w:rPr>
              <w:t>(Holdich et al. 2009)</w:t>
            </w:r>
            <w:r w:rsidRPr="00435594">
              <w:rPr>
                <w:rFonts w:ascii="Times New Roman" w:eastAsia="Times New Roman" w:hAnsi="Times New Roman" w:cs="Times New Roman"/>
                <w:sz w:val="20"/>
                <w:szCs w:val="20"/>
                <w:lang w:eastAsia="en-ZA"/>
              </w:rPr>
              <w:fldChar w:fldCharType="end"/>
            </w:r>
            <w:r w:rsidRPr="00435594">
              <w:rPr>
                <w:rFonts w:ascii="Times New Roman" w:eastAsia="Times New Roman" w:hAnsi="Times New Roman" w:cs="Times New Roman"/>
                <w:sz w:val="20"/>
                <w:szCs w:val="20"/>
                <w:lang w:eastAsia="en-ZA"/>
              </w:rPr>
              <w:t xml:space="preserve">. The introduction of </w:t>
            </w:r>
            <w:r w:rsidRPr="00435594">
              <w:rPr>
                <w:rFonts w:ascii="Times New Roman" w:eastAsia="Times New Roman" w:hAnsi="Times New Roman" w:cs="Times New Roman"/>
                <w:i/>
                <w:iCs/>
                <w:sz w:val="20"/>
                <w:szCs w:val="20"/>
                <w:lang w:eastAsia="en-ZA"/>
              </w:rPr>
              <w:t>P. leniusculus</w:t>
            </w:r>
            <w:r w:rsidRPr="00435594">
              <w:rPr>
                <w:rFonts w:ascii="Times New Roman" w:eastAsia="Times New Roman" w:hAnsi="Times New Roman" w:cs="Times New Roman"/>
                <w:sz w:val="20"/>
                <w:szCs w:val="20"/>
                <w:lang w:eastAsia="en-ZA"/>
              </w:rPr>
              <w:t xml:space="preserve"> has however contributed to further decline in populations of native crayfish because </w:t>
            </w:r>
            <w:r w:rsidRPr="00435594">
              <w:rPr>
                <w:rFonts w:ascii="Times New Roman" w:eastAsia="Times New Roman" w:hAnsi="Times New Roman" w:cs="Times New Roman"/>
                <w:i/>
                <w:iCs/>
                <w:sz w:val="20"/>
                <w:szCs w:val="20"/>
                <w:lang w:eastAsia="en-ZA"/>
              </w:rPr>
              <w:t>P. leniusculus</w:t>
            </w:r>
            <w:r w:rsidRPr="00435594">
              <w:rPr>
                <w:rFonts w:ascii="Times New Roman" w:eastAsia="Times New Roman" w:hAnsi="Times New Roman" w:cs="Times New Roman"/>
                <w:sz w:val="20"/>
                <w:szCs w:val="20"/>
                <w:lang w:eastAsia="en-ZA"/>
              </w:rPr>
              <w:t xml:space="preserve"> are carriers of the crayfish plague and have competitively displaced native crayfish in areas of introduction (</w:t>
            </w:r>
            <w:r w:rsidRPr="00435594">
              <w:rPr>
                <w:rFonts w:ascii="Times New Roman" w:eastAsia="Times New Roman" w:hAnsi="Times New Roman" w:cs="Times New Roman"/>
                <w:sz w:val="20"/>
                <w:szCs w:val="20"/>
                <w:lang w:eastAsia="en-ZA"/>
              </w:rPr>
              <w:fldChar w:fldCharType="begin" w:fldLock="1"/>
            </w:r>
            <w:r w:rsidRPr="00435594">
              <w:rPr>
                <w:rFonts w:ascii="Times New Roman" w:eastAsia="Times New Roman" w:hAnsi="Times New Roman" w:cs="Times New Roman"/>
                <w:sz w:val="20"/>
                <w:szCs w:val="20"/>
                <w:lang w:eastAsia="en-ZA"/>
              </w:rPr>
              <w:instrText>ADDIN CSL_CITATION { "citationItems" : [ { "id" : "ITEM-1", "itemData" : { "DOI" : "10.3391/ai.2010.5.3.10", "author" : [ { "dropping-particle" : "", "family" : "Dana", "given" : "El\u00edas D", "non-dropping-particle" : "", "parse-names" : false, "suffix" : "" }, { "dropping-particle" : "", "family" : "L\u00f3pez-santiago", "given" : "Javier", "non-dropping-particle" : "", "parse-names" : false, "suffix" : "" }, { "dropping-particle" : "", "family" : "Garc\u00eda-de-lomas", "given" : "Juan", "non-dropping-particle" : "", "parse-names" : false, "suffix" : "" }, { "dropping-particle" : "", "family" : "Garc\u00eda-oca\u00f1a", "given" : "David M", "non-dropping-particle" : "", "parse-names" : false, "suffix" : "" }, { "dropping-particle" : "", "family" : "Ortega", "given" : "Fernando", "non-dropping-particle" : "", "parse-names" : false, "suffix" : "" } ], "id" : "ITEM-1", "issue" : "3", "issued" : { "date-parts" : [ [ "2010" ] ] }, "page" : "317-322", "title" : "Long-term management of the invasive Pacifastacus leniusculus ( Dana , 1852 ) in a small mountain stream", "type" : "article-journal", "volume" : "5" }, "uris" : [ "http://www.mendeley.com/documents/?uuid=809984f6-033c-4580-93af-e25fa9c1001e" ] } ], "mendeley" : { "formattedCitation" : "(Dana et al. 2010)", "plainTextFormattedCitation" : "(Dana et al. 2010)", "previouslyFormattedCitation" : "(Dana et al. 2010)" }, "properties" : { "noteIndex" : 0 }, "schema" : "https://github.com/citation-style-language/schema/raw/master/csl-citation.json" }</w:instrText>
            </w:r>
            <w:r w:rsidRPr="00435594">
              <w:rPr>
                <w:rFonts w:ascii="Times New Roman" w:eastAsia="Times New Roman" w:hAnsi="Times New Roman" w:cs="Times New Roman"/>
                <w:sz w:val="20"/>
                <w:szCs w:val="20"/>
                <w:lang w:eastAsia="en-ZA"/>
              </w:rPr>
              <w:fldChar w:fldCharType="separate"/>
            </w:r>
            <w:r w:rsidRPr="00435594">
              <w:rPr>
                <w:rFonts w:ascii="Times New Roman" w:eastAsia="Times New Roman" w:hAnsi="Times New Roman" w:cs="Times New Roman"/>
                <w:sz w:val="20"/>
                <w:szCs w:val="20"/>
                <w:lang w:eastAsia="en-ZA"/>
              </w:rPr>
              <w:t>Dana et al. 2010)</w:t>
            </w:r>
            <w:r w:rsidRPr="00435594">
              <w:rPr>
                <w:rFonts w:ascii="Times New Roman" w:eastAsia="Times New Roman" w:hAnsi="Times New Roman" w:cs="Times New Roman"/>
                <w:sz w:val="20"/>
                <w:szCs w:val="20"/>
                <w:lang w:eastAsia="en-ZA"/>
              </w:rPr>
              <w:fldChar w:fldCharType="end"/>
            </w:r>
            <w:r w:rsidRPr="00435594">
              <w:rPr>
                <w:rFonts w:ascii="Times New Roman" w:eastAsia="Times New Roman" w:hAnsi="Times New Roman" w:cs="Times New Roman"/>
                <w:sz w:val="20"/>
                <w:szCs w:val="20"/>
                <w:lang w:eastAsia="en-ZA"/>
              </w:rPr>
              <w:t xml:space="preserve">. </w:t>
            </w:r>
            <w:r w:rsidRPr="00435594">
              <w:rPr>
                <w:rFonts w:ascii="Times New Roman" w:eastAsia="Times New Roman" w:hAnsi="Times New Roman" w:cs="Times New Roman"/>
                <w:i/>
                <w:iCs/>
                <w:sz w:val="20"/>
                <w:szCs w:val="20"/>
                <w:lang w:eastAsia="en-ZA"/>
              </w:rPr>
              <w:t>Astacus astacus</w:t>
            </w:r>
            <w:r w:rsidRPr="00435594">
              <w:rPr>
                <w:rFonts w:ascii="Times New Roman" w:eastAsia="Times New Roman" w:hAnsi="Times New Roman" w:cs="Times New Roman"/>
                <w:sz w:val="20"/>
                <w:szCs w:val="20"/>
                <w:lang w:eastAsia="en-ZA"/>
              </w:rPr>
              <w:t xml:space="preserve"> is considered to be a more valuable crayfish species than </w:t>
            </w:r>
            <w:r w:rsidRPr="00435594">
              <w:rPr>
                <w:rFonts w:ascii="Times New Roman" w:eastAsia="Times New Roman" w:hAnsi="Times New Roman" w:cs="Times New Roman"/>
                <w:i/>
                <w:sz w:val="20"/>
                <w:szCs w:val="20"/>
                <w:lang w:eastAsia="en-ZA"/>
              </w:rPr>
              <w:t>P. leniusculus,</w:t>
            </w:r>
            <w:r w:rsidRPr="00435594">
              <w:rPr>
                <w:rFonts w:ascii="Times New Roman" w:eastAsia="Times New Roman" w:hAnsi="Times New Roman" w:cs="Times New Roman"/>
                <w:sz w:val="20"/>
                <w:szCs w:val="20"/>
                <w:lang w:eastAsia="en-ZA"/>
              </w:rPr>
              <w:t xml:space="preserve"> although the economic losses as a result of the introduction of </w:t>
            </w:r>
            <w:r w:rsidRPr="00435594">
              <w:rPr>
                <w:rFonts w:ascii="Times New Roman" w:eastAsia="Times New Roman" w:hAnsi="Times New Roman" w:cs="Times New Roman"/>
                <w:i/>
                <w:iCs/>
                <w:sz w:val="20"/>
                <w:szCs w:val="20"/>
                <w:lang w:eastAsia="en-ZA"/>
              </w:rPr>
              <w:t xml:space="preserve">P. leniusculus </w:t>
            </w:r>
            <w:r w:rsidRPr="00435594">
              <w:rPr>
                <w:rFonts w:ascii="Times New Roman" w:eastAsia="Times New Roman" w:hAnsi="Times New Roman" w:cs="Times New Roman"/>
                <w:sz w:val="20"/>
                <w:szCs w:val="20"/>
                <w:lang w:eastAsia="en-ZA"/>
              </w:rPr>
              <w:t xml:space="preserve">is unknown (Johnsen &amp; Taugbøl 2010; Kouba et al. 2022). In addition, the burrowing activities of </w:t>
            </w:r>
            <w:r w:rsidRPr="00435594">
              <w:rPr>
                <w:rFonts w:ascii="Times New Roman" w:eastAsia="Times New Roman" w:hAnsi="Times New Roman" w:cs="Times New Roman"/>
                <w:i/>
                <w:sz w:val="20"/>
                <w:szCs w:val="20"/>
                <w:lang w:eastAsia="en-ZA"/>
              </w:rPr>
              <w:t>P. leniusculus</w:t>
            </w:r>
            <w:r w:rsidRPr="00435594">
              <w:rPr>
                <w:rFonts w:ascii="Times New Roman" w:eastAsia="Times New Roman" w:hAnsi="Times New Roman" w:cs="Times New Roman"/>
                <w:sz w:val="20"/>
                <w:szCs w:val="20"/>
                <w:lang w:eastAsia="en-ZA"/>
              </w:rPr>
              <w:t xml:space="preserve"> can cause structural damage to river banks and increase bank erosion </w:t>
            </w:r>
            <w:r w:rsidRPr="00435594">
              <w:rPr>
                <w:rFonts w:ascii="Times New Roman" w:eastAsia="Times New Roman" w:hAnsi="Times New Roman" w:cs="Times New Roman"/>
                <w:sz w:val="20"/>
                <w:szCs w:val="20"/>
                <w:lang w:eastAsia="en-ZA"/>
              </w:rPr>
              <w:fldChar w:fldCharType="begin" w:fldLock="1"/>
            </w:r>
            <w:r w:rsidRPr="00435594">
              <w:rPr>
                <w:rFonts w:ascii="Times New Roman" w:eastAsia="Times New Roman" w:hAnsi="Times New Roman" w:cs="Times New Roman"/>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et al. 2009)", "plainTextFormattedCitation" : "(Holdich et al. 2009)", "previouslyFormattedCitation" : "(Holdich et al. 2009)" }, "properties" : { "noteIndex" : 0 }, "schema" : "https://github.com/citation-style-language/schema/raw/master/csl-citation.json" }</w:instrText>
            </w:r>
            <w:r w:rsidRPr="00435594">
              <w:rPr>
                <w:rFonts w:ascii="Times New Roman" w:eastAsia="Times New Roman" w:hAnsi="Times New Roman" w:cs="Times New Roman"/>
                <w:sz w:val="20"/>
                <w:szCs w:val="20"/>
                <w:lang w:eastAsia="en-ZA"/>
              </w:rPr>
              <w:fldChar w:fldCharType="separate"/>
            </w:r>
            <w:r w:rsidRPr="00435594">
              <w:rPr>
                <w:rFonts w:ascii="Times New Roman" w:eastAsia="Times New Roman" w:hAnsi="Times New Roman" w:cs="Times New Roman"/>
                <w:sz w:val="20"/>
                <w:szCs w:val="20"/>
                <w:lang w:eastAsia="en-ZA"/>
              </w:rPr>
              <w:t>(Holdich et al. 2009; Kouba et al. 2022)</w:t>
            </w:r>
            <w:r w:rsidRPr="00435594">
              <w:rPr>
                <w:rFonts w:ascii="Times New Roman" w:eastAsia="Times New Roman" w:hAnsi="Times New Roman" w:cs="Times New Roman"/>
                <w:sz w:val="20"/>
                <w:szCs w:val="20"/>
                <w:lang w:eastAsia="en-ZA"/>
              </w:rPr>
              <w:fldChar w:fldCharType="end"/>
            </w:r>
            <w:r w:rsidRPr="00435594">
              <w:rPr>
                <w:rFonts w:ascii="Times New Roman" w:eastAsia="Times New Roman" w:hAnsi="Times New Roman" w:cs="Times New Roman"/>
                <w:sz w:val="20"/>
                <w:szCs w:val="20"/>
                <w:lang w:eastAsia="en-ZA"/>
              </w:rPr>
              <w:t>.</w:t>
            </w:r>
          </w:p>
          <w:p w14:paraId="363AB286" w14:textId="77777777" w:rsidR="002D7080" w:rsidRPr="00435594" w:rsidRDefault="002D7080" w:rsidP="002E2C37">
            <w:pPr>
              <w:jc w:val="both"/>
              <w:rPr>
                <w:rFonts w:ascii="Times New Roman" w:eastAsia="Times New Roman" w:hAnsi="Times New Roman" w:cs="Times New Roman"/>
                <w:b/>
                <w:sz w:val="20"/>
                <w:szCs w:val="20"/>
                <w:lang w:eastAsia="en-ZA"/>
              </w:rPr>
            </w:pPr>
            <w:r w:rsidRPr="00435594">
              <w:rPr>
                <w:rFonts w:ascii="Times New Roman" w:eastAsia="Times New Roman" w:hAnsi="Times New Roman" w:cs="Times New Roman"/>
                <w:b/>
                <w:sz w:val="20"/>
                <w:szCs w:val="20"/>
                <w:lang w:eastAsia="en-ZA"/>
              </w:rPr>
              <w:t xml:space="preserve">Social, spiritual and cultural relations </w:t>
            </w:r>
          </w:p>
          <w:p w14:paraId="04DF8052" w14:textId="77777777" w:rsidR="002D7080" w:rsidRPr="004D1E6F" w:rsidRDefault="002D7080" w:rsidP="002E2C37">
            <w:pPr>
              <w:jc w:val="both"/>
              <w:rPr>
                <w:rFonts w:ascii="Times New Roman" w:eastAsia="Times New Roman" w:hAnsi="Times New Roman" w:cs="Times New Roman"/>
                <w:sz w:val="20"/>
                <w:szCs w:val="20"/>
                <w:lang w:eastAsia="en-ZA"/>
              </w:rPr>
            </w:pPr>
            <w:r w:rsidRPr="00435594">
              <w:rPr>
                <w:rFonts w:ascii="Times New Roman" w:eastAsia="Times New Roman" w:hAnsi="Times New Roman" w:cs="Times New Roman"/>
                <w:i/>
                <w:iCs/>
                <w:sz w:val="20"/>
                <w:szCs w:val="20"/>
                <w:lang w:eastAsia="en-ZA"/>
              </w:rPr>
              <w:t>Pacifastacus leniusculus</w:t>
            </w:r>
            <w:r w:rsidRPr="00435594">
              <w:rPr>
                <w:rFonts w:ascii="Times New Roman" w:eastAsia="Times New Roman" w:hAnsi="Times New Roman" w:cs="Times New Roman"/>
                <w:sz w:val="20"/>
                <w:szCs w:val="20"/>
                <w:lang w:eastAsia="en-ZA"/>
              </w:rPr>
              <w:t xml:space="preserve"> was introduced to Europe to alleviate the pressure on native crayfish such as </w:t>
            </w:r>
            <w:r w:rsidRPr="00435594">
              <w:rPr>
                <w:rFonts w:ascii="Times New Roman" w:eastAsia="Times New Roman" w:hAnsi="Times New Roman" w:cs="Times New Roman"/>
                <w:i/>
                <w:iCs/>
                <w:sz w:val="20"/>
                <w:szCs w:val="20"/>
                <w:lang w:eastAsia="en-ZA"/>
              </w:rPr>
              <w:t>Astacus astacus</w:t>
            </w:r>
            <w:r w:rsidRPr="00435594">
              <w:rPr>
                <w:rFonts w:ascii="Times New Roman" w:eastAsia="Times New Roman" w:hAnsi="Times New Roman" w:cs="Times New Roman"/>
                <w:sz w:val="20"/>
                <w:szCs w:val="20"/>
                <w:lang w:eastAsia="en-ZA"/>
              </w:rPr>
              <w:t xml:space="preserve"> whose populations had declined due to crayfish plague </w:t>
            </w:r>
            <w:r w:rsidRPr="00435594">
              <w:rPr>
                <w:rFonts w:ascii="Times New Roman" w:eastAsia="Times New Roman" w:hAnsi="Times New Roman" w:cs="Times New Roman"/>
                <w:sz w:val="20"/>
                <w:szCs w:val="20"/>
                <w:lang w:eastAsia="en-ZA"/>
              </w:rPr>
              <w:fldChar w:fldCharType="begin" w:fldLock="1"/>
            </w:r>
            <w:r w:rsidRPr="00435594">
              <w:rPr>
                <w:rFonts w:ascii="Times New Roman" w:eastAsia="Times New Roman" w:hAnsi="Times New Roman" w:cs="Times New Roman"/>
                <w:sz w:val="20"/>
                <w:szCs w:val="20"/>
                <w:lang w:eastAsia="en-ZA"/>
              </w:rPr>
              <w:instrText>ADDIN CSL_CITATION { "citationItems" : [ { "id" : "ITEM-1", "itemData" : { "DOI" : "10.1051/alr:1993032", "ISBN" : "0990-7440", "ISSN" : "0990-7440", "abstract" : "The farming of freshwater crayfish (astaciculture) is mainly carried out in the southern states of the USA, and in Australia and Europe. Production levels Vary with climate but are in the region of 40000 to 60000 tonnes per annum. In addition, at least an equivalent amounts is harvested from the wild, particularly in North Amenca, China, Australia, Kenya, Turkey and Europe. Crayfish farming is usually cithcr of an extensive (ranching) or semi-intensive nature, intensive methods being infrequent, except for the rearing of juveniles for stocking (or restocking of natural waters depleted of crayfish). As crayfish do not have larvae and are polytrophic, they are relatively easy to rear, although fecundity is much lower when compared with other cultured crustaceans. At least 85% of world production is based on the red swamp crayfish, Procamharus clarkii, mainly from Louisiana and other southern USA states, but also from China, Kenya and Spain, where it has been introduced. In Australia, three species are of aquacultural importance, the yabbie, Cherax destructor; the marron, C. tenuimanus; and the red claw, C. quadricarinatus. Some very large production units have been built but none have lived up to their promise. The red claw is thought to have considerable aquacultural potential, but, being a tropical species, needs warm water for good growth. In Europe, the only endemic species cultured to any extent is the noble crayfish, Astacus astacus, mainly as juveniles for restocking. It fetches a higher pnce than other crayfish. The North American signal crayfish, Pacifastacus leniusculus, has been introduced to most European countries, but farmed production is relatively low. About 98% of crayfish consumed in Europe come from extensive systems or the wild harvest. European crayfish markets were upset by the collapse of the Turkish crayfishery (based on Astacus leptoductylus) due to overfishing and disease in the mid-1980s. The environmental impact of crayfish farrning is most noticeable in Europe. Crayfish plague, introduced from North America last century, ha\u00ee devastated populations of the native species in many countries. 1ts spread has been exasperated by the translocation of foreign crayfish (and probably by fish) for aquacultural purposes. In addition, introduced crayfish frequently escape into the wild and form large populations, often in direct competition with native species. Burrowing and prolific species, such as P. clarkii, can also do considerable env\u2026", "author" : [ { "dropping-particle" : "", "family" : "Holdich", "given" : "David M.", "non-dropping-particle" : "", "parse-names" : false, "suffix" : "" } ], "container-title" : "Aquatic Living Resources", "id" : "ITEM-1", "issue" : "4", "issued" : { "date-parts" : [ [ "1993" ] ] }, "page" : "307-317", "title" : "A review of astaciculture: freshwater crayfish farming", "type" : "article-journal", "volume" : "6" }, "uris" : [ "http://www.mendeley.com/documents/?uuid=9c22145c-3212-4afe-9814-df511734f170" ] } ], "mendeley" : { "formattedCitation" : "(Holdich 1993)", "plainTextFormattedCitation" : "(Holdich 1993)", "previouslyFormattedCitation" : "(Holdich 1993)" }, "properties" : { "noteIndex" : 0 }, "schema" : "https://github.com/citation-style-language/schema/raw/master/csl-citation.json" }</w:instrText>
            </w:r>
            <w:r w:rsidRPr="00435594">
              <w:rPr>
                <w:rFonts w:ascii="Times New Roman" w:eastAsia="Times New Roman" w:hAnsi="Times New Roman" w:cs="Times New Roman"/>
                <w:sz w:val="20"/>
                <w:szCs w:val="20"/>
                <w:lang w:eastAsia="en-ZA"/>
              </w:rPr>
              <w:fldChar w:fldCharType="separate"/>
            </w:r>
            <w:r w:rsidRPr="00435594">
              <w:rPr>
                <w:rFonts w:ascii="Times New Roman" w:eastAsia="Times New Roman" w:hAnsi="Times New Roman" w:cs="Times New Roman"/>
                <w:sz w:val="20"/>
                <w:szCs w:val="20"/>
                <w:lang w:eastAsia="en-ZA"/>
              </w:rPr>
              <w:t>(Holdich et al. 2009)</w:t>
            </w:r>
            <w:r w:rsidRPr="00435594">
              <w:rPr>
                <w:rFonts w:ascii="Times New Roman" w:eastAsia="Times New Roman" w:hAnsi="Times New Roman" w:cs="Times New Roman"/>
                <w:sz w:val="20"/>
                <w:szCs w:val="20"/>
                <w:lang w:eastAsia="en-ZA"/>
              </w:rPr>
              <w:fldChar w:fldCharType="end"/>
            </w:r>
            <w:r w:rsidRPr="00435594">
              <w:rPr>
                <w:rFonts w:ascii="Times New Roman" w:eastAsia="Times New Roman" w:hAnsi="Times New Roman" w:cs="Times New Roman"/>
                <w:sz w:val="20"/>
                <w:szCs w:val="20"/>
                <w:lang w:eastAsia="en-ZA"/>
              </w:rPr>
              <w:t xml:space="preserve">. This introduction has however contributed to further decline in native crayfish populations because </w:t>
            </w:r>
            <w:r w:rsidRPr="00435594">
              <w:rPr>
                <w:rFonts w:ascii="Times New Roman" w:eastAsia="Times New Roman" w:hAnsi="Times New Roman" w:cs="Times New Roman"/>
                <w:i/>
                <w:iCs/>
                <w:sz w:val="20"/>
                <w:szCs w:val="20"/>
                <w:lang w:eastAsia="en-ZA"/>
              </w:rPr>
              <w:t>P. leniusculus</w:t>
            </w:r>
            <w:r w:rsidRPr="00435594">
              <w:rPr>
                <w:rFonts w:ascii="Times New Roman" w:eastAsia="Times New Roman" w:hAnsi="Times New Roman" w:cs="Times New Roman"/>
                <w:sz w:val="20"/>
                <w:szCs w:val="20"/>
                <w:lang w:eastAsia="en-ZA"/>
              </w:rPr>
              <w:t xml:space="preserve"> are carriers of the crayfish plague and have competitively displaced native crayfish in areas of introduction (e.g., </w:t>
            </w:r>
            <w:r w:rsidRPr="00435594">
              <w:rPr>
                <w:rFonts w:ascii="Times New Roman" w:eastAsia="Times New Roman" w:hAnsi="Times New Roman" w:cs="Times New Roman"/>
                <w:sz w:val="20"/>
                <w:szCs w:val="20"/>
                <w:lang w:eastAsia="en-ZA"/>
              </w:rPr>
              <w:fldChar w:fldCharType="begin" w:fldLock="1"/>
            </w:r>
            <w:r w:rsidRPr="00435594">
              <w:rPr>
                <w:rFonts w:ascii="Times New Roman" w:eastAsia="Times New Roman" w:hAnsi="Times New Roman" w:cs="Times New Roman"/>
                <w:sz w:val="20"/>
                <w:szCs w:val="20"/>
                <w:lang w:eastAsia="en-ZA"/>
              </w:rPr>
              <w:instrText>ADDIN CSL_CITATION { "citationItems" : [ { "id" : "ITEM-1", "itemData" : { "DOI" : "10.3391/ai.2010.5.3.10", "author" : [ { "dropping-particle" : "", "family" : "Dana", "given" : "El\u00edas D", "non-dropping-particle" : "", "parse-names" : false, "suffix" : "" }, { "dropping-particle" : "", "family" : "L\u00f3pez-santiago", "given" : "Javier", "non-dropping-particle" : "", "parse-names" : false, "suffix" : "" }, { "dropping-particle" : "", "family" : "Garc\u00eda-de-lomas", "given" : "Juan", "non-dropping-particle" : "", "parse-names" : false, "suffix" : "" }, { "dropping-particle" : "", "family" : "Garc\u00eda-oca\u00f1a", "given" : "David M", "non-dropping-particle" : "", "parse-names" : false, "suffix" : "" }, { "dropping-particle" : "", "family" : "Ortega", "given" : "Fernando", "non-dropping-particle" : "", "parse-names" : false, "suffix" : "" } ], "id" : "ITEM-1", "issue" : "3", "issued" : { "date-parts" : [ [ "2010" ] ] }, "page" : "317-322", "title" : "Long-term management of the invasive Pacifastacus leniusculus ( Dana , 1852 ) in a small mountain stream", "type" : "article-journal", "volume" : "5" }, "uris" : [ "http://www.mendeley.com/documents/?uuid=809984f6-033c-4580-93af-e25fa9c1001e" ] } ], "mendeley" : { "formattedCitation" : "(Dana et al. 2010)", "plainTextFormattedCitation" : "(Dana et al. 2010)", "previouslyFormattedCitation" : "(Dana et al. 2010)" }, "properties" : { "noteIndex" : 0 }, "schema" : "https://github.com/citation-style-language/schema/raw/master/csl-citation.json" }</w:instrText>
            </w:r>
            <w:r w:rsidRPr="00435594">
              <w:rPr>
                <w:rFonts w:ascii="Times New Roman" w:eastAsia="Times New Roman" w:hAnsi="Times New Roman" w:cs="Times New Roman"/>
                <w:sz w:val="20"/>
                <w:szCs w:val="20"/>
                <w:lang w:eastAsia="en-ZA"/>
              </w:rPr>
              <w:fldChar w:fldCharType="separate"/>
            </w:r>
            <w:r w:rsidRPr="00435594">
              <w:rPr>
                <w:rFonts w:ascii="Times New Roman" w:eastAsia="Times New Roman" w:hAnsi="Times New Roman" w:cs="Times New Roman"/>
                <w:sz w:val="20"/>
                <w:szCs w:val="20"/>
                <w:lang w:eastAsia="en-ZA"/>
              </w:rPr>
              <w:t>Dana et al. 2010)</w:t>
            </w:r>
            <w:r w:rsidRPr="00435594">
              <w:rPr>
                <w:rFonts w:ascii="Times New Roman" w:eastAsia="Times New Roman" w:hAnsi="Times New Roman" w:cs="Times New Roman"/>
                <w:sz w:val="20"/>
                <w:szCs w:val="20"/>
                <w:lang w:eastAsia="en-ZA"/>
              </w:rPr>
              <w:fldChar w:fldCharType="end"/>
            </w:r>
            <w:r w:rsidRPr="00435594">
              <w:rPr>
                <w:rFonts w:ascii="Times New Roman" w:eastAsia="Times New Roman" w:hAnsi="Times New Roman" w:cs="Times New Roman"/>
                <w:sz w:val="20"/>
                <w:szCs w:val="20"/>
                <w:lang w:eastAsia="en-ZA"/>
              </w:rPr>
              <w:t xml:space="preserve">. The native crayfish species have a high cultural value and in places such as Scandinavia, the loss of </w:t>
            </w:r>
            <w:r w:rsidRPr="00435594">
              <w:rPr>
                <w:rFonts w:ascii="Times New Roman" w:eastAsia="Times New Roman" w:hAnsi="Times New Roman" w:cs="Times New Roman"/>
                <w:i/>
                <w:iCs/>
                <w:sz w:val="20"/>
                <w:szCs w:val="20"/>
                <w:lang w:eastAsia="en-ZA"/>
              </w:rPr>
              <w:t>A. astacus</w:t>
            </w:r>
            <w:r w:rsidRPr="00435594">
              <w:rPr>
                <w:rFonts w:ascii="Times New Roman" w:eastAsia="Times New Roman" w:hAnsi="Times New Roman" w:cs="Times New Roman"/>
                <w:sz w:val="20"/>
                <w:szCs w:val="20"/>
                <w:lang w:eastAsia="en-ZA"/>
              </w:rPr>
              <w:t xml:space="preserve"> is serious cultural blow (Gherardi 2011).</w:t>
            </w:r>
          </w:p>
        </w:tc>
      </w:tr>
      <w:tr w:rsidR="002D7080" w:rsidRPr="004D1E6F" w14:paraId="1201CEBE" w14:textId="77777777" w:rsidTr="002E2C37">
        <w:trPr>
          <w:trHeight w:val="50"/>
        </w:trPr>
        <w:tc>
          <w:tcPr>
            <w:tcW w:w="9016" w:type="dxa"/>
            <w:gridSpan w:val="2"/>
          </w:tcPr>
          <w:p w14:paraId="7E60E39D" w14:textId="77777777"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6608ECB4" w14:textId="614B26BC" w:rsidR="002D7080" w:rsidRPr="00052B35" w:rsidRDefault="002D7080" w:rsidP="002E2C37">
            <w:pPr>
              <w:ind w:left="720" w:hanging="720"/>
              <w:contextualSpacing/>
              <w:jc w:val="both"/>
              <w:rPr>
                <w:rFonts w:ascii="Times New Roman" w:eastAsia="Times New Roman" w:hAnsi="Times New Roman" w:cs="Times New Roman"/>
                <w:sz w:val="20"/>
                <w:szCs w:val="20"/>
                <w:lang w:eastAsia="en-ZA"/>
              </w:rPr>
            </w:pPr>
            <w:r w:rsidRPr="00052B35">
              <w:rPr>
                <w:rFonts w:ascii="Times New Roman" w:hAnsi="Times New Roman" w:cs="Times New Roman"/>
                <w:color w:val="222222"/>
                <w:sz w:val="20"/>
                <w:szCs w:val="20"/>
                <w:shd w:val="clear" w:color="auto" w:fill="FFFFFF"/>
              </w:rPr>
              <w:t xml:space="preserve">Dana, E.D., López-Santiago, J., García-de-Lomas, J., García-Ocaña, D.M., Gámez, V. &amp; Ortega, F., </w:t>
            </w:r>
            <w:r w:rsidRPr="00052B35">
              <w:rPr>
                <w:rFonts w:ascii="Times New Roman" w:eastAsia="Times New Roman" w:hAnsi="Times New Roman" w:cs="Times New Roman"/>
                <w:sz w:val="20"/>
                <w:szCs w:val="20"/>
                <w:lang w:eastAsia="en-ZA"/>
              </w:rPr>
              <w:t xml:space="preserve">2010, ‘Long–term management of the invasive </w:t>
            </w:r>
            <w:r w:rsidRPr="00052B35">
              <w:rPr>
                <w:rFonts w:ascii="Times New Roman" w:eastAsia="Times New Roman" w:hAnsi="Times New Roman" w:cs="Times New Roman"/>
                <w:i/>
                <w:sz w:val="20"/>
                <w:szCs w:val="20"/>
                <w:lang w:eastAsia="en-ZA"/>
              </w:rPr>
              <w:t>Pacifastacus leniusculus</w:t>
            </w:r>
            <w:r w:rsidRPr="00052B35">
              <w:rPr>
                <w:rFonts w:ascii="Times New Roman" w:eastAsia="Times New Roman" w:hAnsi="Times New Roman" w:cs="Times New Roman"/>
                <w:sz w:val="20"/>
                <w:szCs w:val="20"/>
                <w:lang w:eastAsia="en-ZA"/>
              </w:rPr>
              <w:t xml:space="preserve"> (Dana, 1852) in a small mountain stream’, </w:t>
            </w:r>
            <w:r w:rsidRPr="00052B35">
              <w:rPr>
                <w:rFonts w:ascii="Times New Roman" w:eastAsia="Times New Roman" w:hAnsi="Times New Roman" w:cs="Times New Roman"/>
                <w:i/>
                <w:iCs/>
                <w:sz w:val="20"/>
                <w:szCs w:val="20"/>
                <w:lang w:eastAsia="en-ZA"/>
              </w:rPr>
              <w:t>Aquatic Invasions</w:t>
            </w:r>
            <w:r w:rsidRPr="00052B35">
              <w:rPr>
                <w:rFonts w:ascii="Times New Roman" w:eastAsia="Times New Roman" w:hAnsi="Times New Roman" w:cs="Times New Roman"/>
                <w:sz w:val="20"/>
                <w:szCs w:val="20"/>
                <w:lang w:eastAsia="en-ZA"/>
              </w:rPr>
              <w:t xml:space="preserve"> </w:t>
            </w:r>
            <w:r w:rsidRPr="00052B35">
              <w:rPr>
                <w:rFonts w:ascii="Times New Roman" w:eastAsia="Times New Roman" w:hAnsi="Times New Roman" w:cs="Times New Roman"/>
                <w:iCs/>
                <w:sz w:val="20"/>
                <w:szCs w:val="20"/>
                <w:lang w:eastAsia="en-ZA"/>
              </w:rPr>
              <w:t>5</w:t>
            </w:r>
            <w:r w:rsidRPr="00052B35">
              <w:rPr>
                <w:rFonts w:ascii="Times New Roman" w:eastAsia="Times New Roman" w:hAnsi="Times New Roman" w:cs="Times New Roman"/>
                <w:sz w:val="20"/>
                <w:szCs w:val="20"/>
                <w:lang w:eastAsia="en-ZA"/>
              </w:rPr>
              <w:t xml:space="preserve">, 317–322. </w:t>
            </w:r>
            <w:r w:rsidR="000E334A" w:rsidRPr="000E334A">
              <w:rPr>
                <w:rFonts w:ascii="Times New Roman" w:eastAsia="Times New Roman" w:hAnsi="Times New Roman" w:cs="Times New Roman"/>
                <w:sz w:val="20"/>
                <w:szCs w:val="20"/>
                <w:lang w:eastAsia="en-ZA"/>
              </w:rPr>
              <w:t xml:space="preserve">, </w:t>
            </w:r>
            <w:hyperlink r:id="rId467" w:history="1">
              <w:r w:rsidR="000E334A" w:rsidRPr="000E334A">
                <w:rPr>
                  <w:rStyle w:val="Hyperlink"/>
                  <w:rFonts w:ascii="Times New Roman" w:eastAsia="Times New Roman" w:hAnsi="Times New Roman" w:cs="Times New Roman"/>
                  <w:sz w:val="20"/>
                  <w:szCs w:val="20"/>
                  <w:lang w:eastAsia="en-ZA"/>
                </w:rPr>
                <w:t>https://doi.org/10.3391/ai.2010.5.3.10</w:t>
              </w:r>
            </w:hyperlink>
            <w:r w:rsidRPr="00052B35">
              <w:rPr>
                <w:rFonts w:ascii="Times New Roman" w:eastAsia="Times New Roman" w:hAnsi="Times New Roman" w:cs="Times New Roman"/>
                <w:sz w:val="20"/>
                <w:szCs w:val="20"/>
                <w:lang w:eastAsia="en-ZA"/>
              </w:rPr>
              <w:t>.</w:t>
            </w:r>
          </w:p>
          <w:p w14:paraId="7F6D9A2A" w14:textId="5CF11584" w:rsidR="002D7080" w:rsidRPr="00052B35" w:rsidRDefault="002D7080" w:rsidP="002E2C37">
            <w:pPr>
              <w:ind w:left="720" w:hanging="720"/>
              <w:contextualSpacing/>
              <w:jc w:val="both"/>
              <w:rPr>
                <w:rFonts w:ascii="Times New Roman" w:hAnsi="Times New Roman" w:cs="Times New Roman"/>
                <w:sz w:val="20"/>
                <w:szCs w:val="20"/>
              </w:rPr>
            </w:pPr>
            <w:r w:rsidRPr="00052B35">
              <w:rPr>
                <w:rFonts w:ascii="Times New Roman" w:hAnsi="Times New Roman" w:cs="Times New Roman"/>
                <w:sz w:val="20"/>
                <w:szCs w:val="20"/>
              </w:rPr>
              <w:t xml:space="preserve">Gherardi, F., 2011, ‘Towards a sustainable human use of crayfish (Crustacea, Decapoda, Astacidea)’, </w:t>
            </w:r>
            <w:r w:rsidRPr="00052B35">
              <w:rPr>
                <w:rFonts w:ascii="Times New Roman" w:hAnsi="Times New Roman" w:cs="Times New Roman"/>
                <w:i/>
                <w:iCs/>
                <w:sz w:val="20"/>
                <w:szCs w:val="20"/>
              </w:rPr>
              <w:t>Knowledge and Management of Aquatic Ecosystems</w:t>
            </w:r>
            <w:r>
              <w:rPr>
                <w:rFonts w:ascii="Times New Roman" w:hAnsi="Times New Roman" w:cs="Times New Roman"/>
                <w:sz w:val="20"/>
                <w:szCs w:val="20"/>
              </w:rPr>
              <w:t xml:space="preserve">, </w:t>
            </w:r>
            <w:r w:rsidRPr="00052B35">
              <w:rPr>
                <w:rFonts w:ascii="Times New Roman" w:hAnsi="Times New Roman" w:cs="Times New Roman"/>
                <w:sz w:val="20"/>
                <w:szCs w:val="20"/>
              </w:rPr>
              <w:t xml:space="preserve">401, 02 </w:t>
            </w:r>
            <w:hyperlink r:id="rId468" w:history="1">
              <w:r w:rsidR="000E334A" w:rsidRPr="00F215B9">
                <w:rPr>
                  <w:rStyle w:val="Hyperlink"/>
                  <w:rFonts w:ascii="Times New Roman" w:hAnsi="Times New Roman" w:cs="Times New Roman"/>
                  <w:sz w:val="20"/>
                  <w:szCs w:val="20"/>
                </w:rPr>
                <w:t>https://doi.org/10.1051/kmae/2011038</w:t>
              </w:r>
            </w:hyperlink>
            <w:r w:rsidRPr="00052B35">
              <w:rPr>
                <w:rFonts w:ascii="Times New Roman" w:hAnsi="Times New Roman" w:cs="Times New Roman"/>
                <w:sz w:val="20"/>
                <w:szCs w:val="20"/>
              </w:rPr>
              <w:t>.</w:t>
            </w:r>
            <w:r w:rsidR="000E334A">
              <w:rPr>
                <w:rFonts w:ascii="Times New Roman" w:hAnsi="Times New Roman" w:cs="Times New Roman"/>
                <w:sz w:val="20"/>
                <w:szCs w:val="20"/>
              </w:rPr>
              <w:t xml:space="preserve"> </w:t>
            </w:r>
          </w:p>
          <w:p w14:paraId="2AC0493A" w14:textId="44F31CFC" w:rsidR="002D7080" w:rsidRPr="00052B35" w:rsidRDefault="002D7080" w:rsidP="002E2C37">
            <w:pPr>
              <w:ind w:left="720" w:hanging="720"/>
              <w:contextualSpacing/>
              <w:jc w:val="both"/>
              <w:rPr>
                <w:rFonts w:ascii="Times New Roman" w:eastAsia="Calibri" w:hAnsi="Times New Roman" w:cs="Times New Roman"/>
                <w:bCs/>
                <w:sz w:val="20"/>
                <w:szCs w:val="20"/>
              </w:rPr>
            </w:pPr>
            <w:r w:rsidRPr="00052B35">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052B35">
              <w:rPr>
                <w:rFonts w:ascii="Times New Roman" w:eastAsia="Calibri" w:hAnsi="Times New Roman" w:cs="Times New Roman"/>
                <w:sz w:val="20"/>
                <w:szCs w:val="20"/>
              </w:rPr>
              <w:t xml:space="preserve"> </w:t>
            </w:r>
            <w:r w:rsidRPr="00052B35">
              <w:rPr>
                <w:rFonts w:ascii="Times New Roman" w:eastAsia="Calibri" w:hAnsi="Times New Roman" w:cs="Times New Roman"/>
                <w:bCs/>
                <w:i/>
                <w:sz w:val="20"/>
                <w:szCs w:val="20"/>
              </w:rPr>
              <w:t>Knowledge and Management of Aquatic Ecosystems</w:t>
            </w:r>
            <w:r w:rsidRPr="00052B35">
              <w:rPr>
                <w:rFonts w:ascii="Times New Roman" w:eastAsia="Calibri" w:hAnsi="Times New Roman" w:cs="Times New Roman"/>
                <w:bCs/>
                <w:sz w:val="20"/>
                <w:szCs w:val="20"/>
              </w:rPr>
              <w:t xml:space="preserve"> 11, 394–395.</w:t>
            </w:r>
            <w:r w:rsidRPr="00052B35">
              <w:rPr>
                <w:rFonts w:ascii="Times New Roman" w:hAnsi="Times New Roman" w:cs="Times New Roman"/>
                <w:color w:val="1B1C20"/>
                <w:sz w:val="20"/>
                <w:szCs w:val="20"/>
              </w:rPr>
              <w:t xml:space="preserve"> </w:t>
            </w:r>
            <w:hyperlink r:id="rId469" w:history="1">
              <w:r w:rsidR="000E334A" w:rsidRPr="00F215B9">
                <w:rPr>
                  <w:rStyle w:val="Hyperlink"/>
                  <w:rFonts w:ascii="Times New Roman" w:eastAsia="Calibri" w:hAnsi="Times New Roman" w:cs="Times New Roman"/>
                  <w:bCs/>
                  <w:sz w:val="20"/>
                  <w:szCs w:val="20"/>
                </w:rPr>
                <w:t>https://doi.org/10.1051/kmae/2009025</w:t>
              </w:r>
            </w:hyperlink>
            <w:r w:rsidRPr="00052B35">
              <w:rPr>
                <w:rFonts w:ascii="Times New Roman" w:eastAsia="Calibri" w:hAnsi="Times New Roman" w:cs="Times New Roman"/>
                <w:bCs/>
                <w:sz w:val="20"/>
                <w:szCs w:val="20"/>
              </w:rPr>
              <w:t>.</w:t>
            </w:r>
            <w:r w:rsidR="000E334A">
              <w:rPr>
                <w:rFonts w:ascii="Times New Roman" w:eastAsia="Calibri" w:hAnsi="Times New Roman" w:cs="Times New Roman"/>
                <w:bCs/>
                <w:sz w:val="20"/>
                <w:szCs w:val="20"/>
              </w:rPr>
              <w:t xml:space="preserve"> </w:t>
            </w:r>
          </w:p>
          <w:p w14:paraId="2DC5F53C" w14:textId="77777777" w:rsidR="002D7080" w:rsidRPr="00052B35" w:rsidRDefault="002D7080" w:rsidP="002E2C37">
            <w:pPr>
              <w:ind w:left="720" w:hanging="720"/>
              <w:contextualSpacing/>
              <w:jc w:val="both"/>
              <w:rPr>
                <w:rFonts w:ascii="Times New Roman" w:eastAsia="Times New Roman" w:hAnsi="Times New Roman" w:cs="Times New Roman"/>
                <w:sz w:val="20"/>
                <w:szCs w:val="20"/>
                <w:lang w:eastAsia="en-ZA"/>
              </w:rPr>
            </w:pPr>
            <w:r w:rsidRPr="00052B35">
              <w:rPr>
                <w:rFonts w:ascii="Times New Roman" w:eastAsia="Times New Roman" w:hAnsi="Times New Roman" w:cs="Times New Roman"/>
                <w:sz w:val="20"/>
                <w:szCs w:val="20"/>
                <w:lang w:eastAsia="en-ZA"/>
              </w:rPr>
              <w:t xml:space="preserve">Johnsen, S.I. &amp; Taugbøl, T., 2010, ‘NOBANIS – Invasive Alien Species Fact Sheet – </w:t>
            </w:r>
            <w:r w:rsidRPr="00052B35">
              <w:rPr>
                <w:rFonts w:ascii="Times New Roman" w:eastAsia="Times New Roman" w:hAnsi="Times New Roman" w:cs="Times New Roman"/>
                <w:bCs/>
                <w:i/>
                <w:iCs/>
                <w:sz w:val="20"/>
                <w:szCs w:val="20"/>
                <w:lang w:eastAsia="en-ZA"/>
              </w:rPr>
              <w:t>Pacifastacus leniusculus</w:t>
            </w:r>
            <w:r w:rsidRPr="00052B35">
              <w:rPr>
                <w:rFonts w:ascii="Times New Roman" w:eastAsia="Times New Roman" w:hAnsi="Times New Roman" w:cs="Times New Roman"/>
                <w:bCs/>
                <w:sz w:val="20"/>
                <w:szCs w:val="20"/>
                <w:lang w:eastAsia="en-ZA"/>
              </w:rPr>
              <w:t>’,</w:t>
            </w:r>
            <w:r w:rsidRPr="00052B35">
              <w:rPr>
                <w:rFonts w:ascii="Times New Roman" w:eastAsia="Times New Roman" w:hAnsi="Times New Roman" w:cs="Times New Roman"/>
                <w:i/>
                <w:iCs/>
                <w:sz w:val="20"/>
                <w:szCs w:val="20"/>
                <w:lang w:eastAsia="en-ZA"/>
              </w:rPr>
              <w:t xml:space="preserve"> </w:t>
            </w:r>
            <w:r w:rsidRPr="00052B35">
              <w:rPr>
                <w:rFonts w:ascii="Times New Roman" w:eastAsia="Times New Roman" w:hAnsi="Times New Roman" w:cs="Times New Roman"/>
                <w:sz w:val="20"/>
                <w:szCs w:val="20"/>
                <w:lang w:eastAsia="en-ZA"/>
              </w:rPr>
              <w:t>Online Database of the European Network on Invasive Alien Species – NOBANIS www.nobanis.org. [Date of access 13/11/2019].</w:t>
            </w:r>
          </w:p>
          <w:p w14:paraId="1E5DDD5C" w14:textId="49874D67" w:rsidR="002D7080" w:rsidRPr="004D1E6F" w:rsidRDefault="002D7080" w:rsidP="002E2C37">
            <w:pPr>
              <w:ind w:left="567" w:hanging="567"/>
              <w:contextualSpacing/>
              <w:jc w:val="both"/>
              <w:rPr>
                <w:rFonts w:ascii="Times New Roman" w:eastAsia="Calibri" w:hAnsi="Times New Roman" w:cs="Times New Roman"/>
                <w:sz w:val="20"/>
                <w:szCs w:val="20"/>
              </w:rPr>
            </w:pPr>
            <w:r w:rsidRPr="00052B35">
              <w:rPr>
                <w:rFonts w:ascii="Times New Roman" w:hAnsi="Times New Roman" w:cs="Times New Roman"/>
                <w:color w:val="222222"/>
                <w:sz w:val="20"/>
                <w:szCs w:val="20"/>
                <w:shd w:val="clear" w:color="auto" w:fill="FFFFFF"/>
              </w:rPr>
              <w:t>Kouba, A., Oficialdegui, F.J., Cuthbert, R.N., Kourantidou, M., South, J., Tricarico, E., et al, 2022. ‘Identifying economic costs and knowledge gaps of invasive aquatic crustaceans’, </w:t>
            </w:r>
            <w:r w:rsidRPr="00052B35">
              <w:rPr>
                <w:rFonts w:ascii="Times New Roman" w:hAnsi="Times New Roman" w:cs="Times New Roman"/>
                <w:i/>
                <w:iCs/>
                <w:color w:val="222222"/>
                <w:sz w:val="20"/>
                <w:szCs w:val="20"/>
                <w:shd w:val="clear" w:color="auto" w:fill="FFFFFF"/>
              </w:rPr>
              <w:t>Science of the Total Environment</w:t>
            </w:r>
            <w:r w:rsidRPr="00052B35">
              <w:rPr>
                <w:rFonts w:ascii="Times New Roman" w:hAnsi="Times New Roman" w:cs="Times New Roman"/>
                <w:color w:val="222222"/>
                <w:sz w:val="20"/>
                <w:szCs w:val="20"/>
                <w:shd w:val="clear" w:color="auto" w:fill="FFFFFF"/>
              </w:rPr>
              <w:t>, 813, 152325</w:t>
            </w:r>
            <w:r w:rsidR="000E334A" w:rsidRPr="000E334A">
              <w:rPr>
                <w:rFonts w:ascii="Times New Roman" w:eastAsia="Times New Roman" w:hAnsi="Times New Roman" w:cs="Times New Roman"/>
                <w:sz w:val="20"/>
                <w:szCs w:val="20"/>
                <w:lang w:eastAsia="en-ZA"/>
              </w:rPr>
              <w:t xml:space="preserve"> </w:t>
            </w:r>
            <w:r w:rsidR="000E334A" w:rsidRPr="000E334A">
              <w:rPr>
                <w:rFonts w:ascii="Times New Roman" w:hAnsi="Times New Roman" w:cs="Times New Roman"/>
                <w:color w:val="222222"/>
                <w:sz w:val="20"/>
                <w:szCs w:val="20"/>
                <w:shd w:val="clear" w:color="auto" w:fill="FFFFFF"/>
              </w:rPr>
              <w:t>https://doi.org/10.1016/j.scitotenv.2021.152325</w:t>
            </w:r>
            <w:r w:rsidRPr="00052B35">
              <w:rPr>
                <w:rStyle w:val="anchor-text"/>
                <w:rFonts w:ascii="Times New Roman" w:hAnsi="Times New Roman" w:cs="Times New Roman"/>
                <w:color w:val="1F1F1F"/>
                <w:sz w:val="20"/>
                <w:szCs w:val="20"/>
              </w:rPr>
              <w:t>.</w:t>
            </w:r>
            <w:r w:rsidR="000E334A">
              <w:rPr>
                <w:rStyle w:val="anchor-text"/>
                <w:rFonts w:ascii="Times New Roman" w:hAnsi="Times New Roman" w:cs="Times New Roman"/>
                <w:color w:val="1F1F1F"/>
                <w:sz w:val="20"/>
                <w:szCs w:val="20"/>
              </w:rPr>
              <w:t xml:space="preserve"> </w:t>
            </w:r>
          </w:p>
        </w:tc>
      </w:tr>
    </w:tbl>
    <w:p w14:paraId="6A650AF7" w14:textId="77777777" w:rsidR="002D7080" w:rsidRPr="004D1E6F" w:rsidRDefault="002D7080" w:rsidP="002D7080">
      <w:pPr>
        <w:spacing w:after="0" w:line="240" w:lineRule="auto"/>
        <w:rPr>
          <w:rFonts w:ascii="Times New Roman" w:eastAsia="Calibri" w:hAnsi="Times New Roman" w:cs="Times New Roman"/>
          <w:b/>
          <w:sz w:val="20"/>
          <w:szCs w:val="20"/>
        </w:rPr>
      </w:pPr>
    </w:p>
    <w:p w14:paraId="41628B8F" w14:textId="77777777" w:rsidR="002D7080" w:rsidRPr="004D1E6F" w:rsidRDefault="002D7080" w:rsidP="002D7080">
      <w:pPr>
        <w:spacing w:after="0" w:line="240" w:lineRule="auto"/>
        <w:rPr>
          <w:rFonts w:ascii="Times New Roman" w:eastAsia="Calibri" w:hAnsi="Times New Roman" w:cs="Times New Roman"/>
          <w:b/>
          <w:sz w:val="20"/>
          <w:szCs w:val="20"/>
        </w:rPr>
      </w:pPr>
    </w:p>
    <w:tbl>
      <w:tblPr>
        <w:tblStyle w:val="TableGrid19"/>
        <w:tblW w:w="0" w:type="auto"/>
        <w:tblLook w:val="04A0" w:firstRow="1" w:lastRow="0" w:firstColumn="1" w:lastColumn="0" w:noHBand="0" w:noVBand="1"/>
      </w:tblPr>
      <w:tblGrid>
        <w:gridCol w:w="5949"/>
        <w:gridCol w:w="3067"/>
      </w:tblGrid>
      <w:tr w:rsidR="002D7080" w:rsidRPr="004D1E6F" w14:paraId="5849AF03" w14:textId="77777777" w:rsidTr="002E2C37">
        <w:trPr>
          <w:trHeight w:val="343"/>
        </w:trPr>
        <w:tc>
          <w:tcPr>
            <w:tcW w:w="9016" w:type="dxa"/>
            <w:gridSpan w:val="2"/>
            <w:shd w:val="clear" w:color="auto" w:fill="F2F2F2" w:themeFill="background1" w:themeFillShade="F2"/>
          </w:tcPr>
          <w:p w14:paraId="7C90C104"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CON5 Potential impact</w:t>
            </w:r>
          </w:p>
        </w:tc>
      </w:tr>
      <w:tr w:rsidR="002D7080" w:rsidRPr="004D1E6F" w14:paraId="30A78217" w14:textId="77777777" w:rsidTr="002E2C37">
        <w:trPr>
          <w:trHeight w:val="172"/>
        </w:trPr>
        <w:tc>
          <w:tcPr>
            <w:tcW w:w="5949" w:type="dxa"/>
          </w:tcPr>
          <w:p w14:paraId="1DCBE9F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MR</w:t>
            </w:r>
          </w:p>
        </w:tc>
        <w:tc>
          <w:tcPr>
            <w:tcW w:w="3067" w:type="dxa"/>
          </w:tcPr>
          <w:p w14:paraId="32DBADC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32D811CE" w14:textId="77777777" w:rsidTr="002E2C37">
        <w:trPr>
          <w:trHeight w:val="70"/>
        </w:trPr>
        <w:tc>
          <w:tcPr>
            <w:tcW w:w="9016" w:type="dxa"/>
            <w:gridSpan w:val="2"/>
          </w:tcPr>
          <w:p w14:paraId="2536866C" w14:textId="77777777" w:rsidR="002D7080"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Based on the information gathered from the impact assessment for </w:t>
            </w:r>
            <w:r w:rsidRPr="004D1E6F">
              <w:rPr>
                <w:rFonts w:ascii="Times New Roman" w:eastAsia="Times New Roman" w:hAnsi="Times New Roman" w:cs="Times New Roman"/>
                <w:i/>
                <w:sz w:val="20"/>
                <w:szCs w:val="20"/>
                <w:lang w:eastAsia="en-ZA"/>
              </w:rPr>
              <w:t>P. leniusculus</w:t>
            </w:r>
            <w:r>
              <w:rPr>
                <w:rFonts w:ascii="Times New Roman" w:eastAsia="Times New Roman" w:hAnsi="Times New Roman" w:cs="Times New Roman"/>
                <w:i/>
                <w:sz w:val="20"/>
                <w:szCs w:val="20"/>
                <w:lang w:eastAsia="en-ZA"/>
              </w:rPr>
              <w:t>.</w:t>
            </w:r>
          </w:p>
          <w:p w14:paraId="37CF9D73" w14:textId="77777777" w:rsidR="002D7080" w:rsidRPr="004D1E6F" w:rsidRDefault="002D7080" w:rsidP="002E2C37">
            <w:pPr>
              <w:jc w:val="both"/>
              <w:rPr>
                <w:rFonts w:ascii="Times New Roman" w:eastAsia="Times New Roman" w:hAnsi="Times New Roman" w:cs="Times New Roman"/>
                <w:sz w:val="20"/>
                <w:szCs w:val="20"/>
                <w:lang w:eastAsia="en-ZA"/>
              </w:rPr>
            </w:pPr>
            <w:r w:rsidRPr="00206280">
              <w:rPr>
                <w:rFonts w:ascii="Times New Roman" w:hAnsi="Times New Roman" w:cs="Times New Roman"/>
                <w:i/>
                <w:iCs/>
                <w:sz w:val="20"/>
                <w:szCs w:val="20"/>
              </w:rPr>
              <w:t>Pacifastacus leniusculus</w:t>
            </w:r>
            <w:r w:rsidRPr="00206280">
              <w:rPr>
                <w:rFonts w:ascii="Times New Roman" w:hAnsi="Times New Roman" w:cs="Times New Roman"/>
                <w:sz w:val="20"/>
                <w:szCs w:val="20"/>
              </w:rPr>
              <w:t xml:space="preserve"> is a significant competitor and has displaced several species of native freshwater crayfish and other fauna in introduced areas (Dunn et al. 2009; Galib et al. 2021; Huber &amp; Schubart 2005). While South Africa may not have native freshwater crayfish, closely related decapods such as crabs, may have a resource overlap with </w:t>
            </w:r>
            <w:r w:rsidRPr="00206280">
              <w:rPr>
                <w:rFonts w:ascii="Times New Roman" w:hAnsi="Times New Roman" w:cs="Times New Roman"/>
                <w:i/>
                <w:iCs/>
                <w:sz w:val="20"/>
                <w:szCs w:val="20"/>
              </w:rPr>
              <w:t>P. leniusculus</w:t>
            </w:r>
            <w:r w:rsidRPr="00206280">
              <w:rPr>
                <w:rFonts w:ascii="Times New Roman" w:hAnsi="Times New Roman" w:cs="Times New Roman"/>
                <w:sz w:val="20"/>
                <w:szCs w:val="20"/>
              </w:rPr>
              <w:t xml:space="preserve"> which may result in competition </w:t>
            </w:r>
            <w:r w:rsidRPr="00206280">
              <w:rPr>
                <w:rFonts w:ascii="Times New Roman" w:hAnsi="Times New Roman" w:cs="Times New Roman"/>
                <w:sz w:val="20"/>
                <w:szCs w:val="20"/>
              </w:rPr>
              <w:fldChar w:fldCharType="begin" w:fldLock="1"/>
            </w:r>
            <w:r w:rsidRPr="00206280">
              <w:rPr>
                <w:rFonts w:ascii="Times New Roman" w:hAnsi="Times New Roman" w:cs="Times New Roman"/>
                <w:sz w:val="20"/>
                <w:szCs w:val="20"/>
              </w:rPr>
              <w:instrText>ADDIN CSL_CITATION { "citationItems" : [ { "id" : "ITEM-1", "itemData" : { "DOI" : "10.1111/1365-2656.12533", "ISBN" : "1365-2656 (Electronic)\\r0021-8790 (Linking)", "ISSN" : "13652656", "PMID" : "27084460", "abstract" : "1. Invasive species are a key driver of global environmental change, with frequently strong negative consequences for native biodiversity and ecosystem processes. Understanding com- petitive interactions between invaders and functionally similar native species provides an important benchmark for predicting the consequences of invasion. However, even though having a broad dietary niche is widely considered a key factor determining invasion success, little is known about the effects of competition with functionally similar native competitors on the dietary niche breadths of invasive species. 2. We used a combination of field experiments and field surveys to examine the impacts of competition with a functionally similar native crab species on the population densities, growth rates and diet of the globally widespread invasive red swamp crayfish in an African river ecosystem. 3. The presence of native crabs triggered significant dietary niche constriction within the inva- sive crayfish population. Further, growth rates of both species were reduced significantly, and by a similar extent, in the presence of one another. In spite of this, crayfish maintained posi- tive growth rates in the presence of crabs, whereas crabs lost mass in the presence of crayfish. Consequently, over the 3-year duration of the study, crab abundance declined at those sites invaded by the crayfish, becoming locally extinct at one. 4. The invasive crayfish had a dramatic effect on ecosystem structure and functioning, halv- ing benthic invertebrate densities and increasing decomposition rates fourfold compared to the crabs. This indicates that replacement of native crabs by invasive crayfish likely alters the structure and functioning of African river ecosystems significantly. 5. This study provides a novel example of the constriction of the dietary niche of a successful invasive population in the presence of competition from a functionally similar native species. This finding highlights the importance of considering both environmental and ecological contexts in order to predict and manage the impacts of invasive species on ecosystems.", "author" : [ { "dropping-particle" : "", "family" : "Jackson", "given" : "Michelle C.", "non-dropping-particle" : "", "parse-names" : false, "suffix" : "" }, { "dropping-particle" : "", "family" : "Grey", "given" : "Jonathan", "non-dropping-particle" : "", "parse-names" : false, "suffix" : "" }, { "dropping-particle" : "", "family" : "Miller", "given" : "Katie", "non-dropping-particle" : "", "parse-names" : false, "suffix" : "" }, { "dropping-particle" : "", "family" : "Britton", "given" : "J. Robert", "non-dropping-particle" : "", "parse-names" : false, "suffix" : "" }, { "dropping-particle" : "", "family" : "Donohue", "given" : "Ian", "non-dropping-particle" : "", "parse-names" : false, "suffix" : "" } ], "container-title" : "Journal of Animal Ecology", "id" : "ITEM-1", "issued" : { "date-parts" : [ [ "2016" ] ] }, "page" : "1098-1107", "title" : "Dietary niche constriction when invaders meet natives: Evidence from freshwater decapods", "type" : "article-journal" }, "uris" : [ "http://www.mendeley.com/documents/?uuid=4d1dad2a-af96-4ee7-a254-3fb10d7453b1" ] } ], "mendeley" : { "formattedCitation" : "(Jackson et al. 2016)", "plainTextFormattedCitation" : "(Jackson et al. 2016)", "previouslyFormattedCitation" : "(Jackson et al. 2016)" }, "properties" : { "noteIndex" : 0 }, "schema" : "https://github.com/citation-style-language/schema/raw/master/csl-citation.json" }</w:instrText>
            </w:r>
            <w:r w:rsidRPr="00206280">
              <w:rPr>
                <w:rFonts w:ascii="Times New Roman" w:hAnsi="Times New Roman" w:cs="Times New Roman"/>
                <w:sz w:val="20"/>
                <w:szCs w:val="20"/>
              </w:rPr>
              <w:fldChar w:fldCharType="separate"/>
            </w:r>
            <w:r w:rsidRPr="00206280">
              <w:rPr>
                <w:rFonts w:ascii="Times New Roman" w:hAnsi="Times New Roman" w:cs="Times New Roman"/>
                <w:sz w:val="20"/>
                <w:szCs w:val="20"/>
              </w:rPr>
              <w:t>(</w:t>
            </w:r>
            <w:r w:rsidRPr="00206280">
              <w:rPr>
                <w:rStyle w:val="author"/>
                <w:rFonts w:ascii="Times New Roman" w:hAnsi="Times New Roman" w:cs="Times New Roman"/>
                <w:color w:val="1C1D1E"/>
                <w:sz w:val="20"/>
                <w:szCs w:val="20"/>
                <w:shd w:val="clear" w:color="auto" w:fill="FFFFFF"/>
              </w:rPr>
              <w:t>Madzivanzira</w:t>
            </w:r>
            <w:r w:rsidRPr="00206280">
              <w:rPr>
                <w:rFonts w:ascii="Times New Roman" w:hAnsi="Times New Roman" w:cs="Times New Roman"/>
                <w:sz w:val="20"/>
                <w:szCs w:val="20"/>
              </w:rPr>
              <w:t xml:space="preserve"> et al. 2021)</w:t>
            </w:r>
            <w:r w:rsidRPr="00206280">
              <w:rPr>
                <w:rFonts w:ascii="Times New Roman" w:hAnsi="Times New Roman" w:cs="Times New Roman"/>
                <w:sz w:val="20"/>
                <w:szCs w:val="20"/>
              </w:rPr>
              <w:fldChar w:fldCharType="end"/>
            </w:r>
            <w:r w:rsidRPr="00206280">
              <w:rPr>
                <w:rFonts w:ascii="Times New Roman" w:hAnsi="Times New Roman" w:cs="Times New Roman"/>
                <w:i/>
                <w:iCs/>
                <w:sz w:val="20"/>
                <w:szCs w:val="20"/>
              </w:rPr>
              <w:t xml:space="preserve">. </w:t>
            </w:r>
            <w:r w:rsidRPr="00206280">
              <w:rPr>
                <w:rFonts w:ascii="Times New Roman" w:hAnsi="Times New Roman" w:cs="Times New Roman"/>
                <w:i/>
                <w:sz w:val="20"/>
                <w:szCs w:val="20"/>
              </w:rPr>
              <w:t xml:space="preserve">Pacifastacus </w:t>
            </w:r>
            <w:r w:rsidRPr="00206280">
              <w:rPr>
                <w:rFonts w:ascii="Times New Roman" w:hAnsi="Times New Roman" w:cs="Times New Roman"/>
                <w:i/>
                <w:sz w:val="20"/>
                <w:szCs w:val="20"/>
              </w:rPr>
              <w:lastRenderedPageBreak/>
              <w:t>leniusculus</w:t>
            </w:r>
            <w:r w:rsidRPr="00206280">
              <w:rPr>
                <w:rFonts w:ascii="Times New Roman" w:hAnsi="Times New Roman" w:cs="Times New Roman"/>
                <w:iCs/>
                <w:sz w:val="20"/>
                <w:szCs w:val="20"/>
              </w:rPr>
              <w:t xml:space="preserve"> </w:t>
            </w:r>
            <w:r w:rsidRPr="00206280">
              <w:rPr>
                <w:rFonts w:ascii="Times New Roman" w:hAnsi="Times New Roman" w:cs="Times New Roman"/>
                <w:sz w:val="20"/>
                <w:szCs w:val="20"/>
              </w:rPr>
              <w:t xml:space="preserve">is a vector for crayfish plague that caused population crashes of native crayfish species in Europe </w:t>
            </w:r>
            <w:r w:rsidRPr="00206280">
              <w:rPr>
                <w:rFonts w:ascii="Times New Roman" w:hAnsi="Times New Roman" w:cs="Times New Roman"/>
                <w:sz w:val="20"/>
                <w:szCs w:val="20"/>
              </w:rPr>
              <w:fldChar w:fldCharType="begin" w:fldLock="1"/>
            </w:r>
            <w:r w:rsidRPr="00206280">
              <w:rPr>
                <w:rFonts w:ascii="Times New Roman" w:hAnsi="Times New Roman" w:cs="Times New Roman"/>
                <w:sz w:val="20"/>
                <w:szCs w:val="20"/>
              </w:rPr>
              <w:instrText>ADDIN CSL_CITATION { "citationItems" : [ { "id" : "ITEM-1", "itemData" : { "DOI" : "10.3391/ai.2010.5.3.10", "author" : [ { "dropping-particle" : "", "family" : "Dana", "given" : "El\u00edas D", "non-dropping-particle" : "", "parse-names" : false, "suffix" : "" }, { "dropping-particle" : "", "family" : "L\u00f3pez-santiago", "given" : "Javier", "non-dropping-particle" : "", "parse-names" : false, "suffix" : "" }, { "dropping-particle" : "", "family" : "Garc\u00eda-de-lomas", "given" : "Juan", "non-dropping-particle" : "", "parse-names" : false, "suffix" : "" }, { "dropping-particle" : "", "family" : "Garc\u00eda-oca\u00f1a", "given" : "David M", "non-dropping-particle" : "", "parse-names" : false, "suffix" : "" }, { "dropping-particle" : "", "family" : "Ortega", "given" : "Fernando", "non-dropping-particle" : "", "parse-names" : false, "suffix" : "" } ], "id" : "ITEM-1", "issue" : "3", "issued" : { "date-parts" : [ [ "2010" ] ] }, "page" : "317-322", "title" : "Long-term management of the invasive Pacifastacus leniusculus ( Dana , 1852 ) in a small mountain stream", "type" : "article-journal", "volume" : "5" }, "uris" : [ "http://www.mendeley.com/documents/?uuid=809984f6-033c-4580-93af-e25fa9c1001e" ] } ], "mendeley" : { "formattedCitation" : "(Dana et al. 2010)", "manualFormatting" : "(Holdich and Reeves 1991, Dana et al. 2010)", "plainTextFormattedCitation" : "(Dana et al. 2010)", "previouslyFormattedCitation" : "(Dana et al. 2010)" }, "properties" : { "noteIndex" : 0 }, "schema" : "https://github.com/citation-style-language/schema/raw/master/csl-citation.json" }</w:instrText>
            </w:r>
            <w:r w:rsidRPr="00206280">
              <w:rPr>
                <w:rFonts w:ascii="Times New Roman" w:hAnsi="Times New Roman" w:cs="Times New Roman"/>
                <w:sz w:val="20"/>
                <w:szCs w:val="20"/>
              </w:rPr>
              <w:fldChar w:fldCharType="separate"/>
            </w:r>
            <w:r w:rsidRPr="00206280">
              <w:rPr>
                <w:rFonts w:ascii="Times New Roman" w:hAnsi="Times New Roman" w:cs="Times New Roman"/>
                <w:sz w:val="20"/>
                <w:szCs w:val="20"/>
              </w:rPr>
              <w:t>(Dana et al. 2010; Holdich &amp; Reeves 1991)</w:t>
            </w:r>
            <w:r w:rsidRPr="00206280">
              <w:rPr>
                <w:rFonts w:ascii="Times New Roman" w:hAnsi="Times New Roman" w:cs="Times New Roman"/>
                <w:sz w:val="20"/>
                <w:szCs w:val="20"/>
              </w:rPr>
              <w:fldChar w:fldCharType="end"/>
            </w:r>
            <w:r w:rsidRPr="00206280">
              <w:rPr>
                <w:rFonts w:ascii="Times New Roman" w:hAnsi="Times New Roman" w:cs="Times New Roman"/>
                <w:sz w:val="20"/>
                <w:szCs w:val="20"/>
              </w:rPr>
              <w:t xml:space="preserve">. Crayfish plague can affect other native freshwater decapods such as native potamonautid crabs (Svoboda et al. 2014). Furthermore, </w:t>
            </w:r>
            <w:r w:rsidRPr="00206280">
              <w:rPr>
                <w:rFonts w:ascii="Times New Roman" w:hAnsi="Times New Roman" w:cs="Times New Roman"/>
                <w:i/>
                <w:iCs/>
                <w:sz w:val="20"/>
                <w:szCs w:val="20"/>
              </w:rPr>
              <w:t xml:space="preserve">P. leniusculus </w:t>
            </w:r>
            <w:r w:rsidRPr="00206280">
              <w:rPr>
                <w:rFonts w:ascii="Times New Roman" w:hAnsi="Times New Roman" w:cs="Times New Roman"/>
                <w:sz w:val="20"/>
                <w:szCs w:val="20"/>
              </w:rPr>
              <w:t xml:space="preserve">is a facultative omnivore, and </w:t>
            </w:r>
            <w:r w:rsidRPr="00206280">
              <w:rPr>
                <w:rFonts w:ascii="Times New Roman" w:hAnsi="Times New Roman" w:cs="Times New Roman"/>
                <w:iCs/>
                <w:sz w:val="20"/>
                <w:szCs w:val="20"/>
              </w:rPr>
              <w:t xml:space="preserve">may </w:t>
            </w:r>
            <w:r w:rsidRPr="00206280">
              <w:rPr>
                <w:rFonts w:ascii="Times New Roman" w:hAnsi="Times New Roman" w:cs="Times New Roman"/>
                <w:sz w:val="20"/>
                <w:szCs w:val="20"/>
              </w:rPr>
              <w:t xml:space="preserve">cause negative impacts on macroinvertebrates and macrophyte communities (Dunn et al. 2009; Galib et al. 2021; Westman et al. 2002). In areas outside of its native range, </w:t>
            </w:r>
            <w:r w:rsidRPr="00206280">
              <w:rPr>
                <w:rFonts w:ascii="Times New Roman" w:hAnsi="Times New Roman" w:cs="Times New Roman"/>
                <w:i/>
                <w:iCs/>
                <w:sz w:val="20"/>
                <w:szCs w:val="20"/>
              </w:rPr>
              <w:t>P. leniusculus</w:t>
            </w:r>
            <w:r w:rsidRPr="00206280">
              <w:rPr>
                <w:rFonts w:ascii="Times New Roman" w:hAnsi="Times New Roman" w:cs="Times New Roman"/>
                <w:sz w:val="20"/>
                <w:szCs w:val="20"/>
              </w:rPr>
              <w:t xml:space="preserve"> constructs burrows which can weaken riverbanks and dam walls, changing their bank geomorphology, leading to erosion </w:t>
            </w:r>
            <w:r w:rsidRPr="00206280">
              <w:rPr>
                <w:rFonts w:ascii="Times New Roman" w:hAnsi="Times New Roman" w:cs="Times New Roman"/>
                <w:sz w:val="20"/>
                <w:szCs w:val="20"/>
              </w:rPr>
              <w:fldChar w:fldCharType="begin" w:fldLock="1"/>
            </w:r>
            <w:r w:rsidRPr="00206280">
              <w:rPr>
                <w:rFonts w:ascii="Times New Roman" w:hAnsi="Times New Roman" w:cs="Times New Roman"/>
                <w:sz w:val="20"/>
                <w:szCs w:val="20"/>
              </w:rPr>
              <w:instrText>ADDIN CSL_CITATION { "citationItems" : [ { "id" : "ITEM-1", "itemData" : { "author" : [ { "dropping-particle" : "", "family" : "Guan", "given" : "R.Z", "non-dropping-particle" : "", "parse-names" : false, "suffix" : "" } ], "container-title" : "Freshwater Forum", "id" : "ITEM-1", "issued" : { "date-parts" : [ [ "2010" ] ] }, "title" : "Burrowing behaviour of signal crayfish, Pacifastacus leniusculus (Dana) in the River Great Ouse, England.", "type" : "article-journal", "volume" : "4" }, "uris" : [ "http://www.mendeley.com/documents/?uuid=6fba3026-a6bc-4e1a-9fd4-6dbdf31ee24f" ] } ], "mendeley" : { "formattedCitation" : "(Guan 2010)", "plainTextFormattedCitation" : "(Guan 2010)", "previouslyFormattedCitation" : "(Guan 2010)" }, "properties" : { "noteIndex" : 0 }, "schema" : "https://github.com/citation-style-language/schema/raw/master/csl-citation.json" }</w:instrText>
            </w:r>
            <w:r w:rsidRPr="00206280">
              <w:rPr>
                <w:rFonts w:ascii="Times New Roman" w:hAnsi="Times New Roman" w:cs="Times New Roman"/>
                <w:sz w:val="20"/>
                <w:szCs w:val="20"/>
              </w:rPr>
              <w:fldChar w:fldCharType="separate"/>
            </w:r>
            <w:r w:rsidRPr="00206280">
              <w:rPr>
                <w:rFonts w:ascii="Times New Roman" w:hAnsi="Times New Roman" w:cs="Times New Roman"/>
                <w:sz w:val="20"/>
                <w:szCs w:val="20"/>
              </w:rPr>
              <w:t>(Guan 1994)</w:t>
            </w:r>
            <w:r w:rsidRPr="00206280">
              <w:rPr>
                <w:rFonts w:ascii="Times New Roman" w:hAnsi="Times New Roman" w:cs="Times New Roman"/>
                <w:sz w:val="20"/>
                <w:szCs w:val="20"/>
              </w:rPr>
              <w:fldChar w:fldCharType="end"/>
            </w:r>
            <w:r w:rsidRPr="00206280">
              <w:rPr>
                <w:rFonts w:ascii="Times New Roman" w:hAnsi="Times New Roman" w:cs="Times New Roman"/>
                <w:sz w:val="20"/>
                <w:szCs w:val="20"/>
              </w:rPr>
              <w:t>.</w:t>
            </w:r>
            <w:r w:rsidRPr="004912B2">
              <w:rPr>
                <w:rFonts w:ascii="Arial" w:hAnsi="Arial" w:cs="Arial"/>
                <w:sz w:val="20"/>
                <w:szCs w:val="20"/>
              </w:rPr>
              <w:t xml:space="preserve"> </w:t>
            </w:r>
          </w:p>
        </w:tc>
      </w:tr>
      <w:tr w:rsidR="002D7080" w:rsidRPr="004D1E6F" w14:paraId="16EF08F0" w14:textId="77777777" w:rsidTr="002E2C37">
        <w:trPr>
          <w:trHeight w:val="70"/>
        </w:trPr>
        <w:tc>
          <w:tcPr>
            <w:tcW w:w="9016" w:type="dxa"/>
            <w:gridSpan w:val="2"/>
          </w:tcPr>
          <w:p w14:paraId="262FDB30" w14:textId="77777777"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14F881A1" w14:textId="66B14973" w:rsidR="002D7080" w:rsidRPr="0078791F" w:rsidRDefault="002D7080" w:rsidP="002E2C37">
            <w:pPr>
              <w:ind w:left="720" w:hanging="720"/>
              <w:contextualSpacing/>
              <w:jc w:val="both"/>
              <w:rPr>
                <w:rFonts w:ascii="Times New Roman" w:eastAsia="Times New Roman" w:hAnsi="Times New Roman" w:cs="Times New Roman"/>
                <w:sz w:val="20"/>
                <w:szCs w:val="20"/>
                <w:lang w:eastAsia="en-ZA"/>
              </w:rPr>
            </w:pPr>
            <w:r w:rsidRPr="0078791F">
              <w:rPr>
                <w:rFonts w:ascii="Times New Roman" w:eastAsia="Times New Roman" w:hAnsi="Times New Roman" w:cs="Times New Roman"/>
                <w:sz w:val="20"/>
                <w:szCs w:val="20"/>
                <w:lang w:eastAsia="en-ZA"/>
              </w:rPr>
              <w:t xml:space="preserve">Dana ED, López–Santiago J, García–de–Lomas J, García–Ocaña DM, Gámez V &amp; Ortega F, 2010, ‘Long–term management of the invasive </w:t>
            </w:r>
            <w:r w:rsidRPr="0078791F">
              <w:rPr>
                <w:rFonts w:ascii="Times New Roman" w:eastAsia="Times New Roman" w:hAnsi="Times New Roman" w:cs="Times New Roman"/>
                <w:i/>
                <w:sz w:val="20"/>
                <w:szCs w:val="20"/>
                <w:lang w:eastAsia="en-ZA"/>
              </w:rPr>
              <w:t>Pacifastacus leniusculus</w:t>
            </w:r>
            <w:r w:rsidRPr="0078791F">
              <w:rPr>
                <w:rFonts w:ascii="Times New Roman" w:eastAsia="Times New Roman" w:hAnsi="Times New Roman" w:cs="Times New Roman"/>
                <w:sz w:val="20"/>
                <w:szCs w:val="20"/>
                <w:lang w:eastAsia="en-ZA"/>
              </w:rPr>
              <w:t xml:space="preserve"> (Dana, 1852) in a small mountain stream’, </w:t>
            </w:r>
            <w:r w:rsidRPr="0078791F">
              <w:rPr>
                <w:rFonts w:ascii="Times New Roman" w:eastAsia="Times New Roman" w:hAnsi="Times New Roman" w:cs="Times New Roman"/>
                <w:i/>
                <w:iCs/>
                <w:sz w:val="20"/>
                <w:szCs w:val="20"/>
                <w:lang w:eastAsia="en-ZA"/>
              </w:rPr>
              <w:t>Aquatic Invasions</w:t>
            </w:r>
            <w:r w:rsidRPr="0078791F">
              <w:rPr>
                <w:rFonts w:ascii="Times New Roman" w:eastAsia="Times New Roman" w:hAnsi="Times New Roman" w:cs="Times New Roman"/>
                <w:sz w:val="20"/>
                <w:szCs w:val="20"/>
                <w:lang w:eastAsia="en-ZA"/>
              </w:rPr>
              <w:t xml:space="preserve"> </w:t>
            </w:r>
            <w:r w:rsidRPr="0078791F">
              <w:rPr>
                <w:rFonts w:ascii="Times New Roman" w:eastAsia="Times New Roman" w:hAnsi="Times New Roman" w:cs="Times New Roman"/>
                <w:iCs/>
                <w:sz w:val="20"/>
                <w:szCs w:val="20"/>
                <w:lang w:eastAsia="en-ZA"/>
              </w:rPr>
              <w:t>5</w:t>
            </w:r>
            <w:r w:rsidRPr="0078791F">
              <w:rPr>
                <w:rFonts w:ascii="Times New Roman" w:eastAsia="Times New Roman" w:hAnsi="Times New Roman" w:cs="Times New Roman"/>
                <w:sz w:val="20"/>
                <w:szCs w:val="20"/>
                <w:lang w:eastAsia="en-ZA"/>
              </w:rPr>
              <w:t xml:space="preserve"> 317–322. </w:t>
            </w:r>
            <w:hyperlink r:id="rId470" w:history="1">
              <w:r w:rsidR="000E334A" w:rsidRPr="000E334A">
                <w:rPr>
                  <w:rStyle w:val="Hyperlink"/>
                  <w:rFonts w:ascii="Times New Roman" w:eastAsia="Times New Roman" w:hAnsi="Times New Roman" w:cs="Times New Roman"/>
                  <w:sz w:val="20"/>
                  <w:szCs w:val="20"/>
                  <w:lang w:eastAsia="en-ZA"/>
                </w:rPr>
                <w:t>https://doi.org/10.3391/ai.2010.5.3.10</w:t>
              </w:r>
            </w:hyperlink>
            <w:r w:rsidRPr="0078791F">
              <w:rPr>
                <w:rFonts w:ascii="Times New Roman" w:eastAsia="Times New Roman" w:hAnsi="Times New Roman" w:cs="Times New Roman"/>
                <w:sz w:val="20"/>
                <w:szCs w:val="20"/>
                <w:lang w:eastAsia="en-ZA"/>
              </w:rPr>
              <w:t>.</w:t>
            </w:r>
          </w:p>
          <w:p w14:paraId="3CC89E08" w14:textId="77777777" w:rsidR="000E334A" w:rsidRPr="000E334A" w:rsidRDefault="000E334A" w:rsidP="000E334A">
            <w:pPr>
              <w:ind w:left="720" w:hanging="720"/>
              <w:contextualSpacing/>
              <w:jc w:val="both"/>
              <w:rPr>
                <w:rFonts w:ascii="Times New Roman" w:eastAsia="Times New Roman" w:hAnsi="Times New Roman" w:cs="Times New Roman"/>
                <w:sz w:val="20"/>
                <w:szCs w:val="20"/>
                <w:lang w:eastAsia="en-ZA"/>
              </w:rPr>
            </w:pPr>
            <w:r w:rsidRPr="000E334A">
              <w:rPr>
                <w:rFonts w:ascii="Times New Roman" w:eastAsia="Times New Roman" w:hAnsi="Times New Roman" w:cs="Times New Roman"/>
                <w:sz w:val="20"/>
                <w:szCs w:val="20"/>
                <w:lang w:eastAsia="en-ZA"/>
              </w:rPr>
              <w:t xml:space="preserve">Dunn, J.C., McClymont, H.E., Christmas, M. &amp; Dunn, A.M., 2009, ‘Competition and parasitism in the native white clawed crayfish </w:t>
            </w:r>
            <w:r w:rsidRPr="000E334A">
              <w:rPr>
                <w:rFonts w:ascii="Times New Roman" w:eastAsia="Times New Roman" w:hAnsi="Times New Roman" w:cs="Times New Roman"/>
                <w:i/>
                <w:sz w:val="20"/>
                <w:szCs w:val="20"/>
                <w:lang w:eastAsia="en-ZA"/>
              </w:rPr>
              <w:t>Austropotamobius pallipes</w:t>
            </w:r>
            <w:r w:rsidRPr="000E334A">
              <w:rPr>
                <w:rFonts w:ascii="Times New Roman" w:eastAsia="Times New Roman" w:hAnsi="Times New Roman" w:cs="Times New Roman"/>
                <w:sz w:val="20"/>
                <w:szCs w:val="20"/>
                <w:lang w:eastAsia="en-ZA"/>
              </w:rPr>
              <w:t xml:space="preserve"> and the invasive signal crayfish </w:t>
            </w:r>
            <w:r w:rsidRPr="000E334A">
              <w:rPr>
                <w:rFonts w:ascii="Times New Roman" w:eastAsia="Times New Roman" w:hAnsi="Times New Roman" w:cs="Times New Roman"/>
                <w:i/>
                <w:sz w:val="20"/>
                <w:szCs w:val="20"/>
                <w:lang w:eastAsia="en-ZA"/>
              </w:rPr>
              <w:t>Pacifastacus leniusculus</w:t>
            </w:r>
            <w:r w:rsidRPr="000E334A">
              <w:rPr>
                <w:rFonts w:ascii="Times New Roman" w:eastAsia="Times New Roman" w:hAnsi="Times New Roman" w:cs="Times New Roman"/>
                <w:sz w:val="20"/>
                <w:szCs w:val="20"/>
                <w:lang w:eastAsia="en-ZA"/>
              </w:rPr>
              <w:t xml:space="preserve"> in the UK’, </w:t>
            </w:r>
            <w:r w:rsidRPr="000E334A">
              <w:rPr>
                <w:rFonts w:ascii="Times New Roman" w:eastAsia="Times New Roman" w:hAnsi="Times New Roman" w:cs="Times New Roman"/>
                <w:i/>
                <w:iCs/>
                <w:sz w:val="20"/>
                <w:szCs w:val="20"/>
                <w:lang w:eastAsia="en-ZA"/>
              </w:rPr>
              <w:t>Biological Invasions</w:t>
            </w:r>
            <w:r w:rsidRPr="000E334A">
              <w:rPr>
                <w:rFonts w:ascii="Times New Roman" w:eastAsia="Times New Roman" w:hAnsi="Times New Roman" w:cs="Times New Roman"/>
                <w:sz w:val="20"/>
                <w:szCs w:val="20"/>
                <w:lang w:eastAsia="en-ZA"/>
              </w:rPr>
              <w:t xml:space="preserve"> </w:t>
            </w:r>
            <w:r w:rsidRPr="000E334A">
              <w:rPr>
                <w:rFonts w:ascii="Times New Roman" w:eastAsia="Times New Roman" w:hAnsi="Times New Roman" w:cs="Times New Roman"/>
                <w:iCs/>
                <w:sz w:val="20"/>
                <w:szCs w:val="20"/>
                <w:lang w:eastAsia="en-ZA"/>
              </w:rPr>
              <w:t>11</w:t>
            </w:r>
            <w:r w:rsidRPr="000E334A">
              <w:rPr>
                <w:rFonts w:ascii="Times New Roman" w:eastAsia="Times New Roman" w:hAnsi="Times New Roman" w:cs="Times New Roman"/>
                <w:sz w:val="20"/>
                <w:szCs w:val="20"/>
                <w:lang w:eastAsia="en-ZA"/>
              </w:rPr>
              <w:t xml:space="preserve">, 315–324. </w:t>
            </w:r>
            <w:hyperlink r:id="rId471" w:history="1">
              <w:r w:rsidRPr="000E334A">
                <w:rPr>
                  <w:rStyle w:val="Hyperlink"/>
                  <w:rFonts w:ascii="Times New Roman" w:eastAsia="Times New Roman" w:hAnsi="Times New Roman" w:cs="Times New Roman"/>
                  <w:sz w:val="20"/>
                  <w:szCs w:val="20"/>
                  <w:lang w:eastAsia="en-ZA"/>
                </w:rPr>
                <w:t>https://doi.org/10.1007/s10530-008-9249-7</w:t>
              </w:r>
            </w:hyperlink>
            <w:r w:rsidRPr="000E334A">
              <w:rPr>
                <w:rFonts w:ascii="Times New Roman" w:eastAsia="Times New Roman" w:hAnsi="Times New Roman" w:cs="Times New Roman"/>
                <w:sz w:val="20"/>
                <w:szCs w:val="20"/>
                <w:lang w:eastAsia="en-ZA"/>
              </w:rPr>
              <w:t>.</w:t>
            </w:r>
          </w:p>
          <w:p w14:paraId="1C670398" w14:textId="16D08250" w:rsidR="002D7080" w:rsidRPr="0078791F" w:rsidRDefault="000E334A" w:rsidP="002E2C37">
            <w:pPr>
              <w:ind w:left="720" w:hanging="720"/>
              <w:contextualSpacing/>
              <w:jc w:val="both"/>
              <w:rPr>
                <w:rStyle w:val="Hyperlink"/>
                <w:rFonts w:ascii="Times New Roman" w:hAnsi="Times New Roman" w:cs="Times New Roman"/>
                <w:sz w:val="20"/>
                <w:szCs w:val="20"/>
                <w:shd w:val="clear" w:color="auto" w:fill="FFFFFF"/>
              </w:rPr>
            </w:pPr>
            <w:r w:rsidRPr="000E334A">
              <w:rPr>
                <w:rFonts w:ascii="Times New Roman" w:eastAsia="Times New Roman" w:hAnsi="Times New Roman" w:cs="Times New Roman"/>
                <w:sz w:val="20"/>
                <w:szCs w:val="20"/>
                <w:lang w:eastAsia="en-ZA"/>
              </w:rPr>
              <w:t>Galib, S.M., Findlay, J.S. &amp; Lucas, M.C., 2021, ‘Strong impacts of signal crayfish invasion on upland stream fish and invertebrate communities’, </w:t>
            </w:r>
            <w:r w:rsidRPr="000E334A">
              <w:rPr>
                <w:rFonts w:ascii="Times New Roman" w:eastAsia="Times New Roman" w:hAnsi="Times New Roman" w:cs="Times New Roman"/>
                <w:i/>
                <w:iCs/>
                <w:sz w:val="20"/>
                <w:szCs w:val="20"/>
                <w:lang w:eastAsia="en-ZA"/>
              </w:rPr>
              <w:t xml:space="preserve">Freshwater Biology </w:t>
            </w:r>
            <w:r w:rsidRPr="000E334A">
              <w:rPr>
                <w:rFonts w:ascii="Times New Roman" w:eastAsia="Times New Roman" w:hAnsi="Times New Roman" w:cs="Times New Roman"/>
                <w:sz w:val="20"/>
                <w:szCs w:val="20"/>
                <w:lang w:eastAsia="en-ZA"/>
              </w:rPr>
              <w:t>66, 223–240. </w:t>
            </w:r>
            <w:hyperlink r:id="rId472" w:history="1">
              <w:r w:rsidRPr="00F215B9">
                <w:rPr>
                  <w:rStyle w:val="Hyperlink"/>
                  <w:rFonts w:ascii="Times New Roman" w:eastAsia="Times New Roman" w:hAnsi="Times New Roman" w:cs="Times New Roman"/>
                  <w:sz w:val="20"/>
                  <w:szCs w:val="20"/>
                  <w:lang w:eastAsia="en-ZA"/>
                </w:rPr>
                <w:t>https://doi.org/10.1111/fwb.13631</w:t>
              </w:r>
            </w:hyperlink>
            <w:r w:rsidR="002D7080" w:rsidRPr="0078791F">
              <w:rPr>
                <w:rFonts w:ascii="Times New Roman" w:hAnsi="Times New Roman" w:cs="Times New Roman"/>
                <w:sz w:val="20"/>
                <w:szCs w:val="20"/>
                <w:shd w:val="clear" w:color="auto" w:fill="FFFFFF"/>
              </w:rPr>
              <w:t>.</w:t>
            </w:r>
            <w:r>
              <w:rPr>
                <w:rFonts w:ascii="Times New Roman" w:hAnsi="Times New Roman" w:cs="Times New Roman"/>
                <w:sz w:val="20"/>
                <w:szCs w:val="20"/>
                <w:shd w:val="clear" w:color="auto" w:fill="FFFFFF"/>
              </w:rPr>
              <w:t xml:space="preserve"> </w:t>
            </w:r>
          </w:p>
          <w:p w14:paraId="3701A447" w14:textId="77777777" w:rsidR="002D7080" w:rsidRPr="0078791F" w:rsidRDefault="002D7080" w:rsidP="002E2C37">
            <w:pPr>
              <w:ind w:left="720" w:hanging="720"/>
              <w:contextualSpacing/>
              <w:jc w:val="both"/>
              <w:rPr>
                <w:rFonts w:ascii="Times New Roman" w:hAnsi="Times New Roman" w:cs="Times New Roman"/>
                <w:sz w:val="20"/>
                <w:szCs w:val="20"/>
              </w:rPr>
            </w:pPr>
            <w:r w:rsidRPr="0078791F">
              <w:rPr>
                <w:rFonts w:ascii="Times New Roman" w:hAnsi="Times New Roman" w:cs="Times New Roman"/>
                <w:sz w:val="20"/>
                <w:szCs w:val="20"/>
              </w:rPr>
              <w:t xml:space="preserve">Guan, R.Z., 1994, ‘Burrowing behaviour of signal crayfish, </w:t>
            </w:r>
            <w:r w:rsidRPr="0078791F">
              <w:rPr>
                <w:rFonts w:ascii="Times New Roman" w:hAnsi="Times New Roman" w:cs="Times New Roman"/>
                <w:i/>
                <w:iCs/>
                <w:sz w:val="20"/>
                <w:szCs w:val="20"/>
              </w:rPr>
              <w:t>Pacifastacus leniusculus</w:t>
            </w:r>
            <w:r w:rsidRPr="0078791F">
              <w:rPr>
                <w:rFonts w:ascii="Times New Roman" w:hAnsi="Times New Roman" w:cs="Times New Roman"/>
                <w:sz w:val="20"/>
                <w:szCs w:val="20"/>
              </w:rPr>
              <w:t xml:space="preserve"> (Dana) in the River Great Ouse, England’, </w:t>
            </w:r>
            <w:r w:rsidRPr="0078791F">
              <w:rPr>
                <w:rFonts w:ascii="Times New Roman" w:hAnsi="Times New Roman" w:cs="Times New Roman"/>
                <w:i/>
                <w:iCs/>
                <w:sz w:val="20"/>
                <w:szCs w:val="20"/>
              </w:rPr>
              <w:t xml:space="preserve">Freshwater Forum </w:t>
            </w:r>
            <w:r w:rsidRPr="0078791F">
              <w:rPr>
                <w:rFonts w:ascii="Times New Roman" w:hAnsi="Times New Roman" w:cs="Times New Roman"/>
                <w:sz w:val="20"/>
                <w:szCs w:val="20"/>
              </w:rPr>
              <w:t>4,155–168.</w:t>
            </w:r>
          </w:p>
          <w:p w14:paraId="55080B43" w14:textId="5B2F3698" w:rsidR="002D7080" w:rsidRPr="0078791F" w:rsidRDefault="002D7080" w:rsidP="002E2C37">
            <w:pPr>
              <w:ind w:left="720" w:hanging="720"/>
              <w:contextualSpacing/>
              <w:jc w:val="both"/>
              <w:rPr>
                <w:rFonts w:ascii="Times New Roman" w:eastAsia="Times New Roman" w:hAnsi="Times New Roman" w:cs="Times New Roman"/>
                <w:sz w:val="20"/>
                <w:szCs w:val="20"/>
                <w:lang w:eastAsia="en-ZA"/>
              </w:rPr>
            </w:pPr>
            <w:r w:rsidRPr="0078791F">
              <w:rPr>
                <w:rFonts w:ascii="Times New Roman" w:eastAsia="Times New Roman" w:hAnsi="Times New Roman" w:cs="Times New Roman"/>
                <w:sz w:val="20"/>
                <w:szCs w:val="20"/>
                <w:lang w:eastAsia="en-ZA"/>
              </w:rPr>
              <w:t xml:space="preserve">Holdich, D.M. &amp; Reeve, I.D., 1991, ‘Distribution of freshwater crayfish in the British Isles, with particular reference to crayfish plague, alien introductions and water quality’, </w:t>
            </w:r>
            <w:r w:rsidRPr="0078791F">
              <w:rPr>
                <w:rFonts w:ascii="Times New Roman" w:eastAsia="Times New Roman" w:hAnsi="Times New Roman" w:cs="Times New Roman"/>
                <w:i/>
                <w:iCs/>
                <w:sz w:val="20"/>
                <w:szCs w:val="20"/>
                <w:lang w:eastAsia="en-ZA"/>
              </w:rPr>
              <w:t>Aquatic Conservation: Marine and Freshwater Ecosystems</w:t>
            </w:r>
            <w:r w:rsidRPr="0078791F">
              <w:rPr>
                <w:rFonts w:ascii="Times New Roman" w:eastAsia="Times New Roman" w:hAnsi="Times New Roman" w:cs="Times New Roman"/>
                <w:sz w:val="20"/>
                <w:szCs w:val="20"/>
                <w:lang w:eastAsia="en-ZA"/>
              </w:rPr>
              <w:t xml:space="preserve"> </w:t>
            </w:r>
            <w:r w:rsidRPr="0078791F">
              <w:rPr>
                <w:rFonts w:ascii="Times New Roman" w:eastAsia="Times New Roman" w:hAnsi="Times New Roman" w:cs="Times New Roman"/>
                <w:iCs/>
                <w:sz w:val="20"/>
                <w:szCs w:val="20"/>
                <w:lang w:eastAsia="en-ZA"/>
              </w:rPr>
              <w:t>1</w:t>
            </w:r>
            <w:r w:rsidRPr="0078791F">
              <w:rPr>
                <w:rFonts w:ascii="Times New Roman" w:eastAsia="Times New Roman" w:hAnsi="Times New Roman" w:cs="Times New Roman"/>
                <w:sz w:val="20"/>
                <w:szCs w:val="20"/>
                <w:lang w:eastAsia="en-ZA"/>
              </w:rPr>
              <w:t xml:space="preserve">, 139–158. </w:t>
            </w:r>
            <w:hyperlink r:id="rId473" w:history="1">
              <w:r w:rsidR="000E334A" w:rsidRPr="00F215B9">
                <w:rPr>
                  <w:rStyle w:val="Hyperlink"/>
                  <w:rFonts w:ascii="Times New Roman" w:eastAsia="Times New Roman" w:hAnsi="Times New Roman" w:cs="Times New Roman"/>
                  <w:sz w:val="20"/>
                  <w:szCs w:val="20"/>
                  <w:lang w:eastAsia="en-ZA"/>
                </w:rPr>
                <w:t>https://doi.org/10.1002/aqc.3270010204</w:t>
              </w:r>
            </w:hyperlink>
            <w:r w:rsidRPr="0078791F">
              <w:rPr>
                <w:rFonts w:ascii="Times New Roman" w:eastAsia="Times New Roman" w:hAnsi="Times New Roman" w:cs="Times New Roman"/>
                <w:sz w:val="20"/>
                <w:szCs w:val="20"/>
                <w:lang w:eastAsia="en-ZA"/>
              </w:rPr>
              <w:t>.</w:t>
            </w:r>
            <w:r w:rsidR="000E334A">
              <w:rPr>
                <w:rFonts w:ascii="Times New Roman" w:eastAsia="Times New Roman" w:hAnsi="Times New Roman" w:cs="Times New Roman"/>
                <w:sz w:val="20"/>
                <w:szCs w:val="20"/>
                <w:lang w:eastAsia="en-ZA"/>
              </w:rPr>
              <w:t xml:space="preserve"> </w:t>
            </w:r>
          </w:p>
          <w:p w14:paraId="30A4F084" w14:textId="3A5BA33C" w:rsidR="002D7080" w:rsidRPr="0078791F" w:rsidRDefault="002D7080" w:rsidP="002E2C37">
            <w:pPr>
              <w:ind w:left="720" w:hanging="720"/>
              <w:contextualSpacing/>
              <w:jc w:val="both"/>
              <w:rPr>
                <w:rFonts w:ascii="Times New Roman" w:hAnsi="Times New Roman" w:cs="Times New Roman"/>
                <w:sz w:val="20"/>
                <w:szCs w:val="20"/>
              </w:rPr>
            </w:pPr>
            <w:r w:rsidRPr="0078791F">
              <w:rPr>
                <w:rFonts w:ascii="Times New Roman" w:hAnsi="Times New Roman" w:cs="Times New Roman"/>
                <w:sz w:val="20"/>
                <w:szCs w:val="20"/>
              </w:rPr>
              <w:t xml:space="preserve">Huber, M.G. &amp; Schubart, C.D., 2005, ‘Distribution and reproductive biology of </w:t>
            </w:r>
            <w:r w:rsidRPr="0078791F">
              <w:rPr>
                <w:rFonts w:ascii="Times New Roman" w:hAnsi="Times New Roman" w:cs="Times New Roman"/>
                <w:i/>
                <w:iCs/>
                <w:sz w:val="20"/>
                <w:szCs w:val="20"/>
              </w:rPr>
              <w:t xml:space="preserve">Austropotamobius torrentium </w:t>
            </w:r>
            <w:r w:rsidRPr="0078791F">
              <w:rPr>
                <w:rFonts w:ascii="Times New Roman" w:hAnsi="Times New Roman" w:cs="Times New Roman"/>
                <w:sz w:val="20"/>
                <w:szCs w:val="20"/>
              </w:rPr>
              <w:t xml:space="preserve">in Bavaria and documentation of a contact zone with the alien crayfish </w:t>
            </w:r>
            <w:r w:rsidRPr="0078791F">
              <w:rPr>
                <w:rFonts w:ascii="Times New Roman" w:hAnsi="Times New Roman" w:cs="Times New Roman"/>
                <w:i/>
                <w:sz w:val="20"/>
                <w:szCs w:val="20"/>
              </w:rPr>
              <w:t>Pacifastacus leniusculus</w:t>
            </w:r>
            <w:r w:rsidRPr="0078791F">
              <w:rPr>
                <w:rFonts w:ascii="Times New Roman" w:hAnsi="Times New Roman" w:cs="Times New Roman"/>
                <w:sz w:val="20"/>
                <w:szCs w:val="20"/>
              </w:rPr>
              <w:t xml:space="preserve">’, </w:t>
            </w:r>
            <w:r w:rsidRPr="0078791F">
              <w:rPr>
                <w:rFonts w:ascii="Times New Roman" w:hAnsi="Times New Roman" w:cs="Times New Roman"/>
                <w:i/>
                <w:iCs/>
                <w:sz w:val="20"/>
                <w:szCs w:val="20"/>
              </w:rPr>
              <w:t>Bulletin Français de la Pêche et de la Pisciculture</w:t>
            </w:r>
            <w:r w:rsidRPr="0078791F">
              <w:rPr>
                <w:rFonts w:ascii="Times New Roman" w:hAnsi="Times New Roman" w:cs="Times New Roman"/>
                <w:sz w:val="20"/>
                <w:szCs w:val="20"/>
              </w:rPr>
              <w:t xml:space="preserve"> 376, 759–776. </w:t>
            </w:r>
            <w:r w:rsidR="000E334A" w:rsidRPr="000E334A">
              <w:rPr>
                <w:rFonts w:ascii="Times New Roman" w:hAnsi="Times New Roman" w:cs="Times New Roman"/>
                <w:sz w:val="20"/>
                <w:szCs w:val="20"/>
              </w:rPr>
              <w:t>https://doi.org/10.1051/kmae:2005031</w:t>
            </w:r>
            <w:r w:rsidRPr="0078791F">
              <w:rPr>
                <w:rFonts w:ascii="Times New Roman" w:hAnsi="Times New Roman" w:cs="Times New Roman"/>
                <w:sz w:val="20"/>
                <w:szCs w:val="20"/>
              </w:rPr>
              <w:t>.</w:t>
            </w:r>
          </w:p>
          <w:p w14:paraId="42ABD65D" w14:textId="4035E554" w:rsidR="002D7080" w:rsidRPr="0078791F" w:rsidRDefault="002D7080" w:rsidP="002E2C37">
            <w:pPr>
              <w:ind w:left="720" w:hanging="720"/>
              <w:contextualSpacing/>
              <w:jc w:val="both"/>
              <w:rPr>
                <w:rFonts w:ascii="Times New Roman" w:eastAsia="Times New Roman" w:hAnsi="Times New Roman" w:cs="Times New Roman"/>
                <w:bCs/>
                <w:sz w:val="20"/>
                <w:szCs w:val="20"/>
                <w:lang w:eastAsia="en-ZA"/>
              </w:rPr>
            </w:pPr>
            <w:r w:rsidRPr="0078791F">
              <w:rPr>
                <w:rStyle w:val="author"/>
                <w:rFonts w:ascii="Times New Roman" w:hAnsi="Times New Roman" w:cs="Times New Roman"/>
                <w:color w:val="1C1D1E"/>
                <w:sz w:val="20"/>
                <w:szCs w:val="20"/>
                <w:shd w:val="clear" w:color="auto" w:fill="FFFFFF"/>
              </w:rPr>
              <w:t>Madzivanzira, T.C.</w:t>
            </w:r>
            <w:r w:rsidRPr="0078791F">
              <w:rPr>
                <w:rFonts w:ascii="Times New Roman" w:hAnsi="Times New Roman" w:cs="Times New Roman"/>
                <w:color w:val="1C1D1E"/>
                <w:sz w:val="20"/>
                <w:szCs w:val="20"/>
                <w:shd w:val="clear" w:color="auto" w:fill="FFFFFF"/>
              </w:rPr>
              <w:t>, </w:t>
            </w:r>
            <w:r w:rsidRPr="0078791F">
              <w:rPr>
                <w:rStyle w:val="author"/>
                <w:rFonts w:ascii="Times New Roman" w:hAnsi="Times New Roman" w:cs="Times New Roman"/>
                <w:color w:val="1C1D1E"/>
                <w:sz w:val="20"/>
                <w:szCs w:val="20"/>
                <w:shd w:val="clear" w:color="auto" w:fill="FFFFFF"/>
              </w:rPr>
              <w:t xml:space="preserve">South, J. </w:t>
            </w:r>
            <w:r w:rsidRPr="0078791F">
              <w:rPr>
                <w:rStyle w:val="author"/>
                <w:rFonts w:ascii="Times New Roman" w:hAnsi="Times New Roman" w:cs="Times New Roman"/>
                <w:sz w:val="20"/>
                <w:szCs w:val="20"/>
              </w:rPr>
              <w:t>&amp;</w:t>
            </w:r>
            <w:r w:rsidRPr="0078791F">
              <w:rPr>
                <w:rFonts w:ascii="Times New Roman" w:hAnsi="Times New Roman" w:cs="Times New Roman"/>
                <w:color w:val="1C1D1E"/>
                <w:sz w:val="20"/>
                <w:szCs w:val="20"/>
                <w:shd w:val="clear" w:color="auto" w:fill="FFFFFF"/>
              </w:rPr>
              <w:t> </w:t>
            </w:r>
            <w:r w:rsidRPr="0078791F">
              <w:rPr>
                <w:rStyle w:val="author"/>
                <w:rFonts w:ascii="Times New Roman" w:hAnsi="Times New Roman" w:cs="Times New Roman"/>
                <w:color w:val="1C1D1E"/>
                <w:sz w:val="20"/>
                <w:szCs w:val="20"/>
                <w:shd w:val="clear" w:color="auto" w:fill="FFFFFF"/>
              </w:rPr>
              <w:t>Weyl, O.L.F</w:t>
            </w:r>
            <w:r w:rsidRPr="0078791F">
              <w:rPr>
                <w:rFonts w:ascii="Times New Roman" w:hAnsi="Times New Roman" w:cs="Times New Roman"/>
                <w:color w:val="1C1D1E"/>
                <w:sz w:val="20"/>
                <w:szCs w:val="20"/>
                <w:shd w:val="clear" w:color="auto" w:fill="FFFFFF"/>
              </w:rPr>
              <w:t>., 2021, ‘</w:t>
            </w:r>
            <w:r w:rsidRPr="0078791F">
              <w:rPr>
                <w:rStyle w:val="articletitle"/>
                <w:rFonts w:ascii="Times New Roman" w:hAnsi="Times New Roman" w:cs="Times New Roman"/>
                <w:color w:val="1C1D1E"/>
                <w:sz w:val="20"/>
                <w:szCs w:val="20"/>
                <w:shd w:val="clear" w:color="auto" w:fill="FFFFFF"/>
              </w:rPr>
              <w:t>Invasive crayfish outperform Potamonautid crabs at higher temperatures’,</w:t>
            </w:r>
            <w:r w:rsidRPr="0078791F">
              <w:rPr>
                <w:rFonts w:ascii="Times New Roman" w:hAnsi="Times New Roman" w:cs="Times New Roman"/>
                <w:color w:val="1C1D1E"/>
                <w:sz w:val="20"/>
                <w:szCs w:val="20"/>
                <w:shd w:val="clear" w:color="auto" w:fill="FFFFFF"/>
              </w:rPr>
              <w:t> </w:t>
            </w:r>
            <w:r w:rsidRPr="0078791F">
              <w:rPr>
                <w:rFonts w:ascii="Times New Roman" w:hAnsi="Times New Roman" w:cs="Times New Roman"/>
                <w:i/>
                <w:iCs/>
                <w:color w:val="1C1D1E"/>
                <w:sz w:val="20"/>
                <w:szCs w:val="20"/>
                <w:shd w:val="clear" w:color="auto" w:fill="FFFFFF"/>
              </w:rPr>
              <w:t>Freshwater Biology</w:t>
            </w:r>
            <w:r w:rsidRPr="0078791F">
              <w:rPr>
                <w:rFonts w:ascii="Times New Roman" w:hAnsi="Times New Roman" w:cs="Times New Roman"/>
                <w:color w:val="1C1D1E"/>
                <w:sz w:val="20"/>
                <w:szCs w:val="20"/>
                <w:shd w:val="clear" w:color="auto" w:fill="FFFFFF"/>
              </w:rPr>
              <w:t> </w:t>
            </w:r>
            <w:r w:rsidRPr="0078791F">
              <w:rPr>
                <w:rStyle w:val="vol"/>
                <w:rFonts w:ascii="Times New Roman" w:hAnsi="Times New Roman" w:cs="Times New Roman"/>
                <w:color w:val="1C1D1E"/>
                <w:sz w:val="20"/>
                <w:szCs w:val="20"/>
                <w:shd w:val="clear" w:color="auto" w:fill="FFFFFF"/>
              </w:rPr>
              <w:t>66,</w:t>
            </w:r>
            <w:r w:rsidRPr="0078791F">
              <w:rPr>
                <w:rFonts w:ascii="Times New Roman" w:hAnsi="Times New Roman" w:cs="Times New Roman"/>
                <w:color w:val="1C1D1E"/>
                <w:sz w:val="20"/>
                <w:szCs w:val="20"/>
                <w:shd w:val="clear" w:color="auto" w:fill="FFFFFF"/>
              </w:rPr>
              <w:t> </w:t>
            </w:r>
            <w:r w:rsidRPr="0078791F">
              <w:rPr>
                <w:rStyle w:val="pagefirst"/>
                <w:rFonts w:ascii="Times New Roman" w:hAnsi="Times New Roman" w:cs="Times New Roman"/>
                <w:color w:val="1C1D1E"/>
                <w:sz w:val="20"/>
                <w:szCs w:val="20"/>
                <w:shd w:val="clear" w:color="auto" w:fill="FFFFFF"/>
              </w:rPr>
              <w:t>978</w:t>
            </w:r>
            <w:r w:rsidRPr="0078791F">
              <w:rPr>
                <w:rFonts w:ascii="Times New Roman" w:hAnsi="Times New Roman" w:cs="Times New Roman"/>
                <w:color w:val="1C1D1E"/>
                <w:sz w:val="20"/>
                <w:szCs w:val="20"/>
                <w:shd w:val="clear" w:color="auto" w:fill="FFFFFF"/>
              </w:rPr>
              <w:t>–</w:t>
            </w:r>
            <w:r w:rsidRPr="0078791F">
              <w:rPr>
                <w:rStyle w:val="pagelast"/>
                <w:rFonts w:ascii="Times New Roman" w:hAnsi="Times New Roman" w:cs="Times New Roman"/>
                <w:color w:val="1C1D1E"/>
                <w:sz w:val="20"/>
                <w:szCs w:val="20"/>
                <w:shd w:val="clear" w:color="auto" w:fill="FFFFFF"/>
              </w:rPr>
              <w:t>991</w:t>
            </w:r>
            <w:r w:rsidRPr="0078791F">
              <w:rPr>
                <w:rFonts w:ascii="Times New Roman" w:hAnsi="Times New Roman" w:cs="Times New Roman"/>
                <w:color w:val="1C1D1E"/>
                <w:sz w:val="20"/>
                <w:szCs w:val="20"/>
                <w:shd w:val="clear" w:color="auto" w:fill="FFFFFF"/>
              </w:rPr>
              <w:t>. </w:t>
            </w:r>
            <w:r w:rsidR="00F25656" w:rsidRPr="00F25656">
              <w:rPr>
                <w:rFonts w:ascii="Times New Roman" w:hAnsi="Times New Roman" w:cs="Times New Roman"/>
                <w:sz w:val="20"/>
                <w:szCs w:val="20"/>
                <w:shd w:val="clear" w:color="auto" w:fill="FFFFFF"/>
              </w:rPr>
              <w:t>https://doi.org/10.1111/fwb.13691</w:t>
            </w:r>
            <w:r w:rsidR="000E334A">
              <w:rPr>
                <w:rFonts w:ascii="Times New Roman" w:hAnsi="Times New Roman" w:cs="Times New Roman"/>
                <w:sz w:val="20"/>
                <w:szCs w:val="20"/>
                <w:shd w:val="clear" w:color="auto" w:fill="FFFFFF"/>
              </w:rPr>
              <w:t xml:space="preserve">. </w:t>
            </w:r>
          </w:p>
          <w:p w14:paraId="0195EB6C" w14:textId="68920232" w:rsidR="000E334A" w:rsidRDefault="002D7080" w:rsidP="002E2C37">
            <w:pPr>
              <w:ind w:left="720" w:hanging="720"/>
              <w:contextualSpacing/>
              <w:jc w:val="both"/>
              <w:rPr>
                <w:rFonts w:ascii="Times New Roman" w:hAnsi="Times New Roman" w:cs="Times New Roman"/>
                <w:sz w:val="20"/>
                <w:szCs w:val="20"/>
              </w:rPr>
            </w:pPr>
            <w:r w:rsidRPr="0078791F">
              <w:rPr>
                <w:rFonts w:ascii="Times New Roman" w:hAnsi="Times New Roman" w:cs="Times New Roman"/>
                <w:color w:val="1C1D1E"/>
                <w:sz w:val="20"/>
                <w:szCs w:val="20"/>
                <w:shd w:val="clear" w:color="auto" w:fill="FFFFFF"/>
              </w:rPr>
              <w:t xml:space="preserve">Svoboda, J., Strand, D.A., Vrålstad, T., Grandjean, F., Edsman, L., Kozák, P., et al., 2014, ‘The crayfish plague pathogen can infect freshwater–inhabiting crabs’, </w:t>
            </w:r>
            <w:r w:rsidRPr="0078791F">
              <w:rPr>
                <w:rFonts w:ascii="Times New Roman" w:hAnsi="Times New Roman" w:cs="Times New Roman"/>
                <w:i/>
                <w:iCs/>
                <w:color w:val="1C1D1E"/>
                <w:sz w:val="20"/>
                <w:szCs w:val="20"/>
                <w:shd w:val="clear" w:color="auto" w:fill="FFFFFF"/>
              </w:rPr>
              <w:t>Freshwater Biology</w:t>
            </w:r>
            <w:r w:rsidRPr="0078791F">
              <w:rPr>
                <w:rFonts w:ascii="Times New Roman" w:hAnsi="Times New Roman" w:cs="Times New Roman"/>
                <w:color w:val="1C1D1E"/>
                <w:sz w:val="20"/>
                <w:szCs w:val="20"/>
                <w:shd w:val="clear" w:color="auto" w:fill="FFFFFF"/>
              </w:rPr>
              <w:t xml:space="preserve"> 59, 918–929. </w:t>
            </w:r>
            <w:hyperlink r:id="rId474" w:history="1">
              <w:r w:rsidR="000E334A" w:rsidRPr="00F215B9">
                <w:rPr>
                  <w:rStyle w:val="Hyperlink"/>
                  <w:rFonts w:ascii="Times New Roman" w:hAnsi="Times New Roman" w:cs="Times New Roman"/>
                  <w:sz w:val="20"/>
                  <w:szCs w:val="20"/>
                  <w:shd w:val="clear" w:color="auto" w:fill="FFFFFF"/>
                </w:rPr>
                <w:t>https://doi.org/10.1111/fwb.12315</w:t>
              </w:r>
            </w:hyperlink>
          </w:p>
          <w:p w14:paraId="4CDB5F97" w14:textId="446B2A5B"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78791F">
              <w:rPr>
                <w:rFonts w:ascii="Times New Roman" w:hAnsi="Times New Roman" w:cs="Times New Roman"/>
                <w:sz w:val="20"/>
                <w:szCs w:val="20"/>
              </w:rPr>
              <w:t xml:space="preserve">Westman, K., Savolainen, R. &amp; Julkunen, M., 2002, ‘Replacement of the native crayfish </w:t>
            </w:r>
            <w:r w:rsidRPr="0078791F">
              <w:rPr>
                <w:rFonts w:ascii="Times New Roman" w:hAnsi="Times New Roman" w:cs="Times New Roman"/>
                <w:i/>
                <w:sz w:val="20"/>
                <w:szCs w:val="20"/>
              </w:rPr>
              <w:t>Astacus astacus</w:t>
            </w:r>
            <w:r w:rsidRPr="0078791F">
              <w:rPr>
                <w:rFonts w:ascii="Times New Roman" w:hAnsi="Times New Roman" w:cs="Times New Roman"/>
                <w:sz w:val="20"/>
                <w:szCs w:val="20"/>
              </w:rPr>
              <w:t xml:space="preserve"> by the introduced species </w:t>
            </w:r>
            <w:r w:rsidRPr="0078791F">
              <w:rPr>
                <w:rFonts w:ascii="Times New Roman" w:hAnsi="Times New Roman" w:cs="Times New Roman"/>
                <w:i/>
                <w:sz w:val="20"/>
                <w:szCs w:val="20"/>
              </w:rPr>
              <w:t>Pacifastacus leniusculus</w:t>
            </w:r>
            <w:r w:rsidRPr="0078791F">
              <w:rPr>
                <w:rFonts w:ascii="Times New Roman" w:hAnsi="Times New Roman" w:cs="Times New Roman"/>
                <w:sz w:val="20"/>
                <w:szCs w:val="20"/>
              </w:rPr>
              <w:t xml:space="preserve"> in a small, enclosed Finnish lake: A 30–year study’, </w:t>
            </w:r>
            <w:r w:rsidRPr="0078791F">
              <w:rPr>
                <w:rFonts w:ascii="Times New Roman" w:hAnsi="Times New Roman" w:cs="Times New Roman"/>
                <w:i/>
                <w:sz w:val="20"/>
                <w:szCs w:val="20"/>
              </w:rPr>
              <w:t>Ecography</w:t>
            </w:r>
            <w:r w:rsidRPr="0078791F">
              <w:rPr>
                <w:rFonts w:ascii="Times New Roman" w:hAnsi="Times New Roman" w:cs="Times New Roman"/>
                <w:sz w:val="20"/>
                <w:szCs w:val="20"/>
              </w:rPr>
              <w:t xml:space="preserve"> 25, 53–73. </w:t>
            </w:r>
            <w:r w:rsidR="000E334A" w:rsidRPr="000E334A">
              <w:rPr>
                <w:rFonts w:ascii="Times New Roman" w:hAnsi="Times New Roman" w:cs="Times New Roman"/>
                <w:sz w:val="20"/>
                <w:szCs w:val="20"/>
              </w:rPr>
              <w:t>. https://doi.org/10.1034/j.1600-0587.2002.250107.x.</w:t>
            </w:r>
          </w:p>
        </w:tc>
      </w:tr>
    </w:tbl>
    <w:p w14:paraId="6B3693EF" w14:textId="77777777" w:rsidR="002D7080" w:rsidRPr="004D1E6F" w:rsidRDefault="002D7080" w:rsidP="002D7080">
      <w:pPr>
        <w:spacing w:after="0" w:line="240" w:lineRule="auto"/>
        <w:rPr>
          <w:rFonts w:ascii="Times New Roman" w:eastAsia="Calibri" w:hAnsi="Times New Roman" w:cs="Times New Roman"/>
          <w:b/>
          <w:sz w:val="20"/>
          <w:szCs w:val="20"/>
        </w:rPr>
      </w:pPr>
    </w:p>
    <w:p w14:paraId="27D6333C" w14:textId="77777777" w:rsidR="002D7080" w:rsidRPr="004D1E6F" w:rsidRDefault="002D7080" w:rsidP="002D7080">
      <w:pPr>
        <w:spacing w:after="0" w:line="240" w:lineRule="auto"/>
        <w:rPr>
          <w:rFonts w:ascii="Times New Roman" w:eastAsia="Calibri" w:hAnsi="Times New Roman" w:cs="Times New Roman"/>
          <w:b/>
          <w:sz w:val="20"/>
          <w:szCs w:val="20"/>
        </w:rPr>
      </w:pPr>
      <w:r w:rsidRPr="004D1E6F">
        <w:rPr>
          <w:rFonts w:ascii="Times New Roman" w:eastAsia="Times New Roman" w:hAnsi="Times New Roman" w:cs="Times New Roman"/>
          <w:b/>
          <w:sz w:val="20"/>
          <w:szCs w:val="20"/>
          <w:lang w:eastAsia="en-ZA"/>
        </w:rPr>
        <w:t>4. Management</w:t>
      </w:r>
    </w:p>
    <w:p w14:paraId="5F783E91"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9"/>
        <w:tblW w:w="9067" w:type="dxa"/>
        <w:tblLook w:val="04A0" w:firstRow="1" w:lastRow="0" w:firstColumn="1" w:lastColumn="0" w:noHBand="0" w:noVBand="1"/>
      </w:tblPr>
      <w:tblGrid>
        <w:gridCol w:w="5240"/>
        <w:gridCol w:w="3827"/>
      </w:tblGrid>
      <w:tr w:rsidR="002D7080" w:rsidRPr="006E53E4" w14:paraId="161928A7" w14:textId="77777777" w:rsidTr="002E2C37">
        <w:trPr>
          <w:trHeight w:val="188"/>
        </w:trPr>
        <w:tc>
          <w:tcPr>
            <w:tcW w:w="9067" w:type="dxa"/>
            <w:gridSpan w:val="2"/>
            <w:shd w:val="clear" w:color="auto" w:fill="F2F2F2" w:themeFill="background1" w:themeFillShade="F2"/>
          </w:tcPr>
          <w:p w14:paraId="23051C3E" w14:textId="77777777" w:rsidR="002D7080" w:rsidRPr="006E53E4" w:rsidRDefault="002D7080" w:rsidP="002E2C37">
            <w:pPr>
              <w:rPr>
                <w:rFonts w:ascii="Times New Roman" w:eastAsia="Calibri" w:hAnsi="Times New Roman" w:cs="Times New Roman"/>
                <w:sz w:val="20"/>
                <w:szCs w:val="20"/>
              </w:rPr>
            </w:pPr>
            <w:r w:rsidRPr="006E53E4">
              <w:rPr>
                <w:rFonts w:ascii="Times New Roman" w:eastAsia="Times New Roman" w:hAnsi="Times New Roman" w:cs="Times New Roman"/>
                <w:b/>
                <w:sz w:val="20"/>
                <w:szCs w:val="20"/>
                <w:lang w:eastAsia="en-ZA"/>
              </w:rPr>
              <w:t>MAN1 What is the feasibility to stop future immigration?</w:t>
            </w:r>
          </w:p>
        </w:tc>
      </w:tr>
      <w:tr w:rsidR="002D7080" w:rsidRPr="006E53E4" w14:paraId="501D69F3" w14:textId="77777777" w:rsidTr="002E2C37">
        <w:trPr>
          <w:trHeight w:val="172"/>
        </w:trPr>
        <w:tc>
          <w:tcPr>
            <w:tcW w:w="5240" w:type="dxa"/>
          </w:tcPr>
          <w:p w14:paraId="5E395600" w14:textId="77777777" w:rsidR="002D7080" w:rsidRPr="006E53E4" w:rsidRDefault="002D7080" w:rsidP="002E2C37">
            <w:pPr>
              <w:jc w:val="both"/>
              <w:rPr>
                <w:rFonts w:ascii="Times New Roman" w:eastAsia="Times New Roman" w:hAnsi="Times New Roman" w:cs="Times New Roman"/>
                <w:sz w:val="20"/>
                <w:szCs w:val="20"/>
                <w:lang w:eastAsia="en-ZA"/>
              </w:rPr>
            </w:pPr>
            <w:r w:rsidRPr="006E53E4">
              <w:rPr>
                <w:rFonts w:ascii="Times New Roman" w:eastAsia="Times New Roman" w:hAnsi="Times New Roman" w:cs="Times New Roman"/>
                <w:sz w:val="20"/>
                <w:szCs w:val="20"/>
                <w:lang w:eastAsia="en-ZA"/>
              </w:rPr>
              <w:t>Response: Medium</w:t>
            </w:r>
          </w:p>
        </w:tc>
        <w:tc>
          <w:tcPr>
            <w:tcW w:w="3827" w:type="dxa"/>
          </w:tcPr>
          <w:p w14:paraId="58A514D7" w14:textId="77777777" w:rsidR="002D7080" w:rsidRPr="006E53E4" w:rsidRDefault="002D7080" w:rsidP="002E2C37">
            <w:pPr>
              <w:jc w:val="both"/>
              <w:rPr>
                <w:rFonts w:ascii="Times New Roman" w:eastAsia="Times New Roman" w:hAnsi="Times New Roman" w:cs="Times New Roman"/>
                <w:sz w:val="20"/>
                <w:szCs w:val="20"/>
                <w:lang w:eastAsia="en-ZA"/>
              </w:rPr>
            </w:pPr>
            <w:r w:rsidRPr="006E53E4">
              <w:rPr>
                <w:rFonts w:ascii="Times New Roman" w:eastAsia="Times New Roman" w:hAnsi="Times New Roman" w:cs="Times New Roman"/>
                <w:sz w:val="20"/>
                <w:szCs w:val="20"/>
                <w:lang w:eastAsia="en-ZA"/>
              </w:rPr>
              <w:t>Confidence: Low</w:t>
            </w:r>
          </w:p>
        </w:tc>
      </w:tr>
      <w:tr w:rsidR="002D7080" w:rsidRPr="006E53E4" w14:paraId="424F22B0" w14:textId="77777777" w:rsidTr="002E2C37">
        <w:trPr>
          <w:trHeight w:val="70"/>
        </w:trPr>
        <w:tc>
          <w:tcPr>
            <w:tcW w:w="9067" w:type="dxa"/>
            <w:gridSpan w:val="2"/>
          </w:tcPr>
          <w:p w14:paraId="1376740F" w14:textId="77777777" w:rsidR="002D7080" w:rsidRPr="006E53E4" w:rsidRDefault="002D7080" w:rsidP="002E2C37">
            <w:pPr>
              <w:jc w:val="both"/>
              <w:rPr>
                <w:rFonts w:ascii="Times New Roman" w:eastAsia="Times New Roman" w:hAnsi="Times New Roman" w:cs="Times New Roman"/>
                <w:sz w:val="20"/>
                <w:szCs w:val="20"/>
                <w:lang w:eastAsia="en-ZA"/>
              </w:rPr>
            </w:pPr>
            <w:r w:rsidRPr="006E53E4">
              <w:rPr>
                <w:rFonts w:ascii="Times New Roman" w:eastAsia="Times New Roman" w:hAnsi="Times New Roman" w:cs="Times New Roman"/>
                <w:sz w:val="20"/>
                <w:szCs w:val="20"/>
                <w:lang w:eastAsia="en-ZA"/>
              </w:rPr>
              <w:t xml:space="preserve">Rationale: </w:t>
            </w:r>
            <w:r w:rsidRPr="006E53E4">
              <w:rPr>
                <w:rFonts w:ascii="Times New Roman" w:eastAsia="Times New Roman" w:hAnsi="Times New Roman" w:cs="Times New Roman"/>
                <w:i/>
                <w:iCs/>
                <w:sz w:val="20"/>
                <w:szCs w:val="20"/>
                <w:lang w:eastAsia="en-ZA"/>
              </w:rPr>
              <w:t xml:space="preserve">Pontastacus leptodactylus </w:t>
            </w:r>
            <w:r w:rsidRPr="006E53E4">
              <w:rPr>
                <w:rFonts w:ascii="Times New Roman" w:eastAsia="Times New Roman" w:hAnsi="Times New Roman" w:cs="Times New Roman"/>
                <w:sz w:val="20"/>
                <w:szCs w:val="20"/>
                <w:lang w:eastAsia="en-ZA"/>
              </w:rPr>
              <w:t xml:space="preserve">is a common species in the global pet trade and aquaculture industry </w:t>
            </w:r>
            <w:r w:rsidRPr="006E53E4">
              <w:rPr>
                <w:rFonts w:ascii="Times New Roman" w:eastAsia="Times New Roman" w:hAnsi="Times New Roman" w:cs="Times New Roman"/>
                <w:sz w:val="20"/>
                <w:szCs w:val="20"/>
                <w:lang w:eastAsia="en-ZA"/>
              </w:rPr>
              <w:fldChar w:fldCharType="begin" w:fldLock="1"/>
            </w:r>
            <w:r w:rsidRPr="006E53E4">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6E53E4">
              <w:rPr>
                <w:rFonts w:ascii="Times New Roman" w:eastAsia="Times New Roman" w:hAnsi="Times New Roman" w:cs="Times New Roman"/>
                <w:sz w:val="20"/>
                <w:szCs w:val="20"/>
                <w:lang w:eastAsia="en-ZA"/>
              </w:rPr>
              <w:fldChar w:fldCharType="separate"/>
            </w:r>
            <w:r w:rsidRPr="006E53E4">
              <w:rPr>
                <w:rFonts w:ascii="Times New Roman" w:eastAsia="Times New Roman" w:hAnsi="Times New Roman" w:cs="Times New Roman"/>
                <w:sz w:val="20"/>
                <w:szCs w:val="20"/>
                <w:lang w:eastAsia="en-ZA"/>
              </w:rPr>
              <w:t>(Faulkes 2015)</w:t>
            </w:r>
            <w:r w:rsidRPr="006E53E4">
              <w:rPr>
                <w:rFonts w:ascii="Times New Roman" w:eastAsia="Times New Roman" w:hAnsi="Times New Roman" w:cs="Times New Roman"/>
                <w:sz w:val="20"/>
                <w:szCs w:val="20"/>
                <w:lang w:eastAsia="en-ZA"/>
              </w:rPr>
              <w:fldChar w:fldCharType="end"/>
            </w:r>
            <w:r w:rsidRPr="006E53E4">
              <w:rPr>
                <w:rFonts w:ascii="Times New Roman" w:eastAsia="Times New Roman" w:hAnsi="Times New Roman" w:cs="Times New Roman"/>
                <w:sz w:val="20"/>
                <w:szCs w:val="20"/>
                <w:lang w:eastAsia="en-ZA"/>
              </w:rPr>
              <w:t>. It is suspected that</w:t>
            </w:r>
            <w:r w:rsidRPr="006E53E4">
              <w:rPr>
                <w:rFonts w:ascii="Times New Roman" w:hAnsi="Times New Roman" w:cs="Times New Roman"/>
                <w:sz w:val="20"/>
                <w:szCs w:val="20"/>
              </w:rPr>
              <w:t xml:space="preserve"> </w:t>
            </w:r>
            <w:r w:rsidRPr="006E53E4">
              <w:rPr>
                <w:rFonts w:ascii="Times New Roman" w:eastAsia="Times New Roman" w:hAnsi="Times New Roman" w:cs="Times New Roman"/>
                <w:i/>
                <w:iCs/>
                <w:sz w:val="20"/>
                <w:szCs w:val="20"/>
                <w:lang w:eastAsia="en-ZA"/>
              </w:rPr>
              <w:t xml:space="preserve">P. leptodactylus </w:t>
            </w:r>
            <w:r w:rsidRPr="006E53E4">
              <w:rPr>
                <w:rFonts w:ascii="Times New Roman" w:eastAsia="Times New Roman" w:hAnsi="Times New Roman" w:cs="Times New Roman"/>
                <w:sz w:val="20"/>
                <w:szCs w:val="20"/>
                <w:lang w:eastAsia="en-ZA"/>
              </w:rPr>
              <w:t>is present in the pet trade in South Africa, but this needs to be confirmed (Madzivanzira et al. 2021; Nunes et al. 2017). The species is absent in neighbouring countries, so unaided immigration is unlikely. Moreover, i</w:t>
            </w:r>
            <w:r w:rsidRPr="006E53E4">
              <w:rPr>
                <w:rStyle w:val="cf01"/>
                <w:rFonts w:ascii="Times New Roman" w:hAnsi="Times New Roman" w:cs="Times New Roman"/>
                <w:sz w:val="20"/>
                <w:szCs w:val="20"/>
              </w:rPr>
              <w:t xml:space="preserve">t should be possible to regulate intentional introductions legislative regulations and having an effective border surveillance and monitoring strategy (Zengeya &amp; </w:t>
            </w:r>
            <w:r w:rsidRPr="00BA6EB2">
              <w:rPr>
                <w:rStyle w:val="cf01"/>
                <w:rFonts w:ascii="Times New Roman" w:hAnsi="Times New Roman" w:cs="Times New Roman"/>
                <w:sz w:val="20"/>
                <w:szCs w:val="20"/>
              </w:rPr>
              <w:t>Wilson 2020; Wilson &amp; Kumschick 2024).</w:t>
            </w:r>
          </w:p>
        </w:tc>
      </w:tr>
      <w:tr w:rsidR="002D7080" w:rsidRPr="006E53E4" w14:paraId="106BC14C" w14:textId="77777777" w:rsidTr="002E2C37">
        <w:trPr>
          <w:trHeight w:val="108"/>
        </w:trPr>
        <w:tc>
          <w:tcPr>
            <w:tcW w:w="9067" w:type="dxa"/>
            <w:gridSpan w:val="2"/>
          </w:tcPr>
          <w:p w14:paraId="70F29F76" w14:textId="77777777" w:rsidR="002D7080" w:rsidRPr="00C5761E" w:rsidRDefault="002D7080" w:rsidP="00C5761E">
            <w:pPr>
              <w:ind w:left="720" w:hanging="720"/>
              <w:contextualSpacing/>
              <w:rPr>
                <w:rFonts w:ascii="Times New Roman" w:eastAsia="Times New Roman" w:hAnsi="Times New Roman" w:cs="Times New Roman"/>
                <w:sz w:val="20"/>
                <w:szCs w:val="20"/>
                <w:lang w:eastAsia="en-ZA"/>
              </w:rPr>
            </w:pPr>
            <w:r w:rsidRPr="006E53E4">
              <w:rPr>
                <w:rFonts w:ascii="Times New Roman" w:eastAsia="Times New Roman" w:hAnsi="Times New Roman" w:cs="Times New Roman"/>
                <w:sz w:val="20"/>
                <w:szCs w:val="20"/>
                <w:lang w:eastAsia="en-ZA"/>
              </w:rPr>
              <w:t>References:</w:t>
            </w:r>
          </w:p>
          <w:p w14:paraId="26DC76CB" w14:textId="77777777" w:rsidR="002D7080" w:rsidRPr="00C5761E" w:rsidRDefault="002D7080" w:rsidP="00C5761E">
            <w:pPr>
              <w:ind w:left="720" w:hanging="720"/>
              <w:contextualSpacing/>
              <w:jc w:val="both"/>
              <w:rPr>
                <w:rFonts w:ascii="Times New Roman" w:eastAsia="Times New Roman" w:hAnsi="Times New Roman" w:cs="Times New Roman"/>
                <w:sz w:val="20"/>
                <w:szCs w:val="20"/>
                <w:lang w:eastAsia="en-ZA"/>
              </w:rPr>
            </w:pPr>
            <w:r w:rsidRPr="00C5761E">
              <w:rPr>
                <w:rFonts w:ascii="Times New Roman" w:eastAsia="Times New Roman" w:hAnsi="Times New Roman" w:cs="Times New Roman"/>
                <w:sz w:val="20"/>
                <w:szCs w:val="20"/>
                <w:lang w:eastAsia="en-ZA"/>
              </w:rPr>
              <w:t xml:space="preserve">Faulkes, Z., 2015, ‘The global trade in crayfish as pets’, </w:t>
            </w:r>
            <w:r w:rsidRPr="00C5761E">
              <w:rPr>
                <w:rFonts w:ascii="Times New Roman" w:eastAsia="Times New Roman" w:hAnsi="Times New Roman" w:cs="Times New Roman"/>
                <w:i/>
                <w:iCs/>
                <w:sz w:val="20"/>
                <w:szCs w:val="20"/>
                <w:lang w:eastAsia="en-ZA"/>
              </w:rPr>
              <w:t>Crustacean Research</w:t>
            </w:r>
            <w:r w:rsidRPr="00C5761E">
              <w:rPr>
                <w:rFonts w:ascii="Times New Roman" w:eastAsia="Times New Roman" w:hAnsi="Times New Roman" w:cs="Times New Roman"/>
                <w:sz w:val="20"/>
                <w:szCs w:val="20"/>
                <w:lang w:eastAsia="en-ZA"/>
              </w:rPr>
              <w:t xml:space="preserve"> </w:t>
            </w:r>
            <w:r w:rsidRPr="00C5761E">
              <w:rPr>
                <w:rFonts w:ascii="Times New Roman" w:eastAsia="Times New Roman" w:hAnsi="Times New Roman" w:cs="Times New Roman"/>
                <w:iCs/>
                <w:sz w:val="20"/>
                <w:szCs w:val="20"/>
                <w:lang w:eastAsia="en-ZA"/>
              </w:rPr>
              <w:t>44</w:t>
            </w:r>
            <w:r w:rsidRPr="00C5761E">
              <w:rPr>
                <w:rFonts w:ascii="Times New Roman" w:eastAsia="Times New Roman" w:hAnsi="Times New Roman" w:cs="Times New Roman"/>
                <w:b/>
                <w:iCs/>
                <w:sz w:val="20"/>
                <w:szCs w:val="20"/>
                <w:lang w:eastAsia="en-ZA"/>
              </w:rPr>
              <w:t>,</w:t>
            </w:r>
            <w:r w:rsidRPr="00C5761E">
              <w:rPr>
                <w:rFonts w:ascii="Times New Roman" w:eastAsia="Times New Roman" w:hAnsi="Times New Roman" w:cs="Times New Roman"/>
                <w:i/>
                <w:iCs/>
                <w:sz w:val="20"/>
                <w:szCs w:val="20"/>
                <w:lang w:eastAsia="en-ZA"/>
              </w:rPr>
              <w:t xml:space="preserve"> </w:t>
            </w:r>
            <w:r w:rsidRPr="00C5761E">
              <w:rPr>
                <w:rFonts w:ascii="Times New Roman" w:eastAsia="Times New Roman" w:hAnsi="Times New Roman" w:cs="Times New Roman"/>
                <w:sz w:val="20"/>
                <w:szCs w:val="20"/>
                <w:lang w:eastAsia="en-ZA"/>
              </w:rPr>
              <w:t>75–92. https://doi.org/10.18353/crustacea.44.0_75.</w:t>
            </w:r>
          </w:p>
          <w:p w14:paraId="72C60636" w14:textId="5E44B801" w:rsidR="002D7080" w:rsidRPr="00C5761E" w:rsidRDefault="002D7080" w:rsidP="00C5761E">
            <w:pPr>
              <w:ind w:left="540" w:hanging="540"/>
              <w:contextualSpacing/>
              <w:jc w:val="both"/>
              <w:rPr>
                <w:rStyle w:val="Hyperlink"/>
                <w:rFonts w:ascii="Times New Roman" w:eastAsia="Times New Roman" w:hAnsi="Times New Roman" w:cs="Times New Roman"/>
                <w:iCs/>
                <w:sz w:val="20"/>
                <w:szCs w:val="20"/>
                <w:lang w:eastAsia="en-ZA"/>
              </w:rPr>
            </w:pPr>
            <w:r w:rsidRPr="00C5761E">
              <w:rPr>
                <w:rFonts w:ascii="Times New Roman" w:eastAsia="Times New Roman" w:hAnsi="Times New Roman" w:cs="Times New Roman"/>
                <w:sz w:val="20"/>
                <w:szCs w:val="20"/>
                <w:lang w:eastAsia="en-ZA"/>
              </w:rPr>
              <w:lastRenderedPageBreak/>
              <w:t xml:space="preserve">Madzivanzira, T.C., South, J., Wood, L.E., Nunes, A.L. &amp; Weyl, O.L.F., 2020, ‘A review of freshwater crayfish introductions in Africa’, </w:t>
            </w:r>
            <w:r w:rsidRPr="00C5761E">
              <w:rPr>
                <w:rFonts w:ascii="Times New Roman" w:eastAsia="Times New Roman" w:hAnsi="Times New Roman" w:cs="Times New Roman"/>
                <w:i/>
                <w:sz w:val="20"/>
                <w:szCs w:val="20"/>
                <w:lang w:eastAsia="en-ZA"/>
              </w:rPr>
              <w:t xml:space="preserve">Reviews in Fisheries Science &amp; Aquaculture </w:t>
            </w:r>
            <w:r w:rsidRPr="00C5761E">
              <w:rPr>
                <w:rFonts w:ascii="Times New Roman" w:eastAsia="Times New Roman" w:hAnsi="Times New Roman" w:cs="Times New Roman"/>
                <w:sz w:val="20"/>
                <w:szCs w:val="20"/>
                <w:lang w:eastAsia="en-ZA"/>
              </w:rPr>
              <w:t>1-21</w:t>
            </w:r>
            <w:r w:rsidRPr="00C5761E">
              <w:rPr>
                <w:rFonts w:ascii="Times New Roman" w:eastAsia="Times New Roman" w:hAnsi="Times New Roman" w:cs="Times New Roman"/>
                <w:i/>
                <w:sz w:val="20"/>
                <w:szCs w:val="20"/>
                <w:lang w:eastAsia="en-ZA"/>
              </w:rPr>
              <w:t>.</w:t>
            </w:r>
            <w:r w:rsidRPr="00C5761E">
              <w:rPr>
                <w:rFonts w:ascii="Times New Roman" w:eastAsia="Times New Roman" w:hAnsi="Times New Roman" w:cs="Times New Roman"/>
                <w:iCs/>
                <w:sz w:val="20"/>
                <w:szCs w:val="20"/>
                <w:lang w:eastAsia="en-ZA"/>
              </w:rPr>
              <w:t xml:space="preserve"> </w:t>
            </w:r>
            <w:r w:rsidR="00F25656" w:rsidRPr="008A0BC6">
              <w:t xml:space="preserve"> https://doi.org/10.1080/23308249.2020.1802405</w:t>
            </w:r>
          </w:p>
          <w:p w14:paraId="1777ED14" w14:textId="52CDD370" w:rsidR="00F25656" w:rsidRPr="00C5761E" w:rsidRDefault="002D7080" w:rsidP="00C5761E">
            <w:pPr>
              <w:ind w:left="360" w:hanging="360"/>
              <w:contextualSpacing/>
              <w:jc w:val="both"/>
              <w:rPr>
                <w:rFonts w:ascii="Times New Roman" w:hAnsi="Times New Roman" w:cs="Times New Roman"/>
                <w:color w:val="222222"/>
                <w:sz w:val="20"/>
                <w:szCs w:val="20"/>
                <w:shd w:val="clear" w:color="auto" w:fill="FFFFFF"/>
              </w:rPr>
            </w:pPr>
            <w:r w:rsidRPr="00C5761E">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C5761E">
              <w:rPr>
                <w:rFonts w:ascii="Times New Roman" w:eastAsia="Times New Roman" w:hAnsi="Times New Roman" w:cs="Times New Roman"/>
                <w:i/>
                <w:color w:val="000000"/>
                <w:sz w:val="20"/>
                <w:szCs w:val="20"/>
                <w:lang w:eastAsia="en-ZA"/>
              </w:rPr>
              <w:t>African Journal of Aquatic Science</w:t>
            </w:r>
            <w:r w:rsidRPr="00C5761E">
              <w:rPr>
                <w:rFonts w:ascii="Times New Roman" w:eastAsia="Times New Roman" w:hAnsi="Times New Roman" w:cs="Times New Roman"/>
                <w:color w:val="000000"/>
                <w:sz w:val="20"/>
                <w:szCs w:val="20"/>
                <w:lang w:eastAsia="en-ZA"/>
              </w:rPr>
              <w:t xml:space="preserve"> 42, 309–323, </w:t>
            </w:r>
            <w:hyperlink r:id="rId475" w:history="1">
              <w:r w:rsidR="00F25656" w:rsidRPr="008A0BC6">
                <w:rPr>
                  <w:rStyle w:val="Hyperlink"/>
                  <w:rFonts w:ascii="Times New Roman" w:hAnsi="Times New Roman" w:cs="Times New Roman"/>
                  <w:sz w:val="20"/>
                  <w:szCs w:val="20"/>
                </w:rPr>
                <w:t>https://doi.org/10.2989/16085914.2017.1405788</w:t>
              </w:r>
            </w:hyperlink>
          </w:p>
          <w:p w14:paraId="5AC416A8" w14:textId="3A48D749" w:rsidR="002D7080" w:rsidRPr="00C5761E" w:rsidRDefault="002D7080" w:rsidP="00C5761E">
            <w:pPr>
              <w:ind w:left="360" w:hanging="360"/>
              <w:contextualSpacing/>
              <w:jc w:val="both"/>
              <w:rPr>
                <w:rFonts w:ascii="Times New Roman" w:hAnsi="Times New Roman" w:cs="Times New Roman"/>
                <w:color w:val="222222"/>
                <w:sz w:val="20"/>
                <w:szCs w:val="20"/>
                <w:shd w:val="clear" w:color="auto" w:fill="FFFFFF"/>
              </w:rPr>
            </w:pPr>
            <w:r w:rsidRPr="00C5761E">
              <w:rPr>
                <w:rFonts w:ascii="Times New Roman" w:hAnsi="Times New Roman" w:cs="Times New Roman"/>
                <w:color w:val="222222"/>
                <w:sz w:val="20"/>
                <w:szCs w:val="20"/>
                <w:shd w:val="clear" w:color="auto" w:fill="FFFFFF"/>
              </w:rPr>
              <w:t>Wilson, J. R., &amp; Kumschick, S., 2024, ‘The regulation of alien species in South Africa’, </w:t>
            </w:r>
            <w:r w:rsidRPr="00C5761E">
              <w:rPr>
                <w:rFonts w:ascii="Times New Roman" w:hAnsi="Times New Roman" w:cs="Times New Roman"/>
                <w:i/>
                <w:iCs/>
                <w:color w:val="222222"/>
                <w:sz w:val="20"/>
                <w:szCs w:val="20"/>
                <w:shd w:val="clear" w:color="auto" w:fill="FFFFFF"/>
              </w:rPr>
              <w:t>South African Journal of Science</w:t>
            </w:r>
            <w:r w:rsidRPr="00C5761E">
              <w:rPr>
                <w:rFonts w:ascii="Times New Roman" w:hAnsi="Times New Roman" w:cs="Times New Roman"/>
                <w:color w:val="222222"/>
                <w:sz w:val="20"/>
                <w:szCs w:val="20"/>
                <w:shd w:val="clear" w:color="auto" w:fill="FFFFFF"/>
              </w:rPr>
              <w:t>, 120(5/6).</w:t>
            </w:r>
          </w:p>
          <w:p w14:paraId="2FA60DCA" w14:textId="77777777" w:rsidR="002D7080" w:rsidRPr="006E53E4" w:rsidRDefault="002D7080" w:rsidP="00C5761E">
            <w:pPr>
              <w:ind w:left="720" w:hanging="720"/>
              <w:contextualSpacing/>
              <w:jc w:val="both"/>
              <w:rPr>
                <w:rFonts w:ascii="Times New Roman" w:eastAsia="Times New Roman" w:hAnsi="Times New Roman" w:cs="Times New Roman"/>
                <w:sz w:val="20"/>
                <w:szCs w:val="20"/>
                <w:lang w:eastAsia="en-ZA"/>
              </w:rPr>
            </w:pPr>
            <w:r w:rsidRPr="00C5761E">
              <w:rPr>
                <w:rFonts w:ascii="Times New Roman" w:eastAsia="Times New Roman" w:hAnsi="Times New Roman" w:cs="Times New Roman"/>
                <w:sz w:val="20"/>
                <w:szCs w:val="20"/>
                <w:lang w:eastAsia="en-ZA"/>
              </w:rPr>
              <w:t xml:space="preserve">Zengeya, T.A. &amp; Wilson, J.R., (eds.) 2020, </w:t>
            </w:r>
            <w:r w:rsidRPr="00C5761E">
              <w:rPr>
                <w:rFonts w:ascii="Times New Roman" w:eastAsia="Times New Roman" w:hAnsi="Times New Roman" w:cs="Times New Roman"/>
                <w:i/>
                <w:iCs/>
                <w:sz w:val="20"/>
                <w:szCs w:val="20"/>
                <w:lang w:eastAsia="en-ZA"/>
              </w:rPr>
              <w:t>The status of biological invasions and their management in South Africa in 2019</w:t>
            </w:r>
            <w:r w:rsidRPr="00C5761E">
              <w:rPr>
                <w:rFonts w:ascii="Times New Roman" w:eastAsia="Times New Roman" w:hAnsi="Times New Roman" w:cs="Times New Roman"/>
                <w:sz w:val="20"/>
                <w:szCs w:val="20"/>
                <w:lang w:eastAsia="en-ZA"/>
              </w:rPr>
              <w:t>, pp.71, South African National Biodiversity Institute, Kirstenbosch and DSI-NRF Centre of Excellence for Invasion Biology, Stellenbosch. http://dx.doi.org/10.5281/zenodo.3947613.</w:t>
            </w:r>
          </w:p>
        </w:tc>
      </w:tr>
    </w:tbl>
    <w:p w14:paraId="10E33BF5" w14:textId="77777777" w:rsidR="002D7080" w:rsidRPr="006E53E4" w:rsidRDefault="002D7080" w:rsidP="002D7080">
      <w:pPr>
        <w:spacing w:after="0" w:line="240" w:lineRule="auto"/>
        <w:rPr>
          <w:rFonts w:ascii="Times New Roman" w:eastAsia="Times New Roman" w:hAnsi="Times New Roman" w:cs="Times New Roman"/>
          <w:sz w:val="20"/>
          <w:szCs w:val="20"/>
          <w:lang w:eastAsia="en-ZA"/>
        </w:rPr>
      </w:pPr>
    </w:p>
    <w:tbl>
      <w:tblPr>
        <w:tblStyle w:val="TableGrid19"/>
        <w:tblW w:w="9067" w:type="dxa"/>
        <w:tblLook w:val="04A0" w:firstRow="1" w:lastRow="0" w:firstColumn="1" w:lastColumn="0" w:noHBand="0" w:noVBand="1"/>
      </w:tblPr>
      <w:tblGrid>
        <w:gridCol w:w="5240"/>
        <w:gridCol w:w="3827"/>
      </w:tblGrid>
      <w:tr w:rsidR="002D7080" w:rsidRPr="006E53E4" w14:paraId="5AF81EAA" w14:textId="77777777" w:rsidTr="002E2C37">
        <w:trPr>
          <w:trHeight w:val="343"/>
        </w:trPr>
        <w:tc>
          <w:tcPr>
            <w:tcW w:w="9067" w:type="dxa"/>
            <w:gridSpan w:val="2"/>
            <w:shd w:val="clear" w:color="auto" w:fill="F2F2F2" w:themeFill="background1" w:themeFillShade="F2"/>
          </w:tcPr>
          <w:p w14:paraId="787FD415" w14:textId="77777777" w:rsidR="002D7080" w:rsidRPr="006E53E4" w:rsidRDefault="002D7080" w:rsidP="002E2C37">
            <w:pPr>
              <w:rPr>
                <w:rFonts w:ascii="Times New Roman" w:eastAsia="Times New Roman" w:hAnsi="Times New Roman" w:cs="Times New Roman"/>
                <w:b/>
                <w:sz w:val="20"/>
                <w:szCs w:val="20"/>
                <w:lang w:eastAsia="en-ZA"/>
              </w:rPr>
            </w:pPr>
            <w:r w:rsidRPr="006E53E4">
              <w:rPr>
                <w:rFonts w:ascii="Times New Roman" w:eastAsia="Times New Roman" w:hAnsi="Times New Roman" w:cs="Times New Roman"/>
                <w:b/>
                <w:sz w:val="20"/>
                <w:szCs w:val="20"/>
                <w:lang w:eastAsia="en-ZA"/>
              </w:rPr>
              <w:t>MAN2 Benefits of the Taxon</w:t>
            </w:r>
          </w:p>
        </w:tc>
      </w:tr>
      <w:tr w:rsidR="002D7080" w:rsidRPr="006E53E4" w14:paraId="2984C425" w14:textId="77777777" w:rsidTr="002E2C37">
        <w:trPr>
          <w:trHeight w:val="343"/>
        </w:trPr>
        <w:tc>
          <w:tcPr>
            <w:tcW w:w="9067" w:type="dxa"/>
            <w:gridSpan w:val="2"/>
            <w:shd w:val="clear" w:color="auto" w:fill="F2F2F2" w:themeFill="background1" w:themeFillShade="F2"/>
          </w:tcPr>
          <w:p w14:paraId="7BBD5578" w14:textId="77777777" w:rsidR="002D7080" w:rsidRPr="006E53E4" w:rsidRDefault="002D7080" w:rsidP="002E2C37">
            <w:pPr>
              <w:rPr>
                <w:rFonts w:ascii="Times New Roman" w:eastAsia="Calibri" w:hAnsi="Times New Roman" w:cs="Times New Roman"/>
                <w:sz w:val="20"/>
                <w:szCs w:val="20"/>
              </w:rPr>
            </w:pPr>
            <w:r w:rsidRPr="006E53E4">
              <w:rPr>
                <w:rFonts w:ascii="Times New Roman" w:eastAsia="Times New Roman" w:hAnsi="Times New Roman" w:cs="Times New Roman"/>
                <w:b/>
                <w:sz w:val="20"/>
                <w:szCs w:val="20"/>
                <w:lang w:eastAsia="en-ZA"/>
              </w:rPr>
              <w:t xml:space="preserve">MAN2a Socio-economic benefits of the </w:t>
            </w:r>
            <w:r w:rsidRPr="006E53E4">
              <w:rPr>
                <w:rFonts w:ascii="Times New Roman" w:eastAsia="Times New Roman" w:hAnsi="Times New Roman" w:cs="Times New Roman"/>
                <w:b/>
                <w:i/>
                <w:sz w:val="20"/>
                <w:szCs w:val="20"/>
                <w:lang w:eastAsia="en-ZA"/>
              </w:rPr>
              <w:t>Taxon</w:t>
            </w:r>
          </w:p>
        </w:tc>
      </w:tr>
      <w:tr w:rsidR="002D7080" w:rsidRPr="006E53E4" w14:paraId="1DE2ACA8" w14:textId="77777777" w:rsidTr="002E2C37">
        <w:trPr>
          <w:trHeight w:val="172"/>
        </w:trPr>
        <w:tc>
          <w:tcPr>
            <w:tcW w:w="5240" w:type="dxa"/>
          </w:tcPr>
          <w:p w14:paraId="65659A7A" w14:textId="77777777" w:rsidR="002D7080" w:rsidRPr="006E53E4" w:rsidRDefault="002D7080" w:rsidP="002E2C37">
            <w:pPr>
              <w:jc w:val="both"/>
              <w:rPr>
                <w:rFonts w:ascii="Times New Roman" w:eastAsia="Times New Roman" w:hAnsi="Times New Roman" w:cs="Times New Roman"/>
                <w:sz w:val="20"/>
                <w:szCs w:val="20"/>
                <w:lang w:eastAsia="en-ZA"/>
              </w:rPr>
            </w:pPr>
            <w:r w:rsidRPr="006E53E4">
              <w:rPr>
                <w:rFonts w:ascii="Times New Roman" w:eastAsia="Times New Roman" w:hAnsi="Times New Roman" w:cs="Times New Roman"/>
                <w:sz w:val="20"/>
                <w:szCs w:val="20"/>
                <w:lang w:eastAsia="en-ZA"/>
              </w:rPr>
              <w:t xml:space="preserve">Response: Low </w:t>
            </w:r>
          </w:p>
        </w:tc>
        <w:tc>
          <w:tcPr>
            <w:tcW w:w="3827" w:type="dxa"/>
          </w:tcPr>
          <w:p w14:paraId="05E42EC3" w14:textId="77777777" w:rsidR="002D7080" w:rsidRPr="006E53E4" w:rsidRDefault="002D7080" w:rsidP="002E2C37">
            <w:pPr>
              <w:jc w:val="both"/>
              <w:rPr>
                <w:rFonts w:ascii="Times New Roman" w:eastAsia="Times New Roman" w:hAnsi="Times New Roman" w:cs="Times New Roman"/>
                <w:sz w:val="20"/>
                <w:szCs w:val="20"/>
                <w:lang w:eastAsia="en-ZA"/>
              </w:rPr>
            </w:pPr>
            <w:r w:rsidRPr="006E53E4">
              <w:rPr>
                <w:rFonts w:ascii="Times New Roman" w:eastAsia="Times New Roman" w:hAnsi="Times New Roman" w:cs="Times New Roman"/>
                <w:sz w:val="20"/>
                <w:szCs w:val="20"/>
                <w:lang w:eastAsia="en-ZA"/>
              </w:rPr>
              <w:t>Confidence: Low</w:t>
            </w:r>
          </w:p>
        </w:tc>
      </w:tr>
      <w:tr w:rsidR="002D7080" w:rsidRPr="006E53E4" w14:paraId="3FFFE062" w14:textId="77777777" w:rsidTr="002E2C37">
        <w:trPr>
          <w:trHeight w:val="70"/>
        </w:trPr>
        <w:tc>
          <w:tcPr>
            <w:tcW w:w="9067" w:type="dxa"/>
            <w:gridSpan w:val="2"/>
          </w:tcPr>
          <w:p w14:paraId="1C067D41" w14:textId="77777777" w:rsidR="002D7080" w:rsidRPr="006E53E4" w:rsidRDefault="002D7080" w:rsidP="002E2C37">
            <w:pPr>
              <w:jc w:val="both"/>
              <w:rPr>
                <w:rFonts w:ascii="Times New Roman" w:eastAsia="Times New Roman" w:hAnsi="Times New Roman" w:cs="Times New Roman"/>
                <w:sz w:val="20"/>
                <w:szCs w:val="20"/>
                <w:lang w:eastAsia="en-ZA"/>
              </w:rPr>
            </w:pPr>
            <w:r w:rsidRPr="006E53E4">
              <w:rPr>
                <w:rFonts w:ascii="Times New Roman" w:eastAsia="Times New Roman" w:hAnsi="Times New Roman" w:cs="Times New Roman"/>
                <w:sz w:val="20"/>
                <w:szCs w:val="20"/>
                <w:lang w:eastAsia="en-ZA"/>
              </w:rPr>
              <w:t xml:space="preserve">Rationale: Globally </w:t>
            </w:r>
            <w:r w:rsidRPr="006E53E4">
              <w:rPr>
                <w:rFonts w:ascii="Times New Roman" w:eastAsia="Times New Roman" w:hAnsi="Times New Roman" w:cs="Times New Roman"/>
                <w:i/>
                <w:sz w:val="20"/>
                <w:szCs w:val="20"/>
                <w:lang w:eastAsia="en-ZA"/>
              </w:rPr>
              <w:t>P. leptodactylus</w:t>
            </w:r>
            <w:r w:rsidRPr="006E53E4">
              <w:rPr>
                <w:rFonts w:ascii="Times New Roman" w:eastAsia="Times New Roman" w:hAnsi="Times New Roman" w:cs="Times New Roman"/>
                <w:sz w:val="20"/>
                <w:szCs w:val="20"/>
                <w:lang w:eastAsia="en-ZA"/>
              </w:rPr>
              <w:t xml:space="preserve"> is introduced mainly through aquaculture </w:t>
            </w:r>
            <w:r w:rsidRPr="006E53E4">
              <w:rPr>
                <w:rFonts w:ascii="Times New Roman" w:eastAsia="Times New Roman" w:hAnsi="Times New Roman" w:cs="Times New Roman"/>
                <w:sz w:val="20"/>
                <w:szCs w:val="20"/>
                <w:lang w:eastAsia="en-ZA"/>
              </w:rPr>
              <w:fldChar w:fldCharType="begin" w:fldLock="1"/>
            </w:r>
            <w:r w:rsidRPr="006E53E4">
              <w:rPr>
                <w:rFonts w:ascii="Times New Roman" w:eastAsia="Times New Roman" w:hAnsi="Times New Roman" w:cs="Times New Roman"/>
                <w:sz w:val="20"/>
                <w:szCs w:val="20"/>
                <w:lang w:eastAsia="en-ZA"/>
              </w:rPr>
              <w:instrText>ADDIN CSL_CITATION { "citationItems" : [ { "id" : "ITEM-1", "itemData" : { "DOI" : "10.1051/alr:1993032", "ISBN" : "0990-7440", "ISSN" : "0990-7440", "abstract" : "The farming of freshwater crayfish (astaciculture) is mainly carried out in the southern states of the USA, and in Australia and Europe. Production levels Vary with climate but are in the region of 40000 to 60000 tonnes per annum. In addition, at least an equivalent amounts is harvested from the wild, particularly in North Amenca, China, Australia, Kenya, Turkey and Europe. Crayfish farming is usually cithcr of an extensive (ranching) or semi-intensive nature, intensive methods being infrequent, except for the rearing of juveniles for stocking (or restocking of natural waters depleted of crayfish). As crayfish do not have larvae and are polytrophic, they are relatively easy to rear, although fecundity is much lower when compared with other cultured crustaceans. At least 85% of world production is based on the red swamp crayfish, Procamharus clarkii, mainly from Louisiana and other southern USA states, but also from China, Kenya and Spain, where it has been introduced. In Australia, three species are of aquacultural importance, the yabbie, Cherax destructor; the marron, C. tenuimanus; and the red claw, C. quadricarinatus. Some very large production units have been built but none have lived up to their promise. The red claw is thought to have considerable aquacultural potential, but, being a tropical species, needs warm water for good growth. In Europe, the only endemic species cultured to any extent is the noble crayfish, Astacus astacus, mainly as juveniles for restocking. It fetches a higher pnce than other crayfish. The North American signal crayfish, Pacifastacus leniusculus, has been introduced to most European countries, but farmed production is relatively low. About 98% of crayfish consumed in Europe come from extensive systems or the wild harvest. European crayfish markets were upset by the collapse of the Turkish crayfishery (based on Astacus leptoductylus) due to overfishing and disease in the mid-1980s. The environmental impact of crayfish farrning is most noticeable in Europe. Crayfish plague, introduced from North America last century, ha\u00ee devastated populations of the native species in many countries. 1ts spread has been exasperated by the translocation of foreign crayfish (and probably by fish) for aquacultural purposes. In addition, introduced crayfish frequently escape into the wild and form large populations, often in direct competition with native species. Burrowing and prolific species, such as P. clarkii, can also do considerable env\u2026", "author" : [ { "dropping-particle" : "", "family" : "Holdich", "given" : "David M.", "non-dropping-particle" : "", "parse-names" : false, "suffix" : "" } ], "container-title" : "Aquatic Living Resources", "id" : "ITEM-1", "issue" : "4", "issued" : { "date-parts" : [ [ "1993" ] ] }, "page" : "307-317", "title" : "A review of astaciculture: freshwater crayfish farming", "type" : "article-journal", "volume" : "6" }, "uris" : [ "http://www.mendeley.com/documents/?uuid=9c22145c-3212-4afe-9814-df511734f170" ] }, { "id" : "ITEM-2",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"ITEM-2",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1993, Holdich et al. 2009)", "plainTextFormattedCitation" : "(Holdich 1993, Holdich et al. 2009)", "previouslyFormattedCitation" : "(Holdich 1993, Holdich et al. 2009)" }, "properties" : { "noteIndex" : 0 }, "schema" : "https://github.com/citation-style-language/schema/raw/master/csl-citation.json" }</w:instrText>
            </w:r>
            <w:r w:rsidRPr="006E53E4">
              <w:rPr>
                <w:rFonts w:ascii="Times New Roman" w:eastAsia="Times New Roman" w:hAnsi="Times New Roman" w:cs="Times New Roman"/>
                <w:sz w:val="20"/>
                <w:szCs w:val="20"/>
                <w:lang w:eastAsia="en-ZA"/>
              </w:rPr>
              <w:fldChar w:fldCharType="separate"/>
            </w:r>
            <w:r w:rsidRPr="006E53E4">
              <w:rPr>
                <w:rFonts w:ascii="Times New Roman" w:eastAsia="Times New Roman" w:hAnsi="Times New Roman" w:cs="Times New Roman"/>
                <w:sz w:val="20"/>
                <w:szCs w:val="20"/>
                <w:lang w:eastAsia="en-ZA"/>
              </w:rPr>
              <w:t>(Kouba et al. 2014)</w:t>
            </w:r>
            <w:r w:rsidRPr="006E53E4">
              <w:rPr>
                <w:rFonts w:ascii="Times New Roman" w:eastAsia="Times New Roman" w:hAnsi="Times New Roman" w:cs="Times New Roman"/>
                <w:sz w:val="20"/>
                <w:szCs w:val="20"/>
                <w:lang w:eastAsia="en-ZA"/>
              </w:rPr>
              <w:fldChar w:fldCharType="end"/>
            </w:r>
            <w:r w:rsidRPr="006E53E4">
              <w:rPr>
                <w:rFonts w:ascii="Times New Roman" w:eastAsia="Times New Roman" w:hAnsi="Times New Roman" w:cs="Times New Roman"/>
                <w:sz w:val="20"/>
                <w:szCs w:val="20"/>
                <w:lang w:eastAsia="en-ZA"/>
              </w:rPr>
              <w:t xml:space="preserve">, and the pet trade industry </w:t>
            </w:r>
            <w:r w:rsidRPr="006E53E4">
              <w:rPr>
                <w:rFonts w:ascii="Times New Roman" w:eastAsia="Times New Roman" w:hAnsi="Times New Roman" w:cs="Times New Roman"/>
                <w:sz w:val="20"/>
                <w:szCs w:val="20"/>
                <w:lang w:eastAsia="en-ZA"/>
              </w:rPr>
              <w:fldChar w:fldCharType="begin" w:fldLock="1"/>
            </w:r>
            <w:r w:rsidRPr="006E53E4">
              <w:rPr>
                <w:rFonts w:ascii="Times New Roman" w:eastAsia="Times New Roman" w:hAnsi="Times New Roman" w:cs="Times New Roman"/>
                <w:sz w:val="20"/>
                <w:szCs w:val="20"/>
                <w:lang w:eastAsia="en-ZA"/>
              </w:rPr>
              <w:instrText>ADDIN CSL_CITATION { "citationItems" : [ { "id" : "ITEM-1", "itemData" : { "DOI" : "10.1007/s10530-012-0273-2", "author" : [ { "dropping-particle" : "", "family" : "Chucholl", "given" : "Christoph", "non-dropping-particle" : "", "parse-names" : false, "suffix" : "" } ], "id" : "ITEM-1", "issued" : { "date-parts" : [ [ "2013" ] ] }, "page" : "125-141", "title" : "Invaders for sale : trade and determinants of introduction of ornamental freshwater crayfish", "type" : "article-journal" }, "uris" : [ "http://www.mendeley.com/documents/?uuid=a0511d26-a75d-4f96-93d3-d105f06fe13f" ] }, { "id" : "ITEM-2", "itemData" : { "DOI" : "10.18353/crustacea.44.0", "author" : [ { "dropping-particle" : "", "family" : "Faulkes", "given" : "Zen", "non-dropping-particle" : "", "parse-names" : false, "suffix" : "" } ], "id" : "ITEM-2", "issue" : "November", "issued" : { "date-parts" : [ [ "2015" ] ] }, "page" : "75-92", "title" : "Crustacean Research", "type" : "article-journal", "volume" : "44" }, "uris" : [ "http://www.mendeley.com/documents/?uuid=e0847d33-9219-447a-8947-11c70298c5ed" ] } ], "mendeley" : { "formattedCitation" : "(Chucholl 2013, Faulkes 2015)", "plainTextFormattedCitation" : "(Chucholl 2013, Faulkes 2015)", "previouslyFormattedCitation" : "(Chucholl 2013, Faulkes 2015)" }, "properties" : { "noteIndex" : 0 }, "schema" : "https://github.com/citation-style-language/schema/raw/master/csl-citation.json" }</w:instrText>
            </w:r>
            <w:r w:rsidRPr="006E53E4">
              <w:rPr>
                <w:rFonts w:ascii="Times New Roman" w:eastAsia="Times New Roman" w:hAnsi="Times New Roman" w:cs="Times New Roman"/>
                <w:sz w:val="20"/>
                <w:szCs w:val="20"/>
                <w:lang w:eastAsia="en-ZA"/>
              </w:rPr>
              <w:fldChar w:fldCharType="separate"/>
            </w:r>
            <w:r w:rsidRPr="006E53E4">
              <w:rPr>
                <w:rFonts w:ascii="Times New Roman" w:eastAsia="Times New Roman" w:hAnsi="Times New Roman" w:cs="Times New Roman"/>
                <w:sz w:val="20"/>
                <w:szCs w:val="20"/>
                <w:lang w:eastAsia="en-ZA"/>
              </w:rPr>
              <w:t>(Chucholl 2013; Faulkes 2015)</w:t>
            </w:r>
            <w:r w:rsidRPr="006E53E4">
              <w:rPr>
                <w:rFonts w:ascii="Times New Roman" w:eastAsia="Times New Roman" w:hAnsi="Times New Roman" w:cs="Times New Roman"/>
                <w:sz w:val="20"/>
                <w:szCs w:val="20"/>
                <w:lang w:eastAsia="en-ZA"/>
              </w:rPr>
              <w:fldChar w:fldCharType="end"/>
            </w:r>
            <w:r w:rsidRPr="006E53E4">
              <w:rPr>
                <w:rFonts w:ascii="Times New Roman" w:eastAsia="Times New Roman" w:hAnsi="Times New Roman" w:cs="Times New Roman"/>
                <w:sz w:val="20"/>
                <w:szCs w:val="20"/>
                <w:lang w:eastAsia="en-ZA"/>
              </w:rPr>
              <w:t>. No socio-economic benefits have been recorded to date in South Africa a</w:t>
            </w:r>
            <w:r>
              <w:rPr>
                <w:rFonts w:ascii="Times New Roman" w:eastAsia="Times New Roman" w:hAnsi="Times New Roman" w:cs="Times New Roman"/>
                <w:sz w:val="20"/>
                <w:szCs w:val="20"/>
                <w:lang w:eastAsia="en-ZA"/>
              </w:rPr>
              <w:t>nd</w:t>
            </w:r>
            <w:r w:rsidRPr="006E53E4">
              <w:rPr>
                <w:rFonts w:ascii="Times New Roman" w:eastAsia="Times New Roman" w:hAnsi="Times New Roman" w:cs="Times New Roman"/>
                <w:sz w:val="20"/>
                <w:szCs w:val="20"/>
                <w:lang w:eastAsia="en-ZA"/>
              </w:rPr>
              <w:t xml:space="preserve"> even if </w:t>
            </w:r>
            <w:r w:rsidRPr="004B4D3B">
              <w:rPr>
                <w:rFonts w:ascii="Times New Roman" w:eastAsia="Times New Roman" w:hAnsi="Times New Roman" w:cs="Times New Roman"/>
                <w:i/>
                <w:sz w:val="20"/>
                <w:szCs w:val="20"/>
                <w:lang w:eastAsia="en-ZA"/>
              </w:rPr>
              <w:t xml:space="preserve">P. leptodactylus </w:t>
            </w:r>
            <w:r w:rsidRPr="006E53E4">
              <w:rPr>
                <w:rFonts w:ascii="Times New Roman" w:eastAsia="Times New Roman" w:hAnsi="Times New Roman" w:cs="Times New Roman"/>
                <w:sz w:val="20"/>
                <w:szCs w:val="20"/>
                <w:lang w:eastAsia="en-ZA"/>
              </w:rPr>
              <w:t>is present the benefits are likely to be low (Madzivanzira et al. 202</w:t>
            </w:r>
            <w:r>
              <w:rPr>
                <w:rFonts w:ascii="Times New Roman" w:eastAsia="Times New Roman" w:hAnsi="Times New Roman" w:cs="Times New Roman"/>
                <w:sz w:val="20"/>
                <w:szCs w:val="20"/>
                <w:lang w:eastAsia="en-ZA"/>
              </w:rPr>
              <w:t>0</w:t>
            </w:r>
            <w:r w:rsidRPr="006E53E4">
              <w:rPr>
                <w:rFonts w:ascii="Times New Roman" w:eastAsia="Times New Roman" w:hAnsi="Times New Roman" w:cs="Times New Roman"/>
                <w:sz w:val="20"/>
                <w:szCs w:val="20"/>
                <w:lang w:eastAsia="en-ZA"/>
              </w:rPr>
              <w:t>).</w:t>
            </w:r>
          </w:p>
        </w:tc>
      </w:tr>
      <w:tr w:rsidR="002D7080" w:rsidRPr="006E53E4" w14:paraId="51C4119D" w14:textId="77777777" w:rsidTr="002E2C37">
        <w:trPr>
          <w:trHeight w:val="70"/>
        </w:trPr>
        <w:tc>
          <w:tcPr>
            <w:tcW w:w="9067" w:type="dxa"/>
            <w:gridSpan w:val="2"/>
          </w:tcPr>
          <w:p w14:paraId="564FEB2A" w14:textId="77777777" w:rsidR="002D7080" w:rsidRPr="006E53E4" w:rsidRDefault="002D7080" w:rsidP="002E2C37">
            <w:pPr>
              <w:ind w:left="720" w:hanging="720"/>
              <w:rPr>
                <w:rFonts w:ascii="Times New Roman" w:eastAsia="Times New Roman" w:hAnsi="Times New Roman" w:cs="Times New Roman"/>
                <w:sz w:val="20"/>
                <w:szCs w:val="20"/>
                <w:lang w:eastAsia="en-ZA"/>
              </w:rPr>
            </w:pPr>
            <w:r w:rsidRPr="006E53E4">
              <w:rPr>
                <w:rFonts w:ascii="Times New Roman" w:eastAsia="Times New Roman" w:hAnsi="Times New Roman" w:cs="Times New Roman"/>
                <w:sz w:val="20"/>
                <w:szCs w:val="20"/>
                <w:lang w:eastAsia="en-ZA"/>
              </w:rPr>
              <w:t>References:</w:t>
            </w:r>
          </w:p>
          <w:p w14:paraId="52FD82BF" w14:textId="673BB861" w:rsidR="002D7080" w:rsidRPr="006E53E4" w:rsidRDefault="002D7080" w:rsidP="002E2C37">
            <w:pPr>
              <w:ind w:left="720" w:hanging="720"/>
              <w:contextualSpacing/>
              <w:jc w:val="both"/>
              <w:rPr>
                <w:rFonts w:ascii="Times New Roman" w:eastAsia="Times New Roman" w:hAnsi="Times New Roman" w:cs="Times New Roman"/>
                <w:sz w:val="20"/>
                <w:szCs w:val="20"/>
                <w:lang w:eastAsia="en-ZA"/>
              </w:rPr>
            </w:pPr>
            <w:bookmarkStart w:id="18" w:name="_Hlk213611880"/>
            <w:r w:rsidRPr="006E53E4">
              <w:rPr>
                <w:rFonts w:ascii="Times New Roman" w:eastAsia="Times New Roman" w:hAnsi="Times New Roman" w:cs="Times New Roman"/>
                <w:sz w:val="20"/>
                <w:szCs w:val="20"/>
                <w:lang w:eastAsia="en-ZA"/>
              </w:rPr>
              <w:t>Kouba</w:t>
            </w:r>
            <w:r>
              <w:rPr>
                <w:rFonts w:ascii="Times New Roman" w:eastAsia="Times New Roman" w:hAnsi="Times New Roman" w:cs="Times New Roman"/>
                <w:sz w:val="20"/>
                <w:szCs w:val="20"/>
                <w:lang w:eastAsia="en-ZA"/>
              </w:rPr>
              <w:t>,</w:t>
            </w:r>
            <w:r w:rsidRPr="006E53E4">
              <w:rPr>
                <w:rFonts w:ascii="Times New Roman" w:eastAsia="Times New Roman" w:hAnsi="Times New Roman" w:cs="Times New Roman"/>
                <w:sz w:val="20"/>
                <w:szCs w:val="20"/>
                <w:lang w:eastAsia="en-ZA"/>
              </w:rPr>
              <w:t xml:space="preserve"> A</w:t>
            </w:r>
            <w:r>
              <w:rPr>
                <w:rFonts w:ascii="Times New Roman" w:eastAsia="Times New Roman" w:hAnsi="Times New Roman" w:cs="Times New Roman"/>
                <w:sz w:val="20"/>
                <w:szCs w:val="20"/>
                <w:lang w:eastAsia="en-ZA"/>
              </w:rPr>
              <w:t>.</w:t>
            </w:r>
            <w:r w:rsidRPr="006E53E4">
              <w:rPr>
                <w:rFonts w:ascii="Times New Roman" w:eastAsia="Times New Roman" w:hAnsi="Times New Roman" w:cs="Times New Roman"/>
                <w:sz w:val="20"/>
                <w:szCs w:val="20"/>
                <w:lang w:eastAsia="en-ZA"/>
              </w:rPr>
              <w:t>, Petrusek</w:t>
            </w:r>
            <w:r>
              <w:rPr>
                <w:rFonts w:ascii="Times New Roman" w:eastAsia="Times New Roman" w:hAnsi="Times New Roman" w:cs="Times New Roman"/>
                <w:sz w:val="20"/>
                <w:szCs w:val="20"/>
                <w:lang w:eastAsia="en-ZA"/>
              </w:rPr>
              <w:t>,</w:t>
            </w:r>
            <w:r w:rsidRPr="006E53E4">
              <w:rPr>
                <w:rFonts w:ascii="Times New Roman" w:eastAsia="Times New Roman" w:hAnsi="Times New Roman" w:cs="Times New Roman"/>
                <w:sz w:val="20"/>
                <w:szCs w:val="20"/>
                <w:lang w:eastAsia="en-ZA"/>
              </w:rPr>
              <w:t xml:space="preserve"> A</w:t>
            </w:r>
            <w:r>
              <w:rPr>
                <w:rFonts w:ascii="Times New Roman" w:eastAsia="Times New Roman" w:hAnsi="Times New Roman" w:cs="Times New Roman"/>
                <w:sz w:val="20"/>
                <w:szCs w:val="20"/>
                <w:lang w:eastAsia="en-ZA"/>
              </w:rPr>
              <w:t>. &amp;</w:t>
            </w:r>
            <w:r w:rsidRPr="006E53E4">
              <w:rPr>
                <w:rFonts w:ascii="Times New Roman" w:eastAsia="Times New Roman" w:hAnsi="Times New Roman" w:cs="Times New Roman"/>
                <w:sz w:val="20"/>
                <w:szCs w:val="20"/>
                <w:lang w:eastAsia="en-ZA"/>
              </w:rPr>
              <w:t xml:space="preserve"> Kozák</w:t>
            </w:r>
            <w:r>
              <w:rPr>
                <w:rFonts w:ascii="Times New Roman" w:eastAsia="Times New Roman" w:hAnsi="Times New Roman" w:cs="Times New Roman"/>
                <w:sz w:val="20"/>
                <w:szCs w:val="20"/>
                <w:lang w:eastAsia="en-ZA"/>
              </w:rPr>
              <w:t>,</w:t>
            </w:r>
            <w:r w:rsidRPr="006E53E4">
              <w:rPr>
                <w:rFonts w:ascii="Times New Roman" w:eastAsia="Times New Roman" w:hAnsi="Times New Roman" w:cs="Times New Roman"/>
                <w:sz w:val="20"/>
                <w:szCs w:val="20"/>
                <w:lang w:eastAsia="en-ZA"/>
              </w:rPr>
              <w:t xml:space="preserve"> P.</w:t>
            </w:r>
            <w:r>
              <w:rPr>
                <w:rFonts w:ascii="Times New Roman" w:eastAsia="Times New Roman" w:hAnsi="Times New Roman" w:cs="Times New Roman"/>
                <w:sz w:val="20"/>
                <w:szCs w:val="20"/>
                <w:lang w:eastAsia="en-ZA"/>
              </w:rPr>
              <w:t>,</w:t>
            </w:r>
            <w:r w:rsidRPr="006E53E4">
              <w:rPr>
                <w:rFonts w:ascii="Times New Roman" w:eastAsia="Times New Roman" w:hAnsi="Times New Roman" w:cs="Times New Roman"/>
                <w:sz w:val="20"/>
                <w:szCs w:val="20"/>
                <w:lang w:eastAsia="en-ZA"/>
              </w:rPr>
              <w:t xml:space="preserve"> 2014</w:t>
            </w:r>
            <w:r>
              <w:rPr>
                <w:rFonts w:ascii="Times New Roman" w:eastAsia="Times New Roman" w:hAnsi="Times New Roman" w:cs="Times New Roman"/>
                <w:sz w:val="20"/>
                <w:szCs w:val="20"/>
                <w:lang w:eastAsia="en-ZA"/>
              </w:rPr>
              <w:t>, ‘</w:t>
            </w:r>
            <w:r w:rsidRPr="006E53E4">
              <w:rPr>
                <w:rFonts w:ascii="Times New Roman" w:eastAsia="Times New Roman" w:hAnsi="Times New Roman" w:cs="Times New Roman"/>
                <w:sz w:val="20"/>
                <w:szCs w:val="20"/>
                <w:lang w:eastAsia="en-ZA"/>
              </w:rPr>
              <w:t>Continental-wide distribution of crayfish species in Europe: update and maps</w:t>
            </w:r>
            <w:r>
              <w:rPr>
                <w:rFonts w:ascii="Times New Roman" w:eastAsia="Times New Roman" w:hAnsi="Times New Roman" w:cs="Times New Roman"/>
                <w:sz w:val="20"/>
                <w:szCs w:val="20"/>
                <w:lang w:eastAsia="en-ZA"/>
              </w:rPr>
              <w:t>’,</w:t>
            </w:r>
            <w:r w:rsidRPr="006E53E4">
              <w:rPr>
                <w:rFonts w:ascii="Times New Roman" w:eastAsia="Times New Roman" w:hAnsi="Times New Roman" w:cs="Times New Roman"/>
                <w:sz w:val="20"/>
                <w:szCs w:val="20"/>
                <w:lang w:eastAsia="en-ZA"/>
              </w:rPr>
              <w:t xml:space="preserve"> </w:t>
            </w:r>
            <w:r w:rsidRPr="005A3567">
              <w:rPr>
                <w:rFonts w:ascii="Times New Roman" w:eastAsia="Times New Roman" w:hAnsi="Times New Roman" w:cs="Times New Roman"/>
                <w:i/>
                <w:iCs/>
                <w:sz w:val="20"/>
                <w:szCs w:val="20"/>
                <w:lang w:eastAsia="en-ZA"/>
              </w:rPr>
              <w:t>Knowledge Management of Aquatic Ecosystems</w:t>
            </w:r>
            <w:r>
              <w:rPr>
                <w:rFonts w:ascii="Times New Roman" w:eastAsia="Times New Roman" w:hAnsi="Times New Roman" w:cs="Times New Roman"/>
                <w:sz w:val="20"/>
                <w:szCs w:val="20"/>
                <w:lang w:eastAsia="en-ZA"/>
              </w:rPr>
              <w:t>,</w:t>
            </w:r>
            <w:r w:rsidRPr="006E53E4">
              <w:rPr>
                <w:rFonts w:ascii="Times New Roman" w:eastAsia="Times New Roman" w:hAnsi="Times New Roman" w:cs="Times New Roman"/>
                <w:sz w:val="20"/>
                <w:szCs w:val="20"/>
                <w:lang w:eastAsia="en-ZA"/>
              </w:rPr>
              <w:t xml:space="preserve"> 413</w:t>
            </w:r>
            <w:r>
              <w:rPr>
                <w:rFonts w:ascii="Times New Roman" w:eastAsia="Times New Roman" w:hAnsi="Times New Roman" w:cs="Times New Roman"/>
                <w:sz w:val="20"/>
                <w:szCs w:val="20"/>
                <w:lang w:eastAsia="en-ZA"/>
              </w:rPr>
              <w:t xml:space="preserve">, </w:t>
            </w:r>
            <w:r w:rsidRPr="006E53E4">
              <w:rPr>
                <w:rFonts w:ascii="Times New Roman" w:eastAsia="Times New Roman" w:hAnsi="Times New Roman" w:cs="Times New Roman"/>
                <w:sz w:val="20"/>
                <w:szCs w:val="20"/>
                <w:lang w:eastAsia="en-ZA"/>
              </w:rPr>
              <w:t>5.</w:t>
            </w:r>
            <w:r w:rsidR="00F25656">
              <w:t xml:space="preserve"> </w:t>
            </w:r>
            <w:r w:rsidR="00F25656" w:rsidRPr="00F25656">
              <w:rPr>
                <w:rFonts w:ascii="Times New Roman" w:eastAsia="Times New Roman" w:hAnsi="Times New Roman" w:cs="Times New Roman"/>
                <w:sz w:val="20"/>
                <w:szCs w:val="20"/>
                <w:lang w:eastAsia="en-ZA"/>
              </w:rPr>
              <w:t>https://doi.org/10.1051/kmae/2014007</w:t>
            </w:r>
          </w:p>
          <w:p w14:paraId="628DC714" w14:textId="3D354C86" w:rsidR="002D7080" w:rsidRPr="006E53E4" w:rsidRDefault="002D7080" w:rsidP="002E2C37">
            <w:pPr>
              <w:ind w:left="720" w:hanging="720"/>
              <w:contextualSpacing/>
              <w:jc w:val="both"/>
              <w:rPr>
                <w:rFonts w:ascii="Times New Roman" w:eastAsia="Times New Roman" w:hAnsi="Times New Roman" w:cs="Times New Roman"/>
                <w:sz w:val="20"/>
                <w:szCs w:val="20"/>
                <w:lang w:eastAsia="en-ZA"/>
              </w:rPr>
            </w:pPr>
            <w:r w:rsidRPr="006E53E4">
              <w:rPr>
                <w:rFonts w:ascii="Times New Roman" w:eastAsia="Times New Roman" w:hAnsi="Times New Roman" w:cs="Times New Roman"/>
                <w:sz w:val="20"/>
                <w:szCs w:val="20"/>
                <w:lang w:eastAsia="en-ZA"/>
              </w:rPr>
              <w:t xml:space="preserve">Chucholl, C., 2013, ‘Invaders for sale: Trade and determinants of introduction of ornamental freshwater crayfish’, </w:t>
            </w:r>
            <w:r w:rsidRPr="006E53E4">
              <w:rPr>
                <w:rFonts w:ascii="Times New Roman" w:eastAsia="Times New Roman" w:hAnsi="Times New Roman" w:cs="Times New Roman"/>
                <w:i/>
                <w:iCs/>
                <w:sz w:val="20"/>
                <w:szCs w:val="20"/>
                <w:lang w:eastAsia="en-ZA"/>
              </w:rPr>
              <w:t xml:space="preserve">Biological Invasions </w:t>
            </w:r>
            <w:r w:rsidRPr="006E53E4">
              <w:rPr>
                <w:rFonts w:ascii="Times New Roman" w:eastAsia="Times New Roman" w:hAnsi="Times New Roman" w:cs="Times New Roman"/>
                <w:iCs/>
                <w:sz w:val="20"/>
                <w:szCs w:val="20"/>
                <w:lang w:eastAsia="en-ZA"/>
              </w:rPr>
              <w:t>15</w:t>
            </w:r>
            <w:r w:rsidRPr="006E53E4">
              <w:rPr>
                <w:rFonts w:ascii="Times New Roman" w:eastAsia="Times New Roman" w:hAnsi="Times New Roman" w:cs="Times New Roman"/>
                <w:sz w:val="20"/>
                <w:szCs w:val="20"/>
                <w:lang w:eastAsia="en-ZA"/>
              </w:rPr>
              <w:t>, 125–141.</w:t>
            </w:r>
            <w:r w:rsidRPr="006E53E4">
              <w:rPr>
                <w:rFonts w:ascii="Times New Roman" w:hAnsi="Times New Roman" w:cs="Times New Roman"/>
                <w:sz w:val="20"/>
                <w:szCs w:val="20"/>
              </w:rPr>
              <w:t xml:space="preserve"> </w:t>
            </w:r>
            <w:r w:rsidR="00F25656" w:rsidRPr="00F25656">
              <w:rPr>
                <w:rFonts w:ascii="Times New Roman" w:eastAsia="Times New Roman" w:hAnsi="Times New Roman" w:cs="Times New Roman"/>
                <w:sz w:val="20"/>
                <w:szCs w:val="20"/>
                <w:lang w:eastAsia="en-ZA"/>
              </w:rPr>
              <w:t>https://doi.org/10.1007/s10530-012-0273-2</w:t>
            </w:r>
            <w:r w:rsidRPr="006E53E4">
              <w:rPr>
                <w:rFonts w:ascii="Times New Roman" w:eastAsia="Times New Roman" w:hAnsi="Times New Roman" w:cs="Times New Roman"/>
                <w:sz w:val="20"/>
                <w:szCs w:val="20"/>
                <w:lang w:eastAsia="en-ZA"/>
              </w:rPr>
              <w:t>.</w:t>
            </w:r>
          </w:p>
          <w:p w14:paraId="741B4778" w14:textId="246E534E" w:rsidR="002D7080" w:rsidRPr="006E53E4" w:rsidRDefault="002D7080" w:rsidP="002E2C37">
            <w:pPr>
              <w:ind w:left="720" w:hanging="720"/>
              <w:contextualSpacing/>
              <w:jc w:val="both"/>
              <w:rPr>
                <w:rFonts w:ascii="Times New Roman" w:eastAsia="Times New Roman" w:hAnsi="Times New Roman" w:cs="Times New Roman"/>
                <w:sz w:val="20"/>
                <w:szCs w:val="20"/>
                <w:lang w:eastAsia="en-ZA"/>
              </w:rPr>
            </w:pPr>
            <w:r w:rsidRPr="006E53E4">
              <w:rPr>
                <w:rFonts w:ascii="Times New Roman" w:eastAsia="Times New Roman" w:hAnsi="Times New Roman" w:cs="Times New Roman"/>
                <w:sz w:val="20"/>
                <w:szCs w:val="20"/>
                <w:lang w:eastAsia="en-ZA"/>
              </w:rPr>
              <w:t>Faulkes</w:t>
            </w:r>
            <w:r>
              <w:rPr>
                <w:rFonts w:ascii="Times New Roman" w:eastAsia="Times New Roman" w:hAnsi="Times New Roman" w:cs="Times New Roman"/>
                <w:sz w:val="20"/>
                <w:szCs w:val="20"/>
                <w:lang w:eastAsia="en-ZA"/>
              </w:rPr>
              <w:t>,</w:t>
            </w:r>
            <w:r w:rsidRPr="006E53E4">
              <w:rPr>
                <w:rFonts w:ascii="Times New Roman" w:eastAsia="Times New Roman" w:hAnsi="Times New Roman" w:cs="Times New Roman"/>
                <w:sz w:val="20"/>
                <w:szCs w:val="20"/>
                <w:lang w:eastAsia="en-ZA"/>
              </w:rPr>
              <w:t xml:space="preserve"> Z</w:t>
            </w:r>
            <w:r>
              <w:rPr>
                <w:rFonts w:ascii="Times New Roman" w:eastAsia="Times New Roman" w:hAnsi="Times New Roman" w:cs="Times New Roman"/>
                <w:sz w:val="20"/>
                <w:szCs w:val="20"/>
                <w:lang w:eastAsia="en-ZA"/>
              </w:rPr>
              <w:t>.</w:t>
            </w:r>
            <w:r w:rsidRPr="006E53E4">
              <w:rPr>
                <w:rFonts w:ascii="Times New Roman" w:eastAsia="Times New Roman" w:hAnsi="Times New Roman" w:cs="Times New Roman"/>
                <w:sz w:val="20"/>
                <w:szCs w:val="20"/>
                <w:lang w:eastAsia="en-ZA"/>
              </w:rPr>
              <w:t xml:space="preserve">, 2015, ‘The global trade in crayfish as pets’, </w:t>
            </w:r>
            <w:r w:rsidRPr="006E53E4">
              <w:rPr>
                <w:rFonts w:ascii="Times New Roman" w:eastAsia="Times New Roman" w:hAnsi="Times New Roman" w:cs="Times New Roman"/>
                <w:i/>
                <w:iCs/>
                <w:sz w:val="20"/>
                <w:szCs w:val="20"/>
                <w:lang w:eastAsia="en-ZA"/>
              </w:rPr>
              <w:t>Crustacean Research</w:t>
            </w:r>
            <w:r w:rsidRPr="006E53E4">
              <w:rPr>
                <w:rFonts w:ascii="Times New Roman" w:eastAsia="Times New Roman" w:hAnsi="Times New Roman" w:cs="Times New Roman"/>
                <w:sz w:val="20"/>
                <w:szCs w:val="20"/>
                <w:lang w:eastAsia="en-ZA"/>
              </w:rPr>
              <w:t xml:space="preserve"> </w:t>
            </w:r>
            <w:r w:rsidRPr="006E53E4">
              <w:rPr>
                <w:rFonts w:ascii="Times New Roman" w:eastAsia="Times New Roman" w:hAnsi="Times New Roman" w:cs="Times New Roman"/>
                <w:iCs/>
                <w:sz w:val="20"/>
                <w:szCs w:val="20"/>
                <w:lang w:eastAsia="en-ZA"/>
              </w:rPr>
              <w:t>44</w:t>
            </w:r>
            <w:r w:rsidRPr="006E53E4">
              <w:rPr>
                <w:rFonts w:ascii="Times New Roman" w:eastAsia="Times New Roman" w:hAnsi="Times New Roman" w:cs="Times New Roman"/>
                <w:sz w:val="20"/>
                <w:szCs w:val="20"/>
                <w:lang w:eastAsia="en-ZA"/>
              </w:rPr>
              <w:t xml:space="preserve">, 75–92. </w:t>
            </w:r>
            <w:r w:rsidR="00F25656" w:rsidRPr="00F25656">
              <w:rPr>
                <w:rFonts w:ascii="Times New Roman" w:eastAsia="Times New Roman" w:hAnsi="Times New Roman" w:cs="Times New Roman"/>
                <w:sz w:val="20"/>
                <w:szCs w:val="20"/>
                <w:lang w:eastAsia="en-ZA"/>
              </w:rPr>
              <w:t>https://doi.org/10.18353/crustacea.44.0_75</w:t>
            </w:r>
            <w:r w:rsidRPr="006E53E4">
              <w:rPr>
                <w:rFonts w:ascii="Times New Roman" w:eastAsia="Times New Roman" w:hAnsi="Times New Roman" w:cs="Times New Roman"/>
                <w:sz w:val="20"/>
                <w:szCs w:val="20"/>
                <w:lang w:eastAsia="en-ZA"/>
              </w:rPr>
              <w:t>.</w:t>
            </w:r>
            <w:r w:rsidR="00F25656">
              <w:rPr>
                <w:rFonts w:ascii="Times New Roman" w:eastAsia="Times New Roman" w:hAnsi="Times New Roman" w:cs="Times New Roman"/>
                <w:sz w:val="20"/>
                <w:szCs w:val="20"/>
                <w:lang w:eastAsia="en-ZA"/>
              </w:rPr>
              <w:t xml:space="preserve"> </w:t>
            </w:r>
          </w:p>
          <w:p w14:paraId="5591B470" w14:textId="244E0376" w:rsidR="002D7080" w:rsidRPr="0039009D" w:rsidRDefault="002D7080" w:rsidP="002E2C37">
            <w:pPr>
              <w:ind w:left="540" w:hanging="540"/>
              <w:contextualSpacing/>
              <w:jc w:val="both"/>
              <w:rPr>
                <w:rFonts w:ascii="Times New Roman" w:eastAsia="Times New Roman" w:hAnsi="Times New Roman" w:cs="Times New Roman"/>
                <w:iCs/>
                <w:sz w:val="20"/>
                <w:szCs w:val="20"/>
                <w:lang w:eastAsia="en-ZA"/>
              </w:rPr>
            </w:pPr>
            <w:r w:rsidRPr="007D6DA7">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7D6DA7">
              <w:rPr>
                <w:rFonts w:ascii="Times New Roman" w:eastAsia="Times New Roman" w:hAnsi="Times New Roman" w:cs="Times New Roman"/>
                <w:i/>
                <w:sz w:val="20"/>
                <w:szCs w:val="20"/>
                <w:lang w:eastAsia="en-ZA"/>
              </w:rPr>
              <w:t xml:space="preserve">Reviews in Fisheries Science &amp; Aquaculture </w:t>
            </w:r>
            <w:r w:rsidRPr="007D6DA7">
              <w:rPr>
                <w:rFonts w:ascii="Times New Roman" w:eastAsia="Times New Roman" w:hAnsi="Times New Roman" w:cs="Times New Roman"/>
                <w:sz w:val="20"/>
                <w:szCs w:val="20"/>
                <w:lang w:eastAsia="en-ZA"/>
              </w:rPr>
              <w:t>1-21</w:t>
            </w:r>
            <w:r w:rsidRPr="007D6DA7">
              <w:rPr>
                <w:rFonts w:ascii="Times New Roman" w:eastAsia="Times New Roman" w:hAnsi="Times New Roman" w:cs="Times New Roman"/>
                <w:i/>
                <w:sz w:val="20"/>
                <w:szCs w:val="20"/>
                <w:lang w:eastAsia="en-ZA"/>
              </w:rPr>
              <w:t>.</w:t>
            </w:r>
            <w:r w:rsidRPr="007D6DA7">
              <w:rPr>
                <w:rFonts w:ascii="Times New Roman" w:eastAsia="Times New Roman" w:hAnsi="Times New Roman" w:cs="Times New Roman"/>
                <w:iCs/>
                <w:sz w:val="20"/>
                <w:szCs w:val="20"/>
                <w:lang w:eastAsia="en-ZA"/>
              </w:rPr>
              <w:t xml:space="preserve"> </w:t>
            </w:r>
            <w:r w:rsidR="00F25656" w:rsidRPr="008A0BC6">
              <w:rPr>
                <w:rFonts w:ascii="Times New Roman" w:hAnsi="Times New Roman" w:cs="Times New Roman"/>
                <w:iCs/>
                <w:sz w:val="20"/>
                <w:szCs w:val="20"/>
              </w:rPr>
              <w:t>https://doi.org/10.1080/23308249.2020.1802405</w:t>
            </w:r>
            <w:bookmarkEnd w:id="18"/>
          </w:p>
        </w:tc>
      </w:tr>
      <w:tr w:rsidR="002D7080" w:rsidRPr="004D1E6F" w14:paraId="03FD8FB1" w14:textId="77777777" w:rsidTr="002E2C37">
        <w:trPr>
          <w:trHeight w:val="343"/>
        </w:trPr>
        <w:tc>
          <w:tcPr>
            <w:tcW w:w="9067" w:type="dxa"/>
            <w:gridSpan w:val="2"/>
            <w:shd w:val="clear" w:color="auto" w:fill="F2F2F2" w:themeFill="background1" w:themeFillShade="F2"/>
          </w:tcPr>
          <w:p w14:paraId="69E4A793"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MAN2b Environmental benefits of the </w:t>
            </w:r>
            <w:r w:rsidRPr="004D1E6F">
              <w:rPr>
                <w:rFonts w:ascii="Times New Roman" w:eastAsia="Times New Roman" w:hAnsi="Times New Roman" w:cs="Times New Roman"/>
                <w:b/>
                <w:i/>
                <w:sz w:val="20"/>
                <w:szCs w:val="20"/>
                <w:lang w:eastAsia="en-ZA"/>
              </w:rPr>
              <w:t>Taxon</w:t>
            </w:r>
          </w:p>
        </w:tc>
      </w:tr>
      <w:tr w:rsidR="002D7080" w:rsidRPr="004D1E6F" w14:paraId="1681D224" w14:textId="77777777" w:rsidTr="002E2C37">
        <w:trPr>
          <w:trHeight w:val="259"/>
        </w:trPr>
        <w:tc>
          <w:tcPr>
            <w:tcW w:w="5240" w:type="dxa"/>
          </w:tcPr>
          <w:p w14:paraId="317E323F" w14:textId="77777777" w:rsidR="002D7080" w:rsidRPr="0018329F" w:rsidRDefault="002D7080" w:rsidP="002E2C37">
            <w:pPr>
              <w:jc w:val="both"/>
              <w:rPr>
                <w:rFonts w:ascii="Times New Roman" w:eastAsia="Times New Roman" w:hAnsi="Times New Roman" w:cs="Times New Roman"/>
                <w:sz w:val="20"/>
                <w:szCs w:val="20"/>
                <w:lang w:eastAsia="en-ZA"/>
              </w:rPr>
            </w:pPr>
            <w:r w:rsidRPr="0018329F">
              <w:rPr>
                <w:rFonts w:ascii="Times New Roman" w:eastAsia="Times New Roman" w:hAnsi="Times New Roman" w:cs="Times New Roman"/>
                <w:sz w:val="20"/>
                <w:szCs w:val="20"/>
                <w:lang w:eastAsia="en-ZA"/>
              </w:rPr>
              <w:t xml:space="preserve">Response: Low </w:t>
            </w:r>
          </w:p>
        </w:tc>
        <w:tc>
          <w:tcPr>
            <w:tcW w:w="3827" w:type="dxa"/>
          </w:tcPr>
          <w:p w14:paraId="515A7686" w14:textId="77777777" w:rsidR="002D7080" w:rsidRPr="0018329F" w:rsidRDefault="002D7080" w:rsidP="002E2C37">
            <w:pPr>
              <w:jc w:val="both"/>
              <w:rPr>
                <w:rFonts w:ascii="Times New Roman" w:eastAsia="Times New Roman" w:hAnsi="Times New Roman" w:cs="Times New Roman"/>
                <w:sz w:val="20"/>
                <w:szCs w:val="20"/>
                <w:lang w:eastAsia="en-ZA"/>
              </w:rPr>
            </w:pPr>
            <w:r w:rsidRPr="0018329F">
              <w:rPr>
                <w:rFonts w:ascii="Times New Roman" w:eastAsia="Times New Roman" w:hAnsi="Times New Roman" w:cs="Times New Roman"/>
                <w:sz w:val="20"/>
                <w:szCs w:val="20"/>
                <w:lang w:eastAsia="en-ZA"/>
              </w:rPr>
              <w:t xml:space="preserve">Confidence: High </w:t>
            </w:r>
          </w:p>
        </w:tc>
      </w:tr>
      <w:tr w:rsidR="002D7080" w:rsidRPr="004D1E6F" w14:paraId="54985819" w14:textId="77777777" w:rsidTr="002E2C37">
        <w:trPr>
          <w:trHeight w:val="70"/>
        </w:trPr>
        <w:tc>
          <w:tcPr>
            <w:tcW w:w="9067" w:type="dxa"/>
            <w:gridSpan w:val="2"/>
          </w:tcPr>
          <w:p w14:paraId="0D67724B" w14:textId="77777777" w:rsidR="002D7080" w:rsidRPr="0018329F" w:rsidRDefault="002D7080" w:rsidP="002E2C37">
            <w:pPr>
              <w:jc w:val="both"/>
              <w:rPr>
                <w:rFonts w:ascii="Times New Roman" w:eastAsia="Times New Roman" w:hAnsi="Times New Roman" w:cs="Times New Roman"/>
                <w:sz w:val="20"/>
                <w:szCs w:val="20"/>
                <w:lang w:eastAsia="en-ZA"/>
              </w:rPr>
            </w:pPr>
            <w:r w:rsidRPr="0018329F">
              <w:rPr>
                <w:rFonts w:ascii="Times New Roman" w:eastAsia="Times New Roman" w:hAnsi="Times New Roman" w:cs="Times New Roman"/>
                <w:sz w:val="20"/>
                <w:szCs w:val="20"/>
                <w:lang w:eastAsia="en-ZA"/>
              </w:rPr>
              <w:t xml:space="preserve">Rationale: There are no recorded environmental benefits of </w:t>
            </w:r>
            <w:r w:rsidRPr="0018329F">
              <w:rPr>
                <w:rFonts w:ascii="Times New Roman" w:eastAsia="Times New Roman" w:hAnsi="Times New Roman" w:cs="Times New Roman"/>
                <w:i/>
                <w:iCs/>
                <w:sz w:val="20"/>
                <w:szCs w:val="20"/>
                <w:lang w:eastAsia="en-ZA"/>
              </w:rPr>
              <w:t>P. leptodactylus</w:t>
            </w:r>
          </w:p>
        </w:tc>
      </w:tr>
      <w:tr w:rsidR="002D7080" w:rsidRPr="004D1E6F" w14:paraId="75D4E2F4" w14:textId="77777777" w:rsidTr="002E2C37">
        <w:trPr>
          <w:trHeight w:val="70"/>
        </w:trPr>
        <w:tc>
          <w:tcPr>
            <w:tcW w:w="9067" w:type="dxa"/>
            <w:gridSpan w:val="2"/>
          </w:tcPr>
          <w:p w14:paraId="7378A167"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03139245"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9"/>
        <w:tblW w:w="9067" w:type="dxa"/>
        <w:tblLook w:val="04A0" w:firstRow="1" w:lastRow="0" w:firstColumn="1" w:lastColumn="0" w:noHBand="0" w:noVBand="1"/>
      </w:tblPr>
      <w:tblGrid>
        <w:gridCol w:w="5240"/>
        <w:gridCol w:w="3827"/>
      </w:tblGrid>
      <w:tr w:rsidR="002D7080" w:rsidRPr="00C4037B" w14:paraId="2A5A5C34" w14:textId="77777777" w:rsidTr="002E2C37">
        <w:trPr>
          <w:trHeight w:val="343"/>
        </w:trPr>
        <w:tc>
          <w:tcPr>
            <w:tcW w:w="9067" w:type="dxa"/>
            <w:gridSpan w:val="2"/>
            <w:shd w:val="clear" w:color="auto" w:fill="F2F2F2" w:themeFill="background1" w:themeFillShade="F2"/>
          </w:tcPr>
          <w:p w14:paraId="20DF1CA3" w14:textId="77777777" w:rsidR="002D7080" w:rsidRPr="00C4037B" w:rsidRDefault="002D7080" w:rsidP="002E2C37">
            <w:pPr>
              <w:rPr>
                <w:rFonts w:ascii="Times New Roman" w:eastAsia="Times New Roman" w:hAnsi="Times New Roman" w:cs="Times New Roman"/>
                <w:b/>
                <w:sz w:val="20"/>
                <w:szCs w:val="20"/>
                <w:lang w:eastAsia="en-ZA"/>
              </w:rPr>
            </w:pPr>
            <w:r w:rsidRPr="00C4037B">
              <w:rPr>
                <w:rFonts w:ascii="Times New Roman" w:eastAsia="Times New Roman" w:hAnsi="Times New Roman" w:cs="Times New Roman"/>
                <w:b/>
                <w:sz w:val="20"/>
                <w:szCs w:val="20"/>
                <w:lang w:eastAsia="en-ZA"/>
              </w:rPr>
              <w:t>MAN3 Ease of management</w:t>
            </w:r>
          </w:p>
        </w:tc>
      </w:tr>
      <w:tr w:rsidR="002D7080" w:rsidRPr="00C4037B" w14:paraId="1CCA8883" w14:textId="77777777" w:rsidTr="002E2C37">
        <w:trPr>
          <w:trHeight w:val="343"/>
        </w:trPr>
        <w:tc>
          <w:tcPr>
            <w:tcW w:w="9067" w:type="dxa"/>
            <w:gridSpan w:val="2"/>
            <w:shd w:val="clear" w:color="auto" w:fill="F2F2F2" w:themeFill="background1" w:themeFillShade="F2"/>
          </w:tcPr>
          <w:p w14:paraId="67901034" w14:textId="77777777" w:rsidR="002D7080" w:rsidRPr="00C4037B" w:rsidRDefault="002D7080" w:rsidP="002E2C37">
            <w:pPr>
              <w:rPr>
                <w:rFonts w:ascii="Times New Roman" w:eastAsia="Calibri" w:hAnsi="Times New Roman" w:cs="Times New Roman"/>
                <w:sz w:val="20"/>
                <w:szCs w:val="20"/>
              </w:rPr>
            </w:pPr>
            <w:r w:rsidRPr="00C4037B">
              <w:rPr>
                <w:rFonts w:ascii="Times New Roman" w:eastAsia="Times New Roman" w:hAnsi="Times New Roman" w:cs="Times New Roman"/>
                <w:b/>
                <w:sz w:val="20"/>
                <w:szCs w:val="20"/>
                <w:lang w:eastAsia="en-ZA"/>
              </w:rPr>
              <w:t>MAN3a How accessible are populations?</w:t>
            </w:r>
          </w:p>
        </w:tc>
      </w:tr>
      <w:tr w:rsidR="002D7080" w:rsidRPr="00C4037B" w14:paraId="722750C8" w14:textId="77777777" w:rsidTr="002E2C37">
        <w:trPr>
          <w:trHeight w:val="183"/>
        </w:trPr>
        <w:tc>
          <w:tcPr>
            <w:tcW w:w="5240" w:type="dxa"/>
          </w:tcPr>
          <w:p w14:paraId="20E3D977" w14:textId="77777777" w:rsidR="002D7080" w:rsidRPr="00C4037B"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Response: 2 (difficult to access)</w:t>
            </w:r>
          </w:p>
        </w:tc>
        <w:tc>
          <w:tcPr>
            <w:tcW w:w="3827" w:type="dxa"/>
          </w:tcPr>
          <w:p w14:paraId="601A75D5" w14:textId="77777777" w:rsidR="002D7080" w:rsidRPr="00C4037B"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Confidence: Low</w:t>
            </w:r>
          </w:p>
        </w:tc>
      </w:tr>
      <w:tr w:rsidR="002D7080" w:rsidRPr="00C4037B" w14:paraId="2E125981" w14:textId="77777777" w:rsidTr="002E2C37">
        <w:trPr>
          <w:trHeight w:val="163"/>
        </w:trPr>
        <w:tc>
          <w:tcPr>
            <w:tcW w:w="9067" w:type="dxa"/>
            <w:gridSpan w:val="2"/>
          </w:tcPr>
          <w:p w14:paraId="6952F1C7" w14:textId="77777777" w:rsidR="002D7080" w:rsidRPr="00C4037B" w:rsidRDefault="002D7080" w:rsidP="002E2C37">
            <w:pPr>
              <w:jc w:val="both"/>
              <w:rPr>
                <w:rFonts w:ascii="Times New Roman" w:eastAsia="Times New Roman" w:hAnsi="Times New Roman" w:cs="Times New Roman"/>
                <w:i/>
                <w:sz w:val="20"/>
                <w:szCs w:val="20"/>
                <w:lang w:eastAsia="en-ZA"/>
              </w:rPr>
            </w:pPr>
            <w:r w:rsidRPr="00C4037B">
              <w:rPr>
                <w:rFonts w:ascii="Times New Roman" w:eastAsia="Times New Roman" w:hAnsi="Times New Roman" w:cs="Times New Roman"/>
                <w:sz w:val="20"/>
                <w:szCs w:val="20"/>
                <w:lang w:eastAsia="en-ZA"/>
              </w:rPr>
              <w:t xml:space="preserve">Rationale: There are no locality records for </w:t>
            </w:r>
            <w:r w:rsidRPr="00C4037B">
              <w:rPr>
                <w:rFonts w:ascii="Times New Roman" w:eastAsia="Times New Roman" w:hAnsi="Times New Roman" w:cs="Times New Roman"/>
                <w:i/>
                <w:iCs/>
                <w:sz w:val="20"/>
                <w:szCs w:val="20"/>
                <w:lang w:eastAsia="en-ZA"/>
              </w:rPr>
              <w:t xml:space="preserve">P. leptodactylus </w:t>
            </w:r>
            <w:r w:rsidRPr="00C4037B">
              <w:rPr>
                <w:rFonts w:ascii="Times New Roman" w:eastAsia="Times New Roman" w:hAnsi="Times New Roman" w:cs="Times New Roman"/>
                <w:sz w:val="20"/>
                <w:szCs w:val="20"/>
                <w:lang w:eastAsia="en-ZA"/>
              </w:rPr>
              <w:t>in South Africa (Madzivanzira et al. 202</w:t>
            </w:r>
            <w:r>
              <w:rPr>
                <w:rFonts w:ascii="Times New Roman" w:eastAsia="Times New Roman" w:hAnsi="Times New Roman" w:cs="Times New Roman"/>
                <w:sz w:val="20"/>
                <w:szCs w:val="20"/>
                <w:lang w:eastAsia="en-ZA"/>
              </w:rPr>
              <w:t>0</w:t>
            </w:r>
            <w:r w:rsidRPr="00C4037B">
              <w:rPr>
                <w:rFonts w:ascii="Times New Roman" w:eastAsia="Times New Roman" w:hAnsi="Times New Roman" w:cs="Times New Roman"/>
                <w:sz w:val="20"/>
                <w:szCs w:val="20"/>
                <w:lang w:eastAsia="en-ZA"/>
              </w:rPr>
              <w:t xml:space="preserve">; Nunes et al. 2017). However, given that it is </w:t>
            </w:r>
            <w:r>
              <w:rPr>
                <w:rFonts w:ascii="Times New Roman" w:eastAsia="Times New Roman" w:hAnsi="Times New Roman" w:cs="Times New Roman"/>
                <w:sz w:val="20"/>
                <w:szCs w:val="20"/>
                <w:lang w:eastAsia="en-ZA"/>
              </w:rPr>
              <w:t xml:space="preserve">a </w:t>
            </w:r>
            <w:r w:rsidRPr="00C4037B">
              <w:rPr>
                <w:rFonts w:ascii="Times New Roman" w:eastAsia="Times New Roman" w:hAnsi="Times New Roman" w:cs="Times New Roman"/>
                <w:sz w:val="20"/>
                <w:szCs w:val="20"/>
                <w:lang w:eastAsia="en-ZA"/>
              </w:rPr>
              <w:t>small burrowing freshwater, accessibility is likely to be difficult</w:t>
            </w:r>
            <w:r>
              <w:rPr>
                <w:rFonts w:ascii="Times New Roman" w:eastAsia="Times New Roman" w:hAnsi="Times New Roman" w:cs="Times New Roman"/>
                <w:sz w:val="20"/>
                <w:szCs w:val="20"/>
                <w:lang w:eastAsia="en-ZA"/>
              </w:rPr>
              <w:t xml:space="preserve"> </w:t>
            </w:r>
            <w:r w:rsidRPr="00C4037B">
              <w:rPr>
                <w:rFonts w:ascii="Times New Roman" w:eastAsia="Times New Roman" w:hAnsi="Times New Roman" w:cs="Times New Roman"/>
                <w:sz w:val="20"/>
                <w:szCs w:val="20"/>
                <w:lang w:eastAsia="en-ZA"/>
              </w:rPr>
              <w:t>(Peeters et al. 2023; CABI 2024).</w:t>
            </w:r>
            <w:r w:rsidRPr="00C4037B">
              <w:rPr>
                <w:rFonts w:ascii="Times New Roman" w:eastAsia="Times New Roman" w:hAnsi="Times New Roman" w:cs="Times New Roman"/>
                <w:sz w:val="20"/>
                <w:szCs w:val="20"/>
                <w:u w:val="single"/>
                <w:lang w:eastAsia="en-ZA"/>
              </w:rPr>
              <w:t xml:space="preserve"> </w:t>
            </w:r>
          </w:p>
        </w:tc>
      </w:tr>
      <w:tr w:rsidR="002D7080" w:rsidRPr="00C4037B" w14:paraId="73B47F4A" w14:textId="77777777" w:rsidTr="002E2C37">
        <w:trPr>
          <w:trHeight w:val="70"/>
        </w:trPr>
        <w:tc>
          <w:tcPr>
            <w:tcW w:w="9067" w:type="dxa"/>
            <w:gridSpan w:val="2"/>
          </w:tcPr>
          <w:p w14:paraId="11006728" w14:textId="77777777" w:rsidR="002D7080" w:rsidRPr="000E6BA8" w:rsidRDefault="002D7080" w:rsidP="002E2C37">
            <w:pPr>
              <w:ind w:left="720" w:hanging="720"/>
              <w:jc w:val="both"/>
              <w:rPr>
                <w:rFonts w:ascii="Times New Roman" w:eastAsia="Times New Roman" w:hAnsi="Times New Roman" w:cs="Times New Roman"/>
                <w:sz w:val="20"/>
                <w:szCs w:val="20"/>
                <w:lang w:val="fr-FR" w:eastAsia="en-ZA"/>
              </w:rPr>
            </w:pPr>
            <w:r w:rsidRPr="000E6BA8">
              <w:rPr>
                <w:rFonts w:ascii="Times New Roman" w:eastAsia="Times New Roman" w:hAnsi="Times New Roman" w:cs="Times New Roman"/>
                <w:sz w:val="20"/>
                <w:szCs w:val="20"/>
                <w:lang w:val="fr-FR" w:eastAsia="en-ZA"/>
              </w:rPr>
              <w:t>References:</w:t>
            </w:r>
          </w:p>
          <w:p w14:paraId="57823356" w14:textId="77777777" w:rsidR="002D7080" w:rsidRDefault="002D7080" w:rsidP="002E2C37">
            <w:pPr>
              <w:ind w:left="720" w:hanging="720"/>
              <w:contextualSpacing/>
              <w:jc w:val="both"/>
              <w:rPr>
                <w:rFonts w:ascii="Times New Roman" w:hAnsi="Times New Roman" w:cs="Times New Roman"/>
                <w:sz w:val="20"/>
                <w:szCs w:val="20"/>
              </w:rPr>
            </w:pPr>
            <w:r w:rsidRPr="000E6BA8">
              <w:rPr>
                <w:rFonts w:ascii="Times New Roman" w:eastAsia="Times New Roman" w:hAnsi="Times New Roman" w:cs="Times New Roman"/>
                <w:sz w:val="20"/>
                <w:szCs w:val="20"/>
                <w:lang w:val="fr-FR" w:eastAsia="en-ZA"/>
              </w:rPr>
              <w:lastRenderedPageBreak/>
              <w:t xml:space="preserve">CABI, 2024. </w:t>
            </w:r>
            <w:r w:rsidRPr="000E6BA8">
              <w:rPr>
                <w:rFonts w:ascii="Times New Roman" w:eastAsia="Times New Roman" w:hAnsi="Times New Roman" w:cs="Times New Roman"/>
                <w:i/>
                <w:iCs/>
                <w:sz w:val="20"/>
                <w:szCs w:val="20"/>
                <w:lang w:val="fr-FR" w:eastAsia="en-ZA"/>
              </w:rPr>
              <w:t>Pontastacus leptodactylus</w:t>
            </w:r>
            <w:r w:rsidRPr="000E6BA8">
              <w:rPr>
                <w:rFonts w:ascii="Times New Roman" w:eastAsia="Times New Roman" w:hAnsi="Times New Roman" w:cs="Times New Roman"/>
                <w:sz w:val="20"/>
                <w:szCs w:val="20"/>
                <w:lang w:val="fr-FR" w:eastAsia="en-ZA"/>
              </w:rPr>
              <w:t xml:space="preserve"> (Danube crayfish). </w:t>
            </w:r>
            <w:r w:rsidRPr="00C4037B">
              <w:rPr>
                <w:rFonts w:ascii="Times New Roman" w:eastAsia="Times New Roman" w:hAnsi="Times New Roman" w:cs="Times New Roman"/>
                <w:sz w:val="20"/>
                <w:szCs w:val="20"/>
                <w:lang w:eastAsia="en-ZA"/>
              </w:rPr>
              <w:t>Invasive Species Compendium, CABI Publishing, Wallingford, UK. https://www.cabidigitallibrary.org/doi/full/10.1079/cabicompendium.72034 (accessed 10 July 2024)</w:t>
            </w:r>
            <w:r w:rsidRPr="00C4037B">
              <w:rPr>
                <w:rFonts w:ascii="Times New Roman" w:hAnsi="Times New Roman" w:cs="Times New Roman"/>
                <w:sz w:val="20"/>
                <w:szCs w:val="20"/>
              </w:rPr>
              <w:t>.</w:t>
            </w:r>
          </w:p>
          <w:p w14:paraId="38F840DC" w14:textId="5FE79A3C" w:rsidR="002D7080" w:rsidRDefault="002D7080" w:rsidP="002E2C37">
            <w:pPr>
              <w:ind w:left="720" w:hanging="720"/>
              <w:contextualSpacing/>
              <w:jc w:val="both"/>
              <w:rPr>
                <w:rStyle w:val="Hyperlink"/>
                <w:rFonts w:ascii="Times New Roman" w:eastAsia="Times New Roman" w:hAnsi="Times New Roman" w:cs="Times New Roman"/>
                <w:iCs/>
                <w:sz w:val="20"/>
                <w:szCs w:val="20"/>
                <w:lang w:eastAsia="en-ZA"/>
              </w:rPr>
            </w:pPr>
            <w:r w:rsidRPr="007D6DA7">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7D6DA7">
              <w:rPr>
                <w:rFonts w:ascii="Times New Roman" w:eastAsia="Times New Roman" w:hAnsi="Times New Roman" w:cs="Times New Roman"/>
                <w:i/>
                <w:sz w:val="20"/>
                <w:szCs w:val="20"/>
                <w:lang w:eastAsia="en-ZA"/>
              </w:rPr>
              <w:t xml:space="preserve">Reviews in Fisheries Science &amp; Aquaculture </w:t>
            </w:r>
            <w:r w:rsidRPr="007D6DA7">
              <w:rPr>
                <w:rFonts w:ascii="Times New Roman" w:eastAsia="Times New Roman" w:hAnsi="Times New Roman" w:cs="Times New Roman"/>
                <w:sz w:val="20"/>
                <w:szCs w:val="20"/>
                <w:lang w:eastAsia="en-ZA"/>
              </w:rPr>
              <w:t>1-21</w:t>
            </w:r>
            <w:r w:rsidRPr="007D6DA7">
              <w:rPr>
                <w:rFonts w:ascii="Times New Roman" w:eastAsia="Times New Roman" w:hAnsi="Times New Roman" w:cs="Times New Roman"/>
                <w:i/>
                <w:sz w:val="20"/>
                <w:szCs w:val="20"/>
                <w:lang w:eastAsia="en-ZA"/>
              </w:rPr>
              <w:t>.</w:t>
            </w:r>
            <w:r w:rsidRPr="007D6DA7">
              <w:rPr>
                <w:rFonts w:ascii="Times New Roman" w:eastAsia="Times New Roman" w:hAnsi="Times New Roman" w:cs="Times New Roman"/>
                <w:iCs/>
                <w:sz w:val="20"/>
                <w:szCs w:val="20"/>
                <w:lang w:eastAsia="en-ZA"/>
              </w:rPr>
              <w:t xml:space="preserve"> </w:t>
            </w:r>
            <w:r w:rsidR="00F25656" w:rsidRPr="008A0BC6">
              <w:rPr>
                <w:rFonts w:ascii="Times New Roman" w:hAnsi="Times New Roman" w:cs="Times New Roman"/>
                <w:iCs/>
                <w:sz w:val="20"/>
                <w:szCs w:val="20"/>
              </w:rPr>
              <w:t>https://doi.org/10.1080/23308249.2020.1802405</w:t>
            </w:r>
          </w:p>
          <w:p w14:paraId="26DD10DD" w14:textId="629060F8" w:rsidR="002D7080"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C4037B">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C4037B">
              <w:rPr>
                <w:rFonts w:ascii="Times New Roman" w:eastAsia="Times New Roman" w:hAnsi="Times New Roman" w:cs="Times New Roman"/>
                <w:i/>
                <w:color w:val="000000"/>
                <w:sz w:val="20"/>
                <w:szCs w:val="20"/>
                <w:lang w:eastAsia="en-ZA"/>
              </w:rPr>
              <w:t>African Journal of Aquatic Science</w:t>
            </w:r>
            <w:r w:rsidRPr="00C4037B">
              <w:rPr>
                <w:rFonts w:ascii="Times New Roman" w:eastAsia="Times New Roman" w:hAnsi="Times New Roman" w:cs="Times New Roman"/>
                <w:color w:val="000000"/>
                <w:sz w:val="20"/>
                <w:szCs w:val="20"/>
                <w:lang w:eastAsia="en-ZA"/>
              </w:rPr>
              <w:t xml:space="preserve"> 42, 309–323, </w:t>
            </w:r>
            <w:hyperlink r:id="rId476" w:history="1">
              <w:r w:rsidR="00F25656" w:rsidRPr="008A0BC6">
                <w:rPr>
                  <w:rStyle w:val="Hyperlink"/>
                  <w:rFonts w:ascii="Times New Roman" w:hAnsi="Times New Roman" w:cs="Times New Roman"/>
                  <w:sz w:val="20"/>
                  <w:szCs w:val="20"/>
                </w:rPr>
                <w:t>https://doi.org/10.2989/16085914.2017.1405788</w:t>
              </w:r>
            </w:hyperlink>
          </w:p>
          <w:p w14:paraId="09DCB911" w14:textId="77777777" w:rsidR="002D7080" w:rsidRPr="00C4037B" w:rsidRDefault="002D7080" w:rsidP="002E2C37">
            <w:pPr>
              <w:ind w:left="720" w:hanging="720"/>
              <w:contextualSpacing/>
              <w:jc w:val="both"/>
              <w:rPr>
                <w:rFonts w:ascii="Times New Roman" w:eastAsia="Times New Roman" w:hAnsi="Times New Roman" w:cs="Times New Roman"/>
                <w:sz w:val="20"/>
                <w:szCs w:val="20"/>
                <w:lang w:eastAsia="en-ZA"/>
              </w:rPr>
            </w:pPr>
            <w:r w:rsidRPr="00C4037B">
              <w:rPr>
                <w:rFonts w:ascii="Times New Roman" w:hAnsi="Times New Roman" w:cs="Times New Roman"/>
                <w:color w:val="222222"/>
                <w:sz w:val="20"/>
                <w:szCs w:val="20"/>
                <w:shd w:val="clear" w:color="auto" w:fill="FFFFFF"/>
              </w:rPr>
              <w:t>Peeters, E. T., de Vries, R., Elzinga, J., Ludányi, M., van Himbeeck, R., &amp; Roessink, I. (2023). Triggers affecting crayfish burrowing behaviour. </w:t>
            </w:r>
            <w:r w:rsidRPr="00C4037B">
              <w:rPr>
                <w:rFonts w:ascii="Times New Roman" w:hAnsi="Times New Roman" w:cs="Times New Roman"/>
                <w:i/>
                <w:iCs/>
                <w:color w:val="222222"/>
                <w:sz w:val="20"/>
                <w:szCs w:val="20"/>
                <w:shd w:val="clear" w:color="auto" w:fill="FFFFFF"/>
              </w:rPr>
              <w:t>Aquatic Ecology</w:t>
            </w:r>
            <w:r w:rsidRPr="00C4037B">
              <w:rPr>
                <w:rFonts w:ascii="Times New Roman" w:hAnsi="Times New Roman" w:cs="Times New Roman"/>
                <w:color w:val="222222"/>
                <w:sz w:val="20"/>
                <w:szCs w:val="20"/>
                <w:shd w:val="clear" w:color="auto" w:fill="FFFFFF"/>
              </w:rPr>
              <w:t xml:space="preserve">, 1-16. </w:t>
            </w:r>
            <w:hyperlink w:history="1">
              <w:r w:rsidRPr="005E452D">
                <w:rPr>
                  <w:rStyle w:val="Hyperlink"/>
                  <w:rFonts w:ascii="Times New Roman" w:hAnsi="Times New Roman" w:cs="Times New Roman"/>
                  <w:sz w:val="20"/>
                  <w:szCs w:val="20"/>
                  <w:shd w:val="clear" w:color="auto" w:fill="FFFFFF"/>
                </w:rPr>
                <w:t>https://doi.org/10.1007/s10452-023-10057-3</w:t>
              </w:r>
            </w:hyperlink>
          </w:p>
        </w:tc>
      </w:tr>
      <w:tr w:rsidR="002D7080" w:rsidRPr="00C4037B" w14:paraId="5F4B2B78" w14:textId="77777777" w:rsidTr="002E2C37">
        <w:trPr>
          <w:trHeight w:val="343"/>
        </w:trPr>
        <w:tc>
          <w:tcPr>
            <w:tcW w:w="9067" w:type="dxa"/>
            <w:gridSpan w:val="2"/>
            <w:shd w:val="clear" w:color="auto" w:fill="F2F2F2" w:themeFill="background1" w:themeFillShade="F2"/>
          </w:tcPr>
          <w:p w14:paraId="6E8429F9" w14:textId="77777777" w:rsidR="002D7080" w:rsidRPr="00C4037B" w:rsidRDefault="002D7080" w:rsidP="002E2C37">
            <w:pPr>
              <w:rPr>
                <w:rFonts w:ascii="Times New Roman" w:eastAsia="Calibri" w:hAnsi="Times New Roman" w:cs="Times New Roman"/>
                <w:sz w:val="20"/>
                <w:szCs w:val="20"/>
              </w:rPr>
            </w:pPr>
            <w:r w:rsidRPr="00C4037B">
              <w:rPr>
                <w:rFonts w:ascii="Times New Roman" w:eastAsia="Times New Roman" w:hAnsi="Times New Roman" w:cs="Times New Roman"/>
                <w:b/>
                <w:sz w:val="20"/>
                <w:szCs w:val="20"/>
                <w:lang w:eastAsia="en-ZA"/>
              </w:rPr>
              <w:lastRenderedPageBreak/>
              <w:t>MAN3b Is detectability critically time-dependent?</w:t>
            </w:r>
          </w:p>
        </w:tc>
      </w:tr>
      <w:tr w:rsidR="002D7080" w:rsidRPr="00C4037B" w14:paraId="48981E37" w14:textId="77777777" w:rsidTr="002E2C37">
        <w:trPr>
          <w:trHeight w:val="183"/>
        </w:trPr>
        <w:tc>
          <w:tcPr>
            <w:tcW w:w="5240" w:type="dxa"/>
          </w:tcPr>
          <w:p w14:paraId="61CF77BA" w14:textId="77777777" w:rsidR="002D7080" w:rsidRPr="00C4037B" w:rsidRDefault="002D7080" w:rsidP="002E2C37">
            <w:pPr>
              <w:tabs>
                <w:tab w:val="left" w:pos="1481"/>
              </w:tabs>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2 (yes)</w:t>
            </w:r>
          </w:p>
        </w:tc>
        <w:tc>
          <w:tcPr>
            <w:tcW w:w="3827" w:type="dxa"/>
          </w:tcPr>
          <w:p w14:paraId="6F31124E" w14:textId="77777777" w:rsidR="002D7080" w:rsidRPr="00C4037B"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High</w:t>
            </w:r>
          </w:p>
        </w:tc>
      </w:tr>
      <w:tr w:rsidR="002D7080" w:rsidRPr="00C4037B" w14:paraId="4392EA6D" w14:textId="77777777" w:rsidTr="002E2C37">
        <w:trPr>
          <w:trHeight w:val="70"/>
        </w:trPr>
        <w:tc>
          <w:tcPr>
            <w:tcW w:w="9067" w:type="dxa"/>
            <w:gridSpan w:val="2"/>
          </w:tcPr>
          <w:p w14:paraId="0ECC02C5" w14:textId="77777777" w:rsidR="002D7080" w:rsidRPr="00C4037B"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 xml:space="preserve">Rationale: </w:t>
            </w:r>
            <w:r w:rsidRPr="0018329F">
              <w:rPr>
                <w:rFonts w:ascii="Times New Roman" w:eastAsia="Times New Roman" w:hAnsi="Times New Roman" w:cs="Times New Roman"/>
                <w:i/>
                <w:iCs/>
                <w:sz w:val="20"/>
                <w:szCs w:val="20"/>
                <w:lang w:eastAsia="en-ZA"/>
              </w:rPr>
              <w:t>Pontastacus leptodactylus</w:t>
            </w:r>
            <w:r w:rsidRPr="00C4037B">
              <w:rPr>
                <w:rFonts w:ascii="Times New Roman" w:eastAsia="Times New Roman" w:hAnsi="Times New Roman" w:cs="Times New Roman"/>
                <w:sz w:val="20"/>
                <w:szCs w:val="20"/>
                <w:lang w:eastAsia="en-ZA"/>
              </w:rPr>
              <w:t xml:space="preserve"> is a small burrowing freshwater species that is difficult to detect (Peeters et al. 2023; CABI 2024). </w:t>
            </w:r>
          </w:p>
        </w:tc>
      </w:tr>
      <w:tr w:rsidR="002D7080" w:rsidRPr="00C4037B" w14:paraId="5FBB27FC" w14:textId="77777777" w:rsidTr="002E2C37">
        <w:trPr>
          <w:trHeight w:val="70"/>
        </w:trPr>
        <w:tc>
          <w:tcPr>
            <w:tcW w:w="9067" w:type="dxa"/>
            <w:gridSpan w:val="2"/>
          </w:tcPr>
          <w:p w14:paraId="76382D8A" w14:textId="77777777" w:rsidR="002D7080" w:rsidRPr="000E6BA8" w:rsidRDefault="002D7080" w:rsidP="002E2C37">
            <w:pPr>
              <w:ind w:left="720" w:hanging="720"/>
              <w:jc w:val="both"/>
              <w:rPr>
                <w:rFonts w:ascii="Times New Roman" w:eastAsia="Times New Roman" w:hAnsi="Times New Roman" w:cs="Times New Roman"/>
                <w:sz w:val="20"/>
                <w:szCs w:val="20"/>
                <w:lang w:val="fr-FR" w:eastAsia="en-ZA"/>
              </w:rPr>
            </w:pPr>
            <w:r w:rsidRPr="000E6BA8">
              <w:rPr>
                <w:rFonts w:ascii="Times New Roman" w:eastAsia="Times New Roman" w:hAnsi="Times New Roman" w:cs="Times New Roman"/>
                <w:sz w:val="20"/>
                <w:szCs w:val="20"/>
                <w:lang w:val="fr-FR" w:eastAsia="en-ZA"/>
              </w:rPr>
              <w:t>References:</w:t>
            </w:r>
          </w:p>
          <w:p w14:paraId="6437EE15" w14:textId="77777777" w:rsidR="002D7080" w:rsidRPr="008010D1" w:rsidRDefault="002D7080" w:rsidP="002E2C37">
            <w:pPr>
              <w:ind w:left="720" w:hanging="720"/>
              <w:contextualSpacing/>
              <w:jc w:val="both"/>
              <w:rPr>
                <w:rFonts w:ascii="Times New Roman" w:hAnsi="Times New Roman" w:cs="Times New Roman"/>
                <w:sz w:val="20"/>
                <w:szCs w:val="20"/>
              </w:rPr>
            </w:pPr>
            <w:r w:rsidRPr="000E6BA8">
              <w:rPr>
                <w:rFonts w:ascii="Times New Roman" w:eastAsia="Times New Roman" w:hAnsi="Times New Roman" w:cs="Times New Roman"/>
                <w:sz w:val="20"/>
                <w:szCs w:val="20"/>
                <w:lang w:val="fr-FR" w:eastAsia="en-ZA"/>
              </w:rPr>
              <w:t xml:space="preserve">CABI, 2024. </w:t>
            </w:r>
            <w:r w:rsidRPr="000E6BA8">
              <w:rPr>
                <w:rFonts w:ascii="Times New Roman" w:eastAsia="Times New Roman" w:hAnsi="Times New Roman" w:cs="Times New Roman"/>
                <w:i/>
                <w:iCs/>
                <w:sz w:val="20"/>
                <w:szCs w:val="20"/>
                <w:lang w:val="fr-FR" w:eastAsia="en-ZA"/>
              </w:rPr>
              <w:t>Pontastacus leptodactylus</w:t>
            </w:r>
            <w:r w:rsidRPr="000E6BA8">
              <w:rPr>
                <w:rFonts w:ascii="Times New Roman" w:eastAsia="Times New Roman" w:hAnsi="Times New Roman" w:cs="Times New Roman"/>
                <w:sz w:val="20"/>
                <w:szCs w:val="20"/>
                <w:lang w:val="fr-FR" w:eastAsia="en-ZA"/>
              </w:rPr>
              <w:t xml:space="preserve"> (Danube crayfish). </w:t>
            </w:r>
            <w:r w:rsidRPr="00C4037B">
              <w:rPr>
                <w:rFonts w:ascii="Times New Roman" w:eastAsia="Times New Roman" w:hAnsi="Times New Roman" w:cs="Times New Roman"/>
                <w:sz w:val="20"/>
                <w:szCs w:val="20"/>
                <w:lang w:eastAsia="en-ZA"/>
              </w:rPr>
              <w:t>Invasive Species Compendium, CABI Publishing, Wallingford, UK. https://www.cabidigitallibrary.org/doi/full/10.1079/cabicompendium.72034 (accessed 10 July 2024)</w:t>
            </w:r>
            <w:r w:rsidRPr="00C4037B">
              <w:rPr>
                <w:rFonts w:ascii="Times New Roman" w:hAnsi="Times New Roman" w:cs="Times New Roman"/>
                <w:sz w:val="20"/>
                <w:szCs w:val="20"/>
              </w:rPr>
              <w:t>.</w:t>
            </w:r>
          </w:p>
          <w:p w14:paraId="50B58BA5" w14:textId="77777777" w:rsidR="002D7080" w:rsidRPr="008010D1" w:rsidRDefault="002D7080" w:rsidP="002E2C37">
            <w:pPr>
              <w:ind w:left="720" w:hanging="720"/>
              <w:contextualSpacing/>
              <w:jc w:val="both"/>
              <w:rPr>
                <w:rFonts w:ascii="Times New Roman" w:hAnsi="Times New Roman" w:cs="Times New Roman"/>
                <w:sz w:val="20"/>
                <w:szCs w:val="20"/>
              </w:rPr>
            </w:pPr>
            <w:r w:rsidRPr="00C4037B">
              <w:rPr>
                <w:rFonts w:ascii="Times New Roman" w:hAnsi="Times New Roman" w:cs="Times New Roman"/>
                <w:color w:val="222222"/>
                <w:sz w:val="20"/>
                <w:szCs w:val="20"/>
                <w:shd w:val="clear" w:color="auto" w:fill="FFFFFF"/>
              </w:rPr>
              <w:t>Peeters, E. T., de Vries, R., Elzinga, J., Ludányi, M., van Himbeeck, R., &amp; Roessink, I. (2023). Triggers affecting crayfish burrowing behaviour. </w:t>
            </w:r>
            <w:r w:rsidRPr="00C4037B">
              <w:rPr>
                <w:rFonts w:ascii="Times New Roman" w:hAnsi="Times New Roman" w:cs="Times New Roman"/>
                <w:i/>
                <w:iCs/>
                <w:color w:val="222222"/>
                <w:sz w:val="20"/>
                <w:szCs w:val="20"/>
                <w:shd w:val="clear" w:color="auto" w:fill="FFFFFF"/>
              </w:rPr>
              <w:t>Aquatic Ecology</w:t>
            </w:r>
            <w:r w:rsidRPr="00C4037B">
              <w:rPr>
                <w:rFonts w:ascii="Times New Roman" w:hAnsi="Times New Roman" w:cs="Times New Roman"/>
                <w:color w:val="222222"/>
                <w:sz w:val="20"/>
                <w:szCs w:val="20"/>
                <w:shd w:val="clear" w:color="auto" w:fill="FFFFFF"/>
              </w:rPr>
              <w:t xml:space="preserve">, 1-16. </w:t>
            </w:r>
            <w:hyperlink w:history="1">
              <w:r w:rsidRPr="005E452D">
                <w:rPr>
                  <w:rStyle w:val="Hyperlink"/>
                  <w:rFonts w:ascii="Times New Roman" w:hAnsi="Times New Roman" w:cs="Times New Roman"/>
                  <w:sz w:val="20"/>
                  <w:szCs w:val="20"/>
                  <w:shd w:val="clear" w:color="auto" w:fill="FFFFFF"/>
                </w:rPr>
                <w:t>https://doi.org/10.1007/s10452-023-10057-3</w:t>
              </w:r>
            </w:hyperlink>
          </w:p>
        </w:tc>
      </w:tr>
      <w:tr w:rsidR="002D7080" w:rsidRPr="00C4037B" w14:paraId="6FA302F6" w14:textId="77777777" w:rsidTr="002E2C37">
        <w:trPr>
          <w:trHeight w:val="343"/>
        </w:trPr>
        <w:tc>
          <w:tcPr>
            <w:tcW w:w="9067" w:type="dxa"/>
            <w:gridSpan w:val="2"/>
            <w:shd w:val="clear" w:color="auto" w:fill="F2F2F2" w:themeFill="background1" w:themeFillShade="F2"/>
          </w:tcPr>
          <w:p w14:paraId="29F9CFBB" w14:textId="77777777" w:rsidR="002D7080" w:rsidRPr="00C4037B" w:rsidRDefault="002D7080" w:rsidP="002E2C37">
            <w:pPr>
              <w:rPr>
                <w:rFonts w:ascii="Times New Roman" w:eastAsia="Calibri" w:hAnsi="Times New Roman" w:cs="Times New Roman"/>
                <w:sz w:val="20"/>
                <w:szCs w:val="20"/>
              </w:rPr>
            </w:pPr>
            <w:r w:rsidRPr="00C4037B">
              <w:rPr>
                <w:rFonts w:ascii="Times New Roman" w:eastAsia="Times New Roman" w:hAnsi="Times New Roman" w:cs="Times New Roman"/>
                <w:b/>
                <w:sz w:val="20"/>
                <w:szCs w:val="20"/>
                <w:lang w:eastAsia="en-ZA"/>
              </w:rPr>
              <w:t>MAN3c Time to reproduction</w:t>
            </w:r>
          </w:p>
        </w:tc>
      </w:tr>
      <w:tr w:rsidR="002D7080" w:rsidRPr="00C4037B" w14:paraId="74560E8D" w14:textId="77777777" w:rsidTr="002E2C37">
        <w:trPr>
          <w:trHeight w:val="183"/>
        </w:trPr>
        <w:tc>
          <w:tcPr>
            <w:tcW w:w="5240" w:type="dxa"/>
          </w:tcPr>
          <w:p w14:paraId="5BB582E3" w14:textId="77777777" w:rsidR="002D7080" w:rsidRPr="00C4037B"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Response:1 (1–3 years)</w:t>
            </w:r>
          </w:p>
        </w:tc>
        <w:tc>
          <w:tcPr>
            <w:tcW w:w="3827" w:type="dxa"/>
          </w:tcPr>
          <w:p w14:paraId="5D6B317A" w14:textId="77777777" w:rsidR="002D7080" w:rsidRPr="00C4037B"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 xml:space="preserve">Confidence: Medium </w:t>
            </w:r>
          </w:p>
        </w:tc>
      </w:tr>
      <w:tr w:rsidR="002D7080" w:rsidRPr="00C4037B" w14:paraId="58B4E954" w14:textId="77777777" w:rsidTr="002E2C37">
        <w:trPr>
          <w:trHeight w:val="70"/>
        </w:trPr>
        <w:tc>
          <w:tcPr>
            <w:tcW w:w="9067" w:type="dxa"/>
            <w:gridSpan w:val="2"/>
          </w:tcPr>
          <w:p w14:paraId="24793361" w14:textId="77777777" w:rsidR="002D7080" w:rsidRPr="00C4037B"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 xml:space="preserve">Rationale: </w:t>
            </w:r>
            <w:r w:rsidRPr="00C4037B">
              <w:rPr>
                <w:rFonts w:ascii="Times New Roman" w:eastAsia="Times New Roman" w:hAnsi="Times New Roman" w:cs="Times New Roman"/>
                <w:i/>
                <w:sz w:val="20"/>
                <w:szCs w:val="20"/>
                <w:lang w:eastAsia="en-ZA"/>
              </w:rPr>
              <w:t xml:space="preserve">Pontastacus leptodactylus </w:t>
            </w:r>
            <w:r w:rsidRPr="00C4037B">
              <w:rPr>
                <w:rFonts w:ascii="Times New Roman" w:eastAsia="Times New Roman" w:hAnsi="Times New Roman" w:cs="Times New Roman"/>
                <w:sz w:val="20"/>
                <w:szCs w:val="20"/>
                <w:lang w:eastAsia="en-ZA"/>
              </w:rPr>
              <w:t>reach sexual maturity in three years in length (Berber &amp; Mazlum 2009; CABI 2024).</w:t>
            </w:r>
          </w:p>
        </w:tc>
      </w:tr>
      <w:tr w:rsidR="002D7080" w:rsidRPr="00C4037B" w14:paraId="406D0B56" w14:textId="77777777" w:rsidTr="002E2C37">
        <w:trPr>
          <w:trHeight w:val="70"/>
        </w:trPr>
        <w:tc>
          <w:tcPr>
            <w:tcW w:w="9067" w:type="dxa"/>
            <w:gridSpan w:val="2"/>
          </w:tcPr>
          <w:p w14:paraId="2F68143B" w14:textId="77777777" w:rsidR="002D7080" w:rsidRPr="000E6BA8" w:rsidRDefault="002D7080" w:rsidP="002E2C37">
            <w:pPr>
              <w:ind w:left="720" w:hanging="720"/>
              <w:jc w:val="both"/>
              <w:rPr>
                <w:rFonts w:ascii="Times New Roman" w:eastAsia="Times New Roman" w:hAnsi="Times New Roman" w:cs="Times New Roman"/>
                <w:sz w:val="20"/>
                <w:szCs w:val="20"/>
                <w:lang w:val="fr-FR" w:eastAsia="en-ZA"/>
              </w:rPr>
            </w:pPr>
            <w:r w:rsidRPr="000E6BA8">
              <w:rPr>
                <w:rFonts w:ascii="Times New Roman" w:eastAsia="Times New Roman" w:hAnsi="Times New Roman" w:cs="Times New Roman"/>
                <w:sz w:val="20"/>
                <w:szCs w:val="20"/>
                <w:lang w:val="fr-FR" w:eastAsia="en-ZA"/>
              </w:rPr>
              <w:t>References:</w:t>
            </w:r>
          </w:p>
          <w:p w14:paraId="46DCF7AC" w14:textId="77777777" w:rsidR="002D7080" w:rsidRPr="00C4037B" w:rsidRDefault="002D7080" w:rsidP="002E2C37">
            <w:pPr>
              <w:ind w:left="720" w:hanging="720"/>
              <w:contextualSpacing/>
              <w:jc w:val="both"/>
              <w:rPr>
                <w:rFonts w:ascii="Times New Roman" w:hAnsi="Times New Roman" w:cs="Times New Roman"/>
                <w:sz w:val="20"/>
                <w:szCs w:val="20"/>
              </w:rPr>
            </w:pPr>
            <w:r w:rsidRPr="000E6BA8">
              <w:rPr>
                <w:rFonts w:ascii="Times New Roman" w:eastAsia="Times New Roman" w:hAnsi="Times New Roman" w:cs="Times New Roman"/>
                <w:sz w:val="20"/>
                <w:szCs w:val="20"/>
                <w:lang w:val="fr-FR" w:eastAsia="en-ZA"/>
              </w:rPr>
              <w:t xml:space="preserve">CABI, 2024. </w:t>
            </w:r>
            <w:r w:rsidRPr="000E6BA8">
              <w:rPr>
                <w:rFonts w:ascii="Times New Roman" w:eastAsia="Times New Roman" w:hAnsi="Times New Roman" w:cs="Times New Roman"/>
                <w:i/>
                <w:iCs/>
                <w:sz w:val="20"/>
                <w:szCs w:val="20"/>
                <w:lang w:val="fr-FR" w:eastAsia="en-ZA"/>
              </w:rPr>
              <w:t>Pontastacus leptodactylus</w:t>
            </w:r>
            <w:r w:rsidRPr="000E6BA8">
              <w:rPr>
                <w:rFonts w:ascii="Times New Roman" w:eastAsia="Times New Roman" w:hAnsi="Times New Roman" w:cs="Times New Roman"/>
                <w:sz w:val="20"/>
                <w:szCs w:val="20"/>
                <w:lang w:val="fr-FR" w:eastAsia="en-ZA"/>
              </w:rPr>
              <w:t xml:space="preserve"> (Danube crayfish). </w:t>
            </w:r>
            <w:r w:rsidRPr="00C4037B">
              <w:rPr>
                <w:rFonts w:ascii="Times New Roman" w:eastAsia="Times New Roman" w:hAnsi="Times New Roman" w:cs="Times New Roman"/>
                <w:sz w:val="20"/>
                <w:szCs w:val="20"/>
                <w:lang w:eastAsia="en-ZA"/>
              </w:rPr>
              <w:t>Invasive Species Compendium, CABI Publishing, Wallingford, UK. https://www.cabidigitallibrary.org/doi/full/10.1079/cabicompendium.72034 (accessed 10 July 2024)</w:t>
            </w:r>
            <w:r w:rsidRPr="00C4037B">
              <w:rPr>
                <w:rFonts w:ascii="Times New Roman" w:hAnsi="Times New Roman" w:cs="Times New Roman"/>
                <w:sz w:val="20"/>
                <w:szCs w:val="20"/>
              </w:rPr>
              <w:t>.</w:t>
            </w:r>
          </w:p>
          <w:p w14:paraId="26164BF7" w14:textId="058C2891" w:rsidR="002D7080" w:rsidRPr="00C4037B" w:rsidRDefault="002D7080" w:rsidP="002E2C37">
            <w:pPr>
              <w:ind w:left="720" w:hanging="720"/>
              <w:contextualSpacing/>
              <w:jc w:val="both"/>
              <w:rPr>
                <w:rFonts w:ascii="Times New Roman" w:eastAsia="Times New Roman" w:hAnsi="Times New Roman" w:cs="Times New Roman"/>
                <w:sz w:val="20"/>
                <w:szCs w:val="20"/>
                <w:lang w:eastAsia="en-ZA"/>
              </w:rPr>
            </w:pPr>
            <w:r w:rsidRPr="00C4037B">
              <w:rPr>
                <w:rFonts w:ascii="Times New Roman" w:hAnsi="Times New Roman" w:cs="Times New Roman"/>
                <w:color w:val="222222"/>
                <w:sz w:val="20"/>
                <w:szCs w:val="20"/>
                <w:shd w:val="clear" w:color="auto" w:fill="FFFFFF"/>
              </w:rPr>
              <w:t>Berber, S., &amp; Mazlum, Y.</w:t>
            </w:r>
            <w:r>
              <w:rPr>
                <w:rFonts w:ascii="Times New Roman" w:hAnsi="Times New Roman" w:cs="Times New Roman"/>
                <w:color w:val="222222"/>
                <w:sz w:val="20"/>
                <w:szCs w:val="20"/>
                <w:shd w:val="clear" w:color="auto" w:fill="FFFFFF"/>
              </w:rPr>
              <w:t xml:space="preserve">, </w:t>
            </w:r>
            <w:r w:rsidRPr="00C4037B">
              <w:rPr>
                <w:rFonts w:ascii="Times New Roman" w:hAnsi="Times New Roman" w:cs="Times New Roman"/>
                <w:color w:val="222222"/>
                <w:sz w:val="20"/>
                <w:szCs w:val="20"/>
                <w:shd w:val="clear" w:color="auto" w:fill="FFFFFF"/>
              </w:rPr>
              <w:t>2009</w:t>
            </w:r>
            <w:r>
              <w:rPr>
                <w:rFonts w:ascii="Times New Roman" w:hAnsi="Times New Roman" w:cs="Times New Roman"/>
                <w:color w:val="222222"/>
                <w:sz w:val="20"/>
                <w:szCs w:val="20"/>
                <w:shd w:val="clear" w:color="auto" w:fill="FFFFFF"/>
              </w:rPr>
              <w:t>, ‘</w:t>
            </w:r>
            <w:r w:rsidRPr="00C4037B">
              <w:rPr>
                <w:rFonts w:ascii="Times New Roman" w:hAnsi="Times New Roman" w:cs="Times New Roman"/>
                <w:color w:val="222222"/>
                <w:sz w:val="20"/>
                <w:szCs w:val="20"/>
                <w:shd w:val="clear" w:color="auto" w:fill="FFFFFF"/>
              </w:rPr>
              <w:t xml:space="preserve">Reproductive efficiency of the narrow-clawed crayfish, </w:t>
            </w:r>
            <w:r w:rsidRPr="004B66F8">
              <w:rPr>
                <w:rFonts w:ascii="Times New Roman" w:hAnsi="Times New Roman" w:cs="Times New Roman"/>
                <w:i/>
                <w:iCs/>
                <w:color w:val="222222"/>
                <w:sz w:val="20"/>
                <w:szCs w:val="20"/>
                <w:shd w:val="clear" w:color="auto" w:fill="FFFFFF"/>
              </w:rPr>
              <w:t>Astacus leptodactylus</w:t>
            </w:r>
            <w:r w:rsidRPr="00C4037B">
              <w:rPr>
                <w:rFonts w:ascii="Times New Roman" w:hAnsi="Times New Roman" w:cs="Times New Roman"/>
                <w:color w:val="222222"/>
                <w:sz w:val="20"/>
                <w:szCs w:val="20"/>
                <w:shd w:val="clear" w:color="auto" w:fill="FFFFFF"/>
              </w:rPr>
              <w:t>, in several populations in Turkey</w:t>
            </w:r>
            <w:r>
              <w:rPr>
                <w:rFonts w:ascii="Times New Roman" w:hAnsi="Times New Roman" w:cs="Times New Roman"/>
                <w:color w:val="222222"/>
                <w:sz w:val="20"/>
                <w:szCs w:val="20"/>
                <w:shd w:val="clear" w:color="auto" w:fill="FFFFFF"/>
              </w:rPr>
              <w:t>’,</w:t>
            </w:r>
            <w:r w:rsidRPr="00C4037B">
              <w:rPr>
                <w:rFonts w:ascii="Times New Roman" w:hAnsi="Times New Roman" w:cs="Times New Roman"/>
                <w:color w:val="222222"/>
                <w:sz w:val="20"/>
                <w:szCs w:val="20"/>
                <w:shd w:val="clear" w:color="auto" w:fill="FFFFFF"/>
              </w:rPr>
              <w:t> </w:t>
            </w:r>
            <w:r w:rsidRPr="00C4037B">
              <w:rPr>
                <w:rFonts w:ascii="Times New Roman" w:hAnsi="Times New Roman" w:cs="Times New Roman"/>
                <w:i/>
                <w:iCs/>
                <w:color w:val="222222"/>
                <w:sz w:val="20"/>
                <w:szCs w:val="20"/>
                <w:shd w:val="clear" w:color="auto" w:fill="FFFFFF"/>
              </w:rPr>
              <w:t>Crustaceana</w:t>
            </w:r>
            <w:r w:rsidRPr="004B66F8">
              <w:rPr>
                <w:rFonts w:ascii="Times New Roman" w:hAnsi="Times New Roman" w:cs="Times New Roman"/>
                <w:color w:val="222222"/>
                <w:sz w:val="20"/>
                <w:szCs w:val="20"/>
                <w:shd w:val="clear" w:color="auto" w:fill="FFFFFF"/>
              </w:rPr>
              <w:t>,</w:t>
            </w:r>
            <w:r w:rsidRPr="00C4037B">
              <w:rPr>
                <w:rFonts w:ascii="Times New Roman" w:hAnsi="Times New Roman" w:cs="Times New Roman"/>
                <w:color w:val="222222"/>
                <w:sz w:val="20"/>
                <w:szCs w:val="20"/>
                <w:shd w:val="clear" w:color="auto" w:fill="FFFFFF"/>
              </w:rPr>
              <w:t xml:space="preserve"> 531-542.</w:t>
            </w:r>
            <w:r w:rsidR="00F25656">
              <w:rPr>
                <w:rFonts w:ascii="Times New Roman" w:hAnsi="Times New Roman" w:cs="Times New Roman"/>
                <w:color w:val="222222"/>
                <w:sz w:val="20"/>
                <w:szCs w:val="20"/>
                <w:shd w:val="clear" w:color="auto" w:fill="FFFFFF"/>
              </w:rPr>
              <w:t xml:space="preserve"> </w:t>
            </w:r>
            <w:r w:rsidR="00F25656" w:rsidRPr="00F25656">
              <w:rPr>
                <w:rFonts w:ascii="Times New Roman" w:hAnsi="Times New Roman" w:cs="Times New Roman"/>
                <w:color w:val="222222"/>
                <w:sz w:val="20"/>
                <w:szCs w:val="20"/>
                <w:shd w:val="clear" w:color="auto" w:fill="FFFFFF"/>
              </w:rPr>
              <w:t>https://www.jstor.org/stable/27743310</w:t>
            </w:r>
            <w:r w:rsidR="00F25656">
              <w:rPr>
                <w:rFonts w:ascii="Times New Roman" w:hAnsi="Times New Roman" w:cs="Times New Roman"/>
                <w:color w:val="222222"/>
                <w:sz w:val="20"/>
                <w:szCs w:val="20"/>
                <w:shd w:val="clear" w:color="auto" w:fill="FFFFFF"/>
              </w:rPr>
              <w:t xml:space="preserve">  </w:t>
            </w:r>
          </w:p>
        </w:tc>
      </w:tr>
      <w:tr w:rsidR="002D7080" w:rsidRPr="00C4037B" w14:paraId="1142A2A8" w14:textId="77777777" w:rsidTr="002E2C37">
        <w:trPr>
          <w:trHeight w:val="343"/>
        </w:trPr>
        <w:tc>
          <w:tcPr>
            <w:tcW w:w="9067" w:type="dxa"/>
            <w:gridSpan w:val="2"/>
            <w:shd w:val="clear" w:color="auto" w:fill="F2F2F2" w:themeFill="background1" w:themeFillShade="F2"/>
          </w:tcPr>
          <w:p w14:paraId="3258BC75" w14:textId="77777777" w:rsidR="002D7080" w:rsidRPr="00C4037B" w:rsidRDefault="002D7080" w:rsidP="002E2C37">
            <w:pPr>
              <w:rPr>
                <w:rFonts w:ascii="Times New Roman" w:eastAsia="Calibri" w:hAnsi="Times New Roman" w:cs="Times New Roman"/>
                <w:sz w:val="20"/>
                <w:szCs w:val="20"/>
              </w:rPr>
            </w:pPr>
            <w:r w:rsidRPr="00C4037B">
              <w:rPr>
                <w:rFonts w:ascii="Times New Roman" w:eastAsia="Times New Roman" w:hAnsi="Times New Roman" w:cs="Times New Roman"/>
                <w:b/>
                <w:sz w:val="20"/>
                <w:szCs w:val="20"/>
                <w:lang w:eastAsia="en-ZA"/>
              </w:rPr>
              <w:t>MAN3d Propagule persistence</w:t>
            </w:r>
          </w:p>
        </w:tc>
      </w:tr>
      <w:tr w:rsidR="002D7080" w:rsidRPr="00C4037B" w14:paraId="14B683B1" w14:textId="77777777" w:rsidTr="002E2C37">
        <w:trPr>
          <w:trHeight w:val="183"/>
        </w:trPr>
        <w:tc>
          <w:tcPr>
            <w:tcW w:w="5240" w:type="dxa"/>
          </w:tcPr>
          <w:p w14:paraId="4466CBD1" w14:textId="77777777" w:rsidR="002D7080" w:rsidRPr="00C4037B"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Response:0 (&lt;1 year)</w:t>
            </w:r>
          </w:p>
        </w:tc>
        <w:tc>
          <w:tcPr>
            <w:tcW w:w="3827" w:type="dxa"/>
          </w:tcPr>
          <w:p w14:paraId="36A5E106" w14:textId="77777777" w:rsidR="002D7080" w:rsidRPr="00C4037B"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Confidence: Medium</w:t>
            </w:r>
          </w:p>
        </w:tc>
      </w:tr>
      <w:tr w:rsidR="002D7080" w:rsidRPr="00C4037B" w14:paraId="099F3713" w14:textId="77777777" w:rsidTr="002E2C37">
        <w:trPr>
          <w:trHeight w:val="195"/>
        </w:trPr>
        <w:tc>
          <w:tcPr>
            <w:tcW w:w="9067" w:type="dxa"/>
            <w:gridSpan w:val="2"/>
          </w:tcPr>
          <w:p w14:paraId="38E6CEFB" w14:textId="77777777" w:rsidR="002D7080" w:rsidRPr="00C4037B"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Rationale:</w:t>
            </w:r>
            <w:r w:rsidRPr="00C4037B">
              <w:rPr>
                <w:rFonts w:ascii="Times New Roman" w:eastAsia="Times New Roman" w:hAnsi="Times New Roman" w:cs="Times New Roman"/>
                <w:i/>
                <w:iCs/>
                <w:sz w:val="20"/>
                <w:szCs w:val="20"/>
                <w:lang w:eastAsia="en-ZA"/>
              </w:rPr>
              <w:t xml:space="preserve"> Pontastacus leptodactylus </w:t>
            </w:r>
            <w:r w:rsidRPr="00C4037B">
              <w:rPr>
                <w:rFonts w:ascii="Times New Roman" w:eastAsia="Times New Roman" w:hAnsi="Times New Roman" w:cs="Times New Roman"/>
                <w:sz w:val="20"/>
                <w:szCs w:val="20"/>
                <w:lang w:eastAsia="en-ZA"/>
              </w:rPr>
              <w:t xml:space="preserve">are </w:t>
            </w:r>
            <w:r w:rsidRPr="00C4037B">
              <w:rPr>
                <w:rFonts w:ascii="Times New Roman" w:eastAsia="Times New Roman" w:hAnsi="Times New Roman" w:cs="Times New Roman"/>
                <w:iCs/>
                <w:sz w:val="20"/>
                <w:szCs w:val="20"/>
                <w:lang w:eastAsia="en-ZA"/>
              </w:rPr>
              <w:t>highly fecund,</w:t>
            </w:r>
            <w:r w:rsidRPr="00C4037B">
              <w:rPr>
                <w:rFonts w:ascii="Times New Roman" w:eastAsia="Times New Roman" w:hAnsi="Times New Roman" w:cs="Times New Roman"/>
                <w:sz w:val="20"/>
                <w:szCs w:val="20"/>
                <w:lang w:eastAsia="en-ZA"/>
              </w:rPr>
              <w:t xml:space="preserve"> on average a female produces 200–400 eggs (sometimes 700-800 eggs), with parental care for both eggs and hatchlings (Baber &amp; Mazlum 2009; CABI 2024)</w:t>
            </w:r>
          </w:p>
        </w:tc>
      </w:tr>
      <w:tr w:rsidR="002D7080" w:rsidRPr="00C4037B" w14:paraId="31091B7B" w14:textId="77777777" w:rsidTr="002E2C37">
        <w:trPr>
          <w:trHeight w:val="99"/>
        </w:trPr>
        <w:tc>
          <w:tcPr>
            <w:tcW w:w="9067" w:type="dxa"/>
            <w:gridSpan w:val="2"/>
          </w:tcPr>
          <w:p w14:paraId="3C1076BF" w14:textId="77777777" w:rsidR="002D7080" w:rsidRPr="000E6BA8" w:rsidRDefault="002D7080" w:rsidP="002E2C37">
            <w:pPr>
              <w:ind w:left="720" w:hanging="720"/>
              <w:jc w:val="both"/>
              <w:rPr>
                <w:rFonts w:ascii="Times New Roman" w:eastAsia="Times New Roman" w:hAnsi="Times New Roman" w:cs="Times New Roman"/>
                <w:sz w:val="20"/>
                <w:szCs w:val="20"/>
                <w:lang w:val="fr-FR" w:eastAsia="en-ZA"/>
              </w:rPr>
            </w:pPr>
            <w:r w:rsidRPr="000E6BA8">
              <w:rPr>
                <w:rFonts w:ascii="Times New Roman" w:eastAsia="Times New Roman" w:hAnsi="Times New Roman" w:cs="Times New Roman"/>
                <w:sz w:val="20"/>
                <w:szCs w:val="20"/>
                <w:lang w:val="fr-FR" w:eastAsia="en-ZA"/>
              </w:rPr>
              <w:t>References:</w:t>
            </w:r>
          </w:p>
          <w:p w14:paraId="5EA8429E" w14:textId="77777777" w:rsidR="002D7080" w:rsidRPr="00C4037B" w:rsidRDefault="002D7080" w:rsidP="002E2C37">
            <w:pPr>
              <w:ind w:left="547" w:hanging="547"/>
              <w:contextualSpacing/>
              <w:jc w:val="both"/>
              <w:rPr>
                <w:rFonts w:ascii="Times New Roman" w:hAnsi="Times New Roman" w:cs="Times New Roman"/>
                <w:sz w:val="20"/>
                <w:szCs w:val="20"/>
              </w:rPr>
            </w:pPr>
            <w:r w:rsidRPr="000E6BA8">
              <w:rPr>
                <w:rFonts w:ascii="Times New Roman" w:hAnsi="Times New Roman" w:cs="Times New Roman"/>
                <w:sz w:val="20"/>
                <w:szCs w:val="20"/>
                <w:lang w:val="fr-FR"/>
              </w:rPr>
              <w:t xml:space="preserve">CABI, 2024. </w:t>
            </w:r>
            <w:r w:rsidRPr="000E6BA8">
              <w:rPr>
                <w:rFonts w:ascii="Times New Roman" w:eastAsia="Times New Roman" w:hAnsi="Times New Roman" w:cs="Times New Roman"/>
                <w:i/>
                <w:sz w:val="20"/>
                <w:szCs w:val="20"/>
                <w:lang w:val="fr-FR" w:eastAsia="en-ZA"/>
              </w:rPr>
              <w:t>Pontastacus leptodactylus</w:t>
            </w:r>
            <w:r w:rsidRPr="000E6BA8">
              <w:rPr>
                <w:rFonts w:ascii="Times New Roman" w:eastAsia="Times New Roman" w:hAnsi="Times New Roman" w:cs="Times New Roman"/>
                <w:sz w:val="20"/>
                <w:szCs w:val="20"/>
                <w:lang w:val="fr-FR" w:eastAsia="en-ZA"/>
              </w:rPr>
              <w:t xml:space="preserve"> </w:t>
            </w:r>
            <w:r w:rsidRPr="000E6BA8">
              <w:rPr>
                <w:rFonts w:ascii="Times New Roman" w:hAnsi="Times New Roman" w:cs="Times New Roman"/>
                <w:sz w:val="20"/>
                <w:szCs w:val="20"/>
                <w:lang w:val="fr-FR"/>
              </w:rPr>
              <w:t xml:space="preserve">(Danube crayfish). </w:t>
            </w:r>
            <w:r w:rsidRPr="00C4037B">
              <w:rPr>
                <w:rFonts w:ascii="Times New Roman" w:hAnsi="Times New Roman" w:cs="Times New Roman"/>
                <w:sz w:val="20"/>
                <w:szCs w:val="20"/>
              </w:rPr>
              <w:t xml:space="preserve">Invasive Species Compendium, </w:t>
            </w:r>
            <w:r w:rsidRPr="00C4037B">
              <w:rPr>
                <w:rFonts w:ascii="Times New Roman" w:hAnsi="Times New Roman" w:cs="Times New Roman"/>
                <w:color w:val="000000"/>
                <w:sz w:val="20"/>
                <w:szCs w:val="20"/>
                <w:shd w:val="clear" w:color="auto" w:fill="FFFFFF"/>
              </w:rPr>
              <w:t>CABI Publishing, Wallingford, UK.</w:t>
            </w:r>
            <w:r w:rsidRPr="00C4037B">
              <w:rPr>
                <w:rFonts w:ascii="Times New Roman" w:hAnsi="Times New Roman" w:cs="Times New Roman"/>
                <w:sz w:val="20"/>
                <w:szCs w:val="20"/>
              </w:rPr>
              <w:t xml:space="preserve"> </w:t>
            </w:r>
            <w:hyperlink w:history="1">
              <w:r w:rsidRPr="00C4037B">
                <w:rPr>
                  <w:rStyle w:val="Hyperlink"/>
                  <w:rFonts w:ascii="Times New Roman" w:hAnsi="Times New Roman" w:cs="Times New Roman"/>
                  <w:sz w:val="20"/>
                  <w:szCs w:val="20"/>
                </w:rPr>
                <w:t>https://www.cabidigitallibrary.org/doi/full/10.1079/cabicompendium.72034</w:t>
              </w:r>
            </w:hyperlink>
            <w:r w:rsidRPr="00C4037B">
              <w:rPr>
                <w:rFonts w:ascii="Times New Roman" w:hAnsi="Times New Roman" w:cs="Times New Roman"/>
                <w:sz w:val="20"/>
                <w:szCs w:val="20"/>
              </w:rPr>
              <w:t xml:space="preserve"> (accessed 10 July 2024).</w:t>
            </w:r>
          </w:p>
          <w:p w14:paraId="7810A14E" w14:textId="13B90351" w:rsidR="002D7080" w:rsidRPr="00C4037B" w:rsidRDefault="002D7080" w:rsidP="002E2C37">
            <w:pPr>
              <w:ind w:left="547" w:hanging="547"/>
              <w:contextualSpacing/>
              <w:jc w:val="both"/>
              <w:rPr>
                <w:rFonts w:ascii="Times New Roman" w:hAnsi="Times New Roman" w:cs="Times New Roman"/>
                <w:sz w:val="20"/>
                <w:szCs w:val="20"/>
              </w:rPr>
            </w:pPr>
            <w:r w:rsidRPr="00C4037B">
              <w:rPr>
                <w:rFonts w:ascii="Times New Roman" w:hAnsi="Times New Roman" w:cs="Times New Roman"/>
                <w:color w:val="222222"/>
                <w:sz w:val="20"/>
                <w:szCs w:val="20"/>
                <w:shd w:val="clear" w:color="auto" w:fill="FFFFFF"/>
              </w:rPr>
              <w:lastRenderedPageBreak/>
              <w:t>Berber, S., &amp; Mazlum, Y.</w:t>
            </w:r>
            <w:r>
              <w:rPr>
                <w:rFonts w:ascii="Times New Roman" w:hAnsi="Times New Roman" w:cs="Times New Roman"/>
                <w:color w:val="222222"/>
                <w:sz w:val="20"/>
                <w:szCs w:val="20"/>
                <w:shd w:val="clear" w:color="auto" w:fill="FFFFFF"/>
              </w:rPr>
              <w:t xml:space="preserve">, </w:t>
            </w:r>
            <w:r w:rsidRPr="00C4037B">
              <w:rPr>
                <w:rFonts w:ascii="Times New Roman" w:hAnsi="Times New Roman" w:cs="Times New Roman"/>
                <w:color w:val="222222"/>
                <w:sz w:val="20"/>
                <w:szCs w:val="20"/>
                <w:shd w:val="clear" w:color="auto" w:fill="FFFFFF"/>
              </w:rPr>
              <w:t>2009</w:t>
            </w:r>
            <w:r>
              <w:rPr>
                <w:rFonts w:ascii="Times New Roman" w:hAnsi="Times New Roman" w:cs="Times New Roman"/>
                <w:color w:val="222222"/>
                <w:sz w:val="20"/>
                <w:szCs w:val="20"/>
                <w:shd w:val="clear" w:color="auto" w:fill="FFFFFF"/>
              </w:rPr>
              <w:t>, ‘</w:t>
            </w:r>
            <w:r w:rsidRPr="00C4037B">
              <w:rPr>
                <w:rFonts w:ascii="Times New Roman" w:hAnsi="Times New Roman" w:cs="Times New Roman"/>
                <w:color w:val="222222"/>
                <w:sz w:val="20"/>
                <w:szCs w:val="20"/>
                <w:shd w:val="clear" w:color="auto" w:fill="FFFFFF"/>
              </w:rPr>
              <w:t xml:space="preserve">Reproductive efficiency of the narrow-clawed crayfish, </w:t>
            </w:r>
            <w:r w:rsidRPr="00495A76">
              <w:rPr>
                <w:rFonts w:ascii="Times New Roman" w:hAnsi="Times New Roman" w:cs="Times New Roman"/>
                <w:i/>
                <w:iCs/>
                <w:color w:val="222222"/>
                <w:sz w:val="20"/>
                <w:szCs w:val="20"/>
                <w:shd w:val="clear" w:color="auto" w:fill="FFFFFF"/>
              </w:rPr>
              <w:t>Astacus leptodactylus</w:t>
            </w:r>
            <w:r w:rsidRPr="00C4037B">
              <w:rPr>
                <w:rFonts w:ascii="Times New Roman" w:hAnsi="Times New Roman" w:cs="Times New Roman"/>
                <w:color w:val="222222"/>
                <w:sz w:val="20"/>
                <w:szCs w:val="20"/>
                <w:shd w:val="clear" w:color="auto" w:fill="FFFFFF"/>
              </w:rPr>
              <w:t>, in several populations in Turkey</w:t>
            </w:r>
            <w:r>
              <w:rPr>
                <w:rFonts w:ascii="Times New Roman" w:hAnsi="Times New Roman" w:cs="Times New Roman"/>
                <w:color w:val="222222"/>
                <w:sz w:val="20"/>
                <w:szCs w:val="20"/>
                <w:shd w:val="clear" w:color="auto" w:fill="FFFFFF"/>
              </w:rPr>
              <w:t>’,</w:t>
            </w:r>
            <w:r w:rsidRPr="00C4037B">
              <w:rPr>
                <w:rFonts w:ascii="Times New Roman" w:hAnsi="Times New Roman" w:cs="Times New Roman"/>
                <w:color w:val="222222"/>
                <w:sz w:val="20"/>
                <w:szCs w:val="20"/>
                <w:shd w:val="clear" w:color="auto" w:fill="FFFFFF"/>
              </w:rPr>
              <w:t> </w:t>
            </w:r>
            <w:r w:rsidRPr="00C4037B">
              <w:rPr>
                <w:rFonts w:ascii="Times New Roman" w:hAnsi="Times New Roman" w:cs="Times New Roman"/>
                <w:i/>
                <w:iCs/>
                <w:color w:val="222222"/>
                <w:sz w:val="20"/>
                <w:szCs w:val="20"/>
                <w:shd w:val="clear" w:color="auto" w:fill="FFFFFF"/>
              </w:rPr>
              <w:t>Crustaceana</w:t>
            </w:r>
            <w:r w:rsidRPr="00C4037B">
              <w:rPr>
                <w:rFonts w:ascii="Times New Roman" w:hAnsi="Times New Roman" w:cs="Times New Roman"/>
                <w:color w:val="222222"/>
                <w:sz w:val="20"/>
                <w:szCs w:val="20"/>
                <w:shd w:val="clear" w:color="auto" w:fill="FFFFFF"/>
              </w:rPr>
              <w:t>, 531-542.</w:t>
            </w:r>
            <w:r w:rsidR="00F25656" w:rsidRPr="00F25656">
              <w:rPr>
                <w:rFonts w:ascii="Helvetica" w:hAnsi="Helvetica" w:cs="Helvetica"/>
                <w:color w:val="343332"/>
                <w:spacing w:val="-5"/>
                <w:sz w:val="21"/>
                <w:szCs w:val="21"/>
              </w:rPr>
              <w:t xml:space="preserve"> </w:t>
            </w:r>
            <w:r w:rsidR="00F25656" w:rsidRPr="00F25656">
              <w:rPr>
                <w:rFonts w:ascii="Times New Roman" w:hAnsi="Times New Roman" w:cs="Times New Roman"/>
                <w:color w:val="222222"/>
                <w:sz w:val="20"/>
                <w:szCs w:val="20"/>
                <w:shd w:val="clear" w:color="auto" w:fill="FFFFFF"/>
              </w:rPr>
              <w:t>https://www.jstor.org/stable/27743310</w:t>
            </w:r>
          </w:p>
        </w:tc>
      </w:tr>
      <w:tr w:rsidR="002D7080" w:rsidRPr="00C4037B" w14:paraId="785A4050" w14:textId="77777777" w:rsidTr="002E2C37">
        <w:trPr>
          <w:trHeight w:val="343"/>
        </w:trPr>
        <w:tc>
          <w:tcPr>
            <w:tcW w:w="9067" w:type="dxa"/>
            <w:gridSpan w:val="2"/>
            <w:shd w:val="clear" w:color="auto" w:fill="F2F2F2" w:themeFill="background1" w:themeFillShade="F2"/>
          </w:tcPr>
          <w:p w14:paraId="4570181F" w14:textId="77777777" w:rsidR="002D7080" w:rsidRPr="00C4037B" w:rsidRDefault="002D7080" w:rsidP="002E2C37">
            <w:pPr>
              <w:rPr>
                <w:rFonts w:ascii="Times New Roman" w:eastAsia="Calibri" w:hAnsi="Times New Roman" w:cs="Times New Roman"/>
                <w:sz w:val="20"/>
                <w:szCs w:val="20"/>
              </w:rPr>
            </w:pPr>
            <w:r w:rsidRPr="00C4037B">
              <w:rPr>
                <w:rFonts w:ascii="Times New Roman" w:eastAsia="Times New Roman" w:hAnsi="Times New Roman" w:cs="Times New Roman"/>
                <w:b/>
                <w:sz w:val="20"/>
                <w:szCs w:val="20"/>
                <w:lang w:eastAsia="en-ZA"/>
              </w:rPr>
              <w:lastRenderedPageBreak/>
              <w:t xml:space="preserve">MAN3 Ease of management </w:t>
            </w:r>
          </w:p>
        </w:tc>
      </w:tr>
      <w:tr w:rsidR="002D7080" w:rsidRPr="00C4037B" w14:paraId="631807EB" w14:textId="77777777" w:rsidTr="002E2C37">
        <w:trPr>
          <w:trHeight w:val="172"/>
        </w:trPr>
        <w:tc>
          <w:tcPr>
            <w:tcW w:w="5240" w:type="dxa"/>
          </w:tcPr>
          <w:p w14:paraId="39624236" w14:textId="77777777" w:rsidR="002D7080" w:rsidRPr="00C4037B"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Response: Medium</w:t>
            </w:r>
          </w:p>
        </w:tc>
        <w:tc>
          <w:tcPr>
            <w:tcW w:w="3827" w:type="dxa"/>
          </w:tcPr>
          <w:p w14:paraId="0992E2EB" w14:textId="77777777" w:rsidR="002D7080" w:rsidRPr="00C4037B"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Confidence: Medium</w:t>
            </w:r>
          </w:p>
        </w:tc>
      </w:tr>
      <w:tr w:rsidR="002D7080" w:rsidRPr="00C4037B" w14:paraId="637285C5" w14:textId="77777777" w:rsidTr="002E2C37">
        <w:trPr>
          <w:trHeight w:val="70"/>
        </w:trPr>
        <w:tc>
          <w:tcPr>
            <w:tcW w:w="9067" w:type="dxa"/>
            <w:gridSpan w:val="2"/>
          </w:tcPr>
          <w:p w14:paraId="2BF4A534" w14:textId="77777777" w:rsidR="002D7080" w:rsidRPr="00C4037B"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 xml:space="preserve">Rationale: </w:t>
            </w:r>
            <w:r w:rsidRPr="00C4037B">
              <w:rPr>
                <w:rFonts w:ascii="Times New Roman" w:eastAsia="Times New Roman" w:hAnsi="Times New Roman" w:cs="Times New Roman"/>
                <w:i/>
                <w:sz w:val="20"/>
                <w:szCs w:val="20"/>
                <w:lang w:eastAsia="en-ZA"/>
              </w:rPr>
              <w:t xml:space="preserve">Pontastacus leptodactylus </w:t>
            </w:r>
            <w:r w:rsidRPr="00C4037B">
              <w:rPr>
                <w:rFonts w:ascii="Times New Roman" w:eastAsia="Times New Roman" w:hAnsi="Times New Roman" w:cs="Times New Roman"/>
                <w:sz w:val="20"/>
                <w:szCs w:val="20"/>
                <w:lang w:eastAsia="en-ZA"/>
              </w:rPr>
              <w:t xml:space="preserve">is </w:t>
            </w:r>
            <w:r w:rsidRPr="00C4037B">
              <w:rPr>
                <w:rFonts w:ascii="Times New Roman" w:hAnsi="Times New Roman" w:cs="Times New Roman"/>
                <w:bCs/>
                <w:iCs/>
                <w:sz w:val="20"/>
                <w:szCs w:val="20"/>
              </w:rPr>
              <w:t>a small burrowing freshwater species that is difficult to detect, it is highly fecund (200–400 eggs) and parental cares increases the survival probability of hatchlings (Baber &amp; Mazlum 2009; CABI 2024).</w:t>
            </w:r>
          </w:p>
        </w:tc>
      </w:tr>
      <w:tr w:rsidR="002D7080" w:rsidRPr="00C4037B" w14:paraId="176A3C0F" w14:textId="77777777" w:rsidTr="002E2C37">
        <w:trPr>
          <w:trHeight w:val="70"/>
        </w:trPr>
        <w:tc>
          <w:tcPr>
            <w:tcW w:w="9067" w:type="dxa"/>
            <w:gridSpan w:val="2"/>
          </w:tcPr>
          <w:p w14:paraId="3B82B427" w14:textId="77777777" w:rsidR="002D7080" w:rsidRPr="00C4037B" w:rsidRDefault="002D7080" w:rsidP="002E2C37">
            <w:pPr>
              <w:ind w:left="720" w:hanging="720"/>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References:</w:t>
            </w:r>
          </w:p>
          <w:p w14:paraId="204610FD" w14:textId="16639241" w:rsidR="002D7080" w:rsidRPr="00C4037B" w:rsidRDefault="002D7080" w:rsidP="002E2C37">
            <w:pPr>
              <w:ind w:left="547" w:hanging="547"/>
              <w:contextualSpacing/>
              <w:jc w:val="both"/>
              <w:rPr>
                <w:rFonts w:ascii="Times New Roman" w:hAnsi="Times New Roman" w:cs="Times New Roman"/>
                <w:color w:val="222222"/>
                <w:sz w:val="20"/>
                <w:szCs w:val="20"/>
                <w:shd w:val="clear" w:color="auto" w:fill="FFFFFF"/>
              </w:rPr>
            </w:pPr>
            <w:r w:rsidRPr="00C4037B">
              <w:rPr>
                <w:rFonts w:ascii="Times New Roman" w:hAnsi="Times New Roman" w:cs="Times New Roman"/>
                <w:color w:val="222222"/>
                <w:sz w:val="20"/>
                <w:szCs w:val="20"/>
                <w:shd w:val="clear" w:color="auto" w:fill="FFFFFF"/>
              </w:rPr>
              <w:t>Berber, S., &amp; Mazlum, Y.</w:t>
            </w:r>
            <w:r>
              <w:rPr>
                <w:rFonts w:ascii="Times New Roman" w:hAnsi="Times New Roman" w:cs="Times New Roman"/>
                <w:color w:val="222222"/>
                <w:sz w:val="20"/>
                <w:szCs w:val="20"/>
                <w:shd w:val="clear" w:color="auto" w:fill="FFFFFF"/>
              </w:rPr>
              <w:t xml:space="preserve">, </w:t>
            </w:r>
            <w:r w:rsidRPr="00C4037B">
              <w:rPr>
                <w:rFonts w:ascii="Times New Roman" w:hAnsi="Times New Roman" w:cs="Times New Roman"/>
                <w:color w:val="222222"/>
                <w:sz w:val="20"/>
                <w:szCs w:val="20"/>
                <w:shd w:val="clear" w:color="auto" w:fill="FFFFFF"/>
              </w:rPr>
              <w:t>2009</w:t>
            </w:r>
            <w:r>
              <w:rPr>
                <w:rFonts w:ascii="Times New Roman" w:hAnsi="Times New Roman" w:cs="Times New Roman"/>
                <w:color w:val="222222"/>
                <w:sz w:val="20"/>
                <w:szCs w:val="20"/>
                <w:shd w:val="clear" w:color="auto" w:fill="FFFFFF"/>
              </w:rPr>
              <w:t>,</w:t>
            </w:r>
            <w:r w:rsidRPr="00C4037B">
              <w:rPr>
                <w:rFonts w:ascii="Times New Roman" w:hAnsi="Times New Roman" w:cs="Times New Roman"/>
                <w:color w:val="222222"/>
                <w:sz w:val="20"/>
                <w:szCs w:val="20"/>
                <w:shd w:val="clear" w:color="auto" w:fill="FFFFFF"/>
              </w:rPr>
              <w:t xml:space="preserve"> </w:t>
            </w:r>
            <w:r>
              <w:rPr>
                <w:rFonts w:ascii="Times New Roman" w:hAnsi="Times New Roman" w:cs="Times New Roman"/>
                <w:color w:val="222222"/>
                <w:sz w:val="20"/>
                <w:szCs w:val="20"/>
                <w:shd w:val="clear" w:color="auto" w:fill="FFFFFF"/>
              </w:rPr>
              <w:t>‘</w:t>
            </w:r>
            <w:r w:rsidRPr="00C4037B">
              <w:rPr>
                <w:rFonts w:ascii="Times New Roman" w:hAnsi="Times New Roman" w:cs="Times New Roman"/>
                <w:color w:val="222222"/>
                <w:sz w:val="20"/>
                <w:szCs w:val="20"/>
                <w:shd w:val="clear" w:color="auto" w:fill="FFFFFF"/>
              </w:rPr>
              <w:t xml:space="preserve">Reproductive efficiency of the narrow-clawed crayfish, </w:t>
            </w:r>
            <w:r w:rsidRPr="005D7277">
              <w:rPr>
                <w:rFonts w:ascii="Times New Roman" w:hAnsi="Times New Roman" w:cs="Times New Roman"/>
                <w:i/>
                <w:iCs/>
                <w:color w:val="222222"/>
                <w:sz w:val="20"/>
                <w:szCs w:val="20"/>
                <w:shd w:val="clear" w:color="auto" w:fill="FFFFFF"/>
              </w:rPr>
              <w:t>Astacus leptodactylus</w:t>
            </w:r>
            <w:r w:rsidRPr="00C4037B">
              <w:rPr>
                <w:rFonts w:ascii="Times New Roman" w:hAnsi="Times New Roman" w:cs="Times New Roman"/>
                <w:color w:val="222222"/>
                <w:sz w:val="20"/>
                <w:szCs w:val="20"/>
                <w:shd w:val="clear" w:color="auto" w:fill="FFFFFF"/>
              </w:rPr>
              <w:t>, in several populations in Turkey</w:t>
            </w:r>
            <w:r>
              <w:rPr>
                <w:rFonts w:ascii="Times New Roman" w:hAnsi="Times New Roman" w:cs="Times New Roman"/>
                <w:color w:val="222222"/>
                <w:sz w:val="20"/>
                <w:szCs w:val="20"/>
                <w:shd w:val="clear" w:color="auto" w:fill="FFFFFF"/>
              </w:rPr>
              <w:t>’,</w:t>
            </w:r>
            <w:r w:rsidRPr="00C4037B">
              <w:rPr>
                <w:rFonts w:ascii="Times New Roman" w:hAnsi="Times New Roman" w:cs="Times New Roman"/>
                <w:color w:val="222222"/>
                <w:sz w:val="20"/>
                <w:szCs w:val="20"/>
                <w:shd w:val="clear" w:color="auto" w:fill="FFFFFF"/>
              </w:rPr>
              <w:t> </w:t>
            </w:r>
            <w:r w:rsidRPr="00C4037B">
              <w:rPr>
                <w:rFonts w:ascii="Times New Roman" w:hAnsi="Times New Roman" w:cs="Times New Roman"/>
                <w:i/>
                <w:iCs/>
                <w:color w:val="222222"/>
                <w:sz w:val="20"/>
                <w:szCs w:val="20"/>
                <w:shd w:val="clear" w:color="auto" w:fill="FFFFFF"/>
              </w:rPr>
              <w:t>Crustaceana</w:t>
            </w:r>
            <w:r w:rsidRPr="00C4037B">
              <w:rPr>
                <w:rFonts w:ascii="Times New Roman" w:hAnsi="Times New Roman" w:cs="Times New Roman"/>
                <w:color w:val="222222"/>
                <w:sz w:val="20"/>
                <w:szCs w:val="20"/>
                <w:shd w:val="clear" w:color="auto" w:fill="FFFFFF"/>
              </w:rPr>
              <w:t>, 531-542.</w:t>
            </w:r>
            <w:r w:rsidR="00F25656" w:rsidRPr="00F25656">
              <w:rPr>
                <w:rFonts w:ascii="Times New Roman" w:hAnsi="Times New Roman" w:cs="Times New Roman"/>
                <w:color w:val="222222"/>
                <w:sz w:val="20"/>
                <w:szCs w:val="20"/>
                <w:shd w:val="clear" w:color="auto" w:fill="FFFFFF"/>
              </w:rPr>
              <w:t xml:space="preserve">  https://www.jstor.org/stable/27743310  </w:t>
            </w:r>
          </w:p>
          <w:p w14:paraId="3B068510" w14:textId="77777777" w:rsidR="002D7080" w:rsidRPr="00C4037B" w:rsidRDefault="002D7080" w:rsidP="002E2C37">
            <w:pPr>
              <w:ind w:left="547" w:hanging="547"/>
              <w:contextualSpacing/>
              <w:jc w:val="both"/>
              <w:rPr>
                <w:rFonts w:ascii="Times New Roman" w:hAnsi="Times New Roman" w:cs="Times New Roman"/>
                <w:sz w:val="20"/>
                <w:szCs w:val="20"/>
              </w:rPr>
            </w:pPr>
            <w:r w:rsidRPr="000E6BA8">
              <w:rPr>
                <w:rFonts w:ascii="Times New Roman" w:hAnsi="Times New Roman" w:cs="Times New Roman"/>
                <w:sz w:val="20"/>
                <w:szCs w:val="20"/>
                <w:lang w:val="fr-FR"/>
              </w:rPr>
              <w:t xml:space="preserve">CABI, 2024. </w:t>
            </w:r>
            <w:r w:rsidRPr="000E6BA8">
              <w:rPr>
                <w:rFonts w:ascii="Times New Roman" w:eastAsia="Times New Roman" w:hAnsi="Times New Roman" w:cs="Times New Roman"/>
                <w:i/>
                <w:sz w:val="20"/>
                <w:szCs w:val="20"/>
                <w:lang w:val="fr-FR" w:eastAsia="en-ZA"/>
              </w:rPr>
              <w:t>Pontastacus leptodactylus</w:t>
            </w:r>
            <w:r w:rsidRPr="000E6BA8">
              <w:rPr>
                <w:rFonts w:ascii="Times New Roman" w:eastAsia="Times New Roman" w:hAnsi="Times New Roman" w:cs="Times New Roman"/>
                <w:sz w:val="20"/>
                <w:szCs w:val="20"/>
                <w:lang w:val="fr-FR" w:eastAsia="en-ZA"/>
              </w:rPr>
              <w:t xml:space="preserve"> </w:t>
            </w:r>
            <w:r w:rsidRPr="000E6BA8">
              <w:rPr>
                <w:rFonts w:ascii="Times New Roman" w:hAnsi="Times New Roman" w:cs="Times New Roman"/>
                <w:sz w:val="20"/>
                <w:szCs w:val="20"/>
                <w:lang w:val="fr-FR"/>
              </w:rPr>
              <w:t xml:space="preserve">(Danube crayfish). </w:t>
            </w:r>
            <w:r w:rsidRPr="00C4037B">
              <w:rPr>
                <w:rFonts w:ascii="Times New Roman" w:hAnsi="Times New Roman" w:cs="Times New Roman"/>
                <w:sz w:val="20"/>
                <w:szCs w:val="20"/>
              </w:rPr>
              <w:t xml:space="preserve">Invasive Species Compendium, </w:t>
            </w:r>
            <w:r w:rsidRPr="00C4037B">
              <w:rPr>
                <w:rFonts w:ascii="Times New Roman" w:hAnsi="Times New Roman" w:cs="Times New Roman"/>
                <w:color w:val="000000"/>
                <w:sz w:val="20"/>
                <w:szCs w:val="20"/>
                <w:shd w:val="clear" w:color="auto" w:fill="FFFFFF"/>
              </w:rPr>
              <w:t>CABI Publishing, Wallingford, UK.</w:t>
            </w:r>
            <w:r w:rsidRPr="00C4037B">
              <w:rPr>
                <w:rFonts w:ascii="Times New Roman" w:hAnsi="Times New Roman" w:cs="Times New Roman"/>
                <w:sz w:val="20"/>
                <w:szCs w:val="20"/>
              </w:rPr>
              <w:t xml:space="preserve"> </w:t>
            </w:r>
            <w:hyperlink w:history="1">
              <w:r w:rsidRPr="00C4037B">
                <w:rPr>
                  <w:rStyle w:val="Hyperlink"/>
                  <w:rFonts w:ascii="Times New Roman" w:hAnsi="Times New Roman" w:cs="Times New Roman"/>
                  <w:sz w:val="20"/>
                  <w:szCs w:val="20"/>
                </w:rPr>
                <w:t>https://www.cabidigitallibrary.org/doi/full/10.1079/cabicompendium.72034</w:t>
              </w:r>
            </w:hyperlink>
            <w:r w:rsidRPr="00C4037B">
              <w:rPr>
                <w:rFonts w:ascii="Times New Roman" w:hAnsi="Times New Roman" w:cs="Times New Roman"/>
                <w:sz w:val="20"/>
                <w:szCs w:val="20"/>
              </w:rPr>
              <w:t xml:space="preserve"> (accessed 10 July 2024)</w:t>
            </w:r>
          </w:p>
          <w:p w14:paraId="042B97C6" w14:textId="399D52BF" w:rsidR="002D7080" w:rsidRPr="00C4037B" w:rsidRDefault="002D7080" w:rsidP="002E2C37">
            <w:pPr>
              <w:ind w:left="547" w:hanging="547"/>
              <w:contextualSpacing/>
              <w:jc w:val="both"/>
              <w:rPr>
                <w:rFonts w:ascii="Times New Roman" w:hAnsi="Times New Roman" w:cs="Times New Roman"/>
                <w:sz w:val="20"/>
                <w:szCs w:val="20"/>
              </w:rPr>
            </w:pPr>
            <w:r w:rsidRPr="00C4037B">
              <w:rPr>
                <w:rFonts w:ascii="Times New Roman" w:hAnsi="Times New Roman" w:cs="Times New Roman"/>
                <w:color w:val="222222"/>
                <w:sz w:val="20"/>
                <w:szCs w:val="20"/>
                <w:shd w:val="clear" w:color="auto" w:fill="FFFFFF"/>
              </w:rPr>
              <w:t>Peeters, E. T., de Vries, R., Elzinga, J., Ludányi, M., van Himbeeck, R., &amp; Roessink, I.</w:t>
            </w:r>
            <w:r>
              <w:rPr>
                <w:rFonts w:ascii="Times New Roman" w:hAnsi="Times New Roman" w:cs="Times New Roman"/>
                <w:color w:val="222222"/>
                <w:sz w:val="20"/>
                <w:szCs w:val="20"/>
                <w:shd w:val="clear" w:color="auto" w:fill="FFFFFF"/>
              </w:rPr>
              <w:t xml:space="preserve">, </w:t>
            </w:r>
            <w:r w:rsidRPr="00C4037B">
              <w:rPr>
                <w:rFonts w:ascii="Times New Roman" w:hAnsi="Times New Roman" w:cs="Times New Roman"/>
                <w:color w:val="222222"/>
                <w:sz w:val="20"/>
                <w:szCs w:val="20"/>
                <w:shd w:val="clear" w:color="auto" w:fill="FFFFFF"/>
              </w:rPr>
              <w:t>2023</w:t>
            </w:r>
            <w:r>
              <w:rPr>
                <w:rFonts w:ascii="Times New Roman" w:hAnsi="Times New Roman" w:cs="Times New Roman"/>
                <w:color w:val="222222"/>
                <w:sz w:val="20"/>
                <w:szCs w:val="20"/>
                <w:shd w:val="clear" w:color="auto" w:fill="FFFFFF"/>
              </w:rPr>
              <w:t>,</w:t>
            </w:r>
            <w:r w:rsidRPr="00C4037B">
              <w:rPr>
                <w:rFonts w:ascii="Times New Roman" w:hAnsi="Times New Roman" w:cs="Times New Roman"/>
                <w:color w:val="222222"/>
                <w:sz w:val="20"/>
                <w:szCs w:val="20"/>
                <w:shd w:val="clear" w:color="auto" w:fill="FFFFFF"/>
              </w:rPr>
              <w:t xml:space="preserve"> </w:t>
            </w:r>
            <w:r>
              <w:rPr>
                <w:rFonts w:ascii="Times New Roman" w:hAnsi="Times New Roman" w:cs="Times New Roman"/>
                <w:color w:val="222222"/>
                <w:sz w:val="20"/>
                <w:szCs w:val="20"/>
                <w:shd w:val="clear" w:color="auto" w:fill="FFFFFF"/>
              </w:rPr>
              <w:t>‘</w:t>
            </w:r>
            <w:r w:rsidRPr="00C4037B">
              <w:rPr>
                <w:rFonts w:ascii="Times New Roman" w:hAnsi="Times New Roman" w:cs="Times New Roman"/>
                <w:color w:val="222222"/>
                <w:sz w:val="20"/>
                <w:szCs w:val="20"/>
                <w:shd w:val="clear" w:color="auto" w:fill="FFFFFF"/>
              </w:rPr>
              <w:t>Triggers affecting crayfish burrowing behaviour</w:t>
            </w:r>
            <w:r>
              <w:rPr>
                <w:rFonts w:ascii="Times New Roman" w:hAnsi="Times New Roman" w:cs="Times New Roman"/>
                <w:color w:val="222222"/>
                <w:sz w:val="20"/>
                <w:szCs w:val="20"/>
                <w:shd w:val="clear" w:color="auto" w:fill="FFFFFF"/>
              </w:rPr>
              <w:t>’,</w:t>
            </w:r>
            <w:r w:rsidRPr="00C4037B">
              <w:rPr>
                <w:rFonts w:ascii="Times New Roman" w:hAnsi="Times New Roman" w:cs="Times New Roman"/>
                <w:color w:val="222222"/>
                <w:sz w:val="20"/>
                <w:szCs w:val="20"/>
                <w:shd w:val="clear" w:color="auto" w:fill="FFFFFF"/>
              </w:rPr>
              <w:t> </w:t>
            </w:r>
            <w:r w:rsidRPr="00C4037B">
              <w:rPr>
                <w:rFonts w:ascii="Times New Roman" w:hAnsi="Times New Roman" w:cs="Times New Roman"/>
                <w:i/>
                <w:iCs/>
                <w:color w:val="222222"/>
                <w:sz w:val="20"/>
                <w:szCs w:val="20"/>
                <w:shd w:val="clear" w:color="auto" w:fill="FFFFFF"/>
              </w:rPr>
              <w:t>Aquatic Ecology</w:t>
            </w:r>
            <w:r w:rsidRPr="00C4037B">
              <w:rPr>
                <w:rFonts w:ascii="Times New Roman" w:hAnsi="Times New Roman" w:cs="Times New Roman"/>
                <w:color w:val="222222"/>
                <w:sz w:val="20"/>
                <w:szCs w:val="20"/>
                <w:shd w:val="clear" w:color="auto" w:fill="FFFFFF"/>
              </w:rPr>
              <w:t xml:space="preserve">, 1-16. </w:t>
            </w:r>
            <w:hyperlink r:id="rId477" w:history="1">
              <w:r w:rsidR="00F25656" w:rsidRPr="00F215B9">
                <w:rPr>
                  <w:rStyle w:val="Hyperlink"/>
                  <w:rFonts w:ascii="Times New Roman" w:hAnsi="Times New Roman" w:cs="Times New Roman"/>
                  <w:sz w:val="20"/>
                  <w:szCs w:val="20"/>
                  <w:shd w:val="clear" w:color="auto" w:fill="FFFFFF"/>
                </w:rPr>
                <w:t>https://doi.org/10.1007/s10452-023-10057-3</w:t>
              </w:r>
            </w:hyperlink>
            <w:r w:rsidR="00F25656">
              <w:rPr>
                <w:rFonts w:ascii="Times New Roman" w:hAnsi="Times New Roman" w:cs="Times New Roman"/>
                <w:color w:val="222222"/>
                <w:sz w:val="20"/>
                <w:szCs w:val="20"/>
                <w:shd w:val="clear" w:color="auto" w:fill="FFFFFF"/>
              </w:rPr>
              <w:t xml:space="preserve">. </w:t>
            </w:r>
          </w:p>
        </w:tc>
      </w:tr>
    </w:tbl>
    <w:p w14:paraId="618EB69B"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9"/>
        <w:tblW w:w="9067" w:type="dxa"/>
        <w:tblLook w:val="04A0" w:firstRow="1" w:lastRow="0" w:firstColumn="1" w:lastColumn="0" w:noHBand="0" w:noVBand="1"/>
      </w:tblPr>
      <w:tblGrid>
        <w:gridCol w:w="5240"/>
        <w:gridCol w:w="3827"/>
      </w:tblGrid>
      <w:tr w:rsidR="002D7080" w:rsidRPr="004D1E6F" w14:paraId="15288418" w14:textId="77777777" w:rsidTr="002E2C37">
        <w:trPr>
          <w:trHeight w:val="343"/>
        </w:trPr>
        <w:tc>
          <w:tcPr>
            <w:tcW w:w="9067" w:type="dxa"/>
            <w:gridSpan w:val="2"/>
            <w:shd w:val="clear" w:color="auto" w:fill="F2F2F2" w:themeFill="background1" w:themeFillShade="F2"/>
          </w:tcPr>
          <w:p w14:paraId="3B004A20"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MAN4 Has the feasibility of eradication been evaluated?</w:t>
            </w:r>
          </w:p>
        </w:tc>
      </w:tr>
      <w:tr w:rsidR="002D7080" w:rsidRPr="004D1E6F" w14:paraId="1077BFCE" w14:textId="77777777" w:rsidTr="002E2C37">
        <w:trPr>
          <w:trHeight w:val="172"/>
        </w:trPr>
        <w:tc>
          <w:tcPr>
            <w:tcW w:w="5240" w:type="dxa"/>
          </w:tcPr>
          <w:p w14:paraId="4E6057B9" w14:textId="77777777" w:rsidR="002D7080" w:rsidRPr="004D1E6F" w:rsidRDefault="002D7080" w:rsidP="002E2C37">
            <w:pPr>
              <w:tabs>
                <w:tab w:val="left" w:pos="1589"/>
              </w:tabs>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No</w:t>
            </w:r>
            <w:r w:rsidRPr="004D1E6F">
              <w:rPr>
                <w:rFonts w:ascii="Times New Roman" w:eastAsia="Times New Roman" w:hAnsi="Times New Roman" w:cs="Times New Roman"/>
                <w:sz w:val="20"/>
                <w:szCs w:val="20"/>
                <w:lang w:eastAsia="en-ZA"/>
              </w:rPr>
              <w:tab/>
            </w:r>
          </w:p>
        </w:tc>
        <w:tc>
          <w:tcPr>
            <w:tcW w:w="3827" w:type="dxa"/>
          </w:tcPr>
          <w:p w14:paraId="6112273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4744FF62" w14:textId="77777777" w:rsidTr="002E2C37">
        <w:trPr>
          <w:trHeight w:val="70"/>
        </w:trPr>
        <w:tc>
          <w:tcPr>
            <w:tcW w:w="9067" w:type="dxa"/>
            <w:gridSpan w:val="2"/>
          </w:tcPr>
          <w:p w14:paraId="5D05EC3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sz w:val="20"/>
                <w:szCs w:val="20"/>
                <w:lang w:eastAsia="en-ZA"/>
              </w:rPr>
              <w:t>T</w:t>
            </w:r>
            <w:r w:rsidRPr="004D1E6F">
              <w:rPr>
                <w:rFonts w:ascii="Times New Roman" w:eastAsia="Times New Roman" w:hAnsi="Times New Roman" w:cs="Times New Roman"/>
                <w:sz w:val="20"/>
                <w:lang w:eastAsia="en-ZA"/>
              </w:rPr>
              <w:t xml:space="preserve">here are no known population of </w:t>
            </w:r>
            <w:r w:rsidRPr="00BC0981">
              <w:rPr>
                <w:rFonts w:ascii="Times New Roman" w:eastAsia="Times New Roman" w:hAnsi="Times New Roman" w:cs="Times New Roman"/>
                <w:i/>
                <w:iCs/>
                <w:sz w:val="20"/>
                <w:lang w:eastAsia="en-ZA"/>
              </w:rPr>
              <w:t xml:space="preserve">Pontastacus leptodactylus </w:t>
            </w:r>
            <w:r w:rsidRPr="004D1E6F">
              <w:rPr>
                <w:rFonts w:ascii="Times New Roman" w:eastAsia="Times New Roman" w:hAnsi="Times New Roman" w:cs="Times New Roman"/>
                <w:sz w:val="20"/>
                <w:lang w:eastAsia="en-ZA"/>
              </w:rPr>
              <w:t xml:space="preserve">in South Africa, therefore eradication feasibility has not been no evaluated (Nunes et al. 2017) but see MAN5 for summary of control efforts used to manage invasive crayfish populations.  </w:t>
            </w:r>
          </w:p>
        </w:tc>
      </w:tr>
      <w:tr w:rsidR="002D7080" w:rsidRPr="004D1E6F" w14:paraId="27DEF95D" w14:textId="77777777" w:rsidTr="002E2C37">
        <w:trPr>
          <w:trHeight w:val="203"/>
        </w:trPr>
        <w:tc>
          <w:tcPr>
            <w:tcW w:w="9067" w:type="dxa"/>
            <w:gridSpan w:val="2"/>
          </w:tcPr>
          <w:p w14:paraId="3D062BEB"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30CF9DA1" w14:textId="57E4E355"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478" w:history="1">
              <w:r w:rsidR="00F25656" w:rsidRPr="00F25656">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p>
        </w:tc>
      </w:tr>
    </w:tbl>
    <w:p w14:paraId="30113064"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9"/>
        <w:tblW w:w="9067" w:type="dxa"/>
        <w:tblLook w:val="04A0" w:firstRow="1" w:lastRow="0" w:firstColumn="1" w:lastColumn="0" w:noHBand="0" w:noVBand="1"/>
      </w:tblPr>
      <w:tblGrid>
        <w:gridCol w:w="9067"/>
      </w:tblGrid>
      <w:tr w:rsidR="002D7080" w:rsidRPr="004D1E6F" w14:paraId="4FB84146" w14:textId="77777777" w:rsidTr="002E2C37">
        <w:trPr>
          <w:trHeight w:val="343"/>
        </w:trPr>
        <w:tc>
          <w:tcPr>
            <w:tcW w:w="9067" w:type="dxa"/>
            <w:shd w:val="clear" w:color="auto" w:fill="F2F2F2" w:themeFill="background1" w:themeFillShade="F2"/>
          </w:tcPr>
          <w:p w14:paraId="1E7A2A5F"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MAN5 Control options and monitoring approaches available for the </w:t>
            </w:r>
            <w:r w:rsidRPr="004D1E6F">
              <w:rPr>
                <w:rFonts w:ascii="Times New Roman" w:eastAsia="Times New Roman" w:hAnsi="Times New Roman" w:cs="Times New Roman"/>
                <w:b/>
                <w:i/>
                <w:sz w:val="20"/>
                <w:szCs w:val="20"/>
                <w:lang w:eastAsia="en-ZA"/>
              </w:rPr>
              <w:t>Taxon</w:t>
            </w:r>
          </w:p>
        </w:tc>
      </w:tr>
      <w:tr w:rsidR="002D7080" w:rsidRPr="004D1E6F" w14:paraId="073AF738" w14:textId="77777777" w:rsidTr="002E2C37">
        <w:trPr>
          <w:trHeight w:val="70"/>
        </w:trPr>
        <w:tc>
          <w:tcPr>
            <w:tcW w:w="9067" w:type="dxa"/>
          </w:tcPr>
          <w:p w14:paraId="6AACEE3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Several methods can be used to monitor and control invasive crayfish populations including mechanical trapping</w:t>
            </w:r>
            <w:r w:rsidRPr="004D1E6F">
              <w:rPr>
                <w:rFonts w:ascii="Times New Roman" w:eastAsia="Times New Roman" w:hAnsi="Times New Roman" w:cs="Times New Roman"/>
                <w:iCs/>
                <w:sz w:val="20"/>
                <w:szCs w:val="20"/>
                <w:lang w:eastAsia="en-ZA"/>
              </w:rPr>
              <w:t xml:space="preserve"> (e.g., </w:t>
            </w:r>
            <w:r w:rsidRPr="004D1E6F">
              <w:rPr>
                <w:rStyle w:val="cf01"/>
                <w:rFonts w:ascii="Times New Roman" w:hAnsi="Times New Roman" w:cs="Times New Roman"/>
                <w:sz w:val="20"/>
                <w:szCs w:val="20"/>
              </w:rPr>
              <w:t xml:space="preserve">Barkhuizen et al. 2022; </w:t>
            </w:r>
            <w:r w:rsidRPr="004D1E6F">
              <w:rPr>
                <w:rFonts w:ascii="Times New Roman" w:eastAsia="Times New Roman" w:hAnsi="Times New Roman" w:cs="Times New Roman"/>
                <w:iCs/>
                <w:sz w:val="20"/>
                <w:szCs w:val="20"/>
                <w:lang w:eastAsia="en-ZA"/>
              </w:rPr>
              <w:t>Madzivanzira et al. 2021)</w:t>
            </w:r>
            <w:r w:rsidRPr="004D1E6F">
              <w:rPr>
                <w:rFonts w:ascii="Times New Roman" w:eastAsia="Times New Roman" w:hAnsi="Times New Roman" w:cs="Times New Roman"/>
                <w:sz w:val="20"/>
                <w:szCs w:val="20"/>
                <w:lang w:eastAsia="en-ZA"/>
              </w:rPr>
              <w:t xml:space="preserve">, electrofishing (Nunes et al. 2017), use of biocides, and biological control (Aquiloni et al 2010; Stebbing et al. 2014). </w:t>
            </w:r>
            <w:r w:rsidRPr="004D1E6F">
              <w:rPr>
                <w:rFonts w:ascii="Times New Roman" w:hAnsi="Times New Roman" w:cs="Times New Roman"/>
                <w:sz w:val="20"/>
                <w:szCs w:val="20"/>
              </w:rPr>
              <w:t>However, there are several issues that make management of crayfish invasions challenging (Gherardi et al. 2011). For example, the use of biocides is often effective for localised populations in dams and ponds (Peay et al. 2019) but they are non-specific and need to be applied with caution (Gherardi et al. 2011). Mechanical control methods are also effective in small discrete water bodies but are expensive and require commitment to follow on to complete eradication (Loureiro et al. 2018). In addition, alien crayfish species are regarded as potential conflict-generating species in South Africa and potential management interventions should consider the concerns of stakeholders to avoid conflict (Zengeya et al. 2017).</w:t>
            </w:r>
          </w:p>
        </w:tc>
      </w:tr>
      <w:tr w:rsidR="002D7080" w:rsidRPr="004D1E6F" w14:paraId="7DCBC6BB" w14:textId="77777777" w:rsidTr="002E2C37">
        <w:trPr>
          <w:trHeight w:val="203"/>
        </w:trPr>
        <w:tc>
          <w:tcPr>
            <w:tcW w:w="9067" w:type="dxa"/>
          </w:tcPr>
          <w:p w14:paraId="7C2AC6E7"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72C66CC8" w14:textId="5752E5A6" w:rsidR="00DE4CFB" w:rsidRPr="008A0BC6" w:rsidRDefault="002D7080" w:rsidP="002E2C37">
            <w:pPr>
              <w:ind w:left="720" w:hanging="720"/>
              <w:contextualSpacing/>
              <w:jc w:val="both"/>
              <w:rPr>
                <w:rFonts w:ascii="Times New Roman" w:eastAsia="Times New Roman" w:hAnsi="Times New Roman" w:cs="Times New Roman"/>
                <w:sz w:val="18"/>
                <w:szCs w:val="18"/>
                <w:lang w:eastAsia="en-ZA"/>
              </w:rPr>
            </w:pPr>
            <w:r w:rsidRPr="004D1E6F">
              <w:rPr>
                <w:rFonts w:ascii="Times New Roman" w:eastAsia="Times New Roman" w:hAnsi="Times New Roman" w:cs="Times New Roman"/>
                <w:sz w:val="20"/>
                <w:szCs w:val="20"/>
                <w:lang w:eastAsia="en-ZA"/>
              </w:rPr>
              <w:t>Aquiloni, L., Brusconi, S., Cecchinelli, E., Tricarico, E., Mazza, G., Paglianti, A., et al., 2010, ‘Biological control of invasive populations of crayfish: the European eel (</w:t>
            </w:r>
            <w:r w:rsidRPr="004D1E6F">
              <w:rPr>
                <w:rFonts w:ascii="Times New Roman" w:eastAsia="Times New Roman" w:hAnsi="Times New Roman" w:cs="Times New Roman"/>
                <w:i/>
                <w:iCs/>
                <w:sz w:val="20"/>
                <w:szCs w:val="20"/>
                <w:lang w:eastAsia="en-ZA"/>
              </w:rPr>
              <w:t>Anguilla anguilla</w:t>
            </w:r>
            <w:r w:rsidRPr="004D1E6F">
              <w:rPr>
                <w:rFonts w:ascii="Times New Roman" w:eastAsia="Times New Roman" w:hAnsi="Times New Roman" w:cs="Times New Roman"/>
                <w:sz w:val="20"/>
                <w:szCs w:val="20"/>
                <w:lang w:eastAsia="en-ZA"/>
              </w:rPr>
              <w:t xml:space="preserve">) as a predator of </w:t>
            </w:r>
            <w:r w:rsidRPr="004D1E6F">
              <w:rPr>
                <w:rFonts w:ascii="Times New Roman" w:eastAsia="Times New Roman" w:hAnsi="Times New Roman" w:cs="Times New Roman"/>
                <w:i/>
                <w:iCs/>
                <w:sz w:val="20"/>
                <w:szCs w:val="20"/>
                <w:lang w:eastAsia="en-ZA"/>
              </w:rPr>
              <w:t>Procambarus clarkii</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Biological Invasions</w:t>
            </w:r>
            <w:r w:rsidRPr="004D1E6F">
              <w:rPr>
                <w:rFonts w:ascii="Times New Roman" w:eastAsia="Times New Roman" w:hAnsi="Times New Roman" w:cs="Times New Roman"/>
                <w:sz w:val="20"/>
                <w:szCs w:val="20"/>
                <w:lang w:eastAsia="en-ZA"/>
              </w:rPr>
              <w:t xml:space="preserve">, 12, 3817-3824. </w:t>
            </w:r>
            <w:r w:rsidR="00DE4CFB" w:rsidRPr="008A0BC6">
              <w:rPr>
                <w:rFonts w:ascii="Times New Roman" w:hAnsi="Times New Roman" w:cs="Times New Roman"/>
                <w:sz w:val="20"/>
                <w:szCs w:val="20"/>
              </w:rPr>
              <w:t>https://doi.org/10.1007/s10530-010-9774-z</w:t>
            </w:r>
          </w:p>
          <w:p w14:paraId="580B5937" w14:textId="1D9788D9"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bookmarkStart w:id="19" w:name="_Hlk213617362"/>
            <w:r w:rsidRPr="004D1E6F">
              <w:rPr>
                <w:rFonts w:ascii="Times New Roman" w:eastAsia="Times New Roman" w:hAnsi="Times New Roman" w:cs="Times New Roman"/>
                <w:sz w:val="20"/>
                <w:szCs w:val="20"/>
                <w:lang w:eastAsia="en-ZA"/>
              </w:rPr>
              <w:lastRenderedPageBreak/>
              <w:t xml:space="preserve">Barkhuizen, L.M., Madzivanzira, T.C. &amp; South, J. 2022, ‘Population ecology of a wild population of red swamp crayfish </w:t>
            </w:r>
            <w:r w:rsidRPr="004D1E6F">
              <w:rPr>
                <w:rFonts w:ascii="Times New Roman" w:eastAsia="Times New Roman" w:hAnsi="Times New Roman" w:cs="Times New Roman"/>
                <w:i/>
                <w:iCs/>
                <w:sz w:val="20"/>
                <w:szCs w:val="20"/>
                <w:lang w:eastAsia="en-ZA"/>
              </w:rPr>
              <w:t>Procambarus clarkii</w:t>
            </w:r>
            <w:r w:rsidRPr="004D1E6F">
              <w:rPr>
                <w:rFonts w:ascii="Times New Roman" w:eastAsia="Times New Roman" w:hAnsi="Times New Roman" w:cs="Times New Roman"/>
                <w:sz w:val="20"/>
                <w:szCs w:val="20"/>
                <w:lang w:eastAsia="en-ZA"/>
              </w:rPr>
              <w:t xml:space="preserve"> (Girard, 1852) in the Free State Province, South Africa and implications for eradication efforts’, </w:t>
            </w:r>
            <w:r w:rsidRPr="004D1E6F">
              <w:rPr>
                <w:rFonts w:ascii="Times New Roman" w:eastAsia="Times New Roman" w:hAnsi="Times New Roman" w:cs="Times New Roman"/>
                <w:i/>
                <w:iCs/>
                <w:sz w:val="20"/>
                <w:szCs w:val="20"/>
                <w:lang w:eastAsia="en-ZA"/>
              </w:rPr>
              <w:t>BioInvasions Records</w:t>
            </w:r>
            <w:r w:rsidRPr="004D1E6F">
              <w:rPr>
                <w:rFonts w:ascii="Times New Roman" w:eastAsia="Times New Roman" w:hAnsi="Times New Roman" w:cs="Times New Roman"/>
                <w:sz w:val="20"/>
                <w:szCs w:val="20"/>
                <w:lang w:eastAsia="en-ZA"/>
              </w:rPr>
              <w:t xml:space="preserve"> 11, 181–191. </w:t>
            </w:r>
            <w:r w:rsidR="00DE4CFB" w:rsidRPr="00DE4CFB">
              <w:rPr>
                <w:rFonts w:ascii="Times New Roman" w:eastAsia="Times New Roman" w:hAnsi="Times New Roman" w:cs="Times New Roman"/>
                <w:sz w:val="20"/>
                <w:szCs w:val="20"/>
                <w:lang w:eastAsia="en-ZA"/>
              </w:rPr>
              <w:t>https://doi.org/10.3391/bir.2022</w:t>
            </w:r>
            <w:bookmarkEnd w:id="19"/>
            <w:r w:rsidR="00DE4CFB" w:rsidRPr="00DE4CFB">
              <w:rPr>
                <w:rFonts w:ascii="Times New Roman" w:eastAsia="Times New Roman" w:hAnsi="Times New Roman" w:cs="Times New Roman"/>
                <w:sz w:val="20"/>
                <w:szCs w:val="20"/>
                <w:lang w:eastAsia="en-ZA"/>
              </w:rPr>
              <w:t>.11.1.18</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 </w:t>
            </w:r>
          </w:p>
          <w:p w14:paraId="466A7955"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Gherardi, F., Aquiloni, L., Diéguez-Uribeondo, J. &amp; Tricarico E., 2011, ‘Managing invasive crayfish: is there a hope?’, </w:t>
            </w:r>
            <w:r w:rsidRPr="004D1E6F">
              <w:rPr>
                <w:rFonts w:ascii="Times New Roman" w:eastAsia="Times New Roman" w:hAnsi="Times New Roman" w:cs="Times New Roman"/>
                <w:i/>
                <w:iCs/>
                <w:sz w:val="20"/>
                <w:szCs w:val="20"/>
                <w:lang w:eastAsia="en-ZA"/>
              </w:rPr>
              <w:t>Aquatic Sciences</w:t>
            </w:r>
            <w:r w:rsidRPr="004D1E6F">
              <w:rPr>
                <w:rFonts w:ascii="Times New Roman" w:eastAsia="Times New Roman" w:hAnsi="Times New Roman" w:cs="Times New Roman"/>
                <w:sz w:val="20"/>
                <w:szCs w:val="20"/>
                <w:lang w:eastAsia="en-ZA"/>
              </w:rPr>
              <w:t xml:space="preserve"> 73, 185–200. </w:t>
            </w:r>
            <w:hyperlink w:history="1">
              <w:r w:rsidRPr="0047493D">
                <w:rPr>
                  <w:rStyle w:val="Hyperlink"/>
                  <w:rFonts w:ascii="Times New Roman" w:eastAsia="Times New Roman" w:hAnsi="Times New Roman" w:cs="Times New Roman"/>
                  <w:sz w:val="20"/>
                  <w:szCs w:val="20"/>
                  <w:lang w:eastAsia="en-ZA"/>
                </w:rPr>
                <w:t>https://doi.org/10.1007/s00027-011-0181-z</w:t>
              </w:r>
            </w:hyperlink>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 </w:t>
            </w:r>
          </w:p>
          <w:p w14:paraId="7DBD905C" w14:textId="48371A55"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Loureiro, T.G., Anastácio, P.M., de Siqueira Bueno, S.L. &amp; Araujo, P.B., 2018, ‘Management of invasive populations of the freshwater crayfish </w:t>
            </w:r>
            <w:r w:rsidRPr="004D1E6F">
              <w:rPr>
                <w:rFonts w:ascii="Times New Roman" w:eastAsia="Times New Roman" w:hAnsi="Times New Roman" w:cs="Times New Roman"/>
                <w:i/>
                <w:iCs/>
                <w:sz w:val="20"/>
                <w:szCs w:val="20"/>
                <w:lang w:eastAsia="en-ZA"/>
              </w:rPr>
              <w:t>Procambarus clarkii</w:t>
            </w:r>
            <w:r w:rsidRPr="004D1E6F">
              <w:rPr>
                <w:rFonts w:ascii="Times New Roman" w:eastAsia="Times New Roman" w:hAnsi="Times New Roman" w:cs="Times New Roman"/>
                <w:sz w:val="20"/>
                <w:szCs w:val="20"/>
                <w:lang w:eastAsia="en-ZA"/>
              </w:rPr>
              <w:t xml:space="preserve"> (Decapoda, Cambaridae): test of a population-control method and proposal of a standard monitoring approach’, </w:t>
            </w:r>
            <w:r w:rsidRPr="004D1E6F">
              <w:rPr>
                <w:rFonts w:ascii="Times New Roman" w:eastAsia="Times New Roman" w:hAnsi="Times New Roman" w:cs="Times New Roman"/>
                <w:i/>
                <w:iCs/>
                <w:sz w:val="20"/>
                <w:szCs w:val="20"/>
                <w:lang w:eastAsia="en-ZA"/>
              </w:rPr>
              <w:t>Environmental Monitoring Assessment</w:t>
            </w:r>
            <w:r w:rsidRPr="004D1E6F">
              <w:rPr>
                <w:rFonts w:ascii="Times New Roman" w:eastAsia="Times New Roman" w:hAnsi="Times New Roman" w:cs="Times New Roman"/>
                <w:sz w:val="20"/>
                <w:szCs w:val="20"/>
                <w:lang w:eastAsia="en-ZA"/>
              </w:rPr>
              <w:t xml:space="preserve"> 190, 559</w:t>
            </w:r>
            <w:r w:rsidR="00DE4CFB" w:rsidRPr="00DE4CFB">
              <w:rPr>
                <w:rFonts w:ascii="Merriweather Sans" w:hAnsi="Merriweather Sans"/>
                <w:color w:val="222222"/>
                <w:shd w:val="clear" w:color="auto" w:fill="FFFFFF"/>
              </w:rPr>
              <w:t xml:space="preserve"> </w:t>
            </w:r>
            <w:r w:rsidR="00DE4CFB" w:rsidRPr="00DE4CFB">
              <w:rPr>
                <w:rFonts w:ascii="Times New Roman" w:eastAsia="Times New Roman" w:hAnsi="Times New Roman" w:cs="Times New Roman"/>
                <w:sz w:val="20"/>
                <w:szCs w:val="20"/>
                <w:lang w:eastAsia="en-ZA"/>
              </w:rPr>
              <w:t>https://doi.org/10.1007/s10661-018-6942-6</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 </w:t>
            </w:r>
          </w:p>
          <w:p w14:paraId="6C581B7F" w14:textId="04F9FEFB"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Madzivanzira, T.C, South, J., Nhiwatiwa, T. &amp; Weyl, O.L.F., 2021, ‘Standardisation of Australian redclaw crayfish </w:t>
            </w:r>
            <w:r w:rsidRPr="004D1E6F">
              <w:rPr>
                <w:rFonts w:ascii="Times New Roman" w:eastAsia="Times New Roman" w:hAnsi="Times New Roman" w:cs="Times New Roman"/>
                <w:i/>
                <w:iCs/>
                <w:sz w:val="20"/>
                <w:szCs w:val="20"/>
                <w:lang w:eastAsia="en-ZA"/>
              </w:rPr>
              <w:t>Cherax quadricarinatus</w:t>
            </w:r>
            <w:r w:rsidRPr="004D1E6F">
              <w:rPr>
                <w:rFonts w:ascii="Times New Roman" w:eastAsia="Times New Roman" w:hAnsi="Times New Roman" w:cs="Times New Roman"/>
                <w:sz w:val="20"/>
                <w:szCs w:val="20"/>
                <w:lang w:eastAsia="en-ZA"/>
              </w:rPr>
              <w:t xml:space="preserve"> sampling gear in southern Africa’, </w:t>
            </w:r>
            <w:r w:rsidRPr="004D1E6F">
              <w:rPr>
                <w:rFonts w:ascii="Times New Roman" w:eastAsia="Times New Roman" w:hAnsi="Times New Roman" w:cs="Times New Roman"/>
                <w:i/>
                <w:iCs/>
                <w:sz w:val="20"/>
                <w:szCs w:val="20"/>
                <w:lang w:eastAsia="en-ZA"/>
              </w:rPr>
              <w:t>Water SA</w:t>
            </w:r>
            <w:r w:rsidRPr="004D1E6F">
              <w:rPr>
                <w:rFonts w:ascii="Times New Roman" w:eastAsia="Times New Roman" w:hAnsi="Times New Roman" w:cs="Times New Roman"/>
                <w:sz w:val="20"/>
                <w:szCs w:val="20"/>
                <w:lang w:eastAsia="en-ZA"/>
              </w:rPr>
              <w:t xml:space="preserve"> 47, 380–384. </w:t>
            </w:r>
            <w:r w:rsidR="00DE4CFB" w:rsidRPr="008A0BC6">
              <w:rPr>
                <w:rFonts w:ascii="Times New Roman" w:hAnsi="Times New Roman" w:cs="Times New Roman"/>
                <w:sz w:val="20"/>
                <w:szCs w:val="20"/>
              </w:rPr>
              <w:t>https://hdl.handle.net/10520/ejc-waters-v47-n3-a10</w:t>
            </w:r>
            <w:r w:rsidRPr="008A0BC6">
              <w:rPr>
                <w:rFonts w:ascii="Times New Roman" w:eastAsia="Times New Roman" w:hAnsi="Times New Roman" w:cs="Times New Roman"/>
                <w:sz w:val="18"/>
                <w:szCs w:val="18"/>
                <w:lang w:eastAsia="en-ZA"/>
              </w:rPr>
              <w:t xml:space="preserve">. </w:t>
            </w:r>
          </w:p>
          <w:p w14:paraId="0B23BD91"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4D1E6F">
              <w:rPr>
                <w:rFonts w:ascii="Times New Roman" w:eastAsia="Times New Roman" w:hAnsi="Times New Roman" w:cs="Times New Roman"/>
                <w:i/>
                <w:iCs/>
                <w:sz w:val="20"/>
                <w:szCs w:val="20"/>
                <w:lang w:eastAsia="en-ZA"/>
              </w:rPr>
              <w:t>Cherax quadricarinatus</w:t>
            </w:r>
            <w:r w:rsidRPr="004D1E6F">
              <w:rPr>
                <w:rFonts w:ascii="Times New Roman" w:eastAsia="Times New Roman" w:hAnsi="Times New Roman" w:cs="Times New Roman"/>
                <w:sz w:val="20"/>
                <w:szCs w:val="20"/>
                <w:lang w:eastAsia="en-ZA"/>
              </w:rPr>
              <w:t xml:space="preserve">, in South Africa and Swaziland’, </w:t>
            </w:r>
            <w:r w:rsidRPr="004D1E6F">
              <w:rPr>
                <w:rFonts w:ascii="Times New Roman" w:eastAsia="Times New Roman" w:hAnsi="Times New Roman" w:cs="Times New Roman"/>
                <w:i/>
                <w:iCs/>
                <w:sz w:val="20"/>
                <w:szCs w:val="20"/>
                <w:lang w:eastAsia="en-ZA"/>
              </w:rPr>
              <w:t>PeerJ</w:t>
            </w:r>
            <w:r w:rsidRPr="004D1E6F">
              <w:rPr>
                <w:rFonts w:ascii="Times New Roman" w:eastAsia="Times New Roman" w:hAnsi="Times New Roman" w:cs="Times New Roman"/>
                <w:sz w:val="20"/>
                <w:szCs w:val="20"/>
                <w:lang w:eastAsia="en-ZA"/>
              </w:rPr>
              <w:t xml:space="preserve"> 5, 1-21. </w:t>
            </w:r>
            <w:hyperlink w:history="1">
              <w:r w:rsidRPr="0047493D">
                <w:rPr>
                  <w:rStyle w:val="Hyperlink"/>
                  <w:rFonts w:ascii="Times New Roman" w:eastAsia="Times New Roman" w:hAnsi="Times New Roman" w:cs="Times New Roman"/>
                  <w:sz w:val="20"/>
                  <w:szCs w:val="20"/>
                  <w:lang w:eastAsia="en-ZA"/>
                </w:rPr>
                <w:t>https://doi.org/10.7717/peerj.3135</w:t>
              </w:r>
            </w:hyperlink>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 </w:t>
            </w:r>
          </w:p>
          <w:p w14:paraId="752C22D6" w14:textId="05B79D55"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Peay, S., Johnsen, S.I, Bean, S.W., Dunn, A.M., Sandodden, R. &amp; Edsman, L, 2019, ‘Biocide treatment of invasive signal crayfish: Successes, failures and lessons learned’, </w:t>
            </w:r>
            <w:r w:rsidRPr="004D1E6F">
              <w:rPr>
                <w:rFonts w:ascii="Times New Roman" w:eastAsia="Times New Roman" w:hAnsi="Times New Roman" w:cs="Times New Roman"/>
                <w:i/>
                <w:iCs/>
                <w:sz w:val="20"/>
                <w:szCs w:val="20"/>
                <w:lang w:eastAsia="en-ZA"/>
              </w:rPr>
              <w:t>Diversity</w:t>
            </w:r>
            <w:r w:rsidRPr="004D1E6F">
              <w:rPr>
                <w:rFonts w:ascii="Times New Roman" w:eastAsia="Times New Roman" w:hAnsi="Times New Roman" w:cs="Times New Roman"/>
                <w:sz w:val="20"/>
                <w:szCs w:val="20"/>
                <w:lang w:eastAsia="en-ZA"/>
              </w:rPr>
              <w:t xml:space="preserve"> 11, 29. </w:t>
            </w:r>
            <w:r w:rsidR="00DE4CFB" w:rsidRPr="00DE4CFB">
              <w:rPr>
                <w:rFonts w:ascii="Times New Roman" w:eastAsia="Times New Roman" w:hAnsi="Times New Roman" w:cs="Times New Roman"/>
                <w:sz w:val="20"/>
                <w:szCs w:val="20"/>
                <w:lang w:eastAsia="en-ZA"/>
              </w:rPr>
              <w:t>https://doi.org/10.3390/d11030029</w:t>
            </w:r>
            <w:r w:rsidRPr="004D1E6F">
              <w:rPr>
                <w:rFonts w:ascii="Times New Roman" w:eastAsia="Times New Roman" w:hAnsi="Times New Roman" w:cs="Times New Roman"/>
                <w:sz w:val="20"/>
                <w:szCs w:val="20"/>
                <w:lang w:eastAsia="en-ZA"/>
              </w:rPr>
              <w:t>.</w:t>
            </w:r>
          </w:p>
          <w:p w14:paraId="394170AA"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Stebbing, P., Longshaw, M. &amp; Scott, A., 2014, ‘Review of methods for the management of nonindigenous crayfish, with particular reference to Great Britain’, </w:t>
            </w:r>
            <w:r w:rsidRPr="004D1E6F">
              <w:rPr>
                <w:rFonts w:ascii="Times New Roman" w:eastAsia="Times New Roman" w:hAnsi="Times New Roman" w:cs="Times New Roman"/>
                <w:i/>
                <w:iCs/>
                <w:sz w:val="20"/>
                <w:szCs w:val="20"/>
                <w:lang w:eastAsia="en-ZA"/>
              </w:rPr>
              <w:t>Ethology Ecology &amp; Evolution</w:t>
            </w:r>
            <w:r w:rsidRPr="004D1E6F">
              <w:rPr>
                <w:rFonts w:ascii="Times New Roman" w:eastAsia="Times New Roman" w:hAnsi="Times New Roman" w:cs="Times New Roman"/>
                <w:sz w:val="20"/>
                <w:szCs w:val="20"/>
                <w:lang w:eastAsia="en-ZA"/>
              </w:rPr>
              <w:t xml:space="preserve"> 26, 204-231. </w:t>
            </w:r>
            <w:hyperlink w:history="1">
              <w:r w:rsidRPr="004D1E6F">
                <w:rPr>
                  <w:rStyle w:val="Hyperlink"/>
                  <w:rFonts w:ascii="Times New Roman" w:eastAsia="Times New Roman" w:hAnsi="Times New Roman" w:cs="Times New Roman"/>
                  <w:sz w:val="20"/>
                  <w:szCs w:val="20"/>
                  <w:lang w:eastAsia="en-ZA"/>
                </w:rPr>
                <w:t>https://doi.org/10.1080/03949370.2014.908326</w:t>
              </w:r>
            </w:hyperlink>
            <w:r w:rsidRPr="004D1E6F">
              <w:rPr>
                <w:rFonts w:ascii="Times New Roman" w:eastAsia="Times New Roman" w:hAnsi="Times New Roman" w:cs="Times New Roman"/>
                <w:sz w:val="20"/>
                <w:szCs w:val="20"/>
                <w:lang w:eastAsia="en-ZA"/>
              </w:rPr>
              <w:t>.</w:t>
            </w:r>
          </w:p>
          <w:p w14:paraId="1E8C0C97" w14:textId="1F4A1719" w:rsidR="002D7080" w:rsidRPr="009F65AC" w:rsidRDefault="009F65AC" w:rsidP="009F65AC">
            <w:pPr>
              <w:ind w:left="720" w:hanging="720"/>
              <w:contextualSpacing/>
              <w:jc w:val="both"/>
              <w:rPr>
                <w:rFonts w:ascii="Times New Roman" w:eastAsia="Times New Roman" w:hAnsi="Times New Roman" w:cs="Times New Roman"/>
                <w:iCs/>
                <w:sz w:val="20"/>
                <w:szCs w:val="20"/>
                <w:lang w:eastAsia="en-ZA"/>
              </w:rPr>
            </w:pPr>
            <w:r w:rsidRPr="009F65AC">
              <w:rPr>
                <w:rFonts w:ascii="Times New Roman" w:eastAsia="Times New Roman" w:hAnsi="Times New Roman" w:cs="Times New Roman"/>
                <w:iCs/>
                <w:sz w:val="20"/>
                <w:szCs w:val="20"/>
                <w:lang w:eastAsia="en-ZA"/>
              </w:rPr>
              <w:t>Woodford, D.J., Ivey, P., Novoa, A., Shackleton, R., Richardson, D., Weyl, O., Van Wilgen, B. and Zengeya, T</w:t>
            </w:r>
            <w:r w:rsidR="002D7080" w:rsidRPr="004D1E6F">
              <w:rPr>
                <w:rFonts w:ascii="Times New Roman" w:eastAsia="Times New Roman" w:hAnsi="Times New Roman" w:cs="Times New Roman"/>
                <w:sz w:val="20"/>
                <w:szCs w:val="20"/>
                <w:lang w:eastAsia="en-ZA"/>
              </w:rPr>
              <w:t xml:space="preserve">., 2017, ‘Managing conflict-generating invasive species in South Africa: Challenges and </w:t>
            </w:r>
            <w:r w:rsidR="002D7080" w:rsidRPr="004D1E6F">
              <w:rPr>
                <w:rFonts w:ascii="Times New Roman" w:hAnsi="Times New Roman" w:cs="Times New Roman"/>
                <w:sz w:val="20"/>
                <w:szCs w:val="20"/>
              </w:rPr>
              <w:t xml:space="preserve">trade-offs. </w:t>
            </w:r>
            <w:r w:rsidR="002D7080" w:rsidRPr="004D1E6F">
              <w:rPr>
                <w:rFonts w:ascii="Times New Roman" w:hAnsi="Times New Roman" w:cs="Times New Roman"/>
                <w:i/>
                <w:iCs/>
                <w:sz w:val="20"/>
                <w:szCs w:val="20"/>
              </w:rPr>
              <w:t xml:space="preserve">Bothalia </w:t>
            </w:r>
            <w:r w:rsidR="002D7080" w:rsidRPr="004D1E6F">
              <w:rPr>
                <w:rFonts w:ascii="Times New Roman" w:hAnsi="Times New Roman" w:cs="Times New Roman"/>
                <w:sz w:val="20"/>
                <w:szCs w:val="20"/>
              </w:rPr>
              <w:t xml:space="preserve">47: a2160. </w:t>
            </w:r>
            <w:r w:rsidR="006C5BDE" w:rsidRPr="006C5BDE">
              <w:rPr>
                <w:rFonts w:ascii="Times New Roman" w:hAnsi="Times New Roman" w:cs="Times New Roman"/>
                <w:color w:val="0000FF"/>
                <w:sz w:val="20"/>
                <w:szCs w:val="20"/>
                <w:u w:val="single"/>
              </w:rPr>
              <w:t>https://hdl.handle.net/10520/EJC-727738f3d</w:t>
            </w:r>
          </w:p>
        </w:tc>
      </w:tr>
    </w:tbl>
    <w:p w14:paraId="0D93F7E3" w14:textId="77777777" w:rsidR="002D7080" w:rsidRPr="004D1E6F" w:rsidRDefault="002D7080" w:rsidP="002D7080">
      <w:pPr>
        <w:spacing w:after="0" w:line="240" w:lineRule="auto"/>
        <w:rPr>
          <w:rFonts w:ascii="Times New Roman" w:eastAsia="Calibri" w:hAnsi="Times New Roman" w:cs="Times New Roman"/>
          <w:b/>
          <w:sz w:val="20"/>
          <w:szCs w:val="20"/>
        </w:rPr>
      </w:pPr>
    </w:p>
    <w:tbl>
      <w:tblPr>
        <w:tblStyle w:val="TableGrid19"/>
        <w:tblW w:w="9067" w:type="dxa"/>
        <w:tblLook w:val="04A0" w:firstRow="1" w:lastRow="0" w:firstColumn="1" w:lastColumn="0" w:noHBand="0" w:noVBand="1"/>
      </w:tblPr>
      <w:tblGrid>
        <w:gridCol w:w="1696"/>
        <w:gridCol w:w="7371"/>
      </w:tblGrid>
      <w:tr w:rsidR="002D7080" w:rsidRPr="004D1E6F" w14:paraId="191DA1C3" w14:textId="77777777" w:rsidTr="002E2C37">
        <w:trPr>
          <w:trHeight w:val="343"/>
        </w:trPr>
        <w:tc>
          <w:tcPr>
            <w:tcW w:w="9067" w:type="dxa"/>
            <w:gridSpan w:val="2"/>
            <w:shd w:val="clear" w:color="auto" w:fill="F2F2F2" w:themeFill="background1" w:themeFillShade="F2"/>
          </w:tcPr>
          <w:p w14:paraId="00996E00"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MAN6 Any other management considerations to highlight? </w:t>
            </w:r>
          </w:p>
        </w:tc>
      </w:tr>
      <w:tr w:rsidR="002D7080" w:rsidRPr="004D1E6F" w14:paraId="15BBD240" w14:textId="77777777" w:rsidTr="002E2C37">
        <w:trPr>
          <w:trHeight w:val="70"/>
        </w:trPr>
        <w:tc>
          <w:tcPr>
            <w:tcW w:w="1696" w:type="dxa"/>
          </w:tcPr>
          <w:p w14:paraId="20D36C5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w:t>
            </w:r>
          </w:p>
        </w:tc>
        <w:tc>
          <w:tcPr>
            <w:tcW w:w="7371" w:type="dxa"/>
          </w:tcPr>
          <w:p w14:paraId="69EF206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r>
    </w:tbl>
    <w:p w14:paraId="617D988C"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2A520EA6"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2908BD57"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5. Calculations</w:t>
      </w:r>
    </w:p>
    <w:p w14:paraId="4F546D93"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74FC785E"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Likelihood = Very unlikely</w:t>
      </w:r>
    </w:p>
    <w:p w14:paraId="14A2916E"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19"/>
        <w:tblW w:w="0" w:type="auto"/>
        <w:tblLook w:val="04A0" w:firstRow="1" w:lastRow="0" w:firstColumn="1" w:lastColumn="0" w:noHBand="0" w:noVBand="1"/>
      </w:tblPr>
      <w:tblGrid>
        <w:gridCol w:w="1195"/>
        <w:gridCol w:w="2628"/>
        <w:gridCol w:w="2939"/>
        <w:gridCol w:w="2254"/>
      </w:tblGrid>
      <w:tr w:rsidR="002D7080" w:rsidRPr="004D1E6F" w14:paraId="279D6BCF" w14:textId="77777777" w:rsidTr="002E2C37">
        <w:tc>
          <w:tcPr>
            <w:tcW w:w="1195" w:type="dxa"/>
            <w:shd w:val="clear" w:color="auto" w:fill="D9D9D9" w:themeFill="background1" w:themeFillShade="D9"/>
            <w:vAlign w:val="center"/>
          </w:tcPr>
          <w:p w14:paraId="3BB1F65D"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Parameter</w:t>
            </w:r>
          </w:p>
        </w:tc>
        <w:tc>
          <w:tcPr>
            <w:tcW w:w="2628" w:type="dxa"/>
            <w:shd w:val="clear" w:color="auto" w:fill="D9D9D9" w:themeFill="background1" w:themeFillShade="D9"/>
            <w:vAlign w:val="center"/>
          </w:tcPr>
          <w:p w14:paraId="3545199D"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Likelihood</w:t>
            </w:r>
          </w:p>
        </w:tc>
        <w:tc>
          <w:tcPr>
            <w:tcW w:w="2939" w:type="dxa"/>
            <w:shd w:val="clear" w:color="auto" w:fill="D9D9D9" w:themeFill="background1" w:themeFillShade="D9"/>
            <w:vAlign w:val="center"/>
          </w:tcPr>
          <w:p w14:paraId="36F46EFB"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Stages</w:t>
            </w:r>
          </w:p>
        </w:tc>
        <w:tc>
          <w:tcPr>
            <w:tcW w:w="2254" w:type="dxa"/>
            <w:shd w:val="clear" w:color="auto" w:fill="D9D9D9" w:themeFill="background1" w:themeFillShade="D9"/>
            <w:vAlign w:val="center"/>
          </w:tcPr>
          <w:p w14:paraId="5A526FF2"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Final assessment</w:t>
            </w:r>
          </w:p>
        </w:tc>
      </w:tr>
      <w:tr w:rsidR="002D7080" w:rsidRPr="004D1E6F" w14:paraId="22BBD3DC" w14:textId="77777777" w:rsidTr="002E2C37">
        <w:tc>
          <w:tcPr>
            <w:tcW w:w="1195" w:type="dxa"/>
            <w:shd w:val="clear" w:color="auto" w:fill="D9D9D9" w:themeFill="background1" w:themeFillShade="D9"/>
            <w:vAlign w:val="center"/>
          </w:tcPr>
          <w:p w14:paraId="5D3DB65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LIK1</w:t>
            </w:r>
          </w:p>
        </w:tc>
        <w:tc>
          <w:tcPr>
            <w:tcW w:w="2628" w:type="dxa"/>
            <w:vAlign w:val="center"/>
          </w:tcPr>
          <w:p w14:paraId="238844A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0.0027</w:t>
            </w:r>
          </w:p>
        </w:tc>
        <w:tc>
          <w:tcPr>
            <w:tcW w:w="2939" w:type="dxa"/>
            <w:vMerge w:val="restart"/>
            <w:vAlign w:val="center"/>
          </w:tcPr>
          <w:p w14:paraId="3DBD89F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P(entry) = 0.</w:t>
            </w:r>
            <w:r>
              <w:rPr>
                <w:rFonts w:ascii="Times New Roman" w:eastAsia="Times New Roman" w:hAnsi="Times New Roman" w:cs="Times New Roman"/>
                <w:sz w:val="20"/>
                <w:szCs w:val="20"/>
                <w:lang w:eastAsia="en-ZA"/>
              </w:rPr>
              <w:t>5</w:t>
            </w:r>
          </w:p>
        </w:tc>
        <w:tc>
          <w:tcPr>
            <w:tcW w:w="2254" w:type="dxa"/>
            <w:vMerge w:val="restart"/>
            <w:vAlign w:val="center"/>
          </w:tcPr>
          <w:p w14:paraId="2B637CE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 (invasion) = 0.</w:t>
            </w:r>
            <w:r>
              <w:rPr>
                <w:rFonts w:ascii="Times New Roman" w:eastAsia="Times New Roman" w:hAnsi="Times New Roman" w:cs="Times New Roman"/>
                <w:sz w:val="20"/>
                <w:szCs w:val="20"/>
                <w:lang w:eastAsia="en-ZA"/>
              </w:rPr>
              <w:t>125</w:t>
            </w:r>
          </w:p>
        </w:tc>
      </w:tr>
      <w:tr w:rsidR="002D7080" w:rsidRPr="004D1E6F" w14:paraId="5C98CA97" w14:textId="77777777" w:rsidTr="002E2C37">
        <w:tc>
          <w:tcPr>
            <w:tcW w:w="1195" w:type="dxa"/>
            <w:shd w:val="clear" w:color="auto" w:fill="D9D9D9" w:themeFill="background1" w:themeFillShade="D9"/>
            <w:vAlign w:val="center"/>
          </w:tcPr>
          <w:p w14:paraId="1ABB50E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LIK2</w:t>
            </w:r>
          </w:p>
        </w:tc>
        <w:tc>
          <w:tcPr>
            <w:tcW w:w="2628" w:type="dxa"/>
            <w:vAlign w:val="center"/>
          </w:tcPr>
          <w:p w14:paraId="1F1B675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0.</w:t>
            </w:r>
            <w:r>
              <w:rPr>
                <w:rFonts w:ascii="Times New Roman" w:eastAsia="Times New Roman" w:hAnsi="Times New Roman" w:cs="Times New Roman"/>
                <w:color w:val="000000"/>
                <w:sz w:val="20"/>
                <w:szCs w:val="20"/>
                <w:lang w:eastAsia="en-ZA"/>
              </w:rPr>
              <w:t>5</w:t>
            </w:r>
          </w:p>
        </w:tc>
        <w:tc>
          <w:tcPr>
            <w:tcW w:w="2939" w:type="dxa"/>
            <w:vMerge/>
            <w:vAlign w:val="center"/>
          </w:tcPr>
          <w:p w14:paraId="79574725"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2451438A"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228170BC" w14:textId="77777777" w:rsidTr="002E2C37">
        <w:tc>
          <w:tcPr>
            <w:tcW w:w="1195" w:type="dxa"/>
            <w:shd w:val="clear" w:color="auto" w:fill="D9D9D9" w:themeFill="background1" w:themeFillShade="D9"/>
            <w:vAlign w:val="center"/>
          </w:tcPr>
          <w:p w14:paraId="6CA0EB4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LIK3</w:t>
            </w:r>
          </w:p>
        </w:tc>
        <w:tc>
          <w:tcPr>
            <w:tcW w:w="2628" w:type="dxa"/>
            <w:vAlign w:val="center"/>
          </w:tcPr>
          <w:p w14:paraId="746FF11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0.5 </w:t>
            </w:r>
          </w:p>
        </w:tc>
        <w:tc>
          <w:tcPr>
            <w:tcW w:w="2939" w:type="dxa"/>
            <w:vMerge w:val="restart"/>
            <w:vAlign w:val="center"/>
          </w:tcPr>
          <w:p w14:paraId="0581E76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P(establishment) = 0.5</w:t>
            </w:r>
          </w:p>
        </w:tc>
        <w:tc>
          <w:tcPr>
            <w:tcW w:w="2254" w:type="dxa"/>
            <w:vMerge/>
            <w:vAlign w:val="center"/>
          </w:tcPr>
          <w:p w14:paraId="6396928F"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756AF55F" w14:textId="77777777" w:rsidTr="002E2C37">
        <w:tc>
          <w:tcPr>
            <w:tcW w:w="1195" w:type="dxa"/>
            <w:shd w:val="clear" w:color="auto" w:fill="D9D9D9" w:themeFill="background1" w:themeFillShade="D9"/>
            <w:vAlign w:val="center"/>
          </w:tcPr>
          <w:p w14:paraId="5ACEAEA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LIK4</w:t>
            </w:r>
          </w:p>
        </w:tc>
        <w:tc>
          <w:tcPr>
            <w:tcW w:w="2628" w:type="dxa"/>
            <w:vAlign w:val="center"/>
          </w:tcPr>
          <w:p w14:paraId="460EBB5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0.5 </w:t>
            </w:r>
          </w:p>
        </w:tc>
        <w:tc>
          <w:tcPr>
            <w:tcW w:w="2939" w:type="dxa"/>
            <w:vMerge/>
            <w:vAlign w:val="center"/>
          </w:tcPr>
          <w:p w14:paraId="3E35084A"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138BCE03"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7EB58C71" w14:textId="77777777" w:rsidTr="002E2C37">
        <w:tc>
          <w:tcPr>
            <w:tcW w:w="1195" w:type="dxa"/>
            <w:shd w:val="clear" w:color="auto" w:fill="D9D9D9" w:themeFill="background1" w:themeFillShade="D9"/>
            <w:vAlign w:val="center"/>
          </w:tcPr>
          <w:p w14:paraId="235424C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LIK5</w:t>
            </w:r>
          </w:p>
        </w:tc>
        <w:tc>
          <w:tcPr>
            <w:tcW w:w="2628" w:type="dxa"/>
            <w:vAlign w:val="center"/>
          </w:tcPr>
          <w:p w14:paraId="6E13325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0.0027</w:t>
            </w:r>
          </w:p>
        </w:tc>
        <w:tc>
          <w:tcPr>
            <w:tcW w:w="2939" w:type="dxa"/>
            <w:vMerge w:val="restart"/>
            <w:vAlign w:val="center"/>
          </w:tcPr>
          <w:p w14:paraId="71801EB5"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 (spread) = 0.</w:t>
            </w:r>
            <w:r>
              <w:rPr>
                <w:rFonts w:ascii="Times New Roman" w:eastAsia="Times New Roman" w:hAnsi="Times New Roman" w:cs="Times New Roman"/>
                <w:sz w:val="20"/>
                <w:szCs w:val="20"/>
                <w:lang w:eastAsia="en-ZA"/>
              </w:rPr>
              <w:t>5</w:t>
            </w:r>
          </w:p>
        </w:tc>
        <w:tc>
          <w:tcPr>
            <w:tcW w:w="2254" w:type="dxa"/>
            <w:vMerge/>
            <w:vAlign w:val="center"/>
          </w:tcPr>
          <w:p w14:paraId="5B26E895"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72FB53EF" w14:textId="77777777" w:rsidTr="002E2C37">
        <w:tc>
          <w:tcPr>
            <w:tcW w:w="1195" w:type="dxa"/>
            <w:shd w:val="clear" w:color="auto" w:fill="D9D9D9" w:themeFill="background1" w:themeFillShade="D9"/>
            <w:vAlign w:val="center"/>
          </w:tcPr>
          <w:p w14:paraId="15D9D5F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LIK6</w:t>
            </w:r>
          </w:p>
        </w:tc>
        <w:tc>
          <w:tcPr>
            <w:tcW w:w="2628" w:type="dxa"/>
            <w:vAlign w:val="center"/>
          </w:tcPr>
          <w:p w14:paraId="60F25BF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0.</w:t>
            </w:r>
            <w:r>
              <w:rPr>
                <w:rFonts w:ascii="Times New Roman" w:eastAsia="Times New Roman" w:hAnsi="Times New Roman" w:cs="Times New Roman"/>
                <w:color w:val="000000"/>
                <w:sz w:val="20"/>
                <w:szCs w:val="20"/>
                <w:lang w:eastAsia="en-ZA"/>
              </w:rPr>
              <w:t>5</w:t>
            </w:r>
          </w:p>
        </w:tc>
        <w:tc>
          <w:tcPr>
            <w:tcW w:w="2939" w:type="dxa"/>
            <w:vMerge/>
            <w:vAlign w:val="center"/>
          </w:tcPr>
          <w:p w14:paraId="4CBE0604"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30F99CA6" w14:textId="77777777" w:rsidR="002D7080" w:rsidRPr="004D1E6F" w:rsidRDefault="002D7080" w:rsidP="002E2C37">
            <w:pPr>
              <w:rPr>
                <w:rFonts w:ascii="Times New Roman" w:eastAsia="Times New Roman" w:hAnsi="Times New Roman" w:cs="Times New Roman"/>
                <w:sz w:val="20"/>
                <w:szCs w:val="20"/>
                <w:lang w:eastAsia="en-ZA"/>
              </w:rPr>
            </w:pPr>
          </w:p>
        </w:tc>
      </w:tr>
    </w:tbl>
    <w:p w14:paraId="2ECFEA8A"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79658D91"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Consequence = </w:t>
      </w:r>
      <w:r>
        <w:rPr>
          <w:rFonts w:ascii="Times New Roman" w:eastAsia="Times New Roman" w:hAnsi="Times New Roman" w:cs="Times New Roman"/>
          <w:b/>
          <w:sz w:val="20"/>
          <w:szCs w:val="20"/>
          <w:lang w:eastAsia="en-ZA"/>
        </w:rPr>
        <w:t>Major (MR)</w:t>
      </w:r>
    </w:p>
    <w:p w14:paraId="47F4E0EC" w14:textId="77777777" w:rsidR="002D7080" w:rsidRPr="004D1E6F" w:rsidRDefault="002D7080" w:rsidP="002D7080">
      <w:pPr>
        <w:spacing w:after="0" w:line="240" w:lineRule="auto"/>
        <w:rPr>
          <w:rFonts w:ascii="Times New Roman" w:eastAsia="Times New Roman" w:hAnsi="Times New Roman" w:cs="Times New Roman"/>
          <w:bCs/>
          <w:sz w:val="20"/>
          <w:szCs w:val="20"/>
          <w:lang w:eastAsia="en-ZA"/>
        </w:rPr>
      </w:pPr>
    </w:p>
    <w:tbl>
      <w:tblPr>
        <w:tblStyle w:val="TableGrid19"/>
        <w:tblW w:w="0" w:type="auto"/>
        <w:tblLook w:val="04A0" w:firstRow="1" w:lastRow="0" w:firstColumn="1" w:lastColumn="0" w:noHBand="0" w:noVBand="1"/>
      </w:tblPr>
      <w:tblGrid>
        <w:gridCol w:w="1555"/>
        <w:gridCol w:w="5953"/>
        <w:gridCol w:w="1508"/>
      </w:tblGrid>
      <w:tr w:rsidR="002D7080" w:rsidRPr="004D1E6F" w14:paraId="6BB2B870" w14:textId="77777777" w:rsidTr="002E2C37">
        <w:tc>
          <w:tcPr>
            <w:tcW w:w="1555" w:type="dxa"/>
            <w:shd w:val="clear" w:color="auto" w:fill="D9D9D9" w:themeFill="background1" w:themeFillShade="D9"/>
          </w:tcPr>
          <w:p w14:paraId="18659148"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Parameter</w:t>
            </w:r>
          </w:p>
        </w:tc>
        <w:tc>
          <w:tcPr>
            <w:tcW w:w="5953" w:type="dxa"/>
            <w:shd w:val="clear" w:color="auto" w:fill="D9D9D9" w:themeFill="background1" w:themeFillShade="D9"/>
          </w:tcPr>
          <w:p w14:paraId="0B833EF1"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Mechanism/sector</w:t>
            </w:r>
          </w:p>
        </w:tc>
        <w:tc>
          <w:tcPr>
            <w:tcW w:w="1508" w:type="dxa"/>
            <w:shd w:val="clear" w:color="auto" w:fill="D9D9D9" w:themeFill="background1" w:themeFillShade="D9"/>
          </w:tcPr>
          <w:p w14:paraId="4512577A"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Response</w:t>
            </w:r>
          </w:p>
        </w:tc>
      </w:tr>
      <w:tr w:rsidR="002D7080" w:rsidRPr="004D1E6F" w14:paraId="55ADA5D0" w14:textId="77777777" w:rsidTr="002E2C37">
        <w:tc>
          <w:tcPr>
            <w:tcW w:w="1555" w:type="dxa"/>
            <w:shd w:val="clear" w:color="auto" w:fill="D9D9D9" w:themeFill="background1" w:themeFillShade="D9"/>
          </w:tcPr>
          <w:p w14:paraId="425A87B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w:t>
            </w:r>
          </w:p>
        </w:tc>
        <w:tc>
          <w:tcPr>
            <w:tcW w:w="5953" w:type="dxa"/>
            <w:shd w:val="clear" w:color="auto" w:fill="D9D9D9" w:themeFill="background1" w:themeFillShade="D9"/>
          </w:tcPr>
          <w:p w14:paraId="2615480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Maximum environmental impact</w:t>
            </w:r>
          </w:p>
        </w:tc>
        <w:tc>
          <w:tcPr>
            <w:tcW w:w="1508" w:type="dxa"/>
          </w:tcPr>
          <w:p w14:paraId="19791880"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sz w:val="20"/>
                <w:szCs w:val="20"/>
                <w:lang w:eastAsia="en-ZA"/>
              </w:rPr>
              <w:t>DD</w:t>
            </w:r>
          </w:p>
        </w:tc>
      </w:tr>
      <w:tr w:rsidR="002D7080" w:rsidRPr="004D1E6F" w14:paraId="2F879D1B" w14:textId="77777777" w:rsidTr="002E2C37">
        <w:tc>
          <w:tcPr>
            <w:tcW w:w="1555" w:type="dxa"/>
            <w:shd w:val="clear" w:color="auto" w:fill="D9D9D9" w:themeFill="background1" w:themeFillShade="D9"/>
          </w:tcPr>
          <w:p w14:paraId="01BF091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CON2</w:t>
            </w:r>
          </w:p>
        </w:tc>
        <w:tc>
          <w:tcPr>
            <w:tcW w:w="5953" w:type="dxa"/>
            <w:shd w:val="clear" w:color="auto" w:fill="D9D9D9" w:themeFill="background1" w:themeFillShade="D9"/>
          </w:tcPr>
          <w:p w14:paraId="18CB5EE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Maximum socio-economic impact</w:t>
            </w:r>
          </w:p>
        </w:tc>
        <w:tc>
          <w:tcPr>
            <w:tcW w:w="1508" w:type="dxa"/>
          </w:tcPr>
          <w:p w14:paraId="4D040D86"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sz w:val="20"/>
                <w:szCs w:val="20"/>
                <w:lang w:eastAsia="en-ZA"/>
              </w:rPr>
              <w:t>DD</w:t>
            </w:r>
          </w:p>
        </w:tc>
      </w:tr>
      <w:tr w:rsidR="002D7080" w:rsidRPr="004D1E6F" w14:paraId="1445B07E" w14:textId="77777777" w:rsidTr="002E2C37">
        <w:tc>
          <w:tcPr>
            <w:tcW w:w="1555" w:type="dxa"/>
            <w:shd w:val="clear" w:color="auto" w:fill="D9D9D9" w:themeFill="background1" w:themeFillShade="D9"/>
          </w:tcPr>
          <w:p w14:paraId="00A2DCF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CON3a</w:t>
            </w:r>
          </w:p>
        </w:tc>
        <w:tc>
          <w:tcPr>
            <w:tcW w:w="5953" w:type="dxa"/>
            <w:shd w:val="clear" w:color="auto" w:fill="D9D9D9" w:themeFill="background1" w:themeFillShade="D9"/>
          </w:tcPr>
          <w:p w14:paraId="0303C68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Competition</w:t>
            </w:r>
          </w:p>
        </w:tc>
        <w:tc>
          <w:tcPr>
            <w:tcW w:w="1508" w:type="dxa"/>
          </w:tcPr>
          <w:p w14:paraId="42E2DD04"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color w:val="000000"/>
                <w:sz w:val="20"/>
                <w:szCs w:val="20"/>
                <w:lang w:eastAsia="en-ZA"/>
              </w:rPr>
              <w:t>MR</w:t>
            </w:r>
          </w:p>
        </w:tc>
      </w:tr>
      <w:tr w:rsidR="002D7080" w:rsidRPr="004D1E6F" w14:paraId="2C12AE2A" w14:textId="77777777" w:rsidTr="002E2C37">
        <w:tc>
          <w:tcPr>
            <w:tcW w:w="1555" w:type="dxa"/>
            <w:shd w:val="clear" w:color="auto" w:fill="D9D9D9" w:themeFill="background1" w:themeFillShade="D9"/>
          </w:tcPr>
          <w:p w14:paraId="5090885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CON3b</w:t>
            </w:r>
          </w:p>
        </w:tc>
        <w:tc>
          <w:tcPr>
            <w:tcW w:w="5953" w:type="dxa"/>
            <w:shd w:val="clear" w:color="auto" w:fill="D9D9D9" w:themeFill="background1" w:themeFillShade="D9"/>
          </w:tcPr>
          <w:p w14:paraId="53CA949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Predation</w:t>
            </w:r>
          </w:p>
        </w:tc>
        <w:tc>
          <w:tcPr>
            <w:tcW w:w="1508" w:type="dxa"/>
          </w:tcPr>
          <w:p w14:paraId="1DB461A5"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color w:val="000000"/>
                <w:sz w:val="20"/>
                <w:szCs w:val="20"/>
                <w:lang w:eastAsia="en-ZA"/>
              </w:rPr>
              <w:t>MO</w:t>
            </w:r>
          </w:p>
        </w:tc>
      </w:tr>
      <w:tr w:rsidR="002D7080" w:rsidRPr="004D1E6F" w14:paraId="746C8DA6" w14:textId="77777777" w:rsidTr="002E2C37">
        <w:tc>
          <w:tcPr>
            <w:tcW w:w="1555" w:type="dxa"/>
            <w:shd w:val="clear" w:color="auto" w:fill="D9D9D9" w:themeFill="background1" w:themeFillShade="D9"/>
          </w:tcPr>
          <w:p w14:paraId="63B0561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CON3c</w:t>
            </w:r>
          </w:p>
        </w:tc>
        <w:tc>
          <w:tcPr>
            <w:tcW w:w="5953" w:type="dxa"/>
            <w:shd w:val="clear" w:color="auto" w:fill="D9D9D9" w:themeFill="background1" w:themeFillShade="D9"/>
          </w:tcPr>
          <w:p w14:paraId="7EE3086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Hybridisation</w:t>
            </w:r>
          </w:p>
        </w:tc>
        <w:tc>
          <w:tcPr>
            <w:tcW w:w="1508" w:type="dxa"/>
          </w:tcPr>
          <w:p w14:paraId="66C6D1D4"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color w:val="000000"/>
                <w:sz w:val="20"/>
                <w:szCs w:val="20"/>
                <w:lang w:eastAsia="en-ZA"/>
              </w:rPr>
              <w:t>DD</w:t>
            </w:r>
          </w:p>
        </w:tc>
      </w:tr>
      <w:tr w:rsidR="002D7080" w:rsidRPr="004D1E6F" w14:paraId="45B89E21" w14:textId="77777777" w:rsidTr="002E2C37">
        <w:tc>
          <w:tcPr>
            <w:tcW w:w="1555" w:type="dxa"/>
            <w:shd w:val="clear" w:color="auto" w:fill="D9D9D9" w:themeFill="background1" w:themeFillShade="D9"/>
          </w:tcPr>
          <w:p w14:paraId="03831F2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CON3d</w:t>
            </w:r>
          </w:p>
        </w:tc>
        <w:tc>
          <w:tcPr>
            <w:tcW w:w="5953" w:type="dxa"/>
            <w:shd w:val="clear" w:color="auto" w:fill="D9D9D9" w:themeFill="background1" w:themeFillShade="D9"/>
          </w:tcPr>
          <w:p w14:paraId="584DF85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Disease transmission</w:t>
            </w:r>
          </w:p>
        </w:tc>
        <w:tc>
          <w:tcPr>
            <w:tcW w:w="1508" w:type="dxa"/>
          </w:tcPr>
          <w:p w14:paraId="423D537C"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color w:val="000000"/>
                <w:sz w:val="20"/>
                <w:szCs w:val="20"/>
                <w:lang w:eastAsia="en-ZA"/>
              </w:rPr>
              <w:t>MR</w:t>
            </w:r>
          </w:p>
        </w:tc>
      </w:tr>
      <w:tr w:rsidR="002D7080" w:rsidRPr="004D1E6F" w14:paraId="1F518C9E" w14:textId="77777777" w:rsidTr="002E2C37">
        <w:tc>
          <w:tcPr>
            <w:tcW w:w="1555" w:type="dxa"/>
            <w:shd w:val="clear" w:color="auto" w:fill="D9D9D9" w:themeFill="background1" w:themeFillShade="D9"/>
          </w:tcPr>
          <w:p w14:paraId="569728E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CON3e</w:t>
            </w:r>
          </w:p>
        </w:tc>
        <w:tc>
          <w:tcPr>
            <w:tcW w:w="5953" w:type="dxa"/>
            <w:shd w:val="clear" w:color="auto" w:fill="D9D9D9" w:themeFill="background1" w:themeFillShade="D9"/>
          </w:tcPr>
          <w:p w14:paraId="00095315"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Parasitism</w:t>
            </w:r>
          </w:p>
        </w:tc>
        <w:tc>
          <w:tcPr>
            <w:tcW w:w="1508" w:type="dxa"/>
          </w:tcPr>
          <w:p w14:paraId="00C4F758"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color w:val="000000"/>
                <w:sz w:val="20"/>
                <w:szCs w:val="20"/>
                <w:lang w:eastAsia="en-ZA"/>
              </w:rPr>
              <w:t>DD</w:t>
            </w:r>
          </w:p>
        </w:tc>
      </w:tr>
      <w:tr w:rsidR="002D7080" w:rsidRPr="004D1E6F" w14:paraId="7FE627CA" w14:textId="77777777" w:rsidTr="002E2C37">
        <w:tc>
          <w:tcPr>
            <w:tcW w:w="1555" w:type="dxa"/>
            <w:shd w:val="clear" w:color="auto" w:fill="D9D9D9" w:themeFill="background1" w:themeFillShade="D9"/>
          </w:tcPr>
          <w:p w14:paraId="168C398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CON3f</w:t>
            </w:r>
          </w:p>
        </w:tc>
        <w:tc>
          <w:tcPr>
            <w:tcW w:w="5953" w:type="dxa"/>
            <w:shd w:val="clear" w:color="auto" w:fill="D9D9D9" w:themeFill="background1" w:themeFillShade="D9"/>
          </w:tcPr>
          <w:p w14:paraId="1C87871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Poisoning/toxicity</w:t>
            </w:r>
          </w:p>
        </w:tc>
        <w:tc>
          <w:tcPr>
            <w:tcW w:w="1508" w:type="dxa"/>
          </w:tcPr>
          <w:p w14:paraId="16561812"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color w:val="000000"/>
                <w:sz w:val="20"/>
                <w:szCs w:val="20"/>
                <w:lang w:eastAsia="en-ZA"/>
              </w:rPr>
              <w:t>DD</w:t>
            </w:r>
          </w:p>
        </w:tc>
      </w:tr>
      <w:tr w:rsidR="002D7080" w:rsidRPr="004D1E6F" w14:paraId="4A2DD474" w14:textId="77777777" w:rsidTr="002E2C37">
        <w:tc>
          <w:tcPr>
            <w:tcW w:w="1555" w:type="dxa"/>
            <w:shd w:val="clear" w:color="auto" w:fill="D9D9D9" w:themeFill="background1" w:themeFillShade="D9"/>
          </w:tcPr>
          <w:p w14:paraId="3B91704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CON3g</w:t>
            </w:r>
          </w:p>
        </w:tc>
        <w:tc>
          <w:tcPr>
            <w:tcW w:w="5953" w:type="dxa"/>
            <w:shd w:val="clear" w:color="auto" w:fill="D9D9D9" w:themeFill="background1" w:themeFillShade="D9"/>
          </w:tcPr>
          <w:p w14:paraId="558C0CD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Bio-fouling or other direct physical disturbance</w:t>
            </w:r>
          </w:p>
        </w:tc>
        <w:tc>
          <w:tcPr>
            <w:tcW w:w="1508" w:type="dxa"/>
          </w:tcPr>
          <w:p w14:paraId="78D623F1"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color w:val="000000"/>
                <w:sz w:val="20"/>
                <w:szCs w:val="20"/>
                <w:lang w:eastAsia="en-ZA"/>
              </w:rPr>
              <w:t>DD</w:t>
            </w:r>
          </w:p>
        </w:tc>
      </w:tr>
      <w:tr w:rsidR="002D7080" w:rsidRPr="004D1E6F" w14:paraId="19C199FE" w14:textId="77777777" w:rsidTr="002E2C37">
        <w:tc>
          <w:tcPr>
            <w:tcW w:w="1555" w:type="dxa"/>
            <w:shd w:val="clear" w:color="auto" w:fill="D9D9D9" w:themeFill="background1" w:themeFillShade="D9"/>
          </w:tcPr>
          <w:p w14:paraId="5B3C426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CON3h</w:t>
            </w:r>
          </w:p>
        </w:tc>
        <w:tc>
          <w:tcPr>
            <w:tcW w:w="5953" w:type="dxa"/>
            <w:shd w:val="clear" w:color="auto" w:fill="D9D9D9" w:themeFill="background1" w:themeFillShade="D9"/>
          </w:tcPr>
          <w:p w14:paraId="31CB4DB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Grazing/herbivory/browsing</w:t>
            </w:r>
          </w:p>
        </w:tc>
        <w:tc>
          <w:tcPr>
            <w:tcW w:w="1508" w:type="dxa"/>
          </w:tcPr>
          <w:p w14:paraId="5F715473"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sz w:val="20"/>
                <w:szCs w:val="20"/>
                <w:lang w:eastAsia="en-ZA"/>
              </w:rPr>
              <w:t>DD</w:t>
            </w:r>
          </w:p>
        </w:tc>
      </w:tr>
      <w:tr w:rsidR="002D7080" w:rsidRPr="004D1E6F" w14:paraId="00157F8A" w14:textId="77777777" w:rsidTr="002E2C37">
        <w:tc>
          <w:tcPr>
            <w:tcW w:w="1555" w:type="dxa"/>
            <w:shd w:val="clear" w:color="auto" w:fill="D9D9D9" w:themeFill="background1" w:themeFillShade="D9"/>
          </w:tcPr>
          <w:p w14:paraId="333D736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CON3i</w:t>
            </w:r>
          </w:p>
        </w:tc>
        <w:tc>
          <w:tcPr>
            <w:tcW w:w="5953" w:type="dxa"/>
            <w:shd w:val="clear" w:color="auto" w:fill="D9D9D9" w:themeFill="background1" w:themeFillShade="D9"/>
          </w:tcPr>
          <w:p w14:paraId="5781E16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Chemical, physical, structural impact</w:t>
            </w:r>
          </w:p>
        </w:tc>
        <w:tc>
          <w:tcPr>
            <w:tcW w:w="1508" w:type="dxa"/>
          </w:tcPr>
          <w:p w14:paraId="2CB03CB4"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color w:val="000000"/>
                <w:sz w:val="20"/>
                <w:szCs w:val="20"/>
                <w:lang w:eastAsia="en-ZA"/>
              </w:rPr>
              <w:t>MO</w:t>
            </w:r>
          </w:p>
        </w:tc>
      </w:tr>
      <w:tr w:rsidR="002D7080" w:rsidRPr="004D1E6F" w14:paraId="0033563F" w14:textId="77777777" w:rsidTr="002E2C37">
        <w:tc>
          <w:tcPr>
            <w:tcW w:w="1555" w:type="dxa"/>
            <w:shd w:val="clear" w:color="auto" w:fill="D9D9D9" w:themeFill="background1" w:themeFillShade="D9"/>
          </w:tcPr>
          <w:p w14:paraId="53CA82C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CON3k</w:t>
            </w:r>
          </w:p>
        </w:tc>
        <w:tc>
          <w:tcPr>
            <w:tcW w:w="5953" w:type="dxa"/>
            <w:shd w:val="clear" w:color="auto" w:fill="D9D9D9" w:themeFill="background1" w:themeFillShade="D9"/>
          </w:tcPr>
          <w:p w14:paraId="1B09297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Indirect impacts through interactions with other species</w:t>
            </w:r>
          </w:p>
        </w:tc>
        <w:tc>
          <w:tcPr>
            <w:tcW w:w="1508" w:type="dxa"/>
          </w:tcPr>
          <w:p w14:paraId="4987F79E"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color w:val="000000"/>
                <w:sz w:val="20"/>
                <w:szCs w:val="20"/>
                <w:lang w:eastAsia="en-ZA"/>
              </w:rPr>
              <w:t>DD</w:t>
            </w:r>
          </w:p>
        </w:tc>
      </w:tr>
      <w:tr w:rsidR="002D7080" w:rsidRPr="004D1E6F" w14:paraId="73DC7443" w14:textId="77777777" w:rsidTr="002E2C37">
        <w:tc>
          <w:tcPr>
            <w:tcW w:w="1555" w:type="dxa"/>
            <w:shd w:val="clear" w:color="auto" w:fill="D9D9D9" w:themeFill="background1" w:themeFillShade="D9"/>
          </w:tcPr>
          <w:p w14:paraId="4C806D4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w:t>
            </w:r>
          </w:p>
        </w:tc>
        <w:tc>
          <w:tcPr>
            <w:tcW w:w="5953" w:type="dxa"/>
            <w:shd w:val="clear" w:color="auto" w:fill="D9D9D9" w:themeFill="background1" w:themeFillShade="D9"/>
          </w:tcPr>
          <w:p w14:paraId="75EE089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Maximum environmental impact</w:t>
            </w:r>
          </w:p>
        </w:tc>
        <w:tc>
          <w:tcPr>
            <w:tcW w:w="1508" w:type="dxa"/>
          </w:tcPr>
          <w:p w14:paraId="47CBE351"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sz w:val="20"/>
                <w:szCs w:val="20"/>
                <w:lang w:eastAsia="en-ZA"/>
              </w:rPr>
              <w:t>MR</w:t>
            </w:r>
          </w:p>
        </w:tc>
      </w:tr>
      <w:tr w:rsidR="002D7080" w:rsidRPr="004D1E6F" w14:paraId="512649DD" w14:textId="77777777" w:rsidTr="002E2C37">
        <w:tc>
          <w:tcPr>
            <w:tcW w:w="1555" w:type="dxa"/>
            <w:shd w:val="clear" w:color="auto" w:fill="D9D9D9" w:themeFill="background1" w:themeFillShade="D9"/>
          </w:tcPr>
          <w:p w14:paraId="6B65265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CON4a</w:t>
            </w:r>
          </w:p>
        </w:tc>
        <w:tc>
          <w:tcPr>
            <w:tcW w:w="5953" w:type="dxa"/>
            <w:shd w:val="clear" w:color="auto" w:fill="D9D9D9" w:themeFill="background1" w:themeFillShade="D9"/>
          </w:tcPr>
          <w:p w14:paraId="227E0A6B"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Calibri" w:hAnsi="Times New Roman" w:cs="Times New Roman"/>
                <w:sz w:val="20"/>
                <w:szCs w:val="20"/>
              </w:rPr>
              <w:t>Safety</w:t>
            </w:r>
          </w:p>
        </w:tc>
        <w:tc>
          <w:tcPr>
            <w:tcW w:w="1508" w:type="dxa"/>
          </w:tcPr>
          <w:p w14:paraId="586260BE"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sz w:val="20"/>
                <w:szCs w:val="20"/>
                <w:lang w:eastAsia="en-ZA"/>
              </w:rPr>
              <w:t>DD</w:t>
            </w:r>
          </w:p>
        </w:tc>
      </w:tr>
      <w:tr w:rsidR="002D7080" w:rsidRPr="004D1E6F" w14:paraId="33FD0668" w14:textId="77777777" w:rsidTr="002E2C37">
        <w:tc>
          <w:tcPr>
            <w:tcW w:w="1555" w:type="dxa"/>
            <w:shd w:val="clear" w:color="auto" w:fill="D9D9D9" w:themeFill="background1" w:themeFillShade="D9"/>
          </w:tcPr>
          <w:p w14:paraId="44EC924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CON4b</w:t>
            </w:r>
          </w:p>
        </w:tc>
        <w:tc>
          <w:tcPr>
            <w:tcW w:w="5953" w:type="dxa"/>
            <w:shd w:val="clear" w:color="auto" w:fill="D9D9D9" w:themeFill="background1" w:themeFillShade="D9"/>
          </w:tcPr>
          <w:p w14:paraId="42B3A1D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Calibri" w:hAnsi="Times New Roman" w:cs="Times New Roman"/>
                <w:sz w:val="20"/>
                <w:szCs w:val="20"/>
              </w:rPr>
              <w:t>Material and immaterial assets</w:t>
            </w:r>
          </w:p>
        </w:tc>
        <w:tc>
          <w:tcPr>
            <w:tcW w:w="1508" w:type="dxa"/>
          </w:tcPr>
          <w:p w14:paraId="0054102C"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sz w:val="20"/>
                <w:szCs w:val="20"/>
                <w:lang w:eastAsia="en-ZA"/>
              </w:rPr>
              <w:t>MN</w:t>
            </w:r>
          </w:p>
        </w:tc>
      </w:tr>
      <w:tr w:rsidR="002D7080" w:rsidRPr="004D1E6F" w14:paraId="1007385B" w14:textId="77777777" w:rsidTr="002E2C37">
        <w:tc>
          <w:tcPr>
            <w:tcW w:w="1555" w:type="dxa"/>
            <w:shd w:val="clear" w:color="auto" w:fill="D9D9D9" w:themeFill="background1" w:themeFillShade="D9"/>
          </w:tcPr>
          <w:p w14:paraId="0CEB93E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CON4c</w:t>
            </w:r>
          </w:p>
        </w:tc>
        <w:tc>
          <w:tcPr>
            <w:tcW w:w="5953" w:type="dxa"/>
            <w:shd w:val="clear" w:color="auto" w:fill="D9D9D9" w:themeFill="background1" w:themeFillShade="D9"/>
          </w:tcPr>
          <w:p w14:paraId="44950DA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Calibri" w:hAnsi="Times New Roman" w:cs="Times New Roman"/>
                <w:sz w:val="20"/>
                <w:szCs w:val="20"/>
              </w:rPr>
              <w:t>Health</w:t>
            </w:r>
          </w:p>
        </w:tc>
        <w:tc>
          <w:tcPr>
            <w:tcW w:w="1508" w:type="dxa"/>
          </w:tcPr>
          <w:p w14:paraId="2538D319"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sz w:val="20"/>
                <w:szCs w:val="20"/>
                <w:lang w:eastAsia="en-ZA"/>
              </w:rPr>
              <w:t>DD</w:t>
            </w:r>
          </w:p>
        </w:tc>
      </w:tr>
      <w:tr w:rsidR="002D7080" w:rsidRPr="004D1E6F" w14:paraId="170287C2" w14:textId="77777777" w:rsidTr="002E2C37">
        <w:tc>
          <w:tcPr>
            <w:tcW w:w="1555" w:type="dxa"/>
            <w:shd w:val="clear" w:color="auto" w:fill="D9D9D9" w:themeFill="background1" w:themeFillShade="D9"/>
          </w:tcPr>
          <w:p w14:paraId="0009BF7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CON4d</w:t>
            </w:r>
          </w:p>
        </w:tc>
        <w:tc>
          <w:tcPr>
            <w:tcW w:w="5953" w:type="dxa"/>
            <w:shd w:val="clear" w:color="auto" w:fill="D9D9D9" w:themeFill="background1" w:themeFillShade="D9"/>
          </w:tcPr>
          <w:p w14:paraId="1103323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Calibri" w:hAnsi="Times New Roman" w:cs="Times New Roman"/>
                <w:sz w:val="20"/>
                <w:szCs w:val="20"/>
              </w:rPr>
              <w:t>Social, spiritual and cultural relations</w:t>
            </w:r>
          </w:p>
        </w:tc>
        <w:tc>
          <w:tcPr>
            <w:tcW w:w="1508" w:type="dxa"/>
          </w:tcPr>
          <w:p w14:paraId="42AA36BB"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sz w:val="20"/>
                <w:szCs w:val="20"/>
                <w:lang w:eastAsia="en-ZA"/>
              </w:rPr>
              <w:t>MN</w:t>
            </w:r>
          </w:p>
        </w:tc>
      </w:tr>
      <w:tr w:rsidR="002D7080" w:rsidRPr="004D1E6F" w14:paraId="281CAD37" w14:textId="77777777" w:rsidTr="002E2C37">
        <w:tc>
          <w:tcPr>
            <w:tcW w:w="1555" w:type="dxa"/>
            <w:shd w:val="clear" w:color="auto" w:fill="D9D9D9" w:themeFill="background1" w:themeFillShade="D9"/>
          </w:tcPr>
          <w:p w14:paraId="571EED5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CON4</w:t>
            </w:r>
          </w:p>
        </w:tc>
        <w:tc>
          <w:tcPr>
            <w:tcW w:w="5953" w:type="dxa"/>
            <w:shd w:val="clear" w:color="auto" w:fill="D9D9D9" w:themeFill="background1" w:themeFillShade="D9"/>
          </w:tcPr>
          <w:p w14:paraId="5884614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Maximum socio-economic impact</w:t>
            </w:r>
          </w:p>
        </w:tc>
        <w:tc>
          <w:tcPr>
            <w:tcW w:w="1508" w:type="dxa"/>
          </w:tcPr>
          <w:p w14:paraId="69958503"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sz w:val="20"/>
                <w:szCs w:val="20"/>
                <w:lang w:eastAsia="en-ZA"/>
              </w:rPr>
              <w:t>MN</w:t>
            </w:r>
          </w:p>
        </w:tc>
      </w:tr>
      <w:tr w:rsidR="002D7080" w:rsidRPr="004D1E6F" w14:paraId="302A7F26" w14:textId="77777777" w:rsidTr="002E2C37">
        <w:tc>
          <w:tcPr>
            <w:tcW w:w="1555" w:type="dxa"/>
            <w:shd w:val="clear" w:color="auto" w:fill="D9D9D9" w:themeFill="background1" w:themeFillShade="D9"/>
          </w:tcPr>
          <w:p w14:paraId="6F2DEAB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CON5</w:t>
            </w:r>
          </w:p>
        </w:tc>
        <w:tc>
          <w:tcPr>
            <w:tcW w:w="5953" w:type="dxa"/>
            <w:shd w:val="clear" w:color="auto" w:fill="D9D9D9" w:themeFill="background1" w:themeFillShade="D9"/>
          </w:tcPr>
          <w:p w14:paraId="4F93A47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Potential impact based on traits, experiments, or models</w:t>
            </w:r>
          </w:p>
        </w:tc>
        <w:tc>
          <w:tcPr>
            <w:tcW w:w="1508" w:type="dxa"/>
          </w:tcPr>
          <w:p w14:paraId="6E182AAF" w14:textId="77777777" w:rsidR="002D7080" w:rsidRPr="00175C9C" w:rsidRDefault="002D7080" w:rsidP="002E2C37">
            <w:pPr>
              <w:rPr>
                <w:rFonts w:ascii="Times New Roman" w:eastAsia="Times New Roman" w:hAnsi="Times New Roman" w:cs="Times New Roman"/>
                <w:bCs/>
                <w:sz w:val="20"/>
                <w:szCs w:val="20"/>
                <w:lang w:eastAsia="en-ZA"/>
              </w:rPr>
            </w:pPr>
            <w:r w:rsidRPr="00175C9C">
              <w:rPr>
                <w:rFonts w:ascii="Times New Roman" w:eastAsia="Times New Roman" w:hAnsi="Times New Roman" w:cs="Times New Roman"/>
                <w:bCs/>
                <w:sz w:val="20"/>
                <w:szCs w:val="20"/>
                <w:lang w:eastAsia="en-ZA"/>
              </w:rPr>
              <w:t>MR</w:t>
            </w:r>
          </w:p>
        </w:tc>
      </w:tr>
    </w:tbl>
    <w:p w14:paraId="695CAD25"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236B4434" w14:textId="77777777" w:rsidR="002D7080" w:rsidRDefault="002D7080" w:rsidP="002D7080">
      <w:pPr>
        <w:rPr>
          <w:rFonts w:ascii="Times New Roman" w:eastAsia="Times New Roman" w:hAnsi="Times New Roman" w:cs="Times New Roman"/>
          <w:b/>
          <w:sz w:val="20"/>
          <w:szCs w:val="20"/>
          <w:lang w:eastAsia="en-ZA"/>
        </w:rPr>
      </w:pPr>
      <w:r>
        <w:rPr>
          <w:rFonts w:ascii="Times New Roman" w:eastAsia="Times New Roman" w:hAnsi="Times New Roman" w:cs="Times New Roman"/>
          <w:b/>
          <w:sz w:val="20"/>
          <w:szCs w:val="20"/>
          <w:lang w:eastAsia="en-ZA"/>
        </w:rPr>
        <w:br w:type="page"/>
      </w:r>
    </w:p>
    <w:p w14:paraId="6524379C" w14:textId="77777777" w:rsidR="002D7080" w:rsidRPr="001345D6" w:rsidRDefault="002D7080" w:rsidP="002D7080">
      <w:pPr>
        <w:spacing w:after="0" w:line="240" w:lineRule="auto"/>
        <w:rPr>
          <w:rFonts w:ascii="Times New Roman" w:eastAsia="Times New Roman" w:hAnsi="Times New Roman" w:cs="Times New Roman"/>
          <w:b/>
          <w:sz w:val="20"/>
          <w:szCs w:val="20"/>
          <w:lang w:eastAsia="en-ZA"/>
        </w:rPr>
      </w:pPr>
      <w:r w:rsidRPr="001345D6">
        <w:rPr>
          <w:rFonts w:ascii="Times New Roman" w:eastAsia="Times New Roman" w:hAnsi="Times New Roman" w:cs="Times New Roman"/>
          <w:b/>
          <w:sz w:val="20"/>
          <w:szCs w:val="20"/>
          <w:lang w:eastAsia="en-ZA"/>
        </w:rPr>
        <w:lastRenderedPageBreak/>
        <w:t>Risk score =  High</w:t>
      </w:r>
    </w:p>
    <w:p w14:paraId="397648C5" w14:textId="77777777" w:rsidR="002D7080" w:rsidRPr="004D1E6F" w:rsidRDefault="002D7080" w:rsidP="002D7080">
      <w:pPr>
        <w:spacing w:after="0" w:line="240" w:lineRule="auto"/>
        <w:rPr>
          <w:rFonts w:ascii="Times New Roman" w:eastAsia="Calibri" w:hAnsi="Times New Roman" w:cs="Times New Roman"/>
          <w:sz w:val="20"/>
          <w:szCs w:val="20"/>
        </w:rPr>
      </w:pPr>
    </w:p>
    <w:tbl>
      <w:tblPr>
        <w:tblW w:w="7700" w:type="dxa"/>
        <w:tblInd w:w="55" w:type="dxa"/>
        <w:tblCellMar>
          <w:left w:w="70" w:type="dxa"/>
          <w:right w:w="70" w:type="dxa"/>
        </w:tblCellMar>
        <w:tblLook w:val="04A0" w:firstRow="1" w:lastRow="0" w:firstColumn="1" w:lastColumn="0" w:noHBand="0" w:noVBand="1"/>
      </w:tblPr>
      <w:tblGrid>
        <w:gridCol w:w="440"/>
        <w:gridCol w:w="2060"/>
        <w:gridCol w:w="1004"/>
        <w:gridCol w:w="953"/>
        <w:gridCol w:w="1223"/>
        <w:gridCol w:w="953"/>
        <w:gridCol w:w="1067"/>
      </w:tblGrid>
      <w:tr w:rsidR="002D7080" w:rsidRPr="004D1E6F" w14:paraId="7AB5E97A" w14:textId="77777777" w:rsidTr="002E2C37">
        <w:trPr>
          <w:trHeight w:val="231"/>
        </w:trPr>
        <w:tc>
          <w:tcPr>
            <w:tcW w:w="440" w:type="dxa"/>
            <w:vMerge w:val="restart"/>
            <w:tcBorders>
              <w:top w:val="nil"/>
              <w:left w:val="nil"/>
              <w:bottom w:val="single" w:sz="4" w:space="0" w:color="000000"/>
              <w:right w:val="nil"/>
            </w:tcBorders>
            <w:shd w:val="clear" w:color="000000" w:fill="F2F2F2"/>
            <w:noWrap/>
            <w:vAlign w:val="bottom"/>
            <w:hideMark/>
          </w:tcPr>
          <w:p w14:paraId="09D27307"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 </w:t>
            </w:r>
          </w:p>
        </w:tc>
        <w:tc>
          <w:tcPr>
            <w:tcW w:w="2060" w:type="dxa"/>
            <w:vMerge w:val="restart"/>
            <w:tcBorders>
              <w:top w:val="nil"/>
              <w:left w:val="nil"/>
              <w:bottom w:val="single" w:sz="4" w:space="0" w:color="000000"/>
              <w:right w:val="single" w:sz="4" w:space="0" w:color="auto"/>
            </w:tcBorders>
            <w:shd w:val="clear" w:color="000000" w:fill="F2F2F2"/>
            <w:noWrap/>
            <w:vAlign w:val="bottom"/>
            <w:hideMark/>
          </w:tcPr>
          <w:p w14:paraId="699395A1"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 </w:t>
            </w:r>
          </w:p>
        </w:tc>
        <w:tc>
          <w:tcPr>
            <w:tcW w:w="5200" w:type="dxa"/>
            <w:gridSpan w:val="5"/>
            <w:tcBorders>
              <w:top w:val="nil"/>
              <w:left w:val="nil"/>
              <w:bottom w:val="single" w:sz="4" w:space="0" w:color="auto"/>
              <w:right w:val="nil"/>
            </w:tcBorders>
            <w:shd w:val="clear" w:color="auto" w:fill="D9D9D9" w:themeFill="background1" w:themeFillShade="D9"/>
            <w:noWrap/>
            <w:vAlign w:val="bottom"/>
            <w:hideMark/>
          </w:tcPr>
          <w:p w14:paraId="5DE02345"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Consequences</w:t>
            </w:r>
          </w:p>
        </w:tc>
      </w:tr>
      <w:tr w:rsidR="002D7080" w:rsidRPr="004D1E6F" w14:paraId="4878F764" w14:textId="77777777" w:rsidTr="002E2C37">
        <w:trPr>
          <w:trHeight w:val="281"/>
        </w:trPr>
        <w:tc>
          <w:tcPr>
            <w:tcW w:w="440" w:type="dxa"/>
            <w:vMerge/>
            <w:tcBorders>
              <w:top w:val="nil"/>
              <w:left w:val="nil"/>
              <w:bottom w:val="single" w:sz="4" w:space="0" w:color="000000"/>
              <w:right w:val="nil"/>
            </w:tcBorders>
            <w:vAlign w:val="center"/>
            <w:hideMark/>
          </w:tcPr>
          <w:p w14:paraId="2FCADE3D"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vMerge/>
            <w:tcBorders>
              <w:top w:val="nil"/>
              <w:left w:val="nil"/>
              <w:bottom w:val="single" w:sz="4" w:space="0" w:color="auto"/>
              <w:right w:val="single" w:sz="4" w:space="0" w:color="auto"/>
            </w:tcBorders>
            <w:vAlign w:val="center"/>
            <w:hideMark/>
          </w:tcPr>
          <w:p w14:paraId="14BC99D0"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100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265774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MC</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99D0FBF"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MN</w:t>
            </w:r>
          </w:p>
        </w:tc>
        <w:tc>
          <w:tcPr>
            <w:tcW w:w="1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0971D407"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MO</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6EDFC88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MR</w:t>
            </w:r>
          </w:p>
        </w:tc>
        <w:tc>
          <w:tcPr>
            <w:tcW w:w="1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A1C3DBB"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MV</w:t>
            </w:r>
          </w:p>
        </w:tc>
      </w:tr>
      <w:tr w:rsidR="002D7080" w:rsidRPr="004D1E6F" w14:paraId="1438F7BA" w14:textId="77777777" w:rsidTr="002E2C37">
        <w:trPr>
          <w:trHeight w:val="271"/>
        </w:trPr>
        <w:tc>
          <w:tcPr>
            <w:tcW w:w="440" w:type="dxa"/>
            <w:vMerge w:val="restart"/>
            <w:tcBorders>
              <w:top w:val="nil"/>
              <w:left w:val="nil"/>
              <w:bottom w:val="nil"/>
              <w:right w:val="single" w:sz="4" w:space="0" w:color="auto"/>
            </w:tcBorders>
            <w:shd w:val="clear" w:color="auto" w:fill="D9D9D9" w:themeFill="background1" w:themeFillShade="D9"/>
            <w:noWrap/>
            <w:textDirection w:val="btLr"/>
            <w:vAlign w:val="center"/>
            <w:hideMark/>
          </w:tcPr>
          <w:p w14:paraId="63B7839A"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Likelihood</w:t>
            </w: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240A7B4"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Extremely unlikely</w:t>
            </w:r>
          </w:p>
        </w:tc>
        <w:tc>
          <w:tcPr>
            <w:tcW w:w="1004" w:type="dxa"/>
            <w:tcBorders>
              <w:top w:val="single" w:sz="4" w:space="0" w:color="auto"/>
              <w:left w:val="nil"/>
              <w:bottom w:val="single" w:sz="4" w:space="0" w:color="auto"/>
              <w:right w:val="single" w:sz="4" w:space="0" w:color="auto"/>
            </w:tcBorders>
            <w:noWrap/>
            <w:vAlign w:val="center"/>
            <w:hideMark/>
          </w:tcPr>
          <w:p w14:paraId="556E686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07A8F4BE"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77C1DA0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2D59FBF"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85E4990"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r>
      <w:tr w:rsidR="002D7080" w:rsidRPr="004D1E6F" w14:paraId="42B6599F" w14:textId="77777777" w:rsidTr="002E2C37">
        <w:trPr>
          <w:trHeight w:val="275"/>
        </w:trPr>
        <w:tc>
          <w:tcPr>
            <w:tcW w:w="440" w:type="dxa"/>
            <w:vMerge/>
            <w:tcBorders>
              <w:top w:val="nil"/>
              <w:left w:val="nil"/>
              <w:bottom w:val="nil"/>
              <w:right w:val="single" w:sz="4" w:space="0" w:color="auto"/>
            </w:tcBorders>
            <w:shd w:val="clear" w:color="auto" w:fill="D9D9D9" w:themeFill="background1" w:themeFillShade="D9"/>
            <w:vAlign w:val="center"/>
            <w:hideMark/>
          </w:tcPr>
          <w:p w14:paraId="688448F3"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5EF7CD4"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Very unlikely</w:t>
            </w:r>
          </w:p>
        </w:tc>
        <w:tc>
          <w:tcPr>
            <w:tcW w:w="1004" w:type="dxa"/>
            <w:tcBorders>
              <w:top w:val="single" w:sz="4" w:space="0" w:color="auto"/>
              <w:left w:val="nil"/>
              <w:bottom w:val="single" w:sz="4" w:space="0" w:color="auto"/>
              <w:right w:val="single" w:sz="4" w:space="0" w:color="auto"/>
            </w:tcBorders>
            <w:noWrap/>
            <w:vAlign w:val="center"/>
            <w:hideMark/>
          </w:tcPr>
          <w:p w14:paraId="3F948FBB"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15AD40C"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5485A567"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627407A"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AE15CEA"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39DCB16B" w14:textId="77777777" w:rsidTr="002E2C37">
        <w:trPr>
          <w:trHeight w:val="265"/>
        </w:trPr>
        <w:tc>
          <w:tcPr>
            <w:tcW w:w="440" w:type="dxa"/>
            <w:vMerge/>
            <w:tcBorders>
              <w:top w:val="nil"/>
              <w:left w:val="nil"/>
              <w:bottom w:val="nil"/>
              <w:right w:val="single" w:sz="4" w:space="0" w:color="auto"/>
            </w:tcBorders>
            <w:shd w:val="clear" w:color="auto" w:fill="D9D9D9" w:themeFill="background1" w:themeFillShade="D9"/>
            <w:vAlign w:val="center"/>
            <w:hideMark/>
          </w:tcPr>
          <w:p w14:paraId="6898EFB7"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E314035"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Unlikely</w:t>
            </w:r>
          </w:p>
        </w:tc>
        <w:tc>
          <w:tcPr>
            <w:tcW w:w="1004" w:type="dxa"/>
            <w:tcBorders>
              <w:top w:val="single" w:sz="4" w:space="0" w:color="auto"/>
              <w:left w:val="nil"/>
              <w:bottom w:val="single" w:sz="4" w:space="0" w:color="auto"/>
              <w:right w:val="single" w:sz="4" w:space="0" w:color="auto"/>
            </w:tcBorders>
            <w:noWrap/>
            <w:vAlign w:val="center"/>
            <w:hideMark/>
          </w:tcPr>
          <w:p w14:paraId="52790D57"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0901A584"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1F376371"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AEE9927"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1E76425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59686AFE" w14:textId="77777777" w:rsidTr="002E2C37">
        <w:trPr>
          <w:trHeight w:val="283"/>
        </w:trPr>
        <w:tc>
          <w:tcPr>
            <w:tcW w:w="440" w:type="dxa"/>
            <w:vMerge/>
            <w:tcBorders>
              <w:top w:val="nil"/>
              <w:left w:val="nil"/>
              <w:bottom w:val="nil"/>
              <w:right w:val="single" w:sz="4" w:space="0" w:color="auto"/>
            </w:tcBorders>
            <w:shd w:val="clear" w:color="auto" w:fill="D9D9D9" w:themeFill="background1" w:themeFillShade="D9"/>
            <w:vAlign w:val="center"/>
            <w:hideMark/>
          </w:tcPr>
          <w:p w14:paraId="628F2239"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FFFF00"/>
            <w:noWrap/>
            <w:vAlign w:val="center"/>
            <w:hideMark/>
          </w:tcPr>
          <w:p w14:paraId="2820C212"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Fairly probable</w:t>
            </w:r>
          </w:p>
        </w:tc>
        <w:tc>
          <w:tcPr>
            <w:tcW w:w="1004" w:type="dxa"/>
            <w:tcBorders>
              <w:top w:val="single" w:sz="4" w:space="0" w:color="auto"/>
              <w:left w:val="nil"/>
              <w:bottom w:val="single" w:sz="4" w:space="0" w:color="auto"/>
              <w:right w:val="single" w:sz="4" w:space="0" w:color="auto"/>
            </w:tcBorders>
            <w:noWrap/>
            <w:vAlign w:val="center"/>
            <w:hideMark/>
          </w:tcPr>
          <w:p w14:paraId="0BC1EC75"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998F5A9"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6C150DD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7EC1BD56"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989755D"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r w:rsidR="002D7080" w:rsidRPr="004D1E6F" w14:paraId="15FC7BB7" w14:textId="77777777" w:rsidTr="002E2C37">
        <w:trPr>
          <w:trHeight w:val="273"/>
        </w:trPr>
        <w:tc>
          <w:tcPr>
            <w:tcW w:w="440" w:type="dxa"/>
            <w:vMerge/>
            <w:tcBorders>
              <w:top w:val="nil"/>
              <w:left w:val="nil"/>
              <w:bottom w:val="nil"/>
              <w:right w:val="single" w:sz="4" w:space="0" w:color="auto"/>
            </w:tcBorders>
            <w:shd w:val="clear" w:color="auto" w:fill="D9D9D9" w:themeFill="background1" w:themeFillShade="D9"/>
            <w:vAlign w:val="center"/>
            <w:hideMark/>
          </w:tcPr>
          <w:p w14:paraId="15DD75EE"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C01F54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Probable</w:t>
            </w:r>
          </w:p>
        </w:tc>
        <w:tc>
          <w:tcPr>
            <w:tcW w:w="1004" w:type="dxa"/>
            <w:tcBorders>
              <w:top w:val="single" w:sz="4" w:space="0" w:color="auto"/>
              <w:left w:val="nil"/>
              <w:bottom w:val="single" w:sz="4" w:space="0" w:color="auto"/>
              <w:right w:val="single" w:sz="4" w:space="0" w:color="auto"/>
            </w:tcBorders>
            <w:noWrap/>
            <w:vAlign w:val="center"/>
            <w:hideMark/>
          </w:tcPr>
          <w:p w14:paraId="222B0853"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7EB0ABA"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3F0772B6"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1BC89499"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8F97B4F" w14:textId="77777777" w:rsidR="002D7080" w:rsidRPr="004D1E6F" w:rsidRDefault="002D7080" w:rsidP="002E2C37">
            <w:pPr>
              <w:spacing w:after="0" w:line="240" w:lineRule="auto"/>
              <w:jc w:val="center"/>
              <w:rPr>
                <w:rFonts w:ascii="Times New Roman" w:eastAsia="Times New Roman" w:hAnsi="Times New Roman" w:cs="Times New Roman"/>
                <w:sz w:val="20"/>
                <w:szCs w:val="20"/>
                <w:lang w:eastAsia="de-CH"/>
              </w:rPr>
            </w:pPr>
            <w:r w:rsidRPr="004D1E6F">
              <w:rPr>
                <w:rFonts w:ascii="Times New Roman" w:eastAsia="Times New Roman" w:hAnsi="Times New Roman" w:cs="Times New Roman"/>
                <w:sz w:val="20"/>
                <w:szCs w:val="20"/>
                <w:lang w:eastAsia="de-CH"/>
              </w:rPr>
              <w:t>high</w:t>
            </w:r>
          </w:p>
        </w:tc>
      </w:tr>
    </w:tbl>
    <w:p w14:paraId="1222D242" w14:textId="77777777" w:rsidR="002D7080" w:rsidRPr="004D1E6F" w:rsidRDefault="002D7080" w:rsidP="002D7080">
      <w:pPr>
        <w:spacing w:after="0" w:line="240" w:lineRule="auto"/>
        <w:rPr>
          <w:rFonts w:ascii="Times New Roman" w:eastAsia="Calibri" w:hAnsi="Times New Roman" w:cs="Times New Roman"/>
          <w:sz w:val="20"/>
          <w:szCs w:val="20"/>
        </w:rPr>
      </w:pPr>
    </w:p>
    <w:p w14:paraId="5CE8D8FC"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Ease of management =</w:t>
      </w:r>
      <w:r>
        <w:rPr>
          <w:rFonts w:ascii="Times New Roman" w:eastAsia="Times New Roman" w:hAnsi="Times New Roman" w:cs="Times New Roman"/>
          <w:b/>
          <w:sz w:val="20"/>
          <w:szCs w:val="20"/>
          <w:lang w:eastAsia="en-ZA"/>
        </w:rPr>
        <w:t xml:space="preserve"> Medium</w:t>
      </w:r>
    </w:p>
    <w:p w14:paraId="6BD91F6D"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pPr w:leftFromText="180" w:rightFromText="180" w:vertAnchor="text" w:tblpY="1"/>
        <w:tblOverlap w:val="never"/>
        <w:tblW w:w="8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4667"/>
        <w:gridCol w:w="2013"/>
      </w:tblGrid>
      <w:tr w:rsidR="002D7080" w:rsidRPr="004D1E6F" w14:paraId="223A54F8" w14:textId="77777777" w:rsidTr="002E2C37">
        <w:trPr>
          <w:trHeight w:val="272"/>
        </w:trPr>
        <w:tc>
          <w:tcPr>
            <w:tcW w:w="1678" w:type="dxa"/>
            <w:shd w:val="clear" w:color="auto" w:fill="D9D9D9" w:themeFill="background1" w:themeFillShade="D9"/>
            <w:vAlign w:val="center"/>
          </w:tcPr>
          <w:p w14:paraId="03977750"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Parameter</w:t>
            </w:r>
          </w:p>
        </w:tc>
        <w:tc>
          <w:tcPr>
            <w:tcW w:w="4667" w:type="dxa"/>
            <w:shd w:val="clear" w:color="auto" w:fill="D9D9D9" w:themeFill="background1" w:themeFillShade="D9"/>
            <w:vAlign w:val="center"/>
          </w:tcPr>
          <w:p w14:paraId="64C8DBF4"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Question</w:t>
            </w:r>
          </w:p>
        </w:tc>
        <w:tc>
          <w:tcPr>
            <w:tcW w:w="2013" w:type="dxa"/>
            <w:shd w:val="clear" w:color="auto" w:fill="D9D9D9" w:themeFill="background1" w:themeFillShade="D9"/>
            <w:vAlign w:val="center"/>
          </w:tcPr>
          <w:p w14:paraId="08AAF9B5"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Response</w:t>
            </w:r>
          </w:p>
        </w:tc>
      </w:tr>
      <w:tr w:rsidR="002D7080" w:rsidRPr="004D1E6F" w14:paraId="18A8089A" w14:textId="77777777" w:rsidTr="002E2C37">
        <w:trPr>
          <w:trHeight w:val="305"/>
        </w:trPr>
        <w:tc>
          <w:tcPr>
            <w:tcW w:w="1678" w:type="dxa"/>
            <w:shd w:val="clear" w:color="auto" w:fill="D9D9D9" w:themeFill="background1" w:themeFillShade="D9"/>
            <w:vAlign w:val="center"/>
          </w:tcPr>
          <w:p w14:paraId="32DA7B1F"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MAN3a</w:t>
            </w:r>
          </w:p>
        </w:tc>
        <w:tc>
          <w:tcPr>
            <w:tcW w:w="4667" w:type="dxa"/>
            <w:shd w:val="clear" w:color="auto" w:fill="D9D9D9" w:themeFill="background1" w:themeFillShade="D9"/>
            <w:vAlign w:val="center"/>
          </w:tcPr>
          <w:p w14:paraId="02B2239D" w14:textId="77777777" w:rsidR="002D7080" w:rsidRPr="004D1E6F" w:rsidRDefault="002D7080" w:rsidP="002E2C37">
            <w:pPr>
              <w:tabs>
                <w:tab w:val="left" w:pos="1223"/>
              </w:tabs>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How accessible are populations? </w:t>
            </w:r>
          </w:p>
        </w:tc>
        <w:tc>
          <w:tcPr>
            <w:tcW w:w="2013" w:type="dxa"/>
            <w:vAlign w:val="center"/>
          </w:tcPr>
          <w:p w14:paraId="070CFF3A" w14:textId="77777777" w:rsidR="002D7080" w:rsidRPr="004D1E6F" w:rsidRDefault="002D7080" w:rsidP="002E2C37">
            <w:pPr>
              <w:tabs>
                <w:tab w:val="left" w:pos="1250"/>
              </w:tab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2</w:t>
            </w:r>
          </w:p>
        </w:tc>
      </w:tr>
      <w:tr w:rsidR="002D7080" w:rsidRPr="004D1E6F" w14:paraId="42BB101F" w14:textId="77777777" w:rsidTr="002E2C37">
        <w:trPr>
          <w:trHeight w:val="274"/>
        </w:trPr>
        <w:tc>
          <w:tcPr>
            <w:tcW w:w="1678" w:type="dxa"/>
            <w:shd w:val="clear" w:color="auto" w:fill="D9D9D9" w:themeFill="background1" w:themeFillShade="D9"/>
            <w:vAlign w:val="center"/>
          </w:tcPr>
          <w:p w14:paraId="015EACB8"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MAN3b</w:t>
            </w:r>
          </w:p>
        </w:tc>
        <w:tc>
          <w:tcPr>
            <w:tcW w:w="4667" w:type="dxa"/>
            <w:shd w:val="clear" w:color="auto" w:fill="D9D9D9" w:themeFill="background1" w:themeFillShade="D9"/>
            <w:vAlign w:val="center"/>
          </w:tcPr>
          <w:p w14:paraId="2814BC97"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Is detectability critically time-dependent?</w:t>
            </w:r>
          </w:p>
        </w:tc>
        <w:tc>
          <w:tcPr>
            <w:tcW w:w="2013" w:type="dxa"/>
            <w:vAlign w:val="center"/>
          </w:tcPr>
          <w:p w14:paraId="3E93AF5B"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2</w:t>
            </w:r>
          </w:p>
        </w:tc>
      </w:tr>
      <w:tr w:rsidR="002D7080" w:rsidRPr="004D1E6F" w14:paraId="721459A7" w14:textId="77777777" w:rsidTr="002E2C37">
        <w:trPr>
          <w:trHeight w:val="274"/>
        </w:trPr>
        <w:tc>
          <w:tcPr>
            <w:tcW w:w="1678" w:type="dxa"/>
            <w:shd w:val="clear" w:color="auto" w:fill="D9D9D9" w:themeFill="background1" w:themeFillShade="D9"/>
            <w:vAlign w:val="center"/>
          </w:tcPr>
          <w:p w14:paraId="1D665BD7"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MAN3c</w:t>
            </w:r>
          </w:p>
        </w:tc>
        <w:tc>
          <w:tcPr>
            <w:tcW w:w="4667" w:type="dxa"/>
            <w:shd w:val="clear" w:color="auto" w:fill="D9D9D9" w:themeFill="background1" w:themeFillShade="D9"/>
            <w:vAlign w:val="center"/>
          </w:tcPr>
          <w:p w14:paraId="7ADE1421"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Time to reproduction</w:t>
            </w:r>
          </w:p>
        </w:tc>
        <w:tc>
          <w:tcPr>
            <w:tcW w:w="2013" w:type="dxa"/>
            <w:vAlign w:val="center"/>
          </w:tcPr>
          <w:p w14:paraId="34B72BB4"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1</w:t>
            </w:r>
          </w:p>
        </w:tc>
      </w:tr>
      <w:tr w:rsidR="002D7080" w:rsidRPr="004D1E6F" w14:paraId="4854309E" w14:textId="77777777" w:rsidTr="002E2C37">
        <w:trPr>
          <w:trHeight w:val="280"/>
        </w:trPr>
        <w:tc>
          <w:tcPr>
            <w:tcW w:w="1678" w:type="dxa"/>
            <w:shd w:val="clear" w:color="auto" w:fill="D9D9D9" w:themeFill="background1" w:themeFillShade="D9"/>
            <w:vAlign w:val="center"/>
          </w:tcPr>
          <w:p w14:paraId="11C03D87"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MAN3d</w:t>
            </w:r>
          </w:p>
        </w:tc>
        <w:tc>
          <w:tcPr>
            <w:tcW w:w="4667" w:type="dxa"/>
            <w:shd w:val="clear" w:color="auto" w:fill="D9D9D9" w:themeFill="background1" w:themeFillShade="D9"/>
            <w:vAlign w:val="center"/>
          </w:tcPr>
          <w:p w14:paraId="17052037"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Propagule persistence</w:t>
            </w:r>
          </w:p>
        </w:tc>
        <w:tc>
          <w:tcPr>
            <w:tcW w:w="2013" w:type="dxa"/>
            <w:vAlign w:val="center"/>
          </w:tcPr>
          <w:p w14:paraId="3AB18BFD"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0</w:t>
            </w:r>
          </w:p>
        </w:tc>
      </w:tr>
      <w:tr w:rsidR="002D7080" w:rsidRPr="004D1E6F" w14:paraId="07EE7628" w14:textId="77777777" w:rsidTr="002E2C37">
        <w:trPr>
          <w:trHeight w:val="248"/>
        </w:trPr>
        <w:tc>
          <w:tcPr>
            <w:tcW w:w="1678" w:type="dxa"/>
            <w:tcBorders>
              <w:top w:val="double" w:sz="4" w:space="0" w:color="auto"/>
            </w:tcBorders>
            <w:shd w:val="clear" w:color="auto" w:fill="D9D9D9" w:themeFill="background1" w:themeFillShade="D9"/>
            <w:vAlign w:val="center"/>
          </w:tcPr>
          <w:p w14:paraId="60D9F0B8"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MAN3</w:t>
            </w:r>
          </w:p>
        </w:tc>
        <w:tc>
          <w:tcPr>
            <w:tcW w:w="4667" w:type="dxa"/>
            <w:tcBorders>
              <w:top w:val="double" w:sz="4" w:space="0" w:color="auto"/>
            </w:tcBorders>
            <w:shd w:val="clear" w:color="auto" w:fill="D9D9D9" w:themeFill="background1" w:themeFillShade="D9"/>
            <w:vAlign w:val="center"/>
          </w:tcPr>
          <w:p w14:paraId="23F49C16" w14:textId="77777777" w:rsidR="002D7080" w:rsidRPr="004D1E6F" w:rsidRDefault="002D7080" w:rsidP="002E2C37">
            <w:pPr>
              <w:spacing w:after="0" w:line="240" w:lineRule="auto"/>
              <w:rPr>
                <w:rFonts w:ascii="Times New Roman" w:eastAsia="Calibri" w:hAnsi="Times New Roman" w:cs="Times New Roman"/>
                <w:b/>
                <w:sz w:val="20"/>
                <w:szCs w:val="20"/>
              </w:rPr>
            </w:pPr>
            <w:r w:rsidRPr="004D1E6F">
              <w:rPr>
                <w:rFonts w:ascii="Times New Roman" w:eastAsia="Calibri" w:hAnsi="Times New Roman" w:cs="Times New Roman"/>
                <w:b/>
                <w:sz w:val="20"/>
                <w:szCs w:val="20"/>
              </w:rPr>
              <w:t>SUM</w:t>
            </w:r>
          </w:p>
        </w:tc>
        <w:tc>
          <w:tcPr>
            <w:tcW w:w="2013" w:type="dxa"/>
            <w:tcBorders>
              <w:top w:val="double" w:sz="4" w:space="0" w:color="auto"/>
            </w:tcBorders>
            <w:vAlign w:val="center"/>
          </w:tcPr>
          <w:p w14:paraId="7A14B847"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5</w:t>
            </w:r>
          </w:p>
        </w:tc>
      </w:tr>
    </w:tbl>
    <w:p w14:paraId="62378178" w14:textId="77777777" w:rsidR="002D7080" w:rsidRPr="004D1E6F" w:rsidRDefault="002D7080" w:rsidP="002D7080">
      <w:pPr>
        <w:shd w:val="clear" w:color="auto" w:fill="F2F2F2"/>
        <w:spacing w:after="0" w:line="240" w:lineRule="auto"/>
        <w:rPr>
          <w:rFonts w:ascii="Times New Roman" w:eastAsia="Calibri" w:hAnsi="Times New Roman" w:cs="Times New Roman"/>
          <w:sz w:val="20"/>
          <w:szCs w:val="20"/>
        </w:rPr>
      </w:pPr>
    </w:p>
    <w:p w14:paraId="066EC77E" w14:textId="77777777" w:rsidR="002D7080" w:rsidRPr="004D1E6F" w:rsidRDefault="002D7080" w:rsidP="002D7080">
      <w:pPr>
        <w:spacing w:after="0" w:line="240" w:lineRule="auto"/>
        <w:rPr>
          <w:rFonts w:ascii="Times New Roman" w:eastAsia="Calibri" w:hAnsi="Times New Roman" w:cs="Times New Roman"/>
          <w:sz w:val="20"/>
          <w:szCs w:val="20"/>
        </w:rPr>
      </w:pPr>
    </w:p>
    <w:p w14:paraId="62E7D9A7" w14:textId="77777777" w:rsidR="002D7080" w:rsidRPr="004D1E6F" w:rsidRDefault="002D7080" w:rsidP="002D7080">
      <w:pPr>
        <w:spacing w:after="0" w:line="240" w:lineRule="auto"/>
        <w:rPr>
          <w:rFonts w:ascii="Times New Roman" w:eastAsia="Calibri" w:hAnsi="Times New Roman" w:cs="Times New Roman"/>
          <w:b/>
          <w:sz w:val="20"/>
          <w:szCs w:val="20"/>
        </w:rPr>
      </w:pPr>
    </w:p>
    <w:p w14:paraId="7395D44D" w14:textId="77777777" w:rsidR="002D7080" w:rsidRPr="004D1E6F" w:rsidRDefault="002D7080" w:rsidP="002D7080">
      <w:pPr>
        <w:spacing w:after="0" w:line="240" w:lineRule="auto"/>
        <w:rPr>
          <w:rFonts w:ascii="Times New Roman" w:eastAsia="Calibri" w:hAnsi="Times New Roman" w:cs="Times New Roman"/>
          <w:b/>
          <w:sz w:val="20"/>
          <w:szCs w:val="20"/>
        </w:rPr>
      </w:pPr>
    </w:p>
    <w:p w14:paraId="55FE78BF" w14:textId="77777777" w:rsidR="002D7080" w:rsidRPr="004D1E6F" w:rsidRDefault="002D7080" w:rsidP="002D7080">
      <w:pPr>
        <w:spacing w:after="0" w:line="240" w:lineRule="auto"/>
        <w:rPr>
          <w:rFonts w:ascii="Times New Roman" w:eastAsia="Calibri" w:hAnsi="Times New Roman" w:cs="Times New Roman"/>
          <w:b/>
          <w:sz w:val="20"/>
          <w:szCs w:val="20"/>
        </w:rPr>
      </w:pPr>
    </w:p>
    <w:p w14:paraId="1E6B0B16" w14:textId="77777777" w:rsidR="002D7080" w:rsidRPr="004D1E6F" w:rsidRDefault="002D7080" w:rsidP="002D7080">
      <w:pPr>
        <w:spacing w:after="0" w:line="240" w:lineRule="auto"/>
        <w:rPr>
          <w:rFonts w:ascii="Times New Roman" w:eastAsia="Calibri" w:hAnsi="Times New Roman" w:cs="Times New Roman"/>
          <w:b/>
          <w:sz w:val="20"/>
          <w:szCs w:val="20"/>
        </w:rPr>
      </w:pPr>
    </w:p>
    <w:p w14:paraId="0B94FA5A" w14:textId="77777777" w:rsidR="002D7080" w:rsidRPr="004D1E6F" w:rsidRDefault="002D7080" w:rsidP="002D7080">
      <w:pPr>
        <w:spacing w:after="160" w:line="259" w:lineRule="auto"/>
        <w:rPr>
          <w:rFonts w:ascii="Times New Roman" w:eastAsia="Times New Roman" w:hAnsi="Times New Roman" w:cs="Times New Roman"/>
          <w:b/>
          <w:sz w:val="20"/>
          <w:szCs w:val="20"/>
          <w:lang w:eastAsia="en-ZA"/>
        </w:rPr>
      </w:pPr>
    </w:p>
    <w:p w14:paraId="6D54FA60" w14:textId="77777777" w:rsidR="002D7080" w:rsidRPr="004D1E6F" w:rsidRDefault="002D7080" w:rsidP="002D7080">
      <w:pPr>
        <w:spacing w:after="160" w:line="259" w:lineRule="auto"/>
        <w:rPr>
          <w:rFonts w:ascii="Times New Roman" w:eastAsia="Times New Roman" w:hAnsi="Times New Roman" w:cs="Times New Roman"/>
          <w:b/>
          <w:sz w:val="20"/>
          <w:szCs w:val="20"/>
          <w:lang w:eastAsia="en-ZA"/>
        </w:rPr>
      </w:pPr>
    </w:p>
    <w:p w14:paraId="7016311A" w14:textId="77777777" w:rsidR="002D7080" w:rsidRPr="004D1E6F" w:rsidRDefault="002D7080" w:rsidP="002D7080">
      <w:pPr>
        <w:spacing w:after="160" w:line="259"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Appendix BAC7</w:t>
      </w:r>
      <w:r w:rsidRPr="004D1E6F">
        <w:rPr>
          <w:rFonts w:ascii="Times New Roman" w:eastAsia="Times New Roman" w:hAnsi="Times New Roman" w:cs="Times New Roman"/>
          <w:sz w:val="20"/>
          <w:szCs w:val="20"/>
          <w:lang w:eastAsia="en-ZA"/>
        </w:rPr>
        <w:t xml:space="preserve">: </w:t>
      </w:r>
    </w:p>
    <w:p w14:paraId="1E66B8F2" w14:textId="77777777" w:rsidR="002D7080" w:rsidRPr="004D1E6F" w:rsidRDefault="002D7080" w:rsidP="002D7080">
      <w:pPr>
        <w:spacing w:after="0" w:line="240" w:lineRule="auto"/>
        <w:rPr>
          <w:rFonts w:ascii="Times New Roman" w:eastAsia="Calibri" w:hAnsi="Times New Roman" w:cs="Times New Roman"/>
          <w:sz w:val="20"/>
          <w:szCs w:val="20"/>
        </w:rPr>
      </w:pPr>
    </w:p>
    <w:p w14:paraId="65D1D130"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3D52FDE6" w14:textId="77777777" w:rsidR="002D7080" w:rsidRPr="004D1E6F" w:rsidRDefault="002D7080" w:rsidP="008A0BC6">
      <w:pPr>
        <w:spacing w:after="0" w:line="240" w:lineRule="auto"/>
        <w:jc w:val="both"/>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Appendix BAC8(a)</w:t>
      </w:r>
      <w:r w:rsidRPr="004D1E6F">
        <w:rPr>
          <w:rFonts w:ascii="Times New Roman" w:eastAsia="Times New Roman" w:hAnsi="Times New Roman" w:cs="Times New Roman"/>
          <w:sz w:val="20"/>
          <w:szCs w:val="20"/>
          <w:lang w:eastAsia="en-ZA"/>
        </w:rPr>
        <w:t xml:space="preserve">: Global alien range of </w:t>
      </w:r>
      <w:r w:rsidRPr="004D1E6F">
        <w:rPr>
          <w:rFonts w:ascii="Times New Roman" w:eastAsia="Times New Roman" w:hAnsi="Times New Roman" w:cs="Times New Roman"/>
          <w:i/>
          <w:sz w:val="20"/>
          <w:szCs w:val="20"/>
          <w:lang w:eastAsia="en-ZA"/>
        </w:rPr>
        <w:t xml:space="preserve">Pontastacus leptodactylus. From GBIF: </w:t>
      </w:r>
      <w:r w:rsidRPr="004D1E6F">
        <w:rPr>
          <w:rFonts w:ascii="Times New Roman" w:eastAsia="Times New Roman" w:hAnsi="Times New Roman" w:cs="Times New Roman"/>
          <w:i/>
          <w:iCs/>
          <w:sz w:val="20"/>
          <w:szCs w:val="20"/>
          <w:lang w:eastAsia="en-ZA"/>
        </w:rPr>
        <w:t>Pontastacus leptodactylus </w:t>
      </w:r>
      <w:r w:rsidRPr="004D1E6F">
        <w:rPr>
          <w:rFonts w:ascii="Times New Roman" w:eastAsia="Times New Roman" w:hAnsi="Times New Roman" w:cs="Times New Roman"/>
          <w:sz w:val="20"/>
          <w:szCs w:val="20"/>
          <w:lang w:eastAsia="en-ZA"/>
        </w:rPr>
        <w:t>(Eschscholtz, 1823) in GBIF Secretariat. GBIF Backbone Taxonomy. Checklist</w:t>
      </w:r>
      <w:r w:rsidRPr="004D1E6F">
        <w:rPr>
          <w:rFonts w:ascii="Times New Roman" w:eastAsia="Times New Roman" w:hAnsi="Times New Roman" w:cs="Times New Roman"/>
          <w:i/>
          <w:sz w:val="20"/>
          <w:szCs w:val="20"/>
          <w:lang w:eastAsia="en-ZA"/>
        </w:rPr>
        <w:t xml:space="preserve"> dataset </w:t>
      </w:r>
      <w:hyperlink w:tgtFrame="_blank" w:history="1">
        <w:r w:rsidRPr="004D1E6F">
          <w:rPr>
            <w:rStyle w:val="Hyperlink"/>
            <w:rFonts w:ascii="Times New Roman" w:eastAsia="Times New Roman" w:hAnsi="Times New Roman" w:cs="Times New Roman"/>
            <w:i/>
            <w:sz w:val="20"/>
            <w:szCs w:val="20"/>
            <w:lang w:eastAsia="en-ZA"/>
          </w:rPr>
          <w:t>https://doi.org/10.15468/39omei</w:t>
        </w:r>
      </w:hyperlink>
      <w:r w:rsidRPr="004D1E6F">
        <w:rPr>
          <w:rFonts w:ascii="Times New Roman" w:eastAsia="Times New Roman" w:hAnsi="Times New Roman" w:cs="Times New Roman"/>
          <w:i/>
          <w:sz w:val="20"/>
          <w:szCs w:val="20"/>
          <w:lang w:eastAsia="en-ZA"/>
        </w:rPr>
        <w:t> [</w:t>
      </w:r>
      <w:r w:rsidRPr="004D1E6F">
        <w:rPr>
          <w:rFonts w:ascii="Times New Roman" w:eastAsia="Times New Roman" w:hAnsi="Times New Roman" w:cs="Times New Roman"/>
          <w:sz w:val="20"/>
          <w:szCs w:val="20"/>
          <w:lang w:eastAsia="en-ZA"/>
        </w:rPr>
        <w:t>accessed via GBIF.org on 2023-10-27]</w:t>
      </w:r>
    </w:p>
    <w:p w14:paraId="33E323C4" w14:textId="77777777" w:rsidR="002D7080" w:rsidRPr="004D1E6F" w:rsidRDefault="002D7080" w:rsidP="002D7080">
      <w:pPr>
        <w:spacing w:after="0" w:line="240" w:lineRule="auto"/>
        <w:rPr>
          <w:rFonts w:ascii="Times New Roman" w:eastAsia="Calibri" w:hAnsi="Times New Roman" w:cs="Times New Roman"/>
          <w:sz w:val="20"/>
          <w:szCs w:val="20"/>
        </w:rPr>
      </w:pPr>
    </w:p>
    <w:p w14:paraId="2BDFED6C" w14:textId="77777777" w:rsidR="002D7080" w:rsidRPr="004D1E6F" w:rsidRDefault="002D7080" w:rsidP="002D7080">
      <w:pPr>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noProof/>
          <w:sz w:val="20"/>
          <w:szCs w:val="20"/>
          <w:lang w:eastAsia="en-ZA"/>
        </w:rPr>
        <w:drawing>
          <wp:inline distT="0" distB="0" distL="0" distR="0" wp14:anchorId="47D74627" wp14:editId="4FC8A4EB">
            <wp:extent cx="4779645" cy="2353310"/>
            <wp:effectExtent l="0" t="0" r="1905" b="8890"/>
            <wp:docPr id="860700815" name="Picture 2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00815" name="Picture 24" descr="A map of the world&#10;&#10;AI-generated content may be incorrect."/>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779645" cy="2353310"/>
                    </a:xfrm>
                    <a:prstGeom prst="rect">
                      <a:avLst/>
                    </a:prstGeom>
                    <a:noFill/>
                  </pic:spPr>
                </pic:pic>
              </a:graphicData>
            </a:graphic>
          </wp:inline>
        </w:drawing>
      </w:r>
    </w:p>
    <w:p w14:paraId="48A40C32" w14:textId="77777777" w:rsidR="002D7080" w:rsidRPr="004D1E6F" w:rsidRDefault="002D7080" w:rsidP="002D7080">
      <w:pPr>
        <w:spacing w:after="0" w:line="240" w:lineRule="auto"/>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Appendix BAC8(b)</w:t>
      </w:r>
      <w:r w:rsidRPr="004D1E6F">
        <w:rPr>
          <w:rFonts w:ascii="Times New Roman" w:eastAsia="Times New Roman" w:hAnsi="Times New Roman" w:cs="Times New Roman"/>
          <w:sz w:val="20"/>
          <w:szCs w:val="20"/>
          <w:lang w:eastAsia="en-ZA"/>
        </w:rPr>
        <w:t xml:space="preserve">: </w:t>
      </w:r>
    </w:p>
    <w:p w14:paraId="5874AA56" w14:textId="77777777" w:rsidR="002D7080" w:rsidRPr="004D1E6F" w:rsidRDefault="002D7080" w:rsidP="002D7080">
      <w:pPr>
        <w:spacing w:after="0" w:line="240" w:lineRule="auto"/>
        <w:rPr>
          <w:rFonts w:ascii="Times New Roman" w:eastAsia="Calibri" w:hAnsi="Times New Roman" w:cs="Times New Roman"/>
          <w:sz w:val="20"/>
          <w:szCs w:val="20"/>
        </w:rPr>
      </w:pPr>
    </w:p>
    <w:p w14:paraId="0EB78CB9" w14:textId="77777777" w:rsidR="002D7080" w:rsidRPr="004D1E6F" w:rsidRDefault="002D7080" w:rsidP="002D7080">
      <w:pPr>
        <w:spacing w:after="0" w:line="240" w:lineRule="auto"/>
        <w:rPr>
          <w:rFonts w:ascii="Times New Roman" w:eastAsia="Calibri" w:hAnsi="Times New Roman" w:cs="Times New Roman"/>
          <w:b/>
          <w:bCs/>
          <w:sz w:val="20"/>
          <w:szCs w:val="20"/>
        </w:rPr>
      </w:pPr>
    </w:p>
    <w:p w14:paraId="329E42C4" w14:textId="77777777" w:rsidR="002D7080" w:rsidRPr="004D1E6F" w:rsidRDefault="002D7080" w:rsidP="002D7080">
      <w:pPr>
        <w:spacing w:after="160" w:line="259" w:lineRule="auto"/>
        <w:rPr>
          <w:rFonts w:ascii="Times New Roman" w:eastAsia="Calibri" w:hAnsi="Times New Roman" w:cs="Times New Roman"/>
          <w:b/>
          <w:bCs/>
          <w:sz w:val="20"/>
          <w:szCs w:val="20"/>
        </w:rPr>
      </w:pPr>
      <w:r w:rsidRPr="004D1E6F">
        <w:rPr>
          <w:rFonts w:ascii="Times New Roman" w:eastAsia="Calibri" w:hAnsi="Times New Roman" w:cs="Times New Roman"/>
          <w:sz w:val="20"/>
          <w:szCs w:val="20"/>
        </w:rPr>
        <w:t xml:space="preserve"> </w:t>
      </w:r>
    </w:p>
    <w:p w14:paraId="7C741D76" w14:textId="77777777" w:rsidR="002D7080" w:rsidRPr="004D1E6F" w:rsidRDefault="002D7080" w:rsidP="002D7080">
      <w:pPr>
        <w:spacing w:after="0" w:line="240" w:lineRule="auto"/>
        <w:rPr>
          <w:rFonts w:ascii="Times New Roman" w:eastAsia="Calibri" w:hAnsi="Times New Roman" w:cs="Times New Roman"/>
          <w:sz w:val="16"/>
          <w:szCs w:val="16"/>
        </w:rPr>
      </w:pPr>
    </w:p>
    <w:p w14:paraId="0D9B23EB" w14:textId="77777777" w:rsidR="002D7080" w:rsidRPr="004D1E6F" w:rsidRDefault="002D7080" w:rsidP="002D7080">
      <w:pPr>
        <w:rPr>
          <w:rFonts w:ascii="Times New Roman" w:eastAsia="Calibri" w:hAnsi="Times New Roman" w:cs="Times New Roman"/>
          <w:b/>
          <w:bCs/>
          <w:sz w:val="24"/>
          <w:szCs w:val="24"/>
        </w:rPr>
      </w:pPr>
      <w:r w:rsidRPr="004D1E6F">
        <w:rPr>
          <w:rFonts w:ascii="Times New Roman" w:eastAsia="Calibri" w:hAnsi="Times New Roman" w:cs="Times New Roman"/>
          <w:b/>
          <w:bCs/>
          <w:sz w:val="24"/>
          <w:szCs w:val="24"/>
        </w:rPr>
        <w:br w:type="page"/>
      </w:r>
    </w:p>
    <w:p w14:paraId="13BD9F27" w14:textId="7864ED40" w:rsidR="002D7080" w:rsidRPr="005A2F10" w:rsidRDefault="0086708B" w:rsidP="002D7080">
      <w:pPr>
        <w:pStyle w:val="Heading2"/>
        <w:rPr>
          <w:rFonts w:ascii="Times New Roman" w:eastAsia="Calibri" w:hAnsi="Times New Roman" w:cs="Times New Roman"/>
          <w:color w:val="auto"/>
          <w:sz w:val="28"/>
          <w:szCs w:val="28"/>
        </w:rPr>
      </w:pPr>
      <w:r>
        <w:rPr>
          <w:rFonts w:ascii="Times New Roman" w:eastAsia="Calibri" w:hAnsi="Times New Roman" w:cs="Times New Roman"/>
          <w:color w:val="auto"/>
          <w:sz w:val="28"/>
          <w:szCs w:val="28"/>
        </w:rPr>
        <w:lastRenderedPageBreak/>
        <w:t>1</w:t>
      </w:r>
      <w:r w:rsidR="002D7080" w:rsidRPr="005A2F10">
        <w:rPr>
          <w:rFonts w:ascii="Times New Roman" w:eastAsia="Calibri" w:hAnsi="Times New Roman" w:cs="Times New Roman"/>
          <w:color w:val="auto"/>
          <w:sz w:val="28"/>
          <w:szCs w:val="28"/>
        </w:rPr>
        <w:t>.12 Risk analysis report for White River crayfish (</w:t>
      </w:r>
      <w:r w:rsidR="002D7080" w:rsidRPr="005A2F10">
        <w:rPr>
          <w:rFonts w:ascii="Times New Roman" w:eastAsia="Calibri" w:hAnsi="Times New Roman" w:cs="Times New Roman"/>
          <w:i/>
          <w:iCs/>
          <w:color w:val="auto"/>
          <w:sz w:val="28"/>
          <w:szCs w:val="28"/>
        </w:rPr>
        <w:t>Procambarus acutus</w:t>
      </w:r>
      <w:r w:rsidR="002D7080" w:rsidRPr="005A2F10">
        <w:rPr>
          <w:rFonts w:ascii="Times New Roman" w:eastAsia="Calibri" w:hAnsi="Times New Roman" w:cs="Times New Roman"/>
          <w:color w:val="auto"/>
          <w:sz w:val="28"/>
          <w:szCs w:val="28"/>
        </w:rPr>
        <w:t>)</w:t>
      </w:r>
    </w:p>
    <w:p w14:paraId="6C8F5828" w14:textId="77777777" w:rsidR="002D7080" w:rsidRPr="004D1E6F" w:rsidRDefault="002D7080" w:rsidP="002D7080">
      <w:pPr>
        <w:spacing w:after="0" w:line="240" w:lineRule="auto"/>
        <w:rPr>
          <w:rFonts w:ascii="Times New Roman" w:eastAsia="Calibri" w:hAnsi="Times New Roman" w:cs="Times New Roman"/>
          <w:sz w:val="20"/>
          <w:szCs w:val="20"/>
        </w:rPr>
      </w:pPr>
    </w:p>
    <w:tbl>
      <w:tblPr>
        <w:tblStyle w:val="TableGrid17"/>
        <w:tblW w:w="0" w:type="auto"/>
        <w:tblLayout w:type="fixed"/>
        <w:tblLook w:val="04A0" w:firstRow="1" w:lastRow="0" w:firstColumn="1" w:lastColumn="0" w:noHBand="0" w:noVBand="1"/>
      </w:tblPr>
      <w:tblGrid>
        <w:gridCol w:w="4248"/>
        <w:gridCol w:w="2970"/>
        <w:gridCol w:w="2024"/>
      </w:tblGrid>
      <w:tr w:rsidR="002D7080" w:rsidRPr="004D1E6F" w14:paraId="1B485673" w14:textId="77777777" w:rsidTr="002E2C37">
        <w:tc>
          <w:tcPr>
            <w:tcW w:w="4248" w:type="dxa"/>
          </w:tcPr>
          <w:p w14:paraId="5235F130"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i/>
                <w:sz w:val="20"/>
                <w:szCs w:val="20"/>
              </w:rPr>
              <w:t>Taxon</w:t>
            </w:r>
            <w:r w:rsidRPr="004D1E6F">
              <w:rPr>
                <w:rFonts w:ascii="Times New Roman" w:eastAsia="Calibri" w:hAnsi="Times New Roman" w:cs="Times New Roman"/>
                <w:b/>
                <w:sz w:val="20"/>
                <w:szCs w:val="20"/>
              </w:rPr>
              <w:t xml:space="preserve">: </w:t>
            </w:r>
            <w:r w:rsidRPr="004D1E6F">
              <w:rPr>
                <w:rFonts w:ascii="Times New Roman" w:eastAsia="Calibri" w:hAnsi="Times New Roman" w:cs="Times New Roman"/>
                <w:i/>
                <w:sz w:val="20"/>
                <w:szCs w:val="20"/>
              </w:rPr>
              <w:t>Procambarus acutus</w:t>
            </w:r>
            <w:r w:rsidRPr="004D1E6F">
              <w:rPr>
                <w:rFonts w:ascii="Times New Roman" w:eastAsia="Calibri" w:hAnsi="Times New Roman" w:cs="Times New Roman"/>
                <w:sz w:val="20"/>
                <w:szCs w:val="20"/>
              </w:rPr>
              <w:t xml:space="preserve"> (Girard, 1852)</w:t>
            </w:r>
          </w:p>
        </w:tc>
        <w:tc>
          <w:tcPr>
            <w:tcW w:w="4994" w:type="dxa"/>
            <w:gridSpan w:val="2"/>
          </w:tcPr>
          <w:p w14:paraId="7A72A59C"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i/>
                <w:sz w:val="20"/>
                <w:szCs w:val="20"/>
              </w:rPr>
              <w:t>Area</w:t>
            </w:r>
            <w:r w:rsidRPr="004D1E6F">
              <w:rPr>
                <w:rFonts w:ascii="Times New Roman" w:eastAsia="Calibri" w:hAnsi="Times New Roman" w:cs="Times New Roman"/>
                <w:b/>
                <w:sz w:val="20"/>
                <w:szCs w:val="20"/>
              </w:rPr>
              <w:t xml:space="preserve">: </w:t>
            </w:r>
            <w:r w:rsidRPr="004D1E6F">
              <w:rPr>
                <w:rFonts w:ascii="Times New Roman" w:eastAsia="Calibri" w:hAnsi="Times New Roman" w:cs="Times New Roman"/>
                <w:sz w:val="20"/>
                <w:szCs w:val="20"/>
              </w:rPr>
              <w:t>South Africa</w:t>
            </w:r>
          </w:p>
        </w:tc>
      </w:tr>
      <w:tr w:rsidR="002D7080" w:rsidRPr="004D1E6F" w14:paraId="0CF422CC" w14:textId="77777777" w:rsidTr="002E2C37">
        <w:trPr>
          <w:trHeight w:val="2987"/>
        </w:trPr>
        <w:tc>
          <w:tcPr>
            <w:tcW w:w="4248" w:type="dxa"/>
          </w:tcPr>
          <w:p w14:paraId="41292829" w14:textId="77777777" w:rsidR="002D7080" w:rsidRPr="004D1E6F" w:rsidRDefault="002D7080" w:rsidP="002E2C37">
            <w:pPr>
              <w:rPr>
                <w:rFonts w:ascii="Times New Roman" w:eastAsia="Calibri" w:hAnsi="Times New Roman" w:cs="Times New Roman"/>
                <w:b/>
                <w:i/>
                <w:sz w:val="20"/>
                <w:szCs w:val="20"/>
              </w:rPr>
            </w:pPr>
            <w:r w:rsidRPr="004D1E6F">
              <w:rPr>
                <w:rFonts w:ascii="Times New Roman" w:eastAsia="Calibri" w:hAnsi="Times New Roman" w:cs="Times New Roman"/>
                <w:b/>
                <w:sz w:val="20"/>
                <w:szCs w:val="20"/>
              </w:rPr>
              <w:t xml:space="preserve">Picture of </w:t>
            </w:r>
            <w:r w:rsidRPr="004D1E6F">
              <w:rPr>
                <w:rFonts w:ascii="Times New Roman" w:eastAsia="Calibri" w:hAnsi="Times New Roman" w:cs="Times New Roman"/>
                <w:b/>
                <w:i/>
                <w:sz w:val="20"/>
                <w:szCs w:val="20"/>
              </w:rPr>
              <w:t>Taxon</w:t>
            </w:r>
          </w:p>
          <w:p w14:paraId="62F67114" w14:textId="77777777" w:rsidR="002D7080" w:rsidRPr="004D1E6F" w:rsidRDefault="002D7080" w:rsidP="002E2C37">
            <w:pPr>
              <w:rPr>
                <w:rFonts w:ascii="Times New Roman" w:eastAsia="Calibri" w:hAnsi="Times New Roman" w:cs="Times New Roman"/>
                <w:b/>
                <w:sz w:val="20"/>
                <w:szCs w:val="20"/>
              </w:rPr>
            </w:pPr>
          </w:p>
          <w:p w14:paraId="235CF159" w14:textId="77777777" w:rsidR="002D7080" w:rsidRPr="004D1E6F" w:rsidRDefault="002D7080" w:rsidP="002E2C37">
            <w:pPr>
              <w:jc w:val="center"/>
              <w:rPr>
                <w:rFonts w:ascii="Times New Roman" w:eastAsia="Calibri" w:hAnsi="Times New Roman" w:cs="Times New Roman"/>
                <w:b/>
                <w:sz w:val="20"/>
                <w:szCs w:val="20"/>
              </w:rPr>
            </w:pPr>
            <w:r>
              <w:rPr>
                <w:rFonts w:ascii="Times New Roman" w:eastAsia="Calibri" w:hAnsi="Times New Roman" w:cs="Times New Roman"/>
                <w:b/>
                <w:noProof/>
                <w:sz w:val="20"/>
                <w:szCs w:val="20"/>
                <w:lang w:eastAsia="en-ZA"/>
              </w:rPr>
              <w:drawing>
                <wp:inline distT="0" distB="0" distL="0" distR="0" wp14:anchorId="46513169" wp14:editId="33E15A85">
                  <wp:extent cx="1865630" cy="1243965"/>
                  <wp:effectExtent l="0" t="0" r="1270" b="0"/>
                  <wp:docPr id="185754917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865630" cy="1243965"/>
                          </a:xfrm>
                          <a:prstGeom prst="rect">
                            <a:avLst/>
                          </a:prstGeom>
                          <a:noFill/>
                        </pic:spPr>
                      </pic:pic>
                    </a:graphicData>
                  </a:graphic>
                </wp:inline>
              </w:drawing>
            </w:r>
          </w:p>
          <w:p w14:paraId="3FA39815" w14:textId="77777777" w:rsidR="002D7080" w:rsidRPr="004D1E6F" w:rsidRDefault="002D7080" w:rsidP="002E2C37">
            <w:pPr>
              <w:rPr>
                <w:rFonts w:ascii="Times New Roman" w:eastAsia="Calibri" w:hAnsi="Times New Roman" w:cs="Times New Roman"/>
                <w:b/>
                <w:sz w:val="20"/>
                <w:szCs w:val="20"/>
              </w:rPr>
            </w:pPr>
          </w:p>
          <w:p w14:paraId="020E32AD"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sz w:val="20"/>
                <w:szCs w:val="20"/>
              </w:rPr>
              <w:t>https://nas.er.usgs.gov/queries/factsheet.aspx?SpeciesID=216</w:t>
            </w:r>
          </w:p>
        </w:tc>
        <w:tc>
          <w:tcPr>
            <w:tcW w:w="4994" w:type="dxa"/>
            <w:gridSpan w:val="2"/>
          </w:tcPr>
          <w:p w14:paraId="75BAD08A"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b/>
                <w:sz w:val="20"/>
                <w:szCs w:val="20"/>
              </w:rPr>
              <w:t>Alien distribution map</w:t>
            </w:r>
          </w:p>
          <w:p w14:paraId="1ADF3918" w14:textId="77777777" w:rsidR="002D7080" w:rsidRPr="004D1E6F" w:rsidRDefault="002D7080" w:rsidP="002E2C37">
            <w:pPr>
              <w:rPr>
                <w:rFonts w:ascii="Times New Roman" w:eastAsia="Calibri" w:hAnsi="Times New Roman" w:cs="Times New Roman"/>
                <w:sz w:val="20"/>
                <w:szCs w:val="20"/>
              </w:rPr>
            </w:pPr>
          </w:p>
          <w:p w14:paraId="009E1AF9" w14:textId="77777777" w:rsidR="002D7080" w:rsidRPr="004D1E6F" w:rsidRDefault="002D7080" w:rsidP="002E2C37">
            <w:pPr>
              <w:rPr>
                <w:rFonts w:ascii="Times New Roman" w:eastAsia="Calibri" w:hAnsi="Times New Roman" w:cs="Times New Roman"/>
                <w:sz w:val="20"/>
                <w:szCs w:val="20"/>
              </w:rPr>
            </w:pPr>
            <w:r>
              <w:rPr>
                <w:rFonts w:ascii="Times New Roman" w:eastAsia="Calibri" w:hAnsi="Times New Roman" w:cs="Times New Roman"/>
                <w:noProof/>
                <w:sz w:val="20"/>
                <w:szCs w:val="20"/>
                <w:lang w:eastAsia="en-ZA"/>
              </w:rPr>
              <w:drawing>
                <wp:inline distT="0" distB="0" distL="0" distR="0" wp14:anchorId="675A5DD5" wp14:editId="10CE9317">
                  <wp:extent cx="2609215" cy="1365885"/>
                  <wp:effectExtent l="0" t="0" r="635" b="5715"/>
                  <wp:docPr id="45894677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609215" cy="1365885"/>
                          </a:xfrm>
                          <a:prstGeom prst="rect">
                            <a:avLst/>
                          </a:prstGeom>
                          <a:noFill/>
                        </pic:spPr>
                      </pic:pic>
                    </a:graphicData>
                  </a:graphic>
                </wp:inline>
              </w:drawing>
            </w:r>
          </w:p>
          <w:p w14:paraId="4C7D8059" w14:textId="77777777" w:rsidR="002D7080" w:rsidRPr="004D1E6F" w:rsidRDefault="002D7080" w:rsidP="002E2C37">
            <w:pPr>
              <w:rPr>
                <w:rFonts w:ascii="Times New Roman" w:eastAsia="Calibri" w:hAnsi="Times New Roman" w:cs="Times New Roman"/>
                <w:sz w:val="20"/>
                <w:szCs w:val="20"/>
              </w:rPr>
            </w:pPr>
          </w:p>
          <w:p w14:paraId="05B1B186"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sz w:val="20"/>
                <w:szCs w:val="20"/>
              </w:rPr>
              <w:t>https://www.cabi.org/isc/datasheet/67841</w:t>
            </w:r>
          </w:p>
        </w:tc>
      </w:tr>
      <w:tr w:rsidR="002D7080" w:rsidRPr="004D1E6F" w14:paraId="1F651523" w14:textId="77777777" w:rsidTr="002E2C37">
        <w:trPr>
          <w:trHeight w:val="1445"/>
        </w:trPr>
        <w:tc>
          <w:tcPr>
            <w:tcW w:w="7218" w:type="dxa"/>
            <w:gridSpan w:val="2"/>
          </w:tcPr>
          <w:p w14:paraId="0CE799AB"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Risk Assessment summary:</w:t>
            </w:r>
          </w:p>
          <w:p w14:paraId="2BFEF962" w14:textId="77777777" w:rsidR="002D7080" w:rsidRPr="004D1E6F" w:rsidRDefault="002D7080" w:rsidP="002E2C37">
            <w:pPr>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The White River crayfish (</w:t>
            </w:r>
            <w:r w:rsidRPr="004D1E6F">
              <w:rPr>
                <w:rFonts w:ascii="Times New Roman" w:eastAsia="Calibri" w:hAnsi="Times New Roman" w:cs="Times New Roman"/>
                <w:i/>
                <w:sz w:val="20"/>
                <w:szCs w:val="20"/>
              </w:rPr>
              <w:t>Procambarus acutus</w:t>
            </w:r>
            <w:r w:rsidRPr="004D1E6F">
              <w:rPr>
                <w:rFonts w:ascii="Times New Roman" w:eastAsia="Calibri" w:hAnsi="Times New Roman" w:cs="Times New Roman"/>
                <w:sz w:val="20"/>
                <w:szCs w:val="20"/>
              </w:rPr>
              <w:t xml:space="preserve">) is </w:t>
            </w:r>
            <w:r>
              <w:rPr>
                <w:rFonts w:ascii="Times New Roman" w:eastAsia="Calibri" w:hAnsi="Times New Roman" w:cs="Times New Roman"/>
                <w:sz w:val="20"/>
                <w:szCs w:val="20"/>
              </w:rPr>
              <w:t xml:space="preserve">native to </w:t>
            </w:r>
            <w:r>
              <w:rPr>
                <w:rFonts w:ascii="Times New Roman" w:eastAsia="Times New Roman" w:hAnsi="Times New Roman" w:cs="Times New Roman"/>
                <w:color w:val="000000"/>
                <w:sz w:val="20"/>
                <w:szCs w:val="20"/>
                <w:lang w:eastAsia="en-ZA"/>
              </w:rPr>
              <w:t xml:space="preserve">central and eastern USA and has been introduced to several areas outside its natural range in the USA. It has also been introduced to </w:t>
            </w:r>
            <w:r w:rsidRPr="004D1E6F">
              <w:rPr>
                <w:rFonts w:ascii="Times New Roman" w:eastAsia="Times New Roman" w:hAnsi="Times New Roman" w:cs="Times New Roman"/>
                <w:color w:val="000000"/>
                <w:sz w:val="20"/>
                <w:szCs w:val="20"/>
                <w:lang w:eastAsia="en-ZA"/>
              </w:rPr>
              <w:t>Egypt</w:t>
            </w:r>
            <w:r>
              <w:rPr>
                <w:rFonts w:ascii="Times New Roman" w:eastAsia="Times New Roman" w:hAnsi="Times New Roman" w:cs="Times New Roman"/>
                <w:color w:val="000000"/>
                <w:sz w:val="20"/>
                <w:szCs w:val="20"/>
                <w:lang w:eastAsia="en-ZA"/>
              </w:rPr>
              <w:t xml:space="preserve"> and </w:t>
            </w:r>
            <w:r w:rsidRPr="004D1E6F">
              <w:rPr>
                <w:rFonts w:ascii="Times New Roman" w:eastAsia="Times New Roman" w:hAnsi="Times New Roman" w:cs="Times New Roman"/>
                <w:color w:val="000000"/>
                <w:sz w:val="20"/>
                <w:szCs w:val="20"/>
                <w:lang w:eastAsia="en-ZA"/>
              </w:rPr>
              <w:t>the Netherlands</w:t>
            </w:r>
            <w:r>
              <w:rPr>
                <w:rFonts w:ascii="Times New Roman" w:eastAsia="Times New Roman" w:hAnsi="Times New Roman" w:cs="Times New Roman"/>
                <w:color w:val="000000"/>
                <w:sz w:val="20"/>
                <w:szCs w:val="20"/>
                <w:lang w:eastAsia="en-ZA"/>
              </w:rPr>
              <w:t xml:space="preserve">. </w:t>
            </w:r>
            <w:r w:rsidRPr="006036FA">
              <w:rPr>
                <w:rFonts w:ascii="Times New Roman" w:hAnsi="Times New Roman" w:cs="Times New Roman"/>
                <w:sz w:val="20"/>
                <w:szCs w:val="20"/>
              </w:rPr>
              <w:t xml:space="preserve">There are no know populations of </w:t>
            </w:r>
            <w:r>
              <w:rPr>
                <w:rFonts w:ascii="Times New Roman" w:hAnsi="Times New Roman" w:cs="Times New Roman"/>
                <w:i/>
                <w:iCs/>
                <w:sz w:val="20"/>
                <w:szCs w:val="20"/>
              </w:rPr>
              <w:t xml:space="preserve">P. acutus </w:t>
            </w:r>
            <w:r w:rsidRPr="006036FA">
              <w:rPr>
                <w:rFonts w:ascii="Times New Roman" w:hAnsi="Times New Roman" w:cs="Times New Roman"/>
                <w:sz w:val="20"/>
                <w:szCs w:val="20"/>
              </w:rPr>
              <w:t xml:space="preserve">in South Africa </w:t>
            </w:r>
            <w:r>
              <w:rPr>
                <w:rFonts w:ascii="Times New Roman" w:hAnsi="Times New Roman" w:cs="Times New Roman"/>
                <w:sz w:val="20"/>
                <w:szCs w:val="20"/>
              </w:rPr>
              <w:t xml:space="preserve">and </w:t>
            </w:r>
            <w:r w:rsidRPr="006036FA">
              <w:rPr>
                <w:rFonts w:ascii="Times New Roman" w:hAnsi="Times New Roman" w:cs="Times New Roman"/>
                <w:sz w:val="20"/>
                <w:szCs w:val="20"/>
              </w:rPr>
              <w:t>in neighbouring countries, therefore via unaided pathways is unlikely.</w:t>
            </w:r>
            <w:r>
              <w:rPr>
                <w:rFonts w:ascii="Times New Roman" w:hAnsi="Times New Roman" w:cs="Times New Roman"/>
                <w:sz w:val="20"/>
                <w:szCs w:val="20"/>
              </w:rPr>
              <w:t xml:space="preserve"> </w:t>
            </w:r>
            <w:r w:rsidRPr="006036FA">
              <w:rPr>
                <w:rFonts w:ascii="Times New Roman" w:hAnsi="Times New Roman" w:cs="Times New Roman"/>
                <w:sz w:val="20"/>
                <w:szCs w:val="20"/>
              </w:rPr>
              <w:t xml:space="preserve">The illegal pet trade industry remains a concern because </w:t>
            </w:r>
            <w:r>
              <w:rPr>
                <w:rFonts w:ascii="Times New Roman" w:hAnsi="Times New Roman" w:cs="Times New Roman"/>
                <w:i/>
                <w:iCs/>
                <w:sz w:val="20"/>
                <w:szCs w:val="20"/>
              </w:rPr>
              <w:t xml:space="preserve">P. acutus </w:t>
            </w:r>
            <w:r w:rsidRPr="006036FA">
              <w:rPr>
                <w:rFonts w:ascii="Times New Roman" w:hAnsi="Times New Roman" w:cs="Times New Roman"/>
                <w:sz w:val="20"/>
                <w:szCs w:val="20"/>
              </w:rPr>
              <w:t>may be moved around by humans and there is a high risk of release of unwanted pets</w:t>
            </w:r>
            <w:r>
              <w:rPr>
                <w:rFonts w:ascii="Times New Roman" w:hAnsi="Times New Roman" w:cs="Times New Roman"/>
                <w:sz w:val="20"/>
                <w:szCs w:val="20"/>
              </w:rPr>
              <w:t xml:space="preserve">. </w:t>
            </w:r>
            <w:r w:rsidRPr="006036FA">
              <w:rPr>
                <w:rFonts w:ascii="Times New Roman" w:hAnsi="Times New Roman" w:cs="Times New Roman"/>
                <w:sz w:val="20"/>
                <w:szCs w:val="20"/>
              </w:rPr>
              <w:t xml:space="preserve"> </w:t>
            </w:r>
            <w:r w:rsidRPr="004D1E6F">
              <w:rPr>
                <w:rFonts w:ascii="Times New Roman" w:eastAsia="Calibri" w:hAnsi="Times New Roman" w:cs="Times New Roman"/>
                <w:sz w:val="20"/>
                <w:szCs w:val="20"/>
              </w:rPr>
              <w:t xml:space="preserve">There are no documented impacts from </w:t>
            </w:r>
            <w:r w:rsidRPr="00EF5726">
              <w:rPr>
                <w:rFonts w:ascii="Times New Roman" w:eastAsia="Calibri" w:hAnsi="Times New Roman" w:cs="Times New Roman"/>
                <w:i/>
                <w:iCs/>
                <w:sz w:val="20"/>
                <w:szCs w:val="20"/>
              </w:rPr>
              <w:t>P. acutus</w:t>
            </w:r>
            <w:r w:rsidRPr="004D1E6F">
              <w:rPr>
                <w:rFonts w:ascii="Times New Roman" w:eastAsia="Calibri" w:hAnsi="Times New Roman" w:cs="Times New Roman"/>
                <w:sz w:val="20"/>
                <w:szCs w:val="20"/>
              </w:rPr>
              <w:t xml:space="preserve">, and potential impacts were inferred from </w:t>
            </w:r>
            <w:r w:rsidRPr="004D1E6F">
              <w:rPr>
                <w:rFonts w:ascii="Times New Roman" w:eastAsia="Calibri" w:hAnsi="Times New Roman" w:cs="Times New Roman"/>
                <w:i/>
                <w:sz w:val="20"/>
                <w:szCs w:val="20"/>
              </w:rPr>
              <w:t>Procambarus clarkii</w:t>
            </w:r>
            <w:r w:rsidRPr="004D1E6F">
              <w:rPr>
                <w:rFonts w:ascii="Times New Roman" w:eastAsia="Calibri" w:hAnsi="Times New Roman" w:cs="Times New Roman"/>
                <w:sz w:val="20"/>
                <w:szCs w:val="20"/>
              </w:rPr>
              <w:t>, a closely-related species</w:t>
            </w:r>
            <w:r>
              <w:rPr>
                <w:rFonts w:ascii="Times New Roman" w:eastAsia="Calibri" w:hAnsi="Times New Roman" w:cs="Times New Roman"/>
                <w:sz w:val="20"/>
                <w:szCs w:val="20"/>
              </w:rPr>
              <w:t xml:space="preserve">. </w:t>
            </w:r>
            <w:r w:rsidRPr="004D1E6F">
              <w:rPr>
                <w:rFonts w:ascii="Times New Roman" w:hAnsi="Times New Roman" w:cs="Times New Roman"/>
                <w:i/>
                <w:iCs/>
                <w:sz w:val="20"/>
                <w:szCs w:val="20"/>
              </w:rPr>
              <w:t>P</w:t>
            </w:r>
            <w:r w:rsidRPr="004D1E6F">
              <w:rPr>
                <w:rFonts w:ascii="Times New Roman" w:hAnsi="Times New Roman" w:cs="Times New Roman"/>
                <w:i/>
                <w:sz w:val="20"/>
                <w:szCs w:val="20"/>
              </w:rPr>
              <w:t>rocambarus</w:t>
            </w:r>
            <w:r w:rsidRPr="004D1E6F">
              <w:rPr>
                <w:rFonts w:ascii="Times New Roman" w:hAnsi="Times New Roman" w:cs="Times New Roman"/>
                <w:i/>
                <w:iCs/>
                <w:sz w:val="20"/>
                <w:szCs w:val="20"/>
              </w:rPr>
              <w:t xml:space="preserve"> clarkii</w:t>
            </w:r>
            <w:r w:rsidRPr="004D1E6F">
              <w:rPr>
                <w:rFonts w:ascii="Times New Roman" w:hAnsi="Times New Roman" w:cs="Times New Roman"/>
                <w:iCs/>
                <w:sz w:val="20"/>
                <w:szCs w:val="20"/>
              </w:rPr>
              <w:t xml:space="preserve"> is </w:t>
            </w:r>
            <w:r w:rsidRPr="004D1E6F">
              <w:rPr>
                <w:rFonts w:ascii="Times New Roman" w:hAnsi="Times New Roman" w:cs="Times New Roman"/>
                <w:sz w:val="20"/>
                <w:szCs w:val="20"/>
              </w:rPr>
              <w:t>a facultative omnivore and an aggressive competitor that often displaces native species in introduced areas through predation, competitive exclusions, and transmission of diseases; has caused habitat alteration through excessive grazing of macrophytes, burrowing activities that increase rates of soil erosion; and has caused physical damage to agricultural infrastructure such as irrigation canals.</w:t>
            </w:r>
            <w:r w:rsidRPr="004D1E6F">
              <w:rPr>
                <w:rFonts w:ascii="Times New Roman" w:hAnsi="Times New Roman" w:cs="Times New Roman"/>
                <w:i/>
                <w:sz w:val="20"/>
                <w:szCs w:val="20"/>
              </w:rPr>
              <w:t xml:space="preserve"> Procambarus clarkii</w:t>
            </w:r>
            <w:r w:rsidRPr="004D1E6F">
              <w:rPr>
                <w:rFonts w:ascii="Times New Roman" w:hAnsi="Times New Roman" w:cs="Times New Roman"/>
                <w:sz w:val="20"/>
                <w:szCs w:val="20"/>
              </w:rPr>
              <w:t xml:space="preserve"> serves as vector for several parasites and diseases, some of which are zoonotic.</w:t>
            </w:r>
          </w:p>
        </w:tc>
        <w:tc>
          <w:tcPr>
            <w:tcW w:w="2024" w:type="dxa"/>
          </w:tcPr>
          <w:p w14:paraId="6FB1EA48"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b/>
                <w:sz w:val="20"/>
                <w:szCs w:val="20"/>
              </w:rPr>
              <w:t>Risk score:</w:t>
            </w:r>
            <w:r w:rsidRPr="004D1E6F">
              <w:rPr>
                <w:rFonts w:ascii="Times New Roman" w:eastAsia="Calibri" w:hAnsi="Times New Roman" w:cs="Times New Roman"/>
                <w:b/>
                <w:sz w:val="20"/>
                <w:szCs w:val="20"/>
              </w:rPr>
              <w:br/>
            </w:r>
          </w:p>
          <w:p w14:paraId="1775C984" w14:textId="77777777" w:rsidR="002D7080" w:rsidRPr="004D1E6F" w:rsidRDefault="002D7080" w:rsidP="002E2C37">
            <w:pPr>
              <w:rPr>
                <w:rFonts w:ascii="Times New Roman" w:eastAsia="Calibri" w:hAnsi="Times New Roman" w:cs="Times New Roman"/>
                <w:sz w:val="20"/>
                <w:szCs w:val="20"/>
              </w:rPr>
            </w:pPr>
          </w:p>
          <w:p w14:paraId="1CC07C16"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sz w:val="20"/>
                <w:szCs w:val="20"/>
              </w:rPr>
              <w:t>Medium</w:t>
            </w:r>
          </w:p>
        </w:tc>
      </w:tr>
      <w:tr w:rsidR="002D7080" w:rsidRPr="004D1E6F" w14:paraId="70CF7AE3" w14:textId="77777777" w:rsidTr="002E2C37">
        <w:trPr>
          <w:trHeight w:val="1551"/>
        </w:trPr>
        <w:tc>
          <w:tcPr>
            <w:tcW w:w="7218" w:type="dxa"/>
            <w:gridSpan w:val="2"/>
          </w:tcPr>
          <w:p w14:paraId="03E89B96"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Management options summary:</w:t>
            </w:r>
          </w:p>
          <w:p w14:paraId="0DA581FE" w14:textId="77777777" w:rsidR="002D7080" w:rsidRPr="004D1E6F" w:rsidRDefault="002D7080" w:rsidP="002E2C37">
            <w:pPr>
              <w:jc w:val="both"/>
              <w:rPr>
                <w:rFonts w:ascii="Times New Roman" w:eastAsia="Calibri" w:hAnsi="Times New Roman" w:cs="Times New Roman"/>
                <w:sz w:val="20"/>
                <w:szCs w:val="20"/>
              </w:rPr>
            </w:pPr>
            <w:r>
              <w:rPr>
                <w:rFonts w:ascii="Times New Roman" w:eastAsia="Calibri" w:hAnsi="Times New Roman" w:cs="Times New Roman"/>
                <w:i/>
                <w:sz w:val="20"/>
                <w:szCs w:val="20"/>
              </w:rPr>
              <w:t>Procambarus acutus</w:t>
            </w:r>
            <w:r w:rsidRPr="004D1E6F">
              <w:rPr>
                <w:rFonts w:ascii="Times New Roman" w:hAnsi="Times New Roman" w:cs="Times New Roman"/>
                <w:sz w:val="20"/>
                <w:szCs w:val="20"/>
              </w:rPr>
              <w:t xml:space="preserve"> is</w:t>
            </w:r>
            <w:r w:rsidRPr="004D1E6F">
              <w:rPr>
                <w:rFonts w:ascii="Times New Roman" w:hAnsi="Times New Roman" w:cs="Times New Roman"/>
                <w:i/>
                <w:iCs/>
                <w:sz w:val="20"/>
                <w:szCs w:val="20"/>
              </w:rPr>
              <w:t xml:space="preserve"> </w:t>
            </w:r>
            <w:r w:rsidRPr="004D1E6F">
              <w:rPr>
                <w:rFonts w:ascii="Times New Roman" w:hAnsi="Times New Roman" w:cs="Times New Roman"/>
                <w:bCs/>
                <w:iCs/>
                <w:sz w:val="20"/>
                <w:szCs w:val="20"/>
              </w:rPr>
              <w:t xml:space="preserve">a small, largely nocturnal, burrowing freshwater species that is difficult to detect. Several </w:t>
            </w:r>
            <w:r w:rsidRPr="004D1E6F">
              <w:rPr>
                <w:rFonts w:ascii="Times New Roman" w:eastAsia="Times New Roman" w:hAnsi="Times New Roman" w:cs="Times New Roman"/>
                <w:sz w:val="20"/>
                <w:szCs w:val="20"/>
                <w:lang w:eastAsia="en-ZA"/>
              </w:rPr>
              <w:t xml:space="preserve">methods </w:t>
            </w:r>
            <w:r>
              <w:rPr>
                <w:rFonts w:ascii="Times New Roman" w:eastAsia="Times New Roman" w:hAnsi="Times New Roman" w:cs="Times New Roman"/>
                <w:sz w:val="20"/>
                <w:szCs w:val="20"/>
                <w:lang w:eastAsia="en-ZA"/>
              </w:rPr>
              <w:t xml:space="preserve">can be used </w:t>
            </w:r>
            <w:r w:rsidRPr="004D1E6F">
              <w:rPr>
                <w:rFonts w:ascii="Times New Roman" w:eastAsia="Times New Roman" w:hAnsi="Times New Roman" w:cs="Times New Roman"/>
                <w:sz w:val="20"/>
                <w:szCs w:val="20"/>
                <w:lang w:eastAsia="en-ZA"/>
              </w:rPr>
              <w:t xml:space="preserve">to control alien populations of </w:t>
            </w:r>
            <w:r>
              <w:rPr>
                <w:rFonts w:ascii="Times New Roman" w:eastAsia="Calibri" w:hAnsi="Times New Roman" w:cs="Times New Roman"/>
                <w:i/>
                <w:sz w:val="20"/>
                <w:szCs w:val="20"/>
              </w:rPr>
              <w:t>P. acutus</w:t>
            </w:r>
            <w:r w:rsidRPr="004D1E6F">
              <w:rPr>
                <w:rFonts w:ascii="Times New Roman" w:hAnsi="Times New Roman" w:cs="Times New Roman"/>
                <w:sz w:val="20"/>
                <w:szCs w:val="20"/>
              </w:rPr>
              <w:t xml:space="preserve"> </w:t>
            </w:r>
            <w:r w:rsidRPr="004D1E6F">
              <w:rPr>
                <w:rFonts w:ascii="Times New Roman" w:eastAsia="Times New Roman" w:hAnsi="Times New Roman" w:cs="Times New Roman"/>
                <w:sz w:val="20"/>
                <w:szCs w:val="20"/>
                <w:lang w:eastAsia="en-ZA"/>
              </w:rPr>
              <w:t xml:space="preserve">and these include mechanical removal using traps and electrofishing, biocides, and biological control. However, there are several issues that make the use of these methods challenging. </w:t>
            </w:r>
            <w:r w:rsidRPr="004D1E6F">
              <w:rPr>
                <w:rFonts w:ascii="Times New Roman" w:hAnsi="Times New Roman" w:cs="Times New Roman"/>
                <w:sz w:val="20"/>
                <w:szCs w:val="20"/>
              </w:rPr>
              <w:t xml:space="preserve">The benefits of </w:t>
            </w:r>
            <w:r w:rsidRPr="004D1E6F">
              <w:rPr>
                <w:rFonts w:ascii="Times New Roman" w:eastAsia="Calibri" w:hAnsi="Times New Roman" w:cs="Times New Roman"/>
                <w:i/>
                <w:sz w:val="20"/>
                <w:szCs w:val="20"/>
              </w:rPr>
              <w:t>P</w:t>
            </w:r>
            <w:r>
              <w:rPr>
                <w:rFonts w:ascii="Times New Roman" w:eastAsia="Calibri" w:hAnsi="Times New Roman" w:cs="Times New Roman"/>
                <w:i/>
                <w:sz w:val="20"/>
                <w:szCs w:val="20"/>
              </w:rPr>
              <w:t>. acutus</w:t>
            </w:r>
            <w:r w:rsidRPr="004D1E6F">
              <w:rPr>
                <w:rFonts w:ascii="Times New Roman" w:eastAsia="Times New Roman" w:hAnsi="Times New Roman" w:cs="Times New Roman"/>
                <w:sz w:val="20"/>
                <w:szCs w:val="20"/>
                <w:lang w:eastAsia="en-ZA"/>
              </w:rPr>
              <w:t xml:space="preserve"> were scored as low</w:t>
            </w:r>
            <w:r w:rsidRPr="004D1E6F">
              <w:rPr>
                <w:rFonts w:ascii="Times New Roman" w:hAnsi="Times New Roman" w:cs="Times New Roman"/>
                <w:sz w:val="20"/>
                <w:szCs w:val="20"/>
              </w:rPr>
              <w:t>.</w:t>
            </w:r>
            <w:r w:rsidRPr="004D1E6F">
              <w:rPr>
                <w:rFonts w:ascii="Times New Roman" w:eastAsia="Calibri" w:hAnsi="Times New Roman" w:cs="Times New Roman"/>
                <w:sz w:val="20"/>
                <w:szCs w:val="20"/>
              </w:rPr>
              <w:t xml:space="preserve">  </w:t>
            </w:r>
          </w:p>
        </w:tc>
        <w:tc>
          <w:tcPr>
            <w:tcW w:w="2024" w:type="dxa"/>
          </w:tcPr>
          <w:p w14:paraId="21789F1A"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Ease of management:</w:t>
            </w:r>
          </w:p>
          <w:p w14:paraId="2B7C7A45" w14:textId="77777777" w:rsidR="002D7080" w:rsidRPr="004D1E6F" w:rsidRDefault="002D7080" w:rsidP="002E2C37">
            <w:pPr>
              <w:rPr>
                <w:rFonts w:ascii="Times New Roman" w:eastAsia="Calibri" w:hAnsi="Times New Roman" w:cs="Times New Roman"/>
                <w:b/>
                <w:sz w:val="20"/>
                <w:szCs w:val="20"/>
              </w:rPr>
            </w:pPr>
          </w:p>
          <w:p w14:paraId="616B6A07"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b/>
                <w:color w:val="FF0000"/>
                <w:sz w:val="20"/>
                <w:szCs w:val="20"/>
              </w:rPr>
              <w:t xml:space="preserve"> </w:t>
            </w:r>
            <w:r>
              <w:rPr>
                <w:rFonts w:ascii="Times New Roman" w:eastAsia="Calibri" w:hAnsi="Times New Roman" w:cs="Times New Roman"/>
                <w:sz w:val="20"/>
                <w:szCs w:val="20"/>
              </w:rPr>
              <w:t xml:space="preserve">Medium </w:t>
            </w:r>
          </w:p>
        </w:tc>
      </w:tr>
      <w:tr w:rsidR="002D7080" w:rsidRPr="004D1E6F" w14:paraId="4F74177C" w14:textId="77777777" w:rsidTr="002E2C37">
        <w:trPr>
          <w:trHeight w:val="960"/>
        </w:trPr>
        <w:tc>
          <w:tcPr>
            <w:tcW w:w="7218" w:type="dxa"/>
            <w:gridSpan w:val="2"/>
            <w:vMerge w:val="restart"/>
          </w:tcPr>
          <w:p w14:paraId="62AA4954"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Recommendations:</w:t>
            </w:r>
          </w:p>
          <w:p w14:paraId="39CC06E3" w14:textId="77777777" w:rsidR="002D7080" w:rsidRPr="008B6B94" w:rsidRDefault="002D7080" w:rsidP="002E2C37">
            <w:pPr>
              <w:spacing w:after="160" w:line="259" w:lineRule="auto"/>
              <w:jc w:val="both"/>
              <w:rPr>
                <w:rFonts w:ascii="Times New Roman" w:eastAsia="Calibri" w:hAnsi="Times New Roman" w:cs="Times New Roman"/>
                <w:sz w:val="20"/>
                <w:szCs w:val="20"/>
              </w:rPr>
            </w:pPr>
            <w:r>
              <w:rPr>
                <w:rFonts w:ascii="Times New Roman" w:eastAsia="Calibri" w:hAnsi="Times New Roman" w:cs="Times New Roman"/>
                <w:i/>
                <w:sz w:val="20"/>
                <w:szCs w:val="20"/>
              </w:rPr>
              <w:t>Procambarus acutus</w:t>
            </w:r>
            <w:r w:rsidRPr="004D1E6F">
              <w:rPr>
                <w:rFonts w:ascii="Times New Roman" w:hAnsi="Times New Roman" w:cs="Times New Roman"/>
                <w:sz w:val="20"/>
                <w:szCs w:val="20"/>
              </w:rPr>
              <w:t xml:space="preserve"> </w:t>
            </w:r>
            <w:r w:rsidRPr="008B6B94">
              <w:rPr>
                <w:rFonts w:ascii="Times New Roman" w:eastAsia="Calibri" w:hAnsi="Times New Roman" w:cs="Times New Roman"/>
                <w:sz w:val="20"/>
                <w:szCs w:val="20"/>
              </w:rPr>
              <w:t xml:space="preserve">poses a </w:t>
            </w:r>
            <w:r>
              <w:rPr>
                <w:rFonts w:ascii="Times New Roman" w:eastAsia="Calibri" w:hAnsi="Times New Roman" w:cs="Times New Roman"/>
                <w:sz w:val="20"/>
                <w:szCs w:val="20"/>
              </w:rPr>
              <w:t>medium</w:t>
            </w:r>
            <w:r w:rsidRPr="008B6B94">
              <w:rPr>
                <w:rFonts w:ascii="Times New Roman" w:eastAsia="Calibri" w:hAnsi="Times New Roman" w:cs="Times New Roman"/>
                <w:sz w:val="20"/>
                <w:szCs w:val="20"/>
              </w:rPr>
              <w:t xml:space="preserve"> risk to South Africa. If </w:t>
            </w:r>
            <w:r>
              <w:rPr>
                <w:rFonts w:ascii="Times New Roman" w:eastAsia="Calibri" w:hAnsi="Times New Roman" w:cs="Times New Roman"/>
                <w:i/>
                <w:sz w:val="20"/>
                <w:szCs w:val="20"/>
              </w:rPr>
              <w:t>P. acutus</w:t>
            </w:r>
            <w:r w:rsidRPr="004D1E6F">
              <w:rPr>
                <w:rFonts w:ascii="Times New Roman" w:hAnsi="Times New Roman" w:cs="Times New Roman"/>
                <w:sz w:val="20"/>
                <w:szCs w:val="20"/>
              </w:rPr>
              <w:t xml:space="preserve"> </w:t>
            </w:r>
            <w:r w:rsidRPr="008B6B94">
              <w:rPr>
                <w:rFonts w:ascii="Times New Roman" w:eastAsia="Calibri" w:hAnsi="Times New Roman" w:cs="Times New Roman"/>
                <w:sz w:val="20"/>
                <w:szCs w:val="20"/>
              </w:rPr>
              <w:t>were to establish outside of captivity,</w:t>
            </w:r>
            <w:r w:rsidRPr="008B6B94">
              <w:rPr>
                <w:rFonts w:ascii="Times New Roman" w:eastAsia="Calibri" w:hAnsi="Times New Roman" w:cs="Times New Roman"/>
                <w:iCs/>
                <w:sz w:val="20"/>
                <w:szCs w:val="20"/>
              </w:rPr>
              <w:t xml:space="preserve"> </w:t>
            </w:r>
            <w:r w:rsidRPr="008B6B94">
              <w:rPr>
                <w:rFonts w:ascii="Times New Roman" w:eastAsia="Times New Roman" w:hAnsi="Times New Roman" w:cs="Times New Roman"/>
                <w:iCs/>
                <w:sz w:val="20"/>
                <w:szCs w:val="20"/>
                <w:lang w:eastAsia="en-ZA"/>
              </w:rPr>
              <w:t xml:space="preserve">such populations </w:t>
            </w:r>
            <w:r w:rsidRPr="008B6B94">
              <w:rPr>
                <w:rFonts w:ascii="Times New Roman" w:eastAsia="Calibri" w:hAnsi="Times New Roman" w:cs="Times New Roman"/>
                <w:sz w:val="20"/>
                <w:szCs w:val="20"/>
              </w:rPr>
              <w:t xml:space="preserve">would likely be difficult to extirpate. </w:t>
            </w:r>
          </w:p>
          <w:p w14:paraId="63311777" w14:textId="77777777" w:rsidR="002D7080" w:rsidRPr="004D1E6F" w:rsidRDefault="002D7080" w:rsidP="002E2C37">
            <w:pPr>
              <w:jc w:val="both"/>
              <w:rPr>
                <w:rFonts w:ascii="Times New Roman" w:eastAsia="Calibri" w:hAnsi="Times New Roman" w:cs="Times New Roman"/>
                <w:sz w:val="20"/>
                <w:szCs w:val="20"/>
              </w:rPr>
            </w:pPr>
            <w:r>
              <w:rPr>
                <w:rFonts w:ascii="Times New Roman" w:eastAsia="Calibri" w:hAnsi="Times New Roman" w:cs="Times New Roman"/>
                <w:i/>
                <w:sz w:val="20"/>
                <w:szCs w:val="20"/>
              </w:rPr>
              <w:lastRenderedPageBreak/>
              <w:t>Procambarus acutus</w:t>
            </w:r>
            <w:r w:rsidRPr="004D1E6F">
              <w:rPr>
                <w:rFonts w:ascii="Times New Roman" w:hAnsi="Times New Roman" w:cs="Times New Roman"/>
                <w:sz w:val="20"/>
                <w:szCs w:val="20"/>
              </w:rPr>
              <w:t xml:space="preserve"> </w:t>
            </w:r>
            <w:r w:rsidRPr="008B6B94">
              <w:rPr>
                <w:rFonts w:ascii="Times New Roman" w:hAnsi="Times New Roman" w:cs="Times New Roman"/>
                <w:sz w:val="20"/>
                <w:szCs w:val="20"/>
              </w:rPr>
              <w:t>is recommended to be added to a future prohibited species list</w:t>
            </w:r>
            <w:r w:rsidRPr="008B6B94">
              <w:rPr>
                <w:rFonts w:ascii="Times New Roman" w:eastAsia="Times New Roman" w:hAnsi="Times New Roman" w:cs="Times New Roman"/>
                <w:iCs/>
                <w:sz w:val="20"/>
                <w:szCs w:val="20"/>
                <w:lang w:eastAsia="en-ZA"/>
              </w:rPr>
              <w:t xml:space="preserve">, active efforts made to confirm that the species is absent in the country, and that any individuals found are controlled. This would likely require </w:t>
            </w:r>
            <w:r w:rsidRPr="008B6B94">
              <w:rPr>
                <w:rFonts w:ascii="Times New Roman" w:eastAsia="Times New Roman" w:hAnsi="Times New Roman" w:cs="Times New Roman"/>
                <w:sz w:val="20"/>
                <w:szCs w:val="20"/>
                <w:lang w:eastAsia="en-ZA"/>
              </w:rPr>
              <w:t>a dedicated assessment of the ornamental t</w:t>
            </w:r>
            <w:r w:rsidRPr="008B6B94">
              <w:rPr>
                <w:rFonts w:ascii="Times New Roman" w:eastAsia="Calibri" w:hAnsi="Times New Roman" w:cs="Times New Roman"/>
                <w:sz w:val="20"/>
                <w:szCs w:val="20"/>
              </w:rPr>
              <w:t xml:space="preserve">rade. A reassessment in five years is thus required and, if present in the country, </w:t>
            </w:r>
            <w:r>
              <w:rPr>
                <w:rFonts w:ascii="Times New Roman" w:eastAsia="Calibri" w:hAnsi="Times New Roman" w:cs="Times New Roman"/>
                <w:i/>
                <w:sz w:val="20"/>
                <w:szCs w:val="20"/>
              </w:rPr>
              <w:t>Procambarus acutus</w:t>
            </w:r>
            <w:r w:rsidRPr="004D1E6F">
              <w:rPr>
                <w:rFonts w:ascii="Times New Roman" w:hAnsi="Times New Roman" w:cs="Times New Roman"/>
                <w:sz w:val="20"/>
                <w:szCs w:val="20"/>
              </w:rPr>
              <w:t xml:space="preserve"> </w:t>
            </w:r>
            <w:r w:rsidRPr="008B6B94">
              <w:rPr>
                <w:rFonts w:ascii="Times New Roman" w:eastAsia="Times New Roman" w:hAnsi="Times New Roman" w:cs="Times New Roman"/>
                <w:iCs/>
                <w:sz w:val="20"/>
                <w:szCs w:val="20"/>
                <w:lang w:eastAsia="en-ZA"/>
              </w:rPr>
              <w:t>should be listed under category 1a</w:t>
            </w:r>
            <w:r w:rsidRPr="008B6B94">
              <w:rPr>
                <w:rFonts w:ascii="Times New Roman" w:eastAsia="Calibri" w:hAnsi="Times New Roman" w:cs="Times New Roman"/>
                <w:iCs/>
                <w:sz w:val="20"/>
                <w:szCs w:val="20"/>
              </w:rPr>
              <w:t>.</w:t>
            </w:r>
          </w:p>
        </w:tc>
        <w:tc>
          <w:tcPr>
            <w:tcW w:w="2024" w:type="dxa"/>
          </w:tcPr>
          <w:p w14:paraId="6D5E2ABC" w14:textId="77777777" w:rsidR="002D7080" w:rsidRPr="008B6B94" w:rsidRDefault="002D7080" w:rsidP="002E2C37">
            <w:pPr>
              <w:rPr>
                <w:rFonts w:ascii="Times New Roman" w:hAnsi="Times New Roman" w:cs="Times New Roman"/>
                <w:b/>
                <w:sz w:val="20"/>
                <w:szCs w:val="20"/>
              </w:rPr>
            </w:pPr>
            <w:r w:rsidRPr="008B6B94">
              <w:rPr>
                <w:rFonts w:ascii="Times New Roman" w:hAnsi="Times New Roman" w:cs="Times New Roman"/>
                <w:b/>
                <w:sz w:val="20"/>
                <w:szCs w:val="20"/>
              </w:rPr>
              <w:lastRenderedPageBreak/>
              <w:t>Listing under NEM:BA A&amp;IS lists of 2020:</w:t>
            </w:r>
          </w:p>
          <w:p w14:paraId="509A6DD3" w14:textId="77777777" w:rsidR="002D7080" w:rsidRPr="004D1E6F" w:rsidRDefault="002D7080" w:rsidP="002E2C37">
            <w:pPr>
              <w:rPr>
                <w:rFonts w:ascii="Times New Roman" w:eastAsia="Calibri" w:hAnsi="Times New Roman" w:cs="Times New Roman"/>
                <w:sz w:val="20"/>
                <w:szCs w:val="20"/>
              </w:rPr>
            </w:pPr>
            <w:r w:rsidRPr="008B6B94">
              <w:rPr>
                <w:rFonts w:ascii="Times New Roman" w:eastAsia="Calibri" w:hAnsi="Times New Roman" w:cs="Times New Roman"/>
                <w:sz w:val="20"/>
                <w:szCs w:val="20"/>
              </w:rPr>
              <w:t xml:space="preserve">Not listed </w:t>
            </w:r>
          </w:p>
        </w:tc>
      </w:tr>
      <w:tr w:rsidR="002D7080" w:rsidRPr="004D1E6F" w14:paraId="2A41973F" w14:textId="77777777" w:rsidTr="002E2C37">
        <w:trPr>
          <w:trHeight w:val="842"/>
        </w:trPr>
        <w:tc>
          <w:tcPr>
            <w:tcW w:w="7218" w:type="dxa"/>
            <w:gridSpan w:val="2"/>
            <w:vMerge/>
          </w:tcPr>
          <w:p w14:paraId="33B5D61A" w14:textId="77777777" w:rsidR="002D7080" w:rsidRPr="004D1E6F" w:rsidRDefault="002D7080" w:rsidP="002E2C37">
            <w:pPr>
              <w:rPr>
                <w:rFonts w:ascii="Times New Roman" w:eastAsia="Calibri" w:hAnsi="Times New Roman" w:cs="Times New Roman"/>
                <w:b/>
                <w:sz w:val="20"/>
                <w:szCs w:val="20"/>
              </w:rPr>
            </w:pPr>
          </w:p>
        </w:tc>
        <w:tc>
          <w:tcPr>
            <w:tcW w:w="2024" w:type="dxa"/>
          </w:tcPr>
          <w:p w14:paraId="61E3660E" w14:textId="77777777" w:rsidR="002D7080" w:rsidRPr="008B6B94" w:rsidRDefault="002D7080" w:rsidP="002E2C37">
            <w:pPr>
              <w:rPr>
                <w:rFonts w:ascii="Times New Roman" w:hAnsi="Times New Roman" w:cs="Times New Roman"/>
                <w:b/>
                <w:sz w:val="20"/>
                <w:szCs w:val="20"/>
              </w:rPr>
            </w:pPr>
            <w:r w:rsidRPr="008B6B94">
              <w:rPr>
                <w:rFonts w:ascii="Times New Roman" w:hAnsi="Times New Roman" w:cs="Times New Roman"/>
                <w:b/>
                <w:sz w:val="20"/>
                <w:szCs w:val="20"/>
              </w:rPr>
              <w:t xml:space="preserve">Recommended listing category: </w:t>
            </w:r>
          </w:p>
          <w:p w14:paraId="6BCF1348" w14:textId="77777777" w:rsidR="002D7080" w:rsidRPr="008B6B94" w:rsidRDefault="002D7080" w:rsidP="002E2C37">
            <w:pPr>
              <w:rPr>
                <w:rFonts w:ascii="Times New Roman" w:hAnsi="Times New Roman" w:cs="Times New Roman"/>
                <w:sz w:val="20"/>
                <w:szCs w:val="20"/>
              </w:rPr>
            </w:pPr>
            <w:r w:rsidRPr="008B6B94">
              <w:rPr>
                <w:rFonts w:ascii="Times New Roman" w:hAnsi="Times New Roman" w:cs="Times New Roman"/>
                <w:sz w:val="20"/>
                <w:szCs w:val="20"/>
              </w:rPr>
              <w:t>Prohibited list</w:t>
            </w:r>
            <w:r w:rsidRPr="008B6B94">
              <w:rPr>
                <w:rStyle w:val="FootnoteReference"/>
                <w:rFonts w:ascii="Times New Roman" w:hAnsi="Times New Roman" w:cs="Times New Roman"/>
              </w:rPr>
              <w:footnoteReference w:id="12"/>
            </w:r>
          </w:p>
          <w:p w14:paraId="02239617" w14:textId="77777777" w:rsidR="002D7080" w:rsidRPr="004D1E6F" w:rsidRDefault="002D7080" w:rsidP="002E2C37">
            <w:pPr>
              <w:rPr>
                <w:rFonts w:ascii="Times New Roman" w:eastAsia="Calibri" w:hAnsi="Times New Roman" w:cs="Times New Roman"/>
                <w:sz w:val="20"/>
                <w:szCs w:val="20"/>
              </w:rPr>
            </w:pPr>
          </w:p>
        </w:tc>
      </w:tr>
    </w:tbl>
    <w:p w14:paraId="353644AD" w14:textId="1155C146" w:rsidR="004D419F" w:rsidRDefault="004D419F" w:rsidP="002D7080">
      <w:pPr>
        <w:spacing w:after="160" w:line="259" w:lineRule="auto"/>
        <w:rPr>
          <w:rFonts w:ascii="Times New Roman" w:eastAsia="Calibri" w:hAnsi="Times New Roman" w:cs="Times New Roman"/>
          <w:sz w:val="20"/>
          <w:szCs w:val="20"/>
        </w:rPr>
      </w:pPr>
    </w:p>
    <w:p w14:paraId="21E45BB2" w14:textId="77777777" w:rsidR="004D419F" w:rsidRDefault="004D419F">
      <w:pPr>
        <w:spacing w:after="160" w:line="259" w:lineRule="auto"/>
        <w:rPr>
          <w:rFonts w:ascii="Times New Roman" w:eastAsia="Calibri" w:hAnsi="Times New Roman" w:cs="Times New Roman"/>
          <w:sz w:val="20"/>
          <w:szCs w:val="20"/>
        </w:rPr>
      </w:pPr>
      <w:r>
        <w:rPr>
          <w:rFonts w:ascii="Times New Roman" w:eastAsia="Calibri" w:hAnsi="Times New Roman" w:cs="Times New Roman"/>
          <w:sz w:val="20"/>
          <w:szCs w:val="20"/>
        </w:rPr>
        <w:br w:type="page"/>
      </w:r>
    </w:p>
    <w:p w14:paraId="743E33CA" w14:textId="77777777" w:rsidR="004D419F" w:rsidRPr="004D419F" w:rsidRDefault="004D419F" w:rsidP="002D7080">
      <w:pPr>
        <w:spacing w:after="160" w:line="259" w:lineRule="auto"/>
        <w:rPr>
          <w:rFonts w:ascii="Times New Roman" w:eastAsia="Calibri" w:hAnsi="Times New Roman" w:cs="Times New Roman"/>
          <w:sz w:val="20"/>
          <w:szCs w:val="20"/>
        </w:rPr>
      </w:pPr>
    </w:p>
    <w:p w14:paraId="2A516CD8"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1. Background</w:t>
      </w:r>
    </w:p>
    <w:p w14:paraId="10C9622E"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W w:w="8790" w:type="dxa"/>
        <w:tblInd w:w="108" w:type="dxa"/>
        <w:tblLook w:val="04A0" w:firstRow="1" w:lastRow="0" w:firstColumn="1" w:lastColumn="0" w:noHBand="0" w:noVBand="1"/>
      </w:tblPr>
      <w:tblGrid>
        <w:gridCol w:w="2520"/>
        <w:gridCol w:w="1440"/>
        <w:gridCol w:w="2164"/>
        <w:gridCol w:w="2666"/>
      </w:tblGrid>
      <w:tr w:rsidR="002D7080" w:rsidRPr="004D1E6F" w14:paraId="5240185C" w14:textId="77777777" w:rsidTr="002E2C37">
        <w:trPr>
          <w:cantSplit/>
          <w:trHeight w:val="358"/>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18C82BAC"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BAC1 Name of assessor(s)</w:t>
            </w:r>
          </w:p>
        </w:tc>
      </w:tr>
      <w:tr w:rsidR="002D7080" w:rsidRPr="004D1E6F" w14:paraId="054D66DD" w14:textId="77777777" w:rsidTr="002E2C37">
        <w:trPr>
          <w:cantSplit/>
          <w:trHeight w:val="251"/>
        </w:trPr>
        <w:tc>
          <w:tcPr>
            <w:tcW w:w="2520" w:type="dxa"/>
            <w:tcBorders>
              <w:top w:val="nil"/>
              <w:left w:val="single" w:sz="4" w:space="0" w:color="auto"/>
              <w:bottom w:val="single" w:sz="4" w:space="0" w:color="auto"/>
              <w:right w:val="single" w:sz="4" w:space="0" w:color="auto"/>
            </w:tcBorders>
            <w:noWrap/>
          </w:tcPr>
          <w:p w14:paraId="7FF36812"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Name of lead assessor</w:t>
            </w:r>
          </w:p>
        </w:tc>
        <w:tc>
          <w:tcPr>
            <w:tcW w:w="6270" w:type="dxa"/>
            <w:gridSpan w:val="3"/>
            <w:tcBorders>
              <w:top w:val="nil"/>
              <w:left w:val="single" w:sz="4" w:space="0" w:color="auto"/>
              <w:bottom w:val="single" w:sz="4" w:space="0" w:color="auto"/>
              <w:right w:val="single" w:sz="4" w:space="0" w:color="auto"/>
            </w:tcBorders>
          </w:tcPr>
          <w:p w14:paraId="37EC74E6" w14:textId="77777777" w:rsidR="002D7080" w:rsidRPr="00912088" w:rsidRDefault="002D7080" w:rsidP="002E2C37">
            <w:pPr>
              <w:spacing w:after="0" w:line="240" w:lineRule="auto"/>
              <w:rPr>
                <w:rFonts w:ascii="Times New Roman" w:eastAsia="Times New Roman" w:hAnsi="Times New Roman" w:cs="Times New Roman"/>
                <w:bCs/>
                <w:color w:val="000000"/>
                <w:sz w:val="20"/>
                <w:szCs w:val="20"/>
                <w:lang w:eastAsia="en-ZA"/>
              </w:rPr>
            </w:pPr>
            <w:r w:rsidRPr="00912088">
              <w:rPr>
                <w:rFonts w:ascii="Times New Roman" w:eastAsia="Times New Roman" w:hAnsi="Times New Roman" w:cs="Times New Roman"/>
                <w:bCs/>
                <w:color w:val="000000"/>
                <w:sz w:val="20"/>
                <w:szCs w:val="20"/>
                <w:lang w:eastAsia="en-ZA"/>
              </w:rPr>
              <w:t>Lee-Anne Botha</w:t>
            </w:r>
          </w:p>
        </w:tc>
      </w:tr>
      <w:tr w:rsidR="002D7080" w:rsidRPr="004D1E6F" w14:paraId="72D1A73C" w14:textId="77777777" w:rsidTr="002E2C37">
        <w:trPr>
          <w:cantSplit/>
          <w:trHeight w:val="152"/>
        </w:trPr>
        <w:tc>
          <w:tcPr>
            <w:tcW w:w="2520" w:type="dxa"/>
            <w:tcBorders>
              <w:top w:val="nil"/>
              <w:left w:val="single" w:sz="4" w:space="0" w:color="auto"/>
              <w:bottom w:val="single" w:sz="4" w:space="0" w:color="auto"/>
              <w:right w:val="single" w:sz="4" w:space="0" w:color="auto"/>
            </w:tcBorders>
            <w:shd w:val="clear" w:color="auto" w:fill="F2F2F2" w:themeFill="background1" w:themeFillShade="F2"/>
            <w:noWrap/>
          </w:tcPr>
          <w:p w14:paraId="056FCE75"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(1)</w:t>
            </w:r>
          </w:p>
        </w:tc>
        <w:tc>
          <w:tcPr>
            <w:tcW w:w="6270" w:type="dxa"/>
            <w:gridSpan w:val="3"/>
            <w:tcBorders>
              <w:top w:val="nil"/>
              <w:left w:val="single" w:sz="4" w:space="0" w:color="auto"/>
              <w:bottom w:val="single" w:sz="4" w:space="0" w:color="auto"/>
              <w:right w:val="single" w:sz="4" w:space="0" w:color="auto"/>
            </w:tcBorders>
          </w:tcPr>
          <w:p w14:paraId="2D500B63"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Tsungai Zengeya </w:t>
            </w:r>
          </w:p>
        </w:tc>
      </w:tr>
      <w:tr w:rsidR="002D7080" w:rsidRPr="004D1E6F" w14:paraId="5387D117" w14:textId="77777777" w:rsidTr="002E2C37">
        <w:trPr>
          <w:cantSplit/>
          <w:trHeight w:val="287"/>
        </w:trPr>
        <w:tc>
          <w:tcPr>
            <w:tcW w:w="2520" w:type="dxa"/>
            <w:tcBorders>
              <w:top w:val="nil"/>
              <w:left w:val="single" w:sz="4" w:space="0" w:color="auto"/>
              <w:bottom w:val="single" w:sz="4" w:space="0" w:color="auto"/>
              <w:right w:val="single" w:sz="4" w:space="0" w:color="auto"/>
            </w:tcBorders>
            <w:shd w:val="clear" w:color="auto" w:fill="F2F2F2" w:themeFill="background1" w:themeFillShade="F2"/>
            <w:noWrap/>
          </w:tcPr>
          <w:p w14:paraId="70099391"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(2)</w:t>
            </w:r>
          </w:p>
        </w:tc>
        <w:tc>
          <w:tcPr>
            <w:tcW w:w="6270" w:type="dxa"/>
            <w:gridSpan w:val="3"/>
            <w:tcBorders>
              <w:top w:val="nil"/>
              <w:left w:val="single" w:sz="4" w:space="0" w:color="auto"/>
              <w:bottom w:val="single" w:sz="4" w:space="0" w:color="auto"/>
              <w:right w:val="single" w:sz="4" w:space="0" w:color="auto"/>
            </w:tcBorders>
          </w:tcPr>
          <w:p w14:paraId="3A6F1BBC"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Christian Chimimba </w:t>
            </w:r>
          </w:p>
        </w:tc>
      </w:tr>
      <w:tr w:rsidR="002D7080" w:rsidRPr="004D1E6F" w14:paraId="25186643" w14:textId="77777777" w:rsidTr="002E2C37">
        <w:trPr>
          <w:cantSplit/>
          <w:trHeight w:val="170"/>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1C6D385F"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BAC2 Contact details of assessor (s)</w:t>
            </w:r>
          </w:p>
        </w:tc>
      </w:tr>
      <w:tr w:rsidR="002D7080" w:rsidRPr="004D1E6F" w14:paraId="6DD9DD75" w14:textId="77777777" w:rsidTr="002E2C37">
        <w:trPr>
          <w:cantSplit/>
          <w:trHeight w:val="70"/>
        </w:trPr>
        <w:tc>
          <w:tcPr>
            <w:tcW w:w="2520" w:type="dxa"/>
            <w:vMerge w:val="restart"/>
            <w:tcBorders>
              <w:top w:val="nil"/>
              <w:left w:val="single" w:sz="4" w:space="0" w:color="auto"/>
              <w:right w:val="single" w:sz="4" w:space="0" w:color="auto"/>
            </w:tcBorders>
            <w:shd w:val="clear" w:color="auto" w:fill="F2F2F2" w:themeFill="background1" w:themeFillShade="F2"/>
            <w:noWrap/>
            <w:hideMark/>
          </w:tcPr>
          <w:p w14:paraId="3417D256"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Lead assessor</w:t>
            </w:r>
          </w:p>
        </w:tc>
        <w:tc>
          <w:tcPr>
            <w:tcW w:w="6270" w:type="dxa"/>
            <w:gridSpan w:val="3"/>
            <w:tcBorders>
              <w:top w:val="nil"/>
              <w:left w:val="nil"/>
              <w:bottom w:val="single" w:sz="4" w:space="0" w:color="auto"/>
              <w:right w:val="single" w:sz="4" w:space="0" w:color="auto"/>
            </w:tcBorders>
          </w:tcPr>
          <w:p w14:paraId="10ECF759"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Organisational affiliation: Department of Zoology and Entomology, University of Pretoria and The South African National Biodiversity Institute (SANBI).</w:t>
            </w:r>
          </w:p>
        </w:tc>
      </w:tr>
      <w:tr w:rsidR="002D7080" w:rsidRPr="004D1E6F" w14:paraId="44E2BE39" w14:textId="77777777" w:rsidTr="002E2C37">
        <w:trPr>
          <w:cantSplit/>
          <w:trHeight w:val="70"/>
        </w:trPr>
        <w:tc>
          <w:tcPr>
            <w:tcW w:w="2520" w:type="dxa"/>
            <w:vMerge/>
            <w:tcBorders>
              <w:left w:val="single" w:sz="4" w:space="0" w:color="auto"/>
              <w:right w:val="single" w:sz="4" w:space="0" w:color="auto"/>
            </w:tcBorders>
            <w:shd w:val="clear" w:color="auto" w:fill="F2F2F2" w:themeFill="background1" w:themeFillShade="F2"/>
            <w:noWrap/>
          </w:tcPr>
          <w:p w14:paraId="5A11C052" w14:textId="77777777" w:rsidR="002D7080" w:rsidRPr="004D1E6F" w:rsidRDefault="002D7080" w:rsidP="002E2C37">
            <w:pPr>
              <w:spacing w:after="0" w:line="240" w:lineRule="auto"/>
              <w:jc w:val="both"/>
              <w:rPr>
                <w:rFonts w:ascii="Times New Roman" w:hAnsi="Times New Roman" w:cs="Times New Roman"/>
                <w:bCs/>
                <w:iCs/>
                <w:sz w:val="20"/>
                <w:szCs w:val="20"/>
              </w:rPr>
            </w:pPr>
          </w:p>
        </w:tc>
        <w:tc>
          <w:tcPr>
            <w:tcW w:w="6270" w:type="dxa"/>
            <w:gridSpan w:val="3"/>
            <w:tcBorders>
              <w:top w:val="nil"/>
              <w:left w:val="nil"/>
              <w:bottom w:val="single" w:sz="4" w:space="0" w:color="auto"/>
              <w:right w:val="single" w:sz="4" w:space="0" w:color="auto"/>
            </w:tcBorders>
          </w:tcPr>
          <w:p w14:paraId="760BFC80"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email: </w:t>
            </w:r>
            <w:r w:rsidRPr="004D1E6F">
              <w:rPr>
                <w:rFonts w:ascii="Times New Roman" w:eastAsia="Times New Roman" w:hAnsi="Times New Roman" w:cs="Times New Roman"/>
                <w:color w:val="000000"/>
                <w:sz w:val="20"/>
                <w:szCs w:val="20"/>
                <w:lang w:eastAsia="en-ZA"/>
              </w:rPr>
              <w:t>leeannebth782@gmail.com</w:t>
            </w:r>
          </w:p>
        </w:tc>
      </w:tr>
      <w:tr w:rsidR="002D7080" w:rsidRPr="004D1E6F" w14:paraId="1A630E6E" w14:textId="77777777" w:rsidTr="002E2C37">
        <w:trPr>
          <w:cantSplit/>
          <w:trHeight w:val="70"/>
        </w:trPr>
        <w:tc>
          <w:tcPr>
            <w:tcW w:w="2520" w:type="dxa"/>
            <w:tcBorders>
              <w:left w:val="single" w:sz="4" w:space="0" w:color="auto"/>
              <w:bottom w:val="single" w:sz="4" w:space="0" w:color="auto"/>
              <w:right w:val="single" w:sz="4" w:space="0" w:color="auto"/>
            </w:tcBorders>
            <w:shd w:val="clear" w:color="auto" w:fill="F2F2F2" w:themeFill="background1" w:themeFillShade="F2"/>
            <w:noWrap/>
          </w:tcPr>
          <w:p w14:paraId="49A87722"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(1)</w:t>
            </w:r>
          </w:p>
        </w:tc>
        <w:tc>
          <w:tcPr>
            <w:tcW w:w="6270" w:type="dxa"/>
            <w:gridSpan w:val="3"/>
            <w:tcBorders>
              <w:top w:val="nil"/>
              <w:left w:val="nil"/>
              <w:bottom w:val="single" w:sz="4" w:space="0" w:color="auto"/>
              <w:right w:val="single" w:sz="4" w:space="0" w:color="auto"/>
            </w:tcBorders>
          </w:tcPr>
          <w:p w14:paraId="5EEF38CE"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Organisational affiliation: Department of Zoology and Entomology, University of Pretoria and The South African National Biodiversity Institute (SANBI).</w:t>
            </w:r>
          </w:p>
        </w:tc>
      </w:tr>
      <w:tr w:rsidR="002D7080" w:rsidRPr="004D1E6F" w14:paraId="36C950E6" w14:textId="77777777" w:rsidTr="002E2C37">
        <w:trPr>
          <w:cantSplit/>
          <w:trHeight w:val="70"/>
        </w:trPr>
        <w:tc>
          <w:tcPr>
            <w:tcW w:w="2520" w:type="dxa"/>
            <w:tcBorders>
              <w:left w:val="single" w:sz="4" w:space="0" w:color="auto"/>
              <w:bottom w:val="single" w:sz="4" w:space="0" w:color="auto"/>
              <w:right w:val="single" w:sz="4" w:space="0" w:color="auto"/>
            </w:tcBorders>
            <w:shd w:val="clear" w:color="auto" w:fill="F2F2F2" w:themeFill="background1" w:themeFillShade="F2"/>
            <w:noWrap/>
          </w:tcPr>
          <w:p w14:paraId="652D5266" w14:textId="77777777" w:rsidR="002D7080" w:rsidRPr="004D1E6F" w:rsidRDefault="002D7080" w:rsidP="002E2C37">
            <w:pPr>
              <w:spacing w:after="0" w:line="240" w:lineRule="auto"/>
              <w:jc w:val="both"/>
              <w:rPr>
                <w:rFonts w:ascii="Times New Roman" w:hAnsi="Times New Roman" w:cs="Times New Roman"/>
                <w:bCs/>
                <w:iCs/>
                <w:sz w:val="20"/>
                <w:szCs w:val="20"/>
              </w:rPr>
            </w:pPr>
          </w:p>
        </w:tc>
        <w:tc>
          <w:tcPr>
            <w:tcW w:w="6270" w:type="dxa"/>
            <w:gridSpan w:val="3"/>
            <w:tcBorders>
              <w:top w:val="nil"/>
              <w:left w:val="nil"/>
              <w:bottom w:val="single" w:sz="4" w:space="0" w:color="auto"/>
              <w:right w:val="single" w:sz="4" w:space="0" w:color="auto"/>
            </w:tcBorders>
          </w:tcPr>
          <w:p w14:paraId="16BEF4FD"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email: T.Zengeya@sanbi.org.za</w:t>
            </w:r>
          </w:p>
        </w:tc>
      </w:tr>
      <w:tr w:rsidR="002D7080" w:rsidRPr="004D1E6F" w14:paraId="567EB481" w14:textId="77777777" w:rsidTr="002E2C37">
        <w:trPr>
          <w:cantSplit/>
          <w:trHeight w:val="70"/>
        </w:trPr>
        <w:tc>
          <w:tcPr>
            <w:tcW w:w="2520" w:type="dxa"/>
            <w:tcBorders>
              <w:left w:val="single" w:sz="4" w:space="0" w:color="auto"/>
              <w:bottom w:val="single" w:sz="4" w:space="0" w:color="auto"/>
              <w:right w:val="single" w:sz="4" w:space="0" w:color="auto"/>
            </w:tcBorders>
            <w:shd w:val="clear" w:color="auto" w:fill="F2F2F2" w:themeFill="background1" w:themeFillShade="F2"/>
            <w:noWrap/>
          </w:tcPr>
          <w:p w14:paraId="643149DD"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(2)</w:t>
            </w:r>
          </w:p>
        </w:tc>
        <w:tc>
          <w:tcPr>
            <w:tcW w:w="6270" w:type="dxa"/>
            <w:gridSpan w:val="3"/>
            <w:tcBorders>
              <w:top w:val="nil"/>
              <w:left w:val="nil"/>
              <w:bottom w:val="single" w:sz="4" w:space="0" w:color="auto"/>
              <w:right w:val="single" w:sz="4" w:space="0" w:color="auto"/>
            </w:tcBorders>
          </w:tcPr>
          <w:p w14:paraId="51EB99F9"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Organisational affiliation: Department of Zoology and Entomology, University of Pretoria</w:t>
            </w:r>
          </w:p>
        </w:tc>
      </w:tr>
      <w:tr w:rsidR="002D7080" w:rsidRPr="004D1E6F" w14:paraId="6CD13AE2" w14:textId="77777777" w:rsidTr="002E2C37">
        <w:trPr>
          <w:cantSplit/>
          <w:trHeight w:val="70"/>
        </w:trPr>
        <w:tc>
          <w:tcPr>
            <w:tcW w:w="2520" w:type="dxa"/>
            <w:tcBorders>
              <w:left w:val="single" w:sz="4" w:space="0" w:color="auto"/>
              <w:bottom w:val="single" w:sz="4" w:space="0" w:color="auto"/>
              <w:right w:val="single" w:sz="4" w:space="0" w:color="auto"/>
            </w:tcBorders>
            <w:shd w:val="clear" w:color="auto" w:fill="F2F2F2" w:themeFill="background1" w:themeFillShade="F2"/>
            <w:noWrap/>
          </w:tcPr>
          <w:p w14:paraId="55DFAAE7" w14:textId="77777777" w:rsidR="002D7080" w:rsidRPr="004D1E6F" w:rsidRDefault="002D7080" w:rsidP="002E2C37">
            <w:pPr>
              <w:spacing w:after="0" w:line="240" w:lineRule="auto"/>
              <w:jc w:val="both"/>
              <w:rPr>
                <w:rFonts w:ascii="Times New Roman" w:hAnsi="Times New Roman" w:cs="Times New Roman"/>
                <w:bCs/>
                <w:iCs/>
                <w:sz w:val="20"/>
                <w:szCs w:val="20"/>
              </w:rPr>
            </w:pPr>
          </w:p>
        </w:tc>
        <w:tc>
          <w:tcPr>
            <w:tcW w:w="6270" w:type="dxa"/>
            <w:gridSpan w:val="3"/>
            <w:tcBorders>
              <w:top w:val="nil"/>
              <w:left w:val="nil"/>
              <w:bottom w:val="single" w:sz="4" w:space="0" w:color="auto"/>
              <w:right w:val="single" w:sz="4" w:space="0" w:color="auto"/>
            </w:tcBorders>
          </w:tcPr>
          <w:p w14:paraId="00AC4B4B" w14:textId="77777777" w:rsidR="002D7080" w:rsidRPr="004D1E6F" w:rsidRDefault="002D7080" w:rsidP="002E2C37">
            <w:pPr>
              <w:spacing w:after="0" w:line="240" w:lineRule="auto"/>
              <w:jc w:val="both"/>
              <w:rPr>
                <w:rFonts w:ascii="Times New Roman" w:hAnsi="Times New Roman" w:cs="Times New Roman"/>
                <w:bCs/>
                <w:iCs/>
                <w:sz w:val="20"/>
                <w:szCs w:val="20"/>
              </w:rPr>
            </w:pPr>
            <w:r w:rsidRPr="004D1E6F">
              <w:rPr>
                <w:rFonts w:ascii="Times New Roman" w:hAnsi="Times New Roman" w:cs="Times New Roman"/>
                <w:bCs/>
                <w:iCs/>
                <w:sz w:val="20"/>
                <w:szCs w:val="20"/>
              </w:rPr>
              <w:t>email: ctchimimba@up.ac.za</w:t>
            </w:r>
          </w:p>
        </w:tc>
      </w:tr>
      <w:tr w:rsidR="002D7080" w:rsidRPr="004D1E6F" w14:paraId="1D514774" w14:textId="77777777" w:rsidTr="002E2C37">
        <w:trPr>
          <w:cantSplit/>
          <w:trHeight w:val="357"/>
        </w:trPr>
        <w:tc>
          <w:tcPr>
            <w:tcW w:w="8790" w:type="dxa"/>
            <w:gridSpan w:val="4"/>
            <w:tcBorders>
              <w:left w:val="single" w:sz="4" w:space="0" w:color="auto"/>
              <w:bottom w:val="single" w:sz="4" w:space="0" w:color="auto"/>
              <w:right w:val="single" w:sz="4" w:space="0" w:color="auto"/>
            </w:tcBorders>
            <w:shd w:val="clear" w:color="auto" w:fill="F2F2F2" w:themeFill="background1" w:themeFillShade="F2"/>
            <w:noWrap/>
          </w:tcPr>
          <w:p w14:paraId="31CCEA9D"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BAC3 Name(s) and contact details of expert(s) consulted</w:t>
            </w:r>
          </w:p>
        </w:tc>
      </w:tr>
      <w:tr w:rsidR="002D7080" w:rsidRPr="004D1E6F" w14:paraId="45887FC3" w14:textId="77777777" w:rsidTr="002E2C37">
        <w:trPr>
          <w:cantSplit/>
          <w:trHeight w:val="175"/>
        </w:trPr>
        <w:tc>
          <w:tcPr>
            <w:tcW w:w="2520" w:type="dxa"/>
            <w:vMerge w:val="restart"/>
            <w:tcBorders>
              <w:left w:val="single" w:sz="4" w:space="0" w:color="auto"/>
              <w:right w:val="single" w:sz="4" w:space="0" w:color="auto"/>
            </w:tcBorders>
            <w:noWrap/>
          </w:tcPr>
          <w:p w14:paraId="522EEC61"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Expert (1)</w:t>
            </w:r>
          </w:p>
        </w:tc>
        <w:tc>
          <w:tcPr>
            <w:tcW w:w="6270" w:type="dxa"/>
            <w:gridSpan w:val="3"/>
            <w:tcBorders>
              <w:top w:val="nil"/>
              <w:left w:val="nil"/>
              <w:bottom w:val="single" w:sz="4" w:space="0" w:color="auto"/>
              <w:right w:val="single" w:sz="4" w:space="0" w:color="auto"/>
            </w:tcBorders>
          </w:tcPr>
          <w:p w14:paraId="6D2F2AC4"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Name: </w:t>
            </w:r>
          </w:p>
        </w:tc>
      </w:tr>
      <w:tr w:rsidR="002D7080" w:rsidRPr="004D1E6F" w14:paraId="6C5DCB5E" w14:textId="77777777" w:rsidTr="002E2C37">
        <w:trPr>
          <w:cantSplit/>
          <w:trHeight w:val="342"/>
        </w:trPr>
        <w:tc>
          <w:tcPr>
            <w:tcW w:w="2520" w:type="dxa"/>
            <w:vMerge/>
            <w:tcBorders>
              <w:left w:val="single" w:sz="4" w:space="0" w:color="auto"/>
              <w:right w:val="single" w:sz="4" w:space="0" w:color="auto"/>
            </w:tcBorders>
            <w:noWrap/>
          </w:tcPr>
          <w:p w14:paraId="209A3EAC"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p>
        </w:tc>
        <w:tc>
          <w:tcPr>
            <w:tcW w:w="6270" w:type="dxa"/>
            <w:gridSpan w:val="3"/>
            <w:tcBorders>
              <w:top w:val="nil"/>
              <w:left w:val="nil"/>
              <w:bottom w:val="single" w:sz="4" w:space="0" w:color="auto"/>
              <w:right w:val="single" w:sz="4" w:space="0" w:color="auto"/>
            </w:tcBorders>
          </w:tcPr>
          <w:p w14:paraId="5863165D"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email: </w:t>
            </w:r>
          </w:p>
        </w:tc>
      </w:tr>
      <w:tr w:rsidR="002D7080" w:rsidRPr="004D1E6F" w14:paraId="65BECBDD" w14:textId="77777777" w:rsidTr="002E2C37">
        <w:trPr>
          <w:cantSplit/>
          <w:trHeight w:val="342"/>
        </w:trPr>
        <w:tc>
          <w:tcPr>
            <w:tcW w:w="2520" w:type="dxa"/>
            <w:vMerge/>
            <w:tcBorders>
              <w:left w:val="single" w:sz="4" w:space="0" w:color="auto"/>
              <w:bottom w:val="single" w:sz="4" w:space="0" w:color="auto"/>
              <w:right w:val="single" w:sz="4" w:space="0" w:color="auto"/>
            </w:tcBorders>
            <w:noWrap/>
          </w:tcPr>
          <w:p w14:paraId="654FD054"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p>
        </w:tc>
        <w:tc>
          <w:tcPr>
            <w:tcW w:w="6270" w:type="dxa"/>
            <w:gridSpan w:val="3"/>
            <w:tcBorders>
              <w:top w:val="nil"/>
              <w:left w:val="nil"/>
              <w:bottom w:val="single" w:sz="4" w:space="0" w:color="auto"/>
              <w:right w:val="single" w:sz="4" w:space="0" w:color="auto"/>
            </w:tcBorders>
          </w:tcPr>
          <w:p w14:paraId="41F81808"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Phone: </w:t>
            </w:r>
          </w:p>
        </w:tc>
      </w:tr>
      <w:tr w:rsidR="002D7080" w:rsidRPr="004D1E6F" w14:paraId="335B0E98" w14:textId="77777777" w:rsidTr="002E2C37">
        <w:trPr>
          <w:cantSplit/>
          <w:trHeight w:val="342"/>
        </w:trPr>
        <w:tc>
          <w:tcPr>
            <w:tcW w:w="2520" w:type="dxa"/>
            <w:vMerge w:val="restart"/>
            <w:tcBorders>
              <w:left w:val="single" w:sz="4" w:space="0" w:color="auto"/>
              <w:right w:val="single" w:sz="4" w:space="0" w:color="auto"/>
            </w:tcBorders>
            <w:noWrap/>
          </w:tcPr>
          <w:p w14:paraId="639FB8C5"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Expert (2)</w:t>
            </w:r>
          </w:p>
        </w:tc>
        <w:tc>
          <w:tcPr>
            <w:tcW w:w="6270" w:type="dxa"/>
            <w:gridSpan w:val="3"/>
            <w:tcBorders>
              <w:top w:val="nil"/>
              <w:left w:val="nil"/>
              <w:bottom w:val="single" w:sz="4" w:space="0" w:color="auto"/>
              <w:right w:val="single" w:sz="4" w:space="0" w:color="auto"/>
            </w:tcBorders>
          </w:tcPr>
          <w:p w14:paraId="01805575"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Name:</w:t>
            </w:r>
          </w:p>
        </w:tc>
      </w:tr>
      <w:tr w:rsidR="002D7080" w:rsidRPr="004D1E6F" w14:paraId="34F6F9C2" w14:textId="77777777" w:rsidTr="002E2C37">
        <w:trPr>
          <w:cantSplit/>
          <w:trHeight w:val="342"/>
        </w:trPr>
        <w:tc>
          <w:tcPr>
            <w:tcW w:w="2520" w:type="dxa"/>
            <w:vMerge/>
            <w:tcBorders>
              <w:left w:val="single" w:sz="4" w:space="0" w:color="auto"/>
              <w:right w:val="single" w:sz="4" w:space="0" w:color="auto"/>
            </w:tcBorders>
            <w:noWrap/>
          </w:tcPr>
          <w:p w14:paraId="474BB3B0"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p>
        </w:tc>
        <w:tc>
          <w:tcPr>
            <w:tcW w:w="6270" w:type="dxa"/>
            <w:gridSpan w:val="3"/>
            <w:tcBorders>
              <w:top w:val="nil"/>
              <w:left w:val="nil"/>
              <w:bottom w:val="single" w:sz="4" w:space="0" w:color="auto"/>
              <w:right w:val="single" w:sz="4" w:space="0" w:color="auto"/>
            </w:tcBorders>
          </w:tcPr>
          <w:p w14:paraId="3E393D71"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email:</w:t>
            </w:r>
          </w:p>
        </w:tc>
      </w:tr>
      <w:tr w:rsidR="002D7080" w:rsidRPr="004D1E6F" w14:paraId="3532FA59" w14:textId="77777777" w:rsidTr="002E2C37">
        <w:trPr>
          <w:cantSplit/>
          <w:trHeight w:val="342"/>
        </w:trPr>
        <w:tc>
          <w:tcPr>
            <w:tcW w:w="2520" w:type="dxa"/>
            <w:vMerge/>
            <w:tcBorders>
              <w:left w:val="single" w:sz="4" w:space="0" w:color="auto"/>
              <w:bottom w:val="single" w:sz="4" w:space="0" w:color="auto"/>
              <w:right w:val="single" w:sz="4" w:space="0" w:color="auto"/>
            </w:tcBorders>
            <w:noWrap/>
          </w:tcPr>
          <w:p w14:paraId="01D85BED"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p>
        </w:tc>
        <w:tc>
          <w:tcPr>
            <w:tcW w:w="6270" w:type="dxa"/>
            <w:gridSpan w:val="3"/>
            <w:tcBorders>
              <w:top w:val="nil"/>
              <w:left w:val="nil"/>
              <w:bottom w:val="single" w:sz="4" w:space="0" w:color="auto"/>
              <w:right w:val="single" w:sz="4" w:space="0" w:color="auto"/>
            </w:tcBorders>
          </w:tcPr>
          <w:p w14:paraId="644B3B68"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Phone:</w:t>
            </w:r>
          </w:p>
        </w:tc>
      </w:tr>
      <w:tr w:rsidR="002D7080" w:rsidRPr="004D1E6F" w14:paraId="41F93E8E" w14:textId="77777777" w:rsidTr="002E2C37">
        <w:trPr>
          <w:cantSplit/>
          <w:trHeight w:val="260"/>
        </w:trPr>
        <w:tc>
          <w:tcPr>
            <w:tcW w:w="8790" w:type="dxa"/>
            <w:gridSpan w:val="4"/>
            <w:tcBorders>
              <w:top w:val="nil"/>
              <w:left w:val="single" w:sz="4" w:space="0" w:color="auto"/>
              <w:bottom w:val="single" w:sz="4" w:space="0" w:color="auto"/>
              <w:right w:val="single" w:sz="4" w:space="0" w:color="auto"/>
            </w:tcBorders>
            <w:noWrap/>
          </w:tcPr>
          <w:p w14:paraId="7FBAF295"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none </w:t>
            </w:r>
          </w:p>
        </w:tc>
      </w:tr>
      <w:tr w:rsidR="002D7080" w:rsidRPr="004D1E6F" w14:paraId="1ACF3C07" w14:textId="77777777" w:rsidTr="002E2C37">
        <w:trPr>
          <w:cantSplit/>
          <w:trHeight w:val="188"/>
        </w:trPr>
        <w:tc>
          <w:tcPr>
            <w:tcW w:w="8790"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11E1B451"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BAC4 Scientific name of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under assessment</w:t>
            </w:r>
          </w:p>
        </w:tc>
      </w:tr>
      <w:tr w:rsidR="002D7080" w:rsidRPr="004D1E6F" w14:paraId="541B8D27" w14:textId="77777777" w:rsidTr="002E2C37">
        <w:trPr>
          <w:cantSplit/>
          <w:trHeight w:val="278"/>
        </w:trPr>
        <w:tc>
          <w:tcPr>
            <w:tcW w:w="6124" w:type="dxa"/>
            <w:gridSpan w:val="3"/>
            <w:tcBorders>
              <w:top w:val="nil"/>
              <w:left w:val="single" w:sz="4" w:space="0" w:color="auto"/>
              <w:bottom w:val="single" w:sz="4" w:space="0" w:color="auto"/>
              <w:right w:val="single" w:sz="4" w:space="0" w:color="auto"/>
            </w:tcBorders>
            <w:noWrap/>
          </w:tcPr>
          <w:p w14:paraId="1B3E9FA7"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name: </w:t>
            </w:r>
            <w:r w:rsidRPr="004D1E6F">
              <w:rPr>
                <w:rFonts w:ascii="Times New Roman" w:eastAsia="Times New Roman" w:hAnsi="Times New Roman" w:cs="Times New Roman"/>
                <w:i/>
                <w:color w:val="000000"/>
                <w:sz w:val="20"/>
                <w:szCs w:val="20"/>
                <w:lang w:eastAsia="en-ZA"/>
              </w:rPr>
              <w:t xml:space="preserve">Procambarus acutus </w:t>
            </w:r>
          </w:p>
        </w:tc>
        <w:tc>
          <w:tcPr>
            <w:tcW w:w="2666" w:type="dxa"/>
            <w:tcBorders>
              <w:top w:val="nil"/>
              <w:left w:val="nil"/>
              <w:bottom w:val="single" w:sz="4" w:space="0" w:color="auto"/>
              <w:right w:val="single" w:sz="4" w:space="0" w:color="auto"/>
            </w:tcBorders>
            <w:hideMark/>
          </w:tcPr>
          <w:p w14:paraId="4C7F8B9B"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Authority: (Girard, 1852)</w:t>
            </w:r>
          </w:p>
        </w:tc>
      </w:tr>
      <w:tr w:rsidR="002D7080" w:rsidRPr="004D1E6F" w14:paraId="4C770C75" w14:textId="77777777" w:rsidTr="002E2C37">
        <w:trPr>
          <w:cantSplit/>
          <w:trHeight w:val="287"/>
        </w:trPr>
        <w:tc>
          <w:tcPr>
            <w:tcW w:w="8790" w:type="dxa"/>
            <w:gridSpan w:val="4"/>
            <w:tcBorders>
              <w:top w:val="nil"/>
              <w:left w:val="single" w:sz="4" w:space="0" w:color="auto"/>
              <w:bottom w:val="single" w:sz="4" w:space="0" w:color="auto"/>
              <w:right w:val="single" w:sz="4" w:space="0" w:color="auto"/>
            </w:tcBorders>
            <w:noWrap/>
          </w:tcPr>
          <w:p w14:paraId="4002F4D3"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sz w:val="20"/>
                <w:szCs w:val="20"/>
                <w:lang w:eastAsia="en-ZA"/>
              </w:rPr>
              <w:t>The name of the taxon under assessment is valid (Crandall &amp; De Grave 2017;</w:t>
            </w:r>
            <w:r>
              <w:rPr>
                <w:rFonts w:ascii="Times New Roman" w:eastAsia="Times New Roman" w:hAnsi="Times New Roman" w:cs="Times New Roman"/>
                <w:sz w:val="20"/>
                <w:szCs w:val="20"/>
                <w:lang w:eastAsia="en-ZA"/>
              </w:rPr>
              <w:t xml:space="preserve"> GBIF 2023)</w:t>
            </w:r>
          </w:p>
        </w:tc>
      </w:tr>
      <w:tr w:rsidR="002D7080" w:rsidRPr="004D1E6F" w14:paraId="0E553A9A" w14:textId="77777777" w:rsidTr="002E2C37">
        <w:trPr>
          <w:cantSplit/>
          <w:trHeight w:val="402"/>
        </w:trPr>
        <w:tc>
          <w:tcPr>
            <w:tcW w:w="8790" w:type="dxa"/>
            <w:gridSpan w:val="4"/>
            <w:tcBorders>
              <w:top w:val="nil"/>
              <w:left w:val="single" w:sz="4" w:space="0" w:color="auto"/>
              <w:bottom w:val="single" w:sz="4" w:space="0" w:color="auto"/>
              <w:right w:val="single" w:sz="4" w:space="0" w:color="auto"/>
            </w:tcBorders>
            <w:noWrap/>
          </w:tcPr>
          <w:p w14:paraId="0E25BB20"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58886D33" w14:textId="52EEA1EA" w:rsidR="002D7080" w:rsidRPr="006D79CE" w:rsidRDefault="002D7080" w:rsidP="002E2C37">
            <w:pPr>
              <w:spacing w:after="0" w:line="240" w:lineRule="auto"/>
              <w:ind w:left="522" w:hanging="522"/>
              <w:jc w:val="both"/>
              <w:rPr>
                <w:rFonts w:ascii="Times New Roman" w:eastAsia="Times New Roman" w:hAnsi="Times New Roman" w:cs="Times New Roman"/>
                <w:sz w:val="20"/>
                <w:szCs w:val="20"/>
                <w:lang w:eastAsia="en-ZA"/>
              </w:rPr>
            </w:pPr>
            <w:r w:rsidRPr="006D79CE">
              <w:rPr>
                <w:rFonts w:ascii="Times New Roman" w:eastAsia="Times New Roman" w:hAnsi="Times New Roman" w:cs="Times New Roman"/>
                <w:sz w:val="20"/>
                <w:szCs w:val="20"/>
                <w:lang w:eastAsia="en-ZA"/>
              </w:rPr>
              <w:t>Crandall</w:t>
            </w:r>
            <w:r>
              <w:rPr>
                <w:rFonts w:ascii="Times New Roman" w:eastAsia="Times New Roman" w:hAnsi="Times New Roman" w:cs="Times New Roman"/>
                <w:sz w:val="20"/>
                <w:szCs w:val="20"/>
                <w:lang w:eastAsia="en-ZA"/>
              </w:rPr>
              <w:t>,</w:t>
            </w:r>
            <w:r w:rsidRPr="006D79CE">
              <w:rPr>
                <w:rFonts w:ascii="Times New Roman" w:eastAsia="Times New Roman" w:hAnsi="Times New Roman" w:cs="Times New Roman"/>
                <w:sz w:val="20"/>
                <w:szCs w:val="20"/>
                <w:lang w:eastAsia="en-ZA"/>
              </w:rPr>
              <w:t xml:space="preserve"> K</w:t>
            </w:r>
            <w:r>
              <w:rPr>
                <w:rFonts w:ascii="Times New Roman" w:eastAsia="Times New Roman" w:hAnsi="Times New Roman" w:cs="Times New Roman"/>
                <w:sz w:val="20"/>
                <w:szCs w:val="20"/>
                <w:lang w:eastAsia="en-ZA"/>
              </w:rPr>
              <w:t>.</w:t>
            </w:r>
            <w:r w:rsidRPr="006D79CE">
              <w:rPr>
                <w:rFonts w:ascii="Times New Roman" w:eastAsia="Times New Roman" w:hAnsi="Times New Roman" w:cs="Times New Roman"/>
                <w:sz w:val="20"/>
                <w:szCs w:val="20"/>
                <w:lang w:eastAsia="en-ZA"/>
              </w:rPr>
              <w:t>A</w:t>
            </w:r>
            <w:r>
              <w:rPr>
                <w:rFonts w:ascii="Times New Roman" w:eastAsia="Times New Roman" w:hAnsi="Times New Roman" w:cs="Times New Roman"/>
                <w:sz w:val="20"/>
                <w:szCs w:val="20"/>
                <w:lang w:eastAsia="en-ZA"/>
              </w:rPr>
              <w:t>. &amp;</w:t>
            </w:r>
            <w:r w:rsidRPr="006D79CE">
              <w:rPr>
                <w:rFonts w:ascii="Times New Roman" w:eastAsia="Times New Roman" w:hAnsi="Times New Roman" w:cs="Times New Roman"/>
                <w:sz w:val="20"/>
                <w:szCs w:val="20"/>
                <w:lang w:eastAsia="en-ZA"/>
              </w:rPr>
              <w:t xml:space="preserve"> De Grave</w:t>
            </w:r>
            <w:r>
              <w:rPr>
                <w:rFonts w:ascii="Times New Roman" w:eastAsia="Times New Roman" w:hAnsi="Times New Roman" w:cs="Times New Roman"/>
                <w:sz w:val="20"/>
                <w:szCs w:val="20"/>
                <w:lang w:eastAsia="en-ZA"/>
              </w:rPr>
              <w:t>,</w:t>
            </w:r>
            <w:r w:rsidRPr="006D79CE">
              <w:rPr>
                <w:rFonts w:ascii="Times New Roman" w:eastAsia="Times New Roman" w:hAnsi="Times New Roman" w:cs="Times New Roman"/>
                <w:sz w:val="20"/>
                <w:szCs w:val="20"/>
                <w:lang w:eastAsia="en-ZA"/>
              </w:rPr>
              <w:t xml:space="preserve"> S</w:t>
            </w:r>
            <w:r>
              <w:rPr>
                <w:rFonts w:ascii="Times New Roman" w:eastAsia="Times New Roman" w:hAnsi="Times New Roman" w:cs="Times New Roman"/>
                <w:sz w:val="20"/>
                <w:szCs w:val="20"/>
                <w:lang w:eastAsia="en-ZA"/>
              </w:rPr>
              <w:t>.</w:t>
            </w:r>
            <w:r w:rsidRPr="006D79CE">
              <w:rPr>
                <w:rFonts w:ascii="Times New Roman" w:eastAsia="Times New Roman" w:hAnsi="Times New Roman" w:cs="Times New Roman"/>
                <w:sz w:val="20"/>
                <w:szCs w:val="20"/>
                <w:lang w:eastAsia="en-ZA"/>
              </w:rPr>
              <w:t>, 2017</w:t>
            </w:r>
            <w:r>
              <w:rPr>
                <w:rFonts w:ascii="Times New Roman" w:eastAsia="Times New Roman" w:hAnsi="Times New Roman" w:cs="Times New Roman"/>
                <w:sz w:val="20"/>
                <w:szCs w:val="20"/>
                <w:lang w:eastAsia="en-ZA"/>
              </w:rPr>
              <w:t>, ‘</w:t>
            </w:r>
            <w:r w:rsidRPr="006D79CE">
              <w:rPr>
                <w:rFonts w:ascii="Times New Roman" w:eastAsia="Times New Roman" w:hAnsi="Times New Roman" w:cs="Times New Roman"/>
                <w:sz w:val="20"/>
                <w:szCs w:val="20"/>
                <w:lang w:eastAsia="en-ZA"/>
              </w:rPr>
              <w:t>An updated classification of the freshwater crayfishes (Decapoda: Astacidea) of the world, with a complete species list</w:t>
            </w:r>
            <w:r>
              <w:rPr>
                <w:rFonts w:ascii="Times New Roman" w:eastAsia="Times New Roman" w:hAnsi="Times New Roman" w:cs="Times New Roman"/>
                <w:sz w:val="20"/>
                <w:szCs w:val="20"/>
                <w:lang w:eastAsia="en-ZA"/>
              </w:rPr>
              <w:t>’,</w:t>
            </w:r>
            <w:r w:rsidRPr="006D79CE">
              <w:rPr>
                <w:rFonts w:ascii="Times New Roman" w:eastAsia="Times New Roman" w:hAnsi="Times New Roman" w:cs="Times New Roman"/>
                <w:sz w:val="20"/>
                <w:szCs w:val="20"/>
                <w:lang w:eastAsia="en-ZA"/>
              </w:rPr>
              <w:t xml:space="preserve"> </w:t>
            </w:r>
            <w:r w:rsidRPr="006D79CE">
              <w:rPr>
                <w:rFonts w:ascii="Times New Roman" w:eastAsia="Times New Roman" w:hAnsi="Times New Roman" w:cs="Times New Roman"/>
                <w:i/>
                <w:sz w:val="20"/>
                <w:szCs w:val="20"/>
                <w:lang w:eastAsia="en-ZA"/>
              </w:rPr>
              <w:t>Journal of Crustacean Biology</w:t>
            </w:r>
            <w:r>
              <w:rPr>
                <w:rFonts w:ascii="Times New Roman" w:eastAsia="Times New Roman" w:hAnsi="Times New Roman" w:cs="Times New Roman"/>
                <w:sz w:val="20"/>
                <w:szCs w:val="20"/>
                <w:lang w:eastAsia="en-ZA"/>
              </w:rPr>
              <w:t xml:space="preserve">, </w:t>
            </w:r>
            <w:r w:rsidRPr="006D79CE">
              <w:rPr>
                <w:rFonts w:ascii="Times New Roman" w:eastAsia="Times New Roman" w:hAnsi="Times New Roman" w:cs="Times New Roman"/>
                <w:sz w:val="20"/>
                <w:szCs w:val="20"/>
                <w:lang w:eastAsia="en-ZA"/>
              </w:rPr>
              <w:t>27</w:t>
            </w:r>
            <w:r>
              <w:rPr>
                <w:rFonts w:ascii="Times New Roman" w:eastAsia="Times New Roman" w:hAnsi="Times New Roman" w:cs="Times New Roman"/>
                <w:sz w:val="20"/>
                <w:szCs w:val="20"/>
                <w:lang w:eastAsia="en-ZA"/>
              </w:rPr>
              <w:t xml:space="preserve">, </w:t>
            </w:r>
            <w:r w:rsidRPr="006D79CE">
              <w:rPr>
                <w:rFonts w:ascii="Times New Roman" w:eastAsia="Times New Roman" w:hAnsi="Times New Roman" w:cs="Times New Roman"/>
                <w:sz w:val="20"/>
                <w:szCs w:val="20"/>
                <w:lang w:eastAsia="en-ZA"/>
              </w:rPr>
              <w:t>615–653.</w:t>
            </w:r>
            <w:r>
              <w:rPr>
                <w:rFonts w:ascii="Times New Roman" w:eastAsia="Times New Roman" w:hAnsi="Times New Roman" w:cs="Times New Roman"/>
                <w:sz w:val="20"/>
                <w:szCs w:val="20"/>
                <w:lang w:eastAsia="en-ZA"/>
              </w:rPr>
              <w:t xml:space="preserve"> </w:t>
            </w:r>
            <w:r w:rsidR="00DA2CF7" w:rsidRPr="00DA2CF7">
              <w:rPr>
                <w:rFonts w:ascii="Times New Roman" w:hAnsi="Times New Roman" w:cs="Times New Roman"/>
                <w:iCs/>
                <w:sz w:val="20"/>
                <w:szCs w:val="20"/>
              </w:rPr>
              <w:t>https://doi.org/10.1093/jcbiol/rux070</w:t>
            </w:r>
            <w:r w:rsidRPr="00DA2CF7">
              <w:rPr>
                <w:rFonts w:ascii="Times New Roman" w:eastAsia="Times New Roman" w:hAnsi="Times New Roman" w:cs="Times New Roman"/>
                <w:sz w:val="18"/>
                <w:szCs w:val="18"/>
                <w:lang w:eastAsia="en-ZA"/>
              </w:rPr>
              <w:t>.</w:t>
            </w:r>
          </w:p>
          <w:p w14:paraId="04D22EAC" w14:textId="77777777" w:rsidR="002D7080" w:rsidRPr="004D1E6F" w:rsidRDefault="002D7080" w:rsidP="002E2C37">
            <w:pPr>
              <w:spacing w:after="0" w:line="240" w:lineRule="auto"/>
              <w:ind w:left="522" w:hanging="522"/>
              <w:jc w:val="both"/>
              <w:rPr>
                <w:rFonts w:ascii="Times New Roman" w:eastAsia="Times New Roman" w:hAnsi="Times New Roman" w:cs="Times New Roman"/>
                <w:color w:val="000000"/>
                <w:sz w:val="20"/>
                <w:szCs w:val="20"/>
                <w:lang w:eastAsia="en-ZA"/>
              </w:rPr>
            </w:pPr>
            <w:r w:rsidRPr="006D79CE">
              <w:rPr>
                <w:rStyle w:val="ng-binding"/>
                <w:rFonts w:ascii="Times New Roman" w:hAnsi="Times New Roman" w:cs="Times New Roman"/>
                <w:i/>
                <w:iCs/>
                <w:sz w:val="20"/>
                <w:szCs w:val="20"/>
                <w:shd w:val="clear" w:color="auto" w:fill="FFFFFF"/>
              </w:rPr>
              <w:t>Procambarus acutus </w:t>
            </w:r>
            <w:r w:rsidRPr="006D79CE">
              <w:rPr>
                <w:rStyle w:val="ng-binding"/>
                <w:rFonts w:ascii="Times New Roman" w:hAnsi="Times New Roman" w:cs="Times New Roman"/>
                <w:sz w:val="20"/>
                <w:szCs w:val="20"/>
                <w:shd w:val="clear" w:color="auto" w:fill="FFFFFF"/>
              </w:rPr>
              <w:t>(Girard, 1852)</w:t>
            </w:r>
            <w:r w:rsidRPr="006D79CE">
              <w:rPr>
                <w:rFonts w:ascii="Times New Roman" w:hAnsi="Times New Roman" w:cs="Times New Roman"/>
                <w:sz w:val="20"/>
                <w:szCs w:val="20"/>
                <w:shd w:val="clear" w:color="auto" w:fill="FFFFFF"/>
              </w:rPr>
              <w:t> in </w:t>
            </w:r>
            <w:r w:rsidRPr="006D79CE">
              <w:rPr>
                <w:rStyle w:val="ng-binding"/>
                <w:rFonts w:ascii="Times New Roman" w:hAnsi="Times New Roman" w:cs="Times New Roman"/>
                <w:sz w:val="20"/>
                <w:szCs w:val="20"/>
                <w:shd w:val="clear" w:color="auto" w:fill="FFFFFF"/>
              </w:rPr>
              <w:t>GBIF Secretariat (2023). GBIF Backbone Taxonomy. Checklist dataset </w:t>
            </w:r>
            <w:hyperlink w:tgtFrame="_blank" w:history="1">
              <w:r w:rsidRPr="006D79CE">
                <w:rPr>
                  <w:rStyle w:val="Hyperlink"/>
                  <w:rFonts w:ascii="Times New Roman" w:hAnsi="Times New Roman" w:cs="Times New Roman"/>
                  <w:sz w:val="20"/>
                  <w:szCs w:val="20"/>
                </w:rPr>
                <w:t>https://doi.org/10.15468/39omei</w:t>
              </w:r>
            </w:hyperlink>
            <w:r w:rsidRPr="006D79CE">
              <w:rPr>
                <w:rStyle w:val="ng-binding"/>
                <w:rFonts w:ascii="Times New Roman" w:hAnsi="Times New Roman" w:cs="Times New Roman"/>
                <w:sz w:val="20"/>
                <w:szCs w:val="20"/>
                <w:shd w:val="clear" w:color="auto" w:fill="FFFFFF"/>
              </w:rPr>
              <w:t> accessed via GBIF.org on 2024-07-16.</w:t>
            </w:r>
          </w:p>
        </w:tc>
      </w:tr>
      <w:tr w:rsidR="002D7080" w:rsidRPr="004D1E6F" w14:paraId="3CB88F7F" w14:textId="77777777" w:rsidTr="002E2C37">
        <w:trPr>
          <w:cantSplit/>
          <w:trHeight w:val="17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6B5EFAC"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BAC5 Synonym(s) considered</w:t>
            </w:r>
          </w:p>
        </w:tc>
      </w:tr>
      <w:tr w:rsidR="002D7080" w:rsidRPr="004D1E6F" w14:paraId="5126C6CD" w14:textId="77777777" w:rsidTr="002E2C37">
        <w:trPr>
          <w:cantSplit/>
          <w:trHeight w:val="152"/>
        </w:trPr>
        <w:tc>
          <w:tcPr>
            <w:tcW w:w="8790" w:type="dxa"/>
            <w:gridSpan w:val="4"/>
            <w:tcBorders>
              <w:top w:val="single" w:sz="4" w:space="0" w:color="auto"/>
              <w:left w:val="single" w:sz="4" w:space="0" w:color="auto"/>
              <w:bottom w:val="single" w:sz="4" w:space="0" w:color="auto"/>
              <w:right w:val="single" w:sz="4" w:space="0" w:color="auto"/>
            </w:tcBorders>
            <w:noWrap/>
          </w:tcPr>
          <w:p w14:paraId="0F65D847"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Synonyms:</w:t>
            </w:r>
            <w:r>
              <w:rPr>
                <w:rFonts w:ascii="Times New Roman" w:eastAsia="Times New Roman" w:hAnsi="Times New Roman" w:cs="Times New Roman"/>
                <w:color w:val="000000"/>
                <w:sz w:val="20"/>
                <w:szCs w:val="20"/>
                <w:lang w:eastAsia="en-ZA"/>
              </w:rPr>
              <w:t xml:space="preserve"> </w:t>
            </w:r>
            <w:r w:rsidRPr="00D274AC">
              <w:rPr>
                <w:rFonts w:ascii="Times New Roman" w:eastAsia="Times New Roman" w:hAnsi="Times New Roman" w:cs="Times New Roman"/>
                <w:i/>
                <w:iCs/>
                <w:color w:val="000000"/>
                <w:sz w:val="20"/>
                <w:szCs w:val="20"/>
                <w:lang w:eastAsia="en-ZA"/>
              </w:rPr>
              <w:t>Cambarus a</w:t>
            </w:r>
            <w:r w:rsidRPr="00BE3880">
              <w:rPr>
                <w:rFonts w:ascii="Times New Roman" w:eastAsia="Times New Roman" w:hAnsi="Times New Roman" w:cs="Times New Roman"/>
                <w:color w:val="000000"/>
                <w:sz w:val="20"/>
                <w:szCs w:val="20"/>
                <w:lang w:eastAsia="en-ZA"/>
              </w:rPr>
              <w:t>cutus Girard, 1852</w:t>
            </w:r>
          </w:p>
        </w:tc>
      </w:tr>
      <w:tr w:rsidR="002D7080" w:rsidRPr="004D1E6F" w14:paraId="04B97D69"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57A58A5A" w14:textId="77777777" w:rsidR="002D7080" w:rsidRPr="004D1E6F" w:rsidRDefault="002D7080" w:rsidP="00956545">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There are several synonyms listed for </w:t>
            </w:r>
            <w:r w:rsidRPr="00395C85">
              <w:rPr>
                <w:rFonts w:ascii="Times New Roman" w:eastAsia="Times New Roman" w:hAnsi="Times New Roman" w:cs="Times New Roman"/>
                <w:i/>
                <w:iCs/>
                <w:color w:val="000000"/>
                <w:sz w:val="20"/>
                <w:szCs w:val="20"/>
                <w:lang w:eastAsia="en-ZA"/>
              </w:rPr>
              <w:t>P. acutus</w:t>
            </w:r>
            <w:r>
              <w:rPr>
                <w:rFonts w:ascii="Times New Roman" w:eastAsia="Times New Roman" w:hAnsi="Times New Roman" w:cs="Times New Roman"/>
                <w:color w:val="000000"/>
                <w:sz w:val="20"/>
                <w:szCs w:val="20"/>
                <w:lang w:eastAsia="en-ZA"/>
              </w:rPr>
              <w:t xml:space="preserve"> (e.g., </w:t>
            </w:r>
            <w:r w:rsidRPr="006D79CE">
              <w:rPr>
                <w:rFonts w:ascii="Times New Roman" w:eastAsia="Times New Roman" w:hAnsi="Times New Roman" w:cs="Times New Roman"/>
                <w:sz w:val="20"/>
                <w:szCs w:val="20"/>
                <w:lang w:eastAsia="en-ZA"/>
              </w:rPr>
              <w:t xml:space="preserve">Crandall </w:t>
            </w:r>
            <w:r>
              <w:rPr>
                <w:rFonts w:ascii="Times New Roman" w:eastAsia="Times New Roman" w:hAnsi="Times New Roman" w:cs="Times New Roman"/>
                <w:sz w:val="20"/>
                <w:szCs w:val="20"/>
                <w:lang w:eastAsia="en-ZA"/>
              </w:rPr>
              <w:t>&amp; d</w:t>
            </w:r>
            <w:r w:rsidRPr="006D79CE">
              <w:rPr>
                <w:rFonts w:ascii="Times New Roman" w:eastAsia="Times New Roman" w:hAnsi="Times New Roman" w:cs="Times New Roman"/>
                <w:sz w:val="20"/>
                <w:szCs w:val="20"/>
                <w:lang w:eastAsia="en-ZA"/>
              </w:rPr>
              <w:t>e Grave 2017</w:t>
            </w:r>
            <w:r>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color w:val="000000"/>
                <w:sz w:val="20"/>
                <w:szCs w:val="20"/>
                <w:lang w:eastAsia="en-ZA"/>
              </w:rPr>
              <w:t xml:space="preserve">CABI 2024) but only </w:t>
            </w:r>
            <w:r w:rsidRPr="00395C85">
              <w:rPr>
                <w:rFonts w:ascii="Times New Roman" w:eastAsia="Times New Roman" w:hAnsi="Times New Roman" w:cs="Times New Roman"/>
                <w:i/>
                <w:iCs/>
                <w:color w:val="000000"/>
                <w:sz w:val="20"/>
                <w:szCs w:val="20"/>
                <w:lang w:eastAsia="en-ZA"/>
              </w:rPr>
              <w:t>Cambarus acutus</w:t>
            </w:r>
            <w:r>
              <w:rPr>
                <w:rFonts w:ascii="Times New Roman" w:eastAsia="Times New Roman" w:hAnsi="Times New Roman" w:cs="Times New Roman"/>
                <w:color w:val="000000"/>
                <w:sz w:val="20"/>
                <w:szCs w:val="20"/>
                <w:lang w:eastAsia="en-ZA"/>
              </w:rPr>
              <w:t xml:space="preserve"> was considered for the literature search for this risk analysis.  </w:t>
            </w:r>
          </w:p>
        </w:tc>
      </w:tr>
      <w:tr w:rsidR="002D7080" w:rsidRPr="004D1E6F" w14:paraId="77B58487"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5B0CC909" w14:textId="77777777" w:rsidR="002D7080" w:rsidRPr="00D274AC" w:rsidRDefault="002D7080" w:rsidP="00956545">
            <w:pPr>
              <w:spacing w:after="0"/>
              <w:rPr>
                <w:rFonts w:ascii="Times New Roman" w:eastAsia="Times New Roman" w:hAnsi="Times New Roman" w:cs="Times New Roman"/>
                <w:color w:val="000000"/>
                <w:sz w:val="20"/>
                <w:szCs w:val="20"/>
                <w:lang w:eastAsia="en-ZA"/>
              </w:rPr>
            </w:pPr>
            <w:r w:rsidRPr="00D274AC">
              <w:rPr>
                <w:rFonts w:ascii="Times New Roman" w:eastAsia="Times New Roman" w:hAnsi="Times New Roman" w:cs="Times New Roman"/>
                <w:color w:val="000000"/>
                <w:sz w:val="20"/>
                <w:szCs w:val="20"/>
                <w:lang w:eastAsia="en-ZA"/>
              </w:rPr>
              <w:t>References:</w:t>
            </w:r>
          </w:p>
          <w:p w14:paraId="14893856" w14:textId="27C67CFA" w:rsidR="002D7080" w:rsidRPr="00D274AC" w:rsidRDefault="002D7080" w:rsidP="00956545">
            <w:pPr>
              <w:spacing w:after="0"/>
              <w:ind w:left="522" w:hanging="522"/>
              <w:jc w:val="both"/>
              <w:rPr>
                <w:rFonts w:ascii="Times New Roman" w:eastAsia="Times New Roman" w:hAnsi="Times New Roman" w:cs="Times New Roman"/>
                <w:sz w:val="20"/>
                <w:szCs w:val="20"/>
                <w:lang w:eastAsia="en-ZA"/>
              </w:rPr>
            </w:pPr>
            <w:r w:rsidRPr="00D274AC">
              <w:rPr>
                <w:rFonts w:ascii="Times New Roman" w:eastAsia="Times New Roman" w:hAnsi="Times New Roman" w:cs="Times New Roman"/>
                <w:sz w:val="20"/>
                <w:szCs w:val="20"/>
                <w:lang w:eastAsia="en-ZA"/>
              </w:rPr>
              <w:t>Crandall</w:t>
            </w:r>
            <w:r>
              <w:rPr>
                <w:rFonts w:ascii="Times New Roman" w:eastAsia="Times New Roman" w:hAnsi="Times New Roman" w:cs="Times New Roman"/>
                <w:sz w:val="20"/>
                <w:szCs w:val="20"/>
                <w:lang w:eastAsia="en-ZA"/>
              </w:rPr>
              <w:t xml:space="preserve">, </w:t>
            </w:r>
            <w:r w:rsidRPr="00D274AC">
              <w:rPr>
                <w:rFonts w:ascii="Times New Roman" w:eastAsia="Times New Roman" w:hAnsi="Times New Roman" w:cs="Times New Roman"/>
                <w:sz w:val="20"/>
                <w:szCs w:val="20"/>
                <w:lang w:eastAsia="en-ZA"/>
              </w:rPr>
              <w:t>K</w:t>
            </w:r>
            <w:r>
              <w:rPr>
                <w:rFonts w:ascii="Times New Roman" w:eastAsia="Times New Roman" w:hAnsi="Times New Roman" w:cs="Times New Roman"/>
                <w:sz w:val="20"/>
                <w:szCs w:val="20"/>
                <w:lang w:eastAsia="en-ZA"/>
              </w:rPr>
              <w:t>.</w:t>
            </w:r>
            <w:r w:rsidRPr="00D274AC">
              <w:rPr>
                <w:rFonts w:ascii="Times New Roman" w:eastAsia="Times New Roman" w:hAnsi="Times New Roman" w:cs="Times New Roman"/>
                <w:sz w:val="20"/>
                <w:szCs w:val="20"/>
                <w:lang w:eastAsia="en-ZA"/>
              </w:rPr>
              <w:t>A</w:t>
            </w:r>
            <w:r>
              <w:rPr>
                <w:rFonts w:ascii="Times New Roman" w:eastAsia="Times New Roman" w:hAnsi="Times New Roman" w:cs="Times New Roman"/>
                <w:sz w:val="20"/>
                <w:szCs w:val="20"/>
                <w:lang w:eastAsia="en-ZA"/>
              </w:rPr>
              <w:t>. &amp;</w:t>
            </w:r>
            <w:r w:rsidRPr="00D274AC">
              <w:rPr>
                <w:rFonts w:ascii="Times New Roman" w:eastAsia="Times New Roman" w:hAnsi="Times New Roman" w:cs="Times New Roman"/>
                <w:sz w:val="20"/>
                <w:szCs w:val="20"/>
                <w:lang w:eastAsia="en-ZA"/>
              </w:rPr>
              <w:t xml:space="preserve"> De Grave</w:t>
            </w:r>
            <w:r>
              <w:rPr>
                <w:rFonts w:ascii="Times New Roman" w:eastAsia="Times New Roman" w:hAnsi="Times New Roman" w:cs="Times New Roman"/>
                <w:sz w:val="20"/>
                <w:szCs w:val="20"/>
                <w:lang w:eastAsia="en-ZA"/>
              </w:rPr>
              <w:t>,</w:t>
            </w:r>
            <w:r w:rsidRPr="00D274AC">
              <w:rPr>
                <w:rFonts w:ascii="Times New Roman" w:eastAsia="Times New Roman" w:hAnsi="Times New Roman" w:cs="Times New Roman"/>
                <w:sz w:val="20"/>
                <w:szCs w:val="20"/>
                <w:lang w:eastAsia="en-ZA"/>
              </w:rPr>
              <w:t xml:space="preserve"> S</w:t>
            </w:r>
            <w:r>
              <w:rPr>
                <w:rFonts w:ascii="Times New Roman" w:eastAsia="Times New Roman" w:hAnsi="Times New Roman" w:cs="Times New Roman"/>
                <w:sz w:val="20"/>
                <w:szCs w:val="20"/>
                <w:lang w:eastAsia="en-ZA"/>
              </w:rPr>
              <w:t>.</w:t>
            </w:r>
            <w:r w:rsidRPr="00D274AC">
              <w:rPr>
                <w:rFonts w:ascii="Times New Roman" w:eastAsia="Times New Roman" w:hAnsi="Times New Roman" w:cs="Times New Roman"/>
                <w:sz w:val="20"/>
                <w:szCs w:val="20"/>
                <w:lang w:eastAsia="en-ZA"/>
              </w:rPr>
              <w:t>, 2017</w:t>
            </w:r>
            <w:r>
              <w:rPr>
                <w:rFonts w:ascii="Times New Roman" w:eastAsia="Times New Roman" w:hAnsi="Times New Roman" w:cs="Times New Roman"/>
                <w:sz w:val="20"/>
                <w:szCs w:val="20"/>
                <w:lang w:eastAsia="en-ZA"/>
              </w:rPr>
              <w:t>,</w:t>
            </w:r>
            <w:r w:rsidRPr="00D274AC">
              <w:rPr>
                <w:rFonts w:ascii="Times New Roman" w:eastAsia="Times New Roman" w:hAnsi="Times New Roman" w:cs="Times New Roman"/>
                <w:sz w:val="20"/>
                <w:szCs w:val="20"/>
                <w:lang w:eastAsia="en-ZA"/>
              </w:rPr>
              <w:t xml:space="preserve"> </w:t>
            </w:r>
            <w:r>
              <w:rPr>
                <w:rFonts w:ascii="Times New Roman" w:eastAsia="Times New Roman" w:hAnsi="Times New Roman" w:cs="Times New Roman"/>
                <w:sz w:val="20"/>
                <w:szCs w:val="20"/>
                <w:lang w:eastAsia="en-ZA"/>
              </w:rPr>
              <w:t>‘</w:t>
            </w:r>
            <w:r w:rsidRPr="00D274AC">
              <w:rPr>
                <w:rFonts w:ascii="Times New Roman" w:eastAsia="Times New Roman" w:hAnsi="Times New Roman" w:cs="Times New Roman"/>
                <w:sz w:val="20"/>
                <w:szCs w:val="20"/>
                <w:lang w:eastAsia="en-ZA"/>
              </w:rPr>
              <w:t>An updated classification of the freshwater crayfishes (Decapoda: Astacidea) of the world, with a complete species list</w:t>
            </w:r>
            <w:r>
              <w:rPr>
                <w:rFonts w:ascii="Times New Roman" w:eastAsia="Times New Roman" w:hAnsi="Times New Roman" w:cs="Times New Roman"/>
                <w:sz w:val="20"/>
                <w:szCs w:val="20"/>
                <w:lang w:eastAsia="en-ZA"/>
              </w:rPr>
              <w:t>’,</w:t>
            </w:r>
            <w:r w:rsidRPr="00D274AC">
              <w:rPr>
                <w:rFonts w:ascii="Times New Roman" w:eastAsia="Times New Roman" w:hAnsi="Times New Roman" w:cs="Times New Roman"/>
                <w:sz w:val="20"/>
                <w:szCs w:val="20"/>
                <w:lang w:eastAsia="en-ZA"/>
              </w:rPr>
              <w:t xml:space="preserve"> </w:t>
            </w:r>
            <w:r w:rsidRPr="00D274AC">
              <w:rPr>
                <w:rFonts w:ascii="Times New Roman" w:eastAsia="Times New Roman" w:hAnsi="Times New Roman" w:cs="Times New Roman"/>
                <w:i/>
                <w:sz w:val="20"/>
                <w:szCs w:val="20"/>
                <w:lang w:eastAsia="en-ZA"/>
              </w:rPr>
              <w:t>Journal of Crustacean Biology</w:t>
            </w:r>
            <w:r>
              <w:rPr>
                <w:rFonts w:ascii="Times New Roman" w:eastAsia="Times New Roman" w:hAnsi="Times New Roman" w:cs="Times New Roman"/>
                <w:sz w:val="20"/>
                <w:szCs w:val="20"/>
                <w:lang w:eastAsia="en-ZA"/>
              </w:rPr>
              <w:t xml:space="preserve">, </w:t>
            </w:r>
            <w:r w:rsidRPr="00D274AC">
              <w:rPr>
                <w:rFonts w:ascii="Times New Roman" w:eastAsia="Times New Roman" w:hAnsi="Times New Roman" w:cs="Times New Roman"/>
                <w:sz w:val="20"/>
                <w:szCs w:val="20"/>
                <w:lang w:eastAsia="en-ZA"/>
              </w:rPr>
              <w:t>27</w:t>
            </w:r>
            <w:r>
              <w:rPr>
                <w:rFonts w:ascii="Times New Roman" w:eastAsia="Times New Roman" w:hAnsi="Times New Roman" w:cs="Times New Roman"/>
                <w:sz w:val="20"/>
                <w:szCs w:val="20"/>
                <w:lang w:eastAsia="en-ZA"/>
              </w:rPr>
              <w:t>,</w:t>
            </w:r>
            <w:r w:rsidRPr="00D274AC">
              <w:rPr>
                <w:rFonts w:ascii="Times New Roman" w:eastAsia="Times New Roman" w:hAnsi="Times New Roman" w:cs="Times New Roman"/>
                <w:sz w:val="20"/>
                <w:szCs w:val="20"/>
                <w:lang w:eastAsia="en-ZA"/>
              </w:rPr>
              <w:t xml:space="preserve"> 615–653.</w:t>
            </w:r>
            <w:r w:rsidRPr="000A3053">
              <w:rPr>
                <w:rFonts w:ascii="Times New Roman" w:hAnsi="Times New Roman" w:cs="Times New Roman"/>
                <w:sz w:val="20"/>
                <w:szCs w:val="20"/>
              </w:rPr>
              <w:t xml:space="preserve"> </w:t>
            </w:r>
            <w:r w:rsidR="00DA2CF7" w:rsidRPr="008A0BC6">
              <w:rPr>
                <w:rFonts w:ascii="Times New Roman" w:hAnsi="Times New Roman" w:cs="Times New Roman"/>
                <w:iCs/>
                <w:sz w:val="20"/>
                <w:szCs w:val="20"/>
              </w:rPr>
              <w:t>https://doi.org/10.1093/jcbiol/rux070</w:t>
            </w:r>
            <w:r w:rsidRPr="000A3053">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 </w:t>
            </w:r>
          </w:p>
          <w:p w14:paraId="6F42FB74" w14:textId="77777777" w:rsidR="002D7080" w:rsidRPr="004D1E6F" w:rsidRDefault="002D7080" w:rsidP="00956545">
            <w:pPr>
              <w:spacing w:after="0"/>
              <w:ind w:left="522" w:hanging="522"/>
              <w:jc w:val="both"/>
              <w:rPr>
                <w:rFonts w:ascii="Times New Roman" w:eastAsia="Times New Roman" w:hAnsi="Times New Roman" w:cs="Times New Roman"/>
                <w:color w:val="000000"/>
                <w:sz w:val="20"/>
                <w:szCs w:val="20"/>
                <w:lang w:eastAsia="en-ZA"/>
              </w:rPr>
            </w:pPr>
            <w:r w:rsidRPr="00D274AC">
              <w:rPr>
                <w:rFonts w:ascii="Times New Roman" w:hAnsi="Times New Roman" w:cs="Times New Roman"/>
                <w:sz w:val="20"/>
                <w:szCs w:val="20"/>
              </w:rPr>
              <w:t xml:space="preserve">CABI, 2024. </w:t>
            </w:r>
            <w:r w:rsidRPr="00D274AC">
              <w:rPr>
                <w:rFonts w:ascii="Times New Roman" w:hAnsi="Times New Roman" w:cs="Times New Roman"/>
                <w:i/>
                <w:iCs/>
                <w:sz w:val="20"/>
                <w:szCs w:val="20"/>
              </w:rPr>
              <w:t>Procambarus acutus acutus</w:t>
            </w:r>
            <w:r w:rsidRPr="00D274AC">
              <w:rPr>
                <w:rFonts w:ascii="Times New Roman" w:hAnsi="Times New Roman" w:cs="Times New Roman"/>
                <w:sz w:val="20"/>
                <w:szCs w:val="20"/>
              </w:rPr>
              <w:t xml:space="preserve">. Invasive Species Compendium, </w:t>
            </w:r>
            <w:r w:rsidRPr="00D274AC">
              <w:rPr>
                <w:rFonts w:ascii="Times New Roman" w:hAnsi="Times New Roman" w:cs="Times New Roman"/>
                <w:color w:val="000000"/>
                <w:sz w:val="20"/>
                <w:szCs w:val="20"/>
                <w:shd w:val="clear" w:color="auto" w:fill="FFFFFF"/>
              </w:rPr>
              <w:t>CABI Publishing, Wallingford, UK.</w:t>
            </w:r>
            <w:r w:rsidRPr="00D274AC">
              <w:rPr>
                <w:rFonts w:ascii="Times New Roman" w:hAnsi="Times New Roman" w:cs="Times New Roman"/>
                <w:sz w:val="20"/>
                <w:szCs w:val="20"/>
              </w:rPr>
              <w:t xml:space="preserve"> </w:t>
            </w:r>
            <w:hyperlink w:history="1">
              <w:r w:rsidRPr="00D274AC">
                <w:rPr>
                  <w:rStyle w:val="Hyperlink"/>
                  <w:rFonts w:ascii="Times New Roman" w:hAnsi="Times New Roman" w:cs="Times New Roman"/>
                  <w:sz w:val="20"/>
                  <w:szCs w:val="20"/>
                </w:rPr>
                <w:t>https://www.cabidigitallibrary.org/doi/10.1079/cabicompendium.67841</w:t>
              </w:r>
            </w:hyperlink>
            <w:r w:rsidRPr="00D274AC">
              <w:rPr>
                <w:rFonts w:ascii="Times New Roman" w:hAnsi="Times New Roman" w:cs="Times New Roman"/>
                <w:sz w:val="20"/>
                <w:szCs w:val="20"/>
              </w:rPr>
              <w:t xml:space="preserve"> (accessed 10 July 2024)</w:t>
            </w:r>
          </w:p>
        </w:tc>
      </w:tr>
      <w:tr w:rsidR="002D7080" w:rsidRPr="004D1E6F" w14:paraId="5F50E7BD" w14:textId="77777777" w:rsidTr="002E2C37">
        <w:trPr>
          <w:cantSplit/>
          <w:trHeight w:val="251"/>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9AA24C2"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BAC6 Common name(s) considered</w:t>
            </w:r>
          </w:p>
        </w:tc>
      </w:tr>
      <w:tr w:rsidR="002D7080" w:rsidRPr="004D1E6F" w14:paraId="00E0ED57" w14:textId="77777777" w:rsidTr="002E2C37">
        <w:trPr>
          <w:cantSplit/>
          <w:trHeight w:val="260"/>
        </w:trPr>
        <w:tc>
          <w:tcPr>
            <w:tcW w:w="8790" w:type="dxa"/>
            <w:gridSpan w:val="4"/>
            <w:tcBorders>
              <w:top w:val="single" w:sz="4" w:space="0" w:color="auto"/>
              <w:left w:val="single" w:sz="4" w:space="0" w:color="auto"/>
              <w:bottom w:val="single" w:sz="4" w:space="0" w:color="auto"/>
              <w:right w:val="single" w:sz="4" w:space="0" w:color="auto"/>
            </w:tcBorders>
            <w:noWrap/>
          </w:tcPr>
          <w:p w14:paraId="3DD71F84" w14:textId="77777777" w:rsidR="002D7080" w:rsidRPr="004D1E6F" w:rsidRDefault="002D7080" w:rsidP="00956545">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Common names: White River crayfish</w:t>
            </w:r>
            <w:r>
              <w:rPr>
                <w:rFonts w:ascii="Times New Roman" w:eastAsia="Times New Roman" w:hAnsi="Times New Roman" w:cs="Times New Roman"/>
                <w:color w:val="000000"/>
                <w:sz w:val="20"/>
                <w:szCs w:val="20"/>
                <w:lang w:eastAsia="en-ZA"/>
              </w:rPr>
              <w:t xml:space="preserve"> | eastern white river crayfish </w:t>
            </w:r>
          </w:p>
        </w:tc>
      </w:tr>
      <w:tr w:rsidR="002D7080" w:rsidRPr="004D1E6F" w14:paraId="552236CC"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4FFDC2AD" w14:textId="77777777" w:rsidR="002D7080" w:rsidRPr="004D1E6F" w:rsidRDefault="002D7080" w:rsidP="00956545">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The above listed common English names for </w:t>
            </w:r>
            <w:r w:rsidRPr="00395C85">
              <w:rPr>
                <w:rFonts w:ascii="Times New Roman" w:eastAsia="Times New Roman" w:hAnsi="Times New Roman" w:cs="Times New Roman"/>
                <w:i/>
                <w:iCs/>
                <w:color w:val="000000"/>
                <w:sz w:val="20"/>
                <w:szCs w:val="20"/>
                <w:lang w:eastAsia="en-ZA"/>
              </w:rPr>
              <w:t>P. acutus</w:t>
            </w:r>
            <w:r>
              <w:rPr>
                <w:rFonts w:ascii="Times New Roman" w:eastAsia="Times New Roman" w:hAnsi="Times New Roman" w:cs="Times New Roman"/>
                <w:i/>
                <w:iCs/>
                <w:color w:val="000000"/>
                <w:sz w:val="20"/>
                <w:szCs w:val="20"/>
                <w:lang w:eastAsia="en-ZA"/>
              </w:rPr>
              <w:t xml:space="preserve"> </w:t>
            </w:r>
            <w:r w:rsidRPr="00A82089">
              <w:rPr>
                <w:rFonts w:ascii="Times New Roman" w:eastAsia="Times New Roman" w:hAnsi="Times New Roman" w:cs="Times New Roman"/>
                <w:color w:val="000000"/>
                <w:sz w:val="20"/>
                <w:szCs w:val="20"/>
                <w:lang w:eastAsia="en-ZA"/>
              </w:rPr>
              <w:t>were c</w:t>
            </w:r>
            <w:r>
              <w:rPr>
                <w:rFonts w:ascii="Times New Roman" w:eastAsia="Times New Roman" w:hAnsi="Times New Roman" w:cs="Times New Roman"/>
                <w:color w:val="000000"/>
                <w:sz w:val="20"/>
                <w:szCs w:val="20"/>
                <w:lang w:eastAsia="en-ZA"/>
              </w:rPr>
              <w:t xml:space="preserve">onsidered for the literature search for this risk analysis (CABI, 2024).  </w:t>
            </w:r>
          </w:p>
        </w:tc>
      </w:tr>
      <w:tr w:rsidR="002D7080" w:rsidRPr="004D1E6F" w14:paraId="082DED8C"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1C9D0E26" w14:textId="77777777" w:rsidR="002D7080" w:rsidRPr="004D1E6F" w:rsidRDefault="002D7080" w:rsidP="00956545">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References:</w:t>
            </w:r>
          </w:p>
          <w:p w14:paraId="503479B5" w14:textId="77777777" w:rsidR="002D7080" w:rsidRPr="004D1E6F" w:rsidRDefault="002D7080" w:rsidP="00956545">
            <w:pPr>
              <w:spacing w:after="160"/>
              <w:ind w:left="522" w:hanging="522"/>
              <w:jc w:val="both"/>
              <w:rPr>
                <w:rFonts w:ascii="Times New Roman" w:eastAsia="Times New Roman" w:hAnsi="Times New Roman" w:cs="Times New Roman"/>
                <w:color w:val="000000"/>
                <w:sz w:val="20"/>
                <w:szCs w:val="20"/>
                <w:lang w:eastAsia="en-ZA"/>
              </w:rPr>
            </w:pPr>
            <w:r w:rsidRPr="00D274AC">
              <w:rPr>
                <w:rFonts w:ascii="Times New Roman" w:hAnsi="Times New Roman" w:cs="Times New Roman"/>
                <w:sz w:val="20"/>
                <w:szCs w:val="20"/>
              </w:rPr>
              <w:t xml:space="preserve">CABI, 2024. </w:t>
            </w:r>
            <w:r w:rsidRPr="00D274AC">
              <w:rPr>
                <w:rFonts w:ascii="Times New Roman" w:hAnsi="Times New Roman" w:cs="Times New Roman"/>
                <w:i/>
                <w:iCs/>
                <w:sz w:val="20"/>
                <w:szCs w:val="20"/>
              </w:rPr>
              <w:t>Procambarus acutus acutus</w:t>
            </w:r>
            <w:r w:rsidRPr="00D274AC">
              <w:rPr>
                <w:rFonts w:ascii="Times New Roman" w:hAnsi="Times New Roman" w:cs="Times New Roman"/>
                <w:sz w:val="20"/>
                <w:szCs w:val="20"/>
              </w:rPr>
              <w:t xml:space="preserve">. Invasive Species Compendium, </w:t>
            </w:r>
            <w:r w:rsidRPr="00D274AC">
              <w:rPr>
                <w:rFonts w:ascii="Times New Roman" w:hAnsi="Times New Roman" w:cs="Times New Roman"/>
                <w:color w:val="000000"/>
                <w:sz w:val="20"/>
                <w:szCs w:val="20"/>
                <w:shd w:val="clear" w:color="auto" w:fill="FFFFFF"/>
              </w:rPr>
              <w:t>CABI Publishing, Wallingford, UK.</w:t>
            </w:r>
            <w:r w:rsidRPr="00D274AC">
              <w:rPr>
                <w:rFonts w:ascii="Times New Roman" w:hAnsi="Times New Roman" w:cs="Times New Roman"/>
                <w:sz w:val="20"/>
                <w:szCs w:val="20"/>
              </w:rPr>
              <w:t xml:space="preserve"> </w:t>
            </w:r>
            <w:hyperlink w:history="1">
              <w:r w:rsidRPr="00D274AC">
                <w:rPr>
                  <w:rStyle w:val="Hyperlink"/>
                  <w:rFonts w:ascii="Times New Roman" w:hAnsi="Times New Roman" w:cs="Times New Roman"/>
                  <w:sz w:val="20"/>
                  <w:szCs w:val="20"/>
                </w:rPr>
                <w:t>https://www.cabidigitallibrary.org/doi/10.1079/cabicompendium.67841</w:t>
              </w:r>
            </w:hyperlink>
            <w:r w:rsidRPr="00D274AC">
              <w:rPr>
                <w:rFonts w:ascii="Times New Roman" w:hAnsi="Times New Roman" w:cs="Times New Roman"/>
                <w:sz w:val="20"/>
                <w:szCs w:val="20"/>
              </w:rPr>
              <w:t xml:space="preserve"> (accessed 10 July 2024)</w:t>
            </w:r>
          </w:p>
        </w:tc>
      </w:tr>
      <w:tr w:rsidR="002D7080" w:rsidRPr="004D1E6F" w14:paraId="1E994FC0" w14:textId="77777777" w:rsidTr="002E2C37">
        <w:trPr>
          <w:cantSplit/>
          <w:trHeight w:val="197"/>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4FED0B3" w14:textId="77777777" w:rsidR="002D7080" w:rsidRPr="004D1E6F" w:rsidRDefault="002D7080" w:rsidP="00956545">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BAC7 What is the native range of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(add map in Appendix BAC7)</w:t>
            </w:r>
          </w:p>
        </w:tc>
      </w:tr>
      <w:tr w:rsidR="002D7080" w:rsidRPr="004D1E6F" w14:paraId="78D1CF1B" w14:textId="77777777" w:rsidTr="002E2C37">
        <w:trPr>
          <w:cantSplit/>
          <w:trHeight w:val="390"/>
        </w:trPr>
        <w:tc>
          <w:tcPr>
            <w:tcW w:w="6124" w:type="dxa"/>
            <w:gridSpan w:val="3"/>
            <w:tcBorders>
              <w:top w:val="single" w:sz="4" w:space="0" w:color="auto"/>
              <w:left w:val="single" w:sz="4" w:space="0" w:color="auto"/>
              <w:bottom w:val="single" w:sz="4" w:space="0" w:color="auto"/>
              <w:right w:val="single" w:sz="4" w:space="0" w:color="auto"/>
            </w:tcBorders>
            <w:noWrap/>
          </w:tcPr>
          <w:p w14:paraId="7A9541BA" w14:textId="77777777" w:rsidR="002D7080" w:rsidRPr="004D1E6F" w:rsidRDefault="002D7080" w:rsidP="00956545">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Coastal plain from Maine to Georgia, and from the Florida panhandle to Texas, and Minnesota to Ohio.</w:t>
            </w:r>
          </w:p>
        </w:tc>
        <w:tc>
          <w:tcPr>
            <w:tcW w:w="2666" w:type="dxa"/>
            <w:tcBorders>
              <w:top w:val="single" w:sz="4" w:space="0" w:color="auto"/>
              <w:left w:val="single" w:sz="4" w:space="0" w:color="auto"/>
              <w:bottom w:val="single" w:sz="4" w:space="0" w:color="auto"/>
              <w:right w:val="single" w:sz="4" w:space="0" w:color="auto"/>
            </w:tcBorders>
          </w:tcPr>
          <w:p w14:paraId="4B0779A0"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High</w:t>
            </w:r>
          </w:p>
        </w:tc>
      </w:tr>
      <w:tr w:rsidR="002D7080" w:rsidRPr="004D1E6F" w14:paraId="29C09CD8" w14:textId="77777777" w:rsidTr="002E2C37">
        <w:trPr>
          <w:cantSplit/>
          <w:trHeight w:val="233"/>
        </w:trPr>
        <w:tc>
          <w:tcPr>
            <w:tcW w:w="8790" w:type="dxa"/>
            <w:gridSpan w:val="4"/>
            <w:tcBorders>
              <w:top w:val="single" w:sz="4" w:space="0" w:color="auto"/>
              <w:left w:val="single" w:sz="4" w:space="0" w:color="auto"/>
              <w:bottom w:val="single" w:sz="4" w:space="0" w:color="auto"/>
              <w:right w:val="single" w:sz="4" w:space="0" w:color="auto"/>
            </w:tcBorders>
            <w:noWrap/>
          </w:tcPr>
          <w:p w14:paraId="240332CD" w14:textId="77777777" w:rsidR="002D7080" w:rsidRPr="004D1E6F" w:rsidRDefault="002D7080" w:rsidP="00956545">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Native range encompasses most of central and eastern USA (Loughman 2007; Crandall 2010)</w:t>
            </w:r>
          </w:p>
        </w:tc>
      </w:tr>
      <w:tr w:rsidR="002D7080" w:rsidRPr="004D1E6F" w14:paraId="1490E509"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5D4DD10D" w14:textId="77777777" w:rsidR="002D7080" w:rsidRPr="004D1E6F" w:rsidRDefault="002D7080" w:rsidP="00956545">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0D59BD9C" w14:textId="77777777" w:rsidR="002D7080" w:rsidRDefault="002D7080" w:rsidP="00956545">
            <w:pPr>
              <w:spacing w:after="0"/>
              <w:ind w:left="522" w:hanging="612"/>
              <w:jc w:val="both"/>
              <w:rPr>
                <w:rFonts w:ascii="Times New Roman" w:eastAsia="Times New Roman" w:hAnsi="Times New Roman" w:cs="Times New Roman"/>
                <w:color w:val="0563C1"/>
                <w:sz w:val="20"/>
                <w:szCs w:val="20"/>
                <w:u w:val="single"/>
                <w:lang w:eastAsia="en-ZA"/>
              </w:rPr>
            </w:pPr>
            <w:r w:rsidRPr="004D1E6F">
              <w:rPr>
                <w:rFonts w:ascii="Times New Roman" w:eastAsia="Times New Roman" w:hAnsi="Times New Roman" w:cs="Times New Roman"/>
                <w:color w:val="000000"/>
                <w:sz w:val="20"/>
                <w:szCs w:val="20"/>
                <w:lang w:eastAsia="en-ZA"/>
              </w:rPr>
              <w:t>Crandall</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K</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2010</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sidRPr="00C70156">
              <w:rPr>
                <w:rFonts w:ascii="Times New Roman" w:eastAsia="Times New Roman" w:hAnsi="Times New Roman" w:cs="Times New Roman"/>
                <w:i/>
                <w:iCs/>
                <w:color w:val="000000"/>
                <w:sz w:val="20"/>
                <w:szCs w:val="20"/>
                <w:lang w:eastAsia="en-ZA"/>
              </w:rPr>
              <w:t>Procambarus a</w:t>
            </w:r>
            <w:r w:rsidRPr="004D1E6F">
              <w:rPr>
                <w:rFonts w:ascii="Times New Roman" w:eastAsia="Times New Roman" w:hAnsi="Times New Roman" w:cs="Times New Roman"/>
                <w:color w:val="000000"/>
                <w:sz w:val="20"/>
                <w:szCs w:val="20"/>
                <w:lang w:eastAsia="en-ZA"/>
              </w:rPr>
              <w:t xml:space="preserve">cutus. The IUCN Red List of Threatened Species 2010: e.T154022A4577805. </w:t>
            </w:r>
            <w:hyperlink w:history="1">
              <w:r w:rsidRPr="00E06ACD">
                <w:rPr>
                  <w:rStyle w:val="Hyperlink"/>
                  <w:rFonts w:ascii="Times New Roman" w:eastAsia="Times New Roman" w:hAnsi="Times New Roman" w:cs="Times New Roman"/>
                  <w:sz w:val="20"/>
                  <w:szCs w:val="20"/>
                  <w:lang w:eastAsia="en-ZA"/>
                </w:rPr>
                <w:t>http://dx.doi.org/10.2305/IUCN.UK.2010-3.RLTS.T154022A4577805.en</w:t>
              </w:r>
            </w:hyperlink>
          </w:p>
          <w:p w14:paraId="46CBD400" w14:textId="04B55D0A" w:rsidR="002D7080" w:rsidRPr="004D1E6F" w:rsidRDefault="002D7080" w:rsidP="00956545">
            <w:pPr>
              <w:spacing w:after="0"/>
              <w:ind w:left="522" w:hanging="612"/>
              <w:jc w:val="both"/>
              <w:rPr>
                <w:rFonts w:ascii="Times New Roman" w:eastAsia="Times New Roman" w:hAnsi="Times New Roman" w:cs="Times New Roman"/>
                <w:color w:val="000000"/>
                <w:sz w:val="20"/>
                <w:szCs w:val="20"/>
                <w:lang w:eastAsia="en-ZA"/>
              </w:rPr>
            </w:pPr>
            <w:r w:rsidRPr="00102FFA">
              <w:rPr>
                <w:rFonts w:ascii="Times New Roman" w:eastAsia="Times New Roman" w:hAnsi="Times New Roman" w:cs="Times New Roman"/>
                <w:color w:val="000000"/>
                <w:sz w:val="20"/>
                <w:szCs w:val="20"/>
                <w:lang w:eastAsia="en-ZA"/>
              </w:rPr>
              <w:t>Loughman, Z.</w:t>
            </w:r>
            <w:r>
              <w:rPr>
                <w:rFonts w:ascii="Times New Roman" w:eastAsia="Times New Roman" w:hAnsi="Times New Roman" w:cs="Times New Roman"/>
                <w:color w:val="000000"/>
                <w:sz w:val="20"/>
                <w:szCs w:val="20"/>
                <w:lang w:eastAsia="en-ZA"/>
              </w:rPr>
              <w:t>,</w:t>
            </w:r>
            <w:r w:rsidRPr="00102FFA">
              <w:rPr>
                <w:rFonts w:ascii="Times New Roman" w:eastAsia="Times New Roman" w:hAnsi="Times New Roman" w:cs="Times New Roman"/>
                <w:color w:val="000000"/>
                <w:sz w:val="20"/>
                <w:szCs w:val="20"/>
                <w:lang w:eastAsia="en-ZA"/>
              </w:rPr>
              <w:t xml:space="preserve"> 2007</w:t>
            </w:r>
            <w:r>
              <w:rPr>
                <w:rFonts w:ascii="Times New Roman" w:eastAsia="Times New Roman" w:hAnsi="Times New Roman" w:cs="Times New Roman"/>
                <w:color w:val="000000"/>
                <w:sz w:val="20"/>
                <w:szCs w:val="20"/>
                <w:lang w:eastAsia="en-ZA"/>
              </w:rPr>
              <w:t>, ‘</w:t>
            </w:r>
            <w:r w:rsidRPr="00102FFA">
              <w:rPr>
                <w:rFonts w:ascii="Times New Roman" w:eastAsia="Times New Roman" w:hAnsi="Times New Roman" w:cs="Times New Roman"/>
                <w:color w:val="000000"/>
                <w:sz w:val="20"/>
                <w:szCs w:val="20"/>
                <w:lang w:eastAsia="en-ZA"/>
              </w:rPr>
              <w:t xml:space="preserve">First Record of </w:t>
            </w:r>
            <w:r w:rsidRPr="00102FFA">
              <w:rPr>
                <w:rFonts w:ascii="Times New Roman" w:eastAsia="Times New Roman" w:hAnsi="Times New Roman" w:cs="Times New Roman"/>
                <w:i/>
                <w:iCs/>
                <w:color w:val="000000"/>
                <w:sz w:val="20"/>
                <w:szCs w:val="20"/>
                <w:lang w:eastAsia="en-ZA"/>
              </w:rPr>
              <w:t xml:space="preserve">Procambarus </w:t>
            </w:r>
            <w:r w:rsidRPr="00102FFA">
              <w:rPr>
                <w:rFonts w:ascii="Times New Roman" w:eastAsia="Times New Roman" w:hAnsi="Times New Roman" w:cs="Times New Roman"/>
                <w:color w:val="000000"/>
                <w:sz w:val="20"/>
                <w:szCs w:val="20"/>
                <w:lang w:eastAsia="en-ZA"/>
              </w:rPr>
              <w:t>(</w:t>
            </w:r>
            <w:r w:rsidRPr="00102FFA">
              <w:rPr>
                <w:rFonts w:ascii="Times New Roman" w:eastAsia="Times New Roman" w:hAnsi="Times New Roman" w:cs="Times New Roman"/>
                <w:i/>
                <w:iCs/>
                <w:color w:val="000000"/>
                <w:sz w:val="20"/>
                <w:szCs w:val="20"/>
                <w:lang w:eastAsia="en-ZA"/>
              </w:rPr>
              <w:t>Ortmannicus</w:t>
            </w:r>
            <w:r w:rsidRPr="00102FFA">
              <w:rPr>
                <w:rFonts w:ascii="Times New Roman" w:eastAsia="Times New Roman" w:hAnsi="Times New Roman" w:cs="Times New Roman"/>
                <w:color w:val="000000"/>
                <w:sz w:val="20"/>
                <w:szCs w:val="20"/>
                <w:lang w:eastAsia="en-ZA"/>
              </w:rPr>
              <w:t xml:space="preserve">) </w:t>
            </w:r>
            <w:r w:rsidRPr="00102FFA">
              <w:rPr>
                <w:rFonts w:ascii="Times New Roman" w:eastAsia="Times New Roman" w:hAnsi="Times New Roman" w:cs="Times New Roman"/>
                <w:i/>
                <w:iCs/>
                <w:color w:val="000000"/>
                <w:sz w:val="20"/>
                <w:szCs w:val="20"/>
                <w:lang w:eastAsia="en-ZA"/>
              </w:rPr>
              <w:t>acutus</w:t>
            </w:r>
            <w:r w:rsidRPr="00102FFA">
              <w:rPr>
                <w:rFonts w:ascii="Times New Roman" w:eastAsia="Times New Roman" w:hAnsi="Times New Roman" w:cs="Times New Roman"/>
                <w:color w:val="000000"/>
                <w:sz w:val="20"/>
                <w:szCs w:val="20"/>
                <w:lang w:eastAsia="en-ZA"/>
              </w:rPr>
              <w:t xml:space="preserve"> (White River Crayfish) in West Viriginia, with </w:t>
            </w:r>
            <w:r>
              <w:rPr>
                <w:rFonts w:ascii="Times New Roman" w:eastAsia="Times New Roman" w:hAnsi="Times New Roman" w:cs="Times New Roman"/>
                <w:color w:val="000000"/>
                <w:sz w:val="20"/>
                <w:szCs w:val="20"/>
                <w:lang w:eastAsia="en-ZA"/>
              </w:rPr>
              <w:t>n</w:t>
            </w:r>
            <w:r w:rsidRPr="00102FFA">
              <w:rPr>
                <w:rFonts w:ascii="Times New Roman" w:eastAsia="Times New Roman" w:hAnsi="Times New Roman" w:cs="Times New Roman"/>
                <w:color w:val="000000"/>
                <w:sz w:val="20"/>
                <w:szCs w:val="20"/>
                <w:lang w:eastAsia="en-ZA"/>
              </w:rPr>
              <w:t xml:space="preserve">otes on its </w:t>
            </w:r>
            <w:r>
              <w:rPr>
                <w:rFonts w:ascii="Times New Roman" w:eastAsia="Times New Roman" w:hAnsi="Times New Roman" w:cs="Times New Roman"/>
                <w:color w:val="000000"/>
                <w:sz w:val="20"/>
                <w:szCs w:val="20"/>
                <w:lang w:eastAsia="en-ZA"/>
              </w:rPr>
              <w:t>n</w:t>
            </w:r>
            <w:r w:rsidRPr="00102FFA">
              <w:rPr>
                <w:rFonts w:ascii="Times New Roman" w:eastAsia="Times New Roman" w:hAnsi="Times New Roman" w:cs="Times New Roman"/>
                <w:color w:val="000000"/>
                <w:sz w:val="20"/>
                <w:szCs w:val="20"/>
                <w:lang w:eastAsia="en-ZA"/>
              </w:rPr>
              <w:t xml:space="preserve">atural </w:t>
            </w:r>
            <w:r>
              <w:rPr>
                <w:rFonts w:ascii="Times New Roman" w:eastAsia="Times New Roman" w:hAnsi="Times New Roman" w:cs="Times New Roman"/>
                <w:color w:val="000000"/>
                <w:sz w:val="20"/>
                <w:szCs w:val="20"/>
                <w:lang w:eastAsia="en-ZA"/>
              </w:rPr>
              <w:t>h</w:t>
            </w:r>
            <w:r w:rsidRPr="00102FFA">
              <w:rPr>
                <w:rFonts w:ascii="Times New Roman" w:eastAsia="Times New Roman" w:hAnsi="Times New Roman" w:cs="Times New Roman"/>
                <w:color w:val="000000"/>
                <w:sz w:val="20"/>
                <w:szCs w:val="20"/>
                <w:lang w:eastAsia="en-ZA"/>
              </w:rPr>
              <w:t>istory</w:t>
            </w:r>
            <w:r>
              <w:rPr>
                <w:rFonts w:ascii="Times New Roman" w:eastAsia="Times New Roman" w:hAnsi="Times New Roman" w:cs="Times New Roman"/>
                <w:color w:val="000000"/>
                <w:sz w:val="20"/>
                <w:szCs w:val="20"/>
                <w:lang w:eastAsia="en-ZA"/>
              </w:rPr>
              <w:t>’,</w:t>
            </w:r>
            <w:r w:rsidRPr="00102FFA">
              <w:rPr>
                <w:rFonts w:ascii="Times New Roman" w:eastAsia="Times New Roman" w:hAnsi="Times New Roman" w:cs="Times New Roman"/>
                <w:color w:val="000000"/>
                <w:sz w:val="20"/>
                <w:szCs w:val="20"/>
                <w:lang w:eastAsia="en-ZA"/>
              </w:rPr>
              <w:t xml:space="preserve"> </w:t>
            </w:r>
            <w:r w:rsidRPr="001005FC">
              <w:rPr>
                <w:rFonts w:ascii="Times New Roman" w:eastAsia="Times New Roman" w:hAnsi="Times New Roman" w:cs="Times New Roman"/>
                <w:i/>
                <w:iCs/>
                <w:color w:val="000000"/>
                <w:sz w:val="20"/>
                <w:szCs w:val="20"/>
                <w:lang w:eastAsia="en-ZA"/>
              </w:rPr>
              <w:t>Northeastern Naturalist</w:t>
            </w:r>
            <w:r w:rsidRPr="00102FFA">
              <w:rPr>
                <w:rFonts w:ascii="Times New Roman" w:eastAsia="Times New Roman" w:hAnsi="Times New Roman" w:cs="Times New Roman"/>
                <w:color w:val="000000"/>
                <w:sz w:val="20"/>
                <w:szCs w:val="20"/>
                <w:lang w:eastAsia="en-ZA"/>
              </w:rPr>
              <w:t xml:space="preserve"> 14(3)</w:t>
            </w:r>
            <w:r>
              <w:rPr>
                <w:rFonts w:ascii="Times New Roman" w:eastAsia="Times New Roman" w:hAnsi="Times New Roman" w:cs="Times New Roman"/>
                <w:color w:val="000000"/>
                <w:sz w:val="20"/>
                <w:szCs w:val="20"/>
                <w:lang w:eastAsia="en-ZA"/>
              </w:rPr>
              <w:t xml:space="preserve">, </w:t>
            </w:r>
            <w:r w:rsidRPr="00102FFA">
              <w:rPr>
                <w:rFonts w:ascii="Times New Roman" w:eastAsia="Times New Roman" w:hAnsi="Times New Roman" w:cs="Times New Roman"/>
                <w:color w:val="000000"/>
                <w:sz w:val="20"/>
                <w:szCs w:val="20"/>
                <w:lang w:eastAsia="en-ZA"/>
              </w:rPr>
              <w:t>495-500.</w:t>
            </w:r>
            <w:r>
              <w:rPr>
                <w:rFonts w:ascii="Times New Roman" w:eastAsia="Times New Roman" w:hAnsi="Times New Roman" w:cs="Times New Roman"/>
                <w:color w:val="000000"/>
                <w:sz w:val="20"/>
                <w:szCs w:val="20"/>
                <w:lang w:eastAsia="en-ZA"/>
              </w:rPr>
              <w:t xml:space="preserve"> </w:t>
            </w:r>
            <w:r w:rsidR="009962CF" w:rsidRPr="008A0BC6">
              <w:rPr>
                <w:rFonts w:ascii="Times New Roman" w:hAnsi="Times New Roman" w:cs="Times New Roman"/>
                <w:sz w:val="20"/>
                <w:szCs w:val="20"/>
              </w:rPr>
              <w:t>https://doi.org/10.1656/1092-6194(2007)14[495:FROPOA]2.0.CO;2</w:t>
            </w:r>
            <w:r>
              <w:rPr>
                <w:rFonts w:ascii="Times New Roman" w:eastAsia="Times New Roman" w:hAnsi="Times New Roman" w:cs="Times New Roman"/>
                <w:color w:val="000000"/>
                <w:sz w:val="20"/>
                <w:szCs w:val="20"/>
                <w:lang w:eastAsia="en-ZA"/>
              </w:rPr>
              <w:t>.</w:t>
            </w:r>
          </w:p>
        </w:tc>
      </w:tr>
      <w:tr w:rsidR="002D7080" w:rsidRPr="004D1E6F" w14:paraId="002B2B31" w14:textId="77777777" w:rsidTr="002E2C37">
        <w:trPr>
          <w:cantSplit/>
          <w:trHeight w:val="101"/>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5AF465D" w14:textId="77777777" w:rsidR="002D7080" w:rsidRPr="004D1E6F" w:rsidRDefault="002D7080" w:rsidP="00956545">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BAC8 What is the global alien range of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(add map in Appendix BAC8)</w:t>
            </w:r>
          </w:p>
        </w:tc>
      </w:tr>
      <w:tr w:rsidR="002D7080" w:rsidRPr="004D1E6F" w14:paraId="4FDE5E6F" w14:textId="77777777" w:rsidTr="002E2C37">
        <w:trPr>
          <w:cantSplit/>
          <w:trHeight w:val="494"/>
        </w:trPr>
        <w:tc>
          <w:tcPr>
            <w:tcW w:w="6124" w:type="dxa"/>
            <w:gridSpan w:val="3"/>
            <w:tcBorders>
              <w:top w:val="single" w:sz="4" w:space="0" w:color="auto"/>
              <w:left w:val="single" w:sz="4" w:space="0" w:color="auto"/>
              <w:bottom w:val="single" w:sz="4" w:space="0" w:color="auto"/>
              <w:right w:val="single" w:sz="4" w:space="0" w:color="auto"/>
            </w:tcBorders>
            <w:noWrap/>
          </w:tcPr>
          <w:p w14:paraId="13249C45" w14:textId="77777777" w:rsidR="002D7080" w:rsidRPr="004D1E6F" w:rsidRDefault="002D7080" w:rsidP="00956545">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w:t>
            </w:r>
            <w:r>
              <w:rPr>
                <w:rFonts w:ascii="Times New Roman" w:eastAsia="Times New Roman" w:hAnsi="Times New Roman" w:cs="Times New Roman"/>
                <w:color w:val="000000"/>
                <w:sz w:val="20"/>
                <w:szCs w:val="20"/>
                <w:lang w:eastAsia="en-ZA"/>
              </w:rPr>
              <w:t xml:space="preserve"> Egypt, Netherlands, and USA (California, Connecticut, Kentucky, Maine, Massachusetts, and Rhode Island).</w:t>
            </w:r>
          </w:p>
        </w:tc>
        <w:tc>
          <w:tcPr>
            <w:tcW w:w="2666" w:type="dxa"/>
            <w:tcBorders>
              <w:top w:val="single" w:sz="4" w:space="0" w:color="auto"/>
              <w:left w:val="single" w:sz="4" w:space="0" w:color="auto"/>
              <w:bottom w:val="single" w:sz="4" w:space="0" w:color="auto"/>
              <w:right w:val="single" w:sz="4" w:space="0" w:color="auto"/>
            </w:tcBorders>
          </w:tcPr>
          <w:p w14:paraId="7E8BAFA6"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57E9FA08"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20D9A05E" w14:textId="77777777" w:rsidR="002D7080" w:rsidRPr="004D1E6F" w:rsidRDefault="002D7080" w:rsidP="00956545">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Comments: </w:t>
            </w:r>
            <w:r>
              <w:rPr>
                <w:rFonts w:ascii="Times New Roman" w:eastAsia="Times New Roman" w:hAnsi="Times New Roman" w:cs="Times New Roman"/>
                <w:color w:val="000000"/>
                <w:sz w:val="20"/>
                <w:szCs w:val="20"/>
                <w:lang w:eastAsia="en-ZA"/>
              </w:rPr>
              <w:t xml:space="preserve">Introduced to several areas outside its natural range in the USA and was also introduced to </w:t>
            </w:r>
            <w:r w:rsidRPr="004D1E6F">
              <w:rPr>
                <w:rFonts w:ascii="Times New Roman" w:eastAsia="Times New Roman" w:hAnsi="Times New Roman" w:cs="Times New Roman"/>
                <w:color w:val="000000"/>
                <w:sz w:val="20"/>
                <w:szCs w:val="20"/>
                <w:lang w:eastAsia="en-ZA"/>
              </w:rPr>
              <w:t>Egypt</w:t>
            </w:r>
            <w:r>
              <w:rPr>
                <w:rFonts w:ascii="Times New Roman" w:eastAsia="Times New Roman" w:hAnsi="Times New Roman" w:cs="Times New Roman"/>
                <w:color w:val="000000"/>
                <w:sz w:val="20"/>
                <w:szCs w:val="20"/>
                <w:lang w:eastAsia="en-ZA"/>
              </w:rPr>
              <w:t xml:space="preserve"> and </w:t>
            </w:r>
            <w:r w:rsidRPr="004D1E6F">
              <w:rPr>
                <w:rFonts w:ascii="Times New Roman" w:eastAsia="Times New Roman" w:hAnsi="Times New Roman" w:cs="Times New Roman"/>
                <w:color w:val="000000"/>
                <w:sz w:val="20"/>
                <w:szCs w:val="20"/>
                <w:lang w:eastAsia="en-ZA"/>
              </w:rPr>
              <w:t>the Netherlands</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Ibrahim et al. 1997; Taylor et al. 2007; </w:t>
            </w:r>
            <w:r w:rsidRPr="004D1E6F">
              <w:rPr>
                <w:rFonts w:ascii="Times New Roman" w:eastAsia="Times New Roman" w:hAnsi="Times New Roman" w:cs="Times New Roman"/>
                <w:color w:val="000000"/>
                <w:sz w:val="20"/>
                <w:szCs w:val="20"/>
                <w:lang w:eastAsia="en-ZA"/>
              </w:rPr>
              <w:t>Holdich et al. 2009</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Soes &amp; Koese 2010</w:t>
            </w:r>
            <w:r>
              <w:rPr>
                <w:rFonts w:ascii="Times New Roman" w:eastAsia="Times New Roman" w:hAnsi="Times New Roman" w:cs="Times New Roman"/>
                <w:color w:val="000000"/>
                <w:sz w:val="20"/>
                <w:szCs w:val="20"/>
                <w:lang w:eastAsia="en-ZA"/>
              </w:rPr>
              <w:t>, CABI 2024</w:t>
            </w:r>
            <w:r w:rsidRPr="004D1E6F">
              <w:rPr>
                <w:rFonts w:ascii="Times New Roman" w:eastAsia="Times New Roman" w:hAnsi="Times New Roman" w:cs="Times New Roman"/>
                <w:color w:val="000000"/>
                <w:sz w:val="20"/>
                <w:szCs w:val="20"/>
                <w:lang w:eastAsia="en-ZA"/>
              </w:rPr>
              <w:t>).</w:t>
            </w:r>
          </w:p>
        </w:tc>
      </w:tr>
      <w:tr w:rsidR="002D7080" w:rsidRPr="004D1E6F" w14:paraId="7A5D3AB2" w14:textId="77777777" w:rsidTr="002E2C37">
        <w:trPr>
          <w:cantSplit/>
          <w:trHeight w:val="1664"/>
        </w:trPr>
        <w:tc>
          <w:tcPr>
            <w:tcW w:w="8790" w:type="dxa"/>
            <w:gridSpan w:val="4"/>
            <w:tcBorders>
              <w:top w:val="single" w:sz="4" w:space="0" w:color="auto"/>
              <w:left w:val="single" w:sz="4" w:space="0" w:color="auto"/>
              <w:bottom w:val="single" w:sz="4" w:space="0" w:color="auto"/>
              <w:right w:val="single" w:sz="4" w:space="0" w:color="auto"/>
            </w:tcBorders>
            <w:noWrap/>
          </w:tcPr>
          <w:p w14:paraId="4629F479" w14:textId="77777777" w:rsidR="002D7080" w:rsidRPr="004D1E6F" w:rsidRDefault="002D7080" w:rsidP="00956545">
            <w:pPr>
              <w:spacing w:after="0"/>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5294B18E" w14:textId="041A2406" w:rsidR="002D7080" w:rsidRPr="00A06354" w:rsidRDefault="002D7080" w:rsidP="00956545">
            <w:pPr>
              <w:spacing w:after="160"/>
              <w:ind w:left="522" w:hanging="522"/>
              <w:contextualSpacing/>
              <w:jc w:val="both"/>
              <w:rPr>
                <w:rFonts w:ascii="Times New Roman" w:hAnsi="Times New Roman" w:cs="Times New Roman"/>
                <w:sz w:val="20"/>
                <w:szCs w:val="20"/>
              </w:rPr>
            </w:pPr>
            <w:r w:rsidRPr="00A06354">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A06354">
              <w:rPr>
                <w:rFonts w:ascii="Times New Roman" w:eastAsia="Calibri" w:hAnsi="Times New Roman" w:cs="Times New Roman"/>
                <w:sz w:val="20"/>
                <w:szCs w:val="20"/>
              </w:rPr>
              <w:t xml:space="preserve"> </w:t>
            </w:r>
            <w:r w:rsidRPr="00A06354">
              <w:rPr>
                <w:rFonts w:ascii="Times New Roman" w:eastAsia="Calibri" w:hAnsi="Times New Roman" w:cs="Times New Roman"/>
                <w:bCs/>
                <w:i/>
                <w:sz w:val="20"/>
                <w:szCs w:val="20"/>
              </w:rPr>
              <w:t>Knowledge and Management of Aquatic Ecosystems</w:t>
            </w:r>
            <w:r w:rsidRPr="00A06354">
              <w:rPr>
                <w:rFonts w:ascii="Times New Roman" w:eastAsia="Calibri" w:hAnsi="Times New Roman" w:cs="Times New Roman"/>
                <w:bCs/>
                <w:sz w:val="20"/>
                <w:szCs w:val="20"/>
              </w:rPr>
              <w:t xml:space="preserve"> 11, 394–395</w:t>
            </w:r>
            <w:r w:rsidRPr="008A0BC6">
              <w:rPr>
                <w:rFonts w:ascii="Times New Roman" w:hAnsi="Times New Roman" w:cs="Times New Roman"/>
                <w:sz w:val="18"/>
                <w:szCs w:val="18"/>
              </w:rPr>
              <w:t>.</w:t>
            </w:r>
            <w:r w:rsidR="009962CF" w:rsidRPr="008A0BC6">
              <w:rPr>
                <w:rFonts w:ascii="Times New Roman" w:eastAsia="Calibri" w:hAnsi="Times New Roman" w:cs="Times New Roman"/>
                <w:bCs/>
                <w:sz w:val="18"/>
                <w:szCs w:val="18"/>
              </w:rPr>
              <w:t xml:space="preserve"> </w:t>
            </w:r>
            <w:hyperlink r:id="rId482" w:history="1">
              <w:r w:rsidR="009962CF" w:rsidRPr="008A0BC6">
                <w:rPr>
                  <w:rStyle w:val="Hyperlink"/>
                  <w:rFonts w:ascii="Times New Roman" w:hAnsi="Times New Roman" w:cs="Times New Roman"/>
                  <w:bCs/>
                  <w:sz w:val="20"/>
                  <w:szCs w:val="20"/>
                </w:rPr>
                <w:t>https://doi.org/10.1051/kmae/2009025</w:t>
              </w:r>
            </w:hyperlink>
          </w:p>
          <w:p w14:paraId="2D6C6822" w14:textId="77777777" w:rsidR="002D7080" w:rsidRPr="000A3053" w:rsidRDefault="002D7080" w:rsidP="00956545">
            <w:pPr>
              <w:spacing w:after="160"/>
              <w:ind w:left="522" w:hanging="522"/>
              <w:contextualSpacing/>
              <w:jc w:val="both"/>
              <w:rPr>
                <w:rFonts w:ascii="Times New Roman" w:eastAsia="Times New Roman" w:hAnsi="Times New Roman" w:cs="Times New Roman"/>
                <w:sz w:val="20"/>
                <w:szCs w:val="20"/>
                <w:lang w:eastAsia="en-ZA"/>
              </w:rPr>
            </w:pPr>
            <w:r w:rsidRPr="000A3053">
              <w:rPr>
                <w:rFonts w:ascii="Times New Roman" w:eastAsia="Times New Roman" w:hAnsi="Times New Roman" w:cs="Times New Roman"/>
                <w:sz w:val="20"/>
                <w:szCs w:val="20"/>
                <w:lang w:eastAsia="en-ZA"/>
              </w:rPr>
              <w:t xml:space="preserve">Soes, D.M. &amp; Koese, B., 2010, Invasive crayfish in the Netherlands: a preliminary risk analysis. </w:t>
            </w:r>
            <w:r w:rsidRPr="000A3053">
              <w:rPr>
                <w:rFonts w:ascii="Times New Roman" w:eastAsia="Times New Roman" w:hAnsi="Times New Roman" w:cs="Times New Roman"/>
                <w:i/>
                <w:iCs/>
                <w:sz w:val="20"/>
                <w:szCs w:val="20"/>
                <w:lang w:eastAsia="en-ZA"/>
              </w:rPr>
              <w:t>Interim report, Bureau Waardenburg bv, Stichting EIS-Nederland, Invasive Alien Species Team, Waardenburg</w:t>
            </w:r>
            <w:r w:rsidRPr="000A3053">
              <w:rPr>
                <w:rFonts w:ascii="Times New Roman" w:eastAsia="Times New Roman" w:hAnsi="Times New Roman" w:cs="Times New Roman"/>
                <w:sz w:val="20"/>
                <w:szCs w:val="20"/>
                <w:lang w:eastAsia="en-ZA"/>
              </w:rPr>
              <w:t>.</w:t>
            </w:r>
          </w:p>
          <w:p w14:paraId="32E3A822" w14:textId="77777777" w:rsidR="002D7080" w:rsidRPr="000A3053" w:rsidRDefault="002D7080" w:rsidP="00956545">
            <w:pPr>
              <w:spacing w:after="160"/>
              <w:ind w:left="522" w:hanging="522"/>
              <w:contextualSpacing/>
              <w:jc w:val="both"/>
              <w:rPr>
                <w:rFonts w:ascii="Times New Roman" w:hAnsi="Times New Roman" w:cs="Times New Roman"/>
                <w:sz w:val="20"/>
                <w:szCs w:val="20"/>
                <w:shd w:val="clear" w:color="auto" w:fill="FFFFFF"/>
              </w:rPr>
            </w:pPr>
            <w:r w:rsidRPr="000A3053">
              <w:rPr>
                <w:rFonts w:ascii="Times New Roman" w:hAnsi="Times New Roman" w:cs="Times New Roman"/>
                <w:sz w:val="20"/>
                <w:szCs w:val="20"/>
                <w:shd w:val="clear" w:color="auto" w:fill="FFFFFF"/>
              </w:rPr>
              <w:t xml:space="preserve">Ibrahim, A.M., Magdy, T.K. &amp; Murbarak, M.F., 1997, ‘Ecological studies on the exotic crayfishes, </w:t>
            </w:r>
            <w:r w:rsidRPr="000A3053">
              <w:rPr>
                <w:rFonts w:ascii="Times New Roman" w:hAnsi="Times New Roman" w:cs="Times New Roman"/>
                <w:i/>
                <w:iCs/>
                <w:sz w:val="20"/>
                <w:szCs w:val="20"/>
                <w:shd w:val="clear" w:color="auto" w:fill="FFFFFF"/>
              </w:rPr>
              <w:t>Procambarus clarkii</w:t>
            </w:r>
            <w:r w:rsidRPr="000A3053">
              <w:rPr>
                <w:rFonts w:ascii="Times New Roman" w:hAnsi="Times New Roman" w:cs="Times New Roman"/>
                <w:sz w:val="20"/>
                <w:szCs w:val="20"/>
                <w:shd w:val="clear" w:color="auto" w:fill="FFFFFF"/>
              </w:rPr>
              <w:t xml:space="preserve"> and </w:t>
            </w:r>
            <w:r w:rsidRPr="000A3053">
              <w:rPr>
                <w:rFonts w:ascii="Times New Roman" w:hAnsi="Times New Roman" w:cs="Times New Roman"/>
                <w:i/>
                <w:iCs/>
                <w:sz w:val="20"/>
                <w:szCs w:val="20"/>
                <w:shd w:val="clear" w:color="auto" w:fill="FFFFFF"/>
              </w:rPr>
              <w:t>Procambarus zonangulus</w:t>
            </w:r>
            <w:r w:rsidRPr="000A3053">
              <w:rPr>
                <w:rFonts w:ascii="Times New Roman" w:hAnsi="Times New Roman" w:cs="Times New Roman"/>
                <w:sz w:val="20"/>
                <w:szCs w:val="20"/>
                <w:shd w:val="clear" w:color="auto" w:fill="FFFFFF"/>
              </w:rPr>
              <w:t xml:space="preserve"> in the River Nile, Egypt. </w:t>
            </w:r>
            <w:r w:rsidRPr="000A3053">
              <w:rPr>
                <w:rFonts w:ascii="Times New Roman" w:hAnsi="Times New Roman" w:cs="Times New Roman"/>
                <w:i/>
                <w:iCs/>
                <w:sz w:val="20"/>
                <w:szCs w:val="20"/>
                <w:shd w:val="clear" w:color="auto" w:fill="FFFFFF"/>
              </w:rPr>
              <w:t>International Journal of Ecology and Environmental Sciences</w:t>
            </w:r>
            <w:r w:rsidRPr="000A3053">
              <w:rPr>
                <w:rFonts w:ascii="Times New Roman" w:hAnsi="Times New Roman" w:cs="Times New Roman"/>
                <w:sz w:val="20"/>
                <w:szCs w:val="20"/>
                <w:shd w:val="clear" w:color="auto" w:fill="FFFFFF"/>
              </w:rPr>
              <w:t>, 23, 217-228.</w:t>
            </w:r>
          </w:p>
          <w:p w14:paraId="62B5FAA3" w14:textId="77777777" w:rsidR="002D7080" w:rsidRPr="004D1E6F" w:rsidRDefault="002D7080" w:rsidP="00956545">
            <w:pPr>
              <w:spacing w:after="160"/>
              <w:ind w:left="522" w:hanging="522"/>
              <w:contextualSpacing/>
              <w:jc w:val="both"/>
              <w:rPr>
                <w:rFonts w:ascii="Times New Roman" w:eastAsia="Times New Roman" w:hAnsi="Times New Roman" w:cs="Times New Roman"/>
                <w:color w:val="000000"/>
                <w:sz w:val="20"/>
                <w:szCs w:val="20"/>
                <w:lang w:eastAsia="en-ZA"/>
              </w:rPr>
            </w:pPr>
            <w:r w:rsidRPr="00A06354">
              <w:rPr>
                <w:rFonts w:ascii="Times New Roman" w:hAnsi="Times New Roman" w:cs="Times New Roman"/>
                <w:sz w:val="20"/>
                <w:szCs w:val="20"/>
              </w:rPr>
              <w:t xml:space="preserve">CABI, 2024. </w:t>
            </w:r>
            <w:r w:rsidRPr="00A06354">
              <w:rPr>
                <w:rFonts w:ascii="Times New Roman" w:hAnsi="Times New Roman" w:cs="Times New Roman"/>
                <w:i/>
                <w:iCs/>
                <w:sz w:val="20"/>
                <w:szCs w:val="20"/>
              </w:rPr>
              <w:t>Procambarus acutus acutus</w:t>
            </w:r>
            <w:r w:rsidRPr="00A06354">
              <w:rPr>
                <w:rFonts w:ascii="Times New Roman" w:hAnsi="Times New Roman" w:cs="Times New Roman"/>
                <w:sz w:val="20"/>
                <w:szCs w:val="20"/>
              </w:rPr>
              <w:t xml:space="preserve">. Invasive Species Compendium, </w:t>
            </w:r>
            <w:r w:rsidRPr="00A06354">
              <w:rPr>
                <w:rFonts w:ascii="Times New Roman" w:hAnsi="Times New Roman" w:cs="Times New Roman"/>
                <w:color w:val="000000"/>
                <w:sz w:val="20"/>
                <w:szCs w:val="20"/>
                <w:shd w:val="clear" w:color="auto" w:fill="FFFFFF"/>
              </w:rPr>
              <w:t>CABI Publishing, Wallingford, UK.</w:t>
            </w:r>
            <w:r w:rsidRPr="00A06354">
              <w:rPr>
                <w:rFonts w:ascii="Times New Roman" w:hAnsi="Times New Roman" w:cs="Times New Roman"/>
                <w:sz w:val="20"/>
                <w:szCs w:val="20"/>
              </w:rPr>
              <w:t xml:space="preserve"> </w:t>
            </w:r>
            <w:hyperlink w:history="1">
              <w:r w:rsidRPr="00A06354">
                <w:rPr>
                  <w:rStyle w:val="Hyperlink"/>
                  <w:rFonts w:ascii="Times New Roman" w:hAnsi="Times New Roman" w:cs="Times New Roman"/>
                  <w:sz w:val="20"/>
                  <w:szCs w:val="20"/>
                </w:rPr>
                <w:t>https://www.cabidigitallibrary.org/doi/10.1079/cabicompendium.67841</w:t>
              </w:r>
            </w:hyperlink>
            <w:r w:rsidRPr="00A06354">
              <w:rPr>
                <w:rFonts w:ascii="Times New Roman" w:hAnsi="Times New Roman" w:cs="Times New Roman"/>
                <w:sz w:val="20"/>
                <w:szCs w:val="20"/>
              </w:rPr>
              <w:t xml:space="preserve"> (accessed 10 July 2024)</w:t>
            </w:r>
          </w:p>
        </w:tc>
      </w:tr>
      <w:tr w:rsidR="002D7080" w:rsidRPr="004D1E6F" w14:paraId="055E47DA" w14:textId="77777777" w:rsidTr="002E2C37">
        <w:trPr>
          <w:cantSplit/>
          <w:trHeight w:val="179"/>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5A1A5B0"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BAC9 Geographic scope =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 xml:space="preserve"> under consideration</w:t>
            </w:r>
          </w:p>
        </w:tc>
      </w:tr>
      <w:tr w:rsidR="002D7080" w:rsidRPr="004D1E6F" w14:paraId="028A8BB4" w14:textId="77777777" w:rsidTr="002E2C37">
        <w:trPr>
          <w:cantSplit/>
          <w:trHeight w:val="152"/>
        </w:trPr>
        <w:tc>
          <w:tcPr>
            <w:tcW w:w="8790" w:type="dxa"/>
            <w:gridSpan w:val="4"/>
            <w:tcBorders>
              <w:top w:val="single" w:sz="4" w:space="0" w:color="auto"/>
              <w:left w:val="single" w:sz="4" w:space="0" w:color="auto"/>
              <w:bottom w:val="single" w:sz="4" w:space="0" w:color="auto"/>
              <w:right w:val="single" w:sz="4" w:space="0" w:color="auto"/>
            </w:tcBorders>
            <w:noWrap/>
          </w:tcPr>
          <w:p w14:paraId="0CF733CA"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Area</w:t>
            </w:r>
            <w:r w:rsidRPr="004D1E6F">
              <w:rPr>
                <w:rFonts w:ascii="Times New Roman" w:eastAsia="Times New Roman" w:hAnsi="Times New Roman" w:cs="Times New Roman"/>
                <w:color w:val="000000"/>
                <w:sz w:val="20"/>
                <w:szCs w:val="20"/>
                <w:lang w:eastAsia="en-ZA"/>
              </w:rPr>
              <w:t xml:space="preserve"> of assessment: South Africa</w:t>
            </w:r>
          </w:p>
        </w:tc>
      </w:tr>
      <w:tr w:rsidR="002D7080" w:rsidRPr="004D1E6F" w14:paraId="5591B756" w14:textId="77777777" w:rsidTr="002E2C37">
        <w:trPr>
          <w:cantSplit/>
          <w:trHeight w:val="269"/>
        </w:trPr>
        <w:tc>
          <w:tcPr>
            <w:tcW w:w="8790" w:type="dxa"/>
            <w:gridSpan w:val="4"/>
            <w:tcBorders>
              <w:top w:val="single" w:sz="4" w:space="0" w:color="auto"/>
              <w:left w:val="single" w:sz="4" w:space="0" w:color="auto"/>
              <w:bottom w:val="single" w:sz="4" w:space="0" w:color="auto"/>
              <w:right w:val="single" w:sz="4" w:space="0" w:color="auto"/>
            </w:tcBorders>
            <w:noWrap/>
          </w:tcPr>
          <w:p w14:paraId="181E182A"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The geographic scope of this assessment is limited to South Africa</w:t>
            </w:r>
          </w:p>
        </w:tc>
      </w:tr>
      <w:tr w:rsidR="002D7080" w:rsidRPr="004D1E6F" w14:paraId="110F99E9" w14:textId="77777777" w:rsidTr="002E2C37">
        <w:trPr>
          <w:cantSplit/>
          <w:trHeight w:val="215"/>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23331F0"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BAC10 Is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present in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w:t>
            </w:r>
          </w:p>
        </w:tc>
      </w:tr>
      <w:tr w:rsidR="002D7080" w:rsidRPr="004D1E6F" w14:paraId="3D508E96" w14:textId="77777777" w:rsidTr="002E2C37">
        <w:trPr>
          <w:cantSplit/>
          <w:trHeight w:val="215"/>
        </w:trPr>
        <w:tc>
          <w:tcPr>
            <w:tcW w:w="6124" w:type="dxa"/>
            <w:gridSpan w:val="3"/>
            <w:tcBorders>
              <w:top w:val="single" w:sz="4" w:space="0" w:color="auto"/>
              <w:left w:val="single" w:sz="4" w:space="0" w:color="auto"/>
              <w:bottom w:val="single" w:sz="4" w:space="0" w:color="auto"/>
              <w:right w:val="single" w:sz="4" w:space="0" w:color="auto"/>
            </w:tcBorders>
            <w:noWrap/>
          </w:tcPr>
          <w:p w14:paraId="1E902B55"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Response: No</w:t>
            </w:r>
          </w:p>
        </w:tc>
        <w:tc>
          <w:tcPr>
            <w:tcW w:w="2666" w:type="dxa"/>
            <w:tcBorders>
              <w:top w:val="single" w:sz="4" w:space="0" w:color="auto"/>
              <w:left w:val="single" w:sz="4" w:space="0" w:color="auto"/>
              <w:bottom w:val="single" w:sz="4" w:space="0" w:color="auto"/>
              <w:right w:val="single" w:sz="4" w:space="0" w:color="auto"/>
            </w:tcBorders>
          </w:tcPr>
          <w:p w14:paraId="1BDB0B63" w14:textId="77777777" w:rsidR="002D7080" w:rsidRPr="004D1E6F"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42A805A2" w14:textId="77777777" w:rsidTr="002E2C37">
        <w:trPr>
          <w:cantSplit/>
          <w:trHeight w:val="242"/>
        </w:trPr>
        <w:tc>
          <w:tcPr>
            <w:tcW w:w="8790" w:type="dxa"/>
            <w:gridSpan w:val="4"/>
            <w:tcBorders>
              <w:top w:val="single" w:sz="4" w:space="0" w:color="auto"/>
              <w:left w:val="single" w:sz="4" w:space="0" w:color="auto"/>
              <w:bottom w:val="single" w:sz="4" w:space="0" w:color="auto"/>
              <w:right w:val="single" w:sz="4" w:space="0" w:color="auto"/>
            </w:tcBorders>
            <w:noWrap/>
          </w:tcPr>
          <w:p w14:paraId="567ADE1E"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Comments: There are no records of </w:t>
            </w:r>
            <w:r w:rsidRPr="0002260C">
              <w:rPr>
                <w:rFonts w:ascii="Times New Roman" w:eastAsia="Times New Roman" w:hAnsi="Times New Roman" w:cs="Times New Roman"/>
                <w:i/>
                <w:iCs/>
                <w:color w:val="000000"/>
                <w:sz w:val="20"/>
                <w:szCs w:val="20"/>
                <w:lang w:eastAsia="en-ZA"/>
              </w:rPr>
              <w:t>P. acutus</w:t>
            </w:r>
            <w:r>
              <w:rPr>
                <w:rFonts w:ascii="Times New Roman" w:eastAsia="Times New Roman" w:hAnsi="Times New Roman" w:cs="Times New Roman"/>
                <w:color w:val="000000"/>
                <w:sz w:val="20"/>
                <w:szCs w:val="20"/>
                <w:lang w:eastAsia="en-ZA"/>
              </w:rPr>
              <w:t xml:space="preserve"> in South Africa</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Nunes et al. 2017)", "plainTextFormattedCitation" : "(Lodge et al. 2012, Nunes et al. 2017)", "previouslyFormattedCitation" : "(Lodge et al. 2012, Nunes et al. 2017)"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(Nunes et al. 2017)</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tc>
      </w:tr>
      <w:tr w:rsidR="002D7080" w:rsidRPr="004D1E6F" w14:paraId="63ACAFF2"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42ECDE6F" w14:textId="77777777" w:rsidR="002D7080" w:rsidRPr="00956545" w:rsidRDefault="002D7080" w:rsidP="00956545">
            <w:pPr>
              <w:spacing w:after="0"/>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References:</w:t>
            </w:r>
          </w:p>
          <w:p w14:paraId="141E2636" w14:textId="53712884" w:rsidR="002D7080" w:rsidRPr="00956545" w:rsidRDefault="002D7080" w:rsidP="00956545">
            <w:pPr>
              <w:spacing w:after="0"/>
              <w:ind w:left="522" w:hanging="522"/>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956545">
              <w:rPr>
                <w:rFonts w:ascii="Times New Roman" w:eastAsia="Times New Roman" w:hAnsi="Times New Roman" w:cs="Times New Roman"/>
                <w:i/>
                <w:color w:val="000000"/>
                <w:sz w:val="20"/>
                <w:szCs w:val="20"/>
                <w:lang w:eastAsia="en-ZA"/>
              </w:rPr>
              <w:t>African Journal of Aquatic Science</w:t>
            </w:r>
            <w:r w:rsidRPr="00956545">
              <w:rPr>
                <w:rFonts w:ascii="Times New Roman" w:eastAsia="Times New Roman" w:hAnsi="Times New Roman" w:cs="Times New Roman"/>
                <w:color w:val="000000"/>
                <w:sz w:val="20"/>
                <w:szCs w:val="20"/>
                <w:lang w:eastAsia="en-ZA"/>
              </w:rPr>
              <w:t xml:space="preserve"> 42, 309–323. </w:t>
            </w:r>
            <w:hyperlink r:id="rId483" w:history="1">
              <w:r w:rsidR="009962CF" w:rsidRPr="00956545">
                <w:rPr>
                  <w:rStyle w:val="Hyperlink"/>
                  <w:rFonts w:ascii="Times New Roman" w:hAnsi="Times New Roman" w:cs="Times New Roman"/>
                  <w:sz w:val="20"/>
                  <w:szCs w:val="20"/>
                </w:rPr>
                <w:t>https://doi.org/10.2989/16085914.2017.1405788</w:t>
              </w:r>
            </w:hyperlink>
          </w:p>
        </w:tc>
      </w:tr>
      <w:tr w:rsidR="002D7080" w:rsidRPr="004D1E6F" w14:paraId="182BA15F" w14:textId="77777777" w:rsidTr="002E2C37">
        <w:trPr>
          <w:cantSplit/>
          <w:trHeight w:val="188"/>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2E6B7F2" w14:textId="77777777" w:rsidR="002D7080" w:rsidRPr="00956545" w:rsidRDefault="002D7080" w:rsidP="00956545">
            <w:pPr>
              <w:spacing w:after="0"/>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b/>
                <w:color w:val="000000"/>
                <w:sz w:val="20"/>
                <w:szCs w:val="20"/>
                <w:lang w:eastAsia="en-ZA"/>
              </w:rPr>
              <w:t>BAC11 Availability of physical specimen</w:t>
            </w:r>
          </w:p>
        </w:tc>
      </w:tr>
      <w:tr w:rsidR="002D7080" w:rsidRPr="004D1E6F" w14:paraId="2945DA79" w14:textId="77777777" w:rsidTr="002E2C37">
        <w:trPr>
          <w:cantSplit/>
          <w:trHeight w:val="197"/>
        </w:trPr>
        <w:tc>
          <w:tcPr>
            <w:tcW w:w="6124" w:type="dxa"/>
            <w:gridSpan w:val="3"/>
            <w:tcBorders>
              <w:top w:val="single" w:sz="4" w:space="0" w:color="auto"/>
              <w:left w:val="single" w:sz="4" w:space="0" w:color="auto"/>
              <w:bottom w:val="single" w:sz="4" w:space="0" w:color="auto"/>
              <w:right w:val="single" w:sz="4" w:space="0" w:color="auto"/>
            </w:tcBorders>
            <w:noWrap/>
          </w:tcPr>
          <w:p w14:paraId="5CDA8710" w14:textId="77777777" w:rsidR="002D7080" w:rsidRPr="00956545" w:rsidRDefault="002D7080" w:rsidP="00956545">
            <w:pPr>
              <w:spacing w:after="0"/>
              <w:rPr>
                <w:rFonts w:ascii="Times New Roman" w:eastAsia="Times New Roman" w:hAnsi="Times New Roman" w:cs="Times New Roman"/>
                <w:b/>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Response: No </w:t>
            </w:r>
          </w:p>
        </w:tc>
        <w:tc>
          <w:tcPr>
            <w:tcW w:w="2666" w:type="dxa"/>
            <w:tcBorders>
              <w:top w:val="single" w:sz="4" w:space="0" w:color="auto"/>
              <w:left w:val="single" w:sz="4" w:space="0" w:color="auto"/>
              <w:bottom w:val="single" w:sz="4" w:space="0" w:color="auto"/>
              <w:right w:val="single" w:sz="4" w:space="0" w:color="auto"/>
            </w:tcBorders>
          </w:tcPr>
          <w:p w14:paraId="467C4A94" w14:textId="77777777" w:rsidR="002D7080" w:rsidRPr="00956545" w:rsidRDefault="002D7080" w:rsidP="00956545">
            <w:pPr>
              <w:spacing w:after="0"/>
              <w:rPr>
                <w:rFonts w:ascii="Times New Roman" w:eastAsia="Times New Roman" w:hAnsi="Times New Roman" w:cs="Times New Roman"/>
                <w:b/>
                <w:color w:val="000000"/>
                <w:sz w:val="20"/>
                <w:szCs w:val="20"/>
                <w:lang w:eastAsia="en-ZA"/>
              </w:rPr>
            </w:pPr>
            <w:r w:rsidRPr="00956545">
              <w:rPr>
                <w:rFonts w:ascii="Times New Roman" w:eastAsia="Times New Roman" w:hAnsi="Times New Roman" w:cs="Times New Roman"/>
                <w:color w:val="000000"/>
                <w:sz w:val="20"/>
                <w:szCs w:val="20"/>
                <w:lang w:eastAsia="en-ZA"/>
              </w:rPr>
              <w:t>Confidence in ID:</w:t>
            </w:r>
          </w:p>
        </w:tc>
      </w:tr>
      <w:tr w:rsidR="002D7080" w:rsidRPr="004D1E6F" w14:paraId="2945D8A9"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77DB0B1A" w14:textId="77777777" w:rsidR="002D7080" w:rsidRPr="00956545" w:rsidRDefault="002D7080" w:rsidP="00956545">
            <w:pPr>
              <w:spacing w:after="0"/>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Herbarium or museum accession number: There are no records of </w:t>
            </w:r>
            <w:r w:rsidRPr="00956545">
              <w:rPr>
                <w:rFonts w:ascii="Times New Roman" w:eastAsia="Times New Roman" w:hAnsi="Times New Roman" w:cs="Times New Roman"/>
                <w:i/>
                <w:iCs/>
                <w:color w:val="000000"/>
                <w:sz w:val="20"/>
                <w:szCs w:val="20"/>
                <w:lang w:eastAsia="en-ZA"/>
              </w:rPr>
              <w:t>P. acutus</w:t>
            </w:r>
            <w:r w:rsidRPr="00956545">
              <w:rPr>
                <w:rFonts w:ascii="Times New Roman" w:eastAsia="Times New Roman" w:hAnsi="Times New Roman" w:cs="Times New Roman"/>
                <w:color w:val="000000"/>
                <w:sz w:val="20"/>
                <w:szCs w:val="20"/>
                <w:lang w:eastAsia="en-ZA"/>
              </w:rPr>
              <w:t xml:space="preserve"> in South Africa </w:t>
            </w:r>
            <w:r w:rsidRPr="00956545">
              <w:rPr>
                <w:rFonts w:ascii="Times New Roman" w:eastAsia="Times New Roman" w:hAnsi="Times New Roman" w:cs="Times New Roman"/>
                <w:color w:val="000000"/>
                <w:sz w:val="20"/>
                <w:szCs w:val="20"/>
                <w:lang w:eastAsia="en-ZA"/>
              </w:rPr>
              <w:fldChar w:fldCharType="begin" w:fldLock="1"/>
            </w:r>
            <w:r w:rsidRPr="00956545">
              <w:rPr>
                <w:rFonts w:ascii="Times New Roman" w:eastAsia="Times New Roman" w:hAnsi="Times New Roman" w:cs="Times New Roman"/>
                <w:color w:val="000000"/>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Nunes et al. 2017)", "plainTextFormattedCitation" : "(Lodge et al. 2012, Nunes et al. 2017)", "previouslyFormattedCitation" : "(Lodge et al. 2012, Nunes et al. 2017)" }, "properties" : { "noteIndex" : 0 }, "schema" : "https://github.com/citation-style-language/schema/raw/master/csl-citation.json" }</w:instrText>
            </w:r>
            <w:r w:rsidRPr="00956545">
              <w:rPr>
                <w:rFonts w:ascii="Times New Roman" w:eastAsia="Times New Roman" w:hAnsi="Times New Roman" w:cs="Times New Roman"/>
                <w:color w:val="000000"/>
                <w:sz w:val="20"/>
                <w:szCs w:val="20"/>
                <w:lang w:eastAsia="en-ZA"/>
              </w:rPr>
              <w:fldChar w:fldCharType="separate"/>
            </w:r>
            <w:r w:rsidRPr="00956545">
              <w:rPr>
                <w:rFonts w:ascii="Times New Roman" w:eastAsia="Times New Roman" w:hAnsi="Times New Roman" w:cs="Times New Roman"/>
                <w:color w:val="000000"/>
                <w:sz w:val="20"/>
                <w:szCs w:val="20"/>
                <w:lang w:eastAsia="en-ZA"/>
              </w:rPr>
              <w:t>(Nunes et al. 2017)</w:t>
            </w:r>
            <w:r w:rsidRPr="00956545">
              <w:rPr>
                <w:rFonts w:ascii="Times New Roman" w:eastAsia="Times New Roman" w:hAnsi="Times New Roman" w:cs="Times New Roman"/>
                <w:color w:val="000000"/>
                <w:sz w:val="20"/>
                <w:szCs w:val="20"/>
                <w:lang w:eastAsia="en-ZA"/>
              </w:rPr>
              <w:fldChar w:fldCharType="end"/>
            </w:r>
            <w:r w:rsidRPr="00956545">
              <w:rPr>
                <w:rFonts w:ascii="Times New Roman" w:eastAsia="Times New Roman" w:hAnsi="Times New Roman" w:cs="Times New Roman"/>
                <w:color w:val="000000"/>
                <w:sz w:val="20"/>
                <w:szCs w:val="20"/>
                <w:lang w:eastAsia="en-ZA"/>
              </w:rPr>
              <w:t>.</w:t>
            </w:r>
          </w:p>
        </w:tc>
      </w:tr>
      <w:tr w:rsidR="002D7080" w:rsidRPr="004D1E6F" w14:paraId="5A92AC70" w14:textId="77777777" w:rsidTr="002E2C37">
        <w:trPr>
          <w:cantSplit/>
          <w:trHeight w:val="390"/>
        </w:trPr>
        <w:tc>
          <w:tcPr>
            <w:tcW w:w="8790" w:type="dxa"/>
            <w:gridSpan w:val="4"/>
            <w:tcBorders>
              <w:top w:val="single" w:sz="4" w:space="0" w:color="auto"/>
              <w:left w:val="single" w:sz="4" w:space="0" w:color="auto"/>
              <w:bottom w:val="single" w:sz="4" w:space="0" w:color="auto"/>
              <w:right w:val="single" w:sz="4" w:space="0" w:color="auto"/>
            </w:tcBorders>
            <w:noWrap/>
          </w:tcPr>
          <w:p w14:paraId="77959ABE" w14:textId="77777777" w:rsidR="002D7080" w:rsidRPr="00956545" w:rsidRDefault="002D7080" w:rsidP="00956545">
            <w:pPr>
              <w:spacing w:after="0"/>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References: </w:t>
            </w:r>
          </w:p>
          <w:p w14:paraId="415E5293" w14:textId="34072586" w:rsidR="002D7080" w:rsidRPr="00956545" w:rsidRDefault="002D7080" w:rsidP="00956545">
            <w:pPr>
              <w:spacing w:after="0"/>
              <w:ind w:left="525" w:hanging="525"/>
              <w:jc w:val="both"/>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956545">
              <w:rPr>
                <w:rFonts w:ascii="Times New Roman" w:eastAsia="Times New Roman" w:hAnsi="Times New Roman" w:cs="Times New Roman"/>
                <w:i/>
                <w:color w:val="000000"/>
                <w:sz w:val="20"/>
                <w:szCs w:val="20"/>
                <w:lang w:eastAsia="en-ZA"/>
              </w:rPr>
              <w:t>African Journal of Aquatic Science</w:t>
            </w:r>
            <w:r w:rsidRPr="00956545">
              <w:rPr>
                <w:rFonts w:ascii="Times New Roman" w:eastAsia="Times New Roman" w:hAnsi="Times New Roman" w:cs="Times New Roman"/>
                <w:color w:val="000000"/>
                <w:sz w:val="20"/>
                <w:szCs w:val="20"/>
                <w:lang w:eastAsia="en-ZA"/>
              </w:rPr>
              <w:t xml:space="preserve"> 42, 309–323. </w:t>
            </w:r>
            <w:hyperlink r:id="rId484" w:history="1">
              <w:r w:rsidR="009962CF" w:rsidRPr="00956545">
                <w:rPr>
                  <w:rStyle w:val="Hyperlink"/>
                  <w:rFonts w:ascii="Times New Roman" w:hAnsi="Times New Roman" w:cs="Times New Roman"/>
                  <w:sz w:val="20"/>
                  <w:szCs w:val="20"/>
                </w:rPr>
                <w:t>https://doi.org/10.2989/16085914.2017.1405788</w:t>
              </w:r>
            </w:hyperlink>
          </w:p>
        </w:tc>
      </w:tr>
      <w:tr w:rsidR="002D7080" w:rsidRPr="004D1E6F" w14:paraId="191264CF" w14:textId="77777777" w:rsidTr="002E2C37">
        <w:trPr>
          <w:cantSplit/>
          <w:trHeight w:val="101"/>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7EE3920" w14:textId="77777777" w:rsidR="002D7080" w:rsidRPr="00956545" w:rsidRDefault="002D7080" w:rsidP="00956545">
            <w:pPr>
              <w:spacing w:after="0"/>
              <w:rPr>
                <w:rFonts w:ascii="Times New Roman" w:eastAsia="Times New Roman" w:hAnsi="Times New Roman" w:cs="Times New Roman"/>
                <w:b/>
                <w:color w:val="000000"/>
                <w:sz w:val="20"/>
                <w:szCs w:val="20"/>
                <w:lang w:eastAsia="en-ZA"/>
              </w:rPr>
            </w:pPr>
            <w:r w:rsidRPr="00956545">
              <w:rPr>
                <w:rFonts w:ascii="Times New Roman" w:eastAsia="Times New Roman" w:hAnsi="Times New Roman" w:cs="Times New Roman"/>
                <w:b/>
                <w:color w:val="000000"/>
                <w:sz w:val="20"/>
                <w:szCs w:val="20"/>
                <w:lang w:eastAsia="en-ZA"/>
              </w:rPr>
              <w:t xml:space="preserve">BAC12 Is the </w:t>
            </w:r>
            <w:r w:rsidRPr="00956545">
              <w:rPr>
                <w:rFonts w:ascii="Times New Roman" w:eastAsia="Times New Roman" w:hAnsi="Times New Roman" w:cs="Times New Roman"/>
                <w:b/>
                <w:i/>
                <w:color w:val="000000"/>
                <w:sz w:val="20"/>
                <w:szCs w:val="20"/>
                <w:lang w:eastAsia="en-ZA"/>
              </w:rPr>
              <w:t>Taxon</w:t>
            </w:r>
            <w:r w:rsidRPr="00956545">
              <w:rPr>
                <w:rFonts w:ascii="Times New Roman" w:eastAsia="Times New Roman" w:hAnsi="Times New Roman" w:cs="Times New Roman"/>
                <w:b/>
                <w:color w:val="000000"/>
                <w:sz w:val="20"/>
                <w:szCs w:val="20"/>
                <w:lang w:eastAsia="en-ZA"/>
              </w:rPr>
              <w:t xml:space="preserve"> native to the </w:t>
            </w:r>
            <w:r w:rsidRPr="00956545">
              <w:rPr>
                <w:rFonts w:ascii="Times New Roman" w:eastAsia="Times New Roman" w:hAnsi="Times New Roman" w:cs="Times New Roman"/>
                <w:b/>
                <w:i/>
                <w:color w:val="000000"/>
                <w:sz w:val="20"/>
                <w:szCs w:val="20"/>
                <w:lang w:eastAsia="en-ZA"/>
              </w:rPr>
              <w:t>Area</w:t>
            </w:r>
            <w:r w:rsidRPr="00956545">
              <w:rPr>
                <w:rFonts w:ascii="Times New Roman" w:eastAsia="Times New Roman" w:hAnsi="Times New Roman" w:cs="Times New Roman"/>
                <w:b/>
                <w:color w:val="000000"/>
                <w:sz w:val="20"/>
                <w:szCs w:val="20"/>
                <w:lang w:eastAsia="en-ZA"/>
              </w:rPr>
              <w:t xml:space="preserve"> or part of the </w:t>
            </w:r>
            <w:r w:rsidRPr="00956545">
              <w:rPr>
                <w:rFonts w:ascii="Times New Roman" w:eastAsia="Times New Roman" w:hAnsi="Times New Roman" w:cs="Times New Roman"/>
                <w:b/>
                <w:i/>
                <w:color w:val="000000"/>
                <w:sz w:val="20"/>
                <w:szCs w:val="20"/>
                <w:lang w:eastAsia="en-ZA"/>
              </w:rPr>
              <w:t>Area</w:t>
            </w:r>
            <w:r w:rsidRPr="00956545">
              <w:rPr>
                <w:rFonts w:ascii="Times New Roman" w:eastAsia="Times New Roman" w:hAnsi="Times New Roman" w:cs="Times New Roman"/>
                <w:b/>
                <w:color w:val="000000"/>
                <w:sz w:val="20"/>
                <w:szCs w:val="20"/>
                <w:lang w:eastAsia="en-ZA"/>
              </w:rPr>
              <w:t>?</w:t>
            </w:r>
          </w:p>
        </w:tc>
      </w:tr>
      <w:tr w:rsidR="002D7080" w:rsidRPr="004D1E6F" w14:paraId="3FCD03A4" w14:textId="77777777" w:rsidTr="002E2C37">
        <w:trPr>
          <w:cantSplit/>
          <w:trHeight w:val="260"/>
        </w:trPr>
        <w:tc>
          <w:tcPr>
            <w:tcW w:w="3960" w:type="dxa"/>
            <w:gridSpan w:val="2"/>
            <w:tcBorders>
              <w:top w:val="single" w:sz="4" w:space="0" w:color="auto"/>
              <w:left w:val="single" w:sz="4" w:space="0" w:color="auto"/>
              <w:bottom w:val="single" w:sz="4" w:space="0" w:color="auto"/>
              <w:right w:val="single" w:sz="4" w:space="0" w:color="auto"/>
            </w:tcBorders>
            <w:noWrap/>
          </w:tcPr>
          <w:p w14:paraId="71B2070D" w14:textId="77777777" w:rsidR="002D7080" w:rsidRPr="00956545" w:rsidRDefault="002D7080" w:rsidP="00956545">
            <w:pPr>
              <w:spacing w:after="0"/>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The </w:t>
            </w:r>
            <w:r w:rsidRPr="00956545">
              <w:rPr>
                <w:rFonts w:ascii="Times New Roman" w:eastAsia="Times New Roman" w:hAnsi="Times New Roman" w:cs="Times New Roman"/>
                <w:i/>
                <w:color w:val="000000"/>
                <w:sz w:val="20"/>
                <w:szCs w:val="20"/>
                <w:lang w:eastAsia="en-ZA"/>
              </w:rPr>
              <w:t>Taxon</w:t>
            </w:r>
            <w:r w:rsidRPr="00956545">
              <w:rPr>
                <w:rFonts w:ascii="Times New Roman" w:eastAsia="Times New Roman" w:hAnsi="Times New Roman" w:cs="Times New Roman"/>
                <w:color w:val="000000"/>
                <w:sz w:val="20"/>
                <w:szCs w:val="20"/>
                <w:lang w:eastAsia="en-ZA"/>
              </w:rPr>
              <w:t xml:space="preserve"> is native to (part of) the </w:t>
            </w:r>
            <w:r w:rsidRPr="00956545">
              <w:rPr>
                <w:rFonts w:ascii="Times New Roman" w:eastAsia="Times New Roman" w:hAnsi="Times New Roman" w:cs="Times New Roman"/>
                <w:i/>
                <w:color w:val="000000"/>
                <w:sz w:val="20"/>
                <w:szCs w:val="20"/>
                <w:lang w:eastAsia="en-ZA"/>
              </w:rPr>
              <w:t>Area</w:t>
            </w:r>
            <w:r w:rsidRPr="00956545">
              <w:rPr>
                <w:rFonts w:ascii="Times New Roman" w:eastAsia="Times New Roman" w:hAnsi="Times New Roman" w:cs="Times New Roman"/>
                <w:color w:val="000000"/>
                <w:sz w:val="20"/>
                <w:szCs w:val="20"/>
                <w:lang w:eastAsia="en-ZA"/>
              </w:rPr>
              <w:t>.</w:t>
            </w:r>
          </w:p>
        </w:tc>
        <w:tc>
          <w:tcPr>
            <w:tcW w:w="2164" w:type="dxa"/>
            <w:tcBorders>
              <w:top w:val="single" w:sz="4" w:space="0" w:color="auto"/>
              <w:left w:val="nil"/>
              <w:bottom w:val="single" w:sz="4" w:space="0" w:color="auto"/>
              <w:right w:val="single" w:sz="4" w:space="0" w:color="auto"/>
            </w:tcBorders>
          </w:tcPr>
          <w:p w14:paraId="55C58438" w14:textId="77777777" w:rsidR="002D7080" w:rsidRPr="00956545" w:rsidRDefault="002D7080" w:rsidP="00956545">
            <w:pPr>
              <w:spacing w:after="0"/>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No </w:t>
            </w:r>
          </w:p>
        </w:tc>
        <w:tc>
          <w:tcPr>
            <w:tcW w:w="2666" w:type="dxa"/>
            <w:tcBorders>
              <w:top w:val="single" w:sz="4" w:space="0" w:color="auto"/>
              <w:left w:val="nil"/>
              <w:bottom w:val="single" w:sz="4" w:space="0" w:color="auto"/>
              <w:right w:val="single" w:sz="4" w:space="0" w:color="auto"/>
            </w:tcBorders>
          </w:tcPr>
          <w:p w14:paraId="156E33FC" w14:textId="77777777" w:rsidR="002D7080" w:rsidRPr="00956545" w:rsidRDefault="002D7080" w:rsidP="00956545">
            <w:pPr>
              <w:spacing w:after="0"/>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Confidence: High</w:t>
            </w:r>
          </w:p>
        </w:tc>
      </w:tr>
      <w:tr w:rsidR="002D7080" w:rsidRPr="004D1E6F" w14:paraId="75C33445" w14:textId="77777777" w:rsidTr="002E2C37">
        <w:trPr>
          <w:cantSplit/>
          <w:trHeight w:val="260"/>
        </w:trPr>
        <w:tc>
          <w:tcPr>
            <w:tcW w:w="3960" w:type="dxa"/>
            <w:gridSpan w:val="2"/>
            <w:tcBorders>
              <w:top w:val="single" w:sz="4" w:space="0" w:color="auto"/>
              <w:left w:val="single" w:sz="4" w:space="0" w:color="auto"/>
              <w:bottom w:val="single" w:sz="4" w:space="0" w:color="auto"/>
              <w:right w:val="single" w:sz="4" w:space="0" w:color="auto"/>
            </w:tcBorders>
            <w:noWrap/>
          </w:tcPr>
          <w:p w14:paraId="37119427" w14:textId="77777777" w:rsidR="002D7080" w:rsidRPr="00956545" w:rsidRDefault="002D7080" w:rsidP="00956545">
            <w:pPr>
              <w:spacing w:after="0"/>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lastRenderedPageBreak/>
              <w:t xml:space="preserve">The </w:t>
            </w:r>
            <w:r w:rsidRPr="00956545">
              <w:rPr>
                <w:rFonts w:ascii="Times New Roman" w:eastAsia="Times New Roman" w:hAnsi="Times New Roman" w:cs="Times New Roman"/>
                <w:i/>
                <w:color w:val="000000"/>
                <w:sz w:val="20"/>
                <w:szCs w:val="20"/>
                <w:lang w:eastAsia="en-ZA"/>
              </w:rPr>
              <w:t>Taxon</w:t>
            </w:r>
            <w:r w:rsidRPr="00956545">
              <w:rPr>
                <w:rFonts w:ascii="Times New Roman" w:eastAsia="Times New Roman" w:hAnsi="Times New Roman" w:cs="Times New Roman"/>
                <w:color w:val="000000"/>
                <w:sz w:val="20"/>
                <w:szCs w:val="20"/>
                <w:lang w:eastAsia="en-ZA"/>
              </w:rPr>
              <w:t xml:space="preserve"> is alien in (part of) the </w:t>
            </w:r>
            <w:r w:rsidRPr="00956545">
              <w:rPr>
                <w:rFonts w:ascii="Times New Roman" w:eastAsia="Times New Roman" w:hAnsi="Times New Roman" w:cs="Times New Roman"/>
                <w:i/>
                <w:color w:val="000000"/>
                <w:sz w:val="20"/>
                <w:szCs w:val="20"/>
                <w:lang w:eastAsia="en-ZA"/>
              </w:rPr>
              <w:t>Area</w:t>
            </w:r>
            <w:r w:rsidRPr="00956545">
              <w:rPr>
                <w:rFonts w:ascii="Times New Roman" w:eastAsia="Times New Roman" w:hAnsi="Times New Roman" w:cs="Times New Roman"/>
                <w:color w:val="000000"/>
                <w:sz w:val="20"/>
                <w:szCs w:val="20"/>
                <w:lang w:eastAsia="en-ZA"/>
              </w:rPr>
              <w:t>.</w:t>
            </w:r>
          </w:p>
        </w:tc>
        <w:tc>
          <w:tcPr>
            <w:tcW w:w="2164" w:type="dxa"/>
            <w:tcBorders>
              <w:top w:val="single" w:sz="4" w:space="0" w:color="auto"/>
              <w:left w:val="nil"/>
              <w:bottom w:val="single" w:sz="4" w:space="0" w:color="auto"/>
              <w:right w:val="single" w:sz="4" w:space="0" w:color="auto"/>
            </w:tcBorders>
          </w:tcPr>
          <w:p w14:paraId="386D7363" w14:textId="77777777" w:rsidR="002D7080" w:rsidRPr="00956545" w:rsidRDefault="002D7080" w:rsidP="00956545">
            <w:pPr>
              <w:spacing w:after="0"/>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Yes </w:t>
            </w:r>
          </w:p>
        </w:tc>
        <w:tc>
          <w:tcPr>
            <w:tcW w:w="2666" w:type="dxa"/>
            <w:tcBorders>
              <w:top w:val="single" w:sz="4" w:space="0" w:color="auto"/>
              <w:left w:val="nil"/>
              <w:bottom w:val="single" w:sz="4" w:space="0" w:color="auto"/>
              <w:right w:val="single" w:sz="4" w:space="0" w:color="auto"/>
            </w:tcBorders>
          </w:tcPr>
          <w:p w14:paraId="59F060EC" w14:textId="77777777" w:rsidR="002D7080" w:rsidRPr="00956545" w:rsidRDefault="002D7080" w:rsidP="00956545">
            <w:pPr>
              <w:spacing w:after="0"/>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Confidence: High</w:t>
            </w:r>
          </w:p>
        </w:tc>
      </w:tr>
      <w:tr w:rsidR="002D7080" w:rsidRPr="004D1E6F" w14:paraId="456F027E" w14:textId="77777777" w:rsidTr="002E2C37">
        <w:trPr>
          <w:cantSplit/>
          <w:trHeight w:val="260"/>
        </w:trPr>
        <w:tc>
          <w:tcPr>
            <w:tcW w:w="8790" w:type="dxa"/>
            <w:gridSpan w:val="4"/>
            <w:tcBorders>
              <w:top w:val="single" w:sz="4" w:space="0" w:color="auto"/>
              <w:left w:val="single" w:sz="4" w:space="0" w:color="auto"/>
              <w:bottom w:val="single" w:sz="4" w:space="0" w:color="auto"/>
              <w:right w:val="single" w:sz="4" w:space="0" w:color="auto"/>
            </w:tcBorders>
            <w:noWrap/>
          </w:tcPr>
          <w:p w14:paraId="5CB9228A" w14:textId="63A170FB" w:rsidR="002D7080" w:rsidRPr="00956545" w:rsidRDefault="002D7080" w:rsidP="00956545">
            <w:pPr>
              <w:spacing w:after="0"/>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Comments: There are no native crayfish species in South Africa </w:t>
            </w:r>
            <w:r w:rsidRPr="00956545">
              <w:rPr>
                <w:rFonts w:ascii="Times New Roman" w:eastAsia="Times New Roman" w:hAnsi="Times New Roman" w:cs="Times New Roman"/>
                <w:color w:val="000000"/>
                <w:sz w:val="20"/>
                <w:szCs w:val="20"/>
                <w:lang w:eastAsia="en-ZA"/>
              </w:rPr>
              <w:fldChar w:fldCharType="begin" w:fldLock="1"/>
            </w:r>
            <w:r w:rsidRPr="00956545">
              <w:rPr>
                <w:rFonts w:ascii="Times New Roman" w:eastAsia="Times New Roman" w:hAnsi="Times New Roman" w:cs="Times New Roman"/>
                <w:color w:val="000000"/>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 "plainTextFormattedCitation" : "(de Moor 2002, Nunes et al. 2017)", "previouslyFormattedCitation" : "(de Moor 2002, Nunes et al. 2017)" }, "properties" : { "noteIndex" : 0 }, "schema" : "https://github.com/citation-style-language/schema/raw/master/csl-citation.json" }</w:instrText>
            </w:r>
            <w:r w:rsidRPr="00956545">
              <w:rPr>
                <w:rFonts w:ascii="Times New Roman" w:eastAsia="Times New Roman" w:hAnsi="Times New Roman" w:cs="Times New Roman"/>
                <w:color w:val="000000"/>
                <w:sz w:val="20"/>
                <w:szCs w:val="20"/>
                <w:lang w:eastAsia="en-ZA"/>
              </w:rPr>
              <w:fldChar w:fldCharType="separate"/>
            </w:r>
            <w:r w:rsidRPr="00956545">
              <w:rPr>
                <w:rFonts w:ascii="Times New Roman" w:eastAsia="Times New Roman" w:hAnsi="Times New Roman" w:cs="Times New Roman"/>
                <w:color w:val="000000"/>
                <w:sz w:val="20"/>
                <w:szCs w:val="20"/>
                <w:lang w:eastAsia="en-ZA"/>
              </w:rPr>
              <w:t>(</w:t>
            </w:r>
            <w:r w:rsidR="008A0BC6">
              <w:rPr>
                <w:rFonts w:ascii="Times New Roman" w:eastAsia="Times New Roman" w:hAnsi="Times New Roman" w:cs="Times New Roman"/>
                <w:color w:val="000000"/>
                <w:sz w:val="20"/>
                <w:szCs w:val="20"/>
                <w:lang w:eastAsia="en-ZA"/>
              </w:rPr>
              <w:t>De Moor</w:t>
            </w:r>
            <w:r w:rsidRPr="00956545">
              <w:rPr>
                <w:rFonts w:ascii="Times New Roman" w:eastAsia="Times New Roman" w:hAnsi="Times New Roman" w:cs="Times New Roman"/>
                <w:color w:val="000000"/>
                <w:sz w:val="20"/>
                <w:szCs w:val="20"/>
                <w:lang w:eastAsia="en-ZA"/>
              </w:rPr>
              <w:t xml:space="preserve"> 2002, Nunes et al. 2017)</w:t>
            </w:r>
            <w:r w:rsidRPr="00956545">
              <w:rPr>
                <w:rFonts w:ascii="Times New Roman" w:eastAsia="Times New Roman" w:hAnsi="Times New Roman" w:cs="Times New Roman"/>
                <w:color w:val="000000"/>
                <w:sz w:val="20"/>
                <w:szCs w:val="20"/>
                <w:lang w:eastAsia="en-ZA"/>
              </w:rPr>
              <w:fldChar w:fldCharType="end"/>
            </w:r>
            <w:r w:rsidRPr="00956545">
              <w:rPr>
                <w:rFonts w:ascii="Times New Roman" w:eastAsia="Times New Roman" w:hAnsi="Times New Roman" w:cs="Times New Roman"/>
                <w:color w:val="000000"/>
                <w:sz w:val="20"/>
                <w:szCs w:val="20"/>
                <w:lang w:eastAsia="en-ZA"/>
              </w:rPr>
              <w:t>.</w:t>
            </w:r>
          </w:p>
        </w:tc>
      </w:tr>
      <w:tr w:rsidR="002D7080" w:rsidRPr="004D1E6F" w14:paraId="3D131821"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4EBF6700" w14:textId="77777777" w:rsidR="002D7080" w:rsidRPr="00956545" w:rsidRDefault="002D7080" w:rsidP="00956545">
            <w:pPr>
              <w:spacing w:after="0"/>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References:</w:t>
            </w:r>
          </w:p>
          <w:p w14:paraId="1FDF52EE" w14:textId="11374EE3" w:rsidR="002D7080" w:rsidRPr="00956545" w:rsidRDefault="008A0BC6" w:rsidP="00956545">
            <w:pPr>
              <w:widowControl w:val="0"/>
              <w:autoSpaceDE w:val="0"/>
              <w:autoSpaceDN w:val="0"/>
              <w:adjustRightInd w:val="0"/>
              <w:spacing w:after="160"/>
              <w:ind w:left="522" w:hanging="522"/>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De Moor</w:t>
            </w:r>
            <w:r w:rsidR="002D7080" w:rsidRPr="00956545">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956545">
              <w:rPr>
                <w:rFonts w:ascii="Times New Roman" w:eastAsia="Times New Roman" w:hAnsi="Times New Roman" w:cs="Times New Roman"/>
                <w:i/>
                <w:color w:val="000000"/>
                <w:sz w:val="20"/>
                <w:szCs w:val="20"/>
                <w:lang w:eastAsia="en-ZA"/>
              </w:rPr>
              <w:t>African Journal of Aquatic Science</w:t>
            </w:r>
            <w:r w:rsidR="002D7080" w:rsidRPr="00956545">
              <w:rPr>
                <w:rFonts w:ascii="Times New Roman" w:eastAsia="Times New Roman" w:hAnsi="Times New Roman" w:cs="Times New Roman"/>
                <w:color w:val="000000"/>
                <w:sz w:val="20"/>
                <w:szCs w:val="20"/>
                <w:lang w:eastAsia="en-ZA"/>
              </w:rPr>
              <w:t>, 27, 125–139</w:t>
            </w:r>
            <w:r w:rsidR="002D7080" w:rsidRPr="00956545">
              <w:rPr>
                <w:rFonts w:ascii="Times New Roman" w:eastAsia="Times New Roman" w:hAnsi="Times New Roman" w:cs="Times New Roman"/>
                <w:color w:val="000000"/>
                <w:sz w:val="18"/>
                <w:szCs w:val="18"/>
                <w:lang w:eastAsia="en-ZA"/>
              </w:rPr>
              <w:t xml:space="preserve">. </w:t>
            </w:r>
            <w:hyperlink r:id="rId485" w:history="1">
              <w:r w:rsidR="009962CF" w:rsidRPr="00956545">
                <w:rPr>
                  <w:rStyle w:val="Hyperlink"/>
                  <w:rFonts w:ascii="Times New Roman" w:hAnsi="Times New Roman" w:cs="Times New Roman"/>
                  <w:sz w:val="20"/>
                  <w:szCs w:val="20"/>
                </w:rPr>
                <w:t>https://doi.org/10.2989/16085914.2002.9626584</w:t>
              </w:r>
            </w:hyperlink>
            <w:r w:rsidR="002D7080" w:rsidRPr="00956545">
              <w:rPr>
                <w:rFonts w:ascii="Times New Roman" w:eastAsia="Times New Roman" w:hAnsi="Times New Roman" w:cs="Times New Roman"/>
                <w:color w:val="000000"/>
                <w:sz w:val="20"/>
                <w:szCs w:val="20"/>
                <w:lang w:eastAsia="en-ZA"/>
              </w:rPr>
              <w:t>.</w:t>
            </w:r>
          </w:p>
          <w:p w14:paraId="557D2577" w14:textId="11DA1FB4" w:rsidR="002D7080" w:rsidRPr="00956545" w:rsidRDefault="002D7080" w:rsidP="00956545">
            <w:pPr>
              <w:spacing w:after="0"/>
              <w:ind w:left="522" w:hanging="522"/>
              <w:jc w:val="both"/>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956545">
              <w:rPr>
                <w:rFonts w:ascii="Times New Roman" w:eastAsia="Times New Roman" w:hAnsi="Times New Roman" w:cs="Times New Roman"/>
                <w:i/>
                <w:color w:val="000000"/>
                <w:sz w:val="20"/>
                <w:szCs w:val="20"/>
                <w:lang w:eastAsia="en-ZA"/>
              </w:rPr>
              <w:t>African Journal of Aquatic Science</w:t>
            </w:r>
            <w:r w:rsidRPr="00956545">
              <w:rPr>
                <w:rFonts w:ascii="Times New Roman" w:eastAsia="Times New Roman" w:hAnsi="Times New Roman" w:cs="Times New Roman"/>
                <w:color w:val="000000"/>
                <w:sz w:val="20"/>
                <w:szCs w:val="20"/>
                <w:lang w:eastAsia="en-ZA"/>
              </w:rPr>
              <w:t xml:space="preserve">, 42, 309–323. </w:t>
            </w:r>
            <w:hyperlink r:id="rId486" w:history="1">
              <w:r w:rsidR="009962CF" w:rsidRPr="00956545">
                <w:rPr>
                  <w:rStyle w:val="Hyperlink"/>
                  <w:rFonts w:ascii="Times New Roman" w:hAnsi="Times New Roman" w:cs="Times New Roman"/>
                  <w:sz w:val="20"/>
                  <w:szCs w:val="20"/>
                </w:rPr>
                <w:t>https://doi.org/10.2989/16085914.2017.1405788</w:t>
              </w:r>
            </w:hyperlink>
            <w:r w:rsidRPr="00956545">
              <w:rPr>
                <w:rFonts w:ascii="Times New Roman" w:eastAsia="Times New Roman" w:hAnsi="Times New Roman" w:cs="Times New Roman"/>
                <w:color w:val="000000"/>
                <w:sz w:val="18"/>
                <w:szCs w:val="18"/>
                <w:lang w:eastAsia="en-ZA"/>
              </w:rPr>
              <w:t>.</w:t>
            </w:r>
          </w:p>
        </w:tc>
      </w:tr>
      <w:tr w:rsidR="002D7080" w:rsidRPr="004D1E6F" w14:paraId="06CC2C9A" w14:textId="77777777" w:rsidTr="002E2C37">
        <w:trPr>
          <w:cantSplit/>
          <w:trHeight w:val="242"/>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09171EC"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BAC13 What is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’s introduction status in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w:t>
            </w:r>
          </w:p>
        </w:tc>
      </w:tr>
      <w:tr w:rsidR="002D7080" w:rsidRPr="004D1E6F" w14:paraId="378239A2" w14:textId="77777777" w:rsidTr="002E2C37">
        <w:trPr>
          <w:cantSplit/>
          <w:trHeight w:val="90"/>
        </w:trPr>
        <w:tc>
          <w:tcPr>
            <w:tcW w:w="3960" w:type="dxa"/>
            <w:gridSpan w:val="2"/>
            <w:tcBorders>
              <w:top w:val="single" w:sz="4" w:space="0" w:color="auto"/>
              <w:left w:val="single" w:sz="4" w:space="0" w:color="auto"/>
              <w:bottom w:val="single" w:sz="4" w:space="0" w:color="auto"/>
              <w:right w:val="single" w:sz="4" w:space="0" w:color="auto"/>
            </w:tcBorders>
            <w:noWrap/>
          </w:tcPr>
          <w:p w14:paraId="61D7B675"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in cultivation/containment.</w:t>
            </w:r>
          </w:p>
        </w:tc>
        <w:tc>
          <w:tcPr>
            <w:tcW w:w="2164" w:type="dxa"/>
            <w:tcBorders>
              <w:top w:val="single" w:sz="4" w:space="0" w:color="auto"/>
              <w:left w:val="single" w:sz="4" w:space="0" w:color="auto"/>
              <w:bottom w:val="single" w:sz="4" w:space="0" w:color="auto"/>
              <w:right w:val="single" w:sz="4" w:space="0" w:color="auto"/>
            </w:tcBorders>
          </w:tcPr>
          <w:p w14:paraId="2B7F8E48"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Don’t k</w:t>
            </w:r>
            <w:r w:rsidRPr="004D1E6F">
              <w:rPr>
                <w:rFonts w:ascii="Times New Roman" w:eastAsia="Times New Roman" w:hAnsi="Times New Roman" w:cs="Times New Roman"/>
                <w:color w:val="000000"/>
                <w:sz w:val="20"/>
                <w:szCs w:val="20"/>
                <w:lang w:eastAsia="en-ZA"/>
              </w:rPr>
              <w:t>nown</w:t>
            </w:r>
          </w:p>
        </w:tc>
        <w:tc>
          <w:tcPr>
            <w:tcW w:w="2666" w:type="dxa"/>
            <w:tcBorders>
              <w:top w:val="single" w:sz="4" w:space="0" w:color="auto"/>
              <w:left w:val="single" w:sz="4" w:space="0" w:color="auto"/>
              <w:bottom w:val="single" w:sz="4" w:space="0" w:color="auto"/>
              <w:right w:val="single" w:sz="4" w:space="0" w:color="auto"/>
            </w:tcBorders>
          </w:tcPr>
          <w:p w14:paraId="57822996"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3E59AD92" w14:textId="77777777" w:rsidTr="002E2C37">
        <w:trPr>
          <w:cantSplit/>
          <w:trHeight w:val="87"/>
        </w:trPr>
        <w:tc>
          <w:tcPr>
            <w:tcW w:w="3960" w:type="dxa"/>
            <w:gridSpan w:val="2"/>
            <w:tcBorders>
              <w:top w:val="single" w:sz="4" w:space="0" w:color="auto"/>
              <w:left w:val="single" w:sz="4" w:space="0" w:color="auto"/>
              <w:bottom w:val="single" w:sz="4" w:space="0" w:color="auto"/>
              <w:right w:val="single" w:sz="4" w:space="0" w:color="auto"/>
            </w:tcBorders>
            <w:noWrap/>
          </w:tcPr>
          <w:p w14:paraId="19E9C309"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present in the wild.</w:t>
            </w:r>
          </w:p>
        </w:tc>
        <w:tc>
          <w:tcPr>
            <w:tcW w:w="2164" w:type="dxa"/>
            <w:tcBorders>
              <w:top w:val="single" w:sz="4" w:space="0" w:color="auto"/>
              <w:left w:val="single" w:sz="4" w:space="0" w:color="auto"/>
              <w:bottom w:val="single" w:sz="4" w:space="0" w:color="auto"/>
              <w:right w:val="single" w:sz="4" w:space="0" w:color="auto"/>
            </w:tcBorders>
          </w:tcPr>
          <w:p w14:paraId="37EBF92D"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 xml:space="preserve">None </w:t>
            </w:r>
          </w:p>
        </w:tc>
        <w:tc>
          <w:tcPr>
            <w:tcW w:w="2666" w:type="dxa"/>
            <w:tcBorders>
              <w:top w:val="single" w:sz="4" w:space="0" w:color="auto"/>
              <w:left w:val="single" w:sz="4" w:space="0" w:color="auto"/>
              <w:bottom w:val="single" w:sz="4" w:space="0" w:color="auto"/>
              <w:right w:val="single" w:sz="4" w:space="0" w:color="auto"/>
            </w:tcBorders>
          </w:tcPr>
          <w:p w14:paraId="72C30312"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High</w:t>
            </w:r>
          </w:p>
        </w:tc>
      </w:tr>
      <w:tr w:rsidR="002D7080" w:rsidRPr="004D1E6F" w14:paraId="559D7246" w14:textId="77777777" w:rsidTr="002E2C37">
        <w:trPr>
          <w:cantSplit/>
          <w:trHeight w:val="87"/>
        </w:trPr>
        <w:tc>
          <w:tcPr>
            <w:tcW w:w="3960" w:type="dxa"/>
            <w:gridSpan w:val="2"/>
            <w:tcBorders>
              <w:top w:val="single" w:sz="4" w:space="0" w:color="auto"/>
              <w:left w:val="single" w:sz="4" w:space="0" w:color="auto"/>
              <w:bottom w:val="single" w:sz="4" w:space="0" w:color="auto"/>
              <w:right w:val="single" w:sz="4" w:space="0" w:color="auto"/>
            </w:tcBorders>
            <w:noWrap/>
          </w:tcPr>
          <w:p w14:paraId="11648066"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has established/naturalised.</w:t>
            </w:r>
          </w:p>
        </w:tc>
        <w:tc>
          <w:tcPr>
            <w:tcW w:w="2164" w:type="dxa"/>
            <w:tcBorders>
              <w:top w:val="single" w:sz="4" w:space="0" w:color="auto"/>
              <w:left w:val="single" w:sz="4" w:space="0" w:color="auto"/>
              <w:bottom w:val="single" w:sz="4" w:space="0" w:color="auto"/>
              <w:right w:val="single" w:sz="4" w:space="0" w:color="auto"/>
            </w:tcBorders>
          </w:tcPr>
          <w:p w14:paraId="579E9209"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 xml:space="preserve">None </w:t>
            </w:r>
          </w:p>
        </w:tc>
        <w:tc>
          <w:tcPr>
            <w:tcW w:w="2666" w:type="dxa"/>
            <w:tcBorders>
              <w:top w:val="single" w:sz="4" w:space="0" w:color="auto"/>
              <w:left w:val="single" w:sz="4" w:space="0" w:color="auto"/>
              <w:bottom w:val="single" w:sz="4" w:space="0" w:color="auto"/>
              <w:right w:val="single" w:sz="4" w:space="0" w:color="auto"/>
            </w:tcBorders>
          </w:tcPr>
          <w:p w14:paraId="795539F5"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High</w:t>
            </w:r>
          </w:p>
        </w:tc>
      </w:tr>
      <w:tr w:rsidR="002D7080" w:rsidRPr="004D1E6F" w14:paraId="0E671DEF" w14:textId="77777777" w:rsidTr="002E2C37">
        <w:trPr>
          <w:cantSplit/>
          <w:trHeight w:val="87"/>
        </w:trPr>
        <w:tc>
          <w:tcPr>
            <w:tcW w:w="3960" w:type="dxa"/>
            <w:gridSpan w:val="2"/>
            <w:tcBorders>
              <w:top w:val="single" w:sz="4" w:space="0" w:color="auto"/>
              <w:left w:val="single" w:sz="4" w:space="0" w:color="auto"/>
              <w:bottom w:val="single" w:sz="4" w:space="0" w:color="auto"/>
              <w:right w:val="single" w:sz="4" w:space="0" w:color="auto"/>
            </w:tcBorders>
            <w:noWrap/>
          </w:tcPr>
          <w:p w14:paraId="1435D474"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invasive.</w:t>
            </w:r>
          </w:p>
        </w:tc>
        <w:tc>
          <w:tcPr>
            <w:tcW w:w="2164" w:type="dxa"/>
            <w:tcBorders>
              <w:top w:val="single" w:sz="4" w:space="0" w:color="auto"/>
              <w:left w:val="single" w:sz="4" w:space="0" w:color="auto"/>
              <w:bottom w:val="single" w:sz="4" w:space="0" w:color="auto"/>
              <w:right w:val="single" w:sz="4" w:space="0" w:color="auto"/>
            </w:tcBorders>
          </w:tcPr>
          <w:p w14:paraId="702424A1"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 xml:space="preserve">None </w:t>
            </w:r>
          </w:p>
        </w:tc>
        <w:tc>
          <w:tcPr>
            <w:tcW w:w="2666" w:type="dxa"/>
            <w:tcBorders>
              <w:top w:val="single" w:sz="4" w:space="0" w:color="auto"/>
              <w:left w:val="single" w:sz="4" w:space="0" w:color="auto"/>
              <w:bottom w:val="single" w:sz="4" w:space="0" w:color="auto"/>
              <w:right w:val="single" w:sz="4" w:space="0" w:color="auto"/>
            </w:tcBorders>
          </w:tcPr>
          <w:p w14:paraId="359E210F"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High</w:t>
            </w:r>
          </w:p>
        </w:tc>
      </w:tr>
      <w:tr w:rsidR="002D7080" w:rsidRPr="004D1E6F" w14:paraId="437DDFD3"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24F4195E" w14:textId="77777777" w:rsidR="002D7080" w:rsidRPr="004D1E6F" w:rsidRDefault="002D7080" w:rsidP="002E2C37">
            <w:pPr>
              <w:spacing w:after="0" w:line="240" w:lineRule="auto"/>
              <w:rPr>
                <w:rFonts w:ascii="Times New Roman" w:eastAsia="Times New Roman" w:hAnsi="Times New Roman" w:cs="Times New Roman"/>
                <w:i/>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w:t>
            </w:r>
            <w:r w:rsidRPr="004E1852">
              <w:rPr>
                <w:rFonts w:ascii="Times New Roman" w:eastAsia="Times New Roman" w:hAnsi="Times New Roman" w:cs="Times New Roman"/>
                <w:i/>
                <w:iCs/>
                <w:sz w:val="20"/>
                <w:szCs w:val="20"/>
                <w:lang w:eastAsia="en-ZA"/>
              </w:rPr>
              <w:t xml:space="preserve">Procambarus acutus </w:t>
            </w:r>
            <w:r w:rsidRPr="004E1852">
              <w:rPr>
                <w:rFonts w:ascii="Times New Roman" w:eastAsia="Times New Roman" w:hAnsi="Times New Roman" w:cs="Times New Roman"/>
                <w:sz w:val="20"/>
                <w:szCs w:val="20"/>
                <w:lang w:eastAsia="en-ZA"/>
              </w:rPr>
              <w:t>has</w:t>
            </w:r>
            <w:r w:rsidRPr="00230829">
              <w:rPr>
                <w:rFonts w:ascii="Times New Roman" w:eastAsia="Times New Roman" w:hAnsi="Times New Roman" w:cs="Times New Roman"/>
                <w:sz w:val="20"/>
                <w:szCs w:val="20"/>
                <w:lang w:eastAsia="en-ZA"/>
              </w:rPr>
              <w:t xml:space="preserve"> been introduced into </w:t>
            </w:r>
            <w:r>
              <w:rPr>
                <w:rFonts w:ascii="Times New Roman" w:eastAsia="Times New Roman" w:hAnsi="Times New Roman" w:cs="Times New Roman"/>
                <w:sz w:val="20"/>
                <w:szCs w:val="20"/>
                <w:lang w:eastAsia="en-ZA"/>
              </w:rPr>
              <w:t xml:space="preserve">areas in USA for aquaculture and as live bait </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CABI 2024</w:t>
            </w:r>
            <w:r w:rsidRPr="004D1E6F">
              <w:rPr>
                <w:rFonts w:ascii="Times New Roman" w:eastAsia="Times New Roman" w:hAnsi="Times New Roman" w:cs="Times New Roman"/>
                <w:sz w:val="20"/>
                <w:szCs w:val="20"/>
                <w:lang w:eastAsia="en-ZA"/>
              </w:rPr>
              <w:t>) but there are no verified records of its presence in South Africa (Nunes et al. 2017).</w:t>
            </w:r>
          </w:p>
        </w:tc>
      </w:tr>
      <w:tr w:rsidR="002D7080" w:rsidRPr="004D1E6F" w14:paraId="6CB6E539"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4F006FBA" w14:textId="77777777" w:rsidR="002D7080" w:rsidRPr="004D1E6F" w:rsidRDefault="002D7080" w:rsidP="00956545">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5ECB16BF" w14:textId="77777777" w:rsidR="002D7080" w:rsidRPr="004D1E6F" w:rsidRDefault="002D7080" w:rsidP="00956545">
            <w:pPr>
              <w:spacing w:after="0"/>
              <w:ind w:left="720" w:hanging="720"/>
              <w:jc w:val="both"/>
              <w:rPr>
                <w:rFonts w:ascii="Times New Roman" w:eastAsia="Times New Roman" w:hAnsi="Times New Roman" w:cs="Times New Roman"/>
                <w:sz w:val="20"/>
                <w:szCs w:val="20"/>
                <w:lang w:eastAsia="en-ZA"/>
              </w:rPr>
            </w:pPr>
            <w:r w:rsidRPr="00A06354">
              <w:rPr>
                <w:rFonts w:ascii="Times New Roman" w:hAnsi="Times New Roman" w:cs="Times New Roman"/>
                <w:sz w:val="20"/>
                <w:szCs w:val="20"/>
              </w:rPr>
              <w:t xml:space="preserve">CABI, 2024. </w:t>
            </w:r>
            <w:r w:rsidRPr="00A06354">
              <w:rPr>
                <w:rFonts w:ascii="Times New Roman" w:hAnsi="Times New Roman" w:cs="Times New Roman"/>
                <w:i/>
                <w:iCs/>
                <w:sz w:val="20"/>
                <w:szCs w:val="20"/>
              </w:rPr>
              <w:t>Procambarus acutus acutus</w:t>
            </w:r>
            <w:r w:rsidRPr="00A06354">
              <w:rPr>
                <w:rFonts w:ascii="Times New Roman" w:hAnsi="Times New Roman" w:cs="Times New Roman"/>
                <w:sz w:val="20"/>
                <w:szCs w:val="20"/>
              </w:rPr>
              <w:t xml:space="preserve">. Invasive Species Compendium, </w:t>
            </w:r>
            <w:r w:rsidRPr="00A06354">
              <w:rPr>
                <w:rFonts w:ascii="Times New Roman" w:hAnsi="Times New Roman" w:cs="Times New Roman"/>
                <w:color w:val="000000"/>
                <w:sz w:val="20"/>
                <w:szCs w:val="20"/>
                <w:shd w:val="clear" w:color="auto" w:fill="FFFFFF"/>
              </w:rPr>
              <w:t>CABI Publishing, Wallingford, UK.</w:t>
            </w:r>
            <w:r w:rsidRPr="00A06354">
              <w:rPr>
                <w:rFonts w:ascii="Times New Roman" w:hAnsi="Times New Roman" w:cs="Times New Roman"/>
                <w:sz w:val="20"/>
                <w:szCs w:val="20"/>
              </w:rPr>
              <w:t xml:space="preserve"> </w:t>
            </w:r>
            <w:hyperlink w:history="1">
              <w:r w:rsidRPr="00A06354">
                <w:rPr>
                  <w:rStyle w:val="Hyperlink"/>
                  <w:rFonts w:ascii="Times New Roman" w:hAnsi="Times New Roman" w:cs="Times New Roman"/>
                  <w:sz w:val="20"/>
                  <w:szCs w:val="20"/>
                </w:rPr>
                <w:t>https://www.cabidigitallibrary.org/doi/10.1079/cabicompendium.67841</w:t>
              </w:r>
            </w:hyperlink>
            <w:r w:rsidRPr="00A06354">
              <w:rPr>
                <w:rFonts w:ascii="Times New Roman" w:hAnsi="Times New Roman" w:cs="Times New Roman"/>
                <w:sz w:val="20"/>
                <w:szCs w:val="20"/>
              </w:rPr>
              <w:t xml:space="preserve"> (accessed 10 July 2024)</w:t>
            </w:r>
          </w:p>
          <w:p w14:paraId="303497F8" w14:textId="77FEE992" w:rsidR="002D7080" w:rsidRPr="004D1E6F" w:rsidRDefault="002D7080" w:rsidP="00956545">
            <w:pPr>
              <w:spacing w:after="0"/>
              <w:ind w:left="522" w:hanging="522"/>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 </w:t>
            </w:r>
            <w:hyperlink r:id="rId487" w:history="1">
              <w:r w:rsidR="009962CF" w:rsidRPr="008A0BC6">
                <w:rPr>
                  <w:rStyle w:val="Hyperlink"/>
                  <w:rFonts w:ascii="Times New Roman" w:hAnsi="Times New Roman" w:cs="Times New Roman"/>
                  <w:sz w:val="20"/>
                  <w:szCs w:val="20"/>
                </w:rPr>
                <w:t>https://doi.org/10.2989/16085914.2017.1405788</w:t>
              </w:r>
            </w:hyperlink>
            <w:r>
              <w:rPr>
                <w:rFonts w:ascii="Times New Roman" w:eastAsia="Times New Roman" w:hAnsi="Times New Roman" w:cs="Times New Roman"/>
                <w:color w:val="000000"/>
                <w:sz w:val="20"/>
                <w:szCs w:val="20"/>
                <w:lang w:eastAsia="en-ZA"/>
              </w:rPr>
              <w:t xml:space="preserve">.   </w:t>
            </w:r>
          </w:p>
        </w:tc>
      </w:tr>
      <w:tr w:rsidR="002D7080" w:rsidRPr="004D1E6F" w14:paraId="626BC87D" w14:textId="77777777" w:rsidTr="002E2C37">
        <w:trPr>
          <w:cantSplit/>
          <w:trHeight w:val="170"/>
        </w:trPr>
        <w:tc>
          <w:tcPr>
            <w:tcW w:w="879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F84BDA2" w14:textId="77777777" w:rsidR="002D7080" w:rsidRPr="00462C39" w:rsidRDefault="002D7080" w:rsidP="002E2C37">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BAC14 Primary (introduction) pathways</w:t>
            </w:r>
          </w:p>
        </w:tc>
      </w:tr>
      <w:tr w:rsidR="002D7080" w:rsidRPr="004D1E6F" w14:paraId="150CB94D" w14:textId="77777777" w:rsidTr="002E2C37">
        <w:trPr>
          <w:cantSplit/>
          <w:trHeight w:val="61"/>
        </w:trPr>
        <w:tc>
          <w:tcPr>
            <w:tcW w:w="2520" w:type="dxa"/>
            <w:tcBorders>
              <w:top w:val="single" w:sz="4" w:space="0" w:color="auto"/>
              <w:left w:val="single" w:sz="4" w:space="0" w:color="auto"/>
              <w:bottom w:val="single" w:sz="4" w:space="0" w:color="auto"/>
              <w:right w:val="single" w:sz="4" w:space="0" w:color="auto"/>
            </w:tcBorders>
            <w:noWrap/>
          </w:tcPr>
          <w:p w14:paraId="5BF75F0A"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Release</w:t>
            </w:r>
          </w:p>
        </w:tc>
        <w:tc>
          <w:tcPr>
            <w:tcW w:w="3604" w:type="dxa"/>
            <w:gridSpan w:val="2"/>
            <w:tcBorders>
              <w:top w:val="single" w:sz="4" w:space="0" w:color="auto"/>
              <w:left w:val="single" w:sz="4" w:space="0" w:color="auto"/>
              <w:bottom w:val="single" w:sz="4" w:space="0" w:color="auto"/>
              <w:right w:val="single" w:sz="4" w:space="0" w:color="auto"/>
            </w:tcBorders>
          </w:tcPr>
          <w:p w14:paraId="3C05F799"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2666" w:type="dxa"/>
            <w:tcBorders>
              <w:top w:val="single" w:sz="4" w:space="0" w:color="auto"/>
              <w:left w:val="single" w:sz="4" w:space="0" w:color="auto"/>
              <w:bottom w:val="single" w:sz="4" w:space="0" w:color="auto"/>
              <w:right w:val="single" w:sz="4" w:space="0" w:color="auto"/>
            </w:tcBorders>
          </w:tcPr>
          <w:p w14:paraId="4BF870D0"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4DBC97FA" w14:textId="77777777" w:rsidTr="002E2C37">
        <w:trPr>
          <w:cantSplit/>
          <w:trHeight w:val="58"/>
        </w:trPr>
        <w:tc>
          <w:tcPr>
            <w:tcW w:w="2520" w:type="dxa"/>
            <w:tcBorders>
              <w:top w:val="single" w:sz="4" w:space="0" w:color="auto"/>
              <w:left w:val="single" w:sz="4" w:space="0" w:color="auto"/>
              <w:bottom w:val="single" w:sz="4" w:space="0" w:color="auto"/>
              <w:right w:val="single" w:sz="4" w:space="0" w:color="auto"/>
            </w:tcBorders>
            <w:noWrap/>
          </w:tcPr>
          <w:p w14:paraId="242D7B5E"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Escape</w:t>
            </w:r>
          </w:p>
        </w:tc>
        <w:tc>
          <w:tcPr>
            <w:tcW w:w="3604" w:type="dxa"/>
            <w:gridSpan w:val="2"/>
            <w:tcBorders>
              <w:top w:val="single" w:sz="4" w:space="0" w:color="auto"/>
              <w:left w:val="single" w:sz="4" w:space="0" w:color="auto"/>
              <w:bottom w:val="single" w:sz="4" w:space="0" w:color="auto"/>
              <w:right w:val="single" w:sz="4" w:space="0" w:color="auto"/>
            </w:tcBorders>
          </w:tcPr>
          <w:p w14:paraId="7FE2880E"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Pet trade</w:t>
            </w:r>
            <w:r>
              <w:rPr>
                <w:rFonts w:ascii="Times New Roman" w:eastAsia="Times New Roman" w:hAnsi="Times New Roman" w:cs="Times New Roman"/>
                <w:color w:val="000000"/>
                <w:sz w:val="20"/>
                <w:szCs w:val="20"/>
                <w:lang w:eastAsia="en-ZA"/>
              </w:rPr>
              <w:t xml:space="preserve"> | </w:t>
            </w:r>
            <w:r w:rsidRPr="004D1E6F">
              <w:rPr>
                <w:rFonts w:ascii="Times New Roman" w:eastAsia="Times New Roman" w:hAnsi="Times New Roman" w:cs="Times New Roman"/>
                <w:color w:val="000000"/>
                <w:sz w:val="20"/>
                <w:szCs w:val="20"/>
                <w:lang w:eastAsia="en-ZA"/>
              </w:rPr>
              <w:t>Aquaculture</w:t>
            </w:r>
            <w:r>
              <w:rPr>
                <w:rFonts w:ascii="Times New Roman" w:eastAsia="Times New Roman" w:hAnsi="Times New Roman" w:cs="Times New Roman"/>
                <w:color w:val="000000"/>
                <w:sz w:val="20"/>
                <w:szCs w:val="20"/>
                <w:lang w:eastAsia="en-ZA"/>
              </w:rPr>
              <w:t xml:space="preserve"> | </w:t>
            </w:r>
            <w:r w:rsidRPr="004D1E6F">
              <w:rPr>
                <w:rFonts w:ascii="Times New Roman" w:eastAsia="Times New Roman" w:hAnsi="Times New Roman" w:cs="Times New Roman"/>
                <w:color w:val="000000"/>
                <w:sz w:val="20"/>
                <w:szCs w:val="20"/>
                <w:lang w:eastAsia="en-ZA"/>
              </w:rPr>
              <w:t>Live food and bait</w:t>
            </w:r>
          </w:p>
        </w:tc>
        <w:tc>
          <w:tcPr>
            <w:tcW w:w="2666" w:type="dxa"/>
            <w:tcBorders>
              <w:top w:val="single" w:sz="4" w:space="0" w:color="auto"/>
              <w:left w:val="single" w:sz="4" w:space="0" w:color="auto"/>
              <w:bottom w:val="single" w:sz="4" w:space="0" w:color="auto"/>
              <w:right w:val="single" w:sz="4" w:space="0" w:color="auto"/>
            </w:tcBorders>
          </w:tcPr>
          <w:p w14:paraId="308A8928"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Medium</w:t>
            </w:r>
          </w:p>
        </w:tc>
      </w:tr>
      <w:tr w:rsidR="002D7080" w:rsidRPr="004D1E6F" w14:paraId="60C56FB0" w14:textId="77777777" w:rsidTr="002E2C37">
        <w:trPr>
          <w:cantSplit/>
          <w:trHeight w:val="58"/>
        </w:trPr>
        <w:tc>
          <w:tcPr>
            <w:tcW w:w="2520" w:type="dxa"/>
            <w:tcBorders>
              <w:top w:val="single" w:sz="4" w:space="0" w:color="auto"/>
              <w:left w:val="single" w:sz="4" w:space="0" w:color="auto"/>
              <w:bottom w:val="single" w:sz="4" w:space="0" w:color="auto"/>
              <w:right w:val="single" w:sz="4" w:space="0" w:color="auto"/>
            </w:tcBorders>
            <w:noWrap/>
          </w:tcPr>
          <w:p w14:paraId="571F207E"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Contaminant</w:t>
            </w:r>
          </w:p>
        </w:tc>
        <w:tc>
          <w:tcPr>
            <w:tcW w:w="3604" w:type="dxa"/>
            <w:gridSpan w:val="2"/>
            <w:tcBorders>
              <w:top w:val="single" w:sz="4" w:space="0" w:color="auto"/>
              <w:left w:val="single" w:sz="4" w:space="0" w:color="auto"/>
              <w:bottom w:val="single" w:sz="4" w:space="0" w:color="auto"/>
              <w:right w:val="single" w:sz="4" w:space="0" w:color="auto"/>
            </w:tcBorders>
          </w:tcPr>
          <w:p w14:paraId="602E7756"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 xml:space="preserve">Stock augmentation </w:t>
            </w:r>
          </w:p>
        </w:tc>
        <w:tc>
          <w:tcPr>
            <w:tcW w:w="2666" w:type="dxa"/>
            <w:tcBorders>
              <w:top w:val="single" w:sz="4" w:space="0" w:color="auto"/>
              <w:left w:val="single" w:sz="4" w:space="0" w:color="auto"/>
              <w:bottom w:val="single" w:sz="4" w:space="0" w:color="auto"/>
              <w:right w:val="single" w:sz="4" w:space="0" w:color="auto"/>
            </w:tcBorders>
          </w:tcPr>
          <w:p w14:paraId="71A4F7DB"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r>
              <w:rPr>
                <w:rFonts w:ascii="Times New Roman" w:eastAsia="Times New Roman" w:hAnsi="Times New Roman" w:cs="Times New Roman"/>
                <w:color w:val="000000"/>
                <w:sz w:val="20"/>
                <w:szCs w:val="20"/>
                <w:lang w:eastAsia="en-ZA"/>
              </w:rPr>
              <w:t xml:space="preserve"> Low</w:t>
            </w:r>
          </w:p>
        </w:tc>
      </w:tr>
      <w:tr w:rsidR="002D7080" w:rsidRPr="004D1E6F" w14:paraId="56A493EE" w14:textId="77777777" w:rsidTr="002E2C37">
        <w:trPr>
          <w:cantSplit/>
          <w:trHeight w:val="58"/>
        </w:trPr>
        <w:tc>
          <w:tcPr>
            <w:tcW w:w="2520" w:type="dxa"/>
            <w:tcBorders>
              <w:top w:val="single" w:sz="4" w:space="0" w:color="auto"/>
              <w:left w:val="single" w:sz="4" w:space="0" w:color="auto"/>
              <w:bottom w:val="single" w:sz="4" w:space="0" w:color="auto"/>
              <w:right w:val="single" w:sz="4" w:space="0" w:color="auto"/>
            </w:tcBorders>
            <w:noWrap/>
          </w:tcPr>
          <w:p w14:paraId="115A98C5"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Stowaway</w:t>
            </w:r>
          </w:p>
        </w:tc>
        <w:tc>
          <w:tcPr>
            <w:tcW w:w="3604" w:type="dxa"/>
            <w:gridSpan w:val="2"/>
            <w:tcBorders>
              <w:top w:val="single" w:sz="4" w:space="0" w:color="auto"/>
              <w:left w:val="single" w:sz="4" w:space="0" w:color="auto"/>
              <w:bottom w:val="single" w:sz="4" w:space="0" w:color="auto"/>
              <w:right w:val="single" w:sz="4" w:space="0" w:color="auto"/>
            </w:tcBorders>
          </w:tcPr>
          <w:p w14:paraId="5BA36B45"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2666" w:type="dxa"/>
            <w:tcBorders>
              <w:top w:val="single" w:sz="4" w:space="0" w:color="auto"/>
              <w:left w:val="single" w:sz="4" w:space="0" w:color="auto"/>
              <w:bottom w:val="single" w:sz="4" w:space="0" w:color="auto"/>
              <w:right w:val="single" w:sz="4" w:space="0" w:color="auto"/>
            </w:tcBorders>
          </w:tcPr>
          <w:p w14:paraId="27572EA1"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641B4D6D" w14:textId="77777777" w:rsidTr="002E2C37">
        <w:trPr>
          <w:cantSplit/>
          <w:trHeight w:val="58"/>
        </w:trPr>
        <w:tc>
          <w:tcPr>
            <w:tcW w:w="2520" w:type="dxa"/>
            <w:tcBorders>
              <w:top w:val="single" w:sz="4" w:space="0" w:color="auto"/>
              <w:left w:val="single" w:sz="4" w:space="0" w:color="auto"/>
              <w:bottom w:val="single" w:sz="4" w:space="0" w:color="auto"/>
              <w:right w:val="single" w:sz="4" w:space="0" w:color="auto"/>
            </w:tcBorders>
            <w:noWrap/>
          </w:tcPr>
          <w:p w14:paraId="02CBE935"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Corridor</w:t>
            </w:r>
          </w:p>
        </w:tc>
        <w:tc>
          <w:tcPr>
            <w:tcW w:w="3604" w:type="dxa"/>
            <w:gridSpan w:val="2"/>
            <w:tcBorders>
              <w:top w:val="single" w:sz="4" w:space="0" w:color="auto"/>
              <w:left w:val="single" w:sz="4" w:space="0" w:color="auto"/>
              <w:bottom w:val="single" w:sz="4" w:space="0" w:color="auto"/>
              <w:right w:val="single" w:sz="4" w:space="0" w:color="auto"/>
            </w:tcBorders>
          </w:tcPr>
          <w:p w14:paraId="63BE3E44"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2666" w:type="dxa"/>
            <w:tcBorders>
              <w:top w:val="single" w:sz="4" w:space="0" w:color="auto"/>
              <w:left w:val="single" w:sz="4" w:space="0" w:color="auto"/>
              <w:bottom w:val="single" w:sz="4" w:space="0" w:color="auto"/>
              <w:right w:val="single" w:sz="4" w:space="0" w:color="auto"/>
            </w:tcBorders>
          </w:tcPr>
          <w:p w14:paraId="14679066"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3AF29A28" w14:textId="77777777" w:rsidTr="002E2C37">
        <w:trPr>
          <w:cantSplit/>
          <w:trHeight w:val="58"/>
        </w:trPr>
        <w:tc>
          <w:tcPr>
            <w:tcW w:w="2520" w:type="dxa"/>
            <w:tcBorders>
              <w:top w:val="single" w:sz="4" w:space="0" w:color="auto"/>
              <w:left w:val="single" w:sz="4" w:space="0" w:color="auto"/>
              <w:bottom w:val="single" w:sz="4" w:space="0" w:color="auto"/>
              <w:right w:val="single" w:sz="4" w:space="0" w:color="auto"/>
            </w:tcBorders>
            <w:noWrap/>
          </w:tcPr>
          <w:p w14:paraId="06764D88"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Unaided</w:t>
            </w:r>
          </w:p>
        </w:tc>
        <w:tc>
          <w:tcPr>
            <w:tcW w:w="3604" w:type="dxa"/>
            <w:gridSpan w:val="2"/>
            <w:tcBorders>
              <w:top w:val="single" w:sz="4" w:space="0" w:color="auto"/>
              <w:left w:val="single" w:sz="4" w:space="0" w:color="auto"/>
              <w:bottom w:val="single" w:sz="4" w:space="0" w:color="auto"/>
              <w:right w:val="single" w:sz="4" w:space="0" w:color="auto"/>
            </w:tcBorders>
          </w:tcPr>
          <w:p w14:paraId="03890259"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w:t>
            </w:r>
            <w:r>
              <w:rPr>
                <w:rFonts w:ascii="Times New Roman" w:eastAsia="Times New Roman" w:hAnsi="Times New Roman" w:cs="Times New Roman"/>
                <w:color w:val="000000"/>
                <w:sz w:val="20"/>
                <w:szCs w:val="20"/>
                <w:lang w:eastAsia="en-ZA"/>
              </w:rPr>
              <w:t>one</w:t>
            </w:r>
          </w:p>
        </w:tc>
        <w:tc>
          <w:tcPr>
            <w:tcW w:w="2666" w:type="dxa"/>
            <w:tcBorders>
              <w:top w:val="single" w:sz="4" w:space="0" w:color="auto"/>
              <w:left w:val="single" w:sz="4" w:space="0" w:color="auto"/>
              <w:bottom w:val="single" w:sz="4" w:space="0" w:color="auto"/>
              <w:right w:val="single" w:sz="4" w:space="0" w:color="auto"/>
            </w:tcBorders>
          </w:tcPr>
          <w:p w14:paraId="3A2BBCB1"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0D8787A5"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0810D1CB" w14:textId="77777777" w:rsidR="002D7080" w:rsidRPr="004D1E6F" w:rsidRDefault="002D7080" w:rsidP="002E2C37">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p>
          <w:p w14:paraId="084D0362" w14:textId="77777777" w:rsidR="002D7080" w:rsidRPr="004D1E6F" w:rsidRDefault="002D7080" w:rsidP="00956545">
            <w:pPr>
              <w:spacing w:after="0"/>
              <w:jc w:val="both"/>
              <w:rPr>
                <w:rFonts w:ascii="Times New Roman" w:eastAsia="Calibri" w:hAnsi="Times New Roman" w:cs="Times New Roman"/>
                <w:sz w:val="20"/>
                <w:szCs w:val="20"/>
                <w:shd w:val="clear" w:color="auto" w:fill="FFFFFF"/>
              </w:rPr>
            </w:pPr>
            <w:r w:rsidRPr="004D1E6F">
              <w:rPr>
                <w:rFonts w:ascii="Times New Roman" w:eastAsia="Calibri" w:hAnsi="Times New Roman" w:cs="Times New Roman"/>
                <w:i/>
                <w:iCs/>
                <w:sz w:val="20"/>
                <w:szCs w:val="20"/>
                <w:bdr w:val="none" w:sz="0" w:space="0" w:color="auto" w:frame="1"/>
                <w:shd w:val="clear" w:color="auto" w:fill="FFFFFF"/>
              </w:rPr>
              <w:t>P</w:t>
            </w:r>
            <w:r>
              <w:rPr>
                <w:rFonts w:ascii="Times New Roman" w:eastAsia="Calibri" w:hAnsi="Times New Roman" w:cs="Times New Roman"/>
                <w:i/>
                <w:iCs/>
                <w:sz w:val="20"/>
                <w:szCs w:val="20"/>
                <w:bdr w:val="none" w:sz="0" w:space="0" w:color="auto" w:frame="1"/>
                <w:shd w:val="clear" w:color="auto" w:fill="FFFFFF"/>
              </w:rPr>
              <w:t xml:space="preserve">rocambarus </w:t>
            </w:r>
            <w:r w:rsidRPr="004D1E6F">
              <w:rPr>
                <w:rFonts w:ascii="Times New Roman" w:eastAsia="Calibri" w:hAnsi="Times New Roman" w:cs="Times New Roman"/>
                <w:i/>
                <w:iCs/>
                <w:sz w:val="20"/>
                <w:szCs w:val="20"/>
                <w:bdr w:val="none" w:sz="0" w:space="0" w:color="auto" w:frame="1"/>
                <w:shd w:val="clear" w:color="auto" w:fill="FFFFFF"/>
              </w:rPr>
              <w:t>acutus</w:t>
            </w:r>
            <w:r w:rsidRPr="004D1E6F">
              <w:rPr>
                <w:rFonts w:ascii="Times New Roman" w:eastAsia="Calibri" w:hAnsi="Times New Roman" w:cs="Times New Roman"/>
                <w:sz w:val="20"/>
                <w:szCs w:val="20"/>
                <w:shd w:val="clear" w:color="auto" w:fill="FFFFFF"/>
              </w:rPr>
              <w:t xml:space="preserve"> has been introduced intentionally into </w:t>
            </w:r>
            <w:r>
              <w:rPr>
                <w:rFonts w:ascii="Times New Roman" w:eastAsia="Calibri" w:hAnsi="Times New Roman" w:cs="Times New Roman"/>
                <w:sz w:val="20"/>
                <w:szCs w:val="20"/>
                <w:shd w:val="clear" w:color="auto" w:fill="FFFFFF"/>
              </w:rPr>
              <w:t xml:space="preserve">several areas in the USA (e.g., </w:t>
            </w:r>
            <w:r w:rsidRPr="004D1E6F">
              <w:rPr>
                <w:rFonts w:ascii="Times New Roman" w:eastAsia="Calibri" w:hAnsi="Times New Roman" w:cs="Times New Roman"/>
                <w:sz w:val="20"/>
                <w:szCs w:val="20"/>
                <w:shd w:val="clear" w:color="auto" w:fill="FFFFFF"/>
              </w:rPr>
              <w:t>California and New England</w:t>
            </w:r>
            <w:r>
              <w:rPr>
                <w:rFonts w:ascii="Times New Roman" w:eastAsia="Calibri" w:hAnsi="Times New Roman" w:cs="Times New Roman"/>
                <w:sz w:val="20"/>
                <w:szCs w:val="20"/>
                <w:shd w:val="clear" w:color="auto" w:fill="FFFFFF"/>
              </w:rPr>
              <w:t>)</w:t>
            </w:r>
            <w:r w:rsidRPr="004D1E6F">
              <w:rPr>
                <w:rFonts w:ascii="Times New Roman" w:eastAsia="Calibri" w:hAnsi="Times New Roman" w:cs="Times New Roman"/>
                <w:sz w:val="20"/>
                <w:szCs w:val="20"/>
                <w:shd w:val="clear" w:color="auto" w:fill="FFFFFF"/>
              </w:rPr>
              <w:t xml:space="preserve"> for aquaculture purposes and used as live bait (Holdich et al. 2009; Soes &amp; Koese 2010; Faulkes 2015). The possibility remains that it has been moved unintentionally as a contaminant of </w:t>
            </w:r>
            <w:r w:rsidRPr="004D1E6F">
              <w:rPr>
                <w:rFonts w:ascii="Times New Roman" w:eastAsia="Calibri" w:hAnsi="Times New Roman" w:cs="Times New Roman"/>
                <w:i/>
                <w:iCs/>
                <w:sz w:val="20"/>
                <w:szCs w:val="20"/>
                <w:bdr w:val="none" w:sz="0" w:space="0" w:color="auto" w:frame="1"/>
                <w:shd w:val="clear" w:color="auto" w:fill="FFFFFF"/>
              </w:rPr>
              <w:t>P. clarkii</w:t>
            </w:r>
            <w:r w:rsidRPr="004D1E6F">
              <w:rPr>
                <w:rFonts w:ascii="Times New Roman" w:eastAsia="Calibri" w:hAnsi="Times New Roman" w:cs="Times New Roman"/>
                <w:sz w:val="20"/>
                <w:szCs w:val="20"/>
                <w:shd w:val="clear" w:color="auto" w:fill="FFFFFF"/>
              </w:rPr>
              <w:t xml:space="preserve">’s stocks (Soes &amp; Koese 2010). </w:t>
            </w:r>
          </w:p>
        </w:tc>
      </w:tr>
      <w:tr w:rsidR="002D7080" w:rsidRPr="004D1E6F" w14:paraId="1F56D776" w14:textId="77777777" w:rsidTr="002E2C37">
        <w:trPr>
          <w:cantSplit/>
          <w:trHeight w:val="419"/>
        </w:trPr>
        <w:tc>
          <w:tcPr>
            <w:tcW w:w="8790" w:type="dxa"/>
            <w:gridSpan w:val="4"/>
            <w:tcBorders>
              <w:top w:val="single" w:sz="4" w:space="0" w:color="auto"/>
              <w:left w:val="single" w:sz="4" w:space="0" w:color="auto"/>
              <w:bottom w:val="single" w:sz="4" w:space="0" w:color="auto"/>
              <w:right w:val="single" w:sz="4" w:space="0" w:color="auto"/>
            </w:tcBorders>
            <w:noWrap/>
          </w:tcPr>
          <w:p w14:paraId="236B6B88" w14:textId="77777777" w:rsidR="002D7080" w:rsidRPr="004D1E6F" w:rsidRDefault="002D7080" w:rsidP="00956545">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6B0908C9" w14:textId="77777777" w:rsidR="002D7080" w:rsidRDefault="002D7080" w:rsidP="00D846AB">
            <w:pPr>
              <w:spacing w:after="0"/>
              <w:ind w:left="525" w:hanging="525"/>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Faulkes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Z.</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2015</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The global trade in crayfish as pets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Crustacean Research</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44</w:t>
            </w:r>
            <w:r>
              <w:rPr>
                <w:rFonts w:ascii="Times New Roman" w:eastAsia="Times New Roman" w:hAnsi="Times New Roman" w:cs="Times New Roman"/>
                <w:iCs/>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75–92.</w:t>
            </w:r>
            <w:r>
              <w:rPr>
                <w:rFonts w:ascii="Times New Roman" w:eastAsia="Times New Roman" w:hAnsi="Times New Roman" w:cs="Times New Roman"/>
                <w:color w:val="000000"/>
                <w:sz w:val="20"/>
                <w:szCs w:val="20"/>
                <w:lang w:eastAsia="en-ZA"/>
              </w:rPr>
              <w:t xml:space="preserve"> </w:t>
            </w:r>
          </w:p>
          <w:p w14:paraId="54A2F2B1" w14:textId="77777777" w:rsidR="002D7080" w:rsidRPr="008D58BE" w:rsidRDefault="002D7080" w:rsidP="00D846AB">
            <w:pPr>
              <w:spacing w:after="0"/>
              <w:ind w:left="525" w:hanging="525"/>
              <w:contextualSpacing/>
              <w:jc w:val="both"/>
              <w:rPr>
                <w:rFonts w:ascii="Times New Roman" w:eastAsia="Times New Roman" w:hAnsi="Times New Roman" w:cs="Times New Roman"/>
                <w:color w:val="000000"/>
                <w:sz w:val="20"/>
                <w:szCs w:val="20"/>
                <w:lang w:eastAsia="en-ZA"/>
              </w:rPr>
            </w:pPr>
            <w:r w:rsidRPr="004D1E6F">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4D1E6F">
              <w:rPr>
                <w:rFonts w:ascii="Times New Roman" w:eastAsia="Calibri" w:hAnsi="Times New Roman" w:cs="Times New Roman"/>
                <w:sz w:val="20"/>
                <w:szCs w:val="20"/>
              </w:rPr>
              <w:t xml:space="preserve"> </w:t>
            </w:r>
            <w:r w:rsidRPr="004D1E6F">
              <w:rPr>
                <w:rFonts w:ascii="Times New Roman" w:eastAsia="Calibri" w:hAnsi="Times New Roman" w:cs="Times New Roman"/>
                <w:bCs/>
                <w:i/>
                <w:sz w:val="20"/>
                <w:szCs w:val="20"/>
              </w:rPr>
              <w:t>Knowledge and Management of Aquatic Ecosystems</w:t>
            </w:r>
            <w:r w:rsidRPr="004D1E6F">
              <w:rPr>
                <w:rFonts w:ascii="Times New Roman" w:eastAsia="Calibri" w:hAnsi="Times New Roman" w:cs="Times New Roman"/>
                <w:bCs/>
                <w:sz w:val="20"/>
                <w:szCs w:val="20"/>
              </w:rPr>
              <w:t xml:space="preserve"> 11, 394–395</w:t>
            </w:r>
            <w:r w:rsidRPr="004D1E6F">
              <w:rPr>
                <w:rFonts w:ascii="Times New Roman" w:hAnsi="Times New Roman" w:cs="Times New Roman"/>
                <w:sz w:val="20"/>
                <w:szCs w:val="20"/>
              </w:rPr>
              <w:t xml:space="preserve">. </w:t>
            </w:r>
            <w:hyperlink w:history="1">
              <w:r w:rsidRPr="004D1E6F">
                <w:rPr>
                  <w:rStyle w:val="Hyperlink"/>
                  <w:rFonts w:ascii="Times New Roman" w:hAnsi="Times New Roman" w:cs="Times New Roman"/>
                  <w:sz w:val="20"/>
                  <w:szCs w:val="20"/>
                </w:rPr>
                <w:t>https://doi.org/10.1051/kmae/2009025</w:t>
              </w:r>
            </w:hyperlink>
            <w:r>
              <w:rPr>
                <w:rStyle w:val="Hyperlink"/>
                <w:rFonts w:ascii="Times New Roman" w:hAnsi="Times New Roman" w:cs="Times New Roman"/>
                <w:sz w:val="20"/>
                <w:szCs w:val="20"/>
              </w:rPr>
              <w:t>.</w:t>
            </w:r>
          </w:p>
          <w:p w14:paraId="0A454AE5" w14:textId="77777777" w:rsidR="002D7080" w:rsidRPr="004D1E6F" w:rsidRDefault="002D7080" w:rsidP="00D846AB">
            <w:pPr>
              <w:spacing w:after="160"/>
              <w:ind w:left="599" w:hanging="567"/>
              <w:contextualSpacing/>
              <w:jc w:val="both"/>
              <w:rPr>
                <w:rFonts w:ascii="Times New Roman" w:hAnsi="Times New Roman" w:cs="Times New Roman"/>
                <w:sz w:val="20"/>
                <w:szCs w:val="20"/>
              </w:rPr>
            </w:pPr>
            <w:r w:rsidRPr="004D1E6F">
              <w:rPr>
                <w:rFonts w:ascii="Times New Roman" w:eastAsia="Times New Roman" w:hAnsi="Times New Roman" w:cs="Times New Roman"/>
                <w:color w:val="000000"/>
                <w:sz w:val="20"/>
                <w:szCs w:val="20"/>
                <w:lang w:eastAsia="en-ZA"/>
              </w:rPr>
              <w:t xml:space="preserve">Soes, D.M. &amp; Koese, B., 2010, ‘Invasive crayfish in the Netherlands: A preliminary risk analysis. </w:t>
            </w:r>
            <w:r w:rsidRPr="004D1E6F">
              <w:rPr>
                <w:rFonts w:ascii="Times New Roman" w:eastAsia="Times New Roman" w:hAnsi="Times New Roman" w:cs="Times New Roman"/>
                <w:i/>
                <w:iCs/>
                <w:color w:val="000000"/>
                <w:sz w:val="20"/>
                <w:szCs w:val="20"/>
                <w:lang w:eastAsia="en-ZA"/>
              </w:rPr>
              <w:t>Interim report, Bureau Waardenburg bv, Stichting EIS-Nederland’</w:t>
            </w:r>
            <w:r w:rsidRPr="004D1E6F">
              <w:rPr>
                <w:rFonts w:ascii="Times New Roman" w:eastAsia="Times New Roman" w:hAnsi="Times New Roman" w:cs="Times New Roman"/>
                <w:color w:val="000000"/>
                <w:sz w:val="20"/>
                <w:szCs w:val="20"/>
                <w:lang w:eastAsia="en-ZA"/>
              </w:rPr>
              <w:t>, Invasive Alien Species Team, Waardenburghttps://nas.er.usgs.gov/queries/factsheet.aspx?SpeciesID=216</w:t>
            </w:r>
          </w:p>
        </w:tc>
      </w:tr>
    </w:tbl>
    <w:p w14:paraId="61947A0B" w14:textId="77777777" w:rsidR="002D7080" w:rsidRDefault="002D7080" w:rsidP="00956545">
      <w:pPr>
        <w:spacing w:after="0"/>
        <w:rPr>
          <w:rFonts w:ascii="Times New Roman" w:eastAsia="Times New Roman" w:hAnsi="Times New Roman" w:cs="Times New Roman"/>
          <w:color w:val="000000"/>
          <w:sz w:val="20"/>
          <w:szCs w:val="20"/>
          <w:lang w:eastAsia="en-ZA"/>
        </w:rPr>
      </w:pPr>
    </w:p>
    <w:p w14:paraId="0B9B7D47" w14:textId="77777777" w:rsidR="004D419F" w:rsidRDefault="004D419F" w:rsidP="00956545">
      <w:pPr>
        <w:spacing w:after="0"/>
        <w:rPr>
          <w:rFonts w:ascii="Times New Roman" w:eastAsia="Times New Roman" w:hAnsi="Times New Roman" w:cs="Times New Roman"/>
          <w:color w:val="000000"/>
          <w:sz w:val="20"/>
          <w:szCs w:val="20"/>
          <w:lang w:eastAsia="en-ZA"/>
        </w:rPr>
      </w:pPr>
    </w:p>
    <w:p w14:paraId="14854A20" w14:textId="77777777" w:rsidR="004D419F" w:rsidRDefault="004D419F" w:rsidP="00956545">
      <w:pPr>
        <w:spacing w:after="0"/>
        <w:rPr>
          <w:rFonts w:ascii="Times New Roman" w:eastAsia="Times New Roman" w:hAnsi="Times New Roman" w:cs="Times New Roman"/>
          <w:color w:val="000000"/>
          <w:sz w:val="20"/>
          <w:szCs w:val="20"/>
          <w:lang w:eastAsia="en-ZA"/>
        </w:rPr>
      </w:pPr>
    </w:p>
    <w:p w14:paraId="1F90393C" w14:textId="77777777" w:rsidR="004D419F" w:rsidRDefault="004D419F" w:rsidP="00956545">
      <w:pPr>
        <w:spacing w:after="0"/>
        <w:rPr>
          <w:rFonts w:ascii="Times New Roman" w:eastAsia="Times New Roman" w:hAnsi="Times New Roman" w:cs="Times New Roman"/>
          <w:color w:val="000000"/>
          <w:sz w:val="20"/>
          <w:szCs w:val="20"/>
          <w:lang w:eastAsia="en-ZA"/>
        </w:rPr>
      </w:pPr>
    </w:p>
    <w:p w14:paraId="61EFB301" w14:textId="77777777" w:rsidR="004D419F" w:rsidRDefault="004D419F" w:rsidP="00956545">
      <w:pPr>
        <w:spacing w:after="0"/>
        <w:rPr>
          <w:rFonts w:ascii="Times New Roman" w:eastAsia="Times New Roman" w:hAnsi="Times New Roman" w:cs="Times New Roman"/>
          <w:color w:val="000000"/>
          <w:sz w:val="20"/>
          <w:szCs w:val="20"/>
          <w:lang w:eastAsia="en-ZA"/>
        </w:rPr>
      </w:pPr>
    </w:p>
    <w:p w14:paraId="4E8E66FD" w14:textId="77777777" w:rsidR="004D419F" w:rsidRDefault="004D419F" w:rsidP="00956545">
      <w:pPr>
        <w:spacing w:after="0"/>
        <w:rPr>
          <w:rFonts w:ascii="Times New Roman" w:eastAsia="Times New Roman" w:hAnsi="Times New Roman" w:cs="Times New Roman"/>
          <w:color w:val="000000"/>
          <w:sz w:val="20"/>
          <w:szCs w:val="20"/>
          <w:lang w:eastAsia="en-ZA"/>
        </w:rPr>
      </w:pPr>
    </w:p>
    <w:p w14:paraId="32BBA51A" w14:textId="77777777" w:rsidR="004D419F" w:rsidRDefault="004D419F" w:rsidP="00956545">
      <w:pPr>
        <w:spacing w:after="0"/>
        <w:rPr>
          <w:rFonts w:ascii="Times New Roman" w:eastAsia="Times New Roman" w:hAnsi="Times New Roman" w:cs="Times New Roman"/>
          <w:color w:val="000000"/>
          <w:sz w:val="20"/>
          <w:szCs w:val="20"/>
          <w:lang w:eastAsia="en-ZA"/>
        </w:rPr>
      </w:pPr>
    </w:p>
    <w:p w14:paraId="28E25E95" w14:textId="77777777" w:rsidR="004D419F" w:rsidRDefault="004D419F" w:rsidP="00956545">
      <w:pPr>
        <w:spacing w:after="0"/>
        <w:rPr>
          <w:rFonts w:ascii="Times New Roman" w:eastAsia="Times New Roman" w:hAnsi="Times New Roman" w:cs="Times New Roman"/>
          <w:color w:val="000000"/>
          <w:sz w:val="20"/>
          <w:szCs w:val="20"/>
          <w:lang w:eastAsia="en-ZA"/>
        </w:rPr>
      </w:pPr>
    </w:p>
    <w:p w14:paraId="3E067134" w14:textId="77777777" w:rsidR="004D419F" w:rsidRDefault="004D419F" w:rsidP="00956545">
      <w:pPr>
        <w:spacing w:after="0"/>
        <w:rPr>
          <w:rFonts w:ascii="Times New Roman" w:eastAsia="Times New Roman" w:hAnsi="Times New Roman" w:cs="Times New Roman"/>
          <w:color w:val="000000"/>
          <w:sz w:val="20"/>
          <w:szCs w:val="20"/>
          <w:lang w:eastAsia="en-ZA"/>
        </w:rPr>
      </w:pPr>
    </w:p>
    <w:p w14:paraId="692A3AB6" w14:textId="77777777" w:rsidR="004D419F" w:rsidRDefault="004D419F" w:rsidP="00956545">
      <w:pPr>
        <w:spacing w:after="0"/>
        <w:rPr>
          <w:rFonts w:ascii="Times New Roman" w:eastAsia="Times New Roman" w:hAnsi="Times New Roman" w:cs="Times New Roman"/>
          <w:color w:val="000000"/>
          <w:sz w:val="20"/>
          <w:szCs w:val="20"/>
          <w:lang w:eastAsia="en-ZA"/>
        </w:rPr>
      </w:pPr>
    </w:p>
    <w:p w14:paraId="5168FE19" w14:textId="77777777" w:rsidR="004D419F" w:rsidRPr="004D1E6F" w:rsidRDefault="004D419F" w:rsidP="00956545">
      <w:pPr>
        <w:spacing w:after="0"/>
        <w:rPr>
          <w:rFonts w:ascii="Times New Roman" w:eastAsia="Times New Roman" w:hAnsi="Times New Roman" w:cs="Times New Roman"/>
          <w:color w:val="000000"/>
          <w:sz w:val="20"/>
          <w:szCs w:val="20"/>
          <w:lang w:eastAsia="en-ZA"/>
        </w:rPr>
      </w:pPr>
    </w:p>
    <w:p w14:paraId="181AF055"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lastRenderedPageBreak/>
        <w:t>2. Likelihood</w:t>
      </w:r>
    </w:p>
    <w:p w14:paraId="5C82BBC7"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7C58074D" w14:textId="77777777" w:rsidTr="002E2C37">
        <w:tc>
          <w:tcPr>
            <w:tcW w:w="9016" w:type="dxa"/>
            <w:gridSpan w:val="2"/>
            <w:shd w:val="clear" w:color="auto" w:fill="F2F2F2" w:themeFill="background1" w:themeFillShade="F2"/>
          </w:tcPr>
          <w:p w14:paraId="1E6AA566"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LIK1 Likelihood of entry via unaided primary pathways</w:t>
            </w:r>
          </w:p>
        </w:tc>
      </w:tr>
      <w:tr w:rsidR="002D7080" w:rsidRPr="004D1E6F" w14:paraId="0B20A4C1" w14:textId="77777777" w:rsidTr="002E2C37">
        <w:tc>
          <w:tcPr>
            <w:tcW w:w="5524" w:type="dxa"/>
          </w:tcPr>
          <w:p w14:paraId="581D1F9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 xml:space="preserve">Response: </w:t>
            </w:r>
            <w:r w:rsidRPr="004D1E6F">
              <w:rPr>
                <w:rFonts w:ascii="Times New Roman" w:eastAsia="Times New Roman" w:hAnsi="Times New Roman" w:cs="Times New Roman"/>
                <w:color w:val="000000"/>
                <w:sz w:val="20"/>
                <w:szCs w:val="20"/>
                <w:lang w:eastAsia="en-ZA"/>
              </w:rPr>
              <w:t>Very unlikely (p = 0.0027)</w:t>
            </w:r>
          </w:p>
        </w:tc>
        <w:tc>
          <w:tcPr>
            <w:tcW w:w="3492" w:type="dxa"/>
          </w:tcPr>
          <w:p w14:paraId="7051BF31"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Confidence:</w:t>
            </w:r>
            <w:r w:rsidRPr="004D1E6F">
              <w:rPr>
                <w:rFonts w:ascii="Times New Roman" w:eastAsia="Times New Roman" w:hAnsi="Times New Roman" w:cs="Times New Roman"/>
                <w:color w:val="000000"/>
                <w:sz w:val="20"/>
                <w:szCs w:val="20"/>
                <w:lang w:eastAsia="en-ZA"/>
              </w:rPr>
              <w:t xml:space="preserve"> Medium</w:t>
            </w:r>
          </w:p>
        </w:tc>
      </w:tr>
      <w:tr w:rsidR="002D7080" w:rsidRPr="004D1E6F" w14:paraId="57AB03DF" w14:textId="77777777" w:rsidTr="002E2C37">
        <w:trPr>
          <w:trHeight w:val="614"/>
        </w:trPr>
        <w:tc>
          <w:tcPr>
            <w:tcW w:w="9016" w:type="dxa"/>
            <w:gridSpan w:val="2"/>
          </w:tcPr>
          <w:p w14:paraId="7E5D2D97"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 xml:space="preserve">There is no evidence that </w:t>
            </w:r>
            <w:r w:rsidRPr="00464C7A">
              <w:rPr>
                <w:rFonts w:ascii="Times New Roman" w:eastAsia="Times New Roman" w:hAnsi="Times New Roman" w:cs="Times New Roman"/>
                <w:i/>
                <w:iCs/>
                <w:color w:val="000000"/>
                <w:sz w:val="20"/>
                <w:szCs w:val="20"/>
                <w:lang w:eastAsia="en-ZA"/>
              </w:rPr>
              <w:t>P.</w:t>
            </w:r>
            <w:r>
              <w:rPr>
                <w:rFonts w:ascii="Times New Roman" w:eastAsia="Times New Roman" w:hAnsi="Times New Roman" w:cs="Times New Roman"/>
                <w:i/>
                <w:iCs/>
                <w:color w:val="000000"/>
                <w:sz w:val="20"/>
                <w:szCs w:val="20"/>
                <w:lang w:eastAsia="en-ZA"/>
              </w:rPr>
              <w:t xml:space="preserve"> acutus </w:t>
            </w:r>
            <w:r w:rsidRPr="004D1E6F">
              <w:rPr>
                <w:rFonts w:ascii="Times New Roman" w:eastAsia="Times New Roman" w:hAnsi="Times New Roman" w:cs="Times New Roman"/>
                <w:color w:val="000000"/>
                <w:sz w:val="20"/>
                <w:szCs w:val="20"/>
                <w:lang w:eastAsia="en-ZA"/>
              </w:rPr>
              <w:t xml:space="preserve">is present in South Africa or has established in the wild in neighbouring countries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Madzivanzira et al. 2020)", "plainTextFormattedCitation" : "(Lodge et al. 2012, Madzivanzira et al. 2020)", "previouslyFormattedCitation" : "(Lodge et al. 2012, Madzivanzira et al. 2020)"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Nunes et al. 2017</w:t>
            </w:r>
            <w:r w:rsidRPr="004D1E6F">
              <w:rPr>
                <w:rFonts w:ascii="Times New Roman" w:eastAsia="Times New Roman" w:hAnsi="Times New Roman" w:cs="Times New Roman"/>
                <w:color w:val="000000"/>
                <w:sz w:val="20"/>
                <w:szCs w:val="20"/>
                <w:lang w:eastAsia="en-ZA"/>
              </w:rPr>
              <w:t>; Madzivanzira et al. 2020)</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therefore the probability of </w:t>
            </w:r>
            <w:r w:rsidRPr="004D1E6F">
              <w:rPr>
                <w:rFonts w:ascii="Times New Roman" w:eastAsia="Times New Roman" w:hAnsi="Times New Roman" w:cs="Times New Roman"/>
                <w:i/>
                <w:color w:val="000000"/>
                <w:sz w:val="20"/>
                <w:szCs w:val="20"/>
                <w:lang w:eastAsia="en-ZA"/>
              </w:rPr>
              <w:t>F. rusticus</w:t>
            </w:r>
            <w:r w:rsidRPr="004D1E6F">
              <w:rPr>
                <w:rFonts w:ascii="Times New Roman" w:eastAsia="Times New Roman" w:hAnsi="Times New Roman" w:cs="Times New Roman"/>
                <w:color w:val="000000"/>
                <w:sz w:val="20"/>
                <w:szCs w:val="20"/>
                <w:lang w:eastAsia="en-ZA"/>
              </w:rPr>
              <w:t xml:space="preserve"> entering South Africa through unaided pathways (connected waterways) is very unlikely (p = 0.0027).</w:t>
            </w:r>
          </w:p>
        </w:tc>
      </w:tr>
      <w:tr w:rsidR="002D7080" w:rsidRPr="004D1E6F" w14:paraId="19CD53B1" w14:textId="77777777" w:rsidTr="002E2C37">
        <w:tc>
          <w:tcPr>
            <w:tcW w:w="9016" w:type="dxa"/>
            <w:gridSpan w:val="2"/>
          </w:tcPr>
          <w:p w14:paraId="56C07254"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2FEEE512" w14:textId="09537430" w:rsidR="002D7080" w:rsidRPr="004D1E6F" w:rsidRDefault="002D7080" w:rsidP="002E2C37">
            <w:pPr>
              <w:spacing w:after="160" w:line="256" w:lineRule="auto"/>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Calibri" w:hAnsi="Times New Roman" w:cs="Times New Roman"/>
                <w:sz w:val="20"/>
                <w:szCs w:val="20"/>
              </w:rPr>
              <w:t>Madzivanzira, T.C., South, J., Wood, L.E., Nunes, A.L.</w:t>
            </w:r>
            <w:r w:rsidRPr="004D1E6F">
              <w:rPr>
                <w:rFonts w:ascii="Times New Roman" w:eastAsia="Times New Roman" w:hAnsi="Times New Roman" w:cs="Times New Roman"/>
                <w:color w:val="000000"/>
                <w:sz w:val="20"/>
                <w:szCs w:val="20"/>
                <w:lang w:eastAsia="en-ZA"/>
              </w:rPr>
              <w:t xml:space="preserve"> &amp; </w:t>
            </w:r>
            <w:r w:rsidRPr="004D1E6F">
              <w:rPr>
                <w:rFonts w:ascii="Times New Roman" w:eastAsia="Calibri" w:hAnsi="Times New Roman" w:cs="Times New Roman"/>
                <w:sz w:val="20"/>
                <w:szCs w:val="20"/>
              </w:rPr>
              <w:t xml:space="preserve">Weyl, O.L.F., 2020, ‘A review of freshwater crayfish introductions in Africa’, </w:t>
            </w:r>
            <w:r w:rsidRPr="004D1E6F">
              <w:rPr>
                <w:rFonts w:ascii="Times New Roman" w:eastAsia="Calibri" w:hAnsi="Times New Roman" w:cs="Times New Roman"/>
                <w:i/>
                <w:sz w:val="20"/>
                <w:szCs w:val="20"/>
              </w:rPr>
              <w:t>Reviews in</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Calibri" w:hAnsi="Times New Roman" w:cs="Times New Roman"/>
                <w:i/>
                <w:sz w:val="20"/>
                <w:szCs w:val="20"/>
              </w:rPr>
              <w:t>Fisheries Science &amp; Aquaculture</w:t>
            </w:r>
            <w:r w:rsidRPr="004D1E6F">
              <w:rPr>
                <w:rFonts w:ascii="Times New Roman" w:eastAsia="Calibri" w:hAnsi="Times New Roman" w:cs="Times New Roman"/>
                <w:sz w:val="20"/>
                <w:szCs w:val="20"/>
              </w:rPr>
              <w:t>,</w:t>
            </w:r>
            <w:r w:rsidRPr="004D1E6F">
              <w:rPr>
                <w:rFonts w:ascii="Times New Roman" w:eastAsia="Calibri" w:hAnsi="Times New Roman" w:cs="Times New Roman"/>
                <w:i/>
                <w:sz w:val="20"/>
                <w:szCs w:val="20"/>
              </w:rPr>
              <w:t xml:space="preserve"> </w:t>
            </w:r>
            <w:r w:rsidRPr="004D1E6F">
              <w:rPr>
                <w:rFonts w:ascii="Times New Roman" w:eastAsia="Calibri" w:hAnsi="Times New Roman" w:cs="Times New Roman"/>
                <w:sz w:val="20"/>
                <w:szCs w:val="20"/>
              </w:rPr>
              <w:t xml:space="preserve">1-21. </w:t>
            </w:r>
            <w:r w:rsidR="009962CF" w:rsidRPr="00956545">
              <w:rPr>
                <w:rFonts w:ascii="Times New Roman" w:hAnsi="Times New Roman" w:cs="Times New Roman"/>
                <w:iCs/>
                <w:sz w:val="20"/>
                <w:szCs w:val="20"/>
              </w:rPr>
              <w:t>https://doi.org/10.1080/23308249.2020.1802405</w:t>
            </w:r>
            <w:r w:rsidRPr="00956545">
              <w:rPr>
                <w:rFonts w:ascii="Times New Roman" w:eastAsia="Calibri" w:hAnsi="Times New Roman" w:cs="Times New Roman"/>
                <w:sz w:val="18"/>
                <w:szCs w:val="18"/>
              </w:rPr>
              <w:t xml:space="preserve">. </w:t>
            </w:r>
          </w:p>
          <w:p w14:paraId="7AD6B43C" w14:textId="6082C9A5" w:rsidR="002D7080" w:rsidRPr="004D1E6F" w:rsidRDefault="002D7080" w:rsidP="002E2C37">
            <w:pPr>
              <w:ind w:left="540" w:hanging="540"/>
              <w:jc w:val="both"/>
              <w:rPr>
                <w:rFonts w:ascii="Times New Roman" w:eastAsia="Times New Roman" w:hAnsi="Times New Roman" w:cs="Times New Roman"/>
                <w:color w:val="000000"/>
                <w:sz w:val="20"/>
                <w:szCs w:val="20"/>
                <w:lang w:eastAsia="en-ZA"/>
              </w:rPr>
            </w:pPr>
            <w:r w:rsidRPr="00464C7A">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African Journal </w:t>
            </w:r>
            <w:r>
              <w:rPr>
                <w:rFonts w:ascii="Times New Roman" w:eastAsia="Times New Roman" w:hAnsi="Times New Roman" w:cs="Times New Roman"/>
                <w:sz w:val="20"/>
                <w:szCs w:val="20"/>
                <w:lang w:eastAsia="en-ZA"/>
              </w:rPr>
              <w:t xml:space="preserve">of Aquatic Science 42, 309–323. </w:t>
            </w:r>
            <w:hyperlink r:id="rId488" w:history="1">
              <w:r w:rsidR="009962CF" w:rsidRPr="00956545">
                <w:rPr>
                  <w:rStyle w:val="Hyperlink"/>
                  <w:rFonts w:ascii="Times New Roman" w:hAnsi="Times New Roman" w:cs="Times New Roman"/>
                  <w:sz w:val="20"/>
                  <w:szCs w:val="20"/>
                </w:rPr>
                <w:t>https://doi.org/10.2989/16085914.2017.1405788</w:t>
              </w:r>
            </w:hyperlink>
            <w:r w:rsidRPr="00956545">
              <w:rPr>
                <w:rFonts w:ascii="Times New Roman" w:eastAsia="Times New Roman" w:hAnsi="Times New Roman" w:cs="Times New Roman"/>
                <w:sz w:val="18"/>
                <w:szCs w:val="18"/>
                <w:lang w:eastAsia="en-ZA"/>
              </w:rPr>
              <w:t xml:space="preserve">   </w:t>
            </w:r>
          </w:p>
        </w:tc>
      </w:tr>
    </w:tbl>
    <w:p w14:paraId="7510645F"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1BD04F06" w14:textId="77777777" w:rsidTr="002E2C37">
        <w:tc>
          <w:tcPr>
            <w:tcW w:w="9016" w:type="dxa"/>
            <w:gridSpan w:val="2"/>
            <w:shd w:val="clear" w:color="auto" w:fill="F2F2F2" w:themeFill="background1" w:themeFillShade="F2"/>
          </w:tcPr>
          <w:p w14:paraId="10E77DC3"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LIK2 Likelihood of entry via human aided primary pathways</w:t>
            </w:r>
          </w:p>
        </w:tc>
      </w:tr>
      <w:tr w:rsidR="002D7080" w:rsidRPr="004D1E6F" w14:paraId="2C9EDD27" w14:textId="77777777" w:rsidTr="002E2C37">
        <w:tc>
          <w:tcPr>
            <w:tcW w:w="5524" w:type="dxa"/>
          </w:tcPr>
          <w:p w14:paraId="217460F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Unlikely</w:t>
            </w:r>
            <w:r>
              <w:rPr>
                <w:rFonts w:ascii="Times New Roman" w:eastAsia="Times New Roman" w:hAnsi="Times New Roman" w:cs="Times New Roman"/>
                <w:color w:val="000000"/>
                <w:sz w:val="20"/>
                <w:szCs w:val="20"/>
                <w:lang w:eastAsia="en-ZA"/>
              </w:rPr>
              <w:t xml:space="preserve"> (p = 0.027)</w:t>
            </w:r>
          </w:p>
        </w:tc>
        <w:tc>
          <w:tcPr>
            <w:tcW w:w="3492" w:type="dxa"/>
          </w:tcPr>
          <w:p w14:paraId="08B897A9"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L</w:t>
            </w:r>
            <w:r w:rsidRPr="004D1E6F">
              <w:rPr>
                <w:rFonts w:ascii="Times New Roman" w:eastAsia="Times New Roman" w:hAnsi="Times New Roman" w:cs="Times New Roman"/>
                <w:color w:val="000000"/>
                <w:sz w:val="20"/>
                <w:szCs w:val="20"/>
                <w:lang w:eastAsia="en-ZA"/>
              </w:rPr>
              <w:t>ow</w:t>
            </w:r>
          </w:p>
        </w:tc>
      </w:tr>
      <w:tr w:rsidR="002D7080" w:rsidRPr="004D1E6F" w14:paraId="686278DA" w14:textId="77777777" w:rsidTr="002E2C37">
        <w:tc>
          <w:tcPr>
            <w:tcW w:w="9016" w:type="dxa"/>
            <w:gridSpan w:val="2"/>
          </w:tcPr>
          <w:p w14:paraId="6596E1D4"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A84456">
              <w:rPr>
                <w:rFonts w:ascii="Times New Roman" w:eastAsia="Calibri" w:hAnsi="Times New Roman" w:cs="Times New Roman"/>
                <w:i/>
                <w:sz w:val="20"/>
                <w:szCs w:val="20"/>
              </w:rPr>
              <w:t xml:space="preserve">Procambarus acutus </w:t>
            </w:r>
            <w:r w:rsidRPr="00E03694">
              <w:rPr>
                <w:rFonts w:ascii="Times New Roman" w:eastAsia="Calibri" w:hAnsi="Times New Roman" w:cs="Times New Roman"/>
                <w:iCs/>
                <w:sz w:val="20"/>
                <w:szCs w:val="20"/>
              </w:rPr>
              <w:t>has been introduced into areas</w:t>
            </w:r>
            <w:r>
              <w:rPr>
                <w:rFonts w:ascii="Times New Roman" w:eastAsia="Calibri" w:hAnsi="Times New Roman" w:cs="Times New Roman"/>
                <w:iCs/>
                <w:sz w:val="20"/>
                <w:szCs w:val="20"/>
              </w:rPr>
              <w:t xml:space="preserve"> outside its native range</w:t>
            </w:r>
            <w:r w:rsidRPr="00E03694">
              <w:rPr>
                <w:rFonts w:ascii="Times New Roman" w:eastAsia="Calibri" w:hAnsi="Times New Roman" w:cs="Times New Roman"/>
                <w:iCs/>
                <w:sz w:val="20"/>
                <w:szCs w:val="20"/>
              </w:rPr>
              <w:t xml:space="preserve"> in USA for aquaculture and as live bait (CABI 2024</w:t>
            </w:r>
            <w:r>
              <w:rPr>
                <w:rFonts w:ascii="Times New Roman" w:eastAsia="Calibri" w:hAnsi="Times New Roman" w:cs="Times New Roman"/>
                <w:iCs/>
                <w:sz w:val="20"/>
                <w:szCs w:val="20"/>
              </w:rPr>
              <w:t>)</w:t>
            </w:r>
            <w:r w:rsidRPr="00E03694">
              <w:rPr>
                <w:rFonts w:ascii="Times New Roman" w:eastAsia="Calibri" w:hAnsi="Times New Roman" w:cs="Times New Roman"/>
                <w:iCs/>
                <w:sz w:val="20"/>
                <w:szCs w:val="20"/>
              </w:rPr>
              <w:t>. It is not very popular in the aquarium pet trade</w:t>
            </w:r>
            <w:r w:rsidRPr="004D1E6F">
              <w:rPr>
                <w:rFonts w:ascii="Times New Roman" w:eastAsia="Calibri" w:hAnsi="Times New Roman" w:cs="Times New Roman"/>
                <w:sz w:val="20"/>
                <w:szCs w:val="20"/>
              </w:rPr>
              <w:t xml:space="preserve"> (Faulkes 2015)</w:t>
            </w:r>
            <w:r>
              <w:rPr>
                <w:rFonts w:ascii="Times New Roman" w:eastAsia="Calibri" w:hAnsi="Times New Roman" w:cs="Times New Roman"/>
                <w:sz w:val="20"/>
                <w:szCs w:val="20"/>
              </w:rPr>
              <w:t xml:space="preserve"> and </w:t>
            </w:r>
            <w:r w:rsidRPr="004D1E6F">
              <w:rPr>
                <w:rFonts w:ascii="Times New Roman" w:eastAsia="Times New Roman" w:hAnsi="Times New Roman" w:cs="Times New Roman"/>
                <w:color w:val="000000"/>
                <w:sz w:val="20"/>
                <w:szCs w:val="20"/>
                <w:lang w:eastAsia="en-ZA"/>
              </w:rPr>
              <w:t xml:space="preserve">there is no evidence to show that </w:t>
            </w:r>
            <w:r w:rsidRPr="004D1E6F">
              <w:rPr>
                <w:rFonts w:ascii="Times New Roman" w:eastAsia="Times New Roman" w:hAnsi="Times New Roman" w:cs="Times New Roman"/>
                <w:i/>
                <w:sz w:val="20"/>
                <w:szCs w:val="20"/>
                <w:lang w:eastAsia="en-ZA"/>
              </w:rPr>
              <w:t>P</w:t>
            </w:r>
            <w:r>
              <w:rPr>
                <w:rFonts w:ascii="Times New Roman" w:eastAsia="Times New Roman" w:hAnsi="Times New Roman" w:cs="Times New Roman"/>
                <w:i/>
                <w:sz w:val="20"/>
                <w:szCs w:val="20"/>
                <w:lang w:eastAsia="en-ZA"/>
              </w:rPr>
              <w:t xml:space="preserve">. acutus </w:t>
            </w:r>
            <w:r w:rsidRPr="004D1E6F">
              <w:rPr>
                <w:rFonts w:ascii="Times New Roman" w:eastAsia="Times New Roman" w:hAnsi="Times New Roman" w:cs="Times New Roman"/>
                <w:color w:val="000000"/>
                <w:sz w:val="20"/>
                <w:szCs w:val="20"/>
                <w:lang w:eastAsia="en-ZA"/>
              </w:rPr>
              <w:t>is currently traded in the South Africa pet trade industry,</w:t>
            </w:r>
            <w:r>
              <w:rPr>
                <w:rFonts w:ascii="Times New Roman" w:eastAsia="Times New Roman" w:hAnsi="Times New Roman" w:cs="Times New Roman"/>
                <w:color w:val="000000"/>
                <w:sz w:val="20"/>
                <w:szCs w:val="20"/>
                <w:lang w:eastAsia="en-ZA"/>
              </w:rPr>
              <w:t xml:space="preserve"> but this needs to be verified through dedicated surveys (Nunes et al. 2017)</w:t>
            </w:r>
          </w:p>
        </w:tc>
      </w:tr>
      <w:tr w:rsidR="002D7080" w:rsidRPr="004D1E6F" w14:paraId="3853D76A" w14:textId="77777777" w:rsidTr="002E2C37">
        <w:tc>
          <w:tcPr>
            <w:tcW w:w="9016" w:type="dxa"/>
            <w:gridSpan w:val="2"/>
          </w:tcPr>
          <w:p w14:paraId="24C3202F"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6CB66E82" w14:textId="77777777" w:rsidR="002D7080" w:rsidRDefault="002D7080" w:rsidP="00956545">
            <w:pPr>
              <w:ind w:left="720" w:hanging="720"/>
              <w:contextualSpacing/>
              <w:jc w:val="both"/>
              <w:rPr>
                <w:rFonts w:ascii="Times New Roman" w:hAnsi="Times New Roman" w:cs="Times New Roman"/>
                <w:sz w:val="20"/>
                <w:szCs w:val="20"/>
              </w:rPr>
            </w:pPr>
            <w:r w:rsidRPr="00A06354">
              <w:rPr>
                <w:rFonts w:ascii="Times New Roman" w:hAnsi="Times New Roman" w:cs="Times New Roman"/>
                <w:sz w:val="20"/>
                <w:szCs w:val="20"/>
              </w:rPr>
              <w:t xml:space="preserve">CABI, 2024. </w:t>
            </w:r>
            <w:r w:rsidRPr="00A06354">
              <w:rPr>
                <w:rFonts w:ascii="Times New Roman" w:hAnsi="Times New Roman" w:cs="Times New Roman"/>
                <w:i/>
                <w:iCs/>
                <w:sz w:val="20"/>
                <w:szCs w:val="20"/>
              </w:rPr>
              <w:t>Procambarus acutus acutus</w:t>
            </w:r>
            <w:r w:rsidRPr="00A06354">
              <w:rPr>
                <w:rFonts w:ascii="Times New Roman" w:hAnsi="Times New Roman" w:cs="Times New Roman"/>
                <w:sz w:val="20"/>
                <w:szCs w:val="20"/>
              </w:rPr>
              <w:t xml:space="preserve">. Invasive Species Compendium, </w:t>
            </w:r>
            <w:r w:rsidRPr="00A06354">
              <w:rPr>
                <w:rFonts w:ascii="Times New Roman" w:hAnsi="Times New Roman" w:cs="Times New Roman"/>
                <w:color w:val="000000"/>
                <w:sz w:val="20"/>
                <w:szCs w:val="20"/>
                <w:shd w:val="clear" w:color="auto" w:fill="FFFFFF"/>
              </w:rPr>
              <w:t>CABI Publishing, Wallingford, UK.</w:t>
            </w:r>
            <w:r w:rsidRPr="00A06354">
              <w:rPr>
                <w:rFonts w:ascii="Times New Roman" w:hAnsi="Times New Roman" w:cs="Times New Roman"/>
                <w:sz w:val="20"/>
                <w:szCs w:val="20"/>
              </w:rPr>
              <w:t xml:space="preserve"> </w:t>
            </w:r>
            <w:hyperlink w:history="1">
              <w:r w:rsidRPr="00A06354">
                <w:rPr>
                  <w:rStyle w:val="Hyperlink"/>
                  <w:rFonts w:ascii="Times New Roman" w:hAnsi="Times New Roman" w:cs="Times New Roman"/>
                  <w:sz w:val="20"/>
                  <w:szCs w:val="20"/>
                </w:rPr>
                <w:t>https://www.cabidigitallibrary.org/doi/10.1079/cabicompendium.67841</w:t>
              </w:r>
            </w:hyperlink>
            <w:r w:rsidRPr="00A06354">
              <w:rPr>
                <w:rFonts w:ascii="Times New Roman" w:hAnsi="Times New Roman" w:cs="Times New Roman"/>
                <w:sz w:val="20"/>
                <w:szCs w:val="20"/>
              </w:rPr>
              <w:t xml:space="preserve"> (accessed 10 July 2024)</w:t>
            </w:r>
            <w:r>
              <w:rPr>
                <w:rFonts w:ascii="Times New Roman" w:hAnsi="Times New Roman" w:cs="Times New Roman"/>
                <w:sz w:val="20"/>
                <w:szCs w:val="20"/>
              </w:rPr>
              <w:t xml:space="preserve">. </w:t>
            </w:r>
          </w:p>
          <w:p w14:paraId="2DBA5D59" w14:textId="147E9DBB" w:rsidR="002D7080" w:rsidRDefault="002D7080" w:rsidP="00956545">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Faulkes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Z.</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2015</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The global trade in crayfish as pets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Crustacean Research</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44</w:t>
            </w:r>
            <w:r>
              <w:rPr>
                <w:rFonts w:ascii="Times New Roman" w:eastAsia="Times New Roman" w:hAnsi="Times New Roman" w:cs="Times New Roman"/>
                <w:iCs/>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75–92.</w:t>
            </w:r>
            <w:r w:rsidRPr="00E3676F">
              <w:rPr>
                <w:rFonts w:ascii="Times New Roman" w:hAnsi="Times New Roman" w:cs="Times New Roman"/>
                <w:sz w:val="20"/>
                <w:szCs w:val="20"/>
              </w:rPr>
              <w:t xml:space="preserve"> </w:t>
            </w:r>
            <w:r w:rsidR="009962CF" w:rsidRPr="00956545">
              <w:rPr>
                <w:rFonts w:ascii="Times New Roman" w:hAnsi="Times New Roman" w:cs="Times New Roman"/>
                <w:sz w:val="20"/>
                <w:szCs w:val="20"/>
              </w:rPr>
              <w:t>https://doi.org/10.18353/crustacea.44.0_75</w:t>
            </w:r>
            <w:r w:rsidRPr="00956545">
              <w:rPr>
                <w:rFonts w:ascii="Times New Roman" w:eastAsia="Times New Roman" w:hAnsi="Times New Roman" w:cs="Times New Roman"/>
                <w:color w:val="000000"/>
                <w:sz w:val="20"/>
                <w:szCs w:val="20"/>
                <w:lang w:eastAsia="en-ZA"/>
              </w:rPr>
              <w:t>.</w:t>
            </w:r>
          </w:p>
          <w:p w14:paraId="619BFD5E" w14:textId="5875B9CB" w:rsidR="002D7080" w:rsidRPr="004D1E6F" w:rsidRDefault="002D7080" w:rsidP="00956545">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Pr>
                <w:rFonts w:ascii="Times New Roman" w:eastAsia="Times New Roman" w:hAnsi="Times New Roman" w:cs="Times New Roman"/>
                <w:color w:val="000000"/>
                <w:sz w:val="20"/>
                <w:szCs w:val="20"/>
                <w:lang w:eastAsia="en-ZA"/>
              </w:rPr>
              <w:t xml:space="preserve"> 42, 309–323. </w:t>
            </w:r>
            <w:hyperlink r:id="rId489" w:history="1">
              <w:r w:rsidR="009962CF" w:rsidRPr="008A0BC6">
                <w:rPr>
                  <w:rStyle w:val="Hyperlink"/>
                  <w:rFonts w:ascii="Times New Roman" w:hAnsi="Times New Roman" w:cs="Times New Roman"/>
                  <w:sz w:val="20"/>
                  <w:szCs w:val="20"/>
                </w:rPr>
                <w:t>https://doi.org/10.2989/16085914.2017.1405788</w:t>
              </w:r>
            </w:hyperlink>
            <w:r w:rsidRPr="00956545">
              <w:rPr>
                <w:rFonts w:ascii="Times New Roman" w:eastAsia="Times New Roman" w:hAnsi="Times New Roman" w:cs="Times New Roman"/>
                <w:color w:val="000000"/>
                <w:sz w:val="20"/>
                <w:szCs w:val="20"/>
                <w:lang w:eastAsia="en-ZA"/>
              </w:rPr>
              <w:t>.</w:t>
            </w:r>
            <w:r w:rsidRPr="00E3676F">
              <w:rPr>
                <w:rFonts w:ascii="Times New Roman" w:eastAsia="Times New Roman" w:hAnsi="Times New Roman" w:cs="Times New Roman"/>
                <w:color w:val="000000"/>
                <w:sz w:val="20"/>
                <w:szCs w:val="20"/>
                <w:lang w:eastAsia="en-ZA"/>
              </w:rPr>
              <w:t xml:space="preserve">   </w:t>
            </w:r>
          </w:p>
        </w:tc>
      </w:tr>
    </w:tbl>
    <w:p w14:paraId="037BD64D"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609A8C48" w14:textId="77777777" w:rsidTr="002E2C37">
        <w:tc>
          <w:tcPr>
            <w:tcW w:w="9016" w:type="dxa"/>
            <w:gridSpan w:val="2"/>
            <w:shd w:val="clear" w:color="auto" w:fill="F2F2F2" w:themeFill="background1" w:themeFillShade="F2"/>
          </w:tcPr>
          <w:p w14:paraId="40D904D1"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LIK3 Habitat suitability</w:t>
            </w:r>
          </w:p>
        </w:tc>
      </w:tr>
      <w:tr w:rsidR="002D7080" w:rsidRPr="004D1E6F" w14:paraId="0B0E05B6" w14:textId="77777777" w:rsidTr="002E2C37">
        <w:tc>
          <w:tcPr>
            <w:tcW w:w="5524" w:type="dxa"/>
          </w:tcPr>
          <w:p w14:paraId="2404958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w:t>
            </w:r>
            <w:r>
              <w:rPr>
                <w:rFonts w:ascii="Times New Roman" w:eastAsia="Times New Roman" w:hAnsi="Times New Roman" w:cs="Times New Roman"/>
                <w:color w:val="000000"/>
                <w:sz w:val="20"/>
                <w:szCs w:val="20"/>
                <w:lang w:eastAsia="en-ZA"/>
              </w:rPr>
              <w:t xml:space="preserve"> (p = 0.5)</w:t>
            </w:r>
          </w:p>
        </w:tc>
        <w:tc>
          <w:tcPr>
            <w:tcW w:w="3492" w:type="dxa"/>
          </w:tcPr>
          <w:p w14:paraId="5EE82631"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2D31D9C9" w14:textId="77777777" w:rsidTr="002E2C37">
        <w:tc>
          <w:tcPr>
            <w:tcW w:w="9016" w:type="dxa"/>
            <w:gridSpan w:val="2"/>
          </w:tcPr>
          <w:p w14:paraId="33FDDDC7"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4D1E6F">
              <w:rPr>
                <w:rFonts w:ascii="Times New Roman" w:eastAsia="Calibri" w:hAnsi="Times New Roman" w:cs="Times New Roman"/>
                <w:i/>
                <w:iCs/>
                <w:sz w:val="20"/>
                <w:szCs w:val="20"/>
                <w:bdr w:val="none" w:sz="0" w:space="0" w:color="auto" w:frame="1"/>
                <w:shd w:val="clear" w:color="auto" w:fill="FFFFFF"/>
              </w:rPr>
              <w:t>P</w:t>
            </w:r>
            <w:r>
              <w:rPr>
                <w:rFonts w:ascii="Times New Roman" w:eastAsia="Calibri" w:hAnsi="Times New Roman" w:cs="Times New Roman"/>
                <w:i/>
                <w:iCs/>
                <w:sz w:val="20"/>
                <w:szCs w:val="20"/>
                <w:bdr w:val="none" w:sz="0" w:space="0" w:color="auto" w:frame="1"/>
                <w:shd w:val="clear" w:color="auto" w:fill="FFFFFF"/>
              </w:rPr>
              <w:t>rocambarus</w:t>
            </w:r>
            <w:r w:rsidRPr="004D1E6F">
              <w:rPr>
                <w:rFonts w:ascii="Times New Roman" w:eastAsia="Calibri" w:hAnsi="Times New Roman" w:cs="Times New Roman"/>
                <w:i/>
                <w:iCs/>
                <w:sz w:val="20"/>
                <w:szCs w:val="20"/>
                <w:bdr w:val="none" w:sz="0" w:space="0" w:color="auto" w:frame="1"/>
                <w:shd w:val="clear" w:color="auto" w:fill="FFFFFF"/>
              </w:rPr>
              <w:t xml:space="preserve"> acutus </w:t>
            </w:r>
            <w:r w:rsidRPr="004D1E6F">
              <w:rPr>
                <w:rFonts w:ascii="Times New Roman" w:eastAsia="Calibri" w:hAnsi="Times New Roman" w:cs="Times New Roman"/>
                <w:iCs/>
                <w:sz w:val="20"/>
                <w:szCs w:val="20"/>
                <w:bdr w:val="none" w:sz="0" w:space="0" w:color="auto" w:frame="1"/>
                <w:shd w:val="clear" w:color="auto" w:fill="FFFFFF"/>
              </w:rPr>
              <w:t xml:space="preserve">is a habitat generalist and </w:t>
            </w:r>
            <w:r w:rsidRPr="004D1E6F">
              <w:rPr>
                <w:rFonts w:ascii="Times New Roman" w:eastAsia="Calibri" w:hAnsi="Times New Roman" w:cs="Times New Roman"/>
                <w:sz w:val="20"/>
                <w:szCs w:val="20"/>
                <w:shd w:val="clear" w:color="auto" w:fill="FFFFFF"/>
              </w:rPr>
              <w:t xml:space="preserve">is widely tolerant in most </w:t>
            </w:r>
            <w:r>
              <w:rPr>
                <w:rFonts w:ascii="Times New Roman" w:eastAsia="Calibri" w:hAnsi="Times New Roman" w:cs="Times New Roman"/>
                <w:sz w:val="20"/>
                <w:szCs w:val="20"/>
                <w:shd w:val="clear" w:color="auto" w:fill="FFFFFF"/>
              </w:rPr>
              <w:t xml:space="preserve">riverine habitats and it prefers </w:t>
            </w:r>
            <w:r w:rsidRPr="004D1E6F">
              <w:rPr>
                <w:rFonts w:ascii="Times New Roman" w:eastAsia="Calibri" w:hAnsi="Times New Roman" w:cs="Times New Roman"/>
                <w:sz w:val="20"/>
                <w:szCs w:val="20"/>
                <w:shd w:val="clear" w:color="auto" w:fill="FFFFFF"/>
              </w:rPr>
              <w:t xml:space="preserve">still or slow flowing waters </w:t>
            </w:r>
            <w:r>
              <w:rPr>
                <w:rFonts w:ascii="Times New Roman" w:eastAsia="Calibri" w:hAnsi="Times New Roman" w:cs="Times New Roman"/>
                <w:sz w:val="20"/>
                <w:szCs w:val="20"/>
                <w:shd w:val="clear" w:color="auto" w:fill="FFFFFF"/>
              </w:rPr>
              <w:t xml:space="preserve">with </w:t>
            </w:r>
            <w:r w:rsidRPr="004D1E6F">
              <w:rPr>
                <w:rFonts w:ascii="Times New Roman" w:eastAsia="Calibri" w:hAnsi="Times New Roman" w:cs="Times New Roman"/>
                <w:sz w:val="20"/>
                <w:szCs w:val="20"/>
                <w:shd w:val="clear" w:color="auto" w:fill="FFFFFF"/>
              </w:rPr>
              <w:t>mud, sand or gravel substrate</w:t>
            </w:r>
            <w:r>
              <w:rPr>
                <w:rFonts w:ascii="Times New Roman" w:eastAsia="Calibri" w:hAnsi="Times New Roman" w:cs="Times New Roman"/>
                <w:sz w:val="20"/>
                <w:szCs w:val="20"/>
                <w:shd w:val="clear" w:color="auto" w:fill="FFFFFF"/>
              </w:rPr>
              <w:t>s</w:t>
            </w:r>
            <w:r w:rsidRPr="004D1E6F">
              <w:rPr>
                <w:rFonts w:ascii="Times New Roman" w:eastAsia="Calibri" w:hAnsi="Times New Roman" w:cs="Times New Roman"/>
                <w:sz w:val="20"/>
                <w:szCs w:val="20"/>
                <w:shd w:val="clear" w:color="auto" w:fill="FFFFFF"/>
              </w:rPr>
              <w:t xml:space="preserve"> (Crandall 2010</w:t>
            </w:r>
            <w:r>
              <w:rPr>
                <w:rFonts w:ascii="Times New Roman" w:eastAsia="Calibri" w:hAnsi="Times New Roman" w:cs="Times New Roman"/>
                <w:sz w:val="20"/>
                <w:szCs w:val="20"/>
                <w:shd w:val="clear" w:color="auto" w:fill="FFFFFF"/>
              </w:rPr>
              <w:t xml:space="preserve">, </w:t>
            </w:r>
            <w:r w:rsidRPr="004D1E6F">
              <w:rPr>
                <w:rFonts w:ascii="Times New Roman" w:eastAsia="Calibri" w:hAnsi="Times New Roman" w:cs="Times New Roman"/>
                <w:sz w:val="20"/>
                <w:szCs w:val="20"/>
                <w:shd w:val="clear" w:color="auto" w:fill="FFFFFF"/>
              </w:rPr>
              <w:t>Soes and Kose 2010).</w:t>
            </w:r>
            <w:r>
              <w:rPr>
                <w:rFonts w:ascii="Times New Roman" w:eastAsia="Calibri" w:hAnsi="Times New Roman" w:cs="Times New Roman"/>
                <w:sz w:val="20"/>
                <w:szCs w:val="20"/>
                <w:shd w:val="clear" w:color="auto" w:fill="FFFFFF"/>
              </w:rPr>
              <w:t xml:space="preserve"> It </w:t>
            </w:r>
            <w:r w:rsidRPr="004D1E6F">
              <w:rPr>
                <w:rFonts w:ascii="Times New Roman" w:eastAsia="Calibri" w:hAnsi="Times New Roman" w:cs="Times New Roman"/>
                <w:sz w:val="20"/>
                <w:szCs w:val="20"/>
                <w:shd w:val="clear" w:color="auto" w:fill="FFFFFF"/>
              </w:rPr>
              <w:t xml:space="preserve">constructs simple shallow burrows to survive temporary harsh environmental conditions (Crandall 2010; Soes &amp; Koese 2010). </w:t>
            </w:r>
            <w:r>
              <w:rPr>
                <w:rFonts w:ascii="Times New Roman" w:eastAsia="Calibri" w:hAnsi="Times New Roman" w:cs="Times New Roman"/>
                <w:sz w:val="20"/>
                <w:szCs w:val="20"/>
                <w:shd w:val="clear" w:color="auto" w:fill="FFFFFF"/>
              </w:rPr>
              <w:t>These habitats are available in South Africa.</w:t>
            </w:r>
          </w:p>
        </w:tc>
      </w:tr>
      <w:tr w:rsidR="002D7080" w:rsidRPr="004D1E6F" w14:paraId="11AB0BC6" w14:textId="77777777" w:rsidTr="002E2C37">
        <w:tc>
          <w:tcPr>
            <w:tcW w:w="9016" w:type="dxa"/>
            <w:gridSpan w:val="2"/>
          </w:tcPr>
          <w:p w14:paraId="6C7CBA3A" w14:textId="77777777" w:rsidR="002D7080" w:rsidRPr="004D1E6F" w:rsidRDefault="002D7080" w:rsidP="00D846AB">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0801247B" w14:textId="77777777" w:rsidR="002D7080" w:rsidRPr="00956545" w:rsidRDefault="002D7080" w:rsidP="00D846AB">
            <w:pPr>
              <w:ind w:left="539" w:hanging="539"/>
              <w:contextualSpacing/>
              <w:jc w:val="both"/>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Crandall, K.A., 2010, </w:t>
            </w:r>
            <w:r w:rsidRPr="00956545">
              <w:rPr>
                <w:rFonts w:ascii="Times New Roman" w:eastAsia="Times New Roman" w:hAnsi="Times New Roman" w:cs="Times New Roman"/>
                <w:i/>
                <w:color w:val="000000"/>
                <w:sz w:val="20"/>
                <w:szCs w:val="20"/>
                <w:lang w:eastAsia="en-ZA"/>
              </w:rPr>
              <w:t>Procambarus acutus</w:t>
            </w:r>
            <w:r w:rsidRPr="00956545">
              <w:rPr>
                <w:rFonts w:ascii="Times New Roman" w:eastAsia="Times New Roman" w:hAnsi="Times New Roman" w:cs="Times New Roman"/>
                <w:color w:val="000000"/>
                <w:sz w:val="20"/>
                <w:szCs w:val="20"/>
                <w:lang w:eastAsia="en-ZA"/>
              </w:rPr>
              <w:t xml:space="preserve">. The IUCN Red List of Threatened Species 2010: e.T154022A4577805. </w:t>
            </w:r>
            <w:hyperlink w:history="1">
              <w:r w:rsidRPr="00956545">
                <w:rPr>
                  <w:rFonts w:ascii="Times New Roman" w:eastAsia="Times New Roman" w:hAnsi="Times New Roman" w:cs="Times New Roman"/>
                  <w:color w:val="0563C1"/>
                  <w:sz w:val="20"/>
                  <w:szCs w:val="20"/>
                  <w:u w:val="single"/>
                  <w:lang w:eastAsia="en-ZA"/>
                </w:rPr>
                <w:t>http://dx.doi.org/10.2305/IUCN.UK.2010-</w:t>
              </w:r>
            </w:hyperlink>
            <w:r w:rsidRPr="00956545">
              <w:rPr>
                <w:rFonts w:ascii="Times New Roman" w:eastAsia="Times New Roman" w:hAnsi="Times New Roman" w:cs="Times New Roman"/>
                <w:color w:val="000000"/>
                <w:sz w:val="20"/>
                <w:szCs w:val="20"/>
                <w:lang w:eastAsia="en-ZA"/>
              </w:rPr>
              <w:t>3.RLTS.T154022A4577805.en</w:t>
            </w:r>
          </w:p>
          <w:p w14:paraId="2EE13B41" w14:textId="77777777" w:rsidR="002D7080" w:rsidRPr="004D1E6F" w:rsidRDefault="002D7080" w:rsidP="00D846AB">
            <w:pPr>
              <w:ind w:left="539" w:hanging="539"/>
              <w:contextualSpacing/>
              <w:jc w:val="both"/>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Soes, D.M., Koese, B., 2010, Invasive crayfish in the Netherlands: a preliminary risk analysis. </w:t>
            </w:r>
            <w:r w:rsidRPr="00956545">
              <w:rPr>
                <w:rFonts w:ascii="Times New Roman" w:eastAsia="Times New Roman" w:hAnsi="Times New Roman" w:cs="Times New Roman"/>
                <w:i/>
                <w:iCs/>
                <w:color w:val="000000"/>
                <w:sz w:val="20"/>
                <w:szCs w:val="20"/>
                <w:lang w:eastAsia="en-ZA"/>
              </w:rPr>
              <w:t>Interim report, Bureau Waardenburg bv, Stichting EIS-Nederland, Invasive Alien Species Team, Waardenburg</w:t>
            </w:r>
            <w:r w:rsidRPr="004D1E6F">
              <w:rPr>
                <w:rFonts w:ascii="Times New Roman" w:eastAsia="Times New Roman" w:hAnsi="Times New Roman" w:cs="Times New Roman"/>
                <w:color w:val="000000"/>
                <w:sz w:val="20"/>
                <w:szCs w:val="20"/>
                <w:lang w:eastAsia="en-ZA"/>
              </w:rPr>
              <w:t>.</w:t>
            </w:r>
          </w:p>
        </w:tc>
      </w:tr>
    </w:tbl>
    <w:p w14:paraId="69EF78A1" w14:textId="77777777" w:rsidR="002D7080" w:rsidRPr="004D1E6F" w:rsidRDefault="002D7080" w:rsidP="00D846AB">
      <w:pPr>
        <w:spacing w:after="0" w:line="240" w:lineRule="auto"/>
        <w:jc w:val="both"/>
        <w:rPr>
          <w:rFonts w:ascii="Times New Roman" w:eastAsia="Times New Roman" w:hAnsi="Times New Roman" w:cs="Times New Roman"/>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77553A42" w14:textId="77777777" w:rsidTr="002E2C37">
        <w:tc>
          <w:tcPr>
            <w:tcW w:w="9016" w:type="dxa"/>
            <w:gridSpan w:val="2"/>
            <w:shd w:val="clear" w:color="auto" w:fill="F2F2F2" w:themeFill="background1" w:themeFillShade="F2"/>
          </w:tcPr>
          <w:p w14:paraId="22F3A031"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lastRenderedPageBreak/>
              <w:t>LIK4 Climate suitability</w:t>
            </w:r>
          </w:p>
        </w:tc>
      </w:tr>
      <w:tr w:rsidR="002D7080" w:rsidRPr="004D1E6F" w14:paraId="47CFF448" w14:textId="77777777" w:rsidTr="002E2C37">
        <w:tc>
          <w:tcPr>
            <w:tcW w:w="5524" w:type="dxa"/>
          </w:tcPr>
          <w:p w14:paraId="1BA8FA9A"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w:t>
            </w:r>
            <w:r>
              <w:rPr>
                <w:rFonts w:ascii="Times New Roman" w:eastAsia="Times New Roman" w:hAnsi="Times New Roman" w:cs="Times New Roman"/>
                <w:color w:val="000000"/>
                <w:sz w:val="20"/>
                <w:szCs w:val="20"/>
                <w:lang w:eastAsia="en-ZA"/>
              </w:rPr>
              <w:t xml:space="preserve"> (p = 0.5)</w:t>
            </w:r>
          </w:p>
        </w:tc>
        <w:tc>
          <w:tcPr>
            <w:tcW w:w="3492" w:type="dxa"/>
          </w:tcPr>
          <w:p w14:paraId="3CA2ACE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6ABC0F6D" w14:textId="77777777" w:rsidTr="002E2C37">
        <w:tc>
          <w:tcPr>
            <w:tcW w:w="9016" w:type="dxa"/>
            <w:gridSpan w:val="2"/>
          </w:tcPr>
          <w:p w14:paraId="0FDB4A3F" w14:textId="77777777" w:rsidR="002D7080" w:rsidRPr="004D1E6F" w:rsidRDefault="002D7080" w:rsidP="00956545">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C97C77">
              <w:rPr>
                <w:rFonts w:ascii="Times New Roman" w:eastAsia="Times New Roman" w:hAnsi="Times New Roman" w:cs="Times New Roman"/>
                <w:i/>
                <w:sz w:val="20"/>
                <w:szCs w:val="20"/>
                <w:lang w:eastAsia="en-ZA"/>
              </w:rPr>
              <w:t xml:space="preserve">Procambarus acutus </w:t>
            </w:r>
            <w:r w:rsidRPr="00C97C77">
              <w:rPr>
                <w:rFonts w:ascii="Times New Roman" w:hAnsi="Times New Roman" w:cs="Times New Roman"/>
                <w:sz w:val="20"/>
                <w:szCs w:val="20"/>
                <w:shd w:val="clear" w:color="auto" w:fill="FAFAFA"/>
              </w:rPr>
              <w:t>is</w:t>
            </w:r>
            <w:r>
              <w:rPr>
                <w:rFonts w:ascii="Times New Roman" w:hAnsi="Times New Roman" w:cs="Times New Roman"/>
                <w:sz w:val="20"/>
                <w:szCs w:val="20"/>
                <w:shd w:val="clear" w:color="auto" w:fill="FAFAFA"/>
              </w:rPr>
              <w:t xml:space="preserve"> k</w:t>
            </w:r>
            <w:r>
              <w:rPr>
                <w:rFonts w:ascii="Times New Roman" w:eastAsia="Calibri" w:hAnsi="Times New Roman" w:cs="Times New Roman"/>
                <w:sz w:val="20"/>
                <w:szCs w:val="20"/>
              </w:rPr>
              <w:t>nown to prefer temperate/mesothermal climate (average temperature of coldest month (&gt; 0</w:t>
            </w:r>
            <w:r w:rsidRPr="00783907">
              <w:rPr>
                <w:rFonts w:ascii="Times New Roman" w:hAnsi="Times New Roman" w:cs="Times New Roman"/>
                <w:sz w:val="20"/>
                <w:szCs w:val="20"/>
                <w:shd w:val="clear" w:color="auto" w:fill="FAFAFA"/>
              </w:rPr>
              <w:t>°C</w:t>
            </w:r>
            <w:r>
              <w:rPr>
                <w:rFonts w:ascii="Times New Roman" w:eastAsia="Calibri" w:hAnsi="Times New Roman" w:cs="Times New Roman"/>
                <w:sz w:val="20"/>
                <w:szCs w:val="20"/>
              </w:rPr>
              <w:t xml:space="preserve"> and &lt; 18</w:t>
            </w:r>
            <w:r w:rsidRPr="00783907">
              <w:rPr>
                <w:rFonts w:ascii="Times New Roman" w:hAnsi="Times New Roman" w:cs="Times New Roman"/>
                <w:sz w:val="20"/>
                <w:szCs w:val="20"/>
                <w:shd w:val="clear" w:color="auto" w:fill="FAFAFA"/>
              </w:rPr>
              <w:t>°C</w:t>
            </w:r>
            <w:r>
              <w:rPr>
                <w:rFonts w:ascii="Times New Roman" w:eastAsia="Calibri" w:hAnsi="Times New Roman" w:cs="Times New Roman"/>
                <w:sz w:val="20"/>
                <w:szCs w:val="20"/>
              </w:rPr>
              <w:t xml:space="preserve"> and mean warmest month &gt;10 </w:t>
            </w:r>
            <w:r w:rsidRPr="00783907">
              <w:rPr>
                <w:rFonts w:ascii="Times New Roman" w:hAnsi="Times New Roman" w:cs="Times New Roman"/>
                <w:sz w:val="20"/>
                <w:szCs w:val="20"/>
                <w:shd w:val="clear" w:color="auto" w:fill="FAFAFA"/>
              </w:rPr>
              <w:t>°C</w:t>
            </w:r>
            <w:r>
              <w:rPr>
                <w:rFonts w:ascii="Times New Roman" w:eastAsia="Calibri" w:hAnsi="Times New Roman" w:cs="Times New Roman"/>
                <w:sz w:val="20"/>
                <w:szCs w:val="20"/>
              </w:rPr>
              <w:t xml:space="preserve">) (CABI 2024). These climate conditions are available in South Africa. </w:t>
            </w:r>
          </w:p>
        </w:tc>
      </w:tr>
      <w:tr w:rsidR="002D7080" w:rsidRPr="004D1E6F" w14:paraId="7A8AEBF3" w14:textId="77777777" w:rsidTr="002E2C37">
        <w:tc>
          <w:tcPr>
            <w:tcW w:w="9016" w:type="dxa"/>
            <w:gridSpan w:val="2"/>
          </w:tcPr>
          <w:p w14:paraId="4BA8BFCF"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23D341AA" w14:textId="77777777" w:rsidR="002D7080" w:rsidRPr="00D13B0B" w:rsidRDefault="002D7080" w:rsidP="002E2C37">
            <w:pPr>
              <w:ind w:left="720" w:hanging="720"/>
              <w:jc w:val="both"/>
              <w:rPr>
                <w:rFonts w:ascii="Times New Roman" w:hAnsi="Times New Roman" w:cs="Times New Roman"/>
                <w:sz w:val="20"/>
                <w:szCs w:val="20"/>
              </w:rPr>
            </w:pPr>
            <w:r w:rsidRPr="00A06354">
              <w:rPr>
                <w:rFonts w:ascii="Times New Roman" w:hAnsi="Times New Roman" w:cs="Times New Roman"/>
                <w:sz w:val="20"/>
                <w:szCs w:val="20"/>
              </w:rPr>
              <w:t xml:space="preserve">CABI, 2024. </w:t>
            </w:r>
            <w:r w:rsidRPr="00A06354">
              <w:rPr>
                <w:rFonts w:ascii="Times New Roman" w:hAnsi="Times New Roman" w:cs="Times New Roman"/>
                <w:i/>
                <w:iCs/>
                <w:sz w:val="20"/>
                <w:szCs w:val="20"/>
              </w:rPr>
              <w:t>Procambarus acutus acutus</w:t>
            </w:r>
            <w:r w:rsidRPr="00A06354">
              <w:rPr>
                <w:rFonts w:ascii="Times New Roman" w:hAnsi="Times New Roman" w:cs="Times New Roman"/>
                <w:sz w:val="20"/>
                <w:szCs w:val="20"/>
              </w:rPr>
              <w:t xml:space="preserve">. Invasive Species Compendium, </w:t>
            </w:r>
            <w:r w:rsidRPr="00A06354">
              <w:rPr>
                <w:rFonts w:ascii="Times New Roman" w:hAnsi="Times New Roman" w:cs="Times New Roman"/>
                <w:color w:val="000000"/>
                <w:sz w:val="20"/>
                <w:szCs w:val="20"/>
                <w:shd w:val="clear" w:color="auto" w:fill="FFFFFF"/>
              </w:rPr>
              <w:t>CABI Publishing, Wallingford, UK.</w:t>
            </w:r>
            <w:r w:rsidRPr="00A06354">
              <w:rPr>
                <w:rFonts w:ascii="Times New Roman" w:hAnsi="Times New Roman" w:cs="Times New Roman"/>
                <w:sz w:val="20"/>
                <w:szCs w:val="20"/>
              </w:rPr>
              <w:t xml:space="preserve"> </w:t>
            </w:r>
            <w:hyperlink w:history="1">
              <w:r w:rsidRPr="00A06354">
                <w:rPr>
                  <w:rStyle w:val="Hyperlink"/>
                  <w:rFonts w:ascii="Times New Roman" w:hAnsi="Times New Roman" w:cs="Times New Roman"/>
                  <w:sz w:val="20"/>
                  <w:szCs w:val="20"/>
                </w:rPr>
                <w:t>https://www.cabidigitallibrary.org/doi/10.1079/cabicompendium.67841</w:t>
              </w:r>
            </w:hyperlink>
            <w:r w:rsidRPr="00A06354">
              <w:rPr>
                <w:rFonts w:ascii="Times New Roman" w:hAnsi="Times New Roman" w:cs="Times New Roman"/>
                <w:sz w:val="20"/>
                <w:szCs w:val="20"/>
              </w:rPr>
              <w:t xml:space="preserve"> (accessed 10 July 2024)</w:t>
            </w:r>
            <w:r>
              <w:rPr>
                <w:rFonts w:ascii="Times New Roman" w:hAnsi="Times New Roman" w:cs="Times New Roman"/>
                <w:sz w:val="20"/>
                <w:szCs w:val="20"/>
              </w:rPr>
              <w:t xml:space="preserve">. </w:t>
            </w:r>
          </w:p>
        </w:tc>
      </w:tr>
    </w:tbl>
    <w:p w14:paraId="3E8AB746"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747B0A04" w14:textId="77777777" w:rsidTr="002E2C37">
        <w:tc>
          <w:tcPr>
            <w:tcW w:w="9016" w:type="dxa"/>
            <w:gridSpan w:val="2"/>
            <w:shd w:val="clear" w:color="auto" w:fill="F2F2F2" w:themeFill="background1" w:themeFillShade="F2"/>
          </w:tcPr>
          <w:p w14:paraId="6AA5C4C8"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LIK5 Unaided secondary (dispersal) pathways</w:t>
            </w:r>
          </w:p>
        </w:tc>
      </w:tr>
      <w:tr w:rsidR="002D7080" w:rsidRPr="004D1E6F" w14:paraId="235A2D7C" w14:textId="77777777" w:rsidTr="002E2C37">
        <w:tc>
          <w:tcPr>
            <w:tcW w:w="5524" w:type="dxa"/>
          </w:tcPr>
          <w:p w14:paraId="2F3C21B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Very unlikely</w:t>
            </w:r>
            <w:r>
              <w:rPr>
                <w:rFonts w:ascii="Times New Roman" w:eastAsia="Times New Roman" w:hAnsi="Times New Roman" w:cs="Times New Roman"/>
                <w:color w:val="000000"/>
                <w:sz w:val="20"/>
                <w:szCs w:val="20"/>
                <w:lang w:eastAsia="en-ZA"/>
              </w:rPr>
              <w:t xml:space="preserve"> (p = 0.0027)</w:t>
            </w:r>
          </w:p>
        </w:tc>
        <w:tc>
          <w:tcPr>
            <w:tcW w:w="3492" w:type="dxa"/>
          </w:tcPr>
          <w:p w14:paraId="30E6DA8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036AD563" w14:textId="77777777" w:rsidTr="002E2C37">
        <w:tc>
          <w:tcPr>
            <w:tcW w:w="9016" w:type="dxa"/>
            <w:gridSpan w:val="2"/>
          </w:tcPr>
          <w:p w14:paraId="558FA99D"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1F75AB">
              <w:rPr>
                <w:rFonts w:ascii="Times New Roman" w:eastAsia="Times New Roman" w:hAnsi="Times New Roman" w:cs="Times New Roman"/>
                <w:sz w:val="20"/>
                <w:szCs w:val="20"/>
                <w:lang w:eastAsia="en-ZA"/>
              </w:rPr>
              <w:t xml:space="preserve">There are no known populations of </w:t>
            </w:r>
            <w:r w:rsidRPr="007D6DA7">
              <w:rPr>
                <w:rFonts w:ascii="Times New Roman" w:eastAsia="Times New Roman" w:hAnsi="Times New Roman" w:cs="Times New Roman"/>
                <w:i/>
                <w:iCs/>
                <w:sz w:val="20"/>
                <w:szCs w:val="20"/>
                <w:lang w:eastAsia="en-ZA"/>
              </w:rPr>
              <w:t>P.</w:t>
            </w:r>
            <w:r>
              <w:rPr>
                <w:rFonts w:ascii="Times New Roman" w:eastAsia="Times New Roman" w:hAnsi="Times New Roman" w:cs="Times New Roman"/>
                <w:i/>
                <w:iCs/>
                <w:sz w:val="20"/>
                <w:szCs w:val="20"/>
                <w:lang w:eastAsia="en-ZA"/>
              </w:rPr>
              <w:t xml:space="preserve"> acuctus</w:t>
            </w:r>
            <w:r w:rsidRPr="001F75AB">
              <w:rPr>
                <w:rFonts w:ascii="Times New Roman" w:eastAsia="Times New Roman" w:hAnsi="Times New Roman" w:cs="Times New Roman"/>
                <w:sz w:val="20"/>
                <w:szCs w:val="20"/>
                <w:lang w:eastAsia="en-ZA"/>
              </w:rPr>
              <w:t xml:space="preserve"> in countries neighbouring South Africa that could lead to secondary dispersal events through connected waterways (Nunes et al. 2017; Madzivanzira et al. 2020).</w:t>
            </w:r>
          </w:p>
        </w:tc>
      </w:tr>
      <w:tr w:rsidR="002D7080" w:rsidRPr="004D1E6F" w14:paraId="682B1FF4" w14:textId="77777777" w:rsidTr="002E2C37">
        <w:tc>
          <w:tcPr>
            <w:tcW w:w="9016" w:type="dxa"/>
            <w:gridSpan w:val="2"/>
          </w:tcPr>
          <w:p w14:paraId="3488F947"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05CFE91F" w14:textId="4A8724E3" w:rsidR="002D7080" w:rsidRPr="00956545" w:rsidRDefault="002D7080" w:rsidP="00956545">
            <w:pPr>
              <w:spacing w:line="256" w:lineRule="auto"/>
              <w:ind w:left="539" w:hanging="539"/>
              <w:contextualSpacing/>
              <w:jc w:val="both"/>
              <w:rPr>
                <w:rFonts w:ascii="Times New Roman" w:eastAsia="Calibri" w:hAnsi="Times New Roman" w:cs="Times New Roman"/>
                <w:sz w:val="20"/>
                <w:szCs w:val="20"/>
              </w:rPr>
            </w:pPr>
            <w:r w:rsidRPr="00956545">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956545">
              <w:rPr>
                <w:rFonts w:ascii="Times New Roman" w:eastAsia="Times New Roman" w:hAnsi="Times New Roman" w:cs="Times New Roman"/>
                <w:i/>
                <w:sz w:val="20"/>
                <w:szCs w:val="20"/>
                <w:lang w:eastAsia="en-ZA"/>
              </w:rPr>
              <w:t xml:space="preserve">Reviews in Fisheries Science &amp; Aquaculture </w:t>
            </w:r>
            <w:r w:rsidRPr="00956545">
              <w:rPr>
                <w:rFonts w:ascii="Times New Roman" w:eastAsia="Times New Roman" w:hAnsi="Times New Roman" w:cs="Times New Roman"/>
                <w:sz w:val="20"/>
                <w:szCs w:val="20"/>
                <w:lang w:eastAsia="en-ZA"/>
              </w:rPr>
              <w:t>1-21</w:t>
            </w:r>
            <w:r w:rsidRPr="00956545">
              <w:rPr>
                <w:rFonts w:ascii="Times New Roman" w:eastAsia="Times New Roman" w:hAnsi="Times New Roman" w:cs="Times New Roman"/>
                <w:i/>
                <w:sz w:val="20"/>
                <w:szCs w:val="20"/>
                <w:lang w:eastAsia="en-ZA"/>
              </w:rPr>
              <w:t>.</w:t>
            </w:r>
            <w:r w:rsidRPr="00956545">
              <w:rPr>
                <w:rFonts w:ascii="Times New Roman" w:eastAsia="Times New Roman" w:hAnsi="Times New Roman" w:cs="Times New Roman"/>
                <w:iCs/>
                <w:sz w:val="20"/>
                <w:szCs w:val="20"/>
                <w:lang w:eastAsia="en-ZA"/>
              </w:rPr>
              <w:t xml:space="preserve"> </w:t>
            </w:r>
            <w:r w:rsidR="009962CF" w:rsidRPr="00956545">
              <w:rPr>
                <w:rFonts w:ascii="Times New Roman" w:hAnsi="Times New Roman" w:cs="Times New Roman"/>
                <w:iCs/>
                <w:sz w:val="20"/>
                <w:szCs w:val="20"/>
              </w:rPr>
              <w:t>https://doi.org/10.1080/23308249.2020.1802405</w:t>
            </w:r>
          </w:p>
          <w:p w14:paraId="142EF2F3" w14:textId="3D9F0855" w:rsidR="002D7080" w:rsidRPr="004D1E6F" w:rsidRDefault="002D7080" w:rsidP="00956545">
            <w:pPr>
              <w:ind w:left="539" w:hanging="539"/>
              <w:contextualSpacing/>
              <w:jc w:val="both"/>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956545">
              <w:rPr>
                <w:rFonts w:ascii="Times New Roman" w:eastAsia="Times New Roman" w:hAnsi="Times New Roman" w:cs="Times New Roman"/>
                <w:i/>
                <w:color w:val="000000"/>
                <w:sz w:val="20"/>
                <w:szCs w:val="20"/>
                <w:lang w:eastAsia="en-ZA"/>
              </w:rPr>
              <w:t>African Journal of Aquatic Science</w:t>
            </w:r>
            <w:r w:rsidRPr="00956545">
              <w:rPr>
                <w:rFonts w:ascii="Times New Roman" w:eastAsia="Times New Roman" w:hAnsi="Times New Roman" w:cs="Times New Roman"/>
                <w:color w:val="000000"/>
                <w:sz w:val="20"/>
                <w:szCs w:val="20"/>
                <w:lang w:eastAsia="en-ZA"/>
              </w:rPr>
              <w:t xml:space="preserve"> 42, 309–323. </w:t>
            </w:r>
            <w:hyperlink r:id="rId490" w:history="1">
              <w:r w:rsidR="002B7673" w:rsidRPr="00956545">
                <w:rPr>
                  <w:rStyle w:val="Hyperlink"/>
                  <w:rFonts w:ascii="Times New Roman" w:hAnsi="Times New Roman" w:cs="Times New Roman"/>
                  <w:sz w:val="20"/>
                  <w:szCs w:val="20"/>
                </w:rPr>
                <w:t>https://doi.org/10.2989/16085914.2017.1405788</w:t>
              </w:r>
            </w:hyperlink>
            <w:r w:rsidRPr="00E3676F">
              <w:rPr>
                <w:rFonts w:ascii="Times New Roman" w:eastAsia="Times New Roman" w:hAnsi="Times New Roman" w:cs="Times New Roman"/>
                <w:color w:val="000000"/>
                <w:sz w:val="20"/>
                <w:szCs w:val="20"/>
                <w:lang w:eastAsia="en-ZA"/>
              </w:rPr>
              <w:t xml:space="preserve">.   </w:t>
            </w:r>
          </w:p>
        </w:tc>
      </w:tr>
    </w:tbl>
    <w:p w14:paraId="5975BF03" w14:textId="77777777" w:rsidR="002D7080" w:rsidRPr="004D1E6F" w:rsidRDefault="002D7080" w:rsidP="002D7080">
      <w:pPr>
        <w:spacing w:after="0" w:line="240" w:lineRule="auto"/>
        <w:jc w:val="both"/>
        <w:rPr>
          <w:rFonts w:ascii="Times New Roman" w:eastAsia="Times New Roman" w:hAnsi="Times New Roman" w:cs="Times New Roman"/>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166F5BDE" w14:textId="77777777" w:rsidTr="002E2C37">
        <w:tc>
          <w:tcPr>
            <w:tcW w:w="9016" w:type="dxa"/>
            <w:gridSpan w:val="2"/>
            <w:shd w:val="clear" w:color="auto" w:fill="F2F2F2" w:themeFill="background1" w:themeFillShade="F2"/>
          </w:tcPr>
          <w:p w14:paraId="152DBB19"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LIK6 Human aided secondary (dispersal) pathways</w:t>
            </w:r>
          </w:p>
        </w:tc>
      </w:tr>
      <w:tr w:rsidR="002D7080" w:rsidRPr="004D1E6F" w14:paraId="6CC70BFB" w14:textId="77777777" w:rsidTr="002E2C37">
        <w:tc>
          <w:tcPr>
            <w:tcW w:w="5524" w:type="dxa"/>
          </w:tcPr>
          <w:p w14:paraId="49240673"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w:t>
            </w:r>
            <w:r>
              <w:rPr>
                <w:rFonts w:ascii="Times New Roman" w:eastAsia="Times New Roman" w:hAnsi="Times New Roman" w:cs="Times New Roman"/>
                <w:color w:val="000000"/>
                <w:sz w:val="20"/>
                <w:szCs w:val="20"/>
                <w:lang w:eastAsia="en-ZA"/>
              </w:rPr>
              <w:t xml:space="preserve"> (p = 0.5)</w:t>
            </w:r>
          </w:p>
        </w:tc>
        <w:tc>
          <w:tcPr>
            <w:tcW w:w="3492" w:type="dxa"/>
          </w:tcPr>
          <w:p w14:paraId="0618497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Low</w:t>
            </w:r>
          </w:p>
        </w:tc>
      </w:tr>
      <w:tr w:rsidR="002D7080" w:rsidRPr="004D1E6F" w14:paraId="0DF46D95" w14:textId="77777777" w:rsidTr="002E2C37">
        <w:tc>
          <w:tcPr>
            <w:tcW w:w="9016" w:type="dxa"/>
            <w:gridSpan w:val="2"/>
          </w:tcPr>
          <w:p w14:paraId="2B238D67"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sz w:val="20"/>
                <w:szCs w:val="20"/>
                <w:lang w:eastAsia="en-ZA"/>
              </w:rPr>
              <w:t>Intentional release into the wild through the pet</w:t>
            </w:r>
            <w:r>
              <w:rPr>
                <w:rFonts w:ascii="Times New Roman" w:eastAsia="Times New Roman" w:hAnsi="Times New Roman" w:cs="Times New Roman"/>
                <w:sz w:val="20"/>
                <w:szCs w:val="20"/>
                <w:lang w:eastAsia="en-ZA"/>
              </w:rPr>
              <w:t xml:space="preserve"> trade, live bait and aquaculture re</w:t>
            </w:r>
            <w:r w:rsidRPr="00233C97">
              <w:rPr>
                <w:rFonts w:ascii="Times New Roman" w:eastAsia="Times New Roman" w:hAnsi="Times New Roman" w:cs="Times New Roman"/>
                <w:sz w:val="20"/>
                <w:szCs w:val="20"/>
                <w:lang w:eastAsia="en-ZA"/>
              </w:rPr>
              <w:t>mains a concern</w:t>
            </w:r>
            <w:r>
              <w:rPr>
                <w:rFonts w:ascii="Times New Roman" w:eastAsia="Times New Roman" w:hAnsi="Times New Roman" w:cs="Times New Roman"/>
                <w:sz w:val="20"/>
                <w:szCs w:val="20"/>
                <w:lang w:eastAsia="en-ZA"/>
              </w:rPr>
              <w:t xml:space="preserve">. </w:t>
            </w:r>
            <w:r w:rsidRPr="00A84456">
              <w:rPr>
                <w:rFonts w:ascii="Times New Roman" w:eastAsia="Calibri" w:hAnsi="Times New Roman" w:cs="Times New Roman"/>
                <w:i/>
                <w:sz w:val="20"/>
                <w:szCs w:val="20"/>
              </w:rPr>
              <w:t xml:space="preserve">Procambarus acutus </w:t>
            </w:r>
            <w:r w:rsidRPr="00E03694">
              <w:rPr>
                <w:rFonts w:ascii="Times New Roman" w:eastAsia="Calibri" w:hAnsi="Times New Roman" w:cs="Times New Roman"/>
                <w:iCs/>
                <w:sz w:val="20"/>
                <w:szCs w:val="20"/>
              </w:rPr>
              <w:t xml:space="preserve">has been introduced into areas </w:t>
            </w:r>
            <w:r>
              <w:rPr>
                <w:rFonts w:ascii="Times New Roman" w:eastAsia="Calibri" w:hAnsi="Times New Roman" w:cs="Times New Roman"/>
                <w:iCs/>
                <w:sz w:val="20"/>
                <w:szCs w:val="20"/>
              </w:rPr>
              <w:t xml:space="preserve">outside its natural range through </w:t>
            </w:r>
            <w:r w:rsidRPr="00E03694">
              <w:rPr>
                <w:rFonts w:ascii="Times New Roman" w:eastAsia="Calibri" w:hAnsi="Times New Roman" w:cs="Times New Roman"/>
                <w:iCs/>
                <w:sz w:val="20"/>
                <w:szCs w:val="20"/>
              </w:rPr>
              <w:t>aquaculture</w:t>
            </w:r>
            <w:r>
              <w:rPr>
                <w:rFonts w:ascii="Times New Roman" w:eastAsia="Calibri" w:hAnsi="Times New Roman" w:cs="Times New Roman"/>
                <w:iCs/>
                <w:sz w:val="20"/>
                <w:szCs w:val="20"/>
              </w:rPr>
              <w:t xml:space="preserve">, </w:t>
            </w:r>
            <w:r w:rsidRPr="00E03694">
              <w:rPr>
                <w:rFonts w:ascii="Times New Roman" w:eastAsia="Calibri" w:hAnsi="Times New Roman" w:cs="Times New Roman"/>
                <w:iCs/>
                <w:sz w:val="20"/>
                <w:szCs w:val="20"/>
              </w:rPr>
              <w:t xml:space="preserve">live bait </w:t>
            </w:r>
            <w:r>
              <w:rPr>
                <w:rFonts w:ascii="Times New Roman" w:eastAsia="Calibri" w:hAnsi="Times New Roman" w:cs="Times New Roman"/>
                <w:iCs/>
                <w:sz w:val="20"/>
                <w:szCs w:val="20"/>
              </w:rPr>
              <w:t xml:space="preserve">and </w:t>
            </w:r>
            <w:r w:rsidRPr="00E03694">
              <w:rPr>
                <w:rFonts w:ascii="Times New Roman" w:eastAsia="Calibri" w:hAnsi="Times New Roman" w:cs="Times New Roman"/>
                <w:iCs/>
                <w:sz w:val="20"/>
                <w:szCs w:val="20"/>
              </w:rPr>
              <w:t>aquarium pet trade</w:t>
            </w:r>
            <w:r w:rsidRPr="004D1E6F">
              <w:rPr>
                <w:rFonts w:ascii="Times New Roman" w:eastAsia="Calibri" w:hAnsi="Times New Roman" w:cs="Times New Roman"/>
                <w:sz w:val="20"/>
                <w:szCs w:val="20"/>
              </w:rPr>
              <w:t xml:space="preserve"> (Faulkes 2015</w:t>
            </w:r>
            <w:r>
              <w:rPr>
                <w:rFonts w:ascii="Times New Roman" w:eastAsia="Calibri" w:hAnsi="Times New Roman" w:cs="Times New Roman"/>
                <w:sz w:val="20"/>
                <w:szCs w:val="20"/>
              </w:rPr>
              <w:t xml:space="preserve">, </w:t>
            </w:r>
            <w:r w:rsidRPr="00E03694">
              <w:rPr>
                <w:rFonts w:ascii="Times New Roman" w:eastAsia="Calibri" w:hAnsi="Times New Roman" w:cs="Times New Roman"/>
                <w:iCs/>
                <w:sz w:val="20"/>
                <w:szCs w:val="20"/>
              </w:rPr>
              <w:t>CABI 2024</w:t>
            </w:r>
            <w:r>
              <w:rPr>
                <w:rFonts w:ascii="Times New Roman" w:eastAsia="Calibri" w:hAnsi="Times New Roman" w:cs="Times New Roman"/>
                <w:iCs/>
                <w:sz w:val="20"/>
                <w:szCs w:val="20"/>
              </w:rPr>
              <w:t>)</w:t>
            </w:r>
            <w:r w:rsidRPr="00E03694">
              <w:rPr>
                <w:rFonts w:ascii="Times New Roman" w:eastAsia="Calibri" w:hAnsi="Times New Roman" w:cs="Times New Roman"/>
                <w:iCs/>
                <w:sz w:val="20"/>
                <w:szCs w:val="20"/>
              </w:rPr>
              <w:t xml:space="preserve">.  </w:t>
            </w:r>
          </w:p>
        </w:tc>
      </w:tr>
      <w:tr w:rsidR="002D7080" w:rsidRPr="004D1E6F" w14:paraId="5935E29B" w14:textId="77777777" w:rsidTr="002E2C37">
        <w:tc>
          <w:tcPr>
            <w:tcW w:w="9016" w:type="dxa"/>
            <w:gridSpan w:val="2"/>
          </w:tcPr>
          <w:p w14:paraId="751C9357" w14:textId="77777777" w:rsidR="002D7080" w:rsidRPr="00956545" w:rsidRDefault="002D7080" w:rsidP="002E2C37">
            <w:pPr>
              <w:contextualSpacing/>
              <w:jc w:val="both"/>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References: </w:t>
            </w:r>
          </w:p>
          <w:p w14:paraId="644D62DF" w14:textId="77777777" w:rsidR="002D7080" w:rsidRPr="00956545" w:rsidRDefault="002D7080" w:rsidP="002E2C37">
            <w:pPr>
              <w:ind w:left="720" w:hanging="720"/>
              <w:contextualSpacing/>
              <w:jc w:val="both"/>
              <w:rPr>
                <w:rFonts w:ascii="Times New Roman" w:hAnsi="Times New Roman" w:cs="Times New Roman"/>
                <w:sz w:val="20"/>
                <w:szCs w:val="20"/>
              </w:rPr>
            </w:pPr>
            <w:r w:rsidRPr="00956545">
              <w:rPr>
                <w:rFonts w:ascii="Times New Roman" w:hAnsi="Times New Roman" w:cs="Times New Roman"/>
                <w:sz w:val="20"/>
                <w:szCs w:val="20"/>
              </w:rPr>
              <w:t xml:space="preserve">CABI, 2024. </w:t>
            </w:r>
            <w:r w:rsidRPr="00956545">
              <w:rPr>
                <w:rFonts w:ascii="Times New Roman" w:hAnsi="Times New Roman" w:cs="Times New Roman"/>
                <w:i/>
                <w:iCs/>
                <w:sz w:val="20"/>
                <w:szCs w:val="20"/>
              </w:rPr>
              <w:t>Procambarus acutus acutus</w:t>
            </w:r>
            <w:r w:rsidRPr="00956545">
              <w:rPr>
                <w:rFonts w:ascii="Times New Roman" w:hAnsi="Times New Roman" w:cs="Times New Roman"/>
                <w:sz w:val="20"/>
                <w:szCs w:val="20"/>
              </w:rPr>
              <w:t xml:space="preserve">. Invasive Species Compendium, </w:t>
            </w:r>
            <w:r w:rsidRPr="00956545">
              <w:rPr>
                <w:rFonts w:ascii="Times New Roman" w:hAnsi="Times New Roman" w:cs="Times New Roman"/>
                <w:color w:val="000000"/>
                <w:sz w:val="20"/>
                <w:szCs w:val="20"/>
                <w:shd w:val="clear" w:color="auto" w:fill="FFFFFF"/>
              </w:rPr>
              <w:t>CABI Publishing, Wallingford, UK.</w:t>
            </w:r>
            <w:r w:rsidRPr="00956545">
              <w:rPr>
                <w:rFonts w:ascii="Times New Roman" w:hAnsi="Times New Roman" w:cs="Times New Roman"/>
                <w:sz w:val="20"/>
                <w:szCs w:val="20"/>
              </w:rPr>
              <w:t xml:space="preserve"> </w:t>
            </w:r>
            <w:hyperlink w:history="1">
              <w:r w:rsidRPr="00956545">
                <w:rPr>
                  <w:rStyle w:val="Hyperlink"/>
                  <w:rFonts w:ascii="Times New Roman" w:hAnsi="Times New Roman" w:cs="Times New Roman"/>
                  <w:sz w:val="20"/>
                  <w:szCs w:val="20"/>
                </w:rPr>
                <w:t>https://www.cabidigitallibrary.org/doi/10.1079/cabicompendium.67841</w:t>
              </w:r>
            </w:hyperlink>
            <w:r w:rsidRPr="00956545">
              <w:rPr>
                <w:rFonts w:ascii="Times New Roman" w:hAnsi="Times New Roman" w:cs="Times New Roman"/>
                <w:sz w:val="20"/>
                <w:szCs w:val="20"/>
              </w:rPr>
              <w:t xml:space="preserve"> (accessed 10 July 2024). </w:t>
            </w:r>
          </w:p>
          <w:p w14:paraId="07D6DF01" w14:textId="190F85FD" w:rsidR="002D7080" w:rsidRPr="004D1E6F" w:rsidRDefault="002D7080" w:rsidP="002E2C37">
            <w:pPr>
              <w:spacing w:line="257" w:lineRule="auto"/>
              <w:ind w:left="510" w:hanging="510"/>
              <w:contextualSpacing/>
              <w:jc w:val="both"/>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Faulkes, Z., 2015, ‘The global trade in crayfish as pets’, </w:t>
            </w:r>
            <w:r w:rsidRPr="00956545">
              <w:rPr>
                <w:rFonts w:ascii="Times New Roman" w:eastAsia="Times New Roman" w:hAnsi="Times New Roman" w:cs="Times New Roman"/>
                <w:i/>
                <w:iCs/>
                <w:color w:val="000000"/>
                <w:sz w:val="20"/>
                <w:szCs w:val="20"/>
                <w:lang w:eastAsia="en-ZA"/>
              </w:rPr>
              <w:t>Crustacean Research</w:t>
            </w:r>
            <w:r w:rsidRPr="00956545">
              <w:rPr>
                <w:rFonts w:ascii="Times New Roman" w:eastAsia="Times New Roman" w:hAnsi="Times New Roman" w:cs="Times New Roman"/>
                <w:color w:val="000000"/>
                <w:sz w:val="20"/>
                <w:szCs w:val="20"/>
                <w:lang w:eastAsia="en-ZA"/>
              </w:rPr>
              <w:t xml:space="preserve">, </w:t>
            </w:r>
            <w:r w:rsidRPr="00956545">
              <w:rPr>
                <w:rFonts w:ascii="Times New Roman" w:eastAsia="Times New Roman" w:hAnsi="Times New Roman" w:cs="Times New Roman"/>
                <w:iCs/>
                <w:color w:val="000000"/>
                <w:sz w:val="20"/>
                <w:szCs w:val="20"/>
                <w:lang w:eastAsia="en-ZA"/>
              </w:rPr>
              <w:t xml:space="preserve">44, </w:t>
            </w:r>
            <w:r w:rsidRPr="00956545">
              <w:rPr>
                <w:rFonts w:ascii="Times New Roman" w:eastAsia="Times New Roman" w:hAnsi="Times New Roman" w:cs="Times New Roman"/>
                <w:color w:val="000000"/>
                <w:sz w:val="20"/>
                <w:szCs w:val="20"/>
                <w:lang w:eastAsia="en-ZA"/>
              </w:rPr>
              <w:t xml:space="preserve">75–92. </w:t>
            </w:r>
            <w:r w:rsidR="0086708B" w:rsidRPr="00956545">
              <w:rPr>
                <w:rFonts w:ascii="Times New Roman" w:hAnsi="Times New Roman" w:cs="Times New Roman"/>
                <w:sz w:val="20"/>
                <w:szCs w:val="20"/>
              </w:rPr>
              <w:t>https://doi.org/10.18353/crustacea.44.0_75</w:t>
            </w:r>
            <w:r w:rsidRPr="00956545">
              <w:rPr>
                <w:rFonts w:ascii="Times New Roman" w:eastAsia="Times New Roman" w:hAnsi="Times New Roman" w:cs="Times New Roman"/>
                <w:color w:val="000000"/>
                <w:sz w:val="20"/>
                <w:szCs w:val="20"/>
                <w:lang w:eastAsia="en-ZA"/>
              </w:rPr>
              <w:t>.</w:t>
            </w:r>
          </w:p>
        </w:tc>
      </w:tr>
    </w:tbl>
    <w:p w14:paraId="03434BD3" w14:textId="77777777" w:rsidR="002D7080" w:rsidRDefault="002D7080" w:rsidP="002D7080">
      <w:pPr>
        <w:spacing w:after="0" w:line="240" w:lineRule="auto"/>
        <w:rPr>
          <w:rFonts w:ascii="Times New Roman" w:eastAsia="Times New Roman" w:hAnsi="Times New Roman" w:cs="Times New Roman"/>
          <w:b/>
          <w:color w:val="000000"/>
          <w:sz w:val="20"/>
          <w:szCs w:val="20"/>
          <w:lang w:eastAsia="en-ZA"/>
        </w:rPr>
      </w:pPr>
    </w:p>
    <w:p w14:paraId="3FEBA36A" w14:textId="7E61D25E" w:rsidR="002D7080" w:rsidRDefault="002D7080" w:rsidP="004D419F">
      <w:pPr>
        <w:rPr>
          <w:rFonts w:ascii="Times New Roman" w:eastAsia="Times New Roman" w:hAnsi="Times New Roman" w:cs="Times New Roman"/>
          <w:b/>
          <w:color w:val="000000"/>
          <w:sz w:val="20"/>
          <w:szCs w:val="20"/>
          <w:lang w:eastAsia="en-ZA"/>
        </w:rPr>
      </w:pPr>
    </w:p>
    <w:p w14:paraId="218EAE67" w14:textId="77777777" w:rsidR="004D419F" w:rsidRDefault="004D419F" w:rsidP="004D419F">
      <w:pPr>
        <w:rPr>
          <w:rFonts w:ascii="Times New Roman" w:eastAsia="Times New Roman" w:hAnsi="Times New Roman" w:cs="Times New Roman"/>
          <w:b/>
          <w:color w:val="000000"/>
          <w:sz w:val="20"/>
          <w:szCs w:val="20"/>
          <w:lang w:eastAsia="en-ZA"/>
        </w:rPr>
      </w:pPr>
    </w:p>
    <w:p w14:paraId="6F85A8B8" w14:textId="77777777" w:rsidR="004D419F" w:rsidRDefault="004D419F" w:rsidP="004D419F">
      <w:pPr>
        <w:rPr>
          <w:rFonts w:ascii="Times New Roman" w:eastAsia="Times New Roman" w:hAnsi="Times New Roman" w:cs="Times New Roman"/>
          <w:b/>
          <w:color w:val="000000"/>
          <w:sz w:val="20"/>
          <w:szCs w:val="20"/>
          <w:lang w:eastAsia="en-ZA"/>
        </w:rPr>
      </w:pPr>
    </w:p>
    <w:p w14:paraId="06F0DBB7" w14:textId="77777777" w:rsidR="004D419F" w:rsidRDefault="004D419F" w:rsidP="004D419F">
      <w:pPr>
        <w:rPr>
          <w:rFonts w:ascii="Times New Roman" w:eastAsia="Times New Roman" w:hAnsi="Times New Roman" w:cs="Times New Roman"/>
          <w:b/>
          <w:color w:val="000000"/>
          <w:sz w:val="20"/>
          <w:szCs w:val="20"/>
          <w:lang w:eastAsia="en-ZA"/>
        </w:rPr>
      </w:pPr>
    </w:p>
    <w:p w14:paraId="3F035686" w14:textId="77777777" w:rsidR="004D419F" w:rsidRDefault="004D419F" w:rsidP="004D419F">
      <w:pPr>
        <w:rPr>
          <w:rFonts w:ascii="Times New Roman" w:eastAsia="Times New Roman" w:hAnsi="Times New Roman" w:cs="Times New Roman"/>
          <w:b/>
          <w:color w:val="000000"/>
          <w:sz w:val="20"/>
          <w:szCs w:val="20"/>
          <w:lang w:eastAsia="en-ZA"/>
        </w:rPr>
      </w:pPr>
    </w:p>
    <w:p w14:paraId="0C0D0C6C" w14:textId="77777777" w:rsidR="004D419F" w:rsidRDefault="004D419F" w:rsidP="004D419F">
      <w:pPr>
        <w:rPr>
          <w:rFonts w:ascii="Times New Roman" w:eastAsia="Times New Roman" w:hAnsi="Times New Roman" w:cs="Times New Roman"/>
          <w:b/>
          <w:color w:val="000000"/>
          <w:sz w:val="20"/>
          <w:szCs w:val="20"/>
          <w:lang w:eastAsia="en-ZA"/>
        </w:rPr>
      </w:pPr>
    </w:p>
    <w:p w14:paraId="6B6A3DDB" w14:textId="77777777" w:rsidR="004D419F" w:rsidRPr="004D1E6F" w:rsidRDefault="004D419F" w:rsidP="004D419F">
      <w:pPr>
        <w:rPr>
          <w:rFonts w:ascii="Times New Roman" w:eastAsia="Times New Roman" w:hAnsi="Times New Roman" w:cs="Times New Roman"/>
          <w:b/>
          <w:color w:val="000000"/>
          <w:sz w:val="20"/>
          <w:szCs w:val="20"/>
          <w:lang w:eastAsia="en-ZA"/>
        </w:rPr>
      </w:pPr>
    </w:p>
    <w:p w14:paraId="4DE8F9A4"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 xml:space="preserve">3. Consequences </w:t>
      </w:r>
    </w:p>
    <w:p w14:paraId="7DBDE423" w14:textId="77777777" w:rsidR="002D7080" w:rsidRPr="004D1E6F" w:rsidRDefault="002D7080" w:rsidP="002D7080">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 </w:t>
      </w:r>
    </w:p>
    <w:tbl>
      <w:tblPr>
        <w:tblStyle w:val="TableGrid"/>
        <w:tblW w:w="0" w:type="auto"/>
        <w:tblLook w:val="04A0" w:firstRow="1" w:lastRow="0" w:firstColumn="1" w:lastColumn="0" w:noHBand="0" w:noVBand="1"/>
      </w:tblPr>
      <w:tblGrid>
        <w:gridCol w:w="5949"/>
        <w:gridCol w:w="3067"/>
      </w:tblGrid>
      <w:tr w:rsidR="002D7080" w:rsidRPr="004D1E6F" w14:paraId="2D3CD572" w14:textId="77777777" w:rsidTr="002E2C37">
        <w:trPr>
          <w:trHeight w:val="343"/>
        </w:trPr>
        <w:tc>
          <w:tcPr>
            <w:tcW w:w="9016" w:type="dxa"/>
            <w:gridSpan w:val="2"/>
            <w:shd w:val="clear" w:color="auto" w:fill="F2F2F2" w:themeFill="background1" w:themeFillShade="F2"/>
          </w:tcPr>
          <w:p w14:paraId="78E61191"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 Environmental impact</w:t>
            </w:r>
          </w:p>
        </w:tc>
      </w:tr>
      <w:tr w:rsidR="002D7080" w:rsidRPr="004D1E6F" w14:paraId="400FD84D" w14:textId="77777777" w:rsidTr="002E2C37">
        <w:tc>
          <w:tcPr>
            <w:tcW w:w="9016" w:type="dxa"/>
            <w:gridSpan w:val="2"/>
            <w:shd w:val="clear" w:color="auto" w:fill="F2F2F2" w:themeFill="background1" w:themeFillShade="F2"/>
          </w:tcPr>
          <w:p w14:paraId="11D5544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CON1a: Competition</w:t>
            </w:r>
          </w:p>
        </w:tc>
      </w:tr>
      <w:tr w:rsidR="002D7080" w:rsidRPr="004D1E6F" w14:paraId="295268B1" w14:textId="77777777" w:rsidTr="002E2C37">
        <w:tc>
          <w:tcPr>
            <w:tcW w:w="5949" w:type="dxa"/>
          </w:tcPr>
          <w:p w14:paraId="3AE9E30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39B67FD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2F0236EF" w14:textId="77777777" w:rsidTr="002E2C37">
        <w:trPr>
          <w:trHeight w:val="70"/>
        </w:trPr>
        <w:tc>
          <w:tcPr>
            <w:tcW w:w="9016" w:type="dxa"/>
            <w:gridSpan w:val="2"/>
          </w:tcPr>
          <w:p w14:paraId="59871A2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0A1A8E64" w14:textId="77777777" w:rsidTr="002E2C37">
        <w:trPr>
          <w:trHeight w:val="70"/>
        </w:trPr>
        <w:tc>
          <w:tcPr>
            <w:tcW w:w="9016" w:type="dxa"/>
            <w:gridSpan w:val="2"/>
          </w:tcPr>
          <w:p w14:paraId="03024B97"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ABBC5D3" w14:textId="77777777" w:rsidTr="002E2C37">
        <w:tc>
          <w:tcPr>
            <w:tcW w:w="9016" w:type="dxa"/>
            <w:gridSpan w:val="2"/>
            <w:shd w:val="clear" w:color="auto" w:fill="F2F2F2" w:themeFill="background1" w:themeFillShade="F2"/>
          </w:tcPr>
          <w:p w14:paraId="37D53E17"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CON1b: Predation</w:t>
            </w:r>
          </w:p>
        </w:tc>
      </w:tr>
      <w:tr w:rsidR="002D7080" w:rsidRPr="004D1E6F" w14:paraId="4551C363" w14:textId="77777777" w:rsidTr="002E2C37">
        <w:tc>
          <w:tcPr>
            <w:tcW w:w="5949" w:type="dxa"/>
          </w:tcPr>
          <w:p w14:paraId="60A0F32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99D5EF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56240C9A" w14:textId="77777777" w:rsidTr="002E2C37">
        <w:trPr>
          <w:trHeight w:val="70"/>
        </w:trPr>
        <w:tc>
          <w:tcPr>
            <w:tcW w:w="9016" w:type="dxa"/>
            <w:gridSpan w:val="2"/>
          </w:tcPr>
          <w:p w14:paraId="6CC17EA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03948766" w14:textId="77777777" w:rsidTr="002E2C37">
        <w:trPr>
          <w:trHeight w:val="70"/>
        </w:trPr>
        <w:tc>
          <w:tcPr>
            <w:tcW w:w="9016" w:type="dxa"/>
            <w:gridSpan w:val="2"/>
          </w:tcPr>
          <w:p w14:paraId="4004649C"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94ADD1E" w14:textId="77777777" w:rsidTr="002E2C37">
        <w:tc>
          <w:tcPr>
            <w:tcW w:w="9016" w:type="dxa"/>
            <w:gridSpan w:val="2"/>
            <w:shd w:val="clear" w:color="auto" w:fill="F2F2F2" w:themeFill="background1" w:themeFillShade="F2"/>
          </w:tcPr>
          <w:p w14:paraId="741AF58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CON1c: Hybridisation</w:t>
            </w:r>
          </w:p>
        </w:tc>
      </w:tr>
      <w:tr w:rsidR="002D7080" w:rsidRPr="004D1E6F" w14:paraId="653017F3" w14:textId="77777777" w:rsidTr="002E2C37">
        <w:tc>
          <w:tcPr>
            <w:tcW w:w="5949" w:type="dxa"/>
          </w:tcPr>
          <w:p w14:paraId="5811990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3629305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6C0ACE31" w14:textId="77777777" w:rsidTr="002E2C37">
        <w:trPr>
          <w:trHeight w:val="70"/>
        </w:trPr>
        <w:tc>
          <w:tcPr>
            <w:tcW w:w="9016" w:type="dxa"/>
            <w:gridSpan w:val="2"/>
          </w:tcPr>
          <w:p w14:paraId="0113B4C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76BF5D52" w14:textId="77777777" w:rsidTr="002E2C37">
        <w:trPr>
          <w:trHeight w:val="70"/>
        </w:trPr>
        <w:tc>
          <w:tcPr>
            <w:tcW w:w="9016" w:type="dxa"/>
            <w:gridSpan w:val="2"/>
          </w:tcPr>
          <w:p w14:paraId="75952BD4"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1B9466DA" w14:textId="77777777" w:rsidTr="002E2C37">
        <w:tc>
          <w:tcPr>
            <w:tcW w:w="9016" w:type="dxa"/>
            <w:gridSpan w:val="2"/>
            <w:shd w:val="clear" w:color="auto" w:fill="F2F2F2" w:themeFill="background1" w:themeFillShade="F2"/>
          </w:tcPr>
          <w:p w14:paraId="266C15FE"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CON1d: Transmission of disease</w:t>
            </w:r>
          </w:p>
        </w:tc>
      </w:tr>
      <w:tr w:rsidR="002D7080" w:rsidRPr="004D1E6F" w14:paraId="3561F907" w14:textId="77777777" w:rsidTr="002E2C37">
        <w:tc>
          <w:tcPr>
            <w:tcW w:w="5949" w:type="dxa"/>
          </w:tcPr>
          <w:p w14:paraId="273A67C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6ACFC9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5698C24" w14:textId="77777777" w:rsidTr="002E2C37">
        <w:trPr>
          <w:trHeight w:val="70"/>
        </w:trPr>
        <w:tc>
          <w:tcPr>
            <w:tcW w:w="9016" w:type="dxa"/>
            <w:gridSpan w:val="2"/>
          </w:tcPr>
          <w:p w14:paraId="0A9B5DC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3DEA9B01" w14:textId="77777777" w:rsidTr="002E2C37">
        <w:trPr>
          <w:trHeight w:val="70"/>
        </w:trPr>
        <w:tc>
          <w:tcPr>
            <w:tcW w:w="9016" w:type="dxa"/>
            <w:gridSpan w:val="2"/>
          </w:tcPr>
          <w:p w14:paraId="3D31E35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51AFE3BD" w14:textId="77777777" w:rsidTr="002E2C37">
        <w:tc>
          <w:tcPr>
            <w:tcW w:w="9016" w:type="dxa"/>
            <w:gridSpan w:val="2"/>
            <w:shd w:val="clear" w:color="auto" w:fill="F2F2F2" w:themeFill="background1" w:themeFillShade="F2"/>
          </w:tcPr>
          <w:p w14:paraId="6C494383"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CON1e: Parasitism</w:t>
            </w:r>
          </w:p>
        </w:tc>
      </w:tr>
      <w:tr w:rsidR="002D7080" w:rsidRPr="004D1E6F" w14:paraId="3A157A5F" w14:textId="77777777" w:rsidTr="002E2C37">
        <w:tc>
          <w:tcPr>
            <w:tcW w:w="5949" w:type="dxa"/>
          </w:tcPr>
          <w:p w14:paraId="63C099E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6EDD47B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71F97AD6" w14:textId="77777777" w:rsidTr="002E2C37">
        <w:trPr>
          <w:trHeight w:val="70"/>
        </w:trPr>
        <w:tc>
          <w:tcPr>
            <w:tcW w:w="9016" w:type="dxa"/>
            <w:gridSpan w:val="2"/>
          </w:tcPr>
          <w:p w14:paraId="6504533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58E73C40" w14:textId="77777777" w:rsidTr="002E2C37">
        <w:trPr>
          <w:trHeight w:val="70"/>
        </w:trPr>
        <w:tc>
          <w:tcPr>
            <w:tcW w:w="9016" w:type="dxa"/>
            <w:gridSpan w:val="2"/>
          </w:tcPr>
          <w:p w14:paraId="0AEA4860"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13DF5E9A" w14:textId="77777777" w:rsidTr="002E2C37">
        <w:tc>
          <w:tcPr>
            <w:tcW w:w="9016" w:type="dxa"/>
            <w:gridSpan w:val="2"/>
            <w:shd w:val="clear" w:color="auto" w:fill="F2F2F2" w:themeFill="background1" w:themeFillShade="F2"/>
          </w:tcPr>
          <w:p w14:paraId="39FF57F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CON1f: Poisoning/toxicity</w:t>
            </w:r>
          </w:p>
        </w:tc>
      </w:tr>
      <w:tr w:rsidR="002D7080" w:rsidRPr="004D1E6F" w14:paraId="4D377505" w14:textId="77777777" w:rsidTr="002E2C37">
        <w:tc>
          <w:tcPr>
            <w:tcW w:w="5949" w:type="dxa"/>
          </w:tcPr>
          <w:p w14:paraId="7B3CFDA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6DDCDDD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50B870B4" w14:textId="77777777" w:rsidTr="002E2C37">
        <w:trPr>
          <w:trHeight w:val="70"/>
        </w:trPr>
        <w:tc>
          <w:tcPr>
            <w:tcW w:w="9016" w:type="dxa"/>
            <w:gridSpan w:val="2"/>
          </w:tcPr>
          <w:p w14:paraId="63911AA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7D4E00E1" w14:textId="77777777" w:rsidTr="002E2C37">
        <w:trPr>
          <w:trHeight w:val="70"/>
        </w:trPr>
        <w:tc>
          <w:tcPr>
            <w:tcW w:w="9016" w:type="dxa"/>
            <w:gridSpan w:val="2"/>
          </w:tcPr>
          <w:p w14:paraId="4EC882C8"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075029C" w14:textId="77777777" w:rsidTr="002E2C37">
        <w:tc>
          <w:tcPr>
            <w:tcW w:w="9016" w:type="dxa"/>
            <w:gridSpan w:val="2"/>
            <w:shd w:val="clear" w:color="auto" w:fill="F2F2F2" w:themeFill="background1" w:themeFillShade="F2"/>
          </w:tcPr>
          <w:p w14:paraId="3484A9DB"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CON1g: Bio-fouling or other direct physical disturbance</w:t>
            </w:r>
          </w:p>
        </w:tc>
      </w:tr>
      <w:tr w:rsidR="002D7080" w:rsidRPr="004D1E6F" w14:paraId="1A7E9849" w14:textId="77777777" w:rsidTr="002E2C37">
        <w:tc>
          <w:tcPr>
            <w:tcW w:w="5949" w:type="dxa"/>
          </w:tcPr>
          <w:p w14:paraId="03F2028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6579F1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239AF4A7" w14:textId="77777777" w:rsidTr="002E2C37">
        <w:trPr>
          <w:trHeight w:val="70"/>
        </w:trPr>
        <w:tc>
          <w:tcPr>
            <w:tcW w:w="9016" w:type="dxa"/>
            <w:gridSpan w:val="2"/>
          </w:tcPr>
          <w:p w14:paraId="05A4F01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7955B5EB" w14:textId="77777777" w:rsidTr="002E2C37">
        <w:trPr>
          <w:trHeight w:val="70"/>
        </w:trPr>
        <w:tc>
          <w:tcPr>
            <w:tcW w:w="9016" w:type="dxa"/>
            <w:gridSpan w:val="2"/>
          </w:tcPr>
          <w:p w14:paraId="0AA865C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tc>
      </w:tr>
      <w:tr w:rsidR="002D7080" w:rsidRPr="004D1E6F" w14:paraId="39EAEF15" w14:textId="77777777" w:rsidTr="002E2C37">
        <w:tc>
          <w:tcPr>
            <w:tcW w:w="9016" w:type="dxa"/>
            <w:gridSpan w:val="2"/>
            <w:shd w:val="clear" w:color="auto" w:fill="F2F2F2" w:themeFill="background1" w:themeFillShade="F2"/>
          </w:tcPr>
          <w:p w14:paraId="6830F9C5"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CON1h: Grazing/herbivory/browsing</w:t>
            </w:r>
          </w:p>
        </w:tc>
      </w:tr>
      <w:tr w:rsidR="002D7080" w:rsidRPr="004D1E6F" w14:paraId="758C29D0" w14:textId="77777777" w:rsidTr="002E2C37">
        <w:tc>
          <w:tcPr>
            <w:tcW w:w="5949" w:type="dxa"/>
          </w:tcPr>
          <w:p w14:paraId="04E2BD6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9895B9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64A4040D" w14:textId="77777777" w:rsidTr="002E2C37">
        <w:trPr>
          <w:trHeight w:val="70"/>
        </w:trPr>
        <w:tc>
          <w:tcPr>
            <w:tcW w:w="9016" w:type="dxa"/>
            <w:gridSpan w:val="2"/>
          </w:tcPr>
          <w:p w14:paraId="1D2D0EF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3DD29474" w14:textId="77777777" w:rsidTr="002E2C37">
        <w:trPr>
          <w:trHeight w:val="70"/>
        </w:trPr>
        <w:tc>
          <w:tcPr>
            <w:tcW w:w="9016" w:type="dxa"/>
            <w:gridSpan w:val="2"/>
          </w:tcPr>
          <w:p w14:paraId="033C5D43"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5EA71313" w14:textId="77777777" w:rsidTr="002E2C37">
        <w:tc>
          <w:tcPr>
            <w:tcW w:w="9016" w:type="dxa"/>
            <w:gridSpan w:val="2"/>
            <w:shd w:val="clear" w:color="auto" w:fill="F2F2F2" w:themeFill="background1" w:themeFillShade="F2"/>
          </w:tcPr>
          <w:p w14:paraId="5295FA1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CON1i: Chemical, physical or structural impact on ecosystem</w:t>
            </w:r>
          </w:p>
        </w:tc>
      </w:tr>
      <w:tr w:rsidR="002D7080" w:rsidRPr="004D1E6F" w14:paraId="5489FFB7" w14:textId="77777777" w:rsidTr="002E2C37">
        <w:tc>
          <w:tcPr>
            <w:tcW w:w="5949" w:type="dxa"/>
          </w:tcPr>
          <w:p w14:paraId="4A93A2E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CDC8FE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7516E7D4" w14:textId="77777777" w:rsidTr="002E2C37">
        <w:trPr>
          <w:trHeight w:val="70"/>
        </w:trPr>
        <w:tc>
          <w:tcPr>
            <w:tcW w:w="9016" w:type="dxa"/>
            <w:gridSpan w:val="2"/>
          </w:tcPr>
          <w:p w14:paraId="4D23E50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50C0FEA5" w14:textId="77777777" w:rsidTr="002E2C37">
        <w:trPr>
          <w:trHeight w:val="70"/>
        </w:trPr>
        <w:tc>
          <w:tcPr>
            <w:tcW w:w="9016" w:type="dxa"/>
            <w:gridSpan w:val="2"/>
          </w:tcPr>
          <w:p w14:paraId="0AC8B47E"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FEA4840" w14:textId="77777777" w:rsidTr="002E2C37">
        <w:tc>
          <w:tcPr>
            <w:tcW w:w="9016" w:type="dxa"/>
            <w:gridSpan w:val="2"/>
            <w:shd w:val="clear" w:color="auto" w:fill="F2F2F2" w:themeFill="background1" w:themeFillShade="F2"/>
          </w:tcPr>
          <w:p w14:paraId="16F5D49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CON1k: Indirect impacts through interactions with other species</w:t>
            </w:r>
          </w:p>
        </w:tc>
      </w:tr>
      <w:tr w:rsidR="002D7080" w:rsidRPr="004D1E6F" w14:paraId="5D508684" w14:textId="77777777" w:rsidTr="002E2C37">
        <w:tc>
          <w:tcPr>
            <w:tcW w:w="5949" w:type="dxa"/>
          </w:tcPr>
          <w:p w14:paraId="09E2A87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57651E8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3180220" w14:textId="77777777" w:rsidTr="002E2C37">
        <w:trPr>
          <w:trHeight w:val="70"/>
        </w:trPr>
        <w:tc>
          <w:tcPr>
            <w:tcW w:w="9016" w:type="dxa"/>
            <w:gridSpan w:val="2"/>
          </w:tcPr>
          <w:p w14:paraId="75456A9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2BE78B29" w14:textId="77777777" w:rsidTr="002E2C37">
        <w:trPr>
          <w:trHeight w:val="70"/>
        </w:trPr>
        <w:tc>
          <w:tcPr>
            <w:tcW w:w="9016" w:type="dxa"/>
            <w:gridSpan w:val="2"/>
          </w:tcPr>
          <w:p w14:paraId="4B16271E"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5E8DF0BD" w14:textId="77777777" w:rsidTr="002E2C37">
        <w:trPr>
          <w:trHeight w:val="343"/>
        </w:trPr>
        <w:tc>
          <w:tcPr>
            <w:tcW w:w="9016" w:type="dxa"/>
            <w:gridSpan w:val="2"/>
            <w:shd w:val="clear" w:color="auto" w:fill="F2F2F2" w:themeFill="background1" w:themeFillShade="F2"/>
          </w:tcPr>
          <w:p w14:paraId="6CD2658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CON1 Maximum environmental impact </w:t>
            </w:r>
          </w:p>
        </w:tc>
      </w:tr>
      <w:tr w:rsidR="002D7080" w:rsidRPr="004D1E6F" w14:paraId="6F9A46E2" w14:textId="77777777" w:rsidTr="002E2C37">
        <w:trPr>
          <w:trHeight w:val="172"/>
        </w:trPr>
        <w:tc>
          <w:tcPr>
            <w:tcW w:w="5949" w:type="dxa"/>
          </w:tcPr>
          <w:p w14:paraId="065976E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31323EA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30A87516" w14:textId="77777777" w:rsidTr="002E2C37">
        <w:trPr>
          <w:trHeight w:val="70"/>
        </w:trPr>
        <w:tc>
          <w:tcPr>
            <w:tcW w:w="9016" w:type="dxa"/>
            <w:gridSpan w:val="2"/>
          </w:tcPr>
          <w:p w14:paraId="0C9E517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30BD471E" w14:textId="77777777" w:rsidTr="002E2C37">
        <w:trPr>
          <w:trHeight w:val="70"/>
        </w:trPr>
        <w:tc>
          <w:tcPr>
            <w:tcW w:w="9016" w:type="dxa"/>
            <w:gridSpan w:val="2"/>
          </w:tcPr>
          <w:p w14:paraId="49A0969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3B5FB738" w14:textId="77777777" w:rsidR="002D7080" w:rsidRDefault="002D7080" w:rsidP="002D7080">
      <w:pPr>
        <w:spacing w:after="0" w:line="240" w:lineRule="auto"/>
        <w:rPr>
          <w:rFonts w:ascii="Times New Roman" w:eastAsia="Times New Roman" w:hAnsi="Times New Roman" w:cs="Times New Roman"/>
          <w:b/>
          <w:color w:val="000000"/>
          <w:sz w:val="20"/>
          <w:szCs w:val="20"/>
          <w:lang w:eastAsia="en-ZA"/>
        </w:rPr>
      </w:pPr>
    </w:p>
    <w:p w14:paraId="6204A8B2" w14:textId="77777777" w:rsidR="002D7080" w:rsidRDefault="002D7080" w:rsidP="002D7080">
      <w:pPr>
        <w:spacing w:after="0" w:line="240" w:lineRule="auto"/>
        <w:rPr>
          <w:rFonts w:ascii="Times New Roman" w:eastAsia="Times New Roman" w:hAnsi="Times New Roman" w:cs="Times New Roman"/>
          <w:b/>
          <w:color w:val="000000"/>
          <w:sz w:val="20"/>
          <w:szCs w:val="20"/>
          <w:lang w:eastAsia="en-ZA"/>
        </w:rPr>
      </w:pPr>
    </w:p>
    <w:p w14:paraId="67C8AE32"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23"/>
        <w:tblW w:w="0" w:type="auto"/>
        <w:tblLook w:val="04A0" w:firstRow="1" w:lastRow="0" w:firstColumn="1" w:lastColumn="0" w:noHBand="0" w:noVBand="1"/>
      </w:tblPr>
      <w:tblGrid>
        <w:gridCol w:w="5949"/>
        <w:gridCol w:w="3067"/>
      </w:tblGrid>
      <w:tr w:rsidR="002D7080" w:rsidRPr="004D1E6F" w14:paraId="7119A4E8" w14:textId="77777777" w:rsidTr="002E2C37">
        <w:trPr>
          <w:trHeight w:val="343"/>
        </w:trPr>
        <w:tc>
          <w:tcPr>
            <w:tcW w:w="9016" w:type="dxa"/>
            <w:gridSpan w:val="2"/>
          </w:tcPr>
          <w:p w14:paraId="18CFA5D5" w14:textId="77777777" w:rsidR="002D7080" w:rsidRPr="004D1E6F" w:rsidRDefault="002D7080" w:rsidP="002E2C37">
            <w:pPr>
              <w:jc w:val="both"/>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CON2 Socio-economic impact</w:t>
            </w:r>
          </w:p>
        </w:tc>
      </w:tr>
      <w:tr w:rsidR="002D7080" w:rsidRPr="004D1E6F" w14:paraId="28CA6A2D" w14:textId="77777777" w:rsidTr="002E2C37">
        <w:tc>
          <w:tcPr>
            <w:tcW w:w="9016" w:type="dxa"/>
            <w:gridSpan w:val="2"/>
          </w:tcPr>
          <w:p w14:paraId="7FD851E3" w14:textId="77777777" w:rsidR="002D7080" w:rsidRPr="004D1E6F" w:rsidRDefault="002D7080" w:rsidP="002E2C37">
            <w:pPr>
              <w:jc w:val="both"/>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CON2a: Safety</w:t>
            </w:r>
          </w:p>
        </w:tc>
      </w:tr>
      <w:tr w:rsidR="002D7080" w:rsidRPr="004D1E6F" w14:paraId="235721B5" w14:textId="77777777" w:rsidTr="002E2C37">
        <w:tc>
          <w:tcPr>
            <w:tcW w:w="5949" w:type="dxa"/>
          </w:tcPr>
          <w:p w14:paraId="78580BC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p>
        </w:tc>
        <w:tc>
          <w:tcPr>
            <w:tcW w:w="3067" w:type="dxa"/>
          </w:tcPr>
          <w:p w14:paraId="64C98DF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14B64CD3" w14:textId="77777777" w:rsidTr="002E2C37">
        <w:trPr>
          <w:trHeight w:val="70"/>
        </w:trPr>
        <w:tc>
          <w:tcPr>
            <w:tcW w:w="9016" w:type="dxa"/>
            <w:gridSpan w:val="2"/>
          </w:tcPr>
          <w:p w14:paraId="60B4D759"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1A562805" w14:textId="77777777" w:rsidTr="002E2C37">
        <w:trPr>
          <w:trHeight w:val="70"/>
        </w:trPr>
        <w:tc>
          <w:tcPr>
            <w:tcW w:w="9016" w:type="dxa"/>
            <w:gridSpan w:val="2"/>
          </w:tcPr>
          <w:p w14:paraId="30ADE5D0"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0EB8E3BE" w14:textId="77777777" w:rsidTr="002E2C37">
        <w:tc>
          <w:tcPr>
            <w:tcW w:w="9016" w:type="dxa"/>
            <w:gridSpan w:val="2"/>
          </w:tcPr>
          <w:p w14:paraId="7649F7EB" w14:textId="77777777" w:rsidR="002D7080" w:rsidRPr="004D1E6F" w:rsidRDefault="002D7080" w:rsidP="002E2C37">
            <w:pPr>
              <w:jc w:val="both"/>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CON2b: Material and immaterial assets</w:t>
            </w:r>
          </w:p>
        </w:tc>
      </w:tr>
      <w:tr w:rsidR="002D7080" w:rsidRPr="004D1E6F" w14:paraId="51B63237" w14:textId="77777777" w:rsidTr="002E2C37">
        <w:tc>
          <w:tcPr>
            <w:tcW w:w="5949" w:type="dxa"/>
          </w:tcPr>
          <w:p w14:paraId="66059CC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p>
        </w:tc>
        <w:tc>
          <w:tcPr>
            <w:tcW w:w="3067" w:type="dxa"/>
          </w:tcPr>
          <w:p w14:paraId="005B82D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0B2BA161" w14:textId="77777777" w:rsidTr="002E2C37">
        <w:trPr>
          <w:trHeight w:val="128"/>
        </w:trPr>
        <w:tc>
          <w:tcPr>
            <w:tcW w:w="9016" w:type="dxa"/>
            <w:gridSpan w:val="2"/>
          </w:tcPr>
          <w:p w14:paraId="55B13ADA"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183BDCDB" w14:textId="77777777" w:rsidTr="002E2C37">
        <w:trPr>
          <w:trHeight w:val="70"/>
        </w:trPr>
        <w:tc>
          <w:tcPr>
            <w:tcW w:w="9016" w:type="dxa"/>
            <w:gridSpan w:val="2"/>
          </w:tcPr>
          <w:p w14:paraId="23DAB419"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190354F8" w14:textId="77777777" w:rsidTr="002E2C37">
        <w:tc>
          <w:tcPr>
            <w:tcW w:w="9016" w:type="dxa"/>
            <w:gridSpan w:val="2"/>
          </w:tcPr>
          <w:p w14:paraId="4B9472C2" w14:textId="77777777" w:rsidR="002D7080" w:rsidRPr="004D1E6F" w:rsidRDefault="002D7080" w:rsidP="002E2C37">
            <w:pPr>
              <w:jc w:val="both"/>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CON2c: Health</w:t>
            </w:r>
          </w:p>
        </w:tc>
      </w:tr>
      <w:tr w:rsidR="002D7080" w:rsidRPr="004D1E6F" w14:paraId="24128F89" w14:textId="77777777" w:rsidTr="002E2C37">
        <w:tc>
          <w:tcPr>
            <w:tcW w:w="5949" w:type="dxa"/>
          </w:tcPr>
          <w:p w14:paraId="2FDF756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Response:</w:t>
            </w:r>
          </w:p>
        </w:tc>
        <w:tc>
          <w:tcPr>
            <w:tcW w:w="3067" w:type="dxa"/>
          </w:tcPr>
          <w:p w14:paraId="2AA8AD7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Confidence: Low </w:t>
            </w:r>
          </w:p>
        </w:tc>
      </w:tr>
      <w:tr w:rsidR="002D7080" w:rsidRPr="004D1E6F" w14:paraId="1DB3A5AE" w14:textId="77777777" w:rsidTr="002E2C37">
        <w:trPr>
          <w:trHeight w:val="70"/>
        </w:trPr>
        <w:tc>
          <w:tcPr>
            <w:tcW w:w="9016" w:type="dxa"/>
            <w:gridSpan w:val="2"/>
          </w:tcPr>
          <w:p w14:paraId="7719392F"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493F186F" w14:textId="77777777" w:rsidTr="002E2C37">
        <w:trPr>
          <w:trHeight w:val="70"/>
        </w:trPr>
        <w:tc>
          <w:tcPr>
            <w:tcW w:w="9016" w:type="dxa"/>
            <w:gridSpan w:val="2"/>
          </w:tcPr>
          <w:p w14:paraId="0FE7C361"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55C631AB" w14:textId="77777777" w:rsidTr="002E2C37">
        <w:tc>
          <w:tcPr>
            <w:tcW w:w="9016" w:type="dxa"/>
            <w:gridSpan w:val="2"/>
          </w:tcPr>
          <w:p w14:paraId="14993D02" w14:textId="77777777" w:rsidR="002D7080" w:rsidRPr="004D1E6F" w:rsidRDefault="002D7080" w:rsidP="002E2C37">
            <w:pPr>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CON2d: Social, spiritual and cultural relations </w:t>
            </w:r>
          </w:p>
        </w:tc>
      </w:tr>
      <w:tr w:rsidR="002D7080" w:rsidRPr="004D1E6F" w14:paraId="2DC81088" w14:textId="77777777" w:rsidTr="002E2C37">
        <w:tc>
          <w:tcPr>
            <w:tcW w:w="5949" w:type="dxa"/>
          </w:tcPr>
          <w:p w14:paraId="2F6C52F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w:t>
            </w:r>
          </w:p>
        </w:tc>
        <w:tc>
          <w:tcPr>
            <w:tcW w:w="3067" w:type="dxa"/>
          </w:tcPr>
          <w:p w14:paraId="69B7085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768DD292" w14:textId="77777777" w:rsidTr="002E2C37">
        <w:trPr>
          <w:trHeight w:val="70"/>
        </w:trPr>
        <w:tc>
          <w:tcPr>
            <w:tcW w:w="9016" w:type="dxa"/>
            <w:gridSpan w:val="2"/>
          </w:tcPr>
          <w:p w14:paraId="6F2EEED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19D6CEEE" w14:textId="77777777" w:rsidTr="002E2C37">
        <w:trPr>
          <w:trHeight w:val="70"/>
        </w:trPr>
        <w:tc>
          <w:tcPr>
            <w:tcW w:w="9016" w:type="dxa"/>
            <w:gridSpan w:val="2"/>
          </w:tcPr>
          <w:p w14:paraId="39D41FDA"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r w:rsidR="002D7080" w:rsidRPr="004D1E6F" w14:paraId="3E2B4EE2" w14:textId="77777777" w:rsidTr="002E2C37">
        <w:trPr>
          <w:trHeight w:val="343"/>
        </w:trPr>
        <w:tc>
          <w:tcPr>
            <w:tcW w:w="9016" w:type="dxa"/>
            <w:gridSpan w:val="2"/>
          </w:tcPr>
          <w:p w14:paraId="60CD470B" w14:textId="77777777" w:rsidR="002D7080" w:rsidRPr="004D1E6F" w:rsidRDefault="002D7080" w:rsidP="002E2C37">
            <w:pPr>
              <w:jc w:val="both"/>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CON2 Maximum socio-economic impact </w:t>
            </w:r>
            <w:r w:rsidRPr="004D1E6F">
              <w:rPr>
                <w:rFonts w:ascii="Times New Roman" w:eastAsia="Times New Roman" w:hAnsi="Times New Roman" w:cs="Times New Roman"/>
                <w:sz w:val="20"/>
                <w:szCs w:val="20"/>
                <w:lang w:eastAsia="en-ZA"/>
              </w:rPr>
              <w:t>(Figure S3)</w:t>
            </w:r>
          </w:p>
        </w:tc>
      </w:tr>
      <w:tr w:rsidR="002D7080" w:rsidRPr="004D1E6F" w14:paraId="47F7CCBB" w14:textId="77777777" w:rsidTr="002E2C37">
        <w:trPr>
          <w:trHeight w:val="208"/>
        </w:trPr>
        <w:tc>
          <w:tcPr>
            <w:tcW w:w="5949" w:type="dxa"/>
          </w:tcPr>
          <w:p w14:paraId="1E7DFE6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w:t>
            </w:r>
          </w:p>
        </w:tc>
        <w:tc>
          <w:tcPr>
            <w:tcW w:w="3067" w:type="dxa"/>
          </w:tcPr>
          <w:p w14:paraId="6296A2F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2F6B8212" w14:textId="77777777" w:rsidTr="002E2C37">
        <w:trPr>
          <w:trHeight w:val="70"/>
        </w:trPr>
        <w:tc>
          <w:tcPr>
            <w:tcW w:w="9016" w:type="dxa"/>
            <w:gridSpan w:val="2"/>
          </w:tcPr>
          <w:p w14:paraId="0875EF5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r w:rsidRPr="004D1E6F">
              <w:rPr>
                <w:rFonts w:ascii="Times New Roman" w:eastAsia="Times New Roman" w:hAnsi="Times New Roman" w:cs="Times New Roman"/>
                <w:color w:val="000000"/>
                <w:sz w:val="20"/>
                <w:szCs w:val="20"/>
                <w:lang w:eastAsia="en-ZA"/>
              </w:rPr>
              <w:t xml:space="preserve"> No documented information available to assess the level of impact.</w:t>
            </w:r>
          </w:p>
        </w:tc>
      </w:tr>
      <w:tr w:rsidR="002D7080" w:rsidRPr="004D1E6F" w14:paraId="55E3D4CF" w14:textId="77777777" w:rsidTr="002E2C37">
        <w:trPr>
          <w:trHeight w:val="70"/>
        </w:trPr>
        <w:tc>
          <w:tcPr>
            <w:tcW w:w="9016" w:type="dxa"/>
            <w:gridSpan w:val="2"/>
          </w:tcPr>
          <w:p w14:paraId="4A69BF7C"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tc>
      </w:tr>
    </w:tbl>
    <w:p w14:paraId="2067DE18"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4BC010D7"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6125CD69" w14:textId="77777777" w:rsidTr="002E2C37">
        <w:trPr>
          <w:trHeight w:val="343"/>
        </w:trPr>
        <w:tc>
          <w:tcPr>
            <w:tcW w:w="9016" w:type="dxa"/>
            <w:gridSpan w:val="2"/>
            <w:shd w:val="clear" w:color="auto" w:fill="F2F2F2" w:themeFill="background1" w:themeFillShade="F2"/>
          </w:tcPr>
          <w:p w14:paraId="2252E4F2"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CON3 Closely related species’ environmental impact</w:t>
            </w:r>
          </w:p>
        </w:tc>
      </w:tr>
      <w:tr w:rsidR="002D7080" w:rsidRPr="004D1E6F" w14:paraId="6F48CA07" w14:textId="77777777" w:rsidTr="002E2C37">
        <w:trPr>
          <w:trHeight w:val="172"/>
        </w:trPr>
        <w:tc>
          <w:tcPr>
            <w:tcW w:w="5949" w:type="dxa"/>
          </w:tcPr>
          <w:p w14:paraId="0246298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Major (MR)</w:t>
            </w:r>
          </w:p>
        </w:tc>
        <w:tc>
          <w:tcPr>
            <w:tcW w:w="3067" w:type="dxa"/>
          </w:tcPr>
          <w:p w14:paraId="58B33D7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High</w:t>
            </w:r>
          </w:p>
        </w:tc>
      </w:tr>
      <w:tr w:rsidR="002D7080" w:rsidRPr="004D1E6F" w14:paraId="65DC0503" w14:textId="77777777" w:rsidTr="002E2C37">
        <w:trPr>
          <w:trHeight w:val="70"/>
        </w:trPr>
        <w:tc>
          <w:tcPr>
            <w:tcW w:w="9016" w:type="dxa"/>
            <w:gridSpan w:val="2"/>
          </w:tcPr>
          <w:p w14:paraId="56EA376D" w14:textId="400CD8DD"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There are no recorded environmental impacts for </w:t>
            </w:r>
            <w:r w:rsidR="0086708B">
              <w:rPr>
                <w:rFonts w:ascii="Times New Roman" w:eastAsia="Times New Roman" w:hAnsi="Times New Roman" w:cs="Times New Roman"/>
                <w:i/>
                <w:iCs/>
                <w:sz w:val="20"/>
                <w:szCs w:val="20"/>
                <w:lang w:eastAsia="en-ZA"/>
              </w:rPr>
              <w:t>P. acutus</w:t>
            </w:r>
            <w:r w:rsidRPr="004D1E6F">
              <w:rPr>
                <w:rFonts w:ascii="Times New Roman" w:eastAsia="Times New Roman" w:hAnsi="Times New Roman" w:cs="Times New Roman"/>
                <w:sz w:val="20"/>
                <w:szCs w:val="20"/>
                <w:lang w:eastAsia="en-ZA"/>
              </w:rPr>
              <w:t xml:space="preserve">, therefore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 xml:space="preserve">was selected as a closely related taxon to estimate the environmental impacts that may arise from introductions of </w:t>
            </w:r>
            <w:r w:rsidR="0086708B">
              <w:rPr>
                <w:rFonts w:ascii="Times New Roman" w:eastAsia="Times New Roman" w:hAnsi="Times New Roman" w:cs="Times New Roman"/>
                <w:i/>
                <w:iCs/>
                <w:sz w:val="20"/>
                <w:szCs w:val="20"/>
                <w:lang w:eastAsia="en-ZA"/>
              </w:rPr>
              <w:t>P. acutus</w:t>
            </w:r>
            <w:r w:rsidRPr="004D1E6F">
              <w:rPr>
                <w:rFonts w:ascii="Times New Roman" w:eastAsia="Times New Roman" w:hAnsi="Times New Roman" w:cs="Times New Roman"/>
                <w:sz w:val="20"/>
                <w:szCs w:val="20"/>
                <w:lang w:eastAsia="en-ZA"/>
              </w:rPr>
              <w:t xml:space="preserve">. </w:t>
            </w:r>
          </w:p>
          <w:p w14:paraId="725D457C"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is an aggressive species and is known to out-competes native species for shelter and spawning sites leading to reproductive interference (Cruz et al. 2006; Lodge et al. 2012). For example, in areas were </w:t>
            </w:r>
            <w:r w:rsidRPr="004D1E6F">
              <w:rPr>
                <w:rFonts w:ascii="Times New Roman" w:eastAsia="Times New Roman" w:hAnsi="Times New Roman" w:cs="Times New Roman"/>
                <w:i/>
                <w:color w:val="000000"/>
                <w:sz w:val="20"/>
                <w:szCs w:val="20"/>
                <w:lang w:eastAsia="en-ZA"/>
              </w:rPr>
              <w:t xml:space="preserve">P. clarkii </w:t>
            </w:r>
            <w:r w:rsidRPr="004D1E6F">
              <w:rPr>
                <w:rFonts w:ascii="Times New Roman" w:eastAsia="Times New Roman" w:hAnsi="Times New Roman" w:cs="Times New Roman"/>
                <w:iCs/>
                <w:color w:val="000000"/>
                <w:sz w:val="20"/>
                <w:szCs w:val="20"/>
                <w:lang w:eastAsia="en-ZA"/>
              </w:rPr>
              <w:t xml:space="preserve">has been </w:t>
            </w:r>
            <w:r w:rsidRPr="004D1E6F">
              <w:rPr>
                <w:rFonts w:ascii="Times New Roman" w:eastAsia="Times New Roman" w:hAnsi="Times New Roman" w:cs="Times New Roman"/>
                <w:color w:val="000000"/>
                <w:sz w:val="20"/>
                <w:szCs w:val="20"/>
                <w:lang w:eastAsia="en-ZA"/>
              </w:rPr>
              <w:t xml:space="preserve"> introduced, some amphibian species (e.g., </w:t>
            </w:r>
            <w:r w:rsidRPr="004D1E6F">
              <w:rPr>
                <w:rFonts w:ascii="Times New Roman" w:eastAsia="Times New Roman" w:hAnsi="Times New Roman" w:cs="Times New Roman"/>
                <w:i/>
                <w:color w:val="000000"/>
                <w:sz w:val="20"/>
                <w:szCs w:val="20"/>
                <w:lang w:eastAsia="en-ZA"/>
              </w:rPr>
              <w:t>Bufo bufo</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B. calamita</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Rana</w:t>
            </w:r>
            <w:r w:rsidRPr="004D1E6F">
              <w:rPr>
                <w:rFonts w:ascii="Times New Roman" w:eastAsia="Times New Roman" w:hAnsi="Times New Roman" w:cs="Times New Roman"/>
                <w:color w:val="000000"/>
                <w:sz w:val="20"/>
                <w:szCs w:val="20"/>
                <w:lang w:eastAsia="en-ZA"/>
              </w:rPr>
              <w:t xml:space="preserve"> spp., </w:t>
            </w:r>
            <w:r w:rsidRPr="004D1E6F">
              <w:rPr>
                <w:rFonts w:ascii="Times New Roman" w:eastAsia="Times New Roman" w:hAnsi="Times New Roman" w:cs="Times New Roman"/>
                <w:i/>
                <w:color w:val="000000"/>
                <w:sz w:val="20"/>
                <w:szCs w:val="20"/>
                <w:lang w:eastAsia="en-ZA"/>
              </w:rPr>
              <w:t xml:space="preserve">Taricha torosa </w:t>
            </w:r>
            <w:r w:rsidRPr="004D1E6F">
              <w:rPr>
                <w:rFonts w:ascii="Times New Roman" w:eastAsia="Times New Roman" w:hAnsi="Times New Roman" w:cs="Times New Roman"/>
                <w:color w:val="000000"/>
                <w:sz w:val="20"/>
                <w:szCs w:val="20"/>
                <w:lang w:eastAsia="en-ZA"/>
              </w:rPr>
              <w:t xml:space="preserve">and </w:t>
            </w:r>
            <w:r w:rsidRPr="004D1E6F">
              <w:rPr>
                <w:rFonts w:ascii="Times New Roman" w:eastAsia="Times New Roman" w:hAnsi="Times New Roman" w:cs="Times New Roman"/>
                <w:i/>
                <w:color w:val="000000"/>
                <w:sz w:val="20"/>
                <w:szCs w:val="20"/>
                <w:lang w:eastAsia="en-ZA"/>
              </w:rPr>
              <w:t>Triturus vulgaris</w:t>
            </w:r>
            <w:r w:rsidRPr="004D1E6F">
              <w:rPr>
                <w:rFonts w:ascii="Times New Roman" w:eastAsia="Times New Roman" w:hAnsi="Times New Roman" w:cs="Times New Roman"/>
                <w:color w:val="000000"/>
                <w:sz w:val="20"/>
                <w:szCs w:val="20"/>
                <w:lang w:eastAsia="en-ZA"/>
              </w:rPr>
              <w:t xml:space="preserve">) have been excluded or displaced from their natural habitats, resulting in local extinctions through reproductive failure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"ITEM-1",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"(Cruz et al. 2006, Lodge et al. 2012)", "plainTextFormattedCitation" : "(Cruz et al. 2006, Lodge et al. 2012)", "previouslyFormattedCitation" : "(Cruz et al. 2006,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(Cruz et al. 2006;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In Europe and Japan, decreases in distributional ranges and abundance of native crayfish populations (</w:t>
            </w:r>
            <w:r w:rsidRPr="004D1E6F">
              <w:rPr>
                <w:rFonts w:ascii="Times New Roman" w:eastAsia="Times New Roman" w:hAnsi="Times New Roman" w:cs="Times New Roman"/>
                <w:i/>
                <w:color w:val="000000"/>
                <w:sz w:val="20"/>
                <w:szCs w:val="20"/>
                <w:lang w:eastAsia="en-ZA"/>
              </w:rPr>
              <w:t>Astacus astacus</w:t>
            </w:r>
            <w:r w:rsidRPr="004D1E6F">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i/>
                <w:color w:val="000000"/>
                <w:sz w:val="20"/>
                <w:szCs w:val="20"/>
                <w:lang w:eastAsia="en-ZA"/>
              </w:rPr>
              <w:t xml:space="preserve"> Austropotamobius pallipes</w:t>
            </w:r>
            <w:r w:rsidRPr="004D1E6F">
              <w:rPr>
                <w:rFonts w:ascii="Times New Roman" w:eastAsia="Times New Roman" w:hAnsi="Times New Roman" w:cs="Times New Roman"/>
                <w:color w:val="000000"/>
                <w:sz w:val="20"/>
                <w:szCs w:val="20"/>
                <w:lang w:eastAsia="en-ZA"/>
              </w:rPr>
              <w:t xml:space="preserve"> and </w:t>
            </w:r>
            <w:r w:rsidRPr="004D1E6F">
              <w:rPr>
                <w:rFonts w:ascii="Times New Roman" w:eastAsia="Times New Roman" w:hAnsi="Times New Roman" w:cs="Times New Roman"/>
                <w:i/>
                <w:color w:val="000000"/>
                <w:sz w:val="20"/>
                <w:szCs w:val="20"/>
                <w:lang w:eastAsia="en-ZA"/>
              </w:rPr>
              <w:t>A. torrentium</w:t>
            </w:r>
            <w:r w:rsidRPr="004D1E6F">
              <w:rPr>
                <w:rFonts w:ascii="Times New Roman" w:eastAsia="Times New Roman" w:hAnsi="Times New Roman" w:cs="Times New Roman"/>
                <w:color w:val="000000"/>
                <w:sz w:val="20"/>
                <w:szCs w:val="20"/>
                <w:lang w:eastAsia="en-ZA"/>
              </w:rPr>
              <w:t xml:space="preserve">) as a direct result of competition with </w:t>
            </w:r>
            <w:r w:rsidRPr="004D1E6F">
              <w:rPr>
                <w:rFonts w:ascii="Times New Roman" w:eastAsia="Times New Roman" w:hAnsi="Times New Roman" w:cs="Times New Roman"/>
                <w:i/>
                <w:iCs/>
                <w:color w:val="000000"/>
                <w:sz w:val="20"/>
                <w:szCs w:val="20"/>
                <w:lang w:eastAsia="en-ZA"/>
              </w:rPr>
              <w:t xml:space="preserve">P. clarkii </w:t>
            </w:r>
            <w:r w:rsidRPr="004D1E6F">
              <w:rPr>
                <w:rFonts w:ascii="Times New Roman" w:eastAsia="Times New Roman" w:hAnsi="Times New Roman" w:cs="Times New Roman"/>
                <w:color w:val="000000"/>
                <w:sz w:val="20"/>
                <w:szCs w:val="20"/>
                <w:lang w:eastAsia="en-ZA"/>
              </w:rPr>
              <w:t xml:space="preserve">were observed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"http://www.mendeley.com/documents/?uuid=9c72c438-e7a8-4248-b05a-2e8f1c12e544" ] }, { "id" : "ITEM-2",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"ITEM-2",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"mendeley" : { "formattedCitation" : "(Cruz et al. 2006, Lodge et al. 2012)", "plainTextFormattedCitation" : "(Cruz et al. 2006, Lodge et al. 2012)", "previouslyFormattedCitation" : "(Cruz et al. 2006,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(Cruz et al. 2006;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Furthermore, direct competition for food has caused dietary niche constriction and declines in populations of native crabs in some areas invaded by </w:t>
            </w:r>
            <w:r w:rsidRPr="004D1E6F">
              <w:rPr>
                <w:rFonts w:ascii="Times New Roman" w:eastAsia="Times New Roman" w:hAnsi="Times New Roman" w:cs="Times New Roman"/>
                <w:i/>
                <w:color w:val="000000"/>
                <w:sz w:val="20"/>
                <w:szCs w:val="20"/>
                <w:lang w:eastAsia="en-ZA"/>
              </w:rPr>
              <w:t xml:space="preserve">P. clarkii </w:t>
            </w:r>
            <w:r w:rsidRPr="004D1E6F">
              <w:rPr>
                <w:rFonts w:ascii="Times New Roman" w:eastAsia="Times New Roman" w:hAnsi="Times New Roman" w:cs="Times New Roman"/>
                <w:i/>
                <w:color w:val="000000"/>
                <w:sz w:val="20"/>
                <w:szCs w:val="20"/>
                <w:lang w:eastAsia="en-ZA"/>
              </w:rPr>
              <w:fldChar w:fldCharType="begin" w:fldLock="1"/>
            </w:r>
            <w:r w:rsidRPr="004D1E6F">
              <w:rPr>
                <w:rFonts w:ascii="Times New Roman" w:eastAsia="Times New Roman" w:hAnsi="Times New Roman" w:cs="Times New Roman"/>
                <w:i/>
                <w:color w:val="000000"/>
                <w:sz w:val="20"/>
                <w:szCs w:val="20"/>
                <w:lang w:eastAsia="en-ZA"/>
              </w:rPr>
              <w:instrText>ADDIN CSL_CITATION { "citationItems" : [ { "id" : "ITEM-1", "itemData" : { "DOI" : "10.1111/1365-2656.12533", "ISBN" : "1365-2656 (Electronic)\\r0021-8790 (Linking)", "ISSN" : "13652656", "PMID" : "27084460", "abstract" : "1. Invasive species are a key driver of global environmental change, with frequently strong negative consequences for native biodiversity and ecosystem processes. Understanding com- petitive interactions between invaders and functionally similar native species provides an important benchmark for predicting the consequences of invasion. However, even though having a broad dietary niche is widely considered a key factor determining invasion success, little is known about the effects of competition with functionally similar native competitors on the dietary niche breadths of invasive species. 2. We used a combination of field experiments and field surveys to examine the impacts of competition with a functionally similar native crab species on the population densities, growth rates and diet of the globally widespread invasive red swamp crayfish in an African river ecosystem. 3. The presence of native crabs triggered significant dietary niche constriction within the inva- sive crayfish population. Further, growth rates of both species were reduced significantly, and by a similar extent, in the presence of one another. In spite of this, crayfish maintained posi- tive growth rates in the presence of crabs, whereas crabs lost mass in the presence of crayfish. Consequently, over the 3-year duration of the study, crab abundance declined at those sites invaded by the crayfish, becoming locally extinct at one. 4. The invasive crayfish had a dramatic effect on ecosystem structure and functioning, halv- ing benthic invertebrate densities and increasing decomposition rates fourfold compared to the crabs. This indicates that replacement of native crabs by invasive crayfish likely alters the structure and functioning of African river ecosystems significantly. 5. This study provides a novel example of the constriction of the dietary niche of a successful invasive population in the presence of competition from a functionally similar native species. This finding highlights the importance of considering both environmental and ecological contexts in order to predict and manage the impacts of invasive species on ecosystems.", "author" : [ { "dropping-particle" : "", "family" : "Jackson", "given" : "Michelle C.", "non-dropping-particle" : "", "parse-names" : false, "suffix" : "" }, { "dropping-particle" : "", "family" : "Grey", "given" : "Jonathan", "non-dropping-particle" : "", "parse-names" : false, "suffix" : "" }, { "dropping-particle" : "", "family" : "Miller", "given" : "Katie", "non-dropping-particle" : "", "parse-names" : false, "suffix" : "" }, { "dropping-particle" : "", "family" : "Britton", "given" : "J. Robert", "non-dropping-particle" : "", "parse-names" : false, "suffix" : "" }, { "dropping-particle" : "", "family" : "Donohue", "given" : "Ian", "non-dropping-particle" : "", "parse-names" : false, "suffix" : "" } ], "container-title" : "Journal of Animal Ecology", "id" : "ITEM-1", "issued" : { "date-parts" : [ [ "2016" ] ] }, "page" : "1098-1107", "title" : "Dietary niche constriction when invaders meet natives: Evidence from freshwater decapods", "type" : "article-journal" }, "uris" : [ "http://www.mendeley.com/documents/?uuid=4d1dad2a-af96-4ee7-a254-3fb10d7453b1" ] } ], "mendeley" : { "formattedCitation" : "(Jackson et al. 2016)", "plainTextFormattedCitation" : "(Jackson et al. 2016)", "previouslyFormattedCitation" : "(Jackson et al. 2016)" }, "properties" : { "noteIndex" : 0 }, "schema" : "https://github.com/citation-style-language/schema/raw/master/csl-citation.json" }</w:instrText>
            </w:r>
            <w:r w:rsidRPr="004D1E6F">
              <w:rPr>
                <w:rFonts w:ascii="Times New Roman" w:eastAsia="Times New Roman" w:hAnsi="Times New Roman" w:cs="Times New Roman"/>
                <w:i/>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(Jackson et al. 2016)</w:t>
            </w:r>
            <w:r w:rsidRPr="004D1E6F">
              <w:rPr>
                <w:rFonts w:ascii="Times New Roman" w:eastAsia="Times New Roman" w:hAnsi="Times New Roman" w:cs="Times New Roman"/>
                <w:i/>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p w14:paraId="7F3F8DAB"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Predation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in the alien range can result in local or population extinction of at least one native species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Souty-grosset et al. 2016)", "plainTextFormattedCitation" : "(Lodge et al. 2012, Souty-grosset et al. 2016)", "previouslyFormattedCitation" : "(Lodge et al. 2012,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(Lodge et al. 2012; 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For example, predation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has resulted in population declines of several species of fish and amphibians by reducing their breeding success through predation on eggs and larval amphibians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"ITEM-1",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"id" : "ITEM-2", "itemData" : { "DOI" : "10.1007/s10531-012-0323-1", "author" : [ { "dropping-particle" : "", "family" : "Francesco", "given" : "Gentile", "non-dropping-particle" : "", "parse-names" : false, "suffix" : "" }, { "dropping-particle" : "", "family" : "Matteo", "given" : "Ficetola", "non-dropping-particle" : "", "parse-names" : false, "suffix" : "" }, { "dropping-particle" : "", "family" : "Siesa", "given" : "Elio", "non-dropping-particle" : "", "parse-names" : false, "suffix" : "" }, { "dropping-particle" : "De", "family" : "Bernardi", "given" : "Fiorenza", "non-dropping-particle" : "", "parse-names" : false, "suffix" : "" }, { "dropping-particle" : "", "family" : "Padoa-schioppa", "given" : "Emilio", "non-dropping-particle" : "", "parse-names" : false, "suffix" : "" } ], "id" : "ITEM-2", "issued" : { "date-parts" : [ [ "2012" ] ] }, "page" : "2641-2651", "title" : "Complex impact of an invasive crayfish on freshwater food webs", "type" : "article-journal" }, "uris" : [ "http://www.mendeley.com/documents/?uuid=4e9ca91f-7982-4098-b712-ffad4211fd37" ] } ], "mendeley" : { "formattedCitation" : "(Cruz et al. 2006, Francesco et al. 2012)", "manualFormatting" : "(Cruz et al. 2006, Francesco et al. 2011)", "plainTextFormattedCitation" : "(Cruz et al. 2006, Francesco et al. 2012)", "previouslyFormattedCitation" : "(Cruz et al. 2006, Francesco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(Cruz et al. 2006; Ficetola</w:t>
            </w:r>
            <w:r w:rsidRPr="004D1E6F" w:rsidDel="00C361D8">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et al. 2011)</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Indirect effects of predation results in cause trophic cascades that lead to changes in ecosystem structure and function. For example, predation on invertebrates can release algae from grazing pressure and lead to changes in the abundance and dominance of species in algal communities (Gherardi &amp; Barbaresi 2008).</w:t>
            </w:r>
          </w:p>
          <w:p w14:paraId="442AE16A"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p>
          <w:p w14:paraId="3C1688EF" w14:textId="47E865B6"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is a host of various pathogens, parasites, and diseases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"ITEM-1", "issue" : "1", "issued" : { "date-parts" : [ [ "2011" ] ] }, "page" : "54-70", "publisher" : "Elsevier Inc.", "title" : "Diseases of crayfish: A review", "type" : "article-journal", "volume" : "106" }, "uris" : [ "http://www.mendeley.com/documents/?uuid=be7c0509-8466-4d72-b84f-489b1cb24dc4"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"(Longshaw 2011, Lodge et al. 2012)", "plainTextFormattedCitation" : "(Longshaw 2011, Lodge et al. 2012)", "previouslyFormattedCitation" : "(Longshaw 2011,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(Longshaw 2011;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w:t>
            </w:r>
            <w:r w:rsidR="0086708B" w:rsidRPr="004D1E6F">
              <w:rPr>
                <w:rFonts w:ascii="Times New Roman" w:eastAsia="Times New Roman" w:hAnsi="Times New Roman" w:cs="Times New Roman"/>
                <w:color w:val="000000"/>
                <w:sz w:val="20"/>
                <w:szCs w:val="20"/>
                <w:lang w:eastAsia="en-ZA"/>
              </w:rPr>
              <w:t>Transmission</w:t>
            </w:r>
            <w:r w:rsidRPr="004D1E6F">
              <w:rPr>
                <w:rFonts w:ascii="Times New Roman" w:eastAsia="Times New Roman" w:hAnsi="Times New Roman" w:cs="Times New Roman"/>
                <w:color w:val="000000"/>
                <w:sz w:val="20"/>
                <w:szCs w:val="20"/>
                <w:lang w:eastAsia="en-ZA"/>
              </w:rPr>
              <w:t xml:space="preserve"> of diseases and parasites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has led to local or population extinctions of at least one native species, leading to changes in community composition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"(Lodge et al. 2012)", "plainTextFormattedCitation" : "(Lodge et al. 2012)", "previouslyFormattedCitation" :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For example,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is a vector of crayfish plague, a disease caused by the parasitic oomycete, </w:t>
            </w:r>
            <w:r w:rsidRPr="004D1E6F">
              <w:rPr>
                <w:rFonts w:ascii="Times New Roman" w:eastAsia="Times New Roman" w:hAnsi="Times New Roman" w:cs="Times New Roman"/>
                <w:i/>
                <w:color w:val="000000"/>
                <w:sz w:val="20"/>
                <w:szCs w:val="20"/>
                <w:lang w:eastAsia="en-ZA"/>
              </w:rPr>
              <w:t xml:space="preserve">Aphanomyces astaci </w:t>
            </w:r>
            <w:r w:rsidRPr="004D1E6F">
              <w:rPr>
                <w:rFonts w:ascii="Times New Roman" w:eastAsia="Times New Roman" w:hAnsi="Times New Roman" w:cs="Times New Roman"/>
                <w:i/>
                <w:color w:val="000000"/>
                <w:sz w:val="20"/>
                <w:szCs w:val="20"/>
                <w:lang w:eastAsia="en-ZA"/>
              </w:rPr>
              <w:fldChar w:fldCharType="begin" w:fldLock="1"/>
            </w:r>
            <w:r w:rsidRPr="004D1E6F">
              <w:rPr>
                <w:rFonts w:ascii="Times New Roman" w:eastAsia="Times New Roman" w:hAnsi="Times New Roman" w:cs="Times New Roman"/>
                <w:i/>
                <w:color w:val="000000"/>
                <w:sz w:val="20"/>
                <w:szCs w:val="20"/>
                <w:lang w:eastAsia="en-ZA"/>
              </w:rPr>
              <w:instrText>ADDIN CSL_CITATION { "citationItems" : [ { "id" : "ITEM-1",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"ITEM-1", "issue" : "1", "issued" : { "date-parts" : [ [ "2011" ] ] }, "page" : "54-70", "publisher" : "Elsevier Inc.", "title" : "Diseases of crayfish: A review", "type" : "article-journal", "volume" : "106" }, "uris" : [ "http://www.mendeley.com/documents/?uuid=be7c0509-8466-4d72-b84f-489b1cb24dc4" ] }, { "id" : "ITEM-2",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"(Longshaw 2011, Souty-grosset et al. 2016)", "plainTextFormattedCitation" : "(Longshaw 2011, Souty-grosset et al. 2016)", "previouslyFormattedCitation" : "(Longshaw 2011, Souty-grosset et al. 2016)" }, "properties" : { "noteIndex" : 0 }, "schema" : "https://github.com/citation-style-language/schema/raw/master/csl-citation.json" }</w:instrText>
            </w:r>
            <w:r w:rsidRPr="004D1E6F">
              <w:rPr>
                <w:rFonts w:ascii="Times New Roman" w:eastAsia="Times New Roman" w:hAnsi="Times New Roman" w:cs="Times New Roman"/>
                <w:i/>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 xml:space="preserve">(Aquiloni et al, </w:t>
            </w:r>
            <w:r w:rsidRPr="004D1E6F">
              <w:rPr>
                <w:rFonts w:ascii="Times New Roman" w:eastAsia="Times New Roman" w:hAnsi="Times New Roman" w:cs="Times New Roman"/>
                <w:color w:val="000000"/>
                <w:sz w:val="20"/>
                <w:szCs w:val="20"/>
                <w:lang w:eastAsia="en-ZA"/>
              </w:rPr>
              <w:lastRenderedPageBreak/>
              <w:t>2011; Longshaw 2011; Souty-Grosset et al. 2016)</w:t>
            </w:r>
            <w:r w:rsidRPr="004D1E6F">
              <w:rPr>
                <w:rFonts w:ascii="Times New Roman" w:eastAsia="Times New Roman" w:hAnsi="Times New Roman" w:cs="Times New Roman"/>
                <w:i/>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In Europe, transmission of crayfish plague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has been linked to a decline in populations of several native crayfish species of as </w:t>
            </w:r>
            <w:r w:rsidRPr="004D1E6F">
              <w:rPr>
                <w:rFonts w:ascii="Times New Roman" w:eastAsia="Times New Roman" w:hAnsi="Times New Roman" w:cs="Times New Roman"/>
                <w:i/>
                <w:color w:val="000000"/>
                <w:sz w:val="20"/>
                <w:szCs w:val="20"/>
                <w:lang w:eastAsia="en-ZA"/>
              </w:rPr>
              <w:t>Astacus astacus</w:t>
            </w:r>
            <w:r w:rsidRPr="004D1E6F">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i/>
                <w:color w:val="000000"/>
                <w:sz w:val="20"/>
                <w:szCs w:val="20"/>
                <w:lang w:eastAsia="en-ZA"/>
              </w:rPr>
              <w:t xml:space="preserve"> Austropotamobius pallipes </w:t>
            </w:r>
            <w:r w:rsidRPr="004D1E6F">
              <w:rPr>
                <w:rFonts w:ascii="Times New Roman" w:eastAsia="Times New Roman" w:hAnsi="Times New Roman" w:cs="Times New Roman"/>
                <w:color w:val="000000"/>
                <w:sz w:val="20"/>
                <w:szCs w:val="20"/>
                <w:lang w:eastAsia="en-ZA"/>
              </w:rPr>
              <w:t>and</w:t>
            </w:r>
            <w:r w:rsidRPr="004D1E6F">
              <w:rPr>
                <w:rFonts w:ascii="Times New Roman" w:eastAsia="Times New Roman" w:hAnsi="Times New Roman" w:cs="Times New Roman"/>
                <w:i/>
                <w:color w:val="000000"/>
                <w:sz w:val="20"/>
                <w:szCs w:val="20"/>
                <w:lang w:eastAsia="en-ZA"/>
              </w:rPr>
              <w:t xml:space="preserve"> A. torrentium </w:t>
            </w:r>
            <w:r w:rsidRPr="004D1E6F">
              <w:rPr>
                <w:rFonts w:ascii="Times New Roman" w:eastAsia="Times New Roman" w:hAnsi="Times New Roman" w:cs="Times New Roman"/>
                <w:i/>
                <w:color w:val="000000"/>
                <w:sz w:val="20"/>
                <w:szCs w:val="20"/>
                <w:lang w:eastAsia="en-ZA"/>
              </w:rPr>
              <w:fldChar w:fldCharType="begin" w:fldLock="1"/>
            </w:r>
            <w:r w:rsidRPr="004D1E6F">
              <w:rPr>
                <w:rFonts w:ascii="Times New Roman" w:eastAsia="Times New Roman" w:hAnsi="Times New Roman" w:cs="Times New Roman"/>
                <w:i/>
                <w:color w:val="000000"/>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"id" : "ITEM-2",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"ITEM-2", "issue" : "1", "issued" : { "date-parts" : [ [ "2011" ] ] }, "page" : "54-70", "publisher" : "Elsevier Inc.", "title" : "Diseases of crayfish: A review", "type" : "article-journal", "volume" : "106" }, "uris" : [ "http://www.mendeley.com/documents/?uuid=be7c0509-8466-4d72-b84f-489b1cb24dc4" ] } ], "mendeley" : { "formattedCitation" : "(Holdich et al. 2009, Longshaw 2011)", "plainTextFormattedCitation" : "(Holdich et al. 2009, Longshaw 2011)", "previouslyFormattedCitation" : "(Holdich et al. 2009, Longshaw 2011)" }, "properties" : { "noteIndex" : 0 }, "schema" : "https://github.com/citation-style-language/schema/raw/master/csl-citation.json" }</w:instrText>
            </w:r>
            <w:r w:rsidRPr="004D1E6F">
              <w:rPr>
                <w:rFonts w:ascii="Times New Roman" w:eastAsia="Times New Roman" w:hAnsi="Times New Roman" w:cs="Times New Roman"/>
                <w:i/>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(Holdich et al. 2009; Longshaw 2011)</w:t>
            </w:r>
            <w:r w:rsidRPr="004D1E6F">
              <w:rPr>
                <w:rFonts w:ascii="Times New Roman" w:eastAsia="Times New Roman" w:hAnsi="Times New Roman" w:cs="Times New Roman"/>
                <w:i/>
                <w:color w:val="000000"/>
                <w:sz w:val="20"/>
                <w:szCs w:val="20"/>
                <w:lang w:eastAsia="en-ZA"/>
              </w:rPr>
              <w:fldChar w:fldCharType="end"/>
            </w:r>
            <w:r w:rsidRPr="004D1E6F">
              <w:rPr>
                <w:rFonts w:ascii="Times New Roman" w:eastAsia="Times New Roman" w:hAnsi="Times New Roman" w:cs="Times New Roman"/>
                <w:i/>
                <w:color w:val="000000"/>
                <w:sz w:val="20"/>
                <w:szCs w:val="20"/>
                <w:lang w:eastAsia="en-ZA"/>
              </w:rPr>
              <w:t>. Procambarus clarkii</w:t>
            </w:r>
            <w:r w:rsidRPr="004D1E6F">
              <w:rPr>
                <w:rFonts w:ascii="Times New Roman" w:eastAsia="Times New Roman" w:hAnsi="Times New Roman" w:cs="Times New Roman"/>
                <w:color w:val="000000"/>
                <w:sz w:val="20"/>
                <w:szCs w:val="20"/>
                <w:lang w:eastAsia="en-ZA"/>
              </w:rPr>
              <w:t xml:space="preserve"> is also host to white spot syndrome disease – a viral infection of crustaceans, and fungal pathogens such as </w:t>
            </w:r>
            <w:r w:rsidRPr="004D1E6F">
              <w:rPr>
                <w:rFonts w:ascii="Times New Roman" w:eastAsia="Times New Roman" w:hAnsi="Times New Roman" w:cs="Times New Roman"/>
                <w:i/>
                <w:color w:val="000000"/>
                <w:sz w:val="20"/>
                <w:szCs w:val="20"/>
                <w:lang w:eastAsia="en-ZA"/>
              </w:rPr>
              <w:t>Batrachochytrium dendrobatids</w:t>
            </w:r>
            <w:r w:rsidRPr="004D1E6F">
              <w:rPr>
                <w:rFonts w:ascii="Times New Roman" w:eastAsia="Times New Roman" w:hAnsi="Times New Roman" w:cs="Times New Roman"/>
                <w:color w:val="000000"/>
                <w:sz w:val="20"/>
                <w:szCs w:val="20"/>
                <w:lang w:eastAsia="en-ZA"/>
              </w:rPr>
              <w:t xml:space="preserve"> that causes chytridiomycosis – a lethal skin infection in amphibians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"ITEM-1", "issue" : "1", "issued" : { "date-parts" : [ [ "2011" ] ] }, "page" : "54-70", "publisher" : "Elsevier Inc.", "title" : "Diseases of crayfish: A review", "type" : "article-journal", "volume" : "106" }, "uris" : [ "http://www.mendeley.com/documents/?uuid=be7c0509-8466-4d72-b84f-489b1cb24dc4" ] } ], "mendeley" : { "formattedCitation" : "(Longshaw 2011)", "manualFormatting" : "(Longshaw 2011, McMahon et al. 2013)", "plainTextFormattedCitation" : "(Longshaw 2011)", "previouslyFormattedCitation" : "(Longshaw 2011)"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(Longshaw 2011; McMahon et al. 2013)</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p w14:paraId="4790021B"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p>
          <w:p w14:paraId="7AAD9202"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Grazing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leads to habitat loss and modification through the removal of macrophytes, in turn leading to population declines of species that feed on macrophytes, use macrophyte stands as nesting sites and refugia from predation (Rosenthal et al. 2005). </w:t>
            </w:r>
            <w:r w:rsidRPr="004D1E6F">
              <w:rPr>
                <w:rFonts w:ascii="Times New Roman" w:eastAsia="Times New Roman" w:hAnsi="Times New Roman" w:cs="Times New Roman"/>
                <w:i/>
                <w:color w:val="000000"/>
                <w:sz w:val="20"/>
                <w:szCs w:val="20"/>
                <w:lang w:eastAsia="en-ZA"/>
              </w:rPr>
              <w:t xml:space="preserve">Procambarus clarkii </w:t>
            </w:r>
            <w:r w:rsidRPr="004D1E6F">
              <w:rPr>
                <w:rFonts w:ascii="Times New Roman" w:eastAsia="Times New Roman" w:hAnsi="Times New Roman" w:cs="Times New Roman"/>
                <w:color w:val="000000"/>
                <w:sz w:val="20"/>
                <w:szCs w:val="20"/>
                <w:lang w:eastAsia="en-ZA"/>
              </w:rPr>
              <w:t xml:space="preserve">leads community composition changes through trophic cascades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"id" : "ITEM-2", "itemData" : { "DOI" : "10.1007/978-1-4020-6029-8_28", "ISBN" : "978-1-4020-6029-8", "author" : [ { "dropping-particle" : "", "family" : "Gherardi", "given" : "Francesca", "non-dropping-particle" : "", "parse-names" : false, "suffix" : "" } ], "container-title" : "Biological invaders in inland waters: Profiles, \u2026", "id" : "ITEM-2", "issued" : { "date-parts" : [ [ "2007" ] ] }, "page" : "507-542", "title" : "Understanding the impact of invasive crayfish", "type" : "article-journal" }, "uris" : [ "http://www.mendeley.com/documents/?uuid=879a3355-c9ec-4aa2-a111-dbd6064fa273" ] } ], "mendeley" : { "formattedCitation" : "(Gherardi 2007, Souty-grosset et al. 2016)", "manualFormatting" : "(Gherardi and Aquistapace 2007, Souty-grosset et al. 2016)", "plainTextFormattedCitation" : "(Gherardi 2007, Souty-grosset et al. 2016)", "previouslyFormattedCitation" : "(Gherardi 2007,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(Gherardi &amp; Aquistapace 2007; 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For example, in Lake Chozas (northwest Spain), grazing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caused a reduction in macrophyte communities leading to cascades up the food chain with declines in invertebrates, amphibians, and waterfowl (Rodriguez et al 2003). Grazing can also cause changes to community composition and structure, such as changing ecosystems from macrophyte-dominated areas with clear water, to turbid phytoplankton-dominated areas (Matsizaki et al. 2009). Excessive grazing can also lead to accelerated rates of </w:t>
            </w:r>
            <w:r w:rsidRPr="004D1E6F">
              <w:rPr>
                <w:rFonts w:ascii="Times New Roman" w:eastAsia="Calibri" w:hAnsi="Times New Roman" w:cs="Times New Roman"/>
                <w:sz w:val="20"/>
                <w:szCs w:val="20"/>
              </w:rPr>
              <w:t>important processes</w:t>
            </w:r>
            <w:r w:rsidRPr="004D1E6F">
              <w:rPr>
                <w:rFonts w:ascii="Times New Roman" w:eastAsia="Times New Roman" w:hAnsi="Times New Roman" w:cs="Times New Roman"/>
                <w:color w:val="000000"/>
                <w:sz w:val="20"/>
                <w:szCs w:val="20"/>
                <w:lang w:eastAsia="en-ZA"/>
              </w:rPr>
              <w:t xml:space="preserve"> such as litter breakdown and decomposition (Gherardi &amp; Aquistapace 2007; Souty-Grosset et al. 2016).</w:t>
            </w:r>
          </w:p>
          <w:p w14:paraId="6FC74C83"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p>
          <w:p w14:paraId="4BCF2C1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is considered an ecosystem engineer due to its ability to change ecosystems through its burrowing activities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"(Souty-grosset et al. 2016)", "plainTextFormattedCitation" : "(Souty-grosset et al. 2016)", "previouslyFormattedCitation" :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For example, its burrowing activities can cause a decrease in the water quality through bioturbation leading to increased turbidity and influx release of nutrients from sediments, often leading to algal blooms (Angeler et al. 2001;</w:t>
            </w:r>
            <w:r w:rsidRPr="004D1E6F">
              <w:rPr>
                <w:rFonts w:ascii="Times New Roman" w:eastAsia="Calibri" w:hAnsi="Times New Roman" w:cs="Times New Roman"/>
                <w:sz w:val="20"/>
                <w:szCs w:val="20"/>
              </w:rPr>
              <w:t xml:space="preserve"> Yamamoto 2010</w:t>
            </w:r>
            <w:r w:rsidRPr="004D1E6F">
              <w:rPr>
                <w:rFonts w:ascii="Times New Roman" w:eastAsia="Times New Roman" w:hAnsi="Times New Roman" w:cs="Times New Roman"/>
                <w:color w:val="000000"/>
                <w:sz w:val="20"/>
                <w:szCs w:val="20"/>
                <w:lang w:eastAsia="en-ZA"/>
              </w:rPr>
              <w:t xml:space="preserve">). The impaired water quality also affects the quality of the habitats for other aquatic fauna (Angeler et al. 2001; Rodriguez et al. 2003). For example, increased turbidity can impede foraging and respiratory processes of fish (Rodriguez et al. 2003). Burrowing activities can cause structural damage to river banks and increase bank erosion, and also cause damage to water retention infrastructure such as dam walls and dykes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"(Souty-grosset et al. 2016)", "plainTextFormattedCitation" : "(Souty-grosset et al. 2016)", "previouslyFormattedCitation" :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tc>
      </w:tr>
      <w:tr w:rsidR="002D7080" w:rsidRPr="004D1E6F" w14:paraId="64445920" w14:textId="77777777" w:rsidTr="002E2C37">
        <w:trPr>
          <w:cantSplit/>
          <w:trHeight w:val="70"/>
        </w:trPr>
        <w:tc>
          <w:tcPr>
            <w:tcW w:w="9016" w:type="dxa"/>
            <w:gridSpan w:val="2"/>
          </w:tcPr>
          <w:p w14:paraId="44B931EF"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0FBD829B" w14:textId="77777777" w:rsidR="002D7080" w:rsidRPr="00956545" w:rsidRDefault="002D7080" w:rsidP="002E2C37">
            <w:pPr>
              <w:ind w:left="567" w:hanging="567"/>
              <w:contextualSpacing/>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Angeler</w:t>
            </w:r>
            <w:r w:rsidRPr="00956545">
              <w:rPr>
                <w:rFonts w:ascii="Times New Roman" w:eastAsia="Calibri" w:hAnsi="Times New Roman" w:cs="Times New Roman"/>
                <w:sz w:val="20"/>
                <w:szCs w:val="20"/>
              </w:rPr>
              <w:t xml:space="preserve">, D.G., Sánchez-Carrillo, S., García, G. &amp; Alvarez-Cobelas, M., 2001, ‘The influence of </w:t>
            </w:r>
            <w:r w:rsidRPr="00956545">
              <w:rPr>
                <w:rFonts w:ascii="Times New Roman" w:eastAsia="Calibri" w:hAnsi="Times New Roman" w:cs="Times New Roman"/>
                <w:i/>
                <w:sz w:val="20"/>
                <w:szCs w:val="20"/>
              </w:rPr>
              <w:t>Procambarus clarkii</w:t>
            </w:r>
            <w:r w:rsidRPr="00956545">
              <w:rPr>
                <w:rFonts w:ascii="Times New Roman" w:eastAsia="Calibri" w:hAnsi="Times New Roman" w:cs="Times New Roman"/>
                <w:sz w:val="20"/>
                <w:szCs w:val="20"/>
              </w:rPr>
              <w:t xml:space="preserve"> (Cambaridae, Decapoda) on water quality and sediment characteristics in a Spanish floodplain wetland’, </w:t>
            </w:r>
            <w:r w:rsidRPr="00956545">
              <w:rPr>
                <w:rFonts w:ascii="Times New Roman" w:eastAsia="Calibri" w:hAnsi="Times New Roman" w:cs="Times New Roman"/>
                <w:i/>
                <w:sz w:val="20"/>
                <w:szCs w:val="20"/>
              </w:rPr>
              <w:t>Hydrobiologia</w:t>
            </w:r>
            <w:r w:rsidRPr="00956545">
              <w:rPr>
                <w:rFonts w:ascii="Times New Roman" w:eastAsia="Calibri" w:hAnsi="Times New Roman" w:cs="Times New Roman"/>
                <w:sz w:val="20"/>
                <w:szCs w:val="20"/>
              </w:rPr>
              <w:t xml:space="preserve"> </w:t>
            </w:r>
            <w:r w:rsidRPr="00956545">
              <w:rPr>
                <w:rFonts w:ascii="Times New Roman" w:eastAsia="Calibri" w:hAnsi="Times New Roman" w:cs="Times New Roman"/>
                <w:bCs/>
                <w:sz w:val="20"/>
                <w:szCs w:val="20"/>
              </w:rPr>
              <w:t>464,</w:t>
            </w:r>
            <w:r w:rsidRPr="00956545">
              <w:rPr>
                <w:rFonts w:ascii="Times New Roman" w:eastAsia="Calibri" w:hAnsi="Times New Roman" w:cs="Times New Roman"/>
                <w:sz w:val="20"/>
                <w:szCs w:val="20"/>
              </w:rPr>
              <w:t xml:space="preserve"> 89</w:t>
            </w:r>
            <w:r w:rsidRPr="00956545">
              <w:rPr>
                <w:rFonts w:ascii="Times New Roman" w:eastAsia="Times New Roman" w:hAnsi="Times New Roman" w:cs="Times New Roman"/>
                <w:color w:val="000000"/>
                <w:sz w:val="20"/>
                <w:szCs w:val="20"/>
                <w:lang w:eastAsia="en-ZA"/>
              </w:rPr>
              <w:t>–</w:t>
            </w:r>
            <w:r w:rsidRPr="00956545">
              <w:rPr>
                <w:rFonts w:ascii="Times New Roman" w:eastAsia="Calibri" w:hAnsi="Times New Roman" w:cs="Times New Roman"/>
                <w:sz w:val="20"/>
                <w:szCs w:val="20"/>
              </w:rPr>
              <w:t xml:space="preserve">98. </w:t>
            </w:r>
            <w:hyperlink w:history="1">
              <w:r w:rsidRPr="00956545">
                <w:rPr>
                  <w:rStyle w:val="Hyperlink"/>
                  <w:rFonts w:ascii="Times New Roman" w:eastAsia="Calibri" w:hAnsi="Times New Roman" w:cs="Times New Roman"/>
                  <w:sz w:val="20"/>
                  <w:szCs w:val="20"/>
                </w:rPr>
                <w:t>https://doi.org/10.1023/A:1013950129616</w:t>
              </w:r>
            </w:hyperlink>
            <w:r w:rsidRPr="00956545">
              <w:rPr>
                <w:rFonts w:ascii="Times New Roman" w:eastAsia="Calibri" w:hAnsi="Times New Roman" w:cs="Times New Roman"/>
                <w:sz w:val="20"/>
                <w:szCs w:val="20"/>
              </w:rPr>
              <w:t xml:space="preserve">.    </w:t>
            </w:r>
          </w:p>
          <w:p w14:paraId="7448338C" w14:textId="3992BF46" w:rsidR="002D7080" w:rsidRPr="00956545" w:rsidRDefault="002D7080" w:rsidP="002E2C37">
            <w:pPr>
              <w:ind w:left="567" w:hanging="567"/>
              <w:contextualSpacing/>
              <w:jc w:val="both"/>
              <w:rPr>
                <w:rFonts w:ascii="Times New Roman" w:eastAsia="Calibri" w:hAnsi="Times New Roman" w:cs="Times New Roman"/>
                <w:sz w:val="20"/>
                <w:szCs w:val="20"/>
              </w:rPr>
            </w:pPr>
            <w:r w:rsidRPr="00956545">
              <w:rPr>
                <w:rFonts w:ascii="Times New Roman" w:eastAsia="Calibri" w:hAnsi="Times New Roman" w:cs="Times New Roman"/>
                <w:sz w:val="20"/>
                <w:szCs w:val="20"/>
              </w:rPr>
              <w:t xml:space="preserve">Aquiloni, L., Martín, M.P., Gherardi, F. &amp; Diéguez-Uribeondo, J., 2011, ‘The North American crayfish </w:t>
            </w:r>
            <w:r w:rsidRPr="00956545">
              <w:rPr>
                <w:rFonts w:ascii="Times New Roman" w:eastAsia="Calibri" w:hAnsi="Times New Roman" w:cs="Times New Roman"/>
                <w:i/>
                <w:sz w:val="20"/>
                <w:szCs w:val="20"/>
              </w:rPr>
              <w:t>Procambarus clarkii</w:t>
            </w:r>
            <w:r w:rsidRPr="00956545">
              <w:rPr>
                <w:rFonts w:ascii="Times New Roman" w:eastAsia="Calibri" w:hAnsi="Times New Roman" w:cs="Times New Roman"/>
                <w:sz w:val="20"/>
                <w:szCs w:val="20"/>
              </w:rPr>
              <w:t xml:space="preserve"> is the carrier of the oomycete </w:t>
            </w:r>
            <w:r w:rsidRPr="00956545">
              <w:rPr>
                <w:rFonts w:ascii="Times New Roman" w:eastAsia="Calibri" w:hAnsi="Times New Roman" w:cs="Times New Roman"/>
                <w:i/>
                <w:sz w:val="20"/>
                <w:szCs w:val="20"/>
              </w:rPr>
              <w:t>Aphanomyces astaci</w:t>
            </w:r>
            <w:r w:rsidRPr="00956545">
              <w:rPr>
                <w:rFonts w:ascii="Times New Roman" w:eastAsia="Calibri" w:hAnsi="Times New Roman" w:cs="Times New Roman"/>
                <w:sz w:val="20"/>
                <w:szCs w:val="20"/>
              </w:rPr>
              <w:t xml:space="preserve"> in Italy’, </w:t>
            </w:r>
            <w:r w:rsidRPr="00956545">
              <w:rPr>
                <w:rFonts w:ascii="Times New Roman" w:eastAsia="Calibri" w:hAnsi="Times New Roman" w:cs="Times New Roman"/>
                <w:i/>
                <w:sz w:val="20"/>
                <w:szCs w:val="20"/>
              </w:rPr>
              <w:t>Biological Invasions</w:t>
            </w:r>
            <w:r w:rsidRPr="00956545">
              <w:rPr>
                <w:rFonts w:ascii="Times New Roman" w:eastAsia="Calibri" w:hAnsi="Times New Roman" w:cs="Times New Roman"/>
                <w:sz w:val="20"/>
                <w:szCs w:val="20"/>
              </w:rPr>
              <w:t xml:space="preserve"> </w:t>
            </w:r>
            <w:r w:rsidRPr="00956545">
              <w:rPr>
                <w:rFonts w:ascii="Times New Roman" w:eastAsia="Calibri" w:hAnsi="Times New Roman" w:cs="Times New Roman"/>
                <w:bCs/>
                <w:sz w:val="20"/>
                <w:szCs w:val="20"/>
              </w:rPr>
              <w:t>13,</w:t>
            </w:r>
            <w:r w:rsidRPr="00956545">
              <w:rPr>
                <w:rFonts w:ascii="Times New Roman" w:eastAsia="Calibri" w:hAnsi="Times New Roman" w:cs="Times New Roman"/>
                <w:sz w:val="20"/>
                <w:szCs w:val="20"/>
              </w:rPr>
              <w:t xml:space="preserve"> 35</w:t>
            </w:r>
            <w:r w:rsidRPr="00956545">
              <w:rPr>
                <w:rFonts w:ascii="Times New Roman" w:eastAsia="Times New Roman" w:hAnsi="Times New Roman" w:cs="Times New Roman"/>
                <w:color w:val="000000"/>
                <w:sz w:val="20"/>
                <w:szCs w:val="20"/>
                <w:lang w:eastAsia="en-ZA"/>
              </w:rPr>
              <w:t>–</w:t>
            </w:r>
            <w:r w:rsidRPr="00956545">
              <w:rPr>
                <w:rFonts w:ascii="Times New Roman" w:eastAsia="Calibri" w:hAnsi="Times New Roman" w:cs="Times New Roman"/>
                <w:sz w:val="20"/>
                <w:szCs w:val="20"/>
              </w:rPr>
              <w:t xml:space="preserve">367. </w:t>
            </w:r>
            <w:r w:rsidR="007B2EF6" w:rsidRPr="00956545">
              <w:rPr>
                <w:rFonts w:ascii="Times New Roman" w:hAnsi="Times New Roman" w:cs="Times New Roman"/>
                <w:sz w:val="20"/>
                <w:szCs w:val="20"/>
              </w:rPr>
              <w:t>https://doi.org/10.1007/s10530-010-9828-2</w:t>
            </w:r>
            <w:r w:rsidRPr="00956545">
              <w:rPr>
                <w:rFonts w:ascii="Times New Roman" w:eastAsia="Calibri" w:hAnsi="Times New Roman" w:cs="Times New Roman"/>
                <w:sz w:val="20"/>
                <w:szCs w:val="20"/>
              </w:rPr>
              <w:t xml:space="preserve">. </w:t>
            </w:r>
          </w:p>
          <w:p w14:paraId="10EE6764" w14:textId="4DC0B732" w:rsidR="002D7080" w:rsidRPr="00956545" w:rsidRDefault="002D7080" w:rsidP="002E2C37">
            <w:pPr>
              <w:ind w:left="567" w:hanging="567"/>
              <w:contextualSpacing/>
              <w:jc w:val="both"/>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Cruz, M.J., Rebelo, R. &amp; Crespo, E.G., 2006, ‘Effects of an introduced crayfish, </w:t>
            </w:r>
            <w:r w:rsidRPr="00956545">
              <w:rPr>
                <w:rFonts w:ascii="Times New Roman" w:eastAsia="Times New Roman" w:hAnsi="Times New Roman" w:cs="Times New Roman"/>
                <w:i/>
                <w:color w:val="000000"/>
                <w:sz w:val="20"/>
                <w:szCs w:val="20"/>
                <w:lang w:eastAsia="en-ZA"/>
              </w:rPr>
              <w:t>Procambarus clarkii</w:t>
            </w:r>
            <w:r w:rsidRPr="00956545">
              <w:rPr>
                <w:rFonts w:ascii="Times New Roman" w:eastAsia="Times New Roman" w:hAnsi="Times New Roman" w:cs="Times New Roman"/>
                <w:color w:val="000000"/>
                <w:sz w:val="20"/>
                <w:szCs w:val="20"/>
                <w:lang w:eastAsia="en-ZA"/>
              </w:rPr>
              <w:t xml:space="preserve">, on the distribution of south-western Iberian amphibians in their breeding habitats’, </w:t>
            </w:r>
            <w:r w:rsidRPr="00956545">
              <w:rPr>
                <w:rFonts w:ascii="Times New Roman" w:eastAsia="Times New Roman" w:hAnsi="Times New Roman" w:cs="Times New Roman"/>
                <w:i/>
                <w:color w:val="000000"/>
                <w:sz w:val="20"/>
                <w:szCs w:val="20"/>
                <w:lang w:eastAsia="en-ZA"/>
              </w:rPr>
              <w:t>Ecography</w:t>
            </w:r>
            <w:r w:rsidRPr="00956545">
              <w:rPr>
                <w:rFonts w:ascii="Times New Roman" w:eastAsia="Times New Roman" w:hAnsi="Times New Roman" w:cs="Times New Roman"/>
                <w:color w:val="000000"/>
                <w:sz w:val="20"/>
                <w:szCs w:val="20"/>
                <w:lang w:eastAsia="en-ZA"/>
              </w:rPr>
              <w:t xml:space="preserve"> </w:t>
            </w:r>
            <w:r w:rsidRPr="00956545">
              <w:rPr>
                <w:rFonts w:ascii="Times New Roman" w:eastAsia="Times New Roman" w:hAnsi="Times New Roman" w:cs="Times New Roman"/>
                <w:bCs/>
                <w:color w:val="000000"/>
                <w:sz w:val="20"/>
                <w:szCs w:val="20"/>
                <w:lang w:eastAsia="en-ZA"/>
              </w:rPr>
              <w:t>29</w:t>
            </w:r>
            <w:r w:rsidRPr="00956545">
              <w:rPr>
                <w:rFonts w:ascii="Times New Roman" w:eastAsia="Times New Roman" w:hAnsi="Times New Roman" w:cs="Times New Roman"/>
                <w:color w:val="000000"/>
                <w:sz w:val="20"/>
                <w:szCs w:val="20"/>
                <w:lang w:eastAsia="en-ZA"/>
              </w:rPr>
              <w:t xml:space="preserve">, 329–338. </w:t>
            </w:r>
            <w:hyperlink r:id="rId491" w:history="1">
              <w:r w:rsidR="007B2EF6" w:rsidRPr="00956545">
                <w:rPr>
                  <w:rStyle w:val="Hyperlink"/>
                  <w:rFonts w:ascii="Times New Roman" w:hAnsi="Times New Roman" w:cs="Times New Roman"/>
                  <w:sz w:val="20"/>
                  <w:szCs w:val="20"/>
                </w:rPr>
                <w:t>https://doi.org/10.1111/j.2006.0906-7590.04333.x</w:t>
              </w:r>
            </w:hyperlink>
            <w:r w:rsidRPr="00956545">
              <w:rPr>
                <w:rFonts w:ascii="Times New Roman" w:eastAsia="Times New Roman" w:hAnsi="Times New Roman" w:cs="Times New Roman"/>
                <w:color w:val="000000"/>
                <w:sz w:val="20"/>
                <w:szCs w:val="20"/>
                <w:lang w:eastAsia="en-ZA"/>
              </w:rPr>
              <w:t xml:space="preserve">. </w:t>
            </w:r>
          </w:p>
          <w:p w14:paraId="25011F9A" w14:textId="7540E00A" w:rsidR="002D7080" w:rsidRPr="00956545" w:rsidRDefault="002D7080" w:rsidP="002E2C37">
            <w:pPr>
              <w:ind w:left="567" w:hanging="567"/>
              <w:contextualSpacing/>
              <w:jc w:val="both"/>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Jackson, M.C., Grey, J., Miller, K., Britton, J.R. &amp; Donohue, I., 2016, ‘Dietary niche constriction when invaders meet natives: Evidence from freshwater decapods’, </w:t>
            </w:r>
            <w:r w:rsidRPr="00956545">
              <w:rPr>
                <w:rFonts w:ascii="Times New Roman" w:eastAsia="Times New Roman" w:hAnsi="Times New Roman" w:cs="Times New Roman"/>
                <w:i/>
                <w:color w:val="000000"/>
                <w:sz w:val="20"/>
                <w:szCs w:val="20"/>
                <w:lang w:eastAsia="en-ZA"/>
              </w:rPr>
              <w:t>Journal of Animal Ecology</w:t>
            </w:r>
            <w:r w:rsidRPr="00956545">
              <w:rPr>
                <w:rFonts w:ascii="Times New Roman" w:eastAsia="Times New Roman" w:hAnsi="Times New Roman" w:cs="Times New Roman"/>
                <w:color w:val="000000"/>
                <w:sz w:val="20"/>
                <w:szCs w:val="20"/>
                <w:lang w:eastAsia="en-ZA"/>
              </w:rPr>
              <w:t xml:space="preserve"> </w:t>
            </w:r>
            <w:r w:rsidRPr="00956545">
              <w:rPr>
                <w:rFonts w:ascii="Times New Roman" w:eastAsia="Times New Roman" w:hAnsi="Times New Roman" w:cs="Times New Roman"/>
                <w:bCs/>
                <w:color w:val="000000"/>
                <w:sz w:val="20"/>
                <w:szCs w:val="20"/>
                <w:lang w:eastAsia="en-ZA"/>
              </w:rPr>
              <w:t>85</w:t>
            </w:r>
            <w:r w:rsidRPr="00956545">
              <w:rPr>
                <w:rFonts w:ascii="Times New Roman" w:eastAsia="Times New Roman" w:hAnsi="Times New Roman" w:cs="Times New Roman"/>
                <w:color w:val="000000"/>
                <w:sz w:val="20"/>
                <w:szCs w:val="20"/>
                <w:lang w:eastAsia="en-ZA"/>
              </w:rPr>
              <w:t xml:space="preserve">, 1098–1107. </w:t>
            </w:r>
            <w:hyperlink r:id="rId492" w:history="1">
              <w:r w:rsidR="007B2EF6" w:rsidRPr="00956545">
                <w:rPr>
                  <w:rStyle w:val="Hyperlink"/>
                  <w:rFonts w:ascii="Times New Roman" w:hAnsi="Times New Roman" w:cs="Times New Roman"/>
                  <w:sz w:val="20"/>
                  <w:szCs w:val="20"/>
                </w:rPr>
                <w:t>https://doi.org/10.1051/kmae:2005031</w:t>
              </w:r>
            </w:hyperlink>
            <w:r w:rsidRPr="00956545">
              <w:rPr>
                <w:rFonts w:ascii="Times New Roman" w:eastAsia="Times New Roman" w:hAnsi="Times New Roman" w:cs="Times New Roman"/>
                <w:color w:val="000000"/>
                <w:sz w:val="20"/>
                <w:szCs w:val="20"/>
                <w:lang w:eastAsia="en-ZA"/>
              </w:rPr>
              <w:t xml:space="preserve">. </w:t>
            </w:r>
          </w:p>
          <w:p w14:paraId="037E06E9" w14:textId="77777777" w:rsidR="007B2EF6" w:rsidRPr="00956545" w:rsidRDefault="002D7080" w:rsidP="007B2EF6">
            <w:pPr>
              <w:ind w:left="567" w:hanging="567"/>
              <w:contextualSpacing/>
              <w:jc w:val="both"/>
              <w:rPr>
                <w:rFonts w:ascii="Times New Roman" w:hAnsi="Times New Roman" w:cs="Times New Roman"/>
                <w:sz w:val="20"/>
                <w:szCs w:val="20"/>
              </w:rPr>
            </w:pPr>
            <w:r w:rsidRPr="00956545">
              <w:rPr>
                <w:rFonts w:ascii="Times New Roman" w:eastAsia="Calibri" w:hAnsi="Times New Roman" w:cs="Times New Roman"/>
                <w:sz w:val="20"/>
                <w:szCs w:val="20"/>
              </w:rPr>
              <w:t xml:space="preserve">Ficetola, G.F., Siesa, M.E., Manenti, R., Bottoni, L., De Bernardi, F. &amp; Padoa-Schioppa, E., 2011, ‘Early assessment of the impact of alien species: Differential consequences of an invasive crayfish on adult and larval amphibians’, </w:t>
            </w:r>
            <w:r w:rsidRPr="00956545">
              <w:rPr>
                <w:rFonts w:ascii="Times New Roman" w:eastAsia="Calibri" w:hAnsi="Times New Roman" w:cs="Times New Roman"/>
                <w:i/>
                <w:iCs/>
                <w:sz w:val="20"/>
                <w:szCs w:val="20"/>
              </w:rPr>
              <w:t xml:space="preserve">Diversity and Distributions </w:t>
            </w:r>
            <w:r w:rsidRPr="00956545">
              <w:rPr>
                <w:rFonts w:ascii="Times New Roman" w:eastAsia="Calibri" w:hAnsi="Times New Roman" w:cs="Times New Roman"/>
                <w:bCs/>
                <w:sz w:val="20"/>
                <w:szCs w:val="20"/>
              </w:rPr>
              <w:t xml:space="preserve">17, </w:t>
            </w:r>
            <w:r w:rsidRPr="00956545">
              <w:rPr>
                <w:rFonts w:ascii="Times New Roman" w:eastAsia="Calibri" w:hAnsi="Times New Roman" w:cs="Times New Roman"/>
                <w:sz w:val="20"/>
                <w:szCs w:val="20"/>
              </w:rPr>
              <w:t xml:space="preserve">1141–1151. </w:t>
            </w:r>
            <w:hyperlink r:id="rId493" w:history="1">
              <w:r w:rsidR="007B2EF6" w:rsidRPr="00956545">
                <w:rPr>
                  <w:rStyle w:val="Hyperlink"/>
                  <w:rFonts w:ascii="Times New Roman" w:hAnsi="Times New Roman" w:cs="Times New Roman"/>
                  <w:sz w:val="20"/>
                  <w:szCs w:val="20"/>
                </w:rPr>
                <w:t>https://doi.org/10.1111/j.1472-4642.2011.00797.x</w:t>
              </w:r>
            </w:hyperlink>
          </w:p>
          <w:p w14:paraId="4BC9279E" w14:textId="78FBA5E6" w:rsidR="002D7080" w:rsidRPr="00956545" w:rsidRDefault="002D7080" w:rsidP="002E2C37">
            <w:pPr>
              <w:autoSpaceDE w:val="0"/>
              <w:autoSpaceDN w:val="0"/>
              <w:adjustRightInd w:val="0"/>
              <w:ind w:left="567" w:hanging="567"/>
              <w:contextualSpacing/>
              <w:jc w:val="both"/>
              <w:rPr>
                <w:rFonts w:ascii="Times New Roman" w:eastAsia="Calibri" w:hAnsi="Times New Roman" w:cs="Times New Roman"/>
                <w:sz w:val="20"/>
                <w:szCs w:val="20"/>
              </w:rPr>
            </w:pPr>
            <w:r w:rsidRPr="00956545">
              <w:rPr>
                <w:rFonts w:ascii="Times New Roman" w:eastAsia="Calibri" w:hAnsi="Times New Roman" w:cs="Times New Roman"/>
                <w:sz w:val="20"/>
                <w:szCs w:val="20"/>
              </w:rPr>
              <w:t xml:space="preserve">Gherardi, F. &amp; Acquistapace, P., 2007, ‘Invasive crayfish in Europe: The impact of </w:t>
            </w:r>
            <w:r w:rsidRPr="00956545">
              <w:rPr>
                <w:rFonts w:ascii="Times New Roman" w:eastAsia="Calibri" w:hAnsi="Times New Roman" w:cs="Times New Roman"/>
                <w:i/>
                <w:iCs/>
                <w:sz w:val="20"/>
                <w:szCs w:val="20"/>
              </w:rPr>
              <w:t xml:space="preserve">Procambarus clarkii </w:t>
            </w:r>
            <w:r w:rsidRPr="00956545">
              <w:rPr>
                <w:rFonts w:ascii="Times New Roman" w:eastAsia="Calibri" w:hAnsi="Times New Roman" w:cs="Times New Roman"/>
                <w:sz w:val="20"/>
                <w:szCs w:val="20"/>
              </w:rPr>
              <w:t xml:space="preserve">on the littoral community of a Mediterranean lake’, </w:t>
            </w:r>
            <w:r w:rsidRPr="00956545">
              <w:rPr>
                <w:rFonts w:ascii="Times New Roman" w:eastAsia="Calibri" w:hAnsi="Times New Roman" w:cs="Times New Roman"/>
                <w:i/>
                <w:iCs/>
                <w:sz w:val="20"/>
                <w:szCs w:val="20"/>
              </w:rPr>
              <w:t xml:space="preserve">Freshwater Biology </w:t>
            </w:r>
            <w:r w:rsidRPr="00956545">
              <w:rPr>
                <w:rFonts w:ascii="Times New Roman" w:eastAsia="Calibri" w:hAnsi="Times New Roman" w:cs="Times New Roman"/>
                <w:bCs/>
                <w:sz w:val="20"/>
                <w:szCs w:val="20"/>
              </w:rPr>
              <w:t>52,</w:t>
            </w:r>
            <w:r w:rsidRPr="00956545">
              <w:rPr>
                <w:rFonts w:ascii="Times New Roman" w:eastAsia="Calibri" w:hAnsi="Times New Roman" w:cs="Times New Roman"/>
                <w:sz w:val="20"/>
                <w:szCs w:val="20"/>
              </w:rPr>
              <w:t xml:space="preserve"> 1249</w:t>
            </w:r>
            <w:r w:rsidRPr="00956545">
              <w:rPr>
                <w:rFonts w:ascii="Times New Roman" w:eastAsia="Times New Roman" w:hAnsi="Times New Roman" w:cs="Times New Roman"/>
                <w:color w:val="000000"/>
                <w:sz w:val="20"/>
                <w:szCs w:val="20"/>
                <w:lang w:eastAsia="en-ZA"/>
              </w:rPr>
              <w:t>–</w:t>
            </w:r>
            <w:r w:rsidRPr="00956545">
              <w:rPr>
                <w:rFonts w:ascii="Times New Roman" w:eastAsia="Calibri" w:hAnsi="Times New Roman" w:cs="Times New Roman"/>
                <w:sz w:val="20"/>
                <w:szCs w:val="20"/>
              </w:rPr>
              <w:t xml:space="preserve">59. </w:t>
            </w:r>
            <w:hyperlink r:id="rId494" w:history="1">
              <w:r w:rsidR="007B2EF6" w:rsidRPr="00956545">
                <w:rPr>
                  <w:rStyle w:val="Hyperlink"/>
                  <w:rFonts w:ascii="Times New Roman" w:hAnsi="Times New Roman" w:cs="Times New Roman"/>
                  <w:sz w:val="20"/>
                  <w:szCs w:val="20"/>
                </w:rPr>
                <w:t>https://doi.org/10.1111/j.1365-2427.2007.01760.x</w:t>
              </w:r>
            </w:hyperlink>
            <w:r w:rsidRPr="00956545">
              <w:rPr>
                <w:rFonts w:ascii="Times New Roman" w:eastAsia="Calibri" w:hAnsi="Times New Roman" w:cs="Times New Roman"/>
                <w:sz w:val="20"/>
                <w:szCs w:val="20"/>
              </w:rPr>
              <w:t xml:space="preserve">. </w:t>
            </w:r>
          </w:p>
          <w:p w14:paraId="7F01BE99" w14:textId="3FBF8CAB" w:rsidR="002D7080" w:rsidRPr="00956545" w:rsidRDefault="002D7080" w:rsidP="002E2C37">
            <w:pPr>
              <w:ind w:left="567" w:hanging="567"/>
              <w:contextualSpacing/>
              <w:jc w:val="both"/>
              <w:rPr>
                <w:rFonts w:ascii="Times New Roman" w:eastAsia="Calibri" w:hAnsi="Times New Roman" w:cs="Times New Roman"/>
                <w:color w:val="000000" w:themeColor="text1"/>
                <w:sz w:val="20"/>
                <w:szCs w:val="20"/>
              </w:rPr>
            </w:pPr>
            <w:r w:rsidRPr="00956545">
              <w:rPr>
                <w:rFonts w:ascii="Times New Roman" w:eastAsia="Calibri" w:hAnsi="Times New Roman" w:cs="Times New Roman"/>
                <w:color w:val="000000" w:themeColor="text1"/>
                <w:sz w:val="20"/>
                <w:szCs w:val="20"/>
              </w:rPr>
              <w:t xml:space="preserve">Gherardi, F. &amp; Barbaresi, S., 2008, ‘Feeding opportunism of the red swamp crayfish </w:t>
            </w:r>
            <w:r w:rsidRPr="00956545">
              <w:rPr>
                <w:rFonts w:ascii="Times New Roman" w:eastAsia="Calibri" w:hAnsi="Times New Roman" w:cs="Times New Roman"/>
                <w:i/>
                <w:iCs/>
                <w:color w:val="000000" w:themeColor="text1"/>
                <w:sz w:val="20"/>
                <w:szCs w:val="20"/>
              </w:rPr>
              <w:t>Procambarus clarkia</w:t>
            </w:r>
            <w:r w:rsidRPr="00956545">
              <w:rPr>
                <w:rFonts w:ascii="Times New Roman" w:eastAsia="Calibri" w:hAnsi="Times New Roman" w:cs="Times New Roman"/>
                <w:color w:val="000000" w:themeColor="text1"/>
                <w:sz w:val="20"/>
                <w:szCs w:val="20"/>
              </w:rPr>
              <w:t xml:space="preserve">, an invasive species’, </w:t>
            </w:r>
            <w:r w:rsidRPr="00956545">
              <w:rPr>
                <w:rFonts w:ascii="Times New Roman" w:eastAsia="Calibri" w:hAnsi="Times New Roman" w:cs="Times New Roman"/>
                <w:i/>
                <w:color w:val="000000" w:themeColor="text1"/>
                <w:sz w:val="20"/>
                <w:szCs w:val="20"/>
              </w:rPr>
              <w:t>Freshwater crayfish</w:t>
            </w:r>
            <w:r w:rsidRPr="00956545">
              <w:rPr>
                <w:rFonts w:ascii="Times New Roman" w:eastAsia="Calibri" w:hAnsi="Times New Roman" w:cs="Times New Roman"/>
                <w:color w:val="000000" w:themeColor="text1"/>
                <w:sz w:val="20"/>
                <w:szCs w:val="20"/>
              </w:rPr>
              <w:t xml:space="preserve"> </w:t>
            </w:r>
            <w:r w:rsidRPr="00956545">
              <w:rPr>
                <w:rFonts w:ascii="Times New Roman" w:eastAsia="Calibri" w:hAnsi="Times New Roman" w:cs="Times New Roman"/>
                <w:bCs/>
                <w:color w:val="000000" w:themeColor="text1"/>
                <w:sz w:val="20"/>
                <w:szCs w:val="20"/>
              </w:rPr>
              <w:t>16,</w:t>
            </w:r>
            <w:r w:rsidRPr="00956545">
              <w:rPr>
                <w:rFonts w:ascii="Times New Roman" w:eastAsia="Calibri" w:hAnsi="Times New Roman" w:cs="Times New Roman"/>
                <w:color w:val="000000" w:themeColor="text1"/>
                <w:sz w:val="20"/>
                <w:szCs w:val="20"/>
              </w:rPr>
              <w:t xml:space="preserve"> 77</w:t>
            </w:r>
            <w:r w:rsidRPr="00956545">
              <w:rPr>
                <w:rFonts w:ascii="Times New Roman" w:eastAsia="Times New Roman" w:hAnsi="Times New Roman" w:cs="Times New Roman"/>
                <w:color w:val="000000" w:themeColor="text1"/>
                <w:sz w:val="20"/>
                <w:szCs w:val="20"/>
                <w:lang w:eastAsia="en-ZA"/>
              </w:rPr>
              <w:t>–</w:t>
            </w:r>
            <w:r w:rsidRPr="00956545">
              <w:rPr>
                <w:rFonts w:ascii="Times New Roman" w:eastAsia="Calibri" w:hAnsi="Times New Roman" w:cs="Times New Roman"/>
                <w:color w:val="000000" w:themeColor="text1"/>
                <w:sz w:val="20"/>
                <w:szCs w:val="20"/>
              </w:rPr>
              <w:t xml:space="preserve">85.  </w:t>
            </w:r>
            <w:r w:rsidR="007B2EF6" w:rsidRPr="00956545">
              <w:rPr>
                <w:rFonts w:ascii="Times New Roman" w:eastAsia="Calibri" w:hAnsi="Times New Roman" w:cs="Times New Roman"/>
                <w:color w:val="000000" w:themeColor="text1"/>
                <w:sz w:val="20"/>
                <w:szCs w:val="20"/>
              </w:rPr>
              <w:t>https://doi.org/10.1080/1023624021000014761</w:t>
            </w:r>
          </w:p>
          <w:p w14:paraId="00F9EA7F" w14:textId="69185BB8" w:rsidR="002D7080" w:rsidRPr="00956545" w:rsidRDefault="002D7080" w:rsidP="002E2C37">
            <w:pPr>
              <w:ind w:left="540" w:hanging="540"/>
              <w:contextualSpacing/>
              <w:jc w:val="both"/>
              <w:rPr>
                <w:rFonts w:ascii="Times New Roman" w:eastAsia="Calibri" w:hAnsi="Times New Roman" w:cs="Times New Roman"/>
                <w:bCs/>
                <w:sz w:val="20"/>
                <w:szCs w:val="20"/>
              </w:rPr>
            </w:pPr>
            <w:r w:rsidRPr="00956545">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956545">
              <w:rPr>
                <w:rFonts w:ascii="Times New Roman" w:eastAsia="Calibri" w:hAnsi="Times New Roman" w:cs="Times New Roman"/>
                <w:sz w:val="20"/>
                <w:szCs w:val="20"/>
              </w:rPr>
              <w:t xml:space="preserve"> </w:t>
            </w:r>
            <w:r w:rsidRPr="00956545">
              <w:rPr>
                <w:rFonts w:ascii="Times New Roman" w:eastAsia="Calibri" w:hAnsi="Times New Roman" w:cs="Times New Roman"/>
                <w:bCs/>
                <w:i/>
                <w:sz w:val="20"/>
                <w:szCs w:val="20"/>
              </w:rPr>
              <w:t>Knowledge and Management of Aquatic Ecosystems</w:t>
            </w:r>
            <w:r w:rsidRPr="00956545">
              <w:rPr>
                <w:rFonts w:ascii="Times New Roman" w:eastAsia="Calibri" w:hAnsi="Times New Roman" w:cs="Times New Roman"/>
                <w:bCs/>
                <w:sz w:val="20"/>
                <w:szCs w:val="20"/>
              </w:rPr>
              <w:t xml:space="preserve"> 11, 394–395. </w:t>
            </w:r>
            <w:hyperlink r:id="rId495" w:history="1">
              <w:r w:rsidR="007B2EF6" w:rsidRPr="00956545">
                <w:rPr>
                  <w:rStyle w:val="Hyperlink"/>
                  <w:rFonts w:ascii="Times New Roman" w:hAnsi="Times New Roman" w:cs="Times New Roman"/>
                  <w:bCs/>
                  <w:sz w:val="20"/>
                  <w:szCs w:val="20"/>
                </w:rPr>
                <w:t>https://doi.org/10.1051/kmae/2009025</w:t>
              </w:r>
            </w:hyperlink>
            <w:r w:rsidRPr="00956545">
              <w:rPr>
                <w:rFonts w:ascii="Times New Roman" w:eastAsia="Calibri" w:hAnsi="Times New Roman" w:cs="Times New Roman"/>
                <w:bCs/>
                <w:sz w:val="20"/>
                <w:szCs w:val="20"/>
              </w:rPr>
              <w:t xml:space="preserve">. </w:t>
            </w:r>
          </w:p>
          <w:p w14:paraId="2F142CD0" w14:textId="15CCBE00" w:rsidR="007B2EF6" w:rsidRPr="00956545" w:rsidRDefault="002D7080" w:rsidP="002E2C37">
            <w:pPr>
              <w:ind w:left="567" w:hanging="567"/>
              <w:contextualSpacing/>
              <w:jc w:val="both"/>
              <w:rPr>
                <w:rFonts w:ascii="Times New Roman" w:eastAsia="Calibri" w:hAnsi="Times New Roman" w:cs="Times New Roman"/>
                <w:sz w:val="20"/>
                <w:szCs w:val="20"/>
              </w:rPr>
            </w:pPr>
            <w:r w:rsidRPr="00956545">
              <w:rPr>
                <w:rFonts w:ascii="Times New Roman" w:eastAsia="Times New Roman" w:hAnsi="Times New Roman" w:cs="Times New Roman"/>
                <w:sz w:val="20"/>
                <w:szCs w:val="20"/>
                <w:lang w:eastAsia="en-ZA"/>
              </w:rPr>
              <w:t xml:space="preserve">Lodge, D.M., Deines, A., Gherardi, F., Yeo, D.C., Arcella, T., Baldridge, A.K., et al., 2012, ‘Global introductions of crayfishes: evaluating the impact of species invasions on ecosystem services’, </w:t>
            </w:r>
            <w:r w:rsidRPr="00956545">
              <w:rPr>
                <w:rFonts w:ascii="Times New Roman" w:eastAsia="Times New Roman" w:hAnsi="Times New Roman" w:cs="Times New Roman"/>
                <w:i/>
                <w:iCs/>
                <w:sz w:val="20"/>
                <w:szCs w:val="20"/>
                <w:lang w:eastAsia="en-ZA"/>
              </w:rPr>
              <w:t>Annual Review of Ecology, Evolution, and Systematics</w:t>
            </w:r>
            <w:r w:rsidRPr="00956545">
              <w:rPr>
                <w:rFonts w:ascii="Times New Roman" w:eastAsia="Times New Roman" w:hAnsi="Times New Roman" w:cs="Times New Roman"/>
                <w:sz w:val="20"/>
                <w:szCs w:val="20"/>
                <w:lang w:eastAsia="en-ZA"/>
              </w:rPr>
              <w:t xml:space="preserve"> </w:t>
            </w:r>
            <w:r w:rsidRPr="00956545">
              <w:rPr>
                <w:rFonts w:ascii="Times New Roman" w:eastAsia="Times New Roman" w:hAnsi="Times New Roman" w:cs="Times New Roman"/>
                <w:iCs/>
                <w:sz w:val="20"/>
                <w:szCs w:val="20"/>
                <w:lang w:eastAsia="en-ZA"/>
              </w:rPr>
              <w:t>43</w:t>
            </w:r>
            <w:r w:rsidRPr="00956545">
              <w:rPr>
                <w:rFonts w:ascii="Times New Roman" w:eastAsia="Times New Roman" w:hAnsi="Times New Roman" w:cs="Times New Roman"/>
                <w:b/>
                <w:sz w:val="20"/>
                <w:szCs w:val="20"/>
                <w:lang w:eastAsia="en-ZA"/>
              </w:rPr>
              <w:t>,</w:t>
            </w:r>
            <w:r w:rsidRPr="00956545">
              <w:rPr>
                <w:rFonts w:ascii="Times New Roman" w:eastAsia="Times New Roman" w:hAnsi="Times New Roman" w:cs="Times New Roman"/>
                <w:sz w:val="20"/>
                <w:szCs w:val="20"/>
                <w:lang w:eastAsia="en-ZA"/>
              </w:rPr>
              <w:t xml:space="preserve"> 449–472. </w:t>
            </w:r>
            <w:r w:rsidR="007B2EF6" w:rsidRPr="00956545">
              <w:rPr>
                <w:rFonts w:ascii="Times New Roman" w:hAnsi="Times New Roman" w:cs="Times New Roman"/>
                <w:sz w:val="20"/>
                <w:szCs w:val="20"/>
              </w:rPr>
              <w:t>https://doi.org/10.1146/annurev-ecolsys-111511-103919</w:t>
            </w:r>
          </w:p>
          <w:p w14:paraId="08EEF020" w14:textId="6AA1D113" w:rsidR="002D7080" w:rsidRPr="00956545" w:rsidRDefault="002D7080" w:rsidP="002E2C37">
            <w:pPr>
              <w:ind w:left="567" w:hanging="567"/>
              <w:contextualSpacing/>
              <w:jc w:val="both"/>
              <w:rPr>
                <w:rFonts w:ascii="Times New Roman" w:eastAsia="Calibri" w:hAnsi="Times New Roman" w:cs="Times New Roman"/>
                <w:sz w:val="20"/>
                <w:szCs w:val="20"/>
              </w:rPr>
            </w:pPr>
            <w:r w:rsidRPr="00956545">
              <w:rPr>
                <w:rFonts w:ascii="Times New Roman" w:eastAsia="Calibri" w:hAnsi="Times New Roman" w:cs="Times New Roman"/>
                <w:sz w:val="20"/>
                <w:szCs w:val="20"/>
              </w:rPr>
              <w:t xml:space="preserve">Longshaw, M. 2011, ‘Diseases of crayfish: A review’, </w:t>
            </w:r>
            <w:r w:rsidRPr="00956545">
              <w:rPr>
                <w:rFonts w:ascii="Times New Roman" w:eastAsia="Calibri" w:hAnsi="Times New Roman" w:cs="Times New Roman"/>
                <w:i/>
                <w:sz w:val="20"/>
                <w:szCs w:val="20"/>
              </w:rPr>
              <w:t>Journal of Invertebrate Pathology</w:t>
            </w:r>
            <w:r w:rsidRPr="00956545">
              <w:rPr>
                <w:rFonts w:ascii="Times New Roman" w:eastAsia="Calibri" w:hAnsi="Times New Roman" w:cs="Times New Roman"/>
                <w:sz w:val="20"/>
                <w:szCs w:val="20"/>
              </w:rPr>
              <w:t xml:space="preserve"> </w:t>
            </w:r>
            <w:r w:rsidRPr="00956545">
              <w:rPr>
                <w:rFonts w:ascii="Times New Roman" w:eastAsia="Calibri" w:hAnsi="Times New Roman" w:cs="Times New Roman"/>
                <w:bCs/>
                <w:sz w:val="20"/>
                <w:szCs w:val="20"/>
              </w:rPr>
              <w:t>106,</w:t>
            </w:r>
            <w:r w:rsidRPr="00956545">
              <w:rPr>
                <w:rFonts w:ascii="Times New Roman" w:eastAsia="Calibri" w:hAnsi="Times New Roman" w:cs="Times New Roman"/>
                <w:sz w:val="20"/>
                <w:szCs w:val="20"/>
              </w:rPr>
              <w:t xml:space="preserve"> 54</w:t>
            </w:r>
            <w:r w:rsidRPr="00956545">
              <w:rPr>
                <w:rFonts w:ascii="Times New Roman" w:eastAsia="Times New Roman" w:hAnsi="Times New Roman" w:cs="Times New Roman"/>
                <w:color w:val="000000"/>
                <w:sz w:val="20"/>
                <w:szCs w:val="20"/>
                <w:lang w:eastAsia="en-ZA"/>
              </w:rPr>
              <w:t>–</w:t>
            </w:r>
            <w:r w:rsidRPr="00956545">
              <w:rPr>
                <w:rFonts w:ascii="Times New Roman" w:eastAsia="Calibri" w:hAnsi="Times New Roman" w:cs="Times New Roman"/>
                <w:sz w:val="20"/>
                <w:szCs w:val="20"/>
              </w:rPr>
              <w:t xml:space="preserve">70. </w:t>
            </w:r>
            <w:hyperlink r:id="rId496" w:history="1">
              <w:r w:rsidR="007B2EF6" w:rsidRPr="00956545">
                <w:rPr>
                  <w:rStyle w:val="Hyperlink"/>
                  <w:rFonts w:ascii="Times New Roman" w:hAnsi="Times New Roman" w:cs="Times New Roman"/>
                  <w:sz w:val="20"/>
                  <w:szCs w:val="20"/>
                </w:rPr>
                <w:t>https://doi.org/10.1016/j.jip.2010.09.013</w:t>
              </w:r>
            </w:hyperlink>
            <w:r w:rsidRPr="00956545">
              <w:rPr>
                <w:rFonts w:ascii="Times New Roman" w:eastAsia="Calibri" w:hAnsi="Times New Roman" w:cs="Times New Roman"/>
                <w:sz w:val="20"/>
                <w:szCs w:val="20"/>
              </w:rPr>
              <w:t xml:space="preserve">. </w:t>
            </w:r>
          </w:p>
          <w:p w14:paraId="517EA2C6" w14:textId="5CDEC641" w:rsidR="002D7080" w:rsidRPr="00956545" w:rsidRDefault="002D7080" w:rsidP="002E2C37">
            <w:pPr>
              <w:ind w:left="567" w:hanging="567"/>
              <w:contextualSpacing/>
              <w:jc w:val="both"/>
              <w:rPr>
                <w:rFonts w:ascii="Times New Roman" w:eastAsia="Calibri" w:hAnsi="Times New Roman" w:cs="Times New Roman"/>
                <w:sz w:val="20"/>
                <w:szCs w:val="20"/>
              </w:rPr>
            </w:pPr>
            <w:r w:rsidRPr="00956545">
              <w:rPr>
                <w:rFonts w:ascii="Times New Roman" w:eastAsia="Calibri" w:hAnsi="Times New Roman" w:cs="Times New Roman"/>
                <w:sz w:val="20"/>
                <w:szCs w:val="20"/>
              </w:rPr>
              <w:t xml:space="preserve">Matsuzaki, S.S., Usio, N., Takamura, N. &amp; Washitani, I., 2009, ‘Contrasting impacts of invasive engineers on freshwater ecosystems: An experiment and meta-analysis’, </w:t>
            </w:r>
            <w:r w:rsidRPr="00956545">
              <w:rPr>
                <w:rFonts w:ascii="Times New Roman" w:eastAsia="Calibri" w:hAnsi="Times New Roman" w:cs="Times New Roman"/>
                <w:i/>
                <w:sz w:val="20"/>
                <w:szCs w:val="20"/>
              </w:rPr>
              <w:t>Oecologia</w:t>
            </w:r>
            <w:r w:rsidRPr="00956545">
              <w:rPr>
                <w:rFonts w:ascii="Times New Roman" w:eastAsia="Calibri" w:hAnsi="Times New Roman" w:cs="Times New Roman"/>
                <w:sz w:val="20"/>
                <w:szCs w:val="20"/>
              </w:rPr>
              <w:t xml:space="preserve"> </w:t>
            </w:r>
            <w:r w:rsidRPr="00956545">
              <w:rPr>
                <w:rFonts w:ascii="Times New Roman" w:eastAsia="Calibri" w:hAnsi="Times New Roman" w:cs="Times New Roman"/>
                <w:bCs/>
                <w:sz w:val="20"/>
                <w:szCs w:val="20"/>
              </w:rPr>
              <w:t>158,</w:t>
            </w:r>
            <w:r w:rsidRPr="00956545">
              <w:rPr>
                <w:rFonts w:ascii="Times New Roman" w:eastAsia="Calibri" w:hAnsi="Times New Roman" w:cs="Times New Roman"/>
                <w:sz w:val="20"/>
                <w:szCs w:val="20"/>
              </w:rPr>
              <w:t xml:space="preserve"> 673</w:t>
            </w:r>
            <w:r w:rsidRPr="00956545">
              <w:rPr>
                <w:rFonts w:ascii="Times New Roman" w:eastAsia="Times New Roman" w:hAnsi="Times New Roman" w:cs="Times New Roman"/>
                <w:color w:val="000000"/>
                <w:sz w:val="20"/>
                <w:szCs w:val="20"/>
                <w:lang w:eastAsia="en-ZA"/>
              </w:rPr>
              <w:t>–</w:t>
            </w:r>
            <w:r w:rsidRPr="00956545">
              <w:rPr>
                <w:rFonts w:ascii="Times New Roman" w:eastAsia="Calibri" w:hAnsi="Times New Roman" w:cs="Times New Roman"/>
                <w:sz w:val="20"/>
                <w:szCs w:val="20"/>
              </w:rPr>
              <w:t xml:space="preserve">686. </w:t>
            </w:r>
            <w:r w:rsidR="007B2EF6" w:rsidRPr="00956545">
              <w:rPr>
                <w:rFonts w:ascii="Times New Roman" w:hAnsi="Times New Roman" w:cs="Times New Roman"/>
                <w:sz w:val="20"/>
                <w:szCs w:val="20"/>
              </w:rPr>
              <w:t>https://doi.org/10.1007/s00442-008-1180-1</w:t>
            </w:r>
            <w:r w:rsidRPr="00956545">
              <w:rPr>
                <w:rFonts w:ascii="Times New Roman" w:eastAsia="Calibri" w:hAnsi="Times New Roman" w:cs="Times New Roman"/>
                <w:sz w:val="20"/>
                <w:szCs w:val="20"/>
              </w:rPr>
              <w:t xml:space="preserve">. </w:t>
            </w:r>
          </w:p>
          <w:p w14:paraId="02376F65" w14:textId="6AB1DADA" w:rsidR="002D7080" w:rsidRPr="00956545" w:rsidRDefault="002D7080" w:rsidP="002E2C37">
            <w:pPr>
              <w:ind w:left="567" w:hanging="567"/>
              <w:contextualSpacing/>
              <w:jc w:val="both"/>
              <w:rPr>
                <w:rFonts w:ascii="Times New Roman" w:eastAsia="Calibri" w:hAnsi="Times New Roman" w:cs="Times New Roman"/>
                <w:sz w:val="20"/>
                <w:szCs w:val="20"/>
              </w:rPr>
            </w:pPr>
            <w:r w:rsidRPr="00956545">
              <w:rPr>
                <w:rFonts w:ascii="Times New Roman" w:eastAsia="Calibri" w:hAnsi="Times New Roman" w:cs="Times New Roman"/>
                <w:sz w:val="20"/>
                <w:szCs w:val="20"/>
              </w:rPr>
              <w:t xml:space="preserve">McMahon, T.A., Brannelly, L.A., Chatfield, M.W., Johnson, P.T., Joseph, M.B., McKenzie, V.J., et al., 2013, ‘Chytrid fungus </w:t>
            </w:r>
            <w:r w:rsidRPr="00956545">
              <w:rPr>
                <w:rFonts w:ascii="Times New Roman" w:eastAsia="Calibri" w:hAnsi="Times New Roman" w:cs="Times New Roman"/>
                <w:i/>
                <w:sz w:val="20"/>
                <w:szCs w:val="20"/>
              </w:rPr>
              <w:t>Batrachochytrium dendrobatidis</w:t>
            </w:r>
            <w:r w:rsidRPr="00956545">
              <w:rPr>
                <w:rFonts w:ascii="Times New Roman" w:eastAsia="Calibri" w:hAnsi="Times New Roman" w:cs="Times New Roman"/>
                <w:sz w:val="20"/>
                <w:szCs w:val="20"/>
              </w:rPr>
              <w:t xml:space="preserve"> has non-amphibian hosts and releases chemicals that cause pathology in the absence of infection’, </w:t>
            </w:r>
            <w:r w:rsidRPr="00956545">
              <w:rPr>
                <w:rFonts w:ascii="Times New Roman" w:eastAsia="Calibri" w:hAnsi="Times New Roman" w:cs="Times New Roman"/>
                <w:i/>
                <w:sz w:val="20"/>
                <w:szCs w:val="20"/>
              </w:rPr>
              <w:t>Proceedings of the National Academy of Sciences of the United States of America</w:t>
            </w:r>
            <w:r w:rsidRPr="00956545">
              <w:rPr>
                <w:rFonts w:ascii="Times New Roman" w:eastAsia="Calibri" w:hAnsi="Times New Roman" w:cs="Times New Roman"/>
                <w:sz w:val="20"/>
                <w:szCs w:val="20"/>
              </w:rPr>
              <w:t xml:space="preserve"> </w:t>
            </w:r>
            <w:r w:rsidRPr="00956545">
              <w:rPr>
                <w:rFonts w:ascii="Times New Roman" w:eastAsia="Calibri" w:hAnsi="Times New Roman" w:cs="Times New Roman"/>
                <w:bCs/>
                <w:sz w:val="20"/>
                <w:szCs w:val="20"/>
              </w:rPr>
              <w:t>110,</w:t>
            </w:r>
            <w:r w:rsidRPr="00956545">
              <w:rPr>
                <w:rFonts w:ascii="Times New Roman" w:eastAsia="Calibri" w:hAnsi="Times New Roman" w:cs="Times New Roman"/>
                <w:b/>
                <w:sz w:val="20"/>
                <w:szCs w:val="20"/>
              </w:rPr>
              <w:t xml:space="preserve"> </w:t>
            </w:r>
            <w:r w:rsidRPr="00956545">
              <w:rPr>
                <w:rFonts w:ascii="Times New Roman" w:eastAsia="Calibri" w:hAnsi="Times New Roman" w:cs="Times New Roman"/>
                <w:sz w:val="20"/>
                <w:szCs w:val="20"/>
              </w:rPr>
              <w:t>210</w:t>
            </w:r>
            <w:r w:rsidRPr="00956545">
              <w:rPr>
                <w:rFonts w:ascii="Times New Roman" w:eastAsia="Times New Roman" w:hAnsi="Times New Roman" w:cs="Times New Roman"/>
                <w:color w:val="000000"/>
                <w:sz w:val="20"/>
                <w:szCs w:val="20"/>
                <w:lang w:eastAsia="en-ZA"/>
              </w:rPr>
              <w:t>–</w:t>
            </w:r>
            <w:r w:rsidRPr="00956545">
              <w:rPr>
                <w:rFonts w:ascii="Times New Roman" w:eastAsia="Calibri" w:hAnsi="Times New Roman" w:cs="Times New Roman"/>
                <w:sz w:val="20"/>
                <w:szCs w:val="20"/>
              </w:rPr>
              <w:t>215</w:t>
            </w:r>
            <w:r w:rsidR="007B2EF6" w:rsidRPr="00956545">
              <w:rPr>
                <w:rFonts w:ascii="Times New Roman" w:eastAsia="Calibri" w:hAnsi="Times New Roman" w:cs="Times New Roman"/>
                <w:sz w:val="20"/>
                <w:szCs w:val="20"/>
              </w:rPr>
              <w:t>, https://doi.org/10.1073/pnas.1200592110</w:t>
            </w:r>
            <w:r w:rsidRPr="00956545">
              <w:rPr>
                <w:rFonts w:ascii="Times New Roman" w:eastAsia="Calibri" w:hAnsi="Times New Roman" w:cs="Times New Roman"/>
                <w:sz w:val="20"/>
                <w:szCs w:val="20"/>
              </w:rPr>
              <w:t xml:space="preserve">.  </w:t>
            </w:r>
          </w:p>
          <w:p w14:paraId="23B92F3D" w14:textId="4425D288" w:rsidR="002D7080" w:rsidRPr="00956545" w:rsidRDefault="002D7080" w:rsidP="002E2C37">
            <w:pPr>
              <w:ind w:left="567" w:hanging="567"/>
              <w:contextualSpacing/>
              <w:jc w:val="both"/>
              <w:rPr>
                <w:rFonts w:ascii="Times New Roman" w:eastAsia="Calibri" w:hAnsi="Times New Roman" w:cs="Times New Roman"/>
                <w:sz w:val="20"/>
                <w:szCs w:val="20"/>
              </w:rPr>
            </w:pPr>
            <w:r w:rsidRPr="00956545">
              <w:rPr>
                <w:rFonts w:ascii="Times New Roman" w:eastAsia="Calibri" w:hAnsi="Times New Roman" w:cs="Times New Roman"/>
                <w:sz w:val="20"/>
                <w:szCs w:val="20"/>
              </w:rPr>
              <w:t>Rodríguez, C.F., Bécares, E. &amp; Fernández-Aláez, M., 2003, ‘Shift from clear to turbid phase in Lake Chozas (NW Spain) due to the introduction of American red swamp crayfish (</w:t>
            </w:r>
            <w:r w:rsidRPr="00956545">
              <w:rPr>
                <w:rFonts w:ascii="Times New Roman" w:eastAsia="Calibri" w:hAnsi="Times New Roman" w:cs="Times New Roman"/>
                <w:i/>
                <w:iCs/>
                <w:sz w:val="20"/>
                <w:szCs w:val="20"/>
              </w:rPr>
              <w:t>Procambarus clarkii</w:t>
            </w:r>
            <w:r w:rsidRPr="00956545">
              <w:rPr>
                <w:rFonts w:ascii="Times New Roman" w:eastAsia="Calibri" w:hAnsi="Times New Roman" w:cs="Times New Roman"/>
                <w:sz w:val="20"/>
                <w:szCs w:val="20"/>
              </w:rPr>
              <w:t xml:space="preserve">)’, </w:t>
            </w:r>
            <w:r w:rsidRPr="00956545">
              <w:rPr>
                <w:rFonts w:ascii="Times New Roman" w:eastAsia="Calibri" w:hAnsi="Times New Roman" w:cs="Times New Roman"/>
                <w:i/>
                <w:iCs/>
                <w:sz w:val="20"/>
                <w:szCs w:val="20"/>
              </w:rPr>
              <w:t xml:space="preserve">Hydrobiologia </w:t>
            </w:r>
            <w:r w:rsidRPr="00956545">
              <w:rPr>
                <w:rFonts w:ascii="Times New Roman" w:eastAsia="Calibri" w:hAnsi="Times New Roman" w:cs="Times New Roman"/>
                <w:bCs/>
                <w:sz w:val="20"/>
                <w:szCs w:val="20"/>
              </w:rPr>
              <w:t>506,</w:t>
            </w:r>
            <w:r w:rsidRPr="00956545">
              <w:rPr>
                <w:rFonts w:ascii="Times New Roman" w:eastAsia="Calibri" w:hAnsi="Times New Roman" w:cs="Times New Roman"/>
                <w:sz w:val="20"/>
                <w:szCs w:val="20"/>
              </w:rPr>
              <w:t xml:space="preserve"> 421</w:t>
            </w:r>
            <w:r w:rsidRPr="00956545">
              <w:rPr>
                <w:rFonts w:ascii="Times New Roman" w:eastAsia="Times New Roman" w:hAnsi="Times New Roman" w:cs="Times New Roman"/>
                <w:color w:val="000000"/>
                <w:sz w:val="20"/>
                <w:szCs w:val="20"/>
                <w:lang w:eastAsia="en-ZA"/>
              </w:rPr>
              <w:t>–</w:t>
            </w:r>
            <w:r w:rsidRPr="00956545">
              <w:rPr>
                <w:rFonts w:ascii="Times New Roman" w:eastAsia="Calibri" w:hAnsi="Times New Roman" w:cs="Times New Roman"/>
                <w:sz w:val="20"/>
                <w:szCs w:val="20"/>
              </w:rPr>
              <w:t xml:space="preserve">26. </w:t>
            </w:r>
            <w:hyperlink r:id="rId497" w:history="1">
              <w:r w:rsidR="007B2EF6" w:rsidRPr="00956545">
                <w:rPr>
                  <w:rStyle w:val="Hyperlink"/>
                  <w:rFonts w:ascii="Times New Roman" w:hAnsi="Times New Roman" w:cs="Times New Roman"/>
                  <w:sz w:val="20"/>
                  <w:szCs w:val="20"/>
                </w:rPr>
                <w:t>https://doi.org/10.1023/B:HYDR.0000008626.07042.87</w:t>
              </w:r>
            </w:hyperlink>
            <w:r w:rsidRPr="00956545">
              <w:rPr>
                <w:rFonts w:ascii="Times New Roman" w:eastAsia="Calibri" w:hAnsi="Times New Roman" w:cs="Times New Roman"/>
                <w:sz w:val="20"/>
                <w:szCs w:val="20"/>
              </w:rPr>
              <w:t xml:space="preserve">. </w:t>
            </w:r>
          </w:p>
          <w:p w14:paraId="1255FDD3" w14:textId="033BB5D1" w:rsidR="002D7080" w:rsidRPr="00956545" w:rsidRDefault="002D7080" w:rsidP="002E2C37">
            <w:pPr>
              <w:autoSpaceDE w:val="0"/>
              <w:autoSpaceDN w:val="0"/>
              <w:adjustRightInd w:val="0"/>
              <w:ind w:left="567" w:hanging="567"/>
              <w:contextualSpacing/>
              <w:jc w:val="both"/>
              <w:rPr>
                <w:rFonts w:ascii="Times New Roman" w:eastAsia="Calibri" w:hAnsi="Times New Roman" w:cs="Times New Roman"/>
                <w:color w:val="000000" w:themeColor="text1"/>
                <w:sz w:val="20"/>
                <w:szCs w:val="20"/>
              </w:rPr>
            </w:pPr>
            <w:r w:rsidRPr="00956545">
              <w:rPr>
                <w:rFonts w:ascii="Times New Roman" w:eastAsia="Calibri" w:hAnsi="Times New Roman" w:cs="Times New Roman"/>
                <w:sz w:val="20"/>
                <w:szCs w:val="20"/>
              </w:rPr>
              <w:t>Rosenthal, S.K., Lodge, D.M., Mavuti, K.M., Muohi, W., Ochieng, P., Mungai, B.N., et al., 2005, ‘Comparing macrophyte herbivory by introduced Louisiana crayfish (</w:t>
            </w:r>
            <w:r w:rsidRPr="00956545">
              <w:rPr>
                <w:rFonts w:ascii="Times New Roman" w:eastAsia="Calibri" w:hAnsi="Times New Roman" w:cs="Times New Roman"/>
                <w:i/>
                <w:iCs/>
                <w:sz w:val="20"/>
                <w:szCs w:val="20"/>
              </w:rPr>
              <w:t>Procambarus clarkii</w:t>
            </w:r>
            <w:r w:rsidRPr="00956545">
              <w:rPr>
                <w:rFonts w:ascii="Times New Roman" w:eastAsia="Calibri" w:hAnsi="Times New Roman" w:cs="Times New Roman"/>
                <w:sz w:val="20"/>
                <w:szCs w:val="20"/>
              </w:rPr>
              <w:t>) (Crustacea: Cambaridea) and native Dytiscid beetles (</w:t>
            </w:r>
            <w:r w:rsidRPr="00956545">
              <w:rPr>
                <w:rFonts w:ascii="Times New Roman" w:eastAsia="Calibri" w:hAnsi="Times New Roman" w:cs="Times New Roman"/>
                <w:i/>
                <w:iCs/>
                <w:sz w:val="20"/>
                <w:szCs w:val="20"/>
              </w:rPr>
              <w:t>Cybister tripunctatus</w:t>
            </w:r>
            <w:r w:rsidRPr="00956545">
              <w:rPr>
                <w:rFonts w:ascii="Times New Roman" w:eastAsia="Calibri" w:hAnsi="Times New Roman" w:cs="Times New Roman"/>
                <w:sz w:val="20"/>
                <w:szCs w:val="20"/>
              </w:rPr>
              <w:t xml:space="preserve">) (Coleoptera: Dytiscidae), in Kenya’, </w:t>
            </w:r>
            <w:r w:rsidRPr="00956545">
              <w:rPr>
                <w:rFonts w:ascii="Times New Roman" w:eastAsia="Calibri" w:hAnsi="Times New Roman" w:cs="Times New Roman"/>
                <w:i/>
                <w:iCs/>
                <w:color w:val="000000" w:themeColor="text1"/>
                <w:sz w:val="20"/>
                <w:szCs w:val="20"/>
              </w:rPr>
              <w:t xml:space="preserve">African Journal of Aquatic Science </w:t>
            </w:r>
            <w:r w:rsidRPr="00956545">
              <w:rPr>
                <w:rFonts w:ascii="Times New Roman" w:eastAsia="Calibri" w:hAnsi="Times New Roman" w:cs="Times New Roman"/>
                <w:bCs/>
                <w:color w:val="000000" w:themeColor="text1"/>
                <w:sz w:val="20"/>
                <w:szCs w:val="20"/>
              </w:rPr>
              <w:t>30,</w:t>
            </w:r>
            <w:r w:rsidRPr="00956545">
              <w:rPr>
                <w:rFonts w:ascii="Times New Roman" w:eastAsia="Calibri" w:hAnsi="Times New Roman" w:cs="Times New Roman"/>
                <w:color w:val="000000" w:themeColor="text1"/>
                <w:sz w:val="20"/>
                <w:szCs w:val="20"/>
              </w:rPr>
              <w:t xml:space="preserve"> 157</w:t>
            </w:r>
            <w:r w:rsidRPr="00956545">
              <w:rPr>
                <w:rFonts w:ascii="Times New Roman" w:eastAsia="Times New Roman" w:hAnsi="Times New Roman" w:cs="Times New Roman"/>
                <w:color w:val="000000" w:themeColor="text1"/>
                <w:sz w:val="20"/>
                <w:szCs w:val="20"/>
                <w:lang w:eastAsia="en-ZA"/>
              </w:rPr>
              <w:t>–</w:t>
            </w:r>
            <w:r w:rsidRPr="00956545">
              <w:rPr>
                <w:rFonts w:ascii="Times New Roman" w:eastAsia="Calibri" w:hAnsi="Times New Roman" w:cs="Times New Roman"/>
                <w:color w:val="000000" w:themeColor="text1"/>
                <w:sz w:val="20"/>
                <w:szCs w:val="20"/>
              </w:rPr>
              <w:t>62</w:t>
            </w:r>
            <w:r w:rsidR="007B2EF6" w:rsidRPr="00956545">
              <w:rPr>
                <w:rFonts w:ascii="Times New Roman" w:eastAsia="Calibri" w:hAnsi="Times New Roman" w:cs="Times New Roman"/>
                <w:sz w:val="20"/>
                <w:szCs w:val="20"/>
              </w:rPr>
              <w:t xml:space="preserve"> </w:t>
            </w:r>
            <w:r w:rsidR="007B2EF6" w:rsidRPr="00956545">
              <w:rPr>
                <w:rFonts w:ascii="Times New Roman" w:eastAsia="Calibri" w:hAnsi="Times New Roman" w:cs="Times New Roman"/>
                <w:color w:val="000000" w:themeColor="text1"/>
                <w:sz w:val="20"/>
                <w:szCs w:val="20"/>
              </w:rPr>
              <w:t>https://doi.org/10.2989/16085910509503850</w:t>
            </w:r>
            <w:r w:rsidRPr="00956545">
              <w:rPr>
                <w:rFonts w:ascii="Times New Roman" w:eastAsia="Calibri" w:hAnsi="Times New Roman" w:cs="Times New Roman"/>
                <w:color w:val="000000" w:themeColor="text1"/>
                <w:sz w:val="20"/>
                <w:szCs w:val="20"/>
              </w:rPr>
              <w:t xml:space="preserve">. </w:t>
            </w:r>
          </w:p>
          <w:p w14:paraId="07F736C9" w14:textId="24BAD131" w:rsidR="002D7080" w:rsidRPr="00956545" w:rsidRDefault="002D7080" w:rsidP="002E2C37">
            <w:pPr>
              <w:ind w:left="720" w:hanging="720"/>
              <w:contextualSpacing/>
              <w:jc w:val="both"/>
              <w:rPr>
                <w:rFonts w:ascii="Times New Roman" w:eastAsia="Calibri" w:hAnsi="Times New Roman" w:cs="Times New Roman"/>
                <w:sz w:val="20"/>
                <w:szCs w:val="20"/>
              </w:rPr>
            </w:pPr>
            <w:r w:rsidRPr="00956545">
              <w:rPr>
                <w:rFonts w:ascii="Times New Roman" w:eastAsia="Calibri" w:hAnsi="Times New Roman" w:cs="Times New Roman"/>
                <w:color w:val="000000" w:themeColor="text1"/>
                <w:sz w:val="20"/>
                <w:szCs w:val="20"/>
              </w:rPr>
              <w:t xml:space="preserve">Souty-Grosset, C., Anastácio, P.M., Aquiloni, L., Banha, F., Choquer, J., Chucholl, C., et al. 2016. ‘The red swamp crayfish </w:t>
            </w:r>
            <w:r w:rsidRPr="00956545">
              <w:rPr>
                <w:rFonts w:ascii="Times New Roman" w:eastAsia="Calibri" w:hAnsi="Times New Roman" w:cs="Times New Roman"/>
                <w:i/>
                <w:color w:val="000000" w:themeColor="text1"/>
                <w:sz w:val="20"/>
                <w:szCs w:val="20"/>
              </w:rPr>
              <w:t>Procambarus clarkii</w:t>
            </w:r>
            <w:r w:rsidRPr="00956545">
              <w:rPr>
                <w:rFonts w:ascii="Times New Roman" w:eastAsia="Calibri" w:hAnsi="Times New Roman" w:cs="Times New Roman"/>
                <w:color w:val="000000" w:themeColor="text1"/>
                <w:sz w:val="20"/>
                <w:szCs w:val="20"/>
              </w:rPr>
              <w:t xml:space="preserve"> in Europe: Impacts on aquatic ecosystems and human well-being’,</w:t>
            </w:r>
            <w:r w:rsidRPr="00956545">
              <w:rPr>
                <w:rFonts w:ascii="Times New Roman" w:eastAsia="Calibri" w:hAnsi="Times New Roman" w:cs="Times New Roman"/>
                <w:i/>
                <w:color w:val="000000" w:themeColor="text1"/>
                <w:sz w:val="20"/>
                <w:szCs w:val="20"/>
              </w:rPr>
              <w:t xml:space="preserve"> Limnologica</w:t>
            </w:r>
            <w:r w:rsidRPr="00956545">
              <w:rPr>
                <w:rFonts w:ascii="Times New Roman" w:eastAsia="Calibri" w:hAnsi="Times New Roman" w:cs="Times New Roman"/>
                <w:color w:val="000000" w:themeColor="text1"/>
                <w:sz w:val="20"/>
                <w:szCs w:val="20"/>
              </w:rPr>
              <w:t xml:space="preserve"> </w:t>
            </w:r>
            <w:r w:rsidRPr="00956545">
              <w:rPr>
                <w:rFonts w:ascii="Times New Roman" w:eastAsia="Calibri" w:hAnsi="Times New Roman" w:cs="Times New Roman"/>
                <w:bCs/>
                <w:color w:val="000000" w:themeColor="text1"/>
                <w:sz w:val="20"/>
                <w:szCs w:val="20"/>
              </w:rPr>
              <w:t>58,</w:t>
            </w:r>
            <w:r w:rsidRPr="00956545">
              <w:rPr>
                <w:rFonts w:ascii="Times New Roman" w:eastAsia="Calibri" w:hAnsi="Times New Roman" w:cs="Times New Roman"/>
                <w:color w:val="000000" w:themeColor="text1"/>
                <w:sz w:val="20"/>
                <w:szCs w:val="20"/>
              </w:rPr>
              <w:t xml:space="preserve"> 78</w:t>
            </w:r>
            <w:r w:rsidRPr="00956545">
              <w:rPr>
                <w:rFonts w:ascii="Times New Roman" w:eastAsia="Times New Roman" w:hAnsi="Times New Roman" w:cs="Times New Roman"/>
                <w:color w:val="000000" w:themeColor="text1"/>
                <w:sz w:val="20"/>
                <w:szCs w:val="20"/>
                <w:lang w:eastAsia="en-ZA"/>
              </w:rPr>
              <w:t>–</w:t>
            </w:r>
            <w:r w:rsidRPr="00956545">
              <w:rPr>
                <w:rFonts w:ascii="Times New Roman" w:eastAsia="Calibri" w:hAnsi="Times New Roman" w:cs="Times New Roman"/>
                <w:color w:val="000000" w:themeColor="text1"/>
                <w:sz w:val="20"/>
                <w:szCs w:val="20"/>
              </w:rPr>
              <w:t>93</w:t>
            </w:r>
            <w:r w:rsidRPr="00956545">
              <w:rPr>
                <w:rFonts w:ascii="Times New Roman" w:eastAsia="Calibri" w:hAnsi="Times New Roman" w:cs="Times New Roman"/>
                <w:sz w:val="20"/>
                <w:szCs w:val="20"/>
              </w:rPr>
              <w:t xml:space="preserve">. </w:t>
            </w:r>
            <w:hyperlink r:id="rId498" w:history="1">
              <w:r w:rsidR="007B2EF6" w:rsidRPr="00956545">
                <w:rPr>
                  <w:rStyle w:val="Hyperlink"/>
                  <w:rFonts w:ascii="Times New Roman" w:hAnsi="Times New Roman" w:cs="Times New Roman"/>
                  <w:sz w:val="20"/>
                  <w:szCs w:val="20"/>
                </w:rPr>
                <w:t>https://doi.org/10.1016/j.limno.2016.03.003</w:t>
              </w:r>
            </w:hyperlink>
            <w:r w:rsidR="007B2EF6" w:rsidRPr="00956545">
              <w:rPr>
                <w:rFonts w:ascii="Times New Roman" w:hAnsi="Times New Roman" w:cs="Times New Roman"/>
                <w:sz w:val="20"/>
                <w:szCs w:val="20"/>
              </w:rPr>
              <w:t>.</w:t>
            </w:r>
          </w:p>
          <w:p w14:paraId="31FD7A2A" w14:textId="181AD5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956545">
              <w:rPr>
                <w:rFonts w:ascii="Times New Roman" w:eastAsia="Calibri" w:hAnsi="Times New Roman" w:cs="Times New Roman"/>
                <w:sz w:val="20"/>
                <w:szCs w:val="20"/>
              </w:rPr>
              <w:t xml:space="preserve">Yamamoto, Y., 2010, ‘Contribution of bioturbation by the red swamp crayfish </w:t>
            </w:r>
            <w:r w:rsidRPr="00956545">
              <w:rPr>
                <w:rFonts w:ascii="Times New Roman" w:eastAsia="Calibri" w:hAnsi="Times New Roman" w:cs="Times New Roman"/>
                <w:i/>
                <w:sz w:val="20"/>
                <w:szCs w:val="20"/>
              </w:rPr>
              <w:t>Procambarus clarkii</w:t>
            </w:r>
            <w:r w:rsidRPr="00956545">
              <w:rPr>
                <w:rFonts w:ascii="Times New Roman" w:eastAsia="Calibri" w:hAnsi="Times New Roman" w:cs="Times New Roman"/>
                <w:sz w:val="20"/>
                <w:szCs w:val="20"/>
              </w:rPr>
              <w:t xml:space="preserve"> to the recruitment of bloom-forming cyanobacteria from sediment’, </w:t>
            </w:r>
            <w:r w:rsidRPr="00956545">
              <w:rPr>
                <w:rFonts w:ascii="Times New Roman" w:eastAsia="Calibri" w:hAnsi="Times New Roman" w:cs="Times New Roman"/>
                <w:i/>
                <w:sz w:val="20"/>
                <w:szCs w:val="20"/>
              </w:rPr>
              <w:t>Journal of Limnology</w:t>
            </w:r>
            <w:r w:rsidRPr="00956545">
              <w:rPr>
                <w:rFonts w:ascii="Times New Roman" w:eastAsia="Calibri" w:hAnsi="Times New Roman" w:cs="Times New Roman"/>
                <w:sz w:val="20"/>
                <w:szCs w:val="20"/>
              </w:rPr>
              <w:t xml:space="preserve"> </w:t>
            </w:r>
            <w:r w:rsidRPr="00956545">
              <w:rPr>
                <w:rFonts w:ascii="Times New Roman" w:eastAsia="Calibri" w:hAnsi="Times New Roman" w:cs="Times New Roman"/>
                <w:bCs/>
                <w:sz w:val="20"/>
                <w:szCs w:val="20"/>
              </w:rPr>
              <w:t>69,</w:t>
            </w:r>
            <w:r w:rsidRPr="00956545">
              <w:rPr>
                <w:rFonts w:ascii="Times New Roman" w:eastAsia="Calibri" w:hAnsi="Times New Roman" w:cs="Times New Roman"/>
                <w:sz w:val="20"/>
                <w:szCs w:val="20"/>
              </w:rPr>
              <w:t xml:space="preserve"> 102- 111.</w:t>
            </w:r>
            <w:r w:rsidR="007B2EF6" w:rsidRPr="00956545">
              <w:rPr>
                <w:rFonts w:ascii="Times New Roman" w:hAnsi="Times New Roman" w:cs="Times New Roman"/>
                <w:color w:val="555555"/>
                <w:sz w:val="20"/>
                <w:szCs w:val="20"/>
                <w:shd w:val="clear" w:color="auto" w:fill="FFFFFF"/>
              </w:rPr>
              <w:t xml:space="preserve"> </w:t>
            </w:r>
            <w:hyperlink r:id="rId499" w:history="1">
              <w:r w:rsidR="007B2EF6" w:rsidRPr="00956545">
                <w:rPr>
                  <w:rStyle w:val="Hyperlink"/>
                  <w:rFonts w:ascii="Times New Roman" w:eastAsia="Calibri" w:hAnsi="Times New Roman" w:cs="Times New Roman"/>
                  <w:sz w:val="20"/>
                  <w:szCs w:val="20"/>
                </w:rPr>
                <w:t>https://doi.org/10.4081/jlimnol.2010.102</w:t>
              </w:r>
            </w:hyperlink>
            <w:r w:rsidR="007B2EF6" w:rsidRPr="00956545">
              <w:rPr>
                <w:rFonts w:ascii="Times New Roman" w:eastAsia="Calibri" w:hAnsi="Times New Roman" w:cs="Times New Roman"/>
                <w:sz w:val="20"/>
                <w:szCs w:val="20"/>
              </w:rPr>
              <w:t>.</w:t>
            </w:r>
            <w:r w:rsidR="007B2EF6">
              <w:rPr>
                <w:rFonts w:ascii="Times New Roman" w:eastAsia="Calibri" w:hAnsi="Times New Roman" w:cs="Times New Roman"/>
                <w:sz w:val="20"/>
                <w:szCs w:val="20"/>
              </w:rPr>
              <w:t xml:space="preserve"> </w:t>
            </w:r>
          </w:p>
        </w:tc>
      </w:tr>
    </w:tbl>
    <w:p w14:paraId="2D1BFF7C"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76ECC5FB" w14:textId="77777777" w:rsidTr="002E2C37">
        <w:trPr>
          <w:trHeight w:val="242"/>
        </w:trPr>
        <w:tc>
          <w:tcPr>
            <w:tcW w:w="9016" w:type="dxa"/>
            <w:gridSpan w:val="2"/>
            <w:shd w:val="clear" w:color="auto" w:fill="F2F2F2" w:themeFill="background1" w:themeFillShade="F2"/>
          </w:tcPr>
          <w:p w14:paraId="2625103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lastRenderedPageBreak/>
              <w:t>CON4 Closely related species’ socio-economic impact</w:t>
            </w:r>
          </w:p>
        </w:tc>
      </w:tr>
      <w:tr w:rsidR="002D7080" w:rsidRPr="004D1E6F" w14:paraId="12DA9BDA" w14:textId="77777777" w:rsidTr="002E2C37">
        <w:trPr>
          <w:trHeight w:val="172"/>
        </w:trPr>
        <w:tc>
          <w:tcPr>
            <w:tcW w:w="5949" w:type="dxa"/>
          </w:tcPr>
          <w:p w14:paraId="7474158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Moderate (MO)</w:t>
            </w:r>
          </w:p>
        </w:tc>
        <w:tc>
          <w:tcPr>
            <w:tcW w:w="3067" w:type="dxa"/>
          </w:tcPr>
          <w:p w14:paraId="246A08A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7D54E0E2" w14:textId="77777777" w:rsidTr="002E2C37">
        <w:trPr>
          <w:trHeight w:val="70"/>
        </w:trPr>
        <w:tc>
          <w:tcPr>
            <w:tcW w:w="9016" w:type="dxa"/>
            <w:gridSpan w:val="2"/>
          </w:tcPr>
          <w:p w14:paraId="6799C1F9" w14:textId="22690601"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There are no recorded socio-economic impacts for </w:t>
            </w:r>
            <w:r w:rsidR="00B2102B">
              <w:rPr>
                <w:rFonts w:ascii="Times New Roman" w:eastAsia="Times New Roman" w:hAnsi="Times New Roman" w:cs="Times New Roman"/>
                <w:i/>
                <w:iCs/>
                <w:sz w:val="20"/>
                <w:szCs w:val="20"/>
                <w:lang w:eastAsia="en-ZA"/>
              </w:rPr>
              <w:t>P. acutus</w:t>
            </w:r>
            <w:r w:rsidRPr="004D1E6F">
              <w:rPr>
                <w:rFonts w:ascii="Times New Roman" w:eastAsia="Times New Roman" w:hAnsi="Times New Roman" w:cs="Times New Roman"/>
                <w:sz w:val="20"/>
                <w:szCs w:val="20"/>
                <w:lang w:eastAsia="en-ZA"/>
              </w:rPr>
              <w:t xml:space="preserve">, therefore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 xml:space="preserve">was selected as a closely related taxon to estimate the environmental impacts that may arise from introductions of </w:t>
            </w:r>
            <w:r w:rsidR="00B2102B">
              <w:rPr>
                <w:rFonts w:ascii="Times New Roman" w:eastAsia="Times New Roman" w:hAnsi="Times New Roman" w:cs="Times New Roman"/>
                <w:i/>
                <w:iCs/>
                <w:sz w:val="20"/>
                <w:szCs w:val="20"/>
                <w:lang w:eastAsia="en-ZA"/>
              </w:rPr>
              <w:t>P. acutus</w:t>
            </w:r>
            <w:r w:rsidRPr="004D1E6F">
              <w:rPr>
                <w:rFonts w:ascii="Times New Roman" w:eastAsia="Times New Roman" w:hAnsi="Times New Roman" w:cs="Times New Roman"/>
                <w:sz w:val="20"/>
                <w:szCs w:val="20"/>
                <w:lang w:eastAsia="en-ZA"/>
              </w:rPr>
              <w:t>.</w:t>
            </w:r>
          </w:p>
          <w:p w14:paraId="10B36E1D" w14:textId="77777777" w:rsidR="002D7080" w:rsidRPr="004D1E6F" w:rsidRDefault="002D7080" w:rsidP="002E2C37">
            <w:pPr>
              <w:jc w:val="both"/>
              <w:rPr>
                <w:rFonts w:ascii="Times New Roman" w:eastAsia="Times New Roman" w:hAnsi="Times New Roman" w:cs="Times New Roman"/>
                <w:sz w:val="20"/>
                <w:szCs w:val="20"/>
                <w:lang w:eastAsia="en-ZA"/>
              </w:rPr>
            </w:pPr>
          </w:p>
          <w:p w14:paraId="4E93FD4A"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often inhabits agricultural fields in which burrowing activities cause damage to infrastructure (i.e., irrigation canals and dam walls) (</w:t>
            </w:r>
            <w:r w:rsidRPr="004D1E6F">
              <w:rPr>
                <w:rFonts w:ascii="Times New Roman" w:eastAsia="Calibri" w:hAnsi="Times New Roman" w:cs="Times New Roman"/>
                <w:sz w:val="20"/>
                <w:szCs w:val="20"/>
              </w:rPr>
              <w:t xml:space="preserve">Arce &amp; Diéguez-Uribeondo 2015; </w:t>
            </w:r>
            <w:r w:rsidRPr="004D1E6F">
              <w:rPr>
                <w:rFonts w:ascii="Times New Roman" w:eastAsia="Times New Roman" w:hAnsi="Times New Roman" w:cs="Times New Roman"/>
                <w:color w:val="000000"/>
                <w:sz w:val="20"/>
                <w:szCs w:val="20"/>
                <w:lang w:eastAsia="en-ZA"/>
              </w:rPr>
              <w:t>Lodge et al. 2012</w:t>
            </w:r>
            <w:r w:rsidRPr="004D1E6F">
              <w:rPr>
                <w:rFonts w:ascii="Times New Roman" w:eastAsia="Calibri" w:hAnsi="Times New Roman" w:cs="Times New Roman"/>
                <w:sz w:val="20"/>
                <w:szCs w:val="20"/>
              </w:rPr>
              <w:t>)</w:t>
            </w:r>
            <w:r w:rsidRPr="004D1E6F">
              <w:rPr>
                <w:rFonts w:ascii="Times New Roman" w:eastAsia="Times New Roman" w:hAnsi="Times New Roman" w:cs="Times New Roman"/>
                <w:color w:val="000000"/>
                <w:sz w:val="20"/>
                <w:szCs w:val="20"/>
                <w:lang w:eastAsia="en-ZA"/>
              </w:rPr>
              <w:t xml:space="preserve">, and alters soil hydrology leading to water loss. Grazing causes crop damage and reduces crop yield (Anastácio et al. 2005; Arce &amp; Diéguez-Uribeondo 2015). For example in Europe,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affects rice production through water loss, damage to rice field banks and ditches, direct consumption of rice seed and plants, and clogging of pipes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"(Souty-grosset et al. 2016)", "plainTextFormattedCitation" : "(Souty-grosset et al. 2016)", "previouslyFormattedCitation" :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(Anastácio et al. 2005; 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 xml:space="preserve">Procambarus clarkii </w:t>
            </w:r>
            <w:r w:rsidRPr="004D1E6F">
              <w:rPr>
                <w:rFonts w:ascii="Times New Roman" w:eastAsia="Times New Roman" w:hAnsi="Times New Roman" w:cs="Times New Roman"/>
                <w:color w:val="000000"/>
                <w:sz w:val="20"/>
                <w:szCs w:val="20"/>
                <w:lang w:eastAsia="en-ZA"/>
              </w:rPr>
              <w:t>also damages gill nets and spoils fish caught in nets (Gherardi et al. 2011).</w:t>
            </w:r>
          </w:p>
          <w:p w14:paraId="1E68E6E9"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p>
          <w:p w14:paraId="396F491E" w14:textId="77777777" w:rsidR="002D7080" w:rsidRPr="004D1E6F" w:rsidRDefault="002D7080" w:rsidP="002E2C37">
            <w:pPr>
              <w:jc w:val="both"/>
              <w:rPr>
                <w:rFonts w:ascii="Times New Roman" w:eastAsia="Times New Roman" w:hAnsi="Times New Roman" w:cs="Times New Roman"/>
                <w:sz w:val="20"/>
                <w:szCs w:val="20"/>
                <w:lang w:eastAsia="en-ZA"/>
              </w:rPr>
            </w:pPr>
            <w:r w:rsidRPr="007B287C">
              <w:rPr>
                <w:rFonts w:ascii="Times New Roman" w:eastAsia="Times New Roman" w:hAnsi="Times New Roman" w:cs="Times New Roman"/>
                <w:i/>
                <w:color w:val="000000" w:themeColor="text1"/>
                <w:sz w:val="20"/>
                <w:szCs w:val="20"/>
                <w:lang w:eastAsia="en-ZA"/>
              </w:rPr>
              <w:t>Procambarus clarkii</w:t>
            </w:r>
            <w:r w:rsidRPr="007B287C">
              <w:rPr>
                <w:rFonts w:ascii="Times New Roman" w:eastAsia="Times New Roman" w:hAnsi="Times New Roman" w:cs="Times New Roman"/>
                <w:color w:val="000000" w:themeColor="text1"/>
                <w:sz w:val="20"/>
                <w:szCs w:val="20"/>
                <w:lang w:eastAsia="en-ZA"/>
              </w:rPr>
              <w:t xml:space="preserve"> bio-accumulates toxins and metals from the environment </w:t>
            </w:r>
            <w:r w:rsidRPr="007B287C">
              <w:rPr>
                <w:rFonts w:ascii="Times New Roman" w:eastAsia="Times New Roman" w:hAnsi="Times New Roman" w:cs="Times New Roman"/>
                <w:color w:val="000000" w:themeColor="text1"/>
                <w:sz w:val="20"/>
                <w:szCs w:val="20"/>
                <w:lang w:eastAsia="en-ZA"/>
              </w:rPr>
              <w:fldChar w:fldCharType="begin" w:fldLock="1"/>
            </w:r>
            <w:r w:rsidRPr="007B287C">
              <w:rPr>
                <w:rFonts w:ascii="Times New Roman" w:eastAsia="Times New Roman" w:hAnsi="Times New Roman" w:cs="Times New Roman"/>
                <w:color w:val="000000" w:themeColor="text1"/>
                <w:sz w:val="20"/>
                <w:szCs w:val="20"/>
                <w:lang w:eastAsia="en-ZA"/>
              </w:rPr>
              <w:instrText>ADDIN CSL_CITATION { "citationItems" : [ { "id" : "ITEM-1", "itemData" : { "DOI" : "10.1016/j.biocon.2011.07.020", "author" : [ { "dropping-particle" : "", "family" : "Gherardi", "given" : "Francesca", "non-dropping-particle" : "", "parse-names" : false, "suffix" : "" }, { "dropping-particle" : "", "family" : "Britton", "given" : "J Robert", "non-dropping-particle" : "", "parse-names" : false, "suffix" : "" }, { "dropping-particle" : "", "family" : "Mavuti", "given" : "Kenneth M", "non-dropping-particle" : "", "parse-names" : false, "suffix" : "" }, { "dropping-particle" : "", "family" : "Pacini", "given" : "Nic", "non-dropping-particle" : "", "parse-names" : false, "suffix" : "" }, { "dropping-particle" : "", "family" : "Grey", "given" : "Jonathan", "non-dropping-particle" : "", "parse-names" : false, "suffix" : "" }, { "dropping-particle" : "", "family" : "Tricarico", "given" : "Elena", "non-dropping-particle" : "", "parse-names" : false, "suffix" : "" }, { "dropping-particle" : "", "family" : "Harper", "given" : "David M", "non-dropping-particle" : "", "parse-names" : false, "suffix" : "" } ], "id" : "ITEM-1", "issued" : { "date-parts" : [ [ "2011" ] ] }, "page" : "2585-2596", "publisher" : "Elsevier Ltd", "title" : "A review of allodiversity in Lake Naivasha , Kenya : Developing conservation actions to protect East African lakes from the negative impacts of alien species", "type" : "article-journal", "volume" : "144" }, "uris" : [ "http://www.mendeley.com/documents/?uuid=05c95c37-42e0-4b2c-a818-0f1c7fd1a239" ] }, { "id" : "ITEM-2",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"(Gherardi et al. 2011, Souty-grosset et al. 2016)", "plainTextFormattedCitation" : "(Gherardi et al. 2011, Souty-grosset et al. 2016)", "previouslyFormattedCitation" : "(Gherardi et al. 2011, Souty-grosset et al. 2016)" }, "properties" : { "noteIndex" : 0 }, "schema" : "https://github.com/citation-style-language/schema/raw/master/csl-citation.json" }</w:instrText>
            </w:r>
            <w:r w:rsidRPr="007B287C">
              <w:rPr>
                <w:rFonts w:ascii="Times New Roman" w:eastAsia="Times New Roman" w:hAnsi="Times New Roman" w:cs="Times New Roman"/>
                <w:color w:val="000000" w:themeColor="text1"/>
                <w:sz w:val="20"/>
                <w:szCs w:val="20"/>
                <w:lang w:eastAsia="en-ZA"/>
              </w:rPr>
              <w:fldChar w:fldCharType="separate"/>
            </w:r>
            <w:r w:rsidRPr="007B287C">
              <w:rPr>
                <w:rFonts w:ascii="Times New Roman" w:eastAsia="Times New Roman" w:hAnsi="Times New Roman" w:cs="Times New Roman"/>
                <w:color w:val="000000" w:themeColor="text1"/>
                <w:sz w:val="20"/>
                <w:szCs w:val="20"/>
                <w:lang w:eastAsia="en-ZA"/>
              </w:rPr>
              <w:t>(Alcorlo  et al. 2016; Gherardi et al. 2002; Souty-Grosset et al. 2016)</w:t>
            </w:r>
            <w:r w:rsidRPr="007B287C">
              <w:rPr>
                <w:rFonts w:ascii="Times New Roman" w:eastAsia="Times New Roman" w:hAnsi="Times New Roman" w:cs="Times New Roman"/>
                <w:color w:val="000000" w:themeColor="text1"/>
                <w:sz w:val="20"/>
                <w:szCs w:val="20"/>
                <w:lang w:eastAsia="en-ZA"/>
              </w:rPr>
              <w:fldChar w:fldCharType="end"/>
            </w:r>
            <w:r w:rsidRPr="007B287C">
              <w:rPr>
                <w:rFonts w:ascii="Times New Roman" w:eastAsia="Times New Roman" w:hAnsi="Times New Roman" w:cs="Times New Roman"/>
                <w:color w:val="000000" w:themeColor="text1"/>
                <w:sz w:val="20"/>
                <w:szCs w:val="20"/>
                <w:lang w:eastAsia="en-ZA"/>
              </w:rPr>
              <w:t xml:space="preserve">, which are often harmful. These toxins and metals can be transferred to higher food web levels through the consumption of affected crayfish by humans and predators such as otters, birds, and fish </w:t>
            </w:r>
            <w:r w:rsidRPr="007B287C">
              <w:rPr>
                <w:rFonts w:ascii="Times New Roman" w:eastAsia="Times New Roman" w:hAnsi="Times New Roman" w:cs="Times New Roman"/>
                <w:color w:val="000000" w:themeColor="text1"/>
                <w:sz w:val="20"/>
                <w:szCs w:val="20"/>
                <w:lang w:eastAsia="en-ZA"/>
              </w:rPr>
              <w:fldChar w:fldCharType="begin" w:fldLock="1"/>
            </w:r>
            <w:r w:rsidRPr="007B287C">
              <w:rPr>
                <w:rFonts w:ascii="Times New Roman" w:eastAsia="Times New Roman" w:hAnsi="Times New Roman" w:cs="Times New Roman"/>
                <w:color w:val="000000" w:themeColor="text1"/>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"http://www.mendeley.com/documents/?uuid=9c72c438-e7a8-4248-b05a-2e8f1c12e544" ] }, { "id" : "ITEM-2", "itemData" : { "DOI" : "10.1016/j.biocon.2011.07.020", "author" : [ { "dropping-particle" : "", "family" : "Gherardi", "given" : "Francesca", "non-dropping-particle" : "", "parse-names" : false, "suffix" : "" }, { "dropping-particle" : "", "family" : "Britton", "given" : "J Robert", "non-dropping-particle" : "", "parse-names" : false, "suffix" : "" }, { "dropping-particle" : "", "family" : "Mavuti", "given" : "Kenneth M", "non-dropping-particle" : "", "parse-names" : false, "suffix" : "" }, { "dropping-particle" : "", "family" : "Pacini", "given" : "Nic", "non-dropping-particle" : "", "parse-names" : false, "suffix" : "" }, { "dropping-particle" : "", "family" : "Grey", "given" : "Jonathan", "non-dropping-particle" : "", "parse-names" : false, "suffix" : "" }, { "dropping-particle" : "", "family" : "Tricarico", "given" : "Elena", "non-dropping-particle" : "", "parse-names" : false, "suffix" : "" }, { "dropping-particle" : "", "family" : "Harper", "given" : "David M", "non-dropping-particle" : "", "parse-names" : false, "suffix" : "" } ], "id" : "ITEM-2", "issued" : { "date-parts" : [ [ "2011" ] ] }, "page" : "2585-2596", "publisher" : "Elsevier Ltd", "title" : "A review of allodiversity in Lake Naivasha , Kenya : Developing conservation actions to protect East African lakes from the negative impacts of alien species", "type" : "article-journal", "volume" : "144" }, "uris" : [ "http://www.mendeley.com/documents/?uuid=05c95c37-42e0-4b2c-a818-0f1c7fd1a239" ] } ], "mendeley" : { "formattedCitation" : "(Gherardi et al. 2011, Lodge et al. 2012)", "plainTextFormattedCitation" : "(Gherardi et al. 2011, Lodge et al. 2012)", "previouslyFormattedCitation" : "(Gherardi et al. 2011, Lodge et al. 2012)" }, "properties" : { "noteIndex" : 0 }, "schema" : "https://github.com/citation-style-language/schema/raw/master/csl-citation.json" }</w:instrText>
            </w:r>
            <w:r w:rsidRPr="007B287C">
              <w:rPr>
                <w:rFonts w:ascii="Times New Roman" w:eastAsia="Times New Roman" w:hAnsi="Times New Roman" w:cs="Times New Roman"/>
                <w:color w:val="000000" w:themeColor="text1"/>
                <w:sz w:val="20"/>
                <w:szCs w:val="20"/>
                <w:lang w:eastAsia="en-ZA"/>
              </w:rPr>
              <w:fldChar w:fldCharType="separate"/>
            </w:r>
            <w:r w:rsidRPr="007B287C">
              <w:rPr>
                <w:rFonts w:ascii="Times New Roman" w:eastAsia="Times New Roman" w:hAnsi="Times New Roman" w:cs="Times New Roman"/>
                <w:color w:val="000000" w:themeColor="text1"/>
                <w:sz w:val="20"/>
                <w:szCs w:val="20"/>
                <w:lang w:eastAsia="en-ZA"/>
              </w:rPr>
              <w:t>(Anda et al. 2001; Gherardi et al. 2011; Lodge et al. 2012)</w:t>
            </w:r>
            <w:r w:rsidRPr="007B287C">
              <w:rPr>
                <w:rFonts w:ascii="Times New Roman" w:eastAsia="Times New Roman" w:hAnsi="Times New Roman" w:cs="Times New Roman"/>
                <w:color w:val="000000" w:themeColor="text1"/>
                <w:sz w:val="20"/>
                <w:szCs w:val="20"/>
                <w:lang w:eastAsia="en-ZA"/>
              </w:rPr>
              <w:fldChar w:fldCharType="end"/>
            </w:r>
            <w:r w:rsidRPr="007B287C">
              <w:rPr>
                <w:rFonts w:ascii="Times New Roman" w:eastAsia="Times New Roman" w:hAnsi="Times New Roman" w:cs="Times New Roman"/>
                <w:color w:val="000000" w:themeColor="text1"/>
                <w:sz w:val="20"/>
                <w:szCs w:val="20"/>
                <w:lang w:eastAsia="en-ZA"/>
              </w:rPr>
              <w:t xml:space="preserve">. </w:t>
            </w:r>
            <w:r w:rsidRPr="007B287C">
              <w:rPr>
                <w:rFonts w:ascii="Times New Roman" w:eastAsia="Times New Roman" w:hAnsi="Times New Roman" w:cs="Times New Roman"/>
                <w:i/>
                <w:color w:val="000000" w:themeColor="text1"/>
                <w:sz w:val="20"/>
                <w:szCs w:val="20"/>
                <w:lang w:eastAsia="en-ZA"/>
              </w:rPr>
              <w:t>Procambarus clarkii</w:t>
            </w:r>
            <w:r w:rsidRPr="007B287C">
              <w:rPr>
                <w:rFonts w:ascii="Times New Roman" w:eastAsia="Times New Roman" w:hAnsi="Times New Roman" w:cs="Times New Roman"/>
                <w:color w:val="000000" w:themeColor="text1"/>
                <w:sz w:val="20"/>
                <w:szCs w:val="20"/>
                <w:lang w:eastAsia="en-ZA"/>
              </w:rPr>
              <w:t xml:space="preserve"> </w:t>
            </w:r>
            <w:r w:rsidRPr="007B287C">
              <w:rPr>
                <w:rFonts w:ascii="Times New Roman" w:eastAsia="Calibri" w:hAnsi="Times New Roman" w:cs="Times New Roman"/>
                <w:color w:val="000000" w:themeColor="text1"/>
                <w:sz w:val="20"/>
                <w:szCs w:val="20"/>
              </w:rPr>
              <w:t>is a vector for several parasites and diseases including the parasitic fluke flatworms (</w:t>
            </w:r>
            <w:r w:rsidRPr="007B287C">
              <w:rPr>
                <w:rFonts w:ascii="Times New Roman" w:eastAsia="Calibri" w:hAnsi="Times New Roman" w:cs="Times New Roman"/>
                <w:i/>
                <w:color w:val="000000" w:themeColor="text1"/>
                <w:sz w:val="20"/>
                <w:szCs w:val="20"/>
              </w:rPr>
              <w:t>Paragonimus</w:t>
            </w:r>
            <w:r w:rsidRPr="007B287C">
              <w:rPr>
                <w:rFonts w:ascii="Times New Roman" w:eastAsia="Calibri" w:hAnsi="Times New Roman" w:cs="Times New Roman"/>
                <w:color w:val="000000" w:themeColor="text1"/>
                <w:sz w:val="20"/>
                <w:szCs w:val="20"/>
              </w:rPr>
              <w:t xml:space="preserve"> spp.) that causes lung fluke disease in humans, tularemia-causing bacterium </w:t>
            </w:r>
            <w:r w:rsidRPr="007B287C">
              <w:rPr>
                <w:rFonts w:ascii="Times New Roman" w:eastAsia="Calibri" w:hAnsi="Times New Roman" w:cs="Times New Roman"/>
                <w:i/>
                <w:color w:val="000000" w:themeColor="text1"/>
                <w:sz w:val="20"/>
                <w:szCs w:val="20"/>
              </w:rPr>
              <w:t>Francisella tularensis</w:t>
            </w:r>
            <w:r w:rsidRPr="007B287C">
              <w:rPr>
                <w:rFonts w:ascii="Times New Roman" w:eastAsia="Calibri" w:hAnsi="Times New Roman" w:cs="Times New Roman"/>
                <w:color w:val="000000" w:themeColor="text1"/>
                <w:sz w:val="20"/>
                <w:szCs w:val="20"/>
              </w:rPr>
              <w:t xml:space="preserve">, rat lungworm </w:t>
            </w:r>
            <w:r w:rsidRPr="007B287C">
              <w:rPr>
                <w:rFonts w:ascii="Times New Roman" w:eastAsia="Calibri" w:hAnsi="Times New Roman" w:cs="Times New Roman"/>
                <w:i/>
                <w:color w:val="000000" w:themeColor="text1"/>
                <w:sz w:val="20"/>
                <w:szCs w:val="20"/>
              </w:rPr>
              <w:t>Angiostrongylus cantonensis</w:t>
            </w:r>
            <w:r w:rsidRPr="007B287C">
              <w:rPr>
                <w:rFonts w:ascii="Times New Roman" w:eastAsia="Calibri" w:hAnsi="Times New Roman" w:cs="Times New Roman"/>
                <w:color w:val="000000" w:themeColor="text1"/>
                <w:sz w:val="20"/>
                <w:szCs w:val="20"/>
              </w:rPr>
              <w:t xml:space="preserve"> that causes meningitis, and the nematode </w:t>
            </w:r>
            <w:r w:rsidRPr="007B287C">
              <w:rPr>
                <w:rFonts w:ascii="Times New Roman" w:eastAsia="Calibri" w:hAnsi="Times New Roman" w:cs="Times New Roman"/>
                <w:i/>
                <w:color w:val="000000" w:themeColor="text1"/>
                <w:sz w:val="20"/>
                <w:szCs w:val="20"/>
              </w:rPr>
              <w:t xml:space="preserve">Gnathostoma </w:t>
            </w:r>
            <w:r w:rsidRPr="004D1E6F">
              <w:rPr>
                <w:rFonts w:ascii="Times New Roman" w:eastAsia="Calibri" w:hAnsi="Times New Roman" w:cs="Times New Roman"/>
                <w:i/>
                <w:sz w:val="20"/>
                <w:szCs w:val="20"/>
              </w:rPr>
              <w:t>spinigerum</w:t>
            </w:r>
            <w:r w:rsidRPr="004D1E6F">
              <w:rPr>
                <w:rFonts w:ascii="Times New Roman" w:eastAsia="Calibri" w:hAnsi="Times New Roman" w:cs="Times New Roman"/>
                <w:sz w:val="20"/>
                <w:szCs w:val="20"/>
              </w:rPr>
              <w:t xml:space="preserve"> that causes human gnathostomiasis </w:t>
            </w:r>
            <w:r w:rsidRPr="004D1E6F">
              <w:rPr>
                <w:rFonts w:ascii="Times New Roman" w:eastAsia="Calibri" w:hAnsi="Times New Roman" w:cs="Times New Roman"/>
                <w:sz w:val="20"/>
                <w:szCs w:val="20"/>
              </w:rPr>
              <w:fldChar w:fldCharType="begin" w:fldLock="1"/>
            </w:r>
            <w:r w:rsidRPr="004D1E6F">
              <w:rPr>
                <w:rFonts w:ascii="Times New Roman" w:eastAsia="Calibri" w:hAnsi="Times New Roman" w:cs="Times New Roman"/>
                <w:sz w:val="20"/>
                <w:szCs w:val="20"/>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"author" : [ { "dropping-particle" : "", "family" : "Souty-grosset", "given" : "Catherine", "non-dropping-particle" : "", "parse-names" : false, "suffix" : "" }, { "dropping-particle" : "", "family" : "Manuel", "given" : "Pedro", "non-dropping-particle" : "", "parse-names" : false, "suffix" : "" }, { "dropping-particle" : "", "family" : "Aquilo</w:instrText>
            </w:r>
            <w:r w:rsidRPr="000E6BA8">
              <w:rPr>
                <w:rFonts w:ascii="Times New Roman" w:eastAsia="Calibri" w:hAnsi="Times New Roman" w:cs="Times New Roman"/>
                <w:sz w:val="20"/>
                <w:szCs w:val="20"/>
                <w:lang w:val="fr-FR"/>
              </w:rPr>
              <w:instrText>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"(de Moor 2002, Souty-grosset et al. 2016)", "manualFormatting" : "(de Moor 2002, Souty-grosset et al. 2016, Putra et al. 2017)", "plainTextFormattedCitation" : "(de Moor 2002, Souty-grosset et al. 2016)", "previouslyFormattedCitation" : "(de Moor 2002, Souty-grosset et al. 2016)" }, "properties" : { "noteIndex" : 0 }, "schema" : "https://github.com/citation-style-language/schema/raw/master/csl-citation.json" }</w:instrText>
            </w:r>
            <w:r w:rsidRPr="004D1E6F">
              <w:rPr>
                <w:rFonts w:ascii="Times New Roman" w:eastAsia="Calibri" w:hAnsi="Times New Roman" w:cs="Times New Roman"/>
                <w:sz w:val="20"/>
                <w:szCs w:val="20"/>
              </w:rPr>
              <w:fldChar w:fldCharType="separate"/>
            </w:r>
            <w:r w:rsidRPr="000E6BA8">
              <w:rPr>
                <w:rFonts w:ascii="Times New Roman" w:eastAsia="Calibri" w:hAnsi="Times New Roman" w:cs="Times New Roman"/>
                <w:sz w:val="20"/>
                <w:szCs w:val="20"/>
                <w:lang w:val="fr-FR"/>
              </w:rPr>
              <w:t>(Edgerton et al. 2002; Lane et al 2009; Souty-Grosset et al. 2016)</w:t>
            </w:r>
            <w:r w:rsidRPr="004D1E6F">
              <w:rPr>
                <w:rFonts w:ascii="Times New Roman" w:eastAsia="Calibri" w:hAnsi="Times New Roman" w:cs="Times New Roman"/>
                <w:sz w:val="20"/>
                <w:szCs w:val="20"/>
              </w:rPr>
              <w:fldChar w:fldCharType="end"/>
            </w:r>
            <w:r w:rsidRPr="004D1E6F">
              <w:rPr>
                <w:rFonts w:ascii="Times New Roman" w:eastAsia="Calibri" w:hAnsi="Times New Roman" w:cs="Times New Roman"/>
                <w:sz w:val="20"/>
                <w:szCs w:val="20"/>
              </w:rPr>
              <w:fldChar w:fldCharType="begin" w:fldLock="1"/>
            </w:r>
            <w:r w:rsidRPr="000E6BA8">
              <w:rPr>
                <w:rFonts w:ascii="Times New Roman" w:eastAsia="Calibri" w:hAnsi="Times New Roman" w:cs="Times New Roman"/>
                <w:sz w:val="20"/>
                <w:szCs w:val="20"/>
                <w:lang w:val="fr-FR"/>
              </w:rPr>
              <w:instrText xml:space="preserve">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"author" : [ { "dropping-particle" : "", "family" : "Souty-grosset", "given" : "Catherine", "non-dropping-particle" : "", </w:instrText>
            </w:r>
            <w:r w:rsidRPr="004D1E6F">
              <w:rPr>
                <w:rFonts w:ascii="Times New Roman" w:eastAsia="Calibri" w:hAnsi="Times New Roman" w:cs="Times New Roman"/>
                <w:sz w:val="20"/>
                <w:szCs w:val="20"/>
              </w:rPr>
              <w:instrText>"parse-names"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"(de Moor 2002, Souty-grosset et al. 2016)", "manualFormatting" : "(de Moor 2002, Souty-grosset et al. 2016, Putra et al. 2017)", "plainTextFormattedCitation" : "(de Moor 2002, Souty-grosset et al. 2016)", "previouslyFormattedCitation" : "(de Moor 2002, Souty-grosset et al. 2016)" }, "properties" : { "noteIndex" : 0 }, "schema" : "https://github.com/citation-style-language/schema/raw/master/csl-citation.json" }</w:instrText>
            </w:r>
            <w:r w:rsidRPr="004D1E6F">
              <w:rPr>
                <w:rFonts w:ascii="Times New Roman" w:eastAsia="Calibri" w:hAnsi="Times New Roman" w:cs="Times New Roman"/>
                <w:sz w:val="20"/>
                <w:szCs w:val="20"/>
              </w:rPr>
              <w:fldChar w:fldCharType="end"/>
            </w:r>
            <w:r w:rsidRPr="004D1E6F">
              <w:rPr>
                <w:rFonts w:ascii="Times New Roman" w:eastAsia="Times New Roman" w:hAnsi="Times New Roman" w:cs="Times New Roman"/>
                <w:color w:val="000000"/>
                <w:sz w:val="20"/>
                <w:szCs w:val="20"/>
                <w:lang w:eastAsia="en-ZA"/>
              </w:rPr>
              <w:t>.</w:t>
            </w:r>
          </w:p>
        </w:tc>
      </w:tr>
      <w:tr w:rsidR="002D7080" w:rsidRPr="00956545" w14:paraId="718604C2" w14:textId="77777777" w:rsidTr="002E2C37">
        <w:trPr>
          <w:trHeight w:val="50"/>
        </w:trPr>
        <w:tc>
          <w:tcPr>
            <w:tcW w:w="9016" w:type="dxa"/>
            <w:gridSpan w:val="2"/>
          </w:tcPr>
          <w:p w14:paraId="3C4427E7" w14:textId="77777777" w:rsidR="002D7080" w:rsidRPr="00956545" w:rsidRDefault="002D7080" w:rsidP="002E2C37">
            <w:pPr>
              <w:ind w:left="720" w:hanging="720"/>
              <w:contextualSpacing/>
              <w:rPr>
                <w:rFonts w:ascii="Times New Roman" w:eastAsia="Times New Roman" w:hAnsi="Times New Roman" w:cs="Times New Roman"/>
                <w:sz w:val="20"/>
                <w:szCs w:val="20"/>
                <w:lang w:eastAsia="en-ZA"/>
              </w:rPr>
            </w:pPr>
            <w:r w:rsidRPr="00956545">
              <w:rPr>
                <w:rFonts w:ascii="Times New Roman" w:eastAsia="Times New Roman" w:hAnsi="Times New Roman" w:cs="Times New Roman"/>
                <w:sz w:val="20"/>
                <w:szCs w:val="20"/>
                <w:lang w:eastAsia="en-ZA"/>
              </w:rPr>
              <w:t>References:</w:t>
            </w:r>
          </w:p>
          <w:p w14:paraId="1DBB8EAE" w14:textId="3218291C" w:rsidR="002D7080" w:rsidRPr="00956545" w:rsidRDefault="002D7080" w:rsidP="002E2C37">
            <w:pPr>
              <w:ind w:left="720" w:hanging="720"/>
              <w:contextualSpacing/>
              <w:jc w:val="both"/>
              <w:rPr>
                <w:rFonts w:ascii="Times New Roman" w:eastAsia="Calibri" w:hAnsi="Times New Roman" w:cs="Times New Roman"/>
                <w:sz w:val="20"/>
                <w:szCs w:val="20"/>
              </w:rPr>
            </w:pPr>
            <w:r w:rsidRPr="00956545">
              <w:rPr>
                <w:rFonts w:ascii="Times New Roman" w:eastAsia="Calibri" w:hAnsi="Times New Roman" w:cs="Times New Roman"/>
                <w:sz w:val="20"/>
                <w:szCs w:val="20"/>
              </w:rPr>
              <w:t xml:space="preserve">Anastácio, P.M., Correia, A.M. &amp; Menino, J.P., 2005, ‘Processes and patterns of plant destruction by crayfish: effects of crayfish size and developmental stages of rice’, </w:t>
            </w:r>
            <w:r w:rsidRPr="00956545">
              <w:rPr>
                <w:rFonts w:ascii="Times New Roman" w:eastAsia="Calibri" w:hAnsi="Times New Roman" w:cs="Times New Roman"/>
                <w:i/>
                <w:sz w:val="20"/>
                <w:szCs w:val="20"/>
              </w:rPr>
              <w:t xml:space="preserve">Archiv für Hydrobiologie </w:t>
            </w:r>
            <w:r w:rsidRPr="00956545">
              <w:rPr>
                <w:rFonts w:ascii="Times New Roman" w:eastAsia="Calibri" w:hAnsi="Times New Roman" w:cs="Times New Roman"/>
                <w:bCs/>
                <w:sz w:val="20"/>
                <w:szCs w:val="20"/>
              </w:rPr>
              <w:t>162,</w:t>
            </w:r>
            <w:r w:rsidRPr="00956545">
              <w:rPr>
                <w:rFonts w:ascii="Times New Roman" w:eastAsia="Calibri" w:hAnsi="Times New Roman" w:cs="Times New Roman"/>
                <w:sz w:val="20"/>
                <w:szCs w:val="20"/>
              </w:rPr>
              <w:t xml:space="preserve"> 37-51. </w:t>
            </w:r>
            <w:hyperlink w:history="1">
              <w:r w:rsidRPr="00956545">
                <w:rPr>
                  <w:rStyle w:val="Hyperlink"/>
                  <w:rFonts w:ascii="Times New Roman" w:eastAsia="Calibri" w:hAnsi="Times New Roman" w:cs="Times New Roman"/>
                  <w:sz w:val="20"/>
                  <w:szCs w:val="20"/>
                </w:rPr>
                <w:t>h</w:t>
              </w:r>
              <w:r w:rsidR="006B18BA" w:rsidRPr="00956545">
                <w:rPr>
                  <w:rStyle w:val="Hyperlink"/>
                  <w:rFonts w:ascii="Times New Roman" w:eastAsia="Calibri" w:hAnsi="Times New Roman" w:cs="Times New Roman"/>
                  <w:sz w:val="20"/>
                  <w:szCs w:val="20"/>
                </w:rPr>
                <w:t xml:space="preserve"> https://doi.org/10.1127/0003-9136/2005/0162-0037</w:t>
              </w:r>
            </w:hyperlink>
            <w:r w:rsidRPr="00956545">
              <w:rPr>
                <w:rFonts w:ascii="Times New Roman" w:eastAsia="Calibri" w:hAnsi="Times New Roman" w:cs="Times New Roman"/>
                <w:sz w:val="20"/>
                <w:szCs w:val="20"/>
              </w:rPr>
              <w:t>.</w:t>
            </w:r>
          </w:p>
          <w:p w14:paraId="3F5D60CF" w14:textId="37051723" w:rsidR="002D7080" w:rsidRPr="00956545" w:rsidRDefault="002D7080" w:rsidP="002E2C37">
            <w:pPr>
              <w:autoSpaceDE w:val="0"/>
              <w:autoSpaceDN w:val="0"/>
              <w:adjustRightInd w:val="0"/>
              <w:ind w:left="567" w:hanging="567"/>
              <w:contextualSpacing/>
              <w:jc w:val="both"/>
              <w:rPr>
                <w:rFonts w:ascii="Times New Roman" w:eastAsia="Calibri" w:hAnsi="Times New Roman" w:cs="Times New Roman"/>
                <w:sz w:val="20"/>
                <w:szCs w:val="20"/>
              </w:rPr>
            </w:pPr>
            <w:r w:rsidRPr="00956545">
              <w:rPr>
                <w:rFonts w:ascii="Times New Roman" w:eastAsia="Calibri" w:hAnsi="Times New Roman" w:cs="Times New Roman"/>
                <w:sz w:val="20"/>
                <w:szCs w:val="20"/>
              </w:rPr>
              <w:t>Alcorlo, P., Otero, M., Crehuet, M., Baltanás, A. &amp; Montes, C., 2006, ‘The use of the red swamp crayfish (</w:t>
            </w:r>
            <w:r w:rsidRPr="00956545">
              <w:rPr>
                <w:rFonts w:ascii="Times New Roman" w:eastAsia="Calibri" w:hAnsi="Times New Roman" w:cs="Times New Roman"/>
                <w:i/>
                <w:iCs/>
                <w:sz w:val="20"/>
                <w:szCs w:val="20"/>
              </w:rPr>
              <w:t xml:space="preserve">Procambarus clarkii </w:t>
            </w:r>
            <w:r w:rsidRPr="00956545">
              <w:rPr>
                <w:rFonts w:ascii="Times New Roman" w:eastAsia="Calibri" w:hAnsi="Times New Roman" w:cs="Times New Roman"/>
                <w:sz w:val="20"/>
                <w:szCs w:val="20"/>
              </w:rPr>
              <w:t xml:space="preserve">Girard) as indicator of the bioavailability of heavy metals in environmental monitoring in the River Guadiamar (SW Spain)’, </w:t>
            </w:r>
            <w:r w:rsidRPr="00956545">
              <w:rPr>
                <w:rFonts w:ascii="Times New Roman" w:eastAsia="Calibri" w:hAnsi="Times New Roman" w:cs="Times New Roman"/>
                <w:i/>
                <w:iCs/>
                <w:sz w:val="20"/>
                <w:szCs w:val="20"/>
              </w:rPr>
              <w:t xml:space="preserve">Science of the Total Environment </w:t>
            </w:r>
            <w:r w:rsidRPr="00956545">
              <w:rPr>
                <w:rFonts w:ascii="Times New Roman" w:eastAsia="Calibri" w:hAnsi="Times New Roman" w:cs="Times New Roman"/>
                <w:bCs/>
                <w:sz w:val="20"/>
                <w:szCs w:val="20"/>
              </w:rPr>
              <w:t xml:space="preserve">366, </w:t>
            </w:r>
            <w:r w:rsidRPr="00956545">
              <w:rPr>
                <w:rFonts w:ascii="Times New Roman" w:eastAsia="Calibri" w:hAnsi="Times New Roman" w:cs="Times New Roman"/>
                <w:sz w:val="20"/>
                <w:szCs w:val="20"/>
              </w:rPr>
              <w:t>380-</w:t>
            </w:r>
            <w:r w:rsidRPr="00956545">
              <w:rPr>
                <w:rFonts w:ascii="Times New Roman" w:eastAsia="Times New Roman" w:hAnsi="Times New Roman" w:cs="Times New Roman"/>
                <w:color w:val="000000"/>
                <w:sz w:val="20"/>
                <w:szCs w:val="20"/>
                <w:lang w:eastAsia="en-ZA"/>
              </w:rPr>
              <w:t>–</w:t>
            </w:r>
            <w:r w:rsidRPr="00956545">
              <w:rPr>
                <w:rFonts w:ascii="Times New Roman" w:eastAsia="Calibri" w:hAnsi="Times New Roman" w:cs="Times New Roman"/>
                <w:sz w:val="20"/>
                <w:szCs w:val="20"/>
              </w:rPr>
              <w:t xml:space="preserve">390. </w:t>
            </w:r>
            <w:r w:rsidR="006B18BA" w:rsidRPr="00956545">
              <w:rPr>
                <w:rFonts w:ascii="Times New Roman" w:hAnsi="Times New Roman" w:cs="Times New Roman"/>
                <w:sz w:val="20"/>
                <w:szCs w:val="20"/>
              </w:rPr>
              <w:t>https://doi.org/10.1016/j.scitotenv.2006.02.023</w:t>
            </w:r>
            <w:r w:rsidRPr="00956545">
              <w:rPr>
                <w:rFonts w:ascii="Times New Roman" w:eastAsia="Calibri" w:hAnsi="Times New Roman" w:cs="Times New Roman"/>
                <w:sz w:val="20"/>
                <w:szCs w:val="20"/>
              </w:rPr>
              <w:t xml:space="preserve"> </w:t>
            </w:r>
          </w:p>
          <w:p w14:paraId="7C57B67E" w14:textId="3E6FBE0F" w:rsidR="002D7080" w:rsidRPr="00956545" w:rsidRDefault="002D7080" w:rsidP="002E2C37">
            <w:pPr>
              <w:ind w:left="567" w:hanging="567"/>
              <w:contextualSpacing/>
              <w:jc w:val="both"/>
              <w:rPr>
                <w:rFonts w:ascii="Times New Roman" w:hAnsi="Times New Roman" w:cs="Times New Roman"/>
                <w:sz w:val="20"/>
                <w:szCs w:val="20"/>
              </w:rPr>
            </w:pPr>
            <w:r w:rsidRPr="00956545">
              <w:rPr>
                <w:rFonts w:ascii="Times New Roman" w:eastAsia="Calibri" w:hAnsi="Times New Roman" w:cs="Times New Roman"/>
                <w:sz w:val="20"/>
                <w:szCs w:val="20"/>
              </w:rPr>
              <w:t xml:space="preserve">Anda, P., Segura del Pozo, J., Díaz García, J.M., Escudero, R., García Peña, F.J., López Velasco, M.C., et al., 2001, ‘Waterborne outbreak of tularemia associated with crayfish fishing’, </w:t>
            </w:r>
            <w:r w:rsidRPr="00956545">
              <w:rPr>
                <w:rFonts w:ascii="Times New Roman" w:eastAsia="Calibri" w:hAnsi="Times New Roman" w:cs="Times New Roman"/>
                <w:i/>
                <w:iCs/>
                <w:sz w:val="20"/>
                <w:szCs w:val="20"/>
              </w:rPr>
              <w:t xml:space="preserve">Emerging Infectious Diseases </w:t>
            </w:r>
            <w:r w:rsidRPr="00956545">
              <w:rPr>
                <w:rFonts w:ascii="Times New Roman" w:eastAsia="Calibri" w:hAnsi="Times New Roman" w:cs="Times New Roman"/>
                <w:bCs/>
                <w:sz w:val="20"/>
                <w:szCs w:val="20"/>
              </w:rPr>
              <w:t xml:space="preserve">7, </w:t>
            </w:r>
            <w:r w:rsidRPr="00956545">
              <w:rPr>
                <w:rFonts w:ascii="Times New Roman" w:eastAsia="Calibri" w:hAnsi="Times New Roman" w:cs="Times New Roman"/>
                <w:sz w:val="20"/>
                <w:szCs w:val="20"/>
              </w:rPr>
              <w:t>575</w:t>
            </w:r>
            <w:r w:rsidRPr="00956545">
              <w:rPr>
                <w:rFonts w:ascii="Times New Roman" w:eastAsia="Times New Roman" w:hAnsi="Times New Roman" w:cs="Times New Roman"/>
                <w:color w:val="000000"/>
                <w:sz w:val="20"/>
                <w:szCs w:val="20"/>
                <w:lang w:eastAsia="en-ZA"/>
              </w:rPr>
              <w:t>–</w:t>
            </w:r>
            <w:r w:rsidRPr="00956545">
              <w:rPr>
                <w:rFonts w:ascii="Times New Roman" w:eastAsia="Calibri" w:hAnsi="Times New Roman" w:cs="Times New Roman"/>
                <w:sz w:val="20"/>
                <w:szCs w:val="20"/>
              </w:rPr>
              <w:t xml:space="preserve">82. </w:t>
            </w:r>
            <w:hyperlink r:id="rId500" w:history="1">
              <w:r w:rsidR="006B18BA" w:rsidRPr="00956545">
                <w:rPr>
                  <w:rStyle w:val="Hyperlink"/>
                  <w:rFonts w:ascii="Times New Roman" w:hAnsi="Times New Roman" w:cs="Times New Roman"/>
                  <w:sz w:val="20"/>
                  <w:szCs w:val="20"/>
                </w:rPr>
                <w:t>https://doi.org/10.3201/eid0707.010740</w:t>
              </w:r>
            </w:hyperlink>
            <w:r w:rsidR="00956545" w:rsidRPr="00956545">
              <w:rPr>
                <w:rFonts w:ascii="Times New Roman" w:hAnsi="Times New Roman" w:cs="Times New Roman"/>
                <w:sz w:val="20"/>
                <w:szCs w:val="20"/>
              </w:rPr>
              <w:t>.</w:t>
            </w:r>
          </w:p>
          <w:p w14:paraId="4C01030C" w14:textId="77777777" w:rsidR="002D7080" w:rsidRPr="00956545" w:rsidRDefault="002D7080" w:rsidP="002E2C37">
            <w:pPr>
              <w:ind w:left="567" w:hanging="567"/>
              <w:contextualSpacing/>
              <w:jc w:val="both"/>
              <w:rPr>
                <w:rFonts w:ascii="Times New Roman" w:eastAsia="Calibri" w:hAnsi="Times New Roman" w:cs="Times New Roman"/>
                <w:sz w:val="20"/>
                <w:szCs w:val="20"/>
              </w:rPr>
            </w:pPr>
            <w:r w:rsidRPr="00956545">
              <w:rPr>
                <w:rFonts w:ascii="Times New Roman" w:eastAsia="Calibri" w:hAnsi="Times New Roman" w:cs="Times New Roman"/>
                <w:sz w:val="20"/>
                <w:szCs w:val="20"/>
              </w:rPr>
              <w:t xml:space="preserve">Arce, J.A. &amp; Diéguez-Uribeondo, J., 2015, ‘Structural damage caused by the invasive crayfish </w:t>
            </w:r>
            <w:r w:rsidRPr="00956545">
              <w:rPr>
                <w:rFonts w:ascii="Times New Roman" w:eastAsia="Calibri" w:hAnsi="Times New Roman" w:cs="Times New Roman"/>
                <w:i/>
                <w:sz w:val="20"/>
                <w:szCs w:val="20"/>
              </w:rPr>
              <w:t>Procambarus clarkii</w:t>
            </w:r>
            <w:r w:rsidRPr="00956545">
              <w:rPr>
                <w:rFonts w:ascii="Times New Roman" w:eastAsia="Calibri" w:hAnsi="Times New Roman" w:cs="Times New Roman"/>
                <w:sz w:val="20"/>
                <w:szCs w:val="20"/>
              </w:rPr>
              <w:t xml:space="preserve"> (Girard, 1852) in rice fields of the Iberian Peninsula: A study case’, </w:t>
            </w:r>
            <w:r w:rsidRPr="00956545">
              <w:rPr>
                <w:rFonts w:ascii="Times New Roman" w:eastAsia="Calibri" w:hAnsi="Times New Roman" w:cs="Times New Roman"/>
                <w:i/>
                <w:sz w:val="20"/>
                <w:szCs w:val="20"/>
              </w:rPr>
              <w:t>Fundamental and Applied Limnology</w:t>
            </w:r>
            <w:r w:rsidRPr="00956545">
              <w:rPr>
                <w:rFonts w:ascii="Times New Roman" w:eastAsia="Calibri" w:hAnsi="Times New Roman" w:cs="Times New Roman"/>
                <w:sz w:val="20"/>
                <w:szCs w:val="20"/>
              </w:rPr>
              <w:t xml:space="preserve"> </w:t>
            </w:r>
            <w:r w:rsidRPr="00956545">
              <w:rPr>
                <w:rFonts w:ascii="Times New Roman" w:eastAsia="Calibri" w:hAnsi="Times New Roman" w:cs="Times New Roman"/>
                <w:bCs/>
                <w:sz w:val="20"/>
                <w:szCs w:val="20"/>
              </w:rPr>
              <w:t>186,</w:t>
            </w:r>
            <w:r w:rsidRPr="00956545">
              <w:rPr>
                <w:rFonts w:ascii="Times New Roman" w:eastAsia="Calibri" w:hAnsi="Times New Roman" w:cs="Times New Roman"/>
                <w:sz w:val="20"/>
                <w:szCs w:val="20"/>
              </w:rPr>
              <w:t xml:space="preserve"> 259-269. </w:t>
            </w:r>
            <w:hyperlink w:history="1">
              <w:r w:rsidRPr="00956545">
                <w:rPr>
                  <w:rStyle w:val="Hyperlink"/>
                  <w:rFonts w:ascii="Times New Roman" w:eastAsia="Calibri" w:hAnsi="Times New Roman" w:cs="Times New Roman"/>
                  <w:sz w:val="20"/>
                  <w:szCs w:val="20"/>
                </w:rPr>
                <w:t>https://doi.org/10.1127/fal/2015/0715</w:t>
              </w:r>
            </w:hyperlink>
            <w:r w:rsidRPr="00956545">
              <w:rPr>
                <w:rFonts w:ascii="Times New Roman" w:eastAsia="Calibri" w:hAnsi="Times New Roman" w:cs="Times New Roman"/>
                <w:sz w:val="20"/>
                <w:szCs w:val="20"/>
              </w:rPr>
              <w:t>.</w:t>
            </w:r>
          </w:p>
          <w:p w14:paraId="5DDEC630" w14:textId="77777777" w:rsidR="002D7080" w:rsidRPr="00956545" w:rsidRDefault="002D7080" w:rsidP="002E2C37">
            <w:pPr>
              <w:autoSpaceDE w:val="0"/>
              <w:autoSpaceDN w:val="0"/>
              <w:adjustRightInd w:val="0"/>
              <w:ind w:left="567" w:hanging="567"/>
              <w:contextualSpacing/>
              <w:jc w:val="both"/>
              <w:rPr>
                <w:rFonts w:ascii="Times New Roman" w:eastAsia="Calibri" w:hAnsi="Times New Roman" w:cs="Times New Roman"/>
                <w:sz w:val="20"/>
                <w:szCs w:val="20"/>
              </w:rPr>
            </w:pPr>
            <w:r w:rsidRPr="00956545">
              <w:rPr>
                <w:rFonts w:ascii="Times New Roman" w:eastAsia="Calibri" w:hAnsi="Times New Roman" w:cs="Times New Roman"/>
                <w:sz w:val="20"/>
                <w:szCs w:val="20"/>
              </w:rPr>
              <w:t xml:space="preserve">Edgerton, B.F., Evans, L.H., Stephens, F.J. &amp; Overstreet, R.M., 2002, ‘Synopsis of freshwater crayfish diseases and commensal organisms’, </w:t>
            </w:r>
            <w:r w:rsidRPr="00956545">
              <w:rPr>
                <w:rFonts w:ascii="Times New Roman" w:eastAsia="Calibri" w:hAnsi="Times New Roman" w:cs="Times New Roman"/>
                <w:i/>
                <w:iCs/>
                <w:sz w:val="20"/>
                <w:szCs w:val="20"/>
              </w:rPr>
              <w:t xml:space="preserve">Aquaculture </w:t>
            </w:r>
            <w:r w:rsidRPr="00956545">
              <w:rPr>
                <w:rFonts w:ascii="Times New Roman" w:eastAsia="Calibri" w:hAnsi="Times New Roman" w:cs="Times New Roman"/>
                <w:bCs/>
                <w:sz w:val="20"/>
                <w:szCs w:val="20"/>
              </w:rPr>
              <w:t>206,</w:t>
            </w:r>
            <w:r w:rsidRPr="00956545">
              <w:rPr>
                <w:rFonts w:ascii="Times New Roman" w:eastAsia="Calibri" w:hAnsi="Times New Roman" w:cs="Times New Roman"/>
                <w:sz w:val="20"/>
                <w:szCs w:val="20"/>
              </w:rPr>
              <w:t xml:space="preserve"> 57</w:t>
            </w:r>
            <w:r w:rsidRPr="00956545">
              <w:rPr>
                <w:rFonts w:ascii="Times New Roman" w:eastAsia="Times New Roman" w:hAnsi="Times New Roman" w:cs="Times New Roman"/>
                <w:color w:val="000000"/>
                <w:sz w:val="20"/>
                <w:szCs w:val="20"/>
                <w:lang w:eastAsia="en-ZA"/>
              </w:rPr>
              <w:t>–</w:t>
            </w:r>
            <w:r w:rsidRPr="00956545">
              <w:rPr>
                <w:rFonts w:ascii="Times New Roman" w:eastAsia="Calibri" w:hAnsi="Times New Roman" w:cs="Times New Roman"/>
                <w:sz w:val="20"/>
                <w:szCs w:val="20"/>
              </w:rPr>
              <w:t xml:space="preserve">135. </w:t>
            </w:r>
            <w:hyperlink w:history="1">
              <w:r w:rsidRPr="00956545">
                <w:rPr>
                  <w:rStyle w:val="Hyperlink"/>
                  <w:rFonts w:ascii="Times New Roman" w:eastAsia="Calibri" w:hAnsi="Times New Roman" w:cs="Times New Roman"/>
                  <w:sz w:val="20"/>
                  <w:szCs w:val="20"/>
                </w:rPr>
                <w:t>https://doi.org/10.1016/S0044-8486(01)00865-1</w:t>
              </w:r>
            </w:hyperlink>
            <w:r w:rsidRPr="00956545">
              <w:rPr>
                <w:rFonts w:ascii="Times New Roman" w:eastAsia="Calibri" w:hAnsi="Times New Roman" w:cs="Times New Roman"/>
                <w:sz w:val="20"/>
                <w:szCs w:val="20"/>
              </w:rPr>
              <w:t xml:space="preserve">. </w:t>
            </w:r>
          </w:p>
          <w:p w14:paraId="46660FAE" w14:textId="77777777" w:rsidR="002D7080" w:rsidRPr="00956545" w:rsidRDefault="002D7080" w:rsidP="002E2C37">
            <w:pPr>
              <w:autoSpaceDE w:val="0"/>
              <w:autoSpaceDN w:val="0"/>
              <w:adjustRightInd w:val="0"/>
              <w:ind w:left="567" w:hanging="567"/>
              <w:contextualSpacing/>
              <w:jc w:val="both"/>
              <w:rPr>
                <w:rFonts w:ascii="Times New Roman" w:eastAsia="Calibri" w:hAnsi="Times New Roman" w:cs="Times New Roman"/>
                <w:sz w:val="20"/>
                <w:szCs w:val="20"/>
              </w:rPr>
            </w:pPr>
            <w:r w:rsidRPr="00956545">
              <w:rPr>
                <w:rFonts w:ascii="Times New Roman" w:eastAsia="Calibri" w:hAnsi="Times New Roman" w:cs="Times New Roman"/>
                <w:color w:val="000000" w:themeColor="text1"/>
                <w:sz w:val="20"/>
                <w:szCs w:val="20"/>
              </w:rPr>
              <w:t xml:space="preserve">Gherardi, F., Barbaresi, S., Vaselli, O. &amp; Bencini, A., 2002, ‘A comparison of trace metal accumulation in indigenous and alien freshwater macro-decapods’, </w:t>
            </w:r>
            <w:r w:rsidRPr="00956545">
              <w:rPr>
                <w:rFonts w:ascii="Times New Roman" w:eastAsia="Calibri" w:hAnsi="Times New Roman" w:cs="Times New Roman"/>
                <w:i/>
                <w:iCs/>
                <w:color w:val="000000" w:themeColor="text1"/>
                <w:sz w:val="20"/>
                <w:szCs w:val="20"/>
              </w:rPr>
              <w:t xml:space="preserve">Marine and Freshwater Behaviour and Physiology </w:t>
            </w:r>
            <w:r w:rsidRPr="00956545">
              <w:rPr>
                <w:rFonts w:ascii="Times New Roman" w:eastAsia="Calibri" w:hAnsi="Times New Roman" w:cs="Times New Roman"/>
                <w:bCs/>
                <w:color w:val="000000" w:themeColor="text1"/>
                <w:sz w:val="20"/>
                <w:szCs w:val="20"/>
              </w:rPr>
              <w:t xml:space="preserve">35, </w:t>
            </w:r>
            <w:r w:rsidRPr="00956545">
              <w:rPr>
                <w:rFonts w:ascii="Times New Roman" w:eastAsia="Calibri" w:hAnsi="Times New Roman" w:cs="Times New Roman"/>
                <w:color w:val="000000" w:themeColor="text1"/>
                <w:sz w:val="20"/>
                <w:szCs w:val="20"/>
              </w:rPr>
              <w:t>179</w:t>
            </w:r>
            <w:r w:rsidRPr="00956545">
              <w:rPr>
                <w:rFonts w:ascii="Times New Roman" w:eastAsia="Times New Roman" w:hAnsi="Times New Roman" w:cs="Times New Roman"/>
                <w:color w:val="000000" w:themeColor="text1"/>
                <w:sz w:val="20"/>
                <w:szCs w:val="20"/>
                <w:lang w:eastAsia="en-ZA"/>
              </w:rPr>
              <w:t>–</w:t>
            </w:r>
            <w:r w:rsidRPr="00956545">
              <w:rPr>
                <w:rFonts w:ascii="Times New Roman" w:eastAsia="Calibri" w:hAnsi="Times New Roman" w:cs="Times New Roman"/>
                <w:color w:val="000000" w:themeColor="text1"/>
                <w:sz w:val="20"/>
                <w:szCs w:val="20"/>
              </w:rPr>
              <w:t>88</w:t>
            </w:r>
            <w:r w:rsidRPr="00956545">
              <w:rPr>
                <w:rFonts w:ascii="Times New Roman" w:eastAsia="Calibri" w:hAnsi="Times New Roman" w:cs="Times New Roman"/>
                <w:sz w:val="20"/>
                <w:szCs w:val="20"/>
              </w:rPr>
              <w:t xml:space="preserve">. </w:t>
            </w:r>
            <w:hyperlink w:history="1">
              <w:r w:rsidRPr="00956545">
                <w:rPr>
                  <w:rStyle w:val="Hyperlink"/>
                  <w:rFonts w:ascii="Times New Roman" w:eastAsia="Calibri" w:hAnsi="Times New Roman" w:cs="Times New Roman"/>
                  <w:sz w:val="20"/>
                  <w:szCs w:val="20"/>
                </w:rPr>
                <w:t>https://doi.org/10.1080/1023624021000014761</w:t>
              </w:r>
            </w:hyperlink>
            <w:r w:rsidRPr="00956545">
              <w:rPr>
                <w:rFonts w:ascii="Times New Roman" w:eastAsia="Calibri" w:hAnsi="Times New Roman" w:cs="Times New Roman"/>
                <w:sz w:val="20"/>
                <w:szCs w:val="20"/>
              </w:rPr>
              <w:t xml:space="preserve">. </w:t>
            </w:r>
          </w:p>
          <w:p w14:paraId="547463CC" w14:textId="77777777" w:rsidR="002D7080" w:rsidRPr="00956545" w:rsidRDefault="002D7080" w:rsidP="002E2C37">
            <w:pPr>
              <w:autoSpaceDE w:val="0"/>
              <w:autoSpaceDN w:val="0"/>
              <w:adjustRightInd w:val="0"/>
              <w:ind w:left="567" w:hanging="567"/>
              <w:contextualSpacing/>
              <w:jc w:val="both"/>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Gherardi, F., Robert, F.J., Kenneth, B.B., Mavuti, M., Pacini, N., Grey, J., et al., 2011, ‘A review of allodiversity in Lake Naivasha, Kenya: Developing conservation actions to protect East African lakes from the negative impacts of alien species’,</w:t>
            </w:r>
            <w:r w:rsidRPr="00956545">
              <w:rPr>
                <w:rFonts w:ascii="Times New Roman" w:eastAsia="AdvGulliv-R" w:hAnsi="Times New Roman" w:cs="Times New Roman"/>
                <w:color w:val="000066"/>
                <w:sz w:val="20"/>
                <w:szCs w:val="20"/>
              </w:rPr>
              <w:t xml:space="preserve"> </w:t>
            </w:r>
            <w:r w:rsidRPr="00956545">
              <w:rPr>
                <w:rFonts w:ascii="Times New Roman" w:eastAsia="Times New Roman" w:hAnsi="Times New Roman" w:cs="Times New Roman"/>
                <w:i/>
                <w:color w:val="000000"/>
                <w:sz w:val="20"/>
                <w:szCs w:val="20"/>
                <w:lang w:eastAsia="en-ZA"/>
              </w:rPr>
              <w:t>Biological Conservation</w:t>
            </w:r>
            <w:r w:rsidRPr="00956545">
              <w:rPr>
                <w:rFonts w:ascii="Times New Roman" w:eastAsia="Times New Roman" w:hAnsi="Times New Roman" w:cs="Times New Roman"/>
                <w:color w:val="000000"/>
                <w:sz w:val="20"/>
                <w:szCs w:val="20"/>
                <w:lang w:eastAsia="en-ZA"/>
              </w:rPr>
              <w:t xml:space="preserve"> </w:t>
            </w:r>
            <w:r w:rsidRPr="00956545">
              <w:rPr>
                <w:rFonts w:ascii="Times New Roman" w:eastAsia="Times New Roman" w:hAnsi="Times New Roman" w:cs="Times New Roman"/>
                <w:bCs/>
                <w:color w:val="000000"/>
                <w:sz w:val="20"/>
                <w:szCs w:val="20"/>
                <w:lang w:eastAsia="en-ZA"/>
              </w:rPr>
              <w:t>144,</w:t>
            </w:r>
            <w:r w:rsidRPr="00956545">
              <w:rPr>
                <w:rFonts w:ascii="Times New Roman" w:eastAsia="Times New Roman" w:hAnsi="Times New Roman" w:cs="Times New Roman"/>
                <w:color w:val="000000"/>
                <w:sz w:val="20"/>
                <w:szCs w:val="20"/>
                <w:lang w:eastAsia="en-ZA"/>
              </w:rPr>
              <w:t xml:space="preserve"> 2585–2596. </w:t>
            </w:r>
            <w:hyperlink w:history="1">
              <w:r w:rsidRPr="00956545">
                <w:rPr>
                  <w:rStyle w:val="Hyperlink"/>
                  <w:rFonts w:ascii="Times New Roman" w:eastAsia="Times New Roman" w:hAnsi="Times New Roman" w:cs="Times New Roman"/>
                  <w:sz w:val="20"/>
                  <w:szCs w:val="20"/>
                  <w:lang w:eastAsia="en-ZA"/>
                </w:rPr>
                <w:t>https://doi.org/10.1016/j.biocon.2011.07.020</w:t>
              </w:r>
            </w:hyperlink>
            <w:r w:rsidRPr="00956545">
              <w:rPr>
                <w:rFonts w:ascii="Times New Roman" w:eastAsia="Times New Roman" w:hAnsi="Times New Roman" w:cs="Times New Roman"/>
                <w:color w:val="000000"/>
                <w:sz w:val="20"/>
                <w:szCs w:val="20"/>
                <w:lang w:eastAsia="en-ZA"/>
              </w:rPr>
              <w:t xml:space="preserve">. </w:t>
            </w:r>
          </w:p>
          <w:p w14:paraId="10255DEE" w14:textId="77777777" w:rsidR="002D7080" w:rsidRPr="00956545" w:rsidRDefault="002D7080" w:rsidP="002E2C37">
            <w:pPr>
              <w:autoSpaceDE w:val="0"/>
              <w:autoSpaceDN w:val="0"/>
              <w:adjustRightInd w:val="0"/>
              <w:ind w:left="567" w:hanging="567"/>
              <w:contextualSpacing/>
              <w:jc w:val="both"/>
              <w:rPr>
                <w:rFonts w:ascii="Times New Roman" w:eastAsia="Calibri" w:hAnsi="Times New Roman" w:cs="Times New Roman"/>
                <w:sz w:val="20"/>
                <w:szCs w:val="20"/>
              </w:rPr>
            </w:pPr>
            <w:r w:rsidRPr="00956545">
              <w:rPr>
                <w:rFonts w:ascii="Times New Roman" w:eastAsia="Calibri" w:hAnsi="Times New Roman" w:cs="Times New Roman"/>
                <w:sz w:val="20"/>
                <w:szCs w:val="20"/>
              </w:rPr>
              <w:lastRenderedPageBreak/>
              <w:t xml:space="preserve">Lane, M.A., Barsanti, M.C., Santos, C.A., Yeung, M., Lubner, S.J. &amp; Weil, G.J., 2009, ‘Human paragonimiasis in North America following ingestion of raw crayfish’, </w:t>
            </w:r>
            <w:r w:rsidRPr="00956545">
              <w:rPr>
                <w:rFonts w:ascii="Times New Roman" w:eastAsia="Calibri" w:hAnsi="Times New Roman" w:cs="Times New Roman"/>
                <w:i/>
                <w:iCs/>
                <w:sz w:val="20"/>
                <w:szCs w:val="20"/>
              </w:rPr>
              <w:t xml:space="preserve">Clinical and Infectious Diseases </w:t>
            </w:r>
            <w:r w:rsidRPr="00956545">
              <w:rPr>
                <w:rFonts w:ascii="Times New Roman" w:eastAsia="Calibri" w:hAnsi="Times New Roman" w:cs="Times New Roman"/>
                <w:bCs/>
                <w:sz w:val="20"/>
                <w:szCs w:val="20"/>
              </w:rPr>
              <w:t>49,</w:t>
            </w:r>
            <w:r w:rsidRPr="00956545">
              <w:rPr>
                <w:rFonts w:ascii="Times New Roman" w:eastAsia="Calibri" w:hAnsi="Times New Roman" w:cs="Times New Roman"/>
                <w:sz w:val="20"/>
                <w:szCs w:val="20"/>
              </w:rPr>
              <w:t xml:space="preserve"> 55–61. </w:t>
            </w:r>
            <w:hyperlink w:history="1">
              <w:r w:rsidRPr="00956545">
                <w:rPr>
                  <w:rStyle w:val="Hyperlink"/>
                  <w:rFonts w:ascii="Times New Roman" w:eastAsia="Calibri" w:hAnsi="Times New Roman" w:cs="Times New Roman"/>
                  <w:sz w:val="20"/>
                  <w:szCs w:val="20"/>
                </w:rPr>
                <w:t>https://doi.org/10.1086/605534</w:t>
              </w:r>
            </w:hyperlink>
            <w:r w:rsidRPr="00956545">
              <w:rPr>
                <w:rFonts w:ascii="Times New Roman" w:eastAsia="Calibri" w:hAnsi="Times New Roman" w:cs="Times New Roman"/>
                <w:sz w:val="20"/>
                <w:szCs w:val="20"/>
              </w:rPr>
              <w:t xml:space="preserve">. </w:t>
            </w:r>
          </w:p>
          <w:p w14:paraId="6C3AA8CA" w14:textId="6A0414E6" w:rsidR="006B18BA" w:rsidRPr="00956545" w:rsidRDefault="002D7080" w:rsidP="002E2C37">
            <w:pPr>
              <w:ind w:left="720" w:hanging="720"/>
              <w:contextualSpacing/>
              <w:jc w:val="both"/>
              <w:rPr>
                <w:rFonts w:ascii="Times New Roman" w:eastAsia="Calibri" w:hAnsi="Times New Roman" w:cs="Times New Roman"/>
                <w:sz w:val="20"/>
                <w:szCs w:val="20"/>
              </w:rPr>
            </w:pPr>
            <w:r w:rsidRPr="00956545">
              <w:rPr>
                <w:rFonts w:ascii="Times New Roman" w:eastAsia="Times New Roman" w:hAnsi="Times New Roman" w:cs="Times New Roman"/>
                <w:sz w:val="20"/>
                <w:szCs w:val="20"/>
                <w:lang w:eastAsia="en-ZA"/>
              </w:rPr>
              <w:t xml:space="preserve">Lodge, D.M., Deines, A., Gherardi, F., Yeo, D.C., Arcella, T., Baldridge, A.K., et al., 2012, ‘Global introductions of crayfishes: evaluating the impact of species invasions on ecosystem services’, </w:t>
            </w:r>
            <w:r w:rsidRPr="00956545">
              <w:rPr>
                <w:rFonts w:ascii="Times New Roman" w:eastAsia="Times New Roman" w:hAnsi="Times New Roman" w:cs="Times New Roman"/>
                <w:i/>
                <w:iCs/>
                <w:sz w:val="20"/>
                <w:szCs w:val="20"/>
                <w:lang w:eastAsia="en-ZA"/>
              </w:rPr>
              <w:t>Annual Review of Ecology, Evolution, and Systematics</w:t>
            </w:r>
            <w:r w:rsidRPr="00956545">
              <w:rPr>
                <w:rFonts w:ascii="Times New Roman" w:eastAsia="Times New Roman" w:hAnsi="Times New Roman" w:cs="Times New Roman"/>
                <w:sz w:val="20"/>
                <w:szCs w:val="20"/>
                <w:lang w:eastAsia="en-ZA"/>
              </w:rPr>
              <w:t xml:space="preserve"> </w:t>
            </w:r>
            <w:r w:rsidRPr="00956545">
              <w:rPr>
                <w:rFonts w:ascii="Times New Roman" w:eastAsia="Times New Roman" w:hAnsi="Times New Roman" w:cs="Times New Roman"/>
                <w:iCs/>
                <w:sz w:val="20"/>
                <w:szCs w:val="20"/>
                <w:lang w:eastAsia="en-ZA"/>
              </w:rPr>
              <w:t>43</w:t>
            </w:r>
            <w:r w:rsidRPr="00956545">
              <w:rPr>
                <w:rFonts w:ascii="Times New Roman" w:eastAsia="Times New Roman" w:hAnsi="Times New Roman" w:cs="Times New Roman"/>
                <w:b/>
                <w:sz w:val="20"/>
                <w:szCs w:val="20"/>
                <w:lang w:eastAsia="en-ZA"/>
              </w:rPr>
              <w:t>,</w:t>
            </w:r>
            <w:r w:rsidRPr="00956545">
              <w:rPr>
                <w:rFonts w:ascii="Times New Roman" w:eastAsia="Times New Roman" w:hAnsi="Times New Roman" w:cs="Times New Roman"/>
                <w:sz w:val="20"/>
                <w:szCs w:val="20"/>
                <w:lang w:eastAsia="en-ZA"/>
              </w:rPr>
              <w:t xml:space="preserve"> 449–472. </w:t>
            </w:r>
            <w:r w:rsidR="006B18BA" w:rsidRPr="00956545">
              <w:rPr>
                <w:rFonts w:ascii="Times New Roman" w:hAnsi="Times New Roman" w:cs="Times New Roman"/>
                <w:sz w:val="20"/>
                <w:szCs w:val="20"/>
              </w:rPr>
              <w:t>https://doi.org/10.1146/annurev-ecolsys-111511-103919</w:t>
            </w:r>
          </w:p>
          <w:p w14:paraId="531BEDFE" w14:textId="39A2A8E0" w:rsidR="002D7080" w:rsidRPr="00956545" w:rsidRDefault="002D7080" w:rsidP="002E2C37">
            <w:pPr>
              <w:ind w:left="720" w:hanging="720"/>
              <w:contextualSpacing/>
              <w:jc w:val="both"/>
              <w:rPr>
                <w:rFonts w:ascii="Times New Roman" w:eastAsia="Calibri" w:hAnsi="Times New Roman" w:cs="Times New Roman"/>
                <w:sz w:val="20"/>
                <w:szCs w:val="20"/>
              </w:rPr>
            </w:pPr>
            <w:r w:rsidRPr="00956545">
              <w:rPr>
                <w:rFonts w:ascii="Times New Roman" w:eastAsia="Calibri" w:hAnsi="Times New Roman" w:cs="Times New Roman"/>
                <w:sz w:val="20"/>
                <w:szCs w:val="20"/>
              </w:rPr>
              <w:t xml:space="preserve">Souty-Grosset, C., Anastácio, P.M., Aquiloni, L., Banha, F., Choquer, J., Chucholl, C., et al. 2016. ‘The red swamp crayfish </w:t>
            </w:r>
            <w:r w:rsidRPr="00956545">
              <w:rPr>
                <w:rFonts w:ascii="Times New Roman" w:eastAsia="Calibri" w:hAnsi="Times New Roman" w:cs="Times New Roman"/>
                <w:i/>
                <w:sz w:val="20"/>
                <w:szCs w:val="20"/>
              </w:rPr>
              <w:t>Procambarus clarkii</w:t>
            </w:r>
            <w:r w:rsidRPr="00956545">
              <w:rPr>
                <w:rFonts w:ascii="Times New Roman" w:eastAsia="Calibri" w:hAnsi="Times New Roman" w:cs="Times New Roman"/>
                <w:sz w:val="20"/>
                <w:szCs w:val="20"/>
              </w:rPr>
              <w:t xml:space="preserve"> in Europe: Impacts on aquatic ecosystems and human well-being’,</w:t>
            </w:r>
            <w:r w:rsidRPr="00956545">
              <w:rPr>
                <w:rFonts w:ascii="Times New Roman" w:eastAsia="Calibri" w:hAnsi="Times New Roman" w:cs="Times New Roman"/>
                <w:i/>
                <w:sz w:val="20"/>
                <w:szCs w:val="20"/>
              </w:rPr>
              <w:t xml:space="preserve"> Limnologica</w:t>
            </w:r>
            <w:r w:rsidRPr="00956545">
              <w:rPr>
                <w:rFonts w:ascii="Times New Roman" w:eastAsia="Calibri" w:hAnsi="Times New Roman" w:cs="Times New Roman"/>
                <w:sz w:val="20"/>
                <w:szCs w:val="20"/>
              </w:rPr>
              <w:t xml:space="preserve"> </w:t>
            </w:r>
            <w:r w:rsidRPr="00956545">
              <w:rPr>
                <w:rFonts w:ascii="Times New Roman" w:eastAsia="Calibri" w:hAnsi="Times New Roman" w:cs="Times New Roman"/>
                <w:bCs/>
                <w:sz w:val="20"/>
                <w:szCs w:val="20"/>
              </w:rPr>
              <w:t>58,</w:t>
            </w:r>
            <w:r w:rsidRPr="00956545">
              <w:rPr>
                <w:rFonts w:ascii="Times New Roman" w:eastAsia="Calibri" w:hAnsi="Times New Roman" w:cs="Times New Roman"/>
                <w:sz w:val="20"/>
                <w:szCs w:val="20"/>
              </w:rPr>
              <w:t xml:space="preserve"> 78</w:t>
            </w:r>
            <w:r w:rsidRPr="00956545">
              <w:rPr>
                <w:rFonts w:ascii="Times New Roman" w:eastAsia="Times New Roman" w:hAnsi="Times New Roman" w:cs="Times New Roman"/>
                <w:color w:val="000000"/>
                <w:sz w:val="20"/>
                <w:szCs w:val="20"/>
                <w:lang w:eastAsia="en-ZA"/>
              </w:rPr>
              <w:t>–</w:t>
            </w:r>
            <w:r w:rsidRPr="00956545">
              <w:rPr>
                <w:rFonts w:ascii="Times New Roman" w:eastAsia="Calibri" w:hAnsi="Times New Roman" w:cs="Times New Roman"/>
                <w:sz w:val="20"/>
                <w:szCs w:val="20"/>
              </w:rPr>
              <w:t xml:space="preserve">93. </w:t>
            </w:r>
            <w:r w:rsidR="006B18BA" w:rsidRPr="00956545">
              <w:rPr>
                <w:rFonts w:ascii="Times New Roman" w:hAnsi="Times New Roman" w:cs="Times New Roman"/>
                <w:sz w:val="20"/>
                <w:szCs w:val="20"/>
              </w:rPr>
              <w:t xml:space="preserve">, </w:t>
            </w:r>
            <w:hyperlink r:id="rId501" w:history="1">
              <w:r w:rsidR="006B18BA" w:rsidRPr="00956545">
                <w:rPr>
                  <w:rStyle w:val="Hyperlink"/>
                  <w:rFonts w:ascii="Times New Roman" w:hAnsi="Times New Roman" w:cs="Times New Roman"/>
                  <w:sz w:val="20"/>
                  <w:szCs w:val="20"/>
                </w:rPr>
                <w:t>https://doi.org/10.1016/j.limno.2016.03.003</w:t>
              </w:r>
            </w:hyperlink>
            <w:r w:rsidRPr="00956545">
              <w:rPr>
                <w:rFonts w:ascii="Times New Roman" w:eastAsia="Calibri" w:hAnsi="Times New Roman" w:cs="Times New Roman"/>
                <w:sz w:val="20"/>
                <w:szCs w:val="20"/>
              </w:rPr>
              <w:t>.</w:t>
            </w:r>
          </w:p>
        </w:tc>
      </w:tr>
    </w:tbl>
    <w:p w14:paraId="3D717E5D" w14:textId="77777777" w:rsidR="002D7080" w:rsidRPr="00956545" w:rsidRDefault="002D7080" w:rsidP="002D7080">
      <w:pPr>
        <w:spacing w:after="0" w:line="240" w:lineRule="auto"/>
        <w:contextualSpacing/>
        <w:rPr>
          <w:rFonts w:ascii="Times New Roman" w:eastAsia="Times New Roman" w:hAnsi="Times New Roman" w:cs="Times New Roman"/>
          <w:b/>
          <w:color w:val="000000"/>
          <w:sz w:val="20"/>
          <w:szCs w:val="20"/>
          <w:lang w:eastAsia="en-ZA"/>
        </w:rPr>
      </w:pPr>
    </w:p>
    <w:p w14:paraId="4609813D"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75AFD7A0" w14:textId="77777777" w:rsidR="002D7080" w:rsidRPr="004D1E6F" w:rsidRDefault="002D7080" w:rsidP="002D7080">
      <w:pPr>
        <w:spacing w:after="0" w:line="240" w:lineRule="auto"/>
        <w:rPr>
          <w:rFonts w:ascii="Times New Roman" w:eastAsia="Calibri" w:hAnsi="Times New Roman" w:cs="Times New Roman"/>
          <w:b/>
          <w:sz w:val="20"/>
          <w:szCs w:val="20"/>
        </w:rPr>
      </w:pPr>
    </w:p>
    <w:tbl>
      <w:tblPr>
        <w:tblStyle w:val="TableGrid17"/>
        <w:tblW w:w="0" w:type="auto"/>
        <w:tblLook w:val="04A0" w:firstRow="1" w:lastRow="0" w:firstColumn="1" w:lastColumn="0" w:noHBand="0" w:noVBand="1"/>
      </w:tblPr>
      <w:tblGrid>
        <w:gridCol w:w="5949"/>
        <w:gridCol w:w="3067"/>
      </w:tblGrid>
      <w:tr w:rsidR="002D7080" w:rsidRPr="004D1E6F" w14:paraId="1435E2DF" w14:textId="77777777" w:rsidTr="002E2C37">
        <w:trPr>
          <w:trHeight w:val="197"/>
        </w:trPr>
        <w:tc>
          <w:tcPr>
            <w:tcW w:w="9016" w:type="dxa"/>
            <w:gridSpan w:val="2"/>
            <w:shd w:val="clear" w:color="auto" w:fill="F2F2F2" w:themeFill="background1" w:themeFillShade="F2"/>
          </w:tcPr>
          <w:p w14:paraId="75F0067D"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CON5 Potential impact</w:t>
            </w:r>
          </w:p>
        </w:tc>
      </w:tr>
      <w:tr w:rsidR="002D7080" w:rsidRPr="004D1E6F" w14:paraId="0796AB50" w14:textId="77777777" w:rsidTr="002E2C37">
        <w:trPr>
          <w:trHeight w:val="172"/>
        </w:trPr>
        <w:tc>
          <w:tcPr>
            <w:tcW w:w="5949" w:type="dxa"/>
          </w:tcPr>
          <w:p w14:paraId="724D496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w:t>
            </w:r>
            <w:r>
              <w:rPr>
                <w:rFonts w:ascii="Times New Roman" w:eastAsia="Times New Roman" w:hAnsi="Times New Roman" w:cs="Times New Roman"/>
                <w:color w:val="000000"/>
                <w:sz w:val="20"/>
                <w:szCs w:val="20"/>
                <w:lang w:eastAsia="en-ZA"/>
              </w:rPr>
              <w:t>Major (</w:t>
            </w:r>
            <w:r w:rsidRPr="004D1E6F">
              <w:rPr>
                <w:rFonts w:ascii="Times New Roman" w:eastAsia="Times New Roman" w:hAnsi="Times New Roman" w:cs="Times New Roman"/>
                <w:color w:val="000000"/>
                <w:sz w:val="20"/>
                <w:szCs w:val="20"/>
                <w:lang w:eastAsia="en-ZA"/>
              </w:rPr>
              <w:t>MR</w:t>
            </w:r>
            <w:r>
              <w:rPr>
                <w:rFonts w:ascii="Times New Roman" w:eastAsia="Times New Roman" w:hAnsi="Times New Roman" w:cs="Times New Roman"/>
                <w:color w:val="000000"/>
                <w:sz w:val="20"/>
                <w:szCs w:val="20"/>
                <w:lang w:eastAsia="en-ZA"/>
              </w:rPr>
              <w:t>)</w:t>
            </w:r>
          </w:p>
        </w:tc>
        <w:tc>
          <w:tcPr>
            <w:tcW w:w="3067" w:type="dxa"/>
          </w:tcPr>
          <w:p w14:paraId="1A0687D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r>
              <w:rPr>
                <w:rFonts w:ascii="Times New Roman" w:eastAsia="Times New Roman" w:hAnsi="Times New Roman" w:cs="Times New Roman"/>
                <w:color w:val="000000"/>
                <w:sz w:val="20"/>
                <w:szCs w:val="20"/>
                <w:lang w:eastAsia="en-ZA"/>
              </w:rPr>
              <w:t xml:space="preserve"> Medium </w:t>
            </w:r>
          </w:p>
        </w:tc>
      </w:tr>
      <w:tr w:rsidR="002D7080" w:rsidRPr="004D1E6F" w14:paraId="6337D924" w14:textId="77777777" w:rsidTr="002E2C37">
        <w:trPr>
          <w:trHeight w:val="343"/>
        </w:trPr>
        <w:tc>
          <w:tcPr>
            <w:tcW w:w="9016" w:type="dxa"/>
            <w:gridSpan w:val="2"/>
          </w:tcPr>
          <w:p w14:paraId="3A36CBDE" w14:textId="7EA6CAD4"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Procambarus acutus</w:t>
            </w:r>
            <w:r w:rsidRPr="004D1E6F">
              <w:rPr>
                <w:rFonts w:ascii="Times New Roman" w:eastAsia="Times New Roman" w:hAnsi="Times New Roman" w:cs="Times New Roman"/>
                <w:color w:val="000000"/>
                <w:sz w:val="20"/>
                <w:szCs w:val="20"/>
                <w:lang w:eastAsia="en-ZA"/>
              </w:rPr>
              <w:t xml:space="preserve"> and </w:t>
            </w:r>
            <w:r w:rsidRPr="004D1E6F">
              <w:rPr>
                <w:rFonts w:ascii="Times New Roman" w:eastAsia="Times New Roman" w:hAnsi="Times New Roman" w:cs="Times New Roman"/>
                <w:i/>
                <w:color w:val="000000"/>
                <w:sz w:val="20"/>
                <w:szCs w:val="20"/>
                <w:lang w:eastAsia="en-ZA"/>
              </w:rPr>
              <w:t xml:space="preserve">Procambarus clarkii </w:t>
            </w:r>
            <w:r w:rsidRPr="004D1E6F">
              <w:rPr>
                <w:rFonts w:ascii="Times New Roman" w:eastAsia="Times New Roman" w:hAnsi="Times New Roman" w:cs="Times New Roman"/>
                <w:color w:val="000000"/>
                <w:sz w:val="20"/>
                <w:szCs w:val="20"/>
                <w:lang w:eastAsia="en-ZA"/>
              </w:rPr>
              <w:t xml:space="preserve">share ecological traits (Soes &amp; Koese 2010). This species is an omnivore with high tolerance to environmental conditions, its aggressive nature proved that it could outcompete native species and replace them within an ecosystem. Its intensive grazing and stalk cutting is also a threat to macrophyte communities (Gherardi 2011). </w:t>
            </w:r>
            <w:r w:rsidRPr="004D1E6F">
              <w:rPr>
                <w:rFonts w:ascii="Times New Roman" w:eastAsia="Times New Roman" w:hAnsi="Times New Roman" w:cs="Times New Roman"/>
                <w:i/>
                <w:color w:val="000000"/>
                <w:sz w:val="20"/>
                <w:szCs w:val="20"/>
                <w:lang w:eastAsia="en-ZA"/>
              </w:rPr>
              <w:t xml:space="preserve">Procambarus acutus </w:t>
            </w:r>
            <w:r w:rsidRPr="004D1E6F">
              <w:rPr>
                <w:rFonts w:ascii="Times New Roman" w:eastAsia="Times New Roman" w:hAnsi="Times New Roman" w:cs="Times New Roman"/>
                <w:color w:val="000000"/>
                <w:sz w:val="20"/>
                <w:szCs w:val="20"/>
                <w:lang w:eastAsia="en-ZA"/>
              </w:rPr>
              <w:t xml:space="preserve">have similar life strategy, therefore it may have the same detrimental impacts in areas of introduction as its invasive congener. Being a functional omnivore, this species may also have detrimental impacts on macroinvertebrates and macrophyte communities in areas where invaded (Gherardi et al. 2011). </w:t>
            </w:r>
          </w:p>
        </w:tc>
      </w:tr>
      <w:tr w:rsidR="002D7080" w:rsidRPr="004D1E6F" w14:paraId="0DCD0F0C" w14:textId="77777777" w:rsidTr="002E2C37">
        <w:trPr>
          <w:trHeight w:val="343"/>
        </w:trPr>
        <w:tc>
          <w:tcPr>
            <w:tcW w:w="9016" w:type="dxa"/>
            <w:gridSpan w:val="2"/>
          </w:tcPr>
          <w:p w14:paraId="70921D9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3085BF5C" w14:textId="67B9B796" w:rsidR="002D7080" w:rsidRPr="004D1E6F" w:rsidRDefault="002D7080" w:rsidP="00956545">
            <w:pPr>
              <w:ind w:left="539" w:hanging="539"/>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Gherardi</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F</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Britton</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J</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R</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Mavuti</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K</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M</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Pacini</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N</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Grey</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J</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Tricarico</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E</w:t>
            </w:r>
            <w:r>
              <w:rPr>
                <w:rFonts w:ascii="Times New Roman" w:eastAsia="Times New Roman" w:hAnsi="Times New Roman" w:cs="Times New Roman"/>
                <w:color w:val="000000"/>
                <w:sz w:val="20"/>
                <w:szCs w:val="20"/>
                <w:lang w:eastAsia="en-ZA"/>
              </w:rPr>
              <w:t xml:space="preserve">. &amp; </w:t>
            </w:r>
            <w:r w:rsidRPr="004D1E6F">
              <w:rPr>
                <w:rFonts w:ascii="Times New Roman" w:eastAsia="Times New Roman" w:hAnsi="Times New Roman" w:cs="Times New Roman"/>
                <w:color w:val="000000"/>
                <w:sz w:val="20"/>
                <w:szCs w:val="20"/>
                <w:lang w:eastAsia="en-ZA"/>
              </w:rPr>
              <w:t>Harper</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D</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M.</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2011</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A review of allodiversity in Lake Naivasha, Kenya: Developing conservation actions to protect East African lakes from the negative impacts of alien species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w:t>
            </w:r>
            <w:r w:rsidRPr="00E906D7">
              <w:rPr>
                <w:rFonts w:ascii="Times New Roman" w:eastAsia="Times New Roman" w:hAnsi="Times New Roman" w:cs="Times New Roman"/>
                <w:i/>
                <w:color w:val="000000"/>
                <w:sz w:val="20"/>
                <w:szCs w:val="20"/>
                <w:lang w:eastAsia="en-ZA"/>
              </w:rPr>
              <w:t>Biological Conservation</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144</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2585–2596</w:t>
            </w:r>
            <w:r>
              <w:rPr>
                <w:rFonts w:ascii="Times New Roman" w:eastAsia="Times New Roman" w:hAnsi="Times New Roman" w:cs="Times New Roman"/>
                <w:color w:val="000000"/>
                <w:sz w:val="20"/>
                <w:szCs w:val="20"/>
                <w:lang w:eastAsia="en-ZA"/>
              </w:rPr>
              <w:t>.</w:t>
            </w:r>
            <w:r w:rsidR="006B18BA" w:rsidRPr="006B18BA">
              <w:t xml:space="preserve"> </w:t>
            </w:r>
            <w:hyperlink w:history="1">
              <w:r w:rsidR="006B18BA" w:rsidRPr="006B18BA">
                <w:rPr>
                  <w:rStyle w:val="Hyperlink"/>
                  <w:rFonts w:ascii="Times New Roman" w:eastAsia="Times New Roman" w:hAnsi="Times New Roman" w:cs="Times New Roman"/>
                  <w:sz w:val="20"/>
                  <w:szCs w:val="20"/>
                  <w:lang w:eastAsia="en-ZA"/>
                </w:rPr>
                <w:t>https://doi.org/10.1016/j.biocon.2011.07.020</w:t>
              </w:r>
            </w:hyperlink>
          </w:p>
          <w:p w14:paraId="3183F1EF" w14:textId="0DA5F5C0" w:rsidR="006B18BA" w:rsidRDefault="002D7080" w:rsidP="00956545">
            <w:pPr>
              <w:ind w:left="539" w:hanging="539"/>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502" w:history="1">
              <w:r w:rsidR="006B18BA" w:rsidRPr="006B18BA">
                <w:rPr>
                  <w:rStyle w:val="Hyperlink"/>
                  <w:rFonts w:ascii="Times New Roman" w:eastAsia="Times New Roman" w:hAnsi="Times New Roman" w:cs="Times New Roman"/>
                  <w:sz w:val="20"/>
                  <w:szCs w:val="20"/>
                  <w:lang w:eastAsia="en-ZA"/>
                </w:rPr>
                <w:t>https://doi.org/10.2989/16085914.2017.1405788</w:t>
              </w:r>
            </w:hyperlink>
          </w:p>
          <w:p w14:paraId="40BF8138" w14:textId="17F1C7A0" w:rsidR="002D7080" w:rsidRPr="004D1E6F" w:rsidRDefault="002D7080" w:rsidP="00956545">
            <w:pPr>
              <w:ind w:left="539" w:hanging="539"/>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Soes</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 xml:space="preserve"> D</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M</w:t>
            </w:r>
            <w:r>
              <w:rPr>
                <w:rFonts w:ascii="Times New Roman" w:eastAsia="Times New Roman" w:hAnsi="Times New Roman" w:cs="Times New Roman"/>
                <w:color w:val="000000"/>
                <w:sz w:val="20"/>
                <w:szCs w:val="20"/>
                <w:lang w:eastAsia="en-ZA"/>
              </w:rPr>
              <w:t xml:space="preserve">. &amp; </w:t>
            </w:r>
            <w:r w:rsidRPr="004D1E6F">
              <w:rPr>
                <w:rFonts w:ascii="Times New Roman" w:eastAsia="Times New Roman" w:hAnsi="Times New Roman" w:cs="Times New Roman"/>
                <w:color w:val="000000"/>
                <w:sz w:val="20"/>
                <w:szCs w:val="20"/>
                <w:lang w:eastAsia="en-ZA"/>
              </w:rPr>
              <w:t>Koese B. 2010. Invasive crayfish in the Netherlands: a preliminary risk analysis.</w:t>
            </w:r>
            <w:r w:rsidRPr="004D1E6F">
              <w:rPr>
                <w:rFonts w:ascii="Times New Roman" w:eastAsia="Times New Roman" w:hAnsi="Times New Roman" w:cs="Times New Roman"/>
                <w:i/>
                <w:iCs/>
                <w:color w:val="000000"/>
                <w:sz w:val="20"/>
                <w:szCs w:val="20"/>
                <w:lang w:eastAsia="en-ZA"/>
              </w:rPr>
              <w:t>Interim report, Bureau Waardenburg bv, Stichting EIS-Nederland, Invasive Alien Species Team, Waardenburg</w:t>
            </w:r>
            <w:r w:rsidRPr="004D1E6F">
              <w:rPr>
                <w:rFonts w:ascii="Times New Roman" w:eastAsia="Times New Roman" w:hAnsi="Times New Roman" w:cs="Times New Roman"/>
                <w:color w:val="000000"/>
                <w:sz w:val="20"/>
                <w:szCs w:val="20"/>
                <w:lang w:eastAsia="en-ZA"/>
              </w:rPr>
              <w:t>.</w:t>
            </w:r>
          </w:p>
        </w:tc>
      </w:tr>
    </w:tbl>
    <w:p w14:paraId="0EC700B3" w14:textId="43044EA2" w:rsidR="004D419F" w:rsidRDefault="004D419F" w:rsidP="002D7080">
      <w:pPr>
        <w:spacing w:after="0" w:line="240" w:lineRule="auto"/>
        <w:rPr>
          <w:rFonts w:ascii="Times New Roman" w:eastAsia="Calibri" w:hAnsi="Times New Roman" w:cs="Times New Roman"/>
          <w:b/>
          <w:sz w:val="20"/>
          <w:szCs w:val="20"/>
        </w:rPr>
      </w:pPr>
    </w:p>
    <w:p w14:paraId="17496B3B" w14:textId="77777777" w:rsidR="004D419F" w:rsidRDefault="004D419F">
      <w:pPr>
        <w:spacing w:after="160" w:line="259" w:lineRule="auto"/>
        <w:rPr>
          <w:rFonts w:ascii="Times New Roman" w:eastAsia="Calibri" w:hAnsi="Times New Roman" w:cs="Times New Roman"/>
          <w:b/>
          <w:sz w:val="20"/>
          <w:szCs w:val="20"/>
        </w:rPr>
      </w:pPr>
      <w:r>
        <w:rPr>
          <w:rFonts w:ascii="Times New Roman" w:eastAsia="Calibri" w:hAnsi="Times New Roman" w:cs="Times New Roman"/>
          <w:b/>
          <w:sz w:val="20"/>
          <w:szCs w:val="20"/>
        </w:rPr>
        <w:br w:type="page"/>
      </w:r>
    </w:p>
    <w:p w14:paraId="4BDB9C34" w14:textId="77777777" w:rsidR="002D7080" w:rsidRPr="004D1E6F" w:rsidRDefault="002D7080" w:rsidP="002D7080">
      <w:pPr>
        <w:spacing w:after="0" w:line="240" w:lineRule="auto"/>
        <w:rPr>
          <w:rFonts w:ascii="Times New Roman" w:eastAsia="Calibri" w:hAnsi="Times New Roman" w:cs="Times New Roman"/>
          <w:b/>
          <w:sz w:val="20"/>
          <w:szCs w:val="20"/>
        </w:rPr>
      </w:pPr>
    </w:p>
    <w:p w14:paraId="0372957E" w14:textId="77777777" w:rsidR="002D7080" w:rsidRPr="004D1E6F" w:rsidRDefault="002D7080" w:rsidP="002D7080">
      <w:pPr>
        <w:spacing w:after="0" w:line="240" w:lineRule="auto"/>
        <w:rPr>
          <w:rFonts w:ascii="Times New Roman" w:eastAsia="Calibri" w:hAnsi="Times New Roman" w:cs="Times New Roman"/>
          <w:b/>
          <w:sz w:val="20"/>
          <w:szCs w:val="20"/>
        </w:rPr>
      </w:pPr>
      <w:r w:rsidRPr="004D1E6F">
        <w:rPr>
          <w:rFonts w:ascii="Times New Roman" w:eastAsia="Times New Roman" w:hAnsi="Times New Roman" w:cs="Times New Roman"/>
          <w:b/>
          <w:color w:val="000000"/>
          <w:sz w:val="20"/>
          <w:szCs w:val="20"/>
          <w:lang w:eastAsia="en-ZA"/>
        </w:rPr>
        <w:t>4. Management</w:t>
      </w:r>
    </w:p>
    <w:p w14:paraId="5DDDBAAB"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8928" w:type="dxa"/>
        <w:tblLook w:val="04A0" w:firstRow="1" w:lastRow="0" w:firstColumn="1" w:lastColumn="0" w:noHBand="0" w:noVBand="1"/>
      </w:tblPr>
      <w:tblGrid>
        <w:gridCol w:w="5879"/>
        <w:gridCol w:w="3049"/>
      </w:tblGrid>
      <w:tr w:rsidR="002D7080" w:rsidRPr="004D1E6F" w14:paraId="5C704CAC" w14:textId="77777777" w:rsidTr="002E2C37">
        <w:trPr>
          <w:trHeight w:val="356"/>
        </w:trPr>
        <w:tc>
          <w:tcPr>
            <w:tcW w:w="8928" w:type="dxa"/>
            <w:gridSpan w:val="2"/>
            <w:shd w:val="clear" w:color="auto" w:fill="F2F2F2" w:themeFill="background1" w:themeFillShade="F2"/>
          </w:tcPr>
          <w:p w14:paraId="1E4F1F4B"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MAN1 What is the feasibility to stop future immigration?</w:t>
            </w:r>
          </w:p>
        </w:tc>
      </w:tr>
      <w:tr w:rsidR="002D7080" w:rsidRPr="004D1E6F" w14:paraId="648619BC" w14:textId="77777777" w:rsidTr="002E2C37">
        <w:trPr>
          <w:trHeight w:val="179"/>
        </w:trPr>
        <w:tc>
          <w:tcPr>
            <w:tcW w:w="5879" w:type="dxa"/>
          </w:tcPr>
          <w:p w14:paraId="5B3A46D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High</w:t>
            </w:r>
          </w:p>
        </w:tc>
        <w:tc>
          <w:tcPr>
            <w:tcW w:w="3049" w:type="dxa"/>
          </w:tcPr>
          <w:p w14:paraId="65BB7BB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24FABB1F" w14:textId="77777777" w:rsidTr="002E2C37">
        <w:trPr>
          <w:trHeight w:val="356"/>
        </w:trPr>
        <w:tc>
          <w:tcPr>
            <w:tcW w:w="8928" w:type="dxa"/>
            <w:gridSpan w:val="2"/>
          </w:tcPr>
          <w:p w14:paraId="07961D9D"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6E53E4">
              <w:rPr>
                <w:rFonts w:ascii="Times New Roman" w:eastAsia="Times New Roman" w:hAnsi="Times New Roman" w:cs="Times New Roman"/>
                <w:i/>
                <w:iCs/>
                <w:sz w:val="20"/>
                <w:szCs w:val="20"/>
                <w:lang w:eastAsia="en-ZA"/>
              </w:rPr>
              <w:t>P</w:t>
            </w:r>
            <w:r>
              <w:rPr>
                <w:rFonts w:ascii="Times New Roman" w:eastAsia="Times New Roman" w:hAnsi="Times New Roman" w:cs="Times New Roman"/>
                <w:i/>
                <w:iCs/>
                <w:sz w:val="20"/>
                <w:szCs w:val="20"/>
                <w:lang w:eastAsia="en-ZA"/>
              </w:rPr>
              <w:t xml:space="preserve">rocambarus acutus </w:t>
            </w:r>
            <w:r w:rsidRPr="007A20BD">
              <w:rPr>
                <w:rFonts w:ascii="Times New Roman" w:eastAsia="Times New Roman" w:hAnsi="Times New Roman" w:cs="Times New Roman"/>
                <w:sz w:val="20"/>
                <w:szCs w:val="20"/>
                <w:lang w:eastAsia="en-ZA"/>
              </w:rPr>
              <w:t>is not a</w:t>
            </w:r>
            <w:r>
              <w:rPr>
                <w:rFonts w:ascii="Times New Roman" w:eastAsia="Times New Roman" w:hAnsi="Times New Roman" w:cs="Times New Roman"/>
                <w:i/>
                <w:iCs/>
                <w:sz w:val="20"/>
                <w:szCs w:val="20"/>
                <w:lang w:eastAsia="en-ZA"/>
              </w:rPr>
              <w:t xml:space="preserve"> </w:t>
            </w:r>
            <w:r w:rsidRPr="006E53E4">
              <w:rPr>
                <w:rFonts w:ascii="Times New Roman" w:eastAsia="Times New Roman" w:hAnsi="Times New Roman" w:cs="Times New Roman"/>
                <w:sz w:val="20"/>
                <w:szCs w:val="20"/>
                <w:lang w:eastAsia="en-ZA"/>
              </w:rPr>
              <w:t xml:space="preserve">common species in the global pet trade and aquaculture industry </w:t>
            </w:r>
            <w:r w:rsidRPr="006E53E4">
              <w:rPr>
                <w:rFonts w:ascii="Times New Roman" w:eastAsia="Times New Roman" w:hAnsi="Times New Roman" w:cs="Times New Roman"/>
                <w:sz w:val="20"/>
                <w:szCs w:val="20"/>
                <w:lang w:eastAsia="en-ZA"/>
              </w:rPr>
              <w:fldChar w:fldCharType="begin" w:fldLock="1"/>
            </w:r>
            <w:r w:rsidRPr="006E53E4">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6E53E4">
              <w:rPr>
                <w:rFonts w:ascii="Times New Roman" w:eastAsia="Times New Roman" w:hAnsi="Times New Roman" w:cs="Times New Roman"/>
                <w:sz w:val="20"/>
                <w:szCs w:val="20"/>
                <w:lang w:eastAsia="en-ZA"/>
              </w:rPr>
              <w:fldChar w:fldCharType="separate"/>
            </w:r>
            <w:r w:rsidRPr="006E53E4">
              <w:rPr>
                <w:rFonts w:ascii="Times New Roman" w:eastAsia="Times New Roman" w:hAnsi="Times New Roman" w:cs="Times New Roman"/>
                <w:sz w:val="20"/>
                <w:szCs w:val="20"/>
                <w:lang w:eastAsia="en-ZA"/>
              </w:rPr>
              <w:t>(Faulkes 2015)</w:t>
            </w:r>
            <w:r w:rsidRPr="006E53E4">
              <w:rPr>
                <w:rFonts w:ascii="Times New Roman" w:eastAsia="Times New Roman" w:hAnsi="Times New Roman" w:cs="Times New Roman"/>
                <w:sz w:val="20"/>
                <w:szCs w:val="20"/>
                <w:lang w:eastAsia="en-ZA"/>
              </w:rPr>
              <w:fldChar w:fldCharType="end"/>
            </w:r>
            <w:r w:rsidRPr="006E53E4">
              <w:rPr>
                <w:rFonts w:ascii="Times New Roman" w:eastAsia="Times New Roman" w:hAnsi="Times New Roman" w:cs="Times New Roman"/>
                <w:sz w:val="20"/>
                <w:szCs w:val="20"/>
                <w:lang w:eastAsia="en-ZA"/>
              </w:rPr>
              <w:t>. The species is absent in</w:t>
            </w:r>
            <w:r>
              <w:rPr>
                <w:rFonts w:ascii="Times New Roman" w:eastAsia="Times New Roman" w:hAnsi="Times New Roman" w:cs="Times New Roman"/>
                <w:sz w:val="20"/>
                <w:szCs w:val="20"/>
                <w:lang w:eastAsia="en-ZA"/>
              </w:rPr>
              <w:t xml:space="preserve"> </w:t>
            </w:r>
            <w:r w:rsidRPr="006E53E4">
              <w:rPr>
                <w:rFonts w:ascii="Times New Roman" w:eastAsia="Times New Roman" w:hAnsi="Times New Roman" w:cs="Times New Roman"/>
                <w:sz w:val="20"/>
                <w:szCs w:val="20"/>
                <w:lang w:eastAsia="en-ZA"/>
              </w:rPr>
              <w:t>neighbouring countries</w:t>
            </w:r>
            <w:r>
              <w:rPr>
                <w:rFonts w:ascii="Times New Roman" w:eastAsia="Times New Roman" w:hAnsi="Times New Roman" w:cs="Times New Roman"/>
                <w:sz w:val="20"/>
                <w:szCs w:val="20"/>
                <w:lang w:eastAsia="en-ZA"/>
              </w:rPr>
              <w:t xml:space="preserve"> </w:t>
            </w:r>
            <w:r w:rsidRPr="006E53E4">
              <w:rPr>
                <w:rFonts w:ascii="Times New Roman" w:eastAsia="Times New Roman" w:hAnsi="Times New Roman" w:cs="Times New Roman"/>
                <w:sz w:val="20"/>
                <w:szCs w:val="20"/>
                <w:lang w:eastAsia="en-ZA"/>
              </w:rPr>
              <w:t>(Madzivanzira et al. 2021</w:t>
            </w:r>
            <w:r>
              <w:rPr>
                <w:rFonts w:ascii="Times New Roman" w:eastAsia="Times New Roman" w:hAnsi="Times New Roman" w:cs="Times New Roman"/>
                <w:sz w:val="20"/>
                <w:szCs w:val="20"/>
                <w:lang w:eastAsia="en-ZA"/>
              </w:rPr>
              <w:t>)</w:t>
            </w:r>
            <w:r w:rsidRPr="006E53E4">
              <w:rPr>
                <w:rFonts w:ascii="Times New Roman" w:eastAsia="Times New Roman" w:hAnsi="Times New Roman" w:cs="Times New Roman"/>
                <w:sz w:val="20"/>
                <w:szCs w:val="20"/>
                <w:lang w:eastAsia="en-ZA"/>
              </w:rPr>
              <w:t>, so unaided immigration is unlikely. Moreover, i</w:t>
            </w:r>
            <w:r w:rsidRPr="006E53E4">
              <w:rPr>
                <w:rStyle w:val="cf01"/>
                <w:rFonts w:ascii="Times New Roman" w:hAnsi="Times New Roman" w:cs="Times New Roman"/>
                <w:sz w:val="20"/>
                <w:szCs w:val="20"/>
              </w:rPr>
              <w:t>t should be possible to regulate intentional introductions legislative regulations and having an effective border surveillance and monitoring strategy (Zengeya &amp; Wilson 2020).</w:t>
            </w:r>
          </w:p>
        </w:tc>
      </w:tr>
      <w:tr w:rsidR="002D7080" w:rsidRPr="004D1E6F" w14:paraId="3A63E3C3" w14:textId="77777777" w:rsidTr="002E2C37">
        <w:trPr>
          <w:trHeight w:val="356"/>
        </w:trPr>
        <w:tc>
          <w:tcPr>
            <w:tcW w:w="8928" w:type="dxa"/>
            <w:gridSpan w:val="2"/>
          </w:tcPr>
          <w:p w14:paraId="41E958BF"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2FFE71FA" w14:textId="12394684" w:rsidR="002D7080" w:rsidRPr="007B287C" w:rsidRDefault="002D7080" w:rsidP="00956545">
            <w:pPr>
              <w:ind w:left="539" w:hanging="539"/>
              <w:contextualSpacing/>
              <w:jc w:val="both"/>
              <w:rPr>
                <w:rFonts w:ascii="Times New Roman" w:eastAsia="Times New Roman" w:hAnsi="Times New Roman" w:cs="Times New Roman"/>
                <w:color w:val="000000" w:themeColor="text1"/>
                <w:sz w:val="20"/>
                <w:szCs w:val="20"/>
                <w:lang w:eastAsia="en-ZA"/>
              </w:rPr>
            </w:pPr>
            <w:r w:rsidRPr="007B287C">
              <w:rPr>
                <w:rFonts w:ascii="Times New Roman" w:eastAsia="Times New Roman" w:hAnsi="Times New Roman" w:cs="Times New Roman"/>
                <w:color w:val="000000" w:themeColor="text1"/>
                <w:sz w:val="20"/>
                <w:szCs w:val="20"/>
                <w:lang w:eastAsia="en-ZA"/>
              </w:rPr>
              <w:t xml:space="preserve">Faulkes, Z., 2015., ‘The global trade in crayfish as pets’, </w:t>
            </w:r>
            <w:r w:rsidRPr="007B287C">
              <w:rPr>
                <w:rFonts w:ascii="Times New Roman" w:eastAsia="Times New Roman" w:hAnsi="Times New Roman" w:cs="Times New Roman"/>
                <w:i/>
                <w:iCs/>
                <w:color w:val="000000" w:themeColor="text1"/>
                <w:sz w:val="20"/>
                <w:szCs w:val="20"/>
                <w:lang w:eastAsia="en-ZA"/>
              </w:rPr>
              <w:t>Crustacean Research</w:t>
            </w:r>
            <w:r w:rsidRPr="007B287C">
              <w:rPr>
                <w:rFonts w:ascii="Times New Roman" w:eastAsia="Times New Roman" w:hAnsi="Times New Roman" w:cs="Times New Roman"/>
                <w:color w:val="000000" w:themeColor="text1"/>
                <w:sz w:val="20"/>
                <w:szCs w:val="20"/>
                <w:lang w:eastAsia="en-ZA"/>
              </w:rPr>
              <w:t xml:space="preserve">, </w:t>
            </w:r>
            <w:r w:rsidRPr="007B287C">
              <w:rPr>
                <w:rFonts w:ascii="Times New Roman" w:eastAsia="Times New Roman" w:hAnsi="Times New Roman" w:cs="Times New Roman"/>
                <w:iCs/>
                <w:color w:val="000000" w:themeColor="text1"/>
                <w:sz w:val="20"/>
                <w:szCs w:val="20"/>
                <w:lang w:eastAsia="en-ZA"/>
              </w:rPr>
              <w:t xml:space="preserve">44, </w:t>
            </w:r>
            <w:r w:rsidRPr="007B287C">
              <w:rPr>
                <w:rFonts w:ascii="Times New Roman" w:eastAsia="Times New Roman" w:hAnsi="Times New Roman" w:cs="Times New Roman"/>
                <w:color w:val="000000" w:themeColor="text1"/>
                <w:sz w:val="20"/>
                <w:szCs w:val="20"/>
                <w:lang w:eastAsia="en-ZA"/>
              </w:rPr>
              <w:t>75–92.</w:t>
            </w:r>
            <w:r w:rsidR="006B18BA" w:rsidRPr="00AB0636">
              <w:rPr>
                <w:rFonts w:ascii="Times New Roman" w:eastAsia="Times New Roman" w:hAnsi="Times New Roman" w:cs="Times New Roman"/>
                <w:sz w:val="20"/>
                <w:szCs w:val="20"/>
                <w:lang w:eastAsia="en-ZA"/>
              </w:rPr>
              <w:t xml:space="preserve"> </w:t>
            </w:r>
            <w:r w:rsidR="006B18BA" w:rsidRPr="00AB0636">
              <w:rPr>
                <w:rFonts w:ascii="Times New Roman" w:eastAsia="Times New Roman" w:hAnsi="Times New Roman" w:cs="Times New Roman"/>
                <w:color w:val="000000" w:themeColor="text1"/>
                <w:sz w:val="20"/>
                <w:szCs w:val="20"/>
                <w:lang w:eastAsia="en-ZA"/>
              </w:rPr>
              <w:t>https://doi.org/10.18353/crustacea.44.0_75</w:t>
            </w:r>
          </w:p>
          <w:p w14:paraId="4F674E73" w14:textId="7425F22E" w:rsidR="002D7080" w:rsidRPr="007A20BD" w:rsidRDefault="002D7080" w:rsidP="00956545">
            <w:pPr>
              <w:ind w:left="539" w:hanging="539"/>
              <w:contextualSpacing/>
              <w:jc w:val="both"/>
              <w:rPr>
                <w:rFonts w:ascii="Times New Roman" w:eastAsia="Calibri" w:hAnsi="Times New Roman" w:cs="Times New Roman"/>
                <w:bCs/>
                <w:sz w:val="20"/>
                <w:szCs w:val="20"/>
              </w:rPr>
            </w:pPr>
            <w:r w:rsidRPr="007A20BD">
              <w:rPr>
                <w:rFonts w:ascii="Times New Roman" w:eastAsia="Calibri" w:hAnsi="Times New Roman" w:cs="Times New Roman"/>
                <w:bCs/>
                <w:sz w:val="20"/>
                <w:szCs w:val="20"/>
              </w:rPr>
              <w:t xml:space="preserve">Madzivanzira, T.C., South, J., Weyl, O.L.F., 2021, ‘Invasive crayfish outperform potamonautid crabs at higher temperatures’, Freshwater Biology 66, 978–991. </w:t>
            </w:r>
            <w:hyperlink r:id="rId503" w:history="1">
              <w:r w:rsidR="006B18BA" w:rsidRPr="00F215B9">
                <w:rPr>
                  <w:rStyle w:val="Hyperlink"/>
                  <w:rFonts w:ascii="Times New Roman" w:eastAsia="Calibri" w:hAnsi="Times New Roman" w:cs="Times New Roman"/>
                  <w:bCs/>
                  <w:sz w:val="20"/>
                  <w:szCs w:val="20"/>
                </w:rPr>
                <w:t>https://doi.org/10.1111/fwb.13691</w:t>
              </w:r>
            </w:hyperlink>
            <w:r w:rsidR="006B18BA">
              <w:rPr>
                <w:rFonts w:ascii="Times New Roman" w:eastAsia="Calibri" w:hAnsi="Times New Roman" w:cs="Times New Roman"/>
                <w:bCs/>
                <w:sz w:val="20"/>
                <w:szCs w:val="20"/>
              </w:rPr>
              <w:t xml:space="preserve"> </w:t>
            </w:r>
          </w:p>
          <w:p w14:paraId="49396852" w14:textId="32D1834B" w:rsidR="002D7080" w:rsidRPr="004D1E6F" w:rsidRDefault="002D7080" w:rsidP="00956545">
            <w:pPr>
              <w:ind w:left="539" w:hanging="539"/>
              <w:contextualSpacing/>
              <w:jc w:val="both"/>
              <w:rPr>
                <w:rFonts w:ascii="Times New Roman" w:eastAsia="Times New Roman" w:hAnsi="Times New Roman" w:cs="Times New Roman"/>
                <w:color w:val="000000"/>
                <w:sz w:val="20"/>
                <w:szCs w:val="20"/>
                <w:lang w:eastAsia="en-ZA"/>
              </w:rPr>
            </w:pPr>
            <w:r w:rsidRPr="007A20BD">
              <w:rPr>
                <w:rFonts w:ascii="Times New Roman" w:eastAsia="Calibri" w:hAnsi="Times New Roman" w:cs="Times New Roman"/>
                <w:bCs/>
                <w:sz w:val="20"/>
                <w:szCs w:val="20"/>
              </w:rPr>
              <w:t xml:space="preserve">Nunes, A.L., Zengeya, T.A., Measey, G.J. &amp; Weyl, O.L.F., 2017, ‘Freshwater crayfish invasions in South Africa: past, present and potential future’, African Journal of Aquatic Science 42, 309–323, </w:t>
            </w:r>
            <w:hyperlink r:id="rId504" w:history="1">
              <w:r w:rsidR="006B18BA" w:rsidRPr="006B18BA">
                <w:rPr>
                  <w:rStyle w:val="Hyperlink"/>
                  <w:rFonts w:ascii="Times New Roman" w:eastAsia="Calibri" w:hAnsi="Times New Roman" w:cs="Times New Roman"/>
                  <w:bCs/>
                  <w:sz w:val="20"/>
                  <w:szCs w:val="20"/>
                </w:rPr>
                <w:t>https://doi.org/10.2989/16085914.2017.1405788</w:t>
              </w:r>
            </w:hyperlink>
            <w:r w:rsidRPr="007A20BD">
              <w:rPr>
                <w:rFonts w:ascii="Times New Roman" w:eastAsia="Calibri" w:hAnsi="Times New Roman" w:cs="Times New Roman"/>
                <w:bCs/>
                <w:sz w:val="20"/>
                <w:szCs w:val="20"/>
              </w:rPr>
              <w:t>.</w:t>
            </w:r>
          </w:p>
        </w:tc>
      </w:tr>
    </w:tbl>
    <w:p w14:paraId="25257EBE"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9018" w:type="dxa"/>
        <w:tblLook w:val="04A0" w:firstRow="1" w:lastRow="0" w:firstColumn="1" w:lastColumn="0" w:noHBand="0" w:noVBand="1"/>
      </w:tblPr>
      <w:tblGrid>
        <w:gridCol w:w="5952"/>
        <w:gridCol w:w="3066"/>
      </w:tblGrid>
      <w:tr w:rsidR="002D7080" w:rsidRPr="004D1E6F" w14:paraId="719CB874" w14:textId="77777777" w:rsidTr="002E2C37">
        <w:trPr>
          <w:trHeight w:val="347"/>
        </w:trPr>
        <w:tc>
          <w:tcPr>
            <w:tcW w:w="9018" w:type="dxa"/>
            <w:gridSpan w:val="2"/>
            <w:shd w:val="clear" w:color="auto" w:fill="F2F2F2" w:themeFill="background1" w:themeFillShade="F2"/>
          </w:tcPr>
          <w:p w14:paraId="2A7BFCC4"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MAN2 Benefits of the Taxon</w:t>
            </w:r>
          </w:p>
        </w:tc>
      </w:tr>
      <w:tr w:rsidR="002D7080" w:rsidRPr="004D1E6F" w14:paraId="2363E408" w14:textId="77777777" w:rsidTr="002E2C37">
        <w:trPr>
          <w:trHeight w:val="347"/>
        </w:trPr>
        <w:tc>
          <w:tcPr>
            <w:tcW w:w="9018" w:type="dxa"/>
            <w:gridSpan w:val="2"/>
            <w:shd w:val="clear" w:color="auto" w:fill="F2F2F2" w:themeFill="background1" w:themeFillShade="F2"/>
          </w:tcPr>
          <w:p w14:paraId="245D1E66"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 xml:space="preserve">MAN2a Socio-economic benefits of the </w:t>
            </w:r>
            <w:r w:rsidRPr="004D1E6F">
              <w:rPr>
                <w:rFonts w:ascii="Times New Roman" w:eastAsia="Times New Roman" w:hAnsi="Times New Roman" w:cs="Times New Roman"/>
                <w:b/>
                <w:i/>
                <w:color w:val="000000"/>
                <w:sz w:val="20"/>
                <w:szCs w:val="20"/>
                <w:lang w:eastAsia="en-ZA"/>
              </w:rPr>
              <w:t>Taxon</w:t>
            </w:r>
          </w:p>
        </w:tc>
      </w:tr>
      <w:tr w:rsidR="002D7080" w:rsidRPr="004D1E6F" w14:paraId="68292C4F" w14:textId="77777777" w:rsidTr="002E2C37">
        <w:trPr>
          <w:trHeight w:val="174"/>
        </w:trPr>
        <w:tc>
          <w:tcPr>
            <w:tcW w:w="5952" w:type="dxa"/>
          </w:tcPr>
          <w:p w14:paraId="4A2FCA7E" w14:textId="77777777" w:rsidR="002D7080" w:rsidRPr="004D1E6F" w:rsidRDefault="002D7080" w:rsidP="002E2C37">
            <w:pPr>
              <w:rPr>
                <w:rFonts w:ascii="Times New Roman" w:eastAsia="Times New Roman" w:hAnsi="Times New Roman" w:cs="Times New Roman"/>
                <w:color w:val="000000"/>
                <w:sz w:val="20"/>
                <w:szCs w:val="20"/>
                <w:lang w:eastAsia="en-ZA"/>
              </w:rPr>
            </w:pPr>
            <w:r w:rsidRPr="006E53E4">
              <w:rPr>
                <w:rFonts w:ascii="Times New Roman" w:eastAsia="Times New Roman" w:hAnsi="Times New Roman" w:cs="Times New Roman"/>
                <w:sz w:val="20"/>
                <w:szCs w:val="20"/>
                <w:lang w:eastAsia="en-ZA"/>
              </w:rPr>
              <w:t xml:space="preserve">Response: Low </w:t>
            </w:r>
          </w:p>
        </w:tc>
        <w:tc>
          <w:tcPr>
            <w:tcW w:w="3066" w:type="dxa"/>
          </w:tcPr>
          <w:p w14:paraId="26781778" w14:textId="77777777" w:rsidR="002D7080" w:rsidRPr="004D1E6F" w:rsidRDefault="002D7080" w:rsidP="002E2C37">
            <w:pPr>
              <w:rPr>
                <w:rFonts w:ascii="Times New Roman" w:eastAsia="Times New Roman" w:hAnsi="Times New Roman" w:cs="Times New Roman"/>
                <w:color w:val="000000"/>
                <w:sz w:val="20"/>
                <w:szCs w:val="20"/>
                <w:lang w:eastAsia="en-ZA"/>
              </w:rPr>
            </w:pPr>
            <w:r w:rsidRPr="006E53E4">
              <w:rPr>
                <w:rFonts w:ascii="Times New Roman" w:eastAsia="Times New Roman" w:hAnsi="Times New Roman" w:cs="Times New Roman"/>
                <w:sz w:val="20"/>
                <w:szCs w:val="20"/>
                <w:lang w:eastAsia="en-ZA"/>
              </w:rPr>
              <w:t>Confidence: Low</w:t>
            </w:r>
          </w:p>
        </w:tc>
      </w:tr>
      <w:tr w:rsidR="002D7080" w:rsidRPr="004D1E6F" w14:paraId="239DC70B" w14:textId="77777777" w:rsidTr="002E2C37">
        <w:trPr>
          <w:trHeight w:val="347"/>
        </w:trPr>
        <w:tc>
          <w:tcPr>
            <w:tcW w:w="9018" w:type="dxa"/>
            <w:gridSpan w:val="2"/>
          </w:tcPr>
          <w:p w14:paraId="0E95CB1D"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6E53E4">
              <w:rPr>
                <w:rFonts w:ascii="Times New Roman" w:eastAsia="Times New Roman" w:hAnsi="Times New Roman" w:cs="Times New Roman"/>
                <w:sz w:val="20"/>
                <w:szCs w:val="20"/>
                <w:lang w:eastAsia="en-ZA"/>
              </w:rPr>
              <w:t xml:space="preserve">Rationale: </w:t>
            </w:r>
            <w:r w:rsidRPr="00923BFA">
              <w:rPr>
                <w:rFonts w:ascii="Times New Roman" w:eastAsia="Times New Roman" w:hAnsi="Times New Roman" w:cs="Times New Roman"/>
                <w:i/>
                <w:iCs/>
                <w:sz w:val="20"/>
                <w:szCs w:val="20"/>
                <w:lang w:eastAsia="en-ZA"/>
              </w:rPr>
              <w:t>Procambarus acutus</w:t>
            </w:r>
            <w:r w:rsidRPr="0047737E">
              <w:rPr>
                <w:rFonts w:ascii="Times New Roman" w:eastAsia="Times New Roman" w:hAnsi="Times New Roman" w:cs="Times New Roman"/>
                <w:sz w:val="20"/>
                <w:szCs w:val="20"/>
                <w:lang w:eastAsia="en-ZA"/>
              </w:rPr>
              <w:t xml:space="preserve"> has been introduced into areas</w:t>
            </w:r>
            <w:r>
              <w:rPr>
                <w:rFonts w:ascii="Times New Roman" w:eastAsia="Times New Roman" w:hAnsi="Times New Roman" w:cs="Times New Roman"/>
                <w:sz w:val="20"/>
                <w:szCs w:val="20"/>
                <w:lang w:eastAsia="en-ZA"/>
              </w:rPr>
              <w:t xml:space="preserve"> outside its native range mainly through </w:t>
            </w:r>
            <w:r w:rsidRPr="0047737E">
              <w:rPr>
                <w:rFonts w:ascii="Times New Roman" w:eastAsia="Times New Roman" w:hAnsi="Times New Roman" w:cs="Times New Roman"/>
                <w:sz w:val="20"/>
                <w:szCs w:val="20"/>
                <w:lang w:eastAsia="en-ZA"/>
              </w:rPr>
              <w:t>aquaculture and as live bait (CABI 2024)</w:t>
            </w:r>
            <w:r w:rsidRPr="006E53E4">
              <w:rPr>
                <w:rFonts w:ascii="Times New Roman" w:eastAsia="Times New Roman" w:hAnsi="Times New Roman" w:cs="Times New Roman"/>
                <w:sz w:val="20"/>
                <w:szCs w:val="20"/>
                <w:lang w:eastAsia="en-ZA"/>
              </w:rPr>
              <w:t xml:space="preserve">. No socio-economic benefits have been recorded to date in South Africa are even if </w:t>
            </w:r>
            <w:r w:rsidRPr="004B4D3B">
              <w:rPr>
                <w:rFonts w:ascii="Times New Roman" w:eastAsia="Times New Roman" w:hAnsi="Times New Roman" w:cs="Times New Roman"/>
                <w:i/>
                <w:sz w:val="20"/>
                <w:szCs w:val="20"/>
                <w:lang w:eastAsia="en-ZA"/>
              </w:rPr>
              <w:t xml:space="preserve">P. </w:t>
            </w:r>
            <w:r>
              <w:rPr>
                <w:rFonts w:ascii="Times New Roman" w:eastAsia="Times New Roman" w:hAnsi="Times New Roman" w:cs="Times New Roman"/>
                <w:i/>
                <w:sz w:val="20"/>
                <w:szCs w:val="20"/>
                <w:lang w:eastAsia="en-ZA"/>
              </w:rPr>
              <w:t xml:space="preserve">acutus </w:t>
            </w:r>
            <w:r w:rsidRPr="00C860FD">
              <w:rPr>
                <w:rFonts w:ascii="Times New Roman" w:eastAsia="Times New Roman" w:hAnsi="Times New Roman" w:cs="Times New Roman"/>
                <w:iCs/>
                <w:sz w:val="20"/>
                <w:szCs w:val="20"/>
                <w:lang w:eastAsia="en-ZA"/>
              </w:rPr>
              <w:t>i</w:t>
            </w:r>
            <w:r w:rsidRPr="006E53E4">
              <w:rPr>
                <w:rFonts w:ascii="Times New Roman" w:eastAsia="Times New Roman" w:hAnsi="Times New Roman" w:cs="Times New Roman"/>
                <w:sz w:val="20"/>
                <w:szCs w:val="20"/>
                <w:lang w:eastAsia="en-ZA"/>
              </w:rPr>
              <w:t>s present the benefits are likely to be low (Madzivanzira et al. 202</w:t>
            </w:r>
            <w:r>
              <w:rPr>
                <w:rFonts w:ascii="Times New Roman" w:eastAsia="Times New Roman" w:hAnsi="Times New Roman" w:cs="Times New Roman"/>
                <w:sz w:val="20"/>
                <w:szCs w:val="20"/>
                <w:lang w:eastAsia="en-ZA"/>
              </w:rPr>
              <w:t>0</w:t>
            </w:r>
            <w:r w:rsidRPr="006E53E4">
              <w:rPr>
                <w:rFonts w:ascii="Times New Roman" w:eastAsia="Times New Roman" w:hAnsi="Times New Roman" w:cs="Times New Roman"/>
                <w:sz w:val="20"/>
                <w:szCs w:val="20"/>
                <w:lang w:eastAsia="en-ZA"/>
              </w:rPr>
              <w:t>).</w:t>
            </w:r>
          </w:p>
        </w:tc>
      </w:tr>
      <w:tr w:rsidR="002D7080" w:rsidRPr="004D1E6F" w14:paraId="7B68AAA9" w14:textId="77777777" w:rsidTr="002E2C37">
        <w:trPr>
          <w:trHeight w:val="347"/>
        </w:trPr>
        <w:tc>
          <w:tcPr>
            <w:tcW w:w="9018" w:type="dxa"/>
            <w:gridSpan w:val="2"/>
          </w:tcPr>
          <w:p w14:paraId="76E9AA9D" w14:textId="77777777" w:rsidR="002D7080" w:rsidRPr="006E53E4" w:rsidRDefault="002D7080" w:rsidP="002E2C37">
            <w:pPr>
              <w:ind w:left="720" w:hanging="720"/>
              <w:contextualSpacing/>
              <w:rPr>
                <w:rFonts w:ascii="Times New Roman" w:eastAsia="Times New Roman" w:hAnsi="Times New Roman" w:cs="Times New Roman"/>
                <w:sz w:val="20"/>
                <w:szCs w:val="20"/>
                <w:lang w:eastAsia="en-ZA"/>
              </w:rPr>
            </w:pPr>
            <w:r w:rsidRPr="006E53E4">
              <w:rPr>
                <w:rFonts w:ascii="Times New Roman" w:eastAsia="Times New Roman" w:hAnsi="Times New Roman" w:cs="Times New Roman"/>
                <w:sz w:val="20"/>
                <w:szCs w:val="20"/>
                <w:lang w:eastAsia="en-ZA"/>
              </w:rPr>
              <w:t>References:</w:t>
            </w:r>
          </w:p>
          <w:p w14:paraId="7D433D05" w14:textId="77777777" w:rsidR="002D7080" w:rsidRDefault="002D7080" w:rsidP="002E2C37">
            <w:pPr>
              <w:ind w:left="720" w:hanging="720"/>
              <w:contextualSpacing/>
              <w:jc w:val="both"/>
              <w:rPr>
                <w:rFonts w:ascii="Times New Roman" w:hAnsi="Times New Roman" w:cs="Times New Roman"/>
                <w:sz w:val="20"/>
                <w:szCs w:val="20"/>
              </w:rPr>
            </w:pPr>
            <w:r w:rsidRPr="00A06354">
              <w:rPr>
                <w:rFonts w:ascii="Times New Roman" w:hAnsi="Times New Roman" w:cs="Times New Roman"/>
                <w:sz w:val="20"/>
                <w:szCs w:val="20"/>
              </w:rPr>
              <w:t xml:space="preserve">CABI, 2024. </w:t>
            </w:r>
            <w:r w:rsidRPr="00A06354">
              <w:rPr>
                <w:rFonts w:ascii="Times New Roman" w:hAnsi="Times New Roman" w:cs="Times New Roman"/>
                <w:i/>
                <w:iCs/>
                <w:sz w:val="20"/>
                <w:szCs w:val="20"/>
              </w:rPr>
              <w:t>Procambarus acutus acutus</w:t>
            </w:r>
            <w:r w:rsidRPr="00A06354">
              <w:rPr>
                <w:rFonts w:ascii="Times New Roman" w:hAnsi="Times New Roman" w:cs="Times New Roman"/>
                <w:sz w:val="20"/>
                <w:szCs w:val="20"/>
              </w:rPr>
              <w:t xml:space="preserve">. Invasive Species Compendium, </w:t>
            </w:r>
            <w:r w:rsidRPr="00A06354">
              <w:rPr>
                <w:rFonts w:ascii="Times New Roman" w:hAnsi="Times New Roman" w:cs="Times New Roman"/>
                <w:color w:val="000000"/>
                <w:sz w:val="20"/>
                <w:szCs w:val="20"/>
                <w:shd w:val="clear" w:color="auto" w:fill="FFFFFF"/>
              </w:rPr>
              <w:t>CABI Publishing, Wallingford, UK.</w:t>
            </w:r>
            <w:r w:rsidRPr="00A06354">
              <w:rPr>
                <w:rFonts w:ascii="Times New Roman" w:hAnsi="Times New Roman" w:cs="Times New Roman"/>
                <w:sz w:val="20"/>
                <w:szCs w:val="20"/>
              </w:rPr>
              <w:t xml:space="preserve"> </w:t>
            </w:r>
            <w:hyperlink w:history="1">
              <w:r w:rsidRPr="00A06354">
                <w:rPr>
                  <w:rStyle w:val="Hyperlink"/>
                  <w:rFonts w:ascii="Times New Roman" w:hAnsi="Times New Roman" w:cs="Times New Roman"/>
                  <w:sz w:val="20"/>
                  <w:szCs w:val="20"/>
                </w:rPr>
                <w:t>https://www.cabidigitallibrary.org/doi/10.1079/cabicompendium.67841</w:t>
              </w:r>
            </w:hyperlink>
            <w:r w:rsidRPr="00A06354">
              <w:rPr>
                <w:rFonts w:ascii="Times New Roman" w:hAnsi="Times New Roman" w:cs="Times New Roman"/>
                <w:sz w:val="20"/>
                <w:szCs w:val="20"/>
              </w:rPr>
              <w:t xml:space="preserve"> (accessed 10 July 2024)</w:t>
            </w:r>
            <w:r>
              <w:rPr>
                <w:rFonts w:ascii="Times New Roman" w:hAnsi="Times New Roman" w:cs="Times New Roman"/>
                <w:sz w:val="20"/>
                <w:szCs w:val="20"/>
              </w:rPr>
              <w:t xml:space="preserve">. </w:t>
            </w:r>
          </w:p>
          <w:p w14:paraId="1788EFEA" w14:textId="77777777" w:rsidR="002D7080" w:rsidRPr="006640F3" w:rsidRDefault="002D7080" w:rsidP="002E2C37">
            <w:pPr>
              <w:spacing w:line="256" w:lineRule="auto"/>
              <w:ind w:left="540" w:hanging="540"/>
              <w:contextualSpacing/>
              <w:jc w:val="both"/>
              <w:rPr>
                <w:rFonts w:ascii="Times New Roman" w:eastAsia="Calibri" w:hAnsi="Times New Roman" w:cs="Times New Roman"/>
                <w:sz w:val="20"/>
                <w:szCs w:val="20"/>
              </w:rPr>
            </w:pPr>
            <w:r w:rsidRPr="004D1E6F">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4D1E6F">
              <w:rPr>
                <w:rFonts w:ascii="Times New Roman" w:eastAsia="Times New Roman" w:hAnsi="Times New Roman" w:cs="Times New Roman"/>
                <w:i/>
                <w:sz w:val="20"/>
                <w:szCs w:val="20"/>
                <w:lang w:eastAsia="en-ZA"/>
              </w:rPr>
              <w:t xml:space="preserve">Reviews in Fisheries Science &amp; Aquaculture </w:t>
            </w:r>
            <w:r w:rsidRPr="004D1E6F">
              <w:rPr>
                <w:rFonts w:ascii="Times New Roman" w:eastAsia="Times New Roman" w:hAnsi="Times New Roman" w:cs="Times New Roman"/>
                <w:sz w:val="20"/>
                <w:szCs w:val="20"/>
                <w:lang w:eastAsia="en-ZA"/>
              </w:rPr>
              <w:t>1-21</w:t>
            </w:r>
            <w:r w:rsidRPr="004D1E6F">
              <w:rPr>
                <w:rFonts w:ascii="Times New Roman" w:eastAsia="Times New Roman" w:hAnsi="Times New Roman" w:cs="Times New Roman"/>
                <w:i/>
                <w:sz w:val="20"/>
                <w:szCs w:val="20"/>
                <w:lang w:eastAsia="en-ZA"/>
              </w:rPr>
              <w:t>.</w:t>
            </w:r>
            <w:r w:rsidRPr="004D1E6F">
              <w:rPr>
                <w:rFonts w:ascii="Times New Roman" w:eastAsia="Times New Roman" w:hAnsi="Times New Roman" w:cs="Times New Roman"/>
                <w:iCs/>
                <w:sz w:val="20"/>
                <w:szCs w:val="20"/>
                <w:lang w:eastAsia="en-ZA"/>
              </w:rPr>
              <w:t xml:space="preserve"> </w:t>
            </w:r>
            <w:hyperlink w:history="1">
              <w:r w:rsidRPr="004D1E6F">
                <w:rPr>
                  <w:rStyle w:val="Hyperlink"/>
                  <w:rFonts w:ascii="Times New Roman" w:eastAsia="Times New Roman" w:hAnsi="Times New Roman" w:cs="Times New Roman"/>
                  <w:iCs/>
                  <w:sz w:val="20"/>
                  <w:szCs w:val="20"/>
                  <w:lang w:eastAsia="en-ZA"/>
                </w:rPr>
                <w:t>https://doi.org/10.1080/23308249.2020.1802405</w:t>
              </w:r>
            </w:hyperlink>
            <w:r w:rsidRPr="004D1E6F">
              <w:rPr>
                <w:rFonts w:ascii="Times New Roman" w:eastAsia="Calibri" w:hAnsi="Times New Roman" w:cs="Times New Roman"/>
                <w:sz w:val="20"/>
                <w:szCs w:val="20"/>
              </w:rPr>
              <w:t>.</w:t>
            </w:r>
          </w:p>
        </w:tc>
      </w:tr>
      <w:tr w:rsidR="002D7080" w:rsidRPr="004D1E6F" w14:paraId="2AB7ED65" w14:textId="77777777" w:rsidTr="002E2C37">
        <w:trPr>
          <w:trHeight w:val="347"/>
        </w:trPr>
        <w:tc>
          <w:tcPr>
            <w:tcW w:w="9018" w:type="dxa"/>
            <w:gridSpan w:val="2"/>
            <w:shd w:val="clear" w:color="auto" w:fill="F2F2F2" w:themeFill="background1" w:themeFillShade="F2"/>
          </w:tcPr>
          <w:p w14:paraId="7968209C"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 xml:space="preserve">MAN2b Environmental benefits of the </w:t>
            </w:r>
            <w:r w:rsidRPr="004D1E6F">
              <w:rPr>
                <w:rFonts w:ascii="Times New Roman" w:eastAsia="Times New Roman" w:hAnsi="Times New Roman" w:cs="Times New Roman"/>
                <w:b/>
                <w:i/>
                <w:color w:val="000000"/>
                <w:sz w:val="20"/>
                <w:szCs w:val="20"/>
                <w:lang w:eastAsia="en-ZA"/>
              </w:rPr>
              <w:t>Taxon</w:t>
            </w:r>
          </w:p>
        </w:tc>
      </w:tr>
      <w:tr w:rsidR="002D7080" w:rsidRPr="004D1E6F" w14:paraId="39D9354C" w14:textId="77777777" w:rsidTr="002E2C37">
        <w:trPr>
          <w:trHeight w:val="262"/>
        </w:trPr>
        <w:tc>
          <w:tcPr>
            <w:tcW w:w="5952" w:type="dxa"/>
          </w:tcPr>
          <w:p w14:paraId="6D1B04BE"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None</w:t>
            </w:r>
          </w:p>
        </w:tc>
        <w:tc>
          <w:tcPr>
            <w:tcW w:w="3066" w:type="dxa"/>
          </w:tcPr>
          <w:p w14:paraId="4091F10C"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5DEAFBDB" w14:textId="77777777" w:rsidTr="002E2C37">
        <w:trPr>
          <w:trHeight w:val="215"/>
        </w:trPr>
        <w:tc>
          <w:tcPr>
            <w:tcW w:w="9018" w:type="dxa"/>
            <w:gridSpan w:val="2"/>
          </w:tcPr>
          <w:p w14:paraId="5CDE7994"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Pr>
                <w:rFonts w:ascii="Times New Roman" w:eastAsia="Times New Roman" w:hAnsi="Times New Roman" w:cs="Times New Roman"/>
                <w:color w:val="000000"/>
                <w:sz w:val="20"/>
                <w:szCs w:val="20"/>
                <w:lang w:eastAsia="en-ZA"/>
              </w:rPr>
              <w:t xml:space="preserve">There are no known environmental benefits from this taxon </w:t>
            </w:r>
          </w:p>
        </w:tc>
      </w:tr>
      <w:tr w:rsidR="002D7080" w:rsidRPr="004D1E6F" w14:paraId="3FB82EAB" w14:textId="77777777" w:rsidTr="002E2C37">
        <w:trPr>
          <w:trHeight w:val="242"/>
        </w:trPr>
        <w:tc>
          <w:tcPr>
            <w:tcW w:w="9018" w:type="dxa"/>
            <w:gridSpan w:val="2"/>
          </w:tcPr>
          <w:p w14:paraId="1ACCD94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tc>
      </w:tr>
    </w:tbl>
    <w:p w14:paraId="17E3209A"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9067" w:type="dxa"/>
        <w:tblLook w:val="04A0" w:firstRow="1" w:lastRow="0" w:firstColumn="1" w:lastColumn="0" w:noHBand="0" w:noVBand="1"/>
      </w:tblPr>
      <w:tblGrid>
        <w:gridCol w:w="5240"/>
        <w:gridCol w:w="3827"/>
      </w:tblGrid>
      <w:tr w:rsidR="002D7080" w:rsidRPr="004D1E6F" w14:paraId="19C50770" w14:textId="77777777" w:rsidTr="002E2C37">
        <w:trPr>
          <w:trHeight w:val="343"/>
        </w:trPr>
        <w:tc>
          <w:tcPr>
            <w:tcW w:w="9067" w:type="dxa"/>
            <w:gridSpan w:val="2"/>
            <w:shd w:val="clear" w:color="auto" w:fill="F2F2F2" w:themeFill="background1" w:themeFillShade="F2"/>
          </w:tcPr>
          <w:p w14:paraId="7F667C8C"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MAN3 Ease of management</w:t>
            </w:r>
          </w:p>
        </w:tc>
      </w:tr>
      <w:tr w:rsidR="002D7080" w:rsidRPr="004D1E6F" w14:paraId="440DF9E4" w14:textId="77777777" w:rsidTr="002E2C37">
        <w:trPr>
          <w:trHeight w:val="343"/>
        </w:trPr>
        <w:tc>
          <w:tcPr>
            <w:tcW w:w="9067" w:type="dxa"/>
            <w:gridSpan w:val="2"/>
            <w:shd w:val="clear" w:color="auto" w:fill="F2F2F2" w:themeFill="background1" w:themeFillShade="F2"/>
          </w:tcPr>
          <w:p w14:paraId="36BB21D7"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MAN3a How accessible are populations?</w:t>
            </w:r>
          </w:p>
        </w:tc>
      </w:tr>
      <w:tr w:rsidR="002D7080" w:rsidRPr="004D1E6F" w14:paraId="30D28D5A" w14:textId="77777777" w:rsidTr="002E2C37">
        <w:trPr>
          <w:trHeight w:val="183"/>
        </w:trPr>
        <w:tc>
          <w:tcPr>
            <w:tcW w:w="5240" w:type="dxa"/>
          </w:tcPr>
          <w:p w14:paraId="67386FED" w14:textId="77777777" w:rsidR="002D7080" w:rsidRPr="004D1E6F" w:rsidRDefault="002D7080" w:rsidP="002E2C37">
            <w:pPr>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Response: 2 (difficult to access)</w:t>
            </w:r>
          </w:p>
        </w:tc>
        <w:tc>
          <w:tcPr>
            <w:tcW w:w="3827" w:type="dxa"/>
          </w:tcPr>
          <w:p w14:paraId="7B2AB79A" w14:textId="77777777" w:rsidR="002D7080" w:rsidRPr="004D1E6F" w:rsidRDefault="002D7080" w:rsidP="002E2C37">
            <w:pPr>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Confidence: Low</w:t>
            </w:r>
          </w:p>
        </w:tc>
      </w:tr>
      <w:tr w:rsidR="002D7080" w:rsidRPr="004D1E6F" w14:paraId="5398F234" w14:textId="77777777" w:rsidTr="002E2C37">
        <w:trPr>
          <w:trHeight w:val="163"/>
        </w:trPr>
        <w:tc>
          <w:tcPr>
            <w:tcW w:w="9067" w:type="dxa"/>
            <w:gridSpan w:val="2"/>
          </w:tcPr>
          <w:p w14:paraId="188579A8" w14:textId="77777777" w:rsidR="002D7080" w:rsidRPr="004D1E6F"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 xml:space="preserve">Rationale: There are no locality records for </w:t>
            </w:r>
            <w:r w:rsidRPr="00C4037B">
              <w:rPr>
                <w:rFonts w:ascii="Times New Roman" w:eastAsia="Times New Roman" w:hAnsi="Times New Roman" w:cs="Times New Roman"/>
                <w:i/>
                <w:iCs/>
                <w:sz w:val="20"/>
                <w:szCs w:val="20"/>
                <w:lang w:eastAsia="en-ZA"/>
              </w:rPr>
              <w:t>P.</w:t>
            </w:r>
            <w:r>
              <w:rPr>
                <w:rFonts w:ascii="Times New Roman" w:eastAsia="Times New Roman" w:hAnsi="Times New Roman" w:cs="Times New Roman"/>
                <w:i/>
                <w:iCs/>
                <w:sz w:val="20"/>
                <w:szCs w:val="20"/>
                <w:lang w:eastAsia="en-ZA"/>
              </w:rPr>
              <w:t>acutus</w:t>
            </w:r>
            <w:r w:rsidRPr="00C4037B">
              <w:rPr>
                <w:rFonts w:ascii="Times New Roman" w:eastAsia="Times New Roman" w:hAnsi="Times New Roman" w:cs="Times New Roman"/>
                <w:i/>
                <w:iCs/>
                <w:sz w:val="20"/>
                <w:szCs w:val="20"/>
                <w:lang w:eastAsia="en-ZA"/>
              </w:rPr>
              <w:t xml:space="preserve"> </w:t>
            </w:r>
            <w:r w:rsidRPr="00C4037B">
              <w:rPr>
                <w:rFonts w:ascii="Times New Roman" w:eastAsia="Times New Roman" w:hAnsi="Times New Roman" w:cs="Times New Roman"/>
                <w:sz w:val="20"/>
                <w:szCs w:val="20"/>
                <w:lang w:eastAsia="en-ZA"/>
              </w:rPr>
              <w:t>in South Africa (Madzivanzira et al. 202</w:t>
            </w:r>
            <w:r>
              <w:rPr>
                <w:rFonts w:ascii="Times New Roman" w:eastAsia="Times New Roman" w:hAnsi="Times New Roman" w:cs="Times New Roman"/>
                <w:sz w:val="20"/>
                <w:szCs w:val="20"/>
                <w:lang w:eastAsia="en-ZA"/>
              </w:rPr>
              <w:t>0</w:t>
            </w:r>
            <w:r w:rsidRPr="00C4037B">
              <w:rPr>
                <w:rFonts w:ascii="Times New Roman" w:eastAsia="Times New Roman" w:hAnsi="Times New Roman" w:cs="Times New Roman"/>
                <w:sz w:val="20"/>
                <w:szCs w:val="20"/>
                <w:lang w:eastAsia="en-ZA"/>
              </w:rPr>
              <w:t>; Nunes et al. 2017). However, given that it is an aquatic species, accessibility is likely to be difficult.</w:t>
            </w:r>
            <w:r w:rsidRPr="00C4037B">
              <w:rPr>
                <w:rFonts w:ascii="Times New Roman" w:eastAsia="Times New Roman" w:hAnsi="Times New Roman" w:cs="Times New Roman"/>
                <w:sz w:val="20"/>
                <w:szCs w:val="20"/>
                <w:u w:val="single"/>
                <w:lang w:eastAsia="en-ZA"/>
              </w:rPr>
              <w:t xml:space="preserve"> </w:t>
            </w:r>
          </w:p>
        </w:tc>
      </w:tr>
      <w:tr w:rsidR="002D7080" w:rsidRPr="004D1E6F" w14:paraId="69E42227" w14:textId="77777777" w:rsidTr="002E2C37">
        <w:trPr>
          <w:trHeight w:val="70"/>
        </w:trPr>
        <w:tc>
          <w:tcPr>
            <w:tcW w:w="9067" w:type="dxa"/>
            <w:gridSpan w:val="2"/>
          </w:tcPr>
          <w:p w14:paraId="2D909C5E" w14:textId="77777777" w:rsidR="002D7080" w:rsidRPr="00956545" w:rsidRDefault="002D7080" w:rsidP="002E2C37">
            <w:pPr>
              <w:ind w:left="720" w:hanging="720"/>
              <w:contextualSpacing/>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lastRenderedPageBreak/>
              <w:t>References:</w:t>
            </w:r>
          </w:p>
          <w:p w14:paraId="1FCB9612" w14:textId="77777777" w:rsidR="002D7080" w:rsidRPr="00956545" w:rsidRDefault="002D7080" w:rsidP="002E2C37">
            <w:pPr>
              <w:spacing w:line="256" w:lineRule="auto"/>
              <w:ind w:left="540" w:hanging="540"/>
              <w:contextualSpacing/>
              <w:jc w:val="both"/>
              <w:rPr>
                <w:rFonts w:ascii="Times New Roman" w:eastAsia="Calibri" w:hAnsi="Times New Roman" w:cs="Times New Roman"/>
                <w:sz w:val="20"/>
                <w:szCs w:val="20"/>
              </w:rPr>
            </w:pPr>
            <w:r w:rsidRPr="00956545">
              <w:rPr>
                <w:rFonts w:ascii="Times New Roman" w:eastAsia="Times New Roman" w:hAnsi="Times New Roman" w:cs="Times New Roman"/>
                <w:sz w:val="20"/>
                <w:szCs w:val="20"/>
                <w:lang w:eastAsia="en-ZA"/>
              </w:rPr>
              <w:t xml:space="preserve">Madzivanzira, T.C., South, J., Wood, L.E., Nunes, A.L. &amp; Weyl, O.L.F., 2020, ‘A review of freshwater crayfish introductions in Africa’, </w:t>
            </w:r>
            <w:r w:rsidRPr="00956545">
              <w:rPr>
                <w:rFonts w:ascii="Times New Roman" w:eastAsia="Times New Roman" w:hAnsi="Times New Roman" w:cs="Times New Roman"/>
                <w:i/>
                <w:sz w:val="20"/>
                <w:szCs w:val="20"/>
                <w:lang w:eastAsia="en-ZA"/>
              </w:rPr>
              <w:t xml:space="preserve">Reviews in Fisheries Science &amp; Aquaculture </w:t>
            </w:r>
            <w:r w:rsidRPr="00956545">
              <w:rPr>
                <w:rFonts w:ascii="Times New Roman" w:eastAsia="Times New Roman" w:hAnsi="Times New Roman" w:cs="Times New Roman"/>
                <w:sz w:val="20"/>
                <w:szCs w:val="20"/>
                <w:lang w:eastAsia="en-ZA"/>
              </w:rPr>
              <w:t>1-21</w:t>
            </w:r>
            <w:r w:rsidRPr="00956545">
              <w:rPr>
                <w:rFonts w:ascii="Times New Roman" w:eastAsia="Times New Roman" w:hAnsi="Times New Roman" w:cs="Times New Roman"/>
                <w:i/>
                <w:sz w:val="20"/>
                <w:szCs w:val="20"/>
                <w:lang w:eastAsia="en-ZA"/>
              </w:rPr>
              <w:t>.</w:t>
            </w:r>
            <w:r w:rsidRPr="00956545">
              <w:rPr>
                <w:rFonts w:ascii="Times New Roman" w:eastAsia="Times New Roman" w:hAnsi="Times New Roman" w:cs="Times New Roman"/>
                <w:iCs/>
                <w:sz w:val="20"/>
                <w:szCs w:val="20"/>
                <w:lang w:eastAsia="en-ZA"/>
              </w:rPr>
              <w:t xml:space="preserve"> </w:t>
            </w:r>
            <w:hyperlink w:history="1">
              <w:r w:rsidRPr="00956545">
                <w:rPr>
                  <w:rStyle w:val="Hyperlink"/>
                  <w:rFonts w:ascii="Times New Roman" w:eastAsia="Times New Roman" w:hAnsi="Times New Roman" w:cs="Times New Roman"/>
                  <w:iCs/>
                  <w:sz w:val="20"/>
                  <w:szCs w:val="20"/>
                  <w:lang w:eastAsia="en-ZA"/>
                </w:rPr>
                <w:t>https://doi.org/10.1080/23308249.2020.1802405</w:t>
              </w:r>
            </w:hyperlink>
            <w:r w:rsidRPr="00956545">
              <w:rPr>
                <w:rFonts w:ascii="Times New Roman" w:eastAsia="Calibri" w:hAnsi="Times New Roman" w:cs="Times New Roman"/>
                <w:sz w:val="20"/>
                <w:szCs w:val="20"/>
              </w:rPr>
              <w:t>.</w:t>
            </w:r>
          </w:p>
          <w:p w14:paraId="6048F4CC" w14:textId="5618632F"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956545">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956545">
              <w:rPr>
                <w:rFonts w:ascii="Times New Roman" w:eastAsia="Times New Roman" w:hAnsi="Times New Roman" w:cs="Times New Roman"/>
                <w:i/>
                <w:color w:val="000000"/>
                <w:sz w:val="20"/>
                <w:szCs w:val="20"/>
                <w:lang w:eastAsia="en-ZA"/>
              </w:rPr>
              <w:t>African Journal of Aquatic Science</w:t>
            </w:r>
            <w:r w:rsidRPr="00956545">
              <w:rPr>
                <w:rFonts w:ascii="Times New Roman" w:eastAsia="Times New Roman" w:hAnsi="Times New Roman" w:cs="Times New Roman"/>
                <w:color w:val="000000"/>
                <w:sz w:val="20"/>
                <w:szCs w:val="20"/>
                <w:lang w:eastAsia="en-ZA"/>
              </w:rPr>
              <w:t xml:space="preserve"> 42, 309–323, </w:t>
            </w:r>
            <w:hyperlink r:id="rId505" w:history="1">
              <w:r w:rsidR="006B18BA" w:rsidRPr="00956545">
                <w:rPr>
                  <w:rStyle w:val="Hyperlink"/>
                  <w:rFonts w:ascii="Times New Roman" w:hAnsi="Times New Roman" w:cs="Times New Roman"/>
                  <w:bCs/>
                  <w:sz w:val="20"/>
                  <w:szCs w:val="20"/>
                </w:rPr>
                <w:t>https://doi.org/10.2989/16085914.2017.1405788</w:t>
              </w:r>
            </w:hyperlink>
            <w:r w:rsidRPr="00956545">
              <w:rPr>
                <w:rFonts w:ascii="Times New Roman" w:eastAsia="Times New Roman" w:hAnsi="Times New Roman" w:cs="Times New Roman"/>
                <w:color w:val="000000"/>
                <w:sz w:val="20"/>
                <w:szCs w:val="20"/>
                <w:lang w:eastAsia="en-ZA"/>
              </w:rPr>
              <w:t xml:space="preserve"> </w:t>
            </w:r>
          </w:p>
        </w:tc>
      </w:tr>
      <w:tr w:rsidR="002D7080" w:rsidRPr="004D1E6F" w14:paraId="2BCEFD19" w14:textId="77777777" w:rsidTr="002E2C37">
        <w:trPr>
          <w:trHeight w:val="343"/>
        </w:trPr>
        <w:tc>
          <w:tcPr>
            <w:tcW w:w="9067" w:type="dxa"/>
            <w:gridSpan w:val="2"/>
            <w:shd w:val="clear" w:color="auto" w:fill="F2F2F2" w:themeFill="background1" w:themeFillShade="F2"/>
          </w:tcPr>
          <w:p w14:paraId="6FFF2F85" w14:textId="77777777" w:rsidR="002D7080" w:rsidRPr="004D1E6F" w:rsidRDefault="002D7080" w:rsidP="002E2C37">
            <w:pPr>
              <w:rPr>
                <w:rFonts w:ascii="Times New Roman" w:eastAsia="Calibri" w:hAnsi="Times New Roman" w:cs="Times New Roman"/>
                <w:sz w:val="20"/>
                <w:szCs w:val="20"/>
              </w:rPr>
            </w:pPr>
            <w:r w:rsidRPr="00C4037B">
              <w:rPr>
                <w:rFonts w:ascii="Times New Roman" w:eastAsia="Times New Roman" w:hAnsi="Times New Roman" w:cs="Times New Roman"/>
                <w:b/>
                <w:sz w:val="20"/>
                <w:szCs w:val="20"/>
                <w:lang w:eastAsia="en-ZA"/>
              </w:rPr>
              <w:t>MAN3b Is detectability critically time-dependent?</w:t>
            </w:r>
          </w:p>
        </w:tc>
      </w:tr>
      <w:tr w:rsidR="002D7080" w:rsidRPr="004D1E6F" w14:paraId="2470AF3D" w14:textId="77777777" w:rsidTr="002E2C37">
        <w:trPr>
          <w:trHeight w:val="183"/>
        </w:trPr>
        <w:tc>
          <w:tcPr>
            <w:tcW w:w="5240" w:type="dxa"/>
          </w:tcPr>
          <w:p w14:paraId="3ED0849E" w14:textId="77777777" w:rsidR="002D7080" w:rsidRPr="004D1E6F" w:rsidRDefault="002D7080" w:rsidP="002E2C37">
            <w:pPr>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Response:</w:t>
            </w:r>
            <w:r>
              <w:rPr>
                <w:rFonts w:ascii="Times New Roman" w:eastAsia="Times New Roman" w:hAnsi="Times New Roman" w:cs="Times New Roman"/>
                <w:sz w:val="20"/>
                <w:szCs w:val="20"/>
                <w:lang w:eastAsia="en-ZA"/>
              </w:rPr>
              <w:t xml:space="preserve"> 2 (yes)</w:t>
            </w:r>
          </w:p>
        </w:tc>
        <w:tc>
          <w:tcPr>
            <w:tcW w:w="3827" w:type="dxa"/>
          </w:tcPr>
          <w:p w14:paraId="607C87C0" w14:textId="77777777" w:rsidR="002D7080" w:rsidRPr="004D1E6F" w:rsidRDefault="002D7080" w:rsidP="002E2C37">
            <w:pPr>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High</w:t>
            </w:r>
          </w:p>
        </w:tc>
      </w:tr>
      <w:tr w:rsidR="002D7080" w:rsidRPr="004D1E6F" w14:paraId="0EF29DA8" w14:textId="77777777" w:rsidTr="002E2C37">
        <w:trPr>
          <w:trHeight w:val="70"/>
        </w:trPr>
        <w:tc>
          <w:tcPr>
            <w:tcW w:w="9067" w:type="dxa"/>
            <w:gridSpan w:val="2"/>
          </w:tcPr>
          <w:p w14:paraId="11FF6C83" w14:textId="77777777" w:rsidR="002D7080" w:rsidRPr="004D1E6F"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 xml:space="preserve">Rationale: </w:t>
            </w:r>
            <w:r w:rsidRPr="00C4037B">
              <w:rPr>
                <w:rFonts w:ascii="Times New Roman" w:eastAsia="Times New Roman" w:hAnsi="Times New Roman" w:cs="Times New Roman"/>
                <w:i/>
                <w:iCs/>
                <w:sz w:val="20"/>
                <w:szCs w:val="20"/>
                <w:lang w:eastAsia="en-ZA"/>
              </w:rPr>
              <w:t>P</w:t>
            </w:r>
            <w:r>
              <w:rPr>
                <w:rFonts w:ascii="Times New Roman" w:eastAsia="Times New Roman" w:hAnsi="Times New Roman" w:cs="Times New Roman"/>
                <w:i/>
                <w:iCs/>
                <w:sz w:val="20"/>
                <w:szCs w:val="20"/>
                <w:lang w:eastAsia="en-ZA"/>
              </w:rPr>
              <w:t xml:space="preserve">rocambarus acutus </w:t>
            </w:r>
            <w:r w:rsidRPr="00C4037B">
              <w:rPr>
                <w:rFonts w:ascii="Times New Roman" w:eastAsia="Times New Roman" w:hAnsi="Times New Roman" w:cs="Times New Roman"/>
                <w:sz w:val="20"/>
                <w:szCs w:val="20"/>
                <w:lang w:eastAsia="en-ZA"/>
              </w:rPr>
              <w:t xml:space="preserve">is a small burrowing freshwater species that is difficult to detect (Peeters et al. 2023; CABI 2024). </w:t>
            </w:r>
          </w:p>
        </w:tc>
      </w:tr>
      <w:tr w:rsidR="002D7080" w:rsidRPr="004D1E6F" w14:paraId="08E7EA92" w14:textId="77777777" w:rsidTr="002E2C37">
        <w:trPr>
          <w:trHeight w:val="70"/>
        </w:trPr>
        <w:tc>
          <w:tcPr>
            <w:tcW w:w="9067" w:type="dxa"/>
            <w:gridSpan w:val="2"/>
          </w:tcPr>
          <w:p w14:paraId="0C96F520" w14:textId="77777777" w:rsidR="002D7080" w:rsidRPr="00C4037B" w:rsidRDefault="002D7080" w:rsidP="002E2C37">
            <w:pPr>
              <w:ind w:left="720" w:hanging="720"/>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References:</w:t>
            </w:r>
          </w:p>
          <w:p w14:paraId="16467DDB" w14:textId="77777777" w:rsidR="002D7080" w:rsidRPr="00370754" w:rsidRDefault="002D7080" w:rsidP="002E2C37">
            <w:pPr>
              <w:ind w:left="720" w:hanging="720"/>
              <w:contextualSpacing/>
              <w:jc w:val="both"/>
              <w:rPr>
                <w:rFonts w:ascii="Times New Roman" w:hAnsi="Times New Roman" w:cs="Times New Roman"/>
                <w:sz w:val="20"/>
                <w:szCs w:val="20"/>
              </w:rPr>
            </w:pPr>
            <w:r w:rsidRPr="00A06354">
              <w:rPr>
                <w:rFonts w:ascii="Times New Roman" w:hAnsi="Times New Roman" w:cs="Times New Roman"/>
                <w:sz w:val="20"/>
                <w:szCs w:val="20"/>
              </w:rPr>
              <w:t xml:space="preserve">CABI, 2024. </w:t>
            </w:r>
            <w:r w:rsidRPr="00A06354">
              <w:rPr>
                <w:rFonts w:ascii="Times New Roman" w:hAnsi="Times New Roman" w:cs="Times New Roman"/>
                <w:i/>
                <w:iCs/>
                <w:sz w:val="20"/>
                <w:szCs w:val="20"/>
              </w:rPr>
              <w:t>Procambarus acutus acutus</w:t>
            </w:r>
            <w:r w:rsidRPr="00A06354">
              <w:rPr>
                <w:rFonts w:ascii="Times New Roman" w:hAnsi="Times New Roman" w:cs="Times New Roman"/>
                <w:sz w:val="20"/>
                <w:szCs w:val="20"/>
              </w:rPr>
              <w:t xml:space="preserve">. Invasive Species Compendium, </w:t>
            </w:r>
            <w:r w:rsidRPr="00A06354">
              <w:rPr>
                <w:rFonts w:ascii="Times New Roman" w:hAnsi="Times New Roman" w:cs="Times New Roman"/>
                <w:color w:val="000000"/>
                <w:sz w:val="20"/>
                <w:szCs w:val="20"/>
                <w:shd w:val="clear" w:color="auto" w:fill="FFFFFF"/>
              </w:rPr>
              <w:t>CABI Publishing, Wallingford, UK.</w:t>
            </w:r>
            <w:r w:rsidRPr="00A06354">
              <w:rPr>
                <w:rFonts w:ascii="Times New Roman" w:hAnsi="Times New Roman" w:cs="Times New Roman"/>
                <w:sz w:val="20"/>
                <w:szCs w:val="20"/>
              </w:rPr>
              <w:t xml:space="preserve"> </w:t>
            </w:r>
            <w:hyperlink w:history="1">
              <w:r w:rsidRPr="00A06354">
                <w:rPr>
                  <w:rStyle w:val="Hyperlink"/>
                  <w:rFonts w:ascii="Times New Roman" w:hAnsi="Times New Roman" w:cs="Times New Roman"/>
                  <w:sz w:val="20"/>
                  <w:szCs w:val="20"/>
                </w:rPr>
                <w:t>https://www.cabidigitallibrary.org/doi/10.1079/cabicompendium.67841</w:t>
              </w:r>
            </w:hyperlink>
            <w:r w:rsidRPr="00A06354">
              <w:rPr>
                <w:rFonts w:ascii="Times New Roman" w:hAnsi="Times New Roman" w:cs="Times New Roman"/>
                <w:sz w:val="20"/>
                <w:szCs w:val="20"/>
              </w:rPr>
              <w:t xml:space="preserve"> (accessed 10 July 2024)</w:t>
            </w:r>
            <w:r>
              <w:rPr>
                <w:rFonts w:ascii="Times New Roman" w:hAnsi="Times New Roman" w:cs="Times New Roman"/>
                <w:sz w:val="20"/>
                <w:szCs w:val="20"/>
              </w:rPr>
              <w:t xml:space="preserve">. </w:t>
            </w:r>
          </w:p>
          <w:p w14:paraId="2956FB00" w14:textId="77777777" w:rsidR="002D7080" w:rsidRPr="00370754" w:rsidRDefault="002D7080" w:rsidP="002E2C37">
            <w:pPr>
              <w:ind w:left="720" w:hanging="720"/>
              <w:contextualSpacing/>
              <w:jc w:val="both"/>
              <w:rPr>
                <w:rFonts w:ascii="Times New Roman" w:hAnsi="Times New Roman" w:cs="Times New Roman"/>
                <w:sz w:val="20"/>
                <w:szCs w:val="20"/>
              </w:rPr>
            </w:pPr>
            <w:r w:rsidRPr="007B287C">
              <w:rPr>
                <w:rFonts w:ascii="Times New Roman" w:hAnsi="Times New Roman" w:cs="Times New Roman"/>
                <w:color w:val="000000" w:themeColor="text1"/>
                <w:sz w:val="20"/>
                <w:szCs w:val="20"/>
                <w:shd w:val="clear" w:color="auto" w:fill="FFFFFF"/>
              </w:rPr>
              <w:t xml:space="preserve">Peeters, E. T., de Vries, R., Elzinga, J., Ludányi, M., van Himbeeck, R., &amp; Roessink, I., 2023, ‘Triggers affecting crayfish burrowing behaviour’, </w:t>
            </w:r>
            <w:r w:rsidRPr="007B287C">
              <w:rPr>
                <w:rFonts w:ascii="Times New Roman" w:hAnsi="Times New Roman" w:cs="Times New Roman"/>
                <w:i/>
                <w:iCs/>
                <w:color w:val="000000" w:themeColor="text1"/>
                <w:sz w:val="20"/>
                <w:szCs w:val="20"/>
                <w:shd w:val="clear" w:color="auto" w:fill="FFFFFF"/>
              </w:rPr>
              <w:t>Aquatic Ecology</w:t>
            </w:r>
            <w:r w:rsidRPr="007B287C">
              <w:rPr>
                <w:rFonts w:ascii="Times New Roman" w:hAnsi="Times New Roman" w:cs="Times New Roman"/>
                <w:color w:val="000000" w:themeColor="text1"/>
                <w:sz w:val="20"/>
                <w:szCs w:val="20"/>
                <w:shd w:val="clear" w:color="auto" w:fill="FFFFFF"/>
              </w:rPr>
              <w:t>, 1-16</w:t>
            </w:r>
            <w:r w:rsidRPr="00C4037B">
              <w:rPr>
                <w:rFonts w:ascii="Times New Roman" w:hAnsi="Times New Roman" w:cs="Times New Roman"/>
                <w:color w:val="222222"/>
                <w:sz w:val="20"/>
                <w:szCs w:val="20"/>
                <w:shd w:val="clear" w:color="auto" w:fill="FFFFFF"/>
              </w:rPr>
              <w:t xml:space="preserve">. </w:t>
            </w:r>
            <w:hyperlink w:history="1">
              <w:r w:rsidRPr="00CB2747">
                <w:rPr>
                  <w:rStyle w:val="Hyperlink"/>
                  <w:rFonts w:ascii="Times New Roman" w:hAnsi="Times New Roman" w:cs="Times New Roman"/>
                  <w:sz w:val="20"/>
                  <w:szCs w:val="20"/>
                  <w:shd w:val="clear" w:color="auto" w:fill="FFFFFF"/>
                </w:rPr>
                <w:t>https://doi.org/10.1007/s10452-023-10057-3</w:t>
              </w:r>
            </w:hyperlink>
          </w:p>
        </w:tc>
      </w:tr>
      <w:tr w:rsidR="002D7080" w:rsidRPr="004D1E6F" w14:paraId="66D41CDA" w14:textId="77777777" w:rsidTr="002E2C37">
        <w:trPr>
          <w:trHeight w:val="343"/>
        </w:trPr>
        <w:tc>
          <w:tcPr>
            <w:tcW w:w="9067" w:type="dxa"/>
            <w:gridSpan w:val="2"/>
            <w:shd w:val="clear" w:color="auto" w:fill="F2F2F2" w:themeFill="background1" w:themeFillShade="F2"/>
          </w:tcPr>
          <w:p w14:paraId="441EA606" w14:textId="77777777" w:rsidR="002D7080" w:rsidRPr="004D1E6F" w:rsidRDefault="002D7080" w:rsidP="002E2C37">
            <w:pPr>
              <w:rPr>
                <w:rFonts w:ascii="Times New Roman" w:eastAsia="Calibri" w:hAnsi="Times New Roman" w:cs="Times New Roman"/>
                <w:sz w:val="20"/>
                <w:szCs w:val="20"/>
              </w:rPr>
            </w:pPr>
            <w:r w:rsidRPr="00C4037B">
              <w:rPr>
                <w:rFonts w:ascii="Times New Roman" w:eastAsia="Times New Roman" w:hAnsi="Times New Roman" w:cs="Times New Roman"/>
                <w:b/>
                <w:sz w:val="20"/>
                <w:szCs w:val="20"/>
                <w:lang w:eastAsia="en-ZA"/>
              </w:rPr>
              <w:t>MAN3c Time to reproduction</w:t>
            </w:r>
          </w:p>
        </w:tc>
      </w:tr>
      <w:tr w:rsidR="002D7080" w:rsidRPr="004D1E6F" w14:paraId="5A6A71EB" w14:textId="77777777" w:rsidTr="002E2C37">
        <w:trPr>
          <w:trHeight w:val="183"/>
        </w:trPr>
        <w:tc>
          <w:tcPr>
            <w:tcW w:w="5240" w:type="dxa"/>
          </w:tcPr>
          <w:p w14:paraId="7263CDE1" w14:textId="77777777" w:rsidR="002D7080" w:rsidRPr="004D1E6F" w:rsidRDefault="002D7080" w:rsidP="002E2C37">
            <w:pPr>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Response:1 (1–3 years)</w:t>
            </w:r>
          </w:p>
        </w:tc>
        <w:tc>
          <w:tcPr>
            <w:tcW w:w="3827" w:type="dxa"/>
          </w:tcPr>
          <w:p w14:paraId="79DE2626" w14:textId="77777777" w:rsidR="002D7080" w:rsidRPr="004D1E6F" w:rsidRDefault="002D7080" w:rsidP="002E2C37">
            <w:pPr>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 xml:space="preserve">Confidence: Medium </w:t>
            </w:r>
          </w:p>
        </w:tc>
      </w:tr>
      <w:tr w:rsidR="002D7080" w:rsidRPr="004D1E6F" w14:paraId="03BFA4E0" w14:textId="77777777" w:rsidTr="002E2C37">
        <w:trPr>
          <w:trHeight w:val="70"/>
        </w:trPr>
        <w:tc>
          <w:tcPr>
            <w:tcW w:w="9067" w:type="dxa"/>
            <w:gridSpan w:val="2"/>
          </w:tcPr>
          <w:p w14:paraId="40A136C9" w14:textId="77777777" w:rsidR="002D7080" w:rsidRPr="004D1E6F"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 xml:space="preserve">Rationale: </w:t>
            </w:r>
            <w:r w:rsidRPr="00C4037B">
              <w:rPr>
                <w:rFonts w:ascii="Times New Roman" w:eastAsia="Times New Roman" w:hAnsi="Times New Roman" w:cs="Times New Roman"/>
                <w:i/>
                <w:iCs/>
                <w:sz w:val="20"/>
                <w:szCs w:val="20"/>
                <w:lang w:eastAsia="en-ZA"/>
              </w:rPr>
              <w:t>P</w:t>
            </w:r>
            <w:r>
              <w:rPr>
                <w:rFonts w:ascii="Times New Roman" w:eastAsia="Times New Roman" w:hAnsi="Times New Roman" w:cs="Times New Roman"/>
                <w:i/>
                <w:iCs/>
                <w:sz w:val="20"/>
                <w:szCs w:val="20"/>
                <w:lang w:eastAsia="en-ZA"/>
              </w:rPr>
              <w:t xml:space="preserve">rocambarus acutus </w:t>
            </w:r>
            <w:r w:rsidRPr="00C4037B">
              <w:rPr>
                <w:rFonts w:ascii="Times New Roman" w:eastAsia="Times New Roman" w:hAnsi="Times New Roman" w:cs="Times New Roman"/>
                <w:sz w:val="20"/>
                <w:szCs w:val="20"/>
                <w:lang w:eastAsia="en-ZA"/>
              </w:rPr>
              <w:t>reach sexual maturity in three years in length (Mazlum 200</w:t>
            </w:r>
            <w:r>
              <w:rPr>
                <w:rFonts w:ascii="Times New Roman" w:eastAsia="Times New Roman" w:hAnsi="Times New Roman" w:cs="Times New Roman"/>
                <w:sz w:val="20"/>
                <w:szCs w:val="20"/>
                <w:lang w:eastAsia="en-ZA"/>
              </w:rPr>
              <w:t>5</w:t>
            </w:r>
            <w:r w:rsidRPr="00C4037B">
              <w:rPr>
                <w:rFonts w:ascii="Times New Roman" w:eastAsia="Times New Roman" w:hAnsi="Times New Roman" w:cs="Times New Roman"/>
                <w:sz w:val="20"/>
                <w:szCs w:val="20"/>
                <w:lang w:eastAsia="en-ZA"/>
              </w:rPr>
              <w:t>; CABI 2024).</w:t>
            </w:r>
          </w:p>
        </w:tc>
      </w:tr>
      <w:tr w:rsidR="002D7080" w:rsidRPr="004D1E6F" w14:paraId="066E4E50" w14:textId="77777777" w:rsidTr="002E2C37">
        <w:trPr>
          <w:trHeight w:val="70"/>
        </w:trPr>
        <w:tc>
          <w:tcPr>
            <w:tcW w:w="9067" w:type="dxa"/>
            <w:gridSpan w:val="2"/>
          </w:tcPr>
          <w:p w14:paraId="6A24CF68" w14:textId="77777777" w:rsidR="002D7080" w:rsidRPr="00C4037B" w:rsidRDefault="002D7080" w:rsidP="002E2C37">
            <w:pPr>
              <w:ind w:left="720" w:hanging="720"/>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References:</w:t>
            </w:r>
          </w:p>
          <w:p w14:paraId="2135C52A" w14:textId="77777777" w:rsidR="002D7080" w:rsidRDefault="002D7080" w:rsidP="002E2C37">
            <w:pPr>
              <w:ind w:left="720" w:hanging="720"/>
              <w:contextualSpacing/>
              <w:jc w:val="both"/>
              <w:rPr>
                <w:rFonts w:ascii="Times New Roman" w:hAnsi="Times New Roman" w:cs="Times New Roman"/>
                <w:sz w:val="20"/>
                <w:szCs w:val="20"/>
              </w:rPr>
            </w:pPr>
            <w:r w:rsidRPr="00A06354">
              <w:rPr>
                <w:rFonts w:ascii="Times New Roman" w:hAnsi="Times New Roman" w:cs="Times New Roman"/>
                <w:sz w:val="20"/>
                <w:szCs w:val="20"/>
              </w:rPr>
              <w:t xml:space="preserve">CABI, 2024. </w:t>
            </w:r>
            <w:r w:rsidRPr="00A06354">
              <w:rPr>
                <w:rFonts w:ascii="Times New Roman" w:hAnsi="Times New Roman" w:cs="Times New Roman"/>
                <w:i/>
                <w:iCs/>
                <w:sz w:val="20"/>
                <w:szCs w:val="20"/>
              </w:rPr>
              <w:t>Procambarus acutus acutus</w:t>
            </w:r>
            <w:r w:rsidRPr="00A06354">
              <w:rPr>
                <w:rFonts w:ascii="Times New Roman" w:hAnsi="Times New Roman" w:cs="Times New Roman"/>
                <w:sz w:val="20"/>
                <w:szCs w:val="20"/>
              </w:rPr>
              <w:t xml:space="preserve">. Invasive Species Compendium, </w:t>
            </w:r>
            <w:r w:rsidRPr="00A06354">
              <w:rPr>
                <w:rFonts w:ascii="Times New Roman" w:hAnsi="Times New Roman" w:cs="Times New Roman"/>
                <w:color w:val="000000"/>
                <w:sz w:val="20"/>
                <w:szCs w:val="20"/>
                <w:shd w:val="clear" w:color="auto" w:fill="FFFFFF"/>
              </w:rPr>
              <w:t>CABI Publishing, Wallingford, UK.</w:t>
            </w:r>
            <w:r w:rsidRPr="00A06354">
              <w:rPr>
                <w:rFonts w:ascii="Times New Roman" w:hAnsi="Times New Roman" w:cs="Times New Roman"/>
                <w:sz w:val="20"/>
                <w:szCs w:val="20"/>
              </w:rPr>
              <w:t xml:space="preserve"> </w:t>
            </w:r>
            <w:hyperlink w:history="1">
              <w:r w:rsidRPr="00A06354">
                <w:rPr>
                  <w:rStyle w:val="Hyperlink"/>
                  <w:rFonts w:ascii="Times New Roman" w:hAnsi="Times New Roman" w:cs="Times New Roman"/>
                  <w:sz w:val="20"/>
                  <w:szCs w:val="20"/>
                </w:rPr>
                <w:t>https://www.cabidigitallibrary.org/doi/10.1079/cabicompendium.67841</w:t>
              </w:r>
            </w:hyperlink>
            <w:r w:rsidRPr="00A06354">
              <w:rPr>
                <w:rFonts w:ascii="Times New Roman" w:hAnsi="Times New Roman" w:cs="Times New Roman"/>
                <w:sz w:val="20"/>
                <w:szCs w:val="20"/>
              </w:rPr>
              <w:t xml:space="preserve"> (accessed 10 July 2024)</w:t>
            </w:r>
            <w:r>
              <w:rPr>
                <w:rFonts w:ascii="Times New Roman" w:hAnsi="Times New Roman" w:cs="Times New Roman"/>
                <w:sz w:val="20"/>
                <w:szCs w:val="20"/>
              </w:rPr>
              <w:t xml:space="preserve">. </w:t>
            </w:r>
          </w:p>
          <w:p w14:paraId="26D9A3D1" w14:textId="77777777" w:rsidR="002D7080" w:rsidRPr="004D1E6F" w:rsidRDefault="002D7080" w:rsidP="002E2C37">
            <w:pPr>
              <w:ind w:left="720" w:hanging="720"/>
              <w:contextualSpacing/>
              <w:jc w:val="both"/>
              <w:rPr>
                <w:rFonts w:ascii="Times New Roman" w:eastAsia="Times New Roman" w:hAnsi="Times New Roman" w:cs="Times New Roman"/>
                <w:sz w:val="20"/>
                <w:szCs w:val="20"/>
                <w:lang w:eastAsia="en-ZA"/>
              </w:rPr>
            </w:pPr>
            <w:r w:rsidRPr="00437389">
              <w:rPr>
                <w:rFonts w:ascii="Times New Roman" w:hAnsi="Times New Roman" w:cs="Times New Roman"/>
                <w:sz w:val="20"/>
                <w:szCs w:val="20"/>
                <w:shd w:val="clear" w:color="auto" w:fill="FFFFFF"/>
              </w:rPr>
              <w:t>Mazlum</w:t>
            </w:r>
            <w:r>
              <w:rPr>
                <w:rFonts w:ascii="Times New Roman" w:hAnsi="Times New Roman" w:cs="Times New Roman"/>
                <w:sz w:val="20"/>
                <w:szCs w:val="20"/>
                <w:shd w:val="clear" w:color="auto" w:fill="FFFFFF"/>
              </w:rPr>
              <w:t>,</w:t>
            </w:r>
            <w:r w:rsidRPr="00437389">
              <w:rPr>
                <w:rFonts w:ascii="Times New Roman" w:hAnsi="Times New Roman" w:cs="Times New Roman"/>
                <w:sz w:val="20"/>
                <w:szCs w:val="20"/>
                <w:shd w:val="clear" w:color="auto" w:fill="FFFFFF"/>
              </w:rPr>
              <w:t xml:space="preserve"> Y</w:t>
            </w:r>
            <w:r>
              <w:rPr>
                <w:rFonts w:ascii="Times New Roman" w:hAnsi="Times New Roman" w:cs="Times New Roman"/>
                <w:sz w:val="20"/>
                <w:szCs w:val="20"/>
                <w:shd w:val="clear" w:color="auto" w:fill="FFFFFF"/>
              </w:rPr>
              <w:t>.</w:t>
            </w:r>
            <w:r w:rsidRPr="00437389">
              <w:rPr>
                <w:rFonts w:ascii="Times New Roman" w:hAnsi="Times New Roman" w:cs="Times New Roman"/>
                <w:sz w:val="20"/>
                <w:szCs w:val="20"/>
                <w:shd w:val="clear" w:color="auto" w:fill="FFFFFF"/>
              </w:rPr>
              <w:t>, 2005</w:t>
            </w:r>
            <w:r>
              <w:rPr>
                <w:rFonts w:ascii="Times New Roman" w:hAnsi="Times New Roman" w:cs="Times New Roman"/>
                <w:sz w:val="20"/>
                <w:szCs w:val="20"/>
                <w:shd w:val="clear" w:color="auto" w:fill="FFFFFF"/>
              </w:rPr>
              <w:t>, ‘</w:t>
            </w:r>
            <w:r w:rsidRPr="00437389">
              <w:rPr>
                <w:rFonts w:ascii="Times New Roman" w:hAnsi="Times New Roman" w:cs="Times New Roman"/>
                <w:sz w:val="20"/>
                <w:szCs w:val="20"/>
                <w:shd w:val="clear" w:color="auto" w:fill="FFFFFF"/>
              </w:rPr>
              <w:t xml:space="preserve">Reproduction of eastern white river crayfish, </w:t>
            </w:r>
            <w:r w:rsidRPr="00437389">
              <w:rPr>
                <w:rFonts w:ascii="Times New Roman" w:hAnsi="Times New Roman" w:cs="Times New Roman"/>
                <w:i/>
                <w:iCs/>
                <w:sz w:val="20"/>
                <w:szCs w:val="20"/>
                <w:shd w:val="clear" w:color="auto" w:fill="FFFFFF"/>
              </w:rPr>
              <w:t>Procambarus acutus acutus</w:t>
            </w:r>
            <w:r w:rsidRPr="00437389">
              <w:rPr>
                <w:rFonts w:ascii="Times New Roman" w:hAnsi="Times New Roman" w:cs="Times New Roman"/>
                <w:sz w:val="20"/>
                <w:szCs w:val="20"/>
                <w:shd w:val="clear" w:color="auto" w:fill="FFFFFF"/>
              </w:rPr>
              <w:t xml:space="preserve"> (Girard, 1852), in two different habitats</w:t>
            </w:r>
            <w:r>
              <w:rPr>
                <w:rFonts w:ascii="Times New Roman" w:hAnsi="Times New Roman" w:cs="Times New Roman"/>
                <w:sz w:val="20"/>
                <w:szCs w:val="20"/>
                <w:shd w:val="clear" w:color="auto" w:fill="FFFFFF"/>
              </w:rPr>
              <w:t xml:space="preserve">’, </w:t>
            </w:r>
            <w:r w:rsidRPr="00B40FA9">
              <w:rPr>
                <w:rFonts w:ascii="Times New Roman" w:hAnsi="Times New Roman" w:cs="Times New Roman"/>
                <w:i/>
                <w:iCs/>
                <w:sz w:val="20"/>
                <w:szCs w:val="20"/>
                <w:shd w:val="clear" w:color="auto" w:fill="FFFFFF"/>
              </w:rPr>
              <w:t>Journal of Animal and Veterinary Advances</w:t>
            </w:r>
            <w:r w:rsidRPr="00437389">
              <w:rPr>
                <w:rFonts w:ascii="Times New Roman" w:hAnsi="Times New Roman" w:cs="Times New Roman"/>
                <w:sz w:val="20"/>
                <w:szCs w:val="20"/>
                <w:shd w:val="clear" w:color="auto" w:fill="FFFFFF"/>
              </w:rPr>
              <w:t>, 4(11)</w:t>
            </w:r>
            <w:r>
              <w:rPr>
                <w:rFonts w:ascii="Times New Roman" w:hAnsi="Times New Roman" w:cs="Times New Roman"/>
                <w:sz w:val="20"/>
                <w:szCs w:val="20"/>
                <w:shd w:val="clear" w:color="auto" w:fill="FFFFFF"/>
              </w:rPr>
              <w:t xml:space="preserve">, </w:t>
            </w:r>
            <w:r w:rsidRPr="00437389">
              <w:rPr>
                <w:rFonts w:ascii="Times New Roman" w:hAnsi="Times New Roman" w:cs="Times New Roman"/>
                <w:sz w:val="20"/>
                <w:szCs w:val="20"/>
                <w:shd w:val="clear" w:color="auto" w:fill="FFFFFF"/>
              </w:rPr>
              <w:t>933-936.</w:t>
            </w:r>
          </w:p>
        </w:tc>
      </w:tr>
      <w:tr w:rsidR="002D7080" w:rsidRPr="004D1E6F" w14:paraId="4C8FE09D" w14:textId="77777777" w:rsidTr="002E2C37">
        <w:trPr>
          <w:trHeight w:val="343"/>
        </w:trPr>
        <w:tc>
          <w:tcPr>
            <w:tcW w:w="9067" w:type="dxa"/>
            <w:gridSpan w:val="2"/>
            <w:shd w:val="clear" w:color="auto" w:fill="F2F2F2" w:themeFill="background1" w:themeFillShade="F2"/>
          </w:tcPr>
          <w:p w14:paraId="50BF0E2E" w14:textId="77777777" w:rsidR="002D7080" w:rsidRPr="004D1E6F" w:rsidRDefault="002D7080" w:rsidP="002E2C37">
            <w:pPr>
              <w:rPr>
                <w:rFonts w:ascii="Times New Roman" w:eastAsia="Calibri" w:hAnsi="Times New Roman" w:cs="Times New Roman"/>
                <w:sz w:val="20"/>
                <w:szCs w:val="20"/>
              </w:rPr>
            </w:pPr>
            <w:r w:rsidRPr="00C4037B">
              <w:rPr>
                <w:rFonts w:ascii="Times New Roman" w:eastAsia="Times New Roman" w:hAnsi="Times New Roman" w:cs="Times New Roman"/>
                <w:b/>
                <w:sz w:val="20"/>
                <w:szCs w:val="20"/>
                <w:lang w:eastAsia="en-ZA"/>
              </w:rPr>
              <w:t>MAN3d Propagule persistence</w:t>
            </w:r>
          </w:p>
        </w:tc>
      </w:tr>
      <w:tr w:rsidR="002D7080" w:rsidRPr="004D1E6F" w14:paraId="123FFB01" w14:textId="77777777" w:rsidTr="002E2C37">
        <w:trPr>
          <w:trHeight w:val="183"/>
        </w:trPr>
        <w:tc>
          <w:tcPr>
            <w:tcW w:w="5240" w:type="dxa"/>
          </w:tcPr>
          <w:p w14:paraId="46A8C213" w14:textId="77777777" w:rsidR="002D7080" w:rsidRPr="004D1E6F" w:rsidRDefault="002D7080" w:rsidP="002E2C37">
            <w:pPr>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Response:0 (&lt;1 year)</w:t>
            </w:r>
          </w:p>
        </w:tc>
        <w:tc>
          <w:tcPr>
            <w:tcW w:w="3827" w:type="dxa"/>
          </w:tcPr>
          <w:p w14:paraId="532A20FA" w14:textId="77777777" w:rsidR="002D7080" w:rsidRPr="004D1E6F" w:rsidRDefault="002D7080" w:rsidP="002E2C37">
            <w:pPr>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Confidence: Medium</w:t>
            </w:r>
          </w:p>
        </w:tc>
      </w:tr>
      <w:tr w:rsidR="002D7080" w:rsidRPr="004D1E6F" w14:paraId="2BC15B7A" w14:textId="77777777" w:rsidTr="002E2C37">
        <w:trPr>
          <w:trHeight w:val="195"/>
        </w:trPr>
        <w:tc>
          <w:tcPr>
            <w:tcW w:w="9067" w:type="dxa"/>
            <w:gridSpan w:val="2"/>
          </w:tcPr>
          <w:p w14:paraId="3B8D0338" w14:textId="77777777" w:rsidR="002D7080" w:rsidRPr="004D1E6F" w:rsidRDefault="002D7080" w:rsidP="002E2C37">
            <w:pPr>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Rationale:</w:t>
            </w:r>
            <w:r w:rsidRPr="00C4037B">
              <w:rPr>
                <w:rFonts w:ascii="Times New Roman" w:eastAsia="Times New Roman" w:hAnsi="Times New Roman" w:cs="Times New Roman"/>
                <w:i/>
                <w:iCs/>
                <w:sz w:val="20"/>
                <w:szCs w:val="20"/>
                <w:lang w:eastAsia="en-ZA"/>
              </w:rPr>
              <w:t xml:space="preserve"> P</w:t>
            </w:r>
            <w:r>
              <w:rPr>
                <w:rFonts w:ascii="Times New Roman" w:eastAsia="Times New Roman" w:hAnsi="Times New Roman" w:cs="Times New Roman"/>
                <w:i/>
                <w:iCs/>
                <w:sz w:val="20"/>
                <w:szCs w:val="20"/>
                <w:lang w:eastAsia="en-ZA"/>
              </w:rPr>
              <w:t xml:space="preserve">rocambarus acutus </w:t>
            </w:r>
            <w:r w:rsidRPr="00CB4CF7">
              <w:rPr>
                <w:rFonts w:ascii="Times New Roman" w:eastAsia="Times New Roman" w:hAnsi="Times New Roman" w:cs="Times New Roman"/>
                <w:sz w:val="20"/>
                <w:szCs w:val="20"/>
                <w:lang w:eastAsia="en-ZA"/>
              </w:rPr>
              <w:t>is a seasonal spawner that is</w:t>
            </w:r>
            <w:r>
              <w:rPr>
                <w:rFonts w:ascii="Times New Roman" w:eastAsia="Times New Roman" w:hAnsi="Times New Roman" w:cs="Times New Roman"/>
                <w:i/>
                <w:iCs/>
                <w:sz w:val="20"/>
                <w:szCs w:val="20"/>
                <w:lang w:eastAsia="en-ZA"/>
              </w:rPr>
              <w:t xml:space="preserve"> </w:t>
            </w:r>
            <w:r w:rsidRPr="00C4037B">
              <w:rPr>
                <w:rFonts w:ascii="Times New Roman" w:eastAsia="Times New Roman" w:hAnsi="Times New Roman" w:cs="Times New Roman"/>
                <w:iCs/>
                <w:sz w:val="20"/>
                <w:szCs w:val="20"/>
                <w:lang w:eastAsia="en-ZA"/>
              </w:rPr>
              <w:t>highly fecund,</w:t>
            </w:r>
            <w:r w:rsidRPr="00C4037B">
              <w:rPr>
                <w:rFonts w:ascii="Times New Roman" w:eastAsia="Times New Roman" w:hAnsi="Times New Roman" w:cs="Times New Roman"/>
                <w:sz w:val="20"/>
                <w:szCs w:val="20"/>
                <w:lang w:eastAsia="en-ZA"/>
              </w:rPr>
              <w:t xml:space="preserve"> on average a female produces </w:t>
            </w:r>
            <w:r>
              <w:rPr>
                <w:rFonts w:ascii="Times New Roman" w:eastAsia="Times New Roman" w:hAnsi="Times New Roman" w:cs="Times New Roman"/>
                <w:sz w:val="20"/>
                <w:szCs w:val="20"/>
                <w:lang w:eastAsia="en-ZA"/>
              </w:rPr>
              <w:t>32</w:t>
            </w:r>
            <w:r w:rsidRPr="00C4037B">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556</w:t>
            </w:r>
            <w:r w:rsidRPr="00C4037B">
              <w:rPr>
                <w:rFonts w:ascii="Times New Roman" w:eastAsia="Times New Roman" w:hAnsi="Times New Roman" w:cs="Times New Roman"/>
                <w:sz w:val="20"/>
                <w:szCs w:val="20"/>
                <w:lang w:eastAsia="en-ZA"/>
              </w:rPr>
              <w:t xml:space="preserve"> with parental care for both eggs and hatchlings (Mazlum 200</w:t>
            </w:r>
            <w:r>
              <w:rPr>
                <w:rFonts w:ascii="Times New Roman" w:eastAsia="Times New Roman" w:hAnsi="Times New Roman" w:cs="Times New Roman"/>
                <w:sz w:val="20"/>
                <w:szCs w:val="20"/>
                <w:lang w:eastAsia="en-ZA"/>
              </w:rPr>
              <w:t>5</w:t>
            </w:r>
            <w:r w:rsidRPr="00C4037B">
              <w:rPr>
                <w:rFonts w:ascii="Times New Roman" w:eastAsia="Times New Roman" w:hAnsi="Times New Roman" w:cs="Times New Roman"/>
                <w:sz w:val="20"/>
                <w:szCs w:val="20"/>
                <w:lang w:eastAsia="en-ZA"/>
              </w:rPr>
              <w:t>; CABI 2024)</w:t>
            </w:r>
          </w:p>
        </w:tc>
      </w:tr>
      <w:tr w:rsidR="002D7080" w:rsidRPr="004D1E6F" w14:paraId="74976E10" w14:textId="77777777" w:rsidTr="002E2C37">
        <w:trPr>
          <w:trHeight w:val="99"/>
        </w:trPr>
        <w:tc>
          <w:tcPr>
            <w:tcW w:w="9067" w:type="dxa"/>
            <w:gridSpan w:val="2"/>
          </w:tcPr>
          <w:p w14:paraId="33DF32E2" w14:textId="77777777" w:rsidR="002D7080" w:rsidRPr="00C4037B" w:rsidRDefault="002D7080" w:rsidP="002E2C37">
            <w:pPr>
              <w:ind w:left="720" w:hanging="720"/>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References:</w:t>
            </w:r>
          </w:p>
          <w:p w14:paraId="14AFE098" w14:textId="77777777" w:rsidR="002D7080" w:rsidRDefault="002D7080" w:rsidP="002E2C37">
            <w:pPr>
              <w:ind w:left="720" w:hanging="720"/>
              <w:jc w:val="both"/>
              <w:rPr>
                <w:rFonts w:ascii="Times New Roman" w:hAnsi="Times New Roman" w:cs="Times New Roman"/>
                <w:sz w:val="20"/>
                <w:szCs w:val="20"/>
              </w:rPr>
            </w:pPr>
            <w:r w:rsidRPr="00A06354">
              <w:rPr>
                <w:rFonts w:ascii="Times New Roman" w:hAnsi="Times New Roman" w:cs="Times New Roman"/>
                <w:sz w:val="20"/>
                <w:szCs w:val="20"/>
              </w:rPr>
              <w:t xml:space="preserve">CABI, 2024. </w:t>
            </w:r>
            <w:r w:rsidRPr="00A06354">
              <w:rPr>
                <w:rFonts w:ascii="Times New Roman" w:hAnsi="Times New Roman" w:cs="Times New Roman"/>
                <w:i/>
                <w:iCs/>
                <w:sz w:val="20"/>
                <w:szCs w:val="20"/>
              </w:rPr>
              <w:t>Procambarus acutus acutus</w:t>
            </w:r>
            <w:r w:rsidRPr="00A06354">
              <w:rPr>
                <w:rFonts w:ascii="Times New Roman" w:hAnsi="Times New Roman" w:cs="Times New Roman"/>
                <w:sz w:val="20"/>
                <w:szCs w:val="20"/>
              </w:rPr>
              <w:t xml:space="preserve">. Invasive Species Compendium, </w:t>
            </w:r>
            <w:r w:rsidRPr="00A06354">
              <w:rPr>
                <w:rFonts w:ascii="Times New Roman" w:hAnsi="Times New Roman" w:cs="Times New Roman"/>
                <w:color w:val="000000"/>
                <w:sz w:val="20"/>
                <w:szCs w:val="20"/>
                <w:shd w:val="clear" w:color="auto" w:fill="FFFFFF"/>
              </w:rPr>
              <w:t>CABI Publishing, Wallingford, UK.</w:t>
            </w:r>
            <w:r w:rsidRPr="00A06354">
              <w:rPr>
                <w:rFonts w:ascii="Times New Roman" w:hAnsi="Times New Roman" w:cs="Times New Roman"/>
                <w:sz w:val="20"/>
                <w:szCs w:val="20"/>
              </w:rPr>
              <w:t xml:space="preserve"> </w:t>
            </w:r>
            <w:hyperlink w:history="1">
              <w:r w:rsidRPr="00A06354">
                <w:rPr>
                  <w:rStyle w:val="Hyperlink"/>
                  <w:rFonts w:ascii="Times New Roman" w:hAnsi="Times New Roman" w:cs="Times New Roman"/>
                  <w:sz w:val="20"/>
                  <w:szCs w:val="20"/>
                </w:rPr>
                <w:t>https://www.cabidigitallibrary.org/doi/10.1079/cabicompendium.67841</w:t>
              </w:r>
            </w:hyperlink>
            <w:r w:rsidRPr="00A06354">
              <w:rPr>
                <w:rFonts w:ascii="Times New Roman" w:hAnsi="Times New Roman" w:cs="Times New Roman"/>
                <w:sz w:val="20"/>
                <w:szCs w:val="20"/>
              </w:rPr>
              <w:t xml:space="preserve"> (accessed 10 July 2024)</w:t>
            </w:r>
            <w:r>
              <w:rPr>
                <w:rFonts w:ascii="Times New Roman" w:hAnsi="Times New Roman" w:cs="Times New Roman"/>
                <w:sz w:val="20"/>
                <w:szCs w:val="20"/>
              </w:rPr>
              <w:t xml:space="preserve">. </w:t>
            </w:r>
          </w:p>
          <w:p w14:paraId="3A47EE8D" w14:textId="77777777" w:rsidR="002D7080" w:rsidRPr="00437389" w:rsidRDefault="002D7080" w:rsidP="002E2C37">
            <w:pPr>
              <w:ind w:left="720" w:hanging="720"/>
              <w:jc w:val="both"/>
              <w:rPr>
                <w:rFonts w:ascii="Times New Roman" w:eastAsia="Times New Roman" w:hAnsi="Times New Roman" w:cs="Times New Roman"/>
                <w:sz w:val="20"/>
                <w:szCs w:val="20"/>
                <w:lang w:eastAsia="en-ZA"/>
              </w:rPr>
            </w:pPr>
            <w:r w:rsidRPr="00437389">
              <w:rPr>
                <w:rFonts w:ascii="Times New Roman" w:hAnsi="Times New Roman" w:cs="Times New Roman"/>
                <w:sz w:val="20"/>
                <w:szCs w:val="20"/>
                <w:shd w:val="clear" w:color="auto" w:fill="FFFFFF"/>
              </w:rPr>
              <w:t>Mazlum</w:t>
            </w:r>
            <w:r>
              <w:rPr>
                <w:rFonts w:ascii="Times New Roman" w:hAnsi="Times New Roman" w:cs="Times New Roman"/>
                <w:sz w:val="20"/>
                <w:szCs w:val="20"/>
                <w:shd w:val="clear" w:color="auto" w:fill="FFFFFF"/>
              </w:rPr>
              <w:t>,</w:t>
            </w:r>
            <w:r w:rsidRPr="00437389">
              <w:rPr>
                <w:rFonts w:ascii="Times New Roman" w:hAnsi="Times New Roman" w:cs="Times New Roman"/>
                <w:sz w:val="20"/>
                <w:szCs w:val="20"/>
                <w:shd w:val="clear" w:color="auto" w:fill="FFFFFF"/>
              </w:rPr>
              <w:t xml:space="preserve"> Y</w:t>
            </w:r>
            <w:r>
              <w:rPr>
                <w:rFonts w:ascii="Times New Roman" w:hAnsi="Times New Roman" w:cs="Times New Roman"/>
                <w:sz w:val="20"/>
                <w:szCs w:val="20"/>
                <w:shd w:val="clear" w:color="auto" w:fill="FFFFFF"/>
              </w:rPr>
              <w:t>.</w:t>
            </w:r>
            <w:r w:rsidRPr="00437389">
              <w:rPr>
                <w:rFonts w:ascii="Times New Roman" w:hAnsi="Times New Roman" w:cs="Times New Roman"/>
                <w:sz w:val="20"/>
                <w:szCs w:val="20"/>
                <w:shd w:val="clear" w:color="auto" w:fill="FFFFFF"/>
              </w:rPr>
              <w:t>, 2005</w:t>
            </w:r>
            <w:r>
              <w:rPr>
                <w:rFonts w:ascii="Times New Roman" w:hAnsi="Times New Roman" w:cs="Times New Roman"/>
                <w:sz w:val="20"/>
                <w:szCs w:val="20"/>
                <w:shd w:val="clear" w:color="auto" w:fill="FFFFFF"/>
              </w:rPr>
              <w:t>, ‘</w:t>
            </w:r>
            <w:r w:rsidRPr="00437389">
              <w:rPr>
                <w:rFonts w:ascii="Times New Roman" w:hAnsi="Times New Roman" w:cs="Times New Roman"/>
                <w:sz w:val="20"/>
                <w:szCs w:val="20"/>
                <w:shd w:val="clear" w:color="auto" w:fill="FFFFFF"/>
              </w:rPr>
              <w:t xml:space="preserve">Reproduction of eastern white river crayfish, </w:t>
            </w:r>
            <w:r w:rsidRPr="00437389">
              <w:rPr>
                <w:rFonts w:ascii="Times New Roman" w:hAnsi="Times New Roman" w:cs="Times New Roman"/>
                <w:i/>
                <w:iCs/>
                <w:sz w:val="20"/>
                <w:szCs w:val="20"/>
                <w:shd w:val="clear" w:color="auto" w:fill="FFFFFF"/>
              </w:rPr>
              <w:t>Procambarus acutus acutus</w:t>
            </w:r>
            <w:r w:rsidRPr="00437389">
              <w:rPr>
                <w:rFonts w:ascii="Times New Roman" w:hAnsi="Times New Roman" w:cs="Times New Roman"/>
                <w:sz w:val="20"/>
                <w:szCs w:val="20"/>
                <w:shd w:val="clear" w:color="auto" w:fill="FFFFFF"/>
              </w:rPr>
              <w:t xml:space="preserve"> (Girard, 1852), in two different habitats</w:t>
            </w:r>
            <w:r>
              <w:rPr>
                <w:rFonts w:ascii="Times New Roman" w:hAnsi="Times New Roman" w:cs="Times New Roman"/>
                <w:sz w:val="20"/>
                <w:szCs w:val="20"/>
                <w:shd w:val="clear" w:color="auto" w:fill="FFFFFF"/>
              </w:rPr>
              <w:t xml:space="preserve">’, </w:t>
            </w:r>
            <w:r w:rsidRPr="00B40FA9">
              <w:rPr>
                <w:rFonts w:ascii="Times New Roman" w:hAnsi="Times New Roman" w:cs="Times New Roman"/>
                <w:i/>
                <w:iCs/>
                <w:sz w:val="20"/>
                <w:szCs w:val="20"/>
                <w:shd w:val="clear" w:color="auto" w:fill="FFFFFF"/>
              </w:rPr>
              <w:t>Journal of Animal and Veterinary Advances</w:t>
            </w:r>
            <w:r w:rsidRPr="00437389">
              <w:rPr>
                <w:rFonts w:ascii="Times New Roman" w:hAnsi="Times New Roman" w:cs="Times New Roman"/>
                <w:sz w:val="20"/>
                <w:szCs w:val="20"/>
                <w:shd w:val="clear" w:color="auto" w:fill="FFFFFF"/>
              </w:rPr>
              <w:t>, 4(11)</w:t>
            </w:r>
            <w:r>
              <w:rPr>
                <w:rFonts w:ascii="Times New Roman" w:hAnsi="Times New Roman" w:cs="Times New Roman"/>
                <w:sz w:val="20"/>
                <w:szCs w:val="20"/>
                <w:shd w:val="clear" w:color="auto" w:fill="FFFFFF"/>
              </w:rPr>
              <w:t xml:space="preserve">, </w:t>
            </w:r>
            <w:r w:rsidRPr="00437389">
              <w:rPr>
                <w:rFonts w:ascii="Times New Roman" w:hAnsi="Times New Roman" w:cs="Times New Roman"/>
                <w:sz w:val="20"/>
                <w:szCs w:val="20"/>
                <w:shd w:val="clear" w:color="auto" w:fill="FFFFFF"/>
              </w:rPr>
              <w:t>933-936.</w:t>
            </w:r>
          </w:p>
        </w:tc>
      </w:tr>
      <w:tr w:rsidR="002D7080" w:rsidRPr="004D1E6F" w14:paraId="1F2496F6" w14:textId="77777777" w:rsidTr="002E2C37">
        <w:trPr>
          <w:trHeight w:val="343"/>
        </w:trPr>
        <w:tc>
          <w:tcPr>
            <w:tcW w:w="9067" w:type="dxa"/>
            <w:gridSpan w:val="2"/>
            <w:shd w:val="clear" w:color="auto" w:fill="F2F2F2" w:themeFill="background1" w:themeFillShade="F2"/>
          </w:tcPr>
          <w:p w14:paraId="706649A8"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MAN3 Ease of management </w:t>
            </w:r>
            <w:r w:rsidRPr="004D1E6F">
              <w:rPr>
                <w:rFonts w:ascii="Times New Roman" w:eastAsia="Times New Roman" w:hAnsi="Times New Roman" w:cs="Times New Roman"/>
                <w:sz w:val="20"/>
                <w:szCs w:val="20"/>
                <w:lang w:eastAsia="en-ZA"/>
              </w:rPr>
              <w:t>(SUM from Table S4)</w:t>
            </w:r>
          </w:p>
        </w:tc>
      </w:tr>
      <w:tr w:rsidR="002D7080" w:rsidRPr="004D1E6F" w14:paraId="125BF6DC" w14:textId="77777777" w:rsidTr="002E2C37">
        <w:trPr>
          <w:trHeight w:val="172"/>
        </w:trPr>
        <w:tc>
          <w:tcPr>
            <w:tcW w:w="5240" w:type="dxa"/>
          </w:tcPr>
          <w:p w14:paraId="59C0289E" w14:textId="77777777" w:rsidR="002D7080" w:rsidRPr="004D1E6F" w:rsidRDefault="002D7080" w:rsidP="002E2C37">
            <w:pPr>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Response: Medium</w:t>
            </w:r>
          </w:p>
        </w:tc>
        <w:tc>
          <w:tcPr>
            <w:tcW w:w="3827" w:type="dxa"/>
          </w:tcPr>
          <w:p w14:paraId="3BE319A7" w14:textId="77777777" w:rsidR="002D7080" w:rsidRPr="004D1E6F" w:rsidRDefault="002D7080" w:rsidP="002E2C37">
            <w:pPr>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Confidence: Medium</w:t>
            </w:r>
          </w:p>
        </w:tc>
      </w:tr>
      <w:tr w:rsidR="002D7080" w:rsidRPr="004D1E6F" w14:paraId="1B3ABBFB" w14:textId="77777777" w:rsidTr="002E2C37">
        <w:trPr>
          <w:trHeight w:val="70"/>
        </w:trPr>
        <w:tc>
          <w:tcPr>
            <w:tcW w:w="9067" w:type="dxa"/>
            <w:gridSpan w:val="2"/>
          </w:tcPr>
          <w:p w14:paraId="6D1A0B91" w14:textId="77777777" w:rsidR="002D7080" w:rsidRPr="004D1E6F" w:rsidRDefault="002D7080" w:rsidP="002E2C37">
            <w:pPr>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 xml:space="preserve">Rationale: </w:t>
            </w:r>
            <w:r w:rsidRPr="00C4037B">
              <w:rPr>
                <w:rFonts w:ascii="Times New Roman" w:eastAsia="Times New Roman" w:hAnsi="Times New Roman" w:cs="Times New Roman"/>
                <w:i/>
                <w:iCs/>
                <w:sz w:val="20"/>
                <w:szCs w:val="20"/>
                <w:lang w:eastAsia="en-ZA"/>
              </w:rPr>
              <w:t>P</w:t>
            </w:r>
            <w:r>
              <w:rPr>
                <w:rFonts w:ascii="Times New Roman" w:eastAsia="Times New Roman" w:hAnsi="Times New Roman" w:cs="Times New Roman"/>
                <w:i/>
                <w:iCs/>
                <w:sz w:val="20"/>
                <w:szCs w:val="20"/>
                <w:lang w:eastAsia="en-ZA"/>
              </w:rPr>
              <w:t xml:space="preserve">rocambarus acutus </w:t>
            </w:r>
            <w:r w:rsidRPr="00C4037B">
              <w:rPr>
                <w:rFonts w:ascii="Times New Roman" w:eastAsia="Times New Roman" w:hAnsi="Times New Roman" w:cs="Times New Roman"/>
                <w:sz w:val="20"/>
                <w:szCs w:val="20"/>
                <w:lang w:eastAsia="en-ZA"/>
              </w:rPr>
              <w:t xml:space="preserve">is </w:t>
            </w:r>
            <w:r w:rsidRPr="00C4037B">
              <w:rPr>
                <w:rFonts w:ascii="Times New Roman" w:hAnsi="Times New Roman" w:cs="Times New Roman"/>
                <w:bCs/>
                <w:iCs/>
                <w:sz w:val="20"/>
                <w:szCs w:val="20"/>
              </w:rPr>
              <w:t>a small burrowing freshwater species that is difficult to detect, it is highly fecund (</w:t>
            </w:r>
            <w:r>
              <w:rPr>
                <w:rFonts w:ascii="Times New Roman" w:hAnsi="Times New Roman" w:cs="Times New Roman"/>
                <w:bCs/>
                <w:iCs/>
                <w:sz w:val="20"/>
                <w:szCs w:val="20"/>
              </w:rPr>
              <w:t>3</w:t>
            </w:r>
            <w:r w:rsidRPr="00C4037B">
              <w:rPr>
                <w:rFonts w:ascii="Times New Roman" w:hAnsi="Times New Roman" w:cs="Times New Roman"/>
                <w:bCs/>
                <w:iCs/>
                <w:sz w:val="20"/>
                <w:szCs w:val="20"/>
              </w:rPr>
              <w:t>2–</w:t>
            </w:r>
            <w:r>
              <w:rPr>
                <w:rFonts w:ascii="Times New Roman" w:hAnsi="Times New Roman" w:cs="Times New Roman"/>
                <w:bCs/>
                <w:iCs/>
                <w:sz w:val="20"/>
                <w:szCs w:val="20"/>
              </w:rPr>
              <w:t>556</w:t>
            </w:r>
            <w:r w:rsidRPr="00C4037B">
              <w:rPr>
                <w:rFonts w:ascii="Times New Roman" w:hAnsi="Times New Roman" w:cs="Times New Roman"/>
                <w:bCs/>
                <w:iCs/>
                <w:sz w:val="20"/>
                <w:szCs w:val="20"/>
              </w:rPr>
              <w:t xml:space="preserve"> eggs) and parental cares increases the survival probability of hatchlings (Mazlum 200</w:t>
            </w:r>
            <w:r>
              <w:rPr>
                <w:rFonts w:ascii="Times New Roman" w:hAnsi="Times New Roman" w:cs="Times New Roman"/>
                <w:bCs/>
                <w:iCs/>
                <w:sz w:val="20"/>
                <w:szCs w:val="20"/>
              </w:rPr>
              <w:t>5</w:t>
            </w:r>
            <w:r w:rsidRPr="00C4037B">
              <w:rPr>
                <w:rFonts w:ascii="Times New Roman" w:hAnsi="Times New Roman" w:cs="Times New Roman"/>
                <w:bCs/>
                <w:iCs/>
                <w:sz w:val="20"/>
                <w:szCs w:val="20"/>
              </w:rPr>
              <w:t xml:space="preserve">; </w:t>
            </w:r>
            <w:r>
              <w:rPr>
                <w:rFonts w:ascii="Times New Roman" w:hAnsi="Times New Roman" w:cs="Times New Roman"/>
                <w:bCs/>
                <w:iCs/>
                <w:sz w:val="20"/>
                <w:szCs w:val="20"/>
              </w:rPr>
              <w:t xml:space="preserve">Peeters et al. 2023; </w:t>
            </w:r>
            <w:r w:rsidRPr="00C4037B">
              <w:rPr>
                <w:rFonts w:ascii="Times New Roman" w:hAnsi="Times New Roman" w:cs="Times New Roman"/>
                <w:bCs/>
                <w:iCs/>
                <w:sz w:val="20"/>
                <w:szCs w:val="20"/>
              </w:rPr>
              <w:t>CABI 2024).</w:t>
            </w:r>
          </w:p>
        </w:tc>
      </w:tr>
      <w:tr w:rsidR="002D7080" w:rsidRPr="004D1E6F" w14:paraId="1CF96F0F" w14:textId="77777777" w:rsidTr="002E2C37">
        <w:trPr>
          <w:trHeight w:val="70"/>
        </w:trPr>
        <w:tc>
          <w:tcPr>
            <w:tcW w:w="9067" w:type="dxa"/>
            <w:gridSpan w:val="2"/>
          </w:tcPr>
          <w:p w14:paraId="374A3ADD" w14:textId="77777777" w:rsidR="002D7080" w:rsidRPr="00C4037B" w:rsidRDefault="002D7080" w:rsidP="002E2C37">
            <w:pPr>
              <w:ind w:left="720" w:hanging="720"/>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lastRenderedPageBreak/>
              <w:t>References:</w:t>
            </w:r>
          </w:p>
          <w:p w14:paraId="35C11058" w14:textId="77777777" w:rsidR="002D7080" w:rsidRDefault="002D7080" w:rsidP="002E2C37">
            <w:pPr>
              <w:ind w:left="720" w:hanging="720"/>
              <w:contextualSpacing/>
              <w:rPr>
                <w:rFonts w:ascii="Times New Roman" w:hAnsi="Times New Roman" w:cs="Times New Roman"/>
                <w:sz w:val="20"/>
                <w:szCs w:val="20"/>
              </w:rPr>
            </w:pPr>
            <w:r w:rsidRPr="00A06354">
              <w:rPr>
                <w:rFonts w:ascii="Times New Roman" w:hAnsi="Times New Roman" w:cs="Times New Roman"/>
                <w:sz w:val="20"/>
                <w:szCs w:val="20"/>
              </w:rPr>
              <w:t xml:space="preserve">CABI, 2024. </w:t>
            </w:r>
            <w:r w:rsidRPr="00A06354">
              <w:rPr>
                <w:rFonts w:ascii="Times New Roman" w:hAnsi="Times New Roman" w:cs="Times New Roman"/>
                <w:i/>
                <w:iCs/>
                <w:sz w:val="20"/>
                <w:szCs w:val="20"/>
              </w:rPr>
              <w:t>Procambarus acutus acutus</w:t>
            </w:r>
            <w:r w:rsidRPr="00A06354">
              <w:rPr>
                <w:rFonts w:ascii="Times New Roman" w:hAnsi="Times New Roman" w:cs="Times New Roman"/>
                <w:sz w:val="20"/>
                <w:szCs w:val="20"/>
              </w:rPr>
              <w:t xml:space="preserve">. Invasive Species Compendium, </w:t>
            </w:r>
            <w:r w:rsidRPr="00A06354">
              <w:rPr>
                <w:rFonts w:ascii="Times New Roman" w:hAnsi="Times New Roman" w:cs="Times New Roman"/>
                <w:color w:val="000000"/>
                <w:sz w:val="20"/>
                <w:szCs w:val="20"/>
                <w:shd w:val="clear" w:color="auto" w:fill="FFFFFF"/>
              </w:rPr>
              <w:t>CABI Publishing, Wallingford, UK.</w:t>
            </w:r>
            <w:r w:rsidRPr="00A06354">
              <w:rPr>
                <w:rFonts w:ascii="Times New Roman" w:hAnsi="Times New Roman" w:cs="Times New Roman"/>
                <w:sz w:val="20"/>
                <w:szCs w:val="20"/>
              </w:rPr>
              <w:t xml:space="preserve"> </w:t>
            </w:r>
            <w:hyperlink w:history="1">
              <w:r w:rsidRPr="00A06354">
                <w:rPr>
                  <w:rStyle w:val="Hyperlink"/>
                  <w:rFonts w:ascii="Times New Roman" w:hAnsi="Times New Roman" w:cs="Times New Roman"/>
                  <w:sz w:val="20"/>
                  <w:szCs w:val="20"/>
                </w:rPr>
                <w:t>https://www.cabidigitallibrary.org/doi/10.1079/cabicompendium.67841</w:t>
              </w:r>
            </w:hyperlink>
            <w:r w:rsidRPr="00A06354">
              <w:rPr>
                <w:rFonts w:ascii="Times New Roman" w:hAnsi="Times New Roman" w:cs="Times New Roman"/>
                <w:sz w:val="20"/>
                <w:szCs w:val="20"/>
              </w:rPr>
              <w:t xml:space="preserve"> (accessed 10 July 2024)</w:t>
            </w:r>
            <w:r>
              <w:rPr>
                <w:rFonts w:ascii="Times New Roman" w:hAnsi="Times New Roman" w:cs="Times New Roman"/>
                <w:sz w:val="20"/>
                <w:szCs w:val="20"/>
              </w:rPr>
              <w:t xml:space="preserve">. </w:t>
            </w:r>
          </w:p>
          <w:p w14:paraId="4A9CD490" w14:textId="77777777" w:rsidR="002D7080" w:rsidRDefault="002D7080" w:rsidP="002E2C37">
            <w:pPr>
              <w:ind w:left="720" w:hanging="720"/>
              <w:contextualSpacing/>
              <w:rPr>
                <w:rFonts w:ascii="Times New Roman" w:hAnsi="Times New Roman" w:cs="Times New Roman"/>
                <w:sz w:val="20"/>
                <w:szCs w:val="20"/>
                <w:shd w:val="clear" w:color="auto" w:fill="FFFFFF"/>
              </w:rPr>
            </w:pPr>
            <w:r w:rsidRPr="00437389">
              <w:rPr>
                <w:rFonts w:ascii="Times New Roman" w:hAnsi="Times New Roman" w:cs="Times New Roman"/>
                <w:sz w:val="20"/>
                <w:szCs w:val="20"/>
                <w:shd w:val="clear" w:color="auto" w:fill="FFFFFF"/>
              </w:rPr>
              <w:t>Mazlum</w:t>
            </w:r>
            <w:r>
              <w:rPr>
                <w:rFonts w:ascii="Times New Roman" w:hAnsi="Times New Roman" w:cs="Times New Roman"/>
                <w:sz w:val="20"/>
                <w:szCs w:val="20"/>
                <w:shd w:val="clear" w:color="auto" w:fill="FFFFFF"/>
              </w:rPr>
              <w:t>,</w:t>
            </w:r>
            <w:r w:rsidRPr="00437389">
              <w:rPr>
                <w:rFonts w:ascii="Times New Roman" w:hAnsi="Times New Roman" w:cs="Times New Roman"/>
                <w:sz w:val="20"/>
                <w:szCs w:val="20"/>
                <w:shd w:val="clear" w:color="auto" w:fill="FFFFFF"/>
              </w:rPr>
              <w:t xml:space="preserve"> Y</w:t>
            </w:r>
            <w:r>
              <w:rPr>
                <w:rFonts w:ascii="Times New Roman" w:hAnsi="Times New Roman" w:cs="Times New Roman"/>
                <w:sz w:val="20"/>
                <w:szCs w:val="20"/>
                <w:shd w:val="clear" w:color="auto" w:fill="FFFFFF"/>
              </w:rPr>
              <w:t>.</w:t>
            </w:r>
            <w:r w:rsidRPr="00437389">
              <w:rPr>
                <w:rFonts w:ascii="Times New Roman" w:hAnsi="Times New Roman" w:cs="Times New Roman"/>
                <w:sz w:val="20"/>
                <w:szCs w:val="20"/>
                <w:shd w:val="clear" w:color="auto" w:fill="FFFFFF"/>
              </w:rPr>
              <w:t>, 2005</w:t>
            </w:r>
            <w:r>
              <w:rPr>
                <w:rFonts w:ascii="Times New Roman" w:hAnsi="Times New Roman" w:cs="Times New Roman"/>
                <w:sz w:val="20"/>
                <w:szCs w:val="20"/>
                <w:shd w:val="clear" w:color="auto" w:fill="FFFFFF"/>
              </w:rPr>
              <w:t>,</w:t>
            </w:r>
            <w:r w:rsidRPr="00437389">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w:t>
            </w:r>
            <w:r w:rsidRPr="00437389">
              <w:rPr>
                <w:rFonts w:ascii="Times New Roman" w:hAnsi="Times New Roman" w:cs="Times New Roman"/>
                <w:sz w:val="20"/>
                <w:szCs w:val="20"/>
                <w:shd w:val="clear" w:color="auto" w:fill="FFFFFF"/>
              </w:rPr>
              <w:t xml:space="preserve">Reproduction of eastern white river crayfish, </w:t>
            </w:r>
            <w:r w:rsidRPr="00437389">
              <w:rPr>
                <w:rFonts w:ascii="Times New Roman" w:hAnsi="Times New Roman" w:cs="Times New Roman"/>
                <w:i/>
                <w:iCs/>
                <w:sz w:val="20"/>
                <w:szCs w:val="20"/>
                <w:shd w:val="clear" w:color="auto" w:fill="FFFFFF"/>
              </w:rPr>
              <w:t>Procambarus acutus acutus</w:t>
            </w:r>
            <w:r w:rsidRPr="00437389">
              <w:rPr>
                <w:rFonts w:ascii="Times New Roman" w:hAnsi="Times New Roman" w:cs="Times New Roman"/>
                <w:sz w:val="20"/>
                <w:szCs w:val="20"/>
                <w:shd w:val="clear" w:color="auto" w:fill="FFFFFF"/>
              </w:rPr>
              <w:t xml:space="preserve"> (Girard, 1852), in two different habitats</w:t>
            </w:r>
            <w:r>
              <w:rPr>
                <w:rFonts w:ascii="Times New Roman" w:hAnsi="Times New Roman" w:cs="Times New Roman"/>
                <w:sz w:val="20"/>
                <w:szCs w:val="20"/>
                <w:shd w:val="clear" w:color="auto" w:fill="FFFFFF"/>
              </w:rPr>
              <w:t>’,</w:t>
            </w:r>
            <w:r w:rsidRPr="00040E54">
              <w:rPr>
                <w:rFonts w:ascii="Times New Roman" w:hAnsi="Times New Roman" w:cs="Times New Roman"/>
                <w:i/>
                <w:iCs/>
                <w:sz w:val="20"/>
                <w:szCs w:val="20"/>
                <w:shd w:val="clear" w:color="auto" w:fill="FFFFFF"/>
              </w:rPr>
              <w:t xml:space="preserve"> Journal of Animal and Veterinary Advances</w:t>
            </w:r>
            <w:r w:rsidRPr="00437389">
              <w:rPr>
                <w:rFonts w:ascii="Times New Roman" w:hAnsi="Times New Roman" w:cs="Times New Roman"/>
                <w:sz w:val="20"/>
                <w:szCs w:val="20"/>
                <w:shd w:val="clear" w:color="auto" w:fill="FFFFFF"/>
              </w:rPr>
              <w:t>, 4(11)</w:t>
            </w:r>
            <w:r>
              <w:rPr>
                <w:rFonts w:ascii="Times New Roman" w:hAnsi="Times New Roman" w:cs="Times New Roman"/>
                <w:sz w:val="20"/>
                <w:szCs w:val="20"/>
                <w:shd w:val="clear" w:color="auto" w:fill="FFFFFF"/>
              </w:rPr>
              <w:t xml:space="preserve">, </w:t>
            </w:r>
            <w:r w:rsidRPr="00437389">
              <w:rPr>
                <w:rFonts w:ascii="Times New Roman" w:hAnsi="Times New Roman" w:cs="Times New Roman"/>
                <w:sz w:val="20"/>
                <w:szCs w:val="20"/>
                <w:shd w:val="clear" w:color="auto" w:fill="FFFFFF"/>
              </w:rPr>
              <w:t>933-936.</w:t>
            </w:r>
          </w:p>
          <w:p w14:paraId="7D9374EC" w14:textId="77777777" w:rsidR="002D7080" w:rsidRPr="000228DB" w:rsidRDefault="002D7080" w:rsidP="002E2C37">
            <w:pPr>
              <w:ind w:left="720" w:hanging="720"/>
              <w:contextualSpacing/>
              <w:jc w:val="both"/>
              <w:rPr>
                <w:rFonts w:ascii="Times New Roman" w:hAnsi="Times New Roman" w:cs="Times New Roman"/>
                <w:color w:val="222222"/>
                <w:sz w:val="20"/>
                <w:szCs w:val="20"/>
                <w:shd w:val="clear" w:color="auto" w:fill="FFFFFF"/>
              </w:rPr>
            </w:pPr>
            <w:r w:rsidRPr="00C4037B">
              <w:rPr>
                <w:rFonts w:ascii="Times New Roman" w:hAnsi="Times New Roman" w:cs="Times New Roman"/>
                <w:color w:val="222222"/>
                <w:sz w:val="20"/>
                <w:szCs w:val="20"/>
                <w:shd w:val="clear" w:color="auto" w:fill="FFFFFF"/>
              </w:rPr>
              <w:t>Peeters, E. T., de Vries, R., Elzinga, J., Ludányi, M., van Himbeeck, R., &amp; Roessink, I.</w:t>
            </w:r>
            <w:r>
              <w:rPr>
                <w:rFonts w:ascii="Times New Roman" w:hAnsi="Times New Roman" w:cs="Times New Roman"/>
                <w:color w:val="222222"/>
                <w:sz w:val="20"/>
                <w:szCs w:val="20"/>
                <w:shd w:val="clear" w:color="auto" w:fill="FFFFFF"/>
              </w:rPr>
              <w:t xml:space="preserve">, </w:t>
            </w:r>
            <w:r w:rsidRPr="00C4037B">
              <w:rPr>
                <w:rFonts w:ascii="Times New Roman" w:hAnsi="Times New Roman" w:cs="Times New Roman"/>
                <w:color w:val="222222"/>
                <w:sz w:val="20"/>
                <w:szCs w:val="20"/>
                <w:shd w:val="clear" w:color="auto" w:fill="FFFFFF"/>
              </w:rPr>
              <w:t>2023</w:t>
            </w:r>
            <w:r>
              <w:rPr>
                <w:rFonts w:ascii="Times New Roman" w:hAnsi="Times New Roman" w:cs="Times New Roman"/>
                <w:color w:val="222222"/>
                <w:sz w:val="20"/>
                <w:szCs w:val="20"/>
                <w:shd w:val="clear" w:color="auto" w:fill="FFFFFF"/>
              </w:rPr>
              <w:t>, ‘</w:t>
            </w:r>
            <w:r w:rsidRPr="00C4037B">
              <w:rPr>
                <w:rFonts w:ascii="Times New Roman" w:hAnsi="Times New Roman" w:cs="Times New Roman"/>
                <w:color w:val="222222"/>
                <w:sz w:val="20"/>
                <w:szCs w:val="20"/>
                <w:shd w:val="clear" w:color="auto" w:fill="FFFFFF"/>
              </w:rPr>
              <w:t>Triggers affecting crayfish burrowing behaviour</w:t>
            </w:r>
            <w:r>
              <w:rPr>
                <w:rFonts w:ascii="Times New Roman" w:hAnsi="Times New Roman" w:cs="Times New Roman"/>
                <w:color w:val="222222"/>
                <w:sz w:val="20"/>
                <w:szCs w:val="20"/>
                <w:shd w:val="clear" w:color="auto" w:fill="FFFFFF"/>
              </w:rPr>
              <w:t>’,</w:t>
            </w:r>
            <w:r w:rsidRPr="00C4037B">
              <w:rPr>
                <w:rFonts w:ascii="Times New Roman" w:hAnsi="Times New Roman" w:cs="Times New Roman"/>
                <w:color w:val="222222"/>
                <w:sz w:val="20"/>
                <w:szCs w:val="20"/>
                <w:shd w:val="clear" w:color="auto" w:fill="FFFFFF"/>
              </w:rPr>
              <w:t> </w:t>
            </w:r>
            <w:r w:rsidRPr="00C4037B">
              <w:rPr>
                <w:rFonts w:ascii="Times New Roman" w:hAnsi="Times New Roman" w:cs="Times New Roman"/>
                <w:i/>
                <w:iCs/>
                <w:color w:val="222222"/>
                <w:sz w:val="20"/>
                <w:szCs w:val="20"/>
                <w:shd w:val="clear" w:color="auto" w:fill="FFFFFF"/>
              </w:rPr>
              <w:t>Aquatic Ecology</w:t>
            </w:r>
            <w:r w:rsidRPr="00C4037B">
              <w:rPr>
                <w:rFonts w:ascii="Times New Roman" w:hAnsi="Times New Roman" w:cs="Times New Roman"/>
                <w:color w:val="222222"/>
                <w:sz w:val="20"/>
                <w:szCs w:val="20"/>
                <w:shd w:val="clear" w:color="auto" w:fill="FFFFFF"/>
              </w:rPr>
              <w:t xml:space="preserve">, 1-16. </w:t>
            </w:r>
            <w:hyperlink w:history="1">
              <w:r w:rsidRPr="00CB2747">
                <w:rPr>
                  <w:rStyle w:val="Hyperlink"/>
                  <w:rFonts w:ascii="Times New Roman" w:hAnsi="Times New Roman" w:cs="Times New Roman"/>
                  <w:sz w:val="20"/>
                  <w:szCs w:val="20"/>
                  <w:shd w:val="clear" w:color="auto" w:fill="FFFFFF"/>
                </w:rPr>
                <w:t>https://doi.org/10.1007/s10452-023-10057-3</w:t>
              </w:r>
            </w:hyperlink>
          </w:p>
        </w:tc>
      </w:tr>
    </w:tbl>
    <w:p w14:paraId="28264687"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5F6C65BC"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9018" w:type="dxa"/>
        <w:tblLook w:val="04A0" w:firstRow="1" w:lastRow="0" w:firstColumn="1" w:lastColumn="0" w:noHBand="0" w:noVBand="1"/>
      </w:tblPr>
      <w:tblGrid>
        <w:gridCol w:w="5240"/>
        <w:gridCol w:w="3778"/>
      </w:tblGrid>
      <w:tr w:rsidR="002D7080" w:rsidRPr="004D1E6F" w14:paraId="5E4742DA" w14:textId="77777777" w:rsidTr="002E2C37">
        <w:trPr>
          <w:trHeight w:val="395"/>
        </w:trPr>
        <w:tc>
          <w:tcPr>
            <w:tcW w:w="9018" w:type="dxa"/>
            <w:gridSpan w:val="2"/>
            <w:shd w:val="clear" w:color="auto" w:fill="F2F2F2" w:themeFill="background1" w:themeFillShade="F2"/>
          </w:tcPr>
          <w:p w14:paraId="5C87BC14"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MAN4 Has the feasibility of eradication been evaluated?</w:t>
            </w:r>
          </w:p>
        </w:tc>
      </w:tr>
      <w:tr w:rsidR="002D7080" w:rsidRPr="004D1E6F" w14:paraId="39276DC7" w14:textId="77777777" w:rsidTr="002E2C37">
        <w:trPr>
          <w:trHeight w:val="172"/>
        </w:trPr>
        <w:tc>
          <w:tcPr>
            <w:tcW w:w="5240" w:type="dxa"/>
          </w:tcPr>
          <w:p w14:paraId="6EDC7B23"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Response: No</w:t>
            </w:r>
            <w:r w:rsidRPr="004D1E6F">
              <w:rPr>
                <w:rFonts w:ascii="Times New Roman" w:eastAsia="Times New Roman" w:hAnsi="Times New Roman" w:cs="Times New Roman"/>
                <w:sz w:val="20"/>
                <w:szCs w:val="20"/>
                <w:lang w:eastAsia="en-ZA"/>
              </w:rPr>
              <w:tab/>
            </w:r>
          </w:p>
        </w:tc>
        <w:tc>
          <w:tcPr>
            <w:tcW w:w="3778" w:type="dxa"/>
          </w:tcPr>
          <w:p w14:paraId="1B6CD4A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1AF5B8A4" w14:textId="77777777" w:rsidTr="002E2C37">
        <w:trPr>
          <w:trHeight w:val="343"/>
        </w:trPr>
        <w:tc>
          <w:tcPr>
            <w:tcW w:w="9018" w:type="dxa"/>
            <w:gridSpan w:val="2"/>
          </w:tcPr>
          <w:p w14:paraId="38AB33F9" w14:textId="77777777" w:rsidR="002D7080" w:rsidRPr="004D1E6F" w:rsidRDefault="002D7080" w:rsidP="002E2C37">
            <w:pPr>
              <w:spacing w:line="256" w:lineRule="auto"/>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sz w:val="20"/>
                <w:szCs w:val="20"/>
                <w:lang w:eastAsia="en-ZA"/>
              </w:rPr>
              <w:t>T</w:t>
            </w:r>
            <w:r w:rsidRPr="004D1E6F">
              <w:rPr>
                <w:rFonts w:ascii="Times New Roman" w:eastAsia="Times New Roman" w:hAnsi="Times New Roman" w:cs="Times New Roman"/>
                <w:sz w:val="20"/>
                <w:lang w:eastAsia="en-ZA"/>
              </w:rPr>
              <w:t xml:space="preserve">here are no known population of </w:t>
            </w:r>
            <w:r w:rsidRPr="002E11A4">
              <w:rPr>
                <w:rFonts w:ascii="Times New Roman" w:eastAsia="Times New Roman" w:hAnsi="Times New Roman" w:cs="Times New Roman"/>
                <w:i/>
                <w:iCs/>
                <w:sz w:val="20"/>
                <w:lang w:eastAsia="en-ZA"/>
              </w:rPr>
              <w:t>Procambarus acutus</w:t>
            </w:r>
            <w:r w:rsidRPr="00BC0981">
              <w:rPr>
                <w:rFonts w:ascii="Times New Roman" w:eastAsia="Times New Roman" w:hAnsi="Times New Roman" w:cs="Times New Roman"/>
                <w:i/>
                <w:iCs/>
                <w:sz w:val="20"/>
                <w:lang w:eastAsia="en-ZA"/>
              </w:rPr>
              <w:t xml:space="preserve"> </w:t>
            </w:r>
            <w:r w:rsidRPr="004D1E6F">
              <w:rPr>
                <w:rFonts w:ascii="Times New Roman" w:eastAsia="Times New Roman" w:hAnsi="Times New Roman" w:cs="Times New Roman"/>
                <w:sz w:val="20"/>
                <w:lang w:eastAsia="en-ZA"/>
              </w:rPr>
              <w:t xml:space="preserve">in South Africa, therefore eradication feasibility has not been no evaluated (Nunes et al. 2017) but see MAN5 for summary of control efforts used to manage invasive crayfish populations.  </w:t>
            </w:r>
          </w:p>
        </w:tc>
      </w:tr>
      <w:tr w:rsidR="002D7080" w:rsidRPr="004D1E6F" w14:paraId="4457C5F5" w14:textId="77777777" w:rsidTr="002E2C37">
        <w:trPr>
          <w:trHeight w:val="343"/>
        </w:trPr>
        <w:tc>
          <w:tcPr>
            <w:tcW w:w="9018" w:type="dxa"/>
            <w:gridSpan w:val="2"/>
          </w:tcPr>
          <w:p w14:paraId="5FB9359B" w14:textId="77777777" w:rsidR="002D7080" w:rsidRPr="00956545" w:rsidRDefault="002D7080" w:rsidP="002E2C37">
            <w:pPr>
              <w:jc w:val="both"/>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References:</w:t>
            </w:r>
          </w:p>
          <w:p w14:paraId="5F4A66D4" w14:textId="00A1D746" w:rsidR="002D7080" w:rsidRPr="004D1E6F" w:rsidRDefault="002D7080" w:rsidP="002E2C37">
            <w:pPr>
              <w:ind w:left="540" w:hanging="540"/>
              <w:jc w:val="both"/>
              <w:rPr>
                <w:rFonts w:ascii="Times New Roman" w:eastAsia="Times New Roman" w:hAnsi="Times New Roman" w:cs="Times New Roman"/>
                <w:color w:val="000000"/>
                <w:sz w:val="20"/>
                <w:szCs w:val="20"/>
                <w:lang w:eastAsia="en-ZA"/>
              </w:rPr>
            </w:pPr>
            <w:r w:rsidRPr="00956545">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956545">
              <w:rPr>
                <w:rFonts w:ascii="Times New Roman" w:eastAsia="Times New Roman" w:hAnsi="Times New Roman" w:cs="Times New Roman"/>
                <w:i/>
                <w:color w:val="000000"/>
                <w:sz w:val="20"/>
                <w:szCs w:val="20"/>
                <w:lang w:eastAsia="en-ZA"/>
              </w:rPr>
              <w:t>African Journal of Aquatic Science</w:t>
            </w:r>
            <w:r w:rsidRPr="00956545">
              <w:rPr>
                <w:rFonts w:ascii="Times New Roman" w:eastAsia="Times New Roman" w:hAnsi="Times New Roman" w:cs="Times New Roman"/>
                <w:color w:val="000000"/>
                <w:sz w:val="20"/>
                <w:szCs w:val="20"/>
                <w:lang w:eastAsia="en-ZA"/>
              </w:rPr>
              <w:t xml:space="preserve"> 42, 309–323, </w:t>
            </w:r>
            <w:hyperlink r:id="rId506" w:history="1">
              <w:r w:rsidR="006B18BA" w:rsidRPr="00956545">
                <w:rPr>
                  <w:rStyle w:val="Hyperlink"/>
                  <w:rFonts w:ascii="Times New Roman" w:hAnsi="Times New Roman" w:cs="Times New Roman"/>
                  <w:bCs/>
                  <w:sz w:val="20"/>
                  <w:szCs w:val="20"/>
                </w:rPr>
                <w:t>https://doi.org/10.2989/16085914.2017.1405788</w:t>
              </w:r>
            </w:hyperlink>
            <w:r w:rsidRPr="00956545">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tc>
      </w:tr>
    </w:tbl>
    <w:p w14:paraId="765213E7" w14:textId="77777777" w:rsidR="002D7080" w:rsidRPr="004D1E6F" w:rsidRDefault="002D7080" w:rsidP="002D7080">
      <w:pPr>
        <w:spacing w:after="0" w:line="240" w:lineRule="auto"/>
        <w:jc w:val="both"/>
        <w:rPr>
          <w:rFonts w:ascii="Times New Roman" w:eastAsia="Times New Roman" w:hAnsi="Times New Roman" w:cs="Times New Roman"/>
          <w:color w:val="000000"/>
          <w:sz w:val="20"/>
          <w:szCs w:val="20"/>
          <w:lang w:eastAsia="en-ZA"/>
        </w:rPr>
      </w:pPr>
    </w:p>
    <w:p w14:paraId="45D28532" w14:textId="77777777" w:rsidR="002D7080" w:rsidRPr="004D1E6F" w:rsidRDefault="002D7080" w:rsidP="002D7080">
      <w:pPr>
        <w:spacing w:after="0" w:line="240" w:lineRule="auto"/>
        <w:rPr>
          <w:rFonts w:ascii="Times New Roman" w:eastAsia="Calibri" w:hAnsi="Times New Roman" w:cs="Times New Roman"/>
          <w:b/>
          <w:sz w:val="20"/>
          <w:szCs w:val="20"/>
        </w:rPr>
      </w:pPr>
    </w:p>
    <w:tbl>
      <w:tblPr>
        <w:tblStyle w:val="TableGrid17"/>
        <w:tblW w:w="9067" w:type="dxa"/>
        <w:tblLook w:val="04A0" w:firstRow="1" w:lastRow="0" w:firstColumn="1" w:lastColumn="0" w:noHBand="0" w:noVBand="1"/>
      </w:tblPr>
      <w:tblGrid>
        <w:gridCol w:w="9067"/>
      </w:tblGrid>
      <w:tr w:rsidR="002D7080" w:rsidRPr="004D1E6F" w14:paraId="6FCE5F1A" w14:textId="77777777" w:rsidTr="002E2C37">
        <w:trPr>
          <w:trHeight w:val="343"/>
        </w:trPr>
        <w:tc>
          <w:tcPr>
            <w:tcW w:w="9067" w:type="dxa"/>
            <w:shd w:val="clear" w:color="auto" w:fill="F2F2F2" w:themeFill="background1" w:themeFillShade="F2"/>
          </w:tcPr>
          <w:p w14:paraId="384CA7CE"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MAN5 Control options and monitoring approaches available for the </w:t>
            </w:r>
            <w:r w:rsidRPr="004D1E6F">
              <w:rPr>
                <w:rFonts w:ascii="Times New Roman" w:eastAsia="Times New Roman" w:hAnsi="Times New Roman" w:cs="Times New Roman"/>
                <w:b/>
                <w:i/>
                <w:sz w:val="20"/>
                <w:szCs w:val="20"/>
                <w:lang w:eastAsia="en-ZA"/>
              </w:rPr>
              <w:t>Taxon</w:t>
            </w:r>
          </w:p>
        </w:tc>
      </w:tr>
      <w:tr w:rsidR="002D7080" w:rsidRPr="004D1E6F" w14:paraId="76C34D73" w14:textId="77777777" w:rsidTr="002E2C37">
        <w:trPr>
          <w:trHeight w:val="70"/>
        </w:trPr>
        <w:tc>
          <w:tcPr>
            <w:tcW w:w="9067" w:type="dxa"/>
          </w:tcPr>
          <w:p w14:paraId="5B235D6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Several methods can be used to monitor and control invasive crayfish populations including mechanical trapping</w:t>
            </w:r>
            <w:r w:rsidRPr="004D1E6F">
              <w:rPr>
                <w:rFonts w:ascii="Times New Roman" w:eastAsia="Times New Roman" w:hAnsi="Times New Roman" w:cs="Times New Roman"/>
                <w:iCs/>
                <w:sz w:val="20"/>
                <w:szCs w:val="20"/>
                <w:lang w:eastAsia="en-ZA"/>
              </w:rPr>
              <w:t xml:space="preserve"> (e.g., </w:t>
            </w:r>
            <w:r w:rsidRPr="004D1E6F">
              <w:rPr>
                <w:rStyle w:val="cf01"/>
                <w:rFonts w:ascii="Times New Roman" w:hAnsi="Times New Roman" w:cs="Times New Roman"/>
                <w:sz w:val="20"/>
                <w:szCs w:val="20"/>
              </w:rPr>
              <w:t xml:space="preserve">Barkhuizen et al. 2022; </w:t>
            </w:r>
            <w:r w:rsidRPr="004D1E6F">
              <w:rPr>
                <w:rFonts w:ascii="Times New Roman" w:eastAsia="Times New Roman" w:hAnsi="Times New Roman" w:cs="Times New Roman"/>
                <w:iCs/>
                <w:sz w:val="20"/>
                <w:szCs w:val="20"/>
                <w:lang w:eastAsia="en-ZA"/>
              </w:rPr>
              <w:t>Madzivanzira et al. 2021)</w:t>
            </w:r>
            <w:r w:rsidRPr="004D1E6F">
              <w:rPr>
                <w:rFonts w:ascii="Times New Roman" w:eastAsia="Times New Roman" w:hAnsi="Times New Roman" w:cs="Times New Roman"/>
                <w:sz w:val="20"/>
                <w:szCs w:val="20"/>
                <w:lang w:eastAsia="en-ZA"/>
              </w:rPr>
              <w:t xml:space="preserve">, electrofishing (Nunes et al. 2017), use of biocides, and biological control (Aquiloni et al 2010; Stebbing et al. 2014). </w:t>
            </w:r>
            <w:r w:rsidRPr="004D1E6F">
              <w:rPr>
                <w:rFonts w:ascii="Times New Roman" w:hAnsi="Times New Roman" w:cs="Times New Roman"/>
                <w:sz w:val="20"/>
                <w:szCs w:val="20"/>
              </w:rPr>
              <w:t>However, there are several issues that make management of crayfish invasions challenging (Gherardi et al. 2011). For example, the use of biocides is often effective for localised populations in dams and ponds (Peay et al. 2019) but they are non-specific and need to be applied with caution (Gherardi et al. 2011). Mechanical control methods are also effective in small discrete water bodies but are expensive and require commitment to follow on to complete eradication (Loureiro et al. 2018). In addition, alien crayfish species are regarded as potential conflict-generating species in South Africa and potential management interventions should consider the concerns of stakeholders to avoid conflict (Zengeya et al. 2017).</w:t>
            </w:r>
          </w:p>
        </w:tc>
      </w:tr>
      <w:tr w:rsidR="002D7080" w:rsidRPr="004D1E6F" w14:paraId="0485AD89" w14:textId="77777777" w:rsidTr="002E2C37">
        <w:trPr>
          <w:trHeight w:val="203"/>
        </w:trPr>
        <w:tc>
          <w:tcPr>
            <w:tcW w:w="9067" w:type="dxa"/>
          </w:tcPr>
          <w:p w14:paraId="3D7F197B"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4EC3133F" w14:textId="77777777" w:rsidR="00B2102B" w:rsidRPr="00B2102B" w:rsidRDefault="00B2102B" w:rsidP="00B2102B">
            <w:pPr>
              <w:ind w:left="720" w:hanging="720"/>
              <w:contextualSpacing/>
              <w:jc w:val="both"/>
              <w:rPr>
                <w:rFonts w:ascii="Times New Roman" w:eastAsia="Times New Roman" w:hAnsi="Times New Roman" w:cs="Times New Roman"/>
                <w:bCs/>
                <w:sz w:val="20"/>
                <w:szCs w:val="20"/>
                <w:lang w:eastAsia="en-ZA"/>
              </w:rPr>
            </w:pPr>
            <w:r w:rsidRPr="00B2102B">
              <w:rPr>
                <w:rFonts w:ascii="Times New Roman" w:eastAsia="Times New Roman" w:hAnsi="Times New Roman" w:cs="Times New Roman"/>
                <w:sz w:val="20"/>
                <w:szCs w:val="20"/>
                <w:lang w:eastAsia="en-ZA"/>
              </w:rPr>
              <w:t>Aquiloni, L., Brusconi, S., Cecchinelli, E., Tricarico, E., Mazza, G., Paglianti, A. &amp; Gherardi, F. 2010, ‘Biological control of invasive populations of crayfish: the European eel (</w:t>
            </w:r>
            <w:r w:rsidRPr="00B2102B">
              <w:rPr>
                <w:rFonts w:ascii="Times New Roman" w:eastAsia="Times New Roman" w:hAnsi="Times New Roman" w:cs="Times New Roman"/>
                <w:i/>
                <w:iCs/>
                <w:sz w:val="20"/>
                <w:szCs w:val="20"/>
                <w:lang w:eastAsia="en-ZA"/>
              </w:rPr>
              <w:t>Anguilla anguilla</w:t>
            </w:r>
            <w:r w:rsidRPr="00B2102B">
              <w:rPr>
                <w:rFonts w:ascii="Times New Roman" w:eastAsia="Times New Roman" w:hAnsi="Times New Roman" w:cs="Times New Roman"/>
                <w:sz w:val="20"/>
                <w:szCs w:val="20"/>
                <w:lang w:eastAsia="en-ZA"/>
              </w:rPr>
              <w:t xml:space="preserve">) as a predator of </w:t>
            </w:r>
            <w:r w:rsidRPr="00B2102B">
              <w:rPr>
                <w:rFonts w:ascii="Times New Roman" w:eastAsia="Times New Roman" w:hAnsi="Times New Roman" w:cs="Times New Roman"/>
                <w:i/>
                <w:iCs/>
                <w:sz w:val="20"/>
                <w:szCs w:val="20"/>
                <w:lang w:eastAsia="en-ZA"/>
              </w:rPr>
              <w:t>Procambarus clarkii</w:t>
            </w:r>
            <w:r w:rsidRPr="00B2102B">
              <w:rPr>
                <w:rFonts w:ascii="Times New Roman" w:eastAsia="Times New Roman" w:hAnsi="Times New Roman" w:cs="Times New Roman"/>
                <w:sz w:val="20"/>
                <w:szCs w:val="20"/>
                <w:lang w:eastAsia="en-ZA"/>
              </w:rPr>
              <w:t xml:space="preserve">’, </w:t>
            </w:r>
            <w:r w:rsidRPr="00B2102B">
              <w:rPr>
                <w:rFonts w:ascii="Times New Roman" w:eastAsia="Times New Roman" w:hAnsi="Times New Roman" w:cs="Times New Roman"/>
                <w:i/>
                <w:iCs/>
                <w:sz w:val="20"/>
                <w:szCs w:val="20"/>
                <w:lang w:eastAsia="en-ZA"/>
              </w:rPr>
              <w:t>Biological Invasions</w:t>
            </w:r>
            <w:r w:rsidRPr="00B2102B">
              <w:rPr>
                <w:rFonts w:ascii="Times New Roman" w:eastAsia="Times New Roman" w:hAnsi="Times New Roman" w:cs="Times New Roman"/>
                <w:sz w:val="20"/>
                <w:szCs w:val="20"/>
                <w:lang w:eastAsia="en-ZA"/>
              </w:rPr>
              <w:t xml:space="preserve"> 12 3817-3824. </w:t>
            </w:r>
            <w:hyperlink r:id="rId507" w:history="1">
              <w:r w:rsidRPr="00B2102B">
                <w:rPr>
                  <w:rStyle w:val="Hyperlink"/>
                  <w:rFonts w:ascii="Times New Roman" w:eastAsia="Times New Roman" w:hAnsi="Times New Roman" w:cs="Times New Roman"/>
                  <w:bCs/>
                  <w:sz w:val="20"/>
                  <w:szCs w:val="20"/>
                  <w:lang w:eastAsia="en-ZA"/>
                </w:rPr>
                <w:t>https://doi.org/10.1007/s10530-007-9094-0</w:t>
              </w:r>
            </w:hyperlink>
            <w:r w:rsidRPr="00B2102B">
              <w:rPr>
                <w:rFonts w:ascii="Times New Roman" w:eastAsia="Times New Roman" w:hAnsi="Times New Roman" w:cs="Times New Roman"/>
                <w:bCs/>
                <w:sz w:val="20"/>
                <w:szCs w:val="20"/>
                <w:lang w:eastAsia="en-ZA"/>
              </w:rPr>
              <w:t>.</w:t>
            </w:r>
          </w:p>
          <w:p w14:paraId="2CC62956" w14:textId="77777777" w:rsidR="00B2102B" w:rsidRPr="00B2102B" w:rsidRDefault="00B2102B" w:rsidP="00B2102B">
            <w:pPr>
              <w:ind w:left="720" w:hanging="720"/>
              <w:contextualSpacing/>
              <w:jc w:val="both"/>
              <w:rPr>
                <w:rFonts w:ascii="Times New Roman" w:eastAsia="Times New Roman" w:hAnsi="Times New Roman" w:cs="Times New Roman"/>
                <w:sz w:val="20"/>
                <w:szCs w:val="20"/>
                <w:lang w:eastAsia="en-ZA"/>
              </w:rPr>
            </w:pPr>
            <w:r w:rsidRPr="00B2102B">
              <w:rPr>
                <w:rFonts w:ascii="Times New Roman" w:eastAsia="Times New Roman" w:hAnsi="Times New Roman" w:cs="Times New Roman"/>
                <w:sz w:val="20"/>
                <w:szCs w:val="20"/>
                <w:lang w:eastAsia="en-ZA"/>
              </w:rPr>
              <w:t xml:space="preserve">Barkhuizen, L.M, Madzivanzira, T.C., South, J., 2022, ‘Population ecology of a wild population of red swamp crayfish </w:t>
            </w:r>
            <w:r w:rsidRPr="00B2102B">
              <w:rPr>
                <w:rFonts w:ascii="Times New Roman" w:eastAsia="Times New Roman" w:hAnsi="Times New Roman" w:cs="Times New Roman"/>
                <w:i/>
                <w:iCs/>
                <w:sz w:val="20"/>
                <w:szCs w:val="20"/>
                <w:lang w:eastAsia="en-ZA"/>
              </w:rPr>
              <w:t>Procambarus clarkii</w:t>
            </w:r>
            <w:r w:rsidRPr="00B2102B">
              <w:rPr>
                <w:rFonts w:ascii="Times New Roman" w:eastAsia="Times New Roman" w:hAnsi="Times New Roman" w:cs="Times New Roman"/>
                <w:sz w:val="20"/>
                <w:szCs w:val="20"/>
                <w:lang w:eastAsia="en-ZA"/>
              </w:rPr>
              <w:t xml:space="preserve"> (Girard, 1852) in the Free State Province, South Africa and implications for eradication efforts’, </w:t>
            </w:r>
            <w:r w:rsidRPr="00B2102B">
              <w:rPr>
                <w:rFonts w:ascii="Times New Roman" w:eastAsia="Times New Roman" w:hAnsi="Times New Roman" w:cs="Times New Roman"/>
                <w:i/>
                <w:iCs/>
                <w:sz w:val="20"/>
                <w:szCs w:val="20"/>
                <w:lang w:eastAsia="en-ZA"/>
              </w:rPr>
              <w:t>BioInvasions Records</w:t>
            </w:r>
            <w:r w:rsidRPr="00B2102B">
              <w:rPr>
                <w:rFonts w:ascii="Times New Roman" w:eastAsia="Times New Roman" w:hAnsi="Times New Roman" w:cs="Times New Roman"/>
                <w:sz w:val="20"/>
                <w:szCs w:val="20"/>
                <w:lang w:eastAsia="en-ZA"/>
              </w:rPr>
              <w:t xml:space="preserve"> 11, 181–191. </w:t>
            </w:r>
            <w:hyperlink r:id="rId508" w:history="1">
              <w:r w:rsidRPr="00B2102B">
                <w:rPr>
                  <w:rStyle w:val="Hyperlink"/>
                  <w:rFonts w:ascii="Times New Roman" w:eastAsia="Times New Roman" w:hAnsi="Times New Roman" w:cs="Times New Roman"/>
                  <w:iCs/>
                  <w:sz w:val="20"/>
                  <w:szCs w:val="20"/>
                  <w:lang w:eastAsia="en-ZA"/>
                </w:rPr>
                <w:t>https://doi.org/10.3391/bir.2022</w:t>
              </w:r>
            </w:hyperlink>
            <w:r w:rsidRPr="00B2102B">
              <w:rPr>
                <w:rFonts w:ascii="Times New Roman" w:eastAsia="Times New Roman" w:hAnsi="Times New Roman" w:cs="Times New Roman"/>
                <w:sz w:val="20"/>
                <w:szCs w:val="20"/>
                <w:lang w:eastAsia="en-ZA"/>
              </w:rPr>
              <w:t>.</w:t>
            </w:r>
          </w:p>
          <w:p w14:paraId="492C8CBA" w14:textId="77777777" w:rsidR="00B2102B" w:rsidRPr="00B2102B" w:rsidRDefault="00B2102B" w:rsidP="00B2102B">
            <w:pPr>
              <w:ind w:left="720" w:hanging="720"/>
              <w:contextualSpacing/>
              <w:jc w:val="both"/>
              <w:rPr>
                <w:rFonts w:ascii="Times New Roman" w:eastAsia="Times New Roman" w:hAnsi="Times New Roman" w:cs="Times New Roman"/>
                <w:sz w:val="20"/>
                <w:szCs w:val="20"/>
                <w:lang w:eastAsia="en-ZA"/>
              </w:rPr>
            </w:pPr>
            <w:r w:rsidRPr="00B2102B">
              <w:rPr>
                <w:rFonts w:ascii="Times New Roman" w:eastAsia="Times New Roman" w:hAnsi="Times New Roman" w:cs="Times New Roman"/>
                <w:sz w:val="20"/>
                <w:szCs w:val="20"/>
                <w:lang w:eastAsia="en-ZA"/>
              </w:rPr>
              <w:t xml:space="preserve">Gherardi, F., Aquiloni, L., Diéguez-Uribeondo, J. &amp; Tricarico E., 2011, ‘Managing invasive crayfish: is there a hope? </w:t>
            </w:r>
            <w:r w:rsidRPr="00B2102B">
              <w:rPr>
                <w:rFonts w:ascii="Times New Roman" w:eastAsia="Times New Roman" w:hAnsi="Times New Roman" w:cs="Times New Roman"/>
                <w:i/>
                <w:iCs/>
                <w:sz w:val="20"/>
                <w:szCs w:val="20"/>
                <w:lang w:eastAsia="en-ZA"/>
              </w:rPr>
              <w:t>Aquatic Sciences</w:t>
            </w:r>
            <w:r w:rsidRPr="00B2102B">
              <w:rPr>
                <w:rFonts w:ascii="Times New Roman" w:eastAsia="Times New Roman" w:hAnsi="Times New Roman" w:cs="Times New Roman"/>
                <w:sz w:val="20"/>
                <w:szCs w:val="20"/>
                <w:lang w:eastAsia="en-ZA"/>
              </w:rPr>
              <w:t xml:space="preserve"> </w:t>
            </w:r>
            <w:r w:rsidRPr="00B2102B">
              <w:rPr>
                <w:rFonts w:ascii="Times New Roman" w:eastAsia="Times New Roman" w:hAnsi="Times New Roman" w:cs="Times New Roman"/>
                <w:iCs/>
                <w:sz w:val="20"/>
                <w:szCs w:val="20"/>
                <w:lang w:eastAsia="en-ZA"/>
              </w:rPr>
              <w:t>73,</w:t>
            </w:r>
            <w:r w:rsidRPr="00B2102B">
              <w:rPr>
                <w:rFonts w:ascii="Times New Roman" w:eastAsia="Times New Roman" w:hAnsi="Times New Roman" w:cs="Times New Roman"/>
                <w:sz w:val="20"/>
                <w:szCs w:val="20"/>
                <w:lang w:eastAsia="en-ZA"/>
              </w:rPr>
              <w:t xml:space="preserve"> 185–200. https://doi.org/10.1007/s00027-011-0181-z.</w:t>
            </w:r>
          </w:p>
          <w:p w14:paraId="4D1F9628" w14:textId="77777777" w:rsidR="00B2102B" w:rsidRPr="00B2102B" w:rsidRDefault="00B2102B" w:rsidP="00B2102B">
            <w:pPr>
              <w:ind w:left="720" w:hanging="720"/>
              <w:contextualSpacing/>
              <w:jc w:val="both"/>
              <w:rPr>
                <w:rFonts w:ascii="Times New Roman" w:eastAsia="Times New Roman" w:hAnsi="Times New Roman" w:cs="Times New Roman"/>
                <w:bCs/>
                <w:sz w:val="20"/>
                <w:szCs w:val="20"/>
                <w:lang w:eastAsia="en-ZA"/>
              </w:rPr>
            </w:pPr>
            <w:r w:rsidRPr="00B2102B">
              <w:rPr>
                <w:rFonts w:ascii="Times New Roman" w:eastAsia="Times New Roman" w:hAnsi="Times New Roman" w:cs="Times New Roman"/>
                <w:bCs/>
                <w:sz w:val="20"/>
                <w:szCs w:val="20"/>
                <w:lang w:eastAsia="en-ZA"/>
              </w:rPr>
              <w:t xml:space="preserve">Loureiro, T.G, Anastácio, P.M, de Siqueira Bueno, S.L. &amp; Araujo, P.B., 2018, ‘Management of invasive populations of the freshwater crayfish </w:t>
            </w:r>
            <w:r w:rsidRPr="00B2102B">
              <w:rPr>
                <w:rFonts w:ascii="Times New Roman" w:eastAsia="Times New Roman" w:hAnsi="Times New Roman" w:cs="Times New Roman"/>
                <w:bCs/>
                <w:i/>
                <w:sz w:val="20"/>
                <w:szCs w:val="20"/>
                <w:lang w:eastAsia="en-ZA"/>
              </w:rPr>
              <w:t>Procambarus clarkii</w:t>
            </w:r>
            <w:r w:rsidRPr="00B2102B">
              <w:rPr>
                <w:rFonts w:ascii="Times New Roman" w:eastAsia="Times New Roman" w:hAnsi="Times New Roman" w:cs="Times New Roman"/>
                <w:bCs/>
                <w:sz w:val="20"/>
                <w:szCs w:val="20"/>
                <w:lang w:eastAsia="en-ZA"/>
              </w:rPr>
              <w:t xml:space="preserve"> (Decapoda, Cambaridae): test of a population-control method and proposal of a standard monitoring approach’, </w:t>
            </w:r>
            <w:r w:rsidRPr="00B2102B">
              <w:rPr>
                <w:rFonts w:ascii="Times New Roman" w:eastAsia="Times New Roman" w:hAnsi="Times New Roman" w:cs="Times New Roman"/>
                <w:bCs/>
                <w:i/>
                <w:sz w:val="20"/>
                <w:szCs w:val="20"/>
                <w:lang w:eastAsia="en-ZA"/>
              </w:rPr>
              <w:t>Environmental Monitoring Assessment</w:t>
            </w:r>
            <w:r w:rsidRPr="00B2102B">
              <w:rPr>
                <w:rFonts w:ascii="Times New Roman" w:eastAsia="Times New Roman" w:hAnsi="Times New Roman" w:cs="Times New Roman"/>
                <w:bCs/>
                <w:sz w:val="20"/>
                <w:szCs w:val="20"/>
                <w:lang w:eastAsia="en-ZA"/>
              </w:rPr>
              <w:t xml:space="preserve"> 190, 559, https://doi.org/10.1007/s10661-018-6942-6.</w:t>
            </w:r>
          </w:p>
          <w:p w14:paraId="4FD06D86" w14:textId="77777777" w:rsidR="00B2102B" w:rsidRPr="00B2102B" w:rsidRDefault="00B2102B" w:rsidP="00B2102B">
            <w:pPr>
              <w:ind w:left="720" w:hanging="720"/>
              <w:contextualSpacing/>
              <w:jc w:val="both"/>
              <w:rPr>
                <w:rFonts w:ascii="Times New Roman" w:eastAsia="Times New Roman" w:hAnsi="Times New Roman" w:cs="Times New Roman"/>
                <w:sz w:val="20"/>
                <w:szCs w:val="20"/>
                <w:lang w:eastAsia="en-ZA"/>
              </w:rPr>
            </w:pPr>
            <w:r w:rsidRPr="00B2102B">
              <w:rPr>
                <w:rFonts w:ascii="Times New Roman" w:eastAsia="Times New Roman" w:hAnsi="Times New Roman" w:cs="Times New Roman"/>
                <w:sz w:val="20"/>
                <w:szCs w:val="20"/>
                <w:lang w:eastAsia="en-ZA"/>
              </w:rPr>
              <w:lastRenderedPageBreak/>
              <w:t xml:space="preserve">Madzivanzira, T.C., South, J., Nhiwatiwa, T. &amp; Weyl, O.L.F., 2021, ‘Standardisation of Australian redclaw crayfish </w:t>
            </w:r>
            <w:r w:rsidRPr="00B2102B">
              <w:rPr>
                <w:rFonts w:ascii="Times New Roman" w:eastAsia="Times New Roman" w:hAnsi="Times New Roman" w:cs="Times New Roman"/>
                <w:i/>
                <w:iCs/>
                <w:sz w:val="20"/>
                <w:szCs w:val="20"/>
                <w:lang w:eastAsia="en-ZA"/>
              </w:rPr>
              <w:t>Cherax quadricarinatus</w:t>
            </w:r>
            <w:r w:rsidRPr="00B2102B">
              <w:rPr>
                <w:rFonts w:ascii="Times New Roman" w:eastAsia="Times New Roman" w:hAnsi="Times New Roman" w:cs="Times New Roman"/>
                <w:sz w:val="20"/>
                <w:szCs w:val="20"/>
                <w:lang w:eastAsia="en-ZA"/>
              </w:rPr>
              <w:t xml:space="preserve"> sampling gear in southern Africa’, </w:t>
            </w:r>
            <w:r w:rsidRPr="00B2102B">
              <w:rPr>
                <w:rFonts w:ascii="Times New Roman" w:eastAsia="Times New Roman" w:hAnsi="Times New Roman" w:cs="Times New Roman"/>
                <w:i/>
                <w:iCs/>
                <w:sz w:val="20"/>
                <w:szCs w:val="20"/>
                <w:lang w:eastAsia="en-ZA"/>
              </w:rPr>
              <w:t>Water SA</w:t>
            </w:r>
            <w:r w:rsidRPr="00B2102B">
              <w:rPr>
                <w:rFonts w:ascii="Times New Roman" w:eastAsia="Times New Roman" w:hAnsi="Times New Roman" w:cs="Times New Roman"/>
                <w:sz w:val="20"/>
                <w:szCs w:val="20"/>
                <w:lang w:eastAsia="en-ZA"/>
              </w:rPr>
              <w:t xml:space="preserve"> 47, 380–384. https://hdl.handle.net/10520/ejc-waters-v47-n3-a10.</w:t>
            </w:r>
          </w:p>
          <w:p w14:paraId="0A06843A" w14:textId="77777777" w:rsidR="00B2102B" w:rsidRPr="00B2102B" w:rsidRDefault="00B2102B" w:rsidP="00B2102B">
            <w:pPr>
              <w:ind w:left="720" w:hanging="720"/>
              <w:contextualSpacing/>
              <w:jc w:val="both"/>
              <w:rPr>
                <w:rFonts w:ascii="Times New Roman" w:eastAsia="Times New Roman" w:hAnsi="Times New Roman" w:cs="Times New Roman"/>
                <w:sz w:val="20"/>
                <w:szCs w:val="20"/>
                <w:lang w:eastAsia="en-ZA"/>
              </w:rPr>
            </w:pPr>
            <w:r w:rsidRPr="00B2102B">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B2102B">
              <w:rPr>
                <w:rFonts w:ascii="Times New Roman" w:eastAsia="Times New Roman" w:hAnsi="Times New Roman" w:cs="Times New Roman"/>
                <w:i/>
                <w:sz w:val="20"/>
                <w:szCs w:val="20"/>
                <w:lang w:eastAsia="en-ZA"/>
              </w:rPr>
              <w:t>Cherax quadricarinatus</w:t>
            </w:r>
            <w:r w:rsidRPr="00B2102B">
              <w:rPr>
                <w:rFonts w:ascii="Times New Roman" w:eastAsia="Times New Roman" w:hAnsi="Times New Roman" w:cs="Times New Roman"/>
                <w:sz w:val="20"/>
                <w:szCs w:val="20"/>
                <w:lang w:eastAsia="en-ZA"/>
              </w:rPr>
              <w:t xml:space="preserve">, in South Africa and Swaziland’, </w:t>
            </w:r>
            <w:r w:rsidRPr="00B2102B">
              <w:rPr>
                <w:rFonts w:ascii="Times New Roman" w:eastAsia="Times New Roman" w:hAnsi="Times New Roman" w:cs="Times New Roman"/>
                <w:i/>
                <w:iCs/>
                <w:sz w:val="20"/>
                <w:szCs w:val="20"/>
                <w:lang w:eastAsia="en-ZA"/>
              </w:rPr>
              <w:t>PeerJ</w:t>
            </w:r>
            <w:r w:rsidRPr="00B2102B">
              <w:rPr>
                <w:rFonts w:ascii="Times New Roman" w:eastAsia="Times New Roman" w:hAnsi="Times New Roman" w:cs="Times New Roman"/>
                <w:sz w:val="20"/>
                <w:szCs w:val="20"/>
                <w:lang w:eastAsia="en-ZA"/>
              </w:rPr>
              <w:t xml:space="preserve"> </w:t>
            </w:r>
            <w:r w:rsidRPr="00B2102B">
              <w:rPr>
                <w:rFonts w:ascii="Times New Roman" w:eastAsia="Times New Roman" w:hAnsi="Times New Roman" w:cs="Times New Roman"/>
                <w:iCs/>
                <w:sz w:val="20"/>
                <w:szCs w:val="20"/>
                <w:lang w:eastAsia="en-ZA"/>
              </w:rPr>
              <w:t>5,</w:t>
            </w:r>
            <w:r w:rsidRPr="00B2102B">
              <w:rPr>
                <w:rFonts w:ascii="Times New Roman" w:eastAsia="Times New Roman" w:hAnsi="Times New Roman" w:cs="Times New Roman"/>
                <w:sz w:val="20"/>
                <w:szCs w:val="20"/>
                <w:lang w:eastAsia="en-ZA"/>
              </w:rPr>
              <w:t xml:space="preserve"> 1-21. </w:t>
            </w:r>
            <w:hyperlink r:id="rId509" w:history="1">
              <w:r w:rsidRPr="00B2102B">
                <w:rPr>
                  <w:rStyle w:val="Hyperlink"/>
                  <w:rFonts w:ascii="Times New Roman" w:eastAsia="Times New Roman" w:hAnsi="Times New Roman" w:cs="Times New Roman"/>
                  <w:sz w:val="20"/>
                  <w:szCs w:val="20"/>
                  <w:lang w:eastAsia="en-ZA"/>
                </w:rPr>
                <w:t>https://doi.org/10.7717/peerj.3135</w:t>
              </w:r>
            </w:hyperlink>
            <w:r w:rsidRPr="00B2102B">
              <w:rPr>
                <w:rFonts w:ascii="Times New Roman" w:eastAsia="Times New Roman" w:hAnsi="Times New Roman" w:cs="Times New Roman"/>
                <w:sz w:val="20"/>
                <w:szCs w:val="20"/>
                <w:lang w:eastAsia="en-ZA"/>
              </w:rPr>
              <w:t xml:space="preserve">.  </w:t>
            </w:r>
          </w:p>
          <w:p w14:paraId="370B50AE" w14:textId="77777777" w:rsidR="00B2102B" w:rsidRPr="00B2102B" w:rsidRDefault="00B2102B" w:rsidP="00B2102B">
            <w:pPr>
              <w:ind w:left="720" w:hanging="720"/>
              <w:contextualSpacing/>
              <w:jc w:val="both"/>
              <w:rPr>
                <w:rFonts w:ascii="Times New Roman" w:eastAsia="Times New Roman" w:hAnsi="Times New Roman" w:cs="Times New Roman"/>
                <w:bCs/>
                <w:sz w:val="20"/>
                <w:szCs w:val="20"/>
                <w:lang w:eastAsia="en-ZA"/>
              </w:rPr>
            </w:pPr>
            <w:r w:rsidRPr="00B2102B">
              <w:rPr>
                <w:rFonts w:ascii="Times New Roman" w:eastAsia="Times New Roman" w:hAnsi="Times New Roman" w:cs="Times New Roman"/>
                <w:bCs/>
                <w:sz w:val="20"/>
                <w:szCs w:val="20"/>
                <w:lang w:eastAsia="en-ZA"/>
              </w:rPr>
              <w:t xml:space="preserve">Peay, S., Johnsen, S.I, Bean, S.W., Dunn, A.M., Sandodden, R. &amp; Edsman, L, 2019, ‘Biocide treatment of invasive signal crayfish: Successes, failures and lessons learned’, </w:t>
            </w:r>
            <w:r w:rsidRPr="00B2102B">
              <w:rPr>
                <w:rFonts w:ascii="Times New Roman" w:eastAsia="Times New Roman" w:hAnsi="Times New Roman" w:cs="Times New Roman"/>
                <w:bCs/>
                <w:i/>
                <w:sz w:val="20"/>
                <w:szCs w:val="20"/>
                <w:lang w:eastAsia="en-ZA"/>
              </w:rPr>
              <w:t>Diversity</w:t>
            </w:r>
            <w:r w:rsidRPr="00B2102B">
              <w:rPr>
                <w:rFonts w:ascii="Times New Roman" w:eastAsia="Times New Roman" w:hAnsi="Times New Roman" w:cs="Times New Roman"/>
                <w:bCs/>
                <w:sz w:val="20"/>
                <w:szCs w:val="20"/>
                <w:lang w:eastAsia="en-ZA"/>
              </w:rPr>
              <w:t xml:space="preserve"> 11, 29. </w:t>
            </w:r>
            <w:hyperlink r:id="rId510" w:history="1">
              <w:r w:rsidRPr="00B2102B">
                <w:rPr>
                  <w:rStyle w:val="Hyperlink"/>
                  <w:rFonts w:ascii="Times New Roman" w:eastAsia="Times New Roman" w:hAnsi="Times New Roman" w:cs="Times New Roman"/>
                  <w:bCs/>
                  <w:sz w:val="20"/>
                  <w:szCs w:val="20"/>
                  <w:lang w:eastAsia="en-ZA"/>
                </w:rPr>
                <w:t>https://doi.org/10.3390/d11030029</w:t>
              </w:r>
            </w:hyperlink>
            <w:r w:rsidRPr="00B2102B">
              <w:rPr>
                <w:rFonts w:ascii="Times New Roman" w:eastAsia="Times New Roman" w:hAnsi="Times New Roman" w:cs="Times New Roman"/>
                <w:bCs/>
                <w:sz w:val="20"/>
                <w:szCs w:val="20"/>
                <w:lang w:eastAsia="en-ZA"/>
              </w:rPr>
              <w:t xml:space="preserve">  </w:t>
            </w:r>
          </w:p>
          <w:p w14:paraId="4822F21C" w14:textId="77777777" w:rsidR="00B2102B" w:rsidRPr="00B2102B" w:rsidRDefault="00B2102B" w:rsidP="00B2102B">
            <w:pPr>
              <w:ind w:left="720" w:hanging="720"/>
              <w:contextualSpacing/>
              <w:jc w:val="both"/>
              <w:rPr>
                <w:rFonts w:ascii="Times New Roman" w:eastAsia="Times New Roman" w:hAnsi="Times New Roman" w:cs="Times New Roman"/>
                <w:sz w:val="20"/>
                <w:szCs w:val="20"/>
                <w:lang w:eastAsia="en-ZA"/>
              </w:rPr>
            </w:pPr>
            <w:r w:rsidRPr="00B2102B">
              <w:rPr>
                <w:rFonts w:ascii="Times New Roman" w:eastAsia="Times New Roman" w:hAnsi="Times New Roman" w:cs="Times New Roman"/>
                <w:sz w:val="20"/>
                <w:szCs w:val="20"/>
                <w:lang w:eastAsia="en-ZA"/>
              </w:rPr>
              <w:t xml:space="preserve">Stebbing, P., Longshaw, M., Scott, A., 2014, ‘Review of methods for the management of nonindigenous crayfish, with particular reference to Great Britain’, </w:t>
            </w:r>
            <w:r w:rsidRPr="00B2102B">
              <w:rPr>
                <w:rFonts w:ascii="Times New Roman" w:eastAsia="Times New Roman" w:hAnsi="Times New Roman" w:cs="Times New Roman"/>
                <w:i/>
                <w:iCs/>
                <w:sz w:val="20"/>
                <w:szCs w:val="20"/>
                <w:lang w:eastAsia="en-ZA"/>
              </w:rPr>
              <w:t>Ethology Ecology &amp; Evolution</w:t>
            </w:r>
            <w:r w:rsidRPr="00B2102B">
              <w:rPr>
                <w:rFonts w:ascii="Times New Roman" w:eastAsia="Times New Roman" w:hAnsi="Times New Roman" w:cs="Times New Roman"/>
                <w:sz w:val="20"/>
                <w:szCs w:val="20"/>
                <w:lang w:eastAsia="en-ZA"/>
              </w:rPr>
              <w:t xml:space="preserve"> 26, 204-231. https://doi.org/10.1080/03949370.2014.908326.</w:t>
            </w:r>
          </w:p>
          <w:p w14:paraId="3A9F18C2" w14:textId="4C80C9AC" w:rsidR="002D7080" w:rsidRPr="004D1E6F" w:rsidRDefault="00B2102B" w:rsidP="002E2C37">
            <w:pPr>
              <w:ind w:left="720" w:hanging="720"/>
              <w:contextualSpacing/>
              <w:jc w:val="both"/>
              <w:rPr>
                <w:rFonts w:ascii="Times New Roman" w:eastAsia="Times New Roman" w:hAnsi="Times New Roman" w:cs="Times New Roman"/>
                <w:sz w:val="20"/>
                <w:szCs w:val="20"/>
                <w:lang w:eastAsia="en-ZA"/>
              </w:rPr>
            </w:pPr>
            <w:r w:rsidRPr="00B2102B">
              <w:rPr>
                <w:rFonts w:ascii="Times New Roman" w:eastAsia="Times New Roman" w:hAnsi="Times New Roman" w:cs="Times New Roman"/>
                <w:iCs/>
                <w:sz w:val="20"/>
                <w:szCs w:val="20"/>
                <w:lang w:eastAsia="en-ZA"/>
              </w:rPr>
              <w:t>Woodford, D.J., Ivey, P., Novoa, A., Shackleton, R., Richardson, D., Weyl, O., Van Wilgen, B. and Zengeya, T</w:t>
            </w:r>
            <w:r w:rsidRPr="00B2102B">
              <w:rPr>
                <w:rFonts w:ascii="Times New Roman" w:eastAsia="Times New Roman" w:hAnsi="Times New Roman" w:cs="Times New Roman"/>
                <w:sz w:val="20"/>
                <w:szCs w:val="20"/>
                <w:lang w:eastAsia="en-ZA"/>
              </w:rPr>
              <w:t xml:space="preserve">., 2017, ‘Managing conflict-generating invasive species in South Africa: Challenges and trade-offs’, </w:t>
            </w:r>
            <w:r w:rsidRPr="00B2102B">
              <w:rPr>
                <w:rFonts w:ascii="Times New Roman" w:eastAsia="Times New Roman" w:hAnsi="Times New Roman" w:cs="Times New Roman"/>
                <w:i/>
                <w:iCs/>
                <w:sz w:val="20"/>
                <w:szCs w:val="20"/>
                <w:lang w:eastAsia="en-ZA"/>
              </w:rPr>
              <w:t xml:space="preserve">Bothalia </w:t>
            </w:r>
            <w:r w:rsidRPr="00B2102B">
              <w:rPr>
                <w:rFonts w:ascii="Times New Roman" w:eastAsia="Times New Roman" w:hAnsi="Times New Roman" w:cs="Times New Roman"/>
                <w:sz w:val="20"/>
                <w:szCs w:val="20"/>
                <w:lang w:eastAsia="en-ZA"/>
              </w:rPr>
              <w:t>47, a2160. https://doi. org/10.4102/abc.v47i2.2160.</w:t>
            </w:r>
          </w:p>
        </w:tc>
      </w:tr>
    </w:tbl>
    <w:p w14:paraId="175F1931"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9067" w:type="dxa"/>
        <w:tblLook w:val="04A0" w:firstRow="1" w:lastRow="0" w:firstColumn="1" w:lastColumn="0" w:noHBand="0" w:noVBand="1"/>
      </w:tblPr>
      <w:tblGrid>
        <w:gridCol w:w="1696"/>
        <w:gridCol w:w="7371"/>
      </w:tblGrid>
      <w:tr w:rsidR="002D7080" w:rsidRPr="004D1E6F" w14:paraId="25964220" w14:textId="77777777" w:rsidTr="002E2C37">
        <w:trPr>
          <w:trHeight w:val="343"/>
        </w:trPr>
        <w:tc>
          <w:tcPr>
            <w:tcW w:w="9067" w:type="dxa"/>
            <w:gridSpan w:val="2"/>
            <w:shd w:val="clear" w:color="auto" w:fill="F2F2F2" w:themeFill="background1" w:themeFillShade="F2"/>
          </w:tcPr>
          <w:p w14:paraId="36563E06"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MAN6 Any other management considerations to highlight? </w:t>
            </w:r>
            <w:r w:rsidRPr="004D1E6F">
              <w:rPr>
                <w:rFonts w:ascii="Times New Roman" w:eastAsia="Times New Roman" w:hAnsi="Times New Roman" w:cs="Times New Roman"/>
                <w:sz w:val="20"/>
                <w:szCs w:val="20"/>
                <w:lang w:eastAsia="en-ZA"/>
              </w:rPr>
              <w:t>(if yes, fill in Appendix MAN6)</w:t>
            </w:r>
          </w:p>
        </w:tc>
      </w:tr>
      <w:tr w:rsidR="002D7080" w:rsidRPr="004D1E6F" w14:paraId="3F6F3728" w14:textId="77777777" w:rsidTr="002E2C37">
        <w:trPr>
          <w:trHeight w:val="70"/>
        </w:trPr>
        <w:tc>
          <w:tcPr>
            <w:tcW w:w="1696" w:type="dxa"/>
          </w:tcPr>
          <w:p w14:paraId="1073863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w:t>
            </w:r>
          </w:p>
        </w:tc>
        <w:tc>
          <w:tcPr>
            <w:tcW w:w="7371" w:type="dxa"/>
          </w:tcPr>
          <w:p w14:paraId="3AF0B57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r>
    </w:tbl>
    <w:p w14:paraId="28A3BC98" w14:textId="77777777" w:rsidR="002D7080" w:rsidRPr="004D1E6F" w:rsidRDefault="002D7080" w:rsidP="002D7080">
      <w:pPr>
        <w:spacing w:after="160" w:line="259" w:lineRule="auto"/>
        <w:rPr>
          <w:rFonts w:ascii="Times New Roman" w:eastAsia="Times New Roman" w:hAnsi="Times New Roman" w:cs="Times New Roman"/>
          <w:b/>
          <w:color w:val="000000"/>
          <w:sz w:val="20"/>
          <w:szCs w:val="20"/>
          <w:lang w:eastAsia="en-ZA"/>
        </w:rPr>
      </w:pPr>
    </w:p>
    <w:p w14:paraId="2C86DC80" w14:textId="77777777" w:rsidR="002D7080" w:rsidRPr="004D1E6F" w:rsidRDefault="002D7080" w:rsidP="002D7080">
      <w:pPr>
        <w:spacing w:after="160" w:line="259"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5. Calculations</w:t>
      </w:r>
    </w:p>
    <w:p w14:paraId="4CC5E6B4"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5F3056D0"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Likelihood = Very Unlikely</w:t>
      </w:r>
    </w:p>
    <w:p w14:paraId="5C7F5815"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17"/>
        <w:tblW w:w="0" w:type="auto"/>
        <w:tblLook w:val="04A0" w:firstRow="1" w:lastRow="0" w:firstColumn="1" w:lastColumn="0" w:noHBand="0" w:noVBand="1"/>
      </w:tblPr>
      <w:tblGrid>
        <w:gridCol w:w="1195"/>
        <w:gridCol w:w="2628"/>
        <w:gridCol w:w="2939"/>
        <w:gridCol w:w="2254"/>
      </w:tblGrid>
      <w:tr w:rsidR="002D7080" w:rsidRPr="004D1E6F" w14:paraId="79EF2189" w14:textId="77777777" w:rsidTr="002E2C37">
        <w:tc>
          <w:tcPr>
            <w:tcW w:w="1195" w:type="dxa"/>
            <w:vAlign w:val="center"/>
          </w:tcPr>
          <w:p w14:paraId="1C62F466"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Parameter</w:t>
            </w:r>
          </w:p>
        </w:tc>
        <w:tc>
          <w:tcPr>
            <w:tcW w:w="2628" w:type="dxa"/>
            <w:vAlign w:val="center"/>
          </w:tcPr>
          <w:p w14:paraId="1B46AD92"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Likelihood</w:t>
            </w:r>
          </w:p>
        </w:tc>
        <w:tc>
          <w:tcPr>
            <w:tcW w:w="2939" w:type="dxa"/>
            <w:vAlign w:val="center"/>
          </w:tcPr>
          <w:p w14:paraId="017D7C94"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Stages</w:t>
            </w:r>
          </w:p>
        </w:tc>
        <w:tc>
          <w:tcPr>
            <w:tcW w:w="2254" w:type="dxa"/>
            <w:vAlign w:val="center"/>
          </w:tcPr>
          <w:p w14:paraId="4620F8A1"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Final assessment</w:t>
            </w:r>
          </w:p>
        </w:tc>
      </w:tr>
      <w:tr w:rsidR="002D7080" w:rsidRPr="004D1E6F" w14:paraId="000E02A5" w14:textId="77777777" w:rsidTr="002E2C37">
        <w:tc>
          <w:tcPr>
            <w:tcW w:w="1195" w:type="dxa"/>
            <w:vAlign w:val="center"/>
          </w:tcPr>
          <w:p w14:paraId="65E6836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LIK1</w:t>
            </w:r>
          </w:p>
        </w:tc>
        <w:tc>
          <w:tcPr>
            <w:tcW w:w="2628" w:type="dxa"/>
            <w:vAlign w:val="center"/>
          </w:tcPr>
          <w:p w14:paraId="574BB8FE"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0.0027</w:t>
            </w:r>
          </w:p>
        </w:tc>
        <w:tc>
          <w:tcPr>
            <w:tcW w:w="2939" w:type="dxa"/>
            <w:vMerge w:val="restart"/>
            <w:vAlign w:val="center"/>
          </w:tcPr>
          <w:p w14:paraId="0F04D96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P(entry) = 0.027</w:t>
            </w:r>
          </w:p>
        </w:tc>
        <w:tc>
          <w:tcPr>
            <w:tcW w:w="2254" w:type="dxa"/>
            <w:vMerge w:val="restart"/>
            <w:vAlign w:val="center"/>
          </w:tcPr>
          <w:p w14:paraId="48159BFD"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 (invasion) = 0.00</w:t>
            </w:r>
            <w:r>
              <w:rPr>
                <w:rFonts w:ascii="Times New Roman" w:eastAsia="Times New Roman" w:hAnsi="Times New Roman" w:cs="Times New Roman"/>
                <w:color w:val="000000"/>
                <w:sz w:val="20"/>
                <w:szCs w:val="20"/>
                <w:lang w:eastAsia="en-ZA"/>
              </w:rPr>
              <w:t>7</w:t>
            </w:r>
          </w:p>
        </w:tc>
      </w:tr>
      <w:tr w:rsidR="002D7080" w:rsidRPr="004D1E6F" w14:paraId="56D567F8" w14:textId="77777777" w:rsidTr="002E2C37">
        <w:tc>
          <w:tcPr>
            <w:tcW w:w="1195" w:type="dxa"/>
            <w:vAlign w:val="center"/>
          </w:tcPr>
          <w:p w14:paraId="34881D3A"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LIK2</w:t>
            </w:r>
          </w:p>
        </w:tc>
        <w:tc>
          <w:tcPr>
            <w:tcW w:w="2628" w:type="dxa"/>
            <w:vAlign w:val="center"/>
          </w:tcPr>
          <w:p w14:paraId="64D61721"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0.027</w:t>
            </w:r>
          </w:p>
        </w:tc>
        <w:tc>
          <w:tcPr>
            <w:tcW w:w="2939" w:type="dxa"/>
            <w:vMerge/>
            <w:vAlign w:val="center"/>
          </w:tcPr>
          <w:p w14:paraId="04424B65"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7E532593"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17DE2283" w14:textId="77777777" w:rsidTr="002E2C37">
        <w:tc>
          <w:tcPr>
            <w:tcW w:w="1195" w:type="dxa"/>
            <w:vAlign w:val="center"/>
          </w:tcPr>
          <w:p w14:paraId="540280C4"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LIK3</w:t>
            </w:r>
          </w:p>
        </w:tc>
        <w:tc>
          <w:tcPr>
            <w:tcW w:w="2628" w:type="dxa"/>
            <w:vAlign w:val="center"/>
          </w:tcPr>
          <w:p w14:paraId="7F12B9B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0.5</w:t>
            </w:r>
          </w:p>
        </w:tc>
        <w:tc>
          <w:tcPr>
            <w:tcW w:w="2939" w:type="dxa"/>
            <w:vMerge w:val="restart"/>
            <w:vAlign w:val="center"/>
          </w:tcPr>
          <w:p w14:paraId="0C6B8B82"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P(establishment) = 0.5</w:t>
            </w:r>
          </w:p>
        </w:tc>
        <w:tc>
          <w:tcPr>
            <w:tcW w:w="2254" w:type="dxa"/>
            <w:vMerge/>
            <w:vAlign w:val="center"/>
          </w:tcPr>
          <w:p w14:paraId="14D3AE9B"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251E40AE" w14:textId="77777777" w:rsidTr="002E2C37">
        <w:tc>
          <w:tcPr>
            <w:tcW w:w="1195" w:type="dxa"/>
            <w:vAlign w:val="center"/>
          </w:tcPr>
          <w:p w14:paraId="3FDEC9E4"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LIK4</w:t>
            </w:r>
          </w:p>
        </w:tc>
        <w:tc>
          <w:tcPr>
            <w:tcW w:w="2628" w:type="dxa"/>
            <w:vAlign w:val="center"/>
          </w:tcPr>
          <w:p w14:paraId="60F4028C"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0.5</w:t>
            </w:r>
          </w:p>
        </w:tc>
        <w:tc>
          <w:tcPr>
            <w:tcW w:w="2939" w:type="dxa"/>
            <w:vMerge/>
            <w:vAlign w:val="center"/>
          </w:tcPr>
          <w:p w14:paraId="0C12A315"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42071786"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56AC99EA" w14:textId="77777777" w:rsidTr="002E2C37">
        <w:tc>
          <w:tcPr>
            <w:tcW w:w="1195" w:type="dxa"/>
            <w:vAlign w:val="center"/>
          </w:tcPr>
          <w:p w14:paraId="14A4144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LIK5</w:t>
            </w:r>
          </w:p>
        </w:tc>
        <w:tc>
          <w:tcPr>
            <w:tcW w:w="2628" w:type="dxa"/>
            <w:vAlign w:val="center"/>
          </w:tcPr>
          <w:p w14:paraId="75A9A833"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0.0027</w:t>
            </w:r>
          </w:p>
        </w:tc>
        <w:tc>
          <w:tcPr>
            <w:tcW w:w="2939" w:type="dxa"/>
            <w:vMerge w:val="restart"/>
            <w:vAlign w:val="center"/>
          </w:tcPr>
          <w:p w14:paraId="08A69B46"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 (spread) = 0.</w:t>
            </w:r>
            <w:r>
              <w:rPr>
                <w:rFonts w:ascii="Times New Roman" w:eastAsia="Times New Roman" w:hAnsi="Times New Roman" w:cs="Times New Roman"/>
                <w:color w:val="000000"/>
                <w:sz w:val="20"/>
                <w:szCs w:val="20"/>
                <w:lang w:eastAsia="en-ZA"/>
              </w:rPr>
              <w:t>5</w:t>
            </w:r>
          </w:p>
        </w:tc>
        <w:tc>
          <w:tcPr>
            <w:tcW w:w="2254" w:type="dxa"/>
            <w:vMerge/>
            <w:vAlign w:val="center"/>
          </w:tcPr>
          <w:p w14:paraId="7A9F91E3"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0190D9B7" w14:textId="77777777" w:rsidTr="002E2C37">
        <w:tc>
          <w:tcPr>
            <w:tcW w:w="1195" w:type="dxa"/>
            <w:vAlign w:val="center"/>
          </w:tcPr>
          <w:p w14:paraId="369987F1"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LIK6</w:t>
            </w:r>
          </w:p>
        </w:tc>
        <w:tc>
          <w:tcPr>
            <w:tcW w:w="2628" w:type="dxa"/>
            <w:vAlign w:val="center"/>
          </w:tcPr>
          <w:p w14:paraId="3B00EB8A"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w:t>
            </w:r>
            <w:r>
              <w:rPr>
                <w:rFonts w:ascii="Times New Roman" w:eastAsia="Times New Roman" w:hAnsi="Times New Roman" w:cs="Times New Roman"/>
                <w:color w:val="000000"/>
                <w:sz w:val="20"/>
                <w:szCs w:val="20"/>
                <w:lang w:eastAsia="en-ZA"/>
              </w:rPr>
              <w:t>5</w:t>
            </w:r>
          </w:p>
        </w:tc>
        <w:tc>
          <w:tcPr>
            <w:tcW w:w="2939" w:type="dxa"/>
            <w:vMerge/>
            <w:vAlign w:val="center"/>
          </w:tcPr>
          <w:p w14:paraId="2D58CF72"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431B18BD" w14:textId="77777777" w:rsidR="002D7080" w:rsidRPr="004D1E6F" w:rsidRDefault="002D7080" w:rsidP="002E2C37">
            <w:pPr>
              <w:rPr>
                <w:rFonts w:ascii="Times New Roman" w:eastAsia="Times New Roman" w:hAnsi="Times New Roman" w:cs="Times New Roman"/>
                <w:color w:val="000000"/>
                <w:sz w:val="20"/>
                <w:szCs w:val="20"/>
                <w:lang w:eastAsia="en-ZA"/>
              </w:rPr>
            </w:pPr>
          </w:p>
        </w:tc>
      </w:tr>
    </w:tbl>
    <w:p w14:paraId="2CFCE6CC"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7D2EE51E" w14:textId="77777777" w:rsidR="002D7080"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Consequence = </w:t>
      </w:r>
      <w:r w:rsidRPr="00B337B0">
        <w:rPr>
          <w:rFonts w:ascii="Times New Roman" w:eastAsia="Times New Roman" w:hAnsi="Times New Roman" w:cs="Times New Roman"/>
          <w:b/>
          <w:color w:val="000000"/>
          <w:sz w:val="20"/>
          <w:szCs w:val="20"/>
          <w:lang w:eastAsia="en-ZA"/>
        </w:rPr>
        <w:t>Major (MR)</w:t>
      </w:r>
    </w:p>
    <w:p w14:paraId="0B18A068"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23"/>
        <w:tblW w:w="0" w:type="auto"/>
        <w:tblLook w:val="04A0" w:firstRow="1" w:lastRow="0" w:firstColumn="1" w:lastColumn="0" w:noHBand="0" w:noVBand="1"/>
      </w:tblPr>
      <w:tblGrid>
        <w:gridCol w:w="1555"/>
        <w:gridCol w:w="5953"/>
        <w:gridCol w:w="1508"/>
      </w:tblGrid>
      <w:tr w:rsidR="002D7080" w:rsidRPr="004D1E6F" w14:paraId="739C724B" w14:textId="77777777" w:rsidTr="002E2C37">
        <w:tc>
          <w:tcPr>
            <w:tcW w:w="1555" w:type="dxa"/>
            <w:shd w:val="clear" w:color="auto" w:fill="D9D9D9" w:themeFill="background1" w:themeFillShade="D9"/>
          </w:tcPr>
          <w:p w14:paraId="4ACE7240" w14:textId="77777777" w:rsidR="002D7080" w:rsidRPr="00E8264E" w:rsidRDefault="002D7080" w:rsidP="002E2C37">
            <w:pPr>
              <w:jc w:val="both"/>
              <w:rPr>
                <w:rFonts w:ascii="Times New Roman" w:eastAsia="Times New Roman" w:hAnsi="Times New Roman" w:cs="Times New Roman"/>
                <w:b/>
                <w:sz w:val="20"/>
                <w:szCs w:val="20"/>
                <w:lang w:eastAsia="en-ZA"/>
              </w:rPr>
            </w:pPr>
            <w:r w:rsidRPr="00E8264E">
              <w:rPr>
                <w:rFonts w:ascii="Times New Roman" w:eastAsia="Times New Roman" w:hAnsi="Times New Roman" w:cs="Times New Roman"/>
                <w:b/>
                <w:sz w:val="20"/>
                <w:szCs w:val="20"/>
                <w:lang w:eastAsia="en-ZA"/>
              </w:rPr>
              <w:t>Parameter</w:t>
            </w:r>
          </w:p>
        </w:tc>
        <w:tc>
          <w:tcPr>
            <w:tcW w:w="5953" w:type="dxa"/>
            <w:shd w:val="clear" w:color="auto" w:fill="D9D9D9" w:themeFill="background1" w:themeFillShade="D9"/>
          </w:tcPr>
          <w:p w14:paraId="6D01CB20" w14:textId="77777777" w:rsidR="002D7080" w:rsidRPr="00E8264E" w:rsidRDefault="002D7080" w:rsidP="002E2C37">
            <w:pPr>
              <w:jc w:val="both"/>
              <w:rPr>
                <w:rFonts w:ascii="Times New Roman" w:eastAsia="Times New Roman" w:hAnsi="Times New Roman" w:cs="Times New Roman"/>
                <w:b/>
                <w:sz w:val="20"/>
                <w:szCs w:val="20"/>
                <w:lang w:eastAsia="en-ZA"/>
              </w:rPr>
            </w:pPr>
            <w:r w:rsidRPr="00E8264E">
              <w:rPr>
                <w:rFonts w:ascii="Times New Roman" w:eastAsia="Times New Roman" w:hAnsi="Times New Roman" w:cs="Times New Roman"/>
                <w:b/>
                <w:sz w:val="20"/>
                <w:szCs w:val="20"/>
                <w:lang w:eastAsia="en-ZA"/>
              </w:rPr>
              <w:t>Mechanism/sector</w:t>
            </w:r>
          </w:p>
        </w:tc>
        <w:tc>
          <w:tcPr>
            <w:tcW w:w="1508" w:type="dxa"/>
            <w:shd w:val="clear" w:color="auto" w:fill="D9D9D9" w:themeFill="background1" w:themeFillShade="D9"/>
          </w:tcPr>
          <w:p w14:paraId="78DA8E92" w14:textId="77777777" w:rsidR="002D7080" w:rsidRPr="00E8264E" w:rsidRDefault="002D7080" w:rsidP="002E2C37">
            <w:pPr>
              <w:jc w:val="both"/>
              <w:rPr>
                <w:rFonts w:ascii="Times New Roman" w:eastAsia="Times New Roman" w:hAnsi="Times New Roman" w:cs="Times New Roman"/>
                <w:b/>
                <w:sz w:val="20"/>
                <w:szCs w:val="20"/>
                <w:lang w:eastAsia="en-ZA"/>
              </w:rPr>
            </w:pPr>
            <w:r w:rsidRPr="00E8264E">
              <w:rPr>
                <w:rFonts w:ascii="Times New Roman" w:eastAsia="Times New Roman" w:hAnsi="Times New Roman" w:cs="Times New Roman"/>
                <w:b/>
                <w:sz w:val="20"/>
                <w:szCs w:val="20"/>
                <w:lang w:eastAsia="en-ZA"/>
              </w:rPr>
              <w:t>Response</w:t>
            </w:r>
          </w:p>
        </w:tc>
      </w:tr>
      <w:tr w:rsidR="002D7080" w:rsidRPr="004D1E6F" w14:paraId="09E6CE0F" w14:textId="77777777" w:rsidTr="002E2C37">
        <w:tc>
          <w:tcPr>
            <w:tcW w:w="1555" w:type="dxa"/>
            <w:shd w:val="clear" w:color="auto" w:fill="D9D9D9" w:themeFill="background1" w:themeFillShade="D9"/>
          </w:tcPr>
          <w:p w14:paraId="53D99FCE"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CON1</w:t>
            </w:r>
          </w:p>
        </w:tc>
        <w:tc>
          <w:tcPr>
            <w:tcW w:w="5953" w:type="dxa"/>
            <w:shd w:val="clear" w:color="auto" w:fill="D9D9D9" w:themeFill="background1" w:themeFillShade="D9"/>
          </w:tcPr>
          <w:p w14:paraId="5ED485B7"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 xml:space="preserve">Maximum environmental impact </w:t>
            </w:r>
          </w:p>
        </w:tc>
        <w:tc>
          <w:tcPr>
            <w:tcW w:w="1508" w:type="dxa"/>
          </w:tcPr>
          <w:p w14:paraId="1A1A9C31"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DD</w:t>
            </w:r>
          </w:p>
        </w:tc>
      </w:tr>
      <w:tr w:rsidR="002D7080" w:rsidRPr="004D1E6F" w14:paraId="1CD020B6" w14:textId="77777777" w:rsidTr="002E2C37">
        <w:tc>
          <w:tcPr>
            <w:tcW w:w="1555" w:type="dxa"/>
            <w:shd w:val="clear" w:color="auto" w:fill="D9D9D9" w:themeFill="background1" w:themeFillShade="D9"/>
          </w:tcPr>
          <w:p w14:paraId="767BC926"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CON2</w:t>
            </w:r>
          </w:p>
        </w:tc>
        <w:tc>
          <w:tcPr>
            <w:tcW w:w="5953" w:type="dxa"/>
            <w:shd w:val="clear" w:color="auto" w:fill="D9D9D9" w:themeFill="background1" w:themeFillShade="D9"/>
          </w:tcPr>
          <w:p w14:paraId="05E09D63"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Maximum socio-economic impact</w:t>
            </w:r>
          </w:p>
        </w:tc>
        <w:tc>
          <w:tcPr>
            <w:tcW w:w="1508" w:type="dxa"/>
          </w:tcPr>
          <w:p w14:paraId="150285B5"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DD</w:t>
            </w:r>
          </w:p>
        </w:tc>
      </w:tr>
      <w:tr w:rsidR="002D7080" w:rsidRPr="004D1E6F" w14:paraId="5A33D543" w14:textId="77777777" w:rsidTr="002E2C37">
        <w:tc>
          <w:tcPr>
            <w:tcW w:w="1555" w:type="dxa"/>
            <w:shd w:val="clear" w:color="auto" w:fill="D9D9D9" w:themeFill="background1" w:themeFillShade="D9"/>
          </w:tcPr>
          <w:p w14:paraId="7783A32E"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CON1a</w:t>
            </w:r>
          </w:p>
        </w:tc>
        <w:tc>
          <w:tcPr>
            <w:tcW w:w="5953" w:type="dxa"/>
            <w:shd w:val="clear" w:color="auto" w:fill="D9D9D9" w:themeFill="background1" w:themeFillShade="D9"/>
          </w:tcPr>
          <w:p w14:paraId="10181D57"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Competition</w:t>
            </w:r>
          </w:p>
        </w:tc>
        <w:tc>
          <w:tcPr>
            <w:tcW w:w="1508" w:type="dxa"/>
          </w:tcPr>
          <w:p w14:paraId="082A4F60"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DD</w:t>
            </w:r>
          </w:p>
        </w:tc>
      </w:tr>
      <w:tr w:rsidR="002D7080" w:rsidRPr="004D1E6F" w14:paraId="00C4AAD9" w14:textId="77777777" w:rsidTr="002E2C37">
        <w:tc>
          <w:tcPr>
            <w:tcW w:w="1555" w:type="dxa"/>
            <w:shd w:val="clear" w:color="auto" w:fill="D9D9D9" w:themeFill="background1" w:themeFillShade="D9"/>
          </w:tcPr>
          <w:p w14:paraId="11895ECF"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CON1b</w:t>
            </w:r>
          </w:p>
        </w:tc>
        <w:tc>
          <w:tcPr>
            <w:tcW w:w="5953" w:type="dxa"/>
            <w:shd w:val="clear" w:color="auto" w:fill="D9D9D9" w:themeFill="background1" w:themeFillShade="D9"/>
          </w:tcPr>
          <w:p w14:paraId="5E06DB27"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Predation</w:t>
            </w:r>
          </w:p>
        </w:tc>
        <w:tc>
          <w:tcPr>
            <w:tcW w:w="1508" w:type="dxa"/>
          </w:tcPr>
          <w:p w14:paraId="48124A99"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DD</w:t>
            </w:r>
          </w:p>
        </w:tc>
      </w:tr>
      <w:tr w:rsidR="002D7080" w:rsidRPr="004D1E6F" w14:paraId="64364C11" w14:textId="77777777" w:rsidTr="002E2C37">
        <w:tc>
          <w:tcPr>
            <w:tcW w:w="1555" w:type="dxa"/>
            <w:shd w:val="clear" w:color="auto" w:fill="D9D9D9" w:themeFill="background1" w:themeFillShade="D9"/>
          </w:tcPr>
          <w:p w14:paraId="13DB0374"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CON1c</w:t>
            </w:r>
          </w:p>
        </w:tc>
        <w:tc>
          <w:tcPr>
            <w:tcW w:w="5953" w:type="dxa"/>
            <w:shd w:val="clear" w:color="auto" w:fill="D9D9D9" w:themeFill="background1" w:themeFillShade="D9"/>
          </w:tcPr>
          <w:p w14:paraId="54202A98"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Hybridisation</w:t>
            </w:r>
          </w:p>
        </w:tc>
        <w:tc>
          <w:tcPr>
            <w:tcW w:w="1508" w:type="dxa"/>
          </w:tcPr>
          <w:p w14:paraId="710EEA10"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color w:val="000000"/>
                <w:sz w:val="20"/>
                <w:szCs w:val="20"/>
                <w:lang w:eastAsia="en-ZA"/>
              </w:rPr>
              <w:t>DD</w:t>
            </w:r>
          </w:p>
        </w:tc>
      </w:tr>
      <w:tr w:rsidR="002D7080" w:rsidRPr="004D1E6F" w14:paraId="1557A9BD" w14:textId="77777777" w:rsidTr="002E2C37">
        <w:tc>
          <w:tcPr>
            <w:tcW w:w="1555" w:type="dxa"/>
            <w:shd w:val="clear" w:color="auto" w:fill="D9D9D9" w:themeFill="background1" w:themeFillShade="D9"/>
          </w:tcPr>
          <w:p w14:paraId="12110384"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lastRenderedPageBreak/>
              <w:t>CON1d</w:t>
            </w:r>
          </w:p>
        </w:tc>
        <w:tc>
          <w:tcPr>
            <w:tcW w:w="5953" w:type="dxa"/>
            <w:shd w:val="clear" w:color="auto" w:fill="D9D9D9" w:themeFill="background1" w:themeFillShade="D9"/>
          </w:tcPr>
          <w:p w14:paraId="31C0A28A"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Disease transmission</w:t>
            </w:r>
          </w:p>
        </w:tc>
        <w:tc>
          <w:tcPr>
            <w:tcW w:w="1508" w:type="dxa"/>
          </w:tcPr>
          <w:p w14:paraId="46285BD4"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DD</w:t>
            </w:r>
          </w:p>
        </w:tc>
      </w:tr>
      <w:tr w:rsidR="002D7080" w:rsidRPr="004D1E6F" w14:paraId="182E1633" w14:textId="77777777" w:rsidTr="002E2C37">
        <w:tc>
          <w:tcPr>
            <w:tcW w:w="1555" w:type="dxa"/>
            <w:shd w:val="clear" w:color="auto" w:fill="D9D9D9" w:themeFill="background1" w:themeFillShade="D9"/>
          </w:tcPr>
          <w:p w14:paraId="5F176357"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CON1e</w:t>
            </w:r>
          </w:p>
        </w:tc>
        <w:tc>
          <w:tcPr>
            <w:tcW w:w="5953" w:type="dxa"/>
            <w:shd w:val="clear" w:color="auto" w:fill="D9D9D9" w:themeFill="background1" w:themeFillShade="D9"/>
          </w:tcPr>
          <w:p w14:paraId="1F4AFCD7"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Parasitism</w:t>
            </w:r>
          </w:p>
        </w:tc>
        <w:tc>
          <w:tcPr>
            <w:tcW w:w="1508" w:type="dxa"/>
          </w:tcPr>
          <w:p w14:paraId="1AD27DBA"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color w:val="000000"/>
                <w:sz w:val="20"/>
                <w:szCs w:val="20"/>
                <w:lang w:eastAsia="en-ZA"/>
              </w:rPr>
              <w:t>DD</w:t>
            </w:r>
          </w:p>
        </w:tc>
      </w:tr>
      <w:tr w:rsidR="002D7080" w:rsidRPr="004D1E6F" w14:paraId="0F0D8447" w14:textId="77777777" w:rsidTr="002E2C37">
        <w:tc>
          <w:tcPr>
            <w:tcW w:w="1555" w:type="dxa"/>
            <w:shd w:val="clear" w:color="auto" w:fill="D9D9D9" w:themeFill="background1" w:themeFillShade="D9"/>
          </w:tcPr>
          <w:p w14:paraId="3B165CE6"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CON1f</w:t>
            </w:r>
          </w:p>
        </w:tc>
        <w:tc>
          <w:tcPr>
            <w:tcW w:w="5953" w:type="dxa"/>
            <w:shd w:val="clear" w:color="auto" w:fill="D9D9D9" w:themeFill="background1" w:themeFillShade="D9"/>
          </w:tcPr>
          <w:p w14:paraId="63F6AA23"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Poisoning/toxicity</w:t>
            </w:r>
          </w:p>
        </w:tc>
        <w:tc>
          <w:tcPr>
            <w:tcW w:w="1508" w:type="dxa"/>
          </w:tcPr>
          <w:p w14:paraId="08E9DE9B"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DD</w:t>
            </w:r>
          </w:p>
        </w:tc>
      </w:tr>
      <w:tr w:rsidR="002D7080" w:rsidRPr="004D1E6F" w14:paraId="3A71AF6A" w14:textId="77777777" w:rsidTr="002E2C37">
        <w:tc>
          <w:tcPr>
            <w:tcW w:w="1555" w:type="dxa"/>
            <w:shd w:val="clear" w:color="auto" w:fill="D9D9D9" w:themeFill="background1" w:themeFillShade="D9"/>
          </w:tcPr>
          <w:p w14:paraId="14985277"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CON1g</w:t>
            </w:r>
          </w:p>
        </w:tc>
        <w:tc>
          <w:tcPr>
            <w:tcW w:w="5953" w:type="dxa"/>
            <w:shd w:val="clear" w:color="auto" w:fill="D9D9D9" w:themeFill="background1" w:themeFillShade="D9"/>
          </w:tcPr>
          <w:p w14:paraId="32A05B53"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Bio-fouling or other direct physical disturbance</w:t>
            </w:r>
          </w:p>
        </w:tc>
        <w:tc>
          <w:tcPr>
            <w:tcW w:w="1508" w:type="dxa"/>
          </w:tcPr>
          <w:p w14:paraId="4CDC4C8E"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color w:val="000000"/>
                <w:sz w:val="20"/>
                <w:szCs w:val="20"/>
                <w:lang w:eastAsia="en-ZA"/>
              </w:rPr>
              <w:t>DD</w:t>
            </w:r>
          </w:p>
        </w:tc>
      </w:tr>
      <w:tr w:rsidR="002D7080" w:rsidRPr="004D1E6F" w14:paraId="5F097DAF" w14:textId="77777777" w:rsidTr="002E2C37">
        <w:tc>
          <w:tcPr>
            <w:tcW w:w="1555" w:type="dxa"/>
            <w:shd w:val="clear" w:color="auto" w:fill="D9D9D9" w:themeFill="background1" w:themeFillShade="D9"/>
          </w:tcPr>
          <w:p w14:paraId="36634874"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CON1h</w:t>
            </w:r>
          </w:p>
        </w:tc>
        <w:tc>
          <w:tcPr>
            <w:tcW w:w="5953" w:type="dxa"/>
            <w:shd w:val="clear" w:color="auto" w:fill="D9D9D9" w:themeFill="background1" w:themeFillShade="D9"/>
          </w:tcPr>
          <w:p w14:paraId="19DF66E8"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Grazing/herbivory/browsing</w:t>
            </w:r>
          </w:p>
        </w:tc>
        <w:tc>
          <w:tcPr>
            <w:tcW w:w="1508" w:type="dxa"/>
          </w:tcPr>
          <w:p w14:paraId="2A7B80D0"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DD</w:t>
            </w:r>
          </w:p>
        </w:tc>
      </w:tr>
      <w:tr w:rsidR="002D7080" w:rsidRPr="004D1E6F" w14:paraId="697001C7" w14:textId="77777777" w:rsidTr="002E2C37">
        <w:tc>
          <w:tcPr>
            <w:tcW w:w="1555" w:type="dxa"/>
            <w:shd w:val="clear" w:color="auto" w:fill="D9D9D9" w:themeFill="background1" w:themeFillShade="D9"/>
          </w:tcPr>
          <w:p w14:paraId="0A277F6A"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CON1i</w:t>
            </w:r>
          </w:p>
        </w:tc>
        <w:tc>
          <w:tcPr>
            <w:tcW w:w="5953" w:type="dxa"/>
            <w:shd w:val="clear" w:color="auto" w:fill="D9D9D9" w:themeFill="background1" w:themeFillShade="D9"/>
          </w:tcPr>
          <w:p w14:paraId="284FBB02"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Chemical, physical, structural impact</w:t>
            </w:r>
          </w:p>
        </w:tc>
        <w:tc>
          <w:tcPr>
            <w:tcW w:w="1508" w:type="dxa"/>
          </w:tcPr>
          <w:p w14:paraId="15C609BB"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DD</w:t>
            </w:r>
          </w:p>
        </w:tc>
      </w:tr>
      <w:tr w:rsidR="002D7080" w:rsidRPr="004D1E6F" w14:paraId="48051D06" w14:textId="77777777" w:rsidTr="002E2C37">
        <w:tc>
          <w:tcPr>
            <w:tcW w:w="1555" w:type="dxa"/>
            <w:shd w:val="clear" w:color="auto" w:fill="D9D9D9" w:themeFill="background1" w:themeFillShade="D9"/>
          </w:tcPr>
          <w:p w14:paraId="09012E00"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CON1k</w:t>
            </w:r>
          </w:p>
        </w:tc>
        <w:tc>
          <w:tcPr>
            <w:tcW w:w="5953" w:type="dxa"/>
            <w:shd w:val="clear" w:color="auto" w:fill="D9D9D9" w:themeFill="background1" w:themeFillShade="D9"/>
          </w:tcPr>
          <w:p w14:paraId="0D4E6F66"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Indirect impacts through interactions with other species</w:t>
            </w:r>
          </w:p>
        </w:tc>
        <w:tc>
          <w:tcPr>
            <w:tcW w:w="1508" w:type="dxa"/>
          </w:tcPr>
          <w:p w14:paraId="151454C7"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color w:val="000000"/>
                <w:sz w:val="20"/>
                <w:szCs w:val="20"/>
                <w:lang w:eastAsia="en-ZA"/>
              </w:rPr>
              <w:t>DD</w:t>
            </w:r>
          </w:p>
        </w:tc>
      </w:tr>
      <w:tr w:rsidR="002D7080" w:rsidRPr="004D1E6F" w14:paraId="2DF7C170" w14:textId="77777777" w:rsidTr="002E2C37">
        <w:tc>
          <w:tcPr>
            <w:tcW w:w="1555" w:type="dxa"/>
            <w:shd w:val="clear" w:color="auto" w:fill="D9D9D9" w:themeFill="background1" w:themeFillShade="D9"/>
          </w:tcPr>
          <w:p w14:paraId="07375B01"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CON2a</w:t>
            </w:r>
          </w:p>
        </w:tc>
        <w:tc>
          <w:tcPr>
            <w:tcW w:w="5953" w:type="dxa"/>
            <w:shd w:val="clear" w:color="auto" w:fill="D9D9D9" w:themeFill="background1" w:themeFillShade="D9"/>
          </w:tcPr>
          <w:p w14:paraId="71AAF773"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Calibri" w:hAnsi="Times New Roman" w:cs="Times New Roman"/>
                <w:bCs/>
                <w:sz w:val="20"/>
                <w:szCs w:val="20"/>
              </w:rPr>
              <w:t>Safety</w:t>
            </w:r>
          </w:p>
        </w:tc>
        <w:tc>
          <w:tcPr>
            <w:tcW w:w="1508" w:type="dxa"/>
          </w:tcPr>
          <w:p w14:paraId="46E3D88F"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DD</w:t>
            </w:r>
          </w:p>
        </w:tc>
      </w:tr>
      <w:tr w:rsidR="002D7080" w:rsidRPr="004D1E6F" w14:paraId="35D4AABB" w14:textId="77777777" w:rsidTr="002E2C37">
        <w:tc>
          <w:tcPr>
            <w:tcW w:w="1555" w:type="dxa"/>
            <w:shd w:val="clear" w:color="auto" w:fill="D9D9D9" w:themeFill="background1" w:themeFillShade="D9"/>
          </w:tcPr>
          <w:p w14:paraId="14C4B736"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CON2b</w:t>
            </w:r>
          </w:p>
        </w:tc>
        <w:tc>
          <w:tcPr>
            <w:tcW w:w="5953" w:type="dxa"/>
            <w:shd w:val="clear" w:color="auto" w:fill="D9D9D9" w:themeFill="background1" w:themeFillShade="D9"/>
          </w:tcPr>
          <w:p w14:paraId="59B55E12"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Calibri" w:hAnsi="Times New Roman" w:cs="Times New Roman"/>
                <w:bCs/>
                <w:sz w:val="20"/>
                <w:szCs w:val="20"/>
              </w:rPr>
              <w:t>Material and immaterial assets</w:t>
            </w:r>
          </w:p>
        </w:tc>
        <w:tc>
          <w:tcPr>
            <w:tcW w:w="1508" w:type="dxa"/>
          </w:tcPr>
          <w:p w14:paraId="1DE6AF02"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DD</w:t>
            </w:r>
          </w:p>
        </w:tc>
      </w:tr>
      <w:tr w:rsidR="002D7080" w:rsidRPr="004D1E6F" w14:paraId="1BE29205" w14:textId="77777777" w:rsidTr="002E2C37">
        <w:tc>
          <w:tcPr>
            <w:tcW w:w="1555" w:type="dxa"/>
            <w:shd w:val="clear" w:color="auto" w:fill="D9D9D9" w:themeFill="background1" w:themeFillShade="D9"/>
          </w:tcPr>
          <w:p w14:paraId="3AA69AF4"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CON2c</w:t>
            </w:r>
          </w:p>
        </w:tc>
        <w:tc>
          <w:tcPr>
            <w:tcW w:w="5953" w:type="dxa"/>
            <w:shd w:val="clear" w:color="auto" w:fill="D9D9D9" w:themeFill="background1" w:themeFillShade="D9"/>
          </w:tcPr>
          <w:p w14:paraId="2493665F"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Calibri" w:hAnsi="Times New Roman" w:cs="Times New Roman"/>
                <w:bCs/>
                <w:sz w:val="20"/>
                <w:szCs w:val="20"/>
              </w:rPr>
              <w:t>Health</w:t>
            </w:r>
          </w:p>
        </w:tc>
        <w:tc>
          <w:tcPr>
            <w:tcW w:w="1508" w:type="dxa"/>
          </w:tcPr>
          <w:p w14:paraId="45CB1B49"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DD</w:t>
            </w:r>
          </w:p>
        </w:tc>
      </w:tr>
      <w:tr w:rsidR="002D7080" w:rsidRPr="004D1E6F" w14:paraId="7FF514A4" w14:textId="77777777" w:rsidTr="002E2C37">
        <w:tc>
          <w:tcPr>
            <w:tcW w:w="1555" w:type="dxa"/>
            <w:shd w:val="clear" w:color="auto" w:fill="D9D9D9" w:themeFill="background1" w:themeFillShade="D9"/>
          </w:tcPr>
          <w:p w14:paraId="5E087CC4"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CON2d</w:t>
            </w:r>
          </w:p>
        </w:tc>
        <w:tc>
          <w:tcPr>
            <w:tcW w:w="5953" w:type="dxa"/>
            <w:shd w:val="clear" w:color="auto" w:fill="D9D9D9" w:themeFill="background1" w:themeFillShade="D9"/>
          </w:tcPr>
          <w:p w14:paraId="06A758D4"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Calibri" w:hAnsi="Times New Roman" w:cs="Times New Roman"/>
                <w:bCs/>
                <w:sz w:val="20"/>
                <w:szCs w:val="20"/>
              </w:rPr>
              <w:t>Social, spiritual and cultural relations</w:t>
            </w:r>
          </w:p>
        </w:tc>
        <w:tc>
          <w:tcPr>
            <w:tcW w:w="1508" w:type="dxa"/>
          </w:tcPr>
          <w:p w14:paraId="5D076686"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DD</w:t>
            </w:r>
          </w:p>
        </w:tc>
      </w:tr>
      <w:tr w:rsidR="002D7080" w:rsidRPr="004D1E6F" w14:paraId="4A61BEF8" w14:textId="77777777" w:rsidTr="002E2C37">
        <w:tc>
          <w:tcPr>
            <w:tcW w:w="1555" w:type="dxa"/>
            <w:shd w:val="clear" w:color="auto" w:fill="D9D9D9" w:themeFill="background1" w:themeFillShade="D9"/>
          </w:tcPr>
          <w:p w14:paraId="7825E258"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CON3</w:t>
            </w:r>
          </w:p>
        </w:tc>
        <w:tc>
          <w:tcPr>
            <w:tcW w:w="5953" w:type="dxa"/>
            <w:shd w:val="clear" w:color="auto" w:fill="D9D9D9" w:themeFill="background1" w:themeFillShade="D9"/>
          </w:tcPr>
          <w:p w14:paraId="60693317"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Maximum environmental impact (closely related taxa)</w:t>
            </w:r>
          </w:p>
        </w:tc>
        <w:tc>
          <w:tcPr>
            <w:tcW w:w="1508" w:type="dxa"/>
          </w:tcPr>
          <w:p w14:paraId="3ED9F390"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MR</w:t>
            </w:r>
          </w:p>
        </w:tc>
      </w:tr>
      <w:tr w:rsidR="002D7080" w:rsidRPr="004D1E6F" w14:paraId="6EAA19E0" w14:textId="77777777" w:rsidTr="002E2C37">
        <w:tc>
          <w:tcPr>
            <w:tcW w:w="1555" w:type="dxa"/>
            <w:shd w:val="clear" w:color="auto" w:fill="D9D9D9" w:themeFill="background1" w:themeFillShade="D9"/>
          </w:tcPr>
          <w:p w14:paraId="22E7F9E6"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CON4</w:t>
            </w:r>
          </w:p>
        </w:tc>
        <w:tc>
          <w:tcPr>
            <w:tcW w:w="5953" w:type="dxa"/>
            <w:shd w:val="clear" w:color="auto" w:fill="D9D9D9" w:themeFill="background1" w:themeFillShade="D9"/>
          </w:tcPr>
          <w:p w14:paraId="386AC32C"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Maximum socio-economic impact (closely related taxa)</w:t>
            </w:r>
          </w:p>
        </w:tc>
        <w:tc>
          <w:tcPr>
            <w:tcW w:w="1508" w:type="dxa"/>
          </w:tcPr>
          <w:p w14:paraId="72CE47EC"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MO</w:t>
            </w:r>
          </w:p>
        </w:tc>
      </w:tr>
      <w:tr w:rsidR="002D7080" w:rsidRPr="004D1E6F" w14:paraId="464E3BEA" w14:textId="77777777" w:rsidTr="002E2C37">
        <w:tc>
          <w:tcPr>
            <w:tcW w:w="1555" w:type="dxa"/>
            <w:shd w:val="clear" w:color="auto" w:fill="D9D9D9" w:themeFill="background1" w:themeFillShade="D9"/>
          </w:tcPr>
          <w:p w14:paraId="0EAF8B02"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CON5</w:t>
            </w:r>
          </w:p>
        </w:tc>
        <w:tc>
          <w:tcPr>
            <w:tcW w:w="5953" w:type="dxa"/>
            <w:shd w:val="clear" w:color="auto" w:fill="D9D9D9" w:themeFill="background1" w:themeFillShade="D9"/>
          </w:tcPr>
          <w:p w14:paraId="7F747D1A" w14:textId="77777777" w:rsidR="002D7080" w:rsidRPr="00E8264E" w:rsidRDefault="002D7080" w:rsidP="002E2C37">
            <w:pPr>
              <w:jc w:val="both"/>
              <w:rPr>
                <w:rFonts w:ascii="Times New Roman" w:eastAsia="Times New Roman" w:hAnsi="Times New Roman" w:cs="Times New Roman"/>
                <w:bCs/>
                <w:sz w:val="20"/>
                <w:szCs w:val="20"/>
                <w:lang w:eastAsia="en-ZA"/>
              </w:rPr>
            </w:pPr>
            <w:r w:rsidRPr="00E8264E">
              <w:rPr>
                <w:rFonts w:ascii="Times New Roman" w:eastAsia="Times New Roman" w:hAnsi="Times New Roman" w:cs="Times New Roman"/>
                <w:bCs/>
                <w:sz w:val="20"/>
                <w:szCs w:val="20"/>
                <w:lang w:eastAsia="en-ZA"/>
              </w:rPr>
              <w:t>Potential impact based on traits, experiments, or models</w:t>
            </w:r>
          </w:p>
        </w:tc>
        <w:tc>
          <w:tcPr>
            <w:tcW w:w="1508" w:type="dxa"/>
          </w:tcPr>
          <w:p w14:paraId="32F0432F" w14:textId="77777777" w:rsidR="002D7080" w:rsidRPr="001740C1" w:rsidRDefault="002D7080" w:rsidP="002E2C37">
            <w:pPr>
              <w:jc w:val="both"/>
              <w:rPr>
                <w:rFonts w:ascii="Times New Roman" w:eastAsia="Times New Roman" w:hAnsi="Times New Roman" w:cs="Times New Roman"/>
                <w:bCs/>
                <w:sz w:val="20"/>
                <w:szCs w:val="20"/>
                <w:lang w:eastAsia="en-ZA"/>
              </w:rPr>
            </w:pPr>
            <w:r w:rsidRPr="001740C1">
              <w:rPr>
                <w:rFonts w:ascii="Times New Roman" w:eastAsia="Times New Roman" w:hAnsi="Times New Roman" w:cs="Times New Roman"/>
                <w:bCs/>
                <w:sz w:val="20"/>
                <w:szCs w:val="20"/>
                <w:lang w:eastAsia="en-ZA"/>
              </w:rPr>
              <w:t>MR</w:t>
            </w:r>
          </w:p>
        </w:tc>
      </w:tr>
    </w:tbl>
    <w:p w14:paraId="425D51AE"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1113599B"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Risk = Medium</w:t>
      </w:r>
    </w:p>
    <w:p w14:paraId="2E61372C"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W w:w="7700" w:type="dxa"/>
        <w:tblInd w:w="55" w:type="dxa"/>
        <w:tblCellMar>
          <w:left w:w="70" w:type="dxa"/>
          <w:right w:w="70" w:type="dxa"/>
        </w:tblCellMar>
        <w:tblLook w:val="04A0" w:firstRow="1" w:lastRow="0" w:firstColumn="1" w:lastColumn="0" w:noHBand="0" w:noVBand="1"/>
      </w:tblPr>
      <w:tblGrid>
        <w:gridCol w:w="440"/>
        <w:gridCol w:w="2060"/>
        <w:gridCol w:w="1004"/>
        <w:gridCol w:w="953"/>
        <w:gridCol w:w="1223"/>
        <w:gridCol w:w="953"/>
        <w:gridCol w:w="1067"/>
      </w:tblGrid>
      <w:tr w:rsidR="002D7080" w:rsidRPr="004D1E6F" w14:paraId="31D84D9A" w14:textId="77777777" w:rsidTr="002E2C37">
        <w:trPr>
          <w:trHeight w:val="312"/>
        </w:trPr>
        <w:tc>
          <w:tcPr>
            <w:tcW w:w="440" w:type="dxa"/>
            <w:vMerge w:val="restart"/>
            <w:tcBorders>
              <w:top w:val="nil"/>
              <w:left w:val="nil"/>
              <w:bottom w:val="single" w:sz="4" w:space="0" w:color="000000"/>
              <w:right w:val="nil"/>
            </w:tcBorders>
            <w:shd w:val="clear" w:color="000000" w:fill="F2F2F2"/>
            <w:noWrap/>
            <w:vAlign w:val="bottom"/>
            <w:hideMark/>
          </w:tcPr>
          <w:p w14:paraId="628E5EBC"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 </w:t>
            </w:r>
          </w:p>
        </w:tc>
        <w:tc>
          <w:tcPr>
            <w:tcW w:w="2060" w:type="dxa"/>
            <w:vMerge w:val="restart"/>
            <w:tcBorders>
              <w:top w:val="nil"/>
              <w:left w:val="nil"/>
              <w:bottom w:val="single" w:sz="4" w:space="0" w:color="000000"/>
              <w:right w:val="single" w:sz="4" w:space="0" w:color="auto"/>
            </w:tcBorders>
            <w:shd w:val="clear" w:color="000000" w:fill="F2F2F2"/>
            <w:noWrap/>
            <w:vAlign w:val="bottom"/>
            <w:hideMark/>
          </w:tcPr>
          <w:p w14:paraId="0AD544A4"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 </w:t>
            </w:r>
          </w:p>
        </w:tc>
        <w:tc>
          <w:tcPr>
            <w:tcW w:w="5200" w:type="dxa"/>
            <w:gridSpan w:val="5"/>
            <w:tcBorders>
              <w:top w:val="nil"/>
              <w:left w:val="nil"/>
              <w:bottom w:val="single" w:sz="4" w:space="0" w:color="auto"/>
              <w:right w:val="nil"/>
            </w:tcBorders>
            <w:shd w:val="clear" w:color="auto" w:fill="D9D9D9" w:themeFill="background1" w:themeFillShade="D9"/>
            <w:noWrap/>
            <w:vAlign w:val="bottom"/>
            <w:hideMark/>
          </w:tcPr>
          <w:p w14:paraId="32B70219"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Consequences</w:t>
            </w:r>
          </w:p>
        </w:tc>
      </w:tr>
      <w:tr w:rsidR="002D7080" w:rsidRPr="004D1E6F" w14:paraId="619CB917" w14:textId="77777777" w:rsidTr="002E2C37">
        <w:trPr>
          <w:trHeight w:val="312"/>
        </w:trPr>
        <w:tc>
          <w:tcPr>
            <w:tcW w:w="440" w:type="dxa"/>
            <w:vMerge/>
            <w:tcBorders>
              <w:top w:val="nil"/>
              <w:left w:val="nil"/>
              <w:bottom w:val="single" w:sz="4" w:space="0" w:color="000000"/>
              <w:right w:val="nil"/>
            </w:tcBorders>
            <w:vAlign w:val="center"/>
            <w:hideMark/>
          </w:tcPr>
          <w:p w14:paraId="5225E296"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vMerge/>
            <w:tcBorders>
              <w:top w:val="nil"/>
              <w:left w:val="nil"/>
              <w:bottom w:val="single" w:sz="4" w:space="0" w:color="auto"/>
              <w:right w:val="single" w:sz="4" w:space="0" w:color="auto"/>
            </w:tcBorders>
            <w:vAlign w:val="center"/>
            <w:hideMark/>
          </w:tcPr>
          <w:p w14:paraId="127285F0"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100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4E88FBD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MC</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78313A2B"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MN</w:t>
            </w:r>
          </w:p>
        </w:tc>
        <w:tc>
          <w:tcPr>
            <w:tcW w:w="1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3917B22"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MO</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4F2D9666"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MR</w:t>
            </w:r>
          </w:p>
        </w:tc>
        <w:tc>
          <w:tcPr>
            <w:tcW w:w="1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2EFB919"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MV</w:t>
            </w:r>
          </w:p>
        </w:tc>
      </w:tr>
      <w:tr w:rsidR="002D7080" w:rsidRPr="004D1E6F" w14:paraId="58DE2A54" w14:textId="77777777" w:rsidTr="002E2C37">
        <w:trPr>
          <w:trHeight w:val="348"/>
        </w:trPr>
        <w:tc>
          <w:tcPr>
            <w:tcW w:w="440" w:type="dxa"/>
            <w:vMerge w:val="restart"/>
            <w:tcBorders>
              <w:top w:val="nil"/>
              <w:left w:val="nil"/>
              <w:bottom w:val="nil"/>
              <w:right w:val="single" w:sz="4" w:space="0" w:color="auto"/>
            </w:tcBorders>
            <w:shd w:val="clear" w:color="auto" w:fill="D9D9D9" w:themeFill="background1" w:themeFillShade="D9"/>
            <w:noWrap/>
            <w:textDirection w:val="btLr"/>
            <w:vAlign w:val="center"/>
            <w:hideMark/>
          </w:tcPr>
          <w:p w14:paraId="54758C5C"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Likelihood</w:t>
            </w: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C967991"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Extremely unlikely</w:t>
            </w:r>
          </w:p>
        </w:tc>
        <w:tc>
          <w:tcPr>
            <w:tcW w:w="1004" w:type="dxa"/>
            <w:tcBorders>
              <w:top w:val="single" w:sz="4" w:space="0" w:color="auto"/>
              <w:left w:val="nil"/>
              <w:bottom w:val="single" w:sz="4" w:space="0" w:color="auto"/>
              <w:right w:val="single" w:sz="4" w:space="0" w:color="auto"/>
            </w:tcBorders>
            <w:noWrap/>
            <w:vAlign w:val="center"/>
            <w:hideMark/>
          </w:tcPr>
          <w:p w14:paraId="73C288D6"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09087FCB"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261B4093"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E891938"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C998708"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r>
      <w:tr w:rsidR="002D7080" w:rsidRPr="004D1E6F" w14:paraId="7D362654"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5E0AAC0F"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FFFF00"/>
            <w:noWrap/>
            <w:vAlign w:val="center"/>
            <w:hideMark/>
          </w:tcPr>
          <w:p w14:paraId="5A77A998"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Very unlikely</w:t>
            </w:r>
          </w:p>
        </w:tc>
        <w:tc>
          <w:tcPr>
            <w:tcW w:w="1004" w:type="dxa"/>
            <w:tcBorders>
              <w:top w:val="single" w:sz="4" w:space="0" w:color="auto"/>
              <w:left w:val="nil"/>
              <w:bottom w:val="single" w:sz="4" w:space="0" w:color="auto"/>
              <w:right w:val="single" w:sz="4" w:space="0" w:color="auto"/>
            </w:tcBorders>
            <w:noWrap/>
            <w:vAlign w:val="center"/>
            <w:hideMark/>
          </w:tcPr>
          <w:p w14:paraId="3BB20682"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7B07E59"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08EBDD0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B89F31C"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6405628"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5855F143"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216950A4"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0475B4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Unlikely</w:t>
            </w:r>
          </w:p>
        </w:tc>
        <w:tc>
          <w:tcPr>
            <w:tcW w:w="1004" w:type="dxa"/>
            <w:tcBorders>
              <w:top w:val="single" w:sz="4" w:space="0" w:color="auto"/>
              <w:left w:val="nil"/>
              <w:bottom w:val="single" w:sz="4" w:space="0" w:color="auto"/>
              <w:right w:val="single" w:sz="4" w:space="0" w:color="auto"/>
            </w:tcBorders>
            <w:noWrap/>
            <w:vAlign w:val="center"/>
            <w:hideMark/>
          </w:tcPr>
          <w:p w14:paraId="2C847E84"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71F666BE"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14D06A3B"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1A881FCB"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33877B9"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07923373"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74157752"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68F78C6"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Fairly probable</w:t>
            </w:r>
          </w:p>
        </w:tc>
        <w:tc>
          <w:tcPr>
            <w:tcW w:w="1004" w:type="dxa"/>
            <w:tcBorders>
              <w:top w:val="single" w:sz="4" w:space="0" w:color="auto"/>
              <w:left w:val="nil"/>
              <w:bottom w:val="single" w:sz="4" w:space="0" w:color="auto"/>
              <w:right w:val="single" w:sz="4" w:space="0" w:color="auto"/>
            </w:tcBorders>
            <w:noWrap/>
            <w:vAlign w:val="center"/>
            <w:hideMark/>
          </w:tcPr>
          <w:p w14:paraId="79194B06"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A601233"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32A71375"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EA23CAE"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40FEBC7F"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3C2C25E5"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0ECC780E"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5266A2E"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Probable</w:t>
            </w:r>
          </w:p>
        </w:tc>
        <w:tc>
          <w:tcPr>
            <w:tcW w:w="1004" w:type="dxa"/>
            <w:tcBorders>
              <w:top w:val="single" w:sz="4" w:space="0" w:color="auto"/>
              <w:left w:val="nil"/>
              <w:bottom w:val="single" w:sz="4" w:space="0" w:color="auto"/>
              <w:right w:val="single" w:sz="4" w:space="0" w:color="auto"/>
            </w:tcBorders>
            <w:noWrap/>
            <w:vAlign w:val="center"/>
            <w:hideMark/>
          </w:tcPr>
          <w:p w14:paraId="3DC45049"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F48D7BD"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1889319F"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24170EF"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396684E"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bl>
    <w:p w14:paraId="04B68674"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6950D5D2"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Pr>
          <w:rFonts w:ascii="Times New Roman" w:eastAsia="Times New Roman" w:hAnsi="Times New Roman" w:cs="Times New Roman"/>
          <w:b/>
          <w:sz w:val="20"/>
          <w:szCs w:val="20"/>
          <w:lang w:eastAsia="en-ZA"/>
        </w:rPr>
        <w:t>Easy of management</w:t>
      </w:r>
      <w:r w:rsidRPr="004D1E6F">
        <w:rPr>
          <w:rFonts w:ascii="Times New Roman" w:eastAsia="Times New Roman" w:hAnsi="Times New Roman" w:cs="Times New Roman"/>
          <w:b/>
          <w:sz w:val="20"/>
          <w:szCs w:val="20"/>
          <w:lang w:eastAsia="en-ZA"/>
        </w:rPr>
        <w:t xml:space="preserve">: </w:t>
      </w:r>
      <w:r>
        <w:rPr>
          <w:rFonts w:ascii="Times New Roman" w:eastAsia="Times New Roman" w:hAnsi="Times New Roman" w:cs="Times New Roman"/>
          <w:b/>
          <w:sz w:val="20"/>
          <w:szCs w:val="20"/>
          <w:lang w:eastAsia="en-ZA"/>
        </w:rPr>
        <w:t xml:space="preserve">Medium </w:t>
      </w:r>
    </w:p>
    <w:p w14:paraId="5D27D6A5"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pPr w:leftFromText="180" w:rightFromText="180" w:vertAnchor="text" w:tblpY="1"/>
        <w:tblOverlap w:val="never"/>
        <w:tblW w:w="8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4667"/>
        <w:gridCol w:w="2013"/>
      </w:tblGrid>
      <w:tr w:rsidR="002D7080" w:rsidRPr="004D1E6F" w14:paraId="793E988A" w14:textId="77777777" w:rsidTr="002E2C37">
        <w:trPr>
          <w:trHeight w:val="272"/>
        </w:trPr>
        <w:tc>
          <w:tcPr>
            <w:tcW w:w="1678" w:type="dxa"/>
            <w:shd w:val="clear" w:color="auto" w:fill="D9D9D9" w:themeFill="background1" w:themeFillShade="D9"/>
            <w:vAlign w:val="center"/>
          </w:tcPr>
          <w:p w14:paraId="5C624D5C"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Parameter</w:t>
            </w:r>
          </w:p>
        </w:tc>
        <w:tc>
          <w:tcPr>
            <w:tcW w:w="4667" w:type="dxa"/>
            <w:shd w:val="clear" w:color="auto" w:fill="D9D9D9" w:themeFill="background1" w:themeFillShade="D9"/>
            <w:vAlign w:val="center"/>
          </w:tcPr>
          <w:p w14:paraId="423E9EF5"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Question</w:t>
            </w:r>
          </w:p>
        </w:tc>
        <w:tc>
          <w:tcPr>
            <w:tcW w:w="2013" w:type="dxa"/>
            <w:shd w:val="clear" w:color="auto" w:fill="D9D9D9" w:themeFill="background1" w:themeFillShade="D9"/>
            <w:vAlign w:val="center"/>
          </w:tcPr>
          <w:p w14:paraId="7765035A"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Response</w:t>
            </w:r>
          </w:p>
        </w:tc>
      </w:tr>
      <w:tr w:rsidR="002D7080" w:rsidRPr="004D1E6F" w14:paraId="56365A50" w14:textId="77777777" w:rsidTr="002E2C37">
        <w:trPr>
          <w:trHeight w:val="305"/>
        </w:trPr>
        <w:tc>
          <w:tcPr>
            <w:tcW w:w="1678" w:type="dxa"/>
            <w:shd w:val="clear" w:color="auto" w:fill="D9D9D9" w:themeFill="background1" w:themeFillShade="D9"/>
            <w:vAlign w:val="center"/>
          </w:tcPr>
          <w:p w14:paraId="716EE848"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MAN3a</w:t>
            </w:r>
          </w:p>
        </w:tc>
        <w:tc>
          <w:tcPr>
            <w:tcW w:w="4667" w:type="dxa"/>
            <w:shd w:val="clear" w:color="auto" w:fill="D9D9D9" w:themeFill="background1" w:themeFillShade="D9"/>
            <w:vAlign w:val="center"/>
          </w:tcPr>
          <w:p w14:paraId="46D1FFA0" w14:textId="77777777" w:rsidR="002D7080" w:rsidRPr="004D1E6F" w:rsidRDefault="002D7080" w:rsidP="002E2C37">
            <w:pPr>
              <w:tabs>
                <w:tab w:val="left" w:pos="1223"/>
              </w:tabs>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How accessible are populations? </w:t>
            </w:r>
          </w:p>
        </w:tc>
        <w:tc>
          <w:tcPr>
            <w:tcW w:w="2013" w:type="dxa"/>
            <w:vAlign w:val="center"/>
          </w:tcPr>
          <w:p w14:paraId="01488581" w14:textId="77777777" w:rsidR="002D7080" w:rsidRPr="004D1E6F" w:rsidRDefault="002D7080" w:rsidP="002E2C37">
            <w:pPr>
              <w:tabs>
                <w:tab w:val="left" w:pos="1250"/>
              </w:tab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2</w:t>
            </w:r>
          </w:p>
        </w:tc>
      </w:tr>
      <w:tr w:rsidR="002D7080" w:rsidRPr="004D1E6F" w14:paraId="1D4858AB" w14:textId="77777777" w:rsidTr="002E2C37">
        <w:trPr>
          <w:trHeight w:val="274"/>
        </w:trPr>
        <w:tc>
          <w:tcPr>
            <w:tcW w:w="1678" w:type="dxa"/>
            <w:shd w:val="clear" w:color="auto" w:fill="D9D9D9" w:themeFill="background1" w:themeFillShade="D9"/>
            <w:vAlign w:val="center"/>
          </w:tcPr>
          <w:p w14:paraId="7E338E98"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MAN3b</w:t>
            </w:r>
          </w:p>
        </w:tc>
        <w:tc>
          <w:tcPr>
            <w:tcW w:w="4667" w:type="dxa"/>
            <w:shd w:val="clear" w:color="auto" w:fill="D9D9D9" w:themeFill="background1" w:themeFillShade="D9"/>
            <w:vAlign w:val="center"/>
          </w:tcPr>
          <w:p w14:paraId="1AF2593A"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Is detectability critically time-dependent?</w:t>
            </w:r>
          </w:p>
        </w:tc>
        <w:tc>
          <w:tcPr>
            <w:tcW w:w="2013" w:type="dxa"/>
            <w:vAlign w:val="center"/>
          </w:tcPr>
          <w:p w14:paraId="5E55D139"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2</w:t>
            </w:r>
          </w:p>
        </w:tc>
      </w:tr>
      <w:tr w:rsidR="002D7080" w:rsidRPr="004D1E6F" w14:paraId="2E5E220D" w14:textId="77777777" w:rsidTr="002E2C37">
        <w:trPr>
          <w:trHeight w:val="274"/>
        </w:trPr>
        <w:tc>
          <w:tcPr>
            <w:tcW w:w="1678" w:type="dxa"/>
            <w:shd w:val="clear" w:color="auto" w:fill="D9D9D9" w:themeFill="background1" w:themeFillShade="D9"/>
            <w:vAlign w:val="center"/>
          </w:tcPr>
          <w:p w14:paraId="7B7E4D3E"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MAN3c</w:t>
            </w:r>
          </w:p>
        </w:tc>
        <w:tc>
          <w:tcPr>
            <w:tcW w:w="4667" w:type="dxa"/>
            <w:shd w:val="clear" w:color="auto" w:fill="D9D9D9" w:themeFill="background1" w:themeFillShade="D9"/>
            <w:vAlign w:val="center"/>
          </w:tcPr>
          <w:p w14:paraId="37663B69"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Time to reproduction</w:t>
            </w:r>
          </w:p>
        </w:tc>
        <w:tc>
          <w:tcPr>
            <w:tcW w:w="2013" w:type="dxa"/>
            <w:vAlign w:val="center"/>
          </w:tcPr>
          <w:p w14:paraId="6801F698"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1</w:t>
            </w:r>
          </w:p>
        </w:tc>
      </w:tr>
      <w:tr w:rsidR="002D7080" w:rsidRPr="004D1E6F" w14:paraId="35797444" w14:textId="77777777" w:rsidTr="002E2C37">
        <w:trPr>
          <w:trHeight w:val="280"/>
        </w:trPr>
        <w:tc>
          <w:tcPr>
            <w:tcW w:w="1678" w:type="dxa"/>
            <w:shd w:val="clear" w:color="auto" w:fill="D9D9D9" w:themeFill="background1" w:themeFillShade="D9"/>
            <w:vAlign w:val="center"/>
          </w:tcPr>
          <w:p w14:paraId="6C4D17B9"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MAN3d</w:t>
            </w:r>
          </w:p>
        </w:tc>
        <w:tc>
          <w:tcPr>
            <w:tcW w:w="4667" w:type="dxa"/>
            <w:shd w:val="clear" w:color="auto" w:fill="D9D9D9" w:themeFill="background1" w:themeFillShade="D9"/>
            <w:vAlign w:val="center"/>
          </w:tcPr>
          <w:p w14:paraId="64940D97"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Propagule persistence</w:t>
            </w:r>
          </w:p>
        </w:tc>
        <w:tc>
          <w:tcPr>
            <w:tcW w:w="2013" w:type="dxa"/>
            <w:vAlign w:val="center"/>
          </w:tcPr>
          <w:p w14:paraId="1EDA3D96"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0</w:t>
            </w:r>
          </w:p>
        </w:tc>
      </w:tr>
      <w:tr w:rsidR="002D7080" w:rsidRPr="004D1E6F" w14:paraId="550B0871" w14:textId="77777777" w:rsidTr="002E2C37">
        <w:trPr>
          <w:trHeight w:val="248"/>
        </w:trPr>
        <w:tc>
          <w:tcPr>
            <w:tcW w:w="1678" w:type="dxa"/>
            <w:tcBorders>
              <w:top w:val="double" w:sz="4" w:space="0" w:color="auto"/>
            </w:tcBorders>
            <w:shd w:val="clear" w:color="auto" w:fill="D9D9D9" w:themeFill="background1" w:themeFillShade="D9"/>
            <w:vAlign w:val="center"/>
          </w:tcPr>
          <w:p w14:paraId="0F6E2734"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MAN3</w:t>
            </w:r>
          </w:p>
        </w:tc>
        <w:tc>
          <w:tcPr>
            <w:tcW w:w="4667" w:type="dxa"/>
            <w:tcBorders>
              <w:top w:val="double" w:sz="4" w:space="0" w:color="auto"/>
            </w:tcBorders>
            <w:shd w:val="clear" w:color="auto" w:fill="D9D9D9" w:themeFill="background1" w:themeFillShade="D9"/>
            <w:vAlign w:val="center"/>
          </w:tcPr>
          <w:p w14:paraId="0FE2A8D8" w14:textId="77777777" w:rsidR="002D7080" w:rsidRPr="004D1E6F" w:rsidRDefault="002D7080" w:rsidP="002E2C37">
            <w:pPr>
              <w:spacing w:after="0" w:line="240" w:lineRule="auto"/>
              <w:rPr>
                <w:rFonts w:ascii="Times New Roman" w:eastAsia="Calibri" w:hAnsi="Times New Roman" w:cs="Times New Roman"/>
                <w:b/>
                <w:sz w:val="20"/>
                <w:szCs w:val="20"/>
              </w:rPr>
            </w:pPr>
            <w:r w:rsidRPr="004D1E6F">
              <w:rPr>
                <w:rFonts w:ascii="Times New Roman" w:eastAsia="Calibri" w:hAnsi="Times New Roman" w:cs="Times New Roman"/>
                <w:b/>
                <w:sz w:val="20"/>
                <w:szCs w:val="20"/>
              </w:rPr>
              <w:t>SUM</w:t>
            </w:r>
          </w:p>
        </w:tc>
        <w:tc>
          <w:tcPr>
            <w:tcW w:w="2013" w:type="dxa"/>
            <w:tcBorders>
              <w:top w:val="double" w:sz="4" w:space="0" w:color="auto"/>
            </w:tcBorders>
            <w:vAlign w:val="center"/>
          </w:tcPr>
          <w:p w14:paraId="05742DBB"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5</w:t>
            </w:r>
          </w:p>
        </w:tc>
      </w:tr>
    </w:tbl>
    <w:p w14:paraId="234FC905" w14:textId="77777777" w:rsidR="002D7080" w:rsidRPr="004D1E6F" w:rsidRDefault="002D7080" w:rsidP="002D7080">
      <w:pPr>
        <w:spacing w:after="0" w:line="240" w:lineRule="auto"/>
        <w:rPr>
          <w:rFonts w:ascii="Times New Roman" w:eastAsia="Calibri" w:hAnsi="Times New Roman" w:cs="Times New Roman"/>
          <w:sz w:val="20"/>
          <w:szCs w:val="20"/>
        </w:rPr>
      </w:pPr>
    </w:p>
    <w:p w14:paraId="46DF82DB" w14:textId="77777777" w:rsidR="002D7080" w:rsidRPr="004D1E6F" w:rsidRDefault="002D7080" w:rsidP="002D7080">
      <w:pPr>
        <w:spacing w:after="0" w:line="240" w:lineRule="auto"/>
        <w:rPr>
          <w:rFonts w:ascii="Times New Roman" w:eastAsia="Calibri" w:hAnsi="Times New Roman" w:cs="Times New Roman"/>
          <w:sz w:val="20"/>
          <w:szCs w:val="20"/>
        </w:rPr>
      </w:pPr>
    </w:p>
    <w:p w14:paraId="07ABF4B0" w14:textId="77777777" w:rsidR="002D7080" w:rsidRPr="004D1E6F" w:rsidRDefault="002D7080" w:rsidP="002D7080">
      <w:pPr>
        <w:spacing w:after="0" w:line="240" w:lineRule="auto"/>
        <w:rPr>
          <w:rFonts w:ascii="Times New Roman" w:eastAsia="Calibri" w:hAnsi="Times New Roman" w:cs="Times New Roman"/>
          <w:b/>
          <w:sz w:val="20"/>
          <w:szCs w:val="20"/>
        </w:rPr>
      </w:pPr>
    </w:p>
    <w:p w14:paraId="6AD6B157" w14:textId="77777777" w:rsidR="002D7080" w:rsidRPr="004D1E6F" w:rsidRDefault="002D7080" w:rsidP="002D7080">
      <w:pPr>
        <w:spacing w:after="0" w:line="240" w:lineRule="auto"/>
        <w:rPr>
          <w:rFonts w:ascii="Times New Roman" w:eastAsia="Calibri" w:hAnsi="Times New Roman" w:cs="Times New Roman"/>
          <w:b/>
          <w:sz w:val="20"/>
          <w:szCs w:val="20"/>
        </w:rPr>
      </w:pPr>
    </w:p>
    <w:p w14:paraId="495E59A8" w14:textId="77777777" w:rsidR="002D7080" w:rsidRPr="004D1E6F" w:rsidRDefault="002D7080" w:rsidP="002D7080">
      <w:pPr>
        <w:spacing w:after="0" w:line="240" w:lineRule="auto"/>
        <w:rPr>
          <w:rFonts w:ascii="Times New Roman" w:eastAsia="Calibri" w:hAnsi="Times New Roman" w:cs="Times New Roman"/>
          <w:b/>
          <w:sz w:val="20"/>
          <w:szCs w:val="20"/>
        </w:rPr>
      </w:pPr>
    </w:p>
    <w:p w14:paraId="43A25008" w14:textId="77777777" w:rsidR="002D7080" w:rsidRPr="004D1E6F" w:rsidRDefault="002D7080" w:rsidP="002D7080">
      <w:pPr>
        <w:spacing w:after="0" w:line="240" w:lineRule="auto"/>
        <w:rPr>
          <w:rFonts w:ascii="Times New Roman" w:eastAsia="Calibri" w:hAnsi="Times New Roman" w:cs="Times New Roman"/>
          <w:b/>
          <w:sz w:val="20"/>
          <w:szCs w:val="20"/>
        </w:rPr>
      </w:pPr>
    </w:p>
    <w:p w14:paraId="44E5201E"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250DF73E" w14:textId="77777777" w:rsidR="002D7080" w:rsidRDefault="002D7080" w:rsidP="002D7080">
      <w:pPr>
        <w:spacing w:after="0" w:line="240" w:lineRule="auto"/>
        <w:rPr>
          <w:rFonts w:ascii="Times New Roman" w:eastAsia="Times New Roman" w:hAnsi="Times New Roman" w:cs="Times New Roman"/>
          <w:b/>
          <w:color w:val="000000"/>
          <w:sz w:val="20"/>
          <w:szCs w:val="20"/>
          <w:lang w:eastAsia="en-ZA"/>
        </w:rPr>
      </w:pPr>
    </w:p>
    <w:p w14:paraId="23D2BEEC" w14:textId="77777777" w:rsidR="002D7080" w:rsidRDefault="002D7080" w:rsidP="002D7080">
      <w:pPr>
        <w:rPr>
          <w:rFonts w:ascii="Times New Roman" w:eastAsia="Times New Roman" w:hAnsi="Times New Roman" w:cs="Times New Roman"/>
          <w:b/>
          <w:color w:val="000000"/>
          <w:sz w:val="20"/>
          <w:szCs w:val="20"/>
          <w:lang w:eastAsia="en-ZA"/>
        </w:rPr>
      </w:pPr>
      <w:r>
        <w:rPr>
          <w:rFonts w:ascii="Times New Roman" w:eastAsia="Times New Roman" w:hAnsi="Times New Roman" w:cs="Times New Roman"/>
          <w:b/>
          <w:color w:val="000000"/>
          <w:sz w:val="20"/>
          <w:szCs w:val="20"/>
          <w:lang w:eastAsia="en-ZA"/>
        </w:rPr>
        <w:br w:type="page"/>
      </w:r>
    </w:p>
    <w:p w14:paraId="66F31C74"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lastRenderedPageBreak/>
        <w:t xml:space="preserve">Appendix </w:t>
      </w:r>
    </w:p>
    <w:p w14:paraId="17977B3D"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295F989F"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BAC7</w:t>
      </w:r>
      <w:r w:rsidRPr="004D1E6F">
        <w:rPr>
          <w:rFonts w:ascii="Times New Roman" w:eastAsia="Times New Roman" w:hAnsi="Times New Roman" w:cs="Times New Roman"/>
          <w:color w:val="000000"/>
          <w:sz w:val="20"/>
          <w:szCs w:val="20"/>
          <w:lang w:eastAsia="en-ZA"/>
        </w:rPr>
        <w:t xml:space="preserve">: Global alien range of </w:t>
      </w:r>
      <w:r w:rsidRPr="004D1E6F">
        <w:rPr>
          <w:rFonts w:ascii="Times New Roman" w:eastAsia="Times New Roman" w:hAnsi="Times New Roman" w:cs="Times New Roman"/>
          <w:i/>
          <w:color w:val="000000"/>
          <w:sz w:val="20"/>
          <w:szCs w:val="20"/>
          <w:lang w:eastAsia="en-ZA"/>
        </w:rPr>
        <w:t xml:space="preserve">Procambarus acutus acutus. </w:t>
      </w:r>
      <w:r w:rsidRPr="004D1E6F">
        <w:rPr>
          <w:rFonts w:ascii="Times New Roman" w:eastAsia="Times New Roman" w:hAnsi="Times New Roman" w:cs="Times New Roman"/>
          <w:color w:val="000000"/>
          <w:sz w:val="20"/>
          <w:szCs w:val="20"/>
          <w:lang w:eastAsia="en-ZA"/>
        </w:rPr>
        <w:t xml:space="preserve">Map from CABI: </w:t>
      </w:r>
      <w:hyperlink w:history="1">
        <w:r w:rsidRPr="004D1E6F">
          <w:rPr>
            <w:rFonts w:ascii="Times New Roman" w:eastAsia="Times New Roman" w:hAnsi="Times New Roman" w:cs="Times New Roman"/>
            <w:color w:val="0563C1"/>
            <w:sz w:val="20"/>
            <w:szCs w:val="20"/>
            <w:u w:val="single"/>
            <w:lang w:eastAsia="en-ZA"/>
          </w:rPr>
          <w:t>https://www.cabi.org/isc/datasheet/67841</w:t>
        </w:r>
      </w:hyperlink>
      <w:r w:rsidRPr="004D1E6F">
        <w:rPr>
          <w:rFonts w:ascii="Times New Roman" w:eastAsia="Times New Roman" w:hAnsi="Times New Roman" w:cs="Times New Roman"/>
          <w:color w:val="000000"/>
          <w:sz w:val="20"/>
          <w:szCs w:val="20"/>
          <w:lang w:eastAsia="en-ZA"/>
        </w:rPr>
        <w:t xml:space="preserve"> </w:t>
      </w:r>
    </w:p>
    <w:p w14:paraId="536ECDD9" w14:textId="77777777" w:rsidR="002D7080" w:rsidRPr="004D1E6F" w:rsidRDefault="002D7080" w:rsidP="002D7080">
      <w:pPr>
        <w:spacing w:after="0" w:line="240" w:lineRule="auto"/>
        <w:rPr>
          <w:rFonts w:ascii="Times New Roman" w:eastAsia="Calibri" w:hAnsi="Times New Roman" w:cs="Times New Roman"/>
          <w:sz w:val="20"/>
          <w:szCs w:val="20"/>
        </w:rPr>
      </w:pPr>
    </w:p>
    <w:p w14:paraId="5CDBDF9D" w14:textId="77777777" w:rsidR="002D7080" w:rsidRPr="004D1E6F" w:rsidRDefault="002D7080" w:rsidP="002D7080">
      <w:pPr>
        <w:spacing w:after="0" w:line="240" w:lineRule="auto"/>
        <w:rPr>
          <w:rFonts w:ascii="Times New Roman" w:eastAsia="Calibri" w:hAnsi="Times New Roman" w:cs="Times New Roman"/>
          <w:sz w:val="20"/>
          <w:szCs w:val="20"/>
        </w:rPr>
      </w:pPr>
    </w:p>
    <w:p w14:paraId="7A1E6572" w14:textId="77777777" w:rsidR="002D7080" w:rsidRPr="004D1E6F" w:rsidRDefault="002D7080" w:rsidP="002D7080">
      <w:pPr>
        <w:spacing w:after="0" w:line="240" w:lineRule="auto"/>
        <w:rPr>
          <w:rFonts w:ascii="Times New Roman" w:eastAsia="Calibri" w:hAnsi="Times New Roman" w:cs="Times New Roman"/>
          <w:sz w:val="20"/>
          <w:szCs w:val="20"/>
        </w:rPr>
      </w:pPr>
      <w:r w:rsidRPr="003D3ECB">
        <w:rPr>
          <w:rFonts w:ascii="Times New Roman" w:eastAsia="Calibri" w:hAnsi="Times New Roman" w:cs="Times New Roman"/>
          <w:noProof/>
          <w:sz w:val="20"/>
          <w:szCs w:val="20"/>
          <w:lang w:eastAsia="en-ZA"/>
        </w:rPr>
        <w:drawing>
          <wp:inline distT="0" distB="0" distL="0" distR="0" wp14:anchorId="5FEDA39C" wp14:editId="3AAA71BD">
            <wp:extent cx="4914900" cy="2569573"/>
            <wp:effectExtent l="0" t="0" r="0" b="254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utus.png"/>
                    <pic:cNvPicPr/>
                  </pic:nvPicPr>
                  <pic:blipFill>
                    <a:blip r:embed="rId511" cstate="print">
                      <a:extLst>
                        <a:ext uri="{28A0092B-C50C-407E-A947-70E740481C1C}">
                          <a14:useLocalDpi xmlns:a14="http://schemas.microsoft.com/office/drawing/2010/main" val="0"/>
                        </a:ext>
                      </a:extLst>
                    </a:blip>
                    <a:stretch>
                      <a:fillRect/>
                    </a:stretch>
                  </pic:blipFill>
                  <pic:spPr>
                    <a:xfrm>
                      <a:off x="0" y="0"/>
                      <a:ext cx="4933322" cy="2579204"/>
                    </a:xfrm>
                    <a:prstGeom prst="rect">
                      <a:avLst/>
                    </a:prstGeom>
                  </pic:spPr>
                </pic:pic>
              </a:graphicData>
            </a:graphic>
          </wp:inline>
        </w:drawing>
      </w:r>
    </w:p>
    <w:p w14:paraId="7B26B754" w14:textId="77777777" w:rsidR="002D7080" w:rsidRPr="004D1E6F" w:rsidRDefault="002D7080" w:rsidP="002D7080">
      <w:pPr>
        <w:spacing w:after="0" w:line="240" w:lineRule="auto"/>
        <w:rPr>
          <w:rFonts w:ascii="Times New Roman" w:eastAsia="Calibri" w:hAnsi="Times New Roman" w:cs="Times New Roman"/>
          <w:b/>
        </w:rPr>
      </w:pPr>
    </w:p>
    <w:p w14:paraId="17540788" w14:textId="5BCC39B2" w:rsidR="002D7080" w:rsidRPr="005A2F10" w:rsidRDefault="002D7080" w:rsidP="002D7080">
      <w:pPr>
        <w:pStyle w:val="Heading2"/>
        <w:rPr>
          <w:rFonts w:ascii="Times New Roman" w:eastAsia="Calibri" w:hAnsi="Times New Roman" w:cs="Times New Roman"/>
          <w:color w:val="auto"/>
          <w:sz w:val="28"/>
          <w:szCs w:val="28"/>
        </w:rPr>
      </w:pPr>
      <w:r w:rsidRPr="004D1E6F">
        <w:rPr>
          <w:rFonts w:ascii="Times New Roman" w:eastAsia="Calibri" w:hAnsi="Times New Roman" w:cs="Times New Roman"/>
          <w:b/>
        </w:rPr>
        <w:br w:type="page"/>
      </w:r>
      <w:r w:rsidR="00FE6A94">
        <w:rPr>
          <w:rFonts w:ascii="Times New Roman" w:eastAsia="Calibri" w:hAnsi="Times New Roman" w:cs="Times New Roman"/>
          <w:color w:val="auto"/>
          <w:sz w:val="28"/>
          <w:szCs w:val="28"/>
        </w:rPr>
        <w:lastRenderedPageBreak/>
        <w:t>1</w:t>
      </w:r>
      <w:r w:rsidRPr="005A2F10">
        <w:rPr>
          <w:rFonts w:ascii="Times New Roman" w:eastAsia="Calibri" w:hAnsi="Times New Roman" w:cs="Times New Roman"/>
          <w:color w:val="auto"/>
          <w:sz w:val="28"/>
          <w:szCs w:val="28"/>
        </w:rPr>
        <w:t>.13 Risk analysis report for Red swamp crayfish (</w:t>
      </w:r>
      <w:r w:rsidRPr="005A2F10">
        <w:rPr>
          <w:rFonts w:ascii="Times New Roman" w:eastAsia="Calibri" w:hAnsi="Times New Roman" w:cs="Times New Roman"/>
          <w:i/>
          <w:iCs/>
          <w:color w:val="auto"/>
          <w:sz w:val="28"/>
          <w:szCs w:val="28"/>
        </w:rPr>
        <w:t>Procambarus clarkii</w:t>
      </w:r>
      <w:r w:rsidRPr="005A2F10">
        <w:rPr>
          <w:rFonts w:ascii="Times New Roman" w:eastAsia="Calibri" w:hAnsi="Times New Roman" w:cs="Times New Roman"/>
          <w:color w:val="auto"/>
          <w:sz w:val="28"/>
          <w:szCs w:val="28"/>
        </w:rPr>
        <w:t>)</w:t>
      </w:r>
    </w:p>
    <w:p w14:paraId="72CDED15" w14:textId="77777777" w:rsidR="002D7080" w:rsidRPr="004D1E6F" w:rsidRDefault="002D7080" w:rsidP="002D7080">
      <w:pPr>
        <w:spacing w:after="0" w:line="240" w:lineRule="auto"/>
        <w:rPr>
          <w:rFonts w:ascii="Times New Roman" w:hAnsi="Times New Roman" w:cs="Times New Roman"/>
          <w:b/>
          <w:i/>
          <w:sz w:val="24"/>
          <w:szCs w:val="24"/>
        </w:rPr>
      </w:pPr>
    </w:p>
    <w:tbl>
      <w:tblPr>
        <w:tblStyle w:val="TableGrid"/>
        <w:tblW w:w="9015" w:type="dxa"/>
        <w:tblLook w:val="04A0" w:firstRow="1" w:lastRow="0" w:firstColumn="1" w:lastColumn="0" w:noHBand="0" w:noVBand="1"/>
      </w:tblPr>
      <w:tblGrid>
        <w:gridCol w:w="4053"/>
        <w:gridCol w:w="3171"/>
        <w:gridCol w:w="1791"/>
      </w:tblGrid>
      <w:tr w:rsidR="002D7080" w:rsidRPr="004D1E6F" w14:paraId="0693A851" w14:textId="77777777" w:rsidTr="002E2C37">
        <w:trPr>
          <w:trHeight w:val="140"/>
        </w:trPr>
        <w:tc>
          <w:tcPr>
            <w:tcW w:w="4053" w:type="dxa"/>
          </w:tcPr>
          <w:p w14:paraId="610D2282" w14:textId="77777777" w:rsidR="002D7080" w:rsidRPr="004D1E6F" w:rsidRDefault="002D7080" w:rsidP="002E2C37">
            <w:pPr>
              <w:rPr>
                <w:rFonts w:ascii="Times New Roman" w:hAnsi="Times New Roman" w:cs="Times New Roman"/>
                <w:b/>
                <w:iCs/>
                <w:sz w:val="20"/>
                <w:szCs w:val="20"/>
              </w:rPr>
            </w:pPr>
            <w:r w:rsidRPr="004D1E6F">
              <w:rPr>
                <w:rFonts w:ascii="Times New Roman" w:hAnsi="Times New Roman" w:cs="Times New Roman"/>
                <w:b/>
                <w:i/>
                <w:sz w:val="20"/>
                <w:szCs w:val="20"/>
              </w:rPr>
              <w:t xml:space="preserve">Taxon: </w:t>
            </w:r>
            <w:r w:rsidRPr="004D1E6F">
              <w:rPr>
                <w:rFonts w:ascii="Times New Roman" w:hAnsi="Times New Roman" w:cs="Times New Roman"/>
                <w:i/>
                <w:sz w:val="20"/>
                <w:szCs w:val="20"/>
              </w:rPr>
              <w:t xml:space="preserve">Procambarus clarkii </w:t>
            </w:r>
            <w:r w:rsidRPr="004D1E6F">
              <w:rPr>
                <w:rFonts w:ascii="Times New Roman" w:hAnsi="Times New Roman" w:cs="Times New Roman"/>
                <w:iCs/>
                <w:sz w:val="20"/>
                <w:szCs w:val="20"/>
              </w:rPr>
              <w:t>(Girard, 1852)</w:t>
            </w:r>
          </w:p>
        </w:tc>
        <w:tc>
          <w:tcPr>
            <w:tcW w:w="4962" w:type="dxa"/>
            <w:gridSpan w:val="2"/>
          </w:tcPr>
          <w:p w14:paraId="4FF1B403" w14:textId="77777777" w:rsidR="002D7080" w:rsidRPr="004D1E6F" w:rsidRDefault="002D7080" w:rsidP="002E2C37">
            <w:pPr>
              <w:rPr>
                <w:rFonts w:ascii="Times New Roman" w:hAnsi="Times New Roman" w:cs="Times New Roman"/>
                <w:bCs/>
                <w:iCs/>
                <w:sz w:val="20"/>
                <w:szCs w:val="20"/>
              </w:rPr>
            </w:pPr>
            <w:r w:rsidRPr="004D1E6F">
              <w:rPr>
                <w:rFonts w:ascii="Times New Roman" w:hAnsi="Times New Roman" w:cs="Times New Roman"/>
                <w:b/>
                <w:i/>
                <w:sz w:val="20"/>
                <w:szCs w:val="20"/>
              </w:rPr>
              <w:t xml:space="preserve">Area: </w:t>
            </w:r>
            <w:r w:rsidRPr="004D1E6F">
              <w:rPr>
                <w:rFonts w:ascii="Times New Roman" w:hAnsi="Times New Roman" w:cs="Times New Roman"/>
                <w:sz w:val="20"/>
                <w:szCs w:val="20"/>
              </w:rPr>
              <w:t>South Africa</w:t>
            </w:r>
          </w:p>
        </w:tc>
      </w:tr>
      <w:tr w:rsidR="002D7080" w:rsidRPr="004D1E6F" w14:paraId="549C74C5" w14:textId="77777777" w:rsidTr="002E2C37">
        <w:trPr>
          <w:trHeight w:val="2217"/>
        </w:trPr>
        <w:tc>
          <w:tcPr>
            <w:tcW w:w="4053" w:type="dxa"/>
          </w:tcPr>
          <w:p w14:paraId="69ACDB01" w14:textId="77777777" w:rsidR="002D7080" w:rsidRPr="004D1E6F" w:rsidRDefault="002D7080" w:rsidP="002E2C37">
            <w:pPr>
              <w:rPr>
                <w:rFonts w:ascii="Times New Roman" w:hAnsi="Times New Roman" w:cs="Times New Roman"/>
                <w:b/>
                <w:i/>
                <w:sz w:val="20"/>
                <w:szCs w:val="20"/>
              </w:rPr>
            </w:pPr>
            <w:r w:rsidRPr="004D1E6F">
              <w:rPr>
                <w:rFonts w:ascii="Times New Roman" w:hAnsi="Times New Roman" w:cs="Times New Roman"/>
                <w:b/>
                <w:sz w:val="20"/>
                <w:szCs w:val="20"/>
              </w:rPr>
              <w:t xml:space="preserve">Picture of </w:t>
            </w:r>
            <w:r w:rsidRPr="004D1E6F">
              <w:rPr>
                <w:rFonts w:ascii="Times New Roman" w:hAnsi="Times New Roman" w:cs="Times New Roman"/>
                <w:b/>
                <w:i/>
                <w:sz w:val="20"/>
                <w:szCs w:val="20"/>
              </w:rPr>
              <w:t>Taxon</w:t>
            </w:r>
          </w:p>
          <w:p w14:paraId="275A9C51" w14:textId="77777777" w:rsidR="002D7080" w:rsidRPr="004D1E6F" w:rsidRDefault="002D7080" w:rsidP="002E2C37">
            <w:pPr>
              <w:jc w:val="center"/>
              <w:rPr>
                <w:rFonts w:ascii="Times New Roman" w:hAnsi="Times New Roman" w:cs="Times New Roman"/>
                <w:sz w:val="20"/>
                <w:szCs w:val="20"/>
              </w:rPr>
            </w:pPr>
            <w:r w:rsidRPr="003D3ECB">
              <w:rPr>
                <w:rFonts w:ascii="Times New Roman" w:eastAsia="Calibri" w:hAnsi="Times New Roman" w:cs="Times New Roman"/>
                <w:noProof/>
                <w:sz w:val="20"/>
                <w:szCs w:val="20"/>
                <w:lang w:eastAsia="en-ZA"/>
              </w:rPr>
              <w:drawing>
                <wp:inline distT="0" distB="0" distL="0" distR="0" wp14:anchorId="37DA1FE0" wp14:editId="4605A167">
                  <wp:extent cx="2426335" cy="1591310"/>
                  <wp:effectExtent l="0" t="0" r="0" b="889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426335" cy="1591310"/>
                          </a:xfrm>
                          <a:prstGeom prst="rect">
                            <a:avLst/>
                          </a:prstGeom>
                          <a:noFill/>
                        </pic:spPr>
                      </pic:pic>
                    </a:graphicData>
                  </a:graphic>
                </wp:inline>
              </w:drawing>
            </w:r>
          </w:p>
          <w:p w14:paraId="5A2B98EE"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t>Photo: M Antunes (2020), http://dx.doi.org/10.1590/2358-2936e2020037</w:t>
            </w:r>
          </w:p>
        </w:tc>
        <w:tc>
          <w:tcPr>
            <w:tcW w:w="4962" w:type="dxa"/>
            <w:gridSpan w:val="2"/>
          </w:tcPr>
          <w:p w14:paraId="5596C391"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Alien distribution map</w:t>
            </w:r>
          </w:p>
          <w:p w14:paraId="13D97B1A" w14:textId="77777777" w:rsidR="002D7080" w:rsidRPr="004D1E6F" w:rsidRDefault="002D7080" w:rsidP="002E2C37">
            <w:pPr>
              <w:jc w:val="center"/>
              <w:rPr>
                <w:rFonts w:ascii="Times New Roman" w:hAnsi="Times New Roman" w:cs="Times New Roman"/>
                <w:sz w:val="20"/>
                <w:szCs w:val="20"/>
              </w:rPr>
            </w:pPr>
            <w:r w:rsidRPr="00E43DE5">
              <w:rPr>
                <w:rFonts w:ascii="Arial" w:eastAsia="Times New Roman" w:hAnsi="Arial" w:cs="Arial"/>
                <w:b/>
                <w:noProof/>
                <w:sz w:val="20"/>
                <w:szCs w:val="20"/>
                <w:lang w:eastAsia="en-ZA"/>
              </w:rPr>
              <w:drawing>
                <wp:inline distT="0" distB="0" distL="0" distR="0" wp14:anchorId="610DBBC4" wp14:editId="66E935C1">
                  <wp:extent cx="2743293" cy="1368000"/>
                  <wp:effectExtent l="0" t="0" r="0" b="3810"/>
                  <wp:docPr id="326085871" name="Picture 32608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ureiro et al..PNG"/>
                          <pic:cNvPicPr/>
                        </pic:nvPicPr>
                        <pic:blipFill>
                          <a:blip r:embed="rId513" cstate="print">
                            <a:extLst>
                              <a:ext uri="{28A0092B-C50C-407E-A947-70E740481C1C}">
                                <a14:useLocalDpi xmlns:a14="http://schemas.microsoft.com/office/drawing/2010/main" val="0"/>
                              </a:ext>
                            </a:extLst>
                          </a:blip>
                          <a:stretch>
                            <a:fillRect/>
                          </a:stretch>
                        </pic:blipFill>
                        <pic:spPr>
                          <a:xfrm>
                            <a:off x="0" y="0"/>
                            <a:ext cx="2743293" cy="1368000"/>
                          </a:xfrm>
                          <a:prstGeom prst="rect">
                            <a:avLst/>
                          </a:prstGeom>
                        </pic:spPr>
                      </pic:pic>
                    </a:graphicData>
                  </a:graphic>
                </wp:inline>
              </w:drawing>
            </w:r>
          </w:p>
          <w:p w14:paraId="19545DBA" w14:textId="0FBA7EC8" w:rsidR="002D7080" w:rsidRPr="004D1E6F" w:rsidRDefault="002D7080" w:rsidP="002E2C37">
            <w:pPr>
              <w:rPr>
                <w:rFonts w:ascii="Times New Roman" w:eastAsia="Times New Roman" w:hAnsi="Times New Roman" w:cs="Times New Roman"/>
                <w:bCs/>
                <w:sz w:val="20"/>
                <w:szCs w:val="20"/>
                <w:lang w:eastAsia="en-ZA"/>
              </w:rPr>
            </w:pPr>
            <w:r w:rsidRPr="004D1E6F">
              <w:rPr>
                <w:rFonts w:ascii="Times New Roman" w:hAnsi="Times New Roman" w:cs="Times New Roman"/>
                <w:sz w:val="20"/>
                <w:szCs w:val="20"/>
              </w:rPr>
              <w:t xml:space="preserve">Reference: </w:t>
            </w:r>
            <w:bookmarkStart w:id="20" w:name="_Hlk213616883"/>
            <w:r w:rsidRPr="004D1E6F">
              <w:rPr>
                <w:rFonts w:ascii="Times New Roman" w:eastAsia="Times New Roman" w:hAnsi="Times New Roman" w:cs="Times New Roman"/>
                <w:sz w:val="20"/>
                <w:szCs w:val="20"/>
                <w:lang w:eastAsia="en-ZA"/>
              </w:rPr>
              <w:t>Loureiro T.G., Anastácio, P.M.S.G., Araujo, P.B., Souty-Grosset, C. &amp; Almerão, M.P., 2015, ‘Red swamp crayfish: biology, ecology and invasion–an overview’, </w:t>
            </w:r>
            <w:r w:rsidRPr="004D1E6F">
              <w:rPr>
                <w:rFonts w:ascii="Times New Roman" w:eastAsia="Times New Roman" w:hAnsi="Times New Roman" w:cs="Times New Roman"/>
                <w:i/>
                <w:iCs/>
                <w:sz w:val="20"/>
                <w:szCs w:val="20"/>
                <w:lang w:eastAsia="en-ZA"/>
              </w:rPr>
              <w:t xml:space="preserve">Nauplius </w:t>
            </w:r>
            <w:r w:rsidRPr="004D1E6F">
              <w:rPr>
                <w:rFonts w:ascii="Times New Roman" w:eastAsia="Times New Roman" w:hAnsi="Times New Roman" w:cs="Times New Roman"/>
                <w:sz w:val="20"/>
                <w:szCs w:val="20"/>
                <w:lang w:eastAsia="en-ZA"/>
              </w:rPr>
              <w:t xml:space="preserve">23(1), 1–19. </w:t>
            </w:r>
            <w:r w:rsidR="00FE6A94" w:rsidRPr="00FE6A94">
              <w:rPr>
                <w:rFonts w:ascii="Times New Roman" w:eastAsia="Times New Roman" w:hAnsi="Times New Roman" w:cs="Times New Roman"/>
                <w:sz w:val="20"/>
                <w:szCs w:val="20"/>
                <w:lang w:eastAsia="en-ZA"/>
              </w:rPr>
              <w:t>https://doi.org/10.1590/S0104-64972014002214</w:t>
            </w:r>
            <w:bookmarkEnd w:id="20"/>
            <w:r w:rsidRPr="004D1E6F">
              <w:rPr>
                <w:rFonts w:ascii="Times New Roman" w:eastAsia="Times New Roman" w:hAnsi="Times New Roman" w:cs="Times New Roman"/>
                <w:sz w:val="20"/>
                <w:szCs w:val="20"/>
                <w:lang w:eastAsia="en-ZA"/>
              </w:rPr>
              <w:t>.</w:t>
            </w:r>
          </w:p>
        </w:tc>
      </w:tr>
      <w:tr w:rsidR="002D7080" w:rsidRPr="004D1E6F" w14:paraId="4FD9E843" w14:textId="77777777" w:rsidTr="002E2C37">
        <w:trPr>
          <w:trHeight w:val="746"/>
        </w:trPr>
        <w:tc>
          <w:tcPr>
            <w:tcW w:w="7224" w:type="dxa"/>
            <w:gridSpan w:val="2"/>
          </w:tcPr>
          <w:p w14:paraId="11389F5B" w14:textId="77777777" w:rsidR="002D7080" w:rsidRPr="004D1E6F" w:rsidRDefault="002D7080" w:rsidP="002E2C37">
            <w:pPr>
              <w:jc w:val="both"/>
              <w:rPr>
                <w:rFonts w:ascii="Times New Roman" w:hAnsi="Times New Roman" w:cs="Times New Roman"/>
                <w:b/>
                <w:sz w:val="20"/>
                <w:szCs w:val="20"/>
              </w:rPr>
            </w:pPr>
            <w:r w:rsidRPr="004D1E6F">
              <w:rPr>
                <w:rFonts w:ascii="Times New Roman" w:hAnsi="Times New Roman" w:cs="Times New Roman"/>
                <w:b/>
                <w:sz w:val="20"/>
                <w:szCs w:val="20"/>
              </w:rPr>
              <w:t>Risk Assessment summary:</w:t>
            </w:r>
          </w:p>
          <w:p w14:paraId="44462E37" w14:textId="77777777" w:rsidR="002D7080" w:rsidRPr="004D1E6F" w:rsidRDefault="002D7080" w:rsidP="002E2C37">
            <w:pPr>
              <w:jc w:val="both"/>
              <w:rPr>
                <w:rFonts w:ascii="Times New Roman" w:hAnsi="Times New Roman" w:cs="Times New Roman"/>
                <w:bCs/>
                <w:sz w:val="20"/>
                <w:szCs w:val="20"/>
              </w:rPr>
            </w:pPr>
            <w:r w:rsidRPr="004D1E6F">
              <w:rPr>
                <w:rFonts w:ascii="Times New Roman" w:hAnsi="Times New Roman" w:cs="Times New Roman"/>
                <w:sz w:val="20"/>
                <w:szCs w:val="20"/>
              </w:rPr>
              <w:t xml:space="preserve">The red swamp crayfish, </w:t>
            </w:r>
            <w:r w:rsidRPr="004D1E6F">
              <w:rPr>
                <w:rFonts w:ascii="Times New Roman" w:hAnsi="Times New Roman" w:cs="Times New Roman"/>
                <w:i/>
                <w:sz w:val="20"/>
                <w:szCs w:val="20"/>
              </w:rPr>
              <w:t>Procambarus clarkii</w:t>
            </w:r>
            <w:r w:rsidRPr="004D1E6F">
              <w:rPr>
                <w:rFonts w:ascii="Times New Roman" w:hAnsi="Times New Roman" w:cs="Times New Roman"/>
                <w:sz w:val="20"/>
                <w:szCs w:val="20"/>
              </w:rPr>
              <w:t xml:space="preserve"> </w:t>
            </w:r>
            <w:r w:rsidRPr="004D1E6F">
              <w:rPr>
                <w:rFonts w:ascii="Times New Roman" w:hAnsi="Times New Roman" w:cs="Times New Roman"/>
                <w:iCs/>
                <w:sz w:val="20"/>
                <w:szCs w:val="20"/>
              </w:rPr>
              <w:t xml:space="preserve">(Girard 1852) </w:t>
            </w:r>
            <w:r w:rsidRPr="004D1E6F">
              <w:rPr>
                <w:rFonts w:ascii="Times New Roman" w:hAnsi="Times New Roman" w:cs="Times New Roman"/>
                <w:sz w:val="20"/>
                <w:szCs w:val="20"/>
              </w:rPr>
              <w:t>is native to northeastern Mexico and south-central USA</w:t>
            </w:r>
            <w:r w:rsidRPr="004D1E6F">
              <w:rPr>
                <w:rFonts w:ascii="Times New Roman" w:hAnsi="Times New Roman" w:cs="Times New Roman"/>
                <w:iCs/>
                <w:sz w:val="20"/>
                <w:szCs w:val="20"/>
              </w:rPr>
              <w:t xml:space="preserve"> and </w:t>
            </w:r>
            <w:r w:rsidRPr="004D1E6F">
              <w:rPr>
                <w:rFonts w:ascii="Times New Roman" w:hAnsi="Times New Roman" w:cs="Times New Roman"/>
                <w:sz w:val="20"/>
                <w:szCs w:val="20"/>
              </w:rPr>
              <w:t xml:space="preserve">has been introduced worldwide for aquaculture and the ornamental pet trade. In South Africa, </w:t>
            </w:r>
            <w:r w:rsidRPr="004D1E6F">
              <w:rPr>
                <w:rFonts w:ascii="Times New Roman" w:hAnsi="Times New Roman" w:cs="Times New Roman"/>
                <w:i/>
                <w:sz w:val="20"/>
                <w:szCs w:val="20"/>
              </w:rPr>
              <w:t>P. clarkii</w:t>
            </w:r>
            <w:r w:rsidRPr="004D1E6F">
              <w:rPr>
                <w:rFonts w:ascii="Times New Roman" w:hAnsi="Times New Roman" w:cs="Times New Roman"/>
                <w:sz w:val="20"/>
                <w:szCs w:val="20"/>
              </w:rPr>
              <w:t xml:space="preserve"> is known to have established outside of captivity in Mpumalanga (Driehoek farm), the Free State (Mimosa Dam) and the Western Cape (Vredendal: lower Olifants and agricultural irrigation systems). The potential for further spread is high because </w:t>
            </w:r>
            <w:r w:rsidRPr="004D1E6F">
              <w:rPr>
                <w:rFonts w:ascii="Times New Roman" w:hAnsi="Times New Roman" w:cs="Times New Roman"/>
                <w:i/>
                <w:sz w:val="20"/>
                <w:szCs w:val="20"/>
              </w:rPr>
              <w:t>P. clarkii</w:t>
            </w:r>
            <w:r w:rsidRPr="004D1E6F">
              <w:rPr>
                <w:rFonts w:ascii="Times New Roman" w:hAnsi="Times New Roman" w:cs="Times New Roman"/>
                <w:sz w:val="20"/>
                <w:szCs w:val="20"/>
              </w:rPr>
              <w:t xml:space="preserve"> is likely to be moved by humans in the aquarium trade industry and </w:t>
            </w:r>
            <w:r w:rsidRPr="004D1E6F">
              <w:rPr>
                <w:rFonts w:ascii="Times New Roman" w:hAnsi="Times New Roman" w:cs="Times New Roman"/>
                <w:i/>
                <w:sz w:val="20"/>
                <w:szCs w:val="20"/>
              </w:rPr>
              <w:t xml:space="preserve">P. clarkii </w:t>
            </w:r>
            <w:r w:rsidRPr="004D1E6F">
              <w:rPr>
                <w:rFonts w:ascii="Times New Roman" w:hAnsi="Times New Roman" w:cs="Times New Roman"/>
                <w:iCs/>
                <w:sz w:val="20"/>
                <w:szCs w:val="20"/>
              </w:rPr>
              <w:t xml:space="preserve">can disperse </w:t>
            </w:r>
            <w:r w:rsidRPr="004D1E6F">
              <w:rPr>
                <w:rFonts w:ascii="Times New Roman" w:hAnsi="Times New Roman" w:cs="Times New Roman"/>
                <w:sz w:val="20"/>
                <w:szCs w:val="20"/>
              </w:rPr>
              <w:t xml:space="preserve">over land between water bodies. </w:t>
            </w:r>
            <w:r w:rsidRPr="004D1E6F">
              <w:rPr>
                <w:rFonts w:ascii="Times New Roman" w:hAnsi="Times New Roman" w:cs="Times New Roman"/>
                <w:i/>
                <w:iCs/>
                <w:sz w:val="20"/>
                <w:szCs w:val="20"/>
              </w:rPr>
              <w:t>P</w:t>
            </w:r>
            <w:r w:rsidRPr="004D1E6F">
              <w:rPr>
                <w:rFonts w:ascii="Times New Roman" w:hAnsi="Times New Roman" w:cs="Times New Roman"/>
                <w:i/>
                <w:sz w:val="20"/>
                <w:szCs w:val="20"/>
              </w:rPr>
              <w:t>rocambarus</w:t>
            </w:r>
            <w:r w:rsidRPr="004D1E6F">
              <w:rPr>
                <w:rFonts w:ascii="Times New Roman" w:hAnsi="Times New Roman" w:cs="Times New Roman"/>
                <w:i/>
                <w:iCs/>
                <w:sz w:val="20"/>
                <w:szCs w:val="20"/>
              </w:rPr>
              <w:t xml:space="preserve"> clarkii</w:t>
            </w:r>
            <w:r w:rsidRPr="004D1E6F">
              <w:rPr>
                <w:rFonts w:ascii="Times New Roman" w:hAnsi="Times New Roman" w:cs="Times New Roman"/>
                <w:iCs/>
                <w:sz w:val="20"/>
                <w:szCs w:val="20"/>
              </w:rPr>
              <w:t xml:space="preserve"> is </w:t>
            </w:r>
            <w:r w:rsidRPr="004D1E6F">
              <w:rPr>
                <w:rFonts w:ascii="Times New Roman" w:hAnsi="Times New Roman" w:cs="Times New Roman"/>
                <w:sz w:val="20"/>
                <w:szCs w:val="20"/>
              </w:rPr>
              <w:t>a facultative omnivore and an aggressive competitor that often displaces native species in introduced areas through predation, competitive exclusions, and transmission of diseases; has caused habitat alteration through excessive grazing of macrophytes, burrowing activities that increase rates of soil erosion; and has caused physical damage to agricultural infrastructure such as irrigation canals.</w:t>
            </w:r>
            <w:r w:rsidRPr="004D1E6F">
              <w:rPr>
                <w:rFonts w:ascii="Times New Roman" w:hAnsi="Times New Roman" w:cs="Times New Roman"/>
                <w:i/>
                <w:sz w:val="20"/>
                <w:szCs w:val="20"/>
              </w:rPr>
              <w:t xml:space="preserve"> Procambarus clarkii</w:t>
            </w:r>
            <w:r w:rsidRPr="004D1E6F">
              <w:rPr>
                <w:rFonts w:ascii="Times New Roman" w:hAnsi="Times New Roman" w:cs="Times New Roman"/>
                <w:sz w:val="20"/>
                <w:szCs w:val="20"/>
              </w:rPr>
              <w:t xml:space="preserve"> serves as vector for several parasites and diseases, some of which are zoonotic.</w:t>
            </w:r>
          </w:p>
        </w:tc>
        <w:tc>
          <w:tcPr>
            <w:tcW w:w="1791" w:type="dxa"/>
          </w:tcPr>
          <w:p w14:paraId="5367CABF"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b/>
                <w:sz w:val="20"/>
                <w:szCs w:val="20"/>
              </w:rPr>
              <w:t>Risk score:</w:t>
            </w:r>
            <w:r w:rsidRPr="004D1E6F">
              <w:rPr>
                <w:rFonts w:ascii="Times New Roman" w:hAnsi="Times New Roman" w:cs="Times New Roman"/>
                <w:b/>
                <w:sz w:val="20"/>
                <w:szCs w:val="20"/>
              </w:rPr>
              <w:br/>
            </w:r>
            <w:r w:rsidRPr="004D1E6F">
              <w:rPr>
                <w:rFonts w:ascii="Times New Roman" w:hAnsi="Times New Roman" w:cs="Times New Roman"/>
                <w:sz w:val="20"/>
                <w:szCs w:val="20"/>
              </w:rPr>
              <w:t>High</w:t>
            </w:r>
          </w:p>
        </w:tc>
      </w:tr>
      <w:tr w:rsidR="002D7080" w:rsidRPr="004D1E6F" w14:paraId="263E6550" w14:textId="77777777" w:rsidTr="002E2C37">
        <w:trPr>
          <w:trHeight w:val="852"/>
        </w:trPr>
        <w:tc>
          <w:tcPr>
            <w:tcW w:w="7224" w:type="dxa"/>
            <w:gridSpan w:val="2"/>
          </w:tcPr>
          <w:p w14:paraId="75B03B3D"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Management summary:</w:t>
            </w:r>
          </w:p>
          <w:p w14:paraId="04DD7864" w14:textId="77777777" w:rsidR="002D7080" w:rsidRPr="004D1E6F" w:rsidRDefault="002D7080" w:rsidP="002E2C37">
            <w:pPr>
              <w:jc w:val="both"/>
              <w:rPr>
                <w:rFonts w:ascii="Times New Roman" w:hAnsi="Times New Roman" w:cs="Times New Roman"/>
                <w:b/>
                <w:sz w:val="20"/>
                <w:szCs w:val="20"/>
              </w:rPr>
            </w:pPr>
            <w:r w:rsidRPr="004D1E6F">
              <w:rPr>
                <w:rFonts w:ascii="Times New Roman" w:hAnsi="Times New Roman" w:cs="Times New Roman"/>
                <w:sz w:val="20"/>
                <w:szCs w:val="20"/>
              </w:rPr>
              <w:t xml:space="preserve">As an aquatic species, it is difficult to detect and access </w:t>
            </w:r>
            <w:r w:rsidRPr="004D1E6F">
              <w:rPr>
                <w:rFonts w:ascii="Times New Roman" w:hAnsi="Times New Roman" w:cs="Times New Roman"/>
                <w:i/>
                <w:sz w:val="20"/>
                <w:szCs w:val="20"/>
              </w:rPr>
              <w:t>P. clarkii</w:t>
            </w:r>
            <w:r w:rsidRPr="004D1E6F">
              <w:rPr>
                <w:rFonts w:ascii="Times New Roman" w:hAnsi="Times New Roman" w:cs="Times New Roman"/>
                <w:iCs/>
                <w:sz w:val="20"/>
                <w:szCs w:val="20"/>
              </w:rPr>
              <w:t xml:space="preserve"> individuals and populations</w:t>
            </w:r>
            <w:r w:rsidRPr="004D1E6F">
              <w:rPr>
                <w:rFonts w:ascii="Times New Roman" w:hAnsi="Times New Roman" w:cs="Times New Roman"/>
                <w:i/>
                <w:sz w:val="20"/>
                <w:szCs w:val="20"/>
              </w:rPr>
              <w:t xml:space="preserve">. </w:t>
            </w:r>
            <w:r w:rsidRPr="004D1E6F">
              <w:rPr>
                <w:rFonts w:ascii="Times New Roman" w:hAnsi="Times New Roman" w:cs="Times New Roman"/>
                <w:iCs/>
                <w:sz w:val="20"/>
                <w:szCs w:val="20"/>
              </w:rPr>
              <w:t xml:space="preserve">Moreover, </w:t>
            </w:r>
            <w:r w:rsidRPr="004D1E6F">
              <w:rPr>
                <w:rFonts w:ascii="Times New Roman" w:hAnsi="Times New Roman" w:cs="Times New Roman"/>
                <w:sz w:val="20"/>
                <w:szCs w:val="20"/>
              </w:rPr>
              <w:t xml:space="preserve">the burrowing behaviour of </w:t>
            </w:r>
            <w:r w:rsidRPr="004D1E6F">
              <w:rPr>
                <w:rFonts w:ascii="Times New Roman" w:hAnsi="Times New Roman" w:cs="Times New Roman"/>
                <w:i/>
                <w:iCs/>
                <w:sz w:val="20"/>
                <w:szCs w:val="20"/>
              </w:rPr>
              <w:t>P. clarkii</w:t>
            </w:r>
            <w:r w:rsidRPr="004D1E6F">
              <w:rPr>
                <w:rFonts w:ascii="Times New Roman" w:hAnsi="Times New Roman" w:cs="Times New Roman"/>
                <w:sz w:val="20"/>
                <w:szCs w:val="20"/>
              </w:rPr>
              <w:t xml:space="preserve"> complicates management efforts as does </w:t>
            </w:r>
            <w:r w:rsidRPr="004D1E6F">
              <w:rPr>
                <w:rFonts w:ascii="Times New Roman" w:hAnsi="Times New Roman" w:cs="Times New Roman"/>
                <w:i/>
                <w:iCs/>
                <w:sz w:val="20"/>
                <w:szCs w:val="20"/>
              </w:rPr>
              <w:t>P. clarkii</w:t>
            </w:r>
            <w:r w:rsidRPr="004D1E6F">
              <w:rPr>
                <w:rFonts w:ascii="Times New Roman" w:hAnsi="Times New Roman" w:cs="Times New Roman"/>
                <w:sz w:val="20"/>
                <w:szCs w:val="20"/>
              </w:rPr>
              <w:t xml:space="preserve">'s rapid and prolific breeding. Management efforts should focus on preventing spread to new areas; and the trade and movement of </w:t>
            </w:r>
            <w:r w:rsidRPr="004D1E6F">
              <w:rPr>
                <w:rFonts w:ascii="Times New Roman" w:hAnsi="Times New Roman" w:cs="Times New Roman"/>
                <w:i/>
                <w:iCs/>
                <w:sz w:val="20"/>
                <w:szCs w:val="20"/>
              </w:rPr>
              <w:t xml:space="preserve">P. clarkii </w:t>
            </w:r>
            <w:r w:rsidRPr="004D1E6F">
              <w:rPr>
                <w:rFonts w:ascii="Times New Roman" w:hAnsi="Times New Roman" w:cs="Times New Roman"/>
                <w:sz w:val="20"/>
                <w:szCs w:val="20"/>
              </w:rPr>
              <w:t xml:space="preserve">through the pet trade should be assessed. The current distribution of </w:t>
            </w:r>
            <w:r w:rsidRPr="004D1E6F">
              <w:rPr>
                <w:rFonts w:ascii="Times New Roman" w:hAnsi="Times New Roman" w:cs="Times New Roman"/>
                <w:i/>
                <w:sz w:val="20"/>
                <w:szCs w:val="20"/>
              </w:rPr>
              <w:t>P. clarkii</w:t>
            </w:r>
            <w:r w:rsidRPr="004D1E6F">
              <w:rPr>
                <w:rFonts w:ascii="Times New Roman" w:hAnsi="Times New Roman" w:cs="Times New Roman"/>
                <w:sz w:val="20"/>
                <w:szCs w:val="20"/>
              </w:rPr>
              <w:t xml:space="preserve"> means that eradication is likely to be infeasible. Even though </w:t>
            </w:r>
            <w:r w:rsidRPr="004D1E6F">
              <w:rPr>
                <w:rFonts w:ascii="Times New Roman" w:hAnsi="Times New Roman" w:cs="Times New Roman"/>
                <w:i/>
                <w:iCs/>
                <w:sz w:val="20"/>
                <w:szCs w:val="20"/>
              </w:rPr>
              <w:t xml:space="preserve">P. clarkii </w:t>
            </w:r>
            <w:r w:rsidRPr="004D1E6F">
              <w:rPr>
                <w:rFonts w:ascii="Times New Roman" w:hAnsi="Times New Roman" w:cs="Times New Roman"/>
                <w:sz w:val="20"/>
                <w:szCs w:val="20"/>
              </w:rPr>
              <w:t>is considered an important aquacultural species in other countries, this is not the case in South Africa.</w:t>
            </w:r>
          </w:p>
        </w:tc>
        <w:tc>
          <w:tcPr>
            <w:tcW w:w="1791" w:type="dxa"/>
          </w:tcPr>
          <w:p w14:paraId="3F605717"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Ease of management:</w:t>
            </w:r>
          </w:p>
          <w:p w14:paraId="6DF9E11F"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t>Difficult</w:t>
            </w:r>
          </w:p>
        </w:tc>
      </w:tr>
      <w:tr w:rsidR="002D7080" w:rsidRPr="004D1E6F" w14:paraId="7F1D4722" w14:textId="77777777" w:rsidTr="002E2C37">
        <w:trPr>
          <w:trHeight w:val="690"/>
        </w:trPr>
        <w:tc>
          <w:tcPr>
            <w:tcW w:w="7224" w:type="dxa"/>
            <w:gridSpan w:val="2"/>
            <w:vMerge w:val="restart"/>
          </w:tcPr>
          <w:p w14:paraId="42C17C10"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Recommendations:</w:t>
            </w:r>
          </w:p>
          <w:p w14:paraId="13C14F07" w14:textId="77777777" w:rsidR="002D7080" w:rsidRPr="004D1E6F" w:rsidRDefault="002D7080" w:rsidP="002E2C37">
            <w:pPr>
              <w:jc w:val="both"/>
              <w:rPr>
                <w:rFonts w:ascii="Times New Roman" w:hAnsi="Times New Roman" w:cs="Times New Roman"/>
                <w:b/>
                <w:sz w:val="20"/>
                <w:szCs w:val="20"/>
              </w:rPr>
            </w:pPr>
            <w:r w:rsidRPr="004D1E6F">
              <w:rPr>
                <w:rFonts w:ascii="Times New Roman" w:hAnsi="Times New Roman" w:cs="Times New Roman"/>
                <w:i/>
                <w:sz w:val="20"/>
                <w:szCs w:val="20"/>
              </w:rPr>
              <w:t>Procambarus clarkii</w:t>
            </w:r>
            <w:r w:rsidRPr="004D1E6F">
              <w:rPr>
                <w:rFonts w:ascii="Times New Roman" w:hAnsi="Times New Roman" w:cs="Times New Roman"/>
                <w:sz w:val="20"/>
                <w:szCs w:val="20"/>
              </w:rPr>
              <w:t xml:space="preserve"> poses a high risk to South Africa, management is likely to be difficult, and eradication is infeasible. Therefore, </w:t>
            </w:r>
            <w:r w:rsidRPr="004D1E6F">
              <w:rPr>
                <w:rFonts w:ascii="Times New Roman" w:hAnsi="Times New Roman" w:cs="Times New Roman"/>
                <w:i/>
                <w:iCs/>
                <w:sz w:val="20"/>
                <w:szCs w:val="20"/>
              </w:rPr>
              <w:t xml:space="preserve">P. clarkii </w:t>
            </w:r>
            <w:r w:rsidRPr="004D1E6F">
              <w:rPr>
                <w:rFonts w:ascii="Times New Roman" w:hAnsi="Times New Roman" w:cs="Times New Roman"/>
                <w:sz w:val="20"/>
                <w:szCs w:val="20"/>
              </w:rPr>
              <w:t>is recommended to be listed as Category 1b. Public engagement to prevent further spread is recommended.</w:t>
            </w:r>
          </w:p>
        </w:tc>
        <w:tc>
          <w:tcPr>
            <w:tcW w:w="1791" w:type="dxa"/>
          </w:tcPr>
          <w:p w14:paraId="7A017184"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Listing under NEM:BA A&amp;IS lists of 2020:</w:t>
            </w:r>
          </w:p>
          <w:p w14:paraId="246CDB14"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t>Not listed</w:t>
            </w:r>
          </w:p>
        </w:tc>
      </w:tr>
      <w:tr w:rsidR="002D7080" w:rsidRPr="004D1E6F" w14:paraId="4D33D32A" w14:textId="77777777" w:rsidTr="002E2C37">
        <w:trPr>
          <w:trHeight w:val="690"/>
        </w:trPr>
        <w:tc>
          <w:tcPr>
            <w:tcW w:w="7224" w:type="dxa"/>
            <w:gridSpan w:val="2"/>
            <w:vMerge/>
          </w:tcPr>
          <w:p w14:paraId="213EDE63" w14:textId="77777777" w:rsidR="002D7080" w:rsidRPr="004D1E6F" w:rsidRDefault="002D7080" w:rsidP="002E2C37">
            <w:pPr>
              <w:rPr>
                <w:rFonts w:ascii="Times New Roman" w:hAnsi="Times New Roman" w:cs="Times New Roman"/>
                <w:b/>
                <w:sz w:val="20"/>
                <w:szCs w:val="20"/>
              </w:rPr>
            </w:pPr>
          </w:p>
        </w:tc>
        <w:tc>
          <w:tcPr>
            <w:tcW w:w="1791" w:type="dxa"/>
          </w:tcPr>
          <w:p w14:paraId="03E63956" w14:textId="77777777" w:rsidR="002D7080" w:rsidRPr="004D1E6F" w:rsidRDefault="002D7080" w:rsidP="002E2C37">
            <w:pPr>
              <w:rPr>
                <w:rFonts w:ascii="Times New Roman" w:hAnsi="Times New Roman" w:cs="Times New Roman"/>
                <w:b/>
                <w:sz w:val="20"/>
                <w:szCs w:val="20"/>
              </w:rPr>
            </w:pPr>
            <w:r w:rsidRPr="004D1E6F">
              <w:rPr>
                <w:rFonts w:ascii="Times New Roman" w:hAnsi="Times New Roman" w:cs="Times New Roman"/>
                <w:b/>
                <w:sz w:val="20"/>
                <w:szCs w:val="20"/>
              </w:rPr>
              <w:t xml:space="preserve">Recommended listing category: </w:t>
            </w:r>
          </w:p>
          <w:p w14:paraId="323242A7" w14:textId="77777777" w:rsidR="002D7080" w:rsidRPr="004D1E6F" w:rsidRDefault="002D7080" w:rsidP="002E2C37">
            <w:pPr>
              <w:rPr>
                <w:rFonts w:ascii="Times New Roman" w:hAnsi="Times New Roman" w:cs="Times New Roman"/>
                <w:bCs/>
                <w:sz w:val="20"/>
                <w:szCs w:val="20"/>
              </w:rPr>
            </w:pPr>
            <w:r w:rsidRPr="004D1E6F">
              <w:rPr>
                <w:rFonts w:ascii="Times New Roman" w:hAnsi="Times New Roman" w:cs="Times New Roman"/>
                <w:bCs/>
                <w:sz w:val="20"/>
                <w:szCs w:val="20"/>
              </w:rPr>
              <w:t>1b</w:t>
            </w:r>
          </w:p>
        </w:tc>
      </w:tr>
    </w:tbl>
    <w:p w14:paraId="5838CB92"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15E68DA9" w14:textId="77777777" w:rsidR="002D7080" w:rsidRPr="004D1E6F" w:rsidRDefault="002D7080" w:rsidP="002D7080">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br w:type="page"/>
      </w:r>
    </w:p>
    <w:p w14:paraId="48D55C45"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1. Background</w:t>
      </w:r>
    </w:p>
    <w:p w14:paraId="3C418EAB"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W w:w="9015" w:type="dxa"/>
        <w:tblInd w:w="108" w:type="dxa"/>
        <w:tblLook w:val="04A0" w:firstRow="1" w:lastRow="0" w:firstColumn="1" w:lastColumn="0" w:noHBand="0" w:noVBand="1"/>
      </w:tblPr>
      <w:tblGrid>
        <w:gridCol w:w="2430"/>
        <w:gridCol w:w="1525"/>
        <w:gridCol w:w="2326"/>
        <w:gridCol w:w="2734"/>
      </w:tblGrid>
      <w:tr w:rsidR="002D7080" w:rsidRPr="004D1E6F" w14:paraId="57056FCE" w14:textId="77777777" w:rsidTr="002E2C37">
        <w:trPr>
          <w:cantSplit/>
          <w:trHeight w:val="358"/>
        </w:trPr>
        <w:tc>
          <w:tcPr>
            <w:tcW w:w="9015"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3A0B1A87" w14:textId="77777777" w:rsidR="002D7080" w:rsidRPr="004D1E6F" w:rsidRDefault="002D7080" w:rsidP="002E2C37">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BAC1 Name of assessor(s)</w:t>
            </w:r>
          </w:p>
        </w:tc>
      </w:tr>
      <w:tr w:rsidR="002D7080" w:rsidRPr="004D1E6F" w14:paraId="271EEF90" w14:textId="77777777" w:rsidTr="002E2C37">
        <w:trPr>
          <w:cantSplit/>
          <w:trHeight w:val="161"/>
        </w:trPr>
        <w:tc>
          <w:tcPr>
            <w:tcW w:w="2430" w:type="dxa"/>
            <w:tcBorders>
              <w:top w:val="nil"/>
              <w:left w:val="single" w:sz="4" w:space="0" w:color="auto"/>
              <w:bottom w:val="single" w:sz="4" w:space="0" w:color="auto"/>
              <w:right w:val="single" w:sz="4" w:space="0" w:color="auto"/>
            </w:tcBorders>
            <w:shd w:val="clear" w:color="auto" w:fill="F2F2F2" w:themeFill="background1" w:themeFillShade="F2"/>
            <w:noWrap/>
          </w:tcPr>
          <w:p w14:paraId="069F059C" w14:textId="77777777" w:rsidR="002D7080" w:rsidRPr="004D1E6F" w:rsidRDefault="002D7080" w:rsidP="004856F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Name of lead assessor</w:t>
            </w:r>
          </w:p>
        </w:tc>
        <w:tc>
          <w:tcPr>
            <w:tcW w:w="6585" w:type="dxa"/>
            <w:gridSpan w:val="3"/>
            <w:tcBorders>
              <w:top w:val="nil"/>
              <w:left w:val="single" w:sz="4" w:space="0" w:color="auto"/>
              <w:bottom w:val="single" w:sz="4" w:space="0" w:color="auto"/>
              <w:right w:val="single" w:sz="4" w:space="0" w:color="auto"/>
            </w:tcBorders>
          </w:tcPr>
          <w:p w14:paraId="1DA6E7FF" w14:textId="77777777" w:rsidR="002D7080" w:rsidRPr="004D1E6F" w:rsidRDefault="002D7080" w:rsidP="004856F5">
            <w:pPr>
              <w:spacing w:after="0"/>
              <w:jc w:val="both"/>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Lee-Anne Botha</w:t>
            </w:r>
          </w:p>
        </w:tc>
      </w:tr>
      <w:tr w:rsidR="002D7080" w:rsidRPr="004D1E6F" w14:paraId="3F67A4BE" w14:textId="77777777" w:rsidTr="002E2C37">
        <w:trPr>
          <w:cantSplit/>
          <w:trHeight w:val="179"/>
        </w:trPr>
        <w:tc>
          <w:tcPr>
            <w:tcW w:w="2430" w:type="dxa"/>
            <w:tcBorders>
              <w:top w:val="nil"/>
              <w:left w:val="single" w:sz="4" w:space="0" w:color="auto"/>
              <w:bottom w:val="single" w:sz="4" w:space="0" w:color="auto"/>
              <w:right w:val="single" w:sz="4" w:space="0" w:color="auto"/>
            </w:tcBorders>
            <w:shd w:val="clear" w:color="auto" w:fill="F2F2F2" w:themeFill="background1" w:themeFillShade="F2"/>
            <w:noWrap/>
          </w:tcPr>
          <w:p w14:paraId="68D93D8E"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Additional assessor (1)</w:t>
            </w:r>
          </w:p>
        </w:tc>
        <w:tc>
          <w:tcPr>
            <w:tcW w:w="6585" w:type="dxa"/>
            <w:gridSpan w:val="3"/>
            <w:tcBorders>
              <w:top w:val="nil"/>
              <w:left w:val="single" w:sz="4" w:space="0" w:color="auto"/>
              <w:bottom w:val="single" w:sz="4" w:space="0" w:color="auto"/>
              <w:right w:val="single" w:sz="4" w:space="0" w:color="auto"/>
            </w:tcBorders>
          </w:tcPr>
          <w:p w14:paraId="711B4D0B" w14:textId="77777777" w:rsidR="002D7080" w:rsidRPr="004D1E6F" w:rsidRDefault="002D7080" w:rsidP="004856F5">
            <w:pPr>
              <w:spacing w:after="0"/>
              <w:jc w:val="both"/>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Tsungai Zengeya</w:t>
            </w:r>
          </w:p>
        </w:tc>
      </w:tr>
      <w:tr w:rsidR="002D7080" w:rsidRPr="004D1E6F" w14:paraId="04F1C87F" w14:textId="77777777" w:rsidTr="002E2C37">
        <w:trPr>
          <w:cantSplit/>
          <w:trHeight w:val="215"/>
        </w:trPr>
        <w:tc>
          <w:tcPr>
            <w:tcW w:w="2430" w:type="dxa"/>
            <w:tcBorders>
              <w:top w:val="nil"/>
              <w:left w:val="single" w:sz="4" w:space="0" w:color="auto"/>
              <w:bottom w:val="single" w:sz="4" w:space="0" w:color="auto"/>
              <w:right w:val="single" w:sz="4" w:space="0" w:color="auto"/>
            </w:tcBorders>
            <w:shd w:val="clear" w:color="auto" w:fill="F2F2F2" w:themeFill="background1" w:themeFillShade="F2"/>
            <w:noWrap/>
          </w:tcPr>
          <w:p w14:paraId="0627EFB5"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Additional assessor (2)</w:t>
            </w:r>
          </w:p>
        </w:tc>
        <w:tc>
          <w:tcPr>
            <w:tcW w:w="6585" w:type="dxa"/>
            <w:gridSpan w:val="3"/>
            <w:tcBorders>
              <w:top w:val="nil"/>
              <w:left w:val="single" w:sz="4" w:space="0" w:color="auto"/>
              <w:bottom w:val="single" w:sz="4" w:space="0" w:color="auto"/>
              <w:right w:val="single" w:sz="4" w:space="0" w:color="auto"/>
            </w:tcBorders>
          </w:tcPr>
          <w:p w14:paraId="4523AEB2" w14:textId="2CE55A19" w:rsidR="002D7080" w:rsidRPr="00256BF3" w:rsidRDefault="002D7080" w:rsidP="004856F5">
            <w:pPr>
              <w:spacing w:after="0"/>
              <w:jc w:val="both"/>
              <w:rPr>
                <w:rFonts w:ascii="Times New Roman" w:eastAsia="Times New Roman" w:hAnsi="Times New Roman" w:cs="Times New Roman"/>
                <w:bCs/>
                <w:sz w:val="20"/>
                <w:szCs w:val="20"/>
                <w:lang w:eastAsia="en-ZA"/>
              </w:rPr>
            </w:pPr>
            <w:r w:rsidRPr="00256BF3">
              <w:rPr>
                <w:rFonts w:ascii="Times New Roman" w:eastAsia="Times New Roman" w:hAnsi="Times New Roman" w:cs="Times New Roman"/>
                <w:bCs/>
                <w:sz w:val="20"/>
                <w:szCs w:val="20"/>
                <w:lang w:eastAsia="en-ZA"/>
              </w:rPr>
              <w:t>C</w:t>
            </w:r>
            <w:r w:rsidR="00F261B1">
              <w:rPr>
                <w:rFonts w:ascii="Times New Roman" w:eastAsia="Times New Roman" w:hAnsi="Times New Roman" w:cs="Times New Roman"/>
                <w:bCs/>
                <w:sz w:val="20"/>
                <w:szCs w:val="20"/>
                <w:lang w:eastAsia="en-ZA"/>
              </w:rPr>
              <w:t>h</w:t>
            </w:r>
            <w:r w:rsidRPr="00256BF3">
              <w:rPr>
                <w:rFonts w:ascii="Times New Roman" w:eastAsia="Times New Roman" w:hAnsi="Times New Roman" w:cs="Times New Roman"/>
                <w:bCs/>
                <w:sz w:val="20"/>
                <w:szCs w:val="20"/>
                <w:lang w:eastAsia="en-ZA"/>
              </w:rPr>
              <w:t>ris</w:t>
            </w:r>
            <w:r w:rsidR="00F261B1">
              <w:rPr>
                <w:rFonts w:ascii="Times New Roman" w:eastAsia="Times New Roman" w:hAnsi="Times New Roman" w:cs="Times New Roman"/>
                <w:bCs/>
                <w:sz w:val="20"/>
                <w:szCs w:val="20"/>
                <w:lang w:eastAsia="en-ZA"/>
              </w:rPr>
              <w:t>tian</w:t>
            </w:r>
            <w:r w:rsidRPr="00256BF3">
              <w:rPr>
                <w:rFonts w:ascii="Times New Roman" w:eastAsia="Times New Roman" w:hAnsi="Times New Roman" w:cs="Times New Roman"/>
                <w:bCs/>
                <w:sz w:val="20"/>
                <w:szCs w:val="20"/>
                <w:lang w:eastAsia="en-ZA"/>
              </w:rPr>
              <w:t xml:space="preserve"> Chimimba </w:t>
            </w:r>
          </w:p>
        </w:tc>
      </w:tr>
      <w:tr w:rsidR="002D7080" w:rsidRPr="004D1E6F" w14:paraId="450DF9AA" w14:textId="77777777" w:rsidTr="002E2C37">
        <w:trPr>
          <w:cantSplit/>
          <w:trHeight w:val="390"/>
        </w:trPr>
        <w:tc>
          <w:tcPr>
            <w:tcW w:w="9015"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4AA55DD8"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BAC2 Contact details of assessor (s)</w:t>
            </w:r>
          </w:p>
        </w:tc>
      </w:tr>
      <w:tr w:rsidR="002D7080" w:rsidRPr="004D1E6F" w14:paraId="182E0577" w14:textId="77777777" w:rsidTr="002E2C37">
        <w:trPr>
          <w:cantSplit/>
          <w:trHeight w:val="70"/>
        </w:trPr>
        <w:tc>
          <w:tcPr>
            <w:tcW w:w="2430" w:type="dxa"/>
            <w:vMerge w:val="restart"/>
            <w:tcBorders>
              <w:top w:val="nil"/>
              <w:left w:val="single" w:sz="4" w:space="0" w:color="auto"/>
              <w:right w:val="single" w:sz="4" w:space="0" w:color="auto"/>
            </w:tcBorders>
            <w:shd w:val="clear" w:color="auto" w:fill="F2F2F2" w:themeFill="background1" w:themeFillShade="F2"/>
            <w:noWrap/>
            <w:hideMark/>
          </w:tcPr>
          <w:p w14:paraId="442FD290"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Lead assessor</w:t>
            </w:r>
          </w:p>
        </w:tc>
        <w:tc>
          <w:tcPr>
            <w:tcW w:w="6585" w:type="dxa"/>
            <w:gridSpan w:val="3"/>
            <w:tcBorders>
              <w:top w:val="nil"/>
              <w:left w:val="nil"/>
              <w:bottom w:val="single" w:sz="4" w:space="0" w:color="auto"/>
              <w:right w:val="single" w:sz="4" w:space="0" w:color="auto"/>
            </w:tcBorders>
          </w:tcPr>
          <w:p w14:paraId="79ADB60D"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Organisational affiliation: </w:t>
            </w:r>
            <w:r w:rsidRPr="004D1E6F">
              <w:rPr>
                <w:rFonts w:ascii="Times New Roman" w:eastAsia="Times New Roman" w:hAnsi="Times New Roman" w:cs="Times New Roman"/>
                <w:color w:val="000000"/>
                <w:sz w:val="20"/>
                <w:szCs w:val="20"/>
                <w:lang w:eastAsia="en-ZA"/>
              </w:rPr>
              <w:t>South African National Biodiversity Institute</w:t>
            </w:r>
          </w:p>
        </w:tc>
      </w:tr>
      <w:tr w:rsidR="002D7080" w:rsidRPr="004D1E6F" w14:paraId="3F949CFD" w14:textId="77777777" w:rsidTr="002E2C37">
        <w:trPr>
          <w:cantSplit/>
          <w:trHeight w:val="70"/>
        </w:trPr>
        <w:tc>
          <w:tcPr>
            <w:tcW w:w="2430" w:type="dxa"/>
            <w:vMerge/>
            <w:tcBorders>
              <w:left w:val="single" w:sz="4" w:space="0" w:color="auto"/>
              <w:right w:val="single" w:sz="4" w:space="0" w:color="auto"/>
            </w:tcBorders>
            <w:shd w:val="clear" w:color="auto" w:fill="F2F2F2" w:themeFill="background1" w:themeFillShade="F2"/>
            <w:noWrap/>
          </w:tcPr>
          <w:p w14:paraId="389459B5" w14:textId="77777777" w:rsidR="002D7080" w:rsidRPr="004D1E6F" w:rsidRDefault="002D7080" w:rsidP="004856F5">
            <w:pPr>
              <w:spacing w:after="0"/>
              <w:jc w:val="both"/>
              <w:rPr>
                <w:rFonts w:ascii="Times New Roman" w:eastAsia="Times New Roman" w:hAnsi="Times New Roman" w:cs="Times New Roman"/>
                <w:sz w:val="20"/>
                <w:szCs w:val="20"/>
                <w:lang w:eastAsia="en-ZA"/>
              </w:rPr>
            </w:pPr>
          </w:p>
        </w:tc>
        <w:tc>
          <w:tcPr>
            <w:tcW w:w="6585" w:type="dxa"/>
            <w:gridSpan w:val="3"/>
            <w:tcBorders>
              <w:top w:val="nil"/>
              <w:left w:val="nil"/>
              <w:bottom w:val="single" w:sz="4" w:space="0" w:color="auto"/>
              <w:right w:val="single" w:sz="4" w:space="0" w:color="auto"/>
            </w:tcBorders>
          </w:tcPr>
          <w:p w14:paraId="2E42466D"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email: </w:t>
            </w:r>
            <w:r w:rsidRPr="004D1E6F">
              <w:rPr>
                <w:rFonts w:ascii="Times New Roman" w:eastAsia="Times New Roman" w:hAnsi="Times New Roman" w:cs="Times New Roman"/>
                <w:color w:val="000000"/>
                <w:sz w:val="20"/>
                <w:szCs w:val="20"/>
                <w:lang w:eastAsia="en-ZA"/>
              </w:rPr>
              <w:t>leeannebth782@gmail.com</w:t>
            </w:r>
          </w:p>
        </w:tc>
      </w:tr>
      <w:tr w:rsidR="002D7080" w:rsidRPr="004D1E6F" w14:paraId="1E99ED93" w14:textId="77777777" w:rsidTr="002E2C37">
        <w:trPr>
          <w:cantSplit/>
          <w:trHeight w:val="70"/>
        </w:trPr>
        <w:tc>
          <w:tcPr>
            <w:tcW w:w="243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3576423"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Additional assessor (1)</w:t>
            </w:r>
          </w:p>
        </w:tc>
        <w:tc>
          <w:tcPr>
            <w:tcW w:w="6585" w:type="dxa"/>
            <w:gridSpan w:val="3"/>
            <w:tcBorders>
              <w:top w:val="nil"/>
              <w:left w:val="nil"/>
              <w:bottom w:val="single" w:sz="4" w:space="0" w:color="auto"/>
              <w:right w:val="single" w:sz="4" w:space="0" w:color="auto"/>
            </w:tcBorders>
          </w:tcPr>
          <w:p w14:paraId="0AA95E79"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Organisational affiliation: </w:t>
            </w:r>
            <w:r w:rsidRPr="004D1E6F">
              <w:rPr>
                <w:rFonts w:ascii="Times New Roman" w:eastAsia="Times New Roman" w:hAnsi="Times New Roman" w:cs="Times New Roman"/>
                <w:color w:val="000000"/>
                <w:sz w:val="20"/>
                <w:szCs w:val="20"/>
                <w:lang w:eastAsia="en-ZA"/>
              </w:rPr>
              <w:t>Department of Zoology and Entomology, University of Pretoria/South African National Biodiversity Institute (SANBI)</w:t>
            </w:r>
          </w:p>
        </w:tc>
      </w:tr>
      <w:tr w:rsidR="002D7080" w:rsidRPr="004D1E6F" w14:paraId="49F4E742" w14:textId="77777777" w:rsidTr="002E2C37">
        <w:trPr>
          <w:cantSplit/>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123BDAED" w14:textId="77777777" w:rsidR="002D7080" w:rsidRPr="004D1E6F" w:rsidRDefault="002D7080" w:rsidP="004856F5">
            <w:pPr>
              <w:spacing w:after="0"/>
              <w:jc w:val="both"/>
              <w:rPr>
                <w:rFonts w:ascii="Times New Roman" w:eastAsia="Times New Roman" w:hAnsi="Times New Roman" w:cs="Times New Roman"/>
                <w:sz w:val="20"/>
                <w:szCs w:val="20"/>
                <w:lang w:eastAsia="en-ZA"/>
              </w:rPr>
            </w:pPr>
          </w:p>
        </w:tc>
        <w:tc>
          <w:tcPr>
            <w:tcW w:w="6585" w:type="dxa"/>
            <w:gridSpan w:val="3"/>
            <w:tcBorders>
              <w:top w:val="nil"/>
              <w:left w:val="nil"/>
              <w:bottom w:val="single" w:sz="4" w:space="0" w:color="auto"/>
              <w:right w:val="single" w:sz="4" w:space="0" w:color="auto"/>
            </w:tcBorders>
          </w:tcPr>
          <w:p w14:paraId="1D4A6442"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email: T.Zengeya@sanbi.org.za</w:t>
            </w:r>
          </w:p>
        </w:tc>
      </w:tr>
      <w:tr w:rsidR="002D7080" w:rsidRPr="004D1E6F" w14:paraId="215517BD" w14:textId="77777777" w:rsidTr="002E2C37">
        <w:trPr>
          <w:cantSplit/>
          <w:trHeight w:val="70"/>
        </w:trPr>
        <w:tc>
          <w:tcPr>
            <w:tcW w:w="243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3589A0E"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0"/>
              </w:rPr>
              <w:t>Additional assessor (2)</w:t>
            </w:r>
          </w:p>
          <w:p w14:paraId="091AE514" w14:textId="77777777" w:rsidR="002D7080" w:rsidRPr="004D1E6F" w:rsidRDefault="002D7080" w:rsidP="004856F5">
            <w:pPr>
              <w:spacing w:after="0"/>
              <w:jc w:val="both"/>
              <w:rPr>
                <w:rFonts w:ascii="Times New Roman" w:eastAsia="Times New Roman" w:hAnsi="Times New Roman" w:cs="Times New Roman"/>
                <w:sz w:val="20"/>
                <w:szCs w:val="20"/>
                <w:lang w:eastAsia="en-ZA"/>
              </w:rPr>
            </w:pPr>
          </w:p>
        </w:tc>
        <w:tc>
          <w:tcPr>
            <w:tcW w:w="6585" w:type="dxa"/>
            <w:gridSpan w:val="3"/>
            <w:tcBorders>
              <w:top w:val="nil"/>
              <w:left w:val="nil"/>
              <w:bottom w:val="single" w:sz="4" w:space="0" w:color="auto"/>
              <w:right w:val="single" w:sz="4" w:space="0" w:color="auto"/>
            </w:tcBorders>
          </w:tcPr>
          <w:p w14:paraId="67D2E982"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0"/>
              </w:rPr>
              <w:t>Organisational affiliation: Department of Zoology and Entomology, University of Pretoria</w:t>
            </w:r>
          </w:p>
        </w:tc>
      </w:tr>
      <w:tr w:rsidR="002D7080" w:rsidRPr="004D1E6F" w14:paraId="6242763A" w14:textId="77777777" w:rsidTr="002E2C37">
        <w:trPr>
          <w:cantSplit/>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587C7CA2" w14:textId="77777777" w:rsidR="002D7080" w:rsidRPr="004D1E6F" w:rsidRDefault="002D7080" w:rsidP="004856F5">
            <w:pPr>
              <w:spacing w:after="0"/>
              <w:jc w:val="both"/>
              <w:rPr>
                <w:rFonts w:ascii="Times New Roman" w:eastAsia="Times New Roman" w:hAnsi="Times New Roman" w:cs="Times New Roman"/>
                <w:sz w:val="20"/>
                <w:szCs w:val="20"/>
                <w:lang w:eastAsia="en-ZA"/>
              </w:rPr>
            </w:pPr>
          </w:p>
        </w:tc>
        <w:tc>
          <w:tcPr>
            <w:tcW w:w="6585" w:type="dxa"/>
            <w:gridSpan w:val="3"/>
            <w:tcBorders>
              <w:top w:val="nil"/>
              <w:left w:val="nil"/>
              <w:bottom w:val="single" w:sz="4" w:space="0" w:color="auto"/>
              <w:right w:val="single" w:sz="4" w:space="0" w:color="auto"/>
            </w:tcBorders>
          </w:tcPr>
          <w:p w14:paraId="3AC63DED"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hAnsi="Times New Roman" w:cs="Times New Roman"/>
                <w:bCs/>
                <w:iCs/>
                <w:sz w:val="20"/>
                <w:szCs w:val="20"/>
              </w:rPr>
              <w:t>email: ctchimimba@up.ac.za</w:t>
            </w:r>
          </w:p>
        </w:tc>
      </w:tr>
      <w:tr w:rsidR="002D7080" w:rsidRPr="004D1E6F" w14:paraId="676971B1" w14:textId="77777777" w:rsidTr="002E2C37">
        <w:trPr>
          <w:cantSplit/>
          <w:trHeight w:val="357"/>
        </w:trPr>
        <w:tc>
          <w:tcPr>
            <w:tcW w:w="9015" w:type="dxa"/>
            <w:gridSpan w:val="4"/>
            <w:tcBorders>
              <w:left w:val="single" w:sz="4" w:space="0" w:color="auto"/>
              <w:bottom w:val="single" w:sz="4" w:space="0" w:color="auto"/>
              <w:right w:val="single" w:sz="4" w:space="0" w:color="auto"/>
            </w:tcBorders>
            <w:shd w:val="clear" w:color="auto" w:fill="F2F2F2" w:themeFill="background1" w:themeFillShade="F2"/>
            <w:noWrap/>
          </w:tcPr>
          <w:p w14:paraId="2ABE73B3"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BAC3 Name(s) and contact details of expert(s) consulted</w:t>
            </w:r>
          </w:p>
        </w:tc>
      </w:tr>
      <w:tr w:rsidR="002D7080" w:rsidRPr="004D1E6F" w14:paraId="4616D90E" w14:textId="77777777" w:rsidTr="002E2C37">
        <w:trPr>
          <w:cantSplit/>
          <w:trHeight w:val="70"/>
        </w:trPr>
        <w:tc>
          <w:tcPr>
            <w:tcW w:w="2430" w:type="dxa"/>
            <w:vMerge w:val="restart"/>
            <w:tcBorders>
              <w:left w:val="single" w:sz="4" w:space="0" w:color="auto"/>
              <w:right w:val="single" w:sz="4" w:space="0" w:color="auto"/>
            </w:tcBorders>
            <w:shd w:val="clear" w:color="auto" w:fill="F2F2F2" w:themeFill="background1" w:themeFillShade="F2"/>
            <w:noWrap/>
          </w:tcPr>
          <w:p w14:paraId="533B8112"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Expert (1)</w:t>
            </w:r>
          </w:p>
        </w:tc>
        <w:tc>
          <w:tcPr>
            <w:tcW w:w="6585" w:type="dxa"/>
            <w:gridSpan w:val="3"/>
            <w:tcBorders>
              <w:top w:val="nil"/>
              <w:left w:val="nil"/>
              <w:bottom w:val="single" w:sz="4" w:space="0" w:color="auto"/>
              <w:right w:val="single" w:sz="4" w:space="0" w:color="auto"/>
            </w:tcBorders>
          </w:tcPr>
          <w:p w14:paraId="2CD36D5A"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Name:</w:t>
            </w:r>
            <w:r w:rsidRPr="004D1E6F">
              <w:rPr>
                <w:rFonts w:ascii="Times New Roman" w:eastAsia="Times New Roman" w:hAnsi="Times New Roman" w:cs="Times New Roman"/>
                <w:color w:val="000000"/>
                <w:sz w:val="20"/>
                <w:szCs w:val="20"/>
                <w:lang w:eastAsia="en-ZA"/>
              </w:rPr>
              <w:t xml:space="preserve"> </w:t>
            </w:r>
          </w:p>
        </w:tc>
      </w:tr>
      <w:tr w:rsidR="002D7080" w:rsidRPr="004D1E6F" w14:paraId="1C3FF486" w14:textId="77777777" w:rsidTr="002E2C37">
        <w:trPr>
          <w:cantSplit/>
          <w:trHeight w:val="70"/>
        </w:trPr>
        <w:tc>
          <w:tcPr>
            <w:tcW w:w="2430" w:type="dxa"/>
            <w:vMerge/>
            <w:tcBorders>
              <w:left w:val="single" w:sz="4" w:space="0" w:color="auto"/>
              <w:right w:val="single" w:sz="4" w:space="0" w:color="auto"/>
            </w:tcBorders>
            <w:shd w:val="clear" w:color="auto" w:fill="F2F2F2" w:themeFill="background1" w:themeFillShade="F2"/>
            <w:noWrap/>
          </w:tcPr>
          <w:p w14:paraId="7591D33C" w14:textId="77777777" w:rsidR="002D7080" w:rsidRPr="004D1E6F" w:rsidRDefault="002D7080" w:rsidP="004856F5">
            <w:pPr>
              <w:spacing w:after="0"/>
              <w:jc w:val="both"/>
              <w:rPr>
                <w:rFonts w:ascii="Times New Roman" w:eastAsia="Times New Roman" w:hAnsi="Times New Roman" w:cs="Times New Roman"/>
                <w:sz w:val="20"/>
                <w:szCs w:val="20"/>
                <w:lang w:eastAsia="en-ZA"/>
              </w:rPr>
            </w:pPr>
          </w:p>
        </w:tc>
        <w:tc>
          <w:tcPr>
            <w:tcW w:w="6585" w:type="dxa"/>
            <w:gridSpan w:val="3"/>
            <w:tcBorders>
              <w:top w:val="nil"/>
              <w:left w:val="nil"/>
              <w:bottom w:val="single" w:sz="4" w:space="0" w:color="auto"/>
              <w:right w:val="single" w:sz="4" w:space="0" w:color="auto"/>
            </w:tcBorders>
          </w:tcPr>
          <w:p w14:paraId="7661AD3D"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email: </w:t>
            </w:r>
          </w:p>
        </w:tc>
      </w:tr>
      <w:tr w:rsidR="002D7080" w:rsidRPr="004D1E6F" w14:paraId="7A1E4861" w14:textId="77777777" w:rsidTr="002E2C37">
        <w:trPr>
          <w:cantSplit/>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5C9479CA" w14:textId="77777777" w:rsidR="002D7080" w:rsidRPr="004D1E6F" w:rsidRDefault="002D7080" w:rsidP="004856F5">
            <w:pPr>
              <w:spacing w:after="0"/>
              <w:jc w:val="both"/>
              <w:rPr>
                <w:rFonts w:ascii="Times New Roman" w:eastAsia="Times New Roman" w:hAnsi="Times New Roman" w:cs="Times New Roman"/>
                <w:sz w:val="20"/>
                <w:szCs w:val="20"/>
                <w:lang w:eastAsia="en-ZA"/>
              </w:rPr>
            </w:pPr>
          </w:p>
        </w:tc>
        <w:tc>
          <w:tcPr>
            <w:tcW w:w="6585" w:type="dxa"/>
            <w:gridSpan w:val="3"/>
            <w:tcBorders>
              <w:top w:val="nil"/>
              <w:left w:val="nil"/>
              <w:bottom w:val="single" w:sz="4" w:space="0" w:color="auto"/>
              <w:right w:val="single" w:sz="4" w:space="0" w:color="auto"/>
            </w:tcBorders>
          </w:tcPr>
          <w:p w14:paraId="471134AA"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Phone: </w:t>
            </w:r>
          </w:p>
        </w:tc>
      </w:tr>
      <w:tr w:rsidR="002D7080" w:rsidRPr="004D1E6F" w14:paraId="361AC6D3" w14:textId="77777777" w:rsidTr="002E2C37">
        <w:trPr>
          <w:cantSplit/>
          <w:trHeight w:val="70"/>
        </w:trPr>
        <w:tc>
          <w:tcPr>
            <w:tcW w:w="2430" w:type="dxa"/>
            <w:vMerge w:val="restart"/>
            <w:tcBorders>
              <w:left w:val="single" w:sz="4" w:space="0" w:color="auto"/>
              <w:right w:val="single" w:sz="4" w:space="0" w:color="auto"/>
            </w:tcBorders>
            <w:shd w:val="clear" w:color="auto" w:fill="F2F2F2" w:themeFill="background1" w:themeFillShade="F2"/>
            <w:noWrap/>
          </w:tcPr>
          <w:p w14:paraId="76CB9D48"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Expert (2)</w:t>
            </w:r>
          </w:p>
        </w:tc>
        <w:tc>
          <w:tcPr>
            <w:tcW w:w="6585" w:type="dxa"/>
            <w:gridSpan w:val="3"/>
            <w:tcBorders>
              <w:top w:val="nil"/>
              <w:left w:val="nil"/>
              <w:bottom w:val="single" w:sz="4" w:space="0" w:color="auto"/>
              <w:right w:val="single" w:sz="4" w:space="0" w:color="auto"/>
            </w:tcBorders>
          </w:tcPr>
          <w:p w14:paraId="7C5DD0A8"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Name:</w:t>
            </w:r>
          </w:p>
        </w:tc>
      </w:tr>
      <w:tr w:rsidR="002D7080" w:rsidRPr="004D1E6F" w14:paraId="256C519E" w14:textId="77777777" w:rsidTr="002E2C37">
        <w:trPr>
          <w:cantSplit/>
          <w:trHeight w:val="70"/>
        </w:trPr>
        <w:tc>
          <w:tcPr>
            <w:tcW w:w="2430" w:type="dxa"/>
            <w:vMerge/>
            <w:tcBorders>
              <w:left w:val="single" w:sz="4" w:space="0" w:color="auto"/>
              <w:right w:val="single" w:sz="4" w:space="0" w:color="auto"/>
            </w:tcBorders>
            <w:shd w:val="clear" w:color="auto" w:fill="F2F2F2" w:themeFill="background1" w:themeFillShade="F2"/>
            <w:noWrap/>
          </w:tcPr>
          <w:p w14:paraId="3C4A67FE" w14:textId="77777777" w:rsidR="002D7080" w:rsidRPr="004D1E6F" w:rsidRDefault="002D7080" w:rsidP="004856F5">
            <w:pPr>
              <w:spacing w:after="0"/>
              <w:jc w:val="both"/>
              <w:rPr>
                <w:rFonts w:ascii="Times New Roman" w:eastAsia="Times New Roman" w:hAnsi="Times New Roman" w:cs="Times New Roman"/>
                <w:sz w:val="20"/>
                <w:szCs w:val="20"/>
                <w:lang w:eastAsia="en-ZA"/>
              </w:rPr>
            </w:pPr>
          </w:p>
        </w:tc>
        <w:tc>
          <w:tcPr>
            <w:tcW w:w="6585" w:type="dxa"/>
            <w:gridSpan w:val="3"/>
            <w:tcBorders>
              <w:top w:val="nil"/>
              <w:left w:val="nil"/>
              <w:bottom w:val="single" w:sz="4" w:space="0" w:color="auto"/>
              <w:right w:val="single" w:sz="4" w:space="0" w:color="auto"/>
            </w:tcBorders>
          </w:tcPr>
          <w:p w14:paraId="0D843EDD"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email:</w:t>
            </w:r>
          </w:p>
        </w:tc>
      </w:tr>
      <w:tr w:rsidR="002D7080" w:rsidRPr="004D1E6F" w14:paraId="212299C9" w14:textId="77777777" w:rsidTr="002E2C37">
        <w:trPr>
          <w:cantSplit/>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4783F01E" w14:textId="77777777" w:rsidR="002D7080" w:rsidRPr="004D1E6F" w:rsidRDefault="002D7080" w:rsidP="004856F5">
            <w:pPr>
              <w:spacing w:after="0"/>
              <w:jc w:val="both"/>
              <w:rPr>
                <w:rFonts w:ascii="Times New Roman" w:eastAsia="Times New Roman" w:hAnsi="Times New Roman" w:cs="Times New Roman"/>
                <w:sz w:val="20"/>
                <w:szCs w:val="20"/>
                <w:lang w:eastAsia="en-ZA"/>
              </w:rPr>
            </w:pPr>
          </w:p>
        </w:tc>
        <w:tc>
          <w:tcPr>
            <w:tcW w:w="6585" w:type="dxa"/>
            <w:gridSpan w:val="3"/>
            <w:tcBorders>
              <w:top w:val="nil"/>
              <w:left w:val="nil"/>
              <w:bottom w:val="single" w:sz="4" w:space="0" w:color="auto"/>
              <w:right w:val="single" w:sz="4" w:space="0" w:color="auto"/>
            </w:tcBorders>
          </w:tcPr>
          <w:p w14:paraId="2B9F80F2"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Phone:</w:t>
            </w:r>
          </w:p>
        </w:tc>
      </w:tr>
      <w:tr w:rsidR="002D7080" w:rsidRPr="004D1E6F" w14:paraId="0BE4FA35" w14:textId="77777777" w:rsidTr="002E2C37">
        <w:trPr>
          <w:cantSplit/>
          <w:trHeight w:val="70"/>
        </w:trPr>
        <w:tc>
          <w:tcPr>
            <w:tcW w:w="9015" w:type="dxa"/>
            <w:gridSpan w:val="4"/>
            <w:tcBorders>
              <w:top w:val="nil"/>
              <w:left w:val="single" w:sz="4" w:space="0" w:color="auto"/>
              <w:bottom w:val="single" w:sz="4" w:space="0" w:color="auto"/>
              <w:right w:val="single" w:sz="4" w:space="0" w:color="auto"/>
            </w:tcBorders>
            <w:noWrap/>
          </w:tcPr>
          <w:p w14:paraId="47726DA4"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Pr>
                <w:rFonts w:ascii="Times New Roman" w:eastAsia="Times New Roman" w:hAnsi="Times New Roman" w:cs="Times New Roman"/>
                <w:sz w:val="20"/>
                <w:szCs w:val="20"/>
                <w:lang w:eastAsia="en-ZA"/>
              </w:rPr>
              <w:t xml:space="preserve">none </w:t>
            </w:r>
          </w:p>
        </w:tc>
      </w:tr>
      <w:tr w:rsidR="002D7080" w:rsidRPr="004D1E6F" w14:paraId="6C6329B4" w14:textId="77777777" w:rsidTr="002E2C37">
        <w:trPr>
          <w:cantSplit/>
          <w:trHeight w:val="224"/>
        </w:trPr>
        <w:tc>
          <w:tcPr>
            <w:tcW w:w="9015"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6A5F7D9F"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BAC4 Scientific name of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under assessment</w:t>
            </w:r>
          </w:p>
        </w:tc>
      </w:tr>
      <w:tr w:rsidR="002D7080" w:rsidRPr="004D1E6F" w14:paraId="7FB9C02E" w14:textId="77777777" w:rsidTr="002E2C37">
        <w:trPr>
          <w:cantSplit/>
          <w:trHeight w:val="70"/>
        </w:trPr>
        <w:tc>
          <w:tcPr>
            <w:tcW w:w="6281" w:type="dxa"/>
            <w:gridSpan w:val="3"/>
            <w:tcBorders>
              <w:top w:val="nil"/>
              <w:left w:val="single" w:sz="4" w:space="0" w:color="auto"/>
              <w:bottom w:val="single" w:sz="4" w:space="0" w:color="auto"/>
              <w:right w:val="single" w:sz="4" w:space="0" w:color="auto"/>
            </w:tcBorders>
            <w:noWrap/>
          </w:tcPr>
          <w:p w14:paraId="3343E2A4"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name: </w:t>
            </w:r>
            <w:r w:rsidRPr="004D1E6F">
              <w:rPr>
                <w:rFonts w:ascii="Times New Roman" w:eastAsia="Times New Roman" w:hAnsi="Times New Roman" w:cs="Times New Roman"/>
                <w:i/>
                <w:sz w:val="20"/>
                <w:szCs w:val="20"/>
                <w:lang w:eastAsia="en-ZA"/>
              </w:rPr>
              <w:t>Procambarus clarkii</w:t>
            </w:r>
          </w:p>
        </w:tc>
        <w:tc>
          <w:tcPr>
            <w:tcW w:w="2734" w:type="dxa"/>
            <w:tcBorders>
              <w:top w:val="nil"/>
              <w:left w:val="nil"/>
              <w:bottom w:val="single" w:sz="4" w:space="0" w:color="auto"/>
              <w:right w:val="single" w:sz="4" w:space="0" w:color="auto"/>
            </w:tcBorders>
            <w:hideMark/>
          </w:tcPr>
          <w:p w14:paraId="4E5A77FB"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Authority: (Girard, 1852)</w:t>
            </w:r>
          </w:p>
        </w:tc>
      </w:tr>
      <w:tr w:rsidR="002D7080" w:rsidRPr="004D1E6F" w14:paraId="1185EF00" w14:textId="77777777" w:rsidTr="002E2C37">
        <w:trPr>
          <w:cantSplit/>
          <w:trHeight w:val="70"/>
        </w:trPr>
        <w:tc>
          <w:tcPr>
            <w:tcW w:w="9015" w:type="dxa"/>
            <w:gridSpan w:val="4"/>
            <w:tcBorders>
              <w:top w:val="nil"/>
              <w:left w:val="single" w:sz="4" w:space="0" w:color="auto"/>
              <w:bottom w:val="single" w:sz="4" w:space="0" w:color="auto"/>
              <w:right w:val="single" w:sz="4" w:space="0" w:color="auto"/>
            </w:tcBorders>
            <w:noWrap/>
          </w:tcPr>
          <w:p w14:paraId="140EA969"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 The name of the taxon under assessment is valid (Crandall &amp; De Grave 2017; Integrated Taxonomic Information System 2023).</w:t>
            </w:r>
          </w:p>
        </w:tc>
      </w:tr>
      <w:tr w:rsidR="002D7080" w:rsidRPr="004D1E6F" w14:paraId="2FAAFF65" w14:textId="77777777" w:rsidTr="002E2C37">
        <w:trPr>
          <w:cantSplit/>
          <w:trHeight w:val="70"/>
        </w:trPr>
        <w:tc>
          <w:tcPr>
            <w:tcW w:w="9015" w:type="dxa"/>
            <w:gridSpan w:val="4"/>
            <w:tcBorders>
              <w:top w:val="nil"/>
              <w:left w:val="single" w:sz="4" w:space="0" w:color="auto"/>
              <w:bottom w:val="single" w:sz="4" w:space="0" w:color="auto"/>
              <w:right w:val="single" w:sz="4" w:space="0" w:color="auto"/>
            </w:tcBorders>
            <w:noWrap/>
          </w:tcPr>
          <w:p w14:paraId="5A2E7BE9" w14:textId="77777777"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44547A3A" w14:textId="77777777"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Integrated Taxonomic Information System (ITIS), 2023,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(Girard, 1852)’, accessed 09 June 2023, from https://www.itis.gov/servlet/SingleRpt/SingleRpt.</w:t>
            </w:r>
          </w:p>
          <w:p w14:paraId="77E1E214" w14:textId="180E7A25"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bookmarkStart w:id="21" w:name="_Hlk213617052"/>
            <w:r w:rsidRPr="004D1E6F">
              <w:rPr>
                <w:rFonts w:ascii="Times New Roman" w:eastAsia="Times New Roman" w:hAnsi="Times New Roman" w:cs="Times New Roman"/>
                <w:sz w:val="20"/>
                <w:szCs w:val="20"/>
                <w:lang w:eastAsia="en-ZA"/>
              </w:rPr>
              <w:t xml:space="preserve">Crandall, K.A. &amp; De Grave, S., 2017, ‘An updated classification of the freshwater crayfishes (Decapoda: Astacidea) of the world, with a complete species list’, </w:t>
            </w:r>
            <w:r w:rsidRPr="004D1E6F">
              <w:rPr>
                <w:rFonts w:ascii="Times New Roman" w:eastAsia="Times New Roman" w:hAnsi="Times New Roman" w:cs="Times New Roman"/>
                <w:i/>
                <w:sz w:val="20"/>
                <w:szCs w:val="20"/>
                <w:lang w:eastAsia="en-ZA"/>
              </w:rPr>
              <w:t>Journal of Crustacean Biology</w:t>
            </w:r>
            <w:r w:rsidRPr="004D1E6F">
              <w:rPr>
                <w:rFonts w:ascii="Times New Roman" w:eastAsia="Times New Roman" w:hAnsi="Times New Roman" w:cs="Times New Roman"/>
                <w:sz w:val="20"/>
                <w:szCs w:val="20"/>
                <w:lang w:eastAsia="en-ZA"/>
              </w:rPr>
              <w:t xml:space="preserve"> 27, 615–653.</w:t>
            </w:r>
            <w:r w:rsidRPr="004D1E6F">
              <w:rPr>
                <w:rFonts w:ascii="Times New Roman" w:hAnsi="Times New Roman" w:cs="Times New Roman"/>
              </w:rPr>
              <w:t xml:space="preserve"> </w:t>
            </w:r>
            <w:r w:rsidR="00FE6A94" w:rsidRPr="00FE6A94">
              <w:rPr>
                <w:rFonts w:ascii="Times New Roman" w:eastAsia="Times New Roman" w:hAnsi="Times New Roman" w:cs="Times New Roman"/>
                <w:sz w:val="20"/>
                <w:szCs w:val="20"/>
                <w:lang w:eastAsia="en-ZA"/>
              </w:rPr>
              <w:t>https://doi.org/10.1093/jcbiol/rux070</w:t>
            </w:r>
            <w:r w:rsidRPr="004D1E6F">
              <w:rPr>
                <w:rFonts w:ascii="Times New Roman" w:eastAsia="Times New Roman" w:hAnsi="Times New Roman" w:cs="Times New Roman"/>
                <w:sz w:val="20"/>
                <w:szCs w:val="20"/>
                <w:lang w:eastAsia="en-ZA"/>
              </w:rPr>
              <w:t>.</w:t>
            </w:r>
            <w:r w:rsidR="00FE6A94">
              <w:rPr>
                <w:rFonts w:ascii="Times New Roman" w:eastAsia="Times New Roman" w:hAnsi="Times New Roman" w:cs="Times New Roman"/>
                <w:sz w:val="20"/>
                <w:szCs w:val="20"/>
                <w:lang w:eastAsia="en-ZA"/>
              </w:rPr>
              <w:t xml:space="preserve"> </w:t>
            </w:r>
            <w:bookmarkEnd w:id="21"/>
          </w:p>
        </w:tc>
      </w:tr>
      <w:tr w:rsidR="002D7080" w:rsidRPr="004D1E6F" w14:paraId="05CC1204" w14:textId="77777777" w:rsidTr="002E2C37">
        <w:trPr>
          <w:cantSplit/>
          <w:trHeight w:val="206"/>
        </w:trPr>
        <w:tc>
          <w:tcPr>
            <w:tcW w:w="9015"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E148F58"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BAC5 Synonym(s) considered</w:t>
            </w:r>
          </w:p>
        </w:tc>
      </w:tr>
      <w:tr w:rsidR="002D7080" w:rsidRPr="004D1E6F" w14:paraId="0DEAED76"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00DBDE47" w14:textId="77777777" w:rsidR="002D7080" w:rsidRPr="004D1E6F" w:rsidRDefault="002D7080" w:rsidP="004856F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Synonyms: None</w:t>
            </w:r>
          </w:p>
        </w:tc>
      </w:tr>
      <w:tr w:rsidR="002D7080" w:rsidRPr="004D1E6F" w14:paraId="2BC31D9F"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08A48D08"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No synonyms were considered. All the literature refers to the species as </w:t>
            </w:r>
            <w:r w:rsidRPr="004D1E6F">
              <w:rPr>
                <w:rFonts w:ascii="Times New Roman" w:eastAsia="Times New Roman" w:hAnsi="Times New Roman" w:cs="Times New Roman"/>
                <w:i/>
                <w:sz w:val="20"/>
                <w:szCs w:val="20"/>
                <w:lang w:eastAsia="en-ZA"/>
              </w:rPr>
              <w:t>P. clarkii</w:t>
            </w:r>
            <w:r w:rsidRPr="004D1E6F">
              <w:rPr>
                <w:rFonts w:ascii="Times New Roman" w:eastAsia="Times New Roman" w:hAnsi="Times New Roman" w:cs="Times New Roman"/>
                <w:sz w:val="20"/>
                <w:szCs w:val="20"/>
                <w:lang w:eastAsia="en-ZA"/>
              </w:rPr>
              <w:t xml:space="preserve"> (red swamp crayfish)</w:t>
            </w:r>
          </w:p>
        </w:tc>
      </w:tr>
      <w:tr w:rsidR="002D7080" w:rsidRPr="004D1E6F" w14:paraId="74DAD263"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7754374F"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0DBF068C" w14:textId="77777777" w:rsidTr="002E2C37">
        <w:trPr>
          <w:cantSplit/>
          <w:trHeight w:val="188"/>
        </w:trPr>
        <w:tc>
          <w:tcPr>
            <w:tcW w:w="9015"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9C60BCA"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BAC6 Common name(s) considered</w:t>
            </w:r>
          </w:p>
        </w:tc>
      </w:tr>
      <w:tr w:rsidR="002D7080" w:rsidRPr="004D1E6F" w14:paraId="44CFA72E"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746AEB3E" w14:textId="77777777" w:rsidR="002D7080" w:rsidRPr="004D1E6F" w:rsidRDefault="002D7080" w:rsidP="004856F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Common names: red swamp crayfish | Louisiana crayfish</w:t>
            </w:r>
          </w:p>
        </w:tc>
      </w:tr>
      <w:tr w:rsidR="002D7080" w:rsidRPr="004D1E6F" w14:paraId="4B9DF180"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6D4D5AB6"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is commonly known as the red swamp crayfish and the Louisiana crayfish (Gherardi 2006). These common names were considered in this assessment.</w:t>
            </w:r>
          </w:p>
        </w:tc>
      </w:tr>
      <w:tr w:rsidR="002D7080" w:rsidRPr="004D1E6F" w14:paraId="11B8A2C1"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05469F3C" w14:textId="77777777"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6E900C1D" w14:textId="2D439772" w:rsidR="002D7080" w:rsidRDefault="002D7080" w:rsidP="004856F5">
            <w:pPr>
              <w:spacing w:after="0"/>
              <w:ind w:left="720" w:hanging="720"/>
              <w:jc w:val="both"/>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sz w:val="20"/>
                <w:szCs w:val="20"/>
                <w:lang w:eastAsia="en-ZA"/>
              </w:rPr>
              <w:t xml:space="preserve">Gherardi, F., 2006, ‘Crayfish invading Europe: The case study of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Hydrobiologia</w:t>
            </w:r>
            <w:r w:rsidRPr="004D1E6F">
              <w:rPr>
                <w:rFonts w:ascii="Times New Roman" w:eastAsia="Times New Roman" w:hAnsi="Times New Roman" w:cs="Times New Roman"/>
                <w:sz w:val="20"/>
                <w:szCs w:val="20"/>
                <w:lang w:eastAsia="en-ZA"/>
              </w:rPr>
              <w:t xml:space="preserve"> 595, 295–301. </w:t>
            </w:r>
            <w:r w:rsidR="00FE6A94" w:rsidRPr="00FE6A94">
              <w:rPr>
                <w:rFonts w:ascii="Times New Roman" w:eastAsia="Times New Roman" w:hAnsi="Times New Roman" w:cs="Times New Roman"/>
                <w:sz w:val="20"/>
                <w:szCs w:val="20"/>
                <w:lang w:eastAsia="en-ZA"/>
              </w:rPr>
              <w:t>https://doi.org/10.1080/10236240600869702</w:t>
            </w:r>
            <w:r w:rsidRPr="004D1E6F">
              <w:rPr>
                <w:rFonts w:ascii="Times New Roman" w:eastAsia="Times New Roman" w:hAnsi="Times New Roman" w:cs="Times New Roman"/>
                <w:bCs/>
                <w:sz w:val="20"/>
                <w:szCs w:val="20"/>
                <w:lang w:eastAsia="en-ZA"/>
              </w:rPr>
              <w:t>.</w:t>
            </w:r>
          </w:p>
          <w:p w14:paraId="01576B36" w14:textId="77777777" w:rsidR="00FE6A94" w:rsidRPr="004D1E6F" w:rsidRDefault="00FE6A94" w:rsidP="004856F5">
            <w:pPr>
              <w:spacing w:after="0"/>
              <w:ind w:left="720" w:hanging="720"/>
              <w:jc w:val="both"/>
              <w:rPr>
                <w:rFonts w:ascii="Times New Roman" w:eastAsia="Times New Roman" w:hAnsi="Times New Roman" w:cs="Times New Roman"/>
                <w:sz w:val="20"/>
                <w:szCs w:val="20"/>
                <w:lang w:eastAsia="en-ZA"/>
              </w:rPr>
            </w:pPr>
          </w:p>
        </w:tc>
      </w:tr>
      <w:tr w:rsidR="002D7080" w:rsidRPr="004D1E6F" w14:paraId="3E5953EF" w14:textId="77777777" w:rsidTr="002E2C37">
        <w:trPr>
          <w:cantSplit/>
          <w:trHeight w:val="170"/>
        </w:trPr>
        <w:tc>
          <w:tcPr>
            <w:tcW w:w="9015"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3487910" w14:textId="77777777" w:rsidR="002D7080" w:rsidRPr="004D1E6F" w:rsidRDefault="002D7080" w:rsidP="00A96F79">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BAC7 What is the native range of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w:t>
            </w:r>
          </w:p>
        </w:tc>
      </w:tr>
      <w:tr w:rsidR="002D7080" w:rsidRPr="004D1E6F" w14:paraId="3F11265A" w14:textId="77777777" w:rsidTr="002E2C37">
        <w:trPr>
          <w:cantSplit/>
          <w:trHeight w:val="70"/>
        </w:trPr>
        <w:tc>
          <w:tcPr>
            <w:tcW w:w="6281" w:type="dxa"/>
            <w:gridSpan w:val="3"/>
            <w:tcBorders>
              <w:top w:val="single" w:sz="4" w:space="0" w:color="auto"/>
              <w:left w:val="single" w:sz="4" w:space="0" w:color="auto"/>
              <w:bottom w:val="single" w:sz="4" w:space="0" w:color="auto"/>
              <w:right w:val="single" w:sz="4" w:space="0" w:color="auto"/>
            </w:tcBorders>
            <w:noWrap/>
          </w:tcPr>
          <w:p w14:paraId="03F5D676" w14:textId="77777777" w:rsidR="002D7080" w:rsidRPr="004D1E6F" w:rsidRDefault="002D7080" w:rsidP="004856F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 North America</w:t>
            </w:r>
          </w:p>
        </w:tc>
        <w:tc>
          <w:tcPr>
            <w:tcW w:w="2734" w:type="dxa"/>
            <w:tcBorders>
              <w:top w:val="single" w:sz="4" w:space="0" w:color="auto"/>
              <w:left w:val="single" w:sz="4" w:space="0" w:color="auto"/>
              <w:bottom w:val="single" w:sz="4" w:space="0" w:color="auto"/>
              <w:right w:val="single" w:sz="4" w:space="0" w:color="auto"/>
            </w:tcBorders>
          </w:tcPr>
          <w:p w14:paraId="09313028" w14:textId="77777777" w:rsidR="002D7080" w:rsidRPr="004D1E6F" w:rsidRDefault="002D7080" w:rsidP="004856F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65D5B81A"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0FF930E7"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is native to north-eastern Mexico and south-central USA (Gherardi 2006; Hobbs 1989).</w:t>
            </w:r>
          </w:p>
        </w:tc>
      </w:tr>
      <w:tr w:rsidR="002D7080" w:rsidRPr="004D1E6F" w14:paraId="65DE8366"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5304A166" w14:textId="77777777"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73B0ABBB" w14:textId="7BD84101"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Gherardi, F., 2006, ‘Crayfish invading Europe: The case study of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Hydrobiologia</w:t>
            </w:r>
            <w:r w:rsidRPr="004D1E6F">
              <w:rPr>
                <w:rFonts w:ascii="Times New Roman" w:eastAsia="Times New Roman" w:hAnsi="Times New Roman" w:cs="Times New Roman"/>
                <w:sz w:val="20"/>
                <w:szCs w:val="20"/>
                <w:lang w:eastAsia="en-ZA"/>
              </w:rPr>
              <w:t xml:space="preserve"> 595, 295–301. </w:t>
            </w:r>
            <w:r w:rsidR="00FE6A94" w:rsidRPr="00FE6A94">
              <w:rPr>
                <w:rFonts w:ascii="Times New Roman" w:eastAsia="Times New Roman" w:hAnsi="Times New Roman" w:cs="Times New Roman"/>
                <w:sz w:val="20"/>
                <w:szCs w:val="20"/>
                <w:lang w:eastAsia="en-ZA"/>
              </w:rPr>
              <w:t>https://doi.org/10.1080/10236240600869702</w:t>
            </w:r>
            <w:r w:rsidRPr="004D1E6F">
              <w:rPr>
                <w:rFonts w:ascii="Times New Roman" w:eastAsia="Times New Roman" w:hAnsi="Times New Roman" w:cs="Times New Roman"/>
                <w:bCs/>
                <w:sz w:val="20"/>
                <w:szCs w:val="20"/>
                <w:lang w:eastAsia="en-ZA"/>
              </w:rPr>
              <w:t>.</w:t>
            </w:r>
          </w:p>
          <w:p w14:paraId="5BB9116E" w14:textId="53BFD8D6"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Hobbs, H., 1989, ‘A review of global crayfish introductions with particular emphasis on two North American species (Decapoda, Cambaridae)’, </w:t>
            </w:r>
            <w:r w:rsidRPr="004D1E6F">
              <w:rPr>
                <w:rFonts w:ascii="Times New Roman" w:eastAsia="Times New Roman" w:hAnsi="Times New Roman" w:cs="Times New Roman"/>
                <w:i/>
                <w:sz w:val="20"/>
                <w:szCs w:val="20"/>
                <w:lang w:eastAsia="en-ZA"/>
              </w:rPr>
              <w:t>Crustaceana</w:t>
            </w:r>
            <w:r w:rsidRPr="004D1E6F">
              <w:rPr>
                <w:rFonts w:ascii="Times New Roman" w:eastAsia="Times New Roman" w:hAnsi="Times New Roman" w:cs="Times New Roman"/>
                <w:sz w:val="20"/>
                <w:szCs w:val="20"/>
                <w:lang w:eastAsia="en-ZA"/>
              </w:rPr>
              <w:t xml:space="preserve"> 56, 299–316. </w:t>
            </w:r>
            <w:hyperlink r:id="rId514" w:history="1">
              <w:r w:rsidR="00FE6A94" w:rsidRPr="00F215B9">
                <w:rPr>
                  <w:rStyle w:val="Hyperlink"/>
                  <w:rFonts w:ascii="Times New Roman" w:eastAsia="Times New Roman" w:hAnsi="Times New Roman" w:cs="Times New Roman"/>
                  <w:sz w:val="20"/>
                  <w:szCs w:val="20"/>
                  <w:lang w:eastAsia="en-ZA"/>
                </w:rPr>
                <w:t>https://doi.org/10.1163/156854089X00275</w:t>
              </w:r>
            </w:hyperlink>
            <w:r w:rsidRPr="004D1E6F">
              <w:rPr>
                <w:rFonts w:ascii="Times New Roman" w:eastAsia="Times New Roman" w:hAnsi="Times New Roman" w:cs="Times New Roman"/>
                <w:sz w:val="20"/>
                <w:szCs w:val="20"/>
                <w:lang w:eastAsia="en-ZA"/>
              </w:rPr>
              <w:t>.</w:t>
            </w:r>
            <w:r w:rsidR="00FE6A94">
              <w:rPr>
                <w:rFonts w:ascii="Times New Roman" w:eastAsia="Times New Roman" w:hAnsi="Times New Roman" w:cs="Times New Roman"/>
                <w:sz w:val="20"/>
                <w:szCs w:val="20"/>
                <w:lang w:eastAsia="en-ZA"/>
              </w:rPr>
              <w:t xml:space="preserve"> </w:t>
            </w:r>
          </w:p>
        </w:tc>
      </w:tr>
      <w:tr w:rsidR="002D7080" w:rsidRPr="004D1E6F" w14:paraId="2240E7F5" w14:textId="77777777" w:rsidTr="002E2C37">
        <w:trPr>
          <w:cantSplit/>
          <w:trHeight w:val="215"/>
        </w:trPr>
        <w:tc>
          <w:tcPr>
            <w:tcW w:w="9015"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463C31D"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BAC8 What is the global alien range of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w:t>
            </w:r>
          </w:p>
        </w:tc>
      </w:tr>
      <w:tr w:rsidR="002D7080" w:rsidRPr="004D1E6F" w14:paraId="4BF1B00A" w14:textId="77777777" w:rsidTr="002E2C37">
        <w:trPr>
          <w:cantSplit/>
          <w:trHeight w:val="70"/>
        </w:trPr>
        <w:tc>
          <w:tcPr>
            <w:tcW w:w="6281" w:type="dxa"/>
            <w:gridSpan w:val="3"/>
            <w:tcBorders>
              <w:top w:val="single" w:sz="4" w:space="0" w:color="auto"/>
              <w:left w:val="single" w:sz="4" w:space="0" w:color="auto"/>
              <w:bottom w:val="single" w:sz="4" w:space="0" w:color="auto"/>
              <w:right w:val="single" w:sz="4" w:space="0" w:color="auto"/>
            </w:tcBorders>
            <w:noWrap/>
          </w:tcPr>
          <w:p w14:paraId="2F0F733A" w14:textId="77777777" w:rsidR="002D7080" w:rsidRPr="004D1E6F" w:rsidRDefault="002D7080" w:rsidP="004856F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 All continents except Antarctica</w:t>
            </w:r>
          </w:p>
        </w:tc>
        <w:tc>
          <w:tcPr>
            <w:tcW w:w="2734" w:type="dxa"/>
            <w:tcBorders>
              <w:top w:val="single" w:sz="4" w:space="0" w:color="auto"/>
              <w:left w:val="single" w:sz="4" w:space="0" w:color="auto"/>
              <w:bottom w:val="single" w:sz="4" w:space="0" w:color="auto"/>
              <w:right w:val="single" w:sz="4" w:space="0" w:color="auto"/>
            </w:tcBorders>
          </w:tcPr>
          <w:p w14:paraId="7EC44E02" w14:textId="77777777" w:rsidR="002D7080" w:rsidRPr="004D1E6F" w:rsidRDefault="002D7080" w:rsidP="004856F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73915258"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11FB5FA7"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Established populations of </w:t>
            </w:r>
            <w:r w:rsidRPr="004D1E6F">
              <w:rPr>
                <w:rFonts w:ascii="Times New Roman" w:eastAsia="Times New Roman" w:hAnsi="Times New Roman" w:cs="Times New Roman"/>
                <w:i/>
                <w:sz w:val="20"/>
                <w:szCs w:val="20"/>
                <w:lang w:eastAsia="en-ZA"/>
              </w:rPr>
              <w:t>P. clarkii</w:t>
            </w:r>
            <w:r w:rsidRPr="004D1E6F">
              <w:rPr>
                <w:rFonts w:ascii="Times New Roman" w:eastAsia="Times New Roman" w:hAnsi="Times New Roman" w:cs="Times New Roman"/>
                <w:sz w:val="20"/>
                <w:szCs w:val="20"/>
                <w:lang w:eastAsia="en-ZA"/>
              </w:rPr>
              <w:t xml:space="preserve"> occurs in the following countries: Belgium, Belize, Brazil; Chile, China, Colombia, Costa Rica, Cyprus, Dominican Republic, Ecuador, Egypt; France, Georgia, Germany, Italy, Japan, Kenya, Mexico, Netherlands, Philippines, Portugal, South Africa, Sudan, Spain, Switzerland, Taiwan, Uganda, United Kingdom, United States of America (Arizona, Arkansas, California, Hawaii, Idaho, Indiana, Maryland, Nevada, New Mexico – Native, North Carolina, Ohio, Oklahoma – Native, Oregon, South Carolina, Utah, Virginia, West Virginia – Present – Origin uncertain), Venezuela (Bolivarian Republic) and  Zambia (Lodge et al. 2012; Loureiro et al. 2015). See Appendix BAC8.</w:t>
            </w:r>
          </w:p>
        </w:tc>
      </w:tr>
      <w:tr w:rsidR="002D7080" w:rsidRPr="004D1E6F" w14:paraId="5AB59C38"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29110184"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714320A5" w14:textId="44305C0D" w:rsidR="00FE6A94" w:rsidRDefault="002D7080" w:rsidP="004856F5">
            <w:pPr>
              <w:spacing w:after="0"/>
              <w:ind w:left="720" w:hanging="720"/>
              <w:jc w:val="both"/>
              <w:rPr>
                <w:rFonts w:ascii="Times New Roman" w:eastAsia="Times New Roman" w:hAnsi="Times New Roman" w:cs="Times New Roman"/>
                <w:bCs/>
                <w:sz w:val="20"/>
                <w:szCs w:val="20"/>
                <w:lang w:eastAsia="en-ZA"/>
              </w:rPr>
            </w:pPr>
            <w:r w:rsidRPr="007B287C">
              <w:rPr>
                <w:rFonts w:ascii="Times New Roman" w:hAnsi="Times New Roman" w:cs="Times New Roman"/>
                <w:color w:val="000000" w:themeColor="text1"/>
                <w:sz w:val="20"/>
                <w:szCs w:val="20"/>
                <w:shd w:val="clear" w:color="auto" w:fill="FFFFFF"/>
              </w:rPr>
              <w:t xml:space="preserve">Lodge, D.M., Deines, A., Gherardi, F., Yeo, D.C., Arcella, T., Baldridge, A.K., et al., </w:t>
            </w:r>
            <w:r w:rsidRPr="007B287C">
              <w:rPr>
                <w:rFonts w:ascii="Times New Roman" w:eastAsia="Times New Roman" w:hAnsi="Times New Roman" w:cs="Times New Roman"/>
                <w:color w:val="000000" w:themeColor="text1"/>
                <w:sz w:val="20"/>
                <w:szCs w:val="20"/>
                <w:lang w:eastAsia="en-ZA"/>
              </w:rPr>
              <w:t xml:space="preserve">2012, ‘Global introductions of crayfishes: Evaluating the impact of species invasions on ecosystem services’, </w:t>
            </w:r>
            <w:r w:rsidRPr="007B287C">
              <w:rPr>
                <w:rFonts w:ascii="Times New Roman" w:eastAsia="Times New Roman" w:hAnsi="Times New Roman" w:cs="Times New Roman"/>
                <w:i/>
                <w:color w:val="000000" w:themeColor="text1"/>
                <w:sz w:val="20"/>
                <w:szCs w:val="20"/>
                <w:lang w:eastAsia="en-ZA"/>
              </w:rPr>
              <w:t>Annual Review of Ecology Evolution Systematics</w:t>
            </w:r>
            <w:r w:rsidRPr="007B287C">
              <w:rPr>
                <w:rFonts w:ascii="Times New Roman" w:eastAsia="Times New Roman" w:hAnsi="Times New Roman" w:cs="Times New Roman"/>
                <w:color w:val="000000" w:themeColor="text1"/>
                <w:sz w:val="20"/>
                <w:szCs w:val="20"/>
                <w:lang w:eastAsia="en-ZA"/>
              </w:rPr>
              <w:t xml:space="preserve"> 43, 449–472. </w:t>
            </w:r>
            <w:r w:rsidR="00FE6A94" w:rsidRPr="000E56EC">
              <w:rPr>
                <w:rFonts w:ascii="Times New Roman" w:eastAsia="Times New Roman" w:hAnsi="Times New Roman" w:cs="Times New Roman"/>
                <w:bCs/>
                <w:color w:val="000000" w:themeColor="text1"/>
                <w:sz w:val="20"/>
                <w:szCs w:val="20"/>
                <w:lang w:eastAsia="en-ZA"/>
              </w:rPr>
              <w:t>https://doi.org/10.1146/annurev-ecolsys-111511-103919</w:t>
            </w:r>
          </w:p>
          <w:p w14:paraId="56A6DE93" w14:textId="0E48259C" w:rsidR="002D7080" w:rsidRPr="004D1E6F" w:rsidRDefault="002D7080" w:rsidP="004856F5">
            <w:pPr>
              <w:spacing w:after="0"/>
              <w:ind w:left="720" w:hanging="720"/>
              <w:jc w:val="both"/>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Loureiro, T.G., Anastácio, P.M.S.G., Araujo, P.B., Souty-Grosset, C. &amp; Almerão, M.P., 2015, ‘Red swamp crayfish: biology, ecology and invasion–an overview’, </w:t>
            </w:r>
            <w:r w:rsidRPr="004D1E6F">
              <w:rPr>
                <w:rFonts w:ascii="Times New Roman" w:eastAsia="Times New Roman" w:hAnsi="Times New Roman" w:cs="Times New Roman"/>
                <w:bCs/>
                <w:i/>
                <w:iCs/>
                <w:sz w:val="20"/>
                <w:szCs w:val="20"/>
                <w:lang w:eastAsia="en-ZA"/>
              </w:rPr>
              <w:t xml:space="preserve">Nauplius </w:t>
            </w:r>
            <w:r w:rsidRPr="004D1E6F">
              <w:rPr>
                <w:rFonts w:ascii="Times New Roman" w:eastAsia="Times New Roman" w:hAnsi="Times New Roman" w:cs="Times New Roman"/>
                <w:bCs/>
                <w:sz w:val="20"/>
                <w:szCs w:val="20"/>
                <w:lang w:eastAsia="en-ZA"/>
              </w:rPr>
              <w:t xml:space="preserve">23(1), 1–19. </w:t>
            </w:r>
            <w:r w:rsidR="00FE6A94" w:rsidRPr="00FE6A94">
              <w:rPr>
                <w:rFonts w:ascii="Times New Roman" w:eastAsia="Times New Roman" w:hAnsi="Times New Roman" w:cs="Times New Roman"/>
                <w:bCs/>
                <w:iCs/>
                <w:sz w:val="20"/>
                <w:szCs w:val="20"/>
                <w:lang w:eastAsia="en-ZA"/>
              </w:rPr>
              <w:t xml:space="preserve">. </w:t>
            </w:r>
            <w:hyperlink r:id="rId515" w:history="1">
              <w:r w:rsidR="00FE6A94" w:rsidRPr="00FE6A94">
                <w:rPr>
                  <w:rStyle w:val="Hyperlink"/>
                  <w:rFonts w:ascii="Times New Roman" w:eastAsia="Times New Roman" w:hAnsi="Times New Roman" w:cs="Times New Roman"/>
                  <w:bCs/>
                  <w:iCs/>
                  <w:sz w:val="20"/>
                  <w:szCs w:val="20"/>
                  <w:lang w:eastAsia="en-ZA"/>
                </w:rPr>
                <w:t>https://doi.org/10.1590/S0104-64972014002214</w:t>
              </w:r>
            </w:hyperlink>
            <w:r w:rsidRPr="004D1E6F">
              <w:rPr>
                <w:rFonts w:ascii="Times New Roman" w:eastAsia="Times New Roman" w:hAnsi="Times New Roman" w:cs="Times New Roman"/>
                <w:bCs/>
                <w:sz w:val="20"/>
                <w:szCs w:val="20"/>
                <w:lang w:eastAsia="en-ZA"/>
              </w:rPr>
              <w:t>.</w:t>
            </w:r>
          </w:p>
        </w:tc>
      </w:tr>
      <w:tr w:rsidR="002D7080" w:rsidRPr="004D1E6F" w14:paraId="4D7A53F0" w14:textId="77777777" w:rsidTr="002E2C37">
        <w:trPr>
          <w:cantSplit/>
          <w:trHeight w:val="224"/>
        </w:trPr>
        <w:tc>
          <w:tcPr>
            <w:tcW w:w="9015"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43702FD"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BAC9 Geographic scope =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 xml:space="preserve"> under consideration</w:t>
            </w:r>
          </w:p>
        </w:tc>
      </w:tr>
      <w:tr w:rsidR="002D7080" w:rsidRPr="004D1E6F" w14:paraId="4E9D39A2"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68F30895"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 xml:space="preserve"> of assessment: South Africa</w:t>
            </w:r>
          </w:p>
        </w:tc>
      </w:tr>
      <w:tr w:rsidR="002D7080" w:rsidRPr="004D1E6F" w14:paraId="4F57C88C"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00B8DF36"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Comments: The geographic scope of this assessment is limited to South Africa.</w:t>
            </w:r>
          </w:p>
        </w:tc>
      </w:tr>
      <w:tr w:rsidR="002D7080" w:rsidRPr="004D1E6F" w14:paraId="507A8546" w14:textId="77777777" w:rsidTr="002E2C37">
        <w:trPr>
          <w:cantSplit/>
          <w:trHeight w:val="233"/>
        </w:trPr>
        <w:tc>
          <w:tcPr>
            <w:tcW w:w="9015"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5B589F5" w14:textId="77777777" w:rsidR="002D7080" w:rsidRPr="004D1E6F" w:rsidRDefault="002D7080" w:rsidP="004856F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BAC10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present in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045BF92D" w14:textId="77777777" w:rsidTr="002E2C37">
        <w:trPr>
          <w:cantSplit/>
          <w:trHeight w:val="70"/>
        </w:trPr>
        <w:tc>
          <w:tcPr>
            <w:tcW w:w="6281" w:type="dxa"/>
            <w:gridSpan w:val="3"/>
            <w:tcBorders>
              <w:top w:val="single" w:sz="4" w:space="0" w:color="auto"/>
              <w:left w:val="single" w:sz="4" w:space="0" w:color="auto"/>
              <w:bottom w:val="single" w:sz="4" w:space="0" w:color="auto"/>
              <w:right w:val="single" w:sz="4" w:space="0" w:color="auto"/>
            </w:tcBorders>
            <w:noWrap/>
          </w:tcPr>
          <w:p w14:paraId="07579F48" w14:textId="77777777" w:rsidR="002D7080" w:rsidRPr="004D1E6F" w:rsidRDefault="002D7080" w:rsidP="004856F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 Yes</w:t>
            </w:r>
          </w:p>
        </w:tc>
        <w:tc>
          <w:tcPr>
            <w:tcW w:w="2734" w:type="dxa"/>
            <w:tcBorders>
              <w:top w:val="single" w:sz="4" w:space="0" w:color="auto"/>
              <w:left w:val="single" w:sz="4" w:space="0" w:color="auto"/>
              <w:bottom w:val="single" w:sz="4" w:space="0" w:color="auto"/>
              <w:right w:val="single" w:sz="4" w:space="0" w:color="auto"/>
            </w:tcBorders>
          </w:tcPr>
          <w:p w14:paraId="47864042" w14:textId="77777777" w:rsidR="002D7080" w:rsidRPr="004D1E6F" w:rsidRDefault="002D7080" w:rsidP="004856F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6B537DC0"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5772D49D" w14:textId="307B017C"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The first record of </w:t>
            </w:r>
            <w:r w:rsidRPr="004D1E6F">
              <w:rPr>
                <w:rFonts w:ascii="Times New Roman" w:eastAsia="Times New Roman" w:hAnsi="Times New Roman" w:cs="Times New Roman"/>
                <w:i/>
                <w:sz w:val="20"/>
                <w:szCs w:val="20"/>
                <w:lang w:eastAsia="en-ZA"/>
              </w:rPr>
              <w:t>P. clarkii</w:t>
            </w:r>
            <w:r w:rsidRPr="004D1E6F">
              <w:rPr>
                <w:rFonts w:ascii="Times New Roman" w:eastAsia="Times New Roman" w:hAnsi="Times New Roman" w:cs="Times New Roman"/>
                <w:sz w:val="20"/>
                <w:szCs w:val="20"/>
                <w:lang w:eastAsia="en-ZA"/>
              </w:rPr>
              <w:t xml:space="preserve"> was in 1988 at the Driehoek Farm </w:t>
            </w:r>
            <w:r w:rsidRPr="004D1E6F">
              <w:rPr>
                <w:rFonts w:ascii="Times New Roman" w:eastAsia="Times New Roman" w:hAnsi="Times New Roman" w:cs="Times New Roman"/>
                <w:i/>
                <w:sz w:val="20"/>
                <w:szCs w:val="20"/>
                <w:lang w:eastAsia="en-ZA"/>
              </w:rPr>
              <w:t>ca</w:t>
            </w:r>
            <w:r w:rsidRPr="004D1E6F">
              <w:rPr>
                <w:rFonts w:ascii="Times New Roman" w:eastAsia="Times New Roman" w:hAnsi="Times New Roman" w:cs="Times New Roman"/>
                <w:sz w:val="20"/>
                <w:szCs w:val="20"/>
                <w:lang w:eastAsia="en-ZA"/>
              </w:rPr>
              <w:t xml:space="preserve">. 10 km from the town of Dullstroom, Mpumalanga Province (25°28′24.50″S, 30°07′23.61″E)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"ITEM-2",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"(de Moor 2002, Nunes et al. 2017a)", "plainTextFormattedCitation" : "(de Moor 2002, Nunes et al. 2017a)", "previouslyFormattedCitation" : "(de Moor 2002, Nunes et al. 2017a)"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 Nunes et al. 2017a, 2017b)</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has since been found in Mimosa Dam (27°58′56.28″S, 26°44′16.79″E) in the Free State Province and Vredendal (lower Olifants and irrigation systems) in the Western Cape (Barkhuizen, Madzivanzira, &amp; South 2022; Weyl et al. 2020). See Appendix BAC10.</w:t>
            </w:r>
          </w:p>
        </w:tc>
      </w:tr>
      <w:tr w:rsidR="002D7080" w:rsidRPr="004D1E6F" w14:paraId="2561FFA6"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7D0C0C1B" w14:textId="77777777"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2397499" w14:textId="74C2AD15"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Barkhuizen, L.M., Madzivanzira, T.C. &amp; South, J., 2022, ‘Population ecology of a wild population of red swamp crayfish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 xml:space="preserve">(Girard, 1852) in the Free State Province, South Africa and implications for eradication efforts’, </w:t>
            </w:r>
            <w:r w:rsidRPr="004D1E6F">
              <w:rPr>
                <w:rFonts w:ascii="Times New Roman" w:eastAsia="Times New Roman" w:hAnsi="Times New Roman" w:cs="Times New Roman"/>
                <w:i/>
                <w:sz w:val="20"/>
                <w:szCs w:val="20"/>
                <w:lang w:eastAsia="en-ZA"/>
              </w:rPr>
              <w:t xml:space="preserve">BioInvasions Records </w:t>
            </w:r>
            <w:r w:rsidRPr="004D1E6F">
              <w:rPr>
                <w:rFonts w:ascii="Times New Roman" w:eastAsia="Times New Roman" w:hAnsi="Times New Roman" w:cs="Times New Roman"/>
                <w:iCs/>
                <w:sz w:val="20"/>
                <w:szCs w:val="20"/>
                <w:lang w:eastAsia="en-ZA"/>
              </w:rPr>
              <w:t>11, 181-191</w:t>
            </w:r>
            <w:r w:rsidRPr="004D1E6F">
              <w:rPr>
                <w:rFonts w:ascii="Times New Roman" w:eastAsia="Times New Roman" w:hAnsi="Times New Roman" w:cs="Times New Roman"/>
                <w:sz w:val="20"/>
                <w:szCs w:val="20"/>
                <w:lang w:eastAsia="en-ZA"/>
              </w:rPr>
              <w:t xml:space="preserve">. </w:t>
            </w:r>
            <w:r w:rsidR="00FE6A94" w:rsidRPr="00FE6A94">
              <w:rPr>
                <w:rFonts w:ascii="Times New Roman" w:eastAsia="Times New Roman" w:hAnsi="Times New Roman" w:cs="Times New Roman"/>
                <w:iCs/>
                <w:sz w:val="20"/>
                <w:szCs w:val="20"/>
                <w:lang w:eastAsia="en-ZA"/>
              </w:rPr>
              <w:t>. https://doi.org/10.3391/bir.2022</w:t>
            </w:r>
            <w:r w:rsidRPr="004D1E6F">
              <w:rPr>
                <w:rFonts w:ascii="Times New Roman" w:eastAsia="Times New Roman" w:hAnsi="Times New Roman" w:cs="Times New Roman"/>
                <w:sz w:val="20"/>
                <w:szCs w:val="20"/>
                <w:lang w:eastAsia="en-ZA"/>
              </w:rPr>
              <w:t>.</w:t>
            </w:r>
            <w:r w:rsidR="00FE6A94">
              <w:rPr>
                <w:rFonts w:ascii="Times New Roman" w:eastAsia="Times New Roman" w:hAnsi="Times New Roman" w:cs="Times New Roman"/>
                <w:sz w:val="20"/>
                <w:szCs w:val="20"/>
                <w:lang w:eastAsia="en-ZA"/>
              </w:rPr>
              <w:t xml:space="preserve"> </w:t>
            </w:r>
          </w:p>
          <w:p w14:paraId="013AF71D" w14:textId="00D77EB5" w:rsidR="002D7080" w:rsidRPr="004D1E6F" w:rsidRDefault="008A0BC6" w:rsidP="004856F5">
            <w:pPr>
              <w:spacing w:after="0"/>
              <w:ind w:left="720" w:hanging="720"/>
              <w:jc w:val="both"/>
              <w:rPr>
                <w:rFonts w:ascii="Times New Roman" w:eastAsia="Times New Roman" w:hAnsi="Times New Roman" w:cs="Times New Roman"/>
                <w:sz w:val="20"/>
                <w:szCs w:val="20"/>
                <w:lang w:eastAsia="en-ZA"/>
              </w:rPr>
            </w:pPr>
            <w:r>
              <w:rPr>
                <w:rFonts w:ascii="Times New Roman" w:eastAsia="Times New Roman" w:hAnsi="Times New Roman" w:cs="Times New Roman"/>
                <w:color w:val="000000"/>
                <w:sz w:val="20"/>
                <w:szCs w:val="20"/>
                <w:lang w:eastAsia="en-ZA"/>
              </w:rPr>
              <w:t>De Moor</w:t>
            </w:r>
            <w:r w:rsidR="002D7080" w:rsidRPr="004D1E6F">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 </w:t>
            </w:r>
            <w:hyperlink r:id="rId516" w:history="1">
              <w:r w:rsidR="00FE6A94" w:rsidRPr="00D66918">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sz w:val="20"/>
                <w:szCs w:val="20"/>
                <w:lang w:eastAsia="en-ZA"/>
              </w:rPr>
              <w:t>.</w:t>
            </w:r>
          </w:p>
          <w:p w14:paraId="4E26CBBB" w14:textId="66A2F541"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Hoffman, C.A., Zengeya, T.A., Measey, G.J. &amp; Weyl, O.L.F, 2017a, ‘Red swamp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found in South Africa 22 years after attempted eradication’, </w:t>
            </w:r>
            <w:r w:rsidRPr="004D1E6F">
              <w:rPr>
                <w:rFonts w:ascii="Times New Roman" w:eastAsia="Times New Roman" w:hAnsi="Times New Roman" w:cs="Times New Roman"/>
                <w:i/>
                <w:sz w:val="20"/>
                <w:szCs w:val="20"/>
                <w:lang w:eastAsia="en-ZA"/>
              </w:rPr>
              <w:t>Aquatic Conservation: Marine &amp; Freshwater Ecosystem</w:t>
            </w:r>
            <w:r w:rsidRPr="004D1E6F">
              <w:rPr>
                <w:rFonts w:ascii="Times New Roman" w:eastAsia="Times New Roman" w:hAnsi="Times New Roman" w:cs="Times New Roman"/>
                <w:sz w:val="20"/>
                <w:szCs w:val="20"/>
                <w:lang w:eastAsia="en-ZA"/>
              </w:rPr>
              <w:t xml:space="preserve"> 27, 1334–1340. </w:t>
            </w:r>
            <w:hyperlink r:id="rId517" w:history="1">
              <w:r w:rsidR="00FE6A94" w:rsidRPr="00F215B9">
                <w:rPr>
                  <w:rStyle w:val="Hyperlink"/>
                  <w:rFonts w:ascii="Times New Roman" w:eastAsia="Times New Roman" w:hAnsi="Times New Roman" w:cs="Times New Roman"/>
                  <w:bCs/>
                  <w:sz w:val="20"/>
                  <w:szCs w:val="20"/>
                  <w:lang w:eastAsia="en-ZA"/>
                </w:rPr>
                <w:t>https://doi.org/10.1002/aqc.2741</w:t>
              </w:r>
            </w:hyperlink>
            <w:r w:rsidRPr="004D1E6F">
              <w:rPr>
                <w:rFonts w:ascii="Times New Roman" w:hAnsi="Times New Roman" w:cs="Times New Roman"/>
                <w:bCs/>
                <w:sz w:val="20"/>
                <w:szCs w:val="20"/>
              </w:rPr>
              <w:t>.</w:t>
            </w:r>
            <w:r w:rsidR="00FE6A94">
              <w:rPr>
                <w:rFonts w:ascii="Times New Roman" w:hAnsi="Times New Roman" w:cs="Times New Roman"/>
                <w:bCs/>
                <w:sz w:val="20"/>
                <w:szCs w:val="20"/>
              </w:rPr>
              <w:t xml:space="preserve"> </w:t>
            </w:r>
          </w:p>
          <w:p w14:paraId="4162A79E" w14:textId="559E942C" w:rsidR="002D7080" w:rsidRPr="004D1E6F" w:rsidRDefault="002D7080" w:rsidP="004856F5">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518" w:history="1">
              <w:r w:rsidR="00FE6A94" w:rsidRPr="00F215B9">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r w:rsidR="00FE6A94">
              <w:rPr>
                <w:rFonts w:ascii="Times New Roman" w:eastAsia="Times New Roman" w:hAnsi="Times New Roman" w:cs="Times New Roman"/>
                <w:color w:val="000000"/>
                <w:sz w:val="20"/>
                <w:szCs w:val="20"/>
                <w:lang w:eastAsia="en-ZA"/>
              </w:rPr>
              <w:t xml:space="preserve"> </w:t>
            </w:r>
          </w:p>
          <w:p w14:paraId="00C51FCF" w14:textId="77777777" w:rsidR="002D7080" w:rsidRPr="004D1E6F" w:rsidRDefault="002D7080" w:rsidP="004856F5">
            <w:pPr>
              <w:spacing w:after="0"/>
              <w:ind w:left="720" w:hanging="720"/>
              <w:jc w:val="both"/>
              <w:rPr>
                <w:rFonts w:ascii="Times New Roman" w:eastAsia="Times New Roman" w:hAnsi="Times New Roman" w:cs="Times New Roman"/>
                <w:bCs/>
                <w:color w:val="000000"/>
                <w:sz w:val="20"/>
                <w:szCs w:val="20"/>
                <w:lang w:eastAsia="en-ZA"/>
              </w:rPr>
            </w:pPr>
            <w:r w:rsidRPr="004D1E6F">
              <w:rPr>
                <w:rFonts w:ascii="Times New Roman" w:eastAsia="Times New Roman" w:hAnsi="Times New Roman" w:cs="Times New Roman"/>
                <w:bCs/>
                <w:color w:val="000000"/>
                <w:sz w:val="20"/>
                <w:szCs w:val="20"/>
                <w:lang w:eastAsia="en-ZA"/>
              </w:rPr>
              <w:t xml:space="preserve">Weyl, O.L.F., Ellender, B., Wassermann, R.J., Truter, M., Dalu, T., Zengeya, T.A. et al., 2020, ‘Alien freshwater fauna in South Africa’, In: van Wilgen B.W., Measey, J., Richardson, D.M., Wilson, J.R., Zengeya, T.A. (eds), </w:t>
            </w:r>
            <w:r w:rsidRPr="004D1E6F">
              <w:rPr>
                <w:rFonts w:ascii="Times New Roman" w:eastAsia="Times New Roman" w:hAnsi="Times New Roman" w:cs="Times New Roman"/>
                <w:bCs/>
                <w:i/>
                <w:color w:val="000000"/>
                <w:sz w:val="20"/>
                <w:szCs w:val="20"/>
                <w:lang w:eastAsia="en-ZA"/>
              </w:rPr>
              <w:t>Biological invasions in South Africa</w:t>
            </w:r>
            <w:r w:rsidRPr="004D1E6F">
              <w:rPr>
                <w:rFonts w:ascii="Times New Roman" w:eastAsia="Times New Roman" w:hAnsi="Times New Roman" w:cs="Times New Roman"/>
                <w:bCs/>
                <w:iCs/>
                <w:color w:val="000000"/>
                <w:sz w:val="20"/>
                <w:szCs w:val="20"/>
                <w:lang w:eastAsia="en-ZA"/>
              </w:rPr>
              <w:t>,</w:t>
            </w:r>
            <w:r w:rsidRPr="004D1E6F">
              <w:rPr>
                <w:rFonts w:ascii="Times New Roman" w:eastAsia="Times New Roman" w:hAnsi="Times New Roman" w:cs="Times New Roman"/>
                <w:bCs/>
                <w:color w:val="000000"/>
                <w:sz w:val="20"/>
                <w:szCs w:val="20"/>
                <w:lang w:eastAsia="en-ZA"/>
              </w:rPr>
              <w:t xml:space="preserve"> pp 151–182, Springer, Berlin. </w:t>
            </w:r>
          </w:p>
        </w:tc>
      </w:tr>
      <w:tr w:rsidR="002D7080" w:rsidRPr="004D1E6F" w14:paraId="0238D86B" w14:textId="77777777" w:rsidTr="002E2C37">
        <w:trPr>
          <w:cantSplit/>
          <w:trHeight w:val="215"/>
        </w:trPr>
        <w:tc>
          <w:tcPr>
            <w:tcW w:w="9015"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B9946AB" w14:textId="77777777" w:rsidR="002D7080" w:rsidRPr="004D1E6F" w:rsidRDefault="002D7080" w:rsidP="00A96F79">
            <w:pPr>
              <w:spacing w:after="0"/>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BAC11 Availability of physical specimen</w:t>
            </w:r>
          </w:p>
        </w:tc>
      </w:tr>
      <w:tr w:rsidR="002D7080" w:rsidRPr="004D1E6F" w14:paraId="6AC5D363" w14:textId="77777777" w:rsidTr="002E2C37">
        <w:trPr>
          <w:cantSplit/>
          <w:trHeight w:val="70"/>
        </w:trPr>
        <w:tc>
          <w:tcPr>
            <w:tcW w:w="6281" w:type="dxa"/>
            <w:gridSpan w:val="3"/>
            <w:tcBorders>
              <w:top w:val="single" w:sz="4" w:space="0" w:color="auto"/>
              <w:left w:val="single" w:sz="4" w:space="0" w:color="auto"/>
              <w:bottom w:val="single" w:sz="4" w:space="0" w:color="auto"/>
              <w:right w:val="single" w:sz="4" w:space="0" w:color="auto"/>
            </w:tcBorders>
            <w:noWrap/>
          </w:tcPr>
          <w:p w14:paraId="59D324D6" w14:textId="77777777" w:rsidR="002D7080" w:rsidRPr="004D1E6F" w:rsidRDefault="002D7080" w:rsidP="00A96F79">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Response: Yes</w:t>
            </w:r>
          </w:p>
        </w:tc>
        <w:tc>
          <w:tcPr>
            <w:tcW w:w="2734" w:type="dxa"/>
            <w:tcBorders>
              <w:top w:val="single" w:sz="4" w:space="0" w:color="auto"/>
              <w:left w:val="single" w:sz="4" w:space="0" w:color="auto"/>
              <w:bottom w:val="single" w:sz="4" w:space="0" w:color="auto"/>
              <w:right w:val="single" w:sz="4" w:space="0" w:color="auto"/>
            </w:tcBorders>
          </w:tcPr>
          <w:p w14:paraId="143906C8" w14:textId="77777777" w:rsidR="002D7080" w:rsidRPr="004D1E6F" w:rsidRDefault="002D7080" w:rsidP="00A96F79">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sz w:val="20"/>
                <w:szCs w:val="20"/>
                <w:lang w:eastAsia="en-ZA"/>
              </w:rPr>
              <w:t>Confidence in ID: Medium</w:t>
            </w:r>
          </w:p>
        </w:tc>
      </w:tr>
      <w:tr w:rsidR="002D7080" w:rsidRPr="004D1E6F" w14:paraId="61D4B168" w14:textId="77777777" w:rsidTr="002E2C37">
        <w:trPr>
          <w:cantSplit/>
          <w:trHeight w:val="148"/>
        </w:trPr>
        <w:tc>
          <w:tcPr>
            <w:tcW w:w="9015" w:type="dxa"/>
            <w:gridSpan w:val="4"/>
            <w:tcBorders>
              <w:top w:val="single" w:sz="4" w:space="0" w:color="auto"/>
              <w:left w:val="single" w:sz="4" w:space="0" w:color="auto"/>
              <w:bottom w:val="single" w:sz="4" w:space="0" w:color="auto"/>
              <w:right w:val="single" w:sz="4" w:space="0" w:color="auto"/>
            </w:tcBorders>
            <w:noWrap/>
          </w:tcPr>
          <w:p w14:paraId="424B67AA"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Herbarium or museum accession number: A sample was collected at one reservoir on the Driehoek Farm. The specimen will be sent to the Albany Museum. As the specimen has not been formally deposited yet, the confidence is scored as medium.</w:t>
            </w:r>
          </w:p>
        </w:tc>
      </w:tr>
      <w:tr w:rsidR="002D7080" w:rsidRPr="004D1E6F" w14:paraId="17535B40"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37A6DC04" w14:textId="77777777"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r w:rsidRPr="004D1E6F">
              <w:rPr>
                <w:rStyle w:val="CommentReference"/>
                <w:rFonts w:ascii="Times New Roman" w:hAnsi="Times New Roman" w:cs="Times New Roman"/>
                <w:sz w:val="20"/>
                <w:szCs w:val="20"/>
              </w:rPr>
              <w:t>:</w:t>
            </w:r>
            <w:r w:rsidRPr="004D1E6F">
              <w:rPr>
                <w:rFonts w:ascii="Times New Roman" w:eastAsia="Times New Roman" w:hAnsi="Times New Roman" w:cs="Times New Roman"/>
                <w:sz w:val="20"/>
                <w:szCs w:val="20"/>
                <w:lang w:eastAsia="en-ZA"/>
              </w:rPr>
              <w:t xml:space="preserve"> </w:t>
            </w:r>
          </w:p>
        </w:tc>
      </w:tr>
      <w:tr w:rsidR="002D7080" w:rsidRPr="004D1E6F" w14:paraId="00BF67AB" w14:textId="77777777" w:rsidTr="002E2C37">
        <w:trPr>
          <w:cantSplit/>
          <w:trHeight w:val="125"/>
        </w:trPr>
        <w:tc>
          <w:tcPr>
            <w:tcW w:w="9015"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3E058E6" w14:textId="77777777" w:rsidR="002D7080" w:rsidRPr="004D1E6F" w:rsidRDefault="002D7080" w:rsidP="004856F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BAC12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 native to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 xml:space="preserve"> or part of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04FEDAA6" w14:textId="77777777" w:rsidTr="002E2C37">
        <w:trPr>
          <w:cantSplit/>
          <w:trHeight w:val="70"/>
        </w:trPr>
        <w:tc>
          <w:tcPr>
            <w:tcW w:w="395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9F8C531"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native to (part of) the </w:t>
            </w: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w:t>
            </w:r>
          </w:p>
        </w:tc>
        <w:tc>
          <w:tcPr>
            <w:tcW w:w="2326" w:type="dxa"/>
            <w:tcBorders>
              <w:top w:val="single" w:sz="4" w:space="0" w:color="auto"/>
              <w:left w:val="nil"/>
              <w:bottom w:val="single" w:sz="4" w:space="0" w:color="auto"/>
              <w:right w:val="single" w:sz="4" w:space="0" w:color="auto"/>
            </w:tcBorders>
          </w:tcPr>
          <w:p w14:paraId="67B1B9DF" w14:textId="77777777" w:rsidR="002D7080" w:rsidRPr="004D1E6F" w:rsidRDefault="002D7080" w:rsidP="00A96F7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c>
          <w:tcPr>
            <w:tcW w:w="2734" w:type="dxa"/>
            <w:tcBorders>
              <w:top w:val="single" w:sz="4" w:space="0" w:color="auto"/>
              <w:left w:val="nil"/>
              <w:bottom w:val="single" w:sz="4" w:space="0" w:color="auto"/>
              <w:right w:val="single" w:sz="4" w:space="0" w:color="auto"/>
            </w:tcBorders>
          </w:tcPr>
          <w:p w14:paraId="283499D9" w14:textId="77777777" w:rsidR="002D7080" w:rsidRPr="004D1E6F" w:rsidRDefault="002D7080" w:rsidP="00A96F7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0E2A74E1" w14:textId="77777777" w:rsidTr="002E2C37">
        <w:trPr>
          <w:cantSplit/>
          <w:trHeight w:val="70"/>
        </w:trPr>
        <w:tc>
          <w:tcPr>
            <w:tcW w:w="395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016CA5A"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alien in (part of) the </w:t>
            </w:r>
            <w:r w:rsidRPr="004D1E6F">
              <w:rPr>
                <w:rFonts w:ascii="Times New Roman" w:eastAsia="Times New Roman" w:hAnsi="Times New Roman" w:cs="Times New Roman"/>
                <w:i/>
                <w:sz w:val="20"/>
                <w:szCs w:val="20"/>
                <w:lang w:eastAsia="en-ZA"/>
              </w:rPr>
              <w:t>Area</w:t>
            </w:r>
            <w:r w:rsidRPr="004D1E6F">
              <w:rPr>
                <w:rFonts w:ascii="Times New Roman" w:eastAsia="Times New Roman" w:hAnsi="Times New Roman" w:cs="Times New Roman"/>
                <w:sz w:val="20"/>
                <w:szCs w:val="20"/>
                <w:lang w:eastAsia="en-ZA"/>
              </w:rPr>
              <w:t>.</w:t>
            </w:r>
          </w:p>
        </w:tc>
        <w:tc>
          <w:tcPr>
            <w:tcW w:w="2326" w:type="dxa"/>
            <w:tcBorders>
              <w:top w:val="single" w:sz="4" w:space="0" w:color="auto"/>
              <w:left w:val="nil"/>
              <w:bottom w:val="single" w:sz="4" w:space="0" w:color="auto"/>
              <w:right w:val="single" w:sz="4" w:space="0" w:color="auto"/>
            </w:tcBorders>
          </w:tcPr>
          <w:p w14:paraId="455DB370" w14:textId="77777777" w:rsidR="002D7080" w:rsidRPr="004D1E6F" w:rsidRDefault="002D7080" w:rsidP="00A96F7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Yes</w:t>
            </w:r>
          </w:p>
        </w:tc>
        <w:tc>
          <w:tcPr>
            <w:tcW w:w="2734" w:type="dxa"/>
            <w:tcBorders>
              <w:top w:val="single" w:sz="4" w:space="0" w:color="auto"/>
              <w:left w:val="nil"/>
              <w:bottom w:val="single" w:sz="4" w:space="0" w:color="auto"/>
              <w:right w:val="single" w:sz="4" w:space="0" w:color="auto"/>
            </w:tcBorders>
          </w:tcPr>
          <w:p w14:paraId="36B9BA3D" w14:textId="77777777" w:rsidR="002D7080" w:rsidRPr="004D1E6F" w:rsidRDefault="002D7080" w:rsidP="00A96F7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61FDE074"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0DD2907E" w14:textId="471800FD"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There are no freshwater crayfish species native to South Africa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2017b)", "plainTextFormattedCitation" : "(de Moor 2002, Nunes et al. 2017b)", "previouslyFormattedCitation" : "(de Moor 2002, Nunes et al. 2017b)"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 Nunes et al. 2017a, 2017b)</w:t>
            </w:r>
            <w:r w:rsidRPr="004D1E6F">
              <w:rPr>
                <w:rFonts w:ascii="Times New Roman" w:eastAsia="Times New Roman" w:hAnsi="Times New Roman" w:cs="Times New Roman"/>
                <w:sz w:val="20"/>
                <w:szCs w:val="20"/>
                <w:lang w:eastAsia="en-ZA"/>
              </w:rPr>
              <w:fldChar w:fldCharType="end"/>
            </w:r>
          </w:p>
        </w:tc>
      </w:tr>
      <w:tr w:rsidR="002D7080" w:rsidRPr="004D1E6F" w14:paraId="01B3773F"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6398A232" w14:textId="77777777"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7193531E" w14:textId="0D7044EE" w:rsidR="002D7080" w:rsidRPr="004D1E6F" w:rsidRDefault="008A0BC6" w:rsidP="004856F5">
            <w:pPr>
              <w:spacing w:after="0"/>
              <w:ind w:left="720" w:hanging="720"/>
              <w:jc w:val="both"/>
              <w:rPr>
                <w:rFonts w:ascii="Times New Roman" w:eastAsia="Times New Roman" w:hAnsi="Times New Roman" w:cs="Times New Roman"/>
                <w:sz w:val="20"/>
                <w:szCs w:val="20"/>
                <w:lang w:eastAsia="en-ZA"/>
              </w:rPr>
            </w:pPr>
            <w:r>
              <w:rPr>
                <w:rFonts w:ascii="Times New Roman" w:eastAsia="Times New Roman" w:hAnsi="Times New Roman" w:cs="Times New Roman"/>
                <w:color w:val="000000"/>
                <w:sz w:val="20"/>
                <w:szCs w:val="20"/>
                <w:lang w:eastAsia="en-ZA"/>
              </w:rPr>
              <w:t>De Moor</w:t>
            </w:r>
            <w:r w:rsidR="002D7080" w:rsidRPr="004D1E6F">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 </w:t>
            </w:r>
            <w:hyperlink r:id="rId519" w:history="1">
              <w:r w:rsidR="00FE6A94" w:rsidRPr="00D66918">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sz w:val="20"/>
                <w:szCs w:val="20"/>
                <w:lang w:eastAsia="en-ZA"/>
              </w:rPr>
              <w:t>.</w:t>
            </w:r>
            <w:r w:rsidR="00FE6A94">
              <w:rPr>
                <w:rFonts w:ascii="Times New Roman" w:eastAsia="Times New Roman" w:hAnsi="Times New Roman" w:cs="Times New Roman"/>
                <w:sz w:val="20"/>
                <w:szCs w:val="20"/>
                <w:lang w:eastAsia="en-ZA"/>
              </w:rPr>
              <w:t xml:space="preserve"> </w:t>
            </w:r>
          </w:p>
          <w:p w14:paraId="3BE8A8E0" w14:textId="50B18ABD"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Hoffman, C.A., Zengeya, T.A., Measey, G.J. &amp; Weyl, O.L.F, 2017a, ‘Red swamp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found in South Africa 22 years after attempted eradication’, </w:t>
            </w:r>
            <w:r w:rsidRPr="004D1E6F">
              <w:rPr>
                <w:rFonts w:ascii="Times New Roman" w:eastAsia="Times New Roman" w:hAnsi="Times New Roman" w:cs="Times New Roman"/>
                <w:i/>
                <w:sz w:val="20"/>
                <w:szCs w:val="20"/>
                <w:lang w:eastAsia="en-ZA"/>
              </w:rPr>
              <w:t>Aquatic Conservation: Marine &amp; Freshwater Ecosystems</w:t>
            </w:r>
            <w:r w:rsidRPr="004D1E6F">
              <w:rPr>
                <w:rFonts w:ascii="Times New Roman" w:eastAsia="Times New Roman" w:hAnsi="Times New Roman" w:cs="Times New Roman"/>
                <w:sz w:val="20"/>
                <w:szCs w:val="20"/>
                <w:lang w:eastAsia="en-ZA"/>
              </w:rPr>
              <w:t xml:space="preserve"> 27, 1334–1340. </w:t>
            </w:r>
            <w:hyperlink r:id="rId520" w:history="1">
              <w:r w:rsidR="00FE6A94" w:rsidRPr="00F215B9">
                <w:rPr>
                  <w:rStyle w:val="Hyperlink"/>
                  <w:rFonts w:ascii="Times New Roman" w:eastAsia="Times New Roman" w:hAnsi="Times New Roman" w:cs="Times New Roman"/>
                  <w:bCs/>
                  <w:sz w:val="20"/>
                  <w:szCs w:val="20"/>
                  <w:lang w:eastAsia="en-ZA"/>
                </w:rPr>
                <w:t>https://doi.org/10.1002/aqc.2741</w:t>
              </w:r>
            </w:hyperlink>
            <w:r w:rsidRPr="004D1E6F">
              <w:rPr>
                <w:rFonts w:ascii="Times New Roman" w:hAnsi="Times New Roman" w:cs="Times New Roman"/>
                <w:bCs/>
                <w:sz w:val="20"/>
                <w:szCs w:val="20"/>
              </w:rPr>
              <w:t>.</w:t>
            </w:r>
            <w:r w:rsidR="00FE6A94">
              <w:rPr>
                <w:rFonts w:ascii="Times New Roman" w:hAnsi="Times New Roman" w:cs="Times New Roman"/>
                <w:bCs/>
                <w:sz w:val="20"/>
                <w:szCs w:val="20"/>
              </w:rPr>
              <w:t xml:space="preserve"> </w:t>
            </w:r>
          </w:p>
          <w:p w14:paraId="67A36054" w14:textId="4CCC990E"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521" w:history="1">
              <w:r w:rsidR="00FE6A94" w:rsidRPr="00F215B9">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r w:rsidR="00FE6A94">
              <w:rPr>
                <w:rFonts w:ascii="Times New Roman" w:eastAsia="Times New Roman" w:hAnsi="Times New Roman" w:cs="Times New Roman"/>
                <w:color w:val="000000"/>
                <w:sz w:val="20"/>
                <w:szCs w:val="20"/>
                <w:lang w:eastAsia="en-ZA"/>
              </w:rPr>
              <w:t xml:space="preserve"> </w:t>
            </w:r>
          </w:p>
        </w:tc>
      </w:tr>
      <w:tr w:rsidR="002D7080" w:rsidRPr="004D1E6F" w14:paraId="59978094" w14:textId="77777777" w:rsidTr="002E2C37">
        <w:trPr>
          <w:cantSplit/>
          <w:trHeight w:val="224"/>
        </w:trPr>
        <w:tc>
          <w:tcPr>
            <w:tcW w:w="9015"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CF2619C"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 xml:space="preserve">BAC13 What is the </w:t>
            </w:r>
            <w:r w:rsidRPr="004D1E6F">
              <w:rPr>
                <w:rFonts w:ascii="Times New Roman" w:eastAsia="Times New Roman" w:hAnsi="Times New Roman" w:cs="Times New Roman"/>
                <w:b/>
                <w:i/>
                <w:sz w:val="20"/>
                <w:szCs w:val="20"/>
                <w:lang w:eastAsia="en-ZA"/>
              </w:rPr>
              <w:t>Taxon</w:t>
            </w:r>
            <w:r w:rsidRPr="004D1E6F">
              <w:rPr>
                <w:rFonts w:ascii="Times New Roman" w:eastAsia="Times New Roman" w:hAnsi="Times New Roman" w:cs="Times New Roman"/>
                <w:b/>
                <w:sz w:val="20"/>
                <w:szCs w:val="20"/>
                <w:lang w:eastAsia="en-ZA"/>
              </w:rPr>
              <w:t xml:space="preserve">’s introduction status in the </w:t>
            </w:r>
            <w:r w:rsidRPr="004D1E6F">
              <w:rPr>
                <w:rFonts w:ascii="Times New Roman" w:eastAsia="Times New Roman" w:hAnsi="Times New Roman" w:cs="Times New Roman"/>
                <w:b/>
                <w:i/>
                <w:sz w:val="20"/>
                <w:szCs w:val="20"/>
                <w:lang w:eastAsia="en-ZA"/>
              </w:rPr>
              <w:t>Area</w:t>
            </w:r>
            <w:r w:rsidRPr="004D1E6F">
              <w:rPr>
                <w:rFonts w:ascii="Times New Roman" w:eastAsia="Times New Roman" w:hAnsi="Times New Roman" w:cs="Times New Roman"/>
                <w:b/>
                <w:sz w:val="20"/>
                <w:szCs w:val="20"/>
                <w:lang w:eastAsia="en-ZA"/>
              </w:rPr>
              <w:t>?</w:t>
            </w:r>
          </w:p>
        </w:tc>
      </w:tr>
      <w:tr w:rsidR="002D7080" w:rsidRPr="004D1E6F" w14:paraId="467C8F8B" w14:textId="77777777" w:rsidTr="002E2C37">
        <w:trPr>
          <w:cantSplit/>
          <w:trHeight w:val="90"/>
        </w:trPr>
        <w:tc>
          <w:tcPr>
            <w:tcW w:w="395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42C959E"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in cultivation/containment.</w:t>
            </w:r>
          </w:p>
        </w:tc>
        <w:tc>
          <w:tcPr>
            <w:tcW w:w="2326" w:type="dxa"/>
            <w:tcBorders>
              <w:top w:val="single" w:sz="4" w:space="0" w:color="auto"/>
              <w:left w:val="single" w:sz="4" w:space="0" w:color="auto"/>
              <w:bottom w:val="single" w:sz="4" w:space="0" w:color="auto"/>
              <w:right w:val="single" w:sz="4" w:space="0" w:color="auto"/>
            </w:tcBorders>
          </w:tcPr>
          <w:p w14:paraId="5D749ECC" w14:textId="77777777" w:rsidR="002D7080" w:rsidRPr="004D1E6F" w:rsidRDefault="002D7080" w:rsidP="00A96F7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Unknown</w:t>
            </w:r>
          </w:p>
        </w:tc>
        <w:tc>
          <w:tcPr>
            <w:tcW w:w="2734" w:type="dxa"/>
            <w:tcBorders>
              <w:top w:val="single" w:sz="4" w:space="0" w:color="auto"/>
              <w:left w:val="single" w:sz="4" w:space="0" w:color="auto"/>
              <w:bottom w:val="single" w:sz="4" w:space="0" w:color="auto"/>
              <w:right w:val="single" w:sz="4" w:space="0" w:color="auto"/>
            </w:tcBorders>
          </w:tcPr>
          <w:p w14:paraId="5DFCCE20" w14:textId="77777777" w:rsidR="002D7080" w:rsidRPr="004D1E6F" w:rsidRDefault="002D7080" w:rsidP="00A96F7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046372BF" w14:textId="77777777" w:rsidTr="002E2C37">
        <w:trPr>
          <w:cantSplit/>
          <w:trHeight w:val="87"/>
        </w:trPr>
        <w:tc>
          <w:tcPr>
            <w:tcW w:w="395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39BB33E"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present outside of cultivation/containment.</w:t>
            </w:r>
          </w:p>
        </w:tc>
        <w:tc>
          <w:tcPr>
            <w:tcW w:w="2326" w:type="dxa"/>
            <w:tcBorders>
              <w:top w:val="single" w:sz="4" w:space="0" w:color="auto"/>
              <w:left w:val="single" w:sz="4" w:space="0" w:color="auto"/>
              <w:bottom w:val="single" w:sz="4" w:space="0" w:color="auto"/>
              <w:right w:val="single" w:sz="4" w:space="0" w:color="auto"/>
            </w:tcBorders>
          </w:tcPr>
          <w:p w14:paraId="77383301" w14:textId="77777777" w:rsidR="002D7080" w:rsidRPr="004D1E6F" w:rsidRDefault="002D7080" w:rsidP="00A96F7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Yes </w:t>
            </w:r>
          </w:p>
        </w:tc>
        <w:tc>
          <w:tcPr>
            <w:tcW w:w="2734" w:type="dxa"/>
            <w:tcBorders>
              <w:top w:val="single" w:sz="4" w:space="0" w:color="auto"/>
              <w:left w:val="single" w:sz="4" w:space="0" w:color="auto"/>
              <w:bottom w:val="single" w:sz="4" w:space="0" w:color="auto"/>
              <w:right w:val="single" w:sz="4" w:space="0" w:color="auto"/>
            </w:tcBorders>
          </w:tcPr>
          <w:p w14:paraId="42099344" w14:textId="77777777" w:rsidR="002D7080" w:rsidRPr="004D1E6F" w:rsidRDefault="002D7080" w:rsidP="00A96F7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212343F5" w14:textId="77777777" w:rsidTr="002E2C37">
        <w:trPr>
          <w:cantSplit/>
          <w:trHeight w:val="87"/>
        </w:trPr>
        <w:tc>
          <w:tcPr>
            <w:tcW w:w="395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635B119" w14:textId="77777777" w:rsidR="002D7080" w:rsidRPr="004D1E6F" w:rsidRDefault="002D7080" w:rsidP="00A96F7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has established/naturalised.</w:t>
            </w:r>
          </w:p>
        </w:tc>
        <w:tc>
          <w:tcPr>
            <w:tcW w:w="2326" w:type="dxa"/>
            <w:tcBorders>
              <w:top w:val="single" w:sz="4" w:space="0" w:color="auto"/>
              <w:left w:val="single" w:sz="4" w:space="0" w:color="auto"/>
              <w:bottom w:val="single" w:sz="4" w:space="0" w:color="auto"/>
              <w:right w:val="single" w:sz="4" w:space="0" w:color="auto"/>
            </w:tcBorders>
          </w:tcPr>
          <w:p w14:paraId="04D7F044" w14:textId="77777777" w:rsidR="002D7080" w:rsidRPr="004D1E6F" w:rsidRDefault="002D7080" w:rsidP="00A96F7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Yes </w:t>
            </w:r>
          </w:p>
        </w:tc>
        <w:tc>
          <w:tcPr>
            <w:tcW w:w="2734" w:type="dxa"/>
            <w:tcBorders>
              <w:top w:val="single" w:sz="4" w:space="0" w:color="auto"/>
              <w:left w:val="single" w:sz="4" w:space="0" w:color="auto"/>
              <w:bottom w:val="single" w:sz="4" w:space="0" w:color="auto"/>
              <w:right w:val="single" w:sz="4" w:space="0" w:color="auto"/>
            </w:tcBorders>
          </w:tcPr>
          <w:p w14:paraId="6B290EA2" w14:textId="77777777" w:rsidR="002D7080" w:rsidRPr="004D1E6F" w:rsidRDefault="002D7080" w:rsidP="00A96F7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34EA1484" w14:textId="77777777" w:rsidTr="002E2C37">
        <w:trPr>
          <w:cantSplit/>
          <w:trHeight w:val="87"/>
        </w:trPr>
        <w:tc>
          <w:tcPr>
            <w:tcW w:w="395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0F2BF15" w14:textId="77777777" w:rsidR="002D7080" w:rsidRPr="004D1E6F" w:rsidRDefault="002D7080" w:rsidP="00A96F7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The </w:t>
            </w:r>
            <w:r w:rsidRPr="004D1E6F">
              <w:rPr>
                <w:rFonts w:ascii="Times New Roman" w:eastAsia="Times New Roman" w:hAnsi="Times New Roman" w:cs="Times New Roman"/>
                <w:i/>
                <w:sz w:val="20"/>
                <w:szCs w:val="20"/>
                <w:lang w:eastAsia="en-ZA"/>
              </w:rPr>
              <w:t>Taxon</w:t>
            </w:r>
            <w:r w:rsidRPr="004D1E6F">
              <w:rPr>
                <w:rFonts w:ascii="Times New Roman" w:eastAsia="Times New Roman" w:hAnsi="Times New Roman" w:cs="Times New Roman"/>
                <w:sz w:val="20"/>
                <w:szCs w:val="20"/>
                <w:lang w:eastAsia="en-ZA"/>
              </w:rPr>
              <w:t xml:space="preserve"> is invasive.</w:t>
            </w:r>
          </w:p>
        </w:tc>
        <w:tc>
          <w:tcPr>
            <w:tcW w:w="2326" w:type="dxa"/>
            <w:tcBorders>
              <w:top w:val="single" w:sz="4" w:space="0" w:color="auto"/>
              <w:left w:val="single" w:sz="4" w:space="0" w:color="auto"/>
              <w:bottom w:val="single" w:sz="4" w:space="0" w:color="auto"/>
              <w:right w:val="single" w:sz="4" w:space="0" w:color="auto"/>
            </w:tcBorders>
          </w:tcPr>
          <w:p w14:paraId="5B99617E" w14:textId="77777777" w:rsidR="002D7080" w:rsidRPr="004D1E6F" w:rsidRDefault="002D7080" w:rsidP="00A96F7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Yes </w:t>
            </w:r>
          </w:p>
        </w:tc>
        <w:tc>
          <w:tcPr>
            <w:tcW w:w="2734" w:type="dxa"/>
            <w:tcBorders>
              <w:top w:val="single" w:sz="4" w:space="0" w:color="auto"/>
              <w:left w:val="single" w:sz="4" w:space="0" w:color="auto"/>
              <w:bottom w:val="single" w:sz="4" w:space="0" w:color="auto"/>
              <w:right w:val="single" w:sz="4" w:space="0" w:color="auto"/>
            </w:tcBorders>
          </w:tcPr>
          <w:p w14:paraId="263E08F3" w14:textId="77777777" w:rsidR="002D7080" w:rsidRPr="004D1E6F" w:rsidRDefault="002D7080" w:rsidP="00A96F79">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14010ADF"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1321D550"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During a survey at Driehoek Farm in 2016 a specimen of </w:t>
            </w:r>
            <w:r w:rsidRPr="004D1E6F">
              <w:rPr>
                <w:rFonts w:ascii="Times New Roman" w:eastAsia="Times New Roman" w:hAnsi="Times New Roman" w:cs="Times New Roman"/>
                <w:i/>
                <w:sz w:val="20"/>
                <w:szCs w:val="20"/>
                <w:lang w:eastAsia="en-ZA"/>
              </w:rPr>
              <w:t>P. clarkii</w:t>
            </w:r>
            <w:r w:rsidRPr="004D1E6F">
              <w:rPr>
                <w:rFonts w:ascii="Times New Roman" w:eastAsia="Times New Roman" w:hAnsi="Times New Roman" w:cs="Times New Roman"/>
                <w:sz w:val="20"/>
                <w:szCs w:val="20"/>
                <w:lang w:eastAsia="en-ZA"/>
              </w:rPr>
              <w:t xml:space="preserve"> was found (22 years after an eradication attempt of the population at the farm)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"ITEM-1",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"(Nunes et al. 2017a)", "plainTextFormattedCitation" : "(Nunes et al. 2017a)", "previouslyFormattedCitation" : "(Nunes et al. 2017a)"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2017a)</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The specimen was found to be reproductively active, indicating that a small but viable population may still be present. In 2018, a population of </w:t>
            </w:r>
            <w:r w:rsidRPr="004D1E6F">
              <w:rPr>
                <w:rFonts w:ascii="Times New Roman" w:eastAsia="Times New Roman" w:hAnsi="Times New Roman" w:cs="Times New Roman"/>
                <w:i/>
                <w:sz w:val="20"/>
                <w:szCs w:val="20"/>
                <w:lang w:eastAsia="en-ZA"/>
              </w:rPr>
              <w:t>P. clarkii</w:t>
            </w:r>
            <w:r w:rsidRPr="004D1E6F">
              <w:rPr>
                <w:rFonts w:ascii="Times New Roman" w:eastAsia="Times New Roman" w:hAnsi="Times New Roman" w:cs="Times New Roman"/>
                <w:sz w:val="20"/>
                <w:szCs w:val="20"/>
                <w:lang w:eastAsia="en-ZA"/>
              </w:rPr>
              <w:t xml:space="preserve"> was found in Mimosa Dam in the Free State province and indications are that the population is established and breeding (Barkhuizen et al. 2022; Madzivanzira et al. 2021). In 2022, </w:t>
            </w:r>
            <w:r w:rsidRPr="004D1E6F">
              <w:rPr>
                <w:rFonts w:ascii="Times New Roman" w:eastAsia="Times New Roman" w:hAnsi="Times New Roman" w:cs="Times New Roman"/>
                <w:i/>
                <w:iCs/>
                <w:sz w:val="20"/>
                <w:szCs w:val="20"/>
                <w:lang w:eastAsia="en-ZA"/>
              </w:rPr>
              <w:t>P. clarkii</w:t>
            </w:r>
            <w:r w:rsidRPr="004D1E6F">
              <w:rPr>
                <w:rFonts w:ascii="Times New Roman" w:eastAsia="Times New Roman" w:hAnsi="Times New Roman" w:cs="Times New Roman"/>
                <w:sz w:val="20"/>
                <w:szCs w:val="20"/>
                <w:lang w:eastAsia="en-ZA"/>
              </w:rPr>
              <w:t xml:space="preserve"> was also found in the Olifants tributary and agricultural irrigations systems in Vredendal, Western Cape. </w:t>
            </w:r>
            <w:r w:rsidRPr="004D1E6F">
              <w:rPr>
                <w:rFonts w:ascii="Times New Roman" w:eastAsia="Times New Roman" w:hAnsi="Times New Roman" w:cs="Times New Roman"/>
                <w:i/>
                <w:iCs/>
                <w:sz w:val="20"/>
                <w:szCs w:val="20"/>
                <w:lang w:eastAsia="en-ZA"/>
              </w:rPr>
              <w:t>Procambarus clarkii</w:t>
            </w:r>
            <w:r w:rsidRPr="004D1E6F">
              <w:rPr>
                <w:rFonts w:ascii="Times New Roman" w:eastAsia="Times New Roman" w:hAnsi="Times New Roman" w:cs="Times New Roman"/>
                <w:sz w:val="20"/>
                <w:szCs w:val="20"/>
                <w:lang w:eastAsia="en-ZA"/>
              </w:rPr>
              <w:t xml:space="preserve"> may also be present in the pet trade but this has not been verified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"ITEM-1", "issue" : "6", "issued" : { "date-parts" : [ [ "2017" ] ] }, "page" : "1334-1340", "title" : "Red swamp crayfish, Procambarus clarkii, found in South Africa 22\u00a0years after attempted eradication", "type" : "article-journal", "volume" : "27" }, "uris" : [ "http://www.mendeley.com/documents/?uuid=ff77405b-a427-4839-a1a0-0b37ec669e00"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"(Nunes et al. 2017b, 2017a)", "plainTextFormattedCitation" : "(Nunes et al. 2017b, 2017a)", "previouslyFormattedCitation" : "(Nunes et al. 2017b, 2017a)"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2017a, 2017b)</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w:t>
            </w:r>
          </w:p>
        </w:tc>
      </w:tr>
      <w:tr w:rsidR="002D7080" w:rsidRPr="004D1E6F" w14:paraId="48A9110D"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070AD852" w14:textId="77777777"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461963F5" w14:textId="66249F99"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Barkhuizen, L.M., Madzivanzira, T.C. &amp; South, J., 2022, ‘Population ecology of a wild population of red swamp crayfish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 xml:space="preserve">(Girard, 1852) in the Free State Province, South Africa and implications for eradication efforts’, </w:t>
            </w:r>
            <w:r w:rsidRPr="004D1E6F">
              <w:rPr>
                <w:rFonts w:ascii="Times New Roman" w:eastAsia="Times New Roman" w:hAnsi="Times New Roman" w:cs="Times New Roman"/>
                <w:i/>
                <w:sz w:val="20"/>
                <w:szCs w:val="20"/>
                <w:lang w:eastAsia="en-ZA"/>
              </w:rPr>
              <w:t xml:space="preserve">BioInvasions Records </w:t>
            </w:r>
            <w:r w:rsidRPr="004D1E6F">
              <w:rPr>
                <w:rFonts w:ascii="Times New Roman" w:eastAsia="Times New Roman" w:hAnsi="Times New Roman" w:cs="Times New Roman"/>
                <w:iCs/>
                <w:sz w:val="20"/>
                <w:szCs w:val="20"/>
                <w:lang w:eastAsia="en-ZA"/>
              </w:rPr>
              <w:t>11, 181-191</w:t>
            </w:r>
            <w:r w:rsidRPr="004D1E6F">
              <w:rPr>
                <w:rFonts w:ascii="Times New Roman" w:eastAsia="Times New Roman" w:hAnsi="Times New Roman" w:cs="Times New Roman"/>
                <w:sz w:val="20"/>
                <w:szCs w:val="20"/>
                <w:lang w:eastAsia="en-ZA"/>
              </w:rPr>
              <w:t xml:space="preserve">. </w:t>
            </w:r>
            <w:r w:rsidR="00D5184E" w:rsidRPr="00D5184E">
              <w:rPr>
                <w:rFonts w:ascii="Times New Roman" w:eastAsia="Times New Roman" w:hAnsi="Times New Roman" w:cs="Times New Roman"/>
                <w:iCs/>
                <w:sz w:val="20"/>
                <w:szCs w:val="20"/>
                <w:lang w:eastAsia="en-ZA"/>
              </w:rPr>
              <w:t>https://doi.org/10.3391/bir.2022</w:t>
            </w:r>
            <w:r w:rsidRPr="004D1E6F">
              <w:rPr>
                <w:rFonts w:ascii="Times New Roman" w:eastAsia="Times New Roman" w:hAnsi="Times New Roman" w:cs="Times New Roman"/>
                <w:sz w:val="20"/>
                <w:szCs w:val="20"/>
                <w:lang w:eastAsia="en-ZA"/>
              </w:rPr>
              <w:t>.</w:t>
            </w:r>
          </w:p>
          <w:p w14:paraId="571C8140" w14:textId="77777777" w:rsidR="002D7080" w:rsidRPr="004D1E6F" w:rsidRDefault="002D7080" w:rsidP="004856F5">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Calibri" w:hAnsi="Times New Roman" w:cs="Times New Roman"/>
                <w:sz w:val="20"/>
                <w:szCs w:val="20"/>
              </w:rPr>
              <w:t xml:space="preserve">Madzivanzira, T.C., South, J., Wood, L.E., Nunes, A.L. </w:t>
            </w:r>
            <w:r w:rsidRPr="004D1E6F">
              <w:rPr>
                <w:rFonts w:ascii="Times New Roman" w:eastAsia="Times New Roman" w:hAnsi="Times New Roman" w:cs="Times New Roman"/>
                <w:color w:val="000000"/>
                <w:sz w:val="20"/>
                <w:szCs w:val="20"/>
                <w:lang w:eastAsia="en-ZA"/>
              </w:rPr>
              <w:t xml:space="preserve">&amp; </w:t>
            </w:r>
            <w:r w:rsidRPr="004D1E6F">
              <w:rPr>
                <w:rFonts w:ascii="Times New Roman" w:eastAsia="Calibri" w:hAnsi="Times New Roman" w:cs="Times New Roman"/>
                <w:sz w:val="20"/>
                <w:szCs w:val="20"/>
              </w:rPr>
              <w:t xml:space="preserve">Weyl, O.L.F., 2021, ‘A review of freshwater crayfish introductions in Africa’, </w:t>
            </w:r>
            <w:r w:rsidRPr="004D1E6F">
              <w:rPr>
                <w:rFonts w:ascii="Times New Roman" w:eastAsia="Calibri" w:hAnsi="Times New Roman" w:cs="Times New Roman"/>
                <w:i/>
                <w:sz w:val="20"/>
                <w:szCs w:val="20"/>
              </w:rPr>
              <w:t xml:space="preserve">Reviews in Fisheries Science &amp; Aquaculture </w:t>
            </w:r>
            <w:r w:rsidRPr="004D1E6F">
              <w:rPr>
                <w:rFonts w:ascii="Times New Roman" w:eastAsia="Calibri" w:hAnsi="Times New Roman" w:cs="Times New Roman"/>
                <w:iCs/>
                <w:sz w:val="20"/>
                <w:szCs w:val="20"/>
              </w:rPr>
              <w:t>29(2),</w:t>
            </w:r>
            <w:r w:rsidRPr="004D1E6F">
              <w:rPr>
                <w:rFonts w:ascii="Times New Roman" w:eastAsia="Calibri" w:hAnsi="Times New Roman" w:cs="Times New Roman"/>
                <w:i/>
                <w:sz w:val="20"/>
                <w:szCs w:val="20"/>
              </w:rPr>
              <w:t xml:space="preserve"> </w:t>
            </w:r>
            <w:r w:rsidRPr="004D1E6F">
              <w:rPr>
                <w:rFonts w:ascii="Times New Roman" w:eastAsia="Calibri" w:hAnsi="Times New Roman" w:cs="Times New Roman"/>
                <w:sz w:val="20"/>
                <w:szCs w:val="20"/>
              </w:rPr>
              <w:t xml:space="preserve">218-214. </w:t>
            </w:r>
            <w:r w:rsidRPr="004D1E6F">
              <w:rPr>
                <w:rFonts w:ascii="Times New Roman" w:eastAsia="Times New Roman" w:hAnsi="Times New Roman" w:cs="Times New Roman"/>
                <w:color w:val="000000"/>
                <w:sz w:val="20"/>
                <w:szCs w:val="20"/>
                <w:lang w:eastAsia="en-ZA"/>
              </w:rPr>
              <w:t>https://doi.org/10.1080/23308249.2020.1802405</w:t>
            </w:r>
            <w:r w:rsidRPr="004D1E6F">
              <w:rPr>
                <w:rFonts w:ascii="Times New Roman" w:eastAsia="Calibri" w:hAnsi="Times New Roman" w:cs="Times New Roman"/>
                <w:sz w:val="20"/>
                <w:szCs w:val="20"/>
              </w:rPr>
              <w:t>.</w:t>
            </w:r>
          </w:p>
          <w:p w14:paraId="7B974685" w14:textId="77777777"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Hoffman, C.A., Zengeya, T.A., Measey, G.J. &amp; Weyl, O.L.F, 2017a, ‘Red swamp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found in South Africa 22 years after attempted eradication’, </w:t>
            </w:r>
            <w:r w:rsidRPr="004D1E6F">
              <w:rPr>
                <w:rFonts w:ascii="Times New Roman" w:eastAsia="Times New Roman" w:hAnsi="Times New Roman" w:cs="Times New Roman"/>
                <w:i/>
                <w:sz w:val="20"/>
                <w:szCs w:val="20"/>
                <w:lang w:eastAsia="en-ZA"/>
              </w:rPr>
              <w:t>Aquatic Conservation: Marine &amp; Freshwater Ecosystem</w:t>
            </w:r>
            <w:r w:rsidRPr="004D1E6F">
              <w:rPr>
                <w:rFonts w:ascii="Times New Roman" w:eastAsia="Times New Roman" w:hAnsi="Times New Roman" w:cs="Times New Roman"/>
                <w:sz w:val="20"/>
                <w:szCs w:val="20"/>
                <w:lang w:eastAsia="en-ZA"/>
              </w:rPr>
              <w:t xml:space="preserve"> 27, 1334–1340. </w:t>
            </w:r>
            <w:r w:rsidRPr="004D1E6F">
              <w:rPr>
                <w:rFonts w:ascii="Times New Roman" w:eastAsia="Times New Roman" w:hAnsi="Times New Roman" w:cs="Times New Roman"/>
                <w:bCs/>
                <w:sz w:val="20"/>
                <w:szCs w:val="20"/>
                <w:lang w:eastAsia="en-ZA"/>
              </w:rPr>
              <w:t>https://doi.org/10.1002/aqc.2741</w:t>
            </w:r>
            <w:r w:rsidRPr="004D1E6F">
              <w:rPr>
                <w:rFonts w:ascii="Times New Roman" w:hAnsi="Times New Roman" w:cs="Times New Roman"/>
                <w:bCs/>
                <w:sz w:val="20"/>
                <w:szCs w:val="20"/>
              </w:rPr>
              <w:t>.</w:t>
            </w:r>
          </w:p>
          <w:p w14:paraId="75794716" w14:textId="77777777" w:rsidR="002D7080" w:rsidRPr="004D1E6F" w:rsidRDefault="002D7080" w:rsidP="004856F5">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https://doi.org/10.2989/16085914.2017.1405788.</w:t>
            </w:r>
          </w:p>
        </w:tc>
      </w:tr>
      <w:tr w:rsidR="002D7080" w:rsidRPr="004D1E6F" w14:paraId="2E7AA1F8" w14:textId="77777777" w:rsidTr="002E2C37">
        <w:trPr>
          <w:cantSplit/>
          <w:trHeight w:val="215"/>
        </w:trPr>
        <w:tc>
          <w:tcPr>
            <w:tcW w:w="9015"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8FFF585" w14:textId="77777777" w:rsidR="002D7080" w:rsidRPr="004D1E6F" w:rsidRDefault="002D7080" w:rsidP="004856F5">
            <w:pPr>
              <w:spacing w:after="0"/>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BAC14 Primary (introduction) pathways</w:t>
            </w:r>
          </w:p>
        </w:tc>
      </w:tr>
      <w:tr w:rsidR="002D7080" w:rsidRPr="004D1E6F" w14:paraId="67E9A25E" w14:textId="77777777" w:rsidTr="002E2C37">
        <w:trPr>
          <w:cantSplit/>
          <w:trHeight w:val="61"/>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31A478D7"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Release</w:t>
            </w:r>
          </w:p>
        </w:tc>
        <w:tc>
          <w:tcPr>
            <w:tcW w:w="3851" w:type="dxa"/>
            <w:gridSpan w:val="2"/>
            <w:tcBorders>
              <w:top w:val="single" w:sz="4" w:space="0" w:color="auto"/>
              <w:left w:val="single" w:sz="4" w:space="0" w:color="auto"/>
              <w:bottom w:val="single" w:sz="4" w:space="0" w:color="auto"/>
              <w:right w:val="single" w:sz="4" w:space="0" w:color="auto"/>
            </w:tcBorders>
          </w:tcPr>
          <w:p w14:paraId="0DBCB077"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none</w:t>
            </w:r>
          </w:p>
        </w:tc>
        <w:tc>
          <w:tcPr>
            <w:tcW w:w="2734" w:type="dxa"/>
            <w:tcBorders>
              <w:top w:val="single" w:sz="4" w:space="0" w:color="auto"/>
              <w:left w:val="single" w:sz="4" w:space="0" w:color="auto"/>
              <w:bottom w:val="single" w:sz="4" w:space="0" w:color="auto"/>
              <w:right w:val="single" w:sz="4" w:space="0" w:color="auto"/>
            </w:tcBorders>
          </w:tcPr>
          <w:p w14:paraId="1ACA8F56"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441B8E51" w14:textId="77777777" w:rsidTr="002E2C37">
        <w:trPr>
          <w:cantSplit/>
          <w:trHeight w:val="192"/>
        </w:trPr>
        <w:tc>
          <w:tcPr>
            <w:tcW w:w="2430" w:type="dxa"/>
            <w:vMerge w:val="restart"/>
            <w:tcBorders>
              <w:top w:val="single" w:sz="4" w:space="0" w:color="auto"/>
              <w:left w:val="single" w:sz="4" w:space="0" w:color="auto"/>
              <w:right w:val="single" w:sz="4" w:space="0" w:color="auto"/>
            </w:tcBorders>
            <w:shd w:val="clear" w:color="auto" w:fill="F2F2F2" w:themeFill="background1" w:themeFillShade="F2"/>
            <w:noWrap/>
          </w:tcPr>
          <w:p w14:paraId="0906DEF9"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Escape</w:t>
            </w:r>
          </w:p>
        </w:tc>
        <w:tc>
          <w:tcPr>
            <w:tcW w:w="3851" w:type="dxa"/>
            <w:gridSpan w:val="2"/>
            <w:tcBorders>
              <w:top w:val="single" w:sz="4" w:space="0" w:color="auto"/>
              <w:left w:val="single" w:sz="4" w:space="0" w:color="auto"/>
              <w:bottom w:val="single" w:sz="4" w:space="0" w:color="auto"/>
              <w:right w:val="single" w:sz="4" w:space="0" w:color="auto"/>
            </w:tcBorders>
          </w:tcPr>
          <w:p w14:paraId="67A49C5E"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aquaculture/mariculture </w:t>
            </w:r>
          </w:p>
        </w:tc>
        <w:tc>
          <w:tcPr>
            <w:tcW w:w="2734" w:type="dxa"/>
            <w:tcBorders>
              <w:top w:val="single" w:sz="4" w:space="0" w:color="auto"/>
              <w:left w:val="single" w:sz="4" w:space="0" w:color="auto"/>
              <w:bottom w:val="single" w:sz="4" w:space="0" w:color="auto"/>
              <w:right w:val="single" w:sz="4" w:space="0" w:color="auto"/>
            </w:tcBorders>
          </w:tcPr>
          <w:p w14:paraId="310FBEE8"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4C7EB472" w14:textId="77777777" w:rsidTr="002E2C37">
        <w:trPr>
          <w:cantSplit/>
          <w:trHeight w:val="191"/>
        </w:trPr>
        <w:tc>
          <w:tcPr>
            <w:tcW w:w="2430" w:type="dxa"/>
            <w:vMerge/>
            <w:tcBorders>
              <w:left w:val="single" w:sz="4" w:space="0" w:color="auto"/>
              <w:right w:val="single" w:sz="4" w:space="0" w:color="auto"/>
            </w:tcBorders>
            <w:shd w:val="clear" w:color="auto" w:fill="F2F2F2" w:themeFill="background1" w:themeFillShade="F2"/>
            <w:noWrap/>
          </w:tcPr>
          <w:p w14:paraId="702F9091" w14:textId="77777777" w:rsidR="002D7080" w:rsidRPr="004D1E6F" w:rsidRDefault="002D7080" w:rsidP="004856F5">
            <w:pPr>
              <w:spacing w:after="0"/>
              <w:jc w:val="both"/>
              <w:rPr>
                <w:rFonts w:ascii="Times New Roman" w:eastAsia="Times New Roman" w:hAnsi="Times New Roman" w:cs="Times New Roman"/>
                <w:sz w:val="20"/>
                <w:szCs w:val="20"/>
                <w:lang w:eastAsia="en-ZA"/>
              </w:rPr>
            </w:pPr>
          </w:p>
        </w:tc>
        <w:tc>
          <w:tcPr>
            <w:tcW w:w="3851" w:type="dxa"/>
            <w:gridSpan w:val="2"/>
            <w:tcBorders>
              <w:top w:val="single" w:sz="4" w:space="0" w:color="auto"/>
              <w:left w:val="single" w:sz="4" w:space="0" w:color="auto"/>
              <w:bottom w:val="single" w:sz="4" w:space="0" w:color="auto"/>
              <w:right w:val="single" w:sz="4" w:space="0" w:color="auto"/>
            </w:tcBorders>
          </w:tcPr>
          <w:p w14:paraId="6BC9EE07" w14:textId="77777777" w:rsidR="002D7080" w:rsidRPr="004D1E6F" w:rsidRDefault="002D7080" w:rsidP="004856F5">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pet/aquarium/terrarium species (including live food for fish species)</w:t>
            </w:r>
          </w:p>
        </w:tc>
        <w:tc>
          <w:tcPr>
            <w:tcW w:w="2734" w:type="dxa"/>
            <w:tcBorders>
              <w:top w:val="single" w:sz="4" w:space="0" w:color="auto"/>
              <w:left w:val="single" w:sz="4" w:space="0" w:color="auto"/>
              <w:bottom w:val="single" w:sz="4" w:space="0" w:color="auto"/>
              <w:right w:val="single" w:sz="4" w:space="0" w:color="auto"/>
            </w:tcBorders>
          </w:tcPr>
          <w:p w14:paraId="3CBD7D5A"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4B8249EF" w14:textId="77777777" w:rsidTr="002E2C37">
        <w:trPr>
          <w:cantSplit/>
          <w:trHeight w:val="191"/>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33DD4F95" w14:textId="77777777" w:rsidR="002D7080" w:rsidRPr="004D1E6F" w:rsidRDefault="002D7080" w:rsidP="004856F5">
            <w:pPr>
              <w:spacing w:after="0"/>
              <w:jc w:val="both"/>
              <w:rPr>
                <w:rFonts w:ascii="Times New Roman" w:eastAsia="Times New Roman" w:hAnsi="Times New Roman" w:cs="Times New Roman"/>
                <w:sz w:val="20"/>
                <w:szCs w:val="20"/>
                <w:lang w:eastAsia="en-ZA"/>
              </w:rPr>
            </w:pPr>
          </w:p>
        </w:tc>
        <w:tc>
          <w:tcPr>
            <w:tcW w:w="3851" w:type="dxa"/>
            <w:gridSpan w:val="2"/>
            <w:tcBorders>
              <w:top w:val="single" w:sz="4" w:space="0" w:color="auto"/>
              <w:left w:val="single" w:sz="4" w:space="0" w:color="auto"/>
              <w:bottom w:val="single" w:sz="4" w:space="0" w:color="auto"/>
              <w:right w:val="single" w:sz="4" w:space="0" w:color="auto"/>
            </w:tcBorders>
          </w:tcPr>
          <w:p w14:paraId="4C42DC9F" w14:textId="77777777" w:rsidR="002D7080" w:rsidRPr="004D1E6F" w:rsidRDefault="002D7080" w:rsidP="004856F5">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live food and live bait</w:t>
            </w:r>
          </w:p>
        </w:tc>
        <w:tc>
          <w:tcPr>
            <w:tcW w:w="2734" w:type="dxa"/>
            <w:tcBorders>
              <w:top w:val="single" w:sz="4" w:space="0" w:color="auto"/>
              <w:left w:val="single" w:sz="4" w:space="0" w:color="auto"/>
              <w:bottom w:val="single" w:sz="4" w:space="0" w:color="auto"/>
              <w:right w:val="single" w:sz="4" w:space="0" w:color="auto"/>
            </w:tcBorders>
          </w:tcPr>
          <w:p w14:paraId="3C16A344"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1348F782"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05B34AF"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Contaminant</w:t>
            </w:r>
          </w:p>
        </w:tc>
        <w:tc>
          <w:tcPr>
            <w:tcW w:w="3851" w:type="dxa"/>
            <w:gridSpan w:val="2"/>
            <w:tcBorders>
              <w:top w:val="single" w:sz="4" w:space="0" w:color="auto"/>
              <w:left w:val="single" w:sz="4" w:space="0" w:color="auto"/>
              <w:bottom w:val="single" w:sz="4" w:space="0" w:color="auto"/>
              <w:right w:val="single" w:sz="4" w:space="0" w:color="auto"/>
            </w:tcBorders>
          </w:tcPr>
          <w:p w14:paraId="2600F5C4"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none</w:t>
            </w:r>
          </w:p>
        </w:tc>
        <w:tc>
          <w:tcPr>
            <w:tcW w:w="2734" w:type="dxa"/>
            <w:tcBorders>
              <w:top w:val="single" w:sz="4" w:space="0" w:color="auto"/>
              <w:left w:val="single" w:sz="4" w:space="0" w:color="auto"/>
              <w:bottom w:val="single" w:sz="4" w:space="0" w:color="auto"/>
              <w:right w:val="single" w:sz="4" w:space="0" w:color="auto"/>
            </w:tcBorders>
          </w:tcPr>
          <w:p w14:paraId="0DE13207"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193DAE13"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714BFC35"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Stowaway</w:t>
            </w:r>
          </w:p>
        </w:tc>
        <w:tc>
          <w:tcPr>
            <w:tcW w:w="3851" w:type="dxa"/>
            <w:gridSpan w:val="2"/>
            <w:tcBorders>
              <w:top w:val="single" w:sz="4" w:space="0" w:color="auto"/>
              <w:left w:val="single" w:sz="4" w:space="0" w:color="auto"/>
              <w:bottom w:val="single" w:sz="4" w:space="0" w:color="auto"/>
              <w:right w:val="single" w:sz="4" w:space="0" w:color="auto"/>
            </w:tcBorders>
          </w:tcPr>
          <w:p w14:paraId="0B17701F"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none</w:t>
            </w:r>
          </w:p>
        </w:tc>
        <w:tc>
          <w:tcPr>
            <w:tcW w:w="2734" w:type="dxa"/>
            <w:tcBorders>
              <w:top w:val="single" w:sz="4" w:space="0" w:color="auto"/>
              <w:left w:val="single" w:sz="4" w:space="0" w:color="auto"/>
              <w:bottom w:val="single" w:sz="4" w:space="0" w:color="auto"/>
              <w:right w:val="single" w:sz="4" w:space="0" w:color="auto"/>
            </w:tcBorders>
          </w:tcPr>
          <w:p w14:paraId="1D351A46"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74D4BFD3"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6E4BBCAE"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Corridor</w:t>
            </w:r>
          </w:p>
        </w:tc>
        <w:tc>
          <w:tcPr>
            <w:tcW w:w="3851" w:type="dxa"/>
            <w:gridSpan w:val="2"/>
            <w:tcBorders>
              <w:top w:val="single" w:sz="4" w:space="0" w:color="auto"/>
              <w:left w:val="single" w:sz="4" w:space="0" w:color="auto"/>
              <w:bottom w:val="single" w:sz="4" w:space="0" w:color="auto"/>
              <w:right w:val="single" w:sz="4" w:space="0" w:color="auto"/>
            </w:tcBorders>
          </w:tcPr>
          <w:p w14:paraId="6A925EBD"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none</w:t>
            </w:r>
          </w:p>
        </w:tc>
        <w:tc>
          <w:tcPr>
            <w:tcW w:w="2734" w:type="dxa"/>
            <w:tcBorders>
              <w:top w:val="single" w:sz="4" w:space="0" w:color="auto"/>
              <w:left w:val="single" w:sz="4" w:space="0" w:color="auto"/>
              <w:bottom w:val="single" w:sz="4" w:space="0" w:color="auto"/>
              <w:right w:val="single" w:sz="4" w:space="0" w:color="auto"/>
            </w:tcBorders>
          </w:tcPr>
          <w:p w14:paraId="0C49587F"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370EA7E9"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0CFEAA1"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Unaided</w:t>
            </w:r>
          </w:p>
        </w:tc>
        <w:tc>
          <w:tcPr>
            <w:tcW w:w="3851" w:type="dxa"/>
            <w:gridSpan w:val="2"/>
            <w:tcBorders>
              <w:top w:val="single" w:sz="4" w:space="0" w:color="auto"/>
              <w:left w:val="single" w:sz="4" w:space="0" w:color="auto"/>
              <w:bottom w:val="single" w:sz="4" w:space="0" w:color="auto"/>
              <w:right w:val="single" w:sz="4" w:space="0" w:color="auto"/>
            </w:tcBorders>
          </w:tcPr>
          <w:p w14:paraId="6368E865"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none</w:t>
            </w:r>
          </w:p>
        </w:tc>
        <w:tc>
          <w:tcPr>
            <w:tcW w:w="2734" w:type="dxa"/>
            <w:tcBorders>
              <w:top w:val="single" w:sz="4" w:space="0" w:color="auto"/>
              <w:left w:val="single" w:sz="4" w:space="0" w:color="auto"/>
              <w:bottom w:val="single" w:sz="4" w:space="0" w:color="auto"/>
              <w:right w:val="single" w:sz="4" w:space="0" w:color="auto"/>
            </w:tcBorders>
          </w:tcPr>
          <w:p w14:paraId="4AA85696"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37F05320" w14:textId="77777777" w:rsidTr="002E2C37">
        <w:trPr>
          <w:cantSplit/>
          <w:trHeight w:val="70"/>
        </w:trPr>
        <w:tc>
          <w:tcPr>
            <w:tcW w:w="9015" w:type="dxa"/>
            <w:gridSpan w:val="4"/>
            <w:tcBorders>
              <w:top w:val="single" w:sz="4" w:space="0" w:color="auto"/>
              <w:left w:val="single" w:sz="4" w:space="0" w:color="auto"/>
              <w:bottom w:val="single" w:sz="4" w:space="0" w:color="auto"/>
              <w:right w:val="single" w:sz="4" w:space="0" w:color="auto"/>
            </w:tcBorders>
            <w:noWrap/>
          </w:tcPr>
          <w:p w14:paraId="484C734E" w14:textId="77777777" w:rsidR="002D7080" w:rsidRPr="004D1E6F" w:rsidRDefault="002D7080" w:rsidP="004856F5">
            <w:pPr>
              <w:spacing w:after="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Comments: The primary pathway of introduction is escape from confinement through aquaculture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"mendeley" : { "formattedCitation" : "(Holdich et al. 2009)", "plainTextFormattedCitation" : "(Holdich et al. 2009)", "previouslyFormattedCitation" : "(Holdich et al. 2009)"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(Holdich et al. 2009)</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through the pet trade industry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"10.1007/s10531-018-1581-3", "ISBN" : "0123456789", "ISSN" : "1572-9710", "author" : [ { "dropping-particle" : "", "family" : "Patoka", "given" : "Ji\u0159\u00ed", "non-dropping-particle" : "", "parse-names" : false, "suffix" : "" }, { "dropping-particle" : "", "family" : "Lincoln", "given" : "Andr\u00e9", "non-dropping-particle" : "", "parse-names" : false, "suffix" : "" }, { "dropping-particle" : "", "family" : "Magalh\u00e3es", "given" : "Barroso", "non-dropping-particle" : "", "parse-names" : false, "suffix" : "" }, { "dropping-particle" : "", "family" : "Kouba", "given" : "Anton\u00edn", "non-dropping-particle" : "", "parse-names" : false, "suffix" : "" }, { "dropping-particle" : "", "family" : "Faulkes", "given" : "Zen", "non-dropping-particle" : "", "parse-names" : false, "suffix" : "" } ], "container-title" : "Biodiversity and Conservation", "id" : "ITEM-1", "issued" : { "date-parts" : [ [ "2018" ] ] }, "publisher" : "Springer Netherlands", "title" : "Invasive aquatic pets : failed policies increase risks of harmful invasions", "type" : "article-journal" }, "uris" : [ "http://www.mendeley.com/documents/?uuid=c96209c2-84a2-4da7-a330-8ed4e0057d4c" ] } ], "mendeley" : { "formattedCitation" : "(Patoka et al. 2018)", "plainTextFormattedCitation" : "(Patoka et al. 2018)", "previouslyFormattedCitation" : "(Patoka et al. 2018)"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(Faulkes 2015; Patoka et al. 2018)</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and intentional release as bait for fish and laboratory specimens that are also released facilitating escape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"ITEM-1",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"(Nunes et al. 2017a)", "plainTextFormattedCitation" : "(Nunes et al. 2017a)", "previouslyFormattedCitation" : "(Nunes et al. 2017a)"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2017b)</w:t>
            </w:r>
            <w:r w:rsidRPr="004D1E6F">
              <w:rPr>
                <w:rFonts w:ascii="Times New Roman" w:eastAsia="Times New Roman" w:hAnsi="Times New Roman" w:cs="Times New Roman"/>
                <w:sz w:val="20"/>
                <w:szCs w:val="20"/>
                <w:lang w:eastAsia="en-ZA"/>
              </w:rPr>
              <w:fldChar w:fldCharType="end"/>
            </w:r>
          </w:p>
        </w:tc>
      </w:tr>
      <w:tr w:rsidR="002D7080" w:rsidRPr="004D1E6F" w14:paraId="6CBC09A7" w14:textId="77777777" w:rsidTr="002E2C37">
        <w:trPr>
          <w:cantSplit/>
          <w:trHeight w:val="2740"/>
        </w:trPr>
        <w:tc>
          <w:tcPr>
            <w:tcW w:w="9015" w:type="dxa"/>
            <w:gridSpan w:val="4"/>
            <w:tcBorders>
              <w:top w:val="single" w:sz="4" w:space="0" w:color="auto"/>
              <w:left w:val="single" w:sz="4" w:space="0" w:color="auto"/>
              <w:bottom w:val="single" w:sz="4" w:space="0" w:color="auto"/>
              <w:right w:val="single" w:sz="4" w:space="0" w:color="auto"/>
            </w:tcBorders>
            <w:noWrap/>
          </w:tcPr>
          <w:p w14:paraId="19B1B9A9" w14:textId="77777777" w:rsidR="002D7080" w:rsidRPr="004D1E6F" w:rsidRDefault="002D7080" w:rsidP="00C52CC6">
            <w:pPr>
              <w:spacing w:after="0"/>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22C435D" w14:textId="43B32598" w:rsidR="002D7080" w:rsidRPr="004D1E6F" w:rsidRDefault="002D7080" w:rsidP="00C52CC6">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Faulkes, Z., 2015, ‘The global trade in crayfish as pets’, </w:t>
            </w:r>
            <w:r w:rsidRPr="004D1E6F">
              <w:rPr>
                <w:rFonts w:ascii="Times New Roman" w:eastAsia="Times New Roman" w:hAnsi="Times New Roman" w:cs="Times New Roman"/>
                <w:i/>
                <w:iCs/>
                <w:sz w:val="20"/>
                <w:szCs w:val="20"/>
                <w:lang w:eastAsia="en-ZA"/>
              </w:rPr>
              <w:t xml:space="preserve">Crustacean Research </w:t>
            </w:r>
            <w:r w:rsidRPr="004D1E6F">
              <w:rPr>
                <w:rFonts w:ascii="Times New Roman" w:eastAsia="Times New Roman" w:hAnsi="Times New Roman" w:cs="Times New Roman"/>
                <w:iCs/>
                <w:sz w:val="20"/>
                <w:szCs w:val="20"/>
                <w:lang w:eastAsia="en-ZA"/>
              </w:rPr>
              <w:t>44</w:t>
            </w:r>
            <w:r w:rsidRPr="004D1E6F">
              <w:rPr>
                <w:rFonts w:ascii="Times New Roman" w:eastAsia="Times New Roman" w:hAnsi="Times New Roman" w:cs="Times New Roman"/>
                <w:sz w:val="20"/>
                <w:szCs w:val="20"/>
                <w:lang w:eastAsia="en-ZA"/>
              </w:rPr>
              <w:t xml:space="preserve">, 75–92. </w:t>
            </w:r>
            <w:hyperlink r:id="rId522" w:history="1">
              <w:r w:rsidR="00D5184E" w:rsidRPr="00F215B9">
                <w:rPr>
                  <w:rStyle w:val="Hyperlink"/>
                  <w:rFonts w:ascii="Times New Roman" w:eastAsia="Times New Roman" w:hAnsi="Times New Roman" w:cs="Times New Roman"/>
                  <w:sz w:val="20"/>
                  <w:szCs w:val="20"/>
                  <w:lang w:eastAsia="en-ZA"/>
                </w:rPr>
                <w:t>https://doi.org/10.18353/crustacea.44.0_75</w:t>
              </w:r>
            </w:hyperlink>
            <w:r w:rsidRPr="004D1E6F">
              <w:rPr>
                <w:rFonts w:ascii="Times New Roman" w:eastAsia="Times New Roman" w:hAnsi="Times New Roman" w:cs="Times New Roman"/>
                <w:sz w:val="20"/>
                <w:szCs w:val="20"/>
                <w:lang w:eastAsia="en-ZA"/>
              </w:rPr>
              <w:t>.</w:t>
            </w:r>
            <w:r w:rsidR="00D5184E">
              <w:rPr>
                <w:rFonts w:ascii="Times New Roman" w:eastAsia="Times New Roman" w:hAnsi="Times New Roman" w:cs="Times New Roman"/>
                <w:sz w:val="20"/>
                <w:szCs w:val="20"/>
                <w:lang w:eastAsia="en-ZA"/>
              </w:rPr>
              <w:t xml:space="preserve"> </w:t>
            </w:r>
          </w:p>
          <w:p w14:paraId="07211EC1" w14:textId="25179F5F" w:rsidR="002D7080" w:rsidRPr="004D1E6F" w:rsidRDefault="002D7080" w:rsidP="00C52CC6">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Cs/>
                <w:sz w:val="20"/>
                <w:szCs w:val="20"/>
                <w:lang w:eastAsia="en-ZA"/>
              </w:rPr>
              <w:t xml:space="preserve">Holdich, D.M., Reynolds, J.D. &amp; Sibley, P.J., 2009, ‘A review of the ever increasing threat to European crayfish from non-indigenous crayfish species’, </w:t>
            </w:r>
            <w:r w:rsidRPr="004D1E6F">
              <w:rPr>
                <w:rFonts w:ascii="Times New Roman" w:eastAsia="Times New Roman" w:hAnsi="Times New Roman" w:cs="Times New Roman"/>
                <w:bCs/>
                <w:i/>
                <w:sz w:val="20"/>
                <w:szCs w:val="20"/>
                <w:lang w:eastAsia="en-ZA"/>
              </w:rPr>
              <w:t xml:space="preserve">Knowledge and Management of Aquatic Ecosystems </w:t>
            </w:r>
            <w:r w:rsidRPr="004D1E6F">
              <w:rPr>
                <w:rFonts w:ascii="Times New Roman" w:eastAsia="Times New Roman" w:hAnsi="Times New Roman" w:cs="Times New Roman"/>
                <w:bCs/>
                <w:iCs/>
                <w:sz w:val="20"/>
                <w:szCs w:val="20"/>
                <w:lang w:eastAsia="en-ZA"/>
              </w:rPr>
              <w:t>11,</w:t>
            </w:r>
            <w:r w:rsidRPr="004D1E6F">
              <w:rPr>
                <w:rFonts w:ascii="Times New Roman" w:eastAsia="Times New Roman" w:hAnsi="Times New Roman" w:cs="Times New Roman"/>
                <w:bCs/>
                <w:i/>
                <w:sz w:val="20"/>
                <w:szCs w:val="20"/>
                <w:lang w:eastAsia="en-ZA"/>
              </w:rPr>
              <w:t xml:space="preserve"> </w:t>
            </w:r>
            <w:r w:rsidRPr="004D1E6F">
              <w:rPr>
                <w:rFonts w:ascii="Times New Roman" w:eastAsia="Times New Roman" w:hAnsi="Times New Roman" w:cs="Times New Roman"/>
                <w:bCs/>
                <w:sz w:val="20"/>
                <w:szCs w:val="20"/>
                <w:lang w:eastAsia="en-ZA"/>
              </w:rPr>
              <w:t>394–395</w:t>
            </w:r>
            <w:r w:rsidR="00F261B1" w:rsidRPr="00F261B1">
              <w:rPr>
                <w:rFonts w:ascii="Times New Roman" w:eastAsia="Times New Roman" w:hAnsi="Times New Roman" w:cs="Times New Roman"/>
                <w:bCs/>
                <w:sz w:val="20"/>
                <w:szCs w:val="20"/>
                <w:lang w:eastAsia="en-ZA"/>
              </w:rPr>
              <w:t xml:space="preserve">, </w:t>
            </w:r>
            <w:hyperlink r:id="rId523" w:history="1">
              <w:r w:rsidR="00F261B1" w:rsidRPr="00F261B1">
                <w:rPr>
                  <w:rStyle w:val="Hyperlink"/>
                  <w:rFonts w:ascii="Times New Roman" w:eastAsia="Times New Roman" w:hAnsi="Times New Roman" w:cs="Times New Roman"/>
                  <w:bCs/>
                  <w:sz w:val="20"/>
                  <w:szCs w:val="20"/>
                  <w:lang w:eastAsia="en-ZA"/>
                </w:rPr>
                <w:t>https://doi.org/10.1051/kmae/2009025</w:t>
              </w:r>
            </w:hyperlink>
          </w:p>
          <w:p w14:paraId="1CA58F08" w14:textId="693E953C" w:rsidR="002D7080" w:rsidRPr="004D1E6F" w:rsidRDefault="002D7080" w:rsidP="00C52CC6">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524" w:history="1">
              <w:r w:rsidR="00D5184E" w:rsidRPr="00F215B9">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r w:rsidR="00D5184E">
              <w:rPr>
                <w:rFonts w:ascii="Times New Roman" w:eastAsia="Times New Roman" w:hAnsi="Times New Roman" w:cs="Times New Roman"/>
                <w:color w:val="000000"/>
                <w:sz w:val="20"/>
                <w:szCs w:val="20"/>
                <w:lang w:eastAsia="en-ZA"/>
              </w:rPr>
              <w:t xml:space="preserve"> </w:t>
            </w:r>
          </w:p>
          <w:p w14:paraId="166CF33C" w14:textId="3095A11D" w:rsidR="002D7080" w:rsidRPr="004D1E6F" w:rsidRDefault="002D7080" w:rsidP="00C52CC6">
            <w:pPr>
              <w:spacing w:after="0"/>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Cs/>
                <w:color w:val="000000"/>
                <w:sz w:val="20"/>
                <w:szCs w:val="20"/>
                <w:lang w:eastAsia="en-ZA"/>
              </w:rPr>
              <w:t xml:space="preserve">Patoka, J., Magalhães, A.L.B., Kouba, A., Faulkes, Z., Jerikho, R. &amp; Vitule, J.R.S., 2018, ‘Invasive aquatic pets: failed policies increase risks of harmful invasions’, </w:t>
            </w:r>
            <w:r w:rsidRPr="004D1E6F">
              <w:rPr>
                <w:rFonts w:ascii="Times New Roman" w:eastAsia="Times New Roman" w:hAnsi="Times New Roman" w:cs="Times New Roman"/>
                <w:bCs/>
                <w:i/>
                <w:iCs/>
                <w:color w:val="000000"/>
                <w:sz w:val="20"/>
                <w:szCs w:val="20"/>
                <w:lang w:eastAsia="en-ZA"/>
              </w:rPr>
              <w:t>Biodiversity and Conservation</w:t>
            </w:r>
            <w:r w:rsidRPr="004D1E6F">
              <w:rPr>
                <w:rFonts w:ascii="Times New Roman" w:eastAsia="Times New Roman" w:hAnsi="Times New Roman" w:cs="Times New Roman"/>
                <w:bCs/>
                <w:color w:val="000000"/>
                <w:sz w:val="20"/>
                <w:szCs w:val="20"/>
                <w:lang w:eastAsia="en-ZA"/>
              </w:rPr>
              <w:t xml:space="preserve"> 27, 3037–3046. </w:t>
            </w:r>
            <w:r w:rsidR="00D5184E" w:rsidRPr="00D5184E">
              <w:rPr>
                <w:rFonts w:ascii="Times New Roman" w:eastAsia="Times New Roman" w:hAnsi="Times New Roman" w:cs="Times New Roman"/>
                <w:sz w:val="20"/>
                <w:szCs w:val="20"/>
                <w:lang w:eastAsia="en-ZA"/>
              </w:rPr>
              <w:t>https://doi.org/10.1007/s10531-018-1581-3</w:t>
            </w:r>
            <w:r w:rsidR="00D5184E">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w:t>
            </w:r>
          </w:p>
        </w:tc>
      </w:tr>
    </w:tbl>
    <w:p w14:paraId="04CB491A" w14:textId="77777777" w:rsidR="002D7080" w:rsidRPr="004D1E6F" w:rsidRDefault="002D7080" w:rsidP="00C52CC6">
      <w:pPr>
        <w:spacing w:after="0"/>
        <w:jc w:val="both"/>
        <w:rPr>
          <w:rFonts w:ascii="Times New Roman" w:eastAsia="Times New Roman" w:hAnsi="Times New Roman" w:cs="Times New Roman"/>
          <w:sz w:val="20"/>
          <w:szCs w:val="20"/>
          <w:lang w:eastAsia="en-ZA"/>
        </w:rPr>
      </w:pPr>
    </w:p>
    <w:p w14:paraId="05C0209F"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2. Likelihood</w:t>
      </w:r>
    </w:p>
    <w:p w14:paraId="36B033C0"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Style w:val="TableGrid"/>
        <w:tblW w:w="9015" w:type="dxa"/>
        <w:tblLook w:val="04A0" w:firstRow="1" w:lastRow="0" w:firstColumn="1" w:lastColumn="0" w:noHBand="0" w:noVBand="1"/>
      </w:tblPr>
      <w:tblGrid>
        <w:gridCol w:w="5523"/>
        <w:gridCol w:w="3492"/>
      </w:tblGrid>
      <w:tr w:rsidR="002D7080" w:rsidRPr="004D1E6F" w14:paraId="3A8D7882" w14:textId="77777777" w:rsidTr="002E2C37">
        <w:tc>
          <w:tcPr>
            <w:tcW w:w="9016" w:type="dxa"/>
            <w:gridSpan w:val="2"/>
            <w:shd w:val="clear" w:color="auto" w:fill="F2F2F2" w:themeFill="background1" w:themeFillShade="F2"/>
          </w:tcPr>
          <w:p w14:paraId="20BE2B3D" w14:textId="77777777" w:rsidR="002D7080" w:rsidRPr="004D1E6F" w:rsidRDefault="002D7080" w:rsidP="004856F5">
            <w:pPr>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LIK1 Likelihood of entry via unaided primary pathways</w:t>
            </w:r>
          </w:p>
        </w:tc>
      </w:tr>
      <w:tr w:rsidR="002D7080" w:rsidRPr="004D1E6F" w14:paraId="3E6CB9DA" w14:textId="77777777" w:rsidTr="002E2C37">
        <w:tc>
          <w:tcPr>
            <w:tcW w:w="5524" w:type="dxa"/>
          </w:tcPr>
          <w:p w14:paraId="6054F9A7" w14:textId="77777777" w:rsidR="002D7080" w:rsidRPr="004D1E6F" w:rsidRDefault="002D7080" w:rsidP="004856F5">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Present in the country (p = 1)</w:t>
            </w:r>
          </w:p>
        </w:tc>
        <w:tc>
          <w:tcPr>
            <w:tcW w:w="3492" w:type="dxa"/>
          </w:tcPr>
          <w:p w14:paraId="36FA611F" w14:textId="77777777" w:rsidR="002D7080" w:rsidRPr="004D1E6F" w:rsidRDefault="002D7080" w:rsidP="004856F5">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0D390692" w14:textId="77777777" w:rsidTr="002E2C37">
        <w:trPr>
          <w:trHeight w:val="70"/>
        </w:trPr>
        <w:tc>
          <w:tcPr>
            <w:tcW w:w="9016" w:type="dxa"/>
            <w:gridSpan w:val="2"/>
          </w:tcPr>
          <w:p w14:paraId="6C22C6FF" w14:textId="77777777" w:rsidR="002D7080" w:rsidRPr="004D1E6F" w:rsidRDefault="002D7080" w:rsidP="004856F5">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is present in South Africa and neighbouring countries, for example, Zimbabwe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 xml:space="preserve">ADDIN CSL_CITATION { "citationItems" : [ { "id" : "ITEM-1", "itemData" : { "DOI" : "10.2989/16085914.2018.1517080", "author" : [ { "dropping-particle" : "", "family" : "Douthwaite", "given" : "R J", "non-dropping-particle" : "", "parse-names" : false, "suffix" : "" }, { "dropping-particle" : "", "family" : "Jones", "given" : "E W", "non-dropping-particle" : "", "parse-names" : false, "suffix" : "" }, { "dropping-particle" : "", "family" : "Tyser", "given" : "A B", "non-dropping-particle" : "", "parse-names" : false, "suffix" : "" }, { "dropping-particle" : "", "family" : "Vrdoljak", "given" : "S M", "non-dropping-particle" : "", "parse-names" : false, "suffix" : "" } ], "id" : "ITEM-1", "issued" : { "date-parts" : [ [ "2018" ] ] }, "title" : "The introduction , spread and ecology of redclaw crayfish Cherax quadricarinatus in the Zambezi catchment", "type" : "article-journal", "volume" : "5914" }, "uris" : [ "http://www.mendeley.com/documents/?uuid=d1144703-789e-43c5-b72c-9dc75db8a86e" ] }, { "id" : "ITEM-2",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w:instrText>
            </w:r>
            <w:r w:rsidRPr="000E6BA8">
              <w:rPr>
                <w:rFonts w:ascii="Times New Roman" w:eastAsia="Times New Roman" w:hAnsi="Times New Roman" w:cs="Times New Roman"/>
                <w:sz w:val="20"/>
                <w:szCs w:val="20"/>
                <w:lang w:val="fr-FR" w:eastAsia="en-ZA"/>
              </w:rPr>
              <w:instrText>"",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"ITEM-2",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"(Nunes et al. 2017a, Douthwaite et al. 2018)", "plainTextFormattedCitation" : "(Nunes et al. 2017a, Douthwaite et al. 2018)", "previouslyFormattedCitation" : "(Nunes et al. 2017a, Douthwaite et al. 2018)"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0E6BA8">
              <w:rPr>
                <w:rFonts w:ascii="Times New Roman" w:eastAsia="Times New Roman" w:hAnsi="Times New Roman" w:cs="Times New Roman"/>
                <w:sz w:val="20"/>
                <w:szCs w:val="20"/>
                <w:lang w:val="fr-FR" w:eastAsia="en-ZA"/>
              </w:rPr>
              <w:t>(Loureiro et al. 2015; Nunes et al. 2017a</w:t>
            </w:r>
            <w:r>
              <w:rPr>
                <w:rFonts w:ascii="Times New Roman" w:eastAsia="Times New Roman" w:hAnsi="Times New Roman" w:cs="Times New Roman"/>
                <w:sz w:val="20"/>
                <w:szCs w:val="20"/>
                <w:lang w:val="fr-FR" w:eastAsia="en-ZA"/>
              </w:rPr>
              <w:t xml:space="preserve">; </w:t>
            </w:r>
            <w:r w:rsidRPr="000E6BA8">
              <w:rPr>
                <w:rFonts w:ascii="Times New Roman" w:eastAsia="Times New Roman" w:hAnsi="Times New Roman" w:cs="Times New Roman"/>
                <w:sz w:val="20"/>
                <w:szCs w:val="20"/>
                <w:lang w:val="fr-FR" w:eastAsia="en-ZA"/>
              </w:rPr>
              <w:t>Barkhuizen et al. 2022)</w:t>
            </w:r>
            <w:r w:rsidRPr="004D1E6F">
              <w:rPr>
                <w:rFonts w:ascii="Times New Roman" w:eastAsia="Times New Roman" w:hAnsi="Times New Roman" w:cs="Times New Roman"/>
                <w:sz w:val="20"/>
                <w:szCs w:val="20"/>
                <w:lang w:eastAsia="en-ZA"/>
              </w:rPr>
              <w:fldChar w:fldCharType="end"/>
            </w:r>
            <w:r w:rsidRPr="000E6BA8">
              <w:rPr>
                <w:rFonts w:ascii="Times New Roman" w:eastAsia="Times New Roman" w:hAnsi="Times New Roman" w:cs="Times New Roman"/>
                <w:sz w:val="20"/>
                <w:szCs w:val="20"/>
                <w:lang w:val="fr-FR" w:eastAsia="en-ZA"/>
              </w:rPr>
              <w:t xml:space="preserve">. </w:t>
            </w:r>
            <w:r w:rsidRPr="004D1E6F">
              <w:rPr>
                <w:rFonts w:ascii="Times New Roman" w:eastAsia="Times New Roman" w:hAnsi="Times New Roman" w:cs="Times New Roman"/>
                <w:sz w:val="20"/>
                <w:szCs w:val="20"/>
                <w:lang w:eastAsia="en-ZA"/>
              </w:rPr>
              <w:t xml:space="preserve">In terms of the likelihood of future introductions, </w:t>
            </w:r>
            <w:r w:rsidRPr="004D1E6F">
              <w:rPr>
                <w:rFonts w:ascii="Times New Roman" w:eastAsia="Times New Roman" w:hAnsi="Times New Roman" w:cs="Times New Roman"/>
                <w:i/>
                <w:iCs/>
                <w:sz w:val="20"/>
                <w:szCs w:val="20"/>
                <w:lang w:eastAsia="en-ZA"/>
              </w:rPr>
              <w:t>P. clarkii</w:t>
            </w:r>
            <w:r w:rsidRPr="004D1E6F">
              <w:rPr>
                <w:rFonts w:ascii="Times New Roman" w:eastAsia="Times New Roman" w:hAnsi="Times New Roman" w:cs="Times New Roman"/>
                <w:sz w:val="20"/>
                <w:szCs w:val="20"/>
                <w:lang w:eastAsia="en-ZA"/>
              </w:rPr>
              <w:t xml:space="preserve"> is known to disperse over long distances on land in order to find suitable habitats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"10.1023/A:1010009701606", "ISBN" : "1387-3547", "ISSN" : "13873547", "abstract" : "Crayfish have been moved outside their natural ranges through different mechanisms, either natural, such as migrations, accidental, such as escape from holding facilities, or deliberate, by humans. Several crayfish species (mostly North American Orconectes limosus,\\n", "author" : [ { "dropping-particle" : "", "family" : "Barbaresi", "given" : "Silvia", "non-dropping-particle" : "", "parse-names" : false, "suffix" : "" }, { "dropping-particle" : "", "family" : "Gherardi", "given" : "Francesca", "non-dropping-particle" : "", "parse-names" : false, "suffix" : "" } ], "container-title" : "Biological Invasions", "id" : "ITEM-1", "issue" : "3", "issued" : { "date-parts" : [ [ "2000" ] ] }, "page" : "259-264", "title" : "The invasion of the alien crayfish Procambarus clarkii in Europe, with particular reference to Italy", "type" : "article-journal", "volume" : "2" }, "uris" : [ "http://www.mendeley.com/documents/?uuid=02a73c13-8fd7-45f2-be7b-ee95c51b9a44" ] } ], "mendeley" : { "formattedCitation" : "(Barbaresi &amp; Gherardi 2000)", "plainTextFormattedCitation" : "(Barbaresi &amp; Gherardi 2000)", "previouslyFormattedCitation" : "(Barbaresi &amp; Gherardi 2000)"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(Gherardi</w:t>
            </w:r>
            <w:r>
              <w:rPr>
                <w:rFonts w:ascii="Times New Roman" w:eastAsia="Times New Roman" w:hAnsi="Times New Roman" w:cs="Times New Roman"/>
                <w:sz w:val="20"/>
                <w:szCs w:val="20"/>
                <w:lang w:eastAsia="en-ZA"/>
              </w:rPr>
              <w:t xml:space="preserve"> et al.</w:t>
            </w:r>
            <w:r w:rsidRPr="004D1E6F">
              <w:rPr>
                <w:rFonts w:ascii="Times New Roman" w:eastAsia="Times New Roman" w:hAnsi="Times New Roman" w:cs="Times New Roman"/>
                <w:sz w:val="20"/>
                <w:szCs w:val="20"/>
                <w:lang w:eastAsia="en-ZA"/>
              </w:rPr>
              <w:t xml:space="preserve"> 2000)</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Therefore, it is probable (p = 1) that </w:t>
            </w:r>
            <w:r w:rsidRPr="004D1E6F">
              <w:rPr>
                <w:rFonts w:ascii="Times New Roman" w:eastAsia="Times New Roman" w:hAnsi="Times New Roman" w:cs="Times New Roman"/>
                <w:i/>
                <w:iCs/>
                <w:sz w:val="20"/>
                <w:szCs w:val="20"/>
                <w:lang w:eastAsia="en-ZA"/>
              </w:rPr>
              <w:t xml:space="preserve">P. clarkii </w:t>
            </w:r>
            <w:r w:rsidRPr="004D1E6F">
              <w:rPr>
                <w:rFonts w:ascii="Times New Roman" w:eastAsia="Times New Roman" w:hAnsi="Times New Roman" w:cs="Times New Roman"/>
                <w:sz w:val="20"/>
                <w:szCs w:val="20"/>
                <w:lang w:eastAsia="en-ZA"/>
              </w:rPr>
              <w:t xml:space="preserve">will enter the country via unaided primary pathways such as connected waterways in future. </w:t>
            </w:r>
          </w:p>
        </w:tc>
      </w:tr>
      <w:tr w:rsidR="002D7080" w:rsidRPr="004D1E6F" w14:paraId="72D66769" w14:textId="77777777" w:rsidTr="002E2C37">
        <w:tc>
          <w:tcPr>
            <w:tcW w:w="9016" w:type="dxa"/>
            <w:gridSpan w:val="2"/>
          </w:tcPr>
          <w:p w14:paraId="5FBDD219" w14:textId="77777777" w:rsidR="002D7080" w:rsidRPr="004D1E6F" w:rsidRDefault="002D7080" w:rsidP="004856F5">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1031F8BA" w14:textId="594F254A"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Gherardi, F., Barbaresi, S. &amp; Salvi, G., 2000, ‘Spatial and temporal patterns in the movement of </w:t>
            </w:r>
            <w:r w:rsidRPr="004D1E6F">
              <w:rPr>
                <w:rFonts w:ascii="Times New Roman" w:eastAsia="Times New Roman" w:hAnsi="Times New Roman" w:cs="Times New Roman"/>
                <w:i/>
                <w:iCs/>
                <w:sz w:val="20"/>
                <w:szCs w:val="20"/>
                <w:lang w:eastAsia="en-ZA"/>
              </w:rPr>
              <w:t>Procambarus clarkii,</w:t>
            </w:r>
            <w:r w:rsidRPr="004D1E6F">
              <w:rPr>
                <w:rFonts w:ascii="Times New Roman" w:eastAsia="Times New Roman" w:hAnsi="Times New Roman" w:cs="Times New Roman"/>
                <w:sz w:val="20"/>
                <w:szCs w:val="20"/>
                <w:lang w:eastAsia="en-ZA"/>
              </w:rPr>
              <w:t xml:space="preserve"> an invasive crayfish’, </w:t>
            </w:r>
            <w:r w:rsidRPr="004D1E6F">
              <w:rPr>
                <w:rFonts w:ascii="Times New Roman" w:eastAsia="Times New Roman" w:hAnsi="Times New Roman" w:cs="Times New Roman"/>
                <w:i/>
                <w:iCs/>
                <w:sz w:val="20"/>
                <w:szCs w:val="20"/>
                <w:lang w:eastAsia="en-ZA"/>
              </w:rPr>
              <w:t xml:space="preserve">Aquatic Sciences </w:t>
            </w:r>
            <w:r w:rsidRPr="004D1E6F">
              <w:rPr>
                <w:rFonts w:ascii="Times New Roman" w:eastAsia="Times New Roman" w:hAnsi="Times New Roman" w:cs="Times New Roman"/>
                <w:sz w:val="20"/>
                <w:szCs w:val="20"/>
                <w:lang w:eastAsia="en-ZA"/>
              </w:rPr>
              <w:t xml:space="preserve">62, 179–193. </w:t>
            </w:r>
            <w:hyperlink r:id="rId525" w:history="1">
              <w:r w:rsidR="00D5184E" w:rsidRPr="00F215B9">
                <w:rPr>
                  <w:rStyle w:val="Hyperlink"/>
                  <w:rFonts w:ascii="Times New Roman" w:eastAsia="Times New Roman" w:hAnsi="Times New Roman" w:cs="Times New Roman"/>
                  <w:sz w:val="20"/>
                  <w:szCs w:val="20"/>
                  <w:lang w:eastAsia="en-ZA"/>
                </w:rPr>
                <w:t>https://doi.org/10.1007/PL00001330</w:t>
              </w:r>
            </w:hyperlink>
            <w:r w:rsidRPr="004D1E6F">
              <w:rPr>
                <w:rFonts w:ascii="Times New Roman" w:eastAsia="Times New Roman" w:hAnsi="Times New Roman" w:cs="Times New Roman"/>
                <w:sz w:val="20"/>
                <w:szCs w:val="20"/>
                <w:lang w:eastAsia="en-ZA"/>
              </w:rPr>
              <w:t>.</w:t>
            </w:r>
            <w:r w:rsidR="00D5184E">
              <w:rPr>
                <w:rFonts w:ascii="Times New Roman" w:eastAsia="Times New Roman" w:hAnsi="Times New Roman" w:cs="Times New Roman"/>
                <w:sz w:val="20"/>
                <w:szCs w:val="20"/>
                <w:lang w:eastAsia="en-ZA"/>
              </w:rPr>
              <w:t xml:space="preserve"> </w:t>
            </w:r>
          </w:p>
          <w:p w14:paraId="681FC3C5" w14:textId="1649BF34"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Barkhuizen, L.M., Madzivanzira, T.C. &amp; South, J., 2022, ‘Population ecology of a wild population of red swamp crayfish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 xml:space="preserve">(Girard, 1852) in the Free State Province, South Africa and implications for eradication efforts’, </w:t>
            </w:r>
            <w:r w:rsidRPr="004D1E6F">
              <w:rPr>
                <w:rFonts w:ascii="Times New Roman" w:eastAsia="Times New Roman" w:hAnsi="Times New Roman" w:cs="Times New Roman"/>
                <w:i/>
                <w:sz w:val="20"/>
                <w:szCs w:val="20"/>
                <w:lang w:eastAsia="en-ZA"/>
              </w:rPr>
              <w:t xml:space="preserve">BioInvasions Records </w:t>
            </w:r>
            <w:r w:rsidRPr="004D1E6F">
              <w:rPr>
                <w:rFonts w:ascii="Times New Roman" w:eastAsia="Times New Roman" w:hAnsi="Times New Roman" w:cs="Times New Roman"/>
                <w:iCs/>
                <w:sz w:val="20"/>
                <w:szCs w:val="20"/>
                <w:lang w:eastAsia="en-ZA"/>
              </w:rPr>
              <w:t>11</w:t>
            </w:r>
            <w:r w:rsidRPr="004D1E6F">
              <w:rPr>
                <w:rFonts w:ascii="Times New Roman" w:eastAsia="Times New Roman" w:hAnsi="Times New Roman" w:cs="Times New Roman"/>
                <w:sz w:val="20"/>
                <w:szCs w:val="20"/>
                <w:lang w:eastAsia="en-ZA"/>
              </w:rPr>
              <w:t xml:space="preserve">(1), 181–191. </w:t>
            </w:r>
            <w:r w:rsidR="00D5184E" w:rsidRPr="00D5184E">
              <w:rPr>
                <w:rFonts w:ascii="Times New Roman" w:eastAsia="Times New Roman" w:hAnsi="Times New Roman" w:cs="Times New Roman"/>
                <w:iCs/>
                <w:sz w:val="20"/>
                <w:szCs w:val="20"/>
                <w:lang w:eastAsia="en-ZA"/>
              </w:rPr>
              <w:t>https://doi.org/10.3391/bir.2022</w:t>
            </w:r>
            <w:r w:rsidRPr="004D1E6F">
              <w:rPr>
                <w:rFonts w:ascii="Times New Roman" w:eastAsia="Times New Roman" w:hAnsi="Times New Roman" w:cs="Times New Roman"/>
                <w:sz w:val="20"/>
                <w:szCs w:val="20"/>
                <w:lang w:eastAsia="en-ZA"/>
              </w:rPr>
              <w:t>.</w:t>
            </w:r>
          </w:p>
          <w:p w14:paraId="25A6525B" w14:textId="2638F081" w:rsidR="002D7080" w:rsidRPr="00D5184E" w:rsidRDefault="002D7080" w:rsidP="004856F5">
            <w:pPr>
              <w:ind w:left="720" w:hanging="720"/>
              <w:contextualSpacing/>
              <w:jc w:val="both"/>
              <w:rPr>
                <w:rFonts w:ascii="Times New Roman" w:eastAsia="Times New Roman" w:hAnsi="Times New Roman" w:cs="Times New Roman"/>
                <w:iCs/>
                <w:sz w:val="20"/>
                <w:szCs w:val="20"/>
                <w:lang w:eastAsia="en-ZA"/>
              </w:rPr>
            </w:pPr>
            <w:r w:rsidRPr="004D1E6F">
              <w:rPr>
                <w:rFonts w:ascii="Times New Roman" w:eastAsia="Times New Roman" w:hAnsi="Times New Roman" w:cs="Times New Roman"/>
                <w:sz w:val="20"/>
                <w:szCs w:val="20"/>
                <w:lang w:eastAsia="en-ZA"/>
              </w:rPr>
              <w:t>Loureiro, T.G., Anastácio, P.M.S.G., Araujo, P.B., Souty-Grosset, C. &amp; Almerão, M.P., 2015, ‘Red swamp crayfish: biology, ecology and invasion–an overview’, </w:t>
            </w:r>
            <w:r w:rsidRPr="004D1E6F">
              <w:rPr>
                <w:rFonts w:ascii="Times New Roman" w:eastAsia="Times New Roman" w:hAnsi="Times New Roman" w:cs="Times New Roman"/>
                <w:i/>
                <w:iCs/>
                <w:sz w:val="20"/>
                <w:szCs w:val="20"/>
                <w:lang w:eastAsia="en-ZA"/>
              </w:rPr>
              <w:t>Nauplius 23</w:t>
            </w:r>
            <w:r w:rsidRPr="004D1E6F">
              <w:rPr>
                <w:rFonts w:ascii="Times New Roman" w:eastAsia="Times New Roman" w:hAnsi="Times New Roman" w:cs="Times New Roman"/>
                <w:sz w:val="20"/>
                <w:szCs w:val="20"/>
                <w:lang w:eastAsia="en-ZA"/>
              </w:rPr>
              <w:t xml:space="preserve">, 1–19. </w:t>
            </w:r>
            <w:hyperlink r:id="rId526" w:history="1">
              <w:r w:rsidR="00D5184E" w:rsidRPr="00D5184E">
                <w:rPr>
                  <w:rStyle w:val="Hyperlink"/>
                  <w:rFonts w:ascii="Times New Roman" w:eastAsia="Times New Roman" w:hAnsi="Times New Roman" w:cs="Times New Roman"/>
                  <w:iCs/>
                  <w:sz w:val="20"/>
                  <w:szCs w:val="20"/>
                  <w:lang w:eastAsia="en-ZA"/>
                </w:rPr>
                <w:t>https://doi.org/10.1590/S0104-64972014002214</w:t>
              </w:r>
            </w:hyperlink>
            <w:r w:rsidRPr="004D1E6F">
              <w:rPr>
                <w:rFonts w:ascii="Times New Roman" w:eastAsia="Times New Roman" w:hAnsi="Times New Roman" w:cs="Times New Roman"/>
                <w:sz w:val="20"/>
                <w:szCs w:val="20"/>
                <w:lang w:eastAsia="en-ZA"/>
              </w:rPr>
              <w:t>.</w:t>
            </w:r>
          </w:p>
          <w:p w14:paraId="78B23536" w14:textId="7E235A5F"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Hoffman, C.A., Zengeya, T.A., Measey, G.J. &amp; Weyl, O.L.F, 2017a, ‘Red swamp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found in South Africa 22 years after attempted eradication’, </w:t>
            </w:r>
            <w:r w:rsidRPr="004D1E6F">
              <w:rPr>
                <w:rFonts w:ascii="Times New Roman" w:eastAsia="Times New Roman" w:hAnsi="Times New Roman" w:cs="Times New Roman"/>
                <w:i/>
                <w:sz w:val="20"/>
                <w:szCs w:val="20"/>
                <w:lang w:eastAsia="en-ZA"/>
              </w:rPr>
              <w:t>Aquatic Conservation: Marine Freshwater Ecosystem</w:t>
            </w:r>
            <w:r w:rsidRPr="004D1E6F">
              <w:rPr>
                <w:rFonts w:ascii="Times New Roman" w:eastAsia="Times New Roman" w:hAnsi="Times New Roman" w:cs="Times New Roman"/>
                <w:sz w:val="20"/>
                <w:szCs w:val="20"/>
                <w:lang w:eastAsia="en-ZA"/>
              </w:rPr>
              <w:t xml:space="preserve"> 27, 1334–1340. </w:t>
            </w:r>
            <w:hyperlink r:id="rId527" w:history="1">
              <w:r w:rsidR="00D5184E" w:rsidRPr="00F215B9">
                <w:rPr>
                  <w:rStyle w:val="Hyperlink"/>
                  <w:rFonts w:ascii="Times New Roman" w:eastAsia="Times New Roman" w:hAnsi="Times New Roman" w:cs="Times New Roman"/>
                  <w:bCs/>
                  <w:sz w:val="20"/>
                  <w:szCs w:val="20"/>
                  <w:lang w:eastAsia="en-ZA"/>
                </w:rPr>
                <w:t>https://doi.org/10.1002/aqc.2741</w:t>
              </w:r>
            </w:hyperlink>
            <w:r w:rsidRPr="004D1E6F">
              <w:rPr>
                <w:rFonts w:ascii="Times New Roman" w:hAnsi="Times New Roman" w:cs="Times New Roman"/>
                <w:bCs/>
                <w:sz w:val="20"/>
                <w:szCs w:val="20"/>
              </w:rPr>
              <w:t>.</w:t>
            </w:r>
            <w:r w:rsidR="00D5184E">
              <w:rPr>
                <w:rFonts w:ascii="Times New Roman" w:hAnsi="Times New Roman" w:cs="Times New Roman"/>
                <w:bCs/>
                <w:sz w:val="20"/>
                <w:szCs w:val="20"/>
              </w:rPr>
              <w:t xml:space="preserve"> </w:t>
            </w:r>
          </w:p>
          <w:p w14:paraId="67B055BF" w14:textId="2C7684DC"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528" w:history="1">
              <w:r w:rsidR="00D5184E" w:rsidRPr="00F215B9">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r w:rsidR="00D5184E">
              <w:rPr>
                <w:rFonts w:ascii="Times New Roman" w:eastAsia="Times New Roman" w:hAnsi="Times New Roman" w:cs="Times New Roman"/>
                <w:color w:val="000000"/>
                <w:sz w:val="20"/>
                <w:szCs w:val="20"/>
                <w:lang w:eastAsia="en-ZA"/>
              </w:rPr>
              <w:t xml:space="preserve"> </w:t>
            </w:r>
          </w:p>
        </w:tc>
      </w:tr>
    </w:tbl>
    <w:p w14:paraId="264A1DFC"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tbl>
      <w:tblPr>
        <w:tblStyle w:val="TableGrid"/>
        <w:tblW w:w="9015" w:type="dxa"/>
        <w:tblLook w:val="04A0" w:firstRow="1" w:lastRow="0" w:firstColumn="1" w:lastColumn="0" w:noHBand="0" w:noVBand="1"/>
      </w:tblPr>
      <w:tblGrid>
        <w:gridCol w:w="5523"/>
        <w:gridCol w:w="3492"/>
      </w:tblGrid>
      <w:tr w:rsidR="002D7080" w:rsidRPr="004D1E6F" w14:paraId="65253229" w14:textId="77777777" w:rsidTr="002E2C37">
        <w:tc>
          <w:tcPr>
            <w:tcW w:w="9016" w:type="dxa"/>
            <w:gridSpan w:val="2"/>
            <w:shd w:val="clear" w:color="auto" w:fill="F2F2F2" w:themeFill="background1" w:themeFillShade="F2"/>
          </w:tcPr>
          <w:p w14:paraId="046D0353"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LIK2 Likelihood of entry via human aided primary pathways</w:t>
            </w:r>
          </w:p>
        </w:tc>
      </w:tr>
      <w:tr w:rsidR="002D7080" w:rsidRPr="004D1E6F" w14:paraId="4FB8C1D5" w14:textId="77777777" w:rsidTr="002E2C37">
        <w:tc>
          <w:tcPr>
            <w:tcW w:w="5524" w:type="dxa"/>
          </w:tcPr>
          <w:p w14:paraId="5F0232C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Present in the country (p = 1)</w:t>
            </w:r>
          </w:p>
        </w:tc>
        <w:tc>
          <w:tcPr>
            <w:tcW w:w="3492" w:type="dxa"/>
          </w:tcPr>
          <w:p w14:paraId="7262B4A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1D2ECF80" w14:textId="77777777" w:rsidTr="002E2C37">
        <w:tc>
          <w:tcPr>
            <w:tcW w:w="9016" w:type="dxa"/>
            <w:gridSpan w:val="2"/>
          </w:tcPr>
          <w:p w14:paraId="7DF0E28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 xml:space="preserve">Rationale: </w:t>
            </w:r>
            <w:r w:rsidRPr="004D1E6F">
              <w:rPr>
                <w:rFonts w:ascii="Times New Roman" w:eastAsia="Times New Roman" w:hAnsi="Times New Roman" w:cs="Times New Roman"/>
                <w:i/>
                <w:sz w:val="20"/>
                <w:szCs w:val="20"/>
                <w:lang w:eastAsia="en-ZA"/>
              </w:rPr>
              <w:t xml:space="preserve">Procambarus </w:t>
            </w:r>
            <w:r w:rsidRPr="004D1E6F">
              <w:rPr>
                <w:rFonts w:ascii="Times New Roman" w:eastAsia="Times New Roman" w:hAnsi="Times New Roman" w:cs="Times New Roman"/>
                <w:i/>
                <w:iCs/>
                <w:sz w:val="20"/>
                <w:szCs w:val="20"/>
                <w:lang w:eastAsia="en-ZA"/>
              </w:rPr>
              <w:t>clarkii</w:t>
            </w:r>
            <w:r w:rsidRPr="004D1E6F">
              <w:rPr>
                <w:rFonts w:ascii="Times New Roman" w:eastAsia="Times New Roman" w:hAnsi="Times New Roman" w:cs="Times New Roman"/>
                <w:sz w:val="20"/>
                <w:szCs w:val="20"/>
                <w:lang w:eastAsia="en-ZA"/>
              </w:rPr>
              <w:t xml:space="preserve"> is present in the country and neighbouring countries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"10.2989/16085914.2018.1517080", "author" : [ { "dropping-particle" : "", "family" : "Douthwaite", "given" : "R J", "non-dropping-particle" : "", "parse-names" : false, "suffix" : "" }, { "dropping-particle" : "", "family" : "Jones", "given" : "E W", "non-dropping-particle" : "", "parse-names" : false, "suffix" : "" }, { "dropping-particle" : "", "family" : "Tyser", "given" : "A B", "non-dropping-particle" : "", "parse-names" : false, "suffix" : "" }, { "dropping-particle" : "", "family" : "Vrdoljak", "given" : "S M", "non-dropping-particle" : "", "parse-names" : false, "suffix" : "" } ], "id" : "ITEM-1", "issued" : { "date-parts" : [ [ "2018" ] ] }, "title" : "The introduction , spread and ecology of redclaw crayfish Cherax quadricarinatus in the Zambezi catchment", "type" : "article-journal", "volume" : "5914" }, "uris" : [ "http://www.mendeley.com/documents/?uuid=d1144703-789e-43c5-b72c-9dc75db8a86e" ] }, { "id" : "ITEM-2",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"ITEM-2",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"(Nunes et al. 2017a, Douthwaite et al. 2018)", "plainTextFormattedCitation" : "(Nunes et al. 2017a, Douthwaite et al. 2018)", "previouslyFormattedCitation" : "(Nunes et al. 2017a, Douthwaite et al. 2018)"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Loureiro et al. 2015; Nunes et al. 2017a)</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In terms of the likelihood of future introductions, the primary pathway of introduction includes escapees from aquaculture facilities, pet trade industry, and accidental introduction as bait for fish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"(Faulkes 2015, Nunes et al. 2017b)", "plainTextFormattedCitation" : "(Faulkes 2015, Nunes et al. 2017b)", "previouslyFormattedCitation" : "(Faulkes 2015, Nunes et al. 2017b)"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(Faulkes 2015; Nunes et al. 2017b)</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w:t>
            </w:r>
          </w:p>
        </w:tc>
      </w:tr>
      <w:tr w:rsidR="002D7080" w:rsidRPr="004D1E6F" w14:paraId="50D34F12" w14:textId="77777777" w:rsidTr="002E2C37">
        <w:tc>
          <w:tcPr>
            <w:tcW w:w="9016" w:type="dxa"/>
            <w:gridSpan w:val="2"/>
          </w:tcPr>
          <w:p w14:paraId="27DB2A8F" w14:textId="77777777" w:rsidR="002D7080" w:rsidRPr="004D1E6F" w:rsidRDefault="002D7080" w:rsidP="004856F5">
            <w:pPr>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1DFC6740" w14:textId="234E35E9"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Faulkes, Z., 2015, ‘The global trade in crayfish as pets’, </w:t>
            </w:r>
            <w:r w:rsidRPr="004D1E6F">
              <w:rPr>
                <w:rFonts w:ascii="Times New Roman" w:eastAsia="Times New Roman" w:hAnsi="Times New Roman" w:cs="Times New Roman"/>
                <w:i/>
                <w:iCs/>
                <w:sz w:val="20"/>
                <w:szCs w:val="20"/>
                <w:lang w:eastAsia="en-ZA"/>
              </w:rPr>
              <w:t xml:space="preserve">Crustacean Research </w:t>
            </w:r>
            <w:r w:rsidRPr="004D1E6F">
              <w:rPr>
                <w:rFonts w:ascii="Times New Roman" w:eastAsia="Times New Roman" w:hAnsi="Times New Roman" w:cs="Times New Roman"/>
                <w:iCs/>
                <w:sz w:val="20"/>
                <w:szCs w:val="20"/>
                <w:lang w:eastAsia="en-ZA"/>
              </w:rPr>
              <w:t>44</w:t>
            </w:r>
            <w:r w:rsidRPr="004D1E6F">
              <w:rPr>
                <w:rFonts w:ascii="Times New Roman" w:eastAsia="Times New Roman" w:hAnsi="Times New Roman" w:cs="Times New Roman"/>
                <w:sz w:val="20"/>
                <w:szCs w:val="20"/>
                <w:lang w:eastAsia="en-ZA"/>
              </w:rPr>
              <w:t xml:space="preserve">, 75–92. </w:t>
            </w:r>
            <w:hyperlink r:id="rId529" w:history="1">
              <w:r w:rsidR="00D5184E" w:rsidRPr="00F215B9">
                <w:rPr>
                  <w:rStyle w:val="Hyperlink"/>
                  <w:rFonts w:ascii="Times New Roman" w:eastAsia="Times New Roman" w:hAnsi="Times New Roman" w:cs="Times New Roman"/>
                  <w:sz w:val="20"/>
                  <w:szCs w:val="20"/>
                  <w:lang w:eastAsia="en-ZA"/>
                </w:rPr>
                <w:t>https://doi.org/10.18353/crustacea.44.0_75</w:t>
              </w:r>
            </w:hyperlink>
            <w:r w:rsidRPr="004D1E6F">
              <w:rPr>
                <w:rFonts w:ascii="Times New Roman" w:eastAsia="Times New Roman" w:hAnsi="Times New Roman" w:cs="Times New Roman"/>
                <w:sz w:val="20"/>
                <w:szCs w:val="20"/>
                <w:lang w:eastAsia="en-ZA"/>
              </w:rPr>
              <w:t>.</w:t>
            </w:r>
            <w:r w:rsidR="00D5184E">
              <w:rPr>
                <w:rFonts w:ascii="Times New Roman" w:eastAsia="Times New Roman" w:hAnsi="Times New Roman" w:cs="Times New Roman"/>
                <w:sz w:val="20"/>
                <w:szCs w:val="20"/>
                <w:lang w:eastAsia="en-ZA"/>
              </w:rPr>
              <w:t xml:space="preserve"> </w:t>
            </w:r>
          </w:p>
          <w:p w14:paraId="7711B7AC" w14:textId="3AB53EB5"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Loureiro, T.G., Anastácio, P.M.S.G., Araujo, P.B., Souty-Grosset, C. &amp; Almerão, M.P., 2015, ‘Red swamp crayfish: biology, ecology and invasion–an overview’, </w:t>
            </w:r>
            <w:r w:rsidRPr="004D1E6F">
              <w:rPr>
                <w:rFonts w:ascii="Times New Roman" w:eastAsia="Times New Roman" w:hAnsi="Times New Roman" w:cs="Times New Roman"/>
                <w:i/>
                <w:iCs/>
                <w:sz w:val="20"/>
                <w:szCs w:val="20"/>
                <w:lang w:eastAsia="en-ZA"/>
              </w:rPr>
              <w:t xml:space="preserve">Nauplius </w:t>
            </w:r>
            <w:r w:rsidRPr="004D1E6F">
              <w:rPr>
                <w:rFonts w:ascii="Times New Roman" w:eastAsia="Times New Roman" w:hAnsi="Times New Roman" w:cs="Times New Roman"/>
                <w:sz w:val="20"/>
                <w:szCs w:val="20"/>
                <w:lang w:eastAsia="en-ZA"/>
              </w:rPr>
              <w:t xml:space="preserve">23(1), 1–19. </w:t>
            </w:r>
            <w:hyperlink r:id="rId530" w:history="1">
              <w:r w:rsidR="00D5184E" w:rsidRPr="00D5184E">
                <w:rPr>
                  <w:rStyle w:val="Hyperlink"/>
                  <w:rFonts w:ascii="Times New Roman" w:eastAsia="Times New Roman" w:hAnsi="Times New Roman" w:cs="Times New Roman"/>
                  <w:iCs/>
                  <w:sz w:val="20"/>
                  <w:szCs w:val="20"/>
                  <w:lang w:eastAsia="en-ZA"/>
                </w:rPr>
                <w:t>https://doi.org/10.1590/S0104-64972014002214</w:t>
              </w:r>
            </w:hyperlink>
            <w:r w:rsidRPr="004D1E6F">
              <w:rPr>
                <w:rFonts w:ascii="Times New Roman" w:eastAsia="Times New Roman" w:hAnsi="Times New Roman" w:cs="Times New Roman"/>
                <w:sz w:val="20"/>
                <w:szCs w:val="20"/>
                <w:lang w:eastAsia="en-ZA"/>
              </w:rPr>
              <w:t>.</w:t>
            </w:r>
            <w:r w:rsidR="00D5184E">
              <w:rPr>
                <w:rFonts w:ascii="Times New Roman" w:eastAsia="Times New Roman" w:hAnsi="Times New Roman" w:cs="Times New Roman"/>
                <w:sz w:val="20"/>
                <w:szCs w:val="20"/>
                <w:lang w:eastAsia="en-ZA"/>
              </w:rPr>
              <w:t xml:space="preserve"> </w:t>
            </w:r>
          </w:p>
          <w:p w14:paraId="7DC02EE0" w14:textId="5A19216F"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531" w:history="1">
              <w:r w:rsidR="00D5184E" w:rsidRPr="00F215B9">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r w:rsidR="00D5184E">
              <w:rPr>
                <w:rFonts w:ascii="Times New Roman" w:eastAsia="Times New Roman" w:hAnsi="Times New Roman" w:cs="Times New Roman"/>
                <w:color w:val="000000"/>
                <w:sz w:val="20"/>
                <w:szCs w:val="20"/>
                <w:lang w:eastAsia="en-ZA"/>
              </w:rPr>
              <w:t xml:space="preserve"> </w:t>
            </w:r>
          </w:p>
        </w:tc>
      </w:tr>
    </w:tbl>
    <w:p w14:paraId="558D3D94" w14:textId="77777777" w:rsidR="002D7080" w:rsidRPr="004D1E6F" w:rsidRDefault="002D7080" w:rsidP="004856F5">
      <w:pPr>
        <w:spacing w:after="0" w:line="240" w:lineRule="auto"/>
        <w:jc w:val="both"/>
        <w:rPr>
          <w:rFonts w:ascii="Times New Roman" w:eastAsia="Times New Roman" w:hAnsi="Times New Roman" w:cs="Times New Roman"/>
          <w:sz w:val="20"/>
          <w:szCs w:val="20"/>
          <w:lang w:eastAsia="en-ZA"/>
        </w:rPr>
      </w:pPr>
    </w:p>
    <w:tbl>
      <w:tblPr>
        <w:tblStyle w:val="TableGrid"/>
        <w:tblW w:w="9015" w:type="dxa"/>
        <w:tblLook w:val="04A0" w:firstRow="1" w:lastRow="0" w:firstColumn="1" w:lastColumn="0" w:noHBand="0" w:noVBand="1"/>
      </w:tblPr>
      <w:tblGrid>
        <w:gridCol w:w="5523"/>
        <w:gridCol w:w="3492"/>
      </w:tblGrid>
      <w:tr w:rsidR="002D7080" w:rsidRPr="004D1E6F" w14:paraId="214AFFA9" w14:textId="77777777" w:rsidTr="002E2C37">
        <w:tc>
          <w:tcPr>
            <w:tcW w:w="9016" w:type="dxa"/>
            <w:gridSpan w:val="2"/>
            <w:shd w:val="clear" w:color="auto" w:fill="F2F2F2" w:themeFill="background1" w:themeFillShade="F2"/>
          </w:tcPr>
          <w:p w14:paraId="26804104"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LIK3 Habitat suitability</w:t>
            </w:r>
          </w:p>
        </w:tc>
      </w:tr>
      <w:tr w:rsidR="002D7080" w:rsidRPr="004D1E6F" w14:paraId="3702980D" w14:textId="77777777" w:rsidTr="002E2C37">
        <w:tc>
          <w:tcPr>
            <w:tcW w:w="5524" w:type="dxa"/>
          </w:tcPr>
          <w:p w14:paraId="553EBBA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Probable (p = 1)</w:t>
            </w:r>
          </w:p>
        </w:tc>
        <w:tc>
          <w:tcPr>
            <w:tcW w:w="3492" w:type="dxa"/>
          </w:tcPr>
          <w:p w14:paraId="62B0E30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251D1936" w14:textId="77777777" w:rsidTr="002E2C37">
        <w:tc>
          <w:tcPr>
            <w:tcW w:w="9016" w:type="dxa"/>
            <w:gridSpan w:val="2"/>
          </w:tcPr>
          <w:p w14:paraId="79900502" w14:textId="50F2F389"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is tolerant to a wide range of environmental conditions ranging from environments with low salinity, oxygen levels, to those with extreme low and high temperatures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"mendeley" : { "formattedCitation" : "(de Moor 2002)", "plainTextFormattedCitation" : "(de Moor 2002)", "previouslyFormattedCitation" : "(de Moor 2002)"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 xml:space="preserve">can occur in a wide range of habitats and can therefore colonise and establish anywhere in South Africa in areas with rivers, lakes, ponds, streams, canals, and seasonally flooded swamps, marshes, and estuaries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"(de Moor 2002, Souty-grosset et al. 2016)", "plainTextFormattedCitation" : "(de Moor 2002, Souty-grosset et al. 2016)", "previouslyFormattedCitation" : "(de Moor 2002, Souty-grosset et al. 2016)"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 Souty-Grosset et al. 2016)</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In Portugal and Italy, </w:t>
            </w:r>
            <w:r w:rsidRPr="004D1E6F">
              <w:rPr>
                <w:rFonts w:ascii="Times New Roman" w:eastAsia="Times New Roman" w:hAnsi="Times New Roman" w:cs="Times New Roman"/>
                <w:i/>
                <w:sz w:val="20"/>
                <w:szCs w:val="20"/>
                <w:lang w:eastAsia="en-ZA"/>
              </w:rPr>
              <w:t xml:space="preserve">P. clarkii </w:t>
            </w:r>
            <w:r w:rsidRPr="004D1E6F">
              <w:rPr>
                <w:rFonts w:ascii="Times New Roman" w:eastAsia="Times New Roman" w:hAnsi="Times New Roman" w:cs="Times New Roman"/>
                <w:sz w:val="20"/>
                <w:szCs w:val="20"/>
                <w:lang w:eastAsia="en-ZA"/>
              </w:rPr>
              <w:t xml:space="preserve">is known to occur in caves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"(Souty-grosset et al. 2016)", "plainTextFormattedCitation" : "(Souty-grosset et al. 2016)", "previouslyFormattedCitation" : "(Souty-grosset et al. 2016)"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(Souty-Grosset et al. 2016)</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In South Africa, </w:t>
            </w:r>
            <w:r w:rsidRPr="004D1E6F">
              <w:rPr>
                <w:rFonts w:ascii="Times New Roman" w:eastAsia="Times New Roman" w:hAnsi="Times New Roman" w:cs="Times New Roman"/>
                <w:i/>
                <w:sz w:val="20"/>
                <w:szCs w:val="20"/>
                <w:lang w:eastAsia="en-ZA"/>
              </w:rPr>
              <w:t>P. clarkii</w:t>
            </w:r>
            <w:r w:rsidRPr="004D1E6F">
              <w:rPr>
                <w:rFonts w:ascii="Times New Roman" w:eastAsia="Times New Roman" w:hAnsi="Times New Roman" w:cs="Times New Roman"/>
                <w:sz w:val="20"/>
                <w:szCs w:val="20"/>
                <w:lang w:eastAsia="en-ZA"/>
              </w:rPr>
              <w:t xml:space="preserve"> has established in man-made impoundments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"ITEM-2",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"mendeley" : { "formattedCitation" : "(de Moor 2002, Madzivanzira et al. 2020)", "plainTextFormattedCitation" : "(de Moor 2002, Madzivanzira et al. 2020)", "previouslyFormattedCitation" : "(de Moor 2002, Madzivanzira et al. 2020)"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 Madzivanzira et al. 2021)</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w:t>
            </w:r>
          </w:p>
        </w:tc>
      </w:tr>
      <w:tr w:rsidR="002D7080" w:rsidRPr="004D1E6F" w14:paraId="0FE4FB3D" w14:textId="77777777" w:rsidTr="002E2C37">
        <w:tc>
          <w:tcPr>
            <w:tcW w:w="9016" w:type="dxa"/>
            <w:gridSpan w:val="2"/>
          </w:tcPr>
          <w:p w14:paraId="685CED4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5007B3A1" w14:textId="55917397" w:rsidR="002D7080" w:rsidRPr="004D1E6F" w:rsidRDefault="008A0BC6" w:rsidP="004856F5">
            <w:pPr>
              <w:ind w:left="720" w:hanging="720"/>
              <w:contextualSpacing/>
              <w:jc w:val="both"/>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De Moor</w:t>
            </w:r>
            <w:r w:rsidR="002D7080" w:rsidRPr="004D1E6F">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w:t>
            </w:r>
            <w:r w:rsidR="00F261B1">
              <w:rPr>
                <w:rFonts w:ascii="Times New Roman" w:eastAsia="Times New Roman" w:hAnsi="Times New Roman" w:cs="Times New Roman"/>
                <w:color w:val="000000"/>
                <w:sz w:val="20"/>
                <w:szCs w:val="20"/>
                <w:lang w:eastAsia="en-ZA"/>
              </w:rPr>
              <w:t xml:space="preserve">, </w:t>
            </w:r>
            <w:hyperlink r:id="rId532" w:history="1">
              <w:r w:rsidR="004D2B01" w:rsidRPr="004D2B01">
                <w:rPr>
                  <w:rStyle w:val="Hyperlink"/>
                  <w:rFonts w:ascii="Times New Roman" w:eastAsia="Times New Roman" w:hAnsi="Times New Roman" w:cs="Times New Roman"/>
                  <w:sz w:val="20"/>
                  <w:szCs w:val="20"/>
                  <w:lang w:eastAsia="en-ZA"/>
                </w:rPr>
                <w:t>https://doi.org/10.2989/16085914.2002.9626584</w:t>
              </w:r>
            </w:hyperlink>
            <w:r w:rsidR="00D5184E" w:rsidRPr="00D66918">
              <w:rPr>
                <w:rFonts w:ascii="Times New Roman" w:eastAsia="Times New Roman" w:hAnsi="Times New Roman" w:cs="Times New Roman"/>
                <w:color w:val="000000"/>
                <w:sz w:val="20"/>
                <w:szCs w:val="20"/>
                <w:lang w:eastAsia="en-ZA"/>
              </w:rPr>
              <w:t>.</w:t>
            </w:r>
          </w:p>
          <w:p w14:paraId="52830479" w14:textId="1D1DEEDA" w:rsidR="002D7080" w:rsidRPr="007533C6" w:rsidRDefault="002D7080" w:rsidP="004856F5">
            <w:pPr>
              <w:spacing w:line="256" w:lineRule="auto"/>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Calibri" w:hAnsi="Times New Roman" w:cs="Times New Roman"/>
                <w:color w:val="000000" w:themeColor="text1"/>
                <w:sz w:val="20"/>
                <w:szCs w:val="20"/>
              </w:rPr>
              <w:t xml:space="preserve">Madzivanzira, T.C., South, J., Wood, L.E., Nunes, A.L. </w:t>
            </w:r>
            <w:r w:rsidRPr="007533C6">
              <w:rPr>
                <w:rFonts w:ascii="Times New Roman" w:eastAsia="Times New Roman" w:hAnsi="Times New Roman" w:cs="Times New Roman"/>
                <w:color w:val="000000" w:themeColor="text1"/>
                <w:sz w:val="20"/>
                <w:szCs w:val="20"/>
                <w:lang w:eastAsia="en-ZA"/>
              </w:rPr>
              <w:t xml:space="preserve">&amp; </w:t>
            </w:r>
            <w:r w:rsidRPr="007533C6">
              <w:rPr>
                <w:rFonts w:ascii="Times New Roman" w:eastAsia="Calibri" w:hAnsi="Times New Roman" w:cs="Times New Roman"/>
                <w:color w:val="000000" w:themeColor="text1"/>
                <w:sz w:val="20"/>
                <w:szCs w:val="20"/>
              </w:rPr>
              <w:t xml:space="preserve">Weyl, O.L.F., 2021, ‘A review of freshwater crayfish introductions in Africa’, </w:t>
            </w:r>
            <w:r w:rsidRPr="007533C6">
              <w:rPr>
                <w:rFonts w:ascii="Times New Roman" w:eastAsia="Calibri" w:hAnsi="Times New Roman" w:cs="Times New Roman"/>
                <w:i/>
                <w:color w:val="000000" w:themeColor="text1"/>
                <w:sz w:val="20"/>
                <w:szCs w:val="20"/>
              </w:rPr>
              <w:t>Reviews in Fisheries Science &amp; Aquaculture</w:t>
            </w:r>
            <w:r w:rsidRPr="007533C6">
              <w:rPr>
                <w:rFonts w:ascii="Times New Roman" w:eastAsia="Calibri" w:hAnsi="Times New Roman" w:cs="Times New Roman"/>
                <w:color w:val="000000" w:themeColor="text1"/>
                <w:sz w:val="20"/>
                <w:szCs w:val="20"/>
              </w:rPr>
              <w:t xml:space="preserve">, 1–21. </w:t>
            </w:r>
            <w:hyperlink r:id="rId533" w:history="1">
              <w:r w:rsidR="00D5184E" w:rsidRPr="00D5184E">
                <w:rPr>
                  <w:rStyle w:val="Hyperlink"/>
                  <w:rFonts w:ascii="Times New Roman" w:eastAsia="Times New Roman" w:hAnsi="Times New Roman" w:cs="Times New Roman"/>
                  <w:iCs/>
                  <w:sz w:val="20"/>
                  <w:szCs w:val="20"/>
                  <w:lang w:eastAsia="en-ZA"/>
                </w:rPr>
                <w:t>https://doi.org/10.1080/23308249.2020.1802405</w:t>
              </w:r>
            </w:hyperlink>
          </w:p>
          <w:p w14:paraId="074F7FC2" w14:textId="3DFF59D4"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7533C6">
              <w:rPr>
                <w:rFonts w:ascii="Times New Roman" w:hAnsi="Times New Roman" w:cs="Times New Roman"/>
                <w:color w:val="000000" w:themeColor="text1"/>
                <w:sz w:val="20"/>
                <w:szCs w:val="20"/>
                <w:shd w:val="clear" w:color="auto" w:fill="FFFFFF"/>
              </w:rPr>
              <w:t>Souty-Grosset, C., Anastacio, P.M., Aquiloni, L., Banha, F., Choquer, J., Chucholl, C., et al. </w:t>
            </w:r>
            <w:r w:rsidRPr="007533C6">
              <w:rPr>
                <w:rFonts w:ascii="Times New Roman" w:eastAsia="Times New Roman" w:hAnsi="Times New Roman" w:cs="Times New Roman"/>
                <w:color w:val="000000" w:themeColor="text1"/>
                <w:sz w:val="20"/>
                <w:szCs w:val="20"/>
                <w:lang w:eastAsia="en-ZA"/>
              </w:rPr>
              <w:t xml:space="preserve">2016, ‘The red swamp crayfish </w:t>
            </w: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in Europe: Impacts on aquatic ecosystems and human well-being’, </w:t>
            </w:r>
            <w:r w:rsidRPr="007533C6">
              <w:rPr>
                <w:rFonts w:ascii="Times New Roman" w:eastAsia="Times New Roman" w:hAnsi="Times New Roman" w:cs="Times New Roman"/>
                <w:i/>
                <w:color w:val="000000" w:themeColor="text1"/>
                <w:sz w:val="20"/>
                <w:szCs w:val="20"/>
                <w:lang w:eastAsia="en-ZA"/>
              </w:rPr>
              <w:t>Limnologica</w:t>
            </w:r>
            <w:r w:rsidRPr="007533C6">
              <w:rPr>
                <w:rFonts w:ascii="Times New Roman" w:eastAsia="Times New Roman" w:hAnsi="Times New Roman" w:cs="Times New Roman"/>
                <w:color w:val="000000" w:themeColor="text1"/>
                <w:sz w:val="20"/>
                <w:szCs w:val="20"/>
                <w:lang w:eastAsia="en-ZA"/>
              </w:rPr>
              <w:t xml:space="preserve"> 58, 78–93</w:t>
            </w:r>
            <w:r w:rsidR="00D5184E">
              <w:rPr>
                <w:rFonts w:ascii="Times New Roman" w:eastAsia="Times New Roman" w:hAnsi="Times New Roman" w:cs="Times New Roman"/>
                <w:color w:val="000000" w:themeColor="text1"/>
                <w:sz w:val="20"/>
                <w:szCs w:val="20"/>
                <w:lang w:eastAsia="en-ZA"/>
              </w:rPr>
              <w:t xml:space="preserve">, </w:t>
            </w:r>
            <w:hyperlink r:id="rId534" w:history="1">
              <w:r w:rsidR="00D5184E" w:rsidRPr="00D5184E">
                <w:rPr>
                  <w:rStyle w:val="Hyperlink"/>
                  <w:rFonts w:ascii="Times New Roman" w:eastAsia="Times New Roman" w:hAnsi="Times New Roman" w:cs="Times New Roman"/>
                  <w:sz w:val="20"/>
                  <w:szCs w:val="20"/>
                  <w:lang w:eastAsia="en-ZA"/>
                </w:rPr>
                <w:t>https://doi.org/10.1016/j.limno.2016.03.003</w:t>
              </w:r>
            </w:hyperlink>
            <w:r w:rsidRPr="007533C6">
              <w:rPr>
                <w:rFonts w:ascii="Times New Roman" w:eastAsia="Times New Roman" w:hAnsi="Times New Roman" w:cs="Times New Roman"/>
                <w:bCs/>
                <w:color w:val="000000" w:themeColor="text1"/>
                <w:sz w:val="20"/>
                <w:szCs w:val="20"/>
                <w:lang w:eastAsia="en-ZA"/>
              </w:rPr>
              <w:t>.</w:t>
            </w:r>
          </w:p>
        </w:tc>
      </w:tr>
    </w:tbl>
    <w:p w14:paraId="5E870AC1"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15" w:type="dxa"/>
        <w:tblLook w:val="04A0" w:firstRow="1" w:lastRow="0" w:firstColumn="1" w:lastColumn="0" w:noHBand="0" w:noVBand="1"/>
      </w:tblPr>
      <w:tblGrid>
        <w:gridCol w:w="5523"/>
        <w:gridCol w:w="3492"/>
      </w:tblGrid>
      <w:tr w:rsidR="002D7080" w:rsidRPr="004D1E6F" w14:paraId="117CD9D8" w14:textId="77777777" w:rsidTr="002E2C37">
        <w:tc>
          <w:tcPr>
            <w:tcW w:w="9016" w:type="dxa"/>
            <w:gridSpan w:val="2"/>
            <w:shd w:val="clear" w:color="auto" w:fill="F2F2F2" w:themeFill="background1" w:themeFillShade="F2"/>
          </w:tcPr>
          <w:p w14:paraId="7DB485C5"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LIK4 Climate suitability</w:t>
            </w:r>
          </w:p>
        </w:tc>
      </w:tr>
      <w:tr w:rsidR="002D7080" w:rsidRPr="004D1E6F" w14:paraId="7CFF2DE8" w14:textId="77777777" w:rsidTr="002E2C37">
        <w:tc>
          <w:tcPr>
            <w:tcW w:w="5524" w:type="dxa"/>
          </w:tcPr>
          <w:p w14:paraId="7DBDEFE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Probable (p = 1)</w:t>
            </w:r>
          </w:p>
        </w:tc>
        <w:tc>
          <w:tcPr>
            <w:tcW w:w="3492" w:type="dxa"/>
          </w:tcPr>
          <w:p w14:paraId="7AAA941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2F7DE047" w14:textId="77777777" w:rsidTr="002E2C37">
        <w:trPr>
          <w:trHeight w:val="70"/>
        </w:trPr>
        <w:tc>
          <w:tcPr>
            <w:tcW w:w="9016" w:type="dxa"/>
            <w:gridSpan w:val="2"/>
          </w:tcPr>
          <w:p w14:paraId="64912679" w14:textId="149B98E6"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 xml:space="preserve">Procambarus clarkii </w:t>
            </w:r>
            <w:r w:rsidRPr="004D1E6F">
              <w:rPr>
                <w:rFonts w:ascii="Times New Roman" w:eastAsia="Times New Roman" w:hAnsi="Times New Roman" w:cs="Times New Roman"/>
                <w:sz w:val="20"/>
                <w:szCs w:val="20"/>
                <w:lang w:eastAsia="en-ZA"/>
              </w:rPr>
              <w:t xml:space="preserve">occurs in environments with optimal conditions between 20–25˚C, but has been seen in South Africa to withstand water temperatures exceeding 25 ˚C but not 35 ˚C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"mendeley" : { "formattedCitation" : "(de Moor 2002)", "plainTextFormattedCitation" : "(de Moor 2002)", "previouslyFormattedCitation" : "(de Moor 2002)"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Sub-optimal temperatures (&lt;12 ˚C) inhibit growth but </w:t>
            </w:r>
            <w:r w:rsidRPr="004D1E6F">
              <w:rPr>
                <w:rFonts w:ascii="Times New Roman" w:eastAsia="Times New Roman" w:hAnsi="Times New Roman" w:cs="Times New Roman"/>
                <w:i/>
                <w:iCs/>
                <w:sz w:val="20"/>
                <w:szCs w:val="20"/>
                <w:lang w:eastAsia="en-ZA"/>
              </w:rPr>
              <w:t xml:space="preserve">P. clarkii </w:t>
            </w:r>
            <w:r w:rsidRPr="004D1E6F">
              <w:rPr>
                <w:rFonts w:ascii="Times New Roman" w:eastAsia="Times New Roman" w:hAnsi="Times New Roman" w:cs="Times New Roman"/>
                <w:sz w:val="20"/>
                <w:szCs w:val="20"/>
                <w:lang w:eastAsia="en-ZA"/>
              </w:rPr>
              <w:t xml:space="preserve">can survive lower temperatures (&gt;0˚ C) by hibernating in burrows (Peruzza et al. 2015). Several catchment areas in South Africa were predicted to be climatically suitable for </w:t>
            </w:r>
            <w:r w:rsidRPr="004D1E6F">
              <w:rPr>
                <w:rFonts w:ascii="Times New Roman" w:eastAsia="Times New Roman" w:hAnsi="Times New Roman" w:cs="Times New Roman"/>
                <w:i/>
                <w:sz w:val="20"/>
                <w:szCs w:val="20"/>
                <w:lang w:eastAsia="en-ZA"/>
              </w:rPr>
              <w:t>P. clarkii</w:t>
            </w:r>
            <w:r w:rsidRPr="004D1E6F">
              <w:rPr>
                <w:rFonts w:ascii="Times New Roman" w:eastAsia="Times New Roman" w:hAnsi="Times New Roman" w:cs="Times New Roman"/>
                <w:sz w:val="20"/>
                <w:szCs w:val="20"/>
                <w:lang w:eastAsia="en-ZA"/>
              </w:rPr>
              <w:t xml:space="preserve">, include the Greater Berg, Bree, Gourits, Kromme, Swartkops, Bushmans, Keiskamma, Great Kei, Mzimvubu, uMngeni and Phongolo Rivers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"mendeley" : { "formattedCitation" : "(Nunes et al. 2017b)", "plainTextFormattedCitation" : "(Nunes et al. 2017b)", "previouslyFormattedCitation" : "(Nunes et al. 2017b)"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2017b)</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w:t>
            </w:r>
          </w:p>
        </w:tc>
      </w:tr>
      <w:tr w:rsidR="002D7080" w:rsidRPr="004D1E6F" w14:paraId="017FFECD" w14:textId="77777777" w:rsidTr="002E2C37">
        <w:tc>
          <w:tcPr>
            <w:tcW w:w="9016" w:type="dxa"/>
            <w:gridSpan w:val="2"/>
          </w:tcPr>
          <w:p w14:paraId="0B11C1F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434BB13F" w14:textId="0825F5F5" w:rsidR="002D7080" w:rsidRPr="004D1E6F" w:rsidRDefault="008A0BC6" w:rsidP="004856F5">
            <w:pPr>
              <w:ind w:left="720" w:hanging="720"/>
              <w:contextualSpacing/>
              <w:jc w:val="both"/>
              <w:rPr>
                <w:rFonts w:ascii="Times New Roman" w:eastAsia="Times New Roman" w:hAnsi="Times New Roman" w:cs="Times New Roman"/>
                <w:sz w:val="20"/>
                <w:szCs w:val="20"/>
                <w:lang w:eastAsia="en-ZA"/>
              </w:rPr>
            </w:pPr>
            <w:r>
              <w:rPr>
                <w:rFonts w:ascii="Times New Roman" w:eastAsia="Times New Roman" w:hAnsi="Times New Roman" w:cs="Times New Roman"/>
                <w:color w:val="000000"/>
                <w:sz w:val="20"/>
                <w:szCs w:val="20"/>
                <w:lang w:eastAsia="en-ZA"/>
              </w:rPr>
              <w:t>De Moor</w:t>
            </w:r>
            <w:r w:rsidR="002D7080" w:rsidRPr="004D1E6F">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 </w:t>
            </w:r>
            <w:hyperlink r:id="rId535" w:history="1">
              <w:r w:rsidR="00D5184E" w:rsidRPr="00D66918">
                <w:rPr>
                  <w:rStyle w:val="Hyperlink"/>
                  <w:rFonts w:ascii="Times New Roman" w:eastAsia="Times New Roman" w:hAnsi="Times New Roman" w:cs="Times New Roman"/>
                  <w:sz w:val="20"/>
                  <w:szCs w:val="20"/>
                  <w:lang w:eastAsia="en-ZA"/>
                </w:rPr>
                <w:t>https://doi.org/10.2989/16085914.2002.9626584</w:t>
              </w:r>
            </w:hyperlink>
            <w:r w:rsidR="00D5184E" w:rsidRPr="00D66918">
              <w:rPr>
                <w:rFonts w:ascii="Times New Roman" w:eastAsia="Times New Roman" w:hAnsi="Times New Roman" w:cs="Times New Roman"/>
                <w:sz w:val="20"/>
                <w:szCs w:val="20"/>
                <w:lang w:eastAsia="en-ZA"/>
              </w:rPr>
              <w:t>.</w:t>
            </w:r>
            <w:r w:rsidR="00D5184E">
              <w:rPr>
                <w:rFonts w:ascii="Times New Roman" w:eastAsia="Times New Roman" w:hAnsi="Times New Roman" w:cs="Times New Roman"/>
                <w:sz w:val="20"/>
                <w:szCs w:val="20"/>
                <w:lang w:eastAsia="en-ZA"/>
              </w:rPr>
              <w:t xml:space="preserve"> </w:t>
            </w:r>
            <w:r w:rsidR="002D7080" w:rsidRPr="004D1E6F">
              <w:rPr>
                <w:rFonts w:ascii="Times New Roman" w:eastAsia="Times New Roman" w:hAnsi="Times New Roman" w:cs="Times New Roman"/>
                <w:sz w:val="20"/>
                <w:szCs w:val="20"/>
                <w:lang w:eastAsia="en-ZA"/>
              </w:rPr>
              <w:t>.</w:t>
            </w:r>
          </w:p>
          <w:p w14:paraId="49DB896A" w14:textId="3359669C"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lastRenderedPageBreak/>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536" w:history="1">
              <w:r w:rsidR="004D2B01" w:rsidRPr="004D2B01">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sz w:val="20"/>
                <w:szCs w:val="20"/>
                <w:lang w:eastAsia="en-ZA"/>
              </w:rPr>
              <w:t xml:space="preserve"> </w:t>
            </w:r>
          </w:p>
          <w:p w14:paraId="063384F2" w14:textId="0B851CF8"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Peruzza, L., Piazza, F., Manfrin, C., Bonzi, L.C., Battistella, S. &amp; Giulianini, P.G., 2015, ‘Reproductive plasticity of a </w:t>
            </w:r>
            <w:r w:rsidRPr="004D1E6F">
              <w:rPr>
                <w:rFonts w:ascii="Times New Roman" w:eastAsia="Times New Roman" w:hAnsi="Times New Roman" w:cs="Times New Roman"/>
                <w:i/>
                <w:iCs/>
                <w:sz w:val="20"/>
                <w:szCs w:val="20"/>
                <w:lang w:eastAsia="en-ZA"/>
              </w:rPr>
              <w:t>Procambarus clarkii</w:t>
            </w:r>
            <w:r w:rsidRPr="004D1E6F">
              <w:rPr>
                <w:rFonts w:ascii="Times New Roman" w:eastAsia="Times New Roman" w:hAnsi="Times New Roman" w:cs="Times New Roman"/>
                <w:sz w:val="20"/>
                <w:szCs w:val="20"/>
                <w:lang w:eastAsia="en-ZA"/>
              </w:rPr>
              <w:t xml:space="preserve"> population living 10°C below its thermal optimum’, </w:t>
            </w:r>
            <w:r w:rsidRPr="004D1E6F">
              <w:rPr>
                <w:rFonts w:ascii="Times New Roman" w:eastAsia="Times New Roman" w:hAnsi="Times New Roman" w:cs="Times New Roman"/>
                <w:i/>
                <w:iCs/>
                <w:sz w:val="20"/>
                <w:szCs w:val="20"/>
                <w:lang w:eastAsia="en-ZA"/>
              </w:rPr>
              <w:t>Aquatic Invasions</w:t>
            </w:r>
            <w:r w:rsidRPr="004D1E6F">
              <w:rPr>
                <w:rFonts w:ascii="Times New Roman" w:eastAsia="Times New Roman" w:hAnsi="Times New Roman" w:cs="Times New Roman"/>
                <w:sz w:val="20"/>
                <w:szCs w:val="20"/>
                <w:lang w:eastAsia="en-ZA"/>
              </w:rPr>
              <w:t xml:space="preserve"> 10(2), 199–208. </w:t>
            </w:r>
            <w:hyperlink r:id="rId537" w:history="1">
              <w:r w:rsidR="00D5184E" w:rsidRPr="00F215B9">
                <w:rPr>
                  <w:rStyle w:val="Hyperlink"/>
                  <w:rFonts w:ascii="Times New Roman" w:eastAsia="Times New Roman" w:hAnsi="Times New Roman" w:cs="Times New Roman"/>
                  <w:sz w:val="20"/>
                  <w:szCs w:val="20"/>
                  <w:lang w:eastAsia="en-ZA"/>
                </w:rPr>
                <w:t>https://doi.org/10.3391/ai.2015.10.2.08</w:t>
              </w:r>
            </w:hyperlink>
            <w:r w:rsidRPr="004D1E6F">
              <w:rPr>
                <w:rFonts w:ascii="Times New Roman" w:eastAsia="Times New Roman" w:hAnsi="Times New Roman" w:cs="Times New Roman"/>
                <w:sz w:val="20"/>
                <w:szCs w:val="20"/>
                <w:lang w:eastAsia="en-ZA"/>
              </w:rPr>
              <w:t>.</w:t>
            </w:r>
            <w:r w:rsidR="00D5184E">
              <w:rPr>
                <w:rFonts w:ascii="Times New Roman" w:eastAsia="Times New Roman" w:hAnsi="Times New Roman" w:cs="Times New Roman"/>
                <w:sz w:val="20"/>
                <w:szCs w:val="20"/>
                <w:lang w:eastAsia="en-ZA"/>
              </w:rPr>
              <w:t xml:space="preserve"> </w:t>
            </w:r>
          </w:p>
        </w:tc>
      </w:tr>
    </w:tbl>
    <w:p w14:paraId="265EAB82"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15" w:type="dxa"/>
        <w:tblLook w:val="04A0" w:firstRow="1" w:lastRow="0" w:firstColumn="1" w:lastColumn="0" w:noHBand="0" w:noVBand="1"/>
      </w:tblPr>
      <w:tblGrid>
        <w:gridCol w:w="5523"/>
        <w:gridCol w:w="3492"/>
      </w:tblGrid>
      <w:tr w:rsidR="002D7080" w:rsidRPr="004D1E6F" w14:paraId="57342492" w14:textId="77777777" w:rsidTr="002E2C37">
        <w:tc>
          <w:tcPr>
            <w:tcW w:w="9016" w:type="dxa"/>
            <w:gridSpan w:val="2"/>
            <w:shd w:val="clear" w:color="auto" w:fill="F2F2F2" w:themeFill="background1" w:themeFillShade="F2"/>
          </w:tcPr>
          <w:p w14:paraId="18E65413"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LIK5 Unaided secondary (dispersal) pathways</w:t>
            </w:r>
          </w:p>
        </w:tc>
      </w:tr>
      <w:tr w:rsidR="002D7080" w:rsidRPr="004D1E6F" w14:paraId="7BC55434" w14:textId="77777777" w:rsidTr="002E2C37">
        <w:tc>
          <w:tcPr>
            <w:tcW w:w="5524" w:type="dxa"/>
          </w:tcPr>
          <w:p w14:paraId="066BD81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Probable (p = 1)</w:t>
            </w:r>
          </w:p>
        </w:tc>
        <w:tc>
          <w:tcPr>
            <w:tcW w:w="3492" w:type="dxa"/>
          </w:tcPr>
          <w:p w14:paraId="724C7F8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0D8881F0" w14:textId="77777777" w:rsidTr="002E2C37">
        <w:trPr>
          <w:trHeight w:val="70"/>
        </w:trPr>
        <w:tc>
          <w:tcPr>
            <w:tcW w:w="9016" w:type="dxa"/>
            <w:gridSpan w:val="2"/>
          </w:tcPr>
          <w:p w14:paraId="5C3C39F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can travel long distances overland to find water resources, therefore it is probable (p = 1) that </w:t>
            </w:r>
            <w:r w:rsidRPr="004D1E6F">
              <w:rPr>
                <w:rFonts w:ascii="Times New Roman" w:eastAsia="Times New Roman" w:hAnsi="Times New Roman" w:cs="Times New Roman"/>
                <w:i/>
                <w:iCs/>
                <w:sz w:val="20"/>
                <w:szCs w:val="20"/>
                <w:lang w:eastAsia="en-ZA"/>
              </w:rPr>
              <w:t xml:space="preserve">P. clarkii </w:t>
            </w:r>
            <w:r w:rsidRPr="004D1E6F">
              <w:rPr>
                <w:rFonts w:ascii="Times New Roman" w:eastAsia="Times New Roman" w:hAnsi="Times New Roman" w:cs="Times New Roman"/>
                <w:sz w:val="20"/>
                <w:szCs w:val="20"/>
                <w:lang w:eastAsia="en-ZA"/>
              </w:rPr>
              <w:t xml:space="preserve">would be able to move into new areas. </w:t>
            </w:r>
            <w:r w:rsidRPr="004D1E6F">
              <w:rPr>
                <w:rFonts w:ascii="Times New Roman" w:eastAsia="Times New Roman" w:hAnsi="Times New Roman" w:cs="Times New Roman"/>
                <w:i/>
                <w:iCs/>
                <w:sz w:val="20"/>
                <w:szCs w:val="20"/>
                <w:lang w:eastAsia="en-ZA"/>
              </w:rPr>
              <w:t>Procambarus clarkii</w:t>
            </w:r>
            <w:r w:rsidRPr="004D1E6F">
              <w:rPr>
                <w:rFonts w:ascii="Times New Roman" w:eastAsia="Times New Roman" w:hAnsi="Times New Roman" w:cs="Times New Roman"/>
                <w:sz w:val="20"/>
                <w:szCs w:val="20"/>
                <w:lang w:eastAsia="en-ZA"/>
              </w:rPr>
              <w:t xml:space="preserve"> has stationary and nomadic phases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"10.1080/10236240600869702", "ISBN" : "1023624060", "author" : [ { "dropping-particle" : "", "family" : "Gherardi", "given" : "Francesca", "non-dropping-particle" : "", "parse-names" : false, "suffix" : "" } ], "id" : "ITEM-1", "issued" : { "date-parts" : [ [ "2007" ] ] }, "title" : "Crayfish invading Europe : the case study of Procambarus clarkii", "type" : "article-journal", "volume" : "6244" }, "uris" : [ "http://www.mendeley.com/documents/?uuid=2b46eae2-799d-44da-87f8-57a5b1e206ae" ] } ], "mendeley" : { "formattedCitation" : "(Gherardi 2007a)", "plainTextFormattedCitation" : "(Gherardi 2007a)", "previouslyFormattedCitation" : "(Gherardi 2007a)"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(Gherardi 2006)</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During the nomadic phase, breeding males have been reported to travel up to 17 km in four days, and can survive up to 10 hours outside water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"10.1080/10236240600869702", "ISBN" : "1023624060", "author" : [ { "dropping-particle" : "", "family" : "Gherardi", "given" : "Francesca", "non-dropping-particle" : "", "parse-names" : false, "suffix" : "" } ], "id" : "ITEM-1", "issued" : { "date-parts" : [ [ "2007" ] ] }, "title" : "Crayfish invading Europe : the case study of Procambarus clarkii", "type" : "article-journal", "volume" : "6244" }, "uris" : [ "http://www.mendeley.com/documents/?uuid=2b46eae2-799d-44da-87f8-57a5b1e206ae" ] }, { "id" : "ITEM-2",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"(Gherardi 2007a, Souty-grosset et al. 2016)", "plainTextFormattedCitation" : "(Gherardi 2007a, Souty-grosset et al. 2016)", "previouslyFormattedCitation" : "(Gherardi 2007a, Souty-grosset et al. 2016)"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(Gherardi 2006; Souty-Grosset et al. 2016)</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Juveniles can also be translocated to new areas by water birds (Souty-Grosset et al. 2016).</w:t>
            </w:r>
          </w:p>
        </w:tc>
      </w:tr>
      <w:tr w:rsidR="002D7080" w:rsidRPr="004D1E6F" w14:paraId="2B91F1FA" w14:textId="77777777" w:rsidTr="002E2C37">
        <w:tc>
          <w:tcPr>
            <w:tcW w:w="9016" w:type="dxa"/>
            <w:gridSpan w:val="2"/>
          </w:tcPr>
          <w:p w14:paraId="48ED996C" w14:textId="77777777" w:rsidR="002D7080" w:rsidRPr="004D1E6F" w:rsidRDefault="002D7080" w:rsidP="002E2C37">
            <w:pPr>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5E2397C7" w14:textId="4347DC8E"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Gherardi, F., 2006, ‘Crayfish invading Europe: The case study of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Hydrobiologia</w:t>
            </w:r>
            <w:r w:rsidRPr="004D1E6F">
              <w:rPr>
                <w:rFonts w:ascii="Times New Roman" w:eastAsia="Times New Roman" w:hAnsi="Times New Roman" w:cs="Times New Roman"/>
                <w:sz w:val="20"/>
                <w:szCs w:val="20"/>
                <w:lang w:eastAsia="en-ZA"/>
              </w:rPr>
              <w:t xml:space="preserve"> 595, 295–301. </w:t>
            </w:r>
            <w:r w:rsidR="00D5184E" w:rsidRPr="00D5184E">
              <w:rPr>
                <w:rFonts w:ascii="Times New Roman" w:eastAsia="Times New Roman" w:hAnsi="Times New Roman" w:cs="Times New Roman"/>
                <w:sz w:val="20"/>
                <w:szCs w:val="20"/>
                <w:lang w:eastAsia="en-ZA"/>
              </w:rPr>
              <w:t>https://doi.org/10.1080/10236240600869702</w:t>
            </w:r>
            <w:r w:rsidRPr="004D1E6F">
              <w:rPr>
                <w:rFonts w:ascii="Times New Roman" w:eastAsia="Times New Roman" w:hAnsi="Times New Roman" w:cs="Times New Roman"/>
                <w:bCs/>
                <w:sz w:val="20"/>
                <w:szCs w:val="20"/>
                <w:lang w:eastAsia="en-ZA"/>
              </w:rPr>
              <w:t>.</w:t>
            </w:r>
          </w:p>
          <w:p w14:paraId="16829B71" w14:textId="36E50FD3"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7533C6">
              <w:rPr>
                <w:rFonts w:ascii="Times New Roman" w:hAnsi="Times New Roman" w:cs="Times New Roman"/>
                <w:color w:val="000000" w:themeColor="text1"/>
                <w:sz w:val="20"/>
                <w:szCs w:val="20"/>
                <w:shd w:val="clear" w:color="auto" w:fill="FFFFFF"/>
              </w:rPr>
              <w:t>Souty-Grosset, C., Anastacio, P.M., Aquiloni, L., Banha, F., Choquer, J., Chucholl, C. &amp; Tricarico, E., </w:t>
            </w:r>
            <w:r w:rsidRPr="007533C6">
              <w:rPr>
                <w:rFonts w:ascii="Times New Roman" w:eastAsia="Times New Roman" w:hAnsi="Times New Roman" w:cs="Times New Roman"/>
                <w:color w:val="000000" w:themeColor="text1"/>
                <w:sz w:val="20"/>
                <w:szCs w:val="20"/>
                <w:lang w:eastAsia="en-ZA"/>
              </w:rPr>
              <w:t xml:space="preserve">2016, ‘The red swamp crayfish </w:t>
            </w: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in Europe: Impacts on aquatic </w:t>
            </w:r>
            <w:r w:rsidRPr="004D1E6F">
              <w:rPr>
                <w:rFonts w:ascii="Times New Roman" w:eastAsia="Times New Roman" w:hAnsi="Times New Roman" w:cs="Times New Roman"/>
                <w:sz w:val="20"/>
                <w:szCs w:val="20"/>
                <w:lang w:eastAsia="en-ZA"/>
              </w:rPr>
              <w:t xml:space="preserve">ecosystems and human well-being’, </w:t>
            </w:r>
            <w:r w:rsidRPr="004D1E6F">
              <w:rPr>
                <w:rFonts w:ascii="Times New Roman" w:eastAsia="Times New Roman" w:hAnsi="Times New Roman" w:cs="Times New Roman"/>
                <w:i/>
                <w:sz w:val="20"/>
                <w:szCs w:val="20"/>
                <w:lang w:eastAsia="en-ZA"/>
              </w:rPr>
              <w:t>Limnologica</w:t>
            </w:r>
            <w:r w:rsidRPr="004D1E6F">
              <w:rPr>
                <w:rFonts w:ascii="Times New Roman" w:eastAsia="Times New Roman" w:hAnsi="Times New Roman" w:cs="Times New Roman"/>
                <w:sz w:val="20"/>
                <w:szCs w:val="20"/>
                <w:lang w:eastAsia="en-ZA"/>
              </w:rPr>
              <w:t xml:space="preserve"> 58, 78–93. </w:t>
            </w:r>
            <w:hyperlink r:id="rId538" w:history="1">
              <w:r w:rsidR="00D5184E" w:rsidRPr="00D5184E">
                <w:rPr>
                  <w:rStyle w:val="Hyperlink"/>
                  <w:rFonts w:ascii="Times New Roman" w:eastAsia="Times New Roman" w:hAnsi="Times New Roman" w:cs="Times New Roman"/>
                  <w:bCs/>
                  <w:sz w:val="20"/>
                  <w:szCs w:val="20"/>
                  <w:lang w:eastAsia="en-ZA"/>
                </w:rPr>
                <w:t>https://doi.org/10.1016/j.limno.2016.03.003</w:t>
              </w:r>
            </w:hyperlink>
            <w:r w:rsidRPr="004D1E6F">
              <w:rPr>
                <w:rFonts w:ascii="Times New Roman" w:eastAsia="Times New Roman" w:hAnsi="Times New Roman" w:cs="Times New Roman"/>
                <w:bCs/>
                <w:sz w:val="20"/>
                <w:szCs w:val="20"/>
                <w:lang w:eastAsia="en-ZA"/>
              </w:rPr>
              <w:t>.</w:t>
            </w:r>
          </w:p>
        </w:tc>
      </w:tr>
    </w:tbl>
    <w:p w14:paraId="18FCD8F1" w14:textId="77777777" w:rsidR="002D7080" w:rsidRPr="004D1E6F" w:rsidRDefault="002D7080" w:rsidP="002D7080">
      <w:pPr>
        <w:spacing w:after="0" w:line="240" w:lineRule="auto"/>
        <w:contextualSpacing/>
        <w:rPr>
          <w:rFonts w:ascii="Times New Roman" w:eastAsia="Times New Roman" w:hAnsi="Times New Roman" w:cs="Times New Roman"/>
          <w:sz w:val="20"/>
          <w:szCs w:val="20"/>
          <w:lang w:eastAsia="en-ZA"/>
        </w:rPr>
      </w:pPr>
    </w:p>
    <w:tbl>
      <w:tblPr>
        <w:tblStyle w:val="TableGrid"/>
        <w:tblW w:w="9015" w:type="dxa"/>
        <w:tblLook w:val="04A0" w:firstRow="1" w:lastRow="0" w:firstColumn="1" w:lastColumn="0" w:noHBand="0" w:noVBand="1"/>
      </w:tblPr>
      <w:tblGrid>
        <w:gridCol w:w="5523"/>
        <w:gridCol w:w="3492"/>
      </w:tblGrid>
      <w:tr w:rsidR="002D7080" w:rsidRPr="004D1E6F" w14:paraId="2EC74C74" w14:textId="77777777" w:rsidTr="002E2C37">
        <w:tc>
          <w:tcPr>
            <w:tcW w:w="9016" w:type="dxa"/>
            <w:gridSpan w:val="2"/>
            <w:shd w:val="clear" w:color="auto" w:fill="F2F2F2" w:themeFill="background1" w:themeFillShade="F2"/>
          </w:tcPr>
          <w:p w14:paraId="371B5637"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LIK6 Human aided secondary (dispersal) pathways</w:t>
            </w:r>
          </w:p>
        </w:tc>
      </w:tr>
      <w:tr w:rsidR="002D7080" w:rsidRPr="004D1E6F" w14:paraId="72F0CF5A" w14:textId="77777777" w:rsidTr="002E2C37">
        <w:tc>
          <w:tcPr>
            <w:tcW w:w="5524" w:type="dxa"/>
          </w:tcPr>
          <w:p w14:paraId="2ECCDB2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Probable (p = 1)</w:t>
            </w:r>
          </w:p>
        </w:tc>
        <w:tc>
          <w:tcPr>
            <w:tcW w:w="3492" w:type="dxa"/>
          </w:tcPr>
          <w:p w14:paraId="03FF446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5BB9F543" w14:textId="77777777" w:rsidTr="002E2C37">
        <w:tc>
          <w:tcPr>
            <w:tcW w:w="9016" w:type="dxa"/>
            <w:gridSpan w:val="2"/>
          </w:tcPr>
          <w:p w14:paraId="1B4FB40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could be introduced into new areas through aquaculture and the pet trade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"id" : "ITEM-2",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"ITEM-2",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"id" : "ITEM-3", "itemData" : { "DOI" : "10.18353/crustacea.44.0", "author" : [ { "dropping-particle" : "", "family" : "Faulkes", "given" : "Zen", "non-dropping-particle" : "", "parse-names" : false, "suffix" : "" } ], "id" : "ITEM-3", "issue" : "November", "issued" : { "date-parts" : [ [ "2015" ] ] }, "page" : "75-92", "title" : "Crustacean Research", "type" : "article-journal", "volume" : "44" }, "uris" : [ "http://www.mendeley.com/documents/?uuid=e0847d33-9219-447a-8947-11c70298c5ed" ] } ], "mendeley" : { "formattedCitation" : "(Holdich et al. 2009, Faulkes 2015, Madzivanzira et al. 2020)", "plainTextFormattedCitation" : "(Holdich et al. 2009, Faulkes 2015, Madzivanzira et al. 2020)", "previouslyFormattedCitation" : "(Holdich et al. 2009, Faulkes 2015, Madzivanzira et al. 2020)"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(Faulkes 2015; Holdich et al. 2009; Madzivanzira et al. 2021)</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is also likely to be translocated intentionally as bait for fishing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"ITEM-1",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"(Nunes et al. 2017a)", "plainTextFormattedCitation" : "(Nunes et al. 2017a)", "previouslyFormattedCitation" : "(Nunes et al. 2017a)"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2017a)</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In addition, areas with known naturalised populations can act as a source for spreading into other regions in South Africa.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 xml:space="preserve">is not currently regulated under the NEM:BA Alien and Invasive Species regulations and is available for purchase online (Nunes et al. 2017a; Madzivanzira et al. 2021). This could promote farming operations for </w:t>
            </w:r>
            <w:r w:rsidRPr="004D1E6F">
              <w:rPr>
                <w:rFonts w:ascii="Times New Roman" w:eastAsia="Times New Roman" w:hAnsi="Times New Roman" w:cs="Times New Roman"/>
                <w:i/>
                <w:iCs/>
                <w:sz w:val="20"/>
                <w:szCs w:val="20"/>
                <w:lang w:eastAsia="en-ZA"/>
              </w:rPr>
              <w:t xml:space="preserve">P. clarkii </w:t>
            </w:r>
            <w:r w:rsidRPr="004D1E6F">
              <w:rPr>
                <w:rFonts w:ascii="Times New Roman" w:eastAsia="Times New Roman" w:hAnsi="Times New Roman" w:cs="Times New Roman"/>
                <w:sz w:val="20"/>
                <w:szCs w:val="20"/>
                <w:lang w:eastAsia="en-ZA"/>
              </w:rPr>
              <w:t xml:space="preserve">resulting in further dispersal of the species (Nunes et al. 2017a; Madzivanzira et al. 2021). </w:t>
            </w:r>
          </w:p>
        </w:tc>
      </w:tr>
      <w:tr w:rsidR="002D7080" w:rsidRPr="004D1E6F" w14:paraId="0E4C1C3A" w14:textId="77777777" w:rsidTr="002E2C37">
        <w:tc>
          <w:tcPr>
            <w:tcW w:w="9016" w:type="dxa"/>
            <w:gridSpan w:val="2"/>
          </w:tcPr>
          <w:p w14:paraId="0802F63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2F68D844" w14:textId="0C9CDC22" w:rsidR="00D5184E"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Faulkes, Z., 2015, ‘The global trade in crayfish as pets’, </w:t>
            </w:r>
            <w:r w:rsidRPr="004D1E6F">
              <w:rPr>
                <w:rFonts w:ascii="Times New Roman" w:eastAsia="Times New Roman" w:hAnsi="Times New Roman" w:cs="Times New Roman"/>
                <w:i/>
                <w:iCs/>
                <w:sz w:val="20"/>
                <w:szCs w:val="20"/>
                <w:lang w:eastAsia="en-ZA"/>
              </w:rPr>
              <w:t xml:space="preserve">Crustacean Research </w:t>
            </w:r>
            <w:r w:rsidRPr="004D1E6F">
              <w:rPr>
                <w:rFonts w:ascii="Times New Roman" w:eastAsia="Times New Roman" w:hAnsi="Times New Roman" w:cs="Times New Roman"/>
                <w:iCs/>
                <w:sz w:val="20"/>
                <w:szCs w:val="20"/>
                <w:lang w:eastAsia="en-ZA"/>
              </w:rPr>
              <w:t>44</w:t>
            </w:r>
            <w:r w:rsidRPr="004D1E6F">
              <w:rPr>
                <w:rFonts w:ascii="Times New Roman" w:eastAsia="Times New Roman" w:hAnsi="Times New Roman" w:cs="Times New Roman"/>
                <w:sz w:val="20"/>
                <w:szCs w:val="20"/>
                <w:lang w:eastAsia="en-ZA"/>
              </w:rPr>
              <w:t xml:space="preserve">, 75–92. </w:t>
            </w:r>
            <w:r w:rsidR="004D2B01" w:rsidRPr="004D2B01">
              <w:rPr>
                <w:rFonts w:ascii="Times New Roman" w:eastAsia="Times New Roman" w:hAnsi="Times New Roman" w:cs="Times New Roman"/>
                <w:sz w:val="20"/>
                <w:szCs w:val="20"/>
                <w:lang w:eastAsia="en-ZA"/>
              </w:rPr>
              <w:t>https://doi.org/10.18353/crustacea.44.0_75</w:t>
            </w:r>
          </w:p>
          <w:p w14:paraId="6F0F592B" w14:textId="1185677C"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Cs/>
                <w:sz w:val="20"/>
                <w:szCs w:val="20"/>
                <w:lang w:eastAsia="en-ZA"/>
              </w:rPr>
              <w:t xml:space="preserve">Holdich, D.M., Reynolds, J.D. &amp; Sibley, P.J., 2009, ‘A review of the ever increasing threat to European crayfish from non-indigenous crayfish species’, </w:t>
            </w:r>
            <w:r w:rsidRPr="004D1E6F">
              <w:rPr>
                <w:rFonts w:ascii="Times New Roman" w:eastAsia="Times New Roman" w:hAnsi="Times New Roman" w:cs="Times New Roman"/>
                <w:bCs/>
                <w:i/>
                <w:sz w:val="20"/>
                <w:szCs w:val="20"/>
                <w:lang w:eastAsia="en-ZA"/>
              </w:rPr>
              <w:t xml:space="preserve">Knowledge and Management of Aquatic Ecosystems </w:t>
            </w:r>
            <w:r w:rsidRPr="004D1E6F">
              <w:rPr>
                <w:rFonts w:ascii="Times New Roman" w:eastAsia="Times New Roman" w:hAnsi="Times New Roman" w:cs="Times New Roman"/>
                <w:bCs/>
                <w:iCs/>
                <w:sz w:val="20"/>
                <w:szCs w:val="20"/>
                <w:lang w:eastAsia="en-ZA"/>
              </w:rPr>
              <w:t xml:space="preserve">11, </w:t>
            </w:r>
            <w:r w:rsidRPr="004D1E6F">
              <w:rPr>
                <w:rFonts w:ascii="Times New Roman" w:eastAsia="Times New Roman" w:hAnsi="Times New Roman" w:cs="Times New Roman"/>
                <w:bCs/>
                <w:sz w:val="20"/>
                <w:szCs w:val="20"/>
                <w:lang w:eastAsia="en-ZA"/>
              </w:rPr>
              <w:t xml:space="preserve">394–395. </w:t>
            </w:r>
            <w:hyperlink r:id="rId539" w:history="1">
              <w:r w:rsidR="00D5184E" w:rsidRPr="00F215B9">
                <w:rPr>
                  <w:rStyle w:val="Hyperlink"/>
                  <w:rFonts w:ascii="Times New Roman" w:eastAsia="Times New Roman" w:hAnsi="Times New Roman" w:cs="Times New Roman"/>
                  <w:bCs/>
                  <w:sz w:val="20"/>
                  <w:szCs w:val="20"/>
                  <w:lang w:eastAsia="en-ZA"/>
                </w:rPr>
                <w:t>https://doi.org/10.1051/kmae/2009025</w:t>
              </w:r>
            </w:hyperlink>
            <w:r w:rsidRPr="004D1E6F">
              <w:rPr>
                <w:rFonts w:ascii="Times New Roman" w:eastAsia="Times New Roman" w:hAnsi="Times New Roman" w:cs="Times New Roman"/>
                <w:bCs/>
                <w:sz w:val="20"/>
                <w:szCs w:val="20"/>
                <w:lang w:eastAsia="en-ZA"/>
              </w:rPr>
              <w:t>.</w:t>
            </w:r>
            <w:r w:rsidR="00D5184E">
              <w:rPr>
                <w:rFonts w:ascii="Times New Roman" w:eastAsia="Times New Roman" w:hAnsi="Times New Roman" w:cs="Times New Roman"/>
                <w:bCs/>
                <w:sz w:val="20"/>
                <w:szCs w:val="20"/>
                <w:lang w:eastAsia="en-ZA"/>
              </w:rPr>
              <w:t xml:space="preserve"> </w:t>
            </w:r>
          </w:p>
          <w:p w14:paraId="3ADCC387" w14:textId="4DD48415" w:rsidR="002D7080" w:rsidRPr="004D1E6F" w:rsidRDefault="002D7080" w:rsidP="004856F5">
            <w:pPr>
              <w:spacing w:line="256" w:lineRule="auto"/>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Calibri" w:hAnsi="Times New Roman" w:cs="Times New Roman"/>
                <w:sz w:val="20"/>
                <w:szCs w:val="20"/>
              </w:rPr>
              <w:t xml:space="preserve">Madzivanzira, T.C., South, J., Wood, L.E., Nunes, A.L. </w:t>
            </w:r>
            <w:r w:rsidRPr="004D1E6F">
              <w:rPr>
                <w:rFonts w:ascii="Times New Roman" w:eastAsia="Times New Roman" w:hAnsi="Times New Roman" w:cs="Times New Roman"/>
                <w:color w:val="000000"/>
                <w:sz w:val="20"/>
                <w:szCs w:val="20"/>
                <w:lang w:eastAsia="en-ZA"/>
              </w:rPr>
              <w:t xml:space="preserve">&amp; </w:t>
            </w:r>
            <w:r w:rsidRPr="004D1E6F">
              <w:rPr>
                <w:rFonts w:ascii="Times New Roman" w:eastAsia="Calibri" w:hAnsi="Times New Roman" w:cs="Times New Roman"/>
                <w:sz w:val="20"/>
                <w:szCs w:val="20"/>
              </w:rPr>
              <w:t xml:space="preserve">Weyl, O.L.F., 2021, ‘A review of freshwater crayfish introductions in Africa’, </w:t>
            </w:r>
            <w:r w:rsidRPr="004D1E6F">
              <w:rPr>
                <w:rFonts w:ascii="Times New Roman" w:eastAsia="Calibri" w:hAnsi="Times New Roman" w:cs="Times New Roman"/>
                <w:i/>
                <w:sz w:val="20"/>
                <w:szCs w:val="20"/>
              </w:rPr>
              <w:t>Reviews in Fisheries Science &amp; Aquaculture</w:t>
            </w:r>
            <w:r w:rsidRPr="004D1E6F">
              <w:rPr>
                <w:rFonts w:ascii="Times New Roman" w:eastAsia="Calibri" w:hAnsi="Times New Roman" w:cs="Times New Roman"/>
                <w:sz w:val="20"/>
                <w:szCs w:val="20"/>
              </w:rPr>
              <w:t xml:space="preserve">,1–21. </w:t>
            </w:r>
            <w:hyperlink r:id="rId540" w:history="1">
              <w:r w:rsidR="00D5184E" w:rsidRPr="00F215B9">
                <w:rPr>
                  <w:rStyle w:val="Hyperlink"/>
                  <w:rFonts w:ascii="Times New Roman" w:eastAsia="Times New Roman" w:hAnsi="Times New Roman" w:cs="Times New Roman"/>
                  <w:sz w:val="20"/>
                  <w:szCs w:val="20"/>
                  <w:lang w:eastAsia="en-ZA"/>
                </w:rPr>
                <w:t>https://doi.org/10.1080/23308249.2020.1802405</w:t>
              </w:r>
            </w:hyperlink>
            <w:r w:rsidRPr="004D1E6F">
              <w:rPr>
                <w:rFonts w:ascii="Times New Roman" w:eastAsia="Calibri" w:hAnsi="Times New Roman" w:cs="Times New Roman"/>
                <w:sz w:val="20"/>
                <w:szCs w:val="20"/>
              </w:rPr>
              <w:t>.</w:t>
            </w:r>
            <w:r w:rsidR="00D5184E">
              <w:rPr>
                <w:rFonts w:ascii="Times New Roman" w:eastAsia="Calibri" w:hAnsi="Times New Roman" w:cs="Times New Roman"/>
                <w:sz w:val="20"/>
                <w:szCs w:val="20"/>
              </w:rPr>
              <w:t xml:space="preserve"> </w:t>
            </w:r>
          </w:p>
          <w:p w14:paraId="4245E417" w14:textId="15C110C9"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Hoffman, C.A., Zengeya, T.A., Measey, G.J. &amp; Weyl, O.L.F, 2017a, ‘Red swamp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found in South Africa 22 years after attempted eradication’, </w:t>
            </w:r>
            <w:r w:rsidRPr="004D1E6F">
              <w:rPr>
                <w:rFonts w:ascii="Times New Roman" w:eastAsia="Times New Roman" w:hAnsi="Times New Roman" w:cs="Times New Roman"/>
                <w:i/>
                <w:sz w:val="20"/>
                <w:szCs w:val="20"/>
                <w:lang w:eastAsia="en-ZA"/>
              </w:rPr>
              <w:t>Aquatic Conservation: Marine &amp; Freshwater Ecosystems</w:t>
            </w:r>
            <w:r w:rsidRPr="004D1E6F">
              <w:rPr>
                <w:rFonts w:ascii="Times New Roman" w:eastAsia="Times New Roman" w:hAnsi="Times New Roman" w:cs="Times New Roman"/>
                <w:sz w:val="20"/>
                <w:szCs w:val="20"/>
                <w:lang w:eastAsia="en-ZA"/>
              </w:rPr>
              <w:t xml:space="preserve"> 27, 1334–1340. </w:t>
            </w:r>
            <w:hyperlink r:id="rId541" w:history="1">
              <w:r w:rsidR="00D5184E" w:rsidRPr="00F215B9">
                <w:rPr>
                  <w:rStyle w:val="Hyperlink"/>
                  <w:rFonts w:ascii="Times New Roman" w:eastAsia="Times New Roman" w:hAnsi="Times New Roman" w:cs="Times New Roman"/>
                  <w:bCs/>
                  <w:sz w:val="20"/>
                  <w:szCs w:val="20"/>
                  <w:lang w:eastAsia="en-ZA"/>
                </w:rPr>
                <w:t>https://doi.org/10.1002/aqc.2741</w:t>
              </w:r>
            </w:hyperlink>
            <w:r w:rsidRPr="004D1E6F">
              <w:rPr>
                <w:rFonts w:ascii="Times New Roman" w:hAnsi="Times New Roman" w:cs="Times New Roman"/>
                <w:bCs/>
                <w:sz w:val="20"/>
                <w:szCs w:val="20"/>
              </w:rPr>
              <w:t>.</w:t>
            </w:r>
            <w:r w:rsidR="00D5184E">
              <w:rPr>
                <w:rFonts w:ascii="Times New Roman" w:hAnsi="Times New Roman" w:cs="Times New Roman"/>
                <w:bCs/>
                <w:sz w:val="20"/>
                <w:szCs w:val="20"/>
              </w:rPr>
              <w:t xml:space="preserve"> </w:t>
            </w:r>
          </w:p>
        </w:tc>
      </w:tr>
    </w:tbl>
    <w:p w14:paraId="18E396B1" w14:textId="77777777" w:rsidR="002D7080" w:rsidRDefault="002D7080" w:rsidP="002D7080">
      <w:pPr>
        <w:spacing w:after="0" w:line="240" w:lineRule="auto"/>
        <w:rPr>
          <w:rFonts w:ascii="Times New Roman" w:eastAsia="Times New Roman" w:hAnsi="Times New Roman" w:cs="Times New Roman"/>
          <w:b/>
          <w:sz w:val="20"/>
          <w:szCs w:val="20"/>
          <w:lang w:eastAsia="en-ZA"/>
        </w:rPr>
      </w:pPr>
    </w:p>
    <w:p w14:paraId="6E18D1ED"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3. Consequences</w:t>
      </w:r>
    </w:p>
    <w:p w14:paraId="493A51D4"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15" w:type="dxa"/>
        <w:tblLook w:val="04A0" w:firstRow="1" w:lastRow="0" w:firstColumn="1" w:lastColumn="0" w:noHBand="0" w:noVBand="1"/>
      </w:tblPr>
      <w:tblGrid>
        <w:gridCol w:w="5948"/>
        <w:gridCol w:w="3067"/>
      </w:tblGrid>
      <w:tr w:rsidR="002D7080" w:rsidRPr="004D1E6F" w14:paraId="184D8120" w14:textId="77777777" w:rsidTr="002E2C37">
        <w:trPr>
          <w:trHeight w:val="170"/>
        </w:trPr>
        <w:tc>
          <w:tcPr>
            <w:tcW w:w="9015" w:type="dxa"/>
            <w:gridSpan w:val="2"/>
            <w:shd w:val="clear" w:color="auto" w:fill="F2F2F2" w:themeFill="background1" w:themeFillShade="F2"/>
          </w:tcPr>
          <w:p w14:paraId="5D621F09"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CON1 Environmental impact</w:t>
            </w:r>
          </w:p>
        </w:tc>
      </w:tr>
      <w:tr w:rsidR="002D7080" w:rsidRPr="004D1E6F" w14:paraId="182BC2CA" w14:textId="77777777" w:rsidTr="002E2C37">
        <w:tc>
          <w:tcPr>
            <w:tcW w:w="9015" w:type="dxa"/>
            <w:gridSpan w:val="2"/>
            <w:shd w:val="clear" w:color="auto" w:fill="F2F2F2" w:themeFill="background1" w:themeFillShade="F2"/>
          </w:tcPr>
          <w:p w14:paraId="705F6ED5"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lastRenderedPageBreak/>
              <w:t>CON1a: Competition</w:t>
            </w:r>
          </w:p>
        </w:tc>
      </w:tr>
      <w:tr w:rsidR="002D7080" w:rsidRPr="004D1E6F" w14:paraId="358F482D" w14:textId="77777777" w:rsidTr="002E2C37">
        <w:tc>
          <w:tcPr>
            <w:tcW w:w="5948" w:type="dxa"/>
          </w:tcPr>
          <w:p w14:paraId="61DC77F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Major (MR)</w:t>
            </w:r>
          </w:p>
        </w:tc>
        <w:tc>
          <w:tcPr>
            <w:tcW w:w="3067" w:type="dxa"/>
          </w:tcPr>
          <w:p w14:paraId="61F2AAC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63BDCD66" w14:textId="77777777" w:rsidTr="002E2C37">
        <w:trPr>
          <w:trHeight w:val="70"/>
        </w:trPr>
        <w:tc>
          <w:tcPr>
            <w:tcW w:w="9015" w:type="dxa"/>
            <w:gridSpan w:val="2"/>
          </w:tcPr>
          <w:p w14:paraId="54D0A7A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is very aggressive and is known to out-compete native species for shelter and spawning sites, which often leads to reproductive interference (Cruz et al. 2006). In introduced areas, some amphibian species (e.g., </w:t>
            </w:r>
            <w:r w:rsidRPr="004D1E6F">
              <w:rPr>
                <w:rFonts w:ascii="Times New Roman" w:eastAsia="Times New Roman" w:hAnsi="Times New Roman" w:cs="Times New Roman"/>
                <w:i/>
                <w:sz w:val="20"/>
                <w:szCs w:val="20"/>
                <w:lang w:eastAsia="en-ZA"/>
              </w:rPr>
              <w:t>Bufo bufo</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Bufo calamita</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Rana</w:t>
            </w:r>
            <w:r w:rsidRPr="004D1E6F">
              <w:rPr>
                <w:rFonts w:ascii="Times New Roman" w:eastAsia="Times New Roman" w:hAnsi="Times New Roman" w:cs="Times New Roman"/>
                <w:sz w:val="20"/>
                <w:szCs w:val="20"/>
                <w:lang w:eastAsia="en-ZA"/>
              </w:rPr>
              <w:t xml:space="preserve"> spp., </w:t>
            </w:r>
            <w:r w:rsidRPr="004D1E6F">
              <w:rPr>
                <w:rFonts w:ascii="Times New Roman" w:eastAsia="Times New Roman" w:hAnsi="Times New Roman" w:cs="Times New Roman"/>
                <w:i/>
                <w:sz w:val="20"/>
                <w:szCs w:val="20"/>
                <w:lang w:eastAsia="en-ZA"/>
              </w:rPr>
              <w:t xml:space="preserve">Taricha torosa </w:t>
            </w:r>
            <w:r w:rsidRPr="004D1E6F">
              <w:rPr>
                <w:rFonts w:ascii="Times New Roman" w:eastAsia="Times New Roman" w:hAnsi="Times New Roman" w:cs="Times New Roman"/>
                <w:sz w:val="20"/>
                <w:szCs w:val="20"/>
                <w:lang w:eastAsia="en-ZA"/>
              </w:rPr>
              <w:t xml:space="preserve">and </w:t>
            </w:r>
            <w:r w:rsidRPr="004D1E6F">
              <w:rPr>
                <w:rFonts w:ascii="Times New Roman" w:eastAsia="Times New Roman" w:hAnsi="Times New Roman" w:cs="Times New Roman"/>
                <w:i/>
                <w:sz w:val="20"/>
                <w:szCs w:val="20"/>
                <w:lang w:eastAsia="en-ZA"/>
              </w:rPr>
              <w:t>Triturus vulgaris</w:t>
            </w:r>
            <w:r w:rsidRPr="004D1E6F">
              <w:rPr>
                <w:rFonts w:ascii="Times New Roman" w:eastAsia="Times New Roman" w:hAnsi="Times New Roman" w:cs="Times New Roman"/>
                <w:sz w:val="20"/>
                <w:szCs w:val="20"/>
                <w:lang w:eastAsia="en-ZA"/>
              </w:rPr>
              <w:t xml:space="preserve">) have been excluded or displaced from their natural habitats, resulting in local extinctions through either larval predation or amphibians spawning in areas that do not offer sufficient protection to avoid interaction with </w:t>
            </w:r>
            <w:r w:rsidRPr="004D1E6F">
              <w:rPr>
                <w:rFonts w:ascii="Times New Roman" w:eastAsia="Times New Roman" w:hAnsi="Times New Roman" w:cs="Times New Roman"/>
                <w:i/>
                <w:sz w:val="20"/>
                <w:szCs w:val="20"/>
                <w:lang w:eastAsia="en-ZA"/>
              </w:rPr>
              <w:t xml:space="preserve">P. clarkii, </w:t>
            </w:r>
            <w:r w:rsidRPr="004D1E6F">
              <w:rPr>
                <w:rFonts w:ascii="Times New Roman" w:eastAsia="Times New Roman" w:hAnsi="Times New Roman" w:cs="Times New Roman"/>
                <w:sz w:val="20"/>
                <w:szCs w:val="20"/>
                <w:lang w:eastAsia="en-ZA"/>
              </w:rPr>
              <w:t xml:space="preserve">resulting in low recruitment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"ITEM-1",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"(Cruz et al. 2006, Lodge et al. 2012)", "plainTextFormattedCitation" : "(Cruz et al. 2006, Lodge et al. 2012)", "previouslyFormattedCitation" : "(Cruz et al. 2006, Lodge et al. 2012)"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(Cruz et al. 2006; Lodge et al. 2012)</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In addition, as a result of direct competition, there has been a decrease in the distributional ranges and abundance of native crayfish populations (</w:t>
            </w:r>
            <w:r w:rsidRPr="004D1E6F">
              <w:rPr>
                <w:rFonts w:ascii="Times New Roman" w:eastAsia="Times New Roman" w:hAnsi="Times New Roman" w:cs="Times New Roman"/>
                <w:i/>
                <w:sz w:val="20"/>
                <w:szCs w:val="20"/>
                <w:lang w:eastAsia="en-ZA"/>
              </w:rPr>
              <w:t>Astacus astacus</w:t>
            </w:r>
            <w:r w:rsidRPr="004D1E6F">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i/>
                <w:sz w:val="20"/>
                <w:szCs w:val="20"/>
                <w:lang w:eastAsia="en-ZA"/>
              </w:rPr>
              <w:t xml:space="preserve"> Austropotamobius pallipes</w:t>
            </w:r>
            <w:r w:rsidRPr="004D1E6F">
              <w:rPr>
                <w:rFonts w:ascii="Times New Roman" w:eastAsia="Times New Roman" w:hAnsi="Times New Roman" w:cs="Times New Roman"/>
                <w:sz w:val="20"/>
                <w:szCs w:val="20"/>
                <w:lang w:eastAsia="en-ZA"/>
              </w:rPr>
              <w:t xml:space="preserve"> and </w:t>
            </w:r>
            <w:r w:rsidRPr="004D1E6F">
              <w:rPr>
                <w:rFonts w:ascii="Times New Roman" w:eastAsia="Times New Roman" w:hAnsi="Times New Roman" w:cs="Times New Roman"/>
                <w:i/>
                <w:sz w:val="20"/>
                <w:szCs w:val="20"/>
                <w:lang w:eastAsia="en-ZA"/>
              </w:rPr>
              <w:t>Austropotamobius torrentium</w:t>
            </w:r>
            <w:r w:rsidRPr="004D1E6F">
              <w:rPr>
                <w:rFonts w:ascii="Times New Roman" w:eastAsia="Times New Roman" w:hAnsi="Times New Roman" w:cs="Times New Roman"/>
                <w:sz w:val="20"/>
                <w:szCs w:val="20"/>
                <w:lang w:eastAsia="en-ZA"/>
              </w:rPr>
              <w:t xml:space="preserve">) in some areas in Europe and Japan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"http://www.mendeley.com/documents/?uuid=9c72c438-e7a8-4248-b05a-2e8f1c12e544" ] }, { "id" : "ITEM-2",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"ITEM-2",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"mendeley" : { "formattedCitation" : "(Cruz et al. 2006, Lodge et al. 2012)", "plainTextFormattedCitation" : "(Cruz et al. 2006, Lodge et al. 2012)", "previouslyFormattedCitation" : "(Cruz et al. 2006, Lodge et al. 2012)"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(Cruz et al. 2006; Lodge et al. 2012)</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Furthermore, direct competition for food has caused dietary niche constriction and declines in populations of native crabs (</w:t>
            </w:r>
            <w:r w:rsidRPr="004D1E6F">
              <w:rPr>
                <w:rFonts w:ascii="Times New Roman" w:eastAsia="Times New Roman" w:hAnsi="Times New Roman" w:cs="Times New Roman"/>
                <w:i/>
                <w:sz w:val="20"/>
                <w:szCs w:val="20"/>
                <w:lang w:eastAsia="en-ZA"/>
              </w:rPr>
              <w:t xml:space="preserve">Potamonautes </w:t>
            </w:r>
            <w:r w:rsidRPr="004D1E6F">
              <w:rPr>
                <w:rFonts w:ascii="Times New Roman" w:eastAsia="Times New Roman" w:hAnsi="Times New Roman" w:cs="Times New Roman"/>
                <w:sz w:val="20"/>
                <w:szCs w:val="20"/>
                <w:lang w:eastAsia="en-ZA"/>
              </w:rPr>
              <w:t xml:space="preserve">sp.) in some areas invaded by </w:t>
            </w:r>
            <w:r w:rsidRPr="004D1E6F">
              <w:rPr>
                <w:rFonts w:ascii="Times New Roman" w:eastAsia="Times New Roman" w:hAnsi="Times New Roman" w:cs="Times New Roman"/>
                <w:i/>
                <w:sz w:val="20"/>
                <w:szCs w:val="20"/>
                <w:lang w:eastAsia="en-ZA"/>
              </w:rPr>
              <w:t xml:space="preserve">P. clarkii </w:t>
            </w:r>
            <w:r w:rsidRPr="004D1E6F">
              <w:rPr>
                <w:rFonts w:ascii="Times New Roman" w:eastAsia="Times New Roman" w:hAnsi="Times New Roman" w:cs="Times New Roman"/>
                <w:i/>
                <w:sz w:val="20"/>
                <w:szCs w:val="20"/>
                <w:lang w:eastAsia="en-ZA"/>
              </w:rPr>
              <w:fldChar w:fldCharType="begin" w:fldLock="1"/>
            </w:r>
            <w:r w:rsidRPr="004D1E6F">
              <w:rPr>
                <w:rFonts w:ascii="Times New Roman" w:eastAsia="Times New Roman" w:hAnsi="Times New Roman" w:cs="Times New Roman"/>
                <w:i/>
                <w:sz w:val="20"/>
                <w:szCs w:val="20"/>
                <w:lang w:eastAsia="en-ZA"/>
              </w:rPr>
              <w:instrText>ADDIN CSL_CITATION { "citationItems" : [ { "id" : "ITEM-1", "itemData" : { "DOI" : "10.1111/1365-2656.12533", "ISBN" : "1365-2656 (Electronic)\\r0021-8790 (Linking)", "ISSN" : "13652656", "PMID" : "27084460", "abstract" : "1. Invasive species are a key driver of global environmental change, with frequently strong negative consequences for native biodiversity and ecosystem processes. Understanding com- petitive interactions between invaders and functionally similar native species provides an important benchmark for predicting the consequences of invasion. However, even though having a broad dietary niche is widely considered a key factor determining invasion success, little is known about the effects of competition with functionally similar native competitors on the dietary niche breadths of invasive species. 2. We used a combination of field experiments and field surveys to examine the impacts of competition with a functionally similar native crab species on the population densities, growth rates and diet of the globally widespread invasive red swamp crayfish in an African river ecosystem. 3. The presence of native crabs triggered significant dietary niche constriction within the inva- sive crayfish population. Further, growth rates of both species were reduced significantly, and by a similar extent, in the presence of one another. In spite of this, crayfish maintained posi- tive growth rates in the presence of crabs, whereas crabs lost mass in the presence of crayfish. Consequently, over the 3-year duration of the study, crab abundance declined at those sites invaded by the crayfish, becoming locally extinct at one. 4. The invasive crayfish had a dramatic effect on ecosystem structure and functioning, halv- ing benthic invertebrate densities and increasing decomposition rates fourfold compared to the crabs. This indicates that replacement of native crabs by invasive crayfish likely alters the structure and functioning of African river ecosystems significantly. 5. This study provides a novel example of the constriction of the dietary niche of a successful invasive population in the presence of competition from a functionally similar native species. This finding highlights the importance of considering both environmental and ecological contexts in order to predict and manage the impacts of invasive species on ecosystems.", "author" : [ { "dropping-particle" : "", "family" : "Jackson", "given" : "Michelle C.", "non-dropping-particle" : "", "parse-names" : false, "suffix" : "" }, { "dropping-particle" : "", "family" : "Grey", "given" : "Jonathan", "non-dropping-particle" : "", "parse-names" : false, "suffix" : "" }, { "dropping-particle" : "", "family" : "Miller", "given" : "Katie", "non-dropping-particle" : "", "parse-names" : false, "suffix" : "" }, { "dropping-particle" : "", "family" : "Britton", "given" : "J. Robert", "non-dropping-particle" : "", "parse-names" : false, "suffix" : "" }, { "dropping-particle" : "", "family" : "Donohue", "given" : "Ian", "non-dropping-particle" : "", "parse-names" : false, "suffix" : "" } ], "container-title" : "Journal of Animal Ecology", "id" : "ITEM-1", "issued" : { "date-parts" : [ [ "2016" ] ] }, "page" : "1098-1107", "title" : "Dietary niche constriction when invaders meet natives: Evidence from freshwater decapods", "type" : "article-journal" }, "uris" : [ "http://www.mendeley.com/documents/?uuid=4d1dad2a-af96-4ee7-a254-3fb10d7453b1" ] } ], "mendeley" : { "formattedCitation" : "(Jackson et al. 2016)", "plainTextFormattedCitation" : "(Jackson et al. 2016)", "previouslyFormattedCitation" : "(Jackson et al. 2016)" }, "properties" : { "noteIndex" : 0 }, "schema" : "https://github.com/citation-style-language/schema/raw/master/csl-citation.json" }</w:instrText>
            </w:r>
            <w:r w:rsidRPr="004D1E6F">
              <w:rPr>
                <w:rFonts w:ascii="Times New Roman" w:eastAsia="Times New Roman" w:hAnsi="Times New Roman" w:cs="Times New Roman"/>
                <w:i/>
                <w:sz w:val="20"/>
                <w:szCs w:val="20"/>
                <w:lang w:eastAsia="en-ZA"/>
              </w:rPr>
              <w:fldChar w:fldCharType="separate"/>
            </w:r>
            <w:r w:rsidRPr="004D1E6F">
              <w:rPr>
                <w:rFonts w:ascii="Times New Roman" w:eastAsia="Times New Roman" w:hAnsi="Times New Roman" w:cs="Times New Roman"/>
                <w:sz w:val="20"/>
                <w:szCs w:val="20"/>
                <w:lang w:eastAsia="en-ZA"/>
              </w:rPr>
              <w:t>(Gherardi &amp; Daniels 2004; Jackson et al. 2016)</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w:t>
            </w:r>
          </w:p>
        </w:tc>
      </w:tr>
      <w:tr w:rsidR="002D7080" w:rsidRPr="004D1E6F" w14:paraId="2158F67C" w14:textId="77777777" w:rsidTr="002E2C37">
        <w:trPr>
          <w:trHeight w:val="70"/>
        </w:trPr>
        <w:tc>
          <w:tcPr>
            <w:tcW w:w="9015" w:type="dxa"/>
            <w:gridSpan w:val="2"/>
          </w:tcPr>
          <w:p w14:paraId="037DA052" w14:textId="77777777" w:rsidR="002D7080" w:rsidRPr="004D1E6F" w:rsidRDefault="002D7080" w:rsidP="002E2C37">
            <w:pPr>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057C0A3D" w14:textId="78B5CCF4"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Cruz, M.J., Rebelo, R. &amp; Crespo, E.G., 2006, ‘Effects of an introduced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on the distribution of south-western Iberian amphibians in their breeding habitats’, </w:t>
            </w:r>
            <w:r w:rsidRPr="004D1E6F">
              <w:rPr>
                <w:rFonts w:ascii="Times New Roman" w:eastAsia="Times New Roman" w:hAnsi="Times New Roman" w:cs="Times New Roman"/>
                <w:i/>
                <w:sz w:val="20"/>
                <w:szCs w:val="20"/>
                <w:lang w:eastAsia="en-ZA"/>
              </w:rPr>
              <w:t>Ecography</w:t>
            </w:r>
            <w:r w:rsidRPr="004D1E6F">
              <w:rPr>
                <w:rFonts w:ascii="Times New Roman" w:eastAsia="Times New Roman" w:hAnsi="Times New Roman" w:cs="Times New Roman"/>
                <w:sz w:val="20"/>
                <w:szCs w:val="20"/>
                <w:lang w:eastAsia="en-ZA"/>
              </w:rPr>
              <w:t xml:space="preserve"> 29. 329–338.</w:t>
            </w:r>
            <w:r w:rsidR="004D2B01" w:rsidRPr="004D2B01">
              <w:rPr>
                <w:kern w:val="2"/>
                <w14:ligatures w14:val="standardContextual"/>
              </w:rPr>
              <w:t xml:space="preserve"> </w:t>
            </w:r>
            <w:hyperlink r:id="rId542" w:history="1">
              <w:r w:rsidR="004D2B01" w:rsidRPr="004D2B01">
                <w:rPr>
                  <w:rStyle w:val="Hyperlink"/>
                  <w:rFonts w:ascii="Times New Roman" w:eastAsia="Times New Roman" w:hAnsi="Times New Roman" w:cs="Times New Roman"/>
                  <w:sz w:val="20"/>
                  <w:szCs w:val="20"/>
                  <w:lang w:eastAsia="en-ZA"/>
                </w:rPr>
                <w:t>https://doi.org/10.1111/j.2006.0906-7590.04333.x</w:t>
              </w:r>
            </w:hyperlink>
            <w:r w:rsidRPr="004D1E6F">
              <w:rPr>
                <w:rFonts w:ascii="Times New Roman" w:eastAsia="Times New Roman" w:hAnsi="Times New Roman" w:cs="Times New Roman"/>
                <w:sz w:val="20"/>
                <w:szCs w:val="20"/>
                <w:lang w:eastAsia="en-ZA"/>
              </w:rPr>
              <w:t>.</w:t>
            </w:r>
            <w:r w:rsidR="00D5184E">
              <w:rPr>
                <w:rFonts w:ascii="Times New Roman" w:eastAsia="Times New Roman" w:hAnsi="Times New Roman" w:cs="Times New Roman"/>
                <w:sz w:val="20"/>
                <w:szCs w:val="20"/>
                <w:lang w:eastAsia="en-ZA"/>
              </w:rPr>
              <w:t xml:space="preserve"> </w:t>
            </w:r>
          </w:p>
          <w:p w14:paraId="02A16C3A" w14:textId="5B55CCB4"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Gherardi, F. &amp; Daniels, W.H., 2004, ‘Agonism and shelter competition between invasive and indigenous crayfish species’ </w:t>
            </w:r>
            <w:r w:rsidRPr="004D1E6F">
              <w:rPr>
                <w:rFonts w:ascii="Times New Roman" w:eastAsia="Times New Roman" w:hAnsi="Times New Roman" w:cs="Times New Roman"/>
                <w:i/>
                <w:iCs/>
                <w:sz w:val="20"/>
                <w:szCs w:val="20"/>
                <w:lang w:eastAsia="en-ZA"/>
              </w:rPr>
              <w:t>Canadian Journal of Zoology</w:t>
            </w:r>
            <w:r w:rsidRPr="004D1E6F">
              <w:rPr>
                <w:rFonts w:ascii="Times New Roman" w:eastAsia="Times New Roman" w:hAnsi="Times New Roman" w:cs="Times New Roman"/>
                <w:sz w:val="20"/>
                <w:szCs w:val="20"/>
                <w:lang w:eastAsia="en-ZA"/>
              </w:rPr>
              <w:t xml:space="preserve"> 82, 1923–1932. </w:t>
            </w:r>
            <w:r w:rsidR="00D5184E" w:rsidRPr="00D5184E">
              <w:rPr>
                <w:rFonts w:ascii="Times New Roman" w:eastAsia="Times New Roman" w:hAnsi="Times New Roman" w:cs="Times New Roman"/>
                <w:sz w:val="20"/>
                <w:szCs w:val="20"/>
                <w:lang w:eastAsia="en-ZA"/>
              </w:rPr>
              <w:t>https://doi.org/10.1139/z04-185</w:t>
            </w:r>
          </w:p>
          <w:p w14:paraId="05C1AB0A" w14:textId="059AF1C8"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Jackson, M.C., Grey, J., Miller, K., Britton, J.R. &amp; Donohue, I., 2016, ‘Dietary niche constriction when invaders meet natives: Evidence from freshwater decapods’, </w:t>
            </w:r>
            <w:r w:rsidRPr="004D1E6F">
              <w:rPr>
                <w:rFonts w:ascii="Times New Roman" w:eastAsia="Times New Roman" w:hAnsi="Times New Roman" w:cs="Times New Roman"/>
                <w:i/>
                <w:sz w:val="20"/>
                <w:szCs w:val="20"/>
                <w:lang w:eastAsia="en-ZA"/>
              </w:rPr>
              <w:t>Journal of Animal Ecology</w:t>
            </w:r>
            <w:r w:rsidRPr="004D1E6F">
              <w:rPr>
                <w:rFonts w:ascii="Times New Roman" w:eastAsia="Times New Roman" w:hAnsi="Times New Roman" w:cs="Times New Roman"/>
                <w:sz w:val="20"/>
                <w:szCs w:val="20"/>
                <w:lang w:eastAsia="en-ZA"/>
              </w:rPr>
              <w:t xml:space="preserve"> 85, 1098–1107</w:t>
            </w:r>
            <w:hyperlink r:id="rId543" w:history="1">
              <w:r w:rsidR="00D5184E" w:rsidRPr="00D66918">
                <w:rPr>
                  <w:rStyle w:val="Hyperlink"/>
                  <w:rFonts w:ascii="Times New Roman" w:eastAsia="Times New Roman" w:hAnsi="Times New Roman" w:cs="Times New Roman"/>
                  <w:sz w:val="20"/>
                  <w:szCs w:val="20"/>
                  <w:lang w:eastAsia="en-ZA"/>
                </w:rPr>
                <w:t>https://doi.org/10.1051/kmae:2005031</w:t>
              </w:r>
            </w:hyperlink>
            <w:r w:rsidRPr="004D1E6F">
              <w:rPr>
                <w:rFonts w:ascii="Times New Roman" w:eastAsia="Times New Roman" w:hAnsi="Times New Roman" w:cs="Times New Roman"/>
                <w:sz w:val="20"/>
                <w:szCs w:val="20"/>
                <w:lang w:eastAsia="en-ZA"/>
              </w:rPr>
              <w:t>.</w:t>
            </w:r>
          </w:p>
          <w:p w14:paraId="71CB5A6D" w14:textId="243A37B6" w:rsidR="002D7080" w:rsidRPr="004D1E6F" w:rsidRDefault="002D7080" w:rsidP="004856F5">
            <w:pPr>
              <w:ind w:left="720" w:hanging="720"/>
              <w:contextualSpacing/>
              <w:jc w:val="both"/>
              <w:rPr>
                <w:rFonts w:ascii="Times New Roman" w:eastAsia="Times New Roman" w:hAnsi="Times New Roman" w:cs="Times New Roman"/>
                <w:bCs/>
                <w:sz w:val="20"/>
                <w:szCs w:val="20"/>
                <w:lang w:eastAsia="en-ZA"/>
              </w:rPr>
            </w:pPr>
            <w:r w:rsidRPr="004D1E6F">
              <w:rPr>
                <w:rFonts w:ascii="Times New Roman" w:hAnsi="Times New Roman" w:cs="Times New Roman"/>
                <w:color w:val="222222"/>
                <w:sz w:val="20"/>
                <w:szCs w:val="20"/>
                <w:shd w:val="clear" w:color="auto" w:fill="FFFFFF"/>
              </w:rPr>
              <w:t xml:space="preserve">Lodge, D.M., Deines, A., Gherardi, F., Yeo, D.C., Arcella, T., Baldridge, A.K., et al., </w:t>
            </w:r>
            <w:r w:rsidRPr="004D1E6F">
              <w:rPr>
                <w:rFonts w:ascii="Times New Roman" w:eastAsia="Times New Roman" w:hAnsi="Times New Roman" w:cs="Times New Roman"/>
                <w:sz w:val="20"/>
                <w:szCs w:val="20"/>
                <w:lang w:eastAsia="en-ZA"/>
              </w:rPr>
              <w:t xml:space="preserve">2012, ‘Global introductions of crayfishes: Evaluating the impact of species invasions on ecosystem services’, </w:t>
            </w:r>
            <w:r w:rsidRPr="004D1E6F">
              <w:rPr>
                <w:rFonts w:ascii="Times New Roman" w:eastAsia="Times New Roman" w:hAnsi="Times New Roman" w:cs="Times New Roman"/>
                <w:i/>
                <w:sz w:val="20"/>
                <w:szCs w:val="20"/>
                <w:lang w:eastAsia="en-ZA"/>
              </w:rPr>
              <w:t>Annual Review of Ecology Evolution Systematics</w:t>
            </w:r>
            <w:r w:rsidRPr="004D1E6F">
              <w:rPr>
                <w:rFonts w:ascii="Times New Roman" w:eastAsia="Times New Roman" w:hAnsi="Times New Roman" w:cs="Times New Roman"/>
                <w:sz w:val="20"/>
                <w:szCs w:val="20"/>
                <w:lang w:eastAsia="en-ZA"/>
              </w:rPr>
              <w:t xml:space="preserve"> 43, 449–472. </w:t>
            </w:r>
            <w:hyperlink r:id="rId544" w:history="1">
              <w:r w:rsidR="00D5184E" w:rsidRPr="00F215B9">
                <w:rPr>
                  <w:rStyle w:val="Hyperlink"/>
                  <w:rFonts w:ascii="Times New Roman" w:eastAsia="Times New Roman" w:hAnsi="Times New Roman" w:cs="Times New Roman"/>
                  <w:bCs/>
                  <w:sz w:val="20"/>
                  <w:szCs w:val="20"/>
                  <w:lang w:eastAsia="en-ZA"/>
                </w:rPr>
                <w:t>https://doi.org/10.1146/annurev-ecolsys-111511-103919</w:t>
              </w:r>
            </w:hyperlink>
            <w:r w:rsidR="00D5184E">
              <w:rPr>
                <w:rFonts w:ascii="Times New Roman" w:eastAsia="Times New Roman" w:hAnsi="Times New Roman" w:cs="Times New Roman"/>
                <w:bCs/>
                <w:sz w:val="20"/>
                <w:szCs w:val="20"/>
                <w:lang w:eastAsia="en-ZA"/>
              </w:rPr>
              <w:t xml:space="preserve">. </w:t>
            </w:r>
          </w:p>
        </w:tc>
      </w:tr>
      <w:tr w:rsidR="002D7080" w:rsidRPr="004D1E6F" w14:paraId="032357A5" w14:textId="77777777" w:rsidTr="002E2C37">
        <w:tc>
          <w:tcPr>
            <w:tcW w:w="9015" w:type="dxa"/>
            <w:gridSpan w:val="2"/>
            <w:shd w:val="clear" w:color="auto" w:fill="F2F2F2" w:themeFill="background1" w:themeFillShade="F2"/>
          </w:tcPr>
          <w:p w14:paraId="6CF4B727"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CON1b: Predation</w:t>
            </w:r>
          </w:p>
        </w:tc>
      </w:tr>
      <w:tr w:rsidR="002D7080" w:rsidRPr="004D1E6F" w14:paraId="664B0717" w14:textId="77777777" w:rsidTr="002E2C37">
        <w:tc>
          <w:tcPr>
            <w:tcW w:w="5948" w:type="dxa"/>
          </w:tcPr>
          <w:p w14:paraId="7DE60DC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Major (MR)</w:t>
            </w:r>
          </w:p>
        </w:tc>
        <w:tc>
          <w:tcPr>
            <w:tcW w:w="3067" w:type="dxa"/>
          </w:tcPr>
          <w:p w14:paraId="7DACB93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87162A" w14:paraId="4B5B13D1" w14:textId="77777777" w:rsidTr="002E2C37">
        <w:trPr>
          <w:trHeight w:val="70"/>
        </w:trPr>
        <w:tc>
          <w:tcPr>
            <w:tcW w:w="9015" w:type="dxa"/>
            <w:gridSpan w:val="2"/>
          </w:tcPr>
          <w:p w14:paraId="675BE488" w14:textId="77777777" w:rsidR="002D7080" w:rsidRPr="000E6BA8" w:rsidRDefault="002D7080" w:rsidP="002E2C37">
            <w:pPr>
              <w:jc w:val="both"/>
              <w:rPr>
                <w:rFonts w:ascii="Times New Roman" w:eastAsia="Times New Roman" w:hAnsi="Times New Roman" w:cs="Times New Roman"/>
                <w:sz w:val="20"/>
                <w:szCs w:val="20"/>
                <w:lang w:val="fr-FR" w:eastAsia="en-ZA"/>
              </w:rPr>
            </w:pPr>
            <w:r w:rsidRPr="004D1E6F">
              <w:rPr>
                <w:rFonts w:ascii="Times New Roman" w:eastAsia="Times New Roman" w:hAnsi="Times New Roman" w:cs="Times New Roman"/>
                <w:sz w:val="20"/>
                <w:szCs w:val="20"/>
                <w:lang w:eastAsia="en-ZA"/>
              </w:rPr>
              <w:t xml:space="preserve">Rationale: In the alien range, there is evidence that predation by </w:t>
            </w:r>
            <w:r w:rsidRPr="004D1E6F">
              <w:rPr>
                <w:rFonts w:ascii="Times New Roman" w:eastAsia="Times New Roman" w:hAnsi="Times New Roman" w:cs="Times New Roman"/>
                <w:i/>
                <w:sz w:val="20"/>
                <w:szCs w:val="20"/>
                <w:lang w:eastAsia="en-ZA"/>
              </w:rPr>
              <w:t>P. clarkii</w:t>
            </w:r>
            <w:r w:rsidRPr="004D1E6F">
              <w:rPr>
                <w:rFonts w:ascii="Times New Roman" w:eastAsia="Times New Roman" w:hAnsi="Times New Roman" w:cs="Times New Roman"/>
                <w:sz w:val="20"/>
                <w:szCs w:val="20"/>
                <w:lang w:eastAsia="en-ZA"/>
              </w:rPr>
              <w:t xml:space="preserve"> has resulted in the loss of populations of at least one native species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Souty-grosset et al. 2016)", "plainTextFormattedCitation" : "(Lodge et al. 2012, Souty-grosset et al. 2016)", "previouslyFormattedCitation" : "(Lodge et al. 2012, Souty-grosset et al. 2016)"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(Lodge et al. 2012; Souty-Grosset et al. 2016)</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has been implicated in population declines of several species of fish and amphibians by reducing their breeding success through predation on eggs and larvae respectively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 xml:space="preserve">ADDIN CSL_CITATION { "citationItems" : [ { "id" : "ITEM-1",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"ITEM-1",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"id" : "ITEM-2", </w:instrText>
            </w:r>
            <w:r w:rsidRPr="000E6BA8">
              <w:rPr>
                <w:rFonts w:ascii="Times New Roman" w:eastAsia="Times New Roman" w:hAnsi="Times New Roman" w:cs="Times New Roman"/>
                <w:sz w:val="20"/>
                <w:szCs w:val="20"/>
                <w:lang w:val="fr-FR" w:eastAsia="en-ZA"/>
              </w:rPr>
              <w:instrText>"itemData" : { "DOI" : "10.1007/s10531-012-0323-1", "author" : [ { "dropping-particle" : "", "family" : "Francesco", "given" : "Gentile", "non-dropping-particle" : "", "parse-names" : false, "suffix" : "" }, { "dropping-particle" : "", "family" : "Matteo", "given" : "Ficetola", "non-dropping-particle" : "", "parse-names" : false, "suffix" : "" }, { "dropping-particle" : "", "family" : "Siesa", "given" : "Elio", "non-dropping-particle" : "", "parse-names" : false, "suffix" : "" }, { "dropping-particle" : "De", "family" : "Bernardi", "given" : "Fiorenza", "non-dropping-particle" : "", "parse-names" : false, "suffix" : "" }, { "dropping-particle" : "", "family" : "Padoa-schioppa", "given" : "Emilio", "non-dropping-particle" : "", "parse-names" : false, "suffix" : "" } ], "id" : "ITEM-2", "issued" : { "date-parts" : [ [ "2012" ] ] }, "page" : "2641-2651", "title" : "Complex impact of an invasive crayfish on freshwater food webs", "type" : "article-journal" }, "uris" : [ "http://www.mendeley.com/documents/?uuid=4e9ca91f-7982-4098-b712-ffad4211fd37" ] } ], "mendeley" : { "formattedCitation" : "(Cruz et al. 2006, Francesco et al. 2012)", "manualFormatting" : "(Cruz et al. 2006, Francesco et al. 2011)", "plainTextFormattedCitation" : "(Cruz et al. 2006, Francesco et al. 2012)", "previouslyFormattedCitation" : "(Cruz et al. 2006, Francesco et al. 2012)"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0E6BA8">
              <w:rPr>
                <w:rFonts w:ascii="Times New Roman" w:eastAsia="Times New Roman" w:hAnsi="Times New Roman" w:cs="Times New Roman"/>
                <w:sz w:val="20"/>
                <w:szCs w:val="20"/>
                <w:lang w:val="fr-FR" w:eastAsia="en-ZA"/>
              </w:rPr>
              <w:t>(</w:t>
            </w:r>
            <w:r w:rsidRPr="00360AC0">
              <w:rPr>
                <w:rFonts w:ascii="Times New Roman" w:eastAsia="Times New Roman" w:hAnsi="Times New Roman" w:cs="Times New Roman"/>
                <w:sz w:val="20"/>
                <w:szCs w:val="20"/>
                <w:lang w:val="fr-FR" w:eastAsia="en-ZA"/>
              </w:rPr>
              <w:t>Gamradt et al. 1996</w:t>
            </w:r>
            <w:r>
              <w:rPr>
                <w:rFonts w:ascii="Times New Roman" w:eastAsia="Times New Roman" w:hAnsi="Times New Roman" w:cs="Times New Roman"/>
                <w:sz w:val="20"/>
                <w:szCs w:val="20"/>
                <w:lang w:val="fr-FR" w:eastAsia="en-ZA"/>
              </w:rPr>
              <w:t xml:space="preserve">; </w:t>
            </w:r>
            <w:r w:rsidRPr="000E6BA8">
              <w:rPr>
                <w:rFonts w:ascii="Times New Roman" w:eastAsia="Times New Roman" w:hAnsi="Times New Roman" w:cs="Times New Roman"/>
                <w:sz w:val="20"/>
                <w:szCs w:val="20"/>
                <w:lang w:val="fr-FR" w:eastAsia="en-ZA"/>
              </w:rPr>
              <w:t xml:space="preserve">Cruz et al. 2006; </w:t>
            </w:r>
            <w:r>
              <w:rPr>
                <w:rFonts w:ascii="Times New Roman" w:eastAsia="Times New Roman" w:hAnsi="Times New Roman" w:cs="Times New Roman"/>
                <w:sz w:val="20"/>
                <w:szCs w:val="20"/>
                <w:lang w:val="fr-FR" w:eastAsia="en-ZA"/>
              </w:rPr>
              <w:t>Mueller et al.</w:t>
            </w:r>
            <w:r w:rsidRPr="00360AC0">
              <w:rPr>
                <w:rFonts w:ascii="Times New Roman" w:eastAsia="Times New Roman" w:hAnsi="Times New Roman" w:cs="Times New Roman"/>
                <w:sz w:val="20"/>
                <w:szCs w:val="20"/>
                <w:lang w:val="fr-FR" w:eastAsia="en-ZA"/>
              </w:rPr>
              <w:t xml:space="preserve"> 2006</w:t>
            </w:r>
            <w:r>
              <w:rPr>
                <w:rFonts w:ascii="Times New Roman" w:eastAsia="Times New Roman" w:hAnsi="Times New Roman" w:cs="Times New Roman"/>
                <w:sz w:val="20"/>
                <w:szCs w:val="20"/>
                <w:lang w:val="fr-FR" w:eastAsia="en-ZA"/>
              </w:rPr>
              <w:t xml:space="preserve">; </w:t>
            </w:r>
            <w:r w:rsidRPr="000E6BA8">
              <w:rPr>
                <w:rFonts w:ascii="Times New Roman" w:eastAsia="Times New Roman" w:hAnsi="Times New Roman" w:cs="Times New Roman"/>
                <w:sz w:val="20"/>
                <w:szCs w:val="20"/>
                <w:lang w:val="fr-FR" w:eastAsia="en-ZA"/>
              </w:rPr>
              <w:t>Ficetola et al. 2011)</w:t>
            </w:r>
            <w:r w:rsidRPr="004D1E6F">
              <w:rPr>
                <w:rFonts w:ascii="Times New Roman" w:eastAsia="Times New Roman" w:hAnsi="Times New Roman" w:cs="Times New Roman"/>
                <w:sz w:val="20"/>
                <w:szCs w:val="20"/>
                <w:lang w:eastAsia="en-ZA"/>
              </w:rPr>
              <w:fldChar w:fldCharType="end"/>
            </w:r>
            <w:r w:rsidRPr="000E6BA8">
              <w:rPr>
                <w:rFonts w:ascii="Times New Roman" w:eastAsia="Times New Roman" w:hAnsi="Times New Roman" w:cs="Times New Roman"/>
                <w:sz w:val="20"/>
                <w:szCs w:val="20"/>
                <w:lang w:val="fr-FR" w:eastAsia="en-ZA"/>
              </w:rPr>
              <w:t xml:space="preserve">. </w:t>
            </w:r>
          </w:p>
        </w:tc>
      </w:tr>
      <w:tr w:rsidR="002D7080" w:rsidRPr="004D1E6F" w14:paraId="198F61DF" w14:textId="77777777" w:rsidTr="002E2C37">
        <w:trPr>
          <w:trHeight w:val="70"/>
        </w:trPr>
        <w:tc>
          <w:tcPr>
            <w:tcW w:w="9015" w:type="dxa"/>
            <w:gridSpan w:val="2"/>
          </w:tcPr>
          <w:p w14:paraId="00140DAD" w14:textId="77777777" w:rsidR="002D7080" w:rsidRPr="004D1E6F" w:rsidRDefault="002D7080" w:rsidP="004856F5">
            <w:pPr>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1C5D43AC" w14:textId="5EDDA6A5"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Cruz, M.J., Rebelo, R. &amp; Crespo, E.G., 2006, ‘Effects of an introduced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on the distribution of south-western Iberian amphibians in their breeding habitats’, </w:t>
            </w:r>
            <w:r w:rsidRPr="004D1E6F">
              <w:rPr>
                <w:rFonts w:ascii="Times New Roman" w:eastAsia="Times New Roman" w:hAnsi="Times New Roman" w:cs="Times New Roman"/>
                <w:i/>
                <w:sz w:val="20"/>
                <w:szCs w:val="20"/>
                <w:lang w:eastAsia="en-ZA"/>
              </w:rPr>
              <w:t>Ecography</w:t>
            </w:r>
            <w:r w:rsidRPr="004D1E6F">
              <w:rPr>
                <w:rFonts w:ascii="Times New Roman" w:eastAsia="Times New Roman" w:hAnsi="Times New Roman" w:cs="Times New Roman"/>
                <w:sz w:val="20"/>
                <w:szCs w:val="20"/>
                <w:lang w:eastAsia="en-ZA"/>
              </w:rPr>
              <w:t xml:space="preserve"> 29, 329–338</w:t>
            </w:r>
            <w:r w:rsidR="00D5184E">
              <w:rPr>
                <w:rFonts w:ascii="Times New Roman" w:eastAsia="Times New Roman" w:hAnsi="Times New Roman" w:cs="Times New Roman"/>
                <w:sz w:val="20"/>
                <w:szCs w:val="20"/>
                <w:lang w:eastAsia="en-ZA"/>
              </w:rPr>
              <w:t xml:space="preserve">, </w:t>
            </w:r>
            <w:r w:rsidR="00D5184E" w:rsidRPr="00D5184E">
              <w:rPr>
                <w:rFonts w:ascii="Times New Roman" w:eastAsia="Times New Roman" w:hAnsi="Times New Roman" w:cs="Times New Roman"/>
                <w:sz w:val="20"/>
                <w:szCs w:val="20"/>
                <w:lang w:eastAsia="en-ZA"/>
              </w:rPr>
              <w:t xml:space="preserve"> </w:t>
            </w:r>
            <w:hyperlink r:id="rId545" w:history="1">
              <w:r w:rsidR="00D5184E" w:rsidRPr="00D5184E">
                <w:rPr>
                  <w:rStyle w:val="Hyperlink"/>
                  <w:rFonts w:ascii="Times New Roman" w:eastAsia="Times New Roman" w:hAnsi="Times New Roman" w:cs="Times New Roman"/>
                  <w:sz w:val="20"/>
                  <w:szCs w:val="20"/>
                  <w:lang w:eastAsia="en-ZA"/>
                </w:rPr>
                <w:t>https://doi.org/10.1111/j.2006.0906–7590.04333.x</w:t>
              </w:r>
            </w:hyperlink>
            <w:r w:rsidR="00D5184E" w:rsidRPr="00D5184E">
              <w:rPr>
                <w:rFonts w:ascii="Times New Roman" w:eastAsia="Times New Roman" w:hAnsi="Times New Roman" w:cs="Times New Roman"/>
                <w:sz w:val="20"/>
                <w:szCs w:val="20"/>
                <w:lang w:eastAsia="en-ZA"/>
              </w:rPr>
              <w:t>.</w:t>
            </w:r>
          </w:p>
          <w:p w14:paraId="440C5812" w14:textId="77777777" w:rsidR="00D5184E" w:rsidRPr="000E56EC" w:rsidRDefault="002D7080" w:rsidP="004856F5">
            <w:pPr>
              <w:ind w:left="720" w:hanging="720"/>
              <w:contextualSpacing/>
              <w:jc w:val="both"/>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sz w:val="20"/>
                <w:szCs w:val="20"/>
                <w:lang w:eastAsia="en-ZA"/>
              </w:rPr>
              <w:t xml:space="preserve">Ficetola, G.F., Siesa, M.E., Manenti, R., Bottoni, L., De Bernardi, F. &amp; Padoa-Schioppa, E., 2011, ‘Early assessment of the impact of alien species: Differential consequences of an invasive crayfish on adult and larval amphibians’, </w:t>
            </w:r>
            <w:r w:rsidRPr="004D1E6F">
              <w:rPr>
                <w:rFonts w:ascii="Times New Roman" w:eastAsia="Times New Roman" w:hAnsi="Times New Roman" w:cs="Times New Roman"/>
                <w:i/>
                <w:iCs/>
                <w:sz w:val="20"/>
                <w:szCs w:val="20"/>
                <w:lang w:eastAsia="en-ZA"/>
              </w:rPr>
              <w:t xml:space="preserve">Diversity and Distributions </w:t>
            </w:r>
            <w:r w:rsidRPr="004D1E6F">
              <w:rPr>
                <w:rFonts w:ascii="Times New Roman" w:eastAsia="Times New Roman" w:hAnsi="Times New Roman" w:cs="Times New Roman"/>
                <w:sz w:val="20"/>
                <w:szCs w:val="20"/>
                <w:lang w:eastAsia="en-ZA"/>
              </w:rPr>
              <w:t xml:space="preserve">17, 1141–1151. </w:t>
            </w:r>
            <w:hyperlink r:id="rId546" w:history="1">
              <w:r w:rsidR="00D5184E" w:rsidRPr="000E56EC">
                <w:rPr>
                  <w:rStyle w:val="Hyperlink"/>
                  <w:rFonts w:ascii="Times New Roman" w:eastAsia="Times New Roman" w:hAnsi="Times New Roman" w:cs="Times New Roman"/>
                  <w:bCs/>
                  <w:sz w:val="20"/>
                  <w:szCs w:val="20"/>
                  <w:lang w:eastAsia="en-ZA"/>
                </w:rPr>
                <w:t>https://doi.org/10.1111/j.1472-4642.2011.00797.x</w:t>
              </w:r>
            </w:hyperlink>
          </w:p>
          <w:p w14:paraId="4C817947" w14:textId="0829A573" w:rsidR="002D7080" w:rsidRPr="004D1E6F" w:rsidRDefault="002D7080" w:rsidP="004856F5">
            <w:pPr>
              <w:ind w:left="720" w:hanging="720"/>
              <w:contextualSpacing/>
              <w:jc w:val="both"/>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 xml:space="preserve">Gamradt, S.C. &amp; Kats, L.B., 1996, ‘Effect of introduced crayfish and mosquitofish on California newts’, </w:t>
            </w:r>
            <w:r w:rsidRPr="004D1E6F">
              <w:rPr>
                <w:rFonts w:ascii="Times New Roman" w:eastAsia="Times New Roman" w:hAnsi="Times New Roman" w:cs="Times New Roman"/>
                <w:bCs/>
                <w:i/>
                <w:iCs/>
                <w:sz w:val="20"/>
                <w:szCs w:val="20"/>
                <w:lang w:eastAsia="en-ZA"/>
              </w:rPr>
              <w:t>Conservation Biology</w:t>
            </w:r>
            <w:r w:rsidRPr="004D1E6F">
              <w:rPr>
                <w:rFonts w:ascii="Times New Roman" w:eastAsia="Times New Roman" w:hAnsi="Times New Roman" w:cs="Times New Roman"/>
                <w:bCs/>
                <w:sz w:val="20"/>
                <w:szCs w:val="20"/>
                <w:lang w:eastAsia="en-ZA"/>
              </w:rPr>
              <w:t xml:space="preserve"> 10(4), 1155–1162. </w:t>
            </w:r>
            <w:hyperlink r:id="rId547" w:history="1">
              <w:r w:rsidR="00D5184E" w:rsidRPr="00D5184E">
                <w:rPr>
                  <w:rStyle w:val="Hyperlink"/>
                  <w:rFonts w:ascii="Times New Roman" w:eastAsia="Times New Roman" w:hAnsi="Times New Roman" w:cs="Times New Roman"/>
                  <w:bCs/>
                  <w:sz w:val="20"/>
                  <w:szCs w:val="20"/>
                  <w:lang w:eastAsia="en-ZA"/>
                </w:rPr>
                <w:t>https://doi.org/10.1046/j.1523-1739.1996.10041155.x</w:t>
              </w:r>
            </w:hyperlink>
          </w:p>
          <w:p w14:paraId="59492576" w14:textId="02CA54A7" w:rsidR="00D5184E" w:rsidRDefault="002D7080" w:rsidP="004856F5">
            <w:pPr>
              <w:ind w:left="720" w:hanging="720"/>
              <w:jc w:val="both"/>
              <w:rPr>
                <w:rFonts w:ascii="Times New Roman" w:eastAsia="Times New Roman" w:hAnsi="Times New Roman" w:cs="Times New Roman"/>
                <w:bCs/>
                <w:sz w:val="20"/>
                <w:szCs w:val="20"/>
                <w:lang w:eastAsia="en-ZA"/>
              </w:rPr>
            </w:pPr>
            <w:r w:rsidRPr="004D1E6F">
              <w:rPr>
                <w:rFonts w:ascii="Times New Roman" w:hAnsi="Times New Roman" w:cs="Times New Roman"/>
                <w:color w:val="222222"/>
                <w:sz w:val="20"/>
                <w:szCs w:val="20"/>
                <w:shd w:val="clear" w:color="auto" w:fill="FFFFFF"/>
              </w:rPr>
              <w:t xml:space="preserve">Lodge, D.M., Deines, A., Gherardi, F., Yeo, D.C., Arcella, T., Baldridge, A.K., et al., </w:t>
            </w:r>
            <w:r w:rsidRPr="004D1E6F">
              <w:rPr>
                <w:rFonts w:ascii="Times New Roman" w:eastAsia="Times New Roman" w:hAnsi="Times New Roman" w:cs="Times New Roman"/>
                <w:sz w:val="20"/>
                <w:szCs w:val="20"/>
                <w:lang w:eastAsia="en-ZA"/>
              </w:rPr>
              <w:t xml:space="preserve">2012, ‘Global introductions of crayfishes: Evaluating the impact of species invasions on ecosystem services’, </w:t>
            </w:r>
            <w:r w:rsidRPr="004D1E6F">
              <w:rPr>
                <w:rFonts w:ascii="Times New Roman" w:eastAsia="Times New Roman" w:hAnsi="Times New Roman" w:cs="Times New Roman"/>
                <w:i/>
                <w:sz w:val="20"/>
                <w:szCs w:val="20"/>
                <w:lang w:eastAsia="en-ZA"/>
              </w:rPr>
              <w:t>Annual Review of Ecology Evolution Systematics</w:t>
            </w:r>
            <w:r w:rsidRPr="004D1E6F">
              <w:rPr>
                <w:rFonts w:ascii="Times New Roman" w:eastAsia="Times New Roman" w:hAnsi="Times New Roman" w:cs="Times New Roman"/>
                <w:sz w:val="20"/>
                <w:szCs w:val="20"/>
                <w:lang w:eastAsia="en-ZA"/>
              </w:rPr>
              <w:t xml:space="preserve"> 43, 449–472</w:t>
            </w:r>
            <w:r w:rsidR="004D2B01">
              <w:rPr>
                <w:rFonts w:ascii="Times New Roman" w:eastAsia="Times New Roman" w:hAnsi="Times New Roman" w:cs="Times New Roman"/>
                <w:sz w:val="20"/>
                <w:szCs w:val="20"/>
                <w:lang w:eastAsia="en-ZA"/>
              </w:rPr>
              <w:t>,</w:t>
            </w:r>
            <w:r w:rsidR="00D5184E" w:rsidRPr="00D5184E">
              <w:rPr>
                <w:rFonts w:ascii="Times New Roman" w:eastAsia="Times New Roman" w:hAnsi="Times New Roman" w:cs="Times New Roman"/>
                <w:bCs/>
                <w:sz w:val="20"/>
                <w:szCs w:val="20"/>
                <w:lang w:eastAsia="en-ZA"/>
              </w:rPr>
              <w:t xml:space="preserve"> </w:t>
            </w:r>
            <w:hyperlink r:id="rId548" w:history="1">
              <w:r w:rsidR="00D5184E" w:rsidRPr="00D5184E">
                <w:rPr>
                  <w:rStyle w:val="Hyperlink"/>
                  <w:rFonts w:ascii="Times New Roman" w:eastAsia="Times New Roman" w:hAnsi="Times New Roman" w:cs="Times New Roman"/>
                  <w:bCs/>
                  <w:sz w:val="20"/>
                  <w:szCs w:val="20"/>
                  <w:lang w:eastAsia="en-ZA"/>
                </w:rPr>
                <w:t>https://doi.org/10.1146/annurev-ecolsys-111511-103919</w:t>
              </w:r>
            </w:hyperlink>
            <w:r w:rsidR="00D5184E" w:rsidRPr="00D5184E">
              <w:rPr>
                <w:rFonts w:ascii="Times New Roman" w:eastAsia="Times New Roman" w:hAnsi="Times New Roman" w:cs="Times New Roman"/>
                <w:bCs/>
                <w:sz w:val="20"/>
                <w:szCs w:val="20"/>
                <w:lang w:eastAsia="en-ZA"/>
              </w:rPr>
              <w:t xml:space="preserve">. </w:t>
            </w:r>
          </w:p>
          <w:p w14:paraId="18AFA76E" w14:textId="4E2064AB" w:rsidR="00E6741E" w:rsidRDefault="002D7080" w:rsidP="004856F5">
            <w:pPr>
              <w:ind w:left="720" w:hanging="720"/>
              <w:contextualSpacing/>
              <w:jc w:val="both"/>
              <w:rPr>
                <w:rFonts w:ascii="Times New Roman" w:hAnsi="Times New Roman" w:cs="Times New Roman"/>
                <w:color w:val="000000" w:themeColor="text1"/>
                <w:sz w:val="20"/>
                <w:szCs w:val="20"/>
                <w:shd w:val="clear" w:color="auto" w:fill="FFFFFF"/>
              </w:rPr>
            </w:pPr>
            <w:r w:rsidRPr="004D1E6F">
              <w:rPr>
                <w:rFonts w:ascii="Times New Roman" w:eastAsia="Times New Roman" w:hAnsi="Times New Roman" w:cs="Times New Roman"/>
                <w:bCs/>
                <w:sz w:val="20"/>
                <w:szCs w:val="20"/>
                <w:lang w:eastAsia="en-ZA"/>
              </w:rPr>
              <w:lastRenderedPageBreak/>
              <w:t>Mueller, G.A., Carpenter, J. &amp; Thornbrugh, D., 2006, ‘Bullfrog tadpole (</w:t>
            </w:r>
            <w:r w:rsidRPr="004D1E6F">
              <w:rPr>
                <w:rFonts w:ascii="Times New Roman" w:eastAsia="Times New Roman" w:hAnsi="Times New Roman" w:cs="Times New Roman"/>
                <w:bCs/>
                <w:i/>
                <w:iCs/>
                <w:sz w:val="20"/>
                <w:szCs w:val="20"/>
                <w:lang w:eastAsia="en-ZA"/>
              </w:rPr>
              <w:t>Rana catesbeiana</w:t>
            </w:r>
            <w:r w:rsidRPr="004D1E6F">
              <w:rPr>
                <w:rFonts w:ascii="Times New Roman" w:eastAsia="Times New Roman" w:hAnsi="Times New Roman" w:cs="Times New Roman"/>
                <w:bCs/>
                <w:sz w:val="20"/>
                <w:szCs w:val="20"/>
                <w:lang w:eastAsia="en-ZA"/>
              </w:rPr>
              <w:t>) and red swamp crayfish (</w:t>
            </w:r>
            <w:r w:rsidRPr="004D1E6F">
              <w:rPr>
                <w:rFonts w:ascii="Times New Roman" w:eastAsia="Times New Roman" w:hAnsi="Times New Roman" w:cs="Times New Roman"/>
                <w:bCs/>
                <w:i/>
                <w:iCs/>
                <w:sz w:val="20"/>
                <w:szCs w:val="20"/>
                <w:lang w:eastAsia="en-ZA"/>
              </w:rPr>
              <w:t>Procambarus clarkii</w:t>
            </w:r>
            <w:r w:rsidRPr="004D1E6F">
              <w:rPr>
                <w:rFonts w:ascii="Times New Roman" w:eastAsia="Times New Roman" w:hAnsi="Times New Roman" w:cs="Times New Roman"/>
                <w:bCs/>
                <w:sz w:val="20"/>
                <w:szCs w:val="20"/>
                <w:lang w:eastAsia="en-ZA"/>
              </w:rPr>
              <w:t>) predation on early life stages of endangered razorback sucker (</w:t>
            </w:r>
            <w:r w:rsidRPr="004D1E6F">
              <w:rPr>
                <w:rFonts w:ascii="Times New Roman" w:eastAsia="Times New Roman" w:hAnsi="Times New Roman" w:cs="Times New Roman"/>
                <w:bCs/>
                <w:i/>
                <w:iCs/>
                <w:sz w:val="20"/>
                <w:szCs w:val="20"/>
                <w:lang w:eastAsia="en-ZA"/>
              </w:rPr>
              <w:t>Xyrauchen texanus</w:t>
            </w:r>
            <w:r w:rsidRPr="004D1E6F">
              <w:rPr>
                <w:rFonts w:ascii="Times New Roman" w:eastAsia="Times New Roman" w:hAnsi="Times New Roman" w:cs="Times New Roman"/>
                <w:bCs/>
                <w:sz w:val="20"/>
                <w:szCs w:val="20"/>
                <w:lang w:eastAsia="en-ZA"/>
              </w:rPr>
              <w:t xml:space="preserve">)’, </w:t>
            </w:r>
            <w:r w:rsidRPr="004D1E6F">
              <w:rPr>
                <w:rFonts w:ascii="Times New Roman" w:eastAsia="Times New Roman" w:hAnsi="Times New Roman" w:cs="Times New Roman"/>
                <w:bCs/>
                <w:i/>
                <w:iCs/>
                <w:sz w:val="20"/>
                <w:szCs w:val="20"/>
                <w:lang w:eastAsia="en-ZA"/>
              </w:rPr>
              <w:t>The Southwestern Naturalist</w:t>
            </w:r>
            <w:r w:rsidRPr="004D1E6F">
              <w:rPr>
                <w:rFonts w:ascii="Times New Roman" w:eastAsia="Times New Roman" w:hAnsi="Times New Roman" w:cs="Times New Roman"/>
                <w:bCs/>
                <w:sz w:val="20"/>
                <w:szCs w:val="20"/>
                <w:lang w:eastAsia="en-ZA"/>
              </w:rPr>
              <w:t xml:space="preserve"> 51(2), 258–261. </w:t>
            </w:r>
            <w:r w:rsidR="00E6741E" w:rsidRPr="00E6741E">
              <w:rPr>
                <w:rFonts w:ascii="Times New Roman" w:eastAsia="Times New Roman" w:hAnsi="Times New Roman" w:cs="Times New Roman"/>
                <w:bCs/>
                <w:sz w:val="20"/>
                <w:szCs w:val="20"/>
                <w:lang w:eastAsia="en-ZA"/>
              </w:rPr>
              <w:t>https://doi.org/10.1894/0038-4909(2006)51[258:BTRCAR]2.0.CO;2</w:t>
            </w:r>
          </w:p>
          <w:p w14:paraId="139A17CA" w14:textId="4BC2C93D"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7533C6">
              <w:rPr>
                <w:rFonts w:ascii="Times New Roman" w:hAnsi="Times New Roman" w:cs="Times New Roman"/>
                <w:color w:val="000000" w:themeColor="text1"/>
                <w:sz w:val="20"/>
                <w:szCs w:val="20"/>
                <w:shd w:val="clear" w:color="auto" w:fill="FFFFFF"/>
              </w:rPr>
              <w:t xml:space="preserve">Souty-Grosset, C., Anastacio, P.M., Aquiloni, L., Banha, F., Choquer, J., Chucholl, C., et al., </w:t>
            </w:r>
            <w:r w:rsidRPr="007533C6">
              <w:rPr>
                <w:rFonts w:ascii="Times New Roman" w:eastAsia="Times New Roman" w:hAnsi="Times New Roman" w:cs="Times New Roman"/>
                <w:color w:val="000000" w:themeColor="text1"/>
                <w:sz w:val="20"/>
                <w:szCs w:val="20"/>
                <w:lang w:eastAsia="en-ZA"/>
              </w:rPr>
              <w:t xml:space="preserve">2016, ‘The red swamp crayfish </w:t>
            </w: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in Europe: Impacts on aquatic ecosystems and human well-being’, </w:t>
            </w:r>
            <w:r w:rsidRPr="007533C6">
              <w:rPr>
                <w:rFonts w:ascii="Times New Roman" w:eastAsia="Times New Roman" w:hAnsi="Times New Roman" w:cs="Times New Roman"/>
                <w:i/>
                <w:color w:val="000000" w:themeColor="text1"/>
                <w:sz w:val="20"/>
                <w:szCs w:val="20"/>
                <w:lang w:eastAsia="en-ZA"/>
              </w:rPr>
              <w:t>Limnologica</w:t>
            </w:r>
            <w:r w:rsidRPr="007533C6">
              <w:rPr>
                <w:rFonts w:ascii="Times New Roman" w:eastAsia="Times New Roman" w:hAnsi="Times New Roman" w:cs="Times New Roman"/>
                <w:color w:val="000000" w:themeColor="text1"/>
                <w:sz w:val="20"/>
                <w:szCs w:val="20"/>
                <w:lang w:eastAsia="en-ZA"/>
              </w:rPr>
              <w:t xml:space="preserve"> 58, 78–93. </w:t>
            </w:r>
            <w:hyperlink r:id="rId549" w:history="1">
              <w:r w:rsidR="00E6741E" w:rsidRPr="00E6741E">
                <w:rPr>
                  <w:rStyle w:val="Hyperlink"/>
                  <w:rFonts w:ascii="Times New Roman" w:eastAsia="Times New Roman" w:hAnsi="Times New Roman" w:cs="Times New Roman"/>
                  <w:bCs/>
                  <w:sz w:val="20"/>
                  <w:szCs w:val="20"/>
                  <w:lang w:eastAsia="en-ZA"/>
                </w:rPr>
                <w:t>https://doi.org/10.1016/j.limno.2016.03.003</w:t>
              </w:r>
            </w:hyperlink>
            <w:r w:rsidRPr="007533C6">
              <w:rPr>
                <w:rFonts w:ascii="Times New Roman" w:eastAsia="Times New Roman" w:hAnsi="Times New Roman" w:cs="Times New Roman"/>
                <w:bCs/>
                <w:color w:val="000000" w:themeColor="text1"/>
                <w:sz w:val="20"/>
                <w:szCs w:val="20"/>
                <w:lang w:eastAsia="en-ZA"/>
              </w:rPr>
              <w:t>.</w:t>
            </w:r>
          </w:p>
        </w:tc>
      </w:tr>
      <w:tr w:rsidR="002D7080" w:rsidRPr="004D1E6F" w14:paraId="22DA2A2A" w14:textId="77777777" w:rsidTr="002E2C37">
        <w:tc>
          <w:tcPr>
            <w:tcW w:w="9015" w:type="dxa"/>
            <w:gridSpan w:val="2"/>
            <w:shd w:val="clear" w:color="auto" w:fill="F2F2F2" w:themeFill="background1" w:themeFillShade="F2"/>
          </w:tcPr>
          <w:p w14:paraId="2CAA7869" w14:textId="77777777" w:rsidR="002D7080" w:rsidRPr="004D1E6F" w:rsidRDefault="002D7080" w:rsidP="004856F5">
            <w:pPr>
              <w:jc w:val="both"/>
              <w:rPr>
                <w:rFonts w:ascii="Times New Roman" w:hAnsi="Times New Roman" w:cs="Times New Roman"/>
              </w:rPr>
            </w:pPr>
            <w:r w:rsidRPr="004D1E6F">
              <w:rPr>
                <w:rFonts w:ascii="Times New Roman" w:eastAsia="Times New Roman" w:hAnsi="Times New Roman" w:cs="Times New Roman"/>
                <w:b/>
                <w:sz w:val="20"/>
                <w:szCs w:val="20"/>
                <w:lang w:eastAsia="en-ZA"/>
              </w:rPr>
              <w:lastRenderedPageBreak/>
              <w:t>CON1c: Hybridisation</w:t>
            </w:r>
          </w:p>
        </w:tc>
      </w:tr>
      <w:tr w:rsidR="002D7080" w:rsidRPr="004D1E6F" w14:paraId="06DD072F" w14:textId="77777777" w:rsidTr="002E2C37">
        <w:tc>
          <w:tcPr>
            <w:tcW w:w="5948" w:type="dxa"/>
          </w:tcPr>
          <w:p w14:paraId="269054D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Data Deficient (DD) </w:t>
            </w:r>
          </w:p>
        </w:tc>
        <w:tc>
          <w:tcPr>
            <w:tcW w:w="3067" w:type="dxa"/>
          </w:tcPr>
          <w:p w14:paraId="0A129B5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2C064313" w14:textId="77777777" w:rsidTr="002E2C37">
        <w:trPr>
          <w:trHeight w:val="70"/>
        </w:trPr>
        <w:tc>
          <w:tcPr>
            <w:tcW w:w="9015" w:type="dxa"/>
            <w:gridSpan w:val="2"/>
          </w:tcPr>
          <w:p w14:paraId="6869559C" w14:textId="03EE95AE"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Hybridisation is unlikely in South Africa because there are no native freshwater crayfish species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"mendeley" : { "formattedCitation" : "(de Moor 2002, Nunes et al. 2017b)", "plainTextFormattedCitation" : "(de Moor 2002, Nunes et al. 2017b)", "previouslyFormattedCitation" : "(de Moor 2002, Nunes et al. 2017b)"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 Nunes et al. 2017b)</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w:t>
            </w:r>
            <w:r w:rsidRPr="004D1E6F">
              <w:rPr>
                <w:rFonts w:ascii="Times New Roman" w:hAnsi="Times New Roman" w:cs="Times New Roman"/>
              </w:rPr>
              <w:t xml:space="preserve"> </w:t>
            </w:r>
            <w:r w:rsidRPr="004D1E6F">
              <w:rPr>
                <w:rFonts w:ascii="Times New Roman" w:eastAsia="Times New Roman" w:hAnsi="Times New Roman" w:cs="Times New Roman"/>
                <w:sz w:val="20"/>
                <w:szCs w:val="20"/>
                <w:lang w:eastAsia="en-ZA"/>
              </w:rPr>
              <w:t xml:space="preserve">The other alien crayfish species that are currently in South Africa are both in the </w:t>
            </w:r>
            <w:r w:rsidRPr="004D1E6F">
              <w:rPr>
                <w:rFonts w:ascii="Times New Roman" w:eastAsia="Times New Roman" w:hAnsi="Times New Roman" w:cs="Times New Roman"/>
                <w:i/>
                <w:sz w:val="20"/>
                <w:szCs w:val="20"/>
                <w:lang w:eastAsia="en-ZA"/>
              </w:rPr>
              <w:t>Cherax</w:t>
            </w:r>
            <w:r w:rsidRPr="004D1E6F">
              <w:rPr>
                <w:rFonts w:ascii="Times New Roman" w:eastAsia="Times New Roman" w:hAnsi="Times New Roman" w:cs="Times New Roman"/>
                <w:sz w:val="20"/>
                <w:szCs w:val="20"/>
                <w:lang w:eastAsia="en-ZA"/>
              </w:rPr>
              <w:t xml:space="preserve"> genus native to Australia of which one is confined to aquaculture facilities (</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 Nunes et al. 2017b).</w:t>
            </w:r>
          </w:p>
        </w:tc>
      </w:tr>
      <w:tr w:rsidR="002D7080" w:rsidRPr="004D1E6F" w14:paraId="2BFEAC7A" w14:textId="77777777" w:rsidTr="002E2C37">
        <w:trPr>
          <w:trHeight w:val="70"/>
        </w:trPr>
        <w:tc>
          <w:tcPr>
            <w:tcW w:w="9015" w:type="dxa"/>
            <w:gridSpan w:val="2"/>
          </w:tcPr>
          <w:p w14:paraId="0747FDFB" w14:textId="77777777" w:rsidR="002D7080" w:rsidRPr="004D1E6F" w:rsidRDefault="002D7080" w:rsidP="002E2C37">
            <w:pPr>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6FE743FF" w14:textId="0AAF1031" w:rsidR="002D7080" w:rsidRPr="004D1E6F" w:rsidRDefault="008A0BC6" w:rsidP="004856F5">
            <w:pPr>
              <w:ind w:left="720" w:hanging="720"/>
              <w:contextualSpacing/>
              <w:jc w:val="both"/>
              <w:rPr>
                <w:rFonts w:ascii="Times New Roman" w:eastAsia="Times New Roman" w:hAnsi="Times New Roman" w:cs="Times New Roman"/>
                <w:sz w:val="20"/>
                <w:szCs w:val="20"/>
                <w:lang w:eastAsia="en-ZA"/>
              </w:rPr>
            </w:pPr>
            <w:r>
              <w:rPr>
                <w:rFonts w:ascii="Times New Roman" w:eastAsia="Times New Roman" w:hAnsi="Times New Roman" w:cs="Times New Roman"/>
                <w:color w:val="000000"/>
                <w:sz w:val="20"/>
                <w:szCs w:val="20"/>
                <w:lang w:eastAsia="en-ZA"/>
              </w:rPr>
              <w:t>De Moor</w:t>
            </w:r>
            <w:r w:rsidR="002D7080" w:rsidRPr="004D1E6F">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 </w:t>
            </w:r>
            <w:r w:rsidR="00B84400" w:rsidRPr="00D66918">
              <w:rPr>
                <w:rFonts w:ascii="Times New Roman" w:eastAsia="Times New Roman" w:hAnsi="Times New Roman" w:cs="Times New Roman"/>
                <w:sz w:val="20"/>
                <w:szCs w:val="20"/>
                <w:lang w:eastAsia="en-ZA"/>
              </w:rPr>
              <w:t xml:space="preserve">, </w:t>
            </w:r>
            <w:hyperlink r:id="rId550" w:history="1">
              <w:r w:rsidR="00B84400" w:rsidRPr="00D66918">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sz w:val="20"/>
                <w:szCs w:val="20"/>
                <w:lang w:eastAsia="en-ZA"/>
              </w:rPr>
              <w:t>.</w:t>
            </w:r>
          </w:p>
          <w:p w14:paraId="16288839" w14:textId="048E5F84" w:rsidR="002D7080" w:rsidRPr="004D1E6F" w:rsidRDefault="002D7080" w:rsidP="004856F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551" w:history="1">
              <w:r w:rsidR="00B84400" w:rsidRPr="00B84400">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r w:rsidR="00B84400">
              <w:rPr>
                <w:rFonts w:ascii="Times New Roman" w:eastAsia="Times New Roman" w:hAnsi="Times New Roman" w:cs="Times New Roman"/>
                <w:color w:val="000000"/>
                <w:sz w:val="20"/>
                <w:szCs w:val="20"/>
                <w:lang w:eastAsia="en-ZA"/>
              </w:rPr>
              <w:t xml:space="preserve"> </w:t>
            </w:r>
          </w:p>
        </w:tc>
      </w:tr>
      <w:tr w:rsidR="002D7080" w:rsidRPr="004D1E6F" w14:paraId="78A17997" w14:textId="77777777" w:rsidTr="002E2C37">
        <w:tc>
          <w:tcPr>
            <w:tcW w:w="9015" w:type="dxa"/>
            <w:gridSpan w:val="2"/>
            <w:shd w:val="clear" w:color="auto" w:fill="F2F2F2" w:themeFill="background1" w:themeFillShade="F2"/>
          </w:tcPr>
          <w:p w14:paraId="642B9FE1"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CON1d: Transmission of disease</w:t>
            </w:r>
          </w:p>
        </w:tc>
      </w:tr>
      <w:tr w:rsidR="002D7080" w:rsidRPr="004D1E6F" w14:paraId="3EA646A8" w14:textId="77777777" w:rsidTr="002E2C37">
        <w:tc>
          <w:tcPr>
            <w:tcW w:w="5948" w:type="dxa"/>
          </w:tcPr>
          <w:p w14:paraId="65C2838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Major (MR)</w:t>
            </w:r>
          </w:p>
        </w:tc>
        <w:tc>
          <w:tcPr>
            <w:tcW w:w="3067" w:type="dxa"/>
          </w:tcPr>
          <w:p w14:paraId="723D8F1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4AC6CD8B" w14:textId="77777777" w:rsidTr="002E2C37">
        <w:trPr>
          <w:trHeight w:val="70"/>
        </w:trPr>
        <w:tc>
          <w:tcPr>
            <w:tcW w:w="9015" w:type="dxa"/>
            <w:gridSpan w:val="2"/>
          </w:tcPr>
          <w:p w14:paraId="0BF17FF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can harbour many pathogens, parasites, and diseases that can be transmitted to other congeneric species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"ITEM-1", "issue" : "1", "issued" : { "date-parts" : [ [ "2011" ] ] }, "page" : "54-70", "publisher" : "Elsevier Inc.", "title" : "Diseases of crayfish: A review", "type" : "article-journal", "volume" : "106" }, "uris" : [ "http://www.mendeley.com/documents/?uuid=be7c0509-8466-4d72-b84f-489b1cb24dc4"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"(Longshaw 2011, Lodge et al. 2012)", "plainTextFormattedCitation" : "(Longshaw 2011, Lodge et al. 2012)", "previouslyFormattedCitation" : "(Longshaw 2011, Lodge et al. 2012)"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(Longshaw 2011; Mastitsky et al. 2010)</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There is evidence that transmission of diseases and parasites by </w:t>
            </w:r>
            <w:r w:rsidRPr="004D1E6F">
              <w:rPr>
                <w:rFonts w:ascii="Times New Roman" w:eastAsia="Times New Roman" w:hAnsi="Times New Roman" w:cs="Times New Roman"/>
                <w:i/>
                <w:sz w:val="20"/>
                <w:szCs w:val="20"/>
                <w:lang w:eastAsia="en-ZA"/>
              </w:rPr>
              <w:t>P. clarkii</w:t>
            </w:r>
            <w:r w:rsidRPr="004D1E6F">
              <w:rPr>
                <w:rFonts w:ascii="Times New Roman" w:eastAsia="Times New Roman" w:hAnsi="Times New Roman" w:cs="Times New Roman"/>
                <w:sz w:val="20"/>
                <w:szCs w:val="20"/>
                <w:lang w:eastAsia="en-ZA"/>
              </w:rPr>
              <w:t xml:space="preserve"> to native species has caused the loss of populations of at least one native species, leading to changes in community composition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"(Lodge et al. 2012)", "plainTextFormattedCitation" : "(Lodge et al. 2012)", "previouslyFormattedCitation" : "(Lodge et al. 2012)"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(Lodge et al. 2012)</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For example, </w:t>
            </w:r>
            <w:r w:rsidRPr="004D1E6F">
              <w:rPr>
                <w:rFonts w:ascii="Times New Roman" w:eastAsia="Times New Roman" w:hAnsi="Times New Roman" w:cs="Times New Roman"/>
                <w:i/>
                <w:sz w:val="20"/>
                <w:szCs w:val="20"/>
                <w:lang w:eastAsia="en-ZA"/>
              </w:rPr>
              <w:t>P. clarkii</w:t>
            </w:r>
            <w:r w:rsidRPr="004D1E6F">
              <w:rPr>
                <w:rFonts w:ascii="Times New Roman" w:eastAsia="Times New Roman" w:hAnsi="Times New Roman" w:cs="Times New Roman"/>
                <w:sz w:val="20"/>
                <w:szCs w:val="20"/>
                <w:lang w:eastAsia="en-ZA"/>
              </w:rPr>
              <w:t xml:space="preserve"> is a vector of crayfish plague, a disease caused by the parasitic oomycete </w:t>
            </w:r>
            <w:r w:rsidRPr="004D1E6F">
              <w:rPr>
                <w:rFonts w:ascii="Times New Roman" w:eastAsia="Times New Roman" w:hAnsi="Times New Roman" w:cs="Times New Roman"/>
                <w:i/>
                <w:sz w:val="20"/>
                <w:szCs w:val="20"/>
                <w:lang w:eastAsia="en-ZA"/>
              </w:rPr>
              <w:t xml:space="preserve">Aphanomyces astaci </w:t>
            </w:r>
            <w:r w:rsidRPr="004D1E6F">
              <w:rPr>
                <w:rFonts w:ascii="Times New Roman" w:eastAsia="Times New Roman" w:hAnsi="Times New Roman" w:cs="Times New Roman"/>
                <w:i/>
                <w:sz w:val="20"/>
                <w:szCs w:val="20"/>
                <w:lang w:eastAsia="en-ZA"/>
              </w:rPr>
              <w:fldChar w:fldCharType="begin" w:fldLock="1"/>
            </w:r>
            <w:r w:rsidRPr="004D1E6F">
              <w:rPr>
                <w:rFonts w:ascii="Times New Roman" w:eastAsia="Times New Roman" w:hAnsi="Times New Roman" w:cs="Times New Roman"/>
                <w:i/>
                <w:sz w:val="20"/>
                <w:szCs w:val="20"/>
                <w:lang w:eastAsia="en-ZA"/>
              </w:rPr>
              <w:instrText>ADDIN CSL_CITATION { "citationItems" : [ { "id" : "ITEM-1",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"ITEM-1", "issue" : "1", "issued" : { "date-parts" : [ [ "2011" ] ] }, "page" : "54-70", "publisher" : "Elsevier Inc.", "title" : "Diseases of crayfish: A review", "type" : "article-journal", "volume" : "106" }, "uris" : [ "http://www.mendeley.com/documents/?uuid=be7c0509-8466-4d72-b84f-489b1cb24dc4" ] }, { "id" : "ITEM-2",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"(Longshaw 2011, Souty-grosset et al. 2016)", "plainTextFormattedCitation" : "(Longshaw 2011, Souty-grosset et al. 2016)", "previouslyFormattedCitation" : "(Longshaw 2011, Souty-grosset et al. 2016)" }, "properties" : { "noteIndex" : 0 }, "schema" : "https://github.com/citation-style-language/schema/raw/master/csl-citation.json" }</w:instrText>
            </w:r>
            <w:r w:rsidRPr="004D1E6F">
              <w:rPr>
                <w:rFonts w:ascii="Times New Roman" w:eastAsia="Times New Roman" w:hAnsi="Times New Roman" w:cs="Times New Roman"/>
                <w:i/>
                <w:sz w:val="20"/>
                <w:szCs w:val="20"/>
                <w:lang w:eastAsia="en-ZA"/>
              </w:rPr>
              <w:fldChar w:fldCharType="separate"/>
            </w:r>
            <w:r w:rsidRPr="004D1E6F">
              <w:rPr>
                <w:rFonts w:ascii="Times New Roman" w:eastAsia="Times New Roman" w:hAnsi="Times New Roman" w:cs="Times New Roman"/>
                <w:sz w:val="20"/>
                <w:szCs w:val="20"/>
                <w:lang w:eastAsia="en-ZA"/>
              </w:rPr>
              <w:t>(Longshaw 2011; Souty-Grosset et al. 2016)</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In Europe, transmission of crayfish plague by </w:t>
            </w:r>
            <w:r w:rsidRPr="004D1E6F">
              <w:rPr>
                <w:rFonts w:ascii="Times New Roman" w:eastAsia="Times New Roman" w:hAnsi="Times New Roman" w:cs="Times New Roman"/>
                <w:i/>
                <w:sz w:val="20"/>
                <w:szCs w:val="20"/>
                <w:lang w:eastAsia="en-ZA"/>
              </w:rPr>
              <w:t>P. clarkii</w:t>
            </w:r>
            <w:r w:rsidRPr="004D1E6F">
              <w:rPr>
                <w:rFonts w:ascii="Times New Roman" w:eastAsia="Times New Roman" w:hAnsi="Times New Roman" w:cs="Times New Roman"/>
                <w:sz w:val="20"/>
                <w:szCs w:val="20"/>
                <w:lang w:eastAsia="en-ZA"/>
              </w:rPr>
              <w:t xml:space="preserve"> to native crayfish species has been linked to a decline in populations of several native crayfish species such as </w:t>
            </w:r>
            <w:r w:rsidRPr="004D1E6F">
              <w:rPr>
                <w:rFonts w:ascii="Times New Roman" w:eastAsia="Times New Roman" w:hAnsi="Times New Roman" w:cs="Times New Roman"/>
                <w:i/>
                <w:sz w:val="20"/>
                <w:szCs w:val="20"/>
                <w:lang w:eastAsia="en-ZA"/>
              </w:rPr>
              <w:t>Astacus astacus</w:t>
            </w:r>
            <w:r w:rsidRPr="004D1E6F">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i/>
                <w:sz w:val="20"/>
                <w:szCs w:val="20"/>
                <w:lang w:eastAsia="en-ZA"/>
              </w:rPr>
              <w:t xml:space="preserve"> Austropotamobius pallipes </w:t>
            </w:r>
            <w:r w:rsidRPr="004D1E6F">
              <w:rPr>
                <w:rFonts w:ascii="Times New Roman" w:eastAsia="Times New Roman" w:hAnsi="Times New Roman" w:cs="Times New Roman"/>
                <w:sz w:val="20"/>
                <w:szCs w:val="20"/>
                <w:lang w:eastAsia="en-ZA"/>
              </w:rPr>
              <w:t>and</w:t>
            </w:r>
            <w:r w:rsidRPr="004D1E6F">
              <w:rPr>
                <w:rFonts w:ascii="Times New Roman" w:eastAsia="Times New Roman" w:hAnsi="Times New Roman" w:cs="Times New Roman"/>
                <w:i/>
                <w:sz w:val="20"/>
                <w:szCs w:val="20"/>
                <w:lang w:eastAsia="en-ZA"/>
              </w:rPr>
              <w:t xml:space="preserve"> A. torrentium </w:t>
            </w:r>
            <w:r w:rsidRPr="004D1E6F">
              <w:rPr>
                <w:rFonts w:ascii="Times New Roman" w:eastAsia="Times New Roman" w:hAnsi="Times New Roman" w:cs="Times New Roman"/>
                <w:i/>
                <w:sz w:val="20"/>
                <w:szCs w:val="20"/>
                <w:lang w:eastAsia="en-ZA"/>
              </w:rPr>
              <w:fldChar w:fldCharType="begin" w:fldLock="1"/>
            </w:r>
            <w:r w:rsidRPr="004D1E6F">
              <w:rPr>
                <w:rFonts w:ascii="Times New Roman" w:eastAsia="Times New Roman" w:hAnsi="Times New Roman" w:cs="Times New Roman"/>
                <w:i/>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"id" : "ITEM-2",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"ITEM-2", "issue" : "1", "issued" : { "date-parts" : [ [ "2011" ] ] }, "page" : "54-70", "publisher" : "Elsevier Inc.", "title" : "Diseases of crayfish: A review", "type" : "article-journal", "volume" : "106" }, "uris" : [ "http://www.mendeley.com/documents/?uuid=be7c0509-8466-4d72-b84f-489b1cb24dc4" ] } ], "mendeley" : { "formattedCitation" : "(Holdich et al. 2009, Longshaw 2011)", "plainTextFormattedCitation" : "(Holdich et al. 2009, Longshaw 2011)", "previouslyFormattedCitation" : "(Holdich et al. 2009, Longshaw 2011)" }, "properties" : { "noteIndex" : 0 }, "schema" : "https://github.com/citation-style-language/schema/raw/master/csl-citation.json" }</w:instrText>
            </w:r>
            <w:r w:rsidRPr="004D1E6F">
              <w:rPr>
                <w:rFonts w:ascii="Times New Roman" w:eastAsia="Times New Roman" w:hAnsi="Times New Roman" w:cs="Times New Roman"/>
                <w:i/>
                <w:sz w:val="20"/>
                <w:szCs w:val="20"/>
                <w:lang w:eastAsia="en-ZA"/>
              </w:rPr>
              <w:fldChar w:fldCharType="separate"/>
            </w:r>
            <w:r w:rsidRPr="004D1E6F">
              <w:rPr>
                <w:rFonts w:ascii="Times New Roman" w:eastAsia="Times New Roman" w:hAnsi="Times New Roman" w:cs="Times New Roman"/>
                <w:sz w:val="20"/>
                <w:szCs w:val="20"/>
                <w:lang w:eastAsia="en-ZA"/>
              </w:rPr>
              <w:t>(Holdich et al. 2009; Longshaw 2011)</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i/>
                <w:sz w:val="20"/>
                <w:szCs w:val="20"/>
                <w:lang w:eastAsia="en-ZA"/>
              </w:rPr>
              <w:t>. Procambarus clarkii</w:t>
            </w:r>
            <w:r w:rsidRPr="004D1E6F">
              <w:rPr>
                <w:rFonts w:ascii="Times New Roman" w:eastAsia="Times New Roman" w:hAnsi="Times New Roman" w:cs="Times New Roman"/>
                <w:sz w:val="20"/>
                <w:szCs w:val="20"/>
                <w:lang w:eastAsia="en-ZA"/>
              </w:rPr>
              <w:t xml:space="preserve"> can also harbour white spot syndrome disease (a viral infection of crustaceans), and fungal pathogens such as </w:t>
            </w:r>
            <w:r w:rsidRPr="004D1E6F">
              <w:rPr>
                <w:rFonts w:ascii="Times New Roman" w:eastAsia="Times New Roman" w:hAnsi="Times New Roman" w:cs="Times New Roman"/>
                <w:i/>
                <w:sz w:val="20"/>
                <w:szCs w:val="20"/>
                <w:lang w:eastAsia="en-ZA"/>
              </w:rPr>
              <w:t>Batrachochytrium dendrobatids</w:t>
            </w:r>
            <w:r w:rsidRPr="004D1E6F">
              <w:rPr>
                <w:rFonts w:ascii="Times New Roman" w:eastAsia="Times New Roman" w:hAnsi="Times New Roman" w:cs="Times New Roman"/>
                <w:sz w:val="20"/>
                <w:szCs w:val="20"/>
                <w:lang w:eastAsia="en-ZA"/>
              </w:rPr>
              <w:t xml:space="preserve"> that causes chytridiomycosis (a lethal skin infection of amphibians)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"ITEM-1", "issue" : "1", "issued" : { "date-parts" : [ [ "2011" ] ] }, "page" : "54-70", "publisher" : "Elsevier Inc.", "title" : "Diseases of crayfish: A review", "type" : "article-journal", "volume" : "106" }, "uris" : [ "http://www.mendeley.com/documents/?uuid=be7c0509-8466-4d72-b84f-489b1cb24dc4" ] } ], "mendeley" : { "formattedCitation" : "(Longshaw 2011)", "manualFormatting" : "(Longshaw 2011, McMahon et al. 2013)", "plainTextFormattedCitation" : "(Longshaw 2011)", "previouslyFormattedCitation" : "(Longshaw 2011)"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(Longshaw 2011; McMahon et al. 2013)</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w:t>
            </w:r>
          </w:p>
        </w:tc>
      </w:tr>
      <w:tr w:rsidR="002D7080" w:rsidRPr="004D1E6F" w14:paraId="6F5003EC" w14:textId="77777777" w:rsidTr="002E2C37">
        <w:trPr>
          <w:trHeight w:val="70"/>
        </w:trPr>
        <w:tc>
          <w:tcPr>
            <w:tcW w:w="9015" w:type="dxa"/>
            <w:gridSpan w:val="2"/>
          </w:tcPr>
          <w:p w14:paraId="2769999C" w14:textId="410D43E4" w:rsidR="002D7080" w:rsidRPr="007533C6" w:rsidRDefault="002D7080" w:rsidP="00A96F79">
            <w:pPr>
              <w:contextualSpacing/>
              <w:rPr>
                <w:rFonts w:ascii="Times New Roman" w:eastAsia="Times New Roman" w:hAnsi="Times New Roman" w:cs="Times New Roman"/>
                <w:bCs/>
                <w:color w:val="000000" w:themeColor="text1"/>
                <w:sz w:val="20"/>
                <w:szCs w:val="20"/>
                <w:lang w:eastAsia="en-ZA"/>
              </w:rPr>
            </w:pPr>
            <w:r w:rsidRPr="004D1E6F">
              <w:rPr>
                <w:rFonts w:ascii="Times New Roman" w:eastAsia="Times New Roman" w:hAnsi="Times New Roman" w:cs="Times New Roman"/>
                <w:sz w:val="20"/>
                <w:szCs w:val="20"/>
                <w:lang w:eastAsia="en-ZA"/>
              </w:rPr>
              <w:t>References:</w:t>
            </w:r>
            <w:r w:rsidR="00A96F79" w:rsidRPr="007533C6">
              <w:rPr>
                <w:rFonts w:ascii="Times New Roman" w:eastAsia="Times New Roman" w:hAnsi="Times New Roman" w:cs="Times New Roman"/>
                <w:bCs/>
                <w:color w:val="000000" w:themeColor="text1"/>
                <w:sz w:val="20"/>
                <w:szCs w:val="20"/>
                <w:lang w:eastAsia="en-ZA"/>
              </w:rPr>
              <w:t xml:space="preserve"> </w:t>
            </w:r>
          </w:p>
          <w:p w14:paraId="34F26961" w14:textId="731AC589" w:rsidR="00A96F79" w:rsidRPr="004D1E6F" w:rsidRDefault="004856F5" w:rsidP="004C79F1">
            <w:pPr>
              <w:ind w:left="720" w:hanging="720"/>
              <w:contextualSpacing/>
              <w:jc w:val="both"/>
              <w:rPr>
                <w:rFonts w:ascii="Times New Roman" w:eastAsia="Times New Roman" w:hAnsi="Times New Roman" w:cs="Times New Roman"/>
                <w:sz w:val="20"/>
                <w:szCs w:val="20"/>
                <w:lang w:eastAsia="en-ZA"/>
              </w:rPr>
            </w:pPr>
            <w:r w:rsidRPr="004856F5">
              <w:rPr>
                <w:rFonts w:ascii="Times New Roman" w:eastAsia="Times New Roman" w:hAnsi="Times New Roman" w:cs="Times New Roman"/>
                <w:bCs/>
                <w:color w:val="000000" w:themeColor="text1"/>
                <w:sz w:val="20"/>
                <w:szCs w:val="20"/>
                <w:lang w:eastAsia="en-ZA"/>
              </w:rPr>
              <w:t xml:space="preserve">Mastitsky, S.E., Karatayev, A.Y., Burlakova, L.E. and Molloy, D.P., 2010. </w:t>
            </w:r>
            <w:r>
              <w:rPr>
                <w:rFonts w:ascii="Times New Roman" w:eastAsia="Times New Roman" w:hAnsi="Times New Roman" w:cs="Times New Roman"/>
                <w:bCs/>
                <w:color w:val="000000" w:themeColor="text1"/>
                <w:sz w:val="20"/>
                <w:szCs w:val="20"/>
                <w:lang w:eastAsia="en-ZA"/>
              </w:rPr>
              <w:t>‘</w:t>
            </w:r>
            <w:r w:rsidRPr="004856F5">
              <w:rPr>
                <w:rFonts w:ascii="Times New Roman" w:eastAsia="Times New Roman" w:hAnsi="Times New Roman" w:cs="Times New Roman"/>
                <w:bCs/>
                <w:color w:val="000000" w:themeColor="text1"/>
                <w:sz w:val="20"/>
                <w:szCs w:val="20"/>
                <w:lang w:eastAsia="en-ZA"/>
              </w:rPr>
              <w:t>BIODIVERSITY RESEARCH: Parasites of exotic species in invaded areas: does lower diversity mean lower epizootic impact?</w:t>
            </w:r>
            <w:r w:rsidR="004C79F1">
              <w:rPr>
                <w:rFonts w:ascii="Times New Roman" w:eastAsia="Times New Roman" w:hAnsi="Times New Roman" w:cs="Times New Roman"/>
                <w:bCs/>
                <w:color w:val="000000" w:themeColor="text1"/>
                <w:sz w:val="20"/>
                <w:szCs w:val="20"/>
                <w:lang w:eastAsia="en-ZA"/>
              </w:rPr>
              <w:t xml:space="preserve">’, </w:t>
            </w:r>
            <w:r w:rsidR="004C79F1" w:rsidRPr="004856F5">
              <w:rPr>
                <w:rFonts w:ascii="Times New Roman" w:eastAsia="Times New Roman" w:hAnsi="Times New Roman" w:cs="Times New Roman"/>
                <w:bCs/>
                <w:color w:val="000000" w:themeColor="text1"/>
                <w:sz w:val="20"/>
                <w:szCs w:val="20"/>
                <w:lang w:eastAsia="en-ZA"/>
              </w:rPr>
              <w:t>Diversity</w:t>
            </w:r>
            <w:r w:rsidRPr="004856F5">
              <w:rPr>
                <w:rFonts w:ascii="Times New Roman" w:eastAsia="Times New Roman" w:hAnsi="Times New Roman" w:cs="Times New Roman"/>
                <w:bCs/>
                <w:i/>
                <w:iCs/>
                <w:color w:val="000000" w:themeColor="text1"/>
                <w:sz w:val="20"/>
                <w:szCs w:val="20"/>
                <w:lang w:eastAsia="en-ZA"/>
              </w:rPr>
              <w:t xml:space="preserve"> and Distributions</w:t>
            </w:r>
            <w:r w:rsidRPr="004856F5">
              <w:rPr>
                <w:rFonts w:ascii="Times New Roman" w:eastAsia="Times New Roman" w:hAnsi="Times New Roman" w:cs="Times New Roman"/>
                <w:bCs/>
                <w:color w:val="000000" w:themeColor="text1"/>
                <w:sz w:val="20"/>
                <w:szCs w:val="20"/>
                <w:lang w:eastAsia="en-ZA"/>
              </w:rPr>
              <w:t>, </w:t>
            </w:r>
            <w:r w:rsidRPr="004856F5">
              <w:rPr>
                <w:rFonts w:ascii="Times New Roman" w:eastAsia="Times New Roman" w:hAnsi="Times New Roman" w:cs="Times New Roman"/>
                <w:bCs/>
                <w:i/>
                <w:iCs/>
                <w:color w:val="000000" w:themeColor="text1"/>
                <w:sz w:val="20"/>
                <w:szCs w:val="20"/>
                <w:lang w:eastAsia="en-ZA"/>
              </w:rPr>
              <w:t>16</w:t>
            </w:r>
            <w:r>
              <w:rPr>
                <w:rFonts w:ascii="Times New Roman" w:eastAsia="Times New Roman" w:hAnsi="Times New Roman" w:cs="Times New Roman"/>
                <w:bCs/>
                <w:i/>
                <w:iCs/>
                <w:color w:val="000000" w:themeColor="text1"/>
                <w:sz w:val="20"/>
                <w:szCs w:val="20"/>
                <w:lang w:eastAsia="en-ZA"/>
              </w:rPr>
              <w:t xml:space="preserve">, </w:t>
            </w:r>
            <w:r w:rsidRPr="004856F5">
              <w:rPr>
                <w:rFonts w:ascii="Times New Roman" w:eastAsia="Times New Roman" w:hAnsi="Times New Roman" w:cs="Times New Roman"/>
                <w:bCs/>
                <w:color w:val="000000" w:themeColor="text1"/>
                <w:sz w:val="20"/>
                <w:szCs w:val="20"/>
                <w:lang w:eastAsia="en-ZA"/>
              </w:rPr>
              <w:t>798-803.</w:t>
            </w:r>
            <w:r>
              <w:t xml:space="preserve"> </w:t>
            </w:r>
            <w:r w:rsidRPr="004856F5">
              <w:rPr>
                <w:rFonts w:ascii="Times New Roman" w:eastAsia="Times New Roman" w:hAnsi="Times New Roman" w:cs="Times New Roman"/>
                <w:bCs/>
                <w:color w:val="000000" w:themeColor="text1"/>
                <w:sz w:val="20"/>
                <w:szCs w:val="20"/>
                <w:lang w:eastAsia="en-ZA"/>
              </w:rPr>
              <w:t>https://doi.org/10.1111/j.1472-4642.2010.00693.x</w:t>
            </w:r>
          </w:p>
          <w:p w14:paraId="52C18920" w14:textId="77777777" w:rsidR="00A96F79" w:rsidRPr="004D1E6F" w:rsidRDefault="00A96F79" w:rsidP="004C79F1">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Cs/>
                <w:sz w:val="20"/>
                <w:szCs w:val="20"/>
                <w:lang w:eastAsia="en-ZA"/>
              </w:rPr>
              <w:t xml:space="preserve">Holdich, D.M., Reynolds, J.D. &amp; Sibley, P.J., 2009, ‘A review of the ever increasing threat to European crayfish from non-indigenous crayfish species’, </w:t>
            </w:r>
            <w:r w:rsidRPr="004D1E6F">
              <w:rPr>
                <w:rFonts w:ascii="Times New Roman" w:eastAsia="Times New Roman" w:hAnsi="Times New Roman" w:cs="Times New Roman"/>
                <w:bCs/>
                <w:i/>
                <w:sz w:val="20"/>
                <w:szCs w:val="20"/>
                <w:lang w:eastAsia="en-ZA"/>
              </w:rPr>
              <w:t xml:space="preserve">Knowledge and Management of Aquatic Ecosystems </w:t>
            </w:r>
            <w:r w:rsidRPr="004D1E6F">
              <w:rPr>
                <w:rFonts w:ascii="Times New Roman" w:eastAsia="Times New Roman" w:hAnsi="Times New Roman" w:cs="Times New Roman"/>
                <w:bCs/>
                <w:sz w:val="20"/>
                <w:szCs w:val="20"/>
                <w:lang w:eastAsia="en-ZA"/>
              </w:rPr>
              <w:t xml:space="preserve">394–395, 11. </w:t>
            </w:r>
            <w:hyperlink r:id="rId552" w:history="1">
              <w:r w:rsidRPr="00F215B9">
                <w:rPr>
                  <w:rStyle w:val="Hyperlink"/>
                  <w:rFonts w:ascii="Times New Roman" w:eastAsia="Times New Roman" w:hAnsi="Times New Roman" w:cs="Times New Roman"/>
                  <w:bCs/>
                  <w:sz w:val="20"/>
                  <w:szCs w:val="20"/>
                  <w:lang w:eastAsia="en-ZA"/>
                </w:rPr>
                <w:t>https://doi.org/10.1051/kmae/2009025</w:t>
              </w:r>
            </w:hyperlink>
            <w:r w:rsidRPr="004D1E6F">
              <w:rPr>
                <w:rFonts w:ascii="Times New Roman" w:eastAsia="Times New Roman" w:hAnsi="Times New Roman" w:cs="Times New Roman"/>
                <w:bCs/>
                <w:sz w:val="20"/>
                <w:szCs w:val="20"/>
                <w:lang w:eastAsia="en-ZA"/>
              </w:rPr>
              <w:t>.</w:t>
            </w:r>
            <w:r>
              <w:rPr>
                <w:rFonts w:ascii="Times New Roman" w:eastAsia="Times New Roman" w:hAnsi="Times New Roman" w:cs="Times New Roman"/>
                <w:bCs/>
                <w:sz w:val="20"/>
                <w:szCs w:val="20"/>
                <w:lang w:eastAsia="en-ZA"/>
              </w:rPr>
              <w:t xml:space="preserve"> </w:t>
            </w:r>
          </w:p>
          <w:p w14:paraId="2404F30C" w14:textId="7BDDB4A1" w:rsidR="00A96F79" w:rsidRDefault="00A96F79" w:rsidP="004C79F1">
            <w:pPr>
              <w:ind w:left="720" w:hanging="720"/>
              <w:contextualSpacing/>
              <w:jc w:val="both"/>
              <w:rPr>
                <w:rFonts w:ascii="Times New Roman" w:eastAsia="Times New Roman" w:hAnsi="Times New Roman" w:cs="Times New Roman"/>
                <w:sz w:val="20"/>
                <w:szCs w:val="20"/>
                <w:lang w:eastAsia="en-ZA"/>
              </w:rPr>
            </w:pPr>
            <w:r w:rsidRPr="004D1E6F">
              <w:rPr>
                <w:rFonts w:ascii="Times New Roman" w:hAnsi="Times New Roman" w:cs="Times New Roman"/>
                <w:color w:val="222222"/>
                <w:sz w:val="20"/>
                <w:szCs w:val="20"/>
                <w:shd w:val="clear" w:color="auto" w:fill="FFFFFF"/>
              </w:rPr>
              <w:t xml:space="preserve">Lodge, D.M., Deines, A., Gherardi, F., Yeo, D.C., Arcella, T., Baldridge, A.K., et al., </w:t>
            </w:r>
            <w:r w:rsidRPr="004D1E6F">
              <w:rPr>
                <w:rFonts w:ascii="Times New Roman" w:eastAsia="Times New Roman" w:hAnsi="Times New Roman" w:cs="Times New Roman"/>
                <w:sz w:val="20"/>
                <w:szCs w:val="20"/>
                <w:lang w:eastAsia="en-ZA"/>
              </w:rPr>
              <w:t xml:space="preserve">2012, ‘Global introductions of crayfishes: Evaluating the impact of species invasions on ecosystem services’, </w:t>
            </w:r>
            <w:r w:rsidRPr="004D1E6F">
              <w:rPr>
                <w:rFonts w:ascii="Times New Roman" w:eastAsia="Times New Roman" w:hAnsi="Times New Roman" w:cs="Times New Roman"/>
                <w:i/>
                <w:sz w:val="20"/>
                <w:szCs w:val="20"/>
                <w:lang w:eastAsia="en-ZA"/>
              </w:rPr>
              <w:t>Annual Review of Ecology Evolution Systematics</w:t>
            </w:r>
            <w:r w:rsidRPr="004D1E6F">
              <w:rPr>
                <w:rFonts w:ascii="Times New Roman" w:eastAsia="Times New Roman" w:hAnsi="Times New Roman" w:cs="Times New Roman"/>
                <w:sz w:val="20"/>
                <w:szCs w:val="20"/>
                <w:lang w:eastAsia="en-ZA"/>
              </w:rPr>
              <w:t xml:space="preserve"> 43, 449–472. </w:t>
            </w:r>
            <w:r w:rsidRPr="00D66918">
              <w:rPr>
                <w:rFonts w:ascii="Times New Roman" w:eastAsia="Times New Roman" w:hAnsi="Times New Roman" w:cs="Times New Roman"/>
                <w:bCs/>
                <w:sz w:val="20"/>
                <w:szCs w:val="20"/>
                <w:lang w:eastAsia="en-ZA"/>
              </w:rPr>
              <w:t>https://doi.org/10.1146/annurev-ecolsys-111511-103919</w:t>
            </w:r>
          </w:p>
          <w:p w14:paraId="6CECE6D4" w14:textId="03676E5E" w:rsidR="00A96F79" w:rsidRPr="007533C6" w:rsidRDefault="00A96F79" w:rsidP="004C79F1">
            <w:pPr>
              <w:ind w:left="720" w:hanging="720"/>
              <w:contextualSpacing/>
              <w:jc w:val="both"/>
              <w:rPr>
                <w:rFonts w:ascii="Times New Roman" w:eastAsia="Times New Roman" w:hAnsi="Times New Roman" w:cs="Times New Roman"/>
                <w:bCs/>
                <w:color w:val="000000" w:themeColor="text1"/>
                <w:sz w:val="20"/>
                <w:szCs w:val="20"/>
                <w:lang w:eastAsia="en-ZA"/>
              </w:rPr>
            </w:pPr>
            <w:r w:rsidRPr="004D1E6F">
              <w:rPr>
                <w:rFonts w:ascii="Times New Roman" w:eastAsia="Times New Roman" w:hAnsi="Times New Roman" w:cs="Times New Roman"/>
                <w:sz w:val="20"/>
                <w:szCs w:val="20"/>
                <w:lang w:eastAsia="en-ZA"/>
              </w:rPr>
              <w:t xml:space="preserve">Longshaw, M. 2011, ‘Diseases of crayfish: A review’, </w:t>
            </w:r>
            <w:r w:rsidRPr="004D1E6F">
              <w:rPr>
                <w:rFonts w:ascii="Times New Roman" w:eastAsia="Times New Roman" w:hAnsi="Times New Roman" w:cs="Times New Roman"/>
                <w:i/>
                <w:sz w:val="20"/>
                <w:szCs w:val="20"/>
                <w:lang w:eastAsia="en-ZA"/>
              </w:rPr>
              <w:t>Journal of Invertebrate Pathology</w:t>
            </w:r>
            <w:r w:rsidRPr="004D1E6F">
              <w:rPr>
                <w:rFonts w:ascii="Times New Roman" w:eastAsia="Times New Roman" w:hAnsi="Times New Roman" w:cs="Times New Roman"/>
                <w:sz w:val="20"/>
                <w:szCs w:val="20"/>
                <w:lang w:eastAsia="en-ZA"/>
              </w:rPr>
              <w:t xml:space="preserve"> 106, 54–</w:t>
            </w:r>
            <w:r w:rsidRPr="007533C6">
              <w:rPr>
                <w:rFonts w:ascii="Times New Roman" w:eastAsia="Times New Roman" w:hAnsi="Times New Roman" w:cs="Times New Roman"/>
                <w:color w:val="000000" w:themeColor="text1"/>
                <w:sz w:val="20"/>
                <w:szCs w:val="20"/>
                <w:lang w:eastAsia="en-ZA"/>
              </w:rPr>
              <w:t>70.</w:t>
            </w:r>
            <w:r>
              <w:rPr>
                <w:rFonts w:ascii="Times New Roman" w:eastAsia="Times New Roman" w:hAnsi="Times New Roman" w:cs="Times New Roman"/>
                <w:color w:val="000000" w:themeColor="text1"/>
                <w:sz w:val="20"/>
                <w:szCs w:val="20"/>
                <w:lang w:eastAsia="en-ZA"/>
              </w:rPr>
              <w:t xml:space="preserve"> </w:t>
            </w:r>
            <w:hyperlink r:id="rId553" w:history="1">
              <w:r w:rsidRPr="000E56EC">
                <w:rPr>
                  <w:rStyle w:val="Hyperlink"/>
                  <w:rFonts w:ascii="Times New Roman" w:eastAsia="Times New Roman" w:hAnsi="Times New Roman" w:cs="Times New Roman"/>
                  <w:bCs/>
                  <w:sz w:val="20"/>
                  <w:szCs w:val="20"/>
                  <w:lang w:eastAsia="en-ZA"/>
                </w:rPr>
                <w:t>https://doi.org/10.1016/j.jip.2010.09.013</w:t>
              </w:r>
            </w:hyperlink>
          </w:p>
          <w:p w14:paraId="1936B8E3" w14:textId="3201B296" w:rsidR="002D7080" w:rsidRPr="007533C6" w:rsidRDefault="002D7080" w:rsidP="004C79F1">
            <w:pPr>
              <w:ind w:left="720" w:hanging="720"/>
              <w:contextualSpacing/>
              <w:jc w:val="both"/>
              <w:rPr>
                <w:rFonts w:ascii="Times New Roman" w:eastAsia="Times New Roman" w:hAnsi="Times New Roman" w:cs="Times New Roman"/>
                <w:bCs/>
                <w:color w:val="000000" w:themeColor="text1"/>
                <w:sz w:val="20"/>
                <w:szCs w:val="20"/>
                <w:lang w:eastAsia="en-ZA"/>
              </w:rPr>
            </w:pPr>
            <w:r w:rsidRPr="007533C6">
              <w:rPr>
                <w:rFonts w:ascii="Times New Roman" w:eastAsia="Times New Roman" w:hAnsi="Times New Roman" w:cs="Times New Roman"/>
                <w:bCs/>
                <w:color w:val="000000" w:themeColor="text1"/>
                <w:sz w:val="20"/>
                <w:szCs w:val="20"/>
                <w:lang w:eastAsia="en-ZA"/>
              </w:rPr>
              <w:lastRenderedPageBreak/>
              <w:t xml:space="preserve">Karatayev, L.E. Burlakova, &amp; Molloy, D.P., 2010, ‘Parasites of exotic species in invaded areas: does lower diversity mean lower epizootic impact?’ </w:t>
            </w:r>
            <w:r w:rsidRPr="007533C6">
              <w:rPr>
                <w:rFonts w:ascii="Times New Roman" w:eastAsia="Times New Roman" w:hAnsi="Times New Roman" w:cs="Times New Roman"/>
                <w:bCs/>
                <w:i/>
                <w:iCs/>
                <w:color w:val="000000" w:themeColor="text1"/>
                <w:sz w:val="20"/>
                <w:szCs w:val="20"/>
                <w:lang w:eastAsia="en-ZA"/>
              </w:rPr>
              <w:t>Diversity and Distributions</w:t>
            </w:r>
            <w:r w:rsidRPr="007533C6">
              <w:rPr>
                <w:rFonts w:ascii="Times New Roman" w:eastAsia="Times New Roman" w:hAnsi="Times New Roman" w:cs="Times New Roman"/>
                <w:bCs/>
                <w:color w:val="000000" w:themeColor="text1"/>
                <w:sz w:val="20"/>
                <w:szCs w:val="20"/>
                <w:lang w:eastAsia="en-ZA"/>
              </w:rPr>
              <w:t xml:space="preserve"> 16, 798–803. </w:t>
            </w:r>
            <w:r w:rsidR="00B84400" w:rsidRPr="000E56EC">
              <w:rPr>
                <w:rFonts w:ascii="Times New Roman" w:eastAsia="Times New Roman" w:hAnsi="Times New Roman" w:cs="Times New Roman"/>
                <w:bCs/>
                <w:color w:val="000000" w:themeColor="text1"/>
                <w:sz w:val="20"/>
                <w:szCs w:val="20"/>
                <w:lang w:eastAsia="en-ZA"/>
              </w:rPr>
              <w:t>https://doi.org/10.1007/s00442-008-1180-1</w:t>
            </w:r>
          </w:p>
          <w:p w14:paraId="635F8D51" w14:textId="062D054E" w:rsidR="002D7080" w:rsidRPr="007533C6" w:rsidRDefault="002D7080" w:rsidP="004C79F1">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McMahon, T.A., Brannelly, L.A., Chatfield, M.W., Johnson, P.T., Joseph, M.B., McKenzie, V.J., et al., 2013, ‘Chytrid fungus </w:t>
            </w:r>
            <w:r w:rsidRPr="007533C6">
              <w:rPr>
                <w:rFonts w:ascii="Times New Roman" w:eastAsia="Times New Roman" w:hAnsi="Times New Roman" w:cs="Times New Roman"/>
                <w:i/>
                <w:color w:val="000000" w:themeColor="text1"/>
                <w:sz w:val="20"/>
                <w:szCs w:val="20"/>
                <w:lang w:eastAsia="en-ZA"/>
              </w:rPr>
              <w:t>Batrachochytrium dendrobatidis</w:t>
            </w:r>
            <w:r w:rsidRPr="007533C6">
              <w:rPr>
                <w:rFonts w:ascii="Times New Roman" w:eastAsia="Times New Roman" w:hAnsi="Times New Roman" w:cs="Times New Roman"/>
                <w:color w:val="000000" w:themeColor="text1"/>
                <w:sz w:val="20"/>
                <w:szCs w:val="20"/>
                <w:lang w:eastAsia="en-ZA"/>
              </w:rPr>
              <w:t xml:space="preserve"> has non-amphibian hosts and releases chemicals that cause pathology in the absence of infection’, </w:t>
            </w:r>
            <w:r w:rsidRPr="007533C6">
              <w:rPr>
                <w:rFonts w:ascii="Times New Roman" w:eastAsia="Times New Roman" w:hAnsi="Times New Roman" w:cs="Times New Roman"/>
                <w:i/>
                <w:color w:val="000000" w:themeColor="text1"/>
                <w:sz w:val="20"/>
                <w:szCs w:val="20"/>
                <w:lang w:eastAsia="en-ZA"/>
              </w:rPr>
              <w:t>Proceedings of the National Academy of Sciences of the United States of America</w:t>
            </w:r>
            <w:r w:rsidRPr="007533C6">
              <w:rPr>
                <w:rFonts w:ascii="Times New Roman" w:eastAsia="Times New Roman" w:hAnsi="Times New Roman" w:cs="Times New Roman"/>
                <w:color w:val="000000" w:themeColor="text1"/>
                <w:sz w:val="20"/>
                <w:szCs w:val="20"/>
                <w:lang w:eastAsia="en-ZA"/>
              </w:rPr>
              <w:t xml:space="preserve"> 110, 210–215. </w:t>
            </w:r>
            <w:r w:rsidR="00B84400" w:rsidRPr="000E56EC">
              <w:rPr>
                <w:rFonts w:ascii="Times New Roman" w:eastAsia="Times New Roman" w:hAnsi="Times New Roman" w:cs="Times New Roman"/>
                <w:color w:val="000000" w:themeColor="text1"/>
                <w:sz w:val="20"/>
                <w:szCs w:val="20"/>
                <w:lang w:eastAsia="en-ZA"/>
              </w:rPr>
              <w:t>https://doi.org/10.1073/pnas.1200592110</w:t>
            </w:r>
            <w:r w:rsidRPr="007533C6">
              <w:rPr>
                <w:rFonts w:ascii="Times New Roman" w:eastAsia="Times New Roman" w:hAnsi="Times New Roman" w:cs="Times New Roman"/>
                <w:color w:val="000000" w:themeColor="text1"/>
                <w:sz w:val="20"/>
                <w:szCs w:val="20"/>
                <w:lang w:eastAsia="en-ZA"/>
              </w:rPr>
              <w:t>.</w:t>
            </w:r>
          </w:p>
          <w:p w14:paraId="63BD46BF" w14:textId="08312887" w:rsidR="002D7080" w:rsidRPr="004D1E6F" w:rsidRDefault="002D7080" w:rsidP="004C79F1">
            <w:pPr>
              <w:ind w:left="720" w:hanging="720"/>
              <w:contextualSpacing/>
              <w:jc w:val="both"/>
              <w:rPr>
                <w:rFonts w:ascii="Times New Roman" w:eastAsia="Times New Roman" w:hAnsi="Times New Roman" w:cs="Times New Roman"/>
                <w:sz w:val="20"/>
                <w:szCs w:val="20"/>
                <w:lang w:eastAsia="en-ZA"/>
              </w:rPr>
            </w:pPr>
            <w:r w:rsidRPr="007533C6">
              <w:rPr>
                <w:rFonts w:ascii="Times New Roman" w:hAnsi="Times New Roman" w:cs="Times New Roman"/>
                <w:color w:val="000000" w:themeColor="text1"/>
                <w:sz w:val="20"/>
                <w:szCs w:val="20"/>
                <w:shd w:val="clear" w:color="auto" w:fill="FFFFFF"/>
              </w:rPr>
              <w:t xml:space="preserve">Souty-Grosset, C., Anastacio, P.M., Aquiloni, L., Banha, F., Choquer, J., Chucholl, C., et al., </w:t>
            </w:r>
            <w:r w:rsidRPr="007533C6">
              <w:rPr>
                <w:rFonts w:ascii="Times New Roman" w:eastAsia="Times New Roman" w:hAnsi="Times New Roman" w:cs="Times New Roman"/>
                <w:color w:val="000000" w:themeColor="text1"/>
                <w:sz w:val="20"/>
                <w:szCs w:val="20"/>
                <w:lang w:eastAsia="en-ZA"/>
              </w:rPr>
              <w:t xml:space="preserve">2016, ‘The red swamp crayfish </w:t>
            </w: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in Europe: Impacts on aquatic ecosystems and human well-being’, </w:t>
            </w:r>
            <w:r w:rsidRPr="007533C6">
              <w:rPr>
                <w:rFonts w:ascii="Times New Roman" w:eastAsia="Times New Roman" w:hAnsi="Times New Roman" w:cs="Times New Roman"/>
                <w:i/>
                <w:color w:val="000000" w:themeColor="text1"/>
                <w:sz w:val="20"/>
                <w:szCs w:val="20"/>
                <w:lang w:eastAsia="en-ZA"/>
              </w:rPr>
              <w:t>Limnologica</w:t>
            </w:r>
            <w:r w:rsidRPr="007533C6">
              <w:rPr>
                <w:rFonts w:ascii="Times New Roman" w:eastAsia="Times New Roman" w:hAnsi="Times New Roman" w:cs="Times New Roman"/>
                <w:color w:val="000000" w:themeColor="text1"/>
                <w:sz w:val="20"/>
                <w:szCs w:val="20"/>
                <w:lang w:eastAsia="en-ZA"/>
              </w:rPr>
              <w:t xml:space="preserve"> 58, 78–93. </w:t>
            </w:r>
            <w:hyperlink r:id="rId554" w:history="1">
              <w:r w:rsidR="00B84400" w:rsidRPr="00B84400">
                <w:rPr>
                  <w:rStyle w:val="Hyperlink"/>
                  <w:rFonts w:ascii="Times New Roman" w:eastAsia="Times New Roman" w:hAnsi="Times New Roman" w:cs="Times New Roman"/>
                  <w:bCs/>
                  <w:sz w:val="20"/>
                  <w:szCs w:val="20"/>
                  <w:lang w:eastAsia="en-ZA"/>
                </w:rPr>
                <w:t>https://doi.org/10.1016/j.limno.2016.03.003</w:t>
              </w:r>
            </w:hyperlink>
            <w:r w:rsidRPr="007533C6">
              <w:rPr>
                <w:rFonts w:ascii="Times New Roman" w:eastAsia="Times New Roman" w:hAnsi="Times New Roman" w:cs="Times New Roman"/>
                <w:bCs/>
                <w:color w:val="000000" w:themeColor="text1"/>
                <w:sz w:val="20"/>
                <w:szCs w:val="20"/>
                <w:lang w:eastAsia="en-ZA"/>
              </w:rPr>
              <w:t>.</w:t>
            </w:r>
          </w:p>
        </w:tc>
      </w:tr>
      <w:tr w:rsidR="002D7080" w:rsidRPr="004D1E6F" w14:paraId="5AE5579C" w14:textId="77777777" w:rsidTr="002E2C37">
        <w:tc>
          <w:tcPr>
            <w:tcW w:w="9015" w:type="dxa"/>
            <w:gridSpan w:val="2"/>
            <w:shd w:val="clear" w:color="auto" w:fill="F2F2F2" w:themeFill="background1" w:themeFillShade="F2"/>
          </w:tcPr>
          <w:p w14:paraId="6BB35C35"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lastRenderedPageBreak/>
              <w:t>CON1e: Parasitism</w:t>
            </w:r>
          </w:p>
        </w:tc>
      </w:tr>
      <w:tr w:rsidR="002D7080" w:rsidRPr="004D1E6F" w14:paraId="3E2070F6" w14:textId="77777777" w:rsidTr="002E2C37">
        <w:tc>
          <w:tcPr>
            <w:tcW w:w="5948" w:type="dxa"/>
          </w:tcPr>
          <w:p w14:paraId="2B5EED5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3C3EB2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2656BADC" w14:textId="77777777" w:rsidTr="002E2C37">
        <w:trPr>
          <w:trHeight w:val="70"/>
        </w:trPr>
        <w:tc>
          <w:tcPr>
            <w:tcW w:w="9015" w:type="dxa"/>
            <w:gridSpan w:val="2"/>
          </w:tcPr>
          <w:p w14:paraId="7D9A5FB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is not a parasitic taxon.</w:t>
            </w:r>
          </w:p>
        </w:tc>
      </w:tr>
      <w:tr w:rsidR="002D7080" w:rsidRPr="004D1E6F" w14:paraId="2DB8131A" w14:textId="77777777" w:rsidTr="002E2C37">
        <w:trPr>
          <w:trHeight w:val="70"/>
        </w:trPr>
        <w:tc>
          <w:tcPr>
            <w:tcW w:w="9015" w:type="dxa"/>
            <w:gridSpan w:val="2"/>
          </w:tcPr>
          <w:p w14:paraId="684B599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62C4EAD5" w14:textId="77777777" w:rsidTr="002E2C37">
        <w:tc>
          <w:tcPr>
            <w:tcW w:w="9015" w:type="dxa"/>
            <w:gridSpan w:val="2"/>
            <w:shd w:val="clear" w:color="auto" w:fill="F2F2F2" w:themeFill="background1" w:themeFillShade="F2"/>
          </w:tcPr>
          <w:p w14:paraId="09C196DA"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CON1f: Poisoning/toxicity</w:t>
            </w:r>
          </w:p>
        </w:tc>
      </w:tr>
      <w:tr w:rsidR="002D7080" w:rsidRPr="004D1E6F" w14:paraId="71872148" w14:textId="77777777" w:rsidTr="002E2C37">
        <w:tc>
          <w:tcPr>
            <w:tcW w:w="5948" w:type="dxa"/>
          </w:tcPr>
          <w:p w14:paraId="3771CBB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Minimal Concern (MC)</w:t>
            </w:r>
          </w:p>
        </w:tc>
        <w:tc>
          <w:tcPr>
            <w:tcW w:w="3067" w:type="dxa"/>
          </w:tcPr>
          <w:p w14:paraId="23A0F94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7C11F58E" w14:textId="77777777" w:rsidTr="002E2C37">
        <w:trPr>
          <w:trHeight w:val="70"/>
        </w:trPr>
        <w:tc>
          <w:tcPr>
            <w:tcW w:w="9015" w:type="dxa"/>
            <w:gridSpan w:val="2"/>
          </w:tcPr>
          <w:p w14:paraId="6814ABD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hAnsi="Times New Roman" w:cs="Times New Roman"/>
                <w:i/>
                <w:sz w:val="20"/>
                <w:szCs w:val="20"/>
              </w:rPr>
              <w:t>Procambarus clarkii</w:t>
            </w:r>
            <w:r w:rsidRPr="004D1E6F">
              <w:rPr>
                <w:rFonts w:ascii="Times New Roman" w:hAnsi="Times New Roman" w:cs="Times New Roman"/>
                <w:sz w:val="20"/>
                <w:szCs w:val="20"/>
              </w:rPr>
              <w:t xml:space="preserve"> can bio-accumulate toxins and metals from the environment </w:t>
            </w:r>
            <w:r w:rsidRPr="004D1E6F">
              <w:rPr>
                <w:rFonts w:ascii="Times New Roman" w:hAnsi="Times New Roman" w:cs="Times New Roman"/>
                <w:sz w:val="20"/>
                <w:szCs w:val="20"/>
              </w:rPr>
              <w:fldChar w:fldCharType="begin" w:fldLock="1"/>
            </w:r>
            <w:r w:rsidRPr="004D1E6F">
              <w:rPr>
                <w:rFonts w:ascii="Times New Roman" w:hAnsi="Times New Roman" w:cs="Times New Roman"/>
                <w:sz w:val="20"/>
                <w:szCs w:val="20"/>
              </w:rPr>
              <w:instrText>ADDIN CSL_CITATION { "citationItems" : [ { "id" : "ITEM-1", "itemData" : { "DOI" : "10.1016/j.biocon.2011.07.020", "author" : [ { "dropping-particle" : "", "family" : "Gherardi", "given" : "Francesca", "non-dropping-particle" : "", "parse-names" : false, "suffix" : "" }, { "dropping-particle" : "", "family" : "Britton", "given" : "J Robert", "non-dropping-particle" : "", "parse-names" : false, "suffix" : "" }, { "dropping-particle" : "", "family" : "Mavuti", "given" : "Kenneth M", "non-dropping-particle" : "", "parse-names" : false, "suffix" : "" }, { "dropping-particle" : "", "family" : "Pacini", "given" : "Nic", "non-dropping-particle" : "", "parse-names" : false, "suffix" : "" }, { "dropping-particle" : "", "family" : "Grey", "given" : "Jonathan", "non-dropping-particle" : "", "parse-names" : false, "suffix" : "" }, { "dropping-particle" : "", "family" : "Tricarico", "given" : "Elena", "non-dropping-particle" : "", "parse-names" : false, "suffix" : "" }, { "dropping-particle" : "", "family" : "Harper", "given" : "David M", "non-dropping-particle" : "", "parse-names" : false, "suffix" : "" } ], "id" : "ITEM-1", "issued" : { "date-parts" : [ [ "2011" ] ] }, "page" : "2585-2596", "publisher" : "Elsevier Ltd", "title" : "A review of allodiversity in Lake Naivasha , Kenya : Developing conservation actions to protect East African lakes from the negative impacts of alien species", "type" : "article-journal", "volume" : "144" }, "uris" : [ "http://www.mendeley.com/documents/?uuid=05c95c37-42e0-4b2c-a818-0f1c7fd1a239" ] }, { "id" : "ITEM-2",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"(Gherardi et al. 2011, Souty-grosset et al. 2016)", "plainTextFormattedCitation" : "(Gherardi et al. 2011, Souty-grosset et al. 2016)", "previouslyFormattedCitation" : "(Gherardi et al. 2011, Souty-grosset et al. 2016)" }, "properties" : { "noteIndex" : 0 }, "schema" : "https://github.com/citation-style-language/schema/raw/master/csl-citation.json" }</w:instrText>
            </w:r>
            <w:r w:rsidRPr="004D1E6F">
              <w:rPr>
                <w:rFonts w:ascii="Times New Roman" w:hAnsi="Times New Roman" w:cs="Times New Roman"/>
                <w:sz w:val="20"/>
                <w:szCs w:val="20"/>
              </w:rPr>
              <w:fldChar w:fldCharType="separate"/>
            </w:r>
            <w:r w:rsidRPr="004D1E6F">
              <w:rPr>
                <w:rFonts w:ascii="Times New Roman" w:hAnsi="Times New Roman" w:cs="Times New Roman"/>
                <w:sz w:val="20"/>
                <w:szCs w:val="20"/>
              </w:rPr>
              <w:t>(Gherardi et al. 2011; Souty-Grosset et al. 2016)</w:t>
            </w:r>
            <w:r w:rsidRPr="004D1E6F">
              <w:rPr>
                <w:rFonts w:ascii="Times New Roman" w:hAnsi="Times New Roman" w:cs="Times New Roman"/>
                <w:sz w:val="20"/>
                <w:szCs w:val="20"/>
              </w:rPr>
              <w:fldChar w:fldCharType="end"/>
            </w:r>
            <w:r w:rsidRPr="004D1E6F">
              <w:rPr>
                <w:rFonts w:ascii="Times New Roman" w:hAnsi="Times New Roman" w:cs="Times New Roman"/>
                <w:sz w:val="20"/>
                <w:szCs w:val="20"/>
              </w:rPr>
              <w:t xml:space="preserve">. These pollutants are often harmful and are transferred to higher food web levels through the consumption of affected crayfish by predators such as otters, birds, and fish </w:t>
            </w:r>
            <w:r w:rsidRPr="004D1E6F">
              <w:rPr>
                <w:rFonts w:ascii="Times New Roman" w:hAnsi="Times New Roman" w:cs="Times New Roman"/>
                <w:sz w:val="20"/>
                <w:szCs w:val="20"/>
              </w:rPr>
              <w:fldChar w:fldCharType="begin" w:fldLock="1"/>
            </w:r>
            <w:r w:rsidRPr="004D1E6F">
              <w:rPr>
                <w:rFonts w:ascii="Times New Roman" w:hAnsi="Times New Roman" w:cs="Times New Roman"/>
                <w:sz w:val="20"/>
                <w:szCs w:val="20"/>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"http://www.mendeley.com/documents/?uuid=9c72c438-e7a8-4248-b05a-2e8f1c12e544" ] }, { "id" : "ITEM-2", "itemData" : { "DOI" : "10.1016/j.biocon.2011.07.020", "author" : [ { "dropping-particle" : "", "family" : "Gherardi", "given" : "Francesca", "non-dropping-particle" : "", "parse-names" : false, "suffix" : "" }, { "dropping-particle" : "", "family" : "Britton", "given" : "J Robert", "non-dropping-particle" : "", "parse-names" : false, "suffix" : "" }, { "dropping-particle" : "", "family" : "Mavuti", "given" : "Kenneth M", "non-dropping-particle" : "", "parse-names" : false, "suffix" : "" }, { "dropping-particle" : "", "family" : "Pacini", "given" : "Nic", "non-dropping-particle" : "", "parse-names" : false, "suffix" : "" }, { "dropping-particle" : "", "family" : "Grey", "given" : "Jonathan", "non-dropping-particle" : "", "parse-names" : false, "suffix" : "" }, { "dropping-particle" : "", "family" : "Tricarico", "given" : "Elena", "non-dropping-particle" : "", "parse-names" : false, "suffix" : "" }, { "dropping-particle" : "", "family" : "Harper", "given" : "David M", "non-dropping-particle" : "", "parse-names" : false, "suffix" : "" } ], "id" : "ITEM-2", "issued" : { "date-parts" : [ [ "2011" ] ] }, "page" : "2585-2596", "publisher" : "Elsevier Ltd", "title" : "A review of allodiversity in Lake Naivasha , Kenya : Developing conservation actions to protect East African lakes from the negative impacts of alien species", "type" : "article-journal", "volume" : "144" }, "uris" : [ "http://www.mendeley.com/documents/?uuid=05c95c37-42e0-4b2c-a818-0f1c7fd1a239" ] } ], "mendeley" : { "formattedCitation" : "(Gherardi et al. 2011, Lodge et al. 2012)", "plainTextFormattedCitation" : "(Gherardi et al. 2011, Lodge et al. 2012)", "previouslyFormattedCitation" : "(Gherardi et al. 2011, Lodge et al. 2012)" }, "properties" : { "noteIndex" : 0 }, "schema" : "https://github.com/citation-style-language/schema/raw/master/csl-citation.json" }</w:instrText>
            </w:r>
            <w:r w:rsidRPr="004D1E6F">
              <w:rPr>
                <w:rFonts w:ascii="Times New Roman" w:hAnsi="Times New Roman" w:cs="Times New Roman"/>
                <w:sz w:val="20"/>
                <w:szCs w:val="20"/>
              </w:rPr>
              <w:fldChar w:fldCharType="separate"/>
            </w:r>
            <w:r w:rsidRPr="004D1E6F">
              <w:rPr>
                <w:rFonts w:ascii="Times New Roman" w:hAnsi="Times New Roman" w:cs="Times New Roman"/>
                <w:sz w:val="20"/>
                <w:szCs w:val="20"/>
              </w:rPr>
              <w:t>(Gherardi et al. 2011; Lodge et al. 2012)</w:t>
            </w:r>
            <w:r w:rsidRPr="004D1E6F">
              <w:rPr>
                <w:rFonts w:ascii="Times New Roman" w:hAnsi="Times New Roman" w:cs="Times New Roman"/>
                <w:sz w:val="20"/>
                <w:szCs w:val="20"/>
              </w:rPr>
              <w:fldChar w:fldCharType="end"/>
            </w:r>
            <w:r w:rsidRPr="004D1E6F">
              <w:rPr>
                <w:rFonts w:ascii="Times New Roman" w:hAnsi="Times New Roman" w:cs="Times New Roman"/>
                <w:sz w:val="20"/>
                <w:szCs w:val="20"/>
              </w:rPr>
              <w:t>.</w:t>
            </w:r>
          </w:p>
        </w:tc>
      </w:tr>
      <w:tr w:rsidR="002D7080" w:rsidRPr="004D1E6F" w14:paraId="2E7A7374" w14:textId="77777777" w:rsidTr="002E2C37">
        <w:trPr>
          <w:trHeight w:val="70"/>
        </w:trPr>
        <w:tc>
          <w:tcPr>
            <w:tcW w:w="9015" w:type="dxa"/>
            <w:gridSpan w:val="2"/>
          </w:tcPr>
          <w:p w14:paraId="5806323C" w14:textId="77777777" w:rsidR="002D7080" w:rsidRPr="004D1E6F" w:rsidRDefault="002D7080" w:rsidP="004C79F1">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00C20623" w14:textId="2DD4F14D" w:rsidR="002D7080" w:rsidRPr="007533C6" w:rsidRDefault="002D7080" w:rsidP="004C79F1">
            <w:pPr>
              <w:ind w:left="720" w:hanging="720"/>
              <w:contextualSpacing/>
              <w:jc w:val="both"/>
              <w:rPr>
                <w:rFonts w:ascii="Times New Roman" w:eastAsia="Times New Roman" w:hAnsi="Times New Roman" w:cs="Times New Roman"/>
                <w:color w:val="000000" w:themeColor="text1"/>
                <w:sz w:val="20"/>
                <w:szCs w:val="20"/>
                <w:lang w:eastAsia="en-ZA"/>
              </w:rPr>
            </w:pPr>
            <w:r w:rsidRPr="004D1E6F">
              <w:rPr>
                <w:rFonts w:ascii="Times New Roman" w:eastAsia="Times New Roman" w:hAnsi="Times New Roman" w:cs="Times New Roman"/>
                <w:sz w:val="20"/>
                <w:szCs w:val="20"/>
                <w:lang w:eastAsia="en-ZA"/>
              </w:rPr>
              <w:t xml:space="preserve">Gherardi, F., Britton, J.R., Mavuti, K.M., Pacini, N., Grey, J., Tricarico, E., et al., 2011, ‘A review of allodiversity in Lake Naivasha, Kenya: Developing conservation actions to protect East African </w:t>
            </w:r>
            <w:r w:rsidRPr="007533C6">
              <w:rPr>
                <w:rFonts w:ascii="Times New Roman" w:eastAsia="Times New Roman" w:hAnsi="Times New Roman" w:cs="Times New Roman"/>
                <w:color w:val="000000" w:themeColor="text1"/>
                <w:sz w:val="20"/>
                <w:szCs w:val="20"/>
                <w:lang w:eastAsia="en-ZA"/>
              </w:rPr>
              <w:t xml:space="preserve">lakes from the negative impacts of alien species’, </w:t>
            </w:r>
            <w:r w:rsidRPr="007533C6">
              <w:rPr>
                <w:rFonts w:ascii="Times New Roman" w:eastAsia="Times New Roman" w:hAnsi="Times New Roman" w:cs="Times New Roman"/>
                <w:i/>
                <w:color w:val="000000" w:themeColor="text1"/>
                <w:sz w:val="20"/>
                <w:szCs w:val="20"/>
                <w:lang w:eastAsia="en-ZA"/>
              </w:rPr>
              <w:t xml:space="preserve">Biological </w:t>
            </w:r>
            <w:r w:rsidRPr="007533C6">
              <w:rPr>
                <w:rFonts w:ascii="Times New Roman" w:eastAsia="Times New Roman" w:hAnsi="Times New Roman" w:cs="Times New Roman"/>
                <w:i/>
                <w:iCs/>
                <w:color w:val="000000" w:themeColor="text1"/>
                <w:sz w:val="20"/>
                <w:szCs w:val="20"/>
                <w:lang w:eastAsia="en-ZA"/>
              </w:rPr>
              <w:t>Conservation</w:t>
            </w:r>
            <w:r w:rsidRPr="007533C6">
              <w:rPr>
                <w:rFonts w:ascii="Times New Roman" w:eastAsia="Times New Roman" w:hAnsi="Times New Roman" w:cs="Times New Roman"/>
                <w:color w:val="000000" w:themeColor="text1"/>
                <w:sz w:val="20"/>
                <w:szCs w:val="20"/>
                <w:lang w:eastAsia="en-ZA"/>
              </w:rPr>
              <w:t xml:space="preserve"> 144, 2585–2596. </w:t>
            </w:r>
            <w:hyperlink r:id="rId555" w:history="1">
              <w:r w:rsidR="00B84400" w:rsidRPr="00B84400">
                <w:rPr>
                  <w:rStyle w:val="Hyperlink"/>
                  <w:rFonts w:ascii="Times New Roman" w:eastAsia="Times New Roman" w:hAnsi="Times New Roman" w:cs="Times New Roman"/>
                  <w:sz w:val="20"/>
                  <w:szCs w:val="20"/>
                  <w:lang w:eastAsia="en-ZA"/>
                </w:rPr>
                <w:t>https://doi.org/10.1016/j.biocon.2011.07.020</w:t>
              </w:r>
            </w:hyperlink>
            <w:r w:rsidR="00B84400" w:rsidRPr="00B84400">
              <w:rPr>
                <w:rFonts w:ascii="Times New Roman" w:eastAsia="Times New Roman" w:hAnsi="Times New Roman" w:cs="Times New Roman"/>
                <w:color w:val="000000" w:themeColor="text1"/>
                <w:sz w:val="20"/>
                <w:szCs w:val="20"/>
                <w:lang w:eastAsia="en-ZA"/>
              </w:rPr>
              <w:t>.</w:t>
            </w:r>
          </w:p>
          <w:p w14:paraId="24C476EE" w14:textId="6F7C45CA" w:rsidR="00B84400" w:rsidRPr="00B84400" w:rsidRDefault="002D7080" w:rsidP="004C79F1">
            <w:pPr>
              <w:ind w:left="720" w:hanging="720"/>
              <w:contextualSpacing/>
              <w:jc w:val="both"/>
              <w:rPr>
                <w:rFonts w:ascii="Times New Roman" w:eastAsia="Times New Roman" w:hAnsi="Times New Roman" w:cs="Times New Roman"/>
                <w:bCs/>
                <w:color w:val="000000" w:themeColor="text1"/>
                <w:sz w:val="20"/>
                <w:szCs w:val="20"/>
                <w:lang w:eastAsia="en-ZA"/>
              </w:rPr>
            </w:pPr>
            <w:r w:rsidRPr="007533C6">
              <w:rPr>
                <w:rFonts w:ascii="Times New Roman" w:hAnsi="Times New Roman" w:cs="Times New Roman"/>
                <w:color w:val="000000" w:themeColor="text1"/>
                <w:sz w:val="20"/>
                <w:szCs w:val="20"/>
                <w:shd w:val="clear" w:color="auto" w:fill="FFFFFF"/>
              </w:rPr>
              <w:t xml:space="preserve">Lodge, D.M., Deines, A., Gherardi, F., Yeo, D.C., Arcella, T., Baldridge, A.K., et al., </w:t>
            </w:r>
            <w:r w:rsidRPr="007533C6">
              <w:rPr>
                <w:rFonts w:ascii="Times New Roman" w:eastAsia="Times New Roman" w:hAnsi="Times New Roman" w:cs="Times New Roman"/>
                <w:color w:val="000000" w:themeColor="text1"/>
                <w:sz w:val="20"/>
                <w:szCs w:val="20"/>
                <w:lang w:eastAsia="en-ZA"/>
              </w:rPr>
              <w:t xml:space="preserve">‘Global introductions of crayfishes: Evaluating the impact of species invasions on ecosystem services’, </w:t>
            </w:r>
            <w:r w:rsidRPr="007533C6">
              <w:rPr>
                <w:rFonts w:ascii="Times New Roman" w:eastAsia="Times New Roman" w:hAnsi="Times New Roman" w:cs="Times New Roman"/>
                <w:i/>
                <w:color w:val="000000" w:themeColor="text1"/>
                <w:sz w:val="20"/>
                <w:szCs w:val="20"/>
                <w:lang w:eastAsia="en-ZA"/>
              </w:rPr>
              <w:t>Annual Review of Ecology Evolution Systematics</w:t>
            </w:r>
            <w:r w:rsidRPr="007533C6">
              <w:rPr>
                <w:rFonts w:ascii="Times New Roman" w:eastAsia="Times New Roman" w:hAnsi="Times New Roman" w:cs="Times New Roman"/>
                <w:color w:val="000000" w:themeColor="text1"/>
                <w:sz w:val="20"/>
                <w:szCs w:val="20"/>
                <w:lang w:eastAsia="en-ZA"/>
              </w:rPr>
              <w:t xml:space="preserve"> 43, 449–472. </w:t>
            </w:r>
            <w:r w:rsidR="00B84400" w:rsidRPr="00D66918">
              <w:rPr>
                <w:rFonts w:ascii="Times New Roman" w:eastAsia="Times New Roman" w:hAnsi="Times New Roman" w:cs="Times New Roman"/>
                <w:bCs/>
                <w:color w:val="000000" w:themeColor="text1"/>
                <w:sz w:val="20"/>
                <w:szCs w:val="20"/>
                <w:lang w:eastAsia="en-ZA"/>
              </w:rPr>
              <w:t>https://doi.org/10.1146/annurev-ecolsys-111511-103919</w:t>
            </w:r>
            <w:r w:rsidR="0096133C">
              <w:rPr>
                <w:rFonts w:ascii="Times New Roman" w:eastAsia="Times New Roman" w:hAnsi="Times New Roman" w:cs="Times New Roman"/>
                <w:bCs/>
                <w:color w:val="000000" w:themeColor="text1"/>
                <w:sz w:val="20"/>
                <w:szCs w:val="20"/>
                <w:lang w:eastAsia="en-ZA"/>
              </w:rPr>
              <w:t>.</w:t>
            </w:r>
          </w:p>
          <w:p w14:paraId="697AFE4B" w14:textId="6A88BE1E" w:rsidR="002D7080" w:rsidRPr="004D1E6F" w:rsidRDefault="002D7080" w:rsidP="004C79F1">
            <w:pPr>
              <w:ind w:left="720" w:hanging="720"/>
              <w:contextualSpacing/>
              <w:jc w:val="both"/>
              <w:rPr>
                <w:rFonts w:ascii="Times New Roman" w:eastAsia="Times New Roman" w:hAnsi="Times New Roman" w:cs="Times New Roman"/>
                <w:bCs/>
                <w:sz w:val="20"/>
                <w:szCs w:val="20"/>
                <w:lang w:eastAsia="en-ZA"/>
              </w:rPr>
            </w:pPr>
            <w:r w:rsidRPr="007533C6">
              <w:rPr>
                <w:rFonts w:ascii="Times New Roman" w:hAnsi="Times New Roman" w:cs="Times New Roman"/>
                <w:color w:val="000000" w:themeColor="text1"/>
                <w:sz w:val="20"/>
                <w:szCs w:val="20"/>
                <w:shd w:val="clear" w:color="auto" w:fill="FFFFFF"/>
              </w:rPr>
              <w:t xml:space="preserve">Souty-Grosset, C., Anastacio, P.M., Aquiloni, L., Banha, F., Choquer, J., Chucholl, C., et al., </w:t>
            </w:r>
            <w:r w:rsidRPr="007533C6">
              <w:rPr>
                <w:rFonts w:ascii="Times New Roman" w:eastAsia="Times New Roman" w:hAnsi="Times New Roman" w:cs="Times New Roman"/>
                <w:bCs/>
                <w:color w:val="000000" w:themeColor="text1"/>
                <w:sz w:val="20"/>
                <w:szCs w:val="20"/>
                <w:lang w:eastAsia="en-ZA"/>
              </w:rPr>
              <w:t xml:space="preserve">2016, ‘The red swamp crayfish </w:t>
            </w:r>
            <w:r w:rsidRPr="007533C6">
              <w:rPr>
                <w:rFonts w:ascii="Times New Roman" w:eastAsia="Times New Roman" w:hAnsi="Times New Roman" w:cs="Times New Roman"/>
                <w:bCs/>
                <w:i/>
                <w:color w:val="000000" w:themeColor="text1"/>
                <w:sz w:val="20"/>
                <w:szCs w:val="20"/>
                <w:lang w:eastAsia="en-ZA"/>
              </w:rPr>
              <w:t>Procambarus clarkii</w:t>
            </w:r>
            <w:r w:rsidRPr="007533C6">
              <w:rPr>
                <w:rFonts w:ascii="Times New Roman" w:eastAsia="Times New Roman" w:hAnsi="Times New Roman" w:cs="Times New Roman"/>
                <w:bCs/>
                <w:color w:val="000000" w:themeColor="text1"/>
                <w:sz w:val="20"/>
                <w:szCs w:val="20"/>
                <w:lang w:eastAsia="en-ZA"/>
              </w:rPr>
              <w:t xml:space="preserve"> in Europe: Impacts on aquatic ecosystems and human well-being’, </w:t>
            </w:r>
            <w:r w:rsidRPr="007533C6">
              <w:rPr>
                <w:rFonts w:ascii="Times New Roman" w:eastAsia="Times New Roman" w:hAnsi="Times New Roman" w:cs="Times New Roman"/>
                <w:bCs/>
                <w:i/>
                <w:color w:val="000000" w:themeColor="text1"/>
                <w:sz w:val="20"/>
                <w:szCs w:val="20"/>
                <w:lang w:eastAsia="en-ZA"/>
              </w:rPr>
              <w:t>Limnologica</w:t>
            </w:r>
            <w:r w:rsidRPr="007533C6">
              <w:rPr>
                <w:rFonts w:ascii="Times New Roman" w:eastAsia="Times New Roman" w:hAnsi="Times New Roman" w:cs="Times New Roman"/>
                <w:bCs/>
                <w:color w:val="000000" w:themeColor="text1"/>
                <w:sz w:val="20"/>
                <w:szCs w:val="20"/>
                <w:lang w:eastAsia="en-ZA"/>
              </w:rPr>
              <w:t xml:space="preserve"> 58, 78–93. </w:t>
            </w:r>
            <w:hyperlink r:id="rId556" w:history="1">
              <w:r w:rsidR="00B84400" w:rsidRPr="00B84400">
                <w:rPr>
                  <w:rStyle w:val="Hyperlink"/>
                  <w:rFonts w:ascii="Times New Roman" w:eastAsia="Times New Roman" w:hAnsi="Times New Roman" w:cs="Times New Roman"/>
                  <w:bCs/>
                  <w:sz w:val="20"/>
                  <w:szCs w:val="20"/>
                  <w:lang w:eastAsia="en-ZA"/>
                </w:rPr>
                <w:t>https://doi.org/10.1016/j.limno.2016.03.003</w:t>
              </w:r>
            </w:hyperlink>
            <w:r w:rsidRPr="004D1E6F">
              <w:rPr>
                <w:rFonts w:ascii="Times New Roman" w:eastAsia="Times New Roman" w:hAnsi="Times New Roman" w:cs="Times New Roman"/>
                <w:bCs/>
                <w:sz w:val="20"/>
                <w:szCs w:val="20"/>
                <w:lang w:eastAsia="en-ZA"/>
              </w:rPr>
              <w:t>.</w:t>
            </w:r>
          </w:p>
        </w:tc>
      </w:tr>
      <w:tr w:rsidR="002D7080" w:rsidRPr="004D1E6F" w14:paraId="2123E994" w14:textId="77777777" w:rsidTr="002E2C37">
        <w:tc>
          <w:tcPr>
            <w:tcW w:w="9015" w:type="dxa"/>
            <w:gridSpan w:val="2"/>
            <w:shd w:val="clear" w:color="auto" w:fill="F2F2F2" w:themeFill="background1" w:themeFillShade="F2"/>
          </w:tcPr>
          <w:p w14:paraId="2AABF006" w14:textId="77777777" w:rsidR="002D7080" w:rsidRPr="004D1E6F" w:rsidRDefault="002D7080" w:rsidP="004C79F1">
            <w:pPr>
              <w:jc w:val="both"/>
              <w:rPr>
                <w:rFonts w:ascii="Times New Roman" w:hAnsi="Times New Roman" w:cs="Times New Roman"/>
              </w:rPr>
            </w:pPr>
            <w:r w:rsidRPr="004D1E6F">
              <w:rPr>
                <w:rFonts w:ascii="Times New Roman" w:eastAsia="Times New Roman" w:hAnsi="Times New Roman" w:cs="Times New Roman"/>
                <w:b/>
                <w:sz w:val="20"/>
                <w:szCs w:val="20"/>
                <w:lang w:eastAsia="en-ZA"/>
              </w:rPr>
              <w:t>CON1g: Bio-fouling or other direct physical disturbance</w:t>
            </w:r>
          </w:p>
        </w:tc>
      </w:tr>
      <w:tr w:rsidR="002D7080" w:rsidRPr="004D1E6F" w14:paraId="03E0E257" w14:textId="77777777" w:rsidTr="002E2C37">
        <w:tc>
          <w:tcPr>
            <w:tcW w:w="5948" w:type="dxa"/>
          </w:tcPr>
          <w:p w14:paraId="79C48C9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4531F3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7436C591" w14:textId="77777777" w:rsidTr="002E2C37">
        <w:trPr>
          <w:trHeight w:val="70"/>
        </w:trPr>
        <w:tc>
          <w:tcPr>
            <w:tcW w:w="9015" w:type="dxa"/>
            <w:gridSpan w:val="2"/>
          </w:tcPr>
          <w:p w14:paraId="6557CBE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47D128CC" w14:textId="77777777" w:rsidTr="002E2C37">
        <w:trPr>
          <w:trHeight w:val="70"/>
        </w:trPr>
        <w:tc>
          <w:tcPr>
            <w:tcW w:w="9015" w:type="dxa"/>
            <w:gridSpan w:val="2"/>
          </w:tcPr>
          <w:p w14:paraId="74464BA7"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13656E43" w14:textId="77777777" w:rsidTr="002E2C37">
        <w:tc>
          <w:tcPr>
            <w:tcW w:w="9015" w:type="dxa"/>
            <w:gridSpan w:val="2"/>
            <w:shd w:val="clear" w:color="auto" w:fill="F2F2F2" w:themeFill="background1" w:themeFillShade="F2"/>
          </w:tcPr>
          <w:p w14:paraId="3E16FFF0"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CON1h: Grazing/herbivory/browsing</w:t>
            </w:r>
          </w:p>
        </w:tc>
      </w:tr>
      <w:tr w:rsidR="002D7080" w:rsidRPr="004D1E6F" w14:paraId="719ED81F" w14:textId="77777777" w:rsidTr="002E2C37">
        <w:tc>
          <w:tcPr>
            <w:tcW w:w="5948" w:type="dxa"/>
          </w:tcPr>
          <w:p w14:paraId="3543AC2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Moderate (MO)</w:t>
            </w:r>
          </w:p>
        </w:tc>
        <w:tc>
          <w:tcPr>
            <w:tcW w:w="3067" w:type="dxa"/>
          </w:tcPr>
          <w:p w14:paraId="0030F7C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307D7214" w14:textId="77777777" w:rsidTr="002E2C37">
        <w:trPr>
          <w:trHeight w:val="70"/>
        </w:trPr>
        <w:tc>
          <w:tcPr>
            <w:tcW w:w="9015" w:type="dxa"/>
            <w:gridSpan w:val="2"/>
          </w:tcPr>
          <w:p w14:paraId="75D6120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Grazing by </w:t>
            </w:r>
            <w:r w:rsidRPr="004D1E6F">
              <w:rPr>
                <w:rFonts w:ascii="Times New Roman" w:eastAsia="Times New Roman" w:hAnsi="Times New Roman" w:cs="Times New Roman"/>
                <w:i/>
                <w:sz w:val="20"/>
                <w:szCs w:val="20"/>
                <w:lang w:eastAsia="en-ZA"/>
              </w:rPr>
              <w:t>P. clarkii</w:t>
            </w:r>
            <w:r w:rsidRPr="004D1E6F">
              <w:rPr>
                <w:rFonts w:ascii="Times New Roman" w:eastAsia="Times New Roman" w:hAnsi="Times New Roman" w:cs="Times New Roman"/>
                <w:sz w:val="20"/>
                <w:szCs w:val="20"/>
                <w:lang w:eastAsia="en-ZA"/>
              </w:rPr>
              <w:t xml:space="preserve"> leads to habitat loss and modification through the removal of macrophytes. Habitat loss can lead to a decline in populations of species that utilise the macrophyte stands as a food source, nesting sites, and as refugia from predation (Rosenthal et al. 2005). </w:t>
            </w:r>
            <w:r w:rsidRPr="004D1E6F">
              <w:rPr>
                <w:rFonts w:ascii="Times New Roman" w:eastAsia="Times New Roman" w:hAnsi="Times New Roman" w:cs="Times New Roman"/>
                <w:i/>
                <w:sz w:val="20"/>
                <w:szCs w:val="20"/>
                <w:lang w:eastAsia="en-ZA"/>
              </w:rPr>
              <w:t xml:space="preserve">Procambarus clarkii </w:t>
            </w:r>
            <w:r w:rsidRPr="004D1E6F">
              <w:rPr>
                <w:rFonts w:ascii="Times New Roman" w:eastAsia="Times New Roman" w:hAnsi="Times New Roman" w:cs="Times New Roman"/>
                <w:sz w:val="20"/>
                <w:szCs w:val="20"/>
                <w:lang w:eastAsia="en-ZA"/>
              </w:rPr>
              <w:t xml:space="preserve">leads to changes to </w:t>
            </w:r>
            <w:r w:rsidRPr="004D1E6F">
              <w:rPr>
                <w:rFonts w:ascii="Times New Roman" w:eastAsia="Times New Roman" w:hAnsi="Times New Roman" w:cs="Times New Roman"/>
                <w:sz w:val="20"/>
                <w:szCs w:val="20"/>
                <w:lang w:eastAsia="en-ZA"/>
              </w:rPr>
              <w:lastRenderedPageBreak/>
              <w:t xml:space="preserve">community composition through trophic cascades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"id" : "ITEM-2", "itemData" : { "DOI" : "10.1007/978-1-4020-6029-8_28", "ISBN" : "978-1-4020-6029-8", "author" : [ { "dropping-particle" : "", "family" : "Gherardi", "given" : "Francesca", "non-dropping-particle" : "", "parse-names" : false, "suffix" : "" } ], "container-title" : "Biological invaders in inland waters: Profiles, \u2026", "id" : "ITEM-2", "issued" : { "date-parts" : [ [ "2007" ] ] }, "page" : "507-542", "title" : "Understanding the impact of invasive crayfish", "type" : "article-journal" }, "uris" : [ "http://www.mendeley.com/documents/?uuid=879a3355-c9ec-4aa2-a111-dbd6064fa273" ] } ], "mendeley" : { "formattedCitation" : "(Gherardi 2007b, Souty-grosset et al. 2016)", "manualFormatting" : "(Gherardi and Aquistapace 2007, Souty-grosset et al. 2016)", "plainTextFormattedCitation" : "(Gherardi 2007b, Souty-grosset et al. 2016)", "previouslyFormattedCitation" : "(Gherardi 2007b, Souty-grosset et al. 2016)"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(Gherardi &amp; Aquistapace 2007; Souty-Grosset et al. 2016)</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For example, in Lake Chozas (northwest Spain), grazing by </w:t>
            </w:r>
            <w:r w:rsidRPr="004D1E6F">
              <w:rPr>
                <w:rFonts w:ascii="Times New Roman" w:eastAsia="Times New Roman" w:hAnsi="Times New Roman" w:cs="Times New Roman"/>
                <w:i/>
                <w:sz w:val="20"/>
                <w:szCs w:val="20"/>
                <w:lang w:eastAsia="en-ZA"/>
              </w:rPr>
              <w:t>P. clarkii</w:t>
            </w:r>
            <w:r w:rsidRPr="004D1E6F">
              <w:rPr>
                <w:rFonts w:ascii="Times New Roman" w:eastAsia="Times New Roman" w:hAnsi="Times New Roman" w:cs="Times New Roman"/>
                <w:sz w:val="20"/>
                <w:szCs w:val="20"/>
                <w:lang w:eastAsia="en-ZA"/>
              </w:rPr>
              <w:t xml:space="preserve"> caused a reduction in macrophyte communities and this impact cascaded up the food chain with declines in invertebrates, amphibians, and waterfowl (Rodriguez et al. 2003). Similar results were also observed in Lake Naivasha in Kenya (Smart et al. 2002). </w:t>
            </w:r>
          </w:p>
        </w:tc>
      </w:tr>
      <w:tr w:rsidR="002D7080" w:rsidRPr="004D1E6F" w14:paraId="6DCCA25E" w14:textId="77777777" w:rsidTr="002E2C37">
        <w:trPr>
          <w:trHeight w:val="70"/>
        </w:trPr>
        <w:tc>
          <w:tcPr>
            <w:tcW w:w="9015" w:type="dxa"/>
            <w:gridSpan w:val="2"/>
          </w:tcPr>
          <w:p w14:paraId="578E2847" w14:textId="77777777" w:rsidR="002D7080" w:rsidRPr="007533C6" w:rsidRDefault="002D7080" w:rsidP="002E2C37">
            <w:pPr>
              <w:contextualSpacing/>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lastRenderedPageBreak/>
              <w:t>References:</w:t>
            </w:r>
          </w:p>
          <w:p w14:paraId="03AC22C8" w14:textId="1AF26269" w:rsidR="002D7080" w:rsidRPr="007533C6" w:rsidRDefault="002D7080" w:rsidP="004C79F1">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Gherardi, F. &amp; Acquistapace P., 2007, ‘Invasive crayfish in Europe: The impact of </w:t>
            </w:r>
            <w:r w:rsidRPr="007533C6">
              <w:rPr>
                <w:rFonts w:ascii="Times New Roman" w:eastAsia="Times New Roman" w:hAnsi="Times New Roman" w:cs="Times New Roman"/>
                <w:i/>
                <w:iCs/>
                <w:color w:val="000000" w:themeColor="text1"/>
                <w:sz w:val="20"/>
                <w:szCs w:val="20"/>
                <w:lang w:eastAsia="en-ZA"/>
              </w:rPr>
              <w:t xml:space="preserve">Procambarus clarkii </w:t>
            </w:r>
            <w:r w:rsidRPr="007533C6">
              <w:rPr>
                <w:rFonts w:ascii="Times New Roman" w:eastAsia="Times New Roman" w:hAnsi="Times New Roman" w:cs="Times New Roman"/>
                <w:color w:val="000000" w:themeColor="text1"/>
                <w:sz w:val="20"/>
                <w:szCs w:val="20"/>
                <w:lang w:eastAsia="en-ZA"/>
              </w:rPr>
              <w:t xml:space="preserve">on the littoral community of a Mediterranean lake’, </w:t>
            </w:r>
            <w:r w:rsidRPr="007533C6">
              <w:rPr>
                <w:rFonts w:ascii="Times New Roman" w:eastAsia="Times New Roman" w:hAnsi="Times New Roman" w:cs="Times New Roman"/>
                <w:i/>
                <w:iCs/>
                <w:color w:val="000000" w:themeColor="text1"/>
                <w:sz w:val="20"/>
                <w:szCs w:val="20"/>
                <w:lang w:eastAsia="en-ZA"/>
              </w:rPr>
              <w:t xml:space="preserve">Freshwater Biology </w:t>
            </w:r>
            <w:r w:rsidRPr="007533C6">
              <w:rPr>
                <w:rFonts w:ascii="Times New Roman" w:eastAsia="Times New Roman" w:hAnsi="Times New Roman" w:cs="Times New Roman"/>
                <w:color w:val="000000" w:themeColor="text1"/>
                <w:sz w:val="20"/>
                <w:szCs w:val="20"/>
                <w:lang w:eastAsia="en-ZA"/>
              </w:rPr>
              <w:t xml:space="preserve">52, 1249–59. </w:t>
            </w:r>
            <w:hyperlink r:id="rId557" w:history="1">
              <w:r w:rsidR="00B84400" w:rsidRPr="000E56EC">
                <w:rPr>
                  <w:rStyle w:val="Hyperlink"/>
                  <w:rFonts w:ascii="Times New Roman" w:eastAsia="Times New Roman" w:hAnsi="Times New Roman" w:cs="Times New Roman"/>
                  <w:sz w:val="20"/>
                  <w:szCs w:val="20"/>
                  <w:lang w:eastAsia="en-ZA"/>
                </w:rPr>
                <w:t>https://doi.org/10.1111/j.1365-2427.2007.01760.x</w:t>
              </w:r>
            </w:hyperlink>
            <w:r w:rsidRPr="007533C6">
              <w:rPr>
                <w:rFonts w:ascii="Times New Roman" w:eastAsia="Times New Roman" w:hAnsi="Times New Roman" w:cs="Times New Roman"/>
                <w:color w:val="000000" w:themeColor="text1"/>
                <w:sz w:val="20"/>
                <w:szCs w:val="20"/>
                <w:lang w:eastAsia="en-ZA"/>
              </w:rPr>
              <w:t>.</w:t>
            </w:r>
          </w:p>
          <w:p w14:paraId="7DBF1736" w14:textId="5FB623FE" w:rsidR="002D7080" w:rsidRPr="007533C6" w:rsidRDefault="002D7080" w:rsidP="004C79F1">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Rodríguez, C.F., Bécares, E. &amp; Fernández-Aláez, M., 2003, ‘Shift from clear to turbid phase in Lake Chozas (NW Spain) due to the introduction of American red swamp crayfish (</w:t>
            </w:r>
            <w:r w:rsidRPr="007533C6">
              <w:rPr>
                <w:rFonts w:ascii="Times New Roman" w:eastAsia="Times New Roman" w:hAnsi="Times New Roman" w:cs="Times New Roman"/>
                <w:i/>
                <w:iCs/>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w:t>
            </w:r>
            <w:r w:rsidRPr="007533C6">
              <w:rPr>
                <w:rFonts w:ascii="Times New Roman" w:eastAsia="Times New Roman" w:hAnsi="Times New Roman" w:cs="Times New Roman"/>
                <w:i/>
                <w:iCs/>
                <w:color w:val="000000" w:themeColor="text1"/>
                <w:sz w:val="20"/>
                <w:szCs w:val="20"/>
                <w:lang w:eastAsia="en-ZA"/>
              </w:rPr>
              <w:t xml:space="preserve">Hydrobiologia </w:t>
            </w:r>
            <w:r w:rsidRPr="007533C6">
              <w:rPr>
                <w:rFonts w:ascii="Times New Roman" w:eastAsia="Times New Roman" w:hAnsi="Times New Roman" w:cs="Times New Roman"/>
                <w:color w:val="000000" w:themeColor="text1"/>
                <w:sz w:val="20"/>
                <w:szCs w:val="20"/>
                <w:lang w:eastAsia="en-ZA"/>
              </w:rPr>
              <w:t>506, 421–26</w:t>
            </w:r>
            <w:r w:rsidR="00B84400">
              <w:rPr>
                <w:rFonts w:ascii="Times New Roman" w:eastAsia="Times New Roman" w:hAnsi="Times New Roman" w:cs="Times New Roman"/>
                <w:color w:val="000000" w:themeColor="text1"/>
                <w:sz w:val="20"/>
                <w:szCs w:val="20"/>
                <w:lang w:eastAsia="en-ZA"/>
              </w:rPr>
              <w:t xml:space="preserve">, </w:t>
            </w:r>
            <w:hyperlink r:id="rId558" w:history="1">
              <w:r w:rsidR="00B84400" w:rsidRPr="00B84400">
                <w:rPr>
                  <w:rStyle w:val="Hyperlink"/>
                  <w:rFonts w:ascii="Times New Roman" w:eastAsia="Times New Roman" w:hAnsi="Times New Roman" w:cs="Times New Roman"/>
                  <w:sz w:val="20"/>
                  <w:szCs w:val="20"/>
                  <w:lang w:eastAsia="en-ZA"/>
                </w:rPr>
                <w:t>https://doi.org/10.1023/B:HYDR.0000008626.07042.87</w:t>
              </w:r>
            </w:hyperlink>
            <w:r w:rsidRPr="007533C6">
              <w:rPr>
                <w:rFonts w:ascii="Times New Roman" w:eastAsia="Times New Roman" w:hAnsi="Times New Roman" w:cs="Times New Roman"/>
                <w:color w:val="000000" w:themeColor="text1"/>
                <w:sz w:val="20"/>
                <w:szCs w:val="20"/>
                <w:lang w:eastAsia="en-ZA"/>
              </w:rPr>
              <w:t>.</w:t>
            </w:r>
          </w:p>
          <w:p w14:paraId="15AEFF8B" w14:textId="2ABCFD4C" w:rsidR="00B84400" w:rsidRPr="00B84400" w:rsidRDefault="00B84400" w:rsidP="004C79F1">
            <w:pPr>
              <w:ind w:left="720" w:hanging="720"/>
              <w:contextualSpacing/>
              <w:jc w:val="both"/>
              <w:rPr>
                <w:rFonts w:ascii="Times New Roman" w:eastAsia="Times New Roman" w:hAnsi="Times New Roman" w:cs="Times New Roman"/>
                <w:color w:val="000000" w:themeColor="text1"/>
                <w:sz w:val="20"/>
                <w:szCs w:val="20"/>
                <w:lang w:eastAsia="en-ZA"/>
              </w:rPr>
            </w:pPr>
            <w:r w:rsidRPr="00B84400">
              <w:rPr>
                <w:rFonts w:ascii="Times New Roman" w:eastAsia="Times New Roman" w:hAnsi="Times New Roman" w:cs="Times New Roman"/>
                <w:color w:val="000000" w:themeColor="text1"/>
                <w:sz w:val="20"/>
                <w:szCs w:val="20"/>
                <w:lang w:eastAsia="en-ZA"/>
              </w:rPr>
              <w:t>Rosenthal, S.K., Lodge, D.M., Mavuti, K.M., Muohi, W., Ochieng, P., Mungai, B.N. &amp; Mkoji, G.M., 2005, ‘Comparing macrophyte herbivory by introduced Louisiana crayfish (</w:t>
            </w:r>
            <w:r w:rsidRPr="00B84400">
              <w:rPr>
                <w:rFonts w:ascii="Times New Roman" w:eastAsia="Times New Roman" w:hAnsi="Times New Roman" w:cs="Times New Roman"/>
                <w:i/>
                <w:iCs/>
                <w:color w:val="000000" w:themeColor="text1"/>
                <w:sz w:val="20"/>
                <w:szCs w:val="20"/>
                <w:lang w:eastAsia="en-ZA"/>
              </w:rPr>
              <w:t>Procambarus clarkii</w:t>
            </w:r>
            <w:r w:rsidRPr="00B84400">
              <w:rPr>
                <w:rFonts w:ascii="Times New Roman" w:eastAsia="Times New Roman" w:hAnsi="Times New Roman" w:cs="Times New Roman"/>
                <w:color w:val="000000" w:themeColor="text1"/>
                <w:sz w:val="20"/>
                <w:szCs w:val="20"/>
                <w:lang w:eastAsia="en-ZA"/>
              </w:rPr>
              <w:t>) (Crustacea: Cambaridea) and native Dytiscid beetles (</w:t>
            </w:r>
            <w:r w:rsidRPr="00B84400">
              <w:rPr>
                <w:rFonts w:ascii="Times New Roman" w:eastAsia="Times New Roman" w:hAnsi="Times New Roman" w:cs="Times New Roman"/>
                <w:i/>
                <w:iCs/>
                <w:color w:val="000000" w:themeColor="text1"/>
                <w:sz w:val="20"/>
                <w:szCs w:val="20"/>
                <w:lang w:eastAsia="en-ZA"/>
              </w:rPr>
              <w:t>Cybister tripunctatus</w:t>
            </w:r>
            <w:r w:rsidRPr="00B84400">
              <w:rPr>
                <w:rFonts w:ascii="Times New Roman" w:eastAsia="Times New Roman" w:hAnsi="Times New Roman" w:cs="Times New Roman"/>
                <w:color w:val="000000" w:themeColor="text1"/>
                <w:sz w:val="20"/>
                <w:szCs w:val="20"/>
                <w:lang w:eastAsia="en-ZA"/>
              </w:rPr>
              <w:t xml:space="preserve">) in Kenya, </w:t>
            </w:r>
            <w:r w:rsidRPr="00B84400">
              <w:rPr>
                <w:rFonts w:ascii="Times New Roman" w:eastAsia="Times New Roman" w:hAnsi="Times New Roman" w:cs="Times New Roman"/>
                <w:i/>
                <w:iCs/>
                <w:color w:val="000000" w:themeColor="text1"/>
                <w:sz w:val="20"/>
                <w:szCs w:val="20"/>
                <w:lang w:eastAsia="en-ZA"/>
              </w:rPr>
              <w:t>African Journal of Aquatic Science</w:t>
            </w:r>
            <w:r w:rsidRPr="00B84400">
              <w:rPr>
                <w:rFonts w:ascii="Times New Roman" w:eastAsia="Times New Roman" w:hAnsi="Times New Roman" w:cs="Times New Roman"/>
                <w:color w:val="000000" w:themeColor="text1"/>
                <w:sz w:val="20"/>
                <w:szCs w:val="20"/>
                <w:lang w:eastAsia="en-ZA"/>
              </w:rPr>
              <w:t>, 30, 157–162,  https://doi.org/10.2989/16085910509503850</w:t>
            </w:r>
            <w:r w:rsidR="0096133C">
              <w:rPr>
                <w:rFonts w:ascii="Times New Roman" w:eastAsia="Times New Roman" w:hAnsi="Times New Roman" w:cs="Times New Roman"/>
                <w:color w:val="000000" w:themeColor="text1"/>
                <w:sz w:val="20"/>
                <w:szCs w:val="20"/>
                <w:lang w:eastAsia="en-ZA"/>
              </w:rPr>
              <w:t>.</w:t>
            </w:r>
          </w:p>
          <w:p w14:paraId="090BB111" w14:textId="560596A8" w:rsidR="00B84400" w:rsidRDefault="002D7080" w:rsidP="004C79F1">
            <w:pPr>
              <w:ind w:left="720" w:hanging="720"/>
              <w:contextualSpacing/>
              <w:jc w:val="both"/>
              <w:rPr>
                <w:rFonts w:ascii="Times New Roman" w:hAnsi="Times New Roman" w:cs="Times New Roman"/>
                <w:color w:val="000000" w:themeColor="text1"/>
                <w:sz w:val="20"/>
                <w:szCs w:val="20"/>
                <w:shd w:val="clear" w:color="auto" w:fill="FFFFFF"/>
              </w:rPr>
            </w:pPr>
            <w:r w:rsidRPr="007533C6">
              <w:rPr>
                <w:rFonts w:ascii="Times New Roman" w:eastAsia="Times New Roman" w:hAnsi="Times New Roman" w:cs="Times New Roman"/>
                <w:color w:val="000000" w:themeColor="text1"/>
                <w:sz w:val="20"/>
                <w:szCs w:val="20"/>
                <w:lang w:eastAsia="en-ZA"/>
              </w:rPr>
              <w:t xml:space="preserve">Smart, A.C., Harper, D.M., Malaisse, F., Schmitz, S., Coley, S. &amp; de Beauregard, A-C.G., 2002, ‘Feeding of the exotic Louisiana red swamp crayfish, </w:t>
            </w:r>
            <w:r w:rsidRPr="007533C6">
              <w:rPr>
                <w:rFonts w:ascii="Times New Roman" w:eastAsia="Times New Roman" w:hAnsi="Times New Roman" w:cs="Times New Roman"/>
                <w:i/>
                <w:iCs/>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(Crustacea, Decapoda), in an African tropical lake: Lake Naivasha, Kenya’, </w:t>
            </w:r>
            <w:r w:rsidRPr="007533C6">
              <w:rPr>
                <w:rFonts w:ascii="Times New Roman" w:eastAsia="Times New Roman" w:hAnsi="Times New Roman" w:cs="Times New Roman"/>
                <w:i/>
                <w:iCs/>
                <w:color w:val="000000" w:themeColor="text1"/>
                <w:sz w:val="20"/>
                <w:szCs w:val="20"/>
                <w:lang w:eastAsia="en-ZA"/>
              </w:rPr>
              <w:t xml:space="preserve">Hydrobiologia </w:t>
            </w:r>
            <w:r w:rsidRPr="007533C6">
              <w:rPr>
                <w:rFonts w:ascii="Times New Roman" w:eastAsia="Times New Roman" w:hAnsi="Times New Roman" w:cs="Times New Roman"/>
                <w:color w:val="000000" w:themeColor="text1"/>
                <w:sz w:val="20"/>
                <w:szCs w:val="20"/>
                <w:lang w:eastAsia="en-ZA"/>
              </w:rPr>
              <w:t xml:space="preserve">488, 129–142. </w:t>
            </w:r>
            <w:hyperlink r:id="rId559" w:history="1">
              <w:r w:rsidR="00B84400" w:rsidRPr="00B84400">
                <w:rPr>
                  <w:rStyle w:val="Hyperlink"/>
                  <w:rFonts w:ascii="Times New Roman" w:eastAsia="Times New Roman" w:hAnsi="Times New Roman" w:cs="Times New Roman"/>
                  <w:sz w:val="20"/>
                  <w:szCs w:val="20"/>
                  <w:lang w:eastAsia="en-ZA"/>
                </w:rPr>
                <w:t>https://doi.org/10.1023/A:1023326530914</w:t>
              </w:r>
            </w:hyperlink>
            <w:r w:rsidR="00B84400" w:rsidRPr="00B84400">
              <w:rPr>
                <w:rFonts w:ascii="Times New Roman" w:eastAsia="Times New Roman" w:hAnsi="Times New Roman" w:cs="Times New Roman"/>
                <w:color w:val="000000" w:themeColor="text1"/>
                <w:sz w:val="20"/>
                <w:szCs w:val="20"/>
                <w:lang w:eastAsia="en-ZA"/>
              </w:rPr>
              <w:t>.</w:t>
            </w:r>
          </w:p>
          <w:p w14:paraId="1DB6183D" w14:textId="2F718C37" w:rsidR="002D7080" w:rsidRPr="007533C6" w:rsidRDefault="002D7080" w:rsidP="004C79F1">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hAnsi="Times New Roman" w:cs="Times New Roman"/>
                <w:color w:val="000000" w:themeColor="text1"/>
                <w:sz w:val="20"/>
                <w:szCs w:val="20"/>
                <w:shd w:val="clear" w:color="auto" w:fill="FFFFFF"/>
              </w:rPr>
              <w:t xml:space="preserve">Souty-Grosset, C., Anastacio, P.M., Aquiloni, L., Banha, F., Choquer, J., Chucholl, C., et al., </w:t>
            </w:r>
            <w:r w:rsidRPr="007533C6">
              <w:rPr>
                <w:rFonts w:ascii="Times New Roman" w:eastAsia="Times New Roman" w:hAnsi="Times New Roman" w:cs="Times New Roman"/>
                <w:color w:val="000000" w:themeColor="text1"/>
                <w:sz w:val="20"/>
                <w:szCs w:val="20"/>
                <w:lang w:eastAsia="en-ZA"/>
              </w:rPr>
              <w:t xml:space="preserve">2016, ‘The red swamp crayfish </w:t>
            </w: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in Europe: Impacts on aquatic ecosystems and human well-being’, </w:t>
            </w:r>
            <w:r w:rsidRPr="007533C6">
              <w:rPr>
                <w:rFonts w:ascii="Times New Roman" w:eastAsia="Times New Roman" w:hAnsi="Times New Roman" w:cs="Times New Roman"/>
                <w:i/>
                <w:color w:val="000000" w:themeColor="text1"/>
                <w:sz w:val="20"/>
                <w:szCs w:val="20"/>
                <w:lang w:eastAsia="en-ZA"/>
              </w:rPr>
              <w:t>Limnologica</w:t>
            </w:r>
            <w:r w:rsidRPr="007533C6">
              <w:rPr>
                <w:rFonts w:ascii="Times New Roman" w:eastAsia="Times New Roman" w:hAnsi="Times New Roman" w:cs="Times New Roman"/>
                <w:color w:val="000000" w:themeColor="text1"/>
                <w:sz w:val="20"/>
                <w:szCs w:val="20"/>
                <w:lang w:eastAsia="en-ZA"/>
              </w:rPr>
              <w:t xml:space="preserve"> 58, 78–93. </w:t>
            </w:r>
            <w:r w:rsidR="00B84400" w:rsidRPr="00B84400">
              <w:rPr>
                <w:rFonts w:ascii="Times New Roman" w:eastAsia="Times New Roman" w:hAnsi="Times New Roman" w:cs="Times New Roman"/>
                <w:bCs/>
                <w:color w:val="000000" w:themeColor="text1"/>
                <w:sz w:val="20"/>
                <w:szCs w:val="20"/>
                <w:lang w:eastAsia="en-ZA"/>
              </w:rPr>
              <w:t xml:space="preserve">, </w:t>
            </w:r>
            <w:hyperlink r:id="rId560" w:history="1">
              <w:r w:rsidR="00B84400" w:rsidRPr="00B84400">
                <w:rPr>
                  <w:rStyle w:val="Hyperlink"/>
                  <w:rFonts w:ascii="Times New Roman" w:eastAsia="Times New Roman" w:hAnsi="Times New Roman" w:cs="Times New Roman"/>
                  <w:bCs/>
                  <w:sz w:val="20"/>
                  <w:szCs w:val="20"/>
                  <w:lang w:eastAsia="en-ZA"/>
                </w:rPr>
                <w:t>https://doi.org/10.1016/j.limno.2016.03.003</w:t>
              </w:r>
            </w:hyperlink>
            <w:r w:rsidRPr="007533C6">
              <w:rPr>
                <w:rFonts w:ascii="Times New Roman" w:eastAsia="Times New Roman" w:hAnsi="Times New Roman" w:cs="Times New Roman"/>
                <w:bCs/>
                <w:color w:val="000000" w:themeColor="text1"/>
                <w:sz w:val="20"/>
                <w:szCs w:val="20"/>
                <w:lang w:eastAsia="en-ZA"/>
              </w:rPr>
              <w:t>.</w:t>
            </w:r>
          </w:p>
        </w:tc>
      </w:tr>
      <w:tr w:rsidR="002D7080" w:rsidRPr="004D1E6F" w14:paraId="1BDD1386" w14:textId="77777777" w:rsidTr="002E2C37">
        <w:tc>
          <w:tcPr>
            <w:tcW w:w="9015" w:type="dxa"/>
            <w:gridSpan w:val="2"/>
            <w:shd w:val="clear" w:color="auto" w:fill="F2F2F2" w:themeFill="background1" w:themeFillShade="F2"/>
          </w:tcPr>
          <w:p w14:paraId="5E7DD18E"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CON1i: Chemical, physical or structural impact on ecosystem</w:t>
            </w:r>
          </w:p>
        </w:tc>
      </w:tr>
      <w:tr w:rsidR="002D7080" w:rsidRPr="004D1E6F" w14:paraId="74DFF984" w14:textId="77777777" w:rsidTr="002E2C37">
        <w:tc>
          <w:tcPr>
            <w:tcW w:w="5948" w:type="dxa"/>
          </w:tcPr>
          <w:p w14:paraId="0B42B47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MN (Minor)</w:t>
            </w:r>
          </w:p>
        </w:tc>
        <w:tc>
          <w:tcPr>
            <w:tcW w:w="3067" w:type="dxa"/>
          </w:tcPr>
          <w:p w14:paraId="19127A0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2B1B296F" w14:textId="77777777" w:rsidTr="002E2C37">
        <w:trPr>
          <w:trHeight w:val="70"/>
        </w:trPr>
        <w:tc>
          <w:tcPr>
            <w:tcW w:w="9015" w:type="dxa"/>
            <w:gridSpan w:val="2"/>
          </w:tcPr>
          <w:p w14:paraId="4F7425C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p>
          <w:p w14:paraId="35DA21A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Water quality</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is often considered an ecosystem engineer due to its ability to change ecosystems through its burrowing activity. For example, its burrowing activity can cause a decrease in the water quality through bioturbation leading to increased turbidity and influx release of nutrients from sediment (Rodriguez et al 2003; Yamamoto 2010). This often leads to algal blooms. The impaired water quality also affects the quality of habitat for other aquatic fauna. For example, increased turbidity can impede foraging and respiratory processes of fish (Souty-Grosset et al. 2016).   </w:t>
            </w:r>
          </w:p>
          <w:p w14:paraId="0C48EB44" w14:textId="77777777" w:rsidR="002D7080" w:rsidRPr="004D1E6F" w:rsidRDefault="002D7080" w:rsidP="002E2C37">
            <w:pPr>
              <w:jc w:val="both"/>
              <w:rPr>
                <w:rFonts w:ascii="Times New Roman" w:eastAsia="Times New Roman" w:hAnsi="Times New Roman" w:cs="Times New Roman"/>
                <w:sz w:val="20"/>
                <w:szCs w:val="20"/>
                <w:lang w:eastAsia="en-ZA"/>
              </w:rPr>
            </w:pPr>
          </w:p>
          <w:p w14:paraId="6476580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
                <w:sz w:val="20"/>
                <w:szCs w:val="20"/>
                <w:lang w:eastAsia="en-ZA"/>
              </w:rPr>
              <w:t>Erosion</w:t>
            </w:r>
            <w:r w:rsidRPr="004D1E6F">
              <w:rPr>
                <w:rFonts w:ascii="Times New Roman" w:eastAsia="Times New Roman" w:hAnsi="Times New Roman" w:cs="Times New Roman"/>
                <w:sz w:val="20"/>
                <w:szCs w:val="20"/>
                <w:lang w:eastAsia="en-ZA"/>
              </w:rPr>
              <w:t>: Burrowing activities can cause structural damage to river banks and increase bank erosion (Angeler et al. 2001).</w:t>
            </w:r>
          </w:p>
        </w:tc>
      </w:tr>
      <w:tr w:rsidR="002D7080" w:rsidRPr="004D1E6F" w14:paraId="0E64AACE" w14:textId="77777777" w:rsidTr="002E2C37">
        <w:trPr>
          <w:trHeight w:val="70"/>
        </w:trPr>
        <w:tc>
          <w:tcPr>
            <w:tcW w:w="9015" w:type="dxa"/>
            <w:gridSpan w:val="2"/>
          </w:tcPr>
          <w:p w14:paraId="4C113F98" w14:textId="77777777" w:rsidR="002D7080" w:rsidRPr="004D1E6F" w:rsidRDefault="002D7080" w:rsidP="002E2C37">
            <w:pPr>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4CC193DE" w14:textId="321CE403" w:rsidR="002D7080" w:rsidRPr="007533C6" w:rsidRDefault="002D7080" w:rsidP="004C79F1">
            <w:pPr>
              <w:ind w:left="709" w:hanging="709"/>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Angeler, D.G., Sánchez-Carrillo, S., García, G.&amp; Alvarez-Cobelas, M., 2001, ‘The influence of </w:t>
            </w:r>
            <w:r w:rsidRPr="007533C6">
              <w:rPr>
                <w:rFonts w:ascii="Times New Roman" w:eastAsia="Times New Roman" w:hAnsi="Times New Roman" w:cs="Times New Roman"/>
                <w:i/>
                <w:iCs/>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(Cambaridae, Decapoda) on water quality and sediment characteristics in a Spanish floodplain wetland’, </w:t>
            </w:r>
            <w:r w:rsidRPr="007533C6">
              <w:rPr>
                <w:rFonts w:ascii="Times New Roman" w:eastAsia="Times New Roman" w:hAnsi="Times New Roman" w:cs="Times New Roman"/>
                <w:i/>
                <w:color w:val="000000" w:themeColor="text1"/>
                <w:sz w:val="20"/>
                <w:szCs w:val="20"/>
                <w:lang w:eastAsia="en-ZA"/>
              </w:rPr>
              <w:t>Hydrobiologia</w:t>
            </w:r>
            <w:r w:rsidRPr="007533C6">
              <w:rPr>
                <w:rFonts w:ascii="Times New Roman" w:eastAsia="Times New Roman" w:hAnsi="Times New Roman" w:cs="Times New Roman"/>
                <w:color w:val="000000" w:themeColor="text1"/>
                <w:sz w:val="20"/>
                <w:szCs w:val="20"/>
                <w:lang w:eastAsia="en-ZA"/>
              </w:rPr>
              <w:t xml:space="preserve"> 464, 89–98. </w:t>
            </w:r>
            <w:r w:rsidR="00921E5D" w:rsidRPr="00921E5D">
              <w:rPr>
                <w:rFonts w:ascii="Times New Roman" w:eastAsia="Times New Roman" w:hAnsi="Times New Roman" w:cs="Times New Roman"/>
                <w:color w:val="000000" w:themeColor="text1"/>
                <w:sz w:val="20"/>
                <w:szCs w:val="20"/>
                <w:lang w:eastAsia="en-ZA"/>
              </w:rPr>
              <w:t>https://doi.org/10.1023/A:1013950129616</w:t>
            </w:r>
            <w:r w:rsidR="0096133C">
              <w:rPr>
                <w:rFonts w:ascii="Times New Roman" w:eastAsia="Times New Roman" w:hAnsi="Times New Roman" w:cs="Times New Roman"/>
                <w:color w:val="000000" w:themeColor="text1"/>
                <w:sz w:val="20"/>
                <w:szCs w:val="20"/>
                <w:lang w:eastAsia="en-ZA"/>
              </w:rPr>
              <w:t>.</w:t>
            </w:r>
            <w:r w:rsidR="00B84400">
              <w:rPr>
                <w:rFonts w:ascii="Times New Roman" w:eastAsia="Times New Roman" w:hAnsi="Times New Roman" w:cs="Times New Roman"/>
                <w:color w:val="000000" w:themeColor="text1"/>
                <w:sz w:val="20"/>
                <w:szCs w:val="20"/>
                <w:lang w:eastAsia="en-ZA"/>
              </w:rPr>
              <w:t xml:space="preserve"> </w:t>
            </w:r>
          </w:p>
          <w:p w14:paraId="395289D6" w14:textId="19640C40" w:rsidR="002D7080" w:rsidRPr="007533C6" w:rsidRDefault="002D7080" w:rsidP="004C79F1">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Rodríguez, C.F., Bécares, E. &amp; Fernández-Aláez, M., 2003, ‘Shift from clear to turbid phase in Lake Chozas (NW Spain) due to the introduction of American red swamp crayfish (</w:t>
            </w:r>
            <w:r w:rsidRPr="007533C6">
              <w:rPr>
                <w:rFonts w:ascii="Times New Roman" w:eastAsia="Times New Roman" w:hAnsi="Times New Roman" w:cs="Times New Roman"/>
                <w:i/>
                <w:iCs/>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w:t>
            </w:r>
            <w:r w:rsidRPr="007533C6">
              <w:rPr>
                <w:rFonts w:ascii="Times New Roman" w:eastAsia="Times New Roman" w:hAnsi="Times New Roman" w:cs="Times New Roman"/>
                <w:i/>
                <w:iCs/>
                <w:color w:val="000000" w:themeColor="text1"/>
                <w:sz w:val="20"/>
                <w:szCs w:val="20"/>
                <w:lang w:eastAsia="en-ZA"/>
              </w:rPr>
              <w:t xml:space="preserve">Hydrobiologia </w:t>
            </w:r>
            <w:r w:rsidRPr="007533C6">
              <w:rPr>
                <w:rFonts w:ascii="Times New Roman" w:eastAsia="Times New Roman" w:hAnsi="Times New Roman" w:cs="Times New Roman"/>
                <w:color w:val="000000" w:themeColor="text1"/>
                <w:sz w:val="20"/>
                <w:szCs w:val="20"/>
                <w:lang w:eastAsia="en-ZA"/>
              </w:rPr>
              <w:t xml:space="preserve">506, 421–26. </w:t>
            </w:r>
            <w:hyperlink r:id="rId561" w:history="1">
              <w:r w:rsidR="00B84400" w:rsidRPr="000E56EC">
                <w:rPr>
                  <w:rStyle w:val="Hyperlink"/>
                  <w:rFonts w:ascii="Times New Roman" w:eastAsia="Times New Roman" w:hAnsi="Times New Roman" w:cs="Times New Roman"/>
                  <w:sz w:val="20"/>
                  <w:szCs w:val="20"/>
                  <w:lang w:eastAsia="en-ZA"/>
                </w:rPr>
                <w:t>https://doi.org/10.1023/B:HYDR.0000008626.07042.87</w:t>
              </w:r>
            </w:hyperlink>
            <w:r w:rsidRPr="007533C6">
              <w:rPr>
                <w:rFonts w:ascii="Times New Roman" w:eastAsia="Times New Roman" w:hAnsi="Times New Roman" w:cs="Times New Roman"/>
                <w:color w:val="000000" w:themeColor="text1"/>
                <w:sz w:val="20"/>
                <w:szCs w:val="20"/>
                <w:lang w:eastAsia="en-ZA"/>
              </w:rPr>
              <w:t xml:space="preserve">. </w:t>
            </w:r>
          </w:p>
          <w:p w14:paraId="2E7E9695" w14:textId="2E36BFD4" w:rsidR="002D7080" w:rsidRPr="007533C6" w:rsidRDefault="002D7080" w:rsidP="004C79F1">
            <w:pPr>
              <w:ind w:left="709" w:hanging="709"/>
              <w:contextualSpacing/>
              <w:jc w:val="both"/>
              <w:rPr>
                <w:rFonts w:ascii="Times New Roman" w:eastAsia="Times New Roman" w:hAnsi="Times New Roman" w:cs="Times New Roman"/>
                <w:color w:val="000000" w:themeColor="text1"/>
                <w:sz w:val="20"/>
                <w:szCs w:val="20"/>
                <w:lang w:eastAsia="en-ZA"/>
              </w:rPr>
            </w:pPr>
            <w:r w:rsidRPr="007533C6">
              <w:rPr>
                <w:rFonts w:ascii="Times New Roman" w:hAnsi="Times New Roman" w:cs="Times New Roman"/>
                <w:color w:val="000000" w:themeColor="text1"/>
                <w:sz w:val="20"/>
                <w:szCs w:val="20"/>
                <w:shd w:val="clear" w:color="auto" w:fill="FFFFFF"/>
              </w:rPr>
              <w:t xml:space="preserve">Souty-Grosset, C., Anastacio, P.M., Aquiloni, L., Banha, F., Choquer, J., Chucholl, C., et al., </w:t>
            </w:r>
            <w:r w:rsidRPr="007533C6">
              <w:rPr>
                <w:rFonts w:ascii="Times New Roman" w:eastAsia="Times New Roman" w:hAnsi="Times New Roman" w:cs="Times New Roman"/>
                <w:color w:val="000000" w:themeColor="text1"/>
                <w:sz w:val="20"/>
                <w:szCs w:val="20"/>
                <w:lang w:eastAsia="en-ZA"/>
              </w:rPr>
              <w:t xml:space="preserve">2016, ‘The red swamp crayfish </w:t>
            </w: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in Europe: Impacts on aquatic ecosystems and human well-being’, </w:t>
            </w:r>
            <w:r w:rsidRPr="007533C6">
              <w:rPr>
                <w:rFonts w:ascii="Times New Roman" w:eastAsia="Times New Roman" w:hAnsi="Times New Roman" w:cs="Times New Roman"/>
                <w:i/>
                <w:color w:val="000000" w:themeColor="text1"/>
                <w:sz w:val="20"/>
                <w:szCs w:val="20"/>
                <w:lang w:eastAsia="en-ZA"/>
              </w:rPr>
              <w:t>Limnologica</w:t>
            </w:r>
            <w:r w:rsidRPr="007533C6">
              <w:rPr>
                <w:rFonts w:ascii="Times New Roman" w:eastAsia="Times New Roman" w:hAnsi="Times New Roman" w:cs="Times New Roman"/>
                <w:color w:val="000000" w:themeColor="text1"/>
                <w:sz w:val="20"/>
                <w:szCs w:val="20"/>
                <w:lang w:eastAsia="en-ZA"/>
              </w:rPr>
              <w:t xml:space="preserve"> 58, 78–93. </w:t>
            </w:r>
            <w:hyperlink r:id="rId562" w:history="1">
              <w:r w:rsidR="00B84400" w:rsidRPr="00B84400">
                <w:rPr>
                  <w:rStyle w:val="Hyperlink"/>
                  <w:rFonts w:ascii="Times New Roman" w:eastAsia="Times New Roman" w:hAnsi="Times New Roman" w:cs="Times New Roman"/>
                  <w:bCs/>
                  <w:sz w:val="20"/>
                  <w:szCs w:val="20"/>
                  <w:lang w:eastAsia="en-ZA"/>
                </w:rPr>
                <w:t>https://doi.org/10.1016/j.limno.2016.03.003</w:t>
              </w:r>
            </w:hyperlink>
            <w:r w:rsidR="0096133C">
              <w:rPr>
                <w:rFonts w:ascii="Times New Roman" w:eastAsia="Times New Roman" w:hAnsi="Times New Roman" w:cs="Times New Roman"/>
                <w:bCs/>
                <w:color w:val="000000" w:themeColor="text1"/>
                <w:sz w:val="20"/>
                <w:szCs w:val="20"/>
                <w:lang w:eastAsia="en-ZA"/>
              </w:rPr>
              <w:t>.</w:t>
            </w:r>
          </w:p>
          <w:p w14:paraId="4963A2AD" w14:textId="61D8BA7F" w:rsidR="002D7080" w:rsidRPr="004D1E6F" w:rsidRDefault="002D7080" w:rsidP="004C79F1">
            <w:pPr>
              <w:ind w:left="720" w:hanging="720"/>
              <w:contextualSpacing/>
              <w:jc w:val="both"/>
              <w:rPr>
                <w:rFonts w:ascii="Times New Roman" w:eastAsia="Times New Roman" w:hAnsi="Times New Roman" w:cs="Times New Roman"/>
                <w:sz w:val="20"/>
                <w:szCs w:val="20"/>
                <w:lang w:eastAsia="en-ZA"/>
              </w:rPr>
            </w:pPr>
            <w:r w:rsidRPr="007533C6">
              <w:rPr>
                <w:rFonts w:ascii="Times New Roman" w:eastAsia="Times New Roman" w:hAnsi="Times New Roman" w:cs="Times New Roman"/>
                <w:color w:val="000000" w:themeColor="text1"/>
                <w:sz w:val="20"/>
                <w:szCs w:val="20"/>
                <w:lang w:eastAsia="en-ZA"/>
              </w:rPr>
              <w:lastRenderedPageBreak/>
              <w:t xml:space="preserve">Yamamoto, Y., 2010, ‘Contribution of bioturbation by the red swamp crayfish </w:t>
            </w: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to the recruitment of bloom-forming cyanobacteria from sediment’, </w:t>
            </w:r>
            <w:r w:rsidRPr="007533C6">
              <w:rPr>
                <w:rFonts w:ascii="Times New Roman" w:eastAsia="Times New Roman" w:hAnsi="Times New Roman" w:cs="Times New Roman"/>
                <w:i/>
                <w:color w:val="000000" w:themeColor="text1"/>
                <w:sz w:val="20"/>
                <w:szCs w:val="20"/>
                <w:lang w:eastAsia="en-ZA"/>
              </w:rPr>
              <w:t>Journal of limnology</w:t>
            </w:r>
            <w:r w:rsidRPr="007533C6">
              <w:rPr>
                <w:rFonts w:ascii="Times New Roman" w:eastAsia="Times New Roman" w:hAnsi="Times New Roman" w:cs="Times New Roman"/>
                <w:color w:val="000000" w:themeColor="text1"/>
                <w:sz w:val="20"/>
                <w:szCs w:val="20"/>
                <w:lang w:eastAsia="en-ZA"/>
              </w:rPr>
              <w:t xml:space="preserve"> 69, 102–111. </w:t>
            </w:r>
            <w:r w:rsidR="00921E5D">
              <w:rPr>
                <w:rFonts w:ascii="Times New Roman" w:eastAsia="Times New Roman" w:hAnsi="Times New Roman" w:cs="Times New Roman"/>
                <w:color w:val="000000" w:themeColor="text1"/>
                <w:sz w:val="20"/>
                <w:szCs w:val="20"/>
                <w:lang w:eastAsia="en-ZA"/>
              </w:rPr>
              <w:t>https://doi.org/</w:t>
            </w:r>
            <w:r w:rsidR="00921E5D" w:rsidRPr="00921E5D">
              <w:rPr>
                <w:rFonts w:ascii="Times New Roman" w:eastAsia="Times New Roman" w:hAnsi="Times New Roman" w:cs="Times New Roman"/>
                <w:color w:val="000000" w:themeColor="text1"/>
                <w:sz w:val="20"/>
                <w:szCs w:val="20"/>
                <w:lang w:eastAsia="en-ZA"/>
              </w:rPr>
              <w:t>10.4081/jlimnol.2010.102</w:t>
            </w:r>
            <w:r w:rsidRPr="007533C6">
              <w:rPr>
                <w:rFonts w:ascii="Times New Roman" w:eastAsia="Times New Roman" w:hAnsi="Times New Roman" w:cs="Times New Roman"/>
                <w:color w:val="000000" w:themeColor="text1"/>
                <w:sz w:val="20"/>
                <w:szCs w:val="20"/>
                <w:lang w:eastAsia="en-ZA"/>
              </w:rPr>
              <w:t>.</w:t>
            </w:r>
            <w:r w:rsidR="00921E5D">
              <w:rPr>
                <w:rFonts w:ascii="Times New Roman" w:eastAsia="Times New Roman" w:hAnsi="Times New Roman" w:cs="Times New Roman"/>
                <w:color w:val="000000" w:themeColor="text1"/>
                <w:sz w:val="20"/>
                <w:szCs w:val="20"/>
                <w:lang w:eastAsia="en-ZA"/>
              </w:rPr>
              <w:t xml:space="preserve"> </w:t>
            </w:r>
          </w:p>
        </w:tc>
      </w:tr>
      <w:tr w:rsidR="002D7080" w:rsidRPr="004D1E6F" w14:paraId="67EA7E4C" w14:textId="77777777" w:rsidTr="002E2C37">
        <w:tc>
          <w:tcPr>
            <w:tcW w:w="9015" w:type="dxa"/>
            <w:gridSpan w:val="2"/>
            <w:shd w:val="clear" w:color="auto" w:fill="F2F2F2" w:themeFill="background1" w:themeFillShade="F2"/>
          </w:tcPr>
          <w:p w14:paraId="46F96026"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lastRenderedPageBreak/>
              <w:t>CON1k: Indirect impacts through interactions with other species</w:t>
            </w:r>
          </w:p>
        </w:tc>
      </w:tr>
      <w:tr w:rsidR="002D7080" w:rsidRPr="004D1E6F" w14:paraId="2C134050" w14:textId="77777777" w:rsidTr="002E2C37">
        <w:tc>
          <w:tcPr>
            <w:tcW w:w="5948" w:type="dxa"/>
          </w:tcPr>
          <w:p w14:paraId="29FC2A6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Minimal Concern (MC)</w:t>
            </w:r>
          </w:p>
        </w:tc>
        <w:tc>
          <w:tcPr>
            <w:tcW w:w="3067" w:type="dxa"/>
          </w:tcPr>
          <w:p w14:paraId="49F3E13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330BDC77" w14:textId="77777777" w:rsidTr="002E2C37">
        <w:trPr>
          <w:trHeight w:val="70"/>
        </w:trPr>
        <w:tc>
          <w:tcPr>
            <w:tcW w:w="9015" w:type="dxa"/>
            <w:gridSpan w:val="2"/>
          </w:tcPr>
          <w:p w14:paraId="79970E4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sz w:val="20"/>
                <w:szCs w:val="20"/>
                <w:lang w:eastAsia="en-ZA"/>
              </w:rPr>
              <w:t>Procambarus clarkii</w:t>
            </w:r>
            <w:r w:rsidRPr="004D1E6F">
              <w:rPr>
                <w:rFonts w:ascii="Times New Roman" w:eastAsia="Times New Roman" w:hAnsi="Times New Roman" w:cs="Times New Roman"/>
                <w:sz w:val="20"/>
                <w:szCs w:val="20"/>
                <w:lang w:eastAsia="en-ZA"/>
              </w:rPr>
              <w:t xml:space="preserve"> often occurs in sympatry with other species in its alien range that actively feeds on it for example birds that can lead to dispersal into new areas (Lovas-Kiss et al. 2018; Southy-Grosset et al. 2016).</w:t>
            </w:r>
          </w:p>
        </w:tc>
      </w:tr>
      <w:tr w:rsidR="002D7080" w:rsidRPr="004D1E6F" w14:paraId="186C0EE6" w14:textId="77777777" w:rsidTr="002E2C37">
        <w:trPr>
          <w:trHeight w:val="70"/>
        </w:trPr>
        <w:tc>
          <w:tcPr>
            <w:tcW w:w="9015" w:type="dxa"/>
            <w:gridSpan w:val="2"/>
          </w:tcPr>
          <w:p w14:paraId="691581E4"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7924FEA9" w14:textId="0569F3EC" w:rsidR="002D7080" w:rsidRPr="007533C6" w:rsidRDefault="002D7080" w:rsidP="004C79F1">
            <w:pPr>
              <w:ind w:left="720" w:hanging="720"/>
              <w:contextualSpacing/>
              <w:jc w:val="both"/>
              <w:rPr>
                <w:rFonts w:ascii="Times New Roman" w:eastAsia="Times New Roman" w:hAnsi="Times New Roman" w:cs="Times New Roman"/>
                <w:color w:val="000000" w:themeColor="text1"/>
                <w:sz w:val="20"/>
                <w:szCs w:val="20"/>
                <w:lang w:eastAsia="en-ZA"/>
              </w:rPr>
            </w:pPr>
            <w:r w:rsidRPr="004D1E6F">
              <w:rPr>
                <w:rFonts w:ascii="Times New Roman" w:eastAsia="Times New Roman" w:hAnsi="Times New Roman" w:cs="Times New Roman"/>
                <w:sz w:val="20"/>
                <w:szCs w:val="20"/>
                <w:lang w:eastAsia="en-ZA"/>
              </w:rPr>
              <w:t>Lovas-Kiss, A., Sanchez, M.I.,</w:t>
            </w:r>
            <w:r>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sz w:val="20"/>
                <w:szCs w:val="20"/>
                <w:lang w:eastAsia="en-ZA"/>
              </w:rPr>
              <w:t xml:space="preserve">Molnar, A.V., Valls, L., Armengol, X., Mesquita-Joanes, F., et al., 2018, </w:t>
            </w:r>
            <w:r w:rsidRPr="007533C6">
              <w:rPr>
                <w:rFonts w:ascii="Times New Roman" w:eastAsia="Times New Roman" w:hAnsi="Times New Roman" w:cs="Times New Roman"/>
                <w:color w:val="000000" w:themeColor="text1"/>
                <w:sz w:val="20"/>
                <w:szCs w:val="20"/>
                <w:lang w:eastAsia="en-ZA"/>
              </w:rPr>
              <w:t xml:space="preserve">‘Crayfish invasion facilitates dispersal of plants and invertebrates by gulls’, </w:t>
            </w:r>
            <w:r w:rsidRPr="007533C6">
              <w:rPr>
                <w:rFonts w:ascii="Times New Roman" w:eastAsia="Times New Roman" w:hAnsi="Times New Roman" w:cs="Times New Roman"/>
                <w:i/>
                <w:iCs/>
                <w:color w:val="000000" w:themeColor="text1"/>
                <w:sz w:val="20"/>
                <w:szCs w:val="20"/>
                <w:lang w:eastAsia="en-ZA"/>
              </w:rPr>
              <w:t>Freshwater Biology</w:t>
            </w:r>
            <w:r w:rsidRPr="007533C6">
              <w:rPr>
                <w:rFonts w:ascii="Times New Roman" w:eastAsia="Times New Roman" w:hAnsi="Times New Roman" w:cs="Times New Roman"/>
                <w:color w:val="000000" w:themeColor="text1"/>
                <w:sz w:val="20"/>
                <w:szCs w:val="20"/>
                <w:lang w:eastAsia="en-ZA"/>
              </w:rPr>
              <w:t xml:space="preserve"> 63(4), 392–404. </w:t>
            </w:r>
            <w:hyperlink r:id="rId563" w:history="1">
              <w:r w:rsidR="00921E5D" w:rsidRPr="00921E5D">
                <w:rPr>
                  <w:rStyle w:val="Hyperlink"/>
                  <w:rFonts w:ascii="Times New Roman" w:eastAsia="Times New Roman" w:hAnsi="Times New Roman" w:cs="Times New Roman"/>
                  <w:sz w:val="20"/>
                  <w:szCs w:val="20"/>
                  <w:lang w:eastAsia="en-ZA"/>
                </w:rPr>
                <w:t>https://doi.org/10.1111/fwb.13080</w:t>
              </w:r>
            </w:hyperlink>
            <w:r w:rsidR="0096133C">
              <w:rPr>
                <w:rFonts w:ascii="Times New Roman" w:eastAsia="Times New Roman" w:hAnsi="Times New Roman" w:cs="Times New Roman"/>
                <w:color w:val="000000" w:themeColor="text1"/>
                <w:sz w:val="20"/>
                <w:szCs w:val="20"/>
                <w:lang w:eastAsia="en-ZA"/>
              </w:rPr>
              <w:t>.</w:t>
            </w:r>
          </w:p>
          <w:p w14:paraId="1B4A9CBF" w14:textId="4CBF5849" w:rsidR="002D7080" w:rsidRPr="004D1E6F" w:rsidRDefault="002D7080" w:rsidP="004C79F1">
            <w:pPr>
              <w:ind w:left="720" w:hanging="720"/>
              <w:contextualSpacing/>
              <w:jc w:val="both"/>
              <w:rPr>
                <w:rFonts w:ascii="Times New Roman" w:eastAsia="Times New Roman" w:hAnsi="Times New Roman" w:cs="Times New Roman"/>
                <w:sz w:val="20"/>
                <w:szCs w:val="20"/>
                <w:lang w:eastAsia="en-ZA"/>
              </w:rPr>
            </w:pPr>
            <w:r w:rsidRPr="007533C6">
              <w:rPr>
                <w:rFonts w:ascii="Times New Roman" w:hAnsi="Times New Roman" w:cs="Times New Roman"/>
                <w:color w:val="000000" w:themeColor="text1"/>
                <w:sz w:val="20"/>
                <w:szCs w:val="20"/>
                <w:shd w:val="clear" w:color="auto" w:fill="FFFFFF"/>
              </w:rPr>
              <w:t xml:space="preserve">Souty-Grosset, C., Anastacio, P.M., Aquiloni, L., Banha, F., Choquer, J., Chucholl, C., et al., </w:t>
            </w:r>
            <w:r w:rsidRPr="007533C6">
              <w:rPr>
                <w:rFonts w:ascii="Times New Roman" w:eastAsia="Times New Roman" w:hAnsi="Times New Roman" w:cs="Times New Roman"/>
                <w:color w:val="000000" w:themeColor="text1"/>
                <w:sz w:val="20"/>
                <w:szCs w:val="20"/>
                <w:lang w:eastAsia="en-ZA"/>
              </w:rPr>
              <w:t xml:space="preserve">2016, ‘The red swamp crayfish </w:t>
            </w: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in Europe: Impacts on aquatic ecosystems and human well-being’, </w:t>
            </w:r>
            <w:r w:rsidRPr="007533C6">
              <w:rPr>
                <w:rFonts w:ascii="Times New Roman" w:eastAsia="Times New Roman" w:hAnsi="Times New Roman" w:cs="Times New Roman"/>
                <w:i/>
                <w:color w:val="000000" w:themeColor="text1"/>
                <w:sz w:val="20"/>
                <w:szCs w:val="20"/>
                <w:lang w:eastAsia="en-ZA"/>
              </w:rPr>
              <w:t>Limnologica</w:t>
            </w:r>
            <w:r w:rsidRPr="007533C6">
              <w:rPr>
                <w:rFonts w:ascii="Times New Roman" w:eastAsia="Times New Roman" w:hAnsi="Times New Roman" w:cs="Times New Roman"/>
                <w:color w:val="000000" w:themeColor="text1"/>
                <w:sz w:val="20"/>
                <w:szCs w:val="20"/>
                <w:lang w:eastAsia="en-ZA"/>
              </w:rPr>
              <w:t xml:space="preserve"> 58, 78–93. </w:t>
            </w:r>
            <w:hyperlink r:id="rId564" w:history="1">
              <w:r w:rsidR="00921E5D" w:rsidRPr="00921E5D">
                <w:rPr>
                  <w:rStyle w:val="Hyperlink"/>
                  <w:rFonts w:ascii="Times New Roman" w:eastAsia="Times New Roman" w:hAnsi="Times New Roman" w:cs="Times New Roman"/>
                  <w:bCs/>
                  <w:sz w:val="20"/>
                  <w:szCs w:val="20"/>
                  <w:lang w:eastAsia="en-ZA"/>
                </w:rPr>
                <w:t>https://doi.org/10.1016/j.limno.2016.03.003</w:t>
              </w:r>
            </w:hyperlink>
            <w:r w:rsidR="0096133C">
              <w:rPr>
                <w:rFonts w:ascii="Times New Roman" w:eastAsia="Times New Roman" w:hAnsi="Times New Roman" w:cs="Times New Roman"/>
                <w:bCs/>
                <w:color w:val="000000" w:themeColor="text1"/>
                <w:sz w:val="20"/>
                <w:szCs w:val="20"/>
                <w:lang w:eastAsia="en-ZA"/>
              </w:rPr>
              <w:t>.</w:t>
            </w:r>
          </w:p>
        </w:tc>
      </w:tr>
      <w:tr w:rsidR="002D7080" w:rsidRPr="004D1E6F" w14:paraId="648855FE" w14:textId="77777777" w:rsidTr="002E2C37">
        <w:trPr>
          <w:trHeight w:val="343"/>
        </w:trPr>
        <w:tc>
          <w:tcPr>
            <w:tcW w:w="9015" w:type="dxa"/>
            <w:gridSpan w:val="2"/>
            <w:shd w:val="clear" w:color="auto" w:fill="F2F2F2" w:themeFill="background1" w:themeFillShade="F2"/>
          </w:tcPr>
          <w:p w14:paraId="04845A49"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 xml:space="preserve">CON1: Maximum environmental impact </w:t>
            </w:r>
          </w:p>
        </w:tc>
      </w:tr>
      <w:tr w:rsidR="002D7080" w:rsidRPr="004D1E6F" w14:paraId="25332195" w14:textId="77777777" w:rsidTr="002E2C37">
        <w:trPr>
          <w:trHeight w:val="172"/>
        </w:trPr>
        <w:tc>
          <w:tcPr>
            <w:tcW w:w="5948" w:type="dxa"/>
          </w:tcPr>
          <w:p w14:paraId="5D57E94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Major (MR)</w:t>
            </w:r>
          </w:p>
        </w:tc>
        <w:tc>
          <w:tcPr>
            <w:tcW w:w="3067" w:type="dxa"/>
          </w:tcPr>
          <w:p w14:paraId="109E551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410CD614" w14:textId="77777777" w:rsidTr="002E2C37">
        <w:trPr>
          <w:trHeight w:val="70"/>
        </w:trPr>
        <w:tc>
          <w:tcPr>
            <w:tcW w:w="9015" w:type="dxa"/>
            <w:gridSpan w:val="2"/>
          </w:tcPr>
          <w:p w14:paraId="359C1CE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Direct predation and competition for food, shelter, and spawning sites have led to the loss of populations and a decrease in the abundance of native amphibians and crayfish species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"ITEM-1",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"id" : "ITEM-2", "itemData" : { "DOI" : "10.1111/j.1365-2427.2007.01760.x", "author" : [ { "dropping-particle" : "", "family" : "Gherardi", "given" : "Francesca", "non-dropping-particle" : "", "parse-names" : false, "suffix" : "" }, { "dropping-particle" : "", "family" : "Acquistapace", "given" : "Patrizia", "non-dropping-particle" : "", "parse-names" : false, "suffix" : "" } ], "id" : "ITEM-2", "issued" : { "date-parts" : [ [ "2007" ] ] }, "page" : "1249-1259", "title" : "Invasive crayfish in Europe : the impact of Procambarus clarkii on the littoral community of a Mediterranean lake", "type" : "article-journal" }, "uris" : [ "http://www.mendeley.com/documents/?uuid=0b4d7cf8-95f9-4670-a6e7-f070af42f591" ] } ], "mendeley" : { "formattedCitation" : "(Cruz et al. 2006, Gherardi &amp; Acquistapace 2007)", "plainTextFormattedCitation" : "(Cruz et al. 2006, Gherardi &amp; Acquistapace 2007)", "previouslyFormattedCitation" : "(Cruz et al. 2006, Gherardi &amp; Acquistapace 2007)"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(Cruz et al. 2006; Gherardi &amp; Acquistapace 2007; Jackson et al. 2016)</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Impacts have been recorded in the Iberian Peninsula, Sweden, Italy (Gherardi &amp; Acquistapace 2007), Japan, and U.S.A. (California)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"(Holdich et al. 2009, Lodge et al. 2012)", "plainTextFormattedCitation" : "(Holdich et al. 2009, Lodge et al. 2012)", "previouslyFormattedCitation" : "(Holdich et al. 2009, Lodge et al. 2012)"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(Holdich et al. 2009; Lodge et al. 2012)</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w:t>
            </w:r>
            <w:r w:rsidRPr="004D1E6F">
              <w:rPr>
                <w:rFonts w:ascii="Times New Roman" w:hAnsi="Times New Roman" w:cs="Times New Roman"/>
                <w:sz w:val="24"/>
                <w:szCs w:val="24"/>
              </w:rPr>
              <w:t xml:space="preserve"> </w:t>
            </w:r>
            <w:r w:rsidRPr="004D1E6F">
              <w:rPr>
                <w:rFonts w:ascii="Times New Roman" w:eastAsia="Times New Roman" w:hAnsi="Times New Roman" w:cs="Times New Roman"/>
                <w:sz w:val="20"/>
                <w:szCs w:val="20"/>
                <w:lang w:eastAsia="en-ZA"/>
              </w:rPr>
              <w:t xml:space="preserve">Alien crayfish expose native fauna to diseases and parasites that could affect their overall health (Edgerton et al. 2002; Longshaw 2011). For example, </w:t>
            </w:r>
            <w:r w:rsidRPr="004D1E6F">
              <w:rPr>
                <w:rFonts w:ascii="Times New Roman" w:eastAsia="Times New Roman" w:hAnsi="Times New Roman" w:cs="Times New Roman"/>
                <w:i/>
                <w:sz w:val="20"/>
                <w:szCs w:val="20"/>
                <w:lang w:eastAsia="en-ZA"/>
              </w:rPr>
              <w:t xml:space="preserve">P. clarkii </w:t>
            </w:r>
            <w:r w:rsidRPr="004D1E6F">
              <w:rPr>
                <w:rFonts w:ascii="Times New Roman" w:eastAsia="Times New Roman" w:hAnsi="Times New Roman" w:cs="Times New Roman"/>
                <w:sz w:val="20"/>
                <w:szCs w:val="20"/>
                <w:lang w:eastAsia="en-ZA"/>
              </w:rPr>
              <w:t>has been implicated in the transmission of crayfish plague that caused devastating impacts in Europe resulting in the collapse of native freshwater crayfish communities (Holdich &amp; Reeve 1991; Souty-Grosset et al. 2016).</w:t>
            </w:r>
          </w:p>
        </w:tc>
      </w:tr>
      <w:tr w:rsidR="002D7080" w:rsidRPr="004D1E6F" w14:paraId="096EDB11" w14:textId="77777777" w:rsidTr="002E2C37">
        <w:trPr>
          <w:trHeight w:val="70"/>
        </w:trPr>
        <w:tc>
          <w:tcPr>
            <w:tcW w:w="9015" w:type="dxa"/>
            <w:gridSpan w:val="2"/>
          </w:tcPr>
          <w:p w14:paraId="247D9E2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0228EC54" w14:textId="63AAC128" w:rsidR="002D7080" w:rsidRPr="004D1E6F" w:rsidRDefault="002D7080" w:rsidP="004C79F1">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Cruz, M.J., Rebelo, R. &amp; Crespo, E.G., 2006, ‘Effects of an introduced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on the distribution of south-western Iberian amphibians in their breeding habitats’, </w:t>
            </w:r>
            <w:r w:rsidRPr="004D1E6F">
              <w:rPr>
                <w:rFonts w:ascii="Times New Roman" w:eastAsia="Times New Roman" w:hAnsi="Times New Roman" w:cs="Times New Roman"/>
                <w:i/>
                <w:sz w:val="20"/>
                <w:szCs w:val="20"/>
                <w:lang w:eastAsia="en-ZA"/>
              </w:rPr>
              <w:t>Ecography</w:t>
            </w:r>
            <w:r w:rsidRPr="004D1E6F">
              <w:rPr>
                <w:rFonts w:ascii="Times New Roman" w:eastAsia="Times New Roman" w:hAnsi="Times New Roman" w:cs="Times New Roman"/>
                <w:sz w:val="20"/>
                <w:szCs w:val="20"/>
                <w:lang w:eastAsia="en-ZA"/>
              </w:rPr>
              <w:t xml:space="preserve"> 29, 329–338. </w:t>
            </w:r>
            <w:hyperlink r:id="rId565" w:history="1">
              <w:r w:rsidR="002B51F7" w:rsidRPr="000E56EC">
                <w:rPr>
                  <w:rStyle w:val="Hyperlink"/>
                  <w:rFonts w:ascii="Times New Roman" w:eastAsia="Times New Roman" w:hAnsi="Times New Roman" w:cs="Times New Roman"/>
                  <w:sz w:val="20"/>
                  <w:szCs w:val="20"/>
                  <w:lang w:eastAsia="en-ZA"/>
                </w:rPr>
                <w:t>https://doi.org/10.1111/j.2006.0906-7590.04333.x</w:t>
              </w:r>
            </w:hyperlink>
            <w:r w:rsidRPr="004D1E6F">
              <w:rPr>
                <w:rFonts w:ascii="Times New Roman" w:eastAsia="Times New Roman" w:hAnsi="Times New Roman" w:cs="Times New Roman"/>
                <w:sz w:val="20"/>
                <w:szCs w:val="20"/>
                <w:lang w:eastAsia="en-ZA"/>
              </w:rPr>
              <w:t>.</w:t>
            </w:r>
          </w:p>
          <w:p w14:paraId="3FD58F46" w14:textId="12A274DC" w:rsidR="002B51F7" w:rsidRDefault="002D7080" w:rsidP="004C79F1">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Edgerton, B.F., Evans, L.H., Stephens, F.J. &amp; Overstreet, R.M., 2002, ‘Synopsis of freshwater crayfish diseases and commensal organisms’, </w:t>
            </w:r>
            <w:r w:rsidRPr="004D1E6F">
              <w:rPr>
                <w:rFonts w:ascii="Times New Roman" w:eastAsia="Times New Roman" w:hAnsi="Times New Roman" w:cs="Times New Roman"/>
                <w:i/>
                <w:sz w:val="20"/>
                <w:szCs w:val="20"/>
                <w:lang w:eastAsia="en-ZA"/>
              </w:rPr>
              <w:t>Aquaculture</w:t>
            </w:r>
            <w:r w:rsidRPr="004D1E6F">
              <w:rPr>
                <w:rFonts w:ascii="Times New Roman" w:eastAsia="Times New Roman" w:hAnsi="Times New Roman" w:cs="Times New Roman"/>
                <w:sz w:val="20"/>
                <w:szCs w:val="20"/>
                <w:lang w:eastAsia="en-ZA"/>
              </w:rPr>
              <w:t xml:space="preserve"> 206, 57–135. </w:t>
            </w:r>
            <w:r w:rsidR="002B51F7" w:rsidRPr="00D66918">
              <w:rPr>
                <w:rFonts w:ascii="Times New Roman" w:eastAsia="Times New Roman" w:hAnsi="Times New Roman" w:cs="Times New Roman"/>
                <w:sz w:val="20"/>
                <w:szCs w:val="20"/>
                <w:lang w:eastAsia="en-ZA"/>
              </w:rPr>
              <w:t>https://doi.org/10.1016/S0044-8486(01)00865-1</w:t>
            </w:r>
            <w:r w:rsidR="0096133C">
              <w:rPr>
                <w:rFonts w:ascii="Times New Roman" w:eastAsia="Times New Roman" w:hAnsi="Times New Roman" w:cs="Times New Roman"/>
                <w:sz w:val="20"/>
                <w:szCs w:val="20"/>
                <w:lang w:eastAsia="en-ZA"/>
              </w:rPr>
              <w:t>.</w:t>
            </w:r>
          </w:p>
          <w:p w14:paraId="2FF4BA31" w14:textId="7D69E426" w:rsidR="002D7080" w:rsidRPr="004D1E6F" w:rsidRDefault="002D7080" w:rsidP="004C79F1">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Gherardi, F. &amp; Acquistapace P., 2007, ‘Invasive crayfish in Europe: The impact of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 xml:space="preserve">on the littoral community of a Mediterranean lake’, </w:t>
            </w:r>
            <w:r w:rsidRPr="004D1E6F">
              <w:rPr>
                <w:rFonts w:ascii="Times New Roman" w:eastAsia="Times New Roman" w:hAnsi="Times New Roman" w:cs="Times New Roman"/>
                <w:i/>
                <w:iCs/>
                <w:sz w:val="20"/>
                <w:szCs w:val="20"/>
                <w:lang w:eastAsia="en-ZA"/>
              </w:rPr>
              <w:t xml:space="preserve">Freshwater Biology </w:t>
            </w:r>
            <w:r w:rsidRPr="004D1E6F">
              <w:rPr>
                <w:rFonts w:ascii="Times New Roman" w:eastAsia="Times New Roman" w:hAnsi="Times New Roman" w:cs="Times New Roman"/>
                <w:sz w:val="20"/>
                <w:szCs w:val="20"/>
                <w:lang w:eastAsia="en-ZA"/>
              </w:rPr>
              <w:t xml:space="preserve">52, 1249–59. </w:t>
            </w:r>
            <w:hyperlink r:id="rId566" w:history="1">
              <w:r w:rsidR="002B51F7" w:rsidRPr="000E56EC">
                <w:rPr>
                  <w:rStyle w:val="Hyperlink"/>
                  <w:rFonts w:ascii="Times New Roman" w:eastAsia="Times New Roman" w:hAnsi="Times New Roman" w:cs="Times New Roman"/>
                  <w:sz w:val="20"/>
                  <w:szCs w:val="20"/>
                  <w:lang w:eastAsia="en-ZA"/>
                </w:rPr>
                <w:t>https://doi.org/10.1111/j.1365-2427.2007.01760.x</w:t>
              </w:r>
            </w:hyperlink>
            <w:r w:rsidRPr="004D1E6F">
              <w:rPr>
                <w:rFonts w:ascii="Times New Roman" w:eastAsia="Times New Roman" w:hAnsi="Times New Roman" w:cs="Times New Roman"/>
                <w:sz w:val="20"/>
                <w:szCs w:val="20"/>
                <w:lang w:eastAsia="en-ZA"/>
              </w:rPr>
              <w:t>.</w:t>
            </w:r>
          </w:p>
          <w:p w14:paraId="5A97B481" w14:textId="2DB2CD97" w:rsidR="002D7080" w:rsidRPr="004D1E6F" w:rsidRDefault="002D7080" w:rsidP="004C79F1">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Cs/>
                <w:sz w:val="20"/>
                <w:szCs w:val="20"/>
                <w:lang w:eastAsia="en-ZA"/>
              </w:rPr>
              <w:t xml:space="preserve">Holdich, D.M. &amp; Reeve, I.D., 1991, ‘Distribution of freshwater crayfish in the British Isles, with particular reference to crayfish plague, alien introductions and water quality’, </w:t>
            </w:r>
            <w:r w:rsidRPr="004D1E6F">
              <w:rPr>
                <w:rFonts w:ascii="Times New Roman" w:eastAsia="Times New Roman" w:hAnsi="Times New Roman" w:cs="Times New Roman"/>
                <w:bCs/>
                <w:i/>
                <w:iCs/>
                <w:sz w:val="20"/>
                <w:szCs w:val="20"/>
                <w:lang w:eastAsia="en-ZA"/>
              </w:rPr>
              <w:t>Aquatic Conservation: Marine &amp; Freshwater Ecosystems</w:t>
            </w:r>
            <w:r w:rsidRPr="004D1E6F">
              <w:rPr>
                <w:rFonts w:ascii="Times New Roman" w:eastAsia="Times New Roman" w:hAnsi="Times New Roman" w:cs="Times New Roman"/>
                <w:bCs/>
                <w:sz w:val="20"/>
                <w:szCs w:val="20"/>
                <w:lang w:eastAsia="en-ZA"/>
              </w:rPr>
              <w:t xml:space="preserve"> </w:t>
            </w:r>
            <w:r w:rsidRPr="004D1E6F">
              <w:rPr>
                <w:rFonts w:ascii="Times New Roman" w:eastAsia="Times New Roman" w:hAnsi="Times New Roman" w:cs="Times New Roman"/>
                <w:bCs/>
                <w:iCs/>
                <w:sz w:val="20"/>
                <w:szCs w:val="20"/>
                <w:lang w:eastAsia="en-ZA"/>
              </w:rPr>
              <w:t>1</w:t>
            </w:r>
            <w:r w:rsidRPr="004D1E6F">
              <w:rPr>
                <w:rFonts w:ascii="Times New Roman" w:eastAsia="Times New Roman" w:hAnsi="Times New Roman" w:cs="Times New Roman"/>
                <w:bCs/>
                <w:sz w:val="20"/>
                <w:szCs w:val="20"/>
                <w:lang w:eastAsia="en-ZA"/>
              </w:rPr>
              <w:t xml:space="preserve">, 139–158. </w:t>
            </w:r>
            <w:hyperlink r:id="rId567" w:history="1">
              <w:r w:rsidR="002B51F7" w:rsidRPr="00F215B9">
                <w:rPr>
                  <w:rStyle w:val="Hyperlink"/>
                  <w:rFonts w:ascii="Times New Roman" w:eastAsia="Times New Roman" w:hAnsi="Times New Roman" w:cs="Times New Roman"/>
                  <w:bCs/>
                  <w:sz w:val="20"/>
                  <w:szCs w:val="20"/>
                  <w:lang w:eastAsia="en-ZA"/>
                </w:rPr>
                <w:t>https://doi.org/10.1002/aqc.3270010204</w:t>
              </w:r>
            </w:hyperlink>
            <w:r w:rsidR="0096133C">
              <w:rPr>
                <w:rFonts w:ascii="Times New Roman" w:eastAsia="Times New Roman" w:hAnsi="Times New Roman" w:cs="Times New Roman"/>
                <w:bCs/>
                <w:sz w:val="20"/>
                <w:szCs w:val="20"/>
                <w:lang w:eastAsia="en-ZA"/>
              </w:rPr>
              <w:t>.</w:t>
            </w:r>
            <w:r w:rsidR="002B51F7">
              <w:rPr>
                <w:rFonts w:ascii="Times New Roman" w:eastAsia="Times New Roman" w:hAnsi="Times New Roman" w:cs="Times New Roman"/>
                <w:bCs/>
                <w:sz w:val="20"/>
                <w:szCs w:val="20"/>
                <w:lang w:eastAsia="en-ZA"/>
              </w:rPr>
              <w:t xml:space="preserve"> </w:t>
            </w:r>
          </w:p>
          <w:p w14:paraId="08F49661" w14:textId="67BDD6A1" w:rsidR="002D7080" w:rsidRPr="004D1E6F" w:rsidRDefault="002D7080" w:rsidP="004C79F1">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bCs/>
                <w:sz w:val="20"/>
                <w:szCs w:val="20"/>
                <w:lang w:eastAsia="en-ZA"/>
              </w:rPr>
              <w:t xml:space="preserve">Holdich, D.M., Reynolds, J.D. &amp; Sibley, P.J., 2009, ‘A review of the ever increasing threat to European crayfish from non-indigenous crayfish species’, </w:t>
            </w:r>
            <w:r w:rsidRPr="004D1E6F">
              <w:rPr>
                <w:rFonts w:ascii="Times New Roman" w:eastAsia="Times New Roman" w:hAnsi="Times New Roman" w:cs="Times New Roman"/>
                <w:bCs/>
                <w:i/>
                <w:sz w:val="20"/>
                <w:szCs w:val="20"/>
                <w:lang w:eastAsia="en-ZA"/>
              </w:rPr>
              <w:t xml:space="preserve">Knowledge and Management of Aquatic Ecosystems </w:t>
            </w:r>
            <w:r w:rsidRPr="004D1E6F">
              <w:rPr>
                <w:rFonts w:ascii="Times New Roman" w:eastAsia="Times New Roman" w:hAnsi="Times New Roman" w:cs="Times New Roman"/>
                <w:bCs/>
                <w:iCs/>
                <w:sz w:val="20"/>
                <w:szCs w:val="20"/>
                <w:lang w:eastAsia="en-ZA"/>
              </w:rPr>
              <w:t xml:space="preserve">11, </w:t>
            </w:r>
            <w:r w:rsidRPr="004D1E6F">
              <w:rPr>
                <w:rFonts w:ascii="Times New Roman" w:eastAsia="Times New Roman" w:hAnsi="Times New Roman" w:cs="Times New Roman"/>
                <w:bCs/>
                <w:sz w:val="20"/>
                <w:szCs w:val="20"/>
                <w:lang w:eastAsia="en-ZA"/>
              </w:rPr>
              <w:t xml:space="preserve">394–395. </w:t>
            </w:r>
            <w:hyperlink r:id="rId568" w:history="1">
              <w:r w:rsidR="002B51F7" w:rsidRPr="00F215B9">
                <w:rPr>
                  <w:rStyle w:val="Hyperlink"/>
                  <w:rFonts w:ascii="Times New Roman" w:eastAsia="Times New Roman" w:hAnsi="Times New Roman" w:cs="Times New Roman"/>
                  <w:bCs/>
                  <w:sz w:val="20"/>
                  <w:szCs w:val="20"/>
                  <w:lang w:eastAsia="en-ZA"/>
                </w:rPr>
                <w:t>https://doi.org/10.1051/kmae/2009025</w:t>
              </w:r>
            </w:hyperlink>
            <w:r w:rsidR="0096133C">
              <w:rPr>
                <w:rFonts w:ascii="Times New Roman" w:eastAsia="Times New Roman" w:hAnsi="Times New Roman" w:cs="Times New Roman"/>
                <w:bCs/>
                <w:sz w:val="20"/>
                <w:szCs w:val="20"/>
                <w:lang w:eastAsia="en-ZA"/>
              </w:rPr>
              <w:t>.</w:t>
            </w:r>
            <w:r w:rsidR="002B51F7">
              <w:rPr>
                <w:rFonts w:ascii="Times New Roman" w:eastAsia="Times New Roman" w:hAnsi="Times New Roman" w:cs="Times New Roman"/>
                <w:bCs/>
                <w:sz w:val="20"/>
                <w:szCs w:val="20"/>
                <w:lang w:eastAsia="en-ZA"/>
              </w:rPr>
              <w:t xml:space="preserve"> </w:t>
            </w:r>
          </w:p>
          <w:p w14:paraId="2A39AEBA" w14:textId="626289E7" w:rsidR="002D7080" w:rsidRPr="004D1E6F" w:rsidRDefault="002D7080" w:rsidP="004C79F1">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Jackson, M.C., Grey, J., Miller, K., Britton, J.R. &amp; Donohue, I., 2016, ‘Dietary niche constriction when invaders meet natives: Evidence from freshwater decapods’, </w:t>
            </w:r>
            <w:r w:rsidRPr="004D1E6F">
              <w:rPr>
                <w:rFonts w:ascii="Times New Roman" w:eastAsia="Times New Roman" w:hAnsi="Times New Roman" w:cs="Times New Roman"/>
                <w:i/>
                <w:sz w:val="20"/>
                <w:szCs w:val="20"/>
                <w:lang w:eastAsia="en-ZA"/>
              </w:rPr>
              <w:t>Journal of Animal Ecology</w:t>
            </w:r>
            <w:r w:rsidRPr="004D1E6F">
              <w:rPr>
                <w:rFonts w:ascii="Times New Roman" w:eastAsia="Times New Roman" w:hAnsi="Times New Roman" w:cs="Times New Roman"/>
                <w:sz w:val="20"/>
                <w:szCs w:val="20"/>
                <w:lang w:eastAsia="en-ZA"/>
              </w:rPr>
              <w:t xml:space="preserve"> 85, 1098–1107. </w:t>
            </w:r>
            <w:hyperlink r:id="rId569" w:history="1">
              <w:r w:rsidR="002B51F7" w:rsidRPr="000E56EC">
                <w:rPr>
                  <w:rStyle w:val="Hyperlink"/>
                  <w:rFonts w:ascii="Times New Roman" w:eastAsia="Times New Roman" w:hAnsi="Times New Roman" w:cs="Times New Roman"/>
                  <w:sz w:val="20"/>
                  <w:szCs w:val="20"/>
                  <w:lang w:eastAsia="en-ZA"/>
                </w:rPr>
                <w:t>https://doi.org/10.1051/kmae:2005031</w:t>
              </w:r>
            </w:hyperlink>
            <w:r w:rsidR="0096133C">
              <w:rPr>
                <w:rFonts w:ascii="Times New Roman" w:eastAsia="Times New Roman" w:hAnsi="Times New Roman" w:cs="Times New Roman"/>
                <w:sz w:val="20"/>
                <w:szCs w:val="20"/>
                <w:lang w:eastAsia="en-ZA"/>
              </w:rPr>
              <w:t>.</w:t>
            </w:r>
          </w:p>
          <w:p w14:paraId="3C4E277F" w14:textId="3DEDA0A1" w:rsidR="002B51F7" w:rsidRDefault="002D7080" w:rsidP="004C79F1">
            <w:pPr>
              <w:ind w:left="720" w:hanging="720"/>
              <w:contextualSpacing/>
              <w:jc w:val="both"/>
              <w:rPr>
                <w:rFonts w:ascii="Times New Roman" w:eastAsia="Times New Roman" w:hAnsi="Times New Roman" w:cs="Times New Roman"/>
                <w:bCs/>
                <w:sz w:val="20"/>
                <w:szCs w:val="20"/>
                <w:lang w:eastAsia="en-ZA"/>
              </w:rPr>
            </w:pPr>
            <w:r w:rsidRPr="004D1E6F">
              <w:rPr>
                <w:rFonts w:ascii="Times New Roman" w:hAnsi="Times New Roman" w:cs="Times New Roman"/>
                <w:color w:val="222222"/>
                <w:sz w:val="20"/>
                <w:szCs w:val="20"/>
                <w:shd w:val="clear" w:color="auto" w:fill="FFFFFF"/>
              </w:rPr>
              <w:t xml:space="preserve">Lodge, D.M., Deines, A., Gherardi, F., Yeo, D.C., Arcella, T., Baldridge, A.K., et al., </w:t>
            </w:r>
            <w:r w:rsidRPr="004D1E6F">
              <w:rPr>
                <w:rFonts w:ascii="Times New Roman" w:eastAsia="Times New Roman" w:hAnsi="Times New Roman" w:cs="Times New Roman"/>
                <w:sz w:val="20"/>
                <w:szCs w:val="20"/>
                <w:lang w:eastAsia="en-ZA"/>
              </w:rPr>
              <w:t xml:space="preserve">2012, ‘Global introductions of crayfishes: Evaluating the impact of species invasions on ecosystem services’, </w:t>
            </w:r>
            <w:r w:rsidRPr="004D1E6F">
              <w:rPr>
                <w:rFonts w:ascii="Times New Roman" w:eastAsia="Times New Roman" w:hAnsi="Times New Roman" w:cs="Times New Roman"/>
                <w:i/>
                <w:sz w:val="20"/>
                <w:szCs w:val="20"/>
                <w:lang w:eastAsia="en-ZA"/>
              </w:rPr>
              <w:t xml:space="preserve">Annual </w:t>
            </w:r>
            <w:r w:rsidRPr="004D1E6F">
              <w:rPr>
                <w:rFonts w:ascii="Times New Roman" w:eastAsia="Times New Roman" w:hAnsi="Times New Roman" w:cs="Times New Roman"/>
                <w:i/>
                <w:sz w:val="20"/>
                <w:szCs w:val="20"/>
                <w:lang w:eastAsia="en-ZA"/>
              </w:rPr>
              <w:lastRenderedPageBreak/>
              <w:t>Review of Ecology Evolution Systematics</w:t>
            </w:r>
            <w:r w:rsidRPr="004D1E6F">
              <w:rPr>
                <w:rFonts w:ascii="Times New Roman" w:eastAsia="Times New Roman" w:hAnsi="Times New Roman" w:cs="Times New Roman"/>
                <w:sz w:val="20"/>
                <w:szCs w:val="20"/>
                <w:lang w:eastAsia="en-ZA"/>
              </w:rPr>
              <w:t xml:space="preserve"> 43, 449–472. </w:t>
            </w:r>
            <w:r w:rsidR="002B51F7" w:rsidRPr="000E56EC">
              <w:rPr>
                <w:rFonts w:ascii="Times New Roman" w:eastAsia="Times New Roman" w:hAnsi="Times New Roman" w:cs="Times New Roman"/>
                <w:bCs/>
                <w:sz w:val="20"/>
                <w:szCs w:val="20"/>
                <w:lang w:eastAsia="en-ZA"/>
              </w:rPr>
              <w:t>https://doi.org/10.1146/annurev-ecolsys-111511-103919</w:t>
            </w:r>
            <w:r w:rsidR="0096133C">
              <w:rPr>
                <w:rFonts w:ascii="Times New Roman" w:eastAsia="Times New Roman" w:hAnsi="Times New Roman" w:cs="Times New Roman"/>
                <w:bCs/>
                <w:sz w:val="20"/>
                <w:szCs w:val="20"/>
                <w:lang w:eastAsia="en-ZA"/>
              </w:rPr>
              <w:t>..</w:t>
            </w:r>
          </w:p>
          <w:p w14:paraId="1188130E" w14:textId="60381E39" w:rsidR="002D7080" w:rsidRPr="007533C6" w:rsidRDefault="002D7080" w:rsidP="004C79F1">
            <w:pPr>
              <w:ind w:left="720" w:hanging="720"/>
              <w:contextualSpacing/>
              <w:jc w:val="both"/>
              <w:rPr>
                <w:rFonts w:ascii="Times New Roman" w:eastAsia="Times New Roman" w:hAnsi="Times New Roman" w:cs="Times New Roman"/>
                <w:bCs/>
                <w:color w:val="000000" w:themeColor="text1"/>
                <w:sz w:val="20"/>
                <w:szCs w:val="20"/>
                <w:lang w:eastAsia="en-ZA"/>
              </w:rPr>
            </w:pPr>
            <w:r w:rsidRPr="004D1E6F">
              <w:rPr>
                <w:rFonts w:ascii="Times New Roman" w:eastAsia="Times New Roman" w:hAnsi="Times New Roman" w:cs="Times New Roman"/>
                <w:bCs/>
                <w:sz w:val="20"/>
                <w:szCs w:val="20"/>
                <w:lang w:eastAsia="en-ZA"/>
              </w:rPr>
              <w:t xml:space="preserve">Longshaw, M. 2011, ‘Diseases of crayfish: A review’, </w:t>
            </w:r>
            <w:r w:rsidRPr="004D1E6F">
              <w:rPr>
                <w:rFonts w:ascii="Times New Roman" w:eastAsia="Times New Roman" w:hAnsi="Times New Roman" w:cs="Times New Roman"/>
                <w:bCs/>
                <w:i/>
                <w:sz w:val="20"/>
                <w:szCs w:val="20"/>
                <w:lang w:eastAsia="en-ZA"/>
              </w:rPr>
              <w:t>Journal of Invertebrate Pathology</w:t>
            </w:r>
            <w:r w:rsidRPr="004D1E6F">
              <w:rPr>
                <w:rFonts w:ascii="Times New Roman" w:eastAsia="Times New Roman" w:hAnsi="Times New Roman" w:cs="Times New Roman"/>
                <w:bCs/>
                <w:sz w:val="20"/>
                <w:szCs w:val="20"/>
                <w:lang w:eastAsia="en-ZA"/>
              </w:rPr>
              <w:t xml:space="preserve"> 106, 54–70. </w:t>
            </w:r>
            <w:hyperlink r:id="rId570" w:history="1">
              <w:r w:rsidR="002B51F7" w:rsidRPr="000E56EC">
                <w:rPr>
                  <w:rStyle w:val="Hyperlink"/>
                  <w:rFonts w:ascii="Times New Roman" w:eastAsia="Times New Roman" w:hAnsi="Times New Roman" w:cs="Times New Roman"/>
                  <w:bCs/>
                  <w:sz w:val="20"/>
                  <w:szCs w:val="20"/>
                  <w:lang w:eastAsia="en-ZA"/>
                </w:rPr>
                <w:t>https://doi.org/10.1016/j.jip.2010.09.013</w:t>
              </w:r>
            </w:hyperlink>
            <w:r w:rsidR="0096133C">
              <w:rPr>
                <w:rFonts w:ascii="Times New Roman" w:eastAsia="Times New Roman" w:hAnsi="Times New Roman" w:cs="Times New Roman"/>
                <w:bCs/>
                <w:color w:val="000000" w:themeColor="text1"/>
                <w:sz w:val="20"/>
                <w:szCs w:val="20"/>
                <w:lang w:eastAsia="en-ZA"/>
              </w:rPr>
              <w:t>.</w:t>
            </w:r>
          </w:p>
          <w:p w14:paraId="2C4FB8BC" w14:textId="77777777" w:rsidR="002D7080" w:rsidRPr="004D1E6F" w:rsidRDefault="002D7080" w:rsidP="004C79F1">
            <w:pPr>
              <w:ind w:left="720" w:hanging="720"/>
              <w:contextualSpacing/>
              <w:jc w:val="both"/>
              <w:rPr>
                <w:rFonts w:ascii="Times New Roman" w:eastAsia="Times New Roman" w:hAnsi="Times New Roman" w:cs="Times New Roman"/>
                <w:bCs/>
                <w:sz w:val="20"/>
                <w:szCs w:val="20"/>
                <w:lang w:eastAsia="en-ZA"/>
              </w:rPr>
            </w:pPr>
            <w:r w:rsidRPr="007533C6">
              <w:rPr>
                <w:rFonts w:ascii="Times New Roman" w:hAnsi="Times New Roman" w:cs="Times New Roman"/>
                <w:color w:val="000000" w:themeColor="text1"/>
                <w:sz w:val="20"/>
                <w:szCs w:val="20"/>
                <w:shd w:val="clear" w:color="auto" w:fill="FFFFFF"/>
              </w:rPr>
              <w:t xml:space="preserve">Souty-Grosset, C., Anastacio, P.M., Aquiloni, L., Banha, F., Choquer, J., Chucholl, C., et al., </w:t>
            </w:r>
            <w:r w:rsidRPr="007533C6">
              <w:rPr>
                <w:rFonts w:ascii="Times New Roman" w:eastAsia="Times New Roman" w:hAnsi="Times New Roman" w:cs="Times New Roman"/>
                <w:bCs/>
                <w:color w:val="000000" w:themeColor="text1"/>
                <w:sz w:val="20"/>
                <w:szCs w:val="20"/>
                <w:lang w:eastAsia="en-ZA"/>
              </w:rPr>
              <w:t xml:space="preserve">2016, ‘The red swamp crayfish </w:t>
            </w:r>
            <w:r w:rsidRPr="007533C6">
              <w:rPr>
                <w:rFonts w:ascii="Times New Roman" w:eastAsia="Times New Roman" w:hAnsi="Times New Roman" w:cs="Times New Roman"/>
                <w:bCs/>
                <w:i/>
                <w:color w:val="000000" w:themeColor="text1"/>
                <w:sz w:val="20"/>
                <w:szCs w:val="20"/>
                <w:lang w:eastAsia="en-ZA"/>
              </w:rPr>
              <w:t>Procambarus clarkii</w:t>
            </w:r>
            <w:r w:rsidRPr="007533C6">
              <w:rPr>
                <w:rFonts w:ascii="Times New Roman" w:eastAsia="Times New Roman" w:hAnsi="Times New Roman" w:cs="Times New Roman"/>
                <w:bCs/>
                <w:color w:val="000000" w:themeColor="text1"/>
                <w:sz w:val="20"/>
                <w:szCs w:val="20"/>
                <w:lang w:eastAsia="en-ZA"/>
              </w:rPr>
              <w:t xml:space="preserve"> in Europe: Impacts on aquatic ecosystems and human well-being’, </w:t>
            </w:r>
            <w:r w:rsidRPr="007533C6">
              <w:rPr>
                <w:rFonts w:ascii="Times New Roman" w:eastAsia="Times New Roman" w:hAnsi="Times New Roman" w:cs="Times New Roman"/>
                <w:bCs/>
                <w:i/>
                <w:color w:val="000000" w:themeColor="text1"/>
                <w:sz w:val="20"/>
                <w:szCs w:val="20"/>
                <w:lang w:eastAsia="en-ZA"/>
              </w:rPr>
              <w:t>Limnologica</w:t>
            </w:r>
            <w:r w:rsidRPr="007533C6">
              <w:rPr>
                <w:rFonts w:ascii="Times New Roman" w:eastAsia="Times New Roman" w:hAnsi="Times New Roman" w:cs="Times New Roman"/>
                <w:bCs/>
                <w:color w:val="000000" w:themeColor="text1"/>
                <w:sz w:val="20"/>
                <w:szCs w:val="20"/>
                <w:lang w:eastAsia="en-ZA"/>
              </w:rPr>
              <w:t xml:space="preserve"> 58, 78–93. https://doi.org/10.1016/j.limno.2016.03.003.</w:t>
            </w:r>
          </w:p>
        </w:tc>
      </w:tr>
    </w:tbl>
    <w:p w14:paraId="7CD6DBB0" w14:textId="77777777" w:rsidR="002D7080" w:rsidRPr="004D1E6F" w:rsidRDefault="002D7080" w:rsidP="002D7080">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5949"/>
        <w:gridCol w:w="3067"/>
      </w:tblGrid>
      <w:tr w:rsidR="002D7080" w:rsidRPr="004D1E6F" w14:paraId="568311F8" w14:textId="77777777" w:rsidTr="002E2C37">
        <w:trPr>
          <w:trHeight w:val="343"/>
        </w:trPr>
        <w:tc>
          <w:tcPr>
            <w:tcW w:w="9016" w:type="dxa"/>
            <w:gridSpan w:val="2"/>
            <w:shd w:val="clear" w:color="auto" w:fill="F2F2F2" w:themeFill="background1" w:themeFillShade="F2"/>
          </w:tcPr>
          <w:p w14:paraId="59B6D7D6"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CON2 Socio-economic impact</w:t>
            </w:r>
          </w:p>
        </w:tc>
      </w:tr>
      <w:tr w:rsidR="002D7080" w:rsidRPr="004D1E6F" w14:paraId="4A8A983E" w14:textId="77777777" w:rsidTr="002E2C37">
        <w:tc>
          <w:tcPr>
            <w:tcW w:w="9016" w:type="dxa"/>
            <w:gridSpan w:val="2"/>
            <w:shd w:val="clear" w:color="auto" w:fill="F2F2F2" w:themeFill="background1" w:themeFillShade="F2"/>
          </w:tcPr>
          <w:p w14:paraId="7D554024"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CON2a: Safety</w:t>
            </w:r>
          </w:p>
        </w:tc>
      </w:tr>
      <w:tr w:rsidR="002D7080" w:rsidRPr="004D1E6F" w14:paraId="66C29C9D" w14:textId="77777777" w:rsidTr="002E2C37">
        <w:tc>
          <w:tcPr>
            <w:tcW w:w="5949" w:type="dxa"/>
          </w:tcPr>
          <w:p w14:paraId="41FF636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 xml:space="preserve">Response: </w:t>
            </w:r>
            <w:r w:rsidRPr="004D1E6F">
              <w:rPr>
                <w:rFonts w:ascii="Times New Roman" w:eastAsia="Times New Roman" w:hAnsi="Times New Roman" w:cs="Times New Roman"/>
                <w:sz w:val="20"/>
                <w:szCs w:val="20"/>
                <w:lang w:eastAsia="en-ZA"/>
              </w:rPr>
              <w:t>Data Deficient (DD)</w:t>
            </w:r>
          </w:p>
        </w:tc>
        <w:tc>
          <w:tcPr>
            <w:tcW w:w="3067" w:type="dxa"/>
          </w:tcPr>
          <w:p w14:paraId="7D95614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Confidence: Low</w:t>
            </w:r>
          </w:p>
        </w:tc>
      </w:tr>
      <w:tr w:rsidR="002D7080" w:rsidRPr="004D1E6F" w14:paraId="212A162F" w14:textId="77777777" w:rsidTr="002E2C37">
        <w:trPr>
          <w:trHeight w:val="70"/>
        </w:trPr>
        <w:tc>
          <w:tcPr>
            <w:tcW w:w="9016" w:type="dxa"/>
            <w:gridSpan w:val="2"/>
          </w:tcPr>
          <w:p w14:paraId="52FF248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660A7C0C" w14:textId="77777777" w:rsidTr="002E2C37">
        <w:trPr>
          <w:trHeight w:val="70"/>
        </w:trPr>
        <w:tc>
          <w:tcPr>
            <w:tcW w:w="9016" w:type="dxa"/>
            <w:gridSpan w:val="2"/>
          </w:tcPr>
          <w:p w14:paraId="66A1BE3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7F69F6D0" w14:textId="77777777" w:rsidTr="002E2C37">
        <w:tc>
          <w:tcPr>
            <w:tcW w:w="9016" w:type="dxa"/>
            <w:gridSpan w:val="2"/>
            <w:shd w:val="clear" w:color="auto" w:fill="F2F2F2" w:themeFill="background1" w:themeFillShade="F2"/>
          </w:tcPr>
          <w:p w14:paraId="3B45CA2D"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CON2b: Material and immaterial assets</w:t>
            </w:r>
          </w:p>
        </w:tc>
      </w:tr>
      <w:tr w:rsidR="002D7080" w:rsidRPr="004D1E6F" w14:paraId="7FDD6548" w14:textId="77777777" w:rsidTr="002E2C37">
        <w:tc>
          <w:tcPr>
            <w:tcW w:w="5949" w:type="dxa"/>
          </w:tcPr>
          <w:p w14:paraId="1F2E7AE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Response: Moderate (MO)</w:t>
            </w:r>
          </w:p>
        </w:tc>
        <w:tc>
          <w:tcPr>
            <w:tcW w:w="3067" w:type="dxa"/>
          </w:tcPr>
          <w:p w14:paraId="552ECF8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Confidence: Medium</w:t>
            </w:r>
          </w:p>
        </w:tc>
      </w:tr>
      <w:tr w:rsidR="002D7080" w:rsidRPr="004D1E6F" w14:paraId="2C2660EE" w14:textId="77777777" w:rsidTr="002E2C37">
        <w:trPr>
          <w:trHeight w:val="128"/>
        </w:trPr>
        <w:tc>
          <w:tcPr>
            <w:tcW w:w="9016" w:type="dxa"/>
            <w:gridSpan w:val="2"/>
          </w:tcPr>
          <w:p w14:paraId="6B836E2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 xml:space="preserve">Rationale: </w:t>
            </w:r>
            <w:r w:rsidRPr="004D1E6F">
              <w:rPr>
                <w:rFonts w:ascii="Times New Roman" w:hAnsi="Times New Roman" w:cs="Times New Roman"/>
                <w:i/>
                <w:sz w:val="20"/>
                <w:szCs w:val="20"/>
              </w:rPr>
              <w:t>Procambarus clarkii</w:t>
            </w:r>
            <w:r w:rsidRPr="004D1E6F">
              <w:rPr>
                <w:rFonts w:ascii="Times New Roman" w:hAnsi="Times New Roman" w:cs="Times New Roman"/>
                <w:sz w:val="20"/>
                <w:szCs w:val="20"/>
              </w:rPr>
              <w:t xml:space="preserve"> often inhabits agricultural fields and their burrowing activities can cause damage to infrastructure such as irrigation canals and dam walls (Arce &amp; Diéguez-Uribeondo 2015; Lodge et al. 2012). Burrowing activities can also alter soil hydrology leading to water loss. Grazing causes crop damage and reduces yield (Anastácio et al. 2005). In Europe and North Africa,</w:t>
            </w:r>
            <w:r w:rsidRPr="004D1E6F" w:rsidDel="005F442A">
              <w:rPr>
                <w:rFonts w:ascii="Times New Roman" w:hAnsi="Times New Roman" w:cs="Times New Roman"/>
                <w:sz w:val="20"/>
                <w:szCs w:val="20"/>
              </w:rPr>
              <w:t xml:space="preserve"> </w:t>
            </w:r>
            <w:r w:rsidRPr="004D1E6F">
              <w:rPr>
                <w:rFonts w:ascii="Times New Roman" w:hAnsi="Times New Roman" w:cs="Times New Roman"/>
                <w:sz w:val="20"/>
                <w:szCs w:val="20"/>
              </w:rPr>
              <w:t xml:space="preserve"> </w:t>
            </w:r>
            <w:r w:rsidRPr="004D1E6F">
              <w:rPr>
                <w:rFonts w:ascii="Times New Roman" w:hAnsi="Times New Roman" w:cs="Times New Roman"/>
                <w:i/>
                <w:sz w:val="20"/>
                <w:szCs w:val="20"/>
              </w:rPr>
              <w:t>P. clarkii</w:t>
            </w:r>
            <w:r w:rsidRPr="004D1E6F">
              <w:rPr>
                <w:rFonts w:ascii="Times New Roman" w:hAnsi="Times New Roman" w:cs="Times New Roman"/>
                <w:sz w:val="20"/>
                <w:szCs w:val="20"/>
              </w:rPr>
              <w:t xml:space="preserve"> affected rice production through field water loss, damage to rice field banks and ditches, direct consumption of rice seed and plants, and clogging of pipes </w:t>
            </w:r>
            <w:r w:rsidRPr="004D1E6F">
              <w:rPr>
                <w:rFonts w:ascii="Times New Roman" w:hAnsi="Times New Roman" w:cs="Times New Roman"/>
                <w:sz w:val="20"/>
                <w:szCs w:val="20"/>
              </w:rPr>
              <w:fldChar w:fldCharType="begin" w:fldLock="1"/>
            </w:r>
            <w:r w:rsidRPr="004D1E6F">
              <w:rPr>
                <w:rFonts w:ascii="Times New Roman" w:hAnsi="Times New Roman" w:cs="Times New Roman"/>
                <w:sz w:val="20"/>
                <w:szCs w:val="20"/>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"(Souty-grosset et al. 2016)", "plainTextFormattedCitation" : "(Souty-grosset et al. 2016)", "previouslyFormattedCitation" : "(Souty-grosset et al. 2016)" }, "properties" : { "noteIndex" : 0 }, "schema" : "https://github.com/citation-style-language/schema/raw/master/csl-citation.json" }</w:instrText>
            </w:r>
            <w:r w:rsidRPr="004D1E6F">
              <w:rPr>
                <w:rFonts w:ascii="Times New Roman" w:hAnsi="Times New Roman" w:cs="Times New Roman"/>
                <w:sz w:val="20"/>
                <w:szCs w:val="20"/>
              </w:rPr>
              <w:fldChar w:fldCharType="separate"/>
            </w:r>
            <w:r w:rsidRPr="004D1E6F">
              <w:rPr>
                <w:rFonts w:ascii="Times New Roman" w:hAnsi="Times New Roman" w:cs="Times New Roman"/>
                <w:sz w:val="20"/>
                <w:szCs w:val="20"/>
              </w:rPr>
              <w:t>(Abdel-Kader 2016; Sara &amp; El Moutaouaki 2019; Souty-Grosset et al. 2016)</w:t>
            </w:r>
            <w:r w:rsidRPr="004D1E6F">
              <w:rPr>
                <w:rFonts w:ascii="Times New Roman" w:hAnsi="Times New Roman" w:cs="Times New Roman"/>
                <w:sz w:val="20"/>
                <w:szCs w:val="20"/>
              </w:rPr>
              <w:fldChar w:fldCharType="end"/>
            </w:r>
            <w:r w:rsidRPr="004D1E6F">
              <w:rPr>
                <w:rFonts w:ascii="Times New Roman" w:hAnsi="Times New Roman" w:cs="Times New Roman"/>
                <w:sz w:val="20"/>
                <w:szCs w:val="20"/>
              </w:rPr>
              <w:t>.</w:t>
            </w:r>
            <w:r w:rsidRPr="004D1E6F">
              <w:rPr>
                <w:rFonts w:ascii="Times New Roman" w:hAnsi="Times New Roman" w:cs="Times New Roman"/>
                <w:i/>
                <w:sz w:val="20"/>
                <w:szCs w:val="20"/>
              </w:rPr>
              <w:t xml:space="preserve"> Procambarus clarkii</w:t>
            </w:r>
            <w:r w:rsidRPr="004D1E6F">
              <w:rPr>
                <w:rFonts w:ascii="Times New Roman" w:hAnsi="Times New Roman" w:cs="Times New Roman"/>
                <w:sz w:val="20"/>
                <w:szCs w:val="20"/>
              </w:rPr>
              <w:t xml:space="preserve"> affects the fishing industry by damaging gill nets and spoiling the fish caught in the nets (Gherardi et al. 2011).</w:t>
            </w:r>
          </w:p>
        </w:tc>
      </w:tr>
      <w:tr w:rsidR="002D7080" w:rsidRPr="004D1E6F" w14:paraId="128108F8" w14:textId="77777777" w:rsidTr="002E2C37">
        <w:trPr>
          <w:trHeight w:val="70"/>
        </w:trPr>
        <w:tc>
          <w:tcPr>
            <w:tcW w:w="9016" w:type="dxa"/>
            <w:gridSpan w:val="2"/>
          </w:tcPr>
          <w:p w14:paraId="5761674C" w14:textId="77777777" w:rsidR="002D7080" w:rsidRPr="004D1E6F" w:rsidRDefault="002D7080" w:rsidP="003635A5">
            <w:pPr>
              <w:contextualSpacing/>
              <w:jc w:val="both"/>
              <w:rPr>
                <w:rFonts w:ascii="Times New Roman" w:hAnsi="Times New Roman" w:cs="Times New Roman"/>
                <w:sz w:val="20"/>
                <w:szCs w:val="20"/>
              </w:rPr>
            </w:pPr>
            <w:r w:rsidRPr="004D1E6F">
              <w:rPr>
                <w:rFonts w:ascii="Times New Roman" w:hAnsi="Times New Roman" w:cs="Times New Roman"/>
                <w:sz w:val="20"/>
                <w:szCs w:val="20"/>
              </w:rPr>
              <w:t>References:</w:t>
            </w:r>
          </w:p>
          <w:p w14:paraId="4EC4AA79" w14:textId="5F55D92C" w:rsidR="002D7080" w:rsidRPr="004D1E6F" w:rsidRDefault="002D7080" w:rsidP="003635A5">
            <w:pPr>
              <w:ind w:left="709" w:hanging="709"/>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Abdel-Kader, S.M., 2016, ‘Some ecological and toxicological studies on crayfish, </w:t>
            </w:r>
            <w:r w:rsidRPr="004D1E6F">
              <w:rPr>
                <w:rFonts w:ascii="Times New Roman" w:hAnsi="Times New Roman" w:cs="Times New Roman"/>
                <w:i/>
                <w:iCs/>
                <w:sz w:val="20"/>
                <w:szCs w:val="20"/>
              </w:rPr>
              <w:t xml:space="preserve">Procambarus clarkii </w:t>
            </w:r>
            <w:r w:rsidRPr="004D1E6F">
              <w:rPr>
                <w:rFonts w:ascii="Times New Roman" w:hAnsi="Times New Roman" w:cs="Times New Roman"/>
                <w:sz w:val="20"/>
                <w:szCs w:val="20"/>
              </w:rPr>
              <w:t xml:space="preserve">at Sharkia governorate,’ </w:t>
            </w:r>
            <w:r w:rsidRPr="004D1E6F">
              <w:rPr>
                <w:rFonts w:ascii="Times New Roman" w:hAnsi="Times New Roman" w:cs="Times New Roman"/>
                <w:i/>
                <w:iCs/>
                <w:sz w:val="20"/>
                <w:szCs w:val="20"/>
              </w:rPr>
              <w:t>Journal of Basic and Applied Zoology</w:t>
            </w:r>
            <w:r w:rsidRPr="004D1E6F">
              <w:rPr>
                <w:rFonts w:ascii="Times New Roman" w:hAnsi="Times New Roman" w:cs="Times New Roman"/>
                <w:sz w:val="20"/>
                <w:szCs w:val="20"/>
              </w:rPr>
              <w:t xml:space="preserve"> 74, 62–67. </w:t>
            </w:r>
            <w:hyperlink r:id="rId571" w:history="1">
              <w:r w:rsidR="00A91D2B" w:rsidRPr="00F215B9">
                <w:rPr>
                  <w:rStyle w:val="Hyperlink"/>
                  <w:rFonts w:ascii="Times New Roman" w:hAnsi="Times New Roman" w:cs="Times New Roman"/>
                  <w:sz w:val="20"/>
                  <w:szCs w:val="20"/>
                </w:rPr>
                <w:t>https://doi.org/10.1016/j.jobaz.2016.08.001</w:t>
              </w:r>
            </w:hyperlink>
            <w:r w:rsidRPr="004D1E6F">
              <w:rPr>
                <w:rFonts w:ascii="Times New Roman" w:hAnsi="Times New Roman" w:cs="Times New Roman"/>
                <w:sz w:val="20"/>
                <w:szCs w:val="20"/>
              </w:rPr>
              <w:t>.</w:t>
            </w:r>
            <w:r w:rsidR="00A91D2B">
              <w:rPr>
                <w:rFonts w:ascii="Times New Roman" w:hAnsi="Times New Roman" w:cs="Times New Roman"/>
                <w:sz w:val="20"/>
                <w:szCs w:val="20"/>
              </w:rPr>
              <w:t xml:space="preserve"> </w:t>
            </w:r>
          </w:p>
          <w:p w14:paraId="69CCB1F5" w14:textId="63EC5376" w:rsidR="002D7080" w:rsidRPr="004D1E6F" w:rsidRDefault="002D7080" w:rsidP="003635A5">
            <w:pPr>
              <w:ind w:left="720" w:hanging="720"/>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Anastácio, P.M., Correia, A.M. &amp; Menino, J.P., 2005, ‘Processes and patterns of plant destruction by crayfish: effects of crayfish size and developmental stages of rice’, </w:t>
            </w:r>
            <w:r w:rsidRPr="004D1E6F">
              <w:rPr>
                <w:rFonts w:ascii="Times New Roman" w:hAnsi="Times New Roman" w:cs="Times New Roman"/>
                <w:i/>
                <w:sz w:val="20"/>
                <w:szCs w:val="20"/>
              </w:rPr>
              <w:t xml:space="preserve">Archiv für Hydrobiologie </w:t>
            </w:r>
            <w:r w:rsidRPr="004D1E6F">
              <w:rPr>
                <w:rFonts w:ascii="Times New Roman" w:hAnsi="Times New Roman" w:cs="Times New Roman"/>
                <w:sz w:val="20"/>
                <w:szCs w:val="20"/>
              </w:rPr>
              <w:t xml:space="preserve">162, 37–51, </w:t>
            </w:r>
            <w:r w:rsidR="00A91D2B" w:rsidRPr="00D66918">
              <w:rPr>
                <w:rFonts w:ascii="Times New Roman" w:hAnsi="Times New Roman" w:cs="Times New Roman"/>
                <w:sz w:val="20"/>
                <w:szCs w:val="20"/>
              </w:rPr>
              <w:t>https://doi.org/10.1127/0003-9136/2005/0162-0037</w:t>
            </w:r>
            <w:r w:rsidRPr="004D1E6F">
              <w:rPr>
                <w:rFonts w:ascii="Times New Roman" w:hAnsi="Times New Roman" w:cs="Times New Roman"/>
                <w:sz w:val="20"/>
                <w:szCs w:val="20"/>
              </w:rPr>
              <w:t>.</w:t>
            </w:r>
          </w:p>
          <w:p w14:paraId="6CD3E136" w14:textId="7C4ABF23" w:rsidR="002D7080" w:rsidRPr="004D1E6F" w:rsidRDefault="002D7080" w:rsidP="003635A5">
            <w:pPr>
              <w:ind w:left="720" w:hanging="720"/>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Arce, J.A. &amp; Diéguez-Uribeondo, J., 2015, ‘Structural damage caused by the invasive crayfish </w:t>
            </w:r>
            <w:r w:rsidRPr="004D1E6F">
              <w:rPr>
                <w:rFonts w:ascii="Times New Roman" w:hAnsi="Times New Roman" w:cs="Times New Roman"/>
                <w:i/>
                <w:sz w:val="20"/>
                <w:szCs w:val="20"/>
              </w:rPr>
              <w:t>Procambarus clarkii</w:t>
            </w:r>
            <w:r w:rsidRPr="004D1E6F">
              <w:rPr>
                <w:rFonts w:ascii="Times New Roman" w:hAnsi="Times New Roman" w:cs="Times New Roman"/>
                <w:sz w:val="20"/>
                <w:szCs w:val="20"/>
              </w:rPr>
              <w:t xml:space="preserve"> (Girard, 1852) in rice fields of the Iberian Peninsula: A study case’, </w:t>
            </w:r>
            <w:r w:rsidRPr="004D1E6F">
              <w:rPr>
                <w:rFonts w:ascii="Times New Roman" w:hAnsi="Times New Roman" w:cs="Times New Roman"/>
                <w:i/>
                <w:sz w:val="20"/>
                <w:szCs w:val="20"/>
              </w:rPr>
              <w:t>Fundamental and Applied Limnology</w:t>
            </w:r>
            <w:r w:rsidRPr="004D1E6F">
              <w:rPr>
                <w:rFonts w:ascii="Times New Roman" w:hAnsi="Times New Roman" w:cs="Times New Roman"/>
                <w:sz w:val="20"/>
                <w:szCs w:val="20"/>
              </w:rPr>
              <w:t xml:space="preserve"> 186, 259–269. </w:t>
            </w:r>
            <w:hyperlink r:id="rId572" w:history="1">
              <w:r w:rsidR="00A91D2B" w:rsidRPr="00D66918">
                <w:rPr>
                  <w:rStyle w:val="Hyperlink"/>
                  <w:rFonts w:ascii="Times New Roman" w:hAnsi="Times New Roman" w:cs="Times New Roman"/>
                  <w:sz w:val="20"/>
                  <w:szCs w:val="20"/>
                </w:rPr>
                <w:t>https://doi.org/10.1127/fal/2015/0715</w:t>
              </w:r>
            </w:hyperlink>
            <w:r w:rsidRPr="004D1E6F">
              <w:rPr>
                <w:rFonts w:ascii="Times New Roman" w:hAnsi="Times New Roman" w:cs="Times New Roman"/>
                <w:sz w:val="20"/>
                <w:szCs w:val="20"/>
              </w:rPr>
              <w:t>.</w:t>
            </w:r>
          </w:p>
          <w:p w14:paraId="1773D353" w14:textId="5A93A9C9" w:rsidR="002D7080" w:rsidRPr="004D1E6F" w:rsidRDefault="002D7080" w:rsidP="003635A5">
            <w:pPr>
              <w:ind w:left="720" w:hanging="720"/>
              <w:contextualSpacing/>
              <w:jc w:val="both"/>
              <w:rPr>
                <w:rFonts w:ascii="Times New Roman" w:hAnsi="Times New Roman" w:cs="Times New Roman"/>
                <w:sz w:val="20"/>
                <w:szCs w:val="20"/>
              </w:rPr>
            </w:pPr>
            <w:r w:rsidRPr="004D1E6F">
              <w:rPr>
                <w:rFonts w:ascii="Times New Roman" w:hAnsi="Times New Roman" w:cs="Times New Roman"/>
                <w:sz w:val="20"/>
                <w:szCs w:val="20"/>
              </w:rPr>
              <w:t xml:space="preserve">Gherardi, F., Britton, J.R., Mavuti, K.M., Pacini, N., Grey, J., Tricarico, E., et al., 2011, ‘A review of allodiversity in Lake Naivasha, Kenya: Developing conservation actions to protect East African lakes from the negative impacts of alien species’, </w:t>
            </w:r>
            <w:r w:rsidRPr="004D1E6F">
              <w:rPr>
                <w:rFonts w:ascii="Times New Roman" w:hAnsi="Times New Roman" w:cs="Times New Roman"/>
                <w:i/>
                <w:sz w:val="20"/>
                <w:szCs w:val="20"/>
              </w:rPr>
              <w:t xml:space="preserve">Biological </w:t>
            </w:r>
            <w:r w:rsidRPr="004D1E6F">
              <w:rPr>
                <w:rFonts w:ascii="Times New Roman" w:hAnsi="Times New Roman" w:cs="Times New Roman"/>
                <w:sz w:val="20"/>
                <w:szCs w:val="20"/>
              </w:rPr>
              <w:t xml:space="preserve">Conservation 144, 2585–2596. </w:t>
            </w:r>
            <w:r w:rsidR="00A91D2B" w:rsidRPr="00A91D2B">
              <w:rPr>
                <w:rFonts w:ascii="Times New Roman" w:hAnsi="Times New Roman" w:cs="Times New Roman"/>
                <w:sz w:val="20"/>
                <w:szCs w:val="20"/>
              </w:rPr>
              <w:t xml:space="preserve">,  </w:t>
            </w:r>
            <w:hyperlink r:id="rId573" w:history="1">
              <w:r w:rsidR="00A91D2B" w:rsidRPr="00A91D2B">
                <w:rPr>
                  <w:rStyle w:val="Hyperlink"/>
                  <w:rFonts w:ascii="Times New Roman" w:hAnsi="Times New Roman" w:cs="Times New Roman"/>
                  <w:sz w:val="20"/>
                  <w:szCs w:val="20"/>
                </w:rPr>
                <w:t>https://doi.org/10.1016/j.biocon.2011.07.020</w:t>
              </w:r>
            </w:hyperlink>
            <w:r w:rsidRPr="004D1E6F">
              <w:rPr>
                <w:rFonts w:ascii="Times New Roman" w:hAnsi="Times New Roman" w:cs="Times New Roman"/>
                <w:sz w:val="20"/>
                <w:szCs w:val="20"/>
              </w:rPr>
              <w:t>.</w:t>
            </w:r>
          </w:p>
          <w:p w14:paraId="3F3B4FC5" w14:textId="127F9BE9" w:rsidR="00A91D2B" w:rsidRDefault="002D7080" w:rsidP="003635A5">
            <w:pPr>
              <w:ind w:left="720" w:hanging="720"/>
              <w:contextualSpacing/>
              <w:jc w:val="both"/>
              <w:rPr>
                <w:rFonts w:ascii="Times New Roman" w:eastAsia="Times New Roman" w:hAnsi="Times New Roman" w:cs="Times New Roman"/>
                <w:bCs/>
                <w:sz w:val="20"/>
                <w:szCs w:val="20"/>
                <w:lang w:eastAsia="en-ZA"/>
              </w:rPr>
            </w:pPr>
            <w:r w:rsidRPr="004D1E6F">
              <w:rPr>
                <w:rFonts w:ascii="Times New Roman" w:hAnsi="Times New Roman" w:cs="Times New Roman"/>
                <w:color w:val="222222"/>
                <w:sz w:val="20"/>
                <w:szCs w:val="20"/>
                <w:shd w:val="clear" w:color="auto" w:fill="FFFFFF"/>
              </w:rPr>
              <w:t xml:space="preserve">Lodge, D.M., Deines, A., Gherardi, F., Yeo, D.C., Arcella, T., Baldridge, A.K., et al., </w:t>
            </w:r>
            <w:r w:rsidRPr="004D1E6F">
              <w:rPr>
                <w:rFonts w:ascii="Times New Roman" w:eastAsia="Times New Roman" w:hAnsi="Times New Roman" w:cs="Times New Roman"/>
                <w:sz w:val="20"/>
                <w:szCs w:val="20"/>
                <w:lang w:eastAsia="en-ZA"/>
              </w:rPr>
              <w:t xml:space="preserve">2012, ‘Global introductions of crayfishes: Evaluating the impact of species invasions on ecosystem services’, </w:t>
            </w:r>
            <w:r w:rsidRPr="004D1E6F">
              <w:rPr>
                <w:rFonts w:ascii="Times New Roman" w:eastAsia="Times New Roman" w:hAnsi="Times New Roman" w:cs="Times New Roman"/>
                <w:i/>
                <w:sz w:val="20"/>
                <w:szCs w:val="20"/>
                <w:lang w:eastAsia="en-ZA"/>
              </w:rPr>
              <w:t>Annual Review of Ecology Evolution Systematics</w:t>
            </w:r>
            <w:r w:rsidRPr="004D1E6F">
              <w:rPr>
                <w:rFonts w:ascii="Times New Roman" w:eastAsia="Times New Roman" w:hAnsi="Times New Roman" w:cs="Times New Roman"/>
                <w:sz w:val="20"/>
                <w:szCs w:val="20"/>
                <w:lang w:eastAsia="en-ZA"/>
              </w:rPr>
              <w:t xml:space="preserve"> 43, 449–472. </w:t>
            </w:r>
            <w:r w:rsidR="00A91D2B" w:rsidRPr="000E56EC">
              <w:rPr>
                <w:rFonts w:ascii="Times New Roman" w:eastAsia="Times New Roman" w:hAnsi="Times New Roman" w:cs="Times New Roman"/>
                <w:bCs/>
                <w:sz w:val="20"/>
                <w:szCs w:val="20"/>
                <w:lang w:eastAsia="en-ZA"/>
              </w:rPr>
              <w:t>https://doi.org/10.1146/annurev-ecolsys-111511-103919</w:t>
            </w:r>
            <w:r w:rsidR="0096133C">
              <w:rPr>
                <w:rFonts w:ascii="Times New Roman" w:eastAsia="Times New Roman" w:hAnsi="Times New Roman" w:cs="Times New Roman"/>
                <w:bCs/>
                <w:sz w:val="20"/>
                <w:szCs w:val="20"/>
                <w:lang w:eastAsia="en-ZA"/>
              </w:rPr>
              <w:t>.</w:t>
            </w:r>
          </w:p>
          <w:p w14:paraId="091649D1" w14:textId="448CE2A1" w:rsidR="002D7080" w:rsidRPr="004D1E6F" w:rsidRDefault="002D7080" w:rsidP="003635A5">
            <w:pPr>
              <w:ind w:left="720" w:hanging="720"/>
              <w:contextualSpacing/>
              <w:jc w:val="both"/>
              <w:rPr>
                <w:rFonts w:ascii="Times New Roman" w:eastAsia="Times New Roman" w:hAnsi="Times New Roman" w:cs="Times New Roman"/>
                <w:bCs/>
                <w:sz w:val="20"/>
                <w:szCs w:val="20"/>
                <w:lang w:eastAsia="en-ZA"/>
              </w:rPr>
            </w:pPr>
            <w:r w:rsidRPr="004D1E6F">
              <w:rPr>
                <w:rFonts w:ascii="Times New Roman" w:eastAsia="Times New Roman" w:hAnsi="Times New Roman" w:cs="Times New Roman"/>
                <w:bCs/>
                <w:sz w:val="20"/>
                <w:szCs w:val="20"/>
                <w:lang w:eastAsia="en-ZA"/>
              </w:rPr>
              <w:t xml:space="preserve">Sara, S. &amp; El Moutaouakil, M.E., 2019, ‘Study on the Spread of </w:t>
            </w:r>
            <w:r w:rsidRPr="004D1E6F">
              <w:rPr>
                <w:rFonts w:ascii="Times New Roman" w:eastAsia="Times New Roman" w:hAnsi="Times New Roman" w:cs="Times New Roman"/>
                <w:bCs/>
                <w:i/>
                <w:iCs/>
                <w:sz w:val="20"/>
                <w:szCs w:val="20"/>
                <w:lang w:eastAsia="en-ZA"/>
              </w:rPr>
              <w:t>Procambarus clarkii</w:t>
            </w:r>
            <w:r w:rsidRPr="004D1E6F">
              <w:rPr>
                <w:rFonts w:ascii="Times New Roman" w:eastAsia="Times New Roman" w:hAnsi="Times New Roman" w:cs="Times New Roman"/>
                <w:bCs/>
                <w:sz w:val="20"/>
                <w:szCs w:val="20"/>
                <w:lang w:eastAsia="en-ZA"/>
              </w:rPr>
              <w:t xml:space="preserve"> at Gharb (Morocco) and its impact on rice growing’, </w:t>
            </w:r>
            <w:r w:rsidRPr="004D1E6F">
              <w:rPr>
                <w:rFonts w:ascii="Times New Roman" w:eastAsia="Times New Roman" w:hAnsi="Times New Roman" w:cs="Times New Roman"/>
                <w:bCs/>
                <w:i/>
                <w:iCs/>
                <w:sz w:val="20"/>
                <w:szCs w:val="20"/>
                <w:lang w:eastAsia="en-ZA"/>
              </w:rPr>
              <w:t>Journal of Agriculture, Science and Technology</w:t>
            </w:r>
            <w:r w:rsidRPr="004D1E6F">
              <w:rPr>
                <w:rFonts w:ascii="Times New Roman" w:eastAsia="Times New Roman" w:hAnsi="Times New Roman" w:cs="Times New Roman"/>
                <w:bCs/>
                <w:sz w:val="20"/>
                <w:szCs w:val="20"/>
                <w:lang w:eastAsia="en-ZA"/>
              </w:rPr>
              <w:t xml:space="preserve">, 9, 81–92. </w:t>
            </w:r>
            <w:hyperlink r:id="rId574" w:history="1">
              <w:r w:rsidR="00A91D2B" w:rsidRPr="00A91D2B">
                <w:rPr>
                  <w:rStyle w:val="Hyperlink"/>
                  <w:rFonts w:ascii="Times New Roman" w:eastAsia="Times New Roman" w:hAnsi="Times New Roman" w:cs="Times New Roman"/>
                  <w:bCs/>
                  <w:sz w:val="20"/>
                  <w:szCs w:val="20"/>
                  <w:lang w:eastAsia="en-ZA"/>
                </w:rPr>
                <w:t>https://doi.org/10.17265/2161-6256/2019.02.002</w:t>
              </w:r>
            </w:hyperlink>
            <w:r w:rsidRPr="004D1E6F">
              <w:rPr>
                <w:rFonts w:ascii="Times New Roman" w:eastAsia="Times New Roman" w:hAnsi="Times New Roman" w:cs="Times New Roman"/>
                <w:bCs/>
                <w:sz w:val="20"/>
                <w:szCs w:val="20"/>
                <w:lang w:eastAsia="en-ZA"/>
              </w:rPr>
              <w:t>.</w:t>
            </w:r>
          </w:p>
          <w:p w14:paraId="371A998A" w14:textId="6BDF2209" w:rsidR="002D7080" w:rsidRPr="004D1E6F" w:rsidRDefault="002D7080" w:rsidP="003635A5">
            <w:pPr>
              <w:ind w:left="720" w:hanging="720"/>
              <w:jc w:val="both"/>
              <w:rPr>
                <w:rFonts w:ascii="Times New Roman" w:eastAsia="Times New Roman" w:hAnsi="Times New Roman" w:cs="Times New Roman"/>
                <w:sz w:val="20"/>
                <w:szCs w:val="20"/>
                <w:lang w:eastAsia="en-ZA"/>
              </w:rPr>
            </w:pPr>
            <w:r w:rsidRPr="004D1E6F">
              <w:rPr>
                <w:rFonts w:ascii="Times New Roman" w:hAnsi="Times New Roman" w:cs="Times New Roman"/>
                <w:color w:val="222222"/>
                <w:sz w:val="20"/>
                <w:szCs w:val="20"/>
                <w:shd w:val="clear" w:color="auto" w:fill="FFFFFF"/>
              </w:rPr>
              <w:lastRenderedPageBreak/>
              <w:t xml:space="preserve">Souty-Grosset, C., Anastacio, P.M., Aquiloni, L., Banha, F., Choquer, J., Chucholl, C., et al., </w:t>
            </w:r>
            <w:r w:rsidRPr="004D1E6F">
              <w:rPr>
                <w:rFonts w:ascii="Times New Roman" w:eastAsia="Times New Roman" w:hAnsi="Times New Roman" w:cs="Times New Roman"/>
                <w:sz w:val="20"/>
                <w:szCs w:val="20"/>
                <w:lang w:eastAsia="en-ZA"/>
              </w:rPr>
              <w:t xml:space="preserve">2016, ‘The red swamp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in Europe: Impacts on aquatic ecosystems and human well-being’, </w:t>
            </w:r>
            <w:r w:rsidRPr="004D1E6F">
              <w:rPr>
                <w:rFonts w:ascii="Times New Roman" w:eastAsia="Times New Roman" w:hAnsi="Times New Roman" w:cs="Times New Roman"/>
                <w:i/>
                <w:sz w:val="20"/>
                <w:szCs w:val="20"/>
                <w:lang w:eastAsia="en-ZA"/>
              </w:rPr>
              <w:t>Limnologica</w:t>
            </w:r>
            <w:r w:rsidRPr="004D1E6F">
              <w:rPr>
                <w:rFonts w:ascii="Times New Roman" w:eastAsia="Times New Roman" w:hAnsi="Times New Roman" w:cs="Times New Roman"/>
                <w:sz w:val="20"/>
                <w:szCs w:val="20"/>
                <w:lang w:eastAsia="en-ZA"/>
              </w:rPr>
              <w:t xml:space="preserve"> 58, 78–93. </w:t>
            </w:r>
            <w:hyperlink r:id="rId575" w:history="1">
              <w:r w:rsidR="00A91D2B" w:rsidRPr="00A91D2B">
                <w:rPr>
                  <w:rStyle w:val="Hyperlink"/>
                  <w:rFonts w:ascii="Times New Roman" w:eastAsia="Times New Roman" w:hAnsi="Times New Roman" w:cs="Times New Roman"/>
                  <w:bCs/>
                  <w:sz w:val="20"/>
                  <w:szCs w:val="20"/>
                  <w:lang w:eastAsia="en-ZA"/>
                </w:rPr>
                <w:t>https://doi.org/10.1016/j.limno.2016.03.003</w:t>
              </w:r>
            </w:hyperlink>
            <w:r w:rsidRPr="004D1E6F">
              <w:rPr>
                <w:rFonts w:ascii="Times New Roman" w:eastAsia="Times New Roman" w:hAnsi="Times New Roman" w:cs="Times New Roman"/>
                <w:bCs/>
                <w:sz w:val="20"/>
                <w:szCs w:val="20"/>
                <w:lang w:eastAsia="en-ZA"/>
              </w:rPr>
              <w:t>.</w:t>
            </w:r>
          </w:p>
        </w:tc>
      </w:tr>
      <w:tr w:rsidR="002D7080" w:rsidRPr="004D1E6F" w14:paraId="26EEB093" w14:textId="77777777" w:rsidTr="002E2C37">
        <w:tc>
          <w:tcPr>
            <w:tcW w:w="9016" w:type="dxa"/>
            <w:gridSpan w:val="2"/>
            <w:shd w:val="clear" w:color="auto" w:fill="F2F2F2" w:themeFill="background1" w:themeFillShade="F2"/>
          </w:tcPr>
          <w:p w14:paraId="7B41D0A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lastRenderedPageBreak/>
              <w:t>CON2c: Health</w:t>
            </w:r>
          </w:p>
        </w:tc>
      </w:tr>
      <w:tr w:rsidR="002D7080" w:rsidRPr="004D1E6F" w14:paraId="144DAF4A" w14:textId="77777777" w:rsidTr="002E2C37">
        <w:tc>
          <w:tcPr>
            <w:tcW w:w="5949" w:type="dxa"/>
          </w:tcPr>
          <w:p w14:paraId="2DF8AE7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Response: Minor (MN)</w:t>
            </w:r>
          </w:p>
        </w:tc>
        <w:tc>
          <w:tcPr>
            <w:tcW w:w="3067" w:type="dxa"/>
          </w:tcPr>
          <w:p w14:paraId="384A453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Confidence: Medium</w:t>
            </w:r>
          </w:p>
        </w:tc>
      </w:tr>
      <w:tr w:rsidR="002D7080" w:rsidRPr="004D1E6F" w14:paraId="5ABBA6A2" w14:textId="77777777" w:rsidTr="002E2C37">
        <w:trPr>
          <w:trHeight w:val="70"/>
        </w:trPr>
        <w:tc>
          <w:tcPr>
            <w:tcW w:w="9016" w:type="dxa"/>
            <w:gridSpan w:val="2"/>
          </w:tcPr>
          <w:p w14:paraId="034A63BB" w14:textId="77777777" w:rsidR="002D7080" w:rsidRPr="004D1E6F" w:rsidRDefault="002D7080" w:rsidP="002E2C37">
            <w:pPr>
              <w:jc w:val="both"/>
              <w:rPr>
                <w:rFonts w:ascii="Times New Roman" w:hAnsi="Times New Roman" w:cs="Times New Roman"/>
                <w:sz w:val="20"/>
                <w:szCs w:val="20"/>
              </w:rPr>
            </w:pPr>
            <w:r w:rsidRPr="004D1E6F">
              <w:rPr>
                <w:rFonts w:ascii="Times New Roman" w:hAnsi="Times New Roman" w:cs="Times New Roman"/>
                <w:sz w:val="20"/>
                <w:szCs w:val="20"/>
              </w:rPr>
              <w:t xml:space="preserve">Rationale: </w:t>
            </w:r>
            <w:r w:rsidRPr="004D1E6F">
              <w:rPr>
                <w:rFonts w:ascii="Times New Roman" w:hAnsi="Times New Roman" w:cs="Times New Roman"/>
                <w:i/>
                <w:sz w:val="20"/>
                <w:szCs w:val="20"/>
              </w:rPr>
              <w:t>Procambarus clarkii</w:t>
            </w:r>
            <w:r w:rsidRPr="004D1E6F">
              <w:rPr>
                <w:rFonts w:ascii="Times New Roman" w:hAnsi="Times New Roman" w:cs="Times New Roman"/>
                <w:sz w:val="20"/>
                <w:szCs w:val="20"/>
              </w:rPr>
              <w:t xml:space="preserve"> can bio-accumulate toxins and metals from the environment </w:t>
            </w:r>
            <w:r w:rsidRPr="004D1E6F">
              <w:rPr>
                <w:rFonts w:ascii="Times New Roman" w:hAnsi="Times New Roman" w:cs="Times New Roman"/>
                <w:sz w:val="20"/>
                <w:szCs w:val="20"/>
              </w:rPr>
              <w:fldChar w:fldCharType="begin" w:fldLock="1"/>
            </w:r>
            <w:r w:rsidRPr="004D1E6F">
              <w:rPr>
                <w:rFonts w:ascii="Times New Roman" w:hAnsi="Times New Roman" w:cs="Times New Roman"/>
                <w:sz w:val="20"/>
                <w:szCs w:val="20"/>
              </w:rPr>
              <w:instrText>ADDIN CSL_CITATION { "citationItems" : [ { "id" : "ITEM-1", "itemData" : { "DOI" : "10.1016/j.biocon.2011.07.020", "author" : [ { "dropping-particle" : "", "family" : "Gherardi", "given" : "Francesca", "non-dropping-particle" : "", "parse-names" : false, "suffix" : "" }, { "dropping-particle" : "", "family" : "Britton", "given" : "J Robert", "non-dropping-particle" : "", "parse-names" : false, "suffix" : "" }, { "dropping-particle" : "", "family" : "Mavuti", "given" : "Kenneth M", "non-dropping-particle" : "", "parse-names" : false, "suffix" : "" }, { "dropping-particle" : "", "family" : "Pacini", "given" : "Nic", "non-dropping-particle" : "", "parse-names" : false, "suffix" : "" }, { "dropping-particle" : "", "family" : "Grey", "given" : "Jonathan", "non-dropping-particle" : "", "parse-names" : false, "suffix" : "" }, { "dropping-particle" : "", "family" : "Tricarico", "given" : "Elena", "non-dropping-particle" : "", "parse-names" : false, "suffix" : "" }, { "dropping-particle" : "", "family" : "Harper", "given" : "David M", "non-dropping-particle" : "", "parse-names" : false, "suffix" : "" } ], "id" : "ITEM-1", "issued" : { "date-parts" : [ [ "2011" ] ] }, "page" : "2585-2596", "publisher" : "Elsevier Ltd", "title" : "A review of allodiversity in Lake Naivasha , Kenya : Developing conservation actions to protect East African lakes from the negative impacts of alien species", "type" : "article-journal", "volume" : "144" }, "uris" : [ "http://www.mendeley.com/documents/?uuid=05c95c37-42e0-4b2c-a818-0f1c7fd1a239" ] }, { "id" : "ITEM-2",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"(Gherardi et al. 2011, Souty-grosset et al. 2016)", "plainTextFormattedCitation" : "(Gherardi et al. 2011, Souty-grosset et al. 2016)", "previouslyFormattedCitation" : "(Gherardi et al. 2011, Souty-grosset et al. 2016)" }, "properties" : { "noteIndex" : 0 }, "schema" : "https://github.com/citation-style-language/schema/raw/master/csl-citation.json" }</w:instrText>
            </w:r>
            <w:r w:rsidRPr="004D1E6F">
              <w:rPr>
                <w:rFonts w:ascii="Times New Roman" w:hAnsi="Times New Roman" w:cs="Times New Roman"/>
                <w:sz w:val="20"/>
                <w:szCs w:val="20"/>
              </w:rPr>
              <w:fldChar w:fldCharType="separate"/>
            </w:r>
            <w:r w:rsidRPr="004D1E6F">
              <w:rPr>
                <w:rFonts w:ascii="Times New Roman" w:hAnsi="Times New Roman" w:cs="Times New Roman"/>
                <w:sz w:val="20"/>
                <w:szCs w:val="20"/>
              </w:rPr>
              <w:t>(Gherardi et al. 2011; Souty-Grosset et al. 2016)</w:t>
            </w:r>
            <w:r w:rsidRPr="004D1E6F">
              <w:rPr>
                <w:rFonts w:ascii="Times New Roman" w:hAnsi="Times New Roman" w:cs="Times New Roman"/>
                <w:sz w:val="20"/>
                <w:szCs w:val="20"/>
              </w:rPr>
              <w:fldChar w:fldCharType="end"/>
            </w:r>
            <w:r w:rsidRPr="004D1E6F">
              <w:rPr>
                <w:rFonts w:ascii="Times New Roman" w:hAnsi="Times New Roman" w:cs="Times New Roman"/>
                <w:sz w:val="20"/>
                <w:szCs w:val="20"/>
              </w:rPr>
              <w:t xml:space="preserve">. These pollutants are often harmful and can be transferred to humans via consumption </w:t>
            </w:r>
            <w:r w:rsidRPr="004D1E6F">
              <w:rPr>
                <w:rFonts w:ascii="Times New Roman" w:hAnsi="Times New Roman" w:cs="Times New Roman"/>
                <w:sz w:val="20"/>
                <w:szCs w:val="20"/>
              </w:rPr>
              <w:fldChar w:fldCharType="begin" w:fldLock="1"/>
            </w:r>
            <w:r w:rsidRPr="004D1E6F">
              <w:rPr>
                <w:rFonts w:ascii="Times New Roman" w:hAnsi="Times New Roman" w:cs="Times New Roman"/>
                <w:sz w:val="20"/>
                <w:szCs w:val="20"/>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"http://www.mendeley.com/documents/?uuid=9c72c438-e7a8-4248-b05a-2e8f1c12e544" ] }, { "id" : "ITEM-2", "itemData" : { "DOI" : "10.1016/j.biocon.2011.07.020", "author" : [ { "dropping-particle" : "", "family" : "Gherardi", "given" : "Francesca", "non-dropping-particle" : "", "parse-names" : false, "suffix" : "" }, { "dropping-particle" : "", "family" : "Britton", "given" : "J Robert", "non-dropping-particle" : "", "parse-names" : false, "suffix" : "" }, { "dropping-particle" : "", "family" : "Mavuti", "given" : "Kenneth M", "non-dropping-particle" : "", "parse-names" : false, "suffix" : "" }, { "dropping-particle" : "", "family" : "Pacini", "given" : "Nic", "non-dropping-particle" : "", "parse-names" : false, "suffix" : "" }, { "dropping-particle" : "", "family" : "Grey", "given" : "Jonathan", "non-dropping-particle" : "", "parse-names" : false, "suffix" : "" }, { "dropping-particle" : "", "family" : "Tricarico", "given" : "Elena", "non-dropping-particle" : "", "parse-names" : false, "suffix" : "" }, { "dropping-particle" : "", "family" : "Harper", "given" : "David M", "non-dropping-particle" : "", "parse-names" : false, "suffix" : "" } ], "id" : "ITEM-2", "issued" : { "date-parts" : [ [ "2011" ] ] }, "page" : "2585-2596", "publisher" : "Elsevier Ltd", "title" : "A review of allodiversity in Lake Naivasha , Kenya : Developing conservation actions to protect East African lakes from the negative impacts of alien species", "type" : "article-journal", "volume" : "144" }, "uris" : [ "http://www.mendeley.com/documents/?uuid=05c95c37-42e0-4b2c-a818-0f1c7fd1a239" ] } ], "mendeley" : { "formattedCitation" : "(Gherardi et al. 2011, Lodge et al. 2012)", "plainTextFormattedCitation" : "(Gherardi et al. 2011, Lodge et al. 2012)", "previouslyFormattedCitation" : "(Gherardi et al. 2011, Lodge et al. 2012)" }, "properties" : { "noteIndex" : 0 }, "schema" : "https://github.com/citation-style-language/schema/raw/master/csl-citation.json" }</w:instrText>
            </w:r>
            <w:r w:rsidRPr="004D1E6F">
              <w:rPr>
                <w:rFonts w:ascii="Times New Roman" w:hAnsi="Times New Roman" w:cs="Times New Roman"/>
                <w:sz w:val="20"/>
                <w:szCs w:val="20"/>
              </w:rPr>
              <w:fldChar w:fldCharType="separate"/>
            </w:r>
            <w:r w:rsidRPr="004D1E6F">
              <w:rPr>
                <w:rFonts w:ascii="Times New Roman" w:hAnsi="Times New Roman" w:cs="Times New Roman"/>
                <w:sz w:val="20"/>
                <w:szCs w:val="20"/>
              </w:rPr>
              <w:t>(Gherardi et al. 2011; Lodge et al. 2012)</w:t>
            </w:r>
            <w:r w:rsidRPr="004D1E6F">
              <w:rPr>
                <w:rFonts w:ascii="Times New Roman" w:hAnsi="Times New Roman" w:cs="Times New Roman"/>
                <w:sz w:val="20"/>
                <w:szCs w:val="20"/>
              </w:rPr>
              <w:fldChar w:fldCharType="end"/>
            </w:r>
            <w:r w:rsidRPr="004D1E6F">
              <w:rPr>
                <w:rFonts w:ascii="Times New Roman" w:hAnsi="Times New Roman" w:cs="Times New Roman"/>
                <w:sz w:val="20"/>
                <w:szCs w:val="20"/>
              </w:rPr>
              <w:t xml:space="preserve">. </w:t>
            </w:r>
          </w:p>
          <w:p w14:paraId="57E0B91A" w14:textId="77777777" w:rsidR="002D7080" w:rsidRPr="004D1E6F" w:rsidRDefault="002D7080" w:rsidP="002E2C37">
            <w:pPr>
              <w:jc w:val="both"/>
              <w:rPr>
                <w:rFonts w:ascii="Times New Roman" w:hAnsi="Times New Roman" w:cs="Times New Roman"/>
                <w:sz w:val="20"/>
                <w:szCs w:val="20"/>
              </w:rPr>
            </w:pPr>
          </w:p>
          <w:p w14:paraId="6329EED1" w14:textId="679F80AC" w:rsidR="002D7080" w:rsidRPr="004D1E6F" w:rsidRDefault="002D7080" w:rsidP="002E2C37">
            <w:pPr>
              <w:jc w:val="both"/>
              <w:rPr>
                <w:rFonts w:ascii="Times New Roman" w:eastAsia="Times New Roman" w:hAnsi="Times New Roman" w:cs="Times New Roman"/>
                <w:sz w:val="20"/>
                <w:szCs w:val="20"/>
                <w:lang w:eastAsia="en-ZA"/>
              </w:rPr>
            </w:pPr>
            <w:r w:rsidRPr="007533C6">
              <w:rPr>
                <w:rFonts w:ascii="Times New Roman" w:hAnsi="Times New Roman" w:cs="Times New Roman"/>
                <w:i/>
                <w:color w:val="000000" w:themeColor="text1"/>
                <w:sz w:val="20"/>
                <w:szCs w:val="20"/>
              </w:rPr>
              <w:t>Procambarus clarkii</w:t>
            </w:r>
            <w:r w:rsidRPr="007533C6">
              <w:rPr>
                <w:rFonts w:ascii="Times New Roman" w:hAnsi="Times New Roman" w:cs="Times New Roman"/>
                <w:color w:val="000000" w:themeColor="text1"/>
                <w:sz w:val="20"/>
                <w:szCs w:val="20"/>
              </w:rPr>
              <w:t xml:space="preserve"> serves as a vector for several parasites and diseases some of which are zoonotic, for example the parasitic fluke flatworms (</w:t>
            </w:r>
            <w:r w:rsidRPr="007533C6">
              <w:rPr>
                <w:rFonts w:ascii="Times New Roman" w:hAnsi="Times New Roman" w:cs="Times New Roman"/>
                <w:i/>
                <w:color w:val="000000" w:themeColor="text1"/>
                <w:sz w:val="20"/>
                <w:szCs w:val="20"/>
              </w:rPr>
              <w:t>Paragonimus</w:t>
            </w:r>
            <w:r w:rsidRPr="007533C6">
              <w:rPr>
                <w:rFonts w:ascii="Times New Roman" w:hAnsi="Times New Roman" w:cs="Times New Roman"/>
                <w:color w:val="000000" w:themeColor="text1"/>
                <w:sz w:val="20"/>
                <w:szCs w:val="20"/>
              </w:rPr>
              <w:t xml:space="preserve"> spp.) that causes lung fluke disease in humans, tularemia–causing bacterium </w:t>
            </w:r>
            <w:r w:rsidRPr="007533C6">
              <w:rPr>
                <w:rFonts w:ascii="Times New Roman" w:hAnsi="Times New Roman" w:cs="Times New Roman"/>
                <w:i/>
                <w:color w:val="000000" w:themeColor="text1"/>
                <w:sz w:val="20"/>
                <w:szCs w:val="20"/>
              </w:rPr>
              <w:t>Francisella tularensis</w:t>
            </w:r>
            <w:r w:rsidRPr="007533C6">
              <w:rPr>
                <w:rFonts w:ascii="Times New Roman" w:hAnsi="Times New Roman" w:cs="Times New Roman"/>
                <w:color w:val="000000" w:themeColor="text1"/>
                <w:sz w:val="20"/>
                <w:szCs w:val="20"/>
              </w:rPr>
              <w:t xml:space="preserve">, rat lungworm </w:t>
            </w:r>
            <w:r w:rsidRPr="004D1E6F">
              <w:rPr>
                <w:rFonts w:ascii="Times New Roman" w:hAnsi="Times New Roman" w:cs="Times New Roman"/>
                <w:i/>
                <w:sz w:val="20"/>
                <w:szCs w:val="20"/>
              </w:rPr>
              <w:t>Angiostrongylus cantonensis</w:t>
            </w:r>
            <w:r w:rsidRPr="004D1E6F">
              <w:rPr>
                <w:rFonts w:ascii="Times New Roman" w:hAnsi="Times New Roman" w:cs="Times New Roman"/>
                <w:sz w:val="20"/>
                <w:szCs w:val="20"/>
              </w:rPr>
              <w:t xml:space="preserve"> that causes meningitis, and the nematode </w:t>
            </w:r>
            <w:r w:rsidRPr="004D1E6F">
              <w:rPr>
                <w:rFonts w:ascii="Times New Roman" w:hAnsi="Times New Roman" w:cs="Times New Roman"/>
                <w:i/>
                <w:sz w:val="20"/>
                <w:szCs w:val="20"/>
              </w:rPr>
              <w:t>Gnathostoma spinigerum</w:t>
            </w:r>
            <w:r w:rsidRPr="004D1E6F">
              <w:rPr>
                <w:rFonts w:ascii="Times New Roman" w:hAnsi="Times New Roman" w:cs="Times New Roman"/>
                <w:sz w:val="20"/>
                <w:szCs w:val="20"/>
              </w:rPr>
              <w:t xml:space="preserve"> that causes human gnathostomiasis </w:t>
            </w:r>
            <w:r w:rsidRPr="004D1E6F">
              <w:rPr>
                <w:rFonts w:ascii="Times New Roman" w:hAnsi="Times New Roman" w:cs="Times New Roman"/>
                <w:sz w:val="20"/>
                <w:szCs w:val="20"/>
              </w:rPr>
              <w:fldChar w:fldCharType="begin" w:fldLock="1"/>
            </w:r>
            <w:r w:rsidRPr="004D1E6F">
              <w:rPr>
                <w:rFonts w:ascii="Times New Roman" w:hAnsi="Times New Roman" w:cs="Times New Roman"/>
                <w:sz w:val="20"/>
                <w:szCs w:val="20"/>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"(de Moor 2002, Souty-grosset et al. 2016)", "manualFormatting" : "(de Moor 2002, Souty-grosset et al. 2016, Putra et al. 2017)", "plainTextFormattedCitation" : "(de Moor 2002, Souty-grosset et al. 2016)", "previouslyFormattedCitation" : "(de Moor 2002, Souty-grosset et al. 2016)" }, "properties" : { "noteIndex" : 0 }, "schema" : "https://github.com/citation-style-language/schema/raw/master/csl-citation.json" }</w:instrText>
            </w:r>
            <w:r w:rsidRPr="004D1E6F">
              <w:rPr>
                <w:rFonts w:ascii="Times New Roman" w:hAnsi="Times New Roman" w:cs="Times New Roman"/>
                <w:sz w:val="20"/>
                <w:szCs w:val="20"/>
              </w:rPr>
              <w:fldChar w:fldCharType="separate"/>
            </w:r>
            <w:r w:rsidRPr="004D1E6F">
              <w:rPr>
                <w:rFonts w:ascii="Times New Roman" w:hAnsi="Times New Roman" w:cs="Times New Roman"/>
                <w:sz w:val="20"/>
                <w:szCs w:val="20"/>
              </w:rPr>
              <w:t>(</w:t>
            </w:r>
            <w:r w:rsidR="008A0BC6">
              <w:rPr>
                <w:rFonts w:ascii="Times New Roman" w:hAnsi="Times New Roman" w:cs="Times New Roman"/>
                <w:sz w:val="20"/>
                <w:szCs w:val="20"/>
              </w:rPr>
              <w:t>De Moor</w:t>
            </w:r>
            <w:r w:rsidRPr="004D1E6F">
              <w:rPr>
                <w:rFonts w:ascii="Times New Roman" w:hAnsi="Times New Roman" w:cs="Times New Roman"/>
                <w:sz w:val="20"/>
                <w:szCs w:val="20"/>
              </w:rPr>
              <w:t xml:space="preserve"> 2002; Putra et al. 2017; Souty-Grosset et al. 2016)</w:t>
            </w:r>
            <w:r w:rsidRPr="004D1E6F">
              <w:rPr>
                <w:rFonts w:ascii="Times New Roman" w:hAnsi="Times New Roman" w:cs="Times New Roman"/>
                <w:sz w:val="20"/>
                <w:szCs w:val="20"/>
              </w:rPr>
              <w:fldChar w:fldCharType="end"/>
            </w:r>
            <w:r w:rsidRPr="004D1E6F">
              <w:rPr>
                <w:rFonts w:ascii="Times New Roman" w:hAnsi="Times New Roman" w:cs="Times New Roman"/>
                <w:sz w:val="20"/>
                <w:szCs w:val="20"/>
              </w:rPr>
              <w:t>.</w:t>
            </w:r>
          </w:p>
        </w:tc>
      </w:tr>
      <w:tr w:rsidR="002D7080" w:rsidRPr="004D1E6F" w14:paraId="7D467ED4" w14:textId="77777777" w:rsidTr="002E2C37">
        <w:trPr>
          <w:trHeight w:val="70"/>
        </w:trPr>
        <w:tc>
          <w:tcPr>
            <w:tcW w:w="9016" w:type="dxa"/>
            <w:gridSpan w:val="2"/>
          </w:tcPr>
          <w:p w14:paraId="6BF48577" w14:textId="77777777" w:rsidR="002D7080" w:rsidRPr="004D1E6F" w:rsidRDefault="002D7080" w:rsidP="003635A5">
            <w:pPr>
              <w:contextualSpacing/>
              <w:jc w:val="both"/>
              <w:rPr>
                <w:rFonts w:ascii="Times New Roman" w:hAnsi="Times New Roman" w:cs="Times New Roman"/>
                <w:sz w:val="20"/>
                <w:szCs w:val="20"/>
              </w:rPr>
            </w:pPr>
            <w:r w:rsidRPr="004D1E6F">
              <w:rPr>
                <w:rFonts w:ascii="Times New Roman" w:hAnsi="Times New Roman" w:cs="Times New Roman"/>
                <w:sz w:val="20"/>
                <w:szCs w:val="20"/>
              </w:rPr>
              <w:t>References:</w:t>
            </w:r>
          </w:p>
          <w:p w14:paraId="1EB126A9" w14:textId="6A29B485" w:rsidR="002D7080" w:rsidRPr="004D1E6F" w:rsidRDefault="008A0BC6" w:rsidP="003635A5">
            <w:pPr>
              <w:ind w:left="720" w:hanging="720"/>
              <w:contextualSpacing/>
              <w:jc w:val="both"/>
              <w:rPr>
                <w:rFonts w:ascii="Times New Roman" w:eastAsia="Times New Roman" w:hAnsi="Times New Roman" w:cs="Times New Roman"/>
                <w:sz w:val="20"/>
                <w:szCs w:val="20"/>
                <w:lang w:eastAsia="en-ZA"/>
              </w:rPr>
            </w:pPr>
            <w:r>
              <w:rPr>
                <w:rFonts w:ascii="Times New Roman" w:eastAsia="Times New Roman" w:hAnsi="Times New Roman" w:cs="Times New Roman"/>
                <w:color w:val="000000"/>
                <w:sz w:val="20"/>
                <w:szCs w:val="20"/>
                <w:lang w:eastAsia="en-ZA"/>
              </w:rPr>
              <w:t>De Moor</w:t>
            </w:r>
            <w:r w:rsidR="002D7080" w:rsidRPr="004D1E6F">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 </w:t>
            </w:r>
            <w:hyperlink r:id="rId576" w:history="1">
              <w:r w:rsidR="004E4952" w:rsidRPr="00D66918">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sz w:val="20"/>
                <w:szCs w:val="20"/>
                <w:lang w:eastAsia="en-ZA"/>
              </w:rPr>
              <w:t>.</w:t>
            </w:r>
          </w:p>
          <w:p w14:paraId="0D24E1C3" w14:textId="5CFF38E4"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hAnsi="Times New Roman" w:cs="Times New Roman"/>
                <w:color w:val="222222"/>
                <w:sz w:val="20"/>
                <w:szCs w:val="20"/>
                <w:shd w:val="clear" w:color="auto" w:fill="FFFFFF"/>
              </w:rPr>
              <w:t xml:space="preserve">Gherardi, F., Britton, J.R., Mavuti, K.M., Pacini, N., Grey, J., Tricarico, E. &amp; Harper, D.M., </w:t>
            </w:r>
            <w:r w:rsidRPr="004D1E6F">
              <w:rPr>
                <w:rFonts w:ascii="Times New Roman" w:eastAsia="Times New Roman" w:hAnsi="Times New Roman" w:cs="Times New Roman"/>
                <w:sz w:val="20"/>
                <w:szCs w:val="20"/>
                <w:lang w:eastAsia="en-ZA"/>
              </w:rPr>
              <w:t xml:space="preserve">2011, ‘A review of allodiversity in Lake Naivasha, Kenya: Developing conservation actions to protect East African lakes from the negative impacts of alien species’, </w:t>
            </w:r>
            <w:r w:rsidRPr="004D1E6F">
              <w:rPr>
                <w:rFonts w:ascii="Times New Roman" w:eastAsia="Times New Roman" w:hAnsi="Times New Roman" w:cs="Times New Roman"/>
                <w:i/>
                <w:sz w:val="20"/>
                <w:szCs w:val="20"/>
                <w:lang w:eastAsia="en-ZA"/>
              </w:rPr>
              <w:t xml:space="preserve">Biological </w:t>
            </w:r>
            <w:r w:rsidRPr="004D1E6F">
              <w:rPr>
                <w:rFonts w:ascii="Times New Roman" w:eastAsia="Times New Roman" w:hAnsi="Times New Roman" w:cs="Times New Roman"/>
                <w:sz w:val="20"/>
                <w:szCs w:val="20"/>
                <w:lang w:eastAsia="en-ZA"/>
              </w:rPr>
              <w:t xml:space="preserve">Conservation 144, 2585–2596. </w:t>
            </w:r>
            <w:hyperlink r:id="rId577" w:history="1">
              <w:r w:rsidR="004E4952" w:rsidRPr="004E4952">
                <w:rPr>
                  <w:rStyle w:val="Hyperlink"/>
                  <w:rFonts w:ascii="Times New Roman" w:eastAsia="Times New Roman" w:hAnsi="Times New Roman" w:cs="Times New Roman"/>
                  <w:sz w:val="20"/>
                  <w:szCs w:val="20"/>
                  <w:lang w:eastAsia="en-ZA"/>
                </w:rPr>
                <w:t>https://doi.org/10.1016/j.biocon.2011.07.020</w:t>
              </w:r>
            </w:hyperlink>
            <w:r w:rsidRPr="004D1E6F">
              <w:rPr>
                <w:rFonts w:ascii="Times New Roman" w:eastAsia="Times New Roman" w:hAnsi="Times New Roman" w:cs="Times New Roman"/>
                <w:sz w:val="20"/>
                <w:szCs w:val="20"/>
                <w:lang w:eastAsia="en-ZA"/>
              </w:rPr>
              <w:t>.</w:t>
            </w:r>
          </w:p>
          <w:p w14:paraId="5AF5AA70" w14:textId="04C31564"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Putra, M.D, Bláha, M., Wardiatno, Y., Krisanti, M., Bystřický, P.K, Kouba, A., et al., 2017,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(Girard, 1852) and crayfish plague as new threats for biodiversity in Indonesia’,</w:t>
            </w:r>
            <w:r w:rsidRPr="004D1E6F">
              <w:rPr>
                <w:rFonts w:ascii="Times New Roman" w:eastAsia="Times New Roman" w:hAnsi="Times New Roman" w:cs="Times New Roman"/>
                <w:i/>
                <w:sz w:val="20"/>
                <w:szCs w:val="20"/>
                <w:lang w:eastAsia="en-ZA"/>
              </w:rPr>
              <w:t xml:space="preserve"> Aquatic Conservation: Marine and Freshwater Ecosystems</w:t>
            </w:r>
            <w:r w:rsidRPr="004D1E6F">
              <w:rPr>
                <w:rFonts w:ascii="Times New Roman" w:eastAsia="Times New Roman" w:hAnsi="Times New Roman" w:cs="Times New Roman"/>
                <w:sz w:val="20"/>
                <w:szCs w:val="20"/>
                <w:lang w:eastAsia="en-ZA"/>
              </w:rPr>
              <w:t xml:space="preserve"> 28, 1434–1440. </w:t>
            </w:r>
            <w:hyperlink r:id="rId578" w:history="1">
              <w:r w:rsidR="00901720" w:rsidRPr="00F215B9">
                <w:rPr>
                  <w:rStyle w:val="Hyperlink"/>
                  <w:rFonts w:ascii="Times New Roman" w:eastAsia="Times New Roman" w:hAnsi="Times New Roman" w:cs="Times New Roman"/>
                  <w:sz w:val="20"/>
                  <w:szCs w:val="20"/>
                  <w:lang w:eastAsia="en-ZA"/>
                </w:rPr>
                <w:t>https://doi.org/10.1002/aqc.2970</w:t>
              </w:r>
            </w:hyperlink>
            <w:r w:rsidRPr="004D1E6F">
              <w:rPr>
                <w:rFonts w:ascii="Times New Roman" w:eastAsia="Times New Roman" w:hAnsi="Times New Roman" w:cs="Times New Roman"/>
                <w:sz w:val="20"/>
                <w:szCs w:val="20"/>
                <w:lang w:eastAsia="en-ZA"/>
              </w:rPr>
              <w:t>.</w:t>
            </w:r>
            <w:r w:rsidR="00901720">
              <w:rPr>
                <w:rFonts w:ascii="Times New Roman" w:eastAsia="Times New Roman" w:hAnsi="Times New Roman" w:cs="Times New Roman"/>
                <w:sz w:val="20"/>
                <w:szCs w:val="20"/>
                <w:lang w:eastAsia="en-ZA"/>
              </w:rPr>
              <w:t xml:space="preserve"> </w:t>
            </w:r>
          </w:p>
          <w:p w14:paraId="1D987829" w14:textId="46367638"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hAnsi="Times New Roman" w:cs="Times New Roman"/>
                <w:color w:val="222222"/>
                <w:sz w:val="20"/>
                <w:szCs w:val="20"/>
                <w:shd w:val="clear" w:color="auto" w:fill="FFFFFF"/>
              </w:rPr>
              <w:t>Souty-Grosset, C., Anastacio, P.M., Aquiloni, L., Banha, F., Choquer, J., Chucholl, C. &amp; Tricarico, E., </w:t>
            </w:r>
            <w:r w:rsidRPr="004D1E6F">
              <w:rPr>
                <w:rFonts w:ascii="Times New Roman" w:eastAsia="Times New Roman" w:hAnsi="Times New Roman" w:cs="Times New Roman"/>
                <w:sz w:val="20"/>
                <w:szCs w:val="20"/>
                <w:lang w:eastAsia="en-ZA"/>
              </w:rPr>
              <w:t xml:space="preserve">2016, ‘The red swamp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in Europe: Impacts on aquatic ecosystems and human well-being’, </w:t>
            </w:r>
            <w:r w:rsidRPr="004D1E6F">
              <w:rPr>
                <w:rFonts w:ascii="Times New Roman" w:eastAsia="Times New Roman" w:hAnsi="Times New Roman" w:cs="Times New Roman"/>
                <w:i/>
                <w:sz w:val="20"/>
                <w:szCs w:val="20"/>
                <w:lang w:eastAsia="en-ZA"/>
              </w:rPr>
              <w:t>Limnologica</w:t>
            </w:r>
            <w:r w:rsidRPr="004D1E6F">
              <w:rPr>
                <w:rFonts w:ascii="Times New Roman" w:eastAsia="Times New Roman" w:hAnsi="Times New Roman" w:cs="Times New Roman"/>
                <w:sz w:val="20"/>
                <w:szCs w:val="20"/>
                <w:lang w:eastAsia="en-ZA"/>
              </w:rPr>
              <w:t xml:space="preserve"> 58, 78–93. </w:t>
            </w:r>
            <w:hyperlink r:id="rId579" w:history="1">
              <w:r w:rsidR="004E4952" w:rsidRPr="004E4952">
                <w:rPr>
                  <w:rStyle w:val="Hyperlink"/>
                  <w:rFonts w:ascii="Times New Roman" w:eastAsia="Times New Roman" w:hAnsi="Times New Roman" w:cs="Times New Roman"/>
                  <w:bCs/>
                  <w:sz w:val="20"/>
                  <w:szCs w:val="20"/>
                  <w:lang w:eastAsia="en-ZA"/>
                </w:rPr>
                <w:t>https://doi.org/10.1016/j.limno.2016.03.003</w:t>
              </w:r>
            </w:hyperlink>
            <w:r w:rsidRPr="004D1E6F">
              <w:rPr>
                <w:rFonts w:ascii="Times New Roman" w:eastAsia="Times New Roman" w:hAnsi="Times New Roman" w:cs="Times New Roman"/>
                <w:bCs/>
                <w:sz w:val="20"/>
                <w:szCs w:val="20"/>
                <w:lang w:eastAsia="en-ZA"/>
              </w:rPr>
              <w:t>.</w:t>
            </w:r>
          </w:p>
        </w:tc>
      </w:tr>
      <w:tr w:rsidR="002D7080" w:rsidRPr="004D1E6F" w14:paraId="080FBF71" w14:textId="77777777" w:rsidTr="002E2C37">
        <w:tc>
          <w:tcPr>
            <w:tcW w:w="9016" w:type="dxa"/>
            <w:gridSpan w:val="2"/>
            <w:shd w:val="clear" w:color="auto" w:fill="F2F2F2" w:themeFill="background1" w:themeFillShade="F2"/>
          </w:tcPr>
          <w:p w14:paraId="147C853A"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CON2d: Social, spiritual and cultural relations </w:t>
            </w:r>
          </w:p>
        </w:tc>
      </w:tr>
      <w:tr w:rsidR="002D7080" w:rsidRPr="004D1E6F" w14:paraId="2A0E821A" w14:textId="77777777" w:rsidTr="002E2C37">
        <w:tc>
          <w:tcPr>
            <w:tcW w:w="5949" w:type="dxa"/>
          </w:tcPr>
          <w:p w14:paraId="5F2FFC7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Response: Data Deficient (DD)</w:t>
            </w:r>
          </w:p>
        </w:tc>
        <w:tc>
          <w:tcPr>
            <w:tcW w:w="3067" w:type="dxa"/>
          </w:tcPr>
          <w:p w14:paraId="4EF50D5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Confidence: Medium</w:t>
            </w:r>
          </w:p>
        </w:tc>
      </w:tr>
      <w:tr w:rsidR="002D7080" w:rsidRPr="004D1E6F" w14:paraId="231C5744" w14:textId="77777777" w:rsidTr="002E2C37">
        <w:trPr>
          <w:trHeight w:val="70"/>
        </w:trPr>
        <w:tc>
          <w:tcPr>
            <w:tcW w:w="9016" w:type="dxa"/>
            <w:gridSpan w:val="2"/>
          </w:tcPr>
          <w:p w14:paraId="09A1E6B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 xml:space="preserve">Rationale: </w:t>
            </w:r>
          </w:p>
        </w:tc>
      </w:tr>
      <w:tr w:rsidR="002D7080" w:rsidRPr="004D1E6F" w14:paraId="42556FBD" w14:textId="77777777" w:rsidTr="002E2C37">
        <w:trPr>
          <w:trHeight w:val="70"/>
        </w:trPr>
        <w:tc>
          <w:tcPr>
            <w:tcW w:w="9016" w:type="dxa"/>
            <w:gridSpan w:val="2"/>
          </w:tcPr>
          <w:p w14:paraId="114C974F" w14:textId="77777777" w:rsidR="002D7080" w:rsidRPr="004D1E6F" w:rsidRDefault="002D7080" w:rsidP="002E2C37">
            <w:pPr>
              <w:jc w:val="both"/>
              <w:rPr>
                <w:rFonts w:ascii="Times New Roman" w:hAnsi="Times New Roman" w:cs="Times New Roman"/>
                <w:sz w:val="20"/>
                <w:szCs w:val="20"/>
              </w:rPr>
            </w:pPr>
            <w:r w:rsidRPr="004D1E6F">
              <w:rPr>
                <w:rFonts w:ascii="Times New Roman" w:hAnsi="Times New Roman" w:cs="Times New Roman"/>
                <w:sz w:val="20"/>
                <w:szCs w:val="20"/>
              </w:rPr>
              <w:t>References:</w:t>
            </w:r>
          </w:p>
        </w:tc>
      </w:tr>
      <w:tr w:rsidR="002D7080" w:rsidRPr="004D1E6F" w14:paraId="10EE88CB" w14:textId="77777777" w:rsidTr="002E2C37">
        <w:trPr>
          <w:trHeight w:val="343"/>
        </w:trPr>
        <w:tc>
          <w:tcPr>
            <w:tcW w:w="9016" w:type="dxa"/>
            <w:gridSpan w:val="2"/>
            <w:shd w:val="clear" w:color="auto" w:fill="F2F2F2" w:themeFill="background1" w:themeFillShade="F2"/>
          </w:tcPr>
          <w:p w14:paraId="62AC8EC8"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 xml:space="preserve">CON2 Maximum socio-economic impact </w:t>
            </w:r>
          </w:p>
        </w:tc>
      </w:tr>
      <w:tr w:rsidR="002D7080" w:rsidRPr="004D1E6F" w14:paraId="0EA0857A" w14:textId="77777777" w:rsidTr="002E2C37">
        <w:trPr>
          <w:trHeight w:val="208"/>
        </w:trPr>
        <w:tc>
          <w:tcPr>
            <w:tcW w:w="5949" w:type="dxa"/>
          </w:tcPr>
          <w:p w14:paraId="2A028A1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Response: Moderate (MO)</w:t>
            </w:r>
          </w:p>
        </w:tc>
        <w:tc>
          <w:tcPr>
            <w:tcW w:w="3067" w:type="dxa"/>
          </w:tcPr>
          <w:p w14:paraId="3E77A27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Confidence: Medium</w:t>
            </w:r>
          </w:p>
        </w:tc>
      </w:tr>
      <w:tr w:rsidR="002D7080" w:rsidRPr="004D1E6F" w14:paraId="484C9B41" w14:textId="77777777" w:rsidTr="002E2C37">
        <w:trPr>
          <w:trHeight w:val="70"/>
        </w:trPr>
        <w:tc>
          <w:tcPr>
            <w:tcW w:w="9016" w:type="dxa"/>
            <w:gridSpan w:val="2"/>
          </w:tcPr>
          <w:p w14:paraId="3F2D4F6B" w14:textId="036A1708" w:rsidR="002D7080" w:rsidRPr="004D1E6F" w:rsidRDefault="002D7080" w:rsidP="002E2C37">
            <w:pPr>
              <w:jc w:val="both"/>
              <w:rPr>
                <w:rFonts w:ascii="Times New Roman" w:eastAsia="Times New Roman" w:hAnsi="Times New Roman" w:cs="Times New Roman"/>
                <w:iCs/>
                <w:sz w:val="20"/>
                <w:szCs w:val="20"/>
                <w:lang w:eastAsia="en-ZA"/>
              </w:rPr>
            </w:pPr>
            <w:r w:rsidRPr="004D1E6F">
              <w:rPr>
                <w:rFonts w:ascii="Times New Roman" w:hAnsi="Times New Roman" w:cs="Times New Roman"/>
                <w:sz w:val="20"/>
                <w:szCs w:val="20"/>
              </w:rPr>
              <w:t xml:space="preserve">Rationale: In the alien range, </w:t>
            </w:r>
            <w:r w:rsidRPr="004D1E6F">
              <w:rPr>
                <w:rFonts w:ascii="Times New Roman" w:hAnsi="Times New Roman" w:cs="Times New Roman"/>
                <w:i/>
                <w:sz w:val="20"/>
                <w:szCs w:val="20"/>
              </w:rPr>
              <w:t>P. clarkii</w:t>
            </w:r>
            <w:r w:rsidRPr="004D1E6F">
              <w:rPr>
                <w:rFonts w:ascii="Times New Roman" w:hAnsi="Times New Roman" w:cs="Times New Roman"/>
                <w:sz w:val="20"/>
                <w:szCs w:val="20"/>
              </w:rPr>
              <w:t xml:space="preserve"> has caused harmful impacts in agricultural fields (Anastácio et al. 2005) and has disrupted some recreational activities leading to economic loss (Gherardi et al. 2011). Additionally, </w:t>
            </w:r>
            <w:r w:rsidRPr="004D1E6F">
              <w:rPr>
                <w:rFonts w:ascii="Times New Roman" w:hAnsi="Times New Roman" w:cs="Times New Roman"/>
                <w:i/>
                <w:iCs/>
                <w:sz w:val="20"/>
                <w:szCs w:val="20"/>
              </w:rPr>
              <w:t xml:space="preserve">P. clarkii </w:t>
            </w:r>
            <w:r w:rsidRPr="004D1E6F">
              <w:rPr>
                <w:rFonts w:ascii="Times New Roman" w:hAnsi="Times New Roman" w:cs="Times New Roman"/>
                <w:sz w:val="20"/>
                <w:szCs w:val="20"/>
              </w:rPr>
              <w:t>is a host of various parasites and diseases (</w:t>
            </w:r>
            <w:r w:rsidRPr="004D1E6F">
              <w:rPr>
                <w:rFonts w:ascii="Times New Roman" w:hAnsi="Times New Roman" w:cs="Times New Roman"/>
                <w:i/>
                <w:sz w:val="20"/>
                <w:szCs w:val="20"/>
              </w:rPr>
              <w:t>Paragonimus</w:t>
            </w:r>
            <w:r w:rsidRPr="004D1E6F">
              <w:rPr>
                <w:rFonts w:ascii="Times New Roman" w:hAnsi="Times New Roman" w:cs="Times New Roman"/>
                <w:sz w:val="20"/>
                <w:szCs w:val="20"/>
              </w:rPr>
              <w:t xml:space="preserve"> spp., </w:t>
            </w:r>
            <w:r w:rsidRPr="004D1E6F">
              <w:rPr>
                <w:rFonts w:ascii="Times New Roman" w:hAnsi="Times New Roman" w:cs="Times New Roman"/>
                <w:i/>
                <w:sz w:val="20"/>
                <w:szCs w:val="20"/>
              </w:rPr>
              <w:t>Francisella tularensis</w:t>
            </w:r>
            <w:r w:rsidRPr="004D1E6F">
              <w:rPr>
                <w:rFonts w:ascii="Times New Roman" w:hAnsi="Times New Roman" w:cs="Times New Roman"/>
                <w:sz w:val="20"/>
                <w:szCs w:val="20"/>
              </w:rPr>
              <w:t xml:space="preserve">, </w:t>
            </w:r>
            <w:r w:rsidRPr="004D1E6F">
              <w:rPr>
                <w:rFonts w:ascii="Times New Roman" w:hAnsi="Times New Roman" w:cs="Times New Roman"/>
                <w:i/>
                <w:sz w:val="20"/>
                <w:szCs w:val="20"/>
              </w:rPr>
              <w:t>Angiostrongylus cantonensis</w:t>
            </w:r>
            <w:r w:rsidRPr="004D1E6F">
              <w:rPr>
                <w:rFonts w:ascii="Times New Roman" w:hAnsi="Times New Roman" w:cs="Times New Roman"/>
                <w:iCs/>
                <w:sz w:val="20"/>
                <w:szCs w:val="20"/>
              </w:rPr>
              <w:t xml:space="preserve">, and </w:t>
            </w:r>
            <w:r w:rsidRPr="004D1E6F">
              <w:rPr>
                <w:rFonts w:ascii="Times New Roman" w:hAnsi="Times New Roman" w:cs="Times New Roman"/>
                <w:i/>
                <w:sz w:val="20"/>
                <w:szCs w:val="20"/>
              </w:rPr>
              <w:t>Gnathostoma spinigerum</w:t>
            </w:r>
            <w:r w:rsidRPr="004D1E6F">
              <w:rPr>
                <w:rFonts w:ascii="Times New Roman" w:hAnsi="Times New Roman" w:cs="Times New Roman"/>
                <w:iCs/>
                <w:sz w:val="20"/>
                <w:szCs w:val="20"/>
              </w:rPr>
              <w:t>) (</w:t>
            </w:r>
            <w:r w:rsidR="008A0BC6">
              <w:rPr>
                <w:rFonts w:ascii="Times New Roman" w:hAnsi="Times New Roman" w:cs="Times New Roman"/>
                <w:sz w:val="20"/>
                <w:szCs w:val="20"/>
              </w:rPr>
              <w:t>De Moor</w:t>
            </w:r>
            <w:r w:rsidRPr="004D1E6F">
              <w:rPr>
                <w:rFonts w:ascii="Times New Roman" w:hAnsi="Times New Roman" w:cs="Times New Roman"/>
                <w:sz w:val="20"/>
                <w:szCs w:val="20"/>
              </w:rPr>
              <w:t xml:space="preserve"> 2002; Putra et al. 2017; Souty-Grosset et al. 2016). </w:t>
            </w:r>
            <w:r w:rsidRPr="004D1E6F">
              <w:rPr>
                <w:rFonts w:ascii="Times New Roman" w:hAnsi="Times New Roman" w:cs="Times New Roman"/>
                <w:i/>
                <w:iCs/>
                <w:sz w:val="20"/>
                <w:szCs w:val="20"/>
              </w:rPr>
              <w:t>Procambarus clarkii</w:t>
            </w:r>
            <w:r w:rsidRPr="004D1E6F">
              <w:rPr>
                <w:rFonts w:ascii="Times New Roman" w:hAnsi="Times New Roman" w:cs="Times New Roman"/>
                <w:sz w:val="20"/>
                <w:szCs w:val="20"/>
              </w:rPr>
              <w:t xml:space="preserve"> also bio-accumulates toxins and metals that are harmful to humans if consumed (Gherardi et al. 2011; Lodge et al. 2012; Souty-Grosset et al. 2016).</w:t>
            </w:r>
          </w:p>
        </w:tc>
      </w:tr>
      <w:tr w:rsidR="002D7080" w:rsidRPr="004D1E6F" w14:paraId="2C68914C" w14:textId="77777777" w:rsidTr="002E2C37">
        <w:trPr>
          <w:trHeight w:val="70"/>
        </w:trPr>
        <w:tc>
          <w:tcPr>
            <w:tcW w:w="9016" w:type="dxa"/>
            <w:gridSpan w:val="2"/>
          </w:tcPr>
          <w:p w14:paraId="3DECEF38" w14:textId="77777777" w:rsidR="002D7080" w:rsidRPr="004D1E6F" w:rsidRDefault="002D7080" w:rsidP="002E2C37">
            <w:pPr>
              <w:rPr>
                <w:rFonts w:ascii="Times New Roman" w:hAnsi="Times New Roman" w:cs="Times New Roman"/>
                <w:sz w:val="20"/>
                <w:szCs w:val="20"/>
              </w:rPr>
            </w:pPr>
            <w:r w:rsidRPr="004D1E6F">
              <w:rPr>
                <w:rFonts w:ascii="Times New Roman" w:hAnsi="Times New Roman" w:cs="Times New Roman"/>
                <w:sz w:val="20"/>
                <w:szCs w:val="20"/>
              </w:rPr>
              <w:t xml:space="preserve">References: </w:t>
            </w:r>
          </w:p>
          <w:p w14:paraId="45A212AE" w14:textId="326211B2" w:rsidR="002D7080" w:rsidRPr="007533C6" w:rsidRDefault="008A0BC6" w:rsidP="003635A5">
            <w:pPr>
              <w:ind w:left="720" w:hanging="720"/>
              <w:contextualSpacing/>
              <w:jc w:val="both"/>
              <w:rPr>
                <w:rFonts w:ascii="Times New Roman" w:eastAsia="Times New Roman" w:hAnsi="Times New Roman" w:cs="Times New Roman"/>
                <w:color w:val="000000" w:themeColor="text1"/>
                <w:sz w:val="20"/>
                <w:szCs w:val="20"/>
                <w:lang w:eastAsia="en-ZA"/>
              </w:rPr>
            </w:pPr>
            <w:r>
              <w:rPr>
                <w:rFonts w:ascii="Times New Roman" w:eastAsia="Times New Roman" w:hAnsi="Times New Roman" w:cs="Times New Roman"/>
                <w:color w:val="000000" w:themeColor="text1"/>
                <w:sz w:val="20"/>
                <w:szCs w:val="20"/>
                <w:lang w:eastAsia="en-ZA"/>
              </w:rPr>
              <w:lastRenderedPageBreak/>
              <w:t>De Moor</w:t>
            </w:r>
            <w:r w:rsidR="002D7080" w:rsidRPr="007533C6">
              <w:rPr>
                <w:rFonts w:ascii="Times New Roman" w:eastAsia="Times New Roman" w:hAnsi="Times New Roman" w:cs="Times New Roman"/>
                <w:color w:val="000000" w:themeColor="text1"/>
                <w:sz w:val="20"/>
                <w:szCs w:val="20"/>
                <w:lang w:eastAsia="en-ZA"/>
              </w:rPr>
              <w:t xml:space="preserve">, I., 2002, ‘Potential impacts of alien freshwater crayfish in South Africa’, </w:t>
            </w:r>
            <w:r w:rsidR="002D7080" w:rsidRPr="007533C6">
              <w:rPr>
                <w:rFonts w:ascii="Times New Roman" w:eastAsia="Times New Roman" w:hAnsi="Times New Roman" w:cs="Times New Roman"/>
                <w:i/>
                <w:color w:val="000000" w:themeColor="text1"/>
                <w:sz w:val="20"/>
                <w:szCs w:val="20"/>
                <w:lang w:eastAsia="en-ZA"/>
              </w:rPr>
              <w:t>African Journal of Aquatic Science</w:t>
            </w:r>
            <w:r w:rsidR="002D7080" w:rsidRPr="007533C6">
              <w:rPr>
                <w:rFonts w:ascii="Times New Roman" w:eastAsia="Times New Roman" w:hAnsi="Times New Roman" w:cs="Times New Roman"/>
                <w:color w:val="000000" w:themeColor="text1"/>
                <w:sz w:val="20"/>
                <w:szCs w:val="20"/>
                <w:lang w:eastAsia="en-ZA"/>
              </w:rPr>
              <w:t xml:space="preserve"> 27, 125–139. </w:t>
            </w:r>
            <w:hyperlink r:id="rId580" w:history="1">
              <w:r w:rsidR="004E4952" w:rsidRPr="00D66918">
                <w:rPr>
                  <w:rStyle w:val="Hyperlink"/>
                  <w:rFonts w:ascii="Times New Roman" w:eastAsia="Times New Roman" w:hAnsi="Times New Roman" w:cs="Times New Roman"/>
                  <w:sz w:val="20"/>
                  <w:szCs w:val="20"/>
                  <w:lang w:eastAsia="en-ZA"/>
                </w:rPr>
                <w:t>https://doi.org/10.2989/16085914.2002.9626584</w:t>
              </w:r>
            </w:hyperlink>
            <w:r w:rsidR="002D7080" w:rsidRPr="007533C6">
              <w:rPr>
                <w:rFonts w:ascii="Times New Roman" w:eastAsia="Times New Roman" w:hAnsi="Times New Roman" w:cs="Times New Roman"/>
                <w:color w:val="000000" w:themeColor="text1"/>
                <w:sz w:val="20"/>
                <w:szCs w:val="20"/>
                <w:lang w:eastAsia="en-ZA"/>
              </w:rPr>
              <w:t>.</w:t>
            </w:r>
          </w:p>
          <w:p w14:paraId="75B38728" w14:textId="774D9AD9" w:rsidR="002D7080" w:rsidRPr="007533C6" w:rsidRDefault="002D7080" w:rsidP="003635A5">
            <w:pPr>
              <w:ind w:left="720" w:hanging="720"/>
              <w:contextualSpacing/>
              <w:jc w:val="both"/>
              <w:rPr>
                <w:rFonts w:ascii="Times New Roman" w:hAnsi="Times New Roman" w:cs="Times New Roman"/>
                <w:color w:val="000000" w:themeColor="text1"/>
                <w:sz w:val="20"/>
                <w:szCs w:val="20"/>
              </w:rPr>
            </w:pPr>
            <w:r w:rsidRPr="007533C6">
              <w:rPr>
                <w:rFonts w:ascii="Times New Roman" w:hAnsi="Times New Roman" w:cs="Times New Roman"/>
                <w:color w:val="000000" w:themeColor="text1"/>
                <w:sz w:val="20"/>
                <w:szCs w:val="20"/>
              </w:rPr>
              <w:t xml:space="preserve">Anastácio, P.M., Correia, A.M. &amp; Menino, J.P., 2005, ‘Processes and patterns of plant destruction by crayfish: effects of crayfish size and developmental stages of rice’, </w:t>
            </w:r>
            <w:r w:rsidRPr="007533C6">
              <w:rPr>
                <w:rFonts w:ascii="Times New Roman" w:hAnsi="Times New Roman" w:cs="Times New Roman"/>
                <w:i/>
                <w:color w:val="000000" w:themeColor="text1"/>
                <w:sz w:val="20"/>
                <w:szCs w:val="20"/>
              </w:rPr>
              <w:t xml:space="preserve">Archiv für Hydrobiologie </w:t>
            </w:r>
            <w:r w:rsidRPr="007533C6">
              <w:rPr>
                <w:rFonts w:ascii="Times New Roman" w:hAnsi="Times New Roman" w:cs="Times New Roman"/>
                <w:color w:val="000000" w:themeColor="text1"/>
                <w:sz w:val="20"/>
                <w:szCs w:val="20"/>
              </w:rPr>
              <w:t>162, 37–51</w:t>
            </w:r>
            <w:r w:rsidR="004E4952" w:rsidRPr="00D66918">
              <w:rPr>
                <w:rFonts w:ascii="Times New Roman" w:hAnsi="Times New Roman" w:cs="Times New Roman"/>
                <w:sz w:val="20"/>
                <w:szCs w:val="20"/>
              </w:rPr>
              <w:t xml:space="preserve"> </w:t>
            </w:r>
            <w:r w:rsidR="004E4952" w:rsidRPr="00D66918">
              <w:rPr>
                <w:rFonts w:ascii="Times New Roman" w:hAnsi="Times New Roman" w:cs="Times New Roman"/>
                <w:color w:val="000000" w:themeColor="text1"/>
                <w:sz w:val="20"/>
                <w:szCs w:val="20"/>
              </w:rPr>
              <w:t>https://doi.org/10.1127/0003-9136/2005/0162-0037</w:t>
            </w:r>
            <w:r w:rsidRPr="007533C6">
              <w:rPr>
                <w:rFonts w:ascii="Times New Roman" w:hAnsi="Times New Roman" w:cs="Times New Roman"/>
                <w:color w:val="000000" w:themeColor="text1"/>
                <w:sz w:val="20"/>
                <w:szCs w:val="20"/>
              </w:rPr>
              <w:t>.</w:t>
            </w:r>
          </w:p>
          <w:p w14:paraId="03550398" w14:textId="773A7815" w:rsidR="002D7080" w:rsidRPr="007533C6"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Gherardi, F., Britton, J.R., Mavuti, K.M., Pacini, N., Grey, J., Tricarico, E., et al., 2011, ‘A review of allodiversity in Lake Naivasha, Kenya: Developing conservation actions to protect East African lakes from the negative impacts of alien species’, </w:t>
            </w:r>
            <w:r w:rsidRPr="007533C6">
              <w:rPr>
                <w:rFonts w:ascii="Times New Roman" w:eastAsia="Times New Roman" w:hAnsi="Times New Roman" w:cs="Times New Roman"/>
                <w:i/>
                <w:color w:val="000000" w:themeColor="text1"/>
                <w:sz w:val="20"/>
                <w:szCs w:val="20"/>
                <w:lang w:eastAsia="en-ZA"/>
              </w:rPr>
              <w:t xml:space="preserve">Biological </w:t>
            </w:r>
            <w:r w:rsidRPr="007533C6">
              <w:rPr>
                <w:rFonts w:ascii="Times New Roman" w:eastAsia="Times New Roman" w:hAnsi="Times New Roman" w:cs="Times New Roman"/>
                <w:color w:val="000000" w:themeColor="text1"/>
                <w:sz w:val="20"/>
                <w:szCs w:val="20"/>
                <w:lang w:eastAsia="en-ZA"/>
              </w:rPr>
              <w:t xml:space="preserve">Conservation 144, 2585–2596. </w:t>
            </w:r>
            <w:hyperlink r:id="rId581" w:history="1">
              <w:r w:rsidR="004E4952" w:rsidRPr="004E4952">
                <w:rPr>
                  <w:rStyle w:val="Hyperlink"/>
                  <w:rFonts w:ascii="Times New Roman" w:eastAsia="Times New Roman" w:hAnsi="Times New Roman" w:cs="Times New Roman"/>
                  <w:sz w:val="20"/>
                  <w:szCs w:val="20"/>
                  <w:lang w:eastAsia="en-ZA"/>
                </w:rPr>
                <w:t>https://doi.org/10.1016/j.biocon.2011.07.020</w:t>
              </w:r>
            </w:hyperlink>
            <w:r w:rsidRPr="007533C6">
              <w:rPr>
                <w:rFonts w:ascii="Times New Roman" w:eastAsia="Times New Roman" w:hAnsi="Times New Roman" w:cs="Times New Roman"/>
                <w:color w:val="000000" w:themeColor="text1"/>
                <w:sz w:val="20"/>
                <w:szCs w:val="20"/>
                <w:lang w:eastAsia="en-ZA"/>
              </w:rPr>
              <w:t>.</w:t>
            </w:r>
          </w:p>
          <w:p w14:paraId="703F8625" w14:textId="2131525B" w:rsidR="004E4952"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hAnsi="Times New Roman" w:cs="Times New Roman"/>
                <w:color w:val="000000" w:themeColor="text1"/>
                <w:sz w:val="20"/>
                <w:szCs w:val="20"/>
                <w:shd w:val="clear" w:color="auto" w:fill="FFFFFF"/>
              </w:rPr>
              <w:t xml:space="preserve">Lodge, D.M., Deines, A., Gherardi, F., Yeo, D.C., Arcella, T., Baldridge, A.K., et al., </w:t>
            </w:r>
            <w:r w:rsidRPr="007533C6">
              <w:rPr>
                <w:rFonts w:ascii="Times New Roman" w:eastAsia="Times New Roman" w:hAnsi="Times New Roman" w:cs="Times New Roman"/>
                <w:color w:val="000000" w:themeColor="text1"/>
                <w:sz w:val="20"/>
                <w:szCs w:val="20"/>
                <w:lang w:eastAsia="en-ZA"/>
              </w:rPr>
              <w:t xml:space="preserve">2012, ‘Global introductions of crayfishes: Evaluating the impact of species invasions on ecosystem services’, </w:t>
            </w:r>
            <w:r w:rsidRPr="007533C6">
              <w:rPr>
                <w:rFonts w:ascii="Times New Roman" w:eastAsia="Times New Roman" w:hAnsi="Times New Roman" w:cs="Times New Roman"/>
                <w:i/>
                <w:color w:val="000000" w:themeColor="text1"/>
                <w:sz w:val="20"/>
                <w:szCs w:val="20"/>
                <w:lang w:eastAsia="en-ZA"/>
              </w:rPr>
              <w:t>Annual Review of Ecology Evolution Systematics</w:t>
            </w:r>
            <w:r w:rsidRPr="007533C6">
              <w:rPr>
                <w:rFonts w:ascii="Times New Roman" w:eastAsia="Times New Roman" w:hAnsi="Times New Roman" w:cs="Times New Roman"/>
                <w:color w:val="000000" w:themeColor="text1"/>
                <w:sz w:val="20"/>
                <w:szCs w:val="20"/>
                <w:lang w:eastAsia="en-ZA"/>
              </w:rPr>
              <w:t xml:space="preserve"> 43, 449–472. </w:t>
            </w:r>
            <w:r w:rsidR="004E4952" w:rsidRPr="00D66918">
              <w:rPr>
                <w:rFonts w:ascii="Times New Roman" w:eastAsia="Times New Roman" w:hAnsi="Times New Roman" w:cs="Times New Roman"/>
                <w:bCs/>
                <w:color w:val="000000" w:themeColor="text1"/>
                <w:sz w:val="20"/>
                <w:szCs w:val="20"/>
                <w:lang w:eastAsia="en-ZA"/>
              </w:rPr>
              <w:t>https://doi.org/10.1146/annurev-ecolsys-111511-103919</w:t>
            </w:r>
            <w:r w:rsidR="0096133C">
              <w:rPr>
                <w:rFonts w:ascii="Times New Roman" w:eastAsia="Times New Roman" w:hAnsi="Times New Roman" w:cs="Times New Roman"/>
                <w:bCs/>
                <w:color w:val="000000" w:themeColor="text1"/>
                <w:sz w:val="20"/>
                <w:szCs w:val="20"/>
                <w:lang w:eastAsia="en-ZA"/>
              </w:rPr>
              <w:t>.</w:t>
            </w:r>
          </w:p>
          <w:p w14:paraId="5881F252" w14:textId="573F6FC9" w:rsidR="002D7080" w:rsidRPr="007533C6"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Putra, M.D, Bláha, M., Wardiatno, Y., Krisanti, M., Bystřický, P.K, Kouba, A., et al., 2017, ‘</w:t>
            </w: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(Girard, 1852) and crayfish plague as new threats for biodiversity in Indonesia’,</w:t>
            </w:r>
            <w:r w:rsidRPr="007533C6">
              <w:rPr>
                <w:rFonts w:ascii="Times New Roman" w:eastAsia="Times New Roman" w:hAnsi="Times New Roman" w:cs="Times New Roman"/>
                <w:i/>
                <w:color w:val="000000" w:themeColor="text1"/>
                <w:sz w:val="20"/>
                <w:szCs w:val="20"/>
                <w:lang w:eastAsia="en-ZA"/>
              </w:rPr>
              <w:t xml:space="preserve"> Aquatic Conservation: Marine and Freshwater Ecosystems</w:t>
            </w:r>
            <w:r w:rsidRPr="007533C6">
              <w:rPr>
                <w:rFonts w:ascii="Times New Roman" w:eastAsia="Times New Roman" w:hAnsi="Times New Roman" w:cs="Times New Roman"/>
                <w:color w:val="000000" w:themeColor="text1"/>
                <w:sz w:val="20"/>
                <w:szCs w:val="20"/>
                <w:lang w:eastAsia="en-ZA"/>
              </w:rPr>
              <w:t xml:space="preserve"> 28, 1434–1440. </w:t>
            </w:r>
            <w:hyperlink r:id="rId582" w:history="1">
              <w:r w:rsidR="004E4952" w:rsidRPr="00F215B9">
                <w:rPr>
                  <w:rStyle w:val="Hyperlink"/>
                  <w:rFonts w:ascii="Times New Roman" w:eastAsia="Times New Roman" w:hAnsi="Times New Roman" w:cs="Times New Roman"/>
                  <w:sz w:val="20"/>
                  <w:szCs w:val="20"/>
                  <w:lang w:eastAsia="en-ZA"/>
                </w:rPr>
                <w:t>https://doi.org/10.1002/aqc.2970</w:t>
              </w:r>
            </w:hyperlink>
            <w:r w:rsidRPr="007533C6">
              <w:rPr>
                <w:rFonts w:ascii="Times New Roman" w:eastAsia="Times New Roman" w:hAnsi="Times New Roman" w:cs="Times New Roman"/>
                <w:color w:val="000000" w:themeColor="text1"/>
                <w:sz w:val="20"/>
                <w:szCs w:val="20"/>
                <w:lang w:eastAsia="en-ZA"/>
              </w:rPr>
              <w:t>.</w:t>
            </w:r>
            <w:r w:rsidR="004E4952">
              <w:rPr>
                <w:rFonts w:ascii="Times New Roman" w:eastAsia="Times New Roman" w:hAnsi="Times New Roman" w:cs="Times New Roman"/>
                <w:color w:val="000000" w:themeColor="text1"/>
                <w:sz w:val="20"/>
                <w:szCs w:val="20"/>
                <w:lang w:eastAsia="en-ZA"/>
              </w:rPr>
              <w:t xml:space="preserve"> </w:t>
            </w:r>
          </w:p>
          <w:p w14:paraId="0C3A1C9E" w14:textId="7C31435F"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7533C6">
              <w:rPr>
                <w:rFonts w:ascii="Times New Roman" w:hAnsi="Times New Roman" w:cs="Times New Roman"/>
                <w:color w:val="000000" w:themeColor="text1"/>
                <w:sz w:val="20"/>
                <w:szCs w:val="20"/>
                <w:shd w:val="clear" w:color="auto" w:fill="FFFFFF"/>
              </w:rPr>
              <w:t>Souty-Grosset, C., Anastacio, P.M., Aquiloni, L., Banha, F., Choquer, J., Chucholl, C. &amp; Tricarico, E., </w:t>
            </w:r>
            <w:r w:rsidRPr="007533C6">
              <w:rPr>
                <w:rFonts w:ascii="Times New Roman" w:eastAsia="Times New Roman" w:hAnsi="Times New Roman" w:cs="Times New Roman"/>
                <w:color w:val="000000" w:themeColor="text1"/>
                <w:sz w:val="20"/>
                <w:szCs w:val="20"/>
                <w:lang w:eastAsia="en-ZA"/>
              </w:rPr>
              <w:t xml:space="preserve">2016, ‘The red swamp crayfish </w:t>
            </w: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in Europe: Impacts on aquatic ecosystems and human well-being’, </w:t>
            </w:r>
            <w:r w:rsidRPr="007533C6">
              <w:rPr>
                <w:rFonts w:ascii="Times New Roman" w:eastAsia="Times New Roman" w:hAnsi="Times New Roman" w:cs="Times New Roman"/>
                <w:i/>
                <w:color w:val="000000" w:themeColor="text1"/>
                <w:sz w:val="20"/>
                <w:szCs w:val="20"/>
                <w:lang w:eastAsia="en-ZA"/>
              </w:rPr>
              <w:t>Limnologica</w:t>
            </w:r>
            <w:r w:rsidRPr="007533C6">
              <w:rPr>
                <w:rFonts w:ascii="Times New Roman" w:eastAsia="Times New Roman" w:hAnsi="Times New Roman" w:cs="Times New Roman"/>
                <w:color w:val="000000" w:themeColor="text1"/>
                <w:sz w:val="20"/>
                <w:szCs w:val="20"/>
                <w:lang w:eastAsia="en-ZA"/>
              </w:rPr>
              <w:t xml:space="preserve"> 58, 78–93. </w:t>
            </w:r>
            <w:hyperlink r:id="rId583" w:history="1">
              <w:r w:rsidR="004E4952" w:rsidRPr="004E4952">
                <w:rPr>
                  <w:rStyle w:val="Hyperlink"/>
                  <w:rFonts w:ascii="Times New Roman" w:eastAsia="Times New Roman" w:hAnsi="Times New Roman" w:cs="Times New Roman"/>
                  <w:bCs/>
                  <w:sz w:val="20"/>
                  <w:szCs w:val="20"/>
                  <w:lang w:eastAsia="en-ZA"/>
                </w:rPr>
                <w:t>https://doi.org/10.1016/j.limno.2016.03.003</w:t>
              </w:r>
            </w:hyperlink>
            <w:r w:rsidRPr="007533C6">
              <w:rPr>
                <w:rFonts w:ascii="Times New Roman" w:eastAsia="Times New Roman" w:hAnsi="Times New Roman" w:cs="Times New Roman"/>
                <w:bCs/>
                <w:color w:val="000000" w:themeColor="text1"/>
                <w:sz w:val="20"/>
                <w:szCs w:val="20"/>
                <w:lang w:eastAsia="en-ZA"/>
              </w:rPr>
              <w:t>.</w:t>
            </w:r>
          </w:p>
        </w:tc>
      </w:tr>
    </w:tbl>
    <w:p w14:paraId="429AD76B" w14:textId="77777777" w:rsidR="002D7080" w:rsidRPr="004D1E6F" w:rsidRDefault="002D7080" w:rsidP="002D7080">
      <w:pPr>
        <w:spacing w:after="0" w:line="240" w:lineRule="auto"/>
        <w:rPr>
          <w:rFonts w:ascii="Times New Roman" w:hAnsi="Times New Roman" w:cs="Times New Roman"/>
        </w:rPr>
      </w:pPr>
    </w:p>
    <w:tbl>
      <w:tblPr>
        <w:tblStyle w:val="TableGrid"/>
        <w:tblW w:w="0" w:type="auto"/>
        <w:tblLook w:val="04A0" w:firstRow="1" w:lastRow="0" w:firstColumn="1" w:lastColumn="0" w:noHBand="0" w:noVBand="1"/>
      </w:tblPr>
      <w:tblGrid>
        <w:gridCol w:w="5949"/>
        <w:gridCol w:w="3067"/>
      </w:tblGrid>
      <w:tr w:rsidR="002D7080" w:rsidRPr="004D1E6F" w14:paraId="417D77F0" w14:textId="77777777" w:rsidTr="002E2C37">
        <w:trPr>
          <w:trHeight w:val="343"/>
        </w:trPr>
        <w:tc>
          <w:tcPr>
            <w:tcW w:w="9016" w:type="dxa"/>
            <w:gridSpan w:val="2"/>
            <w:shd w:val="clear" w:color="auto" w:fill="F2F2F2" w:themeFill="background1" w:themeFillShade="F2"/>
          </w:tcPr>
          <w:p w14:paraId="4946F04C"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CON3 Closely related species’ environmental impact</w:t>
            </w:r>
          </w:p>
        </w:tc>
      </w:tr>
      <w:tr w:rsidR="002D7080" w:rsidRPr="004D1E6F" w14:paraId="02A7133D" w14:textId="77777777" w:rsidTr="002E2C37">
        <w:trPr>
          <w:trHeight w:val="172"/>
        </w:trPr>
        <w:tc>
          <w:tcPr>
            <w:tcW w:w="5949" w:type="dxa"/>
          </w:tcPr>
          <w:p w14:paraId="056F145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Not scored as CON1 scored</w:t>
            </w:r>
          </w:p>
        </w:tc>
        <w:tc>
          <w:tcPr>
            <w:tcW w:w="3067" w:type="dxa"/>
          </w:tcPr>
          <w:p w14:paraId="116C4BD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49F15360" w14:textId="77777777" w:rsidTr="002E2C37">
        <w:trPr>
          <w:trHeight w:val="70"/>
        </w:trPr>
        <w:tc>
          <w:tcPr>
            <w:tcW w:w="9016" w:type="dxa"/>
            <w:gridSpan w:val="2"/>
          </w:tcPr>
          <w:p w14:paraId="5E99B63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There is information to score CON1, so CON3 does not need to be scored as per the framework.</w:t>
            </w:r>
          </w:p>
        </w:tc>
      </w:tr>
      <w:tr w:rsidR="002D7080" w:rsidRPr="004D1E6F" w14:paraId="2285AE5F" w14:textId="77777777" w:rsidTr="002E2C37">
        <w:trPr>
          <w:trHeight w:val="70"/>
        </w:trPr>
        <w:tc>
          <w:tcPr>
            <w:tcW w:w="9016" w:type="dxa"/>
            <w:gridSpan w:val="2"/>
          </w:tcPr>
          <w:p w14:paraId="4A18551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7D7F49E0" w14:textId="77777777" w:rsidR="002D7080" w:rsidRPr="004D1E6F" w:rsidRDefault="002D7080" w:rsidP="002D7080">
      <w:pPr>
        <w:spacing w:after="0" w:line="240" w:lineRule="auto"/>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5949"/>
        <w:gridCol w:w="3067"/>
      </w:tblGrid>
      <w:tr w:rsidR="002D7080" w:rsidRPr="004D1E6F" w14:paraId="5C384B38" w14:textId="77777777" w:rsidTr="002E2C37">
        <w:trPr>
          <w:trHeight w:val="343"/>
        </w:trPr>
        <w:tc>
          <w:tcPr>
            <w:tcW w:w="9016" w:type="dxa"/>
            <w:gridSpan w:val="2"/>
            <w:shd w:val="clear" w:color="auto" w:fill="F2F2F2" w:themeFill="background1" w:themeFillShade="F2"/>
          </w:tcPr>
          <w:p w14:paraId="17420EA3"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CON4 Closely related species’ socio-economic impact</w:t>
            </w:r>
          </w:p>
        </w:tc>
      </w:tr>
      <w:tr w:rsidR="002D7080" w:rsidRPr="004D1E6F" w14:paraId="75916CB0" w14:textId="77777777" w:rsidTr="002E2C37">
        <w:trPr>
          <w:trHeight w:val="172"/>
        </w:trPr>
        <w:tc>
          <w:tcPr>
            <w:tcW w:w="5949" w:type="dxa"/>
          </w:tcPr>
          <w:p w14:paraId="76AA928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Not scored as CON2 scored</w:t>
            </w:r>
          </w:p>
        </w:tc>
        <w:tc>
          <w:tcPr>
            <w:tcW w:w="3067" w:type="dxa"/>
          </w:tcPr>
          <w:p w14:paraId="08C480E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E989947" w14:textId="77777777" w:rsidTr="002E2C37">
        <w:trPr>
          <w:trHeight w:val="70"/>
        </w:trPr>
        <w:tc>
          <w:tcPr>
            <w:tcW w:w="9016" w:type="dxa"/>
            <w:gridSpan w:val="2"/>
          </w:tcPr>
          <w:p w14:paraId="67038F2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 There is information to score CON2, so CON4 does not need to be scored as per the framework.</w:t>
            </w:r>
          </w:p>
        </w:tc>
      </w:tr>
      <w:tr w:rsidR="002D7080" w:rsidRPr="004D1E6F" w14:paraId="2EE20902" w14:textId="77777777" w:rsidTr="002E2C37">
        <w:trPr>
          <w:trHeight w:val="50"/>
        </w:trPr>
        <w:tc>
          <w:tcPr>
            <w:tcW w:w="9016" w:type="dxa"/>
            <w:gridSpan w:val="2"/>
          </w:tcPr>
          <w:p w14:paraId="0F3CE9CD"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308059A9" w14:textId="77777777" w:rsidR="002D7080" w:rsidRPr="004D1E6F" w:rsidRDefault="002D7080" w:rsidP="002D7080">
      <w:pPr>
        <w:spacing w:after="0" w:line="240" w:lineRule="auto"/>
        <w:rPr>
          <w:rFonts w:ascii="Times New Roman" w:hAnsi="Times New Roman" w:cs="Times New Roman"/>
          <w:b/>
          <w:sz w:val="24"/>
          <w:szCs w:val="24"/>
        </w:rPr>
      </w:pPr>
    </w:p>
    <w:tbl>
      <w:tblPr>
        <w:tblStyle w:val="TableGrid"/>
        <w:tblW w:w="0" w:type="auto"/>
        <w:tblLook w:val="04A0" w:firstRow="1" w:lastRow="0" w:firstColumn="1" w:lastColumn="0" w:noHBand="0" w:noVBand="1"/>
      </w:tblPr>
      <w:tblGrid>
        <w:gridCol w:w="5949"/>
        <w:gridCol w:w="3067"/>
      </w:tblGrid>
      <w:tr w:rsidR="002D7080" w:rsidRPr="004D1E6F" w14:paraId="5C8532DA" w14:textId="77777777" w:rsidTr="002E2C37">
        <w:trPr>
          <w:trHeight w:val="343"/>
        </w:trPr>
        <w:tc>
          <w:tcPr>
            <w:tcW w:w="9016" w:type="dxa"/>
            <w:gridSpan w:val="2"/>
            <w:shd w:val="clear" w:color="auto" w:fill="F2F2F2" w:themeFill="background1" w:themeFillShade="F2"/>
          </w:tcPr>
          <w:p w14:paraId="46FC6A42"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CON5 Potential impact</w:t>
            </w:r>
          </w:p>
        </w:tc>
      </w:tr>
      <w:tr w:rsidR="002D7080" w:rsidRPr="004D1E6F" w14:paraId="69538F9A" w14:textId="77777777" w:rsidTr="002E2C37">
        <w:trPr>
          <w:trHeight w:val="172"/>
        </w:trPr>
        <w:tc>
          <w:tcPr>
            <w:tcW w:w="5949" w:type="dxa"/>
          </w:tcPr>
          <w:p w14:paraId="7CFCBCF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Major (MR)</w:t>
            </w:r>
          </w:p>
        </w:tc>
        <w:tc>
          <w:tcPr>
            <w:tcW w:w="3067" w:type="dxa"/>
          </w:tcPr>
          <w:p w14:paraId="06EA65E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61474759" w14:textId="77777777" w:rsidTr="002E2C37">
        <w:trPr>
          <w:trHeight w:val="70"/>
        </w:trPr>
        <w:tc>
          <w:tcPr>
            <w:tcW w:w="9016" w:type="dxa"/>
            <w:gridSpan w:val="2"/>
          </w:tcPr>
          <w:p w14:paraId="45B8F47E" w14:textId="77777777" w:rsidR="002D7080" w:rsidRPr="007533C6" w:rsidRDefault="002D7080" w:rsidP="002E2C37">
            <w:pPr>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Rationale: </w:t>
            </w:r>
            <w:r w:rsidRPr="007533C6">
              <w:rPr>
                <w:rFonts w:ascii="Times New Roman" w:eastAsia="Times New Roman" w:hAnsi="Times New Roman" w:cs="Times New Roman"/>
                <w:i/>
                <w:iCs/>
                <w:color w:val="000000" w:themeColor="text1"/>
                <w:sz w:val="20"/>
                <w:szCs w:val="20"/>
                <w:lang w:eastAsia="en-ZA"/>
              </w:rPr>
              <w:t xml:space="preserve">Procambarus clarkii </w:t>
            </w:r>
            <w:r w:rsidRPr="007533C6">
              <w:rPr>
                <w:rFonts w:ascii="Times New Roman" w:eastAsia="Times New Roman" w:hAnsi="Times New Roman" w:cs="Times New Roman"/>
                <w:color w:val="000000" w:themeColor="text1"/>
                <w:sz w:val="20"/>
                <w:szCs w:val="20"/>
                <w:lang w:eastAsia="en-ZA"/>
              </w:rPr>
              <w:t xml:space="preserve">can tolerate a wide range of environmental conditions </w:t>
            </w:r>
            <w:r w:rsidRPr="007533C6">
              <w:rPr>
                <w:rFonts w:ascii="Times New Roman" w:eastAsia="Times New Roman" w:hAnsi="Times New Roman" w:cs="Times New Roman"/>
                <w:color w:val="000000" w:themeColor="text1"/>
                <w:sz w:val="20"/>
                <w:szCs w:val="20"/>
                <w:lang w:eastAsia="en-ZA"/>
              </w:rPr>
              <w:fldChar w:fldCharType="begin" w:fldLock="1"/>
            </w:r>
            <w:r w:rsidRPr="007533C6">
              <w:rPr>
                <w:rFonts w:ascii="Times New Roman" w:eastAsia="Times New Roman" w:hAnsi="Times New Roman" w:cs="Times New Roman"/>
                <w:color w:val="000000" w:themeColor="text1"/>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"mendeley" : { "formattedCitation" : "(Nunes et al. 2017b)", "plainTextFormattedCitation" : "(Nunes et al. 2017b)", "previouslyFormattedCitation" : "(Nunes et al. 2017b)" }, "properties" : { "noteIndex" : 0 }, "schema" : "https://github.com/citation-style-language/schema/raw/master/csl-citation.json" }</w:instrText>
            </w:r>
            <w:r w:rsidRPr="007533C6">
              <w:rPr>
                <w:rFonts w:ascii="Times New Roman" w:eastAsia="Times New Roman" w:hAnsi="Times New Roman" w:cs="Times New Roman"/>
                <w:color w:val="000000" w:themeColor="text1"/>
                <w:sz w:val="20"/>
                <w:szCs w:val="20"/>
                <w:lang w:eastAsia="en-ZA"/>
              </w:rPr>
              <w:fldChar w:fldCharType="separate"/>
            </w:r>
            <w:r w:rsidRPr="007533C6">
              <w:rPr>
                <w:rFonts w:ascii="Times New Roman" w:eastAsia="Times New Roman" w:hAnsi="Times New Roman" w:cs="Times New Roman"/>
                <w:color w:val="000000" w:themeColor="text1"/>
                <w:sz w:val="20"/>
                <w:szCs w:val="20"/>
                <w:lang w:eastAsia="en-ZA"/>
              </w:rPr>
              <w:t>(Nunes et al. 2017b)</w:t>
            </w:r>
            <w:r w:rsidRPr="007533C6">
              <w:rPr>
                <w:rFonts w:ascii="Times New Roman" w:eastAsia="Times New Roman" w:hAnsi="Times New Roman" w:cs="Times New Roman"/>
                <w:color w:val="000000" w:themeColor="text1"/>
                <w:sz w:val="20"/>
                <w:szCs w:val="20"/>
                <w:lang w:eastAsia="en-ZA"/>
              </w:rPr>
              <w:fldChar w:fldCharType="end"/>
            </w:r>
            <w:r w:rsidRPr="007533C6">
              <w:rPr>
                <w:rFonts w:ascii="Times New Roman" w:eastAsia="Times New Roman" w:hAnsi="Times New Roman" w:cs="Times New Roman"/>
                <w:color w:val="000000" w:themeColor="text1"/>
                <w:sz w:val="20"/>
                <w:szCs w:val="20"/>
                <w:lang w:eastAsia="en-ZA"/>
              </w:rPr>
              <w:t xml:space="preserve">, and is an aggressive competitor that can outcompete and displace native species in invaded ecosystems </w:t>
            </w:r>
            <w:r w:rsidRPr="007533C6">
              <w:rPr>
                <w:rFonts w:ascii="Times New Roman" w:eastAsia="Times New Roman" w:hAnsi="Times New Roman" w:cs="Times New Roman"/>
                <w:color w:val="000000" w:themeColor="text1"/>
                <w:sz w:val="20"/>
                <w:szCs w:val="20"/>
                <w:lang w:eastAsia="en-ZA"/>
              </w:rPr>
              <w:fldChar w:fldCharType="begin" w:fldLock="1"/>
            </w:r>
            <w:r w:rsidRPr="007533C6">
              <w:rPr>
                <w:rFonts w:ascii="Times New Roman" w:eastAsia="Times New Roman" w:hAnsi="Times New Roman" w:cs="Times New Roman"/>
                <w:color w:val="000000" w:themeColor="text1"/>
                <w:sz w:val="20"/>
                <w:szCs w:val="20"/>
                <w:lang w:eastAsia="en-ZA"/>
              </w:rPr>
              <w:instrText>ADDIN CSL_CITATION { "citationItems" : [ { "id" : "ITEM-1", "itemData" : { "DOI" : "10.1016/j.biocon.2011.07.020", "author" : [ { "dropping-particle" : "", "family" : "Gherardi", "given" : "Francesca", "non-dropping-particle" : "", "parse-names" : false, "suffix" : "" }, { "dropping-particle" : "", "family" : "Britton", "given" : "J Robert", "non-dropping-particle" : "", "parse-names" : false, "suffix" : "" }, { "dropping-particle" : "", "family" : "Mavuti", "given" : "Kenneth M", "non-dropping-particle" : "", "parse-names" : false, "suffix" : "" }, { "dropping-particle" : "", "family" : "Pacini", "given" : "Nic", "non-dropping-particle" : "", "parse-names" : false, "suffix" : "" }, { "dropping-particle" : "", "family" : "Grey", "given" : "Jonathan", "non-dropping-particle" : "", "parse-names" : false, "suffix" : "" }, { "dropping-particle" : "", "family" : "Tricarico", "given" : "Elena", "non-dropping-particle" : "", "parse-names" : false, "suffix" : "" }, { "dropping-particle" : "", "family" : "Harper", "given" : "David M", "non-dropping-particle" : "", "parse-names" : false, "suffix" : "" } ], "id" : "ITEM-1", "issued" : { "date-parts" : [ [ "2011" ] ] }, "page" : "2585-2596", "publisher" : "Elsevier Ltd", "title" : "A review of allodiversity in Lake Naivasha , Kenya : Developing conservation actions to protect East African lakes from the negative impacts of alien species", "type" : "article-journal", "volume" : "144" }, "uris" : [ "http://www.mendeley.com/documents/?uuid=05c95c37-42e0-4b2c-a818-0f1c7fd1a239" ] }, { "id" : "ITEM-2", "itemData" : { "DOI" : "10.1111/1365-2656.12533", "ISBN" : "1365-2656 (Electronic)\\r0021-8790 (Linking)", "ISSN" : "13652656", "PMID" : "27084460", "abstract" : "1. Invasive species are a key driver of global environmental change, with frequently strong negative consequences for native biodiversity and ecosystem processes. Understanding com- petitive interactions between invaders and functionally similar native species provides an important benchmark for predicting the consequences of invasion. However, even though having a broad dietary niche is widely considered a key factor determining invasion success, little is known about the effects of competition with functionally similar native competitors on the dietary niche breadths of invasive species. 2. We used a combination of field experiments and field surveys to examine the impacts of competition with a functionally similar native crab species on the population densities, growth rates and diet of the globally widespread invasive red swamp crayfish in an African river ecosystem. 3. The presence of native crabs triggered significant dietary niche constriction within the inva- sive crayfish population. Further, growth rates of both species were reduced significantly, and by a similar extent, in the presence of one another. In spite of this, crayfish maintained posi- tive growth rates in the presence of crabs, whereas crabs lost mass in the presence of crayfish. Consequently, over the 3-year duration of the study, crab abundance declined at those sites invaded by the crayfish, becoming locally extinct at one. 4. The invasive crayfish had a dramatic effect on ecosystem structure and functioning, halv- ing benthic invertebrate densities and increasing decomposition rates fourfold compared to the crabs. This indicates that replacement of native crabs by invasive crayfish likely alters the structure and functioning of African river ecosystems significantly. 5. This study provides a novel example of the constriction of the dietary niche of a successful invasive population in the presence of competition from a functionally similar native species. This finding highlights the importance of considering both environmental and ecological contexts in order to predict and manage the impacts of invasive species on ecosystems.", "author" : [ { "dropping-particle" : "", "family" : "Jackson", "given" : "Michelle C.", "non-dropping-particle" : "", "parse-names" : false, "suffix" : "" }, { "dropping-particle" : "", "family" : "Grey", "given" : "Jonathan", "non-dropping-particle" : "", "parse-names" : false, "suffix" : "" }, { "dropping-particle" : "", "family" : "Miller", "given" : "Katie", "non-dropping-particle" : "", "parse-names" : false, "suffix" : "" }, { "dropping-particle" : "", "family" : "Britton", "given" : "J. Robert", "non-dropping-particle" : "", "parse-names" : false, "suffix" : "" }, { "dropping-particle" : "", "family" : "Donohue", "given" : "Ian", "non-dropping-particle" : "", "parse-names" : false, "suffix" : "" } ], "container-title" : "Journal of Animal Ecology", "id" : "ITEM-2", "issued" : { "date-parts" : [ [ "2016" ] ] }, "page" : "1098-1107", "title" : "Dietary niche constriction when invaders meet natives: Evidence from freshwater decapods", "type" : "article-journal" }, "uris" : [ "http://www.mendeley.com/documents/?uuid=4d1dad2a-af96-4ee7-a254-3fb10d7453b1" ] } ], "mendeley" : { "formattedCitation" : "(Gherardi et al. 2011, Jackson et al. 2016)", "plainTextFormattedCitation" : "(Gherardi et al. 2011, Jackson et al. 2016)", "previouslyFormattedCitation" : "(Gherardi et al. 2011, Jackson et al. 2016)" }, "properties" : { "noteIndex" : 0 }, "schema" : "https://github.com/citation-style-language/schema/raw/master/csl-citation.json" }</w:instrText>
            </w:r>
            <w:r w:rsidRPr="007533C6">
              <w:rPr>
                <w:rFonts w:ascii="Times New Roman" w:eastAsia="Times New Roman" w:hAnsi="Times New Roman" w:cs="Times New Roman"/>
                <w:color w:val="000000" w:themeColor="text1"/>
                <w:sz w:val="20"/>
                <w:szCs w:val="20"/>
                <w:lang w:eastAsia="en-ZA"/>
              </w:rPr>
              <w:fldChar w:fldCharType="separate"/>
            </w:r>
            <w:r w:rsidRPr="007533C6">
              <w:rPr>
                <w:rFonts w:ascii="Times New Roman" w:eastAsia="Times New Roman" w:hAnsi="Times New Roman" w:cs="Times New Roman"/>
                <w:color w:val="000000" w:themeColor="text1"/>
                <w:sz w:val="20"/>
                <w:szCs w:val="20"/>
                <w:lang w:eastAsia="en-ZA"/>
              </w:rPr>
              <w:t>(Gherardi et al. 2011; Jackson et al. 2016)</w:t>
            </w:r>
            <w:r w:rsidRPr="007533C6">
              <w:rPr>
                <w:rFonts w:ascii="Times New Roman" w:eastAsia="Times New Roman" w:hAnsi="Times New Roman" w:cs="Times New Roman"/>
                <w:color w:val="000000" w:themeColor="text1"/>
                <w:sz w:val="20"/>
                <w:szCs w:val="20"/>
                <w:lang w:eastAsia="en-ZA"/>
              </w:rPr>
              <w:fldChar w:fldCharType="end"/>
            </w:r>
            <w:r w:rsidRPr="007533C6">
              <w:rPr>
                <w:rFonts w:ascii="Times New Roman" w:eastAsia="Times New Roman" w:hAnsi="Times New Roman" w:cs="Times New Roman"/>
                <w:color w:val="000000" w:themeColor="text1"/>
                <w:sz w:val="20"/>
                <w:szCs w:val="20"/>
                <w:lang w:eastAsia="en-ZA"/>
              </w:rPr>
              <w:t xml:space="preserve">. </w:t>
            </w:r>
            <w:r w:rsidRPr="007533C6">
              <w:rPr>
                <w:rFonts w:ascii="Times New Roman" w:eastAsia="Times New Roman" w:hAnsi="Times New Roman" w:cs="Times New Roman"/>
                <w:i/>
                <w:iCs/>
                <w:color w:val="000000" w:themeColor="text1"/>
                <w:sz w:val="20"/>
                <w:szCs w:val="20"/>
                <w:lang w:eastAsia="en-ZA"/>
              </w:rPr>
              <w:t xml:space="preserve">Procambarus clarkii </w:t>
            </w:r>
            <w:r w:rsidRPr="007533C6">
              <w:rPr>
                <w:rFonts w:ascii="Times New Roman" w:eastAsia="Times New Roman" w:hAnsi="Times New Roman" w:cs="Times New Roman"/>
                <w:color w:val="000000" w:themeColor="text1"/>
                <w:sz w:val="20"/>
                <w:szCs w:val="20"/>
                <w:lang w:eastAsia="en-ZA"/>
              </w:rPr>
              <w:t xml:space="preserve">can also cause habitat alteration through intensive grazing of macrophytes and burrowing activities can destabilise river banks and water infrastructure such as dams and canals (Souty-Grosset et al. 2016). Habitat loss can lead to a decline in populations of species that utilise the macrophyte stands as a food source, nesting sites, and as refugia from predation (Rosenthal et al 2005). Grazing and browsing activities of </w:t>
            </w:r>
            <w:r w:rsidRPr="007533C6">
              <w:rPr>
                <w:rFonts w:ascii="Times New Roman" w:eastAsia="Times New Roman" w:hAnsi="Times New Roman" w:cs="Times New Roman"/>
                <w:i/>
                <w:iCs/>
                <w:color w:val="000000" w:themeColor="text1"/>
                <w:sz w:val="20"/>
                <w:szCs w:val="20"/>
                <w:lang w:eastAsia="en-ZA"/>
              </w:rPr>
              <w:t xml:space="preserve">P. clarkii </w:t>
            </w:r>
            <w:r w:rsidRPr="007533C6">
              <w:rPr>
                <w:rFonts w:ascii="Times New Roman" w:eastAsia="Times New Roman" w:hAnsi="Times New Roman" w:cs="Times New Roman"/>
                <w:color w:val="000000" w:themeColor="text1"/>
                <w:sz w:val="20"/>
                <w:szCs w:val="20"/>
                <w:lang w:eastAsia="en-ZA"/>
              </w:rPr>
              <w:t>can causes economic losses in agricultural fields where these activities can damage infrastructure (e.g., to irrigation canals and dam walls)</w:t>
            </w:r>
            <w:r w:rsidRPr="007533C6">
              <w:rPr>
                <w:rFonts w:ascii="Times New Roman" w:hAnsi="Times New Roman" w:cs="Times New Roman"/>
                <w:color w:val="000000" w:themeColor="text1"/>
                <w:sz w:val="20"/>
                <w:szCs w:val="20"/>
              </w:rPr>
              <w:t xml:space="preserve"> (</w:t>
            </w:r>
            <w:r w:rsidRPr="00360AC0">
              <w:rPr>
                <w:rFonts w:ascii="Times New Roman" w:hAnsi="Times New Roman" w:cs="Times New Roman"/>
                <w:color w:val="000000" w:themeColor="text1"/>
                <w:sz w:val="20"/>
                <w:szCs w:val="20"/>
              </w:rPr>
              <w:t>Lodge et al. 2012</w:t>
            </w:r>
            <w:r>
              <w:rPr>
                <w:rFonts w:ascii="Times New Roman" w:hAnsi="Times New Roman" w:cs="Times New Roman"/>
                <w:color w:val="000000" w:themeColor="text1"/>
                <w:sz w:val="20"/>
                <w:szCs w:val="20"/>
              </w:rPr>
              <w:t xml:space="preserve">; </w:t>
            </w:r>
            <w:r w:rsidRPr="007533C6">
              <w:rPr>
                <w:rFonts w:ascii="Times New Roman" w:hAnsi="Times New Roman" w:cs="Times New Roman"/>
                <w:color w:val="000000" w:themeColor="text1"/>
                <w:sz w:val="20"/>
                <w:szCs w:val="20"/>
              </w:rPr>
              <w:t xml:space="preserve">Arce &amp; Diéguez-Uribeondo 2015) and can reduce yields by damaging crops (Anastácio et al. 2005; Souty-Grosset et al. 2016). </w:t>
            </w:r>
            <w:r w:rsidRPr="007533C6">
              <w:rPr>
                <w:rFonts w:ascii="Times New Roman" w:hAnsi="Times New Roman" w:cs="Times New Roman"/>
                <w:i/>
                <w:color w:val="000000" w:themeColor="text1"/>
                <w:sz w:val="20"/>
                <w:szCs w:val="20"/>
              </w:rPr>
              <w:t>Procambarus clarkii</w:t>
            </w:r>
            <w:r w:rsidRPr="007533C6">
              <w:rPr>
                <w:rFonts w:ascii="Times New Roman" w:hAnsi="Times New Roman" w:cs="Times New Roman"/>
                <w:color w:val="000000" w:themeColor="text1"/>
                <w:sz w:val="20"/>
                <w:szCs w:val="20"/>
              </w:rPr>
              <w:t xml:space="preserve"> can also have economic repercussions on the fishing industry by damaging gill nets and spoiling the fish caught in the nets (Gherardi et al. 2011).</w:t>
            </w:r>
          </w:p>
          <w:p w14:paraId="63884EAD" w14:textId="77777777" w:rsidR="002D7080" w:rsidRPr="007533C6" w:rsidRDefault="002D7080" w:rsidP="002E2C37">
            <w:pPr>
              <w:jc w:val="both"/>
              <w:rPr>
                <w:rFonts w:ascii="Times New Roman" w:eastAsia="Times New Roman" w:hAnsi="Times New Roman" w:cs="Times New Roman"/>
                <w:color w:val="000000" w:themeColor="text1"/>
                <w:sz w:val="20"/>
                <w:szCs w:val="20"/>
                <w:lang w:eastAsia="en-ZA"/>
              </w:rPr>
            </w:pPr>
          </w:p>
          <w:p w14:paraId="7F3F38EE" w14:textId="77777777" w:rsidR="002D7080" w:rsidRPr="007533C6" w:rsidRDefault="002D7080" w:rsidP="002E2C37">
            <w:pPr>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has resulted in the decline of several species of fish and amphibians through predation on eggs and larval amphibians </w:t>
            </w:r>
            <w:r w:rsidRPr="007533C6">
              <w:rPr>
                <w:rFonts w:ascii="Times New Roman" w:eastAsia="Times New Roman" w:hAnsi="Times New Roman" w:cs="Times New Roman"/>
                <w:color w:val="000000" w:themeColor="text1"/>
                <w:sz w:val="20"/>
                <w:szCs w:val="20"/>
                <w:lang w:eastAsia="en-ZA"/>
              </w:rPr>
              <w:fldChar w:fldCharType="begin" w:fldLock="1"/>
            </w:r>
            <w:r w:rsidRPr="007533C6">
              <w:rPr>
                <w:rFonts w:ascii="Times New Roman" w:eastAsia="Times New Roman" w:hAnsi="Times New Roman" w:cs="Times New Roman"/>
                <w:color w:val="000000" w:themeColor="text1"/>
                <w:sz w:val="20"/>
                <w:szCs w:val="20"/>
                <w:lang w:eastAsia="en-ZA"/>
              </w:rPr>
              <w:instrText>ADDIN CSL_CITATION { "citationItems" : [ { "id" : "ITEM-1",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"ITEM-1",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"id" : "ITEM-2", "itemData" : { "DOI" : "10.1007/s10531-012-0323-1", "author" : [ { "dropping-particle" : "", "family" : "Francesco", "given" : "Gentile", "non-dropping-particle" : "", "parse-names" : false, "suffix" : "" }, { "dropping-particle" : "", "family" : "Matteo", "given" : "Ficetola", "non-dropping-particle" : "", "parse-names" : false, "suffix" : "" }, { "dropping-particle" : "", "family" : "Siesa", "given" : "Elio", "non-dropping-particle" : "", "parse-names" : false, "suffix" : "" }, { "dropping-particle" : "De", "family" : "Bernardi", "given" : "Fiorenza", "non-dropping-particle" : "", "parse-names" : false, "suffix" : "" }, { "dropping-particle" : "", "family" : "Padoa-schioppa", "given" : "Emilio", "non-dropping-particle" : "", "parse-names" : false, "suffix" : "" } ], "id" : "ITEM-2", "issued" : { "date-parts" : [ [ "2012" ] ] }, "page" : "2641-2651", "title" : "Complex impact of an invasive crayfish on freshwater food webs", "type" : "article-journal" }, "uris" : [ "http://www.mendeley.com/documents/?uuid=4e9ca91f-7982-4098-b712-ffad4211fd37" ] } ], "mendeley" : { "formattedCitation" : "(Cruz et al. 2006, Francesco et al. 2012)", "manualFormatting" : "(Cruz et al. 2006, Francesco et al. 2011)", "plainTextFormattedCitation" : "(Cruz et al. 2006, Francesco et al. 2012)", "previouslyFormattedCitation" : "(Cruz et al. 2006, Francesco et al. 2012)" }, "properties" : { "noteIndex" : 0 }, "schema" : "https://github.com/citation-style-language/schema/raw/master/csl-citation.json" }</w:instrText>
            </w:r>
            <w:r w:rsidRPr="007533C6">
              <w:rPr>
                <w:rFonts w:ascii="Times New Roman" w:eastAsia="Times New Roman" w:hAnsi="Times New Roman" w:cs="Times New Roman"/>
                <w:color w:val="000000" w:themeColor="text1"/>
                <w:sz w:val="20"/>
                <w:szCs w:val="20"/>
                <w:lang w:eastAsia="en-ZA"/>
              </w:rPr>
              <w:fldChar w:fldCharType="separate"/>
            </w:r>
            <w:r w:rsidRPr="007533C6">
              <w:rPr>
                <w:rFonts w:ascii="Times New Roman" w:eastAsia="Times New Roman" w:hAnsi="Times New Roman" w:cs="Times New Roman"/>
                <w:color w:val="000000" w:themeColor="text1"/>
                <w:sz w:val="20"/>
                <w:szCs w:val="20"/>
                <w:lang w:eastAsia="en-ZA"/>
              </w:rPr>
              <w:t>(Cruz et al. 2006; Francesco et al. 2011; Lodge et al. 2012; Souty-Grosset et al. 2016)</w:t>
            </w:r>
            <w:r w:rsidRPr="007533C6">
              <w:rPr>
                <w:rFonts w:ascii="Times New Roman" w:eastAsia="Times New Roman" w:hAnsi="Times New Roman" w:cs="Times New Roman"/>
                <w:color w:val="000000" w:themeColor="text1"/>
                <w:sz w:val="20"/>
                <w:szCs w:val="20"/>
                <w:lang w:eastAsia="en-ZA"/>
              </w:rPr>
              <w:fldChar w:fldCharType="end"/>
            </w:r>
            <w:r w:rsidRPr="007533C6">
              <w:rPr>
                <w:rFonts w:ascii="Times New Roman" w:eastAsia="Times New Roman" w:hAnsi="Times New Roman" w:cs="Times New Roman"/>
                <w:color w:val="000000" w:themeColor="text1"/>
                <w:sz w:val="20"/>
                <w:szCs w:val="20"/>
                <w:lang w:eastAsia="en-ZA"/>
              </w:rPr>
              <w:t>. Indirect effects of predation can also cause trophic cascades that can lead to changes in ecosystem structure and function. For example, predation on invertebrates can release algae from grazing pressure and lead to changes in the abundance and dominance of species in algal communities (Gherardi &amp; Barbaresi 2008).</w:t>
            </w:r>
          </w:p>
          <w:p w14:paraId="37780CDB" w14:textId="77777777" w:rsidR="002D7080" w:rsidRPr="007533C6" w:rsidRDefault="002D7080" w:rsidP="002E2C37">
            <w:pPr>
              <w:jc w:val="both"/>
              <w:rPr>
                <w:rFonts w:ascii="Times New Roman" w:eastAsia="Times New Roman" w:hAnsi="Times New Roman" w:cs="Times New Roman"/>
                <w:color w:val="000000" w:themeColor="text1"/>
                <w:sz w:val="20"/>
                <w:szCs w:val="20"/>
                <w:lang w:eastAsia="en-ZA"/>
              </w:rPr>
            </w:pPr>
          </w:p>
          <w:p w14:paraId="1391F3EB" w14:textId="067A721D" w:rsidR="002D7080" w:rsidRPr="007533C6" w:rsidRDefault="002D7080" w:rsidP="002E2C37">
            <w:pPr>
              <w:jc w:val="both"/>
              <w:rPr>
                <w:rFonts w:ascii="Times New Roman" w:hAnsi="Times New Roman" w:cs="Times New Roman"/>
                <w:color w:val="000000" w:themeColor="text1"/>
                <w:sz w:val="20"/>
                <w:szCs w:val="20"/>
              </w:rPr>
            </w:pP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is host of various pathogens, parasites, and diseases (i.e., </w:t>
            </w:r>
            <w:r w:rsidRPr="007533C6">
              <w:rPr>
                <w:rFonts w:ascii="Times New Roman" w:eastAsia="Times New Roman" w:hAnsi="Times New Roman" w:cs="Times New Roman"/>
                <w:i/>
                <w:color w:val="000000" w:themeColor="text1"/>
                <w:sz w:val="20"/>
                <w:szCs w:val="20"/>
                <w:lang w:eastAsia="en-ZA"/>
              </w:rPr>
              <w:t>Aphanomyces astaci</w:t>
            </w:r>
            <w:r w:rsidRPr="007533C6">
              <w:rPr>
                <w:rFonts w:ascii="Times New Roman" w:eastAsia="Times New Roman" w:hAnsi="Times New Roman" w:cs="Times New Roman"/>
                <w:iCs/>
                <w:color w:val="000000" w:themeColor="text1"/>
                <w:sz w:val="20"/>
                <w:szCs w:val="20"/>
                <w:lang w:eastAsia="en-ZA"/>
              </w:rPr>
              <w:t>;</w:t>
            </w:r>
            <w:r w:rsidRPr="007533C6">
              <w:rPr>
                <w:rFonts w:ascii="Times New Roman" w:eastAsia="Times New Roman" w:hAnsi="Times New Roman" w:cs="Times New Roman"/>
                <w:i/>
                <w:color w:val="000000" w:themeColor="text1"/>
                <w:sz w:val="20"/>
                <w:szCs w:val="20"/>
                <w:lang w:eastAsia="en-ZA"/>
              </w:rPr>
              <w:t xml:space="preserve"> Batrachochytrium dendrobatids</w:t>
            </w:r>
            <w:r w:rsidRPr="007533C6">
              <w:rPr>
                <w:rFonts w:ascii="Times New Roman" w:eastAsia="Times New Roman" w:hAnsi="Times New Roman" w:cs="Times New Roman"/>
                <w:color w:val="000000" w:themeColor="text1"/>
                <w:sz w:val="20"/>
                <w:szCs w:val="20"/>
                <w:lang w:eastAsia="en-ZA"/>
              </w:rPr>
              <w:t xml:space="preserve"> and white spot syndrome disease) that can be transmitted to congeneric species </w:t>
            </w:r>
            <w:r w:rsidRPr="007533C6">
              <w:rPr>
                <w:rFonts w:ascii="Times New Roman" w:eastAsia="Times New Roman" w:hAnsi="Times New Roman" w:cs="Times New Roman"/>
                <w:color w:val="000000" w:themeColor="text1"/>
                <w:sz w:val="20"/>
                <w:szCs w:val="20"/>
                <w:lang w:eastAsia="en-ZA"/>
              </w:rPr>
              <w:fldChar w:fldCharType="begin" w:fldLock="1"/>
            </w:r>
            <w:r w:rsidRPr="007533C6">
              <w:rPr>
                <w:rFonts w:ascii="Times New Roman" w:eastAsia="Times New Roman" w:hAnsi="Times New Roman" w:cs="Times New Roman"/>
                <w:color w:val="000000" w:themeColor="text1"/>
                <w:sz w:val="20"/>
                <w:szCs w:val="20"/>
                <w:lang w:eastAsia="en-ZA"/>
              </w:rPr>
              <w:instrText>ADDIN CSL_CITATION { "citationItems" : [ { "id" : "ITEM-1",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"ITEM-1", "issue" : "1", "issued" : { "date-parts" : [ [ "2011" ] ] }, "page" : "54-70", "publisher" : "Elsevier Inc.", "title" : "Diseases of crayfish: A review", "type" : "article-journal", "volume" : "106" }, "uris" : [ "http://www.mendeley.com/documents/?uuid=be7c0509-8466-4d72-b84f-489b1cb24dc4"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w:instrText>
            </w:r>
            <w:r w:rsidRPr="00360AC0">
              <w:rPr>
                <w:rFonts w:ascii="Times New Roman" w:eastAsia="Times New Roman" w:hAnsi="Times New Roman" w:cs="Times New Roman"/>
                <w:color w:val="000000" w:themeColor="text1"/>
                <w:sz w:val="20"/>
                <w:szCs w:val="20"/>
                <w:lang w:val="fr-FR" w:eastAsia="en-ZA"/>
              </w:rPr>
              <w:instrText>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"(Longshaw 2011, Lodge et al. 2012)", "plainTextFormattedCitation" : "(Longshaw 2011, Lodge et al. 2012)", "previouslyFormattedCitation" : "(Longshaw 2011, Lodge et al. 2012)" }, "properties" : { "noteIndex" : 0 }, "schema" : "https://github.com/citation-style-language/schema/raw/master/csl-citation.json" }</w:instrText>
            </w:r>
            <w:r w:rsidRPr="007533C6">
              <w:rPr>
                <w:rFonts w:ascii="Times New Roman" w:eastAsia="Times New Roman" w:hAnsi="Times New Roman" w:cs="Times New Roman"/>
                <w:color w:val="000000" w:themeColor="text1"/>
                <w:sz w:val="20"/>
                <w:szCs w:val="20"/>
                <w:lang w:eastAsia="en-ZA"/>
              </w:rPr>
              <w:fldChar w:fldCharType="separate"/>
            </w:r>
            <w:r w:rsidRPr="00360AC0">
              <w:rPr>
                <w:rFonts w:ascii="Times New Roman" w:eastAsia="Times New Roman" w:hAnsi="Times New Roman" w:cs="Times New Roman"/>
                <w:color w:val="000000" w:themeColor="text1"/>
                <w:sz w:val="20"/>
                <w:szCs w:val="20"/>
                <w:lang w:val="fr-FR" w:eastAsia="en-ZA"/>
              </w:rPr>
              <w:t>(Holdich et al. 2009; Longshaw 2011; Lodge et al. 2012</w:t>
            </w:r>
            <w:r>
              <w:rPr>
                <w:rFonts w:ascii="Times New Roman" w:eastAsia="Times New Roman" w:hAnsi="Times New Roman" w:cs="Times New Roman"/>
                <w:color w:val="000000" w:themeColor="text1"/>
                <w:sz w:val="20"/>
                <w:szCs w:val="20"/>
                <w:lang w:val="fr-FR" w:eastAsia="en-ZA"/>
              </w:rPr>
              <w:t>;</w:t>
            </w:r>
            <w:r w:rsidRPr="00360AC0">
              <w:rPr>
                <w:rFonts w:ascii="Times New Roman" w:eastAsia="Times New Roman" w:hAnsi="Times New Roman" w:cs="Times New Roman"/>
                <w:color w:val="000000" w:themeColor="text1"/>
                <w:sz w:val="20"/>
                <w:szCs w:val="20"/>
                <w:lang w:val="fr-FR" w:eastAsia="en-ZA"/>
              </w:rPr>
              <w:t xml:space="preserve"> McMahon et al. 2013; Souty-Grosset et al. 2016)</w:t>
            </w:r>
            <w:r w:rsidRPr="007533C6">
              <w:rPr>
                <w:rFonts w:ascii="Times New Roman" w:eastAsia="Times New Roman" w:hAnsi="Times New Roman" w:cs="Times New Roman"/>
                <w:color w:val="000000" w:themeColor="text1"/>
                <w:sz w:val="20"/>
                <w:szCs w:val="20"/>
                <w:lang w:eastAsia="en-ZA"/>
              </w:rPr>
              <w:fldChar w:fldCharType="end"/>
            </w:r>
            <w:r w:rsidRPr="00360AC0">
              <w:rPr>
                <w:rFonts w:ascii="Times New Roman" w:eastAsia="Times New Roman" w:hAnsi="Times New Roman" w:cs="Times New Roman"/>
                <w:color w:val="000000" w:themeColor="text1"/>
                <w:sz w:val="20"/>
                <w:szCs w:val="20"/>
                <w:lang w:val="fr-FR" w:eastAsia="en-ZA"/>
              </w:rPr>
              <w:t xml:space="preserve">. </w:t>
            </w:r>
            <w:r w:rsidRPr="007533C6">
              <w:rPr>
                <w:rFonts w:ascii="Times New Roman" w:eastAsia="Times New Roman" w:hAnsi="Times New Roman" w:cs="Times New Roman"/>
                <w:color w:val="000000" w:themeColor="text1"/>
                <w:sz w:val="20"/>
                <w:szCs w:val="20"/>
                <w:lang w:eastAsia="en-ZA"/>
              </w:rPr>
              <w:t xml:space="preserve">The transmission of pathogens, parasites and diseases to other crayfish taxa can result in population extinctions leading to changes in community composition </w:t>
            </w:r>
            <w:r w:rsidRPr="007533C6">
              <w:rPr>
                <w:rFonts w:ascii="Times New Roman" w:eastAsia="Times New Roman" w:hAnsi="Times New Roman" w:cs="Times New Roman"/>
                <w:color w:val="000000" w:themeColor="text1"/>
                <w:sz w:val="20"/>
                <w:szCs w:val="20"/>
                <w:lang w:eastAsia="en-ZA"/>
              </w:rPr>
              <w:fldChar w:fldCharType="begin" w:fldLock="1"/>
            </w:r>
            <w:r w:rsidRPr="007533C6">
              <w:rPr>
                <w:rFonts w:ascii="Times New Roman" w:eastAsia="Times New Roman" w:hAnsi="Times New Roman" w:cs="Times New Roman"/>
                <w:color w:val="000000" w:themeColor="text1"/>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"(Lodge et al. 2012)", "plainTextFormattedCitation" : "(Lodge et al. 2012)", "previouslyFormattedCitation" : "(Lodge et al. 2012)" }, "properties" : { "noteIndex" : 0 }, "schema" : "https://github.com/citation-style-language/schema/raw/master/csl-citation.json" }</w:instrText>
            </w:r>
            <w:r w:rsidRPr="007533C6">
              <w:rPr>
                <w:rFonts w:ascii="Times New Roman" w:eastAsia="Times New Roman" w:hAnsi="Times New Roman" w:cs="Times New Roman"/>
                <w:color w:val="000000" w:themeColor="text1"/>
                <w:sz w:val="20"/>
                <w:szCs w:val="20"/>
                <w:lang w:eastAsia="en-ZA"/>
              </w:rPr>
              <w:fldChar w:fldCharType="separate"/>
            </w:r>
            <w:r w:rsidRPr="007533C6">
              <w:rPr>
                <w:rFonts w:ascii="Times New Roman" w:eastAsia="Times New Roman" w:hAnsi="Times New Roman" w:cs="Times New Roman"/>
                <w:color w:val="000000" w:themeColor="text1"/>
                <w:sz w:val="20"/>
                <w:szCs w:val="20"/>
                <w:lang w:eastAsia="en-ZA"/>
              </w:rPr>
              <w:t>(Lodge et al. 2012)</w:t>
            </w:r>
            <w:r w:rsidRPr="007533C6">
              <w:rPr>
                <w:rFonts w:ascii="Times New Roman" w:eastAsia="Times New Roman" w:hAnsi="Times New Roman" w:cs="Times New Roman"/>
                <w:color w:val="000000" w:themeColor="text1"/>
                <w:sz w:val="20"/>
                <w:szCs w:val="20"/>
                <w:lang w:eastAsia="en-ZA"/>
              </w:rPr>
              <w:fldChar w:fldCharType="end"/>
            </w:r>
            <w:r w:rsidRPr="007533C6">
              <w:rPr>
                <w:rFonts w:ascii="Times New Roman" w:eastAsia="Times New Roman" w:hAnsi="Times New Roman" w:cs="Times New Roman"/>
                <w:color w:val="000000" w:themeColor="text1"/>
                <w:sz w:val="20"/>
                <w:szCs w:val="20"/>
                <w:lang w:eastAsia="en-ZA"/>
              </w:rPr>
              <w:t xml:space="preserve">. Furthermore, </w:t>
            </w:r>
            <w:r w:rsidRPr="007533C6">
              <w:rPr>
                <w:rFonts w:ascii="Times New Roman" w:eastAsia="Times New Roman" w:hAnsi="Times New Roman" w:cs="Times New Roman"/>
                <w:i/>
                <w:iCs/>
                <w:color w:val="000000" w:themeColor="text1"/>
                <w:sz w:val="20"/>
                <w:szCs w:val="20"/>
                <w:lang w:eastAsia="en-ZA"/>
              </w:rPr>
              <w:t xml:space="preserve">P. clarkii </w:t>
            </w:r>
            <w:r w:rsidRPr="007533C6">
              <w:rPr>
                <w:rFonts w:ascii="Times New Roman" w:eastAsia="Times New Roman" w:hAnsi="Times New Roman" w:cs="Times New Roman"/>
                <w:color w:val="000000" w:themeColor="text1"/>
                <w:sz w:val="20"/>
                <w:szCs w:val="20"/>
                <w:lang w:eastAsia="en-ZA"/>
              </w:rPr>
              <w:t>is a host and vector of several parasites and diseases (</w:t>
            </w:r>
            <w:r w:rsidRPr="007533C6">
              <w:rPr>
                <w:rFonts w:ascii="Times New Roman" w:hAnsi="Times New Roman" w:cs="Times New Roman"/>
                <w:i/>
                <w:color w:val="000000" w:themeColor="text1"/>
                <w:sz w:val="20"/>
                <w:szCs w:val="20"/>
              </w:rPr>
              <w:t>Paragonimus</w:t>
            </w:r>
            <w:r w:rsidRPr="007533C6">
              <w:rPr>
                <w:rFonts w:ascii="Times New Roman" w:hAnsi="Times New Roman" w:cs="Times New Roman"/>
                <w:color w:val="000000" w:themeColor="text1"/>
                <w:sz w:val="20"/>
                <w:szCs w:val="20"/>
              </w:rPr>
              <w:t xml:space="preserve"> spp. can cause lung fluke disease in humans, </w:t>
            </w:r>
            <w:r w:rsidRPr="007533C6">
              <w:rPr>
                <w:rFonts w:ascii="Times New Roman" w:hAnsi="Times New Roman" w:cs="Times New Roman"/>
                <w:i/>
                <w:color w:val="000000" w:themeColor="text1"/>
                <w:sz w:val="20"/>
                <w:szCs w:val="20"/>
              </w:rPr>
              <w:t>Francisella tularensis</w:t>
            </w:r>
            <w:r w:rsidRPr="007533C6">
              <w:rPr>
                <w:rFonts w:ascii="Times New Roman" w:hAnsi="Times New Roman" w:cs="Times New Roman"/>
                <w:color w:val="000000" w:themeColor="text1"/>
                <w:sz w:val="20"/>
                <w:szCs w:val="20"/>
              </w:rPr>
              <w:t xml:space="preserve">, and </w:t>
            </w:r>
            <w:r w:rsidRPr="007533C6">
              <w:rPr>
                <w:rFonts w:ascii="Times New Roman" w:hAnsi="Times New Roman" w:cs="Times New Roman"/>
                <w:i/>
                <w:color w:val="000000" w:themeColor="text1"/>
                <w:sz w:val="20"/>
                <w:szCs w:val="20"/>
              </w:rPr>
              <w:t>Angiostrongylus cantonensis</w:t>
            </w:r>
            <w:r w:rsidRPr="007533C6">
              <w:rPr>
                <w:rFonts w:ascii="Times New Roman" w:hAnsi="Times New Roman" w:cs="Times New Roman"/>
                <w:color w:val="000000" w:themeColor="text1"/>
                <w:sz w:val="20"/>
                <w:szCs w:val="20"/>
              </w:rPr>
              <w:t xml:space="preserve"> (rat lungworm) can cause meningitis, and </w:t>
            </w:r>
            <w:r w:rsidRPr="007533C6">
              <w:rPr>
                <w:rFonts w:ascii="Times New Roman" w:hAnsi="Times New Roman" w:cs="Times New Roman"/>
                <w:i/>
                <w:color w:val="000000" w:themeColor="text1"/>
                <w:sz w:val="20"/>
                <w:szCs w:val="20"/>
              </w:rPr>
              <w:t>Gnathostoma spinigerum</w:t>
            </w:r>
            <w:r w:rsidRPr="007533C6">
              <w:rPr>
                <w:rFonts w:ascii="Times New Roman" w:hAnsi="Times New Roman" w:cs="Times New Roman"/>
                <w:color w:val="000000" w:themeColor="text1"/>
                <w:sz w:val="20"/>
                <w:szCs w:val="20"/>
              </w:rPr>
              <w:t xml:space="preserve"> can causes human gnathostomiasis) </w:t>
            </w:r>
            <w:r w:rsidRPr="007533C6">
              <w:rPr>
                <w:rFonts w:ascii="Times New Roman" w:hAnsi="Times New Roman" w:cs="Times New Roman"/>
                <w:color w:val="000000" w:themeColor="text1"/>
                <w:sz w:val="20"/>
                <w:szCs w:val="20"/>
              </w:rPr>
              <w:fldChar w:fldCharType="begin" w:fldLock="1"/>
            </w:r>
            <w:r w:rsidRPr="007533C6">
              <w:rPr>
                <w:rFonts w:ascii="Times New Roman" w:hAnsi="Times New Roman" w:cs="Times New Roman"/>
                <w:color w:val="000000" w:themeColor="text1"/>
                <w:sz w:val="20"/>
                <w:szCs w:val="20"/>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"(de Moor 2002, Souty-grosset et al. 2016)", "manualFormatting" : "(de Moor 2002, Souty-grosset et al. 2016, Putra et al. 2017)", "plainTextFormattedCitation" : "(de Moor 2002, Souty-grosset et al. 2016)", "previouslyFormattedCitation" : "(de Moor 2002, Souty-grosset et al. 2016)" }, "properties" : { "noteIndex" : 0 }, "schema" : "https://github.com/citation-style-language/schema/raw/master/csl-citation.json" }</w:instrText>
            </w:r>
            <w:r w:rsidRPr="007533C6">
              <w:rPr>
                <w:rFonts w:ascii="Times New Roman" w:hAnsi="Times New Roman" w:cs="Times New Roman"/>
                <w:color w:val="000000" w:themeColor="text1"/>
                <w:sz w:val="20"/>
                <w:szCs w:val="20"/>
              </w:rPr>
              <w:fldChar w:fldCharType="separate"/>
            </w:r>
            <w:r w:rsidRPr="007533C6">
              <w:rPr>
                <w:rFonts w:ascii="Times New Roman" w:hAnsi="Times New Roman" w:cs="Times New Roman"/>
                <w:color w:val="000000" w:themeColor="text1"/>
                <w:sz w:val="20"/>
                <w:szCs w:val="20"/>
              </w:rPr>
              <w:t>(</w:t>
            </w:r>
            <w:r w:rsidR="008A0BC6">
              <w:rPr>
                <w:rFonts w:ascii="Times New Roman" w:hAnsi="Times New Roman" w:cs="Times New Roman"/>
                <w:color w:val="000000" w:themeColor="text1"/>
                <w:sz w:val="20"/>
                <w:szCs w:val="20"/>
              </w:rPr>
              <w:t>De Moor</w:t>
            </w:r>
            <w:r w:rsidRPr="007533C6">
              <w:rPr>
                <w:rFonts w:ascii="Times New Roman" w:hAnsi="Times New Roman" w:cs="Times New Roman"/>
                <w:color w:val="000000" w:themeColor="text1"/>
                <w:sz w:val="20"/>
                <w:szCs w:val="20"/>
              </w:rPr>
              <w:t xml:space="preserve"> 2002; Souty-Grosset et al. 2016</w:t>
            </w:r>
            <w:r>
              <w:rPr>
                <w:rFonts w:ascii="Times New Roman" w:hAnsi="Times New Roman" w:cs="Times New Roman"/>
                <w:color w:val="000000" w:themeColor="text1"/>
                <w:sz w:val="20"/>
                <w:szCs w:val="20"/>
              </w:rPr>
              <w:t>;</w:t>
            </w:r>
            <w:r w:rsidRPr="00360AC0">
              <w:rPr>
                <w:rFonts w:ascii="Times New Roman" w:hAnsi="Times New Roman" w:cs="Times New Roman"/>
                <w:color w:val="000000" w:themeColor="text1"/>
                <w:sz w:val="20"/>
                <w:szCs w:val="20"/>
              </w:rPr>
              <w:t xml:space="preserve"> Putra et al. 2017</w:t>
            </w:r>
            <w:r w:rsidRPr="007533C6">
              <w:rPr>
                <w:rFonts w:ascii="Times New Roman" w:hAnsi="Times New Roman" w:cs="Times New Roman"/>
                <w:color w:val="000000" w:themeColor="text1"/>
                <w:sz w:val="20"/>
                <w:szCs w:val="20"/>
              </w:rPr>
              <w:t>)</w:t>
            </w:r>
            <w:r w:rsidRPr="007533C6">
              <w:rPr>
                <w:rFonts w:ascii="Times New Roman" w:hAnsi="Times New Roman" w:cs="Times New Roman"/>
                <w:color w:val="000000" w:themeColor="text1"/>
                <w:sz w:val="20"/>
                <w:szCs w:val="20"/>
              </w:rPr>
              <w:fldChar w:fldCharType="end"/>
            </w:r>
            <w:r w:rsidRPr="007533C6">
              <w:rPr>
                <w:rFonts w:ascii="Times New Roman" w:hAnsi="Times New Roman" w:cs="Times New Roman"/>
                <w:color w:val="000000" w:themeColor="text1"/>
                <w:sz w:val="20"/>
                <w:szCs w:val="20"/>
              </w:rPr>
              <w:t xml:space="preserve">. </w:t>
            </w:r>
            <w:r w:rsidRPr="007533C6">
              <w:rPr>
                <w:rFonts w:ascii="Times New Roman" w:eastAsia="Times New Roman" w:hAnsi="Times New Roman" w:cs="Times New Roman"/>
                <w:color w:val="000000" w:themeColor="text1"/>
                <w:sz w:val="20"/>
                <w:szCs w:val="20"/>
                <w:lang w:eastAsia="en-ZA"/>
              </w:rPr>
              <w:t xml:space="preserve">Additionally, </w:t>
            </w:r>
            <w:r w:rsidRPr="007533C6">
              <w:rPr>
                <w:rFonts w:ascii="Times New Roman" w:eastAsia="Times New Roman" w:hAnsi="Times New Roman" w:cs="Times New Roman"/>
                <w:i/>
                <w:iCs/>
                <w:color w:val="000000" w:themeColor="text1"/>
                <w:sz w:val="20"/>
                <w:szCs w:val="20"/>
                <w:lang w:eastAsia="en-ZA"/>
              </w:rPr>
              <w:t xml:space="preserve">P. clarkii </w:t>
            </w:r>
            <w:r w:rsidRPr="007533C6">
              <w:rPr>
                <w:rFonts w:ascii="Times New Roman" w:eastAsia="Times New Roman" w:hAnsi="Times New Roman" w:cs="Times New Roman"/>
                <w:color w:val="000000" w:themeColor="text1"/>
                <w:sz w:val="20"/>
                <w:szCs w:val="20"/>
                <w:lang w:eastAsia="en-ZA"/>
              </w:rPr>
              <w:t>can accumulate toxins and metals from the environment (</w:t>
            </w:r>
            <w:r w:rsidRPr="007533C6">
              <w:rPr>
                <w:rFonts w:ascii="Times New Roman" w:hAnsi="Times New Roman" w:cs="Times New Roman"/>
                <w:color w:val="000000" w:themeColor="text1"/>
                <w:sz w:val="20"/>
                <w:szCs w:val="20"/>
              </w:rPr>
              <w:t>Gherardi et al. 2011; Souty-Grosset et al. 2016) which can be transferred to other predators and humans who consume crayfish (Gherardi et al. 2011; Lodge et al. 2012).</w:t>
            </w:r>
            <w:r w:rsidRPr="007533C6">
              <w:rPr>
                <w:rFonts w:ascii="Times New Roman" w:hAnsi="Times New Roman" w:cs="Times New Roman"/>
                <w:color w:val="000000" w:themeColor="text1"/>
                <w:sz w:val="24"/>
                <w:szCs w:val="24"/>
              </w:rPr>
              <w:t xml:space="preserve"> </w:t>
            </w:r>
            <w:r w:rsidRPr="007533C6">
              <w:rPr>
                <w:rFonts w:ascii="Times New Roman" w:hAnsi="Times New Roman" w:cs="Times New Roman"/>
                <w:color w:val="000000" w:themeColor="text1"/>
                <w:sz w:val="20"/>
                <w:szCs w:val="20"/>
              </w:rPr>
              <w:t xml:space="preserve">Recreational activities such as angling are also affected because </w:t>
            </w:r>
            <w:r w:rsidRPr="007533C6">
              <w:rPr>
                <w:rFonts w:ascii="Times New Roman" w:hAnsi="Times New Roman" w:cs="Times New Roman"/>
                <w:i/>
                <w:color w:val="000000" w:themeColor="text1"/>
                <w:sz w:val="20"/>
                <w:szCs w:val="20"/>
              </w:rPr>
              <w:t>P. clarkii</w:t>
            </w:r>
            <w:r w:rsidRPr="007533C6">
              <w:rPr>
                <w:rFonts w:ascii="Times New Roman" w:hAnsi="Times New Roman" w:cs="Times New Roman"/>
                <w:color w:val="000000" w:themeColor="text1"/>
                <w:sz w:val="20"/>
                <w:szCs w:val="20"/>
              </w:rPr>
              <w:t xml:space="preserve"> damage nets and prey on popular fish species resulting in some economic loss.</w:t>
            </w:r>
          </w:p>
        </w:tc>
      </w:tr>
      <w:tr w:rsidR="002D7080" w:rsidRPr="004D1E6F" w14:paraId="3884D857" w14:textId="77777777" w:rsidTr="002E2C37">
        <w:trPr>
          <w:trHeight w:val="70"/>
        </w:trPr>
        <w:tc>
          <w:tcPr>
            <w:tcW w:w="9016" w:type="dxa"/>
            <w:gridSpan w:val="2"/>
          </w:tcPr>
          <w:p w14:paraId="06891E64" w14:textId="77777777" w:rsidR="002D7080" w:rsidRPr="007533C6"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lastRenderedPageBreak/>
              <w:t>References:</w:t>
            </w:r>
          </w:p>
          <w:p w14:paraId="555F9BDF" w14:textId="08F29D4F" w:rsidR="002D7080" w:rsidRPr="007533C6" w:rsidRDefault="002D7080" w:rsidP="003635A5">
            <w:pPr>
              <w:ind w:left="720" w:hanging="720"/>
              <w:contextualSpacing/>
              <w:jc w:val="both"/>
              <w:rPr>
                <w:rFonts w:ascii="Times New Roman" w:hAnsi="Times New Roman" w:cs="Times New Roman"/>
                <w:color w:val="000000" w:themeColor="text1"/>
                <w:sz w:val="20"/>
                <w:szCs w:val="20"/>
              </w:rPr>
            </w:pPr>
            <w:r w:rsidRPr="007533C6">
              <w:rPr>
                <w:rFonts w:ascii="Times New Roman" w:hAnsi="Times New Roman" w:cs="Times New Roman"/>
                <w:color w:val="000000" w:themeColor="text1"/>
                <w:sz w:val="20"/>
                <w:szCs w:val="20"/>
              </w:rPr>
              <w:t xml:space="preserve">Anastácio, P.M., Correia, A.M. &amp; Menino, J.P., 2005, ‘Processes and patterns of plant destruction by crayfish: effects of crayfish size and developmental stages of rice’, </w:t>
            </w:r>
            <w:r w:rsidRPr="007533C6">
              <w:rPr>
                <w:rFonts w:ascii="Times New Roman" w:hAnsi="Times New Roman" w:cs="Times New Roman"/>
                <w:i/>
                <w:color w:val="000000" w:themeColor="text1"/>
                <w:sz w:val="20"/>
                <w:szCs w:val="20"/>
              </w:rPr>
              <w:t xml:space="preserve">Archiv für Hydrobiologie </w:t>
            </w:r>
            <w:r w:rsidRPr="007533C6">
              <w:rPr>
                <w:rFonts w:ascii="Times New Roman" w:hAnsi="Times New Roman" w:cs="Times New Roman"/>
                <w:color w:val="000000" w:themeColor="text1"/>
                <w:sz w:val="20"/>
                <w:szCs w:val="20"/>
              </w:rPr>
              <w:t xml:space="preserve">162, 37–51, </w:t>
            </w:r>
            <w:r w:rsidR="00C81366" w:rsidRPr="00D66918">
              <w:rPr>
                <w:rFonts w:ascii="Times New Roman" w:hAnsi="Times New Roman" w:cs="Times New Roman"/>
                <w:color w:val="000000" w:themeColor="text1"/>
                <w:sz w:val="20"/>
                <w:szCs w:val="20"/>
              </w:rPr>
              <w:t>https://doi.org/10.1127/0003-9136/2005/0162-0037</w:t>
            </w:r>
            <w:r w:rsidRPr="007533C6">
              <w:rPr>
                <w:rFonts w:ascii="Times New Roman" w:hAnsi="Times New Roman" w:cs="Times New Roman"/>
                <w:color w:val="000000" w:themeColor="text1"/>
                <w:sz w:val="20"/>
                <w:szCs w:val="20"/>
              </w:rPr>
              <w:t>.</w:t>
            </w:r>
          </w:p>
          <w:p w14:paraId="4FEBA708" w14:textId="5E8994AC" w:rsidR="002D7080" w:rsidRPr="007533C6" w:rsidRDefault="002D7080" w:rsidP="003635A5">
            <w:pPr>
              <w:ind w:left="720" w:hanging="720"/>
              <w:contextualSpacing/>
              <w:jc w:val="both"/>
              <w:rPr>
                <w:rFonts w:ascii="Times New Roman" w:hAnsi="Times New Roman" w:cs="Times New Roman"/>
                <w:color w:val="000000" w:themeColor="text1"/>
                <w:sz w:val="20"/>
                <w:szCs w:val="20"/>
              </w:rPr>
            </w:pPr>
            <w:r w:rsidRPr="007533C6">
              <w:rPr>
                <w:rFonts w:ascii="Times New Roman" w:hAnsi="Times New Roman" w:cs="Times New Roman"/>
                <w:color w:val="000000" w:themeColor="text1"/>
                <w:sz w:val="20"/>
                <w:szCs w:val="20"/>
              </w:rPr>
              <w:t xml:space="preserve">Arce, J.A. &amp; Diéguez-Uribeondo, J., 2015, ‘Structural damage caused by the invasive crayfish </w:t>
            </w:r>
            <w:r w:rsidRPr="007533C6">
              <w:rPr>
                <w:rFonts w:ascii="Times New Roman" w:hAnsi="Times New Roman" w:cs="Times New Roman"/>
                <w:i/>
                <w:color w:val="000000" w:themeColor="text1"/>
                <w:sz w:val="20"/>
                <w:szCs w:val="20"/>
              </w:rPr>
              <w:t>Procambarus clarkii</w:t>
            </w:r>
            <w:r w:rsidRPr="007533C6">
              <w:rPr>
                <w:rFonts w:ascii="Times New Roman" w:hAnsi="Times New Roman" w:cs="Times New Roman"/>
                <w:color w:val="000000" w:themeColor="text1"/>
                <w:sz w:val="20"/>
                <w:szCs w:val="20"/>
              </w:rPr>
              <w:t xml:space="preserve"> (Girard, 1852) in rice fields of the Iberian Peninsula: A study case’, </w:t>
            </w:r>
            <w:r w:rsidRPr="007533C6">
              <w:rPr>
                <w:rFonts w:ascii="Times New Roman" w:hAnsi="Times New Roman" w:cs="Times New Roman"/>
                <w:i/>
                <w:color w:val="000000" w:themeColor="text1"/>
                <w:sz w:val="20"/>
                <w:szCs w:val="20"/>
              </w:rPr>
              <w:t>Fundamental and Applied Limnology</w:t>
            </w:r>
            <w:r w:rsidRPr="007533C6">
              <w:rPr>
                <w:rFonts w:ascii="Times New Roman" w:hAnsi="Times New Roman" w:cs="Times New Roman"/>
                <w:color w:val="000000" w:themeColor="text1"/>
                <w:sz w:val="20"/>
                <w:szCs w:val="20"/>
              </w:rPr>
              <w:t xml:space="preserve"> 186, 259–269</w:t>
            </w:r>
            <w:r w:rsidR="00C81366" w:rsidRPr="00D66918">
              <w:rPr>
                <w:rFonts w:ascii="Times New Roman" w:hAnsi="Times New Roman" w:cs="Times New Roman"/>
                <w:color w:val="000000" w:themeColor="text1"/>
                <w:sz w:val="20"/>
                <w:szCs w:val="20"/>
              </w:rPr>
              <w:t xml:space="preserve">, </w:t>
            </w:r>
            <w:hyperlink r:id="rId584" w:history="1">
              <w:r w:rsidR="00C81366" w:rsidRPr="00D66918">
                <w:rPr>
                  <w:rStyle w:val="Hyperlink"/>
                  <w:rFonts w:ascii="Times New Roman" w:hAnsi="Times New Roman" w:cs="Times New Roman"/>
                  <w:sz w:val="20"/>
                  <w:szCs w:val="20"/>
                </w:rPr>
                <w:t>https://doi.org/10.1127/fal/2015/0715</w:t>
              </w:r>
            </w:hyperlink>
            <w:r w:rsidRPr="007533C6">
              <w:rPr>
                <w:rFonts w:ascii="Times New Roman" w:hAnsi="Times New Roman" w:cs="Times New Roman"/>
                <w:color w:val="000000" w:themeColor="text1"/>
                <w:sz w:val="20"/>
                <w:szCs w:val="20"/>
              </w:rPr>
              <w:t>.</w:t>
            </w:r>
          </w:p>
          <w:p w14:paraId="1E73C2C3" w14:textId="5F19746E" w:rsidR="002D7080" w:rsidRPr="007533C6"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Cruz, M.J., Rebelo, R. &amp; Crespo, E.G., 2006, ‘Effects of an introduced crayfish, </w:t>
            </w: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on the distribution of south-western Iberian amphibians in their breeding habitats’, </w:t>
            </w:r>
            <w:r w:rsidRPr="007533C6">
              <w:rPr>
                <w:rFonts w:ascii="Times New Roman" w:eastAsia="Times New Roman" w:hAnsi="Times New Roman" w:cs="Times New Roman"/>
                <w:i/>
                <w:color w:val="000000" w:themeColor="text1"/>
                <w:sz w:val="20"/>
                <w:szCs w:val="20"/>
                <w:lang w:eastAsia="en-ZA"/>
              </w:rPr>
              <w:t>Ecography</w:t>
            </w:r>
            <w:r w:rsidRPr="007533C6">
              <w:rPr>
                <w:rFonts w:ascii="Times New Roman" w:eastAsia="Times New Roman" w:hAnsi="Times New Roman" w:cs="Times New Roman"/>
                <w:color w:val="000000" w:themeColor="text1"/>
                <w:sz w:val="20"/>
                <w:szCs w:val="20"/>
                <w:lang w:eastAsia="en-ZA"/>
              </w:rPr>
              <w:t xml:space="preserve"> 29, 329–338. </w:t>
            </w:r>
            <w:hyperlink r:id="rId585" w:history="1">
              <w:r w:rsidR="00C81366" w:rsidRPr="000E56EC">
                <w:rPr>
                  <w:rStyle w:val="Hyperlink"/>
                  <w:rFonts w:ascii="Times New Roman" w:eastAsia="Times New Roman" w:hAnsi="Times New Roman" w:cs="Times New Roman"/>
                  <w:sz w:val="20"/>
                  <w:szCs w:val="20"/>
                  <w:lang w:eastAsia="en-ZA"/>
                </w:rPr>
                <w:t>https://doi.org/10.1111/j.2006.0906-7590.04333.x</w:t>
              </w:r>
            </w:hyperlink>
          </w:p>
          <w:p w14:paraId="5A03790C" w14:textId="6E949A04" w:rsidR="002D7080" w:rsidRPr="007533C6" w:rsidRDefault="008A0BC6" w:rsidP="003635A5">
            <w:pPr>
              <w:ind w:left="720" w:hanging="720"/>
              <w:contextualSpacing/>
              <w:jc w:val="both"/>
              <w:rPr>
                <w:rFonts w:ascii="Times New Roman" w:eastAsia="Times New Roman" w:hAnsi="Times New Roman" w:cs="Times New Roman"/>
                <w:color w:val="000000" w:themeColor="text1"/>
                <w:sz w:val="20"/>
                <w:szCs w:val="20"/>
                <w:lang w:eastAsia="en-ZA"/>
              </w:rPr>
            </w:pPr>
            <w:r>
              <w:rPr>
                <w:rFonts w:ascii="Times New Roman" w:eastAsia="Times New Roman" w:hAnsi="Times New Roman" w:cs="Times New Roman"/>
                <w:color w:val="000000" w:themeColor="text1"/>
                <w:sz w:val="20"/>
                <w:szCs w:val="20"/>
                <w:lang w:eastAsia="en-ZA"/>
              </w:rPr>
              <w:t>De Moor</w:t>
            </w:r>
            <w:r w:rsidR="002D7080" w:rsidRPr="007533C6">
              <w:rPr>
                <w:rFonts w:ascii="Times New Roman" w:eastAsia="Times New Roman" w:hAnsi="Times New Roman" w:cs="Times New Roman"/>
                <w:color w:val="000000" w:themeColor="text1"/>
                <w:sz w:val="20"/>
                <w:szCs w:val="20"/>
                <w:lang w:eastAsia="en-ZA"/>
              </w:rPr>
              <w:t xml:space="preserve">, I., 2002, ‘Potential impacts of alien freshwater crayfish in South Africa’, </w:t>
            </w:r>
            <w:r w:rsidR="002D7080" w:rsidRPr="007533C6">
              <w:rPr>
                <w:rFonts w:ascii="Times New Roman" w:eastAsia="Times New Roman" w:hAnsi="Times New Roman" w:cs="Times New Roman"/>
                <w:i/>
                <w:color w:val="000000" w:themeColor="text1"/>
                <w:sz w:val="20"/>
                <w:szCs w:val="20"/>
                <w:lang w:eastAsia="en-ZA"/>
              </w:rPr>
              <w:t>African Journal of Aquatic Science</w:t>
            </w:r>
            <w:r w:rsidR="002D7080" w:rsidRPr="007533C6">
              <w:rPr>
                <w:rFonts w:ascii="Times New Roman" w:eastAsia="Times New Roman" w:hAnsi="Times New Roman" w:cs="Times New Roman"/>
                <w:color w:val="000000" w:themeColor="text1"/>
                <w:sz w:val="20"/>
                <w:szCs w:val="20"/>
                <w:lang w:eastAsia="en-ZA"/>
              </w:rPr>
              <w:t xml:space="preserve"> 27, 125–139. </w:t>
            </w:r>
            <w:hyperlink r:id="rId586" w:history="1">
              <w:r w:rsidR="00C81366" w:rsidRPr="00D66918">
                <w:rPr>
                  <w:rStyle w:val="Hyperlink"/>
                  <w:rFonts w:ascii="Times New Roman" w:eastAsia="Times New Roman" w:hAnsi="Times New Roman" w:cs="Times New Roman"/>
                  <w:sz w:val="20"/>
                  <w:szCs w:val="20"/>
                  <w:lang w:eastAsia="en-ZA"/>
                </w:rPr>
                <w:t>https://doi.org/10.2989/16085914.2002.9626584</w:t>
              </w:r>
            </w:hyperlink>
            <w:r w:rsidR="002D7080" w:rsidRPr="007533C6">
              <w:rPr>
                <w:rFonts w:ascii="Times New Roman" w:eastAsia="Times New Roman" w:hAnsi="Times New Roman" w:cs="Times New Roman"/>
                <w:color w:val="000000" w:themeColor="text1"/>
                <w:sz w:val="20"/>
                <w:szCs w:val="20"/>
                <w:lang w:eastAsia="en-ZA"/>
              </w:rPr>
              <w:t>.</w:t>
            </w:r>
          </w:p>
          <w:p w14:paraId="4EBBC64C" w14:textId="1F0253F4" w:rsidR="00C81366" w:rsidRPr="000E56EC" w:rsidRDefault="002D7080" w:rsidP="003635A5">
            <w:pPr>
              <w:ind w:left="720" w:hanging="720"/>
              <w:contextualSpacing/>
              <w:jc w:val="both"/>
              <w:rPr>
                <w:rFonts w:ascii="Times New Roman" w:eastAsia="Times New Roman" w:hAnsi="Times New Roman" w:cs="Times New Roman"/>
                <w:bCs/>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Ficetola, G.F., Siesa, M.E., Manenti, R., Bottoni, L., De Bernardi, F. &amp; Padoa-Schioppa, E., 2011, ‘Early assessment of the impact of alien species: Differential consequences of an invasive crayfish on adult and larval amphibians’, </w:t>
            </w:r>
            <w:r w:rsidRPr="007533C6">
              <w:rPr>
                <w:rFonts w:ascii="Times New Roman" w:eastAsia="Times New Roman" w:hAnsi="Times New Roman" w:cs="Times New Roman"/>
                <w:i/>
                <w:iCs/>
                <w:color w:val="000000" w:themeColor="text1"/>
                <w:sz w:val="20"/>
                <w:szCs w:val="20"/>
                <w:lang w:eastAsia="en-ZA"/>
              </w:rPr>
              <w:t xml:space="preserve">Diversity and Distributions </w:t>
            </w:r>
            <w:r w:rsidRPr="007533C6">
              <w:rPr>
                <w:rFonts w:ascii="Times New Roman" w:eastAsia="Times New Roman" w:hAnsi="Times New Roman" w:cs="Times New Roman"/>
                <w:color w:val="000000" w:themeColor="text1"/>
                <w:sz w:val="20"/>
                <w:szCs w:val="20"/>
                <w:lang w:eastAsia="en-ZA"/>
              </w:rPr>
              <w:t xml:space="preserve">17, 1141–1151. </w:t>
            </w:r>
            <w:hyperlink r:id="rId587" w:history="1">
              <w:r w:rsidR="00C81366" w:rsidRPr="000E56EC">
                <w:rPr>
                  <w:rStyle w:val="Hyperlink"/>
                  <w:rFonts w:ascii="Times New Roman" w:eastAsia="Times New Roman" w:hAnsi="Times New Roman" w:cs="Times New Roman"/>
                  <w:bCs/>
                  <w:sz w:val="20"/>
                  <w:szCs w:val="20"/>
                  <w:lang w:eastAsia="en-ZA"/>
                </w:rPr>
                <w:t>https://doi.org/10.1111/j.1472-4642.2011.00797.x</w:t>
              </w:r>
            </w:hyperlink>
            <w:r w:rsidR="0096133C">
              <w:rPr>
                <w:rFonts w:ascii="Times New Roman" w:eastAsia="Times New Roman" w:hAnsi="Times New Roman" w:cs="Times New Roman"/>
                <w:bCs/>
                <w:color w:val="000000" w:themeColor="text1"/>
                <w:sz w:val="20"/>
                <w:szCs w:val="20"/>
                <w:lang w:eastAsia="en-ZA"/>
              </w:rPr>
              <w:t>.</w:t>
            </w:r>
          </w:p>
          <w:p w14:paraId="213C1824" w14:textId="0175CBC9" w:rsidR="002D7080" w:rsidRPr="007533C6"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Gherardi, F. &amp; Barbaresi, S., 2008, ‘Feeding opportunism of the red swamp crayfish </w:t>
            </w:r>
            <w:r w:rsidRPr="007533C6">
              <w:rPr>
                <w:rFonts w:ascii="Times New Roman" w:eastAsia="Times New Roman" w:hAnsi="Times New Roman" w:cs="Times New Roman"/>
                <w:i/>
                <w:iCs/>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an invasive species, </w:t>
            </w:r>
            <w:r w:rsidRPr="007533C6">
              <w:rPr>
                <w:rFonts w:ascii="Times New Roman" w:eastAsia="Times New Roman" w:hAnsi="Times New Roman" w:cs="Times New Roman"/>
                <w:i/>
                <w:color w:val="000000" w:themeColor="text1"/>
                <w:sz w:val="20"/>
                <w:szCs w:val="20"/>
                <w:lang w:eastAsia="en-ZA"/>
              </w:rPr>
              <w:t>Freshwater crayfish</w:t>
            </w:r>
            <w:r w:rsidRPr="007533C6">
              <w:rPr>
                <w:rFonts w:ascii="Times New Roman" w:eastAsia="Times New Roman" w:hAnsi="Times New Roman" w:cs="Times New Roman"/>
                <w:color w:val="000000" w:themeColor="text1"/>
                <w:sz w:val="20"/>
                <w:szCs w:val="20"/>
                <w:lang w:eastAsia="en-ZA"/>
              </w:rPr>
              <w:t xml:space="preserve"> 16, 77–85.</w:t>
            </w:r>
            <w:r w:rsidR="00C81366" w:rsidRPr="00D66918">
              <w:rPr>
                <w:rFonts w:ascii="Times New Roman" w:eastAsia="Calibri" w:hAnsi="Times New Roman" w:cs="Times New Roman"/>
                <w:sz w:val="20"/>
                <w:szCs w:val="20"/>
              </w:rPr>
              <w:t xml:space="preserve"> </w:t>
            </w:r>
            <w:r w:rsidR="00C81366" w:rsidRPr="00D66918">
              <w:rPr>
                <w:rFonts w:ascii="Times New Roman" w:eastAsia="Times New Roman" w:hAnsi="Times New Roman" w:cs="Times New Roman"/>
                <w:color w:val="000000" w:themeColor="text1"/>
                <w:sz w:val="20"/>
                <w:szCs w:val="20"/>
                <w:lang w:eastAsia="en-ZA"/>
              </w:rPr>
              <w:t>https://doi.org/10.1080/1023624021000014761</w:t>
            </w:r>
          </w:p>
          <w:p w14:paraId="1976D5E0" w14:textId="3C1DCC1C" w:rsidR="002D7080" w:rsidRPr="007533C6"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Gherardi, F., Britton, J.R., Mavuti, K.M., Pacini, N., Grey, J., Tricarico, E. &amp; Harper, D.M., 2011, ‘A review of allodiversity in Lake Naivasha, Kenya: Developing conservation actions to protect East African lakes from the negative impacts of alien species’, </w:t>
            </w:r>
            <w:r w:rsidRPr="007533C6">
              <w:rPr>
                <w:rFonts w:ascii="Times New Roman" w:eastAsia="Times New Roman" w:hAnsi="Times New Roman" w:cs="Times New Roman"/>
                <w:i/>
                <w:color w:val="000000" w:themeColor="text1"/>
                <w:sz w:val="20"/>
                <w:szCs w:val="20"/>
                <w:lang w:eastAsia="en-ZA"/>
              </w:rPr>
              <w:t xml:space="preserve">Biological </w:t>
            </w:r>
            <w:r w:rsidRPr="007533C6">
              <w:rPr>
                <w:rFonts w:ascii="Times New Roman" w:eastAsia="Times New Roman" w:hAnsi="Times New Roman" w:cs="Times New Roman"/>
                <w:color w:val="000000" w:themeColor="text1"/>
                <w:sz w:val="20"/>
                <w:szCs w:val="20"/>
                <w:lang w:eastAsia="en-ZA"/>
              </w:rPr>
              <w:t xml:space="preserve">Conservation 144, 2585–2596. </w:t>
            </w:r>
            <w:bookmarkStart w:id="22" w:name="_Hlk213566448"/>
            <w:r w:rsidR="00C81366" w:rsidRPr="00C81366">
              <w:rPr>
                <w:rFonts w:ascii="Times New Roman" w:eastAsia="Times New Roman" w:hAnsi="Times New Roman" w:cs="Times New Roman"/>
                <w:color w:val="000000" w:themeColor="text1"/>
                <w:sz w:val="20"/>
                <w:szCs w:val="20"/>
                <w:lang w:eastAsia="en-ZA"/>
              </w:rPr>
              <w:fldChar w:fldCharType="begin"/>
            </w:r>
            <w:r w:rsidR="00C81366" w:rsidRPr="00C81366">
              <w:rPr>
                <w:rFonts w:ascii="Times New Roman" w:eastAsia="Times New Roman" w:hAnsi="Times New Roman" w:cs="Times New Roman"/>
                <w:color w:val="000000" w:themeColor="text1"/>
                <w:sz w:val="20"/>
                <w:szCs w:val="20"/>
                <w:lang w:eastAsia="en-ZA"/>
              </w:rPr>
              <w:instrText>HYPERLINK "https://doi.org/10.1016/j.biocon.2011.07.020"</w:instrText>
            </w:r>
            <w:r w:rsidR="00C81366" w:rsidRPr="00C81366">
              <w:rPr>
                <w:rFonts w:ascii="Times New Roman" w:eastAsia="Times New Roman" w:hAnsi="Times New Roman" w:cs="Times New Roman"/>
                <w:color w:val="000000" w:themeColor="text1"/>
                <w:sz w:val="20"/>
                <w:szCs w:val="20"/>
                <w:lang w:eastAsia="en-ZA"/>
              </w:rPr>
            </w:r>
            <w:r w:rsidR="00C81366" w:rsidRPr="00C81366">
              <w:rPr>
                <w:rFonts w:ascii="Times New Roman" w:eastAsia="Times New Roman" w:hAnsi="Times New Roman" w:cs="Times New Roman"/>
                <w:color w:val="000000" w:themeColor="text1"/>
                <w:sz w:val="20"/>
                <w:szCs w:val="20"/>
                <w:lang w:eastAsia="en-ZA"/>
              </w:rPr>
              <w:fldChar w:fldCharType="separate"/>
            </w:r>
            <w:r w:rsidR="00C81366" w:rsidRPr="00C81366">
              <w:rPr>
                <w:rStyle w:val="Hyperlink"/>
                <w:rFonts w:ascii="Times New Roman" w:eastAsia="Times New Roman" w:hAnsi="Times New Roman" w:cs="Times New Roman"/>
                <w:sz w:val="20"/>
                <w:szCs w:val="20"/>
                <w:lang w:eastAsia="en-ZA"/>
              </w:rPr>
              <w:t>https://doi.org/10.1016/j.biocon.2011.07.020</w:t>
            </w:r>
            <w:r w:rsidR="00C81366" w:rsidRPr="00C81366">
              <w:rPr>
                <w:rFonts w:ascii="Times New Roman" w:eastAsia="Times New Roman" w:hAnsi="Times New Roman" w:cs="Times New Roman"/>
                <w:color w:val="000000" w:themeColor="text1"/>
                <w:sz w:val="20"/>
                <w:szCs w:val="20"/>
                <w:lang w:eastAsia="en-ZA"/>
              </w:rPr>
              <w:fldChar w:fldCharType="end"/>
            </w:r>
            <w:r w:rsidR="00C81366" w:rsidRPr="00C81366">
              <w:rPr>
                <w:rFonts w:ascii="Times New Roman" w:eastAsia="Times New Roman" w:hAnsi="Times New Roman" w:cs="Times New Roman"/>
                <w:color w:val="000000" w:themeColor="text1"/>
                <w:sz w:val="20"/>
                <w:szCs w:val="20"/>
                <w:lang w:eastAsia="en-ZA"/>
              </w:rPr>
              <w:t>.</w:t>
            </w:r>
            <w:bookmarkEnd w:id="22"/>
          </w:p>
          <w:p w14:paraId="7EF7C012" w14:textId="5E2C3220" w:rsidR="002D7080" w:rsidRPr="007533C6"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Jackson, M.C., Grey, J., Miller, K., Britton, J.R. &amp; Donohue, I., 2016, ‘Dietary niche constriction when invaders meet natives: Evidence from freshwater decapods’, </w:t>
            </w:r>
            <w:r w:rsidRPr="007533C6">
              <w:rPr>
                <w:rFonts w:ascii="Times New Roman" w:eastAsia="Times New Roman" w:hAnsi="Times New Roman" w:cs="Times New Roman"/>
                <w:i/>
                <w:color w:val="000000" w:themeColor="text1"/>
                <w:sz w:val="20"/>
                <w:szCs w:val="20"/>
                <w:lang w:eastAsia="en-ZA"/>
              </w:rPr>
              <w:t>Journal of Animal Ecology</w:t>
            </w:r>
            <w:r w:rsidRPr="007533C6">
              <w:rPr>
                <w:rFonts w:ascii="Times New Roman" w:eastAsia="Times New Roman" w:hAnsi="Times New Roman" w:cs="Times New Roman"/>
                <w:color w:val="000000" w:themeColor="text1"/>
                <w:sz w:val="20"/>
                <w:szCs w:val="20"/>
                <w:lang w:eastAsia="en-ZA"/>
              </w:rPr>
              <w:t xml:space="preserve"> 85, 1098–1107. </w:t>
            </w:r>
            <w:hyperlink r:id="rId588" w:history="1">
              <w:r w:rsidR="00C81366" w:rsidRPr="000E56EC">
                <w:rPr>
                  <w:rStyle w:val="Hyperlink"/>
                  <w:rFonts w:ascii="Times New Roman" w:eastAsia="Times New Roman" w:hAnsi="Times New Roman" w:cs="Times New Roman"/>
                  <w:sz w:val="20"/>
                  <w:szCs w:val="20"/>
                  <w:lang w:eastAsia="en-ZA"/>
                </w:rPr>
                <w:t>https://doi.org/10.1051/kmae:2005031</w:t>
              </w:r>
            </w:hyperlink>
            <w:r w:rsidRPr="007533C6">
              <w:rPr>
                <w:rFonts w:ascii="Times New Roman" w:eastAsia="Times New Roman" w:hAnsi="Times New Roman" w:cs="Times New Roman"/>
                <w:color w:val="000000" w:themeColor="text1"/>
                <w:sz w:val="20"/>
                <w:szCs w:val="20"/>
                <w:lang w:eastAsia="en-ZA"/>
              </w:rPr>
              <w:t>.</w:t>
            </w:r>
          </w:p>
          <w:p w14:paraId="096D2474" w14:textId="70690577" w:rsidR="00C81366"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hAnsi="Times New Roman" w:cs="Times New Roman"/>
                <w:color w:val="000000" w:themeColor="text1"/>
                <w:sz w:val="20"/>
                <w:szCs w:val="20"/>
                <w:shd w:val="clear" w:color="auto" w:fill="FFFFFF"/>
              </w:rPr>
              <w:t xml:space="preserve">Lodge, D.M., Deines, A., Gherardi, F., Yeo, D.C., Arcella, T., Baldridge, A.K., et al., </w:t>
            </w:r>
            <w:r w:rsidRPr="007533C6">
              <w:rPr>
                <w:rFonts w:ascii="Times New Roman" w:eastAsia="Times New Roman" w:hAnsi="Times New Roman" w:cs="Times New Roman"/>
                <w:color w:val="000000" w:themeColor="text1"/>
                <w:sz w:val="20"/>
                <w:szCs w:val="20"/>
                <w:lang w:eastAsia="en-ZA"/>
              </w:rPr>
              <w:t xml:space="preserve">2012, ‘Global introductions of crayfishes: Evaluating the impact of species invasions on ecosystem services’, </w:t>
            </w:r>
            <w:r w:rsidRPr="007533C6">
              <w:rPr>
                <w:rFonts w:ascii="Times New Roman" w:eastAsia="Times New Roman" w:hAnsi="Times New Roman" w:cs="Times New Roman"/>
                <w:i/>
                <w:color w:val="000000" w:themeColor="text1"/>
                <w:sz w:val="20"/>
                <w:szCs w:val="20"/>
                <w:lang w:eastAsia="en-ZA"/>
              </w:rPr>
              <w:t>Annual Review of Ecology Evolution Systematics</w:t>
            </w:r>
            <w:r w:rsidRPr="007533C6">
              <w:rPr>
                <w:rFonts w:ascii="Times New Roman" w:eastAsia="Times New Roman" w:hAnsi="Times New Roman" w:cs="Times New Roman"/>
                <w:color w:val="000000" w:themeColor="text1"/>
                <w:sz w:val="20"/>
                <w:szCs w:val="20"/>
                <w:lang w:eastAsia="en-ZA"/>
              </w:rPr>
              <w:t xml:space="preserve"> 43, 449–472. </w:t>
            </w:r>
            <w:r w:rsidR="00C81366" w:rsidRPr="000E56EC">
              <w:rPr>
                <w:rFonts w:ascii="Times New Roman" w:eastAsia="Times New Roman" w:hAnsi="Times New Roman" w:cs="Times New Roman"/>
                <w:bCs/>
                <w:color w:val="000000" w:themeColor="text1"/>
                <w:sz w:val="20"/>
                <w:szCs w:val="20"/>
                <w:lang w:eastAsia="en-ZA"/>
              </w:rPr>
              <w:t>https://doi.org/10.1146/annurev-ecolsys-111511-103919</w:t>
            </w:r>
          </w:p>
          <w:p w14:paraId="1FA27CC6" w14:textId="0803A709" w:rsidR="002D7080" w:rsidRPr="007533C6"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lastRenderedPageBreak/>
              <w:t xml:space="preserve">Longshaw, M. 2011, ‘Diseases of crayfish: A review’, </w:t>
            </w:r>
            <w:r w:rsidRPr="007533C6">
              <w:rPr>
                <w:rFonts w:ascii="Times New Roman" w:eastAsia="Times New Roman" w:hAnsi="Times New Roman" w:cs="Times New Roman"/>
                <w:i/>
                <w:color w:val="000000" w:themeColor="text1"/>
                <w:sz w:val="20"/>
                <w:szCs w:val="20"/>
                <w:lang w:eastAsia="en-ZA"/>
              </w:rPr>
              <w:t>Journal of Invertebrate Pathology</w:t>
            </w:r>
            <w:r w:rsidRPr="007533C6">
              <w:rPr>
                <w:rFonts w:ascii="Times New Roman" w:eastAsia="Times New Roman" w:hAnsi="Times New Roman" w:cs="Times New Roman"/>
                <w:color w:val="000000" w:themeColor="text1"/>
                <w:sz w:val="20"/>
                <w:szCs w:val="20"/>
                <w:lang w:eastAsia="en-ZA"/>
              </w:rPr>
              <w:t xml:space="preserve"> 106, 54–70. </w:t>
            </w:r>
            <w:hyperlink r:id="rId589" w:history="1">
              <w:r w:rsidR="00C81366" w:rsidRPr="000E56EC">
                <w:rPr>
                  <w:rStyle w:val="Hyperlink"/>
                  <w:rFonts w:ascii="Times New Roman" w:eastAsia="Times New Roman" w:hAnsi="Times New Roman" w:cs="Times New Roman"/>
                  <w:bCs/>
                  <w:sz w:val="20"/>
                  <w:szCs w:val="20"/>
                  <w:lang w:eastAsia="en-ZA"/>
                </w:rPr>
                <w:t>https://doi.org/10.1016/j.jip.2010.09.013</w:t>
              </w:r>
            </w:hyperlink>
            <w:r w:rsidRPr="007533C6">
              <w:rPr>
                <w:rFonts w:ascii="Times New Roman" w:eastAsia="Times New Roman" w:hAnsi="Times New Roman" w:cs="Times New Roman"/>
                <w:bCs/>
                <w:color w:val="000000" w:themeColor="text1"/>
                <w:sz w:val="20"/>
                <w:szCs w:val="20"/>
                <w:lang w:eastAsia="en-ZA"/>
              </w:rPr>
              <w:t>.</w:t>
            </w:r>
          </w:p>
          <w:p w14:paraId="37996FD4" w14:textId="0F2BC10A" w:rsidR="002D7080" w:rsidRPr="007533C6"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McMahon, T.A., Brannelly, L.A., Chatfield, M.W., Johnson, P.T., Joseph, M.B., McKenzie, V.J., et al., 2013, ‘Chytrid fungus </w:t>
            </w:r>
            <w:r w:rsidRPr="007533C6">
              <w:rPr>
                <w:rFonts w:ascii="Times New Roman" w:eastAsia="Times New Roman" w:hAnsi="Times New Roman" w:cs="Times New Roman"/>
                <w:i/>
                <w:color w:val="000000" w:themeColor="text1"/>
                <w:sz w:val="20"/>
                <w:szCs w:val="20"/>
                <w:lang w:eastAsia="en-ZA"/>
              </w:rPr>
              <w:t>Batrachochytrium dendrobatidis</w:t>
            </w:r>
            <w:r w:rsidRPr="007533C6">
              <w:rPr>
                <w:rFonts w:ascii="Times New Roman" w:eastAsia="Times New Roman" w:hAnsi="Times New Roman" w:cs="Times New Roman"/>
                <w:color w:val="000000" w:themeColor="text1"/>
                <w:sz w:val="20"/>
                <w:szCs w:val="20"/>
                <w:lang w:eastAsia="en-ZA"/>
              </w:rPr>
              <w:t xml:space="preserve"> has non-amphibian hosts and releases chemicals that cause pathology in the absence of infection’, </w:t>
            </w:r>
            <w:r w:rsidRPr="007533C6">
              <w:rPr>
                <w:rFonts w:ascii="Times New Roman" w:eastAsia="Times New Roman" w:hAnsi="Times New Roman" w:cs="Times New Roman"/>
                <w:i/>
                <w:color w:val="000000" w:themeColor="text1"/>
                <w:sz w:val="20"/>
                <w:szCs w:val="20"/>
                <w:lang w:eastAsia="en-ZA"/>
              </w:rPr>
              <w:t>Proceedings of the National Academy of Sciences of the United States of America</w:t>
            </w:r>
            <w:r w:rsidRPr="007533C6">
              <w:rPr>
                <w:rFonts w:ascii="Times New Roman" w:eastAsia="Times New Roman" w:hAnsi="Times New Roman" w:cs="Times New Roman"/>
                <w:color w:val="000000" w:themeColor="text1"/>
                <w:sz w:val="20"/>
                <w:szCs w:val="20"/>
                <w:lang w:eastAsia="en-ZA"/>
              </w:rPr>
              <w:t xml:space="preserve"> 110, 210–215. </w:t>
            </w:r>
            <w:r w:rsidR="00C81366" w:rsidRPr="000E56EC">
              <w:rPr>
                <w:rFonts w:ascii="Times New Roman" w:eastAsia="Times New Roman" w:hAnsi="Times New Roman" w:cs="Times New Roman"/>
                <w:color w:val="000000" w:themeColor="text1"/>
                <w:sz w:val="20"/>
                <w:szCs w:val="20"/>
                <w:lang w:eastAsia="en-ZA"/>
              </w:rPr>
              <w:t>https://doi.org/10.1073/pnas.1200592110</w:t>
            </w:r>
            <w:r w:rsidRPr="007533C6">
              <w:rPr>
                <w:rFonts w:ascii="Times New Roman" w:eastAsia="Times New Roman" w:hAnsi="Times New Roman" w:cs="Times New Roman"/>
                <w:color w:val="000000" w:themeColor="text1"/>
                <w:sz w:val="20"/>
                <w:szCs w:val="20"/>
                <w:lang w:eastAsia="en-ZA"/>
              </w:rPr>
              <w:t>.</w:t>
            </w:r>
          </w:p>
          <w:p w14:paraId="1463EA54" w14:textId="77777777" w:rsidR="002D7080" w:rsidRPr="007533C6"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Nunes, A.L., Hoffman, C.A., Zengeya, T.A., Measey, G.J. &amp; Weyl, O.L.F, 2017a, ‘Red swamp crayfish, </w:t>
            </w: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found in South Africa 22 years after attempted eradication’,  </w:t>
            </w:r>
            <w:r w:rsidRPr="007533C6">
              <w:rPr>
                <w:rFonts w:ascii="Times New Roman" w:eastAsia="Times New Roman" w:hAnsi="Times New Roman" w:cs="Times New Roman"/>
                <w:i/>
                <w:color w:val="000000" w:themeColor="text1"/>
                <w:sz w:val="20"/>
                <w:szCs w:val="20"/>
                <w:lang w:eastAsia="en-ZA"/>
              </w:rPr>
              <w:t>Aquatic Conservation: Marine &amp; Freshwater Ecosystem</w:t>
            </w:r>
            <w:r w:rsidRPr="007533C6">
              <w:rPr>
                <w:rFonts w:ascii="Times New Roman" w:eastAsia="Times New Roman" w:hAnsi="Times New Roman" w:cs="Times New Roman"/>
                <w:color w:val="000000" w:themeColor="text1"/>
                <w:sz w:val="20"/>
                <w:szCs w:val="20"/>
                <w:lang w:eastAsia="en-ZA"/>
              </w:rPr>
              <w:t xml:space="preserve"> 27, 1334–1340. </w:t>
            </w:r>
            <w:r w:rsidRPr="007533C6">
              <w:rPr>
                <w:rFonts w:ascii="Times New Roman" w:eastAsia="Times New Roman" w:hAnsi="Times New Roman" w:cs="Times New Roman"/>
                <w:bCs/>
                <w:color w:val="000000" w:themeColor="text1"/>
                <w:sz w:val="20"/>
                <w:szCs w:val="20"/>
                <w:lang w:eastAsia="en-ZA"/>
              </w:rPr>
              <w:t>https://doi.org/10.1002/aqc.2741</w:t>
            </w:r>
            <w:r w:rsidRPr="007533C6">
              <w:rPr>
                <w:rFonts w:ascii="Times New Roman" w:hAnsi="Times New Roman" w:cs="Times New Roman"/>
                <w:bCs/>
                <w:color w:val="000000" w:themeColor="text1"/>
                <w:sz w:val="20"/>
                <w:szCs w:val="20"/>
              </w:rPr>
              <w:t>.</w:t>
            </w:r>
          </w:p>
          <w:p w14:paraId="58214D44" w14:textId="1C995C06" w:rsidR="002D7080" w:rsidRPr="007533C6"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Nunes, A.L., Zengeya, T.A., Measey, G.J. &amp; Weyl, O.L.F., 2017b, ‘Freshwater crayfish invasions in South Africa: past, present and potential future’, </w:t>
            </w:r>
            <w:r w:rsidRPr="007533C6">
              <w:rPr>
                <w:rFonts w:ascii="Times New Roman" w:eastAsia="Times New Roman" w:hAnsi="Times New Roman" w:cs="Times New Roman"/>
                <w:i/>
                <w:color w:val="000000" w:themeColor="text1"/>
                <w:sz w:val="20"/>
                <w:szCs w:val="20"/>
                <w:lang w:eastAsia="en-ZA"/>
              </w:rPr>
              <w:t>African Journal of Aquatic Science</w:t>
            </w:r>
            <w:r w:rsidRPr="007533C6">
              <w:rPr>
                <w:rFonts w:ascii="Times New Roman" w:eastAsia="Times New Roman" w:hAnsi="Times New Roman" w:cs="Times New Roman"/>
                <w:color w:val="000000" w:themeColor="text1"/>
                <w:sz w:val="20"/>
                <w:szCs w:val="20"/>
                <w:lang w:eastAsia="en-ZA"/>
              </w:rPr>
              <w:t xml:space="preserve"> 42, 309–323. </w:t>
            </w:r>
            <w:hyperlink r:id="rId590" w:history="1">
              <w:r w:rsidR="00C81366" w:rsidRPr="00C81366">
                <w:rPr>
                  <w:rStyle w:val="Hyperlink"/>
                  <w:rFonts w:ascii="Times New Roman" w:eastAsia="Times New Roman" w:hAnsi="Times New Roman" w:cs="Times New Roman"/>
                  <w:sz w:val="20"/>
                  <w:szCs w:val="20"/>
                  <w:lang w:eastAsia="en-ZA"/>
                </w:rPr>
                <w:t>https://doi.org/10.2989/16085914.2017.1405788</w:t>
              </w:r>
            </w:hyperlink>
            <w:r w:rsidRPr="007533C6">
              <w:rPr>
                <w:rFonts w:ascii="Times New Roman" w:eastAsia="Times New Roman" w:hAnsi="Times New Roman" w:cs="Times New Roman"/>
                <w:color w:val="000000" w:themeColor="text1"/>
                <w:sz w:val="20"/>
                <w:szCs w:val="20"/>
                <w:lang w:eastAsia="en-ZA"/>
              </w:rPr>
              <w:t>.</w:t>
            </w:r>
          </w:p>
          <w:p w14:paraId="109DFEC0" w14:textId="77777777" w:rsidR="002D7080" w:rsidRPr="007533C6"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Putra, M.D, Bláha, M., Wardiatno, Y., Krisanti, M., Bystřický, P.K, Kouba, A., et al., 2017, ‘</w:t>
            </w: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(Girard, 1852) and crayfish plague as new threats for biodiversity in Indonesia’,</w:t>
            </w:r>
            <w:r w:rsidRPr="007533C6">
              <w:rPr>
                <w:rFonts w:ascii="Times New Roman" w:eastAsia="Times New Roman" w:hAnsi="Times New Roman" w:cs="Times New Roman"/>
                <w:i/>
                <w:color w:val="000000" w:themeColor="text1"/>
                <w:sz w:val="20"/>
                <w:szCs w:val="20"/>
                <w:lang w:eastAsia="en-ZA"/>
              </w:rPr>
              <w:t xml:space="preserve"> Aquatic Conservation: Marine &amp; Freshwater Ecosystems</w:t>
            </w:r>
            <w:r w:rsidRPr="007533C6">
              <w:rPr>
                <w:rFonts w:ascii="Times New Roman" w:eastAsia="Times New Roman" w:hAnsi="Times New Roman" w:cs="Times New Roman"/>
                <w:color w:val="000000" w:themeColor="text1"/>
                <w:sz w:val="20"/>
                <w:szCs w:val="20"/>
                <w:lang w:eastAsia="en-ZA"/>
              </w:rPr>
              <w:t xml:space="preserve"> 28, 1434–1440. https://doi.org/10.1002/aqc.2970.</w:t>
            </w:r>
          </w:p>
          <w:p w14:paraId="1842C573" w14:textId="2AFBAA6C" w:rsidR="002D7080" w:rsidRPr="007533C6" w:rsidRDefault="00C81366"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C81366">
              <w:rPr>
                <w:rFonts w:ascii="Times New Roman" w:eastAsia="Times New Roman" w:hAnsi="Times New Roman" w:cs="Times New Roman"/>
                <w:color w:val="000000" w:themeColor="text1"/>
                <w:sz w:val="20"/>
                <w:szCs w:val="20"/>
                <w:lang w:eastAsia="en-ZA"/>
              </w:rPr>
              <w:t>Rosenthal, S.K., Lodge, D.M., Mavuti, K.M., Muohi, W., Ochieng, P., Mungai, B.N. &amp; Mkoji, G.M., 2005, ‘Comparing macrophyte herbivory by introduced Louisiana crayfish (</w:t>
            </w:r>
            <w:r w:rsidRPr="00C81366">
              <w:rPr>
                <w:rFonts w:ascii="Times New Roman" w:eastAsia="Times New Roman" w:hAnsi="Times New Roman" w:cs="Times New Roman"/>
                <w:i/>
                <w:iCs/>
                <w:color w:val="000000" w:themeColor="text1"/>
                <w:sz w:val="20"/>
                <w:szCs w:val="20"/>
                <w:lang w:eastAsia="en-ZA"/>
              </w:rPr>
              <w:t>Procambarus clarkii</w:t>
            </w:r>
            <w:r w:rsidRPr="00C81366">
              <w:rPr>
                <w:rFonts w:ascii="Times New Roman" w:eastAsia="Times New Roman" w:hAnsi="Times New Roman" w:cs="Times New Roman"/>
                <w:color w:val="000000" w:themeColor="text1"/>
                <w:sz w:val="20"/>
                <w:szCs w:val="20"/>
                <w:lang w:eastAsia="en-ZA"/>
              </w:rPr>
              <w:t>) (Crustacea: Cambaridea) and native Dytiscid beetles (</w:t>
            </w:r>
            <w:r w:rsidRPr="00C81366">
              <w:rPr>
                <w:rFonts w:ascii="Times New Roman" w:eastAsia="Times New Roman" w:hAnsi="Times New Roman" w:cs="Times New Roman"/>
                <w:i/>
                <w:iCs/>
                <w:color w:val="000000" w:themeColor="text1"/>
                <w:sz w:val="20"/>
                <w:szCs w:val="20"/>
                <w:lang w:eastAsia="en-ZA"/>
              </w:rPr>
              <w:t>Cybister tripunctatus</w:t>
            </w:r>
            <w:r w:rsidRPr="00C81366">
              <w:rPr>
                <w:rFonts w:ascii="Times New Roman" w:eastAsia="Times New Roman" w:hAnsi="Times New Roman" w:cs="Times New Roman"/>
                <w:color w:val="000000" w:themeColor="text1"/>
                <w:sz w:val="20"/>
                <w:szCs w:val="20"/>
                <w:lang w:eastAsia="en-ZA"/>
              </w:rPr>
              <w:t xml:space="preserve">) in Kenya, </w:t>
            </w:r>
            <w:r w:rsidRPr="00C81366">
              <w:rPr>
                <w:rFonts w:ascii="Times New Roman" w:eastAsia="Times New Roman" w:hAnsi="Times New Roman" w:cs="Times New Roman"/>
                <w:i/>
                <w:iCs/>
                <w:color w:val="000000" w:themeColor="text1"/>
                <w:sz w:val="20"/>
                <w:szCs w:val="20"/>
                <w:lang w:eastAsia="en-ZA"/>
              </w:rPr>
              <w:t>African Journal of Aquatic Science</w:t>
            </w:r>
            <w:r w:rsidRPr="00C81366">
              <w:rPr>
                <w:rFonts w:ascii="Times New Roman" w:eastAsia="Times New Roman" w:hAnsi="Times New Roman" w:cs="Times New Roman"/>
                <w:color w:val="000000" w:themeColor="text1"/>
                <w:sz w:val="20"/>
                <w:szCs w:val="20"/>
                <w:lang w:eastAsia="en-ZA"/>
              </w:rPr>
              <w:t>, 30, 157–162,  https://doi.org/10.2989/16085910509503850</w:t>
            </w:r>
            <w:r w:rsidR="0096133C">
              <w:rPr>
                <w:rFonts w:ascii="Times New Roman" w:eastAsia="Times New Roman" w:hAnsi="Times New Roman" w:cs="Times New Roman"/>
                <w:color w:val="000000" w:themeColor="text1"/>
                <w:sz w:val="20"/>
                <w:szCs w:val="20"/>
                <w:lang w:eastAsia="en-ZA"/>
              </w:rPr>
              <w:t>.</w:t>
            </w:r>
          </w:p>
          <w:p w14:paraId="549D7B02" w14:textId="13C5C9A7" w:rsidR="002D7080" w:rsidRPr="007533C6" w:rsidRDefault="002D7080" w:rsidP="003635A5">
            <w:pPr>
              <w:ind w:left="720" w:hanging="72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hAnsi="Times New Roman" w:cs="Times New Roman"/>
                <w:color w:val="000000" w:themeColor="text1"/>
                <w:sz w:val="20"/>
                <w:szCs w:val="20"/>
                <w:shd w:val="clear" w:color="auto" w:fill="FFFFFF"/>
              </w:rPr>
              <w:t xml:space="preserve">Souty-Grosset, C., Anastacio, P.M., Aquiloni, L., Banha, F., Choquer, J., Chucholl, C., et al. </w:t>
            </w:r>
            <w:r w:rsidRPr="007533C6">
              <w:rPr>
                <w:rFonts w:ascii="Times New Roman" w:eastAsia="Times New Roman" w:hAnsi="Times New Roman" w:cs="Times New Roman"/>
                <w:color w:val="000000" w:themeColor="text1"/>
                <w:sz w:val="20"/>
                <w:szCs w:val="20"/>
                <w:lang w:eastAsia="en-ZA"/>
              </w:rPr>
              <w:t xml:space="preserve">2016, ‘The red swamp crayfish </w:t>
            </w:r>
            <w:r w:rsidRPr="007533C6">
              <w:rPr>
                <w:rFonts w:ascii="Times New Roman" w:eastAsia="Times New Roman" w:hAnsi="Times New Roman" w:cs="Times New Roman"/>
                <w:i/>
                <w:color w:val="000000" w:themeColor="text1"/>
                <w:sz w:val="20"/>
                <w:szCs w:val="20"/>
                <w:lang w:eastAsia="en-ZA"/>
              </w:rPr>
              <w:t>Procambarus clarkii</w:t>
            </w:r>
            <w:r w:rsidRPr="007533C6">
              <w:rPr>
                <w:rFonts w:ascii="Times New Roman" w:eastAsia="Times New Roman" w:hAnsi="Times New Roman" w:cs="Times New Roman"/>
                <w:color w:val="000000" w:themeColor="text1"/>
                <w:sz w:val="20"/>
                <w:szCs w:val="20"/>
                <w:lang w:eastAsia="en-ZA"/>
              </w:rPr>
              <w:t xml:space="preserve"> in Europe: Impacts on aquatic ecosystems and human well-being’, </w:t>
            </w:r>
            <w:r w:rsidRPr="007533C6">
              <w:rPr>
                <w:rFonts w:ascii="Times New Roman" w:eastAsia="Times New Roman" w:hAnsi="Times New Roman" w:cs="Times New Roman"/>
                <w:i/>
                <w:color w:val="000000" w:themeColor="text1"/>
                <w:sz w:val="20"/>
                <w:szCs w:val="20"/>
                <w:lang w:eastAsia="en-ZA"/>
              </w:rPr>
              <w:t>Limnologica</w:t>
            </w:r>
            <w:r w:rsidRPr="007533C6">
              <w:rPr>
                <w:rFonts w:ascii="Times New Roman" w:eastAsia="Times New Roman" w:hAnsi="Times New Roman" w:cs="Times New Roman"/>
                <w:color w:val="000000" w:themeColor="text1"/>
                <w:sz w:val="20"/>
                <w:szCs w:val="20"/>
                <w:lang w:eastAsia="en-ZA"/>
              </w:rPr>
              <w:t xml:space="preserve"> 58, 78–93. </w:t>
            </w:r>
            <w:hyperlink r:id="rId591" w:history="1">
              <w:r w:rsidR="00C81366" w:rsidRPr="00C81366">
                <w:rPr>
                  <w:rStyle w:val="Hyperlink"/>
                  <w:rFonts w:ascii="Times New Roman" w:eastAsia="Times New Roman" w:hAnsi="Times New Roman" w:cs="Times New Roman"/>
                  <w:bCs/>
                  <w:sz w:val="20"/>
                  <w:szCs w:val="20"/>
                  <w:lang w:eastAsia="en-ZA"/>
                </w:rPr>
                <w:t>https://doi.org/10.1016/j.limno.2016.03.003</w:t>
              </w:r>
            </w:hyperlink>
            <w:r w:rsidRPr="007533C6">
              <w:rPr>
                <w:rFonts w:ascii="Times New Roman" w:eastAsia="Times New Roman" w:hAnsi="Times New Roman" w:cs="Times New Roman"/>
                <w:bCs/>
                <w:color w:val="000000" w:themeColor="text1"/>
                <w:sz w:val="20"/>
                <w:szCs w:val="20"/>
                <w:lang w:eastAsia="en-ZA"/>
              </w:rPr>
              <w:t>.</w:t>
            </w:r>
          </w:p>
        </w:tc>
      </w:tr>
    </w:tbl>
    <w:p w14:paraId="5B6C4890" w14:textId="77777777" w:rsidR="002D7080" w:rsidRPr="004D1E6F" w:rsidRDefault="002D7080" w:rsidP="002D7080">
      <w:pPr>
        <w:spacing w:after="0" w:line="240" w:lineRule="auto"/>
        <w:rPr>
          <w:rFonts w:ascii="Times New Roman" w:hAnsi="Times New Roman" w:cs="Times New Roman"/>
          <w:b/>
          <w:sz w:val="24"/>
          <w:szCs w:val="24"/>
        </w:rPr>
      </w:pPr>
    </w:p>
    <w:p w14:paraId="642896AD"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4. Management</w:t>
      </w:r>
    </w:p>
    <w:p w14:paraId="042946F0"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2D81D3C8" w14:textId="77777777" w:rsidTr="002E2C37">
        <w:trPr>
          <w:trHeight w:val="343"/>
        </w:trPr>
        <w:tc>
          <w:tcPr>
            <w:tcW w:w="9067" w:type="dxa"/>
            <w:gridSpan w:val="2"/>
            <w:shd w:val="clear" w:color="auto" w:fill="F2F2F2" w:themeFill="background1" w:themeFillShade="F2"/>
          </w:tcPr>
          <w:p w14:paraId="3E9321BB"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MAN1 What is the feasibility to stop future immigration?</w:t>
            </w:r>
          </w:p>
        </w:tc>
      </w:tr>
      <w:tr w:rsidR="002D7080" w:rsidRPr="004D1E6F" w14:paraId="619DA322" w14:textId="77777777" w:rsidTr="002E2C37">
        <w:trPr>
          <w:trHeight w:val="172"/>
        </w:trPr>
        <w:tc>
          <w:tcPr>
            <w:tcW w:w="5240" w:type="dxa"/>
          </w:tcPr>
          <w:p w14:paraId="68A6791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Low </w:t>
            </w:r>
          </w:p>
        </w:tc>
        <w:tc>
          <w:tcPr>
            <w:tcW w:w="3827" w:type="dxa"/>
          </w:tcPr>
          <w:p w14:paraId="55816F7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415B6389" w14:textId="77777777" w:rsidTr="002E2C37">
        <w:trPr>
          <w:trHeight w:val="70"/>
        </w:trPr>
        <w:tc>
          <w:tcPr>
            <w:tcW w:w="9067" w:type="dxa"/>
            <w:gridSpan w:val="2"/>
          </w:tcPr>
          <w:p w14:paraId="7788421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Preventing introductions via intentional introductions may be feasible through regulation of imports (Zengeya &amp; Wilson 2020), however preventing unintentional introductions (e.g., through natural dispersal) will be more difficult.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have established populations in Zimbabwe, the extent of invasion still needs to be determined (Loureiro et al. 2015), however this is cause for concern because connected waterways can facilitate dispersal.  </w:t>
            </w:r>
          </w:p>
        </w:tc>
      </w:tr>
      <w:tr w:rsidR="002D7080" w:rsidRPr="004D1E6F" w14:paraId="602F78B6" w14:textId="77777777" w:rsidTr="002E2C37">
        <w:trPr>
          <w:trHeight w:val="108"/>
        </w:trPr>
        <w:tc>
          <w:tcPr>
            <w:tcW w:w="9067" w:type="dxa"/>
            <w:gridSpan w:val="2"/>
          </w:tcPr>
          <w:p w14:paraId="6A066532" w14:textId="77777777" w:rsidR="002D7080" w:rsidRPr="004D1E6F" w:rsidRDefault="002D7080" w:rsidP="003635A5">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58B5BF85" w14:textId="25D5CC09" w:rsidR="00F46CD5" w:rsidRPr="004D2B01"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Loureiro, T.G., Anastácio, P.M.S.G., Araujo, P.B., Souty-Grosset, C. &amp; Almerão, M.P., 2015, ‘Red swamp crayfish: biology, ecology and invasion–an overview’, </w:t>
            </w:r>
            <w:r w:rsidRPr="004D1E6F">
              <w:rPr>
                <w:rFonts w:ascii="Times New Roman" w:eastAsia="Times New Roman" w:hAnsi="Times New Roman" w:cs="Times New Roman"/>
                <w:i/>
                <w:iCs/>
                <w:sz w:val="20"/>
                <w:szCs w:val="20"/>
                <w:lang w:eastAsia="en-ZA"/>
              </w:rPr>
              <w:t xml:space="preserve">Nauplius </w:t>
            </w:r>
            <w:r w:rsidRPr="004D1E6F">
              <w:rPr>
                <w:rFonts w:ascii="Times New Roman" w:eastAsia="Times New Roman" w:hAnsi="Times New Roman" w:cs="Times New Roman"/>
                <w:sz w:val="20"/>
                <w:szCs w:val="20"/>
                <w:lang w:eastAsia="en-ZA"/>
              </w:rPr>
              <w:t xml:space="preserve">23(1), 1–19. </w:t>
            </w:r>
            <w:hyperlink r:id="rId592" w:history="1">
              <w:r w:rsidR="00F46CD5" w:rsidRPr="00F46CD5">
                <w:rPr>
                  <w:rStyle w:val="Hyperlink"/>
                  <w:rFonts w:ascii="Times New Roman" w:eastAsia="Times New Roman" w:hAnsi="Times New Roman" w:cs="Times New Roman"/>
                  <w:iCs/>
                  <w:sz w:val="20"/>
                  <w:szCs w:val="20"/>
                  <w:lang w:eastAsia="en-ZA"/>
                </w:rPr>
                <w:t>https://doi.org/10.1590/S0104-64972014002214</w:t>
              </w:r>
            </w:hyperlink>
            <w:r w:rsidR="00F46CD5">
              <w:rPr>
                <w:rFonts w:ascii="Times New Roman" w:eastAsia="Times New Roman" w:hAnsi="Times New Roman" w:cs="Times New Roman"/>
                <w:sz w:val="20"/>
                <w:szCs w:val="20"/>
                <w:lang w:eastAsia="en-ZA"/>
              </w:rPr>
              <w:t>.</w:t>
            </w:r>
          </w:p>
          <w:p w14:paraId="4AD4C8FD" w14:textId="77777777"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 xml:space="preserve">Zengeya, T.A. &amp; Wilson, J.R., 2020, </w:t>
            </w:r>
            <w:r w:rsidRPr="004D1E6F">
              <w:rPr>
                <w:rFonts w:ascii="Times New Roman" w:hAnsi="Times New Roman" w:cs="Times New Roman"/>
                <w:i/>
                <w:iCs/>
                <w:sz w:val="20"/>
                <w:szCs w:val="20"/>
              </w:rPr>
              <w:t>The status of biological invasions and their management in South Africa in 2019</w:t>
            </w:r>
            <w:r w:rsidRPr="004D1E6F">
              <w:rPr>
                <w:rFonts w:ascii="Times New Roman" w:hAnsi="Times New Roman" w:cs="Times New Roman"/>
                <w:sz w:val="20"/>
                <w:szCs w:val="20"/>
              </w:rPr>
              <w:t>, South African National Biodiversity Institute, Kirstenbosch and DSI-NRF Centre of Excellence for Invasion Biology, Stellenbosch. http://dx.doi.org/10.5281/zenodo.3947613.</w:t>
            </w:r>
          </w:p>
        </w:tc>
      </w:tr>
    </w:tbl>
    <w:p w14:paraId="1836C00D" w14:textId="77777777" w:rsidR="002D7080" w:rsidRPr="004D1E6F" w:rsidRDefault="002D7080" w:rsidP="003635A5">
      <w:pPr>
        <w:spacing w:after="0" w:line="240" w:lineRule="auto"/>
        <w:jc w:val="both"/>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4D1A896E" w14:textId="77777777" w:rsidTr="002E2C37">
        <w:trPr>
          <w:trHeight w:val="343"/>
        </w:trPr>
        <w:tc>
          <w:tcPr>
            <w:tcW w:w="9067" w:type="dxa"/>
            <w:gridSpan w:val="2"/>
            <w:shd w:val="clear" w:color="auto" w:fill="F2F2F2" w:themeFill="background1" w:themeFillShade="F2"/>
          </w:tcPr>
          <w:p w14:paraId="077275B6"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MAN2 Benefits of the Taxon</w:t>
            </w:r>
          </w:p>
        </w:tc>
      </w:tr>
      <w:tr w:rsidR="002D7080" w:rsidRPr="004D1E6F" w14:paraId="25FEEC92" w14:textId="77777777" w:rsidTr="002E2C37">
        <w:trPr>
          <w:trHeight w:val="343"/>
        </w:trPr>
        <w:tc>
          <w:tcPr>
            <w:tcW w:w="9067" w:type="dxa"/>
            <w:gridSpan w:val="2"/>
            <w:shd w:val="clear" w:color="auto" w:fill="F2F2F2" w:themeFill="background1" w:themeFillShade="F2"/>
          </w:tcPr>
          <w:p w14:paraId="0E17114A"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 xml:space="preserve">MAN2a Socio-economic benefits of the </w:t>
            </w:r>
            <w:r w:rsidRPr="004D1E6F">
              <w:rPr>
                <w:rFonts w:ascii="Times New Roman" w:eastAsia="Times New Roman" w:hAnsi="Times New Roman" w:cs="Times New Roman"/>
                <w:b/>
                <w:i/>
                <w:sz w:val="20"/>
                <w:szCs w:val="20"/>
                <w:lang w:eastAsia="en-ZA"/>
              </w:rPr>
              <w:t>Taxon</w:t>
            </w:r>
          </w:p>
        </w:tc>
      </w:tr>
      <w:tr w:rsidR="002D7080" w:rsidRPr="004D1E6F" w14:paraId="1B4ED334" w14:textId="77777777" w:rsidTr="002E2C37">
        <w:trPr>
          <w:trHeight w:val="172"/>
        </w:trPr>
        <w:tc>
          <w:tcPr>
            <w:tcW w:w="5240" w:type="dxa"/>
          </w:tcPr>
          <w:p w14:paraId="3FC668B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Low</w:t>
            </w:r>
          </w:p>
        </w:tc>
        <w:tc>
          <w:tcPr>
            <w:tcW w:w="3827" w:type="dxa"/>
          </w:tcPr>
          <w:p w14:paraId="39AC1FD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14CCB824" w14:textId="77777777" w:rsidTr="002E2C37">
        <w:trPr>
          <w:trHeight w:val="70"/>
        </w:trPr>
        <w:tc>
          <w:tcPr>
            <w:tcW w:w="9067" w:type="dxa"/>
            <w:gridSpan w:val="2"/>
          </w:tcPr>
          <w:p w14:paraId="3A091FA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sz w:val="20"/>
                <w:szCs w:val="20"/>
                <w:lang w:eastAsia="en-ZA"/>
              </w:rPr>
              <w:t>Procambarus clarkii</w:t>
            </w:r>
            <w:r w:rsidRPr="004D1E6F">
              <w:rPr>
                <w:rFonts w:ascii="Times New Roman" w:eastAsia="Times New Roman" w:hAnsi="Times New Roman" w:cs="Times New Roman"/>
                <w:sz w:val="20"/>
                <w:szCs w:val="20"/>
                <w:lang w:eastAsia="en-ZA"/>
              </w:rPr>
              <w:t xml:space="preserve"> is widely used in aquaculture in several countries, with the highest production in China and the US. In 2005, China produced over 80 000 tonnes (estimated value US$ 303 million) and the US produced roughly 33 000 tonnes (estimated value US$ 48.6 million). Some fisheries exist in other countries </w:t>
            </w:r>
            <w:r w:rsidRPr="004D1E6F">
              <w:rPr>
                <w:rFonts w:ascii="Times New Roman" w:eastAsia="Times New Roman" w:hAnsi="Times New Roman" w:cs="Times New Roman"/>
                <w:sz w:val="20"/>
                <w:szCs w:val="20"/>
                <w:lang w:eastAsia="en-ZA"/>
              </w:rPr>
              <w:lastRenderedPageBreak/>
              <w:t xml:space="preserve">(Costa Rica Kenya, Mexico Portugal, Spain and Zambia) but there are discrepancies between different sources. It is, therefore, difficult to estimate the monetary value generated. </w:t>
            </w:r>
          </w:p>
          <w:p w14:paraId="0B10E2A7" w14:textId="77777777" w:rsidR="002D7080" w:rsidRPr="004D1E6F" w:rsidRDefault="002D7080" w:rsidP="002E2C37">
            <w:pPr>
              <w:jc w:val="both"/>
              <w:rPr>
                <w:rFonts w:ascii="Times New Roman" w:eastAsia="Times New Roman" w:hAnsi="Times New Roman" w:cs="Times New Roman"/>
                <w:sz w:val="20"/>
                <w:szCs w:val="20"/>
                <w:lang w:eastAsia="en-ZA"/>
              </w:rPr>
            </w:pPr>
          </w:p>
          <w:p w14:paraId="21D3D9F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There is no information on the production of P</w:t>
            </w:r>
            <w:r w:rsidRPr="004D1E6F">
              <w:rPr>
                <w:rFonts w:ascii="Times New Roman" w:eastAsia="Times New Roman" w:hAnsi="Times New Roman" w:cs="Times New Roman"/>
                <w:i/>
                <w:iCs/>
                <w:sz w:val="20"/>
                <w:szCs w:val="20"/>
                <w:lang w:eastAsia="en-ZA"/>
              </w:rPr>
              <w:t>. clarkii</w:t>
            </w:r>
            <w:r w:rsidRPr="004D1E6F">
              <w:rPr>
                <w:rFonts w:ascii="Times New Roman" w:eastAsia="Times New Roman" w:hAnsi="Times New Roman" w:cs="Times New Roman"/>
                <w:sz w:val="20"/>
                <w:szCs w:val="20"/>
                <w:lang w:eastAsia="en-ZA"/>
              </w:rPr>
              <w:t xml:space="preserve"> in South Africa, but other crayfish species (</w:t>
            </w:r>
            <w:r w:rsidRPr="004D1E6F">
              <w:rPr>
                <w:rFonts w:ascii="Times New Roman" w:eastAsia="Times New Roman" w:hAnsi="Times New Roman" w:cs="Times New Roman"/>
                <w:i/>
                <w:iCs/>
                <w:sz w:val="20"/>
                <w:szCs w:val="20"/>
                <w:lang w:eastAsia="en-ZA"/>
              </w:rPr>
              <w:t>C. temuimanus</w:t>
            </w:r>
            <w:r w:rsidRPr="004D1E6F">
              <w:rPr>
                <w:rFonts w:ascii="Times New Roman" w:eastAsia="Times New Roman" w:hAnsi="Times New Roman" w:cs="Times New Roman"/>
                <w:sz w:val="20"/>
                <w:szCs w:val="20"/>
                <w:lang w:eastAsia="en-ZA"/>
              </w:rPr>
              <w:t xml:space="preserve">) has been farmed on very small scales (Burgess 2007). Therefore, the response has been scored as low (Nunes et al. 2017b; Madzivanzira et al. 2021). </w:t>
            </w:r>
          </w:p>
          <w:p w14:paraId="575E9706" w14:textId="77777777" w:rsidR="002D7080" w:rsidRPr="004D1E6F" w:rsidRDefault="002D7080" w:rsidP="002E2C37">
            <w:pPr>
              <w:jc w:val="both"/>
              <w:rPr>
                <w:rFonts w:ascii="Times New Roman" w:eastAsia="Times New Roman" w:hAnsi="Times New Roman" w:cs="Times New Roman"/>
                <w:sz w:val="20"/>
                <w:szCs w:val="20"/>
                <w:lang w:eastAsia="en-ZA"/>
              </w:rPr>
            </w:pPr>
          </w:p>
          <w:p w14:paraId="62D4B26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is considered to be popular in the pet trade industry elsewhere in the world (Faulkes 2015) but the benefits derived from the pet trade industry in South Africa have yet to be evaluated.</w:t>
            </w:r>
          </w:p>
        </w:tc>
      </w:tr>
      <w:tr w:rsidR="002D7080" w:rsidRPr="004D1E6F" w14:paraId="5BD22FD3" w14:textId="77777777" w:rsidTr="002E2C37">
        <w:trPr>
          <w:trHeight w:val="70"/>
        </w:trPr>
        <w:tc>
          <w:tcPr>
            <w:tcW w:w="9067" w:type="dxa"/>
            <w:gridSpan w:val="2"/>
          </w:tcPr>
          <w:p w14:paraId="0CC102B1" w14:textId="77777777" w:rsidR="002D7080" w:rsidRPr="004D1E6F" w:rsidRDefault="002D7080" w:rsidP="003635A5">
            <w:pPr>
              <w:ind w:left="720" w:hanging="720"/>
              <w:jc w:val="both"/>
              <w:rPr>
                <w:rFonts w:ascii="Times New Roman" w:eastAsia="Calibri" w:hAnsi="Times New Roman" w:cs="Times New Roman"/>
                <w:sz w:val="20"/>
                <w:szCs w:val="20"/>
                <w:shd w:val="clear" w:color="auto" w:fill="FFFFFF"/>
              </w:rPr>
            </w:pPr>
            <w:r w:rsidRPr="004D1E6F">
              <w:rPr>
                <w:rFonts w:ascii="Times New Roman" w:eastAsia="Times New Roman" w:hAnsi="Times New Roman" w:cs="Times New Roman"/>
                <w:sz w:val="20"/>
                <w:szCs w:val="20"/>
                <w:lang w:eastAsia="en-ZA"/>
              </w:rPr>
              <w:lastRenderedPageBreak/>
              <w:t>References:</w:t>
            </w:r>
          </w:p>
          <w:p w14:paraId="6390E9F6" w14:textId="313D0D89"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Faulkes, Z., 2015, ‘The global trade in crayfish as pets’, </w:t>
            </w:r>
            <w:r w:rsidRPr="004D1E6F">
              <w:rPr>
                <w:rFonts w:ascii="Times New Roman" w:eastAsia="Times New Roman" w:hAnsi="Times New Roman" w:cs="Times New Roman"/>
                <w:i/>
                <w:iCs/>
                <w:sz w:val="20"/>
                <w:szCs w:val="20"/>
                <w:lang w:eastAsia="en-ZA"/>
              </w:rPr>
              <w:t xml:space="preserve">Crustacean Research </w:t>
            </w:r>
            <w:r w:rsidRPr="004D1E6F">
              <w:rPr>
                <w:rFonts w:ascii="Times New Roman" w:eastAsia="Times New Roman" w:hAnsi="Times New Roman" w:cs="Times New Roman"/>
                <w:iCs/>
                <w:sz w:val="20"/>
                <w:szCs w:val="20"/>
                <w:lang w:eastAsia="en-ZA"/>
              </w:rPr>
              <w:t>44</w:t>
            </w:r>
            <w:r w:rsidRPr="004D1E6F">
              <w:rPr>
                <w:rFonts w:ascii="Times New Roman" w:eastAsia="Times New Roman" w:hAnsi="Times New Roman" w:cs="Times New Roman"/>
                <w:sz w:val="20"/>
                <w:szCs w:val="20"/>
                <w:lang w:eastAsia="en-ZA"/>
              </w:rPr>
              <w:t xml:space="preserve">, 75–92. </w:t>
            </w:r>
            <w:hyperlink r:id="rId593" w:history="1">
              <w:r w:rsidR="00F46CD5" w:rsidRPr="00F215B9">
                <w:rPr>
                  <w:rStyle w:val="Hyperlink"/>
                  <w:rFonts w:ascii="Times New Roman" w:eastAsia="Times New Roman" w:hAnsi="Times New Roman" w:cs="Times New Roman"/>
                  <w:sz w:val="20"/>
                  <w:szCs w:val="20"/>
                  <w:lang w:eastAsia="en-ZA"/>
                </w:rPr>
                <w:t>https://doi.org/10.18353/crustacea.44.0_75</w:t>
              </w:r>
            </w:hyperlink>
            <w:r w:rsidRPr="004D1E6F">
              <w:rPr>
                <w:rFonts w:ascii="Times New Roman" w:eastAsia="Times New Roman" w:hAnsi="Times New Roman" w:cs="Times New Roman"/>
                <w:sz w:val="20"/>
                <w:szCs w:val="20"/>
                <w:lang w:eastAsia="en-ZA"/>
              </w:rPr>
              <w:t>.</w:t>
            </w:r>
            <w:r w:rsidR="00F46CD5">
              <w:rPr>
                <w:rFonts w:ascii="Times New Roman" w:eastAsia="Times New Roman" w:hAnsi="Times New Roman" w:cs="Times New Roman"/>
                <w:sz w:val="20"/>
                <w:szCs w:val="20"/>
                <w:lang w:eastAsia="en-ZA"/>
              </w:rPr>
              <w:t xml:space="preserve"> </w:t>
            </w:r>
          </w:p>
          <w:p w14:paraId="496C5BE8" w14:textId="160129DF"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Madzivanzira, T.C., South, J., Wood, L.E., Nunes, A.L. &amp; Weyl, O.L.F., 2021, ‘A review of freshwater crayfish introductions in Africa’, </w:t>
            </w:r>
            <w:r w:rsidRPr="004D1E6F">
              <w:rPr>
                <w:rFonts w:ascii="Times New Roman" w:eastAsia="Times New Roman" w:hAnsi="Times New Roman" w:cs="Times New Roman"/>
                <w:i/>
                <w:sz w:val="20"/>
                <w:szCs w:val="20"/>
                <w:lang w:eastAsia="en-ZA"/>
              </w:rPr>
              <w:t>Reviews in Fisheries Science &amp; Aquaculture</w:t>
            </w:r>
            <w:r w:rsidRPr="004D1E6F">
              <w:rPr>
                <w:rFonts w:ascii="Times New Roman" w:eastAsia="Times New Roman" w:hAnsi="Times New Roman" w:cs="Times New Roman"/>
                <w:sz w:val="20"/>
                <w:szCs w:val="20"/>
                <w:lang w:eastAsia="en-ZA"/>
              </w:rPr>
              <w:t xml:space="preserve">,1–21. </w:t>
            </w:r>
            <w:r w:rsidR="00F46CD5" w:rsidRPr="00D66918">
              <w:rPr>
                <w:rFonts w:ascii="Times New Roman" w:eastAsia="Times New Roman" w:hAnsi="Times New Roman" w:cs="Times New Roman"/>
                <w:sz w:val="20"/>
                <w:szCs w:val="20"/>
                <w:lang w:eastAsia="en-ZA"/>
              </w:rPr>
              <w:t>https://doi.org/10.1080/23308249.2020.1802405</w:t>
            </w:r>
            <w:r w:rsidRPr="004D1E6F">
              <w:rPr>
                <w:rFonts w:ascii="Times New Roman" w:eastAsia="Times New Roman" w:hAnsi="Times New Roman" w:cs="Times New Roman"/>
                <w:sz w:val="20"/>
                <w:szCs w:val="20"/>
                <w:lang w:eastAsia="en-ZA"/>
              </w:rPr>
              <w:t>.</w:t>
            </w:r>
          </w:p>
          <w:p w14:paraId="5D0EAF71" w14:textId="45B0171E"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sz w:val="20"/>
                <w:szCs w:val="20"/>
                <w:lang w:eastAsia="en-ZA"/>
              </w:rPr>
              <w:t>African Journal of Aquatic Science</w:t>
            </w:r>
            <w:r w:rsidRPr="004D1E6F">
              <w:rPr>
                <w:rFonts w:ascii="Times New Roman" w:eastAsia="Times New Roman" w:hAnsi="Times New Roman" w:cs="Times New Roman"/>
                <w:sz w:val="20"/>
                <w:szCs w:val="20"/>
                <w:lang w:eastAsia="en-ZA"/>
              </w:rPr>
              <w:t xml:space="preserve"> 42, 309–323. </w:t>
            </w:r>
            <w:hyperlink r:id="rId594" w:history="1">
              <w:r w:rsidR="00F46CD5" w:rsidRPr="00F46CD5">
                <w:rPr>
                  <w:rStyle w:val="Hyperlink"/>
                  <w:rFonts w:ascii="Times New Roman" w:eastAsia="Times New Roman" w:hAnsi="Times New Roman" w:cs="Times New Roman"/>
                  <w:sz w:val="20"/>
                  <w:szCs w:val="20"/>
                  <w:lang w:eastAsia="en-ZA"/>
                </w:rPr>
                <w:t>https://doi.org/10.2989/16085914.2017.1405788</w:t>
              </w:r>
            </w:hyperlink>
          </w:p>
          <w:p w14:paraId="176D6BED" w14:textId="66EDF25F"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Souty-Grosset, C., Anastácio, P.M., Aquiloni, L., Banha, F., Choquer, J., Chucholl, C., et al., 2016, ‘The red swamp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in Europe: Impacts on aquatic ecosystems and human well-being’, </w:t>
            </w:r>
            <w:r w:rsidRPr="004D1E6F">
              <w:rPr>
                <w:rFonts w:ascii="Times New Roman" w:eastAsia="Times New Roman" w:hAnsi="Times New Roman" w:cs="Times New Roman"/>
                <w:i/>
                <w:sz w:val="20"/>
                <w:szCs w:val="20"/>
                <w:lang w:eastAsia="en-ZA"/>
              </w:rPr>
              <w:t>Limnologica</w:t>
            </w:r>
            <w:r w:rsidRPr="004D1E6F">
              <w:rPr>
                <w:rFonts w:ascii="Times New Roman" w:eastAsia="Times New Roman" w:hAnsi="Times New Roman" w:cs="Times New Roman"/>
                <w:sz w:val="20"/>
                <w:szCs w:val="20"/>
                <w:lang w:eastAsia="en-ZA"/>
              </w:rPr>
              <w:t xml:space="preserve"> 58, 78–93</w:t>
            </w:r>
            <w:hyperlink r:id="rId595" w:history="1">
              <w:r w:rsidR="00F46CD5" w:rsidRPr="00F46CD5">
                <w:rPr>
                  <w:rStyle w:val="Hyperlink"/>
                  <w:rFonts w:ascii="Times New Roman" w:eastAsia="Times New Roman" w:hAnsi="Times New Roman" w:cs="Times New Roman"/>
                  <w:sz w:val="20"/>
                  <w:szCs w:val="20"/>
                  <w:lang w:eastAsia="en-ZA"/>
                </w:rPr>
                <w:t>https://doi.org/10.1016/j.limno.2016.03.003</w:t>
              </w:r>
            </w:hyperlink>
            <w:r w:rsidRPr="004D1E6F">
              <w:rPr>
                <w:rFonts w:ascii="Times New Roman" w:eastAsia="Times New Roman" w:hAnsi="Times New Roman" w:cs="Times New Roman"/>
                <w:bCs/>
                <w:sz w:val="20"/>
                <w:szCs w:val="20"/>
                <w:lang w:eastAsia="en-ZA"/>
              </w:rPr>
              <w:t>.</w:t>
            </w:r>
          </w:p>
        </w:tc>
      </w:tr>
      <w:tr w:rsidR="002D7080" w:rsidRPr="004D1E6F" w14:paraId="69D13271" w14:textId="77777777" w:rsidTr="002E2C37">
        <w:trPr>
          <w:trHeight w:val="343"/>
        </w:trPr>
        <w:tc>
          <w:tcPr>
            <w:tcW w:w="9067" w:type="dxa"/>
            <w:gridSpan w:val="2"/>
            <w:shd w:val="clear" w:color="auto" w:fill="F2F2F2" w:themeFill="background1" w:themeFillShade="F2"/>
          </w:tcPr>
          <w:p w14:paraId="29818B7E" w14:textId="77777777" w:rsidR="002D7080" w:rsidRPr="004D1E6F" w:rsidRDefault="002D7080" w:rsidP="003635A5">
            <w:pPr>
              <w:jc w:val="both"/>
              <w:rPr>
                <w:rFonts w:ascii="Times New Roman" w:hAnsi="Times New Roman" w:cs="Times New Roman"/>
              </w:rPr>
            </w:pPr>
            <w:r w:rsidRPr="004D1E6F">
              <w:rPr>
                <w:rFonts w:ascii="Times New Roman" w:eastAsia="Times New Roman" w:hAnsi="Times New Roman" w:cs="Times New Roman"/>
                <w:b/>
                <w:sz w:val="20"/>
                <w:szCs w:val="20"/>
                <w:lang w:eastAsia="en-ZA"/>
              </w:rPr>
              <w:t xml:space="preserve">MAN2b Environmental benefits of the </w:t>
            </w:r>
            <w:r w:rsidRPr="004D1E6F">
              <w:rPr>
                <w:rFonts w:ascii="Times New Roman" w:eastAsia="Times New Roman" w:hAnsi="Times New Roman" w:cs="Times New Roman"/>
                <w:b/>
                <w:i/>
                <w:sz w:val="20"/>
                <w:szCs w:val="20"/>
                <w:lang w:eastAsia="en-ZA"/>
              </w:rPr>
              <w:t>Taxon</w:t>
            </w:r>
          </w:p>
        </w:tc>
      </w:tr>
      <w:tr w:rsidR="002D7080" w:rsidRPr="004D1E6F" w14:paraId="20F6E291" w14:textId="77777777" w:rsidTr="002E2C37">
        <w:trPr>
          <w:trHeight w:val="259"/>
        </w:trPr>
        <w:tc>
          <w:tcPr>
            <w:tcW w:w="5240" w:type="dxa"/>
          </w:tcPr>
          <w:p w14:paraId="198918C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Low</w:t>
            </w:r>
          </w:p>
        </w:tc>
        <w:tc>
          <w:tcPr>
            <w:tcW w:w="3827" w:type="dxa"/>
          </w:tcPr>
          <w:p w14:paraId="3B89651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5B46078D" w14:textId="77777777" w:rsidTr="002E2C37">
        <w:trPr>
          <w:trHeight w:val="70"/>
        </w:trPr>
        <w:tc>
          <w:tcPr>
            <w:tcW w:w="9067" w:type="dxa"/>
            <w:gridSpan w:val="2"/>
          </w:tcPr>
          <w:p w14:paraId="3A5EA0A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There are no recorded environmental benefits of </w:t>
            </w:r>
            <w:r w:rsidRPr="004D1E6F">
              <w:rPr>
                <w:rFonts w:ascii="Times New Roman" w:eastAsia="Times New Roman" w:hAnsi="Times New Roman" w:cs="Times New Roman"/>
                <w:i/>
                <w:iCs/>
                <w:sz w:val="20"/>
                <w:szCs w:val="20"/>
                <w:lang w:eastAsia="en-ZA"/>
              </w:rPr>
              <w:t>P. clarkii</w:t>
            </w:r>
            <w:r w:rsidRPr="004D1E6F">
              <w:rPr>
                <w:rFonts w:ascii="Times New Roman" w:eastAsia="Times New Roman" w:hAnsi="Times New Roman" w:cs="Times New Roman"/>
                <w:sz w:val="20"/>
                <w:szCs w:val="20"/>
                <w:lang w:eastAsia="en-ZA"/>
              </w:rPr>
              <w:t>.</w:t>
            </w:r>
          </w:p>
        </w:tc>
      </w:tr>
      <w:tr w:rsidR="002D7080" w:rsidRPr="004D1E6F" w14:paraId="1703CEAB" w14:textId="77777777" w:rsidTr="002E2C37">
        <w:trPr>
          <w:trHeight w:val="70"/>
        </w:trPr>
        <w:tc>
          <w:tcPr>
            <w:tcW w:w="9067" w:type="dxa"/>
            <w:gridSpan w:val="2"/>
          </w:tcPr>
          <w:p w14:paraId="289C80BE"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081C4134"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35727690" w14:textId="77777777" w:rsidTr="002E2C37">
        <w:trPr>
          <w:trHeight w:val="343"/>
        </w:trPr>
        <w:tc>
          <w:tcPr>
            <w:tcW w:w="9067" w:type="dxa"/>
            <w:gridSpan w:val="2"/>
            <w:shd w:val="clear" w:color="auto" w:fill="F2F2F2" w:themeFill="background1" w:themeFillShade="F2"/>
          </w:tcPr>
          <w:p w14:paraId="3EFE1B84"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MAN3 Ease of management</w:t>
            </w:r>
          </w:p>
        </w:tc>
      </w:tr>
      <w:tr w:rsidR="002D7080" w:rsidRPr="004D1E6F" w14:paraId="1397D4D8" w14:textId="77777777" w:rsidTr="002E2C37">
        <w:trPr>
          <w:trHeight w:val="343"/>
        </w:trPr>
        <w:tc>
          <w:tcPr>
            <w:tcW w:w="9067" w:type="dxa"/>
            <w:gridSpan w:val="2"/>
            <w:shd w:val="clear" w:color="auto" w:fill="F2F2F2" w:themeFill="background1" w:themeFillShade="F2"/>
          </w:tcPr>
          <w:p w14:paraId="033B4377"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MAN3a How accessible are populations?</w:t>
            </w:r>
          </w:p>
        </w:tc>
      </w:tr>
      <w:tr w:rsidR="002D7080" w:rsidRPr="004D1E6F" w14:paraId="62520D08" w14:textId="77777777" w:rsidTr="002E2C37">
        <w:trPr>
          <w:trHeight w:val="183"/>
        </w:trPr>
        <w:tc>
          <w:tcPr>
            <w:tcW w:w="5240" w:type="dxa"/>
          </w:tcPr>
          <w:p w14:paraId="42CD272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2 (difficult to access)</w:t>
            </w:r>
          </w:p>
        </w:tc>
        <w:tc>
          <w:tcPr>
            <w:tcW w:w="3827" w:type="dxa"/>
          </w:tcPr>
          <w:p w14:paraId="5364EFD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7DDD4462" w14:textId="77777777" w:rsidTr="002E2C37">
        <w:trPr>
          <w:trHeight w:val="163"/>
        </w:trPr>
        <w:tc>
          <w:tcPr>
            <w:tcW w:w="9067" w:type="dxa"/>
            <w:gridSpan w:val="2"/>
          </w:tcPr>
          <w:p w14:paraId="00CAC46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is </w:t>
            </w:r>
            <w:r>
              <w:rPr>
                <w:rFonts w:ascii="Times New Roman" w:eastAsia="Times New Roman" w:hAnsi="Times New Roman" w:cs="Times New Roman"/>
                <w:sz w:val="20"/>
                <w:szCs w:val="20"/>
                <w:lang w:eastAsia="en-ZA"/>
              </w:rPr>
              <w:t xml:space="preserve">known to occur at several </w:t>
            </w:r>
            <w:r w:rsidRPr="004D1E6F">
              <w:rPr>
                <w:rFonts w:ascii="Times New Roman" w:eastAsia="Times New Roman" w:hAnsi="Times New Roman" w:cs="Times New Roman"/>
                <w:sz w:val="20"/>
                <w:szCs w:val="20"/>
                <w:lang w:eastAsia="en-ZA"/>
              </w:rPr>
              <w:t xml:space="preserve">sites in Mpumalanga, Free State and Western Cape Provinces. Two populations are confined to dams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"ITEM-1",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"(Nunes et al. 2017a)", "plainTextFormattedCitation" : "(Nunes et al. 2017a)", "previouslyFormattedCitation" : "(Nunes et al. 2017a)"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(Barkhuizen et al. 2022; Nunes et al. 2017a)</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and the one in the Western Cape occurs in the tributary of the lower Olifants River and irrigation systems around Vredendal. One dam however, is on private property, and thus would require access to be granted by the landowner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"ITEM-1",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"(Nunes et al. 2017a)", "plainTextFormattedCitation" : "(Nunes et al. 2017a)", "previouslyFormattedCitation" : "(Nunes et al. 2017a)"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2017a, 2017b)</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Being a aquatic species, accessibility is difficult. </w:t>
            </w:r>
          </w:p>
        </w:tc>
      </w:tr>
      <w:tr w:rsidR="002D7080" w:rsidRPr="004D1E6F" w14:paraId="4845948C" w14:textId="77777777" w:rsidTr="002E2C37">
        <w:trPr>
          <w:trHeight w:val="70"/>
        </w:trPr>
        <w:tc>
          <w:tcPr>
            <w:tcW w:w="9067" w:type="dxa"/>
            <w:gridSpan w:val="2"/>
          </w:tcPr>
          <w:p w14:paraId="2C9560CF"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79AFB84B" w14:textId="51780A2A"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Barkhuizen, L.M., Madzivanzira, T.C. &amp; South, J., 2022, ‘Population ecology of a wild population of red swamp crayfish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 xml:space="preserve">(Girard, 1852) in the Free State Province, South Africa and implications for eradication efforts’, </w:t>
            </w:r>
            <w:r w:rsidRPr="004D1E6F">
              <w:rPr>
                <w:rFonts w:ascii="Times New Roman" w:eastAsia="Times New Roman" w:hAnsi="Times New Roman" w:cs="Times New Roman"/>
                <w:i/>
                <w:sz w:val="20"/>
                <w:szCs w:val="20"/>
                <w:lang w:eastAsia="en-ZA"/>
              </w:rPr>
              <w:t xml:space="preserve">BioInvasions Records </w:t>
            </w:r>
            <w:r w:rsidRPr="004D1E6F">
              <w:rPr>
                <w:rFonts w:ascii="Times New Roman" w:eastAsia="Times New Roman" w:hAnsi="Times New Roman" w:cs="Times New Roman"/>
                <w:iCs/>
                <w:sz w:val="20"/>
                <w:szCs w:val="20"/>
                <w:lang w:eastAsia="en-ZA"/>
              </w:rPr>
              <w:t>11, 181-191</w:t>
            </w:r>
            <w:r w:rsidRPr="004D1E6F">
              <w:rPr>
                <w:rFonts w:ascii="Times New Roman" w:eastAsia="Times New Roman" w:hAnsi="Times New Roman" w:cs="Times New Roman"/>
                <w:sz w:val="20"/>
                <w:szCs w:val="20"/>
                <w:lang w:eastAsia="en-ZA"/>
              </w:rPr>
              <w:t xml:space="preserve">. </w:t>
            </w:r>
            <w:r w:rsidR="00F46CD5" w:rsidRPr="00F46CD5">
              <w:rPr>
                <w:rFonts w:ascii="Times New Roman" w:eastAsia="Times New Roman" w:hAnsi="Times New Roman" w:cs="Times New Roman"/>
                <w:iCs/>
                <w:sz w:val="20"/>
                <w:szCs w:val="20"/>
                <w:lang w:eastAsia="en-ZA"/>
              </w:rPr>
              <w:t>https://doi.org/10.3391/bir.2022</w:t>
            </w:r>
            <w:r w:rsidR="00A96F79">
              <w:rPr>
                <w:rFonts w:ascii="Times New Roman" w:eastAsia="Times New Roman" w:hAnsi="Times New Roman" w:cs="Times New Roman"/>
                <w:iCs/>
                <w:sz w:val="20"/>
                <w:szCs w:val="20"/>
                <w:lang w:eastAsia="en-ZA"/>
              </w:rPr>
              <w:t>.</w:t>
            </w:r>
          </w:p>
          <w:p w14:paraId="653DFFF1" w14:textId="46E1DE85"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Hoffman, C.A., Zengeya, T.A., Measey, G.J. &amp; Weyl, O.L.F, 2017a, ‘Red swamp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found in South Africa 22 years after attempted eradication’, </w:t>
            </w:r>
            <w:r w:rsidRPr="004D1E6F">
              <w:rPr>
                <w:rFonts w:ascii="Times New Roman" w:eastAsia="Times New Roman" w:hAnsi="Times New Roman" w:cs="Times New Roman"/>
                <w:i/>
                <w:sz w:val="20"/>
                <w:szCs w:val="20"/>
                <w:lang w:eastAsia="en-ZA"/>
              </w:rPr>
              <w:t>Aquatic Conservation: Marine &amp; Freshwater Ecosystems</w:t>
            </w:r>
            <w:r w:rsidRPr="004D1E6F">
              <w:rPr>
                <w:rFonts w:ascii="Times New Roman" w:eastAsia="Times New Roman" w:hAnsi="Times New Roman" w:cs="Times New Roman"/>
                <w:sz w:val="20"/>
                <w:szCs w:val="20"/>
                <w:lang w:eastAsia="en-ZA"/>
              </w:rPr>
              <w:t xml:space="preserve"> 27, 1334–1340. </w:t>
            </w:r>
            <w:hyperlink r:id="rId596" w:history="1">
              <w:r w:rsidR="00F46CD5" w:rsidRPr="00F215B9">
                <w:rPr>
                  <w:rStyle w:val="Hyperlink"/>
                  <w:rFonts w:ascii="Times New Roman" w:eastAsia="Times New Roman" w:hAnsi="Times New Roman" w:cs="Times New Roman"/>
                  <w:bCs/>
                  <w:sz w:val="20"/>
                  <w:szCs w:val="20"/>
                  <w:lang w:eastAsia="en-ZA"/>
                </w:rPr>
                <w:t>https://doi.org/10.1002/aqc.2741</w:t>
              </w:r>
            </w:hyperlink>
            <w:r w:rsidRPr="004D1E6F">
              <w:rPr>
                <w:rFonts w:ascii="Times New Roman" w:hAnsi="Times New Roman" w:cs="Times New Roman"/>
                <w:bCs/>
                <w:sz w:val="20"/>
                <w:szCs w:val="20"/>
              </w:rPr>
              <w:t>.</w:t>
            </w:r>
            <w:r w:rsidR="00F46CD5">
              <w:rPr>
                <w:rFonts w:ascii="Times New Roman" w:hAnsi="Times New Roman" w:cs="Times New Roman"/>
                <w:bCs/>
                <w:sz w:val="20"/>
                <w:szCs w:val="20"/>
              </w:rPr>
              <w:t xml:space="preserve"> </w:t>
            </w:r>
          </w:p>
          <w:p w14:paraId="1690B392" w14:textId="052ADD6E" w:rsidR="002D7080" w:rsidRPr="004D1E6F" w:rsidRDefault="002D7080" w:rsidP="003635A5">
            <w:pPr>
              <w:ind w:left="720" w:hanging="72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597" w:history="1">
              <w:r w:rsidR="00F46CD5" w:rsidRPr="00F46CD5">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p>
        </w:tc>
      </w:tr>
      <w:tr w:rsidR="002D7080" w:rsidRPr="004D1E6F" w14:paraId="0433A3B0" w14:textId="77777777" w:rsidTr="002E2C37">
        <w:trPr>
          <w:trHeight w:val="343"/>
        </w:trPr>
        <w:tc>
          <w:tcPr>
            <w:tcW w:w="9067" w:type="dxa"/>
            <w:gridSpan w:val="2"/>
            <w:shd w:val="clear" w:color="auto" w:fill="F2F2F2" w:themeFill="background1" w:themeFillShade="F2"/>
          </w:tcPr>
          <w:p w14:paraId="306094A7"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lastRenderedPageBreak/>
              <w:t>MAN3b Is detectability critically time-dependent?</w:t>
            </w:r>
          </w:p>
        </w:tc>
      </w:tr>
      <w:tr w:rsidR="002D7080" w:rsidRPr="004D1E6F" w14:paraId="4E938FE9" w14:textId="77777777" w:rsidTr="002E2C37">
        <w:trPr>
          <w:trHeight w:val="183"/>
        </w:trPr>
        <w:tc>
          <w:tcPr>
            <w:tcW w:w="5240" w:type="dxa"/>
          </w:tcPr>
          <w:p w14:paraId="4C1B4252" w14:textId="77777777" w:rsidR="002D7080" w:rsidRPr="004D1E6F" w:rsidRDefault="002D7080" w:rsidP="002E2C37">
            <w:pPr>
              <w:tabs>
                <w:tab w:val="left" w:pos="1481"/>
              </w:tabs>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2 (yes)</w:t>
            </w:r>
          </w:p>
        </w:tc>
        <w:tc>
          <w:tcPr>
            <w:tcW w:w="3827" w:type="dxa"/>
          </w:tcPr>
          <w:p w14:paraId="4CCC242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63F1D962" w14:textId="77777777" w:rsidTr="002E2C37">
        <w:trPr>
          <w:trHeight w:val="70"/>
        </w:trPr>
        <w:tc>
          <w:tcPr>
            <w:tcW w:w="9067" w:type="dxa"/>
            <w:gridSpan w:val="2"/>
          </w:tcPr>
          <w:p w14:paraId="0E04A9C6" w14:textId="512D6E99"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Procambarus</w:t>
            </w:r>
            <w:r w:rsidRPr="004D1E6F">
              <w:rPr>
                <w:rFonts w:ascii="Times New Roman" w:eastAsia="Times New Roman" w:hAnsi="Times New Roman" w:cs="Times New Roman"/>
                <w:i/>
                <w:iCs/>
                <w:sz w:val="20"/>
                <w:szCs w:val="20"/>
                <w:lang w:eastAsia="en-ZA"/>
              </w:rPr>
              <w:t xml:space="preserve"> clarkii</w:t>
            </w:r>
            <w:r w:rsidRPr="004D1E6F">
              <w:rPr>
                <w:rFonts w:ascii="Times New Roman" w:eastAsia="Times New Roman" w:hAnsi="Times New Roman" w:cs="Times New Roman"/>
                <w:sz w:val="20"/>
                <w:szCs w:val="20"/>
                <w:lang w:eastAsia="en-ZA"/>
              </w:rPr>
              <w:t xml:space="preserve"> can be detected throughout the year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"ITEM-2", "issue" : "4", "issued" : { "date-parts" : [ [ "2017" ] ] }, "page" : "309-323", "title" : "Freshwater crayfish invasions in South Africa: past, present and potential future", "type" : "article-journal", "volume" : "42" }, "uris" : [ "http://www.mendeley.com/documents/?uuid=24d0c78f-506a-4d83-9a91-bd44b82af982" ] }, { "id" : "ITEM-3",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"ITEM-3",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"(de Moor 2002, Nunes et al. 2017b, 2017a)", "plainTextFormattedCitation" : "(de Moor 2002, Nunes et al. 2017b, 2017a)", "previouslyFormattedCitation" : "(de Moor 2002, Nunes et al. 2017b, 2017a)"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w:t>
            </w:r>
            <w:r w:rsidR="008A0BC6">
              <w:rPr>
                <w:rFonts w:ascii="Times New Roman" w:eastAsia="Times New Roman" w:hAnsi="Times New Roman" w:cs="Times New Roman"/>
                <w:sz w:val="20"/>
                <w:szCs w:val="20"/>
                <w:lang w:eastAsia="en-ZA"/>
              </w:rPr>
              <w:t>De Moor</w:t>
            </w:r>
            <w:r w:rsidRPr="004D1E6F">
              <w:rPr>
                <w:rFonts w:ascii="Times New Roman" w:eastAsia="Times New Roman" w:hAnsi="Times New Roman" w:cs="Times New Roman"/>
                <w:sz w:val="20"/>
                <w:szCs w:val="20"/>
                <w:lang w:eastAsia="en-ZA"/>
              </w:rPr>
              <w:t xml:space="preserve"> 2002; Nunes et al. 2017a, 2017b)</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However, freshwater species in general can go undetected for years and the burrowing activities of </w:t>
            </w:r>
            <w:r w:rsidRPr="004D1E6F">
              <w:rPr>
                <w:rFonts w:ascii="Times New Roman" w:eastAsia="Times New Roman" w:hAnsi="Times New Roman" w:cs="Times New Roman"/>
                <w:i/>
                <w:iCs/>
                <w:sz w:val="20"/>
                <w:szCs w:val="20"/>
                <w:lang w:eastAsia="en-ZA"/>
              </w:rPr>
              <w:t xml:space="preserve">P. clarkii </w:t>
            </w:r>
            <w:r w:rsidRPr="004D1E6F">
              <w:rPr>
                <w:rFonts w:ascii="Times New Roman" w:eastAsia="Times New Roman" w:hAnsi="Times New Roman" w:cs="Times New Roman"/>
                <w:sz w:val="20"/>
                <w:szCs w:val="20"/>
                <w:lang w:eastAsia="en-ZA"/>
              </w:rPr>
              <w:t>could further impede detection (Barkhuizen et al. 2022; Nunes et al. 2017a).</w:t>
            </w:r>
          </w:p>
        </w:tc>
      </w:tr>
      <w:tr w:rsidR="002D7080" w:rsidRPr="004D1E6F" w14:paraId="66BDE1A6" w14:textId="77777777" w:rsidTr="002E2C37">
        <w:trPr>
          <w:trHeight w:val="70"/>
        </w:trPr>
        <w:tc>
          <w:tcPr>
            <w:tcW w:w="9067" w:type="dxa"/>
            <w:gridSpan w:val="2"/>
          </w:tcPr>
          <w:p w14:paraId="502D773E" w14:textId="77777777"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7B445BEA" w14:textId="01F5355F"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Barkhuizen, L.M., Madzivanzira, T.C. &amp; South, J., 2022, ‘Population ecology of a wild population of red swamp crayfish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 xml:space="preserve">(Girard, 1852) in the Free State Province, South Africa and implications for eradication efforts’, </w:t>
            </w:r>
            <w:r w:rsidRPr="004D1E6F">
              <w:rPr>
                <w:rFonts w:ascii="Times New Roman" w:eastAsia="Times New Roman" w:hAnsi="Times New Roman" w:cs="Times New Roman"/>
                <w:i/>
                <w:sz w:val="20"/>
                <w:szCs w:val="20"/>
                <w:lang w:eastAsia="en-ZA"/>
              </w:rPr>
              <w:t xml:space="preserve">BioInvasions Records </w:t>
            </w:r>
            <w:r w:rsidRPr="004D1E6F">
              <w:rPr>
                <w:rFonts w:ascii="Times New Roman" w:eastAsia="Times New Roman" w:hAnsi="Times New Roman" w:cs="Times New Roman"/>
                <w:iCs/>
                <w:sz w:val="20"/>
                <w:szCs w:val="20"/>
                <w:lang w:eastAsia="en-ZA"/>
              </w:rPr>
              <w:t>11, 181-191</w:t>
            </w:r>
            <w:r w:rsidRPr="004D1E6F">
              <w:rPr>
                <w:rFonts w:ascii="Times New Roman" w:eastAsia="Times New Roman" w:hAnsi="Times New Roman" w:cs="Times New Roman"/>
                <w:sz w:val="20"/>
                <w:szCs w:val="20"/>
                <w:lang w:eastAsia="en-ZA"/>
              </w:rPr>
              <w:t xml:space="preserve">. </w:t>
            </w:r>
            <w:r w:rsidR="00F46CD5" w:rsidRPr="00F46CD5">
              <w:rPr>
                <w:rFonts w:ascii="Times New Roman" w:eastAsia="Times New Roman" w:hAnsi="Times New Roman" w:cs="Times New Roman"/>
                <w:iCs/>
                <w:sz w:val="20"/>
                <w:szCs w:val="20"/>
                <w:lang w:eastAsia="en-ZA"/>
              </w:rPr>
              <w:t>https://doi.org/10.3391/bir.2022</w:t>
            </w:r>
            <w:r w:rsidR="0096133C">
              <w:rPr>
                <w:rFonts w:ascii="Times New Roman" w:eastAsia="Times New Roman" w:hAnsi="Times New Roman" w:cs="Times New Roman"/>
                <w:iCs/>
                <w:sz w:val="20"/>
                <w:szCs w:val="20"/>
                <w:lang w:eastAsia="en-ZA"/>
              </w:rPr>
              <w:t>.</w:t>
            </w:r>
          </w:p>
          <w:p w14:paraId="08870A69" w14:textId="600697EB" w:rsidR="002D7080" w:rsidRPr="004D1E6F" w:rsidRDefault="008A0BC6" w:rsidP="003635A5">
            <w:pPr>
              <w:ind w:left="720" w:hanging="720"/>
              <w:contextualSpacing/>
              <w:jc w:val="both"/>
              <w:rPr>
                <w:rFonts w:ascii="Times New Roman" w:eastAsia="Times New Roman" w:hAnsi="Times New Roman" w:cs="Times New Roman"/>
                <w:sz w:val="20"/>
                <w:szCs w:val="20"/>
                <w:lang w:eastAsia="en-ZA"/>
              </w:rPr>
            </w:pPr>
            <w:r>
              <w:rPr>
                <w:rFonts w:ascii="Times New Roman" w:eastAsia="Times New Roman" w:hAnsi="Times New Roman" w:cs="Times New Roman"/>
                <w:color w:val="000000"/>
                <w:sz w:val="20"/>
                <w:szCs w:val="20"/>
                <w:lang w:eastAsia="en-ZA"/>
              </w:rPr>
              <w:t>De Moor</w:t>
            </w:r>
            <w:r w:rsidR="002D7080" w:rsidRPr="004D1E6F">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4D1E6F">
              <w:rPr>
                <w:rFonts w:ascii="Times New Roman" w:eastAsia="Times New Roman" w:hAnsi="Times New Roman" w:cs="Times New Roman"/>
                <w:i/>
                <w:color w:val="000000"/>
                <w:sz w:val="20"/>
                <w:szCs w:val="20"/>
                <w:lang w:eastAsia="en-ZA"/>
              </w:rPr>
              <w:t>African Journal of Aquatic Science</w:t>
            </w:r>
            <w:r w:rsidR="002D7080" w:rsidRPr="004D1E6F">
              <w:rPr>
                <w:rFonts w:ascii="Times New Roman" w:eastAsia="Times New Roman" w:hAnsi="Times New Roman" w:cs="Times New Roman"/>
                <w:color w:val="000000"/>
                <w:sz w:val="20"/>
                <w:szCs w:val="20"/>
                <w:lang w:eastAsia="en-ZA"/>
              </w:rPr>
              <w:t xml:space="preserve"> 27, 125–139</w:t>
            </w:r>
            <w:hyperlink r:id="rId598" w:history="1">
              <w:r w:rsidR="00463AB2" w:rsidRPr="00D66918">
                <w:rPr>
                  <w:rStyle w:val="Hyperlink"/>
                  <w:rFonts w:ascii="Times New Roman" w:eastAsia="Times New Roman" w:hAnsi="Times New Roman" w:cs="Times New Roman"/>
                  <w:sz w:val="20"/>
                  <w:szCs w:val="20"/>
                  <w:lang w:eastAsia="en-ZA"/>
                </w:rPr>
                <w:t>https://doi.org/10.2989/16085914.2002.9626584</w:t>
              </w:r>
            </w:hyperlink>
            <w:r w:rsidR="002D7080" w:rsidRPr="004D1E6F">
              <w:rPr>
                <w:rFonts w:ascii="Times New Roman" w:eastAsia="Times New Roman" w:hAnsi="Times New Roman" w:cs="Times New Roman"/>
                <w:sz w:val="20"/>
                <w:szCs w:val="20"/>
                <w:lang w:eastAsia="en-ZA"/>
              </w:rPr>
              <w:t>.</w:t>
            </w:r>
          </w:p>
          <w:p w14:paraId="3FA70EEC" w14:textId="24CBD945"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Hoffman, C.A., Zengeya, T.A., Measey, G.J. &amp; Weyl, O.L.F, 2017a, ‘Red swamp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found in South Africa 22 years after attempted eradication’, </w:t>
            </w:r>
            <w:r w:rsidRPr="004D1E6F">
              <w:rPr>
                <w:rFonts w:ascii="Times New Roman" w:eastAsia="Times New Roman" w:hAnsi="Times New Roman" w:cs="Times New Roman"/>
                <w:i/>
                <w:sz w:val="20"/>
                <w:szCs w:val="20"/>
                <w:lang w:eastAsia="en-ZA"/>
              </w:rPr>
              <w:t>Aquatic Conservation: Marine &amp; Freshwater Ecosystems</w:t>
            </w:r>
            <w:r w:rsidRPr="004D1E6F">
              <w:rPr>
                <w:rFonts w:ascii="Times New Roman" w:eastAsia="Times New Roman" w:hAnsi="Times New Roman" w:cs="Times New Roman"/>
                <w:sz w:val="20"/>
                <w:szCs w:val="20"/>
                <w:lang w:eastAsia="en-ZA"/>
              </w:rPr>
              <w:t xml:space="preserve"> 27, 1334–1340. </w:t>
            </w:r>
            <w:hyperlink r:id="rId599" w:history="1">
              <w:r w:rsidR="00463AB2" w:rsidRPr="00F215B9">
                <w:rPr>
                  <w:rStyle w:val="Hyperlink"/>
                  <w:rFonts w:ascii="Times New Roman" w:eastAsia="Times New Roman" w:hAnsi="Times New Roman" w:cs="Times New Roman"/>
                  <w:bCs/>
                  <w:sz w:val="20"/>
                  <w:szCs w:val="20"/>
                  <w:lang w:eastAsia="en-ZA"/>
                </w:rPr>
                <w:t>https://doi.org/10.1002/aqc.2741</w:t>
              </w:r>
            </w:hyperlink>
            <w:r w:rsidRPr="004D1E6F">
              <w:rPr>
                <w:rFonts w:ascii="Times New Roman" w:hAnsi="Times New Roman" w:cs="Times New Roman"/>
                <w:bCs/>
                <w:sz w:val="20"/>
                <w:szCs w:val="20"/>
              </w:rPr>
              <w:t>.</w:t>
            </w:r>
            <w:r w:rsidR="00463AB2">
              <w:rPr>
                <w:rFonts w:ascii="Times New Roman" w:hAnsi="Times New Roman" w:cs="Times New Roman"/>
                <w:bCs/>
                <w:sz w:val="20"/>
                <w:szCs w:val="20"/>
              </w:rPr>
              <w:t xml:space="preserve"> </w:t>
            </w:r>
          </w:p>
          <w:p w14:paraId="06F45718" w14:textId="0D369D12"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600" w:history="1">
              <w:r w:rsidR="00463AB2" w:rsidRPr="00463AB2">
                <w:rPr>
                  <w:rStyle w:val="Hyperlink"/>
                  <w:rFonts w:ascii="Times New Roman" w:eastAsia="Times New Roman" w:hAnsi="Times New Roman" w:cs="Times New Roman"/>
                  <w:sz w:val="20"/>
                  <w:szCs w:val="20"/>
                  <w:lang w:eastAsia="en-ZA"/>
                </w:rPr>
                <w:t>https://doi.org/10.2989/16085914.2017.1405788</w:t>
              </w:r>
            </w:hyperlink>
            <w:r w:rsidR="00463AB2" w:rsidRPr="00463AB2">
              <w:rPr>
                <w:rFonts w:ascii="Times New Roman" w:eastAsia="Times New Roman" w:hAnsi="Times New Roman" w:cs="Times New Roman"/>
                <w:sz w:val="20"/>
                <w:szCs w:val="20"/>
                <w:lang w:eastAsia="en-ZA"/>
              </w:rPr>
              <w:t>.</w:t>
            </w:r>
          </w:p>
        </w:tc>
      </w:tr>
      <w:tr w:rsidR="002D7080" w:rsidRPr="004D1E6F" w14:paraId="4C926139" w14:textId="77777777" w:rsidTr="002E2C37">
        <w:trPr>
          <w:trHeight w:val="343"/>
        </w:trPr>
        <w:tc>
          <w:tcPr>
            <w:tcW w:w="9067" w:type="dxa"/>
            <w:gridSpan w:val="2"/>
            <w:shd w:val="clear" w:color="auto" w:fill="F2F2F2" w:themeFill="background1" w:themeFillShade="F2"/>
          </w:tcPr>
          <w:p w14:paraId="1D868469"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MAN3c Time to reproduction</w:t>
            </w:r>
          </w:p>
        </w:tc>
      </w:tr>
      <w:tr w:rsidR="002D7080" w:rsidRPr="004D1E6F" w14:paraId="59605F37" w14:textId="77777777" w:rsidTr="002E2C37">
        <w:trPr>
          <w:trHeight w:val="183"/>
        </w:trPr>
        <w:tc>
          <w:tcPr>
            <w:tcW w:w="5240" w:type="dxa"/>
          </w:tcPr>
          <w:p w14:paraId="26A8A09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2 (&lt;1 year) </w:t>
            </w:r>
          </w:p>
        </w:tc>
        <w:tc>
          <w:tcPr>
            <w:tcW w:w="3827" w:type="dxa"/>
          </w:tcPr>
          <w:p w14:paraId="2E24EB37"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4A549633" w14:textId="77777777" w:rsidTr="002E2C37">
        <w:trPr>
          <w:trHeight w:val="70"/>
        </w:trPr>
        <w:tc>
          <w:tcPr>
            <w:tcW w:w="9067" w:type="dxa"/>
            <w:gridSpan w:val="2"/>
          </w:tcPr>
          <w:p w14:paraId="6131B0B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sz w:val="20"/>
                <w:szCs w:val="20"/>
                <w:lang w:eastAsia="en-ZA"/>
              </w:rPr>
              <w:t xml:space="preserve">Procambarus clarkii </w:t>
            </w:r>
            <w:r w:rsidRPr="004D1E6F">
              <w:rPr>
                <w:rFonts w:ascii="Times New Roman" w:eastAsia="Times New Roman" w:hAnsi="Times New Roman" w:cs="Times New Roman"/>
                <w:sz w:val="20"/>
                <w:szCs w:val="20"/>
                <w:lang w:eastAsia="en-ZA"/>
              </w:rPr>
              <w:t xml:space="preserve">is a prolific breeder, reaching sexual maturity in three months (or once individuals reach six to 13 cm in length) and it can spawn twice a year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"10.1023/A:1010009701606", "ISBN" : "1387-3547", "ISSN" : "13873547", "abstract" : "Crayfish have been moved outside their natural ranges through different mechanisms, either natural, such as migrations, accidental, such as escape from holding facilities, or deliberate, by humans. Several crayfish species (mostly North American Orconectes limosus,\\n", "author" : [ { "dropping-particle" : "", "family" : "Barbaresi", "given" : "Silvia", "non-dropping-particle" : "", "parse-names" : false, "suffix" : "" }, { "dropping-particle" : "", "family" : "Gherardi", "given" : "Francesca", "non-dropping-particle" : "", "parse-names" : false, "suffix" : "" } ], "container-title" : "Biological Invasions", "id" : "ITEM-1", "issue" : "3", "issued" : { "date-parts" : [ [ "2000" ] ] }, "page" : "259-264", "title" : "The invasion of the alien crayfish Procambarus clarkii in Europe, with particular reference to Italy", "type" : "article-journal", "volume" : "2" }, "uris" : [ "http://www.mendeley.com/documents/?uuid=02a73c13-8fd7-45f2-be7b-ee95c51b9a44" ] } ], "mendeley" : { "formattedCitation" : "(Barbaresi &amp; Gherardi 2000)", "manualFormatting" : "(Ackefors 1999, Barbaresi &amp; Gherardi 2000)", "plainTextFormattedCitation" : "(Barbaresi &amp; Gherardi 2000)", "previouslyFormattedCitation" : "(Barbaresi &amp; Gherardi 2000)"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(Ackefors 1999; Barbaresi &amp; Gherardi 2000)</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Females display parental care with newly born individuals staying with the mother in burrows up to two moult cycles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"10.1023/A:1010009701606", "ISBN" : "1387-3547", "ISSN" : "13873547", "abstract" : "Crayfish have been moved outside their natural ranges through different mechanisms, either natural, such as migrations, accidental, such as escape from holding facilities, or deliberate, by humans. Several crayfish species (mostly North American Orconectes limosus,\\n", "author" : [ { "dropping-particle" : "", "family" : "Barbaresi", "given" : "Silvia", "non-dropping-particle" : "", "parse-names" : false, "suffix" : "" }, { "dropping-particle" : "", "family" : "Gherardi", "given" : "Francesca", "non-dropping-particle" : "", "parse-names" : false, "suffix" : "" } ], "container-title" : "Biological Invasions", "id" : "ITEM-1", "issue" : "3", "issued" : { "date-parts" : [ [ "2000" ] ] }, "page" : "259-264", "title" : "The invasion of the alien crayfish Procambarus clarkii in Europe, with particular reference to Italy", "type" : "article-journal", "volume" : "2" }, "uris" : [ "http://www.mendeley.com/documents/?uuid=02a73c13-8fd7-45f2-be7b-ee95c51b9a44" ] } ], "mendeley" : { "formattedCitation" : "(Barbaresi &amp; Gherardi 2000)", "plainTextFormattedCitation" : "(Barbaresi &amp; Gherardi 2000)", "previouslyFormattedCitation" : "(Barbaresi &amp; Gherardi 2000)"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(Barbaresi &amp; Gherardi 2000)</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w:t>
            </w:r>
          </w:p>
        </w:tc>
      </w:tr>
      <w:tr w:rsidR="002D7080" w:rsidRPr="004D1E6F" w14:paraId="675AD219" w14:textId="77777777" w:rsidTr="002E2C37">
        <w:trPr>
          <w:trHeight w:val="70"/>
        </w:trPr>
        <w:tc>
          <w:tcPr>
            <w:tcW w:w="9067" w:type="dxa"/>
            <w:gridSpan w:val="2"/>
          </w:tcPr>
          <w:p w14:paraId="2A12EDD5"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333ACCE9" w14:textId="77777777" w:rsidR="002D7080" w:rsidRPr="004D1E6F" w:rsidRDefault="002D7080" w:rsidP="00C52CC6">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Ackefors, H., 1999, ‘The positive effects of established crayfish introductions in Europe’, In” Gherardi, F. &amp; Holdich, D.M. (eds.), </w:t>
            </w:r>
            <w:r w:rsidRPr="004D1E6F">
              <w:rPr>
                <w:rFonts w:ascii="Times New Roman" w:eastAsia="Times New Roman" w:hAnsi="Times New Roman" w:cs="Times New Roman"/>
                <w:i/>
                <w:iCs/>
                <w:sz w:val="20"/>
                <w:szCs w:val="20"/>
                <w:lang w:eastAsia="en-ZA"/>
              </w:rPr>
              <w:t xml:space="preserve">Crustacean Issues 11: ‘Crayfish in Europe as Alien Species (How to make the best of a bad situation?)’, </w:t>
            </w:r>
            <w:r w:rsidRPr="004D1E6F">
              <w:rPr>
                <w:rFonts w:ascii="Times New Roman" w:eastAsia="Times New Roman" w:hAnsi="Times New Roman" w:cs="Times New Roman"/>
                <w:sz w:val="20"/>
                <w:szCs w:val="20"/>
                <w:lang w:eastAsia="en-ZA"/>
              </w:rPr>
              <w:t>pp. 49–62, A.A. Balkema, Rotterdam, Netherlands.</w:t>
            </w:r>
          </w:p>
          <w:p w14:paraId="71D3D9E3" w14:textId="7D326AD6" w:rsidR="002D7080" w:rsidRPr="004D1E6F" w:rsidRDefault="002D7080" w:rsidP="00C52CC6">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Barbaresi, S &amp; Gherardi, F., 2000, ‘The invasion of the alien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in Europe, with particular reference to Italy’, </w:t>
            </w:r>
            <w:r w:rsidRPr="004D1E6F">
              <w:rPr>
                <w:rFonts w:ascii="Times New Roman" w:eastAsia="Times New Roman" w:hAnsi="Times New Roman" w:cs="Times New Roman"/>
                <w:i/>
                <w:iCs/>
                <w:sz w:val="20"/>
                <w:szCs w:val="20"/>
                <w:lang w:eastAsia="en-ZA"/>
              </w:rPr>
              <w:t xml:space="preserve">Biological Invasions </w:t>
            </w:r>
            <w:r w:rsidRPr="004D1E6F">
              <w:rPr>
                <w:rFonts w:ascii="Times New Roman" w:eastAsia="Times New Roman" w:hAnsi="Times New Roman" w:cs="Times New Roman"/>
                <w:sz w:val="20"/>
                <w:szCs w:val="20"/>
                <w:lang w:eastAsia="en-ZA"/>
              </w:rPr>
              <w:t xml:space="preserve">2, 259–264. </w:t>
            </w:r>
          </w:p>
        </w:tc>
      </w:tr>
      <w:tr w:rsidR="002D7080" w:rsidRPr="004D1E6F" w14:paraId="4AAFABEB" w14:textId="77777777" w:rsidTr="002E2C37">
        <w:trPr>
          <w:trHeight w:val="343"/>
        </w:trPr>
        <w:tc>
          <w:tcPr>
            <w:tcW w:w="9067" w:type="dxa"/>
            <w:gridSpan w:val="2"/>
            <w:shd w:val="clear" w:color="auto" w:fill="F2F2F2" w:themeFill="background1" w:themeFillShade="F2"/>
          </w:tcPr>
          <w:p w14:paraId="223AF402"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MAN3d Propagule persistence</w:t>
            </w:r>
          </w:p>
        </w:tc>
      </w:tr>
      <w:tr w:rsidR="002D7080" w:rsidRPr="004D1E6F" w14:paraId="1E745581" w14:textId="77777777" w:rsidTr="002E2C37">
        <w:trPr>
          <w:trHeight w:val="183"/>
        </w:trPr>
        <w:tc>
          <w:tcPr>
            <w:tcW w:w="5240" w:type="dxa"/>
          </w:tcPr>
          <w:p w14:paraId="5063433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0 (&lt;1 year)</w:t>
            </w:r>
          </w:p>
        </w:tc>
        <w:tc>
          <w:tcPr>
            <w:tcW w:w="3827" w:type="dxa"/>
          </w:tcPr>
          <w:p w14:paraId="0B17787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6F0A1482" w14:textId="77777777" w:rsidTr="002E2C37">
        <w:trPr>
          <w:trHeight w:val="195"/>
        </w:trPr>
        <w:tc>
          <w:tcPr>
            <w:tcW w:w="9067" w:type="dxa"/>
            <w:gridSpan w:val="2"/>
          </w:tcPr>
          <w:p w14:paraId="7000F02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i/>
                <w:iCs/>
                <w:sz w:val="20"/>
                <w:szCs w:val="20"/>
                <w:lang w:eastAsia="en-ZA"/>
              </w:rPr>
              <w:t>Procambarus clarkii</w:t>
            </w:r>
            <w:r w:rsidRPr="004D1E6F">
              <w:rPr>
                <w:rFonts w:ascii="Times New Roman" w:eastAsia="Times New Roman" w:hAnsi="Times New Roman" w:cs="Times New Roman"/>
                <w:sz w:val="20"/>
                <w:szCs w:val="20"/>
                <w:lang w:eastAsia="en-ZA"/>
              </w:rPr>
              <w:t xml:space="preserve"> is solely an r-strategist with a short lifespan with multiple spawning events (Huner &amp; Barr 1991; Loureiro et al. 2015). The number of eggs laid is usually determined by the size of female.  A female can produce up to 500 eggs and hatchlings hang under the female's tail for many weeks until they can feed on their own (Loureiro et al. 2015).</w:t>
            </w:r>
          </w:p>
        </w:tc>
      </w:tr>
      <w:tr w:rsidR="002D7080" w:rsidRPr="004D1E6F" w14:paraId="17A14100" w14:textId="77777777" w:rsidTr="002E2C37">
        <w:trPr>
          <w:trHeight w:val="99"/>
        </w:trPr>
        <w:tc>
          <w:tcPr>
            <w:tcW w:w="9067" w:type="dxa"/>
            <w:gridSpan w:val="2"/>
          </w:tcPr>
          <w:p w14:paraId="70C1A14E" w14:textId="77777777"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4F5624B2" w14:textId="77777777"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Huner, J.V. &amp; Barr, J.E., 1991, </w:t>
            </w:r>
            <w:r w:rsidRPr="004D1E6F">
              <w:rPr>
                <w:rFonts w:ascii="Times New Roman" w:eastAsia="Times New Roman" w:hAnsi="Times New Roman" w:cs="Times New Roman"/>
                <w:i/>
                <w:iCs/>
                <w:sz w:val="20"/>
                <w:szCs w:val="20"/>
                <w:lang w:eastAsia="en-ZA"/>
              </w:rPr>
              <w:t>Red swamp crayfish, biology, and exploitation (3rd ed)</w:t>
            </w:r>
            <w:r w:rsidRPr="004D1E6F">
              <w:rPr>
                <w:rFonts w:ascii="Times New Roman" w:eastAsia="Times New Roman" w:hAnsi="Times New Roman" w:cs="Times New Roman"/>
                <w:sz w:val="20"/>
                <w:szCs w:val="20"/>
                <w:lang w:eastAsia="en-ZA"/>
              </w:rPr>
              <w:t>, Louisiana State University, Baton Rouge, Louisiana, USA</w:t>
            </w:r>
          </w:p>
          <w:p w14:paraId="36CAA824" w14:textId="53DBD78F" w:rsidR="002D7080" w:rsidRPr="00A96F79" w:rsidRDefault="002D7080" w:rsidP="003635A5">
            <w:pPr>
              <w:ind w:left="720" w:hanging="720"/>
              <w:contextualSpacing/>
              <w:jc w:val="both"/>
              <w:rPr>
                <w:rFonts w:ascii="Times New Roman" w:eastAsia="Times New Roman" w:hAnsi="Times New Roman" w:cs="Times New Roman"/>
                <w:iCs/>
                <w:sz w:val="20"/>
                <w:szCs w:val="20"/>
                <w:lang w:eastAsia="en-ZA"/>
              </w:rPr>
            </w:pPr>
            <w:r w:rsidRPr="004D1E6F">
              <w:rPr>
                <w:rFonts w:ascii="Times New Roman" w:eastAsia="Times New Roman" w:hAnsi="Times New Roman" w:cs="Times New Roman"/>
                <w:sz w:val="20"/>
                <w:szCs w:val="20"/>
                <w:lang w:eastAsia="en-ZA"/>
              </w:rPr>
              <w:lastRenderedPageBreak/>
              <w:t>Loureiro, T.G., Anastácio, P.M.S.G., Araujo, P.B., Souty-Grosset, C. &amp; Almerão, M.P., 2015, ‘Red swamp crayfish: biology, ecology and invasion–an overview’, </w:t>
            </w:r>
            <w:r w:rsidRPr="004D1E6F">
              <w:rPr>
                <w:rFonts w:ascii="Times New Roman" w:eastAsia="Times New Roman" w:hAnsi="Times New Roman" w:cs="Times New Roman"/>
                <w:i/>
                <w:iCs/>
                <w:sz w:val="20"/>
                <w:szCs w:val="20"/>
                <w:lang w:eastAsia="en-ZA"/>
              </w:rPr>
              <w:t xml:space="preserve">Nauplius </w:t>
            </w:r>
            <w:r w:rsidRPr="004D1E6F">
              <w:rPr>
                <w:rFonts w:ascii="Times New Roman" w:eastAsia="Times New Roman" w:hAnsi="Times New Roman" w:cs="Times New Roman"/>
                <w:sz w:val="20"/>
                <w:szCs w:val="20"/>
                <w:lang w:eastAsia="en-ZA"/>
              </w:rPr>
              <w:t xml:space="preserve">23(1), 1–19. </w:t>
            </w:r>
            <w:hyperlink r:id="rId601" w:history="1">
              <w:r w:rsidR="00463AB2" w:rsidRPr="00463AB2">
                <w:rPr>
                  <w:rStyle w:val="Hyperlink"/>
                  <w:rFonts w:ascii="Times New Roman" w:eastAsia="Times New Roman" w:hAnsi="Times New Roman" w:cs="Times New Roman"/>
                  <w:iCs/>
                  <w:sz w:val="20"/>
                  <w:szCs w:val="20"/>
                  <w:lang w:eastAsia="en-ZA"/>
                </w:rPr>
                <w:t>https://doi.org/10.1590/S0104-64972014002214</w:t>
              </w:r>
            </w:hyperlink>
            <w:r w:rsidR="00A96F79">
              <w:rPr>
                <w:rFonts w:ascii="Times New Roman" w:eastAsia="Times New Roman" w:hAnsi="Times New Roman" w:cs="Times New Roman"/>
                <w:sz w:val="20"/>
                <w:szCs w:val="20"/>
                <w:lang w:eastAsia="en-ZA"/>
              </w:rPr>
              <w:t>.</w:t>
            </w:r>
          </w:p>
        </w:tc>
      </w:tr>
      <w:tr w:rsidR="002D7080" w:rsidRPr="004D1E6F" w14:paraId="6D6B0D05" w14:textId="77777777" w:rsidTr="002E2C37">
        <w:trPr>
          <w:trHeight w:val="343"/>
        </w:trPr>
        <w:tc>
          <w:tcPr>
            <w:tcW w:w="9067" w:type="dxa"/>
            <w:gridSpan w:val="2"/>
            <w:shd w:val="clear" w:color="auto" w:fill="F2F2F2" w:themeFill="background1" w:themeFillShade="F2"/>
          </w:tcPr>
          <w:p w14:paraId="20476143"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lastRenderedPageBreak/>
              <w:t xml:space="preserve">MAN3 Ease of management </w:t>
            </w:r>
          </w:p>
        </w:tc>
      </w:tr>
      <w:tr w:rsidR="002D7080" w:rsidRPr="004D1E6F" w14:paraId="34ED6AD3" w14:textId="77777777" w:rsidTr="002E2C37">
        <w:trPr>
          <w:trHeight w:val="172"/>
        </w:trPr>
        <w:tc>
          <w:tcPr>
            <w:tcW w:w="5240" w:type="dxa"/>
          </w:tcPr>
          <w:p w14:paraId="3EDF762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Difficult </w:t>
            </w:r>
          </w:p>
        </w:tc>
        <w:tc>
          <w:tcPr>
            <w:tcW w:w="3827" w:type="dxa"/>
          </w:tcPr>
          <w:p w14:paraId="1DC54B7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010376F7" w14:textId="77777777" w:rsidTr="002E2C37">
        <w:trPr>
          <w:trHeight w:val="70"/>
        </w:trPr>
        <w:tc>
          <w:tcPr>
            <w:tcW w:w="9067" w:type="dxa"/>
            <w:gridSpan w:val="2"/>
          </w:tcPr>
          <w:p w14:paraId="132802E3" w14:textId="77777777" w:rsidR="002D7080" w:rsidRPr="004D1E6F" w:rsidRDefault="002D7080" w:rsidP="002E2C37">
            <w:pPr>
              <w:jc w:val="both"/>
              <w:rPr>
                <w:rFonts w:ascii="Times New Roman" w:hAnsi="Times New Roman" w:cs="Times New Roman"/>
              </w:rPr>
            </w:pPr>
            <w:r w:rsidRPr="004D1E6F">
              <w:rPr>
                <w:rFonts w:ascii="Times New Roman" w:eastAsia="Times New Roman" w:hAnsi="Times New Roman" w:cs="Times New Roman"/>
                <w:sz w:val="20"/>
                <w:szCs w:val="20"/>
                <w:lang w:eastAsia="en-ZA"/>
              </w:rPr>
              <w:t xml:space="preserve">Rationale: </w:t>
            </w:r>
            <w:r w:rsidRPr="004D1E6F">
              <w:rPr>
                <w:rFonts w:ascii="Times New Roman" w:hAnsi="Times New Roman" w:cs="Times New Roman"/>
                <w:sz w:val="20"/>
                <w:szCs w:val="20"/>
              </w:rPr>
              <w:t xml:space="preserve">It is difficult to detect and access </w:t>
            </w:r>
            <w:r w:rsidRPr="004D1E6F">
              <w:rPr>
                <w:rFonts w:ascii="Times New Roman" w:hAnsi="Times New Roman" w:cs="Times New Roman"/>
                <w:i/>
                <w:sz w:val="20"/>
                <w:szCs w:val="20"/>
              </w:rPr>
              <w:t>P. clarkia</w:t>
            </w:r>
            <w:r w:rsidRPr="004D1E6F">
              <w:rPr>
                <w:rFonts w:ascii="Times New Roman" w:hAnsi="Times New Roman" w:cs="Times New Roman"/>
                <w:iCs/>
                <w:sz w:val="20"/>
                <w:szCs w:val="20"/>
              </w:rPr>
              <w:t xml:space="preserve"> individuals and populations</w:t>
            </w:r>
            <w:r w:rsidRPr="004D1E6F">
              <w:rPr>
                <w:rFonts w:ascii="Times New Roman" w:hAnsi="Times New Roman" w:cs="Times New Roman"/>
                <w:i/>
                <w:sz w:val="20"/>
                <w:szCs w:val="20"/>
              </w:rPr>
              <w:t xml:space="preserve">. </w:t>
            </w:r>
            <w:r w:rsidRPr="004D1E6F">
              <w:rPr>
                <w:rFonts w:ascii="Times New Roman" w:hAnsi="Times New Roman" w:cs="Times New Roman"/>
                <w:iCs/>
                <w:sz w:val="20"/>
                <w:szCs w:val="20"/>
              </w:rPr>
              <w:t xml:space="preserve">Moreover, </w:t>
            </w:r>
            <w:r w:rsidRPr="004D1E6F">
              <w:rPr>
                <w:rFonts w:ascii="Times New Roman" w:hAnsi="Times New Roman" w:cs="Times New Roman"/>
                <w:sz w:val="20"/>
                <w:szCs w:val="20"/>
              </w:rPr>
              <w:t xml:space="preserve">the burrowing behaviour of </w:t>
            </w:r>
            <w:r w:rsidRPr="004D1E6F">
              <w:rPr>
                <w:rFonts w:ascii="Times New Roman" w:hAnsi="Times New Roman" w:cs="Times New Roman"/>
                <w:i/>
                <w:iCs/>
                <w:sz w:val="20"/>
                <w:szCs w:val="20"/>
              </w:rPr>
              <w:t>P. clarkii</w:t>
            </w:r>
            <w:r w:rsidRPr="004D1E6F">
              <w:rPr>
                <w:rFonts w:ascii="Times New Roman" w:hAnsi="Times New Roman" w:cs="Times New Roman"/>
                <w:sz w:val="20"/>
                <w:szCs w:val="20"/>
              </w:rPr>
              <w:t xml:space="preserve"> complicates management.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also has a short life span of one to two years with multiple spawning events (Huner &amp; Barr 1991; Loureiro et al. 2015; Vogt 2012). Females can lay up to 500 eggs that remain under the females’ tail for weeks until they are able to feed on their own (Loureiro et al. 2015).</w:t>
            </w:r>
          </w:p>
        </w:tc>
      </w:tr>
      <w:tr w:rsidR="002D7080" w:rsidRPr="004D1E6F" w14:paraId="4126A303" w14:textId="77777777" w:rsidTr="002E2C37">
        <w:trPr>
          <w:trHeight w:val="70"/>
        </w:trPr>
        <w:tc>
          <w:tcPr>
            <w:tcW w:w="9067" w:type="dxa"/>
            <w:gridSpan w:val="2"/>
          </w:tcPr>
          <w:p w14:paraId="7CF7938E" w14:textId="77777777" w:rsidR="002D7080" w:rsidRPr="004D1E6F" w:rsidRDefault="002D7080" w:rsidP="002E2C37">
            <w:pPr>
              <w:ind w:left="720" w:hanging="720"/>
              <w:contextualSpacing/>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40E4A6C6" w14:textId="77777777"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Huner, J.V. &amp; Barr, J.E., 1991, </w:t>
            </w:r>
            <w:r w:rsidRPr="004D1E6F">
              <w:rPr>
                <w:rFonts w:ascii="Times New Roman" w:eastAsia="Times New Roman" w:hAnsi="Times New Roman" w:cs="Times New Roman"/>
                <w:i/>
                <w:iCs/>
                <w:sz w:val="20"/>
                <w:szCs w:val="20"/>
                <w:lang w:eastAsia="en-ZA"/>
              </w:rPr>
              <w:t>Red swamp crayfish, biology, and exploitation (3rd ed)</w:t>
            </w:r>
            <w:r w:rsidRPr="004D1E6F">
              <w:rPr>
                <w:rFonts w:ascii="Times New Roman" w:eastAsia="Times New Roman" w:hAnsi="Times New Roman" w:cs="Times New Roman"/>
                <w:sz w:val="20"/>
                <w:szCs w:val="20"/>
                <w:lang w:eastAsia="en-ZA"/>
              </w:rPr>
              <w:t>, Louisiana State University, Baton Rouge, Louisiana, USA</w:t>
            </w:r>
          </w:p>
          <w:p w14:paraId="1EDEC66F" w14:textId="774EDD93" w:rsidR="002D7080" w:rsidRPr="00A96F79" w:rsidRDefault="002D7080" w:rsidP="003635A5">
            <w:pPr>
              <w:ind w:left="720" w:hanging="720"/>
              <w:contextualSpacing/>
              <w:jc w:val="both"/>
              <w:rPr>
                <w:rFonts w:ascii="Times New Roman" w:eastAsia="Times New Roman" w:hAnsi="Times New Roman" w:cs="Times New Roman"/>
                <w:iCs/>
                <w:sz w:val="20"/>
                <w:szCs w:val="20"/>
                <w:lang w:eastAsia="en-ZA"/>
              </w:rPr>
            </w:pPr>
            <w:r w:rsidRPr="004D1E6F">
              <w:rPr>
                <w:rFonts w:ascii="Times New Roman" w:eastAsia="Times New Roman" w:hAnsi="Times New Roman" w:cs="Times New Roman"/>
                <w:sz w:val="20"/>
                <w:szCs w:val="20"/>
                <w:lang w:eastAsia="en-ZA"/>
              </w:rPr>
              <w:t>Loureiro, T.G., Anastácio, P.M.S.G., Araujo, P.B., Souty-Grosset, C. &amp; Almerão, M.P., 2015, ‘Red swamp crayfish: biology, ecology and invasion–an overview’, </w:t>
            </w:r>
            <w:r w:rsidRPr="004D1E6F">
              <w:rPr>
                <w:rFonts w:ascii="Times New Roman" w:eastAsia="Times New Roman" w:hAnsi="Times New Roman" w:cs="Times New Roman"/>
                <w:i/>
                <w:iCs/>
                <w:sz w:val="20"/>
                <w:szCs w:val="20"/>
                <w:lang w:eastAsia="en-ZA"/>
              </w:rPr>
              <w:t xml:space="preserve">Nauplius </w:t>
            </w:r>
            <w:r w:rsidRPr="004D1E6F">
              <w:rPr>
                <w:rFonts w:ascii="Times New Roman" w:eastAsia="Times New Roman" w:hAnsi="Times New Roman" w:cs="Times New Roman"/>
                <w:sz w:val="20"/>
                <w:szCs w:val="20"/>
                <w:lang w:eastAsia="en-ZA"/>
              </w:rPr>
              <w:t xml:space="preserve">23(1), 1–19. </w:t>
            </w:r>
            <w:hyperlink r:id="rId602" w:history="1">
              <w:r w:rsidR="00463AB2" w:rsidRPr="00463AB2">
                <w:rPr>
                  <w:rStyle w:val="Hyperlink"/>
                  <w:rFonts w:ascii="Times New Roman" w:eastAsia="Times New Roman" w:hAnsi="Times New Roman" w:cs="Times New Roman"/>
                  <w:iCs/>
                  <w:sz w:val="20"/>
                  <w:szCs w:val="20"/>
                  <w:lang w:eastAsia="en-ZA"/>
                </w:rPr>
                <w:t>https://doi.org/10.1590/S0104-64972014002214</w:t>
              </w:r>
            </w:hyperlink>
            <w:r w:rsidR="00A96F79">
              <w:rPr>
                <w:rFonts w:ascii="Times New Roman" w:eastAsia="Times New Roman" w:hAnsi="Times New Roman" w:cs="Times New Roman"/>
                <w:sz w:val="20"/>
                <w:szCs w:val="20"/>
                <w:lang w:eastAsia="en-ZA"/>
              </w:rPr>
              <w:t>.</w:t>
            </w:r>
          </w:p>
          <w:p w14:paraId="636F5542" w14:textId="03348559" w:rsidR="002D7080" w:rsidRPr="004D1E6F" w:rsidRDefault="002D7080" w:rsidP="003635A5">
            <w:pPr>
              <w:ind w:left="720" w:hanging="720"/>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Vogt, G., 2012, ‘Ageing and longevity in the Decapoda (Crustacea): A review, Zoologischer Anzeiger’, </w:t>
            </w:r>
            <w:r w:rsidRPr="004D1E6F">
              <w:rPr>
                <w:rFonts w:ascii="Times New Roman" w:eastAsia="Times New Roman" w:hAnsi="Times New Roman" w:cs="Times New Roman"/>
                <w:i/>
                <w:iCs/>
                <w:sz w:val="20"/>
                <w:szCs w:val="20"/>
                <w:lang w:eastAsia="en-ZA"/>
              </w:rPr>
              <w:t>A Journal of Comparative Zoology</w:t>
            </w:r>
            <w:r w:rsidRPr="004D1E6F">
              <w:rPr>
                <w:rFonts w:ascii="Times New Roman" w:eastAsia="Times New Roman" w:hAnsi="Times New Roman" w:cs="Times New Roman"/>
                <w:sz w:val="20"/>
                <w:szCs w:val="20"/>
                <w:lang w:eastAsia="en-ZA"/>
              </w:rPr>
              <w:t xml:space="preserve"> 251, 1–25</w:t>
            </w:r>
            <w:r w:rsidR="00463AB2">
              <w:t xml:space="preserve"> </w:t>
            </w:r>
            <w:r w:rsidR="00463AB2" w:rsidRPr="00463AB2">
              <w:rPr>
                <w:rFonts w:ascii="Times New Roman" w:eastAsia="Times New Roman" w:hAnsi="Times New Roman" w:cs="Times New Roman"/>
                <w:sz w:val="20"/>
                <w:szCs w:val="20"/>
                <w:lang w:eastAsia="en-ZA"/>
              </w:rPr>
              <w:t>https://doi.org/10.1016/j.jcz.2011.05.003</w:t>
            </w:r>
            <w:r w:rsidRPr="004D1E6F">
              <w:rPr>
                <w:rFonts w:ascii="Times New Roman" w:eastAsia="Times New Roman" w:hAnsi="Times New Roman" w:cs="Times New Roman"/>
                <w:sz w:val="20"/>
                <w:szCs w:val="20"/>
                <w:lang w:eastAsia="en-ZA"/>
              </w:rPr>
              <w:t>.</w:t>
            </w:r>
            <w:r w:rsidR="00463AB2">
              <w:rPr>
                <w:rFonts w:ascii="Times New Roman" w:eastAsia="Times New Roman" w:hAnsi="Times New Roman" w:cs="Times New Roman"/>
                <w:sz w:val="20"/>
                <w:szCs w:val="20"/>
                <w:lang w:eastAsia="en-ZA"/>
              </w:rPr>
              <w:t xml:space="preserve"> </w:t>
            </w:r>
          </w:p>
        </w:tc>
      </w:tr>
    </w:tbl>
    <w:p w14:paraId="0248825C" w14:textId="77777777" w:rsidR="002D7080" w:rsidRPr="004D1E6F" w:rsidRDefault="002D7080" w:rsidP="002D7080">
      <w:pPr>
        <w:spacing w:after="0" w:line="240" w:lineRule="auto"/>
        <w:contextualSpacing/>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5240"/>
        <w:gridCol w:w="3827"/>
      </w:tblGrid>
      <w:tr w:rsidR="002D7080" w:rsidRPr="004D1E6F" w14:paraId="32F6290A" w14:textId="77777777" w:rsidTr="002E2C37">
        <w:trPr>
          <w:trHeight w:val="343"/>
        </w:trPr>
        <w:tc>
          <w:tcPr>
            <w:tcW w:w="9067" w:type="dxa"/>
            <w:gridSpan w:val="2"/>
            <w:shd w:val="clear" w:color="auto" w:fill="F2F2F2" w:themeFill="background1" w:themeFillShade="F2"/>
          </w:tcPr>
          <w:p w14:paraId="32BDB5DA"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MAN4 Has the feasibility of eradication been evaluated?</w:t>
            </w:r>
          </w:p>
        </w:tc>
      </w:tr>
      <w:tr w:rsidR="002D7080" w:rsidRPr="004D1E6F" w14:paraId="23325FBE" w14:textId="77777777" w:rsidTr="002E2C37">
        <w:trPr>
          <w:trHeight w:val="172"/>
        </w:trPr>
        <w:tc>
          <w:tcPr>
            <w:tcW w:w="5240" w:type="dxa"/>
          </w:tcPr>
          <w:p w14:paraId="289141FF" w14:textId="77777777" w:rsidR="002D7080" w:rsidRPr="004D1E6F" w:rsidRDefault="002D7080" w:rsidP="002E2C37">
            <w:pPr>
              <w:tabs>
                <w:tab w:val="left" w:pos="1589"/>
              </w:tabs>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No</w:t>
            </w:r>
            <w:r w:rsidRPr="004D1E6F">
              <w:rPr>
                <w:rFonts w:ascii="Times New Roman" w:eastAsia="Times New Roman" w:hAnsi="Times New Roman" w:cs="Times New Roman"/>
                <w:sz w:val="20"/>
                <w:szCs w:val="20"/>
                <w:lang w:eastAsia="en-ZA"/>
              </w:rPr>
              <w:tab/>
            </w:r>
          </w:p>
        </w:tc>
        <w:tc>
          <w:tcPr>
            <w:tcW w:w="3827" w:type="dxa"/>
          </w:tcPr>
          <w:p w14:paraId="679D938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4A3288D3" w14:textId="77777777" w:rsidTr="002E2C37">
        <w:trPr>
          <w:trHeight w:val="70"/>
        </w:trPr>
        <w:tc>
          <w:tcPr>
            <w:tcW w:w="9067" w:type="dxa"/>
            <w:gridSpan w:val="2"/>
          </w:tcPr>
          <w:p w14:paraId="5E8FB57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No formal eradication study has been conducted for </w:t>
            </w:r>
            <w:r w:rsidRPr="004D1E6F">
              <w:rPr>
                <w:rFonts w:ascii="Times New Roman" w:eastAsia="Times New Roman" w:hAnsi="Times New Roman" w:cs="Times New Roman"/>
                <w:i/>
                <w:iCs/>
                <w:sz w:val="20"/>
                <w:szCs w:val="20"/>
                <w:lang w:eastAsia="en-ZA"/>
              </w:rPr>
              <w:t xml:space="preserve">P. clarkii </w:t>
            </w:r>
            <w:r w:rsidRPr="004D1E6F">
              <w:rPr>
                <w:rFonts w:ascii="Times New Roman" w:eastAsia="Times New Roman" w:hAnsi="Times New Roman" w:cs="Times New Roman"/>
                <w:sz w:val="20"/>
                <w:szCs w:val="20"/>
                <w:lang w:eastAsia="en-ZA"/>
              </w:rPr>
              <w:t xml:space="preserve">in South Africa. </w:t>
            </w:r>
            <w:r w:rsidRPr="004D1E6F">
              <w:rPr>
                <w:rFonts w:ascii="Times New Roman" w:eastAsia="Times New Roman" w:hAnsi="Times New Roman" w:cs="Times New Roman"/>
                <w:iCs/>
                <w:sz w:val="20"/>
                <w:szCs w:val="20"/>
                <w:lang w:eastAsia="en-ZA"/>
              </w:rPr>
              <w:t>However,</w:t>
            </w:r>
            <w:r w:rsidRPr="004D1E6F">
              <w:rPr>
                <w:rFonts w:ascii="Times New Roman" w:eastAsia="Times New Roman" w:hAnsi="Times New Roman" w:cs="Times New Roman"/>
                <w:i/>
                <w:sz w:val="20"/>
                <w:szCs w:val="20"/>
                <w:lang w:eastAsia="en-ZA"/>
              </w:rPr>
              <w:t xml:space="preserve"> </w:t>
            </w:r>
            <w:r w:rsidRPr="004D1E6F">
              <w:rPr>
                <w:rFonts w:ascii="Times New Roman" w:eastAsia="Times New Roman" w:hAnsi="Times New Roman" w:cs="Times New Roman"/>
                <w:sz w:val="20"/>
                <w:szCs w:val="20"/>
                <w:lang w:eastAsia="en-ZA"/>
              </w:rPr>
              <w:t xml:space="preserve">an attempt at eradication was conducted 22 years ago at the Driehoek Farm—this was not successful and the method used remains unknown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"ITEM-1",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"(Nunes et al. 2017a)", "plainTextFormattedCitation" : "(Nunes et al. 2017a)", "previouslyFormattedCitation" : "(Nunes et al. 2017a)"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2017a)</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w:t>
            </w:r>
          </w:p>
        </w:tc>
      </w:tr>
      <w:tr w:rsidR="002D7080" w:rsidRPr="004D1E6F" w14:paraId="658263B7" w14:textId="77777777" w:rsidTr="002E2C37">
        <w:trPr>
          <w:trHeight w:val="203"/>
        </w:trPr>
        <w:tc>
          <w:tcPr>
            <w:tcW w:w="9067" w:type="dxa"/>
            <w:gridSpan w:val="2"/>
          </w:tcPr>
          <w:p w14:paraId="0FB7EFA1"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1E70B953" w14:textId="31779C75" w:rsidR="002D7080" w:rsidRPr="004D1E6F" w:rsidRDefault="002D7080" w:rsidP="003635A5">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Nunes, A.L., Hoffman, C.A., Zengeya, T.A., Measey, G.J. &amp; Weyl, O.L.F, 2017a, ‘Red swamp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found in South Africa 22 years after attempted eradication’, </w:t>
            </w:r>
            <w:r w:rsidRPr="004D1E6F">
              <w:rPr>
                <w:rFonts w:ascii="Times New Roman" w:eastAsia="Times New Roman" w:hAnsi="Times New Roman" w:cs="Times New Roman"/>
                <w:i/>
                <w:sz w:val="20"/>
                <w:szCs w:val="20"/>
                <w:lang w:eastAsia="en-ZA"/>
              </w:rPr>
              <w:t>Aquatic Conservation: Marine &amp; Freshwater Ecosystems</w:t>
            </w:r>
            <w:r w:rsidRPr="004D1E6F">
              <w:rPr>
                <w:rFonts w:ascii="Times New Roman" w:eastAsia="Times New Roman" w:hAnsi="Times New Roman" w:cs="Times New Roman"/>
                <w:sz w:val="20"/>
                <w:szCs w:val="20"/>
                <w:lang w:eastAsia="en-ZA"/>
              </w:rPr>
              <w:t xml:space="preserve"> 27, 1334–1340. </w:t>
            </w:r>
            <w:hyperlink r:id="rId603" w:history="1">
              <w:r w:rsidR="00F40AB3" w:rsidRPr="00F40AB3">
                <w:rPr>
                  <w:rStyle w:val="Hyperlink"/>
                  <w:rFonts w:ascii="Times New Roman" w:eastAsia="Times New Roman" w:hAnsi="Times New Roman" w:cs="Times New Roman"/>
                  <w:bCs/>
                  <w:sz w:val="20"/>
                  <w:szCs w:val="20"/>
                  <w:lang w:eastAsia="en-ZA"/>
                </w:rPr>
                <w:t>https://doi.org/10.1002/aqc.2741</w:t>
              </w:r>
            </w:hyperlink>
            <w:r w:rsidRPr="004D1E6F">
              <w:rPr>
                <w:rFonts w:ascii="Times New Roman" w:hAnsi="Times New Roman" w:cs="Times New Roman"/>
                <w:bCs/>
                <w:sz w:val="20"/>
                <w:szCs w:val="20"/>
              </w:rPr>
              <w:t>.</w:t>
            </w:r>
            <w:r w:rsidR="00463AB2">
              <w:rPr>
                <w:rFonts w:ascii="Times New Roman" w:hAnsi="Times New Roman" w:cs="Times New Roman"/>
                <w:bCs/>
                <w:sz w:val="20"/>
                <w:szCs w:val="20"/>
              </w:rPr>
              <w:t xml:space="preserve"> </w:t>
            </w:r>
          </w:p>
        </w:tc>
      </w:tr>
    </w:tbl>
    <w:p w14:paraId="56385705"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9067" w:type="dxa"/>
        <w:tblLook w:val="04A0" w:firstRow="1" w:lastRow="0" w:firstColumn="1" w:lastColumn="0" w:noHBand="0" w:noVBand="1"/>
      </w:tblPr>
      <w:tblGrid>
        <w:gridCol w:w="9067"/>
      </w:tblGrid>
      <w:tr w:rsidR="002D7080" w:rsidRPr="004D1E6F" w14:paraId="27C81CC2" w14:textId="77777777" w:rsidTr="002E2C37">
        <w:trPr>
          <w:trHeight w:val="343"/>
        </w:trPr>
        <w:tc>
          <w:tcPr>
            <w:tcW w:w="9067" w:type="dxa"/>
            <w:shd w:val="clear" w:color="auto" w:fill="F2F2F2" w:themeFill="background1" w:themeFillShade="F2"/>
          </w:tcPr>
          <w:p w14:paraId="4A6F381A"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 xml:space="preserve">MAN5 Control options and monitoring approaches available for the </w:t>
            </w:r>
            <w:r w:rsidRPr="004D1E6F">
              <w:rPr>
                <w:rFonts w:ascii="Times New Roman" w:eastAsia="Times New Roman" w:hAnsi="Times New Roman" w:cs="Times New Roman"/>
                <w:b/>
                <w:i/>
                <w:sz w:val="20"/>
                <w:szCs w:val="20"/>
                <w:lang w:eastAsia="en-ZA"/>
              </w:rPr>
              <w:t>Taxon</w:t>
            </w:r>
          </w:p>
        </w:tc>
      </w:tr>
      <w:tr w:rsidR="002D7080" w:rsidRPr="004D1E6F" w14:paraId="7F2069A5" w14:textId="77777777" w:rsidTr="002E2C37">
        <w:trPr>
          <w:trHeight w:val="70"/>
        </w:trPr>
        <w:tc>
          <w:tcPr>
            <w:tcW w:w="9067" w:type="dxa"/>
          </w:tcPr>
          <w:p w14:paraId="4303F3C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Response: Eradication is not easy once </w:t>
            </w:r>
            <w:r w:rsidRPr="004D1E6F">
              <w:rPr>
                <w:rFonts w:ascii="Times New Roman" w:eastAsia="Times New Roman" w:hAnsi="Times New Roman" w:cs="Times New Roman"/>
                <w:i/>
                <w:iCs/>
                <w:sz w:val="20"/>
                <w:szCs w:val="20"/>
                <w:lang w:eastAsia="en-ZA"/>
              </w:rPr>
              <w:t>P. clarkii</w:t>
            </w:r>
            <w:r w:rsidRPr="004D1E6F">
              <w:rPr>
                <w:rFonts w:ascii="Times New Roman" w:eastAsia="Times New Roman" w:hAnsi="Times New Roman" w:cs="Times New Roman"/>
                <w:sz w:val="20"/>
                <w:szCs w:val="20"/>
                <w:lang w:eastAsia="en-ZA"/>
              </w:rPr>
              <w:t xml:space="preserve"> has established because of its hardy nature, and conventional control methods such as biocides are neither practical nor desirable as a result of the large quantities of toxins required to treat an area (Nunes et al. 2017a). Furthermore, biocides are not target-specific, and often also adversely affect native fauna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"ITEM-1",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"(Nunes et al. 2017a)", "plainTextFormattedCitation" : "(Nunes et al. 2017a)", "previouslyFormattedCitation" : "(Nunes et al. 2017a)"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2017a)</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w:t>
            </w:r>
          </w:p>
          <w:p w14:paraId="09AAEC36" w14:textId="77777777" w:rsidR="002D7080" w:rsidRPr="004D1E6F" w:rsidRDefault="002D7080" w:rsidP="002E2C37">
            <w:pPr>
              <w:jc w:val="both"/>
              <w:rPr>
                <w:rFonts w:ascii="Times New Roman" w:eastAsia="Times New Roman" w:hAnsi="Times New Roman" w:cs="Times New Roman"/>
                <w:sz w:val="20"/>
                <w:szCs w:val="20"/>
                <w:lang w:eastAsia="en-ZA"/>
              </w:rPr>
            </w:pPr>
          </w:p>
          <w:p w14:paraId="7D3496D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Cs/>
                <w:sz w:val="20"/>
                <w:szCs w:val="20"/>
                <w:lang w:eastAsia="en-ZA"/>
              </w:rPr>
              <w:t>M</w:t>
            </w:r>
            <w:r w:rsidRPr="004D1E6F">
              <w:rPr>
                <w:rFonts w:ascii="Times New Roman" w:eastAsia="Times New Roman" w:hAnsi="Times New Roman" w:cs="Times New Roman"/>
                <w:sz w:val="20"/>
                <w:szCs w:val="20"/>
                <w:lang w:eastAsia="en-ZA"/>
              </w:rPr>
              <w:t xml:space="preserve">echanical methods would not be effective in the removal of individuals or treatment of burrows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"ITEM-1",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"(Nunes et al. 2017a)", "plainTextFormattedCitation" : "(Nunes et al. 2017a)", "previouslyFormattedCitation" : "(Nunes et al. 2017a)"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2017a, 2017b)</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However, mechanical methods (intensive trapping, electrofishing) together with de-watering the ponds (physical removal) should be considered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"ITEM-1",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"(Nunes et al. 2017a)", "plainTextFormattedCitation" : "(Nunes et al. 2017a)", "previouslyFormattedCitation" : "(Nunes et al. 2017a)"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2017a)</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 xml:space="preserve">. Some control techniques (e.g., complete dewatering waterbodies and the use of biocides) might be undesirable to land owners because of the financial and social implications </w:t>
            </w:r>
            <w:r w:rsidRPr="004D1E6F">
              <w:rPr>
                <w:rFonts w:ascii="Times New Roman" w:eastAsia="Times New Roman" w:hAnsi="Times New Roman" w:cs="Times New Roman"/>
                <w:sz w:val="20"/>
                <w:szCs w:val="20"/>
                <w:lang w:eastAsia="en-ZA"/>
              </w:rPr>
              <w:fldChar w:fldCharType="begin" w:fldLock="1"/>
            </w:r>
            <w:r w:rsidRPr="004D1E6F">
              <w:rPr>
                <w:rFonts w:ascii="Times New Roman" w:eastAsia="Times New Roman" w:hAnsi="Times New Roman" w:cs="Times New Roman"/>
                <w:sz w:val="20"/>
                <w:szCs w:val="20"/>
                <w:lang w:eastAsia="en-ZA"/>
              </w:rPr>
              <w:instrText>ADDIN CSL_CITATION { "citationItems" : [ { "id" : "ITEM-1", "itemData" : { "DOI" : "10.1002/aqc.2741", "ISSN" : "10990755", "abstract" : "1. No freshwater crayfish are indigenous to continental Africa, but four species have been introduced to the continent. One of these is the North American red swamp crayfish Procambarus clarkii, which has been introduced into several African countries, mainly for aquaculture, and has had demonstrable impacts where it has escaped captivity. In South Africa, the documentation of this species in farm dams near Dullstroom and the adjacent Crocodile River in 1988 resulted in an eradication attempt in 1994, with unknown results. 2. In order to evaluate the status of P. clarkii in South Africa, dams on the previously invaded farm and the Crocodile River were sampled four times between December 2015 and June 2016 using visual surveys, trapping, dipnetting and electrofishing. This yielded a single reproductively active male P. clarkii from one of the farm ponds, while many other native aquatic species were found in high numbers. 3. It is clear from this study that P. clarkii was not eradicated in South Africa and that individuals have been surviving in the wild (i.e. outside captivity or cultivation) for at least 28years in the location where it was introduced. Containment and eradication of the species are proposed as management actions, which have major importance in preventing undesirable further spread or translocation of this species into new aquatic environments in South Africa.", "author" : [ { "dropping-particle" : "", "family" : "Nunes", "given" : "Ana L.", "non-dropping-particle" : "", "parse-names" : false, "suffix" : "" }, { "dropping-particle" : "", "family" : "Hoffman", "given" : "Andries C.", "non-dropping-particle" : "", "parse-names" : false, "suffix" : "" }, { "dropping-particle" : "", "family" : "Zengeya", "given" : "Tsungai A.", "non-dropping-particle" : "", "parse-names" : false, "suffix" : "" }, { "dropping-particle" : "", "family" : "Measey", "given" : "G. John", "non-dropping-particle" : "", "parse-names" : false, "suffix" : "" }, { "dropping-particle" : "", "family" : "Weyl", "given" : "Olaf L.F.", "non-dropping-particle" : "", "parse-names" : false, "suffix" : "" } ], "container-title" : "Aquatic Conservation: Marine and Freshwater Ecosystems", "id" : "ITEM-1", "issue" : "6", "issued" : { "date-parts" : [ [ "2017" ] ] }, "page" : "1334-1340", "title" : "Red swamp crayfish, Procambarus clarkii, found in South Africa 22\u00a0years after attempted eradication", "type" : "article-journal", "volume" : "27" }, "uris" : [ "http://www.mendeley.com/documents/?uuid=ff77405b-a427-4839-a1a0-0b37ec669e00" ] } ], "mendeley" : { "formattedCitation" : "(Nunes et al. 2017a)", "plainTextFormattedCitation" : "(Nunes et al. 2017a)", "previouslyFormattedCitation" : "(Nunes et al. 2017a)" }, "properties" : { "noteIndex" : 0 }, "schema" : "https://github.com/citation-style-language/schema/raw/master/csl-citation.json" }</w:instrText>
            </w:r>
            <w:r w:rsidRPr="004D1E6F">
              <w:rPr>
                <w:rFonts w:ascii="Times New Roman" w:eastAsia="Times New Roman" w:hAnsi="Times New Roman" w:cs="Times New Roman"/>
                <w:sz w:val="20"/>
                <w:szCs w:val="20"/>
                <w:lang w:eastAsia="en-ZA"/>
              </w:rPr>
              <w:fldChar w:fldCharType="separate"/>
            </w:r>
            <w:r w:rsidRPr="004D1E6F">
              <w:rPr>
                <w:rFonts w:ascii="Times New Roman" w:eastAsia="Times New Roman" w:hAnsi="Times New Roman" w:cs="Times New Roman"/>
                <w:sz w:val="20"/>
                <w:szCs w:val="20"/>
                <w:lang w:eastAsia="en-ZA"/>
              </w:rPr>
              <w:t>(Nunes et al. 2017a, 2017b)</w:t>
            </w:r>
            <w:r w:rsidRPr="004D1E6F">
              <w:rPr>
                <w:rFonts w:ascii="Times New Roman" w:eastAsia="Times New Roman" w:hAnsi="Times New Roman" w:cs="Times New Roman"/>
                <w:sz w:val="20"/>
                <w:szCs w:val="20"/>
                <w:lang w:eastAsia="en-ZA"/>
              </w:rPr>
              <w:fldChar w:fldCharType="end"/>
            </w:r>
            <w:r w:rsidRPr="004D1E6F">
              <w:rPr>
                <w:rFonts w:ascii="Times New Roman" w:eastAsia="Times New Roman" w:hAnsi="Times New Roman" w:cs="Times New Roman"/>
                <w:sz w:val="20"/>
                <w:szCs w:val="20"/>
                <w:lang w:eastAsia="en-ZA"/>
              </w:rPr>
              <w:t>.</w:t>
            </w:r>
          </w:p>
          <w:p w14:paraId="658B1A3B" w14:textId="77777777" w:rsidR="002D7080" w:rsidRPr="004D1E6F" w:rsidRDefault="002D7080" w:rsidP="002E2C37">
            <w:pPr>
              <w:jc w:val="both"/>
              <w:rPr>
                <w:rFonts w:ascii="Times New Roman" w:eastAsia="Times New Roman" w:hAnsi="Times New Roman" w:cs="Times New Roman"/>
                <w:sz w:val="20"/>
                <w:szCs w:val="20"/>
                <w:lang w:eastAsia="en-ZA"/>
              </w:rPr>
            </w:pPr>
          </w:p>
          <w:p w14:paraId="247A33C2" w14:textId="77777777" w:rsidR="002D7080" w:rsidRPr="004D1E6F" w:rsidRDefault="002D7080" w:rsidP="002E2C37">
            <w:pPr>
              <w:jc w:val="both"/>
              <w:rPr>
                <w:rFonts w:ascii="Times New Roman" w:eastAsia="Times New Roman" w:hAnsi="Times New Roman" w:cs="Times New Roman"/>
                <w:b/>
                <w:bCs/>
                <w:sz w:val="20"/>
                <w:szCs w:val="20"/>
                <w:lang w:eastAsia="en-ZA"/>
              </w:rPr>
            </w:pPr>
            <w:r w:rsidRPr="004D1E6F">
              <w:rPr>
                <w:rFonts w:ascii="Times New Roman" w:eastAsia="Times New Roman" w:hAnsi="Times New Roman" w:cs="Times New Roman"/>
                <w:sz w:val="20"/>
                <w:szCs w:val="20"/>
                <w:lang w:eastAsia="en-ZA"/>
              </w:rPr>
              <w:lastRenderedPageBreak/>
              <w:t>Whichever control option is chosen, implementation must occur over the period of one year at a minimum, and repeated monitoring efforts must be conducted (Nunes et al. 2017a).</w:t>
            </w:r>
          </w:p>
        </w:tc>
      </w:tr>
      <w:tr w:rsidR="002D7080" w:rsidRPr="004D1E6F" w14:paraId="3A11EE1E" w14:textId="77777777" w:rsidTr="002E2C37">
        <w:trPr>
          <w:trHeight w:val="203"/>
        </w:trPr>
        <w:tc>
          <w:tcPr>
            <w:tcW w:w="9067" w:type="dxa"/>
          </w:tcPr>
          <w:p w14:paraId="1981ECC9"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286588A7" w14:textId="10EC5797" w:rsidR="002D7080" w:rsidRPr="004D1E6F" w:rsidRDefault="002D7080" w:rsidP="003635A5">
            <w:pPr>
              <w:ind w:left="720" w:hanging="720"/>
              <w:contextualSpacing/>
              <w:jc w:val="both"/>
              <w:rPr>
                <w:rFonts w:ascii="Times New Roman" w:hAnsi="Times New Roman" w:cs="Times New Roman"/>
                <w:bCs/>
                <w:sz w:val="20"/>
                <w:szCs w:val="20"/>
              </w:rPr>
            </w:pPr>
            <w:r w:rsidRPr="004D1E6F">
              <w:rPr>
                <w:rFonts w:ascii="Times New Roman" w:eastAsia="Times New Roman" w:hAnsi="Times New Roman" w:cs="Times New Roman"/>
                <w:sz w:val="20"/>
                <w:szCs w:val="20"/>
                <w:lang w:eastAsia="en-ZA"/>
              </w:rPr>
              <w:t xml:space="preserve">Nunes, A.L., Hoffman, C.A., Zengeya, T.A., Measey, G.J. &amp; Weyl, O.L.F, 2017a, ‘Red swamp crayfish, </w:t>
            </w:r>
            <w:r w:rsidRPr="004D1E6F">
              <w:rPr>
                <w:rFonts w:ascii="Times New Roman" w:eastAsia="Times New Roman" w:hAnsi="Times New Roman" w:cs="Times New Roman"/>
                <w:i/>
                <w:sz w:val="20"/>
                <w:szCs w:val="20"/>
                <w:lang w:eastAsia="en-ZA"/>
              </w:rPr>
              <w:t>Procambarus clarkii</w:t>
            </w:r>
            <w:r w:rsidRPr="004D1E6F">
              <w:rPr>
                <w:rFonts w:ascii="Times New Roman" w:eastAsia="Times New Roman" w:hAnsi="Times New Roman" w:cs="Times New Roman"/>
                <w:sz w:val="20"/>
                <w:szCs w:val="20"/>
                <w:lang w:eastAsia="en-ZA"/>
              </w:rPr>
              <w:t xml:space="preserve">, found in South Africa 22 years after attempted eradication’, </w:t>
            </w:r>
            <w:r w:rsidRPr="004D1E6F">
              <w:rPr>
                <w:rFonts w:ascii="Times New Roman" w:eastAsia="Times New Roman" w:hAnsi="Times New Roman" w:cs="Times New Roman"/>
                <w:i/>
                <w:sz w:val="20"/>
                <w:szCs w:val="20"/>
                <w:lang w:eastAsia="en-ZA"/>
              </w:rPr>
              <w:t>Aquatic Conservation: Marine &amp; Freshwater Ecosystem</w:t>
            </w:r>
            <w:r w:rsidRPr="004D1E6F">
              <w:rPr>
                <w:rFonts w:ascii="Times New Roman" w:eastAsia="Times New Roman" w:hAnsi="Times New Roman" w:cs="Times New Roman"/>
                <w:sz w:val="20"/>
                <w:szCs w:val="20"/>
                <w:lang w:eastAsia="en-ZA"/>
              </w:rPr>
              <w:t xml:space="preserve"> 27, 1334–1340. </w:t>
            </w:r>
            <w:hyperlink r:id="rId604" w:history="1">
              <w:r w:rsidR="00F40AB3" w:rsidRPr="00F40AB3">
                <w:rPr>
                  <w:rStyle w:val="Hyperlink"/>
                  <w:rFonts w:ascii="Times New Roman" w:eastAsia="Times New Roman" w:hAnsi="Times New Roman" w:cs="Times New Roman"/>
                  <w:bCs/>
                  <w:sz w:val="20"/>
                  <w:szCs w:val="20"/>
                  <w:lang w:eastAsia="en-ZA"/>
                </w:rPr>
                <w:t>https://doi.org/10.1002/aqc.2741</w:t>
              </w:r>
            </w:hyperlink>
            <w:r w:rsidRPr="004D1E6F">
              <w:rPr>
                <w:rFonts w:ascii="Times New Roman" w:hAnsi="Times New Roman" w:cs="Times New Roman"/>
                <w:bCs/>
                <w:sz w:val="20"/>
                <w:szCs w:val="20"/>
              </w:rPr>
              <w:t xml:space="preserve">. </w:t>
            </w:r>
          </w:p>
          <w:p w14:paraId="5A3839E5" w14:textId="55E8EE6F" w:rsidR="002D7080" w:rsidRPr="004D1E6F" w:rsidRDefault="002D7080" w:rsidP="003635A5">
            <w:pPr>
              <w:ind w:left="720" w:hanging="72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605" w:history="1">
              <w:r w:rsidR="00463AB2" w:rsidRPr="00463AB2">
                <w:rPr>
                  <w:rStyle w:val="Hyperlink"/>
                  <w:rFonts w:ascii="Times New Roman" w:eastAsia="Times New Roman" w:hAnsi="Times New Roman" w:cs="Times New Roman"/>
                  <w:sz w:val="20"/>
                  <w:szCs w:val="20"/>
                  <w:lang w:eastAsia="en-ZA"/>
                </w:rPr>
                <w:t>https://doi.org/10.2989/16085914.2017.1405788</w:t>
              </w:r>
            </w:hyperlink>
            <w:r w:rsidRPr="004D1E6F">
              <w:rPr>
                <w:rFonts w:ascii="Times New Roman" w:eastAsia="Times New Roman" w:hAnsi="Times New Roman" w:cs="Times New Roman"/>
                <w:color w:val="000000"/>
                <w:sz w:val="20"/>
                <w:szCs w:val="20"/>
                <w:lang w:eastAsia="en-ZA"/>
              </w:rPr>
              <w:t>.</w:t>
            </w:r>
          </w:p>
        </w:tc>
      </w:tr>
    </w:tbl>
    <w:p w14:paraId="5CE8CC43" w14:textId="77777777" w:rsidR="002D7080" w:rsidRPr="004D1E6F" w:rsidRDefault="002D7080" w:rsidP="002D7080">
      <w:pPr>
        <w:spacing w:after="0" w:line="240" w:lineRule="auto"/>
        <w:rPr>
          <w:rFonts w:ascii="Times New Roman" w:hAnsi="Times New Roman" w:cs="Times New Roman"/>
          <w:b/>
          <w:sz w:val="24"/>
          <w:szCs w:val="24"/>
        </w:rPr>
      </w:pPr>
    </w:p>
    <w:tbl>
      <w:tblPr>
        <w:tblStyle w:val="TableGrid"/>
        <w:tblW w:w="9067" w:type="dxa"/>
        <w:tblLook w:val="04A0" w:firstRow="1" w:lastRow="0" w:firstColumn="1" w:lastColumn="0" w:noHBand="0" w:noVBand="1"/>
      </w:tblPr>
      <w:tblGrid>
        <w:gridCol w:w="1696"/>
        <w:gridCol w:w="7371"/>
      </w:tblGrid>
      <w:tr w:rsidR="002D7080" w:rsidRPr="004D1E6F" w14:paraId="622FC1E0" w14:textId="77777777" w:rsidTr="002E2C37">
        <w:trPr>
          <w:trHeight w:val="343"/>
        </w:trPr>
        <w:tc>
          <w:tcPr>
            <w:tcW w:w="9067" w:type="dxa"/>
            <w:gridSpan w:val="2"/>
            <w:shd w:val="clear" w:color="auto" w:fill="F2F2F2" w:themeFill="background1" w:themeFillShade="F2"/>
          </w:tcPr>
          <w:p w14:paraId="69F11E99" w14:textId="77777777" w:rsidR="002D7080" w:rsidRPr="004D1E6F" w:rsidRDefault="002D7080" w:rsidP="002E2C37">
            <w:pPr>
              <w:rPr>
                <w:rFonts w:ascii="Times New Roman" w:hAnsi="Times New Roman" w:cs="Times New Roman"/>
              </w:rPr>
            </w:pPr>
            <w:r w:rsidRPr="004D1E6F">
              <w:rPr>
                <w:rFonts w:ascii="Times New Roman" w:eastAsia="Times New Roman" w:hAnsi="Times New Roman" w:cs="Times New Roman"/>
                <w:b/>
                <w:sz w:val="20"/>
                <w:szCs w:val="20"/>
                <w:lang w:eastAsia="en-ZA"/>
              </w:rPr>
              <w:t xml:space="preserve">MAN6 Any other management considerations to highlight? </w:t>
            </w:r>
          </w:p>
        </w:tc>
      </w:tr>
      <w:tr w:rsidR="002D7080" w:rsidRPr="004D1E6F" w14:paraId="04FD8612" w14:textId="77777777" w:rsidTr="002E2C37">
        <w:trPr>
          <w:trHeight w:val="70"/>
        </w:trPr>
        <w:tc>
          <w:tcPr>
            <w:tcW w:w="1696" w:type="dxa"/>
          </w:tcPr>
          <w:p w14:paraId="5D2D969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w:t>
            </w:r>
          </w:p>
        </w:tc>
        <w:tc>
          <w:tcPr>
            <w:tcW w:w="7371" w:type="dxa"/>
          </w:tcPr>
          <w:p w14:paraId="38F75ED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No</w:t>
            </w:r>
          </w:p>
        </w:tc>
      </w:tr>
    </w:tbl>
    <w:p w14:paraId="0D0D039C"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47502B72"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699FA1F5"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5. Calculations</w:t>
      </w:r>
    </w:p>
    <w:p w14:paraId="2C152346"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41F70427"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Likelihood = Probable</w:t>
      </w:r>
    </w:p>
    <w:p w14:paraId="3C673033"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1195"/>
        <w:gridCol w:w="2628"/>
        <w:gridCol w:w="2939"/>
        <w:gridCol w:w="2254"/>
      </w:tblGrid>
      <w:tr w:rsidR="002D7080" w:rsidRPr="004D1E6F" w14:paraId="56732822" w14:textId="77777777" w:rsidTr="002E2C37">
        <w:tc>
          <w:tcPr>
            <w:tcW w:w="1195" w:type="dxa"/>
            <w:shd w:val="clear" w:color="auto" w:fill="F2F2F2" w:themeFill="background1" w:themeFillShade="F2"/>
            <w:vAlign w:val="center"/>
          </w:tcPr>
          <w:p w14:paraId="5DB0DACF"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Parameter</w:t>
            </w:r>
          </w:p>
        </w:tc>
        <w:tc>
          <w:tcPr>
            <w:tcW w:w="2628" w:type="dxa"/>
            <w:shd w:val="clear" w:color="auto" w:fill="F2F2F2" w:themeFill="background1" w:themeFillShade="F2"/>
            <w:vAlign w:val="center"/>
          </w:tcPr>
          <w:p w14:paraId="64C71F93"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Likelihood</w:t>
            </w:r>
          </w:p>
        </w:tc>
        <w:tc>
          <w:tcPr>
            <w:tcW w:w="2939" w:type="dxa"/>
            <w:shd w:val="clear" w:color="auto" w:fill="F2F2F2" w:themeFill="background1" w:themeFillShade="F2"/>
            <w:vAlign w:val="center"/>
          </w:tcPr>
          <w:p w14:paraId="46132537"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Stages</w:t>
            </w:r>
          </w:p>
        </w:tc>
        <w:tc>
          <w:tcPr>
            <w:tcW w:w="2254" w:type="dxa"/>
            <w:shd w:val="clear" w:color="auto" w:fill="F2F2F2" w:themeFill="background1" w:themeFillShade="F2"/>
            <w:vAlign w:val="center"/>
          </w:tcPr>
          <w:p w14:paraId="67878E83"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Final assessment</w:t>
            </w:r>
          </w:p>
        </w:tc>
      </w:tr>
      <w:tr w:rsidR="002D7080" w:rsidRPr="004D1E6F" w14:paraId="5E7D107E" w14:textId="77777777" w:rsidTr="002E2C37">
        <w:tc>
          <w:tcPr>
            <w:tcW w:w="1195" w:type="dxa"/>
            <w:shd w:val="clear" w:color="auto" w:fill="F2F2F2" w:themeFill="background1" w:themeFillShade="F2"/>
            <w:vAlign w:val="center"/>
          </w:tcPr>
          <w:p w14:paraId="1AD7737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LIK1</w:t>
            </w:r>
          </w:p>
        </w:tc>
        <w:tc>
          <w:tcPr>
            <w:tcW w:w="2628" w:type="dxa"/>
            <w:vAlign w:val="center"/>
          </w:tcPr>
          <w:p w14:paraId="5674C71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1</w:t>
            </w:r>
          </w:p>
        </w:tc>
        <w:tc>
          <w:tcPr>
            <w:tcW w:w="2939" w:type="dxa"/>
            <w:vMerge w:val="restart"/>
            <w:vAlign w:val="center"/>
          </w:tcPr>
          <w:p w14:paraId="5907703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P(entry) = 1</w:t>
            </w:r>
          </w:p>
        </w:tc>
        <w:tc>
          <w:tcPr>
            <w:tcW w:w="2254" w:type="dxa"/>
            <w:vMerge w:val="restart"/>
            <w:vAlign w:val="center"/>
          </w:tcPr>
          <w:p w14:paraId="0D67B45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 (invasion) = 1</w:t>
            </w:r>
          </w:p>
        </w:tc>
      </w:tr>
      <w:tr w:rsidR="002D7080" w:rsidRPr="004D1E6F" w14:paraId="5ABD9DB4" w14:textId="77777777" w:rsidTr="002E2C37">
        <w:tc>
          <w:tcPr>
            <w:tcW w:w="1195" w:type="dxa"/>
            <w:shd w:val="clear" w:color="auto" w:fill="F2F2F2" w:themeFill="background1" w:themeFillShade="F2"/>
            <w:vAlign w:val="center"/>
          </w:tcPr>
          <w:p w14:paraId="7EEE8AC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LIK2</w:t>
            </w:r>
          </w:p>
        </w:tc>
        <w:tc>
          <w:tcPr>
            <w:tcW w:w="2628" w:type="dxa"/>
            <w:vAlign w:val="center"/>
          </w:tcPr>
          <w:p w14:paraId="204F392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1</w:t>
            </w:r>
          </w:p>
        </w:tc>
        <w:tc>
          <w:tcPr>
            <w:tcW w:w="2939" w:type="dxa"/>
            <w:vMerge/>
            <w:vAlign w:val="center"/>
          </w:tcPr>
          <w:p w14:paraId="1A4F876C"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780B0B4E"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3D3B7366" w14:textId="77777777" w:rsidTr="002E2C37">
        <w:tc>
          <w:tcPr>
            <w:tcW w:w="1195" w:type="dxa"/>
            <w:shd w:val="clear" w:color="auto" w:fill="F2F2F2" w:themeFill="background1" w:themeFillShade="F2"/>
            <w:vAlign w:val="center"/>
          </w:tcPr>
          <w:p w14:paraId="3757F1A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LIK3</w:t>
            </w:r>
          </w:p>
        </w:tc>
        <w:tc>
          <w:tcPr>
            <w:tcW w:w="2628" w:type="dxa"/>
            <w:vAlign w:val="center"/>
          </w:tcPr>
          <w:p w14:paraId="43DEB01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1</w:t>
            </w:r>
          </w:p>
        </w:tc>
        <w:tc>
          <w:tcPr>
            <w:tcW w:w="2939" w:type="dxa"/>
            <w:vMerge w:val="restart"/>
            <w:vAlign w:val="center"/>
          </w:tcPr>
          <w:p w14:paraId="511752E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P(establishment) = 1</w:t>
            </w:r>
          </w:p>
        </w:tc>
        <w:tc>
          <w:tcPr>
            <w:tcW w:w="2254" w:type="dxa"/>
            <w:vMerge/>
            <w:vAlign w:val="center"/>
          </w:tcPr>
          <w:p w14:paraId="06D53ABF"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341F5587" w14:textId="77777777" w:rsidTr="002E2C37">
        <w:tc>
          <w:tcPr>
            <w:tcW w:w="1195" w:type="dxa"/>
            <w:shd w:val="clear" w:color="auto" w:fill="F2F2F2" w:themeFill="background1" w:themeFillShade="F2"/>
            <w:vAlign w:val="center"/>
          </w:tcPr>
          <w:p w14:paraId="2CC6EAD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LIK4</w:t>
            </w:r>
          </w:p>
        </w:tc>
        <w:tc>
          <w:tcPr>
            <w:tcW w:w="2628" w:type="dxa"/>
            <w:vAlign w:val="center"/>
          </w:tcPr>
          <w:p w14:paraId="662D262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1</w:t>
            </w:r>
          </w:p>
        </w:tc>
        <w:tc>
          <w:tcPr>
            <w:tcW w:w="2939" w:type="dxa"/>
            <w:vMerge/>
            <w:vAlign w:val="center"/>
          </w:tcPr>
          <w:p w14:paraId="6D1EA340"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4B69C7B5"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36452694" w14:textId="77777777" w:rsidTr="002E2C37">
        <w:tc>
          <w:tcPr>
            <w:tcW w:w="1195" w:type="dxa"/>
            <w:shd w:val="clear" w:color="auto" w:fill="F2F2F2" w:themeFill="background1" w:themeFillShade="F2"/>
            <w:vAlign w:val="center"/>
          </w:tcPr>
          <w:p w14:paraId="3120EFA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LIK5</w:t>
            </w:r>
          </w:p>
        </w:tc>
        <w:tc>
          <w:tcPr>
            <w:tcW w:w="2628" w:type="dxa"/>
            <w:vAlign w:val="center"/>
          </w:tcPr>
          <w:p w14:paraId="57971B8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 xml:space="preserve">1 </w:t>
            </w:r>
          </w:p>
        </w:tc>
        <w:tc>
          <w:tcPr>
            <w:tcW w:w="2939" w:type="dxa"/>
            <w:vMerge w:val="restart"/>
            <w:vAlign w:val="center"/>
          </w:tcPr>
          <w:p w14:paraId="5B072065"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 (spread) =1</w:t>
            </w:r>
          </w:p>
        </w:tc>
        <w:tc>
          <w:tcPr>
            <w:tcW w:w="2254" w:type="dxa"/>
            <w:vMerge/>
            <w:vAlign w:val="center"/>
          </w:tcPr>
          <w:p w14:paraId="3B72982F" w14:textId="77777777" w:rsidR="002D7080" w:rsidRPr="004D1E6F" w:rsidRDefault="002D7080" w:rsidP="002E2C37">
            <w:pPr>
              <w:rPr>
                <w:rFonts w:ascii="Times New Roman" w:eastAsia="Times New Roman" w:hAnsi="Times New Roman" w:cs="Times New Roman"/>
                <w:sz w:val="20"/>
                <w:szCs w:val="20"/>
                <w:lang w:eastAsia="en-ZA"/>
              </w:rPr>
            </w:pPr>
          </w:p>
        </w:tc>
      </w:tr>
      <w:tr w:rsidR="002D7080" w:rsidRPr="004D1E6F" w14:paraId="69274891" w14:textId="77777777" w:rsidTr="002E2C37">
        <w:tc>
          <w:tcPr>
            <w:tcW w:w="1195" w:type="dxa"/>
            <w:shd w:val="clear" w:color="auto" w:fill="F2F2F2" w:themeFill="background1" w:themeFillShade="F2"/>
            <w:vAlign w:val="center"/>
          </w:tcPr>
          <w:p w14:paraId="15E5DE0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LIK6</w:t>
            </w:r>
          </w:p>
        </w:tc>
        <w:tc>
          <w:tcPr>
            <w:tcW w:w="2628" w:type="dxa"/>
            <w:vAlign w:val="center"/>
          </w:tcPr>
          <w:p w14:paraId="2E825E7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color w:val="000000"/>
                <w:sz w:val="20"/>
                <w:szCs w:val="20"/>
                <w:lang w:eastAsia="en-ZA"/>
              </w:rPr>
              <w:t>1</w:t>
            </w:r>
          </w:p>
        </w:tc>
        <w:tc>
          <w:tcPr>
            <w:tcW w:w="2939" w:type="dxa"/>
            <w:vMerge/>
            <w:vAlign w:val="center"/>
          </w:tcPr>
          <w:p w14:paraId="5A700653" w14:textId="77777777" w:rsidR="002D7080" w:rsidRPr="004D1E6F" w:rsidRDefault="002D7080" w:rsidP="002E2C37">
            <w:pPr>
              <w:rPr>
                <w:rFonts w:ascii="Times New Roman" w:eastAsia="Times New Roman" w:hAnsi="Times New Roman" w:cs="Times New Roman"/>
                <w:sz w:val="20"/>
                <w:szCs w:val="20"/>
                <w:lang w:eastAsia="en-ZA"/>
              </w:rPr>
            </w:pPr>
          </w:p>
        </w:tc>
        <w:tc>
          <w:tcPr>
            <w:tcW w:w="2254" w:type="dxa"/>
            <w:vMerge/>
            <w:vAlign w:val="center"/>
          </w:tcPr>
          <w:p w14:paraId="16AF9657" w14:textId="77777777" w:rsidR="002D7080" w:rsidRPr="004D1E6F" w:rsidRDefault="002D7080" w:rsidP="002E2C37">
            <w:pPr>
              <w:rPr>
                <w:rFonts w:ascii="Times New Roman" w:eastAsia="Times New Roman" w:hAnsi="Times New Roman" w:cs="Times New Roman"/>
                <w:sz w:val="20"/>
                <w:szCs w:val="20"/>
                <w:lang w:eastAsia="en-ZA"/>
              </w:rPr>
            </w:pPr>
          </w:p>
        </w:tc>
      </w:tr>
    </w:tbl>
    <w:p w14:paraId="2317CF06"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p w14:paraId="636DE5AE"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Consequence = Major</w:t>
      </w:r>
      <w:r>
        <w:rPr>
          <w:rFonts w:ascii="Times New Roman" w:eastAsia="Times New Roman" w:hAnsi="Times New Roman" w:cs="Times New Roman"/>
          <w:b/>
          <w:sz w:val="20"/>
          <w:szCs w:val="20"/>
          <w:lang w:eastAsia="en-ZA"/>
        </w:rPr>
        <w:t xml:space="preserve"> (MR)</w:t>
      </w:r>
    </w:p>
    <w:p w14:paraId="0A112F83" w14:textId="77777777" w:rsidR="002D7080" w:rsidRPr="004D1E6F" w:rsidRDefault="002D7080" w:rsidP="002D7080">
      <w:pPr>
        <w:spacing w:after="0" w:line="240" w:lineRule="auto"/>
        <w:rPr>
          <w:rFonts w:ascii="Times New Roman" w:eastAsia="Times New Roman" w:hAnsi="Times New Roman" w:cs="Times New Roman"/>
          <w:bCs/>
          <w:sz w:val="20"/>
          <w:szCs w:val="20"/>
          <w:lang w:eastAsia="en-ZA"/>
        </w:rPr>
      </w:pPr>
    </w:p>
    <w:tbl>
      <w:tblPr>
        <w:tblStyle w:val="TableGrid"/>
        <w:tblW w:w="0" w:type="auto"/>
        <w:tblLook w:val="04A0" w:firstRow="1" w:lastRow="0" w:firstColumn="1" w:lastColumn="0" w:noHBand="0" w:noVBand="1"/>
      </w:tblPr>
      <w:tblGrid>
        <w:gridCol w:w="1555"/>
        <w:gridCol w:w="5953"/>
        <w:gridCol w:w="1508"/>
      </w:tblGrid>
      <w:tr w:rsidR="002D7080" w:rsidRPr="004D1E6F" w14:paraId="43E9175D" w14:textId="77777777" w:rsidTr="002E2C37">
        <w:tc>
          <w:tcPr>
            <w:tcW w:w="1555" w:type="dxa"/>
            <w:shd w:val="clear" w:color="auto" w:fill="D9D9D9" w:themeFill="background1" w:themeFillShade="D9"/>
          </w:tcPr>
          <w:p w14:paraId="50586C43" w14:textId="77777777" w:rsidR="002D7080" w:rsidRPr="004D1E6F" w:rsidRDefault="002D7080" w:rsidP="002E2C37">
            <w:pPr>
              <w:rPr>
                <w:rFonts w:ascii="Times New Roman" w:eastAsia="Times New Roman" w:hAnsi="Times New Roman" w:cs="Times New Roman"/>
                <w:b/>
                <w:sz w:val="20"/>
                <w:szCs w:val="20"/>
                <w:lang w:eastAsia="en-ZA"/>
              </w:rPr>
            </w:pPr>
            <w:bookmarkStart w:id="23" w:name="_Hlk153173958"/>
            <w:r w:rsidRPr="004D1E6F">
              <w:rPr>
                <w:rFonts w:ascii="Times New Roman" w:eastAsia="Times New Roman" w:hAnsi="Times New Roman" w:cs="Times New Roman"/>
                <w:b/>
                <w:sz w:val="20"/>
                <w:szCs w:val="20"/>
                <w:lang w:eastAsia="en-ZA"/>
              </w:rPr>
              <w:t>Parameter</w:t>
            </w:r>
          </w:p>
        </w:tc>
        <w:tc>
          <w:tcPr>
            <w:tcW w:w="5953" w:type="dxa"/>
            <w:shd w:val="clear" w:color="auto" w:fill="D9D9D9" w:themeFill="background1" w:themeFillShade="D9"/>
          </w:tcPr>
          <w:p w14:paraId="6B3E1E9A"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Mechanism/sector</w:t>
            </w:r>
          </w:p>
        </w:tc>
        <w:tc>
          <w:tcPr>
            <w:tcW w:w="1508" w:type="dxa"/>
            <w:shd w:val="clear" w:color="auto" w:fill="D9D9D9" w:themeFill="background1" w:themeFillShade="D9"/>
          </w:tcPr>
          <w:p w14:paraId="4928F919"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Response</w:t>
            </w:r>
          </w:p>
        </w:tc>
      </w:tr>
      <w:tr w:rsidR="002D7080" w:rsidRPr="004D1E6F" w14:paraId="6CDCA103" w14:textId="77777777" w:rsidTr="002E2C37">
        <w:tc>
          <w:tcPr>
            <w:tcW w:w="1555" w:type="dxa"/>
            <w:shd w:val="clear" w:color="auto" w:fill="D9D9D9" w:themeFill="background1" w:themeFillShade="D9"/>
          </w:tcPr>
          <w:p w14:paraId="6032181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CON1a</w:t>
            </w:r>
          </w:p>
        </w:tc>
        <w:tc>
          <w:tcPr>
            <w:tcW w:w="5953" w:type="dxa"/>
            <w:shd w:val="clear" w:color="auto" w:fill="F2F2F2" w:themeFill="background1" w:themeFillShade="F2"/>
          </w:tcPr>
          <w:p w14:paraId="7CD3D56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Competition</w:t>
            </w:r>
          </w:p>
        </w:tc>
        <w:tc>
          <w:tcPr>
            <w:tcW w:w="1508" w:type="dxa"/>
          </w:tcPr>
          <w:p w14:paraId="65AE5AC2"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color w:val="000000"/>
                <w:sz w:val="20"/>
                <w:szCs w:val="20"/>
                <w:lang w:eastAsia="en-ZA"/>
              </w:rPr>
              <w:t>MR</w:t>
            </w:r>
          </w:p>
        </w:tc>
      </w:tr>
      <w:tr w:rsidR="002D7080" w:rsidRPr="004D1E6F" w14:paraId="19EF42E5" w14:textId="77777777" w:rsidTr="002E2C37">
        <w:tc>
          <w:tcPr>
            <w:tcW w:w="1555" w:type="dxa"/>
            <w:shd w:val="clear" w:color="auto" w:fill="D9D9D9" w:themeFill="background1" w:themeFillShade="D9"/>
          </w:tcPr>
          <w:p w14:paraId="6719D67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CON1b</w:t>
            </w:r>
          </w:p>
        </w:tc>
        <w:tc>
          <w:tcPr>
            <w:tcW w:w="5953" w:type="dxa"/>
            <w:shd w:val="clear" w:color="auto" w:fill="F2F2F2" w:themeFill="background1" w:themeFillShade="F2"/>
          </w:tcPr>
          <w:p w14:paraId="65448BA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Predation</w:t>
            </w:r>
          </w:p>
        </w:tc>
        <w:tc>
          <w:tcPr>
            <w:tcW w:w="1508" w:type="dxa"/>
          </w:tcPr>
          <w:p w14:paraId="11AFA23A"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color w:val="000000"/>
                <w:sz w:val="20"/>
                <w:szCs w:val="20"/>
                <w:lang w:eastAsia="en-ZA"/>
              </w:rPr>
              <w:t>MR</w:t>
            </w:r>
          </w:p>
        </w:tc>
      </w:tr>
      <w:tr w:rsidR="002D7080" w:rsidRPr="004D1E6F" w14:paraId="46C17E65" w14:textId="77777777" w:rsidTr="002E2C37">
        <w:tc>
          <w:tcPr>
            <w:tcW w:w="1555" w:type="dxa"/>
            <w:shd w:val="clear" w:color="auto" w:fill="D9D9D9" w:themeFill="background1" w:themeFillShade="D9"/>
          </w:tcPr>
          <w:p w14:paraId="0AE60B0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CON1c</w:t>
            </w:r>
          </w:p>
        </w:tc>
        <w:tc>
          <w:tcPr>
            <w:tcW w:w="5953" w:type="dxa"/>
            <w:shd w:val="clear" w:color="auto" w:fill="F2F2F2" w:themeFill="background1" w:themeFillShade="F2"/>
          </w:tcPr>
          <w:p w14:paraId="36420275"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Hybridisation</w:t>
            </w:r>
          </w:p>
        </w:tc>
        <w:tc>
          <w:tcPr>
            <w:tcW w:w="1508" w:type="dxa"/>
          </w:tcPr>
          <w:p w14:paraId="1D650019"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sz w:val="20"/>
                <w:szCs w:val="20"/>
                <w:lang w:eastAsia="en-ZA"/>
              </w:rPr>
              <w:t>DD</w:t>
            </w:r>
          </w:p>
        </w:tc>
      </w:tr>
      <w:tr w:rsidR="002D7080" w:rsidRPr="004D1E6F" w14:paraId="51FF4ABF" w14:textId="77777777" w:rsidTr="002E2C37">
        <w:tc>
          <w:tcPr>
            <w:tcW w:w="1555" w:type="dxa"/>
            <w:shd w:val="clear" w:color="auto" w:fill="D9D9D9" w:themeFill="background1" w:themeFillShade="D9"/>
          </w:tcPr>
          <w:p w14:paraId="081AD53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CON1d</w:t>
            </w:r>
          </w:p>
        </w:tc>
        <w:tc>
          <w:tcPr>
            <w:tcW w:w="5953" w:type="dxa"/>
            <w:shd w:val="clear" w:color="auto" w:fill="F2F2F2" w:themeFill="background1" w:themeFillShade="F2"/>
          </w:tcPr>
          <w:p w14:paraId="08716CE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Disease transmission</w:t>
            </w:r>
          </w:p>
        </w:tc>
        <w:tc>
          <w:tcPr>
            <w:tcW w:w="1508" w:type="dxa"/>
          </w:tcPr>
          <w:p w14:paraId="026AB06F"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color w:val="000000"/>
                <w:sz w:val="20"/>
                <w:szCs w:val="20"/>
                <w:lang w:eastAsia="en-ZA"/>
              </w:rPr>
              <w:t>MR</w:t>
            </w:r>
          </w:p>
        </w:tc>
      </w:tr>
      <w:tr w:rsidR="002D7080" w:rsidRPr="004D1E6F" w14:paraId="12DA48DA" w14:textId="77777777" w:rsidTr="002E2C37">
        <w:tc>
          <w:tcPr>
            <w:tcW w:w="1555" w:type="dxa"/>
            <w:shd w:val="clear" w:color="auto" w:fill="D9D9D9" w:themeFill="background1" w:themeFillShade="D9"/>
          </w:tcPr>
          <w:p w14:paraId="49E3529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CON1e</w:t>
            </w:r>
          </w:p>
        </w:tc>
        <w:tc>
          <w:tcPr>
            <w:tcW w:w="5953" w:type="dxa"/>
            <w:shd w:val="clear" w:color="auto" w:fill="F2F2F2" w:themeFill="background1" w:themeFillShade="F2"/>
          </w:tcPr>
          <w:p w14:paraId="30E5179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Parasitism</w:t>
            </w:r>
          </w:p>
        </w:tc>
        <w:tc>
          <w:tcPr>
            <w:tcW w:w="1508" w:type="dxa"/>
          </w:tcPr>
          <w:p w14:paraId="5FC7E648"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color w:val="000000"/>
                <w:sz w:val="20"/>
                <w:szCs w:val="20"/>
                <w:lang w:eastAsia="en-ZA"/>
              </w:rPr>
              <w:t>DD</w:t>
            </w:r>
          </w:p>
        </w:tc>
      </w:tr>
      <w:tr w:rsidR="002D7080" w:rsidRPr="004D1E6F" w14:paraId="5B95506C" w14:textId="77777777" w:rsidTr="002E2C37">
        <w:tc>
          <w:tcPr>
            <w:tcW w:w="1555" w:type="dxa"/>
            <w:shd w:val="clear" w:color="auto" w:fill="D9D9D9" w:themeFill="background1" w:themeFillShade="D9"/>
          </w:tcPr>
          <w:p w14:paraId="5B298DD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CON1f</w:t>
            </w:r>
          </w:p>
        </w:tc>
        <w:tc>
          <w:tcPr>
            <w:tcW w:w="5953" w:type="dxa"/>
            <w:shd w:val="clear" w:color="auto" w:fill="F2F2F2" w:themeFill="background1" w:themeFillShade="F2"/>
          </w:tcPr>
          <w:p w14:paraId="643439BD"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Poisoning/toxicity</w:t>
            </w:r>
          </w:p>
        </w:tc>
        <w:tc>
          <w:tcPr>
            <w:tcW w:w="1508" w:type="dxa"/>
          </w:tcPr>
          <w:p w14:paraId="4297FB6D"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color w:val="000000"/>
                <w:sz w:val="20"/>
                <w:szCs w:val="20"/>
                <w:lang w:eastAsia="en-ZA"/>
              </w:rPr>
              <w:t>MC</w:t>
            </w:r>
          </w:p>
        </w:tc>
      </w:tr>
      <w:tr w:rsidR="002D7080" w:rsidRPr="004D1E6F" w14:paraId="2CC82622" w14:textId="77777777" w:rsidTr="002E2C37">
        <w:tc>
          <w:tcPr>
            <w:tcW w:w="1555" w:type="dxa"/>
            <w:shd w:val="clear" w:color="auto" w:fill="D9D9D9" w:themeFill="background1" w:themeFillShade="D9"/>
          </w:tcPr>
          <w:p w14:paraId="0A3B388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CON1g</w:t>
            </w:r>
          </w:p>
        </w:tc>
        <w:tc>
          <w:tcPr>
            <w:tcW w:w="5953" w:type="dxa"/>
            <w:shd w:val="clear" w:color="auto" w:fill="F2F2F2" w:themeFill="background1" w:themeFillShade="F2"/>
          </w:tcPr>
          <w:p w14:paraId="1CF5094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Bio-fouling or other direct physical disturbance</w:t>
            </w:r>
          </w:p>
        </w:tc>
        <w:tc>
          <w:tcPr>
            <w:tcW w:w="1508" w:type="dxa"/>
          </w:tcPr>
          <w:p w14:paraId="7F70FDDE"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color w:val="000000"/>
                <w:sz w:val="20"/>
                <w:szCs w:val="20"/>
                <w:lang w:eastAsia="en-ZA"/>
              </w:rPr>
              <w:t>DD</w:t>
            </w:r>
          </w:p>
        </w:tc>
      </w:tr>
      <w:tr w:rsidR="002D7080" w:rsidRPr="004D1E6F" w14:paraId="27BDCCAB" w14:textId="77777777" w:rsidTr="002E2C37">
        <w:tc>
          <w:tcPr>
            <w:tcW w:w="1555" w:type="dxa"/>
            <w:shd w:val="clear" w:color="auto" w:fill="D9D9D9" w:themeFill="background1" w:themeFillShade="D9"/>
          </w:tcPr>
          <w:p w14:paraId="156BC33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CON1h</w:t>
            </w:r>
          </w:p>
        </w:tc>
        <w:tc>
          <w:tcPr>
            <w:tcW w:w="5953" w:type="dxa"/>
            <w:shd w:val="clear" w:color="auto" w:fill="F2F2F2" w:themeFill="background1" w:themeFillShade="F2"/>
          </w:tcPr>
          <w:p w14:paraId="622BE44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Grazing/herbivory/browsing</w:t>
            </w:r>
          </w:p>
        </w:tc>
        <w:tc>
          <w:tcPr>
            <w:tcW w:w="1508" w:type="dxa"/>
          </w:tcPr>
          <w:p w14:paraId="48E22BF9"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color w:val="000000"/>
                <w:sz w:val="20"/>
                <w:szCs w:val="20"/>
                <w:lang w:eastAsia="en-ZA"/>
              </w:rPr>
              <w:t>MO</w:t>
            </w:r>
          </w:p>
        </w:tc>
      </w:tr>
      <w:tr w:rsidR="002D7080" w:rsidRPr="004D1E6F" w14:paraId="0809155A" w14:textId="77777777" w:rsidTr="002E2C37">
        <w:tc>
          <w:tcPr>
            <w:tcW w:w="1555" w:type="dxa"/>
            <w:shd w:val="clear" w:color="auto" w:fill="D9D9D9" w:themeFill="background1" w:themeFillShade="D9"/>
          </w:tcPr>
          <w:p w14:paraId="3761947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CON1i</w:t>
            </w:r>
          </w:p>
        </w:tc>
        <w:tc>
          <w:tcPr>
            <w:tcW w:w="5953" w:type="dxa"/>
            <w:shd w:val="clear" w:color="auto" w:fill="F2F2F2" w:themeFill="background1" w:themeFillShade="F2"/>
          </w:tcPr>
          <w:p w14:paraId="358952A0"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Chemical, physical, structural impact</w:t>
            </w:r>
          </w:p>
        </w:tc>
        <w:tc>
          <w:tcPr>
            <w:tcW w:w="1508" w:type="dxa"/>
          </w:tcPr>
          <w:p w14:paraId="7033A335"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sz w:val="20"/>
                <w:szCs w:val="20"/>
                <w:lang w:eastAsia="en-ZA"/>
              </w:rPr>
              <w:t>MN</w:t>
            </w:r>
          </w:p>
        </w:tc>
      </w:tr>
      <w:tr w:rsidR="002D7080" w:rsidRPr="004D1E6F" w14:paraId="05FEE221" w14:textId="77777777" w:rsidTr="002E2C37">
        <w:tc>
          <w:tcPr>
            <w:tcW w:w="1555" w:type="dxa"/>
            <w:shd w:val="clear" w:color="auto" w:fill="D9D9D9" w:themeFill="background1" w:themeFillShade="D9"/>
          </w:tcPr>
          <w:p w14:paraId="5F84E327"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CON1k</w:t>
            </w:r>
          </w:p>
        </w:tc>
        <w:tc>
          <w:tcPr>
            <w:tcW w:w="5953" w:type="dxa"/>
            <w:shd w:val="clear" w:color="auto" w:fill="F2F2F2" w:themeFill="background1" w:themeFillShade="F2"/>
          </w:tcPr>
          <w:p w14:paraId="080B379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Indirect impacts through interactions with other species</w:t>
            </w:r>
          </w:p>
        </w:tc>
        <w:tc>
          <w:tcPr>
            <w:tcW w:w="1508" w:type="dxa"/>
          </w:tcPr>
          <w:p w14:paraId="31618A2E"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color w:val="000000"/>
                <w:sz w:val="20"/>
                <w:szCs w:val="20"/>
                <w:lang w:eastAsia="en-ZA"/>
              </w:rPr>
              <w:t>MC</w:t>
            </w:r>
          </w:p>
        </w:tc>
      </w:tr>
      <w:tr w:rsidR="002D7080" w:rsidRPr="004D1E6F" w14:paraId="2D140790" w14:textId="77777777" w:rsidTr="002E2C37">
        <w:tc>
          <w:tcPr>
            <w:tcW w:w="1555" w:type="dxa"/>
            <w:shd w:val="clear" w:color="auto" w:fill="D9D9D9" w:themeFill="background1" w:themeFillShade="D9"/>
          </w:tcPr>
          <w:p w14:paraId="1E35B02E"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CON1</w:t>
            </w:r>
          </w:p>
        </w:tc>
        <w:tc>
          <w:tcPr>
            <w:tcW w:w="5953" w:type="dxa"/>
            <w:shd w:val="clear" w:color="auto" w:fill="F2F2F2" w:themeFill="background1" w:themeFillShade="F2"/>
          </w:tcPr>
          <w:p w14:paraId="0CB4A44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Maximum environmental impact</w:t>
            </w:r>
          </w:p>
        </w:tc>
        <w:tc>
          <w:tcPr>
            <w:tcW w:w="1508" w:type="dxa"/>
          </w:tcPr>
          <w:p w14:paraId="090F5A9E"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sz w:val="20"/>
                <w:szCs w:val="20"/>
                <w:lang w:eastAsia="en-ZA"/>
              </w:rPr>
              <w:t>MR</w:t>
            </w:r>
          </w:p>
        </w:tc>
      </w:tr>
      <w:tr w:rsidR="002D7080" w:rsidRPr="004D1E6F" w14:paraId="64768EAB" w14:textId="77777777" w:rsidTr="002E2C37">
        <w:tc>
          <w:tcPr>
            <w:tcW w:w="1555" w:type="dxa"/>
            <w:shd w:val="clear" w:color="auto" w:fill="D9D9D9" w:themeFill="background1" w:themeFillShade="D9"/>
          </w:tcPr>
          <w:p w14:paraId="7472E09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CON2a</w:t>
            </w:r>
          </w:p>
        </w:tc>
        <w:tc>
          <w:tcPr>
            <w:tcW w:w="5953" w:type="dxa"/>
            <w:shd w:val="clear" w:color="auto" w:fill="F2F2F2" w:themeFill="background1" w:themeFillShade="F2"/>
          </w:tcPr>
          <w:p w14:paraId="761E494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Safety</w:t>
            </w:r>
          </w:p>
        </w:tc>
        <w:tc>
          <w:tcPr>
            <w:tcW w:w="1508" w:type="dxa"/>
          </w:tcPr>
          <w:p w14:paraId="02ED4B83"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sz w:val="20"/>
                <w:szCs w:val="20"/>
                <w:lang w:eastAsia="en-ZA"/>
              </w:rPr>
              <w:t>DD</w:t>
            </w:r>
          </w:p>
        </w:tc>
      </w:tr>
      <w:tr w:rsidR="002D7080" w:rsidRPr="004D1E6F" w14:paraId="5E8A7171" w14:textId="77777777" w:rsidTr="002E2C37">
        <w:tc>
          <w:tcPr>
            <w:tcW w:w="1555" w:type="dxa"/>
            <w:shd w:val="clear" w:color="auto" w:fill="D9D9D9" w:themeFill="background1" w:themeFillShade="D9"/>
          </w:tcPr>
          <w:p w14:paraId="334C2B2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CON2b</w:t>
            </w:r>
          </w:p>
        </w:tc>
        <w:tc>
          <w:tcPr>
            <w:tcW w:w="5953" w:type="dxa"/>
            <w:shd w:val="clear" w:color="auto" w:fill="F2F2F2" w:themeFill="background1" w:themeFillShade="F2"/>
          </w:tcPr>
          <w:p w14:paraId="0C20AA1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Material and immaterial assets</w:t>
            </w:r>
          </w:p>
        </w:tc>
        <w:tc>
          <w:tcPr>
            <w:tcW w:w="1508" w:type="dxa"/>
          </w:tcPr>
          <w:p w14:paraId="5C2A51A1"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sz w:val="20"/>
                <w:szCs w:val="20"/>
                <w:lang w:eastAsia="en-ZA"/>
              </w:rPr>
              <w:t>MO</w:t>
            </w:r>
          </w:p>
        </w:tc>
      </w:tr>
      <w:tr w:rsidR="002D7080" w:rsidRPr="004D1E6F" w14:paraId="72371779" w14:textId="77777777" w:rsidTr="002E2C37">
        <w:tc>
          <w:tcPr>
            <w:tcW w:w="1555" w:type="dxa"/>
            <w:shd w:val="clear" w:color="auto" w:fill="D9D9D9" w:themeFill="background1" w:themeFillShade="D9"/>
          </w:tcPr>
          <w:p w14:paraId="002EE1BC"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CON2c</w:t>
            </w:r>
          </w:p>
        </w:tc>
        <w:tc>
          <w:tcPr>
            <w:tcW w:w="5953" w:type="dxa"/>
            <w:shd w:val="clear" w:color="auto" w:fill="F2F2F2" w:themeFill="background1" w:themeFillShade="F2"/>
          </w:tcPr>
          <w:p w14:paraId="21968912"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Health</w:t>
            </w:r>
          </w:p>
        </w:tc>
        <w:tc>
          <w:tcPr>
            <w:tcW w:w="1508" w:type="dxa"/>
          </w:tcPr>
          <w:p w14:paraId="27152B9E"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sz w:val="20"/>
                <w:szCs w:val="20"/>
                <w:lang w:eastAsia="en-ZA"/>
              </w:rPr>
              <w:t>MN</w:t>
            </w:r>
          </w:p>
        </w:tc>
      </w:tr>
      <w:tr w:rsidR="002D7080" w:rsidRPr="004D1E6F" w14:paraId="025DBFB4" w14:textId="77777777" w:rsidTr="002E2C37">
        <w:tc>
          <w:tcPr>
            <w:tcW w:w="1555" w:type="dxa"/>
            <w:shd w:val="clear" w:color="auto" w:fill="D9D9D9" w:themeFill="background1" w:themeFillShade="D9"/>
          </w:tcPr>
          <w:p w14:paraId="468C7D4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CON2d</w:t>
            </w:r>
          </w:p>
        </w:tc>
        <w:tc>
          <w:tcPr>
            <w:tcW w:w="5953" w:type="dxa"/>
            <w:shd w:val="clear" w:color="auto" w:fill="F2F2F2" w:themeFill="background1" w:themeFillShade="F2"/>
          </w:tcPr>
          <w:p w14:paraId="16B01F6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hAnsi="Times New Roman" w:cs="Times New Roman"/>
                <w:sz w:val="20"/>
                <w:szCs w:val="20"/>
              </w:rPr>
              <w:t>Social, spiritual and cultural relations</w:t>
            </w:r>
          </w:p>
        </w:tc>
        <w:tc>
          <w:tcPr>
            <w:tcW w:w="1508" w:type="dxa"/>
          </w:tcPr>
          <w:p w14:paraId="7DB0CAB7"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sz w:val="20"/>
                <w:szCs w:val="20"/>
                <w:lang w:eastAsia="en-ZA"/>
              </w:rPr>
              <w:t>DD</w:t>
            </w:r>
          </w:p>
        </w:tc>
      </w:tr>
      <w:tr w:rsidR="002D7080" w:rsidRPr="004D1E6F" w14:paraId="3B88FB45" w14:textId="77777777" w:rsidTr="002E2C37">
        <w:tc>
          <w:tcPr>
            <w:tcW w:w="1555" w:type="dxa"/>
            <w:shd w:val="clear" w:color="auto" w:fill="D9D9D9" w:themeFill="background1" w:themeFillShade="D9"/>
          </w:tcPr>
          <w:p w14:paraId="618FFB2F"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CON2</w:t>
            </w:r>
          </w:p>
        </w:tc>
        <w:tc>
          <w:tcPr>
            <w:tcW w:w="5953" w:type="dxa"/>
            <w:shd w:val="clear" w:color="auto" w:fill="F2F2F2" w:themeFill="background1" w:themeFillShade="F2"/>
          </w:tcPr>
          <w:p w14:paraId="6BA42D0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Maximum socio-economic impact</w:t>
            </w:r>
          </w:p>
        </w:tc>
        <w:tc>
          <w:tcPr>
            <w:tcW w:w="1508" w:type="dxa"/>
          </w:tcPr>
          <w:p w14:paraId="145FD55D"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sz w:val="20"/>
                <w:szCs w:val="20"/>
                <w:lang w:eastAsia="en-ZA"/>
              </w:rPr>
              <w:t>MO</w:t>
            </w:r>
          </w:p>
        </w:tc>
      </w:tr>
      <w:tr w:rsidR="002D7080" w:rsidRPr="004D1E6F" w14:paraId="3262CA1E" w14:textId="77777777" w:rsidTr="002E2C37">
        <w:trPr>
          <w:trHeight w:val="100"/>
        </w:trPr>
        <w:tc>
          <w:tcPr>
            <w:tcW w:w="1555" w:type="dxa"/>
            <w:shd w:val="clear" w:color="auto" w:fill="D9D9D9" w:themeFill="background1" w:themeFillShade="D9"/>
          </w:tcPr>
          <w:p w14:paraId="111C5F89"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CON3</w:t>
            </w:r>
          </w:p>
        </w:tc>
        <w:tc>
          <w:tcPr>
            <w:tcW w:w="5953" w:type="dxa"/>
            <w:shd w:val="clear" w:color="auto" w:fill="F2F2F2" w:themeFill="background1" w:themeFillShade="F2"/>
          </w:tcPr>
          <w:p w14:paraId="0889B99A"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Environmental impact of closely related taxa</w:t>
            </w:r>
          </w:p>
        </w:tc>
        <w:tc>
          <w:tcPr>
            <w:tcW w:w="1508" w:type="dxa"/>
          </w:tcPr>
          <w:p w14:paraId="26A21094"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sz w:val="20"/>
                <w:szCs w:val="20"/>
                <w:lang w:eastAsia="en-ZA"/>
              </w:rPr>
              <w:t>Not scored as CON1 scored</w:t>
            </w:r>
          </w:p>
        </w:tc>
      </w:tr>
      <w:tr w:rsidR="002D7080" w:rsidRPr="004D1E6F" w14:paraId="278E42D3" w14:textId="77777777" w:rsidTr="002E2C37">
        <w:tc>
          <w:tcPr>
            <w:tcW w:w="1555" w:type="dxa"/>
            <w:shd w:val="clear" w:color="auto" w:fill="D9D9D9" w:themeFill="background1" w:themeFillShade="D9"/>
          </w:tcPr>
          <w:p w14:paraId="12F0BE43"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CON4</w:t>
            </w:r>
          </w:p>
        </w:tc>
        <w:tc>
          <w:tcPr>
            <w:tcW w:w="5953" w:type="dxa"/>
            <w:shd w:val="clear" w:color="auto" w:fill="F2F2F2" w:themeFill="background1" w:themeFillShade="F2"/>
          </w:tcPr>
          <w:p w14:paraId="38BFD041"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Socio-economic impact of closely related taxa</w:t>
            </w:r>
          </w:p>
        </w:tc>
        <w:tc>
          <w:tcPr>
            <w:tcW w:w="1508" w:type="dxa"/>
          </w:tcPr>
          <w:p w14:paraId="31A52521"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sz w:val="20"/>
                <w:szCs w:val="20"/>
                <w:lang w:eastAsia="en-ZA"/>
              </w:rPr>
              <w:t xml:space="preserve">Not scored as CON2 scored </w:t>
            </w:r>
          </w:p>
        </w:tc>
      </w:tr>
      <w:tr w:rsidR="002D7080" w:rsidRPr="004D1E6F" w14:paraId="1CB0914C" w14:textId="77777777" w:rsidTr="002E2C37">
        <w:tc>
          <w:tcPr>
            <w:tcW w:w="1555" w:type="dxa"/>
            <w:shd w:val="clear" w:color="auto" w:fill="D9D9D9" w:themeFill="background1" w:themeFillShade="D9"/>
          </w:tcPr>
          <w:p w14:paraId="17A65858"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CON5</w:t>
            </w:r>
          </w:p>
        </w:tc>
        <w:tc>
          <w:tcPr>
            <w:tcW w:w="5953" w:type="dxa"/>
            <w:shd w:val="clear" w:color="auto" w:fill="F2F2F2" w:themeFill="background1" w:themeFillShade="F2"/>
          </w:tcPr>
          <w:p w14:paraId="6397EA9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Potential impact based on traits, experiments, or models</w:t>
            </w:r>
          </w:p>
        </w:tc>
        <w:tc>
          <w:tcPr>
            <w:tcW w:w="1508" w:type="dxa"/>
          </w:tcPr>
          <w:p w14:paraId="560F1BF6" w14:textId="77777777" w:rsidR="002D7080" w:rsidRPr="00F709B2" w:rsidRDefault="002D7080" w:rsidP="002E2C37">
            <w:pPr>
              <w:rPr>
                <w:rFonts w:ascii="Times New Roman" w:eastAsia="Times New Roman" w:hAnsi="Times New Roman" w:cs="Times New Roman"/>
                <w:sz w:val="20"/>
                <w:szCs w:val="20"/>
                <w:lang w:eastAsia="en-ZA"/>
              </w:rPr>
            </w:pPr>
            <w:r w:rsidRPr="00F709B2">
              <w:rPr>
                <w:rFonts w:ascii="Times New Roman" w:eastAsia="Times New Roman" w:hAnsi="Times New Roman" w:cs="Times New Roman"/>
                <w:sz w:val="20"/>
                <w:szCs w:val="20"/>
                <w:lang w:eastAsia="en-ZA"/>
              </w:rPr>
              <w:t>MR</w:t>
            </w:r>
          </w:p>
        </w:tc>
      </w:tr>
      <w:bookmarkEnd w:id="23"/>
    </w:tbl>
    <w:p w14:paraId="3CC2DDC9"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1AC3454F" w14:textId="77777777" w:rsidR="002D7080" w:rsidRDefault="002D7080" w:rsidP="002D7080">
      <w:pPr>
        <w:rPr>
          <w:rFonts w:ascii="Times New Roman" w:eastAsia="Times New Roman" w:hAnsi="Times New Roman" w:cs="Times New Roman"/>
          <w:b/>
          <w:sz w:val="20"/>
          <w:szCs w:val="20"/>
          <w:lang w:eastAsia="en-ZA"/>
        </w:rPr>
      </w:pPr>
      <w:r>
        <w:rPr>
          <w:rFonts w:ascii="Times New Roman" w:eastAsia="Times New Roman" w:hAnsi="Times New Roman" w:cs="Times New Roman"/>
          <w:b/>
          <w:sz w:val="20"/>
          <w:szCs w:val="20"/>
          <w:lang w:eastAsia="en-ZA"/>
        </w:rPr>
        <w:br w:type="page"/>
      </w:r>
    </w:p>
    <w:p w14:paraId="5046A0A5"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lastRenderedPageBreak/>
        <w:t>Risk score = High</w:t>
      </w:r>
    </w:p>
    <w:p w14:paraId="408DB594" w14:textId="77777777" w:rsidR="002D7080" w:rsidRPr="004D1E6F" w:rsidRDefault="002D7080" w:rsidP="002D7080">
      <w:pPr>
        <w:spacing w:after="0" w:line="240" w:lineRule="auto"/>
        <w:rPr>
          <w:rFonts w:ascii="Times New Roman" w:hAnsi="Times New Roman" w:cs="Times New Roman"/>
          <w:sz w:val="20"/>
          <w:szCs w:val="20"/>
        </w:rPr>
      </w:pPr>
    </w:p>
    <w:tbl>
      <w:tblPr>
        <w:tblW w:w="7700" w:type="dxa"/>
        <w:jc w:val="center"/>
        <w:tblCellMar>
          <w:left w:w="70" w:type="dxa"/>
          <w:right w:w="70" w:type="dxa"/>
        </w:tblCellMar>
        <w:tblLook w:val="04A0" w:firstRow="1" w:lastRow="0" w:firstColumn="1" w:lastColumn="0" w:noHBand="0" w:noVBand="1"/>
      </w:tblPr>
      <w:tblGrid>
        <w:gridCol w:w="440"/>
        <w:gridCol w:w="2060"/>
        <w:gridCol w:w="1004"/>
        <w:gridCol w:w="953"/>
        <w:gridCol w:w="1223"/>
        <w:gridCol w:w="953"/>
        <w:gridCol w:w="1067"/>
      </w:tblGrid>
      <w:tr w:rsidR="002D7080" w:rsidRPr="004D1E6F" w14:paraId="136DBDD7" w14:textId="77777777" w:rsidTr="002E2C37">
        <w:trPr>
          <w:trHeight w:val="231"/>
          <w:jc w:val="center"/>
        </w:trPr>
        <w:tc>
          <w:tcPr>
            <w:tcW w:w="440" w:type="dxa"/>
            <w:vMerge w:val="restart"/>
            <w:tcBorders>
              <w:top w:val="nil"/>
              <w:left w:val="nil"/>
              <w:bottom w:val="single" w:sz="4" w:space="0" w:color="000000"/>
              <w:right w:val="nil"/>
            </w:tcBorders>
            <w:noWrap/>
            <w:vAlign w:val="bottom"/>
            <w:hideMark/>
          </w:tcPr>
          <w:p w14:paraId="177BCE3A"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 </w:t>
            </w:r>
          </w:p>
        </w:tc>
        <w:tc>
          <w:tcPr>
            <w:tcW w:w="2060" w:type="dxa"/>
            <w:vMerge w:val="restart"/>
            <w:tcBorders>
              <w:top w:val="nil"/>
              <w:left w:val="nil"/>
              <w:bottom w:val="single" w:sz="4" w:space="0" w:color="000000"/>
              <w:right w:val="single" w:sz="4" w:space="0" w:color="auto"/>
            </w:tcBorders>
            <w:noWrap/>
            <w:vAlign w:val="bottom"/>
            <w:hideMark/>
          </w:tcPr>
          <w:p w14:paraId="03A34A49" w14:textId="77777777" w:rsidR="002D7080" w:rsidRPr="004D1E6F" w:rsidRDefault="002D7080" w:rsidP="002E2C37">
            <w:pPr>
              <w:spacing w:after="0" w:line="240" w:lineRule="auto"/>
              <w:jc w:val="center"/>
              <w:rPr>
                <w:rFonts w:ascii="Times New Roman" w:eastAsia="Times New Roman" w:hAnsi="Times New Roman" w:cs="Times New Roman"/>
                <w:b/>
                <w:bCs/>
                <w:sz w:val="18"/>
                <w:szCs w:val="18"/>
                <w:lang w:eastAsia="de-CH"/>
              </w:rPr>
            </w:pPr>
            <w:r w:rsidRPr="004D1E6F">
              <w:rPr>
                <w:rFonts w:ascii="Times New Roman" w:eastAsia="Times New Roman" w:hAnsi="Times New Roman" w:cs="Times New Roman"/>
                <w:b/>
                <w:bCs/>
                <w:sz w:val="18"/>
                <w:szCs w:val="18"/>
                <w:lang w:eastAsia="de-CH"/>
              </w:rPr>
              <w:t> </w:t>
            </w:r>
          </w:p>
        </w:tc>
        <w:tc>
          <w:tcPr>
            <w:tcW w:w="5200" w:type="dxa"/>
            <w:gridSpan w:val="5"/>
            <w:tcBorders>
              <w:left w:val="nil"/>
              <w:bottom w:val="single" w:sz="4" w:space="0" w:color="auto"/>
              <w:right w:val="single" w:sz="4" w:space="0" w:color="auto"/>
            </w:tcBorders>
            <w:shd w:val="clear" w:color="auto" w:fill="D9D9D9" w:themeFill="background1" w:themeFillShade="D9"/>
            <w:noWrap/>
            <w:vAlign w:val="bottom"/>
            <w:hideMark/>
          </w:tcPr>
          <w:p w14:paraId="2A658360" w14:textId="77777777" w:rsidR="002D7080" w:rsidRPr="004D1E6F" w:rsidRDefault="002D7080" w:rsidP="002E2C37">
            <w:pPr>
              <w:spacing w:after="0" w:line="240" w:lineRule="auto"/>
              <w:jc w:val="center"/>
              <w:rPr>
                <w:rFonts w:ascii="Times New Roman" w:eastAsia="Times New Roman" w:hAnsi="Times New Roman" w:cs="Times New Roman"/>
                <w:b/>
                <w:bCs/>
                <w:sz w:val="18"/>
                <w:szCs w:val="18"/>
                <w:lang w:eastAsia="de-CH"/>
              </w:rPr>
            </w:pPr>
            <w:r w:rsidRPr="004D1E6F">
              <w:rPr>
                <w:rFonts w:ascii="Times New Roman" w:eastAsia="Times New Roman" w:hAnsi="Times New Roman" w:cs="Times New Roman"/>
                <w:b/>
                <w:bCs/>
                <w:sz w:val="18"/>
                <w:szCs w:val="18"/>
                <w:lang w:eastAsia="de-CH"/>
              </w:rPr>
              <w:t>Consequences</w:t>
            </w:r>
          </w:p>
        </w:tc>
      </w:tr>
      <w:tr w:rsidR="002D7080" w:rsidRPr="004D1E6F" w14:paraId="196F4FD4" w14:textId="77777777" w:rsidTr="002E2C37">
        <w:trPr>
          <w:trHeight w:val="281"/>
          <w:jc w:val="center"/>
        </w:trPr>
        <w:tc>
          <w:tcPr>
            <w:tcW w:w="440" w:type="dxa"/>
            <w:vMerge/>
            <w:tcBorders>
              <w:top w:val="nil"/>
              <w:left w:val="nil"/>
              <w:bottom w:val="single" w:sz="4" w:space="0" w:color="auto"/>
              <w:right w:val="nil"/>
            </w:tcBorders>
            <w:vAlign w:val="center"/>
            <w:hideMark/>
          </w:tcPr>
          <w:p w14:paraId="74188AEA"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vMerge/>
            <w:tcBorders>
              <w:top w:val="nil"/>
              <w:left w:val="nil"/>
              <w:bottom w:val="single" w:sz="4" w:space="0" w:color="auto"/>
              <w:right w:val="single" w:sz="4" w:space="0" w:color="auto"/>
            </w:tcBorders>
            <w:vAlign w:val="center"/>
            <w:hideMark/>
          </w:tcPr>
          <w:p w14:paraId="6C961A7B" w14:textId="77777777" w:rsidR="002D7080" w:rsidRPr="004D1E6F" w:rsidRDefault="002D7080" w:rsidP="002E2C37">
            <w:pPr>
              <w:spacing w:after="0" w:line="240" w:lineRule="auto"/>
              <w:rPr>
                <w:rFonts w:ascii="Times New Roman" w:eastAsia="Times New Roman" w:hAnsi="Times New Roman" w:cs="Times New Roman"/>
                <w:b/>
                <w:bCs/>
                <w:sz w:val="18"/>
                <w:szCs w:val="18"/>
                <w:lang w:eastAsia="de-CH"/>
              </w:rPr>
            </w:pPr>
          </w:p>
        </w:tc>
        <w:tc>
          <w:tcPr>
            <w:tcW w:w="100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582DB0A"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MC</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81A004D"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MN</w:t>
            </w:r>
          </w:p>
        </w:tc>
        <w:tc>
          <w:tcPr>
            <w:tcW w:w="1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388A5281"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MO</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2D8BF21C"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MR</w:t>
            </w:r>
          </w:p>
        </w:tc>
        <w:tc>
          <w:tcPr>
            <w:tcW w:w="1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6CD3EE71"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MV</w:t>
            </w:r>
          </w:p>
        </w:tc>
      </w:tr>
      <w:tr w:rsidR="002D7080" w:rsidRPr="004D1E6F" w14:paraId="10683D0D" w14:textId="77777777" w:rsidTr="002E2C37">
        <w:trPr>
          <w:trHeight w:val="271"/>
          <w:jc w:val="center"/>
        </w:trPr>
        <w:tc>
          <w:tcPr>
            <w:tcW w:w="440" w:type="dxa"/>
            <w:vMerge w:val="restart"/>
            <w:tcBorders>
              <w:top w:val="single" w:sz="4" w:space="0" w:color="auto"/>
              <w:bottom w:val="single" w:sz="4" w:space="0" w:color="auto"/>
              <w:right w:val="single" w:sz="4" w:space="0" w:color="auto"/>
            </w:tcBorders>
            <w:shd w:val="clear" w:color="auto" w:fill="D9D9D9" w:themeFill="background1" w:themeFillShade="D9"/>
            <w:noWrap/>
            <w:textDirection w:val="btLr"/>
            <w:vAlign w:val="center"/>
            <w:hideMark/>
          </w:tcPr>
          <w:p w14:paraId="5E562559" w14:textId="77777777" w:rsidR="002D7080" w:rsidRPr="004D1E6F" w:rsidRDefault="002D7080" w:rsidP="002E2C37">
            <w:pPr>
              <w:spacing w:after="0" w:line="240" w:lineRule="auto"/>
              <w:jc w:val="center"/>
              <w:rPr>
                <w:rFonts w:ascii="Times New Roman" w:eastAsia="Times New Roman" w:hAnsi="Times New Roman" w:cs="Times New Roman"/>
                <w:b/>
                <w:bCs/>
                <w:sz w:val="20"/>
                <w:szCs w:val="20"/>
                <w:lang w:eastAsia="de-CH"/>
              </w:rPr>
            </w:pPr>
            <w:r w:rsidRPr="004D1E6F">
              <w:rPr>
                <w:rFonts w:ascii="Times New Roman" w:eastAsia="Times New Roman" w:hAnsi="Times New Roman" w:cs="Times New Roman"/>
                <w:b/>
                <w:bCs/>
                <w:sz w:val="20"/>
                <w:szCs w:val="20"/>
                <w:lang w:eastAsia="de-CH"/>
              </w:rPr>
              <w:t>Likelihood</w:t>
            </w: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9E39D0D"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Extremely unlikely</w:t>
            </w:r>
          </w:p>
        </w:tc>
        <w:tc>
          <w:tcPr>
            <w:tcW w:w="1004" w:type="dxa"/>
            <w:tcBorders>
              <w:top w:val="single" w:sz="4" w:space="0" w:color="auto"/>
              <w:left w:val="nil"/>
              <w:bottom w:val="single" w:sz="4" w:space="0" w:color="auto"/>
              <w:right w:val="single" w:sz="4" w:space="0" w:color="auto"/>
            </w:tcBorders>
            <w:noWrap/>
            <w:vAlign w:val="center"/>
            <w:hideMark/>
          </w:tcPr>
          <w:p w14:paraId="1C0CCDC6"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23ED46F"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2F68864F"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7F55253"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9641AE2"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medium</w:t>
            </w:r>
          </w:p>
        </w:tc>
      </w:tr>
      <w:tr w:rsidR="002D7080" w:rsidRPr="004D1E6F" w14:paraId="480294A7" w14:textId="77777777" w:rsidTr="002E2C37">
        <w:trPr>
          <w:trHeight w:val="275"/>
          <w:jc w:val="center"/>
        </w:trPr>
        <w:tc>
          <w:tcPr>
            <w:tcW w:w="440" w:type="dxa"/>
            <w:vMerge/>
            <w:tcBorders>
              <w:top w:val="single" w:sz="4" w:space="0" w:color="auto"/>
              <w:bottom w:val="single" w:sz="4" w:space="0" w:color="auto"/>
              <w:right w:val="single" w:sz="4" w:space="0" w:color="auto"/>
            </w:tcBorders>
            <w:shd w:val="clear" w:color="auto" w:fill="D9D9D9" w:themeFill="background1" w:themeFillShade="D9"/>
            <w:vAlign w:val="center"/>
            <w:hideMark/>
          </w:tcPr>
          <w:p w14:paraId="09FAD366"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68CA1F4"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Very unlikely</w:t>
            </w:r>
          </w:p>
        </w:tc>
        <w:tc>
          <w:tcPr>
            <w:tcW w:w="1004" w:type="dxa"/>
            <w:tcBorders>
              <w:top w:val="single" w:sz="4" w:space="0" w:color="auto"/>
              <w:left w:val="nil"/>
              <w:bottom w:val="single" w:sz="4" w:space="0" w:color="auto"/>
              <w:right w:val="single" w:sz="4" w:space="0" w:color="auto"/>
            </w:tcBorders>
            <w:noWrap/>
            <w:vAlign w:val="center"/>
            <w:hideMark/>
          </w:tcPr>
          <w:p w14:paraId="0C2E0CCC"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DADAB06"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6A86F8DE"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70647DF"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27000D15"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high</w:t>
            </w:r>
          </w:p>
        </w:tc>
      </w:tr>
      <w:tr w:rsidR="002D7080" w:rsidRPr="004D1E6F" w14:paraId="3CEAA345" w14:textId="77777777" w:rsidTr="002E2C37">
        <w:trPr>
          <w:trHeight w:val="265"/>
          <w:jc w:val="center"/>
        </w:trPr>
        <w:tc>
          <w:tcPr>
            <w:tcW w:w="440" w:type="dxa"/>
            <w:vMerge/>
            <w:tcBorders>
              <w:top w:val="single" w:sz="4" w:space="0" w:color="auto"/>
              <w:bottom w:val="single" w:sz="4" w:space="0" w:color="auto"/>
              <w:right w:val="single" w:sz="4" w:space="0" w:color="auto"/>
            </w:tcBorders>
            <w:shd w:val="clear" w:color="auto" w:fill="D9D9D9" w:themeFill="background1" w:themeFillShade="D9"/>
            <w:vAlign w:val="center"/>
            <w:hideMark/>
          </w:tcPr>
          <w:p w14:paraId="260DA316"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436435A"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Unlikely</w:t>
            </w:r>
          </w:p>
        </w:tc>
        <w:tc>
          <w:tcPr>
            <w:tcW w:w="1004" w:type="dxa"/>
            <w:tcBorders>
              <w:top w:val="single" w:sz="4" w:space="0" w:color="auto"/>
              <w:left w:val="nil"/>
              <w:bottom w:val="single" w:sz="4" w:space="0" w:color="auto"/>
              <w:right w:val="single" w:sz="4" w:space="0" w:color="auto"/>
            </w:tcBorders>
            <w:noWrap/>
            <w:vAlign w:val="center"/>
            <w:hideMark/>
          </w:tcPr>
          <w:p w14:paraId="60C2D505"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D730E70"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31FDAE90"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6C1E95EA"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C6A1669"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high</w:t>
            </w:r>
          </w:p>
        </w:tc>
      </w:tr>
      <w:tr w:rsidR="002D7080" w:rsidRPr="004D1E6F" w14:paraId="56214196" w14:textId="77777777" w:rsidTr="002E2C37">
        <w:trPr>
          <w:trHeight w:val="283"/>
          <w:jc w:val="center"/>
        </w:trPr>
        <w:tc>
          <w:tcPr>
            <w:tcW w:w="440" w:type="dxa"/>
            <w:vMerge/>
            <w:tcBorders>
              <w:top w:val="single" w:sz="4" w:space="0" w:color="auto"/>
              <w:bottom w:val="single" w:sz="4" w:space="0" w:color="auto"/>
              <w:right w:val="single" w:sz="4" w:space="0" w:color="auto"/>
            </w:tcBorders>
            <w:shd w:val="clear" w:color="auto" w:fill="D9D9D9" w:themeFill="background1" w:themeFillShade="D9"/>
            <w:vAlign w:val="center"/>
            <w:hideMark/>
          </w:tcPr>
          <w:p w14:paraId="108661EA"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E670B4D"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Fairly probable</w:t>
            </w:r>
          </w:p>
        </w:tc>
        <w:tc>
          <w:tcPr>
            <w:tcW w:w="1004" w:type="dxa"/>
            <w:tcBorders>
              <w:top w:val="single" w:sz="4" w:space="0" w:color="auto"/>
              <w:left w:val="nil"/>
              <w:bottom w:val="single" w:sz="4" w:space="0" w:color="auto"/>
              <w:right w:val="single" w:sz="4" w:space="0" w:color="auto"/>
            </w:tcBorders>
            <w:noWrap/>
            <w:vAlign w:val="center"/>
            <w:hideMark/>
          </w:tcPr>
          <w:p w14:paraId="222952C7"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65972E9"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medium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509A2D95"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5D39E45"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626BA18B"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high</w:t>
            </w:r>
          </w:p>
        </w:tc>
      </w:tr>
      <w:tr w:rsidR="002D7080" w:rsidRPr="004D1E6F" w14:paraId="12952BE7" w14:textId="77777777" w:rsidTr="002E2C37">
        <w:trPr>
          <w:trHeight w:val="273"/>
          <w:jc w:val="center"/>
        </w:trPr>
        <w:tc>
          <w:tcPr>
            <w:tcW w:w="440" w:type="dxa"/>
            <w:vMerge/>
            <w:tcBorders>
              <w:top w:val="single" w:sz="4" w:space="0" w:color="auto"/>
              <w:bottom w:val="single" w:sz="4" w:space="0" w:color="auto"/>
              <w:right w:val="single" w:sz="4" w:space="0" w:color="auto"/>
            </w:tcBorders>
            <w:shd w:val="clear" w:color="auto" w:fill="D9D9D9" w:themeFill="background1" w:themeFillShade="D9"/>
            <w:vAlign w:val="center"/>
            <w:hideMark/>
          </w:tcPr>
          <w:p w14:paraId="54DE0D81" w14:textId="77777777" w:rsidR="002D7080" w:rsidRPr="004D1E6F" w:rsidRDefault="002D7080" w:rsidP="002E2C37">
            <w:pPr>
              <w:spacing w:after="0" w:line="240" w:lineRule="auto"/>
              <w:rPr>
                <w:rFonts w:ascii="Times New Roman" w:eastAsia="Times New Roman" w:hAnsi="Times New Roman" w:cs="Times New Roman"/>
                <w:b/>
                <w:bCs/>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FFFF00"/>
            <w:noWrap/>
            <w:vAlign w:val="center"/>
            <w:hideMark/>
          </w:tcPr>
          <w:p w14:paraId="65B8EAEC"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Probable</w:t>
            </w:r>
          </w:p>
        </w:tc>
        <w:tc>
          <w:tcPr>
            <w:tcW w:w="1004" w:type="dxa"/>
            <w:tcBorders>
              <w:top w:val="single" w:sz="4" w:space="0" w:color="auto"/>
              <w:left w:val="nil"/>
              <w:bottom w:val="single" w:sz="4" w:space="0" w:color="auto"/>
              <w:right w:val="single" w:sz="4" w:space="0" w:color="auto"/>
            </w:tcBorders>
            <w:noWrap/>
            <w:vAlign w:val="center"/>
            <w:hideMark/>
          </w:tcPr>
          <w:p w14:paraId="02195081"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0322681"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high</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3EFBDAD6"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high</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5F072885"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30AA5BEC" w14:textId="77777777" w:rsidR="002D7080" w:rsidRPr="004D1E6F" w:rsidRDefault="002D7080" w:rsidP="002E2C37">
            <w:pPr>
              <w:spacing w:after="0" w:line="240" w:lineRule="auto"/>
              <w:jc w:val="center"/>
              <w:rPr>
                <w:rFonts w:ascii="Times New Roman" w:eastAsia="Times New Roman" w:hAnsi="Times New Roman" w:cs="Times New Roman"/>
                <w:sz w:val="18"/>
                <w:szCs w:val="18"/>
                <w:lang w:eastAsia="de-CH"/>
              </w:rPr>
            </w:pPr>
            <w:r w:rsidRPr="004D1E6F">
              <w:rPr>
                <w:rFonts w:ascii="Times New Roman" w:eastAsia="Times New Roman" w:hAnsi="Times New Roman" w:cs="Times New Roman"/>
                <w:sz w:val="18"/>
                <w:szCs w:val="18"/>
                <w:lang w:eastAsia="de-CH"/>
              </w:rPr>
              <w:t>high</w:t>
            </w:r>
          </w:p>
        </w:tc>
      </w:tr>
    </w:tbl>
    <w:p w14:paraId="7FC1F51C" w14:textId="77777777" w:rsidR="002D7080" w:rsidRPr="004D1E6F" w:rsidRDefault="002D7080" w:rsidP="002D7080">
      <w:pPr>
        <w:spacing w:after="0" w:line="240" w:lineRule="auto"/>
        <w:rPr>
          <w:rFonts w:ascii="Times New Roman" w:hAnsi="Times New Roman" w:cs="Times New Roman"/>
          <w:sz w:val="24"/>
          <w:szCs w:val="24"/>
        </w:rPr>
      </w:pPr>
    </w:p>
    <w:p w14:paraId="4EE53C37"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Ease of management = Difficult</w:t>
      </w:r>
    </w:p>
    <w:p w14:paraId="4B43EC5C" w14:textId="77777777" w:rsidR="002D7080" w:rsidRPr="004D1E6F" w:rsidRDefault="002D7080" w:rsidP="002D7080">
      <w:pPr>
        <w:spacing w:after="0" w:line="240" w:lineRule="auto"/>
        <w:rPr>
          <w:rFonts w:ascii="Times New Roman" w:eastAsia="Times New Roman" w:hAnsi="Times New Roman" w:cs="Times New Roman"/>
          <w:sz w:val="20"/>
          <w:szCs w:val="20"/>
          <w:lang w:eastAsia="en-ZA"/>
        </w:rPr>
      </w:pPr>
    </w:p>
    <w:tbl>
      <w:tblPr>
        <w:tblpPr w:leftFromText="180" w:rightFromText="180" w:vertAnchor="text" w:tblpXSpec="center" w:tblpY="1"/>
        <w:tblOverlap w:val="never"/>
        <w:tblW w:w="6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4291"/>
        <w:gridCol w:w="1172"/>
      </w:tblGrid>
      <w:tr w:rsidR="002D7080" w:rsidRPr="004D1E6F" w14:paraId="6A4AB335" w14:textId="77777777" w:rsidTr="002E2C37">
        <w:trPr>
          <w:trHeight w:val="272"/>
        </w:trPr>
        <w:tc>
          <w:tcPr>
            <w:tcW w:w="1195" w:type="dxa"/>
            <w:shd w:val="clear" w:color="auto" w:fill="D9D9D9" w:themeFill="background1" w:themeFillShade="D9"/>
            <w:vAlign w:val="center"/>
          </w:tcPr>
          <w:p w14:paraId="07CF7239"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Parameter</w:t>
            </w:r>
          </w:p>
        </w:tc>
        <w:tc>
          <w:tcPr>
            <w:tcW w:w="4291" w:type="dxa"/>
            <w:shd w:val="clear" w:color="auto" w:fill="D9D9D9" w:themeFill="background1" w:themeFillShade="D9"/>
            <w:vAlign w:val="center"/>
          </w:tcPr>
          <w:p w14:paraId="3C5D9E4B"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Question</w:t>
            </w:r>
          </w:p>
        </w:tc>
        <w:tc>
          <w:tcPr>
            <w:tcW w:w="1172" w:type="dxa"/>
            <w:shd w:val="clear" w:color="auto" w:fill="D9D9D9" w:themeFill="background1" w:themeFillShade="D9"/>
            <w:vAlign w:val="center"/>
          </w:tcPr>
          <w:p w14:paraId="6E8E75D1"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Response</w:t>
            </w:r>
          </w:p>
        </w:tc>
      </w:tr>
      <w:tr w:rsidR="002D7080" w:rsidRPr="004D1E6F" w14:paraId="0AA2E0A7" w14:textId="77777777" w:rsidTr="002E2C37">
        <w:trPr>
          <w:trHeight w:val="305"/>
        </w:trPr>
        <w:tc>
          <w:tcPr>
            <w:tcW w:w="1195" w:type="dxa"/>
            <w:shd w:val="clear" w:color="auto" w:fill="D9D9D9" w:themeFill="background1" w:themeFillShade="D9"/>
            <w:vAlign w:val="center"/>
          </w:tcPr>
          <w:p w14:paraId="4EC9E1D4"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MAN3a</w:t>
            </w:r>
          </w:p>
        </w:tc>
        <w:tc>
          <w:tcPr>
            <w:tcW w:w="4291" w:type="dxa"/>
            <w:shd w:val="clear" w:color="auto" w:fill="D9D9D9" w:themeFill="background1" w:themeFillShade="D9"/>
            <w:vAlign w:val="center"/>
          </w:tcPr>
          <w:p w14:paraId="31E9593C" w14:textId="77777777" w:rsidR="002D7080" w:rsidRPr="004D1E6F" w:rsidRDefault="002D7080" w:rsidP="002E2C37">
            <w:pPr>
              <w:tabs>
                <w:tab w:val="left" w:pos="1223"/>
              </w:tabs>
              <w:spacing w:after="0" w:line="240" w:lineRule="auto"/>
              <w:rPr>
                <w:rFonts w:ascii="Times New Roman" w:hAnsi="Times New Roman" w:cs="Times New Roman"/>
                <w:sz w:val="20"/>
                <w:szCs w:val="20"/>
              </w:rPr>
            </w:pPr>
            <w:r w:rsidRPr="004D1E6F">
              <w:rPr>
                <w:rFonts w:ascii="Times New Roman" w:hAnsi="Times New Roman" w:cs="Times New Roman"/>
                <w:sz w:val="20"/>
                <w:szCs w:val="20"/>
              </w:rPr>
              <w:t xml:space="preserve">How accessible are populations? </w:t>
            </w:r>
          </w:p>
        </w:tc>
        <w:tc>
          <w:tcPr>
            <w:tcW w:w="1172" w:type="dxa"/>
            <w:vAlign w:val="center"/>
          </w:tcPr>
          <w:p w14:paraId="601116C1" w14:textId="77777777" w:rsidR="002D7080" w:rsidRPr="004D1E6F" w:rsidRDefault="002D7080" w:rsidP="002E2C37">
            <w:pPr>
              <w:tabs>
                <w:tab w:val="left" w:pos="1250"/>
              </w:tabs>
              <w:spacing w:after="0" w:line="240" w:lineRule="auto"/>
              <w:rPr>
                <w:rFonts w:ascii="Times New Roman" w:hAnsi="Times New Roman" w:cs="Times New Roman"/>
                <w:sz w:val="20"/>
                <w:szCs w:val="20"/>
              </w:rPr>
            </w:pPr>
            <w:r w:rsidRPr="004D1E6F">
              <w:rPr>
                <w:rFonts w:ascii="Times New Roman" w:hAnsi="Times New Roman" w:cs="Times New Roman"/>
                <w:sz w:val="20"/>
                <w:szCs w:val="20"/>
              </w:rPr>
              <w:t>2</w:t>
            </w:r>
          </w:p>
        </w:tc>
      </w:tr>
      <w:tr w:rsidR="002D7080" w:rsidRPr="004D1E6F" w14:paraId="0F2FAB3B" w14:textId="77777777" w:rsidTr="002E2C37">
        <w:trPr>
          <w:trHeight w:val="274"/>
        </w:trPr>
        <w:tc>
          <w:tcPr>
            <w:tcW w:w="1195" w:type="dxa"/>
            <w:shd w:val="clear" w:color="auto" w:fill="D9D9D9" w:themeFill="background1" w:themeFillShade="D9"/>
            <w:vAlign w:val="center"/>
          </w:tcPr>
          <w:p w14:paraId="259127C8"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MAN3b</w:t>
            </w:r>
          </w:p>
        </w:tc>
        <w:tc>
          <w:tcPr>
            <w:tcW w:w="4291" w:type="dxa"/>
            <w:shd w:val="clear" w:color="auto" w:fill="D9D9D9" w:themeFill="background1" w:themeFillShade="D9"/>
            <w:vAlign w:val="center"/>
          </w:tcPr>
          <w:p w14:paraId="4CAFF793"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Is detectability critically time-dependent?</w:t>
            </w:r>
          </w:p>
        </w:tc>
        <w:tc>
          <w:tcPr>
            <w:tcW w:w="1172" w:type="dxa"/>
            <w:vAlign w:val="center"/>
          </w:tcPr>
          <w:p w14:paraId="15B9AD07"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2</w:t>
            </w:r>
          </w:p>
        </w:tc>
      </w:tr>
      <w:tr w:rsidR="002D7080" w:rsidRPr="004D1E6F" w14:paraId="128DAD73" w14:textId="77777777" w:rsidTr="002E2C37">
        <w:trPr>
          <w:trHeight w:val="274"/>
        </w:trPr>
        <w:tc>
          <w:tcPr>
            <w:tcW w:w="1195" w:type="dxa"/>
            <w:shd w:val="clear" w:color="auto" w:fill="D9D9D9" w:themeFill="background1" w:themeFillShade="D9"/>
            <w:vAlign w:val="center"/>
          </w:tcPr>
          <w:p w14:paraId="32C8A710"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MAN3c</w:t>
            </w:r>
          </w:p>
        </w:tc>
        <w:tc>
          <w:tcPr>
            <w:tcW w:w="4291" w:type="dxa"/>
            <w:shd w:val="clear" w:color="auto" w:fill="D9D9D9" w:themeFill="background1" w:themeFillShade="D9"/>
            <w:vAlign w:val="center"/>
          </w:tcPr>
          <w:p w14:paraId="56BDE63B"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Time to reproduction</w:t>
            </w:r>
          </w:p>
        </w:tc>
        <w:tc>
          <w:tcPr>
            <w:tcW w:w="1172" w:type="dxa"/>
            <w:vAlign w:val="center"/>
          </w:tcPr>
          <w:p w14:paraId="4E3641F8"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2</w:t>
            </w:r>
          </w:p>
        </w:tc>
      </w:tr>
      <w:tr w:rsidR="002D7080" w:rsidRPr="004D1E6F" w14:paraId="12015972" w14:textId="77777777" w:rsidTr="002E2C37">
        <w:trPr>
          <w:trHeight w:val="280"/>
        </w:trPr>
        <w:tc>
          <w:tcPr>
            <w:tcW w:w="1195" w:type="dxa"/>
            <w:shd w:val="clear" w:color="auto" w:fill="D9D9D9" w:themeFill="background1" w:themeFillShade="D9"/>
            <w:vAlign w:val="center"/>
          </w:tcPr>
          <w:p w14:paraId="6043CCE6" w14:textId="77777777" w:rsidR="002D7080" w:rsidRPr="004D1E6F" w:rsidRDefault="002D7080" w:rsidP="002E2C37">
            <w:pPr>
              <w:spacing w:after="0" w:line="240" w:lineRule="auto"/>
              <w:jc w:val="center"/>
              <w:rPr>
                <w:rFonts w:ascii="Times New Roman" w:hAnsi="Times New Roman" w:cs="Times New Roman"/>
                <w:sz w:val="20"/>
                <w:szCs w:val="20"/>
              </w:rPr>
            </w:pPr>
            <w:r w:rsidRPr="004D1E6F">
              <w:rPr>
                <w:rFonts w:ascii="Times New Roman" w:hAnsi="Times New Roman" w:cs="Times New Roman"/>
                <w:sz w:val="20"/>
                <w:szCs w:val="20"/>
              </w:rPr>
              <w:t>MAN3d</w:t>
            </w:r>
          </w:p>
        </w:tc>
        <w:tc>
          <w:tcPr>
            <w:tcW w:w="4291" w:type="dxa"/>
            <w:shd w:val="clear" w:color="auto" w:fill="D9D9D9" w:themeFill="background1" w:themeFillShade="D9"/>
            <w:vAlign w:val="center"/>
          </w:tcPr>
          <w:p w14:paraId="24186F45"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Propagule persistence</w:t>
            </w:r>
          </w:p>
        </w:tc>
        <w:tc>
          <w:tcPr>
            <w:tcW w:w="1172" w:type="dxa"/>
            <w:vAlign w:val="center"/>
          </w:tcPr>
          <w:p w14:paraId="58716A21"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0</w:t>
            </w:r>
          </w:p>
        </w:tc>
      </w:tr>
      <w:tr w:rsidR="002D7080" w:rsidRPr="004D1E6F" w14:paraId="61978AF8" w14:textId="77777777" w:rsidTr="002E2C37">
        <w:trPr>
          <w:trHeight w:val="248"/>
        </w:trPr>
        <w:tc>
          <w:tcPr>
            <w:tcW w:w="1195" w:type="dxa"/>
            <w:tcBorders>
              <w:top w:val="double" w:sz="4" w:space="0" w:color="auto"/>
            </w:tcBorders>
            <w:shd w:val="clear" w:color="auto" w:fill="D9D9D9" w:themeFill="background1" w:themeFillShade="D9"/>
            <w:vAlign w:val="center"/>
          </w:tcPr>
          <w:p w14:paraId="58D11BA4" w14:textId="77777777" w:rsidR="002D7080" w:rsidRPr="004D1E6F" w:rsidRDefault="002D7080" w:rsidP="002E2C37">
            <w:pPr>
              <w:spacing w:after="0" w:line="240" w:lineRule="auto"/>
              <w:jc w:val="center"/>
              <w:rPr>
                <w:rFonts w:ascii="Times New Roman" w:hAnsi="Times New Roman" w:cs="Times New Roman"/>
                <w:b/>
                <w:sz w:val="20"/>
                <w:szCs w:val="20"/>
              </w:rPr>
            </w:pPr>
            <w:r w:rsidRPr="004D1E6F">
              <w:rPr>
                <w:rFonts w:ascii="Times New Roman" w:hAnsi="Times New Roman" w:cs="Times New Roman"/>
                <w:b/>
                <w:sz w:val="20"/>
                <w:szCs w:val="20"/>
              </w:rPr>
              <w:t>MAN3</w:t>
            </w:r>
          </w:p>
        </w:tc>
        <w:tc>
          <w:tcPr>
            <w:tcW w:w="4291" w:type="dxa"/>
            <w:tcBorders>
              <w:top w:val="double" w:sz="4" w:space="0" w:color="auto"/>
            </w:tcBorders>
            <w:shd w:val="clear" w:color="auto" w:fill="D9D9D9" w:themeFill="background1" w:themeFillShade="D9"/>
            <w:vAlign w:val="center"/>
          </w:tcPr>
          <w:p w14:paraId="691E4961" w14:textId="77777777" w:rsidR="002D7080" w:rsidRPr="004D1E6F" w:rsidRDefault="002D7080" w:rsidP="002E2C37">
            <w:pPr>
              <w:spacing w:after="0" w:line="240" w:lineRule="auto"/>
              <w:rPr>
                <w:rFonts w:ascii="Times New Roman" w:hAnsi="Times New Roman" w:cs="Times New Roman"/>
                <w:b/>
                <w:sz w:val="20"/>
                <w:szCs w:val="20"/>
              </w:rPr>
            </w:pPr>
            <w:r w:rsidRPr="004D1E6F">
              <w:rPr>
                <w:rFonts w:ascii="Times New Roman" w:hAnsi="Times New Roman" w:cs="Times New Roman"/>
                <w:b/>
                <w:sz w:val="20"/>
                <w:szCs w:val="20"/>
              </w:rPr>
              <w:t>SUM</w:t>
            </w:r>
          </w:p>
        </w:tc>
        <w:tc>
          <w:tcPr>
            <w:tcW w:w="1172" w:type="dxa"/>
            <w:tcBorders>
              <w:top w:val="double" w:sz="4" w:space="0" w:color="auto"/>
            </w:tcBorders>
            <w:vAlign w:val="center"/>
          </w:tcPr>
          <w:p w14:paraId="49F1F02B" w14:textId="77777777" w:rsidR="002D7080" w:rsidRPr="004D1E6F" w:rsidRDefault="002D7080" w:rsidP="002E2C37">
            <w:pPr>
              <w:spacing w:after="0" w:line="240" w:lineRule="auto"/>
              <w:rPr>
                <w:rFonts w:ascii="Times New Roman" w:hAnsi="Times New Roman" w:cs="Times New Roman"/>
                <w:sz w:val="20"/>
                <w:szCs w:val="20"/>
              </w:rPr>
            </w:pPr>
            <w:r w:rsidRPr="004D1E6F">
              <w:rPr>
                <w:rFonts w:ascii="Times New Roman" w:hAnsi="Times New Roman" w:cs="Times New Roman"/>
                <w:sz w:val="20"/>
                <w:szCs w:val="20"/>
              </w:rPr>
              <w:t>6</w:t>
            </w:r>
          </w:p>
        </w:tc>
      </w:tr>
    </w:tbl>
    <w:p w14:paraId="0DBB34C6" w14:textId="77777777" w:rsidR="002D7080" w:rsidRPr="004D1E6F" w:rsidRDefault="002D7080" w:rsidP="002D7080">
      <w:pPr>
        <w:spacing w:after="0" w:line="240" w:lineRule="auto"/>
        <w:rPr>
          <w:rFonts w:ascii="Times New Roman" w:hAnsi="Times New Roman" w:cs="Times New Roman"/>
          <w:sz w:val="24"/>
          <w:szCs w:val="24"/>
        </w:rPr>
      </w:pPr>
    </w:p>
    <w:p w14:paraId="61E439E3" w14:textId="77777777" w:rsidR="002D7080" w:rsidRPr="004D1E6F" w:rsidRDefault="002D7080" w:rsidP="002D7080">
      <w:pPr>
        <w:spacing w:after="0" w:line="240" w:lineRule="auto"/>
        <w:rPr>
          <w:rFonts w:ascii="Times New Roman" w:hAnsi="Times New Roman" w:cs="Times New Roman"/>
          <w:sz w:val="24"/>
          <w:szCs w:val="24"/>
        </w:rPr>
      </w:pPr>
    </w:p>
    <w:p w14:paraId="0B8DAEE2" w14:textId="77777777" w:rsidR="002D7080" w:rsidRPr="004D1E6F" w:rsidRDefault="002D7080" w:rsidP="002D7080">
      <w:pPr>
        <w:spacing w:after="0" w:line="240" w:lineRule="auto"/>
        <w:rPr>
          <w:rFonts w:ascii="Times New Roman" w:hAnsi="Times New Roman" w:cs="Times New Roman"/>
          <w:b/>
          <w:sz w:val="24"/>
          <w:szCs w:val="24"/>
        </w:rPr>
      </w:pPr>
    </w:p>
    <w:p w14:paraId="557AB96A" w14:textId="77777777" w:rsidR="002D7080" w:rsidRPr="004D1E6F" w:rsidRDefault="002D7080" w:rsidP="002D7080">
      <w:pPr>
        <w:spacing w:after="0" w:line="240" w:lineRule="auto"/>
        <w:rPr>
          <w:rFonts w:ascii="Times New Roman" w:hAnsi="Times New Roman" w:cs="Times New Roman"/>
          <w:b/>
          <w:sz w:val="24"/>
          <w:szCs w:val="24"/>
        </w:rPr>
      </w:pPr>
    </w:p>
    <w:p w14:paraId="602802E1" w14:textId="77777777" w:rsidR="002D7080" w:rsidRPr="004D1E6F" w:rsidRDefault="002D7080" w:rsidP="002D7080">
      <w:pPr>
        <w:spacing w:after="0" w:line="240" w:lineRule="auto"/>
        <w:rPr>
          <w:rFonts w:ascii="Times New Roman" w:hAnsi="Times New Roman" w:cs="Times New Roman"/>
          <w:b/>
          <w:sz w:val="24"/>
          <w:szCs w:val="24"/>
        </w:rPr>
      </w:pPr>
    </w:p>
    <w:p w14:paraId="7A0356BD" w14:textId="77777777" w:rsidR="002D7080" w:rsidRPr="004D1E6F" w:rsidRDefault="002D7080" w:rsidP="002D7080">
      <w:pPr>
        <w:spacing w:after="0" w:line="240" w:lineRule="auto"/>
        <w:rPr>
          <w:rFonts w:ascii="Times New Roman" w:hAnsi="Times New Roman" w:cs="Times New Roman"/>
          <w:b/>
          <w:sz w:val="24"/>
          <w:szCs w:val="24"/>
        </w:rPr>
      </w:pPr>
    </w:p>
    <w:p w14:paraId="6D238B2A"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079EC9DD" w14:textId="77777777" w:rsidR="002D7080" w:rsidRDefault="002D7080" w:rsidP="002D7080">
      <w:pPr>
        <w:spacing w:after="0" w:line="240" w:lineRule="auto"/>
        <w:rPr>
          <w:rFonts w:ascii="Arial" w:eastAsia="Times New Roman" w:hAnsi="Arial" w:cs="Arial"/>
          <w:b/>
          <w:sz w:val="20"/>
          <w:szCs w:val="20"/>
          <w:lang w:eastAsia="en-ZA"/>
        </w:rPr>
      </w:pPr>
    </w:p>
    <w:p w14:paraId="71B2E3A5" w14:textId="77777777" w:rsidR="002D7080" w:rsidRDefault="002D7080" w:rsidP="002D7080">
      <w:pPr>
        <w:spacing w:after="0" w:line="240" w:lineRule="auto"/>
        <w:rPr>
          <w:rFonts w:ascii="Arial" w:eastAsia="Times New Roman" w:hAnsi="Arial" w:cs="Arial"/>
          <w:b/>
          <w:sz w:val="20"/>
          <w:szCs w:val="20"/>
          <w:lang w:eastAsia="en-ZA"/>
        </w:rPr>
      </w:pPr>
    </w:p>
    <w:p w14:paraId="76D43244" w14:textId="77777777" w:rsidR="002D7080" w:rsidRPr="00021DA1" w:rsidRDefault="002D7080" w:rsidP="002D7080">
      <w:pPr>
        <w:spacing w:after="0" w:line="240" w:lineRule="auto"/>
        <w:rPr>
          <w:rStyle w:val="Hyperlink"/>
          <w:rFonts w:ascii="Times New Roman" w:hAnsi="Times New Roman" w:cs="Times New Roman"/>
          <w:sz w:val="20"/>
          <w:szCs w:val="20"/>
        </w:rPr>
      </w:pPr>
      <w:r w:rsidRPr="00021DA1">
        <w:rPr>
          <w:rFonts w:ascii="Times New Roman" w:eastAsia="Times New Roman" w:hAnsi="Times New Roman" w:cs="Times New Roman"/>
          <w:b/>
          <w:sz w:val="20"/>
          <w:szCs w:val="20"/>
          <w:lang w:eastAsia="en-ZA"/>
        </w:rPr>
        <w:t>Appendix BAC7</w:t>
      </w:r>
      <w:r w:rsidRPr="00021DA1">
        <w:rPr>
          <w:rFonts w:ascii="Times New Roman" w:eastAsia="Times New Roman" w:hAnsi="Times New Roman" w:cs="Times New Roman"/>
          <w:sz w:val="20"/>
          <w:szCs w:val="20"/>
          <w:lang w:eastAsia="en-ZA"/>
        </w:rPr>
        <w:t xml:space="preserve">: </w:t>
      </w:r>
      <w:r w:rsidRPr="00021DA1">
        <w:rPr>
          <w:rFonts w:ascii="Times New Roman" w:hAnsi="Times New Roman" w:cs="Times New Roman"/>
          <w:sz w:val="20"/>
          <w:szCs w:val="20"/>
        </w:rPr>
        <w:t xml:space="preserve">Map of the native range of </w:t>
      </w:r>
      <w:r w:rsidRPr="00021DA1">
        <w:rPr>
          <w:rFonts w:ascii="Times New Roman" w:hAnsi="Times New Roman" w:cs="Times New Roman"/>
          <w:i/>
          <w:sz w:val="20"/>
          <w:szCs w:val="20"/>
        </w:rPr>
        <w:t xml:space="preserve">Procambarus clarkii </w:t>
      </w:r>
      <w:r w:rsidRPr="00021DA1">
        <w:rPr>
          <w:rFonts w:ascii="Times New Roman" w:hAnsi="Times New Roman" w:cs="Times New Roman"/>
          <w:iCs/>
          <w:sz w:val="20"/>
          <w:szCs w:val="20"/>
        </w:rPr>
        <w:t>in North America  2023</w:t>
      </w:r>
      <w:r w:rsidRPr="00021DA1">
        <w:rPr>
          <w:rFonts w:ascii="Times New Roman" w:hAnsi="Times New Roman" w:cs="Times New Roman"/>
          <w:sz w:val="20"/>
          <w:szCs w:val="20"/>
        </w:rPr>
        <w:t>. Orange indicates the native range and brown indicates non-native populations. Map accessed from: https://nas.er.usgs.gov/queries/factsheet.aspx?SpeciesID=217#:~:text=Native%20Range%3A%20Gulf%20coastal%20plain,2007).&amp;text=Nonindigenous%20Occurrences%3A,Table%201</w:t>
      </w:r>
    </w:p>
    <w:p w14:paraId="45994853" w14:textId="77777777" w:rsidR="002D7080" w:rsidRPr="00021DA1" w:rsidRDefault="002D7080" w:rsidP="002D7080">
      <w:pPr>
        <w:spacing w:after="0" w:line="240" w:lineRule="auto"/>
        <w:rPr>
          <w:rStyle w:val="Hyperlink"/>
          <w:rFonts w:ascii="Times New Roman" w:hAnsi="Times New Roman" w:cs="Times New Roman"/>
          <w:sz w:val="20"/>
          <w:szCs w:val="20"/>
        </w:rPr>
      </w:pPr>
    </w:p>
    <w:p w14:paraId="2478681A" w14:textId="77777777" w:rsidR="002D7080" w:rsidRPr="00E43DE5" w:rsidRDefault="002D7080" w:rsidP="002D7080">
      <w:pPr>
        <w:spacing w:after="0" w:line="240" w:lineRule="auto"/>
        <w:rPr>
          <w:rFonts w:ascii="Arial" w:hAnsi="Arial" w:cs="Arial"/>
          <w:sz w:val="20"/>
          <w:szCs w:val="20"/>
        </w:rPr>
      </w:pPr>
      <w:r w:rsidRPr="00E43DE5">
        <w:rPr>
          <w:rFonts w:ascii="Arial" w:hAnsi="Arial" w:cs="Arial"/>
          <w:noProof/>
          <w:sz w:val="20"/>
          <w:szCs w:val="20"/>
          <w:lang w:eastAsia="en-ZA"/>
        </w:rPr>
        <w:drawing>
          <wp:inline distT="0" distB="0" distL="0" distR="0" wp14:anchorId="1BC00801" wp14:editId="30FFCE81">
            <wp:extent cx="5731510" cy="3684270"/>
            <wp:effectExtent l="0" t="0" r="0" b="0"/>
            <wp:docPr id="1870606160"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06160" name="Picture 1" descr="A map of the united states&#10;&#10;Description automatically generated"/>
                    <pic:cNvPicPr/>
                  </pic:nvPicPr>
                  <pic:blipFill>
                    <a:blip r:embed="rId606">
                      <a:extLst>
                        <a:ext uri="{28A0092B-C50C-407E-A947-70E740481C1C}">
                          <a14:useLocalDpi xmlns:a14="http://schemas.microsoft.com/office/drawing/2010/main" val="0"/>
                        </a:ext>
                      </a:extLst>
                    </a:blip>
                    <a:stretch>
                      <a:fillRect/>
                    </a:stretch>
                  </pic:blipFill>
                  <pic:spPr>
                    <a:xfrm>
                      <a:off x="0" y="0"/>
                      <a:ext cx="5731510" cy="3684270"/>
                    </a:xfrm>
                    <a:prstGeom prst="rect">
                      <a:avLst/>
                    </a:prstGeom>
                  </pic:spPr>
                </pic:pic>
              </a:graphicData>
            </a:graphic>
          </wp:inline>
        </w:drawing>
      </w:r>
    </w:p>
    <w:p w14:paraId="3A3E8004" w14:textId="77777777" w:rsidR="002D7080" w:rsidRPr="00E43DE5" w:rsidRDefault="002D7080" w:rsidP="002D7080">
      <w:pPr>
        <w:spacing w:after="0" w:line="240" w:lineRule="auto"/>
        <w:rPr>
          <w:rFonts w:ascii="Arial" w:hAnsi="Arial" w:cs="Arial"/>
          <w:sz w:val="20"/>
          <w:szCs w:val="20"/>
        </w:rPr>
      </w:pPr>
    </w:p>
    <w:p w14:paraId="0AC1F9BD" w14:textId="77777777" w:rsidR="002D7080" w:rsidRPr="00E43DE5" w:rsidRDefault="002D7080" w:rsidP="002D7080">
      <w:pPr>
        <w:spacing w:after="0" w:line="240" w:lineRule="auto"/>
        <w:jc w:val="center"/>
        <w:rPr>
          <w:rFonts w:ascii="Arial" w:hAnsi="Arial" w:cs="Arial"/>
          <w:sz w:val="20"/>
          <w:szCs w:val="20"/>
        </w:rPr>
      </w:pPr>
    </w:p>
    <w:p w14:paraId="4E968ACC" w14:textId="77777777" w:rsidR="002D7080" w:rsidRDefault="002D7080" w:rsidP="002D7080">
      <w:pPr>
        <w:rPr>
          <w:rFonts w:ascii="Arial" w:eastAsia="Times New Roman" w:hAnsi="Arial" w:cs="Arial"/>
          <w:b/>
          <w:sz w:val="20"/>
          <w:szCs w:val="20"/>
          <w:lang w:eastAsia="en-ZA"/>
        </w:rPr>
      </w:pPr>
      <w:r>
        <w:rPr>
          <w:rFonts w:ascii="Arial" w:eastAsia="Times New Roman" w:hAnsi="Arial" w:cs="Arial"/>
          <w:b/>
          <w:sz w:val="20"/>
          <w:szCs w:val="20"/>
          <w:lang w:eastAsia="en-ZA"/>
        </w:rPr>
        <w:br w:type="page"/>
      </w:r>
    </w:p>
    <w:p w14:paraId="0057845D" w14:textId="77777777" w:rsidR="002D7080" w:rsidRPr="00021DA1" w:rsidRDefault="002D7080" w:rsidP="002D7080">
      <w:pPr>
        <w:spacing w:after="0" w:line="240" w:lineRule="auto"/>
        <w:rPr>
          <w:rFonts w:ascii="Times New Roman" w:eastAsia="Times New Roman" w:hAnsi="Times New Roman" w:cs="Times New Roman"/>
          <w:iCs/>
          <w:sz w:val="20"/>
          <w:szCs w:val="20"/>
          <w:lang w:eastAsia="en-ZA"/>
        </w:rPr>
      </w:pPr>
      <w:r w:rsidRPr="00021DA1">
        <w:rPr>
          <w:rFonts w:ascii="Times New Roman" w:eastAsia="Times New Roman" w:hAnsi="Times New Roman" w:cs="Times New Roman"/>
          <w:b/>
          <w:sz w:val="20"/>
          <w:szCs w:val="20"/>
          <w:lang w:eastAsia="en-ZA"/>
        </w:rPr>
        <w:lastRenderedPageBreak/>
        <w:t>Appendix BAC8(a)</w:t>
      </w:r>
      <w:r w:rsidRPr="00021DA1">
        <w:rPr>
          <w:rFonts w:ascii="Times New Roman" w:eastAsia="Times New Roman" w:hAnsi="Times New Roman" w:cs="Times New Roman"/>
          <w:sz w:val="20"/>
          <w:szCs w:val="20"/>
          <w:lang w:eastAsia="en-ZA"/>
        </w:rPr>
        <w:t xml:space="preserve">: Map of the global alien range of </w:t>
      </w:r>
      <w:r w:rsidRPr="00021DA1">
        <w:rPr>
          <w:rFonts w:ascii="Times New Roman" w:eastAsia="Times New Roman" w:hAnsi="Times New Roman" w:cs="Times New Roman"/>
          <w:i/>
          <w:sz w:val="20"/>
          <w:szCs w:val="20"/>
          <w:lang w:eastAsia="en-ZA"/>
        </w:rPr>
        <w:t xml:space="preserve">Procambarus clarkii </w:t>
      </w:r>
      <w:r w:rsidRPr="00021DA1">
        <w:rPr>
          <w:rFonts w:ascii="Times New Roman" w:eastAsia="Times New Roman" w:hAnsi="Times New Roman" w:cs="Times New Roman"/>
          <w:iCs/>
          <w:sz w:val="20"/>
          <w:szCs w:val="20"/>
          <w:lang w:eastAsia="en-ZA"/>
        </w:rPr>
        <w:t>(indicated in red)</w:t>
      </w:r>
      <w:r w:rsidRPr="00021DA1">
        <w:rPr>
          <w:rFonts w:ascii="Times New Roman" w:eastAsia="Times New Roman" w:hAnsi="Times New Roman" w:cs="Times New Roman"/>
          <w:i/>
          <w:sz w:val="20"/>
          <w:szCs w:val="20"/>
          <w:lang w:eastAsia="en-ZA"/>
        </w:rPr>
        <w:t xml:space="preserve">. </w:t>
      </w:r>
      <w:r w:rsidRPr="00021DA1">
        <w:rPr>
          <w:rFonts w:ascii="Times New Roman" w:eastAsia="Times New Roman" w:hAnsi="Times New Roman" w:cs="Times New Roman"/>
          <w:iCs/>
          <w:sz w:val="20"/>
          <w:szCs w:val="20"/>
          <w:lang w:eastAsia="en-ZA"/>
        </w:rPr>
        <w:t xml:space="preserve">Map obtained from Loureiro et al. (2015). </w:t>
      </w:r>
    </w:p>
    <w:p w14:paraId="387D8581" w14:textId="77777777" w:rsidR="002D7080" w:rsidRPr="00021DA1" w:rsidRDefault="002D7080" w:rsidP="002D7080">
      <w:pPr>
        <w:spacing w:after="0" w:line="240" w:lineRule="auto"/>
        <w:rPr>
          <w:rFonts w:ascii="Times New Roman" w:eastAsia="Times New Roman" w:hAnsi="Times New Roman" w:cs="Times New Roman"/>
          <w:b/>
          <w:sz w:val="20"/>
          <w:szCs w:val="20"/>
          <w:lang w:eastAsia="en-ZA"/>
        </w:rPr>
      </w:pPr>
    </w:p>
    <w:p w14:paraId="427775AA" w14:textId="77777777" w:rsidR="002D7080" w:rsidRPr="00E43DE5" w:rsidRDefault="002D7080" w:rsidP="002D7080">
      <w:pPr>
        <w:spacing w:after="0" w:line="240" w:lineRule="auto"/>
        <w:rPr>
          <w:rFonts w:ascii="Arial" w:eastAsia="Times New Roman" w:hAnsi="Arial" w:cs="Arial"/>
          <w:b/>
          <w:sz w:val="20"/>
          <w:szCs w:val="20"/>
          <w:lang w:eastAsia="en-ZA"/>
        </w:rPr>
      </w:pPr>
      <w:r w:rsidRPr="00E43DE5">
        <w:rPr>
          <w:rFonts w:ascii="Arial" w:eastAsia="Times New Roman" w:hAnsi="Arial" w:cs="Arial"/>
          <w:b/>
          <w:noProof/>
          <w:sz w:val="20"/>
          <w:szCs w:val="20"/>
          <w:lang w:eastAsia="en-ZA"/>
        </w:rPr>
        <w:drawing>
          <wp:inline distT="0" distB="0" distL="0" distR="0" wp14:anchorId="60A1F0EB" wp14:editId="3FA46134">
            <wp:extent cx="5731510" cy="2858135"/>
            <wp:effectExtent l="0" t="0" r="2540" b="0"/>
            <wp:docPr id="1836401251" name="Picture 183640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ureiro et al..PNG"/>
                    <pic:cNvPicPr/>
                  </pic:nvPicPr>
                  <pic:blipFill>
                    <a:blip r:embed="rId607">
                      <a:extLst>
                        <a:ext uri="{28A0092B-C50C-407E-A947-70E740481C1C}">
                          <a14:useLocalDpi xmlns:a14="http://schemas.microsoft.com/office/drawing/2010/main" val="0"/>
                        </a:ext>
                      </a:extLst>
                    </a:blip>
                    <a:stretch>
                      <a:fillRect/>
                    </a:stretch>
                  </pic:blipFill>
                  <pic:spPr>
                    <a:xfrm>
                      <a:off x="0" y="0"/>
                      <a:ext cx="5731510" cy="2858135"/>
                    </a:xfrm>
                    <a:prstGeom prst="rect">
                      <a:avLst/>
                    </a:prstGeom>
                  </pic:spPr>
                </pic:pic>
              </a:graphicData>
            </a:graphic>
          </wp:inline>
        </w:drawing>
      </w:r>
    </w:p>
    <w:p w14:paraId="7BE9CDC6" w14:textId="77777777" w:rsidR="002D7080" w:rsidRDefault="002D7080" w:rsidP="002D7080">
      <w:pPr>
        <w:spacing w:after="0" w:line="240" w:lineRule="auto"/>
        <w:rPr>
          <w:rFonts w:ascii="Arial" w:eastAsia="Times New Roman" w:hAnsi="Arial" w:cs="Arial"/>
          <w:b/>
          <w:sz w:val="20"/>
          <w:szCs w:val="20"/>
          <w:lang w:eastAsia="en-ZA"/>
        </w:rPr>
      </w:pPr>
    </w:p>
    <w:p w14:paraId="53882F06" w14:textId="77777777" w:rsidR="002D7080" w:rsidRPr="00021DA1" w:rsidRDefault="002D7080" w:rsidP="002D7080">
      <w:pPr>
        <w:spacing w:after="0" w:line="240" w:lineRule="auto"/>
        <w:rPr>
          <w:rFonts w:ascii="Times New Roman" w:eastAsia="Times New Roman" w:hAnsi="Times New Roman" w:cs="Times New Roman"/>
          <w:sz w:val="20"/>
          <w:szCs w:val="20"/>
          <w:lang w:eastAsia="en-ZA"/>
        </w:rPr>
      </w:pPr>
      <w:r w:rsidRPr="00021DA1">
        <w:rPr>
          <w:rFonts w:ascii="Times New Roman" w:eastAsia="Times New Roman" w:hAnsi="Times New Roman" w:cs="Times New Roman"/>
          <w:b/>
          <w:sz w:val="20"/>
          <w:szCs w:val="20"/>
          <w:lang w:eastAsia="en-ZA"/>
        </w:rPr>
        <w:t>Appendix BAC10</w:t>
      </w:r>
      <w:r w:rsidRPr="00021DA1">
        <w:rPr>
          <w:rFonts w:ascii="Times New Roman" w:eastAsia="Times New Roman" w:hAnsi="Times New Roman" w:cs="Times New Roman"/>
          <w:sz w:val="20"/>
          <w:szCs w:val="20"/>
          <w:lang w:eastAsia="en-ZA"/>
        </w:rPr>
        <w:t xml:space="preserve">: The South African distribution of </w:t>
      </w:r>
      <w:r w:rsidRPr="00021DA1">
        <w:rPr>
          <w:rFonts w:ascii="Times New Roman" w:eastAsia="Times New Roman" w:hAnsi="Times New Roman" w:cs="Times New Roman"/>
          <w:i/>
          <w:iCs/>
          <w:sz w:val="20"/>
          <w:szCs w:val="20"/>
          <w:lang w:eastAsia="en-ZA"/>
        </w:rPr>
        <w:t>Procambarus clarkii</w:t>
      </w:r>
      <w:r w:rsidRPr="00021DA1">
        <w:rPr>
          <w:rFonts w:ascii="Times New Roman" w:eastAsia="Times New Roman" w:hAnsi="Times New Roman" w:cs="Times New Roman"/>
          <w:sz w:val="20"/>
          <w:szCs w:val="20"/>
          <w:lang w:eastAsia="en-ZA"/>
        </w:rPr>
        <w:t xml:space="preserve">. Locality data was taken from Barkhuisen et al. (2022) and Nunes et al. (2017a). </w:t>
      </w:r>
    </w:p>
    <w:p w14:paraId="2A80CA07" w14:textId="77777777" w:rsidR="002D7080" w:rsidRPr="00021DA1" w:rsidRDefault="002D7080" w:rsidP="002D7080">
      <w:pPr>
        <w:spacing w:after="0" w:line="240" w:lineRule="auto"/>
        <w:rPr>
          <w:rFonts w:ascii="Times New Roman" w:eastAsia="Times New Roman" w:hAnsi="Times New Roman" w:cs="Times New Roman"/>
          <w:sz w:val="20"/>
          <w:szCs w:val="20"/>
          <w:lang w:eastAsia="en-ZA"/>
        </w:rPr>
      </w:pPr>
    </w:p>
    <w:p w14:paraId="29D34802" w14:textId="77777777" w:rsidR="002D7080" w:rsidRPr="00E43DE5" w:rsidRDefault="002D7080" w:rsidP="002D7080">
      <w:pPr>
        <w:spacing w:after="0" w:line="240" w:lineRule="auto"/>
        <w:jc w:val="center"/>
        <w:rPr>
          <w:rFonts w:ascii="Arial" w:hAnsi="Arial" w:cs="Arial"/>
          <w:sz w:val="20"/>
          <w:szCs w:val="20"/>
        </w:rPr>
      </w:pPr>
      <w:r w:rsidRPr="00E43DE5">
        <w:rPr>
          <w:rFonts w:ascii="Arial" w:hAnsi="Arial" w:cs="Arial"/>
          <w:noProof/>
          <w:sz w:val="20"/>
          <w:szCs w:val="20"/>
          <w:lang w:eastAsia="en-ZA"/>
        </w:rPr>
        <w:drawing>
          <wp:inline distT="0" distB="0" distL="0" distR="0" wp14:anchorId="2031EF12" wp14:editId="36AD3D96">
            <wp:extent cx="4600575" cy="3114675"/>
            <wp:effectExtent l="0" t="0" r="0" b="0"/>
            <wp:docPr id="6" name="Picture 6" descr="A map of south africa with 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ap of south africa with red squares&#10;&#10;Description automatically generated"/>
                    <pic:cNvPicPr/>
                  </pic:nvPicPr>
                  <pic:blipFill rotWithShape="1">
                    <a:blip r:embed="rId608" cstate="print">
                      <a:extLst>
                        <a:ext uri="{28A0092B-C50C-407E-A947-70E740481C1C}">
                          <a14:useLocalDpi xmlns:a14="http://schemas.microsoft.com/office/drawing/2010/main" val="0"/>
                        </a:ext>
                      </a:extLst>
                    </a:blip>
                    <a:srcRect/>
                    <a:stretch/>
                  </pic:blipFill>
                  <pic:spPr bwMode="auto">
                    <a:xfrm>
                      <a:off x="0" y="0"/>
                      <a:ext cx="4600575" cy="3114675"/>
                    </a:xfrm>
                    <a:prstGeom prst="rect">
                      <a:avLst/>
                    </a:prstGeom>
                    <a:ln>
                      <a:noFill/>
                    </a:ln>
                    <a:extLst>
                      <a:ext uri="{53640926-AAD7-44D8-BBD7-CCE9431645EC}">
                        <a14:shadowObscured xmlns:a14="http://schemas.microsoft.com/office/drawing/2010/main"/>
                      </a:ext>
                    </a:extLst>
                  </pic:spPr>
                </pic:pic>
              </a:graphicData>
            </a:graphic>
          </wp:inline>
        </w:drawing>
      </w:r>
    </w:p>
    <w:p w14:paraId="297E49EC" w14:textId="77777777" w:rsidR="002D7080" w:rsidRPr="00021DA1" w:rsidRDefault="002D7080" w:rsidP="002D7080">
      <w:pPr>
        <w:spacing w:after="0" w:line="240" w:lineRule="auto"/>
        <w:rPr>
          <w:rFonts w:ascii="Times New Roman" w:hAnsi="Times New Roman" w:cs="Times New Roman"/>
          <w:sz w:val="20"/>
          <w:szCs w:val="20"/>
        </w:rPr>
      </w:pPr>
      <w:r w:rsidRPr="00021DA1">
        <w:rPr>
          <w:rFonts w:ascii="Times New Roman" w:hAnsi="Times New Roman" w:cs="Times New Roman"/>
          <w:sz w:val="20"/>
          <w:szCs w:val="20"/>
        </w:rPr>
        <w:t>References:</w:t>
      </w:r>
    </w:p>
    <w:p w14:paraId="6CE6AA5D" w14:textId="297AC249" w:rsidR="002D7080" w:rsidRPr="00866C6D" w:rsidRDefault="00866C6D" w:rsidP="00866C6D">
      <w:pPr>
        <w:spacing w:after="0" w:line="240" w:lineRule="auto"/>
        <w:ind w:left="720" w:hanging="720"/>
        <w:rPr>
          <w:rFonts w:ascii="Times New Roman" w:hAnsi="Times New Roman" w:cs="Times New Roman"/>
          <w:iCs/>
          <w:sz w:val="20"/>
          <w:szCs w:val="20"/>
        </w:rPr>
      </w:pPr>
      <w:r w:rsidRPr="00866C6D">
        <w:rPr>
          <w:rFonts w:ascii="Times New Roman" w:hAnsi="Times New Roman" w:cs="Times New Roman"/>
          <w:iCs/>
          <w:sz w:val="20"/>
          <w:szCs w:val="20"/>
        </w:rPr>
        <w:t xml:space="preserve">Barkhuizen, L.M., Madzivanzira, T.C. &amp; South, J. 2022, ‘Population ecology of a wild population of red swamp crayfish </w:t>
      </w:r>
      <w:r w:rsidRPr="00866C6D">
        <w:rPr>
          <w:rFonts w:ascii="Times New Roman" w:hAnsi="Times New Roman" w:cs="Times New Roman"/>
          <w:i/>
          <w:iCs/>
          <w:sz w:val="20"/>
          <w:szCs w:val="20"/>
        </w:rPr>
        <w:t>Procambarus clarkii</w:t>
      </w:r>
      <w:r w:rsidRPr="00866C6D">
        <w:rPr>
          <w:rFonts w:ascii="Times New Roman" w:hAnsi="Times New Roman" w:cs="Times New Roman"/>
          <w:iCs/>
          <w:sz w:val="20"/>
          <w:szCs w:val="20"/>
        </w:rPr>
        <w:t xml:space="preserve"> (Girard, 1852) in the Free State Province, South Africa and implications for eradication efforts’, </w:t>
      </w:r>
      <w:r w:rsidRPr="00866C6D">
        <w:rPr>
          <w:rFonts w:ascii="Times New Roman" w:hAnsi="Times New Roman" w:cs="Times New Roman"/>
          <w:i/>
          <w:iCs/>
          <w:sz w:val="20"/>
          <w:szCs w:val="20"/>
        </w:rPr>
        <w:t>BioInvasions Records</w:t>
      </w:r>
      <w:r w:rsidRPr="00866C6D">
        <w:rPr>
          <w:rFonts w:ascii="Times New Roman" w:hAnsi="Times New Roman" w:cs="Times New Roman"/>
          <w:iCs/>
          <w:sz w:val="20"/>
          <w:szCs w:val="20"/>
        </w:rPr>
        <w:t xml:space="preserve"> 11, 181–191. </w:t>
      </w:r>
      <w:hyperlink r:id="rId609" w:history="1">
        <w:r w:rsidRPr="00866C6D">
          <w:rPr>
            <w:rStyle w:val="Hyperlink"/>
            <w:rFonts w:ascii="Times New Roman" w:hAnsi="Times New Roman" w:cs="Times New Roman"/>
            <w:iCs/>
            <w:sz w:val="20"/>
            <w:szCs w:val="20"/>
          </w:rPr>
          <w:t>https://doi.org/10.3391/bir.2022</w:t>
        </w:r>
      </w:hyperlink>
      <w:r w:rsidR="002D7080" w:rsidRPr="00021DA1">
        <w:rPr>
          <w:rFonts w:ascii="Times New Roman" w:hAnsi="Times New Roman" w:cs="Times New Roman"/>
          <w:sz w:val="20"/>
          <w:szCs w:val="20"/>
        </w:rPr>
        <w:t>.</w:t>
      </w:r>
      <w:r w:rsidR="002D7080" w:rsidRPr="00021DA1">
        <w:rPr>
          <w:rFonts w:ascii="Times New Roman" w:eastAsia="Times New Roman" w:hAnsi="Times New Roman" w:cs="Times New Roman"/>
          <w:sz w:val="20"/>
          <w:szCs w:val="20"/>
          <w:lang w:eastAsia="en-ZA"/>
        </w:rPr>
        <w:t xml:space="preserve"> </w:t>
      </w:r>
    </w:p>
    <w:p w14:paraId="6822A480" w14:textId="54352F18" w:rsidR="002D7080" w:rsidRPr="00866C6D" w:rsidRDefault="00866C6D" w:rsidP="00866C6D">
      <w:pPr>
        <w:spacing w:after="0" w:line="240" w:lineRule="auto"/>
        <w:ind w:left="720" w:hanging="720"/>
        <w:rPr>
          <w:rFonts w:ascii="Times New Roman" w:eastAsia="Times New Roman" w:hAnsi="Times New Roman" w:cs="Times New Roman"/>
          <w:iCs/>
          <w:sz w:val="20"/>
          <w:szCs w:val="20"/>
          <w:lang w:eastAsia="en-ZA"/>
        </w:rPr>
      </w:pPr>
      <w:r w:rsidRPr="00866C6D">
        <w:rPr>
          <w:rFonts w:ascii="Times New Roman" w:eastAsia="Times New Roman" w:hAnsi="Times New Roman" w:cs="Times New Roman"/>
          <w:iCs/>
          <w:sz w:val="20"/>
          <w:szCs w:val="20"/>
          <w:lang w:eastAsia="en-ZA"/>
        </w:rPr>
        <w:t>Loureiro T.G., Anastácio, P.M.S.G., Araujo, P.B., Souty-Grosset, C. &amp; Almerão, M.P., 2015, ‘Red swamp crayfish: biology, ecology and invasion–an overview’, </w:t>
      </w:r>
      <w:r w:rsidRPr="00866C6D">
        <w:rPr>
          <w:rFonts w:ascii="Times New Roman" w:eastAsia="Times New Roman" w:hAnsi="Times New Roman" w:cs="Times New Roman"/>
          <w:i/>
          <w:iCs/>
          <w:sz w:val="20"/>
          <w:szCs w:val="20"/>
          <w:lang w:eastAsia="en-ZA"/>
        </w:rPr>
        <w:t xml:space="preserve">Nauplius </w:t>
      </w:r>
      <w:r w:rsidRPr="00866C6D">
        <w:rPr>
          <w:rFonts w:ascii="Times New Roman" w:eastAsia="Times New Roman" w:hAnsi="Times New Roman" w:cs="Times New Roman"/>
          <w:iCs/>
          <w:sz w:val="20"/>
          <w:szCs w:val="20"/>
          <w:lang w:eastAsia="en-ZA"/>
        </w:rPr>
        <w:t xml:space="preserve">23(1), 1–19. </w:t>
      </w:r>
      <w:hyperlink r:id="rId610" w:history="1">
        <w:r w:rsidRPr="00866C6D">
          <w:rPr>
            <w:rStyle w:val="Hyperlink"/>
            <w:rFonts w:ascii="Times New Roman" w:eastAsia="Times New Roman" w:hAnsi="Times New Roman" w:cs="Times New Roman"/>
            <w:iCs/>
            <w:sz w:val="20"/>
            <w:szCs w:val="20"/>
            <w:lang w:eastAsia="en-ZA"/>
          </w:rPr>
          <w:t>https://doi.org/10.1590/S0104-64972014002214</w:t>
        </w:r>
      </w:hyperlink>
      <w:r w:rsidR="002D7080" w:rsidRPr="00021DA1">
        <w:rPr>
          <w:rFonts w:ascii="Times New Roman" w:eastAsia="Times New Roman" w:hAnsi="Times New Roman" w:cs="Times New Roman"/>
          <w:sz w:val="20"/>
          <w:szCs w:val="20"/>
          <w:lang w:eastAsia="en-ZA"/>
        </w:rPr>
        <w:t>.</w:t>
      </w:r>
    </w:p>
    <w:p w14:paraId="140D9FF0" w14:textId="7DAEEA11" w:rsidR="002D7080" w:rsidRDefault="002D7080" w:rsidP="002D7080">
      <w:pPr>
        <w:spacing w:after="0" w:line="240" w:lineRule="auto"/>
        <w:ind w:left="720" w:hanging="720"/>
        <w:rPr>
          <w:rFonts w:ascii="Times New Roman" w:hAnsi="Times New Roman" w:cs="Times New Roman"/>
          <w:sz w:val="20"/>
          <w:szCs w:val="20"/>
        </w:rPr>
      </w:pPr>
      <w:r w:rsidRPr="00021DA1">
        <w:rPr>
          <w:rFonts w:ascii="Times New Roman" w:hAnsi="Times New Roman" w:cs="Times New Roman"/>
          <w:sz w:val="20"/>
          <w:szCs w:val="20"/>
        </w:rPr>
        <w:t xml:space="preserve">Nunes, A.L., Hoffman, C.A., Zengeya, T.A., Measey, G.J. &amp; Weyl, O.L.F., 2017a, ‘Red swamp crayfish, </w:t>
      </w:r>
      <w:r w:rsidRPr="00021DA1">
        <w:rPr>
          <w:rFonts w:ascii="Times New Roman" w:hAnsi="Times New Roman" w:cs="Times New Roman"/>
          <w:i/>
          <w:iCs/>
          <w:sz w:val="20"/>
          <w:szCs w:val="20"/>
        </w:rPr>
        <w:t>Procambarus clarkii</w:t>
      </w:r>
      <w:r w:rsidRPr="00021DA1">
        <w:rPr>
          <w:rFonts w:ascii="Times New Roman" w:hAnsi="Times New Roman" w:cs="Times New Roman"/>
          <w:sz w:val="20"/>
          <w:szCs w:val="20"/>
        </w:rPr>
        <w:t xml:space="preserve">, found in South Africa 22 years after attempted eradication’, </w:t>
      </w:r>
      <w:r w:rsidRPr="00021DA1">
        <w:rPr>
          <w:rFonts w:ascii="Times New Roman" w:hAnsi="Times New Roman" w:cs="Times New Roman"/>
          <w:i/>
          <w:iCs/>
          <w:sz w:val="20"/>
          <w:szCs w:val="20"/>
        </w:rPr>
        <w:t xml:space="preserve">Aquatic Conservation: Marine &amp; Freshwater Ecosystem </w:t>
      </w:r>
      <w:r w:rsidRPr="00021DA1">
        <w:rPr>
          <w:rFonts w:ascii="Times New Roman" w:hAnsi="Times New Roman" w:cs="Times New Roman"/>
          <w:sz w:val="20"/>
          <w:szCs w:val="20"/>
        </w:rPr>
        <w:t xml:space="preserve">27, 1334-1340. </w:t>
      </w:r>
      <w:hyperlink r:id="rId611" w:history="1">
        <w:r w:rsidR="00866C6D" w:rsidRPr="00CF3DB5">
          <w:rPr>
            <w:rStyle w:val="Hyperlink"/>
            <w:rFonts w:ascii="Times New Roman" w:hAnsi="Times New Roman" w:cs="Times New Roman"/>
            <w:sz w:val="20"/>
            <w:szCs w:val="20"/>
          </w:rPr>
          <w:t>https://doi.org/10.1002/aqc.2741</w:t>
        </w:r>
      </w:hyperlink>
      <w:r w:rsidRPr="00021DA1">
        <w:rPr>
          <w:rFonts w:ascii="Times New Roman" w:hAnsi="Times New Roman" w:cs="Times New Roman"/>
          <w:sz w:val="20"/>
          <w:szCs w:val="20"/>
        </w:rPr>
        <w:t>.</w:t>
      </w:r>
    </w:p>
    <w:p w14:paraId="7C7A05C3" w14:textId="77777777" w:rsidR="00866C6D" w:rsidRPr="00021DA1" w:rsidRDefault="00866C6D" w:rsidP="002D7080">
      <w:pPr>
        <w:spacing w:after="0" w:line="240" w:lineRule="auto"/>
        <w:ind w:left="720" w:hanging="720"/>
        <w:rPr>
          <w:rFonts w:ascii="Times New Roman" w:hAnsi="Times New Roman" w:cs="Times New Roman"/>
          <w:sz w:val="20"/>
          <w:szCs w:val="20"/>
        </w:rPr>
      </w:pPr>
    </w:p>
    <w:p w14:paraId="69BD8111" w14:textId="640FFA1B" w:rsidR="002D7080" w:rsidRPr="005A2F10" w:rsidRDefault="00A91441" w:rsidP="002D7080">
      <w:pPr>
        <w:pStyle w:val="Heading2"/>
        <w:rPr>
          <w:rFonts w:ascii="Times New Roman" w:eastAsia="Calibri" w:hAnsi="Times New Roman" w:cs="Times New Roman"/>
          <w:color w:val="auto"/>
          <w:sz w:val="28"/>
          <w:szCs w:val="28"/>
        </w:rPr>
      </w:pPr>
      <w:r>
        <w:rPr>
          <w:rFonts w:ascii="Times New Roman" w:eastAsia="Calibri" w:hAnsi="Times New Roman" w:cs="Times New Roman"/>
          <w:color w:val="auto"/>
          <w:sz w:val="28"/>
          <w:szCs w:val="28"/>
        </w:rPr>
        <w:lastRenderedPageBreak/>
        <w:t>1</w:t>
      </w:r>
      <w:r w:rsidR="002D7080" w:rsidRPr="005A2F10">
        <w:rPr>
          <w:rFonts w:ascii="Times New Roman" w:eastAsia="Calibri" w:hAnsi="Times New Roman" w:cs="Times New Roman"/>
          <w:color w:val="auto"/>
          <w:sz w:val="28"/>
          <w:szCs w:val="28"/>
        </w:rPr>
        <w:t>.14 Risk analysis report for Marmorkrebs (</w:t>
      </w:r>
      <w:r w:rsidR="002D7080" w:rsidRPr="005A2F10">
        <w:rPr>
          <w:rFonts w:ascii="Times New Roman" w:eastAsia="Calibri" w:hAnsi="Times New Roman" w:cs="Times New Roman"/>
          <w:i/>
          <w:iCs/>
          <w:color w:val="auto"/>
          <w:sz w:val="28"/>
          <w:szCs w:val="28"/>
        </w:rPr>
        <w:t>Procambarus virginalis</w:t>
      </w:r>
      <w:r w:rsidR="002D7080" w:rsidRPr="005A2F10">
        <w:rPr>
          <w:rFonts w:ascii="Times New Roman" w:eastAsia="Calibri" w:hAnsi="Times New Roman" w:cs="Times New Roman"/>
          <w:color w:val="auto"/>
          <w:sz w:val="28"/>
          <w:szCs w:val="28"/>
        </w:rPr>
        <w:t>)</w:t>
      </w:r>
    </w:p>
    <w:p w14:paraId="260D62F0" w14:textId="77777777" w:rsidR="002D7080" w:rsidRPr="004D1E6F" w:rsidRDefault="002D7080" w:rsidP="002D7080">
      <w:pPr>
        <w:spacing w:after="0" w:line="240" w:lineRule="auto"/>
        <w:rPr>
          <w:rFonts w:ascii="Times New Roman" w:eastAsia="Calibri" w:hAnsi="Times New Roman" w:cs="Times New Roman"/>
          <w:sz w:val="20"/>
          <w:szCs w:val="20"/>
        </w:rPr>
      </w:pPr>
    </w:p>
    <w:tbl>
      <w:tblPr>
        <w:tblStyle w:val="TableGrid17"/>
        <w:tblW w:w="0" w:type="auto"/>
        <w:tblLook w:val="04A0" w:firstRow="1" w:lastRow="0" w:firstColumn="1" w:lastColumn="0" w:noHBand="0" w:noVBand="1"/>
      </w:tblPr>
      <w:tblGrid>
        <w:gridCol w:w="4436"/>
        <w:gridCol w:w="2721"/>
        <w:gridCol w:w="1859"/>
      </w:tblGrid>
      <w:tr w:rsidR="002D7080" w:rsidRPr="004D1E6F" w14:paraId="5A14210E" w14:textId="77777777" w:rsidTr="002E2C37">
        <w:tc>
          <w:tcPr>
            <w:tcW w:w="4610" w:type="dxa"/>
          </w:tcPr>
          <w:p w14:paraId="6A994B08" w14:textId="77777777" w:rsidR="002D7080" w:rsidRPr="0091109C" w:rsidRDefault="002D7080" w:rsidP="002E2C37">
            <w:pPr>
              <w:rPr>
                <w:rFonts w:ascii="Times New Roman" w:eastAsia="Calibri" w:hAnsi="Times New Roman" w:cs="Times New Roman"/>
                <w:sz w:val="20"/>
                <w:szCs w:val="20"/>
                <w:lang w:val="en-US"/>
              </w:rPr>
            </w:pPr>
            <w:r w:rsidRPr="004D1E6F">
              <w:rPr>
                <w:rFonts w:ascii="Times New Roman" w:eastAsia="Calibri" w:hAnsi="Times New Roman" w:cs="Times New Roman"/>
                <w:b/>
                <w:i/>
                <w:sz w:val="20"/>
                <w:szCs w:val="20"/>
              </w:rPr>
              <w:t>Taxon</w:t>
            </w:r>
            <w:r w:rsidRPr="004D1E6F">
              <w:rPr>
                <w:rFonts w:ascii="Times New Roman" w:eastAsia="Calibri" w:hAnsi="Times New Roman" w:cs="Times New Roman"/>
                <w:b/>
                <w:sz w:val="20"/>
                <w:szCs w:val="20"/>
              </w:rPr>
              <w:t xml:space="preserve">: </w:t>
            </w:r>
            <w:bookmarkStart w:id="24" w:name="_Hlk133314577"/>
            <w:r w:rsidRPr="004D1E6F">
              <w:rPr>
                <w:rFonts w:ascii="Times New Roman" w:eastAsia="Calibri" w:hAnsi="Times New Roman" w:cs="Times New Roman"/>
                <w:i/>
                <w:iCs/>
                <w:sz w:val="20"/>
                <w:szCs w:val="20"/>
              </w:rPr>
              <w:t>Procambarus virginalis</w:t>
            </w:r>
            <w:r w:rsidRPr="004D1E6F">
              <w:rPr>
                <w:rFonts w:ascii="Times New Roman" w:eastAsia="Calibri" w:hAnsi="Times New Roman" w:cs="Times New Roman"/>
                <w:sz w:val="20"/>
                <w:szCs w:val="20"/>
              </w:rPr>
              <w:t xml:space="preserve"> </w:t>
            </w:r>
            <w:bookmarkEnd w:id="24"/>
            <w:r w:rsidRPr="004D1E6F">
              <w:rPr>
                <w:rFonts w:ascii="Times New Roman" w:eastAsia="Calibri" w:hAnsi="Times New Roman" w:cs="Times New Roman"/>
                <w:sz w:val="20"/>
                <w:szCs w:val="20"/>
              </w:rPr>
              <w:t>(</w:t>
            </w:r>
            <w:r w:rsidRPr="00D3465A">
              <w:rPr>
                <w:rFonts w:ascii="Times New Roman" w:eastAsia="Calibri" w:hAnsi="Times New Roman" w:cs="Times New Roman"/>
                <w:sz w:val="20"/>
                <w:szCs w:val="20"/>
                <w:lang w:val="en-US"/>
              </w:rPr>
              <w:t>Lyko, 2017</w:t>
            </w:r>
            <w:r w:rsidRPr="004D1E6F">
              <w:rPr>
                <w:rFonts w:ascii="Times New Roman" w:eastAsia="Calibri" w:hAnsi="Times New Roman" w:cs="Times New Roman"/>
                <w:sz w:val="20"/>
                <w:szCs w:val="20"/>
              </w:rPr>
              <w:t>)</w:t>
            </w:r>
          </w:p>
        </w:tc>
        <w:tc>
          <w:tcPr>
            <w:tcW w:w="4632" w:type="dxa"/>
            <w:gridSpan w:val="2"/>
          </w:tcPr>
          <w:p w14:paraId="15E05471"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i/>
                <w:sz w:val="20"/>
                <w:szCs w:val="20"/>
              </w:rPr>
              <w:t>Area</w:t>
            </w:r>
            <w:r w:rsidRPr="004D1E6F">
              <w:rPr>
                <w:rFonts w:ascii="Times New Roman" w:eastAsia="Calibri" w:hAnsi="Times New Roman" w:cs="Times New Roman"/>
                <w:b/>
                <w:sz w:val="20"/>
                <w:szCs w:val="20"/>
              </w:rPr>
              <w:t xml:space="preserve">: </w:t>
            </w:r>
            <w:r w:rsidRPr="004D1E6F">
              <w:rPr>
                <w:rFonts w:ascii="Times New Roman" w:eastAsia="Calibri" w:hAnsi="Times New Roman" w:cs="Times New Roman"/>
                <w:sz w:val="20"/>
                <w:szCs w:val="20"/>
              </w:rPr>
              <w:t>South Africa</w:t>
            </w:r>
          </w:p>
        </w:tc>
      </w:tr>
      <w:tr w:rsidR="002D7080" w:rsidRPr="0087162A" w14:paraId="1076ACA1" w14:textId="77777777" w:rsidTr="002E2C37">
        <w:trPr>
          <w:trHeight w:val="2987"/>
        </w:trPr>
        <w:tc>
          <w:tcPr>
            <w:tcW w:w="4610" w:type="dxa"/>
          </w:tcPr>
          <w:p w14:paraId="51450428" w14:textId="77777777" w:rsidR="002D7080" w:rsidRPr="004D1E6F" w:rsidRDefault="002D7080" w:rsidP="002E2C37">
            <w:pPr>
              <w:rPr>
                <w:rFonts w:ascii="Times New Roman" w:eastAsia="Calibri" w:hAnsi="Times New Roman" w:cs="Times New Roman"/>
                <w:b/>
                <w:i/>
                <w:sz w:val="20"/>
                <w:szCs w:val="20"/>
              </w:rPr>
            </w:pPr>
            <w:r w:rsidRPr="004D1E6F">
              <w:rPr>
                <w:rFonts w:ascii="Times New Roman" w:eastAsia="Calibri" w:hAnsi="Times New Roman" w:cs="Times New Roman"/>
                <w:b/>
                <w:sz w:val="20"/>
                <w:szCs w:val="20"/>
              </w:rPr>
              <w:t xml:space="preserve">Picture of </w:t>
            </w:r>
            <w:r w:rsidRPr="004D1E6F">
              <w:rPr>
                <w:rFonts w:ascii="Times New Roman" w:eastAsia="Calibri" w:hAnsi="Times New Roman" w:cs="Times New Roman"/>
                <w:b/>
                <w:i/>
                <w:sz w:val="20"/>
                <w:szCs w:val="20"/>
              </w:rPr>
              <w:t>Taxon</w:t>
            </w:r>
          </w:p>
          <w:p w14:paraId="5FBD45DA" w14:textId="77777777" w:rsidR="002D7080" w:rsidRPr="004D1E6F" w:rsidRDefault="002D7080" w:rsidP="002E2C37">
            <w:pPr>
              <w:rPr>
                <w:rFonts w:ascii="Times New Roman" w:eastAsia="Calibri" w:hAnsi="Times New Roman" w:cs="Times New Roman"/>
                <w:b/>
                <w:sz w:val="20"/>
                <w:szCs w:val="20"/>
              </w:rPr>
            </w:pPr>
            <w:r w:rsidRPr="003D3ECB">
              <w:rPr>
                <w:rFonts w:ascii="Times New Roman" w:eastAsia="Calibri" w:hAnsi="Times New Roman" w:cs="Times New Roman"/>
                <w:b/>
                <w:noProof/>
                <w:sz w:val="20"/>
                <w:szCs w:val="20"/>
                <w:lang w:eastAsia="en-ZA"/>
              </w:rPr>
              <w:drawing>
                <wp:inline distT="0" distB="0" distL="0" distR="0" wp14:anchorId="2F20783D" wp14:editId="637A21DA">
                  <wp:extent cx="2493645" cy="1402006"/>
                  <wp:effectExtent l="0" t="0" r="1905" b="8255"/>
                  <wp:docPr id="569" name="Picture 569" descr="A close-up of a cra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569" descr="A close-up of a crab&#10;&#10;AI-generated content may be incorrect."/>
                          <pic:cNvPicPr>
                            <a:picLocks noChangeAspect="1" noChangeArrowheads="1"/>
                          </pic:cNvPicPr>
                        </pic:nvPicPr>
                        <pic:blipFill>
                          <a:blip r:embed="rId612" cstate="print">
                            <a:extLst>
                              <a:ext uri="{28A0092B-C50C-407E-A947-70E740481C1C}">
                                <a14:useLocalDpi xmlns:a14="http://schemas.microsoft.com/office/drawing/2010/main" val="0"/>
                              </a:ext>
                            </a:extLst>
                          </a:blip>
                          <a:stretch>
                            <a:fillRect/>
                          </a:stretch>
                        </pic:blipFill>
                        <pic:spPr bwMode="auto">
                          <a:xfrm>
                            <a:off x="0" y="0"/>
                            <a:ext cx="2493645" cy="1402006"/>
                          </a:xfrm>
                          <a:prstGeom prst="rect">
                            <a:avLst/>
                          </a:prstGeom>
                          <a:noFill/>
                        </pic:spPr>
                      </pic:pic>
                    </a:graphicData>
                  </a:graphic>
                </wp:inline>
              </w:drawing>
            </w:r>
          </w:p>
          <w:p w14:paraId="7B2D956E" w14:textId="77777777" w:rsidR="002D7080" w:rsidRPr="004D1E6F" w:rsidRDefault="002D7080" w:rsidP="002E2C37">
            <w:pPr>
              <w:rPr>
                <w:rFonts w:ascii="Times New Roman" w:eastAsia="Calibri" w:hAnsi="Times New Roman" w:cs="Times New Roman"/>
                <w:sz w:val="20"/>
                <w:szCs w:val="20"/>
              </w:rPr>
            </w:pPr>
          </w:p>
          <w:p w14:paraId="1ECAA9FA" w14:textId="77777777" w:rsidR="002D7080" w:rsidRPr="004D1E6F" w:rsidRDefault="002D7080" w:rsidP="002E2C37">
            <w:pPr>
              <w:rPr>
                <w:rFonts w:ascii="Times New Roman" w:eastAsia="Calibri" w:hAnsi="Times New Roman" w:cs="Times New Roman"/>
                <w:sz w:val="20"/>
                <w:szCs w:val="20"/>
              </w:rPr>
            </w:pPr>
            <w:hyperlink w:history="1">
              <w:r w:rsidRPr="004D1E6F">
                <w:rPr>
                  <w:rFonts w:ascii="Times New Roman" w:eastAsia="Calibri" w:hAnsi="Times New Roman" w:cs="Times New Roman"/>
                  <w:color w:val="0563C1"/>
                  <w:sz w:val="20"/>
                  <w:szCs w:val="20"/>
                  <w:u w:val="single"/>
                </w:rPr>
                <w:t>http://www.sciencemag.org/news/2018/02/aquarium-accident-may-have-given-crayfish-dna-take-over-world</w:t>
              </w:r>
            </w:hyperlink>
            <w:r w:rsidRPr="004D1E6F">
              <w:rPr>
                <w:rFonts w:ascii="Times New Roman" w:eastAsia="Calibri" w:hAnsi="Times New Roman" w:cs="Times New Roman"/>
                <w:sz w:val="20"/>
                <w:szCs w:val="20"/>
              </w:rPr>
              <w:t xml:space="preserve"> </w:t>
            </w:r>
          </w:p>
        </w:tc>
        <w:tc>
          <w:tcPr>
            <w:tcW w:w="4632" w:type="dxa"/>
            <w:gridSpan w:val="2"/>
          </w:tcPr>
          <w:p w14:paraId="5FE7AFF7" w14:textId="77777777" w:rsidR="002D7080" w:rsidRPr="00360AC0" w:rsidRDefault="002D7080" w:rsidP="002E2C37">
            <w:pPr>
              <w:rPr>
                <w:rFonts w:ascii="Times New Roman" w:eastAsia="Calibri" w:hAnsi="Times New Roman" w:cs="Times New Roman"/>
                <w:sz w:val="20"/>
                <w:szCs w:val="20"/>
                <w:lang w:val="fr-FR"/>
              </w:rPr>
            </w:pPr>
            <w:r w:rsidRPr="00360AC0">
              <w:rPr>
                <w:rFonts w:ascii="Times New Roman" w:eastAsia="Calibri" w:hAnsi="Times New Roman" w:cs="Times New Roman"/>
                <w:b/>
                <w:sz w:val="20"/>
                <w:szCs w:val="20"/>
                <w:lang w:val="fr-FR"/>
              </w:rPr>
              <w:t>Alien distribution map</w:t>
            </w:r>
          </w:p>
          <w:p w14:paraId="56566FE5" w14:textId="77777777" w:rsidR="002D7080" w:rsidRPr="00360AC0" w:rsidRDefault="002D7080" w:rsidP="002E2C37">
            <w:pPr>
              <w:rPr>
                <w:rFonts w:ascii="Times New Roman" w:eastAsia="Calibri" w:hAnsi="Times New Roman" w:cs="Times New Roman"/>
                <w:b/>
                <w:sz w:val="20"/>
                <w:szCs w:val="20"/>
                <w:lang w:val="fr-FR"/>
              </w:rPr>
            </w:pPr>
            <w:r w:rsidRPr="003D3ECB">
              <w:rPr>
                <w:rFonts w:ascii="Times New Roman" w:eastAsia="Calibri" w:hAnsi="Times New Roman" w:cs="Times New Roman"/>
                <w:b/>
                <w:noProof/>
                <w:sz w:val="20"/>
                <w:szCs w:val="20"/>
                <w:lang w:eastAsia="en-ZA"/>
              </w:rPr>
              <w:drawing>
                <wp:anchor distT="0" distB="0" distL="114300" distR="114300" simplePos="0" relativeHeight="251662336" behindDoc="1" locked="0" layoutInCell="1" allowOverlap="1" wp14:anchorId="3395950C" wp14:editId="0C83C87A">
                  <wp:simplePos x="0" y="0"/>
                  <wp:positionH relativeFrom="column">
                    <wp:posOffset>-2540</wp:posOffset>
                  </wp:positionH>
                  <wp:positionV relativeFrom="paragraph">
                    <wp:posOffset>139065</wp:posOffset>
                  </wp:positionV>
                  <wp:extent cx="2795905" cy="1461135"/>
                  <wp:effectExtent l="0" t="0" r="4445" b="5715"/>
                  <wp:wrapTight wrapText="bothSides">
                    <wp:wrapPolygon edited="0">
                      <wp:start x="0" y="0"/>
                      <wp:lineTo x="0" y="21403"/>
                      <wp:lineTo x="21487" y="21403"/>
                      <wp:lineTo x="21487" y="0"/>
                      <wp:lineTo x="0" y="0"/>
                    </wp:wrapPolygon>
                  </wp:wrapTight>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3" cstate="print">
                            <a:extLst>
                              <a:ext uri="{28A0092B-C50C-407E-A947-70E740481C1C}">
                                <a14:useLocalDpi xmlns:a14="http://schemas.microsoft.com/office/drawing/2010/main" val="0"/>
                              </a:ext>
                            </a:extLst>
                          </a:blip>
                          <a:stretch>
                            <a:fillRect/>
                          </a:stretch>
                        </pic:blipFill>
                        <pic:spPr bwMode="auto">
                          <a:xfrm>
                            <a:off x="0" y="0"/>
                            <a:ext cx="2795905" cy="1461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0F83E0" w14:textId="77777777" w:rsidR="002D7080" w:rsidRPr="00360AC0" w:rsidRDefault="002D7080" w:rsidP="002E2C37">
            <w:pPr>
              <w:rPr>
                <w:rFonts w:ascii="Times New Roman" w:eastAsia="Calibri" w:hAnsi="Times New Roman" w:cs="Times New Roman"/>
                <w:b/>
                <w:sz w:val="20"/>
                <w:szCs w:val="20"/>
                <w:lang w:val="fr-FR"/>
              </w:rPr>
            </w:pPr>
            <w:hyperlink w:history="1">
              <w:r w:rsidRPr="00360AC0">
                <w:rPr>
                  <w:rFonts w:ascii="Times New Roman" w:eastAsia="Calibri" w:hAnsi="Times New Roman" w:cs="Times New Roman"/>
                  <w:b/>
                  <w:color w:val="0563C1"/>
                  <w:sz w:val="20"/>
                  <w:szCs w:val="20"/>
                  <w:u w:val="single"/>
                  <w:lang w:val="fr-FR"/>
                </w:rPr>
                <w:t>https://www.gbif.org/species/2227309</w:t>
              </w:r>
            </w:hyperlink>
            <w:r w:rsidRPr="00360AC0">
              <w:rPr>
                <w:rFonts w:ascii="Times New Roman" w:eastAsia="Calibri" w:hAnsi="Times New Roman" w:cs="Times New Roman"/>
                <w:b/>
                <w:sz w:val="20"/>
                <w:szCs w:val="20"/>
                <w:lang w:val="fr-FR"/>
              </w:rPr>
              <w:t xml:space="preserve"> </w:t>
            </w:r>
          </w:p>
          <w:p w14:paraId="6743007D" w14:textId="77777777" w:rsidR="002D7080" w:rsidRPr="00360AC0" w:rsidRDefault="002D7080" w:rsidP="002E2C37">
            <w:pPr>
              <w:rPr>
                <w:rFonts w:ascii="Times New Roman" w:eastAsia="Calibri" w:hAnsi="Times New Roman" w:cs="Times New Roman"/>
                <w:b/>
                <w:sz w:val="20"/>
                <w:szCs w:val="20"/>
                <w:lang w:val="fr-FR"/>
              </w:rPr>
            </w:pPr>
          </w:p>
        </w:tc>
      </w:tr>
      <w:tr w:rsidR="002D7080" w:rsidRPr="004D1E6F" w14:paraId="2C35CBB0" w14:textId="77777777" w:rsidTr="002E2C37">
        <w:trPr>
          <w:trHeight w:val="1445"/>
        </w:trPr>
        <w:tc>
          <w:tcPr>
            <w:tcW w:w="7359" w:type="dxa"/>
            <w:gridSpan w:val="2"/>
          </w:tcPr>
          <w:p w14:paraId="33C96193"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Risk Assessment summary:</w:t>
            </w:r>
          </w:p>
          <w:p w14:paraId="4FB10A03" w14:textId="77777777" w:rsidR="002D7080" w:rsidRPr="004D1E6F" w:rsidRDefault="002D7080" w:rsidP="002E2C37">
            <w:pPr>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Marmorkrebs (</w:t>
            </w:r>
            <w:r w:rsidRPr="004D1E6F">
              <w:rPr>
                <w:rFonts w:ascii="Times New Roman" w:eastAsia="Calibri" w:hAnsi="Times New Roman" w:cs="Times New Roman"/>
                <w:i/>
                <w:sz w:val="20"/>
                <w:szCs w:val="20"/>
              </w:rPr>
              <w:t>Procambarus virginalis</w:t>
            </w:r>
            <w:r w:rsidRPr="004D1E6F">
              <w:rPr>
                <w:rFonts w:ascii="Times New Roman" w:eastAsia="Calibri" w:hAnsi="Times New Roman" w:cs="Times New Roman"/>
                <w:sz w:val="20"/>
                <w:szCs w:val="20"/>
              </w:rPr>
              <w:t>), is a parthenogenetic crayfish</w:t>
            </w:r>
            <w:r>
              <w:rPr>
                <w:rFonts w:ascii="Times New Roman" w:eastAsia="Calibri" w:hAnsi="Times New Roman" w:cs="Times New Roman"/>
                <w:sz w:val="20"/>
                <w:szCs w:val="20"/>
              </w:rPr>
              <w:t xml:space="preserve"> whose </w:t>
            </w:r>
            <w:r w:rsidRPr="004D1E6F">
              <w:rPr>
                <w:rFonts w:ascii="Times New Roman" w:eastAsia="Calibri" w:hAnsi="Times New Roman" w:cs="Times New Roman"/>
                <w:sz w:val="20"/>
                <w:szCs w:val="20"/>
              </w:rPr>
              <w:t xml:space="preserve">native origin </w:t>
            </w:r>
            <w:r>
              <w:rPr>
                <w:rFonts w:ascii="Times New Roman" w:eastAsia="Calibri" w:hAnsi="Times New Roman" w:cs="Times New Roman"/>
                <w:sz w:val="20"/>
                <w:szCs w:val="20"/>
              </w:rPr>
              <w:t xml:space="preserve">has been deffisulty to decern but likely to be Florida, USA. </w:t>
            </w:r>
            <w:r w:rsidRPr="004D1E6F">
              <w:rPr>
                <w:rFonts w:ascii="Times New Roman" w:eastAsia="Calibri" w:hAnsi="Times New Roman" w:cs="Times New Roman"/>
                <w:sz w:val="20"/>
                <w:szCs w:val="20"/>
              </w:rPr>
              <w:t>It</w:t>
            </w:r>
            <w:r w:rsidRPr="004D1E6F">
              <w:rPr>
                <w:rFonts w:ascii="Times New Roman" w:eastAsia="Calibri" w:hAnsi="Times New Roman" w:cs="Times New Roman"/>
                <w:i/>
                <w:sz w:val="20"/>
                <w:szCs w:val="20"/>
              </w:rPr>
              <w:t xml:space="preserve"> </w:t>
            </w:r>
            <w:r w:rsidRPr="004D1E6F">
              <w:rPr>
                <w:rFonts w:ascii="Times New Roman" w:eastAsia="Calibri" w:hAnsi="Times New Roman" w:cs="Times New Roman"/>
                <w:sz w:val="20"/>
                <w:szCs w:val="20"/>
              </w:rPr>
              <w:t xml:space="preserve">has become widely established in </w:t>
            </w:r>
            <w:r>
              <w:rPr>
                <w:rFonts w:ascii="Times New Roman" w:eastAsia="Calibri" w:hAnsi="Times New Roman" w:cs="Times New Roman"/>
                <w:sz w:val="20"/>
                <w:szCs w:val="20"/>
              </w:rPr>
              <w:t xml:space="preserve">several countries in Europe and </w:t>
            </w:r>
            <w:r w:rsidRPr="004D1E6F">
              <w:rPr>
                <w:rFonts w:ascii="Times New Roman" w:eastAsia="Calibri" w:hAnsi="Times New Roman" w:cs="Times New Roman"/>
                <w:sz w:val="20"/>
                <w:szCs w:val="20"/>
              </w:rPr>
              <w:t xml:space="preserve">Madagascar, however, there are no known populations in South Africa or any neighboring countries. </w:t>
            </w:r>
            <w:r w:rsidRPr="004D1E6F">
              <w:rPr>
                <w:rFonts w:ascii="Times New Roman" w:eastAsia="Calibri" w:hAnsi="Times New Roman" w:cs="Times New Roman"/>
                <w:i/>
                <w:sz w:val="20"/>
                <w:szCs w:val="20"/>
              </w:rPr>
              <w:t>Procambarus</w:t>
            </w:r>
            <w:r>
              <w:rPr>
                <w:rFonts w:ascii="Times New Roman" w:eastAsia="Calibri" w:hAnsi="Times New Roman" w:cs="Times New Roman"/>
                <w:i/>
                <w:sz w:val="20"/>
                <w:szCs w:val="20"/>
              </w:rPr>
              <w:t xml:space="preserve"> </w:t>
            </w:r>
            <w:r w:rsidRPr="004D1E6F">
              <w:rPr>
                <w:rFonts w:ascii="Times New Roman" w:eastAsia="Calibri" w:hAnsi="Times New Roman" w:cs="Times New Roman"/>
                <w:i/>
                <w:sz w:val="20"/>
                <w:szCs w:val="20"/>
              </w:rPr>
              <w:t>virginalis</w:t>
            </w:r>
            <w:r w:rsidRPr="004D1E6F">
              <w:rPr>
                <w:rFonts w:ascii="Times New Roman" w:eastAsia="Calibri" w:hAnsi="Times New Roman" w:cs="Times New Roman"/>
                <w:sz w:val="20"/>
                <w:szCs w:val="20"/>
              </w:rPr>
              <w:t xml:space="preserve"> is a highly sought after aquarium pet species and is available to buy online in several countries and is likely to be moved by humans through the pet trade. </w:t>
            </w:r>
            <w:r w:rsidRPr="004D1E6F">
              <w:rPr>
                <w:rFonts w:ascii="Times New Roman" w:eastAsia="Calibri" w:hAnsi="Times New Roman" w:cs="Times New Roman"/>
                <w:iCs/>
                <w:sz w:val="20"/>
                <w:szCs w:val="20"/>
              </w:rPr>
              <w:t xml:space="preserve">There are no documented impacts from </w:t>
            </w:r>
            <w:r w:rsidRPr="00551DF4">
              <w:rPr>
                <w:rFonts w:ascii="Times New Roman" w:eastAsia="Calibri" w:hAnsi="Times New Roman" w:cs="Times New Roman"/>
                <w:i/>
                <w:sz w:val="20"/>
                <w:szCs w:val="20"/>
              </w:rPr>
              <w:t>P. virginalis</w:t>
            </w:r>
            <w:r w:rsidRPr="004D1E6F">
              <w:rPr>
                <w:rFonts w:ascii="Times New Roman" w:eastAsia="Calibri" w:hAnsi="Times New Roman" w:cs="Times New Roman"/>
                <w:iCs/>
                <w:sz w:val="20"/>
                <w:szCs w:val="20"/>
              </w:rPr>
              <w:t xml:space="preserve"> and potential impacts were inferred from</w:t>
            </w:r>
            <w:r w:rsidRPr="004D1E6F">
              <w:rPr>
                <w:rFonts w:ascii="Times New Roman" w:eastAsia="Calibri" w:hAnsi="Times New Roman" w:cs="Times New Roman"/>
                <w:i/>
                <w:sz w:val="20"/>
                <w:szCs w:val="20"/>
              </w:rPr>
              <w:t xml:space="preserve"> Procambarus clarkii</w:t>
            </w:r>
            <w:r w:rsidRPr="004D1E6F">
              <w:rPr>
                <w:rFonts w:ascii="Times New Roman" w:eastAsia="Calibri" w:hAnsi="Times New Roman" w:cs="Times New Roman"/>
                <w:sz w:val="20"/>
                <w:szCs w:val="20"/>
              </w:rPr>
              <w:t>, a closely-related species</w:t>
            </w:r>
            <w:r>
              <w:rPr>
                <w:rFonts w:ascii="Times New Roman" w:eastAsia="Calibri" w:hAnsi="Times New Roman" w:cs="Times New Roman"/>
                <w:sz w:val="20"/>
                <w:szCs w:val="20"/>
              </w:rPr>
              <w:t xml:space="preserve">. </w:t>
            </w:r>
            <w:r w:rsidRPr="004D1E6F">
              <w:rPr>
                <w:rFonts w:ascii="Times New Roman" w:eastAsia="Calibri" w:hAnsi="Times New Roman" w:cs="Times New Roman"/>
                <w:i/>
                <w:sz w:val="20"/>
                <w:szCs w:val="20"/>
              </w:rPr>
              <w:t>Procambarus clarkii</w:t>
            </w:r>
            <w:r>
              <w:rPr>
                <w:rFonts w:ascii="Times New Roman" w:eastAsia="Calibri" w:hAnsi="Times New Roman" w:cs="Times New Roman"/>
                <w:i/>
                <w:sz w:val="20"/>
                <w:szCs w:val="20"/>
              </w:rPr>
              <w:t xml:space="preserve"> </w:t>
            </w:r>
            <w:r w:rsidRPr="004D1E6F">
              <w:rPr>
                <w:rFonts w:ascii="Times New Roman" w:eastAsia="Calibri" w:hAnsi="Times New Roman" w:cs="Times New Roman"/>
                <w:sz w:val="20"/>
                <w:szCs w:val="20"/>
              </w:rPr>
              <w:t xml:space="preserve">is a facultative omnivore and an aggressive competitor that often displaces native species in areas of introduction through predation, competitive exclusions, and transmission of diseases. It has also been implicated in causing habitat alteration through excessive grazing of macrophytes, and its burrowing activities increase rates of soil erosion and cause physical damage to agricultural infrastructure such as irrigation canals. </w:t>
            </w:r>
            <w:r w:rsidRPr="004D1E6F">
              <w:rPr>
                <w:rFonts w:ascii="Times New Roman" w:eastAsia="Calibri" w:hAnsi="Times New Roman" w:cs="Times New Roman"/>
                <w:i/>
                <w:sz w:val="20"/>
                <w:szCs w:val="20"/>
              </w:rPr>
              <w:t>Procambarus clarkii</w:t>
            </w:r>
            <w:r w:rsidRPr="004D1E6F">
              <w:rPr>
                <w:rFonts w:ascii="Times New Roman" w:eastAsia="Calibri" w:hAnsi="Times New Roman" w:cs="Times New Roman"/>
                <w:sz w:val="20"/>
                <w:szCs w:val="20"/>
              </w:rPr>
              <w:t xml:space="preserve"> serves as vector for several parasites and diseases some of which are zoonotic. </w:t>
            </w:r>
            <w:r w:rsidRPr="004D1E6F">
              <w:rPr>
                <w:rFonts w:ascii="Times New Roman" w:eastAsia="Calibri" w:hAnsi="Times New Roman" w:cs="Times New Roman"/>
                <w:i/>
                <w:sz w:val="20"/>
                <w:szCs w:val="20"/>
              </w:rPr>
              <w:t>Procambarus virginalis</w:t>
            </w:r>
            <w:r w:rsidRPr="004D1E6F">
              <w:rPr>
                <w:rFonts w:ascii="Times New Roman" w:eastAsia="Calibri" w:hAnsi="Times New Roman" w:cs="Times New Roman"/>
                <w:sz w:val="20"/>
                <w:szCs w:val="20"/>
              </w:rPr>
              <w:t xml:space="preserve"> is likely to have similar impacts in recipient areas of introduction. </w:t>
            </w:r>
          </w:p>
        </w:tc>
        <w:tc>
          <w:tcPr>
            <w:tcW w:w="1883" w:type="dxa"/>
          </w:tcPr>
          <w:p w14:paraId="55D9E51D"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b/>
                <w:sz w:val="20"/>
                <w:szCs w:val="20"/>
              </w:rPr>
              <w:t>Risk score:</w:t>
            </w:r>
            <w:r w:rsidRPr="004D1E6F">
              <w:rPr>
                <w:rFonts w:ascii="Times New Roman" w:eastAsia="Calibri" w:hAnsi="Times New Roman" w:cs="Times New Roman"/>
                <w:b/>
                <w:sz w:val="20"/>
                <w:szCs w:val="20"/>
              </w:rPr>
              <w:br/>
            </w:r>
          </w:p>
          <w:p w14:paraId="23376314" w14:textId="77777777" w:rsidR="002D7080" w:rsidRPr="004D1E6F" w:rsidRDefault="002D7080" w:rsidP="002E2C37">
            <w:pPr>
              <w:rPr>
                <w:rFonts w:ascii="Times New Roman" w:eastAsia="Calibri" w:hAnsi="Times New Roman" w:cs="Times New Roman"/>
                <w:sz w:val="20"/>
                <w:szCs w:val="20"/>
              </w:rPr>
            </w:pPr>
          </w:p>
          <w:p w14:paraId="1EE0AC11"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 High</w:t>
            </w:r>
          </w:p>
        </w:tc>
      </w:tr>
      <w:tr w:rsidR="002D7080" w:rsidRPr="004D1E6F" w14:paraId="4F22128A" w14:textId="77777777" w:rsidTr="002E2C37">
        <w:trPr>
          <w:trHeight w:val="980"/>
        </w:trPr>
        <w:tc>
          <w:tcPr>
            <w:tcW w:w="7359" w:type="dxa"/>
            <w:gridSpan w:val="2"/>
          </w:tcPr>
          <w:p w14:paraId="26D3EBAA"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Management options summary:</w:t>
            </w:r>
          </w:p>
          <w:p w14:paraId="2B04B299" w14:textId="77777777" w:rsidR="002D7080" w:rsidRPr="004D1E6F" w:rsidRDefault="002D7080" w:rsidP="002E2C37">
            <w:pPr>
              <w:jc w:val="both"/>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There are no records of </w:t>
            </w:r>
            <w:r w:rsidRPr="004D1E6F">
              <w:rPr>
                <w:rFonts w:ascii="Times New Roman" w:eastAsia="Calibri" w:hAnsi="Times New Roman" w:cs="Times New Roman"/>
                <w:i/>
                <w:sz w:val="20"/>
                <w:szCs w:val="20"/>
              </w:rPr>
              <w:t>Procambarus virginalis</w:t>
            </w:r>
            <w:r w:rsidRPr="004D1E6F">
              <w:rPr>
                <w:rFonts w:ascii="Times New Roman" w:eastAsia="Calibri" w:hAnsi="Times New Roman" w:cs="Times New Roman"/>
                <w:sz w:val="20"/>
                <w:szCs w:val="20"/>
              </w:rPr>
              <w:t xml:space="preserve"> being in present in South Africa. </w:t>
            </w:r>
            <w:r w:rsidRPr="004D1E6F">
              <w:rPr>
                <w:rFonts w:ascii="Times New Roman" w:eastAsia="Times New Roman" w:hAnsi="Times New Roman" w:cs="Times New Roman"/>
                <w:color w:val="000000"/>
                <w:sz w:val="20"/>
                <w:szCs w:val="20"/>
                <w:lang w:eastAsia="en-ZA"/>
              </w:rPr>
              <w:t xml:space="preserve">When evaluating suitable methods however, it is important to take into account the burrowing behaviour of the species. </w:t>
            </w:r>
            <w:r w:rsidRPr="004D1E6F">
              <w:rPr>
                <w:rFonts w:ascii="Times New Roman" w:eastAsia="Calibri" w:hAnsi="Times New Roman" w:cs="Times New Roman"/>
                <w:sz w:val="20"/>
                <w:szCs w:val="20"/>
              </w:rPr>
              <w:t xml:space="preserve">The species is popular in the aquarium trade, and as a result, the potential of accidental or intentional release of the species into new areas by humans is high.  </w:t>
            </w:r>
          </w:p>
        </w:tc>
        <w:tc>
          <w:tcPr>
            <w:tcW w:w="1883" w:type="dxa"/>
          </w:tcPr>
          <w:p w14:paraId="6E446940"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Ease of management:</w:t>
            </w:r>
          </w:p>
          <w:p w14:paraId="5186BC01" w14:textId="77777777" w:rsidR="002D7080" w:rsidRPr="004D1E6F" w:rsidRDefault="002D7080" w:rsidP="002E2C37">
            <w:pPr>
              <w:rPr>
                <w:rFonts w:ascii="Times New Roman" w:eastAsia="Calibri" w:hAnsi="Times New Roman" w:cs="Times New Roman"/>
                <w:sz w:val="20"/>
                <w:szCs w:val="20"/>
              </w:rPr>
            </w:pPr>
            <w:r>
              <w:rPr>
                <w:rFonts w:ascii="Times New Roman" w:eastAsia="Calibri" w:hAnsi="Times New Roman" w:cs="Times New Roman"/>
                <w:sz w:val="20"/>
                <w:szCs w:val="20"/>
              </w:rPr>
              <w:t xml:space="preserve">Difficult </w:t>
            </w:r>
          </w:p>
          <w:p w14:paraId="38E740AA" w14:textId="77777777" w:rsidR="002D7080" w:rsidRPr="004D1E6F" w:rsidRDefault="002D7080" w:rsidP="002E2C37">
            <w:pPr>
              <w:rPr>
                <w:rFonts w:ascii="Times New Roman" w:eastAsia="Calibri" w:hAnsi="Times New Roman" w:cs="Times New Roman"/>
                <w:b/>
                <w:sz w:val="20"/>
                <w:szCs w:val="20"/>
              </w:rPr>
            </w:pPr>
          </w:p>
          <w:p w14:paraId="1AA88C7B" w14:textId="77777777" w:rsidR="002D7080" w:rsidRPr="004D1E6F"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color w:val="FF0000"/>
                <w:sz w:val="20"/>
                <w:szCs w:val="20"/>
              </w:rPr>
              <w:t xml:space="preserve"> </w:t>
            </w:r>
          </w:p>
        </w:tc>
      </w:tr>
      <w:tr w:rsidR="002D7080" w:rsidRPr="004D1E6F" w14:paraId="01FF5444" w14:textId="77777777" w:rsidTr="002E2C37">
        <w:trPr>
          <w:trHeight w:val="705"/>
        </w:trPr>
        <w:tc>
          <w:tcPr>
            <w:tcW w:w="7359" w:type="dxa"/>
            <w:gridSpan w:val="2"/>
            <w:vMerge w:val="restart"/>
          </w:tcPr>
          <w:p w14:paraId="692E1963"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b/>
                <w:sz w:val="20"/>
                <w:szCs w:val="20"/>
              </w:rPr>
              <w:t>Recommendations:</w:t>
            </w:r>
          </w:p>
          <w:p w14:paraId="2890E254" w14:textId="77777777" w:rsidR="002D7080" w:rsidRDefault="002D7080" w:rsidP="002E2C37">
            <w:pPr>
              <w:jc w:val="both"/>
              <w:rPr>
                <w:rFonts w:ascii="Times New Roman" w:eastAsia="Calibri" w:hAnsi="Times New Roman" w:cs="Times New Roman"/>
                <w:sz w:val="20"/>
                <w:szCs w:val="20"/>
              </w:rPr>
            </w:pPr>
            <w:r w:rsidRPr="004D1E6F">
              <w:rPr>
                <w:rFonts w:ascii="Times New Roman" w:eastAsia="Calibri" w:hAnsi="Times New Roman" w:cs="Times New Roman"/>
                <w:i/>
                <w:sz w:val="20"/>
                <w:szCs w:val="20"/>
              </w:rPr>
              <w:t>Procambarus virginalis</w:t>
            </w:r>
            <w:r w:rsidRPr="004D1E6F">
              <w:rPr>
                <w:rFonts w:ascii="Times New Roman" w:eastAsia="Calibri" w:hAnsi="Times New Roman" w:cs="Times New Roman"/>
                <w:sz w:val="20"/>
                <w:szCs w:val="20"/>
              </w:rPr>
              <w:t xml:space="preserve"> is not currently listed under the NEM:BA Alien and Invasive Species (A&amp;IS) Regulations. </w:t>
            </w:r>
          </w:p>
          <w:p w14:paraId="5947718D" w14:textId="77777777" w:rsidR="002D7080" w:rsidRPr="004D1E6F" w:rsidRDefault="002D7080" w:rsidP="002E2C37">
            <w:pPr>
              <w:jc w:val="both"/>
              <w:rPr>
                <w:rFonts w:ascii="Times New Roman" w:eastAsia="Calibri" w:hAnsi="Times New Roman" w:cs="Times New Roman"/>
                <w:b/>
                <w:sz w:val="20"/>
                <w:szCs w:val="20"/>
              </w:rPr>
            </w:pPr>
            <w:r w:rsidRPr="004D1E6F">
              <w:rPr>
                <w:rFonts w:ascii="Times New Roman" w:eastAsia="Calibri" w:hAnsi="Times New Roman" w:cs="Times New Roman"/>
                <w:i/>
                <w:sz w:val="20"/>
                <w:szCs w:val="20"/>
              </w:rPr>
              <w:lastRenderedPageBreak/>
              <w:t>Procambarus virginalis</w:t>
            </w:r>
            <w:r w:rsidRPr="004D1E6F">
              <w:rPr>
                <w:rFonts w:ascii="Times New Roman" w:eastAsia="Calibri" w:hAnsi="Times New Roman" w:cs="Times New Roman"/>
                <w:sz w:val="20"/>
                <w:szCs w:val="20"/>
              </w:rPr>
              <w:t xml:space="preserve"> </w:t>
            </w:r>
            <w:r w:rsidRPr="003676E2">
              <w:rPr>
                <w:rFonts w:ascii="Times New Roman" w:eastAsia="Calibri" w:hAnsi="Times New Roman" w:cs="Times New Roman"/>
                <w:sz w:val="20"/>
                <w:szCs w:val="20"/>
              </w:rPr>
              <w:t>is recommended to be added to a future prohibited species list</w:t>
            </w:r>
            <w:r>
              <w:rPr>
                <w:rFonts w:ascii="Times New Roman" w:eastAsia="Calibri" w:hAnsi="Times New Roman" w:cs="Times New Roman"/>
                <w:sz w:val="20"/>
                <w:szCs w:val="20"/>
              </w:rPr>
              <w:t>.</w:t>
            </w:r>
            <w:r w:rsidRPr="004D1E6F">
              <w:rPr>
                <w:rFonts w:ascii="Times New Roman" w:eastAsia="Calibri" w:hAnsi="Times New Roman" w:cs="Times New Roman"/>
                <w:sz w:val="20"/>
                <w:szCs w:val="20"/>
              </w:rPr>
              <w:t xml:space="preserve"> The illegal pet trade industry still poses a significant risk for intentional and accidental release of the species into the wild. There is, therefore, a need to assess the trade of and movement of the taxon through the aquarium trade in order to implement appropriate management strategies. </w:t>
            </w:r>
          </w:p>
        </w:tc>
        <w:tc>
          <w:tcPr>
            <w:tcW w:w="1883" w:type="dxa"/>
          </w:tcPr>
          <w:p w14:paraId="24DC218A"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b/>
                <w:sz w:val="20"/>
                <w:szCs w:val="20"/>
              </w:rPr>
              <w:lastRenderedPageBreak/>
              <w:t>Listing under NEM:BA A&amp;IS lists of 2014 as amended 2020</w:t>
            </w:r>
          </w:p>
          <w:p w14:paraId="2BFF7384"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Calibri" w:hAnsi="Times New Roman" w:cs="Times New Roman"/>
                <w:sz w:val="20"/>
                <w:szCs w:val="20"/>
              </w:rPr>
              <w:lastRenderedPageBreak/>
              <w:t>Not listed</w:t>
            </w:r>
          </w:p>
        </w:tc>
      </w:tr>
      <w:tr w:rsidR="002D7080" w:rsidRPr="004D1E6F" w14:paraId="772E7E9E" w14:textId="77777777" w:rsidTr="002E2C37">
        <w:trPr>
          <w:trHeight w:val="458"/>
        </w:trPr>
        <w:tc>
          <w:tcPr>
            <w:tcW w:w="7359" w:type="dxa"/>
            <w:gridSpan w:val="2"/>
            <w:vMerge/>
          </w:tcPr>
          <w:p w14:paraId="3B5068DB" w14:textId="77777777" w:rsidR="002D7080" w:rsidRPr="004D1E6F" w:rsidRDefault="002D7080" w:rsidP="002E2C37">
            <w:pPr>
              <w:rPr>
                <w:rFonts w:ascii="Times New Roman" w:eastAsia="Calibri" w:hAnsi="Times New Roman" w:cs="Times New Roman"/>
                <w:b/>
                <w:sz w:val="20"/>
                <w:szCs w:val="20"/>
              </w:rPr>
            </w:pPr>
          </w:p>
        </w:tc>
        <w:tc>
          <w:tcPr>
            <w:tcW w:w="1883" w:type="dxa"/>
          </w:tcPr>
          <w:p w14:paraId="16D35D39" w14:textId="77777777" w:rsidR="002D7080" w:rsidRDefault="002D7080" w:rsidP="002E2C37">
            <w:pPr>
              <w:rPr>
                <w:rFonts w:ascii="Times New Roman" w:eastAsia="Calibri" w:hAnsi="Times New Roman" w:cs="Times New Roman"/>
                <w:b/>
                <w:sz w:val="20"/>
                <w:szCs w:val="20"/>
              </w:rPr>
            </w:pPr>
            <w:r w:rsidRPr="004D1E6F">
              <w:rPr>
                <w:rFonts w:ascii="Times New Roman" w:eastAsia="Calibri" w:hAnsi="Times New Roman" w:cs="Times New Roman"/>
                <w:b/>
                <w:sz w:val="20"/>
                <w:szCs w:val="20"/>
              </w:rPr>
              <w:t>Recommended listing category:</w:t>
            </w:r>
          </w:p>
          <w:p w14:paraId="45AC1F03" w14:textId="77777777" w:rsidR="002D7080" w:rsidRPr="00EB5CCE" w:rsidRDefault="002D7080" w:rsidP="002E2C37">
            <w:pPr>
              <w:rPr>
                <w:rFonts w:ascii="Times New Roman" w:eastAsia="Calibri" w:hAnsi="Times New Roman" w:cs="Times New Roman"/>
                <w:bCs/>
                <w:sz w:val="20"/>
                <w:szCs w:val="20"/>
              </w:rPr>
            </w:pPr>
            <w:r w:rsidRPr="00EB5CCE">
              <w:rPr>
                <w:rFonts w:ascii="Times New Roman" w:eastAsia="Calibri" w:hAnsi="Times New Roman" w:cs="Times New Roman"/>
                <w:bCs/>
                <w:sz w:val="20"/>
                <w:szCs w:val="20"/>
              </w:rPr>
              <w:t xml:space="preserve">Prohibited list </w:t>
            </w:r>
            <w:r w:rsidRPr="008B6B94">
              <w:rPr>
                <w:rStyle w:val="FootnoteReference"/>
                <w:rFonts w:ascii="Times New Roman" w:hAnsi="Times New Roman" w:cs="Times New Roman"/>
              </w:rPr>
              <w:footnoteReference w:id="13"/>
            </w:r>
          </w:p>
        </w:tc>
      </w:tr>
    </w:tbl>
    <w:p w14:paraId="4DBC6D02" w14:textId="77777777" w:rsidR="002D7080" w:rsidRPr="004D1E6F" w:rsidRDefault="002D7080" w:rsidP="002D7080">
      <w:pPr>
        <w:spacing w:after="160" w:line="259" w:lineRule="auto"/>
        <w:rPr>
          <w:rFonts w:ascii="Times New Roman" w:eastAsia="Times New Roman" w:hAnsi="Times New Roman" w:cs="Times New Roman"/>
          <w:b/>
          <w:color w:val="000000"/>
          <w:sz w:val="20"/>
          <w:szCs w:val="20"/>
          <w:lang w:eastAsia="en-ZA"/>
        </w:rPr>
      </w:pPr>
    </w:p>
    <w:p w14:paraId="50AEB812" w14:textId="77777777" w:rsidR="002D7080" w:rsidRPr="004D1E6F" w:rsidRDefault="002D7080" w:rsidP="002D7080">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br w:type="page"/>
      </w:r>
    </w:p>
    <w:p w14:paraId="59D87C47"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lastRenderedPageBreak/>
        <w:t>1. Background</w:t>
      </w:r>
    </w:p>
    <w:p w14:paraId="6124A5A7"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W w:w="9064" w:type="dxa"/>
        <w:tblInd w:w="108" w:type="dxa"/>
        <w:tblLook w:val="04A0" w:firstRow="1" w:lastRow="0" w:firstColumn="1" w:lastColumn="0" w:noHBand="0" w:noVBand="1"/>
      </w:tblPr>
      <w:tblGrid>
        <w:gridCol w:w="2430"/>
        <w:gridCol w:w="1350"/>
        <w:gridCol w:w="683"/>
        <w:gridCol w:w="4601"/>
      </w:tblGrid>
      <w:tr w:rsidR="002D7080" w:rsidRPr="004D1E6F" w14:paraId="09DDEA2E" w14:textId="77777777" w:rsidTr="002E2C37">
        <w:trPr>
          <w:cantSplit/>
          <w:trHeight w:val="358"/>
        </w:trPr>
        <w:tc>
          <w:tcPr>
            <w:tcW w:w="9064"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55F3ED28" w14:textId="77777777" w:rsidR="002D7080" w:rsidRPr="004D1E6F" w:rsidRDefault="002D7080" w:rsidP="00A96F79">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BAC1 Name of assessor(s)</w:t>
            </w:r>
          </w:p>
        </w:tc>
      </w:tr>
      <w:tr w:rsidR="002D7080" w:rsidRPr="004D1E6F" w14:paraId="14C416FE" w14:textId="77777777" w:rsidTr="002E2C37">
        <w:trPr>
          <w:cantSplit/>
          <w:trHeight w:val="233"/>
        </w:trPr>
        <w:tc>
          <w:tcPr>
            <w:tcW w:w="2430" w:type="dxa"/>
            <w:tcBorders>
              <w:top w:val="nil"/>
              <w:left w:val="single" w:sz="4" w:space="0" w:color="auto"/>
              <w:bottom w:val="single" w:sz="4" w:space="0" w:color="auto"/>
              <w:right w:val="single" w:sz="4" w:space="0" w:color="auto"/>
            </w:tcBorders>
            <w:noWrap/>
          </w:tcPr>
          <w:p w14:paraId="216DA79A" w14:textId="77777777" w:rsidR="002D7080" w:rsidRPr="004D1E6F" w:rsidRDefault="002D7080" w:rsidP="00A96F79">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Name of lead assessor</w:t>
            </w:r>
          </w:p>
        </w:tc>
        <w:tc>
          <w:tcPr>
            <w:tcW w:w="6634" w:type="dxa"/>
            <w:gridSpan w:val="3"/>
            <w:tcBorders>
              <w:top w:val="nil"/>
              <w:left w:val="single" w:sz="4" w:space="0" w:color="auto"/>
              <w:bottom w:val="single" w:sz="4" w:space="0" w:color="auto"/>
              <w:right w:val="single" w:sz="4" w:space="0" w:color="auto"/>
            </w:tcBorders>
          </w:tcPr>
          <w:p w14:paraId="06C37DF7" w14:textId="77777777" w:rsidR="002D7080" w:rsidRPr="002A7CE9" w:rsidRDefault="002D7080" w:rsidP="00A96F79">
            <w:pPr>
              <w:spacing w:after="0"/>
              <w:rPr>
                <w:rFonts w:ascii="Times New Roman" w:eastAsia="Times New Roman" w:hAnsi="Times New Roman" w:cs="Times New Roman"/>
                <w:bCs/>
                <w:color w:val="000000"/>
                <w:sz w:val="20"/>
                <w:szCs w:val="20"/>
                <w:lang w:eastAsia="en-ZA"/>
              </w:rPr>
            </w:pPr>
            <w:r w:rsidRPr="002A7CE9">
              <w:rPr>
                <w:rFonts w:ascii="Times New Roman" w:eastAsia="Times New Roman" w:hAnsi="Times New Roman" w:cs="Times New Roman"/>
                <w:bCs/>
                <w:color w:val="000000"/>
                <w:sz w:val="20"/>
                <w:szCs w:val="20"/>
                <w:lang w:eastAsia="en-ZA"/>
              </w:rPr>
              <w:t xml:space="preserve"> Lee-Anne Botha</w:t>
            </w:r>
          </w:p>
        </w:tc>
      </w:tr>
      <w:tr w:rsidR="002D7080" w:rsidRPr="004D1E6F" w14:paraId="692FBBB1" w14:textId="77777777" w:rsidTr="002E2C37">
        <w:trPr>
          <w:cantSplit/>
          <w:trHeight w:val="170"/>
        </w:trPr>
        <w:tc>
          <w:tcPr>
            <w:tcW w:w="2430" w:type="dxa"/>
            <w:tcBorders>
              <w:top w:val="nil"/>
              <w:left w:val="single" w:sz="4" w:space="0" w:color="auto"/>
              <w:bottom w:val="single" w:sz="4" w:space="0" w:color="auto"/>
              <w:right w:val="single" w:sz="4" w:space="0" w:color="auto"/>
            </w:tcBorders>
            <w:shd w:val="clear" w:color="auto" w:fill="F2F2F2" w:themeFill="background1" w:themeFillShade="F2"/>
            <w:noWrap/>
          </w:tcPr>
          <w:p w14:paraId="41B2D2D5" w14:textId="77777777" w:rsidR="002D7080" w:rsidRPr="004D1E6F" w:rsidRDefault="002D7080" w:rsidP="00A96F79">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(1)</w:t>
            </w:r>
          </w:p>
        </w:tc>
        <w:tc>
          <w:tcPr>
            <w:tcW w:w="6634" w:type="dxa"/>
            <w:gridSpan w:val="3"/>
            <w:tcBorders>
              <w:top w:val="nil"/>
              <w:left w:val="single" w:sz="4" w:space="0" w:color="auto"/>
              <w:bottom w:val="single" w:sz="4" w:space="0" w:color="auto"/>
              <w:right w:val="single" w:sz="4" w:space="0" w:color="auto"/>
            </w:tcBorders>
          </w:tcPr>
          <w:p w14:paraId="044F16F1" w14:textId="77777777" w:rsidR="002D7080" w:rsidRPr="004D1E6F" w:rsidRDefault="002D7080" w:rsidP="00A96F79">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Tsungai Zengeya </w:t>
            </w:r>
          </w:p>
        </w:tc>
      </w:tr>
      <w:tr w:rsidR="002D7080" w:rsidRPr="004D1E6F" w14:paraId="61B5EA6C" w14:textId="77777777" w:rsidTr="002E2C37">
        <w:trPr>
          <w:cantSplit/>
          <w:trHeight w:val="197"/>
        </w:trPr>
        <w:tc>
          <w:tcPr>
            <w:tcW w:w="2430" w:type="dxa"/>
            <w:tcBorders>
              <w:top w:val="nil"/>
              <w:left w:val="single" w:sz="4" w:space="0" w:color="auto"/>
              <w:bottom w:val="single" w:sz="4" w:space="0" w:color="auto"/>
              <w:right w:val="single" w:sz="4" w:space="0" w:color="auto"/>
            </w:tcBorders>
            <w:shd w:val="clear" w:color="auto" w:fill="F2F2F2" w:themeFill="background1" w:themeFillShade="F2"/>
            <w:noWrap/>
          </w:tcPr>
          <w:p w14:paraId="67407294" w14:textId="77777777" w:rsidR="002D7080" w:rsidRPr="004D1E6F" w:rsidRDefault="002D7080" w:rsidP="00A96F79">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(2)</w:t>
            </w:r>
          </w:p>
        </w:tc>
        <w:tc>
          <w:tcPr>
            <w:tcW w:w="6634" w:type="dxa"/>
            <w:gridSpan w:val="3"/>
            <w:tcBorders>
              <w:top w:val="nil"/>
              <w:left w:val="single" w:sz="4" w:space="0" w:color="auto"/>
              <w:bottom w:val="single" w:sz="4" w:space="0" w:color="auto"/>
              <w:right w:val="single" w:sz="4" w:space="0" w:color="auto"/>
            </w:tcBorders>
          </w:tcPr>
          <w:p w14:paraId="2E788C95" w14:textId="77777777" w:rsidR="002D7080" w:rsidRPr="004D1E6F" w:rsidRDefault="002D7080" w:rsidP="00A96F79">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Christian Chimimba </w:t>
            </w:r>
          </w:p>
        </w:tc>
      </w:tr>
      <w:tr w:rsidR="002D7080" w:rsidRPr="004D1E6F" w14:paraId="615A549F" w14:textId="77777777" w:rsidTr="002E2C37">
        <w:trPr>
          <w:cantSplit/>
          <w:trHeight w:val="233"/>
        </w:trPr>
        <w:tc>
          <w:tcPr>
            <w:tcW w:w="9064"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1AEF1737"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BAC2 Contact details of assessor (s)</w:t>
            </w:r>
          </w:p>
        </w:tc>
      </w:tr>
      <w:tr w:rsidR="002D7080" w:rsidRPr="004D1E6F" w14:paraId="309947FD" w14:textId="77777777" w:rsidTr="002E2C37">
        <w:trPr>
          <w:cantSplit/>
          <w:trHeight w:val="70"/>
        </w:trPr>
        <w:tc>
          <w:tcPr>
            <w:tcW w:w="2430" w:type="dxa"/>
            <w:vMerge w:val="restart"/>
            <w:tcBorders>
              <w:top w:val="nil"/>
              <w:left w:val="single" w:sz="4" w:space="0" w:color="auto"/>
              <w:bottom w:val="single" w:sz="4" w:space="0" w:color="auto"/>
              <w:right w:val="single" w:sz="4" w:space="0" w:color="auto"/>
            </w:tcBorders>
            <w:shd w:val="clear" w:color="auto" w:fill="F2F2F2" w:themeFill="background1" w:themeFillShade="F2"/>
            <w:noWrap/>
            <w:hideMark/>
          </w:tcPr>
          <w:p w14:paraId="616D4814" w14:textId="77777777" w:rsidR="002D7080" w:rsidRPr="004D1E6F" w:rsidRDefault="002D7080" w:rsidP="00A96F79">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Lead assessor</w:t>
            </w:r>
          </w:p>
        </w:tc>
        <w:tc>
          <w:tcPr>
            <w:tcW w:w="6634" w:type="dxa"/>
            <w:gridSpan w:val="3"/>
            <w:tcBorders>
              <w:top w:val="nil"/>
              <w:left w:val="nil"/>
              <w:bottom w:val="single" w:sz="4" w:space="0" w:color="auto"/>
              <w:right w:val="single" w:sz="4" w:space="0" w:color="auto"/>
            </w:tcBorders>
          </w:tcPr>
          <w:p w14:paraId="38730BD2" w14:textId="77777777" w:rsidR="002D7080" w:rsidRPr="004D1E6F" w:rsidRDefault="002D7080" w:rsidP="00A96F79">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Organisational affiliation: Department of Zoology and Entomology, University of Pretoria and The South African National Biodiversity Institute (SANBI).</w:t>
            </w:r>
          </w:p>
        </w:tc>
      </w:tr>
      <w:tr w:rsidR="002D7080" w:rsidRPr="004D1E6F" w14:paraId="68626081" w14:textId="77777777" w:rsidTr="002E2C37">
        <w:trPr>
          <w:cantSplit/>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036B8071" w14:textId="77777777" w:rsidR="002D7080" w:rsidRPr="004D1E6F" w:rsidRDefault="002D7080" w:rsidP="00A96F79">
            <w:pPr>
              <w:spacing w:after="0"/>
              <w:jc w:val="both"/>
              <w:rPr>
                <w:rFonts w:ascii="Times New Roman" w:hAnsi="Times New Roman" w:cs="Times New Roman"/>
                <w:bCs/>
                <w:iCs/>
                <w:sz w:val="20"/>
                <w:szCs w:val="20"/>
              </w:rPr>
            </w:pPr>
          </w:p>
        </w:tc>
        <w:tc>
          <w:tcPr>
            <w:tcW w:w="6634" w:type="dxa"/>
            <w:gridSpan w:val="3"/>
            <w:tcBorders>
              <w:top w:val="nil"/>
              <w:left w:val="nil"/>
              <w:bottom w:val="single" w:sz="4" w:space="0" w:color="auto"/>
              <w:right w:val="single" w:sz="4" w:space="0" w:color="auto"/>
            </w:tcBorders>
          </w:tcPr>
          <w:p w14:paraId="4E2B261F" w14:textId="77777777" w:rsidR="002D7080" w:rsidRPr="004D1E6F" w:rsidRDefault="002D7080" w:rsidP="00A96F79">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email: </w:t>
            </w:r>
            <w:r w:rsidRPr="004D1E6F">
              <w:rPr>
                <w:rFonts w:ascii="Times New Roman" w:eastAsia="Times New Roman" w:hAnsi="Times New Roman" w:cs="Times New Roman"/>
                <w:color w:val="000000"/>
                <w:sz w:val="20"/>
                <w:szCs w:val="20"/>
                <w:lang w:eastAsia="en-ZA"/>
              </w:rPr>
              <w:t>leeannebth782@gmail.com</w:t>
            </w:r>
          </w:p>
        </w:tc>
      </w:tr>
      <w:tr w:rsidR="002D7080" w:rsidRPr="004D1E6F" w14:paraId="46F831A0" w14:textId="77777777" w:rsidTr="002E2C37">
        <w:trPr>
          <w:cantSplit/>
          <w:trHeight w:val="70"/>
        </w:trPr>
        <w:tc>
          <w:tcPr>
            <w:tcW w:w="2430" w:type="dxa"/>
            <w:vMerge w:val="restart"/>
            <w:tcBorders>
              <w:top w:val="single" w:sz="4" w:space="0" w:color="auto"/>
              <w:left w:val="single" w:sz="4" w:space="0" w:color="auto"/>
              <w:right w:val="single" w:sz="4" w:space="0" w:color="auto"/>
            </w:tcBorders>
            <w:shd w:val="clear" w:color="auto" w:fill="F2F2F2" w:themeFill="background1" w:themeFillShade="F2"/>
            <w:noWrap/>
          </w:tcPr>
          <w:p w14:paraId="211D2EA0" w14:textId="77777777" w:rsidR="002D7080" w:rsidRPr="004D1E6F" w:rsidRDefault="002D7080" w:rsidP="00A96F79">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(1)</w:t>
            </w:r>
          </w:p>
        </w:tc>
        <w:tc>
          <w:tcPr>
            <w:tcW w:w="6634" w:type="dxa"/>
            <w:gridSpan w:val="3"/>
            <w:tcBorders>
              <w:top w:val="nil"/>
              <w:left w:val="nil"/>
              <w:bottom w:val="single" w:sz="4" w:space="0" w:color="auto"/>
              <w:right w:val="single" w:sz="4" w:space="0" w:color="auto"/>
            </w:tcBorders>
          </w:tcPr>
          <w:p w14:paraId="779269F7" w14:textId="77777777" w:rsidR="002D7080" w:rsidRPr="004D1E6F" w:rsidRDefault="002D7080" w:rsidP="00A96F79">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Organisational affiliation: Department of Zoology and Entomology, University of Pretoria and The South African National Biodiversity Institute (SANBI).</w:t>
            </w:r>
          </w:p>
        </w:tc>
      </w:tr>
      <w:tr w:rsidR="002D7080" w:rsidRPr="004D1E6F" w14:paraId="76D881AD" w14:textId="77777777" w:rsidTr="002E2C37">
        <w:trPr>
          <w:cantSplit/>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3A949B92" w14:textId="77777777" w:rsidR="002D7080" w:rsidRPr="004D1E6F" w:rsidRDefault="002D7080" w:rsidP="00A96F79">
            <w:pPr>
              <w:spacing w:after="0"/>
              <w:jc w:val="both"/>
              <w:rPr>
                <w:rFonts w:ascii="Times New Roman" w:hAnsi="Times New Roman" w:cs="Times New Roman"/>
                <w:bCs/>
                <w:iCs/>
                <w:sz w:val="20"/>
                <w:szCs w:val="20"/>
              </w:rPr>
            </w:pPr>
          </w:p>
        </w:tc>
        <w:tc>
          <w:tcPr>
            <w:tcW w:w="6634" w:type="dxa"/>
            <w:gridSpan w:val="3"/>
            <w:tcBorders>
              <w:top w:val="nil"/>
              <w:left w:val="nil"/>
              <w:bottom w:val="single" w:sz="4" w:space="0" w:color="auto"/>
              <w:right w:val="single" w:sz="4" w:space="0" w:color="auto"/>
            </w:tcBorders>
          </w:tcPr>
          <w:p w14:paraId="7220FEB6" w14:textId="77777777" w:rsidR="002D7080" w:rsidRPr="004D1E6F" w:rsidRDefault="002D7080" w:rsidP="00A96F79">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email: T.Zengeya@sanbi.org.za</w:t>
            </w:r>
          </w:p>
        </w:tc>
      </w:tr>
      <w:tr w:rsidR="002D7080" w:rsidRPr="004D1E6F" w14:paraId="6F92D63E" w14:textId="77777777" w:rsidTr="002E2C37">
        <w:trPr>
          <w:cantSplit/>
          <w:trHeight w:val="70"/>
        </w:trPr>
        <w:tc>
          <w:tcPr>
            <w:tcW w:w="2430" w:type="dxa"/>
            <w:vMerge w:val="restart"/>
            <w:tcBorders>
              <w:left w:val="single" w:sz="4" w:space="0" w:color="auto"/>
              <w:right w:val="single" w:sz="4" w:space="0" w:color="auto"/>
            </w:tcBorders>
            <w:shd w:val="clear" w:color="auto" w:fill="F2F2F2" w:themeFill="background1" w:themeFillShade="F2"/>
            <w:noWrap/>
          </w:tcPr>
          <w:p w14:paraId="6AF3C9E6" w14:textId="77777777" w:rsidR="002D7080" w:rsidRPr="004D1E6F" w:rsidRDefault="002D7080" w:rsidP="00A96F79">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Additional assessor (2)</w:t>
            </w:r>
          </w:p>
        </w:tc>
        <w:tc>
          <w:tcPr>
            <w:tcW w:w="6634" w:type="dxa"/>
            <w:gridSpan w:val="3"/>
            <w:tcBorders>
              <w:top w:val="nil"/>
              <w:left w:val="nil"/>
              <w:bottom w:val="single" w:sz="4" w:space="0" w:color="auto"/>
              <w:right w:val="single" w:sz="4" w:space="0" w:color="auto"/>
            </w:tcBorders>
          </w:tcPr>
          <w:p w14:paraId="259566BB" w14:textId="77777777" w:rsidR="002D7080" w:rsidRPr="004D1E6F" w:rsidRDefault="002D7080" w:rsidP="00A96F79">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 xml:space="preserve">Organisational affiliation: Department of Zoology and Entomology, University of Pretoria </w:t>
            </w:r>
          </w:p>
        </w:tc>
      </w:tr>
      <w:tr w:rsidR="002D7080" w:rsidRPr="004D1E6F" w14:paraId="046630E1" w14:textId="77777777" w:rsidTr="002E2C37">
        <w:trPr>
          <w:cantSplit/>
          <w:trHeight w:val="70"/>
        </w:trPr>
        <w:tc>
          <w:tcPr>
            <w:tcW w:w="2430" w:type="dxa"/>
            <w:vMerge/>
            <w:tcBorders>
              <w:left w:val="single" w:sz="4" w:space="0" w:color="auto"/>
              <w:bottom w:val="single" w:sz="4" w:space="0" w:color="auto"/>
              <w:right w:val="single" w:sz="4" w:space="0" w:color="auto"/>
            </w:tcBorders>
            <w:shd w:val="clear" w:color="auto" w:fill="F2F2F2" w:themeFill="background1" w:themeFillShade="F2"/>
            <w:noWrap/>
          </w:tcPr>
          <w:p w14:paraId="6F31FF35" w14:textId="77777777" w:rsidR="002D7080" w:rsidRPr="004D1E6F" w:rsidRDefault="002D7080" w:rsidP="00A96F79">
            <w:pPr>
              <w:spacing w:after="0"/>
              <w:jc w:val="both"/>
              <w:rPr>
                <w:rFonts w:ascii="Times New Roman" w:hAnsi="Times New Roman" w:cs="Times New Roman"/>
                <w:bCs/>
                <w:iCs/>
                <w:sz w:val="20"/>
                <w:szCs w:val="20"/>
              </w:rPr>
            </w:pPr>
          </w:p>
        </w:tc>
        <w:tc>
          <w:tcPr>
            <w:tcW w:w="6634" w:type="dxa"/>
            <w:gridSpan w:val="3"/>
            <w:tcBorders>
              <w:top w:val="nil"/>
              <w:left w:val="nil"/>
              <w:bottom w:val="single" w:sz="4" w:space="0" w:color="auto"/>
              <w:right w:val="single" w:sz="4" w:space="0" w:color="auto"/>
            </w:tcBorders>
          </w:tcPr>
          <w:p w14:paraId="6C1889AA" w14:textId="77777777" w:rsidR="002D7080" w:rsidRPr="004D1E6F" w:rsidRDefault="002D7080" w:rsidP="00A96F79">
            <w:pPr>
              <w:spacing w:after="0"/>
              <w:jc w:val="both"/>
              <w:rPr>
                <w:rFonts w:ascii="Times New Roman" w:hAnsi="Times New Roman" w:cs="Times New Roman"/>
                <w:bCs/>
                <w:iCs/>
                <w:sz w:val="20"/>
                <w:szCs w:val="20"/>
              </w:rPr>
            </w:pPr>
            <w:r w:rsidRPr="004D1E6F">
              <w:rPr>
                <w:rFonts w:ascii="Times New Roman" w:hAnsi="Times New Roman" w:cs="Times New Roman"/>
                <w:bCs/>
                <w:iCs/>
                <w:sz w:val="20"/>
                <w:szCs w:val="20"/>
              </w:rPr>
              <w:t>email: ctchimimba@up.ac.za</w:t>
            </w:r>
          </w:p>
        </w:tc>
      </w:tr>
      <w:tr w:rsidR="002D7080" w:rsidRPr="004D1E6F" w14:paraId="126EB674" w14:textId="77777777" w:rsidTr="002E2C37">
        <w:trPr>
          <w:cantSplit/>
          <w:trHeight w:val="357"/>
        </w:trPr>
        <w:tc>
          <w:tcPr>
            <w:tcW w:w="9064" w:type="dxa"/>
            <w:gridSpan w:val="4"/>
            <w:tcBorders>
              <w:left w:val="single" w:sz="4" w:space="0" w:color="auto"/>
              <w:bottom w:val="single" w:sz="4" w:space="0" w:color="auto"/>
              <w:right w:val="single" w:sz="4" w:space="0" w:color="auto"/>
            </w:tcBorders>
            <w:shd w:val="clear" w:color="auto" w:fill="F2F2F2" w:themeFill="background1" w:themeFillShade="F2"/>
            <w:noWrap/>
          </w:tcPr>
          <w:p w14:paraId="5F6DCD6D"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BAC3 Name(s) and contact details of expert(s) consulted</w:t>
            </w:r>
          </w:p>
        </w:tc>
      </w:tr>
      <w:tr w:rsidR="002D7080" w:rsidRPr="004D1E6F" w14:paraId="22FC9BB5" w14:textId="77777777" w:rsidTr="002E2C37">
        <w:trPr>
          <w:cantSplit/>
          <w:trHeight w:val="170"/>
        </w:trPr>
        <w:tc>
          <w:tcPr>
            <w:tcW w:w="2430" w:type="dxa"/>
            <w:vMerge w:val="restart"/>
            <w:tcBorders>
              <w:left w:val="single" w:sz="4" w:space="0" w:color="auto"/>
              <w:right w:val="single" w:sz="4" w:space="0" w:color="auto"/>
            </w:tcBorders>
            <w:noWrap/>
          </w:tcPr>
          <w:p w14:paraId="3C5A2A2D"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Expert (1)</w:t>
            </w:r>
          </w:p>
        </w:tc>
        <w:tc>
          <w:tcPr>
            <w:tcW w:w="6634" w:type="dxa"/>
            <w:gridSpan w:val="3"/>
            <w:tcBorders>
              <w:top w:val="nil"/>
              <w:left w:val="nil"/>
              <w:bottom w:val="single" w:sz="4" w:space="0" w:color="auto"/>
              <w:right w:val="single" w:sz="4" w:space="0" w:color="auto"/>
            </w:tcBorders>
          </w:tcPr>
          <w:p w14:paraId="6A10D65D"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Name: </w:t>
            </w:r>
          </w:p>
        </w:tc>
      </w:tr>
      <w:tr w:rsidR="002D7080" w:rsidRPr="004D1E6F" w14:paraId="0BD4D812" w14:textId="77777777" w:rsidTr="002E2C37">
        <w:trPr>
          <w:cantSplit/>
          <w:trHeight w:val="197"/>
        </w:trPr>
        <w:tc>
          <w:tcPr>
            <w:tcW w:w="2430" w:type="dxa"/>
            <w:vMerge/>
            <w:tcBorders>
              <w:left w:val="single" w:sz="4" w:space="0" w:color="auto"/>
              <w:right w:val="single" w:sz="4" w:space="0" w:color="auto"/>
            </w:tcBorders>
            <w:noWrap/>
          </w:tcPr>
          <w:p w14:paraId="4FEE3423"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p>
        </w:tc>
        <w:tc>
          <w:tcPr>
            <w:tcW w:w="6634" w:type="dxa"/>
            <w:gridSpan w:val="3"/>
            <w:tcBorders>
              <w:top w:val="nil"/>
              <w:left w:val="nil"/>
              <w:bottom w:val="single" w:sz="4" w:space="0" w:color="auto"/>
              <w:right w:val="single" w:sz="4" w:space="0" w:color="auto"/>
            </w:tcBorders>
          </w:tcPr>
          <w:p w14:paraId="00530433"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email: </w:t>
            </w:r>
          </w:p>
        </w:tc>
      </w:tr>
      <w:tr w:rsidR="002D7080" w:rsidRPr="004D1E6F" w14:paraId="16AEFB93" w14:textId="77777777" w:rsidTr="002E2C37">
        <w:trPr>
          <w:cantSplit/>
          <w:trHeight w:val="233"/>
        </w:trPr>
        <w:tc>
          <w:tcPr>
            <w:tcW w:w="2430" w:type="dxa"/>
            <w:vMerge/>
            <w:tcBorders>
              <w:left w:val="single" w:sz="4" w:space="0" w:color="auto"/>
              <w:bottom w:val="single" w:sz="4" w:space="0" w:color="auto"/>
              <w:right w:val="single" w:sz="4" w:space="0" w:color="auto"/>
            </w:tcBorders>
            <w:noWrap/>
          </w:tcPr>
          <w:p w14:paraId="7F71DF36"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p>
        </w:tc>
        <w:tc>
          <w:tcPr>
            <w:tcW w:w="6634" w:type="dxa"/>
            <w:gridSpan w:val="3"/>
            <w:tcBorders>
              <w:top w:val="nil"/>
              <w:left w:val="nil"/>
              <w:bottom w:val="single" w:sz="4" w:space="0" w:color="auto"/>
              <w:right w:val="single" w:sz="4" w:space="0" w:color="auto"/>
            </w:tcBorders>
          </w:tcPr>
          <w:p w14:paraId="4E8D1D6F"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Phone: </w:t>
            </w:r>
          </w:p>
        </w:tc>
      </w:tr>
      <w:tr w:rsidR="002D7080" w:rsidRPr="004D1E6F" w14:paraId="17170B78" w14:textId="77777777" w:rsidTr="002E2C37">
        <w:trPr>
          <w:cantSplit/>
          <w:trHeight w:val="152"/>
        </w:trPr>
        <w:tc>
          <w:tcPr>
            <w:tcW w:w="2430" w:type="dxa"/>
            <w:vMerge w:val="restart"/>
            <w:tcBorders>
              <w:left w:val="single" w:sz="4" w:space="0" w:color="auto"/>
              <w:right w:val="single" w:sz="4" w:space="0" w:color="auto"/>
            </w:tcBorders>
            <w:noWrap/>
          </w:tcPr>
          <w:p w14:paraId="51F5FE7C"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Expert (2)</w:t>
            </w:r>
          </w:p>
        </w:tc>
        <w:tc>
          <w:tcPr>
            <w:tcW w:w="6634" w:type="dxa"/>
            <w:gridSpan w:val="3"/>
            <w:tcBorders>
              <w:top w:val="nil"/>
              <w:left w:val="nil"/>
              <w:bottom w:val="single" w:sz="4" w:space="0" w:color="auto"/>
              <w:right w:val="single" w:sz="4" w:space="0" w:color="auto"/>
            </w:tcBorders>
          </w:tcPr>
          <w:p w14:paraId="6530AAD8"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Name:</w:t>
            </w:r>
          </w:p>
        </w:tc>
      </w:tr>
      <w:tr w:rsidR="002D7080" w:rsidRPr="004D1E6F" w14:paraId="338E9594" w14:textId="77777777" w:rsidTr="002E2C37">
        <w:trPr>
          <w:cantSplit/>
          <w:trHeight w:val="188"/>
        </w:trPr>
        <w:tc>
          <w:tcPr>
            <w:tcW w:w="2430" w:type="dxa"/>
            <w:vMerge/>
            <w:tcBorders>
              <w:left w:val="single" w:sz="4" w:space="0" w:color="auto"/>
              <w:right w:val="single" w:sz="4" w:space="0" w:color="auto"/>
            </w:tcBorders>
            <w:noWrap/>
          </w:tcPr>
          <w:p w14:paraId="6A1FBCC1"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p>
        </w:tc>
        <w:tc>
          <w:tcPr>
            <w:tcW w:w="6634" w:type="dxa"/>
            <w:gridSpan w:val="3"/>
            <w:tcBorders>
              <w:top w:val="nil"/>
              <w:left w:val="nil"/>
              <w:bottom w:val="single" w:sz="4" w:space="0" w:color="auto"/>
              <w:right w:val="single" w:sz="4" w:space="0" w:color="auto"/>
            </w:tcBorders>
          </w:tcPr>
          <w:p w14:paraId="5E9920DD"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email:</w:t>
            </w:r>
          </w:p>
        </w:tc>
      </w:tr>
      <w:tr w:rsidR="002D7080" w:rsidRPr="004D1E6F" w14:paraId="310C8D55" w14:textId="77777777" w:rsidTr="002E2C37">
        <w:trPr>
          <w:cantSplit/>
          <w:trHeight w:val="215"/>
        </w:trPr>
        <w:tc>
          <w:tcPr>
            <w:tcW w:w="2430" w:type="dxa"/>
            <w:vMerge/>
            <w:tcBorders>
              <w:left w:val="single" w:sz="4" w:space="0" w:color="auto"/>
              <w:bottom w:val="single" w:sz="4" w:space="0" w:color="auto"/>
              <w:right w:val="single" w:sz="4" w:space="0" w:color="auto"/>
            </w:tcBorders>
            <w:noWrap/>
          </w:tcPr>
          <w:p w14:paraId="000D19B3"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p>
        </w:tc>
        <w:tc>
          <w:tcPr>
            <w:tcW w:w="6634" w:type="dxa"/>
            <w:gridSpan w:val="3"/>
            <w:tcBorders>
              <w:top w:val="nil"/>
              <w:left w:val="nil"/>
              <w:bottom w:val="single" w:sz="4" w:space="0" w:color="auto"/>
              <w:right w:val="single" w:sz="4" w:space="0" w:color="auto"/>
            </w:tcBorders>
          </w:tcPr>
          <w:p w14:paraId="119F8DB8"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Phone:</w:t>
            </w:r>
          </w:p>
        </w:tc>
      </w:tr>
      <w:tr w:rsidR="002D7080" w:rsidRPr="004D1E6F" w14:paraId="3A4D4839" w14:textId="77777777" w:rsidTr="002E2C37">
        <w:trPr>
          <w:cantSplit/>
          <w:trHeight w:val="152"/>
        </w:trPr>
        <w:tc>
          <w:tcPr>
            <w:tcW w:w="9064" w:type="dxa"/>
            <w:gridSpan w:val="4"/>
            <w:tcBorders>
              <w:top w:val="nil"/>
              <w:left w:val="single" w:sz="4" w:space="0" w:color="auto"/>
              <w:bottom w:val="single" w:sz="4" w:space="0" w:color="auto"/>
              <w:right w:val="single" w:sz="4" w:space="0" w:color="auto"/>
            </w:tcBorders>
            <w:noWrap/>
          </w:tcPr>
          <w:p w14:paraId="4996D3EF"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none</w:t>
            </w:r>
          </w:p>
        </w:tc>
      </w:tr>
      <w:tr w:rsidR="002D7080" w:rsidRPr="004D1E6F" w14:paraId="2B020F21" w14:textId="77777777" w:rsidTr="002E2C37">
        <w:trPr>
          <w:cantSplit/>
          <w:trHeight w:val="365"/>
        </w:trPr>
        <w:tc>
          <w:tcPr>
            <w:tcW w:w="9064" w:type="dxa"/>
            <w:gridSpan w:val="4"/>
            <w:tcBorders>
              <w:top w:val="nil"/>
              <w:left w:val="single" w:sz="4" w:space="0" w:color="auto"/>
              <w:bottom w:val="single" w:sz="4" w:space="0" w:color="auto"/>
              <w:right w:val="single" w:sz="4" w:space="0" w:color="auto"/>
            </w:tcBorders>
            <w:shd w:val="clear" w:color="auto" w:fill="F2F2F2" w:themeFill="background1" w:themeFillShade="F2"/>
            <w:noWrap/>
          </w:tcPr>
          <w:p w14:paraId="41D888BA"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BAC4 Scientific name of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under assessment</w:t>
            </w:r>
          </w:p>
        </w:tc>
      </w:tr>
      <w:tr w:rsidR="002D7080" w:rsidRPr="004D1E6F" w14:paraId="2820792D" w14:textId="77777777" w:rsidTr="002E2C37">
        <w:trPr>
          <w:cantSplit/>
          <w:trHeight w:val="215"/>
        </w:trPr>
        <w:tc>
          <w:tcPr>
            <w:tcW w:w="4463" w:type="dxa"/>
            <w:gridSpan w:val="3"/>
            <w:tcBorders>
              <w:top w:val="nil"/>
              <w:left w:val="single" w:sz="4" w:space="0" w:color="auto"/>
              <w:bottom w:val="single" w:sz="4" w:space="0" w:color="auto"/>
              <w:right w:val="single" w:sz="4" w:space="0" w:color="auto"/>
            </w:tcBorders>
            <w:noWrap/>
          </w:tcPr>
          <w:p w14:paraId="090B2A60" w14:textId="77777777" w:rsidR="002D7080" w:rsidRPr="004D1E6F" w:rsidRDefault="002D7080" w:rsidP="002B384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name: </w:t>
            </w:r>
            <w:r w:rsidRPr="004D1E6F">
              <w:rPr>
                <w:rFonts w:ascii="Times New Roman" w:eastAsia="Times New Roman" w:hAnsi="Times New Roman" w:cs="Times New Roman"/>
                <w:i/>
                <w:iCs/>
                <w:color w:val="000000"/>
                <w:sz w:val="20"/>
                <w:szCs w:val="20"/>
                <w:lang w:eastAsia="en-ZA"/>
              </w:rPr>
              <w:t>Procambarus virginalis</w:t>
            </w:r>
          </w:p>
        </w:tc>
        <w:tc>
          <w:tcPr>
            <w:tcW w:w="4601" w:type="dxa"/>
            <w:tcBorders>
              <w:top w:val="nil"/>
              <w:left w:val="nil"/>
              <w:bottom w:val="single" w:sz="4" w:space="0" w:color="auto"/>
              <w:right w:val="single" w:sz="4" w:space="0" w:color="auto"/>
            </w:tcBorders>
            <w:hideMark/>
          </w:tcPr>
          <w:p w14:paraId="0C655FFF" w14:textId="77777777" w:rsidR="002D7080" w:rsidRPr="001712F0" w:rsidRDefault="002D7080" w:rsidP="002B3841">
            <w:pPr>
              <w:jc w:val="both"/>
              <w:rPr>
                <w:rFonts w:ascii="Times New Roman" w:eastAsia="Times New Roman" w:hAnsi="Times New Roman" w:cs="Times New Roman"/>
                <w:color w:val="000000"/>
                <w:sz w:val="20"/>
                <w:szCs w:val="20"/>
                <w:lang w:val="en-US" w:eastAsia="en-ZA"/>
              </w:rPr>
            </w:pPr>
            <w:r w:rsidRPr="004D1E6F">
              <w:rPr>
                <w:rFonts w:ascii="Times New Roman" w:eastAsia="Times New Roman" w:hAnsi="Times New Roman" w:cs="Times New Roman"/>
                <w:color w:val="000000"/>
                <w:sz w:val="20"/>
                <w:szCs w:val="20"/>
                <w:lang w:eastAsia="en-ZA"/>
              </w:rPr>
              <w:t xml:space="preserve">Authority: </w:t>
            </w:r>
            <w:r w:rsidRPr="001712F0">
              <w:rPr>
                <w:rFonts w:ascii="Times New Roman" w:eastAsia="Times New Roman" w:hAnsi="Times New Roman" w:cs="Times New Roman"/>
                <w:color w:val="000000"/>
                <w:sz w:val="20"/>
                <w:szCs w:val="20"/>
                <w:lang w:val="en-US" w:eastAsia="en-ZA"/>
              </w:rPr>
              <w:t>Lyko, 2017</w:t>
            </w:r>
          </w:p>
        </w:tc>
      </w:tr>
      <w:tr w:rsidR="002D7080" w:rsidRPr="004D1E6F" w14:paraId="1BC43A0B" w14:textId="77777777" w:rsidTr="002E2C37">
        <w:trPr>
          <w:cantSplit/>
          <w:trHeight w:val="424"/>
        </w:trPr>
        <w:tc>
          <w:tcPr>
            <w:tcW w:w="9064" w:type="dxa"/>
            <w:gridSpan w:val="4"/>
            <w:tcBorders>
              <w:top w:val="nil"/>
              <w:left w:val="single" w:sz="4" w:space="0" w:color="auto"/>
              <w:bottom w:val="single" w:sz="4" w:space="0" w:color="auto"/>
              <w:right w:val="single" w:sz="4" w:space="0" w:color="auto"/>
            </w:tcBorders>
            <w:noWrap/>
          </w:tcPr>
          <w:p w14:paraId="00D58E64" w14:textId="77777777" w:rsidR="002D7080" w:rsidRPr="004D1E6F" w:rsidRDefault="002D7080" w:rsidP="002B384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Procambarus</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virginalis</w:t>
            </w:r>
            <w:r>
              <w:rPr>
                <w:rFonts w:ascii="Times New Roman" w:eastAsia="Times New Roman" w:hAnsi="Times New Roman" w:cs="Times New Roman"/>
                <w:color w:val="000000"/>
                <w:sz w:val="20"/>
                <w:szCs w:val="20"/>
                <w:lang w:eastAsia="en-ZA"/>
              </w:rPr>
              <w:t xml:space="preserve"> is listed as the accepted name for marbled crayfish (Lyko 2017; GBIF 2023)</w:t>
            </w:r>
          </w:p>
        </w:tc>
      </w:tr>
      <w:tr w:rsidR="002D7080" w:rsidRPr="004D1E6F" w14:paraId="42FA273A" w14:textId="77777777" w:rsidTr="002E2C37">
        <w:trPr>
          <w:cantSplit/>
          <w:trHeight w:val="402"/>
        </w:trPr>
        <w:tc>
          <w:tcPr>
            <w:tcW w:w="9064" w:type="dxa"/>
            <w:gridSpan w:val="4"/>
            <w:tcBorders>
              <w:top w:val="nil"/>
              <w:left w:val="single" w:sz="4" w:space="0" w:color="auto"/>
              <w:bottom w:val="single" w:sz="4" w:space="0" w:color="auto"/>
              <w:right w:val="single" w:sz="4" w:space="0" w:color="auto"/>
            </w:tcBorders>
            <w:noWrap/>
          </w:tcPr>
          <w:p w14:paraId="51F375D0" w14:textId="77777777" w:rsidR="002D7080" w:rsidRPr="004D1E6F" w:rsidRDefault="002D7080" w:rsidP="002B384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03FB8C4A" w14:textId="77777777" w:rsidR="002D7080" w:rsidRDefault="002D7080" w:rsidP="002B3841">
            <w:pPr>
              <w:spacing w:after="0"/>
              <w:ind w:left="522" w:hanging="522"/>
              <w:jc w:val="both"/>
              <w:rPr>
                <w:rFonts w:ascii="Times New Roman" w:hAnsi="Times New Roman" w:cs="Times New Roman"/>
                <w:i/>
                <w:iCs/>
                <w:sz w:val="20"/>
                <w:szCs w:val="20"/>
              </w:rPr>
            </w:pPr>
            <w:r w:rsidRPr="00F40E76">
              <w:rPr>
                <w:rFonts w:ascii="Times New Roman" w:hAnsi="Times New Roman" w:cs="Times New Roman"/>
                <w:i/>
                <w:iCs/>
                <w:sz w:val="20"/>
                <w:szCs w:val="20"/>
              </w:rPr>
              <w:t xml:space="preserve">Procambarus virginalis </w:t>
            </w:r>
            <w:r w:rsidRPr="00F40E76">
              <w:rPr>
                <w:rFonts w:ascii="Times New Roman" w:hAnsi="Times New Roman" w:cs="Times New Roman"/>
                <w:sz w:val="20"/>
                <w:szCs w:val="20"/>
              </w:rPr>
              <w:t xml:space="preserve">Lyko, 2017 in Döring M (2022). English Wikipedia - Species Pages. Wikimedia Foundation. Checklist dataset </w:t>
            </w:r>
            <w:hyperlink r:id="rId614" w:history="1">
              <w:r w:rsidRPr="00762F6F">
                <w:rPr>
                  <w:rStyle w:val="Hyperlink"/>
                  <w:rFonts w:ascii="Times New Roman" w:hAnsi="Times New Roman" w:cs="Times New Roman"/>
                  <w:sz w:val="20"/>
                  <w:szCs w:val="20"/>
                </w:rPr>
                <w:t>https://doi.org/10.15468/c3kkgh</w:t>
              </w:r>
            </w:hyperlink>
            <w:r>
              <w:rPr>
                <w:rFonts w:ascii="Times New Roman" w:hAnsi="Times New Roman" w:cs="Times New Roman"/>
                <w:sz w:val="20"/>
                <w:szCs w:val="20"/>
              </w:rPr>
              <w:t xml:space="preserve"> </w:t>
            </w:r>
            <w:r w:rsidRPr="00F40E76">
              <w:rPr>
                <w:rFonts w:ascii="Times New Roman" w:hAnsi="Times New Roman" w:cs="Times New Roman"/>
                <w:sz w:val="20"/>
                <w:szCs w:val="20"/>
              </w:rPr>
              <w:t xml:space="preserve"> accessed via GBIF.org on 2025-02-14</w:t>
            </w:r>
            <w:r w:rsidRPr="00F40E76">
              <w:rPr>
                <w:rFonts w:ascii="Times New Roman" w:hAnsi="Times New Roman" w:cs="Times New Roman"/>
                <w:i/>
                <w:iCs/>
                <w:sz w:val="20"/>
                <w:szCs w:val="20"/>
              </w:rPr>
              <w:t>.</w:t>
            </w:r>
          </w:p>
          <w:p w14:paraId="644194E6" w14:textId="2DE4FBEA" w:rsidR="002D7080" w:rsidRPr="004D1E6F" w:rsidRDefault="002D7080" w:rsidP="002B3841">
            <w:pPr>
              <w:spacing w:after="0"/>
              <w:ind w:left="522" w:hanging="522"/>
              <w:jc w:val="both"/>
              <w:rPr>
                <w:rFonts w:ascii="Times New Roman" w:eastAsia="Times New Roman" w:hAnsi="Times New Roman" w:cs="Times New Roman"/>
                <w:color w:val="000000"/>
                <w:sz w:val="20"/>
                <w:szCs w:val="20"/>
                <w:lang w:eastAsia="en-ZA"/>
              </w:rPr>
            </w:pPr>
            <w:r w:rsidRPr="00102E5C">
              <w:rPr>
                <w:rFonts w:ascii="Times New Roman" w:eastAsia="Times New Roman" w:hAnsi="Times New Roman" w:cs="Times New Roman"/>
                <w:color w:val="000000"/>
                <w:sz w:val="20"/>
                <w:szCs w:val="20"/>
                <w:lang w:eastAsia="en-ZA"/>
              </w:rPr>
              <w:t> </w:t>
            </w:r>
            <w:r w:rsidRPr="00420583">
              <w:rPr>
                <w:rFonts w:ascii="Times New Roman" w:eastAsia="Times New Roman" w:hAnsi="Times New Roman" w:cs="Times New Roman"/>
                <w:color w:val="000000"/>
                <w:sz w:val="20"/>
                <w:szCs w:val="20"/>
                <w:lang w:eastAsia="en-ZA"/>
              </w:rPr>
              <w:t>Lyko, F., 2017. The marbled crayfish (Decapoda: Cambaridae) represents an independent new species. Zootaxa, 4363(4), pp.544-552</w:t>
            </w:r>
            <w:r w:rsidR="005B3153">
              <w:rPr>
                <w:rFonts w:ascii="Times New Roman" w:eastAsia="Times New Roman" w:hAnsi="Times New Roman" w:cs="Times New Roman"/>
                <w:color w:val="000000"/>
                <w:sz w:val="20"/>
                <w:szCs w:val="20"/>
                <w:lang w:eastAsia="en-ZA"/>
              </w:rPr>
              <w:t>,</w:t>
            </w:r>
            <w:r w:rsidR="005B3153">
              <w:t xml:space="preserve"> </w:t>
            </w:r>
            <w:r w:rsidR="005B3153" w:rsidRPr="005B3153">
              <w:rPr>
                <w:rFonts w:ascii="Times New Roman" w:eastAsia="Times New Roman" w:hAnsi="Times New Roman" w:cs="Times New Roman"/>
                <w:color w:val="000000"/>
                <w:sz w:val="20"/>
                <w:szCs w:val="20"/>
                <w:lang w:eastAsia="en-ZA"/>
              </w:rPr>
              <w:t>https://doi.org/10.11646/zootaxa.4363.4.6</w:t>
            </w:r>
            <w:r>
              <w:rPr>
                <w:rStyle w:val="Hyperlink"/>
                <w:rFonts w:ascii="Times New Roman" w:eastAsia="Times New Roman" w:hAnsi="Times New Roman" w:cs="Times New Roman"/>
                <w:sz w:val="20"/>
                <w:szCs w:val="20"/>
                <w:lang w:eastAsia="en-ZA"/>
              </w:rPr>
              <w:t>.</w:t>
            </w:r>
            <w:r>
              <w:rPr>
                <w:rFonts w:ascii="Times New Roman" w:eastAsia="Times New Roman" w:hAnsi="Times New Roman" w:cs="Times New Roman"/>
                <w:color w:val="000000"/>
                <w:sz w:val="20"/>
                <w:szCs w:val="20"/>
                <w:lang w:eastAsia="en-ZA"/>
              </w:rPr>
              <w:t xml:space="preserve"> </w:t>
            </w:r>
          </w:p>
        </w:tc>
      </w:tr>
      <w:tr w:rsidR="002D7080" w:rsidRPr="004D1E6F" w14:paraId="02CC5C28" w14:textId="77777777" w:rsidTr="002E2C37">
        <w:trPr>
          <w:cantSplit/>
          <w:trHeight w:val="233"/>
        </w:trPr>
        <w:tc>
          <w:tcPr>
            <w:tcW w:w="9064"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1BFB696" w14:textId="77777777" w:rsidR="002D7080" w:rsidRPr="004D1E6F" w:rsidRDefault="002D7080" w:rsidP="002B384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BAC5 Synonym(s) considered</w:t>
            </w:r>
          </w:p>
        </w:tc>
      </w:tr>
      <w:tr w:rsidR="002D7080" w:rsidRPr="0087162A" w14:paraId="6DC3A2FA" w14:textId="77777777" w:rsidTr="002E2C37">
        <w:trPr>
          <w:cantSplit/>
          <w:trHeight w:val="170"/>
        </w:trPr>
        <w:tc>
          <w:tcPr>
            <w:tcW w:w="9064" w:type="dxa"/>
            <w:gridSpan w:val="4"/>
            <w:tcBorders>
              <w:top w:val="single" w:sz="4" w:space="0" w:color="auto"/>
              <w:left w:val="single" w:sz="4" w:space="0" w:color="auto"/>
              <w:bottom w:val="single" w:sz="4" w:space="0" w:color="auto"/>
              <w:right w:val="single" w:sz="4" w:space="0" w:color="auto"/>
            </w:tcBorders>
            <w:noWrap/>
          </w:tcPr>
          <w:p w14:paraId="74F81ED4" w14:textId="77777777" w:rsidR="002D7080" w:rsidRPr="00360AC0" w:rsidRDefault="002D7080" w:rsidP="002B3841">
            <w:pPr>
              <w:spacing w:after="0"/>
              <w:jc w:val="both"/>
              <w:rPr>
                <w:rFonts w:ascii="Times New Roman" w:eastAsia="Times New Roman" w:hAnsi="Times New Roman" w:cs="Times New Roman"/>
                <w:b/>
                <w:color w:val="000000"/>
                <w:sz w:val="20"/>
                <w:szCs w:val="20"/>
                <w:lang w:val="fr-FR" w:eastAsia="en-ZA"/>
              </w:rPr>
            </w:pPr>
            <w:r w:rsidRPr="00360AC0">
              <w:rPr>
                <w:rFonts w:ascii="Times New Roman" w:eastAsia="Times New Roman" w:hAnsi="Times New Roman" w:cs="Times New Roman"/>
                <w:color w:val="000000"/>
                <w:sz w:val="20"/>
                <w:szCs w:val="20"/>
                <w:lang w:val="fr-FR" w:eastAsia="en-ZA"/>
              </w:rPr>
              <w:t>Synonyms</w:t>
            </w:r>
            <w:r w:rsidRPr="00360AC0">
              <w:rPr>
                <w:rFonts w:ascii="Times New Roman" w:eastAsia="Times New Roman" w:hAnsi="Times New Roman" w:cs="Times New Roman"/>
                <w:i/>
                <w:iCs/>
                <w:color w:val="000000"/>
                <w:sz w:val="20"/>
                <w:szCs w:val="20"/>
                <w:lang w:val="fr-FR" w:eastAsia="en-ZA"/>
              </w:rPr>
              <w:t>: Procambarus fallax</w:t>
            </w:r>
            <w:r w:rsidRPr="00360AC0">
              <w:rPr>
                <w:rFonts w:ascii="Times New Roman" w:eastAsia="Times New Roman" w:hAnsi="Times New Roman" w:cs="Times New Roman"/>
                <w:color w:val="000000"/>
                <w:sz w:val="20"/>
                <w:szCs w:val="20"/>
                <w:lang w:val="fr-FR" w:eastAsia="en-ZA"/>
              </w:rPr>
              <w:t xml:space="preserve"> f.</w:t>
            </w:r>
            <w:r w:rsidRPr="00360AC0">
              <w:rPr>
                <w:rFonts w:ascii="Times New Roman" w:eastAsia="Times New Roman" w:hAnsi="Times New Roman" w:cs="Times New Roman"/>
                <w:i/>
                <w:iCs/>
                <w:color w:val="000000"/>
                <w:sz w:val="20"/>
                <w:szCs w:val="20"/>
                <w:lang w:val="fr-FR" w:eastAsia="en-ZA"/>
              </w:rPr>
              <w:t xml:space="preserve"> virginalis</w:t>
            </w:r>
            <w:r w:rsidRPr="00360AC0">
              <w:rPr>
                <w:rFonts w:ascii="Times New Roman" w:eastAsia="Times New Roman" w:hAnsi="Times New Roman" w:cs="Times New Roman"/>
                <w:color w:val="000000"/>
                <w:sz w:val="20"/>
                <w:szCs w:val="20"/>
                <w:lang w:val="fr-FR" w:eastAsia="en-ZA"/>
              </w:rPr>
              <w:t xml:space="preserve"> </w:t>
            </w:r>
          </w:p>
        </w:tc>
      </w:tr>
      <w:tr w:rsidR="002D7080" w:rsidRPr="004D1E6F" w14:paraId="71D74C3D" w14:textId="77777777" w:rsidTr="002E2C37">
        <w:trPr>
          <w:cantSplit/>
          <w:trHeight w:val="390"/>
        </w:trPr>
        <w:tc>
          <w:tcPr>
            <w:tcW w:w="9064" w:type="dxa"/>
            <w:gridSpan w:val="4"/>
            <w:tcBorders>
              <w:top w:val="single" w:sz="4" w:space="0" w:color="auto"/>
              <w:left w:val="single" w:sz="4" w:space="0" w:color="auto"/>
              <w:bottom w:val="single" w:sz="4" w:space="0" w:color="auto"/>
              <w:right w:val="single" w:sz="4" w:space="0" w:color="auto"/>
            </w:tcBorders>
            <w:noWrap/>
          </w:tcPr>
          <w:p w14:paraId="05503A40" w14:textId="77777777" w:rsidR="002D7080" w:rsidRPr="004D1E6F" w:rsidRDefault="002D7080" w:rsidP="002B384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Procambarus fallax</w:t>
            </w:r>
            <w:r w:rsidRPr="004D1E6F">
              <w:rPr>
                <w:rFonts w:ascii="Times New Roman" w:eastAsia="Times New Roman" w:hAnsi="Times New Roman" w:cs="Times New Roman"/>
                <w:color w:val="000000"/>
                <w:sz w:val="20"/>
                <w:szCs w:val="20"/>
                <w:lang w:eastAsia="en-ZA"/>
              </w:rPr>
              <w:t xml:space="preserve"> f. </w:t>
            </w:r>
            <w:r w:rsidRPr="004D1E6F">
              <w:rPr>
                <w:rFonts w:ascii="Times New Roman" w:eastAsia="Times New Roman" w:hAnsi="Times New Roman" w:cs="Times New Roman"/>
                <w:i/>
                <w:iCs/>
                <w:color w:val="000000"/>
                <w:sz w:val="20"/>
                <w:szCs w:val="20"/>
                <w:lang w:eastAsia="en-ZA"/>
              </w:rPr>
              <w:t>virginalis</w:t>
            </w:r>
            <w:r>
              <w:rPr>
                <w:rFonts w:ascii="Times New Roman" w:eastAsia="Times New Roman" w:hAnsi="Times New Roman" w:cs="Times New Roman"/>
                <w:color w:val="000000"/>
                <w:sz w:val="20"/>
                <w:szCs w:val="20"/>
                <w:lang w:eastAsia="en-ZA"/>
              </w:rPr>
              <w:t xml:space="preserve"> is listed as a synonym of </w:t>
            </w:r>
            <w:r w:rsidRPr="004D1E6F">
              <w:rPr>
                <w:rFonts w:ascii="Times New Roman" w:eastAsia="Times New Roman" w:hAnsi="Times New Roman" w:cs="Times New Roman"/>
                <w:i/>
                <w:iCs/>
                <w:color w:val="000000"/>
                <w:sz w:val="20"/>
                <w:szCs w:val="20"/>
                <w:lang w:eastAsia="en-ZA"/>
              </w:rPr>
              <w:t xml:space="preserve">Procambarus </w:t>
            </w:r>
            <w:r>
              <w:rPr>
                <w:rFonts w:ascii="Times New Roman" w:eastAsia="Times New Roman" w:hAnsi="Times New Roman" w:cs="Times New Roman"/>
                <w:i/>
                <w:iCs/>
                <w:color w:val="000000"/>
                <w:sz w:val="20"/>
                <w:szCs w:val="20"/>
                <w:lang w:eastAsia="en-ZA"/>
              </w:rPr>
              <w:t>virginalis</w:t>
            </w:r>
            <w:r w:rsidRPr="00607444">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(GBIF 2023) and it was used in the listreature search for this risk analyis</w:t>
            </w:r>
          </w:p>
        </w:tc>
      </w:tr>
      <w:tr w:rsidR="002D7080" w:rsidRPr="004D1E6F" w14:paraId="1F922E71" w14:textId="77777777" w:rsidTr="002E2C37">
        <w:trPr>
          <w:cantSplit/>
          <w:trHeight w:val="390"/>
        </w:trPr>
        <w:tc>
          <w:tcPr>
            <w:tcW w:w="9064" w:type="dxa"/>
            <w:gridSpan w:val="4"/>
            <w:tcBorders>
              <w:top w:val="single" w:sz="4" w:space="0" w:color="auto"/>
              <w:left w:val="single" w:sz="4" w:space="0" w:color="auto"/>
              <w:bottom w:val="single" w:sz="4" w:space="0" w:color="auto"/>
              <w:right w:val="single" w:sz="4" w:space="0" w:color="auto"/>
            </w:tcBorders>
            <w:noWrap/>
          </w:tcPr>
          <w:p w14:paraId="6B94B9B1" w14:textId="77777777" w:rsidR="002D7080" w:rsidRDefault="002D7080" w:rsidP="002B384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43A4AD1E" w14:textId="77777777" w:rsidR="002D7080" w:rsidRPr="004D1E6F" w:rsidRDefault="002D7080" w:rsidP="002B3841">
            <w:pPr>
              <w:spacing w:after="0"/>
              <w:ind w:left="525" w:hanging="525"/>
              <w:jc w:val="both"/>
              <w:rPr>
                <w:rFonts w:ascii="Times New Roman" w:eastAsia="Times New Roman" w:hAnsi="Times New Roman" w:cs="Times New Roman"/>
                <w:color w:val="000000"/>
                <w:sz w:val="20"/>
                <w:szCs w:val="20"/>
                <w:lang w:eastAsia="en-ZA"/>
              </w:rPr>
            </w:pPr>
            <w:r w:rsidRPr="00BA55ED">
              <w:rPr>
                <w:rFonts w:ascii="Times New Roman" w:hAnsi="Times New Roman" w:cs="Times New Roman"/>
                <w:i/>
                <w:iCs/>
                <w:sz w:val="20"/>
                <w:szCs w:val="20"/>
              </w:rPr>
              <w:t xml:space="preserve">Procambarus fallax f. virginalis </w:t>
            </w:r>
            <w:r w:rsidRPr="00BA55ED">
              <w:rPr>
                <w:rFonts w:ascii="Times New Roman" w:hAnsi="Times New Roman" w:cs="Times New Roman"/>
                <w:sz w:val="20"/>
                <w:szCs w:val="20"/>
              </w:rPr>
              <w:t>Martin, Dorn, Kawai, van der Heiden &amp; Scholtz, 2010 in GBIF Secretariat (2023). GBIF Backbone Taxonomy. Checklist dataset https://doi.org/10.15468/39omei accessed via GBIF.org on 2024-07-17.</w:t>
            </w:r>
          </w:p>
        </w:tc>
      </w:tr>
      <w:tr w:rsidR="002D7080" w:rsidRPr="004D1E6F" w14:paraId="673EF014" w14:textId="77777777" w:rsidTr="002E2C37">
        <w:trPr>
          <w:cantSplit/>
          <w:trHeight w:val="242"/>
        </w:trPr>
        <w:tc>
          <w:tcPr>
            <w:tcW w:w="9064"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60C7706" w14:textId="77777777" w:rsidR="002D7080" w:rsidRPr="004D1E6F" w:rsidRDefault="002D7080" w:rsidP="002B384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BAC6 Common name(s) considered</w:t>
            </w:r>
          </w:p>
        </w:tc>
      </w:tr>
      <w:tr w:rsidR="002D7080" w:rsidRPr="004D1E6F" w14:paraId="632CF0C3" w14:textId="77777777" w:rsidTr="002E2C37">
        <w:trPr>
          <w:cantSplit/>
          <w:trHeight w:val="260"/>
        </w:trPr>
        <w:tc>
          <w:tcPr>
            <w:tcW w:w="9064" w:type="dxa"/>
            <w:gridSpan w:val="4"/>
            <w:tcBorders>
              <w:top w:val="single" w:sz="4" w:space="0" w:color="auto"/>
              <w:left w:val="single" w:sz="4" w:space="0" w:color="auto"/>
              <w:bottom w:val="single" w:sz="4" w:space="0" w:color="auto"/>
              <w:right w:val="single" w:sz="4" w:space="0" w:color="auto"/>
            </w:tcBorders>
            <w:noWrap/>
          </w:tcPr>
          <w:p w14:paraId="748D135E" w14:textId="77777777" w:rsidR="002D7080" w:rsidRPr="004D1E6F" w:rsidRDefault="002D7080" w:rsidP="002B3841">
            <w:pPr>
              <w:spacing w:after="0"/>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Common names: Marbled crayfish</w:t>
            </w:r>
            <w:r>
              <w:rPr>
                <w:rFonts w:ascii="Times New Roman" w:eastAsia="Times New Roman" w:hAnsi="Times New Roman" w:cs="Times New Roman"/>
                <w:color w:val="000000"/>
                <w:sz w:val="20"/>
                <w:szCs w:val="20"/>
                <w:lang w:eastAsia="en-ZA"/>
              </w:rPr>
              <w:t xml:space="preserve"> | </w:t>
            </w:r>
            <w:r w:rsidRPr="004D1E6F">
              <w:rPr>
                <w:rFonts w:ascii="Times New Roman" w:eastAsia="Times New Roman" w:hAnsi="Times New Roman" w:cs="Times New Roman"/>
                <w:color w:val="000000"/>
                <w:sz w:val="20"/>
                <w:szCs w:val="20"/>
                <w:lang w:eastAsia="en-ZA"/>
              </w:rPr>
              <w:t>Marmorkrebs</w:t>
            </w:r>
          </w:p>
        </w:tc>
      </w:tr>
      <w:tr w:rsidR="002D7080" w:rsidRPr="004D1E6F" w14:paraId="55264CC7" w14:textId="77777777" w:rsidTr="002E2C37">
        <w:trPr>
          <w:cantSplit/>
          <w:trHeight w:val="390"/>
        </w:trPr>
        <w:tc>
          <w:tcPr>
            <w:tcW w:w="9064" w:type="dxa"/>
            <w:gridSpan w:val="4"/>
            <w:tcBorders>
              <w:top w:val="single" w:sz="4" w:space="0" w:color="auto"/>
              <w:left w:val="single" w:sz="4" w:space="0" w:color="auto"/>
              <w:bottom w:val="single" w:sz="4" w:space="0" w:color="auto"/>
              <w:right w:val="single" w:sz="4" w:space="0" w:color="auto"/>
            </w:tcBorders>
            <w:noWrap/>
          </w:tcPr>
          <w:p w14:paraId="4E1D4D2B" w14:textId="77777777" w:rsidR="002D7080" w:rsidRPr="004D1E6F" w:rsidRDefault="002D7080" w:rsidP="002B384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There are two English common names for </w:t>
            </w:r>
            <w:r w:rsidRPr="001321F6">
              <w:rPr>
                <w:rFonts w:ascii="Times New Roman" w:eastAsia="Times New Roman" w:hAnsi="Times New Roman" w:cs="Times New Roman"/>
                <w:i/>
                <w:iCs/>
                <w:color w:val="000000"/>
                <w:sz w:val="20"/>
                <w:szCs w:val="20"/>
                <w:lang w:eastAsia="en-ZA"/>
              </w:rPr>
              <w:t>Procambarus</w:t>
            </w:r>
            <w:r>
              <w:rPr>
                <w:rFonts w:ascii="Times New Roman" w:eastAsia="Times New Roman" w:hAnsi="Times New Roman" w:cs="Times New Roman"/>
                <w:i/>
                <w:iCs/>
                <w:color w:val="000000"/>
                <w:sz w:val="20"/>
                <w:szCs w:val="20"/>
                <w:lang w:eastAsia="en-ZA"/>
              </w:rPr>
              <w:t xml:space="preserve"> </w:t>
            </w:r>
            <w:r w:rsidRPr="001321F6">
              <w:rPr>
                <w:rFonts w:ascii="Times New Roman" w:eastAsia="Times New Roman" w:hAnsi="Times New Roman" w:cs="Times New Roman"/>
                <w:i/>
                <w:iCs/>
                <w:color w:val="000000"/>
                <w:sz w:val="20"/>
                <w:szCs w:val="20"/>
                <w:lang w:eastAsia="en-ZA"/>
              </w:rPr>
              <w:t>virginalis</w:t>
            </w:r>
            <w:r w:rsidRPr="001321F6">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Marbled crayfish</w:t>
            </w:r>
            <w:r w:rsidRPr="001321F6">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 xml:space="preserve">and </w:t>
            </w:r>
            <w:r w:rsidRPr="001321F6">
              <w:rPr>
                <w:rFonts w:ascii="Times New Roman" w:eastAsia="Times New Roman" w:hAnsi="Times New Roman" w:cs="Times New Roman"/>
                <w:color w:val="000000"/>
                <w:sz w:val="20"/>
                <w:szCs w:val="20"/>
                <w:lang w:eastAsia="en-ZA"/>
              </w:rPr>
              <w:t xml:space="preserve">Marmorkrebs) </w:t>
            </w:r>
            <w:r>
              <w:rPr>
                <w:rFonts w:ascii="Times New Roman" w:eastAsia="Times New Roman" w:hAnsi="Times New Roman" w:cs="Times New Roman"/>
                <w:color w:val="000000"/>
                <w:sz w:val="20"/>
                <w:szCs w:val="20"/>
                <w:lang w:eastAsia="en-ZA"/>
              </w:rPr>
              <w:t>(GBIF 2023; CABI, 2024) and these were used in the listreature search for this risk analyis</w:t>
            </w:r>
          </w:p>
        </w:tc>
      </w:tr>
      <w:tr w:rsidR="002D7080" w:rsidRPr="004D1E6F" w14:paraId="439B0EFE" w14:textId="77777777" w:rsidTr="002E2C37">
        <w:trPr>
          <w:cantSplit/>
          <w:trHeight w:val="390"/>
        </w:trPr>
        <w:tc>
          <w:tcPr>
            <w:tcW w:w="9064" w:type="dxa"/>
            <w:gridSpan w:val="4"/>
            <w:tcBorders>
              <w:top w:val="single" w:sz="4" w:space="0" w:color="auto"/>
              <w:left w:val="single" w:sz="4" w:space="0" w:color="auto"/>
              <w:bottom w:val="single" w:sz="4" w:space="0" w:color="auto"/>
              <w:right w:val="single" w:sz="4" w:space="0" w:color="auto"/>
            </w:tcBorders>
            <w:noWrap/>
          </w:tcPr>
          <w:p w14:paraId="395C462F" w14:textId="77777777" w:rsidR="002D7080" w:rsidRPr="004D1E6F" w:rsidRDefault="002D7080" w:rsidP="002B384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References:</w:t>
            </w:r>
          </w:p>
          <w:p w14:paraId="23FD5563" w14:textId="77777777" w:rsidR="002D7080" w:rsidRDefault="002D7080" w:rsidP="002B3841">
            <w:pPr>
              <w:spacing w:after="0"/>
              <w:ind w:left="522" w:hanging="522"/>
              <w:jc w:val="both"/>
              <w:rPr>
                <w:rFonts w:ascii="Times New Roman" w:hAnsi="Times New Roman" w:cs="Times New Roman"/>
                <w:sz w:val="20"/>
                <w:szCs w:val="20"/>
              </w:rPr>
            </w:pPr>
            <w:r w:rsidRPr="00A06354">
              <w:rPr>
                <w:rFonts w:ascii="Times New Roman" w:hAnsi="Times New Roman" w:cs="Times New Roman"/>
                <w:sz w:val="20"/>
                <w:szCs w:val="20"/>
              </w:rPr>
              <w:t xml:space="preserve">CABI, 2024. </w:t>
            </w:r>
            <w:r w:rsidRPr="00591E3C">
              <w:rPr>
                <w:rFonts w:ascii="Times New Roman" w:hAnsi="Times New Roman" w:cs="Times New Roman"/>
                <w:i/>
                <w:iCs/>
                <w:sz w:val="20"/>
                <w:szCs w:val="20"/>
              </w:rPr>
              <w:t>Procambarus fallax</w:t>
            </w:r>
            <w:r w:rsidRPr="00F75B1D">
              <w:rPr>
                <w:rFonts w:ascii="Times New Roman" w:hAnsi="Times New Roman" w:cs="Times New Roman"/>
                <w:sz w:val="20"/>
                <w:szCs w:val="20"/>
              </w:rPr>
              <w:t xml:space="preserve"> f. </w:t>
            </w:r>
            <w:r w:rsidRPr="00591E3C">
              <w:rPr>
                <w:rFonts w:ascii="Times New Roman" w:hAnsi="Times New Roman" w:cs="Times New Roman"/>
                <w:i/>
                <w:iCs/>
                <w:sz w:val="20"/>
                <w:szCs w:val="20"/>
              </w:rPr>
              <w:t xml:space="preserve">virginalis </w:t>
            </w:r>
            <w:r w:rsidRPr="00F75B1D">
              <w:rPr>
                <w:rFonts w:ascii="Times New Roman" w:hAnsi="Times New Roman" w:cs="Times New Roman"/>
                <w:sz w:val="20"/>
                <w:szCs w:val="20"/>
              </w:rPr>
              <w:t>(Marmorkrebs)</w:t>
            </w:r>
            <w:r w:rsidRPr="00A06354">
              <w:rPr>
                <w:rFonts w:ascii="Times New Roman" w:hAnsi="Times New Roman" w:cs="Times New Roman"/>
                <w:sz w:val="20"/>
                <w:szCs w:val="20"/>
              </w:rPr>
              <w:t xml:space="preserve">. Invasive Species Compendium, </w:t>
            </w:r>
            <w:r w:rsidRPr="00A06354">
              <w:rPr>
                <w:rFonts w:ascii="Times New Roman" w:hAnsi="Times New Roman" w:cs="Times New Roman"/>
                <w:color w:val="000000"/>
                <w:sz w:val="20"/>
                <w:szCs w:val="20"/>
                <w:shd w:val="clear" w:color="auto" w:fill="FFFFFF"/>
              </w:rPr>
              <w:t>CABI Publishing, Wallingford, UK.</w:t>
            </w:r>
            <w:r w:rsidRPr="00A06354">
              <w:rPr>
                <w:rFonts w:ascii="Times New Roman" w:hAnsi="Times New Roman" w:cs="Times New Roman"/>
                <w:sz w:val="20"/>
                <w:szCs w:val="20"/>
              </w:rPr>
              <w:t xml:space="preserve"> </w:t>
            </w:r>
            <w:hyperlink w:history="1">
              <w:r w:rsidRPr="0039483C">
                <w:rPr>
                  <w:rStyle w:val="Hyperlink"/>
                  <w:rFonts w:ascii="Times New Roman" w:hAnsi="Times New Roman" w:cs="Times New Roman"/>
                  <w:sz w:val="20"/>
                  <w:szCs w:val="20"/>
                </w:rPr>
                <w:t>https://www.cabidigitallibrary.org/doi/10.1079/cabicompendium.110477</w:t>
              </w:r>
            </w:hyperlink>
            <w:r>
              <w:rPr>
                <w:rFonts w:ascii="Times New Roman" w:hAnsi="Times New Roman" w:cs="Times New Roman"/>
                <w:sz w:val="20"/>
                <w:szCs w:val="20"/>
              </w:rPr>
              <w:t xml:space="preserve"> </w:t>
            </w:r>
            <w:r w:rsidRPr="00A06354">
              <w:rPr>
                <w:rFonts w:ascii="Times New Roman" w:hAnsi="Times New Roman" w:cs="Times New Roman"/>
                <w:sz w:val="20"/>
                <w:szCs w:val="20"/>
              </w:rPr>
              <w:t>(accessed 10 July 2024)</w:t>
            </w:r>
          </w:p>
          <w:p w14:paraId="48C18869" w14:textId="77777777" w:rsidR="002D7080" w:rsidRPr="004D1E6F" w:rsidRDefault="002D7080" w:rsidP="002B3841">
            <w:pPr>
              <w:spacing w:after="0"/>
              <w:ind w:left="522" w:hanging="522"/>
              <w:jc w:val="both"/>
              <w:rPr>
                <w:rFonts w:ascii="Times New Roman" w:eastAsia="Times New Roman" w:hAnsi="Times New Roman" w:cs="Times New Roman"/>
                <w:color w:val="000000"/>
                <w:sz w:val="20"/>
                <w:szCs w:val="20"/>
                <w:lang w:eastAsia="en-ZA"/>
              </w:rPr>
            </w:pPr>
            <w:r w:rsidRPr="00BA55ED">
              <w:rPr>
                <w:rFonts w:ascii="Times New Roman" w:hAnsi="Times New Roman" w:cs="Times New Roman"/>
                <w:i/>
                <w:iCs/>
                <w:sz w:val="20"/>
                <w:szCs w:val="20"/>
              </w:rPr>
              <w:t xml:space="preserve">Procambarus fallax f. virginalis </w:t>
            </w:r>
            <w:r w:rsidRPr="00BA55ED">
              <w:rPr>
                <w:rFonts w:ascii="Times New Roman" w:hAnsi="Times New Roman" w:cs="Times New Roman"/>
                <w:sz w:val="20"/>
                <w:szCs w:val="20"/>
              </w:rPr>
              <w:t>Martin, Dorn, Kawai, van der Heiden &amp; Scholtz, 2010 in GBIF Secretariat (2023). GBIF Backbone Taxonomy. Checklist dataset https://doi.org/10.15468/39omei accessed via GBIF.org on 2024-07-17.</w:t>
            </w:r>
          </w:p>
        </w:tc>
      </w:tr>
      <w:tr w:rsidR="002D7080" w:rsidRPr="004D1E6F" w14:paraId="0B7CE8EB" w14:textId="77777777" w:rsidTr="002E2C37">
        <w:trPr>
          <w:cantSplit/>
          <w:trHeight w:val="260"/>
        </w:trPr>
        <w:tc>
          <w:tcPr>
            <w:tcW w:w="9064"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2E9B00DD" w14:textId="77777777" w:rsidR="002D7080" w:rsidRPr="004D1E6F" w:rsidRDefault="002D7080" w:rsidP="002B384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BAC7 What is the native range of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(add map in Appendix BAC7)</w:t>
            </w:r>
          </w:p>
        </w:tc>
      </w:tr>
      <w:tr w:rsidR="002D7080" w:rsidRPr="004D1E6F" w14:paraId="16537B11" w14:textId="77777777" w:rsidTr="002E2C37">
        <w:trPr>
          <w:cantSplit/>
          <w:trHeight w:val="170"/>
        </w:trPr>
        <w:tc>
          <w:tcPr>
            <w:tcW w:w="4463" w:type="dxa"/>
            <w:gridSpan w:val="3"/>
            <w:tcBorders>
              <w:top w:val="single" w:sz="4" w:space="0" w:color="auto"/>
              <w:left w:val="single" w:sz="4" w:space="0" w:color="auto"/>
              <w:bottom w:val="single" w:sz="4" w:space="0" w:color="auto"/>
              <w:right w:val="single" w:sz="4" w:space="0" w:color="auto"/>
            </w:tcBorders>
            <w:noWrap/>
          </w:tcPr>
          <w:p w14:paraId="52002F8D" w14:textId="77777777" w:rsidR="002D7080" w:rsidRPr="004D1E6F" w:rsidRDefault="002D7080" w:rsidP="002B3841">
            <w:pPr>
              <w:spacing w:after="0"/>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w:t>
            </w:r>
            <w:r>
              <w:rPr>
                <w:rFonts w:ascii="Times New Roman" w:eastAsia="Times New Roman" w:hAnsi="Times New Roman" w:cs="Times New Roman"/>
                <w:color w:val="000000"/>
                <w:sz w:val="20"/>
                <w:szCs w:val="20"/>
                <w:lang w:eastAsia="en-ZA"/>
              </w:rPr>
              <w:t xml:space="preserve">Florida, USA </w:t>
            </w:r>
          </w:p>
        </w:tc>
        <w:tc>
          <w:tcPr>
            <w:tcW w:w="4601" w:type="dxa"/>
            <w:tcBorders>
              <w:top w:val="single" w:sz="4" w:space="0" w:color="auto"/>
              <w:left w:val="single" w:sz="4" w:space="0" w:color="auto"/>
              <w:bottom w:val="single" w:sz="4" w:space="0" w:color="auto"/>
              <w:right w:val="single" w:sz="4" w:space="0" w:color="auto"/>
            </w:tcBorders>
          </w:tcPr>
          <w:p w14:paraId="6C2D0631" w14:textId="77777777" w:rsidR="002D7080" w:rsidRPr="004D1E6F" w:rsidRDefault="002D7080" w:rsidP="002B3841">
            <w:pPr>
              <w:spacing w:after="0"/>
              <w:jc w:val="both"/>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r>
              <w:rPr>
                <w:rFonts w:ascii="Times New Roman" w:eastAsia="Times New Roman" w:hAnsi="Times New Roman" w:cs="Times New Roman"/>
                <w:color w:val="000000"/>
                <w:sz w:val="20"/>
                <w:szCs w:val="20"/>
                <w:lang w:eastAsia="en-ZA"/>
              </w:rPr>
              <w:t xml:space="preserve"> Medium </w:t>
            </w:r>
          </w:p>
        </w:tc>
      </w:tr>
      <w:tr w:rsidR="002D7080" w:rsidRPr="004D1E6F" w14:paraId="22F0FC7F" w14:textId="77777777" w:rsidTr="002E2C37">
        <w:trPr>
          <w:cantSplit/>
          <w:trHeight w:val="390"/>
        </w:trPr>
        <w:tc>
          <w:tcPr>
            <w:tcW w:w="9064" w:type="dxa"/>
            <w:gridSpan w:val="4"/>
            <w:tcBorders>
              <w:top w:val="single" w:sz="4" w:space="0" w:color="auto"/>
              <w:left w:val="single" w:sz="4" w:space="0" w:color="auto"/>
              <w:bottom w:val="single" w:sz="4" w:space="0" w:color="auto"/>
              <w:right w:val="single" w:sz="4" w:space="0" w:color="auto"/>
            </w:tcBorders>
            <w:noWrap/>
          </w:tcPr>
          <w:p w14:paraId="1BA4F8FF" w14:textId="77777777" w:rsidR="002D7080" w:rsidRPr="004D1E6F" w:rsidRDefault="002D7080" w:rsidP="002B384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It was first discovered in a pet shop in Germany in the mid-1990s </w:t>
            </w:r>
            <w:r>
              <w:rPr>
                <w:rFonts w:ascii="Times New Roman" w:eastAsia="Times New Roman" w:hAnsi="Times New Roman" w:cs="Times New Roman"/>
                <w:color w:val="000000"/>
                <w:sz w:val="20"/>
                <w:szCs w:val="20"/>
                <w:lang w:eastAsia="en-ZA"/>
              </w:rPr>
              <w:t xml:space="preserve">(Lukhap 2001) </w:t>
            </w:r>
            <w:r w:rsidRPr="004D1E6F">
              <w:rPr>
                <w:rFonts w:ascii="Times New Roman" w:eastAsia="Times New Roman" w:hAnsi="Times New Roman" w:cs="Times New Roman"/>
                <w:color w:val="000000"/>
                <w:sz w:val="20"/>
                <w:szCs w:val="20"/>
                <w:lang w:eastAsia="en-ZA"/>
              </w:rPr>
              <w:t xml:space="preserve">and </w:t>
            </w:r>
            <w:r>
              <w:rPr>
                <w:rFonts w:ascii="Times New Roman" w:eastAsia="Times New Roman" w:hAnsi="Times New Roman" w:cs="Times New Roman"/>
                <w:color w:val="000000"/>
                <w:sz w:val="20"/>
                <w:szCs w:val="20"/>
                <w:lang w:eastAsia="en-ZA"/>
              </w:rPr>
              <w:t xml:space="preserve">has </w:t>
            </w:r>
            <w:r w:rsidRPr="004D1E6F">
              <w:rPr>
                <w:rFonts w:ascii="Times New Roman" w:eastAsia="Times New Roman" w:hAnsi="Times New Roman" w:cs="Times New Roman"/>
                <w:color w:val="000000"/>
                <w:sz w:val="20"/>
                <w:szCs w:val="20"/>
                <w:lang w:eastAsia="en-ZA"/>
              </w:rPr>
              <w:t>bec</w:t>
            </w:r>
            <w:r>
              <w:rPr>
                <w:rFonts w:ascii="Times New Roman" w:eastAsia="Times New Roman" w:hAnsi="Times New Roman" w:cs="Times New Roman"/>
                <w:color w:val="000000"/>
                <w:sz w:val="20"/>
                <w:szCs w:val="20"/>
                <w:lang w:eastAsia="en-ZA"/>
              </w:rPr>
              <w:t>o</w:t>
            </w:r>
            <w:r w:rsidRPr="004D1E6F">
              <w:rPr>
                <w:rFonts w:ascii="Times New Roman" w:eastAsia="Times New Roman" w:hAnsi="Times New Roman" w:cs="Times New Roman"/>
                <w:color w:val="000000"/>
                <w:sz w:val="20"/>
                <w:szCs w:val="20"/>
                <w:lang w:eastAsia="en-ZA"/>
              </w:rPr>
              <w:t>me a very popular pet species since then</w:t>
            </w:r>
            <w:r>
              <w:rPr>
                <w:rFonts w:ascii="Times New Roman" w:eastAsia="Times New Roman" w:hAnsi="Times New Roman" w:cs="Times New Roman"/>
                <w:color w:val="000000"/>
                <w:sz w:val="20"/>
                <w:szCs w:val="20"/>
                <w:lang w:eastAsia="en-ZA"/>
              </w:rPr>
              <w:t xml:space="preserve"> (Feria and Faulkes 2011)</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 xml:space="preserve">It native range is unknown due to uncertanity over its taxonomic status - </w:t>
            </w:r>
            <w:r w:rsidRPr="004D1E6F">
              <w:rPr>
                <w:rFonts w:ascii="Times New Roman" w:eastAsia="Times New Roman" w:hAnsi="Times New Roman" w:cs="Times New Roman"/>
                <w:color w:val="000000"/>
                <w:sz w:val="20"/>
                <w:szCs w:val="20"/>
                <w:lang w:eastAsia="en-ZA"/>
              </w:rPr>
              <w:t xml:space="preserve">“Most recently, Martin et al. (2010a) suggested that the Marmorkrebs is the parthenogenetic form of </w:t>
            </w:r>
            <w:r w:rsidRPr="004D1E6F">
              <w:rPr>
                <w:rFonts w:ascii="Times New Roman" w:eastAsia="Times New Roman" w:hAnsi="Times New Roman" w:cs="Times New Roman"/>
                <w:i/>
                <w:iCs/>
                <w:color w:val="000000"/>
                <w:sz w:val="20"/>
                <w:szCs w:val="20"/>
                <w:lang w:eastAsia="en-ZA"/>
              </w:rPr>
              <w:t>Procambarus fallax</w:t>
            </w:r>
            <w:r w:rsidRPr="004D1E6F">
              <w:rPr>
                <w:rFonts w:ascii="Times New Roman" w:eastAsia="Times New Roman" w:hAnsi="Times New Roman" w:cs="Times New Roman"/>
                <w:color w:val="000000"/>
                <w:sz w:val="20"/>
                <w:szCs w:val="20"/>
                <w:lang w:eastAsia="en-ZA"/>
              </w:rPr>
              <w:t xml:space="preserve"> (Hagen, 1870) and proposed the tentative scientific name </w:t>
            </w:r>
            <w:r w:rsidRPr="004D1E6F">
              <w:rPr>
                <w:rFonts w:ascii="Times New Roman" w:eastAsia="Times New Roman" w:hAnsi="Times New Roman" w:cs="Times New Roman"/>
                <w:i/>
                <w:iCs/>
                <w:color w:val="000000"/>
                <w:sz w:val="20"/>
                <w:szCs w:val="20"/>
                <w:lang w:eastAsia="en-ZA"/>
              </w:rPr>
              <w:t xml:space="preserve">Procambarus fallax </w:t>
            </w:r>
            <w:r w:rsidRPr="004D1E6F">
              <w:rPr>
                <w:rFonts w:ascii="Times New Roman" w:eastAsia="Times New Roman" w:hAnsi="Times New Roman" w:cs="Times New Roman"/>
                <w:color w:val="000000"/>
                <w:sz w:val="20"/>
                <w:szCs w:val="20"/>
                <w:lang w:eastAsia="en-ZA"/>
              </w:rPr>
              <w:t xml:space="preserve">f. </w:t>
            </w:r>
            <w:r w:rsidRPr="004D1E6F">
              <w:rPr>
                <w:rFonts w:ascii="Times New Roman" w:eastAsia="Times New Roman" w:hAnsi="Times New Roman" w:cs="Times New Roman"/>
                <w:i/>
                <w:iCs/>
                <w:color w:val="000000"/>
                <w:sz w:val="20"/>
                <w:szCs w:val="20"/>
                <w:lang w:eastAsia="en-ZA"/>
              </w:rPr>
              <w:t>virginalis</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 xml:space="preserve">Procambarus fallax </w:t>
            </w:r>
            <w:r w:rsidRPr="004D1E6F">
              <w:rPr>
                <w:rFonts w:ascii="Times New Roman" w:eastAsia="Times New Roman" w:hAnsi="Times New Roman" w:cs="Times New Roman"/>
                <w:color w:val="000000"/>
                <w:sz w:val="20"/>
                <w:szCs w:val="20"/>
                <w:lang w:eastAsia="en-ZA"/>
              </w:rPr>
              <w:t>occurs in southern Georgia and Florida, and it is therefore reasonable to assume that the Marmorkrebs originates also from the southeastern United States, although an indigenous population has never been reported” (</w:t>
            </w:r>
            <w:r>
              <w:rPr>
                <w:rFonts w:ascii="Times New Roman" w:eastAsia="Times New Roman" w:hAnsi="Times New Roman" w:cs="Times New Roman"/>
                <w:color w:val="000000"/>
                <w:sz w:val="20"/>
                <w:szCs w:val="20"/>
                <w:lang w:eastAsia="en-ZA"/>
              </w:rPr>
              <w:t>Chucholl</w:t>
            </w:r>
            <w:r w:rsidRPr="004D1E6F">
              <w:rPr>
                <w:rFonts w:ascii="Times New Roman" w:eastAsia="Times New Roman" w:hAnsi="Times New Roman" w:cs="Times New Roman"/>
                <w:color w:val="000000"/>
                <w:sz w:val="20"/>
                <w:szCs w:val="20"/>
                <w:lang w:eastAsia="en-ZA"/>
              </w:rPr>
              <w:t xml:space="preserve"> and Pfeiffer, 2010). </w:t>
            </w:r>
            <w:r>
              <w:rPr>
                <w:rFonts w:ascii="Times New Roman" w:eastAsia="Times New Roman" w:hAnsi="Times New Roman" w:cs="Times New Roman"/>
                <w:color w:val="000000"/>
                <w:sz w:val="20"/>
                <w:szCs w:val="20"/>
                <w:lang w:eastAsia="en-ZA"/>
              </w:rPr>
              <w:t xml:space="preserve">A phylogeographic </w:t>
            </w:r>
            <w:r w:rsidRPr="00D9414B">
              <w:rPr>
                <w:rFonts w:ascii="Times New Roman" w:eastAsia="Times New Roman" w:hAnsi="Times New Roman" w:cs="Times New Roman"/>
                <w:color w:val="000000"/>
                <w:sz w:val="20"/>
                <w:szCs w:val="20"/>
                <w:lang w:eastAsia="en-ZA"/>
              </w:rPr>
              <w:t>reconstruction of the marbel crayfish origin indicated that it might have originated form Florida in the USA (</w:t>
            </w:r>
            <w:r w:rsidRPr="00D9414B">
              <w:rPr>
                <w:rFonts w:ascii="Times New Roman" w:hAnsi="Times New Roman" w:cs="Times New Roman"/>
                <w:sz w:val="20"/>
                <w:szCs w:val="20"/>
              </w:rPr>
              <w:t>Gutekunst et al. 2021).</w:t>
            </w:r>
          </w:p>
        </w:tc>
      </w:tr>
      <w:tr w:rsidR="002D7080" w:rsidRPr="004D1E6F" w14:paraId="4D44A38D" w14:textId="77777777" w:rsidTr="002E2C37">
        <w:trPr>
          <w:cantSplit/>
          <w:trHeight w:val="390"/>
        </w:trPr>
        <w:tc>
          <w:tcPr>
            <w:tcW w:w="9064" w:type="dxa"/>
            <w:gridSpan w:val="4"/>
            <w:tcBorders>
              <w:top w:val="single" w:sz="4" w:space="0" w:color="auto"/>
              <w:left w:val="single" w:sz="4" w:space="0" w:color="auto"/>
              <w:bottom w:val="single" w:sz="4" w:space="0" w:color="auto"/>
              <w:right w:val="single" w:sz="4" w:space="0" w:color="auto"/>
            </w:tcBorders>
            <w:noWrap/>
          </w:tcPr>
          <w:p w14:paraId="12134DE9" w14:textId="77777777" w:rsidR="002D7080" w:rsidRPr="004D1E6F" w:rsidRDefault="002D7080" w:rsidP="002B3841">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09A098D9" w14:textId="77777777" w:rsidR="002D7080" w:rsidRPr="00CC535D" w:rsidRDefault="002D7080" w:rsidP="002B3841">
            <w:pPr>
              <w:spacing w:after="0"/>
              <w:ind w:left="522" w:hanging="522"/>
              <w:jc w:val="both"/>
              <w:rPr>
                <w:rFonts w:ascii="Times New Roman" w:eastAsia="Times New Roman" w:hAnsi="Times New Roman" w:cs="Times New Roman"/>
                <w:color w:val="000000"/>
                <w:sz w:val="20"/>
                <w:szCs w:val="20"/>
                <w:lang w:eastAsia="en-ZA"/>
              </w:rPr>
            </w:pPr>
            <w:r w:rsidRPr="00CC535D">
              <w:rPr>
                <w:rFonts w:ascii="Times New Roman" w:eastAsia="Times New Roman" w:hAnsi="Times New Roman" w:cs="Times New Roman"/>
                <w:color w:val="000000"/>
                <w:sz w:val="20"/>
                <w:szCs w:val="20"/>
                <w:lang w:eastAsia="en-ZA"/>
              </w:rPr>
              <w:t>Chucholl</w:t>
            </w:r>
            <w:r>
              <w:rPr>
                <w:rFonts w:ascii="Times New Roman" w:eastAsia="Times New Roman" w:hAnsi="Times New Roman" w:cs="Times New Roman"/>
                <w:color w:val="000000"/>
                <w:sz w:val="20"/>
                <w:szCs w:val="20"/>
                <w:lang w:eastAsia="en-ZA"/>
              </w:rPr>
              <w:t>,</w:t>
            </w:r>
            <w:r w:rsidRPr="00CC535D">
              <w:rPr>
                <w:rFonts w:ascii="Times New Roman" w:eastAsia="Times New Roman" w:hAnsi="Times New Roman" w:cs="Times New Roman"/>
                <w:color w:val="000000"/>
                <w:sz w:val="20"/>
                <w:szCs w:val="20"/>
                <w:lang w:eastAsia="en-ZA"/>
              </w:rPr>
              <w:t xml:space="preserve"> C</w:t>
            </w:r>
            <w:r>
              <w:rPr>
                <w:rFonts w:ascii="Times New Roman" w:eastAsia="Times New Roman" w:hAnsi="Times New Roman" w:cs="Times New Roman"/>
                <w:color w:val="000000"/>
                <w:sz w:val="20"/>
                <w:szCs w:val="20"/>
                <w:lang w:eastAsia="en-ZA"/>
              </w:rPr>
              <w:t>. &amp;</w:t>
            </w:r>
            <w:r w:rsidRPr="00CC535D">
              <w:rPr>
                <w:rFonts w:ascii="Times New Roman" w:eastAsia="Times New Roman" w:hAnsi="Times New Roman" w:cs="Times New Roman"/>
                <w:color w:val="000000"/>
                <w:sz w:val="20"/>
                <w:szCs w:val="20"/>
                <w:lang w:eastAsia="en-ZA"/>
              </w:rPr>
              <w:t xml:space="preserve"> Pfeiffer</w:t>
            </w:r>
            <w:r>
              <w:rPr>
                <w:rFonts w:ascii="Times New Roman" w:eastAsia="Times New Roman" w:hAnsi="Times New Roman" w:cs="Times New Roman"/>
                <w:color w:val="000000"/>
                <w:sz w:val="20"/>
                <w:szCs w:val="20"/>
                <w:lang w:eastAsia="en-ZA"/>
              </w:rPr>
              <w:t>,</w:t>
            </w:r>
            <w:r w:rsidRPr="00CC535D">
              <w:rPr>
                <w:rFonts w:ascii="Times New Roman" w:eastAsia="Times New Roman" w:hAnsi="Times New Roman" w:cs="Times New Roman"/>
                <w:color w:val="000000"/>
                <w:sz w:val="20"/>
                <w:szCs w:val="20"/>
                <w:lang w:eastAsia="en-ZA"/>
              </w:rPr>
              <w:t xml:space="preserve"> M. 2010</w:t>
            </w:r>
            <w:r>
              <w:rPr>
                <w:rFonts w:ascii="Times New Roman" w:eastAsia="Times New Roman" w:hAnsi="Times New Roman" w:cs="Times New Roman"/>
                <w:color w:val="000000"/>
                <w:sz w:val="20"/>
                <w:szCs w:val="20"/>
                <w:lang w:eastAsia="en-ZA"/>
              </w:rPr>
              <w:t>, ‘</w:t>
            </w:r>
            <w:r w:rsidRPr="00CC535D">
              <w:rPr>
                <w:rFonts w:ascii="Times New Roman" w:eastAsia="Times New Roman" w:hAnsi="Times New Roman" w:cs="Times New Roman"/>
                <w:color w:val="000000"/>
                <w:sz w:val="20"/>
                <w:szCs w:val="20"/>
                <w:lang w:eastAsia="en-ZA"/>
              </w:rPr>
              <w:t xml:space="preserve">First evidence for an established Marmorkrebs (Decapoda, </w:t>
            </w:r>
            <w:r w:rsidRPr="00CC535D">
              <w:rPr>
                <w:rFonts w:ascii="Times New Roman" w:eastAsia="Times New Roman" w:hAnsi="Times New Roman" w:cs="Times New Roman"/>
                <w:color w:val="000000"/>
                <w:sz w:val="20"/>
                <w:szCs w:val="20"/>
                <w:lang w:eastAsia="en-ZA"/>
              </w:rPr>
              <w:tab/>
              <w:t xml:space="preserve">Astacida, Cambaridae) population in Southwestern Germany, in syntopic occurrence with </w:t>
            </w:r>
            <w:r w:rsidRPr="00CC535D">
              <w:rPr>
                <w:rFonts w:ascii="Times New Roman" w:eastAsia="Times New Roman" w:hAnsi="Times New Roman" w:cs="Times New Roman"/>
                <w:i/>
                <w:color w:val="000000"/>
                <w:sz w:val="20"/>
                <w:szCs w:val="20"/>
                <w:lang w:eastAsia="en-ZA"/>
              </w:rPr>
              <w:t>Orconectes limosus</w:t>
            </w:r>
            <w:r w:rsidRPr="00CC535D">
              <w:rPr>
                <w:rFonts w:ascii="Times New Roman" w:eastAsia="Times New Roman" w:hAnsi="Times New Roman" w:cs="Times New Roman"/>
                <w:color w:val="000000"/>
                <w:sz w:val="20"/>
                <w:szCs w:val="20"/>
                <w:lang w:eastAsia="en-ZA"/>
              </w:rPr>
              <w:t xml:space="preserve"> (Rafinesque, 1817)</w:t>
            </w:r>
            <w:r>
              <w:rPr>
                <w:rFonts w:ascii="Times New Roman" w:eastAsia="Times New Roman" w:hAnsi="Times New Roman" w:cs="Times New Roman"/>
                <w:color w:val="000000"/>
                <w:sz w:val="20"/>
                <w:szCs w:val="20"/>
                <w:lang w:eastAsia="en-ZA"/>
              </w:rPr>
              <w:t xml:space="preserve">’, </w:t>
            </w:r>
            <w:r w:rsidRPr="00CC535D">
              <w:rPr>
                <w:rFonts w:ascii="Times New Roman" w:eastAsia="Times New Roman" w:hAnsi="Times New Roman" w:cs="Times New Roman"/>
                <w:i/>
                <w:iCs/>
                <w:color w:val="000000"/>
                <w:sz w:val="20"/>
                <w:szCs w:val="20"/>
                <w:lang w:eastAsia="en-ZA"/>
              </w:rPr>
              <w:t>Aquatic invasions</w:t>
            </w:r>
            <w:r w:rsidRPr="00CC535D">
              <w:rPr>
                <w:rFonts w:ascii="Times New Roman" w:eastAsia="Times New Roman" w:hAnsi="Times New Roman" w:cs="Times New Roman"/>
                <w:color w:val="000000"/>
                <w:sz w:val="20"/>
                <w:szCs w:val="20"/>
                <w:lang w:eastAsia="en-ZA"/>
              </w:rPr>
              <w:t xml:space="preserve"> </w:t>
            </w:r>
            <w:r w:rsidRPr="00CC535D">
              <w:rPr>
                <w:rFonts w:ascii="Times New Roman" w:eastAsia="Times New Roman" w:hAnsi="Times New Roman" w:cs="Times New Roman"/>
                <w:iCs/>
                <w:color w:val="000000"/>
                <w:sz w:val="20"/>
                <w:szCs w:val="20"/>
                <w:lang w:eastAsia="en-ZA"/>
              </w:rPr>
              <w:t>5</w:t>
            </w:r>
            <w:r>
              <w:rPr>
                <w:rFonts w:ascii="Times New Roman" w:eastAsia="Times New Roman" w:hAnsi="Times New Roman" w:cs="Times New Roman"/>
                <w:iCs/>
                <w:color w:val="000000"/>
                <w:sz w:val="20"/>
                <w:szCs w:val="20"/>
                <w:lang w:eastAsia="en-ZA"/>
              </w:rPr>
              <w:t>,</w:t>
            </w:r>
            <w:r w:rsidRPr="00CC535D">
              <w:rPr>
                <w:rFonts w:ascii="Times New Roman" w:eastAsia="Times New Roman" w:hAnsi="Times New Roman" w:cs="Times New Roman"/>
                <w:color w:val="000000"/>
                <w:sz w:val="20"/>
                <w:szCs w:val="20"/>
                <w:lang w:eastAsia="en-ZA"/>
              </w:rPr>
              <w:t xml:space="preserve"> 405</w:t>
            </w:r>
            <w:r>
              <w:rPr>
                <w:rFonts w:ascii="Times New Roman" w:eastAsia="Times New Roman" w:hAnsi="Times New Roman" w:cs="Times New Roman"/>
                <w:color w:val="000000"/>
                <w:sz w:val="20"/>
                <w:szCs w:val="20"/>
                <w:lang w:eastAsia="en-ZA"/>
              </w:rPr>
              <w:t>-</w:t>
            </w:r>
            <w:r w:rsidRPr="00CC535D">
              <w:rPr>
                <w:rFonts w:ascii="Times New Roman" w:eastAsia="Times New Roman" w:hAnsi="Times New Roman" w:cs="Times New Roman"/>
                <w:color w:val="000000"/>
                <w:sz w:val="20"/>
                <w:szCs w:val="20"/>
                <w:lang w:eastAsia="en-ZA"/>
              </w:rPr>
              <w:t>412</w:t>
            </w:r>
            <w:r>
              <w:rPr>
                <w:rFonts w:ascii="Times New Roman" w:eastAsia="Times New Roman" w:hAnsi="Times New Roman" w:cs="Times New Roman"/>
                <w:color w:val="000000"/>
                <w:sz w:val="20"/>
                <w:szCs w:val="20"/>
                <w:lang w:eastAsia="en-ZA"/>
              </w:rPr>
              <w:t xml:space="preserve">. </w:t>
            </w:r>
            <w:hyperlink r:id="rId615" w:history="1">
              <w:r w:rsidRPr="00762F6F">
                <w:rPr>
                  <w:rStyle w:val="Hyperlink"/>
                  <w:rFonts w:ascii="Times New Roman" w:eastAsia="Times New Roman" w:hAnsi="Times New Roman" w:cs="Times New Roman"/>
                  <w:sz w:val="20"/>
                  <w:szCs w:val="20"/>
                  <w:lang w:eastAsia="en-ZA"/>
                </w:rPr>
                <w:t>https://doi.org/10.3391/ai.2010.5.4.10</w:t>
              </w:r>
            </w:hyperlink>
            <w:r>
              <w:rPr>
                <w:rFonts w:ascii="Times New Roman" w:eastAsia="Times New Roman" w:hAnsi="Times New Roman" w:cs="Times New Roman"/>
                <w:color w:val="000000"/>
                <w:sz w:val="20"/>
                <w:szCs w:val="20"/>
                <w:lang w:eastAsia="en-ZA"/>
              </w:rPr>
              <w:t xml:space="preserve">  </w:t>
            </w:r>
          </w:p>
          <w:p w14:paraId="71146EF5" w14:textId="77777777" w:rsidR="002D7080" w:rsidRPr="00CC535D" w:rsidRDefault="002D7080" w:rsidP="002B3841">
            <w:pPr>
              <w:spacing w:after="0"/>
              <w:ind w:left="522" w:hanging="522"/>
              <w:jc w:val="both"/>
              <w:rPr>
                <w:rFonts w:ascii="Times New Roman" w:eastAsia="Times New Roman" w:hAnsi="Times New Roman" w:cs="Times New Roman"/>
                <w:color w:val="000000"/>
                <w:sz w:val="20"/>
                <w:szCs w:val="20"/>
                <w:lang w:eastAsia="en-ZA"/>
              </w:rPr>
            </w:pPr>
            <w:r w:rsidRPr="00CC535D">
              <w:rPr>
                <w:rFonts w:ascii="Times New Roman" w:hAnsi="Times New Roman" w:cs="Times New Roman"/>
                <w:bCs/>
                <w:sz w:val="20"/>
                <w:szCs w:val="20"/>
              </w:rPr>
              <w:t>Feria, T.P. &amp; Faulkes, Z., 2011, ‘Forecasting the distribution of Marmorkrebs, a parthenogenetic crayfish with high invasive potential, in Madagascar, Europe, and North America</w:t>
            </w:r>
            <w:r w:rsidRPr="00CC535D">
              <w:rPr>
                <w:rFonts w:ascii="Times New Roman" w:hAnsi="Times New Roman" w:cs="Times New Roman"/>
                <w:bCs/>
                <w:i/>
                <w:iCs/>
                <w:sz w:val="20"/>
                <w:szCs w:val="20"/>
              </w:rPr>
              <w:t xml:space="preserve">’, Aquatic Invasions </w:t>
            </w:r>
            <w:r w:rsidRPr="00CC535D">
              <w:rPr>
                <w:rFonts w:ascii="Times New Roman" w:hAnsi="Times New Roman" w:cs="Times New Roman"/>
                <w:bCs/>
                <w:iCs/>
                <w:sz w:val="20"/>
                <w:szCs w:val="20"/>
              </w:rPr>
              <w:t>6, 55–67</w:t>
            </w:r>
            <w:r w:rsidRPr="00CC535D">
              <w:rPr>
                <w:rFonts w:ascii="Times New Roman" w:hAnsi="Times New Roman" w:cs="Times New Roman"/>
                <w:bCs/>
                <w:i/>
                <w:iCs/>
                <w:sz w:val="20"/>
                <w:szCs w:val="20"/>
              </w:rPr>
              <w:t>.</w:t>
            </w:r>
            <w:r>
              <w:rPr>
                <w:rFonts w:ascii="Times New Roman" w:hAnsi="Times New Roman" w:cs="Times New Roman"/>
                <w:bCs/>
                <w:i/>
                <w:iCs/>
                <w:sz w:val="20"/>
                <w:szCs w:val="20"/>
              </w:rPr>
              <w:t xml:space="preserve"> </w:t>
            </w:r>
            <w:hyperlink r:id="rId616" w:history="1">
              <w:r w:rsidRPr="00762F6F">
                <w:rPr>
                  <w:rStyle w:val="Hyperlink"/>
                  <w:rFonts w:ascii="Times New Roman" w:hAnsi="Times New Roman" w:cs="Times New Roman"/>
                  <w:bCs/>
                  <w:iCs/>
                  <w:sz w:val="20"/>
                  <w:szCs w:val="20"/>
                </w:rPr>
                <w:t>https://doi.org/10.3391/ai.2011.6.1.07</w:t>
              </w:r>
            </w:hyperlink>
            <w:r w:rsidRPr="00CC535D">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p w14:paraId="37F19AB3" w14:textId="77777777" w:rsidR="002D7080" w:rsidRPr="00D9414B" w:rsidRDefault="002D7080" w:rsidP="002B3841">
            <w:pPr>
              <w:spacing w:after="0"/>
              <w:ind w:left="522" w:hanging="522"/>
              <w:jc w:val="both"/>
              <w:rPr>
                <w:rFonts w:ascii="Times New Roman" w:hAnsi="Times New Roman" w:cs="Times New Roman"/>
                <w:color w:val="333333"/>
                <w:sz w:val="20"/>
                <w:szCs w:val="20"/>
                <w:shd w:val="clear" w:color="auto" w:fill="FFFFFF"/>
              </w:rPr>
            </w:pPr>
            <w:r w:rsidRPr="00D9414B">
              <w:rPr>
                <w:rFonts w:ascii="Times New Roman" w:hAnsi="Times New Roman" w:cs="Times New Roman"/>
                <w:sz w:val="20"/>
                <w:szCs w:val="20"/>
              </w:rPr>
              <w:t xml:space="preserve">Gutekunst, J., Maiakovska, O., Hanna, K., Provataris, P., Horn, H., Wolf, S., Skelton, C.E., Dorn, N.J. and Lyko, F., 2021, ‘Phylogeographic reconstruction of the marbled crayfish origin’, </w:t>
            </w:r>
            <w:r w:rsidRPr="00D9414B">
              <w:rPr>
                <w:rFonts w:ascii="Times New Roman" w:hAnsi="Times New Roman" w:cs="Times New Roman"/>
                <w:i/>
                <w:iCs/>
                <w:sz w:val="20"/>
                <w:szCs w:val="20"/>
              </w:rPr>
              <w:t>Communications Biology</w:t>
            </w:r>
            <w:r w:rsidRPr="00D9414B">
              <w:rPr>
                <w:rFonts w:ascii="Times New Roman" w:hAnsi="Times New Roman" w:cs="Times New Roman"/>
                <w:sz w:val="20"/>
                <w:szCs w:val="20"/>
              </w:rPr>
              <w:t>, </w:t>
            </w:r>
            <w:r w:rsidRPr="00D9414B">
              <w:rPr>
                <w:rFonts w:ascii="Times New Roman" w:hAnsi="Times New Roman" w:cs="Times New Roman"/>
                <w:i/>
                <w:iCs/>
                <w:sz w:val="20"/>
                <w:szCs w:val="20"/>
              </w:rPr>
              <w:t>4</w:t>
            </w:r>
            <w:r w:rsidRPr="00D9414B">
              <w:rPr>
                <w:rFonts w:ascii="Times New Roman" w:hAnsi="Times New Roman" w:cs="Times New Roman"/>
                <w:sz w:val="20"/>
                <w:szCs w:val="20"/>
              </w:rPr>
              <w:t xml:space="preserve">(1), p.1096. </w:t>
            </w:r>
            <w:hyperlink r:id="rId617" w:history="1">
              <w:r w:rsidRPr="00D9414B">
                <w:rPr>
                  <w:rStyle w:val="Hyperlink"/>
                  <w:rFonts w:ascii="Times New Roman" w:hAnsi="Times New Roman" w:cs="Times New Roman"/>
                  <w:sz w:val="20"/>
                  <w:szCs w:val="20"/>
                </w:rPr>
                <w:t>https://doi.org/10.1038/s42003-021-02609-w</w:t>
              </w:r>
            </w:hyperlink>
          </w:p>
          <w:p w14:paraId="4AC89BDE" w14:textId="77777777" w:rsidR="002D7080" w:rsidRPr="00493A30" w:rsidRDefault="002D7080" w:rsidP="002B3841">
            <w:pPr>
              <w:spacing w:after="0"/>
              <w:ind w:left="522" w:hanging="522"/>
              <w:jc w:val="both"/>
              <w:rPr>
                <w:rFonts w:ascii="Times New Roman" w:hAnsi="Times New Roman" w:cs="Times New Roman"/>
                <w:sz w:val="20"/>
                <w:szCs w:val="20"/>
                <w:shd w:val="clear" w:color="auto" w:fill="FFFFFF"/>
              </w:rPr>
            </w:pPr>
            <w:r w:rsidRPr="00493A30">
              <w:rPr>
                <w:rFonts w:ascii="Times New Roman" w:hAnsi="Times New Roman" w:cs="Times New Roman"/>
                <w:sz w:val="20"/>
                <w:szCs w:val="20"/>
                <w:shd w:val="clear" w:color="auto" w:fill="FFFFFF"/>
              </w:rPr>
              <w:t>Lukhaup, C. (2001). Procambarus sp.–der Marmorkrebs. </w:t>
            </w:r>
            <w:r w:rsidRPr="00493A30">
              <w:rPr>
                <w:rFonts w:ascii="Times New Roman" w:hAnsi="Times New Roman" w:cs="Times New Roman"/>
                <w:i/>
                <w:iCs/>
                <w:sz w:val="20"/>
                <w:szCs w:val="20"/>
                <w:shd w:val="clear" w:color="auto" w:fill="FFFFFF"/>
              </w:rPr>
              <w:t>Aquaristik aktuell</w:t>
            </w:r>
            <w:r w:rsidRPr="00493A30">
              <w:rPr>
                <w:rFonts w:ascii="Times New Roman" w:hAnsi="Times New Roman" w:cs="Times New Roman"/>
                <w:sz w:val="20"/>
                <w:szCs w:val="20"/>
                <w:shd w:val="clear" w:color="auto" w:fill="FFFFFF"/>
              </w:rPr>
              <w:t>, </w:t>
            </w:r>
            <w:r w:rsidRPr="00493A30">
              <w:rPr>
                <w:rFonts w:ascii="Times New Roman" w:hAnsi="Times New Roman" w:cs="Times New Roman"/>
                <w:i/>
                <w:iCs/>
                <w:sz w:val="20"/>
                <w:szCs w:val="20"/>
                <w:shd w:val="clear" w:color="auto" w:fill="FFFFFF"/>
              </w:rPr>
              <w:t>7</w:t>
            </w:r>
            <w:r w:rsidRPr="00493A30">
              <w:rPr>
                <w:rFonts w:ascii="Times New Roman" w:hAnsi="Times New Roman" w:cs="Times New Roman"/>
                <w:sz w:val="20"/>
                <w:szCs w:val="20"/>
                <w:shd w:val="clear" w:color="auto" w:fill="FFFFFF"/>
              </w:rPr>
              <w:t>(8), 48-51.</w:t>
            </w:r>
          </w:p>
          <w:p w14:paraId="0D10817F" w14:textId="77777777" w:rsidR="002D7080" w:rsidRPr="00D9414B" w:rsidRDefault="002D7080" w:rsidP="002B3841">
            <w:pPr>
              <w:spacing w:after="0"/>
              <w:ind w:left="522" w:hanging="522"/>
              <w:jc w:val="both"/>
              <w:rPr>
                <w:rFonts w:ascii="Times New Roman" w:hAnsi="Times New Roman" w:cs="Times New Roman"/>
                <w:color w:val="333333"/>
                <w:sz w:val="20"/>
                <w:szCs w:val="20"/>
                <w:shd w:val="clear" w:color="auto" w:fill="FFFFFF"/>
              </w:rPr>
            </w:pPr>
            <w:r w:rsidRPr="00493A30">
              <w:rPr>
                <w:rFonts w:ascii="Times New Roman" w:hAnsi="Times New Roman" w:cs="Times New Roman"/>
                <w:sz w:val="20"/>
                <w:szCs w:val="20"/>
                <w:shd w:val="clear" w:color="auto" w:fill="FFFFFF"/>
              </w:rPr>
              <w:t xml:space="preserve">Martin P, Dorn N, Kawai T, Heiden Cvan der, Scholtz G, 2010, ‘The enigmatic Marmorkrebs (marbled crayfish) is the parthenogenetic form of </w:t>
            </w:r>
            <w:r w:rsidRPr="00493A30">
              <w:rPr>
                <w:rFonts w:ascii="Times New Roman" w:hAnsi="Times New Roman" w:cs="Times New Roman"/>
                <w:i/>
                <w:iCs/>
                <w:sz w:val="20"/>
                <w:szCs w:val="20"/>
                <w:shd w:val="clear" w:color="auto" w:fill="FFFFFF"/>
              </w:rPr>
              <w:t>Procambarus fallax</w:t>
            </w:r>
            <w:r w:rsidRPr="00493A30">
              <w:rPr>
                <w:rFonts w:ascii="Times New Roman" w:hAnsi="Times New Roman" w:cs="Times New Roman"/>
                <w:sz w:val="20"/>
                <w:szCs w:val="20"/>
                <w:shd w:val="clear" w:color="auto" w:fill="FFFFFF"/>
              </w:rPr>
              <w:t xml:space="preserve"> (Hagen, 1870). </w:t>
            </w:r>
            <w:r w:rsidRPr="00493A30">
              <w:rPr>
                <w:rFonts w:ascii="Times New Roman" w:hAnsi="Times New Roman" w:cs="Times New Roman"/>
                <w:i/>
                <w:iCs/>
                <w:sz w:val="20"/>
                <w:szCs w:val="20"/>
                <w:shd w:val="clear" w:color="auto" w:fill="FFFFFF"/>
              </w:rPr>
              <w:t>Contributions to Zoology</w:t>
            </w:r>
            <w:r w:rsidRPr="00493A30">
              <w:rPr>
                <w:rFonts w:ascii="Times New Roman" w:hAnsi="Times New Roman" w:cs="Times New Roman"/>
                <w:sz w:val="20"/>
                <w:szCs w:val="20"/>
                <w:shd w:val="clear" w:color="auto" w:fill="FFFFFF"/>
              </w:rPr>
              <w:t>, 79(3), 107-118</w:t>
            </w:r>
            <w:r w:rsidRPr="00CC535D">
              <w:rPr>
                <w:rFonts w:ascii="Times New Roman" w:hAnsi="Times New Roman" w:cs="Times New Roman"/>
                <w:color w:val="333333"/>
                <w:sz w:val="20"/>
                <w:szCs w:val="20"/>
                <w:shd w:val="clear" w:color="auto" w:fill="FFFFFF"/>
              </w:rPr>
              <w:t>.</w:t>
            </w:r>
            <w:r>
              <w:rPr>
                <w:rFonts w:ascii="Times New Roman" w:hAnsi="Times New Roman" w:cs="Times New Roman"/>
                <w:color w:val="333333"/>
                <w:sz w:val="20"/>
                <w:szCs w:val="20"/>
                <w:shd w:val="clear" w:color="auto" w:fill="FFFFFF"/>
              </w:rPr>
              <w:t xml:space="preserve"> </w:t>
            </w:r>
            <w:hyperlink r:id="rId618" w:history="1">
              <w:r w:rsidRPr="00762F6F">
                <w:rPr>
                  <w:rStyle w:val="Hyperlink"/>
                  <w:rFonts w:ascii="Times New Roman" w:hAnsi="Times New Roman" w:cs="Times New Roman"/>
                  <w:sz w:val="20"/>
                  <w:szCs w:val="20"/>
                  <w:shd w:val="clear" w:color="auto" w:fill="FFFFFF"/>
                </w:rPr>
                <w:t>https://doi.org/10.1163/18759866-07903003</w:t>
              </w:r>
            </w:hyperlink>
            <w:r>
              <w:rPr>
                <w:rFonts w:ascii="Times New Roman" w:hAnsi="Times New Roman" w:cs="Times New Roman"/>
                <w:color w:val="333333"/>
                <w:sz w:val="20"/>
                <w:szCs w:val="20"/>
                <w:shd w:val="clear" w:color="auto" w:fill="FFFFFF"/>
              </w:rPr>
              <w:t xml:space="preserve"> </w:t>
            </w:r>
          </w:p>
        </w:tc>
      </w:tr>
      <w:tr w:rsidR="002D7080" w:rsidRPr="004D1E6F" w14:paraId="77A7AD2D" w14:textId="77777777" w:rsidTr="002E2C37">
        <w:trPr>
          <w:cantSplit/>
          <w:trHeight w:val="390"/>
        </w:trPr>
        <w:tc>
          <w:tcPr>
            <w:tcW w:w="9064"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5D433DD3"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BAC8 What is the global alien range of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(add map in Appendix BAC8)</w:t>
            </w:r>
          </w:p>
        </w:tc>
      </w:tr>
      <w:tr w:rsidR="002D7080" w:rsidRPr="004D1E6F" w14:paraId="27FE7283" w14:textId="77777777" w:rsidTr="002E2C37">
        <w:trPr>
          <w:cantSplit/>
          <w:trHeight w:val="390"/>
        </w:trPr>
        <w:tc>
          <w:tcPr>
            <w:tcW w:w="4463" w:type="dxa"/>
            <w:gridSpan w:val="3"/>
            <w:tcBorders>
              <w:top w:val="single" w:sz="4" w:space="0" w:color="auto"/>
              <w:left w:val="single" w:sz="4" w:space="0" w:color="auto"/>
              <w:bottom w:val="single" w:sz="4" w:space="0" w:color="auto"/>
              <w:right w:val="single" w:sz="4" w:space="0" w:color="auto"/>
            </w:tcBorders>
            <w:noWrap/>
          </w:tcPr>
          <w:p w14:paraId="76AB9C44"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w:t>
            </w:r>
            <w:r>
              <w:rPr>
                <w:rFonts w:ascii="Times New Roman" w:eastAsia="Times New Roman" w:hAnsi="Times New Roman" w:cs="Times New Roman"/>
                <w:color w:val="000000"/>
                <w:sz w:val="20"/>
                <w:szCs w:val="20"/>
                <w:lang w:eastAsia="en-ZA"/>
              </w:rPr>
              <w:t xml:space="preserve"> Austria, Croatia, Czech Republic, Germany, Hungary, Ireland, Italy,</w:t>
            </w:r>
            <w:r w:rsidRPr="004D1E6F">
              <w:rPr>
                <w:rFonts w:ascii="Times New Roman" w:eastAsia="Times New Roman" w:hAnsi="Times New Roman" w:cs="Times New Roman"/>
                <w:color w:val="000000"/>
                <w:sz w:val="20"/>
                <w:szCs w:val="20"/>
                <w:lang w:eastAsia="en-ZA"/>
              </w:rPr>
              <w:t xml:space="preserve"> Japan</w:t>
            </w:r>
            <w:r>
              <w:rPr>
                <w:rFonts w:ascii="Times New Roman" w:eastAsia="Times New Roman" w:hAnsi="Times New Roman" w:cs="Times New Roman"/>
                <w:color w:val="000000"/>
                <w:sz w:val="20"/>
                <w:szCs w:val="20"/>
                <w:lang w:eastAsia="en-ZA"/>
              </w:rPr>
              <w:t>, Kazakhstan,</w:t>
            </w:r>
            <w:r w:rsidRPr="004D1E6F">
              <w:rPr>
                <w:rFonts w:ascii="Times New Roman" w:eastAsia="Times New Roman" w:hAnsi="Times New Roman" w:cs="Times New Roman"/>
                <w:color w:val="000000"/>
                <w:sz w:val="20"/>
                <w:szCs w:val="20"/>
                <w:lang w:eastAsia="en-ZA"/>
              </w:rPr>
              <w:t xml:space="preserve"> Madagascar, </w:t>
            </w:r>
            <w:r>
              <w:rPr>
                <w:rFonts w:ascii="Times New Roman" w:eastAsia="Times New Roman" w:hAnsi="Times New Roman" w:cs="Times New Roman"/>
                <w:color w:val="000000"/>
                <w:sz w:val="20"/>
                <w:szCs w:val="20"/>
                <w:lang w:eastAsia="en-ZA"/>
              </w:rPr>
              <w:t>Netherlands, Romania, Russia, Slovakia, Sweden, Ukraine, United Kingdom, USA</w:t>
            </w:r>
          </w:p>
        </w:tc>
        <w:tc>
          <w:tcPr>
            <w:tcW w:w="4601" w:type="dxa"/>
            <w:tcBorders>
              <w:top w:val="single" w:sz="4" w:space="0" w:color="auto"/>
              <w:left w:val="single" w:sz="4" w:space="0" w:color="auto"/>
              <w:bottom w:val="single" w:sz="4" w:space="0" w:color="auto"/>
              <w:right w:val="single" w:sz="4" w:space="0" w:color="auto"/>
            </w:tcBorders>
          </w:tcPr>
          <w:p w14:paraId="3096E5E6" w14:textId="77777777" w:rsidR="002D7080" w:rsidRPr="004D1E6F" w:rsidRDefault="002D7080" w:rsidP="00A96F79">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12F8CE5B" w14:textId="77777777" w:rsidTr="002E2C37">
        <w:trPr>
          <w:cantSplit/>
          <w:trHeight w:val="390"/>
        </w:trPr>
        <w:tc>
          <w:tcPr>
            <w:tcW w:w="9064" w:type="dxa"/>
            <w:gridSpan w:val="4"/>
            <w:tcBorders>
              <w:top w:val="single" w:sz="4" w:space="0" w:color="auto"/>
              <w:left w:val="single" w:sz="4" w:space="0" w:color="auto"/>
              <w:bottom w:val="single" w:sz="4" w:space="0" w:color="auto"/>
              <w:right w:val="single" w:sz="4" w:space="0" w:color="auto"/>
            </w:tcBorders>
            <w:noWrap/>
          </w:tcPr>
          <w:p w14:paraId="677BC9C7"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Introductions have occureed in several countires in Europe, USA and Ma</w:t>
            </w:r>
            <w:r w:rsidRPr="004D1E6F">
              <w:rPr>
                <w:rFonts w:ascii="Times New Roman" w:eastAsia="Times New Roman" w:hAnsi="Times New Roman" w:cs="Times New Roman"/>
                <w:color w:val="000000"/>
                <w:sz w:val="20"/>
                <w:szCs w:val="20"/>
                <w:lang w:eastAsia="en-ZA"/>
              </w:rPr>
              <w:t xml:space="preserve">dagascar </w:t>
            </w:r>
            <w:r>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iCs/>
                <w:color w:val="000000"/>
                <w:sz w:val="20"/>
                <w:szCs w:val="20"/>
                <w:lang w:eastAsia="en-ZA"/>
              </w:rPr>
              <w:t xml:space="preserve">Jones et al. 2009; </w:t>
            </w:r>
            <w:r>
              <w:rPr>
                <w:rFonts w:ascii="Times New Roman" w:eastAsia="Times New Roman" w:hAnsi="Times New Roman" w:cs="Times New Roman"/>
                <w:color w:val="000000"/>
                <w:sz w:val="20"/>
                <w:szCs w:val="20"/>
                <w:lang w:eastAsia="en-ZA"/>
              </w:rPr>
              <w:t>Chucholl</w:t>
            </w:r>
            <w:r w:rsidRPr="004D1E6F">
              <w:rPr>
                <w:rFonts w:ascii="Times New Roman" w:eastAsia="Times New Roman" w:hAnsi="Times New Roman" w:cs="Times New Roman"/>
                <w:color w:val="000000"/>
                <w:sz w:val="20"/>
                <w:szCs w:val="20"/>
                <w:lang w:eastAsia="en-ZA"/>
              </w:rPr>
              <w:t xml:space="preserve"> and Pfeiffer, 2010</w:t>
            </w:r>
            <w:r>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iCs/>
                <w:color w:val="000000"/>
                <w:sz w:val="20"/>
                <w:szCs w:val="20"/>
                <w:lang w:eastAsia="en-ZA"/>
              </w:rPr>
              <w:t xml:space="preserve">Faulkes 2010; </w:t>
            </w:r>
            <w:r w:rsidRPr="004D1E6F">
              <w:rPr>
                <w:rFonts w:ascii="Times New Roman" w:eastAsia="Times New Roman" w:hAnsi="Times New Roman" w:cs="Times New Roman"/>
                <w:color w:val="000000"/>
                <w:sz w:val="20"/>
                <w:szCs w:val="20"/>
                <w:lang w:eastAsia="en-ZA"/>
              </w:rPr>
              <w:t xml:space="preserve">Soes </w:t>
            </w:r>
            <w:r>
              <w:rPr>
                <w:rFonts w:ascii="Times New Roman" w:eastAsia="Times New Roman" w:hAnsi="Times New Roman" w:cs="Times New Roman"/>
                <w:color w:val="000000"/>
                <w:sz w:val="20"/>
                <w:szCs w:val="20"/>
                <w:lang w:eastAsia="en-ZA"/>
              </w:rPr>
              <w:t>&amp;</w:t>
            </w:r>
            <w:r w:rsidRPr="004D1E6F">
              <w:rPr>
                <w:rFonts w:ascii="Times New Roman" w:eastAsia="Times New Roman" w:hAnsi="Times New Roman" w:cs="Times New Roman"/>
                <w:color w:val="000000"/>
                <w:sz w:val="20"/>
                <w:szCs w:val="20"/>
                <w:lang w:eastAsia="en-ZA"/>
              </w:rPr>
              <w:t xml:space="preserve"> Koese</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2010</w:t>
            </w:r>
            <w:r>
              <w:rPr>
                <w:rFonts w:ascii="Times New Roman" w:eastAsia="Times New Roman" w:hAnsi="Times New Roman" w:cs="Times New Roman"/>
                <w:color w:val="000000"/>
                <w:sz w:val="20"/>
                <w:szCs w:val="20"/>
                <w:lang w:eastAsia="en-ZA"/>
              </w:rPr>
              <w:t xml:space="preserve">; Feria &amp; Faulkes 2011; Chucholl et al. 2012; </w:t>
            </w:r>
            <w:r>
              <w:rPr>
                <w:rFonts w:ascii="Times New Roman" w:eastAsia="Times New Roman" w:hAnsi="Times New Roman" w:cs="Times New Roman"/>
                <w:iCs/>
                <w:color w:val="000000"/>
                <w:sz w:val="20"/>
                <w:szCs w:val="20"/>
                <w:lang w:eastAsia="en-ZA"/>
              </w:rPr>
              <w:t xml:space="preserve">Faulkes et al. 2012; Bohman et al. 2013; Faulkes 2014; </w:t>
            </w:r>
            <w:r>
              <w:rPr>
                <w:rFonts w:ascii="Times New Roman" w:eastAsia="Times New Roman" w:hAnsi="Times New Roman" w:cs="Times New Roman"/>
                <w:color w:val="000000"/>
                <w:sz w:val="20"/>
                <w:szCs w:val="20"/>
                <w:lang w:eastAsia="en-ZA"/>
              </w:rPr>
              <w:t xml:space="preserve">Kouba et al. 2014; Patoka et al. 2014; Maguire et al. 2018; </w:t>
            </w:r>
            <w:r w:rsidRPr="009D73A2">
              <w:rPr>
                <w:rFonts w:ascii="Times New Roman" w:eastAsia="Times New Roman" w:hAnsi="Times New Roman" w:cs="Times New Roman"/>
                <w:iCs/>
                <w:color w:val="000000"/>
                <w:sz w:val="20"/>
                <w:szCs w:val="20"/>
                <w:lang w:eastAsia="en-ZA"/>
              </w:rPr>
              <w:t>Lőkkös</w:t>
            </w:r>
            <w:r>
              <w:rPr>
                <w:rFonts w:ascii="Times New Roman" w:eastAsia="Times New Roman" w:hAnsi="Times New Roman" w:cs="Times New Roman"/>
                <w:iCs/>
                <w:color w:val="000000"/>
                <w:sz w:val="20"/>
                <w:szCs w:val="20"/>
                <w:lang w:eastAsia="en-ZA"/>
              </w:rPr>
              <w:t xml:space="preserve"> et al. 2016;; Novitsky &amp; Son 2016; </w:t>
            </w:r>
            <w:r w:rsidRPr="000143A3">
              <w:rPr>
                <w:rFonts w:ascii="Times New Roman" w:eastAsia="Times New Roman" w:hAnsi="Times New Roman" w:cs="Times New Roman"/>
                <w:iCs/>
                <w:color w:val="000000"/>
                <w:sz w:val="20"/>
                <w:szCs w:val="20"/>
                <w:lang w:eastAsia="en-ZA"/>
              </w:rPr>
              <w:t>Lipták</w:t>
            </w:r>
            <w:r>
              <w:rPr>
                <w:rFonts w:ascii="Times New Roman" w:eastAsia="Times New Roman" w:hAnsi="Times New Roman" w:cs="Times New Roman"/>
                <w:iCs/>
                <w:color w:val="000000"/>
                <w:sz w:val="20"/>
                <w:szCs w:val="20"/>
                <w:lang w:eastAsia="en-ZA"/>
              </w:rPr>
              <w:t xml:space="preserve"> et al. 2017; </w:t>
            </w:r>
            <w:r w:rsidRPr="007D4688">
              <w:rPr>
                <w:rFonts w:ascii="Times New Roman" w:eastAsia="Times New Roman" w:hAnsi="Times New Roman" w:cs="Times New Roman"/>
                <w:iCs/>
                <w:color w:val="000000"/>
                <w:sz w:val="20"/>
                <w:szCs w:val="20"/>
                <w:lang w:eastAsia="en-ZA"/>
              </w:rPr>
              <w:t>Pârvulescu</w:t>
            </w:r>
            <w:r>
              <w:rPr>
                <w:rFonts w:ascii="Times New Roman" w:eastAsia="Times New Roman" w:hAnsi="Times New Roman" w:cs="Times New Roman"/>
                <w:iCs/>
                <w:color w:val="000000"/>
                <w:sz w:val="20"/>
                <w:szCs w:val="20"/>
                <w:lang w:eastAsia="en-ZA"/>
              </w:rPr>
              <w:t xml:space="preserve"> et al. 2017; Uderbayev et al. 2017)</w:t>
            </w:r>
            <w:r w:rsidRPr="004D1E6F">
              <w:rPr>
                <w:rFonts w:ascii="Times New Roman" w:eastAsia="Times New Roman" w:hAnsi="Times New Roman" w:cs="Times New Roman"/>
                <w:color w:val="000000"/>
                <w:sz w:val="20"/>
                <w:szCs w:val="20"/>
                <w:lang w:eastAsia="en-ZA"/>
              </w:rPr>
              <w:t xml:space="preserve">  </w:t>
            </w:r>
          </w:p>
        </w:tc>
      </w:tr>
      <w:tr w:rsidR="002D7080" w:rsidRPr="004D1E6F" w14:paraId="41284DC6" w14:textId="77777777" w:rsidTr="002E2C37">
        <w:trPr>
          <w:cantSplit/>
          <w:trHeight w:val="390"/>
        </w:trPr>
        <w:tc>
          <w:tcPr>
            <w:tcW w:w="9064" w:type="dxa"/>
            <w:gridSpan w:val="4"/>
            <w:tcBorders>
              <w:top w:val="single" w:sz="4" w:space="0" w:color="auto"/>
              <w:left w:val="single" w:sz="4" w:space="0" w:color="auto"/>
              <w:bottom w:val="single" w:sz="4" w:space="0" w:color="auto"/>
              <w:right w:val="single" w:sz="4" w:space="0" w:color="auto"/>
            </w:tcBorders>
            <w:noWrap/>
          </w:tcPr>
          <w:p w14:paraId="6E114495" w14:textId="77777777" w:rsidR="002D7080" w:rsidRPr="004D1E6F" w:rsidRDefault="002D7080" w:rsidP="00A96F79">
            <w:pPr>
              <w:spacing w:after="0"/>
              <w:jc w:val="both"/>
              <w:rPr>
                <w:rFonts w:ascii="Times New Roman" w:eastAsia="Times New Roman" w:hAnsi="Times New Roman" w:cs="Times New Roman"/>
                <w:iCs/>
                <w:color w:val="000000"/>
                <w:sz w:val="20"/>
                <w:szCs w:val="20"/>
                <w:lang w:eastAsia="en-ZA"/>
              </w:rPr>
            </w:pPr>
            <w:r>
              <w:rPr>
                <w:rFonts w:ascii="Times New Roman" w:eastAsia="Times New Roman" w:hAnsi="Times New Roman" w:cs="Times New Roman"/>
                <w:iCs/>
                <w:color w:val="000000"/>
                <w:sz w:val="20"/>
                <w:szCs w:val="20"/>
                <w:lang w:eastAsia="en-ZA"/>
              </w:rPr>
              <w:lastRenderedPageBreak/>
              <w:t>References:</w:t>
            </w:r>
          </w:p>
          <w:p w14:paraId="27810BEE"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Bohman, P., Edsman, L., Martin, P., &amp; Scholtz, G. 2013</w:t>
            </w:r>
            <w:r>
              <w:rPr>
                <w:rFonts w:ascii="Times New Roman" w:eastAsia="Times New Roman" w:hAnsi="Times New Roman" w:cs="Times New Roman"/>
                <w:iCs/>
                <w:color w:val="000000"/>
                <w:sz w:val="20"/>
                <w:szCs w:val="20"/>
                <w:lang w:eastAsia="en-ZA"/>
              </w:rPr>
              <w:t>, ‘</w:t>
            </w:r>
            <w:r w:rsidRPr="00671CD3">
              <w:rPr>
                <w:rFonts w:ascii="Times New Roman" w:eastAsia="Times New Roman" w:hAnsi="Times New Roman" w:cs="Times New Roman"/>
                <w:iCs/>
                <w:color w:val="000000"/>
                <w:sz w:val="20"/>
                <w:szCs w:val="20"/>
                <w:lang w:eastAsia="en-ZA"/>
              </w:rPr>
              <w:t>The first Marmorkrebs (Decapoda: Astacida: Cambaridae) in Scandinavia</w:t>
            </w:r>
            <w:r>
              <w:rPr>
                <w:rFonts w:ascii="Times New Roman" w:eastAsia="Times New Roman" w:hAnsi="Times New Roman" w:cs="Times New Roman"/>
                <w:iCs/>
                <w:color w:val="000000"/>
                <w:sz w:val="20"/>
                <w:szCs w:val="20"/>
                <w:lang w:eastAsia="en-ZA"/>
              </w:rPr>
              <w:t xml:space="preserve">’, </w:t>
            </w:r>
            <w:r w:rsidRPr="00763F64">
              <w:rPr>
                <w:rFonts w:ascii="Times New Roman" w:eastAsia="Times New Roman" w:hAnsi="Times New Roman" w:cs="Times New Roman"/>
                <w:i/>
                <w:color w:val="000000"/>
                <w:sz w:val="20"/>
                <w:szCs w:val="20"/>
                <w:lang w:eastAsia="en-ZA"/>
              </w:rPr>
              <w:t>BioInvasions Records</w:t>
            </w:r>
            <w:r w:rsidRPr="00763F64">
              <w:rPr>
                <w:rFonts w:ascii="Times New Roman" w:eastAsia="Times New Roman" w:hAnsi="Times New Roman" w:cs="Times New Roman"/>
                <w:iCs/>
                <w:color w:val="000000"/>
                <w:sz w:val="20"/>
                <w:szCs w:val="20"/>
                <w:lang w:eastAsia="en-ZA"/>
              </w:rPr>
              <w:t xml:space="preserve">, </w:t>
            </w:r>
            <w:r w:rsidRPr="00671CD3">
              <w:rPr>
                <w:rFonts w:ascii="Times New Roman" w:eastAsia="Times New Roman" w:hAnsi="Times New Roman" w:cs="Times New Roman"/>
                <w:iCs/>
                <w:color w:val="000000"/>
                <w:sz w:val="20"/>
                <w:szCs w:val="20"/>
                <w:lang w:eastAsia="en-ZA"/>
              </w:rPr>
              <w:t>2</w:t>
            </w:r>
            <w:r>
              <w:rPr>
                <w:rFonts w:ascii="Times New Roman" w:eastAsia="Times New Roman" w:hAnsi="Times New Roman" w:cs="Times New Roman"/>
                <w:iCs/>
                <w:color w:val="000000"/>
                <w:sz w:val="20"/>
                <w:szCs w:val="20"/>
                <w:lang w:eastAsia="en-ZA"/>
              </w:rPr>
              <w:t>(</w:t>
            </w:r>
            <w:r w:rsidRPr="00671CD3">
              <w:rPr>
                <w:rFonts w:ascii="Times New Roman" w:eastAsia="Times New Roman" w:hAnsi="Times New Roman" w:cs="Times New Roman"/>
                <w:iCs/>
                <w:color w:val="000000"/>
                <w:sz w:val="20"/>
                <w:szCs w:val="20"/>
                <w:lang w:eastAsia="en-ZA"/>
              </w:rPr>
              <w:t>3</w:t>
            </w:r>
            <w:r>
              <w:rPr>
                <w:rFonts w:ascii="Times New Roman" w:eastAsia="Times New Roman" w:hAnsi="Times New Roman" w:cs="Times New Roman"/>
                <w:iCs/>
                <w:color w:val="000000"/>
                <w:sz w:val="20"/>
                <w:szCs w:val="20"/>
                <w:lang w:eastAsia="en-ZA"/>
              </w:rPr>
              <w:t>)</w:t>
            </w:r>
            <w:r w:rsidRPr="00671CD3">
              <w:rPr>
                <w:rFonts w:ascii="Times New Roman" w:eastAsia="Times New Roman" w:hAnsi="Times New Roman" w:cs="Times New Roman"/>
                <w:iCs/>
                <w:color w:val="000000"/>
                <w:sz w:val="20"/>
                <w:szCs w:val="20"/>
                <w:lang w:eastAsia="en-ZA"/>
              </w:rPr>
              <w:t>, 227-232</w:t>
            </w:r>
            <w:r>
              <w:rPr>
                <w:rFonts w:ascii="Times New Roman" w:eastAsia="Times New Roman" w:hAnsi="Times New Roman" w:cs="Times New Roman"/>
                <w:iCs/>
                <w:color w:val="000000"/>
                <w:sz w:val="20"/>
                <w:szCs w:val="20"/>
                <w:lang w:eastAsia="en-ZA"/>
              </w:rPr>
              <w:t xml:space="preserve"> </w:t>
            </w:r>
            <w:hyperlink r:id="rId619" w:history="1">
              <w:r w:rsidRPr="00762F6F">
                <w:rPr>
                  <w:rStyle w:val="Hyperlink"/>
                  <w:rFonts w:ascii="Times New Roman" w:eastAsia="Times New Roman" w:hAnsi="Times New Roman" w:cs="Times New Roman"/>
                  <w:iCs/>
                  <w:sz w:val="20"/>
                  <w:szCs w:val="20"/>
                  <w:lang w:eastAsia="en-ZA"/>
                </w:rPr>
                <w:t>https://doi.org/10.3391/bir.2013.2.3.09</w:t>
              </w:r>
            </w:hyperlink>
            <w:r>
              <w:rPr>
                <w:rFonts w:ascii="Times New Roman" w:eastAsia="Times New Roman" w:hAnsi="Times New Roman" w:cs="Times New Roman"/>
                <w:iCs/>
                <w:color w:val="000000"/>
                <w:sz w:val="20"/>
                <w:szCs w:val="20"/>
                <w:lang w:eastAsia="en-ZA"/>
              </w:rPr>
              <w:t xml:space="preserve"> .</w:t>
            </w:r>
          </w:p>
          <w:p w14:paraId="1CB3706C"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 xml:space="preserve">Chucholl, C. &amp; Pfeiffer, M. 2010, ‘First evidence for an established Marmorkrebs (Decapoda, Astacida, Cambaridae) population in Southwestern Germany, in syntopic occurrence with Orconectes limosus (Rafinesque, 1817)’, </w:t>
            </w:r>
            <w:r w:rsidRPr="00D550D5">
              <w:rPr>
                <w:rFonts w:ascii="Times New Roman" w:eastAsia="Times New Roman" w:hAnsi="Times New Roman" w:cs="Times New Roman"/>
                <w:i/>
                <w:color w:val="000000"/>
                <w:sz w:val="20"/>
                <w:szCs w:val="20"/>
                <w:lang w:eastAsia="en-ZA"/>
              </w:rPr>
              <w:t>Aquatic invasions</w:t>
            </w:r>
            <w:r w:rsidRPr="00671CD3">
              <w:rPr>
                <w:rFonts w:ascii="Times New Roman" w:eastAsia="Times New Roman" w:hAnsi="Times New Roman" w:cs="Times New Roman"/>
                <w:iCs/>
                <w:color w:val="000000"/>
                <w:sz w:val="20"/>
                <w:szCs w:val="20"/>
                <w:lang w:eastAsia="en-ZA"/>
              </w:rPr>
              <w:t xml:space="preserve"> 5, 405-412.</w:t>
            </w:r>
            <w:r>
              <w:rPr>
                <w:rFonts w:ascii="Times New Roman" w:eastAsia="Times New Roman" w:hAnsi="Times New Roman" w:cs="Times New Roman"/>
                <w:iCs/>
                <w:color w:val="000000"/>
                <w:sz w:val="20"/>
                <w:szCs w:val="20"/>
                <w:lang w:eastAsia="en-ZA"/>
              </w:rPr>
              <w:t xml:space="preserve"> </w:t>
            </w:r>
            <w:hyperlink r:id="rId620" w:history="1">
              <w:r w:rsidRPr="00762F6F">
                <w:rPr>
                  <w:rStyle w:val="Hyperlink"/>
                  <w:rFonts w:ascii="Times New Roman" w:eastAsia="Times New Roman" w:hAnsi="Times New Roman" w:cs="Times New Roman"/>
                  <w:iCs/>
                  <w:sz w:val="20"/>
                  <w:szCs w:val="20"/>
                  <w:lang w:eastAsia="en-ZA"/>
                </w:rPr>
                <w:t>https://doi.org/10.3391/ai.2010.5.4.10</w:t>
              </w:r>
            </w:hyperlink>
            <w:r>
              <w:rPr>
                <w:rStyle w:val="Hyperlink"/>
                <w:rFonts w:ascii="Times New Roman" w:eastAsia="Times New Roman" w:hAnsi="Times New Roman" w:cs="Times New Roman"/>
                <w:iCs/>
                <w:sz w:val="20"/>
                <w:szCs w:val="20"/>
                <w:lang w:eastAsia="en-ZA"/>
              </w:rPr>
              <w:t>.</w:t>
            </w:r>
          </w:p>
          <w:p w14:paraId="2AEC933C"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Chucholl, C., Morawetz, K., &amp; Groß, H.</w:t>
            </w:r>
            <w:r>
              <w:rPr>
                <w:rFonts w:ascii="Times New Roman" w:eastAsia="Times New Roman" w:hAnsi="Times New Roman" w:cs="Times New Roman"/>
                <w:iCs/>
                <w:color w:val="000000"/>
                <w:sz w:val="20"/>
                <w:szCs w:val="20"/>
                <w:lang w:eastAsia="en-ZA"/>
              </w:rPr>
              <w:t xml:space="preserve"> </w:t>
            </w:r>
            <w:r w:rsidRPr="00671CD3">
              <w:rPr>
                <w:rFonts w:ascii="Times New Roman" w:eastAsia="Times New Roman" w:hAnsi="Times New Roman" w:cs="Times New Roman"/>
                <w:iCs/>
                <w:color w:val="000000"/>
                <w:sz w:val="20"/>
                <w:szCs w:val="20"/>
                <w:lang w:eastAsia="en-ZA"/>
              </w:rPr>
              <w:t>2012</w:t>
            </w:r>
            <w:r>
              <w:rPr>
                <w:rFonts w:ascii="Times New Roman" w:eastAsia="Times New Roman" w:hAnsi="Times New Roman" w:cs="Times New Roman"/>
                <w:iCs/>
                <w:color w:val="000000"/>
                <w:sz w:val="20"/>
                <w:szCs w:val="20"/>
                <w:lang w:eastAsia="en-ZA"/>
              </w:rPr>
              <w:t>, ‘</w:t>
            </w:r>
            <w:r w:rsidRPr="00671CD3">
              <w:rPr>
                <w:rFonts w:ascii="Times New Roman" w:eastAsia="Times New Roman" w:hAnsi="Times New Roman" w:cs="Times New Roman"/>
                <w:iCs/>
                <w:color w:val="000000"/>
                <w:sz w:val="20"/>
                <w:szCs w:val="20"/>
                <w:lang w:eastAsia="en-ZA"/>
              </w:rPr>
              <w:t>The clones are coming-strong increase in Marmorkrebs [</w:t>
            </w:r>
            <w:r w:rsidRPr="00BF2130">
              <w:rPr>
                <w:rFonts w:ascii="Times New Roman" w:eastAsia="Times New Roman" w:hAnsi="Times New Roman" w:cs="Times New Roman"/>
                <w:i/>
                <w:color w:val="000000"/>
                <w:sz w:val="20"/>
                <w:szCs w:val="20"/>
                <w:lang w:eastAsia="en-ZA"/>
              </w:rPr>
              <w:t>Procambarus fallax</w:t>
            </w:r>
            <w:r w:rsidRPr="00671CD3">
              <w:rPr>
                <w:rFonts w:ascii="Times New Roman" w:eastAsia="Times New Roman" w:hAnsi="Times New Roman" w:cs="Times New Roman"/>
                <w:iCs/>
                <w:color w:val="000000"/>
                <w:sz w:val="20"/>
                <w:szCs w:val="20"/>
                <w:lang w:eastAsia="en-ZA"/>
              </w:rPr>
              <w:t xml:space="preserve"> (Hagen, 1870) f. </w:t>
            </w:r>
            <w:r w:rsidRPr="00BF2130">
              <w:rPr>
                <w:rFonts w:ascii="Times New Roman" w:eastAsia="Times New Roman" w:hAnsi="Times New Roman" w:cs="Times New Roman"/>
                <w:i/>
                <w:color w:val="000000"/>
                <w:sz w:val="20"/>
                <w:szCs w:val="20"/>
                <w:lang w:eastAsia="en-ZA"/>
              </w:rPr>
              <w:t>virginalis</w:t>
            </w:r>
            <w:r w:rsidRPr="00671CD3">
              <w:rPr>
                <w:rFonts w:ascii="Times New Roman" w:eastAsia="Times New Roman" w:hAnsi="Times New Roman" w:cs="Times New Roman"/>
                <w:iCs/>
                <w:color w:val="000000"/>
                <w:sz w:val="20"/>
                <w:szCs w:val="20"/>
                <w:lang w:eastAsia="en-ZA"/>
              </w:rPr>
              <w:t>] records from Europe</w:t>
            </w:r>
            <w:r>
              <w:rPr>
                <w:rFonts w:ascii="Times New Roman" w:eastAsia="Times New Roman" w:hAnsi="Times New Roman" w:cs="Times New Roman"/>
                <w:iCs/>
                <w:color w:val="000000"/>
                <w:sz w:val="20"/>
                <w:szCs w:val="20"/>
                <w:lang w:eastAsia="en-ZA"/>
              </w:rPr>
              <w:t>’</w:t>
            </w:r>
            <w:r w:rsidRPr="00671CD3">
              <w:rPr>
                <w:rFonts w:ascii="Times New Roman" w:eastAsia="Times New Roman" w:hAnsi="Times New Roman" w:cs="Times New Roman"/>
                <w:iCs/>
                <w:color w:val="000000"/>
                <w:sz w:val="20"/>
                <w:szCs w:val="20"/>
                <w:lang w:eastAsia="en-ZA"/>
              </w:rPr>
              <w:t xml:space="preserve">. </w:t>
            </w:r>
            <w:r w:rsidRPr="00BF2130">
              <w:rPr>
                <w:rFonts w:ascii="Times New Roman" w:eastAsia="Times New Roman" w:hAnsi="Times New Roman" w:cs="Times New Roman"/>
                <w:i/>
                <w:color w:val="000000"/>
                <w:sz w:val="20"/>
                <w:szCs w:val="20"/>
                <w:lang w:eastAsia="en-ZA"/>
              </w:rPr>
              <w:t>Aquatic Invasions</w:t>
            </w:r>
            <w:r w:rsidRPr="00671CD3">
              <w:rPr>
                <w:rFonts w:ascii="Times New Roman" w:eastAsia="Times New Roman" w:hAnsi="Times New Roman" w:cs="Times New Roman"/>
                <w:iCs/>
                <w:color w:val="000000"/>
                <w:sz w:val="20"/>
                <w:szCs w:val="20"/>
                <w:lang w:eastAsia="en-ZA"/>
              </w:rPr>
              <w:t>, 7(4), 511-519.</w:t>
            </w:r>
            <w:r>
              <w:rPr>
                <w:rFonts w:ascii="Times New Roman" w:eastAsia="Times New Roman" w:hAnsi="Times New Roman" w:cs="Times New Roman"/>
                <w:iCs/>
                <w:color w:val="000000"/>
                <w:sz w:val="20"/>
                <w:szCs w:val="20"/>
                <w:lang w:eastAsia="en-ZA"/>
              </w:rPr>
              <w:t xml:space="preserve"> </w:t>
            </w:r>
            <w:hyperlink r:id="rId621" w:history="1">
              <w:r w:rsidRPr="00762F6F">
                <w:rPr>
                  <w:rStyle w:val="Hyperlink"/>
                  <w:rFonts w:ascii="Times New Roman" w:eastAsia="Times New Roman" w:hAnsi="Times New Roman" w:cs="Times New Roman"/>
                  <w:iCs/>
                  <w:sz w:val="20"/>
                  <w:szCs w:val="20"/>
                  <w:lang w:eastAsia="en-ZA"/>
                </w:rPr>
                <w:t>https://doi.org/10.3391/ai.2012.7.4.008</w:t>
              </w:r>
            </w:hyperlink>
            <w:r>
              <w:rPr>
                <w:rStyle w:val="Hyperlink"/>
                <w:rFonts w:ascii="Times New Roman" w:eastAsia="Times New Roman" w:hAnsi="Times New Roman" w:cs="Times New Roman"/>
                <w:iCs/>
                <w:sz w:val="20"/>
                <w:szCs w:val="20"/>
                <w:lang w:eastAsia="en-ZA"/>
              </w:rPr>
              <w:t>.</w:t>
            </w:r>
            <w:r>
              <w:rPr>
                <w:rFonts w:ascii="Times New Roman" w:eastAsia="Times New Roman" w:hAnsi="Times New Roman" w:cs="Times New Roman"/>
                <w:iCs/>
                <w:color w:val="000000"/>
                <w:sz w:val="20"/>
                <w:szCs w:val="20"/>
                <w:lang w:eastAsia="en-ZA"/>
              </w:rPr>
              <w:t xml:space="preserve"> </w:t>
            </w:r>
          </w:p>
          <w:p w14:paraId="50D940E2"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Faulkes, Z. 2010</w:t>
            </w:r>
            <w:r>
              <w:rPr>
                <w:rFonts w:ascii="Times New Roman" w:eastAsia="Times New Roman" w:hAnsi="Times New Roman" w:cs="Times New Roman"/>
                <w:iCs/>
                <w:color w:val="000000"/>
                <w:sz w:val="20"/>
                <w:szCs w:val="20"/>
                <w:lang w:eastAsia="en-ZA"/>
              </w:rPr>
              <w:t>, ‘</w:t>
            </w:r>
            <w:r w:rsidRPr="00671CD3">
              <w:rPr>
                <w:rFonts w:ascii="Times New Roman" w:eastAsia="Times New Roman" w:hAnsi="Times New Roman" w:cs="Times New Roman"/>
                <w:iCs/>
                <w:color w:val="000000"/>
                <w:sz w:val="20"/>
                <w:szCs w:val="20"/>
                <w:lang w:eastAsia="en-ZA"/>
              </w:rPr>
              <w:t>The spread of the parthenogenetic marbled crayfish, Marmorkrebs</w:t>
            </w:r>
            <w:r>
              <w:rPr>
                <w:rFonts w:ascii="Times New Roman" w:eastAsia="Times New Roman" w:hAnsi="Times New Roman" w:cs="Times New Roman"/>
                <w:iCs/>
                <w:color w:val="000000"/>
                <w:sz w:val="20"/>
                <w:szCs w:val="20"/>
                <w:lang w:eastAsia="en-ZA"/>
              </w:rPr>
              <w:t xml:space="preserve"> </w:t>
            </w:r>
            <w:r w:rsidRPr="00671CD3">
              <w:rPr>
                <w:rFonts w:ascii="Times New Roman" w:eastAsia="Times New Roman" w:hAnsi="Times New Roman" w:cs="Times New Roman"/>
                <w:iCs/>
                <w:color w:val="000000"/>
                <w:sz w:val="20"/>
                <w:szCs w:val="20"/>
                <w:lang w:eastAsia="en-ZA"/>
              </w:rPr>
              <w:t>(</w:t>
            </w:r>
            <w:r w:rsidRPr="00684DBA">
              <w:rPr>
                <w:rFonts w:ascii="Times New Roman" w:eastAsia="Times New Roman" w:hAnsi="Times New Roman" w:cs="Times New Roman"/>
                <w:i/>
                <w:color w:val="000000"/>
                <w:sz w:val="20"/>
                <w:szCs w:val="20"/>
                <w:lang w:eastAsia="en-ZA"/>
              </w:rPr>
              <w:t>Procambarus</w:t>
            </w:r>
            <w:r w:rsidRPr="00671CD3">
              <w:rPr>
                <w:rFonts w:ascii="Times New Roman" w:eastAsia="Times New Roman" w:hAnsi="Times New Roman" w:cs="Times New Roman"/>
                <w:iCs/>
                <w:color w:val="000000"/>
                <w:sz w:val="20"/>
                <w:szCs w:val="20"/>
                <w:lang w:eastAsia="en-ZA"/>
              </w:rPr>
              <w:t xml:space="preserve"> sp.), in the North American pet trade</w:t>
            </w:r>
            <w:r>
              <w:rPr>
                <w:rFonts w:ascii="Times New Roman" w:eastAsia="Times New Roman" w:hAnsi="Times New Roman" w:cs="Times New Roman"/>
                <w:iCs/>
                <w:color w:val="000000"/>
                <w:sz w:val="20"/>
                <w:szCs w:val="20"/>
                <w:lang w:eastAsia="en-ZA"/>
              </w:rPr>
              <w:t>’,</w:t>
            </w:r>
            <w:r w:rsidRPr="005E4045">
              <w:rPr>
                <w:rFonts w:ascii="Times New Roman" w:eastAsia="Times New Roman" w:hAnsi="Times New Roman" w:cs="Times New Roman"/>
                <w:i/>
                <w:color w:val="000000"/>
                <w:sz w:val="20"/>
                <w:szCs w:val="20"/>
                <w:lang w:eastAsia="en-ZA"/>
              </w:rPr>
              <w:t xml:space="preserve"> Aquatic Invasions</w:t>
            </w:r>
            <w:r w:rsidRPr="00671CD3">
              <w:rPr>
                <w:rFonts w:ascii="Times New Roman" w:eastAsia="Times New Roman" w:hAnsi="Times New Roman" w:cs="Times New Roman"/>
                <w:iCs/>
                <w:color w:val="000000"/>
                <w:sz w:val="20"/>
                <w:szCs w:val="20"/>
                <w:lang w:eastAsia="en-ZA"/>
              </w:rPr>
              <w:t>, 5(4), 447-450.</w:t>
            </w:r>
            <w:r>
              <w:rPr>
                <w:rFonts w:ascii="Times New Roman" w:eastAsia="Times New Roman" w:hAnsi="Times New Roman" w:cs="Times New Roman"/>
                <w:iCs/>
                <w:color w:val="000000"/>
                <w:sz w:val="20"/>
                <w:szCs w:val="20"/>
                <w:lang w:eastAsia="en-ZA"/>
              </w:rPr>
              <w:t xml:space="preserve"> </w:t>
            </w:r>
            <w:hyperlink r:id="rId622" w:history="1">
              <w:r w:rsidRPr="00762F6F">
                <w:rPr>
                  <w:rStyle w:val="Hyperlink"/>
                  <w:rFonts w:ascii="Times New Roman" w:eastAsia="Times New Roman" w:hAnsi="Times New Roman" w:cs="Times New Roman"/>
                  <w:iCs/>
                  <w:sz w:val="20"/>
                  <w:szCs w:val="20"/>
                  <w:lang w:eastAsia="en-ZA"/>
                </w:rPr>
                <w:t>https://doi.org/10.3391/ai.2010.5.4.16</w:t>
              </w:r>
            </w:hyperlink>
            <w:r>
              <w:rPr>
                <w:rFonts w:ascii="Times New Roman" w:eastAsia="Times New Roman" w:hAnsi="Times New Roman" w:cs="Times New Roman"/>
                <w:iCs/>
                <w:color w:val="000000"/>
                <w:sz w:val="20"/>
                <w:szCs w:val="20"/>
                <w:lang w:eastAsia="en-ZA"/>
              </w:rPr>
              <w:t xml:space="preserve"> </w:t>
            </w:r>
          </w:p>
          <w:p w14:paraId="399B0102"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Faulkes, Z.</w:t>
            </w:r>
            <w:r>
              <w:rPr>
                <w:rFonts w:ascii="Times New Roman" w:eastAsia="Times New Roman" w:hAnsi="Times New Roman" w:cs="Times New Roman"/>
                <w:iCs/>
                <w:color w:val="000000"/>
                <w:sz w:val="20"/>
                <w:szCs w:val="20"/>
                <w:lang w:eastAsia="en-ZA"/>
              </w:rPr>
              <w:t xml:space="preserve"> </w:t>
            </w:r>
            <w:r w:rsidRPr="00671CD3">
              <w:rPr>
                <w:rFonts w:ascii="Times New Roman" w:eastAsia="Times New Roman" w:hAnsi="Times New Roman" w:cs="Times New Roman"/>
                <w:iCs/>
                <w:color w:val="000000"/>
                <w:sz w:val="20"/>
                <w:szCs w:val="20"/>
                <w:lang w:eastAsia="en-ZA"/>
              </w:rPr>
              <w:t>2014</w:t>
            </w:r>
            <w:r>
              <w:rPr>
                <w:rFonts w:ascii="Times New Roman" w:eastAsia="Times New Roman" w:hAnsi="Times New Roman" w:cs="Times New Roman"/>
                <w:iCs/>
                <w:color w:val="000000"/>
                <w:sz w:val="20"/>
                <w:szCs w:val="20"/>
                <w:lang w:eastAsia="en-ZA"/>
              </w:rPr>
              <w:t>, ‘</w:t>
            </w:r>
            <w:r w:rsidRPr="00671CD3">
              <w:rPr>
                <w:rFonts w:ascii="Times New Roman" w:eastAsia="Times New Roman" w:hAnsi="Times New Roman" w:cs="Times New Roman"/>
                <w:iCs/>
                <w:color w:val="000000"/>
                <w:sz w:val="20"/>
                <w:szCs w:val="20"/>
                <w:lang w:eastAsia="en-ZA"/>
              </w:rPr>
              <w:t xml:space="preserve">A bomb set to drop: parthenogenetic Marmorkrebs for sale in Ireland, a European location without non-indigenous crayfish. </w:t>
            </w:r>
            <w:r w:rsidRPr="008E05CD">
              <w:rPr>
                <w:rFonts w:ascii="Times New Roman" w:eastAsia="Times New Roman" w:hAnsi="Times New Roman" w:cs="Times New Roman"/>
                <w:i/>
                <w:color w:val="000000"/>
                <w:sz w:val="20"/>
                <w:szCs w:val="20"/>
                <w:lang w:eastAsia="en-ZA"/>
              </w:rPr>
              <w:t>Management of Biological Invasions</w:t>
            </w:r>
            <w:r w:rsidRPr="00671CD3">
              <w:rPr>
                <w:rFonts w:ascii="Times New Roman" w:eastAsia="Times New Roman" w:hAnsi="Times New Roman" w:cs="Times New Roman"/>
                <w:iCs/>
                <w:color w:val="000000"/>
                <w:sz w:val="20"/>
                <w:szCs w:val="20"/>
                <w:lang w:eastAsia="en-ZA"/>
              </w:rPr>
              <w:t>, 6(1), 111-114.</w:t>
            </w:r>
            <w:r>
              <w:rPr>
                <w:rFonts w:ascii="Times New Roman" w:eastAsia="Times New Roman" w:hAnsi="Times New Roman" w:cs="Times New Roman"/>
                <w:iCs/>
                <w:color w:val="000000"/>
                <w:sz w:val="20"/>
                <w:szCs w:val="20"/>
                <w:lang w:eastAsia="en-ZA"/>
              </w:rPr>
              <w:t xml:space="preserve"> </w:t>
            </w:r>
            <w:hyperlink r:id="rId623" w:history="1">
              <w:r w:rsidRPr="00762F6F">
                <w:rPr>
                  <w:rStyle w:val="Hyperlink"/>
                  <w:rFonts w:ascii="Times New Roman" w:eastAsia="Times New Roman" w:hAnsi="Times New Roman" w:cs="Times New Roman"/>
                  <w:iCs/>
                  <w:sz w:val="20"/>
                  <w:szCs w:val="20"/>
                  <w:lang w:eastAsia="en-ZA"/>
                </w:rPr>
                <w:t>https://doi.org/10.3391/mbi.2015.6.1.09</w:t>
              </w:r>
            </w:hyperlink>
            <w:r>
              <w:rPr>
                <w:rStyle w:val="Hyperlink"/>
                <w:rFonts w:ascii="Times New Roman" w:eastAsia="Times New Roman" w:hAnsi="Times New Roman" w:cs="Times New Roman"/>
                <w:iCs/>
                <w:sz w:val="20"/>
                <w:szCs w:val="20"/>
                <w:lang w:eastAsia="en-ZA"/>
              </w:rPr>
              <w:t>.</w:t>
            </w:r>
          </w:p>
          <w:p w14:paraId="0A827A94"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Faulkes, Z., Feria, T. P., &amp; Muñoz, J. 2012</w:t>
            </w:r>
            <w:r>
              <w:rPr>
                <w:rFonts w:ascii="Times New Roman" w:eastAsia="Times New Roman" w:hAnsi="Times New Roman" w:cs="Times New Roman"/>
                <w:iCs/>
                <w:color w:val="000000"/>
                <w:sz w:val="20"/>
                <w:szCs w:val="20"/>
                <w:lang w:eastAsia="en-ZA"/>
              </w:rPr>
              <w:t>, ‘</w:t>
            </w:r>
            <w:r w:rsidRPr="00671CD3">
              <w:rPr>
                <w:rFonts w:ascii="Times New Roman" w:eastAsia="Times New Roman" w:hAnsi="Times New Roman" w:cs="Times New Roman"/>
                <w:iCs/>
                <w:color w:val="000000"/>
                <w:sz w:val="20"/>
                <w:szCs w:val="20"/>
                <w:lang w:eastAsia="en-ZA"/>
              </w:rPr>
              <w:t xml:space="preserve">Do Marmorkrebs, </w:t>
            </w:r>
            <w:r w:rsidRPr="00684DBA">
              <w:rPr>
                <w:rFonts w:ascii="Times New Roman" w:eastAsia="Times New Roman" w:hAnsi="Times New Roman" w:cs="Times New Roman"/>
                <w:i/>
                <w:color w:val="000000"/>
                <w:sz w:val="20"/>
                <w:szCs w:val="20"/>
                <w:lang w:eastAsia="en-ZA"/>
              </w:rPr>
              <w:t>Procambarus fallax</w:t>
            </w:r>
            <w:r w:rsidRPr="00671CD3">
              <w:rPr>
                <w:rFonts w:ascii="Times New Roman" w:eastAsia="Times New Roman" w:hAnsi="Times New Roman" w:cs="Times New Roman"/>
                <w:iCs/>
                <w:color w:val="000000"/>
                <w:sz w:val="20"/>
                <w:szCs w:val="20"/>
                <w:lang w:eastAsia="en-ZA"/>
              </w:rPr>
              <w:t xml:space="preserve"> f. </w:t>
            </w:r>
            <w:r w:rsidRPr="00684DBA">
              <w:rPr>
                <w:rFonts w:ascii="Times New Roman" w:eastAsia="Times New Roman" w:hAnsi="Times New Roman" w:cs="Times New Roman"/>
                <w:i/>
                <w:color w:val="000000"/>
                <w:sz w:val="20"/>
                <w:szCs w:val="20"/>
                <w:lang w:eastAsia="en-ZA"/>
              </w:rPr>
              <w:t>virginalis</w:t>
            </w:r>
            <w:r w:rsidRPr="00671CD3">
              <w:rPr>
                <w:rFonts w:ascii="Times New Roman" w:eastAsia="Times New Roman" w:hAnsi="Times New Roman" w:cs="Times New Roman"/>
                <w:iCs/>
                <w:color w:val="000000"/>
                <w:sz w:val="20"/>
                <w:szCs w:val="20"/>
                <w:lang w:eastAsia="en-ZA"/>
              </w:rPr>
              <w:t>, threaten freshwater Japanese ecosystems</w:t>
            </w:r>
            <w:r>
              <w:rPr>
                <w:rFonts w:ascii="Times New Roman" w:eastAsia="Times New Roman" w:hAnsi="Times New Roman" w:cs="Times New Roman"/>
                <w:iCs/>
                <w:color w:val="000000"/>
                <w:sz w:val="20"/>
                <w:szCs w:val="20"/>
                <w:lang w:eastAsia="en-ZA"/>
              </w:rPr>
              <w:t xml:space="preserve">? </w:t>
            </w:r>
            <w:r w:rsidRPr="00684DBA">
              <w:rPr>
                <w:rFonts w:ascii="Times New Roman" w:eastAsia="Times New Roman" w:hAnsi="Times New Roman" w:cs="Times New Roman"/>
                <w:i/>
                <w:color w:val="000000"/>
                <w:sz w:val="20"/>
                <w:szCs w:val="20"/>
                <w:lang w:eastAsia="en-ZA"/>
              </w:rPr>
              <w:t xml:space="preserve">Aquatic </w:t>
            </w:r>
            <w:r>
              <w:rPr>
                <w:rFonts w:ascii="Times New Roman" w:eastAsia="Times New Roman" w:hAnsi="Times New Roman" w:cs="Times New Roman"/>
                <w:i/>
                <w:color w:val="000000"/>
                <w:sz w:val="20"/>
                <w:szCs w:val="20"/>
                <w:lang w:eastAsia="en-ZA"/>
              </w:rPr>
              <w:t>B</w:t>
            </w:r>
            <w:r w:rsidRPr="00684DBA">
              <w:rPr>
                <w:rFonts w:ascii="Times New Roman" w:eastAsia="Times New Roman" w:hAnsi="Times New Roman" w:cs="Times New Roman"/>
                <w:i/>
                <w:color w:val="000000"/>
                <w:sz w:val="20"/>
                <w:szCs w:val="20"/>
                <w:lang w:eastAsia="en-ZA"/>
              </w:rPr>
              <w:t>iosystems</w:t>
            </w:r>
            <w:r w:rsidRPr="00671CD3">
              <w:rPr>
                <w:rFonts w:ascii="Times New Roman" w:eastAsia="Times New Roman" w:hAnsi="Times New Roman" w:cs="Times New Roman"/>
                <w:iCs/>
                <w:color w:val="000000"/>
                <w:sz w:val="20"/>
                <w:szCs w:val="20"/>
                <w:lang w:eastAsia="en-ZA"/>
              </w:rPr>
              <w:t>, 8(1), 13.</w:t>
            </w:r>
            <w:r>
              <w:rPr>
                <w:rFonts w:ascii="Times New Roman" w:eastAsia="Times New Roman" w:hAnsi="Times New Roman" w:cs="Times New Roman"/>
                <w:iCs/>
                <w:color w:val="000000"/>
                <w:sz w:val="20"/>
                <w:szCs w:val="20"/>
                <w:lang w:eastAsia="en-ZA"/>
              </w:rPr>
              <w:t xml:space="preserve"> </w:t>
            </w:r>
            <w:hyperlink r:id="rId624" w:history="1">
              <w:r w:rsidRPr="00762F6F">
                <w:rPr>
                  <w:rStyle w:val="Hyperlink"/>
                  <w:rFonts w:ascii="Times New Roman" w:eastAsia="Times New Roman" w:hAnsi="Times New Roman" w:cs="Times New Roman"/>
                  <w:iCs/>
                  <w:sz w:val="20"/>
                  <w:szCs w:val="20"/>
                  <w:lang w:eastAsia="en-ZA"/>
                </w:rPr>
                <w:t>https://doi.org/10.1186/2046-9063-8-13</w:t>
              </w:r>
            </w:hyperlink>
          </w:p>
          <w:p w14:paraId="4AA532DE"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 xml:space="preserve">Feria, T.P. &amp; Faulkes, Z., 2011, 'Forecasting the distribution of Marmorkrebs, a parthenogenetic crayfish with high invasive potential, in Madagascar, Europe, and North America', </w:t>
            </w:r>
            <w:r w:rsidRPr="008F2177">
              <w:rPr>
                <w:rFonts w:ascii="Times New Roman" w:eastAsia="Times New Roman" w:hAnsi="Times New Roman" w:cs="Times New Roman"/>
                <w:i/>
                <w:color w:val="000000"/>
                <w:sz w:val="20"/>
                <w:szCs w:val="20"/>
                <w:lang w:eastAsia="en-ZA"/>
              </w:rPr>
              <w:t>Aquatic Invasions</w:t>
            </w:r>
            <w:r w:rsidRPr="00671CD3">
              <w:rPr>
                <w:rFonts w:ascii="Times New Roman" w:eastAsia="Times New Roman" w:hAnsi="Times New Roman" w:cs="Times New Roman"/>
                <w:iCs/>
                <w:color w:val="000000"/>
                <w:sz w:val="20"/>
                <w:szCs w:val="20"/>
                <w:lang w:eastAsia="en-ZA"/>
              </w:rPr>
              <w:t xml:space="preserve"> 6, 55-67.</w:t>
            </w:r>
            <w:r>
              <w:rPr>
                <w:rFonts w:ascii="Times New Roman" w:eastAsia="Times New Roman" w:hAnsi="Times New Roman" w:cs="Times New Roman"/>
                <w:iCs/>
                <w:color w:val="000000"/>
                <w:sz w:val="20"/>
                <w:szCs w:val="20"/>
                <w:lang w:eastAsia="en-ZA"/>
              </w:rPr>
              <w:t xml:space="preserve"> </w:t>
            </w:r>
            <w:hyperlink r:id="rId625" w:history="1">
              <w:r w:rsidRPr="00762F6F">
                <w:rPr>
                  <w:rStyle w:val="Hyperlink"/>
                  <w:rFonts w:ascii="Times New Roman" w:eastAsia="Times New Roman" w:hAnsi="Times New Roman" w:cs="Times New Roman"/>
                  <w:iCs/>
                  <w:sz w:val="20"/>
                  <w:szCs w:val="20"/>
                  <w:lang w:eastAsia="en-ZA"/>
                </w:rPr>
                <w:t>https://doi.org/10.3391/ai.2011.6.1.07</w:t>
              </w:r>
            </w:hyperlink>
            <w:r w:rsidRPr="00671CD3">
              <w:rPr>
                <w:rFonts w:ascii="Times New Roman" w:eastAsia="Times New Roman" w:hAnsi="Times New Roman" w:cs="Times New Roman"/>
                <w:iCs/>
                <w:color w:val="000000"/>
                <w:sz w:val="20"/>
                <w:szCs w:val="20"/>
                <w:lang w:eastAsia="en-ZA"/>
              </w:rPr>
              <w:t>.</w:t>
            </w:r>
            <w:r>
              <w:rPr>
                <w:rFonts w:ascii="Times New Roman" w:eastAsia="Times New Roman" w:hAnsi="Times New Roman" w:cs="Times New Roman"/>
                <w:iCs/>
                <w:color w:val="000000"/>
                <w:sz w:val="20"/>
                <w:szCs w:val="20"/>
                <w:lang w:eastAsia="en-ZA"/>
              </w:rPr>
              <w:t xml:space="preserve">     </w:t>
            </w:r>
          </w:p>
          <w:p w14:paraId="3E9D43D8"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CC7443">
              <w:rPr>
                <w:rFonts w:ascii="Times New Roman" w:eastAsia="Times New Roman" w:hAnsi="Times New Roman" w:cs="Times New Roman"/>
                <w:iCs/>
                <w:color w:val="000000"/>
                <w:sz w:val="20"/>
                <w:szCs w:val="20"/>
                <w:lang w:eastAsia="en-ZA"/>
              </w:rPr>
              <w:t xml:space="preserve">Jones, J.P.G., Rasamy, J.R., Harvey, A., Toon, A., Birgit Oidtmann, B., Randrianarison, M.H., Raminosoa, N. &amp; Ravoahangimalala, O.R., 2009, ‘The perfect invader: a parthenogenetic crayfish poses a new threat to Madagascar’s freshwater biodiversity’, </w:t>
            </w:r>
            <w:r w:rsidRPr="008F2177">
              <w:rPr>
                <w:rFonts w:ascii="Times New Roman" w:eastAsia="Times New Roman" w:hAnsi="Times New Roman" w:cs="Times New Roman"/>
                <w:i/>
                <w:color w:val="000000"/>
                <w:sz w:val="20"/>
                <w:szCs w:val="20"/>
                <w:lang w:eastAsia="en-ZA"/>
              </w:rPr>
              <w:t>Biological Invasions</w:t>
            </w:r>
            <w:r w:rsidRPr="00CC7443">
              <w:rPr>
                <w:rFonts w:ascii="Times New Roman" w:eastAsia="Times New Roman" w:hAnsi="Times New Roman" w:cs="Times New Roman"/>
                <w:iCs/>
                <w:color w:val="000000"/>
                <w:sz w:val="20"/>
                <w:szCs w:val="20"/>
                <w:lang w:eastAsia="en-ZA"/>
              </w:rPr>
              <w:t xml:space="preserve">, 11, 1475–1482, </w:t>
            </w:r>
            <w:hyperlink r:id="rId626" w:history="1">
              <w:r w:rsidRPr="00762F6F">
                <w:rPr>
                  <w:rStyle w:val="Hyperlink"/>
                  <w:rFonts w:ascii="Times New Roman" w:eastAsia="Times New Roman" w:hAnsi="Times New Roman" w:cs="Times New Roman"/>
                  <w:iCs/>
                  <w:sz w:val="20"/>
                  <w:szCs w:val="20"/>
                  <w:lang w:eastAsia="en-ZA"/>
                </w:rPr>
                <w:t>https://doi.org/10.1007/s10530-008-9334-y</w:t>
              </w:r>
            </w:hyperlink>
            <w:r>
              <w:rPr>
                <w:rFonts w:ascii="Times New Roman" w:eastAsia="Times New Roman" w:hAnsi="Times New Roman" w:cs="Times New Roman"/>
                <w:iCs/>
                <w:color w:val="000000"/>
                <w:sz w:val="20"/>
                <w:szCs w:val="20"/>
                <w:lang w:eastAsia="en-ZA"/>
              </w:rPr>
              <w:t>.</w:t>
            </w:r>
          </w:p>
          <w:p w14:paraId="32407D1A"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Kouba, A., Petrusek, A. &amp; Kozák, P. 2014</w:t>
            </w:r>
            <w:r>
              <w:rPr>
                <w:rFonts w:ascii="Times New Roman" w:eastAsia="Times New Roman" w:hAnsi="Times New Roman" w:cs="Times New Roman"/>
                <w:iCs/>
                <w:color w:val="000000"/>
                <w:sz w:val="20"/>
                <w:szCs w:val="20"/>
                <w:lang w:eastAsia="en-ZA"/>
              </w:rPr>
              <w:t>, ‘</w:t>
            </w:r>
            <w:r w:rsidRPr="00671CD3">
              <w:rPr>
                <w:rFonts w:ascii="Times New Roman" w:eastAsia="Times New Roman" w:hAnsi="Times New Roman" w:cs="Times New Roman"/>
                <w:iCs/>
                <w:color w:val="000000"/>
                <w:sz w:val="20"/>
                <w:szCs w:val="20"/>
                <w:lang w:eastAsia="en-ZA"/>
              </w:rPr>
              <w:t>Continental-wide distribution of crayfish species in Europe: update and maps</w:t>
            </w:r>
            <w:r>
              <w:rPr>
                <w:rFonts w:ascii="Times New Roman" w:eastAsia="Times New Roman" w:hAnsi="Times New Roman" w:cs="Times New Roman"/>
                <w:iCs/>
                <w:color w:val="000000"/>
                <w:sz w:val="20"/>
                <w:szCs w:val="20"/>
                <w:lang w:eastAsia="en-ZA"/>
              </w:rPr>
              <w:t xml:space="preserve">’, </w:t>
            </w:r>
            <w:r w:rsidRPr="00B62977">
              <w:rPr>
                <w:rFonts w:ascii="Times New Roman" w:eastAsia="Times New Roman" w:hAnsi="Times New Roman" w:cs="Times New Roman"/>
                <w:i/>
                <w:color w:val="000000"/>
                <w:sz w:val="20"/>
                <w:szCs w:val="20"/>
                <w:lang w:eastAsia="en-ZA"/>
              </w:rPr>
              <w:t>Knowledge and Management of Aquatic Ecosystems</w:t>
            </w:r>
            <w:r w:rsidRPr="00671CD3">
              <w:rPr>
                <w:rFonts w:ascii="Times New Roman" w:eastAsia="Times New Roman" w:hAnsi="Times New Roman" w:cs="Times New Roman"/>
                <w:iCs/>
                <w:color w:val="000000"/>
                <w:sz w:val="20"/>
                <w:szCs w:val="20"/>
                <w:lang w:eastAsia="en-ZA"/>
              </w:rPr>
              <w:t>, (413), 05.</w:t>
            </w:r>
            <w:r>
              <w:rPr>
                <w:rFonts w:ascii="Times New Roman" w:eastAsia="Times New Roman" w:hAnsi="Times New Roman" w:cs="Times New Roman"/>
                <w:iCs/>
                <w:color w:val="000000"/>
                <w:sz w:val="20"/>
                <w:szCs w:val="20"/>
                <w:lang w:eastAsia="en-ZA"/>
              </w:rPr>
              <w:t xml:space="preserve"> </w:t>
            </w:r>
            <w:hyperlink r:id="rId627" w:history="1">
              <w:r w:rsidRPr="00762F6F">
                <w:rPr>
                  <w:rStyle w:val="Hyperlink"/>
                  <w:rFonts w:ascii="Times New Roman" w:eastAsia="Times New Roman" w:hAnsi="Times New Roman" w:cs="Times New Roman"/>
                  <w:iCs/>
                  <w:sz w:val="20"/>
                  <w:szCs w:val="20"/>
                  <w:lang w:eastAsia="en-ZA"/>
                </w:rPr>
                <w:t>https://doi.org/10.1051/kmae/2014007</w:t>
              </w:r>
            </w:hyperlink>
            <w:r>
              <w:rPr>
                <w:rStyle w:val="Hyperlink"/>
                <w:rFonts w:ascii="Times New Roman" w:eastAsia="Times New Roman" w:hAnsi="Times New Roman" w:cs="Times New Roman"/>
                <w:iCs/>
                <w:sz w:val="20"/>
                <w:szCs w:val="20"/>
                <w:lang w:eastAsia="en-ZA"/>
              </w:rPr>
              <w:t>.</w:t>
            </w:r>
          </w:p>
          <w:p w14:paraId="6F0C1ACB"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 xml:space="preserve">Lipták, B., Mojžišová, M., Gruľa, D., Christophoryová, J., Jablonski, D., Bláha, M., </w:t>
            </w:r>
            <w:r w:rsidRPr="00153320">
              <w:rPr>
                <w:rFonts w:ascii="Times New Roman" w:eastAsia="Times New Roman" w:hAnsi="Times New Roman" w:cs="Times New Roman"/>
                <w:iCs/>
                <w:color w:val="000000"/>
                <w:sz w:val="20"/>
                <w:szCs w:val="20"/>
                <w:lang w:eastAsia="en-ZA"/>
              </w:rPr>
              <w:t>Petrusek, A.</w:t>
            </w:r>
            <w:r w:rsidRPr="00671CD3">
              <w:rPr>
                <w:rFonts w:ascii="Times New Roman" w:eastAsia="Times New Roman" w:hAnsi="Times New Roman" w:cs="Times New Roman"/>
                <w:iCs/>
                <w:color w:val="000000"/>
                <w:sz w:val="20"/>
                <w:szCs w:val="20"/>
                <w:lang w:eastAsia="en-ZA"/>
              </w:rPr>
              <w:t xml:space="preserve"> &amp; Kouba, A.</w:t>
            </w:r>
            <w:r>
              <w:rPr>
                <w:rFonts w:ascii="Times New Roman" w:eastAsia="Times New Roman" w:hAnsi="Times New Roman" w:cs="Times New Roman"/>
                <w:iCs/>
                <w:color w:val="000000"/>
                <w:sz w:val="20"/>
                <w:szCs w:val="20"/>
                <w:lang w:eastAsia="en-ZA"/>
              </w:rPr>
              <w:t xml:space="preserve"> </w:t>
            </w:r>
            <w:r w:rsidRPr="00671CD3">
              <w:rPr>
                <w:rFonts w:ascii="Times New Roman" w:eastAsia="Times New Roman" w:hAnsi="Times New Roman" w:cs="Times New Roman"/>
                <w:iCs/>
                <w:color w:val="000000"/>
                <w:sz w:val="20"/>
                <w:szCs w:val="20"/>
                <w:lang w:eastAsia="en-ZA"/>
              </w:rPr>
              <w:t>2017</w:t>
            </w:r>
            <w:r>
              <w:rPr>
                <w:rFonts w:ascii="Times New Roman" w:eastAsia="Times New Roman" w:hAnsi="Times New Roman" w:cs="Times New Roman"/>
                <w:iCs/>
                <w:color w:val="000000"/>
                <w:sz w:val="20"/>
                <w:szCs w:val="20"/>
                <w:lang w:eastAsia="en-ZA"/>
              </w:rPr>
              <w:t>, ‘</w:t>
            </w:r>
            <w:r w:rsidRPr="00671CD3">
              <w:rPr>
                <w:rFonts w:ascii="Times New Roman" w:eastAsia="Times New Roman" w:hAnsi="Times New Roman" w:cs="Times New Roman"/>
                <w:iCs/>
                <w:color w:val="000000"/>
                <w:sz w:val="20"/>
                <w:szCs w:val="20"/>
                <w:lang w:eastAsia="en-ZA"/>
              </w:rPr>
              <w:t xml:space="preserve">Slovak section of the Danube has its well-established breeding ground of marbled crayfish </w:t>
            </w:r>
            <w:r w:rsidRPr="002159BB">
              <w:rPr>
                <w:rFonts w:ascii="Times New Roman" w:eastAsia="Times New Roman" w:hAnsi="Times New Roman" w:cs="Times New Roman"/>
                <w:i/>
                <w:color w:val="000000"/>
                <w:sz w:val="20"/>
                <w:szCs w:val="20"/>
                <w:lang w:eastAsia="en-ZA"/>
              </w:rPr>
              <w:t>Procambarus fallax</w:t>
            </w:r>
            <w:r w:rsidRPr="00671CD3">
              <w:rPr>
                <w:rFonts w:ascii="Times New Roman" w:eastAsia="Times New Roman" w:hAnsi="Times New Roman" w:cs="Times New Roman"/>
                <w:iCs/>
                <w:color w:val="000000"/>
                <w:sz w:val="20"/>
                <w:szCs w:val="20"/>
                <w:lang w:eastAsia="en-ZA"/>
              </w:rPr>
              <w:t xml:space="preserve"> f. </w:t>
            </w:r>
            <w:r w:rsidRPr="002159BB">
              <w:rPr>
                <w:rFonts w:ascii="Times New Roman" w:eastAsia="Times New Roman" w:hAnsi="Times New Roman" w:cs="Times New Roman"/>
                <w:i/>
                <w:color w:val="000000"/>
                <w:sz w:val="20"/>
                <w:szCs w:val="20"/>
                <w:lang w:eastAsia="en-ZA"/>
              </w:rPr>
              <w:t>virginalis</w:t>
            </w:r>
            <w:r w:rsidRPr="00671CD3">
              <w:rPr>
                <w:rFonts w:ascii="Times New Roman" w:eastAsia="Times New Roman" w:hAnsi="Times New Roman" w:cs="Times New Roman"/>
                <w:iCs/>
                <w:color w:val="000000"/>
                <w:sz w:val="20"/>
                <w:szCs w:val="20"/>
                <w:lang w:eastAsia="en-ZA"/>
              </w:rPr>
              <w:t xml:space="preserve">. </w:t>
            </w:r>
            <w:r w:rsidRPr="00BE0C62">
              <w:rPr>
                <w:rFonts w:ascii="Times New Roman" w:eastAsia="Times New Roman" w:hAnsi="Times New Roman" w:cs="Times New Roman"/>
                <w:i/>
                <w:color w:val="000000"/>
                <w:sz w:val="20"/>
                <w:szCs w:val="20"/>
                <w:lang w:eastAsia="en-ZA"/>
              </w:rPr>
              <w:t>Knowledge &amp; Management of Aquatic Ecosystems</w:t>
            </w:r>
            <w:r w:rsidRPr="00671CD3">
              <w:rPr>
                <w:rFonts w:ascii="Times New Roman" w:eastAsia="Times New Roman" w:hAnsi="Times New Roman" w:cs="Times New Roman"/>
                <w:iCs/>
                <w:color w:val="000000"/>
                <w:sz w:val="20"/>
                <w:szCs w:val="20"/>
                <w:lang w:eastAsia="en-ZA"/>
              </w:rPr>
              <w:t>, (418), 40.</w:t>
            </w:r>
            <w:r>
              <w:rPr>
                <w:rFonts w:ascii="Times New Roman" w:eastAsia="Times New Roman" w:hAnsi="Times New Roman" w:cs="Times New Roman"/>
                <w:iCs/>
                <w:color w:val="000000"/>
                <w:sz w:val="20"/>
                <w:szCs w:val="20"/>
                <w:lang w:eastAsia="en-ZA"/>
              </w:rPr>
              <w:t xml:space="preserve"> </w:t>
            </w:r>
            <w:hyperlink r:id="rId628" w:history="1">
              <w:r w:rsidRPr="00762F6F">
                <w:rPr>
                  <w:rStyle w:val="Hyperlink"/>
                  <w:rFonts w:ascii="Times New Roman" w:eastAsia="Times New Roman" w:hAnsi="Times New Roman" w:cs="Times New Roman"/>
                  <w:iCs/>
                  <w:sz w:val="20"/>
                  <w:szCs w:val="20"/>
                  <w:lang w:eastAsia="en-ZA"/>
                </w:rPr>
                <w:t>https://doi.org/10.1051/kmae/2017029</w:t>
              </w:r>
            </w:hyperlink>
            <w:r>
              <w:rPr>
                <w:rStyle w:val="Hyperlink"/>
                <w:rFonts w:ascii="Times New Roman" w:eastAsia="Times New Roman" w:hAnsi="Times New Roman" w:cs="Times New Roman"/>
                <w:iCs/>
                <w:sz w:val="20"/>
                <w:szCs w:val="20"/>
                <w:lang w:eastAsia="en-ZA"/>
              </w:rPr>
              <w:t>.</w:t>
            </w:r>
            <w:r>
              <w:rPr>
                <w:rFonts w:ascii="Times New Roman" w:eastAsia="Times New Roman" w:hAnsi="Times New Roman" w:cs="Times New Roman"/>
                <w:iCs/>
                <w:color w:val="000000"/>
                <w:sz w:val="20"/>
                <w:szCs w:val="20"/>
                <w:lang w:eastAsia="en-ZA"/>
              </w:rPr>
              <w:t xml:space="preserve"> </w:t>
            </w:r>
          </w:p>
          <w:p w14:paraId="3E6CE178"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Lőkkös, A., Müller, T., Kovács, K., Várkonyi, L., Specziár, A., &amp; Martin, P. 2016</w:t>
            </w:r>
            <w:r>
              <w:rPr>
                <w:rFonts w:ascii="Times New Roman" w:eastAsia="Times New Roman" w:hAnsi="Times New Roman" w:cs="Times New Roman"/>
                <w:iCs/>
                <w:color w:val="000000"/>
                <w:sz w:val="20"/>
                <w:szCs w:val="20"/>
                <w:lang w:eastAsia="en-ZA"/>
              </w:rPr>
              <w:t>, ‘</w:t>
            </w:r>
            <w:r w:rsidRPr="00671CD3">
              <w:rPr>
                <w:rFonts w:ascii="Times New Roman" w:eastAsia="Times New Roman" w:hAnsi="Times New Roman" w:cs="Times New Roman"/>
                <w:iCs/>
                <w:color w:val="000000"/>
                <w:sz w:val="20"/>
                <w:szCs w:val="20"/>
                <w:lang w:eastAsia="en-ZA"/>
              </w:rPr>
              <w:t>The alien, parthenogenetic marbled crayfish (Decapoda: Cambaridae) is entering Kis-Balaton (Hungary), one of Europe's most important wetland biotopes</w:t>
            </w:r>
            <w:r>
              <w:rPr>
                <w:rFonts w:ascii="Times New Roman" w:eastAsia="Times New Roman" w:hAnsi="Times New Roman" w:cs="Times New Roman"/>
                <w:iCs/>
                <w:color w:val="000000"/>
                <w:sz w:val="20"/>
                <w:szCs w:val="20"/>
                <w:lang w:eastAsia="en-ZA"/>
              </w:rPr>
              <w:t xml:space="preserve">’, </w:t>
            </w:r>
            <w:r w:rsidRPr="00BF2130">
              <w:rPr>
                <w:rFonts w:ascii="Times New Roman" w:eastAsia="Times New Roman" w:hAnsi="Times New Roman" w:cs="Times New Roman"/>
                <w:i/>
                <w:color w:val="000000"/>
                <w:sz w:val="20"/>
                <w:szCs w:val="20"/>
                <w:lang w:eastAsia="en-ZA"/>
              </w:rPr>
              <w:t>Knowledge and Management of Aquatic Ecosystems</w:t>
            </w:r>
            <w:r w:rsidRPr="00671CD3">
              <w:rPr>
                <w:rFonts w:ascii="Times New Roman" w:eastAsia="Times New Roman" w:hAnsi="Times New Roman" w:cs="Times New Roman"/>
                <w:iCs/>
                <w:color w:val="000000"/>
                <w:sz w:val="20"/>
                <w:szCs w:val="20"/>
                <w:lang w:eastAsia="en-ZA"/>
              </w:rPr>
              <w:t>, (417), 16</w:t>
            </w:r>
            <w:r>
              <w:rPr>
                <w:rFonts w:ascii="Times New Roman" w:eastAsia="Times New Roman" w:hAnsi="Times New Roman" w:cs="Times New Roman"/>
                <w:iCs/>
                <w:color w:val="000000"/>
                <w:sz w:val="20"/>
                <w:szCs w:val="20"/>
                <w:lang w:eastAsia="en-ZA"/>
              </w:rPr>
              <w:t xml:space="preserve">. </w:t>
            </w:r>
            <w:hyperlink r:id="rId629" w:history="1">
              <w:r w:rsidRPr="00762F6F">
                <w:rPr>
                  <w:rStyle w:val="Hyperlink"/>
                  <w:rFonts w:ascii="Times New Roman" w:eastAsia="Times New Roman" w:hAnsi="Times New Roman" w:cs="Times New Roman"/>
                  <w:iCs/>
                  <w:sz w:val="20"/>
                  <w:szCs w:val="20"/>
                  <w:lang w:eastAsia="en-ZA"/>
                </w:rPr>
                <w:t>https://doi.org/10.1051/kmae/2016003</w:t>
              </w:r>
            </w:hyperlink>
            <w:r>
              <w:rPr>
                <w:rStyle w:val="Hyperlink"/>
                <w:rFonts w:ascii="Times New Roman" w:eastAsia="Times New Roman" w:hAnsi="Times New Roman" w:cs="Times New Roman"/>
                <w:iCs/>
                <w:sz w:val="20"/>
                <w:szCs w:val="20"/>
                <w:lang w:eastAsia="en-ZA"/>
              </w:rPr>
              <w:t>.</w:t>
            </w:r>
          </w:p>
          <w:p w14:paraId="72129F05"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Maguire, I., Klobučar, G., Žganec, K., Jelić, M., Lucić, A., &amp; Hudina, S. 2018</w:t>
            </w:r>
            <w:r>
              <w:rPr>
                <w:rFonts w:ascii="Times New Roman" w:eastAsia="Times New Roman" w:hAnsi="Times New Roman" w:cs="Times New Roman"/>
                <w:iCs/>
                <w:color w:val="000000"/>
                <w:sz w:val="20"/>
                <w:szCs w:val="20"/>
                <w:lang w:eastAsia="en-ZA"/>
              </w:rPr>
              <w:t>. ‘</w:t>
            </w:r>
            <w:r w:rsidRPr="00671CD3">
              <w:rPr>
                <w:rFonts w:ascii="Times New Roman" w:eastAsia="Times New Roman" w:hAnsi="Times New Roman" w:cs="Times New Roman"/>
                <w:iCs/>
                <w:color w:val="000000"/>
                <w:sz w:val="20"/>
                <w:szCs w:val="20"/>
                <w:lang w:eastAsia="en-ZA"/>
              </w:rPr>
              <w:t>Recent changes in distribution pattern of freshwater crayfish in Croatia− threats and perspectives</w:t>
            </w:r>
            <w:r>
              <w:rPr>
                <w:rFonts w:ascii="Times New Roman" w:eastAsia="Times New Roman" w:hAnsi="Times New Roman" w:cs="Times New Roman"/>
                <w:iCs/>
                <w:color w:val="000000"/>
                <w:sz w:val="20"/>
                <w:szCs w:val="20"/>
                <w:lang w:eastAsia="en-ZA"/>
              </w:rPr>
              <w:t xml:space="preserve">’, </w:t>
            </w:r>
            <w:r w:rsidRPr="00AA083F">
              <w:rPr>
                <w:rFonts w:ascii="Times New Roman" w:eastAsia="Times New Roman" w:hAnsi="Times New Roman" w:cs="Times New Roman"/>
                <w:i/>
                <w:color w:val="000000"/>
                <w:sz w:val="20"/>
                <w:szCs w:val="20"/>
                <w:lang w:eastAsia="en-ZA"/>
              </w:rPr>
              <w:t>Knowledge &amp; Management of Aquatic Ecosystems</w:t>
            </w:r>
            <w:r w:rsidRPr="00671CD3">
              <w:rPr>
                <w:rFonts w:ascii="Times New Roman" w:eastAsia="Times New Roman" w:hAnsi="Times New Roman" w:cs="Times New Roman"/>
                <w:iCs/>
                <w:color w:val="000000"/>
                <w:sz w:val="20"/>
                <w:szCs w:val="20"/>
                <w:lang w:eastAsia="en-ZA"/>
              </w:rPr>
              <w:t>, (419), 2.</w:t>
            </w:r>
            <w:r>
              <w:rPr>
                <w:rFonts w:ascii="Times New Roman" w:eastAsia="Times New Roman" w:hAnsi="Times New Roman" w:cs="Times New Roman"/>
                <w:iCs/>
                <w:color w:val="000000"/>
                <w:sz w:val="20"/>
                <w:szCs w:val="20"/>
                <w:lang w:eastAsia="en-ZA"/>
              </w:rPr>
              <w:t xml:space="preserve"> </w:t>
            </w:r>
            <w:hyperlink r:id="rId630" w:history="1">
              <w:r w:rsidRPr="00762F6F">
                <w:rPr>
                  <w:rStyle w:val="Hyperlink"/>
                  <w:rFonts w:ascii="Times New Roman" w:eastAsia="Times New Roman" w:hAnsi="Times New Roman" w:cs="Times New Roman"/>
                  <w:iCs/>
                  <w:sz w:val="20"/>
                  <w:szCs w:val="20"/>
                  <w:lang w:eastAsia="en-ZA"/>
                </w:rPr>
                <w:t>https://doi.org/10.1051/kmae/2017053</w:t>
              </w:r>
            </w:hyperlink>
            <w:r>
              <w:rPr>
                <w:rFonts w:ascii="Times New Roman" w:eastAsia="Times New Roman" w:hAnsi="Times New Roman" w:cs="Times New Roman"/>
                <w:iCs/>
                <w:color w:val="000000"/>
                <w:sz w:val="20"/>
                <w:szCs w:val="20"/>
                <w:lang w:eastAsia="en-ZA"/>
              </w:rPr>
              <w:t xml:space="preserve"> </w:t>
            </w:r>
          </w:p>
          <w:p w14:paraId="4F6B6845"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Novitsky, R. A., &amp; Son, M. O. 2016</w:t>
            </w:r>
            <w:r>
              <w:rPr>
                <w:rFonts w:ascii="Times New Roman" w:eastAsia="Times New Roman" w:hAnsi="Times New Roman" w:cs="Times New Roman"/>
                <w:iCs/>
                <w:color w:val="000000"/>
                <w:sz w:val="20"/>
                <w:szCs w:val="20"/>
                <w:lang w:eastAsia="en-ZA"/>
              </w:rPr>
              <w:t>, ‘</w:t>
            </w:r>
            <w:r w:rsidRPr="00671CD3">
              <w:rPr>
                <w:rFonts w:ascii="Times New Roman" w:eastAsia="Times New Roman" w:hAnsi="Times New Roman" w:cs="Times New Roman"/>
                <w:iCs/>
                <w:color w:val="000000"/>
                <w:sz w:val="20"/>
                <w:szCs w:val="20"/>
                <w:lang w:eastAsia="en-ZA"/>
              </w:rPr>
              <w:t>The first records of Marmorkrebs [</w:t>
            </w:r>
            <w:r w:rsidRPr="00763F64">
              <w:rPr>
                <w:rFonts w:ascii="Times New Roman" w:eastAsia="Times New Roman" w:hAnsi="Times New Roman" w:cs="Times New Roman"/>
                <w:i/>
                <w:color w:val="000000"/>
                <w:sz w:val="20"/>
                <w:szCs w:val="20"/>
                <w:lang w:eastAsia="en-ZA"/>
              </w:rPr>
              <w:t>Procambarus fallax</w:t>
            </w:r>
            <w:r w:rsidRPr="00671CD3">
              <w:rPr>
                <w:rFonts w:ascii="Times New Roman" w:eastAsia="Times New Roman" w:hAnsi="Times New Roman" w:cs="Times New Roman"/>
                <w:iCs/>
                <w:color w:val="000000"/>
                <w:sz w:val="20"/>
                <w:szCs w:val="20"/>
                <w:lang w:eastAsia="en-ZA"/>
              </w:rPr>
              <w:t xml:space="preserve"> (Hagen, 1870) f. </w:t>
            </w:r>
            <w:r w:rsidRPr="00763F64">
              <w:rPr>
                <w:rFonts w:ascii="Times New Roman" w:eastAsia="Times New Roman" w:hAnsi="Times New Roman" w:cs="Times New Roman"/>
                <w:i/>
                <w:color w:val="000000"/>
                <w:sz w:val="20"/>
                <w:szCs w:val="20"/>
                <w:lang w:eastAsia="en-ZA"/>
              </w:rPr>
              <w:t>virginalis</w:t>
            </w:r>
            <w:r w:rsidRPr="00671CD3">
              <w:rPr>
                <w:rFonts w:ascii="Times New Roman" w:eastAsia="Times New Roman" w:hAnsi="Times New Roman" w:cs="Times New Roman"/>
                <w:iCs/>
                <w:color w:val="000000"/>
                <w:sz w:val="20"/>
                <w:szCs w:val="20"/>
                <w:lang w:eastAsia="en-ZA"/>
              </w:rPr>
              <w:t xml:space="preserve">](Crustacea, Decapoda, Cambaridae) in Ukraine. </w:t>
            </w:r>
            <w:r w:rsidRPr="00763F64">
              <w:rPr>
                <w:rFonts w:ascii="Times New Roman" w:eastAsia="Times New Roman" w:hAnsi="Times New Roman" w:cs="Times New Roman"/>
                <w:i/>
                <w:color w:val="000000"/>
                <w:sz w:val="20"/>
                <w:szCs w:val="20"/>
                <w:lang w:eastAsia="en-ZA"/>
              </w:rPr>
              <w:t>Ecologica Montenegrina</w:t>
            </w:r>
            <w:r w:rsidRPr="00671CD3">
              <w:rPr>
                <w:rFonts w:ascii="Times New Roman" w:eastAsia="Times New Roman" w:hAnsi="Times New Roman" w:cs="Times New Roman"/>
                <w:iCs/>
                <w:color w:val="000000"/>
                <w:sz w:val="20"/>
                <w:szCs w:val="20"/>
                <w:lang w:eastAsia="en-ZA"/>
              </w:rPr>
              <w:t>, 5, 44-46.</w:t>
            </w:r>
            <w:r>
              <w:rPr>
                <w:rFonts w:ascii="Times New Roman" w:eastAsia="Times New Roman" w:hAnsi="Times New Roman" w:cs="Times New Roman"/>
                <w:iCs/>
                <w:color w:val="000000"/>
                <w:sz w:val="20"/>
                <w:szCs w:val="20"/>
                <w:lang w:eastAsia="en-ZA"/>
              </w:rPr>
              <w:t xml:space="preserve"> </w:t>
            </w:r>
            <w:hyperlink r:id="rId631" w:history="1">
              <w:r w:rsidRPr="00762F6F">
                <w:rPr>
                  <w:rStyle w:val="Hyperlink"/>
                  <w:rFonts w:ascii="Times New Roman" w:eastAsia="Times New Roman" w:hAnsi="Times New Roman" w:cs="Times New Roman"/>
                  <w:iCs/>
                  <w:sz w:val="20"/>
                  <w:szCs w:val="20"/>
                  <w:lang w:eastAsia="en-ZA"/>
                </w:rPr>
                <w:t>https://doi.org/10.37828/em.2016.5.8</w:t>
              </w:r>
            </w:hyperlink>
            <w:r>
              <w:rPr>
                <w:rStyle w:val="Hyperlink"/>
                <w:rFonts w:ascii="Times New Roman" w:eastAsia="Times New Roman" w:hAnsi="Times New Roman" w:cs="Times New Roman"/>
                <w:iCs/>
                <w:sz w:val="20"/>
                <w:szCs w:val="20"/>
                <w:lang w:eastAsia="en-ZA"/>
              </w:rPr>
              <w:t>.</w:t>
            </w:r>
            <w:r>
              <w:rPr>
                <w:rFonts w:ascii="Times New Roman" w:eastAsia="Times New Roman" w:hAnsi="Times New Roman" w:cs="Times New Roman"/>
                <w:iCs/>
                <w:color w:val="000000"/>
                <w:sz w:val="20"/>
                <w:szCs w:val="20"/>
                <w:lang w:eastAsia="en-ZA"/>
              </w:rPr>
              <w:t xml:space="preserve"> </w:t>
            </w:r>
          </w:p>
          <w:p w14:paraId="668BF6CE"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Pârvulescu, L., Togor, A., Lele, S. F., Scheu, S., Șinca, D., &amp; Panteleit, J. 2017</w:t>
            </w:r>
            <w:r>
              <w:rPr>
                <w:rFonts w:ascii="Times New Roman" w:eastAsia="Times New Roman" w:hAnsi="Times New Roman" w:cs="Times New Roman"/>
                <w:iCs/>
                <w:color w:val="000000"/>
                <w:sz w:val="20"/>
                <w:szCs w:val="20"/>
                <w:lang w:eastAsia="en-ZA"/>
              </w:rPr>
              <w:t>, ‘</w:t>
            </w:r>
            <w:r w:rsidRPr="00671CD3">
              <w:rPr>
                <w:rFonts w:ascii="Times New Roman" w:eastAsia="Times New Roman" w:hAnsi="Times New Roman" w:cs="Times New Roman"/>
                <w:iCs/>
                <w:color w:val="000000"/>
                <w:sz w:val="20"/>
                <w:szCs w:val="20"/>
                <w:lang w:eastAsia="en-ZA"/>
              </w:rPr>
              <w:t xml:space="preserve">First established population of marbled crayfish </w:t>
            </w:r>
            <w:r w:rsidRPr="00F63FB3">
              <w:rPr>
                <w:rFonts w:ascii="Times New Roman" w:eastAsia="Times New Roman" w:hAnsi="Times New Roman" w:cs="Times New Roman"/>
                <w:i/>
                <w:color w:val="000000"/>
                <w:sz w:val="20"/>
                <w:szCs w:val="20"/>
                <w:lang w:eastAsia="en-ZA"/>
              </w:rPr>
              <w:t>Procambarus fallax</w:t>
            </w:r>
            <w:r w:rsidRPr="00671CD3">
              <w:rPr>
                <w:rFonts w:ascii="Times New Roman" w:eastAsia="Times New Roman" w:hAnsi="Times New Roman" w:cs="Times New Roman"/>
                <w:iCs/>
                <w:color w:val="000000"/>
                <w:sz w:val="20"/>
                <w:szCs w:val="20"/>
                <w:lang w:eastAsia="en-ZA"/>
              </w:rPr>
              <w:t xml:space="preserve"> (Hagen, 1870) f. </w:t>
            </w:r>
            <w:r w:rsidRPr="00F63FB3">
              <w:rPr>
                <w:rFonts w:ascii="Times New Roman" w:eastAsia="Times New Roman" w:hAnsi="Times New Roman" w:cs="Times New Roman"/>
                <w:i/>
                <w:color w:val="000000"/>
                <w:sz w:val="20"/>
                <w:szCs w:val="20"/>
                <w:lang w:eastAsia="en-ZA"/>
              </w:rPr>
              <w:t>virginalis</w:t>
            </w:r>
            <w:r w:rsidRPr="00671CD3">
              <w:rPr>
                <w:rFonts w:ascii="Times New Roman" w:eastAsia="Times New Roman" w:hAnsi="Times New Roman" w:cs="Times New Roman"/>
                <w:iCs/>
                <w:color w:val="000000"/>
                <w:sz w:val="20"/>
                <w:szCs w:val="20"/>
                <w:lang w:eastAsia="en-ZA"/>
              </w:rPr>
              <w:t xml:space="preserve"> (Decapoda, Cambaridae) in Romania. BioInvasions Record, 6(4).</w:t>
            </w:r>
            <w:r>
              <w:rPr>
                <w:rFonts w:ascii="Times New Roman" w:eastAsia="Times New Roman" w:hAnsi="Times New Roman" w:cs="Times New Roman"/>
                <w:iCs/>
                <w:color w:val="000000"/>
                <w:sz w:val="20"/>
                <w:szCs w:val="20"/>
                <w:lang w:eastAsia="en-ZA"/>
              </w:rPr>
              <w:t xml:space="preserve"> </w:t>
            </w:r>
            <w:hyperlink r:id="rId632" w:history="1">
              <w:r w:rsidRPr="00762F6F">
                <w:rPr>
                  <w:rStyle w:val="Hyperlink"/>
                  <w:rFonts w:ascii="Times New Roman" w:eastAsia="Times New Roman" w:hAnsi="Times New Roman" w:cs="Times New Roman"/>
                  <w:iCs/>
                  <w:sz w:val="20"/>
                  <w:szCs w:val="20"/>
                  <w:lang w:eastAsia="en-ZA"/>
                </w:rPr>
                <w:t>https://doi.org/10.3391/bir.2017.6.4.09</w:t>
              </w:r>
            </w:hyperlink>
            <w:r>
              <w:rPr>
                <w:rStyle w:val="Hyperlink"/>
                <w:rFonts w:ascii="Times New Roman" w:eastAsia="Times New Roman" w:hAnsi="Times New Roman" w:cs="Times New Roman"/>
                <w:iCs/>
                <w:sz w:val="20"/>
                <w:szCs w:val="20"/>
                <w:lang w:eastAsia="en-ZA"/>
              </w:rPr>
              <w:t>.</w:t>
            </w:r>
            <w:r>
              <w:rPr>
                <w:rFonts w:ascii="Times New Roman" w:eastAsia="Times New Roman" w:hAnsi="Times New Roman" w:cs="Times New Roman"/>
                <w:iCs/>
                <w:color w:val="000000"/>
                <w:sz w:val="20"/>
                <w:szCs w:val="20"/>
                <w:lang w:eastAsia="en-ZA"/>
              </w:rPr>
              <w:t xml:space="preserve"> </w:t>
            </w:r>
          </w:p>
          <w:p w14:paraId="22883194"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Patoka, J., Petrtýl, M., &amp; Kalous, L.</w:t>
            </w:r>
            <w:r>
              <w:rPr>
                <w:rFonts w:ascii="Times New Roman" w:eastAsia="Times New Roman" w:hAnsi="Times New Roman" w:cs="Times New Roman"/>
                <w:iCs/>
                <w:color w:val="000000"/>
                <w:sz w:val="20"/>
                <w:szCs w:val="20"/>
                <w:lang w:eastAsia="en-ZA"/>
              </w:rPr>
              <w:t xml:space="preserve"> </w:t>
            </w:r>
            <w:r w:rsidRPr="00671CD3">
              <w:rPr>
                <w:rFonts w:ascii="Times New Roman" w:eastAsia="Times New Roman" w:hAnsi="Times New Roman" w:cs="Times New Roman"/>
                <w:iCs/>
                <w:color w:val="000000"/>
                <w:sz w:val="20"/>
                <w:szCs w:val="20"/>
                <w:lang w:eastAsia="en-ZA"/>
              </w:rPr>
              <w:t>2014</w:t>
            </w:r>
            <w:r>
              <w:rPr>
                <w:rFonts w:ascii="Times New Roman" w:eastAsia="Times New Roman" w:hAnsi="Times New Roman" w:cs="Times New Roman"/>
                <w:iCs/>
                <w:color w:val="000000"/>
                <w:sz w:val="20"/>
                <w:szCs w:val="20"/>
                <w:lang w:eastAsia="en-ZA"/>
              </w:rPr>
              <w:t>, ‘</w:t>
            </w:r>
            <w:r w:rsidRPr="00671CD3">
              <w:rPr>
                <w:rFonts w:ascii="Times New Roman" w:eastAsia="Times New Roman" w:hAnsi="Times New Roman" w:cs="Times New Roman"/>
                <w:iCs/>
                <w:color w:val="000000"/>
                <w:sz w:val="20"/>
                <w:szCs w:val="20"/>
                <w:lang w:eastAsia="en-ZA"/>
              </w:rPr>
              <w:t xml:space="preserve">Garden ponds as potential introduction pathway of ornamental crayfish. </w:t>
            </w:r>
            <w:r w:rsidRPr="00BF2130">
              <w:rPr>
                <w:rFonts w:ascii="Times New Roman" w:eastAsia="Times New Roman" w:hAnsi="Times New Roman" w:cs="Times New Roman"/>
                <w:i/>
                <w:color w:val="000000"/>
                <w:sz w:val="20"/>
                <w:szCs w:val="20"/>
                <w:lang w:eastAsia="en-ZA"/>
              </w:rPr>
              <w:t>Knowledge and Management of Aquatic Ecosystems</w:t>
            </w:r>
            <w:r w:rsidRPr="00671CD3">
              <w:rPr>
                <w:rFonts w:ascii="Times New Roman" w:eastAsia="Times New Roman" w:hAnsi="Times New Roman" w:cs="Times New Roman"/>
                <w:iCs/>
                <w:color w:val="000000"/>
                <w:sz w:val="20"/>
                <w:szCs w:val="20"/>
                <w:lang w:eastAsia="en-ZA"/>
              </w:rPr>
              <w:t>, (414), 13.</w:t>
            </w:r>
            <w:r>
              <w:rPr>
                <w:rFonts w:ascii="Times New Roman" w:eastAsia="Times New Roman" w:hAnsi="Times New Roman" w:cs="Times New Roman"/>
                <w:iCs/>
                <w:color w:val="000000"/>
                <w:sz w:val="20"/>
                <w:szCs w:val="20"/>
                <w:lang w:eastAsia="en-ZA"/>
              </w:rPr>
              <w:t xml:space="preserve"> </w:t>
            </w:r>
            <w:hyperlink r:id="rId633" w:history="1">
              <w:r w:rsidRPr="00762F6F">
                <w:rPr>
                  <w:rStyle w:val="Hyperlink"/>
                  <w:rFonts w:ascii="Times New Roman" w:eastAsia="Times New Roman" w:hAnsi="Times New Roman" w:cs="Times New Roman"/>
                  <w:iCs/>
                  <w:sz w:val="20"/>
                  <w:szCs w:val="20"/>
                  <w:lang w:eastAsia="en-ZA"/>
                </w:rPr>
                <w:t>https://doi.org/10.1051/kmae/2014019</w:t>
              </w:r>
            </w:hyperlink>
            <w:r>
              <w:rPr>
                <w:rStyle w:val="Hyperlink"/>
                <w:rFonts w:ascii="Times New Roman" w:eastAsia="Times New Roman" w:hAnsi="Times New Roman" w:cs="Times New Roman"/>
                <w:iCs/>
                <w:sz w:val="20"/>
                <w:szCs w:val="20"/>
                <w:lang w:eastAsia="en-ZA"/>
              </w:rPr>
              <w:t>.</w:t>
            </w:r>
          </w:p>
          <w:p w14:paraId="5DE2AE17"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Soes</w:t>
            </w:r>
            <w:r>
              <w:rPr>
                <w:rFonts w:ascii="Times New Roman" w:eastAsia="Times New Roman" w:hAnsi="Times New Roman" w:cs="Times New Roman"/>
                <w:iCs/>
                <w:color w:val="000000"/>
                <w:sz w:val="20"/>
                <w:szCs w:val="20"/>
                <w:lang w:eastAsia="en-ZA"/>
              </w:rPr>
              <w:t>,</w:t>
            </w:r>
            <w:r w:rsidRPr="00671CD3">
              <w:rPr>
                <w:rFonts w:ascii="Times New Roman" w:eastAsia="Times New Roman" w:hAnsi="Times New Roman" w:cs="Times New Roman"/>
                <w:iCs/>
                <w:color w:val="000000"/>
                <w:sz w:val="20"/>
                <w:szCs w:val="20"/>
                <w:lang w:eastAsia="en-ZA"/>
              </w:rPr>
              <w:t xml:space="preserve"> M</w:t>
            </w:r>
            <w:r>
              <w:rPr>
                <w:rFonts w:ascii="Times New Roman" w:eastAsia="Times New Roman" w:hAnsi="Times New Roman" w:cs="Times New Roman"/>
                <w:iCs/>
                <w:color w:val="000000"/>
                <w:sz w:val="20"/>
                <w:szCs w:val="20"/>
                <w:lang w:eastAsia="en-ZA"/>
              </w:rPr>
              <w:t xml:space="preserve">. &amp; </w:t>
            </w:r>
            <w:r w:rsidRPr="00671CD3">
              <w:rPr>
                <w:rFonts w:ascii="Times New Roman" w:eastAsia="Times New Roman" w:hAnsi="Times New Roman" w:cs="Times New Roman"/>
                <w:iCs/>
                <w:color w:val="000000"/>
                <w:sz w:val="20"/>
                <w:szCs w:val="20"/>
                <w:lang w:eastAsia="en-ZA"/>
              </w:rPr>
              <w:t>Koese</w:t>
            </w:r>
            <w:r>
              <w:rPr>
                <w:rFonts w:ascii="Times New Roman" w:eastAsia="Times New Roman" w:hAnsi="Times New Roman" w:cs="Times New Roman"/>
                <w:iCs/>
                <w:color w:val="000000"/>
                <w:sz w:val="20"/>
                <w:szCs w:val="20"/>
                <w:lang w:eastAsia="en-ZA"/>
              </w:rPr>
              <w:t>,</w:t>
            </w:r>
            <w:r w:rsidRPr="00671CD3">
              <w:rPr>
                <w:rFonts w:ascii="Times New Roman" w:eastAsia="Times New Roman" w:hAnsi="Times New Roman" w:cs="Times New Roman"/>
                <w:iCs/>
                <w:color w:val="000000"/>
                <w:sz w:val="20"/>
                <w:szCs w:val="20"/>
                <w:lang w:eastAsia="en-ZA"/>
              </w:rPr>
              <w:t xml:space="preserve"> B. 2010</w:t>
            </w:r>
            <w:r>
              <w:rPr>
                <w:rFonts w:ascii="Times New Roman" w:eastAsia="Times New Roman" w:hAnsi="Times New Roman" w:cs="Times New Roman"/>
                <w:iCs/>
                <w:color w:val="000000"/>
                <w:sz w:val="20"/>
                <w:szCs w:val="20"/>
                <w:lang w:eastAsia="en-ZA"/>
              </w:rPr>
              <w:t>, ‘</w:t>
            </w:r>
            <w:r w:rsidRPr="00671CD3">
              <w:rPr>
                <w:rFonts w:ascii="Times New Roman" w:eastAsia="Times New Roman" w:hAnsi="Times New Roman" w:cs="Times New Roman"/>
                <w:iCs/>
                <w:color w:val="000000"/>
                <w:sz w:val="20"/>
                <w:szCs w:val="20"/>
                <w:lang w:eastAsia="en-ZA"/>
              </w:rPr>
              <w:t>Invasive freshwater crayfish in the Netherlands: a preliminary risk analysis. Invasive freshwater crayfish in the Netherlands: a preliminary risk analysis</w:t>
            </w:r>
            <w:r>
              <w:rPr>
                <w:rFonts w:ascii="Times New Roman" w:eastAsia="Times New Roman" w:hAnsi="Times New Roman" w:cs="Times New Roman"/>
                <w:iCs/>
                <w:color w:val="000000"/>
                <w:sz w:val="20"/>
                <w:szCs w:val="20"/>
                <w:lang w:eastAsia="en-ZA"/>
              </w:rPr>
              <w:t>’</w:t>
            </w:r>
            <w:r w:rsidRPr="00671CD3">
              <w:rPr>
                <w:rFonts w:ascii="Times New Roman" w:eastAsia="Times New Roman" w:hAnsi="Times New Roman" w:cs="Times New Roman"/>
                <w:iCs/>
                <w:color w:val="000000"/>
                <w:sz w:val="20"/>
                <w:szCs w:val="20"/>
                <w:lang w:eastAsia="en-ZA"/>
              </w:rPr>
              <w:t>.</w:t>
            </w:r>
            <w:r>
              <w:rPr>
                <w:rFonts w:ascii="Times New Roman" w:eastAsia="Times New Roman" w:hAnsi="Times New Roman" w:cs="Times New Roman"/>
                <w:iCs/>
                <w:color w:val="000000"/>
                <w:sz w:val="20"/>
                <w:szCs w:val="20"/>
                <w:lang w:eastAsia="en-ZA"/>
              </w:rPr>
              <w:t xml:space="preserve"> </w:t>
            </w:r>
          </w:p>
          <w:p w14:paraId="5C3D9274" w14:textId="77777777" w:rsidR="002D7080" w:rsidRPr="004D1E6F"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Uderbayev, T., Patoka, J., Beisembayev, R., Petrtýl, M., Bláha, M., &amp; Kouba, A. 2017</w:t>
            </w:r>
            <w:r>
              <w:rPr>
                <w:rFonts w:ascii="Times New Roman" w:eastAsia="Times New Roman" w:hAnsi="Times New Roman" w:cs="Times New Roman"/>
                <w:iCs/>
                <w:color w:val="000000"/>
                <w:sz w:val="20"/>
                <w:szCs w:val="20"/>
                <w:lang w:eastAsia="en-ZA"/>
              </w:rPr>
              <w:t>, ‘</w:t>
            </w:r>
            <w:r w:rsidRPr="00671CD3">
              <w:rPr>
                <w:rFonts w:ascii="Times New Roman" w:eastAsia="Times New Roman" w:hAnsi="Times New Roman" w:cs="Times New Roman"/>
                <w:iCs/>
                <w:color w:val="000000"/>
                <w:sz w:val="20"/>
                <w:szCs w:val="20"/>
                <w:lang w:eastAsia="en-ZA"/>
              </w:rPr>
              <w:t xml:space="preserve">Risk assessment of pet-traded decapod crustaceans in the Republic of Kazakhstan, the leading country in Central Asia. </w:t>
            </w:r>
            <w:r w:rsidRPr="008E05CD">
              <w:rPr>
                <w:rFonts w:ascii="Times New Roman" w:eastAsia="Times New Roman" w:hAnsi="Times New Roman" w:cs="Times New Roman"/>
                <w:i/>
                <w:color w:val="000000"/>
                <w:sz w:val="20"/>
                <w:szCs w:val="20"/>
                <w:lang w:eastAsia="en-ZA"/>
              </w:rPr>
              <w:t>Knowledge &amp; Management of Aquatic Ecosystems</w:t>
            </w:r>
            <w:r w:rsidRPr="00671CD3">
              <w:rPr>
                <w:rFonts w:ascii="Times New Roman" w:eastAsia="Times New Roman" w:hAnsi="Times New Roman" w:cs="Times New Roman"/>
                <w:iCs/>
                <w:color w:val="000000"/>
                <w:sz w:val="20"/>
                <w:szCs w:val="20"/>
                <w:lang w:eastAsia="en-ZA"/>
              </w:rPr>
              <w:t>, (418), 30.</w:t>
            </w:r>
            <w:r>
              <w:rPr>
                <w:rFonts w:ascii="Times New Roman" w:eastAsia="Times New Roman" w:hAnsi="Times New Roman" w:cs="Times New Roman"/>
                <w:iCs/>
                <w:color w:val="000000"/>
                <w:sz w:val="20"/>
                <w:szCs w:val="20"/>
                <w:lang w:eastAsia="en-ZA"/>
              </w:rPr>
              <w:t xml:space="preserve"> </w:t>
            </w:r>
            <w:hyperlink r:id="rId634" w:history="1">
              <w:r w:rsidRPr="00762F6F">
                <w:rPr>
                  <w:rStyle w:val="Hyperlink"/>
                  <w:rFonts w:ascii="Times New Roman" w:eastAsia="Times New Roman" w:hAnsi="Times New Roman" w:cs="Times New Roman"/>
                  <w:iCs/>
                  <w:sz w:val="20"/>
                  <w:szCs w:val="20"/>
                  <w:lang w:eastAsia="en-ZA"/>
                </w:rPr>
                <w:t>https://doi.org/10.1051/kmae/2017018</w:t>
              </w:r>
            </w:hyperlink>
            <w:r>
              <w:rPr>
                <w:rFonts w:ascii="Times New Roman" w:eastAsia="Times New Roman" w:hAnsi="Times New Roman" w:cs="Times New Roman"/>
                <w:iCs/>
                <w:color w:val="000000"/>
                <w:sz w:val="20"/>
                <w:szCs w:val="20"/>
                <w:lang w:eastAsia="en-ZA"/>
              </w:rPr>
              <w:t xml:space="preserve"> </w:t>
            </w:r>
          </w:p>
        </w:tc>
      </w:tr>
      <w:tr w:rsidR="002D7080" w:rsidRPr="004D1E6F" w14:paraId="23FDD294" w14:textId="77777777" w:rsidTr="002E2C37">
        <w:trPr>
          <w:cantSplit/>
          <w:trHeight w:val="188"/>
        </w:trPr>
        <w:tc>
          <w:tcPr>
            <w:tcW w:w="9064"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23C7268"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lastRenderedPageBreak/>
              <w:t xml:space="preserve">BAC9 Geographic scope =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 xml:space="preserve"> under consideration</w:t>
            </w:r>
          </w:p>
        </w:tc>
      </w:tr>
      <w:tr w:rsidR="002D7080" w:rsidRPr="004D1E6F" w14:paraId="7C94EBFD" w14:textId="77777777" w:rsidTr="002E2C37">
        <w:trPr>
          <w:cantSplit/>
          <w:trHeight w:val="215"/>
        </w:trPr>
        <w:tc>
          <w:tcPr>
            <w:tcW w:w="9064" w:type="dxa"/>
            <w:gridSpan w:val="4"/>
            <w:tcBorders>
              <w:top w:val="single" w:sz="4" w:space="0" w:color="auto"/>
              <w:left w:val="single" w:sz="4" w:space="0" w:color="auto"/>
              <w:bottom w:val="single" w:sz="4" w:space="0" w:color="auto"/>
              <w:right w:val="single" w:sz="4" w:space="0" w:color="auto"/>
            </w:tcBorders>
            <w:noWrap/>
          </w:tcPr>
          <w:p w14:paraId="5B844697"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Area</w:t>
            </w:r>
            <w:r w:rsidRPr="004D1E6F">
              <w:rPr>
                <w:rFonts w:ascii="Times New Roman" w:eastAsia="Times New Roman" w:hAnsi="Times New Roman" w:cs="Times New Roman"/>
                <w:color w:val="000000"/>
                <w:sz w:val="20"/>
                <w:szCs w:val="20"/>
                <w:lang w:eastAsia="en-ZA"/>
              </w:rPr>
              <w:t xml:space="preserve"> of assessment: South Africa</w:t>
            </w:r>
          </w:p>
        </w:tc>
      </w:tr>
      <w:tr w:rsidR="002D7080" w:rsidRPr="004D1E6F" w14:paraId="2172DDF9" w14:textId="77777777" w:rsidTr="002E2C37">
        <w:trPr>
          <w:cantSplit/>
          <w:trHeight w:val="242"/>
        </w:trPr>
        <w:tc>
          <w:tcPr>
            <w:tcW w:w="9064" w:type="dxa"/>
            <w:gridSpan w:val="4"/>
            <w:tcBorders>
              <w:top w:val="single" w:sz="4" w:space="0" w:color="auto"/>
              <w:left w:val="single" w:sz="4" w:space="0" w:color="auto"/>
              <w:bottom w:val="single" w:sz="4" w:space="0" w:color="auto"/>
              <w:right w:val="single" w:sz="4" w:space="0" w:color="auto"/>
            </w:tcBorders>
            <w:noWrap/>
          </w:tcPr>
          <w:p w14:paraId="782E40A4"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The geograhic scope of the assessment is limited to South Africa </w:t>
            </w:r>
          </w:p>
        </w:tc>
      </w:tr>
      <w:tr w:rsidR="002D7080" w:rsidRPr="004D1E6F" w14:paraId="5EFA9DE8" w14:textId="77777777" w:rsidTr="002E2C37">
        <w:trPr>
          <w:cantSplit/>
          <w:trHeight w:val="260"/>
        </w:trPr>
        <w:tc>
          <w:tcPr>
            <w:tcW w:w="9064"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EBA5FD0" w14:textId="77777777" w:rsidR="002D7080" w:rsidRPr="004D1E6F" w:rsidRDefault="002D7080" w:rsidP="00A96F79">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BAC10 Is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present in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w:t>
            </w:r>
          </w:p>
        </w:tc>
      </w:tr>
      <w:tr w:rsidR="002D7080" w:rsidRPr="004D1E6F" w14:paraId="5F1547CE" w14:textId="77777777" w:rsidTr="002E2C37">
        <w:trPr>
          <w:cantSplit/>
          <w:trHeight w:val="260"/>
        </w:trPr>
        <w:tc>
          <w:tcPr>
            <w:tcW w:w="4463" w:type="dxa"/>
            <w:gridSpan w:val="3"/>
            <w:tcBorders>
              <w:top w:val="single" w:sz="4" w:space="0" w:color="auto"/>
              <w:left w:val="single" w:sz="4" w:space="0" w:color="auto"/>
              <w:bottom w:val="single" w:sz="4" w:space="0" w:color="auto"/>
              <w:right w:val="single" w:sz="4" w:space="0" w:color="auto"/>
            </w:tcBorders>
            <w:noWrap/>
          </w:tcPr>
          <w:p w14:paraId="4F88A3F9" w14:textId="77777777" w:rsidR="002D7080" w:rsidRPr="004D1E6F" w:rsidRDefault="002D7080" w:rsidP="00A96F79">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Response: No</w:t>
            </w:r>
          </w:p>
        </w:tc>
        <w:tc>
          <w:tcPr>
            <w:tcW w:w="4601" w:type="dxa"/>
            <w:tcBorders>
              <w:top w:val="single" w:sz="4" w:space="0" w:color="auto"/>
              <w:left w:val="single" w:sz="4" w:space="0" w:color="auto"/>
              <w:bottom w:val="single" w:sz="4" w:space="0" w:color="auto"/>
              <w:right w:val="single" w:sz="4" w:space="0" w:color="auto"/>
            </w:tcBorders>
          </w:tcPr>
          <w:p w14:paraId="4807675D" w14:textId="77777777" w:rsidR="002D7080" w:rsidRPr="004D1E6F" w:rsidRDefault="002D7080" w:rsidP="00A96F79">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4F1EE282" w14:textId="77777777" w:rsidTr="002E2C37">
        <w:trPr>
          <w:cantSplit/>
          <w:trHeight w:val="260"/>
        </w:trPr>
        <w:tc>
          <w:tcPr>
            <w:tcW w:w="9064" w:type="dxa"/>
            <w:gridSpan w:val="4"/>
            <w:tcBorders>
              <w:top w:val="single" w:sz="4" w:space="0" w:color="auto"/>
              <w:left w:val="single" w:sz="4" w:space="0" w:color="auto"/>
              <w:bottom w:val="single" w:sz="4" w:space="0" w:color="auto"/>
              <w:right w:val="single" w:sz="4" w:space="0" w:color="auto"/>
            </w:tcBorders>
            <w:noWrap/>
          </w:tcPr>
          <w:p w14:paraId="4E708EB0" w14:textId="77777777" w:rsidR="002D7080" w:rsidRPr="004D1E6F" w:rsidRDefault="002D7080" w:rsidP="00A96F79">
            <w:pPr>
              <w:spacing w:after="0"/>
              <w:jc w:val="both"/>
              <w:rPr>
                <w:rFonts w:ascii="Times New Roman" w:eastAsia="Times New Roman" w:hAnsi="Times New Roman" w:cs="Times New Roman"/>
                <w:i/>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Comments: There are no records of </w:t>
            </w:r>
            <w:r w:rsidRPr="004D1E6F">
              <w:rPr>
                <w:rFonts w:ascii="Times New Roman" w:eastAsia="Times New Roman" w:hAnsi="Times New Roman" w:cs="Times New Roman"/>
                <w:i/>
                <w:iCs/>
                <w:color w:val="000000"/>
                <w:sz w:val="20"/>
                <w:szCs w:val="20"/>
                <w:lang w:eastAsia="en-ZA"/>
              </w:rPr>
              <w:t>Procambarus virginalis</w:t>
            </w:r>
            <w:r w:rsidRPr="0002260C">
              <w:rPr>
                <w:rFonts w:ascii="Times New Roman" w:eastAsia="Times New Roman" w:hAnsi="Times New Roman" w:cs="Times New Roman"/>
                <w:i/>
                <w:iCs/>
                <w:color w:val="000000"/>
                <w:sz w:val="20"/>
                <w:szCs w:val="20"/>
                <w:lang w:eastAsia="en-ZA"/>
              </w:rPr>
              <w:t xml:space="preserve"> </w:t>
            </w:r>
            <w:r>
              <w:rPr>
                <w:rFonts w:ascii="Times New Roman" w:eastAsia="Times New Roman" w:hAnsi="Times New Roman" w:cs="Times New Roman"/>
                <w:color w:val="000000"/>
                <w:sz w:val="20"/>
                <w:szCs w:val="20"/>
                <w:lang w:eastAsia="en-ZA"/>
              </w:rPr>
              <w:t>in South Africa</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Nunes et al. 2017)", "plainTextFormattedCitation" : "(Lodge et al. 2012, Nunes et al. 2017)", "previouslyFormattedCitation" : "(Lodge et al. 2012, Nunes et al. 2017)"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(Nunes et al. 2017)</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tc>
      </w:tr>
      <w:tr w:rsidR="002D7080" w:rsidRPr="004D1E6F" w14:paraId="41A61541" w14:textId="77777777" w:rsidTr="002E2C37">
        <w:trPr>
          <w:cantSplit/>
          <w:trHeight w:val="390"/>
        </w:trPr>
        <w:tc>
          <w:tcPr>
            <w:tcW w:w="9064" w:type="dxa"/>
            <w:gridSpan w:val="4"/>
            <w:tcBorders>
              <w:top w:val="single" w:sz="4" w:space="0" w:color="auto"/>
              <w:left w:val="single" w:sz="4" w:space="0" w:color="auto"/>
              <w:bottom w:val="single" w:sz="4" w:space="0" w:color="auto"/>
              <w:right w:val="single" w:sz="4" w:space="0" w:color="auto"/>
            </w:tcBorders>
            <w:noWrap/>
          </w:tcPr>
          <w:p w14:paraId="6EE476A1"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4DA803C9" w14:textId="77777777" w:rsidR="002D7080" w:rsidRPr="004D1E6F" w:rsidRDefault="002D7080" w:rsidP="00A96F79">
            <w:pPr>
              <w:spacing w:after="0"/>
              <w:ind w:left="522" w:hanging="522"/>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635" w:history="1">
              <w:r w:rsidRPr="00AD0AF1">
                <w:rPr>
                  <w:rStyle w:val="Hyperlink"/>
                  <w:rFonts w:ascii="Times New Roman" w:eastAsia="Times New Roman" w:hAnsi="Times New Roman" w:cs="Times New Roman"/>
                  <w:sz w:val="20"/>
                  <w:szCs w:val="20"/>
                  <w:lang w:eastAsia="en-ZA"/>
                </w:rPr>
                <w:t>https://doi.org/10.2989/16085914.2017.1405788</w:t>
              </w:r>
            </w:hyperlink>
            <w:r>
              <w:rPr>
                <w:rFonts w:ascii="Times New Roman" w:eastAsia="Times New Roman" w:hAnsi="Times New Roman" w:cs="Times New Roman"/>
                <w:color w:val="000000"/>
                <w:sz w:val="20"/>
                <w:szCs w:val="20"/>
                <w:lang w:eastAsia="en-ZA"/>
              </w:rPr>
              <w:t xml:space="preserve"> </w:t>
            </w:r>
          </w:p>
        </w:tc>
      </w:tr>
      <w:tr w:rsidR="002D7080" w:rsidRPr="004D1E6F" w14:paraId="1FDE34BD" w14:textId="77777777" w:rsidTr="002E2C37">
        <w:trPr>
          <w:cantSplit/>
          <w:trHeight w:val="390"/>
        </w:trPr>
        <w:tc>
          <w:tcPr>
            <w:tcW w:w="9064"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1B8A3349"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BAC11 Availability of physical specimen</w:t>
            </w:r>
          </w:p>
        </w:tc>
      </w:tr>
      <w:tr w:rsidR="002D7080" w:rsidRPr="004D1E6F" w14:paraId="180904F1" w14:textId="77777777" w:rsidTr="002E2C37">
        <w:trPr>
          <w:cantSplit/>
          <w:trHeight w:val="188"/>
        </w:trPr>
        <w:tc>
          <w:tcPr>
            <w:tcW w:w="4463" w:type="dxa"/>
            <w:gridSpan w:val="3"/>
            <w:tcBorders>
              <w:top w:val="single" w:sz="4" w:space="0" w:color="auto"/>
              <w:left w:val="single" w:sz="4" w:space="0" w:color="auto"/>
              <w:bottom w:val="single" w:sz="4" w:space="0" w:color="auto"/>
              <w:right w:val="single" w:sz="4" w:space="0" w:color="auto"/>
            </w:tcBorders>
            <w:noWrap/>
          </w:tcPr>
          <w:p w14:paraId="2A99F97F" w14:textId="77777777" w:rsidR="002D7080" w:rsidRPr="004D1E6F" w:rsidRDefault="002D7080" w:rsidP="00A96F79">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w:t>
            </w:r>
            <w:r>
              <w:rPr>
                <w:rFonts w:ascii="Times New Roman" w:eastAsia="Times New Roman" w:hAnsi="Times New Roman" w:cs="Times New Roman"/>
                <w:color w:val="000000"/>
                <w:sz w:val="20"/>
                <w:szCs w:val="20"/>
                <w:lang w:eastAsia="en-ZA"/>
              </w:rPr>
              <w:t>No</w:t>
            </w:r>
          </w:p>
        </w:tc>
        <w:tc>
          <w:tcPr>
            <w:tcW w:w="4601" w:type="dxa"/>
            <w:tcBorders>
              <w:top w:val="single" w:sz="4" w:space="0" w:color="auto"/>
              <w:left w:val="single" w:sz="4" w:space="0" w:color="auto"/>
              <w:bottom w:val="single" w:sz="4" w:space="0" w:color="auto"/>
              <w:right w:val="single" w:sz="4" w:space="0" w:color="auto"/>
            </w:tcBorders>
          </w:tcPr>
          <w:p w14:paraId="700557DF" w14:textId="77777777" w:rsidR="002D7080" w:rsidRPr="004D1E6F" w:rsidRDefault="002D7080" w:rsidP="00A96F79">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color w:val="000000"/>
                <w:sz w:val="20"/>
                <w:szCs w:val="20"/>
                <w:lang w:eastAsia="en-ZA"/>
              </w:rPr>
              <w:t>Confidence in ID:</w:t>
            </w:r>
          </w:p>
        </w:tc>
      </w:tr>
      <w:tr w:rsidR="002D7080" w:rsidRPr="004D1E6F" w14:paraId="41E2C0A8" w14:textId="77777777" w:rsidTr="002E2C37">
        <w:trPr>
          <w:cantSplit/>
          <w:trHeight w:val="390"/>
        </w:trPr>
        <w:tc>
          <w:tcPr>
            <w:tcW w:w="9064" w:type="dxa"/>
            <w:gridSpan w:val="4"/>
            <w:tcBorders>
              <w:top w:val="single" w:sz="4" w:space="0" w:color="auto"/>
              <w:left w:val="single" w:sz="4" w:space="0" w:color="auto"/>
              <w:bottom w:val="single" w:sz="4" w:space="0" w:color="auto"/>
              <w:right w:val="single" w:sz="4" w:space="0" w:color="auto"/>
            </w:tcBorders>
            <w:noWrap/>
          </w:tcPr>
          <w:p w14:paraId="2D0F6001"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Herbarium or museum accession number:</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There are no records of </w:t>
            </w:r>
            <w:r w:rsidRPr="004D1E6F">
              <w:rPr>
                <w:rFonts w:ascii="Times New Roman" w:eastAsia="Times New Roman" w:hAnsi="Times New Roman" w:cs="Times New Roman"/>
                <w:i/>
                <w:iCs/>
                <w:color w:val="000000"/>
                <w:sz w:val="20"/>
                <w:szCs w:val="20"/>
                <w:lang w:eastAsia="en-ZA"/>
              </w:rPr>
              <w:t>Procambarus</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virginalis</w:t>
            </w:r>
            <w:r w:rsidRPr="0002260C">
              <w:rPr>
                <w:rFonts w:ascii="Times New Roman" w:eastAsia="Times New Roman" w:hAnsi="Times New Roman" w:cs="Times New Roman"/>
                <w:i/>
                <w:iCs/>
                <w:color w:val="000000"/>
                <w:sz w:val="20"/>
                <w:szCs w:val="20"/>
                <w:lang w:eastAsia="en-ZA"/>
              </w:rPr>
              <w:t xml:space="preserve"> </w:t>
            </w:r>
            <w:r>
              <w:rPr>
                <w:rFonts w:ascii="Times New Roman" w:eastAsia="Times New Roman" w:hAnsi="Times New Roman" w:cs="Times New Roman"/>
                <w:color w:val="000000"/>
                <w:sz w:val="20"/>
                <w:szCs w:val="20"/>
                <w:lang w:eastAsia="en-ZA"/>
              </w:rPr>
              <w:t>in South Africa</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Nunes et al. 2017)", "plainTextFormattedCitation" : "(Lodge et al. 2012, Nunes et al. 2017)", "previouslyFormattedCitation" : "(Lodge et al. 2012, Nunes et al. 2017)"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(Nunes et al. 2017)</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tc>
      </w:tr>
      <w:tr w:rsidR="002D7080" w:rsidRPr="004D1E6F" w14:paraId="2D205741" w14:textId="77777777" w:rsidTr="002E2C37">
        <w:trPr>
          <w:cantSplit/>
          <w:trHeight w:val="390"/>
        </w:trPr>
        <w:tc>
          <w:tcPr>
            <w:tcW w:w="9064" w:type="dxa"/>
            <w:gridSpan w:val="4"/>
            <w:tcBorders>
              <w:top w:val="single" w:sz="4" w:space="0" w:color="auto"/>
              <w:left w:val="single" w:sz="4" w:space="0" w:color="auto"/>
              <w:bottom w:val="single" w:sz="4" w:space="0" w:color="auto"/>
              <w:right w:val="single" w:sz="4" w:space="0" w:color="auto"/>
            </w:tcBorders>
            <w:noWrap/>
          </w:tcPr>
          <w:p w14:paraId="3305D303" w14:textId="77777777" w:rsidR="002D7080"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017CD5BD" w14:textId="77777777" w:rsidR="002D7080" w:rsidRPr="004D1E6F" w:rsidRDefault="002D7080" w:rsidP="00A96F79">
            <w:pPr>
              <w:spacing w:after="0"/>
              <w:ind w:left="505" w:hanging="505"/>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636" w:history="1">
              <w:r w:rsidRPr="00AD0AF1">
                <w:rPr>
                  <w:rStyle w:val="Hyperlink"/>
                  <w:rFonts w:ascii="Times New Roman" w:eastAsia="Times New Roman" w:hAnsi="Times New Roman" w:cs="Times New Roman"/>
                  <w:sz w:val="20"/>
                  <w:szCs w:val="20"/>
                  <w:lang w:eastAsia="en-ZA"/>
                </w:rPr>
                <w:t>https://doi.org/10.2989/16085914.2017.1405788</w:t>
              </w:r>
            </w:hyperlink>
            <w:r>
              <w:rPr>
                <w:rFonts w:ascii="Times New Roman" w:eastAsia="Times New Roman" w:hAnsi="Times New Roman" w:cs="Times New Roman"/>
                <w:color w:val="000000"/>
                <w:sz w:val="20"/>
                <w:szCs w:val="20"/>
                <w:lang w:eastAsia="en-ZA"/>
              </w:rPr>
              <w:t xml:space="preserve"> </w:t>
            </w:r>
          </w:p>
        </w:tc>
      </w:tr>
      <w:tr w:rsidR="002D7080" w:rsidRPr="004D1E6F" w14:paraId="0037B90A" w14:textId="77777777" w:rsidTr="002E2C37">
        <w:trPr>
          <w:cantSplit/>
          <w:trHeight w:val="233"/>
        </w:trPr>
        <w:tc>
          <w:tcPr>
            <w:tcW w:w="9064"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CC016CE" w14:textId="77777777" w:rsidR="002D7080" w:rsidRPr="004D1E6F" w:rsidRDefault="002D7080" w:rsidP="00A96F79">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BAC12 Is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 native to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 xml:space="preserve"> or part of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w:t>
            </w:r>
          </w:p>
        </w:tc>
      </w:tr>
      <w:tr w:rsidR="002D7080" w:rsidRPr="004D1E6F" w14:paraId="310B7C34" w14:textId="77777777" w:rsidTr="002E2C37">
        <w:trPr>
          <w:cantSplit/>
          <w:trHeight w:val="260"/>
        </w:trPr>
        <w:tc>
          <w:tcPr>
            <w:tcW w:w="3780" w:type="dxa"/>
            <w:gridSpan w:val="2"/>
            <w:tcBorders>
              <w:top w:val="single" w:sz="4" w:space="0" w:color="auto"/>
              <w:left w:val="single" w:sz="4" w:space="0" w:color="auto"/>
              <w:bottom w:val="single" w:sz="4" w:space="0" w:color="auto"/>
              <w:right w:val="single" w:sz="4" w:space="0" w:color="auto"/>
            </w:tcBorders>
            <w:noWrap/>
          </w:tcPr>
          <w:p w14:paraId="74C2687B"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native to (part of) the </w:t>
            </w:r>
            <w:r w:rsidRPr="004D1E6F">
              <w:rPr>
                <w:rFonts w:ascii="Times New Roman" w:eastAsia="Times New Roman" w:hAnsi="Times New Roman" w:cs="Times New Roman"/>
                <w:i/>
                <w:color w:val="000000"/>
                <w:sz w:val="20"/>
                <w:szCs w:val="20"/>
                <w:lang w:eastAsia="en-ZA"/>
              </w:rPr>
              <w:t>Area</w:t>
            </w:r>
            <w:r w:rsidRPr="004D1E6F">
              <w:rPr>
                <w:rFonts w:ascii="Times New Roman" w:eastAsia="Times New Roman" w:hAnsi="Times New Roman" w:cs="Times New Roman"/>
                <w:color w:val="000000"/>
                <w:sz w:val="20"/>
                <w:szCs w:val="20"/>
                <w:lang w:eastAsia="en-ZA"/>
              </w:rPr>
              <w:t>.</w:t>
            </w:r>
          </w:p>
        </w:tc>
        <w:tc>
          <w:tcPr>
            <w:tcW w:w="683" w:type="dxa"/>
            <w:tcBorders>
              <w:top w:val="single" w:sz="4" w:space="0" w:color="auto"/>
              <w:left w:val="nil"/>
              <w:bottom w:val="single" w:sz="4" w:space="0" w:color="auto"/>
              <w:right w:val="single" w:sz="4" w:space="0" w:color="auto"/>
            </w:tcBorders>
          </w:tcPr>
          <w:p w14:paraId="612F2B32"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No </w:t>
            </w:r>
          </w:p>
        </w:tc>
        <w:tc>
          <w:tcPr>
            <w:tcW w:w="4601" w:type="dxa"/>
            <w:tcBorders>
              <w:top w:val="single" w:sz="4" w:space="0" w:color="auto"/>
              <w:left w:val="nil"/>
              <w:bottom w:val="single" w:sz="4" w:space="0" w:color="auto"/>
              <w:right w:val="single" w:sz="4" w:space="0" w:color="auto"/>
            </w:tcBorders>
          </w:tcPr>
          <w:p w14:paraId="699916C5"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026A2D57" w14:textId="77777777" w:rsidTr="002E2C37">
        <w:trPr>
          <w:cantSplit/>
          <w:trHeight w:val="260"/>
        </w:trPr>
        <w:tc>
          <w:tcPr>
            <w:tcW w:w="3780" w:type="dxa"/>
            <w:gridSpan w:val="2"/>
            <w:tcBorders>
              <w:top w:val="single" w:sz="4" w:space="0" w:color="auto"/>
              <w:left w:val="single" w:sz="4" w:space="0" w:color="auto"/>
              <w:bottom w:val="single" w:sz="4" w:space="0" w:color="auto"/>
              <w:right w:val="single" w:sz="4" w:space="0" w:color="auto"/>
            </w:tcBorders>
            <w:noWrap/>
          </w:tcPr>
          <w:p w14:paraId="20A89B4D"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alien in (part of) the </w:t>
            </w:r>
            <w:r w:rsidRPr="004D1E6F">
              <w:rPr>
                <w:rFonts w:ascii="Times New Roman" w:eastAsia="Times New Roman" w:hAnsi="Times New Roman" w:cs="Times New Roman"/>
                <w:i/>
                <w:color w:val="000000"/>
                <w:sz w:val="20"/>
                <w:szCs w:val="20"/>
                <w:lang w:eastAsia="en-ZA"/>
              </w:rPr>
              <w:t>Area</w:t>
            </w:r>
            <w:r w:rsidRPr="004D1E6F">
              <w:rPr>
                <w:rFonts w:ascii="Times New Roman" w:eastAsia="Times New Roman" w:hAnsi="Times New Roman" w:cs="Times New Roman"/>
                <w:color w:val="000000"/>
                <w:sz w:val="20"/>
                <w:szCs w:val="20"/>
                <w:lang w:eastAsia="en-ZA"/>
              </w:rPr>
              <w:t>.</w:t>
            </w:r>
          </w:p>
        </w:tc>
        <w:tc>
          <w:tcPr>
            <w:tcW w:w="683" w:type="dxa"/>
            <w:tcBorders>
              <w:top w:val="single" w:sz="4" w:space="0" w:color="auto"/>
              <w:left w:val="nil"/>
              <w:bottom w:val="single" w:sz="4" w:space="0" w:color="auto"/>
              <w:right w:val="single" w:sz="4" w:space="0" w:color="auto"/>
            </w:tcBorders>
          </w:tcPr>
          <w:p w14:paraId="7F5AAC97"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Yes </w:t>
            </w:r>
          </w:p>
        </w:tc>
        <w:tc>
          <w:tcPr>
            <w:tcW w:w="4601" w:type="dxa"/>
            <w:tcBorders>
              <w:top w:val="single" w:sz="4" w:space="0" w:color="auto"/>
              <w:left w:val="nil"/>
              <w:bottom w:val="single" w:sz="4" w:space="0" w:color="auto"/>
              <w:right w:val="single" w:sz="4" w:space="0" w:color="auto"/>
            </w:tcBorders>
          </w:tcPr>
          <w:p w14:paraId="549C11F8"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217290C7" w14:textId="77777777" w:rsidTr="002E2C37">
        <w:trPr>
          <w:cantSplit/>
          <w:trHeight w:val="287"/>
        </w:trPr>
        <w:tc>
          <w:tcPr>
            <w:tcW w:w="9064" w:type="dxa"/>
            <w:gridSpan w:val="4"/>
            <w:tcBorders>
              <w:top w:val="single" w:sz="4" w:space="0" w:color="auto"/>
              <w:left w:val="single" w:sz="4" w:space="0" w:color="auto"/>
              <w:bottom w:val="single" w:sz="4" w:space="0" w:color="auto"/>
              <w:right w:val="single" w:sz="4" w:space="0" w:color="auto"/>
            </w:tcBorders>
            <w:noWrap/>
          </w:tcPr>
          <w:p w14:paraId="3E5A18B4" w14:textId="42E3891B"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The o</w:t>
            </w:r>
            <w:r w:rsidRPr="004D1E6F">
              <w:rPr>
                <w:rFonts w:ascii="Times New Roman" w:eastAsia="Times New Roman" w:hAnsi="Times New Roman" w:cs="Times New Roman"/>
                <w:color w:val="000000"/>
                <w:sz w:val="20"/>
                <w:szCs w:val="20"/>
                <w:lang w:eastAsia="en-ZA"/>
              </w:rPr>
              <w:t xml:space="preserve">rigin of </w:t>
            </w:r>
            <w:r w:rsidRPr="004D1E6F">
              <w:rPr>
                <w:rFonts w:ascii="Times New Roman" w:eastAsia="Times New Roman" w:hAnsi="Times New Roman" w:cs="Times New Roman"/>
                <w:i/>
                <w:iCs/>
                <w:color w:val="000000"/>
                <w:sz w:val="20"/>
                <w:szCs w:val="20"/>
                <w:lang w:eastAsia="en-ZA"/>
              </w:rPr>
              <w:t>Procambarus virginalis</w:t>
            </w:r>
            <w:r w:rsidRPr="004D1E6F">
              <w:rPr>
                <w:rFonts w:ascii="Times New Roman" w:eastAsia="Times New Roman" w:hAnsi="Times New Roman" w:cs="Times New Roman"/>
                <w:color w:val="000000"/>
                <w:sz w:val="20"/>
                <w:szCs w:val="20"/>
                <w:lang w:eastAsia="en-ZA"/>
              </w:rPr>
              <w:t xml:space="preserve"> is </w:t>
            </w:r>
            <w:r>
              <w:rPr>
                <w:rFonts w:ascii="Times New Roman" w:eastAsia="Times New Roman" w:hAnsi="Times New Roman" w:cs="Times New Roman"/>
                <w:color w:val="000000"/>
                <w:sz w:val="20"/>
                <w:szCs w:val="20"/>
                <w:lang w:eastAsia="en-ZA"/>
              </w:rPr>
              <w:t xml:space="preserve">presumed to be Florida in the USA and there are </w:t>
            </w:r>
            <w:r w:rsidRPr="004D1E6F">
              <w:rPr>
                <w:rFonts w:ascii="Times New Roman" w:eastAsia="Times New Roman" w:hAnsi="Times New Roman" w:cs="Times New Roman"/>
                <w:color w:val="000000"/>
                <w:sz w:val="20"/>
                <w:szCs w:val="20"/>
                <w:lang w:eastAsia="en-ZA"/>
              </w:rPr>
              <w:t xml:space="preserve">no </w:t>
            </w:r>
            <w:r>
              <w:rPr>
                <w:rFonts w:ascii="Times New Roman" w:eastAsia="Times New Roman" w:hAnsi="Times New Roman" w:cs="Times New Roman"/>
                <w:color w:val="000000"/>
                <w:sz w:val="20"/>
                <w:szCs w:val="20"/>
                <w:lang w:eastAsia="en-ZA"/>
              </w:rPr>
              <w:t xml:space="preserve">native </w:t>
            </w:r>
            <w:r w:rsidRPr="004D1E6F">
              <w:rPr>
                <w:rFonts w:ascii="Times New Roman" w:eastAsia="Times New Roman" w:hAnsi="Times New Roman" w:cs="Times New Roman"/>
                <w:color w:val="000000"/>
                <w:sz w:val="20"/>
                <w:szCs w:val="20"/>
                <w:lang w:eastAsia="en-ZA"/>
              </w:rPr>
              <w:t>crayfish</w:t>
            </w:r>
            <w:r>
              <w:rPr>
                <w:rFonts w:ascii="Times New Roman" w:eastAsia="Times New Roman" w:hAnsi="Times New Roman" w:cs="Times New Roman"/>
                <w:color w:val="000000"/>
                <w:sz w:val="20"/>
                <w:szCs w:val="20"/>
                <w:lang w:eastAsia="en-ZA"/>
              </w:rPr>
              <w:t xml:space="preserve"> species</w:t>
            </w:r>
            <w:r w:rsidRPr="004D1E6F">
              <w:rPr>
                <w:rFonts w:ascii="Times New Roman" w:eastAsia="Times New Roman" w:hAnsi="Times New Roman" w:cs="Times New Roman"/>
                <w:color w:val="000000"/>
                <w:sz w:val="20"/>
                <w:szCs w:val="20"/>
                <w:lang w:eastAsia="en-ZA"/>
              </w:rPr>
              <w:t xml:space="preserve"> in South Africa</w:t>
            </w:r>
            <w:r>
              <w:rPr>
                <w:rFonts w:ascii="Times New Roman" w:eastAsia="Times New Roman" w:hAnsi="Times New Roman" w:cs="Times New Roman"/>
                <w:color w:val="000000"/>
                <w:sz w:val="20"/>
                <w:szCs w:val="20"/>
                <w:lang w:eastAsia="en-ZA"/>
              </w:rPr>
              <w:t xml:space="preserve"> (</w:t>
            </w:r>
            <w:r w:rsidR="008A0BC6">
              <w:rPr>
                <w:rFonts w:ascii="Times New Roman" w:eastAsia="Times New Roman" w:hAnsi="Times New Roman" w:cs="Times New Roman"/>
                <w:color w:val="000000"/>
                <w:sz w:val="20"/>
                <w:szCs w:val="20"/>
                <w:lang w:eastAsia="en-ZA"/>
              </w:rPr>
              <w:t>De Moor</w:t>
            </w:r>
            <w:r>
              <w:rPr>
                <w:rFonts w:ascii="Times New Roman" w:eastAsia="Times New Roman" w:hAnsi="Times New Roman" w:cs="Times New Roman"/>
                <w:color w:val="000000"/>
                <w:sz w:val="20"/>
                <w:szCs w:val="20"/>
                <w:lang w:eastAsia="en-ZA"/>
              </w:rPr>
              <w:t xml:space="preserve"> 2002; Martin et al. 2010; Nunes et al. 2017; </w:t>
            </w:r>
            <w:r w:rsidRPr="00D9414B">
              <w:rPr>
                <w:rFonts w:ascii="Times New Roman" w:hAnsi="Times New Roman" w:cs="Times New Roman"/>
                <w:sz w:val="20"/>
                <w:szCs w:val="20"/>
              </w:rPr>
              <w:t>Gutekunst</w:t>
            </w:r>
            <w:r>
              <w:rPr>
                <w:rFonts w:ascii="Times New Roman" w:hAnsi="Times New Roman" w:cs="Times New Roman"/>
                <w:sz w:val="20"/>
                <w:szCs w:val="20"/>
              </w:rPr>
              <w:t xml:space="preserve"> et al. 2021</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w:t>
            </w:r>
          </w:p>
        </w:tc>
      </w:tr>
      <w:tr w:rsidR="002D7080" w:rsidRPr="004D1E6F" w14:paraId="416B58CA" w14:textId="77777777" w:rsidTr="002E2C37">
        <w:trPr>
          <w:cantSplit/>
          <w:trHeight w:val="419"/>
        </w:trPr>
        <w:tc>
          <w:tcPr>
            <w:tcW w:w="9064" w:type="dxa"/>
            <w:gridSpan w:val="4"/>
            <w:tcBorders>
              <w:top w:val="single" w:sz="4" w:space="0" w:color="auto"/>
              <w:left w:val="single" w:sz="4" w:space="0" w:color="auto"/>
              <w:bottom w:val="single" w:sz="4" w:space="0" w:color="auto"/>
              <w:right w:val="single" w:sz="4" w:space="0" w:color="auto"/>
            </w:tcBorders>
            <w:noWrap/>
          </w:tcPr>
          <w:p w14:paraId="4328F58A"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17CD80DF" w14:textId="248D5EB9" w:rsidR="00467534" w:rsidRDefault="008A0BC6" w:rsidP="00A96F79">
            <w:pPr>
              <w:spacing w:after="0"/>
              <w:ind w:left="510" w:hanging="510"/>
              <w:jc w:val="both"/>
              <w:rPr>
                <w:rFonts w:ascii="Times New Roman" w:hAnsi="Times New Roman" w:cs="Times New Roman"/>
                <w:sz w:val="20"/>
                <w:szCs w:val="20"/>
              </w:rPr>
            </w:pPr>
            <w:r>
              <w:rPr>
                <w:rFonts w:ascii="Times New Roman" w:eastAsia="Times New Roman" w:hAnsi="Times New Roman" w:cs="Times New Roman"/>
                <w:color w:val="000000"/>
                <w:sz w:val="20"/>
                <w:szCs w:val="20"/>
                <w:lang w:eastAsia="en-ZA"/>
              </w:rPr>
              <w:t>De Moor</w:t>
            </w:r>
            <w:r w:rsidR="002D7080" w:rsidRPr="008434F9">
              <w:rPr>
                <w:rFonts w:ascii="Times New Roman" w:eastAsia="Times New Roman" w:hAnsi="Times New Roman" w:cs="Times New Roman"/>
                <w:color w:val="000000"/>
                <w:sz w:val="20"/>
                <w:szCs w:val="20"/>
                <w:lang w:eastAsia="en-ZA"/>
              </w:rPr>
              <w:t xml:space="preserve">, I., 2002, ‘Potential impacts of alien freshwater crayfish in South Africa’, </w:t>
            </w:r>
            <w:r w:rsidR="002D7080" w:rsidRPr="00E45634">
              <w:rPr>
                <w:rFonts w:ascii="Times New Roman" w:eastAsia="Times New Roman" w:hAnsi="Times New Roman" w:cs="Times New Roman"/>
                <w:i/>
                <w:iCs/>
                <w:color w:val="000000"/>
                <w:sz w:val="20"/>
                <w:szCs w:val="20"/>
                <w:lang w:eastAsia="en-ZA"/>
              </w:rPr>
              <w:t>African Journal of Aquatic Science</w:t>
            </w:r>
            <w:r w:rsidR="002D7080" w:rsidRPr="00E45634">
              <w:rPr>
                <w:rFonts w:ascii="Times New Roman" w:eastAsia="Times New Roman" w:hAnsi="Times New Roman" w:cs="Times New Roman"/>
                <w:color w:val="000000"/>
                <w:sz w:val="20"/>
                <w:szCs w:val="20"/>
                <w:lang w:eastAsia="en-ZA"/>
              </w:rPr>
              <w:t xml:space="preserve">, </w:t>
            </w:r>
            <w:r w:rsidR="002D7080" w:rsidRPr="008434F9">
              <w:rPr>
                <w:rFonts w:ascii="Times New Roman" w:eastAsia="Times New Roman" w:hAnsi="Times New Roman" w:cs="Times New Roman"/>
                <w:color w:val="000000"/>
                <w:sz w:val="20"/>
                <w:szCs w:val="20"/>
                <w:lang w:eastAsia="en-ZA"/>
              </w:rPr>
              <w:t>27, 125</w:t>
            </w:r>
            <w:r w:rsidR="002D7080">
              <w:rPr>
                <w:rFonts w:ascii="Times New Roman" w:eastAsia="Times New Roman" w:hAnsi="Times New Roman" w:cs="Times New Roman"/>
                <w:color w:val="000000"/>
                <w:sz w:val="20"/>
                <w:szCs w:val="20"/>
                <w:lang w:eastAsia="en-ZA"/>
              </w:rPr>
              <w:t>-</w:t>
            </w:r>
            <w:r w:rsidR="002D7080" w:rsidRPr="008434F9">
              <w:rPr>
                <w:rFonts w:ascii="Times New Roman" w:eastAsia="Times New Roman" w:hAnsi="Times New Roman" w:cs="Times New Roman"/>
                <w:color w:val="000000"/>
                <w:sz w:val="20"/>
                <w:szCs w:val="20"/>
                <w:lang w:eastAsia="en-ZA"/>
              </w:rPr>
              <w:t xml:space="preserve">139, </w:t>
            </w:r>
            <w:hyperlink r:id="rId637" w:history="1">
              <w:r w:rsidR="00467534" w:rsidRPr="008A0BC6">
                <w:rPr>
                  <w:rStyle w:val="Hyperlink"/>
                  <w:rFonts w:ascii="Times New Roman" w:hAnsi="Times New Roman" w:cs="Times New Roman"/>
                  <w:sz w:val="20"/>
                  <w:szCs w:val="20"/>
                </w:rPr>
                <w:t>https://doi.org/10.2989/16085914.2002.9626584</w:t>
              </w:r>
            </w:hyperlink>
          </w:p>
          <w:p w14:paraId="32513731" w14:textId="39F8C5EA" w:rsidR="002D7080" w:rsidRPr="00D9414B" w:rsidRDefault="002D7080" w:rsidP="00A96F79">
            <w:pPr>
              <w:spacing w:after="0"/>
              <w:ind w:left="510" w:hanging="510"/>
              <w:jc w:val="both"/>
              <w:rPr>
                <w:rFonts w:ascii="Times New Roman" w:hAnsi="Times New Roman" w:cs="Times New Roman"/>
                <w:color w:val="333333"/>
                <w:sz w:val="20"/>
                <w:szCs w:val="20"/>
                <w:shd w:val="clear" w:color="auto" w:fill="FFFFFF"/>
              </w:rPr>
            </w:pPr>
            <w:r w:rsidRPr="00D9414B">
              <w:rPr>
                <w:rFonts w:ascii="Times New Roman" w:hAnsi="Times New Roman" w:cs="Times New Roman"/>
                <w:sz w:val="20"/>
                <w:szCs w:val="20"/>
              </w:rPr>
              <w:t xml:space="preserve">Gutekunst, J., Maiakovska, O., Hanna, K., Provataris, P., Horn, H., Wolf, S., Skelton, C.E., Dorn, N.J. and Lyko, F., 2021, ‘Phylogeographic reconstruction of the marbled crayfish origin’, </w:t>
            </w:r>
            <w:r w:rsidRPr="00D9414B">
              <w:rPr>
                <w:rFonts w:ascii="Times New Roman" w:hAnsi="Times New Roman" w:cs="Times New Roman"/>
                <w:i/>
                <w:iCs/>
                <w:sz w:val="20"/>
                <w:szCs w:val="20"/>
              </w:rPr>
              <w:t>Communications Biology</w:t>
            </w:r>
            <w:r w:rsidRPr="00D9414B">
              <w:rPr>
                <w:rFonts w:ascii="Times New Roman" w:hAnsi="Times New Roman" w:cs="Times New Roman"/>
                <w:sz w:val="20"/>
                <w:szCs w:val="20"/>
              </w:rPr>
              <w:t>, </w:t>
            </w:r>
            <w:r w:rsidRPr="00112DFE">
              <w:rPr>
                <w:rFonts w:ascii="Times New Roman" w:hAnsi="Times New Roman" w:cs="Times New Roman"/>
                <w:sz w:val="20"/>
                <w:szCs w:val="20"/>
              </w:rPr>
              <w:t>4</w:t>
            </w:r>
            <w:r w:rsidRPr="00D9414B">
              <w:rPr>
                <w:rFonts w:ascii="Times New Roman" w:hAnsi="Times New Roman" w:cs="Times New Roman"/>
                <w:sz w:val="20"/>
                <w:szCs w:val="20"/>
              </w:rPr>
              <w:t xml:space="preserve">(1), p.1096. </w:t>
            </w:r>
            <w:hyperlink r:id="rId638" w:history="1">
              <w:r w:rsidRPr="00D9414B">
                <w:rPr>
                  <w:rStyle w:val="Hyperlink"/>
                  <w:rFonts w:ascii="Times New Roman" w:hAnsi="Times New Roman" w:cs="Times New Roman"/>
                  <w:sz w:val="20"/>
                  <w:szCs w:val="20"/>
                </w:rPr>
                <w:t>https://doi.org/10.1038/s42003-021-02609-w</w:t>
              </w:r>
            </w:hyperlink>
          </w:p>
          <w:p w14:paraId="70BF266B" w14:textId="77777777" w:rsidR="002D7080" w:rsidRPr="008434F9" w:rsidRDefault="002D7080" w:rsidP="00A96F79">
            <w:pPr>
              <w:spacing w:after="0"/>
              <w:ind w:left="510" w:hanging="510"/>
              <w:jc w:val="both"/>
              <w:rPr>
                <w:rFonts w:ascii="Times New Roman" w:eastAsia="Times New Roman" w:hAnsi="Times New Roman" w:cs="Times New Roman"/>
                <w:color w:val="000000"/>
                <w:sz w:val="20"/>
                <w:szCs w:val="20"/>
                <w:lang w:eastAsia="en-ZA"/>
              </w:rPr>
            </w:pPr>
            <w:r w:rsidRPr="008434F9">
              <w:rPr>
                <w:rFonts w:ascii="Times New Roman" w:eastAsia="Times New Roman" w:hAnsi="Times New Roman" w:cs="Times New Roman"/>
                <w:color w:val="000000"/>
                <w:sz w:val="20"/>
                <w:szCs w:val="20"/>
                <w:lang w:eastAsia="en-ZA"/>
              </w:rPr>
              <w:t xml:space="preserve">Martin P, Dorn N, Kawai T, Heiden Cvan der, Scholtz G, 2010a. The enigmatic Marmorkrebs (marbled crayfish) is the parthenogenetic form of </w:t>
            </w:r>
            <w:r w:rsidRPr="00112DFE">
              <w:rPr>
                <w:rFonts w:ascii="Times New Roman" w:eastAsia="Times New Roman" w:hAnsi="Times New Roman" w:cs="Times New Roman"/>
                <w:i/>
                <w:iCs/>
                <w:color w:val="000000"/>
                <w:sz w:val="20"/>
                <w:szCs w:val="20"/>
                <w:lang w:eastAsia="en-ZA"/>
              </w:rPr>
              <w:t>Procambarus fallax</w:t>
            </w:r>
            <w:r w:rsidRPr="008434F9">
              <w:rPr>
                <w:rFonts w:ascii="Times New Roman" w:eastAsia="Times New Roman" w:hAnsi="Times New Roman" w:cs="Times New Roman"/>
                <w:color w:val="000000"/>
                <w:sz w:val="20"/>
                <w:szCs w:val="20"/>
                <w:lang w:eastAsia="en-ZA"/>
              </w:rPr>
              <w:t xml:space="preserve"> (Hagen, 1870). </w:t>
            </w:r>
            <w:r w:rsidRPr="00112DFE">
              <w:rPr>
                <w:rFonts w:ascii="Times New Roman" w:eastAsia="Times New Roman" w:hAnsi="Times New Roman" w:cs="Times New Roman"/>
                <w:i/>
                <w:iCs/>
                <w:color w:val="000000"/>
                <w:sz w:val="20"/>
                <w:szCs w:val="20"/>
                <w:lang w:eastAsia="en-ZA"/>
              </w:rPr>
              <w:t>Contributions to Zoology</w:t>
            </w:r>
            <w:r w:rsidRPr="008434F9">
              <w:rPr>
                <w:rFonts w:ascii="Times New Roman" w:eastAsia="Times New Roman" w:hAnsi="Times New Roman" w:cs="Times New Roman"/>
                <w:color w:val="000000"/>
                <w:sz w:val="20"/>
                <w:szCs w:val="20"/>
                <w:lang w:eastAsia="en-ZA"/>
              </w:rPr>
              <w:t>, 79(3)</w:t>
            </w:r>
            <w:r>
              <w:rPr>
                <w:rFonts w:ascii="Times New Roman" w:eastAsia="Times New Roman" w:hAnsi="Times New Roman" w:cs="Times New Roman"/>
                <w:color w:val="000000"/>
                <w:sz w:val="20"/>
                <w:szCs w:val="20"/>
                <w:lang w:eastAsia="en-ZA"/>
              </w:rPr>
              <w:t xml:space="preserve">, </w:t>
            </w:r>
            <w:r w:rsidRPr="008434F9">
              <w:rPr>
                <w:rFonts w:ascii="Times New Roman" w:eastAsia="Times New Roman" w:hAnsi="Times New Roman" w:cs="Times New Roman"/>
                <w:color w:val="000000"/>
                <w:sz w:val="20"/>
                <w:szCs w:val="20"/>
                <w:lang w:eastAsia="en-ZA"/>
              </w:rPr>
              <w:t>107-118</w:t>
            </w:r>
            <w:r>
              <w:rPr>
                <w:rFonts w:ascii="Times New Roman" w:eastAsia="Times New Roman" w:hAnsi="Times New Roman" w:cs="Times New Roman"/>
                <w:color w:val="000000"/>
                <w:sz w:val="20"/>
                <w:szCs w:val="20"/>
                <w:lang w:eastAsia="en-ZA"/>
              </w:rPr>
              <w:t xml:space="preserve">. </w:t>
            </w:r>
            <w:hyperlink r:id="rId639" w:history="1">
              <w:r w:rsidRPr="00762F6F">
                <w:rPr>
                  <w:rStyle w:val="Hyperlink"/>
                  <w:rFonts w:ascii="Times New Roman" w:hAnsi="Times New Roman" w:cs="Times New Roman"/>
                  <w:sz w:val="20"/>
                  <w:szCs w:val="20"/>
                  <w:shd w:val="clear" w:color="auto" w:fill="FFFFFF"/>
                </w:rPr>
                <w:t>https://doi.org/10.1163/18759866-07903003</w:t>
              </w:r>
            </w:hyperlink>
          </w:p>
          <w:p w14:paraId="7031CBFB" w14:textId="77777777" w:rsidR="002D7080" w:rsidRPr="004D1E6F" w:rsidRDefault="002D7080" w:rsidP="00A96F79">
            <w:pPr>
              <w:spacing w:after="0"/>
              <w:ind w:left="522" w:hanging="522"/>
              <w:jc w:val="both"/>
              <w:rPr>
                <w:rFonts w:ascii="Times New Roman" w:eastAsia="Times New Roman" w:hAnsi="Times New Roman" w:cs="Times New Roman"/>
                <w:color w:val="000000"/>
                <w:sz w:val="20"/>
                <w:szCs w:val="20"/>
                <w:lang w:eastAsia="en-ZA"/>
              </w:rPr>
            </w:pPr>
            <w:r w:rsidRPr="008434F9">
              <w:rPr>
                <w:rFonts w:ascii="Times New Roman" w:eastAsia="Times New Roman" w:hAnsi="Times New Roman" w:cs="Times New Roman"/>
                <w:color w:val="000000"/>
                <w:sz w:val="20"/>
                <w:szCs w:val="20"/>
                <w:lang w:eastAsia="en-ZA"/>
              </w:rPr>
              <w:t xml:space="preserve">Nunes, A.L., Zengeya, T.A., Measey, G.J. &amp; Weyl, O.L.F., 2017, ‘Freshwater crayfish invasions in South Africa: past, present and potential future’, </w:t>
            </w:r>
            <w:r w:rsidRPr="00EC2E77">
              <w:rPr>
                <w:rFonts w:ascii="Times New Roman" w:eastAsia="Times New Roman" w:hAnsi="Times New Roman" w:cs="Times New Roman"/>
                <w:i/>
                <w:iCs/>
                <w:color w:val="000000"/>
                <w:sz w:val="20"/>
                <w:szCs w:val="20"/>
                <w:lang w:eastAsia="en-ZA"/>
              </w:rPr>
              <w:t>African Journal of Aquatic Science</w:t>
            </w:r>
            <w:r w:rsidRPr="00EC2E77">
              <w:rPr>
                <w:rFonts w:ascii="Times New Roman" w:eastAsia="Times New Roman" w:hAnsi="Times New Roman" w:cs="Times New Roman"/>
                <w:color w:val="000000"/>
                <w:sz w:val="20"/>
                <w:szCs w:val="20"/>
                <w:lang w:eastAsia="en-ZA"/>
              </w:rPr>
              <w:t xml:space="preserve">, </w:t>
            </w:r>
            <w:r w:rsidRPr="008434F9">
              <w:rPr>
                <w:rFonts w:ascii="Times New Roman" w:eastAsia="Times New Roman" w:hAnsi="Times New Roman" w:cs="Times New Roman"/>
                <w:color w:val="000000"/>
                <w:sz w:val="20"/>
                <w:szCs w:val="20"/>
                <w:lang w:eastAsia="en-ZA"/>
              </w:rPr>
              <w:t>42, 309</w:t>
            </w:r>
            <w:r>
              <w:rPr>
                <w:rFonts w:ascii="Times New Roman" w:eastAsia="Times New Roman" w:hAnsi="Times New Roman" w:cs="Times New Roman"/>
                <w:color w:val="000000"/>
                <w:sz w:val="20"/>
                <w:szCs w:val="20"/>
                <w:lang w:eastAsia="en-ZA"/>
              </w:rPr>
              <w:t>-</w:t>
            </w:r>
            <w:r w:rsidRPr="008434F9">
              <w:rPr>
                <w:rFonts w:ascii="Times New Roman" w:eastAsia="Times New Roman" w:hAnsi="Times New Roman" w:cs="Times New Roman"/>
                <w:color w:val="000000"/>
                <w:sz w:val="20"/>
                <w:szCs w:val="20"/>
                <w:lang w:eastAsia="en-ZA"/>
              </w:rPr>
              <w:t xml:space="preserve">323, </w:t>
            </w:r>
            <w:hyperlink r:id="rId640" w:history="1">
              <w:r w:rsidRPr="00762F6F">
                <w:rPr>
                  <w:rStyle w:val="Hyperlink"/>
                  <w:rFonts w:ascii="Times New Roman" w:eastAsia="Times New Roman" w:hAnsi="Times New Roman" w:cs="Times New Roman"/>
                  <w:sz w:val="20"/>
                  <w:szCs w:val="20"/>
                  <w:lang w:eastAsia="en-ZA"/>
                </w:rPr>
                <w:t>https://doi.org/10.2989/16085914.2017.1405788</w:t>
              </w:r>
            </w:hyperlink>
            <w:r>
              <w:rPr>
                <w:rFonts w:ascii="Times New Roman" w:eastAsia="Times New Roman" w:hAnsi="Times New Roman" w:cs="Times New Roman"/>
                <w:color w:val="000000"/>
                <w:sz w:val="20"/>
                <w:szCs w:val="20"/>
                <w:lang w:eastAsia="en-ZA"/>
              </w:rPr>
              <w:t xml:space="preserve"> </w:t>
            </w:r>
          </w:p>
        </w:tc>
      </w:tr>
      <w:tr w:rsidR="002D7080" w:rsidRPr="004D1E6F" w14:paraId="260132BA" w14:textId="77777777" w:rsidTr="002E2C37">
        <w:trPr>
          <w:cantSplit/>
          <w:trHeight w:val="233"/>
        </w:trPr>
        <w:tc>
          <w:tcPr>
            <w:tcW w:w="9064"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4E3A19EB"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BAC13 What is the </w:t>
            </w:r>
            <w:r w:rsidRPr="004D1E6F">
              <w:rPr>
                <w:rFonts w:ascii="Times New Roman" w:eastAsia="Times New Roman" w:hAnsi="Times New Roman" w:cs="Times New Roman"/>
                <w:b/>
                <w:i/>
                <w:color w:val="000000"/>
                <w:sz w:val="20"/>
                <w:szCs w:val="20"/>
                <w:lang w:eastAsia="en-ZA"/>
              </w:rPr>
              <w:t>Taxon</w:t>
            </w:r>
            <w:r w:rsidRPr="004D1E6F">
              <w:rPr>
                <w:rFonts w:ascii="Times New Roman" w:eastAsia="Times New Roman" w:hAnsi="Times New Roman" w:cs="Times New Roman"/>
                <w:b/>
                <w:color w:val="000000"/>
                <w:sz w:val="20"/>
                <w:szCs w:val="20"/>
                <w:lang w:eastAsia="en-ZA"/>
              </w:rPr>
              <w:t xml:space="preserve">’s introduction status in the </w:t>
            </w:r>
            <w:r w:rsidRPr="004D1E6F">
              <w:rPr>
                <w:rFonts w:ascii="Times New Roman" w:eastAsia="Times New Roman" w:hAnsi="Times New Roman" w:cs="Times New Roman"/>
                <w:b/>
                <w:i/>
                <w:color w:val="000000"/>
                <w:sz w:val="20"/>
                <w:szCs w:val="20"/>
                <w:lang w:eastAsia="en-ZA"/>
              </w:rPr>
              <w:t>Area</w:t>
            </w:r>
            <w:r w:rsidRPr="004D1E6F">
              <w:rPr>
                <w:rFonts w:ascii="Times New Roman" w:eastAsia="Times New Roman" w:hAnsi="Times New Roman" w:cs="Times New Roman"/>
                <w:b/>
                <w:color w:val="000000"/>
                <w:sz w:val="20"/>
                <w:szCs w:val="20"/>
                <w:lang w:eastAsia="en-ZA"/>
              </w:rPr>
              <w:t>?</w:t>
            </w:r>
          </w:p>
        </w:tc>
      </w:tr>
      <w:tr w:rsidR="002D7080" w:rsidRPr="004D1E6F" w14:paraId="6250B967" w14:textId="77777777" w:rsidTr="002E2C37">
        <w:trPr>
          <w:cantSplit/>
          <w:trHeight w:val="242"/>
        </w:trPr>
        <w:tc>
          <w:tcPr>
            <w:tcW w:w="3780" w:type="dxa"/>
            <w:gridSpan w:val="2"/>
            <w:tcBorders>
              <w:top w:val="single" w:sz="4" w:space="0" w:color="auto"/>
              <w:left w:val="single" w:sz="4" w:space="0" w:color="auto"/>
              <w:bottom w:val="single" w:sz="4" w:space="0" w:color="auto"/>
              <w:right w:val="single" w:sz="4" w:space="0" w:color="auto"/>
            </w:tcBorders>
            <w:noWrap/>
          </w:tcPr>
          <w:p w14:paraId="1703C1B2"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in cultivation/containment.</w:t>
            </w:r>
          </w:p>
        </w:tc>
        <w:tc>
          <w:tcPr>
            <w:tcW w:w="683" w:type="dxa"/>
            <w:tcBorders>
              <w:top w:val="single" w:sz="4" w:space="0" w:color="auto"/>
              <w:left w:val="single" w:sz="4" w:space="0" w:color="auto"/>
              <w:bottom w:val="single" w:sz="4" w:space="0" w:color="auto"/>
              <w:right w:val="single" w:sz="4" w:space="0" w:color="auto"/>
            </w:tcBorders>
          </w:tcPr>
          <w:p w14:paraId="062A7F04"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 xml:space="preserve">Don’t know </w:t>
            </w:r>
          </w:p>
        </w:tc>
        <w:tc>
          <w:tcPr>
            <w:tcW w:w="4601" w:type="dxa"/>
            <w:tcBorders>
              <w:top w:val="single" w:sz="4" w:space="0" w:color="auto"/>
              <w:left w:val="single" w:sz="4" w:space="0" w:color="auto"/>
              <w:bottom w:val="single" w:sz="4" w:space="0" w:color="auto"/>
              <w:right w:val="single" w:sz="4" w:space="0" w:color="auto"/>
            </w:tcBorders>
          </w:tcPr>
          <w:p w14:paraId="27577C85"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046144B4" w14:textId="77777777" w:rsidTr="002E2C37">
        <w:trPr>
          <w:cantSplit/>
          <w:trHeight w:val="87"/>
        </w:trPr>
        <w:tc>
          <w:tcPr>
            <w:tcW w:w="3780" w:type="dxa"/>
            <w:gridSpan w:val="2"/>
            <w:tcBorders>
              <w:top w:val="single" w:sz="4" w:space="0" w:color="auto"/>
              <w:left w:val="single" w:sz="4" w:space="0" w:color="auto"/>
              <w:bottom w:val="single" w:sz="4" w:space="0" w:color="auto"/>
              <w:right w:val="single" w:sz="4" w:space="0" w:color="auto"/>
            </w:tcBorders>
            <w:noWrap/>
          </w:tcPr>
          <w:p w14:paraId="4DE5A25F"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present in the wild.</w:t>
            </w:r>
          </w:p>
        </w:tc>
        <w:tc>
          <w:tcPr>
            <w:tcW w:w="683" w:type="dxa"/>
            <w:tcBorders>
              <w:top w:val="single" w:sz="4" w:space="0" w:color="auto"/>
              <w:left w:val="single" w:sz="4" w:space="0" w:color="auto"/>
              <w:bottom w:val="single" w:sz="4" w:space="0" w:color="auto"/>
              <w:right w:val="single" w:sz="4" w:space="0" w:color="auto"/>
            </w:tcBorders>
          </w:tcPr>
          <w:p w14:paraId="7D92FD4F"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No</w:t>
            </w:r>
            <w:r>
              <w:rPr>
                <w:rFonts w:ascii="Times New Roman" w:eastAsia="Times New Roman" w:hAnsi="Times New Roman" w:cs="Times New Roman"/>
                <w:color w:val="000000"/>
                <w:sz w:val="20"/>
                <w:szCs w:val="20"/>
                <w:lang w:eastAsia="en-ZA"/>
              </w:rPr>
              <w:t>ne</w:t>
            </w:r>
          </w:p>
        </w:tc>
        <w:tc>
          <w:tcPr>
            <w:tcW w:w="4601" w:type="dxa"/>
            <w:tcBorders>
              <w:top w:val="single" w:sz="4" w:space="0" w:color="auto"/>
              <w:left w:val="single" w:sz="4" w:space="0" w:color="auto"/>
              <w:bottom w:val="single" w:sz="4" w:space="0" w:color="auto"/>
              <w:right w:val="single" w:sz="4" w:space="0" w:color="auto"/>
            </w:tcBorders>
          </w:tcPr>
          <w:p w14:paraId="0B0CC7FF"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1CDE5321" w14:textId="77777777" w:rsidTr="002E2C37">
        <w:trPr>
          <w:cantSplit/>
          <w:trHeight w:val="87"/>
        </w:trPr>
        <w:tc>
          <w:tcPr>
            <w:tcW w:w="3780" w:type="dxa"/>
            <w:gridSpan w:val="2"/>
            <w:tcBorders>
              <w:top w:val="single" w:sz="4" w:space="0" w:color="auto"/>
              <w:left w:val="single" w:sz="4" w:space="0" w:color="auto"/>
              <w:bottom w:val="single" w:sz="4" w:space="0" w:color="auto"/>
              <w:right w:val="single" w:sz="4" w:space="0" w:color="auto"/>
            </w:tcBorders>
            <w:noWrap/>
          </w:tcPr>
          <w:p w14:paraId="2295504F"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has established/naturalised.</w:t>
            </w:r>
          </w:p>
        </w:tc>
        <w:tc>
          <w:tcPr>
            <w:tcW w:w="683" w:type="dxa"/>
            <w:tcBorders>
              <w:top w:val="single" w:sz="4" w:space="0" w:color="auto"/>
              <w:left w:val="single" w:sz="4" w:space="0" w:color="auto"/>
              <w:bottom w:val="single" w:sz="4" w:space="0" w:color="auto"/>
              <w:right w:val="single" w:sz="4" w:space="0" w:color="auto"/>
            </w:tcBorders>
          </w:tcPr>
          <w:p w14:paraId="5536B2E6"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No</w:t>
            </w:r>
            <w:r>
              <w:rPr>
                <w:rFonts w:ascii="Times New Roman" w:eastAsia="Times New Roman" w:hAnsi="Times New Roman" w:cs="Times New Roman"/>
                <w:color w:val="000000"/>
                <w:sz w:val="20"/>
                <w:szCs w:val="20"/>
                <w:lang w:eastAsia="en-ZA"/>
              </w:rPr>
              <w:t>ne</w:t>
            </w:r>
          </w:p>
        </w:tc>
        <w:tc>
          <w:tcPr>
            <w:tcW w:w="4601" w:type="dxa"/>
            <w:tcBorders>
              <w:top w:val="single" w:sz="4" w:space="0" w:color="auto"/>
              <w:left w:val="single" w:sz="4" w:space="0" w:color="auto"/>
              <w:bottom w:val="single" w:sz="4" w:space="0" w:color="auto"/>
              <w:right w:val="single" w:sz="4" w:space="0" w:color="auto"/>
            </w:tcBorders>
          </w:tcPr>
          <w:p w14:paraId="2E7A1758"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798D599C" w14:textId="77777777" w:rsidTr="002E2C37">
        <w:trPr>
          <w:cantSplit/>
          <w:trHeight w:val="87"/>
        </w:trPr>
        <w:tc>
          <w:tcPr>
            <w:tcW w:w="3780" w:type="dxa"/>
            <w:gridSpan w:val="2"/>
            <w:tcBorders>
              <w:top w:val="single" w:sz="4" w:space="0" w:color="auto"/>
              <w:left w:val="single" w:sz="4" w:space="0" w:color="auto"/>
              <w:bottom w:val="single" w:sz="4" w:space="0" w:color="auto"/>
              <w:right w:val="single" w:sz="4" w:space="0" w:color="auto"/>
            </w:tcBorders>
            <w:noWrap/>
          </w:tcPr>
          <w:p w14:paraId="1827C965"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The </w:t>
            </w:r>
            <w:r w:rsidRPr="004D1E6F">
              <w:rPr>
                <w:rFonts w:ascii="Times New Roman" w:eastAsia="Times New Roman" w:hAnsi="Times New Roman" w:cs="Times New Roman"/>
                <w:i/>
                <w:color w:val="000000"/>
                <w:sz w:val="20"/>
                <w:szCs w:val="20"/>
                <w:lang w:eastAsia="en-ZA"/>
              </w:rPr>
              <w:t>Taxon</w:t>
            </w:r>
            <w:r w:rsidRPr="004D1E6F">
              <w:rPr>
                <w:rFonts w:ascii="Times New Roman" w:eastAsia="Times New Roman" w:hAnsi="Times New Roman" w:cs="Times New Roman"/>
                <w:color w:val="000000"/>
                <w:sz w:val="20"/>
                <w:szCs w:val="20"/>
                <w:lang w:eastAsia="en-ZA"/>
              </w:rPr>
              <w:t xml:space="preserve"> is invasive.</w:t>
            </w:r>
          </w:p>
        </w:tc>
        <w:tc>
          <w:tcPr>
            <w:tcW w:w="683" w:type="dxa"/>
            <w:tcBorders>
              <w:top w:val="single" w:sz="4" w:space="0" w:color="auto"/>
              <w:left w:val="single" w:sz="4" w:space="0" w:color="auto"/>
              <w:bottom w:val="single" w:sz="4" w:space="0" w:color="auto"/>
              <w:right w:val="single" w:sz="4" w:space="0" w:color="auto"/>
            </w:tcBorders>
          </w:tcPr>
          <w:p w14:paraId="4965E834"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No</w:t>
            </w:r>
            <w:r>
              <w:rPr>
                <w:rFonts w:ascii="Times New Roman" w:eastAsia="Times New Roman" w:hAnsi="Times New Roman" w:cs="Times New Roman"/>
                <w:color w:val="000000"/>
                <w:sz w:val="20"/>
                <w:szCs w:val="20"/>
                <w:lang w:eastAsia="en-ZA"/>
              </w:rPr>
              <w:t>ne</w:t>
            </w:r>
          </w:p>
        </w:tc>
        <w:tc>
          <w:tcPr>
            <w:tcW w:w="4601" w:type="dxa"/>
            <w:tcBorders>
              <w:top w:val="single" w:sz="4" w:space="0" w:color="auto"/>
              <w:left w:val="single" w:sz="4" w:space="0" w:color="auto"/>
              <w:bottom w:val="single" w:sz="4" w:space="0" w:color="auto"/>
              <w:right w:val="single" w:sz="4" w:space="0" w:color="auto"/>
            </w:tcBorders>
          </w:tcPr>
          <w:p w14:paraId="6589FBCA"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0BDCEC29" w14:textId="77777777" w:rsidTr="002E2C37">
        <w:trPr>
          <w:cantSplit/>
          <w:trHeight w:val="278"/>
        </w:trPr>
        <w:tc>
          <w:tcPr>
            <w:tcW w:w="9064" w:type="dxa"/>
            <w:gridSpan w:val="4"/>
            <w:tcBorders>
              <w:top w:val="single" w:sz="4" w:space="0" w:color="auto"/>
              <w:left w:val="single" w:sz="4" w:space="0" w:color="auto"/>
              <w:bottom w:val="single" w:sz="4" w:space="0" w:color="auto"/>
              <w:right w:val="single" w:sz="4" w:space="0" w:color="auto"/>
            </w:tcBorders>
            <w:noWrap/>
          </w:tcPr>
          <w:p w14:paraId="3EB39EB9"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sz w:val="20"/>
                <w:szCs w:val="20"/>
                <w:lang w:eastAsia="en-ZA"/>
              </w:rPr>
              <w:t xml:space="preserve">There </w:t>
            </w:r>
            <w:r w:rsidRPr="004D1E6F">
              <w:rPr>
                <w:rFonts w:ascii="Times New Roman" w:eastAsia="Times New Roman" w:hAnsi="Times New Roman" w:cs="Times New Roman"/>
                <w:sz w:val="20"/>
                <w:szCs w:val="20"/>
                <w:lang w:eastAsia="en-ZA"/>
              </w:rPr>
              <w:t xml:space="preserve">are no verified records of </w:t>
            </w:r>
            <w:r w:rsidRPr="004D1E6F">
              <w:rPr>
                <w:rFonts w:ascii="Times New Roman" w:eastAsia="Times New Roman" w:hAnsi="Times New Roman" w:cs="Times New Roman"/>
                <w:i/>
                <w:iCs/>
                <w:color w:val="000000"/>
                <w:sz w:val="20"/>
                <w:szCs w:val="20"/>
                <w:lang w:eastAsia="en-ZA"/>
              </w:rPr>
              <w:t>Procambarus virginalis</w:t>
            </w:r>
            <w:r w:rsidRPr="004E1852">
              <w:rPr>
                <w:rFonts w:ascii="Times New Roman" w:eastAsia="Times New Roman" w:hAnsi="Times New Roman" w:cs="Times New Roman"/>
                <w:i/>
                <w:iCs/>
                <w:sz w:val="20"/>
                <w:szCs w:val="20"/>
                <w:lang w:eastAsia="en-ZA"/>
              </w:rPr>
              <w:t xml:space="preserve"> </w:t>
            </w:r>
            <w:r w:rsidRPr="004D1E6F">
              <w:rPr>
                <w:rFonts w:ascii="Times New Roman" w:eastAsia="Times New Roman" w:hAnsi="Times New Roman" w:cs="Times New Roman"/>
                <w:sz w:val="20"/>
                <w:szCs w:val="20"/>
                <w:lang w:eastAsia="en-ZA"/>
              </w:rPr>
              <w:t>presence in South Africa (Nunes et al. 2017).</w:t>
            </w:r>
          </w:p>
        </w:tc>
      </w:tr>
      <w:tr w:rsidR="002D7080" w:rsidRPr="004D1E6F" w14:paraId="51AD95F5" w14:textId="77777777" w:rsidTr="002E2C37">
        <w:trPr>
          <w:cantSplit/>
          <w:trHeight w:val="419"/>
        </w:trPr>
        <w:tc>
          <w:tcPr>
            <w:tcW w:w="9064" w:type="dxa"/>
            <w:gridSpan w:val="4"/>
            <w:tcBorders>
              <w:top w:val="single" w:sz="4" w:space="0" w:color="auto"/>
              <w:left w:val="single" w:sz="4" w:space="0" w:color="auto"/>
              <w:bottom w:val="single" w:sz="4" w:space="0" w:color="auto"/>
              <w:right w:val="single" w:sz="4" w:space="0" w:color="auto"/>
            </w:tcBorders>
            <w:noWrap/>
          </w:tcPr>
          <w:p w14:paraId="355CA947"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3ED6CE1A" w14:textId="77777777" w:rsidR="002D7080" w:rsidRPr="004D1E6F" w:rsidRDefault="002D7080" w:rsidP="00A96F79">
            <w:pPr>
              <w:spacing w:after="0"/>
              <w:ind w:left="510" w:hanging="51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Nunes, A.L., Zengeya, T.A., Measey, G.J. &amp; Weyl, O.L.F., 2017b,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w:t>
            </w:r>
            <w:r>
              <w:rPr>
                <w:rFonts w:ascii="Times New Roman" w:eastAsia="Times New Roman" w:hAnsi="Times New Roman" w:cs="Times New Roman"/>
                <w:color w:val="000000"/>
                <w:sz w:val="20"/>
                <w:szCs w:val="20"/>
                <w:lang w:eastAsia="en-ZA"/>
              </w:rPr>
              <w:t xml:space="preserve">. </w:t>
            </w:r>
            <w:hyperlink r:id="rId641" w:history="1">
              <w:r w:rsidRPr="00493A30">
                <w:rPr>
                  <w:rStyle w:val="Hyperlink"/>
                  <w:rFonts w:ascii="Times New Roman" w:eastAsia="Times New Roman" w:hAnsi="Times New Roman" w:cs="Times New Roman"/>
                  <w:sz w:val="20"/>
                  <w:szCs w:val="20"/>
                  <w:lang w:eastAsia="en-ZA"/>
                </w:rPr>
                <w:t>https://doi.org/10.2989/16085914.2017.1405788</w:t>
              </w:r>
            </w:hyperlink>
            <w:r>
              <w:rPr>
                <w:rFonts w:ascii="Times New Roman" w:eastAsia="Times New Roman" w:hAnsi="Times New Roman" w:cs="Times New Roman"/>
                <w:color w:val="000000"/>
                <w:sz w:val="20"/>
                <w:szCs w:val="20"/>
                <w:lang w:eastAsia="en-ZA"/>
              </w:rPr>
              <w:t>.</w:t>
            </w:r>
          </w:p>
        </w:tc>
      </w:tr>
      <w:tr w:rsidR="002D7080" w:rsidRPr="004D1E6F" w14:paraId="200BFFDA" w14:textId="77777777" w:rsidTr="002E2C37">
        <w:trPr>
          <w:cantSplit/>
          <w:trHeight w:val="419"/>
        </w:trPr>
        <w:tc>
          <w:tcPr>
            <w:tcW w:w="9064"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noWrap/>
          </w:tcPr>
          <w:p w14:paraId="0B5EC208" w14:textId="77777777" w:rsidR="002D7080" w:rsidRPr="004D1E6F" w:rsidRDefault="002D7080" w:rsidP="00A96F79">
            <w:pPr>
              <w:spacing w:after="0"/>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BAC14 Primary (introduction) pathways</w:t>
            </w:r>
          </w:p>
          <w:p w14:paraId="4D466135"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p>
        </w:tc>
      </w:tr>
      <w:tr w:rsidR="002D7080" w:rsidRPr="004D1E6F" w14:paraId="174C07B5" w14:textId="77777777" w:rsidTr="002E2C37">
        <w:trPr>
          <w:cantSplit/>
          <w:trHeight w:val="61"/>
        </w:trPr>
        <w:tc>
          <w:tcPr>
            <w:tcW w:w="2430" w:type="dxa"/>
            <w:tcBorders>
              <w:top w:val="single" w:sz="4" w:space="0" w:color="auto"/>
              <w:left w:val="single" w:sz="4" w:space="0" w:color="auto"/>
              <w:bottom w:val="single" w:sz="4" w:space="0" w:color="auto"/>
              <w:right w:val="single" w:sz="4" w:space="0" w:color="auto"/>
            </w:tcBorders>
            <w:noWrap/>
          </w:tcPr>
          <w:p w14:paraId="0763209F"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Release</w:t>
            </w:r>
          </w:p>
        </w:tc>
        <w:tc>
          <w:tcPr>
            <w:tcW w:w="2033" w:type="dxa"/>
            <w:gridSpan w:val="2"/>
            <w:tcBorders>
              <w:top w:val="single" w:sz="4" w:space="0" w:color="auto"/>
              <w:left w:val="single" w:sz="4" w:space="0" w:color="auto"/>
              <w:bottom w:val="single" w:sz="4" w:space="0" w:color="auto"/>
              <w:right w:val="single" w:sz="4" w:space="0" w:color="auto"/>
            </w:tcBorders>
          </w:tcPr>
          <w:p w14:paraId="00E71FC0"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NA</w:t>
            </w:r>
          </w:p>
        </w:tc>
        <w:tc>
          <w:tcPr>
            <w:tcW w:w="4601" w:type="dxa"/>
            <w:tcBorders>
              <w:top w:val="single" w:sz="4" w:space="0" w:color="auto"/>
              <w:left w:val="single" w:sz="4" w:space="0" w:color="auto"/>
              <w:bottom w:val="single" w:sz="4" w:space="0" w:color="auto"/>
              <w:right w:val="single" w:sz="4" w:space="0" w:color="auto"/>
            </w:tcBorders>
          </w:tcPr>
          <w:p w14:paraId="3DB9ADC4"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75794CC7" w14:textId="77777777" w:rsidTr="002E2C37">
        <w:trPr>
          <w:cantSplit/>
          <w:trHeight w:val="260"/>
        </w:trPr>
        <w:tc>
          <w:tcPr>
            <w:tcW w:w="2430" w:type="dxa"/>
            <w:tcBorders>
              <w:top w:val="single" w:sz="4" w:space="0" w:color="auto"/>
              <w:left w:val="single" w:sz="4" w:space="0" w:color="auto"/>
              <w:bottom w:val="single" w:sz="4" w:space="0" w:color="auto"/>
              <w:right w:val="single" w:sz="4" w:space="0" w:color="auto"/>
            </w:tcBorders>
            <w:noWrap/>
          </w:tcPr>
          <w:p w14:paraId="5AD05EFA"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Escape</w:t>
            </w:r>
          </w:p>
        </w:tc>
        <w:tc>
          <w:tcPr>
            <w:tcW w:w="2033" w:type="dxa"/>
            <w:gridSpan w:val="2"/>
            <w:tcBorders>
              <w:top w:val="single" w:sz="4" w:space="0" w:color="auto"/>
              <w:left w:val="single" w:sz="4" w:space="0" w:color="auto"/>
              <w:bottom w:val="single" w:sz="4" w:space="0" w:color="auto"/>
              <w:right w:val="single" w:sz="4" w:space="0" w:color="auto"/>
            </w:tcBorders>
          </w:tcPr>
          <w:p w14:paraId="06D88DD1"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Aquarium trade</w:t>
            </w:r>
            <w:r>
              <w:rPr>
                <w:rFonts w:ascii="Times New Roman" w:eastAsia="Times New Roman" w:hAnsi="Times New Roman" w:cs="Times New Roman"/>
                <w:color w:val="000000"/>
                <w:sz w:val="20"/>
                <w:szCs w:val="20"/>
                <w:lang w:eastAsia="en-ZA"/>
              </w:rPr>
              <w:t xml:space="preserve"> | Aquaculture </w:t>
            </w:r>
          </w:p>
        </w:tc>
        <w:tc>
          <w:tcPr>
            <w:tcW w:w="4601" w:type="dxa"/>
            <w:tcBorders>
              <w:top w:val="single" w:sz="4" w:space="0" w:color="auto"/>
              <w:left w:val="single" w:sz="4" w:space="0" w:color="auto"/>
              <w:bottom w:val="single" w:sz="4" w:space="0" w:color="auto"/>
              <w:right w:val="single" w:sz="4" w:space="0" w:color="auto"/>
            </w:tcBorders>
          </w:tcPr>
          <w:p w14:paraId="3CC53B1B"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077F485F"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noWrap/>
          </w:tcPr>
          <w:p w14:paraId="4983638E"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Contaminant</w:t>
            </w:r>
          </w:p>
        </w:tc>
        <w:tc>
          <w:tcPr>
            <w:tcW w:w="2033" w:type="dxa"/>
            <w:gridSpan w:val="2"/>
            <w:tcBorders>
              <w:top w:val="single" w:sz="4" w:space="0" w:color="auto"/>
              <w:left w:val="single" w:sz="4" w:space="0" w:color="auto"/>
              <w:bottom w:val="single" w:sz="4" w:space="0" w:color="auto"/>
              <w:right w:val="single" w:sz="4" w:space="0" w:color="auto"/>
            </w:tcBorders>
          </w:tcPr>
          <w:p w14:paraId="508F22C4"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NA</w:t>
            </w:r>
          </w:p>
        </w:tc>
        <w:tc>
          <w:tcPr>
            <w:tcW w:w="4601" w:type="dxa"/>
            <w:tcBorders>
              <w:top w:val="single" w:sz="4" w:space="0" w:color="auto"/>
              <w:left w:val="single" w:sz="4" w:space="0" w:color="auto"/>
              <w:bottom w:val="single" w:sz="4" w:space="0" w:color="auto"/>
              <w:right w:val="single" w:sz="4" w:space="0" w:color="auto"/>
            </w:tcBorders>
          </w:tcPr>
          <w:p w14:paraId="1E358D6D"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33759035"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noWrap/>
          </w:tcPr>
          <w:p w14:paraId="390819B6"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Stowaway</w:t>
            </w:r>
          </w:p>
        </w:tc>
        <w:tc>
          <w:tcPr>
            <w:tcW w:w="2033" w:type="dxa"/>
            <w:gridSpan w:val="2"/>
            <w:tcBorders>
              <w:top w:val="single" w:sz="4" w:space="0" w:color="auto"/>
              <w:left w:val="single" w:sz="4" w:space="0" w:color="auto"/>
              <w:bottom w:val="single" w:sz="4" w:space="0" w:color="auto"/>
              <w:right w:val="single" w:sz="4" w:space="0" w:color="auto"/>
            </w:tcBorders>
          </w:tcPr>
          <w:p w14:paraId="06CF339C"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NA</w:t>
            </w:r>
          </w:p>
        </w:tc>
        <w:tc>
          <w:tcPr>
            <w:tcW w:w="4601" w:type="dxa"/>
            <w:tcBorders>
              <w:top w:val="single" w:sz="4" w:space="0" w:color="auto"/>
              <w:left w:val="single" w:sz="4" w:space="0" w:color="auto"/>
              <w:bottom w:val="single" w:sz="4" w:space="0" w:color="auto"/>
              <w:right w:val="single" w:sz="4" w:space="0" w:color="auto"/>
            </w:tcBorders>
          </w:tcPr>
          <w:p w14:paraId="55FBAF01"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48E9C164"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noWrap/>
          </w:tcPr>
          <w:p w14:paraId="402A08BC"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Corridor</w:t>
            </w:r>
          </w:p>
        </w:tc>
        <w:tc>
          <w:tcPr>
            <w:tcW w:w="2033" w:type="dxa"/>
            <w:gridSpan w:val="2"/>
            <w:tcBorders>
              <w:top w:val="single" w:sz="4" w:space="0" w:color="auto"/>
              <w:left w:val="single" w:sz="4" w:space="0" w:color="auto"/>
              <w:bottom w:val="single" w:sz="4" w:space="0" w:color="auto"/>
              <w:right w:val="single" w:sz="4" w:space="0" w:color="auto"/>
            </w:tcBorders>
          </w:tcPr>
          <w:p w14:paraId="279DF914"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NA</w:t>
            </w:r>
          </w:p>
        </w:tc>
        <w:tc>
          <w:tcPr>
            <w:tcW w:w="4601" w:type="dxa"/>
            <w:tcBorders>
              <w:top w:val="single" w:sz="4" w:space="0" w:color="auto"/>
              <w:left w:val="single" w:sz="4" w:space="0" w:color="auto"/>
              <w:bottom w:val="single" w:sz="4" w:space="0" w:color="auto"/>
              <w:right w:val="single" w:sz="4" w:space="0" w:color="auto"/>
            </w:tcBorders>
          </w:tcPr>
          <w:p w14:paraId="72693381"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2D0CA06B" w14:textId="77777777" w:rsidTr="002E2C37">
        <w:trPr>
          <w:cantSplit/>
          <w:trHeight w:val="58"/>
        </w:trPr>
        <w:tc>
          <w:tcPr>
            <w:tcW w:w="2430" w:type="dxa"/>
            <w:tcBorders>
              <w:top w:val="single" w:sz="4" w:space="0" w:color="auto"/>
              <w:left w:val="single" w:sz="4" w:space="0" w:color="auto"/>
              <w:bottom w:val="single" w:sz="4" w:space="0" w:color="auto"/>
              <w:right w:val="single" w:sz="4" w:space="0" w:color="auto"/>
            </w:tcBorders>
            <w:noWrap/>
          </w:tcPr>
          <w:p w14:paraId="4AACF7F6"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Unaided</w:t>
            </w:r>
          </w:p>
        </w:tc>
        <w:tc>
          <w:tcPr>
            <w:tcW w:w="2033" w:type="dxa"/>
            <w:gridSpan w:val="2"/>
            <w:tcBorders>
              <w:top w:val="single" w:sz="4" w:space="0" w:color="auto"/>
              <w:left w:val="single" w:sz="4" w:space="0" w:color="auto"/>
              <w:bottom w:val="single" w:sz="4" w:space="0" w:color="auto"/>
              <w:right w:val="single" w:sz="4" w:space="0" w:color="auto"/>
            </w:tcBorders>
          </w:tcPr>
          <w:p w14:paraId="68B18204"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NA</w:t>
            </w:r>
          </w:p>
        </w:tc>
        <w:tc>
          <w:tcPr>
            <w:tcW w:w="4601" w:type="dxa"/>
            <w:tcBorders>
              <w:top w:val="single" w:sz="4" w:space="0" w:color="auto"/>
              <w:left w:val="single" w:sz="4" w:space="0" w:color="auto"/>
              <w:bottom w:val="single" w:sz="4" w:space="0" w:color="auto"/>
              <w:right w:val="single" w:sz="4" w:space="0" w:color="auto"/>
            </w:tcBorders>
          </w:tcPr>
          <w:p w14:paraId="7CD5B1A2"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4DD761D3" w14:textId="77777777" w:rsidTr="002E2C37">
        <w:trPr>
          <w:cantSplit/>
          <w:trHeight w:val="419"/>
        </w:trPr>
        <w:tc>
          <w:tcPr>
            <w:tcW w:w="9064" w:type="dxa"/>
            <w:gridSpan w:val="4"/>
            <w:tcBorders>
              <w:top w:val="single" w:sz="4" w:space="0" w:color="auto"/>
              <w:left w:val="single" w:sz="4" w:space="0" w:color="auto"/>
              <w:bottom w:val="single" w:sz="4" w:space="0" w:color="auto"/>
              <w:right w:val="single" w:sz="4" w:space="0" w:color="auto"/>
            </w:tcBorders>
            <w:noWrap/>
          </w:tcPr>
          <w:p w14:paraId="5872F96B" w14:textId="01BFA00E" w:rsidR="002D7080" w:rsidRPr="004D1E6F" w:rsidRDefault="002D7080" w:rsidP="00A96F79">
            <w:pPr>
              <w:spacing w:after="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Comments:</w:t>
            </w:r>
            <w:r w:rsidRPr="004D1E6F">
              <w:rPr>
                <w:rFonts w:ascii="Times New Roman" w:eastAsia="Times New Roman" w:hAnsi="Times New Roman" w:cs="Times New Roman"/>
                <w:i/>
                <w:iCs/>
                <w:color w:val="000000"/>
                <w:sz w:val="20"/>
                <w:szCs w:val="20"/>
                <w:lang w:eastAsia="en-ZA"/>
              </w:rPr>
              <w:t xml:space="preserve"> Procambarus virginalis</w:t>
            </w:r>
            <w:r w:rsidRPr="004E1852">
              <w:rPr>
                <w:rFonts w:ascii="Times New Roman" w:eastAsia="Times New Roman" w:hAnsi="Times New Roman" w:cs="Times New Roman"/>
                <w:i/>
                <w:iCs/>
                <w:sz w:val="20"/>
                <w:szCs w:val="20"/>
                <w:lang w:eastAsia="en-ZA"/>
              </w:rPr>
              <w:t xml:space="preserve"> </w:t>
            </w:r>
            <w:r w:rsidRPr="004E1852">
              <w:rPr>
                <w:rFonts w:ascii="Times New Roman" w:eastAsia="Times New Roman" w:hAnsi="Times New Roman" w:cs="Times New Roman"/>
                <w:sz w:val="20"/>
                <w:szCs w:val="20"/>
                <w:lang w:eastAsia="en-ZA"/>
              </w:rPr>
              <w:t>has</w:t>
            </w:r>
            <w:r w:rsidRPr="00230829">
              <w:rPr>
                <w:rFonts w:ascii="Times New Roman" w:eastAsia="Times New Roman" w:hAnsi="Times New Roman" w:cs="Times New Roman"/>
                <w:sz w:val="20"/>
                <w:szCs w:val="20"/>
                <w:lang w:eastAsia="en-ZA"/>
              </w:rPr>
              <w:t xml:space="preserve"> been </w:t>
            </w:r>
            <w:r>
              <w:rPr>
                <w:rFonts w:ascii="Times New Roman" w:eastAsia="Times New Roman" w:hAnsi="Times New Roman" w:cs="Times New Roman"/>
                <w:sz w:val="20"/>
                <w:szCs w:val="20"/>
                <w:lang w:eastAsia="en-ZA"/>
              </w:rPr>
              <w:t xml:space="preserve">introduced to several </w:t>
            </w:r>
            <w:r w:rsidR="005D1D6C">
              <w:rPr>
                <w:rFonts w:ascii="Times New Roman" w:eastAsia="Times New Roman" w:hAnsi="Times New Roman" w:cs="Times New Roman"/>
                <w:sz w:val="20"/>
                <w:szCs w:val="20"/>
                <w:lang w:eastAsia="en-ZA"/>
              </w:rPr>
              <w:t>countries</w:t>
            </w:r>
            <w:r>
              <w:rPr>
                <w:rFonts w:ascii="Times New Roman" w:eastAsia="Times New Roman" w:hAnsi="Times New Roman" w:cs="Times New Roman"/>
                <w:sz w:val="20"/>
                <w:szCs w:val="20"/>
                <w:lang w:eastAsia="en-ZA"/>
              </w:rPr>
              <w:t xml:space="preserve"> globally mainly through the pet trade (e.g., </w:t>
            </w:r>
            <w:r w:rsidRPr="0051703E">
              <w:rPr>
                <w:rFonts w:ascii="Times New Roman" w:eastAsia="Times New Roman" w:hAnsi="Times New Roman" w:cs="Times New Roman"/>
                <w:sz w:val="20"/>
                <w:szCs w:val="20"/>
                <w:lang w:eastAsia="en-ZA"/>
              </w:rPr>
              <w:t xml:space="preserve">Souty-Grosset et al., 2006; </w:t>
            </w:r>
            <w:r>
              <w:rPr>
                <w:rFonts w:ascii="Times New Roman" w:eastAsia="Times New Roman" w:hAnsi="Times New Roman" w:cs="Times New Roman"/>
                <w:sz w:val="20"/>
                <w:szCs w:val="20"/>
                <w:lang w:eastAsia="en-ZA"/>
              </w:rPr>
              <w:t xml:space="preserve">Feria et al. 2011; Faulkes et al. 2012; </w:t>
            </w:r>
            <w:r w:rsidRPr="0051703E">
              <w:rPr>
                <w:rFonts w:ascii="Times New Roman" w:eastAsia="Times New Roman" w:hAnsi="Times New Roman" w:cs="Times New Roman"/>
                <w:sz w:val="20"/>
                <w:szCs w:val="20"/>
                <w:lang w:eastAsia="en-ZA"/>
              </w:rPr>
              <w:t>Chucholl and Pfeiffer, 2010</w:t>
            </w:r>
            <w:r>
              <w:rPr>
                <w:rFonts w:ascii="Times New Roman" w:eastAsia="Times New Roman" w:hAnsi="Times New Roman" w:cs="Times New Roman"/>
                <w:sz w:val="20"/>
                <w:szCs w:val="20"/>
                <w:lang w:eastAsia="en-ZA"/>
              </w:rPr>
              <w:t xml:space="preserve">; </w:t>
            </w:r>
            <w:r w:rsidRPr="00CE3A9C">
              <w:rPr>
                <w:rFonts w:ascii="Times New Roman" w:hAnsi="Times New Roman" w:cs="Times New Roman"/>
                <w:sz w:val="20"/>
                <w:szCs w:val="20"/>
              </w:rPr>
              <w:t>Olden</w:t>
            </w:r>
            <w:r>
              <w:rPr>
                <w:rFonts w:ascii="Times New Roman" w:hAnsi="Times New Roman" w:cs="Times New Roman"/>
                <w:sz w:val="20"/>
                <w:szCs w:val="20"/>
              </w:rPr>
              <w:t xml:space="preserve"> &amp; </w:t>
            </w:r>
            <w:r w:rsidRPr="00CE3A9C">
              <w:rPr>
                <w:rFonts w:ascii="Times New Roman" w:hAnsi="Times New Roman" w:cs="Times New Roman"/>
                <w:sz w:val="20"/>
                <w:szCs w:val="20"/>
              </w:rPr>
              <w:t>Carvalho</w:t>
            </w:r>
            <w:r>
              <w:rPr>
                <w:rFonts w:ascii="Times New Roman" w:hAnsi="Times New Roman" w:cs="Times New Roman"/>
                <w:sz w:val="20"/>
                <w:szCs w:val="20"/>
              </w:rPr>
              <w:t xml:space="preserve"> </w:t>
            </w:r>
            <w:r w:rsidRPr="00CE3A9C">
              <w:rPr>
                <w:rFonts w:ascii="Times New Roman" w:hAnsi="Times New Roman" w:cs="Times New Roman"/>
                <w:sz w:val="20"/>
                <w:szCs w:val="20"/>
              </w:rPr>
              <w:t>2024</w:t>
            </w:r>
            <w:r w:rsidRPr="0051703E">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 xml:space="preserve">. Secondary introductions for human </w:t>
            </w:r>
            <w:r w:rsidR="005D1D6C">
              <w:rPr>
                <w:rFonts w:ascii="Times New Roman" w:eastAsia="Times New Roman" w:hAnsi="Times New Roman" w:cs="Times New Roman"/>
                <w:sz w:val="20"/>
                <w:szCs w:val="20"/>
                <w:lang w:eastAsia="en-ZA"/>
              </w:rPr>
              <w:t>consumption</w:t>
            </w:r>
            <w:r>
              <w:rPr>
                <w:rFonts w:ascii="Times New Roman" w:eastAsia="Times New Roman" w:hAnsi="Times New Roman" w:cs="Times New Roman"/>
                <w:sz w:val="20"/>
                <w:szCs w:val="20"/>
                <w:lang w:eastAsia="en-ZA"/>
              </w:rPr>
              <w:t xml:space="preserve"> have </w:t>
            </w:r>
            <w:r w:rsidR="005D1D6C">
              <w:rPr>
                <w:rFonts w:ascii="Times New Roman" w:eastAsia="Times New Roman" w:hAnsi="Times New Roman" w:cs="Times New Roman"/>
                <w:sz w:val="20"/>
                <w:szCs w:val="20"/>
                <w:lang w:eastAsia="en-ZA"/>
              </w:rPr>
              <w:t>also</w:t>
            </w:r>
            <w:r>
              <w:rPr>
                <w:rFonts w:ascii="Times New Roman" w:eastAsia="Times New Roman" w:hAnsi="Times New Roman" w:cs="Times New Roman"/>
                <w:sz w:val="20"/>
                <w:szCs w:val="20"/>
                <w:lang w:eastAsia="en-ZA"/>
              </w:rPr>
              <w:t xml:space="preserve"> occurred in Madagascar </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Jones et al. 2009</w:t>
            </w:r>
            <w:r w:rsidRPr="004D1E6F">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w:t>
            </w:r>
          </w:p>
        </w:tc>
      </w:tr>
      <w:tr w:rsidR="002D7080" w:rsidRPr="004D1E6F" w14:paraId="08930CBA" w14:textId="77777777" w:rsidTr="002E2C37">
        <w:trPr>
          <w:cantSplit/>
          <w:trHeight w:val="419"/>
        </w:trPr>
        <w:tc>
          <w:tcPr>
            <w:tcW w:w="9064" w:type="dxa"/>
            <w:gridSpan w:val="4"/>
            <w:tcBorders>
              <w:top w:val="single" w:sz="4" w:space="0" w:color="auto"/>
              <w:left w:val="single" w:sz="4" w:space="0" w:color="auto"/>
              <w:bottom w:val="single" w:sz="4" w:space="0" w:color="auto"/>
              <w:right w:val="single" w:sz="4" w:space="0" w:color="auto"/>
            </w:tcBorders>
            <w:noWrap/>
          </w:tcPr>
          <w:p w14:paraId="5AD0C154" w14:textId="77777777" w:rsidR="002D7080" w:rsidRPr="004D1E6F" w:rsidRDefault="002D7080" w:rsidP="00A96F79">
            <w:pPr>
              <w:spacing w:after="0"/>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1595A004" w14:textId="77777777" w:rsidR="002D7080" w:rsidRDefault="002D7080" w:rsidP="00A96F79">
            <w:pPr>
              <w:spacing w:after="0"/>
              <w:ind w:left="585" w:hanging="585"/>
              <w:jc w:val="both"/>
              <w:rPr>
                <w:rFonts w:ascii="Times New Roman" w:eastAsia="Times New Roman" w:hAnsi="Times New Roman" w:cs="Times New Roman"/>
                <w:iCs/>
                <w:color w:val="000000"/>
                <w:sz w:val="20"/>
                <w:szCs w:val="20"/>
                <w:lang w:eastAsia="en-ZA"/>
              </w:rPr>
            </w:pPr>
            <w:r w:rsidRPr="00671CD3">
              <w:rPr>
                <w:rFonts w:ascii="Times New Roman" w:eastAsia="Times New Roman" w:hAnsi="Times New Roman" w:cs="Times New Roman"/>
                <w:iCs/>
                <w:color w:val="000000"/>
                <w:sz w:val="20"/>
                <w:szCs w:val="20"/>
                <w:lang w:eastAsia="en-ZA"/>
              </w:rPr>
              <w:t xml:space="preserve">Chucholl, C. &amp; Pfeiffer, M. 2010, ‘First evidence for an established Marmorkrebs (Decapoda, Astacida, Cambaridae) population in Southwestern Germany, in syntopic occurrence with </w:t>
            </w:r>
            <w:r w:rsidRPr="00AB2ABA">
              <w:rPr>
                <w:rFonts w:ascii="Times New Roman" w:eastAsia="Times New Roman" w:hAnsi="Times New Roman" w:cs="Times New Roman"/>
                <w:i/>
                <w:color w:val="000000"/>
                <w:sz w:val="20"/>
                <w:szCs w:val="20"/>
                <w:lang w:eastAsia="en-ZA"/>
              </w:rPr>
              <w:t>Orconectes limosus</w:t>
            </w:r>
            <w:r w:rsidRPr="00671CD3">
              <w:rPr>
                <w:rFonts w:ascii="Times New Roman" w:eastAsia="Times New Roman" w:hAnsi="Times New Roman" w:cs="Times New Roman"/>
                <w:iCs/>
                <w:color w:val="000000"/>
                <w:sz w:val="20"/>
                <w:szCs w:val="20"/>
                <w:lang w:eastAsia="en-ZA"/>
              </w:rPr>
              <w:t xml:space="preserve"> (Rafinesque, 1817)’, </w:t>
            </w:r>
            <w:r w:rsidRPr="00D550D5">
              <w:rPr>
                <w:rFonts w:ascii="Times New Roman" w:eastAsia="Times New Roman" w:hAnsi="Times New Roman" w:cs="Times New Roman"/>
                <w:i/>
                <w:color w:val="000000"/>
                <w:sz w:val="20"/>
                <w:szCs w:val="20"/>
                <w:lang w:eastAsia="en-ZA"/>
              </w:rPr>
              <w:t>Aquatic invasions</w:t>
            </w:r>
            <w:r w:rsidRPr="00671CD3">
              <w:rPr>
                <w:rFonts w:ascii="Times New Roman" w:eastAsia="Times New Roman" w:hAnsi="Times New Roman" w:cs="Times New Roman"/>
                <w:iCs/>
                <w:color w:val="000000"/>
                <w:sz w:val="20"/>
                <w:szCs w:val="20"/>
                <w:lang w:eastAsia="en-ZA"/>
              </w:rPr>
              <w:t xml:space="preserve"> 5, 405-412.</w:t>
            </w:r>
            <w:r>
              <w:rPr>
                <w:rFonts w:ascii="Times New Roman" w:eastAsia="Times New Roman" w:hAnsi="Times New Roman" w:cs="Times New Roman"/>
                <w:iCs/>
                <w:color w:val="000000"/>
                <w:sz w:val="20"/>
                <w:szCs w:val="20"/>
                <w:lang w:eastAsia="en-ZA"/>
              </w:rPr>
              <w:t xml:space="preserve"> </w:t>
            </w:r>
            <w:hyperlink r:id="rId642" w:history="1">
              <w:r w:rsidRPr="00762F6F">
                <w:rPr>
                  <w:rStyle w:val="Hyperlink"/>
                  <w:rFonts w:ascii="Times New Roman" w:eastAsia="Times New Roman" w:hAnsi="Times New Roman" w:cs="Times New Roman"/>
                  <w:iCs/>
                  <w:sz w:val="20"/>
                  <w:szCs w:val="20"/>
                  <w:lang w:eastAsia="en-ZA"/>
                </w:rPr>
                <w:t>https://doi.org/10.3391/ai.2010.5.4.10</w:t>
              </w:r>
            </w:hyperlink>
          </w:p>
          <w:p w14:paraId="28286D88" w14:textId="0D2F1C3F" w:rsidR="002D7080" w:rsidRDefault="002D7080" w:rsidP="00A96F79">
            <w:pPr>
              <w:spacing w:after="0"/>
              <w:ind w:left="522" w:hanging="522"/>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Faulkes Z. Feria TP, Muñoz J. 2012. Do Marmorkrebs, </w:t>
            </w:r>
            <w:r w:rsidRPr="004D1E6F">
              <w:rPr>
                <w:rFonts w:ascii="Times New Roman" w:eastAsia="Times New Roman" w:hAnsi="Times New Roman" w:cs="Times New Roman"/>
                <w:i/>
                <w:color w:val="000000"/>
                <w:sz w:val="20"/>
                <w:szCs w:val="20"/>
                <w:lang w:eastAsia="en-ZA"/>
              </w:rPr>
              <w:t>Procambarus fallax f. virginalis</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ab/>
              <w:t xml:space="preserve">threaten freshwater Japanese ecosystems?. </w:t>
            </w:r>
            <w:r w:rsidRPr="004D1E6F">
              <w:rPr>
                <w:rFonts w:ascii="Times New Roman" w:eastAsia="Times New Roman" w:hAnsi="Times New Roman" w:cs="Times New Roman"/>
                <w:i/>
                <w:iCs/>
                <w:color w:val="000000"/>
                <w:sz w:val="20"/>
                <w:szCs w:val="20"/>
                <w:lang w:eastAsia="en-ZA"/>
              </w:rPr>
              <w:t>Aquatic Biosystems</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8</w:t>
            </w:r>
            <w:r w:rsidRPr="004D1E6F">
              <w:rPr>
                <w:rFonts w:ascii="Times New Roman" w:eastAsia="Times New Roman" w:hAnsi="Times New Roman" w:cs="Times New Roman"/>
                <w:color w:val="000000"/>
                <w:sz w:val="20"/>
                <w:szCs w:val="20"/>
                <w:lang w:eastAsia="en-ZA"/>
              </w:rPr>
              <w:t>: 13</w:t>
            </w:r>
            <w:r w:rsidR="00467534">
              <w:rPr>
                <w:rFonts w:ascii="Times New Roman" w:eastAsia="Times New Roman" w:hAnsi="Times New Roman" w:cs="Times New Roman"/>
                <w:iCs/>
                <w:color w:val="000000"/>
                <w:sz w:val="20"/>
                <w:szCs w:val="20"/>
                <w:lang w:eastAsia="en-ZA"/>
              </w:rPr>
              <w:t>,</w:t>
            </w:r>
            <w:r>
              <w:rPr>
                <w:rFonts w:ascii="Times New Roman" w:eastAsia="Times New Roman" w:hAnsi="Times New Roman" w:cs="Times New Roman"/>
                <w:iCs/>
                <w:color w:val="000000"/>
                <w:sz w:val="20"/>
                <w:szCs w:val="20"/>
                <w:lang w:eastAsia="en-ZA"/>
              </w:rPr>
              <w:t xml:space="preserve"> </w:t>
            </w:r>
            <w:hyperlink r:id="rId643" w:history="1">
              <w:r w:rsidRPr="00762F6F">
                <w:rPr>
                  <w:rStyle w:val="Hyperlink"/>
                  <w:rFonts w:ascii="Times New Roman" w:eastAsia="Times New Roman" w:hAnsi="Times New Roman" w:cs="Times New Roman"/>
                  <w:iCs/>
                  <w:sz w:val="20"/>
                  <w:szCs w:val="20"/>
                  <w:lang w:eastAsia="en-ZA"/>
                </w:rPr>
                <w:t>https://doi.org/10.1186/2046-9063-8-13</w:t>
              </w:r>
            </w:hyperlink>
          </w:p>
          <w:p w14:paraId="31FEB719" w14:textId="2D798748" w:rsidR="002D7080" w:rsidRDefault="002D7080" w:rsidP="00A96F79">
            <w:pPr>
              <w:spacing w:after="0"/>
              <w:ind w:left="522" w:hanging="522"/>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Faulkes, Z, 2015, ‘The global trade in crayfish as pets’, </w:t>
            </w:r>
            <w:r w:rsidRPr="004D1E6F">
              <w:rPr>
                <w:rFonts w:ascii="Times New Roman" w:eastAsia="Times New Roman" w:hAnsi="Times New Roman" w:cs="Times New Roman"/>
                <w:i/>
                <w:iCs/>
                <w:sz w:val="20"/>
                <w:szCs w:val="20"/>
                <w:lang w:eastAsia="en-ZA"/>
              </w:rPr>
              <w:t>Crustacean Research</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44</w:t>
            </w:r>
            <w:r w:rsidRPr="004D1E6F">
              <w:rPr>
                <w:rFonts w:ascii="Times New Roman" w:eastAsia="Times New Roman" w:hAnsi="Times New Roman" w:cs="Times New Roman"/>
                <w:sz w:val="20"/>
                <w:szCs w:val="20"/>
                <w:lang w:eastAsia="en-ZA"/>
              </w:rPr>
              <w:t>, 75–92.</w:t>
            </w:r>
            <w:r>
              <w:rPr>
                <w:rFonts w:ascii="Times New Roman" w:eastAsia="Times New Roman" w:hAnsi="Times New Roman" w:cs="Times New Roman"/>
                <w:sz w:val="20"/>
                <w:szCs w:val="20"/>
                <w:lang w:eastAsia="en-ZA"/>
              </w:rPr>
              <w:t xml:space="preserve"> </w:t>
            </w:r>
            <w:r w:rsidR="00467534" w:rsidRPr="00467534">
              <w:rPr>
                <w:rFonts w:ascii="Times New Roman" w:eastAsia="Times New Roman" w:hAnsi="Times New Roman" w:cs="Times New Roman"/>
                <w:sz w:val="20"/>
                <w:szCs w:val="20"/>
                <w:lang w:eastAsia="en-ZA"/>
              </w:rPr>
              <w:t>https://doi.org/10.18353/crustacea.44.0_75</w:t>
            </w:r>
            <w:r>
              <w:rPr>
                <w:rFonts w:ascii="Times New Roman" w:eastAsia="Times New Roman" w:hAnsi="Times New Roman" w:cs="Times New Roman"/>
                <w:sz w:val="20"/>
                <w:szCs w:val="20"/>
                <w:lang w:eastAsia="en-ZA"/>
              </w:rPr>
              <w:t xml:space="preserve"> </w:t>
            </w:r>
          </w:p>
          <w:p w14:paraId="13C318DF" w14:textId="77777777" w:rsidR="002D7080" w:rsidRPr="008F2177" w:rsidRDefault="002D7080" w:rsidP="00A96F79">
            <w:pPr>
              <w:spacing w:after="0"/>
              <w:ind w:left="522" w:hanging="522"/>
              <w:jc w:val="both"/>
              <w:rPr>
                <w:rFonts w:ascii="Times New Roman" w:hAnsi="Times New Roman" w:cs="Times New Roman"/>
                <w:bCs/>
                <w:i/>
                <w:iCs/>
                <w:sz w:val="20"/>
                <w:szCs w:val="20"/>
              </w:rPr>
            </w:pPr>
            <w:r w:rsidRPr="004D1E6F">
              <w:rPr>
                <w:rFonts w:ascii="Times New Roman" w:hAnsi="Times New Roman" w:cs="Times New Roman"/>
                <w:bCs/>
                <w:sz w:val="20"/>
                <w:szCs w:val="20"/>
              </w:rPr>
              <w:t>Feria, T.P. &amp; Faulkes, Z., 2011, ‘Forecasting the distribution of Marmorkrebs, a parthenogenetic crayfish with high invasive potential, in Madagascar, Europe, and North America</w:t>
            </w:r>
            <w:r w:rsidRPr="004D1E6F">
              <w:rPr>
                <w:rFonts w:ascii="Times New Roman" w:hAnsi="Times New Roman" w:cs="Times New Roman"/>
                <w:bCs/>
                <w:i/>
                <w:iCs/>
                <w:sz w:val="20"/>
                <w:szCs w:val="20"/>
              </w:rPr>
              <w:t xml:space="preserve">’, Aquatic Invasions </w:t>
            </w:r>
            <w:r w:rsidRPr="004D1E6F">
              <w:rPr>
                <w:rFonts w:ascii="Times New Roman" w:hAnsi="Times New Roman" w:cs="Times New Roman"/>
                <w:bCs/>
                <w:iCs/>
                <w:sz w:val="20"/>
                <w:szCs w:val="20"/>
              </w:rPr>
              <w:t>6, 55–67</w:t>
            </w:r>
            <w:r w:rsidRPr="004D1E6F">
              <w:rPr>
                <w:rFonts w:ascii="Times New Roman" w:hAnsi="Times New Roman" w:cs="Times New Roman"/>
                <w:bCs/>
                <w:i/>
                <w:iCs/>
                <w:sz w:val="20"/>
                <w:szCs w:val="20"/>
              </w:rPr>
              <w:t xml:space="preserve">. </w:t>
            </w:r>
            <w:r w:rsidRPr="004D1E6F">
              <w:rPr>
                <w:rFonts w:ascii="Times New Roman" w:hAnsi="Times New Roman" w:cs="Times New Roman"/>
                <w:bCs/>
                <w:sz w:val="20"/>
                <w:szCs w:val="20"/>
              </w:rPr>
              <w:t xml:space="preserve"> </w:t>
            </w:r>
            <w:hyperlink r:id="rId644" w:history="1">
              <w:r w:rsidRPr="00762F6F">
                <w:rPr>
                  <w:rStyle w:val="Hyperlink"/>
                  <w:rFonts w:ascii="Times New Roman" w:hAnsi="Times New Roman" w:cs="Times New Roman"/>
                  <w:bCs/>
                  <w:iCs/>
                  <w:sz w:val="20"/>
                  <w:szCs w:val="20"/>
                </w:rPr>
                <w:t>https://doi.org/10.3391/ai.2011.6.1.07</w:t>
              </w:r>
            </w:hyperlink>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p w14:paraId="3E9DCDDF" w14:textId="77777777" w:rsidR="002D7080" w:rsidRDefault="002D7080" w:rsidP="00A96F79">
            <w:pPr>
              <w:spacing w:after="0"/>
              <w:ind w:left="522" w:hanging="522"/>
              <w:contextualSpacing/>
              <w:jc w:val="both"/>
              <w:rPr>
                <w:rFonts w:ascii="Times New Roman" w:hAnsi="Times New Roman" w:cs="Times New Roman"/>
                <w:sz w:val="20"/>
                <w:szCs w:val="20"/>
                <w:shd w:val="clear" w:color="auto" w:fill="FFFFFF"/>
              </w:rPr>
            </w:pPr>
            <w:r w:rsidRPr="008F2177">
              <w:rPr>
                <w:rFonts w:ascii="Times New Roman" w:hAnsi="Times New Roman" w:cs="Times New Roman"/>
                <w:sz w:val="20"/>
                <w:szCs w:val="20"/>
                <w:shd w:val="clear" w:color="auto" w:fill="FFFFFF"/>
              </w:rPr>
              <w:t xml:space="preserve">Jones, J.P.G., Rasamy, J.R., Harvey, A., Toon, A., Birgit Oidtmann, B., Randrianarison, M.H., Raminosoa, N. &amp; Ravoahangimalala, O.R., 2009, ‘The perfect invader: a parthenogenetic crayfish poses a new threat to Madagascar’s freshwater biodiversity’, Biological Invasions, 11, 1475–1482, </w:t>
            </w:r>
            <w:hyperlink r:id="rId645" w:history="1">
              <w:r w:rsidRPr="00762F6F">
                <w:rPr>
                  <w:rStyle w:val="Hyperlink"/>
                  <w:rFonts w:ascii="Times New Roman" w:hAnsi="Times New Roman" w:cs="Times New Roman"/>
                  <w:sz w:val="20"/>
                  <w:szCs w:val="20"/>
                  <w:shd w:val="clear" w:color="auto" w:fill="FFFFFF"/>
                </w:rPr>
                <w:t>https://doi.org/10.1007/s10530-008-9334-y</w:t>
              </w:r>
            </w:hyperlink>
            <w:r>
              <w:rPr>
                <w:rFonts w:ascii="Times New Roman" w:hAnsi="Times New Roman" w:cs="Times New Roman"/>
                <w:sz w:val="20"/>
                <w:szCs w:val="20"/>
                <w:shd w:val="clear" w:color="auto" w:fill="FFFFFF"/>
              </w:rPr>
              <w:t xml:space="preserve"> </w:t>
            </w:r>
            <w:r w:rsidRPr="008F2177">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 xml:space="preserve"> </w:t>
            </w:r>
          </w:p>
          <w:p w14:paraId="46EFB9F4" w14:textId="77777777" w:rsidR="002D7080" w:rsidRDefault="002D7080" w:rsidP="00A96F79">
            <w:pPr>
              <w:spacing w:after="0"/>
              <w:ind w:left="522" w:hanging="522"/>
              <w:contextualSpacing/>
              <w:jc w:val="both"/>
              <w:rPr>
                <w:rFonts w:ascii="Times New Roman" w:hAnsi="Times New Roman" w:cs="Times New Roman"/>
                <w:sz w:val="20"/>
                <w:szCs w:val="20"/>
                <w:shd w:val="clear" w:color="auto" w:fill="FFFFFF"/>
              </w:rPr>
            </w:pPr>
            <w:r w:rsidRPr="004C30DC">
              <w:rPr>
                <w:rFonts w:ascii="Times New Roman" w:hAnsi="Times New Roman" w:cs="Times New Roman"/>
                <w:sz w:val="20"/>
                <w:szCs w:val="20"/>
                <w:shd w:val="clear" w:color="auto" w:fill="FFFFFF"/>
              </w:rPr>
              <w:t>Souty-Grosset C, Holdich D</w:t>
            </w:r>
            <w:r>
              <w:rPr>
                <w:rFonts w:ascii="Times New Roman" w:hAnsi="Times New Roman" w:cs="Times New Roman"/>
                <w:sz w:val="20"/>
                <w:szCs w:val="20"/>
                <w:shd w:val="clear" w:color="auto" w:fill="FFFFFF"/>
              </w:rPr>
              <w:t>.</w:t>
            </w:r>
            <w:r w:rsidRPr="004C30DC">
              <w:rPr>
                <w:rFonts w:ascii="Times New Roman" w:hAnsi="Times New Roman" w:cs="Times New Roman"/>
                <w:sz w:val="20"/>
                <w:szCs w:val="20"/>
                <w:shd w:val="clear" w:color="auto" w:fill="FFFFFF"/>
              </w:rPr>
              <w:t>M</w:t>
            </w:r>
            <w:r>
              <w:rPr>
                <w:rFonts w:ascii="Times New Roman" w:hAnsi="Times New Roman" w:cs="Times New Roman"/>
                <w:sz w:val="20"/>
                <w:szCs w:val="20"/>
                <w:shd w:val="clear" w:color="auto" w:fill="FFFFFF"/>
              </w:rPr>
              <w:t>.</w:t>
            </w:r>
            <w:r w:rsidRPr="004C30DC">
              <w:rPr>
                <w:rFonts w:ascii="Times New Roman" w:hAnsi="Times New Roman" w:cs="Times New Roman"/>
                <w:sz w:val="20"/>
                <w:szCs w:val="20"/>
                <w:shd w:val="clear" w:color="auto" w:fill="FFFFFF"/>
              </w:rPr>
              <w:t>, Noel P</w:t>
            </w:r>
            <w:r>
              <w:rPr>
                <w:rFonts w:ascii="Times New Roman" w:hAnsi="Times New Roman" w:cs="Times New Roman"/>
                <w:sz w:val="20"/>
                <w:szCs w:val="20"/>
                <w:shd w:val="clear" w:color="auto" w:fill="FFFFFF"/>
              </w:rPr>
              <w:t>.</w:t>
            </w:r>
            <w:r w:rsidRPr="004C30DC">
              <w:rPr>
                <w:rFonts w:ascii="Times New Roman" w:hAnsi="Times New Roman" w:cs="Times New Roman"/>
                <w:sz w:val="20"/>
                <w:szCs w:val="20"/>
                <w:shd w:val="clear" w:color="auto" w:fill="FFFFFF"/>
              </w:rPr>
              <w:t>Y</w:t>
            </w:r>
            <w:r>
              <w:rPr>
                <w:rFonts w:ascii="Times New Roman" w:hAnsi="Times New Roman" w:cs="Times New Roman"/>
                <w:sz w:val="20"/>
                <w:szCs w:val="20"/>
                <w:shd w:val="clear" w:color="auto" w:fill="FFFFFF"/>
              </w:rPr>
              <w:t>.</w:t>
            </w:r>
            <w:r w:rsidRPr="004C30DC">
              <w:rPr>
                <w:rFonts w:ascii="Times New Roman" w:hAnsi="Times New Roman" w:cs="Times New Roman"/>
                <w:sz w:val="20"/>
                <w:szCs w:val="20"/>
                <w:shd w:val="clear" w:color="auto" w:fill="FFFFFF"/>
              </w:rPr>
              <w:t>, Reynolds J</w:t>
            </w:r>
            <w:r>
              <w:rPr>
                <w:rFonts w:ascii="Times New Roman" w:hAnsi="Times New Roman" w:cs="Times New Roman"/>
                <w:sz w:val="20"/>
                <w:szCs w:val="20"/>
                <w:shd w:val="clear" w:color="auto" w:fill="FFFFFF"/>
              </w:rPr>
              <w:t>.</w:t>
            </w:r>
            <w:r w:rsidRPr="004C30DC">
              <w:rPr>
                <w:rFonts w:ascii="Times New Roman" w:hAnsi="Times New Roman" w:cs="Times New Roman"/>
                <w:sz w:val="20"/>
                <w:szCs w:val="20"/>
                <w:shd w:val="clear" w:color="auto" w:fill="FFFFFF"/>
              </w:rPr>
              <w:t>D</w:t>
            </w:r>
            <w:r>
              <w:rPr>
                <w:rFonts w:ascii="Times New Roman" w:hAnsi="Times New Roman" w:cs="Times New Roman"/>
                <w:sz w:val="20"/>
                <w:szCs w:val="20"/>
                <w:shd w:val="clear" w:color="auto" w:fill="FFFFFF"/>
              </w:rPr>
              <w:t>.</w:t>
            </w:r>
            <w:r w:rsidRPr="004C30DC">
              <w:rPr>
                <w:rFonts w:ascii="Times New Roman" w:hAnsi="Times New Roman" w:cs="Times New Roman"/>
                <w:sz w:val="20"/>
                <w:szCs w:val="20"/>
                <w:shd w:val="clear" w:color="auto" w:fill="FFFFFF"/>
              </w:rPr>
              <w:t>, Haffner</w:t>
            </w:r>
            <w:r>
              <w:rPr>
                <w:rFonts w:ascii="Times New Roman" w:hAnsi="Times New Roman" w:cs="Times New Roman"/>
                <w:sz w:val="20"/>
                <w:szCs w:val="20"/>
                <w:shd w:val="clear" w:color="auto" w:fill="FFFFFF"/>
              </w:rPr>
              <w:t>,</w:t>
            </w:r>
            <w:r w:rsidRPr="004C30DC">
              <w:rPr>
                <w:rFonts w:ascii="Times New Roman" w:hAnsi="Times New Roman" w:cs="Times New Roman"/>
                <w:sz w:val="20"/>
                <w:szCs w:val="20"/>
                <w:shd w:val="clear" w:color="auto" w:fill="FFFFFF"/>
              </w:rPr>
              <w:t xml:space="preserve"> P, 2006. Atlas of crayfish in Europe. Paris, France: Muséum national d´Histoire naturelle, 187 pp.</w:t>
            </w:r>
          </w:p>
          <w:p w14:paraId="75BDAC97" w14:textId="77777777" w:rsidR="002D7080" w:rsidRPr="00493A30" w:rsidRDefault="002D7080" w:rsidP="00A96F79">
            <w:pPr>
              <w:spacing w:after="120"/>
              <w:ind w:left="446" w:hanging="446"/>
              <w:contextualSpacing/>
              <w:jc w:val="both"/>
              <w:rPr>
                <w:rFonts w:ascii="Times New Roman" w:hAnsi="Times New Roman" w:cs="Times New Roman"/>
                <w:sz w:val="20"/>
                <w:szCs w:val="20"/>
              </w:rPr>
            </w:pPr>
            <w:r w:rsidRPr="00CE3A9C">
              <w:rPr>
                <w:rFonts w:ascii="Times New Roman" w:hAnsi="Times New Roman" w:cs="Times New Roman"/>
                <w:sz w:val="20"/>
                <w:szCs w:val="20"/>
              </w:rPr>
              <w:t>Olden, J.D., Carvalho, F.A. C., 2024, ‘Global invasion and biosecurity risk from the online trade in ornamental crayfish, </w:t>
            </w:r>
            <w:r w:rsidRPr="00CE3A9C">
              <w:rPr>
                <w:rFonts w:ascii="Times New Roman" w:hAnsi="Times New Roman" w:cs="Times New Roman"/>
                <w:i/>
                <w:iCs/>
                <w:sz w:val="20"/>
                <w:szCs w:val="20"/>
              </w:rPr>
              <w:t>Conservation Biology</w:t>
            </w:r>
            <w:r w:rsidRPr="00CE3A9C">
              <w:rPr>
                <w:rFonts w:ascii="Times New Roman" w:hAnsi="Times New Roman" w:cs="Times New Roman"/>
                <w:sz w:val="20"/>
                <w:szCs w:val="20"/>
              </w:rPr>
              <w:t>, 38, e14359. </w:t>
            </w:r>
            <w:hyperlink r:id="rId646" w:history="1">
              <w:r w:rsidRPr="00CE3A9C">
                <w:rPr>
                  <w:rStyle w:val="Hyperlink"/>
                  <w:rFonts w:ascii="Times New Roman" w:hAnsi="Times New Roman" w:cs="Times New Roman"/>
                  <w:sz w:val="20"/>
                  <w:szCs w:val="20"/>
                </w:rPr>
                <w:t>https://doi.org/10.1111/cobi.14359</w:t>
              </w:r>
            </w:hyperlink>
          </w:p>
        </w:tc>
      </w:tr>
    </w:tbl>
    <w:p w14:paraId="0C5BF664"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3F08245C"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color w:val="000000"/>
          <w:sz w:val="20"/>
          <w:szCs w:val="20"/>
          <w:lang w:eastAsia="en-ZA"/>
        </w:rPr>
        <w:t>2. Likelihood</w:t>
      </w:r>
    </w:p>
    <w:p w14:paraId="3667A295"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7533C6" w14:paraId="45A2BDA8" w14:textId="77777777" w:rsidTr="002E2C37">
        <w:tc>
          <w:tcPr>
            <w:tcW w:w="9016" w:type="dxa"/>
            <w:gridSpan w:val="2"/>
            <w:shd w:val="clear" w:color="auto" w:fill="F2F2F2" w:themeFill="background1" w:themeFillShade="F2"/>
          </w:tcPr>
          <w:p w14:paraId="40D4FAB5" w14:textId="77777777" w:rsidR="002D7080" w:rsidRPr="007533C6" w:rsidRDefault="002D7080" w:rsidP="002E2C37">
            <w:pPr>
              <w:rPr>
                <w:rFonts w:ascii="Times New Roman" w:eastAsia="Times New Roman" w:hAnsi="Times New Roman" w:cs="Times New Roman"/>
                <w:b/>
                <w:color w:val="000000" w:themeColor="text1"/>
                <w:sz w:val="20"/>
                <w:szCs w:val="20"/>
                <w:lang w:eastAsia="en-ZA"/>
              </w:rPr>
            </w:pPr>
            <w:r w:rsidRPr="007533C6">
              <w:rPr>
                <w:rFonts w:ascii="Times New Roman" w:eastAsia="Times New Roman" w:hAnsi="Times New Roman" w:cs="Times New Roman"/>
                <w:b/>
                <w:color w:val="000000" w:themeColor="text1"/>
                <w:sz w:val="20"/>
                <w:szCs w:val="20"/>
                <w:lang w:eastAsia="en-ZA"/>
              </w:rPr>
              <w:t>LIK1 Likelihood of entry via unaided primary pathways</w:t>
            </w:r>
          </w:p>
        </w:tc>
      </w:tr>
      <w:tr w:rsidR="002D7080" w:rsidRPr="007533C6" w14:paraId="6A3FAFDA" w14:textId="77777777" w:rsidTr="002E2C37">
        <w:tc>
          <w:tcPr>
            <w:tcW w:w="5524" w:type="dxa"/>
          </w:tcPr>
          <w:p w14:paraId="0F52AFF3" w14:textId="77777777" w:rsidR="002D7080" w:rsidRPr="007533C6" w:rsidRDefault="002D7080" w:rsidP="002E2C37">
            <w:pPr>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Response: Very unlikely (p = 0.0027)</w:t>
            </w:r>
          </w:p>
        </w:tc>
        <w:tc>
          <w:tcPr>
            <w:tcW w:w="3492" w:type="dxa"/>
          </w:tcPr>
          <w:p w14:paraId="7234AF8D" w14:textId="77777777" w:rsidR="002D7080" w:rsidRPr="007533C6" w:rsidRDefault="002D7080" w:rsidP="002E2C37">
            <w:pPr>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Confidence: Medium</w:t>
            </w:r>
          </w:p>
        </w:tc>
      </w:tr>
      <w:tr w:rsidR="002D7080" w:rsidRPr="007533C6" w14:paraId="419F33DE" w14:textId="77777777" w:rsidTr="002E2C37">
        <w:trPr>
          <w:trHeight w:val="614"/>
        </w:trPr>
        <w:tc>
          <w:tcPr>
            <w:tcW w:w="9016" w:type="dxa"/>
            <w:gridSpan w:val="2"/>
          </w:tcPr>
          <w:p w14:paraId="284A334F" w14:textId="77777777" w:rsidR="002D7080" w:rsidRPr="007533C6" w:rsidRDefault="002D7080" w:rsidP="002E2C37">
            <w:pPr>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Rationale: There is no evidence that </w:t>
            </w:r>
            <w:r w:rsidRPr="007533C6">
              <w:rPr>
                <w:rFonts w:ascii="Times New Roman" w:eastAsia="Times New Roman" w:hAnsi="Times New Roman" w:cs="Times New Roman"/>
                <w:i/>
                <w:iCs/>
                <w:color w:val="000000" w:themeColor="text1"/>
                <w:sz w:val="20"/>
                <w:szCs w:val="20"/>
                <w:lang w:eastAsia="en-ZA"/>
              </w:rPr>
              <w:t xml:space="preserve">Procambarus virginalis </w:t>
            </w:r>
            <w:r w:rsidRPr="007533C6">
              <w:rPr>
                <w:rFonts w:ascii="Times New Roman" w:eastAsia="Times New Roman" w:hAnsi="Times New Roman" w:cs="Times New Roman"/>
                <w:color w:val="000000" w:themeColor="text1"/>
                <w:sz w:val="20"/>
                <w:szCs w:val="20"/>
                <w:lang w:eastAsia="en-ZA"/>
              </w:rPr>
              <w:t xml:space="preserve">is present in South Africa or has established in the wild in neighbouring countries </w:t>
            </w:r>
            <w:r w:rsidRPr="007533C6">
              <w:rPr>
                <w:rFonts w:ascii="Times New Roman" w:eastAsia="Times New Roman" w:hAnsi="Times New Roman" w:cs="Times New Roman"/>
                <w:color w:val="000000" w:themeColor="text1"/>
                <w:sz w:val="20"/>
                <w:szCs w:val="20"/>
                <w:lang w:eastAsia="en-ZA"/>
              </w:rPr>
              <w:fldChar w:fldCharType="begin" w:fldLock="1"/>
            </w:r>
            <w:r w:rsidRPr="007533C6">
              <w:rPr>
                <w:rFonts w:ascii="Times New Roman" w:eastAsia="Times New Roman" w:hAnsi="Times New Roman" w:cs="Times New Roman"/>
                <w:color w:val="000000" w:themeColor="text1"/>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Madzivanzira et al. 2020)", "plainTextFormattedCitation" : "(Lodge et al. 2012, Madzivanzira et al. 2020)", "previouslyFormattedCitation" : "(Lodge et al. 2012, Madzivanzira et al. 2020)" }, "properties" : { "noteIndex" : 0 }, "schema" : "https://github.com/citation-style-language/schema/raw/master/csl-citation.json" }</w:instrText>
            </w:r>
            <w:r w:rsidRPr="007533C6">
              <w:rPr>
                <w:rFonts w:ascii="Times New Roman" w:eastAsia="Times New Roman" w:hAnsi="Times New Roman" w:cs="Times New Roman"/>
                <w:color w:val="000000" w:themeColor="text1"/>
                <w:sz w:val="20"/>
                <w:szCs w:val="20"/>
                <w:lang w:eastAsia="en-ZA"/>
              </w:rPr>
              <w:fldChar w:fldCharType="separate"/>
            </w:r>
            <w:r w:rsidRPr="007533C6">
              <w:rPr>
                <w:rFonts w:ascii="Times New Roman" w:eastAsia="Times New Roman" w:hAnsi="Times New Roman" w:cs="Times New Roman"/>
                <w:color w:val="000000" w:themeColor="text1"/>
                <w:sz w:val="20"/>
                <w:szCs w:val="20"/>
                <w:lang w:eastAsia="en-ZA"/>
              </w:rPr>
              <w:t>(Nunes et al. 2017; Madzivanzira et al. 2020)</w:t>
            </w:r>
            <w:r w:rsidRPr="007533C6">
              <w:rPr>
                <w:rFonts w:ascii="Times New Roman" w:eastAsia="Times New Roman" w:hAnsi="Times New Roman" w:cs="Times New Roman"/>
                <w:color w:val="000000" w:themeColor="text1"/>
                <w:sz w:val="20"/>
                <w:szCs w:val="20"/>
                <w:lang w:eastAsia="en-ZA"/>
              </w:rPr>
              <w:fldChar w:fldCharType="end"/>
            </w:r>
            <w:r w:rsidRPr="007533C6">
              <w:rPr>
                <w:rFonts w:ascii="Times New Roman" w:eastAsia="Times New Roman" w:hAnsi="Times New Roman" w:cs="Times New Roman"/>
                <w:color w:val="000000" w:themeColor="text1"/>
                <w:sz w:val="20"/>
                <w:szCs w:val="20"/>
                <w:lang w:eastAsia="en-ZA"/>
              </w:rPr>
              <w:t xml:space="preserve"> therefore the probability o</w:t>
            </w:r>
            <w:r>
              <w:rPr>
                <w:rFonts w:ascii="Times New Roman" w:eastAsia="Times New Roman" w:hAnsi="Times New Roman" w:cs="Times New Roman"/>
                <w:color w:val="000000" w:themeColor="text1"/>
                <w:sz w:val="20"/>
                <w:szCs w:val="20"/>
                <w:lang w:eastAsia="en-ZA"/>
              </w:rPr>
              <w:t xml:space="preserve"> it </w:t>
            </w:r>
            <w:r w:rsidRPr="007533C6">
              <w:rPr>
                <w:rFonts w:ascii="Times New Roman" w:eastAsia="Times New Roman" w:hAnsi="Times New Roman" w:cs="Times New Roman"/>
                <w:color w:val="000000" w:themeColor="text1"/>
                <w:sz w:val="20"/>
                <w:szCs w:val="20"/>
                <w:lang w:eastAsia="en-ZA"/>
              </w:rPr>
              <w:t>entering South Africa through unaided pathways (connected waterways) is very unlikely (p = 0.0027).</w:t>
            </w:r>
          </w:p>
        </w:tc>
      </w:tr>
      <w:tr w:rsidR="002D7080" w:rsidRPr="007533C6" w14:paraId="241FF35C" w14:textId="77777777" w:rsidTr="002E2C37">
        <w:tc>
          <w:tcPr>
            <w:tcW w:w="9016" w:type="dxa"/>
            <w:gridSpan w:val="2"/>
          </w:tcPr>
          <w:p w14:paraId="1395A125" w14:textId="77777777" w:rsidR="002D7080" w:rsidRPr="007533C6" w:rsidRDefault="002D7080" w:rsidP="002E2C37">
            <w:pPr>
              <w:ind w:left="720" w:hanging="720"/>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References: </w:t>
            </w:r>
          </w:p>
          <w:p w14:paraId="6E53C595" w14:textId="77777777" w:rsidR="002D7080" w:rsidRPr="007533C6" w:rsidRDefault="002D7080" w:rsidP="002E2C37">
            <w:pPr>
              <w:spacing w:after="160" w:line="257" w:lineRule="auto"/>
              <w:ind w:left="510" w:hanging="51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Calibri" w:hAnsi="Times New Roman" w:cs="Times New Roman"/>
                <w:color w:val="000000" w:themeColor="text1"/>
                <w:sz w:val="20"/>
                <w:szCs w:val="20"/>
              </w:rPr>
              <w:t>Madzivanzira, T.C., South, J., Wood, L.E., Nunes, A.L.</w:t>
            </w:r>
            <w:r w:rsidRPr="007533C6">
              <w:rPr>
                <w:rFonts w:ascii="Times New Roman" w:eastAsia="Times New Roman" w:hAnsi="Times New Roman" w:cs="Times New Roman"/>
                <w:color w:val="000000" w:themeColor="text1"/>
                <w:sz w:val="20"/>
                <w:szCs w:val="20"/>
                <w:lang w:eastAsia="en-ZA"/>
              </w:rPr>
              <w:t xml:space="preserve"> &amp; </w:t>
            </w:r>
            <w:r w:rsidRPr="007533C6">
              <w:rPr>
                <w:rFonts w:ascii="Times New Roman" w:eastAsia="Calibri" w:hAnsi="Times New Roman" w:cs="Times New Roman"/>
                <w:color w:val="000000" w:themeColor="text1"/>
                <w:sz w:val="20"/>
                <w:szCs w:val="20"/>
              </w:rPr>
              <w:t xml:space="preserve">Weyl, O.L.F., 2020, ‘A review of freshwater crayfish introductions in Africa’, </w:t>
            </w:r>
            <w:r w:rsidRPr="007533C6">
              <w:rPr>
                <w:rFonts w:ascii="Times New Roman" w:eastAsia="Calibri" w:hAnsi="Times New Roman" w:cs="Times New Roman"/>
                <w:i/>
                <w:color w:val="000000" w:themeColor="text1"/>
                <w:sz w:val="20"/>
                <w:szCs w:val="20"/>
              </w:rPr>
              <w:t>Reviews in</w:t>
            </w:r>
            <w:r w:rsidRPr="007533C6">
              <w:rPr>
                <w:rFonts w:ascii="Times New Roman" w:eastAsia="Times New Roman" w:hAnsi="Times New Roman" w:cs="Times New Roman"/>
                <w:i/>
                <w:color w:val="000000" w:themeColor="text1"/>
                <w:sz w:val="20"/>
                <w:szCs w:val="20"/>
                <w:lang w:eastAsia="en-ZA"/>
              </w:rPr>
              <w:t xml:space="preserve"> </w:t>
            </w:r>
            <w:r w:rsidRPr="007533C6">
              <w:rPr>
                <w:rFonts w:ascii="Times New Roman" w:eastAsia="Calibri" w:hAnsi="Times New Roman" w:cs="Times New Roman"/>
                <w:i/>
                <w:color w:val="000000" w:themeColor="text1"/>
                <w:sz w:val="20"/>
                <w:szCs w:val="20"/>
              </w:rPr>
              <w:t>Fisheries Science &amp; Aquaculture</w:t>
            </w:r>
            <w:r w:rsidRPr="007533C6">
              <w:rPr>
                <w:rFonts w:ascii="Times New Roman" w:eastAsia="Calibri" w:hAnsi="Times New Roman" w:cs="Times New Roman"/>
                <w:color w:val="000000" w:themeColor="text1"/>
                <w:sz w:val="20"/>
                <w:szCs w:val="20"/>
              </w:rPr>
              <w:t>,</w:t>
            </w:r>
            <w:r w:rsidRPr="007533C6">
              <w:rPr>
                <w:rFonts w:ascii="Times New Roman" w:eastAsia="Calibri" w:hAnsi="Times New Roman" w:cs="Times New Roman"/>
                <w:i/>
                <w:color w:val="000000" w:themeColor="text1"/>
                <w:sz w:val="20"/>
                <w:szCs w:val="20"/>
              </w:rPr>
              <w:t xml:space="preserve"> </w:t>
            </w:r>
            <w:r w:rsidRPr="007533C6">
              <w:rPr>
                <w:rFonts w:ascii="Times New Roman" w:eastAsia="Calibri" w:hAnsi="Times New Roman" w:cs="Times New Roman"/>
                <w:color w:val="000000" w:themeColor="text1"/>
                <w:sz w:val="20"/>
                <w:szCs w:val="20"/>
              </w:rPr>
              <w:t xml:space="preserve">1-21. </w:t>
            </w:r>
            <w:hyperlink r:id="rId647" w:history="1">
              <w:r w:rsidRPr="00AD0AF1">
                <w:rPr>
                  <w:rStyle w:val="Hyperlink"/>
                  <w:rFonts w:ascii="Times New Roman" w:eastAsia="Calibri" w:hAnsi="Times New Roman" w:cs="Times New Roman"/>
                  <w:sz w:val="20"/>
                  <w:szCs w:val="20"/>
                </w:rPr>
                <w:t>https://doi.org/</w:t>
              </w:r>
              <w:r w:rsidRPr="00AD0AF1">
                <w:rPr>
                  <w:rStyle w:val="Hyperlink"/>
                  <w:rFonts w:ascii="Times New Roman" w:eastAsia="Times New Roman" w:hAnsi="Times New Roman" w:cs="Times New Roman"/>
                  <w:sz w:val="20"/>
                  <w:szCs w:val="20"/>
                  <w:lang w:eastAsia="en-ZA"/>
                </w:rPr>
                <w:t>10.1080/23308249.2020.1802405</w:t>
              </w:r>
            </w:hyperlink>
            <w:r w:rsidRPr="007533C6">
              <w:rPr>
                <w:rFonts w:ascii="Times New Roman" w:eastAsia="Calibri" w:hAnsi="Times New Roman" w:cs="Times New Roman"/>
                <w:color w:val="000000" w:themeColor="text1"/>
                <w:sz w:val="20"/>
                <w:szCs w:val="20"/>
              </w:rPr>
              <w:t>.</w:t>
            </w:r>
            <w:r>
              <w:rPr>
                <w:rFonts w:ascii="Times New Roman" w:eastAsia="Calibri" w:hAnsi="Times New Roman" w:cs="Times New Roman"/>
                <w:color w:val="000000" w:themeColor="text1"/>
                <w:sz w:val="20"/>
                <w:szCs w:val="20"/>
              </w:rPr>
              <w:t xml:space="preserve"> </w:t>
            </w:r>
          </w:p>
          <w:p w14:paraId="1ECFC75D" w14:textId="2A479778" w:rsidR="002D7080" w:rsidRPr="007533C6" w:rsidRDefault="002D7080" w:rsidP="002E2C37">
            <w:pPr>
              <w:ind w:left="540" w:hanging="540"/>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Nunes, A.L., Zengeya, T.A., Measey, G.J. &amp; Weyl, O.L.F., 2017, ‘Freshwater crayfish invasions in South Africa: past, present and potential future’, </w:t>
            </w:r>
            <w:r w:rsidRPr="00AD1812">
              <w:rPr>
                <w:rFonts w:ascii="Times New Roman" w:eastAsia="Times New Roman" w:hAnsi="Times New Roman" w:cs="Times New Roman"/>
                <w:i/>
                <w:iCs/>
                <w:color w:val="000000" w:themeColor="text1"/>
                <w:sz w:val="20"/>
                <w:szCs w:val="20"/>
                <w:lang w:eastAsia="en-ZA"/>
              </w:rPr>
              <w:t>African Journal of Aquatic Science</w:t>
            </w:r>
            <w:r w:rsidRPr="007533C6">
              <w:rPr>
                <w:rFonts w:ascii="Times New Roman" w:eastAsia="Times New Roman" w:hAnsi="Times New Roman" w:cs="Times New Roman"/>
                <w:color w:val="000000" w:themeColor="text1"/>
                <w:sz w:val="20"/>
                <w:szCs w:val="20"/>
                <w:lang w:eastAsia="en-ZA"/>
              </w:rPr>
              <w:t xml:space="preserve"> 42, 309–323, </w:t>
            </w:r>
            <w:hyperlink r:id="rId648" w:history="1">
              <w:r w:rsidR="002B3841" w:rsidRPr="002B3841">
                <w:rPr>
                  <w:rStyle w:val="Hyperlink"/>
                  <w:rFonts w:ascii="Times New Roman" w:hAnsi="Times New Roman" w:cs="Times New Roman"/>
                  <w:sz w:val="20"/>
                  <w:szCs w:val="20"/>
                </w:rPr>
                <w:t>https://doi.org/10.2989/16085914.2017.1405788</w:t>
              </w:r>
            </w:hyperlink>
            <w:r w:rsidRPr="002B3841">
              <w:rPr>
                <w:rFonts w:ascii="Times New Roman" w:eastAsia="Calibri" w:hAnsi="Times New Roman" w:cs="Times New Roman"/>
                <w:color w:val="000000" w:themeColor="text1"/>
                <w:sz w:val="18"/>
                <w:szCs w:val="18"/>
              </w:rPr>
              <w:t xml:space="preserve">. </w:t>
            </w:r>
          </w:p>
        </w:tc>
      </w:tr>
    </w:tbl>
    <w:p w14:paraId="78C7C937" w14:textId="77777777" w:rsidR="002D7080" w:rsidRPr="004D1E6F" w:rsidRDefault="002D7080" w:rsidP="002D7080">
      <w:pPr>
        <w:spacing w:after="0" w:line="240" w:lineRule="auto"/>
        <w:jc w:val="both"/>
        <w:rPr>
          <w:rFonts w:ascii="Times New Roman" w:eastAsia="Times New Roman" w:hAnsi="Times New Roman" w:cs="Times New Roman"/>
          <w:b/>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626F88C5" w14:textId="77777777" w:rsidTr="002E2C37">
        <w:tc>
          <w:tcPr>
            <w:tcW w:w="9016" w:type="dxa"/>
            <w:gridSpan w:val="2"/>
            <w:shd w:val="clear" w:color="auto" w:fill="F2F2F2" w:themeFill="background1" w:themeFillShade="F2"/>
          </w:tcPr>
          <w:p w14:paraId="237F370C"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LIK2 Likelihood of entry via human aided primary pathways</w:t>
            </w:r>
          </w:p>
        </w:tc>
      </w:tr>
      <w:tr w:rsidR="002D7080" w:rsidRPr="004D1E6F" w14:paraId="06261793" w14:textId="77777777" w:rsidTr="002E2C37">
        <w:tc>
          <w:tcPr>
            <w:tcW w:w="5524" w:type="dxa"/>
          </w:tcPr>
          <w:p w14:paraId="6BDEDD5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Probable</w:t>
            </w:r>
            <w:r>
              <w:rPr>
                <w:rFonts w:ascii="Times New Roman" w:eastAsia="Times New Roman" w:hAnsi="Times New Roman" w:cs="Times New Roman"/>
                <w:color w:val="000000"/>
                <w:sz w:val="20"/>
                <w:szCs w:val="20"/>
                <w:lang w:eastAsia="en-ZA"/>
              </w:rPr>
              <w:t xml:space="preserve"> (p = 1)</w:t>
            </w:r>
          </w:p>
        </w:tc>
        <w:tc>
          <w:tcPr>
            <w:tcW w:w="3492" w:type="dxa"/>
          </w:tcPr>
          <w:p w14:paraId="5FDEEC8F"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Medium</w:t>
            </w:r>
          </w:p>
        </w:tc>
      </w:tr>
      <w:tr w:rsidR="002D7080" w:rsidRPr="004D1E6F" w14:paraId="38CCDB9C" w14:textId="77777777" w:rsidTr="002E2C37">
        <w:tc>
          <w:tcPr>
            <w:tcW w:w="9016" w:type="dxa"/>
            <w:gridSpan w:val="2"/>
          </w:tcPr>
          <w:p w14:paraId="7E630BE9" w14:textId="05E2AD30"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Rationale:</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Procambarus virginalis</w:t>
            </w:r>
            <w:r w:rsidRPr="004D1E6F">
              <w:rPr>
                <w:rFonts w:ascii="Times New Roman" w:eastAsia="Times New Roman" w:hAnsi="Times New Roman" w:cs="Times New Roman"/>
                <w:color w:val="000000"/>
                <w:sz w:val="20"/>
                <w:szCs w:val="20"/>
                <w:lang w:eastAsia="en-ZA"/>
              </w:rPr>
              <w:t xml:space="preserve"> is a very popular </w:t>
            </w:r>
            <w:r>
              <w:rPr>
                <w:rFonts w:ascii="Times New Roman" w:eastAsia="Times New Roman" w:hAnsi="Times New Roman" w:cs="Times New Roman"/>
                <w:color w:val="000000"/>
                <w:sz w:val="20"/>
                <w:szCs w:val="20"/>
                <w:lang w:eastAsia="en-ZA"/>
              </w:rPr>
              <w:t xml:space="preserve">species in the global pet trade </w:t>
            </w:r>
            <w:r w:rsidRPr="004D1E6F">
              <w:rPr>
                <w:rFonts w:ascii="Times New Roman" w:eastAsia="Times New Roman" w:hAnsi="Times New Roman" w:cs="Times New Roman"/>
                <w:color w:val="000000"/>
                <w:sz w:val="20"/>
                <w:szCs w:val="20"/>
                <w:lang w:eastAsia="en-ZA"/>
              </w:rPr>
              <w:t>due to its size and because of its pathogenesis abilities that makes it very easy to rear (Faulkes 2015</w:t>
            </w:r>
            <w:r>
              <w:rPr>
                <w:rFonts w:ascii="Times New Roman" w:eastAsia="Times New Roman" w:hAnsi="Times New Roman" w:cs="Times New Roman"/>
                <w:color w:val="000000"/>
                <w:sz w:val="20"/>
                <w:szCs w:val="20"/>
                <w:lang w:eastAsia="en-ZA"/>
              </w:rPr>
              <w:t xml:space="preserve">; </w:t>
            </w:r>
            <w:r w:rsidRPr="00CE3A9C">
              <w:rPr>
                <w:rFonts w:ascii="Times New Roman" w:hAnsi="Times New Roman" w:cs="Times New Roman"/>
                <w:sz w:val="20"/>
                <w:szCs w:val="20"/>
              </w:rPr>
              <w:t>Olden</w:t>
            </w:r>
            <w:r>
              <w:rPr>
                <w:rFonts w:ascii="Times New Roman" w:hAnsi="Times New Roman" w:cs="Times New Roman"/>
                <w:sz w:val="20"/>
                <w:szCs w:val="20"/>
              </w:rPr>
              <w:t xml:space="preserve"> &amp;</w:t>
            </w:r>
            <w:r w:rsidRPr="00CE3A9C">
              <w:rPr>
                <w:rFonts w:ascii="Times New Roman" w:hAnsi="Times New Roman" w:cs="Times New Roman"/>
                <w:sz w:val="20"/>
                <w:szCs w:val="20"/>
              </w:rPr>
              <w:t>Carvalho</w:t>
            </w:r>
            <w:r>
              <w:rPr>
                <w:rFonts w:ascii="Times New Roman" w:hAnsi="Times New Roman" w:cs="Times New Roman"/>
                <w:sz w:val="20"/>
                <w:szCs w:val="20"/>
              </w:rPr>
              <w:t xml:space="preserve"> </w:t>
            </w:r>
            <w:r w:rsidRPr="00CE3A9C">
              <w:rPr>
                <w:rFonts w:ascii="Times New Roman" w:hAnsi="Times New Roman" w:cs="Times New Roman"/>
                <w:sz w:val="20"/>
                <w:szCs w:val="20"/>
              </w:rPr>
              <w:t>2024</w:t>
            </w:r>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It is present in Madagascar, and it is probable that it could be introduced into South Africa through the pet trade. T</w:t>
            </w:r>
            <w:r w:rsidRPr="004D1E6F">
              <w:rPr>
                <w:rFonts w:ascii="Times New Roman" w:eastAsia="Times New Roman" w:hAnsi="Times New Roman" w:cs="Times New Roman"/>
                <w:color w:val="000000"/>
                <w:sz w:val="20"/>
                <w:szCs w:val="20"/>
                <w:lang w:eastAsia="en-ZA"/>
              </w:rPr>
              <w:t xml:space="preserve">here is no evidence to show that </w:t>
            </w:r>
            <w:r w:rsidRPr="004D1E6F">
              <w:rPr>
                <w:rFonts w:ascii="Times New Roman" w:eastAsia="Times New Roman" w:hAnsi="Times New Roman" w:cs="Times New Roman"/>
                <w:i/>
                <w:sz w:val="20"/>
                <w:szCs w:val="20"/>
                <w:lang w:eastAsia="en-ZA"/>
              </w:rPr>
              <w:t>P</w:t>
            </w:r>
            <w:r>
              <w:rPr>
                <w:rFonts w:ascii="Times New Roman" w:eastAsia="Times New Roman" w:hAnsi="Times New Roman" w:cs="Times New Roman"/>
                <w:i/>
                <w:sz w:val="20"/>
                <w:szCs w:val="20"/>
                <w:lang w:eastAsia="en-ZA"/>
              </w:rPr>
              <w:t xml:space="preserve">. </w:t>
            </w:r>
            <w:r w:rsidR="00C52CC6">
              <w:rPr>
                <w:rFonts w:ascii="Times New Roman" w:eastAsia="Times New Roman" w:hAnsi="Times New Roman" w:cs="Times New Roman"/>
                <w:i/>
                <w:sz w:val="20"/>
                <w:szCs w:val="20"/>
                <w:lang w:eastAsia="en-ZA"/>
              </w:rPr>
              <w:t>virginalis</w:t>
            </w:r>
            <w:r>
              <w:rPr>
                <w:rFonts w:ascii="Times New Roman" w:eastAsia="Times New Roman" w:hAnsi="Times New Roman" w:cs="Times New Roman"/>
                <w:i/>
                <w:sz w:val="20"/>
                <w:szCs w:val="20"/>
                <w:lang w:eastAsia="en-ZA"/>
              </w:rPr>
              <w:t xml:space="preserve"> </w:t>
            </w:r>
            <w:r w:rsidRPr="004D1E6F">
              <w:rPr>
                <w:rFonts w:ascii="Times New Roman" w:eastAsia="Times New Roman" w:hAnsi="Times New Roman" w:cs="Times New Roman"/>
                <w:color w:val="000000"/>
                <w:sz w:val="20"/>
                <w:szCs w:val="20"/>
                <w:lang w:eastAsia="en-ZA"/>
              </w:rPr>
              <w:t>is currently traded in the South Africa pet trade industry,</w:t>
            </w:r>
            <w:r>
              <w:rPr>
                <w:rFonts w:ascii="Times New Roman" w:eastAsia="Times New Roman" w:hAnsi="Times New Roman" w:cs="Times New Roman"/>
                <w:color w:val="000000"/>
                <w:sz w:val="20"/>
                <w:szCs w:val="20"/>
                <w:lang w:eastAsia="en-ZA"/>
              </w:rPr>
              <w:t xml:space="preserve"> but this needs to be verified through dedicated surveys (Nunes et al. 2017)</w:t>
            </w:r>
          </w:p>
        </w:tc>
      </w:tr>
      <w:tr w:rsidR="002D7080" w:rsidRPr="004D1E6F" w14:paraId="4404FE32" w14:textId="77777777" w:rsidTr="002E2C37">
        <w:tc>
          <w:tcPr>
            <w:tcW w:w="9016" w:type="dxa"/>
            <w:gridSpan w:val="2"/>
          </w:tcPr>
          <w:p w14:paraId="2611D42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1504A5E6" w14:textId="77777777" w:rsidR="002D7080" w:rsidRDefault="002D7080" w:rsidP="002E2C37">
            <w:pPr>
              <w:ind w:left="540" w:hanging="54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Faulkes, Z, 2015, ‘The global trade in crayfish as pets’, </w:t>
            </w:r>
            <w:r w:rsidRPr="004D1E6F">
              <w:rPr>
                <w:rFonts w:ascii="Times New Roman" w:eastAsia="Times New Roman" w:hAnsi="Times New Roman" w:cs="Times New Roman"/>
                <w:i/>
                <w:iCs/>
                <w:sz w:val="20"/>
                <w:szCs w:val="20"/>
                <w:lang w:eastAsia="en-ZA"/>
              </w:rPr>
              <w:t>Crustacean Research</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44</w:t>
            </w:r>
            <w:r w:rsidRPr="004D1E6F">
              <w:rPr>
                <w:rFonts w:ascii="Times New Roman" w:eastAsia="Times New Roman" w:hAnsi="Times New Roman" w:cs="Times New Roman"/>
                <w:sz w:val="20"/>
                <w:szCs w:val="20"/>
                <w:lang w:eastAsia="en-ZA"/>
              </w:rPr>
              <w:t>, 75–92.</w:t>
            </w:r>
            <w:r>
              <w:rPr>
                <w:rFonts w:ascii="Times New Roman" w:eastAsia="Times New Roman" w:hAnsi="Times New Roman" w:cs="Times New Roman"/>
                <w:sz w:val="20"/>
                <w:szCs w:val="20"/>
                <w:lang w:eastAsia="en-ZA"/>
              </w:rPr>
              <w:t xml:space="preserve"> </w:t>
            </w:r>
            <w:hyperlink r:id="rId649" w:history="1">
              <w:r w:rsidRPr="00F36FE7">
                <w:rPr>
                  <w:rStyle w:val="Hyperlink"/>
                  <w:rFonts w:ascii="Times New Roman" w:hAnsi="Times New Roman" w:cs="Times New Roman"/>
                  <w:sz w:val="20"/>
                  <w:szCs w:val="20"/>
                </w:rPr>
                <w:t>https://doi.org/10.18353/crustacea.44.0_75</w:t>
              </w:r>
            </w:hyperlink>
            <w:r w:rsidRPr="00F36FE7">
              <w:rPr>
                <w:rFonts w:ascii="Times New Roman" w:hAnsi="Times New Roman" w:cs="Times New Roman"/>
                <w:sz w:val="20"/>
                <w:szCs w:val="20"/>
              </w:rPr>
              <w:t>.</w:t>
            </w:r>
          </w:p>
          <w:p w14:paraId="6E5D3833" w14:textId="178AA6EB" w:rsidR="002D7080" w:rsidRDefault="002D7080" w:rsidP="002E2C37">
            <w:pPr>
              <w:ind w:left="540" w:hanging="540"/>
              <w:jc w:val="both"/>
              <w:rPr>
                <w:rFonts w:ascii="Times New Roman" w:eastAsia="Calibri" w:hAnsi="Times New Roman" w:cs="Times New Roman"/>
                <w:sz w:val="20"/>
                <w:szCs w:val="20"/>
              </w:rPr>
            </w:pPr>
            <w:r w:rsidRPr="00464C7A">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African Journal of Aquatic Science 42, 309–323, </w:t>
            </w:r>
            <w:hyperlink r:id="rId650" w:history="1">
              <w:r w:rsidR="002B3841" w:rsidRPr="002B3841">
                <w:rPr>
                  <w:rStyle w:val="Hyperlink"/>
                  <w:rFonts w:ascii="Times New Roman" w:hAnsi="Times New Roman" w:cs="Times New Roman"/>
                  <w:sz w:val="20"/>
                  <w:szCs w:val="20"/>
                </w:rPr>
                <w:t>https://doi.org/10.2989/16085914.2017.1405788</w:t>
              </w:r>
            </w:hyperlink>
            <w:r w:rsidRPr="002B3841">
              <w:rPr>
                <w:rFonts w:ascii="Times New Roman" w:eastAsia="Calibri" w:hAnsi="Times New Roman" w:cs="Times New Roman"/>
                <w:sz w:val="18"/>
                <w:szCs w:val="18"/>
              </w:rPr>
              <w:t xml:space="preserve">. </w:t>
            </w:r>
          </w:p>
          <w:p w14:paraId="0941FFF5" w14:textId="77777777" w:rsidR="002D7080" w:rsidRPr="00493A30" w:rsidRDefault="002D7080" w:rsidP="002E2C37">
            <w:pPr>
              <w:spacing w:after="120"/>
              <w:ind w:left="446" w:hanging="446"/>
              <w:contextualSpacing/>
              <w:jc w:val="both"/>
              <w:rPr>
                <w:rFonts w:ascii="Times New Roman" w:hAnsi="Times New Roman" w:cs="Times New Roman"/>
                <w:sz w:val="20"/>
                <w:szCs w:val="20"/>
              </w:rPr>
            </w:pPr>
            <w:r w:rsidRPr="00CE3A9C">
              <w:rPr>
                <w:rFonts w:ascii="Times New Roman" w:hAnsi="Times New Roman" w:cs="Times New Roman"/>
                <w:sz w:val="20"/>
                <w:szCs w:val="20"/>
              </w:rPr>
              <w:t>Olden, J.D., Carvalho, F.A. C., 2024, ‘Global invasion and biosecurity risk from the online trade in ornamental crayfish, </w:t>
            </w:r>
            <w:r w:rsidRPr="00CE3A9C">
              <w:rPr>
                <w:rFonts w:ascii="Times New Roman" w:hAnsi="Times New Roman" w:cs="Times New Roman"/>
                <w:i/>
                <w:iCs/>
                <w:sz w:val="20"/>
                <w:szCs w:val="20"/>
              </w:rPr>
              <w:t>Conservation Biology</w:t>
            </w:r>
            <w:r w:rsidRPr="00CE3A9C">
              <w:rPr>
                <w:rFonts w:ascii="Times New Roman" w:hAnsi="Times New Roman" w:cs="Times New Roman"/>
                <w:sz w:val="20"/>
                <w:szCs w:val="20"/>
              </w:rPr>
              <w:t>, 38, e14359. </w:t>
            </w:r>
            <w:hyperlink r:id="rId651" w:history="1">
              <w:r w:rsidRPr="00CE3A9C">
                <w:rPr>
                  <w:rStyle w:val="Hyperlink"/>
                  <w:rFonts w:ascii="Times New Roman" w:hAnsi="Times New Roman" w:cs="Times New Roman"/>
                  <w:sz w:val="20"/>
                  <w:szCs w:val="20"/>
                </w:rPr>
                <w:t>https://doi.org/10.1111/cobi.14359</w:t>
              </w:r>
            </w:hyperlink>
          </w:p>
        </w:tc>
      </w:tr>
    </w:tbl>
    <w:p w14:paraId="0E9893BE"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5C5FADA3" w14:textId="77777777" w:rsidTr="002E2C37">
        <w:tc>
          <w:tcPr>
            <w:tcW w:w="9016" w:type="dxa"/>
            <w:gridSpan w:val="2"/>
            <w:shd w:val="clear" w:color="auto" w:fill="F2F2F2" w:themeFill="background1" w:themeFillShade="F2"/>
          </w:tcPr>
          <w:p w14:paraId="0E688FC2"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LIK3 Habitat suitability</w:t>
            </w:r>
          </w:p>
        </w:tc>
      </w:tr>
      <w:tr w:rsidR="002D7080" w:rsidRPr="004D1E6F" w14:paraId="5BA329BF" w14:textId="77777777" w:rsidTr="002E2C37">
        <w:tc>
          <w:tcPr>
            <w:tcW w:w="5524" w:type="dxa"/>
          </w:tcPr>
          <w:p w14:paraId="5D952DD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w:t>
            </w:r>
            <w:r>
              <w:rPr>
                <w:rFonts w:ascii="Times New Roman" w:eastAsia="Times New Roman" w:hAnsi="Times New Roman" w:cs="Times New Roman"/>
                <w:color w:val="000000"/>
                <w:sz w:val="20"/>
                <w:szCs w:val="20"/>
                <w:lang w:eastAsia="en-ZA"/>
              </w:rPr>
              <w:t xml:space="preserve"> (p = 0.5)</w:t>
            </w:r>
          </w:p>
        </w:tc>
        <w:tc>
          <w:tcPr>
            <w:tcW w:w="3492" w:type="dxa"/>
          </w:tcPr>
          <w:p w14:paraId="3F0C72F6"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2353E806" w14:textId="77777777" w:rsidTr="002E2C37">
        <w:tc>
          <w:tcPr>
            <w:tcW w:w="9016" w:type="dxa"/>
            <w:gridSpan w:val="2"/>
          </w:tcPr>
          <w:p w14:paraId="1D85712F" w14:textId="592EDF22" w:rsidR="002D7080" w:rsidRPr="004D1E6F" w:rsidRDefault="002D7080" w:rsidP="002E2C37">
            <w:pPr>
              <w:autoSpaceDE w:val="0"/>
              <w:autoSpaceDN w:val="0"/>
              <w:adjustRightInd w:val="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Due to the uncertainty with regards to the native range of </w:t>
            </w:r>
            <w:r w:rsidRPr="004D1E6F">
              <w:rPr>
                <w:rFonts w:ascii="Times New Roman" w:eastAsia="Times New Roman" w:hAnsi="Times New Roman" w:cs="Times New Roman"/>
                <w:i/>
                <w:color w:val="000000"/>
                <w:sz w:val="20"/>
                <w:szCs w:val="20"/>
                <w:lang w:eastAsia="en-ZA"/>
              </w:rPr>
              <w:t>Procambarus virginalis</w:t>
            </w:r>
            <w:r w:rsidRPr="004D1E6F">
              <w:rPr>
                <w:rFonts w:ascii="Times New Roman" w:eastAsia="Times New Roman" w:hAnsi="Times New Roman" w:cs="Times New Roman"/>
                <w:color w:val="000000"/>
                <w:sz w:val="20"/>
                <w:szCs w:val="20"/>
                <w:lang w:eastAsia="en-ZA"/>
              </w:rPr>
              <w:t xml:space="preserve"> and no record of indigenous populations, nothing is known about its natural habitat</w:t>
            </w:r>
            <w:r>
              <w:rPr>
                <w:rFonts w:ascii="Times New Roman" w:eastAsia="Times New Roman" w:hAnsi="Times New Roman" w:cs="Times New Roman"/>
                <w:color w:val="000000"/>
                <w:sz w:val="20"/>
                <w:szCs w:val="20"/>
                <w:lang w:eastAsia="en-ZA"/>
              </w:rPr>
              <w:t xml:space="preserve"> (CABI 2024)</w:t>
            </w:r>
            <w:r w:rsidRPr="004D1E6F">
              <w:rPr>
                <w:rFonts w:ascii="Times New Roman" w:eastAsia="Times New Roman" w:hAnsi="Times New Roman" w:cs="Times New Roman"/>
                <w:color w:val="000000"/>
                <w:sz w:val="20"/>
                <w:szCs w:val="20"/>
                <w:lang w:eastAsia="en-ZA"/>
              </w:rPr>
              <w:t xml:space="preserve">. </w:t>
            </w:r>
            <w:r>
              <w:rPr>
                <w:rFonts w:ascii="Times New Roman" w:eastAsia="Times New Roman" w:hAnsi="Times New Roman" w:cs="Times New Roman"/>
                <w:color w:val="000000"/>
                <w:sz w:val="20"/>
                <w:szCs w:val="20"/>
                <w:lang w:eastAsia="en-ZA"/>
              </w:rPr>
              <w:t xml:space="preserve">Ocupies a variety of habitats from </w:t>
            </w:r>
            <w:r w:rsidRPr="004D1E6F">
              <w:rPr>
                <w:rFonts w:ascii="Times New Roman" w:eastAsia="Times New Roman" w:hAnsi="Times New Roman" w:cs="Times New Roman"/>
                <w:color w:val="000000"/>
                <w:sz w:val="20"/>
                <w:szCs w:val="20"/>
                <w:lang w:eastAsia="en-ZA"/>
              </w:rPr>
              <w:t>rivers, lakes, swamps, and drainage ditches and fishponds (Dorn and Volin 2009</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Chucholl and Pfeiffer 2010</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Feria and Faulkes 2011).</w:t>
            </w:r>
            <w:r>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Procambarus virginalis</w:t>
            </w:r>
            <w:r w:rsidRPr="004D1E6F">
              <w:rPr>
                <w:rFonts w:ascii="Times New Roman" w:eastAsia="Times New Roman" w:hAnsi="Times New Roman" w:cs="Times New Roman"/>
                <w:color w:val="000000"/>
                <w:sz w:val="20"/>
                <w:szCs w:val="20"/>
                <w:lang w:eastAsia="en-ZA"/>
              </w:rPr>
              <w:t xml:space="preserve"> is </w:t>
            </w:r>
            <w:r>
              <w:rPr>
                <w:rFonts w:ascii="Times New Roman" w:eastAsia="Times New Roman" w:hAnsi="Times New Roman" w:cs="Times New Roman"/>
                <w:color w:val="000000"/>
                <w:sz w:val="20"/>
                <w:szCs w:val="20"/>
                <w:lang w:eastAsia="en-ZA"/>
              </w:rPr>
              <w:t xml:space="preserve">closely related to </w:t>
            </w:r>
            <w:r w:rsidRPr="004D1E6F">
              <w:rPr>
                <w:rFonts w:ascii="Times New Roman" w:eastAsia="Times New Roman" w:hAnsi="Times New Roman" w:cs="Times New Roman"/>
                <w:i/>
                <w:color w:val="000000"/>
                <w:sz w:val="20"/>
                <w:szCs w:val="20"/>
                <w:lang w:eastAsia="en-ZA"/>
              </w:rPr>
              <w:t>Procambarus fallax</w:t>
            </w:r>
            <w:r>
              <w:rPr>
                <w:rFonts w:ascii="Times New Roman" w:eastAsia="Times New Roman" w:hAnsi="Times New Roman" w:cs="Times New Roman"/>
                <w:i/>
                <w:color w:val="000000"/>
                <w:sz w:val="20"/>
                <w:szCs w:val="20"/>
                <w:lang w:eastAsia="en-ZA"/>
              </w:rPr>
              <w:t xml:space="preserve"> </w:t>
            </w:r>
            <w:r w:rsidRPr="00413176">
              <w:rPr>
                <w:rFonts w:ascii="Times New Roman" w:eastAsia="Times New Roman" w:hAnsi="Times New Roman" w:cs="Times New Roman"/>
                <w:iCs/>
                <w:color w:val="000000"/>
                <w:sz w:val="20"/>
                <w:szCs w:val="20"/>
                <w:lang w:eastAsia="en-ZA"/>
              </w:rPr>
              <w:t>and some</w:t>
            </w:r>
            <w:r>
              <w:rPr>
                <w:rFonts w:ascii="Times New Roman" w:eastAsia="Times New Roman" w:hAnsi="Times New Roman" w:cs="Times New Roman"/>
                <w:color w:val="000000"/>
                <w:sz w:val="20"/>
                <w:szCs w:val="20"/>
                <w:lang w:eastAsia="en-ZA"/>
              </w:rPr>
              <w:t xml:space="preserve"> habitat </w:t>
            </w:r>
            <w:r w:rsidR="00C52CC6">
              <w:rPr>
                <w:rFonts w:ascii="Times New Roman" w:eastAsia="Times New Roman" w:hAnsi="Times New Roman" w:cs="Times New Roman"/>
                <w:color w:val="000000"/>
                <w:sz w:val="20"/>
                <w:szCs w:val="20"/>
                <w:lang w:eastAsia="en-ZA"/>
              </w:rPr>
              <w:t>preferences</w:t>
            </w:r>
            <w:r>
              <w:rPr>
                <w:rFonts w:ascii="Times New Roman" w:eastAsia="Times New Roman" w:hAnsi="Times New Roman" w:cs="Times New Roman"/>
                <w:color w:val="000000"/>
                <w:sz w:val="20"/>
                <w:szCs w:val="20"/>
                <w:lang w:eastAsia="en-ZA"/>
              </w:rPr>
              <w:t xml:space="preserve"> can </w:t>
            </w:r>
            <w:r w:rsidR="00C52CC6">
              <w:rPr>
                <w:rFonts w:ascii="Times New Roman" w:eastAsia="Times New Roman" w:hAnsi="Times New Roman" w:cs="Times New Roman"/>
                <w:color w:val="000000"/>
                <w:sz w:val="20"/>
                <w:szCs w:val="20"/>
                <w:lang w:eastAsia="en-ZA"/>
              </w:rPr>
              <w:t>also</w:t>
            </w:r>
            <w:r>
              <w:rPr>
                <w:rFonts w:ascii="Times New Roman" w:eastAsia="Times New Roman" w:hAnsi="Times New Roman" w:cs="Times New Roman"/>
                <w:color w:val="000000"/>
                <w:sz w:val="20"/>
                <w:szCs w:val="20"/>
                <w:lang w:eastAsia="en-ZA"/>
              </w:rPr>
              <w:t xml:space="preserve"> be </w:t>
            </w:r>
            <w:r w:rsidR="00C52CC6">
              <w:rPr>
                <w:rFonts w:ascii="Times New Roman" w:eastAsia="Times New Roman" w:hAnsi="Times New Roman" w:cs="Times New Roman"/>
                <w:color w:val="000000"/>
                <w:sz w:val="20"/>
                <w:szCs w:val="20"/>
                <w:lang w:eastAsia="en-ZA"/>
              </w:rPr>
              <w:t>inferred</w:t>
            </w:r>
            <w:r>
              <w:rPr>
                <w:rFonts w:ascii="Times New Roman" w:eastAsia="Times New Roman" w:hAnsi="Times New Roman" w:cs="Times New Roman"/>
                <w:color w:val="000000"/>
                <w:sz w:val="20"/>
                <w:szCs w:val="20"/>
                <w:lang w:eastAsia="en-ZA"/>
              </w:rPr>
              <w:t xml:space="preserve"> from </w:t>
            </w:r>
            <w:r w:rsidRPr="00413176">
              <w:rPr>
                <w:rFonts w:ascii="Times New Roman" w:eastAsia="Times New Roman" w:hAnsi="Times New Roman" w:cs="Times New Roman"/>
                <w:i/>
                <w:iCs/>
                <w:color w:val="000000"/>
                <w:sz w:val="20"/>
                <w:szCs w:val="20"/>
                <w:lang w:eastAsia="en-ZA"/>
              </w:rPr>
              <w:t>P. fallax</w:t>
            </w:r>
            <w:r>
              <w:rPr>
                <w:rFonts w:ascii="Times New Roman" w:eastAsia="Times New Roman" w:hAnsi="Times New Roman" w:cs="Times New Roman"/>
                <w:color w:val="000000"/>
                <w:sz w:val="20"/>
                <w:szCs w:val="20"/>
                <w:lang w:eastAsia="en-ZA"/>
              </w:rPr>
              <w:t xml:space="preserve"> – </w:t>
            </w:r>
            <w:r w:rsidRPr="00C943EA">
              <w:rPr>
                <w:rFonts w:ascii="Times New Roman" w:eastAsia="Times New Roman" w:hAnsi="Times New Roman" w:cs="Times New Roman"/>
                <w:iCs/>
                <w:color w:val="000000"/>
                <w:sz w:val="20"/>
                <w:szCs w:val="20"/>
                <w:lang w:eastAsia="en-ZA"/>
              </w:rPr>
              <w:t>occurs in slow flowing water habitats such as wetlands and marshes (</w:t>
            </w:r>
            <w:r>
              <w:rPr>
                <w:rFonts w:ascii="Times New Roman" w:eastAsia="Times New Roman" w:hAnsi="Times New Roman" w:cs="Times New Roman"/>
                <w:iCs/>
                <w:color w:val="000000"/>
                <w:sz w:val="20"/>
                <w:szCs w:val="20"/>
                <w:lang w:eastAsia="en-ZA"/>
              </w:rPr>
              <w:t xml:space="preserve">Hendrix &amp; Loftus 2000; </w:t>
            </w:r>
            <w:r w:rsidRPr="00C943EA">
              <w:rPr>
                <w:rFonts w:ascii="Times New Roman" w:eastAsia="Times New Roman" w:hAnsi="Times New Roman" w:cs="Times New Roman"/>
                <w:iCs/>
                <w:color w:val="000000"/>
                <w:sz w:val="20"/>
                <w:szCs w:val="20"/>
                <w:lang w:eastAsia="en-ZA"/>
              </w:rPr>
              <w:t xml:space="preserve">Martin et </w:t>
            </w:r>
            <w:r>
              <w:rPr>
                <w:rFonts w:ascii="Times New Roman" w:eastAsia="Times New Roman" w:hAnsi="Times New Roman" w:cs="Times New Roman"/>
                <w:iCs/>
                <w:color w:val="000000"/>
                <w:sz w:val="20"/>
                <w:szCs w:val="20"/>
                <w:lang w:eastAsia="en-ZA"/>
              </w:rPr>
              <w:t xml:space="preserve">al. </w:t>
            </w:r>
            <w:r w:rsidRPr="00C943EA">
              <w:rPr>
                <w:rFonts w:ascii="Times New Roman" w:eastAsia="Times New Roman" w:hAnsi="Times New Roman" w:cs="Times New Roman"/>
                <w:iCs/>
                <w:color w:val="000000"/>
                <w:sz w:val="20"/>
                <w:szCs w:val="20"/>
                <w:lang w:eastAsia="en-ZA"/>
              </w:rPr>
              <w:t>2010</w:t>
            </w:r>
            <w:r>
              <w:rPr>
                <w:rFonts w:ascii="Times New Roman" w:eastAsia="Times New Roman" w:hAnsi="Times New Roman" w:cs="Times New Roman"/>
                <w:iCs/>
                <w:color w:val="000000"/>
                <w:sz w:val="20"/>
                <w:szCs w:val="20"/>
                <w:lang w:eastAsia="en-ZA"/>
              </w:rPr>
              <w:t xml:space="preserve">). Mainly aquatic and only burrows under extreme conditions (Dorn &amp; Volin 2009).  </w:t>
            </w:r>
          </w:p>
        </w:tc>
      </w:tr>
      <w:tr w:rsidR="002D7080" w:rsidRPr="004D1E6F" w14:paraId="626AD17E" w14:textId="77777777" w:rsidTr="002E2C37">
        <w:tc>
          <w:tcPr>
            <w:tcW w:w="9016" w:type="dxa"/>
            <w:gridSpan w:val="2"/>
          </w:tcPr>
          <w:p w14:paraId="64F900C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3F9EA609" w14:textId="77777777" w:rsidR="002D7080" w:rsidRDefault="002D7080" w:rsidP="002E2C37">
            <w:pPr>
              <w:ind w:left="522" w:hanging="522"/>
              <w:contextualSpacing/>
              <w:jc w:val="both"/>
              <w:rPr>
                <w:rFonts w:ascii="Times New Roman" w:hAnsi="Times New Roman" w:cs="Times New Roman"/>
                <w:sz w:val="20"/>
                <w:szCs w:val="20"/>
              </w:rPr>
            </w:pPr>
            <w:r w:rsidRPr="00A06354">
              <w:rPr>
                <w:rFonts w:ascii="Times New Roman" w:hAnsi="Times New Roman" w:cs="Times New Roman"/>
                <w:sz w:val="20"/>
                <w:szCs w:val="20"/>
              </w:rPr>
              <w:t xml:space="preserve">CABI, 2024. </w:t>
            </w:r>
            <w:r w:rsidRPr="00591E3C">
              <w:rPr>
                <w:rFonts w:ascii="Times New Roman" w:hAnsi="Times New Roman" w:cs="Times New Roman"/>
                <w:i/>
                <w:iCs/>
                <w:sz w:val="20"/>
                <w:szCs w:val="20"/>
              </w:rPr>
              <w:t>Procambarus fallax</w:t>
            </w:r>
            <w:r w:rsidRPr="00F75B1D">
              <w:rPr>
                <w:rFonts w:ascii="Times New Roman" w:hAnsi="Times New Roman" w:cs="Times New Roman"/>
                <w:sz w:val="20"/>
                <w:szCs w:val="20"/>
              </w:rPr>
              <w:t xml:space="preserve"> f. </w:t>
            </w:r>
            <w:r w:rsidRPr="00591E3C">
              <w:rPr>
                <w:rFonts w:ascii="Times New Roman" w:hAnsi="Times New Roman" w:cs="Times New Roman"/>
                <w:i/>
                <w:iCs/>
                <w:sz w:val="20"/>
                <w:szCs w:val="20"/>
              </w:rPr>
              <w:t xml:space="preserve">virginalis </w:t>
            </w:r>
            <w:r w:rsidRPr="00F75B1D">
              <w:rPr>
                <w:rFonts w:ascii="Times New Roman" w:hAnsi="Times New Roman" w:cs="Times New Roman"/>
                <w:sz w:val="20"/>
                <w:szCs w:val="20"/>
              </w:rPr>
              <w:t>(Marmorkrebs)</w:t>
            </w:r>
            <w:r w:rsidRPr="00A06354">
              <w:rPr>
                <w:rFonts w:ascii="Times New Roman" w:hAnsi="Times New Roman" w:cs="Times New Roman"/>
                <w:sz w:val="20"/>
                <w:szCs w:val="20"/>
              </w:rPr>
              <w:t xml:space="preserve">. Invasive Species Compendium, </w:t>
            </w:r>
            <w:r w:rsidRPr="00A06354">
              <w:rPr>
                <w:rFonts w:ascii="Times New Roman" w:hAnsi="Times New Roman" w:cs="Times New Roman"/>
                <w:color w:val="000000"/>
                <w:sz w:val="20"/>
                <w:szCs w:val="20"/>
                <w:shd w:val="clear" w:color="auto" w:fill="FFFFFF"/>
              </w:rPr>
              <w:t>CABI Publishing, Wallingford, UK.</w:t>
            </w:r>
            <w:r w:rsidRPr="00A06354">
              <w:rPr>
                <w:rFonts w:ascii="Times New Roman" w:hAnsi="Times New Roman" w:cs="Times New Roman"/>
                <w:sz w:val="20"/>
                <w:szCs w:val="20"/>
              </w:rPr>
              <w:t xml:space="preserve"> </w:t>
            </w:r>
            <w:hyperlink w:history="1">
              <w:r w:rsidRPr="0039483C">
                <w:rPr>
                  <w:rStyle w:val="Hyperlink"/>
                  <w:rFonts w:ascii="Times New Roman" w:hAnsi="Times New Roman" w:cs="Times New Roman"/>
                  <w:sz w:val="20"/>
                  <w:szCs w:val="20"/>
                </w:rPr>
                <w:t>https://www.cabidigitallibrary.org/doi/10.1079/cabicompendium.110477</w:t>
              </w:r>
            </w:hyperlink>
            <w:r>
              <w:rPr>
                <w:rFonts w:ascii="Times New Roman" w:hAnsi="Times New Roman" w:cs="Times New Roman"/>
                <w:sz w:val="20"/>
                <w:szCs w:val="20"/>
              </w:rPr>
              <w:t xml:space="preserve"> </w:t>
            </w:r>
            <w:r w:rsidRPr="00A06354">
              <w:rPr>
                <w:rFonts w:ascii="Times New Roman" w:hAnsi="Times New Roman" w:cs="Times New Roman"/>
                <w:sz w:val="20"/>
                <w:szCs w:val="20"/>
              </w:rPr>
              <w:t>(accessed 10 July 2024)</w:t>
            </w:r>
          </w:p>
          <w:p w14:paraId="44546A68" w14:textId="77777777" w:rsidR="002D7080" w:rsidRPr="004D1E6F" w:rsidRDefault="002D7080" w:rsidP="002E2C37">
            <w:pPr>
              <w:ind w:left="540" w:hanging="54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Chucholl C, Pfeiffer M. 2010. First evidence for an established Marmorkrebs (Decapoda, Astacida, Cambaridae) population in Southwestern Germany, in syntopic occurrence with </w:t>
            </w:r>
            <w:r w:rsidRPr="004D1E6F">
              <w:rPr>
                <w:rFonts w:ascii="Times New Roman" w:eastAsia="Times New Roman" w:hAnsi="Times New Roman" w:cs="Times New Roman"/>
                <w:i/>
                <w:color w:val="000000"/>
                <w:sz w:val="20"/>
                <w:szCs w:val="20"/>
                <w:lang w:eastAsia="en-ZA"/>
              </w:rPr>
              <w:t>Orconectes limosus</w:t>
            </w:r>
            <w:r w:rsidRPr="004D1E6F">
              <w:rPr>
                <w:rFonts w:ascii="Times New Roman" w:eastAsia="Times New Roman" w:hAnsi="Times New Roman" w:cs="Times New Roman"/>
                <w:color w:val="000000"/>
                <w:sz w:val="20"/>
                <w:szCs w:val="20"/>
                <w:lang w:eastAsia="en-ZA"/>
              </w:rPr>
              <w:t xml:space="preserve"> (Rafinesque, 1817). </w:t>
            </w:r>
            <w:r w:rsidRPr="004D1E6F">
              <w:rPr>
                <w:rFonts w:ascii="Times New Roman" w:eastAsia="Times New Roman" w:hAnsi="Times New Roman" w:cs="Times New Roman"/>
                <w:i/>
                <w:iCs/>
                <w:color w:val="000000"/>
                <w:sz w:val="20"/>
                <w:szCs w:val="20"/>
                <w:lang w:eastAsia="en-ZA"/>
              </w:rPr>
              <w:t>Aquatic invasions</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5</w:t>
            </w:r>
            <w:r w:rsidRPr="004D1E6F">
              <w:rPr>
                <w:rFonts w:ascii="Times New Roman" w:eastAsia="Times New Roman" w:hAnsi="Times New Roman" w:cs="Times New Roman"/>
                <w:color w:val="000000"/>
                <w:sz w:val="20"/>
                <w:szCs w:val="20"/>
                <w:lang w:eastAsia="en-ZA"/>
              </w:rPr>
              <w:t>: 405</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412</w:t>
            </w:r>
            <w:r>
              <w:rPr>
                <w:rFonts w:ascii="Times New Roman" w:eastAsia="Times New Roman" w:hAnsi="Times New Roman" w:cs="Times New Roman"/>
                <w:color w:val="000000"/>
                <w:sz w:val="20"/>
                <w:szCs w:val="20"/>
                <w:lang w:eastAsia="en-ZA"/>
              </w:rPr>
              <w:t xml:space="preserve">. </w:t>
            </w:r>
            <w:hyperlink r:id="rId652" w:history="1">
              <w:r w:rsidRPr="002A244D">
                <w:rPr>
                  <w:rStyle w:val="Hyperlink"/>
                  <w:rFonts w:ascii="Times New Roman" w:eastAsia="Times New Roman" w:hAnsi="Times New Roman" w:cs="Times New Roman"/>
                  <w:iCs/>
                  <w:sz w:val="20"/>
                  <w:szCs w:val="20"/>
                  <w:lang w:eastAsia="en-ZA"/>
                </w:rPr>
                <w:t>https://doi.org/10.3391/ai.2010.5.4.10</w:t>
              </w:r>
            </w:hyperlink>
          </w:p>
          <w:p w14:paraId="7582E807" w14:textId="77777777" w:rsidR="002D7080" w:rsidRDefault="002D7080" w:rsidP="002E2C37">
            <w:pPr>
              <w:ind w:left="522" w:hanging="522"/>
              <w:contextualSpacing/>
              <w:jc w:val="both"/>
              <w:rPr>
                <w:rFonts w:ascii="Times New Roman" w:eastAsia="Times New Roman" w:hAnsi="Times New Roman" w:cs="Times New Roman"/>
                <w:color w:val="000000"/>
                <w:sz w:val="20"/>
                <w:szCs w:val="20"/>
                <w:lang w:eastAsia="en-ZA"/>
              </w:rPr>
            </w:pPr>
            <w:r w:rsidRPr="001441A3">
              <w:rPr>
                <w:rFonts w:ascii="Times New Roman" w:hAnsi="Times New Roman" w:cs="Times New Roman"/>
                <w:sz w:val="20"/>
                <w:szCs w:val="20"/>
                <w:shd w:val="clear" w:color="auto" w:fill="FFFFFF"/>
              </w:rPr>
              <w:t>Dorn NJ, Volin JC, 2009. Resistance of crayfish (</w:t>
            </w:r>
            <w:r w:rsidRPr="001441A3">
              <w:rPr>
                <w:rFonts w:ascii="Times New Roman" w:hAnsi="Times New Roman" w:cs="Times New Roman"/>
                <w:i/>
                <w:iCs/>
                <w:sz w:val="20"/>
                <w:szCs w:val="20"/>
                <w:shd w:val="clear" w:color="auto" w:fill="FFFFFF"/>
              </w:rPr>
              <w:t>Procambarus</w:t>
            </w:r>
            <w:r w:rsidRPr="001441A3">
              <w:rPr>
                <w:rFonts w:ascii="Times New Roman" w:hAnsi="Times New Roman" w:cs="Times New Roman"/>
                <w:sz w:val="20"/>
                <w:szCs w:val="20"/>
                <w:shd w:val="clear" w:color="auto" w:fill="FFFFFF"/>
              </w:rPr>
              <w:t xml:space="preserve"> spp.) populations to wetland drying depends on species and substrate. </w:t>
            </w:r>
            <w:r w:rsidRPr="001441A3">
              <w:rPr>
                <w:rFonts w:ascii="Times New Roman" w:hAnsi="Times New Roman" w:cs="Times New Roman"/>
                <w:i/>
                <w:iCs/>
                <w:sz w:val="20"/>
                <w:szCs w:val="20"/>
                <w:shd w:val="clear" w:color="auto" w:fill="FFFFFF"/>
              </w:rPr>
              <w:t>Journal of the North American Benthological Society</w:t>
            </w:r>
            <w:r w:rsidRPr="001441A3">
              <w:rPr>
                <w:rFonts w:ascii="Times New Roman" w:hAnsi="Times New Roman" w:cs="Times New Roman"/>
                <w:sz w:val="20"/>
                <w:szCs w:val="20"/>
                <w:shd w:val="clear" w:color="auto" w:fill="FFFFFF"/>
              </w:rPr>
              <w:t>, 28(4):766-777.</w:t>
            </w:r>
            <w:r>
              <w:rPr>
                <w:rFonts w:ascii="Times New Roman" w:hAnsi="Times New Roman" w:cs="Times New Roman"/>
                <w:sz w:val="20"/>
                <w:szCs w:val="20"/>
                <w:shd w:val="clear" w:color="auto" w:fill="FFFFFF"/>
              </w:rPr>
              <w:t xml:space="preserve"> </w:t>
            </w:r>
            <w:hyperlink r:id="rId653" w:tgtFrame="_blank" w:history="1">
              <w:r w:rsidRPr="00D265B1">
                <w:rPr>
                  <w:rStyle w:val="Hyperlink"/>
                  <w:rFonts w:ascii="Times New Roman" w:hAnsi="Times New Roman" w:cs="Times New Roman"/>
                  <w:sz w:val="20"/>
                  <w:szCs w:val="20"/>
                  <w:shd w:val="clear" w:color="auto" w:fill="FFFFFF"/>
                </w:rPr>
                <w:t>https://doi.org/10.1899/08-151.1</w:t>
              </w:r>
            </w:hyperlink>
          </w:p>
          <w:p w14:paraId="3A0C42FD" w14:textId="77777777" w:rsidR="002D7080" w:rsidRPr="004D1E6F" w:rsidRDefault="002D7080" w:rsidP="002E2C37">
            <w:pPr>
              <w:ind w:left="522" w:hanging="522"/>
              <w:contextualSpacing/>
              <w:jc w:val="both"/>
              <w:rPr>
                <w:rFonts w:ascii="Times New Roman" w:eastAsia="Times New Roman" w:hAnsi="Times New Roman" w:cs="Times New Roman"/>
                <w:color w:val="000000"/>
                <w:sz w:val="20"/>
                <w:szCs w:val="20"/>
                <w:lang w:eastAsia="en-ZA"/>
              </w:rPr>
            </w:pPr>
            <w:r w:rsidRPr="004D1E6F">
              <w:rPr>
                <w:rFonts w:ascii="Times New Roman" w:hAnsi="Times New Roman" w:cs="Times New Roman"/>
                <w:bCs/>
                <w:sz w:val="20"/>
                <w:szCs w:val="20"/>
              </w:rPr>
              <w:t>Feria, T.P. &amp; Faulkes, Z., 2011, ‘Forecasting the distribution of Marmorkrebs, a parthenogenetic crayfish with high invasive potential, in Madagascar, Europe, and North America</w:t>
            </w:r>
            <w:r w:rsidRPr="004D1E6F">
              <w:rPr>
                <w:rFonts w:ascii="Times New Roman" w:hAnsi="Times New Roman" w:cs="Times New Roman"/>
                <w:bCs/>
                <w:i/>
                <w:iCs/>
                <w:sz w:val="20"/>
                <w:szCs w:val="20"/>
              </w:rPr>
              <w:t xml:space="preserve">’, Aquatic Invasions </w:t>
            </w:r>
            <w:r w:rsidRPr="004D1E6F">
              <w:rPr>
                <w:rFonts w:ascii="Times New Roman" w:hAnsi="Times New Roman" w:cs="Times New Roman"/>
                <w:bCs/>
                <w:iCs/>
                <w:sz w:val="20"/>
                <w:szCs w:val="20"/>
              </w:rPr>
              <w:t>6, 55</w:t>
            </w:r>
            <w:r>
              <w:rPr>
                <w:rFonts w:ascii="Times New Roman" w:hAnsi="Times New Roman" w:cs="Times New Roman"/>
                <w:bCs/>
                <w:iCs/>
                <w:sz w:val="20"/>
                <w:szCs w:val="20"/>
              </w:rPr>
              <w:t>-</w:t>
            </w:r>
            <w:r w:rsidRPr="004D1E6F">
              <w:rPr>
                <w:rFonts w:ascii="Times New Roman" w:hAnsi="Times New Roman" w:cs="Times New Roman"/>
                <w:bCs/>
                <w:iCs/>
                <w:sz w:val="20"/>
                <w:szCs w:val="20"/>
              </w:rPr>
              <w:t>67</w:t>
            </w:r>
            <w:r w:rsidRPr="004D1E6F">
              <w:rPr>
                <w:rFonts w:ascii="Times New Roman" w:hAnsi="Times New Roman" w:cs="Times New Roman"/>
                <w:bCs/>
                <w:i/>
                <w:iCs/>
                <w:sz w:val="20"/>
                <w:szCs w:val="20"/>
              </w:rPr>
              <w:t xml:space="preserve">. </w:t>
            </w:r>
            <w:r w:rsidRPr="004D1E6F">
              <w:rPr>
                <w:rFonts w:ascii="Times New Roman" w:hAnsi="Times New Roman" w:cs="Times New Roman"/>
                <w:bCs/>
                <w:sz w:val="20"/>
                <w:szCs w:val="20"/>
              </w:rPr>
              <w:t xml:space="preserve"> </w:t>
            </w:r>
            <w:hyperlink r:id="rId654" w:history="1">
              <w:r w:rsidRPr="00AD0AF1">
                <w:rPr>
                  <w:rStyle w:val="Hyperlink"/>
                  <w:rFonts w:ascii="Times New Roman" w:hAnsi="Times New Roman" w:cs="Times New Roman"/>
                  <w:bCs/>
                  <w:iCs/>
                  <w:sz w:val="20"/>
                  <w:szCs w:val="20"/>
                </w:rPr>
                <w:t>https://doi.org/10.3391/ai.2011.6.1.07</w:t>
              </w:r>
            </w:hyperlink>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p w14:paraId="0372B3DD" w14:textId="77777777" w:rsidR="002D7080" w:rsidRPr="004D1E6F" w:rsidRDefault="002D7080" w:rsidP="002E2C37">
            <w:pPr>
              <w:ind w:left="522" w:hanging="522"/>
              <w:contextualSpacing/>
              <w:jc w:val="both"/>
              <w:rPr>
                <w:rFonts w:ascii="Times New Roman" w:eastAsia="Times New Roman" w:hAnsi="Times New Roman" w:cs="Times New Roman"/>
                <w:color w:val="000000"/>
                <w:sz w:val="20"/>
                <w:szCs w:val="20"/>
                <w:lang w:eastAsia="en-ZA"/>
              </w:rPr>
            </w:pPr>
            <w:r w:rsidRPr="001441A3">
              <w:rPr>
                <w:rFonts w:ascii="Times New Roman" w:hAnsi="Times New Roman" w:cs="Times New Roman"/>
                <w:sz w:val="20"/>
                <w:szCs w:val="20"/>
                <w:shd w:val="clear" w:color="auto" w:fill="FFFFFF"/>
              </w:rPr>
              <w:t xml:space="preserve">Hendrix AN, Loftus WF, 2000. Distribution and relative abundance of the crayfishes </w:t>
            </w:r>
            <w:r w:rsidRPr="001441A3">
              <w:rPr>
                <w:rFonts w:ascii="Times New Roman" w:hAnsi="Times New Roman" w:cs="Times New Roman"/>
                <w:i/>
                <w:iCs/>
                <w:sz w:val="20"/>
                <w:szCs w:val="20"/>
                <w:shd w:val="clear" w:color="auto" w:fill="FFFFFF"/>
              </w:rPr>
              <w:t>Procambarus alleni</w:t>
            </w:r>
            <w:r w:rsidRPr="001441A3">
              <w:rPr>
                <w:rFonts w:ascii="Times New Roman" w:hAnsi="Times New Roman" w:cs="Times New Roman"/>
                <w:sz w:val="20"/>
                <w:szCs w:val="20"/>
                <w:shd w:val="clear" w:color="auto" w:fill="FFFFFF"/>
              </w:rPr>
              <w:t xml:space="preserve"> (Faxon) and P. fallax (Hagen) in southern Florida. </w:t>
            </w:r>
            <w:r w:rsidRPr="001441A3">
              <w:rPr>
                <w:rFonts w:ascii="Times New Roman" w:hAnsi="Times New Roman" w:cs="Times New Roman"/>
                <w:i/>
                <w:iCs/>
                <w:sz w:val="20"/>
                <w:szCs w:val="20"/>
                <w:shd w:val="clear" w:color="auto" w:fill="FFFFFF"/>
              </w:rPr>
              <w:t>Wetlands</w:t>
            </w:r>
            <w:r w:rsidRPr="001441A3">
              <w:rPr>
                <w:rFonts w:ascii="Times New Roman" w:hAnsi="Times New Roman" w:cs="Times New Roman"/>
                <w:sz w:val="20"/>
                <w:szCs w:val="20"/>
                <w:shd w:val="clear" w:color="auto" w:fill="FFFFFF"/>
              </w:rPr>
              <w:t>, 20:194-199.</w:t>
            </w:r>
            <w:r>
              <w:rPr>
                <w:rFonts w:ascii="Times New Roman" w:hAnsi="Times New Roman" w:cs="Times New Roman"/>
                <w:sz w:val="20"/>
                <w:szCs w:val="20"/>
                <w:shd w:val="clear" w:color="auto" w:fill="FFFFFF"/>
              </w:rPr>
              <w:t xml:space="preserve"> </w:t>
            </w:r>
            <w:hyperlink r:id="rId655" w:tgtFrame="_blank" w:history="1">
              <w:r w:rsidRPr="00C54697">
                <w:rPr>
                  <w:rStyle w:val="Hyperlink"/>
                  <w:rFonts w:ascii="Times New Roman" w:hAnsi="Times New Roman" w:cs="Times New Roman"/>
                  <w:sz w:val="20"/>
                  <w:szCs w:val="20"/>
                  <w:shd w:val="clear" w:color="auto" w:fill="FFFFFF"/>
                </w:rPr>
                <w:t>https://doi.org/10.1672/0277-5212(2000)020[0194:DARAOT]2.0.CO;2</w:t>
              </w:r>
            </w:hyperlink>
          </w:p>
        </w:tc>
      </w:tr>
    </w:tbl>
    <w:p w14:paraId="36F3AF0F"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486A6BBD" w14:textId="77777777" w:rsidTr="002E2C37">
        <w:tc>
          <w:tcPr>
            <w:tcW w:w="9016" w:type="dxa"/>
            <w:gridSpan w:val="2"/>
            <w:shd w:val="clear" w:color="auto" w:fill="F2F2F2" w:themeFill="background1" w:themeFillShade="F2"/>
          </w:tcPr>
          <w:p w14:paraId="3D8F9596"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LIK4 Climate suitability</w:t>
            </w:r>
          </w:p>
        </w:tc>
      </w:tr>
      <w:tr w:rsidR="002D7080" w:rsidRPr="004D1E6F" w14:paraId="76D2D44E" w14:textId="77777777" w:rsidTr="002E2C37">
        <w:tc>
          <w:tcPr>
            <w:tcW w:w="5524" w:type="dxa"/>
          </w:tcPr>
          <w:p w14:paraId="35B4201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w:t>
            </w:r>
            <w:r>
              <w:rPr>
                <w:rFonts w:ascii="Times New Roman" w:eastAsia="Times New Roman" w:hAnsi="Times New Roman" w:cs="Times New Roman"/>
                <w:color w:val="000000"/>
                <w:sz w:val="20"/>
                <w:szCs w:val="20"/>
                <w:lang w:eastAsia="en-ZA"/>
              </w:rPr>
              <w:t xml:space="preserve"> (p = 0.5)</w:t>
            </w:r>
          </w:p>
        </w:tc>
        <w:tc>
          <w:tcPr>
            <w:tcW w:w="3492" w:type="dxa"/>
          </w:tcPr>
          <w:p w14:paraId="5A407B9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37B98CBF" w14:textId="77777777" w:rsidTr="002E2C37">
        <w:tc>
          <w:tcPr>
            <w:tcW w:w="9016" w:type="dxa"/>
            <w:gridSpan w:val="2"/>
          </w:tcPr>
          <w:p w14:paraId="11279CDD" w14:textId="77777777" w:rsidR="002D7080" w:rsidRPr="00DE79F7"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 xml:space="preserve">Rationale: </w:t>
            </w:r>
            <w:r w:rsidRPr="004D1E6F">
              <w:rPr>
                <w:rFonts w:ascii="Times New Roman" w:eastAsia="Times New Roman" w:hAnsi="Times New Roman" w:cs="Times New Roman"/>
                <w:i/>
                <w:sz w:val="20"/>
                <w:szCs w:val="20"/>
              </w:rPr>
              <w:t>Procambarus virginalis</w:t>
            </w:r>
            <w:r w:rsidRPr="004D1E6F">
              <w:rPr>
                <w:rFonts w:ascii="Times New Roman" w:eastAsia="Times New Roman" w:hAnsi="Times New Roman" w:cs="Times New Roman"/>
                <w:sz w:val="20"/>
                <w:szCs w:val="20"/>
              </w:rPr>
              <w:t xml:space="preserve"> seem to be tolerant of a wide range of environmental conditions, including low oxygenation and temporary exposure to temperatures &lt; 8°C and &gt; 30°C</w:t>
            </w:r>
            <w:r>
              <w:rPr>
                <w:rFonts w:ascii="Times New Roman" w:eastAsia="Times New Roman" w:hAnsi="Times New Roman" w:cs="Times New Roman"/>
                <w:sz w:val="20"/>
                <w:szCs w:val="20"/>
              </w:rPr>
              <w:t xml:space="preserve"> (Seitz et al. 2005; Feria and Faulkes 2011; CABI 2023)</w:t>
            </w:r>
            <w:r w:rsidRPr="004D1E6F">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These climatic conditions are available in South Africa.</w:t>
            </w:r>
          </w:p>
        </w:tc>
      </w:tr>
      <w:tr w:rsidR="002D7080" w:rsidRPr="004D1E6F" w14:paraId="39DEDBD2" w14:textId="77777777" w:rsidTr="002E2C37">
        <w:tc>
          <w:tcPr>
            <w:tcW w:w="9016" w:type="dxa"/>
            <w:gridSpan w:val="2"/>
          </w:tcPr>
          <w:p w14:paraId="645959A5"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52D0FC1C" w14:textId="77777777" w:rsidR="002D7080" w:rsidRDefault="002D7080" w:rsidP="002E2C37">
            <w:pPr>
              <w:ind w:left="522" w:hanging="522"/>
              <w:contextualSpacing/>
              <w:jc w:val="both"/>
              <w:rPr>
                <w:rFonts w:ascii="Times New Roman" w:hAnsi="Times New Roman" w:cs="Times New Roman"/>
                <w:sz w:val="20"/>
                <w:szCs w:val="20"/>
              </w:rPr>
            </w:pPr>
            <w:r w:rsidRPr="00A06354">
              <w:rPr>
                <w:rFonts w:ascii="Times New Roman" w:hAnsi="Times New Roman" w:cs="Times New Roman"/>
                <w:sz w:val="20"/>
                <w:szCs w:val="20"/>
              </w:rPr>
              <w:t xml:space="preserve">CABI, 2024. </w:t>
            </w:r>
            <w:r w:rsidRPr="00591E3C">
              <w:rPr>
                <w:rFonts w:ascii="Times New Roman" w:hAnsi="Times New Roman" w:cs="Times New Roman"/>
                <w:i/>
                <w:iCs/>
                <w:sz w:val="20"/>
                <w:szCs w:val="20"/>
              </w:rPr>
              <w:t>Procambarus fallax</w:t>
            </w:r>
            <w:r w:rsidRPr="00F75B1D">
              <w:rPr>
                <w:rFonts w:ascii="Times New Roman" w:hAnsi="Times New Roman" w:cs="Times New Roman"/>
                <w:sz w:val="20"/>
                <w:szCs w:val="20"/>
              </w:rPr>
              <w:t xml:space="preserve"> f. </w:t>
            </w:r>
            <w:r w:rsidRPr="00591E3C">
              <w:rPr>
                <w:rFonts w:ascii="Times New Roman" w:hAnsi="Times New Roman" w:cs="Times New Roman"/>
                <w:i/>
                <w:iCs/>
                <w:sz w:val="20"/>
                <w:szCs w:val="20"/>
              </w:rPr>
              <w:t xml:space="preserve">virginalis </w:t>
            </w:r>
            <w:r w:rsidRPr="00F75B1D">
              <w:rPr>
                <w:rFonts w:ascii="Times New Roman" w:hAnsi="Times New Roman" w:cs="Times New Roman"/>
                <w:sz w:val="20"/>
                <w:szCs w:val="20"/>
              </w:rPr>
              <w:t>(Marmorkrebs)</w:t>
            </w:r>
            <w:r w:rsidRPr="00A06354">
              <w:rPr>
                <w:rFonts w:ascii="Times New Roman" w:hAnsi="Times New Roman" w:cs="Times New Roman"/>
                <w:sz w:val="20"/>
                <w:szCs w:val="20"/>
              </w:rPr>
              <w:t xml:space="preserve">. Invasive Species Compendium, </w:t>
            </w:r>
            <w:r w:rsidRPr="00A06354">
              <w:rPr>
                <w:rFonts w:ascii="Times New Roman" w:hAnsi="Times New Roman" w:cs="Times New Roman"/>
                <w:color w:val="000000"/>
                <w:sz w:val="20"/>
                <w:szCs w:val="20"/>
                <w:shd w:val="clear" w:color="auto" w:fill="FFFFFF"/>
              </w:rPr>
              <w:t>CABI Publishing, Wallingford, UK.</w:t>
            </w:r>
            <w:r w:rsidRPr="00A06354">
              <w:rPr>
                <w:rFonts w:ascii="Times New Roman" w:hAnsi="Times New Roman" w:cs="Times New Roman"/>
                <w:sz w:val="20"/>
                <w:szCs w:val="20"/>
              </w:rPr>
              <w:t xml:space="preserve"> </w:t>
            </w:r>
            <w:hyperlink w:history="1">
              <w:r w:rsidRPr="0039483C">
                <w:rPr>
                  <w:rStyle w:val="Hyperlink"/>
                  <w:rFonts w:ascii="Times New Roman" w:hAnsi="Times New Roman" w:cs="Times New Roman"/>
                  <w:sz w:val="20"/>
                  <w:szCs w:val="20"/>
                </w:rPr>
                <w:t>https://www.cabidigitallibrary.org/doi/10.1079/cabicompendium.110477</w:t>
              </w:r>
            </w:hyperlink>
            <w:r>
              <w:rPr>
                <w:rFonts w:ascii="Times New Roman" w:hAnsi="Times New Roman" w:cs="Times New Roman"/>
                <w:sz w:val="20"/>
                <w:szCs w:val="20"/>
              </w:rPr>
              <w:t xml:space="preserve"> </w:t>
            </w:r>
            <w:r w:rsidRPr="00A06354">
              <w:rPr>
                <w:rFonts w:ascii="Times New Roman" w:hAnsi="Times New Roman" w:cs="Times New Roman"/>
                <w:sz w:val="20"/>
                <w:szCs w:val="20"/>
              </w:rPr>
              <w:t>(accessed 10 July 2024)</w:t>
            </w:r>
          </w:p>
          <w:p w14:paraId="3664B0F7" w14:textId="77777777" w:rsidR="002D7080" w:rsidRPr="004D1E6F" w:rsidRDefault="002D7080" w:rsidP="002E2C37">
            <w:pPr>
              <w:ind w:left="540" w:hanging="54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Feria, TP, Faulkes Z. 2011. Forecasting the distribution of Marmorkrebs, a parthenogenetic crayfish with high invasive potential, in Madagascar, Europe, and North America. </w:t>
            </w:r>
            <w:r w:rsidRPr="004D1E6F">
              <w:rPr>
                <w:rFonts w:ascii="Times New Roman" w:eastAsia="Times New Roman" w:hAnsi="Times New Roman" w:cs="Times New Roman"/>
                <w:i/>
                <w:iCs/>
                <w:color w:val="000000"/>
                <w:sz w:val="20"/>
                <w:szCs w:val="20"/>
                <w:lang w:eastAsia="en-ZA"/>
              </w:rPr>
              <w:t>Aquatic Invasions</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6</w:t>
            </w:r>
            <w:r w:rsidRPr="004D1E6F">
              <w:rPr>
                <w:rFonts w:ascii="Times New Roman" w:eastAsia="Times New Roman" w:hAnsi="Times New Roman" w:cs="Times New Roman"/>
                <w:color w:val="000000"/>
                <w:sz w:val="20"/>
                <w:szCs w:val="20"/>
                <w:lang w:eastAsia="en-ZA"/>
              </w:rPr>
              <w:t>: 55</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67.</w:t>
            </w:r>
            <w:r w:rsidRPr="004D1E6F">
              <w:rPr>
                <w:rFonts w:ascii="Times New Roman" w:hAnsi="Times New Roman" w:cs="Times New Roman"/>
              </w:rPr>
              <w:t xml:space="preserve"> </w:t>
            </w:r>
            <w:hyperlink r:id="rId656" w:history="1">
              <w:r w:rsidRPr="00A727E4">
                <w:rPr>
                  <w:rStyle w:val="Hyperlink"/>
                  <w:rFonts w:ascii="Times New Roman" w:hAnsi="Times New Roman" w:cs="Times New Roman"/>
                  <w:sz w:val="20"/>
                  <w:szCs w:val="20"/>
                </w:rPr>
                <w:t>https://</w:t>
              </w:r>
              <w:r w:rsidRPr="00A727E4">
                <w:rPr>
                  <w:rStyle w:val="Hyperlink"/>
                  <w:rFonts w:ascii="Times New Roman" w:eastAsia="Times New Roman" w:hAnsi="Times New Roman" w:cs="Times New Roman"/>
                  <w:sz w:val="20"/>
                  <w:szCs w:val="20"/>
                  <w:lang w:eastAsia="en-ZA"/>
                </w:rPr>
                <w:t>doi.org/10.3391/ai.2011.6.1.07</w:t>
              </w:r>
            </w:hyperlink>
            <w:r>
              <w:rPr>
                <w:rFonts w:ascii="Times New Roman" w:eastAsia="Times New Roman" w:hAnsi="Times New Roman" w:cs="Times New Roman"/>
                <w:color w:val="000000"/>
                <w:sz w:val="20"/>
                <w:szCs w:val="20"/>
                <w:lang w:eastAsia="en-ZA"/>
              </w:rPr>
              <w:t xml:space="preserve"> </w:t>
            </w:r>
          </w:p>
          <w:p w14:paraId="4FE5B1B2" w14:textId="77777777" w:rsidR="002D7080" w:rsidRPr="004D1E6F" w:rsidRDefault="002D7080" w:rsidP="002E2C37">
            <w:pPr>
              <w:ind w:left="540" w:hanging="54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Seitz, R., Vilpoux, K., Hopp, U., Harzsch, S. &amp; Maier, G., 2005, ‘Ontogeny of the Marmorkrebs (marbled crayfish): a parthenogenetic crayfish with unknown origin and phylogenetic position’, </w:t>
            </w:r>
            <w:r w:rsidRPr="004D1E6F">
              <w:rPr>
                <w:rFonts w:ascii="Times New Roman" w:eastAsia="Times New Roman" w:hAnsi="Times New Roman" w:cs="Times New Roman"/>
                <w:i/>
                <w:iCs/>
                <w:color w:val="000000"/>
                <w:sz w:val="20"/>
                <w:szCs w:val="20"/>
                <w:lang w:eastAsia="en-ZA"/>
              </w:rPr>
              <w:t>Journal of Experimental Zoology Part A: Comparative Experimental Biology</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303</w:t>
            </w:r>
            <w:r w:rsidRPr="004D1E6F">
              <w:rPr>
                <w:rFonts w:ascii="Times New Roman" w:eastAsia="Times New Roman" w:hAnsi="Times New Roman" w:cs="Times New Roman"/>
                <w:color w:val="000000"/>
                <w:sz w:val="20"/>
                <w:szCs w:val="20"/>
                <w:lang w:eastAsia="en-ZA"/>
              </w:rPr>
              <w:t>, 393</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405.</w:t>
            </w:r>
            <w:r>
              <w:rPr>
                <w:rFonts w:ascii="Times New Roman" w:eastAsia="Times New Roman" w:hAnsi="Times New Roman" w:cs="Times New Roman"/>
                <w:color w:val="000000"/>
                <w:sz w:val="20"/>
                <w:szCs w:val="20"/>
                <w:lang w:eastAsia="en-ZA"/>
              </w:rPr>
              <w:t xml:space="preserve"> </w:t>
            </w:r>
            <w:hyperlink r:id="rId657" w:tgtFrame="_blank" w:history="1">
              <w:r w:rsidRPr="00C7033C">
                <w:rPr>
                  <w:rStyle w:val="Hyperlink"/>
                  <w:rFonts w:ascii="Times New Roman" w:eastAsia="Times New Roman" w:hAnsi="Times New Roman" w:cs="Times New Roman"/>
                  <w:sz w:val="20"/>
                  <w:szCs w:val="20"/>
                  <w:lang w:eastAsia="en-ZA"/>
                </w:rPr>
                <w:t>https://doi.org/10.1002/jez.a.143</w:t>
              </w:r>
            </w:hyperlink>
          </w:p>
        </w:tc>
      </w:tr>
    </w:tbl>
    <w:p w14:paraId="35A3DF2E"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5A2DEBA0" w14:textId="77777777" w:rsidTr="002E2C37">
        <w:tc>
          <w:tcPr>
            <w:tcW w:w="9016" w:type="dxa"/>
            <w:gridSpan w:val="2"/>
            <w:shd w:val="clear" w:color="auto" w:fill="F2F2F2" w:themeFill="background1" w:themeFillShade="F2"/>
          </w:tcPr>
          <w:p w14:paraId="6AB5C405"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LIK5 Unaided secondary (dispersal) pathways</w:t>
            </w:r>
          </w:p>
        </w:tc>
      </w:tr>
      <w:tr w:rsidR="002D7080" w:rsidRPr="004D1E6F" w14:paraId="6A72D0FC" w14:textId="77777777" w:rsidTr="002E2C37">
        <w:tc>
          <w:tcPr>
            <w:tcW w:w="5524" w:type="dxa"/>
          </w:tcPr>
          <w:p w14:paraId="2EB543F9"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 xml:space="preserve">Response: </w:t>
            </w:r>
            <w:r w:rsidRPr="004D1E6F">
              <w:rPr>
                <w:rFonts w:ascii="Times New Roman" w:eastAsia="Times New Roman" w:hAnsi="Times New Roman" w:cs="Times New Roman"/>
                <w:color w:val="000000"/>
                <w:sz w:val="20"/>
                <w:szCs w:val="20"/>
                <w:lang w:eastAsia="en-ZA"/>
              </w:rPr>
              <w:t>Very unlikely (p = 0.0027)</w:t>
            </w:r>
          </w:p>
        </w:tc>
        <w:tc>
          <w:tcPr>
            <w:tcW w:w="3492" w:type="dxa"/>
          </w:tcPr>
          <w:p w14:paraId="7AFD820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Confidence:</w:t>
            </w:r>
            <w:r w:rsidRPr="004D1E6F">
              <w:rPr>
                <w:rFonts w:ascii="Times New Roman" w:eastAsia="Times New Roman" w:hAnsi="Times New Roman" w:cs="Times New Roman"/>
                <w:color w:val="000000"/>
                <w:sz w:val="20"/>
                <w:szCs w:val="20"/>
                <w:lang w:eastAsia="en-ZA"/>
              </w:rPr>
              <w:t xml:space="preserve"> Medium</w:t>
            </w:r>
          </w:p>
        </w:tc>
      </w:tr>
      <w:tr w:rsidR="002D7080" w:rsidRPr="004D1E6F" w14:paraId="0CC3441E" w14:textId="77777777" w:rsidTr="002E2C37">
        <w:tc>
          <w:tcPr>
            <w:tcW w:w="9016" w:type="dxa"/>
            <w:gridSpan w:val="2"/>
          </w:tcPr>
          <w:p w14:paraId="51C85074"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 xml:space="preserve">Rationale: </w:t>
            </w:r>
            <w:r w:rsidRPr="004D1E6F">
              <w:rPr>
                <w:rFonts w:ascii="Times New Roman" w:eastAsia="Times New Roman" w:hAnsi="Times New Roman" w:cs="Times New Roman"/>
                <w:color w:val="000000"/>
                <w:sz w:val="20"/>
                <w:szCs w:val="20"/>
                <w:lang w:eastAsia="en-ZA"/>
              </w:rPr>
              <w:t xml:space="preserve">There is no evidence that </w:t>
            </w:r>
            <w:r w:rsidRPr="000E56F9">
              <w:rPr>
                <w:rFonts w:ascii="Times New Roman" w:eastAsia="Times New Roman" w:hAnsi="Times New Roman" w:cs="Times New Roman"/>
                <w:i/>
                <w:iCs/>
                <w:color w:val="000000"/>
                <w:sz w:val="20"/>
                <w:szCs w:val="20"/>
                <w:lang w:eastAsia="en-ZA"/>
              </w:rPr>
              <w:t xml:space="preserve">Procambarus virginalis </w:t>
            </w:r>
            <w:r w:rsidRPr="004D1E6F">
              <w:rPr>
                <w:rFonts w:ascii="Times New Roman" w:eastAsia="Times New Roman" w:hAnsi="Times New Roman" w:cs="Times New Roman"/>
                <w:color w:val="000000"/>
                <w:sz w:val="20"/>
                <w:szCs w:val="20"/>
                <w:lang w:eastAsia="en-ZA"/>
              </w:rPr>
              <w:t xml:space="preserve">is present in South Africa or has established in the wild in neighbouring countries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"10.1080/23308249.2020.1802405", "author" : [ { "dropping-particle" : "", "family" : "Madzivanzira", "given" : "Takudzwa C", "non-dropping-particle" : "", "parse-names" : false, "suffix" : "" }, { "dropping-particle" : "", "family" : "South", "given" : "Josie", "non-dropping-particle" : "", "parse-names" : false, "suffix" : "" }, { "dropping-particle" : "", "family" : "Wood", "given" : "Louisa E", "non-dropping-particle" : "", "parse-names" : false, "suffix" : "" }, { "dropping-particle" : "", "family" : "Nunes", "given" : "Ana L", "non-dropping-particle" : "", "parse-names" : false, "suffix" : "" }, { "dropping-particle" : "", "family" : "Weyl", "given" : "Olaf L F", "non-dropping-particle" : "", "parse-names" : false, "suffix" : "" } ], "container-title" : "Reviews in Fisheries Science &amp; Aquaculture", "id" : "ITEM-1", "issue" : "0", "issued" : { "date-parts" : [ [ "2020" ] ] }, "page" : "1-24", "publisher" : "Taylor &amp; Francis", "title" : "A Review of Freshwater Crayfish Introductions in Africa View supplementary material A Review of Freshwater Crayfish Introductions in Africa A Review of Freshwater Crayfish Introductions in Africa", "type" : "article-journal", "volume" : "0" }, "uris" : [ "http://www.mendeley.com/documents/?uuid=f7166e18-f93b-4667-9d27-2fc3cce4e368"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Madzivanzira et al. 2020)", "plainTextFormattedCitation" : "(Lodge et al. 2012, Madzivanzira et al. 2020)", "previouslyFormattedCitation" : "(Lodge et al. 2012, Madzivanzira et al. 2020)"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Nunes et al. 2017</w:t>
            </w:r>
            <w:r w:rsidRPr="004D1E6F">
              <w:rPr>
                <w:rFonts w:ascii="Times New Roman" w:eastAsia="Times New Roman" w:hAnsi="Times New Roman" w:cs="Times New Roman"/>
                <w:color w:val="000000"/>
                <w:sz w:val="20"/>
                <w:szCs w:val="20"/>
                <w:lang w:eastAsia="en-ZA"/>
              </w:rPr>
              <w:t>; Madzivanzira et al. 2020)</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therefore the probability of </w:t>
            </w:r>
            <w:r w:rsidRPr="00AA34F6">
              <w:rPr>
                <w:rFonts w:ascii="Times New Roman" w:eastAsia="Times New Roman" w:hAnsi="Times New Roman" w:cs="Times New Roman"/>
                <w:i/>
                <w:color w:val="000000"/>
                <w:sz w:val="20"/>
                <w:szCs w:val="20"/>
                <w:lang w:eastAsia="en-ZA"/>
              </w:rPr>
              <w:t xml:space="preserve">Procambarus virginalis </w:t>
            </w:r>
            <w:r w:rsidRPr="004D1E6F">
              <w:rPr>
                <w:rFonts w:ascii="Times New Roman" w:eastAsia="Times New Roman" w:hAnsi="Times New Roman" w:cs="Times New Roman"/>
                <w:color w:val="000000"/>
                <w:sz w:val="20"/>
                <w:szCs w:val="20"/>
                <w:lang w:eastAsia="en-ZA"/>
              </w:rPr>
              <w:t>entering South Africa through unaided pathways (connected waterways) is very unlikely (p = 0.0027).</w:t>
            </w:r>
          </w:p>
        </w:tc>
      </w:tr>
      <w:tr w:rsidR="002D7080" w:rsidRPr="004D1E6F" w14:paraId="6C3EFDDE" w14:textId="77777777" w:rsidTr="002E2C37">
        <w:tc>
          <w:tcPr>
            <w:tcW w:w="9016" w:type="dxa"/>
            <w:gridSpan w:val="2"/>
          </w:tcPr>
          <w:p w14:paraId="3A18DB6F"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References: </w:t>
            </w:r>
          </w:p>
          <w:p w14:paraId="66A7156D" w14:textId="77777777" w:rsidR="002D7080" w:rsidRPr="004D1E6F" w:rsidRDefault="002D7080" w:rsidP="002E2C37">
            <w:pPr>
              <w:spacing w:after="160" w:line="257" w:lineRule="auto"/>
              <w:ind w:left="510" w:hanging="510"/>
              <w:contextualSpacing/>
              <w:jc w:val="both"/>
              <w:rPr>
                <w:rFonts w:ascii="Times New Roman" w:eastAsia="Times New Roman" w:hAnsi="Times New Roman" w:cs="Times New Roman"/>
                <w:color w:val="000000"/>
                <w:sz w:val="20"/>
                <w:szCs w:val="20"/>
                <w:lang w:eastAsia="en-ZA"/>
              </w:rPr>
            </w:pPr>
            <w:r w:rsidRPr="004D1E6F">
              <w:rPr>
                <w:rFonts w:ascii="Times New Roman" w:eastAsia="Calibri" w:hAnsi="Times New Roman" w:cs="Times New Roman"/>
                <w:sz w:val="20"/>
                <w:szCs w:val="20"/>
              </w:rPr>
              <w:t>Madzivanzira, T.C., South, J., Wood, L.E., Nunes, A.L.</w:t>
            </w:r>
            <w:r w:rsidRPr="004D1E6F">
              <w:rPr>
                <w:rFonts w:ascii="Times New Roman" w:eastAsia="Times New Roman" w:hAnsi="Times New Roman" w:cs="Times New Roman"/>
                <w:color w:val="000000"/>
                <w:sz w:val="20"/>
                <w:szCs w:val="20"/>
                <w:lang w:eastAsia="en-ZA"/>
              </w:rPr>
              <w:t xml:space="preserve"> &amp; </w:t>
            </w:r>
            <w:r w:rsidRPr="004D1E6F">
              <w:rPr>
                <w:rFonts w:ascii="Times New Roman" w:eastAsia="Calibri" w:hAnsi="Times New Roman" w:cs="Times New Roman"/>
                <w:sz w:val="20"/>
                <w:szCs w:val="20"/>
              </w:rPr>
              <w:t xml:space="preserve">Weyl, O.L.F., 2020, ‘A review of freshwater crayfish introductions in Africa’, </w:t>
            </w:r>
            <w:r w:rsidRPr="004D1E6F">
              <w:rPr>
                <w:rFonts w:ascii="Times New Roman" w:eastAsia="Calibri" w:hAnsi="Times New Roman" w:cs="Times New Roman"/>
                <w:i/>
                <w:sz w:val="20"/>
                <w:szCs w:val="20"/>
              </w:rPr>
              <w:t>Reviews in</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Calibri" w:hAnsi="Times New Roman" w:cs="Times New Roman"/>
                <w:i/>
                <w:sz w:val="20"/>
                <w:szCs w:val="20"/>
              </w:rPr>
              <w:t>Fisheries Science &amp; Aquaculture</w:t>
            </w:r>
            <w:r w:rsidRPr="004D1E6F">
              <w:rPr>
                <w:rFonts w:ascii="Times New Roman" w:eastAsia="Calibri" w:hAnsi="Times New Roman" w:cs="Times New Roman"/>
                <w:sz w:val="20"/>
                <w:szCs w:val="20"/>
              </w:rPr>
              <w:t>,</w:t>
            </w:r>
            <w:r w:rsidRPr="004D1E6F">
              <w:rPr>
                <w:rFonts w:ascii="Times New Roman" w:eastAsia="Calibri" w:hAnsi="Times New Roman" w:cs="Times New Roman"/>
                <w:i/>
                <w:sz w:val="20"/>
                <w:szCs w:val="20"/>
              </w:rPr>
              <w:t xml:space="preserve"> </w:t>
            </w:r>
            <w:r w:rsidRPr="004D1E6F">
              <w:rPr>
                <w:rFonts w:ascii="Times New Roman" w:eastAsia="Calibri" w:hAnsi="Times New Roman" w:cs="Times New Roman"/>
                <w:sz w:val="20"/>
                <w:szCs w:val="20"/>
              </w:rPr>
              <w:t xml:space="preserve">1-21. </w:t>
            </w:r>
            <w:hyperlink r:id="rId658" w:history="1">
              <w:r w:rsidRPr="002A244D">
                <w:rPr>
                  <w:rStyle w:val="Hyperlink"/>
                  <w:rFonts w:ascii="Times New Roman" w:eastAsia="Calibri" w:hAnsi="Times New Roman" w:cs="Times New Roman"/>
                  <w:sz w:val="20"/>
                  <w:szCs w:val="20"/>
                </w:rPr>
                <w:t>https://doi.org/</w:t>
              </w:r>
              <w:r w:rsidRPr="002A244D">
                <w:rPr>
                  <w:rStyle w:val="Hyperlink"/>
                  <w:rFonts w:ascii="Times New Roman" w:eastAsia="Times New Roman" w:hAnsi="Times New Roman" w:cs="Times New Roman"/>
                  <w:sz w:val="20"/>
                  <w:szCs w:val="20"/>
                  <w:lang w:eastAsia="en-ZA"/>
                </w:rPr>
                <w:t>10.1080/23308249.2020.1802405</w:t>
              </w:r>
            </w:hyperlink>
            <w:r w:rsidRPr="004D1E6F">
              <w:rPr>
                <w:rFonts w:ascii="Times New Roman" w:eastAsia="Calibri" w:hAnsi="Times New Roman" w:cs="Times New Roman"/>
                <w:sz w:val="20"/>
                <w:szCs w:val="20"/>
              </w:rPr>
              <w:t>.</w:t>
            </w:r>
            <w:r>
              <w:rPr>
                <w:rFonts w:ascii="Times New Roman" w:eastAsia="Calibri" w:hAnsi="Times New Roman" w:cs="Times New Roman"/>
                <w:sz w:val="20"/>
                <w:szCs w:val="20"/>
              </w:rPr>
              <w:t xml:space="preserve"> </w:t>
            </w:r>
          </w:p>
          <w:p w14:paraId="32EDEA37" w14:textId="3D32546C" w:rsidR="002D7080" w:rsidRPr="004D1E6F" w:rsidRDefault="002D7080" w:rsidP="002E2C37">
            <w:pPr>
              <w:ind w:left="540" w:hanging="540"/>
              <w:rPr>
                <w:rFonts w:ascii="Times New Roman" w:eastAsia="Times New Roman" w:hAnsi="Times New Roman" w:cs="Times New Roman"/>
                <w:color w:val="000000"/>
                <w:sz w:val="20"/>
                <w:szCs w:val="20"/>
                <w:lang w:eastAsia="en-ZA"/>
              </w:rPr>
            </w:pPr>
            <w:r w:rsidRPr="00464C7A">
              <w:rPr>
                <w:rFonts w:ascii="Times New Roman" w:eastAsia="Times New Roman" w:hAnsi="Times New Roman" w:cs="Times New Roman"/>
                <w:sz w:val="20"/>
                <w:szCs w:val="20"/>
                <w:lang w:eastAsia="en-ZA"/>
              </w:rPr>
              <w:t xml:space="preserve">Nunes, A.L., Zengeya, T.A., Measey, G.J. &amp; Weyl, O.L.F., 2017, ‘Freshwater crayfish invasions in South Africa: past, present and potential future’, African Journal of Aquatic Science 42, 309–323, </w:t>
            </w:r>
            <w:hyperlink r:id="rId659" w:history="1">
              <w:r w:rsidR="002B3841" w:rsidRPr="00A727E4">
                <w:rPr>
                  <w:rStyle w:val="Hyperlink"/>
                  <w:rFonts w:ascii="Times New Roman" w:hAnsi="Times New Roman" w:cs="Times New Roman"/>
                  <w:sz w:val="20"/>
                  <w:szCs w:val="20"/>
                </w:rPr>
                <w:t>https://doi.org/10.2989/16085914.2017.1405788</w:t>
              </w:r>
            </w:hyperlink>
            <w:r w:rsidRPr="004D1E6F">
              <w:rPr>
                <w:rFonts w:ascii="Times New Roman" w:eastAsia="Calibri" w:hAnsi="Times New Roman" w:cs="Times New Roman"/>
                <w:sz w:val="20"/>
                <w:szCs w:val="20"/>
              </w:rPr>
              <w:t>.</w:t>
            </w:r>
            <w:r>
              <w:rPr>
                <w:rFonts w:ascii="Times New Roman" w:eastAsia="Calibri" w:hAnsi="Times New Roman" w:cs="Times New Roman"/>
                <w:sz w:val="20"/>
                <w:szCs w:val="20"/>
              </w:rPr>
              <w:t xml:space="preserve">   </w:t>
            </w:r>
          </w:p>
        </w:tc>
      </w:tr>
    </w:tbl>
    <w:p w14:paraId="479E2F33"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0" w:type="auto"/>
        <w:tblLook w:val="04A0" w:firstRow="1" w:lastRow="0" w:firstColumn="1" w:lastColumn="0" w:noHBand="0" w:noVBand="1"/>
      </w:tblPr>
      <w:tblGrid>
        <w:gridCol w:w="5524"/>
        <w:gridCol w:w="3492"/>
      </w:tblGrid>
      <w:tr w:rsidR="002D7080" w:rsidRPr="004D1E6F" w14:paraId="117CD0F2" w14:textId="77777777" w:rsidTr="002E2C37">
        <w:tc>
          <w:tcPr>
            <w:tcW w:w="9016" w:type="dxa"/>
            <w:gridSpan w:val="2"/>
            <w:shd w:val="clear" w:color="auto" w:fill="F2F2F2" w:themeFill="background1" w:themeFillShade="F2"/>
          </w:tcPr>
          <w:p w14:paraId="1A85939E"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LIK6 Human aided secondary (dispersal) pathways</w:t>
            </w:r>
          </w:p>
        </w:tc>
      </w:tr>
      <w:tr w:rsidR="002D7080" w:rsidRPr="004D1E6F" w14:paraId="76760BA8" w14:textId="77777777" w:rsidTr="002E2C37">
        <w:tc>
          <w:tcPr>
            <w:tcW w:w="5524" w:type="dxa"/>
          </w:tcPr>
          <w:p w14:paraId="7C687E6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Fairly probable</w:t>
            </w:r>
            <w:r>
              <w:rPr>
                <w:rFonts w:ascii="Times New Roman" w:eastAsia="Times New Roman" w:hAnsi="Times New Roman" w:cs="Times New Roman"/>
                <w:color w:val="000000"/>
                <w:sz w:val="20"/>
                <w:szCs w:val="20"/>
                <w:lang w:eastAsia="en-ZA"/>
              </w:rPr>
              <w:t xml:space="preserve"> (p = 0.5)</w:t>
            </w:r>
          </w:p>
        </w:tc>
        <w:tc>
          <w:tcPr>
            <w:tcW w:w="3492" w:type="dxa"/>
          </w:tcPr>
          <w:p w14:paraId="4FC5E88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Confidence: </w:t>
            </w:r>
            <w:r>
              <w:rPr>
                <w:rFonts w:ascii="Times New Roman" w:eastAsia="Times New Roman" w:hAnsi="Times New Roman" w:cs="Times New Roman"/>
                <w:color w:val="000000"/>
                <w:sz w:val="20"/>
                <w:szCs w:val="20"/>
                <w:lang w:eastAsia="en-ZA"/>
              </w:rPr>
              <w:t xml:space="preserve">Medium </w:t>
            </w:r>
          </w:p>
        </w:tc>
      </w:tr>
      <w:tr w:rsidR="002D7080" w:rsidRPr="004D1E6F" w14:paraId="7FCBF2FD" w14:textId="77777777" w:rsidTr="002E2C37">
        <w:tc>
          <w:tcPr>
            <w:tcW w:w="9016" w:type="dxa"/>
            <w:gridSpan w:val="2"/>
          </w:tcPr>
          <w:p w14:paraId="29AA27F7"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233C97">
              <w:rPr>
                <w:rFonts w:ascii="Times New Roman" w:eastAsia="Times New Roman" w:hAnsi="Times New Roman" w:cs="Times New Roman"/>
                <w:sz w:val="20"/>
                <w:szCs w:val="20"/>
                <w:lang w:eastAsia="en-ZA"/>
              </w:rPr>
              <w:t>Intentional release into the wild through the pet</w:t>
            </w:r>
            <w:r>
              <w:rPr>
                <w:rFonts w:ascii="Times New Roman" w:eastAsia="Times New Roman" w:hAnsi="Times New Roman" w:cs="Times New Roman"/>
                <w:sz w:val="20"/>
                <w:szCs w:val="20"/>
                <w:lang w:eastAsia="en-ZA"/>
              </w:rPr>
              <w:t xml:space="preserve"> trade and aquaculture re</w:t>
            </w:r>
            <w:r w:rsidRPr="00233C97">
              <w:rPr>
                <w:rFonts w:ascii="Times New Roman" w:eastAsia="Times New Roman" w:hAnsi="Times New Roman" w:cs="Times New Roman"/>
                <w:sz w:val="20"/>
                <w:szCs w:val="20"/>
                <w:lang w:eastAsia="en-ZA"/>
              </w:rPr>
              <w:t>mains a concern</w:t>
            </w:r>
            <w:r>
              <w:rPr>
                <w:rFonts w:ascii="Times New Roman" w:eastAsia="Times New Roman" w:hAnsi="Times New Roman" w:cs="Times New Roman"/>
                <w:sz w:val="20"/>
                <w:szCs w:val="20"/>
                <w:lang w:eastAsia="en-ZA"/>
              </w:rPr>
              <w:t xml:space="preserve"> (Feria &amp; Faulkes 2011; Faulkes 2015). For example, secondary dispersal has occurred in Madagascar for human consumption (Jones et al. 2009). </w:t>
            </w:r>
            <w:r w:rsidRPr="00E03694">
              <w:rPr>
                <w:rFonts w:ascii="Times New Roman" w:eastAsia="Calibri" w:hAnsi="Times New Roman" w:cs="Times New Roman"/>
                <w:iCs/>
                <w:sz w:val="20"/>
                <w:szCs w:val="20"/>
              </w:rPr>
              <w:t xml:space="preserve">  </w:t>
            </w:r>
          </w:p>
        </w:tc>
      </w:tr>
      <w:tr w:rsidR="002D7080" w:rsidRPr="004D1E6F" w14:paraId="7C5A3755" w14:textId="77777777" w:rsidTr="002E2C37">
        <w:tc>
          <w:tcPr>
            <w:tcW w:w="9016" w:type="dxa"/>
            <w:gridSpan w:val="2"/>
          </w:tcPr>
          <w:p w14:paraId="4E35BFF5" w14:textId="77777777" w:rsidR="002D7080" w:rsidRPr="004D1E6F" w:rsidRDefault="002D7080" w:rsidP="00A727E4">
            <w:pPr>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References: </w:t>
            </w:r>
          </w:p>
          <w:p w14:paraId="7F11F124" w14:textId="1EE6073F" w:rsidR="002D7080" w:rsidRDefault="002D7080" w:rsidP="00A727E4">
            <w:pPr>
              <w:ind w:left="522" w:hanging="522"/>
              <w:contextualSpacing/>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Faulkes, Z, 2015, ‘The global trade in crayfish as pets’, </w:t>
            </w:r>
            <w:r w:rsidRPr="004D1E6F">
              <w:rPr>
                <w:rFonts w:ascii="Times New Roman" w:eastAsia="Times New Roman" w:hAnsi="Times New Roman" w:cs="Times New Roman"/>
                <w:i/>
                <w:iCs/>
                <w:sz w:val="20"/>
                <w:szCs w:val="20"/>
                <w:lang w:eastAsia="en-ZA"/>
              </w:rPr>
              <w:t>Crustacean Research</w:t>
            </w:r>
            <w:r w:rsidRPr="004D1E6F">
              <w:rPr>
                <w:rFonts w:ascii="Times New Roman" w:eastAsia="Times New Roman" w:hAnsi="Times New Roman" w:cs="Times New Roman"/>
                <w:sz w:val="20"/>
                <w:szCs w:val="20"/>
                <w:lang w:eastAsia="en-ZA"/>
              </w:rPr>
              <w:t xml:space="preserve"> </w:t>
            </w:r>
            <w:r w:rsidRPr="004D1E6F">
              <w:rPr>
                <w:rFonts w:ascii="Times New Roman" w:eastAsia="Times New Roman" w:hAnsi="Times New Roman" w:cs="Times New Roman"/>
                <w:iCs/>
                <w:sz w:val="20"/>
                <w:szCs w:val="20"/>
                <w:lang w:eastAsia="en-ZA"/>
              </w:rPr>
              <w:t>44</w:t>
            </w:r>
            <w:r w:rsidRPr="004D1E6F">
              <w:rPr>
                <w:rFonts w:ascii="Times New Roman" w:eastAsia="Times New Roman" w:hAnsi="Times New Roman" w:cs="Times New Roman"/>
                <w:sz w:val="20"/>
                <w:szCs w:val="20"/>
                <w:lang w:eastAsia="en-ZA"/>
              </w:rPr>
              <w:t>, 75</w:t>
            </w:r>
            <w:r>
              <w:rPr>
                <w:rFonts w:ascii="Times New Roman" w:eastAsia="Times New Roman" w:hAnsi="Times New Roman" w:cs="Times New Roman"/>
                <w:sz w:val="20"/>
                <w:szCs w:val="20"/>
                <w:lang w:eastAsia="en-ZA"/>
              </w:rPr>
              <w:t>-</w:t>
            </w:r>
            <w:r w:rsidRPr="004D1E6F">
              <w:rPr>
                <w:rFonts w:ascii="Times New Roman" w:eastAsia="Times New Roman" w:hAnsi="Times New Roman" w:cs="Times New Roman"/>
                <w:sz w:val="20"/>
                <w:szCs w:val="20"/>
                <w:lang w:eastAsia="en-ZA"/>
              </w:rPr>
              <w:t>92.</w:t>
            </w:r>
            <w:r w:rsidRPr="00F36FE7">
              <w:rPr>
                <w:sz w:val="20"/>
                <w:szCs w:val="20"/>
              </w:rPr>
              <w:t xml:space="preserve"> </w:t>
            </w:r>
            <w:r w:rsidR="00A727E4" w:rsidRPr="00A727E4">
              <w:rPr>
                <w:rFonts w:ascii="Times New Roman" w:hAnsi="Times New Roman" w:cs="Times New Roman"/>
                <w:sz w:val="20"/>
                <w:szCs w:val="20"/>
              </w:rPr>
              <w:t>https://doi.org/10.18353/crustacea.44.0_75.</w:t>
            </w:r>
          </w:p>
          <w:p w14:paraId="6E5CFBCB" w14:textId="77777777" w:rsidR="002D7080" w:rsidRPr="004D1E6F" w:rsidRDefault="002D7080" w:rsidP="00A727E4">
            <w:pPr>
              <w:ind w:left="522" w:hanging="522"/>
              <w:contextualSpacing/>
              <w:jc w:val="both"/>
              <w:rPr>
                <w:rFonts w:ascii="Times New Roman" w:eastAsia="Times New Roman" w:hAnsi="Times New Roman" w:cs="Times New Roman"/>
                <w:color w:val="000000"/>
                <w:sz w:val="20"/>
                <w:szCs w:val="20"/>
                <w:lang w:eastAsia="en-ZA"/>
              </w:rPr>
            </w:pPr>
            <w:r w:rsidRPr="004D1E6F">
              <w:rPr>
                <w:rFonts w:ascii="Times New Roman" w:hAnsi="Times New Roman" w:cs="Times New Roman"/>
                <w:bCs/>
                <w:sz w:val="20"/>
                <w:szCs w:val="20"/>
              </w:rPr>
              <w:t>Feria, T.P. &amp; Faulkes, Z., 2011, ‘Forecasting the distribution of Marmorkrebs, a parthenogenetic crayfish with high invasive potential, in Madagascar, Europe, and North America</w:t>
            </w:r>
            <w:r w:rsidRPr="004D1E6F">
              <w:rPr>
                <w:rFonts w:ascii="Times New Roman" w:hAnsi="Times New Roman" w:cs="Times New Roman"/>
                <w:bCs/>
                <w:i/>
                <w:iCs/>
                <w:sz w:val="20"/>
                <w:szCs w:val="20"/>
              </w:rPr>
              <w:t xml:space="preserve">’, Aquatic Invasions </w:t>
            </w:r>
            <w:r w:rsidRPr="004D1E6F">
              <w:rPr>
                <w:rFonts w:ascii="Times New Roman" w:hAnsi="Times New Roman" w:cs="Times New Roman"/>
                <w:bCs/>
                <w:iCs/>
                <w:sz w:val="20"/>
                <w:szCs w:val="20"/>
              </w:rPr>
              <w:t>6, 55–67</w:t>
            </w:r>
            <w:r w:rsidRPr="004D1E6F">
              <w:rPr>
                <w:rFonts w:ascii="Times New Roman" w:hAnsi="Times New Roman" w:cs="Times New Roman"/>
                <w:bCs/>
                <w:i/>
                <w:iCs/>
                <w:sz w:val="20"/>
                <w:szCs w:val="20"/>
              </w:rPr>
              <w:t xml:space="preserve">. </w:t>
            </w:r>
            <w:r w:rsidRPr="004D1E6F">
              <w:rPr>
                <w:rFonts w:ascii="Times New Roman" w:hAnsi="Times New Roman" w:cs="Times New Roman"/>
                <w:bCs/>
                <w:sz w:val="20"/>
                <w:szCs w:val="20"/>
              </w:rPr>
              <w:t xml:space="preserve"> </w:t>
            </w:r>
            <w:hyperlink r:id="rId660" w:history="1">
              <w:r w:rsidRPr="002A244D">
                <w:rPr>
                  <w:rStyle w:val="Hyperlink"/>
                  <w:rFonts w:ascii="Times New Roman" w:hAnsi="Times New Roman" w:cs="Times New Roman"/>
                  <w:bCs/>
                  <w:iCs/>
                  <w:sz w:val="20"/>
                  <w:szCs w:val="20"/>
                </w:rPr>
                <w:t>https://doi.org/10.3391/ai.2011.6.1.07</w:t>
              </w:r>
            </w:hyperlink>
            <w:r w:rsidRPr="004D1E6F">
              <w:rPr>
                <w:rFonts w:ascii="Times New Roman" w:eastAsia="Times New Roman" w:hAnsi="Times New Roman" w:cs="Times New Roman"/>
                <w:color w:val="000000"/>
                <w:sz w:val="20"/>
                <w:szCs w:val="20"/>
                <w:lang w:eastAsia="en-ZA"/>
              </w:rPr>
              <w:t>.</w:t>
            </w:r>
            <w:r>
              <w:rPr>
                <w:rFonts w:ascii="Times New Roman" w:eastAsia="Times New Roman" w:hAnsi="Times New Roman" w:cs="Times New Roman"/>
                <w:color w:val="000000"/>
                <w:sz w:val="20"/>
                <w:szCs w:val="20"/>
                <w:lang w:eastAsia="en-ZA"/>
              </w:rPr>
              <w:t xml:space="preserve"> </w:t>
            </w:r>
          </w:p>
          <w:p w14:paraId="0034958F" w14:textId="77777777" w:rsidR="002D7080" w:rsidRPr="00AA463E" w:rsidRDefault="002D7080" w:rsidP="00A727E4">
            <w:pPr>
              <w:ind w:left="522" w:hanging="522"/>
              <w:contextualSpacing/>
              <w:jc w:val="both"/>
              <w:rPr>
                <w:rFonts w:ascii="Times New Roman" w:hAnsi="Times New Roman" w:cs="Times New Roman"/>
                <w:sz w:val="20"/>
                <w:szCs w:val="20"/>
                <w:shd w:val="clear" w:color="auto" w:fill="FFFFFF"/>
              </w:rPr>
            </w:pPr>
            <w:r w:rsidRPr="008F2177">
              <w:rPr>
                <w:rFonts w:ascii="Times New Roman" w:hAnsi="Times New Roman" w:cs="Times New Roman"/>
                <w:sz w:val="20"/>
                <w:szCs w:val="20"/>
                <w:shd w:val="clear" w:color="auto" w:fill="FFFFFF"/>
              </w:rPr>
              <w:t xml:space="preserve">Jones, J.P.G., Rasamy, J.R., Harvey, A., Toon, A., Birgit Oidtmann, B., Randrianarison, M.H., Raminosoa, N. &amp; Ravoahangimalala, O.R., 2009, ‘The perfect invader: a parthenogenetic crayfish poses a new threat to Madagascar’s freshwater biodiversity’, Biological Invasions, 11, 1475–1482, </w:t>
            </w:r>
            <w:hyperlink r:id="rId661" w:history="1">
              <w:r w:rsidRPr="00762F6F">
                <w:rPr>
                  <w:rStyle w:val="Hyperlink"/>
                  <w:rFonts w:ascii="Times New Roman" w:hAnsi="Times New Roman" w:cs="Times New Roman"/>
                  <w:sz w:val="20"/>
                  <w:szCs w:val="20"/>
                  <w:shd w:val="clear" w:color="auto" w:fill="FFFFFF"/>
                </w:rPr>
                <w:t>https://doi.org/10.1007/s10530-008-9334-y</w:t>
              </w:r>
            </w:hyperlink>
            <w:r>
              <w:rPr>
                <w:rFonts w:ascii="Times New Roman" w:hAnsi="Times New Roman" w:cs="Times New Roman"/>
                <w:sz w:val="20"/>
                <w:szCs w:val="20"/>
                <w:shd w:val="clear" w:color="auto" w:fill="FFFFFF"/>
              </w:rPr>
              <w:t xml:space="preserve"> </w:t>
            </w:r>
            <w:r w:rsidRPr="008F2177">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 xml:space="preserve"> </w:t>
            </w:r>
          </w:p>
        </w:tc>
      </w:tr>
    </w:tbl>
    <w:p w14:paraId="2C09B46A" w14:textId="77777777" w:rsidR="002D7080" w:rsidRPr="004D1E6F" w:rsidRDefault="002D7080" w:rsidP="00A727E4">
      <w:pPr>
        <w:spacing w:after="0" w:line="240" w:lineRule="auto"/>
        <w:contextualSpacing/>
        <w:jc w:val="both"/>
        <w:rPr>
          <w:rFonts w:ascii="Times New Roman" w:eastAsia="Times New Roman" w:hAnsi="Times New Roman" w:cs="Times New Roman"/>
          <w:b/>
          <w:color w:val="000000"/>
          <w:sz w:val="20"/>
          <w:szCs w:val="20"/>
          <w:lang w:eastAsia="en-ZA"/>
        </w:rPr>
      </w:pPr>
    </w:p>
    <w:p w14:paraId="0B5B0407"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lastRenderedPageBreak/>
        <w:t>3. Consequences</w:t>
      </w:r>
      <w:r w:rsidRPr="004D1E6F">
        <w:rPr>
          <w:rFonts w:ascii="Times New Roman" w:eastAsia="Times New Roman" w:hAnsi="Times New Roman" w:cs="Times New Roman"/>
          <w:b/>
          <w:color w:val="FF0000"/>
          <w:sz w:val="20"/>
          <w:szCs w:val="20"/>
          <w:lang w:eastAsia="en-ZA"/>
        </w:rPr>
        <w:t xml:space="preserve"> </w:t>
      </w:r>
    </w:p>
    <w:p w14:paraId="3DB638E4"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36E6F8B2" w14:textId="77777777" w:rsidTr="002E2C37">
        <w:trPr>
          <w:trHeight w:val="343"/>
        </w:trPr>
        <w:tc>
          <w:tcPr>
            <w:tcW w:w="9016" w:type="dxa"/>
            <w:gridSpan w:val="2"/>
            <w:shd w:val="clear" w:color="auto" w:fill="F2F2F2" w:themeFill="background1" w:themeFillShade="F2"/>
          </w:tcPr>
          <w:p w14:paraId="12B14D16"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 Environmental impact</w:t>
            </w:r>
          </w:p>
        </w:tc>
      </w:tr>
      <w:tr w:rsidR="002D7080" w:rsidRPr="004D1E6F" w14:paraId="7AF978C3" w14:textId="77777777" w:rsidTr="002E2C37">
        <w:tc>
          <w:tcPr>
            <w:tcW w:w="9016" w:type="dxa"/>
            <w:gridSpan w:val="2"/>
            <w:shd w:val="clear" w:color="auto" w:fill="F2F2F2" w:themeFill="background1" w:themeFillShade="F2"/>
          </w:tcPr>
          <w:p w14:paraId="55DF84E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CON1a: Competition</w:t>
            </w:r>
          </w:p>
        </w:tc>
      </w:tr>
      <w:tr w:rsidR="002D7080" w:rsidRPr="004D1E6F" w14:paraId="026DC4B1" w14:textId="77777777" w:rsidTr="002E2C37">
        <w:tc>
          <w:tcPr>
            <w:tcW w:w="5949" w:type="dxa"/>
          </w:tcPr>
          <w:p w14:paraId="4F9AC68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FBFF6D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7A10ADF6" w14:textId="77777777" w:rsidTr="002E2C37">
        <w:trPr>
          <w:trHeight w:val="70"/>
        </w:trPr>
        <w:tc>
          <w:tcPr>
            <w:tcW w:w="9016" w:type="dxa"/>
            <w:gridSpan w:val="2"/>
          </w:tcPr>
          <w:p w14:paraId="481F767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1D99A84F" w14:textId="77777777" w:rsidTr="002E2C37">
        <w:trPr>
          <w:trHeight w:val="70"/>
        </w:trPr>
        <w:tc>
          <w:tcPr>
            <w:tcW w:w="9016" w:type="dxa"/>
            <w:gridSpan w:val="2"/>
          </w:tcPr>
          <w:p w14:paraId="6CEEBB70"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1E321981" w14:textId="77777777" w:rsidTr="002E2C37">
        <w:tc>
          <w:tcPr>
            <w:tcW w:w="9016" w:type="dxa"/>
            <w:gridSpan w:val="2"/>
            <w:shd w:val="clear" w:color="auto" w:fill="F2F2F2" w:themeFill="background1" w:themeFillShade="F2"/>
          </w:tcPr>
          <w:p w14:paraId="2ADA927A"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CON1b: Predation</w:t>
            </w:r>
          </w:p>
        </w:tc>
      </w:tr>
      <w:tr w:rsidR="002D7080" w:rsidRPr="004D1E6F" w14:paraId="3C391DEA" w14:textId="77777777" w:rsidTr="002E2C37">
        <w:tc>
          <w:tcPr>
            <w:tcW w:w="5949" w:type="dxa"/>
          </w:tcPr>
          <w:p w14:paraId="030932C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2ED7F4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2F16578E" w14:textId="77777777" w:rsidTr="002E2C37">
        <w:trPr>
          <w:trHeight w:val="70"/>
        </w:trPr>
        <w:tc>
          <w:tcPr>
            <w:tcW w:w="9016" w:type="dxa"/>
            <w:gridSpan w:val="2"/>
          </w:tcPr>
          <w:p w14:paraId="763D774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6773702A" w14:textId="77777777" w:rsidTr="002E2C37">
        <w:trPr>
          <w:trHeight w:val="70"/>
        </w:trPr>
        <w:tc>
          <w:tcPr>
            <w:tcW w:w="9016" w:type="dxa"/>
            <w:gridSpan w:val="2"/>
          </w:tcPr>
          <w:p w14:paraId="0729BE3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E319698" w14:textId="77777777" w:rsidTr="002E2C37">
        <w:tc>
          <w:tcPr>
            <w:tcW w:w="9016" w:type="dxa"/>
            <w:gridSpan w:val="2"/>
            <w:shd w:val="clear" w:color="auto" w:fill="F2F2F2" w:themeFill="background1" w:themeFillShade="F2"/>
          </w:tcPr>
          <w:p w14:paraId="52A2E4D5"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CON1c: Hybridisation</w:t>
            </w:r>
          </w:p>
        </w:tc>
      </w:tr>
      <w:tr w:rsidR="002D7080" w:rsidRPr="004D1E6F" w14:paraId="1292029A" w14:textId="77777777" w:rsidTr="002E2C37">
        <w:tc>
          <w:tcPr>
            <w:tcW w:w="5949" w:type="dxa"/>
          </w:tcPr>
          <w:p w14:paraId="5F6B2F8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2E0BB7A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23E0C820" w14:textId="77777777" w:rsidTr="002E2C37">
        <w:trPr>
          <w:trHeight w:val="70"/>
        </w:trPr>
        <w:tc>
          <w:tcPr>
            <w:tcW w:w="9016" w:type="dxa"/>
            <w:gridSpan w:val="2"/>
          </w:tcPr>
          <w:p w14:paraId="067A7B8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632562B0" w14:textId="77777777" w:rsidTr="002E2C37">
        <w:trPr>
          <w:trHeight w:val="70"/>
        </w:trPr>
        <w:tc>
          <w:tcPr>
            <w:tcW w:w="9016" w:type="dxa"/>
            <w:gridSpan w:val="2"/>
          </w:tcPr>
          <w:p w14:paraId="016A3950"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5FAA7BD8" w14:textId="77777777" w:rsidTr="002E2C37">
        <w:tc>
          <w:tcPr>
            <w:tcW w:w="9016" w:type="dxa"/>
            <w:gridSpan w:val="2"/>
            <w:shd w:val="clear" w:color="auto" w:fill="F2F2F2" w:themeFill="background1" w:themeFillShade="F2"/>
          </w:tcPr>
          <w:p w14:paraId="2C47F5B9"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CON1d: Transmission of disease</w:t>
            </w:r>
          </w:p>
        </w:tc>
      </w:tr>
      <w:tr w:rsidR="002D7080" w:rsidRPr="004D1E6F" w14:paraId="64C64E57" w14:textId="77777777" w:rsidTr="002E2C37">
        <w:tc>
          <w:tcPr>
            <w:tcW w:w="5949" w:type="dxa"/>
          </w:tcPr>
          <w:p w14:paraId="2A5DEBC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02C0B9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6244935" w14:textId="77777777" w:rsidTr="002E2C37">
        <w:trPr>
          <w:trHeight w:val="70"/>
        </w:trPr>
        <w:tc>
          <w:tcPr>
            <w:tcW w:w="9016" w:type="dxa"/>
            <w:gridSpan w:val="2"/>
          </w:tcPr>
          <w:p w14:paraId="26B8446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1723286F" w14:textId="77777777" w:rsidTr="002E2C37">
        <w:trPr>
          <w:trHeight w:val="70"/>
        </w:trPr>
        <w:tc>
          <w:tcPr>
            <w:tcW w:w="9016" w:type="dxa"/>
            <w:gridSpan w:val="2"/>
          </w:tcPr>
          <w:p w14:paraId="3919356B"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7E703E2" w14:textId="77777777" w:rsidTr="002E2C37">
        <w:tc>
          <w:tcPr>
            <w:tcW w:w="9016" w:type="dxa"/>
            <w:gridSpan w:val="2"/>
            <w:shd w:val="clear" w:color="auto" w:fill="F2F2F2" w:themeFill="background1" w:themeFillShade="F2"/>
          </w:tcPr>
          <w:p w14:paraId="3AD2E6A4"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CON1e: Parasitism</w:t>
            </w:r>
          </w:p>
        </w:tc>
      </w:tr>
      <w:tr w:rsidR="002D7080" w:rsidRPr="004D1E6F" w14:paraId="63FC239A" w14:textId="77777777" w:rsidTr="002E2C37">
        <w:tc>
          <w:tcPr>
            <w:tcW w:w="5949" w:type="dxa"/>
          </w:tcPr>
          <w:p w14:paraId="048CDAE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2AB7B08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1B2D37F" w14:textId="77777777" w:rsidTr="002E2C37">
        <w:trPr>
          <w:trHeight w:val="70"/>
        </w:trPr>
        <w:tc>
          <w:tcPr>
            <w:tcW w:w="9016" w:type="dxa"/>
            <w:gridSpan w:val="2"/>
          </w:tcPr>
          <w:p w14:paraId="5AEEAEC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01E4267F" w14:textId="77777777" w:rsidTr="002E2C37">
        <w:trPr>
          <w:trHeight w:val="70"/>
        </w:trPr>
        <w:tc>
          <w:tcPr>
            <w:tcW w:w="9016" w:type="dxa"/>
            <w:gridSpan w:val="2"/>
          </w:tcPr>
          <w:p w14:paraId="14685727"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740CE1A5" w14:textId="77777777" w:rsidTr="002E2C37">
        <w:tc>
          <w:tcPr>
            <w:tcW w:w="9016" w:type="dxa"/>
            <w:gridSpan w:val="2"/>
            <w:shd w:val="clear" w:color="auto" w:fill="F2F2F2" w:themeFill="background1" w:themeFillShade="F2"/>
          </w:tcPr>
          <w:p w14:paraId="28A599E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CON1f: Poisoning/toxicity</w:t>
            </w:r>
          </w:p>
        </w:tc>
      </w:tr>
      <w:tr w:rsidR="002D7080" w:rsidRPr="004D1E6F" w14:paraId="00C23E41" w14:textId="77777777" w:rsidTr="002E2C37">
        <w:tc>
          <w:tcPr>
            <w:tcW w:w="5949" w:type="dxa"/>
          </w:tcPr>
          <w:p w14:paraId="2D395B6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C75080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9238096" w14:textId="77777777" w:rsidTr="002E2C37">
        <w:trPr>
          <w:trHeight w:val="70"/>
        </w:trPr>
        <w:tc>
          <w:tcPr>
            <w:tcW w:w="9016" w:type="dxa"/>
            <w:gridSpan w:val="2"/>
          </w:tcPr>
          <w:p w14:paraId="36DAF63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0F9710D5" w14:textId="77777777" w:rsidTr="002E2C37">
        <w:trPr>
          <w:trHeight w:val="70"/>
        </w:trPr>
        <w:tc>
          <w:tcPr>
            <w:tcW w:w="9016" w:type="dxa"/>
            <w:gridSpan w:val="2"/>
          </w:tcPr>
          <w:p w14:paraId="32089DB6"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FFA6571" w14:textId="77777777" w:rsidTr="002E2C37">
        <w:tc>
          <w:tcPr>
            <w:tcW w:w="9016" w:type="dxa"/>
            <w:gridSpan w:val="2"/>
            <w:shd w:val="clear" w:color="auto" w:fill="F2F2F2" w:themeFill="background1" w:themeFillShade="F2"/>
          </w:tcPr>
          <w:p w14:paraId="316D7A52"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CON1g: Bio-fouling or other direct physical disturbance</w:t>
            </w:r>
          </w:p>
        </w:tc>
      </w:tr>
      <w:tr w:rsidR="002D7080" w:rsidRPr="004D1E6F" w14:paraId="4946A3F2" w14:textId="77777777" w:rsidTr="002E2C37">
        <w:tc>
          <w:tcPr>
            <w:tcW w:w="5949" w:type="dxa"/>
          </w:tcPr>
          <w:p w14:paraId="54128F1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67086CE6"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14C2A344" w14:textId="77777777" w:rsidTr="002E2C37">
        <w:trPr>
          <w:trHeight w:val="70"/>
        </w:trPr>
        <w:tc>
          <w:tcPr>
            <w:tcW w:w="9016" w:type="dxa"/>
            <w:gridSpan w:val="2"/>
          </w:tcPr>
          <w:p w14:paraId="360C667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780E9B38" w14:textId="77777777" w:rsidTr="002E2C37">
        <w:trPr>
          <w:trHeight w:val="70"/>
        </w:trPr>
        <w:tc>
          <w:tcPr>
            <w:tcW w:w="9016" w:type="dxa"/>
            <w:gridSpan w:val="2"/>
          </w:tcPr>
          <w:p w14:paraId="09FE339C"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tc>
      </w:tr>
      <w:tr w:rsidR="002D7080" w:rsidRPr="004D1E6F" w14:paraId="4F77D5AD" w14:textId="77777777" w:rsidTr="002E2C37">
        <w:tc>
          <w:tcPr>
            <w:tcW w:w="9016" w:type="dxa"/>
            <w:gridSpan w:val="2"/>
            <w:shd w:val="clear" w:color="auto" w:fill="F2F2F2" w:themeFill="background1" w:themeFillShade="F2"/>
          </w:tcPr>
          <w:p w14:paraId="6365B25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CON1h: Grazing/herbivory/browsing</w:t>
            </w:r>
          </w:p>
        </w:tc>
      </w:tr>
      <w:tr w:rsidR="002D7080" w:rsidRPr="004D1E6F" w14:paraId="2258124C" w14:textId="77777777" w:rsidTr="002E2C37">
        <w:tc>
          <w:tcPr>
            <w:tcW w:w="5949" w:type="dxa"/>
          </w:tcPr>
          <w:p w14:paraId="434D236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015483F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71799CDA" w14:textId="77777777" w:rsidTr="002E2C37">
        <w:trPr>
          <w:trHeight w:val="70"/>
        </w:trPr>
        <w:tc>
          <w:tcPr>
            <w:tcW w:w="9016" w:type="dxa"/>
            <w:gridSpan w:val="2"/>
          </w:tcPr>
          <w:p w14:paraId="27C2A67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04A49DF6" w14:textId="77777777" w:rsidTr="002E2C37">
        <w:trPr>
          <w:trHeight w:val="70"/>
        </w:trPr>
        <w:tc>
          <w:tcPr>
            <w:tcW w:w="9016" w:type="dxa"/>
            <w:gridSpan w:val="2"/>
          </w:tcPr>
          <w:p w14:paraId="6183496C"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2968D19D" w14:textId="77777777" w:rsidTr="002E2C37">
        <w:tc>
          <w:tcPr>
            <w:tcW w:w="9016" w:type="dxa"/>
            <w:gridSpan w:val="2"/>
            <w:shd w:val="clear" w:color="auto" w:fill="F2F2F2" w:themeFill="background1" w:themeFillShade="F2"/>
          </w:tcPr>
          <w:p w14:paraId="3A4CA528"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CON1i: Chemical, physical or structural impact on ecosystem</w:t>
            </w:r>
          </w:p>
        </w:tc>
      </w:tr>
      <w:tr w:rsidR="002D7080" w:rsidRPr="004D1E6F" w14:paraId="5AA2D8C2" w14:textId="77777777" w:rsidTr="002E2C37">
        <w:tc>
          <w:tcPr>
            <w:tcW w:w="5949" w:type="dxa"/>
          </w:tcPr>
          <w:p w14:paraId="353E44F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30E84B7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40C2E5AA" w14:textId="77777777" w:rsidTr="002E2C37">
        <w:trPr>
          <w:trHeight w:val="70"/>
        </w:trPr>
        <w:tc>
          <w:tcPr>
            <w:tcW w:w="9016" w:type="dxa"/>
            <w:gridSpan w:val="2"/>
          </w:tcPr>
          <w:p w14:paraId="346278D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3CE950BE" w14:textId="77777777" w:rsidTr="002E2C37">
        <w:trPr>
          <w:trHeight w:val="70"/>
        </w:trPr>
        <w:tc>
          <w:tcPr>
            <w:tcW w:w="9016" w:type="dxa"/>
            <w:gridSpan w:val="2"/>
          </w:tcPr>
          <w:p w14:paraId="0FF17384"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5B9FEC5B" w14:textId="77777777" w:rsidTr="002E2C37">
        <w:tc>
          <w:tcPr>
            <w:tcW w:w="9016" w:type="dxa"/>
            <w:gridSpan w:val="2"/>
            <w:shd w:val="clear" w:color="auto" w:fill="F2F2F2" w:themeFill="background1" w:themeFillShade="F2"/>
          </w:tcPr>
          <w:p w14:paraId="5DCB4EEE"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CON1k: Indirect impacts through interactions with other species</w:t>
            </w:r>
          </w:p>
        </w:tc>
      </w:tr>
      <w:tr w:rsidR="002D7080" w:rsidRPr="004D1E6F" w14:paraId="272727F9" w14:textId="77777777" w:rsidTr="002E2C37">
        <w:tc>
          <w:tcPr>
            <w:tcW w:w="5949" w:type="dxa"/>
          </w:tcPr>
          <w:p w14:paraId="213B4E7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B3E7BF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2A47769D" w14:textId="77777777" w:rsidTr="002E2C37">
        <w:trPr>
          <w:trHeight w:val="70"/>
        </w:trPr>
        <w:tc>
          <w:tcPr>
            <w:tcW w:w="9016" w:type="dxa"/>
            <w:gridSpan w:val="2"/>
          </w:tcPr>
          <w:p w14:paraId="2435429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5AF8F364" w14:textId="77777777" w:rsidTr="002E2C37">
        <w:trPr>
          <w:trHeight w:val="70"/>
        </w:trPr>
        <w:tc>
          <w:tcPr>
            <w:tcW w:w="9016" w:type="dxa"/>
            <w:gridSpan w:val="2"/>
          </w:tcPr>
          <w:p w14:paraId="129E38E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1F2A65C2" w14:textId="77777777" w:rsidTr="002E2C37">
        <w:trPr>
          <w:trHeight w:val="343"/>
        </w:trPr>
        <w:tc>
          <w:tcPr>
            <w:tcW w:w="9016" w:type="dxa"/>
            <w:gridSpan w:val="2"/>
            <w:shd w:val="clear" w:color="auto" w:fill="F2F2F2" w:themeFill="background1" w:themeFillShade="F2"/>
          </w:tcPr>
          <w:p w14:paraId="1B9E3380"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CON1 Maximum environmental impact </w:t>
            </w:r>
          </w:p>
        </w:tc>
      </w:tr>
      <w:tr w:rsidR="002D7080" w:rsidRPr="004D1E6F" w14:paraId="44411FC4" w14:textId="77777777" w:rsidTr="002E2C37">
        <w:trPr>
          <w:trHeight w:val="172"/>
        </w:trPr>
        <w:tc>
          <w:tcPr>
            <w:tcW w:w="5949" w:type="dxa"/>
          </w:tcPr>
          <w:p w14:paraId="388E760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4C53C1D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07757F7A" w14:textId="77777777" w:rsidTr="002E2C37">
        <w:trPr>
          <w:trHeight w:val="70"/>
        </w:trPr>
        <w:tc>
          <w:tcPr>
            <w:tcW w:w="9016" w:type="dxa"/>
            <w:gridSpan w:val="2"/>
          </w:tcPr>
          <w:p w14:paraId="116C6BF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6A2DE438" w14:textId="77777777" w:rsidTr="002E2C37">
        <w:trPr>
          <w:trHeight w:val="70"/>
        </w:trPr>
        <w:tc>
          <w:tcPr>
            <w:tcW w:w="9016" w:type="dxa"/>
            <w:gridSpan w:val="2"/>
          </w:tcPr>
          <w:p w14:paraId="41A82205"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7D992057"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767AAE4D"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5B7DB42F"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59055A92" w14:textId="77777777" w:rsidTr="002E2C37">
        <w:trPr>
          <w:trHeight w:val="343"/>
        </w:trPr>
        <w:tc>
          <w:tcPr>
            <w:tcW w:w="9016" w:type="dxa"/>
            <w:gridSpan w:val="2"/>
            <w:shd w:val="clear" w:color="auto" w:fill="F2F2F2" w:themeFill="background1" w:themeFillShade="F2"/>
          </w:tcPr>
          <w:p w14:paraId="007664CA"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 Socio-economic impact</w:t>
            </w:r>
          </w:p>
        </w:tc>
      </w:tr>
      <w:tr w:rsidR="002D7080" w:rsidRPr="004D1E6F" w14:paraId="1D360F11" w14:textId="77777777" w:rsidTr="002E2C37">
        <w:tc>
          <w:tcPr>
            <w:tcW w:w="9016" w:type="dxa"/>
            <w:gridSpan w:val="2"/>
            <w:shd w:val="clear" w:color="auto" w:fill="F2F2F2" w:themeFill="background1" w:themeFillShade="F2"/>
          </w:tcPr>
          <w:p w14:paraId="3D706DEE"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CON2a: Safety</w:t>
            </w:r>
          </w:p>
        </w:tc>
      </w:tr>
      <w:tr w:rsidR="002D7080" w:rsidRPr="004D1E6F" w14:paraId="7EF36F93" w14:textId="77777777" w:rsidTr="002E2C37">
        <w:tc>
          <w:tcPr>
            <w:tcW w:w="5949" w:type="dxa"/>
          </w:tcPr>
          <w:p w14:paraId="3DECBD3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3E23D01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6169F924" w14:textId="77777777" w:rsidTr="002E2C37">
        <w:trPr>
          <w:trHeight w:val="70"/>
        </w:trPr>
        <w:tc>
          <w:tcPr>
            <w:tcW w:w="9016" w:type="dxa"/>
            <w:gridSpan w:val="2"/>
          </w:tcPr>
          <w:p w14:paraId="5C0C5D7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268F6A3A" w14:textId="77777777" w:rsidTr="002E2C37">
        <w:trPr>
          <w:trHeight w:val="70"/>
        </w:trPr>
        <w:tc>
          <w:tcPr>
            <w:tcW w:w="9016" w:type="dxa"/>
            <w:gridSpan w:val="2"/>
          </w:tcPr>
          <w:p w14:paraId="3987B74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5D7E7050" w14:textId="77777777" w:rsidTr="002E2C37">
        <w:tc>
          <w:tcPr>
            <w:tcW w:w="9016" w:type="dxa"/>
            <w:gridSpan w:val="2"/>
            <w:shd w:val="clear" w:color="auto" w:fill="F2F2F2" w:themeFill="background1" w:themeFillShade="F2"/>
          </w:tcPr>
          <w:p w14:paraId="66EAEC77"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CON2b: Material and immaterial assets</w:t>
            </w:r>
          </w:p>
        </w:tc>
      </w:tr>
      <w:tr w:rsidR="002D7080" w:rsidRPr="004D1E6F" w14:paraId="6BFF5125" w14:textId="77777777" w:rsidTr="002E2C37">
        <w:tc>
          <w:tcPr>
            <w:tcW w:w="5949" w:type="dxa"/>
          </w:tcPr>
          <w:p w14:paraId="56A79A28"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76D1DC5A"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663E57EF" w14:textId="77777777" w:rsidTr="002E2C37">
        <w:trPr>
          <w:trHeight w:val="128"/>
        </w:trPr>
        <w:tc>
          <w:tcPr>
            <w:tcW w:w="9016" w:type="dxa"/>
            <w:gridSpan w:val="2"/>
          </w:tcPr>
          <w:p w14:paraId="3CD8DA60"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6E81D6CB" w14:textId="77777777" w:rsidTr="002E2C37">
        <w:trPr>
          <w:trHeight w:val="70"/>
        </w:trPr>
        <w:tc>
          <w:tcPr>
            <w:tcW w:w="9016" w:type="dxa"/>
            <w:gridSpan w:val="2"/>
          </w:tcPr>
          <w:p w14:paraId="00C05B79"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33389E77" w14:textId="77777777" w:rsidTr="002E2C37">
        <w:tc>
          <w:tcPr>
            <w:tcW w:w="9016" w:type="dxa"/>
            <w:gridSpan w:val="2"/>
            <w:shd w:val="clear" w:color="auto" w:fill="F2F2F2" w:themeFill="background1" w:themeFillShade="F2"/>
          </w:tcPr>
          <w:p w14:paraId="061A1F8A"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CON2c: Health</w:t>
            </w:r>
          </w:p>
        </w:tc>
      </w:tr>
      <w:tr w:rsidR="002D7080" w:rsidRPr="004D1E6F" w14:paraId="0504A206" w14:textId="77777777" w:rsidTr="002E2C37">
        <w:tc>
          <w:tcPr>
            <w:tcW w:w="5949" w:type="dxa"/>
          </w:tcPr>
          <w:p w14:paraId="1E2410F3"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Response: Data Deficient (DD)</w:t>
            </w:r>
          </w:p>
        </w:tc>
        <w:tc>
          <w:tcPr>
            <w:tcW w:w="3067" w:type="dxa"/>
          </w:tcPr>
          <w:p w14:paraId="68AB0C52"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2EF57B1A" w14:textId="77777777" w:rsidTr="002E2C37">
        <w:trPr>
          <w:trHeight w:val="70"/>
        </w:trPr>
        <w:tc>
          <w:tcPr>
            <w:tcW w:w="9016" w:type="dxa"/>
            <w:gridSpan w:val="2"/>
          </w:tcPr>
          <w:p w14:paraId="1DC879C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475C6E82" w14:textId="77777777" w:rsidTr="002E2C37">
        <w:trPr>
          <w:trHeight w:val="70"/>
        </w:trPr>
        <w:tc>
          <w:tcPr>
            <w:tcW w:w="9016" w:type="dxa"/>
            <w:gridSpan w:val="2"/>
          </w:tcPr>
          <w:p w14:paraId="1A804ED1"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19CFD5DE" w14:textId="77777777" w:rsidTr="002E2C37">
        <w:tc>
          <w:tcPr>
            <w:tcW w:w="9016" w:type="dxa"/>
            <w:gridSpan w:val="2"/>
            <w:shd w:val="clear" w:color="auto" w:fill="F2F2F2" w:themeFill="background1" w:themeFillShade="F2"/>
          </w:tcPr>
          <w:p w14:paraId="40084F1D" w14:textId="77777777" w:rsidR="002D7080" w:rsidRPr="004D1E6F" w:rsidRDefault="002D7080" w:rsidP="002E2C37">
            <w:pPr>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 xml:space="preserve">CON2d: Social, spiritual and cultural relations </w:t>
            </w:r>
          </w:p>
        </w:tc>
      </w:tr>
      <w:tr w:rsidR="002D7080" w:rsidRPr="004D1E6F" w14:paraId="25DADC81" w14:textId="77777777" w:rsidTr="002E2C37">
        <w:tc>
          <w:tcPr>
            <w:tcW w:w="5949" w:type="dxa"/>
          </w:tcPr>
          <w:p w14:paraId="554C605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6E17E5E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2BD8951E" w14:textId="77777777" w:rsidTr="002E2C37">
        <w:trPr>
          <w:trHeight w:val="70"/>
        </w:trPr>
        <w:tc>
          <w:tcPr>
            <w:tcW w:w="9016" w:type="dxa"/>
            <w:gridSpan w:val="2"/>
          </w:tcPr>
          <w:p w14:paraId="584A0CC4"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01661B68" w14:textId="77777777" w:rsidTr="002E2C37">
        <w:trPr>
          <w:trHeight w:val="70"/>
        </w:trPr>
        <w:tc>
          <w:tcPr>
            <w:tcW w:w="9016" w:type="dxa"/>
            <w:gridSpan w:val="2"/>
          </w:tcPr>
          <w:p w14:paraId="2EDD788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r w:rsidR="002D7080" w:rsidRPr="004D1E6F" w14:paraId="459E410C" w14:textId="77777777" w:rsidTr="002E2C37">
        <w:trPr>
          <w:trHeight w:val="343"/>
        </w:trPr>
        <w:tc>
          <w:tcPr>
            <w:tcW w:w="9016" w:type="dxa"/>
            <w:gridSpan w:val="2"/>
            <w:shd w:val="clear" w:color="auto" w:fill="F2F2F2" w:themeFill="background1" w:themeFillShade="F2"/>
          </w:tcPr>
          <w:p w14:paraId="45360D05"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 xml:space="preserve">CON2 Maximum socio-economic impact </w:t>
            </w:r>
          </w:p>
        </w:tc>
      </w:tr>
      <w:tr w:rsidR="002D7080" w:rsidRPr="004D1E6F" w14:paraId="4457C281" w14:textId="77777777" w:rsidTr="002E2C37">
        <w:trPr>
          <w:trHeight w:val="208"/>
        </w:trPr>
        <w:tc>
          <w:tcPr>
            <w:tcW w:w="5949" w:type="dxa"/>
          </w:tcPr>
          <w:p w14:paraId="6332528F"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Data Deficient (DD)</w:t>
            </w:r>
          </w:p>
        </w:tc>
        <w:tc>
          <w:tcPr>
            <w:tcW w:w="3067" w:type="dxa"/>
          </w:tcPr>
          <w:p w14:paraId="1C9612B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w:t>
            </w:r>
          </w:p>
        </w:tc>
      </w:tr>
      <w:tr w:rsidR="002D7080" w:rsidRPr="004D1E6F" w14:paraId="6C1326FA" w14:textId="77777777" w:rsidTr="002E2C37">
        <w:trPr>
          <w:trHeight w:val="70"/>
        </w:trPr>
        <w:tc>
          <w:tcPr>
            <w:tcW w:w="9016" w:type="dxa"/>
            <w:gridSpan w:val="2"/>
          </w:tcPr>
          <w:p w14:paraId="75CD9D29"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Rationale:</w:t>
            </w:r>
          </w:p>
        </w:tc>
      </w:tr>
      <w:tr w:rsidR="002D7080" w:rsidRPr="004D1E6F" w14:paraId="4F71E7F7" w14:textId="77777777" w:rsidTr="002E2C37">
        <w:trPr>
          <w:trHeight w:val="70"/>
        </w:trPr>
        <w:tc>
          <w:tcPr>
            <w:tcW w:w="9016" w:type="dxa"/>
            <w:gridSpan w:val="2"/>
          </w:tcPr>
          <w:p w14:paraId="35CB330A"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tc>
      </w:tr>
    </w:tbl>
    <w:p w14:paraId="5FDCC6B2"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33BF7DF2" w14:textId="77777777" w:rsidR="002D7080" w:rsidRPr="004D1E6F" w:rsidRDefault="002D7080" w:rsidP="002D7080">
      <w:pPr>
        <w:spacing w:after="0"/>
        <w:jc w:val="both"/>
        <w:rPr>
          <w:rFonts w:ascii="Times New Roman" w:eastAsia="Times New Roman" w:hAnsi="Times New Roman" w:cs="Times New Roman"/>
          <w:sz w:val="20"/>
          <w:szCs w:val="20"/>
          <w:lang w:eastAsia="en-ZA"/>
        </w:rPr>
      </w:pPr>
    </w:p>
    <w:p w14:paraId="544F7A3D" w14:textId="77777777" w:rsidR="002D7080" w:rsidRPr="004D1E6F" w:rsidRDefault="002D7080" w:rsidP="002D7080">
      <w:pPr>
        <w:spacing w:after="0"/>
        <w:jc w:val="both"/>
        <w:rPr>
          <w:rFonts w:ascii="Times New Roman" w:eastAsia="Times New Roman" w:hAnsi="Times New Roman" w:cs="Times New Roman"/>
          <w:sz w:val="20"/>
          <w:szCs w:val="20"/>
          <w:lang w:eastAsia="en-ZA"/>
        </w:rPr>
      </w:pPr>
    </w:p>
    <w:p w14:paraId="08116163" w14:textId="77777777" w:rsidR="002D7080" w:rsidRPr="004D1E6F" w:rsidRDefault="002D7080" w:rsidP="002D7080">
      <w:pPr>
        <w:spacing w:after="0"/>
        <w:jc w:val="both"/>
        <w:rPr>
          <w:rFonts w:ascii="Times New Roman" w:eastAsia="Times New Roman" w:hAnsi="Times New Roman" w:cs="Times New Roman"/>
          <w:sz w:val="20"/>
          <w:szCs w:val="20"/>
          <w:lang w:eastAsia="en-ZA"/>
        </w:rPr>
      </w:pPr>
    </w:p>
    <w:p w14:paraId="1DD1C3AC" w14:textId="77777777" w:rsidR="002D7080" w:rsidRPr="004D1E6F" w:rsidRDefault="002D7080" w:rsidP="002D7080">
      <w:pPr>
        <w:spacing w:after="0"/>
        <w:jc w:val="both"/>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722C7AA4" w14:textId="77777777" w:rsidTr="002E2C37">
        <w:trPr>
          <w:trHeight w:val="343"/>
        </w:trPr>
        <w:tc>
          <w:tcPr>
            <w:tcW w:w="9016" w:type="dxa"/>
            <w:gridSpan w:val="2"/>
            <w:shd w:val="clear" w:color="auto" w:fill="F2F2F2" w:themeFill="background1" w:themeFillShade="F2"/>
          </w:tcPr>
          <w:p w14:paraId="134C5383"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t>CON3 Closely related species’ environmental impact</w:t>
            </w:r>
          </w:p>
        </w:tc>
      </w:tr>
      <w:tr w:rsidR="002D7080" w:rsidRPr="004D1E6F" w14:paraId="2154DBF4" w14:textId="77777777" w:rsidTr="002E2C37">
        <w:trPr>
          <w:trHeight w:val="172"/>
        </w:trPr>
        <w:tc>
          <w:tcPr>
            <w:tcW w:w="5949" w:type="dxa"/>
          </w:tcPr>
          <w:p w14:paraId="2F69CC4E"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Major (MR)</w:t>
            </w:r>
          </w:p>
        </w:tc>
        <w:tc>
          <w:tcPr>
            <w:tcW w:w="3067" w:type="dxa"/>
          </w:tcPr>
          <w:p w14:paraId="08CFA761"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High</w:t>
            </w:r>
          </w:p>
        </w:tc>
      </w:tr>
      <w:tr w:rsidR="002D7080" w:rsidRPr="004D1E6F" w14:paraId="6755A6F3" w14:textId="77777777" w:rsidTr="002E2C37">
        <w:trPr>
          <w:trHeight w:val="70"/>
        </w:trPr>
        <w:tc>
          <w:tcPr>
            <w:tcW w:w="9016" w:type="dxa"/>
            <w:gridSpan w:val="2"/>
          </w:tcPr>
          <w:p w14:paraId="4F86DD7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There are no recorded environmental impacts for </w:t>
            </w:r>
            <w:r w:rsidRPr="004D1E6F">
              <w:rPr>
                <w:rFonts w:ascii="Times New Roman" w:eastAsia="Times New Roman" w:hAnsi="Times New Roman" w:cs="Times New Roman"/>
                <w:i/>
                <w:iCs/>
                <w:sz w:val="20"/>
                <w:szCs w:val="20"/>
                <w:lang w:eastAsia="en-ZA"/>
              </w:rPr>
              <w:t>P.</w:t>
            </w:r>
            <w:r>
              <w:rPr>
                <w:rFonts w:ascii="Times New Roman" w:eastAsia="Times New Roman" w:hAnsi="Times New Roman" w:cs="Times New Roman"/>
                <w:i/>
                <w:iCs/>
                <w:sz w:val="20"/>
                <w:szCs w:val="20"/>
                <w:lang w:eastAsia="en-ZA"/>
              </w:rPr>
              <w:t xml:space="preserve"> </w:t>
            </w:r>
            <w:r w:rsidRPr="004D1E6F">
              <w:rPr>
                <w:rFonts w:ascii="Times New Roman" w:eastAsia="Times New Roman" w:hAnsi="Times New Roman" w:cs="Times New Roman"/>
                <w:i/>
                <w:iCs/>
                <w:sz w:val="20"/>
                <w:szCs w:val="20"/>
                <w:lang w:eastAsia="en-ZA"/>
              </w:rPr>
              <w:t>virginalis</w:t>
            </w:r>
            <w:r w:rsidRPr="004D1E6F">
              <w:rPr>
                <w:rFonts w:ascii="Times New Roman" w:eastAsia="Times New Roman" w:hAnsi="Times New Roman" w:cs="Times New Roman"/>
                <w:sz w:val="20"/>
                <w:szCs w:val="20"/>
                <w:lang w:eastAsia="en-ZA"/>
              </w:rPr>
              <w:t xml:space="preserve">, therefore </w:t>
            </w:r>
            <w:r w:rsidRPr="004D1E6F">
              <w:rPr>
                <w:rFonts w:ascii="Times New Roman" w:eastAsia="Times New Roman" w:hAnsi="Times New Roman" w:cs="Times New Roman"/>
                <w:i/>
                <w:iCs/>
                <w:sz w:val="20"/>
                <w:szCs w:val="20"/>
                <w:lang w:eastAsia="en-ZA"/>
              </w:rPr>
              <w:t>P</w:t>
            </w:r>
            <w:r>
              <w:rPr>
                <w:rFonts w:ascii="Times New Roman" w:eastAsia="Times New Roman" w:hAnsi="Times New Roman" w:cs="Times New Roman"/>
                <w:i/>
                <w:iCs/>
                <w:sz w:val="20"/>
                <w:szCs w:val="20"/>
                <w:lang w:eastAsia="en-ZA"/>
              </w:rPr>
              <w:t>.</w:t>
            </w:r>
            <w:r w:rsidRPr="004D1E6F">
              <w:rPr>
                <w:rFonts w:ascii="Times New Roman" w:eastAsia="Times New Roman" w:hAnsi="Times New Roman" w:cs="Times New Roman"/>
                <w:i/>
                <w:iCs/>
                <w:sz w:val="20"/>
                <w:szCs w:val="20"/>
                <w:lang w:eastAsia="en-ZA"/>
              </w:rPr>
              <w:t xml:space="preserve"> clarkii </w:t>
            </w:r>
            <w:r w:rsidRPr="004D1E6F">
              <w:rPr>
                <w:rFonts w:ascii="Times New Roman" w:eastAsia="Times New Roman" w:hAnsi="Times New Roman" w:cs="Times New Roman"/>
                <w:sz w:val="20"/>
                <w:szCs w:val="20"/>
                <w:lang w:eastAsia="en-ZA"/>
              </w:rPr>
              <w:t xml:space="preserve">was selected as a closely related taxon to estimate the environmental impacts that may arise from introductions of </w:t>
            </w:r>
            <w:r w:rsidRPr="004D1E6F">
              <w:rPr>
                <w:rFonts w:ascii="Times New Roman" w:eastAsia="Times New Roman" w:hAnsi="Times New Roman" w:cs="Times New Roman"/>
                <w:i/>
                <w:iCs/>
                <w:sz w:val="20"/>
                <w:szCs w:val="20"/>
                <w:lang w:eastAsia="en-ZA"/>
              </w:rPr>
              <w:t>P. virginalis</w:t>
            </w:r>
            <w:r w:rsidRPr="004D1E6F">
              <w:rPr>
                <w:rFonts w:ascii="Times New Roman" w:eastAsia="Times New Roman" w:hAnsi="Times New Roman" w:cs="Times New Roman"/>
                <w:sz w:val="20"/>
                <w:szCs w:val="20"/>
                <w:lang w:eastAsia="en-ZA"/>
              </w:rPr>
              <w:t xml:space="preserve">. </w:t>
            </w:r>
          </w:p>
          <w:p w14:paraId="03EAA5BA" w14:textId="77777777" w:rsidR="002D7080" w:rsidRPr="004D1E6F" w:rsidRDefault="002D7080" w:rsidP="002E2C37">
            <w:pPr>
              <w:jc w:val="both"/>
              <w:rPr>
                <w:rFonts w:ascii="Times New Roman" w:eastAsia="Times New Roman" w:hAnsi="Times New Roman" w:cs="Times New Roman"/>
                <w:sz w:val="20"/>
                <w:szCs w:val="20"/>
                <w:lang w:eastAsia="en-ZA"/>
              </w:rPr>
            </w:pPr>
          </w:p>
          <w:p w14:paraId="5BE48A57"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is an aggressive species and is known to out-competes native species for shelter and spawning sites leading to reproductive interference (Cruz et al. 2006; Lodge et al. 2012). For example, in areas were </w:t>
            </w:r>
            <w:r w:rsidRPr="004D1E6F">
              <w:rPr>
                <w:rFonts w:ascii="Times New Roman" w:eastAsia="Times New Roman" w:hAnsi="Times New Roman" w:cs="Times New Roman"/>
                <w:i/>
                <w:color w:val="000000"/>
                <w:sz w:val="20"/>
                <w:szCs w:val="20"/>
                <w:lang w:eastAsia="en-ZA"/>
              </w:rPr>
              <w:t xml:space="preserve">P. clarkii </w:t>
            </w:r>
            <w:r w:rsidRPr="004D1E6F">
              <w:rPr>
                <w:rFonts w:ascii="Times New Roman" w:eastAsia="Times New Roman" w:hAnsi="Times New Roman" w:cs="Times New Roman"/>
                <w:iCs/>
                <w:color w:val="000000"/>
                <w:sz w:val="20"/>
                <w:szCs w:val="20"/>
                <w:lang w:eastAsia="en-ZA"/>
              </w:rPr>
              <w:t xml:space="preserve">has been </w:t>
            </w:r>
            <w:r w:rsidRPr="004D1E6F">
              <w:rPr>
                <w:rFonts w:ascii="Times New Roman" w:eastAsia="Times New Roman" w:hAnsi="Times New Roman" w:cs="Times New Roman"/>
                <w:color w:val="000000"/>
                <w:sz w:val="20"/>
                <w:szCs w:val="20"/>
                <w:lang w:eastAsia="en-ZA"/>
              </w:rPr>
              <w:t xml:space="preserve"> introduced, some amphibian species (e.g., </w:t>
            </w:r>
            <w:r w:rsidRPr="004D1E6F">
              <w:rPr>
                <w:rFonts w:ascii="Times New Roman" w:eastAsia="Times New Roman" w:hAnsi="Times New Roman" w:cs="Times New Roman"/>
                <w:i/>
                <w:color w:val="000000"/>
                <w:sz w:val="20"/>
                <w:szCs w:val="20"/>
                <w:lang w:eastAsia="en-ZA"/>
              </w:rPr>
              <w:t>Bufo bufo</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B. calamita</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Rana</w:t>
            </w:r>
            <w:r w:rsidRPr="004D1E6F">
              <w:rPr>
                <w:rFonts w:ascii="Times New Roman" w:eastAsia="Times New Roman" w:hAnsi="Times New Roman" w:cs="Times New Roman"/>
                <w:color w:val="000000"/>
                <w:sz w:val="20"/>
                <w:szCs w:val="20"/>
                <w:lang w:eastAsia="en-ZA"/>
              </w:rPr>
              <w:t xml:space="preserve"> spp., </w:t>
            </w:r>
            <w:r w:rsidRPr="004D1E6F">
              <w:rPr>
                <w:rFonts w:ascii="Times New Roman" w:eastAsia="Times New Roman" w:hAnsi="Times New Roman" w:cs="Times New Roman"/>
                <w:i/>
                <w:color w:val="000000"/>
                <w:sz w:val="20"/>
                <w:szCs w:val="20"/>
                <w:lang w:eastAsia="en-ZA"/>
              </w:rPr>
              <w:t xml:space="preserve">Taricha torosa </w:t>
            </w:r>
            <w:r w:rsidRPr="004D1E6F">
              <w:rPr>
                <w:rFonts w:ascii="Times New Roman" w:eastAsia="Times New Roman" w:hAnsi="Times New Roman" w:cs="Times New Roman"/>
                <w:color w:val="000000"/>
                <w:sz w:val="20"/>
                <w:szCs w:val="20"/>
                <w:lang w:eastAsia="en-ZA"/>
              </w:rPr>
              <w:t xml:space="preserve">and </w:t>
            </w:r>
            <w:r w:rsidRPr="004D1E6F">
              <w:rPr>
                <w:rFonts w:ascii="Times New Roman" w:eastAsia="Times New Roman" w:hAnsi="Times New Roman" w:cs="Times New Roman"/>
                <w:i/>
                <w:color w:val="000000"/>
                <w:sz w:val="20"/>
                <w:szCs w:val="20"/>
                <w:lang w:eastAsia="en-ZA"/>
              </w:rPr>
              <w:t>Triturus vulgaris</w:t>
            </w:r>
            <w:r w:rsidRPr="004D1E6F">
              <w:rPr>
                <w:rFonts w:ascii="Times New Roman" w:eastAsia="Times New Roman" w:hAnsi="Times New Roman" w:cs="Times New Roman"/>
                <w:color w:val="000000"/>
                <w:sz w:val="20"/>
                <w:szCs w:val="20"/>
                <w:lang w:eastAsia="en-ZA"/>
              </w:rPr>
              <w:t xml:space="preserve">) have been excluded or displaced from their natural habitats, resulting in local extinctions through reproductive failure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"ITEM-1",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"(Cruz et al. 2006, Lodge et al. 2012)", "plainTextFormattedCitation" : "(Cruz et al. 2006, Lodge et al. 2012)", "previouslyFormattedCitation" : "(Cruz et al. 2006,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(Cruz et al. 2006;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In Europe and Japan, decreases in distributional ranges and abundance of native crayfish populations (</w:t>
            </w:r>
            <w:r w:rsidRPr="004D1E6F">
              <w:rPr>
                <w:rFonts w:ascii="Times New Roman" w:eastAsia="Times New Roman" w:hAnsi="Times New Roman" w:cs="Times New Roman"/>
                <w:i/>
                <w:color w:val="000000"/>
                <w:sz w:val="20"/>
                <w:szCs w:val="20"/>
                <w:lang w:eastAsia="en-ZA"/>
              </w:rPr>
              <w:t>Astacus astacus</w:t>
            </w:r>
            <w:r w:rsidRPr="004D1E6F">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i/>
                <w:color w:val="000000"/>
                <w:sz w:val="20"/>
                <w:szCs w:val="20"/>
                <w:lang w:eastAsia="en-ZA"/>
              </w:rPr>
              <w:t xml:space="preserve"> Austropotamobius pallipes</w:t>
            </w:r>
            <w:r w:rsidRPr="004D1E6F">
              <w:rPr>
                <w:rFonts w:ascii="Times New Roman" w:eastAsia="Times New Roman" w:hAnsi="Times New Roman" w:cs="Times New Roman"/>
                <w:color w:val="000000"/>
                <w:sz w:val="20"/>
                <w:szCs w:val="20"/>
                <w:lang w:eastAsia="en-ZA"/>
              </w:rPr>
              <w:t xml:space="preserve"> and </w:t>
            </w:r>
            <w:r w:rsidRPr="004D1E6F">
              <w:rPr>
                <w:rFonts w:ascii="Times New Roman" w:eastAsia="Times New Roman" w:hAnsi="Times New Roman" w:cs="Times New Roman"/>
                <w:i/>
                <w:color w:val="000000"/>
                <w:sz w:val="20"/>
                <w:szCs w:val="20"/>
                <w:lang w:eastAsia="en-ZA"/>
              </w:rPr>
              <w:t>A. torrentium</w:t>
            </w:r>
            <w:r w:rsidRPr="004D1E6F">
              <w:rPr>
                <w:rFonts w:ascii="Times New Roman" w:eastAsia="Times New Roman" w:hAnsi="Times New Roman" w:cs="Times New Roman"/>
                <w:color w:val="000000"/>
                <w:sz w:val="20"/>
                <w:szCs w:val="20"/>
                <w:lang w:eastAsia="en-ZA"/>
              </w:rPr>
              <w:t xml:space="preserve">) as a direct result of competition with </w:t>
            </w:r>
            <w:r w:rsidRPr="004D1E6F">
              <w:rPr>
                <w:rFonts w:ascii="Times New Roman" w:eastAsia="Times New Roman" w:hAnsi="Times New Roman" w:cs="Times New Roman"/>
                <w:i/>
                <w:iCs/>
                <w:color w:val="000000"/>
                <w:sz w:val="20"/>
                <w:szCs w:val="20"/>
                <w:lang w:eastAsia="en-ZA"/>
              </w:rPr>
              <w:t xml:space="preserve">P. clarkii </w:t>
            </w:r>
            <w:r w:rsidRPr="004D1E6F">
              <w:rPr>
                <w:rFonts w:ascii="Times New Roman" w:eastAsia="Times New Roman" w:hAnsi="Times New Roman" w:cs="Times New Roman"/>
                <w:color w:val="000000"/>
                <w:sz w:val="20"/>
                <w:szCs w:val="20"/>
                <w:lang w:eastAsia="en-ZA"/>
              </w:rPr>
              <w:t xml:space="preserve">were observed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"http://www.mendeley.com/documents/?uuid=9c72c438-e7a8-4248-b05a-2e8f1c12e544" ] }, { "id" : "ITEM-2",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"ITEM-2",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"mendeley" : { "formattedCitation" : "(Cruz et al. 2006, Lodge et al. 2012)", "plainTextFormattedCitation" : "(Cruz et al. 2006, Lodge et al. 2012)", "previouslyFormattedCitation" : "(Cruz et al. 2006,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(Cruz et al. 2006;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Furthermore, direct competition for food has caused dietary niche constriction and declines in populations of native crabs in some areas invaded by </w:t>
            </w:r>
            <w:r w:rsidRPr="004D1E6F">
              <w:rPr>
                <w:rFonts w:ascii="Times New Roman" w:eastAsia="Times New Roman" w:hAnsi="Times New Roman" w:cs="Times New Roman"/>
                <w:i/>
                <w:color w:val="000000"/>
                <w:sz w:val="20"/>
                <w:szCs w:val="20"/>
                <w:lang w:eastAsia="en-ZA"/>
              </w:rPr>
              <w:t xml:space="preserve">P. clarkii </w:t>
            </w:r>
            <w:r w:rsidRPr="004D1E6F">
              <w:rPr>
                <w:rFonts w:ascii="Times New Roman" w:eastAsia="Times New Roman" w:hAnsi="Times New Roman" w:cs="Times New Roman"/>
                <w:i/>
                <w:color w:val="000000"/>
                <w:sz w:val="20"/>
                <w:szCs w:val="20"/>
                <w:lang w:eastAsia="en-ZA"/>
              </w:rPr>
              <w:fldChar w:fldCharType="begin" w:fldLock="1"/>
            </w:r>
            <w:r w:rsidRPr="004D1E6F">
              <w:rPr>
                <w:rFonts w:ascii="Times New Roman" w:eastAsia="Times New Roman" w:hAnsi="Times New Roman" w:cs="Times New Roman"/>
                <w:i/>
                <w:color w:val="000000"/>
                <w:sz w:val="20"/>
                <w:szCs w:val="20"/>
                <w:lang w:eastAsia="en-ZA"/>
              </w:rPr>
              <w:instrText>ADDIN CSL_CITATION { "citationItems" : [ { "id" : "ITEM-1", "itemData" : { "DOI" : "10.1111/1365-2656.12533", "ISBN" : "1365-2656 (Electronic)\\r0021-8790 (Linking)", "ISSN" : "13652656", "PMID" : "27084460", "abstract" : "1. Invasive species are a key driver of global environmental change, with frequently strong negative consequences for native biodiversity and ecosystem processes. Understanding com- petitive interactions between invaders and functionally similar native species provides an important benchmark for predicting the consequences of invasion. However, even though having a broad dietary niche is widely considered a key factor determining invasion success, little is known about the effects of competition with functionally similar native competitors on the dietary niche breadths of invasive species. 2. We used a combination of field experiments and field surveys to examine the impacts of competition with a functionally similar native crab species on the population densities, growth rates and diet of the globally widespread invasive red swamp crayfish in an African river ecosystem. 3. The presence of native crabs triggered significant dietary niche constriction within the inva- sive crayfish population. Further, growth rates of both species were reduced significantly, and by a similar extent, in the presence of one another. In spite of this, crayfish maintained posi- tive growth rates in the presence of crabs, whereas crabs lost mass in the presence of crayfish. Consequently, over the 3-year duration of the study, crab abundance declined at those sites invaded by the crayfish, becoming locally extinct at one. 4. The invasive crayfish had a dramatic effect on ecosystem structure and functioning, halv- ing benthic invertebrate densities and increasing decomposition rates fourfold compared to the crabs. This indicates that replacement of native crabs by invasive crayfish likely alters the structure and functioning of African river ecosystems significantly. 5. This study provides a novel example of the constriction of the dietary niche of a successful invasive population in the presence of competition from a functionally similar native species. This finding highlights the importance of considering both environmental and ecological contexts in order to predict and manage the impacts of invasive species on ecosystems.", "author" : [ { "dropping-particle" : "", "family" : "Jackson", "given" : "Michelle C.", "non-dropping-particle" : "", "parse-names" : false, "suffix" : "" }, { "dropping-particle" : "", "family" : "Grey", "given" : "Jonathan", "non-dropping-particle" : "", "parse-names" : false, "suffix" : "" }, { "dropping-particle" : "", "family" : "Miller", "given" : "Katie", "non-dropping-particle" : "", "parse-names" : false, "suffix" : "" }, { "dropping-particle" : "", "family" : "Britton", "given" : "J. Robert", "non-dropping-particle" : "", "parse-names" : false, "suffix" : "" }, { "dropping-particle" : "", "family" : "Donohue", "given" : "Ian", "non-dropping-particle" : "", "parse-names" : false, "suffix" : "" } ], "container-title" : "Journal of Animal Ecology", "id" : "ITEM-1", "issued" : { "date-parts" : [ [ "2016" ] ] }, "page" : "1098-1107", "title" : "Dietary niche constriction when invaders meet natives: Evidence from freshwater decapods", "type" : "article-journal" }, "uris" : [ "http://www.mendeley.com/documents/?uuid=4d1dad2a-af96-4ee7-a254-3fb10d7453b1" ] } ], "mendeley" : { "formattedCitation" : "(Jackson et al. 2016)", "plainTextFormattedCitation" : "(Jackson et al. 2016)", "previouslyFormattedCitation" : "(Jackson et al. 2016)" }, "properties" : { "noteIndex" : 0 }, "schema" : "https://github.com/citation-style-language/schema/raw/master/csl-citation.json" }</w:instrText>
            </w:r>
            <w:r w:rsidRPr="004D1E6F">
              <w:rPr>
                <w:rFonts w:ascii="Times New Roman" w:eastAsia="Times New Roman" w:hAnsi="Times New Roman" w:cs="Times New Roman"/>
                <w:i/>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(Jackson et al. 2016)</w:t>
            </w:r>
            <w:r w:rsidRPr="004D1E6F">
              <w:rPr>
                <w:rFonts w:ascii="Times New Roman" w:eastAsia="Times New Roman" w:hAnsi="Times New Roman" w:cs="Times New Roman"/>
                <w:i/>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p w14:paraId="699C072A"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p>
          <w:p w14:paraId="21CBD51D"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Predation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in the alien range can result in local or population extinction of at least one native species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"http://www.mendeley.com/documents/?uuid=9c72c438-e7a8-4248-b05a-2e8f1c12e544" ] } ], "mendeley" : { "formattedCitation" : "(Lodge et al. 2012, Souty-grosset et al. 2016)", "plainTextFormattedCitation" : "(Lodge et al. 2012, Souty-grosset et al. 2016)", "previouslyFormattedCitation" : "(Lodge et al. 2012,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(Lodge et al. 2012; 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For example, predation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has resulted in population declines of several species of fish and amphibians by reducing their breeding success through predation on eggs and larval amphibians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"Cruz", "given" : "Maria J", "non-dropping-particle" : "", "parse-names" : false, "suffix" : "" }, { "dropping-particle" : "", "family" : "Rebelo", "given" : "Rui", "non-dropping-particle" : "", "parse-names" : false, "suffix" : "" }, { "dropping-particle" : "", "family" : "Crespo", "given" : "Eduardo G", "non-dropping-particle" : "", "parse-names" : false, "suffix" : "" } ], "container-title" : "Ecography", "id" : "ITEM-1", "issue" : "3", "issued" : { "date-parts" : [ [ "2006" ] ] }, "page" : "329-338", "title" : "Nordic Society Oikos Effects of an Introduced Crayfish , Procambarus clarkii , on the Distribution of South- Western Iberian Amphibians in Their Breeding Habitats Published by : Wiley on behalf of Nordic Society Oikos Stable URL : http://www.jstor.org/sta", "type" : "article-journal", "volume" : "29" }, "uris" : [ "http://www.mendeley.com/documents/?uuid=e6d35310-ee78-4f70-875f-193e81c1c004" ] }, { "id" : "ITEM-2", "itemData" : { "DOI" : "10.1007/s10531-012-0323-1", "author" : [ { "dropping-particle" : "", "family" : "Francesco", "given" : "Gentile", "non-dropping-particle" : "", "parse-names" : false, "suffix" : "" }, { "dropping-particle" : "", "family" : "Matteo", "given" : "Ficetola", "non-dropping-particle" : "", "parse-names" : false, "suffix" : "" }, { "dropping-particle" : "", "family" : "Siesa", "given" : "Elio", "non-dropping-particle" : "", "parse-names" : false, "suffix" : "" }, { "dropping-particle" : "De", "family" : "Bernardi", "given" : "Fiorenza", "non-dropping-particle" : "", "parse-names" : false, "suffix" : "" }, { "dropping-particle" : "", "family" : "Padoa-schioppa", "given" : "Emilio", "non-dropping-particle" : "", "parse-names" : false, "suffix" : "" } ], "id" : "ITEM-2", "issued" : { "date-parts" : [ [ "2012" ] ] }, "page" : "2641-2651", "title" : "Complex impact of an invasive crayfish on freshwater food webs", "type" : "article-journal" }, "uris" : [ "http://www.mendeley.com/documents/?uuid=4e9ca91f-7982-4098-b712-ffad4211fd37" ] } ], "mendeley" : { "formattedCitation" : "(Cruz et al. 2006, Francesco et al. 2012)", "manualFormatting" : "(Cruz et al. 2006, Francesco et al. 2011)", "plainTextFormattedCitation" : "(Cruz et al. 2006, Francesco et al. 2012)", "previouslyFormattedCitation" : "(Cruz et al. 2006, Francesco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(Cruz et al. 2006; Ficetola</w:t>
            </w:r>
            <w:r w:rsidRPr="004D1E6F" w:rsidDel="00C361D8">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et al. 2011)</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Indirect effects of predation results in cause trophic cascades that lead to changes in ecosystem structure and function. For example, predation on invertebrates can release algae from grazing pressure and lead to changes in the abundance and dominance of species in algal communities (Gherardi &amp; Barbaresi 2008).</w:t>
            </w:r>
          </w:p>
          <w:p w14:paraId="23BB80DE"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p>
          <w:p w14:paraId="6B4B9B7D" w14:textId="6FEB5AB0"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is a host of various pathogens, parasites, and diseases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"ITEM-1", "issue" : "1", "issued" : { "date-parts" : [ [ "2011" ] ] }, "page" : "54-70", "publisher" : "Elsevier Inc.", "title" : "Diseases of crayfish: A review", "type" : "article-journal", "volume" : "106" }, "uris" : [ "http://www.mendeley.com/documents/?uuid=be7c0509-8466-4d72-b84f-489b1cb24dc4" ] }, { "id" : "ITEM-2",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"ITEM-2",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"(Longshaw 2011, Lodge et al. 2012)", "plainTextFormattedCitation" : "(Longshaw 2011, Lodge et al. 2012)", "previouslyFormattedCitation" : "(Longshaw 2011,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(Longshaw 2011;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w:t>
            </w:r>
            <w:r w:rsidR="00C52CC6" w:rsidRPr="004D1E6F">
              <w:rPr>
                <w:rFonts w:ascii="Times New Roman" w:eastAsia="Times New Roman" w:hAnsi="Times New Roman" w:cs="Times New Roman"/>
                <w:color w:val="000000"/>
                <w:sz w:val="20"/>
                <w:szCs w:val="20"/>
                <w:lang w:eastAsia="en-ZA"/>
              </w:rPr>
              <w:t>Transmission</w:t>
            </w:r>
            <w:r w:rsidRPr="004D1E6F">
              <w:rPr>
                <w:rFonts w:ascii="Times New Roman" w:eastAsia="Times New Roman" w:hAnsi="Times New Roman" w:cs="Times New Roman"/>
                <w:color w:val="000000"/>
                <w:sz w:val="20"/>
                <w:szCs w:val="20"/>
                <w:lang w:eastAsia="en-ZA"/>
              </w:rPr>
              <w:t xml:space="preserve"> of diseases and parasites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has led to local or population extinctions of at least one native species, leading to changes in community composition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"http://www.mendeley.com/documents/?uuid=cd4857bf-069f-4f33-b74d-fafe03179ce4" ] } ], "mendeley" : { "formattedCitation" : "(Lodge et al. 2012)", "plainTextFormattedCitation" : "(Lodge et al. 2012)", "previouslyFormattedCitation" :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For example,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is a vector of crayfish plague, a disease caused by the parasitic oomycete, </w:t>
            </w:r>
            <w:r w:rsidRPr="004D1E6F">
              <w:rPr>
                <w:rFonts w:ascii="Times New Roman" w:eastAsia="Times New Roman" w:hAnsi="Times New Roman" w:cs="Times New Roman"/>
                <w:i/>
                <w:color w:val="000000"/>
                <w:sz w:val="20"/>
                <w:szCs w:val="20"/>
                <w:lang w:eastAsia="en-ZA"/>
              </w:rPr>
              <w:t xml:space="preserve">Aphanomyces astaci </w:t>
            </w:r>
            <w:r w:rsidRPr="004D1E6F">
              <w:rPr>
                <w:rFonts w:ascii="Times New Roman" w:eastAsia="Times New Roman" w:hAnsi="Times New Roman" w:cs="Times New Roman"/>
                <w:i/>
                <w:color w:val="000000"/>
                <w:sz w:val="20"/>
                <w:szCs w:val="20"/>
                <w:lang w:eastAsia="en-ZA"/>
              </w:rPr>
              <w:fldChar w:fldCharType="begin" w:fldLock="1"/>
            </w:r>
            <w:r w:rsidRPr="004D1E6F">
              <w:rPr>
                <w:rFonts w:ascii="Times New Roman" w:eastAsia="Times New Roman" w:hAnsi="Times New Roman" w:cs="Times New Roman"/>
                <w:i/>
                <w:color w:val="000000"/>
                <w:sz w:val="20"/>
                <w:szCs w:val="20"/>
                <w:lang w:eastAsia="en-ZA"/>
              </w:rPr>
              <w:instrText>ADDIN CSL_CITATION { "citationItems" : [ { "id" : "ITEM-1",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"ITEM-1", "issue" : "1", "issued" : { "date-parts" : [ [ "2011" ] ] }, "page" : "54-70", "publisher" : "Elsevier Inc.", "title" : "Diseases of crayfish: A review", "type" : "article-journal", "volume" : "106" }, "uris" : [ "http://www.mendeley.com/documents/?uuid=be7c0509-8466-4d72-b84f-489b1cb24dc4" ] }, { "id" : "ITEM-2",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"(Longshaw 2011, Souty-grosset et al. 2016)", "plainTextFormattedCitation" : "(Longshaw 2011, Souty-grosset et al. 2016)", "previouslyFormattedCitation" : "(Longshaw 2011, Souty-grosset et al. 2016)" }, "properties" : { "noteIndex" : 0 }, "schema" : "https://github.com/citation-style-language/schema/raw/master/csl-citation.json" }</w:instrText>
            </w:r>
            <w:r w:rsidRPr="004D1E6F">
              <w:rPr>
                <w:rFonts w:ascii="Times New Roman" w:eastAsia="Times New Roman" w:hAnsi="Times New Roman" w:cs="Times New Roman"/>
                <w:i/>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(Aquiloni et al, 2011; Longshaw 2011; Souty-Grosset et al. 2016)</w:t>
            </w:r>
            <w:r w:rsidRPr="004D1E6F">
              <w:rPr>
                <w:rFonts w:ascii="Times New Roman" w:eastAsia="Times New Roman" w:hAnsi="Times New Roman" w:cs="Times New Roman"/>
                <w:i/>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In Europe, transmission of crayfish plague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has been linked to a decline in populations of several native crayfish species of as </w:t>
            </w:r>
            <w:r w:rsidRPr="004D1E6F">
              <w:rPr>
                <w:rFonts w:ascii="Times New Roman" w:eastAsia="Times New Roman" w:hAnsi="Times New Roman" w:cs="Times New Roman"/>
                <w:i/>
                <w:color w:val="000000"/>
                <w:sz w:val="20"/>
                <w:szCs w:val="20"/>
                <w:lang w:eastAsia="en-ZA"/>
              </w:rPr>
              <w:t>Astacus astacus</w:t>
            </w:r>
            <w:r w:rsidRPr="004D1E6F">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i/>
                <w:color w:val="000000"/>
                <w:sz w:val="20"/>
                <w:szCs w:val="20"/>
                <w:lang w:eastAsia="en-ZA"/>
              </w:rPr>
              <w:t xml:space="preserve"> Austropotamobius pallipes </w:t>
            </w:r>
            <w:r w:rsidRPr="004D1E6F">
              <w:rPr>
                <w:rFonts w:ascii="Times New Roman" w:eastAsia="Times New Roman" w:hAnsi="Times New Roman" w:cs="Times New Roman"/>
                <w:color w:val="000000"/>
                <w:sz w:val="20"/>
                <w:szCs w:val="20"/>
                <w:lang w:eastAsia="en-ZA"/>
              </w:rPr>
              <w:t>and</w:t>
            </w:r>
            <w:r w:rsidRPr="004D1E6F">
              <w:rPr>
                <w:rFonts w:ascii="Times New Roman" w:eastAsia="Times New Roman" w:hAnsi="Times New Roman" w:cs="Times New Roman"/>
                <w:i/>
                <w:color w:val="000000"/>
                <w:sz w:val="20"/>
                <w:szCs w:val="20"/>
                <w:lang w:eastAsia="en-ZA"/>
              </w:rPr>
              <w:t xml:space="preserve"> A. torrentium </w:t>
            </w:r>
            <w:r w:rsidRPr="004D1E6F">
              <w:rPr>
                <w:rFonts w:ascii="Times New Roman" w:eastAsia="Times New Roman" w:hAnsi="Times New Roman" w:cs="Times New Roman"/>
                <w:i/>
                <w:color w:val="000000"/>
                <w:sz w:val="20"/>
                <w:szCs w:val="20"/>
                <w:lang w:eastAsia="en-ZA"/>
              </w:rPr>
              <w:fldChar w:fldCharType="begin" w:fldLock="1"/>
            </w:r>
            <w:r w:rsidRPr="004D1E6F">
              <w:rPr>
                <w:rFonts w:ascii="Times New Roman" w:eastAsia="Times New Roman" w:hAnsi="Times New Roman" w:cs="Times New Roman"/>
                <w:i/>
                <w:color w:val="000000"/>
                <w:sz w:val="20"/>
                <w:szCs w:val="20"/>
                <w:lang w:eastAsia="en-ZA"/>
              </w:rPr>
              <w:instrText>ADDIN CSL_CITATION { "citationItems" : [ { "id" : "ITEM-1", "itemData" : { "DOI" : "10.1051/kmae/2009025", "author" : [ { "dropping-particle" : "", "family" : "Holdich", "given" : "D M", "non-dropping-particle" : "", "parse-names" : false, "suffix" : "" }, { "dropping-particle" : "", "family" : "Reynolds", "given" : "J D", "non-dropping-particle" : "", "parse-names" : false, "suffix" : "" }, { "dropping-particle" : "", "family" : "Sibley", "given" : "P J", "non-dropping-particle" : "", "parse-names" : false, "suffix" : "" } ], "id" : "ITEM-1", "issue" : "2009", "issued" : { "date-parts" : [ [ "2009" ] ] }, "page" : "394-395", "title" : "A review of the ever increasing threat to European crayfish from non-indigenous crayfish species", "type" : "article-journal" }, "uris" : [ "http://www.mendeley.com/documents/?uuid=fee915ec-91f6-4d77-acbc-1659fd9ffbe8" ] }, { "id" : "ITEM-2",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"ITEM-2", "issue" : "1", "issued" : { "date-parts" : [ [ "2011" ] ] }, "page" : "54-70", "publisher" : "Elsevier Inc.", "title" : "Diseases of crayfish: A review", "type" : "article-journal", "volume" : "106" }, "uris" : [ "http://www.mendeley.com/documents/?uuid=be7c0509-8466-4d72-b84f-489b1cb24dc4" ] } ], "mendeley" : { "formattedCitation" : "(Holdich et al. 2009, Longshaw 2011)", "plainTextFormattedCitation" : "(Holdich et al. 2009, Longshaw 2011)", "previouslyFormattedCitation" : "(Holdich et al. 2009, Longshaw 2011)" }, "properties" : { "noteIndex" : 0 }, "schema" : "https://github.com/citation-style-language/schema/raw/master/csl-citation.json" }</w:instrText>
            </w:r>
            <w:r w:rsidRPr="004D1E6F">
              <w:rPr>
                <w:rFonts w:ascii="Times New Roman" w:eastAsia="Times New Roman" w:hAnsi="Times New Roman" w:cs="Times New Roman"/>
                <w:i/>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(Holdich et al. 2009; Longshaw 2011)</w:t>
            </w:r>
            <w:r w:rsidRPr="004D1E6F">
              <w:rPr>
                <w:rFonts w:ascii="Times New Roman" w:eastAsia="Times New Roman" w:hAnsi="Times New Roman" w:cs="Times New Roman"/>
                <w:i/>
                <w:color w:val="000000"/>
                <w:sz w:val="20"/>
                <w:szCs w:val="20"/>
                <w:lang w:eastAsia="en-ZA"/>
              </w:rPr>
              <w:fldChar w:fldCharType="end"/>
            </w:r>
            <w:r w:rsidRPr="004D1E6F">
              <w:rPr>
                <w:rFonts w:ascii="Times New Roman" w:eastAsia="Times New Roman" w:hAnsi="Times New Roman" w:cs="Times New Roman"/>
                <w:i/>
                <w:color w:val="000000"/>
                <w:sz w:val="20"/>
                <w:szCs w:val="20"/>
                <w:lang w:eastAsia="en-ZA"/>
              </w:rPr>
              <w:t>. Procambarus clarkii</w:t>
            </w:r>
            <w:r w:rsidRPr="004D1E6F">
              <w:rPr>
                <w:rFonts w:ascii="Times New Roman" w:eastAsia="Times New Roman" w:hAnsi="Times New Roman" w:cs="Times New Roman"/>
                <w:color w:val="000000"/>
                <w:sz w:val="20"/>
                <w:szCs w:val="20"/>
                <w:lang w:eastAsia="en-ZA"/>
              </w:rPr>
              <w:t xml:space="preserve"> is also host to white spot syndrome disease – a viral infection of crustaceans, and fungal pathogens such as </w:t>
            </w:r>
            <w:r w:rsidRPr="004D1E6F">
              <w:rPr>
                <w:rFonts w:ascii="Times New Roman" w:eastAsia="Times New Roman" w:hAnsi="Times New Roman" w:cs="Times New Roman"/>
                <w:i/>
                <w:color w:val="000000"/>
                <w:sz w:val="20"/>
                <w:szCs w:val="20"/>
                <w:lang w:eastAsia="en-ZA"/>
              </w:rPr>
              <w:t>Batrachochytrium dendrobatids</w:t>
            </w:r>
            <w:r w:rsidRPr="004D1E6F">
              <w:rPr>
                <w:rFonts w:ascii="Times New Roman" w:eastAsia="Times New Roman" w:hAnsi="Times New Roman" w:cs="Times New Roman"/>
                <w:color w:val="000000"/>
                <w:sz w:val="20"/>
                <w:szCs w:val="20"/>
                <w:lang w:eastAsia="en-ZA"/>
              </w:rPr>
              <w:t xml:space="preserve"> that causes chytridiomycosis – a lethal skin infection in amphibians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"10.1016/j.jip.2010.09.013", "ISBN" : "1096-0805 (Electronic)\\r0022-2011 (Linking)", "ISSN" : "00222011", "PMID" : "21215355", "abstract" : "A systematic review of parasites, pathogens and commensals of freshwater crayfish has been conducted. All major groups of disease causing agents have been covered including viruses, bacteria, fungi, protistans and metazoans. Most agents tend to cause limited problems for crayfish. Exceptions to this include fungi, bacteria and viruses. However, in many cases, these tend to be isolated reports in either a specific geographical location or in individual animals. The apparent absence of pathology associated with these agents in crayfish should not be taken to suggest that movements of crayfish to new geographical areas is necessarily acceptable. Several examples are given where seemingly healthy animals have been moved to new areas leading to mortality of other crayfish within the same area as a direct result of transmission of pathogens to na\u00efve hosts. Some future research needs are proposed, including the need for pathogen characterisation and production of disease-free crayfish for aquaculture. \u00a9 2010.", "author" : [ { "dropping-particle" : "", "family" : "Longshaw", "given" : "Matt", "non-dropping-particle" : "", "parse-names" : false, "suffix" : "" } ], "container-title" : "Journal of Invertebrate Pathology", "id" : "ITEM-1", "issue" : "1", "issued" : { "date-parts" : [ [ "2011" ] ] }, "page" : "54-70", "publisher" : "Elsevier Inc.", "title" : "Diseases of crayfish: A review", "type" : "article-journal", "volume" : "106" }, "uris" : [ "http://www.mendeley.com/documents/?uuid=be7c0509-8466-4d72-b84f-489b1cb24dc4" ] } ], "mendeley" : { "formattedCitation" : "(Longshaw 2011)", "manualFormatting" : "(Longshaw 2011, McMahon et al. 2013)", "plainTextFormattedCitation" : "(Longshaw 2011)", "previouslyFormattedCitation" : "(Longshaw 2011)"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(Longshaw 2011; McMahon et al. 2013)</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p w14:paraId="4E98F841"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p>
          <w:p w14:paraId="5D78BA8A"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Grazing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leads to habitat loss and modification through the removal of macrophytes, in turn leading to population declines of species that feed on macrophytes, use macrophyte stands as nesting sites and refugia from predation (Rosenthal et al. 2005). </w:t>
            </w:r>
            <w:r w:rsidRPr="004D1E6F">
              <w:rPr>
                <w:rFonts w:ascii="Times New Roman" w:eastAsia="Times New Roman" w:hAnsi="Times New Roman" w:cs="Times New Roman"/>
                <w:i/>
                <w:color w:val="000000"/>
                <w:sz w:val="20"/>
                <w:szCs w:val="20"/>
                <w:lang w:eastAsia="en-ZA"/>
              </w:rPr>
              <w:t xml:space="preserve">Procambarus clarkii </w:t>
            </w:r>
            <w:r w:rsidRPr="004D1E6F">
              <w:rPr>
                <w:rFonts w:ascii="Times New Roman" w:eastAsia="Times New Roman" w:hAnsi="Times New Roman" w:cs="Times New Roman"/>
                <w:color w:val="000000"/>
                <w:sz w:val="20"/>
                <w:szCs w:val="20"/>
                <w:lang w:eastAsia="en-ZA"/>
              </w:rPr>
              <w:t xml:space="preserve">leads community composition changes through trophic cascades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"id" : "ITEM-2", "itemData" : { "DOI" : "10.1007/978-1-4020-6029-8_28", "ISBN" : "978-1-4020-6029-8", "author" : [ { "dropping-particle" : "", "family" : "Gherardi", "given" : "Francesca", "non-dropping-particle" : "", "parse-names" : false, "suffix" : "" } ], "container-title" : "Biological invaders in inland waters: Profiles, \u2026", "id" : "ITEM-2", "issued" : { "date-parts" : [ [ "2007" ] ] }, "page" : "507-542", "title" : "Understanding the impact of invasive crayfish", "type" : "article-journal" }, "uris" : [ "http://www.mendeley.com/documents/?uuid=879a3355-c9ec-4aa2-a111-dbd6064fa273" ] } ], "mendeley" : { "formattedCitation" : "(Gherardi 2007, Souty-grosset et al. 2016)", "manualFormatting" : "(Gherardi and Aquistapace 2007, Souty-grosset et al. 2016)", "plainTextFormattedCitation" : "(Gherardi 2007, Souty-grosset et al. 2016)", "previouslyFormattedCitation" : "(Gherardi 2007,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(Gherardi &amp; Aquistapace 2007; 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For example, in Lake Chozas (northwest Spain), grazing by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caused a reduction in macrophyte communities leading to cascades up the food chain with declines in invertebrates, amphibians, and waterfowl (Rodriguez et al 2003). Grazing can also cause changes to community composition and structure, such as changing ecosystems from macrophyte-dominated areas with clear water, to turbid phytoplankton-dominated areas (Matsizaki et al. 2009). Excessive grazing can also lead to accelerated rates of </w:t>
            </w:r>
            <w:r w:rsidRPr="004D1E6F">
              <w:rPr>
                <w:rFonts w:ascii="Times New Roman" w:eastAsia="Calibri" w:hAnsi="Times New Roman" w:cs="Times New Roman"/>
                <w:sz w:val="20"/>
                <w:szCs w:val="20"/>
              </w:rPr>
              <w:t>important processes</w:t>
            </w:r>
            <w:r w:rsidRPr="004D1E6F">
              <w:rPr>
                <w:rFonts w:ascii="Times New Roman" w:eastAsia="Times New Roman" w:hAnsi="Times New Roman" w:cs="Times New Roman"/>
                <w:color w:val="000000"/>
                <w:sz w:val="20"/>
                <w:szCs w:val="20"/>
                <w:lang w:eastAsia="en-ZA"/>
              </w:rPr>
              <w:t xml:space="preserve"> such as litter breakdown and decomposition (Gherardi &amp; Aquistapace 2007; Souty-Grosset et al. 2016).</w:t>
            </w:r>
          </w:p>
          <w:p w14:paraId="7B9933AB"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p>
          <w:p w14:paraId="3F602AC5"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is considered an ecosystem engineer due to its ability to change ecosystems through its burrowing activities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"(Souty-grosset et al. 2016)", "plainTextFormattedCitation" : "(Souty-grosset et al. 2016)", "previouslyFormattedCitation" :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For example, its burrowing activities can cause a decrease in the water quality through bioturbation leading to increased turbidity and influx release of nutrients from sediments, often leading to algal blooms (Angeler et al. 2001;</w:t>
            </w:r>
            <w:r w:rsidRPr="004D1E6F">
              <w:rPr>
                <w:rFonts w:ascii="Times New Roman" w:eastAsia="Calibri" w:hAnsi="Times New Roman" w:cs="Times New Roman"/>
                <w:sz w:val="20"/>
                <w:szCs w:val="20"/>
              </w:rPr>
              <w:t xml:space="preserve"> Yamamoto 2010</w:t>
            </w:r>
            <w:r w:rsidRPr="004D1E6F">
              <w:rPr>
                <w:rFonts w:ascii="Times New Roman" w:eastAsia="Times New Roman" w:hAnsi="Times New Roman" w:cs="Times New Roman"/>
                <w:color w:val="000000"/>
                <w:sz w:val="20"/>
                <w:szCs w:val="20"/>
                <w:lang w:eastAsia="en-ZA"/>
              </w:rPr>
              <w:t xml:space="preserve">). The impaired water quality also affects the quality of the habitats for other aquatic fauna (Angeler et al. 2001; Rodriguez et al. 2003). For example, increased turbidity can impede foraging and respiratory processes of fish (Rodriguez et al. 2003). Burrowing activities can cause structural damage to river banks and increase bank erosion, and also cause damage to water retention infrastructure such as dam walls and dykes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"(Souty-grosset et al. 2016)", "plainTextFormattedCitation" : "(Souty-grosset et al. 2016)", "previouslyFormattedCitation" :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w:t>
            </w:r>
          </w:p>
        </w:tc>
      </w:tr>
      <w:tr w:rsidR="002D7080" w:rsidRPr="004D1E6F" w14:paraId="719380BD" w14:textId="77777777" w:rsidTr="002E2C37">
        <w:trPr>
          <w:cantSplit/>
          <w:trHeight w:val="70"/>
        </w:trPr>
        <w:tc>
          <w:tcPr>
            <w:tcW w:w="9016" w:type="dxa"/>
            <w:gridSpan w:val="2"/>
          </w:tcPr>
          <w:p w14:paraId="5BF29AE2"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References:</w:t>
            </w:r>
          </w:p>
          <w:p w14:paraId="052CAB71" w14:textId="77777777" w:rsidR="002D7080" w:rsidRPr="00D8743C" w:rsidRDefault="002D7080" w:rsidP="00D252EE">
            <w:pPr>
              <w:ind w:left="567" w:hanging="567"/>
              <w:contextualSpacing/>
              <w:jc w:val="both"/>
              <w:rPr>
                <w:rFonts w:ascii="Times New Roman" w:eastAsia="Calibri" w:hAnsi="Times New Roman" w:cs="Times New Roman"/>
                <w:sz w:val="20"/>
                <w:szCs w:val="20"/>
              </w:rPr>
            </w:pPr>
            <w:r w:rsidRPr="00D8743C">
              <w:rPr>
                <w:rFonts w:ascii="Times New Roman" w:eastAsia="Calibri" w:hAnsi="Times New Roman" w:cs="Times New Roman"/>
                <w:sz w:val="20"/>
                <w:szCs w:val="20"/>
              </w:rPr>
              <w:t xml:space="preserve">Angeler, D.G., Sánchez-Carrillo, S., García, G. &amp; Alvarez-Cobelas, M., 2001, ‘The influence of </w:t>
            </w:r>
            <w:r w:rsidRPr="00D8743C">
              <w:rPr>
                <w:rFonts w:ascii="Times New Roman" w:eastAsia="Calibri" w:hAnsi="Times New Roman" w:cs="Times New Roman"/>
                <w:i/>
                <w:sz w:val="20"/>
                <w:szCs w:val="20"/>
              </w:rPr>
              <w:t>Procambarus clarkii</w:t>
            </w:r>
            <w:r w:rsidRPr="00D8743C">
              <w:rPr>
                <w:rFonts w:ascii="Times New Roman" w:eastAsia="Calibri" w:hAnsi="Times New Roman" w:cs="Times New Roman"/>
                <w:sz w:val="20"/>
                <w:szCs w:val="20"/>
              </w:rPr>
              <w:t xml:space="preserve"> (Cambaridae, Decapoda) on water quality and sediment characteristics in a Spanish floodplain wetland’, </w:t>
            </w:r>
            <w:r w:rsidRPr="00D8743C">
              <w:rPr>
                <w:rFonts w:ascii="Times New Roman" w:eastAsia="Calibri" w:hAnsi="Times New Roman" w:cs="Times New Roman"/>
                <w:i/>
                <w:sz w:val="20"/>
                <w:szCs w:val="20"/>
              </w:rPr>
              <w:t>Hydrobiologia</w:t>
            </w:r>
            <w:r w:rsidRPr="00D8743C">
              <w:rPr>
                <w:rFonts w:ascii="Times New Roman" w:eastAsia="Calibri" w:hAnsi="Times New Roman" w:cs="Times New Roman"/>
                <w:sz w:val="20"/>
                <w:szCs w:val="20"/>
              </w:rPr>
              <w:t xml:space="preserve"> </w:t>
            </w:r>
            <w:r w:rsidRPr="00D8743C">
              <w:rPr>
                <w:rFonts w:ascii="Times New Roman" w:eastAsia="Calibri" w:hAnsi="Times New Roman" w:cs="Times New Roman"/>
                <w:bCs/>
                <w:sz w:val="20"/>
                <w:szCs w:val="20"/>
              </w:rPr>
              <w:t>464,</w:t>
            </w:r>
            <w:r w:rsidRPr="00D8743C">
              <w:rPr>
                <w:rFonts w:ascii="Times New Roman" w:eastAsia="Calibri" w:hAnsi="Times New Roman" w:cs="Times New Roman"/>
                <w:sz w:val="20"/>
                <w:szCs w:val="20"/>
              </w:rPr>
              <w:t xml:space="preserve"> 89-98. </w:t>
            </w:r>
            <w:hyperlink r:id="rId662" w:history="1">
              <w:r w:rsidRPr="00D8743C">
                <w:rPr>
                  <w:rStyle w:val="Hyperlink"/>
                  <w:rFonts w:ascii="Times New Roman" w:eastAsia="Calibri" w:hAnsi="Times New Roman" w:cs="Times New Roman"/>
                  <w:sz w:val="20"/>
                  <w:szCs w:val="20"/>
                </w:rPr>
                <w:t>https://doi.org/10.1023/A:1013950129616</w:t>
              </w:r>
            </w:hyperlink>
            <w:r w:rsidRPr="00D8743C">
              <w:rPr>
                <w:rFonts w:ascii="Times New Roman" w:eastAsia="Calibri" w:hAnsi="Times New Roman" w:cs="Times New Roman"/>
                <w:sz w:val="20"/>
                <w:szCs w:val="20"/>
              </w:rPr>
              <w:t xml:space="preserve"> </w:t>
            </w:r>
          </w:p>
          <w:p w14:paraId="1DB9D1A3" w14:textId="77777777" w:rsidR="002D7080" w:rsidRPr="00D8743C" w:rsidRDefault="002D7080" w:rsidP="00D252EE">
            <w:pPr>
              <w:ind w:left="567" w:hanging="567"/>
              <w:contextualSpacing/>
              <w:jc w:val="both"/>
              <w:rPr>
                <w:rFonts w:ascii="Times New Roman" w:eastAsia="Calibri" w:hAnsi="Times New Roman" w:cs="Times New Roman"/>
                <w:sz w:val="20"/>
                <w:szCs w:val="20"/>
              </w:rPr>
            </w:pPr>
            <w:r w:rsidRPr="00D8743C">
              <w:rPr>
                <w:rFonts w:ascii="Times New Roman" w:eastAsia="Calibri" w:hAnsi="Times New Roman" w:cs="Times New Roman"/>
                <w:sz w:val="20"/>
                <w:szCs w:val="20"/>
              </w:rPr>
              <w:t xml:space="preserve">Aquiloni, L., Martín, M.P., Gherardi, F. &amp; Diéguez-Uribeondo, J., 2011, ‘The North American crayfish </w:t>
            </w:r>
            <w:r w:rsidRPr="00D8743C">
              <w:rPr>
                <w:rFonts w:ascii="Times New Roman" w:eastAsia="Calibri" w:hAnsi="Times New Roman" w:cs="Times New Roman"/>
                <w:i/>
                <w:sz w:val="20"/>
                <w:szCs w:val="20"/>
              </w:rPr>
              <w:t>Procambarus clarkii</w:t>
            </w:r>
            <w:r w:rsidRPr="00D8743C">
              <w:rPr>
                <w:rFonts w:ascii="Times New Roman" w:eastAsia="Calibri" w:hAnsi="Times New Roman" w:cs="Times New Roman"/>
                <w:sz w:val="20"/>
                <w:szCs w:val="20"/>
              </w:rPr>
              <w:t xml:space="preserve"> is the carrier of the oomycete </w:t>
            </w:r>
            <w:r w:rsidRPr="00D8743C">
              <w:rPr>
                <w:rFonts w:ascii="Times New Roman" w:eastAsia="Calibri" w:hAnsi="Times New Roman" w:cs="Times New Roman"/>
                <w:i/>
                <w:sz w:val="20"/>
                <w:szCs w:val="20"/>
              </w:rPr>
              <w:t>Aphanomyces astaci</w:t>
            </w:r>
            <w:r w:rsidRPr="00D8743C">
              <w:rPr>
                <w:rFonts w:ascii="Times New Roman" w:eastAsia="Calibri" w:hAnsi="Times New Roman" w:cs="Times New Roman"/>
                <w:sz w:val="20"/>
                <w:szCs w:val="20"/>
              </w:rPr>
              <w:t xml:space="preserve"> in Italy’, </w:t>
            </w:r>
            <w:r w:rsidRPr="00D8743C">
              <w:rPr>
                <w:rFonts w:ascii="Times New Roman" w:eastAsia="Calibri" w:hAnsi="Times New Roman" w:cs="Times New Roman"/>
                <w:i/>
                <w:sz w:val="20"/>
                <w:szCs w:val="20"/>
              </w:rPr>
              <w:t>Biological Invasions</w:t>
            </w:r>
            <w:r w:rsidRPr="00D8743C">
              <w:rPr>
                <w:rFonts w:ascii="Times New Roman" w:eastAsia="Calibri" w:hAnsi="Times New Roman" w:cs="Times New Roman"/>
                <w:sz w:val="20"/>
                <w:szCs w:val="20"/>
              </w:rPr>
              <w:t xml:space="preserve"> </w:t>
            </w:r>
            <w:r w:rsidRPr="00D8743C">
              <w:rPr>
                <w:rFonts w:ascii="Times New Roman" w:eastAsia="Calibri" w:hAnsi="Times New Roman" w:cs="Times New Roman"/>
                <w:bCs/>
                <w:sz w:val="20"/>
                <w:szCs w:val="20"/>
              </w:rPr>
              <w:t>13,</w:t>
            </w:r>
            <w:r w:rsidRPr="00D8743C">
              <w:rPr>
                <w:rFonts w:ascii="Times New Roman" w:eastAsia="Calibri" w:hAnsi="Times New Roman" w:cs="Times New Roman"/>
                <w:sz w:val="20"/>
                <w:szCs w:val="20"/>
              </w:rPr>
              <w:t xml:space="preserve"> 35-367. </w:t>
            </w:r>
            <w:hyperlink r:id="rId663" w:history="1">
              <w:r w:rsidRPr="00D8743C">
                <w:rPr>
                  <w:rStyle w:val="Hyperlink"/>
                  <w:rFonts w:ascii="Times New Roman" w:eastAsia="Calibri" w:hAnsi="Times New Roman" w:cs="Times New Roman"/>
                  <w:sz w:val="20"/>
                  <w:szCs w:val="20"/>
                </w:rPr>
                <w:t>https://doi.org/10.1007/s10530-010-9828-2</w:t>
              </w:r>
            </w:hyperlink>
            <w:r w:rsidRPr="00D8743C">
              <w:rPr>
                <w:rFonts w:ascii="Times New Roman" w:eastAsia="Calibri" w:hAnsi="Times New Roman" w:cs="Times New Roman"/>
                <w:sz w:val="20"/>
                <w:szCs w:val="20"/>
              </w:rPr>
              <w:t xml:space="preserve">. </w:t>
            </w:r>
          </w:p>
          <w:p w14:paraId="7CAC2DE8" w14:textId="77777777" w:rsidR="002D7080" w:rsidRPr="00D8743C" w:rsidRDefault="002D7080" w:rsidP="00D252EE">
            <w:pPr>
              <w:ind w:left="567" w:hanging="567"/>
              <w:contextualSpacing/>
              <w:jc w:val="both"/>
              <w:rPr>
                <w:rFonts w:ascii="Times New Roman" w:eastAsia="Times New Roman" w:hAnsi="Times New Roman" w:cs="Times New Roman"/>
                <w:color w:val="000000"/>
                <w:sz w:val="20"/>
                <w:szCs w:val="20"/>
                <w:lang w:eastAsia="en-ZA"/>
              </w:rPr>
            </w:pPr>
            <w:r w:rsidRPr="00D8743C">
              <w:rPr>
                <w:rFonts w:ascii="Times New Roman" w:eastAsia="Times New Roman" w:hAnsi="Times New Roman" w:cs="Times New Roman"/>
                <w:color w:val="000000"/>
                <w:sz w:val="20"/>
                <w:szCs w:val="20"/>
                <w:lang w:eastAsia="en-ZA"/>
              </w:rPr>
              <w:t xml:space="preserve">Cruz, M.J., Rebelo, R. &amp; Crespo, E.G., 2006, ‘Effects of an introduced crayfish, </w:t>
            </w:r>
            <w:r w:rsidRPr="00D8743C">
              <w:rPr>
                <w:rFonts w:ascii="Times New Roman" w:eastAsia="Times New Roman" w:hAnsi="Times New Roman" w:cs="Times New Roman"/>
                <w:i/>
                <w:color w:val="000000"/>
                <w:sz w:val="20"/>
                <w:szCs w:val="20"/>
                <w:lang w:eastAsia="en-ZA"/>
              </w:rPr>
              <w:t>Procambarus clarkii</w:t>
            </w:r>
            <w:r w:rsidRPr="00D8743C">
              <w:rPr>
                <w:rFonts w:ascii="Times New Roman" w:eastAsia="Times New Roman" w:hAnsi="Times New Roman" w:cs="Times New Roman"/>
                <w:color w:val="000000"/>
                <w:sz w:val="20"/>
                <w:szCs w:val="20"/>
                <w:lang w:eastAsia="en-ZA"/>
              </w:rPr>
              <w:t xml:space="preserve">, on the distribution of south-western Iberian amphibians in their breeding habitats’, </w:t>
            </w:r>
            <w:r w:rsidRPr="00D8743C">
              <w:rPr>
                <w:rFonts w:ascii="Times New Roman" w:eastAsia="Times New Roman" w:hAnsi="Times New Roman" w:cs="Times New Roman"/>
                <w:i/>
                <w:color w:val="000000"/>
                <w:sz w:val="20"/>
                <w:szCs w:val="20"/>
                <w:lang w:eastAsia="en-ZA"/>
              </w:rPr>
              <w:t>Ecography</w:t>
            </w:r>
            <w:r w:rsidRPr="00D8743C">
              <w:rPr>
                <w:rFonts w:ascii="Times New Roman" w:eastAsia="Times New Roman" w:hAnsi="Times New Roman" w:cs="Times New Roman"/>
                <w:color w:val="000000"/>
                <w:sz w:val="20"/>
                <w:szCs w:val="20"/>
                <w:lang w:eastAsia="en-ZA"/>
              </w:rPr>
              <w:t xml:space="preserve"> </w:t>
            </w:r>
            <w:r w:rsidRPr="00D8743C">
              <w:rPr>
                <w:rFonts w:ascii="Times New Roman" w:eastAsia="Times New Roman" w:hAnsi="Times New Roman" w:cs="Times New Roman"/>
                <w:bCs/>
                <w:color w:val="000000"/>
                <w:sz w:val="20"/>
                <w:szCs w:val="20"/>
                <w:lang w:eastAsia="en-ZA"/>
              </w:rPr>
              <w:t>29</w:t>
            </w:r>
            <w:r w:rsidRPr="00D8743C">
              <w:rPr>
                <w:rFonts w:ascii="Times New Roman" w:eastAsia="Times New Roman" w:hAnsi="Times New Roman" w:cs="Times New Roman"/>
                <w:color w:val="000000"/>
                <w:sz w:val="20"/>
                <w:szCs w:val="20"/>
                <w:lang w:eastAsia="en-ZA"/>
              </w:rPr>
              <w:t xml:space="preserve">, 329-338. </w:t>
            </w:r>
            <w:hyperlink r:id="rId664" w:history="1">
              <w:r w:rsidRPr="00D8743C">
                <w:rPr>
                  <w:rStyle w:val="Hyperlink"/>
                  <w:rFonts w:ascii="Times New Roman" w:eastAsia="Times New Roman" w:hAnsi="Times New Roman" w:cs="Times New Roman"/>
                  <w:sz w:val="20"/>
                  <w:szCs w:val="20"/>
                  <w:lang w:eastAsia="en-ZA"/>
                </w:rPr>
                <w:t>https://doi.org/10.1111/j.2006.0906-7590.04333.x</w:t>
              </w:r>
            </w:hyperlink>
            <w:r w:rsidRPr="00D8743C">
              <w:rPr>
                <w:rFonts w:ascii="Times New Roman" w:eastAsia="Times New Roman" w:hAnsi="Times New Roman" w:cs="Times New Roman"/>
                <w:color w:val="000000"/>
                <w:sz w:val="20"/>
                <w:szCs w:val="20"/>
                <w:lang w:eastAsia="en-ZA"/>
              </w:rPr>
              <w:t xml:space="preserve">. </w:t>
            </w:r>
          </w:p>
          <w:p w14:paraId="746A195C" w14:textId="77777777" w:rsidR="002D7080" w:rsidRPr="00D8743C" w:rsidRDefault="002D7080" w:rsidP="00D252EE">
            <w:pPr>
              <w:ind w:left="567" w:hanging="567"/>
              <w:contextualSpacing/>
              <w:jc w:val="both"/>
              <w:rPr>
                <w:rFonts w:ascii="Times New Roman" w:eastAsia="Times New Roman" w:hAnsi="Times New Roman" w:cs="Times New Roman"/>
                <w:color w:val="000000"/>
                <w:sz w:val="20"/>
                <w:szCs w:val="20"/>
                <w:lang w:eastAsia="en-ZA"/>
              </w:rPr>
            </w:pPr>
            <w:r w:rsidRPr="00D8743C">
              <w:rPr>
                <w:rFonts w:ascii="Times New Roman" w:eastAsia="Times New Roman" w:hAnsi="Times New Roman" w:cs="Times New Roman"/>
                <w:color w:val="000000"/>
                <w:sz w:val="20"/>
                <w:szCs w:val="20"/>
                <w:lang w:eastAsia="en-ZA"/>
              </w:rPr>
              <w:t xml:space="preserve">Jackson, M.C., Grey, J., Miller, K., Britton, J.R. &amp; Donohue, I., 2016, ‘Dietary niche constriction when invaders meet natives: Evidence from freshwater decapods’, </w:t>
            </w:r>
            <w:r w:rsidRPr="00D8743C">
              <w:rPr>
                <w:rFonts w:ascii="Times New Roman" w:eastAsia="Times New Roman" w:hAnsi="Times New Roman" w:cs="Times New Roman"/>
                <w:i/>
                <w:color w:val="000000"/>
                <w:sz w:val="20"/>
                <w:szCs w:val="20"/>
                <w:lang w:eastAsia="en-ZA"/>
              </w:rPr>
              <w:t>Journal of Animal Ecology</w:t>
            </w:r>
            <w:r w:rsidRPr="00D8743C">
              <w:rPr>
                <w:rFonts w:ascii="Times New Roman" w:eastAsia="Times New Roman" w:hAnsi="Times New Roman" w:cs="Times New Roman"/>
                <w:color w:val="000000"/>
                <w:sz w:val="20"/>
                <w:szCs w:val="20"/>
                <w:lang w:eastAsia="en-ZA"/>
              </w:rPr>
              <w:t xml:space="preserve"> </w:t>
            </w:r>
            <w:r w:rsidRPr="00D8743C">
              <w:rPr>
                <w:rFonts w:ascii="Times New Roman" w:eastAsia="Times New Roman" w:hAnsi="Times New Roman" w:cs="Times New Roman"/>
                <w:bCs/>
                <w:color w:val="000000"/>
                <w:sz w:val="20"/>
                <w:szCs w:val="20"/>
                <w:lang w:eastAsia="en-ZA"/>
              </w:rPr>
              <w:t>85</w:t>
            </w:r>
            <w:r w:rsidRPr="00D8743C">
              <w:rPr>
                <w:rFonts w:ascii="Times New Roman" w:eastAsia="Times New Roman" w:hAnsi="Times New Roman" w:cs="Times New Roman"/>
                <w:color w:val="000000"/>
                <w:sz w:val="20"/>
                <w:szCs w:val="20"/>
                <w:lang w:eastAsia="en-ZA"/>
              </w:rPr>
              <w:t xml:space="preserve">, 1098–1107. </w:t>
            </w:r>
            <w:hyperlink r:id="rId665" w:history="1">
              <w:r w:rsidRPr="00D8743C">
                <w:rPr>
                  <w:rStyle w:val="Hyperlink"/>
                  <w:rFonts w:ascii="Times New Roman" w:eastAsia="Times New Roman" w:hAnsi="Times New Roman" w:cs="Times New Roman"/>
                  <w:sz w:val="20"/>
                  <w:szCs w:val="20"/>
                  <w:lang w:eastAsia="en-ZA"/>
                </w:rPr>
                <w:t>https://doi.org/10.1111/1365-2656.12533</w:t>
              </w:r>
            </w:hyperlink>
            <w:r w:rsidRPr="00D8743C">
              <w:rPr>
                <w:rFonts w:ascii="Times New Roman" w:eastAsia="Times New Roman" w:hAnsi="Times New Roman" w:cs="Times New Roman"/>
                <w:color w:val="000000"/>
                <w:sz w:val="20"/>
                <w:szCs w:val="20"/>
                <w:lang w:eastAsia="en-ZA"/>
              </w:rPr>
              <w:t xml:space="preserve">. </w:t>
            </w:r>
          </w:p>
          <w:p w14:paraId="255BD6D5" w14:textId="77777777" w:rsidR="002D7080" w:rsidRPr="00D8743C" w:rsidRDefault="002D7080" w:rsidP="00D252EE">
            <w:pPr>
              <w:ind w:left="567" w:hanging="567"/>
              <w:contextualSpacing/>
              <w:jc w:val="both"/>
              <w:rPr>
                <w:rFonts w:ascii="Times New Roman" w:eastAsia="Calibri" w:hAnsi="Times New Roman" w:cs="Times New Roman"/>
                <w:sz w:val="20"/>
                <w:szCs w:val="20"/>
              </w:rPr>
            </w:pPr>
            <w:r w:rsidRPr="00D8743C">
              <w:rPr>
                <w:rFonts w:ascii="Times New Roman" w:eastAsia="Calibri" w:hAnsi="Times New Roman" w:cs="Times New Roman"/>
                <w:sz w:val="20"/>
                <w:szCs w:val="20"/>
              </w:rPr>
              <w:t xml:space="preserve">Ficetola, G.F., Siesa, M.E., Manenti, R., Bottoni, L., De Bernardi, F. &amp; Padoa-Schioppa, E., 2011, ‘Early assessment of the impact of alien species: Differential consequences of an invasive crayfish on adult and larval amphibians’, </w:t>
            </w:r>
            <w:r w:rsidRPr="00D8743C">
              <w:rPr>
                <w:rFonts w:ascii="Times New Roman" w:eastAsia="Calibri" w:hAnsi="Times New Roman" w:cs="Times New Roman"/>
                <w:i/>
                <w:iCs/>
                <w:sz w:val="20"/>
                <w:szCs w:val="20"/>
              </w:rPr>
              <w:t xml:space="preserve">Diversity and Distributions </w:t>
            </w:r>
            <w:r w:rsidRPr="00D8743C">
              <w:rPr>
                <w:rFonts w:ascii="Times New Roman" w:eastAsia="Calibri" w:hAnsi="Times New Roman" w:cs="Times New Roman"/>
                <w:bCs/>
                <w:sz w:val="20"/>
                <w:szCs w:val="20"/>
              </w:rPr>
              <w:t xml:space="preserve">17, </w:t>
            </w:r>
            <w:r w:rsidRPr="00D8743C">
              <w:rPr>
                <w:rFonts w:ascii="Times New Roman" w:eastAsia="Calibri" w:hAnsi="Times New Roman" w:cs="Times New Roman"/>
                <w:sz w:val="20"/>
                <w:szCs w:val="20"/>
              </w:rPr>
              <w:t xml:space="preserve">1141-1151. </w:t>
            </w:r>
            <w:hyperlink r:id="rId666" w:history="1">
              <w:r w:rsidRPr="00D8743C">
                <w:rPr>
                  <w:rStyle w:val="Hyperlink"/>
                  <w:rFonts w:ascii="Times New Roman" w:eastAsia="Calibri" w:hAnsi="Times New Roman" w:cs="Times New Roman"/>
                  <w:sz w:val="20"/>
                  <w:szCs w:val="20"/>
                </w:rPr>
                <w:t>https://doi.org/10.1111/j.1472-4642.2011.00797.x</w:t>
              </w:r>
            </w:hyperlink>
            <w:r w:rsidRPr="00D8743C">
              <w:rPr>
                <w:rFonts w:ascii="Times New Roman" w:eastAsia="Calibri" w:hAnsi="Times New Roman" w:cs="Times New Roman"/>
                <w:sz w:val="20"/>
                <w:szCs w:val="20"/>
              </w:rPr>
              <w:t xml:space="preserve">. </w:t>
            </w:r>
          </w:p>
          <w:p w14:paraId="4F4D7F52" w14:textId="6F49E098" w:rsidR="002D7080" w:rsidRPr="00D8743C" w:rsidRDefault="002D7080" w:rsidP="00D252EE">
            <w:pPr>
              <w:autoSpaceDE w:val="0"/>
              <w:autoSpaceDN w:val="0"/>
              <w:adjustRightInd w:val="0"/>
              <w:ind w:left="567" w:hanging="567"/>
              <w:contextualSpacing/>
              <w:jc w:val="both"/>
              <w:rPr>
                <w:rFonts w:ascii="Times New Roman" w:eastAsia="Calibri" w:hAnsi="Times New Roman" w:cs="Times New Roman"/>
                <w:sz w:val="20"/>
                <w:szCs w:val="20"/>
              </w:rPr>
            </w:pPr>
            <w:r w:rsidRPr="00D8743C">
              <w:rPr>
                <w:rFonts w:ascii="Times New Roman" w:eastAsia="Calibri" w:hAnsi="Times New Roman" w:cs="Times New Roman"/>
                <w:sz w:val="20"/>
                <w:szCs w:val="20"/>
              </w:rPr>
              <w:t xml:space="preserve">Gherardi, F. &amp; Acquistapace, P., 2007, ‘Invasive crayfish in Europe: The impact of </w:t>
            </w:r>
            <w:r w:rsidRPr="00D8743C">
              <w:rPr>
                <w:rFonts w:ascii="Times New Roman" w:eastAsia="Calibri" w:hAnsi="Times New Roman" w:cs="Times New Roman"/>
                <w:i/>
                <w:iCs/>
                <w:sz w:val="20"/>
                <w:szCs w:val="20"/>
              </w:rPr>
              <w:t xml:space="preserve">Procambarus clarkii </w:t>
            </w:r>
            <w:r w:rsidRPr="00D8743C">
              <w:rPr>
                <w:rFonts w:ascii="Times New Roman" w:eastAsia="Calibri" w:hAnsi="Times New Roman" w:cs="Times New Roman"/>
                <w:sz w:val="20"/>
                <w:szCs w:val="20"/>
              </w:rPr>
              <w:t xml:space="preserve">on the littoral community of a Mediterranean lake’, </w:t>
            </w:r>
            <w:r w:rsidRPr="00D8743C">
              <w:rPr>
                <w:rFonts w:ascii="Times New Roman" w:eastAsia="Calibri" w:hAnsi="Times New Roman" w:cs="Times New Roman"/>
                <w:i/>
                <w:iCs/>
                <w:sz w:val="20"/>
                <w:szCs w:val="20"/>
              </w:rPr>
              <w:t xml:space="preserve">Freshwater Biology </w:t>
            </w:r>
            <w:r w:rsidRPr="00D8743C">
              <w:rPr>
                <w:rFonts w:ascii="Times New Roman" w:eastAsia="Calibri" w:hAnsi="Times New Roman" w:cs="Times New Roman"/>
                <w:bCs/>
                <w:sz w:val="20"/>
                <w:szCs w:val="20"/>
              </w:rPr>
              <w:t>52,</w:t>
            </w:r>
            <w:r w:rsidRPr="00D8743C">
              <w:rPr>
                <w:rFonts w:ascii="Times New Roman" w:eastAsia="Calibri" w:hAnsi="Times New Roman" w:cs="Times New Roman"/>
                <w:sz w:val="20"/>
                <w:szCs w:val="20"/>
              </w:rPr>
              <w:t xml:space="preserve"> 1249-59. </w:t>
            </w:r>
            <w:hyperlink r:id="rId667" w:history="1">
              <w:r w:rsidR="00D8743C" w:rsidRPr="00D8743C">
                <w:rPr>
                  <w:rStyle w:val="Hyperlink"/>
                  <w:rFonts w:ascii="Times New Roman" w:hAnsi="Times New Roman" w:cs="Times New Roman"/>
                  <w:sz w:val="20"/>
                  <w:szCs w:val="20"/>
                </w:rPr>
                <w:t>https://doi.org/10.1111/j.1365-2427.2007.01760.x</w:t>
              </w:r>
            </w:hyperlink>
            <w:r w:rsidRPr="00D8743C">
              <w:rPr>
                <w:rFonts w:ascii="Times New Roman" w:eastAsia="Calibri" w:hAnsi="Times New Roman" w:cs="Times New Roman"/>
                <w:sz w:val="20"/>
                <w:szCs w:val="20"/>
              </w:rPr>
              <w:t xml:space="preserve">. </w:t>
            </w:r>
          </w:p>
          <w:p w14:paraId="6B1A53BD" w14:textId="77777777" w:rsidR="002D7080" w:rsidRPr="00D8743C" w:rsidRDefault="002D7080" w:rsidP="00D252EE">
            <w:pPr>
              <w:ind w:left="567" w:hanging="567"/>
              <w:contextualSpacing/>
              <w:jc w:val="both"/>
              <w:rPr>
                <w:rFonts w:ascii="Times New Roman" w:eastAsia="Calibri" w:hAnsi="Times New Roman" w:cs="Times New Roman"/>
                <w:sz w:val="20"/>
                <w:szCs w:val="20"/>
              </w:rPr>
            </w:pPr>
            <w:r w:rsidRPr="00D8743C">
              <w:rPr>
                <w:rFonts w:ascii="Times New Roman" w:eastAsia="Calibri" w:hAnsi="Times New Roman" w:cs="Times New Roman"/>
                <w:sz w:val="20"/>
                <w:szCs w:val="20"/>
              </w:rPr>
              <w:t xml:space="preserve">Gherardi, F. &amp; Barbaresi, S., 2008, ‘Feeding opportunism of the red swamp crayfish </w:t>
            </w:r>
            <w:r w:rsidRPr="00D8743C">
              <w:rPr>
                <w:rFonts w:ascii="Times New Roman" w:eastAsia="Calibri" w:hAnsi="Times New Roman" w:cs="Times New Roman"/>
                <w:i/>
                <w:iCs/>
                <w:sz w:val="20"/>
                <w:szCs w:val="20"/>
              </w:rPr>
              <w:t>Procambarus clarkia</w:t>
            </w:r>
            <w:r w:rsidRPr="00D8743C">
              <w:rPr>
                <w:rFonts w:ascii="Times New Roman" w:eastAsia="Calibri" w:hAnsi="Times New Roman" w:cs="Times New Roman"/>
                <w:sz w:val="20"/>
                <w:szCs w:val="20"/>
              </w:rPr>
              <w:t xml:space="preserve">, an invasive species’, </w:t>
            </w:r>
            <w:r w:rsidRPr="00D8743C">
              <w:rPr>
                <w:rFonts w:ascii="Times New Roman" w:eastAsia="Calibri" w:hAnsi="Times New Roman" w:cs="Times New Roman"/>
                <w:i/>
                <w:sz w:val="20"/>
                <w:szCs w:val="20"/>
              </w:rPr>
              <w:t>Freshwater crayfish</w:t>
            </w:r>
            <w:r w:rsidRPr="00D8743C">
              <w:rPr>
                <w:rFonts w:ascii="Times New Roman" w:eastAsia="Calibri" w:hAnsi="Times New Roman" w:cs="Times New Roman"/>
                <w:sz w:val="20"/>
                <w:szCs w:val="20"/>
              </w:rPr>
              <w:t xml:space="preserve"> </w:t>
            </w:r>
            <w:r w:rsidRPr="00D8743C">
              <w:rPr>
                <w:rFonts w:ascii="Times New Roman" w:eastAsia="Calibri" w:hAnsi="Times New Roman" w:cs="Times New Roman"/>
                <w:bCs/>
                <w:sz w:val="20"/>
                <w:szCs w:val="20"/>
              </w:rPr>
              <w:t>16,</w:t>
            </w:r>
            <w:r w:rsidRPr="00D8743C">
              <w:rPr>
                <w:rFonts w:ascii="Times New Roman" w:eastAsia="Calibri" w:hAnsi="Times New Roman" w:cs="Times New Roman"/>
                <w:sz w:val="20"/>
                <w:szCs w:val="20"/>
              </w:rPr>
              <w:t xml:space="preserve"> 77</w:t>
            </w:r>
            <w:r w:rsidRPr="00D8743C">
              <w:rPr>
                <w:rFonts w:ascii="Times New Roman" w:eastAsia="Times New Roman" w:hAnsi="Times New Roman" w:cs="Times New Roman"/>
                <w:color w:val="000000"/>
                <w:sz w:val="20"/>
                <w:szCs w:val="20"/>
                <w:lang w:eastAsia="en-ZA"/>
              </w:rPr>
              <w:t>–</w:t>
            </w:r>
            <w:r w:rsidRPr="00D8743C">
              <w:rPr>
                <w:rFonts w:ascii="Times New Roman" w:eastAsia="Calibri" w:hAnsi="Times New Roman" w:cs="Times New Roman"/>
                <w:sz w:val="20"/>
                <w:szCs w:val="20"/>
              </w:rPr>
              <w:t xml:space="preserve">85. </w:t>
            </w:r>
          </w:p>
          <w:p w14:paraId="6C0B6987" w14:textId="77777777" w:rsidR="002D7080" w:rsidRPr="00D8743C" w:rsidRDefault="002D7080" w:rsidP="00D252EE">
            <w:pPr>
              <w:ind w:left="540" w:hanging="540"/>
              <w:contextualSpacing/>
              <w:jc w:val="both"/>
              <w:rPr>
                <w:rFonts w:ascii="Times New Roman" w:eastAsia="Calibri" w:hAnsi="Times New Roman" w:cs="Times New Roman"/>
                <w:bCs/>
                <w:sz w:val="20"/>
                <w:szCs w:val="20"/>
              </w:rPr>
            </w:pPr>
            <w:r w:rsidRPr="00D8743C">
              <w:rPr>
                <w:rFonts w:ascii="Times New Roman" w:eastAsia="Calibri" w:hAnsi="Times New Roman" w:cs="Times New Roman"/>
                <w:bCs/>
                <w:sz w:val="20"/>
                <w:szCs w:val="20"/>
              </w:rPr>
              <w:t>Holdich, D.M., Reynolds, J.D. &amp; Sibley, P.J., 2009, ‘A review of the ever increasing threat to European crayfish from non-indigenous crayfish species’,</w:t>
            </w:r>
            <w:r w:rsidRPr="00D8743C">
              <w:rPr>
                <w:rFonts w:ascii="Times New Roman" w:eastAsia="Calibri" w:hAnsi="Times New Roman" w:cs="Times New Roman"/>
                <w:sz w:val="20"/>
                <w:szCs w:val="20"/>
              </w:rPr>
              <w:t xml:space="preserve"> </w:t>
            </w:r>
            <w:r w:rsidRPr="00D8743C">
              <w:rPr>
                <w:rFonts w:ascii="Times New Roman" w:eastAsia="Calibri" w:hAnsi="Times New Roman" w:cs="Times New Roman"/>
                <w:bCs/>
                <w:i/>
                <w:sz w:val="20"/>
                <w:szCs w:val="20"/>
              </w:rPr>
              <w:t>Knowledge and Management of Aquatic Ecosystems</w:t>
            </w:r>
            <w:r w:rsidRPr="00D8743C">
              <w:rPr>
                <w:rFonts w:ascii="Times New Roman" w:eastAsia="Calibri" w:hAnsi="Times New Roman" w:cs="Times New Roman"/>
                <w:bCs/>
                <w:sz w:val="20"/>
                <w:szCs w:val="20"/>
              </w:rPr>
              <w:t xml:space="preserve"> 11, 394-395. </w:t>
            </w:r>
            <w:hyperlink r:id="rId668" w:history="1">
              <w:r w:rsidRPr="00D8743C">
                <w:rPr>
                  <w:rStyle w:val="Hyperlink"/>
                  <w:rFonts w:ascii="Times New Roman" w:eastAsia="Calibri" w:hAnsi="Times New Roman" w:cs="Times New Roman"/>
                  <w:bCs/>
                  <w:sz w:val="20"/>
                  <w:szCs w:val="20"/>
                </w:rPr>
                <w:t>https://doi.org/10.1051/kmae/2009025</w:t>
              </w:r>
            </w:hyperlink>
            <w:r w:rsidRPr="00D8743C">
              <w:rPr>
                <w:rFonts w:ascii="Times New Roman" w:eastAsia="Calibri" w:hAnsi="Times New Roman" w:cs="Times New Roman"/>
                <w:bCs/>
                <w:sz w:val="20"/>
                <w:szCs w:val="20"/>
              </w:rPr>
              <w:t xml:space="preserve">. </w:t>
            </w:r>
          </w:p>
          <w:p w14:paraId="3F6B5DD4" w14:textId="09202A76" w:rsidR="00D8743C" w:rsidRPr="00D8743C" w:rsidRDefault="002D7080" w:rsidP="00D252EE">
            <w:pPr>
              <w:ind w:left="510" w:hanging="510"/>
              <w:contextualSpacing/>
              <w:jc w:val="both"/>
              <w:rPr>
                <w:rFonts w:ascii="Times New Roman" w:eastAsia="Calibri" w:hAnsi="Times New Roman" w:cs="Times New Roman"/>
                <w:sz w:val="20"/>
                <w:szCs w:val="20"/>
              </w:rPr>
            </w:pPr>
            <w:r w:rsidRPr="00D8743C">
              <w:rPr>
                <w:rFonts w:ascii="Times New Roman" w:eastAsia="Times New Roman" w:hAnsi="Times New Roman" w:cs="Times New Roman"/>
                <w:sz w:val="20"/>
                <w:szCs w:val="20"/>
                <w:lang w:eastAsia="en-ZA"/>
              </w:rPr>
              <w:t xml:space="preserve">Lodge, D.M., Deines, A., Gherardi, F., Yeo, D.C., Arcella, T., Baldridge, A.K., et al., 2012, ‘Global introductions of crayfishes: evaluating the impact of species invasions on ecosystem services’, </w:t>
            </w:r>
            <w:r w:rsidRPr="00D8743C">
              <w:rPr>
                <w:rFonts w:ascii="Times New Roman" w:eastAsia="Times New Roman" w:hAnsi="Times New Roman" w:cs="Times New Roman"/>
                <w:i/>
                <w:iCs/>
                <w:sz w:val="20"/>
                <w:szCs w:val="20"/>
                <w:lang w:eastAsia="en-ZA"/>
              </w:rPr>
              <w:t>Annual Review of Ecology, Evolution, and Systematics</w:t>
            </w:r>
            <w:r w:rsidRPr="00D8743C">
              <w:rPr>
                <w:rFonts w:ascii="Times New Roman" w:eastAsia="Times New Roman" w:hAnsi="Times New Roman" w:cs="Times New Roman"/>
                <w:sz w:val="20"/>
                <w:szCs w:val="20"/>
                <w:lang w:eastAsia="en-ZA"/>
              </w:rPr>
              <w:t xml:space="preserve"> </w:t>
            </w:r>
            <w:r w:rsidRPr="00D8743C">
              <w:rPr>
                <w:rFonts w:ascii="Times New Roman" w:eastAsia="Times New Roman" w:hAnsi="Times New Roman" w:cs="Times New Roman"/>
                <w:iCs/>
                <w:sz w:val="20"/>
                <w:szCs w:val="20"/>
                <w:lang w:eastAsia="en-ZA"/>
              </w:rPr>
              <w:t>43</w:t>
            </w:r>
            <w:r w:rsidRPr="00D8743C">
              <w:rPr>
                <w:rFonts w:ascii="Times New Roman" w:eastAsia="Times New Roman" w:hAnsi="Times New Roman" w:cs="Times New Roman"/>
                <w:bCs/>
                <w:sz w:val="20"/>
                <w:szCs w:val="20"/>
                <w:lang w:eastAsia="en-ZA"/>
              </w:rPr>
              <w:t xml:space="preserve">, </w:t>
            </w:r>
            <w:r w:rsidRPr="00D8743C">
              <w:rPr>
                <w:rFonts w:ascii="Times New Roman" w:eastAsia="Times New Roman" w:hAnsi="Times New Roman" w:cs="Times New Roman"/>
                <w:sz w:val="20"/>
                <w:szCs w:val="20"/>
                <w:lang w:eastAsia="en-ZA"/>
              </w:rPr>
              <w:t xml:space="preserve">449-472. </w:t>
            </w:r>
            <w:r w:rsidR="00D8743C" w:rsidRPr="00D8743C">
              <w:rPr>
                <w:rFonts w:ascii="Times New Roman" w:hAnsi="Times New Roman" w:cs="Times New Roman"/>
                <w:sz w:val="20"/>
                <w:szCs w:val="20"/>
              </w:rPr>
              <w:t>https://doi.org/10.1146/annurev-ecolsys-111511-103919</w:t>
            </w:r>
            <w:r w:rsidR="00D8743C" w:rsidRPr="00D8743C">
              <w:rPr>
                <w:rFonts w:ascii="Times New Roman" w:eastAsia="Calibri" w:hAnsi="Times New Roman" w:cs="Times New Roman"/>
                <w:sz w:val="20"/>
                <w:szCs w:val="20"/>
              </w:rPr>
              <w:t>.</w:t>
            </w:r>
          </w:p>
          <w:p w14:paraId="78BF182C" w14:textId="0B0E51F8" w:rsidR="002D7080" w:rsidRPr="00D8743C" w:rsidRDefault="002D7080" w:rsidP="00D252EE">
            <w:pPr>
              <w:ind w:left="510" w:hanging="510"/>
              <w:contextualSpacing/>
              <w:jc w:val="both"/>
              <w:rPr>
                <w:rFonts w:ascii="Times New Roman" w:eastAsia="Calibri" w:hAnsi="Times New Roman" w:cs="Times New Roman"/>
                <w:sz w:val="20"/>
                <w:szCs w:val="20"/>
              </w:rPr>
            </w:pPr>
            <w:r w:rsidRPr="00D8743C">
              <w:rPr>
                <w:rFonts w:ascii="Times New Roman" w:eastAsia="Calibri" w:hAnsi="Times New Roman" w:cs="Times New Roman"/>
                <w:sz w:val="20"/>
                <w:szCs w:val="20"/>
              </w:rPr>
              <w:t xml:space="preserve">Longshaw, M. 2011, ‘Diseases of crayfish: A review’, </w:t>
            </w:r>
            <w:r w:rsidRPr="00D8743C">
              <w:rPr>
                <w:rFonts w:ascii="Times New Roman" w:eastAsia="Calibri" w:hAnsi="Times New Roman" w:cs="Times New Roman"/>
                <w:i/>
                <w:sz w:val="20"/>
                <w:szCs w:val="20"/>
              </w:rPr>
              <w:t>Journal of Invertebrate Pathology</w:t>
            </w:r>
            <w:r w:rsidRPr="00D8743C">
              <w:rPr>
                <w:rFonts w:ascii="Times New Roman" w:eastAsia="Calibri" w:hAnsi="Times New Roman" w:cs="Times New Roman"/>
                <w:sz w:val="20"/>
                <w:szCs w:val="20"/>
              </w:rPr>
              <w:t xml:space="preserve"> </w:t>
            </w:r>
            <w:r w:rsidRPr="00D8743C">
              <w:rPr>
                <w:rFonts w:ascii="Times New Roman" w:eastAsia="Calibri" w:hAnsi="Times New Roman" w:cs="Times New Roman"/>
                <w:bCs/>
                <w:sz w:val="20"/>
                <w:szCs w:val="20"/>
              </w:rPr>
              <w:t>106,</w:t>
            </w:r>
            <w:r w:rsidRPr="00D8743C">
              <w:rPr>
                <w:rFonts w:ascii="Times New Roman" w:eastAsia="Calibri" w:hAnsi="Times New Roman" w:cs="Times New Roman"/>
                <w:sz w:val="20"/>
                <w:szCs w:val="20"/>
              </w:rPr>
              <w:t xml:space="preserve"> 54-70. </w:t>
            </w:r>
            <w:hyperlink r:id="rId669" w:history="1">
              <w:r w:rsidRPr="00D8743C">
                <w:rPr>
                  <w:rStyle w:val="Hyperlink"/>
                  <w:rFonts w:ascii="Times New Roman" w:eastAsia="Calibri" w:hAnsi="Times New Roman" w:cs="Times New Roman"/>
                  <w:sz w:val="20"/>
                  <w:szCs w:val="20"/>
                </w:rPr>
                <w:t>https://doi.org/10.1016/j.jip.2010.09.013</w:t>
              </w:r>
            </w:hyperlink>
            <w:r w:rsidRPr="00D8743C">
              <w:rPr>
                <w:rFonts w:ascii="Times New Roman" w:eastAsia="Calibri" w:hAnsi="Times New Roman" w:cs="Times New Roman"/>
                <w:sz w:val="20"/>
                <w:szCs w:val="20"/>
              </w:rPr>
              <w:t xml:space="preserve">. </w:t>
            </w:r>
          </w:p>
          <w:p w14:paraId="560F4279" w14:textId="77777777" w:rsidR="002D7080" w:rsidRPr="00D8743C" w:rsidRDefault="002D7080" w:rsidP="00D252EE">
            <w:pPr>
              <w:ind w:left="510" w:hanging="510"/>
              <w:contextualSpacing/>
              <w:jc w:val="both"/>
              <w:rPr>
                <w:rFonts w:ascii="Times New Roman" w:eastAsia="Calibri" w:hAnsi="Times New Roman" w:cs="Times New Roman"/>
                <w:sz w:val="20"/>
                <w:szCs w:val="20"/>
              </w:rPr>
            </w:pPr>
            <w:r w:rsidRPr="00D8743C">
              <w:rPr>
                <w:rFonts w:ascii="Times New Roman" w:eastAsia="Calibri" w:hAnsi="Times New Roman" w:cs="Times New Roman"/>
                <w:sz w:val="20"/>
                <w:szCs w:val="20"/>
              </w:rPr>
              <w:t xml:space="preserve">Matsuzaki, S.S., Usio, N., Takamura, N. &amp; Washitani, I., 2009, ‘Contrasting impacts of invasive engineers on freshwater ecosystems: An experiment and meta-analysis’, </w:t>
            </w:r>
            <w:r w:rsidRPr="00D8743C">
              <w:rPr>
                <w:rFonts w:ascii="Times New Roman" w:eastAsia="Calibri" w:hAnsi="Times New Roman" w:cs="Times New Roman"/>
                <w:i/>
                <w:sz w:val="20"/>
                <w:szCs w:val="20"/>
              </w:rPr>
              <w:t>Oecologia</w:t>
            </w:r>
            <w:r w:rsidRPr="00D8743C">
              <w:rPr>
                <w:rFonts w:ascii="Times New Roman" w:eastAsia="Calibri" w:hAnsi="Times New Roman" w:cs="Times New Roman"/>
                <w:sz w:val="20"/>
                <w:szCs w:val="20"/>
              </w:rPr>
              <w:t xml:space="preserve"> </w:t>
            </w:r>
            <w:r w:rsidRPr="00D8743C">
              <w:rPr>
                <w:rFonts w:ascii="Times New Roman" w:eastAsia="Calibri" w:hAnsi="Times New Roman" w:cs="Times New Roman"/>
                <w:bCs/>
                <w:sz w:val="20"/>
                <w:szCs w:val="20"/>
              </w:rPr>
              <w:t>158,</w:t>
            </w:r>
            <w:r w:rsidRPr="00D8743C">
              <w:rPr>
                <w:rFonts w:ascii="Times New Roman" w:eastAsia="Calibri" w:hAnsi="Times New Roman" w:cs="Times New Roman"/>
                <w:sz w:val="20"/>
                <w:szCs w:val="20"/>
              </w:rPr>
              <w:t xml:space="preserve"> 673-686. </w:t>
            </w:r>
            <w:hyperlink r:id="rId670" w:history="1">
              <w:r w:rsidRPr="00D8743C">
                <w:rPr>
                  <w:rStyle w:val="Hyperlink"/>
                  <w:rFonts w:ascii="Times New Roman" w:eastAsia="Calibri" w:hAnsi="Times New Roman" w:cs="Times New Roman"/>
                  <w:sz w:val="20"/>
                  <w:szCs w:val="20"/>
                </w:rPr>
                <w:t>https://doi.org/10.1007/s00442-008-1180-1</w:t>
              </w:r>
            </w:hyperlink>
            <w:r w:rsidRPr="00D8743C">
              <w:rPr>
                <w:rFonts w:ascii="Times New Roman" w:eastAsia="Calibri" w:hAnsi="Times New Roman" w:cs="Times New Roman"/>
                <w:sz w:val="20"/>
                <w:szCs w:val="20"/>
              </w:rPr>
              <w:t xml:space="preserve">. </w:t>
            </w:r>
          </w:p>
          <w:p w14:paraId="22760AC7" w14:textId="77777777" w:rsidR="002D7080" w:rsidRPr="00D8743C" w:rsidRDefault="002D7080" w:rsidP="00D252EE">
            <w:pPr>
              <w:ind w:left="510" w:hanging="510"/>
              <w:contextualSpacing/>
              <w:jc w:val="both"/>
              <w:rPr>
                <w:rFonts w:ascii="Times New Roman" w:eastAsia="Calibri" w:hAnsi="Times New Roman" w:cs="Times New Roman"/>
                <w:sz w:val="20"/>
                <w:szCs w:val="20"/>
              </w:rPr>
            </w:pPr>
            <w:r w:rsidRPr="00D8743C">
              <w:rPr>
                <w:rFonts w:ascii="Times New Roman" w:eastAsia="Calibri" w:hAnsi="Times New Roman" w:cs="Times New Roman"/>
                <w:sz w:val="20"/>
                <w:szCs w:val="20"/>
              </w:rPr>
              <w:t xml:space="preserve">McMahon, T.A., Brannelly, L.A., Chatfield, M.W., Johnson, P.T., Joseph, M.B., McKenzie, V.J., et al., 2013, ‘Chytrid fungus </w:t>
            </w:r>
            <w:r w:rsidRPr="00D8743C">
              <w:rPr>
                <w:rFonts w:ascii="Times New Roman" w:eastAsia="Calibri" w:hAnsi="Times New Roman" w:cs="Times New Roman"/>
                <w:i/>
                <w:sz w:val="20"/>
                <w:szCs w:val="20"/>
              </w:rPr>
              <w:t>Batrachochytrium dendrobatidis</w:t>
            </w:r>
            <w:r w:rsidRPr="00D8743C">
              <w:rPr>
                <w:rFonts w:ascii="Times New Roman" w:eastAsia="Calibri" w:hAnsi="Times New Roman" w:cs="Times New Roman"/>
                <w:sz w:val="20"/>
                <w:szCs w:val="20"/>
              </w:rPr>
              <w:t xml:space="preserve"> has non-amphibian hosts and releases chemicals that cause pathology in the absence of infection’, </w:t>
            </w:r>
            <w:r w:rsidRPr="00D8743C">
              <w:rPr>
                <w:rFonts w:ascii="Times New Roman" w:eastAsia="Calibri" w:hAnsi="Times New Roman" w:cs="Times New Roman"/>
                <w:i/>
                <w:sz w:val="20"/>
                <w:szCs w:val="20"/>
              </w:rPr>
              <w:t>Proceedings of the National Academy of Sciences of the United States of America</w:t>
            </w:r>
            <w:r w:rsidRPr="00D8743C">
              <w:rPr>
                <w:rFonts w:ascii="Times New Roman" w:eastAsia="Calibri" w:hAnsi="Times New Roman" w:cs="Times New Roman"/>
                <w:sz w:val="20"/>
                <w:szCs w:val="20"/>
              </w:rPr>
              <w:t xml:space="preserve"> </w:t>
            </w:r>
            <w:r w:rsidRPr="00D8743C">
              <w:rPr>
                <w:rFonts w:ascii="Times New Roman" w:eastAsia="Calibri" w:hAnsi="Times New Roman" w:cs="Times New Roman"/>
                <w:bCs/>
                <w:sz w:val="20"/>
                <w:szCs w:val="20"/>
              </w:rPr>
              <w:t>110,</w:t>
            </w:r>
            <w:r w:rsidRPr="00D8743C">
              <w:rPr>
                <w:rFonts w:ascii="Times New Roman" w:eastAsia="Calibri" w:hAnsi="Times New Roman" w:cs="Times New Roman"/>
                <w:b/>
                <w:sz w:val="20"/>
                <w:szCs w:val="20"/>
              </w:rPr>
              <w:t xml:space="preserve"> </w:t>
            </w:r>
            <w:r w:rsidRPr="00D8743C">
              <w:rPr>
                <w:rFonts w:ascii="Times New Roman" w:eastAsia="Calibri" w:hAnsi="Times New Roman" w:cs="Times New Roman"/>
                <w:sz w:val="20"/>
                <w:szCs w:val="20"/>
              </w:rPr>
              <w:t>210</w:t>
            </w:r>
            <w:r w:rsidRPr="00D8743C">
              <w:rPr>
                <w:rFonts w:ascii="Times New Roman" w:eastAsia="Times New Roman" w:hAnsi="Times New Roman" w:cs="Times New Roman"/>
                <w:color w:val="000000"/>
                <w:sz w:val="20"/>
                <w:szCs w:val="20"/>
                <w:lang w:eastAsia="en-ZA"/>
              </w:rPr>
              <w:t>–</w:t>
            </w:r>
            <w:r w:rsidRPr="00D8743C">
              <w:rPr>
                <w:rFonts w:ascii="Times New Roman" w:eastAsia="Calibri" w:hAnsi="Times New Roman" w:cs="Times New Roman"/>
                <w:sz w:val="20"/>
                <w:szCs w:val="20"/>
              </w:rPr>
              <w:t xml:space="preserve">215. </w:t>
            </w:r>
            <w:hyperlink r:id="rId671" w:history="1">
              <w:r w:rsidRPr="00D8743C">
                <w:rPr>
                  <w:rStyle w:val="Hyperlink"/>
                  <w:rFonts w:ascii="Times New Roman" w:eastAsia="Calibri" w:hAnsi="Times New Roman" w:cs="Times New Roman"/>
                  <w:sz w:val="20"/>
                  <w:szCs w:val="20"/>
                </w:rPr>
                <w:t>https://doi.org/10.1073/pnas.1200592110</w:t>
              </w:r>
            </w:hyperlink>
            <w:r w:rsidRPr="00D8743C">
              <w:rPr>
                <w:rFonts w:ascii="Times New Roman" w:eastAsia="Calibri" w:hAnsi="Times New Roman" w:cs="Times New Roman"/>
                <w:sz w:val="20"/>
                <w:szCs w:val="20"/>
              </w:rPr>
              <w:t xml:space="preserve">. </w:t>
            </w:r>
          </w:p>
          <w:p w14:paraId="25884092" w14:textId="77777777" w:rsidR="002D7080" w:rsidRPr="00D8743C" w:rsidRDefault="002D7080" w:rsidP="00D252EE">
            <w:pPr>
              <w:ind w:left="510" w:hanging="510"/>
              <w:contextualSpacing/>
              <w:jc w:val="both"/>
              <w:rPr>
                <w:rFonts w:ascii="Times New Roman" w:eastAsia="Calibri" w:hAnsi="Times New Roman" w:cs="Times New Roman"/>
                <w:sz w:val="20"/>
                <w:szCs w:val="20"/>
              </w:rPr>
            </w:pPr>
            <w:r w:rsidRPr="00D8743C">
              <w:rPr>
                <w:rFonts w:ascii="Times New Roman" w:eastAsia="Calibri" w:hAnsi="Times New Roman" w:cs="Times New Roman"/>
                <w:sz w:val="20"/>
                <w:szCs w:val="20"/>
              </w:rPr>
              <w:t>Rodríguez, C.F., Bécares, E. &amp; Fernández-Aláez, M., 2003, ‘Shift from clear to turbid phase in Lake Chozas (NW Spain) due to the introduction of American red swamp crayfish (</w:t>
            </w:r>
            <w:r w:rsidRPr="00D8743C">
              <w:rPr>
                <w:rFonts w:ascii="Times New Roman" w:eastAsia="Calibri" w:hAnsi="Times New Roman" w:cs="Times New Roman"/>
                <w:i/>
                <w:iCs/>
                <w:sz w:val="20"/>
                <w:szCs w:val="20"/>
              </w:rPr>
              <w:t>Procambarus clarkii</w:t>
            </w:r>
            <w:r w:rsidRPr="00D8743C">
              <w:rPr>
                <w:rFonts w:ascii="Times New Roman" w:eastAsia="Calibri" w:hAnsi="Times New Roman" w:cs="Times New Roman"/>
                <w:sz w:val="20"/>
                <w:szCs w:val="20"/>
              </w:rPr>
              <w:t xml:space="preserve">)’, </w:t>
            </w:r>
            <w:r w:rsidRPr="00D8743C">
              <w:rPr>
                <w:rFonts w:ascii="Times New Roman" w:eastAsia="Calibri" w:hAnsi="Times New Roman" w:cs="Times New Roman"/>
                <w:i/>
                <w:iCs/>
                <w:sz w:val="20"/>
                <w:szCs w:val="20"/>
              </w:rPr>
              <w:t xml:space="preserve">Hydrobiologia </w:t>
            </w:r>
            <w:r w:rsidRPr="00D8743C">
              <w:rPr>
                <w:rFonts w:ascii="Times New Roman" w:eastAsia="Calibri" w:hAnsi="Times New Roman" w:cs="Times New Roman"/>
                <w:bCs/>
                <w:sz w:val="20"/>
                <w:szCs w:val="20"/>
              </w:rPr>
              <w:t>506,</w:t>
            </w:r>
            <w:r w:rsidRPr="00D8743C">
              <w:rPr>
                <w:rFonts w:ascii="Times New Roman" w:eastAsia="Calibri" w:hAnsi="Times New Roman" w:cs="Times New Roman"/>
                <w:sz w:val="20"/>
                <w:szCs w:val="20"/>
              </w:rPr>
              <w:t xml:space="preserve"> 421-26. </w:t>
            </w:r>
            <w:hyperlink r:id="rId672" w:history="1">
              <w:r w:rsidRPr="00D8743C">
                <w:rPr>
                  <w:rStyle w:val="Hyperlink"/>
                  <w:rFonts w:ascii="Times New Roman" w:eastAsia="Calibri" w:hAnsi="Times New Roman" w:cs="Times New Roman"/>
                  <w:sz w:val="20"/>
                  <w:szCs w:val="20"/>
                </w:rPr>
                <w:t>https://doi.org/10.1023/B:HYDR.0000008626.07042.87</w:t>
              </w:r>
            </w:hyperlink>
            <w:r w:rsidRPr="00D8743C">
              <w:rPr>
                <w:rFonts w:ascii="Times New Roman" w:eastAsia="Calibri" w:hAnsi="Times New Roman" w:cs="Times New Roman"/>
                <w:sz w:val="20"/>
                <w:szCs w:val="20"/>
              </w:rPr>
              <w:t xml:space="preserve">. </w:t>
            </w:r>
          </w:p>
          <w:p w14:paraId="7721F76E" w14:textId="77777777" w:rsidR="002D7080" w:rsidRPr="00D8743C" w:rsidRDefault="002D7080" w:rsidP="00D252EE">
            <w:pPr>
              <w:autoSpaceDE w:val="0"/>
              <w:autoSpaceDN w:val="0"/>
              <w:adjustRightInd w:val="0"/>
              <w:ind w:left="510" w:hanging="510"/>
              <w:contextualSpacing/>
              <w:jc w:val="both"/>
              <w:rPr>
                <w:rFonts w:ascii="Times New Roman" w:eastAsia="Calibri" w:hAnsi="Times New Roman" w:cs="Times New Roman"/>
                <w:sz w:val="20"/>
                <w:szCs w:val="20"/>
              </w:rPr>
            </w:pPr>
            <w:r w:rsidRPr="00D8743C">
              <w:rPr>
                <w:rFonts w:ascii="Times New Roman" w:eastAsia="Calibri" w:hAnsi="Times New Roman" w:cs="Times New Roman"/>
                <w:sz w:val="20"/>
                <w:szCs w:val="20"/>
              </w:rPr>
              <w:t>Rosenthal, S.K., Lodge, D.M., Mavuti, K.M., Muohi, W., Ochieng, P., Mungai, B.N., et al., 2005, ‘Comparing macrophyte herbivory by introduced Louisiana crayfish (</w:t>
            </w:r>
            <w:r w:rsidRPr="00D8743C">
              <w:rPr>
                <w:rFonts w:ascii="Times New Roman" w:eastAsia="Calibri" w:hAnsi="Times New Roman" w:cs="Times New Roman"/>
                <w:i/>
                <w:iCs/>
                <w:sz w:val="20"/>
                <w:szCs w:val="20"/>
              </w:rPr>
              <w:t>Procambarus clarkii</w:t>
            </w:r>
            <w:r w:rsidRPr="00D8743C">
              <w:rPr>
                <w:rFonts w:ascii="Times New Roman" w:eastAsia="Calibri" w:hAnsi="Times New Roman" w:cs="Times New Roman"/>
                <w:sz w:val="20"/>
                <w:szCs w:val="20"/>
              </w:rPr>
              <w:t>) (Crustacea: Cambaridea) and native Dytiscid beetles (</w:t>
            </w:r>
            <w:r w:rsidRPr="00D8743C">
              <w:rPr>
                <w:rFonts w:ascii="Times New Roman" w:eastAsia="Calibri" w:hAnsi="Times New Roman" w:cs="Times New Roman"/>
                <w:i/>
                <w:iCs/>
                <w:sz w:val="20"/>
                <w:szCs w:val="20"/>
              </w:rPr>
              <w:t>Cybister tripunctatus</w:t>
            </w:r>
            <w:r w:rsidRPr="00D8743C">
              <w:rPr>
                <w:rFonts w:ascii="Times New Roman" w:eastAsia="Calibri" w:hAnsi="Times New Roman" w:cs="Times New Roman"/>
                <w:sz w:val="20"/>
                <w:szCs w:val="20"/>
              </w:rPr>
              <w:t xml:space="preserve">) (Coleoptera: Dytiscidae), in Kenya’, </w:t>
            </w:r>
            <w:r w:rsidRPr="00D8743C">
              <w:rPr>
                <w:rFonts w:ascii="Times New Roman" w:eastAsia="Calibri" w:hAnsi="Times New Roman" w:cs="Times New Roman"/>
                <w:i/>
                <w:iCs/>
                <w:sz w:val="20"/>
                <w:szCs w:val="20"/>
              </w:rPr>
              <w:t xml:space="preserve">African Journal of Aquatic Science </w:t>
            </w:r>
            <w:r w:rsidRPr="00D8743C">
              <w:rPr>
                <w:rFonts w:ascii="Times New Roman" w:eastAsia="Calibri" w:hAnsi="Times New Roman" w:cs="Times New Roman"/>
                <w:bCs/>
                <w:sz w:val="20"/>
                <w:szCs w:val="20"/>
              </w:rPr>
              <w:t>30,</w:t>
            </w:r>
            <w:r w:rsidRPr="00D8743C">
              <w:rPr>
                <w:rFonts w:ascii="Times New Roman" w:eastAsia="Calibri" w:hAnsi="Times New Roman" w:cs="Times New Roman"/>
                <w:sz w:val="20"/>
                <w:szCs w:val="20"/>
              </w:rPr>
              <w:t xml:space="preserve"> 157-62. </w:t>
            </w:r>
            <w:hyperlink r:id="rId673" w:history="1">
              <w:r w:rsidRPr="00D8743C">
                <w:rPr>
                  <w:rStyle w:val="Hyperlink"/>
                  <w:rFonts w:ascii="Times New Roman" w:eastAsia="Calibri" w:hAnsi="Times New Roman" w:cs="Times New Roman"/>
                  <w:sz w:val="20"/>
                  <w:szCs w:val="20"/>
                </w:rPr>
                <w:t>https://doi.org/10.2989/16085910509503850</w:t>
              </w:r>
            </w:hyperlink>
            <w:r w:rsidRPr="00D8743C">
              <w:rPr>
                <w:rFonts w:ascii="Times New Roman" w:eastAsia="Calibri" w:hAnsi="Times New Roman" w:cs="Times New Roman"/>
                <w:sz w:val="20"/>
                <w:szCs w:val="20"/>
              </w:rPr>
              <w:t xml:space="preserve">. </w:t>
            </w:r>
          </w:p>
          <w:p w14:paraId="26040EF2" w14:textId="567C1E47" w:rsidR="00392360" w:rsidRDefault="002D7080" w:rsidP="00D252EE">
            <w:pPr>
              <w:ind w:left="510" w:hanging="510"/>
              <w:contextualSpacing/>
              <w:jc w:val="both"/>
              <w:rPr>
                <w:rFonts w:ascii="Times New Roman" w:eastAsia="Calibri" w:hAnsi="Times New Roman" w:cs="Times New Roman"/>
                <w:sz w:val="20"/>
                <w:szCs w:val="20"/>
              </w:rPr>
            </w:pPr>
            <w:r w:rsidRPr="00D8743C">
              <w:rPr>
                <w:rFonts w:ascii="Times New Roman" w:eastAsia="Calibri" w:hAnsi="Times New Roman" w:cs="Times New Roman"/>
                <w:sz w:val="20"/>
                <w:szCs w:val="20"/>
              </w:rPr>
              <w:t xml:space="preserve">Souty-Grosset, C., Anastácio, P.M., Aquiloni, L., Banha, F., Choquer, J., Chucholl, C., et al. 2016. ‘The red swamp crayfish </w:t>
            </w:r>
            <w:r w:rsidRPr="00D8743C">
              <w:rPr>
                <w:rFonts w:ascii="Times New Roman" w:eastAsia="Calibri" w:hAnsi="Times New Roman" w:cs="Times New Roman"/>
                <w:i/>
                <w:sz w:val="20"/>
                <w:szCs w:val="20"/>
              </w:rPr>
              <w:t>Procambarus clarkii</w:t>
            </w:r>
            <w:r w:rsidRPr="00D8743C">
              <w:rPr>
                <w:rFonts w:ascii="Times New Roman" w:eastAsia="Calibri" w:hAnsi="Times New Roman" w:cs="Times New Roman"/>
                <w:sz w:val="20"/>
                <w:szCs w:val="20"/>
              </w:rPr>
              <w:t xml:space="preserve"> in Europe: Impacts on aquatic ecosystems and human well-being’,</w:t>
            </w:r>
            <w:r w:rsidRPr="00D8743C">
              <w:rPr>
                <w:rFonts w:ascii="Times New Roman" w:eastAsia="Calibri" w:hAnsi="Times New Roman" w:cs="Times New Roman"/>
                <w:i/>
                <w:sz w:val="20"/>
                <w:szCs w:val="20"/>
              </w:rPr>
              <w:t xml:space="preserve"> Limnologica</w:t>
            </w:r>
            <w:r w:rsidRPr="00D8743C">
              <w:rPr>
                <w:rFonts w:ascii="Times New Roman" w:eastAsia="Calibri" w:hAnsi="Times New Roman" w:cs="Times New Roman"/>
                <w:sz w:val="20"/>
                <w:szCs w:val="20"/>
              </w:rPr>
              <w:t xml:space="preserve"> </w:t>
            </w:r>
            <w:r w:rsidRPr="00D8743C">
              <w:rPr>
                <w:rFonts w:ascii="Times New Roman" w:eastAsia="Calibri" w:hAnsi="Times New Roman" w:cs="Times New Roman"/>
                <w:bCs/>
                <w:sz w:val="20"/>
                <w:szCs w:val="20"/>
              </w:rPr>
              <w:t>58,</w:t>
            </w:r>
            <w:r w:rsidRPr="00D8743C">
              <w:rPr>
                <w:rFonts w:ascii="Times New Roman" w:eastAsia="Calibri" w:hAnsi="Times New Roman" w:cs="Times New Roman"/>
                <w:sz w:val="20"/>
                <w:szCs w:val="20"/>
              </w:rPr>
              <w:t xml:space="preserve"> 78-93. </w:t>
            </w:r>
            <w:hyperlink r:id="rId674" w:history="1">
              <w:r w:rsidR="00392360" w:rsidRPr="00392360">
                <w:rPr>
                  <w:rStyle w:val="Hyperlink"/>
                  <w:rFonts w:ascii="Times New Roman" w:hAnsi="Times New Roman" w:cs="Times New Roman"/>
                  <w:sz w:val="20"/>
                  <w:szCs w:val="20"/>
                </w:rPr>
                <w:t>https://doi.org/10.1016/j.limno.2016.03.003</w:t>
              </w:r>
            </w:hyperlink>
            <w:r w:rsidR="00392360">
              <w:rPr>
                <w:rFonts w:ascii="Times New Roman" w:eastAsia="Calibri" w:hAnsi="Times New Roman" w:cs="Times New Roman"/>
                <w:sz w:val="20"/>
                <w:szCs w:val="20"/>
              </w:rPr>
              <w:t>.</w:t>
            </w:r>
          </w:p>
          <w:p w14:paraId="37F29D90" w14:textId="75E324B4" w:rsidR="002D7080" w:rsidRPr="004D1E6F" w:rsidRDefault="002D7080" w:rsidP="00D252EE">
            <w:pPr>
              <w:ind w:left="510" w:hanging="510"/>
              <w:contextualSpacing/>
              <w:jc w:val="both"/>
              <w:rPr>
                <w:rFonts w:ascii="Times New Roman" w:eastAsia="Times New Roman" w:hAnsi="Times New Roman" w:cs="Times New Roman"/>
                <w:sz w:val="20"/>
                <w:szCs w:val="20"/>
                <w:lang w:eastAsia="en-ZA"/>
              </w:rPr>
            </w:pPr>
            <w:r w:rsidRPr="00D8743C">
              <w:rPr>
                <w:rFonts w:ascii="Times New Roman" w:eastAsia="Calibri" w:hAnsi="Times New Roman" w:cs="Times New Roman"/>
                <w:sz w:val="20"/>
                <w:szCs w:val="20"/>
              </w:rPr>
              <w:t xml:space="preserve">Yamamoto, Y., 2010, ‘Contribution of bioturbation by the red swamp crayfish </w:t>
            </w:r>
            <w:r w:rsidRPr="00D8743C">
              <w:rPr>
                <w:rFonts w:ascii="Times New Roman" w:eastAsia="Calibri" w:hAnsi="Times New Roman" w:cs="Times New Roman"/>
                <w:i/>
                <w:sz w:val="20"/>
                <w:szCs w:val="20"/>
              </w:rPr>
              <w:t>Procambarus clarkii</w:t>
            </w:r>
            <w:r w:rsidRPr="00D8743C">
              <w:rPr>
                <w:rFonts w:ascii="Times New Roman" w:eastAsia="Calibri" w:hAnsi="Times New Roman" w:cs="Times New Roman"/>
                <w:sz w:val="20"/>
                <w:szCs w:val="20"/>
              </w:rPr>
              <w:t xml:space="preserve"> to the recruitment of bloom-forming cyanobacteria from sediment’, </w:t>
            </w:r>
            <w:r w:rsidRPr="00D8743C">
              <w:rPr>
                <w:rFonts w:ascii="Times New Roman" w:eastAsia="Calibri" w:hAnsi="Times New Roman" w:cs="Times New Roman"/>
                <w:i/>
                <w:sz w:val="20"/>
                <w:szCs w:val="20"/>
              </w:rPr>
              <w:t>Journal of Limnology</w:t>
            </w:r>
            <w:r w:rsidRPr="00D8743C">
              <w:rPr>
                <w:rFonts w:ascii="Times New Roman" w:eastAsia="Calibri" w:hAnsi="Times New Roman" w:cs="Times New Roman"/>
                <w:sz w:val="20"/>
                <w:szCs w:val="20"/>
              </w:rPr>
              <w:t xml:space="preserve"> </w:t>
            </w:r>
            <w:r w:rsidRPr="00D8743C">
              <w:rPr>
                <w:rFonts w:ascii="Times New Roman" w:eastAsia="Calibri" w:hAnsi="Times New Roman" w:cs="Times New Roman"/>
                <w:bCs/>
                <w:sz w:val="20"/>
                <w:szCs w:val="20"/>
              </w:rPr>
              <w:t>69,</w:t>
            </w:r>
            <w:r w:rsidRPr="00D8743C">
              <w:rPr>
                <w:rFonts w:ascii="Times New Roman" w:eastAsia="Calibri" w:hAnsi="Times New Roman" w:cs="Times New Roman"/>
                <w:sz w:val="20"/>
                <w:szCs w:val="20"/>
              </w:rPr>
              <w:t xml:space="preserve"> 102- 111. </w:t>
            </w:r>
            <w:hyperlink r:id="rId675" w:tgtFrame="_blank" w:history="1">
              <w:r w:rsidRPr="00D8743C">
                <w:rPr>
                  <w:rStyle w:val="Hyperlink"/>
                  <w:rFonts w:ascii="Times New Roman" w:eastAsia="Calibri" w:hAnsi="Times New Roman" w:cs="Times New Roman"/>
                  <w:sz w:val="20"/>
                  <w:szCs w:val="20"/>
                </w:rPr>
                <w:t>https://doi.org/10.4081/jlimnol.2010.102</w:t>
              </w:r>
            </w:hyperlink>
          </w:p>
        </w:tc>
      </w:tr>
    </w:tbl>
    <w:p w14:paraId="42BED449" w14:textId="77777777" w:rsidR="002D7080" w:rsidRPr="004D1E6F" w:rsidRDefault="002D7080" w:rsidP="002D7080">
      <w:pPr>
        <w:spacing w:after="0"/>
        <w:jc w:val="both"/>
        <w:rPr>
          <w:rFonts w:ascii="Times New Roman" w:eastAsia="Times New Roman" w:hAnsi="Times New Roman" w:cs="Times New Roman"/>
          <w:sz w:val="20"/>
          <w:szCs w:val="20"/>
          <w:lang w:eastAsia="en-ZA"/>
        </w:rPr>
      </w:pPr>
    </w:p>
    <w:tbl>
      <w:tblPr>
        <w:tblStyle w:val="TableGrid"/>
        <w:tblW w:w="0" w:type="auto"/>
        <w:tblLook w:val="04A0" w:firstRow="1" w:lastRow="0" w:firstColumn="1" w:lastColumn="0" w:noHBand="0" w:noVBand="1"/>
      </w:tblPr>
      <w:tblGrid>
        <w:gridCol w:w="5949"/>
        <w:gridCol w:w="3067"/>
      </w:tblGrid>
      <w:tr w:rsidR="002D7080" w:rsidRPr="004D1E6F" w14:paraId="7277E10E" w14:textId="77777777" w:rsidTr="002E2C37">
        <w:trPr>
          <w:trHeight w:val="343"/>
        </w:trPr>
        <w:tc>
          <w:tcPr>
            <w:tcW w:w="9016" w:type="dxa"/>
            <w:gridSpan w:val="2"/>
            <w:shd w:val="clear" w:color="auto" w:fill="F2F2F2" w:themeFill="background1" w:themeFillShade="F2"/>
          </w:tcPr>
          <w:p w14:paraId="2DE2D7A7" w14:textId="77777777" w:rsidR="002D7080" w:rsidRPr="004D1E6F" w:rsidRDefault="002D7080" w:rsidP="002E2C37">
            <w:pPr>
              <w:rPr>
                <w:rFonts w:ascii="Times New Roman" w:hAnsi="Times New Roman" w:cs="Times New Roman"/>
                <w:sz w:val="20"/>
                <w:szCs w:val="20"/>
              </w:rPr>
            </w:pPr>
            <w:r w:rsidRPr="004D1E6F">
              <w:rPr>
                <w:rFonts w:ascii="Times New Roman" w:eastAsia="Times New Roman" w:hAnsi="Times New Roman" w:cs="Times New Roman"/>
                <w:b/>
                <w:sz w:val="20"/>
                <w:szCs w:val="20"/>
                <w:lang w:eastAsia="en-ZA"/>
              </w:rPr>
              <w:lastRenderedPageBreak/>
              <w:t>CON4 Closely related species’ socio-economic impact</w:t>
            </w:r>
          </w:p>
        </w:tc>
      </w:tr>
      <w:tr w:rsidR="002D7080" w:rsidRPr="004D1E6F" w14:paraId="26F0FD83" w14:textId="77777777" w:rsidTr="002E2C37">
        <w:trPr>
          <w:trHeight w:val="172"/>
        </w:trPr>
        <w:tc>
          <w:tcPr>
            <w:tcW w:w="5949" w:type="dxa"/>
          </w:tcPr>
          <w:p w14:paraId="7C01C98C"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Moderate (MO)</w:t>
            </w:r>
          </w:p>
        </w:tc>
        <w:tc>
          <w:tcPr>
            <w:tcW w:w="3067" w:type="dxa"/>
          </w:tcPr>
          <w:p w14:paraId="6B9DFC9D"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Confidence: Medium</w:t>
            </w:r>
          </w:p>
        </w:tc>
      </w:tr>
      <w:tr w:rsidR="002D7080" w:rsidRPr="004D1E6F" w14:paraId="4E950F51" w14:textId="77777777" w:rsidTr="002E2C37">
        <w:trPr>
          <w:trHeight w:val="70"/>
        </w:trPr>
        <w:tc>
          <w:tcPr>
            <w:tcW w:w="9016" w:type="dxa"/>
            <w:gridSpan w:val="2"/>
          </w:tcPr>
          <w:p w14:paraId="063A426A" w14:textId="5A92F27F"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 xml:space="preserve">Rationale: There are no recorded socio-economic impacts for </w:t>
            </w:r>
            <w:r w:rsidR="00A91441">
              <w:rPr>
                <w:rFonts w:ascii="Times New Roman" w:eastAsia="Times New Roman" w:hAnsi="Times New Roman" w:cs="Times New Roman"/>
                <w:i/>
                <w:iCs/>
                <w:sz w:val="20"/>
                <w:szCs w:val="20"/>
                <w:lang w:eastAsia="en-ZA"/>
              </w:rPr>
              <w:t>P. virginalis</w:t>
            </w:r>
            <w:r w:rsidRPr="004D1E6F">
              <w:rPr>
                <w:rFonts w:ascii="Times New Roman" w:eastAsia="Times New Roman" w:hAnsi="Times New Roman" w:cs="Times New Roman"/>
                <w:sz w:val="20"/>
                <w:szCs w:val="20"/>
                <w:lang w:eastAsia="en-ZA"/>
              </w:rPr>
              <w:t xml:space="preserve">, therefore </w:t>
            </w:r>
            <w:r w:rsidRPr="004D1E6F">
              <w:rPr>
                <w:rFonts w:ascii="Times New Roman" w:eastAsia="Times New Roman" w:hAnsi="Times New Roman" w:cs="Times New Roman"/>
                <w:i/>
                <w:iCs/>
                <w:sz w:val="20"/>
                <w:szCs w:val="20"/>
                <w:lang w:eastAsia="en-ZA"/>
              </w:rPr>
              <w:t xml:space="preserve">Procambarus clarkii </w:t>
            </w:r>
            <w:r w:rsidRPr="004D1E6F">
              <w:rPr>
                <w:rFonts w:ascii="Times New Roman" w:eastAsia="Times New Roman" w:hAnsi="Times New Roman" w:cs="Times New Roman"/>
                <w:sz w:val="20"/>
                <w:szCs w:val="20"/>
                <w:lang w:eastAsia="en-ZA"/>
              </w:rPr>
              <w:t xml:space="preserve">was selected as a closely related taxon to estimate the environmental impacts that may arise from introductions of </w:t>
            </w:r>
            <w:r w:rsidR="00A91441">
              <w:rPr>
                <w:rFonts w:ascii="Times New Roman" w:eastAsia="Times New Roman" w:hAnsi="Times New Roman" w:cs="Times New Roman"/>
                <w:i/>
                <w:iCs/>
                <w:sz w:val="20"/>
                <w:szCs w:val="20"/>
                <w:lang w:eastAsia="en-ZA"/>
              </w:rPr>
              <w:t>P. virginalis</w:t>
            </w:r>
            <w:r w:rsidRPr="004D1E6F">
              <w:rPr>
                <w:rFonts w:ascii="Times New Roman" w:eastAsia="Times New Roman" w:hAnsi="Times New Roman" w:cs="Times New Roman"/>
                <w:sz w:val="20"/>
                <w:szCs w:val="20"/>
                <w:lang w:eastAsia="en-ZA"/>
              </w:rPr>
              <w:t>.</w:t>
            </w:r>
          </w:p>
          <w:p w14:paraId="04129C5A" w14:textId="77777777" w:rsidR="002D7080" w:rsidRPr="004D1E6F" w:rsidRDefault="002D7080" w:rsidP="002E2C37">
            <w:pPr>
              <w:jc w:val="both"/>
              <w:rPr>
                <w:rFonts w:ascii="Times New Roman" w:eastAsia="Times New Roman" w:hAnsi="Times New Roman" w:cs="Times New Roman"/>
                <w:sz w:val="20"/>
                <w:szCs w:val="20"/>
                <w:lang w:eastAsia="en-ZA"/>
              </w:rPr>
            </w:pPr>
          </w:p>
          <w:p w14:paraId="5904D2E1"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often inhabits agricultural fields in which burrowing activities cause damage to infrastructure (i.e., irrigation canals and dam walls) (</w:t>
            </w:r>
            <w:r w:rsidRPr="004D1E6F">
              <w:rPr>
                <w:rFonts w:ascii="Times New Roman" w:eastAsia="Calibri" w:hAnsi="Times New Roman" w:cs="Times New Roman"/>
                <w:sz w:val="20"/>
                <w:szCs w:val="20"/>
              </w:rPr>
              <w:t xml:space="preserve">Arce &amp; Diéguez-Uribeondo 2015; </w:t>
            </w:r>
            <w:r w:rsidRPr="004D1E6F">
              <w:rPr>
                <w:rFonts w:ascii="Times New Roman" w:eastAsia="Times New Roman" w:hAnsi="Times New Roman" w:cs="Times New Roman"/>
                <w:color w:val="000000"/>
                <w:sz w:val="20"/>
                <w:szCs w:val="20"/>
                <w:lang w:eastAsia="en-ZA"/>
              </w:rPr>
              <w:t>Lodge et al. 2012</w:t>
            </w:r>
            <w:r w:rsidRPr="004D1E6F">
              <w:rPr>
                <w:rFonts w:ascii="Times New Roman" w:eastAsia="Calibri" w:hAnsi="Times New Roman" w:cs="Times New Roman"/>
                <w:sz w:val="20"/>
                <w:szCs w:val="20"/>
              </w:rPr>
              <w:t>)</w:t>
            </w:r>
            <w:r w:rsidRPr="004D1E6F">
              <w:rPr>
                <w:rFonts w:ascii="Times New Roman" w:eastAsia="Times New Roman" w:hAnsi="Times New Roman" w:cs="Times New Roman"/>
                <w:color w:val="000000"/>
                <w:sz w:val="20"/>
                <w:szCs w:val="20"/>
                <w:lang w:eastAsia="en-ZA"/>
              </w:rPr>
              <w:t xml:space="preserve">, and alters soil hydrology leading to water loss. Grazing causes crop damage and reduces crop yield (Anastácio et al. 2005; Arce &amp; Diéguez-Uribeondo 2015). For example in Europe, </w:t>
            </w:r>
            <w:r w:rsidRPr="004D1E6F">
              <w:rPr>
                <w:rFonts w:ascii="Times New Roman" w:eastAsia="Times New Roman" w:hAnsi="Times New Roman" w:cs="Times New Roman"/>
                <w:i/>
                <w:color w:val="000000"/>
                <w:sz w:val="20"/>
                <w:szCs w:val="20"/>
                <w:lang w:eastAsia="en-ZA"/>
              </w:rPr>
              <w:t>P. clarkii</w:t>
            </w:r>
            <w:r w:rsidRPr="004D1E6F">
              <w:rPr>
                <w:rFonts w:ascii="Times New Roman" w:eastAsia="Times New Roman" w:hAnsi="Times New Roman" w:cs="Times New Roman"/>
                <w:color w:val="000000"/>
                <w:sz w:val="20"/>
                <w:szCs w:val="20"/>
                <w:lang w:eastAsia="en-ZA"/>
              </w:rPr>
              <w:t xml:space="preserve"> affects rice production through water loss, damage to rice field banks and ditches, direct consumption of rice seed and plants, and clogging of pipes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"ITEM-1",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"(Souty-grosset et al. 2016)", "plainTextFormattedCitation" : "(Souty-grosset et al. 2016)", "previouslyFormattedCitation" :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(Anastácio et al. 2005; 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iCs/>
                <w:color w:val="000000"/>
                <w:sz w:val="20"/>
                <w:szCs w:val="20"/>
                <w:lang w:eastAsia="en-ZA"/>
              </w:rPr>
              <w:t xml:space="preserve">Procambarus clarkii </w:t>
            </w:r>
            <w:r w:rsidRPr="004D1E6F">
              <w:rPr>
                <w:rFonts w:ascii="Times New Roman" w:eastAsia="Times New Roman" w:hAnsi="Times New Roman" w:cs="Times New Roman"/>
                <w:color w:val="000000"/>
                <w:sz w:val="20"/>
                <w:szCs w:val="20"/>
                <w:lang w:eastAsia="en-ZA"/>
              </w:rPr>
              <w:t>also damages gill nets and spoils fish caught in nets (Gherardi et al. 2011).</w:t>
            </w:r>
          </w:p>
          <w:p w14:paraId="291AE5B2"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p>
          <w:p w14:paraId="07EA9CF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bio-accumulates toxins and metals from the environment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"10.1016/j.biocon.2011.07.020", "author" : [ { "dropping-particle" : "", "family" : "Gherardi", "given" : "Francesca", "non-dropping-particle" : "", "parse-names" : false, "suffix" : "" }, { "dropping-particle" : "", "family" : "Britton", "given" : "J Robert", "non-dropping-particle" : "", "parse-names" : false, "suffix" : "" }, { "dropping-particle" : "", "family" : "Mavuti", "given" : "Kenneth M", "non-dropping-particle" : "", "parse-names" : false, "suffix" : "" }, { "dropping-particle" : "", "family" : "Pacini", "given" : "Nic", "non-dropping-particle" : "", "parse-names" : false, "suffix" : "" }, { "dropping-particle" : "", "family" : "Grey", "given" : "Jonathan", "non-dropping-particle" : "", "parse-names" : false, "suffix" : "" }, { "dropping-particle" : "", "family" : "Tricarico", "given" : "Elena", "non-dropping-particle" : "", "parse-names" : false, "suffix" : "" }, { "dropping-particle" : "", "family" : "Harper", "given" : "David M", "non-dropping-particle" : "", "parse-names" : false, "suffix" : "" } ], "id" : "ITEM-1", "issued" : { "date-parts" : [ [ "2011" ] ] }, "page" : "2585-2596", "publisher" : "Elsevier Ltd", "title" : "A review of allodiversity in Lake Naivasha , Kenya : Developing conservation actions to protect East African lakes from the negative impacts of alien species", "type" : "article-journal", "volume" : "144" }, "uris" : [ "http://www.mendeley.com/documents/?uuid=05c95c37-42e0-4b2c-a818-0f1c7fd1a239" ] }, { "id" : "ITEM-2", "itemData" : { "author" : [ { "dropping-particle" : "", "family" : "Souty-grosset", "given" : "Catherine", "non-dropping-particle" : "", "parse-names"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"(Gherardi et al. 2011, Souty-grosset et al. 2016)", "plainTextFormattedCitation" : "(Gherardi et al. 2011, Souty-grosset et al. 2016)", "previouslyFormattedCitation" : "(Gherardi et al. 2011, Souty-grosset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(Alcorlo  et al. 2016; Gherardi et al. 2002; Souty-Grosset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which are often harmful. These toxins and metals can be transferred to higher food web levels through the consumption of affected crayfish by humans and predators such as otters, birds, and fish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"10.1146/annurev-ecolsys-111511-103919", "ISBN" : "1543-592X\\r978-0-8243-1443-9", "ISSN" : "1543-592X", "abstract" : "Impacts of nonindigenous crayfishes on ecosystem services exemplify the mixture of positive and negative effects of intentionally introduced species. Global introductions for aquaculture and ornamental purposes have begun to homogenize naturally disjunct global distributions of crayfish families. Negative impacts include the loss of provisioning (e.g., reductions in edible native species, reproductive interference or hybridization with native crayfishes), regulatory (e.g., lethal disease spread, increased costs to agriculture and water management), supporting (e.g., large changes in ecological communities), and cultural (e.g., loss of festivals celebrating native crayfish) services. Where quantification of impacts exists (e.g., Procambarus clarkii and Pacifastacus leniusculus in Europe), regulations now prohibit introduction and spread of crayfishes, indicating that losses of ecosystem services have outweighed gains. Recent research advances such as predicting invasiveness, predicting spread, improved detection and control, and bioeconomic analysis to increase cost-effectiveness of management could be employed to reduce future losses of ecosystem services.", "author" : [ { "dropping-particle" : "", "family" : "Lodge", "given" : "David M.", "non-dropping-particle" : "", "parse-names" : false, "suffix" : "" }, { "dropping-particle" : "", "family" : "Deines", "given" : "Andrew", "non-dropping-particle" : "", "parse-names" : false, "suffix" : "" }, { "dropping-particle" : "", "family" : "Gherardi", "given" : "Francesca", "non-dropping-particle" : "", "parse-names" : false, "suffix" : "" }, { "dropping-particle" : "", "family" : "Yeo", "given" : "Darren C.J.", "non-dropping-particle" : "", "parse-names" : false, "suffix" : "" }, { "dropping-particle" : "", "family" : "Arcella", "given" : "Tracy", "non-dropping-particle" : "", "parse-names" : false, "suffix" : "" }, { "dropping-particle" : "", "family" : "Baldridge", "given" : "Ashley K.", "non-dropping-particle" : "", "parse-names" : false, "suffix" : "" }, { "dropping-particle" : "", "family" : "Barnes", "given" : "Matthew A.", "non-dropping-particle" : "", "parse-names" : false, "suffix" : "" }, { "dropping-particle" : "", "family" : "Chadderton", "given" : "W. Lindsay", "non-dropping-particle" : "", "parse-names" : false, "suffix" : "" }, { "dropping-particle" : "", "family" : "Feder", "given" : "Jeffrey L.", "non-dropping-particle" : "", "parse-names" : false, "suffix" : "" }, { "dropping-particle" : "", "family" : "Gantz", "given" : "Crysta A.", "non-dropping-particle" : "", "parse-names" : false, "suffix" : "" }, { "dropping-particle" : "", "family" : "Howard", "given" : "Geoffrey W.", "non-dropping-particle" : "", "parse-names" : false, "suffix" : "" }, { "dropping-particle" : "", "family" : "Jerde", "given" : "Christopher L.", "non-dropping-particle" : "", "parse-names" : false, "suffix" : "" }, { "dropping-particle" : "", "family" : "Peters", "given" : "Brett W.", "non-dropping-particle" : "", "parse-names" : false, "suffix" : "" }, { "dropping-particle" : "", "family" : "Peters", "given" : "Jody A.", "non-dropping-particle" : "", "parse-names" : false, "suffix" : "" }, { "dropping-particle" : "", "family" : "Sargent", "given" : "Lindsey W.", "non-dropping-particle" : "", "parse-names" : false, "suffix" : "" }, { "dropping-particle" : "", "family" : "Turner", "given" : "Cameron R.", "non-dropping-particle" : "", "parse-names" : false, "suffix" : "" }, { "dropping-particle" : "", "family" : "Wittmann", "given" : "Marion E.", "non-dropping-particle" : "", "parse-names" : false, "suffix" : "" }, { "dropping-particle" : "", "family" : "Zeng", "given" : "Yiwen", "non-dropping-particle" : "", "parse-names" : false, "suffix" : "" } ], "container-title" : "Annual Review of Ecology, Evolution, and Systematics", "id" : "ITEM-1", "issue" : "1", "issued" : { "date-parts" : [ [ "2012" ] ] }, "page" : "449-472", "title" : "Global Introductions of Crayfishes: Evaluating the Impact of Species Invasions on Ecosystem Services", "type" : "article-journal", "volume" : "43" }, "uris" : [ "http://www.mendeley.com/documents/?uuid=9c72c438-e7a8-4248-b05a-2e8f1c12e544" ] }, { "id" : "ITEM-2", "itemData" : { "DOI" : "10.1016/j.biocon.2011.07.020", "author" : [ { "dropping-particle" : "", "family" : "Gherardi", "given" : "Francesca", "non-dropping-particle" : "", "parse-names" : false, "suffix" : "" }, { "dropping-particle" : "", "family" : "Britton", "given" : "J Robert", "non-dropping-particle" : "", "parse-names" : false, "suffix" : "" }, { "dropping-particle" : "", "family" : "Mavuti", "given" : "Kenneth M", "non-dropping-particle" : "", "parse-names" : false, "suffix" : "" }, { "dropping-particle" : "", "family" : "Pacini", "given" : "Nic", "non-dropping-particle" : "", "parse-names" : false, "suffix" : "" }, { "dropping-particle" : "", "family" : "Grey", "given" : "Jonathan", "non-dropping-particle" : "", "parse-names" : false, "suffix" : "" }, { "dropping-particle" : "", "family" : "Tricarico", "given" : "Elena", "non-dropping-particle" : "", "parse-names" : false, "suffix" : "" }, { "dropping-particle" : "", "family" : "Harper", "given" : "David M", "non-dropping-particle" : "", "parse-names" : false, "suffix" : "" } ], "id" : "ITEM-2", "issued" : { "date-parts" : [ [ "2011" ] ] }, "page" : "2585-2596", "publisher" : "Elsevier Ltd", "title" : "A review of allodiversity in Lake Naivasha , Kenya : Developing conservation actions to protect East African lakes from the negative impacts of alien species", "type" : "article-journal", "volume" : "144" }, "uris" : [ "http://www.mendeley.com/documents/?uuid=05c95c37-42e0-4b2c-a818-0f1c7fd1a239" ] } ], "mendeley" : { "formattedCitation" : "(Gherardi et al. 2011, Lodge et al. 2012)", "plainTextFormattedCitation" : "(Gherardi et al. 2011, Lodge et al. 2012)", "previouslyFormattedCitation" : "(Gherardi et al. 2011, Lodge et al. 2012)"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(Anda et al. 2001; Gherardi et al. 2011; Lodge et al. 2012)</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Calibri" w:hAnsi="Times New Roman" w:cs="Times New Roman"/>
                <w:sz w:val="20"/>
                <w:szCs w:val="20"/>
              </w:rPr>
              <w:t>is a vector for several parasites and diseases including the parasitic fluke flatworms (</w:t>
            </w:r>
            <w:r w:rsidRPr="004D1E6F">
              <w:rPr>
                <w:rFonts w:ascii="Times New Roman" w:eastAsia="Calibri" w:hAnsi="Times New Roman" w:cs="Times New Roman"/>
                <w:i/>
                <w:sz w:val="20"/>
                <w:szCs w:val="20"/>
              </w:rPr>
              <w:t>Paragonimus</w:t>
            </w:r>
            <w:r w:rsidRPr="004D1E6F">
              <w:rPr>
                <w:rFonts w:ascii="Times New Roman" w:eastAsia="Calibri" w:hAnsi="Times New Roman" w:cs="Times New Roman"/>
                <w:sz w:val="20"/>
                <w:szCs w:val="20"/>
              </w:rPr>
              <w:t xml:space="preserve"> spp.) that causes lung fluke disease in humans, tularemia-causing bacterium </w:t>
            </w:r>
            <w:r w:rsidRPr="004D1E6F">
              <w:rPr>
                <w:rFonts w:ascii="Times New Roman" w:eastAsia="Calibri" w:hAnsi="Times New Roman" w:cs="Times New Roman"/>
                <w:i/>
                <w:sz w:val="20"/>
                <w:szCs w:val="20"/>
              </w:rPr>
              <w:t>Francisella tularensis</w:t>
            </w:r>
            <w:r w:rsidRPr="004D1E6F">
              <w:rPr>
                <w:rFonts w:ascii="Times New Roman" w:eastAsia="Calibri" w:hAnsi="Times New Roman" w:cs="Times New Roman"/>
                <w:sz w:val="20"/>
                <w:szCs w:val="20"/>
              </w:rPr>
              <w:t xml:space="preserve">, rat lungworm </w:t>
            </w:r>
            <w:r w:rsidRPr="004D1E6F">
              <w:rPr>
                <w:rFonts w:ascii="Times New Roman" w:eastAsia="Calibri" w:hAnsi="Times New Roman" w:cs="Times New Roman"/>
                <w:i/>
                <w:sz w:val="20"/>
                <w:szCs w:val="20"/>
              </w:rPr>
              <w:t>Angiostrongylus cantonensis</w:t>
            </w:r>
            <w:r w:rsidRPr="004D1E6F">
              <w:rPr>
                <w:rFonts w:ascii="Times New Roman" w:eastAsia="Calibri" w:hAnsi="Times New Roman" w:cs="Times New Roman"/>
                <w:sz w:val="20"/>
                <w:szCs w:val="20"/>
              </w:rPr>
              <w:t xml:space="preserve"> that causes meningitis, and the nematode </w:t>
            </w:r>
            <w:r w:rsidRPr="004D1E6F">
              <w:rPr>
                <w:rFonts w:ascii="Times New Roman" w:eastAsia="Calibri" w:hAnsi="Times New Roman" w:cs="Times New Roman"/>
                <w:i/>
                <w:sz w:val="20"/>
                <w:szCs w:val="20"/>
              </w:rPr>
              <w:t>Gnathostoma spinigerum</w:t>
            </w:r>
            <w:r w:rsidRPr="004D1E6F">
              <w:rPr>
                <w:rFonts w:ascii="Times New Roman" w:eastAsia="Calibri" w:hAnsi="Times New Roman" w:cs="Times New Roman"/>
                <w:sz w:val="20"/>
                <w:szCs w:val="20"/>
              </w:rPr>
              <w:t xml:space="preserve"> that causes human gnathostomiasis </w:t>
            </w:r>
            <w:r w:rsidRPr="004D1E6F">
              <w:rPr>
                <w:rFonts w:ascii="Times New Roman" w:eastAsia="Calibri" w:hAnsi="Times New Roman" w:cs="Times New Roman"/>
                <w:sz w:val="20"/>
                <w:szCs w:val="20"/>
              </w:rPr>
              <w:fldChar w:fldCharType="begin" w:fldLock="1"/>
            </w:r>
            <w:r w:rsidRPr="004D1E6F">
              <w:rPr>
                <w:rFonts w:ascii="Times New Roman" w:eastAsia="Calibri" w:hAnsi="Times New Roman" w:cs="Times New Roman"/>
                <w:sz w:val="20"/>
                <w:szCs w:val="20"/>
              </w:rPr>
              <w:instrText>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"author" : [ { "dropping-particle" : "", "family" : "Souty-grosset", "given" : "Catherine", "non-dropping-particle" : "", "parse-names" : false, "suffix" : "" }, { "dropping-particle" : "", "family" : "Manuel", "given" : "Pedro", "non-dropping-particle" : "", "parse-names" : false, "suffix" : "" }, { "dropping-particle" : "", "family" : "Aquilo</w:instrText>
            </w:r>
            <w:r w:rsidRPr="00360AC0">
              <w:rPr>
                <w:rFonts w:ascii="Times New Roman" w:eastAsia="Calibri" w:hAnsi="Times New Roman" w:cs="Times New Roman"/>
                <w:sz w:val="20"/>
                <w:szCs w:val="20"/>
                <w:lang w:val="fr-FR"/>
              </w:rPr>
              <w:instrText>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"(de Moor 2002, Souty-grosset et al. 2016)", "manualFormatting" : "(de Moor 2002, Souty-grosset et al. 2016, Putra et al. 2017)", "plainTextFormattedCitation" : "(de Moor 2002, Souty-grosset et al. 2016)", "previouslyFormattedCitation" : "(de Moor 2002, Souty-grosset et al. 2016)" }, "properties" : { "noteIndex" : 0 }, "schema" : "https://github.com/citation-style-language/schema/raw/master/csl-citation.json" }</w:instrText>
            </w:r>
            <w:r w:rsidRPr="004D1E6F">
              <w:rPr>
                <w:rFonts w:ascii="Times New Roman" w:eastAsia="Calibri" w:hAnsi="Times New Roman" w:cs="Times New Roman"/>
                <w:sz w:val="20"/>
                <w:szCs w:val="20"/>
              </w:rPr>
              <w:fldChar w:fldCharType="separate"/>
            </w:r>
            <w:r w:rsidRPr="00360AC0">
              <w:rPr>
                <w:rFonts w:ascii="Times New Roman" w:eastAsia="Calibri" w:hAnsi="Times New Roman" w:cs="Times New Roman"/>
                <w:sz w:val="20"/>
                <w:szCs w:val="20"/>
                <w:lang w:val="fr-FR"/>
              </w:rPr>
              <w:t>(Edgerton et al. 2002; Lane et al 2009; Souty-Grosset et al. 2016)</w:t>
            </w:r>
            <w:r w:rsidRPr="004D1E6F">
              <w:rPr>
                <w:rFonts w:ascii="Times New Roman" w:eastAsia="Calibri" w:hAnsi="Times New Roman" w:cs="Times New Roman"/>
                <w:sz w:val="20"/>
                <w:szCs w:val="20"/>
              </w:rPr>
              <w:fldChar w:fldCharType="end"/>
            </w:r>
            <w:r w:rsidRPr="004D1E6F">
              <w:rPr>
                <w:rFonts w:ascii="Times New Roman" w:eastAsia="Calibri" w:hAnsi="Times New Roman" w:cs="Times New Roman"/>
                <w:sz w:val="20"/>
                <w:szCs w:val="20"/>
              </w:rPr>
              <w:fldChar w:fldCharType="begin" w:fldLock="1"/>
            </w:r>
            <w:r w:rsidRPr="00360AC0">
              <w:rPr>
                <w:rFonts w:ascii="Times New Roman" w:eastAsia="Calibri" w:hAnsi="Times New Roman" w:cs="Times New Roman"/>
                <w:sz w:val="20"/>
                <w:szCs w:val="20"/>
                <w:lang w:val="fr-FR"/>
              </w:rPr>
              <w:instrText xml:space="preserve">ADDIN CSL_CITATION { "citationItems" : [ { "id" : "ITEM-1", "itemData" : { "DOI" : "10.2989/16085914.2002.9626584", "ISBN" : "1608-5914", "ISSN" : "16085914", "abstract" : "The habitat preferences and life history characteristics of four alien species of freshwater crayfish (Cherax tenuimanus, C. destruc- tor, C. quadricarinatus and Procambarus clarkii) are reviewed. The potential impact of these species on South African freshwater ecosystems is assessed and the desirability of allowing their importation evaluated. On the basis of principles espoused in the European Inland Fisheries Advisory Council\u2019s Code of Practice on Aquatic Introductions, it is recommended that importation per- mits should not be granted for any of these species.", "author" : [ { "dropping-particle" : "", "family" : "Moor", "given" : "I.", "non-dropping-particle" : "de", "parse-names" : false, "suffix" : "" } ], "container-title" : "African Journal of Aquatic Science", "id" : "ITEM-1", "issue" : "2", "issued" : { "date-parts" : [ [ "2002" ] ] }, "page" : "125-139", "title" : "Potential impacts of alien freshwater crayfish in south africa", "type" : "article-journal", "volume" : "27" }, "uris" : [ "http://www.mendeley.com/documents/?uuid=c5c2a256-5d98-4f2f-9b7a-d62d27b07fc1" ] }, { "id" : "ITEM-2", "itemData" : { "author" : [ { "dropping-particle" : "", "family" : "Souty-grosset", "given" : "Catherine", "non-dropping-particle" : "", </w:instrText>
            </w:r>
            <w:r w:rsidRPr="004D1E6F">
              <w:rPr>
                <w:rFonts w:ascii="Times New Roman" w:eastAsia="Calibri" w:hAnsi="Times New Roman" w:cs="Times New Roman"/>
                <w:sz w:val="20"/>
                <w:szCs w:val="20"/>
              </w:rPr>
              <w:instrText>"parse-names" : false, "suffix" : "" }, { "dropping-particle" : "", "family" : "Manuel", "given" : "Pedro", "non-dropping-particle" : "", "parse-names" : false, "suffix" : "" }, { "dropping-particle" : "", "family" : "Aquiloni", "given" : "Laura", "non-dropping-particle" : "", "parse-names" : false, "suffix" : "" }, { "dropping-particle" : "", "family" : "Banha", "given" : "Filipe", "non-dropping-particle" : "", "parse-names" : false, "suffix" : "" }, { "dropping-particle" : "", "family" : "Choquer", "given" : "Justine", "non-dropping-particle" : "", "parse-names" : false, "suffix" : "" }, { "dropping-particle" : "", "family" : "Chucholl", "given" : "Christoph", "non-dropping-particle" : "", "parse-names" : false, "suffix" : "" }, { "dropping-particle" : "", "family" : "Tricarico", "given" : "Elena", "non-dropping-particle" : "", "parse-names" : false, "suffix" : "" } ], "id" : "ITEM-2", "issued" : { "date-parts" : [ [ "2016" ] ] }, "page" : "78-93", "publisher" : "Elsevier GmbH.", "title" : "Limnologica The red swamp crayfish Procambarus clarkii in Europe : Impacts on aquatic ecosystems and human well-being", "type" : "article-journal", "volume" : "58" }, "uris" : [ "http://www.mendeley.com/documents/?uuid=3dc8305a-ec27-4ead-9352-d6268ae33b0b" ] } ], "mendeley" : { "formattedCitation" : "(de Moor 2002, Souty-grosset et al. 2016)", "manualFormatting" : "(de Moor 2002, Souty-grosset et al. 2016, Putra et al. 2017)", "plainTextFormattedCitation" : "(de Moor 2002, Souty-grosset et al. 2016)", "previouslyFormattedCitation" : "(de Moor 2002, Souty-grosset et al. 2016)" }, "properties" : { "noteIndex" : 0 }, "schema" : "https://github.com/citation-style-language/schema/raw/master/csl-citation.json" }</w:instrText>
            </w:r>
            <w:r w:rsidRPr="004D1E6F">
              <w:rPr>
                <w:rFonts w:ascii="Times New Roman" w:eastAsia="Calibri" w:hAnsi="Times New Roman" w:cs="Times New Roman"/>
                <w:sz w:val="20"/>
                <w:szCs w:val="20"/>
              </w:rPr>
              <w:fldChar w:fldCharType="end"/>
            </w:r>
            <w:r w:rsidRPr="004D1E6F">
              <w:rPr>
                <w:rFonts w:ascii="Times New Roman" w:eastAsia="Times New Roman" w:hAnsi="Times New Roman" w:cs="Times New Roman"/>
                <w:color w:val="000000"/>
                <w:sz w:val="20"/>
                <w:szCs w:val="20"/>
                <w:lang w:eastAsia="en-ZA"/>
              </w:rPr>
              <w:t>.</w:t>
            </w:r>
          </w:p>
        </w:tc>
      </w:tr>
      <w:tr w:rsidR="002D7080" w:rsidRPr="004D1E6F" w14:paraId="49A22405" w14:textId="77777777" w:rsidTr="002E2C37">
        <w:trPr>
          <w:trHeight w:val="50"/>
        </w:trPr>
        <w:tc>
          <w:tcPr>
            <w:tcW w:w="9016" w:type="dxa"/>
            <w:gridSpan w:val="2"/>
          </w:tcPr>
          <w:p w14:paraId="477970DD" w14:textId="77777777" w:rsidR="002D7080" w:rsidRPr="004D1E6F" w:rsidRDefault="002D7080" w:rsidP="002E2C37">
            <w:pPr>
              <w:ind w:left="720" w:hanging="720"/>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18EBB158" w14:textId="77777777" w:rsidR="002D7080" w:rsidRPr="00392360" w:rsidRDefault="002D7080" w:rsidP="00A363A5">
            <w:pPr>
              <w:ind w:left="510" w:hanging="510"/>
              <w:contextualSpacing/>
              <w:jc w:val="both"/>
              <w:rPr>
                <w:rFonts w:ascii="Times New Roman" w:eastAsia="Calibri" w:hAnsi="Times New Roman" w:cs="Times New Roman"/>
                <w:sz w:val="20"/>
                <w:szCs w:val="20"/>
              </w:rPr>
            </w:pPr>
            <w:r w:rsidRPr="00392360">
              <w:rPr>
                <w:rFonts w:ascii="Times New Roman" w:eastAsia="Calibri" w:hAnsi="Times New Roman" w:cs="Times New Roman"/>
                <w:sz w:val="20"/>
                <w:szCs w:val="20"/>
              </w:rPr>
              <w:t xml:space="preserve">Anastácio, P.M., Correia, A.M. &amp; Menino, J.P., 2005, ‘Processes and patterns of plant destruction by crayfish: effects of crayfish size and developmental stages of rice’, </w:t>
            </w:r>
            <w:r w:rsidRPr="00392360">
              <w:rPr>
                <w:rFonts w:ascii="Times New Roman" w:eastAsia="Calibri" w:hAnsi="Times New Roman" w:cs="Times New Roman"/>
                <w:i/>
                <w:sz w:val="20"/>
                <w:szCs w:val="20"/>
              </w:rPr>
              <w:t xml:space="preserve">Archiv für Hydrobiologie </w:t>
            </w:r>
            <w:r w:rsidRPr="00392360">
              <w:rPr>
                <w:rFonts w:ascii="Times New Roman" w:eastAsia="Calibri" w:hAnsi="Times New Roman" w:cs="Times New Roman"/>
                <w:bCs/>
                <w:sz w:val="20"/>
                <w:szCs w:val="20"/>
              </w:rPr>
              <w:t>162,</w:t>
            </w:r>
            <w:r w:rsidRPr="00392360">
              <w:rPr>
                <w:rFonts w:ascii="Times New Roman" w:eastAsia="Calibri" w:hAnsi="Times New Roman" w:cs="Times New Roman"/>
                <w:sz w:val="20"/>
                <w:szCs w:val="20"/>
              </w:rPr>
              <w:t xml:space="preserve"> 37-51. </w:t>
            </w:r>
            <w:hyperlink w:history="1">
              <w:r w:rsidRPr="00392360">
                <w:rPr>
                  <w:rStyle w:val="Hyperlink"/>
                  <w:rFonts w:ascii="Times New Roman" w:eastAsia="Calibri" w:hAnsi="Times New Roman" w:cs="Times New Roman"/>
                  <w:sz w:val="20"/>
                  <w:szCs w:val="20"/>
                </w:rPr>
                <w:t>https://doi.org/10.1127/0003-9136/2005/0162-0037</w:t>
              </w:r>
            </w:hyperlink>
            <w:r w:rsidRPr="00392360">
              <w:rPr>
                <w:rFonts w:ascii="Times New Roman" w:eastAsia="Calibri" w:hAnsi="Times New Roman" w:cs="Times New Roman"/>
                <w:sz w:val="20"/>
                <w:szCs w:val="20"/>
              </w:rPr>
              <w:t>.</w:t>
            </w:r>
          </w:p>
          <w:p w14:paraId="24FF3564" w14:textId="5BDD68F8" w:rsidR="002D7080" w:rsidRPr="00392360" w:rsidRDefault="002D7080" w:rsidP="00A363A5">
            <w:pPr>
              <w:autoSpaceDE w:val="0"/>
              <w:autoSpaceDN w:val="0"/>
              <w:adjustRightInd w:val="0"/>
              <w:ind w:left="567" w:hanging="567"/>
              <w:contextualSpacing/>
              <w:jc w:val="both"/>
              <w:rPr>
                <w:rFonts w:ascii="Times New Roman" w:eastAsia="Calibri" w:hAnsi="Times New Roman" w:cs="Times New Roman"/>
                <w:sz w:val="20"/>
                <w:szCs w:val="20"/>
              </w:rPr>
            </w:pPr>
            <w:r w:rsidRPr="00392360">
              <w:rPr>
                <w:rFonts w:ascii="Times New Roman" w:eastAsia="Calibri" w:hAnsi="Times New Roman" w:cs="Times New Roman"/>
                <w:sz w:val="20"/>
                <w:szCs w:val="20"/>
              </w:rPr>
              <w:t>Alcorlo, P., Otero, M., Crehuet, M., Baltanás, A. &amp; Montes, C., 2006, ‘The use of the red swamp crayfish (</w:t>
            </w:r>
            <w:r w:rsidRPr="00392360">
              <w:rPr>
                <w:rFonts w:ascii="Times New Roman" w:eastAsia="Calibri" w:hAnsi="Times New Roman" w:cs="Times New Roman"/>
                <w:i/>
                <w:iCs/>
                <w:sz w:val="20"/>
                <w:szCs w:val="20"/>
              </w:rPr>
              <w:t xml:space="preserve">Procambarus clarkii </w:t>
            </w:r>
            <w:r w:rsidRPr="00392360">
              <w:rPr>
                <w:rFonts w:ascii="Times New Roman" w:eastAsia="Calibri" w:hAnsi="Times New Roman" w:cs="Times New Roman"/>
                <w:sz w:val="20"/>
                <w:szCs w:val="20"/>
              </w:rPr>
              <w:t xml:space="preserve">Girard) as indicator of the bioavailability of heavy metals in environmental monitoring in the River Guadiamar (SW Spain)’, </w:t>
            </w:r>
            <w:r w:rsidRPr="00392360">
              <w:rPr>
                <w:rFonts w:ascii="Times New Roman" w:eastAsia="Calibri" w:hAnsi="Times New Roman" w:cs="Times New Roman"/>
                <w:i/>
                <w:iCs/>
                <w:sz w:val="20"/>
                <w:szCs w:val="20"/>
              </w:rPr>
              <w:t xml:space="preserve">Science of the Total Environment </w:t>
            </w:r>
            <w:r w:rsidRPr="00392360">
              <w:rPr>
                <w:rFonts w:ascii="Times New Roman" w:eastAsia="Calibri" w:hAnsi="Times New Roman" w:cs="Times New Roman"/>
                <w:bCs/>
                <w:sz w:val="20"/>
                <w:szCs w:val="20"/>
              </w:rPr>
              <w:t xml:space="preserve">366, </w:t>
            </w:r>
            <w:r w:rsidRPr="00392360">
              <w:rPr>
                <w:rFonts w:ascii="Times New Roman" w:eastAsia="Calibri" w:hAnsi="Times New Roman" w:cs="Times New Roman"/>
                <w:sz w:val="20"/>
                <w:szCs w:val="20"/>
              </w:rPr>
              <w:t xml:space="preserve">380-390. </w:t>
            </w:r>
            <w:hyperlink r:id="rId676" w:history="1">
              <w:r w:rsidR="00392360" w:rsidRPr="00392360">
                <w:rPr>
                  <w:rStyle w:val="Hyperlink"/>
                  <w:rFonts w:ascii="Times New Roman" w:hAnsi="Times New Roman" w:cs="Times New Roman"/>
                  <w:sz w:val="20"/>
                  <w:szCs w:val="20"/>
                </w:rPr>
                <w:t>https://doi.org/10.1016/j.scitotenv.2006.02.023</w:t>
              </w:r>
            </w:hyperlink>
          </w:p>
          <w:p w14:paraId="6DB00E8C" w14:textId="5810E45C" w:rsidR="002D7080" w:rsidRPr="00392360" w:rsidRDefault="002D7080" w:rsidP="00A363A5">
            <w:pPr>
              <w:ind w:left="567" w:hanging="567"/>
              <w:contextualSpacing/>
              <w:jc w:val="both"/>
              <w:rPr>
                <w:rFonts w:ascii="Times New Roman" w:eastAsia="Calibri" w:hAnsi="Times New Roman" w:cs="Times New Roman"/>
                <w:sz w:val="20"/>
                <w:szCs w:val="20"/>
              </w:rPr>
            </w:pPr>
            <w:r w:rsidRPr="00392360">
              <w:rPr>
                <w:rFonts w:ascii="Times New Roman" w:eastAsia="Calibri" w:hAnsi="Times New Roman" w:cs="Times New Roman"/>
                <w:sz w:val="20"/>
                <w:szCs w:val="20"/>
              </w:rPr>
              <w:t xml:space="preserve">Anda, P., Segura del Pozo, J., Díaz García, J.M., Escudero, R., García Peña, F.J., López Velasco, M.C., et al., 2001, ‘Waterborne outbreak of tularemia associated with crayfish fishing’, </w:t>
            </w:r>
            <w:r w:rsidRPr="00392360">
              <w:rPr>
                <w:rFonts w:ascii="Times New Roman" w:eastAsia="Calibri" w:hAnsi="Times New Roman" w:cs="Times New Roman"/>
                <w:i/>
                <w:iCs/>
                <w:sz w:val="20"/>
                <w:szCs w:val="20"/>
              </w:rPr>
              <w:t xml:space="preserve">Emerging Infectious Diseases </w:t>
            </w:r>
            <w:r w:rsidRPr="00392360">
              <w:rPr>
                <w:rFonts w:ascii="Times New Roman" w:eastAsia="Calibri" w:hAnsi="Times New Roman" w:cs="Times New Roman"/>
                <w:bCs/>
                <w:sz w:val="20"/>
                <w:szCs w:val="20"/>
              </w:rPr>
              <w:t xml:space="preserve">7, </w:t>
            </w:r>
            <w:r w:rsidRPr="00392360">
              <w:rPr>
                <w:rFonts w:ascii="Times New Roman" w:eastAsia="Calibri" w:hAnsi="Times New Roman" w:cs="Times New Roman"/>
                <w:sz w:val="20"/>
                <w:szCs w:val="20"/>
              </w:rPr>
              <w:t xml:space="preserve">575-82. </w:t>
            </w:r>
            <w:hyperlink r:id="rId677" w:history="1">
              <w:r w:rsidR="00392360" w:rsidRPr="00392360">
                <w:rPr>
                  <w:rStyle w:val="Hyperlink"/>
                  <w:rFonts w:ascii="Times New Roman" w:hAnsi="Times New Roman" w:cs="Times New Roman"/>
                  <w:sz w:val="20"/>
                  <w:szCs w:val="20"/>
                </w:rPr>
                <w:t>https://doi.org/10.3201/eid0707.010740</w:t>
              </w:r>
            </w:hyperlink>
            <w:r w:rsidRPr="00392360">
              <w:rPr>
                <w:rFonts w:ascii="Times New Roman" w:eastAsia="Calibri" w:hAnsi="Times New Roman" w:cs="Times New Roman"/>
                <w:sz w:val="20"/>
                <w:szCs w:val="20"/>
              </w:rPr>
              <w:t xml:space="preserve">. </w:t>
            </w:r>
          </w:p>
          <w:p w14:paraId="162B0D2B" w14:textId="1B157757" w:rsidR="002D7080" w:rsidRPr="00392360" w:rsidRDefault="002D7080" w:rsidP="00A363A5">
            <w:pPr>
              <w:ind w:left="567" w:hanging="567"/>
              <w:contextualSpacing/>
              <w:jc w:val="both"/>
              <w:rPr>
                <w:rFonts w:ascii="Times New Roman" w:eastAsia="Calibri" w:hAnsi="Times New Roman" w:cs="Times New Roman"/>
                <w:sz w:val="20"/>
                <w:szCs w:val="20"/>
              </w:rPr>
            </w:pPr>
            <w:r w:rsidRPr="00392360">
              <w:rPr>
                <w:rFonts w:ascii="Times New Roman" w:eastAsia="Calibri" w:hAnsi="Times New Roman" w:cs="Times New Roman"/>
                <w:sz w:val="20"/>
                <w:szCs w:val="20"/>
              </w:rPr>
              <w:t xml:space="preserve">Arce, J.A. &amp; Diéguez-Uribeondo, J., 2015, ‘Structural damage caused by the invasive crayfish </w:t>
            </w:r>
            <w:r w:rsidRPr="00392360">
              <w:rPr>
                <w:rFonts w:ascii="Times New Roman" w:eastAsia="Calibri" w:hAnsi="Times New Roman" w:cs="Times New Roman"/>
                <w:i/>
                <w:sz w:val="20"/>
                <w:szCs w:val="20"/>
              </w:rPr>
              <w:t>Procambarus clarkii</w:t>
            </w:r>
            <w:r w:rsidRPr="00392360">
              <w:rPr>
                <w:rFonts w:ascii="Times New Roman" w:eastAsia="Calibri" w:hAnsi="Times New Roman" w:cs="Times New Roman"/>
                <w:sz w:val="20"/>
                <w:szCs w:val="20"/>
              </w:rPr>
              <w:t xml:space="preserve"> (Girard, 1852) in rice fields of the Iberian Peninsula: A study case’, </w:t>
            </w:r>
            <w:r w:rsidRPr="00392360">
              <w:rPr>
                <w:rFonts w:ascii="Times New Roman" w:eastAsia="Calibri" w:hAnsi="Times New Roman" w:cs="Times New Roman"/>
                <w:i/>
                <w:sz w:val="20"/>
                <w:szCs w:val="20"/>
              </w:rPr>
              <w:t>Fundamental and Applied Limnology</w:t>
            </w:r>
            <w:r w:rsidRPr="00392360">
              <w:rPr>
                <w:rFonts w:ascii="Times New Roman" w:eastAsia="Calibri" w:hAnsi="Times New Roman" w:cs="Times New Roman"/>
                <w:sz w:val="20"/>
                <w:szCs w:val="20"/>
              </w:rPr>
              <w:t xml:space="preserve"> </w:t>
            </w:r>
            <w:r w:rsidRPr="00392360">
              <w:rPr>
                <w:rFonts w:ascii="Times New Roman" w:eastAsia="Calibri" w:hAnsi="Times New Roman" w:cs="Times New Roman"/>
                <w:bCs/>
                <w:sz w:val="20"/>
                <w:szCs w:val="20"/>
              </w:rPr>
              <w:t>186,</w:t>
            </w:r>
            <w:r w:rsidRPr="00392360">
              <w:rPr>
                <w:rFonts w:ascii="Times New Roman" w:eastAsia="Calibri" w:hAnsi="Times New Roman" w:cs="Times New Roman"/>
                <w:sz w:val="20"/>
                <w:szCs w:val="20"/>
              </w:rPr>
              <w:t xml:space="preserve"> 259-269. </w:t>
            </w:r>
            <w:hyperlink r:id="rId678" w:history="1">
              <w:r w:rsidR="00392360" w:rsidRPr="00392360">
                <w:rPr>
                  <w:rStyle w:val="Hyperlink"/>
                  <w:rFonts w:ascii="Times New Roman" w:hAnsi="Times New Roman" w:cs="Times New Roman"/>
                  <w:sz w:val="20"/>
                  <w:szCs w:val="20"/>
                </w:rPr>
                <w:t>https://doi.org/10.1127/fal/2015/0715</w:t>
              </w:r>
            </w:hyperlink>
            <w:r w:rsidRPr="00392360">
              <w:rPr>
                <w:rFonts w:ascii="Times New Roman" w:eastAsia="Calibri" w:hAnsi="Times New Roman" w:cs="Times New Roman"/>
                <w:sz w:val="20"/>
                <w:szCs w:val="20"/>
              </w:rPr>
              <w:t>.</w:t>
            </w:r>
          </w:p>
          <w:p w14:paraId="1F186C4A" w14:textId="164A381D" w:rsidR="00392360" w:rsidRDefault="002D7080" w:rsidP="00A363A5">
            <w:pPr>
              <w:autoSpaceDE w:val="0"/>
              <w:autoSpaceDN w:val="0"/>
              <w:adjustRightInd w:val="0"/>
              <w:ind w:left="567" w:hanging="567"/>
              <w:contextualSpacing/>
              <w:jc w:val="both"/>
              <w:rPr>
                <w:rFonts w:ascii="Times New Roman" w:eastAsia="Calibri" w:hAnsi="Times New Roman" w:cs="Times New Roman"/>
                <w:sz w:val="20"/>
                <w:szCs w:val="20"/>
              </w:rPr>
            </w:pPr>
            <w:r w:rsidRPr="00392360">
              <w:rPr>
                <w:rFonts w:ascii="Times New Roman" w:eastAsia="Calibri" w:hAnsi="Times New Roman" w:cs="Times New Roman"/>
                <w:sz w:val="20"/>
                <w:szCs w:val="20"/>
              </w:rPr>
              <w:t xml:space="preserve">Edgerton, B.F., Evans, L.H., Stephens, F.J. &amp; Overstreet, R.M., 2002, ‘Synopsis of freshwater crayfish diseases and commensal organisms’, </w:t>
            </w:r>
            <w:r w:rsidRPr="00392360">
              <w:rPr>
                <w:rFonts w:ascii="Times New Roman" w:eastAsia="Calibri" w:hAnsi="Times New Roman" w:cs="Times New Roman"/>
                <w:i/>
                <w:iCs/>
                <w:sz w:val="20"/>
                <w:szCs w:val="20"/>
              </w:rPr>
              <w:t xml:space="preserve">Aquaculture </w:t>
            </w:r>
            <w:r w:rsidRPr="00392360">
              <w:rPr>
                <w:rFonts w:ascii="Times New Roman" w:eastAsia="Calibri" w:hAnsi="Times New Roman" w:cs="Times New Roman"/>
                <w:bCs/>
                <w:sz w:val="20"/>
                <w:szCs w:val="20"/>
              </w:rPr>
              <w:t>206,</w:t>
            </w:r>
            <w:r w:rsidRPr="00392360">
              <w:rPr>
                <w:rFonts w:ascii="Times New Roman" w:eastAsia="Calibri" w:hAnsi="Times New Roman" w:cs="Times New Roman"/>
                <w:sz w:val="20"/>
                <w:szCs w:val="20"/>
              </w:rPr>
              <w:t xml:space="preserve"> 57</w:t>
            </w:r>
            <w:r w:rsidRPr="00392360">
              <w:rPr>
                <w:rFonts w:ascii="Times New Roman" w:eastAsia="Times New Roman" w:hAnsi="Times New Roman" w:cs="Times New Roman"/>
                <w:color w:val="000000"/>
                <w:sz w:val="20"/>
                <w:szCs w:val="20"/>
                <w:lang w:eastAsia="en-ZA"/>
              </w:rPr>
              <w:t>–</w:t>
            </w:r>
            <w:r w:rsidRPr="00392360">
              <w:rPr>
                <w:rFonts w:ascii="Times New Roman" w:eastAsia="Calibri" w:hAnsi="Times New Roman" w:cs="Times New Roman"/>
                <w:sz w:val="20"/>
                <w:szCs w:val="20"/>
              </w:rPr>
              <w:t xml:space="preserve">135. </w:t>
            </w:r>
            <w:r w:rsidR="00392360" w:rsidRPr="00392360">
              <w:rPr>
                <w:rFonts w:ascii="Times New Roman" w:hAnsi="Times New Roman" w:cs="Times New Roman"/>
                <w:sz w:val="20"/>
                <w:szCs w:val="20"/>
              </w:rPr>
              <w:t>https://doi.org/10.1016/S0044-8486(01)00865-1</w:t>
            </w:r>
            <w:r w:rsidR="00392360" w:rsidRPr="00392360" w:rsidDel="002C7FBD">
              <w:rPr>
                <w:rFonts w:ascii="Times New Roman" w:hAnsi="Times New Roman" w:cs="Times New Roman"/>
                <w:sz w:val="20"/>
                <w:szCs w:val="20"/>
              </w:rPr>
              <w:t xml:space="preserve"> </w:t>
            </w:r>
            <w:r w:rsidR="00392360">
              <w:rPr>
                <w:rFonts w:ascii="Times New Roman" w:eastAsia="Calibri" w:hAnsi="Times New Roman" w:cs="Times New Roman"/>
                <w:sz w:val="20"/>
                <w:szCs w:val="20"/>
              </w:rPr>
              <w:t>.</w:t>
            </w:r>
          </w:p>
          <w:p w14:paraId="2DE31FFE" w14:textId="385778C4" w:rsidR="002D7080" w:rsidRPr="00392360" w:rsidRDefault="002D7080" w:rsidP="00A363A5">
            <w:pPr>
              <w:autoSpaceDE w:val="0"/>
              <w:autoSpaceDN w:val="0"/>
              <w:adjustRightInd w:val="0"/>
              <w:ind w:left="567" w:hanging="567"/>
              <w:contextualSpacing/>
              <w:jc w:val="both"/>
              <w:rPr>
                <w:rFonts w:ascii="Times New Roman" w:eastAsia="Calibri" w:hAnsi="Times New Roman" w:cs="Times New Roman"/>
                <w:sz w:val="20"/>
                <w:szCs w:val="20"/>
              </w:rPr>
            </w:pPr>
            <w:r w:rsidRPr="00392360">
              <w:rPr>
                <w:rFonts w:ascii="Times New Roman" w:eastAsia="Calibri" w:hAnsi="Times New Roman" w:cs="Times New Roman"/>
                <w:sz w:val="20"/>
                <w:szCs w:val="20"/>
              </w:rPr>
              <w:t xml:space="preserve">Gherardi, F., Barbaresi, S., Vaselli, O. &amp; Bencini, A., 2002, ‘A comparison of trace metal accumulation in indigenous and alien freshwater macro-decapods’, </w:t>
            </w:r>
            <w:r w:rsidRPr="00392360">
              <w:rPr>
                <w:rFonts w:ascii="Times New Roman" w:eastAsia="Calibri" w:hAnsi="Times New Roman" w:cs="Times New Roman"/>
                <w:i/>
                <w:iCs/>
                <w:sz w:val="20"/>
                <w:szCs w:val="20"/>
              </w:rPr>
              <w:t xml:space="preserve">Marine and Freshwater Behaviour and Physiology </w:t>
            </w:r>
            <w:r w:rsidRPr="00392360">
              <w:rPr>
                <w:rFonts w:ascii="Times New Roman" w:eastAsia="Calibri" w:hAnsi="Times New Roman" w:cs="Times New Roman"/>
                <w:bCs/>
                <w:sz w:val="20"/>
                <w:szCs w:val="20"/>
              </w:rPr>
              <w:t xml:space="preserve">35, </w:t>
            </w:r>
            <w:r w:rsidRPr="00392360">
              <w:rPr>
                <w:rFonts w:ascii="Times New Roman" w:eastAsia="Calibri" w:hAnsi="Times New Roman" w:cs="Times New Roman"/>
                <w:sz w:val="20"/>
                <w:szCs w:val="20"/>
              </w:rPr>
              <w:t xml:space="preserve">179-88. </w:t>
            </w:r>
            <w:r w:rsidR="00392360" w:rsidRPr="00392360">
              <w:rPr>
                <w:rFonts w:ascii="Times New Roman" w:hAnsi="Times New Roman" w:cs="Times New Roman"/>
                <w:sz w:val="20"/>
                <w:szCs w:val="20"/>
              </w:rPr>
              <w:t>https://doi.org/10.1080/1023624021000014761</w:t>
            </w:r>
            <w:r w:rsidRPr="00392360">
              <w:rPr>
                <w:rFonts w:ascii="Times New Roman" w:eastAsia="Calibri" w:hAnsi="Times New Roman" w:cs="Times New Roman"/>
                <w:sz w:val="20"/>
                <w:szCs w:val="20"/>
              </w:rPr>
              <w:t xml:space="preserve">. </w:t>
            </w:r>
          </w:p>
          <w:p w14:paraId="7D4F3042" w14:textId="0EC0D4F1" w:rsidR="002D7080" w:rsidRPr="00392360" w:rsidRDefault="002D7080" w:rsidP="00A363A5">
            <w:pPr>
              <w:autoSpaceDE w:val="0"/>
              <w:autoSpaceDN w:val="0"/>
              <w:adjustRightInd w:val="0"/>
              <w:ind w:left="567" w:hanging="567"/>
              <w:contextualSpacing/>
              <w:jc w:val="both"/>
              <w:rPr>
                <w:rFonts w:ascii="Times New Roman" w:eastAsia="Times New Roman" w:hAnsi="Times New Roman" w:cs="Times New Roman"/>
                <w:color w:val="000000"/>
                <w:sz w:val="20"/>
                <w:szCs w:val="20"/>
                <w:lang w:eastAsia="en-ZA"/>
              </w:rPr>
            </w:pPr>
            <w:r w:rsidRPr="00392360">
              <w:rPr>
                <w:rFonts w:ascii="Times New Roman" w:eastAsia="Times New Roman" w:hAnsi="Times New Roman" w:cs="Times New Roman"/>
                <w:color w:val="000000"/>
                <w:sz w:val="20"/>
                <w:szCs w:val="20"/>
                <w:lang w:eastAsia="en-ZA"/>
              </w:rPr>
              <w:t>Gherardi, F., Robert, F.J., Kenneth, B.B., Mavuti, M., Pacini, N., Grey, J., et al., 2011, ‘A review of allodiversity in Lake Naivasha, Kenya: Developing conservation actions to protect East African lakes from the negative impacts of alien species’,</w:t>
            </w:r>
            <w:r w:rsidRPr="00392360">
              <w:rPr>
                <w:rFonts w:ascii="Times New Roman" w:eastAsia="AdvGulliv-R" w:hAnsi="Times New Roman" w:cs="Times New Roman"/>
                <w:color w:val="000066"/>
                <w:sz w:val="20"/>
                <w:szCs w:val="20"/>
              </w:rPr>
              <w:t xml:space="preserve"> </w:t>
            </w:r>
            <w:r w:rsidRPr="00392360">
              <w:rPr>
                <w:rFonts w:ascii="Times New Roman" w:eastAsia="Times New Roman" w:hAnsi="Times New Roman" w:cs="Times New Roman"/>
                <w:i/>
                <w:color w:val="000000"/>
                <w:sz w:val="20"/>
                <w:szCs w:val="20"/>
                <w:lang w:eastAsia="en-ZA"/>
              </w:rPr>
              <w:t>Biological Conservation</w:t>
            </w:r>
            <w:r w:rsidRPr="00392360">
              <w:rPr>
                <w:rFonts w:ascii="Times New Roman" w:eastAsia="Times New Roman" w:hAnsi="Times New Roman" w:cs="Times New Roman"/>
                <w:color w:val="000000"/>
                <w:sz w:val="20"/>
                <w:szCs w:val="20"/>
                <w:lang w:eastAsia="en-ZA"/>
              </w:rPr>
              <w:t xml:space="preserve"> </w:t>
            </w:r>
            <w:r w:rsidRPr="00392360">
              <w:rPr>
                <w:rFonts w:ascii="Times New Roman" w:eastAsia="Times New Roman" w:hAnsi="Times New Roman" w:cs="Times New Roman"/>
                <w:bCs/>
                <w:color w:val="000000"/>
                <w:sz w:val="20"/>
                <w:szCs w:val="20"/>
                <w:lang w:eastAsia="en-ZA"/>
              </w:rPr>
              <w:t>144,</w:t>
            </w:r>
            <w:r w:rsidRPr="00392360">
              <w:rPr>
                <w:rFonts w:ascii="Times New Roman" w:eastAsia="Times New Roman" w:hAnsi="Times New Roman" w:cs="Times New Roman"/>
                <w:color w:val="000000"/>
                <w:sz w:val="20"/>
                <w:szCs w:val="20"/>
                <w:lang w:eastAsia="en-ZA"/>
              </w:rPr>
              <w:t xml:space="preserve"> 2585–2596. </w:t>
            </w:r>
            <w:hyperlink r:id="rId679" w:history="1">
              <w:r w:rsidR="00392360" w:rsidRPr="00392360">
                <w:rPr>
                  <w:rStyle w:val="Hyperlink"/>
                  <w:rFonts w:ascii="Times New Roman" w:hAnsi="Times New Roman" w:cs="Times New Roman"/>
                  <w:sz w:val="20"/>
                  <w:szCs w:val="20"/>
                </w:rPr>
                <w:t>https://doi.org/10.1016/j.biocon.2011.07.020</w:t>
              </w:r>
            </w:hyperlink>
            <w:r w:rsidRPr="00392360">
              <w:rPr>
                <w:rFonts w:ascii="Times New Roman" w:eastAsia="Times New Roman" w:hAnsi="Times New Roman" w:cs="Times New Roman"/>
                <w:color w:val="000000"/>
                <w:sz w:val="20"/>
                <w:szCs w:val="20"/>
                <w:lang w:eastAsia="en-ZA"/>
              </w:rPr>
              <w:t xml:space="preserve">. </w:t>
            </w:r>
          </w:p>
          <w:p w14:paraId="61FB3DC6" w14:textId="16B5DDF2" w:rsidR="002D7080" w:rsidRPr="00392360" w:rsidRDefault="002D7080" w:rsidP="00A363A5">
            <w:pPr>
              <w:autoSpaceDE w:val="0"/>
              <w:autoSpaceDN w:val="0"/>
              <w:adjustRightInd w:val="0"/>
              <w:ind w:left="567" w:hanging="567"/>
              <w:contextualSpacing/>
              <w:jc w:val="both"/>
              <w:rPr>
                <w:rFonts w:ascii="Times New Roman" w:eastAsia="Calibri" w:hAnsi="Times New Roman" w:cs="Times New Roman"/>
                <w:sz w:val="20"/>
                <w:szCs w:val="20"/>
              </w:rPr>
            </w:pPr>
            <w:r w:rsidRPr="00392360">
              <w:rPr>
                <w:rFonts w:ascii="Times New Roman" w:eastAsia="Calibri" w:hAnsi="Times New Roman" w:cs="Times New Roman"/>
                <w:sz w:val="20"/>
                <w:szCs w:val="20"/>
              </w:rPr>
              <w:lastRenderedPageBreak/>
              <w:t xml:space="preserve">Lane, M.A., Barsanti, M.C., Santos, C.A., Yeung, M., Lubner, S.J. &amp; Weil, G.J., 2009, ‘Human paragonimiasis in North America following ingestion of raw crayfish’, </w:t>
            </w:r>
            <w:r w:rsidRPr="00392360">
              <w:rPr>
                <w:rFonts w:ascii="Times New Roman" w:eastAsia="Calibri" w:hAnsi="Times New Roman" w:cs="Times New Roman"/>
                <w:i/>
                <w:iCs/>
                <w:sz w:val="20"/>
                <w:szCs w:val="20"/>
              </w:rPr>
              <w:t xml:space="preserve">Clinical and Infectious Diseases </w:t>
            </w:r>
            <w:r w:rsidRPr="00392360">
              <w:rPr>
                <w:rFonts w:ascii="Times New Roman" w:eastAsia="Calibri" w:hAnsi="Times New Roman" w:cs="Times New Roman"/>
                <w:bCs/>
                <w:sz w:val="20"/>
                <w:szCs w:val="20"/>
              </w:rPr>
              <w:t>49,</w:t>
            </w:r>
            <w:r w:rsidRPr="00392360">
              <w:rPr>
                <w:rFonts w:ascii="Times New Roman" w:eastAsia="Calibri" w:hAnsi="Times New Roman" w:cs="Times New Roman"/>
                <w:sz w:val="20"/>
                <w:szCs w:val="20"/>
              </w:rPr>
              <w:t xml:space="preserve"> 55-61. </w:t>
            </w:r>
            <w:r w:rsidR="00392360" w:rsidRPr="00392360">
              <w:rPr>
                <w:rFonts w:ascii="Times New Roman" w:hAnsi="Times New Roman" w:cs="Times New Roman"/>
                <w:sz w:val="20"/>
                <w:szCs w:val="20"/>
              </w:rPr>
              <w:t>https://doi.org/10.1086/605534</w:t>
            </w:r>
            <w:r w:rsidRPr="00392360">
              <w:rPr>
                <w:rFonts w:ascii="Times New Roman" w:eastAsia="Calibri" w:hAnsi="Times New Roman" w:cs="Times New Roman"/>
                <w:sz w:val="20"/>
                <w:szCs w:val="20"/>
              </w:rPr>
              <w:t xml:space="preserve">. </w:t>
            </w:r>
          </w:p>
          <w:p w14:paraId="484A591A" w14:textId="476624DE" w:rsidR="00392360" w:rsidRDefault="002D7080" w:rsidP="00A363A5">
            <w:pPr>
              <w:ind w:left="510" w:hanging="510"/>
              <w:contextualSpacing/>
              <w:jc w:val="both"/>
              <w:rPr>
                <w:rFonts w:ascii="Times New Roman" w:eastAsia="Calibri" w:hAnsi="Times New Roman" w:cs="Times New Roman"/>
                <w:sz w:val="20"/>
                <w:szCs w:val="20"/>
              </w:rPr>
            </w:pPr>
            <w:r w:rsidRPr="00392360">
              <w:rPr>
                <w:rFonts w:ascii="Times New Roman" w:eastAsia="Times New Roman" w:hAnsi="Times New Roman" w:cs="Times New Roman"/>
                <w:sz w:val="20"/>
                <w:szCs w:val="20"/>
                <w:lang w:eastAsia="en-ZA"/>
              </w:rPr>
              <w:t xml:space="preserve">Lodge, D.M., Deines, A., Gherardi, F., Yeo, D.C., Arcella, T., Baldridge, A.K., et al., 2012, ‘Global introductions of crayfishes: evaluating the impact of species invasions on ecosystem services’, </w:t>
            </w:r>
            <w:r w:rsidRPr="00392360">
              <w:rPr>
                <w:rFonts w:ascii="Times New Roman" w:eastAsia="Times New Roman" w:hAnsi="Times New Roman" w:cs="Times New Roman"/>
                <w:i/>
                <w:iCs/>
                <w:sz w:val="20"/>
                <w:szCs w:val="20"/>
                <w:lang w:eastAsia="en-ZA"/>
              </w:rPr>
              <w:t>Annual Review of Ecology, Evolution, and Systematics</w:t>
            </w:r>
            <w:r w:rsidRPr="00392360">
              <w:rPr>
                <w:rFonts w:ascii="Times New Roman" w:eastAsia="Times New Roman" w:hAnsi="Times New Roman" w:cs="Times New Roman"/>
                <w:sz w:val="20"/>
                <w:szCs w:val="20"/>
                <w:lang w:eastAsia="en-ZA"/>
              </w:rPr>
              <w:t xml:space="preserve"> </w:t>
            </w:r>
            <w:r w:rsidRPr="00392360">
              <w:rPr>
                <w:rFonts w:ascii="Times New Roman" w:eastAsia="Times New Roman" w:hAnsi="Times New Roman" w:cs="Times New Roman"/>
                <w:iCs/>
                <w:sz w:val="20"/>
                <w:szCs w:val="20"/>
                <w:lang w:eastAsia="en-ZA"/>
              </w:rPr>
              <w:t>43</w:t>
            </w:r>
            <w:r w:rsidRPr="00392360">
              <w:rPr>
                <w:rFonts w:ascii="Times New Roman" w:eastAsia="Times New Roman" w:hAnsi="Times New Roman" w:cs="Times New Roman"/>
                <w:bCs/>
                <w:sz w:val="20"/>
                <w:szCs w:val="20"/>
                <w:lang w:eastAsia="en-ZA"/>
              </w:rPr>
              <w:t>,</w:t>
            </w:r>
            <w:r w:rsidRPr="00392360">
              <w:rPr>
                <w:rFonts w:ascii="Times New Roman" w:eastAsia="Times New Roman" w:hAnsi="Times New Roman" w:cs="Times New Roman"/>
                <w:sz w:val="20"/>
                <w:szCs w:val="20"/>
                <w:lang w:eastAsia="en-ZA"/>
              </w:rPr>
              <w:t xml:space="preserve"> 449-472. </w:t>
            </w:r>
            <w:r w:rsidR="00392360" w:rsidRPr="00392360">
              <w:rPr>
                <w:rFonts w:ascii="Times New Roman" w:hAnsi="Times New Roman" w:cs="Times New Roman"/>
                <w:sz w:val="20"/>
                <w:szCs w:val="20"/>
              </w:rPr>
              <w:t>https://doi.org/10.1146/annurev-ecolsys-111511-103919</w:t>
            </w:r>
            <w:r w:rsidR="00392360">
              <w:rPr>
                <w:rFonts w:ascii="Times New Roman" w:eastAsia="Calibri" w:hAnsi="Times New Roman" w:cs="Times New Roman"/>
                <w:sz w:val="20"/>
                <w:szCs w:val="20"/>
              </w:rPr>
              <w:t>.</w:t>
            </w:r>
          </w:p>
          <w:p w14:paraId="3963EDAF" w14:textId="34A12753" w:rsidR="002D7080" w:rsidRPr="004D1E6F" w:rsidRDefault="002D7080" w:rsidP="00A363A5">
            <w:pPr>
              <w:ind w:left="510" w:hanging="510"/>
              <w:contextualSpacing/>
              <w:jc w:val="both"/>
              <w:rPr>
                <w:rFonts w:ascii="Times New Roman" w:eastAsia="Calibri" w:hAnsi="Times New Roman" w:cs="Times New Roman"/>
                <w:sz w:val="20"/>
                <w:szCs w:val="20"/>
              </w:rPr>
            </w:pPr>
            <w:r w:rsidRPr="00392360">
              <w:rPr>
                <w:rFonts w:ascii="Times New Roman" w:eastAsia="Calibri" w:hAnsi="Times New Roman" w:cs="Times New Roman"/>
                <w:sz w:val="20"/>
                <w:szCs w:val="20"/>
              </w:rPr>
              <w:t xml:space="preserve">Souty-Grosset, C., Anastácio, P.M., Aquiloni, L., Banha, F., Choquer, J., Chucholl, C., et al. 2016. ‘The red swamp crayfish </w:t>
            </w:r>
            <w:r w:rsidRPr="00392360">
              <w:rPr>
                <w:rFonts w:ascii="Times New Roman" w:eastAsia="Calibri" w:hAnsi="Times New Roman" w:cs="Times New Roman"/>
                <w:i/>
                <w:sz w:val="20"/>
                <w:szCs w:val="20"/>
              </w:rPr>
              <w:t>Procambarus clarkii</w:t>
            </w:r>
            <w:r w:rsidRPr="00392360">
              <w:rPr>
                <w:rFonts w:ascii="Times New Roman" w:eastAsia="Calibri" w:hAnsi="Times New Roman" w:cs="Times New Roman"/>
                <w:sz w:val="20"/>
                <w:szCs w:val="20"/>
              </w:rPr>
              <w:t xml:space="preserve"> in Europe: Impacts on aquatic ecosystems and human well-being’,</w:t>
            </w:r>
            <w:r w:rsidRPr="00392360">
              <w:rPr>
                <w:rFonts w:ascii="Times New Roman" w:eastAsia="Calibri" w:hAnsi="Times New Roman" w:cs="Times New Roman"/>
                <w:i/>
                <w:sz w:val="20"/>
                <w:szCs w:val="20"/>
              </w:rPr>
              <w:t xml:space="preserve"> Limnologica</w:t>
            </w:r>
            <w:r w:rsidRPr="00392360">
              <w:rPr>
                <w:rFonts w:ascii="Times New Roman" w:eastAsia="Calibri" w:hAnsi="Times New Roman" w:cs="Times New Roman"/>
                <w:sz w:val="20"/>
                <w:szCs w:val="20"/>
              </w:rPr>
              <w:t xml:space="preserve"> </w:t>
            </w:r>
            <w:r w:rsidRPr="00392360">
              <w:rPr>
                <w:rFonts w:ascii="Times New Roman" w:eastAsia="Calibri" w:hAnsi="Times New Roman" w:cs="Times New Roman"/>
                <w:bCs/>
                <w:sz w:val="20"/>
                <w:szCs w:val="20"/>
              </w:rPr>
              <w:t>58,</w:t>
            </w:r>
            <w:r w:rsidRPr="00392360">
              <w:rPr>
                <w:rFonts w:ascii="Times New Roman" w:eastAsia="Calibri" w:hAnsi="Times New Roman" w:cs="Times New Roman"/>
                <w:sz w:val="20"/>
                <w:szCs w:val="20"/>
              </w:rPr>
              <w:t xml:space="preserve"> 78-93. </w:t>
            </w:r>
            <w:hyperlink r:id="rId680" w:history="1">
              <w:r w:rsidR="00392360" w:rsidRPr="00392360">
                <w:rPr>
                  <w:rStyle w:val="Hyperlink"/>
                  <w:rFonts w:ascii="Times New Roman" w:hAnsi="Times New Roman" w:cs="Times New Roman"/>
                  <w:sz w:val="20"/>
                  <w:szCs w:val="20"/>
                </w:rPr>
                <w:t>https://doi.org/10.1016/j.limno.2016.03.003</w:t>
              </w:r>
            </w:hyperlink>
            <w:r w:rsidRPr="004D1E6F">
              <w:rPr>
                <w:rFonts w:ascii="Times New Roman" w:eastAsia="Calibri" w:hAnsi="Times New Roman" w:cs="Times New Roman"/>
                <w:sz w:val="20"/>
                <w:szCs w:val="20"/>
              </w:rPr>
              <w:t>.</w:t>
            </w:r>
          </w:p>
        </w:tc>
      </w:tr>
    </w:tbl>
    <w:p w14:paraId="6C4CBEA9" w14:textId="77777777" w:rsidR="002D7080" w:rsidRPr="004D1E6F" w:rsidRDefault="002D7080" w:rsidP="002D7080">
      <w:pPr>
        <w:spacing w:after="0"/>
        <w:jc w:val="both"/>
        <w:rPr>
          <w:rFonts w:ascii="Times New Roman" w:eastAsia="Times New Roman" w:hAnsi="Times New Roman" w:cs="Times New Roman"/>
          <w:sz w:val="20"/>
          <w:szCs w:val="20"/>
          <w:lang w:eastAsia="en-ZA"/>
        </w:rPr>
      </w:pPr>
    </w:p>
    <w:p w14:paraId="573B5A58" w14:textId="77777777" w:rsidR="002D7080" w:rsidRPr="004D1E6F" w:rsidRDefault="002D7080" w:rsidP="002D7080">
      <w:pPr>
        <w:spacing w:after="0" w:line="240" w:lineRule="auto"/>
        <w:rPr>
          <w:rFonts w:ascii="Times New Roman" w:eastAsia="Calibri" w:hAnsi="Times New Roman" w:cs="Times New Roman"/>
          <w:b/>
          <w:sz w:val="20"/>
          <w:szCs w:val="20"/>
        </w:rPr>
      </w:pPr>
    </w:p>
    <w:tbl>
      <w:tblPr>
        <w:tblStyle w:val="TableGrid17"/>
        <w:tblW w:w="0" w:type="auto"/>
        <w:tblInd w:w="18" w:type="dxa"/>
        <w:tblLook w:val="04A0" w:firstRow="1" w:lastRow="0" w:firstColumn="1" w:lastColumn="0" w:noHBand="0" w:noVBand="1"/>
      </w:tblPr>
      <w:tblGrid>
        <w:gridCol w:w="5866"/>
        <w:gridCol w:w="3132"/>
      </w:tblGrid>
      <w:tr w:rsidR="002D7080" w:rsidRPr="004D1E6F" w14:paraId="497DDDC8" w14:textId="77777777" w:rsidTr="002E2C37">
        <w:trPr>
          <w:trHeight w:val="260"/>
        </w:trPr>
        <w:tc>
          <w:tcPr>
            <w:tcW w:w="9090" w:type="dxa"/>
            <w:gridSpan w:val="2"/>
            <w:shd w:val="clear" w:color="auto" w:fill="F2F2F2" w:themeFill="background1" w:themeFillShade="F2"/>
          </w:tcPr>
          <w:p w14:paraId="1B05D30A"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CON5 Potential impact</w:t>
            </w:r>
          </w:p>
        </w:tc>
      </w:tr>
      <w:tr w:rsidR="002D7080" w:rsidRPr="004D1E6F" w14:paraId="4EB7B83B" w14:textId="77777777" w:rsidTr="002E2C37">
        <w:trPr>
          <w:trHeight w:val="172"/>
        </w:trPr>
        <w:tc>
          <w:tcPr>
            <w:tcW w:w="5931" w:type="dxa"/>
          </w:tcPr>
          <w:p w14:paraId="7CB20F81"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Response: </w:t>
            </w:r>
            <w:r>
              <w:rPr>
                <w:rFonts w:ascii="Times New Roman" w:eastAsia="Times New Roman" w:hAnsi="Times New Roman" w:cs="Times New Roman"/>
                <w:color w:val="000000"/>
                <w:sz w:val="20"/>
                <w:szCs w:val="20"/>
                <w:lang w:eastAsia="en-ZA"/>
              </w:rPr>
              <w:t>Major (</w:t>
            </w:r>
            <w:r w:rsidRPr="004D1E6F">
              <w:rPr>
                <w:rFonts w:ascii="Times New Roman" w:eastAsia="Times New Roman" w:hAnsi="Times New Roman" w:cs="Times New Roman"/>
                <w:color w:val="000000"/>
                <w:sz w:val="20"/>
                <w:szCs w:val="20"/>
                <w:lang w:eastAsia="en-ZA"/>
              </w:rPr>
              <w:t>MR</w:t>
            </w:r>
            <w:r>
              <w:rPr>
                <w:rFonts w:ascii="Times New Roman" w:eastAsia="Times New Roman" w:hAnsi="Times New Roman" w:cs="Times New Roman"/>
                <w:color w:val="000000"/>
                <w:sz w:val="20"/>
                <w:szCs w:val="20"/>
                <w:lang w:eastAsia="en-ZA"/>
              </w:rPr>
              <w:t>)</w:t>
            </w:r>
          </w:p>
        </w:tc>
        <w:tc>
          <w:tcPr>
            <w:tcW w:w="3159" w:type="dxa"/>
          </w:tcPr>
          <w:p w14:paraId="5609BD8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High</w:t>
            </w:r>
          </w:p>
        </w:tc>
      </w:tr>
      <w:tr w:rsidR="002D7080" w:rsidRPr="004D1E6F" w14:paraId="50717D07" w14:textId="77777777" w:rsidTr="002E2C37">
        <w:trPr>
          <w:trHeight w:val="343"/>
        </w:trPr>
        <w:tc>
          <w:tcPr>
            <w:tcW w:w="9090" w:type="dxa"/>
            <w:gridSpan w:val="2"/>
          </w:tcPr>
          <w:p w14:paraId="79239C6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p>
          <w:p w14:paraId="6633131F"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i/>
                <w:color w:val="000000"/>
                <w:sz w:val="20"/>
                <w:szCs w:val="20"/>
                <w:lang w:eastAsia="en-ZA"/>
              </w:rPr>
              <w:t>Procambarus virginalis</w:t>
            </w:r>
            <w:r w:rsidRPr="004D1E6F">
              <w:rPr>
                <w:rFonts w:ascii="Times New Roman" w:eastAsia="Times New Roman" w:hAnsi="Times New Roman" w:cs="Times New Roman"/>
                <w:color w:val="000000"/>
                <w:sz w:val="20"/>
                <w:szCs w:val="20"/>
                <w:lang w:eastAsia="en-ZA"/>
              </w:rPr>
              <w:t xml:space="preserve">, is a highly sought after aquarium pet species, due to its small size reproduce via parthogenisis making it easy to rear.  </w:t>
            </w:r>
            <w:r w:rsidRPr="004D1E6F">
              <w:rPr>
                <w:rFonts w:ascii="Times New Roman" w:eastAsia="Times New Roman" w:hAnsi="Times New Roman" w:cs="Times New Roman"/>
                <w:i/>
                <w:color w:val="000000"/>
                <w:sz w:val="20"/>
                <w:szCs w:val="20"/>
                <w:lang w:eastAsia="en-ZA"/>
              </w:rPr>
              <w:t>Procambarus virginalis</w:t>
            </w:r>
            <w:r w:rsidRPr="004D1E6F">
              <w:rPr>
                <w:rFonts w:ascii="Times New Roman" w:eastAsia="Times New Roman" w:hAnsi="Times New Roman" w:cs="Times New Roman"/>
                <w:color w:val="000000"/>
                <w:sz w:val="20"/>
                <w:szCs w:val="20"/>
                <w:lang w:eastAsia="en-ZA"/>
              </w:rPr>
              <w:t xml:space="preserve"> is in the same genus as </w:t>
            </w:r>
            <w:r w:rsidRPr="004D1E6F">
              <w:rPr>
                <w:rFonts w:ascii="Times New Roman" w:eastAsia="Times New Roman" w:hAnsi="Times New Roman" w:cs="Times New Roman"/>
                <w:i/>
                <w:color w:val="000000"/>
                <w:sz w:val="20"/>
                <w:szCs w:val="20"/>
                <w:lang w:eastAsia="en-ZA"/>
              </w:rPr>
              <w:t>Procambarus clarkii</w:t>
            </w:r>
            <w:r w:rsidRPr="004D1E6F">
              <w:rPr>
                <w:rFonts w:ascii="Times New Roman" w:eastAsia="Times New Roman" w:hAnsi="Times New Roman" w:cs="Times New Roman"/>
                <w:color w:val="000000"/>
                <w:sz w:val="20"/>
                <w:szCs w:val="20"/>
                <w:lang w:eastAsia="en-ZA"/>
              </w:rPr>
              <w:t xml:space="preserve">, it is therefore highly likely for it to have detrimental impacts in areas where it manages to establish populations. It is clear from the assessment that </w:t>
            </w:r>
            <w:r w:rsidRPr="004D1E6F">
              <w:rPr>
                <w:rFonts w:ascii="Times New Roman" w:eastAsia="Times New Roman" w:hAnsi="Times New Roman" w:cs="Times New Roman"/>
                <w:i/>
                <w:color w:val="000000"/>
                <w:sz w:val="20"/>
                <w:szCs w:val="20"/>
                <w:lang w:eastAsia="en-ZA"/>
              </w:rPr>
              <w:t xml:space="preserve">P. clarkii </w:t>
            </w:r>
            <w:r w:rsidRPr="004D1E6F">
              <w:rPr>
                <w:rFonts w:ascii="Times New Roman" w:eastAsia="Times New Roman" w:hAnsi="Times New Roman" w:cs="Times New Roman"/>
                <w:color w:val="000000"/>
                <w:sz w:val="20"/>
                <w:szCs w:val="20"/>
                <w:lang w:eastAsia="en-ZA"/>
              </w:rPr>
              <w:t>can</w:t>
            </w:r>
            <w:r w:rsidRPr="004D1E6F">
              <w:rPr>
                <w:rFonts w:ascii="Times New Roman" w:eastAsia="Times New Roman" w:hAnsi="Times New Roman" w:cs="Times New Roman"/>
                <w:i/>
                <w:color w:val="000000"/>
                <w:sz w:val="20"/>
                <w:szCs w:val="20"/>
                <w:lang w:eastAsia="en-ZA"/>
              </w:rPr>
              <w:t xml:space="preserve"> </w:t>
            </w:r>
            <w:r w:rsidRPr="004D1E6F">
              <w:rPr>
                <w:rFonts w:ascii="Times New Roman" w:eastAsia="Times New Roman" w:hAnsi="Times New Roman" w:cs="Times New Roman"/>
                <w:color w:val="000000"/>
                <w:sz w:val="20"/>
                <w:szCs w:val="20"/>
                <w:lang w:eastAsia="en-ZA"/>
              </w:rPr>
              <w:t xml:space="preserve">becomes invasive in areas of introduction. It can tolerate a wide range of environmental conditions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"10.2989/16085914.2017.1405788", "ISBN" : "16085914 (ISSN)", "ISSN" : "1608-5914", "abstract" : "Freshwater crayfish invasions have been studied around the world, but less so in Africa, a continent devoid of native freshwater crayfish. The present study reviews historical and current information on alien freshwater crayfish species introduced into South Africa and aims to indicate which areas are at risk from invasion. As is the case elsewhere, South Africans have shown a keen interest in both farming and keeping freshwater crayfish as pets, which has resulted in Cherax cainii, Cherax destructor, Cherax quadricarinatus and Procambarus clarkii being introduced to the country. There is evidence of successful establishment in the wild for C. quadricarinatus and P. clarkii in different parts of the country. Species distribution models suggest that the eastern part of the country and parts of the Eastern and Western Cape are at higher risk of invasion. At present, illegal translocations represent the most likely pathway of crayfish spread in South Africa. A continued risk of invasion by freshwater crayfish species in South Africa is highlighted, which reinforces the need for more research, as well as for strong mitigation measures, such as stronger policing of existing regulations, management or eradication where feasible and public education.", "author" : [ { "dropping-particle" : "", "family" : "Nunes", "given" : "AL", "non-dropping-particle" : "", "parse-names" : false, "suffix" : "" }, { "dropping-particle" : "", "family" : "Zengeya", "given" : "TA", "non-dropping-particle" : "", "parse-names" : false, "suffix" : "" }, { "dropping-particle" : "", "family" : "Measey", "given" : "GJ", "non-dropping-particle" : "", "parse-names" : false, "suffix" : "" }, { "dropping-particle" : "", "family" : "Weyl", "given" : "OLF", "non-dropping-particle" : "", "parse-names" : false, "suffix" : "" } ], "container-title" : "African Journal of Aquatic Science", "id" : "ITEM-1", "issue" : "4", "issued" : { "date-parts" : [ [ "2017" ] ] }, "page" : "309-323", "title" : "Freshwater crayfish invasions in South Africa: past, present and potential future", "type" : "article-journal", "volume" : "42" }, "uris" : [ "http://www.mendeley.com/documents/?uuid=24d0c78f-506a-4d83-9a91-bd44b82af982" ] } ], "mendeley" : { "formattedCitation" : "(Nunes et al. 2017b)", "plainTextFormattedCitation" : "(Nunes et al. 2017b)", "previouslyFormattedCitation" : "(Nunes et al. 2017b)"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(Nunes et al. 2017b)</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and it is an aggressive competitor that can out-compete and displace native species in invaded ecosystems </w:t>
            </w:r>
            <w:r w:rsidRPr="004D1E6F">
              <w:rPr>
                <w:rFonts w:ascii="Times New Roman" w:eastAsia="Times New Roman" w:hAnsi="Times New Roman" w:cs="Times New Roman"/>
                <w:color w:val="000000"/>
                <w:sz w:val="20"/>
                <w:szCs w:val="20"/>
                <w:lang w:eastAsia="en-ZA"/>
              </w:rPr>
              <w:fldChar w:fldCharType="begin" w:fldLock="1"/>
            </w:r>
            <w:r w:rsidRPr="004D1E6F">
              <w:rPr>
                <w:rFonts w:ascii="Times New Roman" w:eastAsia="Times New Roman" w:hAnsi="Times New Roman" w:cs="Times New Roman"/>
                <w:color w:val="000000"/>
                <w:sz w:val="20"/>
                <w:szCs w:val="20"/>
                <w:lang w:eastAsia="en-ZA"/>
              </w:rPr>
              <w:instrText>ADDIN CSL_CITATION { "citationItems" : [ { "id" : "ITEM-1", "itemData" : { "DOI" : "10.1016/j.biocon.2011.07.020", "author" : [ { "dropping-particle" : "", "family" : "Gherardi", "given" : "Francesca", "non-dropping-particle" : "", "parse-names" : false, "suffix" : "" }, { "dropping-particle" : "", "family" : "Britton", "given" : "J Robert", "non-dropping-particle" : "", "parse-names" : false, "suffix" : "" }, { "dropping-particle" : "", "family" : "Mavuti", "given" : "Kenneth M", "non-dropping-particle" : "", "parse-names" : false, "suffix" : "" }, { "dropping-particle" : "", "family" : "Pacini", "given" : "Nic", "non-dropping-particle" : "", "parse-names" : false, "suffix" : "" }, { "dropping-particle" : "", "family" : "Grey", "given" : "Jonathan", "non-dropping-particle" : "", "parse-names" : false, "suffix" : "" }, { "dropping-particle" : "", "family" : "Tricarico", "given" : "Elena", "non-dropping-particle" : "", "parse-names" : false, "suffix" : "" }, { "dropping-particle" : "", "family" : "Harper", "given" : "David M", "non-dropping-particle" : "", "parse-names" : false, "suffix" : "" } ], "id" : "ITEM-1", "issued" : { "date-parts" : [ [ "2011" ] ] }, "page" : "2585-2596", "publisher" : "Elsevier Ltd", "title" : "A review of allodiversity in Lake Naivasha , Kenya : Developing conservation actions to protect East African lakes from the negative impacts of alien species", "type" : "article-journal", "volume" : "144" }, "uris" : [ "http://www.mendeley.com/documents/?uuid=05c95c37-42e0-4b2c-a818-0f1c7fd1a239" ] }, { "id" : "ITEM-2", "itemData" : { "DOI" : "10.1111/1365-2656.12533", "ISBN" : "1365-2656 (Electronic)\\r0021-8790 (Linking)", "ISSN" : "13652656", "PMID" : "27084460", "abstract" : "1. Invasive species are a key driver of global environmental change, with frequently strong negative consequences for native biodiversity and ecosystem processes. Understanding com- petitive interactions between invaders and functionally similar native species provides an important benchmark for predicting the consequences of invasion. However, even though having a broad dietary niche is widely considered a key factor determining invasion success, little is known about the effects of competition with functionally similar native competitors on the dietary niche breadths of invasive species. 2. We used a combination of field experiments and field surveys to examine the impacts of competition with a functionally similar native crab species on the population densities, growth rates and diet of the globally widespread invasive red swamp crayfish in an African river ecosystem. 3. The presence of native crabs triggered significant dietary niche constriction within the inva- sive crayfish population. Further, growth rates of both species were reduced significantly, and by a similar extent, in the presence of one another. In spite of this, crayfish maintained posi- tive growth rates in the presence of crabs, whereas crabs lost mass in the presence of crayfish. Consequently, over the 3-year duration of the study, crab abundance declined at those sites invaded by the crayfish, becoming locally extinct at one. 4. The invasive crayfish had a dramatic effect on ecosystem structure and functioning, halv- ing benthic invertebrate densities and increasing decomposition rates fourfold compared to the crabs. This indicates that replacement of native crabs by invasive crayfish likely alters the structure and functioning of African river ecosystems significantly. 5. This study provides a novel example of the constriction of the dietary niche of a successful invasive population in the presence of competition from a functionally similar native species. This finding highlights the importance of considering both environmental and ecological contexts in order to predict and manage the impacts of invasive species on ecosystems.", "author" : [ { "dropping-particle" : "", "family" : "Jackson", "given" : "Michelle C.", "non-dropping-particle" : "", "parse-names" : false, "suffix" : "" }, { "dropping-particle" : "", "family" : "Grey", "given" : "Jonathan", "non-dropping-particle" : "", "parse-names" : false, "suffix" : "" }, { "dropping-particle" : "", "family" : "Miller", "given" : "Katie", "non-dropping-particle" : "", "parse-names" : false, "suffix" : "" }, { "dropping-particle" : "", "family" : "Britton", "given" : "J. Robert", "non-dropping-particle" : "", "parse-names" : false, "suffix" : "" }, { "dropping-particle" : "", "family" : "Donohue", "given" : "Ian", "non-dropping-particle" : "", "parse-names" : false, "suffix" : "" } ], "container-title" : "Journal of Animal Ecology", "id" : "ITEM-2", "issued" : { "date-parts" : [ [ "2016" ] ] }, "page" : "1098-1107", "title" : "Dietary niche constriction when invaders meet natives: Evidence from freshwater decapods", "type" : "article-journal" }, "uris" : [ "http://www.mendeley.com/documents/?uuid=4d1dad2a-af96-4ee7-a254-3fb10d7453b1" ] } ], "mendeley" : { "formattedCitation" : "(Gherardi et al. 2011, Jackson et al. 2016)", "plainTextFormattedCitation" : "(Gherardi et al. 2011, Jackson et al. 2016)", "previouslyFormattedCitation" : "(Gherardi et al. 2011, Jackson et al. 2016)" }, "properties" : { "noteIndex" : 0 }, "schema" : "https://github.com/citation-style-language/schema/raw/master/csl-citation.json" }</w:instrText>
            </w:r>
            <w:r w:rsidRPr="004D1E6F">
              <w:rPr>
                <w:rFonts w:ascii="Times New Roman" w:eastAsia="Times New Roman" w:hAnsi="Times New Roman" w:cs="Times New Roman"/>
                <w:color w:val="000000"/>
                <w:sz w:val="20"/>
                <w:szCs w:val="20"/>
                <w:lang w:eastAsia="en-ZA"/>
              </w:rPr>
              <w:fldChar w:fldCharType="separate"/>
            </w:r>
            <w:r w:rsidRPr="004D1E6F">
              <w:rPr>
                <w:rFonts w:ascii="Times New Roman" w:eastAsia="Times New Roman" w:hAnsi="Times New Roman" w:cs="Times New Roman"/>
                <w:color w:val="000000"/>
                <w:sz w:val="20"/>
                <w:szCs w:val="20"/>
                <w:lang w:eastAsia="en-ZA"/>
              </w:rPr>
              <w:t>(Gherardi et al. 2011, Jackson et al. 2016)</w:t>
            </w:r>
            <w:r w:rsidRPr="004D1E6F">
              <w:rPr>
                <w:rFonts w:ascii="Times New Roman" w:eastAsia="Times New Roman" w:hAnsi="Times New Roman" w:cs="Times New Roman"/>
                <w:color w:val="000000"/>
                <w:sz w:val="20"/>
                <w:szCs w:val="20"/>
                <w:lang w:eastAsia="en-ZA"/>
              </w:rPr>
              <w:fldChar w:fldCharType="end"/>
            </w:r>
            <w:r w:rsidRPr="004D1E6F">
              <w:rPr>
                <w:rFonts w:ascii="Times New Roman" w:eastAsia="Times New Roman" w:hAnsi="Times New Roman" w:cs="Times New Roman"/>
                <w:color w:val="000000"/>
                <w:sz w:val="20"/>
                <w:szCs w:val="20"/>
                <w:lang w:eastAsia="en-ZA"/>
              </w:rPr>
              <w:t xml:space="preserve">. It is thereore highly likely that </w:t>
            </w:r>
            <w:r w:rsidRPr="004D1E6F">
              <w:rPr>
                <w:rFonts w:ascii="Times New Roman" w:eastAsia="Times New Roman" w:hAnsi="Times New Roman" w:cs="Times New Roman"/>
                <w:i/>
                <w:color w:val="000000"/>
                <w:sz w:val="20"/>
                <w:szCs w:val="20"/>
                <w:lang w:eastAsia="en-ZA"/>
              </w:rPr>
              <w:t xml:space="preserve">Procambarus virginalis </w:t>
            </w:r>
            <w:r w:rsidRPr="004D1E6F">
              <w:rPr>
                <w:rFonts w:ascii="Times New Roman" w:eastAsia="Times New Roman" w:hAnsi="Times New Roman" w:cs="Times New Roman"/>
                <w:color w:val="000000"/>
                <w:sz w:val="20"/>
                <w:szCs w:val="20"/>
                <w:lang w:eastAsia="en-ZA"/>
              </w:rPr>
              <w:t>can have similar impacts in its invaded range.</w:t>
            </w:r>
          </w:p>
        </w:tc>
      </w:tr>
      <w:tr w:rsidR="002D7080" w:rsidRPr="004D1E6F" w14:paraId="779698E9" w14:textId="77777777" w:rsidTr="002E2C37">
        <w:trPr>
          <w:trHeight w:val="343"/>
        </w:trPr>
        <w:tc>
          <w:tcPr>
            <w:tcW w:w="9090" w:type="dxa"/>
            <w:gridSpan w:val="2"/>
          </w:tcPr>
          <w:p w14:paraId="2CD65D8C"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36CF7BD5" w14:textId="77777777" w:rsidR="002D7080" w:rsidRPr="00204DF8" w:rsidRDefault="002D7080" w:rsidP="002E2C37">
            <w:pPr>
              <w:spacing w:after="120"/>
              <w:ind w:left="510" w:hanging="510"/>
              <w:contextualSpacing/>
              <w:jc w:val="both"/>
              <w:rPr>
                <w:rFonts w:ascii="Times New Roman" w:eastAsia="Times New Roman" w:hAnsi="Times New Roman" w:cs="Times New Roman"/>
                <w:color w:val="000000"/>
                <w:sz w:val="20"/>
                <w:szCs w:val="20"/>
                <w:lang w:eastAsia="en-ZA"/>
              </w:rPr>
            </w:pPr>
            <w:r w:rsidRPr="00204DF8">
              <w:rPr>
                <w:rFonts w:ascii="Times New Roman" w:eastAsia="Times New Roman" w:hAnsi="Times New Roman" w:cs="Times New Roman"/>
                <w:color w:val="000000"/>
                <w:sz w:val="20"/>
                <w:szCs w:val="20"/>
                <w:lang w:eastAsia="en-ZA"/>
              </w:rPr>
              <w:t xml:space="preserve">Chucholl C, Pfeiffer M. 2010. First evidence for an established Marmorkrebs (Decapoda, Astacida, Cambaridae) population in Southwestern Germany, in syntopic occurrence with </w:t>
            </w:r>
            <w:r w:rsidRPr="00204DF8">
              <w:rPr>
                <w:rFonts w:ascii="Times New Roman" w:eastAsia="Times New Roman" w:hAnsi="Times New Roman" w:cs="Times New Roman"/>
                <w:i/>
                <w:color w:val="000000"/>
                <w:sz w:val="20"/>
                <w:szCs w:val="20"/>
                <w:lang w:eastAsia="en-ZA"/>
              </w:rPr>
              <w:t>Orconectes limosus</w:t>
            </w:r>
            <w:r w:rsidRPr="00204DF8">
              <w:rPr>
                <w:rFonts w:ascii="Times New Roman" w:eastAsia="Times New Roman" w:hAnsi="Times New Roman" w:cs="Times New Roman"/>
                <w:color w:val="000000"/>
                <w:sz w:val="20"/>
                <w:szCs w:val="20"/>
                <w:lang w:eastAsia="en-ZA"/>
              </w:rPr>
              <w:t xml:space="preserve"> (Rafinesque, 1817). </w:t>
            </w:r>
            <w:r w:rsidRPr="00204DF8">
              <w:rPr>
                <w:rFonts w:ascii="Times New Roman" w:eastAsia="Times New Roman" w:hAnsi="Times New Roman" w:cs="Times New Roman"/>
                <w:i/>
                <w:iCs/>
                <w:color w:val="000000"/>
                <w:sz w:val="20"/>
                <w:szCs w:val="20"/>
                <w:lang w:eastAsia="en-ZA"/>
              </w:rPr>
              <w:t>Aquatic invasions</w:t>
            </w:r>
            <w:r w:rsidRPr="00204DF8">
              <w:rPr>
                <w:rFonts w:ascii="Times New Roman" w:eastAsia="Times New Roman" w:hAnsi="Times New Roman" w:cs="Times New Roman"/>
                <w:color w:val="000000"/>
                <w:sz w:val="20"/>
                <w:szCs w:val="20"/>
                <w:lang w:eastAsia="en-ZA"/>
              </w:rPr>
              <w:t xml:space="preserve"> </w:t>
            </w:r>
            <w:r w:rsidRPr="00204DF8">
              <w:rPr>
                <w:rFonts w:ascii="Times New Roman" w:eastAsia="Times New Roman" w:hAnsi="Times New Roman" w:cs="Times New Roman"/>
                <w:iCs/>
                <w:color w:val="000000"/>
                <w:sz w:val="20"/>
                <w:szCs w:val="20"/>
                <w:lang w:eastAsia="en-ZA"/>
              </w:rPr>
              <w:t>5</w:t>
            </w:r>
            <w:r>
              <w:rPr>
                <w:rFonts w:ascii="Times New Roman" w:eastAsia="Times New Roman" w:hAnsi="Times New Roman" w:cs="Times New Roman"/>
                <w:iCs/>
                <w:color w:val="000000"/>
                <w:sz w:val="20"/>
                <w:szCs w:val="20"/>
                <w:lang w:eastAsia="en-ZA"/>
              </w:rPr>
              <w:t xml:space="preserve">, </w:t>
            </w:r>
            <w:r w:rsidRPr="00204DF8">
              <w:rPr>
                <w:rFonts w:ascii="Times New Roman" w:eastAsia="Times New Roman" w:hAnsi="Times New Roman" w:cs="Times New Roman"/>
                <w:color w:val="000000"/>
                <w:sz w:val="20"/>
                <w:szCs w:val="20"/>
                <w:lang w:eastAsia="en-ZA"/>
              </w:rPr>
              <w:t xml:space="preserve">405-412. </w:t>
            </w:r>
            <w:hyperlink r:id="rId681" w:history="1">
              <w:r w:rsidRPr="00204DF8">
                <w:rPr>
                  <w:rStyle w:val="Hyperlink"/>
                  <w:rFonts w:ascii="Times New Roman" w:eastAsia="Times New Roman" w:hAnsi="Times New Roman" w:cs="Times New Roman"/>
                  <w:iCs/>
                  <w:sz w:val="20"/>
                  <w:szCs w:val="20"/>
                  <w:lang w:eastAsia="en-ZA"/>
                </w:rPr>
                <w:t>https://doi.org/10.3391/ai.2010.5.4.10</w:t>
              </w:r>
            </w:hyperlink>
          </w:p>
          <w:p w14:paraId="50CE6827" w14:textId="77777777" w:rsidR="002D7080" w:rsidRPr="00204DF8" w:rsidRDefault="002D7080" w:rsidP="002E2C37">
            <w:pPr>
              <w:spacing w:after="120"/>
              <w:ind w:left="522" w:hanging="522"/>
              <w:contextualSpacing/>
              <w:jc w:val="both"/>
              <w:rPr>
                <w:rFonts w:ascii="Times New Roman" w:eastAsia="Times New Roman" w:hAnsi="Times New Roman" w:cs="Times New Roman"/>
                <w:color w:val="000000"/>
                <w:sz w:val="20"/>
                <w:szCs w:val="20"/>
                <w:lang w:eastAsia="en-ZA"/>
              </w:rPr>
            </w:pPr>
            <w:r w:rsidRPr="00204DF8">
              <w:rPr>
                <w:rFonts w:ascii="Times New Roman" w:hAnsi="Times New Roman" w:cs="Times New Roman"/>
                <w:bCs/>
                <w:sz w:val="20"/>
                <w:szCs w:val="20"/>
              </w:rPr>
              <w:t>Feria, T.P. &amp; Faulkes, Z., 2011, ‘Forecasting the distribution of Marmorkrebs, a parthenogenetic crayfish with high invasive potential, in Madagascar, Europe, and North America</w:t>
            </w:r>
            <w:r w:rsidRPr="00204DF8">
              <w:rPr>
                <w:rFonts w:ascii="Times New Roman" w:hAnsi="Times New Roman" w:cs="Times New Roman"/>
                <w:bCs/>
                <w:i/>
                <w:iCs/>
                <w:sz w:val="20"/>
                <w:szCs w:val="20"/>
              </w:rPr>
              <w:t xml:space="preserve">’, Aquatic Invasions </w:t>
            </w:r>
            <w:r w:rsidRPr="00204DF8">
              <w:rPr>
                <w:rFonts w:ascii="Times New Roman" w:hAnsi="Times New Roman" w:cs="Times New Roman"/>
                <w:bCs/>
                <w:iCs/>
                <w:sz w:val="20"/>
                <w:szCs w:val="20"/>
              </w:rPr>
              <w:t>6, 55–67</w:t>
            </w:r>
            <w:r w:rsidRPr="00204DF8">
              <w:rPr>
                <w:rFonts w:ascii="Times New Roman" w:hAnsi="Times New Roman" w:cs="Times New Roman"/>
                <w:bCs/>
                <w:i/>
                <w:iCs/>
                <w:sz w:val="20"/>
                <w:szCs w:val="20"/>
              </w:rPr>
              <w:t xml:space="preserve">. </w:t>
            </w:r>
            <w:r w:rsidRPr="00204DF8">
              <w:rPr>
                <w:rFonts w:ascii="Times New Roman" w:hAnsi="Times New Roman" w:cs="Times New Roman"/>
                <w:bCs/>
                <w:sz w:val="20"/>
                <w:szCs w:val="20"/>
              </w:rPr>
              <w:t xml:space="preserve"> </w:t>
            </w:r>
            <w:hyperlink r:id="rId682" w:history="1">
              <w:r w:rsidRPr="00204DF8">
                <w:rPr>
                  <w:rStyle w:val="Hyperlink"/>
                  <w:rFonts w:ascii="Times New Roman" w:hAnsi="Times New Roman" w:cs="Times New Roman"/>
                  <w:bCs/>
                  <w:iCs/>
                  <w:sz w:val="20"/>
                  <w:szCs w:val="20"/>
                </w:rPr>
                <w:t>https://doi.org/10.3391/ai.2011.6.1.07</w:t>
              </w:r>
            </w:hyperlink>
            <w:r w:rsidRPr="00204DF8">
              <w:rPr>
                <w:rFonts w:ascii="Times New Roman" w:eastAsia="Times New Roman" w:hAnsi="Times New Roman" w:cs="Times New Roman"/>
                <w:color w:val="000000"/>
                <w:sz w:val="20"/>
                <w:szCs w:val="20"/>
                <w:lang w:eastAsia="en-ZA"/>
              </w:rPr>
              <w:t xml:space="preserve">. </w:t>
            </w:r>
          </w:p>
          <w:p w14:paraId="197E8ED7" w14:textId="77777777" w:rsidR="002D7080" w:rsidRPr="00204DF8" w:rsidRDefault="002D7080" w:rsidP="002E2C37">
            <w:pPr>
              <w:spacing w:after="120"/>
              <w:ind w:left="522" w:hanging="522"/>
              <w:contextualSpacing/>
              <w:jc w:val="both"/>
              <w:rPr>
                <w:rFonts w:ascii="Times New Roman" w:eastAsia="Times New Roman" w:hAnsi="Times New Roman" w:cs="Times New Roman"/>
                <w:color w:val="000000"/>
                <w:sz w:val="20"/>
                <w:szCs w:val="20"/>
                <w:lang w:eastAsia="en-ZA"/>
              </w:rPr>
            </w:pPr>
            <w:r w:rsidRPr="00204DF8">
              <w:rPr>
                <w:rFonts w:ascii="Times New Roman" w:eastAsia="Times New Roman" w:hAnsi="Times New Roman" w:cs="Times New Roman"/>
                <w:color w:val="000000"/>
                <w:sz w:val="20"/>
                <w:szCs w:val="20"/>
                <w:lang w:eastAsia="en-ZA"/>
              </w:rPr>
              <w:t xml:space="preserve">Gherardi, F., Britton, J.R., Mavuti, K.M., Pacini, N., Grey, J., Tricarico, E. &amp; Harper, D.M., 2011, ‘A review of allodiversity in Lake Naivasha, Kenya: Developing conservation actions to protect East African lakes from the negative impacts of alien species’, </w:t>
            </w:r>
            <w:r w:rsidRPr="00204DF8">
              <w:rPr>
                <w:rFonts w:ascii="Times New Roman" w:eastAsia="Times New Roman" w:hAnsi="Times New Roman" w:cs="Times New Roman"/>
                <w:i/>
                <w:color w:val="000000"/>
                <w:sz w:val="20"/>
                <w:szCs w:val="20"/>
                <w:lang w:eastAsia="en-ZA"/>
              </w:rPr>
              <w:t xml:space="preserve">Biological Conservation, </w:t>
            </w:r>
            <w:r w:rsidRPr="00204DF8">
              <w:rPr>
                <w:rFonts w:ascii="Times New Roman" w:eastAsia="Times New Roman" w:hAnsi="Times New Roman" w:cs="Times New Roman"/>
                <w:color w:val="000000"/>
                <w:sz w:val="20"/>
                <w:szCs w:val="20"/>
                <w:lang w:eastAsia="en-ZA"/>
              </w:rPr>
              <w:t xml:space="preserve">144, 2585-2596. </w:t>
            </w:r>
            <w:hyperlink r:id="rId683" w:history="1">
              <w:r w:rsidRPr="00204DF8">
                <w:rPr>
                  <w:rStyle w:val="Hyperlink"/>
                  <w:rFonts w:ascii="Times New Roman" w:eastAsia="Times New Roman" w:hAnsi="Times New Roman" w:cs="Times New Roman"/>
                  <w:sz w:val="20"/>
                  <w:szCs w:val="20"/>
                  <w:lang w:eastAsia="en-ZA"/>
                </w:rPr>
                <w:t>https://doi.org/10.1016/j.biocon.2011.07.020</w:t>
              </w:r>
            </w:hyperlink>
            <w:r w:rsidRPr="00204DF8">
              <w:rPr>
                <w:rFonts w:ascii="Times New Roman" w:eastAsia="Times New Roman" w:hAnsi="Times New Roman" w:cs="Times New Roman"/>
                <w:color w:val="000000"/>
                <w:sz w:val="20"/>
                <w:szCs w:val="20"/>
                <w:lang w:eastAsia="en-ZA"/>
              </w:rPr>
              <w:t>.</w:t>
            </w:r>
          </w:p>
          <w:p w14:paraId="273A8C73" w14:textId="77777777" w:rsidR="002D7080" w:rsidRPr="00204DF8" w:rsidRDefault="002D7080" w:rsidP="002E2C37">
            <w:pPr>
              <w:spacing w:after="120"/>
              <w:ind w:left="510" w:hanging="510"/>
              <w:contextualSpacing/>
              <w:jc w:val="both"/>
              <w:rPr>
                <w:rFonts w:ascii="Times New Roman" w:hAnsi="Times New Roman" w:cs="Times New Roman"/>
                <w:bCs/>
                <w:sz w:val="20"/>
                <w:szCs w:val="20"/>
              </w:rPr>
            </w:pPr>
            <w:r w:rsidRPr="00204DF8">
              <w:rPr>
                <w:rFonts w:ascii="Times New Roman" w:hAnsi="Times New Roman" w:cs="Times New Roman"/>
                <w:bCs/>
                <w:sz w:val="20"/>
                <w:szCs w:val="20"/>
              </w:rPr>
              <w:t xml:space="preserve">Jackson, M.C., Grey, J., Miller, K., Britton, J.R., Donohue, I., 2016, ‘Dietary niche constriction when invaders meet natives: Evidence from freshwater decapods’, </w:t>
            </w:r>
            <w:r w:rsidRPr="00204DF8">
              <w:rPr>
                <w:rFonts w:ascii="Times New Roman" w:hAnsi="Times New Roman" w:cs="Times New Roman"/>
                <w:bCs/>
                <w:i/>
                <w:sz w:val="20"/>
                <w:szCs w:val="20"/>
              </w:rPr>
              <w:t>Journal of Animal Ecology</w:t>
            </w:r>
            <w:r w:rsidRPr="00204DF8">
              <w:rPr>
                <w:rFonts w:ascii="Times New Roman" w:hAnsi="Times New Roman" w:cs="Times New Roman"/>
                <w:bCs/>
                <w:sz w:val="20"/>
                <w:szCs w:val="20"/>
              </w:rPr>
              <w:t xml:space="preserve">, 85, 1098–1107, </w:t>
            </w:r>
            <w:hyperlink w:history="1">
              <w:r w:rsidRPr="00204DF8">
                <w:rPr>
                  <w:rStyle w:val="Hyperlink"/>
                  <w:rFonts w:ascii="Times New Roman" w:hAnsi="Times New Roman" w:cs="Times New Roman"/>
                  <w:bCs/>
                  <w:sz w:val="20"/>
                  <w:szCs w:val="20"/>
                </w:rPr>
                <w:t>https://doi.org/10.1111/1365-2656.12533</w:t>
              </w:r>
            </w:hyperlink>
            <w:r w:rsidRPr="00204DF8">
              <w:rPr>
                <w:rFonts w:ascii="Times New Roman" w:hAnsi="Times New Roman" w:cs="Times New Roman"/>
                <w:bCs/>
                <w:sz w:val="20"/>
                <w:szCs w:val="20"/>
              </w:rPr>
              <w:t xml:space="preserve"> .</w:t>
            </w:r>
          </w:p>
          <w:p w14:paraId="0C2AD00D" w14:textId="77777777" w:rsidR="002D7080" w:rsidRPr="00204DF8" w:rsidRDefault="002D7080" w:rsidP="002E2C37">
            <w:pPr>
              <w:spacing w:after="120"/>
              <w:ind w:left="522" w:hanging="522"/>
              <w:contextualSpacing/>
              <w:jc w:val="both"/>
              <w:rPr>
                <w:rFonts w:ascii="Times New Roman" w:eastAsia="Times New Roman" w:hAnsi="Times New Roman" w:cs="Times New Roman"/>
                <w:color w:val="000000"/>
                <w:sz w:val="20"/>
                <w:szCs w:val="20"/>
                <w:lang w:eastAsia="en-ZA"/>
              </w:rPr>
            </w:pPr>
            <w:r w:rsidRPr="00204DF8">
              <w:rPr>
                <w:rFonts w:ascii="Times New Roman" w:eastAsia="Times New Roman" w:hAnsi="Times New Roman" w:cs="Times New Roman"/>
                <w:color w:val="000000"/>
                <w:sz w:val="20"/>
                <w:szCs w:val="20"/>
                <w:lang w:eastAsia="en-ZA"/>
              </w:rPr>
              <w:t xml:space="preserve">Nunes AL, Zengeya TA, Measey GJ, Weyl OLF. 2017. Freshwater crayfish invasions in South Africa: Past, present and potential future. </w:t>
            </w:r>
            <w:r w:rsidRPr="00204DF8">
              <w:rPr>
                <w:rFonts w:ascii="Times New Roman" w:eastAsia="Times New Roman" w:hAnsi="Times New Roman" w:cs="Times New Roman"/>
                <w:i/>
                <w:color w:val="000000"/>
                <w:sz w:val="20"/>
                <w:szCs w:val="20"/>
                <w:lang w:eastAsia="en-ZA"/>
              </w:rPr>
              <w:t>African Journal of Aquatic Science</w:t>
            </w:r>
            <w:r w:rsidRPr="00204DF8">
              <w:rPr>
                <w:rFonts w:ascii="Times New Roman" w:eastAsia="Times New Roman" w:hAnsi="Times New Roman" w:cs="Times New Roman"/>
                <w:color w:val="000000"/>
                <w:sz w:val="20"/>
                <w:szCs w:val="20"/>
                <w:lang w:eastAsia="en-ZA"/>
              </w:rPr>
              <w:t xml:space="preserve"> 42, 309-323.</w:t>
            </w:r>
            <w:r w:rsidRPr="00204DF8">
              <w:rPr>
                <w:rFonts w:ascii="Times New Roman" w:eastAsia="Times New Roman" w:hAnsi="Times New Roman" w:cs="Times New Roman"/>
                <w:sz w:val="20"/>
                <w:szCs w:val="20"/>
                <w:lang w:eastAsia="en-ZA"/>
              </w:rPr>
              <w:t xml:space="preserve"> </w:t>
            </w:r>
            <w:hyperlink r:id="rId684" w:history="1">
              <w:r w:rsidRPr="00204DF8">
                <w:rPr>
                  <w:rStyle w:val="Hyperlink"/>
                  <w:rFonts w:ascii="Times New Roman" w:eastAsia="Times New Roman" w:hAnsi="Times New Roman" w:cs="Times New Roman"/>
                  <w:sz w:val="20"/>
                  <w:szCs w:val="20"/>
                  <w:lang w:eastAsia="en-ZA"/>
                </w:rPr>
                <w:t>https://doi.org/10.2989/16085914.2017.1405788</w:t>
              </w:r>
            </w:hyperlink>
            <w:r w:rsidRPr="00204DF8">
              <w:rPr>
                <w:rFonts w:ascii="Times New Roman" w:eastAsia="Calibri" w:hAnsi="Times New Roman" w:cs="Times New Roman"/>
                <w:sz w:val="20"/>
                <w:szCs w:val="20"/>
              </w:rPr>
              <w:t xml:space="preserve">.   </w:t>
            </w:r>
          </w:p>
          <w:p w14:paraId="617C4602" w14:textId="77777777" w:rsidR="002D7080" w:rsidRPr="004D1E6F" w:rsidRDefault="002D7080" w:rsidP="002E2C37">
            <w:pPr>
              <w:spacing w:after="120"/>
              <w:ind w:left="510" w:hanging="510"/>
              <w:contextualSpacing/>
              <w:jc w:val="both"/>
              <w:rPr>
                <w:rFonts w:ascii="Times New Roman" w:eastAsia="Times New Roman" w:hAnsi="Times New Roman" w:cs="Times New Roman"/>
                <w:color w:val="000000"/>
                <w:sz w:val="20"/>
                <w:szCs w:val="20"/>
                <w:lang w:eastAsia="en-ZA"/>
              </w:rPr>
            </w:pPr>
            <w:r w:rsidRPr="00204DF8">
              <w:rPr>
                <w:rFonts w:ascii="Times New Roman" w:eastAsia="Times New Roman" w:hAnsi="Times New Roman" w:cs="Times New Roman"/>
                <w:color w:val="000000"/>
                <w:sz w:val="20"/>
                <w:szCs w:val="20"/>
                <w:lang w:eastAsia="en-ZA"/>
              </w:rPr>
              <w:t>Soes M, Koese, B. 2010. Invasive freshwater crayfish in the Netherlands: a preliminary risk analysis. </w:t>
            </w:r>
            <w:r w:rsidRPr="00204DF8">
              <w:rPr>
                <w:rFonts w:ascii="Times New Roman" w:eastAsia="Times New Roman" w:hAnsi="Times New Roman" w:cs="Times New Roman"/>
                <w:iCs/>
                <w:color w:val="000000"/>
                <w:sz w:val="20"/>
                <w:szCs w:val="20"/>
                <w:lang w:eastAsia="en-ZA"/>
              </w:rPr>
              <w:t>Invasive freshwater crayfish in the Netherlands: a preliminary risk analysis</w:t>
            </w:r>
          </w:p>
        </w:tc>
      </w:tr>
    </w:tbl>
    <w:p w14:paraId="677508D8" w14:textId="77777777" w:rsidR="002D7080" w:rsidRPr="004D1E6F" w:rsidRDefault="002D7080" w:rsidP="002D7080">
      <w:pPr>
        <w:spacing w:after="0" w:line="240" w:lineRule="auto"/>
        <w:rPr>
          <w:rFonts w:ascii="Times New Roman" w:eastAsia="Calibri" w:hAnsi="Times New Roman" w:cs="Times New Roman"/>
          <w:b/>
          <w:sz w:val="20"/>
          <w:szCs w:val="20"/>
        </w:rPr>
      </w:pPr>
    </w:p>
    <w:p w14:paraId="0FE13D62" w14:textId="77777777" w:rsidR="002D7080" w:rsidRPr="004D1E6F" w:rsidRDefault="002D7080" w:rsidP="002D7080">
      <w:pPr>
        <w:spacing w:after="0" w:line="240" w:lineRule="auto"/>
        <w:rPr>
          <w:rFonts w:ascii="Times New Roman" w:eastAsia="Calibri" w:hAnsi="Times New Roman" w:cs="Times New Roman"/>
          <w:b/>
          <w:sz w:val="20"/>
          <w:szCs w:val="20"/>
        </w:rPr>
      </w:pPr>
      <w:r w:rsidRPr="004D1E6F">
        <w:rPr>
          <w:rFonts w:ascii="Times New Roman" w:eastAsia="Times New Roman" w:hAnsi="Times New Roman" w:cs="Times New Roman"/>
          <w:b/>
          <w:color w:val="000000"/>
          <w:sz w:val="20"/>
          <w:szCs w:val="20"/>
          <w:lang w:eastAsia="en-ZA"/>
        </w:rPr>
        <w:t>4. Management</w:t>
      </w:r>
    </w:p>
    <w:p w14:paraId="4EFC9631"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9090" w:type="dxa"/>
        <w:tblInd w:w="18" w:type="dxa"/>
        <w:tblLook w:val="04A0" w:firstRow="1" w:lastRow="0" w:firstColumn="1" w:lastColumn="0" w:noHBand="0" w:noVBand="1"/>
      </w:tblPr>
      <w:tblGrid>
        <w:gridCol w:w="5222"/>
        <w:gridCol w:w="3868"/>
      </w:tblGrid>
      <w:tr w:rsidR="002D7080" w:rsidRPr="004D1E6F" w14:paraId="5B9723D1" w14:textId="77777777" w:rsidTr="002E2C37">
        <w:trPr>
          <w:trHeight w:val="343"/>
        </w:trPr>
        <w:tc>
          <w:tcPr>
            <w:tcW w:w="9090" w:type="dxa"/>
            <w:gridSpan w:val="2"/>
            <w:shd w:val="clear" w:color="auto" w:fill="F2F2F2" w:themeFill="background1" w:themeFillShade="F2"/>
          </w:tcPr>
          <w:p w14:paraId="4B1ABB7A" w14:textId="77777777" w:rsidR="002D7080" w:rsidRPr="004D1E6F" w:rsidRDefault="002D7080" w:rsidP="002E2C37">
            <w:pPr>
              <w:contextualSpacing/>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MAN1 What is the feasibility to stop future immigration?</w:t>
            </w:r>
          </w:p>
        </w:tc>
      </w:tr>
      <w:tr w:rsidR="002D7080" w:rsidRPr="004D1E6F" w14:paraId="6B8D9BE3" w14:textId="77777777" w:rsidTr="002E2C37">
        <w:trPr>
          <w:trHeight w:val="172"/>
        </w:trPr>
        <w:tc>
          <w:tcPr>
            <w:tcW w:w="5222" w:type="dxa"/>
          </w:tcPr>
          <w:p w14:paraId="5045E35D" w14:textId="77777777" w:rsidR="002D7080" w:rsidRPr="004D1E6F" w:rsidRDefault="002D7080" w:rsidP="002E2C37">
            <w:pPr>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High</w:t>
            </w:r>
          </w:p>
        </w:tc>
        <w:tc>
          <w:tcPr>
            <w:tcW w:w="3868" w:type="dxa"/>
          </w:tcPr>
          <w:p w14:paraId="243049D8" w14:textId="77777777" w:rsidR="002D7080" w:rsidRPr="004D1E6F" w:rsidRDefault="002D7080" w:rsidP="002E2C37">
            <w:pPr>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 Low</w:t>
            </w:r>
          </w:p>
        </w:tc>
      </w:tr>
      <w:tr w:rsidR="002D7080" w:rsidRPr="004D1E6F" w14:paraId="172607AB" w14:textId="77777777" w:rsidTr="002E2C37">
        <w:trPr>
          <w:trHeight w:val="343"/>
        </w:trPr>
        <w:tc>
          <w:tcPr>
            <w:tcW w:w="9090" w:type="dxa"/>
            <w:gridSpan w:val="2"/>
          </w:tcPr>
          <w:p w14:paraId="32A24B0D" w14:textId="77777777" w:rsidR="002D7080" w:rsidRPr="004D1E6F" w:rsidRDefault="002D7080" w:rsidP="002E2C37">
            <w:pPr>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Rationale:</w:t>
            </w:r>
            <w:r>
              <w:rPr>
                <w:rFonts w:ascii="Times New Roman" w:eastAsia="Times New Roman" w:hAnsi="Times New Roman" w:cs="Times New Roman"/>
                <w:color w:val="000000"/>
                <w:sz w:val="20"/>
                <w:szCs w:val="20"/>
                <w:lang w:eastAsia="en-ZA"/>
              </w:rPr>
              <w:t xml:space="preserve"> </w:t>
            </w:r>
            <w:r w:rsidRPr="0058778E">
              <w:rPr>
                <w:rFonts w:ascii="Times New Roman" w:eastAsia="Times New Roman" w:hAnsi="Times New Roman" w:cs="Times New Roman"/>
                <w:i/>
                <w:iCs/>
                <w:sz w:val="20"/>
                <w:szCs w:val="20"/>
                <w:lang w:eastAsia="en-ZA"/>
              </w:rPr>
              <w:t xml:space="preserve">Procambarus virginalis </w:t>
            </w:r>
            <w:r w:rsidRPr="007A20BD">
              <w:rPr>
                <w:rFonts w:ascii="Times New Roman" w:eastAsia="Times New Roman" w:hAnsi="Times New Roman" w:cs="Times New Roman"/>
                <w:sz w:val="20"/>
                <w:szCs w:val="20"/>
                <w:lang w:eastAsia="en-ZA"/>
              </w:rPr>
              <w:t>is a</w:t>
            </w:r>
            <w:r>
              <w:rPr>
                <w:rFonts w:ascii="Times New Roman" w:eastAsia="Times New Roman" w:hAnsi="Times New Roman" w:cs="Times New Roman"/>
                <w:i/>
                <w:iCs/>
                <w:sz w:val="20"/>
                <w:szCs w:val="20"/>
                <w:lang w:eastAsia="en-ZA"/>
              </w:rPr>
              <w:t xml:space="preserve"> </w:t>
            </w:r>
            <w:r w:rsidRPr="006E53E4">
              <w:rPr>
                <w:rFonts w:ascii="Times New Roman" w:eastAsia="Times New Roman" w:hAnsi="Times New Roman" w:cs="Times New Roman"/>
                <w:sz w:val="20"/>
                <w:szCs w:val="20"/>
                <w:lang w:eastAsia="en-ZA"/>
              </w:rPr>
              <w:t xml:space="preserve">common species in the global pet trade and aquaculture industry </w:t>
            </w:r>
            <w:r w:rsidRPr="006E53E4">
              <w:rPr>
                <w:rFonts w:ascii="Times New Roman" w:eastAsia="Times New Roman" w:hAnsi="Times New Roman" w:cs="Times New Roman"/>
                <w:sz w:val="20"/>
                <w:szCs w:val="20"/>
                <w:lang w:eastAsia="en-ZA"/>
              </w:rPr>
              <w:fldChar w:fldCharType="begin" w:fldLock="1"/>
            </w:r>
            <w:r w:rsidRPr="006E53E4">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6E53E4">
              <w:rPr>
                <w:rFonts w:ascii="Times New Roman" w:eastAsia="Times New Roman" w:hAnsi="Times New Roman" w:cs="Times New Roman"/>
                <w:sz w:val="20"/>
                <w:szCs w:val="20"/>
                <w:lang w:eastAsia="en-ZA"/>
              </w:rPr>
              <w:fldChar w:fldCharType="separate"/>
            </w:r>
            <w:r w:rsidRPr="006E53E4">
              <w:rPr>
                <w:rFonts w:ascii="Times New Roman" w:eastAsia="Times New Roman" w:hAnsi="Times New Roman" w:cs="Times New Roman"/>
                <w:sz w:val="20"/>
                <w:szCs w:val="20"/>
                <w:lang w:eastAsia="en-ZA"/>
              </w:rPr>
              <w:t>(Faulkes 2015</w:t>
            </w:r>
            <w:r w:rsidRPr="006E53E4">
              <w:rPr>
                <w:rFonts w:ascii="Times New Roman" w:eastAsia="Times New Roman" w:hAnsi="Times New Roman" w:cs="Times New Roman"/>
                <w:sz w:val="20"/>
                <w:szCs w:val="20"/>
                <w:lang w:eastAsia="en-ZA"/>
              </w:rPr>
              <w:fldChar w:fldCharType="end"/>
            </w:r>
            <w:r>
              <w:rPr>
                <w:rFonts w:ascii="Times New Roman" w:eastAsia="Times New Roman" w:hAnsi="Times New Roman" w:cs="Times New Roman"/>
                <w:sz w:val="20"/>
                <w:szCs w:val="20"/>
                <w:lang w:eastAsia="en-ZA"/>
              </w:rPr>
              <w:t xml:space="preserve">; </w:t>
            </w:r>
            <w:r w:rsidRPr="000B3978">
              <w:rPr>
                <w:rFonts w:ascii="Times New Roman" w:eastAsia="Times New Roman" w:hAnsi="Times New Roman" w:cs="Times New Roman"/>
                <w:sz w:val="20"/>
                <w:szCs w:val="20"/>
                <w:lang w:eastAsia="en-ZA"/>
              </w:rPr>
              <w:t>Olden &amp; Carvalho 2024</w:t>
            </w:r>
            <w:r>
              <w:rPr>
                <w:rFonts w:ascii="Times New Roman" w:eastAsia="Times New Roman" w:hAnsi="Times New Roman" w:cs="Times New Roman"/>
                <w:sz w:val="20"/>
                <w:szCs w:val="20"/>
                <w:lang w:eastAsia="en-ZA"/>
              </w:rPr>
              <w:t>)</w:t>
            </w:r>
            <w:r w:rsidRPr="006E53E4">
              <w:rPr>
                <w:rFonts w:ascii="Times New Roman" w:eastAsia="Times New Roman" w:hAnsi="Times New Roman" w:cs="Times New Roman"/>
                <w:sz w:val="20"/>
                <w:szCs w:val="20"/>
                <w:lang w:eastAsia="en-ZA"/>
              </w:rPr>
              <w:t>. The species is absent in</w:t>
            </w:r>
            <w:r>
              <w:rPr>
                <w:rFonts w:ascii="Times New Roman" w:eastAsia="Times New Roman" w:hAnsi="Times New Roman" w:cs="Times New Roman"/>
                <w:sz w:val="20"/>
                <w:szCs w:val="20"/>
                <w:lang w:eastAsia="en-ZA"/>
              </w:rPr>
              <w:t xml:space="preserve"> </w:t>
            </w:r>
            <w:r w:rsidRPr="006E53E4">
              <w:rPr>
                <w:rFonts w:ascii="Times New Roman" w:eastAsia="Times New Roman" w:hAnsi="Times New Roman" w:cs="Times New Roman"/>
                <w:sz w:val="20"/>
                <w:szCs w:val="20"/>
                <w:lang w:eastAsia="en-ZA"/>
              </w:rPr>
              <w:t>neighbouring countries</w:t>
            </w:r>
            <w:r>
              <w:rPr>
                <w:rFonts w:ascii="Times New Roman" w:eastAsia="Times New Roman" w:hAnsi="Times New Roman" w:cs="Times New Roman"/>
                <w:sz w:val="20"/>
                <w:szCs w:val="20"/>
                <w:lang w:eastAsia="en-ZA"/>
              </w:rPr>
              <w:t xml:space="preserve"> </w:t>
            </w:r>
            <w:r w:rsidRPr="006E53E4">
              <w:rPr>
                <w:rFonts w:ascii="Times New Roman" w:eastAsia="Times New Roman" w:hAnsi="Times New Roman" w:cs="Times New Roman"/>
                <w:sz w:val="20"/>
                <w:szCs w:val="20"/>
                <w:lang w:eastAsia="en-ZA"/>
              </w:rPr>
              <w:t>(Madzivanzira et al. 202</w:t>
            </w:r>
            <w:r>
              <w:rPr>
                <w:rFonts w:ascii="Times New Roman" w:eastAsia="Times New Roman" w:hAnsi="Times New Roman" w:cs="Times New Roman"/>
                <w:sz w:val="20"/>
                <w:szCs w:val="20"/>
                <w:lang w:eastAsia="en-ZA"/>
              </w:rPr>
              <w:t>0)</w:t>
            </w:r>
            <w:r w:rsidRPr="006E53E4">
              <w:rPr>
                <w:rFonts w:ascii="Times New Roman" w:eastAsia="Times New Roman" w:hAnsi="Times New Roman" w:cs="Times New Roman"/>
                <w:sz w:val="20"/>
                <w:szCs w:val="20"/>
                <w:lang w:eastAsia="en-ZA"/>
              </w:rPr>
              <w:t xml:space="preserve">, so </w:t>
            </w:r>
            <w:r w:rsidRPr="006E53E4">
              <w:rPr>
                <w:rFonts w:ascii="Times New Roman" w:eastAsia="Times New Roman" w:hAnsi="Times New Roman" w:cs="Times New Roman"/>
                <w:sz w:val="20"/>
                <w:szCs w:val="20"/>
                <w:lang w:eastAsia="en-ZA"/>
              </w:rPr>
              <w:lastRenderedPageBreak/>
              <w:t>unaided immigration is unlikely. Moreover, i</w:t>
            </w:r>
            <w:r w:rsidRPr="006E53E4">
              <w:rPr>
                <w:rStyle w:val="cf01"/>
                <w:rFonts w:ascii="Times New Roman" w:hAnsi="Times New Roman" w:cs="Times New Roman"/>
                <w:sz w:val="20"/>
                <w:szCs w:val="20"/>
              </w:rPr>
              <w:t>t should be possible to regulate intentional introductions legislative regulations and having an effective border surveillance and monitoring strategy (Zengeya &amp; Wilson 2020</w:t>
            </w:r>
            <w:r>
              <w:rPr>
                <w:rStyle w:val="cf01"/>
                <w:rFonts w:ascii="Times New Roman" w:hAnsi="Times New Roman" w:cs="Times New Roman"/>
                <w:sz w:val="20"/>
                <w:szCs w:val="20"/>
              </w:rPr>
              <w:t>;</w:t>
            </w:r>
            <w:r>
              <w:rPr>
                <w:rStyle w:val="cf01"/>
                <w:sz w:val="20"/>
                <w:szCs w:val="20"/>
              </w:rPr>
              <w:t xml:space="preserve"> </w:t>
            </w:r>
            <w:r w:rsidRPr="00660754">
              <w:rPr>
                <w:rStyle w:val="cf01"/>
                <w:rFonts w:ascii="Times New Roman" w:hAnsi="Times New Roman" w:cs="Times New Roman"/>
                <w:sz w:val="20"/>
                <w:szCs w:val="20"/>
              </w:rPr>
              <w:t>Wilson &amp; Kumschick 2024</w:t>
            </w:r>
            <w:r w:rsidRPr="006E53E4">
              <w:rPr>
                <w:rStyle w:val="cf01"/>
                <w:rFonts w:ascii="Times New Roman" w:hAnsi="Times New Roman" w:cs="Times New Roman"/>
                <w:sz w:val="20"/>
                <w:szCs w:val="20"/>
              </w:rPr>
              <w:t>).</w:t>
            </w:r>
          </w:p>
        </w:tc>
      </w:tr>
      <w:tr w:rsidR="002D7080" w:rsidRPr="004D1E6F" w14:paraId="18EDBC60" w14:textId="77777777" w:rsidTr="002E2C37">
        <w:trPr>
          <w:trHeight w:val="343"/>
        </w:trPr>
        <w:tc>
          <w:tcPr>
            <w:tcW w:w="9090" w:type="dxa"/>
            <w:gridSpan w:val="2"/>
          </w:tcPr>
          <w:p w14:paraId="2900EBB6" w14:textId="77777777" w:rsidR="002D7080" w:rsidRPr="004D1E6F" w:rsidRDefault="002D7080" w:rsidP="005826FB">
            <w:pPr>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References:</w:t>
            </w:r>
          </w:p>
          <w:p w14:paraId="235F6EA0" w14:textId="256E6A5A" w:rsidR="002D7080" w:rsidRDefault="002D7080" w:rsidP="005826FB">
            <w:pPr>
              <w:ind w:left="540" w:hanging="540"/>
              <w:contextualSpacing/>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Faulkes Z. 2015. The global trade in crayfish as pets. </w:t>
            </w:r>
            <w:r w:rsidRPr="004D1E6F">
              <w:rPr>
                <w:rFonts w:ascii="Times New Roman" w:eastAsia="Times New Roman" w:hAnsi="Times New Roman" w:cs="Times New Roman"/>
                <w:i/>
                <w:iCs/>
                <w:color w:val="000000"/>
                <w:sz w:val="20"/>
                <w:szCs w:val="20"/>
                <w:lang w:eastAsia="en-ZA"/>
              </w:rPr>
              <w:t>Crustacean Research</w:t>
            </w:r>
            <w:r w:rsidRPr="004D1E6F">
              <w:rPr>
                <w:rFonts w:ascii="Times New Roman" w:eastAsia="Times New Roman" w:hAnsi="Times New Roman" w:cs="Times New Roman"/>
                <w:color w:val="000000"/>
                <w:sz w:val="20"/>
                <w:szCs w:val="20"/>
                <w:lang w:eastAsia="en-ZA"/>
              </w:rPr>
              <w:t xml:space="preserve"> </w:t>
            </w:r>
            <w:r w:rsidRPr="004D1E6F">
              <w:rPr>
                <w:rFonts w:ascii="Times New Roman" w:eastAsia="Times New Roman" w:hAnsi="Times New Roman" w:cs="Times New Roman"/>
                <w:iCs/>
                <w:color w:val="000000"/>
                <w:sz w:val="20"/>
                <w:szCs w:val="20"/>
                <w:lang w:eastAsia="en-ZA"/>
              </w:rPr>
              <w:t>44</w:t>
            </w:r>
            <w:r w:rsidRPr="004D1E6F">
              <w:rPr>
                <w:rFonts w:ascii="Times New Roman" w:eastAsia="Times New Roman" w:hAnsi="Times New Roman" w:cs="Times New Roman"/>
                <w:color w:val="000000"/>
                <w:sz w:val="20"/>
                <w:szCs w:val="20"/>
                <w:lang w:eastAsia="en-ZA"/>
              </w:rPr>
              <w:t>: 75</w:t>
            </w:r>
            <w:r>
              <w:rPr>
                <w:rFonts w:ascii="Times New Roman" w:eastAsia="Times New Roman" w:hAnsi="Times New Roman" w:cs="Times New Roman"/>
                <w:color w:val="000000"/>
                <w:sz w:val="20"/>
                <w:szCs w:val="20"/>
                <w:lang w:eastAsia="en-ZA"/>
              </w:rPr>
              <w:t>-</w:t>
            </w:r>
            <w:r w:rsidRPr="004D1E6F">
              <w:rPr>
                <w:rFonts w:ascii="Times New Roman" w:eastAsia="Times New Roman" w:hAnsi="Times New Roman" w:cs="Times New Roman"/>
                <w:color w:val="000000"/>
                <w:sz w:val="20"/>
                <w:szCs w:val="20"/>
                <w:lang w:eastAsia="en-ZA"/>
              </w:rPr>
              <w:t>92.</w:t>
            </w:r>
            <w:r>
              <w:rPr>
                <w:rFonts w:ascii="Times New Roman" w:eastAsia="Times New Roman" w:hAnsi="Times New Roman" w:cs="Times New Roman"/>
                <w:color w:val="000000"/>
                <w:sz w:val="20"/>
                <w:szCs w:val="20"/>
                <w:lang w:eastAsia="en-ZA"/>
              </w:rPr>
              <w:t xml:space="preserve"> </w:t>
            </w:r>
            <w:hyperlink r:id="rId685" w:history="1">
              <w:r w:rsidR="000F453E" w:rsidRPr="005826FB">
                <w:rPr>
                  <w:rStyle w:val="Hyperlink"/>
                  <w:rFonts w:ascii="Times New Roman" w:hAnsi="Times New Roman" w:cs="Times New Roman"/>
                  <w:sz w:val="20"/>
                  <w:szCs w:val="20"/>
                </w:rPr>
                <w:t>https://doi.org/10.18353/crustacea.44.0_75</w:t>
              </w:r>
            </w:hyperlink>
            <w:r w:rsidRPr="005826FB">
              <w:rPr>
                <w:rFonts w:ascii="Times New Roman" w:hAnsi="Times New Roman" w:cs="Times New Roman"/>
                <w:sz w:val="18"/>
                <w:szCs w:val="18"/>
              </w:rPr>
              <w:t>.</w:t>
            </w:r>
          </w:p>
          <w:p w14:paraId="1F23AADF" w14:textId="17F2D850" w:rsidR="002D7080" w:rsidRDefault="002D7080" w:rsidP="005826FB">
            <w:pPr>
              <w:ind w:left="540" w:hanging="540"/>
              <w:contextualSpacing/>
              <w:jc w:val="both"/>
              <w:rPr>
                <w:rFonts w:ascii="Times New Roman" w:eastAsia="Calibri" w:hAnsi="Times New Roman" w:cs="Times New Roman"/>
                <w:bCs/>
                <w:sz w:val="20"/>
                <w:szCs w:val="20"/>
              </w:rPr>
            </w:pPr>
            <w:r w:rsidRPr="000024B2">
              <w:rPr>
                <w:rFonts w:ascii="Times New Roman" w:eastAsia="Calibri" w:hAnsi="Times New Roman" w:cs="Times New Roman"/>
                <w:bCs/>
                <w:sz w:val="20"/>
                <w:szCs w:val="20"/>
              </w:rPr>
              <w:t xml:space="preserve">Madzivanzira, T.C., South, J., Wood, L.E., Nunes, A.L. &amp; Weyl, O.L.F., 2020, ‘A review of freshwater crayfish introductions in Africa’, Reviews in Fisheries Science &amp; Aquaculture, 1-21. </w:t>
            </w:r>
            <w:hyperlink r:id="rId686" w:history="1">
              <w:r w:rsidR="000F453E" w:rsidRPr="005826FB">
                <w:rPr>
                  <w:rStyle w:val="Hyperlink"/>
                  <w:rFonts w:ascii="Times New Roman" w:hAnsi="Times New Roman" w:cs="Times New Roman"/>
                  <w:sz w:val="20"/>
                  <w:szCs w:val="20"/>
                </w:rPr>
                <w:t>https://doi.org/10.1080/23308249.2020.1802405</w:t>
              </w:r>
            </w:hyperlink>
            <w:r w:rsidRPr="005826FB">
              <w:rPr>
                <w:rFonts w:ascii="Times New Roman" w:eastAsia="Calibri" w:hAnsi="Times New Roman" w:cs="Times New Roman"/>
                <w:bCs/>
                <w:sz w:val="18"/>
                <w:szCs w:val="18"/>
              </w:rPr>
              <w:t>.</w:t>
            </w:r>
          </w:p>
          <w:p w14:paraId="365EF013" w14:textId="77777777" w:rsidR="002D7080" w:rsidRDefault="002D7080" w:rsidP="005826FB">
            <w:pPr>
              <w:ind w:left="510" w:hanging="510"/>
              <w:contextualSpacing/>
              <w:jc w:val="both"/>
              <w:rPr>
                <w:rFonts w:ascii="Times New Roman" w:eastAsia="Calibri" w:hAnsi="Times New Roman" w:cs="Times New Roman"/>
                <w:bCs/>
                <w:sz w:val="20"/>
                <w:szCs w:val="20"/>
              </w:rPr>
            </w:pPr>
            <w:r w:rsidRPr="007A20BD">
              <w:rPr>
                <w:rFonts w:ascii="Times New Roman" w:eastAsia="Calibri" w:hAnsi="Times New Roman" w:cs="Times New Roman"/>
                <w:bCs/>
                <w:sz w:val="20"/>
                <w:szCs w:val="20"/>
              </w:rPr>
              <w:t xml:space="preserve">Nunes, A.L., Zengeya, T.A., Measey, G.J. &amp; Weyl, O.L.F., 2017, ‘Freshwater crayfish invasions in South Africa: past, present and potential future’, African Journal of Aquatic Science 42, 309–323, </w:t>
            </w:r>
            <w:hyperlink r:id="rId687" w:history="1">
              <w:r w:rsidRPr="002A244D">
                <w:rPr>
                  <w:rStyle w:val="Hyperlink"/>
                  <w:rFonts w:ascii="Times New Roman" w:eastAsia="Calibri" w:hAnsi="Times New Roman" w:cs="Times New Roman"/>
                  <w:bCs/>
                  <w:sz w:val="20"/>
                  <w:szCs w:val="20"/>
                </w:rPr>
                <w:t>https://doi.org/10.2989/16085914.2017.1405788</w:t>
              </w:r>
            </w:hyperlink>
            <w:r w:rsidRPr="007A20BD">
              <w:rPr>
                <w:rFonts w:ascii="Times New Roman" w:eastAsia="Calibri" w:hAnsi="Times New Roman" w:cs="Times New Roman"/>
                <w:bCs/>
                <w:sz w:val="20"/>
                <w:szCs w:val="20"/>
              </w:rPr>
              <w:t>.</w:t>
            </w:r>
            <w:r>
              <w:rPr>
                <w:rFonts w:ascii="Times New Roman" w:eastAsia="Calibri" w:hAnsi="Times New Roman" w:cs="Times New Roman"/>
                <w:bCs/>
                <w:sz w:val="20"/>
                <w:szCs w:val="20"/>
              </w:rPr>
              <w:t xml:space="preserve"> </w:t>
            </w:r>
          </w:p>
          <w:p w14:paraId="732CD22E" w14:textId="77777777" w:rsidR="002D7080" w:rsidRDefault="002D7080" w:rsidP="005826FB">
            <w:pPr>
              <w:spacing w:after="120"/>
              <w:ind w:left="510" w:hanging="510"/>
              <w:contextualSpacing/>
              <w:jc w:val="both"/>
              <w:rPr>
                <w:sz w:val="20"/>
                <w:szCs w:val="20"/>
              </w:rPr>
            </w:pPr>
            <w:r w:rsidRPr="00CE3A9C">
              <w:rPr>
                <w:rFonts w:ascii="Times New Roman" w:hAnsi="Times New Roman" w:cs="Times New Roman"/>
                <w:sz w:val="20"/>
                <w:szCs w:val="20"/>
              </w:rPr>
              <w:t>Olden, J.D., Carvalho, F.A. C., 2024, ‘Global invasion and biosecurity risk from the online trade in ornamental crayfish, </w:t>
            </w:r>
            <w:r w:rsidRPr="00CE3A9C">
              <w:rPr>
                <w:rFonts w:ascii="Times New Roman" w:hAnsi="Times New Roman" w:cs="Times New Roman"/>
                <w:i/>
                <w:iCs/>
                <w:sz w:val="20"/>
                <w:szCs w:val="20"/>
              </w:rPr>
              <w:t>Conservation Biology</w:t>
            </w:r>
            <w:r w:rsidRPr="00CE3A9C">
              <w:rPr>
                <w:rFonts w:ascii="Times New Roman" w:hAnsi="Times New Roman" w:cs="Times New Roman"/>
                <w:sz w:val="20"/>
                <w:szCs w:val="20"/>
              </w:rPr>
              <w:t>, 38, e14359. </w:t>
            </w:r>
            <w:hyperlink r:id="rId688" w:history="1">
              <w:r w:rsidRPr="00CE3A9C">
                <w:rPr>
                  <w:rStyle w:val="Hyperlink"/>
                  <w:rFonts w:ascii="Times New Roman" w:hAnsi="Times New Roman" w:cs="Times New Roman"/>
                  <w:sz w:val="20"/>
                  <w:szCs w:val="20"/>
                </w:rPr>
                <w:t>https://doi.org/10.1111/cobi.14359</w:t>
              </w:r>
            </w:hyperlink>
          </w:p>
          <w:p w14:paraId="19882147" w14:textId="77777777" w:rsidR="002D7080" w:rsidRPr="00AC29CB" w:rsidRDefault="002D7080" w:rsidP="005826FB">
            <w:pPr>
              <w:spacing w:after="120"/>
              <w:ind w:left="446" w:hanging="446"/>
              <w:contextualSpacing/>
              <w:jc w:val="both"/>
              <w:rPr>
                <w:rFonts w:ascii="Times New Roman" w:hAnsi="Times New Roman" w:cs="Times New Roman"/>
                <w:bCs/>
                <w:sz w:val="20"/>
                <w:szCs w:val="20"/>
              </w:rPr>
            </w:pPr>
            <w:r w:rsidRPr="00AC29CB">
              <w:rPr>
                <w:rFonts w:ascii="Times New Roman" w:hAnsi="Times New Roman" w:cs="Times New Roman"/>
                <w:color w:val="000000" w:themeColor="text1"/>
                <w:sz w:val="20"/>
                <w:szCs w:val="20"/>
                <w:shd w:val="clear" w:color="auto" w:fill="FFFFFF"/>
              </w:rPr>
              <w:t xml:space="preserve">Wilson, J. R., &amp; Kumschick, S., 2024, ‘The regulation of alien species in South Africa’, </w:t>
            </w:r>
            <w:r w:rsidRPr="00AC29CB">
              <w:rPr>
                <w:rFonts w:ascii="Times New Roman" w:hAnsi="Times New Roman" w:cs="Times New Roman"/>
                <w:i/>
                <w:iCs/>
                <w:color w:val="000000" w:themeColor="text1"/>
                <w:sz w:val="20"/>
                <w:szCs w:val="20"/>
                <w:shd w:val="clear" w:color="auto" w:fill="FFFFFF"/>
              </w:rPr>
              <w:t>South African Journal of Science</w:t>
            </w:r>
            <w:r w:rsidRPr="00AC29CB">
              <w:rPr>
                <w:rFonts w:ascii="Times New Roman" w:hAnsi="Times New Roman" w:cs="Times New Roman"/>
                <w:color w:val="000000" w:themeColor="text1"/>
                <w:sz w:val="20"/>
                <w:szCs w:val="20"/>
                <w:shd w:val="clear" w:color="auto" w:fill="FFFFFF"/>
              </w:rPr>
              <w:t xml:space="preserve">, 120(5/6), </w:t>
            </w:r>
            <w:hyperlink w:history="1">
              <w:r w:rsidRPr="00AC29CB">
                <w:rPr>
                  <w:rStyle w:val="Hyperlink"/>
                  <w:rFonts w:ascii="Times New Roman" w:hAnsi="Times New Roman" w:cs="Times New Roman"/>
                  <w:bCs/>
                  <w:sz w:val="20"/>
                  <w:szCs w:val="20"/>
                </w:rPr>
                <w:t>https://doi.org/10.17159/sajs.2024/17002</w:t>
              </w:r>
            </w:hyperlink>
            <w:r w:rsidRPr="00AC29CB">
              <w:rPr>
                <w:rStyle w:val="Hyperlink"/>
                <w:rFonts w:ascii="Times New Roman" w:hAnsi="Times New Roman" w:cs="Times New Roman"/>
                <w:bCs/>
                <w:sz w:val="20"/>
                <w:szCs w:val="20"/>
              </w:rPr>
              <w:t>.</w:t>
            </w:r>
          </w:p>
          <w:p w14:paraId="1671704B" w14:textId="77777777" w:rsidR="002D7080" w:rsidRPr="00AC29CB" w:rsidRDefault="002D7080" w:rsidP="005826FB">
            <w:pPr>
              <w:spacing w:after="120"/>
              <w:ind w:left="446" w:hanging="446"/>
              <w:contextualSpacing/>
              <w:jc w:val="both"/>
              <w:rPr>
                <w:rFonts w:ascii="Times New Roman" w:hAnsi="Times New Roman" w:cs="Times New Roman"/>
                <w:bCs/>
                <w:color w:val="467886" w:themeColor="hyperlink"/>
                <w:sz w:val="24"/>
                <w:szCs w:val="24"/>
                <w:u w:val="single"/>
              </w:rPr>
            </w:pPr>
            <w:r w:rsidRPr="00AC29CB">
              <w:rPr>
                <w:rFonts w:ascii="Times New Roman" w:hAnsi="Times New Roman" w:cs="Times New Roman"/>
                <w:bCs/>
                <w:sz w:val="20"/>
                <w:szCs w:val="20"/>
              </w:rPr>
              <w:t xml:space="preserve">Zengeya, T.A. &amp; Wilson, J.R. (eds.), 2020, ‘The status of biological invasions and their management in South Africa in 2019’, South African National Biodiversity Institute, Kirstenbosch and DSI-NRF Centre of Excellence for Invasion Biology, Stellenbosch, </w:t>
            </w:r>
            <w:hyperlink w:history="1">
              <w:r w:rsidRPr="00AC29CB">
                <w:rPr>
                  <w:rStyle w:val="Hyperlink"/>
                  <w:rFonts w:ascii="Times New Roman" w:hAnsi="Times New Roman" w:cs="Times New Roman"/>
                  <w:bCs/>
                  <w:sz w:val="20"/>
                  <w:szCs w:val="20"/>
                </w:rPr>
                <w:t>http://dx.doi.org/10.5281/zenodo.3947613</w:t>
              </w:r>
            </w:hyperlink>
            <w:r w:rsidRPr="00AC29CB">
              <w:rPr>
                <w:rStyle w:val="Hyperlink"/>
                <w:rFonts w:ascii="Times New Roman" w:hAnsi="Times New Roman" w:cs="Times New Roman"/>
                <w:bCs/>
                <w:sz w:val="20"/>
                <w:szCs w:val="20"/>
              </w:rPr>
              <w:t>.</w:t>
            </w:r>
          </w:p>
        </w:tc>
      </w:tr>
    </w:tbl>
    <w:p w14:paraId="73605B28" w14:textId="77777777" w:rsidR="002D7080" w:rsidRPr="004D1E6F" w:rsidRDefault="002D7080" w:rsidP="005826FB">
      <w:pPr>
        <w:spacing w:after="0" w:line="240" w:lineRule="auto"/>
        <w:contextualSpacing/>
        <w:jc w:val="both"/>
        <w:rPr>
          <w:rFonts w:ascii="Times New Roman" w:eastAsia="Times New Roman" w:hAnsi="Times New Roman" w:cs="Times New Roman"/>
          <w:color w:val="000000"/>
          <w:sz w:val="20"/>
          <w:szCs w:val="20"/>
          <w:lang w:eastAsia="en-ZA"/>
        </w:rPr>
      </w:pPr>
    </w:p>
    <w:tbl>
      <w:tblPr>
        <w:tblStyle w:val="TableGrid17"/>
        <w:tblW w:w="9108" w:type="dxa"/>
        <w:tblLook w:val="04A0" w:firstRow="1" w:lastRow="0" w:firstColumn="1" w:lastColumn="0" w:noHBand="0" w:noVBand="1"/>
      </w:tblPr>
      <w:tblGrid>
        <w:gridCol w:w="5240"/>
        <w:gridCol w:w="3868"/>
      </w:tblGrid>
      <w:tr w:rsidR="002D7080" w:rsidRPr="004D1E6F" w14:paraId="5DDC822F" w14:textId="77777777" w:rsidTr="002E2C37">
        <w:trPr>
          <w:trHeight w:val="343"/>
        </w:trPr>
        <w:tc>
          <w:tcPr>
            <w:tcW w:w="9108" w:type="dxa"/>
            <w:gridSpan w:val="2"/>
            <w:shd w:val="clear" w:color="auto" w:fill="F2F2F2" w:themeFill="background1" w:themeFillShade="F2"/>
          </w:tcPr>
          <w:p w14:paraId="5295F4C8" w14:textId="77777777" w:rsidR="002D7080" w:rsidRPr="004D1E6F" w:rsidRDefault="002D7080" w:rsidP="002E2C37">
            <w:pPr>
              <w:contextualSpacing/>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MAN2 Benefits of the Taxon</w:t>
            </w:r>
          </w:p>
        </w:tc>
      </w:tr>
      <w:tr w:rsidR="002D7080" w:rsidRPr="004D1E6F" w14:paraId="6212E088" w14:textId="77777777" w:rsidTr="002E2C37">
        <w:trPr>
          <w:trHeight w:val="343"/>
        </w:trPr>
        <w:tc>
          <w:tcPr>
            <w:tcW w:w="9108" w:type="dxa"/>
            <w:gridSpan w:val="2"/>
            <w:shd w:val="clear" w:color="auto" w:fill="F2F2F2" w:themeFill="background1" w:themeFillShade="F2"/>
          </w:tcPr>
          <w:p w14:paraId="6F7B23A2" w14:textId="77777777" w:rsidR="002D7080" w:rsidRPr="004D1E6F" w:rsidRDefault="002D7080" w:rsidP="002E2C37">
            <w:pPr>
              <w:contextualSpacing/>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 xml:space="preserve">MAN2a Socio-economic benefits of the </w:t>
            </w:r>
            <w:r w:rsidRPr="004D1E6F">
              <w:rPr>
                <w:rFonts w:ascii="Times New Roman" w:eastAsia="Times New Roman" w:hAnsi="Times New Roman" w:cs="Times New Roman"/>
                <w:b/>
                <w:i/>
                <w:color w:val="000000"/>
                <w:sz w:val="20"/>
                <w:szCs w:val="20"/>
                <w:lang w:eastAsia="en-ZA"/>
              </w:rPr>
              <w:t>Taxon</w:t>
            </w:r>
          </w:p>
        </w:tc>
      </w:tr>
      <w:tr w:rsidR="002D7080" w:rsidRPr="004D1E6F" w14:paraId="7F641BDF" w14:textId="77777777" w:rsidTr="002E2C37">
        <w:trPr>
          <w:trHeight w:val="172"/>
        </w:trPr>
        <w:tc>
          <w:tcPr>
            <w:tcW w:w="5240" w:type="dxa"/>
          </w:tcPr>
          <w:p w14:paraId="093CA3CA" w14:textId="77777777" w:rsidR="002D7080" w:rsidRPr="004D1E6F" w:rsidRDefault="002D7080" w:rsidP="002E2C37">
            <w:pPr>
              <w:contextualSpacing/>
              <w:rPr>
                <w:rFonts w:ascii="Times New Roman" w:eastAsia="Times New Roman" w:hAnsi="Times New Roman" w:cs="Times New Roman"/>
                <w:color w:val="000000"/>
                <w:sz w:val="20"/>
                <w:szCs w:val="20"/>
                <w:lang w:eastAsia="en-ZA"/>
              </w:rPr>
            </w:pPr>
            <w:r w:rsidRPr="006E53E4">
              <w:rPr>
                <w:rFonts w:ascii="Times New Roman" w:eastAsia="Times New Roman" w:hAnsi="Times New Roman" w:cs="Times New Roman"/>
                <w:sz w:val="20"/>
                <w:szCs w:val="20"/>
                <w:lang w:eastAsia="en-ZA"/>
              </w:rPr>
              <w:t xml:space="preserve">Response: Low </w:t>
            </w:r>
          </w:p>
        </w:tc>
        <w:tc>
          <w:tcPr>
            <w:tcW w:w="3868" w:type="dxa"/>
          </w:tcPr>
          <w:p w14:paraId="766442D0" w14:textId="77777777" w:rsidR="002D7080" w:rsidRPr="004D1E6F" w:rsidRDefault="002D7080" w:rsidP="002E2C37">
            <w:pPr>
              <w:contextualSpacing/>
              <w:rPr>
                <w:rFonts w:ascii="Times New Roman" w:eastAsia="Times New Roman" w:hAnsi="Times New Roman" w:cs="Times New Roman"/>
                <w:color w:val="000000"/>
                <w:sz w:val="20"/>
                <w:szCs w:val="20"/>
                <w:lang w:eastAsia="en-ZA"/>
              </w:rPr>
            </w:pPr>
            <w:r w:rsidRPr="006E53E4">
              <w:rPr>
                <w:rFonts w:ascii="Times New Roman" w:eastAsia="Times New Roman" w:hAnsi="Times New Roman" w:cs="Times New Roman"/>
                <w:sz w:val="20"/>
                <w:szCs w:val="20"/>
                <w:lang w:eastAsia="en-ZA"/>
              </w:rPr>
              <w:t>Confidence: Low</w:t>
            </w:r>
          </w:p>
        </w:tc>
      </w:tr>
      <w:tr w:rsidR="002D7080" w:rsidRPr="004D1E6F" w14:paraId="70482E24" w14:textId="77777777" w:rsidTr="002E2C37">
        <w:trPr>
          <w:trHeight w:val="343"/>
        </w:trPr>
        <w:tc>
          <w:tcPr>
            <w:tcW w:w="9108" w:type="dxa"/>
            <w:gridSpan w:val="2"/>
          </w:tcPr>
          <w:p w14:paraId="3E8E3305" w14:textId="77777777" w:rsidR="002D7080" w:rsidRPr="004D1E6F" w:rsidRDefault="002D7080" w:rsidP="002E2C37">
            <w:pPr>
              <w:contextualSpacing/>
              <w:rPr>
                <w:rFonts w:ascii="Times New Roman" w:eastAsia="Times New Roman" w:hAnsi="Times New Roman" w:cs="Times New Roman"/>
                <w:color w:val="000000"/>
                <w:sz w:val="20"/>
                <w:szCs w:val="20"/>
                <w:lang w:eastAsia="en-ZA"/>
              </w:rPr>
            </w:pPr>
            <w:r w:rsidRPr="006E53E4">
              <w:rPr>
                <w:rFonts w:ascii="Times New Roman" w:eastAsia="Times New Roman" w:hAnsi="Times New Roman" w:cs="Times New Roman"/>
                <w:sz w:val="20"/>
                <w:szCs w:val="20"/>
                <w:lang w:eastAsia="en-ZA"/>
              </w:rPr>
              <w:t xml:space="preserve">Rationale: </w:t>
            </w:r>
            <w:r w:rsidRPr="007D62A6">
              <w:rPr>
                <w:rFonts w:ascii="Times New Roman" w:eastAsia="Times New Roman" w:hAnsi="Times New Roman" w:cs="Times New Roman"/>
                <w:i/>
                <w:iCs/>
                <w:sz w:val="20"/>
                <w:szCs w:val="20"/>
                <w:lang w:eastAsia="en-ZA"/>
              </w:rPr>
              <w:t xml:space="preserve">Procambarus virginalis </w:t>
            </w:r>
            <w:r w:rsidRPr="0047737E">
              <w:rPr>
                <w:rFonts w:ascii="Times New Roman" w:eastAsia="Times New Roman" w:hAnsi="Times New Roman" w:cs="Times New Roman"/>
                <w:sz w:val="20"/>
                <w:szCs w:val="20"/>
                <w:lang w:eastAsia="en-ZA"/>
              </w:rPr>
              <w:t>has been introduced into areas</w:t>
            </w:r>
            <w:r>
              <w:rPr>
                <w:rFonts w:ascii="Times New Roman" w:eastAsia="Times New Roman" w:hAnsi="Times New Roman" w:cs="Times New Roman"/>
                <w:sz w:val="20"/>
                <w:szCs w:val="20"/>
                <w:lang w:eastAsia="en-ZA"/>
              </w:rPr>
              <w:t xml:space="preserve"> outside its native range mainly for pet trade and </w:t>
            </w:r>
            <w:r w:rsidRPr="0047737E">
              <w:rPr>
                <w:rFonts w:ascii="Times New Roman" w:eastAsia="Times New Roman" w:hAnsi="Times New Roman" w:cs="Times New Roman"/>
                <w:sz w:val="20"/>
                <w:szCs w:val="20"/>
                <w:lang w:eastAsia="en-ZA"/>
              </w:rPr>
              <w:t>aquaculture</w:t>
            </w:r>
            <w:r>
              <w:rPr>
                <w:rFonts w:ascii="Times New Roman" w:eastAsia="Times New Roman" w:hAnsi="Times New Roman" w:cs="Times New Roman"/>
                <w:sz w:val="20"/>
                <w:szCs w:val="20"/>
                <w:lang w:eastAsia="en-ZA"/>
              </w:rPr>
              <w:t xml:space="preserve"> </w:t>
            </w:r>
            <w:r w:rsidRPr="006E53E4">
              <w:rPr>
                <w:rFonts w:ascii="Times New Roman" w:eastAsia="Times New Roman" w:hAnsi="Times New Roman" w:cs="Times New Roman"/>
                <w:sz w:val="20"/>
                <w:szCs w:val="20"/>
                <w:lang w:eastAsia="en-ZA"/>
              </w:rPr>
              <w:fldChar w:fldCharType="begin" w:fldLock="1"/>
            </w:r>
            <w:r w:rsidRPr="006E53E4">
              <w:rPr>
                <w:rFonts w:ascii="Times New Roman" w:eastAsia="Times New Roman" w:hAnsi="Times New Roman" w:cs="Times New Roman"/>
                <w:sz w:val="20"/>
                <w:szCs w:val="20"/>
                <w:lang w:eastAsia="en-ZA"/>
              </w:rPr>
              <w:instrText>ADDIN CSL_CITATION { "citationItems" : [ { "id" : "ITEM-1", "itemData" : { "DOI" : "10.18353/crustacea.44.0", "author" : [ { "dropping-particle" : "", "family" : "Faulkes", "given" : "Zen", "non-dropping-particle" : "", "parse-names" : false, "suffix" : "" } ], "id" : "ITEM-1", "issue" : "November", "issued" : { "date-parts" : [ [ "2015" ] ] }, "page" : "75-92", "title" : "Crustacean Research", "type" : "article-journal", "volume" : "44" }, "uris" : [ "http://www.mendeley.com/documents/?uuid=e0847d33-9219-447a-8947-11c70298c5ed" ] } ], "mendeley" : { "formattedCitation" : "(Faulkes 2015)", "plainTextFormattedCitation" : "(Faulkes 2015)", "previouslyFormattedCitation" : "(Faulkes 2015)" }, "properties" : { "noteIndex" : 0 }, "schema" : "https://github.com/citation-style-language/schema/raw/master/csl-citation.json" }</w:instrText>
            </w:r>
            <w:r w:rsidRPr="006E53E4">
              <w:rPr>
                <w:rFonts w:ascii="Times New Roman" w:eastAsia="Times New Roman" w:hAnsi="Times New Roman" w:cs="Times New Roman"/>
                <w:sz w:val="20"/>
                <w:szCs w:val="20"/>
                <w:lang w:eastAsia="en-ZA"/>
              </w:rPr>
              <w:fldChar w:fldCharType="separate"/>
            </w:r>
            <w:r w:rsidRPr="006E53E4">
              <w:rPr>
                <w:rFonts w:ascii="Times New Roman" w:eastAsia="Times New Roman" w:hAnsi="Times New Roman" w:cs="Times New Roman"/>
                <w:sz w:val="20"/>
                <w:szCs w:val="20"/>
                <w:lang w:eastAsia="en-ZA"/>
              </w:rPr>
              <w:t>(Faulkes 2015</w:t>
            </w:r>
            <w:r w:rsidRPr="006E53E4">
              <w:rPr>
                <w:rFonts w:ascii="Times New Roman" w:eastAsia="Times New Roman" w:hAnsi="Times New Roman" w:cs="Times New Roman"/>
                <w:sz w:val="20"/>
                <w:szCs w:val="20"/>
                <w:lang w:eastAsia="en-ZA"/>
              </w:rPr>
              <w:fldChar w:fldCharType="end"/>
            </w:r>
            <w:r>
              <w:rPr>
                <w:rFonts w:ascii="Times New Roman" w:eastAsia="Times New Roman" w:hAnsi="Times New Roman" w:cs="Times New Roman"/>
                <w:sz w:val="20"/>
                <w:szCs w:val="20"/>
                <w:lang w:eastAsia="en-ZA"/>
              </w:rPr>
              <w:t xml:space="preserve">; </w:t>
            </w:r>
            <w:r w:rsidRPr="000B3978">
              <w:rPr>
                <w:rFonts w:ascii="Times New Roman" w:eastAsia="Times New Roman" w:hAnsi="Times New Roman" w:cs="Times New Roman"/>
                <w:sz w:val="20"/>
                <w:szCs w:val="20"/>
                <w:lang w:eastAsia="en-ZA"/>
              </w:rPr>
              <w:t>Olden &amp; Carvalho 2024</w:t>
            </w:r>
            <w:r>
              <w:rPr>
                <w:rFonts w:ascii="Times New Roman" w:eastAsia="Times New Roman" w:hAnsi="Times New Roman" w:cs="Times New Roman"/>
                <w:sz w:val="20"/>
                <w:szCs w:val="20"/>
                <w:lang w:eastAsia="en-ZA"/>
              </w:rPr>
              <w:t>)</w:t>
            </w:r>
            <w:r w:rsidRPr="006E53E4">
              <w:rPr>
                <w:rFonts w:ascii="Times New Roman" w:eastAsia="Times New Roman" w:hAnsi="Times New Roman" w:cs="Times New Roman"/>
                <w:sz w:val="20"/>
                <w:szCs w:val="20"/>
                <w:lang w:eastAsia="en-ZA"/>
              </w:rPr>
              <w:t xml:space="preserve">. No socio-economic benefits have been recorded to date in South Africa are even if </w:t>
            </w:r>
            <w:r w:rsidRPr="006A4925">
              <w:rPr>
                <w:rFonts w:ascii="Times New Roman" w:eastAsia="Times New Roman" w:hAnsi="Times New Roman" w:cs="Times New Roman"/>
                <w:i/>
                <w:sz w:val="20"/>
                <w:szCs w:val="20"/>
                <w:lang w:eastAsia="en-ZA"/>
              </w:rPr>
              <w:t>Procambarus</w:t>
            </w:r>
            <w:r>
              <w:rPr>
                <w:rFonts w:ascii="Times New Roman" w:eastAsia="Times New Roman" w:hAnsi="Times New Roman" w:cs="Times New Roman"/>
                <w:i/>
                <w:sz w:val="20"/>
                <w:szCs w:val="20"/>
                <w:lang w:eastAsia="en-ZA"/>
              </w:rPr>
              <w:t xml:space="preserve"> </w:t>
            </w:r>
            <w:r w:rsidRPr="006A4925">
              <w:rPr>
                <w:rFonts w:ascii="Times New Roman" w:eastAsia="Times New Roman" w:hAnsi="Times New Roman" w:cs="Times New Roman"/>
                <w:i/>
                <w:sz w:val="20"/>
                <w:szCs w:val="20"/>
                <w:lang w:eastAsia="en-ZA"/>
              </w:rPr>
              <w:t xml:space="preserve">virginalis </w:t>
            </w:r>
            <w:r w:rsidRPr="00C860FD">
              <w:rPr>
                <w:rFonts w:ascii="Times New Roman" w:eastAsia="Times New Roman" w:hAnsi="Times New Roman" w:cs="Times New Roman"/>
                <w:iCs/>
                <w:sz w:val="20"/>
                <w:szCs w:val="20"/>
                <w:lang w:eastAsia="en-ZA"/>
              </w:rPr>
              <w:t>i</w:t>
            </w:r>
            <w:r w:rsidRPr="006E53E4">
              <w:rPr>
                <w:rFonts w:ascii="Times New Roman" w:eastAsia="Times New Roman" w:hAnsi="Times New Roman" w:cs="Times New Roman"/>
                <w:sz w:val="20"/>
                <w:szCs w:val="20"/>
                <w:lang w:eastAsia="en-ZA"/>
              </w:rPr>
              <w:t>s present the benefits are likely to be low (</w:t>
            </w:r>
            <w:r>
              <w:rPr>
                <w:rFonts w:ascii="Times New Roman" w:eastAsia="Times New Roman" w:hAnsi="Times New Roman" w:cs="Times New Roman"/>
                <w:sz w:val="20"/>
                <w:szCs w:val="20"/>
                <w:lang w:eastAsia="en-ZA"/>
              </w:rPr>
              <w:t xml:space="preserve">Nunes et al. 2017; </w:t>
            </w:r>
            <w:r w:rsidRPr="006E53E4">
              <w:rPr>
                <w:rFonts w:ascii="Times New Roman" w:eastAsia="Times New Roman" w:hAnsi="Times New Roman" w:cs="Times New Roman"/>
                <w:sz w:val="20"/>
                <w:szCs w:val="20"/>
                <w:lang w:eastAsia="en-ZA"/>
              </w:rPr>
              <w:t>Madzivanzira et al. 2021).</w:t>
            </w:r>
          </w:p>
        </w:tc>
      </w:tr>
      <w:tr w:rsidR="002D7080" w:rsidRPr="004D1E6F" w14:paraId="091736EC" w14:textId="77777777" w:rsidTr="002E2C37">
        <w:trPr>
          <w:trHeight w:val="343"/>
        </w:trPr>
        <w:tc>
          <w:tcPr>
            <w:tcW w:w="9108" w:type="dxa"/>
            <w:gridSpan w:val="2"/>
          </w:tcPr>
          <w:p w14:paraId="1C1F076D" w14:textId="77777777" w:rsidR="002D7080" w:rsidRPr="007533C6" w:rsidRDefault="002D7080" w:rsidP="002E2C37">
            <w:pPr>
              <w:ind w:left="720" w:hanging="720"/>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References:</w:t>
            </w:r>
          </w:p>
          <w:p w14:paraId="6D6CAD3F" w14:textId="77777777" w:rsidR="002D7080" w:rsidRPr="007533C6" w:rsidRDefault="002D7080" w:rsidP="002E2C37">
            <w:pPr>
              <w:ind w:left="540" w:hanging="540"/>
              <w:contextualSpacing/>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 xml:space="preserve">Faulkes Z. 2015. The global trade in crayfish as pets. </w:t>
            </w:r>
            <w:r w:rsidRPr="007533C6">
              <w:rPr>
                <w:rFonts w:ascii="Times New Roman" w:eastAsia="Times New Roman" w:hAnsi="Times New Roman" w:cs="Times New Roman"/>
                <w:i/>
                <w:iCs/>
                <w:color w:val="000000" w:themeColor="text1"/>
                <w:sz w:val="20"/>
                <w:szCs w:val="20"/>
                <w:lang w:eastAsia="en-ZA"/>
              </w:rPr>
              <w:t>Crustacean Research</w:t>
            </w:r>
            <w:r w:rsidRPr="007533C6">
              <w:rPr>
                <w:rFonts w:ascii="Times New Roman" w:eastAsia="Times New Roman" w:hAnsi="Times New Roman" w:cs="Times New Roman"/>
                <w:color w:val="000000" w:themeColor="text1"/>
                <w:sz w:val="20"/>
                <w:szCs w:val="20"/>
                <w:lang w:eastAsia="en-ZA"/>
              </w:rPr>
              <w:t xml:space="preserve"> </w:t>
            </w:r>
            <w:r w:rsidRPr="007533C6">
              <w:rPr>
                <w:rFonts w:ascii="Times New Roman" w:eastAsia="Times New Roman" w:hAnsi="Times New Roman" w:cs="Times New Roman"/>
                <w:iCs/>
                <w:color w:val="000000" w:themeColor="text1"/>
                <w:sz w:val="20"/>
                <w:szCs w:val="20"/>
                <w:lang w:eastAsia="en-ZA"/>
              </w:rPr>
              <w:t>44</w:t>
            </w:r>
            <w:r w:rsidRPr="007533C6">
              <w:rPr>
                <w:rFonts w:ascii="Times New Roman" w:eastAsia="Times New Roman" w:hAnsi="Times New Roman" w:cs="Times New Roman"/>
                <w:color w:val="000000" w:themeColor="text1"/>
                <w:sz w:val="20"/>
                <w:szCs w:val="20"/>
                <w:lang w:eastAsia="en-ZA"/>
              </w:rPr>
              <w:t>: 75</w:t>
            </w:r>
            <w:r>
              <w:rPr>
                <w:rFonts w:ascii="Times New Roman" w:eastAsia="Times New Roman" w:hAnsi="Times New Roman" w:cs="Times New Roman"/>
                <w:color w:val="000000" w:themeColor="text1"/>
                <w:sz w:val="20"/>
                <w:szCs w:val="20"/>
                <w:lang w:eastAsia="en-ZA"/>
              </w:rPr>
              <w:t>-</w:t>
            </w:r>
            <w:r w:rsidRPr="007533C6">
              <w:rPr>
                <w:rFonts w:ascii="Times New Roman" w:eastAsia="Times New Roman" w:hAnsi="Times New Roman" w:cs="Times New Roman"/>
                <w:color w:val="000000" w:themeColor="text1"/>
                <w:sz w:val="20"/>
                <w:szCs w:val="20"/>
                <w:lang w:eastAsia="en-ZA"/>
              </w:rPr>
              <w:t>92.</w:t>
            </w:r>
            <w:r w:rsidRPr="00F36FE7">
              <w:rPr>
                <w:sz w:val="20"/>
                <w:szCs w:val="20"/>
              </w:rPr>
              <w:t xml:space="preserve"> </w:t>
            </w:r>
            <w:hyperlink r:id="rId689" w:history="1">
              <w:r w:rsidRPr="00F36FE7">
                <w:rPr>
                  <w:rStyle w:val="Hyperlink"/>
                  <w:rFonts w:ascii="Times New Roman" w:hAnsi="Times New Roman" w:cs="Times New Roman"/>
                  <w:sz w:val="20"/>
                  <w:szCs w:val="20"/>
                </w:rPr>
                <w:t>https://doi.org/10.18353/crustacea.44.0_75</w:t>
              </w:r>
            </w:hyperlink>
            <w:r w:rsidRPr="00F36FE7">
              <w:rPr>
                <w:rFonts w:ascii="Times New Roman" w:hAnsi="Times New Roman" w:cs="Times New Roman"/>
                <w:sz w:val="20"/>
                <w:szCs w:val="20"/>
              </w:rPr>
              <w:t>.</w:t>
            </w:r>
          </w:p>
          <w:p w14:paraId="7D3F431E" w14:textId="5A6131D4" w:rsidR="002D7080" w:rsidRDefault="002D7080" w:rsidP="002E2C37">
            <w:pPr>
              <w:ind w:left="540" w:hanging="540"/>
              <w:contextualSpacing/>
              <w:jc w:val="both"/>
              <w:rPr>
                <w:rStyle w:val="author"/>
                <w:rFonts w:ascii="Times New Roman" w:hAnsi="Times New Roman" w:cs="Times New Roman"/>
                <w:color w:val="000000" w:themeColor="text1"/>
                <w:sz w:val="20"/>
                <w:szCs w:val="20"/>
                <w:shd w:val="clear" w:color="auto" w:fill="FFFFFF"/>
              </w:rPr>
            </w:pPr>
            <w:r w:rsidRPr="007533C6">
              <w:rPr>
                <w:rStyle w:val="author"/>
                <w:rFonts w:ascii="Times New Roman" w:hAnsi="Times New Roman" w:cs="Times New Roman"/>
                <w:color w:val="000000" w:themeColor="text1"/>
                <w:sz w:val="20"/>
                <w:szCs w:val="20"/>
                <w:shd w:val="clear" w:color="auto" w:fill="FFFFFF"/>
              </w:rPr>
              <w:t xml:space="preserve">Madzivanzira, T.C., South, J., Wood, L.E., Nunes, A.L. &amp; Weyl, O.L.F., 2020, ‘A review of freshwater crayfish introductions in Africa’, Reviews in Fisheries Science &amp; Aquaculture, 1-21. </w:t>
            </w:r>
            <w:hyperlink r:id="rId690" w:history="1">
              <w:r w:rsidR="000F453E" w:rsidRPr="000F453E">
                <w:rPr>
                  <w:rStyle w:val="Hyperlink"/>
                  <w:rFonts w:ascii="Times New Roman" w:hAnsi="Times New Roman" w:cs="Times New Roman"/>
                  <w:sz w:val="20"/>
                  <w:szCs w:val="20"/>
                </w:rPr>
                <w:t>https://doi.org/10.1080/23308249.2020.1802405</w:t>
              </w:r>
            </w:hyperlink>
            <w:r w:rsidRPr="000F453E">
              <w:rPr>
                <w:rStyle w:val="author"/>
                <w:rFonts w:ascii="Times New Roman" w:hAnsi="Times New Roman" w:cs="Times New Roman"/>
                <w:color w:val="000000" w:themeColor="text1"/>
                <w:sz w:val="18"/>
                <w:szCs w:val="18"/>
                <w:shd w:val="clear" w:color="auto" w:fill="FFFFFF"/>
              </w:rPr>
              <w:t>.</w:t>
            </w:r>
          </w:p>
          <w:p w14:paraId="7EFED233" w14:textId="77777777" w:rsidR="002D7080" w:rsidRPr="00BA3C72" w:rsidRDefault="002D7080" w:rsidP="002E2C37">
            <w:pPr>
              <w:ind w:left="540" w:hanging="540"/>
              <w:contextualSpacing/>
              <w:jc w:val="both"/>
              <w:rPr>
                <w:rStyle w:val="author"/>
                <w:rFonts w:ascii="Times New Roman" w:eastAsia="Calibri" w:hAnsi="Times New Roman" w:cs="Times New Roman"/>
                <w:bCs/>
                <w:sz w:val="20"/>
                <w:szCs w:val="20"/>
              </w:rPr>
            </w:pPr>
            <w:r w:rsidRPr="007A20BD">
              <w:rPr>
                <w:rFonts w:ascii="Times New Roman" w:eastAsia="Calibri" w:hAnsi="Times New Roman" w:cs="Times New Roman"/>
                <w:bCs/>
                <w:sz w:val="20"/>
                <w:szCs w:val="20"/>
              </w:rPr>
              <w:t xml:space="preserve">Nunes, A.L., Zengeya, T.A., Measey, G.J. &amp; Weyl, O.L.F., 2017, ‘Freshwater crayfish invasions in South Africa: past, present and potential future’, African Journal of Aquatic Science 42, 309–323, </w:t>
            </w:r>
            <w:hyperlink r:id="rId691" w:history="1">
              <w:r w:rsidRPr="002A244D">
                <w:rPr>
                  <w:rStyle w:val="Hyperlink"/>
                  <w:rFonts w:ascii="Times New Roman" w:eastAsia="Calibri" w:hAnsi="Times New Roman" w:cs="Times New Roman"/>
                  <w:bCs/>
                  <w:sz w:val="20"/>
                  <w:szCs w:val="20"/>
                </w:rPr>
                <w:t>https://doi.org/10.2989/16085914.2017.1405788</w:t>
              </w:r>
            </w:hyperlink>
            <w:r w:rsidRPr="007A20BD">
              <w:rPr>
                <w:rFonts w:ascii="Times New Roman" w:eastAsia="Calibri" w:hAnsi="Times New Roman" w:cs="Times New Roman"/>
                <w:bCs/>
                <w:sz w:val="20"/>
                <w:szCs w:val="20"/>
              </w:rPr>
              <w:t>.</w:t>
            </w:r>
            <w:r>
              <w:rPr>
                <w:rFonts w:ascii="Times New Roman" w:eastAsia="Calibri" w:hAnsi="Times New Roman" w:cs="Times New Roman"/>
                <w:bCs/>
                <w:sz w:val="20"/>
                <w:szCs w:val="20"/>
              </w:rPr>
              <w:t xml:space="preserve"> </w:t>
            </w:r>
          </w:p>
          <w:p w14:paraId="10D2FBEC" w14:textId="77777777" w:rsidR="002D7080" w:rsidRPr="0081066F" w:rsidRDefault="002D7080" w:rsidP="002E2C37">
            <w:pPr>
              <w:spacing w:after="120"/>
              <w:ind w:left="446" w:hanging="446"/>
              <w:contextualSpacing/>
              <w:jc w:val="both"/>
              <w:rPr>
                <w:rFonts w:ascii="Times New Roman" w:hAnsi="Times New Roman" w:cs="Times New Roman"/>
                <w:sz w:val="20"/>
                <w:szCs w:val="20"/>
              </w:rPr>
            </w:pPr>
            <w:r w:rsidRPr="00CE3A9C">
              <w:rPr>
                <w:rFonts w:ascii="Times New Roman" w:hAnsi="Times New Roman" w:cs="Times New Roman"/>
                <w:sz w:val="20"/>
                <w:szCs w:val="20"/>
              </w:rPr>
              <w:t>Olden, J.D., Carvalho, F.A. C., 2024, ‘Global invasion and biosecurity risk from the online trade in ornamental crayfish, </w:t>
            </w:r>
            <w:r w:rsidRPr="00CE3A9C">
              <w:rPr>
                <w:rFonts w:ascii="Times New Roman" w:hAnsi="Times New Roman" w:cs="Times New Roman"/>
                <w:i/>
                <w:iCs/>
                <w:sz w:val="20"/>
                <w:szCs w:val="20"/>
              </w:rPr>
              <w:t>Conservation Biology</w:t>
            </w:r>
            <w:r w:rsidRPr="00CE3A9C">
              <w:rPr>
                <w:rFonts w:ascii="Times New Roman" w:hAnsi="Times New Roman" w:cs="Times New Roman"/>
                <w:sz w:val="20"/>
                <w:szCs w:val="20"/>
              </w:rPr>
              <w:t>, 38, e14359. </w:t>
            </w:r>
            <w:hyperlink r:id="rId692" w:history="1">
              <w:r w:rsidRPr="00CE3A9C">
                <w:rPr>
                  <w:rStyle w:val="Hyperlink"/>
                  <w:rFonts w:ascii="Times New Roman" w:hAnsi="Times New Roman" w:cs="Times New Roman"/>
                  <w:sz w:val="20"/>
                  <w:szCs w:val="20"/>
                </w:rPr>
                <w:t>https://doi.org/10.1111/cobi.14359</w:t>
              </w:r>
            </w:hyperlink>
            <w:r>
              <w:rPr>
                <w:rFonts w:ascii="Times New Roman" w:hAnsi="Times New Roman" w:cs="Times New Roman"/>
                <w:sz w:val="20"/>
                <w:szCs w:val="20"/>
              </w:rPr>
              <w:t>.</w:t>
            </w:r>
          </w:p>
        </w:tc>
      </w:tr>
      <w:tr w:rsidR="002D7080" w:rsidRPr="004D1E6F" w14:paraId="2FAC8AD5" w14:textId="77777777" w:rsidTr="002E2C37">
        <w:trPr>
          <w:trHeight w:val="343"/>
        </w:trPr>
        <w:tc>
          <w:tcPr>
            <w:tcW w:w="9108" w:type="dxa"/>
            <w:gridSpan w:val="2"/>
            <w:shd w:val="clear" w:color="auto" w:fill="F2F2F2" w:themeFill="background1" w:themeFillShade="F2"/>
          </w:tcPr>
          <w:p w14:paraId="5AA2B953" w14:textId="77777777" w:rsidR="002D7080" w:rsidRPr="004D1E6F" w:rsidRDefault="002D7080" w:rsidP="002E2C37">
            <w:pPr>
              <w:contextualSpacing/>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 xml:space="preserve">MAN2b Environmental benefits of the </w:t>
            </w:r>
            <w:r w:rsidRPr="004D1E6F">
              <w:rPr>
                <w:rFonts w:ascii="Times New Roman" w:eastAsia="Times New Roman" w:hAnsi="Times New Roman" w:cs="Times New Roman"/>
                <w:b/>
                <w:i/>
                <w:color w:val="000000"/>
                <w:sz w:val="20"/>
                <w:szCs w:val="20"/>
                <w:lang w:eastAsia="en-ZA"/>
              </w:rPr>
              <w:t>Taxon</w:t>
            </w:r>
          </w:p>
        </w:tc>
      </w:tr>
      <w:tr w:rsidR="002D7080" w:rsidRPr="004D1E6F" w14:paraId="2435A69A" w14:textId="77777777" w:rsidTr="002E2C37">
        <w:trPr>
          <w:trHeight w:val="259"/>
        </w:trPr>
        <w:tc>
          <w:tcPr>
            <w:tcW w:w="5240" w:type="dxa"/>
          </w:tcPr>
          <w:p w14:paraId="0956D384" w14:textId="77777777" w:rsidR="002D7080" w:rsidRPr="004D1E6F" w:rsidRDefault="002D7080" w:rsidP="002E2C37">
            <w:pPr>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Response: None</w:t>
            </w:r>
          </w:p>
        </w:tc>
        <w:tc>
          <w:tcPr>
            <w:tcW w:w="3868" w:type="dxa"/>
          </w:tcPr>
          <w:p w14:paraId="62FD2307" w14:textId="77777777" w:rsidR="002D7080" w:rsidRPr="004D1E6F" w:rsidRDefault="002D7080" w:rsidP="002E2C37">
            <w:pPr>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Confidence:</w:t>
            </w:r>
          </w:p>
        </w:tc>
      </w:tr>
      <w:tr w:rsidR="002D7080" w:rsidRPr="004D1E6F" w14:paraId="2B11595F" w14:textId="77777777" w:rsidTr="002E2C37">
        <w:trPr>
          <w:trHeight w:val="343"/>
        </w:trPr>
        <w:tc>
          <w:tcPr>
            <w:tcW w:w="9108" w:type="dxa"/>
            <w:gridSpan w:val="2"/>
          </w:tcPr>
          <w:p w14:paraId="39451A5E" w14:textId="77777777" w:rsidR="002D7080" w:rsidRPr="004D1E6F" w:rsidRDefault="002D7080" w:rsidP="002E2C37">
            <w:pPr>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Pr>
                <w:rFonts w:ascii="Times New Roman" w:eastAsia="Times New Roman" w:hAnsi="Times New Roman" w:cs="Times New Roman"/>
                <w:color w:val="000000"/>
                <w:sz w:val="20"/>
                <w:szCs w:val="20"/>
                <w:lang w:eastAsia="en-ZA"/>
              </w:rPr>
              <w:t xml:space="preserve">There are no known environmental benefits from this taxon </w:t>
            </w:r>
          </w:p>
        </w:tc>
      </w:tr>
      <w:tr w:rsidR="002D7080" w:rsidRPr="004D1E6F" w14:paraId="7EF3B417" w14:textId="77777777" w:rsidTr="002E2C37">
        <w:trPr>
          <w:trHeight w:val="343"/>
        </w:trPr>
        <w:tc>
          <w:tcPr>
            <w:tcW w:w="9108" w:type="dxa"/>
            <w:gridSpan w:val="2"/>
          </w:tcPr>
          <w:p w14:paraId="539E6774" w14:textId="77777777" w:rsidR="002D7080" w:rsidRPr="004D1E6F" w:rsidRDefault="002D7080" w:rsidP="002E2C37">
            <w:pPr>
              <w:contextualSpacing/>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tc>
      </w:tr>
    </w:tbl>
    <w:p w14:paraId="6650C639"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9108" w:type="dxa"/>
        <w:tblLook w:val="04A0" w:firstRow="1" w:lastRow="0" w:firstColumn="1" w:lastColumn="0" w:noHBand="0" w:noVBand="1"/>
      </w:tblPr>
      <w:tblGrid>
        <w:gridCol w:w="5240"/>
        <w:gridCol w:w="40"/>
        <w:gridCol w:w="3787"/>
        <w:gridCol w:w="41"/>
      </w:tblGrid>
      <w:tr w:rsidR="002D7080" w:rsidRPr="004D1E6F" w14:paraId="517249DB" w14:textId="77777777" w:rsidTr="002E2C37">
        <w:trPr>
          <w:trHeight w:val="343"/>
        </w:trPr>
        <w:tc>
          <w:tcPr>
            <w:tcW w:w="9108" w:type="dxa"/>
            <w:gridSpan w:val="4"/>
            <w:shd w:val="clear" w:color="auto" w:fill="F2F2F2" w:themeFill="background1" w:themeFillShade="F2"/>
          </w:tcPr>
          <w:p w14:paraId="43D159E4"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 xml:space="preserve">MAN3 Ease of management </w:t>
            </w:r>
          </w:p>
        </w:tc>
      </w:tr>
      <w:tr w:rsidR="002D7080" w:rsidRPr="004D1E6F" w14:paraId="0E5BEC35" w14:textId="77777777" w:rsidTr="002E2C37">
        <w:trPr>
          <w:trHeight w:val="343"/>
        </w:trPr>
        <w:tc>
          <w:tcPr>
            <w:tcW w:w="9108" w:type="dxa"/>
            <w:gridSpan w:val="4"/>
            <w:shd w:val="clear" w:color="auto" w:fill="F2F2F2" w:themeFill="background1" w:themeFillShade="F2"/>
          </w:tcPr>
          <w:p w14:paraId="28884215"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MAN3a How accessible are populations?</w:t>
            </w:r>
          </w:p>
        </w:tc>
      </w:tr>
      <w:tr w:rsidR="002D7080" w:rsidRPr="004D1E6F" w14:paraId="6F03670D" w14:textId="77777777" w:rsidTr="002E2C37">
        <w:trPr>
          <w:trHeight w:val="183"/>
        </w:trPr>
        <w:tc>
          <w:tcPr>
            <w:tcW w:w="5240" w:type="dxa"/>
          </w:tcPr>
          <w:p w14:paraId="7781792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C4037B">
              <w:rPr>
                <w:rFonts w:ascii="Times New Roman" w:eastAsia="Times New Roman" w:hAnsi="Times New Roman" w:cs="Times New Roman"/>
                <w:sz w:val="20"/>
                <w:szCs w:val="20"/>
                <w:lang w:eastAsia="en-ZA"/>
              </w:rPr>
              <w:t>Response: 2 (difficult to access)</w:t>
            </w:r>
          </w:p>
        </w:tc>
        <w:tc>
          <w:tcPr>
            <w:tcW w:w="3868" w:type="dxa"/>
            <w:gridSpan w:val="3"/>
          </w:tcPr>
          <w:p w14:paraId="3D11CD72" w14:textId="77777777" w:rsidR="002D7080" w:rsidRPr="004D1E6F" w:rsidRDefault="002D7080" w:rsidP="002E2C37">
            <w:pPr>
              <w:rPr>
                <w:rFonts w:ascii="Times New Roman" w:eastAsia="Times New Roman" w:hAnsi="Times New Roman" w:cs="Times New Roman"/>
                <w:color w:val="000000"/>
                <w:sz w:val="20"/>
                <w:szCs w:val="20"/>
                <w:lang w:eastAsia="en-ZA"/>
              </w:rPr>
            </w:pPr>
            <w:r w:rsidRPr="00C4037B">
              <w:rPr>
                <w:rFonts w:ascii="Times New Roman" w:eastAsia="Times New Roman" w:hAnsi="Times New Roman" w:cs="Times New Roman"/>
                <w:sz w:val="20"/>
                <w:szCs w:val="20"/>
                <w:lang w:eastAsia="en-ZA"/>
              </w:rPr>
              <w:t>Confidence: Low</w:t>
            </w:r>
          </w:p>
        </w:tc>
      </w:tr>
      <w:tr w:rsidR="002D7080" w:rsidRPr="004D1E6F" w14:paraId="2C91C6CF" w14:textId="77777777" w:rsidTr="002E2C37">
        <w:trPr>
          <w:trHeight w:val="343"/>
        </w:trPr>
        <w:tc>
          <w:tcPr>
            <w:tcW w:w="9108" w:type="dxa"/>
            <w:gridSpan w:val="4"/>
          </w:tcPr>
          <w:p w14:paraId="7095595A"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C4037B">
              <w:rPr>
                <w:rFonts w:ascii="Times New Roman" w:eastAsia="Times New Roman" w:hAnsi="Times New Roman" w:cs="Times New Roman"/>
                <w:sz w:val="20"/>
                <w:szCs w:val="20"/>
                <w:lang w:eastAsia="en-ZA"/>
              </w:rPr>
              <w:lastRenderedPageBreak/>
              <w:t xml:space="preserve">Rationale: There are no locality records for </w:t>
            </w:r>
            <w:r w:rsidRPr="00D2347B">
              <w:rPr>
                <w:rFonts w:ascii="Times New Roman" w:eastAsia="Times New Roman" w:hAnsi="Times New Roman" w:cs="Times New Roman"/>
                <w:i/>
                <w:iCs/>
                <w:sz w:val="20"/>
                <w:szCs w:val="20"/>
                <w:lang w:eastAsia="en-ZA"/>
              </w:rPr>
              <w:t xml:space="preserve">Procambarus virginalis </w:t>
            </w:r>
            <w:r w:rsidRPr="00C4037B">
              <w:rPr>
                <w:rFonts w:ascii="Times New Roman" w:eastAsia="Times New Roman" w:hAnsi="Times New Roman" w:cs="Times New Roman"/>
                <w:sz w:val="20"/>
                <w:szCs w:val="20"/>
                <w:lang w:eastAsia="en-ZA"/>
              </w:rPr>
              <w:t>in South Africa (Madzivanzira et al. 202</w:t>
            </w:r>
            <w:r>
              <w:rPr>
                <w:rFonts w:ascii="Times New Roman" w:eastAsia="Times New Roman" w:hAnsi="Times New Roman" w:cs="Times New Roman"/>
                <w:sz w:val="20"/>
                <w:szCs w:val="20"/>
                <w:lang w:eastAsia="en-ZA"/>
              </w:rPr>
              <w:t>0</w:t>
            </w:r>
            <w:r w:rsidRPr="00C4037B">
              <w:rPr>
                <w:rFonts w:ascii="Times New Roman" w:eastAsia="Times New Roman" w:hAnsi="Times New Roman" w:cs="Times New Roman"/>
                <w:sz w:val="20"/>
                <w:szCs w:val="20"/>
                <w:lang w:eastAsia="en-ZA"/>
              </w:rPr>
              <w:t>; Nunes et al. 2017). However, given that it is an aquatic species, accessibility is likely to be difficult.</w:t>
            </w:r>
            <w:r w:rsidRPr="00C4037B">
              <w:rPr>
                <w:rFonts w:ascii="Times New Roman" w:eastAsia="Times New Roman" w:hAnsi="Times New Roman" w:cs="Times New Roman"/>
                <w:sz w:val="20"/>
                <w:szCs w:val="20"/>
                <w:u w:val="single"/>
                <w:lang w:eastAsia="en-ZA"/>
              </w:rPr>
              <w:t xml:space="preserve"> </w:t>
            </w:r>
          </w:p>
        </w:tc>
      </w:tr>
      <w:tr w:rsidR="002D7080" w:rsidRPr="004D1E6F" w14:paraId="1CE9C2CE" w14:textId="77777777" w:rsidTr="002E2C37">
        <w:trPr>
          <w:trHeight w:val="343"/>
        </w:trPr>
        <w:tc>
          <w:tcPr>
            <w:tcW w:w="9108" w:type="dxa"/>
            <w:gridSpan w:val="4"/>
          </w:tcPr>
          <w:p w14:paraId="6F84C970" w14:textId="77777777" w:rsidR="002D7080" w:rsidRPr="00C4037B" w:rsidRDefault="002D7080" w:rsidP="002E2C37">
            <w:pPr>
              <w:ind w:left="720" w:hanging="720"/>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References:</w:t>
            </w:r>
          </w:p>
          <w:p w14:paraId="5430D083" w14:textId="77777777" w:rsidR="002D7080" w:rsidRPr="007533C6" w:rsidRDefault="002D7080" w:rsidP="002E2C37">
            <w:pPr>
              <w:ind w:left="720" w:hanging="720"/>
              <w:contextualSpacing/>
              <w:jc w:val="both"/>
              <w:rPr>
                <w:rStyle w:val="author"/>
                <w:rFonts w:ascii="Times New Roman" w:hAnsi="Times New Roman" w:cs="Times New Roman"/>
                <w:color w:val="000000" w:themeColor="text1"/>
                <w:sz w:val="20"/>
                <w:szCs w:val="20"/>
                <w:shd w:val="clear" w:color="auto" w:fill="FFFFFF"/>
              </w:rPr>
            </w:pPr>
            <w:r w:rsidRPr="007533C6">
              <w:rPr>
                <w:rStyle w:val="author"/>
                <w:rFonts w:ascii="Times New Roman" w:hAnsi="Times New Roman" w:cs="Times New Roman"/>
                <w:color w:val="000000" w:themeColor="text1"/>
                <w:sz w:val="20"/>
                <w:szCs w:val="20"/>
                <w:shd w:val="clear" w:color="auto" w:fill="FFFFFF"/>
              </w:rPr>
              <w:t xml:space="preserve">Madzivanzira, T.C., South, J., Wood, L.E., Nunes, A.L. &amp; Weyl, O.L.F., 2020, ‘A review of freshwater crayfish introductions in Africa’, </w:t>
            </w:r>
            <w:r w:rsidRPr="00493986">
              <w:rPr>
                <w:rStyle w:val="author"/>
                <w:rFonts w:ascii="Times New Roman" w:hAnsi="Times New Roman" w:cs="Times New Roman"/>
                <w:i/>
                <w:iCs/>
                <w:color w:val="000000" w:themeColor="text1"/>
                <w:sz w:val="20"/>
                <w:szCs w:val="20"/>
                <w:shd w:val="clear" w:color="auto" w:fill="FFFFFF"/>
              </w:rPr>
              <w:t>Reviews in Fisheries Science</w:t>
            </w:r>
            <w:r w:rsidRPr="007533C6">
              <w:rPr>
                <w:rStyle w:val="author"/>
                <w:rFonts w:ascii="Times New Roman" w:hAnsi="Times New Roman" w:cs="Times New Roman"/>
                <w:color w:val="000000" w:themeColor="text1"/>
                <w:sz w:val="20"/>
                <w:szCs w:val="20"/>
                <w:shd w:val="clear" w:color="auto" w:fill="FFFFFF"/>
              </w:rPr>
              <w:t xml:space="preserve"> &amp; </w:t>
            </w:r>
            <w:r w:rsidRPr="00493986">
              <w:rPr>
                <w:rStyle w:val="author"/>
                <w:rFonts w:ascii="Times New Roman" w:hAnsi="Times New Roman" w:cs="Times New Roman"/>
                <w:i/>
                <w:iCs/>
                <w:color w:val="000000" w:themeColor="text1"/>
                <w:sz w:val="20"/>
                <w:szCs w:val="20"/>
                <w:shd w:val="clear" w:color="auto" w:fill="FFFFFF"/>
              </w:rPr>
              <w:t>Aquaculture</w:t>
            </w:r>
            <w:r w:rsidRPr="007533C6">
              <w:rPr>
                <w:rStyle w:val="author"/>
                <w:rFonts w:ascii="Times New Roman" w:hAnsi="Times New Roman" w:cs="Times New Roman"/>
                <w:color w:val="000000" w:themeColor="text1"/>
                <w:sz w:val="20"/>
                <w:szCs w:val="20"/>
                <w:shd w:val="clear" w:color="auto" w:fill="FFFFFF"/>
              </w:rPr>
              <w:t>, 1-21.</w:t>
            </w:r>
            <w:r>
              <w:t xml:space="preserve"> </w:t>
            </w:r>
            <w:r>
              <w:rPr>
                <w:rStyle w:val="author"/>
                <w:rFonts w:ascii="Times New Roman" w:hAnsi="Times New Roman" w:cs="Times New Roman"/>
                <w:color w:val="000000" w:themeColor="text1"/>
                <w:sz w:val="20"/>
                <w:szCs w:val="20"/>
                <w:shd w:val="clear" w:color="auto" w:fill="FFFFFF"/>
              </w:rPr>
              <w:t xml:space="preserve"> </w:t>
            </w:r>
            <w:hyperlink r:id="rId693" w:history="1">
              <w:r w:rsidRPr="002A244D">
                <w:rPr>
                  <w:rStyle w:val="Hyperlink"/>
                  <w:rFonts w:ascii="Times New Roman" w:hAnsi="Times New Roman" w:cs="Times New Roman"/>
                  <w:sz w:val="20"/>
                  <w:szCs w:val="20"/>
                  <w:shd w:val="clear" w:color="auto" w:fill="FFFFFF"/>
                </w:rPr>
                <w:t>https://doi.org/10.1080/23308249.2020.1802405</w:t>
              </w:r>
            </w:hyperlink>
            <w:r>
              <w:rPr>
                <w:rStyle w:val="Hyperlink"/>
                <w:rFonts w:ascii="Times New Roman" w:hAnsi="Times New Roman" w:cs="Times New Roman"/>
                <w:sz w:val="20"/>
                <w:szCs w:val="20"/>
                <w:shd w:val="clear" w:color="auto" w:fill="FFFFFF"/>
              </w:rPr>
              <w:t>.</w:t>
            </w:r>
            <w:r>
              <w:rPr>
                <w:rStyle w:val="author"/>
                <w:rFonts w:ascii="Times New Roman" w:hAnsi="Times New Roman" w:cs="Times New Roman"/>
                <w:color w:val="000000" w:themeColor="text1"/>
                <w:sz w:val="20"/>
                <w:szCs w:val="20"/>
                <w:shd w:val="clear" w:color="auto" w:fill="FFFFFF"/>
              </w:rPr>
              <w:t xml:space="preserve">   </w:t>
            </w:r>
          </w:p>
          <w:p w14:paraId="6FBC111F" w14:textId="7C73AF6F" w:rsidR="002D7080" w:rsidRPr="004D1E6F" w:rsidRDefault="002D7080" w:rsidP="002E2C37">
            <w:pPr>
              <w:ind w:left="720" w:hanging="720"/>
              <w:contextualSpacing/>
              <w:jc w:val="both"/>
              <w:rPr>
                <w:rFonts w:ascii="Times New Roman" w:eastAsia="Times New Roman" w:hAnsi="Times New Roman" w:cs="Times New Roman"/>
                <w:color w:val="000000"/>
                <w:sz w:val="20"/>
                <w:szCs w:val="20"/>
                <w:lang w:eastAsia="en-ZA"/>
              </w:rPr>
            </w:pPr>
            <w:r w:rsidRPr="007533C6">
              <w:rPr>
                <w:rFonts w:ascii="Times New Roman" w:eastAsia="Times New Roman" w:hAnsi="Times New Roman" w:cs="Times New Roman"/>
                <w:color w:val="000000" w:themeColor="text1"/>
                <w:sz w:val="20"/>
                <w:szCs w:val="20"/>
                <w:lang w:eastAsia="en-ZA"/>
              </w:rPr>
              <w:t xml:space="preserve">Nunes, A.L., Zengeya, T.A., Measey, G.J. &amp; Weyl, O.L.F., 2017, ‘Freshwater crayfish invasions in South Africa: past, present and potential future’, </w:t>
            </w:r>
            <w:r w:rsidRPr="007533C6">
              <w:rPr>
                <w:rFonts w:ascii="Times New Roman" w:eastAsia="Times New Roman" w:hAnsi="Times New Roman" w:cs="Times New Roman"/>
                <w:i/>
                <w:color w:val="000000" w:themeColor="text1"/>
                <w:sz w:val="20"/>
                <w:szCs w:val="20"/>
                <w:lang w:eastAsia="en-ZA"/>
              </w:rPr>
              <w:t>African Journal of Aquatic Science</w:t>
            </w:r>
            <w:r w:rsidRPr="007533C6">
              <w:rPr>
                <w:rFonts w:ascii="Times New Roman" w:eastAsia="Times New Roman" w:hAnsi="Times New Roman" w:cs="Times New Roman"/>
                <w:color w:val="000000" w:themeColor="text1"/>
                <w:sz w:val="20"/>
                <w:szCs w:val="20"/>
                <w:lang w:eastAsia="en-ZA"/>
              </w:rPr>
              <w:t xml:space="preserve"> 42, 309–323, </w:t>
            </w:r>
            <w:hyperlink r:id="rId694" w:history="1">
              <w:r w:rsidR="000F453E" w:rsidRPr="000F453E">
                <w:rPr>
                  <w:rStyle w:val="Hyperlink"/>
                  <w:rFonts w:ascii="Times New Roman" w:hAnsi="Times New Roman" w:cs="Times New Roman"/>
                  <w:sz w:val="20"/>
                  <w:szCs w:val="20"/>
                </w:rPr>
                <w:t>https://doi.org/10.2989/16085914.2017.1405788</w:t>
              </w:r>
            </w:hyperlink>
          </w:p>
        </w:tc>
      </w:tr>
      <w:tr w:rsidR="002D7080" w:rsidRPr="004D1E6F" w14:paraId="7C1EF3E6" w14:textId="77777777" w:rsidTr="002E2C37">
        <w:trPr>
          <w:trHeight w:val="343"/>
        </w:trPr>
        <w:tc>
          <w:tcPr>
            <w:tcW w:w="9108" w:type="dxa"/>
            <w:gridSpan w:val="4"/>
            <w:shd w:val="clear" w:color="auto" w:fill="F2F2F2" w:themeFill="background1" w:themeFillShade="F2"/>
          </w:tcPr>
          <w:p w14:paraId="4EE32C15" w14:textId="77777777" w:rsidR="002D7080" w:rsidRPr="004D1E6F" w:rsidRDefault="002D7080" w:rsidP="002E2C37">
            <w:pPr>
              <w:rPr>
                <w:rFonts w:ascii="Times New Roman" w:eastAsia="Calibri" w:hAnsi="Times New Roman" w:cs="Times New Roman"/>
                <w:sz w:val="20"/>
                <w:szCs w:val="20"/>
              </w:rPr>
            </w:pPr>
            <w:r w:rsidRPr="00C4037B">
              <w:rPr>
                <w:rFonts w:ascii="Times New Roman" w:eastAsia="Times New Roman" w:hAnsi="Times New Roman" w:cs="Times New Roman"/>
                <w:b/>
                <w:sz w:val="20"/>
                <w:szCs w:val="20"/>
                <w:lang w:eastAsia="en-ZA"/>
              </w:rPr>
              <w:t>MAN3b Is detectability critically time-dependent?</w:t>
            </w:r>
          </w:p>
        </w:tc>
      </w:tr>
      <w:tr w:rsidR="002D7080" w:rsidRPr="004D1E6F" w14:paraId="0E0D2057" w14:textId="77777777" w:rsidTr="002E2C37">
        <w:trPr>
          <w:trHeight w:val="183"/>
        </w:trPr>
        <w:tc>
          <w:tcPr>
            <w:tcW w:w="5240" w:type="dxa"/>
          </w:tcPr>
          <w:p w14:paraId="4A7FA954" w14:textId="77777777" w:rsidR="002D7080" w:rsidRPr="004D1E6F" w:rsidRDefault="002D7080" w:rsidP="002E2C37">
            <w:pPr>
              <w:rPr>
                <w:rFonts w:ascii="Times New Roman" w:eastAsia="Times New Roman" w:hAnsi="Times New Roman" w:cs="Times New Roman"/>
                <w:color w:val="000000"/>
                <w:sz w:val="20"/>
                <w:szCs w:val="20"/>
                <w:lang w:eastAsia="en-ZA"/>
              </w:rPr>
            </w:pPr>
            <w:r w:rsidRPr="00C4037B">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2 (difficult to access)</w:t>
            </w:r>
          </w:p>
        </w:tc>
        <w:tc>
          <w:tcPr>
            <w:tcW w:w="3868" w:type="dxa"/>
            <w:gridSpan w:val="3"/>
          </w:tcPr>
          <w:p w14:paraId="1E8FCF3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C4037B">
              <w:rPr>
                <w:rFonts w:ascii="Times New Roman" w:eastAsia="Times New Roman" w:hAnsi="Times New Roman" w:cs="Times New Roman"/>
                <w:sz w:val="20"/>
                <w:szCs w:val="20"/>
                <w:lang w:eastAsia="en-ZA"/>
              </w:rPr>
              <w:t>Confidence:</w:t>
            </w:r>
            <w:r>
              <w:rPr>
                <w:rFonts w:ascii="Times New Roman" w:eastAsia="Times New Roman" w:hAnsi="Times New Roman" w:cs="Times New Roman"/>
                <w:sz w:val="20"/>
                <w:szCs w:val="20"/>
                <w:lang w:eastAsia="en-ZA"/>
              </w:rPr>
              <w:t xml:space="preserve"> Medium </w:t>
            </w:r>
          </w:p>
        </w:tc>
      </w:tr>
      <w:tr w:rsidR="002D7080" w:rsidRPr="004D1E6F" w14:paraId="5D3ACDC0" w14:textId="77777777" w:rsidTr="002E2C37">
        <w:trPr>
          <w:trHeight w:val="343"/>
        </w:trPr>
        <w:tc>
          <w:tcPr>
            <w:tcW w:w="9108" w:type="dxa"/>
            <w:gridSpan w:val="4"/>
          </w:tcPr>
          <w:p w14:paraId="289E554A"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C4037B">
              <w:rPr>
                <w:rFonts w:ascii="Times New Roman" w:eastAsia="Times New Roman" w:hAnsi="Times New Roman" w:cs="Times New Roman"/>
                <w:sz w:val="20"/>
                <w:szCs w:val="20"/>
                <w:lang w:eastAsia="en-ZA"/>
              </w:rPr>
              <w:t xml:space="preserve">Rationale: </w:t>
            </w:r>
            <w:r w:rsidRPr="00D2347B">
              <w:rPr>
                <w:rFonts w:ascii="Times New Roman" w:eastAsia="Times New Roman" w:hAnsi="Times New Roman" w:cs="Times New Roman"/>
                <w:i/>
                <w:iCs/>
                <w:sz w:val="20"/>
                <w:szCs w:val="20"/>
                <w:lang w:eastAsia="en-ZA"/>
              </w:rPr>
              <w:t xml:space="preserve">Procambarus virginalis </w:t>
            </w:r>
            <w:r w:rsidRPr="00C4037B">
              <w:rPr>
                <w:rFonts w:ascii="Times New Roman" w:eastAsia="Times New Roman" w:hAnsi="Times New Roman" w:cs="Times New Roman"/>
                <w:sz w:val="20"/>
                <w:szCs w:val="20"/>
                <w:lang w:eastAsia="en-ZA"/>
              </w:rPr>
              <w:t>is a small burrowing freshwater species that is difficult to detect (</w:t>
            </w:r>
            <w:r>
              <w:rPr>
                <w:rFonts w:ascii="Times New Roman" w:eastAsia="Times New Roman" w:hAnsi="Times New Roman" w:cs="Times New Roman"/>
                <w:sz w:val="20"/>
                <w:szCs w:val="20"/>
                <w:lang w:eastAsia="en-ZA"/>
              </w:rPr>
              <w:t>Dorn &amp; Volin 2009; Martin et al. 2010</w:t>
            </w:r>
            <w:r w:rsidRPr="00C4037B">
              <w:rPr>
                <w:rFonts w:ascii="Times New Roman" w:eastAsia="Times New Roman" w:hAnsi="Times New Roman" w:cs="Times New Roman"/>
                <w:sz w:val="20"/>
                <w:szCs w:val="20"/>
                <w:lang w:eastAsia="en-ZA"/>
              </w:rPr>
              <w:t xml:space="preserve">). </w:t>
            </w:r>
          </w:p>
        </w:tc>
      </w:tr>
      <w:tr w:rsidR="002D7080" w:rsidRPr="004D1E6F" w14:paraId="740E5F2C" w14:textId="77777777" w:rsidTr="002E2C37">
        <w:trPr>
          <w:trHeight w:val="343"/>
        </w:trPr>
        <w:tc>
          <w:tcPr>
            <w:tcW w:w="9108" w:type="dxa"/>
            <w:gridSpan w:val="4"/>
          </w:tcPr>
          <w:p w14:paraId="33F41EBC" w14:textId="77777777" w:rsidR="002D7080" w:rsidRPr="00C4037B" w:rsidRDefault="002D7080" w:rsidP="002E2C37">
            <w:pPr>
              <w:ind w:left="720" w:hanging="720"/>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References:</w:t>
            </w:r>
          </w:p>
          <w:p w14:paraId="374BDFEC" w14:textId="77777777" w:rsidR="002D7080" w:rsidRPr="00B33F4E" w:rsidRDefault="002D7080" w:rsidP="002E2C37">
            <w:pPr>
              <w:ind w:left="607" w:hanging="607"/>
              <w:rPr>
                <w:rFonts w:ascii="Times New Roman" w:hAnsi="Times New Roman" w:cs="Times New Roman"/>
                <w:sz w:val="20"/>
                <w:szCs w:val="20"/>
                <w:shd w:val="clear" w:color="auto" w:fill="FFFFFF"/>
              </w:rPr>
            </w:pPr>
            <w:r w:rsidRPr="007F5656">
              <w:rPr>
                <w:rFonts w:ascii="Times New Roman" w:hAnsi="Times New Roman" w:cs="Times New Roman"/>
                <w:sz w:val="20"/>
                <w:szCs w:val="20"/>
                <w:shd w:val="clear" w:color="auto" w:fill="FFFFFF"/>
              </w:rPr>
              <w:t>Martin</w:t>
            </w:r>
            <w:r>
              <w:rPr>
                <w:rFonts w:ascii="Times New Roman" w:hAnsi="Times New Roman" w:cs="Times New Roman"/>
                <w:sz w:val="20"/>
                <w:szCs w:val="20"/>
                <w:shd w:val="clear" w:color="auto" w:fill="FFFFFF"/>
              </w:rPr>
              <w:t>,</w:t>
            </w:r>
            <w:r w:rsidRPr="007F5656">
              <w:rPr>
                <w:rFonts w:ascii="Times New Roman" w:hAnsi="Times New Roman" w:cs="Times New Roman"/>
                <w:sz w:val="20"/>
                <w:szCs w:val="20"/>
                <w:shd w:val="clear" w:color="auto" w:fill="FFFFFF"/>
              </w:rPr>
              <w:t xml:space="preserve"> P</w:t>
            </w:r>
            <w:r>
              <w:rPr>
                <w:rFonts w:ascii="Times New Roman" w:hAnsi="Times New Roman" w:cs="Times New Roman"/>
                <w:sz w:val="20"/>
                <w:szCs w:val="20"/>
                <w:shd w:val="clear" w:color="auto" w:fill="FFFFFF"/>
              </w:rPr>
              <w:t>.</w:t>
            </w:r>
            <w:r w:rsidRPr="007F5656">
              <w:rPr>
                <w:rFonts w:ascii="Times New Roman" w:hAnsi="Times New Roman" w:cs="Times New Roman"/>
                <w:sz w:val="20"/>
                <w:szCs w:val="20"/>
                <w:shd w:val="clear" w:color="auto" w:fill="FFFFFF"/>
              </w:rPr>
              <w:t>, Dorn</w:t>
            </w:r>
            <w:r>
              <w:rPr>
                <w:rFonts w:ascii="Times New Roman" w:hAnsi="Times New Roman" w:cs="Times New Roman"/>
                <w:sz w:val="20"/>
                <w:szCs w:val="20"/>
                <w:shd w:val="clear" w:color="auto" w:fill="FFFFFF"/>
              </w:rPr>
              <w:t>,</w:t>
            </w:r>
            <w:r w:rsidRPr="007F5656">
              <w:rPr>
                <w:rFonts w:ascii="Times New Roman" w:hAnsi="Times New Roman" w:cs="Times New Roman"/>
                <w:sz w:val="20"/>
                <w:szCs w:val="20"/>
                <w:shd w:val="clear" w:color="auto" w:fill="FFFFFF"/>
              </w:rPr>
              <w:t xml:space="preserve"> N</w:t>
            </w:r>
            <w:r>
              <w:rPr>
                <w:rFonts w:ascii="Times New Roman" w:hAnsi="Times New Roman" w:cs="Times New Roman"/>
                <w:sz w:val="20"/>
                <w:szCs w:val="20"/>
                <w:shd w:val="clear" w:color="auto" w:fill="FFFFFF"/>
              </w:rPr>
              <w:t>.</w:t>
            </w:r>
            <w:r w:rsidRPr="007F5656">
              <w:rPr>
                <w:rFonts w:ascii="Times New Roman" w:hAnsi="Times New Roman" w:cs="Times New Roman"/>
                <w:sz w:val="20"/>
                <w:szCs w:val="20"/>
                <w:shd w:val="clear" w:color="auto" w:fill="FFFFFF"/>
              </w:rPr>
              <w:t>, Kawai</w:t>
            </w:r>
            <w:r>
              <w:rPr>
                <w:rFonts w:ascii="Times New Roman" w:hAnsi="Times New Roman" w:cs="Times New Roman"/>
                <w:sz w:val="20"/>
                <w:szCs w:val="20"/>
                <w:shd w:val="clear" w:color="auto" w:fill="FFFFFF"/>
              </w:rPr>
              <w:t>,</w:t>
            </w:r>
            <w:r w:rsidRPr="007F5656">
              <w:rPr>
                <w:rFonts w:ascii="Times New Roman" w:hAnsi="Times New Roman" w:cs="Times New Roman"/>
                <w:sz w:val="20"/>
                <w:szCs w:val="20"/>
                <w:shd w:val="clear" w:color="auto" w:fill="FFFFFF"/>
              </w:rPr>
              <w:t xml:space="preserve"> T</w:t>
            </w:r>
            <w:r>
              <w:rPr>
                <w:rFonts w:ascii="Times New Roman" w:hAnsi="Times New Roman" w:cs="Times New Roman"/>
                <w:sz w:val="20"/>
                <w:szCs w:val="20"/>
                <w:shd w:val="clear" w:color="auto" w:fill="FFFFFF"/>
              </w:rPr>
              <w:t>.</w:t>
            </w:r>
            <w:r w:rsidRPr="007F5656">
              <w:rPr>
                <w:rFonts w:ascii="Times New Roman" w:hAnsi="Times New Roman" w:cs="Times New Roman"/>
                <w:sz w:val="20"/>
                <w:szCs w:val="20"/>
                <w:shd w:val="clear" w:color="auto" w:fill="FFFFFF"/>
              </w:rPr>
              <w:t>, Heiden</w:t>
            </w:r>
            <w:r>
              <w:rPr>
                <w:rFonts w:ascii="Times New Roman" w:hAnsi="Times New Roman" w:cs="Times New Roman"/>
                <w:sz w:val="20"/>
                <w:szCs w:val="20"/>
                <w:shd w:val="clear" w:color="auto" w:fill="FFFFFF"/>
              </w:rPr>
              <w:t>,</w:t>
            </w:r>
            <w:r w:rsidRPr="007F5656">
              <w:rPr>
                <w:rFonts w:ascii="Times New Roman" w:hAnsi="Times New Roman" w:cs="Times New Roman"/>
                <w:sz w:val="20"/>
                <w:szCs w:val="20"/>
                <w:shd w:val="clear" w:color="auto" w:fill="FFFFFF"/>
              </w:rPr>
              <w:t xml:space="preserve"> C</w:t>
            </w:r>
            <w:r>
              <w:rPr>
                <w:rFonts w:ascii="Times New Roman" w:hAnsi="Times New Roman" w:cs="Times New Roman"/>
                <w:sz w:val="20"/>
                <w:szCs w:val="20"/>
                <w:shd w:val="clear" w:color="auto" w:fill="FFFFFF"/>
              </w:rPr>
              <w:t xml:space="preserve">. </w:t>
            </w:r>
            <w:r w:rsidRPr="007F5656">
              <w:rPr>
                <w:rFonts w:ascii="Times New Roman" w:hAnsi="Times New Roman" w:cs="Times New Roman"/>
                <w:sz w:val="20"/>
                <w:szCs w:val="20"/>
                <w:shd w:val="clear" w:color="auto" w:fill="FFFFFF"/>
              </w:rPr>
              <w:t>van der</w:t>
            </w:r>
            <w:r>
              <w:rPr>
                <w:rFonts w:ascii="Times New Roman" w:hAnsi="Times New Roman" w:cs="Times New Roman"/>
                <w:sz w:val="20"/>
                <w:szCs w:val="20"/>
                <w:shd w:val="clear" w:color="auto" w:fill="FFFFFF"/>
              </w:rPr>
              <w:t xml:space="preserve">. &amp; </w:t>
            </w:r>
            <w:r w:rsidRPr="007F5656">
              <w:rPr>
                <w:rFonts w:ascii="Times New Roman" w:hAnsi="Times New Roman" w:cs="Times New Roman"/>
                <w:sz w:val="20"/>
                <w:szCs w:val="20"/>
                <w:shd w:val="clear" w:color="auto" w:fill="FFFFFF"/>
              </w:rPr>
              <w:t>Scholtz G, 2010</w:t>
            </w:r>
            <w:r>
              <w:rPr>
                <w:rFonts w:ascii="Times New Roman" w:hAnsi="Times New Roman" w:cs="Times New Roman"/>
                <w:sz w:val="20"/>
                <w:szCs w:val="20"/>
                <w:shd w:val="clear" w:color="auto" w:fill="FFFFFF"/>
              </w:rPr>
              <w:t>, ‘</w:t>
            </w:r>
            <w:r w:rsidRPr="007F5656">
              <w:rPr>
                <w:rFonts w:ascii="Times New Roman" w:hAnsi="Times New Roman" w:cs="Times New Roman"/>
                <w:sz w:val="20"/>
                <w:szCs w:val="20"/>
                <w:shd w:val="clear" w:color="auto" w:fill="FFFFFF"/>
              </w:rPr>
              <w:t xml:space="preserve">The enigmatic Marmorkrebs (marbled crayfish) is the parthenogenetic form of </w:t>
            </w:r>
            <w:r w:rsidRPr="00AD788A">
              <w:rPr>
                <w:rFonts w:ascii="Times New Roman" w:hAnsi="Times New Roman" w:cs="Times New Roman"/>
                <w:i/>
                <w:iCs/>
                <w:sz w:val="20"/>
                <w:szCs w:val="20"/>
                <w:shd w:val="clear" w:color="auto" w:fill="FFFFFF"/>
              </w:rPr>
              <w:t>Procambarus fallax</w:t>
            </w:r>
            <w:r w:rsidRPr="007F5656">
              <w:rPr>
                <w:rFonts w:ascii="Times New Roman" w:hAnsi="Times New Roman" w:cs="Times New Roman"/>
                <w:sz w:val="20"/>
                <w:szCs w:val="20"/>
                <w:shd w:val="clear" w:color="auto" w:fill="FFFFFF"/>
              </w:rPr>
              <w:t xml:space="preserve"> (Hagen, 1870)</w:t>
            </w:r>
            <w:r>
              <w:rPr>
                <w:rFonts w:ascii="Times New Roman" w:hAnsi="Times New Roman" w:cs="Times New Roman"/>
                <w:sz w:val="20"/>
                <w:szCs w:val="20"/>
                <w:shd w:val="clear" w:color="auto" w:fill="FFFFFF"/>
              </w:rPr>
              <w:t xml:space="preserve">’, </w:t>
            </w:r>
            <w:r w:rsidRPr="000A64A7">
              <w:rPr>
                <w:rFonts w:ascii="Times New Roman" w:hAnsi="Times New Roman" w:cs="Times New Roman"/>
                <w:i/>
                <w:iCs/>
                <w:sz w:val="20"/>
                <w:szCs w:val="20"/>
                <w:shd w:val="clear" w:color="auto" w:fill="FFFFFF"/>
              </w:rPr>
              <w:t>Contributions to Zoology</w:t>
            </w:r>
            <w:r w:rsidRPr="007F5656">
              <w:rPr>
                <w:rFonts w:ascii="Times New Roman" w:hAnsi="Times New Roman" w:cs="Times New Roman"/>
                <w:sz w:val="20"/>
                <w:szCs w:val="20"/>
                <w:shd w:val="clear" w:color="auto" w:fill="FFFFFF"/>
              </w:rPr>
              <w:t>, 79(3)</w:t>
            </w:r>
            <w:r>
              <w:rPr>
                <w:rFonts w:ascii="Times New Roman" w:hAnsi="Times New Roman" w:cs="Times New Roman"/>
                <w:sz w:val="20"/>
                <w:szCs w:val="20"/>
                <w:shd w:val="clear" w:color="auto" w:fill="FFFFFF"/>
              </w:rPr>
              <w:t xml:space="preserve">, </w:t>
            </w:r>
            <w:r w:rsidRPr="007F5656">
              <w:rPr>
                <w:rFonts w:ascii="Times New Roman" w:hAnsi="Times New Roman" w:cs="Times New Roman"/>
                <w:sz w:val="20"/>
                <w:szCs w:val="20"/>
                <w:shd w:val="clear" w:color="auto" w:fill="FFFFFF"/>
              </w:rPr>
              <w:t>107-118.</w:t>
            </w:r>
            <w:r>
              <w:rPr>
                <w:rFonts w:ascii="Times New Roman" w:hAnsi="Times New Roman" w:cs="Times New Roman"/>
                <w:sz w:val="20"/>
                <w:szCs w:val="20"/>
                <w:shd w:val="clear" w:color="auto" w:fill="FFFFFF"/>
              </w:rPr>
              <w:t xml:space="preserve"> </w:t>
            </w:r>
            <w:hyperlink r:id="rId695" w:history="1">
              <w:r w:rsidRPr="002A244D">
                <w:rPr>
                  <w:rStyle w:val="Hyperlink"/>
                  <w:rFonts w:ascii="Times New Roman" w:hAnsi="Times New Roman" w:cs="Times New Roman"/>
                  <w:sz w:val="20"/>
                  <w:szCs w:val="20"/>
                  <w:shd w:val="clear" w:color="auto" w:fill="FFFFFF"/>
                </w:rPr>
                <w:t>https://doi.org/10.1163/18759866-07903003</w:t>
              </w:r>
            </w:hyperlink>
            <w:r>
              <w:rPr>
                <w:rStyle w:val="Hyperlink"/>
                <w:rFonts w:ascii="Times New Roman" w:hAnsi="Times New Roman" w:cs="Times New Roman"/>
                <w:sz w:val="20"/>
                <w:szCs w:val="20"/>
                <w:shd w:val="clear" w:color="auto" w:fill="FFFFFF"/>
              </w:rPr>
              <w:t>.</w:t>
            </w:r>
            <w:r>
              <w:rPr>
                <w:rFonts w:ascii="Times New Roman" w:hAnsi="Times New Roman" w:cs="Times New Roman"/>
                <w:sz w:val="20"/>
                <w:szCs w:val="20"/>
                <w:shd w:val="clear" w:color="auto" w:fill="FFFFFF"/>
              </w:rPr>
              <w:t xml:space="preserve"> </w:t>
            </w:r>
          </w:p>
          <w:p w14:paraId="74DA4177" w14:textId="77777777" w:rsidR="002D7080" w:rsidRPr="004D1E6F" w:rsidRDefault="002D7080" w:rsidP="002E2C37">
            <w:pPr>
              <w:ind w:left="607" w:hanging="607"/>
              <w:rPr>
                <w:rFonts w:ascii="Times New Roman" w:eastAsia="Times New Roman" w:hAnsi="Times New Roman" w:cs="Times New Roman"/>
                <w:color w:val="000000"/>
                <w:sz w:val="20"/>
                <w:szCs w:val="20"/>
                <w:lang w:eastAsia="en-ZA"/>
              </w:rPr>
            </w:pPr>
            <w:r w:rsidRPr="007F5656">
              <w:rPr>
                <w:rFonts w:ascii="Times New Roman" w:hAnsi="Times New Roman" w:cs="Times New Roman"/>
                <w:sz w:val="20"/>
                <w:szCs w:val="20"/>
                <w:shd w:val="clear" w:color="auto" w:fill="FFFFFF"/>
              </w:rPr>
              <w:t>Dorn</w:t>
            </w:r>
            <w:r>
              <w:rPr>
                <w:rFonts w:ascii="Times New Roman" w:hAnsi="Times New Roman" w:cs="Times New Roman"/>
                <w:sz w:val="20"/>
                <w:szCs w:val="20"/>
                <w:shd w:val="clear" w:color="auto" w:fill="FFFFFF"/>
              </w:rPr>
              <w:t xml:space="preserve">, </w:t>
            </w:r>
            <w:r w:rsidRPr="007F5656">
              <w:rPr>
                <w:rFonts w:ascii="Times New Roman" w:hAnsi="Times New Roman" w:cs="Times New Roman"/>
                <w:sz w:val="20"/>
                <w:szCs w:val="20"/>
                <w:shd w:val="clear" w:color="auto" w:fill="FFFFFF"/>
              </w:rPr>
              <w:t>N</w:t>
            </w:r>
            <w:r>
              <w:rPr>
                <w:rFonts w:ascii="Times New Roman" w:hAnsi="Times New Roman" w:cs="Times New Roman"/>
                <w:sz w:val="20"/>
                <w:szCs w:val="20"/>
                <w:shd w:val="clear" w:color="auto" w:fill="FFFFFF"/>
              </w:rPr>
              <w:t>.</w:t>
            </w:r>
            <w:r w:rsidRPr="007F5656">
              <w:rPr>
                <w:rFonts w:ascii="Times New Roman" w:hAnsi="Times New Roman" w:cs="Times New Roman"/>
                <w:sz w:val="20"/>
                <w:szCs w:val="20"/>
                <w:shd w:val="clear" w:color="auto" w:fill="FFFFFF"/>
              </w:rPr>
              <w:t>J</w:t>
            </w:r>
            <w:r>
              <w:rPr>
                <w:rFonts w:ascii="Times New Roman" w:hAnsi="Times New Roman" w:cs="Times New Roman"/>
                <w:sz w:val="20"/>
                <w:szCs w:val="20"/>
                <w:shd w:val="clear" w:color="auto" w:fill="FFFFFF"/>
              </w:rPr>
              <w:t xml:space="preserve">. &amp; </w:t>
            </w:r>
            <w:r w:rsidRPr="007F5656">
              <w:rPr>
                <w:rFonts w:ascii="Times New Roman" w:hAnsi="Times New Roman" w:cs="Times New Roman"/>
                <w:sz w:val="20"/>
                <w:szCs w:val="20"/>
                <w:shd w:val="clear" w:color="auto" w:fill="FFFFFF"/>
              </w:rPr>
              <w:t>Volin</w:t>
            </w:r>
            <w:r>
              <w:rPr>
                <w:rFonts w:ascii="Times New Roman" w:hAnsi="Times New Roman" w:cs="Times New Roman"/>
                <w:sz w:val="20"/>
                <w:szCs w:val="20"/>
                <w:shd w:val="clear" w:color="auto" w:fill="FFFFFF"/>
              </w:rPr>
              <w:t>,</w:t>
            </w:r>
            <w:r w:rsidRPr="007F5656">
              <w:rPr>
                <w:rFonts w:ascii="Times New Roman" w:hAnsi="Times New Roman" w:cs="Times New Roman"/>
                <w:sz w:val="20"/>
                <w:szCs w:val="20"/>
                <w:shd w:val="clear" w:color="auto" w:fill="FFFFFF"/>
              </w:rPr>
              <w:t xml:space="preserve"> J</w:t>
            </w:r>
            <w:r>
              <w:rPr>
                <w:rFonts w:ascii="Times New Roman" w:hAnsi="Times New Roman" w:cs="Times New Roman"/>
                <w:sz w:val="20"/>
                <w:szCs w:val="20"/>
                <w:shd w:val="clear" w:color="auto" w:fill="FFFFFF"/>
              </w:rPr>
              <w:t>.</w:t>
            </w:r>
            <w:r w:rsidRPr="007F5656">
              <w:rPr>
                <w:rFonts w:ascii="Times New Roman" w:hAnsi="Times New Roman" w:cs="Times New Roman"/>
                <w:sz w:val="20"/>
                <w:szCs w:val="20"/>
                <w:shd w:val="clear" w:color="auto" w:fill="FFFFFF"/>
              </w:rPr>
              <w:t>C</w:t>
            </w:r>
            <w:r>
              <w:rPr>
                <w:rFonts w:ascii="Times New Roman" w:hAnsi="Times New Roman" w:cs="Times New Roman"/>
                <w:sz w:val="20"/>
                <w:szCs w:val="20"/>
                <w:shd w:val="clear" w:color="auto" w:fill="FFFFFF"/>
              </w:rPr>
              <w:t xml:space="preserve">. </w:t>
            </w:r>
            <w:r w:rsidRPr="007F5656">
              <w:rPr>
                <w:rFonts w:ascii="Times New Roman" w:hAnsi="Times New Roman" w:cs="Times New Roman"/>
                <w:sz w:val="20"/>
                <w:szCs w:val="20"/>
                <w:shd w:val="clear" w:color="auto" w:fill="FFFFFF"/>
              </w:rPr>
              <w:t>2009</w:t>
            </w:r>
            <w:r>
              <w:rPr>
                <w:rFonts w:ascii="Times New Roman" w:hAnsi="Times New Roman" w:cs="Times New Roman"/>
                <w:sz w:val="20"/>
                <w:szCs w:val="20"/>
                <w:shd w:val="clear" w:color="auto" w:fill="FFFFFF"/>
              </w:rPr>
              <w:t>, ‘</w:t>
            </w:r>
            <w:r w:rsidRPr="007F5656">
              <w:rPr>
                <w:rFonts w:ascii="Times New Roman" w:hAnsi="Times New Roman" w:cs="Times New Roman"/>
                <w:sz w:val="20"/>
                <w:szCs w:val="20"/>
                <w:shd w:val="clear" w:color="auto" w:fill="FFFFFF"/>
              </w:rPr>
              <w:t>Resistance of crayfish (</w:t>
            </w:r>
            <w:r w:rsidRPr="00AD788A">
              <w:rPr>
                <w:rFonts w:ascii="Times New Roman" w:hAnsi="Times New Roman" w:cs="Times New Roman"/>
                <w:i/>
                <w:iCs/>
                <w:sz w:val="20"/>
                <w:szCs w:val="20"/>
                <w:shd w:val="clear" w:color="auto" w:fill="FFFFFF"/>
              </w:rPr>
              <w:t>Procambarus</w:t>
            </w:r>
            <w:r w:rsidRPr="007F5656">
              <w:rPr>
                <w:rFonts w:ascii="Times New Roman" w:hAnsi="Times New Roman" w:cs="Times New Roman"/>
                <w:sz w:val="20"/>
                <w:szCs w:val="20"/>
                <w:shd w:val="clear" w:color="auto" w:fill="FFFFFF"/>
              </w:rPr>
              <w:t xml:space="preserve"> spp.) populations to wetland drying depends on species and substrate</w:t>
            </w:r>
            <w:r>
              <w:rPr>
                <w:rFonts w:ascii="Times New Roman" w:hAnsi="Times New Roman" w:cs="Times New Roman"/>
                <w:sz w:val="20"/>
                <w:szCs w:val="20"/>
                <w:shd w:val="clear" w:color="auto" w:fill="FFFFFF"/>
              </w:rPr>
              <w:t xml:space="preserve">’, </w:t>
            </w:r>
            <w:r w:rsidRPr="00AD788A">
              <w:rPr>
                <w:rFonts w:ascii="Times New Roman" w:hAnsi="Times New Roman" w:cs="Times New Roman"/>
                <w:i/>
                <w:iCs/>
                <w:sz w:val="20"/>
                <w:szCs w:val="20"/>
                <w:shd w:val="clear" w:color="auto" w:fill="FFFFFF"/>
              </w:rPr>
              <w:t>Journal of the North American Benthological Society</w:t>
            </w:r>
            <w:r w:rsidRPr="007F5656">
              <w:rPr>
                <w:rFonts w:ascii="Times New Roman" w:hAnsi="Times New Roman" w:cs="Times New Roman"/>
                <w:sz w:val="20"/>
                <w:szCs w:val="20"/>
                <w:shd w:val="clear" w:color="auto" w:fill="FFFFFF"/>
              </w:rPr>
              <w:t>, 28(4)</w:t>
            </w:r>
            <w:r>
              <w:rPr>
                <w:rFonts w:ascii="Times New Roman" w:hAnsi="Times New Roman" w:cs="Times New Roman"/>
                <w:sz w:val="20"/>
                <w:szCs w:val="20"/>
                <w:shd w:val="clear" w:color="auto" w:fill="FFFFFF"/>
              </w:rPr>
              <w:t xml:space="preserve">, </w:t>
            </w:r>
            <w:r w:rsidRPr="007F5656">
              <w:rPr>
                <w:rFonts w:ascii="Times New Roman" w:hAnsi="Times New Roman" w:cs="Times New Roman"/>
                <w:sz w:val="20"/>
                <w:szCs w:val="20"/>
                <w:shd w:val="clear" w:color="auto" w:fill="FFFFFF"/>
              </w:rPr>
              <w:t>766-777</w:t>
            </w:r>
            <w:r>
              <w:rPr>
                <w:rFonts w:ascii="Times New Roman" w:hAnsi="Times New Roman" w:cs="Times New Roman"/>
                <w:sz w:val="20"/>
                <w:szCs w:val="20"/>
                <w:shd w:val="clear" w:color="auto" w:fill="FFFFFF"/>
              </w:rPr>
              <w:t xml:space="preserve">. </w:t>
            </w:r>
            <w:hyperlink r:id="rId696" w:tgtFrame="_blank" w:history="1">
              <w:r w:rsidRPr="00B33F4E">
                <w:rPr>
                  <w:rStyle w:val="Hyperlink"/>
                  <w:rFonts w:ascii="Times New Roman" w:hAnsi="Times New Roman" w:cs="Times New Roman"/>
                  <w:sz w:val="20"/>
                  <w:szCs w:val="20"/>
                  <w:shd w:val="clear" w:color="auto" w:fill="FFFFFF"/>
                </w:rPr>
                <w:t>https://doi.org/10.1899/08-151.1</w:t>
              </w:r>
            </w:hyperlink>
            <w:r>
              <w:rPr>
                <w:rStyle w:val="Hyperlink"/>
                <w:rFonts w:ascii="Times New Roman" w:hAnsi="Times New Roman" w:cs="Times New Roman"/>
                <w:sz w:val="20"/>
                <w:szCs w:val="20"/>
                <w:shd w:val="clear" w:color="auto" w:fill="FFFFFF"/>
              </w:rPr>
              <w:t>.</w:t>
            </w:r>
          </w:p>
        </w:tc>
      </w:tr>
      <w:tr w:rsidR="002D7080" w:rsidRPr="004D1E6F" w14:paraId="76CECAF0" w14:textId="77777777" w:rsidTr="002E2C37">
        <w:trPr>
          <w:trHeight w:val="343"/>
        </w:trPr>
        <w:tc>
          <w:tcPr>
            <w:tcW w:w="9108" w:type="dxa"/>
            <w:gridSpan w:val="4"/>
            <w:shd w:val="clear" w:color="auto" w:fill="F2F2F2" w:themeFill="background1" w:themeFillShade="F2"/>
          </w:tcPr>
          <w:p w14:paraId="66661F61" w14:textId="77777777" w:rsidR="002D7080" w:rsidRPr="004D1E6F" w:rsidRDefault="002D7080" w:rsidP="002E2C37">
            <w:pPr>
              <w:rPr>
                <w:rFonts w:ascii="Times New Roman" w:eastAsia="Calibri" w:hAnsi="Times New Roman" w:cs="Times New Roman"/>
                <w:sz w:val="20"/>
                <w:szCs w:val="20"/>
              </w:rPr>
            </w:pPr>
            <w:r w:rsidRPr="00C4037B">
              <w:rPr>
                <w:rFonts w:ascii="Times New Roman" w:eastAsia="Times New Roman" w:hAnsi="Times New Roman" w:cs="Times New Roman"/>
                <w:b/>
                <w:sz w:val="20"/>
                <w:szCs w:val="20"/>
                <w:lang w:eastAsia="en-ZA"/>
              </w:rPr>
              <w:t>MAN3c Time to reproduction</w:t>
            </w:r>
          </w:p>
        </w:tc>
      </w:tr>
      <w:tr w:rsidR="002D7080" w:rsidRPr="004D1E6F" w14:paraId="4321FD91" w14:textId="77777777" w:rsidTr="002E2C37">
        <w:trPr>
          <w:trHeight w:val="183"/>
        </w:trPr>
        <w:tc>
          <w:tcPr>
            <w:tcW w:w="5240" w:type="dxa"/>
          </w:tcPr>
          <w:p w14:paraId="764C5F4E" w14:textId="77777777" w:rsidR="002D7080" w:rsidRPr="004D1E6F" w:rsidRDefault="002D7080" w:rsidP="002E2C37">
            <w:pPr>
              <w:rPr>
                <w:rFonts w:ascii="Times New Roman" w:eastAsia="Times New Roman" w:hAnsi="Times New Roman" w:cs="Times New Roman"/>
                <w:color w:val="000000"/>
                <w:sz w:val="20"/>
                <w:szCs w:val="20"/>
                <w:lang w:eastAsia="en-ZA"/>
              </w:rPr>
            </w:pPr>
            <w:r w:rsidRPr="00C4037B">
              <w:rPr>
                <w:rFonts w:ascii="Times New Roman" w:eastAsia="Times New Roman" w:hAnsi="Times New Roman" w:cs="Times New Roman"/>
                <w:sz w:val="20"/>
                <w:szCs w:val="20"/>
                <w:lang w:eastAsia="en-ZA"/>
              </w:rPr>
              <w:t>Response:1 (1–3 years)</w:t>
            </w:r>
          </w:p>
        </w:tc>
        <w:tc>
          <w:tcPr>
            <w:tcW w:w="3868" w:type="dxa"/>
            <w:gridSpan w:val="3"/>
          </w:tcPr>
          <w:p w14:paraId="6AF138EE" w14:textId="77777777" w:rsidR="002D7080" w:rsidRPr="004D1E6F" w:rsidRDefault="002D7080" w:rsidP="002E2C37">
            <w:pPr>
              <w:rPr>
                <w:rFonts w:ascii="Times New Roman" w:eastAsia="Times New Roman" w:hAnsi="Times New Roman" w:cs="Times New Roman"/>
                <w:color w:val="000000"/>
                <w:sz w:val="20"/>
                <w:szCs w:val="20"/>
                <w:lang w:eastAsia="en-ZA"/>
              </w:rPr>
            </w:pPr>
            <w:r w:rsidRPr="00C4037B">
              <w:rPr>
                <w:rFonts w:ascii="Times New Roman" w:eastAsia="Times New Roman" w:hAnsi="Times New Roman" w:cs="Times New Roman"/>
                <w:sz w:val="20"/>
                <w:szCs w:val="20"/>
                <w:lang w:eastAsia="en-ZA"/>
              </w:rPr>
              <w:t xml:space="preserve">Confidence: Medium </w:t>
            </w:r>
          </w:p>
        </w:tc>
      </w:tr>
      <w:tr w:rsidR="002D7080" w:rsidRPr="004D1E6F" w14:paraId="2BA4E5A8" w14:textId="77777777" w:rsidTr="002E2C37">
        <w:trPr>
          <w:trHeight w:val="343"/>
        </w:trPr>
        <w:tc>
          <w:tcPr>
            <w:tcW w:w="9108" w:type="dxa"/>
            <w:gridSpan w:val="4"/>
          </w:tcPr>
          <w:p w14:paraId="0A098E4D" w14:textId="77777777" w:rsidR="002D7080" w:rsidRPr="0029534E" w:rsidRDefault="002D7080" w:rsidP="002E2C37">
            <w:pPr>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Rationale:</w:t>
            </w:r>
            <w:r>
              <w:rPr>
                <w:rFonts w:ascii="Times New Roman" w:eastAsia="Times New Roman" w:hAnsi="Times New Roman" w:cs="Times New Roman"/>
                <w:sz w:val="20"/>
                <w:szCs w:val="20"/>
                <w:lang w:eastAsia="en-ZA"/>
              </w:rPr>
              <w:t xml:space="preserve"> </w:t>
            </w:r>
            <w:r w:rsidRPr="00D2347B">
              <w:rPr>
                <w:rFonts w:ascii="Times New Roman" w:eastAsia="Times New Roman" w:hAnsi="Times New Roman" w:cs="Times New Roman"/>
                <w:i/>
                <w:iCs/>
                <w:sz w:val="20"/>
                <w:szCs w:val="20"/>
                <w:lang w:eastAsia="en-ZA"/>
              </w:rPr>
              <w:t>Procambarus virginalis</w:t>
            </w:r>
            <w:r>
              <w:rPr>
                <w:rFonts w:ascii="Times New Roman" w:eastAsia="Times New Roman" w:hAnsi="Times New Roman" w:cs="Times New Roman"/>
                <w:i/>
                <w:iCs/>
                <w:sz w:val="20"/>
                <w:szCs w:val="20"/>
                <w:lang w:eastAsia="en-ZA"/>
              </w:rPr>
              <w:t xml:space="preserve"> </w:t>
            </w:r>
            <w:r w:rsidRPr="00C4037B">
              <w:rPr>
                <w:rFonts w:ascii="Times New Roman" w:eastAsia="Times New Roman" w:hAnsi="Times New Roman" w:cs="Times New Roman"/>
                <w:sz w:val="20"/>
                <w:szCs w:val="20"/>
                <w:lang w:eastAsia="en-ZA"/>
              </w:rPr>
              <w:t>reach sexual maturity</w:t>
            </w:r>
            <w:r>
              <w:rPr>
                <w:rFonts w:ascii="Times New Roman" w:eastAsia="Times New Roman" w:hAnsi="Times New Roman" w:cs="Times New Roman"/>
                <w:sz w:val="20"/>
                <w:szCs w:val="20"/>
                <w:lang w:eastAsia="en-ZA"/>
              </w:rPr>
              <w:t xml:space="preserve"> within a year </w:t>
            </w:r>
            <w:r w:rsidRPr="00C4037B">
              <w:rPr>
                <w:rFonts w:ascii="Times New Roman" w:eastAsia="Times New Roman" w:hAnsi="Times New Roman" w:cs="Times New Roman"/>
                <w:sz w:val="20"/>
                <w:szCs w:val="20"/>
                <w:lang w:eastAsia="en-ZA"/>
              </w:rPr>
              <w:t>(</w:t>
            </w:r>
            <w:r>
              <w:rPr>
                <w:rFonts w:ascii="Times New Roman" w:eastAsia="Times New Roman" w:hAnsi="Times New Roman" w:cs="Times New Roman"/>
                <w:sz w:val="20"/>
                <w:szCs w:val="20"/>
                <w:lang w:eastAsia="en-ZA"/>
              </w:rPr>
              <w:t>Seitz et al. 2005)</w:t>
            </w:r>
            <w:r w:rsidRPr="00C4037B">
              <w:rPr>
                <w:rFonts w:ascii="Times New Roman" w:eastAsia="Times New Roman" w:hAnsi="Times New Roman" w:cs="Times New Roman"/>
                <w:sz w:val="20"/>
                <w:szCs w:val="20"/>
                <w:lang w:eastAsia="en-ZA"/>
              </w:rPr>
              <w:t>.</w:t>
            </w:r>
          </w:p>
        </w:tc>
      </w:tr>
      <w:tr w:rsidR="002D7080" w:rsidRPr="004D1E6F" w14:paraId="42D0561E" w14:textId="77777777" w:rsidTr="002E2C37">
        <w:trPr>
          <w:trHeight w:val="343"/>
        </w:trPr>
        <w:tc>
          <w:tcPr>
            <w:tcW w:w="9108" w:type="dxa"/>
            <w:gridSpan w:val="4"/>
          </w:tcPr>
          <w:p w14:paraId="700B3505" w14:textId="77777777" w:rsidR="002D7080" w:rsidRPr="007533C6" w:rsidRDefault="002D7080" w:rsidP="002E2C37">
            <w:pPr>
              <w:ind w:left="720" w:hanging="720"/>
              <w:jc w:val="both"/>
              <w:rPr>
                <w:rFonts w:ascii="Times New Roman" w:eastAsia="Times New Roman" w:hAnsi="Times New Roman" w:cs="Times New Roman"/>
                <w:color w:val="000000" w:themeColor="text1"/>
                <w:sz w:val="20"/>
                <w:szCs w:val="20"/>
                <w:lang w:eastAsia="en-ZA"/>
              </w:rPr>
            </w:pPr>
            <w:r w:rsidRPr="007533C6">
              <w:rPr>
                <w:rFonts w:ascii="Times New Roman" w:eastAsia="Times New Roman" w:hAnsi="Times New Roman" w:cs="Times New Roman"/>
                <w:color w:val="000000" w:themeColor="text1"/>
                <w:sz w:val="20"/>
                <w:szCs w:val="20"/>
                <w:lang w:eastAsia="en-ZA"/>
              </w:rPr>
              <w:t>References:</w:t>
            </w:r>
          </w:p>
          <w:p w14:paraId="78FDFC98" w14:textId="77777777" w:rsidR="002D7080" w:rsidRPr="003C7A76" w:rsidRDefault="002D7080" w:rsidP="002E2C37">
            <w:pPr>
              <w:ind w:left="540" w:hanging="540"/>
              <w:jc w:val="both"/>
              <w:rPr>
                <w:rFonts w:ascii="Times New Roman" w:eastAsia="Times New Roman" w:hAnsi="Times New Roman" w:cs="Times New Roman"/>
                <w:color w:val="000000"/>
                <w:sz w:val="20"/>
                <w:szCs w:val="20"/>
                <w:lang w:eastAsia="en-ZA"/>
              </w:rPr>
            </w:pPr>
            <w:r w:rsidRPr="007533C6">
              <w:rPr>
                <w:rFonts w:ascii="Times New Roman" w:hAnsi="Times New Roman" w:cs="Times New Roman"/>
                <w:color w:val="000000" w:themeColor="text1"/>
                <w:sz w:val="20"/>
                <w:szCs w:val="20"/>
                <w:shd w:val="clear" w:color="auto" w:fill="FFFFFF"/>
              </w:rPr>
              <w:t>Seitz</w:t>
            </w:r>
            <w:r>
              <w:rPr>
                <w:rFonts w:ascii="Times New Roman" w:hAnsi="Times New Roman" w:cs="Times New Roman"/>
                <w:color w:val="000000" w:themeColor="text1"/>
                <w:sz w:val="20"/>
                <w:szCs w:val="20"/>
                <w:shd w:val="clear" w:color="auto" w:fill="FFFFFF"/>
              </w:rPr>
              <w:t xml:space="preserve">, </w:t>
            </w:r>
            <w:r w:rsidRPr="007533C6">
              <w:rPr>
                <w:rFonts w:ascii="Times New Roman" w:hAnsi="Times New Roman" w:cs="Times New Roman"/>
                <w:color w:val="000000" w:themeColor="text1"/>
                <w:sz w:val="20"/>
                <w:szCs w:val="20"/>
                <w:shd w:val="clear" w:color="auto" w:fill="FFFFFF"/>
              </w:rPr>
              <w:t>R</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Vilpoux</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K</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Hopp</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U</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Harzsch</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S</w:t>
            </w:r>
            <w:r>
              <w:rPr>
                <w:rFonts w:ascii="Times New Roman" w:hAnsi="Times New Roman" w:cs="Times New Roman"/>
                <w:color w:val="000000" w:themeColor="text1"/>
                <w:sz w:val="20"/>
                <w:szCs w:val="20"/>
                <w:shd w:val="clear" w:color="auto" w:fill="FFFFFF"/>
              </w:rPr>
              <w:t>. &amp;</w:t>
            </w:r>
            <w:r w:rsidRPr="007533C6">
              <w:rPr>
                <w:rFonts w:ascii="Times New Roman" w:hAnsi="Times New Roman" w:cs="Times New Roman"/>
                <w:color w:val="000000" w:themeColor="text1"/>
                <w:sz w:val="20"/>
                <w:szCs w:val="20"/>
                <w:shd w:val="clear" w:color="auto" w:fill="FFFFFF"/>
              </w:rPr>
              <w:t xml:space="preserve"> Maier</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G</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2005</w:t>
            </w:r>
            <w:r>
              <w:rPr>
                <w:rFonts w:ascii="Times New Roman" w:hAnsi="Times New Roman" w:cs="Times New Roman"/>
                <w:color w:val="000000" w:themeColor="text1"/>
                <w:sz w:val="20"/>
                <w:szCs w:val="20"/>
                <w:shd w:val="clear" w:color="auto" w:fill="FFFFFF"/>
              </w:rPr>
              <w:t>, ‘</w:t>
            </w:r>
            <w:r w:rsidRPr="007533C6">
              <w:rPr>
                <w:rFonts w:ascii="Times New Roman" w:hAnsi="Times New Roman" w:cs="Times New Roman"/>
                <w:color w:val="000000" w:themeColor="text1"/>
                <w:sz w:val="20"/>
                <w:szCs w:val="20"/>
                <w:shd w:val="clear" w:color="auto" w:fill="FFFFFF"/>
              </w:rPr>
              <w:t>Ontogeny of the Marmorkrebs (marbled crayfish): a parthenogenetic crayfish with unknown origin and phylogenetic position</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w:t>
            </w:r>
            <w:r w:rsidRPr="007533C6">
              <w:rPr>
                <w:rFonts w:ascii="Times New Roman" w:hAnsi="Times New Roman" w:cs="Times New Roman"/>
                <w:i/>
                <w:iCs/>
                <w:color w:val="000000" w:themeColor="text1"/>
                <w:sz w:val="20"/>
                <w:szCs w:val="20"/>
                <w:shd w:val="clear" w:color="auto" w:fill="FFFFFF"/>
              </w:rPr>
              <w:t>Journal of Experimental Zoology</w:t>
            </w:r>
            <w:r w:rsidRPr="007533C6">
              <w:rPr>
                <w:rFonts w:ascii="Times New Roman" w:hAnsi="Times New Roman" w:cs="Times New Roman"/>
                <w:color w:val="000000" w:themeColor="text1"/>
                <w:sz w:val="20"/>
                <w:szCs w:val="20"/>
                <w:shd w:val="clear" w:color="auto" w:fill="FFFFFF"/>
              </w:rPr>
              <w:t xml:space="preserve"> A, 303(5)</w:t>
            </w:r>
            <w:r>
              <w:rPr>
                <w:rFonts w:ascii="Times New Roman" w:hAnsi="Times New Roman" w:cs="Times New Roman"/>
                <w:color w:val="000000" w:themeColor="text1"/>
                <w:sz w:val="20"/>
                <w:szCs w:val="20"/>
                <w:shd w:val="clear" w:color="auto" w:fill="FFFFFF"/>
              </w:rPr>
              <w:t xml:space="preserve">, </w:t>
            </w:r>
            <w:r w:rsidRPr="007533C6">
              <w:rPr>
                <w:rFonts w:ascii="Times New Roman" w:hAnsi="Times New Roman" w:cs="Times New Roman"/>
                <w:color w:val="000000" w:themeColor="text1"/>
                <w:sz w:val="20"/>
                <w:szCs w:val="20"/>
                <w:shd w:val="clear" w:color="auto" w:fill="FFFFFF"/>
              </w:rPr>
              <w:t>393-405.</w:t>
            </w:r>
            <w:r>
              <w:rPr>
                <w:rFonts w:ascii="Times New Roman" w:hAnsi="Times New Roman" w:cs="Times New Roman"/>
                <w:color w:val="000000" w:themeColor="text1"/>
                <w:sz w:val="20"/>
                <w:szCs w:val="20"/>
                <w:shd w:val="clear" w:color="auto" w:fill="FFFFFF"/>
              </w:rPr>
              <w:t xml:space="preserve"> </w:t>
            </w:r>
            <w:hyperlink r:id="rId697" w:tgtFrame="_blank" w:history="1">
              <w:r w:rsidRPr="00EC34C5">
                <w:rPr>
                  <w:rStyle w:val="Hyperlink"/>
                  <w:rFonts w:ascii="Times New Roman" w:hAnsi="Times New Roman" w:cs="Times New Roman"/>
                  <w:sz w:val="20"/>
                  <w:szCs w:val="20"/>
                  <w:shd w:val="clear" w:color="auto" w:fill="FFFFFF"/>
                </w:rPr>
                <w:t>https://doi.org/10.1002/jez.a.143</w:t>
              </w:r>
            </w:hyperlink>
          </w:p>
        </w:tc>
      </w:tr>
      <w:tr w:rsidR="002D7080" w:rsidRPr="004D1E6F" w14:paraId="747A8C9A" w14:textId="77777777" w:rsidTr="002E2C37">
        <w:trPr>
          <w:trHeight w:val="343"/>
        </w:trPr>
        <w:tc>
          <w:tcPr>
            <w:tcW w:w="9108" w:type="dxa"/>
            <w:gridSpan w:val="4"/>
            <w:shd w:val="clear" w:color="auto" w:fill="F2F2F2" w:themeFill="background1" w:themeFillShade="F2"/>
          </w:tcPr>
          <w:p w14:paraId="4D84A353" w14:textId="77777777" w:rsidR="002D7080" w:rsidRPr="004D1E6F" w:rsidRDefault="002D7080" w:rsidP="002E2C37">
            <w:pPr>
              <w:rPr>
                <w:rFonts w:ascii="Times New Roman" w:eastAsia="Calibri" w:hAnsi="Times New Roman" w:cs="Times New Roman"/>
                <w:sz w:val="20"/>
                <w:szCs w:val="20"/>
              </w:rPr>
            </w:pPr>
            <w:r w:rsidRPr="00C4037B">
              <w:rPr>
                <w:rFonts w:ascii="Times New Roman" w:eastAsia="Times New Roman" w:hAnsi="Times New Roman" w:cs="Times New Roman"/>
                <w:b/>
                <w:sz w:val="20"/>
                <w:szCs w:val="20"/>
                <w:lang w:eastAsia="en-ZA"/>
              </w:rPr>
              <w:t>MAN3d Propagule persistence</w:t>
            </w:r>
          </w:p>
        </w:tc>
      </w:tr>
      <w:tr w:rsidR="002D7080" w:rsidRPr="004D1E6F" w14:paraId="09E99FDD" w14:textId="77777777" w:rsidTr="002E2C37">
        <w:trPr>
          <w:trHeight w:val="183"/>
        </w:trPr>
        <w:tc>
          <w:tcPr>
            <w:tcW w:w="5240" w:type="dxa"/>
          </w:tcPr>
          <w:p w14:paraId="1C70EDE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C4037B">
              <w:rPr>
                <w:rFonts w:ascii="Times New Roman" w:eastAsia="Times New Roman" w:hAnsi="Times New Roman" w:cs="Times New Roman"/>
                <w:sz w:val="20"/>
                <w:szCs w:val="20"/>
                <w:lang w:eastAsia="en-ZA"/>
              </w:rPr>
              <w:t>Response:0 (&lt;1 year)</w:t>
            </w:r>
          </w:p>
        </w:tc>
        <w:tc>
          <w:tcPr>
            <w:tcW w:w="3868" w:type="dxa"/>
            <w:gridSpan w:val="3"/>
          </w:tcPr>
          <w:p w14:paraId="3363776F" w14:textId="77777777" w:rsidR="002D7080" w:rsidRPr="004D1E6F" w:rsidRDefault="002D7080" w:rsidP="002E2C37">
            <w:pPr>
              <w:rPr>
                <w:rFonts w:ascii="Times New Roman" w:eastAsia="Times New Roman" w:hAnsi="Times New Roman" w:cs="Times New Roman"/>
                <w:color w:val="000000"/>
                <w:sz w:val="20"/>
                <w:szCs w:val="20"/>
                <w:lang w:eastAsia="en-ZA"/>
              </w:rPr>
            </w:pPr>
            <w:r w:rsidRPr="00C4037B">
              <w:rPr>
                <w:rFonts w:ascii="Times New Roman" w:eastAsia="Times New Roman" w:hAnsi="Times New Roman" w:cs="Times New Roman"/>
                <w:sz w:val="20"/>
                <w:szCs w:val="20"/>
                <w:lang w:eastAsia="en-ZA"/>
              </w:rPr>
              <w:t>Confidence: Medium</w:t>
            </w:r>
          </w:p>
        </w:tc>
      </w:tr>
      <w:tr w:rsidR="002D7080" w:rsidRPr="004D1E6F" w14:paraId="2D5ABADB" w14:textId="77777777" w:rsidTr="002E2C37">
        <w:trPr>
          <w:trHeight w:val="343"/>
        </w:trPr>
        <w:tc>
          <w:tcPr>
            <w:tcW w:w="9108" w:type="dxa"/>
            <w:gridSpan w:val="4"/>
          </w:tcPr>
          <w:p w14:paraId="62A6A026" w14:textId="156FB3CA" w:rsidR="002D7080" w:rsidRPr="007533C6" w:rsidRDefault="002D7080" w:rsidP="002E2C37">
            <w:pPr>
              <w:jc w:val="both"/>
              <w:rPr>
                <w:rFonts w:ascii="Open Sans" w:hAnsi="Open Sans" w:cs="Open Sans"/>
                <w:color w:val="000000" w:themeColor="text1"/>
                <w:shd w:val="clear" w:color="auto" w:fill="FAFAFA"/>
              </w:rPr>
            </w:pPr>
            <w:r w:rsidRPr="007533C6">
              <w:rPr>
                <w:rFonts w:ascii="Times New Roman" w:eastAsia="Times New Roman" w:hAnsi="Times New Roman" w:cs="Times New Roman"/>
                <w:color w:val="000000" w:themeColor="text1"/>
                <w:sz w:val="20"/>
                <w:szCs w:val="20"/>
                <w:lang w:eastAsia="en-ZA"/>
              </w:rPr>
              <w:t>Rationale:</w:t>
            </w:r>
            <w:r w:rsidRPr="007533C6">
              <w:rPr>
                <w:rFonts w:ascii="Times New Roman" w:eastAsia="Times New Roman" w:hAnsi="Times New Roman" w:cs="Times New Roman"/>
                <w:i/>
                <w:iCs/>
                <w:color w:val="000000" w:themeColor="text1"/>
                <w:sz w:val="20"/>
                <w:szCs w:val="20"/>
                <w:lang w:eastAsia="en-ZA"/>
              </w:rPr>
              <w:t xml:space="preserve"> Procambarus virginalis </w:t>
            </w:r>
            <w:r w:rsidRPr="007533C6">
              <w:rPr>
                <w:rFonts w:ascii="Times New Roman" w:hAnsi="Times New Roman" w:cs="Times New Roman"/>
                <w:color w:val="000000" w:themeColor="text1"/>
                <w:sz w:val="20"/>
                <w:szCs w:val="20"/>
                <w:shd w:val="clear" w:color="auto" w:fill="FAFAFA"/>
              </w:rPr>
              <w:t xml:space="preserve">reproduces by apomictic parthenogenesis – females produce offspring from unfertilized eggs  and no males are </w:t>
            </w:r>
            <w:r w:rsidR="00C52CC6" w:rsidRPr="007533C6">
              <w:rPr>
                <w:rFonts w:ascii="Times New Roman" w:hAnsi="Times New Roman" w:cs="Times New Roman"/>
                <w:color w:val="000000" w:themeColor="text1"/>
                <w:sz w:val="20"/>
                <w:szCs w:val="20"/>
                <w:shd w:val="clear" w:color="auto" w:fill="FAFAFA"/>
              </w:rPr>
              <w:t>known</w:t>
            </w:r>
            <w:r w:rsidRPr="007533C6">
              <w:rPr>
                <w:rFonts w:ascii="Times New Roman" w:hAnsi="Times New Roman" w:cs="Times New Roman"/>
                <w:color w:val="000000" w:themeColor="text1"/>
                <w:sz w:val="20"/>
                <w:szCs w:val="20"/>
                <w:shd w:val="clear" w:color="auto" w:fill="FAFAFA"/>
              </w:rPr>
              <w:t xml:space="preserve"> to exist (Scholtz et al., 2003; Martin et al., 2007</w:t>
            </w:r>
            <w:r w:rsidRPr="007533C6">
              <w:rPr>
                <w:rFonts w:ascii="Times New Roman" w:hAnsi="Times New Roman" w:cs="Times New Roman"/>
                <w:color w:val="000000" w:themeColor="text1"/>
                <w:sz w:val="20"/>
                <w:szCs w:val="20"/>
              </w:rPr>
              <w:t xml:space="preserve">). </w:t>
            </w:r>
            <w:r w:rsidRPr="007533C6">
              <w:rPr>
                <w:rFonts w:ascii="Times New Roman" w:hAnsi="Times New Roman" w:cs="Times New Roman"/>
                <w:color w:val="000000" w:themeColor="text1"/>
                <w:sz w:val="20"/>
                <w:szCs w:val="20"/>
                <w:shd w:val="clear" w:color="auto" w:fill="FAFAFA"/>
              </w:rPr>
              <w:t>No males are known to exist (</w:t>
            </w:r>
            <w:r w:rsidRPr="007533C6">
              <w:rPr>
                <w:rFonts w:ascii="Times New Roman" w:hAnsi="Times New Roman" w:cs="Times New Roman"/>
                <w:color w:val="000000" w:themeColor="text1"/>
                <w:sz w:val="20"/>
                <w:szCs w:val="20"/>
              </w:rPr>
              <w:t>Seitz et al., 2005; Jones et al., 2009</w:t>
            </w:r>
            <w:r w:rsidRPr="007533C6">
              <w:rPr>
                <w:rFonts w:ascii="Times New Roman" w:hAnsi="Times New Roman" w:cs="Times New Roman"/>
                <w:color w:val="000000" w:themeColor="text1"/>
                <w:sz w:val="20"/>
                <w:szCs w:val="20"/>
                <w:shd w:val="clear" w:color="auto" w:fill="FAFAFA"/>
              </w:rPr>
              <w:t>). One female is enough to start a population. Fecundity varies between 45 - 724 eggs (Sietz et al. 2005; Jones et al. 2009, Chucholl &amp; Pfeiffer 2010)</w:t>
            </w:r>
            <w:r>
              <w:rPr>
                <w:rFonts w:ascii="Times New Roman" w:hAnsi="Times New Roman" w:cs="Times New Roman"/>
                <w:color w:val="000000" w:themeColor="text1"/>
                <w:sz w:val="20"/>
                <w:szCs w:val="20"/>
                <w:shd w:val="clear" w:color="auto" w:fill="FAFAFA"/>
              </w:rPr>
              <w:t>.</w:t>
            </w:r>
          </w:p>
        </w:tc>
      </w:tr>
      <w:tr w:rsidR="002D7080" w:rsidRPr="004D1E6F" w14:paraId="52464C55" w14:textId="77777777" w:rsidTr="002E2C37">
        <w:trPr>
          <w:trHeight w:val="343"/>
        </w:trPr>
        <w:tc>
          <w:tcPr>
            <w:tcW w:w="9108" w:type="dxa"/>
            <w:gridSpan w:val="4"/>
          </w:tcPr>
          <w:p w14:paraId="0CBF305D" w14:textId="77777777" w:rsidR="002D7080" w:rsidRPr="00C4037B" w:rsidRDefault="002D7080" w:rsidP="002E2C37">
            <w:pPr>
              <w:ind w:left="720" w:hanging="720"/>
              <w:jc w:val="both"/>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References:</w:t>
            </w:r>
          </w:p>
          <w:p w14:paraId="1DAF1A3B" w14:textId="77777777" w:rsidR="002D7080" w:rsidRPr="007533C6" w:rsidRDefault="002D7080" w:rsidP="002E2C37">
            <w:pPr>
              <w:ind w:left="540" w:hanging="540"/>
              <w:jc w:val="both"/>
              <w:rPr>
                <w:rFonts w:ascii="Times New Roman" w:hAnsi="Times New Roman" w:cs="Times New Roman"/>
                <w:color w:val="000000" w:themeColor="text1"/>
                <w:sz w:val="20"/>
                <w:szCs w:val="20"/>
                <w:shd w:val="clear" w:color="auto" w:fill="FFFFFF"/>
              </w:rPr>
            </w:pPr>
            <w:r w:rsidRPr="007533C6">
              <w:rPr>
                <w:rFonts w:ascii="Times New Roman" w:hAnsi="Times New Roman" w:cs="Times New Roman"/>
                <w:color w:val="000000" w:themeColor="text1"/>
                <w:sz w:val="20"/>
                <w:szCs w:val="20"/>
                <w:shd w:val="clear" w:color="auto" w:fill="FFFFFF"/>
              </w:rPr>
              <w:t>Chucholl</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C</w:t>
            </w:r>
            <w:r>
              <w:rPr>
                <w:rFonts w:ascii="Times New Roman" w:hAnsi="Times New Roman" w:cs="Times New Roman"/>
                <w:color w:val="000000" w:themeColor="text1"/>
                <w:sz w:val="20"/>
                <w:szCs w:val="20"/>
                <w:shd w:val="clear" w:color="auto" w:fill="FFFFFF"/>
              </w:rPr>
              <w:t xml:space="preserve">. &amp; </w:t>
            </w:r>
            <w:r w:rsidRPr="007533C6">
              <w:rPr>
                <w:rFonts w:ascii="Times New Roman" w:hAnsi="Times New Roman" w:cs="Times New Roman"/>
                <w:color w:val="000000" w:themeColor="text1"/>
                <w:sz w:val="20"/>
                <w:szCs w:val="20"/>
                <w:shd w:val="clear" w:color="auto" w:fill="FFFFFF"/>
              </w:rPr>
              <w:t>Pfeiffer</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M</w:t>
            </w:r>
            <w:r>
              <w:rPr>
                <w:rFonts w:ascii="Times New Roman" w:hAnsi="Times New Roman" w:cs="Times New Roman"/>
                <w:color w:val="000000" w:themeColor="text1"/>
                <w:sz w:val="20"/>
                <w:szCs w:val="20"/>
                <w:shd w:val="clear" w:color="auto" w:fill="FFFFFF"/>
              </w:rPr>
              <w:t xml:space="preserve">. </w:t>
            </w:r>
            <w:r w:rsidRPr="007533C6">
              <w:rPr>
                <w:rFonts w:ascii="Times New Roman" w:hAnsi="Times New Roman" w:cs="Times New Roman"/>
                <w:color w:val="000000" w:themeColor="text1"/>
                <w:sz w:val="20"/>
                <w:szCs w:val="20"/>
                <w:shd w:val="clear" w:color="auto" w:fill="FFFFFF"/>
              </w:rPr>
              <w:t>2010</w:t>
            </w:r>
            <w:r>
              <w:rPr>
                <w:rFonts w:ascii="Times New Roman" w:hAnsi="Times New Roman" w:cs="Times New Roman"/>
                <w:color w:val="000000" w:themeColor="text1"/>
                <w:sz w:val="20"/>
                <w:szCs w:val="20"/>
                <w:shd w:val="clear" w:color="auto" w:fill="FFFFFF"/>
              </w:rPr>
              <w:t>, ‘</w:t>
            </w:r>
            <w:r w:rsidRPr="007533C6">
              <w:rPr>
                <w:rFonts w:ascii="Times New Roman" w:hAnsi="Times New Roman" w:cs="Times New Roman"/>
                <w:color w:val="000000" w:themeColor="text1"/>
                <w:sz w:val="20"/>
                <w:szCs w:val="20"/>
                <w:shd w:val="clear" w:color="auto" w:fill="FFFFFF"/>
              </w:rPr>
              <w:t xml:space="preserve">First evidence for an established Marmorkrebs (Decapoda, Astacida, Cambaridae) population in Southwestern Germany, in syntopic occurrence with </w:t>
            </w:r>
            <w:r w:rsidRPr="007533C6">
              <w:rPr>
                <w:rFonts w:ascii="Times New Roman" w:hAnsi="Times New Roman" w:cs="Times New Roman"/>
                <w:i/>
                <w:iCs/>
                <w:color w:val="000000" w:themeColor="text1"/>
                <w:sz w:val="20"/>
                <w:szCs w:val="20"/>
                <w:shd w:val="clear" w:color="auto" w:fill="FFFFFF"/>
              </w:rPr>
              <w:t>Orconectes limosus</w:t>
            </w:r>
            <w:r w:rsidRPr="007533C6">
              <w:rPr>
                <w:rFonts w:ascii="Times New Roman" w:hAnsi="Times New Roman" w:cs="Times New Roman"/>
                <w:color w:val="000000" w:themeColor="text1"/>
                <w:sz w:val="20"/>
                <w:szCs w:val="20"/>
                <w:shd w:val="clear" w:color="auto" w:fill="FFFFFF"/>
              </w:rPr>
              <w:t xml:space="preserve"> (Rafinesque, 1817)</w:t>
            </w:r>
            <w:r>
              <w:rPr>
                <w:rFonts w:ascii="Times New Roman" w:hAnsi="Times New Roman" w:cs="Times New Roman"/>
                <w:color w:val="000000" w:themeColor="text1"/>
                <w:sz w:val="20"/>
                <w:szCs w:val="20"/>
                <w:shd w:val="clear" w:color="auto" w:fill="FFFFFF"/>
              </w:rPr>
              <w:t xml:space="preserve">’, </w:t>
            </w:r>
            <w:r w:rsidRPr="00EF0241">
              <w:rPr>
                <w:rFonts w:ascii="Times New Roman" w:hAnsi="Times New Roman" w:cs="Times New Roman"/>
                <w:i/>
                <w:iCs/>
                <w:color w:val="000000" w:themeColor="text1"/>
                <w:sz w:val="20"/>
                <w:szCs w:val="20"/>
                <w:shd w:val="clear" w:color="auto" w:fill="FFFFFF"/>
              </w:rPr>
              <w:t>Aquatic Invasions</w:t>
            </w:r>
            <w:r w:rsidRPr="007533C6">
              <w:rPr>
                <w:rFonts w:ascii="Times New Roman" w:hAnsi="Times New Roman" w:cs="Times New Roman"/>
                <w:color w:val="000000" w:themeColor="text1"/>
                <w:sz w:val="20"/>
                <w:szCs w:val="20"/>
                <w:shd w:val="clear" w:color="auto" w:fill="FFFFFF"/>
              </w:rPr>
              <w:t>, 5(4)</w:t>
            </w:r>
            <w:r>
              <w:rPr>
                <w:rFonts w:ascii="Times New Roman" w:hAnsi="Times New Roman" w:cs="Times New Roman"/>
                <w:color w:val="000000" w:themeColor="text1"/>
                <w:sz w:val="20"/>
                <w:szCs w:val="20"/>
                <w:shd w:val="clear" w:color="auto" w:fill="FFFFFF"/>
              </w:rPr>
              <w:t xml:space="preserve">, </w:t>
            </w:r>
            <w:r w:rsidRPr="007533C6">
              <w:rPr>
                <w:rFonts w:ascii="Times New Roman" w:hAnsi="Times New Roman" w:cs="Times New Roman"/>
                <w:color w:val="000000" w:themeColor="text1"/>
                <w:sz w:val="20"/>
                <w:szCs w:val="20"/>
                <w:shd w:val="clear" w:color="auto" w:fill="FFFFFF"/>
              </w:rPr>
              <w:t>405-412.</w:t>
            </w:r>
            <w:r>
              <w:rPr>
                <w:rFonts w:ascii="Times New Roman" w:hAnsi="Times New Roman" w:cs="Times New Roman"/>
                <w:color w:val="000000" w:themeColor="text1"/>
                <w:sz w:val="20"/>
                <w:szCs w:val="20"/>
                <w:shd w:val="clear" w:color="auto" w:fill="FFFFFF"/>
              </w:rPr>
              <w:t xml:space="preserve"> </w:t>
            </w:r>
            <w:hyperlink r:id="rId698" w:history="1">
              <w:r w:rsidRPr="00204DF8">
                <w:rPr>
                  <w:rStyle w:val="Hyperlink"/>
                  <w:rFonts w:ascii="Times New Roman" w:eastAsia="Times New Roman" w:hAnsi="Times New Roman" w:cs="Times New Roman"/>
                  <w:iCs/>
                  <w:sz w:val="20"/>
                  <w:szCs w:val="20"/>
                  <w:lang w:eastAsia="en-ZA"/>
                </w:rPr>
                <w:t>https://doi.org/10.3391/ai.2010.5.4.10</w:t>
              </w:r>
            </w:hyperlink>
          </w:p>
          <w:p w14:paraId="618E16FC" w14:textId="77777777" w:rsidR="002D7080" w:rsidRDefault="002D7080" w:rsidP="002E2C37">
            <w:pPr>
              <w:ind w:left="540" w:hanging="540"/>
              <w:jc w:val="both"/>
              <w:rPr>
                <w:rFonts w:ascii="Times New Roman" w:hAnsi="Times New Roman" w:cs="Times New Roman"/>
                <w:sz w:val="20"/>
                <w:szCs w:val="20"/>
                <w:shd w:val="clear" w:color="auto" w:fill="FFFFFF"/>
              </w:rPr>
            </w:pPr>
            <w:r w:rsidRPr="008F2177">
              <w:rPr>
                <w:rFonts w:ascii="Times New Roman" w:hAnsi="Times New Roman" w:cs="Times New Roman"/>
                <w:sz w:val="20"/>
                <w:szCs w:val="20"/>
                <w:shd w:val="clear" w:color="auto" w:fill="FFFFFF"/>
              </w:rPr>
              <w:lastRenderedPageBreak/>
              <w:t xml:space="preserve">Jones, J.P.G., Rasamy, J.R., Harvey, A., Toon, A., Birgit Oidtmann, B., Randrianarison, M.H., Raminosoa, N. &amp; Ravoahangimalala, O.R., 2009, ‘The perfect invader: a parthenogenetic crayfish poses a new threat to Madagascar’s freshwater biodiversity’, </w:t>
            </w:r>
            <w:r w:rsidRPr="002B043D">
              <w:rPr>
                <w:rFonts w:ascii="Times New Roman" w:hAnsi="Times New Roman" w:cs="Times New Roman"/>
                <w:i/>
                <w:iCs/>
                <w:sz w:val="20"/>
                <w:szCs w:val="20"/>
                <w:shd w:val="clear" w:color="auto" w:fill="FFFFFF"/>
              </w:rPr>
              <w:t>Biological Invasions</w:t>
            </w:r>
            <w:r w:rsidRPr="008F2177">
              <w:rPr>
                <w:rFonts w:ascii="Times New Roman" w:hAnsi="Times New Roman" w:cs="Times New Roman"/>
                <w:sz w:val="20"/>
                <w:szCs w:val="20"/>
                <w:shd w:val="clear" w:color="auto" w:fill="FFFFFF"/>
              </w:rPr>
              <w:t xml:space="preserve">, 11, 1475–1482, </w:t>
            </w:r>
            <w:hyperlink r:id="rId699" w:history="1">
              <w:r w:rsidRPr="00762F6F">
                <w:rPr>
                  <w:rStyle w:val="Hyperlink"/>
                  <w:rFonts w:ascii="Times New Roman" w:hAnsi="Times New Roman" w:cs="Times New Roman"/>
                  <w:sz w:val="20"/>
                  <w:szCs w:val="20"/>
                  <w:shd w:val="clear" w:color="auto" w:fill="FFFFFF"/>
                </w:rPr>
                <w:t>https://doi.org/10.1007/s10530-008-9334-y</w:t>
              </w:r>
            </w:hyperlink>
            <w:r>
              <w:rPr>
                <w:rFonts w:ascii="Times New Roman" w:hAnsi="Times New Roman" w:cs="Times New Roman"/>
                <w:sz w:val="20"/>
                <w:szCs w:val="20"/>
                <w:shd w:val="clear" w:color="auto" w:fill="FFFFFF"/>
              </w:rPr>
              <w:t xml:space="preserve"> </w:t>
            </w:r>
            <w:r w:rsidRPr="008F2177">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 xml:space="preserve"> </w:t>
            </w:r>
          </w:p>
          <w:p w14:paraId="23149B50" w14:textId="77777777" w:rsidR="002D7080" w:rsidRPr="005557FB" w:rsidRDefault="002D7080" w:rsidP="002E2C37">
            <w:pPr>
              <w:ind w:left="720" w:hanging="720"/>
              <w:rPr>
                <w:rFonts w:ascii="Times New Roman" w:hAnsi="Times New Roman" w:cs="Times New Roman"/>
                <w:sz w:val="20"/>
                <w:szCs w:val="20"/>
              </w:rPr>
            </w:pPr>
            <w:r w:rsidRPr="007533C6">
              <w:rPr>
                <w:rFonts w:ascii="Times New Roman" w:hAnsi="Times New Roman" w:cs="Times New Roman"/>
                <w:color w:val="000000" w:themeColor="text1"/>
                <w:sz w:val="20"/>
                <w:szCs w:val="20"/>
                <w:shd w:val="clear" w:color="auto" w:fill="FFFFFF"/>
              </w:rPr>
              <w:t>Martin P, Kohlmann K, Scholtz G, 2007</w:t>
            </w:r>
            <w:r>
              <w:rPr>
                <w:rFonts w:ascii="Times New Roman" w:hAnsi="Times New Roman" w:cs="Times New Roman"/>
                <w:color w:val="000000" w:themeColor="text1"/>
                <w:sz w:val="20"/>
                <w:szCs w:val="20"/>
                <w:shd w:val="clear" w:color="auto" w:fill="FFFFFF"/>
              </w:rPr>
              <w:t>, ‘</w:t>
            </w:r>
            <w:r w:rsidRPr="007533C6">
              <w:rPr>
                <w:rFonts w:ascii="Times New Roman" w:hAnsi="Times New Roman" w:cs="Times New Roman"/>
                <w:color w:val="000000" w:themeColor="text1"/>
                <w:sz w:val="20"/>
                <w:szCs w:val="20"/>
                <w:shd w:val="clear" w:color="auto" w:fill="FFFFFF"/>
              </w:rPr>
              <w:t>The parthenogenetic Marmorkrebs (marbled crayfish) produces genetically uniform offspring</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w:t>
            </w:r>
            <w:r w:rsidRPr="007533C6">
              <w:rPr>
                <w:rFonts w:ascii="Times New Roman" w:hAnsi="Times New Roman" w:cs="Times New Roman"/>
                <w:i/>
                <w:iCs/>
                <w:color w:val="000000" w:themeColor="text1"/>
                <w:sz w:val="20"/>
                <w:szCs w:val="20"/>
                <w:shd w:val="clear" w:color="auto" w:fill="FFFFFF"/>
              </w:rPr>
              <w:t>Naturwissenschaften</w:t>
            </w:r>
            <w:r w:rsidRPr="007533C6">
              <w:rPr>
                <w:rFonts w:ascii="Times New Roman" w:hAnsi="Times New Roman" w:cs="Times New Roman"/>
                <w:color w:val="000000" w:themeColor="text1"/>
                <w:sz w:val="20"/>
                <w:szCs w:val="20"/>
                <w:shd w:val="clear" w:color="auto" w:fill="FFFFFF"/>
              </w:rPr>
              <w:t>, 94(10)</w:t>
            </w:r>
            <w:r>
              <w:rPr>
                <w:rFonts w:ascii="Times New Roman" w:hAnsi="Times New Roman" w:cs="Times New Roman"/>
                <w:color w:val="000000" w:themeColor="text1"/>
                <w:sz w:val="20"/>
                <w:szCs w:val="20"/>
                <w:shd w:val="clear" w:color="auto" w:fill="FFFFFF"/>
              </w:rPr>
              <w:t xml:space="preserve">, </w:t>
            </w:r>
            <w:r w:rsidRPr="007533C6">
              <w:rPr>
                <w:rFonts w:ascii="Times New Roman" w:hAnsi="Times New Roman" w:cs="Times New Roman"/>
                <w:color w:val="000000" w:themeColor="text1"/>
                <w:sz w:val="20"/>
                <w:szCs w:val="20"/>
                <w:shd w:val="clear" w:color="auto" w:fill="FFFFFF"/>
              </w:rPr>
              <w:t>843-846.</w:t>
            </w:r>
            <w:r>
              <w:t xml:space="preserve"> </w:t>
            </w:r>
            <w:hyperlink r:id="rId700" w:tgtFrame="_blank" w:history="1">
              <w:r w:rsidRPr="006212AC">
                <w:rPr>
                  <w:rStyle w:val="Hyperlink"/>
                  <w:rFonts w:ascii="Times New Roman" w:hAnsi="Times New Roman" w:cs="Times New Roman"/>
                  <w:sz w:val="20"/>
                  <w:szCs w:val="20"/>
                </w:rPr>
                <w:t>https://doi.org/10.1007/s00114-007-0260-0</w:t>
              </w:r>
            </w:hyperlink>
          </w:p>
          <w:p w14:paraId="689716C4" w14:textId="77777777" w:rsidR="002D7080" w:rsidRPr="007533C6" w:rsidRDefault="002D7080" w:rsidP="002E2C37">
            <w:pPr>
              <w:ind w:left="540" w:hanging="540"/>
              <w:jc w:val="both"/>
              <w:rPr>
                <w:rFonts w:ascii="Times New Roman" w:hAnsi="Times New Roman" w:cs="Times New Roman"/>
                <w:color w:val="000000" w:themeColor="text1"/>
                <w:sz w:val="20"/>
                <w:szCs w:val="20"/>
                <w:shd w:val="clear" w:color="auto" w:fill="FFFFFF"/>
              </w:rPr>
            </w:pPr>
            <w:r w:rsidRPr="007533C6">
              <w:rPr>
                <w:rFonts w:ascii="Times New Roman" w:hAnsi="Times New Roman" w:cs="Times New Roman"/>
                <w:color w:val="000000" w:themeColor="text1"/>
                <w:sz w:val="20"/>
                <w:szCs w:val="20"/>
                <w:shd w:val="clear" w:color="auto" w:fill="FFFFFF"/>
              </w:rPr>
              <w:t>Scholtz</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G</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Braband</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A</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Tolley</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L</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Reimann</w:t>
            </w:r>
            <w:r>
              <w:rPr>
                <w:rFonts w:ascii="Times New Roman" w:hAnsi="Times New Roman" w:cs="Times New Roman"/>
                <w:color w:val="000000" w:themeColor="text1"/>
                <w:sz w:val="20"/>
                <w:szCs w:val="20"/>
                <w:shd w:val="clear" w:color="auto" w:fill="FFFFFF"/>
              </w:rPr>
              <w:t xml:space="preserve">, </w:t>
            </w:r>
            <w:r w:rsidRPr="007533C6">
              <w:rPr>
                <w:rFonts w:ascii="Times New Roman" w:hAnsi="Times New Roman" w:cs="Times New Roman"/>
                <w:color w:val="000000" w:themeColor="text1"/>
                <w:sz w:val="20"/>
                <w:szCs w:val="20"/>
                <w:shd w:val="clear" w:color="auto" w:fill="FFFFFF"/>
              </w:rPr>
              <w:t>A</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Mittmann</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B</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Lukhaup</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C</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Steuerwal</w:t>
            </w:r>
            <w:r>
              <w:rPr>
                <w:rFonts w:ascii="Times New Roman" w:hAnsi="Times New Roman" w:cs="Times New Roman"/>
                <w:color w:val="000000" w:themeColor="text1"/>
                <w:sz w:val="20"/>
                <w:szCs w:val="20"/>
                <w:shd w:val="clear" w:color="auto" w:fill="FFFFFF"/>
              </w:rPr>
              <w:t xml:space="preserve">d, </w:t>
            </w:r>
            <w:r w:rsidRPr="007533C6">
              <w:rPr>
                <w:rFonts w:ascii="Times New Roman" w:hAnsi="Times New Roman" w:cs="Times New Roman"/>
                <w:color w:val="000000" w:themeColor="text1"/>
                <w:sz w:val="20"/>
                <w:szCs w:val="20"/>
                <w:shd w:val="clear" w:color="auto" w:fill="FFFFFF"/>
              </w:rPr>
              <w:t>F</w:t>
            </w:r>
            <w:r>
              <w:rPr>
                <w:rFonts w:ascii="Times New Roman" w:hAnsi="Times New Roman" w:cs="Times New Roman"/>
                <w:color w:val="000000" w:themeColor="text1"/>
                <w:sz w:val="20"/>
                <w:szCs w:val="20"/>
                <w:shd w:val="clear" w:color="auto" w:fill="FFFFFF"/>
              </w:rPr>
              <w:t xml:space="preserve">. &amp; </w:t>
            </w:r>
            <w:r w:rsidRPr="007533C6">
              <w:rPr>
                <w:rFonts w:ascii="Times New Roman" w:hAnsi="Times New Roman" w:cs="Times New Roman"/>
                <w:color w:val="000000" w:themeColor="text1"/>
                <w:sz w:val="20"/>
                <w:szCs w:val="20"/>
                <w:shd w:val="clear" w:color="auto" w:fill="FFFFFF"/>
              </w:rPr>
              <w:t>Vogt</w:t>
            </w:r>
            <w:r>
              <w:rPr>
                <w:rFonts w:ascii="Times New Roman" w:hAnsi="Times New Roman" w:cs="Times New Roman"/>
                <w:color w:val="000000" w:themeColor="text1"/>
                <w:sz w:val="20"/>
                <w:szCs w:val="20"/>
                <w:shd w:val="clear" w:color="auto" w:fill="FFFFFF"/>
              </w:rPr>
              <w:t>,</w:t>
            </w:r>
            <w:r w:rsidRPr="007533C6">
              <w:rPr>
                <w:rFonts w:ascii="Times New Roman" w:hAnsi="Times New Roman" w:cs="Times New Roman"/>
                <w:color w:val="000000" w:themeColor="text1"/>
                <w:sz w:val="20"/>
                <w:szCs w:val="20"/>
                <w:shd w:val="clear" w:color="auto" w:fill="FFFFFF"/>
              </w:rPr>
              <w:t xml:space="preserve"> G, 2003</w:t>
            </w:r>
            <w:r>
              <w:rPr>
                <w:rFonts w:ascii="Times New Roman" w:hAnsi="Times New Roman" w:cs="Times New Roman"/>
                <w:color w:val="000000" w:themeColor="text1"/>
                <w:sz w:val="20"/>
                <w:szCs w:val="20"/>
                <w:shd w:val="clear" w:color="auto" w:fill="FFFFFF"/>
              </w:rPr>
              <w:t>, ‘</w:t>
            </w:r>
            <w:r w:rsidRPr="007533C6">
              <w:rPr>
                <w:rFonts w:ascii="Times New Roman" w:hAnsi="Times New Roman" w:cs="Times New Roman"/>
                <w:color w:val="000000" w:themeColor="text1"/>
                <w:sz w:val="20"/>
                <w:szCs w:val="20"/>
                <w:shd w:val="clear" w:color="auto" w:fill="FFFFFF"/>
              </w:rPr>
              <w:t>Parthenogenesis in an outsider crayfish</w:t>
            </w:r>
            <w:r>
              <w:rPr>
                <w:rFonts w:ascii="Times New Roman" w:hAnsi="Times New Roman" w:cs="Times New Roman"/>
                <w:color w:val="000000" w:themeColor="text1"/>
                <w:sz w:val="20"/>
                <w:szCs w:val="20"/>
                <w:shd w:val="clear" w:color="auto" w:fill="FFFFFF"/>
              </w:rPr>
              <w:t xml:space="preserve">’, </w:t>
            </w:r>
            <w:r w:rsidRPr="007533C6">
              <w:rPr>
                <w:rFonts w:ascii="Times New Roman" w:hAnsi="Times New Roman" w:cs="Times New Roman"/>
                <w:i/>
                <w:iCs/>
                <w:color w:val="000000" w:themeColor="text1"/>
                <w:sz w:val="20"/>
                <w:szCs w:val="20"/>
                <w:shd w:val="clear" w:color="auto" w:fill="FFFFFF"/>
              </w:rPr>
              <w:t>Nature</w:t>
            </w:r>
            <w:r w:rsidRPr="007533C6">
              <w:rPr>
                <w:rFonts w:ascii="Times New Roman" w:hAnsi="Times New Roman" w:cs="Times New Roman"/>
                <w:color w:val="000000" w:themeColor="text1"/>
                <w:sz w:val="20"/>
                <w:szCs w:val="20"/>
                <w:shd w:val="clear" w:color="auto" w:fill="FFFFFF"/>
              </w:rPr>
              <w:t>, 421(6925)</w:t>
            </w:r>
            <w:r>
              <w:rPr>
                <w:rFonts w:ascii="Times New Roman" w:hAnsi="Times New Roman" w:cs="Times New Roman"/>
                <w:color w:val="000000" w:themeColor="text1"/>
                <w:sz w:val="20"/>
                <w:szCs w:val="20"/>
                <w:shd w:val="clear" w:color="auto" w:fill="FFFFFF"/>
              </w:rPr>
              <w:t xml:space="preserve">, </w:t>
            </w:r>
            <w:r w:rsidRPr="007533C6">
              <w:rPr>
                <w:rFonts w:ascii="Times New Roman" w:hAnsi="Times New Roman" w:cs="Times New Roman"/>
                <w:color w:val="000000" w:themeColor="text1"/>
                <w:sz w:val="20"/>
                <w:szCs w:val="20"/>
                <w:shd w:val="clear" w:color="auto" w:fill="FFFFFF"/>
              </w:rPr>
              <w:t>806-806.</w:t>
            </w:r>
            <w:r>
              <w:rPr>
                <w:rFonts w:ascii="Times New Roman" w:hAnsi="Times New Roman" w:cs="Times New Roman"/>
                <w:color w:val="000000" w:themeColor="text1"/>
                <w:sz w:val="20"/>
                <w:szCs w:val="20"/>
                <w:shd w:val="clear" w:color="auto" w:fill="FFFFFF"/>
              </w:rPr>
              <w:t xml:space="preserve"> </w:t>
            </w:r>
            <w:hyperlink r:id="rId701" w:tgtFrame="_blank" w:history="1">
              <w:r w:rsidRPr="00C24444">
                <w:rPr>
                  <w:rStyle w:val="Hyperlink"/>
                  <w:rFonts w:ascii="Times New Roman" w:hAnsi="Times New Roman" w:cs="Times New Roman"/>
                  <w:sz w:val="20"/>
                  <w:szCs w:val="20"/>
                </w:rPr>
                <w:t>https://doi.org/10.1038/421806a</w:t>
              </w:r>
            </w:hyperlink>
          </w:p>
          <w:p w14:paraId="07513AB8" w14:textId="77777777" w:rsidR="002D7080" w:rsidRPr="00F063B2" w:rsidRDefault="002D7080" w:rsidP="002E2C37">
            <w:pPr>
              <w:ind w:left="540" w:hanging="540"/>
              <w:jc w:val="both"/>
              <w:rPr>
                <w:rFonts w:ascii="Times New Roman" w:hAnsi="Times New Roman" w:cs="Times New Roman"/>
                <w:color w:val="333333"/>
                <w:sz w:val="20"/>
                <w:szCs w:val="20"/>
                <w:shd w:val="clear" w:color="auto" w:fill="FFFFFF"/>
              </w:rPr>
            </w:pPr>
            <w:r w:rsidRPr="007533C6">
              <w:rPr>
                <w:rFonts w:ascii="Times New Roman" w:hAnsi="Times New Roman" w:cs="Times New Roman"/>
                <w:color w:val="000000" w:themeColor="text1"/>
                <w:sz w:val="20"/>
                <w:szCs w:val="20"/>
                <w:shd w:val="clear" w:color="auto" w:fill="FFFFFF"/>
              </w:rPr>
              <w:t xml:space="preserve">Seitz R, Vilpoux K, Hopp U, Harzsch S, Maier G, 2005. Ontogeny of the Marmorkrebs (marbled crayfish): a parthenogenetic crayfish with unknown origin and phylogenetic position. </w:t>
            </w:r>
            <w:r w:rsidRPr="007533C6">
              <w:rPr>
                <w:rFonts w:ascii="Times New Roman" w:hAnsi="Times New Roman" w:cs="Times New Roman"/>
                <w:i/>
                <w:iCs/>
                <w:color w:val="000000" w:themeColor="text1"/>
                <w:sz w:val="20"/>
                <w:szCs w:val="20"/>
                <w:shd w:val="clear" w:color="auto" w:fill="FFFFFF"/>
              </w:rPr>
              <w:t>Journal of Experimental Zoology</w:t>
            </w:r>
            <w:r w:rsidRPr="007533C6">
              <w:rPr>
                <w:rFonts w:ascii="Times New Roman" w:hAnsi="Times New Roman" w:cs="Times New Roman"/>
                <w:color w:val="000000" w:themeColor="text1"/>
                <w:sz w:val="20"/>
                <w:szCs w:val="20"/>
                <w:shd w:val="clear" w:color="auto" w:fill="FFFFFF"/>
              </w:rPr>
              <w:t xml:space="preserve"> A, 303(5):393-405.</w:t>
            </w:r>
            <w:r>
              <w:rPr>
                <w:rFonts w:ascii="Times New Roman" w:hAnsi="Times New Roman" w:cs="Times New Roman"/>
                <w:color w:val="000000" w:themeColor="text1"/>
                <w:sz w:val="20"/>
                <w:szCs w:val="20"/>
                <w:shd w:val="clear" w:color="auto" w:fill="FFFFFF"/>
              </w:rPr>
              <w:t xml:space="preserve"> </w:t>
            </w:r>
            <w:hyperlink r:id="rId702" w:tgtFrame="_blank" w:history="1">
              <w:r w:rsidRPr="00EC34C5">
                <w:rPr>
                  <w:rStyle w:val="Hyperlink"/>
                  <w:rFonts w:ascii="Times New Roman" w:hAnsi="Times New Roman" w:cs="Times New Roman"/>
                  <w:sz w:val="20"/>
                  <w:szCs w:val="20"/>
                  <w:shd w:val="clear" w:color="auto" w:fill="FFFFFF"/>
                </w:rPr>
                <w:t>https://doi.org/10.1002/jez.a.143</w:t>
              </w:r>
            </w:hyperlink>
          </w:p>
        </w:tc>
      </w:tr>
      <w:tr w:rsidR="002D7080" w:rsidRPr="004D1E6F" w14:paraId="717040BF" w14:textId="77777777" w:rsidTr="002E2C37">
        <w:trPr>
          <w:trHeight w:val="287"/>
        </w:trPr>
        <w:tc>
          <w:tcPr>
            <w:tcW w:w="9108" w:type="dxa"/>
            <w:gridSpan w:val="4"/>
            <w:shd w:val="clear" w:color="auto" w:fill="F2F2F2" w:themeFill="background1" w:themeFillShade="F2"/>
          </w:tcPr>
          <w:p w14:paraId="6DEB282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b/>
                <w:sz w:val="20"/>
                <w:szCs w:val="20"/>
                <w:lang w:eastAsia="en-ZA"/>
              </w:rPr>
              <w:lastRenderedPageBreak/>
              <w:t xml:space="preserve">MAN3 Ease of management </w:t>
            </w:r>
            <w:r w:rsidRPr="004D1E6F">
              <w:rPr>
                <w:rFonts w:ascii="Times New Roman" w:eastAsia="Times New Roman" w:hAnsi="Times New Roman" w:cs="Times New Roman"/>
                <w:sz w:val="20"/>
                <w:szCs w:val="20"/>
                <w:lang w:eastAsia="en-ZA"/>
              </w:rPr>
              <w:t>(SUM from Table S4)</w:t>
            </w:r>
          </w:p>
        </w:tc>
      </w:tr>
      <w:tr w:rsidR="002D7080" w:rsidRPr="004D1E6F" w14:paraId="397369BA" w14:textId="77777777" w:rsidTr="002E2C37">
        <w:trPr>
          <w:trHeight w:val="170"/>
        </w:trPr>
        <w:tc>
          <w:tcPr>
            <w:tcW w:w="5280" w:type="dxa"/>
            <w:gridSpan w:val="2"/>
          </w:tcPr>
          <w:p w14:paraId="7A70E4D5"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C4037B">
              <w:rPr>
                <w:rFonts w:ascii="Times New Roman" w:eastAsia="Times New Roman" w:hAnsi="Times New Roman" w:cs="Times New Roman"/>
                <w:sz w:val="20"/>
                <w:szCs w:val="20"/>
                <w:lang w:eastAsia="en-ZA"/>
              </w:rPr>
              <w:t xml:space="preserve">Response: </w:t>
            </w:r>
            <w:r>
              <w:rPr>
                <w:rFonts w:ascii="Times New Roman" w:eastAsia="Times New Roman" w:hAnsi="Times New Roman" w:cs="Times New Roman"/>
                <w:sz w:val="20"/>
                <w:szCs w:val="20"/>
                <w:lang w:eastAsia="en-ZA"/>
              </w:rPr>
              <w:t>Difficult</w:t>
            </w:r>
          </w:p>
        </w:tc>
        <w:tc>
          <w:tcPr>
            <w:tcW w:w="3828" w:type="dxa"/>
            <w:gridSpan w:val="2"/>
          </w:tcPr>
          <w:p w14:paraId="5807AC8C"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C4037B">
              <w:rPr>
                <w:rFonts w:ascii="Times New Roman" w:eastAsia="Times New Roman" w:hAnsi="Times New Roman" w:cs="Times New Roman"/>
                <w:sz w:val="20"/>
                <w:szCs w:val="20"/>
                <w:lang w:eastAsia="en-ZA"/>
              </w:rPr>
              <w:t>Confidence: Medium</w:t>
            </w:r>
          </w:p>
        </w:tc>
      </w:tr>
      <w:tr w:rsidR="002D7080" w:rsidRPr="004D1E6F" w14:paraId="285E37E6" w14:textId="77777777" w:rsidTr="002E2C37">
        <w:trPr>
          <w:trHeight w:val="343"/>
        </w:trPr>
        <w:tc>
          <w:tcPr>
            <w:tcW w:w="9108" w:type="dxa"/>
            <w:gridSpan w:val="4"/>
          </w:tcPr>
          <w:p w14:paraId="1BABC982" w14:textId="77777777" w:rsidR="002D7080" w:rsidRPr="004D1E6F" w:rsidRDefault="002D7080" w:rsidP="002E2C37">
            <w:pPr>
              <w:rPr>
                <w:rFonts w:ascii="Times New Roman" w:eastAsia="Times New Roman" w:hAnsi="Times New Roman" w:cs="Times New Roman"/>
                <w:color w:val="000000"/>
                <w:sz w:val="20"/>
                <w:szCs w:val="20"/>
                <w:lang w:eastAsia="en-ZA"/>
              </w:rPr>
            </w:pPr>
            <w:r w:rsidRPr="00C4037B">
              <w:rPr>
                <w:rFonts w:ascii="Times New Roman" w:eastAsia="Times New Roman" w:hAnsi="Times New Roman" w:cs="Times New Roman"/>
                <w:sz w:val="20"/>
                <w:szCs w:val="20"/>
                <w:lang w:eastAsia="en-ZA"/>
              </w:rPr>
              <w:t xml:space="preserve">Rationale: </w:t>
            </w:r>
            <w:r w:rsidRPr="00581DAE">
              <w:rPr>
                <w:rFonts w:ascii="Times New Roman" w:eastAsia="Times New Roman" w:hAnsi="Times New Roman" w:cs="Times New Roman"/>
                <w:i/>
                <w:iCs/>
                <w:sz w:val="20"/>
                <w:szCs w:val="20"/>
                <w:lang w:eastAsia="en-ZA"/>
              </w:rPr>
              <w:t xml:space="preserve">Procambarus virginalis </w:t>
            </w:r>
            <w:r w:rsidRPr="00C4037B">
              <w:rPr>
                <w:rFonts w:ascii="Times New Roman" w:eastAsia="Times New Roman" w:hAnsi="Times New Roman" w:cs="Times New Roman"/>
                <w:sz w:val="20"/>
                <w:szCs w:val="20"/>
                <w:lang w:eastAsia="en-ZA"/>
              </w:rPr>
              <w:t xml:space="preserve">is </w:t>
            </w:r>
            <w:r w:rsidRPr="00C4037B">
              <w:rPr>
                <w:rFonts w:ascii="Times New Roman" w:hAnsi="Times New Roman" w:cs="Times New Roman"/>
                <w:bCs/>
                <w:iCs/>
                <w:sz w:val="20"/>
                <w:szCs w:val="20"/>
              </w:rPr>
              <w:t xml:space="preserve">a small burrowing freshwater species that is difficult to detect, </w:t>
            </w:r>
            <w:r>
              <w:rPr>
                <w:rFonts w:ascii="Times New Roman" w:hAnsi="Times New Roman" w:cs="Times New Roman"/>
                <w:bCs/>
                <w:iCs/>
                <w:sz w:val="20"/>
                <w:szCs w:val="20"/>
              </w:rPr>
              <w:t xml:space="preserve">reproduces parthenogenetically, and is </w:t>
            </w:r>
            <w:r w:rsidRPr="00C4037B">
              <w:rPr>
                <w:rFonts w:ascii="Times New Roman" w:hAnsi="Times New Roman" w:cs="Times New Roman"/>
                <w:bCs/>
                <w:iCs/>
                <w:sz w:val="20"/>
                <w:szCs w:val="20"/>
              </w:rPr>
              <w:t>highly fecund (</w:t>
            </w:r>
            <w:r>
              <w:rPr>
                <w:rFonts w:ascii="Times New Roman" w:hAnsi="Times New Roman" w:cs="Times New Roman"/>
                <w:bCs/>
                <w:iCs/>
                <w:sz w:val="20"/>
                <w:szCs w:val="20"/>
              </w:rPr>
              <w:t>45 – 724 eggs</w:t>
            </w:r>
            <w:r w:rsidRPr="00C4037B">
              <w:rPr>
                <w:rFonts w:ascii="Times New Roman" w:hAnsi="Times New Roman" w:cs="Times New Roman"/>
                <w:bCs/>
                <w:iCs/>
                <w:sz w:val="20"/>
                <w:szCs w:val="20"/>
              </w:rPr>
              <w:t>)</w:t>
            </w:r>
            <w:r>
              <w:rPr>
                <w:rFonts w:ascii="Times New Roman" w:hAnsi="Times New Roman" w:cs="Times New Roman"/>
                <w:bCs/>
                <w:iCs/>
                <w:sz w:val="20"/>
                <w:szCs w:val="20"/>
              </w:rPr>
              <w:t xml:space="preserve"> </w:t>
            </w:r>
            <w:r w:rsidRPr="00C52CC6">
              <w:rPr>
                <w:rFonts w:ascii="Times New Roman" w:hAnsi="Times New Roman" w:cs="Times New Roman"/>
                <w:bCs/>
                <w:iCs/>
                <w:sz w:val="20"/>
                <w:szCs w:val="20"/>
              </w:rPr>
              <w:t>(</w:t>
            </w:r>
            <w:r w:rsidRPr="00C52CC6">
              <w:rPr>
                <w:rFonts w:ascii="Times New Roman" w:hAnsi="Times New Roman" w:cs="Times New Roman"/>
                <w:sz w:val="20"/>
                <w:szCs w:val="20"/>
                <w:shd w:val="clear" w:color="auto" w:fill="FAFAFA"/>
              </w:rPr>
              <w:t>Scholtz et al., 2003; Sietz et al. 2005; Martin et al., 2007; Jones et al. 2009, Chucholl &amp; Pfeiffer 2010)</w:t>
            </w:r>
            <w:r w:rsidRPr="00C52CC6">
              <w:rPr>
                <w:rFonts w:ascii="Times New Roman" w:hAnsi="Times New Roman" w:cs="Times New Roman"/>
                <w:bCs/>
                <w:iCs/>
                <w:sz w:val="20"/>
                <w:szCs w:val="20"/>
              </w:rPr>
              <w:t xml:space="preserve">. It </w:t>
            </w:r>
            <w:r>
              <w:rPr>
                <w:rFonts w:ascii="Times New Roman" w:hAnsi="Times New Roman" w:cs="Times New Roman"/>
                <w:bCs/>
                <w:iCs/>
                <w:sz w:val="20"/>
                <w:szCs w:val="20"/>
              </w:rPr>
              <w:t>does not need to maintain a viable population as one female can start a new population.</w:t>
            </w:r>
          </w:p>
        </w:tc>
      </w:tr>
      <w:tr w:rsidR="002D7080" w:rsidRPr="000228DB" w14:paraId="435334C2" w14:textId="77777777" w:rsidTr="002E2C37">
        <w:trPr>
          <w:gridAfter w:val="1"/>
          <w:wAfter w:w="41" w:type="dxa"/>
          <w:trHeight w:val="70"/>
        </w:trPr>
        <w:tc>
          <w:tcPr>
            <w:tcW w:w="9067" w:type="dxa"/>
            <w:gridSpan w:val="3"/>
          </w:tcPr>
          <w:p w14:paraId="41934AD2" w14:textId="77777777" w:rsidR="002D7080" w:rsidRPr="00C4037B" w:rsidRDefault="002D7080" w:rsidP="002E2C37">
            <w:pPr>
              <w:ind w:left="720" w:hanging="720"/>
              <w:rPr>
                <w:rFonts w:ascii="Times New Roman" w:eastAsia="Times New Roman" w:hAnsi="Times New Roman" w:cs="Times New Roman"/>
                <w:sz w:val="20"/>
                <w:szCs w:val="20"/>
                <w:lang w:eastAsia="en-ZA"/>
              </w:rPr>
            </w:pPr>
            <w:r w:rsidRPr="00C4037B">
              <w:rPr>
                <w:rFonts w:ascii="Times New Roman" w:eastAsia="Times New Roman" w:hAnsi="Times New Roman" w:cs="Times New Roman"/>
                <w:sz w:val="20"/>
                <w:szCs w:val="20"/>
                <w:lang w:eastAsia="en-ZA"/>
              </w:rPr>
              <w:t>References:</w:t>
            </w:r>
          </w:p>
          <w:p w14:paraId="4AAA3314" w14:textId="77777777" w:rsidR="002D7080" w:rsidRPr="00FA4908" w:rsidRDefault="002D7080" w:rsidP="00C52CC6">
            <w:pPr>
              <w:ind w:left="510" w:hanging="510"/>
              <w:contextualSpacing/>
              <w:jc w:val="both"/>
              <w:rPr>
                <w:rFonts w:ascii="Times New Roman" w:hAnsi="Times New Roman" w:cs="Times New Roman"/>
                <w:sz w:val="20"/>
                <w:szCs w:val="20"/>
              </w:rPr>
            </w:pPr>
            <w:r w:rsidRPr="00FA4908">
              <w:rPr>
                <w:rFonts w:ascii="Times New Roman" w:hAnsi="Times New Roman" w:cs="Times New Roman"/>
                <w:sz w:val="20"/>
                <w:szCs w:val="20"/>
              </w:rPr>
              <w:t>Chucholl</w:t>
            </w:r>
            <w:r>
              <w:rPr>
                <w:rFonts w:ascii="Times New Roman" w:hAnsi="Times New Roman" w:cs="Times New Roman"/>
                <w:sz w:val="20"/>
                <w:szCs w:val="20"/>
              </w:rPr>
              <w:t>,</w:t>
            </w:r>
            <w:r w:rsidRPr="00FA4908">
              <w:rPr>
                <w:rFonts w:ascii="Times New Roman" w:hAnsi="Times New Roman" w:cs="Times New Roman"/>
                <w:sz w:val="20"/>
                <w:szCs w:val="20"/>
              </w:rPr>
              <w:t xml:space="preserve"> C</w:t>
            </w:r>
            <w:r>
              <w:rPr>
                <w:rFonts w:ascii="Times New Roman" w:hAnsi="Times New Roman" w:cs="Times New Roman"/>
                <w:sz w:val="20"/>
                <w:szCs w:val="20"/>
              </w:rPr>
              <w:t xml:space="preserve">. &amp; </w:t>
            </w:r>
            <w:r w:rsidRPr="00FA4908">
              <w:rPr>
                <w:rFonts w:ascii="Times New Roman" w:hAnsi="Times New Roman" w:cs="Times New Roman"/>
                <w:sz w:val="20"/>
                <w:szCs w:val="20"/>
              </w:rPr>
              <w:t>Pfeiffer</w:t>
            </w:r>
            <w:r>
              <w:rPr>
                <w:rFonts w:ascii="Times New Roman" w:hAnsi="Times New Roman" w:cs="Times New Roman"/>
                <w:sz w:val="20"/>
                <w:szCs w:val="20"/>
              </w:rPr>
              <w:t>,</w:t>
            </w:r>
            <w:r w:rsidRPr="00FA4908">
              <w:rPr>
                <w:rFonts w:ascii="Times New Roman" w:hAnsi="Times New Roman" w:cs="Times New Roman"/>
                <w:sz w:val="20"/>
                <w:szCs w:val="20"/>
              </w:rPr>
              <w:t xml:space="preserve"> M</w:t>
            </w:r>
            <w:r>
              <w:rPr>
                <w:rFonts w:ascii="Times New Roman" w:hAnsi="Times New Roman" w:cs="Times New Roman"/>
                <w:sz w:val="20"/>
                <w:szCs w:val="20"/>
              </w:rPr>
              <w:t>.</w:t>
            </w:r>
            <w:r w:rsidRPr="00FA4908">
              <w:rPr>
                <w:rFonts w:ascii="Times New Roman" w:hAnsi="Times New Roman" w:cs="Times New Roman"/>
                <w:sz w:val="20"/>
                <w:szCs w:val="20"/>
              </w:rPr>
              <w:t xml:space="preserve"> 2010</w:t>
            </w:r>
            <w:r>
              <w:rPr>
                <w:rFonts w:ascii="Times New Roman" w:hAnsi="Times New Roman" w:cs="Times New Roman"/>
                <w:sz w:val="20"/>
                <w:szCs w:val="20"/>
              </w:rPr>
              <w:t>, ‘</w:t>
            </w:r>
            <w:r w:rsidRPr="00FA4908">
              <w:rPr>
                <w:rFonts w:ascii="Times New Roman" w:hAnsi="Times New Roman" w:cs="Times New Roman"/>
                <w:sz w:val="20"/>
                <w:szCs w:val="20"/>
              </w:rPr>
              <w:t xml:space="preserve">First evidence for an established Marmorkrebs (Decapoda, Astacida, Cambaridae) population in Southwestern Germany, in syntopic occurrence with </w:t>
            </w:r>
            <w:r w:rsidRPr="00895CEA">
              <w:rPr>
                <w:rFonts w:ascii="Times New Roman" w:hAnsi="Times New Roman" w:cs="Times New Roman"/>
                <w:i/>
                <w:iCs/>
                <w:sz w:val="20"/>
                <w:szCs w:val="20"/>
              </w:rPr>
              <w:t>Orconectes limosus</w:t>
            </w:r>
            <w:r w:rsidRPr="00FA4908">
              <w:rPr>
                <w:rFonts w:ascii="Times New Roman" w:hAnsi="Times New Roman" w:cs="Times New Roman"/>
                <w:sz w:val="20"/>
                <w:szCs w:val="20"/>
              </w:rPr>
              <w:t xml:space="preserve"> (Rafinesque, 1817)</w:t>
            </w:r>
            <w:r>
              <w:rPr>
                <w:rFonts w:ascii="Times New Roman" w:hAnsi="Times New Roman" w:cs="Times New Roman"/>
                <w:sz w:val="20"/>
                <w:szCs w:val="20"/>
              </w:rPr>
              <w:t xml:space="preserve">’, </w:t>
            </w:r>
            <w:r w:rsidRPr="00CB5D29">
              <w:rPr>
                <w:rFonts w:ascii="Times New Roman" w:hAnsi="Times New Roman" w:cs="Times New Roman"/>
                <w:i/>
                <w:iCs/>
                <w:sz w:val="20"/>
                <w:szCs w:val="20"/>
              </w:rPr>
              <w:t>Aquatic Invasions</w:t>
            </w:r>
            <w:r w:rsidRPr="00FA4908">
              <w:rPr>
                <w:rFonts w:ascii="Times New Roman" w:hAnsi="Times New Roman" w:cs="Times New Roman"/>
                <w:sz w:val="20"/>
                <w:szCs w:val="20"/>
              </w:rPr>
              <w:t>, 5(4)</w:t>
            </w:r>
            <w:r>
              <w:rPr>
                <w:rFonts w:ascii="Times New Roman" w:hAnsi="Times New Roman" w:cs="Times New Roman"/>
                <w:sz w:val="20"/>
                <w:szCs w:val="20"/>
              </w:rPr>
              <w:t xml:space="preserve">, </w:t>
            </w:r>
            <w:r w:rsidRPr="00FA4908">
              <w:rPr>
                <w:rFonts w:ascii="Times New Roman" w:hAnsi="Times New Roman" w:cs="Times New Roman"/>
                <w:sz w:val="20"/>
                <w:szCs w:val="20"/>
              </w:rPr>
              <w:t>405-412.</w:t>
            </w:r>
            <w:r>
              <w:rPr>
                <w:rFonts w:ascii="Times New Roman" w:hAnsi="Times New Roman" w:cs="Times New Roman"/>
                <w:sz w:val="20"/>
                <w:szCs w:val="20"/>
              </w:rPr>
              <w:t xml:space="preserve"> </w:t>
            </w:r>
            <w:hyperlink r:id="rId703" w:history="1">
              <w:r w:rsidRPr="00204DF8">
                <w:rPr>
                  <w:rStyle w:val="Hyperlink"/>
                  <w:rFonts w:ascii="Times New Roman" w:eastAsia="Times New Roman" w:hAnsi="Times New Roman" w:cs="Times New Roman"/>
                  <w:iCs/>
                  <w:sz w:val="20"/>
                  <w:szCs w:val="20"/>
                  <w:lang w:eastAsia="en-ZA"/>
                </w:rPr>
                <w:t>https://doi.org/10.3391/ai.2010.5.4.10</w:t>
              </w:r>
            </w:hyperlink>
          </w:p>
          <w:p w14:paraId="7E766978" w14:textId="77777777" w:rsidR="002D7080" w:rsidRPr="00FA4908" w:rsidRDefault="002D7080" w:rsidP="00C52CC6">
            <w:pPr>
              <w:ind w:left="510" w:hanging="510"/>
              <w:contextualSpacing/>
              <w:jc w:val="both"/>
              <w:rPr>
                <w:rFonts w:ascii="Times New Roman" w:hAnsi="Times New Roman" w:cs="Times New Roman"/>
                <w:sz w:val="20"/>
                <w:szCs w:val="20"/>
              </w:rPr>
            </w:pPr>
            <w:r w:rsidRPr="00FA4908">
              <w:rPr>
                <w:rFonts w:ascii="Times New Roman" w:hAnsi="Times New Roman" w:cs="Times New Roman"/>
                <w:sz w:val="20"/>
                <w:szCs w:val="20"/>
              </w:rPr>
              <w:t>Jones</w:t>
            </w:r>
            <w:r>
              <w:rPr>
                <w:rFonts w:ascii="Times New Roman" w:hAnsi="Times New Roman" w:cs="Times New Roman"/>
                <w:sz w:val="20"/>
                <w:szCs w:val="20"/>
              </w:rPr>
              <w:t>,</w:t>
            </w:r>
            <w:r w:rsidRPr="00FA4908">
              <w:rPr>
                <w:rFonts w:ascii="Times New Roman" w:hAnsi="Times New Roman" w:cs="Times New Roman"/>
                <w:sz w:val="20"/>
                <w:szCs w:val="20"/>
              </w:rPr>
              <w:t xml:space="preserve"> J</w:t>
            </w:r>
            <w:r>
              <w:rPr>
                <w:rFonts w:ascii="Times New Roman" w:hAnsi="Times New Roman" w:cs="Times New Roman"/>
                <w:sz w:val="20"/>
                <w:szCs w:val="20"/>
              </w:rPr>
              <w:t>.</w:t>
            </w:r>
            <w:r w:rsidRPr="00FA4908">
              <w:rPr>
                <w:rFonts w:ascii="Times New Roman" w:hAnsi="Times New Roman" w:cs="Times New Roman"/>
                <w:sz w:val="20"/>
                <w:szCs w:val="20"/>
              </w:rPr>
              <w:t>P</w:t>
            </w:r>
            <w:r>
              <w:rPr>
                <w:rFonts w:ascii="Times New Roman" w:hAnsi="Times New Roman" w:cs="Times New Roman"/>
                <w:sz w:val="20"/>
                <w:szCs w:val="20"/>
              </w:rPr>
              <w:t>.</w:t>
            </w:r>
            <w:r w:rsidRPr="00FA4908">
              <w:rPr>
                <w:rFonts w:ascii="Times New Roman" w:hAnsi="Times New Roman" w:cs="Times New Roman"/>
                <w:sz w:val="20"/>
                <w:szCs w:val="20"/>
              </w:rPr>
              <w:t>G</w:t>
            </w:r>
            <w:r>
              <w:rPr>
                <w:rFonts w:ascii="Times New Roman" w:hAnsi="Times New Roman" w:cs="Times New Roman"/>
                <w:sz w:val="20"/>
                <w:szCs w:val="20"/>
              </w:rPr>
              <w:t>.</w:t>
            </w:r>
            <w:r w:rsidRPr="00FA4908">
              <w:rPr>
                <w:rFonts w:ascii="Times New Roman" w:hAnsi="Times New Roman" w:cs="Times New Roman"/>
                <w:sz w:val="20"/>
                <w:szCs w:val="20"/>
              </w:rPr>
              <w:t>, Rasamy</w:t>
            </w:r>
            <w:r>
              <w:rPr>
                <w:rFonts w:ascii="Times New Roman" w:hAnsi="Times New Roman" w:cs="Times New Roman"/>
                <w:sz w:val="20"/>
                <w:szCs w:val="20"/>
              </w:rPr>
              <w:t>,</w:t>
            </w:r>
            <w:r w:rsidRPr="00FA4908">
              <w:rPr>
                <w:rFonts w:ascii="Times New Roman" w:hAnsi="Times New Roman" w:cs="Times New Roman"/>
                <w:sz w:val="20"/>
                <w:szCs w:val="20"/>
              </w:rPr>
              <w:t xml:space="preserve"> JR, Harvey A, Toon A, Oidtmann B, Randrianarison MH, Raminosoa N</w:t>
            </w:r>
            <w:r>
              <w:rPr>
                <w:rFonts w:ascii="Times New Roman" w:hAnsi="Times New Roman" w:cs="Times New Roman"/>
                <w:sz w:val="20"/>
                <w:szCs w:val="20"/>
              </w:rPr>
              <w:t xml:space="preserve">. &amp; </w:t>
            </w:r>
            <w:r w:rsidRPr="00FA4908">
              <w:rPr>
                <w:rFonts w:ascii="Times New Roman" w:hAnsi="Times New Roman" w:cs="Times New Roman"/>
                <w:sz w:val="20"/>
                <w:szCs w:val="20"/>
              </w:rPr>
              <w:t>Ravoahangimalala</w:t>
            </w:r>
            <w:r>
              <w:rPr>
                <w:rFonts w:ascii="Times New Roman" w:hAnsi="Times New Roman" w:cs="Times New Roman"/>
                <w:sz w:val="20"/>
                <w:szCs w:val="20"/>
              </w:rPr>
              <w:t>,</w:t>
            </w:r>
            <w:r w:rsidRPr="00FA4908">
              <w:rPr>
                <w:rFonts w:ascii="Times New Roman" w:hAnsi="Times New Roman" w:cs="Times New Roman"/>
                <w:sz w:val="20"/>
                <w:szCs w:val="20"/>
              </w:rPr>
              <w:t xml:space="preserve"> O</w:t>
            </w:r>
            <w:r>
              <w:rPr>
                <w:rFonts w:ascii="Times New Roman" w:hAnsi="Times New Roman" w:cs="Times New Roman"/>
                <w:sz w:val="20"/>
                <w:szCs w:val="20"/>
              </w:rPr>
              <w:t>.</w:t>
            </w:r>
            <w:r w:rsidRPr="00FA4908">
              <w:rPr>
                <w:rFonts w:ascii="Times New Roman" w:hAnsi="Times New Roman" w:cs="Times New Roman"/>
                <w:sz w:val="20"/>
                <w:szCs w:val="20"/>
              </w:rPr>
              <w:t>R</w:t>
            </w:r>
            <w:r>
              <w:rPr>
                <w:rFonts w:ascii="Times New Roman" w:hAnsi="Times New Roman" w:cs="Times New Roman"/>
                <w:sz w:val="20"/>
                <w:szCs w:val="20"/>
              </w:rPr>
              <w:t>.</w:t>
            </w:r>
            <w:r w:rsidRPr="00FA4908">
              <w:rPr>
                <w:rFonts w:ascii="Times New Roman" w:hAnsi="Times New Roman" w:cs="Times New Roman"/>
                <w:sz w:val="20"/>
                <w:szCs w:val="20"/>
              </w:rPr>
              <w:t xml:space="preserve"> 2009</w:t>
            </w:r>
            <w:r>
              <w:rPr>
                <w:rFonts w:ascii="Times New Roman" w:hAnsi="Times New Roman" w:cs="Times New Roman"/>
                <w:sz w:val="20"/>
                <w:szCs w:val="20"/>
              </w:rPr>
              <w:t>, ‘</w:t>
            </w:r>
            <w:r w:rsidRPr="00FA4908">
              <w:rPr>
                <w:rFonts w:ascii="Times New Roman" w:hAnsi="Times New Roman" w:cs="Times New Roman"/>
                <w:sz w:val="20"/>
                <w:szCs w:val="20"/>
              </w:rPr>
              <w:t>The perfect invader: a parthenogenic crayfish poses a new threat to Madagascar's freshwater biodiversity</w:t>
            </w:r>
            <w:r>
              <w:rPr>
                <w:rFonts w:ascii="Times New Roman" w:hAnsi="Times New Roman" w:cs="Times New Roman"/>
                <w:sz w:val="20"/>
                <w:szCs w:val="20"/>
              </w:rPr>
              <w:t>’,</w:t>
            </w:r>
            <w:r w:rsidRPr="009F481C">
              <w:rPr>
                <w:rFonts w:ascii="Times New Roman" w:hAnsi="Times New Roman" w:cs="Times New Roman"/>
                <w:i/>
                <w:iCs/>
                <w:sz w:val="20"/>
                <w:szCs w:val="20"/>
              </w:rPr>
              <w:t xml:space="preserve"> Biological Invasions</w:t>
            </w:r>
            <w:r w:rsidRPr="00FA4908">
              <w:rPr>
                <w:rFonts w:ascii="Times New Roman" w:hAnsi="Times New Roman" w:cs="Times New Roman"/>
                <w:sz w:val="20"/>
                <w:szCs w:val="20"/>
              </w:rPr>
              <w:t>, 11(6)</w:t>
            </w:r>
            <w:r>
              <w:rPr>
                <w:rFonts w:ascii="Times New Roman" w:hAnsi="Times New Roman" w:cs="Times New Roman"/>
                <w:sz w:val="20"/>
                <w:szCs w:val="20"/>
              </w:rPr>
              <w:t xml:space="preserve">, </w:t>
            </w:r>
            <w:r w:rsidRPr="00FA4908">
              <w:rPr>
                <w:rFonts w:ascii="Times New Roman" w:hAnsi="Times New Roman" w:cs="Times New Roman"/>
                <w:sz w:val="20"/>
                <w:szCs w:val="20"/>
              </w:rPr>
              <w:t>1475-1482.</w:t>
            </w:r>
            <w:r>
              <w:t xml:space="preserve"> </w:t>
            </w:r>
            <w:hyperlink r:id="rId704" w:history="1">
              <w:r w:rsidRPr="00762F6F">
                <w:rPr>
                  <w:rStyle w:val="Hyperlink"/>
                  <w:rFonts w:ascii="Times New Roman" w:hAnsi="Times New Roman" w:cs="Times New Roman"/>
                  <w:sz w:val="20"/>
                  <w:szCs w:val="20"/>
                  <w:shd w:val="clear" w:color="auto" w:fill="FFFFFF"/>
                </w:rPr>
                <w:t>https://doi.org/10.1007/s10530-008-9334-y</w:t>
              </w:r>
            </w:hyperlink>
            <w:r>
              <w:rPr>
                <w:rFonts w:ascii="Times New Roman" w:hAnsi="Times New Roman" w:cs="Times New Roman"/>
                <w:sz w:val="20"/>
                <w:szCs w:val="20"/>
                <w:shd w:val="clear" w:color="auto" w:fill="FFFFFF"/>
              </w:rPr>
              <w:t xml:space="preserve"> </w:t>
            </w:r>
            <w:r w:rsidRPr="008F2177">
              <w:rPr>
                <w:rFonts w:ascii="Times New Roman" w:hAnsi="Times New Roman" w:cs="Times New Roman"/>
                <w:sz w:val="20"/>
                <w:szCs w:val="20"/>
                <w:shd w:val="clear" w:color="auto" w:fill="FFFFFF"/>
              </w:rPr>
              <w:t xml:space="preserve"> </w:t>
            </w:r>
            <w:r>
              <w:rPr>
                <w:rFonts w:ascii="Times New Roman" w:hAnsi="Times New Roman" w:cs="Times New Roman"/>
                <w:sz w:val="20"/>
                <w:szCs w:val="20"/>
                <w:shd w:val="clear" w:color="auto" w:fill="FFFFFF"/>
              </w:rPr>
              <w:t xml:space="preserve"> </w:t>
            </w:r>
          </w:p>
          <w:p w14:paraId="1FB90D51" w14:textId="77777777" w:rsidR="002D7080" w:rsidRPr="00FA4908" w:rsidRDefault="002D7080" w:rsidP="00C52CC6">
            <w:pPr>
              <w:ind w:left="510" w:hanging="510"/>
              <w:contextualSpacing/>
              <w:jc w:val="both"/>
              <w:rPr>
                <w:rFonts w:ascii="Times New Roman" w:hAnsi="Times New Roman" w:cs="Times New Roman"/>
                <w:sz w:val="20"/>
                <w:szCs w:val="20"/>
              </w:rPr>
            </w:pPr>
            <w:r w:rsidRPr="00FA4908">
              <w:rPr>
                <w:rFonts w:ascii="Times New Roman" w:hAnsi="Times New Roman" w:cs="Times New Roman"/>
                <w:sz w:val="20"/>
                <w:szCs w:val="20"/>
              </w:rPr>
              <w:t>Martin</w:t>
            </w:r>
            <w:r>
              <w:rPr>
                <w:rFonts w:ascii="Times New Roman" w:hAnsi="Times New Roman" w:cs="Times New Roman"/>
                <w:sz w:val="20"/>
                <w:szCs w:val="20"/>
              </w:rPr>
              <w:t xml:space="preserve">, </w:t>
            </w:r>
            <w:r w:rsidRPr="00FA4908">
              <w:rPr>
                <w:rFonts w:ascii="Times New Roman" w:hAnsi="Times New Roman" w:cs="Times New Roman"/>
                <w:sz w:val="20"/>
                <w:szCs w:val="20"/>
              </w:rPr>
              <w:t>P</w:t>
            </w:r>
            <w:r>
              <w:rPr>
                <w:rFonts w:ascii="Times New Roman" w:hAnsi="Times New Roman" w:cs="Times New Roman"/>
                <w:sz w:val="20"/>
                <w:szCs w:val="20"/>
              </w:rPr>
              <w:t>.</w:t>
            </w:r>
            <w:r w:rsidRPr="00FA4908">
              <w:rPr>
                <w:rFonts w:ascii="Times New Roman" w:hAnsi="Times New Roman" w:cs="Times New Roman"/>
                <w:sz w:val="20"/>
                <w:szCs w:val="20"/>
              </w:rPr>
              <w:t>, Kohlmann</w:t>
            </w:r>
            <w:r>
              <w:rPr>
                <w:rFonts w:ascii="Times New Roman" w:hAnsi="Times New Roman" w:cs="Times New Roman"/>
                <w:sz w:val="20"/>
                <w:szCs w:val="20"/>
              </w:rPr>
              <w:t>,</w:t>
            </w:r>
            <w:r w:rsidRPr="00FA4908">
              <w:rPr>
                <w:rFonts w:ascii="Times New Roman" w:hAnsi="Times New Roman" w:cs="Times New Roman"/>
                <w:sz w:val="20"/>
                <w:szCs w:val="20"/>
              </w:rPr>
              <w:t xml:space="preserve"> K</w:t>
            </w:r>
            <w:r>
              <w:rPr>
                <w:rFonts w:ascii="Times New Roman" w:hAnsi="Times New Roman" w:cs="Times New Roman"/>
                <w:sz w:val="20"/>
                <w:szCs w:val="20"/>
              </w:rPr>
              <w:t xml:space="preserve">. &amp; </w:t>
            </w:r>
            <w:r w:rsidRPr="00FA4908">
              <w:rPr>
                <w:rFonts w:ascii="Times New Roman" w:hAnsi="Times New Roman" w:cs="Times New Roman"/>
                <w:sz w:val="20"/>
                <w:szCs w:val="20"/>
              </w:rPr>
              <w:t>Scholtz</w:t>
            </w:r>
            <w:r>
              <w:rPr>
                <w:rFonts w:ascii="Times New Roman" w:hAnsi="Times New Roman" w:cs="Times New Roman"/>
                <w:sz w:val="20"/>
                <w:szCs w:val="20"/>
              </w:rPr>
              <w:t>,</w:t>
            </w:r>
            <w:r w:rsidRPr="00FA4908">
              <w:rPr>
                <w:rFonts w:ascii="Times New Roman" w:hAnsi="Times New Roman" w:cs="Times New Roman"/>
                <w:sz w:val="20"/>
                <w:szCs w:val="20"/>
              </w:rPr>
              <w:t xml:space="preserve"> G</w:t>
            </w:r>
            <w:r>
              <w:rPr>
                <w:rFonts w:ascii="Times New Roman" w:hAnsi="Times New Roman" w:cs="Times New Roman"/>
                <w:sz w:val="20"/>
                <w:szCs w:val="20"/>
              </w:rPr>
              <w:t>.</w:t>
            </w:r>
            <w:r w:rsidRPr="00FA4908">
              <w:rPr>
                <w:rFonts w:ascii="Times New Roman" w:hAnsi="Times New Roman" w:cs="Times New Roman"/>
                <w:sz w:val="20"/>
                <w:szCs w:val="20"/>
              </w:rPr>
              <w:t xml:space="preserve"> 2007</w:t>
            </w:r>
            <w:r>
              <w:rPr>
                <w:rFonts w:ascii="Times New Roman" w:hAnsi="Times New Roman" w:cs="Times New Roman"/>
                <w:sz w:val="20"/>
                <w:szCs w:val="20"/>
              </w:rPr>
              <w:t>, ‘</w:t>
            </w:r>
            <w:r w:rsidRPr="00FA4908">
              <w:rPr>
                <w:rFonts w:ascii="Times New Roman" w:hAnsi="Times New Roman" w:cs="Times New Roman"/>
                <w:sz w:val="20"/>
                <w:szCs w:val="20"/>
              </w:rPr>
              <w:t xml:space="preserve">The parthenogenetic Marmorkrebs (marbled crayfish) produces genetically uniform offspring. </w:t>
            </w:r>
            <w:r w:rsidRPr="005A78A4">
              <w:rPr>
                <w:rFonts w:ascii="Times New Roman" w:hAnsi="Times New Roman" w:cs="Times New Roman"/>
                <w:i/>
                <w:iCs/>
                <w:sz w:val="20"/>
                <w:szCs w:val="20"/>
              </w:rPr>
              <w:t>Naturwissenschaften</w:t>
            </w:r>
            <w:r w:rsidRPr="005A78A4">
              <w:rPr>
                <w:rFonts w:ascii="Times New Roman" w:hAnsi="Times New Roman" w:cs="Times New Roman"/>
                <w:sz w:val="20"/>
                <w:szCs w:val="20"/>
              </w:rPr>
              <w:t>,</w:t>
            </w:r>
            <w:r w:rsidRPr="00FA4908">
              <w:rPr>
                <w:rFonts w:ascii="Times New Roman" w:hAnsi="Times New Roman" w:cs="Times New Roman"/>
                <w:sz w:val="20"/>
                <w:szCs w:val="20"/>
              </w:rPr>
              <w:t xml:space="preserve"> 94(10)</w:t>
            </w:r>
            <w:r>
              <w:rPr>
                <w:rFonts w:ascii="Times New Roman" w:hAnsi="Times New Roman" w:cs="Times New Roman"/>
                <w:sz w:val="20"/>
                <w:szCs w:val="20"/>
              </w:rPr>
              <w:t xml:space="preserve">, </w:t>
            </w:r>
            <w:r w:rsidRPr="00FA4908">
              <w:rPr>
                <w:rFonts w:ascii="Times New Roman" w:hAnsi="Times New Roman" w:cs="Times New Roman"/>
                <w:sz w:val="20"/>
                <w:szCs w:val="20"/>
              </w:rPr>
              <w:t>843-846.</w:t>
            </w:r>
            <w:r>
              <w:rPr>
                <w:rFonts w:ascii="Times New Roman" w:hAnsi="Times New Roman" w:cs="Times New Roman"/>
                <w:sz w:val="20"/>
                <w:szCs w:val="20"/>
              </w:rPr>
              <w:t xml:space="preserve"> </w:t>
            </w:r>
            <w:hyperlink r:id="rId705" w:tgtFrame="_blank" w:history="1">
              <w:r w:rsidRPr="006212AC">
                <w:rPr>
                  <w:rStyle w:val="Hyperlink"/>
                  <w:rFonts w:ascii="Times New Roman" w:hAnsi="Times New Roman" w:cs="Times New Roman"/>
                  <w:sz w:val="20"/>
                  <w:szCs w:val="20"/>
                </w:rPr>
                <w:t>https://doi.org/10.1007/s00114-007-0260-0</w:t>
              </w:r>
            </w:hyperlink>
          </w:p>
          <w:p w14:paraId="1940A57C" w14:textId="77777777" w:rsidR="002D7080" w:rsidRPr="00FA4908" w:rsidRDefault="002D7080" w:rsidP="00C52CC6">
            <w:pPr>
              <w:ind w:left="510" w:hanging="510"/>
              <w:contextualSpacing/>
              <w:jc w:val="both"/>
              <w:rPr>
                <w:rFonts w:ascii="Times New Roman" w:hAnsi="Times New Roman" w:cs="Times New Roman"/>
                <w:sz w:val="20"/>
                <w:szCs w:val="20"/>
              </w:rPr>
            </w:pPr>
            <w:r w:rsidRPr="00FA4908">
              <w:rPr>
                <w:rFonts w:ascii="Times New Roman" w:hAnsi="Times New Roman" w:cs="Times New Roman"/>
                <w:sz w:val="20"/>
                <w:szCs w:val="20"/>
              </w:rPr>
              <w:t>Scholtz</w:t>
            </w:r>
            <w:r>
              <w:rPr>
                <w:rFonts w:ascii="Times New Roman" w:hAnsi="Times New Roman" w:cs="Times New Roman"/>
                <w:sz w:val="20"/>
                <w:szCs w:val="20"/>
              </w:rPr>
              <w:t>,</w:t>
            </w:r>
            <w:r w:rsidRPr="00FA4908">
              <w:rPr>
                <w:rFonts w:ascii="Times New Roman" w:hAnsi="Times New Roman" w:cs="Times New Roman"/>
                <w:sz w:val="20"/>
                <w:szCs w:val="20"/>
              </w:rPr>
              <w:t xml:space="preserve"> G</w:t>
            </w:r>
            <w:r>
              <w:rPr>
                <w:rFonts w:ascii="Times New Roman" w:hAnsi="Times New Roman" w:cs="Times New Roman"/>
                <w:sz w:val="20"/>
                <w:szCs w:val="20"/>
              </w:rPr>
              <w:t>.</w:t>
            </w:r>
            <w:r w:rsidRPr="00FA4908">
              <w:rPr>
                <w:rFonts w:ascii="Times New Roman" w:hAnsi="Times New Roman" w:cs="Times New Roman"/>
                <w:sz w:val="20"/>
                <w:szCs w:val="20"/>
              </w:rPr>
              <w:t>, Braband</w:t>
            </w:r>
            <w:r>
              <w:rPr>
                <w:rFonts w:ascii="Times New Roman" w:hAnsi="Times New Roman" w:cs="Times New Roman"/>
                <w:sz w:val="20"/>
                <w:szCs w:val="20"/>
              </w:rPr>
              <w:t>,</w:t>
            </w:r>
            <w:r w:rsidRPr="00FA4908">
              <w:rPr>
                <w:rFonts w:ascii="Times New Roman" w:hAnsi="Times New Roman" w:cs="Times New Roman"/>
                <w:sz w:val="20"/>
                <w:szCs w:val="20"/>
              </w:rPr>
              <w:t xml:space="preserve"> A</w:t>
            </w:r>
            <w:r>
              <w:rPr>
                <w:rFonts w:ascii="Times New Roman" w:hAnsi="Times New Roman" w:cs="Times New Roman"/>
                <w:sz w:val="20"/>
                <w:szCs w:val="20"/>
              </w:rPr>
              <w:t>.</w:t>
            </w:r>
            <w:r w:rsidRPr="00FA4908">
              <w:rPr>
                <w:rFonts w:ascii="Times New Roman" w:hAnsi="Times New Roman" w:cs="Times New Roman"/>
                <w:sz w:val="20"/>
                <w:szCs w:val="20"/>
              </w:rPr>
              <w:t>, Tolley</w:t>
            </w:r>
            <w:r>
              <w:rPr>
                <w:rFonts w:ascii="Times New Roman" w:hAnsi="Times New Roman" w:cs="Times New Roman"/>
                <w:sz w:val="20"/>
                <w:szCs w:val="20"/>
              </w:rPr>
              <w:t>,</w:t>
            </w:r>
            <w:r w:rsidRPr="00FA4908">
              <w:rPr>
                <w:rFonts w:ascii="Times New Roman" w:hAnsi="Times New Roman" w:cs="Times New Roman"/>
                <w:sz w:val="20"/>
                <w:szCs w:val="20"/>
              </w:rPr>
              <w:t xml:space="preserve"> L</w:t>
            </w:r>
            <w:r>
              <w:rPr>
                <w:rFonts w:ascii="Times New Roman" w:hAnsi="Times New Roman" w:cs="Times New Roman"/>
                <w:sz w:val="20"/>
                <w:szCs w:val="20"/>
              </w:rPr>
              <w:t>.</w:t>
            </w:r>
            <w:r w:rsidRPr="00FA4908">
              <w:rPr>
                <w:rFonts w:ascii="Times New Roman" w:hAnsi="Times New Roman" w:cs="Times New Roman"/>
                <w:sz w:val="20"/>
                <w:szCs w:val="20"/>
              </w:rPr>
              <w:t>, Reimann</w:t>
            </w:r>
            <w:r>
              <w:rPr>
                <w:rFonts w:ascii="Times New Roman" w:hAnsi="Times New Roman" w:cs="Times New Roman"/>
                <w:sz w:val="20"/>
                <w:szCs w:val="20"/>
              </w:rPr>
              <w:t>,</w:t>
            </w:r>
            <w:r w:rsidRPr="00FA4908">
              <w:rPr>
                <w:rFonts w:ascii="Times New Roman" w:hAnsi="Times New Roman" w:cs="Times New Roman"/>
                <w:sz w:val="20"/>
                <w:szCs w:val="20"/>
              </w:rPr>
              <w:t xml:space="preserve"> A</w:t>
            </w:r>
            <w:r>
              <w:rPr>
                <w:rFonts w:ascii="Times New Roman" w:hAnsi="Times New Roman" w:cs="Times New Roman"/>
                <w:sz w:val="20"/>
                <w:szCs w:val="20"/>
              </w:rPr>
              <w:t>.</w:t>
            </w:r>
            <w:r w:rsidRPr="00FA4908">
              <w:rPr>
                <w:rFonts w:ascii="Times New Roman" w:hAnsi="Times New Roman" w:cs="Times New Roman"/>
                <w:sz w:val="20"/>
                <w:szCs w:val="20"/>
              </w:rPr>
              <w:t>, Mittmann</w:t>
            </w:r>
            <w:r>
              <w:rPr>
                <w:rFonts w:ascii="Times New Roman" w:hAnsi="Times New Roman" w:cs="Times New Roman"/>
                <w:sz w:val="20"/>
                <w:szCs w:val="20"/>
              </w:rPr>
              <w:t>,</w:t>
            </w:r>
            <w:r w:rsidRPr="00FA4908">
              <w:rPr>
                <w:rFonts w:ascii="Times New Roman" w:hAnsi="Times New Roman" w:cs="Times New Roman"/>
                <w:sz w:val="20"/>
                <w:szCs w:val="20"/>
              </w:rPr>
              <w:t xml:space="preserve"> B</w:t>
            </w:r>
            <w:r>
              <w:rPr>
                <w:rFonts w:ascii="Times New Roman" w:hAnsi="Times New Roman" w:cs="Times New Roman"/>
                <w:sz w:val="20"/>
                <w:szCs w:val="20"/>
              </w:rPr>
              <w:t>.</w:t>
            </w:r>
            <w:r w:rsidRPr="00FA4908">
              <w:rPr>
                <w:rFonts w:ascii="Times New Roman" w:hAnsi="Times New Roman" w:cs="Times New Roman"/>
                <w:sz w:val="20"/>
                <w:szCs w:val="20"/>
              </w:rPr>
              <w:t>, Lukhaup</w:t>
            </w:r>
            <w:r>
              <w:rPr>
                <w:rFonts w:ascii="Times New Roman" w:hAnsi="Times New Roman" w:cs="Times New Roman"/>
                <w:sz w:val="20"/>
                <w:szCs w:val="20"/>
              </w:rPr>
              <w:t>,</w:t>
            </w:r>
            <w:r w:rsidRPr="00FA4908">
              <w:rPr>
                <w:rFonts w:ascii="Times New Roman" w:hAnsi="Times New Roman" w:cs="Times New Roman"/>
                <w:sz w:val="20"/>
                <w:szCs w:val="20"/>
              </w:rPr>
              <w:t xml:space="preserve"> C</w:t>
            </w:r>
            <w:r>
              <w:rPr>
                <w:rFonts w:ascii="Times New Roman" w:hAnsi="Times New Roman" w:cs="Times New Roman"/>
                <w:sz w:val="20"/>
                <w:szCs w:val="20"/>
              </w:rPr>
              <w:t>.</w:t>
            </w:r>
            <w:r w:rsidRPr="00FA4908">
              <w:rPr>
                <w:rFonts w:ascii="Times New Roman" w:hAnsi="Times New Roman" w:cs="Times New Roman"/>
                <w:sz w:val="20"/>
                <w:szCs w:val="20"/>
              </w:rPr>
              <w:t>, Steuerwald</w:t>
            </w:r>
            <w:r>
              <w:rPr>
                <w:rFonts w:ascii="Times New Roman" w:hAnsi="Times New Roman" w:cs="Times New Roman"/>
                <w:sz w:val="20"/>
                <w:szCs w:val="20"/>
              </w:rPr>
              <w:t>,</w:t>
            </w:r>
            <w:r w:rsidRPr="00FA4908">
              <w:rPr>
                <w:rFonts w:ascii="Times New Roman" w:hAnsi="Times New Roman" w:cs="Times New Roman"/>
                <w:sz w:val="20"/>
                <w:szCs w:val="20"/>
              </w:rPr>
              <w:t xml:space="preserve"> F</w:t>
            </w:r>
            <w:r>
              <w:rPr>
                <w:rFonts w:ascii="Times New Roman" w:hAnsi="Times New Roman" w:cs="Times New Roman"/>
                <w:sz w:val="20"/>
                <w:szCs w:val="20"/>
              </w:rPr>
              <w:t xml:space="preserve">. &amp; </w:t>
            </w:r>
            <w:r w:rsidRPr="00FA4908">
              <w:rPr>
                <w:rFonts w:ascii="Times New Roman" w:hAnsi="Times New Roman" w:cs="Times New Roman"/>
                <w:sz w:val="20"/>
                <w:szCs w:val="20"/>
              </w:rPr>
              <w:t>Vogt</w:t>
            </w:r>
            <w:r>
              <w:rPr>
                <w:rFonts w:ascii="Times New Roman" w:hAnsi="Times New Roman" w:cs="Times New Roman"/>
                <w:sz w:val="20"/>
                <w:szCs w:val="20"/>
              </w:rPr>
              <w:t>,</w:t>
            </w:r>
            <w:r w:rsidRPr="00FA4908">
              <w:rPr>
                <w:rFonts w:ascii="Times New Roman" w:hAnsi="Times New Roman" w:cs="Times New Roman"/>
                <w:sz w:val="20"/>
                <w:szCs w:val="20"/>
              </w:rPr>
              <w:t xml:space="preserve"> G</w:t>
            </w:r>
            <w:r>
              <w:rPr>
                <w:rFonts w:ascii="Times New Roman" w:hAnsi="Times New Roman" w:cs="Times New Roman"/>
                <w:sz w:val="20"/>
                <w:szCs w:val="20"/>
              </w:rPr>
              <w:t xml:space="preserve">. </w:t>
            </w:r>
            <w:r w:rsidRPr="00FA4908">
              <w:rPr>
                <w:rFonts w:ascii="Times New Roman" w:hAnsi="Times New Roman" w:cs="Times New Roman"/>
                <w:sz w:val="20"/>
                <w:szCs w:val="20"/>
              </w:rPr>
              <w:t>2003</w:t>
            </w:r>
            <w:r>
              <w:rPr>
                <w:rFonts w:ascii="Times New Roman" w:hAnsi="Times New Roman" w:cs="Times New Roman"/>
                <w:sz w:val="20"/>
                <w:szCs w:val="20"/>
              </w:rPr>
              <w:t>, ‘</w:t>
            </w:r>
            <w:r w:rsidRPr="00FA4908">
              <w:rPr>
                <w:rFonts w:ascii="Times New Roman" w:hAnsi="Times New Roman" w:cs="Times New Roman"/>
                <w:sz w:val="20"/>
                <w:szCs w:val="20"/>
              </w:rPr>
              <w:t>Parthenogenesis in an outsider crayfish</w:t>
            </w:r>
            <w:r>
              <w:rPr>
                <w:rFonts w:ascii="Times New Roman" w:hAnsi="Times New Roman" w:cs="Times New Roman"/>
                <w:sz w:val="20"/>
                <w:szCs w:val="20"/>
              </w:rPr>
              <w:t xml:space="preserve">’, </w:t>
            </w:r>
            <w:r w:rsidRPr="002B69BA">
              <w:rPr>
                <w:rFonts w:ascii="Times New Roman" w:hAnsi="Times New Roman" w:cs="Times New Roman"/>
                <w:i/>
                <w:iCs/>
                <w:sz w:val="20"/>
                <w:szCs w:val="20"/>
              </w:rPr>
              <w:t>Nature</w:t>
            </w:r>
            <w:r w:rsidRPr="002B69BA">
              <w:rPr>
                <w:rFonts w:ascii="Times New Roman" w:hAnsi="Times New Roman" w:cs="Times New Roman"/>
                <w:sz w:val="20"/>
                <w:szCs w:val="20"/>
              </w:rPr>
              <w:t>,</w:t>
            </w:r>
            <w:r>
              <w:rPr>
                <w:rFonts w:ascii="Times New Roman" w:hAnsi="Times New Roman" w:cs="Times New Roman"/>
                <w:sz w:val="20"/>
                <w:szCs w:val="20"/>
              </w:rPr>
              <w:t xml:space="preserve"> </w:t>
            </w:r>
            <w:r w:rsidRPr="00FA4908">
              <w:rPr>
                <w:rFonts w:ascii="Times New Roman" w:hAnsi="Times New Roman" w:cs="Times New Roman"/>
                <w:sz w:val="20"/>
                <w:szCs w:val="20"/>
              </w:rPr>
              <w:t>421(6925)</w:t>
            </w:r>
            <w:r>
              <w:rPr>
                <w:rFonts w:ascii="Times New Roman" w:hAnsi="Times New Roman" w:cs="Times New Roman"/>
                <w:sz w:val="20"/>
                <w:szCs w:val="20"/>
              </w:rPr>
              <w:t xml:space="preserve">, </w:t>
            </w:r>
            <w:r w:rsidRPr="00FA4908">
              <w:rPr>
                <w:rFonts w:ascii="Times New Roman" w:hAnsi="Times New Roman" w:cs="Times New Roman"/>
                <w:sz w:val="20"/>
                <w:szCs w:val="20"/>
              </w:rPr>
              <w:t>806-806.</w:t>
            </w:r>
            <w:r>
              <w:rPr>
                <w:rFonts w:ascii="Times New Roman" w:hAnsi="Times New Roman" w:cs="Times New Roman"/>
                <w:sz w:val="20"/>
                <w:szCs w:val="20"/>
              </w:rPr>
              <w:t xml:space="preserve"> </w:t>
            </w:r>
            <w:hyperlink r:id="rId706" w:tgtFrame="_blank" w:history="1">
              <w:r w:rsidRPr="00C24444">
                <w:rPr>
                  <w:rStyle w:val="Hyperlink"/>
                  <w:rFonts w:ascii="Times New Roman" w:hAnsi="Times New Roman" w:cs="Times New Roman"/>
                  <w:sz w:val="20"/>
                  <w:szCs w:val="20"/>
                </w:rPr>
                <w:t>https://doi.org/10.1038/421806a</w:t>
              </w:r>
            </w:hyperlink>
          </w:p>
          <w:p w14:paraId="60193D58" w14:textId="77777777" w:rsidR="002D7080" w:rsidRPr="00C4037B" w:rsidRDefault="002D7080" w:rsidP="00C52CC6">
            <w:pPr>
              <w:ind w:left="510" w:hanging="510"/>
              <w:contextualSpacing/>
              <w:jc w:val="both"/>
              <w:rPr>
                <w:rFonts w:ascii="Times New Roman" w:eastAsia="Times New Roman" w:hAnsi="Times New Roman" w:cs="Times New Roman"/>
                <w:sz w:val="20"/>
                <w:szCs w:val="20"/>
                <w:lang w:eastAsia="en-ZA"/>
              </w:rPr>
            </w:pPr>
            <w:r w:rsidRPr="00FA4908">
              <w:rPr>
                <w:rFonts w:ascii="Times New Roman" w:hAnsi="Times New Roman" w:cs="Times New Roman"/>
                <w:sz w:val="20"/>
                <w:szCs w:val="20"/>
              </w:rPr>
              <w:t>Seitz</w:t>
            </w:r>
            <w:r>
              <w:rPr>
                <w:rFonts w:ascii="Times New Roman" w:hAnsi="Times New Roman" w:cs="Times New Roman"/>
                <w:sz w:val="20"/>
                <w:szCs w:val="20"/>
              </w:rPr>
              <w:t>,</w:t>
            </w:r>
            <w:r w:rsidRPr="00FA4908">
              <w:rPr>
                <w:rFonts w:ascii="Times New Roman" w:hAnsi="Times New Roman" w:cs="Times New Roman"/>
                <w:sz w:val="20"/>
                <w:szCs w:val="20"/>
              </w:rPr>
              <w:t xml:space="preserve"> R</w:t>
            </w:r>
            <w:r>
              <w:rPr>
                <w:rFonts w:ascii="Times New Roman" w:hAnsi="Times New Roman" w:cs="Times New Roman"/>
                <w:sz w:val="20"/>
                <w:szCs w:val="20"/>
              </w:rPr>
              <w:t>.</w:t>
            </w:r>
            <w:r w:rsidRPr="00FA4908">
              <w:rPr>
                <w:rFonts w:ascii="Times New Roman" w:hAnsi="Times New Roman" w:cs="Times New Roman"/>
                <w:sz w:val="20"/>
                <w:szCs w:val="20"/>
              </w:rPr>
              <w:t>, Vilpoux</w:t>
            </w:r>
            <w:r>
              <w:rPr>
                <w:rFonts w:ascii="Times New Roman" w:hAnsi="Times New Roman" w:cs="Times New Roman"/>
                <w:sz w:val="20"/>
                <w:szCs w:val="20"/>
              </w:rPr>
              <w:t>,</w:t>
            </w:r>
            <w:r w:rsidRPr="00FA4908">
              <w:rPr>
                <w:rFonts w:ascii="Times New Roman" w:hAnsi="Times New Roman" w:cs="Times New Roman"/>
                <w:sz w:val="20"/>
                <w:szCs w:val="20"/>
              </w:rPr>
              <w:t xml:space="preserve"> K</w:t>
            </w:r>
            <w:r>
              <w:rPr>
                <w:rFonts w:ascii="Times New Roman" w:hAnsi="Times New Roman" w:cs="Times New Roman"/>
                <w:sz w:val="20"/>
                <w:szCs w:val="20"/>
              </w:rPr>
              <w:t xml:space="preserve">., </w:t>
            </w:r>
            <w:r w:rsidRPr="00FA4908">
              <w:rPr>
                <w:rFonts w:ascii="Times New Roman" w:hAnsi="Times New Roman" w:cs="Times New Roman"/>
                <w:sz w:val="20"/>
                <w:szCs w:val="20"/>
              </w:rPr>
              <w:t>Hopp</w:t>
            </w:r>
            <w:r>
              <w:rPr>
                <w:rFonts w:ascii="Times New Roman" w:hAnsi="Times New Roman" w:cs="Times New Roman"/>
                <w:sz w:val="20"/>
                <w:szCs w:val="20"/>
              </w:rPr>
              <w:t>,</w:t>
            </w:r>
            <w:r w:rsidRPr="00FA4908">
              <w:rPr>
                <w:rFonts w:ascii="Times New Roman" w:hAnsi="Times New Roman" w:cs="Times New Roman"/>
                <w:sz w:val="20"/>
                <w:szCs w:val="20"/>
              </w:rPr>
              <w:t xml:space="preserve"> U</w:t>
            </w:r>
            <w:r>
              <w:rPr>
                <w:rFonts w:ascii="Times New Roman" w:hAnsi="Times New Roman" w:cs="Times New Roman"/>
                <w:sz w:val="20"/>
                <w:szCs w:val="20"/>
              </w:rPr>
              <w:t>.</w:t>
            </w:r>
            <w:r w:rsidRPr="00FA4908">
              <w:rPr>
                <w:rFonts w:ascii="Times New Roman" w:hAnsi="Times New Roman" w:cs="Times New Roman"/>
                <w:sz w:val="20"/>
                <w:szCs w:val="20"/>
              </w:rPr>
              <w:t>, Harzsch</w:t>
            </w:r>
            <w:r>
              <w:rPr>
                <w:rFonts w:ascii="Times New Roman" w:hAnsi="Times New Roman" w:cs="Times New Roman"/>
                <w:sz w:val="20"/>
                <w:szCs w:val="20"/>
              </w:rPr>
              <w:t>,</w:t>
            </w:r>
            <w:r w:rsidRPr="00FA4908">
              <w:rPr>
                <w:rFonts w:ascii="Times New Roman" w:hAnsi="Times New Roman" w:cs="Times New Roman"/>
                <w:sz w:val="20"/>
                <w:szCs w:val="20"/>
              </w:rPr>
              <w:t xml:space="preserve"> S</w:t>
            </w:r>
            <w:r>
              <w:rPr>
                <w:rFonts w:ascii="Times New Roman" w:hAnsi="Times New Roman" w:cs="Times New Roman"/>
                <w:sz w:val="20"/>
                <w:szCs w:val="20"/>
              </w:rPr>
              <w:t xml:space="preserve">. &amp; </w:t>
            </w:r>
            <w:r w:rsidRPr="00FA4908">
              <w:rPr>
                <w:rFonts w:ascii="Times New Roman" w:hAnsi="Times New Roman" w:cs="Times New Roman"/>
                <w:sz w:val="20"/>
                <w:szCs w:val="20"/>
              </w:rPr>
              <w:t>Maier</w:t>
            </w:r>
            <w:r>
              <w:rPr>
                <w:rFonts w:ascii="Times New Roman" w:hAnsi="Times New Roman" w:cs="Times New Roman"/>
                <w:sz w:val="20"/>
                <w:szCs w:val="20"/>
              </w:rPr>
              <w:t>,</w:t>
            </w:r>
            <w:r w:rsidRPr="00FA4908">
              <w:rPr>
                <w:rFonts w:ascii="Times New Roman" w:hAnsi="Times New Roman" w:cs="Times New Roman"/>
                <w:sz w:val="20"/>
                <w:szCs w:val="20"/>
              </w:rPr>
              <w:t xml:space="preserve"> G</w:t>
            </w:r>
            <w:r>
              <w:rPr>
                <w:rFonts w:ascii="Times New Roman" w:hAnsi="Times New Roman" w:cs="Times New Roman"/>
                <w:sz w:val="20"/>
                <w:szCs w:val="20"/>
              </w:rPr>
              <w:t>.</w:t>
            </w:r>
            <w:r w:rsidRPr="00FA4908">
              <w:rPr>
                <w:rFonts w:ascii="Times New Roman" w:hAnsi="Times New Roman" w:cs="Times New Roman"/>
                <w:sz w:val="20"/>
                <w:szCs w:val="20"/>
              </w:rPr>
              <w:t xml:space="preserve"> 2005</w:t>
            </w:r>
            <w:r>
              <w:rPr>
                <w:rFonts w:ascii="Times New Roman" w:hAnsi="Times New Roman" w:cs="Times New Roman"/>
                <w:sz w:val="20"/>
                <w:szCs w:val="20"/>
              </w:rPr>
              <w:t>, ‘</w:t>
            </w:r>
            <w:r w:rsidRPr="00FA4908">
              <w:rPr>
                <w:rFonts w:ascii="Times New Roman" w:hAnsi="Times New Roman" w:cs="Times New Roman"/>
                <w:sz w:val="20"/>
                <w:szCs w:val="20"/>
              </w:rPr>
              <w:t>Ontogeny of the Marmorkrebs (marbled crayfish): a parthenogenetic crayfish with unknown origin and phylogenetic position</w:t>
            </w:r>
            <w:r>
              <w:rPr>
                <w:rFonts w:ascii="Times New Roman" w:hAnsi="Times New Roman" w:cs="Times New Roman"/>
                <w:sz w:val="20"/>
                <w:szCs w:val="20"/>
              </w:rPr>
              <w:t xml:space="preserve">’, </w:t>
            </w:r>
            <w:r w:rsidRPr="00D74965">
              <w:rPr>
                <w:rFonts w:ascii="Times New Roman" w:hAnsi="Times New Roman" w:cs="Times New Roman"/>
                <w:i/>
                <w:iCs/>
                <w:sz w:val="20"/>
                <w:szCs w:val="20"/>
              </w:rPr>
              <w:t>Journal of Experimental Zoology A</w:t>
            </w:r>
            <w:r w:rsidRPr="00FA4908">
              <w:rPr>
                <w:rFonts w:ascii="Times New Roman" w:hAnsi="Times New Roman" w:cs="Times New Roman"/>
                <w:sz w:val="20"/>
                <w:szCs w:val="20"/>
              </w:rPr>
              <w:t>, 303(5)</w:t>
            </w:r>
            <w:r>
              <w:rPr>
                <w:rFonts w:ascii="Times New Roman" w:hAnsi="Times New Roman" w:cs="Times New Roman"/>
                <w:sz w:val="20"/>
                <w:szCs w:val="20"/>
              </w:rPr>
              <w:t xml:space="preserve">, </w:t>
            </w:r>
            <w:r w:rsidRPr="00FA4908">
              <w:rPr>
                <w:rFonts w:ascii="Times New Roman" w:hAnsi="Times New Roman" w:cs="Times New Roman"/>
                <w:sz w:val="20"/>
                <w:szCs w:val="20"/>
              </w:rPr>
              <w:t>393-405.</w:t>
            </w:r>
            <w:r>
              <w:rPr>
                <w:rFonts w:ascii="Times New Roman" w:hAnsi="Times New Roman" w:cs="Times New Roman"/>
                <w:sz w:val="20"/>
                <w:szCs w:val="20"/>
              </w:rPr>
              <w:t xml:space="preserve"> </w:t>
            </w:r>
            <w:hyperlink r:id="rId707" w:tgtFrame="_blank" w:history="1">
              <w:r w:rsidRPr="00EC34C5">
                <w:rPr>
                  <w:rStyle w:val="Hyperlink"/>
                  <w:rFonts w:ascii="Times New Roman" w:hAnsi="Times New Roman" w:cs="Times New Roman"/>
                  <w:sz w:val="20"/>
                  <w:szCs w:val="20"/>
                  <w:shd w:val="clear" w:color="auto" w:fill="FFFFFF"/>
                </w:rPr>
                <w:t>https://doi.org/10.1002/jez.a.143</w:t>
              </w:r>
            </w:hyperlink>
          </w:p>
        </w:tc>
      </w:tr>
    </w:tbl>
    <w:p w14:paraId="6A1BBD82"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9108" w:type="dxa"/>
        <w:tblLook w:val="04A0" w:firstRow="1" w:lastRow="0" w:firstColumn="1" w:lastColumn="0" w:noHBand="0" w:noVBand="1"/>
      </w:tblPr>
      <w:tblGrid>
        <w:gridCol w:w="5240"/>
        <w:gridCol w:w="3868"/>
      </w:tblGrid>
      <w:tr w:rsidR="002D7080" w:rsidRPr="004D1E6F" w14:paraId="10DC16EB" w14:textId="77777777" w:rsidTr="002E2C37">
        <w:trPr>
          <w:trHeight w:val="343"/>
        </w:trPr>
        <w:tc>
          <w:tcPr>
            <w:tcW w:w="9108" w:type="dxa"/>
            <w:gridSpan w:val="2"/>
            <w:shd w:val="clear" w:color="auto" w:fill="F2F2F2" w:themeFill="background1" w:themeFillShade="F2"/>
          </w:tcPr>
          <w:p w14:paraId="4542058F"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color w:val="000000"/>
                <w:sz w:val="20"/>
                <w:szCs w:val="20"/>
                <w:lang w:eastAsia="en-ZA"/>
              </w:rPr>
              <w:t>MAN4 Has the feasibility of eradication been evaluated?</w:t>
            </w:r>
          </w:p>
        </w:tc>
      </w:tr>
      <w:tr w:rsidR="002D7080" w:rsidRPr="004D1E6F" w14:paraId="31E1B27A" w14:textId="77777777" w:rsidTr="002E2C37">
        <w:trPr>
          <w:trHeight w:val="172"/>
        </w:trPr>
        <w:tc>
          <w:tcPr>
            <w:tcW w:w="5240" w:type="dxa"/>
          </w:tcPr>
          <w:p w14:paraId="6667F249"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Response: No</w:t>
            </w:r>
            <w:r w:rsidRPr="004D1E6F">
              <w:rPr>
                <w:rFonts w:ascii="Times New Roman" w:eastAsia="Times New Roman" w:hAnsi="Times New Roman" w:cs="Times New Roman"/>
                <w:sz w:val="20"/>
                <w:szCs w:val="20"/>
                <w:lang w:eastAsia="en-ZA"/>
              </w:rPr>
              <w:tab/>
            </w:r>
          </w:p>
        </w:tc>
        <w:tc>
          <w:tcPr>
            <w:tcW w:w="3868" w:type="dxa"/>
          </w:tcPr>
          <w:p w14:paraId="3CC6CE36"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sz w:val="20"/>
                <w:szCs w:val="20"/>
                <w:lang w:eastAsia="en-ZA"/>
              </w:rPr>
              <w:t>Confidence: Low</w:t>
            </w:r>
          </w:p>
        </w:tc>
      </w:tr>
      <w:tr w:rsidR="002D7080" w:rsidRPr="004D1E6F" w14:paraId="2CA2B75A" w14:textId="77777777" w:rsidTr="002E2C37">
        <w:trPr>
          <w:trHeight w:val="343"/>
        </w:trPr>
        <w:tc>
          <w:tcPr>
            <w:tcW w:w="9108" w:type="dxa"/>
            <w:gridSpan w:val="2"/>
          </w:tcPr>
          <w:p w14:paraId="3A88C963"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Rationale: </w:t>
            </w:r>
            <w:r w:rsidRPr="004D1E6F">
              <w:rPr>
                <w:rFonts w:ascii="Times New Roman" w:eastAsia="Times New Roman" w:hAnsi="Times New Roman" w:cs="Times New Roman"/>
                <w:sz w:val="20"/>
                <w:szCs w:val="20"/>
                <w:lang w:eastAsia="en-ZA"/>
              </w:rPr>
              <w:t>T</w:t>
            </w:r>
            <w:r w:rsidRPr="004D1E6F">
              <w:rPr>
                <w:rFonts w:ascii="Times New Roman" w:eastAsia="Times New Roman" w:hAnsi="Times New Roman" w:cs="Times New Roman"/>
                <w:sz w:val="20"/>
                <w:lang w:eastAsia="en-ZA"/>
              </w:rPr>
              <w:t xml:space="preserve">here are no known population of </w:t>
            </w:r>
            <w:r w:rsidRPr="00581DAE">
              <w:rPr>
                <w:rFonts w:ascii="Times New Roman" w:eastAsia="Times New Roman" w:hAnsi="Times New Roman" w:cs="Times New Roman"/>
                <w:i/>
                <w:iCs/>
                <w:sz w:val="20"/>
                <w:lang w:eastAsia="en-ZA"/>
              </w:rPr>
              <w:t xml:space="preserve">Procambarus virginalis </w:t>
            </w:r>
            <w:r w:rsidRPr="004D1E6F">
              <w:rPr>
                <w:rFonts w:ascii="Times New Roman" w:eastAsia="Times New Roman" w:hAnsi="Times New Roman" w:cs="Times New Roman"/>
                <w:sz w:val="20"/>
                <w:lang w:eastAsia="en-ZA"/>
              </w:rPr>
              <w:t xml:space="preserve">in South Africa, therefore eradication feasibility has not been no evaluated (Nunes et al. 2017) but see MAN5 for summary of control efforts used to manage invasive crayfish populations.  </w:t>
            </w:r>
          </w:p>
        </w:tc>
      </w:tr>
      <w:tr w:rsidR="002D7080" w:rsidRPr="004D1E6F" w14:paraId="70885A97" w14:textId="77777777" w:rsidTr="002E2C37">
        <w:trPr>
          <w:trHeight w:val="343"/>
        </w:trPr>
        <w:tc>
          <w:tcPr>
            <w:tcW w:w="9108" w:type="dxa"/>
            <w:gridSpan w:val="2"/>
          </w:tcPr>
          <w:p w14:paraId="7960D01C" w14:textId="77777777" w:rsidR="002D7080" w:rsidRPr="004D1E6F" w:rsidRDefault="002D7080" w:rsidP="002E2C37">
            <w:pPr>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References:</w:t>
            </w:r>
          </w:p>
          <w:p w14:paraId="121CA8E7" w14:textId="006471E8" w:rsidR="002D7080" w:rsidRPr="004D1E6F" w:rsidRDefault="002D7080" w:rsidP="002E2C37">
            <w:pPr>
              <w:ind w:left="510" w:hanging="510"/>
              <w:jc w:val="both"/>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lastRenderedPageBreak/>
              <w:t xml:space="preserve">Nunes, A.L., Zengeya, T.A., Measey, G.J. &amp; Weyl, O.L.F., 2017, ‘Freshwater crayfish invasions in South Africa: past, present and potential future’, </w:t>
            </w:r>
            <w:r w:rsidRPr="004D1E6F">
              <w:rPr>
                <w:rFonts w:ascii="Times New Roman" w:eastAsia="Times New Roman" w:hAnsi="Times New Roman" w:cs="Times New Roman"/>
                <w:i/>
                <w:color w:val="000000"/>
                <w:sz w:val="20"/>
                <w:szCs w:val="20"/>
                <w:lang w:eastAsia="en-ZA"/>
              </w:rPr>
              <w:t>African Journal of Aquatic Science</w:t>
            </w:r>
            <w:r w:rsidRPr="004D1E6F">
              <w:rPr>
                <w:rFonts w:ascii="Times New Roman" w:eastAsia="Times New Roman" w:hAnsi="Times New Roman" w:cs="Times New Roman"/>
                <w:color w:val="000000"/>
                <w:sz w:val="20"/>
                <w:szCs w:val="20"/>
                <w:lang w:eastAsia="en-ZA"/>
              </w:rPr>
              <w:t xml:space="preserve"> 42, 309–323, </w:t>
            </w:r>
            <w:hyperlink r:id="rId708" w:history="1">
              <w:r w:rsidR="00C52CC6" w:rsidRPr="00C52CC6">
                <w:rPr>
                  <w:rStyle w:val="Hyperlink"/>
                  <w:rFonts w:ascii="Times New Roman" w:hAnsi="Times New Roman" w:cs="Times New Roman"/>
                  <w:sz w:val="20"/>
                  <w:szCs w:val="20"/>
                </w:rPr>
                <w:t>https://doi.org/10.2989/16085914.2017.1405788</w:t>
              </w:r>
            </w:hyperlink>
          </w:p>
        </w:tc>
      </w:tr>
    </w:tbl>
    <w:p w14:paraId="3A08474B" w14:textId="77777777" w:rsidR="002D7080" w:rsidRPr="004D1E6F" w:rsidRDefault="002D7080" w:rsidP="002D7080">
      <w:pPr>
        <w:spacing w:after="0" w:line="240" w:lineRule="auto"/>
        <w:rPr>
          <w:rFonts w:ascii="Times New Roman" w:eastAsia="Calibri" w:hAnsi="Times New Roman" w:cs="Times New Roman"/>
          <w:b/>
          <w:sz w:val="20"/>
          <w:szCs w:val="20"/>
        </w:rPr>
      </w:pPr>
    </w:p>
    <w:p w14:paraId="6AA3EC93"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17"/>
        <w:tblW w:w="9067" w:type="dxa"/>
        <w:tblLook w:val="04A0" w:firstRow="1" w:lastRow="0" w:firstColumn="1" w:lastColumn="0" w:noHBand="0" w:noVBand="1"/>
      </w:tblPr>
      <w:tblGrid>
        <w:gridCol w:w="9067"/>
      </w:tblGrid>
      <w:tr w:rsidR="002D7080" w:rsidRPr="004D1E6F" w14:paraId="795736D6" w14:textId="77777777" w:rsidTr="002E2C37">
        <w:trPr>
          <w:trHeight w:val="343"/>
        </w:trPr>
        <w:tc>
          <w:tcPr>
            <w:tcW w:w="9067" w:type="dxa"/>
            <w:shd w:val="clear" w:color="auto" w:fill="F2F2F2" w:themeFill="background1" w:themeFillShade="F2"/>
          </w:tcPr>
          <w:p w14:paraId="2DB7A58F"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MAN5 Control options and monitoring approaches available for the </w:t>
            </w:r>
            <w:r w:rsidRPr="004D1E6F">
              <w:rPr>
                <w:rFonts w:ascii="Times New Roman" w:eastAsia="Times New Roman" w:hAnsi="Times New Roman" w:cs="Times New Roman"/>
                <w:b/>
                <w:i/>
                <w:sz w:val="20"/>
                <w:szCs w:val="20"/>
                <w:lang w:eastAsia="en-ZA"/>
              </w:rPr>
              <w:t>Taxon</w:t>
            </w:r>
          </w:p>
        </w:tc>
      </w:tr>
      <w:tr w:rsidR="002D7080" w:rsidRPr="004D1E6F" w14:paraId="1DCC8452" w14:textId="77777777" w:rsidTr="002E2C37">
        <w:trPr>
          <w:trHeight w:val="70"/>
        </w:trPr>
        <w:tc>
          <w:tcPr>
            <w:tcW w:w="9067" w:type="dxa"/>
          </w:tcPr>
          <w:p w14:paraId="21DFB26B" w14:textId="77777777" w:rsidR="002D7080" w:rsidRPr="004D1E6F" w:rsidRDefault="002D7080" w:rsidP="002E2C37">
            <w:pPr>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Response: Several methods can be used to monitor and control invasive crayfish populations including mechanical trapping</w:t>
            </w:r>
            <w:r w:rsidRPr="004D1E6F">
              <w:rPr>
                <w:rFonts w:ascii="Times New Roman" w:eastAsia="Times New Roman" w:hAnsi="Times New Roman" w:cs="Times New Roman"/>
                <w:iCs/>
                <w:sz w:val="20"/>
                <w:szCs w:val="20"/>
                <w:lang w:eastAsia="en-ZA"/>
              </w:rPr>
              <w:t xml:space="preserve"> (e.g., </w:t>
            </w:r>
            <w:r w:rsidRPr="004D1E6F">
              <w:rPr>
                <w:rStyle w:val="cf01"/>
                <w:rFonts w:ascii="Times New Roman" w:hAnsi="Times New Roman" w:cs="Times New Roman"/>
                <w:sz w:val="20"/>
                <w:szCs w:val="20"/>
              </w:rPr>
              <w:t xml:space="preserve">Barkhuizen et al. 2022; </w:t>
            </w:r>
            <w:r w:rsidRPr="004D1E6F">
              <w:rPr>
                <w:rFonts w:ascii="Times New Roman" w:eastAsia="Times New Roman" w:hAnsi="Times New Roman" w:cs="Times New Roman"/>
                <w:iCs/>
                <w:sz w:val="20"/>
                <w:szCs w:val="20"/>
                <w:lang w:eastAsia="en-ZA"/>
              </w:rPr>
              <w:t>Madzivanzira et al. 2021)</w:t>
            </w:r>
            <w:r w:rsidRPr="004D1E6F">
              <w:rPr>
                <w:rFonts w:ascii="Times New Roman" w:eastAsia="Times New Roman" w:hAnsi="Times New Roman" w:cs="Times New Roman"/>
                <w:sz w:val="20"/>
                <w:szCs w:val="20"/>
                <w:lang w:eastAsia="en-ZA"/>
              </w:rPr>
              <w:t xml:space="preserve">, electrofishing (Nunes et al. 2017), use of biocides, and biological control (Aquiloni et al 2010; Stebbing et al. 2014). </w:t>
            </w:r>
            <w:r w:rsidRPr="004D1E6F">
              <w:rPr>
                <w:rFonts w:ascii="Times New Roman" w:hAnsi="Times New Roman" w:cs="Times New Roman"/>
                <w:sz w:val="20"/>
                <w:szCs w:val="20"/>
              </w:rPr>
              <w:t>However, there are several issues that make management of crayfish invasions challenging (Gherardi et al. 2011). For example, the use of biocides is often effective for localised populations in dams and ponds (Peay et al. 2019) but they are non-specific and need to be applied with caution (Gherardi et al. 2011). Mechanical control methods are also effective in small discrete water bodies but are expensive and require commitment to follow on to complete eradication (Loureiro et al. 2018). In addition, alien crayfish species are regarded as potential conflict-generating species in South Africa and potential management interventions should consider the concerns of stakeholders to avoid conflict (Zengeya et al. 2017).</w:t>
            </w:r>
          </w:p>
        </w:tc>
      </w:tr>
      <w:tr w:rsidR="002D7080" w:rsidRPr="004D1E6F" w14:paraId="6D4DB81E" w14:textId="77777777" w:rsidTr="002E2C37">
        <w:trPr>
          <w:trHeight w:val="203"/>
        </w:trPr>
        <w:tc>
          <w:tcPr>
            <w:tcW w:w="9067" w:type="dxa"/>
          </w:tcPr>
          <w:p w14:paraId="49FD0246" w14:textId="77777777" w:rsidR="002D7080" w:rsidRPr="004D1E6F" w:rsidRDefault="002D7080" w:rsidP="002E2C37">
            <w:pPr>
              <w:ind w:left="720" w:hanging="720"/>
              <w:jc w:val="both"/>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References:</w:t>
            </w:r>
          </w:p>
          <w:p w14:paraId="794B2FF2" w14:textId="77777777" w:rsidR="000F453E" w:rsidRPr="000F453E" w:rsidRDefault="000F453E" w:rsidP="000F453E">
            <w:pPr>
              <w:ind w:left="510" w:hanging="510"/>
              <w:contextualSpacing/>
              <w:jc w:val="both"/>
              <w:rPr>
                <w:rFonts w:ascii="Times New Roman" w:eastAsia="Times New Roman" w:hAnsi="Times New Roman" w:cs="Times New Roman"/>
                <w:bCs/>
                <w:sz w:val="20"/>
                <w:szCs w:val="20"/>
                <w:lang w:eastAsia="en-ZA"/>
              </w:rPr>
            </w:pPr>
            <w:r w:rsidRPr="000F453E">
              <w:rPr>
                <w:rFonts w:ascii="Times New Roman" w:eastAsia="Times New Roman" w:hAnsi="Times New Roman" w:cs="Times New Roman"/>
                <w:sz w:val="20"/>
                <w:szCs w:val="20"/>
                <w:lang w:eastAsia="en-ZA"/>
              </w:rPr>
              <w:t>Aquiloni, L., Brusconi, S., Cecchinelli, E., Tricarico, E., Mazza, G., Paglianti, A. &amp; Gherardi, F. 2010, ‘Biological control of invasive populations of crayfish: the European eel (</w:t>
            </w:r>
            <w:r w:rsidRPr="000F453E">
              <w:rPr>
                <w:rFonts w:ascii="Times New Roman" w:eastAsia="Times New Roman" w:hAnsi="Times New Roman" w:cs="Times New Roman"/>
                <w:i/>
                <w:iCs/>
                <w:sz w:val="20"/>
                <w:szCs w:val="20"/>
                <w:lang w:eastAsia="en-ZA"/>
              </w:rPr>
              <w:t>Anguilla anguilla</w:t>
            </w:r>
            <w:r w:rsidRPr="000F453E">
              <w:rPr>
                <w:rFonts w:ascii="Times New Roman" w:eastAsia="Times New Roman" w:hAnsi="Times New Roman" w:cs="Times New Roman"/>
                <w:sz w:val="20"/>
                <w:szCs w:val="20"/>
                <w:lang w:eastAsia="en-ZA"/>
              </w:rPr>
              <w:t xml:space="preserve">) as a predator of </w:t>
            </w:r>
            <w:r w:rsidRPr="000F453E">
              <w:rPr>
                <w:rFonts w:ascii="Times New Roman" w:eastAsia="Times New Roman" w:hAnsi="Times New Roman" w:cs="Times New Roman"/>
                <w:i/>
                <w:iCs/>
                <w:sz w:val="20"/>
                <w:szCs w:val="20"/>
                <w:lang w:eastAsia="en-ZA"/>
              </w:rPr>
              <w:t>Procambarus clarkii</w:t>
            </w:r>
            <w:r w:rsidRPr="000F453E">
              <w:rPr>
                <w:rFonts w:ascii="Times New Roman" w:eastAsia="Times New Roman" w:hAnsi="Times New Roman" w:cs="Times New Roman"/>
                <w:sz w:val="20"/>
                <w:szCs w:val="20"/>
                <w:lang w:eastAsia="en-ZA"/>
              </w:rPr>
              <w:t xml:space="preserve">’, </w:t>
            </w:r>
            <w:r w:rsidRPr="000F453E">
              <w:rPr>
                <w:rFonts w:ascii="Times New Roman" w:eastAsia="Times New Roman" w:hAnsi="Times New Roman" w:cs="Times New Roman"/>
                <w:i/>
                <w:iCs/>
                <w:sz w:val="20"/>
                <w:szCs w:val="20"/>
                <w:lang w:eastAsia="en-ZA"/>
              </w:rPr>
              <w:t>Biological Invasions</w:t>
            </w:r>
            <w:r w:rsidRPr="000F453E">
              <w:rPr>
                <w:rFonts w:ascii="Times New Roman" w:eastAsia="Times New Roman" w:hAnsi="Times New Roman" w:cs="Times New Roman"/>
                <w:sz w:val="20"/>
                <w:szCs w:val="20"/>
                <w:lang w:eastAsia="en-ZA"/>
              </w:rPr>
              <w:t xml:space="preserve"> 12 3817-3824. </w:t>
            </w:r>
            <w:hyperlink r:id="rId709" w:history="1">
              <w:r w:rsidRPr="000F453E">
                <w:rPr>
                  <w:rStyle w:val="Hyperlink"/>
                  <w:rFonts w:ascii="Times New Roman" w:eastAsia="Times New Roman" w:hAnsi="Times New Roman" w:cs="Times New Roman"/>
                  <w:bCs/>
                  <w:sz w:val="20"/>
                  <w:szCs w:val="20"/>
                  <w:lang w:eastAsia="en-ZA"/>
                </w:rPr>
                <w:t>https://doi.org/10.1007/s10530-007-9094-0</w:t>
              </w:r>
            </w:hyperlink>
            <w:r w:rsidRPr="000F453E">
              <w:rPr>
                <w:rFonts w:ascii="Times New Roman" w:eastAsia="Times New Roman" w:hAnsi="Times New Roman" w:cs="Times New Roman"/>
                <w:bCs/>
                <w:sz w:val="20"/>
                <w:szCs w:val="20"/>
                <w:lang w:eastAsia="en-ZA"/>
              </w:rPr>
              <w:t>.</w:t>
            </w:r>
          </w:p>
          <w:p w14:paraId="547B53E5" w14:textId="77777777" w:rsidR="000F453E" w:rsidRPr="000F453E" w:rsidRDefault="000F453E" w:rsidP="000F453E">
            <w:pPr>
              <w:ind w:left="510" w:hanging="510"/>
              <w:contextualSpacing/>
              <w:jc w:val="both"/>
              <w:rPr>
                <w:rFonts w:ascii="Times New Roman" w:eastAsia="Times New Roman" w:hAnsi="Times New Roman" w:cs="Times New Roman"/>
                <w:sz w:val="20"/>
                <w:szCs w:val="20"/>
                <w:lang w:eastAsia="en-ZA"/>
              </w:rPr>
            </w:pPr>
            <w:r w:rsidRPr="000F453E">
              <w:rPr>
                <w:rFonts w:ascii="Times New Roman" w:eastAsia="Times New Roman" w:hAnsi="Times New Roman" w:cs="Times New Roman"/>
                <w:sz w:val="20"/>
                <w:szCs w:val="20"/>
                <w:lang w:eastAsia="en-ZA"/>
              </w:rPr>
              <w:t xml:space="preserve">Barkhuizen, L.M, Madzivanzira, T.C., South, J., 2022, ‘Population ecology of a wild population of red swamp crayfish </w:t>
            </w:r>
            <w:r w:rsidRPr="000F453E">
              <w:rPr>
                <w:rFonts w:ascii="Times New Roman" w:eastAsia="Times New Roman" w:hAnsi="Times New Roman" w:cs="Times New Roman"/>
                <w:i/>
                <w:iCs/>
                <w:sz w:val="20"/>
                <w:szCs w:val="20"/>
                <w:lang w:eastAsia="en-ZA"/>
              </w:rPr>
              <w:t>Procambarus clarkii</w:t>
            </w:r>
            <w:r w:rsidRPr="000F453E">
              <w:rPr>
                <w:rFonts w:ascii="Times New Roman" w:eastAsia="Times New Roman" w:hAnsi="Times New Roman" w:cs="Times New Roman"/>
                <w:sz w:val="20"/>
                <w:szCs w:val="20"/>
                <w:lang w:eastAsia="en-ZA"/>
              </w:rPr>
              <w:t xml:space="preserve"> (Girard, 1852) in the Free State Province, South Africa and implications for eradication efforts’, </w:t>
            </w:r>
            <w:r w:rsidRPr="000F453E">
              <w:rPr>
                <w:rFonts w:ascii="Times New Roman" w:eastAsia="Times New Roman" w:hAnsi="Times New Roman" w:cs="Times New Roman"/>
                <w:i/>
                <w:iCs/>
                <w:sz w:val="20"/>
                <w:szCs w:val="20"/>
                <w:lang w:eastAsia="en-ZA"/>
              </w:rPr>
              <w:t>BioInvasions Records</w:t>
            </w:r>
            <w:r w:rsidRPr="000F453E">
              <w:rPr>
                <w:rFonts w:ascii="Times New Roman" w:eastAsia="Times New Roman" w:hAnsi="Times New Roman" w:cs="Times New Roman"/>
                <w:sz w:val="20"/>
                <w:szCs w:val="20"/>
                <w:lang w:eastAsia="en-ZA"/>
              </w:rPr>
              <w:t xml:space="preserve"> 11, 181–191. </w:t>
            </w:r>
            <w:hyperlink r:id="rId710" w:history="1">
              <w:r w:rsidRPr="000F453E">
                <w:rPr>
                  <w:rStyle w:val="Hyperlink"/>
                  <w:rFonts w:ascii="Times New Roman" w:eastAsia="Times New Roman" w:hAnsi="Times New Roman" w:cs="Times New Roman"/>
                  <w:iCs/>
                  <w:sz w:val="20"/>
                  <w:szCs w:val="20"/>
                  <w:lang w:eastAsia="en-ZA"/>
                </w:rPr>
                <w:t>https://doi.org/10.3391/bir.2022</w:t>
              </w:r>
            </w:hyperlink>
            <w:r w:rsidRPr="000F453E">
              <w:rPr>
                <w:rFonts w:ascii="Times New Roman" w:eastAsia="Times New Roman" w:hAnsi="Times New Roman" w:cs="Times New Roman"/>
                <w:sz w:val="20"/>
                <w:szCs w:val="20"/>
                <w:lang w:eastAsia="en-ZA"/>
              </w:rPr>
              <w:t>.</w:t>
            </w:r>
          </w:p>
          <w:p w14:paraId="1A4E5122" w14:textId="77777777" w:rsidR="000F453E" w:rsidRPr="000F453E" w:rsidRDefault="000F453E" w:rsidP="000F453E">
            <w:pPr>
              <w:ind w:left="510" w:hanging="510"/>
              <w:contextualSpacing/>
              <w:jc w:val="both"/>
              <w:rPr>
                <w:rFonts w:ascii="Times New Roman" w:eastAsia="Times New Roman" w:hAnsi="Times New Roman" w:cs="Times New Roman"/>
                <w:sz w:val="20"/>
                <w:szCs w:val="20"/>
                <w:lang w:eastAsia="en-ZA"/>
              </w:rPr>
            </w:pPr>
            <w:r w:rsidRPr="000F453E">
              <w:rPr>
                <w:rFonts w:ascii="Times New Roman" w:eastAsia="Times New Roman" w:hAnsi="Times New Roman" w:cs="Times New Roman"/>
                <w:sz w:val="20"/>
                <w:szCs w:val="20"/>
                <w:lang w:eastAsia="en-ZA"/>
              </w:rPr>
              <w:t xml:space="preserve">Gherardi, F., Aquiloni, L., Diéguez-Uribeondo, J. &amp; Tricarico E., 2011, ‘Managing invasive crayfish: is there a hope? </w:t>
            </w:r>
            <w:r w:rsidRPr="000F453E">
              <w:rPr>
                <w:rFonts w:ascii="Times New Roman" w:eastAsia="Times New Roman" w:hAnsi="Times New Roman" w:cs="Times New Roman"/>
                <w:i/>
                <w:iCs/>
                <w:sz w:val="20"/>
                <w:szCs w:val="20"/>
                <w:lang w:eastAsia="en-ZA"/>
              </w:rPr>
              <w:t>Aquatic Sciences</w:t>
            </w:r>
            <w:r w:rsidRPr="000F453E">
              <w:rPr>
                <w:rFonts w:ascii="Times New Roman" w:eastAsia="Times New Roman" w:hAnsi="Times New Roman" w:cs="Times New Roman"/>
                <w:sz w:val="20"/>
                <w:szCs w:val="20"/>
                <w:lang w:eastAsia="en-ZA"/>
              </w:rPr>
              <w:t xml:space="preserve"> </w:t>
            </w:r>
            <w:r w:rsidRPr="000F453E">
              <w:rPr>
                <w:rFonts w:ascii="Times New Roman" w:eastAsia="Times New Roman" w:hAnsi="Times New Roman" w:cs="Times New Roman"/>
                <w:iCs/>
                <w:sz w:val="20"/>
                <w:szCs w:val="20"/>
                <w:lang w:eastAsia="en-ZA"/>
              </w:rPr>
              <w:t>73,</w:t>
            </w:r>
            <w:r w:rsidRPr="000F453E">
              <w:rPr>
                <w:rFonts w:ascii="Times New Roman" w:eastAsia="Times New Roman" w:hAnsi="Times New Roman" w:cs="Times New Roman"/>
                <w:sz w:val="20"/>
                <w:szCs w:val="20"/>
                <w:lang w:eastAsia="en-ZA"/>
              </w:rPr>
              <w:t xml:space="preserve"> 185–200. https://doi.org/10.1007/s00027-011-0181-z.</w:t>
            </w:r>
          </w:p>
          <w:p w14:paraId="498B5021" w14:textId="77777777" w:rsidR="000F453E" w:rsidRPr="000F453E" w:rsidRDefault="000F453E" w:rsidP="000F453E">
            <w:pPr>
              <w:ind w:left="510" w:hanging="510"/>
              <w:contextualSpacing/>
              <w:jc w:val="both"/>
              <w:rPr>
                <w:rFonts w:ascii="Times New Roman" w:eastAsia="Times New Roman" w:hAnsi="Times New Roman" w:cs="Times New Roman"/>
                <w:bCs/>
                <w:sz w:val="20"/>
                <w:szCs w:val="20"/>
                <w:lang w:eastAsia="en-ZA"/>
              </w:rPr>
            </w:pPr>
            <w:r w:rsidRPr="000F453E">
              <w:rPr>
                <w:rFonts w:ascii="Times New Roman" w:eastAsia="Times New Roman" w:hAnsi="Times New Roman" w:cs="Times New Roman"/>
                <w:bCs/>
                <w:sz w:val="20"/>
                <w:szCs w:val="20"/>
                <w:lang w:eastAsia="en-ZA"/>
              </w:rPr>
              <w:t xml:space="preserve">Loureiro, T.G, Anastácio, P.M, de Siqueira Bueno, S.L. &amp; Araujo, P.B., 2018, ‘Management of invasive populations of the freshwater crayfish </w:t>
            </w:r>
            <w:r w:rsidRPr="000F453E">
              <w:rPr>
                <w:rFonts w:ascii="Times New Roman" w:eastAsia="Times New Roman" w:hAnsi="Times New Roman" w:cs="Times New Roman"/>
                <w:bCs/>
                <w:i/>
                <w:sz w:val="20"/>
                <w:szCs w:val="20"/>
                <w:lang w:eastAsia="en-ZA"/>
              </w:rPr>
              <w:t>Procambarus clarkii</w:t>
            </w:r>
            <w:r w:rsidRPr="000F453E">
              <w:rPr>
                <w:rFonts w:ascii="Times New Roman" w:eastAsia="Times New Roman" w:hAnsi="Times New Roman" w:cs="Times New Roman"/>
                <w:bCs/>
                <w:sz w:val="20"/>
                <w:szCs w:val="20"/>
                <w:lang w:eastAsia="en-ZA"/>
              </w:rPr>
              <w:t xml:space="preserve"> (Decapoda, Cambaridae): test of a population-control method and proposal of a standard monitoring approach’, </w:t>
            </w:r>
            <w:r w:rsidRPr="000F453E">
              <w:rPr>
                <w:rFonts w:ascii="Times New Roman" w:eastAsia="Times New Roman" w:hAnsi="Times New Roman" w:cs="Times New Roman"/>
                <w:bCs/>
                <w:i/>
                <w:sz w:val="20"/>
                <w:szCs w:val="20"/>
                <w:lang w:eastAsia="en-ZA"/>
              </w:rPr>
              <w:t>Environmental Monitoring Assessment</w:t>
            </w:r>
            <w:r w:rsidRPr="000F453E">
              <w:rPr>
                <w:rFonts w:ascii="Times New Roman" w:eastAsia="Times New Roman" w:hAnsi="Times New Roman" w:cs="Times New Roman"/>
                <w:bCs/>
                <w:sz w:val="20"/>
                <w:szCs w:val="20"/>
                <w:lang w:eastAsia="en-ZA"/>
              </w:rPr>
              <w:t xml:space="preserve"> 190, 559, https://doi.org/10.1007/s10661-018-6942-6.</w:t>
            </w:r>
          </w:p>
          <w:p w14:paraId="008DE679" w14:textId="77777777" w:rsidR="000F453E" w:rsidRPr="000F453E" w:rsidRDefault="000F453E" w:rsidP="000F453E">
            <w:pPr>
              <w:ind w:left="510" w:hanging="510"/>
              <w:contextualSpacing/>
              <w:jc w:val="both"/>
              <w:rPr>
                <w:rFonts w:ascii="Times New Roman" w:eastAsia="Times New Roman" w:hAnsi="Times New Roman" w:cs="Times New Roman"/>
                <w:sz w:val="20"/>
                <w:szCs w:val="20"/>
                <w:lang w:eastAsia="en-ZA"/>
              </w:rPr>
            </w:pPr>
            <w:r w:rsidRPr="000F453E">
              <w:rPr>
                <w:rFonts w:ascii="Times New Roman" w:eastAsia="Times New Roman" w:hAnsi="Times New Roman" w:cs="Times New Roman"/>
                <w:sz w:val="20"/>
                <w:szCs w:val="20"/>
                <w:lang w:eastAsia="en-ZA"/>
              </w:rPr>
              <w:t xml:space="preserve">Madzivanzira, T.C., South, J., Nhiwatiwa, T. &amp; Weyl, O.L.F., 2021, ‘Standardisation of Australian redclaw crayfish </w:t>
            </w:r>
            <w:r w:rsidRPr="000F453E">
              <w:rPr>
                <w:rFonts w:ascii="Times New Roman" w:eastAsia="Times New Roman" w:hAnsi="Times New Roman" w:cs="Times New Roman"/>
                <w:i/>
                <w:iCs/>
                <w:sz w:val="20"/>
                <w:szCs w:val="20"/>
                <w:lang w:eastAsia="en-ZA"/>
              </w:rPr>
              <w:t>Cherax quadricarinatus</w:t>
            </w:r>
            <w:r w:rsidRPr="000F453E">
              <w:rPr>
                <w:rFonts w:ascii="Times New Roman" w:eastAsia="Times New Roman" w:hAnsi="Times New Roman" w:cs="Times New Roman"/>
                <w:sz w:val="20"/>
                <w:szCs w:val="20"/>
                <w:lang w:eastAsia="en-ZA"/>
              </w:rPr>
              <w:t xml:space="preserve"> sampling gear in southern Africa’, </w:t>
            </w:r>
            <w:r w:rsidRPr="000F453E">
              <w:rPr>
                <w:rFonts w:ascii="Times New Roman" w:eastAsia="Times New Roman" w:hAnsi="Times New Roman" w:cs="Times New Roman"/>
                <w:i/>
                <w:iCs/>
                <w:sz w:val="20"/>
                <w:szCs w:val="20"/>
                <w:lang w:eastAsia="en-ZA"/>
              </w:rPr>
              <w:t>Water SA</w:t>
            </w:r>
            <w:r w:rsidRPr="000F453E">
              <w:rPr>
                <w:rFonts w:ascii="Times New Roman" w:eastAsia="Times New Roman" w:hAnsi="Times New Roman" w:cs="Times New Roman"/>
                <w:sz w:val="20"/>
                <w:szCs w:val="20"/>
                <w:lang w:eastAsia="en-ZA"/>
              </w:rPr>
              <w:t xml:space="preserve"> 47, 380–384. https://hdl.handle.net/10520/ejc-waters-v47-n3-a10.</w:t>
            </w:r>
          </w:p>
          <w:p w14:paraId="5ECF5352" w14:textId="77777777" w:rsidR="000F453E" w:rsidRPr="000F453E" w:rsidRDefault="000F453E" w:rsidP="000F453E">
            <w:pPr>
              <w:ind w:left="510" w:hanging="510"/>
              <w:contextualSpacing/>
              <w:jc w:val="both"/>
              <w:rPr>
                <w:rFonts w:ascii="Times New Roman" w:eastAsia="Times New Roman" w:hAnsi="Times New Roman" w:cs="Times New Roman"/>
                <w:sz w:val="20"/>
                <w:szCs w:val="20"/>
                <w:lang w:eastAsia="en-ZA"/>
              </w:rPr>
            </w:pPr>
            <w:r w:rsidRPr="000F453E">
              <w:rPr>
                <w:rFonts w:ascii="Times New Roman" w:eastAsia="Times New Roman" w:hAnsi="Times New Roman" w:cs="Times New Roman"/>
                <w:sz w:val="20"/>
                <w:szCs w:val="20"/>
                <w:lang w:eastAsia="en-ZA"/>
              </w:rPr>
              <w:t xml:space="preserve">Nunes, A.L., Zengeya, T.A., Hoffman, A.C., Measey, G.J. &amp; Weyl, O.L., 2017, ‘Distribution and establishment of the alien Australian redclaw crayfish, </w:t>
            </w:r>
            <w:r w:rsidRPr="000F453E">
              <w:rPr>
                <w:rFonts w:ascii="Times New Roman" w:eastAsia="Times New Roman" w:hAnsi="Times New Roman" w:cs="Times New Roman"/>
                <w:i/>
                <w:sz w:val="20"/>
                <w:szCs w:val="20"/>
                <w:lang w:eastAsia="en-ZA"/>
              </w:rPr>
              <w:t>Cherax quadricarinatus</w:t>
            </w:r>
            <w:r w:rsidRPr="000F453E">
              <w:rPr>
                <w:rFonts w:ascii="Times New Roman" w:eastAsia="Times New Roman" w:hAnsi="Times New Roman" w:cs="Times New Roman"/>
                <w:sz w:val="20"/>
                <w:szCs w:val="20"/>
                <w:lang w:eastAsia="en-ZA"/>
              </w:rPr>
              <w:t xml:space="preserve">, in South Africa and Swaziland’, </w:t>
            </w:r>
            <w:r w:rsidRPr="000F453E">
              <w:rPr>
                <w:rFonts w:ascii="Times New Roman" w:eastAsia="Times New Roman" w:hAnsi="Times New Roman" w:cs="Times New Roman"/>
                <w:i/>
                <w:iCs/>
                <w:sz w:val="20"/>
                <w:szCs w:val="20"/>
                <w:lang w:eastAsia="en-ZA"/>
              </w:rPr>
              <w:t>PeerJ</w:t>
            </w:r>
            <w:r w:rsidRPr="000F453E">
              <w:rPr>
                <w:rFonts w:ascii="Times New Roman" w:eastAsia="Times New Roman" w:hAnsi="Times New Roman" w:cs="Times New Roman"/>
                <w:sz w:val="20"/>
                <w:szCs w:val="20"/>
                <w:lang w:eastAsia="en-ZA"/>
              </w:rPr>
              <w:t xml:space="preserve"> </w:t>
            </w:r>
            <w:r w:rsidRPr="000F453E">
              <w:rPr>
                <w:rFonts w:ascii="Times New Roman" w:eastAsia="Times New Roman" w:hAnsi="Times New Roman" w:cs="Times New Roman"/>
                <w:iCs/>
                <w:sz w:val="20"/>
                <w:szCs w:val="20"/>
                <w:lang w:eastAsia="en-ZA"/>
              </w:rPr>
              <w:t>5,</w:t>
            </w:r>
            <w:r w:rsidRPr="000F453E">
              <w:rPr>
                <w:rFonts w:ascii="Times New Roman" w:eastAsia="Times New Roman" w:hAnsi="Times New Roman" w:cs="Times New Roman"/>
                <w:sz w:val="20"/>
                <w:szCs w:val="20"/>
                <w:lang w:eastAsia="en-ZA"/>
              </w:rPr>
              <w:t xml:space="preserve"> 1-21. </w:t>
            </w:r>
            <w:hyperlink r:id="rId711" w:history="1">
              <w:r w:rsidRPr="000F453E">
                <w:rPr>
                  <w:rStyle w:val="Hyperlink"/>
                  <w:rFonts w:ascii="Times New Roman" w:eastAsia="Times New Roman" w:hAnsi="Times New Roman" w:cs="Times New Roman"/>
                  <w:sz w:val="20"/>
                  <w:szCs w:val="20"/>
                  <w:lang w:eastAsia="en-ZA"/>
                </w:rPr>
                <w:t>https://doi.org/10.7717/peerj.3135</w:t>
              </w:r>
            </w:hyperlink>
            <w:r w:rsidRPr="000F453E">
              <w:rPr>
                <w:rFonts w:ascii="Times New Roman" w:eastAsia="Times New Roman" w:hAnsi="Times New Roman" w:cs="Times New Roman"/>
                <w:sz w:val="20"/>
                <w:szCs w:val="20"/>
                <w:lang w:eastAsia="en-ZA"/>
              </w:rPr>
              <w:t xml:space="preserve">.  </w:t>
            </w:r>
          </w:p>
          <w:p w14:paraId="52BC66CD" w14:textId="77777777" w:rsidR="000F453E" w:rsidRPr="000F453E" w:rsidRDefault="000F453E" w:rsidP="000F453E">
            <w:pPr>
              <w:ind w:left="510" w:hanging="510"/>
              <w:contextualSpacing/>
              <w:jc w:val="both"/>
              <w:rPr>
                <w:rFonts w:ascii="Times New Roman" w:eastAsia="Times New Roman" w:hAnsi="Times New Roman" w:cs="Times New Roman"/>
                <w:bCs/>
                <w:sz w:val="20"/>
                <w:szCs w:val="20"/>
                <w:lang w:eastAsia="en-ZA"/>
              </w:rPr>
            </w:pPr>
            <w:r w:rsidRPr="000F453E">
              <w:rPr>
                <w:rFonts w:ascii="Times New Roman" w:eastAsia="Times New Roman" w:hAnsi="Times New Roman" w:cs="Times New Roman"/>
                <w:bCs/>
                <w:sz w:val="20"/>
                <w:szCs w:val="20"/>
                <w:lang w:eastAsia="en-ZA"/>
              </w:rPr>
              <w:t xml:space="preserve">Peay, S., Johnsen, S.I, Bean, S.W., Dunn, A.M., Sandodden, R. &amp; Edsman, L, 2019, ‘Biocide treatment of invasive signal crayfish: Successes, failures and lessons learned’, </w:t>
            </w:r>
            <w:r w:rsidRPr="000F453E">
              <w:rPr>
                <w:rFonts w:ascii="Times New Roman" w:eastAsia="Times New Roman" w:hAnsi="Times New Roman" w:cs="Times New Roman"/>
                <w:bCs/>
                <w:i/>
                <w:sz w:val="20"/>
                <w:szCs w:val="20"/>
                <w:lang w:eastAsia="en-ZA"/>
              </w:rPr>
              <w:t>Diversity</w:t>
            </w:r>
            <w:r w:rsidRPr="000F453E">
              <w:rPr>
                <w:rFonts w:ascii="Times New Roman" w:eastAsia="Times New Roman" w:hAnsi="Times New Roman" w:cs="Times New Roman"/>
                <w:bCs/>
                <w:sz w:val="20"/>
                <w:szCs w:val="20"/>
                <w:lang w:eastAsia="en-ZA"/>
              </w:rPr>
              <w:t xml:space="preserve"> 11, 29. </w:t>
            </w:r>
            <w:hyperlink r:id="rId712" w:history="1">
              <w:r w:rsidRPr="000F453E">
                <w:rPr>
                  <w:rStyle w:val="Hyperlink"/>
                  <w:rFonts w:ascii="Times New Roman" w:eastAsia="Times New Roman" w:hAnsi="Times New Roman" w:cs="Times New Roman"/>
                  <w:bCs/>
                  <w:sz w:val="20"/>
                  <w:szCs w:val="20"/>
                  <w:lang w:eastAsia="en-ZA"/>
                </w:rPr>
                <w:t>https://doi.org/10.3390/d11030029</w:t>
              </w:r>
            </w:hyperlink>
            <w:r w:rsidRPr="000F453E">
              <w:rPr>
                <w:rFonts w:ascii="Times New Roman" w:eastAsia="Times New Roman" w:hAnsi="Times New Roman" w:cs="Times New Roman"/>
                <w:bCs/>
                <w:sz w:val="20"/>
                <w:szCs w:val="20"/>
                <w:lang w:eastAsia="en-ZA"/>
              </w:rPr>
              <w:t xml:space="preserve">  </w:t>
            </w:r>
          </w:p>
          <w:p w14:paraId="20C0AF00" w14:textId="77777777" w:rsidR="000F453E" w:rsidRPr="000F453E" w:rsidRDefault="000F453E" w:rsidP="000F453E">
            <w:pPr>
              <w:ind w:left="510" w:hanging="510"/>
              <w:contextualSpacing/>
              <w:jc w:val="both"/>
              <w:rPr>
                <w:rFonts w:ascii="Times New Roman" w:eastAsia="Times New Roman" w:hAnsi="Times New Roman" w:cs="Times New Roman"/>
                <w:sz w:val="20"/>
                <w:szCs w:val="20"/>
                <w:lang w:eastAsia="en-ZA"/>
              </w:rPr>
            </w:pPr>
            <w:r w:rsidRPr="000F453E">
              <w:rPr>
                <w:rFonts w:ascii="Times New Roman" w:eastAsia="Times New Roman" w:hAnsi="Times New Roman" w:cs="Times New Roman"/>
                <w:sz w:val="20"/>
                <w:szCs w:val="20"/>
                <w:lang w:eastAsia="en-ZA"/>
              </w:rPr>
              <w:t xml:space="preserve">Stebbing, P., Longshaw, M., Scott, A., 2014, ‘Review of methods for the management of nonindigenous crayfish, with particular reference to Great Britain’, </w:t>
            </w:r>
            <w:r w:rsidRPr="000F453E">
              <w:rPr>
                <w:rFonts w:ascii="Times New Roman" w:eastAsia="Times New Roman" w:hAnsi="Times New Roman" w:cs="Times New Roman"/>
                <w:i/>
                <w:iCs/>
                <w:sz w:val="20"/>
                <w:szCs w:val="20"/>
                <w:lang w:eastAsia="en-ZA"/>
              </w:rPr>
              <w:t>Ethology Ecology &amp; Evolution</w:t>
            </w:r>
            <w:r w:rsidRPr="000F453E">
              <w:rPr>
                <w:rFonts w:ascii="Times New Roman" w:eastAsia="Times New Roman" w:hAnsi="Times New Roman" w:cs="Times New Roman"/>
                <w:sz w:val="20"/>
                <w:szCs w:val="20"/>
                <w:lang w:eastAsia="en-ZA"/>
              </w:rPr>
              <w:t xml:space="preserve"> 26, 204-231. https://doi.org/10.1080/03949370.2014.908326.</w:t>
            </w:r>
          </w:p>
          <w:p w14:paraId="3EB2D2CC" w14:textId="14A2B423" w:rsidR="002D7080" w:rsidRPr="004D1E6F" w:rsidRDefault="000F453E" w:rsidP="002E2C37">
            <w:pPr>
              <w:ind w:left="510" w:hanging="510"/>
              <w:contextualSpacing/>
              <w:jc w:val="both"/>
              <w:rPr>
                <w:rFonts w:ascii="Times New Roman" w:eastAsia="Times New Roman" w:hAnsi="Times New Roman" w:cs="Times New Roman"/>
                <w:sz w:val="20"/>
                <w:szCs w:val="20"/>
                <w:lang w:eastAsia="en-ZA"/>
              </w:rPr>
            </w:pPr>
            <w:r w:rsidRPr="000F453E">
              <w:rPr>
                <w:rFonts w:ascii="Times New Roman" w:eastAsia="Times New Roman" w:hAnsi="Times New Roman" w:cs="Times New Roman"/>
                <w:iCs/>
                <w:sz w:val="20"/>
                <w:szCs w:val="20"/>
                <w:lang w:eastAsia="en-ZA"/>
              </w:rPr>
              <w:t>Woodford, D.J., Ivey, P., Novoa, A., Shackleton, R., Richardson, D., Weyl, O., Van Wilgen, B. and Zengeya, T</w:t>
            </w:r>
            <w:r w:rsidRPr="000F453E">
              <w:rPr>
                <w:rFonts w:ascii="Times New Roman" w:eastAsia="Times New Roman" w:hAnsi="Times New Roman" w:cs="Times New Roman"/>
                <w:sz w:val="20"/>
                <w:szCs w:val="20"/>
                <w:lang w:eastAsia="en-ZA"/>
              </w:rPr>
              <w:t xml:space="preserve">., 2017, ‘Managing conflict-generating invasive species in South Africa: Challenges and trade-offs’, </w:t>
            </w:r>
            <w:r w:rsidRPr="000F453E">
              <w:rPr>
                <w:rFonts w:ascii="Times New Roman" w:eastAsia="Times New Roman" w:hAnsi="Times New Roman" w:cs="Times New Roman"/>
                <w:i/>
                <w:iCs/>
                <w:sz w:val="20"/>
                <w:szCs w:val="20"/>
                <w:lang w:eastAsia="en-ZA"/>
              </w:rPr>
              <w:t xml:space="preserve">Bothalia </w:t>
            </w:r>
            <w:r w:rsidRPr="000F453E">
              <w:rPr>
                <w:rFonts w:ascii="Times New Roman" w:eastAsia="Times New Roman" w:hAnsi="Times New Roman" w:cs="Times New Roman"/>
                <w:sz w:val="20"/>
                <w:szCs w:val="20"/>
                <w:lang w:eastAsia="en-ZA"/>
              </w:rPr>
              <w:t>47, a2160. https://doi. org/10.4102/abc.v47i2.2160.</w:t>
            </w:r>
          </w:p>
        </w:tc>
      </w:tr>
    </w:tbl>
    <w:p w14:paraId="599D5933"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0473CE93"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tbl>
      <w:tblPr>
        <w:tblStyle w:val="TableGrid17"/>
        <w:tblW w:w="9067" w:type="dxa"/>
        <w:tblLook w:val="04A0" w:firstRow="1" w:lastRow="0" w:firstColumn="1" w:lastColumn="0" w:noHBand="0" w:noVBand="1"/>
      </w:tblPr>
      <w:tblGrid>
        <w:gridCol w:w="1696"/>
        <w:gridCol w:w="7371"/>
      </w:tblGrid>
      <w:tr w:rsidR="002D7080" w:rsidRPr="004D1E6F" w14:paraId="4F596EAD" w14:textId="77777777" w:rsidTr="002E2C37">
        <w:trPr>
          <w:trHeight w:val="343"/>
        </w:trPr>
        <w:tc>
          <w:tcPr>
            <w:tcW w:w="9067" w:type="dxa"/>
            <w:gridSpan w:val="2"/>
            <w:shd w:val="clear" w:color="auto" w:fill="F2F2F2" w:themeFill="background1" w:themeFillShade="F2"/>
          </w:tcPr>
          <w:p w14:paraId="69C89718" w14:textId="77777777" w:rsidR="002D7080" w:rsidRPr="004D1E6F" w:rsidRDefault="002D7080" w:rsidP="002E2C37">
            <w:pPr>
              <w:rPr>
                <w:rFonts w:ascii="Times New Roman" w:eastAsia="Calibri" w:hAnsi="Times New Roman" w:cs="Times New Roman"/>
                <w:sz w:val="20"/>
                <w:szCs w:val="20"/>
              </w:rPr>
            </w:pPr>
            <w:r w:rsidRPr="004D1E6F">
              <w:rPr>
                <w:rFonts w:ascii="Times New Roman" w:eastAsia="Times New Roman" w:hAnsi="Times New Roman" w:cs="Times New Roman"/>
                <w:b/>
                <w:sz w:val="20"/>
                <w:szCs w:val="20"/>
                <w:lang w:eastAsia="en-ZA"/>
              </w:rPr>
              <w:t xml:space="preserve">MAN6 Any other management considerations to highlight? </w:t>
            </w:r>
            <w:r w:rsidRPr="004D1E6F">
              <w:rPr>
                <w:rFonts w:ascii="Times New Roman" w:eastAsia="Times New Roman" w:hAnsi="Times New Roman" w:cs="Times New Roman"/>
                <w:sz w:val="20"/>
                <w:szCs w:val="20"/>
                <w:lang w:eastAsia="en-ZA"/>
              </w:rPr>
              <w:t>(if yes, fill in Appendix MAN6)</w:t>
            </w:r>
          </w:p>
        </w:tc>
      </w:tr>
      <w:tr w:rsidR="002D7080" w:rsidRPr="004D1E6F" w14:paraId="7A22F103" w14:textId="77777777" w:rsidTr="002E2C37">
        <w:trPr>
          <w:trHeight w:val="70"/>
        </w:trPr>
        <w:tc>
          <w:tcPr>
            <w:tcW w:w="1696" w:type="dxa"/>
          </w:tcPr>
          <w:p w14:paraId="34F7BF76"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lastRenderedPageBreak/>
              <w:t>Response</w:t>
            </w:r>
          </w:p>
        </w:tc>
        <w:tc>
          <w:tcPr>
            <w:tcW w:w="7371" w:type="dxa"/>
          </w:tcPr>
          <w:p w14:paraId="1F78D8D4" w14:textId="77777777" w:rsidR="002D7080" w:rsidRPr="004D1E6F" w:rsidRDefault="002D7080" w:rsidP="002E2C37">
            <w:pPr>
              <w:rPr>
                <w:rFonts w:ascii="Times New Roman" w:eastAsia="Times New Roman" w:hAnsi="Times New Roman" w:cs="Times New Roman"/>
                <w:sz w:val="20"/>
                <w:szCs w:val="20"/>
                <w:lang w:eastAsia="en-ZA"/>
              </w:rPr>
            </w:pPr>
            <w:r w:rsidRPr="004D1E6F">
              <w:rPr>
                <w:rFonts w:ascii="Times New Roman" w:eastAsia="Times New Roman" w:hAnsi="Times New Roman" w:cs="Times New Roman"/>
                <w:sz w:val="20"/>
                <w:szCs w:val="20"/>
                <w:lang w:eastAsia="en-ZA"/>
              </w:rPr>
              <w:t>Yes / No</w:t>
            </w:r>
          </w:p>
        </w:tc>
      </w:tr>
    </w:tbl>
    <w:p w14:paraId="2985028B" w14:textId="77777777" w:rsidR="002D7080" w:rsidRPr="004D1E6F" w:rsidRDefault="002D7080" w:rsidP="002D7080">
      <w:pPr>
        <w:spacing w:after="160" w:line="259" w:lineRule="auto"/>
        <w:rPr>
          <w:rFonts w:ascii="Times New Roman" w:eastAsia="Times New Roman" w:hAnsi="Times New Roman" w:cs="Times New Roman"/>
          <w:b/>
          <w:color w:val="000000"/>
          <w:sz w:val="20"/>
          <w:szCs w:val="20"/>
          <w:lang w:eastAsia="en-ZA"/>
        </w:rPr>
      </w:pPr>
    </w:p>
    <w:p w14:paraId="6EBF4B1C"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5. Calculations</w:t>
      </w:r>
    </w:p>
    <w:p w14:paraId="3BB16F5A"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2109A50A"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Likelihood = Fairly probable</w:t>
      </w:r>
    </w:p>
    <w:p w14:paraId="0A0D4634"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17"/>
        <w:tblW w:w="0" w:type="auto"/>
        <w:tblLook w:val="04A0" w:firstRow="1" w:lastRow="0" w:firstColumn="1" w:lastColumn="0" w:noHBand="0" w:noVBand="1"/>
      </w:tblPr>
      <w:tblGrid>
        <w:gridCol w:w="1195"/>
        <w:gridCol w:w="2628"/>
        <w:gridCol w:w="2939"/>
        <w:gridCol w:w="2254"/>
      </w:tblGrid>
      <w:tr w:rsidR="002D7080" w:rsidRPr="004D1E6F" w14:paraId="26D3DD5C" w14:textId="77777777" w:rsidTr="002E2C37">
        <w:tc>
          <w:tcPr>
            <w:tcW w:w="1195" w:type="dxa"/>
            <w:shd w:val="clear" w:color="auto" w:fill="D9D9D9" w:themeFill="background1" w:themeFillShade="D9"/>
            <w:vAlign w:val="center"/>
          </w:tcPr>
          <w:p w14:paraId="3A4AFD00"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Parameter</w:t>
            </w:r>
          </w:p>
        </w:tc>
        <w:tc>
          <w:tcPr>
            <w:tcW w:w="2628" w:type="dxa"/>
            <w:shd w:val="clear" w:color="auto" w:fill="D9D9D9" w:themeFill="background1" w:themeFillShade="D9"/>
            <w:vAlign w:val="center"/>
          </w:tcPr>
          <w:p w14:paraId="69D8C71C"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Likelihood</w:t>
            </w:r>
          </w:p>
        </w:tc>
        <w:tc>
          <w:tcPr>
            <w:tcW w:w="2939" w:type="dxa"/>
            <w:shd w:val="clear" w:color="auto" w:fill="D9D9D9" w:themeFill="background1" w:themeFillShade="D9"/>
            <w:vAlign w:val="center"/>
          </w:tcPr>
          <w:p w14:paraId="3C5B5C68"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Stages</w:t>
            </w:r>
          </w:p>
        </w:tc>
        <w:tc>
          <w:tcPr>
            <w:tcW w:w="2254" w:type="dxa"/>
            <w:shd w:val="clear" w:color="auto" w:fill="D9D9D9" w:themeFill="background1" w:themeFillShade="D9"/>
            <w:vAlign w:val="center"/>
          </w:tcPr>
          <w:p w14:paraId="17F4D674" w14:textId="77777777" w:rsidR="002D7080" w:rsidRPr="004D1E6F" w:rsidRDefault="002D7080" w:rsidP="002E2C37">
            <w:pPr>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Final assessment</w:t>
            </w:r>
          </w:p>
        </w:tc>
      </w:tr>
      <w:tr w:rsidR="002D7080" w:rsidRPr="004D1E6F" w14:paraId="1630E01E" w14:textId="77777777" w:rsidTr="002E2C37">
        <w:tc>
          <w:tcPr>
            <w:tcW w:w="1195" w:type="dxa"/>
            <w:shd w:val="clear" w:color="auto" w:fill="D9D9D9" w:themeFill="background1" w:themeFillShade="D9"/>
            <w:vAlign w:val="center"/>
          </w:tcPr>
          <w:p w14:paraId="28DFD542"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LIK1</w:t>
            </w:r>
          </w:p>
        </w:tc>
        <w:tc>
          <w:tcPr>
            <w:tcW w:w="2628" w:type="dxa"/>
            <w:vAlign w:val="center"/>
          </w:tcPr>
          <w:p w14:paraId="2E051FB7"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0.0027 </w:t>
            </w:r>
          </w:p>
        </w:tc>
        <w:tc>
          <w:tcPr>
            <w:tcW w:w="2939" w:type="dxa"/>
            <w:vMerge w:val="restart"/>
            <w:vAlign w:val="center"/>
          </w:tcPr>
          <w:p w14:paraId="159E880C"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P(entry) = 1</w:t>
            </w:r>
          </w:p>
        </w:tc>
        <w:tc>
          <w:tcPr>
            <w:tcW w:w="2254" w:type="dxa"/>
            <w:vMerge w:val="restart"/>
            <w:vAlign w:val="center"/>
          </w:tcPr>
          <w:p w14:paraId="7DD602A8"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 (invasion) = 0.</w:t>
            </w:r>
            <w:r>
              <w:rPr>
                <w:rFonts w:ascii="Times New Roman" w:eastAsia="Times New Roman" w:hAnsi="Times New Roman" w:cs="Times New Roman"/>
                <w:color w:val="000000"/>
                <w:sz w:val="20"/>
                <w:szCs w:val="20"/>
                <w:lang w:eastAsia="en-ZA"/>
              </w:rPr>
              <w:t>2</w:t>
            </w:r>
            <w:r w:rsidRPr="004D1E6F">
              <w:rPr>
                <w:rFonts w:ascii="Times New Roman" w:eastAsia="Times New Roman" w:hAnsi="Times New Roman" w:cs="Times New Roman"/>
                <w:color w:val="000000"/>
                <w:sz w:val="20"/>
                <w:szCs w:val="20"/>
                <w:lang w:eastAsia="en-ZA"/>
              </w:rPr>
              <w:t>5</w:t>
            </w:r>
          </w:p>
        </w:tc>
      </w:tr>
      <w:tr w:rsidR="002D7080" w:rsidRPr="004D1E6F" w14:paraId="37D41739" w14:textId="77777777" w:rsidTr="002E2C37">
        <w:tc>
          <w:tcPr>
            <w:tcW w:w="1195" w:type="dxa"/>
            <w:shd w:val="clear" w:color="auto" w:fill="D9D9D9" w:themeFill="background1" w:themeFillShade="D9"/>
            <w:vAlign w:val="center"/>
          </w:tcPr>
          <w:p w14:paraId="6C12A6C1"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LIK2</w:t>
            </w:r>
          </w:p>
        </w:tc>
        <w:tc>
          <w:tcPr>
            <w:tcW w:w="2628" w:type="dxa"/>
            <w:vAlign w:val="center"/>
          </w:tcPr>
          <w:p w14:paraId="22941B5F"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1</w:t>
            </w:r>
          </w:p>
        </w:tc>
        <w:tc>
          <w:tcPr>
            <w:tcW w:w="2939" w:type="dxa"/>
            <w:vMerge/>
            <w:vAlign w:val="center"/>
          </w:tcPr>
          <w:p w14:paraId="26EADCA9"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1B200E5F"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1BE168B6" w14:textId="77777777" w:rsidTr="002E2C37">
        <w:tc>
          <w:tcPr>
            <w:tcW w:w="1195" w:type="dxa"/>
            <w:shd w:val="clear" w:color="auto" w:fill="D9D9D9" w:themeFill="background1" w:themeFillShade="D9"/>
            <w:vAlign w:val="center"/>
          </w:tcPr>
          <w:p w14:paraId="5E8BAED6"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LIK3</w:t>
            </w:r>
          </w:p>
        </w:tc>
        <w:tc>
          <w:tcPr>
            <w:tcW w:w="2628" w:type="dxa"/>
            <w:vAlign w:val="center"/>
          </w:tcPr>
          <w:p w14:paraId="2FBF2C5F"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0.5 </w:t>
            </w:r>
          </w:p>
        </w:tc>
        <w:tc>
          <w:tcPr>
            <w:tcW w:w="2939" w:type="dxa"/>
            <w:vMerge w:val="restart"/>
            <w:vAlign w:val="center"/>
          </w:tcPr>
          <w:p w14:paraId="5416102D"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P(establishment) = 0.5</w:t>
            </w:r>
          </w:p>
        </w:tc>
        <w:tc>
          <w:tcPr>
            <w:tcW w:w="2254" w:type="dxa"/>
            <w:vMerge/>
            <w:vAlign w:val="center"/>
          </w:tcPr>
          <w:p w14:paraId="6D777C1D"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25A2DE05" w14:textId="77777777" w:rsidTr="002E2C37">
        <w:tc>
          <w:tcPr>
            <w:tcW w:w="1195" w:type="dxa"/>
            <w:shd w:val="clear" w:color="auto" w:fill="D9D9D9" w:themeFill="background1" w:themeFillShade="D9"/>
            <w:vAlign w:val="center"/>
          </w:tcPr>
          <w:p w14:paraId="317AD17B"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LIK4</w:t>
            </w:r>
          </w:p>
        </w:tc>
        <w:tc>
          <w:tcPr>
            <w:tcW w:w="2628" w:type="dxa"/>
            <w:vAlign w:val="center"/>
          </w:tcPr>
          <w:p w14:paraId="4FC31A79"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0.5 </w:t>
            </w:r>
          </w:p>
        </w:tc>
        <w:tc>
          <w:tcPr>
            <w:tcW w:w="2939" w:type="dxa"/>
            <w:vMerge/>
            <w:vAlign w:val="center"/>
          </w:tcPr>
          <w:p w14:paraId="0ADB760B"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204C2E8F"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35D4DA93" w14:textId="77777777" w:rsidTr="002E2C37">
        <w:tc>
          <w:tcPr>
            <w:tcW w:w="1195" w:type="dxa"/>
            <w:shd w:val="clear" w:color="auto" w:fill="D9D9D9" w:themeFill="background1" w:themeFillShade="D9"/>
            <w:vAlign w:val="center"/>
          </w:tcPr>
          <w:p w14:paraId="742C36E3"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LIK5</w:t>
            </w:r>
          </w:p>
        </w:tc>
        <w:tc>
          <w:tcPr>
            <w:tcW w:w="2628" w:type="dxa"/>
            <w:vAlign w:val="center"/>
          </w:tcPr>
          <w:p w14:paraId="5F4290D5"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0.0027</w:t>
            </w:r>
          </w:p>
        </w:tc>
        <w:tc>
          <w:tcPr>
            <w:tcW w:w="2939" w:type="dxa"/>
            <w:vMerge w:val="restart"/>
            <w:vAlign w:val="center"/>
          </w:tcPr>
          <w:p w14:paraId="17BB2AA6"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 xml:space="preserve">P (spread) = </w:t>
            </w:r>
            <w:r>
              <w:rPr>
                <w:rFonts w:ascii="Times New Roman" w:eastAsia="Times New Roman" w:hAnsi="Times New Roman" w:cs="Times New Roman"/>
                <w:color w:val="000000"/>
                <w:sz w:val="20"/>
                <w:szCs w:val="20"/>
                <w:lang w:eastAsia="en-ZA"/>
              </w:rPr>
              <w:t>0.5</w:t>
            </w:r>
          </w:p>
        </w:tc>
        <w:tc>
          <w:tcPr>
            <w:tcW w:w="2254" w:type="dxa"/>
            <w:vMerge/>
            <w:vAlign w:val="center"/>
          </w:tcPr>
          <w:p w14:paraId="025FF208" w14:textId="77777777" w:rsidR="002D7080" w:rsidRPr="004D1E6F" w:rsidRDefault="002D7080" w:rsidP="002E2C37">
            <w:pPr>
              <w:rPr>
                <w:rFonts w:ascii="Times New Roman" w:eastAsia="Times New Roman" w:hAnsi="Times New Roman" w:cs="Times New Roman"/>
                <w:color w:val="000000"/>
                <w:sz w:val="20"/>
                <w:szCs w:val="20"/>
                <w:lang w:eastAsia="en-ZA"/>
              </w:rPr>
            </w:pPr>
          </w:p>
        </w:tc>
      </w:tr>
      <w:tr w:rsidR="002D7080" w:rsidRPr="004D1E6F" w14:paraId="6BDC9141" w14:textId="77777777" w:rsidTr="002E2C37">
        <w:tc>
          <w:tcPr>
            <w:tcW w:w="1195" w:type="dxa"/>
            <w:shd w:val="clear" w:color="auto" w:fill="D9D9D9" w:themeFill="background1" w:themeFillShade="D9"/>
            <w:vAlign w:val="center"/>
          </w:tcPr>
          <w:p w14:paraId="41D1FFB0" w14:textId="77777777" w:rsidR="002D7080" w:rsidRPr="004D1E6F" w:rsidRDefault="002D7080" w:rsidP="002E2C37">
            <w:pPr>
              <w:rPr>
                <w:rFonts w:ascii="Times New Roman" w:eastAsia="Times New Roman" w:hAnsi="Times New Roman" w:cs="Times New Roman"/>
                <w:color w:val="000000"/>
                <w:sz w:val="20"/>
                <w:szCs w:val="20"/>
                <w:lang w:eastAsia="en-ZA"/>
              </w:rPr>
            </w:pPr>
            <w:r w:rsidRPr="004D1E6F">
              <w:rPr>
                <w:rFonts w:ascii="Times New Roman" w:eastAsia="Times New Roman" w:hAnsi="Times New Roman" w:cs="Times New Roman"/>
                <w:color w:val="000000"/>
                <w:sz w:val="20"/>
                <w:szCs w:val="20"/>
                <w:lang w:eastAsia="en-ZA"/>
              </w:rPr>
              <w:t>LIK6</w:t>
            </w:r>
          </w:p>
        </w:tc>
        <w:tc>
          <w:tcPr>
            <w:tcW w:w="2628" w:type="dxa"/>
            <w:vAlign w:val="center"/>
          </w:tcPr>
          <w:p w14:paraId="304ADBF4" w14:textId="77777777" w:rsidR="002D7080" w:rsidRPr="004D1E6F" w:rsidRDefault="002D7080" w:rsidP="002E2C37">
            <w:pPr>
              <w:rPr>
                <w:rFonts w:ascii="Times New Roman" w:eastAsia="Times New Roman" w:hAnsi="Times New Roman" w:cs="Times New Roman"/>
                <w:color w:val="000000"/>
                <w:sz w:val="20"/>
                <w:szCs w:val="20"/>
                <w:lang w:eastAsia="en-ZA"/>
              </w:rPr>
            </w:pPr>
            <w:r>
              <w:rPr>
                <w:rFonts w:ascii="Times New Roman" w:eastAsia="Times New Roman" w:hAnsi="Times New Roman" w:cs="Times New Roman"/>
                <w:color w:val="000000"/>
                <w:sz w:val="20"/>
                <w:szCs w:val="20"/>
                <w:lang w:eastAsia="en-ZA"/>
              </w:rPr>
              <w:t>0.5</w:t>
            </w:r>
          </w:p>
        </w:tc>
        <w:tc>
          <w:tcPr>
            <w:tcW w:w="2939" w:type="dxa"/>
            <w:vMerge/>
            <w:vAlign w:val="center"/>
          </w:tcPr>
          <w:p w14:paraId="42E4F163" w14:textId="77777777" w:rsidR="002D7080" w:rsidRPr="004D1E6F" w:rsidRDefault="002D7080" w:rsidP="002E2C37">
            <w:pPr>
              <w:rPr>
                <w:rFonts w:ascii="Times New Roman" w:eastAsia="Times New Roman" w:hAnsi="Times New Roman" w:cs="Times New Roman"/>
                <w:color w:val="000000"/>
                <w:sz w:val="20"/>
                <w:szCs w:val="20"/>
                <w:lang w:eastAsia="en-ZA"/>
              </w:rPr>
            </w:pPr>
          </w:p>
        </w:tc>
        <w:tc>
          <w:tcPr>
            <w:tcW w:w="2254" w:type="dxa"/>
            <w:vMerge/>
            <w:vAlign w:val="center"/>
          </w:tcPr>
          <w:p w14:paraId="640D4352" w14:textId="77777777" w:rsidR="002D7080" w:rsidRPr="004D1E6F" w:rsidRDefault="002D7080" w:rsidP="002E2C37">
            <w:pPr>
              <w:rPr>
                <w:rFonts w:ascii="Times New Roman" w:eastAsia="Times New Roman" w:hAnsi="Times New Roman" w:cs="Times New Roman"/>
                <w:color w:val="000000"/>
                <w:sz w:val="20"/>
                <w:szCs w:val="20"/>
                <w:lang w:eastAsia="en-ZA"/>
              </w:rPr>
            </w:pPr>
          </w:p>
        </w:tc>
      </w:tr>
    </w:tbl>
    <w:p w14:paraId="07BD5D1C" w14:textId="77777777" w:rsidR="002D7080" w:rsidRPr="004D1E6F" w:rsidRDefault="002D7080" w:rsidP="002D7080">
      <w:pPr>
        <w:spacing w:after="0" w:line="240" w:lineRule="auto"/>
        <w:rPr>
          <w:rFonts w:ascii="Times New Roman" w:eastAsia="Times New Roman" w:hAnsi="Times New Roman" w:cs="Times New Roman"/>
          <w:color w:val="000000"/>
          <w:sz w:val="20"/>
          <w:szCs w:val="20"/>
          <w:lang w:eastAsia="en-ZA"/>
        </w:rPr>
      </w:pPr>
    </w:p>
    <w:p w14:paraId="06A99D45"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r w:rsidRPr="004D1E6F">
        <w:rPr>
          <w:rFonts w:ascii="Times New Roman" w:eastAsia="Times New Roman" w:hAnsi="Times New Roman" w:cs="Times New Roman"/>
          <w:b/>
          <w:color w:val="000000"/>
          <w:sz w:val="20"/>
          <w:szCs w:val="20"/>
          <w:lang w:eastAsia="en-ZA"/>
        </w:rPr>
        <w:t xml:space="preserve">Consequence = </w:t>
      </w:r>
      <w:r w:rsidRPr="008D7105">
        <w:rPr>
          <w:rFonts w:ascii="Times New Roman" w:eastAsia="Times New Roman" w:hAnsi="Times New Roman" w:cs="Times New Roman"/>
          <w:b/>
          <w:bCs/>
          <w:color w:val="000000"/>
          <w:sz w:val="20"/>
          <w:szCs w:val="20"/>
          <w:lang w:eastAsia="en-ZA"/>
        </w:rPr>
        <w:t>Major (MR)</w:t>
      </w:r>
    </w:p>
    <w:p w14:paraId="340305FB"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Style w:val="TableGrid23"/>
        <w:tblW w:w="0" w:type="auto"/>
        <w:tblLook w:val="04A0" w:firstRow="1" w:lastRow="0" w:firstColumn="1" w:lastColumn="0" w:noHBand="0" w:noVBand="1"/>
      </w:tblPr>
      <w:tblGrid>
        <w:gridCol w:w="1555"/>
        <w:gridCol w:w="5953"/>
        <w:gridCol w:w="1508"/>
      </w:tblGrid>
      <w:tr w:rsidR="002D7080" w:rsidRPr="004D1E6F" w14:paraId="62DBEA63" w14:textId="77777777" w:rsidTr="002E2C37">
        <w:tc>
          <w:tcPr>
            <w:tcW w:w="1555" w:type="dxa"/>
            <w:shd w:val="clear" w:color="auto" w:fill="D9D9D9" w:themeFill="background1" w:themeFillShade="D9"/>
          </w:tcPr>
          <w:p w14:paraId="73094493" w14:textId="77777777" w:rsidR="002D7080" w:rsidRPr="004D1E6F" w:rsidRDefault="002D7080" w:rsidP="002E2C37">
            <w:pPr>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Parameter</w:t>
            </w:r>
          </w:p>
        </w:tc>
        <w:tc>
          <w:tcPr>
            <w:tcW w:w="5953" w:type="dxa"/>
            <w:shd w:val="clear" w:color="auto" w:fill="D9D9D9" w:themeFill="background1" w:themeFillShade="D9"/>
          </w:tcPr>
          <w:p w14:paraId="4598A5CD" w14:textId="77777777" w:rsidR="002D7080" w:rsidRPr="004D1E6F" w:rsidRDefault="002D7080" w:rsidP="002E2C37">
            <w:pPr>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Mechanism/sector</w:t>
            </w:r>
          </w:p>
        </w:tc>
        <w:tc>
          <w:tcPr>
            <w:tcW w:w="1508" w:type="dxa"/>
            <w:shd w:val="clear" w:color="auto" w:fill="D9D9D9" w:themeFill="background1" w:themeFillShade="D9"/>
          </w:tcPr>
          <w:p w14:paraId="0C1D809E" w14:textId="77777777" w:rsidR="002D7080" w:rsidRPr="004D1E6F" w:rsidRDefault="002D7080" w:rsidP="002E2C37">
            <w:pPr>
              <w:jc w:val="both"/>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Response</w:t>
            </w:r>
          </w:p>
        </w:tc>
      </w:tr>
      <w:tr w:rsidR="002D7080" w:rsidRPr="004D1E6F" w14:paraId="231BDD70" w14:textId="77777777" w:rsidTr="002E2C37">
        <w:tc>
          <w:tcPr>
            <w:tcW w:w="1555" w:type="dxa"/>
            <w:shd w:val="clear" w:color="auto" w:fill="D9D9D9" w:themeFill="background1" w:themeFillShade="D9"/>
          </w:tcPr>
          <w:p w14:paraId="29BBD2A0"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CON1</w:t>
            </w:r>
          </w:p>
        </w:tc>
        <w:tc>
          <w:tcPr>
            <w:tcW w:w="5953" w:type="dxa"/>
            <w:shd w:val="clear" w:color="auto" w:fill="D9D9D9" w:themeFill="background1" w:themeFillShade="D9"/>
          </w:tcPr>
          <w:p w14:paraId="258C04DD"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 xml:space="preserve">Maximum environmental impact </w:t>
            </w:r>
          </w:p>
        </w:tc>
        <w:tc>
          <w:tcPr>
            <w:tcW w:w="1508" w:type="dxa"/>
          </w:tcPr>
          <w:p w14:paraId="07A369BB"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DD</w:t>
            </w:r>
          </w:p>
        </w:tc>
      </w:tr>
      <w:tr w:rsidR="002D7080" w:rsidRPr="004D1E6F" w14:paraId="040631A1" w14:textId="77777777" w:rsidTr="002E2C37">
        <w:tc>
          <w:tcPr>
            <w:tcW w:w="1555" w:type="dxa"/>
            <w:shd w:val="clear" w:color="auto" w:fill="D9D9D9" w:themeFill="background1" w:themeFillShade="D9"/>
          </w:tcPr>
          <w:p w14:paraId="7F0AD57E"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CON2</w:t>
            </w:r>
          </w:p>
        </w:tc>
        <w:tc>
          <w:tcPr>
            <w:tcW w:w="5953" w:type="dxa"/>
            <w:shd w:val="clear" w:color="auto" w:fill="D9D9D9" w:themeFill="background1" w:themeFillShade="D9"/>
          </w:tcPr>
          <w:p w14:paraId="5DAD51BC"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Maximum socio-economic impact</w:t>
            </w:r>
          </w:p>
        </w:tc>
        <w:tc>
          <w:tcPr>
            <w:tcW w:w="1508" w:type="dxa"/>
          </w:tcPr>
          <w:p w14:paraId="5D258903"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DD</w:t>
            </w:r>
          </w:p>
        </w:tc>
      </w:tr>
      <w:tr w:rsidR="002D7080" w:rsidRPr="004D1E6F" w14:paraId="53039116" w14:textId="77777777" w:rsidTr="002E2C37">
        <w:tc>
          <w:tcPr>
            <w:tcW w:w="1555" w:type="dxa"/>
            <w:shd w:val="clear" w:color="auto" w:fill="D9D9D9" w:themeFill="background1" w:themeFillShade="D9"/>
          </w:tcPr>
          <w:p w14:paraId="7CAA926D"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CON1a</w:t>
            </w:r>
          </w:p>
        </w:tc>
        <w:tc>
          <w:tcPr>
            <w:tcW w:w="5953" w:type="dxa"/>
            <w:shd w:val="clear" w:color="auto" w:fill="D9D9D9" w:themeFill="background1" w:themeFillShade="D9"/>
          </w:tcPr>
          <w:p w14:paraId="36C04E7E"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Competition</w:t>
            </w:r>
          </w:p>
        </w:tc>
        <w:tc>
          <w:tcPr>
            <w:tcW w:w="1508" w:type="dxa"/>
          </w:tcPr>
          <w:p w14:paraId="0A900B06"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color w:val="000000"/>
                <w:sz w:val="20"/>
                <w:szCs w:val="20"/>
                <w:lang w:eastAsia="en-ZA"/>
              </w:rPr>
              <w:t>DD</w:t>
            </w:r>
          </w:p>
        </w:tc>
      </w:tr>
      <w:tr w:rsidR="002D7080" w:rsidRPr="004D1E6F" w14:paraId="643A8F95" w14:textId="77777777" w:rsidTr="002E2C37">
        <w:tc>
          <w:tcPr>
            <w:tcW w:w="1555" w:type="dxa"/>
            <w:shd w:val="clear" w:color="auto" w:fill="D9D9D9" w:themeFill="background1" w:themeFillShade="D9"/>
          </w:tcPr>
          <w:p w14:paraId="4AE1E3C4"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CON1b</w:t>
            </w:r>
          </w:p>
        </w:tc>
        <w:tc>
          <w:tcPr>
            <w:tcW w:w="5953" w:type="dxa"/>
            <w:shd w:val="clear" w:color="auto" w:fill="D9D9D9" w:themeFill="background1" w:themeFillShade="D9"/>
          </w:tcPr>
          <w:p w14:paraId="56EBA9D2"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Predation</w:t>
            </w:r>
          </w:p>
        </w:tc>
        <w:tc>
          <w:tcPr>
            <w:tcW w:w="1508" w:type="dxa"/>
          </w:tcPr>
          <w:p w14:paraId="29DED267"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color w:val="000000"/>
                <w:sz w:val="20"/>
                <w:szCs w:val="20"/>
                <w:lang w:eastAsia="en-ZA"/>
              </w:rPr>
              <w:t>DD</w:t>
            </w:r>
          </w:p>
        </w:tc>
      </w:tr>
      <w:tr w:rsidR="002D7080" w:rsidRPr="004D1E6F" w14:paraId="79DCDC7F" w14:textId="77777777" w:rsidTr="002E2C37">
        <w:tc>
          <w:tcPr>
            <w:tcW w:w="1555" w:type="dxa"/>
            <w:shd w:val="clear" w:color="auto" w:fill="D9D9D9" w:themeFill="background1" w:themeFillShade="D9"/>
          </w:tcPr>
          <w:p w14:paraId="35A342FC"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CON1c</w:t>
            </w:r>
          </w:p>
        </w:tc>
        <w:tc>
          <w:tcPr>
            <w:tcW w:w="5953" w:type="dxa"/>
            <w:shd w:val="clear" w:color="auto" w:fill="D9D9D9" w:themeFill="background1" w:themeFillShade="D9"/>
          </w:tcPr>
          <w:p w14:paraId="534DA10D"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Hybridisation</w:t>
            </w:r>
          </w:p>
        </w:tc>
        <w:tc>
          <w:tcPr>
            <w:tcW w:w="1508" w:type="dxa"/>
          </w:tcPr>
          <w:p w14:paraId="642851F4"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color w:val="000000"/>
                <w:sz w:val="20"/>
                <w:szCs w:val="20"/>
                <w:lang w:eastAsia="en-ZA"/>
              </w:rPr>
              <w:t>DD</w:t>
            </w:r>
          </w:p>
        </w:tc>
      </w:tr>
      <w:tr w:rsidR="002D7080" w:rsidRPr="004D1E6F" w14:paraId="57917EBA" w14:textId="77777777" w:rsidTr="002E2C37">
        <w:tc>
          <w:tcPr>
            <w:tcW w:w="1555" w:type="dxa"/>
            <w:shd w:val="clear" w:color="auto" w:fill="D9D9D9" w:themeFill="background1" w:themeFillShade="D9"/>
          </w:tcPr>
          <w:p w14:paraId="2903F2B1"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CON1d</w:t>
            </w:r>
          </w:p>
        </w:tc>
        <w:tc>
          <w:tcPr>
            <w:tcW w:w="5953" w:type="dxa"/>
            <w:shd w:val="clear" w:color="auto" w:fill="D9D9D9" w:themeFill="background1" w:themeFillShade="D9"/>
          </w:tcPr>
          <w:p w14:paraId="17824233"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Disease transmission</w:t>
            </w:r>
          </w:p>
        </w:tc>
        <w:tc>
          <w:tcPr>
            <w:tcW w:w="1508" w:type="dxa"/>
          </w:tcPr>
          <w:p w14:paraId="7B326675"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color w:val="000000"/>
                <w:sz w:val="20"/>
                <w:szCs w:val="20"/>
                <w:lang w:eastAsia="en-ZA"/>
              </w:rPr>
              <w:t>DD</w:t>
            </w:r>
          </w:p>
        </w:tc>
      </w:tr>
      <w:tr w:rsidR="002D7080" w:rsidRPr="004D1E6F" w14:paraId="15324598" w14:textId="77777777" w:rsidTr="002E2C37">
        <w:tc>
          <w:tcPr>
            <w:tcW w:w="1555" w:type="dxa"/>
            <w:shd w:val="clear" w:color="auto" w:fill="D9D9D9" w:themeFill="background1" w:themeFillShade="D9"/>
          </w:tcPr>
          <w:p w14:paraId="03B798E4"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CON1e</w:t>
            </w:r>
          </w:p>
        </w:tc>
        <w:tc>
          <w:tcPr>
            <w:tcW w:w="5953" w:type="dxa"/>
            <w:shd w:val="clear" w:color="auto" w:fill="D9D9D9" w:themeFill="background1" w:themeFillShade="D9"/>
          </w:tcPr>
          <w:p w14:paraId="357104D9"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Parasitism</w:t>
            </w:r>
          </w:p>
        </w:tc>
        <w:tc>
          <w:tcPr>
            <w:tcW w:w="1508" w:type="dxa"/>
          </w:tcPr>
          <w:p w14:paraId="4BD3BE24"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color w:val="000000"/>
                <w:sz w:val="20"/>
                <w:szCs w:val="20"/>
                <w:lang w:eastAsia="en-ZA"/>
              </w:rPr>
              <w:t>DD</w:t>
            </w:r>
          </w:p>
        </w:tc>
      </w:tr>
      <w:tr w:rsidR="002D7080" w:rsidRPr="004D1E6F" w14:paraId="7EA0B1F2" w14:textId="77777777" w:rsidTr="002E2C37">
        <w:tc>
          <w:tcPr>
            <w:tcW w:w="1555" w:type="dxa"/>
            <w:shd w:val="clear" w:color="auto" w:fill="D9D9D9" w:themeFill="background1" w:themeFillShade="D9"/>
          </w:tcPr>
          <w:p w14:paraId="44A49BE1"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CON1f</w:t>
            </w:r>
          </w:p>
        </w:tc>
        <w:tc>
          <w:tcPr>
            <w:tcW w:w="5953" w:type="dxa"/>
            <w:shd w:val="clear" w:color="auto" w:fill="D9D9D9" w:themeFill="background1" w:themeFillShade="D9"/>
          </w:tcPr>
          <w:p w14:paraId="79FCE166"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Poisoning/toxicity</w:t>
            </w:r>
          </w:p>
        </w:tc>
        <w:tc>
          <w:tcPr>
            <w:tcW w:w="1508" w:type="dxa"/>
          </w:tcPr>
          <w:p w14:paraId="755FFE03"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color w:val="000000"/>
                <w:sz w:val="20"/>
                <w:szCs w:val="20"/>
                <w:lang w:eastAsia="en-ZA"/>
              </w:rPr>
              <w:t>DD</w:t>
            </w:r>
          </w:p>
        </w:tc>
      </w:tr>
      <w:tr w:rsidR="002D7080" w:rsidRPr="004D1E6F" w14:paraId="6AFBE9BB" w14:textId="77777777" w:rsidTr="002E2C37">
        <w:tc>
          <w:tcPr>
            <w:tcW w:w="1555" w:type="dxa"/>
            <w:shd w:val="clear" w:color="auto" w:fill="D9D9D9" w:themeFill="background1" w:themeFillShade="D9"/>
          </w:tcPr>
          <w:p w14:paraId="75D790AA"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CON1g</w:t>
            </w:r>
          </w:p>
        </w:tc>
        <w:tc>
          <w:tcPr>
            <w:tcW w:w="5953" w:type="dxa"/>
            <w:shd w:val="clear" w:color="auto" w:fill="D9D9D9" w:themeFill="background1" w:themeFillShade="D9"/>
          </w:tcPr>
          <w:p w14:paraId="69D5BE6B"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Bio-fouling or other direct physical disturbance</w:t>
            </w:r>
          </w:p>
        </w:tc>
        <w:tc>
          <w:tcPr>
            <w:tcW w:w="1508" w:type="dxa"/>
          </w:tcPr>
          <w:p w14:paraId="47F70808"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color w:val="000000"/>
                <w:sz w:val="20"/>
                <w:szCs w:val="20"/>
                <w:lang w:eastAsia="en-ZA"/>
              </w:rPr>
              <w:t>DD</w:t>
            </w:r>
          </w:p>
        </w:tc>
      </w:tr>
      <w:tr w:rsidR="002D7080" w:rsidRPr="004D1E6F" w14:paraId="56CAB647" w14:textId="77777777" w:rsidTr="002E2C37">
        <w:tc>
          <w:tcPr>
            <w:tcW w:w="1555" w:type="dxa"/>
            <w:shd w:val="clear" w:color="auto" w:fill="D9D9D9" w:themeFill="background1" w:themeFillShade="D9"/>
          </w:tcPr>
          <w:p w14:paraId="5D428811"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CON1h</w:t>
            </w:r>
          </w:p>
        </w:tc>
        <w:tc>
          <w:tcPr>
            <w:tcW w:w="5953" w:type="dxa"/>
            <w:shd w:val="clear" w:color="auto" w:fill="D9D9D9" w:themeFill="background1" w:themeFillShade="D9"/>
          </w:tcPr>
          <w:p w14:paraId="5C6AEBFC"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Grazing/herbivory/browsing</w:t>
            </w:r>
          </w:p>
        </w:tc>
        <w:tc>
          <w:tcPr>
            <w:tcW w:w="1508" w:type="dxa"/>
          </w:tcPr>
          <w:p w14:paraId="0CEC0D66"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color w:val="000000"/>
                <w:sz w:val="20"/>
                <w:szCs w:val="20"/>
                <w:lang w:eastAsia="en-ZA"/>
              </w:rPr>
              <w:t>DD</w:t>
            </w:r>
          </w:p>
        </w:tc>
      </w:tr>
      <w:tr w:rsidR="002D7080" w:rsidRPr="004D1E6F" w14:paraId="0224A46C" w14:textId="77777777" w:rsidTr="002E2C37">
        <w:tc>
          <w:tcPr>
            <w:tcW w:w="1555" w:type="dxa"/>
            <w:shd w:val="clear" w:color="auto" w:fill="D9D9D9" w:themeFill="background1" w:themeFillShade="D9"/>
          </w:tcPr>
          <w:p w14:paraId="39BFB2C9"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CON1i</w:t>
            </w:r>
          </w:p>
        </w:tc>
        <w:tc>
          <w:tcPr>
            <w:tcW w:w="5953" w:type="dxa"/>
            <w:shd w:val="clear" w:color="auto" w:fill="D9D9D9" w:themeFill="background1" w:themeFillShade="D9"/>
          </w:tcPr>
          <w:p w14:paraId="0A3A9F91"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Chemical, physical, structural impact</w:t>
            </w:r>
          </w:p>
        </w:tc>
        <w:tc>
          <w:tcPr>
            <w:tcW w:w="1508" w:type="dxa"/>
          </w:tcPr>
          <w:p w14:paraId="0608294A"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color w:val="000000"/>
                <w:sz w:val="20"/>
                <w:szCs w:val="20"/>
                <w:lang w:eastAsia="en-ZA"/>
              </w:rPr>
              <w:t>DD</w:t>
            </w:r>
          </w:p>
        </w:tc>
      </w:tr>
      <w:tr w:rsidR="002D7080" w:rsidRPr="004D1E6F" w14:paraId="180D213C" w14:textId="77777777" w:rsidTr="002E2C37">
        <w:tc>
          <w:tcPr>
            <w:tcW w:w="1555" w:type="dxa"/>
            <w:shd w:val="clear" w:color="auto" w:fill="D9D9D9" w:themeFill="background1" w:themeFillShade="D9"/>
          </w:tcPr>
          <w:p w14:paraId="52C480F9"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CON1k</w:t>
            </w:r>
          </w:p>
        </w:tc>
        <w:tc>
          <w:tcPr>
            <w:tcW w:w="5953" w:type="dxa"/>
            <w:shd w:val="clear" w:color="auto" w:fill="D9D9D9" w:themeFill="background1" w:themeFillShade="D9"/>
          </w:tcPr>
          <w:p w14:paraId="5794C413"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Indirect impacts through interactions with other species</w:t>
            </w:r>
          </w:p>
        </w:tc>
        <w:tc>
          <w:tcPr>
            <w:tcW w:w="1508" w:type="dxa"/>
          </w:tcPr>
          <w:p w14:paraId="0132E1CD"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color w:val="000000"/>
                <w:sz w:val="20"/>
                <w:szCs w:val="20"/>
                <w:lang w:eastAsia="en-ZA"/>
              </w:rPr>
              <w:t>DD</w:t>
            </w:r>
          </w:p>
        </w:tc>
      </w:tr>
      <w:tr w:rsidR="002D7080" w:rsidRPr="004D1E6F" w14:paraId="62ECE95C" w14:textId="77777777" w:rsidTr="002E2C37">
        <w:tc>
          <w:tcPr>
            <w:tcW w:w="1555" w:type="dxa"/>
            <w:shd w:val="clear" w:color="auto" w:fill="D9D9D9" w:themeFill="background1" w:themeFillShade="D9"/>
          </w:tcPr>
          <w:p w14:paraId="4AC0B145"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CON3</w:t>
            </w:r>
          </w:p>
        </w:tc>
        <w:tc>
          <w:tcPr>
            <w:tcW w:w="5953" w:type="dxa"/>
            <w:shd w:val="clear" w:color="auto" w:fill="D9D9D9" w:themeFill="background1" w:themeFillShade="D9"/>
          </w:tcPr>
          <w:p w14:paraId="5D5D8B6E"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Maximum environmental impact (closely related taxa)</w:t>
            </w:r>
          </w:p>
        </w:tc>
        <w:tc>
          <w:tcPr>
            <w:tcW w:w="1508" w:type="dxa"/>
          </w:tcPr>
          <w:p w14:paraId="68BAD792"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MR</w:t>
            </w:r>
          </w:p>
        </w:tc>
      </w:tr>
      <w:tr w:rsidR="002D7080" w:rsidRPr="004D1E6F" w14:paraId="2DB72E54" w14:textId="77777777" w:rsidTr="002E2C37">
        <w:tc>
          <w:tcPr>
            <w:tcW w:w="1555" w:type="dxa"/>
            <w:shd w:val="clear" w:color="auto" w:fill="D9D9D9" w:themeFill="background1" w:themeFillShade="D9"/>
          </w:tcPr>
          <w:p w14:paraId="35C148C9"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CON1a</w:t>
            </w:r>
          </w:p>
        </w:tc>
        <w:tc>
          <w:tcPr>
            <w:tcW w:w="5953" w:type="dxa"/>
            <w:shd w:val="clear" w:color="auto" w:fill="D9D9D9" w:themeFill="background1" w:themeFillShade="D9"/>
          </w:tcPr>
          <w:p w14:paraId="5312231B"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Calibri" w:hAnsi="Times New Roman" w:cs="Times New Roman"/>
                <w:bCs/>
                <w:sz w:val="20"/>
                <w:szCs w:val="20"/>
              </w:rPr>
              <w:t>Safety</w:t>
            </w:r>
          </w:p>
        </w:tc>
        <w:tc>
          <w:tcPr>
            <w:tcW w:w="1508" w:type="dxa"/>
          </w:tcPr>
          <w:p w14:paraId="79D9A5B6"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color w:val="000000"/>
                <w:sz w:val="20"/>
                <w:szCs w:val="20"/>
                <w:lang w:eastAsia="en-ZA"/>
              </w:rPr>
              <w:t>DD</w:t>
            </w:r>
          </w:p>
        </w:tc>
      </w:tr>
      <w:tr w:rsidR="002D7080" w:rsidRPr="004D1E6F" w14:paraId="5551D291" w14:textId="77777777" w:rsidTr="002E2C37">
        <w:tc>
          <w:tcPr>
            <w:tcW w:w="1555" w:type="dxa"/>
            <w:shd w:val="clear" w:color="auto" w:fill="D9D9D9" w:themeFill="background1" w:themeFillShade="D9"/>
          </w:tcPr>
          <w:p w14:paraId="6779260E"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CON1b</w:t>
            </w:r>
          </w:p>
        </w:tc>
        <w:tc>
          <w:tcPr>
            <w:tcW w:w="5953" w:type="dxa"/>
            <w:shd w:val="clear" w:color="auto" w:fill="D9D9D9" w:themeFill="background1" w:themeFillShade="D9"/>
          </w:tcPr>
          <w:p w14:paraId="2DB5C340"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Calibri" w:hAnsi="Times New Roman" w:cs="Times New Roman"/>
                <w:bCs/>
                <w:sz w:val="20"/>
                <w:szCs w:val="20"/>
              </w:rPr>
              <w:t>Material and immaterial assets</w:t>
            </w:r>
          </w:p>
        </w:tc>
        <w:tc>
          <w:tcPr>
            <w:tcW w:w="1508" w:type="dxa"/>
          </w:tcPr>
          <w:p w14:paraId="311031C3"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color w:val="000000"/>
                <w:sz w:val="20"/>
                <w:szCs w:val="20"/>
                <w:lang w:eastAsia="en-ZA"/>
              </w:rPr>
              <w:t>DD</w:t>
            </w:r>
          </w:p>
        </w:tc>
      </w:tr>
      <w:tr w:rsidR="002D7080" w:rsidRPr="004D1E6F" w14:paraId="4DF7B42E" w14:textId="77777777" w:rsidTr="002E2C37">
        <w:tc>
          <w:tcPr>
            <w:tcW w:w="1555" w:type="dxa"/>
            <w:shd w:val="clear" w:color="auto" w:fill="D9D9D9" w:themeFill="background1" w:themeFillShade="D9"/>
          </w:tcPr>
          <w:p w14:paraId="3F07DE84"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CON1c</w:t>
            </w:r>
          </w:p>
        </w:tc>
        <w:tc>
          <w:tcPr>
            <w:tcW w:w="5953" w:type="dxa"/>
            <w:shd w:val="clear" w:color="auto" w:fill="D9D9D9" w:themeFill="background1" w:themeFillShade="D9"/>
          </w:tcPr>
          <w:p w14:paraId="2BF03FA0"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Calibri" w:hAnsi="Times New Roman" w:cs="Times New Roman"/>
                <w:bCs/>
                <w:sz w:val="20"/>
                <w:szCs w:val="20"/>
              </w:rPr>
              <w:t>Health</w:t>
            </w:r>
          </w:p>
        </w:tc>
        <w:tc>
          <w:tcPr>
            <w:tcW w:w="1508" w:type="dxa"/>
          </w:tcPr>
          <w:p w14:paraId="3AC5B684"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color w:val="000000"/>
                <w:sz w:val="20"/>
                <w:szCs w:val="20"/>
                <w:lang w:eastAsia="en-ZA"/>
              </w:rPr>
              <w:t>DD</w:t>
            </w:r>
          </w:p>
        </w:tc>
      </w:tr>
      <w:tr w:rsidR="002D7080" w:rsidRPr="004D1E6F" w14:paraId="59402A3C" w14:textId="77777777" w:rsidTr="002E2C37">
        <w:tc>
          <w:tcPr>
            <w:tcW w:w="1555" w:type="dxa"/>
            <w:shd w:val="clear" w:color="auto" w:fill="D9D9D9" w:themeFill="background1" w:themeFillShade="D9"/>
          </w:tcPr>
          <w:p w14:paraId="32C81477"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lastRenderedPageBreak/>
              <w:t>CON1d</w:t>
            </w:r>
          </w:p>
        </w:tc>
        <w:tc>
          <w:tcPr>
            <w:tcW w:w="5953" w:type="dxa"/>
            <w:shd w:val="clear" w:color="auto" w:fill="D9D9D9" w:themeFill="background1" w:themeFillShade="D9"/>
          </w:tcPr>
          <w:p w14:paraId="40C5E535"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Calibri" w:hAnsi="Times New Roman" w:cs="Times New Roman"/>
                <w:bCs/>
                <w:sz w:val="20"/>
                <w:szCs w:val="20"/>
              </w:rPr>
              <w:t>Social, spiritual and cultural relations</w:t>
            </w:r>
          </w:p>
        </w:tc>
        <w:tc>
          <w:tcPr>
            <w:tcW w:w="1508" w:type="dxa"/>
          </w:tcPr>
          <w:p w14:paraId="02F70324"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color w:val="000000"/>
                <w:sz w:val="20"/>
                <w:szCs w:val="20"/>
                <w:lang w:eastAsia="en-ZA"/>
              </w:rPr>
              <w:t>DD</w:t>
            </w:r>
          </w:p>
        </w:tc>
      </w:tr>
      <w:tr w:rsidR="002D7080" w:rsidRPr="004D1E6F" w14:paraId="417284DD" w14:textId="77777777" w:rsidTr="002E2C37">
        <w:tc>
          <w:tcPr>
            <w:tcW w:w="1555" w:type="dxa"/>
            <w:shd w:val="clear" w:color="auto" w:fill="D9D9D9" w:themeFill="background1" w:themeFillShade="D9"/>
          </w:tcPr>
          <w:p w14:paraId="0DA11572"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CON4</w:t>
            </w:r>
          </w:p>
        </w:tc>
        <w:tc>
          <w:tcPr>
            <w:tcW w:w="5953" w:type="dxa"/>
            <w:shd w:val="clear" w:color="auto" w:fill="D9D9D9" w:themeFill="background1" w:themeFillShade="D9"/>
          </w:tcPr>
          <w:p w14:paraId="77C07221"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Maximum socio-economic impact (closely related taxa)</w:t>
            </w:r>
          </w:p>
        </w:tc>
        <w:tc>
          <w:tcPr>
            <w:tcW w:w="1508" w:type="dxa"/>
          </w:tcPr>
          <w:p w14:paraId="2CE75347"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MO</w:t>
            </w:r>
          </w:p>
        </w:tc>
      </w:tr>
      <w:tr w:rsidR="002D7080" w:rsidRPr="004D1E6F" w14:paraId="4A053080" w14:textId="77777777" w:rsidTr="002E2C37">
        <w:tc>
          <w:tcPr>
            <w:tcW w:w="1555" w:type="dxa"/>
            <w:shd w:val="clear" w:color="auto" w:fill="D9D9D9" w:themeFill="background1" w:themeFillShade="D9"/>
          </w:tcPr>
          <w:p w14:paraId="615FE35B"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CON5</w:t>
            </w:r>
          </w:p>
        </w:tc>
        <w:tc>
          <w:tcPr>
            <w:tcW w:w="5953" w:type="dxa"/>
            <w:shd w:val="clear" w:color="auto" w:fill="D9D9D9" w:themeFill="background1" w:themeFillShade="D9"/>
          </w:tcPr>
          <w:p w14:paraId="36A2086E"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Potential impact based on traits, experiments, or models</w:t>
            </w:r>
          </w:p>
        </w:tc>
        <w:tc>
          <w:tcPr>
            <w:tcW w:w="1508" w:type="dxa"/>
          </w:tcPr>
          <w:p w14:paraId="012A2CCC" w14:textId="77777777" w:rsidR="002D7080" w:rsidRPr="008D7105" w:rsidRDefault="002D7080" w:rsidP="002E2C37">
            <w:pPr>
              <w:jc w:val="both"/>
              <w:rPr>
                <w:rFonts w:ascii="Times New Roman" w:eastAsia="Times New Roman" w:hAnsi="Times New Roman" w:cs="Times New Roman"/>
                <w:bCs/>
                <w:sz w:val="20"/>
                <w:szCs w:val="20"/>
                <w:lang w:eastAsia="en-ZA"/>
              </w:rPr>
            </w:pPr>
            <w:r w:rsidRPr="008D7105">
              <w:rPr>
                <w:rFonts w:ascii="Times New Roman" w:eastAsia="Times New Roman" w:hAnsi="Times New Roman" w:cs="Times New Roman"/>
                <w:bCs/>
                <w:sz w:val="20"/>
                <w:szCs w:val="20"/>
                <w:lang w:eastAsia="en-ZA"/>
              </w:rPr>
              <w:t>MR</w:t>
            </w:r>
          </w:p>
        </w:tc>
      </w:tr>
    </w:tbl>
    <w:p w14:paraId="442286A7" w14:textId="77777777" w:rsidR="002D7080" w:rsidRDefault="002D7080" w:rsidP="002D7080">
      <w:pPr>
        <w:spacing w:after="0" w:line="240" w:lineRule="auto"/>
        <w:rPr>
          <w:rFonts w:ascii="Times New Roman" w:eastAsia="Times New Roman" w:hAnsi="Times New Roman" w:cs="Times New Roman"/>
          <w:b/>
          <w:sz w:val="20"/>
          <w:szCs w:val="20"/>
          <w:lang w:eastAsia="en-ZA"/>
        </w:rPr>
      </w:pPr>
    </w:p>
    <w:p w14:paraId="7B948609" w14:textId="77777777" w:rsidR="002D7080"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Risk score</w:t>
      </w:r>
      <w:r>
        <w:rPr>
          <w:rFonts w:ascii="Times New Roman" w:eastAsia="Times New Roman" w:hAnsi="Times New Roman" w:cs="Times New Roman"/>
          <w:b/>
          <w:sz w:val="20"/>
          <w:szCs w:val="20"/>
          <w:lang w:eastAsia="en-ZA"/>
        </w:rPr>
        <w:t>: High</w:t>
      </w:r>
      <w:r w:rsidRPr="004D1E6F">
        <w:rPr>
          <w:rFonts w:ascii="Times New Roman" w:eastAsia="Times New Roman" w:hAnsi="Times New Roman" w:cs="Times New Roman"/>
          <w:b/>
          <w:sz w:val="20"/>
          <w:szCs w:val="20"/>
          <w:lang w:eastAsia="en-ZA"/>
        </w:rPr>
        <w:t xml:space="preserve"> </w:t>
      </w:r>
    </w:p>
    <w:p w14:paraId="0BE71184"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p>
    <w:p w14:paraId="3A97AD60"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W w:w="7700" w:type="dxa"/>
        <w:tblInd w:w="55" w:type="dxa"/>
        <w:tblCellMar>
          <w:left w:w="70" w:type="dxa"/>
          <w:right w:w="70" w:type="dxa"/>
        </w:tblCellMar>
        <w:tblLook w:val="04A0" w:firstRow="1" w:lastRow="0" w:firstColumn="1" w:lastColumn="0" w:noHBand="0" w:noVBand="1"/>
      </w:tblPr>
      <w:tblGrid>
        <w:gridCol w:w="440"/>
        <w:gridCol w:w="2060"/>
        <w:gridCol w:w="1004"/>
        <w:gridCol w:w="953"/>
        <w:gridCol w:w="1223"/>
        <w:gridCol w:w="953"/>
        <w:gridCol w:w="1067"/>
      </w:tblGrid>
      <w:tr w:rsidR="002D7080" w:rsidRPr="004D1E6F" w14:paraId="452098DB" w14:textId="77777777" w:rsidTr="002E2C37">
        <w:trPr>
          <w:trHeight w:val="312"/>
        </w:trPr>
        <w:tc>
          <w:tcPr>
            <w:tcW w:w="440" w:type="dxa"/>
            <w:vMerge w:val="restart"/>
            <w:tcBorders>
              <w:top w:val="nil"/>
              <w:left w:val="nil"/>
              <w:bottom w:val="single" w:sz="4" w:space="0" w:color="000000"/>
              <w:right w:val="nil"/>
            </w:tcBorders>
            <w:shd w:val="clear" w:color="000000" w:fill="F2F2F2"/>
            <w:noWrap/>
            <w:vAlign w:val="bottom"/>
            <w:hideMark/>
          </w:tcPr>
          <w:p w14:paraId="67E30D18"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 </w:t>
            </w:r>
          </w:p>
        </w:tc>
        <w:tc>
          <w:tcPr>
            <w:tcW w:w="2060" w:type="dxa"/>
            <w:vMerge w:val="restart"/>
            <w:tcBorders>
              <w:top w:val="nil"/>
              <w:left w:val="nil"/>
              <w:bottom w:val="single" w:sz="4" w:space="0" w:color="000000"/>
              <w:right w:val="single" w:sz="4" w:space="0" w:color="auto"/>
            </w:tcBorders>
            <w:shd w:val="clear" w:color="000000" w:fill="F2F2F2"/>
            <w:noWrap/>
            <w:vAlign w:val="bottom"/>
            <w:hideMark/>
          </w:tcPr>
          <w:p w14:paraId="0C7A4E07"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 </w:t>
            </w:r>
          </w:p>
        </w:tc>
        <w:tc>
          <w:tcPr>
            <w:tcW w:w="5200" w:type="dxa"/>
            <w:gridSpan w:val="5"/>
            <w:tcBorders>
              <w:top w:val="nil"/>
              <w:left w:val="nil"/>
              <w:bottom w:val="single" w:sz="4" w:space="0" w:color="auto"/>
              <w:right w:val="nil"/>
            </w:tcBorders>
            <w:shd w:val="clear" w:color="auto" w:fill="D9D9D9" w:themeFill="background1" w:themeFillShade="D9"/>
            <w:noWrap/>
            <w:vAlign w:val="bottom"/>
            <w:hideMark/>
          </w:tcPr>
          <w:p w14:paraId="4B102321"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Consequences</w:t>
            </w:r>
          </w:p>
        </w:tc>
      </w:tr>
      <w:tr w:rsidR="002D7080" w:rsidRPr="004D1E6F" w14:paraId="6CC80290" w14:textId="77777777" w:rsidTr="002E2C37">
        <w:trPr>
          <w:trHeight w:val="312"/>
        </w:trPr>
        <w:tc>
          <w:tcPr>
            <w:tcW w:w="440" w:type="dxa"/>
            <w:vMerge/>
            <w:tcBorders>
              <w:top w:val="nil"/>
              <w:left w:val="nil"/>
              <w:bottom w:val="single" w:sz="4" w:space="0" w:color="000000"/>
              <w:right w:val="nil"/>
            </w:tcBorders>
            <w:vAlign w:val="center"/>
            <w:hideMark/>
          </w:tcPr>
          <w:p w14:paraId="0E94EAAB"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vMerge/>
            <w:tcBorders>
              <w:top w:val="nil"/>
              <w:left w:val="nil"/>
              <w:bottom w:val="single" w:sz="4" w:space="0" w:color="auto"/>
              <w:right w:val="single" w:sz="4" w:space="0" w:color="auto"/>
            </w:tcBorders>
            <w:vAlign w:val="center"/>
            <w:hideMark/>
          </w:tcPr>
          <w:p w14:paraId="01FB6530"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100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465855B"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MC</w:t>
            </w:r>
          </w:p>
        </w:tc>
        <w:tc>
          <w:tcPr>
            <w:tcW w:w="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65B9C043"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MN</w:t>
            </w:r>
          </w:p>
        </w:tc>
        <w:tc>
          <w:tcPr>
            <w:tcW w:w="122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2211B0C5"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MO</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bottom"/>
            <w:hideMark/>
          </w:tcPr>
          <w:p w14:paraId="1BB734A9"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MR</w:t>
            </w:r>
          </w:p>
        </w:tc>
        <w:tc>
          <w:tcPr>
            <w:tcW w:w="10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E6BE89F"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MV</w:t>
            </w:r>
          </w:p>
        </w:tc>
      </w:tr>
      <w:tr w:rsidR="002D7080" w:rsidRPr="004D1E6F" w14:paraId="096C3575" w14:textId="77777777" w:rsidTr="002E2C37">
        <w:trPr>
          <w:trHeight w:val="348"/>
        </w:trPr>
        <w:tc>
          <w:tcPr>
            <w:tcW w:w="440" w:type="dxa"/>
            <w:vMerge w:val="restart"/>
            <w:tcBorders>
              <w:top w:val="nil"/>
              <w:left w:val="nil"/>
              <w:bottom w:val="nil"/>
              <w:right w:val="single" w:sz="4" w:space="0" w:color="auto"/>
            </w:tcBorders>
            <w:shd w:val="clear" w:color="auto" w:fill="D9D9D9" w:themeFill="background1" w:themeFillShade="D9"/>
            <w:noWrap/>
            <w:textDirection w:val="btLr"/>
            <w:vAlign w:val="center"/>
            <w:hideMark/>
          </w:tcPr>
          <w:p w14:paraId="5017303E" w14:textId="77777777" w:rsidR="002D7080" w:rsidRPr="004D1E6F" w:rsidRDefault="002D7080" w:rsidP="002E2C37">
            <w:pPr>
              <w:spacing w:after="0" w:line="240" w:lineRule="auto"/>
              <w:jc w:val="center"/>
              <w:rPr>
                <w:rFonts w:ascii="Times New Roman" w:eastAsia="Times New Roman" w:hAnsi="Times New Roman" w:cs="Times New Roman"/>
                <w:b/>
                <w:bCs/>
                <w:color w:val="000000"/>
                <w:sz w:val="20"/>
                <w:szCs w:val="20"/>
                <w:lang w:eastAsia="de-CH"/>
              </w:rPr>
            </w:pPr>
            <w:r w:rsidRPr="004D1E6F">
              <w:rPr>
                <w:rFonts w:ascii="Times New Roman" w:eastAsia="Times New Roman" w:hAnsi="Times New Roman" w:cs="Times New Roman"/>
                <w:b/>
                <w:bCs/>
                <w:color w:val="000000"/>
                <w:sz w:val="20"/>
                <w:szCs w:val="20"/>
                <w:lang w:eastAsia="de-CH"/>
              </w:rPr>
              <w:t>Likelihood</w:t>
            </w: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4A2A3F3"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Extremely unlikely</w:t>
            </w:r>
          </w:p>
        </w:tc>
        <w:tc>
          <w:tcPr>
            <w:tcW w:w="1004" w:type="dxa"/>
            <w:tcBorders>
              <w:top w:val="single" w:sz="4" w:space="0" w:color="auto"/>
              <w:left w:val="nil"/>
              <w:bottom w:val="single" w:sz="4" w:space="0" w:color="auto"/>
              <w:right w:val="single" w:sz="4" w:space="0" w:color="auto"/>
            </w:tcBorders>
            <w:noWrap/>
            <w:vAlign w:val="center"/>
            <w:hideMark/>
          </w:tcPr>
          <w:p w14:paraId="0E786A9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3C9CBC27"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63EAF397"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78FD660"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41FF7A4"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r>
      <w:tr w:rsidR="002D7080" w:rsidRPr="004D1E6F" w14:paraId="79915576"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174B8C1E"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84B20BB"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Very unlikely</w:t>
            </w:r>
          </w:p>
        </w:tc>
        <w:tc>
          <w:tcPr>
            <w:tcW w:w="1004" w:type="dxa"/>
            <w:tcBorders>
              <w:top w:val="single" w:sz="4" w:space="0" w:color="auto"/>
              <w:left w:val="nil"/>
              <w:bottom w:val="single" w:sz="4" w:space="0" w:color="auto"/>
              <w:right w:val="single" w:sz="4" w:space="0" w:color="auto"/>
            </w:tcBorders>
            <w:noWrap/>
            <w:vAlign w:val="center"/>
            <w:hideMark/>
          </w:tcPr>
          <w:p w14:paraId="05338ADE"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5630D77"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64084527"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2C51C87A"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5884CBF5"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06332E22"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57887971"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9A7BB58"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Unlikely</w:t>
            </w:r>
          </w:p>
        </w:tc>
        <w:tc>
          <w:tcPr>
            <w:tcW w:w="1004" w:type="dxa"/>
            <w:tcBorders>
              <w:top w:val="single" w:sz="4" w:space="0" w:color="auto"/>
              <w:left w:val="nil"/>
              <w:bottom w:val="single" w:sz="4" w:space="0" w:color="auto"/>
              <w:right w:val="single" w:sz="4" w:space="0" w:color="auto"/>
            </w:tcBorders>
            <w:noWrap/>
            <w:vAlign w:val="center"/>
            <w:hideMark/>
          </w:tcPr>
          <w:p w14:paraId="22CAE9E6"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5D7BE89B"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low</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75976A28"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4CD0774B"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noWrap/>
            <w:vAlign w:val="center"/>
            <w:hideMark/>
          </w:tcPr>
          <w:p w14:paraId="747D4E56"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73A3795A"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747D8F9C"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FFFF00"/>
            <w:noWrap/>
            <w:vAlign w:val="center"/>
            <w:hideMark/>
          </w:tcPr>
          <w:p w14:paraId="0FFB5BE5"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Fairly probable</w:t>
            </w:r>
          </w:p>
        </w:tc>
        <w:tc>
          <w:tcPr>
            <w:tcW w:w="1004" w:type="dxa"/>
            <w:tcBorders>
              <w:top w:val="single" w:sz="4" w:space="0" w:color="auto"/>
              <w:left w:val="nil"/>
              <w:bottom w:val="single" w:sz="4" w:space="0" w:color="auto"/>
              <w:right w:val="single" w:sz="4" w:space="0" w:color="auto"/>
            </w:tcBorders>
            <w:noWrap/>
            <w:vAlign w:val="center"/>
            <w:hideMark/>
          </w:tcPr>
          <w:p w14:paraId="39011C5C"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7AA9C9CA"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5EAF3873"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03158D8A" w14:textId="77777777" w:rsidR="002D7080" w:rsidRPr="002979A8" w:rsidRDefault="002D7080" w:rsidP="002E2C37">
            <w:pPr>
              <w:spacing w:after="0" w:line="240" w:lineRule="auto"/>
              <w:jc w:val="center"/>
              <w:rPr>
                <w:rFonts w:ascii="Times New Roman" w:eastAsia="Times New Roman" w:hAnsi="Times New Roman" w:cs="Times New Roman"/>
                <w:color w:val="000000"/>
                <w:sz w:val="20"/>
                <w:szCs w:val="20"/>
                <w:highlight w:val="yellow"/>
                <w:lang w:eastAsia="de-CH"/>
              </w:rPr>
            </w:pPr>
            <w:r w:rsidRPr="002979A8">
              <w:rPr>
                <w:rFonts w:ascii="Times New Roman" w:eastAsia="Times New Roman" w:hAnsi="Times New Roman" w:cs="Times New Roman"/>
                <w:color w:val="000000"/>
                <w:sz w:val="20"/>
                <w:szCs w:val="20"/>
                <w:highlight w:val="yellow"/>
                <w:lang w:eastAsia="de-CH"/>
              </w:rPr>
              <w:t>high</w:t>
            </w:r>
          </w:p>
        </w:tc>
        <w:tc>
          <w:tcPr>
            <w:tcW w:w="10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CE3A0FA"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r w:rsidR="002D7080" w:rsidRPr="004D1E6F" w14:paraId="162A4A97" w14:textId="77777777" w:rsidTr="002E2C37">
        <w:trPr>
          <w:trHeight w:val="348"/>
        </w:trPr>
        <w:tc>
          <w:tcPr>
            <w:tcW w:w="440" w:type="dxa"/>
            <w:vMerge/>
            <w:tcBorders>
              <w:top w:val="nil"/>
              <w:left w:val="nil"/>
              <w:bottom w:val="nil"/>
              <w:right w:val="single" w:sz="4" w:space="0" w:color="auto"/>
            </w:tcBorders>
            <w:shd w:val="clear" w:color="auto" w:fill="D9D9D9" w:themeFill="background1" w:themeFillShade="D9"/>
            <w:vAlign w:val="center"/>
            <w:hideMark/>
          </w:tcPr>
          <w:p w14:paraId="61735D11" w14:textId="77777777" w:rsidR="002D7080" w:rsidRPr="004D1E6F" w:rsidRDefault="002D7080" w:rsidP="002E2C37">
            <w:pPr>
              <w:spacing w:after="0" w:line="240" w:lineRule="auto"/>
              <w:rPr>
                <w:rFonts w:ascii="Times New Roman" w:eastAsia="Times New Roman" w:hAnsi="Times New Roman" w:cs="Times New Roman"/>
                <w:b/>
                <w:bCs/>
                <w:color w:val="000000"/>
                <w:sz w:val="20"/>
                <w:szCs w:val="20"/>
                <w:lang w:eastAsia="de-CH"/>
              </w:rPr>
            </w:pPr>
          </w:p>
        </w:tc>
        <w:tc>
          <w:tcPr>
            <w:tcW w:w="20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1C63A42"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Probable</w:t>
            </w:r>
          </w:p>
        </w:tc>
        <w:tc>
          <w:tcPr>
            <w:tcW w:w="1004" w:type="dxa"/>
            <w:tcBorders>
              <w:top w:val="single" w:sz="4" w:space="0" w:color="auto"/>
              <w:left w:val="nil"/>
              <w:bottom w:val="single" w:sz="4" w:space="0" w:color="auto"/>
              <w:right w:val="single" w:sz="4" w:space="0" w:color="auto"/>
            </w:tcBorders>
            <w:noWrap/>
            <w:vAlign w:val="center"/>
            <w:hideMark/>
          </w:tcPr>
          <w:p w14:paraId="4CB5AABA"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medium</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7063769C"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223" w:type="dxa"/>
            <w:tcBorders>
              <w:top w:val="single" w:sz="4" w:space="0" w:color="auto"/>
              <w:left w:val="single" w:sz="4" w:space="0" w:color="auto"/>
              <w:bottom w:val="single" w:sz="4" w:space="0" w:color="auto"/>
              <w:right w:val="single" w:sz="4" w:space="0" w:color="auto"/>
            </w:tcBorders>
            <w:noWrap/>
            <w:vAlign w:val="center"/>
            <w:hideMark/>
          </w:tcPr>
          <w:p w14:paraId="32CA4518"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953" w:type="dxa"/>
            <w:tcBorders>
              <w:top w:val="single" w:sz="4" w:space="0" w:color="auto"/>
              <w:left w:val="single" w:sz="4" w:space="0" w:color="auto"/>
              <w:bottom w:val="single" w:sz="4" w:space="0" w:color="auto"/>
              <w:right w:val="single" w:sz="4" w:space="0" w:color="auto"/>
            </w:tcBorders>
            <w:noWrap/>
            <w:vAlign w:val="center"/>
            <w:hideMark/>
          </w:tcPr>
          <w:p w14:paraId="14C97E77"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c>
          <w:tcPr>
            <w:tcW w:w="106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1055F6B" w14:textId="77777777" w:rsidR="002D7080" w:rsidRPr="004D1E6F" w:rsidRDefault="002D7080" w:rsidP="002E2C37">
            <w:pPr>
              <w:spacing w:after="0" w:line="240" w:lineRule="auto"/>
              <w:jc w:val="center"/>
              <w:rPr>
                <w:rFonts w:ascii="Times New Roman" w:eastAsia="Times New Roman" w:hAnsi="Times New Roman" w:cs="Times New Roman"/>
                <w:color w:val="000000"/>
                <w:sz w:val="20"/>
                <w:szCs w:val="20"/>
                <w:lang w:eastAsia="de-CH"/>
              </w:rPr>
            </w:pPr>
            <w:r w:rsidRPr="004D1E6F">
              <w:rPr>
                <w:rFonts w:ascii="Times New Roman" w:eastAsia="Times New Roman" w:hAnsi="Times New Roman" w:cs="Times New Roman"/>
                <w:color w:val="000000"/>
                <w:sz w:val="20"/>
                <w:szCs w:val="20"/>
                <w:lang w:eastAsia="de-CH"/>
              </w:rPr>
              <w:t>high</w:t>
            </w:r>
          </w:p>
        </w:tc>
      </w:tr>
    </w:tbl>
    <w:p w14:paraId="6F7C379A"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0B6E0A5B" w14:textId="77777777" w:rsidR="002D7080" w:rsidRPr="004D1E6F" w:rsidRDefault="002D7080" w:rsidP="002D7080">
      <w:pPr>
        <w:spacing w:after="0" w:line="240" w:lineRule="auto"/>
        <w:rPr>
          <w:rFonts w:ascii="Times New Roman" w:eastAsia="Times New Roman" w:hAnsi="Times New Roman" w:cs="Times New Roman"/>
          <w:b/>
          <w:sz w:val="20"/>
          <w:szCs w:val="20"/>
          <w:lang w:eastAsia="en-ZA"/>
        </w:rPr>
      </w:pPr>
      <w:r w:rsidRPr="004D1E6F">
        <w:rPr>
          <w:rFonts w:ascii="Times New Roman" w:eastAsia="Times New Roman" w:hAnsi="Times New Roman" w:cs="Times New Roman"/>
          <w:b/>
          <w:sz w:val="20"/>
          <w:szCs w:val="20"/>
          <w:lang w:eastAsia="en-ZA"/>
        </w:rPr>
        <w:t>Ease of management</w:t>
      </w:r>
      <w:r>
        <w:rPr>
          <w:rFonts w:ascii="Times New Roman" w:eastAsia="Times New Roman" w:hAnsi="Times New Roman" w:cs="Times New Roman"/>
          <w:b/>
          <w:sz w:val="20"/>
          <w:szCs w:val="20"/>
          <w:lang w:eastAsia="en-ZA"/>
        </w:rPr>
        <w:t xml:space="preserve">: difficult </w:t>
      </w:r>
    </w:p>
    <w:p w14:paraId="178FFED5"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tbl>
      <w:tblPr>
        <w:tblpPr w:leftFromText="180" w:rightFromText="180" w:vertAnchor="text" w:tblpY="1"/>
        <w:tblOverlap w:val="never"/>
        <w:tblW w:w="8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4667"/>
        <w:gridCol w:w="2013"/>
      </w:tblGrid>
      <w:tr w:rsidR="002D7080" w:rsidRPr="004D1E6F" w14:paraId="2444008B" w14:textId="77777777" w:rsidTr="002E2C37">
        <w:trPr>
          <w:trHeight w:val="272"/>
        </w:trPr>
        <w:tc>
          <w:tcPr>
            <w:tcW w:w="1678" w:type="dxa"/>
            <w:shd w:val="clear" w:color="auto" w:fill="D9D9D9" w:themeFill="background1" w:themeFillShade="D9"/>
            <w:vAlign w:val="center"/>
          </w:tcPr>
          <w:p w14:paraId="0A2FE695"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Parameter</w:t>
            </w:r>
          </w:p>
        </w:tc>
        <w:tc>
          <w:tcPr>
            <w:tcW w:w="4667" w:type="dxa"/>
            <w:shd w:val="clear" w:color="auto" w:fill="D9D9D9" w:themeFill="background1" w:themeFillShade="D9"/>
            <w:vAlign w:val="center"/>
          </w:tcPr>
          <w:p w14:paraId="6AAD9441"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Question</w:t>
            </w:r>
          </w:p>
        </w:tc>
        <w:tc>
          <w:tcPr>
            <w:tcW w:w="2013" w:type="dxa"/>
            <w:shd w:val="clear" w:color="auto" w:fill="D9D9D9" w:themeFill="background1" w:themeFillShade="D9"/>
            <w:vAlign w:val="center"/>
          </w:tcPr>
          <w:p w14:paraId="201D6F50"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Response</w:t>
            </w:r>
          </w:p>
        </w:tc>
      </w:tr>
      <w:tr w:rsidR="002D7080" w:rsidRPr="004D1E6F" w14:paraId="3666119A" w14:textId="77777777" w:rsidTr="002E2C37">
        <w:trPr>
          <w:trHeight w:val="305"/>
        </w:trPr>
        <w:tc>
          <w:tcPr>
            <w:tcW w:w="1678" w:type="dxa"/>
            <w:shd w:val="clear" w:color="auto" w:fill="D9D9D9" w:themeFill="background1" w:themeFillShade="D9"/>
            <w:vAlign w:val="center"/>
          </w:tcPr>
          <w:p w14:paraId="5FD59BFA"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MAN3a</w:t>
            </w:r>
          </w:p>
        </w:tc>
        <w:tc>
          <w:tcPr>
            <w:tcW w:w="4667" w:type="dxa"/>
            <w:shd w:val="clear" w:color="auto" w:fill="D9D9D9" w:themeFill="background1" w:themeFillShade="D9"/>
            <w:vAlign w:val="center"/>
          </w:tcPr>
          <w:p w14:paraId="20CDAA9A" w14:textId="77777777" w:rsidR="002D7080" w:rsidRPr="004D1E6F" w:rsidRDefault="002D7080" w:rsidP="002E2C37">
            <w:pPr>
              <w:tabs>
                <w:tab w:val="left" w:pos="1223"/>
              </w:tabs>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 xml:space="preserve">How accessible are populations? </w:t>
            </w:r>
          </w:p>
        </w:tc>
        <w:tc>
          <w:tcPr>
            <w:tcW w:w="2013" w:type="dxa"/>
            <w:vAlign w:val="center"/>
          </w:tcPr>
          <w:p w14:paraId="0D169530" w14:textId="77777777" w:rsidR="002D7080" w:rsidRPr="004D1E6F" w:rsidRDefault="002D7080" w:rsidP="002E2C37">
            <w:pPr>
              <w:tabs>
                <w:tab w:val="left" w:pos="1250"/>
              </w:tab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2</w:t>
            </w:r>
          </w:p>
        </w:tc>
      </w:tr>
      <w:tr w:rsidR="002D7080" w:rsidRPr="004D1E6F" w14:paraId="4243864D" w14:textId="77777777" w:rsidTr="002E2C37">
        <w:trPr>
          <w:trHeight w:val="274"/>
        </w:trPr>
        <w:tc>
          <w:tcPr>
            <w:tcW w:w="1678" w:type="dxa"/>
            <w:shd w:val="clear" w:color="auto" w:fill="D9D9D9" w:themeFill="background1" w:themeFillShade="D9"/>
            <w:vAlign w:val="center"/>
          </w:tcPr>
          <w:p w14:paraId="04BE1F82"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MAN3b</w:t>
            </w:r>
          </w:p>
        </w:tc>
        <w:tc>
          <w:tcPr>
            <w:tcW w:w="4667" w:type="dxa"/>
            <w:shd w:val="clear" w:color="auto" w:fill="D9D9D9" w:themeFill="background1" w:themeFillShade="D9"/>
            <w:vAlign w:val="center"/>
          </w:tcPr>
          <w:p w14:paraId="0CCB7A8C"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Is detectability critically time-dependent?</w:t>
            </w:r>
          </w:p>
        </w:tc>
        <w:tc>
          <w:tcPr>
            <w:tcW w:w="2013" w:type="dxa"/>
            <w:vAlign w:val="center"/>
          </w:tcPr>
          <w:p w14:paraId="752908CD"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2</w:t>
            </w:r>
          </w:p>
        </w:tc>
      </w:tr>
      <w:tr w:rsidR="002D7080" w:rsidRPr="004D1E6F" w14:paraId="79744553" w14:textId="77777777" w:rsidTr="002E2C37">
        <w:trPr>
          <w:trHeight w:val="274"/>
        </w:trPr>
        <w:tc>
          <w:tcPr>
            <w:tcW w:w="1678" w:type="dxa"/>
            <w:shd w:val="clear" w:color="auto" w:fill="D9D9D9" w:themeFill="background1" w:themeFillShade="D9"/>
            <w:vAlign w:val="center"/>
          </w:tcPr>
          <w:p w14:paraId="33840C1E"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MAN3c</w:t>
            </w:r>
          </w:p>
        </w:tc>
        <w:tc>
          <w:tcPr>
            <w:tcW w:w="4667" w:type="dxa"/>
            <w:shd w:val="clear" w:color="auto" w:fill="D9D9D9" w:themeFill="background1" w:themeFillShade="D9"/>
            <w:vAlign w:val="center"/>
          </w:tcPr>
          <w:p w14:paraId="6BD1B410"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Time to reproduction</w:t>
            </w:r>
          </w:p>
        </w:tc>
        <w:tc>
          <w:tcPr>
            <w:tcW w:w="2013" w:type="dxa"/>
            <w:vAlign w:val="center"/>
          </w:tcPr>
          <w:p w14:paraId="66F5A97E"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1</w:t>
            </w:r>
          </w:p>
        </w:tc>
      </w:tr>
      <w:tr w:rsidR="002D7080" w:rsidRPr="004D1E6F" w14:paraId="4B41348D" w14:textId="77777777" w:rsidTr="002E2C37">
        <w:trPr>
          <w:trHeight w:val="280"/>
        </w:trPr>
        <w:tc>
          <w:tcPr>
            <w:tcW w:w="1678" w:type="dxa"/>
            <w:shd w:val="clear" w:color="auto" w:fill="D9D9D9" w:themeFill="background1" w:themeFillShade="D9"/>
            <w:vAlign w:val="center"/>
          </w:tcPr>
          <w:p w14:paraId="7C947955" w14:textId="77777777" w:rsidR="002D7080" w:rsidRPr="004D1E6F" w:rsidRDefault="002D7080" w:rsidP="002E2C37">
            <w:pPr>
              <w:spacing w:after="0" w:line="240" w:lineRule="auto"/>
              <w:jc w:val="center"/>
              <w:rPr>
                <w:rFonts w:ascii="Times New Roman" w:eastAsia="Calibri" w:hAnsi="Times New Roman" w:cs="Times New Roman"/>
                <w:sz w:val="20"/>
                <w:szCs w:val="20"/>
              </w:rPr>
            </w:pPr>
            <w:r w:rsidRPr="004D1E6F">
              <w:rPr>
                <w:rFonts w:ascii="Times New Roman" w:eastAsia="Calibri" w:hAnsi="Times New Roman" w:cs="Times New Roman"/>
                <w:sz w:val="20"/>
                <w:szCs w:val="20"/>
              </w:rPr>
              <w:t>MAN3d</w:t>
            </w:r>
          </w:p>
        </w:tc>
        <w:tc>
          <w:tcPr>
            <w:tcW w:w="4667" w:type="dxa"/>
            <w:shd w:val="clear" w:color="auto" w:fill="D9D9D9" w:themeFill="background1" w:themeFillShade="D9"/>
            <w:vAlign w:val="center"/>
          </w:tcPr>
          <w:p w14:paraId="66FFBF91" w14:textId="77777777" w:rsidR="002D7080" w:rsidRPr="004D1E6F" w:rsidRDefault="002D7080" w:rsidP="002E2C37">
            <w:pPr>
              <w:spacing w:after="0" w:line="240" w:lineRule="auto"/>
              <w:rPr>
                <w:rFonts w:ascii="Times New Roman" w:eastAsia="Calibri" w:hAnsi="Times New Roman" w:cs="Times New Roman"/>
                <w:sz w:val="20"/>
                <w:szCs w:val="20"/>
              </w:rPr>
            </w:pPr>
            <w:r w:rsidRPr="004D1E6F">
              <w:rPr>
                <w:rFonts w:ascii="Times New Roman" w:eastAsia="Calibri" w:hAnsi="Times New Roman" w:cs="Times New Roman"/>
                <w:sz w:val="20"/>
                <w:szCs w:val="20"/>
              </w:rPr>
              <w:t>Propagule persistence</w:t>
            </w:r>
          </w:p>
        </w:tc>
        <w:tc>
          <w:tcPr>
            <w:tcW w:w="2013" w:type="dxa"/>
            <w:vAlign w:val="center"/>
          </w:tcPr>
          <w:p w14:paraId="7C650A18"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1</w:t>
            </w:r>
          </w:p>
        </w:tc>
      </w:tr>
      <w:tr w:rsidR="002D7080" w:rsidRPr="004D1E6F" w14:paraId="15FB7B6A" w14:textId="77777777" w:rsidTr="002E2C37">
        <w:trPr>
          <w:trHeight w:val="248"/>
        </w:trPr>
        <w:tc>
          <w:tcPr>
            <w:tcW w:w="1678" w:type="dxa"/>
            <w:tcBorders>
              <w:top w:val="double" w:sz="4" w:space="0" w:color="auto"/>
            </w:tcBorders>
            <w:shd w:val="clear" w:color="auto" w:fill="D9D9D9" w:themeFill="background1" w:themeFillShade="D9"/>
            <w:vAlign w:val="center"/>
          </w:tcPr>
          <w:p w14:paraId="1F89EC8D" w14:textId="77777777" w:rsidR="002D7080" w:rsidRPr="004D1E6F" w:rsidRDefault="002D7080" w:rsidP="002E2C37">
            <w:pPr>
              <w:spacing w:after="0" w:line="240" w:lineRule="auto"/>
              <w:jc w:val="center"/>
              <w:rPr>
                <w:rFonts w:ascii="Times New Roman" w:eastAsia="Calibri" w:hAnsi="Times New Roman" w:cs="Times New Roman"/>
                <w:b/>
                <w:sz w:val="20"/>
                <w:szCs w:val="20"/>
              </w:rPr>
            </w:pPr>
            <w:r w:rsidRPr="004D1E6F">
              <w:rPr>
                <w:rFonts w:ascii="Times New Roman" w:eastAsia="Calibri" w:hAnsi="Times New Roman" w:cs="Times New Roman"/>
                <w:b/>
                <w:sz w:val="20"/>
                <w:szCs w:val="20"/>
              </w:rPr>
              <w:t>MAN3</w:t>
            </w:r>
          </w:p>
        </w:tc>
        <w:tc>
          <w:tcPr>
            <w:tcW w:w="4667" w:type="dxa"/>
            <w:tcBorders>
              <w:top w:val="double" w:sz="4" w:space="0" w:color="auto"/>
            </w:tcBorders>
            <w:shd w:val="clear" w:color="auto" w:fill="D9D9D9" w:themeFill="background1" w:themeFillShade="D9"/>
            <w:vAlign w:val="center"/>
          </w:tcPr>
          <w:p w14:paraId="0944A336" w14:textId="77777777" w:rsidR="002D7080" w:rsidRPr="004D1E6F" w:rsidRDefault="002D7080" w:rsidP="002E2C37">
            <w:pPr>
              <w:spacing w:after="0" w:line="240" w:lineRule="auto"/>
              <w:rPr>
                <w:rFonts w:ascii="Times New Roman" w:eastAsia="Calibri" w:hAnsi="Times New Roman" w:cs="Times New Roman"/>
                <w:b/>
                <w:sz w:val="20"/>
                <w:szCs w:val="20"/>
              </w:rPr>
            </w:pPr>
            <w:r w:rsidRPr="004D1E6F">
              <w:rPr>
                <w:rFonts w:ascii="Times New Roman" w:eastAsia="Calibri" w:hAnsi="Times New Roman" w:cs="Times New Roman"/>
                <w:b/>
                <w:sz w:val="20"/>
                <w:szCs w:val="20"/>
              </w:rPr>
              <w:t>SUM</w:t>
            </w:r>
          </w:p>
        </w:tc>
        <w:tc>
          <w:tcPr>
            <w:tcW w:w="2013" w:type="dxa"/>
            <w:tcBorders>
              <w:top w:val="double" w:sz="4" w:space="0" w:color="auto"/>
            </w:tcBorders>
            <w:vAlign w:val="center"/>
          </w:tcPr>
          <w:p w14:paraId="2935F4C2" w14:textId="77777777" w:rsidR="002D7080" w:rsidRPr="004D1E6F" w:rsidRDefault="002D7080" w:rsidP="002E2C37">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6</w:t>
            </w:r>
          </w:p>
        </w:tc>
      </w:tr>
    </w:tbl>
    <w:p w14:paraId="6BBA492D" w14:textId="77777777" w:rsidR="002D7080" w:rsidRPr="004D1E6F" w:rsidRDefault="002D7080" w:rsidP="002D7080">
      <w:pPr>
        <w:spacing w:after="0" w:line="240" w:lineRule="auto"/>
        <w:rPr>
          <w:rFonts w:ascii="Times New Roman" w:eastAsia="Calibri" w:hAnsi="Times New Roman" w:cs="Times New Roman"/>
          <w:sz w:val="20"/>
          <w:szCs w:val="20"/>
        </w:rPr>
      </w:pPr>
    </w:p>
    <w:p w14:paraId="649641F9" w14:textId="77777777" w:rsidR="002D7080" w:rsidRPr="004D1E6F" w:rsidRDefault="002D7080" w:rsidP="002D7080">
      <w:pPr>
        <w:spacing w:after="0" w:line="240" w:lineRule="auto"/>
        <w:rPr>
          <w:rFonts w:ascii="Times New Roman" w:eastAsia="Calibri" w:hAnsi="Times New Roman" w:cs="Times New Roman"/>
          <w:sz w:val="20"/>
          <w:szCs w:val="20"/>
        </w:rPr>
      </w:pPr>
    </w:p>
    <w:p w14:paraId="736DECC2" w14:textId="77777777" w:rsidR="002D7080" w:rsidRPr="004D1E6F" w:rsidRDefault="002D7080" w:rsidP="002D7080">
      <w:pPr>
        <w:spacing w:after="0" w:line="240" w:lineRule="auto"/>
        <w:rPr>
          <w:rFonts w:ascii="Times New Roman" w:eastAsia="Calibri" w:hAnsi="Times New Roman" w:cs="Times New Roman"/>
          <w:b/>
          <w:sz w:val="20"/>
          <w:szCs w:val="20"/>
        </w:rPr>
      </w:pPr>
    </w:p>
    <w:p w14:paraId="5B20BF9E"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1263F508" w14:textId="77777777" w:rsidR="002D7080" w:rsidRPr="004D1E6F" w:rsidRDefault="002D7080" w:rsidP="002D7080">
      <w:pPr>
        <w:spacing w:after="0" w:line="240" w:lineRule="auto"/>
        <w:rPr>
          <w:rFonts w:ascii="Times New Roman" w:eastAsia="Times New Roman" w:hAnsi="Times New Roman" w:cs="Times New Roman"/>
          <w:b/>
          <w:color w:val="000000"/>
          <w:sz w:val="20"/>
          <w:szCs w:val="20"/>
          <w:lang w:eastAsia="en-ZA"/>
        </w:rPr>
      </w:pPr>
    </w:p>
    <w:p w14:paraId="1FBBE536" w14:textId="77777777" w:rsidR="002D7080" w:rsidRPr="004D1E6F" w:rsidRDefault="002D7080" w:rsidP="002D7080">
      <w:pPr>
        <w:spacing w:after="160" w:line="259" w:lineRule="auto"/>
        <w:rPr>
          <w:rFonts w:ascii="Times New Roman" w:eastAsia="Times New Roman" w:hAnsi="Times New Roman" w:cs="Times New Roman"/>
          <w:b/>
          <w:color w:val="000000"/>
          <w:sz w:val="20"/>
          <w:szCs w:val="20"/>
          <w:lang w:eastAsia="en-ZA"/>
        </w:rPr>
      </w:pPr>
    </w:p>
    <w:p w14:paraId="06551007" w14:textId="77777777" w:rsidR="002D7080" w:rsidRPr="004D1E6F" w:rsidRDefault="002D7080" w:rsidP="002D7080">
      <w:pPr>
        <w:spacing w:after="160" w:line="259" w:lineRule="auto"/>
        <w:rPr>
          <w:rFonts w:ascii="Times New Roman" w:eastAsia="Times New Roman" w:hAnsi="Times New Roman" w:cs="Times New Roman"/>
          <w:b/>
          <w:color w:val="000000"/>
          <w:sz w:val="20"/>
          <w:szCs w:val="20"/>
          <w:lang w:eastAsia="en-ZA"/>
        </w:rPr>
      </w:pPr>
    </w:p>
    <w:p w14:paraId="085493FE" w14:textId="77777777" w:rsidR="002D7080" w:rsidRPr="004D1E6F" w:rsidRDefault="002D7080" w:rsidP="002D7080">
      <w:pPr>
        <w:spacing w:after="160" w:line="259" w:lineRule="auto"/>
        <w:rPr>
          <w:rFonts w:ascii="Times New Roman" w:eastAsia="Calibri" w:hAnsi="Times New Roman" w:cs="Times New Roman"/>
          <w:b/>
          <w:sz w:val="20"/>
          <w:szCs w:val="20"/>
        </w:rPr>
      </w:pPr>
      <w:r w:rsidRPr="004D1E6F">
        <w:rPr>
          <w:rFonts w:ascii="Times New Roman" w:eastAsia="Times New Roman" w:hAnsi="Times New Roman" w:cs="Times New Roman"/>
          <w:b/>
          <w:color w:val="000000"/>
          <w:sz w:val="20"/>
          <w:szCs w:val="20"/>
          <w:lang w:eastAsia="en-ZA"/>
        </w:rPr>
        <w:t>Appendix BAC7</w:t>
      </w:r>
      <w:r w:rsidRPr="004D1E6F">
        <w:rPr>
          <w:rFonts w:ascii="Times New Roman" w:eastAsia="Times New Roman" w:hAnsi="Times New Roman" w:cs="Times New Roman"/>
          <w:color w:val="000000"/>
          <w:sz w:val="20"/>
          <w:szCs w:val="20"/>
          <w:lang w:eastAsia="en-ZA"/>
        </w:rPr>
        <w:t xml:space="preserve">: Global alien range of </w:t>
      </w:r>
      <w:r w:rsidRPr="004D1E6F">
        <w:rPr>
          <w:rFonts w:ascii="Times New Roman" w:eastAsia="Times New Roman" w:hAnsi="Times New Roman" w:cs="Times New Roman"/>
          <w:i/>
          <w:iCs/>
          <w:color w:val="000000"/>
          <w:sz w:val="20"/>
          <w:szCs w:val="20"/>
          <w:lang w:eastAsia="en-ZA"/>
        </w:rPr>
        <w:t xml:space="preserve">Procambarus virginalis. </w:t>
      </w:r>
      <w:r w:rsidRPr="004D1E6F">
        <w:rPr>
          <w:rFonts w:ascii="Times New Roman" w:eastAsia="Times New Roman" w:hAnsi="Times New Roman" w:cs="Times New Roman"/>
          <w:iCs/>
          <w:color w:val="000000"/>
          <w:sz w:val="20"/>
          <w:szCs w:val="20"/>
          <w:lang w:eastAsia="en-ZA"/>
        </w:rPr>
        <w:t>Map from CABI:</w:t>
      </w:r>
      <w:r w:rsidRPr="004D1E6F">
        <w:rPr>
          <w:rFonts w:ascii="Times New Roman" w:eastAsia="Times New Roman" w:hAnsi="Times New Roman" w:cs="Times New Roman"/>
          <w:i/>
          <w:iCs/>
          <w:color w:val="000000"/>
          <w:sz w:val="20"/>
          <w:szCs w:val="20"/>
          <w:lang w:eastAsia="en-ZA"/>
        </w:rPr>
        <w:t xml:space="preserve">  </w:t>
      </w:r>
      <w:hyperlink w:history="1">
        <w:r w:rsidRPr="004D1E6F">
          <w:rPr>
            <w:rFonts w:ascii="Times New Roman" w:eastAsia="Calibri" w:hAnsi="Times New Roman" w:cs="Times New Roman"/>
            <w:b/>
            <w:color w:val="0563C1"/>
            <w:sz w:val="20"/>
            <w:szCs w:val="20"/>
            <w:u w:val="single"/>
          </w:rPr>
          <w:t>https://www.gbif.org/species/2227309</w:t>
        </w:r>
      </w:hyperlink>
      <w:r w:rsidRPr="004D1E6F">
        <w:rPr>
          <w:rFonts w:ascii="Times New Roman" w:eastAsia="Calibri" w:hAnsi="Times New Roman" w:cs="Times New Roman"/>
          <w:b/>
          <w:sz w:val="20"/>
          <w:szCs w:val="20"/>
        </w:rPr>
        <w:t xml:space="preserve"> </w:t>
      </w:r>
    </w:p>
    <w:p w14:paraId="2FBE3AA3" w14:textId="77777777" w:rsidR="002D7080" w:rsidRPr="004D1E6F" w:rsidRDefault="002D7080" w:rsidP="002D7080">
      <w:pPr>
        <w:spacing w:after="0" w:line="240" w:lineRule="auto"/>
        <w:rPr>
          <w:rFonts w:ascii="Times New Roman" w:hAnsi="Times New Roman" w:cs="Times New Roman"/>
        </w:rPr>
      </w:pPr>
      <w:r w:rsidRPr="003D3ECB">
        <w:rPr>
          <w:rFonts w:ascii="Times New Roman" w:eastAsia="Calibri" w:hAnsi="Times New Roman" w:cs="Times New Roman"/>
          <w:b/>
          <w:noProof/>
          <w:sz w:val="20"/>
          <w:szCs w:val="20"/>
          <w:lang w:eastAsia="en-ZA"/>
        </w:rPr>
        <w:drawing>
          <wp:anchor distT="0" distB="0" distL="114300" distR="114300" simplePos="0" relativeHeight="251663360" behindDoc="1" locked="0" layoutInCell="1" allowOverlap="1" wp14:anchorId="36AE9F00" wp14:editId="6416A30E">
            <wp:simplePos x="0" y="0"/>
            <wp:positionH relativeFrom="column">
              <wp:posOffset>628650</wp:posOffset>
            </wp:positionH>
            <wp:positionV relativeFrom="paragraph">
              <wp:posOffset>94615</wp:posOffset>
            </wp:positionV>
            <wp:extent cx="4683760" cy="2447925"/>
            <wp:effectExtent l="0" t="0" r="2540" b="952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3" cstate="print">
                      <a:extLst>
                        <a:ext uri="{28A0092B-C50C-407E-A947-70E740481C1C}">
                          <a14:useLocalDpi xmlns:a14="http://schemas.microsoft.com/office/drawing/2010/main" val="0"/>
                        </a:ext>
                      </a:extLst>
                    </a:blip>
                    <a:stretch>
                      <a:fillRect/>
                    </a:stretch>
                  </pic:blipFill>
                  <pic:spPr bwMode="auto">
                    <a:xfrm>
                      <a:off x="0" y="0"/>
                      <a:ext cx="4683760" cy="2447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DC3E02" w14:textId="77777777" w:rsidR="002D7080" w:rsidRPr="00CC2219" w:rsidRDefault="002D7080" w:rsidP="002D7080">
      <w:pPr>
        <w:rPr>
          <w:rFonts w:ascii="Times New Roman" w:hAnsi="Times New Roman" w:cs="Times New Roman"/>
          <w:lang w:val="en-US"/>
        </w:rPr>
      </w:pPr>
    </w:p>
    <w:p w14:paraId="5FB0873B" w14:textId="77777777" w:rsidR="00AC6050" w:rsidRDefault="00AC6050"/>
    <w:sectPr w:rsidR="00AC6050" w:rsidSect="002D7080">
      <w:footerReference w:type="default" r:id="rId713"/>
      <w:footnotePr>
        <w:numRestart w:val="eachPage"/>
      </w:footnotePr>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592CE5" w14:textId="77777777" w:rsidR="0068452A" w:rsidRDefault="0068452A" w:rsidP="002D7080">
      <w:pPr>
        <w:spacing w:after="0" w:line="240" w:lineRule="auto"/>
      </w:pPr>
      <w:r>
        <w:separator/>
      </w:r>
    </w:p>
  </w:endnote>
  <w:endnote w:type="continuationSeparator" w:id="0">
    <w:p w14:paraId="19B633B8" w14:textId="77777777" w:rsidR="0068452A" w:rsidRDefault="0068452A" w:rsidP="002D70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mo">
    <w:altName w:val="Calibri"/>
    <w:charset w:val="00"/>
    <w:family w:val="auto"/>
    <w:pitch w:val="default"/>
  </w:font>
  <w:font w:name="Merriweather Sans">
    <w:charset w:val="00"/>
    <w:family w:val="auto"/>
    <w:pitch w:val="variable"/>
    <w:sig w:usb0="A00004FF" w:usb1="4000207B" w:usb2="00000000" w:usb3="00000000" w:csb0="00000193" w:csb1="00000000"/>
  </w:font>
  <w:font w:name="Source Sans Pro">
    <w:charset w:val="00"/>
    <w:family w:val="swiss"/>
    <w:pitch w:val="variable"/>
    <w:sig w:usb0="600002F7" w:usb1="02000001" w:usb2="00000000" w:usb3="00000000" w:csb0="0000019F" w:csb1="00000000"/>
  </w:font>
  <w:font w:name="Calibri-Italic">
    <w:altName w:val="Klee One"/>
    <w:panose1 w:val="00000000000000000000"/>
    <w:charset w:val="80"/>
    <w:family w:val="auto"/>
    <w:notTrueType/>
    <w:pitch w:val="default"/>
    <w:sig w:usb0="00000001" w:usb1="08070000" w:usb2="00000010" w:usb3="00000000" w:csb0="00020000" w:csb1="00000000"/>
  </w:font>
  <w:font w:name="Helvetica">
    <w:panose1 w:val="020B0604020202020204"/>
    <w:charset w:val="00"/>
    <w:family w:val="swiss"/>
    <w:pitch w:val="variable"/>
    <w:sig w:usb0="E0002EFF" w:usb1="C000785B" w:usb2="00000009" w:usb3="00000000" w:csb0="000001FF" w:csb1="00000000"/>
  </w:font>
  <w:font w:name="AdvGulliv-R">
    <w:altName w:val="MS Gothic"/>
    <w:panose1 w:val="00000000000000000000"/>
    <w:charset w:val="80"/>
    <w:family w:val="auto"/>
    <w:notTrueType/>
    <w:pitch w:val="default"/>
    <w:sig w:usb0="00000000" w:usb1="08070000" w:usb2="00000010" w:usb3="00000000" w:csb0="00020000" w:csb1="00000000"/>
  </w:font>
  <w:font w:name="Open Sans">
    <w:altName w:val="Arial"/>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85436160"/>
      <w:docPartObj>
        <w:docPartGallery w:val="Page Numbers (Bottom of Page)"/>
        <w:docPartUnique/>
      </w:docPartObj>
    </w:sdtPr>
    <w:sdtEndPr>
      <w:rPr>
        <w:rFonts w:ascii="Arial" w:hAnsi="Arial" w:cs="Arial"/>
        <w:sz w:val="20"/>
        <w:szCs w:val="20"/>
      </w:rPr>
    </w:sdtEndPr>
    <w:sdtContent>
      <w:sdt>
        <w:sdtPr>
          <w:rPr>
            <w:rFonts w:ascii="Arial" w:hAnsi="Arial" w:cs="Arial"/>
            <w:sz w:val="20"/>
            <w:szCs w:val="20"/>
          </w:rPr>
          <w:id w:val="541715532"/>
          <w:docPartObj>
            <w:docPartGallery w:val="Page Numbers (Top of Page)"/>
            <w:docPartUnique/>
          </w:docPartObj>
        </w:sdtPr>
        <w:sdtContent>
          <w:p w14:paraId="36E2125A" w14:textId="77777777" w:rsidR="002D7080" w:rsidRPr="004D1E6F" w:rsidRDefault="002D7080">
            <w:pPr>
              <w:pStyle w:val="Footer"/>
              <w:jc w:val="right"/>
              <w:rPr>
                <w:rFonts w:ascii="Arial" w:hAnsi="Arial" w:cs="Arial"/>
                <w:sz w:val="20"/>
                <w:szCs w:val="20"/>
              </w:rPr>
            </w:pPr>
            <w:r w:rsidRPr="004D1E6F">
              <w:rPr>
                <w:rFonts w:ascii="Arial" w:hAnsi="Arial" w:cs="Arial"/>
                <w:bCs/>
                <w:sz w:val="20"/>
                <w:szCs w:val="20"/>
              </w:rPr>
              <w:fldChar w:fldCharType="begin"/>
            </w:r>
            <w:r w:rsidRPr="004D1E6F">
              <w:rPr>
                <w:rFonts w:ascii="Arial" w:hAnsi="Arial" w:cs="Arial"/>
                <w:bCs/>
                <w:sz w:val="20"/>
                <w:szCs w:val="20"/>
              </w:rPr>
              <w:instrText xml:space="preserve"> PAGE </w:instrText>
            </w:r>
            <w:r w:rsidRPr="004D1E6F">
              <w:rPr>
                <w:rFonts w:ascii="Arial" w:hAnsi="Arial" w:cs="Arial"/>
                <w:bCs/>
                <w:sz w:val="20"/>
                <w:szCs w:val="20"/>
              </w:rPr>
              <w:fldChar w:fldCharType="separate"/>
            </w:r>
            <w:r>
              <w:rPr>
                <w:rFonts w:ascii="Arial" w:hAnsi="Arial" w:cs="Arial"/>
                <w:bCs/>
                <w:noProof/>
                <w:sz w:val="20"/>
                <w:szCs w:val="20"/>
              </w:rPr>
              <w:t>119</w:t>
            </w:r>
            <w:r w:rsidRPr="004D1E6F">
              <w:rPr>
                <w:rFonts w:ascii="Arial" w:hAnsi="Arial" w:cs="Arial"/>
                <w:bCs/>
                <w:sz w:val="20"/>
                <w:szCs w:val="20"/>
              </w:rPr>
              <w:fldChar w:fldCharType="end"/>
            </w:r>
            <w:r w:rsidRPr="004D1E6F">
              <w:rPr>
                <w:rFonts w:ascii="Arial" w:hAnsi="Arial" w:cs="Arial"/>
                <w:sz w:val="20"/>
                <w:szCs w:val="20"/>
              </w:rPr>
              <w:t>/</w:t>
            </w:r>
            <w:r w:rsidRPr="004D1E6F">
              <w:rPr>
                <w:rFonts w:ascii="Arial" w:hAnsi="Arial" w:cs="Arial"/>
                <w:bCs/>
                <w:sz w:val="20"/>
                <w:szCs w:val="20"/>
              </w:rPr>
              <w:fldChar w:fldCharType="begin"/>
            </w:r>
            <w:r w:rsidRPr="004D1E6F">
              <w:rPr>
                <w:rFonts w:ascii="Arial" w:hAnsi="Arial" w:cs="Arial"/>
                <w:bCs/>
                <w:sz w:val="20"/>
                <w:szCs w:val="20"/>
              </w:rPr>
              <w:instrText xml:space="preserve"> NUMPAGES  </w:instrText>
            </w:r>
            <w:r w:rsidRPr="004D1E6F">
              <w:rPr>
                <w:rFonts w:ascii="Arial" w:hAnsi="Arial" w:cs="Arial"/>
                <w:bCs/>
                <w:sz w:val="20"/>
                <w:szCs w:val="20"/>
              </w:rPr>
              <w:fldChar w:fldCharType="separate"/>
            </w:r>
            <w:r>
              <w:rPr>
                <w:rFonts w:ascii="Arial" w:hAnsi="Arial" w:cs="Arial"/>
                <w:bCs/>
                <w:noProof/>
                <w:sz w:val="20"/>
                <w:szCs w:val="20"/>
              </w:rPr>
              <w:t>119</w:t>
            </w:r>
            <w:r w:rsidRPr="004D1E6F">
              <w:rPr>
                <w:rFonts w:ascii="Arial" w:hAnsi="Arial" w:cs="Arial"/>
                <w:bCs/>
                <w:sz w:val="20"/>
                <w:szCs w:val="20"/>
              </w:rPr>
              <w:fldChar w:fldCharType="end"/>
            </w:r>
          </w:p>
        </w:sdtContent>
      </w:sdt>
    </w:sdtContent>
  </w:sdt>
  <w:p w14:paraId="19E6C770" w14:textId="77777777" w:rsidR="002D7080" w:rsidRPr="004D1E6F" w:rsidRDefault="002D7080" w:rsidP="00D738D6">
    <w:pPr>
      <w:pStyle w:val="Footer"/>
      <w:tabs>
        <w:tab w:val="clear" w:pos="4513"/>
        <w:tab w:val="clear" w:pos="9026"/>
        <w:tab w:val="left" w:pos="5460"/>
      </w:tabs>
      <w:rPr>
        <w:rFonts w:ascii="Arial" w:hAnsi="Arial" w:cs="Arial"/>
        <w:sz w:val="20"/>
        <w:szCs w:val="20"/>
      </w:rPr>
    </w:pPr>
    <w:r w:rsidRPr="004D1E6F">
      <w:rPr>
        <w:rFonts w:ascii="Arial" w:hAnsi="Arial" w:cs="Arial"/>
        <w:sz w:val="20"/>
        <w:szCs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9156121"/>
      <w:docPartObj>
        <w:docPartGallery w:val="Page Numbers (Bottom of Page)"/>
        <w:docPartUnique/>
      </w:docPartObj>
    </w:sdtPr>
    <w:sdtContent>
      <w:p w14:paraId="04F26C12" w14:textId="77777777" w:rsidR="007E4B60" w:rsidRPr="004D1E6F" w:rsidRDefault="00000000">
        <w:pPr>
          <w:pStyle w:val="Footer"/>
          <w:jc w:val="center"/>
        </w:pPr>
        <w:r w:rsidRPr="004D1E6F">
          <w:fldChar w:fldCharType="begin"/>
        </w:r>
        <w:r w:rsidRPr="004D1E6F">
          <w:instrText xml:space="preserve"> PAGE   \* MERGEFORMAT </w:instrText>
        </w:r>
        <w:r w:rsidRPr="004D1E6F">
          <w:fldChar w:fldCharType="separate"/>
        </w:r>
        <w:r>
          <w:rPr>
            <w:noProof/>
          </w:rPr>
          <w:t>271</w:t>
        </w:r>
        <w:r w:rsidRPr="004D1E6F">
          <w:fldChar w:fldCharType="end"/>
        </w:r>
      </w:p>
    </w:sdtContent>
  </w:sdt>
  <w:p w14:paraId="6328B259" w14:textId="77777777" w:rsidR="007E4B60" w:rsidRPr="004D1E6F" w:rsidRDefault="007E4B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3134CA" w14:textId="77777777" w:rsidR="0068452A" w:rsidRDefault="0068452A" w:rsidP="002D7080">
      <w:pPr>
        <w:spacing w:after="0" w:line="240" w:lineRule="auto"/>
      </w:pPr>
      <w:r>
        <w:separator/>
      </w:r>
    </w:p>
  </w:footnote>
  <w:footnote w:type="continuationSeparator" w:id="0">
    <w:p w14:paraId="7AFDB7C6" w14:textId="77777777" w:rsidR="0068452A" w:rsidRDefault="0068452A" w:rsidP="002D7080">
      <w:pPr>
        <w:spacing w:after="0" w:line="240" w:lineRule="auto"/>
      </w:pPr>
      <w:r>
        <w:continuationSeparator/>
      </w:r>
    </w:p>
  </w:footnote>
  <w:footnote w:id="1">
    <w:p w14:paraId="537A4B0B" w14:textId="77777777" w:rsidR="002D7080" w:rsidRPr="004D1E6F" w:rsidRDefault="002D7080" w:rsidP="002D7080">
      <w:pPr>
        <w:pStyle w:val="FootnoteText"/>
        <w:rPr>
          <w:rFonts w:ascii="Arial" w:hAnsi="Arial" w:cs="Arial"/>
          <w:sz w:val="16"/>
          <w:szCs w:val="16"/>
        </w:rPr>
      </w:pPr>
      <w:r w:rsidRPr="004D1E6F">
        <w:rPr>
          <w:rStyle w:val="FootnoteReference"/>
          <w:rFonts w:ascii="Arial" w:hAnsi="Arial" w:cs="Arial"/>
          <w:sz w:val="16"/>
          <w:szCs w:val="16"/>
        </w:rPr>
        <w:footnoteRef/>
      </w:r>
      <w:r w:rsidRPr="004D1E6F">
        <w:rPr>
          <w:rFonts w:ascii="Arial" w:hAnsi="Arial" w:cs="Arial"/>
          <w:sz w:val="16"/>
          <w:szCs w:val="16"/>
        </w:rPr>
        <w:t xml:space="preserve">Within the next five years, i.e. by 2027, the presence of </w:t>
      </w:r>
      <w:r w:rsidRPr="004D1E6F">
        <w:rPr>
          <w:rFonts w:ascii="Arial" w:hAnsi="Arial" w:cs="Arial"/>
          <w:i/>
          <w:iCs/>
          <w:sz w:val="16"/>
          <w:szCs w:val="16"/>
        </w:rPr>
        <w:t xml:space="preserve">C. tenuimanus </w:t>
      </w:r>
      <w:r w:rsidRPr="004D1E6F">
        <w:rPr>
          <w:rFonts w:ascii="Arial" w:hAnsi="Arial" w:cs="Arial"/>
          <w:sz w:val="16"/>
          <w:szCs w:val="16"/>
        </w:rPr>
        <w:t xml:space="preserve">in the country should be </w:t>
      </w:r>
      <w:bookmarkStart w:id="9" w:name="_Hlk98850184"/>
      <w:r w:rsidRPr="004D1E6F">
        <w:rPr>
          <w:rFonts w:ascii="Arial" w:hAnsi="Arial" w:cs="Arial"/>
          <w:sz w:val="16"/>
          <w:szCs w:val="16"/>
        </w:rPr>
        <w:t>reassessed</w:t>
      </w:r>
      <w:bookmarkEnd w:id="9"/>
      <w:r w:rsidRPr="004D1E6F">
        <w:rPr>
          <w:rFonts w:ascii="Arial" w:hAnsi="Arial" w:cs="Arial"/>
          <w:sz w:val="16"/>
          <w:szCs w:val="16"/>
        </w:rPr>
        <w:t>, and an evaluation made comparing the demand for and benefits of farming to the risks of invasions. The listing might then need to be updated.</w:t>
      </w:r>
    </w:p>
  </w:footnote>
  <w:footnote w:id="2">
    <w:p w14:paraId="159DC19C" w14:textId="77777777" w:rsidR="002D7080" w:rsidRPr="00CF244C" w:rsidRDefault="002D7080" w:rsidP="002D7080">
      <w:pPr>
        <w:pStyle w:val="FootnoteText"/>
        <w:rPr>
          <w:rFonts w:ascii="Arial" w:hAnsi="Arial" w:cs="Arial"/>
          <w:lang w:val="en-US"/>
        </w:rPr>
      </w:pPr>
      <w:r w:rsidRPr="00CF244C">
        <w:rPr>
          <w:rStyle w:val="FootnoteReference"/>
          <w:rFonts w:ascii="Arial" w:hAnsi="Arial" w:cs="Arial"/>
          <w:sz w:val="18"/>
          <w:szCs w:val="18"/>
        </w:rPr>
        <w:footnoteRef/>
      </w:r>
      <w:r w:rsidRPr="00CF244C">
        <w:rPr>
          <w:rFonts w:ascii="Arial" w:hAnsi="Arial" w:cs="Arial"/>
          <w:sz w:val="18"/>
          <w:szCs w:val="18"/>
        </w:rPr>
        <w:t xml:space="preserve"> The presence of </w:t>
      </w:r>
      <w:r w:rsidRPr="00CF244C">
        <w:rPr>
          <w:rFonts w:ascii="Arial" w:hAnsi="Arial" w:cs="Arial"/>
          <w:i/>
          <w:iCs/>
          <w:sz w:val="18"/>
          <w:szCs w:val="18"/>
        </w:rPr>
        <w:t xml:space="preserve">C. destructor </w:t>
      </w:r>
      <w:r w:rsidRPr="00CF244C">
        <w:rPr>
          <w:rFonts w:ascii="Arial" w:hAnsi="Arial" w:cs="Arial"/>
          <w:sz w:val="18"/>
          <w:szCs w:val="18"/>
        </w:rPr>
        <w:t>in South Africa needs to be confirmed and the taxon should be reassessed in five years (i.e., by 2029).</w:t>
      </w:r>
    </w:p>
  </w:footnote>
  <w:footnote w:id="3">
    <w:p w14:paraId="601944A1" w14:textId="77777777" w:rsidR="002D7080" w:rsidRPr="00F82946" w:rsidRDefault="002D7080" w:rsidP="002D7080">
      <w:pPr>
        <w:pStyle w:val="FootnoteText"/>
        <w:jc w:val="both"/>
        <w:rPr>
          <w:rFonts w:ascii="Times New Roman" w:hAnsi="Times New Roman" w:cs="Times New Roman"/>
          <w:lang w:val="en-US"/>
        </w:rPr>
      </w:pPr>
      <w:r w:rsidRPr="00F82946">
        <w:rPr>
          <w:rStyle w:val="FootnoteReference"/>
          <w:rFonts w:ascii="Times New Roman" w:hAnsi="Times New Roman" w:cs="Times New Roman"/>
        </w:rPr>
        <w:footnoteRef/>
      </w:r>
      <w:r w:rsidRPr="00F82946">
        <w:rPr>
          <w:rFonts w:ascii="Times New Roman" w:hAnsi="Times New Roman" w:cs="Times New Roman"/>
        </w:rPr>
        <w:t xml:space="preserve"> The </w:t>
      </w:r>
      <w:r>
        <w:rPr>
          <w:rFonts w:ascii="Times New Roman" w:hAnsi="Times New Roman" w:cs="Times New Roman"/>
        </w:rPr>
        <w:t>absence</w:t>
      </w:r>
      <w:r w:rsidRPr="00F82946">
        <w:rPr>
          <w:rFonts w:ascii="Times New Roman" w:hAnsi="Times New Roman" w:cs="Times New Roman"/>
        </w:rPr>
        <w:t xml:space="preserve"> of </w:t>
      </w:r>
      <w:r w:rsidRPr="00F82946">
        <w:rPr>
          <w:rFonts w:ascii="Times New Roman" w:hAnsi="Times New Roman" w:cs="Times New Roman"/>
          <w:i/>
          <w:iCs/>
        </w:rPr>
        <w:t xml:space="preserve">F. </w:t>
      </w:r>
      <w:r>
        <w:rPr>
          <w:rFonts w:ascii="Times New Roman" w:hAnsi="Times New Roman" w:cs="Times New Roman"/>
          <w:i/>
          <w:iCs/>
        </w:rPr>
        <w:t xml:space="preserve">immunis </w:t>
      </w:r>
      <w:r w:rsidRPr="00F82946">
        <w:rPr>
          <w:rFonts w:ascii="Times New Roman" w:hAnsi="Times New Roman" w:cs="Times New Roman"/>
        </w:rPr>
        <w:t>in South Africa should be confirmed and the taxon should be reassessed in five years (i.e., by 2029).</w:t>
      </w:r>
    </w:p>
    <w:p w14:paraId="446AAEDA" w14:textId="77777777" w:rsidR="002D7080" w:rsidRPr="00D92DC9" w:rsidRDefault="002D7080" w:rsidP="002D7080">
      <w:pPr>
        <w:pStyle w:val="FootnoteText"/>
        <w:rPr>
          <w:rFonts w:ascii="Arial" w:hAnsi="Arial" w:cs="Arial"/>
        </w:rPr>
      </w:pPr>
    </w:p>
  </w:footnote>
  <w:footnote w:id="4">
    <w:p w14:paraId="4BC2BD48" w14:textId="77777777" w:rsidR="002D7080" w:rsidRPr="00F82946" w:rsidRDefault="002D7080" w:rsidP="002D7080">
      <w:pPr>
        <w:pStyle w:val="FootnoteText"/>
        <w:jc w:val="both"/>
        <w:rPr>
          <w:rFonts w:ascii="Times New Roman" w:hAnsi="Times New Roman" w:cs="Times New Roman"/>
          <w:lang w:val="en-US"/>
        </w:rPr>
      </w:pPr>
      <w:r w:rsidRPr="00F82946">
        <w:rPr>
          <w:rStyle w:val="FootnoteReference"/>
          <w:rFonts w:ascii="Times New Roman" w:hAnsi="Times New Roman" w:cs="Times New Roman"/>
        </w:rPr>
        <w:footnoteRef/>
      </w:r>
      <w:r w:rsidRPr="00F82946">
        <w:rPr>
          <w:rFonts w:ascii="Times New Roman" w:hAnsi="Times New Roman" w:cs="Times New Roman"/>
        </w:rPr>
        <w:t xml:space="preserve"> The </w:t>
      </w:r>
      <w:r>
        <w:rPr>
          <w:rFonts w:ascii="Times New Roman" w:hAnsi="Times New Roman" w:cs="Times New Roman"/>
        </w:rPr>
        <w:t>absence</w:t>
      </w:r>
      <w:r w:rsidRPr="00F82946">
        <w:rPr>
          <w:rFonts w:ascii="Times New Roman" w:hAnsi="Times New Roman" w:cs="Times New Roman"/>
        </w:rPr>
        <w:t xml:space="preserve"> of </w:t>
      </w:r>
      <w:r w:rsidRPr="00F82946">
        <w:rPr>
          <w:rFonts w:ascii="Times New Roman" w:hAnsi="Times New Roman" w:cs="Times New Roman"/>
          <w:i/>
          <w:iCs/>
        </w:rPr>
        <w:t xml:space="preserve">F. </w:t>
      </w:r>
      <w:r>
        <w:rPr>
          <w:rFonts w:ascii="Times New Roman" w:hAnsi="Times New Roman" w:cs="Times New Roman"/>
          <w:i/>
          <w:iCs/>
        </w:rPr>
        <w:t xml:space="preserve">juvenilis </w:t>
      </w:r>
      <w:r w:rsidRPr="00F82946">
        <w:rPr>
          <w:rFonts w:ascii="Times New Roman" w:hAnsi="Times New Roman" w:cs="Times New Roman"/>
        </w:rPr>
        <w:t>in South Africa should be confirmed and the taxon should be reassessed in five years (i.e., by 2029).</w:t>
      </w:r>
    </w:p>
    <w:p w14:paraId="08E45611" w14:textId="77777777" w:rsidR="002D7080" w:rsidRPr="00D92DC9" w:rsidRDefault="002D7080" w:rsidP="002D7080">
      <w:pPr>
        <w:pStyle w:val="FootnoteText"/>
        <w:rPr>
          <w:rFonts w:ascii="Arial" w:hAnsi="Arial" w:cs="Arial"/>
        </w:rPr>
      </w:pPr>
    </w:p>
  </w:footnote>
  <w:footnote w:id="5">
    <w:p w14:paraId="3AC674A9" w14:textId="618C2E23" w:rsidR="002D7080" w:rsidRPr="00F82946" w:rsidRDefault="002D7080" w:rsidP="002D7080">
      <w:pPr>
        <w:pStyle w:val="FootnoteText"/>
        <w:jc w:val="both"/>
        <w:rPr>
          <w:rFonts w:ascii="Times New Roman" w:hAnsi="Times New Roman" w:cs="Times New Roman"/>
        </w:rPr>
      </w:pPr>
      <w:r w:rsidRPr="00F82946">
        <w:rPr>
          <w:rStyle w:val="FootnoteReference"/>
          <w:rFonts w:ascii="Times New Roman" w:hAnsi="Times New Roman" w:cs="Times New Roman"/>
        </w:rPr>
        <w:footnoteRef/>
      </w:r>
      <w:r w:rsidRPr="00F82946">
        <w:rPr>
          <w:rFonts w:ascii="Times New Roman" w:hAnsi="Times New Roman" w:cs="Times New Roman"/>
        </w:rPr>
        <w:t xml:space="preserve"> The current listing is “</w:t>
      </w:r>
      <w:r w:rsidRPr="00F82946">
        <w:rPr>
          <w:rFonts w:ascii="Times New Roman" w:hAnsi="Times New Roman" w:cs="Times New Roman"/>
          <w:i/>
          <w:iCs/>
        </w:rPr>
        <w:t xml:space="preserve">Orconectes </w:t>
      </w:r>
      <w:r>
        <w:rPr>
          <w:rFonts w:ascii="Times New Roman" w:hAnsi="Times New Roman" w:cs="Times New Roman"/>
          <w:i/>
          <w:iCs/>
        </w:rPr>
        <w:t>limosus</w:t>
      </w:r>
      <w:r w:rsidRPr="00F82946">
        <w:rPr>
          <w:rFonts w:ascii="Times New Roman" w:hAnsi="Times New Roman" w:cs="Times New Roman"/>
          <w:i/>
          <w:iCs/>
        </w:rPr>
        <w:t xml:space="preserve"> </w:t>
      </w:r>
      <w:r w:rsidRPr="00F82946">
        <w:rPr>
          <w:rFonts w:ascii="Times New Roman" w:hAnsi="Times New Roman" w:cs="Times New Roman"/>
        </w:rPr>
        <w:t>(Girard, 1852)”, the recommended listing is “</w:t>
      </w:r>
      <w:r w:rsidRPr="00F82946">
        <w:rPr>
          <w:rFonts w:ascii="Times New Roman" w:eastAsia="Times New Roman" w:hAnsi="Times New Roman" w:cs="Times New Roman"/>
          <w:i/>
          <w:lang w:eastAsia="en-ZA"/>
        </w:rPr>
        <w:t xml:space="preserve">Faxonius </w:t>
      </w:r>
      <w:r w:rsidR="004E6900">
        <w:rPr>
          <w:rFonts w:ascii="Times New Roman" w:eastAsia="Times New Roman" w:hAnsi="Times New Roman" w:cs="Times New Roman"/>
          <w:i/>
          <w:lang w:eastAsia="en-ZA"/>
        </w:rPr>
        <w:t>limosus</w:t>
      </w:r>
      <w:r w:rsidRPr="00F82946">
        <w:rPr>
          <w:rFonts w:ascii="Times New Roman" w:eastAsia="Times New Roman" w:hAnsi="Times New Roman" w:cs="Times New Roman"/>
          <w:i/>
          <w:lang w:eastAsia="en-ZA"/>
        </w:rPr>
        <w:t xml:space="preserve"> </w:t>
      </w:r>
      <w:r w:rsidRPr="00F82946">
        <w:rPr>
          <w:rFonts w:ascii="Times New Roman" w:eastAsia="Times New Roman" w:hAnsi="Times New Roman" w:cs="Times New Roman"/>
          <w:lang w:eastAsia="en-ZA"/>
        </w:rPr>
        <w:t>(Girard, 1852)”, i.e., it is proposed that the regulatory name be updated to the accepted scientific name of the taxon under assessment.</w:t>
      </w:r>
    </w:p>
  </w:footnote>
  <w:footnote w:id="6">
    <w:p w14:paraId="6A7650DB" w14:textId="77777777" w:rsidR="002D7080" w:rsidRPr="00F82946" w:rsidRDefault="002D7080" w:rsidP="002D7080">
      <w:pPr>
        <w:pStyle w:val="FootnoteText"/>
        <w:jc w:val="both"/>
        <w:rPr>
          <w:rFonts w:ascii="Times New Roman" w:hAnsi="Times New Roman" w:cs="Times New Roman"/>
          <w:lang w:val="en-US"/>
        </w:rPr>
      </w:pPr>
      <w:r w:rsidRPr="00F82946">
        <w:rPr>
          <w:rStyle w:val="FootnoteReference"/>
          <w:rFonts w:ascii="Times New Roman" w:hAnsi="Times New Roman" w:cs="Times New Roman"/>
        </w:rPr>
        <w:footnoteRef/>
      </w:r>
      <w:r w:rsidRPr="00F82946">
        <w:rPr>
          <w:rFonts w:ascii="Times New Roman" w:hAnsi="Times New Roman" w:cs="Times New Roman"/>
        </w:rPr>
        <w:t xml:space="preserve"> The presence of </w:t>
      </w:r>
      <w:r w:rsidRPr="00F82946">
        <w:rPr>
          <w:rFonts w:ascii="Times New Roman" w:hAnsi="Times New Roman" w:cs="Times New Roman"/>
          <w:i/>
          <w:iCs/>
        </w:rPr>
        <w:t xml:space="preserve">F. </w:t>
      </w:r>
      <w:r>
        <w:rPr>
          <w:rFonts w:ascii="Times New Roman" w:hAnsi="Times New Roman" w:cs="Times New Roman"/>
          <w:i/>
          <w:iCs/>
        </w:rPr>
        <w:t>limosus</w:t>
      </w:r>
      <w:r w:rsidRPr="00F82946">
        <w:rPr>
          <w:rFonts w:ascii="Times New Roman" w:hAnsi="Times New Roman" w:cs="Times New Roman"/>
        </w:rPr>
        <w:t xml:space="preserve"> in South Africa should be confirmed and the taxon should be reassessed in five years (i.e., by 2029).</w:t>
      </w:r>
    </w:p>
    <w:p w14:paraId="5808DD1D" w14:textId="77777777" w:rsidR="002D7080" w:rsidRPr="00D92DC9" w:rsidRDefault="002D7080" w:rsidP="002D7080">
      <w:pPr>
        <w:pStyle w:val="FootnoteText"/>
        <w:rPr>
          <w:rFonts w:ascii="Arial" w:hAnsi="Arial" w:cs="Arial"/>
        </w:rPr>
      </w:pPr>
    </w:p>
  </w:footnote>
  <w:footnote w:id="7">
    <w:p w14:paraId="67178F87" w14:textId="77777777" w:rsidR="002D7080" w:rsidRPr="00F82946" w:rsidRDefault="002D7080" w:rsidP="002D7080">
      <w:pPr>
        <w:pStyle w:val="FootnoteText"/>
        <w:jc w:val="both"/>
        <w:rPr>
          <w:rFonts w:ascii="Times New Roman" w:hAnsi="Times New Roman" w:cs="Times New Roman"/>
        </w:rPr>
      </w:pPr>
      <w:r w:rsidRPr="00F82946">
        <w:rPr>
          <w:rStyle w:val="FootnoteReference"/>
          <w:rFonts w:ascii="Times New Roman" w:hAnsi="Times New Roman" w:cs="Times New Roman"/>
        </w:rPr>
        <w:footnoteRef/>
      </w:r>
      <w:r w:rsidRPr="00F82946">
        <w:rPr>
          <w:rFonts w:ascii="Times New Roman" w:hAnsi="Times New Roman" w:cs="Times New Roman"/>
        </w:rPr>
        <w:t xml:space="preserve"> The current listing is “</w:t>
      </w:r>
      <w:r w:rsidRPr="00F82946">
        <w:rPr>
          <w:rFonts w:ascii="Times New Roman" w:hAnsi="Times New Roman" w:cs="Times New Roman"/>
          <w:i/>
          <w:iCs/>
        </w:rPr>
        <w:t xml:space="preserve">Orconectes rusticus </w:t>
      </w:r>
      <w:r w:rsidRPr="00F82946">
        <w:rPr>
          <w:rFonts w:ascii="Times New Roman" w:hAnsi="Times New Roman" w:cs="Times New Roman"/>
        </w:rPr>
        <w:t>(Girard, 1852)”, the recommended listing is “</w:t>
      </w:r>
      <w:r w:rsidRPr="00F82946">
        <w:rPr>
          <w:rFonts w:ascii="Times New Roman" w:eastAsia="Times New Roman" w:hAnsi="Times New Roman" w:cs="Times New Roman"/>
          <w:i/>
          <w:lang w:eastAsia="en-ZA"/>
        </w:rPr>
        <w:t xml:space="preserve">Faxonius rusticus </w:t>
      </w:r>
      <w:r w:rsidRPr="00F82946">
        <w:rPr>
          <w:rFonts w:ascii="Times New Roman" w:eastAsia="Times New Roman" w:hAnsi="Times New Roman" w:cs="Times New Roman"/>
          <w:lang w:eastAsia="en-ZA"/>
        </w:rPr>
        <w:t>(Girard, 1852)”, i.e., it is proposed that the regulatory name be updated to the accepted scientific name of the taxon under assessment.</w:t>
      </w:r>
    </w:p>
  </w:footnote>
  <w:footnote w:id="8">
    <w:p w14:paraId="0DEA20C3" w14:textId="77777777" w:rsidR="002D7080" w:rsidRPr="00F82946" w:rsidRDefault="002D7080" w:rsidP="002D7080">
      <w:pPr>
        <w:pStyle w:val="FootnoteText"/>
        <w:jc w:val="both"/>
        <w:rPr>
          <w:rFonts w:ascii="Times New Roman" w:hAnsi="Times New Roman" w:cs="Times New Roman"/>
          <w:lang w:val="en-US"/>
        </w:rPr>
      </w:pPr>
      <w:r w:rsidRPr="00F82946">
        <w:rPr>
          <w:rStyle w:val="FootnoteReference"/>
          <w:rFonts w:ascii="Times New Roman" w:hAnsi="Times New Roman" w:cs="Times New Roman"/>
        </w:rPr>
        <w:footnoteRef/>
      </w:r>
      <w:r w:rsidRPr="00F82946">
        <w:rPr>
          <w:rFonts w:ascii="Times New Roman" w:hAnsi="Times New Roman" w:cs="Times New Roman"/>
        </w:rPr>
        <w:t xml:space="preserve"> The presence of </w:t>
      </w:r>
      <w:r w:rsidRPr="00F82946">
        <w:rPr>
          <w:rFonts w:ascii="Times New Roman" w:hAnsi="Times New Roman" w:cs="Times New Roman"/>
          <w:i/>
          <w:iCs/>
        </w:rPr>
        <w:t>F. rusticus</w:t>
      </w:r>
      <w:r w:rsidRPr="00F82946">
        <w:rPr>
          <w:rFonts w:ascii="Times New Roman" w:hAnsi="Times New Roman" w:cs="Times New Roman"/>
        </w:rPr>
        <w:t xml:space="preserve"> in South Africa should be confirmed and the taxon should be reassessed in five years (i.e., by 2029).</w:t>
      </w:r>
    </w:p>
    <w:p w14:paraId="69F78FD6" w14:textId="77777777" w:rsidR="002D7080" w:rsidRPr="00D92DC9" w:rsidRDefault="002D7080" w:rsidP="002D7080">
      <w:pPr>
        <w:pStyle w:val="FootnoteText"/>
        <w:rPr>
          <w:rFonts w:ascii="Arial" w:hAnsi="Arial" w:cs="Arial"/>
        </w:rPr>
      </w:pPr>
    </w:p>
  </w:footnote>
  <w:footnote w:id="9">
    <w:p w14:paraId="5955EB05" w14:textId="77777777" w:rsidR="002D7080" w:rsidRPr="00F82946" w:rsidRDefault="002D7080" w:rsidP="002D7080">
      <w:pPr>
        <w:pStyle w:val="FootnoteText"/>
        <w:jc w:val="both"/>
        <w:rPr>
          <w:rFonts w:ascii="Times New Roman" w:hAnsi="Times New Roman" w:cs="Times New Roman"/>
          <w:lang w:val="en-US"/>
        </w:rPr>
      </w:pPr>
      <w:r w:rsidRPr="00F82946">
        <w:rPr>
          <w:rStyle w:val="FootnoteReference"/>
          <w:rFonts w:ascii="Times New Roman" w:hAnsi="Times New Roman" w:cs="Times New Roman"/>
        </w:rPr>
        <w:footnoteRef/>
      </w:r>
      <w:r w:rsidRPr="00F82946">
        <w:rPr>
          <w:rFonts w:ascii="Times New Roman" w:hAnsi="Times New Roman" w:cs="Times New Roman"/>
        </w:rPr>
        <w:t xml:space="preserve"> The presence of </w:t>
      </w:r>
      <w:r w:rsidRPr="00F82946">
        <w:rPr>
          <w:rFonts w:ascii="Times New Roman" w:hAnsi="Times New Roman" w:cs="Times New Roman"/>
          <w:i/>
          <w:iCs/>
        </w:rPr>
        <w:t xml:space="preserve">F. </w:t>
      </w:r>
      <w:r>
        <w:rPr>
          <w:rFonts w:ascii="Times New Roman" w:hAnsi="Times New Roman" w:cs="Times New Roman"/>
          <w:i/>
          <w:iCs/>
        </w:rPr>
        <w:t xml:space="preserve">virilis </w:t>
      </w:r>
      <w:r w:rsidRPr="00F82946">
        <w:rPr>
          <w:rFonts w:ascii="Times New Roman" w:hAnsi="Times New Roman" w:cs="Times New Roman"/>
        </w:rPr>
        <w:t>in South Africa should be confirmed and the taxon should be reassessed in five years (i.e., by 2029).</w:t>
      </w:r>
    </w:p>
    <w:p w14:paraId="5025F655" w14:textId="77777777" w:rsidR="002D7080" w:rsidRPr="00D92DC9" w:rsidRDefault="002D7080" w:rsidP="002D7080">
      <w:pPr>
        <w:pStyle w:val="FootnoteText"/>
        <w:rPr>
          <w:rFonts w:ascii="Arial" w:hAnsi="Arial" w:cs="Arial"/>
        </w:rPr>
      </w:pPr>
    </w:p>
  </w:footnote>
  <w:footnote w:id="10">
    <w:p w14:paraId="5B67FAB6" w14:textId="77777777" w:rsidR="002D7080" w:rsidRPr="00F82946" w:rsidRDefault="002D7080" w:rsidP="002D7080">
      <w:pPr>
        <w:pStyle w:val="FootnoteText"/>
        <w:jc w:val="both"/>
        <w:rPr>
          <w:rFonts w:ascii="Times New Roman" w:hAnsi="Times New Roman" w:cs="Times New Roman"/>
        </w:rPr>
      </w:pPr>
      <w:r w:rsidRPr="00F82946">
        <w:rPr>
          <w:rStyle w:val="FootnoteReference"/>
          <w:rFonts w:ascii="Times New Roman" w:hAnsi="Times New Roman" w:cs="Times New Roman"/>
        </w:rPr>
        <w:footnoteRef/>
      </w:r>
      <w:r w:rsidRPr="00F82946">
        <w:rPr>
          <w:rFonts w:ascii="Times New Roman" w:hAnsi="Times New Roman" w:cs="Times New Roman"/>
        </w:rPr>
        <w:t xml:space="preserve"> The current listing is “</w:t>
      </w:r>
      <w:r w:rsidRPr="008764F6">
        <w:rPr>
          <w:rFonts w:ascii="Times New Roman" w:hAnsi="Times New Roman" w:cs="Times New Roman"/>
          <w:i/>
          <w:iCs/>
        </w:rPr>
        <w:t xml:space="preserve">Astacus leptodactylus </w:t>
      </w:r>
      <w:r w:rsidRPr="008764F6">
        <w:rPr>
          <w:rFonts w:ascii="Times New Roman" w:hAnsi="Times New Roman" w:cs="Times New Roman"/>
        </w:rPr>
        <w:t>(Eschscholtz, 1823)</w:t>
      </w:r>
      <w:r>
        <w:rPr>
          <w:rFonts w:ascii="Times New Roman" w:hAnsi="Times New Roman" w:cs="Times New Roman"/>
        </w:rPr>
        <w:t>”</w:t>
      </w:r>
      <w:r w:rsidRPr="008764F6">
        <w:rPr>
          <w:rFonts w:ascii="Times New Roman" w:hAnsi="Times New Roman" w:cs="Times New Roman"/>
        </w:rPr>
        <w:t xml:space="preserve"> </w:t>
      </w:r>
      <w:r w:rsidRPr="00F82946">
        <w:rPr>
          <w:rFonts w:ascii="Times New Roman" w:hAnsi="Times New Roman" w:cs="Times New Roman"/>
        </w:rPr>
        <w:t>the recommended listing is “</w:t>
      </w:r>
      <w:r w:rsidRPr="00FB4758">
        <w:rPr>
          <w:rStyle w:val="ng-binding"/>
          <w:rFonts w:ascii="Times New Roman" w:hAnsi="Times New Roman" w:cs="Times New Roman"/>
          <w:i/>
          <w:iCs/>
          <w:shd w:val="clear" w:color="auto" w:fill="FFFFFF"/>
        </w:rPr>
        <w:t>Pontastacus leptodactylus </w:t>
      </w:r>
      <w:r w:rsidRPr="00FB4758">
        <w:rPr>
          <w:rStyle w:val="ng-binding"/>
          <w:rFonts w:ascii="Times New Roman" w:hAnsi="Times New Roman" w:cs="Times New Roman"/>
          <w:shd w:val="clear" w:color="auto" w:fill="FFFFFF"/>
        </w:rPr>
        <w:t>(Eschscholtz, 1823)</w:t>
      </w:r>
      <w:r>
        <w:rPr>
          <w:rFonts w:ascii="Times New Roman" w:hAnsi="Times New Roman" w:cs="Times New Roman"/>
          <w:shd w:val="clear" w:color="auto" w:fill="FFFFFF"/>
        </w:rPr>
        <w:t xml:space="preserve">”, </w:t>
      </w:r>
      <w:r w:rsidRPr="00F82946">
        <w:rPr>
          <w:rFonts w:ascii="Times New Roman" w:eastAsia="Times New Roman" w:hAnsi="Times New Roman" w:cs="Times New Roman"/>
          <w:lang w:eastAsia="en-ZA"/>
        </w:rPr>
        <w:t>i.e., it is proposed that the regulatory name be updated to the accepted scientific name of the taxon under assessment.</w:t>
      </w:r>
    </w:p>
  </w:footnote>
  <w:footnote w:id="11">
    <w:p w14:paraId="3F09FE2B" w14:textId="77777777" w:rsidR="002D7080" w:rsidRPr="00F82946" w:rsidRDefault="002D7080" w:rsidP="002D7080">
      <w:pPr>
        <w:pStyle w:val="FootnoteText"/>
        <w:jc w:val="both"/>
        <w:rPr>
          <w:rFonts w:ascii="Times New Roman" w:hAnsi="Times New Roman" w:cs="Times New Roman"/>
          <w:lang w:val="en-US"/>
        </w:rPr>
      </w:pPr>
      <w:r w:rsidRPr="00F82946">
        <w:rPr>
          <w:rStyle w:val="FootnoteReference"/>
          <w:rFonts w:ascii="Times New Roman" w:hAnsi="Times New Roman" w:cs="Times New Roman"/>
        </w:rPr>
        <w:footnoteRef/>
      </w:r>
      <w:r w:rsidRPr="00F82946">
        <w:rPr>
          <w:rFonts w:ascii="Times New Roman" w:hAnsi="Times New Roman" w:cs="Times New Roman"/>
        </w:rPr>
        <w:t xml:space="preserve"> The presence of </w:t>
      </w:r>
      <w:r w:rsidRPr="004D1E6F">
        <w:rPr>
          <w:rFonts w:ascii="Times New Roman" w:eastAsia="Calibri" w:hAnsi="Times New Roman" w:cs="Times New Roman"/>
          <w:i/>
        </w:rPr>
        <w:t>P</w:t>
      </w:r>
      <w:r>
        <w:rPr>
          <w:rFonts w:ascii="Times New Roman" w:eastAsia="Calibri" w:hAnsi="Times New Roman" w:cs="Times New Roman"/>
          <w:i/>
        </w:rPr>
        <w:t>.</w:t>
      </w:r>
      <w:r w:rsidRPr="004D1E6F">
        <w:rPr>
          <w:rFonts w:ascii="Times New Roman" w:eastAsia="Calibri" w:hAnsi="Times New Roman" w:cs="Times New Roman"/>
          <w:i/>
        </w:rPr>
        <w:t xml:space="preserve"> leptodactylus</w:t>
      </w:r>
      <w:r w:rsidRPr="00403FA0">
        <w:rPr>
          <w:rFonts w:ascii="Times New Roman" w:eastAsia="Times New Roman" w:hAnsi="Times New Roman" w:cs="Times New Roman"/>
          <w:iCs/>
          <w:lang w:eastAsia="en-ZA"/>
        </w:rPr>
        <w:t xml:space="preserve"> </w:t>
      </w:r>
      <w:r w:rsidRPr="00F82946">
        <w:rPr>
          <w:rFonts w:ascii="Times New Roman" w:hAnsi="Times New Roman" w:cs="Times New Roman"/>
        </w:rPr>
        <w:t>in South Africa should be confirmed and the taxon should be reassessed in five years (i.e., by 2029).</w:t>
      </w:r>
    </w:p>
    <w:p w14:paraId="7D68A098" w14:textId="77777777" w:rsidR="002D7080" w:rsidRPr="00D92DC9" w:rsidRDefault="002D7080" w:rsidP="002D7080">
      <w:pPr>
        <w:pStyle w:val="FootnoteText"/>
        <w:rPr>
          <w:rFonts w:ascii="Arial" w:hAnsi="Arial" w:cs="Arial"/>
        </w:rPr>
      </w:pPr>
    </w:p>
  </w:footnote>
  <w:footnote w:id="12">
    <w:p w14:paraId="31E5D36B" w14:textId="77777777" w:rsidR="002D7080" w:rsidRPr="00F82946" w:rsidRDefault="002D7080" w:rsidP="002D7080">
      <w:pPr>
        <w:pStyle w:val="FootnoteText"/>
        <w:jc w:val="both"/>
        <w:rPr>
          <w:rFonts w:ascii="Times New Roman" w:hAnsi="Times New Roman" w:cs="Times New Roman"/>
          <w:lang w:val="en-US"/>
        </w:rPr>
      </w:pPr>
      <w:r w:rsidRPr="00F82946">
        <w:rPr>
          <w:rStyle w:val="FootnoteReference"/>
          <w:rFonts w:ascii="Times New Roman" w:hAnsi="Times New Roman" w:cs="Times New Roman"/>
        </w:rPr>
        <w:footnoteRef/>
      </w:r>
      <w:r w:rsidRPr="00F82946">
        <w:rPr>
          <w:rFonts w:ascii="Times New Roman" w:hAnsi="Times New Roman" w:cs="Times New Roman"/>
        </w:rPr>
        <w:t xml:space="preserve"> The </w:t>
      </w:r>
      <w:r>
        <w:rPr>
          <w:rFonts w:ascii="Times New Roman" w:hAnsi="Times New Roman" w:cs="Times New Roman"/>
        </w:rPr>
        <w:t>absence</w:t>
      </w:r>
      <w:r w:rsidRPr="00F82946">
        <w:rPr>
          <w:rFonts w:ascii="Times New Roman" w:hAnsi="Times New Roman" w:cs="Times New Roman"/>
        </w:rPr>
        <w:t xml:space="preserve"> of </w:t>
      </w:r>
      <w:r>
        <w:rPr>
          <w:rFonts w:ascii="Times New Roman" w:hAnsi="Times New Roman" w:cs="Times New Roman"/>
          <w:i/>
          <w:iCs/>
        </w:rPr>
        <w:t xml:space="preserve">P. acutus </w:t>
      </w:r>
      <w:r w:rsidRPr="00F82946">
        <w:rPr>
          <w:rFonts w:ascii="Times New Roman" w:hAnsi="Times New Roman" w:cs="Times New Roman"/>
        </w:rPr>
        <w:t>in South Africa should be confirmed and the taxon should be reassessed in five years (i.e., by 2029).</w:t>
      </w:r>
    </w:p>
    <w:p w14:paraId="58EC6E6F" w14:textId="77777777" w:rsidR="002D7080" w:rsidRPr="00D92DC9" w:rsidRDefault="002D7080" w:rsidP="002D7080">
      <w:pPr>
        <w:pStyle w:val="FootnoteText"/>
        <w:rPr>
          <w:rFonts w:ascii="Arial" w:hAnsi="Arial" w:cs="Arial"/>
        </w:rPr>
      </w:pPr>
    </w:p>
  </w:footnote>
  <w:footnote w:id="13">
    <w:p w14:paraId="01558BDE" w14:textId="77777777" w:rsidR="002D7080" w:rsidRPr="00F82946" w:rsidRDefault="002D7080" w:rsidP="002D7080">
      <w:pPr>
        <w:pStyle w:val="FootnoteText"/>
        <w:jc w:val="both"/>
        <w:rPr>
          <w:rFonts w:ascii="Times New Roman" w:hAnsi="Times New Roman" w:cs="Times New Roman"/>
          <w:lang w:val="en-US"/>
        </w:rPr>
      </w:pPr>
      <w:r w:rsidRPr="00F82946">
        <w:rPr>
          <w:rStyle w:val="FootnoteReference"/>
          <w:rFonts w:ascii="Times New Roman" w:hAnsi="Times New Roman" w:cs="Times New Roman"/>
        </w:rPr>
        <w:footnoteRef/>
      </w:r>
      <w:r w:rsidRPr="00F82946">
        <w:rPr>
          <w:rFonts w:ascii="Times New Roman" w:hAnsi="Times New Roman" w:cs="Times New Roman"/>
        </w:rPr>
        <w:t xml:space="preserve"> The </w:t>
      </w:r>
      <w:r>
        <w:rPr>
          <w:rFonts w:ascii="Times New Roman" w:hAnsi="Times New Roman" w:cs="Times New Roman"/>
        </w:rPr>
        <w:t>absence</w:t>
      </w:r>
      <w:r w:rsidRPr="00F82946">
        <w:rPr>
          <w:rFonts w:ascii="Times New Roman" w:hAnsi="Times New Roman" w:cs="Times New Roman"/>
        </w:rPr>
        <w:t xml:space="preserve"> of </w:t>
      </w:r>
      <w:r w:rsidRPr="004D1E6F">
        <w:rPr>
          <w:rFonts w:ascii="Times New Roman" w:eastAsia="Calibri" w:hAnsi="Times New Roman" w:cs="Times New Roman"/>
          <w:i/>
        </w:rPr>
        <w:t>Procambarus virginalis</w:t>
      </w:r>
      <w:r w:rsidRPr="004D1E6F">
        <w:rPr>
          <w:rFonts w:ascii="Times New Roman" w:eastAsia="Calibri" w:hAnsi="Times New Roman" w:cs="Times New Roman"/>
        </w:rPr>
        <w:t xml:space="preserve"> </w:t>
      </w:r>
      <w:r w:rsidRPr="00F82946">
        <w:rPr>
          <w:rFonts w:ascii="Times New Roman" w:hAnsi="Times New Roman" w:cs="Times New Roman"/>
        </w:rPr>
        <w:t>in South Africa should be confirmed and the taxon should be reassessed in five years (i.e., by 2029).</w:t>
      </w:r>
    </w:p>
    <w:p w14:paraId="49E37A92" w14:textId="77777777" w:rsidR="002D7080" w:rsidRPr="00D92DC9" w:rsidRDefault="002D7080" w:rsidP="002D7080">
      <w:pPr>
        <w:pStyle w:val="FootnoteText"/>
        <w:rPr>
          <w:rFonts w:ascii="Arial" w:hAnsi="Arial" w:cs="Arial"/>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714CF"/>
    <w:multiLevelType w:val="multilevel"/>
    <w:tmpl w:val="0B7E2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FB72BD"/>
    <w:multiLevelType w:val="hybridMultilevel"/>
    <w:tmpl w:val="27AC78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841882"/>
    <w:multiLevelType w:val="multilevel"/>
    <w:tmpl w:val="E31C2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3463A4"/>
    <w:multiLevelType w:val="hybridMultilevel"/>
    <w:tmpl w:val="D37023AC"/>
    <w:lvl w:ilvl="0" w:tplc="ACD4C5B8">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12CE187C"/>
    <w:multiLevelType w:val="hybridMultilevel"/>
    <w:tmpl w:val="4E4622DC"/>
    <w:lvl w:ilvl="0" w:tplc="60783E02">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 w15:restartNumberingAfterBreak="0">
    <w:nsid w:val="1E2F298D"/>
    <w:multiLevelType w:val="hybridMultilevel"/>
    <w:tmpl w:val="DE109F26"/>
    <w:lvl w:ilvl="0" w:tplc="7278E24A">
      <w:numFmt w:val="bullet"/>
      <w:lvlText w:val="-"/>
      <w:lvlJc w:val="left"/>
      <w:pPr>
        <w:ind w:left="720" w:hanging="360"/>
      </w:pPr>
      <w:rPr>
        <w:rFonts w:ascii="Arial" w:eastAsiaTheme="minorHAnsi"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1E402738"/>
    <w:multiLevelType w:val="hybridMultilevel"/>
    <w:tmpl w:val="8EC6EEC2"/>
    <w:lvl w:ilvl="0" w:tplc="D3C84EA4">
      <w:start w:val="1"/>
      <w:numFmt w:val="decimal"/>
      <w:lvlText w:val="%1.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 w15:restartNumberingAfterBreak="0">
    <w:nsid w:val="1EAD7B06"/>
    <w:multiLevelType w:val="multilevel"/>
    <w:tmpl w:val="C3B81F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6D906F5"/>
    <w:multiLevelType w:val="multilevel"/>
    <w:tmpl w:val="4984C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76A56A4"/>
    <w:multiLevelType w:val="multilevel"/>
    <w:tmpl w:val="1B526D48"/>
    <w:lvl w:ilvl="0">
      <w:start w:val="1"/>
      <w:numFmt w:val="decimal"/>
      <w:lvlText w:val="%1"/>
      <w:lvlJc w:val="left"/>
      <w:pPr>
        <w:ind w:left="1283" w:hanging="432"/>
      </w:pPr>
    </w:lvl>
    <w:lvl w:ilvl="1">
      <w:start w:val="1"/>
      <w:numFmt w:val="decimal"/>
      <w:lvlText w:val="%1.%2"/>
      <w:lvlJc w:val="left"/>
      <w:pPr>
        <w:ind w:left="576" w:hanging="576"/>
      </w:pPr>
    </w:lvl>
    <w:lvl w:ilvl="2">
      <w:start w:val="1"/>
      <w:numFmt w:val="decimal"/>
      <w:lvlText w:val="%1.%2.%3"/>
      <w:lvlJc w:val="left"/>
      <w:pPr>
        <w:ind w:left="4122" w:hanging="720"/>
      </w:pPr>
    </w:lvl>
    <w:lvl w:ilvl="3">
      <w:start w:val="1"/>
      <w:numFmt w:val="decimal"/>
      <w:lvlText w:val="%1.%2.%3.%4"/>
      <w:lvlJc w:val="left"/>
      <w:pPr>
        <w:ind w:left="864" w:hanging="864"/>
      </w:pPr>
      <w:rPr>
        <w:b/>
        <w:bCs/>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29F135F2"/>
    <w:multiLevelType w:val="multilevel"/>
    <w:tmpl w:val="8EA008FE"/>
    <w:lvl w:ilvl="0">
      <w:start w:val="1"/>
      <w:numFmt w:val="decimal"/>
      <w:lvlText w:val="%1."/>
      <w:lvlJc w:val="left"/>
      <w:pPr>
        <w:ind w:left="786" w:hanging="360"/>
      </w:pPr>
      <w:rPr>
        <w:rFonts w:hint="default"/>
      </w:rPr>
    </w:lvl>
    <w:lvl w:ilvl="1">
      <w:start w:val="1"/>
      <w:numFmt w:val="decimal"/>
      <w:lvlText w:val="%1.%2"/>
      <w:lvlJc w:val="left"/>
      <w:pPr>
        <w:ind w:left="360" w:hanging="360"/>
      </w:p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15:restartNumberingAfterBreak="0">
    <w:nsid w:val="2CEE595C"/>
    <w:multiLevelType w:val="hybridMultilevel"/>
    <w:tmpl w:val="59EABA60"/>
    <w:lvl w:ilvl="0" w:tplc="5954807A">
      <w:start w:val="60"/>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 w15:restartNumberingAfterBreak="0">
    <w:nsid w:val="39E5335C"/>
    <w:multiLevelType w:val="hybridMultilevel"/>
    <w:tmpl w:val="18140CB0"/>
    <w:lvl w:ilvl="0" w:tplc="04B6081A">
      <w:start w:val="1"/>
      <w:numFmt w:val="decimal"/>
      <w:lvlText w:val="%1."/>
      <w:lvlJc w:val="left"/>
      <w:pPr>
        <w:ind w:left="720" w:hanging="360"/>
      </w:pPr>
      <w:rPr>
        <w:rFonts w:ascii="Calibri" w:hAnsi="Calibri" w:cs="Calibri" w:hint="default"/>
      </w:r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13" w15:restartNumberingAfterBreak="0">
    <w:nsid w:val="3D8A223A"/>
    <w:multiLevelType w:val="multilevel"/>
    <w:tmpl w:val="6D56F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F8E5F65"/>
    <w:multiLevelType w:val="hybridMultilevel"/>
    <w:tmpl w:val="FD9E217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479E4B87"/>
    <w:multiLevelType w:val="hybridMultilevel"/>
    <w:tmpl w:val="92F423FA"/>
    <w:lvl w:ilvl="0" w:tplc="7F2430FA">
      <w:start w:val="1"/>
      <w:numFmt w:val="decimal"/>
      <w:lvlText w:val="1.%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6" w15:restartNumberingAfterBreak="0">
    <w:nsid w:val="4B180E52"/>
    <w:multiLevelType w:val="hybridMultilevel"/>
    <w:tmpl w:val="4E08E800"/>
    <w:lvl w:ilvl="0" w:tplc="C5D4D6F0">
      <w:start w:val="61"/>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15:restartNumberingAfterBreak="0">
    <w:nsid w:val="4B7E5B6B"/>
    <w:multiLevelType w:val="multilevel"/>
    <w:tmpl w:val="D1CAA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26D79B5"/>
    <w:multiLevelType w:val="hybridMultilevel"/>
    <w:tmpl w:val="DCF42DA6"/>
    <w:lvl w:ilvl="0" w:tplc="79A8B3B6">
      <w:start w:val="51"/>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58197799"/>
    <w:multiLevelType w:val="hybridMultilevel"/>
    <w:tmpl w:val="F1A61C20"/>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0" w15:restartNumberingAfterBreak="0">
    <w:nsid w:val="59DF00DE"/>
    <w:multiLevelType w:val="multilevel"/>
    <w:tmpl w:val="C04CC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49741D5"/>
    <w:multiLevelType w:val="hybridMultilevel"/>
    <w:tmpl w:val="4B509852"/>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2" w15:restartNumberingAfterBreak="0">
    <w:nsid w:val="6A00436B"/>
    <w:multiLevelType w:val="hybridMultilevel"/>
    <w:tmpl w:val="3D6E29CE"/>
    <w:lvl w:ilvl="0" w:tplc="1C09000F">
      <w:start w:val="1"/>
      <w:numFmt w:val="decimal"/>
      <w:lvlText w:val="%1."/>
      <w:lvlJc w:val="left"/>
      <w:rPr>
        <w:rFonts w:hint="default"/>
        <w:b w:val="0"/>
        <w:i w:val="0"/>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6F612827"/>
    <w:multiLevelType w:val="hybridMultilevel"/>
    <w:tmpl w:val="70B0951E"/>
    <w:lvl w:ilvl="0" w:tplc="48A8D74E">
      <w:start w:val="66"/>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605894552">
    <w:abstractNumId w:val="9"/>
  </w:num>
  <w:num w:numId="2" w16cid:durableId="163790802">
    <w:abstractNumId w:val="9"/>
  </w:num>
  <w:num w:numId="3" w16cid:durableId="385837990">
    <w:abstractNumId w:val="9"/>
  </w:num>
  <w:num w:numId="4" w16cid:durableId="663706404">
    <w:abstractNumId w:val="6"/>
  </w:num>
  <w:num w:numId="5" w16cid:durableId="1670060254">
    <w:abstractNumId w:val="9"/>
  </w:num>
  <w:num w:numId="6" w16cid:durableId="2120756531">
    <w:abstractNumId w:val="9"/>
  </w:num>
  <w:num w:numId="7" w16cid:durableId="2025015823">
    <w:abstractNumId w:val="9"/>
  </w:num>
  <w:num w:numId="8" w16cid:durableId="757604280">
    <w:abstractNumId w:val="9"/>
  </w:num>
  <w:num w:numId="9" w16cid:durableId="909922271">
    <w:abstractNumId w:val="9"/>
  </w:num>
  <w:num w:numId="10" w16cid:durableId="2053261890">
    <w:abstractNumId w:val="10"/>
  </w:num>
  <w:num w:numId="11" w16cid:durableId="409546938">
    <w:abstractNumId w:val="15"/>
  </w:num>
  <w:num w:numId="12" w16cid:durableId="492263045">
    <w:abstractNumId w:val="18"/>
  </w:num>
  <w:num w:numId="13" w16cid:durableId="67240125">
    <w:abstractNumId w:val="23"/>
  </w:num>
  <w:num w:numId="14" w16cid:durableId="1553347604">
    <w:abstractNumId w:val="16"/>
  </w:num>
  <w:num w:numId="15" w16cid:durableId="981159272">
    <w:abstractNumId w:val="11"/>
  </w:num>
  <w:num w:numId="16" w16cid:durableId="770664721">
    <w:abstractNumId w:val="3"/>
  </w:num>
  <w:num w:numId="17" w16cid:durableId="565457073">
    <w:abstractNumId w:val="4"/>
  </w:num>
  <w:num w:numId="18" w16cid:durableId="496458810">
    <w:abstractNumId w:val="21"/>
  </w:num>
  <w:num w:numId="19" w16cid:durableId="17390296">
    <w:abstractNumId w:val="19"/>
  </w:num>
  <w:num w:numId="20" w16cid:durableId="1366559719">
    <w:abstractNumId w:val="14"/>
  </w:num>
  <w:num w:numId="21" w16cid:durableId="1834443705">
    <w:abstractNumId w:val="5"/>
  </w:num>
  <w:num w:numId="22" w16cid:durableId="1723602075">
    <w:abstractNumId w:val="20"/>
  </w:num>
  <w:num w:numId="23" w16cid:durableId="1918250020">
    <w:abstractNumId w:val="7"/>
  </w:num>
  <w:num w:numId="24" w16cid:durableId="12298068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996494605">
    <w:abstractNumId w:val="22"/>
  </w:num>
  <w:num w:numId="26" w16cid:durableId="397827894">
    <w:abstractNumId w:val="13"/>
  </w:num>
  <w:num w:numId="27" w16cid:durableId="1774588579">
    <w:abstractNumId w:val="2"/>
  </w:num>
  <w:num w:numId="28" w16cid:durableId="660622700">
    <w:abstractNumId w:val="1"/>
  </w:num>
  <w:num w:numId="29" w16cid:durableId="2082290669">
    <w:abstractNumId w:val="17"/>
  </w:num>
  <w:num w:numId="30" w16cid:durableId="571815976">
    <w:abstractNumId w:val="8"/>
  </w:num>
  <w:num w:numId="31" w16cid:durableId="964838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7080"/>
    <w:rsid w:val="000149CE"/>
    <w:rsid w:val="00024AA1"/>
    <w:rsid w:val="00026570"/>
    <w:rsid w:val="00060906"/>
    <w:rsid w:val="00061715"/>
    <w:rsid w:val="00063445"/>
    <w:rsid w:val="00084285"/>
    <w:rsid w:val="000909F5"/>
    <w:rsid w:val="00094725"/>
    <w:rsid w:val="000A42B1"/>
    <w:rsid w:val="000D2051"/>
    <w:rsid w:val="000D45AC"/>
    <w:rsid w:val="000E334A"/>
    <w:rsid w:val="000F1F67"/>
    <w:rsid w:val="000F453E"/>
    <w:rsid w:val="000F55CB"/>
    <w:rsid w:val="00102BFE"/>
    <w:rsid w:val="00141353"/>
    <w:rsid w:val="00145A36"/>
    <w:rsid w:val="00161A61"/>
    <w:rsid w:val="001656F7"/>
    <w:rsid w:val="001865AA"/>
    <w:rsid w:val="001A7934"/>
    <w:rsid w:val="001C1A0B"/>
    <w:rsid w:val="001C35CA"/>
    <w:rsid w:val="001E5964"/>
    <w:rsid w:val="001F0EC4"/>
    <w:rsid w:val="002070BC"/>
    <w:rsid w:val="00217643"/>
    <w:rsid w:val="0024145A"/>
    <w:rsid w:val="0025351B"/>
    <w:rsid w:val="00253B83"/>
    <w:rsid w:val="0027000C"/>
    <w:rsid w:val="00276013"/>
    <w:rsid w:val="00282AB4"/>
    <w:rsid w:val="002B3841"/>
    <w:rsid w:val="002B51F7"/>
    <w:rsid w:val="002B7673"/>
    <w:rsid w:val="002C7FBD"/>
    <w:rsid w:val="002D3CA9"/>
    <w:rsid w:val="002D7080"/>
    <w:rsid w:val="002E6E0C"/>
    <w:rsid w:val="003035A3"/>
    <w:rsid w:val="00307BF9"/>
    <w:rsid w:val="00314CD4"/>
    <w:rsid w:val="00327289"/>
    <w:rsid w:val="003478C7"/>
    <w:rsid w:val="00356715"/>
    <w:rsid w:val="003635A5"/>
    <w:rsid w:val="0038576C"/>
    <w:rsid w:val="00387699"/>
    <w:rsid w:val="00392360"/>
    <w:rsid w:val="003B2CA5"/>
    <w:rsid w:val="003C7F82"/>
    <w:rsid w:val="00405845"/>
    <w:rsid w:val="00415023"/>
    <w:rsid w:val="004263C1"/>
    <w:rsid w:val="004505EA"/>
    <w:rsid w:val="00462C13"/>
    <w:rsid w:val="00463AB2"/>
    <w:rsid w:val="00465637"/>
    <w:rsid w:val="00467534"/>
    <w:rsid w:val="00471161"/>
    <w:rsid w:val="004716AA"/>
    <w:rsid w:val="00481AC4"/>
    <w:rsid w:val="00484ECD"/>
    <w:rsid w:val="004856F5"/>
    <w:rsid w:val="004A3B46"/>
    <w:rsid w:val="004B319C"/>
    <w:rsid w:val="004C79F1"/>
    <w:rsid w:val="004D0B09"/>
    <w:rsid w:val="004D2B01"/>
    <w:rsid w:val="004D419F"/>
    <w:rsid w:val="004E4952"/>
    <w:rsid w:val="004E6900"/>
    <w:rsid w:val="004E6954"/>
    <w:rsid w:val="004F0741"/>
    <w:rsid w:val="00500AD1"/>
    <w:rsid w:val="00505E10"/>
    <w:rsid w:val="00506D1D"/>
    <w:rsid w:val="00523B4F"/>
    <w:rsid w:val="00527413"/>
    <w:rsid w:val="00544E5D"/>
    <w:rsid w:val="00554142"/>
    <w:rsid w:val="00576BB9"/>
    <w:rsid w:val="005826FB"/>
    <w:rsid w:val="005952B0"/>
    <w:rsid w:val="005A2F10"/>
    <w:rsid w:val="005B3153"/>
    <w:rsid w:val="005C02F6"/>
    <w:rsid w:val="005C56FC"/>
    <w:rsid w:val="005D1D6C"/>
    <w:rsid w:val="005D67FD"/>
    <w:rsid w:val="00626A75"/>
    <w:rsid w:val="006471AB"/>
    <w:rsid w:val="00660907"/>
    <w:rsid w:val="00663569"/>
    <w:rsid w:val="006728DB"/>
    <w:rsid w:val="006770EA"/>
    <w:rsid w:val="0068452A"/>
    <w:rsid w:val="006A136F"/>
    <w:rsid w:val="006A623B"/>
    <w:rsid w:val="006B18BA"/>
    <w:rsid w:val="006B6D52"/>
    <w:rsid w:val="006C5615"/>
    <w:rsid w:val="006C5BDE"/>
    <w:rsid w:val="006D3942"/>
    <w:rsid w:val="006E3590"/>
    <w:rsid w:val="006E3868"/>
    <w:rsid w:val="006E464D"/>
    <w:rsid w:val="00712AF7"/>
    <w:rsid w:val="00716A79"/>
    <w:rsid w:val="007442EB"/>
    <w:rsid w:val="007536FA"/>
    <w:rsid w:val="00791646"/>
    <w:rsid w:val="00795FD1"/>
    <w:rsid w:val="007A6D39"/>
    <w:rsid w:val="007B2EF6"/>
    <w:rsid w:val="007C1DAC"/>
    <w:rsid w:val="007E4B60"/>
    <w:rsid w:val="007F105A"/>
    <w:rsid w:val="00804FAA"/>
    <w:rsid w:val="00821209"/>
    <w:rsid w:val="0082330F"/>
    <w:rsid w:val="00830690"/>
    <w:rsid w:val="008375CD"/>
    <w:rsid w:val="00843B94"/>
    <w:rsid w:val="00866C6D"/>
    <w:rsid w:val="0086708B"/>
    <w:rsid w:val="008A0BC6"/>
    <w:rsid w:val="008B658F"/>
    <w:rsid w:val="008B6638"/>
    <w:rsid w:val="008D5BFA"/>
    <w:rsid w:val="008D7651"/>
    <w:rsid w:val="008E030D"/>
    <w:rsid w:val="008F5B51"/>
    <w:rsid w:val="00901720"/>
    <w:rsid w:val="009045DB"/>
    <w:rsid w:val="00921E5D"/>
    <w:rsid w:val="00933135"/>
    <w:rsid w:val="00950E34"/>
    <w:rsid w:val="00952990"/>
    <w:rsid w:val="00952B7D"/>
    <w:rsid w:val="0095422C"/>
    <w:rsid w:val="00956545"/>
    <w:rsid w:val="0096133C"/>
    <w:rsid w:val="009754A6"/>
    <w:rsid w:val="0097731B"/>
    <w:rsid w:val="00981082"/>
    <w:rsid w:val="009843C2"/>
    <w:rsid w:val="00987FF5"/>
    <w:rsid w:val="009962CF"/>
    <w:rsid w:val="009F65AC"/>
    <w:rsid w:val="00A363A5"/>
    <w:rsid w:val="00A475AC"/>
    <w:rsid w:val="00A63A27"/>
    <w:rsid w:val="00A727E4"/>
    <w:rsid w:val="00A73CBE"/>
    <w:rsid w:val="00A774C1"/>
    <w:rsid w:val="00A91441"/>
    <w:rsid w:val="00A91D2B"/>
    <w:rsid w:val="00A95EB7"/>
    <w:rsid w:val="00A96F79"/>
    <w:rsid w:val="00AC49AB"/>
    <w:rsid w:val="00AC6050"/>
    <w:rsid w:val="00AD1C75"/>
    <w:rsid w:val="00AD34E1"/>
    <w:rsid w:val="00AF155E"/>
    <w:rsid w:val="00B00CF3"/>
    <w:rsid w:val="00B102FB"/>
    <w:rsid w:val="00B154EB"/>
    <w:rsid w:val="00B2102B"/>
    <w:rsid w:val="00B31B87"/>
    <w:rsid w:val="00B84400"/>
    <w:rsid w:val="00B904C1"/>
    <w:rsid w:val="00B91DA4"/>
    <w:rsid w:val="00B94B61"/>
    <w:rsid w:val="00B9680D"/>
    <w:rsid w:val="00BB7DFF"/>
    <w:rsid w:val="00BC5947"/>
    <w:rsid w:val="00BC7BD0"/>
    <w:rsid w:val="00C35336"/>
    <w:rsid w:val="00C50EE7"/>
    <w:rsid w:val="00C52CC6"/>
    <w:rsid w:val="00C52E1A"/>
    <w:rsid w:val="00C54F46"/>
    <w:rsid w:val="00C5761E"/>
    <w:rsid w:val="00C6056F"/>
    <w:rsid w:val="00C67C06"/>
    <w:rsid w:val="00C81366"/>
    <w:rsid w:val="00C87A44"/>
    <w:rsid w:val="00C94525"/>
    <w:rsid w:val="00CD0B85"/>
    <w:rsid w:val="00CD42FA"/>
    <w:rsid w:val="00D04DD2"/>
    <w:rsid w:val="00D252EE"/>
    <w:rsid w:val="00D5184E"/>
    <w:rsid w:val="00D846AB"/>
    <w:rsid w:val="00D8743C"/>
    <w:rsid w:val="00DA2CF7"/>
    <w:rsid w:val="00DC5E42"/>
    <w:rsid w:val="00DC75C2"/>
    <w:rsid w:val="00DD0C07"/>
    <w:rsid w:val="00DD50DE"/>
    <w:rsid w:val="00DE12C9"/>
    <w:rsid w:val="00DE225B"/>
    <w:rsid w:val="00DE3474"/>
    <w:rsid w:val="00DE4CFB"/>
    <w:rsid w:val="00DF570D"/>
    <w:rsid w:val="00E03F0C"/>
    <w:rsid w:val="00E047ED"/>
    <w:rsid w:val="00E36901"/>
    <w:rsid w:val="00E52851"/>
    <w:rsid w:val="00E6741E"/>
    <w:rsid w:val="00E975C4"/>
    <w:rsid w:val="00F01349"/>
    <w:rsid w:val="00F1238C"/>
    <w:rsid w:val="00F25656"/>
    <w:rsid w:val="00F261B1"/>
    <w:rsid w:val="00F274B8"/>
    <w:rsid w:val="00F40AB3"/>
    <w:rsid w:val="00F46CD5"/>
    <w:rsid w:val="00F63310"/>
    <w:rsid w:val="00F72727"/>
    <w:rsid w:val="00F900E9"/>
    <w:rsid w:val="00F92749"/>
    <w:rsid w:val="00F93489"/>
    <w:rsid w:val="00F9592C"/>
    <w:rsid w:val="00FE6A94"/>
    <w:rsid w:val="00FE6AE9"/>
    <w:rsid w:val="00FE6D7A"/>
    <w:rsid w:val="00FF7C89"/>
  </w:rsids>
  <m:mathPr>
    <m:mathFont m:val="Cambria Math"/>
    <m:brkBin m:val="before"/>
    <m:brkBinSub m:val="--"/>
    <m:smallFrac m:val="0"/>
    <m:dispDef/>
    <m:lMargin m:val="0"/>
    <m:rMargin m:val="0"/>
    <m:defJc m:val="centerGroup"/>
    <m:wrapIndent m:val="1440"/>
    <m:intLim m:val="subSup"/>
    <m:naryLim m:val="undOvr"/>
  </m:mathPr>
  <w:themeFontLang w:val="en-ZA"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B2E119"/>
  <w15:chartTrackingRefBased/>
  <w15:docId w15:val="{F1FE18C7-7D78-4754-98F3-C8D66A5879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7080"/>
    <w:pPr>
      <w:spacing w:after="200" w:line="276" w:lineRule="auto"/>
    </w:pPr>
    <w:rPr>
      <w:lang w:val="en-ZA"/>
      <w14:ligatures w14:val="none"/>
    </w:rPr>
  </w:style>
  <w:style w:type="paragraph" w:styleId="Heading1">
    <w:name w:val="heading 1"/>
    <w:basedOn w:val="Normal"/>
    <w:next w:val="Normal"/>
    <w:link w:val="Heading1Char"/>
    <w:uiPriority w:val="9"/>
    <w:qFormat/>
    <w:rsid w:val="0027000C"/>
    <w:pPr>
      <w:keepNext/>
      <w:keepLines/>
      <w:spacing w:before="480" w:after="0" w:line="240" w:lineRule="auto"/>
      <w:outlineLvl w:val="0"/>
    </w:pPr>
    <w:rPr>
      <w:rFonts w:asciiTheme="majorHAnsi" w:eastAsiaTheme="majorEastAsia" w:hAnsiTheme="majorHAnsi" w:cstheme="majorBidi"/>
      <w:b/>
      <w:bCs/>
      <w:color w:val="0F4761" w:themeColor="accent1" w:themeShade="BF"/>
      <w:sz w:val="36"/>
      <w:szCs w:val="28"/>
    </w:rPr>
  </w:style>
  <w:style w:type="paragraph" w:styleId="Heading2">
    <w:name w:val="heading 2"/>
    <w:basedOn w:val="Normal"/>
    <w:next w:val="Normal"/>
    <w:link w:val="Heading2Char"/>
    <w:uiPriority w:val="9"/>
    <w:unhideWhenUsed/>
    <w:qFormat/>
    <w:rsid w:val="0027000C"/>
    <w:pPr>
      <w:keepNext/>
      <w:keepLines/>
      <w:spacing w:before="40" w:after="0"/>
      <w:outlineLvl w:val="1"/>
    </w:pPr>
    <w:rPr>
      <w:rFonts w:asciiTheme="majorHAnsi" w:eastAsiaTheme="majorEastAsia" w:hAnsiTheme="majorHAnsi" w:cstheme="majorBidi"/>
      <w:color w:val="0F4761" w:themeColor="accent1" w:themeShade="BF"/>
      <w:sz w:val="32"/>
      <w:szCs w:val="26"/>
    </w:rPr>
  </w:style>
  <w:style w:type="paragraph" w:styleId="Heading3">
    <w:name w:val="heading 3"/>
    <w:basedOn w:val="Normal"/>
    <w:next w:val="Normal"/>
    <w:link w:val="Heading3Char"/>
    <w:uiPriority w:val="9"/>
    <w:unhideWhenUsed/>
    <w:qFormat/>
    <w:rsid w:val="0027000C"/>
    <w:pPr>
      <w:keepNext/>
      <w:keepLines/>
      <w:spacing w:before="40" w:after="0"/>
      <w:outlineLvl w:val="2"/>
    </w:pPr>
    <w:rPr>
      <w:rFonts w:asciiTheme="majorHAnsi" w:eastAsiaTheme="majorEastAsia" w:hAnsiTheme="majorHAnsi" w:cstheme="majorBidi"/>
      <w:color w:val="0A2F40" w:themeColor="accent1" w:themeShade="7F"/>
      <w:sz w:val="28"/>
      <w:szCs w:val="24"/>
    </w:rPr>
  </w:style>
  <w:style w:type="paragraph" w:styleId="Heading4">
    <w:name w:val="heading 4"/>
    <w:basedOn w:val="Normal"/>
    <w:next w:val="Normal"/>
    <w:link w:val="Heading4Char"/>
    <w:uiPriority w:val="9"/>
    <w:unhideWhenUsed/>
    <w:qFormat/>
    <w:rsid w:val="0027000C"/>
    <w:pPr>
      <w:keepNext/>
      <w:keepLines/>
      <w:spacing w:before="40" w:after="0"/>
      <w:outlineLvl w:val="3"/>
    </w:pPr>
    <w:rPr>
      <w:rFonts w:asciiTheme="majorHAnsi" w:eastAsiaTheme="majorEastAsia" w:hAnsiTheme="majorHAnsi" w:cstheme="majorBidi"/>
      <w:i/>
      <w:iCs/>
      <w:color w:val="0F4761" w:themeColor="accent1" w:themeShade="BF"/>
      <w:sz w:val="24"/>
    </w:rPr>
  </w:style>
  <w:style w:type="paragraph" w:styleId="Heading5">
    <w:name w:val="heading 5"/>
    <w:basedOn w:val="Normal"/>
    <w:next w:val="Normal"/>
    <w:link w:val="Heading5Char"/>
    <w:uiPriority w:val="9"/>
    <w:unhideWhenUsed/>
    <w:qFormat/>
    <w:rsid w:val="004505EA"/>
    <w:pPr>
      <w:keepNext/>
      <w:keepLines/>
      <w:spacing w:before="40" w:after="0"/>
      <w:outlineLvl w:val="4"/>
    </w:pPr>
    <w:rPr>
      <w:rFonts w:asciiTheme="majorHAnsi" w:eastAsiaTheme="majorEastAsia" w:hAnsiTheme="majorHAnsi" w:cstheme="majorBidi"/>
      <w:i/>
      <w:iCs/>
      <w:color w:val="4EA72E" w:themeColor="accent6"/>
      <w:sz w:val="20"/>
    </w:rPr>
  </w:style>
  <w:style w:type="paragraph" w:styleId="Heading6">
    <w:name w:val="heading 6"/>
    <w:basedOn w:val="Normal"/>
    <w:next w:val="Normal"/>
    <w:link w:val="Heading6Char"/>
    <w:uiPriority w:val="9"/>
    <w:unhideWhenUsed/>
    <w:qFormat/>
    <w:rsid w:val="004505EA"/>
    <w:pPr>
      <w:keepNext/>
      <w:keepLines/>
      <w:spacing w:before="40" w:after="0"/>
      <w:outlineLvl w:val="5"/>
    </w:pPr>
    <w:rPr>
      <w:rFonts w:asciiTheme="majorHAnsi" w:eastAsiaTheme="majorEastAsia" w:hAnsiTheme="majorHAnsi" w:cstheme="majorBidi"/>
      <w:color w:val="4EA72E" w:themeColor="accent6"/>
      <w:sz w:val="20"/>
      <w:szCs w:val="21"/>
    </w:rPr>
  </w:style>
  <w:style w:type="paragraph" w:styleId="Heading7">
    <w:name w:val="heading 7"/>
    <w:basedOn w:val="Normal"/>
    <w:next w:val="Normal"/>
    <w:link w:val="Heading7Char"/>
    <w:uiPriority w:val="9"/>
    <w:semiHidden/>
    <w:unhideWhenUsed/>
    <w:qFormat/>
    <w:rsid w:val="004505EA"/>
    <w:pPr>
      <w:keepNext/>
      <w:keepLines/>
      <w:spacing w:before="40" w:after="0"/>
      <w:outlineLvl w:val="6"/>
    </w:pPr>
    <w:rPr>
      <w:rFonts w:asciiTheme="majorHAnsi" w:eastAsiaTheme="majorEastAsia" w:hAnsiTheme="majorHAnsi" w:cstheme="majorBidi"/>
      <w:b/>
      <w:bCs/>
      <w:color w:val="4EA72E" w:themeColor="accent6"/>
      <w:sz w:val="20"/>
      <w:szCs w:val="21"/>
    </w:rPr>
  </w:style>
  <w:style w:type="paragraph" w:styleId="Heading8">
    <w:name w:val="heading 8"/>
    <w:basedOn w:val="Normal"/>
    <w:next w:val="Normal"/>
    <w:link w:val="Heading8Char"/>
    <w:uiPriority w:val="9"/>
    <w:semiHidden/>
    <w:unhideWhenUsed/>
    <w:qFormat/>
    <w:rsid w:val="004505EA"/>
    <w:pPr>
      <w:keepNext/>
      <w:keepLines/>
      <w:spacing w:before="40" w:after="0"/>
      <w:outlineLvl w:val="7"/>
    </w:pPr>
    <w:rPr>
      <w:rFonts w:asciiTheme="majorHAnsi" w:eastAsiaTheme="majorEastAsia" w:hAnsiTheme="majorHAnsi" w:cstheme="majorBidi"/>
      <w:b/>
      <w:bCs/>
      <w:i/>
      <w:iCs/>
      <w:color w:val="4EA72E" w:themeColor="accent6"/>
      <w:sz w:val="20"/>
      <w:szCs w:val="20"/>
    </w:rPr>
  </w:style>
  <w:style w:type="paragraph" w:styleId="Heading9">
    <w:name w:val="heading 9"/>
    <w:basedOn w:val="Normal"/>
    <w:next w:val="Normal"/>
    <w:link w:val="Heading9Char"/>
    <w:uiPriority w:val="9"/>
    <w:semiHidden/>
    <w:unhideWhenUsed/>
    <w:qFormat/>
    <w:rsid w:val="004505EA"/>
    <w:pPr>
      <w:keepNext/>
      <w:keepLines/>
      <w:spacing w:before="40" w:after="0"/>
      <w:outlineLvl w:val="8"/>
    </w:pPr>
    <w:rPr>
      <w:rFonts w:asciiTheme="majorHAnsi" w:eastAsiaTheme="majorEastAsia" w:hAnsiTheme="majorHAnsi" w:cstheme="majorBidi"/>
      <w:i/>
      <w:iCs/>
      <w:color w:val="4EA72E"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rsid w:val="00D04DD2"/>
    <w:pPr>
      <w:spacing w:before="120" w:after="120" w:line="240" w:lineRule="auto"/>
    </w:pPr>
    <w:rPr>
      <w:rFonts w:eastAsia="Times New Roman" w:cs="Arial"/>
      <w:b/>
      <w:bCs/>
      <w:caps/>
      <w:sz w:val="20"/>
      <w:szCs w:val="20"/>
      <w:lang w:eastAsia="en-GB"/>
    </w:rPr>
  </w:style>
  <w:style w:type="paragraph" w:styleId="TOC2">
    <w:name w:val="toc 2"/>
    <w:basedOn w:val="Normal"/>
    <w:next w:val="Normal"/>
    <w:autoRedefine/>
    <w:uiPriority w:val="39"/>
    <w:rsid w:val="00D04DD2"/>
    <w:pPr>
      <w:tabs>
        <w:tab w:val="left" w:pos="880"/>
        <w:tab w:val="right" w:leader="dot" w:pos="9016"/>
      </w:tabs>
      <w:spacing w:after="0" w:line="240" w:lineRule="auto"/>
      <w:ind w:left="221"/>
    </w:pPr>
    <w:rPr>
      <w:rFonts w:eastAsia="Times New Roman" w:cs="Arial"/>
      <w:smallCaps/>
      <w:sz w:val="20"/>
      <w:szCs w:val="20"/>
      <w:lang w:eastAsia="en-GB"/>
    </w:rPr>
  </w:style>
  <w:style w:type="paragraph" w:styleId="TOC3">
    <w:name w:val="toc 3"/>
    <w:basedOn w:val="Normal"/>
    <w:next w:val="Normal"/>
    <w:autoRedefine/>
    <w:uiPriority w:val="39"/>
    <w:rsid w:val="00D04DD2"/>
    <w:pPr>
      <w:spacing w:after="0" w:line="240" w:lineRule="auto"/>
      <w:ind w:left="440"/>
    </w:pPr>
    <w:rPr>
      <w:rFonts w:eastAsia="Times New Roman" w:cs="Arial"/>
      <w:i/>
      <w:iCs/>
      <w:sz w:val="20"/>
      <w:szCs w:val="20"/>
      <w:lang w:eastAsia="en-GB"/>
    </w:rPr>
  </w:style>
  <w:style w:type="paragraph" w:styleId="TOC4">
    <w:name w:val="toc 4"/>
    <w:basedOn w:val="Normal"/>
    <w:next w:val="Normal"/>
    <w:autoRedefine/>
    <w:uiPriority w:val="39"/>
    <w:rsid w:val="00D04DD2"/>
    <w:pPr>
      <w:spacing w:after="0" w:line="240" w:lineRule="auto"/>
      <w:ind w:left="660"/>
    </w:pPr>
    <w:rPr>
      <w:rFonts w:eastAsia="Times New Roman" w:cs="Arial"/>
      <w:sz w:val="18"/>
      <w:szCs w:val="18"/>
      <w:lang w:eastAsia="en-GB"/>
    </w:rPr>
  </w:style>
  <w:style w:type="paragraph" w:styleId="TOC5">
    <w:name w:val="toc 5"/>
    <w:basedOn w:val="Normal"/>
    <w:next w:val="Normal"/>
    <w:autoRedefine/>
    <w:uiPriority w:val="39"/>
    <w:rsid w:val="00D04DD2"/>
    <w:pPr>
      <w:spacing w:after="0" w:line="240" w:lineRule="auto"/>
      <w:ind w:left="880"/>
    </w:pPr>
    <w:rPr>
      <w:rFonts w:eastAsia="Times New Roman" w:cs="Arial"/>
      <w:sz w:val="18"/>
      <w:szCs w:val="18"/>
      <w:lang w:eastAsia="en-GB"/>
    </w:rPr>
  </w:style>
  <w:style w:type="paragraph" w:styleId="TOC6">
    <w:name w:val="toc 6"/>
    <w:basedOn w:val="Normal"/>
    <w:next w:val="Normal"/>
    <w:autoRedefine/>
    <w:uiPriority w:val="39"/>
    <w:rsid w:val="00D04DD2"/>
    <w:pPr>
      <w:spacing w:after="0" w:line="240" w:lineRule="auto"/>
      <w:ind w:left="1100"/>
    </w:pPr>
    <w:rPr>
      <w:rFonts w:eastAsia="Times New Roman" w:cs="Arial"/>
      <w:sz w:val="18"/>
      <w:szCs w:val="18"/>
      <w:lang w:eastAsia="en-GB"/>
    </w:rPr>
  </w:style>
  <w:style w:type="paragraph" w:styleId="TOC7">
    <w:name w:val="toc 7"/>
    <w:basedOn w:val="Normal"/>
    <w:next w:val="Normal"/>
    <w:autoRedefine/>
    <w:uiPriority w:val="39"/>
    <w:rsid w:val="00D04DD2"/>
    <w:pPr>
      <w:spacing w:after="0" w:line="240" w:lineRule="auto"/>
      <w:ind w:left="1320"/>
    </w:pPr>
    <w:rPr>
      <w:rFonts w:eastAsia="Times New Roman" w:cs="Arial"/>
      <w:sz w:val="18"/>
      <w:szCs w:val="18"/>
      <w:lang w:eastAsia="en-GB"/>
    </w:rPr>
  </w:style>
  <w:style w:type="paragraph" w:styleId="TOC8">
    <w:name w:val="toc 8"/>
    <w:basedOn w:val="Normal"/>
    <w:next w:val="Normal"/>
    <w:autoRedefine/>
    <w:uiPriority w:val="39"/>
    <w:rsid w:val="00D04DD2"/>
    <w:pPr>
      <w:spacing w:after="0" w:line="240" w:lineRule="auto"/>
      <w:ind w:left="1540"/>
    </w:pPr>
    <w:rPr>
      <w:rFonts w:eastAsia="Times New Roman" w:cs="Arial"/>
      <w:sz w:val="18"/>
      <w:szCs w:val="18"/>
      <w:lang w:eastAsia="en-GB"/>
    </w:rPr>
  </w:style>
  <w:style w:type="character" w:customStyle="1" w:styleId="Heading1Char">
    <w:name w:val="Heading 1 Char"/>
    <w:basedOn w:val="DefaultParagraphFont"/>
    <w:link w:val="Heading1"/>
    <w:uiPriority w:val="9"/>
    <w:rsid w:val="0027000C"/>
    <w:rPr>
      <w:rFonts w:asciiTheme="majorHAnsi" w:eastAsiaTheme="majorEastAsia" w:hAnsiTheme="majorHAnsi" w:cstheme="majorBidi"/>
      <w:b/>
      <w:bCs/>
      <w:color w:val="0F4761" w:themeColor="accent1" w:themeShade="BF"/>
      <w:sz w:val="36"/>
      <w:szCs w:val="28"/>
      <w:lang w:val="en-ZA"/>
      <w14:ligatures w14:val="none"/>
    </w:rPr>
  </w:style>
  <w:style w:type="character" w:customStyle="1" w:styleId="Heading2Char">
    <w:name w:val="Heading 2 Char"/>
    <w:basedOn w:val="DefaultParagraphFont"/>
    <w:link w:val="Heading2"/>
    <w:uiPriority w:val="9"/>
    <w:rsid w:val="0027000C"/>
    <w:rPr>
      <w:rFonts w:asciiTheme="majorHAnsi" w:eastAsiaTheme="majorEastAsia" w:hAnsiTheme="majorHAnsi" w:cstheme="majorBidi"/>
      <w:color w:val="0F4761" w:themeColor="accent1" w:themeShade="BF"/>
      <w:sz w:val="32"/>
      <w:szCs w:val="26"/>
      <w:lang w:val="en-ZA"/>
      <w14:ligatures w14:val="none"/>
    </w:rPr>
  </w:style>
  <w:style w:type="character" w:customStyle="1" w:styleId="Heading3Char">
    <w:name w:val="Heading 3 Char"/>
    <w:basedOn w:val="DefaultParagraphFont"/>
    <w:link w:val="Heading3"/>
    <w:uiPriority w:val="9"/>
    <w:rsid w:val="0027000C"/>
    <w:rPr>
      <w:rFonts w:asciiTheme="majorHAnsi" w:eastAsiaTheme="majorEastAsia" w:hAnsiTheme="majorHAnsi" w:cstheme="majorBidi"/>
      <w:color w:val="0A2F40" w:themeColor="accent1" w:themeShade="7F"/>
      <w:sz w:val="28"/>
      <w:szCs w:val="24"/>
      <w:lang w:val="en-ZA"/>
      <w14:ligatures w14:val="none"/>
    </w:rPr>
  </w:style>
  <w:style w:type="character" w:customStyle="1" w:styleId="Heading4Char">
    <w:name w:val="Heading 4 Char"/>
    <w:basedOn w:val="DefaultParagraphFont"/>
    <w:link w:val="Heading4"/>
    <w:uiPriority w:val="9"/>
    <w:rsid w:val="0027000C"/>
    <w:rPr>
      <w:rFonts w:asciiTheme="majorHAnsi" w:eastAsiaTheme="majorEastAsia" w:hAnsiTheme="majorHAnsi" w:cstheme="majorBidi"/>
      <w:i/>
      <w:iCs/>
      <w:color w:val="0F4761" w:themeColor="accent1" w:themeShade="BF"/>
      <w:sz w:val="24"/>
      <w:lang w:val="en-ZA"/>
      <w14:ligatures w14:val="none"/>
    </w:rPr>
  </w:style>
  <w:style w:type="character" w:customStyle="1" w:styleId="Heading5Char">
    <w:name w:val="Heading 5 Char"/>
    <w:basedOn w:val="DefaultParagraphFont"/>
    <w:link w:val="Heading5"/>
    <w:uiPriority w:val="9"/>
    <w:rsid w:val="004505EA"/>
    <w:rPr>
      <w:rFonts w:asciiTheme="majorHAnsi" w:eastAsiaTheme="majorEastAsia" w:hAnsiTheme="majorHAnsi" w:cstheme="majorBidi"/>
      <w:i/>
      <w:iCs/>
      <w:color w:val="4EA72E" w:themeColor="accent6"/>
      <w:sz w:val="20"/>
    </w:rPr>
  </w:style>
  <w:style w:type="character" w:customStyle="1" w:styleId="Heading6Char">
    <w:name w:val="Heading 6 Char"/>
    <w:basedOn w:val="DefaultParagraphFont"/>
    <w:link w:val="Heading6"/>
    <w:uiPriority w:val="9"/>
    <w:rsid w:val="004505EA"/>
    <w:rPr>
      <w:rFonts w:asciiTheme="majorHAnsi" w:eastAsiaTheme="majorEastAsia" w:hAnsiTheme="majorHAnsi" w:cstheme="majorBidi"/>
      <w:color w:val="4EA72E" w:themeColor="accent6"/>
      <w:sz w:val="20"/>
      <w:szCs w:val="21"/>
    </w:rPr>
  </w:style>
  <w:style w:type="character" w:customStyle="1" w:styleId="Heading7Char">
    <w:name w:val="Heading 7 Char"/>
    <w:basedOn w:val="DefaultParagraphFont"/>
    <w:link w:val="Heading7"/>
    <w:uiPriority w:val="9"/>
    <w:semiHidden/>
    <w:rsid w:val="004505EA"/>
    <w:rPr>
      <w:rFonts w:asciiTheme="majorHAnsi" w:eastAsiaTheme="majorEastAsia" w:hAnsiTheme="majorHAnsi" w:cstheme="majorBidi"/>
      <w:b/>
      <w:bCs/>
      <w:color w:val="4EA72E" w:themeColor="accent6"/>
      <w:sz w:val="20"/>
      <w:szCs w:val="21"/>
    </w:rPr>
  </w:style>
  <w:style w:type="character" w:customStyle="1" w:styleId="Heading8Char">
    <w:name w:val="Heading 8 Char"/>
    <w:basedOn w:val="DefaultParagraphFont"/>
    <w:link w:val="Heading8"/>
    <w:uiPriority w:val="9"/>
    <w:semiHidden/>
    <w:rsid w:val="004505EA"/>
    <w:rPr>
      <w:rFonts w:asciiTheme="majorHAnsi" w:eastAsiaTheme="majorEastAsia" w:hAnsiTheme="majorHAnsi" w:cstheme="majorBidi"/>
      <w:b/>
      <w:bCs/>
      <w:i/>
      <w:iCs/>
      <w:color w:val="4EA72E" w:themeColor="accent6"/>
      <w:sz w:val="20"/>
      <w:szCs w:val="20"/>
    </w:rPr>
  </w:style>
  <w:style w:type="character" w:customStyle="1" w:styleId="Heading9Char">
    <w:name w:val="Heading 9 Char"/>
    <w:basedOn w:val="DefaultParagraphFont"/>
    <w:link w:val="Heading9"/>
    <w:uiPriority w:val="9"/>
    <w:semiHidden/>
    <w:rsid w:val="004505EA"/>
    <w:rPr>
      <w:rFonts w:asciiTheme="majorHAnsi" w:eastAsiaTheme="majorEastAsia" w:hAnsiTheme="majorHAnsi" w:cstheme="majorBidi"/>
      <w:i/>
      <w:iCs/>
      <w:color w:val="4EA72E" w:themeColor="accent6"/>
      <w:sz w:val="20"/>
      <w:szCs w:val="20"/>
    </w:rPr>
  </w:style>
  <w:style w:type="paragraph" w:styleId="ListParagraph">
    <w:name w:val="List Paragraph"/>
    <w:basedOn w:val="Normal"/>
    <w:link w:val="ListParagraphChar"/>
    <w:uiPriority w:val="34"/>
    <w:qFormat/>
    <w:rsid w:val="004505EA"/>
    <w:pPr>
      <w:ind w:left="720"/>
      <w:contextualSpacing/>
    </w:pPr>
  </w:style>
  <w:style w:type="paragraph" w:styleId="Title">
    <w:name w:val="Title"/>
    <w:basedOn w:val="Normal"/>
    <w:next w:val="Normal"/>
    <w:link w:val="TitleChar"/>
    <w:uiPriority w:val="10"/>
    <w:qFormat/>
    <w:rsid w:val="002D708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D7080"/>
    <w:rPr>
      <w:rFonts w:asciiTheme="majorHAnsi" w:eastAsiaTheme="majorEastAsia" w:hAnsiTheme="majorHAnsi" w:cstheme="majorBidi"/>
      <w:spacing w:val="-10"/>
      <w:kern w:val="28"/>
      <w:sz w:val="56"/>
      <w:szCs w:val="56"/>
      <w:lang w:val="en-ZA"/>
    </w:rPr>
  </w:style>
  <w:style w:type="paragraph" w:styleId="Subtitle">
    <w:name w:val="Subtitle"/>
    <w:basedOn w:val="Normal"/>
    <w:next w:val="Normal"/>
    <w:link w:val="SubtitleChar"/>
    <w:uiPriority w:val="11"/>
    <w:qFormat/>
    <w:rsid w:val="002D708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D7080"/>
    <w:rPr>
      <w:rFonts w:eastAsiaTheme="majorEastAsia" w:cstheme="majorBidi"/>
      <w:color w:val="595959" w:themeColor="text1" w:themeTint="A6"/>
      <w:spacing w:val="15"/>
      <w:sz w:val="28"/>
      <w:szCs w:val="28"/>
      <w:lang w:val="en-ZA"/>
    </w:rPr>
  </w:style>
  <w:style w:type="paragraph" w:styleId="Quote">
    <w:name w:val="Quote"/>
    <w:basedOn w:val="Normal"/>
    <w:next w:val="Normal"/>
    <w:link w:val="QuoteChar"/>
    <w:uiPriority w:val="29"/>
    <w:qFormat/>
    <w:rsid w:val="002D7080"/>
    <w:pPr>
      <w:spacing w:before="160"/>
      <w:jc w:val="center"/>
    </w:pPr>
    <w:rPr>
      <w:i/>
      <w:iCs/>
      <w:color w:val="404040" w:themeColor="text1" w:themeTint="BF"/>
    </w:rPr>
  </w:style>
  <w:style w:type="character" w:customStyle="1" w:styleId="QuoteChar">
    <w:name w:val="Quote Char"/>
    <w:basedOn w:val="DefaultParagraphFont"/>
    <w:link w:val="Quote"/>
    <w:uiPriority w:val="29"/>
    <w:rsid w:val="002D7080"/>
    <w:rPr>
      <w:i/>
      <w:iCs/>
      <w:color w:val="404040" w:themeColor="text1" w:themeTint="BF"/>
      <w:lang w:val="en-ZA"/>
    </w:rPr>
  </w:style>
  <w:style w:type="character" w:styleId="IntenseEmphasis">
    <w:name w:val="Intense Emphasis"/>
    <w:basedOn w:val="DefaultParagraphFont"/>
    <w:uiPriority w:val="21"/>
    <w:qFormat/>
    <w:rsid w:val="002D7080"/>
    <w:rPr>
      <w:i/>
      <w:iCs/>
      <w:color w:val="0F4761" w:themeColor="accent1" w:themeShade="BF"/>
    </w:rPr>
  </w:style>
  <w:style w:type="paragraph" w:styleId="IntenseQuote">
    <w:name w:val="Intense Quote"/>
    <w:basedOn w:val="Normal"/>
    <w:next w:val="Normal"/>
    <w:link w:val="IntenseQuoteChar"/>
    <w:uiPriority w:val="30"/>
    <w:qFormat/>
    <w:rsid w:val="002D708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D7080"/>
    <w:rPr>
      <w:i/>
      <w:iCs/>
      <w:color w:val="0F4761" w:themeColor="accent1" w:themeShade="BF"/>
      <w:lang w:val="en-ZA"/>
    </w:rPr>
  </w:style>
  <w:style w:type="character" w:styleId="IntenseReference">
    <w:name w:val="Intense Reference"/>
    <w:basedOn w:val="DefaultParagraphFont"/>
    <w:uiPriority w:val="32"/>
    <w:qFormat/>
    <w:rsid w:val="002D7080"/>
    <w:rPr>
      <w:b/>
      <w:bCs/>
      <w:smallCaps/>
      <w:color w:val="0F4761" w:themeColor="accent1" w:themeShade="BF"/>
      <w:spacing w:val="5"/>
    </w:rPr>
  </w:style>
  <w:style w:type="table" w:customStyle="1" w:styleId="PlainTable41">
    <w:name w:val="Plain Table 41"/>
    <w:basedOn w:val="TableNormal"/>
    <w:uiPriority w:val="44"/>
    <w:rsid w:val="002D7080"/>
    <w:pPr>
      <w:spacing w:after="0" w:line="240" w:lineRule="auto"/>
    </w:pPr>
    <w:rPr>
      <w:lang w:val="en-US"/>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BalloonText">
    <w:name w:val="Balloon Text"/>
    <w:basedOn w:val="Normal"/>
    <w:link w:val="BalloonTextChar"/>
    <w:uiPriority w:val="99"/>
    <w:semiHidden/>
    <w:unhideWhenUsed/>
    <w:rsid w:val="002D70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7080"/>
    <w:rPr>
      <w:rFonts w:ascii="Tahoma" w:hAnsi="Tahoma" w:cs="Tahoma"/>
      <w:sz w:val="16"/>
      <w:szCs w:val="16"/>
      <w:lang w:val="en-ZA"/>
      <w14:ligatures w14:val="none"/>
    </w:rPr>
  </w:style>
  <w:style w:type="character" w:styleId="LineNumber">
    <w:name w:val="line number"/>
    <w:basedOn w:val="DefaultParagraphFont"/>
    <w:uiPriority w:val="99"/>
    <w:semiHidden/>
    <w:unhideWhenUsed/>
    <w:rsid w:val="002D7080"/>
  </w:style>
  <w:style w:type="character" w:styleId="Hyperlink">
    <w:name w:val="Hyperlink"/>
    <w:basedOn w:val="DefaultParagraphFont"/>
    <w:uiPriority w:val="99"/>
    <w:unhideWhenUsed/>
    <w:rsid w:val="002D7080"/>
    <w:rPr>
      <w:color w:val="467886" w:themeColor="hyperlink"/>
      <w:u w:val="single"/>
    </w:rPr>
  </w:style>
  <w:style w:type="character" w:styleId="CommentReference">
    <w:name w:val="annotation reference"/>
    <w:basedOn w:val="DefaultParagraphFont"/>
    <w:uiPriority w:val="99"/>
    <w:semiHidden/>
    <w:unhideWhenUsed/>
    <w:rsid w:val="002D7080"/>
    <w:rPr>
      <w:sz w:val="16"/>
      <w:szCs w:val="16"/>
    </w:rPr>
  </w:style>
  <w:style w:type="paragraph" w:styleId="CommentText">
    <w:name w:val="annotation text"/>
    <w:basedOn w:val="Normal"/>
    <w:link w:val="CommentTextChar"/>
    <w:uiPriority w:val="99"/>
    <w:unhideWhenUsed/>
    <w:rsid w:val="002D7080"/>
    <w:pPr>
      <w:spacing w:line="240" w:lineRule="auto"/>
    </w:pPr>
    <w:rPr>
      <w:sz w:val="20"/>
      <w:szCs w:val="20"/>
    </w:rPr>
  </w:style>
  <w:style w:type="character" w:customStyle="1" w:styleId="CommentTextChar">
    <w:name w:val="Comment Text Char"/>
    <w:basedOn w:val="DefaultParagraphFont"/>
    <w:link w:val="CommentText"/>
    <w:uiPriority w:val="99"/>
    <w:rsid w:val="002D7080"/>
    <w:rPr>
      <w:sz w:val="20"/>
      <w:szCs w:val="20"/>
      <w:lang w:val="en-ZA"/>
      <w14:ligatures w14:val="none"/>
    </w:rPr>
  </w:style>
  <w:style w:type="paragraph" w:styleId="CommentSubject">
    <w:name w:val="annotation subject"/>
    <w:basedOn w:val="CommentText"/>
    <w:next w:val="CommentText"/>
    <w:link w:val="CommentSubjectChar"/>
    <w:uiPriority w:val="99"/>
    <w:semiHidden/>
    <w:unhideWhenUsed/>
    <w:rsid w:val="002D7080"/>
    <w:rPr>
      <w:b/>
      <w:bCs/>
    </w:rPr>
  </w:style>
  <w:style w:type="character" w:customStyle="1" w:styleId="CommentSubjectChar">
    <w:name w:val="Comment Subject Char"/>
    <w:basedOn w:val="CommentTextChar"/>
    <w:link w:val="CommentSubject"/>
    <w:uiPriority w:val="99"/>
    <w:semiHidden/>
    <w:rsid w:val="002D7080"/>
    <w:rPr>
      <w:b/>
      <w:bCs/>
      <w:sz w:val="20"/>
      <w:szCs w:val="20"/>
      <w:lang w:val="en-ZA"/>
      <w14:ligatures w14:val="none"/>
    </w:rPr>
  </w:style>
  <w:style w:type="table" w:customStyle="1" w:styleId="TableGrid1">
    <w:name w:val="Table Grid1"/>
    <w:basedOn w:val="TableNormal"/>
    <w:next w:val="TableGrid"/>
    <w:uiPriority w:val="39"/>
    <w:rsid w:val="002D7080"/>
    <w:pPr>
      <w:spacing w:after="0" w:line="240" w:lineRule="auto"/>
    </w:pPr>
    <w:rPr>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unhideWhenUsed/>
    <w:rsid w:val="002D7080"/>
    <w:pPr>
      <w:spacing w:after="0" w:line="240" w:lineRule="auto"/>
    </w:pPr>
    <w:rPr>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2D7080"/>
    <w:rPr>
      <w:color w:val="605E5C"/>
      <w:shd w:val="clear" w:color="auto" w:fill="E1DFDD"/>
    </w:rPr>
  </w:style>
  <w:style w:type="character" w:customStyle="1" w:styleId="UnresolvedMention2">
    <w:name w:val="Unresolved Mention2"/>
    <w:basedOn w:val="DefaultParagraphFont"/>
    <w:uiPriority w:val="99"/>
    <w:semiHidden/>
    <w:unhideWhenUsed/>
    <w:rsid w:val="002D7080"/>
    <w:rPr>
      <w:color w:val="605E5C"/>
      <w:shd w:val="clear" w:color="auto" w:fill="E1DFDD"/>
    </w:rPr>
  </w:style>
  <w:style w:type="table" w:customStyle="1" w:styleId="PlainTable21">
    <w:name w:val="Plain Table 21"/>
    <w:basedOn w:val="TableNormal"/>
    <w:uiPriority w:val="42"/>
    <w:rsid w:val="002D7080"/>
    <w:pPr>
      <w:spacing w:after="0" w:line="240" w:lineRule="auto"/>
    </w:pPr>
    <w:rPr>
      <w:lang w:val="en-US"/>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4">
    <w:name w:val="Table Grid4"/>
    <w:basedOn w:val="TableNormal"/>
    <w:next w:val="TableGrid"/>
    <w:uiPriority w:val="59"/>
    <w:rsid w:val="002D7080"/>
    <w:pPr>
      <w:spacing w:after="0" w:line="240" w:lineRule="auto"/>
    </w:pPr>
    <w:rPr>
      <w:rFonts w:ascii="Calibri" w:eastAsia="Calibri" w:hAnsi="Calibri" w:cs="Times New Roman"/>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2D7080"/>
    <w:pPr>
      <w:spacing w:after="0" w:line="240" w:lineRule="auto"/>
    </w:pPr>
    <w:rPr>
      <w14:ligatures w14:val="none"/>
    </w:rPr>
  </w:style>
  <w:style w:type="paragraph" w:customStyle="1" w:styleId="Default">
    <w:name w:val="Default"/>
    <w:rsid w:val="002D7080"/>
    <w:pPr>
      <w:autoSpaceDE w:val="0"/>
      <w:autoSpaceDN w:val="0"/>
      <w:adjustRightInd w:val="0"/>
      <w:spacing w:after="0" w:line="240" w:lineRule="auto"/>
    </w:pPr>
    <w:rPr>
      <w:rFonts w:ascii="Times New Roman" w:hAnsi="Times New Roman" w:cs="Times New Roman"/>
      <w:color w:val="000000"/>
      <w:sz w:val="24"/>
      <w:szCs w:val="24"/>
      <w:lang w:val="en-ZA"/>
      <w14:ligatures w14:val="none"/>
    </w:rPr>
  </w:style>
  <w:style w:type="character" w:customStyle="1" w:styleId="UnresolvedMention3">
    <w:name w:val="Unresolved Mention3"/>
    <w:basedOn w:val="DefaultParagraphFont"/>
    <w:uiPriority w:val="99"/>
    <w:semiHidden/>
    <w:unhideWhenUsed/>
    <w:rsid w:val="002D7080"/>
    <w:rPr>
      <w:color w:val="605E5C"/>
      <w:shd w:val="clear" w:color="auto" w:fill="E1DFDD"/>
    </w:rPr>
  </w:style>
  <w:style w:type="paragraph" w:styleId="Header">
    <w:name w:val="header"/>
    <w:basedOn w:val="Normal"/>
    <w:link w:val="HeaderChar"/>
    <w:uiPriority w:val="99"/>
    <w:unhideWhenUsed/>
    <w:rsid w:val="002D70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2D7080"/>
    <w:rPr>
      <w:lang w:val="en-ZA"/>
      <w14:ligatures w14:val="none"/>
    </w:rPr>
  </w:style>
  <w:style w:type="paragraph" w:styleId="Footer">
    <w:name w:val="footer"/>
    <w:basedOn w:val="Normal"/>
    <w:link w:val="FooterChar"/>
    <w:uiPriority w:val="99"/>
    <w:unhideWhenUsed/>
    <w:rsid w:val="002D70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2D7080"/>
    <w:rPr>
      <w:lang w:val="en-ZA"/>
      <w14:ligatures w14:val="none"/>
    </w:rPr>
  </w:style>
  <w:style w:type="table" w:styleId="LightShading">
    <w:name w:val="Light Shading"/>
    <w:basedOn w:val="TableNormal"/>
    <w:uiPriority w:val="60"/>
    <w:rsid w:val="002D7080"/>
    <w:pPr>
      <w:spacing w:after="0" w:line="240" w:lineRule="auto"/>
    </w:pPr>
    <w:rPr>
      <w:rFonts w:eastAsiaTheme="minorEastAsia"/>
      <w:color w:val="000000" w:themeColor="text1" w:themeShade="BF"/>
      <w:sz w:val="24"/>
      <w:szCs w:val="24"/>
      <w:lang w:val="en-US"/>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uiPriority w:val="1"/>
    <w:qFormat/>
    <w:rsid w:val="002D7080"/>
    <w:pPr>
      <w:spacing w:after="0" w:line="240" w:lineRule="auto"/>
    </w:pPr>
    <w:rPr>
      <w:lang w:val="en-ZA"/>
      <w14:ligatures w14:val="none"/>
    </w:rPr>
  </w:style>
  <w:style w:type="paragraph" w:styleId="NormalWeb">
    <w:name w:val="Normal (Web)"/>
    <w:basedOn w:val="Normal"/>
    <w:uiPriority w:val="99"/>
    <w:unhideWhenUsed/>
    <w:rsid w:val="002D7080"/>
    <w:pPr>
      <w:spacing w:before="100" w:beforeAutospacing="1" w:after="100" w:afterAutospacing="1" w:line="240" w:lineRule="auto"/>
    </w:pPr>
    <w:rPr>
      <w:rFonts w:ascii="Times New Roman" w:eastAsia="Times New Roman" w:hAnsi="Times New Roman" w:cs="Times New Roman"/>
      <w:sz w:val="24"/>
      <w:szCs w:val="24"/>
      <w:lang w:eastAsia="en-ZA"/>
    </w:rPr>
  </w:style>
  <w:style w:type="character" w:customStyle="1" w:styleId="il">
    <w:name w:val="il"/>
    <w:basedOn w:val="DefaultParagraphFont"/>
    <w:rsid w:val="002D7080"/>
  </w:style>
  <w:style w:type="table" w:customStyle="1" w:styleId="TableGrid9">
    <w:name w:val="Table Grid9"/>
    <w:basedOn w:val="TableNormal"/>
    <w:uiPriority w:val="39"/>
    <w:rsid w:val="002D7080"/>
    <w:pPr>
      <w:spacing w:after="0" w:line="240" w:lineRule="auto"/>
    </w:pPr>
    <w:rPr>
      <w:rFonts w:ascii="Calibri" w:eastAsia="Calibri" w:hAnsi="Calibri" w:cs="Times New Roman"/>
      <w:lang w:val="en-Z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2D7080"/>
    <w:pPr>
      <w:spacing w:after="0" w:line="240" w:lineRule="auto"/>
    </w:pPr>
    <w:rPr>
      <w:rFonts w:ascii="Calibri" w:eastAsia="Calibri" w:hAnsi="Calibri" w:cs="Times New Roman"/>
      <w:lang w:val="en-Z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2D7080"/>
    <w:pPr>
      <w:spacing w:after="0" w:line="240" w:lineRule="auto"/>
    </w:pPr>
    <w:rPr>
      <w:rFonts w:ascii="Calibri" w:eastAsia="Calibri" w:hAnsi="Calibri" w:cs="Times New Roman"/>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2D708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D7080"/>
    <w:rPr>
      <w:sz w:val="20"/>
      <w:szCs w:val="20"/>
      <w:lang w:val="en-ZA"/>
      <w14:ligatures w14:val="none"/>
    </w:rPr>
  </w:style>
  <w:style w:type="character" w:styleId="FootnoteReference">
    <w:name w:val="footnote reference"/>
    <w:basedOn w:val="DefaultParagraphFont"/>
    <w:uiPriority w:val="99"/>
    <w:semiHidden/>
    <w:unhideWhenUsed/>
    <w:rsid w:val="002D7080"/>
    <w:rPr>
      <w:vertAlign w:val="superscript"/>
    </w:rPr>
  </w:style>
  <w:style w:type="character" w:customStyle="1" w:styleId="UnresolvedMention4">
    <w:name w:val="Unresolved Mention4"/>
    <w:basedOn w:val="DefaultParagraphFont"/>
    <w:uiPriority w:val="99"/>
    <w:semiHidden/>
    <w:unhideWhenUsed/>
    <w:rsid w:val="002D7080"/>
    <w:rPr>
      <w:color w:val="605E5C"/>
      <w:shd w:val="clear" w:color="auto" w:fill="E1DFDD"/>
    </w:rPr>
  </w:style>
  <w:style w:type="character" w:customStyle="1" w:styleId="ng-binding">
    <w:name w:val="ng-binding"/>
    <w:basedOn w:val="DefaultParagraphFont"/>
    <w:rsid w:val="002D7080"/>
  </w:style>
  <w:style w:type="character" w:customStyle="1" w:styleId="UnresolvedMention41">
    <w:name w:val="Unresolved Mention41"/>
    <w:basedOn w:val="DefaultParagraphFont"/>
    <w:uiPriority w:val="99"/>
    <w:semiHidden/>
    <w:unhideWhenUsed/>
    <w:rsid w:val="002D7080"/>
    <w:rPr>
      <w:color w:val="605E5C"/>
      <w:shd w:val="clear" w:color="auto" w:fill="E1DFDD"/>
    </w:rPr>
  </w:style>
  <w:style w:type="numbering" w:customStyle="1" w:styleId="NoList1">
    <w:name w:val="No List1"/>
    <w:next w:val="NoList"/>
    <w:uiPriority w:val="99"/>
    <w:semiHidden/>
    <w:unhideWhenUsed/>
    <w:rsid w:val="002D7080"/>
  </w:style>
  <w:style w:type="table" w:customStyle="1" w:styleId="TableGrid5">
    <w:name w:val="Table Grid5"/>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
    <w:name w:val="No List2"/>
    <w:next w:val="NoList"/>
    <w:uiPriority w:val="99"/>
    <w:semiHidden/>
    <w:unhideWhenUsed/>
    <w:rsid w:val="002D7080"/>
  </w:style>
  <w:style w:type="table" w:customStyle="1" w:styleId="TableGrid6">
    <w:name w:val="Table Grid6"/>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
    <w:name w:val="Light Shading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3">
    <w:name w:val="No List3"/>
    <w:next w:val="NoList"/>
    <w:uiPriority w:val="99"/>
    <w:semiHidden/>
    <w:unhideWhenUsed/>
    <w:rsid w:val="002D7080"/>
  </w:style>
  <w:style w:type="character" w:styleId="Strong">
    <w:name w:val="Strong"/>
    <w:basedOn w:val="DefaultParagraphFont"/>
    <w:uiPriority w:val="22"/>
    <w:qFormat/>
    <w:rsid w:val="002D7080"/>
    <w:rPr>
      <w:b/>
      <w:bCs/>
    </w:rPr>
  </w:style>
  <w:style w:type="character" w:customStyle="1" w:styleId="FollowedHyperlink1">
    <w:name w:val="FollowedHyperlink1"/>
    <w:basedOn w:val="DefaultParagraphFont"/>
    <w:uiPriority w:val="99"/>
    <w:semiHidden/>
    <w:unhideWhenUsed/>
    <w:rsid w:val="002D7080"/>
    <w:rPr>
      <w:color w:val="954F72"/>
      <w:u w:val="single"/>
    </w:rPr>
  </w:style>
  <w:style w:type="table" w:customStyle="1" w:styleId="TableGrid7">
    <w:name w:val="Table Grid7"/>
    <w:basedOn w:val="TableNormal"/>
    <w:next w:val="TableGrid"/>
    <w:uiPriority w:val="59"/>
    <w:rsid w:val="002D7080"/>
    <w:pPr>
      <w:spacing w:after="0" w:line="240" w:lineRule="auto"/>
    </w:pPr>
    <w:rPr>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31">
    <w:name w:val="Grid Table 4 - Accent 31"/>
    <w:basedOn w:val="TableNormal"/>
    <w:uiPriority w:val="49"/>
    <w:rsid w:val="002D7080"/>
    <w:pPr>
      <w:spacing w:after="0" w:line="240" w:lineRule="auto"/>
    </w:pPr>
    <w:rPr>
      <w:lang w:val="en-US"/>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1">
    <w:name w:val="Grid Table 5 Dark1"/>
    <w:basedOn w:val="TableNormal"/>
    <w:uiPriority w:val="50"/>
    <w:rsid w:val="002D7080"/>
    <w:pPr>
      <w:spacing w:after="0" w:line="240" w:lineRule="auto"/>
    </w:pPr>
    <w:rPr>
      <w:lang w:val="en-US"/>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ListTable7Colorful-Accent31">
    <w:name w:val="List Table 7 Colorful - Accent 31"/>
    <w:basedOn w:val="TableNormal"/>
    <w:uiPriority w:val="52"/>
    <w:rsid w:val="002D7080"/>
    <w:pPr>
      <w:spacing w:after="0" w:line="240" w:lineRule="auto"/>
    </w:pPr>
    <w:rPr>
      <w:color w:val="7B7B7B"/>
      <w:lang w:val="en-US"/>
      <w14:ligatures w14:val="none"/>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A5A5A5"/>
        </w:tcBorders>
        <w:shd w:val="clear" w:color="auto" w:fill="FFFFFF"/>
      </w:tcPr>
    </w:tblStylePr>
    <w:tblStylePr w:type="lastRow">
      <w:rPr>
        <w:rFonts w:ascii="Calibri Light" w:eastAsia="Times New Roman" w:hAnsi="Calibri Light" w:cs="Times New Roman"/>
        <w:i/>
        <w:iCs/>
        <w:sz w:val="26"/>
      </w:rPr>
      <w:tblPr/>
      <w:tcPr>
        <w:tcBorders>
          <w:top w:val="single" w:sz="4" w:space="0" w:color="A5A5A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A5A5A5"/>
        </w:tcBorders>
        <w:shd w:val="clear" w:color="auto" w:fill="FFFFFF"/>
      </w:tcPr>
    </w:tblStylePr>
    <w:tblStylePr w:type="lastCol">
      <w:rPr>
        <w:rFonts w:ascii="Calibri Light" w:eastAsia="Times New Roman" w:hAnsi="Calibri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1">
    <w:name w:val="List Table 7 Colorful1"/>
    <w:basedOn w:val="TableNormal"/>
    <w:uiPriority w:val="52"/>
    <w:rsid w:val="002D7080"/>
    <w:pPr>
      <w:spacing w:after="0" w:line="240" w:lineRule="auto"/>
    </w:pPr>
    <w:rPr>
      <w:color w:val="000000"/>
      <w:lang w:val="en-US"/>
      <w14:ligatures w14:val="none"/>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
    <w:name w:val="Grid Table 1 Light1"/>
    <w:basedOn w:val="TableNormal"/>
    <w:uiPriority w:val="46"/>
    <w:rsid w:val="002D7080"/>
    <w:pPr>
      <w:spacing w:after="0" w:line="240" w:lineRule="auto"/>
    </w:pPr>
    <w:rPr>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styleId="Emphasis">
    <w:name w:val="Emphasis"/>
    <w:basedOn w:val="DefaultParagraphFont"/>
    <w:uiPriority w:val="20"/>
    <w:qFormat/>
    <w:rsid w:val="002D7080"/>
    <w:rPr>
      <w:i/>
      <w:iCs/>
    </w:rPr>
  </w:style>
  <w:style w:type="table" w:customStyle="1" w:styleId="LightShading11">
    <w:name w:val="Light Shading11"/>
    <w:basedOn w:val="TableNormal"/>
    <w:next w:val="LightShading"/>
    <w:uiPriority w:val="60"/>
    <w:rsid w:val="002D7080"/>
    <w:pPr>
      <w:spacing w:after="0" w:line="240" w:lineRule="auto"/>
    </w:pPr>
    <w:rPr>
      <w:rFonts w:ascii="Cambria" w:eastAsia="Cambria" w:hAnsi="Cambria" w:cs="Cambria"/>
      <w:color w:val="000000"/>
      <w:sz w:val="20"/>
      <w:szCs w:val="20"/>
      <w:lang w:val="en-US"/>
      <w14:ligatures w14:val="none"/>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
    <w:name w:val="Light Shading3"/>
    <w:basedOn w:val="TableNormal"/>
    <w:next w:val="LightShading"/>
    <w:uiPriority w:val="60"/>
    <w:rsid w:val="002D7080"/>
    <w:pPr>
      <w:spacing w:after="0" w:line="240" w:lineRule="auto"/>
    </w:pPr>
    <w:rPr>
      <w:color w:val="000000"/>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1Light11">
    <w:name w:val="Grid Table 1 Light11"/>
    <w:basedOn w:val="TableNormal"/>
    <w:uiPriority w:val="46"/>
    <w:rsid w:val="002D7080"/>
    <w:pPr>
      <w:spacing w:after="0" w:line="240" w:lineRule="auto"/>
    </w:pPr>
    <w:rPr>
      <w:lang w:val="en-US"/>
      <w14:ligatures w14:val="none"/>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MediumShading2-Accent31">
    <w:name w:val="Medium Shading 2 - Accent 31"/>
    <w:basedOn w:val="TableNormal"/>
    <w:next w:val="MediumShading2-Accent3"/>
    <w:uiPriority w:val="64"/>
    <w:rsid w:val="002D7080"/>
    <w:pPr>
      <w:spacing w:after="0" w:line="240" w:lineRule="auto"/>
    </w:pPr>
    <w:rPr>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Grid1">
    <w:name w:val="Light Grid1"/>
    <w:basedOn w:val="TableNormal"/>
    <w:next w:val="LightGrid"/>
    <w:uiPriority w:val="62"/>
    <w:rsid w:val="002D7080"/>
    <w:pPr>
      <w:spacing w:after="0" w:line="240" w:lineRule="auto"/>
    </w:pPr>
    <w:rPr>
      <w:lang w:val="en-US"/>
      <w14:ligatures w14:val="non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Accent51">
    <w:name w:val="Light Shading - Accent 51"/>
    <w:basedOn w:val="TableNormal"/>
    <w:next w:val="LightShading-Accent5"/>
    <w:uiPriority w:val="60"/>
    <w:rsid w:val="002D7080"/>
    <w:pPr>
      <w:spacing w:after="0" w:line="240" w:lineRule="auto"/>
    </w:pPr>
    <w:rPr>
      <w:color w:val="2F5496"/>
      <w:lang w:val="en-US"/>
      <w14:ligatures w14:val="none"/>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paragraph" w:styleId="TOCHeading">
    <w:name w:val="TOC Heading"/>
    <w:basedOn w:val="Heading1"/>
    <w:next w:val="Normal"/>
    <w:uiPriority w:val="39"/>
    <w:unhideWhenUsed/>
    <w:qFormat/>
    <w:rsid w:val="002D7080"/>
    <w:pPr>
      <w:spacing w:line="276" w:lineRule="auto"/>
      <w:outlineLvl w:val="9"/>
    </w:pPr>
    <w:rPr>
      <w:sz w:val="28"/>
      <w:lang w:val="en-US" w:eastAsia="ja-JP"/>
    </w:rPr>
  </w:style>
  <w:style w:type="paragraph" w:customStyle="1" w:styleId="TOC21">
    <w:name w:val="TOC 21"/>
    <w:basedOn w:val="Normal"/>
    <w:next w:val="Normal"/>
    <w:autoRedefine/>
    <w:uiPriority w:val="39"/>
    <w:semiHidden/>
    <w:unhideWhenUsed/>
    <w:qFormat/>
    <w:rsid w:val="002D7080"/>
    <w:pPr>
      <w:spacing w:after="100"/>
      <w:ind w:left="220"/>
    </w:pPr>
    <w:rPr>
      <w:rFonts w:eastAsia="Times New Roman"/>
      <w:lang w:val="en-US" w:eastAsia="ja-JP"/>
    </w:rPr>
  </w:style>
  <w:style w:type="paragraph" w:customStyle="1" w:styleId="TOC11">
    <w:name w:val="TOC 11"/>
    <w:basedOn w:val="Normal"/>
    <w:next w:val="Normal"/>
    <w:autoRedefine/>
    <w:uiPriority w:val="39"/>
    <w:semiHidden/>
    <w:unhideWhenUsed/>
    <w:qFormat/>
    <w:rsid w:val="002D7080"/>
    <w:pPr>
      <w:spacing w:after="100"/>
    </w:pPr>
    <w:rPr>
      <w:rFonts w:eastAsia="Times New Roman"/>
      <w:lang w:val="en-US" w:eastAsia="ja-JP"/>
    </w:rPr>
  </w:style>
  <w:style w:type="paragraph" w:customStyle="1" w:styleId="TOC31">
    <w:name w:val="TOC 31"/>
    <w:basedOn w:val="Normal"/>
    <w:next w:val="Normal"/>
    <w:autoRedefine/>
    <w:uiPriority w:val="39"/>
    <w:semiHidden/>
    <w:unhideWhenUsed/>
    <w:qFormat/>
    <w:rsid w:val="002D7080"/>
    <w:pPr>
      <w:spacing w:after="100"/>
      <w:ind w:left="440"/>
    </w:pPr>
    <w:rPr>
      <w:rFonts w:eastAsia="Times New Roman"/>
      <w:lang w:val="en-US" w:eastAsia="ja-JP"/>
    </w:rPr>
  </w:style>
  <w:style w:type="table" w:customStyle="1" w:styleId="LightList-Accent11">
    <w:name w:val="Light List - Accent 11"/>
    <w:basedOn w:val="TableNormal"/>
    <w:next w:val="LightList-Accent1"/>
    <w:uiPriority w:val="61"/>
    <w:rsid w:val="002D7080"/>
    <w:pPr>
      <w:spacing w:after="0" w:line="240" w:lineRule="auto"/>
    </w:pPr>
    <w:rPr>
      <w:lang w:val="en-US"/>
      <w14:ligatures w14:val="none"/>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31">
    <w:name w:val="Light List - Accent 31"/>
    <w:basedOn w:val="TableNormal"/>
    <w:next w:val="LightList-Accent3"/>
    <w:uiPriority w:val="61"/>
    <w:rsid w:val="002D7080"/>
    <w:pPr>
      <w:spacing w:after="0" w:line="240" w:lineRule="auto"/>
    </w:pPr>
    <w:rPr>
      <w:lang w:val="en-US"/>
      <w14:ligatures w14:val="none"/>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41">
    <w:name w:val="Medium Shading 2 - Accent 41"/>
    <w:basedOn w:val="TableNormal"/>
    <w:next w:val="MediumShading2-Accent4"/>
    <w:uiPriority w:val="64"/>
    <w:rsid w:val="002D7080"/>
    <w:pPr>
      <w:spacing w:after="0" w:line="240" w:lineRule="auto"/>
    </w:pPr>
    <w:rPr>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aption1">
    <w:name w:val="Caption1"/>
    <w:basedOn w:val="Normal"/>
    <w:next w:val="Normal"/>
    <w:uiPriority w:val="35"/>
    <w:unhideWhenUsed/>
    <w:qFormat/>
    <w:rsid w:val="002D7080"/>
    <w:pPr>
      <w:spacing w:line="240" w:lineRule="auto"/>
    </w:pPr>
    <w:rPr>
      <w:b/>
      <w:bCs/>
      <w:color w:val="5B9BD5"/>
      <w:sz w:val="18"/>
      <w:szCs w:val="18"/>
    </w:rPr>
  </w:style>
  <w:style w:type="paragraph" w:styleId="TableofFigures">
    <w:name w:val="table of figures"/>
    <w:basedOn w:val="Normal"/>
    <w:next w:val="Normal"/>
    <w:uiPriority w:val="99"/>
    <w:unhideWhenUsed/>
    <w:rsid w:val="002D7080"/>
    <w:pPr>
      <w:spacing w:after="0" w:line="259" w:lineRule="auto"/>
    </w:pPr>
  </w:style>
  <w:style w:type="table" w:customStyle="1" w:styleId="PlainTable211">
    <w:name w:val="Plain Table 211"/>
    <w:basedOn w:val="TableNormal"/>
    <w:uiPriority w:val="42"/>
    <w:rsid w:val="002D7080"/>
    <w:pPr>
      <w:spacing w:after="0" w:line="240" w:lineRule="auto"/>
    </w:pPr>
    <w:rPr>
      <w:lang w:val="en-US"/>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411">
    <w:name w:val="Plain Table 411"/>
    <w:basedOn w:val="TableNormal"/>
    <w:uiPriority w:val="44"/>
    <w:rsid w:val="002D7080"/>
    <w:pPr>
      <w:spacing w:after="0" w:line="240" w:lineRule="auto"/>
    </w:pPr>
    <w:rPr>
      <w:lang w:val="en-US"/>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2">
    <w:name w:val="Table Grid12"/>
    <w:basedOn w:val="TableNormal"/>
    <w:next w:val="TableGrid"/>
    <w:uiPriority w:val="39"/>
    <w:rsid w:val="002D7080"/>
    <w:pPr>
      <w:spacing w:after="0" w:line="240" w:lineRule="auto"/>
    </w:pPr>
    <w:rPr>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2D7080"/>
  </w:style>
  <w:style w:type="table" w:customStyle="1" w:styleId="TableGrid21">
    <w:name w:val="Table Grid21"/>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1">
    <w:name w:val="Light Shading2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92">
    <w:name w:val="Table Grid92"/>
    <w:basedOn w:val="TableNormal"/>
    <w:uiPriority w:val="39"/>
    <w:rsid w:val="002D7080"/>
    <w:pPr>
      <w:spacing w:after="0" w:line="240" w:lineRule="auto"/>
    </w:pPr>
    <w:rPr>
      <w:rFonts w:ascii="Calibri" w:eastAsia="Calibri" w:hAnsi="Calibri" w:cs="Times New Roman"/>
      <w:lang w:val="en-Z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2D7080"/>
    <w:pPr>
      <w:spacing w:after="0" w:line="240" w:lineRule="auto"/>
    </w:pPr>
    <w:rPr>
      <w:rFonts w:ascii="Calibri" w:eastAsia="Calibri" w:hAnsi="Calibri" w:cs="Times New Roman"/>
      <w:lang w:val="en-Z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39"/>
    <w:rsid w:val="002D7080"/>
    <w:pPr>
      <w:spacing w:after="0" w:line="240" w:lineRule="auto"/>
    </w:pPr>
    <w:rPr>
      <w:rFonts w:ascii="Calibri" w:eastAsia="Calibri" w:hAnsi="Calibri" w:cs="Times New Roman"/>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1">
    <w:name w:val="Light Shading3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
    <w:name w:val="Light Shading4"/>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5">
    <w:name w:val="Light Shading5"/>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6">
    <w:name w:val="Light Shading6"/>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7">
    <w:name w:val="Light Shading7"/>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8">
    <w:name w:val="Light Shading8"/>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9">
    <w:name w:val="Light Shading9"/>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0">
    <w:name w:val="Light Shading10"/>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5">
    <w:name w:val="Light Shading15"/>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1">
    <w:name w:val="No List21"/>
    <w:next w:val="NoList"/>
    <w:uiPriority w:val="99"/>
    <w:semiHidden/>
    <w:unhideWhenUsed/>
    <w:rsid w:val="002D7080"/>
  </w:style>
  <w:style w:type="table" w:customStyle="1" w:styleId="TableGrid41">
    <w:name w:val="Table Grid41"/>
    <w:basedOn w:val="TableNormal"/>
    <w:next w:val="TableGrid"/>
    <w:uiPriority w:val="59"/>
    <w:rsid w:val="002D7080"/>
    <w:pPr>
      <w:spacing w:after="0" w:line="240" w:lineRule="auto"/>
    </w:pPr>
    <w:rPr>
      <w:rFonts w:ascii="Calibri" w:eastAsia="Calibri" w:hAnsi="Calibri" w:cs="Times New Roman"/>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D7080"/>
    <w:rPr>
      <w:color w:val="96607D" w:themeColor="followedHyperlink"/>
      <w:u w:val="single"/>
    </w:rPr>
  </w:style>
  <w:style w:type="table" w:styleId="MediumShading2-Accent3">
    <w:name w:val="Medium Shading 2 Accent 3"/>
    <w:basedOn w:val="TableNormal"/>
    <w:uiPriority w:val="64"/>
    <w:rsid w:val="002D7080"/>
    <w:pPr>
      <w:spacing w:after="0" w:line="240" w:lineRule="auto"/>
    </w:pPr>
    <w:rPr>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96B2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96B24" w:themeFill="accent3"/>
      </w:tcPr>
    </w:tblStylePr>
    <w:tblStylePr w:type="lastCol">
      <w:rPr>
        <w:b/>
        <w:bCs/>
        <w:color w:val="FFFFFF" w:themeColor="background1"/>
      </w:rPr>
      <w:tblPr/>
      <w:tcPr>
        <w:tcBorders>
          <w:left w:val="nil"/>
          <w:right w:val="nil"/>
          <w:insideH w:val="nil"/>
          <w:insideV w:val="nil"/>
        </w:tcBorders>
        <w:shd w:val="clear" w:color="auto" w:fill="196B2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Grid">
    <w:name w:val="Light Grid"/>
    <w:basedOn w:val="TableNormal"/>
    <w:uiPriority w:val="62"/>
    <w:rsid w:val="002D7080"/>
    <w:pPr>
      <w:spacing w:after="0" w:line="240" w:lineRule="auto"/>
    </w:pPr>
    <w:rPr>
      <w:lang w:val="en-US"/>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Accent5">
    <w:name w:val="Light Shading Accent 5"/>
    <w:basedOn w:val="TableNormal"/>
    <w:uiPriority w:val="60"/>
    <w:rsid w:val="002D7080"/>
    <w:pPr>
      <w:spacing w:after="0" w:line="240" w:lineRule="auto"/>
    </w:pPr>
    <w:rPr>
      <w:color w:val="77206D" w:themeColor="accent5" w:themeShade="BF"/>
      <w:lang w:val="en-US"/>
      <w14:ligatures w14:val="none"/>
    </w:rPr>
    <w:tblPr>
      <w:tblStyleRowBandSize w:val="1"/>
      <w:tblStyleColBandSize w:val="1"/>
      <w:tblBorders>
        <w:top w:val="single" w:sz="8" w:space="0" w:color="A02B93" w:themeColor="accent5"/>
        <w:bottom w:val="single" w:sz="8" w:space="0" w:color="A02B93" w:themeColor="accent5"/>
      </w:tblBorders>
    </w:tblPr>
    <w:tblStylePr w:type="fir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la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left w:val="nil"/>
          <w:right w:val="nil"/>
          <w:insideH w:val="nil"/>
          <w:insideV w:val="nil"/>
        </w:tcBorders>
        <w:shd w:val="clear" w:color="auto" w:fill="EFC3E9" w:themeFill="accent5" w:themeFillTint="3F"/>
      </w:tcPr>
    </w:tblStylePr>
  </w:style>
  <w:style w:type="table" w:styleId="LightList-Accent1">
    <w:name w:val="Light List Accent 1"/>
    <w:basedOn w:val="TableNormal"/>
    <w:uiPriority w:val="61"/>
    <w:rsid w:val="002D7080"/>
    <w:pPr>
      <w:spacing w:after="0" w:line="240" w:lineRule="auto"/>
    </w:pPr>
    <w:rPr>
      <w:lang w:val="en-US"/>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pPr>
        <w:spacing w:before="0" w:after="0" w:line="240" w:lineRule="auto"/>
      </w:pPr>
      <w:rPr>
        <w:b/>
        <w:bCs/>
        <w:color w:val="FFFFFF" w:themeColor="background1"/>
      </w:rPr>
      <w:tblPr/>
      <w:tcPr>
        <w:shd w:val="clear" w:color="auto" w:fill="156082" w:themeFill="accent1"/>
      </w:tcPr>
    </w:tblStylePr>
    <w:tblStylePr w:type="lastRow">
      <w:pPr>
        <w:spacing w:before="0" w:after="0" w:line="240" w:lineRule="auto"/>
      </w:pPr>
      <w:rPr>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tcBorders>
      </w:tcPr>
    </w:tblStylePr>
    <w:tblStylePr w:type="firstCol">
      <w:rPr>
        <w:b/>
        <w:bCs/>
      </w:rPr>
    </w:tblStylePr>
    <w:tblStylePr w:type="lastCol">
      <w:rPr>
        <w:b/>
        <w:bCs/>
      </w:r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style>
  <w:style w:type="table" w:styleId="LightList-Accent3">
    <w:name w:val="Light List Accent 3"/>
    <w:basedOn w:val="TableNormal"/>
    <w:uiPriority w:val="61"/>
    <w:rsid w:val="002D7080"/>
    <w:pPr>
      <w:spacing w:after="0" w:line="240" w:lineRule="auto"/>
    </w:pPr>
    <w:rPr>
      <w:lang w:val="en-US"/>
      <w14:ligatures w14:val="none"/>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pPr>
        <w:spacing w:before="0" w:after="0" w:line="240" w:lineRule="auto"/>
      </w:pPr>
      <w:rPr>
        <w:b/>
        <w:bCs/>
        <w:color w:val="FFFFFF" w:themeColor="background1"/>
      </w:rPr>
      <w:tblPr/>
      <w:tcPr>
        <w:shd w:val="clear" w:color="auto" w:fill="196B24" w:themeFill="accent3"/>
      </w:tcPr>
    </w:tblStylePr>
    <w:tblStylePr w:type="lastRow">
      <w:pPr>
        <w:spacing w:before="0" w:after="0" w:line="240" w:lineRule="auto"/>
      </w:pPr>
      <w:rPr>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tcBorders>
      </w:tcPr>
    </w:tblStylePr>
    <w:tblStylePr w:type="firstCol">
      <w:rPr>
        <w:b/>
        <w:bCs/>
      </w:rPr>
    </w:tblStylePr>
    <w:tblStylePr w:type="lastCol">
      <w:rPr>
        <w:b/>
        <w:bCs/>
      </w:r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style>
  <w:style w:type="table" w:styleId="MediumShading2-Accent4">
    <w:name w:val="Medium Shading 2 Accent 4"/>
    <w:basedOn w:val="TableNormal"/>
    <w:uiPriority w:val="64"/>
    <w:rsid w:val="002D7080"/>
    <w:pPr>
      <w:spacing w:after="0" w:line="240" w:lineRule="auto"/>
    </w:pPr>
    <w:rPr>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9ED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F9ED5" w:themeFill="accent4"/>
      </w:tcPr>
    </w:tblStylePr>
    <w:tblStylePr w:type="lastCol">
      <w:rPr>
        <w:b/>
        <w:bCs/>
        <w:color w:val="FFFFFF" w:themeColor="background1"/>
      </w:rPr>
      <w:tblPr/>
      <w:tcPr>
        <w:tcBorders>
          <w:left w:val="nil"/>
          <w:right w:val="nil"/>
          <w:insideH w:val="nil"/>
          <w:insideV w:val="nil"/>
        </w:tcBorders>
        <w:shd w:val="clear" w:color="auto" w:fill="0F9ED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NoList4">
    <w:name w:val="No List4"/>
    <w:next w:val="NoList"/>
    <w:uiPriority w:val="99"/>
    <w:semiHidden/>
    <w:unhideWhenUsed/>
    <w:rsid w:val="002D7080"/>
  </w:style>
  <w:style w:type="table" w:customStyle="1" w:styleId="TableGrid8">
    <w:name w:val="Table Grid8"/>
    <w:basedOn w:val="TableNormal"/>
    <w:next w:val="TableGrid"/>
    <w:uiPriority w:val="59"/>
    <w:rsid w:val="002D7080"/>
    <w:pPr>
      <w:spacing w:after="0" w:line="240" w:lineRule="auto"/>
    </w:pPr>
    <w:rPr>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311">
    <w:name w:val="Grid Table 4 - Accent 311"/>
    <w:basedOn w:val="TableNormal"/>
    <w:uiPriority w:val="49"/>
    <w:rsid w:val="002D7080"/>
    <w:pPr>
      <w:spacing w:after="0" w:line="240" w:lineRule="auto"/>
    </w:pPr>
    <w:rPr>
      <w:lang w:val="en-US"/>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11">
    <w:name w:val="Grid Table 5 Dark11"/>
    <w:basedOn w:val="TableNormal"/>
    <w:uiPriority w:val="50"/>
    <w:rsid w:val="002D7080"/>
    <w:pPr>
      <w:spacing w:after="0" w:line="240" w:lineRule="auto"/>
    </w:pPr>
    <w:rPr>
      <w:lang w:val="en-US"/>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ListTable7Colorful-Accent311">
    <w:name w:val="List Table 7 Colorful - Accent 311"/>
    <w:basedOn w:val="TableNormal"/>
    <w:uiPriority w:val="52"/>
    <w:rsid w:val="002D7080"/>
    <w:pPr>
      <w:spacing w:after="0" w:line="240" w:lineRule="auto"/>
    </w:pPr>
    <w:rPr>
      <w:color w:val="7B7B7B"/>
      <w:lang w:val="en-US"/>
      <w14:ligatures w14:val="none"/>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A5A5A5"/>
        </w:tcBorders>
        <w:shd w:val="clear" w:color="auto" w:fill="FFFFFF"/>
      </w:tcPr>
    </w:tblStylePr>
    <w:tblStylePr w:type="lastRow">
      <w:rPr>
        <w:rFonts w:ascii="Calibri Light" w:eastAsia="Times New Roman" w:hAnsi="Calibri Light" w:cs="Times New Roman"/>
        <w:i/>
        <w:iCs/>
        <w:sz w:val="26"/>
      </w:rPr>
      <w:tblPr/>
      <w:tcPr>
        <w:tcBorders>
          <w:top w:val="single" w:sz="4" w:space="0" w:color="A5A5A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A5A5A5"/>
        </w:tcBorders>
        <w:shd w:val="clear" w:color="auto" w:fill="FFFFFF"/>
      </w:tcPr>
    </w:tblStylePr>
    <w:tblStylePr w:type="lastCol">
      <w:rPr>
        <w:rFonts w:ascii="Calibri Light" w:eastAsia="Times New Roman" w:hAnsi="Calibri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11">
    <w:name w:val="List Table 7 Colorful11"/>
    <w:basedOn w:val="TableNormal"/>
    <w:uiPriority w:val="52"/>
    <w:rsid w:val="002D7080"/>
    <w:pPr>
      <w:spacing w:after="0" w:line="240" w:lineRule="auto"/>
    </w:pPr>
    <w:rPr>
      <w:color w:val="000000"/>
      <w:lang w:val="en-US"/>
      <w14:ligatures w14:val="none"/>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2">
    <w:name w:val="Grid Table 1 Light12"/>
    <w:basedOn w:val="TableNormal"/>
    <w:uiPriority w:val="46"/>
    <w:rsid w:val="002D7080"/>
    <w:pPr>
      <w:spacing w:after="0" w:line="240" w:lineRule="auto"/>
    </w:pPr>
    <w:rPr>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LightShading16">
    <w:name w:val="Light Shading16"/>
    <w:basedOn w:val="TableNormal"/>
    <w:next w:val="LightShading"/>
    <w:uiPriority w:val="60"/>
    <w:rsid w:val="002D7080"/>
    <w:pPr>
      <w:spacing w:after="0" w:line="240" w:lineRule="auto"/>
    </w:pPr>
    <w:rPr>
      <w:rFonts w:ascii="Cambria" w:eastAsia="Cambria" w:hAnsi="Cambria" w:cs="Cambria"/>
      <w:color w:val="000000"/>
      <w:sz w:val="20"/>
      <w:szCs w:val="20"/>
      <w:lang w:val="en-US"/>
      <w14:ligatures w14:val="none"/>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7">
    <w:name w:val="Light Shading17"/>
    <w:basedOn w:val="TableNormal"/>
    <w:next w:val="LightShading"/>
    <w:uiPriority w:val="60"/>
    <w:rsid w:val="002D7080"/>
    <w:pPr>
      <w:spacing w:after="0" w:line="240" w:lineRule="auto"/>
    </w:pPr>
    <w:rPr>
      <w:color w:val="000000"/>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1Light111">
    <w:name w:val="Grid Table 1 Light111"/>
    <w:basedOn w:val="TableNormal"/>
    <w:uiPriority w:val="46"/>
    <w:rsid w:val="002D7080"/>
    <w:pPr>
      <w:spacing w:after="0" w:line="240" w:lineRule="auto"/>
    </w:pPr>
    <w:rPr>
      <w:lang w:val="en-US"/>
      <w14:ligatures w14:val="none"/>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MediumShading2-Accent32">
    <w:name w:val="Medium Shading 2 - Accent 32"/>
    <w:basedOn w:val="TableNormal"/>
    <w:next w:val="MediumShading2-Accent3"/>
    <w:uiPriority w:val="64"/>
    <w:rsid w:val="002D7080"/>
    <w:pPr>
      <w:spacing w:after="0" w:line="240" w:lineRule="auto"/>
    </w:pPr>
    <w:rPr>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Grid2">
    <w:name w:val="Light Grid2"/>
    <w:basedOn w:val="TableNormal"/>
    <w:next w:val="LightGrid"/>
    <w:uiPriority w:val="62"/>
    <w:rsid w:val="002D7080"/>
    <w:pPr>
      <w:spacing w:after="0" w:line="240" w:lineRule="auto"/>
    </w:pPr>
    <w:rPr>
      <w:lang w:val="en-US"/>
      <w14:ligatures w14:val="non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Accent52">
    <w:name w:val="Light Shading - Accent 52"/>
    <w:basedOn w:val="TableNormal"/>
    <w:next w:val="LightShading-Accent5"/>
    <w:uiPriority w:val="60"/>
    <w:rsid w:val="002D7080"/>
    <w:pPr>
      <w:spacing w:after="0" w:line="240" w:lineRule="auto"/>
    </w:pPr>
    <w:rPr>
      <w:color w:val="2F5496"/>
      <w:lang w:val="en-US"/>
      <w14:ligatures w14:val="none"/>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paragraph" w:customStyle="1" w:styleId="TOC22">
    <w:name w:val="TOC 22"/>
    <w:basedOn w:val="Normal"/>
    <w:next w:val="Normal"/>
    <w:autoRedefine/>
    <w:uiPriority w:val="39"/>
    <w:semiHidden/>
    <w:unhideWhenUsed/>
    <w:qFormat/>
    <w:rsid w:val="002D7080"/>
    <w:pPr>
      <w:spacing w:after="100"/>
      <w:ind w:left="220"/>
    </w:pPr>
    <w:rPr>
      <w:rFonts w:eastAsia="Times New Roman"/>
      <w:lang w:val="en-US" w:eastAsia="ja-JP"/>
    </w:rPr>
  </w:style>
  <w:style w:type="paragraph" w:customStyle="1" w:styleId="TOC12">
    <w:name w:val="TOC 12"/>
    <w:basedOn w:val="Normal"/>
    <w:next w:val="Normal"/>
    <w:autoRedefine/>
    <w:uiPriority w:val="39"/>
    <w:semiHidden/>
    <w:unhideWhenUsed/>
    <w:qFormat/>
    <w:rsid w:val="002D7080"/>
    <w:pPr>
      <w:spacing w:after="100"/>
    </w:pPr>
    <w:rPr>
      <w:rFonts w:eastAsia="Times New Roman"/>
      <w:lang w:val="en-US" w:eastAsia="ja-JP"/>
    </w:rPr>
  </w:style>
  <w:style w:type="paragraph" w:customStyle="1" w:styleId="TOC32">
    <w:name w:val="TOC 32"/>
    <w:basedOn w:val="Normal"/>
    <w:next w:val="Normal"/>
    <w:autoRedefine/>
    <w:uiPriority w:val="39"/>
    <w:semiHidden/>
    <w:unhideWhenUsed/>
    <w:qFormat/>
    <w:rsid w:val="002D7080"/>
    <w:pPr>
      <w:spacing w:after="100"/>
      <w:ind w:left="440"/>
    </w:pPr>
    <w:rPr>
      <w:rFonts w:eastAsia="Times New Roman"/>
      <w:lang w:val="en-US" w:eastAsia="ja-JP"/>
    </w:rPr>
  </w:style>
  <w:style w:type="table" w:customStyle="1" w:styleId="LightList-Accent12">
    <w:name w:val="Light List - Accent 12"/>
    <w:basedOn w:val="TableNormal"/>
    <w:next w:val="LightList-Accent1"/>
    <w:uiPriority w:val="61"/>
    <w:rsid w:val="002D7080"/>
    <w:pPr>
      <w:spacing w:after="0" w:line="240" w:lineRule="auto"/>
    </w:pPr>
    <w:rPr>
      <w:lang w:val="en-US"/>
      <w14:ligatures w14:val="none"/>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32">
    <w:name w:val="Light List - Accent 32"/>
    <w:basedOn w:val="TableNormal"/>
    <w:next w:val="LightList-Accent3"/>
    <w:uiPriority w:val="61"/>
    <w:rsid w:val="002D7080"/>
    <w:pPr>
      <w:spacing w:after="0" w:line="240" w:lineRule="auto"/>
    </w:pPr>
    <w:rPr>
      <w:lang w:val="en-US"/>
      <w14:ligatures w14:val="none"/>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42">
    <w:name w:val="Medium Shading 2 - Accent 42"/>
    <w:basedOn w:val="TableNormal"/>
    <w:next w:val="MediumShading2-Accent4"/>
    <w:uiPriority w:val="64"/>
    <w:rsid w:val="002D7080"/>
    <w:pPr>
      <w:spacing w:after="0" w:line="240" w:lineRule="auto"/>
    </w:pPr>
    <w:rPr>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aption2">
    <w:name w:val="Caption2"/>
    <w:basedOn w:val="Normal"/>
    <w:next w:val="Normal"/>
    <w:uiPriority w:val="35"/>
    <w:unhideWhenUsed/>
    <w:qFormat/>
    <w:rsid w:val="002D7080"/>
    <w:pPr>
      <w:spacing w:line="240" w:lineRule="auto"/>
    </w:pPr>
    <w:rPr>
      <w:b/>
      <w:bCs/>
      <w:color w:val="5B9BD5"/>
      <w:sz w:val="18"/>
      <w:szCs w:val="18"/>
    </w:rPr>
  </w:style>
  <w:style w:type="table" w:customStyle="1" w:styleId="PlainTable212">
    <w:name w:val="Plain Table 212"/>
    <w:basedOn w:val="TableNormal"/>
    <w:uiPriority w:val="42"/>
    <w:rsid w:val="002D7080"/>
    <w:pPr>
      <w:spacing w:after="0" w:line="240" w:lineRule="auto"/>
    </w:pPr>
    <w:rPr>
      <w:lang w:val="en-US"/>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412">
    <w:name w:val="Plain Table 412"/>
    <w:basedOn w:val="TableNormal"/>
    <w:uiPriority w:val="44"/>
    <w:rsid w:val="002D7080"/>
    <w:pPr>
      <w:spacing w:after="0" w:line="240" w:lineRule="auto"/>
    </w:pPr>
    <w:rPr>
      <w:lang w:val="en-US"/>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4">
    <w:name w:val="Table Grid14"/>
    <w:basedOn w:val="TableNormal"/>
    <w:next w:val="TableGrid"/>
    <w:uiPriority w:val="39"/>
    <w:rsid w:val="002D7080"/>
    <w:pPr>
      <w:spacing w:after="0" w:line="240" w:lineRule="auto"/>
    </w:pPr>
    <w:rPr>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2D7080"/>
  </w:style>
  <w:style w:type="table" w:customStyle="1" w:styleId="TableGrid22">
    <w:name w:val="Table Grid22"/>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2">
    <w:name w:val="Light Shading2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93">
    <w:name w:val="Table Grid93"/>
    <w:basedOn w:val="TableNormal"/>
    <w:uiPriority w:val="39"/>
    <w:rsid w:val="002D7080"/>
    <w:pPr>
      <w:spacing w:after="0" w:line="240" w:lineRule="auto"/>
    </w:pPr>
    <w:rPr>
      <w:rFonts w:ascii="Calibri" w:eastAsia="Calibri" w:hAnsi="Calibri" w:cs="Times New Roman"/>
      <w:lang w:val="en-Z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2D7080"/>
    <w:pPr>
      <w:spacing w:after="0" w:line="240" w:lineRule="auto"/>
    </w:pPr>
    <w:rPr>
      <w:rFonts w:ascii="Calibri" w:eastAsia="Calibri" w:hAnsi="Calibri" w:cs="Times New Roman"/>
      <w:lang w:val="en-Z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
    <w:name w:val="Table Grid912"/>
    <w:basedOn w:val="TableNormal"/>
    <w:next w:val="TableGrid"/>
    <w:uiPriority w:val="39"/>
    <w:rsid w:val="002D7080"/>
    <w:pPr>
      <w:spacing w:after="0" w:line="240" w:lineRule="auto"/>
    </w:pPr>
    <w:rPr>
      <w:rFonts w:ascii="Calibri" w:eastAsia="Calibri" w:hAnsi="Calibri" w:cs="Times New Roman"/>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2">
    <w:name w:val="Light Shading3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1">
    <w:name w:val="Light Shading4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51">
    <w:name w:val="Light Shading5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61">
    <w:name w:val="Light Shading6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71">
    <w:name w:val="Light Shading7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81">
    <w:name w:val="Light Shading8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91">
    <w:name w:val="Light Shading9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01">
    <w:name w:val="Light Shading10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1">
    <w:name w:val="Light Shading12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1">
    <w:name w:val="Light Shading13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1">
    <w:name w:val="Light Shading14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51">
    <w:name w:val="Light Shading151"/>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2">
    <w:name w:val="No List22"/>
    <w:next w:val="NoList"/>
    <w:uiPriority w:val="99"/>
    <w:semiHidden/>
    <w:unhideWhenUsed/>
    <w:rsid w:val="002D7080"/>
  </w:style>
  <w:style w:type="table" w:customStyle="1" w:styleId="TableGrid42">
    <w:name w:val="Table Grid42"/>
    <w:basedOn w:val="TableNormal"/>
    <w:next w:val="TableGrid"/>
    <w:uiPriority w:val="59"/>
    <w:rsid w:val="002D7080"/>
    <w:pPr>
      <w:spacing w:after="0" w:line="240" w:lineRule="auto"/>
    </w:pPr>
    <w:rPr>
      <w:rFonts w:ascii="Calibri" w:eastAsia="Calibri" w:hAnsi="Calibri" w:cs="Times New Roman"/>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2D7080"/>
  </w:style>
  <w:style w:type="table" w:customStyle="1" w:styleId="TableGrid10">
    <w:name w:val="Table Grid10"/>
    <w:basedOn w:val="TableNormal"/>
    <w:next w:val="TableGrid"/>
    <w:uiPriority w:val="5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8">
    <w:name w:val="Light Shading18"/>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6">
    <w:name w:val="No List6"/>
    <w:next w:val="NoList"/>
    <w:uiPriority w:val="99"/>
    <w:semiHidden/>
    <w:unhideWhenUsed/>
    <w:rsid w:val="002D7080"/>
  </w:style>
  <w:style w:type="table" w:customStyle="1" w:styleId="TableGrid15">
    <w:name w:val="Table Grid15"/>
    <w:basedOn w:val="TableNormal"/>
    <w:next w:val="TableGrid"/>
    <w:uiPriority w:val="5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9">
    <w:name w:val="Light Shading19"/>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7">
    <w:name w:val="No List7"/>
    <w:next w:val="NoList"/>
    <w:uiPriority w:val="99"/>
    <w:semiHidden/>
    <w:unhideWhenUsed/>
    <w:rsid w:val="002D7080"/>
  </w:style>
  <w:style w:type="table" w:customStyle="1" w:styleId="TableGrid16">
    <w:name w:val="Table Grid16"/>
    <w:basedOn w:val="TableNormal"/>
    <w:next w:val="TableGrid"/>
    <w:uiPriority w:val="5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0">
    <w:name w:val="Light Shading20"/>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8">
    <w:name w:val="No List8"/>
    <w:next w:val="NoList"/>
    <w:uiPriority w:val="99"/>
    <w:semiHidden/>
    <w:unhideWhenUsed/>
    <w:rsid w:val="002D7080"/>
  </w:style>
  <w:style w:type="table" w:customStyle="1" w:styleId="TableGrid17">
    <w:name w:val="Table Grid17"/>
    <w:basedOn w:val="TableNormal"/>
    <w:next w:val="TableGrid"/>
    <w:uiPriority w:val="59"/>
    <w:rsid w:val="002D7080"/>
    <w:pPr>
      <w:spacing w:after="0" w:line="240" w:lineRule="auto"/>
    </w:pPr>
    <w:rPr>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312">
    <w:name w:val="Grid Table 4 - Accent 312"/>
    <w:basedOn w:val="TableNormal"/>
    <w:uiPriority w:val="49"/>
    <w:rsid w:val="002D7080"/>
    <w:pPr>
      <w:spacing w:after="0" w:line="240" w:lineRule="auto"/>
    </w:pPr>
    <w:rPr>
      <w:lang w:val="en-US"/>
      <w14:ligatures w14:val="none"/>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12">
    <w:name w:val="Grid Table 5 Dark12"/>
    <w:basedOn w:val="TableNormal"/>
    <w:uiPriority w:val="50"/>
    <w:rsid w:val="002D7080"/>
    <w:pPr>
      <w:spacing w:after="0" w:line="240" w:lineRule="auto"/>
    </w:pPr>
    <w:rPr>
      <w:lang w:val="en-US"/>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ListTable7Colorful-Accent312">
    <w:name w:val="List Table 7 Colorful - Accent 312"/>
    <w:basedOn w:val="TableNormal"/>
    <w:uiPriority w:val="52"/>
    <w:rsid w:val="002D7080"/>
    <w:pPr>
      <w:spacing w:after="0" w:line="240" w:lineRule="auto"/>
    </w:pPr>
    <w:rPr>
      <w:color w:val="7B7B7B"/>
      <w:lang w:val="en-US"/>
      <w14:ligatures w14:val="none"/>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A5A5A5"/>
        </w:tcBorders>
        <w:shd w:val="clear" w:color="auto" w:fill="FFFFFF"/>
      </w:tcPr>
    </w:tblStylePr>
    <w:tblStylePr w:type="lastRow">
      <w:rPr>
        <w:rFonts w:ascii="Calibri Light" w:eastAsia="Times New Roman" w:hAnsi="Calibri Light" w:cs="Times New Roman"/>
        <w:i/>
        <w:iCs/>
        <w:sz w:val="26"/>
      </w:rPr>
      <w:tblPr/>
      <w:tcPr>
        <w:tcBorders>
          <w:top w:val="single" w:sz="4" w:space="0" w:color="A5A5A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A5A5A5"/>
        </w:tcBorders>
        <w:shd w:val="clear" w:color="auto" w:fill="FFFFFF"/>
      </w:tcPr>
    </w:tblStylePr>
    <w:tblStylePr w:type="lastCol">
      <w:rPr>
        <w:rFonts w:ascii="Calibri Light" w:eastAsia="Times New Roman" w:hAnsi="Calibri Light" w:cs="Times New Roman"/>
        <w:i/>
        <w:iCs/>
        <w:sz w:val="26"/>
      </w:rPr>
      <w:tblPr/>
      <w:tcPr>
        <w:tcBorders>
          <w:left w:val="single" w:sz="4" w:space="0" w:color="A5A5A5"/>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12">
    <w:name w:val="List Table 7 Colorful12"/>
    <w:basedOn w:val="TableNormal"/>
    <w:uiPriority w:val="52"/>
    <w:rsid w:val="002D7080"/>
    <w:pPr>
      <w:spacing w:after="0" w:line="240" w:lineRule="auto"/>
    </w:pPr>
    <w:rPr>
      <w:color w:val="000000"/>
      <w:lang w:val="en-US"/>
      <w14:ligatures w14:val="none"/>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3">
    <w:name w:val="Grid Table 1 Light13"/>
    <w:basedOn w:val="TableNormal"/>
    <w:uiPriority w:val="46"/>
    <w:rsid w:val="002D7080"/>
    <w:pPr>
      <w:spacing w:after="0" w:line="240" w:lineRule="auto"/>
    </w:pPr>
    <w:rPr>
      <w:lang w:val="en-US"/>
      <w14:ligatures w14:val="none"/>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LightShading110">
    <w:name w:val="Light Shading110"/>
    <w:basedOn w:val="TableNormal"/>
    <w:next w:val="LightShading"/>
    <w:uiPriority w:val="60"/>
    <w:rsid w:val="002D7080"/>
    <w:pPr>
      <w:spacing w:after="0" w:line="240" w:lineRule="auto"/>
    </w:pPr>
    <w:rPr>
      <w:rFonts w:ascii="Cambria" w:eastAsia="Cambria" w:hAnsi="Cambria" w:cs="Cambria"/>
      <w:color w:val="000000"/>
      <w:sz w:val="20"/>
      <w:szCs w:val="20"/>
      <w:lang w:val="en-US"/>
      <w14:ligatures w14:val="none"/>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
    <w:name w:val="Light Shading23"/>
    <w:basedOn w:val="TableNormal"/>
    <w:next w:val="LightShading"/>
    <w:uiPriority w:val="60"/>
    <w:rsid w:val="002D7080"/>
    <w:pPr>
      <w:spacing w:after="0" w:line="240" w:lineRule="auto"/>
    </w:pPr>
    <w:rPr>
      <w:color w:val="000000"/>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1Light112">
    <w:name w:val="Grid Table 1 Light112"/>
    <w:basedOn w:val="TableNormal"/>
    <w:uiPriority w:val="46"/>
    <w:rsid w:val="002D7080"/>
    <w:pPr>
      <w:spacing w:after="0" w:line="240" w:lineRule="auto"/>
    </w:pPr>
    <w:rPr>
      <w:lang w:val="en-US"/>
      <w14:ligatures w14:val="none"/>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MediumShading2-Accent33">
    <w:name w:val="Medium Shading 2 - Accent 33"/>
    <w:basedOn w:val="TableNormal"/>
    <w:next w:val="MediumShading2-Accent3"/>
    <w:uiPriority w:val="64"/>
    <w:rsid w:val="002D7080"/>
    <w:pPr>
      <w:spacing w:after="0" w:line="240" w:lineRule="auto"/>
    </w:pPr>
    <w:rPr>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Grid3">
    <w:name w:val="Light Grid3"/>
    <w:basedOn w:val="TableNormal"/>
    <w:next w:val="LightGrid"/>
    <w:uiPriority w:val="62"/>
    <w:rsid w:val="002D7080"/>
    <w:pPr>
      <w:spacing w:after="0" w:line="240" w:lineRule="auto"/>
    </w:pPr>
    <w:rPr>
      <w:lang w:val="en-US"/>
      <w14:ligatures w14:val="non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Accent53">
    <w:name w:val="Light Shading - Accent 53"/>
    <w:basedOn w:val="TableNormal"/>
    <w:next w:val="LightShading-Accent5"/>
    <w:uiPriority w:val="60"/>
    <w:rsid w:val="002D7080"/>
    <w:pPr>
      <w:spacing w:after="0" w:line="240" w:lineRule="auto"/>
    </w:pPr>
    <w:rPr>
      <w:color w:val="2F5496"/>
      <w:lang w:val="en-US"/>
      <w14:ligatures w14:val="none"/>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paragraph" w:customStyle="1" w:styleId="TOC23">
    <w:name w:val="TOC 23"/>
    <w:basedOn w:val="Normal"/>
    <w:next w:val="Normal"/>
    <w:autoRedefine/>
    <w:uiPriority w:val="39"/>
    <w:semiHidden/>
    <w:unhideWhenUsed/>
    <w:qFormat/>
    <w:rsid w:val="002D7080"/>
    <w:pPr>
      <w:spacing w:after="100"/>
      <w:ind w:left="220"/>
    </w:pPr>
    <w:rPr>
      <w:rFonts w:eastAsia="Times New Roman"/>
      <w:lang w:val="en-US" w:eastAsia="ja-JP"/>
    </w:rPr>
  </w:style>
  <w:style w:type="paragraph" w:customStyle="1" w:styleId="TOC13">
    <w:name w:val="TOC 13"/>
    <w:basedOn w:val="Normal"/>
    <w:next w:val="Normal"/>
    <w:autoRedefine/>
    <w:uiPriority w:val="39"/>
    <w:semiHidden/>
    <w:unhideWhenUsed/>
    <w:qFormat/>
    <w:rsid w:val="002D7080"/>
    <w:pPr>
      <w:spacing w:after="100"/>
    </w:pPr>
    <w:rPr>
      <w:rFonts w:eastAsia="Times New Roman"/>
      <w:lang w:val="en-US" w:eastAsia="ja-JP"/>
    </w:rPr>
  </w:style>
  <w:style w:type="paragraph" w:customStyle="1" w:styleId="TOC33">
    <w:name w:val="TOC 33"/>
    <w:basedOn w:val="Normal"/>
    <w:next w:val="Normal"/>
    <w:autoRedefine/>
    <w:uiPriority w:val="39"/>
    <w:semiHidden/>
    <w:unhideWhenUsed/>
    <w:qFormat/>
    <w:rsid w:val="002D7080"/>
    <w:pPr>
      <w:spacing w:after="100"/>
      <w:ind w:left="440"/>
    </w:pPr>
    <w:rPr>
      <w:rFonts w:eastAsia="Times New Roman"/>
      <w:lang w:val="en-US" w:eastAsia="ja-JP"/>
    </w:rPr>
  </w:style>
  <w:style w:type="table" w:customStyle="1" w:styleId="LightList-Accent13">
    <w:name w:val="Light List - Accent 13"/>
    <w:basedOn w:val="TableNormal"/>
    <w:next w:val="LightList-Accent1"/>
    <w:uiPriority w:val="61"/>
    <w:rsid w:val="002D7080"/>
    <w:pPr>
      <w:spacing w:after="0" w:line="240" w:lineRule="auto"/>
    </w:pPr>
    <w:rPr>
      <w:lang w:val="en-US"/>
      <w14:ligatures w14:val="none"/>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List-Accent33">
    <w:name w:val="Light List - Accent 33"/>
    <w:basedOn w:val="TableNormal"/>
    <w:next w:val="LightList-Accent3"/>
    <w:uiPriority w:val="61"/>
    <w:rsid w:val="002D7080"/>
    <w:pPr>
      <w:spacing w:after="0" w:line="240" w:lineRule="auto"/>
    </w:pPr>
    <w:rPr>
      <w:lang w:val="en-US"/>
      <w14:ligatures w14:val="none"/>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43">
    <w:name w:val="Medium Shading 2 - Accent 43"/>
    <w:basedOn w:val="TableNormal"/>
    <w:next w:val="MediumShading2-Accent4"/>
    <w:uiPriority w:val="64"/>
    <w:rsid w:val="002D7080"/>
    <w:pPr>
      <w:spacing w:after="0" w:line="240" w:lineRule="auto"/>
    </w:pPr>
    <w:rPr>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C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FC000"/>
      </w:tcPr>
    </w:tblStylePr>
    <w:tblStylePr w:type="lastCol">
      <w:rPr>
        <w:b/>
        <w:bCs/>
        <w:color w:val="FFFFFF"/>
      </w:rPr>
      <w:tblPr/>
      <w:tcPr>
        <w:tcBorders>
          <w:left w:val="nil"/>
          <w:right w:val="nil"/>
          <w:insideH w:val="nil"/>
          <w:insideV w:val="nil"/>
        </w:tcBorders>
        <w:shd w:val="clear" w:color="auto" w:fill="FFC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aption3">
    <w:name w:val="Caption3"/>
    <w:basedOn w:val="Normal"/>
    <w:next w:val="Normal"/>
    <w:uiPriority w:val="35"/>
    <w:unhideWhenUsed/>
    <w:qFormat/>
    <w:rsid w:val="002D7080"/>
    <w:pPr>
      <w:spacing w:line="240" w:lineRule="auto"/>
    </w:pPr>
    <w:rPr>
      <w:b/>
      <w:bCs/>
      <w:color w:val="5B9BD5"/>
      <w:sz w:val="18"/>
      <w:szCs w:val="18"/>
    </w:rPr>
  </w:style>
  <w:style w:type="table" w:customStyle="1" w:styleId="PlainTable213">
    <w:name w:val="Plain Table 213"/>
    <w:basedOn w:val="TableNormal"/>
    <w:uiPriority w:val="42"/>
    <w:rsid w:val="002D7080"/>
    <w:pPr>
      <w:spacing w:after="0" w:line="240" w:lineRule="auto"/>
    </w:pPr>
    <w:rPr>
      <w:lang w:val="en-US"/>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413">
    <w:name w:val="Plain Table 413"/>
    <w:basedOn w:val="TableNormal"/>
    <w:uiPriority w:val="44"/>
    <w:rsid w:val="002D7080"/>
    <w:pPr>
      <w:spacing w:after="0" w:line="240" w:lineRule="auto"/>
    </w:pPr>
    <w:rPr>
      <w:lang w:val="en-US"/>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8">
    <w:name w:val="Table Grid18"/>
    <w:basedOn w:val="TableNormal"/>
    <w:next w:val="TableGrid"/>
    <w:uiPriority w:val="39"/>
    <w:rsid w:val="002D7080"/>
    <w:pPr>
      <w:spacing w:after="0" w:line="240" w:lineRule="auto"/>
    </w:pPr>
    <w:rPr>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2D7080"/>
  </w:style>
  <w:style w:type="table" w:customStyle="1" w:styleId="TableGrid23">
    <w:name w:val="Table Grid23"/>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4">
    <w:name w:val="Light Shading24"/>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94">
    <w:name w:val="Table Grid94"/>
    <w:basedOn w:val="TableNormal"/>
    <w:uiPriority w:val="39"/>
    <w:rsid w:val="002D7080"/>
    <w:pPr>
      <w:spacing w:after="0" w:line="240" w:lineRule="auto"/>
    </w:pPr>
    <w:rPr>
      <w:rFonts w:ascii="Calibri" w:eastAsia="Calibri" w:hAnsi="Calibri" w:cs="Times New Roman"/>
      <w:lang w:val="en-Z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2D7080"/>
    <w:pPr>
      <w:spacing w:after="0" w:line="240" w:lineRule="auto"/>
    </w:pPr>
    <w:rPr>
      <w:rFonts w:ascii="Calibri" w:eastAsia="Calibri" w:hAnsi="Calibri" w:cs="Times New Roman"/>
      <w:lang w:val="en-Z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next w:val="TableGrid"/>
    <w:uiPriority w:val="39"/>
    <w:rsid w:val="002D7080"/>
    <w:pPr>
      <w:spacing w:after="0" w:line="240" w:lineRule="auto"/>
    </w:pPr>
    <w:rPr>
      <w:rFonts w:ascii="Calibri" w:eastAsia="Calibri" w:hAnsi="Calibri" w:cs="Times New Roman"/>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3">
    <w:name w:val="Light Shading33"/>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42">
    <w:name w:val="Light Shading4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52">
    <w:name w:val="Light Shading5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62">
    <w:name w:val="Light Shading6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72">
    <w:name w:val="Light Shading7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82">
    <w:name w:val="Light Shading8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92">
    <w:name w:val="Light Shading9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02">
    <w:name w:val="Light Shading10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3">
    <w:name w:val="Light Shading113"/>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2">
    <w:name w:val="Light Shading12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2">
    <w:name w:val="Light Shading13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2">
    <w:name w:val="Light Shading14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52">
    <w:name w:val="Light Shading152"/>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3">
    <w:name w:val="No List23"/>
    <w:next w:val="NoList"/>
    <w:uiPriority w:val="99"/>
    <w:semiHidden/>
    <w:unhideWhenUsed/>
    <w:rsid w:val="002D7080"/>
  </w:style>
  <w:style w:type="table" w:customStyle="1" w:styleId="TableGrid43">
    <w:name w:val="Table Grid43"/>
    <w:basedOn w:val="TableNormal"/>
    <w:next w:val="TableGrid"/>
    <w:uiPriority w:val="59"/>
    <w:rsid w:val="002D7080"/>
    <w:pPr>
      <w:spacing w:after="0" w:line="240" w:lineRule="auto"/>
    </w:pPr>
    <w:rPr>
      <w:rFonts w:ascii="Calibri" w:eastAsia="Calibri" w:hAnsi="Calibri" w:cs="Times New Roman"/>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2D7080"/>
  </w:style>
  <w:style w:type="table" w:customStyle="1" w:styleId="TableGrid19">
    <w:name w:val="Table Grid19"/>
    <w:basedOn w:val="TableNormal"/>
    <w:next w:val="TableGrid"/>
    <w:uiPriority w:val="5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5">
    <w:name w:val="Light Shading25"/>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0">
    <w:name w:val="No List10"/>
    <w:next w:val="NoList"/>
    <w:uiPriority w:val="99"/>
    <w:semiHidden/>
    <w:unhideWhenUsed/>
    <w:rsid w:val="002D7080"/>
  </w:style>
  <w:style w:type="table" w:customStyle="1" w:styleId="TableGrid20">
    <w:name w:val="Table Grid20"/>
    <w:basedOn w:val="TableNormal"/>
    <w:next w:val="TableGrid"/>
    <w:uiPriority w:val="59"/>
    <w:rsid w:val="002D7080"/>
    <w:pPr>
      <w:spacing w:after="0" w:line="240" w:lineRule="auto"/>
    </w:pPr>
    <w:rPr>
      <w:lang w:val="en-Z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6">
    <w:name w:val="Light Shading26"/>
    <w:basedOn w:val="TableNormal"/>
    <w:next w:val="LightShading"/>
    <w:uiPriority w:val="60"/>
    <w:rsid w:val="002D7080"/>
    <w:pPr>
      <w:spacing w:after="0" w:line="240" w:lineRule="auto"/>
    </w:pPr>
    <w:rPr>
      <w:rFonts w:eastAsia="Times New Roman"/>
      <w:color w:val="000000"/>
      <w:sz w:val="24"/>
      <w:szCs w:val="24"/>
      <w:lang w:val="en-US"/>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PlainTable414">
    <w:name w:val="Plain Table 414"/>
    <w:basedOn w:val="TableNormal"/>
    <w:uiPriority w:val="44"/>
    <w:rsid w:val="002D7080"/>
    <w:pPr>
      <w:spacing w:after="0" w:line="240" w:lineRule="auto"/>
    </w:pPr>
    <w:rPr>
      <w:lang w:val="en-US"/>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UnresolvedMention5">
    <w:name w:val="Unresolved Mention5"/>
    <w:basedOn w:val="DefaultParagraphFont"/>
    <w:uiPriority w:val="99"/>
    <w:semiHidden/>
    <w:unhideWhenUsed/>
    <w:rsid w:val="002D7080"/>
    <w:rPr>
      <w:color w:val="605E5C"/>
      <w:shd w:val="clear" w:color="auto" w:fill="E1DFDD"/>
    </w:rPr>
  </w:style>
  <w:style w:type="character" w:customStyle="1" w:styleId="UnresolvedMention6">
    <w:name w:val="Unresolved Mention6"/>
    <w:basedOn w:val="DefaultParagraphFont"/>
    <w:uiPriority w:val="99"/>
    <w:semiHidden/>
    <w:unhideWhenUsed/>
    <w:rsid w:val="002D7080"/>
    <w:rPr>
      <w:color w:val="605E5C"/>
      <w:shd w:val="clear" w:color="auto" w:fill="E1DFDD"/>
    </w:rPr>
  </w:style>
  <w:style w:type="numbering" w:customStyle="1" w:styleId="NoList14">
    <w:name w:val="No List14"/>
    <w:next w:val="NoList"/>
    <w:uiPriority w:val="99"/>
    <w:semiHidden/>
    <w:unhideWhenUsed/>
    <w:rsid w:val="002D7080"/>
  </w:style>
  <w:style w:type="paragraph" w:customStyle="1" w:styleId="pf0">
    <w:name w:val="pf0"/>
    <w:basedOn w:val="Normal"/>
    <w:rsid w:val="002D7080"/>
    <w:pPr>
      <w:spacing w:before="100" w:beforeAutospacing="1" w:after="100" w:afterAutospacing="1" w:line="240" w:lineRule="auto"/>
    </w:pPr>
    <w:rPr>
      <w:rFonts w:ascii="Times New Roman" w:eastAsia="Times New Roman" w:hAnsi="Times New Roman" w:cs="Times New Roman"/>
      <w:sz w:val="24"/>
      <w:szCs w:val="24"/>
      <w:lang w:eastAsia="en-ZA"/>
    </w:rPr>
  </w:style>
  <w:style w:type="character" w:customStyle="1" w:styleId="cf01">
    <w:name w:val="cf01"/>
    <w:basedOn w:val="DefaultParagraphFont"/>
    <w:rsid w:val="002D7080"/>
    <w:rPr>
      <w:rFonts w:ascii="Segoe UI" w:hAnsi="Segoe UI" w:cs="Segoe UI" w:hint="default"/>
      <w:sz w:val="18"/>
      <w:szCs w:val="18"/>
    </w:rPr>
  </w:style>
  <w:style w:type="numbering" w:customStyle="1" w:styleId="NoList15">
    <w:name w:val="No List15"/>
    <w:next w:val="NoList"/>
    <w:uiPriority w:val="99"/>
    <w:semiHidden/>
    <w:unhideWhenUsed/>
    <w:rsid w:val="002D7080"/>
  </w:style>
  <w:style w:type="character" w:customStyle="1" w:styleId="UnresolvedMention7">
    <w:name w:val="Unresolved Mention7"/>
    <w:basedOn w:val="DefaultParagraphFont"/>
    <w:uiPriority w:val="99"/>
    <w:semiHidden/>
    <w:unhideWhenUsed/>
    <w:rsid w:val="002D7080"/>
    <w:rPr>
      <w:color w:val="605E5C"/>
      <w:shd w:val="clear" w:color="auto" w:fill="E1DFDD"/>
    </w:rPr>
  </w:style>
  <w:style w:type="character" w:customStyle="1" w:styleId="author">
    <w:name w:val="author"/>
    <w:basedOn w:val="DefaultParagraphFont"/>
    <w:rsid w:val="002D7080"/>
  </w:style>
  <w:style w:type="character" w:customStyle="1" w:styleId="articletitle">
    <w:name w:val="articletitle"/>
    <w:basedOn w:val="DefaultParagraphFont"/>
    <w:rsid w:val="002D7080"/>
  </w:style>
  <w:style w:type="character" w:customStyle="1" w:styleId="pubyear">
    <w:name w:val="pubyear"/>
    <w:basedOn w:val="DefaultParagraphFont"/>
    <w:rsid w:val="002D7080"/>
  </w:style>
  <w:style w:type="character" w:customStyle="1" w:styleId="vol">
    <w:name w:val="vol"/>
    <w:basedOn w:val="DefaultParagraphFont"/>
    <w:rsid w:val="002D7080"/>
  </w:style>
  <w:style w:type="character" w:customStyle="1" w:styleId="pagefirst">
    <w:name w:val="pagefirst"/>
    <w:basedOn w:val="DefaultParagraphFont"/>
    <w:rsid w:val="002D7080"/>
  </w:style>
  <w:style w:type="character" w:customStyle="1" w:styleId="pagelast">
    <w:name w:val="pagelast"/>
    <w:basedOn w:val="DefaultParagraphFont"/>
    <w:rsid w:val="002D7080"/>
  </w:style>
  <w:style w:type="character" w:customStyle="1" w:styleId="anchor-text">
    <w:name w:val="anchor-text"/>
    <w:basedOn w:val="DefaultParagraphFont"/>
    <w:rsid w:val="002D7080"/>
  </w:style>
  <w:style w:type="character" w:customStyle="1" w:styleId="authorname">
    <w:name w:val="authorname"/>
    <w:basedOn w:val="DefaultParagraphFont"/>
    <w:rsid w:val="002D7080"/>
  </w:style>
  <w:style w:type="character" w:customStyle="1" w:styleId="separator">
    <w:name w:val="separator"/>
    <w:basedOn w:val="DefaultParagraphFont"/>
    <w:rsid w:val="002D7080"/>
  </w:style>
  <w:style w:type="character" w:customStyle="1" w:styleId="Date1">
    <w:name w:val="Date1"/>
    <w:basedOn w:val="DefaultParagraphFont"/>
    <w:rsid w:val="002D7080"/>
  </w:style>
  <w:style w:type="character" w:customStyle="1" w:styleId="arttitle">
    <w:name w:val="art_title"/>
    <w:basedOn w:val="DefaultParagraphFont"/>
    <w:rsid w:val="002D7080"/>
  </w:style>
  <w:style w:type="character" w:customStyle="1" w:styleId="serialtitle">
    <w:name w:val="serial_title"/>
    <w:basedOn w:val="DefaultParagraphFont"/>
    <w:rsid w:val="002D7080"/>
  </w:style>
  <w:style w:type="character" w:customStyle="1" w:styleId="volumeissue">
    <w:name w:val="volume_issue"/>
    <w:basedOn w:val="DefaultParagraphFont"/>
    <w:rsid w:val="002D7080"/>
  </w:style>
  <w:style w:type="character" w:customStyle="1" w:styleId="pagerange">
    <w:name w:val="page_range"/>
    <w:basedOn w:val="DefaultParagraphFont"/>
    <w:rsid w:val="002D7080"/>
  </w:style>
  <w:style w:type="character" w:customStyle="1" w:styleId="doilink">
    <w:name w:val="doi_link"/>
    <w:basedOn w:val="DefaultParagraphFont"/>
    <w:rsid w:val="002D7080"/>
  </w:style>
  <w:style w:type="paragraph" w:styleId="BodyText">
    <w:name w:val="Body Text"/>
    <w:basedOn w:val="Normal"/>
    <w:link w:val="BodyTextChar"/>
    <w:uiPriority w:val="1"/>
    <w:qFormat/>
    <w:rsid w:val="002D7080"/>
    <w:pPr>
      <w:widowControl w:val="0"/>
      <w:autoSpaceDE w:val="0"/>
      <w:autoSpaceDN w:val="0"/>
      <w:spacing w:after="0" w:line="240" w:lineRule="auto"/>
    </w:pPr>
    <w:rPr>
      <w:rFonts w:ascii="Arial" w:eastAsia="Arial" w:hAnsi="Arial" w:cs="Arial"/>
      <w:i/>
      <w:sz w:val="24"/>
      <w:szCs w:val="24"/>
      <w:lang w:val="it-IT" w:eastAsia="it-IT" w:bidi="it-IT"/>
    </w:rPr>
  </w:style>
  <w:style w:type="character" w:customStyle="1" w:styleId="BodyTextChar">
    <w:name w:val="Body Text Char"/>
    <w:basedOn w:val="DefaultParagraphFont"/>
    <w:link w:val="BodyText"/>
    <w:uiPriority w:val="1"/>
    <w:rsid w:val="002D7080"/>
    <w:rPr>
      <w:rFonts w:ascii="Arial" w:eastAsia="Arial" w:hAnsi="Arial" w:cs="Arial"/>
      <w:i/>
      <w:sz w:val="24"/>
      <w:szCs w:val="24"/>
      <w:lang w:val="it-IT" w:eastAsia="it-IT" w:bidi="it-IT"/>
      <w14:ligatures w14:val="none"/>
    </w:rPr>
  </w:style>
  <w:style w:type="paragraph" w:styleId="HTMLPreformatted">
    <w:name w:val="HTML Preformatted"/>
    <w:basedOn w:val="Normal"/>
    <w:link w:val="HTMLPreformattedChar"/>
    <w:uiPriority w:val="99"/>
    <w:semiHidden/>
    <w:unhideWhenUsed/>
    <w:rsid w:val="002D7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ZA"/>
    </w:rPr>
  </w:style>
  <w:style w:type="character" w:customStyle="1" w:styleId="HTMLPreformattedChar">
    <w:name w:val="HTML Preformatted Char"/>
    <w:basedOn w:val="DefaultParagraphFont"/>
    <w:link w:val="HTMLPreformatted"/>
    <w:uiPriority w:val="99"/>
    <w:semiHidden/>
    <w:rsid w:val="002D7080"/>
    <w:rPr>
      <w:rFonts w:ascii="Courier New" w:eastAsia="Times New Roman" w:hAnsi="Courier New" w:cs="Courier New"/>
      <w:sz w:val="20"/>
      <w:szCs w:val="20"/>
      <w:lang w:val="en-ZA" w:eastAsia="en-ZA"/>
      <w14:ligatures w14:val="none"/>
    </w:rPr>
  </w:style>
  <w:style w:type="character" w:customStyle="1" w:styleId="UnresolvedMention8">
    <w:name w:val="Unresolved Mention8"/>
    <w:basedOn w:val="DefaultParagraphFont"/>
    <w:uiPriority w:val="99"/>
    <w:semiHidden/>
    <w:unhideWhenUsed/>
    <w:rsid w:val="002D7080"/>
    <w:rPr>
      <w:color w:val="605E5C"/>
      <w:shd w:val="clear" w:color="auto" w:fill="E1DFDD"/>
    </w:rPr>
  </w:style>
  <w:style w:type="character" w:customStyle="1" w:styleId="apple-converted-space">
    <w:name w:val="apple-converted-space"/>
    <w:basedOn w:val="DefaultParagraphFont"/>
    <w:rsid w:val="002D7080"/>
  </w:style>
  <w:style w:type="character" w:customStyle="1" w:styleId="cf11">
    <w:name w:val="cf11"/>
    <w:basedOn w:val="DefaultParagraphFont"/>
    <w:rsid w:val="002D7080"/>
    <w:rPr>
      <w:rFonts w:ascii="Segoe UI" w:hAnsi="Segoe UI" w:cs="Segoe UI" w:hint="default"/>
      <w:sz w:val="18"/>
      <w:szCs w:val="18"/>
    </w:rPr>
  </w:style>
  <w:style w:type="character" w:customStyle="1" w:styleId="cf21">
    <w:name w:val="cf21"/>
    <w:basedOn w:val="DefaultParagraphFont"/>
    <w:rsid w:val="002D7080"/>
    <w:rPr>
      <w:rFonts w:ascii="Segoe UI" w:hAnsi="Segoe UI" w:cs="Segoe UI" w:hint="default"/>
      <w:i/>
      <w:iCs/>
      <w:sz w:val="18"/>
      <w:szCs w:val="18"/>
    </w:rPr>
  </w:style>
  <w:style w:type="character" w:customStyle="1" w:styleId="ListParagraphChar">
    <w:name w:val="List Paragraph Char"/>
    <w:basedOn w:val="DefaultParagraphFont"/>
    <w:link w:val="ListParagraph"/>
    <w:uiPriority w:val="34"/>
    <w:rsid w:val="002D7080"/>
    <w:rPr>
      <w:lang w:val="en-ZA"/>
    </w:rPr>
  </w:style>
  <w:style w:type="character" w:customStyle="1" w:styleId="source">
    <w:name w:val="source"/>
    <w:basedOn w:val="DefaultParagraphFont"/>
    <w:rsid w:val="002D7080"/>
  </w:style>
  <w:style w:type="character" w:customStyle="1" w:styleId="volume">
    <w:name w:val="volume"/>
    <w:basedOn w:val="DefaultParagraphFont"/>
    <w:rsid w:val="002D7080"/>
  </w:style>
  <w:style w:type="character" w:customStyle="1" w:styleId="tn">
    <w:name w:val="tn"/>
    <w:basedOn w:val="DefaultParagraphFont"/>
    <w:rsid w:val="002D7080"/>
  </w:style>
  <w:style w:type="character" w:customStyle="1" w:styleId="genus">
    <w:name w:val="genus"/>
    <w:basedOn w:val="DefaultParagraphFont"/>
    <w:rsid w:val="002D7080"/>
  </w:style>
  <w:style w:type="character" w:customStyle="1" w:styleId="species">
    <w:name w:val="species"/>
    <w:basedOn w:val="DefaultParagraphFont"/>
    <w:rsid w:val="002D7080"/>
  </w:style>
  <w:style w:type="character" w:customStyle="1" w:styleId="order">
    <w:name w:val="order"/>
    <w:basedOn w:val="DefaultParagraphFont"/>
    <w:rsid w:val="002D7080"/>
  </w:style>
  <w:style w:type="character" w:customStyle="1" w:styleId="family">
    <w:name w:val="family"/>
    <w:basedOn w:val="DefaultParagraphFont"/>
    <w:rsid w:val="002D7080"/>
  </w:style>
  <w:style w:type="character" w:customStyle="1" w:styleId="UnresolvedMention9">
    <w:name w:val="Unresolved Mention9"/>
    <w:basedOn w:val="DefaultParagraphFont"/>
    <w:uiPriority w:val="99"/>
    <w:semiHidden/>
    <w:unhideWhenUsed/>
    <w:rsid w:val="002D7080"/>
    <w:rPr>
      <w:color w:val="605E5C"/>
      <w:shd w:val="clear" w:color="auto" w:fill="E1DFDD"/>
    </w:rPr>
  </w:style>
  <w:style w:type="character" w:styleId="UnresolvedMention">
    <w:name w:val="Unresolved Mention"/>
    <w:basedOn w:val="DefaultParagraphFont"/>
    <w:uiPriority w:val="99"/>
    <w:semiHidden/>
    <w:unhideWhenUsed/>
    <w:rsid w:val="001C1A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27460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
	<Relationship Id="rId117" Type="http://schemas.openxmlformats.org/officeDocument/2006/relationships/hyperlink" Target="http://?" TargetMode="External"/>
	<Relationship Id="rId671" Type="http://schemas.openxmlformats.org/officeDocument/2006/relationships/hyperlink" Target="http://?" TargetMode="External"/>
	<Relationship Id="rId21" Type="http://schemas.openxmlformats.org/officeDocument/2006/relationships/hyperlink" Target="http://?" TargetMode="External"/>
	<Relationship Id="rId324" Type="http://schemas.openxmlformats.org/officeDocument/2006/relationships/hyperlink" Target="http://?" TargetMode="External"/>
	<Relationship Id="rId531" Type="http://schemas.openxmlformats.org/officeDocument/2006/relationships/hyperlink" Target="http://?" TargetMode="External"/>
	<Relationship Id="rId629" Type="http://schemas.openxmlformats.org/officeDocument/2006/relationships/hyperlink" Target="http://?" TargetMode="External"/>
	<Relationship Id="rId170" Type="http://schemas.openxmlformats.org/officeDocument/2006/relationships/hyperlink" Target="http://?" TargetMode="External"/>
	<Relationship Id="rId268" Type="http://schemas.openxmlformats.org/officeDocument/2006/relationships/image" Target="media/image26.png"/>
	<Relationship Id="rId475" Type="http://schemas.openxmlformats.org/officeDocument/2006/relationships/hyperlink" Target="http://?" TargetMode="External"/>
	<Relationship Id="rId682" Type="http://schemas.openxmlformats.org/officeDocument/2006/relationships/hyperlink" Target="http://?" TargetMode="External"/>
	<Relationship Id="rId32" Type="http://schemas.openxmlformats.org/officeDocument/2006/relationships/hyperlink" Target="http://?" TargetMode="External"/>
	<Relationship Id="rId128" Type="http://schemas.openxmlformats.org/officeDocument/2006/relationships/hyperlink" Target="http://?" TargetMode="External"/>
	<Relationship Id="rId335" Type="http://schemas.openxmlformats.org/officeDocument/2006/relationships/hyperlink" Target="http://?" TargetMode="External"/>
	<Relationship Id="rId542" Type="http://schemas.openxmlformats.org/officeDocument/2006/relationships/hyperlink" Target="http://?" TargetMode="External"/>
	<Relationship Id="rId181" Type="http://schemas.openxmlformats.org/officeDocument/2006/relationships/image" Target="media/image20.png"/>
	<Relationship Id="rId402" Type="http://schemas.openxmlformats.org/officeDocument/2006/relationships/hyperlink" Target="http://?" TargetMode="External"/>
	<Relationship Id="rId279" Type="http://schemas.openxmlformats.org/officeDocument/2006/relationships/hyperlink" Target="http://?" TargetMode="External"/>
	<Relationship Id="rId486" Type="http://schemas.openxmlformats.org/officeDocument/2006/relationships/hyperlink" Target="http://?" TargetMode="External"/>
	<Relationship Id="rId693" Type="http://schemas.openxmlformats.org/officeDocument/2006/relationships/hyperlink" Target="http://?" TargetMode="External"/>
	<Relationship Id="rId707" Type="http://schemas.openxmlformats.org/officeDocument/2006/relationships/hyperlink" Target="http://?" TargetMode="External"/>
	<Relationship Id="rId43" Type="http://schemas.openxmlformats.org/officeDocument/2006/relationships/hyperlink" Target="http://?" TargetMode="External"/>
	<Relationship Id="rId139" Type="http://schemas.openxmlformats.org/officeDocument/2006/relationships/hyperlink" Target="http://?" TargetMode="External"/>
	<Relationship Id="rId346" Type="http://schemas.openxmlformats.org/officeDocument/2006/relationships/hyperlink" Target="http://?" TargetMode="External"/>
	<Relationship Id="rId553" Type="http://schemas.openxmlformats.org/officeDocument/2006/relationships/hyperlink" Target="http://?" TargetMode="External"/>
	<Relationship Id="rId192" Type="http://schemas.openxmlformats.org/officeDocument/2006/relationships/hyperlink" Target="http://?" TargetMode="External"/>
	<Relationship Id="rId206" Type="http://schemas.openxmlformats.org/officeDocument/2006/relationships/hyperlink" Target="http://?" TargetMode="External"/>
	<Relationship Id="rId413" Type="http://schemas.openxmlformats.org/officeDocument/2006/relationships/hyperlink" Target="http://?" TargetMode="External"/>
	<Relationship Id="rId497" Type="http://schemas.openxmlformats.org/officeDocument/2006/relationships/hyperlink" Target="http://?" TargetMode="External"/>
	<Relationship Id="rId620" Type="http://schemas.openxmlformats.org/officeDocument/2006/relationships/hyperlink" Target="http://?" TargetMode="External"/>
	<Relationship Id="rId357" Type="http://schemas.openxmlformats.org/officeDocument/2006/relationships/hyperlink" Target="http://?" TargetMode="External"/>
	<Relationship Id="rId54" Type="http://schemas.openxmlformats.org/officeDocument/2006/relationships/hyperlink" Target="http://?" TargetMode="External"/>
	<Relationship Id="rId217" Type="http://schemas.openxmlformats.org/officeDocument/2006/relationships/image" Target="media/image21.png"/>
	<Relationship Id="rId564" Type="http://schemas.openxmlformats.org/officeDocument/2006/relationships/hyperlink" Target="http://?" TargetMode="External"/>
	<Relationship Id="rId424" Type="http://schemas.openxmlformats.org/officeDocument/2006/relationships/hyperlink" Target="http://?" TargetMode="External"/>
	<Relationship Id="rId631" Type="http://schemas.openxmlformats.org/officeDocument/2006/relationships/hyperlink" Target="http://?" TargetMode="External"/>
	<Relationship Id="rId270" Type="http://schemas.openxmlformats.org/officeDocument/2006/relationships/hyperlink" Target="http://?" TargetMode="External"/>
	<Relationship Id="rId65" Type="http://schemas.openxmlformats.org/officeDocument/2006/relationships/hyperlink" Target="http://?" TargetMode="External"/>
	<Relationship Id="rId130" Type="http://schemas.openxmlformats.org/officeDocument/2006/relationships/hyperlink" Target="http://?" TargetMode="External"/>
	<Relationship Id="rId368" Type="http://schemas.openxmlformats.org/officeDocument/2006/relationships/hyperlink" Target="http://?" TargetMode="External"/>
	<Relationship Id="rId575" Type="http://schemas.openxmlformats.org/officeDocument/2006/relationships/hyperlink" Target="http://?" TargetMode="External"/>
	<Relationship Id="rId228" Type="http://schemas.openxmlformats.org/officeDocument/2006/relationships/hyperlink" Target="http://?" TargetMode="External"/>
	<Relationship Id="rId435" Type="http://schemas.openxmlformats.org/officeDocument/2006/relationships/hyperlink" Target="http://?" TargetMode="External"/>
	<Relationship Id="rId642" Type="http://schemas.openxmlformats.org/officeDocument/2006/relationships/hyperlink" Target="http://?" TargetMode="External"/>
	<Relationship Id="rId281" Type="http://schemas.openxmlformats.org/officeDocument/2006/relationships/hyperlink" Target="http://?" TargetMode="External"/>
	<Relationship Id="rId502" Type="http://schemas.openxmlformats.org/officeDocument/2006/relationships/hyperlink" Target="http://?" TargetMode="External"/>
	<Relationship Id="rId76" Type="http://schemas.openxmlformats.org/officeDocument/2006/relationships/hyperlink" Target="http://?" TargetMode="External"/>
	<Relationship Id="rId141" Type="http://schemas.openxmlformats.org/officeDocument/2006/relationships/hyperlink" Target="http://?" TargetMode="External"/>
	<Relationship Id="rId379" Type="http://schemas.openxmlformats.org/officeDocument/2006/relationships/hyperlink" Target="http://?" TargetMode="External"/>
	<Relationship Id="rId586" Type="http://schemas.openxmlformats.org/officeDocument/2006/relationships/hyperlink" Target="http://?" TargetMode="External"/>
	<Relationship Id="rId7" Type="http://schemas.openxmlformats.org/officeDocument/2006/relationships/endnotes" Target="endnotes.xml"/>
	<Relationship Id="rId239" Type="http://schemas.openxmlformats.org/officeDocument/2006/relationships/hyperlink" Target="http://?" TargetMode="External"/>
	<Relationship Id="rId446" Type="http://schemas.openxmlformats.org/officeDocument/2006/relationships/image" Target="media/image38.png"/>
	<Relationship Id="rId653" Type="http://schemas.openxmlformats.org/officeDocument/2006/relationships/hyperlink" Target="http://?" TargetMode="External"/>
	<Relationship Id="rId292" Type="http://schemas.openxmlformats.org/officeDocument/2006/relationships/hyperlink" Target="http://?" TargetMode="External"/>
	<Relationship Id="rId306" Type="http://schemas.openxmlformats.org/officeDocument/2006/relationships/hyperlink" Target="http://?" TargetMode="External"/>
	<Relationship Id="rId87" Type="http://schemas.openxmlformats.org/officeDocument/2006/relationships/hyperlink" Target="http://?" TargetMode="External"/>
	<Relationship Id="rId513" Type="http://schemas.openxmlformats.org/officeDocument/2006/relationships/image" Target="media/image46.png"/>
	<Relationship Id="rId597" Type="http://schemas.openxmlformats.org/officeDocument/2006/relationships/hyperlink" Target="http://?" TargetMode="External"/>
	<Relationship Id="rId152" Type="http://schemas.openxmlformats.org/officeDocument/2006/relationships/hyperlink" Target="http://?" TargetMode="External"/>
	<Relationship Id="rId457" Type="http://schemas.openxmlformats.org/officeDocument/2006/relationships/hyperlink" Target="http://?" TargetMode="External"/>
	<Relationship Id="rId664" Type="http://schemas.openxmlformats.org/officeDocument/2006/relationships/hyperlink" Target="http://?" TargetMode="External"/>
	<Relationship Id="rId14" Type="http://schemas.openxmlformats.org/officeDocument/2006/relationships/hyperlink" Target="http://?" TargetMode="External"/>
	<Relationship Id="rId317" Type="http://schemas.openxmlformats.org/officeDocument/2006/relationships/hyperlink" Target="http://?" TargetMode="External"/>
	<Relationship Id="rId524" Type="http://schemas.openxmlformats.org/officeDocument/2006/relationships/hyperlink" Target="http://?" TargetMode="External"/>
	<Relationship Id="rId98" Type="http://schemas.openxmlformats.org/officeDocument/2006/relationships/hyperlink" Target="http://?" TargetMode="External"/>
	<Relationship Id="rId163" Type="http://schemas.openxmlformats.org/officeDocument/2006/relationships/hyperlink" Target="http://?" TargetMode="External"/>
	<Relationship Id="rId370" Type="http://schemas.openxmlformats.org/officeDocument/2006/relationships/hyperlink" Target="http://?" TargetMode="External"/>
	<Relationship Id="rId230" Type="http://schemas.openxmlformats.org/officeDocument/2006/relationships/hyperlink" Target="http://?" TargetMode="External"/>
	<Relationship Id="rId468" Type="http://schemas.openxmlformats.org/officeDocument/2006/relationships/hyperlink" Target="http://?" TargetMode="External"/>
	<Relationship Id="rId675" Type="http://schemas.openxmlformats.org/officeDocument/2006/relationships/hyperlink" Target="http://?" TargetMode="External"/>
	<Relationship Id="rId25" Type="http://schemas.openxmlformats.org/officeDocument/2006/relationships/hyperlink" Target="http://?" TargetMode="External"/>
	<Relationship Id="rId328" Type="http://schemas.openxmlformats.org/officeDocument/2006/relationships/hyperlink" Target="http://?" TargetMode="External"/>
	<Relationship Id="rId535" Type="http://schemas.openxmlformats.org/officeDocument/2006/relationships/hyperlink" Target="http://?" TargetMode="External"/>
	<Relationship Id="rId174" Type="http://schemas.openxmlformats.org/officeDocument/2006/relationships/hyperlink" Target="http://?" TargetMode="External"/>
	<Relationship Id="rId381" Type="http://schemas.openxmlformats.org/officeDocument/2006/relationships/hyperlink" Target="http://?" TargetMode="External"/>
	<Relationship Id="rId602" Type="http://schemas.openxmlformats.org/officeDocument/2006/relationships/hyperlink" Target="http://?" TargetMode="External"/>
	<Relationship Id="rId241" Type="http://schemas.openxmlformats.org/officeDocument/2006/relationships/hyperlink" Target="http://?" TargetMode="External"/>
	<Relationship Id="rId479" Type="http://schemas.openxmlformats.org/officeDocument/2006/relationships/image" Target="media/image41.png"/>
	<Relationship Id="rId686" Type="http://schemas.openxmlformats.org/officeDocument/2006/relationships/hyperlink" Target="http://?" TargetMode="External"/>
	<Relationship Id="rId36" Type="http://schemas.openxmlformats.org/officeDocument/2006/relationships/hyperlink" Target="http://?" TargetMode="External"/>
	<Relationship Id="rId339" Type="http://schemas.openxmlformats.org/officeDocument/2006/relationships/hyperlink" Target="http://?" TargetMode="External"/>
	<Relationship Id="rId546" Type="http://schemas.openxmlformats.org/officeDocument/2006/relationships/hyperlink" Target="http://?" TargetMode="External"/>
	<Relationship Id="rId101" Type="http://schemas.openxmlformats.org/officeDocument/2006/relationships/hyperlink" Target="http://?" TargetMode="External"/>
	<Relationship Id="rId185" Type="http://schemas.openxmlformats.org/officeDocument/2006/relationships/hyperlink" Target="http://?" TargetMode="External"/>
	<Relationship Id="rId406" Type="http://schemas.openxmlformats.org/officeDocument/2006/relationships/hyperlink" Target="http://?" TargetMode="External"/>
	<Relationship Id="rId392" Type="http://schemas.openxmlformats.org/officeDocument/2006/relationships/hyperlink" Target="http://?" TargetMode="External"/>
	<Relationship Id="rId613" Type="http://schemas.openxmlformats.org/officeDocument/2006/relationships/image" Target="media/image51.png"/>
	<Relationship Id="rId697" Type="http://schemas.openxmlformats.org/officeDocument/2006/relationships/hyperlink" Target="http://?" TargetMode="External"/>
	<Relationship Id="rId252" Type="http://schemas.openxmlformats.org/officeDocument/2006/relationships/hyperlink" Target="http://?" TargetMode="External"/>
	<Relationship Id="rId47" Type="http://schemas.openxmlformats.org/officeDocument/2006/relationships/hyperlink" Target="http://?" TargetMode="External"/>
	<Relationship Id="rId112" Type="http://schemas.openxmlformats.org/officeDocument/2006/relationships/image" Target="media/image9.png"/>
	<Relationship Id="rId557" Type="http://schemas.openxmlformats.org/officeDocument/2006/relationships/hyperlink" Target="http://?" TargetMode="External"/>
	<Relationship Id="rId196" Type="http://schemas.openxmlformats.org/officeDocument/2006/relationships/hyperlink" Target="http://?" TargetMode="External"/>
	<Relationship Id="rId417" Type="http://schemas.openxmlformats.org/officeDocument/2006/relationships/hyperlink" Target="http://?" TargetMode="External"/>
	<Relationship Id="rId624" Type="http://schemas.openxmlformats.org/officeDocument/2006/relationships/hyperlink" Target="http://?" TargetMode="External"/>
	<Relationship Id="rId263" Type="http://schemas.openxmlformats.org/officeDocument/2006/relationships/hyperlink" Target="http://?" TargetMode="External"/>
	<Relationship Id="rId470" Type="http://schemas.openxmlformats.org/officeDocument/2006/relationships/hyperlink" Target="http://?" TargetMode="External"/>
	<Relationship Id="rId58" Type="http://schemas.openxmlformats.org/officeDocument/2006/relationships/image" Target="media/image3.png"/>
	<Relationship Id="rId123" Type="http://schemas.openxmlformats.org/officeDocument/2006/relationships/hyperlink" Target="http://?" TargetMode="External"/>
	<Relationship Id="rId330" Type="http://schemas.openxmlformats.org/officeDocument/2006/relationships/hyperlink" Target="http://?" TargetMode="External"/>
	<Relationship Id="rId568" Type="http://schemas.openxmlformats.org/officeDocument/2006/relationships/hyperlink" Target="http://?" TargetMode="External"/>
	<Relationship Id="rId428" Type="http://schemas.openxmlformats.org/officeDocument/2006/relationships/hyperlink" Target="http://?" TargetMode="External"/>
	<Relationship Id="rId635" Type="http://schemas.openxmlformats.org/officeDocument/2006/relationships/hyperlink" Target="http://?" TargetMode="External"/>
	<Relationship Id="rId274" Type="http://schemas.openxmlformats.org/officeDocument/2006/relationships/hyperlink" Target="http://?" TargetMode="External"/>
	<Relationship Id="rId481" Type="http://schemas.openxmlformats.org/officeDocument/2006/relationships/image" Target="media/image43.png"/>
	<Relationship Id="rId702" Type="http://schemas.openxmlformats.org/officeDocument/2006/relationships/hyperlink" Target="http://?" TargetMode="External"/>
	<Relationship Id="rId69" Type="http://schemas.openxmlformats.org/officeDocument/2006/relationships/hyperlink" Target="http://?" TargetMode="External"/>
	<Relationship Id="rId134" Type="http://schemas.openxmlformats.org/officeDocument/2006/relationships/hyperlink" Target="http://?" TargetMode="External"/>
	<Relationship Id="rId579" Type="http://schemas.openxmlformats.org/officeDocument/2006/relationships/hyperlink" Target="http://?" TargetMode="External"/>
	<Relationship Id="rId341" Type="http://schemas.openxmlformats.org/officeDocument/2006/relationships/hyperlink" Target="http://?" TargetMode="External"/>
	<Relationship Id="rId439" Type="http://schemas.openxmlformats.org/officeDocument/2006/relationships/hyperlink" Target="http://?" TargetMode="External"/>
	<Relationship Id="rId646" Type="http://schemas.openxmlformats.org/officeDocument/2006/relationships/hyperlink" Target="http://?" TargetMode="External"/>
	<Relationship Id="rId201" Type="http://schemas.openxmlformats.org/officeDocument/2006/relationships/hyperlink" Target="http://?" TargetMode="External"/>
	<Relationship Id="rId285" Type="http://schemas.openxmlformats.org/officeDocument/2006/relationships/hyperlink" Target="http://?" TargetMode="External"/>
	<Relationship Id="rId506" Type="http://schemas.openxmlformats.org/officeDocument/2006/relationships/hyperlink" Target="http://?" TargetMode="External"/>
	<Relationship Id="rId492" Type="http://schemas.openxmlformats.org/officeDocument/2006/relationships/hyperlink" Target="http://?" TargetMode="External"/>
	<Relationship Id="rId713" Type="http://schemas.openxmlformats.org/officeDocument/2006/relationships/footer" Target="footer2.xml"/>
	<Relationship Id="rId145" Type="http://schemas.openxmlformats.org/officeDocument/2006/relationships/hyperlink" Target="http://?" TargetMode="External"/>
	<Relationship Id="rId352" Type="http://schemas.openxmlformats.org/officeDocument/2006/relationships/hyperlink" Target="http://?" TargetMode="External"/>
	<Relationship Id="rId212" Type="http://schemas.openxmlformats.org/officeDocument/2006/relationships/hyperlink" Target="http://?" TargetMode="External"/>
	<Relationship Id="rId657" Type="http://schemas.openxmlformats.org/officeDocument/2006/relationships/hyperlink" Target="http://?" TargetMode="External"/>
	<Relationship Id="rId296" Type="http://schemas.openxmlformats.org/officeDocument/2006/relationships/hyperlink" Target="http://?" TargetMode="External"/>
	<Relationship Id="rId517" Type="http://schemas.openxmlformats.org/officeDocument/2006/relationships/hyperlink" Target="http://?" TargetMode="External"/>
	<Relationship Id="rId60" Type="http://schemas.openxmlformats.org/officeDocument/2006/relationships/image" Target="media/image5.png"/>
	<Relationship Id="rId156" Type="http://schemas.openxmlformats.org/officeDocument/2006/relationships/hyperlink" Target="http://?" TargetMode="External"/>
	<Relationship Id="rId363" Type="http://schemas.openxmlformats.org/officeDocument/2006/relationships/hyperlink" Target="http://?" TargetMode="External"/>
	<Relationship Id="rId570" Type="http://schemas.openxmlformats.org/officeDocument/2006/relationships/hyperlink" Target="http://?" TargetMode="External"/>
	<Relationship Id="rId223" Type="http://schemas.openxmlformats.org/officeDocument/2006/relationships/hyperlink" Target="http://?" TargetMode="External"/>
	<Relationship Id="rId430" Type="http://schemas.openxmlformats.org/officeDocument/2006/relationships/hyperlink" Target="http://?" TargetMode="External"/>
	<Relationship Id="rId668" Type="http://schemas.openxmlformats.org/officeDocument/2006/relationships/hyperlink" Target="http://?" TargetMode="External"/>
	<Relationship Id="rId18" Type="http://schemas.openxmlformats.org/officeDocument/2006/relationships/hyperlink" Target="http://?" TargetMode="External"/>
	<Relationship Id="rId528" Type="http://schemas.openxmlformats.org/officeDocument/2006/relationships/hyperlink" Target="http://?" TargetMode="External"/>
	<Relationship Id="rId167" Type="http://schemas.openxmlformats.org/officeDocument/2006/relationships/hyperlink" Target="http://?" TargetMode="External"/>
	<Relationship Id="rId374" Type="http://schemas.openxmlformats.org/officeDocument/2006/relationships/hyperlink" Target="http://?" TargetMode="External"/>
	<Relationship Id="rId581" Type="http://schemas.openxmlformats.org/officeDocument/2006/relationships/hyperlink" Target="http://?" TargetMode="External"/>
	<Relationship Id="rId71" Type="http://schemas.openxmlformats.org/officeDocument/2006/relationships/hyperlink" Target="http://?" TargetMode="External"/>
	<Relationship Id="rId234" Type="http://schemas.openxmlformats.org/officeDocument/2006/relationships/hyperlink" Target="http://?" TargetMode="External"/>
	<Relationship Id="rId679" Type="http://schemas.openxmlformats.org/officeDocument/2006/relationships/hyperlink" Target="http://?" TargetMode="External"/>
	<Relationship Id="rId2" Type="http://schemas.openxmlformats.org/officeDocument/2006/relationships/numbering" Target="numbering.xml"/>
	<Relationship Id="rId29" Type="http://schemas.openxmlformats.org/officeDocument/2006/relationships/hyperlink" Target="http://?" TargetMode="External"/>
	<Relationship Id="rId276" Type="http://schemas.openxmlformats.org/officeDocument/2006/relationships/hyperlink" Target="http://?" TargetMode="External"/>
	<Relationship Id="rId441" Type="http://schemas.openxmlformats.org/officeDocument/2006/relationships/hyperlink" Target="http://?" TargetMode="External"/>
	<Relationship Id="rId483" Type="http://schemas.openxmlformats.org/officeDocument/2006/relationships/hyperlink" Target="http://?" TargetMode="External"/>
	<Relationship Id="rId539" Type="http://schemas.openxmlformats.org/officeDocument/2006/relationships/hyperlink" Target="http://?" TargetMode="External"/>
	<Relationship Id="rId690" Type="http://schemas.openxmlformats.org/officeDocument/2006/relationships/hyperlink" Target="http://?" TargetMode="External"/>
	<Relationship Id="rId704" Type="http://schemas.openxmlformats.org/officeDocument/2006/relationships/hyperlink" Target="http://?" TargetMode="External"/>
	<Relationship Id="rId40" Type="http://schemas.openxmlformats.org/officeDocument/2006/relationships/hyperlink" Target="http://?" TargetMode="External"/>
	<Relationship Id="rId136" Type="http://schemas.openxmlformats.org/officeDocument/2006/relationships/hyperlink" Target="http://?" TargetMode="External"/>
	<Relationship Id="rId178" Type="http://schemas.openxmlformats.org/officeDocument/2006/relationships/image" Target="media/image17.png"/>
	<Relationship Id="rId301" Type="http://schemas.openxmlformats.org/officeDocument/2006/relationships/hyperlink" Target="http://?" TargetMode="External"/>
	<Relationship Id="rId343" Type="http://schemas.openxmlformats.org/officeDocument/2006/relationships/hyperlink" Target="http://?" TargetMode="External"/>
	<Relationship Id="rId550" Type="http://schemas.openxmlformats.org/officeDocument/2006/relationships/hyperlink" Target="http://?" TargetMode="External"/>
	<Relationship Id="rId82" Type="http://schemas.openxmlformats.org/officeDocument/2006/relationships/hyperlink" Target="http://?" TargetMode="External"/>
	<Relationship Id="rId203" Type="http://schemas.openxmlformats.org/officeDocument/2006/relationships/hyperlink" Target="http://?" TargetMode="External"/>
	<Relationship Id="rId385" Type="http://schemas.openxmlformats.org/officeDocument/2006/relationships/hyperlink" Target="http://?" TargetMode="External"/>
	<Relationship Id="rId592" Type="http://schemas.openxmlformats.org/officeDocument/2006/relationships/hyperlink" Target="http://?" TargetMode="External"/>
	<Relationship Id="rId606" Type="http://schemas.openxmlformats.org/officeDocument/2006/relationships/image" Target="media/image47.png"/>
	<Relationship Id="rId648" Type="http://schemas.openxmlformats.org/officeDocument/2006/relationships/hyperlink" Target="http://?" TargetMode="External"/>
	<Relationship Id="rId245" Type="http://schemas.openxmlformats.org/officeDocument/2006/relationships/hyperlink" Target="http://?" TargetMode="External"/>
	<Relationship Id="rId287" Type="http://schemas.openxmlformats.org/officeDocument/2006/relationships/hyperlink" Target="http://?" TargetMode="External"/>
	<Relationship Id="rId410" Type="http://schemas.openxmlformats.org/officeDocument/2006/relationships/hyperlink" Target="http://?" TargetMode="External"/>
	<Relationship Id="rId452" Type="http://schemas.openxmlformats.org/officeDocument/2006/relationships/hyperlink" Target="http://?" TargetMode="External"/>
	<Relationship Id="rId494" Type="http://schemas.openxmlformats.org/officeDocument/2006/relationships/hyperlink" Target="http://?" TargetMode="External"/>
	<Relationship Id="rId508" Type="http://schemas.openxmlformats.org/officeDocument/2006/relationships/hyperlink" Target="http://?" TargetMode="External"/>
	<Relationship Id="rId715" Type="http://schemas.openxmlformats.org/officeDocument/2006/relationships/theme" Target="theme/theme1.xml"/>
	<Relationship Id="rId105" Type="http://schemas.openxmlformats.org/officeDocument/2006/relationships/hyperlink" Target="http://?" TargetMode="External"/>
	<Relationship Id="rId147" Type="http://schemas.openxmlformats.org/officeDocument/2006/relationships/image" Target="media/image12.png"/>
	<Relationship Id="rId312" Type="http://schemas.openxmlformats.org/officeDocument/2006/relationships/hyperlink" Target="http://?" TargetMode="External"/>
	<Relationship Id="rId354" Type="http://schemas.openxmlformats.org/officeDocument/2006/relationships/hyperlink" Target="http://?" TargetMode="External"/>
	<Relationship Id="rId51" Type="http://schemas.openxmlformats.org/officeDocument/2006/relationships/hyperlink" Target="http://?" TargetMode="External"/>
	<Relationship Id="rId93" Type="http://schemas.openxmlformats.org/officeDocument/2006/relationships/hyperlink" Target="http://?" TargetMode="External"/>
	<Relationship Id="rId189" Type="http://schemas.openxmlformats.org/officeDocument/2006/relationships/hyperlink" Target="http://?" TargetMode="External"/>
	<Relationship Id="rId396" Type="http://schemas.openxmlformats.org/officeDocument/2006/relationships/hyperlink" Target="http://?" TargetMode="External"/>
	<Relationship Id="rId561" Type="http://schemas.openxmlformats.org/officeDocument/2006/relationships/hyperlink" Target="http://?" TargetMode="External"/>
	<Relationship Id="rId617" Type="http://schemas.openxmlformats.org/officeDocument/2006/relationships/hyperlink" Target="http://?" TargetMode="External"/>
	<Relationship Id="rId659" Type="http://schemas.openxmlformats.org/officeDocument/2006/relationships/hyperlink" Target="http://?" TargetMode="External"/>
	<Relationship Id="rId214" Type="http://schemas.openxmlformats.org/officeDocument/2006/relationships/hyperlink" Target="http://?" TargetMode="External"/>
	<Relationship Id="rId256" Type="http://schemas.openxmlformats.org/officeDocument/2006/relationships/hyperlink" Target="http://?" TargetMode="External"/>
	<Relationship Id="rId298" Type="http://schemas.openxmlformats.org/officeDocument/2006/relationships/hyperlink" Target="http://?" TargetMode="External"/>
	<Relationship Id="rId421" Type="http://schemas.openxmlformats.org/officeDocument/2006/relationships/image" Target="media/image36.png"/>
	<Relationship Id="rId463" Type="http://schemas.openxmlformats.org/officeDocument/2006/relationships/hyperlink" Target="http://?" TargetMode="External"/>
	<Relationship Id="rId519" Type="http://schemas.openxmlformats.org/officeDocument/2006/relationships/hyperlink" Target="http://?" TargetMode="External"/>
	<Relationship Id="rId670" Type="http://schemas.openxmlformats.org/officeDocument/2006/relationships/hyperlink" Target="http://?" TargetMode="External"/>
	<Relationship Id="rId116" Type="http://schemas.openxmlformats.org/officeDocument/2006/relationships/hyperlink" Target="http://?" TargetMode="External"/>
	<Relationship Id="rId158" Type="http://schemas.openxmlformats.org/officeDocument/2006/relationships/hyperlink" Target="http://?" TargetMode="External"/>
	<Relationship Id="rId323" Type="http://schemas.openxmlformats.org/officeDocument/2006/relationships/hyperlink" Target="http://?" TargetMode="External"/>
	<Relationship Id="rId530" Type="http://schemas.openxmlformats.org/officeDocument/2006/relationships/hyperlink" Target="http://?" TargetMode="External"/>
	<Relationship Id="rId20" Type="http://schemas.openxmlformats.org/officeDocument/2006/relationships/hyperlink" Target="http://?" TargetMode="External"/>
	<Relationship Id="rId62" Type="http://schemas.openxmlformats.org/officeDocument/2006/relationships/hyperlink" Target="http://?" TargetMode="External"/>
	<Relationship Id="rId365" Type="http://schemas.openxmlformats.org/officeDocument/2006/relationships/image" Target="media/image31.png"/>
	<Relationship Id="rId572" Type="http://schemas.openxmlformats.org/officeDocument/2006/relationships/hyperlink" Target="http://?" TargetMode="External"/>
	<Relationship Id="rId628" Type="http://schemas.openxmlformats.org/officeDocument/2006/relationships/hyperlink" Target="http://?" TargetMode="External"/>
	<Relationship Id="rId225" Type="http://schemas.openxmlformats.org/officeDocument/2006/relationships/hyperlink" Target="http://?" TargetMode="External"/>
	<Relationship Id="rId267" Type="http://schemas.openxmlformats.org/officeDocument/2006/relationships/image" Target="media/image25.png"/>
	<Relationship Id="rId432" Type="http://schemas.openxmlformats.org/officeDocument/2006/relationships/hyperlink" Target="http://?" TargetMode="External"/>
	<Relationship Id="rId474" Type="http://schemas.openxmlformats.org/officeDocument/2006/relationships/hyperlink" Target="http://?" TargetMode="External"/>
	<Relationship Id="rId127" Type="http://schemas.openxmlformats.org/officeDocument/2006/relationships/hyperlink" Target="http://?" TargetMode="External"/>
	<Relationship Id="rId681" Type="http://schemas.openxmlformats.org/officeDocument/2006/relationships/hyperlink" Target="http://?" TargetMode="External"/>
	<Relationship Id="rId31" Type="http://schemas.openxmlformats.org/officeDocument/2006/relationships/hyperlink" Target="http://?" TargetMode="External"/>
	<Relationship Id="rId73" Type="http://schemas.openxmlformats.org/officeDocument/2006/relationships/hyperlink" Target="http://?" TargetMode="External"/>
	<Relationship Id="rId169" Type="http://schemas.openxmlformats.org/officeDocument/2006/relationships/hyperlink" Target="http://?" TargetMode="External"/>
	<Relationship Id="rId334" Type="http://schemas.openxmlformats.org/officeDocument/2006/relationships/hyperlink" Target="http://?" TargetMode="External"/>
	<Relationship Id="rId376" Type="http://schemas.openxmlformats.org/officeDocument/2006/relationships/hyperlink" Target="http://?" TargetMode="External"/>
	<Relationship Id="rId541" Type="http://schemas.openxmlformats.org/officeDocument/2006/relationships/hyperlink" Target="http://?" TargetMode="External"/>
	<Relationship Id="rId583" Type="http://schemas.openxmlformats.org/officeDocument/2006/relationships/hyperlink" Target="http://?" TargetMode="External"/>
	<Relationship Id="rId639" Type="http://schemas.openxmlformats.org/officeDocument/2006/relationships/hyperlink" Target="http://?" TargetMode="External"/>
	<Relationship Id="rId4" Type="http://schemas.openxmlformats.org/officeDocument/2006/relationships/settings" Target="settings.xml"/>
	<Relationship Id="rId180" Type="http://schemas.openxmlformats.org/officeDocument/2006/relationships/image" Target="media/image19.png"/>
	<Relationship Id="rId236" Type="http://schemas.openxmlformats.org/officeDocument/2006/relationships/hyperlink" Target="http://?" TargetMode="External"/>
	<Relationship Id="rId278" Type="http://schemas.openxmlformats.org/officeDocument/2006/relationships/hyperlink" Target="http://?" TargetMode="External"/>
	<Relationship Id="rId401" Type="http://schemas.openxmlformats.org/officeDocument/2006/relationships/hyperlink" Target="http://?" TargetMode="External"/>
	<Relationship Id="rId443" Type="http://schemas.openxmlformats.org/officeDocument/2006/relationships/hyperlink" Target="http://?" TargetMode="External"/>
	<Relationship Id="rId650" Type="http://schemas.openxmlformats.org/officeDocument/2006/relationships/hyperlink" Target="http://?" TargetMode="External"/>
	<Relationship Id="rId303" Type="http://schemas.openxmlformats.org/officeDocument/2006/relationships/hyperlink" Target="http://?" TargetMode="External"/>
	<Relationship Id="rId485" Type="http://schemas.openxmlformats.org/officeDocument/2006/relationships/hyperlink" Target="http://?" TargetMode="External"/>
	<Relationship Id="rId692" Type="http://schemas.openxmlformats.org/officeDocument/2006/relationships/hyperlink" Target="http://?" TargetMode="External"/>
	<Relationship Id="rId706" Type="http://schemas.openxmlformats.org/officeDocument/2006/relationships/hyperlink" Target="http://?" TargetMode="External"/>
	<Relationship Id="rId42" Type="http://schemas.openxmlformats.org/officeDocument/2006/relationships/hyperlink" Target="http://?" TargetMode="External"/>
	<Relationship Id="rId84" Type="http://schemas.openxmlformats.org/officeDocument/2006/relationships/hyperlink" Target="http://?" TargetMode="External"/>
	<Relationship Id="rId138" Type="http://schemas.openxmlformats.org/officeDocument/2006/relationships/hyperlink" Target="http://?" TargetMode="External"/>
	<Relationship Id="rId345" Type="http://schemas.openxmlformats.org/officeDocument/2006/relationships/hyperlink" Target="http://?" TargetMode="External"/>
	<Relationship Id="rId387" Type="http://schemas.openxmlformats.org/officeDocument/2006/relationships/hyperlink" Target="http://?" TargetMode="External"/>
	<Relationship Id="rId510" Type="http://schemas.openxmlformats.org/officeDocument/2006/relationships/hyperlink" Target="http://?" TargetMode="External"/>
	<Relationship Id="rId552" Type="http://schemas.openxmlformats.org/officeDocument/2006/relationships/hyperlink" Target="http://?" TargetMode="External"/>
	<Relationship Id="rId594" Type="http://schemas.openxmlformats.org/officeDocument/2006/relationships/hyperlink" Target="http://?" TargetMode="External"/>
	<Relationship Id="rId608" Type="http://schemas.openxmlformats.org/officeDocument/2006/relationships/image" Target="media/image49.png"/>
	<Relationship Id="rId191" Type="http://schemas.openxmlformats.org/officeDocument/2006/relationships/hyperlink" Target="http://?" TargetMode="External"/>
	<Relationship Id="rId205" Type="http://schemas.openxmlformats.org/officeDocument/2006/relationships/hyperlink" Target="http://?" TargetMode="External"/>
	<Relationship Id="rId247" Type="http://schemas.openxmlformats.org/officeDocument/2006/relationships/hyperlink" Target="http://?" TargetMode="External"/>
	<Relationship Id="rId412" Type="http://schemas.openxmlformats.org/officeDocument/2006/relationships/hyperlink" Target="http://?" TargetMode="External"/>
	<Relationship Id="rId107" Type="http://schemas.openxmlformats.org/officeDocument/2006/relationships/hyperlink" Target="http://?" TargetMode="External"/>
	<Relationship Id="rId289" Type="http://schemas.openxmlformats.org/officeDocument/2006/relationships/hyperlink" Target="http://?" TargetMode="External"/>
	<Relationship Id="rId454" Type="http://schemas.openxmlformats.org/officeDocument/2006/relationships/hyperlink" Target="http://?" TargetMode="External"/>
	<Relationship Id="rId496" Type="http://schemas.openxmlformats.org/officeDocument/2006/relationships/hyperlink" Target="http://?" TargetMode="External"/>
	<Relationship Id="rId661" Type="http://schemas.openxmlformats.org/officeDocument/2006/relationships/hyperlink" Target="http://?" TargetMode="External"/>
	<Relationship Id="rId11" Type="http://schemas.openxmlformats.org/officeDocument/2006/relationships/hyperlink" Target="http://?" TargetMode="External"/>
	<Relationship Id="rId53" Type="http://schemas.openxmlformats.org/officeDocument/2006/relationships/hyperlink" Target="http://?" TargetMode="External"/>
	<Relationship Id="rId149" Type="http://schemas.openxmlformats.org/officeDocument/2006/relationships/image" Target="media/image14.png"/>
	<Relationship Id="rId314" Type="http://schemas.openxmlformats.org/officeDocument/2006/relationships/hyperlink" Target="http://?" TargetMode="External"/>
	<Relationship Id="rId356" Type="http://schemas.openxmlformats.org/officeDocument/2006/relationships/hyperlink" Target="http://?" TargetMode="External"/>
	<Relationship Id="rId398" Type="http://schemas.openxmlformats.org/officeDocument/2006/relationships/hyperlink" Target="http://?" TargetMode="External"/>
	<Relationship Id="rId521" Type="http://schemas.openxmlformats.org/officeDocument/2006/relationships/hyperlink" Target="http://?" TargetMode="External"/>
	<Relationship Id="rId563" Type="http://schemas.openxmlformats.org/officeDocument/2006/relationships/hyperlink" Target="http://?" TargetMode="External"/>
	<Relationship Id="rId619" Type="http://schemas.openxmlformats.org/officeDocument/2006/relationships/hyperlink" Target="http://?" TargetMode="External"/>
	<Relationship Id="rId95" Type="http://schemas.openxmlformats.org/officeDocument/2006/relationships/hyperlink" Target="http://?" TargetMode="External"/>
	<Relationship Id="rId160" Type="http://schemas.openxmlformats.org/officeDocument/2006/relationships/hyperlink" Target="http://?" TargetMode="External"/>
	<Relationship Id="rId216" Type="http://schemas.openxmlformats.org/officeDocument/2006/relationships/hyperlink" Target="http://?" TargetMode="External"/>
	<Relationship Id="rId423" Type="http://schemas.openxmlformats.org/officeDocument/2006/relationships/hyperlink" Target="http://?" TargetMode="External"/>
	<Relationship Id="rId258" Type="http://schemas.openxmlformats.org/officeDocument/2006/relationships/hyperlink" Target="http://?" TargetMode="External"/>
	<Relationship Id="rId465" Type="http://schemas.openxmlformats.org/officeDocument/2006/relationships/hyperlink" Target="http://?" TargetMode="External"/>
	<Relationship Id="rId630" Type="http://schemas.openxmlformats.org/officeDocument/2006/relationships/hyperlink" Target="http://?" TargetMode="External"/>
	<Relationship Id="rId672" Type="http://schemas.openxmlformats.org/officeDocument/2006/relationships/hyperlink" Target="http://?" TargetMode="External"/>
	<Relationship Id="rId22" Type="http://schemas.openxmlformats.org/officeDocument/2006/relationships/hyperlink" Target="http://?" TargetMode="External"/>
	<Relationship Id="rId64" Type="http://schemas.openxmlformats.org/officeDocument/2006/relationships/hyperlink" Target="http://?" TargetMode="External"/>
	<Relationship Id="rId118" Type="http://schemas.openxmlformats.org/officeDocument/2006/relationships/hyperlink" Target="http://?" TargetMode="External"/>
	<Relationship Id="rId325" Type="http://schemas.openxmlformats.org/officeDocument/2006/relationships/hyperlink" Target="http://?" TargetMode="External"/>
	<Relationship Id="rId367" Type="http://schemas.openxmlformats.org/officeDocument/2006/relationships/image" Target="media/image33.png"/>
	<Relationship Id="rId532" Type="http://schemas.openxmlformats.org/officeDocument/2006/relationships/hyperlink" Target="http://?" TargetMode="External"/>
	<Relationship Id="rId574" Type="http://schemas.openxmlformats.org/officeDocument/2006/relationships/hyperlink" Target="http://?" TargetMode="External"/>
	<Relationship Id="rId171" Type="http://schemas.openxmlformats.org/officeDocument/2006/relationships/hyperlink" Target="http://?" TargetMode="External"/>
	<Relationship Id="rId227" Type="http://schemas.openxmlformats.org/officeDocument/2006/relationships/hyperlink" Target="http://?" TargetMode="External"/>
	<Relationship Id="rId269" Type="http://schemas.openxmlformats.org/officeDocument/2006/relationships/hyperlink" Target="http://?" TargetMode="External"/>
	<Relationship Id="rId434" Type="http://schemas.openxmlformats.org/officeDocument/2006/relationships/hyperlink" Target="http://?" TargetMode="External"/>
	<Relationship Id="rId476" Type="http://schemas.openxmlformats.org/officeDocument/2006/relationships/hyperlink" Target="http://?" TargetMode="External"/>
	<Relationship Id="rId641" Type="http://schemas.openxmlformats.org/officeDocument/2006/relationships/hyperlink" Target="http://?" TargetMode="External"/>
	<Relationship Id="rId683" Type="http://schemas.openxmlformats.org/officeDocument/2006/relationships/hyperlink" Target="http://?" TargetMode="External"/>
	<Relationship Id="rId33" Type="http://schemas.openxmlformats.org/officeDocument/2006/relationships/hyperlink" Target="http://?" TargetMode="External"/>
	<Relationship Id="rId129" Type="http://schemas.openxmlformats.org/officeDocument/2006/relationships/hyperlink" Target="http://?" TargetMode="External"/>
	<Relationship Id="rId280" Type="http://schemas.openxmlformats.org/officeDocument/2006/relationships/hyperlink" Target="http://?" TargetMode="External"/>
	<Relationship Id="rId336" Type="http://schemas.openxmlformats.org/officeDocument/2006/relationships/hyperlink" Target="http://?" TargetMode="External"/>
	<Relationship Id="rId501" Type="http://schemas.openxmlformats.org/officeDocument/2006/relationships/hyperlink" Target="http://?" TargetMode="External"/>
	<Relationship Id="rId543" Type="http://schemas.openxmlformats.org/officeDocument/2006/relationships/hyperlink" Target="http://?" TargetMode="External"/>
	<Relationship Id="rId75" Type="http://schemas.openxmlformats.org/officeDocument/2006/relationships/hyperlink" Target="http://?" TargetMode="External"/>
	<Relationship Id="rId140" Type="http://schemas.openxmlformats.org/officeDocument/2006/relationships/hyperlink" Target="http://?" TargetMode="External"/>
	<Relationship Id="rId182" Type="http://schemas.openxmlformats.org/officeDocument/2006/relationships/footer" Target="footer1.xml"/>
	<Relationship Id="rId378" Type="http://schemas.openxmlformats.org/officeDocument/2006/relationships/hyperlink" Target="http://?" TargetMode="External"/>
	<Relationship Id="rId403" Type="http://schemas.openxmlformats.org/officeDocument/2006/relationships/hyperlink" Target="http://?" TargetMode="External"/>
	<Relationship Id="rId585" Type="http://schemas.openxmlformats.org/officeDocument/2006/relationships/hyperlink" Target="http://?" TargetMode="External"/>
	<Relationship Id="rId6" Type="http://schemas.openxmlformats.org/officeDocument/2006/relationships/footnotes" Target="footnotes.xml"/>
	<Relationship Id="rId238" Type="http://schemas.openxmlformats.org/officeDocument/2006/relationships/hyperlink" Target="http://?" TargetMode="External"/>
	<Relationship Id="rId445" Type="http://schemas.openxmlformats.org/officeDocument/2006/relationships/image" Target="media/image37.png"/>
	<Relationship Id="rId487" Type="http://schemas.openxmlformats.org/officeDocument/2006/relationships/hyperlink" Target="http://?" TargetMode="External"/>
	<Relationship Id="rId610" Type="http://schemas.openxmlformats.org/officeDocument/2006/relationships/hyperlink" Target="http://?" TargetMode="External"/>
	<Relationship Id="rId652" Type="http://schemas.openxmlformats.org/officeDocument/2006/relationships/hyperlink" Target="http://?" TargetMode="External"/>
	<Relationship Id="rId694" Type="http://schemas.openxmlformats.org/officeDocument/2006/relationships/hyperlink" Target="http://?" TargetMode="External"/>
	<Relationship Id="rId708" Type="http://schemas.openxmlformats.org/officeDocument/2006/relationships/hyperlink" Target="http://?" TargetMode="External"/>
	<Relationship Id="rId291" Type="http://schemas.openxmlformats.org/officeDocument/2006/relationships/hyperlink" Target="http://?" TargetMode="External"/>
	<Relationship Id="rId305" Type="http://schemas.openxmlformats.org/officeDocument/2006/relationships/hyperlink" Target="http://?" TargetMode="External"/>
	<Relationship Id="rId347" Type="http://schemas.openxmlformats.org/officeDocument/2006/relationships/hyperlink" Target="http://?" TargetMode="External"/>
	<Relationship Id="rId512" Type="http://schemas.openxmlformats.org/officeDocument/2006/relationships/image" Target="media/image45.png"/>
	<Relationship Id="rId44" Type="http://schemas.openxmlformats.org/officeDocument/2006/relationships/hyperlink" Target="http://?" TargetMode="External"/>
	<Relationship Id="rId86" Type="http://schemas.openxmlformats.org/officeDocument/2006/relationships/hyperlink" Target="http://?" TargetMode="External"/>
	<Relationship Id="rId151" Type="http://schemas.openxmlformats.org/officeDocument/2006/relationships/hyperlink" Target="http://?" TargetMode="External"/>
	<Relationship Id="rId389" Type="http://schemas.openxmlformats.org/officeDocument/2006/relationships/hyperlink" Target="http://?" TargetMode="External"/>
	<Relationship Id="rId554" Type="http://schemas.openxmlformats.org/officeDocument/2006/relationships/hyperlink" Target="http://?" TargetMode="External"/>
	<Relationship Id="rId596" Type="http://schemas.openxmlformats.org/officeDocument/2006/relationships/hyperlink" Target="http://?" TargetMode="External"/>
	<Relationship Id="rId193" Type="http://schemas.openxmlformats.org/officeDocument/2006/relationships/hyperlink" Target="http://?" TargetMode="External"/>
	<Relationship Id="rId207" Type="http://schemas.openxmlformats.org/officeDocument/2006/relationships/hyperlink" Target="http://?" TargetMode="External"/>
	<Relationship Id="rId249" Type="http://schemas.openxmlformats.org/officeDocument/2006/relationships/hyperlink" Target="http://?" TargetMode="External"/>
	<Relationship Id="rId414" Type="http://schemas.openxmlformats.org/officeDocument/2006/relationships/hyperlink" Target="http://?" TargetMode="External"/>
	<Relationship Id="rId456" Type="http://schemas.openxmlformats.org/officeDocument/2006/relationships/hyperlink" Target="http://?" TargetMode="External"/>
	<Relationship Id="rId498" Type="http://schemas.openxmlformats.org/officeDocument/2006/relationships/hyperlink" Target="http://?" TargetMode="External"/>
	<Relationship Id="rId621" Type="http://schemas.openxmlformats.org/officeDocument/2006/relationships/hyperlink" Target="http://?" TargetMode="External"/>
	<Relationship Id="rId663" Type="http://schemas.openxmlformats.org/officeDocument/2006/relationships/hyperlink" Target="http://?" TargetMode="External"/>
	<Relationship Id="rId13" Type="http://schemas.openxmlformats.org/officeDocument/2006/relationships/hyperlink" Target="http://?" TargetMode="External"/>
	<Relationship Id="rId109" Type="http://schemas.openxmlformats.org/officeDocument/2006/relationships/hyperlink" Target="http://?" TargetMode="External"/>
	<Relationship Id="rId260" Type="http://schemas.openxmlformats.org/officeDocument/2006/relationships/hyperlink" Target="http://?" TargetMode="External"/>
	<Relationship Id="rId316" Type="http://schemas.openxmlformats.org/officeDocument/2006/relationships/hyperlink" Target="http://?" TargetMode="External"/>
	<Relationship Id="rId523" Type="http://schemas.openxmlformats.org/officeDocument/2006/relationships/hyperlink" Target="http://?" TargetMode="External"/>
	<Relationship Id="rId55" Type="http://schemas.openxmlformats.org/officeDocument/2006/relationships/hyperlink" Target="http://?" TargetMode="External"/>
	<Relationship Id="rId97" Type="http://schemas.openxmlformats.org/officeDocument/2006/relationships/hyperlink" Target="http://?" TargetMode="External"/>
	<Relationship Id="rId120" Type="http://schemas.openxmlformats.org/officeDocument/2006/relationships/hyperlink" Target="http://?" TargetMode="External"/>
	<Relationship Id="rId358" Type="http://schemas.openxmlformats.org/officeDocument/2006/relationships/hyperlink" Target="http://?" TargetMode="External"/>
	<Relationship Id="rId565" Type="http://schemas.openxmlformats.org/officeDocument/2006/relationships/hyperlink" Target="http://?" TargetMode="External"/>
	<Relationship Id="rId162" Type="http://schemas.openxmlformats.org/officeDocument/2006/relationships/hyperlink" Target="http://?" TargetMode="External"/>
	<Relationship Id="rId218" Type="http://schemas.openxmlformats.org/officeDocument/2006/relationships/image" Target="media/image22.JPG"/>
	<Relationship Id="rId425" Type="http://schemas.openxmlformats.org/officeDocument/2006/relationships/hyperlink" Target="http://?" TargetMode="External"/>
	<Relationship Id="rId467" Type="http://schemas.openxmlformats.org/officeDocument/2006/relationships/hyperlink" Target="http://?" TargetMode="External"/>
	<Relationship Id="rId632" Type="http://schemas.openxmlformats.org/officeDocument/2006/relationships/hyperlink" Target="http://?" TargetMode="External"/>
	<Relationship Id="rId271" Type="http://schemas.openxmlformats.org/officeDocument/2006/relationships/hyperlink" Target="http://?" TargetMode="External"/>
	<Relationship Id="rId674" Type="http://schemas.openxmlformats.org/officeDocument/2006/relationships/hyperlink" Target="http://?" TargetMode="External"/>
	<Relationship Id="rId24" Type="http://schemas.openxmlformats.org/officeDocument/2006/relationships/hyperlink" Target="http://?" TargetMode="External"/>
	<Relationship Id="rId66" Type="http://schemas.openxmlformats.org/officeDocument/2006/relationships/hyperlink" Target="http://?" TargetMode="External"/>
	<Relationship Id="rId131" Type="http://schemas.openxmlformats.org/officeDocument/2006/relationships/hyperlink" Target="http://?" TargetMode="External"/>
	<Relationship Id="rId327" Type="http://schemas.openxmlformats.org/officeDocument/2006/relationships/hyperlink" Target="http://?" TargetMode="External"/>
	<Relationship Id="rId369" Type="http://schemas.openxmlformats.org/officeDocument/2006/relationships/hyperlink" Target="http://?" TargetMode="External"/>
	<Relationship Id="rId534" Type="http://schemas.openxmlformats.org/officeDocument/2006/relationships/hyperlink" Target="http://?" TargetMode="External"/>
	<Relationship Id="rId576" Type="http://schemas.openxmlformats.org/officeDocument/2006/relationships/hyperlink" Target="http://?" TargetMode="External"/>
	<Relationship Id="rId173" Type="http://schemas.openxmlformats.org/officeDocument/2006/relationships/hyperlink" Target="http://?" TargetMode="External"/>
	<Relationship Id="rId229" Type="http://schemas.openxmlformats.org/officeDocument/2006/relationships/hyperlink" Target="http://?" TargetMode="External"/>
	<Relationship Id="rId380" Type="http://schemas.openxmlformats.org/officeDocument/2006/relationships/hyperlink" Target="http://?" TargetMode="External"/>
	<Relationship Id="rId436" Type="http://schemas.openxmlformats.org/officeDocument/2006/relationships/hyperlink" Target="http://?" TargetMode="External"/>
	<Relationship Id="rId601" Type="http://schemas.openxmlformats.org/officeDocument/2006/relationships/hyperlink" Target="http://?" TargetMode="External"/>
	<Relationship Id="rId643" Type="http://schemas.openxmlformats.org/officeDocument/2006/relationships/hyperlink" Target="http://?" TargetMode="External"/>
	<Relationship Id="rId240" Type="http://schemas.openxmlformats.org/officeDocument/2006/relationships/hyperlink" Target="http://?" TargetMode="External"/>
	<Relationship Id="rId478" Type="http://schemas.openxmlformats.org/officeDocument/2006/relationships/hyperlink" Target="http://?" TargetMode="External"/>
	<Relationship Id="rId685" Type="http://schemas.openxmlformats.org/officeDocument/2006/relationships/hyperlink" Target="http://?" TargetMode="External"/>
	<Relationship Id="rId35" Type="http://schemas.openxmlformats.org/officeDocument/2006/relationships/hyperlink" Target="http://?" TargetMode="External"/>
	<Relationship Id="rId77" Type="http://schemas.openxmlformats.org/officeDocument/2006/relationships/hyperlink" Target="http://?" TargetMode="External"/>
	<Relationship Id="rId100" Type="http://schemas.openxmlformats.org/officeDocument/2006/relationships/hyperlink" Target="http://?" TargetMode="External"/>
	<Relationship Id="rId282" Type="http://schemas.openxmlformats.org/officeDocument/2006/relationships/hyperlink" Target="http://?" TargetMode="External"/>
	<Relationship Id="rId338" Type="http://schemas.openxmlformats.org/officeDocument/2006/relationships/hyperlink" Target="http://?" TargetMode="External"/>
	<Relationship Id="rId503" Type="http://schemas.openxmlformats.org/officeDocument/2006/relationships/hyperlink" Target="http://?" TargetMode="External"/>
	<Relationship Id="rId545" Type="http://schemas.openxmlformats.org/officeDocument/2006/relationships/hyperlink" Target="http://?" TargetMode="External"/>
	<Relationship Id="rId587" Type="http://schemas.openxmlformats.org/officeDocument/2006/relationships/hyperlink" Target="http://?" TargetMode="External"/>
	<Relationship Id="rId710" Type="http://schemas.openxmlformats.org/officeDocument/2006/relationships/hyperlink" Target="http://?" TargetMode="External"/>
	<Relationship Id="rId8" Type="http://schemas.openxmlformats.org/officeDocument/2006/relationships/image" Target="media/image1.png"/>
	<Relationship Id="rId142" Type="http://schemas.openxmlformats.org/officeDocument/2006/relationships/hyperlink" Target="http://?" TargetMode="External"/>
	<Relationship Id="rId184" Type="http://schemas.openxmlformats.org/officeDocument/2006/relationships/hyperlink" Target="http://?" TargetMode="External"/>
	<Relationship Id="rId391" Type="http://schemas.openxmlformats.org/officeDocument/2006/relationships/hyperlink" Target="http://?" TargetMode="External"/>
	<Relationship Id="rId405" Type="http://schemas.openxmlformats.org/officeDocument/2006/relationships/hyperlink" Target="http://?" TargetMode="External"/>
	<Relationship Id="rId447" Type="http://schemas.openxmlformats.org/officeDocument/2006/relationships/image" Target="media/image39.png"/>
	<Relationship Id="rId612" Type="http://schemas.openxmlformats.org/officeDocument/2006/relationships/image" Target="media/image50.jpg"/>
	<Relationship Id="rId251" Type="http://schemas.openxmlformats.org/officeDocument/2006/relationships/hyperlink" Target="http://?" TargetMode="External"/>
	<Relationship Id="rId489" Type="http://schemas.openxmlformats.org/officeDocument/2006/relationships/hyperlink" Target="http://?" TargetMode="External"/>
	<Relationship Id="rId654" Type="http://schemas.openxmlformats.org/officeDocument/2006/relationships/hyperlink" Target="http://?" TargetMode="External"/>
	<Relationship Id="rId696" Type="http://schemas.openxmlformats.org/officeDocument/2006/relationships/hyperlink" Target="http://?" TargetMode="External"/>
	<Relationship Id="rId46" Type="http://schemas.openxmlformats.org/officeDocument/2006/relationships/hyperlink" Target="http://?" TargetMode="External"/>
	<Relationship Id="rId293" Type="http://schemas.openxmlformats.org/officeDocument/2006/relationships/hyperlink" Target="http://?" TargetMode="External"/>
	<Relationship Id="rId307" Type="http://schemas.openxmlformats.org/officeDocument/2006/relationships/hyperlink" Target="http://?" TargetMode="External"/>
	<Relationship Id="rId349" Type="http://schemas.openxmlformats.org/officeDocument/2006/relationships/hyperlink" Target="http://?" TargetMode="External"/>
	<Relationship Id="rId514" Type="http://schemas.openxmlformats.org/officeDocument/2006/relationships/hyperlink" Target="http://?" TargetMode="External"/>
	<Relationship Id="rId556" Type="http://schemas.openxmlformats.org/officeDocument/2006/relationships/hyperlink" Target="http://?" TargetMode="External"/>
	<Relationship Id="rId88" Type="http://schemas.openxmlformats.org/officeDocument/2006/relationships/hyperlink" Target="http://?" TargetMode="External"/>
	<Relationship Id="rId111" Type="http://schemas.openxmlformats.org/officeDocument/2006/relationships/image" Target="media/image8.png"/>
	<Relationship Id="rId153" Type="http://schemas.openxmlformats.org/officeDocument/2006/relationships/hyperlink" Target="http://?" TargetMode="External"/>
	<Relationship Id="rId195" Type="http://schemas.openxmlformats.org/officeDocument/2006/relationships/hyperlink" Target="http://?" TargetMode="External"/>
	<Relationship Id="rId209" Type="http://schemas.openxmlformats.org/officeDocument/2006/relationships/hyperlink" Target="http://?" TargetMode="External"/>
	<Relationship Id="rId360" Type="http://schemas.openxmlformats.org/officeDocument/2006/relationships/hyperlink" Target="http://?" TargetMode="External"/>
	<Relationship Id="rId416" Type="http://schemas.openxmlformats.org/officeDocument/2006/relationships/hyperlink" Target="http://?" TargetMode="External"/>
	<Relationship Id="rId598" Type="http://schemas.openxmlformats.org/officeDocument/2006/relationships/hyperlink" Target="http://?" TargetMode="External"/>
	<Relationship Id="rId220" Type="http://schemas.openxmlformats.org/officeDocument/2006/relationships/hyperlink" Target="http://?" TargetMode="External"/>
	<Relationship Id="rId458" Type="http://schemas.openxmlformats.org/officeDocument/2006/relationships/hyperlink" Target="http://?" TargetMode="External"/>
	<Relationship Id="rId623" Type="http://schemas.openxmlformats.org/officeDocument/2006/relationships/hyperlink" Target="http://?" TargetMode="External"/>
	<Relationship Id="rId665" Type="http://schemas.openxmlformats.org/officeDocument/2006/relationships/hyperlink" Target="http://?" TargetMode="External"/>
	<Relationship Id="rId15" Type="http://schemas.openxmlformats.org/officeDocument/2006/relationships/hyperlink" Target="http://?" TargetMode="External"/>
	<Relationship Id="rId57" Type="http://schemas.openxmlformats.org/officeDocument/2006/relationships/hyperlink" Target="http://?" TargetMode="External"/>
	<Relationship Id="rId262" Type="http://schemas.openxmlformats.org/officeDocument/2006/relationships/hyperlink" Target="http://?" TargetMode="External"/>
	<Relationship Id="rId318" Type="http://schemas.openxmlformats.org/officeDocument/2006/relationships/hyperlink" Target="http://?" TargetMode="External"/>
	<Relationship Id="rId525" Type="http://schemas.openxmlformats.org/officeDocument/2006/relationships/hyperlink" Target="http://?" TargetMode="External"/>
	<Relationship Id="rId567" Type="http://schemas.openxmlformats.org/officeDocument/2006/relationships/hyperlink" Target="http://?" TargetMode="External"/>
	<Relationship Id="rId99" Type="http://schemas.openxmlformats.org/officeDocument/2006/relationships/hyperlink" Target="http://?" TargetMode="External"/>
	<Relationship Id="rId122" Type="http://schemas.openxmlformats.org/officeDocument/2006/relationships/hyperlink" Target="http://?" TargetMode="External"/>
	<Relationship Id="rId164" Type="http://schemas.openxmlformats.org/officeDocument/2006/relationships/hyperlink" Target="http://?" TargetMode="External"/>
	<Relationship Id="rId371" Type="http://schemas.openxmlformats.org/officeDocument/2006/relationships/hyperlink" Target="http://?" TargetMode="External"/>
	<Relationship Id="rId427" Type="http://schemas.openxmlformats.org/officeDocument/2006/relationships/hyperlink" Target="http://?" TargetMode="External"/>
	<Relationship Id="rId469" Type="http://schemas.openxmlformats.org/officeDocument/2006/relationships/hyperlink" Target="http://?" TargetMode="External"/>
	<Relationship Id="rId634" Type="http://schemas.openxmlformats.org/officeDocument/2006/relationships/hyperlink" Target="http://?" TargetMode="External"/>
	<Relationship Id="rId676" Type="http://schemas.openxmlformats.org/officeDocument/2006/relationships/hyperlink" Target="http://?" TargetMode="External"/>
	<Relationship Id="rId26" Type="http://schemas.openxmlformats.org/officeDocument/2006/relationships/hyperlink" Target="http://?" TargetMode="External"/>
	<Relationship Id="rId231" Type="http://schemas.openxmlformats.org/officeDocument/2006/relationships/hyperlink" Target="http://?" TargetMode="External"/>
	<Relationship Id="rId273" Type="http://schemas.openxmlformats.org/officeDocument/2006/relationships/hyperlink" Target="http://?" TargetMode="External"/>
	<Relationship Id="rId329" Type="http://schemas.openxmlformats.org/officeDocument/2006/relationships/hyperlink" Target="http://?" TargetMode="External"/>
	<Relationship Id="rId480" Type="http://schemas.openxmlformats.org/officeDocument/2006/relationships/image" Target="media/image42.png"/>
	<Relationship Id="rId536" Type="http://schemas.openxmlformats.org/officeDocument/2006/relationships/hyperlink" Target="http://?" TargetMode="External"/>
	<Relationship Id="rId701" Type="http://schemas.openxmlformats.org/officeDocument/2006/relationships/hyperlink" Target="http://?" TargetMode="External"/>
	<Relationship Id="rId68" Type="http://schemas.openxmlformats.org/officeDocument/2006/relationships/hyperlink" Target="http://?" TargetMode="External"/>
	<Relationship Id="rId133" Type="http://schemas.openxmlformats.org/officeDocument/2006/relationships/hyperlink" Target="http://?" TargetMode="External"/>
	<Relationship Id="rId175" Type="http://schemas.openxmlformats.org/officeDocument/2006/relationships/hyperlink" Target="http://?" TargetMode="External"/>
	<Relationship Id="rId340" Type="http://schemas.openxmlformats.org/officeDocument/2006/relationships/hyperlink" Target="http://?" TargetMode="External"/>
	<Relationship Id="rId578" Type="http://schemas.openxmlformats.org/officeDocument/2006/relationships/hyperlink" Target="http://?" TargetMode="External"/>
	<Relationship Id="rId200" Type="http://schemas.openxmlformats.org/officeDocument/2006/relationships/hyperlink" Target="http://?" TargetMode="External"/>
	<Relationship Id="rId382" Type="http://schemas.openxmlformats.org/officeDocument/2006/relationships/hyperlink" Target="http://?" TargetMode="External"/>
	<Relationship Id="rId438" Type="http://schemas.openxmlformats.org/officeDocument/2006/relationships/hyperlink" Target="http://?" TargetMode="External"/>
	<Relationship Id="rId603" Type="http://schemas.openxmlformats.org/officeDocument/2006/relationships/hyperlink" Target="http://?" TargetMode="External"/>
	<Relationship Id="rId645" Type="http://schemas.openxmlformats.org/officeDocument/2006/relationships/hyperlink" Target="http://?" TargetMode="External"/>
	<Relationship Id="rId687" Type="http://schemas.openxmlformats.org/officeDocument/2006/relationships/hyperlink" Target="http://?" TargetMode="External"/>
	<Relationship Id="rId242" Type="http://schemas.openxmlformats.org/officeDocument/2006/relationships/hyperlink" Target="http://?" TargetMode="External"/>
	<Relationship Id="rId284" Type="http://schemas.openxmlformats.org/officeDocument/2006/relationships/hyperlink" Target="http://?" TargetMode="External"/>
	<Relationship Id="rId491" Type="http://schemas.openxmlformats.org/officeDocument/2006/relationships/hyperlink" Target="http://?" TargetMode="External"/>
	<Relationship Id="rId505" Type="http://schemas.openxmlformats.org/officeDocument/2006/relationships/hyperlink" Target="http://?" TargetMode="External"/>
	<Relationship Id="rId712" Type="http://schemas.openxmlformats.org/officeDocument/2006/relationships/hyperlink" Target="http://?" TargetMode="External"/>
	<Relationship Id="rId37" Type="http://schemas.openxmlformats.org/officeDocument/2006/relationships/hyperlink" Target="http://?" TargetMode="External"/>
	<Relationship Id="rId79" Type="http://schemas.openxmlformats.org/officeDocument/2006/relationships/hyperlink" Target="http://?" TargetMode="External"/>
	<Relationship Id="rId102" Type="http://schemas.openxmlformats.org/officeDocument/2006/relationships/hyperlink" Target="http://?" TargetMode="External"/>
	<Relationship Id="rId144" Type="http://schemas.openxmlformats.org/officeDocument/2006/relationships/hyperlink" Target="http://?" TargetMode="External"/>
	<Relationship Id="rId547" Type="http://schemas.openxmlformats.org/officeDocument/2006/relationships/hyperlink" Target="http://?" TargetMode="External"/>
	<Relationship Id="rId589" Type="http://schemas.openxmlformats.org/officeDocument/2006/relationships/hyperlink" Target="http://?" TargetMode="External"/>
	<Relationship Id="rId90" Type="http://schemas.openxmlformats.org/officeDocument/2006/relationships/hyperlink" Target="http://?" TargetMode="External"/>
	<Relationship Id="rId186" Type="http://schemas.openxmlformats.org/officeDocument/2006/relationships/hyperlink" Target="http://?" TargetMode="External"/>
	<Relationship Id="rId351" Type="http://schemas.openxmlformats.org/officeDocument/2006/relationships/hyperlink" Target="http://?" TargetMode="External"/>
	<Relationship Id="rId393" Type="http://schemas.openxmlformats.org/officeDocument/2006/relationships/hyperlink" Target="http://?" TargetMode="External"/>
	<Relationship Id="rId407" Type="http://schemas.openxmlformats.org/officeDocument/2006/relationships/hyperlink" Target="http://?" TargetMode="External"/>
	<Relationship Id="rId449" Type="http://schemas.openxmlformats.org/officeDocument/2006/relationships/hyperlink" Target="http://?" TargetMode="External"/>
	<Relationship Id="rId614" Type="http://schemas.openxmlformats.org/officeDocument/2006/relationships/hyperlink" Target="http://?" TargetMode="External"/>
	<Relationship Id="rId656" Type="http://schemas.openxmlformats.org/officeDocument/2006/relationships/hyperlink" Target="http://?" TargetMode="External"/>
	<Relationship Id="rId211" Type="http://schemas.openxmlformats.org/officeDocument/2006/relationships/hyperlink" Target="http://?" TargetMode="External"/>
	<Relationship Id="rId253" Type="http://schemas.openxmlformats.org/officeDocument/2006/relationships/hyperlink" Target="http://?" TargetMode="External"/>
	<Relationship Id="rId295" Type="http://schemas.openxmlformats.org/officeDocument/2006/relationships/hyperlink" Target="http://?" TargetMode="External"/>
	<Relationship Id="rId309" Type="http://schemas.openxmlformats.org/officeDocument/2006/relationships/image" Target="media/image28.png"/>
	<Relationship Id="rId460" Type="http://schemas.openxmlformats.org/officeDocument/2006/relationships/hyperlink" Target="http://?" TargetMode="External"/>
	<Relationship Id="rId516" Type="http://schemas.openxmlformats.org/officeDocument/2006/relationships/hyperlink" Target="http://?" TargetMode="External"/>
	<Relationship Id="rId698" Type="http://schemas.openxmlformats.org/officeDocument/2006/relationships/hyperlink" Target="http://?" TargetMode="External"/>
	<Relationship Id="rId48" Type="http://schemas.openxmlformats.org/officeDocument/2006/relationships/hyperlink" Target="http://?" TargetMode="External"/>
	<Relationship Id="rId113" Type="http://schemas.openxmlformats.org/officeDocument/2006/relationships/image" Target="media/image10.png"/>
	<Relationship Id="rId320" Type="http://schemas.openxmlformats.org/officeDocument/2006/relationships/hyperlink" Target="http://?" TargetMode="External"/>
	<Relationship Id="rId558" Type="http://schemas.openxmlformats.org/officeDocument/2006/relationships/hyperlink" Target="http://?" TargetMode="External"/>
	<Relationship Id="rId155" Type="http://schemas.openxmlformats.org/officeDocument/2006/relationships/hyperlink" Target="http://?" TargetMode="External"/>
	<Relationship Id="rId197" Type="http://schemas.openxmlformats.org/officeDocument/2006/relationships/hyperlink" Target="http://?" TargetMode="External"/>
	<Relationship Id="rId362" Type="http://schemas.openxmlformats.org/officeDocument/2006/relationships/hyperlink" Target="http://?" TargetMode="External"/>
	<Relationship Id="rId418" Type="http://schemas.openxmlformats.org/officeDocument/2006/relationships/hyperlink" Target="http://?" TargetMode="External"/>
	<Relationship Id="rId625" Type="http://schemas.openxmlformats.org/officeDocument/2006/relationships/hyperlink" Target="http://?" TargetMode="External"/>
	<Relationship Id="rId222" Type="http://schemas.openxmlformats.org/officeDocument/2006/relationships/hyperlink" Target="http://?" TargetMode="External"/>
	<Relationship Id="rId264" Type="http://schemas.openxmlformats.org/officeDocument/2006/relationships/hyperlink" Target="http://?" TargetMode="External"/>
	<Relationship Id="rId471" Type="http://schemas.openxmlformats.org/officeDocument/2006/relationships/hyperlink" Target="http://?" TargetMode="External"/>
	<Relationship Id="rId667" Type="http://schemas.openxmlformats.org/officeDocument/2006/relationships/hyperlink" Target="http://?" TargetMode="External"/>
	<Relationship Id="rId17" Type="http://schemas.openxmlformats.org/officeDocument/2006/relationships/hyperlink" Target="http://?" TargetMode="External"/>
	<Relationship Id="rId59" Type="http://schemas.openxmlformats.org/officeDocument/2006/relationships/image" Target="media/image4.png"/>
	<Relationship Id="rId124" Type="http://schemas.openxmlformats.org/officeDocument/2006/relationships/hyperlink" Target="http://?" TargetMode="External"/>
	<Relationship Id="rId527" Type="http://schemas.openxmlformats.org/officeDocument/2006/relationships/hyperlink" Target="http://?" TargetMode="External"/>
	<Relationship Id="rId569" Type="http://schemas.openxmlformats.org/officeDocument/2006/relationships/hyperlink" Target="http://?" TargetMode="External"/>
	<Relationship Id="rId70" Type="http://schemas.openxmlformats.org/officeDocument/2006/relationships/hyperlink" Target="http://?" TargetMode="External"/>
	<Relationship Id="rId166" Type="http://schemas.openxmlformats.org/officeDocument/2006/relationships/hyperlink" Target="http://?" TargetMode="External"/>
	<Relationship Id="rId331" Type="http://schemas.openxmlformats.org/officeDocument/2006/relationships/hyperlink" Target="http://?" TargetMode="External"/>
	<Relationship Id="rId373" Type="http://schemas.openxmlformats.org/officeDocument/2006/relationships/hyperlink" Target="http://?" TargetMode="External"/>
	<Relationship Id="rId429" Type="http://schemas.openxmlformats.org/officeDocument/2006/relationships/hyperlink" Target="http://?" TargetMode="External"/>
	<Relationship Id="rId580" Type="http://schemas.openxmlformats.org/officeDocument/2006/relationships/hyperlink" Target="http://?" TargetMode="External"/>
	<Relationship Id="rId636" Type="http://schemas.openxmlformats.org/officeDocument/2006/relationships/hyperlink" Target="http://?" TargetMode="External"/>
	<Relationship Id="rId1" Type="http://schemas.openxmlformats.org/officeDocument/2006/relationships/customXml" Target="../customXml/item1.xml"/>
	<Relationship Id="rId233" Type="http://schemas.openxmlformats.org/officeDocument/2006/relationships/hyperlink" Target="http://?" TargetMode="External"/>
	<Relationship Id="rId440" Type="http://schemas.openxmlformats.org/officeDocument/2006/relationships/hyperlink" Target="http://?" TargetMode="External"/>
	<Relationship Id="rId678" Type="http://schemas.openxmlformats.org/officeDocument/2006/relationships/hyperlink" Target="http://?" TargetMode="External"/>
	<Relationship Id="rId28" Type="http://schemas.openxmlformats.org/officeDocument/2006/relationships/hyperlink" Target="http://?" TargetMode="External"/>
	<Relationship Id="rId275" Type="http://schemas.openxmlformats.org/officeDocument/2006/relationships/hyperlink" Target="http://?" TargetMode="External"/>
	<Relationship Id="rId300" Type="http://schemas.openxmlformats.org/officeDocument/2006/relationships/hyperlink" Target="http://?" TargetMode="External"/>
	<Relationship Id="rId482" Type="http://schemas.openxmlformats.org/officeDocument/2006/relationships/hyperlink" Target="http://?" TargetMode="External"/>
	<Relationship Id="rId538" Type="http://schemas.openxmlformats.org/officeDocument/2006/relationships/hyperlink" Target="http://?" TargetMode="External"/>
	<Relationship Id="rId703" Type="http://schemas.openxmlformats.org/officeDocument/2006/relationships/hyperlink" Target="http://?" TargetMode="External"/>
	<Relationship Id="rId81" Type="http://schemas.openxmlformats.org/officeDocument/2006/relationships/hyperlink" Target="http://?" TargetMode="External"/>
	<Relationship Id="rId135" Type="http://schemas.openxmlformats.org/officeDocument/2006/relationships/hyperlink" Target="http://?" TargetMode="External"/>
	<Relationship Id="rId177" Type="http://schemas.openxmlformats.org/officeDocument/2006/relationships/image" Target="media/image16.png"/>
	<Relationship Id="rId342" Type="http://schemas.openxmlformats.org/officeDocument/2006/relationships/hyperlink" Target="http://?" TargetMode="External"/>
	<Relationship Id="rId384" Type="http://schemas.openxmlformats.org/officeDocument/2006/relationships/hyperlink" Target="http://?" TargetMode="External"/>
	<Relationship Id="rId591" Type="http://schemas.openxmlformats.org/officeDocument/2006/relationships/hyperlink" Target="http://?" TargetMode="External"/>
	<Relationship Id="rId605" Type="http://schemas.openxmlformats.org/officeDocument/2006/relationships/hyperlink" Target="http://?" TargetMode="External"/>
	<Relationship Id="rId202" Type="http://schemas.openxmlformats.org/officeDocument/2006/relationships/hyperlink" Target="http://?" TargetMode="External"/>
	<Relationship Id="rId244" Type="http://schemas.openxmlformats.org/officeDocument/2006/relationships/hyperlink" Target="http://?" TargetMode="External"/>
	<Relationship Id="rId647" Type="http://schemas.openxmlformats.org/officeDocument/2006/relationships/hyperlink" Target="http://?" TargetMode="External"/>
	<Relationship Id="rId689" Type="http://schemas.openxmlformats.org/officeDocument/2006/relationships/hyperlink" Target="http://?" TargetMode="External"/>
	<Relationship Id="rId39" Type="http://schemas.openxmlformats.org/officeDocument/2006/relationships/hyperlink" Target="http://?" TargetMode="External"/>
	<Relationship Id="rId286" Type="http://schemas.openxmlformats.org/officeDocument/2006/relationships/hyperlink" Target="http://?" TargetMode="External"/>
	<Relationship Id="rId451" Type="http://schemas.openxmlformats.org/officeDocument/2006/relationships/hyperlink" Target="http://?" TargetMode="External"/>
	<Relationship Id="rId493" Type="http://schemas.openxmlformats.org/officeDocument/2006/relationships/hyperlink" Target="http://?" TargetMode="External"/>
	<Relationship Id="rId507" Type="http://schemas.openxmlformats.org/officeDocument/2006/relationships/hyperlink" Target="http://?" TargetMode="External"/>
	<Relationship Id="rId549" Type="http://schemas.openxmlformats.org/officeDocument/2006/relationships/hyperlink" Target="http://?" TargetMode="External"/>
	<Relationship Id="rId714" Type="http://schemas.openxmlformats.org/officeDocument/2006/relationships/fontTable" Target="fontTable.xml"/>
	<Relationship Id="rId50" Type="http://schemas.openxmlformats.org/officeDocument/2006/relationships/hyperlink" Target="http://?" TargetMode="External"/>
	<Relationship Id="rId104" Type="http://schemas.openxmlformats.org/officeDocument/2006/relationships/hyperlink" Target="http://?" TargetMode="External"/>
	<Relationship Id="rId146" Type="http://schemas.openxmlformats.org/officeDocument/2006/relationships/image" Target="media/image11.png"/>
	<Relationship Id="rId188" Type="http://schemas.openxmlformats.org/officeDocument/2006/relationships/hyperlink" Target="http://?" TargetMode="External"/>
	<Relationship Id="rId311" Type="http://schemas.openxmlformats.org/officeDocument/2006/relationships/hyperlink" Target="http://?" TargetMode="External"/>
	<Relationship Id="rId353" Type="http://schemas.openxmlformats.org/officeDocument/2006/relationships/hyperlink" Target="http://?" TargetMode="External"/>
	<Relationship Id="rId395" Type="http://schemas.openxmlformats.org/officeDocument/2006/relationships/hyperlink" Target="http://?" TargetMode="External"/>
	<Relationship Id="rId409" Type="http://schemas.openxmlformats.org/officeDocument/2006/relationships/hyperlink" Target="http://?" TargetMode="External"/>
	<Relationship Id="rId560" Type="http://schemas.openxmlformats.org/officeDocument/2006/relationships/hyperlink" Target="http://?" TargetMode="External"/>
	<Relationship Id="rId92" Type="http://schemas.openxmlformats.org/officeDocument/2006/relationships/hyperlink" Target="http://?" TargetMode="External"/>
	<Relationship Id="rId213" Type="http://schemas.openxmlformats.org/officeDocument/2006/relationships/hyperlink" Target="http://?" TargetMode="External"/>
	<Relationship Id="rId420" Type="http://schemas.openxmlformats.org/officeDocument/2006/relationships/image" Target="media/image35.png"/>
	<Relationship Id="rId616" Type="http://schemas.openxmlformats.org/officeDocument/2006/relationships/hyperlink" Target="http://?" TargetMode="External"/>
	<Relationship Id="rId658" Type="http://schemas.openxmlformats.org/officeDocument/2006/relationships/hyperlink" Target="http://?" TargetMode="External"/>
	<Relationship Id="rId255" Type="http://schemas.openxmlformats.org/officeDocument/2006/relationships/hyperlink" Target="http://?" TargetMode="External"/>
	<Relationship Id="rId297" Type="http://schemas.openxmlformats.org/officeDocument/2006/relationships/hyperlink" Target="http://?" TargetMode="External"/>
	<Relationship Id="rId462" Type="http://schemas.openxmlformats.org/officeDocument/2006/relationships/hyperlink" Target="http://?" TargetMode="External"/>
	<Relationship Id="rId518" Type="http://schemas.openxmlformats.org/officeDocument/2006/relationships/hyperlink" Target="http://?" TargetMode="External"/>
	<Relationship Id="rId115" Type="http://schemas.openxmlformats.org/officeDocument/2006/relationships/hyperlink" Target="http://?" TargetMode="External"/>
	<Relationship Id="rId157" Type="http://schemas.openxmlformats.org/officeDocument/2006/relationships/hyperlink" Target="http://?" TargetMode="External"/>
	<Relationship Id="rId322" Type="http://schemas.openxmlformats.org/officeDocument/2006/relationships/hyperlink" Target="http://?" TargetMode="External"/>
	<Relationship Id="rId364" Type="http://schemas.openxmlformats.org/officeDocument/2006/relationships/image" Target="media/image30.png"/>
	<Relationship Id="rId61" Type="http://schemas.openxmlformats.org/officeDocument/2006/relationships/image" Target="media/image6.png"/>
	<Relationship Id="rId199" Type="http://schemas.openxmlformats.org/officeDocument/2006/relationships/hyperlink" Target="http://?" TargetMode="External"/>
	<Relationship Id="rId571" Type="http://schemas.openxmlformats.org/officeDocument/2006/relationships/hyperlink" Target="http://?" TargetMode="External"/>
	<Relationship Id="rId627" Type="http://schemas.openxmlformats.org/officeDocument/2006/relationships/hyperlink" Target="http://?" TargetMode="External"/>
	<Relationship Id="rId669" Type="http://schemas.openxmlformats.org/officeDocument/2006/relationships/hyperlink" Target="http://?" TargetMode="External"/>
	<Relationship Id="rId19" Type="http://schemas.openxmlformats.org/officeDocument/2006/relationships/hyperlink" Target="http://?" TargetMode="External"/>
	<Relationship Id="rId224" Type="http://schemas.openxmlformats.org/officeDocument/2006/relationships/hyperlink" Target="http://?" TargetMode="External"/>
	<Relationship Id="rId266" Type="http://schemas.openxmlformats.org/officeDocument/2006/relationships/image" Target="media/image24.png"/>
	<Relationship Id="rId431" Type="http://schemas.openxmlformats.org/officeDocument/2006/relationships/hyperlink" Target="http://?" TargetMode="External"/>
	<Relationship Id="rId473" Type="http://schemas.openxmlformats.org/officeDocument/2006/relationships/hyperlink" Target="http://?" TargetMode="External"/>
	<Relationship Id="rId529" Type="http://schemas.openxmlformats.org/officeDocument/2006/relationships/hyperlink" Target="http://?" TargetMode="External"/>
	<Relationship Id="rId680" Type="http://schemas.openxmlformats.org/officeDocument/2006/relationships/hyperlink" Target="http://?" TargetMode="External"/>
	<Relationship Id="rId30" Type="http://schemas.openxmlformats.org/officeDocument/2006/relationships/hyperlink" Target="http://?" TargetMode="External"/>
	<Relationship Id="rId126" Type="http://schemas.openxmlformats.org/officeDocument/2006/relationships/hyperlink" Target="http://?" TargetMode="External"/>
	<Relationship Id="rId168" Type="http://schemas.openxmlformats.org/officeDocument/2006/relationships/hyperlink" Target="http://?" TargetMode="External"/>
	<Relationship Id="rId333" Type="http://schemas.openxmlformats.org/officeDocument/2006/relationships/hyperlink" Target="http://?" TargetMode="External"/>
	<Relationship Id="rId540" Type="http://schemas.openxmlformats.org/officeDocument/2006/relationships/hyperlink" Target="http://?" TargetMode="External"/>
	<Relationship Id="rId72" Type="http://schemas.openxmlformats.org/officeDocument/2006/relationships/hyperlink" Target="http://?" TargetMode="External"/>
	<Relationship Id="rId375" Type="http://schemas.openxmlformats.org/officeDocument/2006/relationships/hyperlink" Target="http://?" TargetMode="External"/>
	<Relationship Id="rId582" Type="http://schemas.openxmlformats.org/officeDocument/2006/relationships/hyperlink" Target="http://?" TargetMode="External"/>
	<Relationship Id="rId638" Type="http://schemas.openxmlformats.org/officeDocument/2006/relationships/hyperlink" Target="http://?" TargetMode="External"/>
	<Relationship Id="rId3" Type="http://schemas.openxmlformats.org/officeDocument/2006/relationships/styles" Target="styles.xml"/>
	<Relationship Id="rId235" Type="http://schemas.openxmlformats.org/officeDocument/2006/relationships/hyperlink" Target="http://?" TargetMode="External"/>
	<Relationship Id="rId277" Type="http://schemas.openxmlformats.org/officeDocument/2006/relationships/hyperlink" Target="http://?" TargetMode="External"/>
	<Relationship Id="rId400" Type="http://schemas.openxmlformats.org/officeDocument/2006/relationships/hyperlink" Target="http://?" TargetMode="External"/>
	<Relationship Id="rId442" Type="http://schemas.openxmlformats.org/officeDocument/2006/relationships/hyperlink" Target="http://?" TargetMode="External"/>
	<Relationship Id="rId484" Type="http://schemas.openxmlformats.org/officeDocument/2006/relationships/hyperlink" Target="http://?" TargetMode="External"/>
	<Relationship Id="rId705" Type="http://schemas.openxmlformats.org/officeDocument/2006/relationships/hyperlink" Target="http://?" TargetMode="External"/>
	<Relationship Id="rId137" Type="http://schemas.openxmlformats.org/officeDocument/2006/relationships/hyperlink" Target="http://?" TargetMode="External"/>
	<Relationship Id="rId302" Type="http://schemas.openxmlformats.org/officeDocument/2006/relationships/hyperlink" Target="http://?" TargetMode="External"/>
	<Relationship Id="rId344" Type="http://schemas.openxmlformats.org/officeDocument/2006/relationships/hyperlink" Target="http://?" TargetMode="External"/>
	<Relationship Id="rId691" Type="http://schemas.openxmlformats.org/officeDocument/2006/relationships/hyperlink" Target="http://?" TargetMode="External"/>
	<Relationship Id="rId41" Type="http://schemas.openxmlformats.org/officeDocument/2006/relationships/hyperlink" Target="http://?" TargetMode="External"/>
	<Relationship Id="rId83" Type="http://schemas.openxmlformats.org/officeDocument/2006/relationships/hyperlink" Target="http://?" TargetMode="External"/>
	<Relationship Id="rId179" Type="http://schemas.openxmlformats.org/officeDocument/2006/relationships/image" Target="media/image18.png"/>
	<Relationship Id="rId386" Type="http://schemas.openxmlformats.org/officeDocument/2006/relationships/hyperlink" Target="http://?" TargetMode="External"/>
	<Relationship Id="rId551" Type="http://schemas.openxmlformats.org/officeDocument/2006/relationships/hyperlink" Target="http://?" TargetMode="External"/>
	<Relationship Id="rId593" Type="http://schemas.openxmlformats.org/officeDocument/2006/relationships/hyperlink" Target="http://?" TargetMode="External"/>
	<Relationship Id="rId607" Type="http://schemas.openxmlformats.org/officeDocument/2006/relationships/image" Target="media/image48.PNG"/>
	<Relationship Id="rId649" Type="http://schemas.openxmlformats.org/officeDocument/2006/relationships/hyperlink" Target="http://?" TargetMode="External"/>
	<Relationship Id="rId190" Type="http://schemas.openxmlformats.org/officeDocument/2006/relationships/hyperlink" Target="http://?" TargetMode="External"/>
	<Relationship Id="rId204" Type="http://schemas.openxmlformats.org/officeDocument/2006/relationships/hyperlink" Target="http://?" TargetMode="External"/>
	<Relationship Id="rId246" Type="http://schemas.openxmlformats.org/officeDocument/2006/relationships/hyperlink" Target="http://?" TargetMode="External"/>
	<Relationship Id="rId288" Type="http://schemas.openxmlformats.org/officeDocument/2006/relationships/hyperlink" Target="http://?" TargetMode="External"/>
	<Relationship Id="rId411" Type="http://schemas.openxmlformats.org/officeDocument/2006/relationships/hyperlink" Target="http://?" TargetMode="External"/>
	<Relationship Id="rId453" Type="http://schemas.openxmlformats.org/officeDocument/2006/relationships/hyperlink" Target="http://?" TargetMode="External"/>
	<Relationship Id="rId509" Type="http://schemas.openxmlformats.org/officeDocument/2006/relationships/hyperlink" Target="http://?" TargetMode="External"/>
	<Relationship Id="rId660" Type="http://schemas.openxmlformats.org/officeDocument/2006/relationships/hyperlink" Target="http://?" TargetMode="External"/>
	<Relationship Id="rId106" Type="http://schemas.openxmlformats.org/officeDocument/2006/relationships/hyperlink" Target="http://?" TargetMode="External"/>
	<Relationship Id="rId313" Type="http://schemas.openxmlformats.org/officeDocument/2006/relationships/hyperlink" Target="http://?" TargetMode="External"/>
	<Relationship Id="rId495" Type="http://schemas.openxmlformats.org/officeDocument/2006/relationships/hyperlink" Target="http://?" TargetMode="External"/>
	<Relationship Id="rId10" Type="http://schemas.openxmlformats.org/officeDocument/2006/relationships/hyperlink" Target="http://?" TargetMode="External"/>
	<Relationship Id="rId52" Type="http://schemas.openxmlformats.org/officeDocument/2006/relationships/hyperlink" Target="http://?" TargetMode="External"/>
	<Relationship Id="rId94" Type="http://schemas.openxmlformats.org/officeDocument/2006/relationships/hyperlink" Target="http://?" TargetMode="External"/>
	<Relationship Id="rId148" Type="http://schemas.openxmlformats.org/officeDocument/2006/relationships/image" Target="media/image13.png"/>
	<Relationship Id="rId355" Type="http://schemas.openxmlformats.org/officeDocument/2006/relationships/hyperlink" Target="http://?" TargetMode="External"/>
	<Relationship Id="rId397" Type="http://schemas.openxmlformats.org/officeDocument/2006/relationships/hyperlink" Target="http://?" TargetMode="External"/>
	<Relationship Id="rId520" Type="http://schemas.openxmlformats.org/officeDocument/2006/relationships/hyperlink" Target="http://?" TargetMode="External"/>
	<Relationship Id="rId562" Type="http://schemas.openxmlformats.org/officeDocument/2006/relationships/hyperlink" Target="http://?" TargetMode="External"/>
	<Relationship Id="rId618" Type="http://schemas.openxmlformats.org/officeDocument/2006/relationships/hyperlink" Target="http://?" TargetMode="External"/>
	<Relationship Id="rId215" Type="http://schemas.openxmlformats.org/officeDocument/2006/relationships/hyperlink" Target="http://?" TargetMode="External"/>
	<Relationship Id="rId257" Type="http://schemas.openxmlformats.org/officeDocument/2006/relationships/hyperlink" Target="http://?" TargetMode="External"/>
	<Relationship Id="rId422" Type="http://schemas.openxmlformats.org/officeDocument/2006/relationships/hyperlink" Target="http://?" TargetMode="External"/>
	<Relationship Id="rId464" Type="http://schemas.openxmlformats.org/officeDocument/2006/relationships/hyperlink" Target="http://?" TargetMode="External"/>
	<Relationship Id="rId299" Type="http://schemas.openxmlformats.org/officeDocument/2006/relationships/hyperlink" Target="http://?" TargetMode="External"/>
	<Relationship Id="rId63" Type="http://schemas.openxmlformats.org/officeDocument/2006/relationships/hyperlink" Target="http://?" TargetMode="External"/>
	<Relationship Id="rId159" Type="http://schemas.openxmlformats.org/officeDocument/2006/relationships/hyperlink" Target="http://?" TargetMode="External"/>
	<Relationship Id="rId366" Type="http://schemas.openxmlformats.org/officeDocument/2006/relationships/image" Target="media/image32.png"/>
	<Relationship Id="rId573" Type="http://schemas.openxmlformats.org/officeDocument/2006/relationships/hyperlink" Target="http://?" TargetMode="External"/>
	<Relationship Id="rId226" Type="http://schemas.openxmlformats.org/officeDocument/2006/relationships/hyperlink" Target="http://?" TargetMode="External"/>
	<Relationship Id="rId433" Type="http://schemas.openxmlformats.org/officeDocument/2006/relationships/hyperlink" Target="http://?" TargetMode="External"/>
	<Relationship Id="rId640" Type="http://schemas.openxmlformats.org/officeDocument/2006/relationships/hyperlink" Target="http://?" TargetMode="External"/>
	<Relationship Id="rId74" Type="http://schemas.openxmlformats.org/officeDocument/2006/relationships/hyperlink" Target="http://?" TargetMode="External"/>
	<Relationship Id="rId377" Type="http://schemas.openxmlformats.org/officeDocument/2006/relationships/hyperlink" Target="http://?" TargetMode="External"/>
	<Relationship Id="rId500" Type="http://schemas.openxmlformats.org/officeDocument/2006/relationships/hyperlink" Target="http://?" TargetMode="External"/>
	<Relationship Id="rId584" Type="http://schemas.openxmlformats.org/officeDocument/2006/relationships/hyperlink" Target="http://?" TargetMode="External"/>
	<Relationship Id="rId5" Type="http://schemas.openxmlformats.org/officeDocument/2006/relationships/webSettings" Target="webSettings.xml"/>
	<Relationship Id="rId237" Type="http://schemas.openxmlformats.org/officeDocument/2006/relationships/hyperlink" Target="http://?" TargetMode="External"/>
	<Relationship Id="rId444" Type="http://schemas.openxmlformats.org/officeDocument/2006/relationships/hyperlink" Target="http://?" TargetMode="External"/>
	<Relationship Id="rId651" Type="http://schemas.openxmlformats.org/officeDocument/2006/relationships/hyperlink" Target="http://?" TargetMode="External"/>
	<Relationship Id="rId290" Type="http://schemas.openxmlformats.org/officeDocument/2006/relationships/hyperlink" Target="http://?" TargetMode="External"/>
	<Relationship Id="rId304" Type="http://schemas.openxmlformats.org/officeDocument/2006/relationships/hyperlink" Target="http://?" TargetMode="External"/>
	<Relationship Id="rId388" Type="http://schemas.openxmlformats.org/officeDocument/2006/relationships/hyperlink" Target="http://?" TargetMode="External"/>
	<Relationship Id="rId511" Type="http://schemas.openxmlformats.org/officeDocument/2006/relationships/image" Target="media/image44.png"/>
	<Relationship Id="rId609" Type="http://schemas.openxmlformats.org/officeDocument/2006/relationships/hyperlink" Target="http://?" TargetMode="External"/>
	<Relationship Id="rId85" Type="http://schemas.openxmlformats.org/officeDocument/2006/relationships/hyperlink" Target="http://?" TargetMode="External"/>
	<Relationship Id="rId150" Type="http://schemas.openxmlformats.org/officeDocument/2006/relationships/image" Target="media/image15.png"/>
	<Relationship Id="rId595" Type="http://schemas.openxmlformats.org/officeDocument/2006/relationships/hyperlink" Target="http://?" TargetMode="External"/>
	<Relationship Id="rId248" Type="http://schemas.openxmlformats.org/officeDocument/2006/relationships/hyperlink" Target="http://?" TargetMode="External"/>
	<Relationship Id="rId455" Type="http://schemas.openxmlformats.org/officeDocument/2006/relationships/hyperlink" Target="http://?" TargetMode="External"/>
	<Relationship Id="rId662" Type="http://schemas.openxmlformats.org/officeDocument/2006/relationships/hyperlink" Target="http://?" TargetMode="External"/>
	<Relationship Id="rId12" Type="http://schemas.openxmlformats.org/officeDocument/2006/relationships/hyperlink" Target="http://?" TargetMode="External"/>
	<Relationship Id="rId108" Type="http://schemas.openxmlformats.org/officeDocument/2006/relationships/hyperlink" Target="http://?" TargetMode="External"/>
	<Relationship Id="rId315" Type="http://schemas.openxmlformats.org/officeDocument/2006/relationships/hyperlink" Target="http://?" TargetMode="External"/>
	<Relationship Id="rId522" Type="http://schemas.openxmlformats.org/officeDocument/2006/relationships/hyperlink" Target="http://?" TargetMode="External"/>
	<Relationship Id="rId96" Type="http://schemas.openxmlformats.org/officeDocument/2006/relationships/hyperlink" Target="http://?" TargetMode="External"/>
	<Relationship Id="rId161" Type="http://schemas.openxmlformats.org/officeDocument/2006/relationships/hyperlink" Target="http://?" TargetMode="External"/>
	<Relationship Id="rId399" Type="http://schemas.openxmlformats.org/officeDocument/2006/relationships/hyperlink" Target="http://?" TargetMode="External"/>
	<Relationship Id="rId259" Type="http://schemas.openxmlformats.org/officeDocument/2006/relationships/hyperlink" Target="http://?" TargetMode="External"/>
	<Relationship Id="rId466" Type="http://schemas.openxmlformats.org/officeDocument/2006/relationships/hyperlink" Target="http://?" TargetMode="External"/>
	<Relationship Id="rId673" Type="http://schemas.openxmlformats.org/officeDocument/2006/relationships/hyperlink" Target="http://?" TargetMode="External"/>
	<Relationship Id="rId23" Type="http://schemas.openxmlformats.org/officeDocument/2006/relationships/hyperlink" Target="http://?" TargetMode="External"/>
	<Relationship Id="rId119" Type="http://schemas.openxmlformats.org/officeDocument/2006/relationships/hyperlink" Target="http://?" TargetMode="External"/>
	<Relationship Id="rId326" Type="http://schemas.openxmlformats.org/officeDocument/2006/relationships/hyperlink" Target="http://?" TargetMode="External"/>
	<Relationship Id="rId533" Type="http://schemas.openxmlformats.org/officeDocument/2006/relationships/hyperlink" Target="http://?" TargetMode="External"/>
	<Relationship Id="rId172" Type="http://schemas.openxmlformats.org/officeDocument/2006/relationships/hyperlink" Target="http://?" TargetMode="External"/>
	<Relationship Id="rId477" Type="http://schemas.openxmlformats.org/officeDocument/2006/relationships/hyperlink" Target="http://?" TargetMode="External"/>
	<Relationship Id="rId600" Type="http://schemas.openxmlformats.org/officeDocument/2006/relationships/hyperlink" Target="http://?" TargetMode="External"/>
	<Relationship Id="rId684" Type="http://schemas.openxmlformats.org/officeDocument/2006/relationships/hyperlink" Target="http://?" TargetMode="External"/>
	<Relationship Id="rId337" Type="http://schemas.openxmlformats.org/officeDocument/2006/relationships/hyperlink" Target="http://?" TargetMode="External"/>
	<Relationship Id="rId34" Type="http://schemas.openxmlformats.org/officeDocument/2006/relationships/hyperlink" Target="http://?" TargetMode="External"/>
	<Relationship Id="rId544" Type="http://schemas.openxmlformats.org/officeDocument/2006/relationships/hyperlink" Target="http://?" TargetMode="External"/>
	<Relationship Id="rId183" Type="http://schemas.openxmlformats.org/officeDocument/2006/relationships/hyperlink" Target="http://?" TargetMode="External"/>
	<Relationship Id="rId390" Type="http://schemas.openxmlformats.org/officeDocument/2006/relationships/hyperlink" Target="http://?" TargetMode="External"/>
	<Relationship Id="rId404" Type="http://schemas.openxmlformats.org/officeDocument/2006/relationships/hyperlink" Target="http://?" TargetMode="External"/>
	<Relationship Id="rId611" Type="http://schemas.openxmlformats.org/officeDocument/2006/relationships/hyperlink" Target="http://?" TargetMode="External"/>
	<Relationship Id="rId250" Type="http://schemas.openxmlformats.org/officeDocument/2006/relationships/hyperlink" Target="http://?" TargetMode="External"/>
	<Relationship Id="rId488" Type="http://schemas.openxmlformats.org/officeDocument/2006/relationships/hyperlink" Target="http://?" TargetMode="External"/>
	<Relationship Id="rId695" Type="http://schemas.openxmlformats.org/officeDocument/2006/relationships/hyperlink" Target="http://?" TargetMode="External"/>
	<Relationship Id="rId709" Type="http://schemas.openxmlformats.org/officeDocument/2006/relationships/hyperlink" Target="http://?" TargetMode="External"/>
	<Relationship Id="rId45" Type="http://schemas.openxmlformats.org/officeDocument/2006/relationships/hyperlink" Target="http://?" TargetMode="External"/>
	<Relationship Id="rId110" Type="http://schemas.openxmlformats.org/officeDocument/2006/relationships/image" Target="media/image7.png"/>
	<Relationship Id="rId348" Type="http://schemas.openxmlformats.org/officeDocument/2006/relationships/hyperlink" Target="http://?" TargetMode="External"/>
	<Relationship Id="rId555" Type="http://schemas.openxmlformats.org/officeDocument/2006/relationships/hyperlink" Target="http://?" TargetMode="External"/>
	<Relationship Id="rId194" Type="http://schemas.openxmlformats.org/officeDocument/2006/relationships/hyperlink" Target="http://?" TargetMode="External"/>
	<Relationship Id="rId208" Type="http://schemas.openxmlformats.org/officeDocument/2006/relationships/hyperlink" Target="http://?" TargetMode="External"/>
	<Relationship Id="rId415" Type="http://schemas.openxmlformats.org/officeDocument/2006/relationships/hyperlink" Target="http://?" TargetMode="External"/>
	<Relationship Id="rId622" Type="http://schemas.openxmlformats.org/officeDocument/2006/relationships/hyperlink" Target="http://?" TargetMode="External"/>
	<Relationship Id="rId261" Type="http://schemas.openxmlformats.org/officeDocument/2006/relationships/hyperlink" Target="http://?" TargetMode="External"/>
	<Relationship Id="rId499" Type="http://schemas.openxmlformats.org/officeDocument/2006/relationships/hyperlink" Target="http://?" TargetMode="External"/>
	<Relationship Id="rId56" Type="http://schemas.openxmlformats.org/officeDocument/2006/relationships/hyperlink" Target="http://?" TargetMode="External"/>
	<Relationship Id="rId359" Type="http://schemas.openxmlformats.org/officeDocument/2006/relationships/hyperlink" Target="http://?" TargetMode="External"/>
	<Relationship Id="rId566" Type="http://schemas.openxmlformats.org/officeDocument/2006/relationships/hyperlink" Target="http://?" TargetMode="External"/>
	<Relationship Id="rId121" Type="http://schemas.openxmlformats.org/officeDocument/2006/relationships/hyperlink" Target="http://?" TargetMode="External"/>
	<Relationship Id="rId219" Type="http://schemas.openxmlformats.org/officeDocument/2006/relationships/image" Target="media/image23.png"/>
	<Relationship Id="rId426" Type="http://schemas.openxmlformats.org/officeDocument/2006/relationships/hyperlink" Target="http://?" TargetMode="External"/>
	<Relationship Id="rId633" Type="http://schemas.openxmlformats.org/officeDocument/2006/relationships/hyperlink" Target="http://?" TargetMode="External"/>
	<Relationship Id="rId67" Type="http://schemas.openxmlformats.org/officeDocument/2006/relationships/hyperlink" Target="http://?" TargetMode="External"/>
	<Relationship Id="rId272" Type="http://schemas.openxmlformats.org/officeDocument/2006/relationships/hyperlink" Target="http://?" TargetMode="External"/>
	<Relationship Id="rId577" Type="http://schemas.openxmlformats.org/officeDocument/2006/relationships/hyperlink" Target="http://?" TargetMode="External"/>
	<Relationship Id="rId700" Type="http://schemas.openxmlformats.org/officeDocument/2006/relationships/hyperlink" Target="http://?" TargetMode="External"/>
	<Relationship Id="rId132" Type="http://schemas.openxmlformats.org/officeDocument/2006/relationships/hyperlink" Target="http://?" TargetMode="External"/>
	<Relationship Id="rId437" Type="http://schemas.openxmlformats.org/officeDocument/2006/relationships/hyperlink" Target="http://?" TargetMode="External"/>
	<Relationship Id="rId644" Type="http://schemas.openxmlformats.org/officeDocument/2006/relationships/hyperlink" Target="http://?" TargetMode="External"/>
	<Relationship Id="rId283" Type="http://schemas.openxmlformats.org/officeDocument/2006/relationships/hyperlink" Target="http://?" TargetMode="External"/>
	<Relationship Id="rId490" Type="http://schemas.openxmlformats.org/officeDocument/2006/relationships/hyperlink" Target="http://?" TargetMode="External"/>
	<Relationship Id="rId504" Type="http://schemas.openxmlformats.org/officeDocument/2006/relationships/hyperlink" Target="http://?" TargetMode="External"/>
	<Relationship Id="rId711" Type="http://schemas.openxmlformats.org/officeDocument/2006/relationships/hyperlink" Target="http://?" TargetMode="External"/>
	<Relationship Id="rId78" Type="http://schemas.openxmlformats.org/officeDocument/2006/relationships/hyperlink" Target="http://?" TargetMode="External"/>
	<Relationship Id="rId143" Type="http://schemas.openxmlformats.org/officeDocument/2006/relationships/hyperlink" Target="http://?" TargetMode="External"/>
	<Relationship Id="rId350" Type="http://schemas.openxmlformats.org/officeDocument/2006/relationships/hyperlink" Target="http://?" TargetMode="External"/>
	<Relationship Id="rId588" Type="http://schemas.openxmlformats.org/officeDocument/2006/relationships/hyperlink" Target="http://?" TargetMode="External"/>
	<Relationship Id="rId9" Type="http://schemas.openxmlformats.org/officeDocument/2006/relationships/image" Target="media/image2.png"/>
	<Relationship Id="rId210" Type="http://schemas.openxmlformats.org/officeDocument/2006/relationships/hyperlink" Target="http://?" TargetMode="External"/>
	<Relationship Id="rId448" Type="http://schemas.openxmlformats.org/officeDocument/2006/relationships/image" Target="media/image40.png"/>
	<Relationship Id="rId655" Type="http://schemas.openxmlformats.org/officeDocument/2006/relationships/hyperlink" Target="http://?" TargetMode="External"/>
	<Relationship Id="rId294" Type="http://schemas.openxmlformats.org/officeDocument/2006/relationships/hyperlink" Target="http://?" TargetMode="External"/>
	<Relationship Id="rId308" Type="http://schemas.openxmlformats.org/officeDocument/2006/relationships/image" Target="media/image27.png"/>
	<Relationship Id="rId515" Type="http://schemas.openxmlformats.org/officeDocument/2006/relationships/hyperlink" Target="http://?" TargetMode="External"/>
	<Relationship Id="rId89" Type="http://schemas.openxmlformats.org/officeDocument/2006/relationships/hyperlink" Target="http://?" TargetMode="External"/>
	<Relationship Id="rId154" Type="http://schemas.openxmlformats.org/officeDocument/2006/relationships/hyperlink" Target="http://?" TargetMode="External"/>
	<Relationship Id="rId361" Type="http://schemas.openxmlformats.org/officeDocument/2006/relationships/hyperlink" Target="http://?" TargetMode="External"/>
	<Relationship Id="rId599" Type="http://schemas.openxmlformats.org/officeDocument/2006/relationships/hyperlink" Target="http://?" TargetMode="External"/>
	<Relationship Id="rId459" Type="http://schemas.openxmlformats.org/officeDocument/2006/relationships/hyperlink" Target="http://?" TargetMode="External"/>
	<Relationship Id="rId666" Type="http://schemas.openxmlformats.org/officeDocument/2006/relationships/hyperlink" Target="http://?" TargetMode="External"/>
	<Relationship Id="rId16" Type="http://schemas.openxmlformats.org/officeDocument/2006/relationships/hyperlink" Target="http://?" TargetMode="External"/>
	<Relationship Id="rId221" Type="http://schemas.openxmlformats.org/officeDocument/2006/relationships/hyperlink" Target="http://?" TargetMode="External"/>
	<Relationship Id="rId319" Type="http://schemas.openxmlformats.org/officeDocument/2006/relationships/hyperlink" Target="http://?" TargetMode="External"/>
	<Relationship Id="rId526" Type="http://schemas.openxmlformats.org/officeDocument/2006/relationships/hyperlink" Target="http://?" TargetMode="External"/>
	<Relationship Id="rId165" Type="http://schemas.openxmlformats.org/officeDocument/2006/relationships/hyperlink" Target="http://?" TargetMode="External"/>
	<Relationship Id="rId372" Type="http://schemas.openxmlformats.org/officeDocument/2006/relationships/hyperlink" Target="http://?" TargetMode="External"/>
	<Relationship Id="rId677" Type="http://schemas.openxmlformats.org/officeDocument/2006/relationships/hyperlink" Target="http://?" TargetMode="External"/>
	<Relationship Id="rId232" Type="http://schemas.openxmlformats.org/officeDocument/2006/relationships/hyperlink" Target="http://?" TargetMode="External"/>
	<Relationship Id="rId27" Type="http://schemas.openxmlformats.org/officeDocument/2006/relationships/hyperlink" Target="http://?" TargetMode="External"/>
	<Relationship Id="rId537" Type="http://schemas.openxmlformats.org/officeDocument/2006/relationships/hyperlink" Target="http://?" TargetMode="External"/>
	<Relationship Id="rId80" Type="http://schemas.openxmlformats.org/officeDocument/2006/relationships/hyperlink" Target="http://?" TargetMode="External"/>
	<Relationship Id="rId176" Type="http://schemas.openxmlformats.org/officeDocument/2006/relationships/hyperlink" Target="http://?" TargetMode="External"/>
	<Relationship Id="rId383" Type="http://schemas.openxmlformats.org/officeDocument/2006/relationships/hyperlink" Target="http://?" TargetMode="External"/>
	<Relationship Id="rId590" Type="http://schemas.openxmlformats.org/officeDocument/2006/relationships/hyperlink" Target="http://?" TargetMode="External"/>
	<Relationship Id="rId604" Type="http://schemas.openxmlformats.org/officeDocument/2006/relationships/hyperlink" Target="http://?" TargetMode="External"/>
	<Relationship Id="rId243" Type="http://schemas.openxmlformats.org/officeDocument/2006/relationships/hyperlink" Target="http://?" TargetMode="External"/>
	<Relationship Id="rId450" Type="http://schemas.openxmlformats.org/officeDocument/2006/relationships/hyperlink" Target="http://?" TargetMode="External"/>
	<Relationship Id="rId688" Type="http://schemas.openxmlformats.org/officeDocument/2006/relationships/hyperlink" Target="http://?" TargetMode="External"/>
	<Relationship Id="rId38" Type="http://schemas.openxmlformats.org/officeDocument/2006/relationships/hyperlink" Target="http://?" TargetMode="External"/>
	<Relationship Id="rId103" Type="http://schemas.openxmlformats.org/officeDocument/2006/relationships/hyperlink" Target="http://?" TargetMode="External"/>
	<Relationship Id="rId310" Type="http://schemas.openxmlformats.org/officeDocument/2006/relationships/image" Target="media/image29.png"/>
	<Relationship Id="rId548" Type="http://schemas.openxmlformats.org/officeDocument/2006/relationships/hyperlink" Target="http://?" TargetMode="External"/>
	<Relationship Id="rId91" Type="http://schemas.openxmlformats.org/officeDocument/2006/relationships/hyperlink" Target="http://?" TargetMode="External"/>
	<Relationship Id="rId187" Type="http://schemas.openxmlformats.org/officeDocument/2006/relationships/hyperlink" Target="http://?" TargetMode="External"/>
	<Relationship Id="rId394" Type="http://schemas.openxmlformats.org/officeDocument/2006/relationships/hyperlink" Target="http://?" TargetMode="External"/>
	<Relationship Id="rId408" Type="http://schemas.openxmlformats.org/officeDocument/2006/relationships/hyperlink" Target="http://?" TargetMode="External"/>
	<Relationship Id="rId615" Type="http://schemas.openxmlformats.org/officeDocument/2006/relationships/hyperlink" Target="http://?" TargetMode="External"/>
	<Relationship Id="rId254" Type="http://schemas.openxmlformats.org/officeDocument/2006/relationships/hyperlink" Target="http://?" TargetMode="External"/>
	<Relationship Id="rId699" Type="http://schemas.openxmlformats.org/officeDocument/2006/relationships/hyperlink" Target="http://?" TargetMode="External"/>
	<Relationship Id="rId49" Type="http://schemas.openxmlformats.org/officeDocument/2006/relationships/hyperlink" Target="http://?" TargetMode="External"/>
	<Relationship Id="rId114" Type="http://schemas.openxmlformats.org/officeDocument/2006/relationships/hyperlink" Target="http://?" TargetMode="External"/>
	<Relationship Id="rId461" Type="http://schemas.openxmlformats.org/officeDocument/2006/relationships/hyperlink" Target="http://?" TargetMode="External"/>
	<Relationship Id="rId559" Type="http://schemas.openxmlformats.org/officeDocument/2006/relationships/hyperlink" Target="http://?" TargetMode="External"/>
	<Relationship Id="rId198" Type="http://schemas.openxmlformats.org/officeDocument/2006/relationships/hyperlink" Target="http://?" TargetMode="External"/>
	<Relationship Id="rId321" Type="http://schemas.openxmlformats.org/officeDocument/2006/relationships/hyperlink" Target="http://?" TargetMode="External"/>
	<Relationship Id="rId419" Type="http://schemas.openxmlformats.org/officeDocument/2006/relationships/image" Target="media/image34.png"/>
	<Relationship Id="rId626" Type="http://schemas.openxmlformats.org/officeDocument/2006/relationships/hyperlink" Target="http://?" TargetMode="External"/>
	<Relationship Id="rId265" Type="http://schemas.openxmlformats.org/officeDocument/2006/relationships/hyperlink" Target="http://?" TargetMode="External"/>
	<Relationship Id="rId472" Type="http://schemas.openxmlformats.org/officeDocument/2006/relationships/hyperlink" Target="http://?" TargetMode="External"/>
	<Relationship Id="rId125" Type="http://schemas.openxmlformats.org/officeDocument/2006/relationships/hyperlink" Target="http://?" TargetMode="External"/>
	<Relationship Id="rId332" Type="http://schemas.openxmlformats.org/officeDocument/2006/relationships/hyperlink" Target="http://?" TargetMode="External"/>
	<Relationship Id="rId637" Type="http://schemas.openxmlformats.org/officeDocument/2006/relationships/hyperlink" Target="http://?"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93F6E0-5947-4DC4-ADD9-10EEBE92CF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294</Pages>
  <Words>234773</Words>
  <Characters>1514288</Characters>
  <Application>Microsoft Office Word</Application>
  <DocSecurity>0</DocSecurity>
  <Lines>35216</Lines>
  <Paragraphs>22423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1726638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 Meyer</dc:creator>
  <cp:keywords/>
  <dc:description/>
  <cp:lastModifiedBy>N Meyer</cp:lastModifiedBy>
  <cp:revision>2</cp:revision>
  <dcterms:created xsi:type="dcterms:W3CDTF">2025-11-13T08:59:00Z</dcterms:created>
  <dcterms:modified xsi:type="dcterms:W3CDTF">2025-11-13T08:59:00Z</dcterms:modified>
</cp:coreProperties>
</file>